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64601" w14:textId="1D1DC4A0" w:rsidR="00E67799" w:rsidRDefault="00805DC6" w:rsidP="002D2907">
      <w:pPr>
        <w:pStyle w:val="TOCPart"/>
        <w:spacing w:before="120" w:after="120"/>
      </w:pPr>
      <w:r w:rsidRPr="001531CD">
        <w:fldChar w:fldCharType="begin"/>
      </w:r>
      <w:r w:rsidRPr="001531CD">
        <w:instrText xml:space="preserve"> REF TOC_Part0 \h  </w:instrText>
      </w:r>
      <w:r w:rsidR="00E7749B" w:rsidRPr="001531CD">
        <w:instrText xml:space="preserve"> \* MERGEFORMAT </w:instrText>
      </w:r>
      <w:r w:rsidRPr="001531CD">
        <w:fldChar w:fldCharType="separate"/>
      </w:r>
      <w:r w:rsidR="00AA17AB" w:rsidRPr="001531CD">
        <w:t>Part I.  Administration</w:t>
      </w:r>
      <w:r w:rsidRPr="001531CD">
        <w:fldChar w:fldCharType="end"/>
      </w:r>
      <w:r w:rsidR="00695163" w:rsidRPr="001531CD">
        <w:rPr>
          <w:color w:val="000000"/>
        </w:rPr>
        <w:fldChar w:fldCharType="begin"/>
      </w:r>
      <w:r w:rsidR="00695163" w:rsidRPr="001531CD">
        <w:rPr>
          <w:color w:val="000000"/>
        </w:rPr>
        <w:instrText xml:space="preserve"> TOC \h \z \t "Part,1,Chapter,2,Section,3" </w:instrText>
      </w:r>
      <w:r w:rsidR="00695163" w:rsidRPr="001531CD">
        <w:rPr>
          <w:color w:val="000000"/>
        </w:rPr>
        <w:fldChar w:fldCharType="separate"/>
      </w:r>
    </w:p>
    <w:p w14:paraId="1F28DF2F" w14:textId="7B37A29D" w:rsidR="00E67799" w:rsidRDefault="00E67799">
      <w:pPr>
        <w:pStyle w:val="TOC2"/>
        <w:rPr>
          <w:rFonts w:asciiTheme="minorHAnsi" w:eastAsiaTheme="minorEastAsia" w:hAnsiTheme="minorHAnsi" w:cstheme="minorBidi"/>
          <w:kern w:val="2"/>
          <w:szCs w:val="24"/>
          <w14:ligatures w14:val="standardContextual"/>
        </w:rPr>
      </w:pPr>
      <w:hyperlink w:anchor="_Toc224818457"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Administration Procedure</w:t>
        </w:r>
        <w:r>
          <w:rPr>
            <w:webHidden/>
          </w:rPr>
          <w:tab/>
        </w:r>
        <w:r>
          <w:rPr>
            <w:webHidden/>
          </w:rPr>
          <w:fldChar w:fldCharType="begin"/>
        </w:r>
        <w:r>
          <w:rPr>
            <w:webHidden/>
          </w:rPr>
          <w:instrText xml:space="preserve"> PAGEREF _Toc224818457 \h </w:instrText>
        </w:r>
        <w:r>
          <w:rPr>
            <w:webHidden/>
          </w:rPr>
        </w:r>
        <w:r>
          <w:rPr>
            <w:webHidden/>
          </w:rPr>
          <w:fldChar w:fldCharType="separate"/>
        </w:r>
        <w:r w:rsidR="00AA17AB">
          <w:rPr>
            <w:webHidden/>
          </w:rPr>
          <w:t>1</w:t>
        </w:r>
        <w:r>
          <w:rPr>
            <w:webHidden/>
          </w:rPr>
          <w:fldChar w:fldCharType="end"/>
        </w:r>
      </w:hyperlink>
    </w:p>
    <w:p w14:paraId="7E06C37F" w14:textId="129BF3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58"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Market Bulletin Subscriber Fee</w:t>
        </w:r>
        <w:r>
          <w:rPr>
            <w:webHidden/>
          </w:rPr>
          <w:tab/>
        </w:r>
        <w:r>
          <w:rPr>
            <w:webHidden/>
          </w:rPr>
          <w:fldChar w:fldCharType="begin"/>
        </w:r>
        <w:r>
          <w:rPr>
            <w:webHidden/>
          </w:rPr>
          <w:instrText xml:space="preserve"> PAGEREF _Toc224818458 \h </w:instrText>
        </w:r>
        <w:r>
          <w:rPr>
            <w:webHidden/>
          </w:rPr>
        </w:r>
        <w:r>
          <w:rPr>
            <w:webHidden/>
          </w:rPr>
          <w:fldChar w:fldCharType="separate"/>
        </w:r>
        <w:r w:rsidR="00AA17AB">
          <w:rPr>
            <w:webHidden/>
          </w:rPr>
          <w:t>1</w:t>
        </w:r>
        <w:r>
          <w:rPr>
            <w:webHidden/>
          </w:rPr>
          <w:fldChar w:fldCharType="end"/>
        </w:r>
      </w:hyperlink>
    </w:p>
    <w:p w14:paraId="6486CC88" w14:textId="4FE852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59"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Agriculture Chemistry Lab Fees</w:t>
        </w:r>
        <w:r>
          <w:rPr>
            <w:webHidden/>
          </w:rPr>
          <w:tab/>
        </w:r>
        <w:r>
          <w:rPr>
            <w:webHidden/>
          </w:rPr>
          <w:fldChar w:fldCharType="begin"/>
        </w:r>
        <w:r>
          <w:rPr>
            <w:webHidden/>
          </w:rPr>
          <w:instrText xml:space="preserve"> PAGEREF _Toc224818459 \h </w:instrText>
        </w:r>
        <w:r>
          <w:rPr>
            <w:webHidden/>
          </w:rPr>
        </w:r>
        <w:r>
          <w:rPr>
            <w:webHidden/>
          </w:rPr>
          <w:fldChar w:fldCharType="separate"/>
        </w:r>
        <w:r w:rsidR="00AA17AB">
          <w:rPr>
            <w:webHidden/>
          </w:rPr>
          <w:t>1</w:t>
        </w:r>
        <w:r>
          <w:rPr>
            <w:webHidden/>
          </w:rPr>
          <w:fldChar w:fldCharType="end"/>
        </w:r>
      </w:hyperlink>
    </w:p>
    <w:p w14:paraId="22615EBD" w14:textId="743E0C6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0"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Petitions for Adoption, Amendment or Repeal of Rules; Form and Procedure</w:t>
        </w:r>
        <w:r>
          <w:rPr>
            <w:webHidden/>
          </w:rPr>
          <w:tab/>
        </w:r>
        <w:r>
          <w:rPr>
            <w:webHidden/>
          </w:rPr>
          <w:fldChar w:fldCharType="begin"/>
        </w:r>
        <w:r>
          <w:rPr>
            <w:webHidden/>
          </w:rPr>
          <w:instrText xml:space="preserve"> PAGEREF _Toc224818460 \h </w:instrText>
        </w:r>
        <w:r>
          <w:rPr>
            <w:webHidden/>
          </w:rPr>
        </w:r>
        <w:r>
          <w:rPr>
            <w:webHidden/>
          </w:rPr>
          <w:fldChar w:fldCharType="separate"/>
        </w:r>
        <w:r w:rsidR="00AA17AB">
          <w:rPr>
            <w:webHidden/>
          </w:rPr>
          <w:t>1</w:t>
        </w:r>
        <w:r>
          <w:rPr>
            <w:webHidden/>
          </w:rPr>
          <w:fldChar w:fldCharType="end"/>
        </w:r>
      </w:hyperlink>
    </w:p>
    <w:p w14:paraId="0C7C50A1" w14:textId="368EAD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1"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Emergency Airstrip for Agricultural Purposes Program</w:t>
        </w:r>
        <w:r>
          <w:rPr>
            <w:webHidden/>
          </w:rPr>
          <w:tab/>
        </w:r>
        <w:r>
          <w:rPr>
            <w:webHidden/>
          </w:rPr>
          <w:fldChar w:fldCharType="begin"/>
        </w:r>
        <w:r>
          <w:rPr>
            <w:webHidden/>
          </w:rPr>
          <w:instrText xml:space="preserve"> PAGEREF _Toc224818461 \h </w:instrText>
        </w:r>
        <w:r>
          <w:rPr>
            <w:webHidden/>
          </w:rPr>
        </w:r>
        <w:r>
          <w:rPr>
            <w:webHidden/>
          </w:rPr>
          <w:fldChar w:fldCharType="separate"/>
        </w:r>
        <w:r w:rsidR="00AA17AB">
          <w:rPr>
            <w:webHidden/>
          </w:rPr>
          <w:t>2</w:t>
        </w:r>
        <w:r>
          <w:rPr>
            <w:webHidden/>
          </w:rPr>
          <w:fldChar w:fldCharType="end"/>
        </w:r>
      </w:hyperlink>
    </w:p>
    <w:p w14:paraId="182DED68" w14:textId="3B6D226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2" w:history="1">
        <w:r w:rsidRPr="00FC437C">
          <w:rPr>
            <w:rStyle w:val="Hyperlink"/>
            <w:rFonts w:eastAsia="Aptos"/>
          </w:rPr>
          <w:t>§111.</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Petitions for Declaratory Orders and Rulings</w:t>
        </w:r>
        <w:r>
          <w:rPr>
            <w:webHidden/>
          </w:rPr>
          <w:tab/>
        </w:r>
        <w:r>
          <w:rPr>
            <w:webHidden/>
          </w:rPr>
          <w:fldChar w:fldCharType="begin"/>
        </w:r>
        <w:r>
          <w:rPr>
            <w:webHidden/>
          </w:rPr>
          <w:instrText xml:space="preserve"> PAGEREF _Toc224818462 \h </w:instrText>
        </w:r>
        <w:r>
          <w:rPr>
            <w:webHidden/>
          </w:rPr>
        </w:r>
        <w:r>
          <w:rPr>
            <w:webHidden/>
          </w:rPr>
          <w:fldChar w:fldCharType="separate"/>
        </w:r>
        <w:r w:rsidR="00AA17AB">
          <w:rPr>
            <w:webHidden/>
          </w:rPr>
          <w:t>3</w:t>
        </w:r>
        <w:r>
          <w:rPr>
            <w:webHidden/>
          </w:rPr>
          <w:fldChar w:fldCharType="end"/>
        </w:r>
      </w:hyperlink>
    </w:p>
    <w:p w14:paraId="34F97C1C" w14:textId="45D68945" w:rsidR="00E67799" w:rsidRDefault="00E67799">
      <w:pPr>
        <w:pStyle w:val="TOC2"/>
        <w:rPr>
          <w:rFonts w:asciiTheme="minorHAnsi" w:eastAsiaTheme="minorEastAsia" w:hAnsiTheme="minorHAnsi" w:cstheme="minorBidi"/>
          <w:kern w:val="2"/>
          <w:szCs w:val="24"/>
          <w14:ligatures w14:val="standardContextual"/>
        </w:rPr>
      </w:pPr>
      <w:hyperlink w:anchor="_Toc224818463" w:history="1">
        <w:r w:rsidRPr="00FC437C">
          <w:rPr>
            <w:rStyle w:val="Hyperlink"/>
          </w:rPr>
          <w:t>Chapter 2.</w:t>
        </w:r>
        <w:r>
          <w:rPr>
            <w:rFonts w:asciiTheme="minorHAnsi" w:eastAsiaTheme="minorEastAsia" w:hAnsiTheme="minorHAnsi" w:cstheme="minorBidi"/>
            <w:kern w:val="2"/>
            <w:szCs w:val="24"/>
            <w14:ligatures w14:val="standardContextual"/>
          </w:rPr>
          <w:tab/>
        </w:r>
        <w:r w:rsidRPr="00FC437C">
          <w:rPr>
            <w:rStyle w:val="Hyperlink"/>
          </w:rPr>
          <w:t>Rebates of Registration Fees</w:t>
        </w:r>
        <w:r>
          <w:rPr>
            <w:webHidden/>
          </w:rPr>
          <w:tab/>
        </w:r>
        <w:r>
          <w:rPr>
            <w:webHidden/>
          </w:rPr>
          <w:fldChar w:fldCharType="begin"/>
        </w:r>
        <w:r>
          <w:rPr>
            <w:webHidden/>
          </w:rPr>
          <w:instrText xml:space="preserve"> PAGEREF _Toc224818463 \h </w:instrText>
        </w:r>
        <w:r>
          <w:rPr>
            <w:webHidden/>
          </w:rPr>
        </w:r>
        <w:r>
          <w:rPr>
            <w:webHidden/>
          </w:rPr>
          <w:fldChar w:fldCharType="separate"/>
        </w:r>
        <w:r w:rsidR="00AA17AB">
          <w:rPr>
            <w:webHidden/>
          </w:rPr>
          <w:t>3</w:t>
        </w:r>
        <w:r>
          <w:rPr>
            <w:webHidden/>
          </w:rPr>
          <w:fldChar w:fldCharType="end"/>
        </w:r>
      </w:hyperlink>
    </w:p>
    <w:p w14:paraId="621B0307" w14:textId="5372358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4" w:history="1">
        <w:r w:rsidRPr="00FC437C">
          <w:rPr>
            <w:rStyle w:val="Hyperlink"/>
          </w:rPr>
          <w:t>§201.</w:t>
        </w:r>
        <w:r>
          <w:rPr>
            <w:rFonts w:asciiTheme="minorHAnsi" w:eastAsiaTheme="minorEastAsia" w:hAnsiTheme="minorHAnsi" w:cstheme="minorBidi"/>
            <w:color w:val="auto"/>
            <w:kern w:val="2"/>
            <w:szCs w:val="24"/>
            <w14:ligatures w14:val="standardContextual"/>
          </w:rPr>
          <w:tab/>
        </w:r>
        <w:r w:rsidRPr="00FC437C">
          <w:rPr>
            <w:rStyle w:val="Hyperlink"/>
          </w:rPr>
          <w:t>Findings</w:t>
        </w:r>
        <w:r>
          <w:rPr>
            <w:webHidden/>
          </w:rPr>
          <w:tab/>
        </w:r>
        <w:r>
          <w:rPr>
            <w:webHidden/>
          </w:rPr>
          <w:fldChar w:fldCharType="begin"/>
        </w:r>
        <w:r>
          <w:rPr>
            <w:webHidden/>
          </w:rPr>
          <w:instrText xml:space="preserve"> PAGEREF _Toc224818464 \h </w:instrText>
        </w:r>
        <w:r>
          <w:rPr>
            <w:webHidden/>
          </w:rPr>
        </w:r>
        <w:r>
          <w:rPr>
            <w:webHidden/>
          </w:rPr>
          <w:fldChar w:fldCharType="separate"/>
        </w:r>
        <w:r w:rsidR="00AA17AB">
          <w:rPr>
            <w:webHidden/>
          </w:rPr>
          <w:t>3</w:t>
        </w:r>
        <w:r>
          <w:rPr>
            <w:webHidden/>
          </w:rPr>
          <w:fldChar w:fldCharType="end"/>
        </w:r>
      </w:hyperlink>
    </w:p>
    <w:p w14:paraId="415020F9" w14:textId="449ABB5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5" w:history="1">
        <w:r w:rsidRPr="00FC437C">
          <w:rPr>
            <w:rStyle w:val="Hyperlink"/>
          </w:rPr>
          <w:t>§203.</w:t>
        </w:r>
        <w:r>
          <w:rPr>
            <w:rFonts w:asciiTheme="minorHAnsi" w:eastAsiaTheme="minorEastAsia" w:hAnsiTheme="minorHAnsi" w:cstheme="minorBidi"/>
            <w:color w:val="auto"/>
            <w:kern w:val="2"/>
            <w:szCs w:val="24"/>
            <w14:ligatures w14:val="standardContextual"/>
          </w:rPr>
          <w:tab/>
        </w:r>
        <w:r w:rsidRPr="00FC437C">
          <w:rPr>
            <w:rStyle w:val="Hyperlink"/>
          </w:rPr>
          <w:t>Application</w:t>
        </w:r>
        <w:r>
          <w:rPr>
            <w:webHidden/>
          </w:rPr>
          <w:tab/>
        </w:r>
        <w:r>
          <w:rPr>
            <w:webHidden/>
          </w:rPr>
          <w:fldChar w:fldCharType="begin"/>
        </w:r>
        <w:r>
          <w:rPr>
            <w:webHidden/>
          </w:rPr>
          <w:instrText xml:space="preserve"> PAGEREF _Toc224818465 \h </w:instrText>
        </w:r>
        <w:r>
          <w:rPr>
            <w:webHidden/>
          </w:rPr>
        </w:r>
        <w:r>
          <w:rPr>
            <w:webHidden/>
          </w:rPr>
          <w:fldChar w:fldCharType="separate"/>
        </w:r>
        <w:r w:rsidR="00AA17AB">
          <w:rPr>
            <w:webHidden/>
          </w:rPr>
          <w:t>3</w:t>
        </w:r>
        <w:r>
          <w:rPr>
            <w:webHidden/>
          </w:rPr>
          <w:fldChar w:fldCharType="end"/>
        </w:r>
      </w:hyperlink>
    </w:p>
    <w:p w14:paraId="3A0DCCD8" w14:textId="0A16DCC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6" w:history="1">
        <w:r w:rsidRPr="00FC437C">
          <w:rPr>
            <w:rStyle w:val="Hyperlink"/>
          </w:rPr>
          <w:t>§205.</w:t>
        </w:r>
        <w:r>
          <w:rPr>
            <w:rFonts w:asciiTheme="minorHAnsi" w:eastAsiaTheme="minorEastAsia" w:hAnsiTheme="minorHAnsi" w:cstheme="minorBidi"/>
            <w:color w:val="auto"/>
            <w:kern w:val="2"/>
            <w:szCs w:val="24"/>
            <w14:ligatures w14:val="standardContextual"/>
          </w:rPr>
          <w:tab/>
        </w:r>
        <w:r w:rsidRPr="00FC437C">
          <w:rPr>
            <w:rStyle w:val="Hyperlink"/>
          </w:rPr>
          <w:t>Issuance of Rebates</w:t>
        </w:r>
        <w:r>
          <w:rPr>
            <w:webHidden/>
          </w:rPr>
          <w:tab/>
        </w:r>
        <w:r>
          <w:rPr>
            <w:webHidden/>
          </w:rPr>
          <w:fldChar w:fldCharType="begin"/>
        </w:r>
        <w:r>
          <w:rPr>
            <w:webHidden/>
          </w:rPr>
          <w:instrText xml:space="preserve"> PAGEREF _Toc224818466 \h </w:instrText>
        </w:r>
        <w:r>
          <w:rPr>
            <w:webHidden/>
          </w:rPr>
        </w:r>
        <w:r>
          <w:rPr>
            <w:webHidden/>
          </w:rPr>
          <w:fldChar w:fldCharType="separate"/>
        </w:r>
        <w:r w:rsidR="00AA17AB">
          <w:rPr>
            <w:webHidden/>
          </w:rPr>
          <w:t>3</w:t>
        </w:r>
        <w:r>
          <w:rPr>
            <w:webHidden/>
          </w:rPr>
          <w:fldChar w:fldCharType="end"/>
        </w:r>
      </w:hyperlink>
    </w:p>
    <w:p w14:paraId="3E7852E2" w14:textId="21223F77" w:rsidR="00E67799" w:rsidRDefault="00E67799">
      <w:pPr>
        <w:pStyle w:val="TOC2"/>
        <w:rPr>
          <w:rFonts w:asciiTheme="minorHAnsi" w:eastAsiaTheme="minorEastAsia" w:hAnsiTheme="minorHAnsi" w:cstheme="minorBidi"/>
          <w:kern w:val="2"/>
          <w:szCs w:val="24"/>
          <w14:ligatures w14:val="standardContextual"/>
        </w:rPr>
      </w:pPr>
      <w:hyperlink w:anchor="_Toc224818467"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Open Meetings via Electronic Means</w:t>
        </w:r>
        <w:r>
          <w:rPr>
            <w:webHidden/>
          </w:rPr>
          <w:tab/>
        </w:r>
        <w:r>
          <w:rPr>
            <w:webHidden/>
          </w:rPr>
          <w:fldChar w:fldCharType="begin"/>
        </w:r>
        <w:r>
          <w:rPr>
            <w:webHidden/>
          </w:rPr>
          <w:instrText xml:space="preserve"> PAGEREF _Toc224818467 \h </w:instrText>
        </w:r>
        <w:r>
          <w:rPr>
            <w:webHidden/>
          </w:rPr>
        </w:r>
        <w:r>
          <w:rPr>
            <w:webHidden/>
          </w:rPr>
          <w:fldChar w:fldCharType="separate"/>
        </w:r>
        <w:r w:rsidR="00AA17AB">
          <w:rPr>
            <w:webHidden/>
          </w:rPr>
          <w:t>4</w:t>
        </w:r>
        <w:r>
          <w:rPr>
            <w:webHidden/>
          </w:rPr>
          <w:fldChar w:fldCharType="end"/>
        </w:r>
      </w:hyperlink>
    </w:p>
    <w:p w14:paraId="29108ED4" w14:textId="4C3A406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8"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Open Meetings Accessibility and Accommodations</w:t>
        </w:r>
        <w:r>
          <w:rPr>
            <w:webHidden/>
          </w:rPr>
          <w:tab/>
        </w:r>
        <w:r>
          <w:rPr>
            <w:webHidden/>
          </w:rPr>
          <w:fldChar w:fldCharType="begin"/>
        </w:r>
        <w:r>
          <w:rPr>
            <w:webHidden/>
          </w:rPr>
          <w:instrText xml:space="preserve"> PAGEREF _Toc224818468 \h </w:instrText>
        </w:r>
        <w:r>
          <w:rPr>
            <w:webHidden/>
          </w:rPr>
        </w:r>
        <w:r>
          <w:rPr>
            <w:webHidden/>
          </w:rPr>
          <w:fldChar w:fldCharType="separate"/>
        </w:r>
        <w:r w:rsidR="00AA17AB">
          <w:rPr>
            <w:webHidden/>
          </w:rPr>
          <w:t>4</w:t>
        </w:r>
        <w:r>
          <w:rPr>
            <w:webHidden/>
          </w:rPr>
          <w:fldChar w:fldCharType="end"/>
        </w:r>
      </w:hyperlink>
    </w:p>
    <w:p w14:paraId="7B4435FA" w14:textId="2F07974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69"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Postings Prior to Meeting via Electronic Means</w:t>
        </w:r>
        <w:r>
          <w:rPr>
            <w:webHidden/>
          </w:rPr>
          <w:tab/>
        </w:r>
        <w:r>
          <w:rPr>
            <w:webHidden/>
          </w:rPr>
          <w:fldChar w:fldCharType="begin"/>
        </w:r>
        <w:r>
          <w:rPr>
            <w:webHidden/>
          </w:rPr>
          <w:instrText xml:space="preserve"> PAGEREF _Toc224818469 \h </w:instrText>
        </w:r>
        <w:r>
          <w:rPr>
            <w:webHidden/>
          </w:rPr>
        </w:r>
        <w:r>
          <w:rPr>
            <w:webHidden/>
          </w:rPr>
          <w:fldChar w:fldCharType="separate"/>
        </w:r>
        <w:r w:rsidR="00AA17AB">
          <w:rPr>
            <w:webHidden/>
          </w:rPr>
          <w:t>4</w:t>
        </w:r>
        <w:r>
          <w:rPr>
            <w:webHidden/>
          </w:rPr>
          <w:fldChar w:fldCharType="end"/>
        </w:r>
      </w:hyperlink>
    </w:p>
    <w:p w14:paraId="02D7A54B" w14:textId="211BFF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0"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Electronic Meeting Requirements and Limitations</w:t>
        </w:r>
        <w:r>
          <w:rPr>
            <w:webHidden/>
          </w:rPr>
          <w:tab/>
        </w:r>
        <w:r>
          <w:rPr>
            <w:webHidden/>
          </w:rPr>
          <w:fldChar w:fldCharType="begin"/>
        </w:r>
        <w:r>
          <w:rPr>
            <w:webHidden/>
          </w:rPr>
          <w:instrText xml:space="preserve"> PAGEREF _Toc224818470 \h </w:instrText>
        </w:r>
        <w:r>
          <w:rPr>
            <w:webHidden/>
          </w:rPr>
        </w:r>
        <w:r>
          <w:rPr>
            <w:webHidden/>
          </w:rPr>
          <w:fldChar w:fldCharType="separate"/>
        </w:r>
        <w:r w:rsidR="00AA17AB">
          <w:rPr>
            <w:webHidden/>
          </w:rPr>
          <w:t>4</w:t>
        </w:r>
        <w:r>
          <w:rPr>
            <w:webHidden/>
          </w:rPr>
          <w:fldChar w:fldCharType="end"/>
        </w:r>
      </w:hyperlink>
    </w:p>
    <w:p w14:paraId="25ECF043" w14:textId="556AA0B8" w:rsidR="00E67799" w:rsidRDefault="00E67799">
      <w:pPr>
        <w:pStyle w:val="TOC3"/>
        <w:rPr>
          <w:rStyle w:val="Hyperlink"/>
        </w:rPr>
      </w:pPr>
      <w:hyperlink w:anchor="_Toc224818471"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Disability Accommodations</w:t>
        </w:r>
        <w:r>
          <w:rPr>
            <w:webHidden/>
          </w:rPr>
          <w:tab/>
        </w:r>
        <w:r>
          <w:rPr>
            <w:webHidden/>
          </w:rPr>
          <w:fldChar w:fldCharType="begin"/>
        </w:r>
        <w:r>
          <w:rPr>
            <w:webHidden/>
          </w:rPr>
          <w:instrText xml:space="preserve"> PAGEREF _Toc224818471 \h </w:instrText>
        </w:r>
        <w:r>
          <w:rPr>
            <w:webHidden/>
          </w:rPr>
        </w:r>
        <w:r>
          <w:rPr>
            <w:webHidden/>
          </w:rPr>
          <w:fldChar w:fldCharType="separate"/>
        </w:r>
        <w:r w:rsidR="00AA17AB">
          <w:rPr>
            <w:webHidden/>
          </w:rPr>
          <w:t>4</w:t>
        </w:r>
        <w:r>
          <w:rPr>
            <w:webHidden/>
          </w:rPr>
          <w:fldChar w:fldCharType="end"/>
        </w:r>
      </w:hyperlink>
    </w:p>
    <w:p w14:paraId="156FB0C3" w14:textId="77777777" w:rsidR="00E67799" w:rsidRDefault="00E67799" w:rsidP="00E67799">
      <w:pPr>
        <w:rPr>
          <w:rFonts w:eastAsiaTheme="minorEastAsia"/>
        </w:rPr>
      </w:pPr>
    </w:p>
    <w:p w14:paraId="37F2A9B2" w14:textId="2D6BAFEC" w:rsidR="00E67799" w:rsidRDefault="00E67799" w:rsidP="00E67799">
      <w:pPr>
        <w:jc w:val="center"/>
        <w:rPr>
          <w:rFonts w:eastAsiaTheme="minorEastAsia"/>
          <w:b/>
          <w:bCs/>
          <w:sz w:val="28"/>
          <w:szCs w:val="28"/>
        </w:rPr>
      </w:pPr>
      <w:r w:rsidRPr="00E67799">
        <w:rPr>
          <w:rFonts w:eastAsiaTheme="minorEastAsia"/>
          <w:b/>
          <w:bCs/>
          <w:sz w:val="28"/>
          <w:szCs w:val="28"/>
        </w:rPr>
        <w:t>Part III.  Agricultural Finance</w:t>
      </w:r>
    </w:p>
    <w:p w14:paraId="7861A7E9" w14:textId="77777777" w:rsidR="00E67799" w:rsidRPr="00E67799" w:rsidRDefault="00E67799" w:rsidP="00E67799">
      <w:pPr>
        <w:jc w:val="center"/>
        <w:rPr>
          <w:rFonts w:eastAsiaTheme="minorEastAsia"/>
          <w:b/>
          <w:bCs/>
          <w:sz w:val="28"/>
          <w:szCs w:val="28"/>
        </w:rPr>
      </w:pPr>
    </w:p>
    <w:p w14:paraId="16DAB1EC" w14:textId="21096F02" w:rsidR="00E67799" w:rsidRDefault="00E67799">
      <w:pPr>
        <w:pStyle w:val="TOC2"/>
        <w:rPr>
          <w:rFonts w:asciiTheme="minorHAnsi" w:eastAsiaTheme="minorEastAsia" w:hAnsiTheme="minorHAnsi" w:cstheme="minorBidi"/>
          <w:kern w:val="2"/>
          <w:szCs w:val="24"/>
          <w14:ligatures w14:val="standardContextual"/>
        </w:rPr>
      </w:pPr>
      <w:hyperlink w:anchor="_Toc224818473"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_Toc224818473 \h </w:instrText>
        </w:r>
        <w:r>
          <w:rPr>
            <w:webHidden/>
          </w:rPr>
        </w:r>
        <w:r>
          <w:rPr>
            <w:webHidden/>
          </w:rPr>
          <w:fldChar w:fldCharType="separate"/>
        </w:r>
        <w:r w:rsidR="00AA17AB">
          <w:rPr>
            <w:webHidden/>
          </w:rPr>
          <w:t>7</w:t>
        </w:r>
        <w:r>
          <w:rPr>
            <w:webHidden/>
          </w:rPr>
          <w:fldChar w:fldCharType="end"/>
        </w:r>
      </w:hyperlink>
    </w:p>
    <w:p w14:paraId="5EE86BD8" w14:textId="17ACA69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4"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_Toc224818474 \h </w:instrText>
        </w:r>
        <w:r>
          <w:rPr>
            <w:webHidden/>
          </w:rPr>
        </w:r>
        <w:r>
          <w:rPr>
            <w:webHidden/>
          </w:rPr>
          <w:fldChar w:fldCharType="separate"/>
        </w:r>
        <w:r w:rsidR="00AA17AB">
          <w:rPr>
            <w:webHidden/>
          </w:rPr>
          <w:t>7</w:t>
        </w:r>
        <w:r>
          <w:rPr>
            <w:webHidden/>
          </w:rPr>
          <w:fldChar w:fldCharType="end"/>
        </w:r>
      </w:hyperlink>
    </w:p>
    <w:p w14:paraId="157E37C1" w14:textId="2795C0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5"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Administration of LAFA's Affairs</w:t>
        </w:r>
        <w:r>
          <w:rPr>
            <w:webHidden/>
          </w:rPr>
          <w:tab/>
        </w:r>
        <w:r>
          <w:rPr>
            <w:webHidden/>
          </w:rPr>
          <w:fldChar w:fldCharType="begin"/>
        </w:r>
        <w:r>
          <w:rPr>
            <w:webHidden/>
          </w:rPr>
          <w:instrText xml:space="preserve"> PAGEREF _Toc224818475 \h </w:instrText>
        </w:r>
        <w:r>
          <w:rPr>
            <w:webHidden/>
          </w:rPr>
        </w:r>
        <w:r>
          <w:rPr>
            <w:webHidden/>
          </w:rPr>
          <w:fldChar w:fldCharType="separate"/>
        </w:r>
        <w:r w:rsidR="00AA17AB">
          <w:rPr>
            <w:webHidden/>
          </w:rPr>
          <w:t>10</w:t>
        </w:r>
        <w:r>
          <w:rPr>
            <w:webHidden/>
          </w:rPr>
          <w:fldChar w:fldCharType="end"/>
        </w:r>
      </w:hyperlink>
    </w:p>
    <w:p w14:paraId="262DAB60" w14:textId="72EAB39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6"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Program Authorization; Applicability of Federal Law</w:t>
        </w:r>
        <w:r>
          <w:rPr>
            <w:webHidden/>
          </w:rPr>
          <w:tab/>
        </w:r>
        <w:r>
          <w:rPr>
            <w:webHidden/>
          </w:rPr>
          <w:fldChar w:fldCharType="begin"/>
        </w:r>
        <w:r>
          <w:rPr>
            <w:webHidden/>
          </w:rPr>
          <w:instrText xml:space="preserve"> PAGEREF _Toc224818476 \h </w:instrText>
        </w:r>
        <w:r>
          <w:rPr>
            <w:webHidden/>
          </w:rPr>
        </w:r>
        <w:r>
          <w:rPr>
            <w:webHidden/>
          </w:rPr>
          <w:fldChar w:fldCharType="separate"/>
        </w:r>
        <w:r w:rsidR="00AA17AB">
          <w:rPr>
            <w:webHidden/>
          </w:rPr>
          <w:t>10</w:t>
        </w:r>
        <w:r>
          <w:rPr>
            <w:webHidden/>
          </w:rPr>
          <w:fldChar w:fldCharType="end"/>
        </w:r>
      </w:hyperlink>
    </w:p>
    <w:p w14:paraId="4114478F" w14:textId="7741A1B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7"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Projects Eligible for Loans Funded with LAFA Bond Proceeds</w:t>
        </w:r>
        <w:r>
          <w:rPr>
            <w:webHidden/>
          </w:rPr>
          <w:tab/>
        </w:r>
        <w:r>
          <w:rPr>
            <w:webHidden/>
          </w:rPr>
          <w:fldChar w:fldCharType="begin"/>
        </w:r>
        <w:r>
          <w:rPr>
            <w:webHidden/>
          </w:rPr>
          <w:instrText xml:space="preserve"> PAGEREF _Toc224818477 \h </w:instrText>
        </w:r>
        <w:r>
          <w:rPr>
            <w:webHidden/>
          </w:rPr>
        </w:r>
        <w:r>
          <w:rPr>
            <w:webHidden/>
          </w:rPr>
          <w:fldChar w:fldCharType="separate"/>
        </w:r>
        <w:r w:rsidR="00AA17AB">
          <w:rPr>
            <w:webHidden/>
          </w:rPr>
          <w:t>10</w:t>
        </w:r>
        <w:r>
          <w:rPr>
            <w:webHidden/>
          </w:rPr>
          <w:fldChar w:fldCharType="end"/>
        </w:r>
      </w:hyperlink>
    </w:p>
    <w:p w14:paraId="420A0FF1" w14:textId="3C432F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8"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Projects Ineligible for Loans Funded with LAFA Bond Proceeds; Exceptions</w:t>
        </w:r>
        <w:r>
          <w:rPr>
            <w:webHidden/>
          </w:rPr>
          <w:tab/>
        </w:r>
        <w:r>
          <w:rPr>
            <w:webHidden/>
          </w:rPr>
          <w:fldChar w:fldCharType="begin"/>
        </w:r>
        <w:r>
          <w:rPr>
            <w:webHidden/>
          </w:rPr>
          <w:instrText xml:space="preserve"> PAGEREF _Toc224818478 \h </w:instrText>
        </w:r>
        <w:r>
          <w:rPr>
            <w:webHidden/>
          </w:rPr>
        </w:r>
        <w:r>
          <w:rPr>
            <w:webHidden/>
          </w:rPr>
          <w:fldChar w:fldCharType="separate"/>
        </w:r>
        <w:r w:rsidR="00AA17AB">
          <w:rPr>
            <w:webHidden/>
          </w:rPr>
          <w:t>11</w:t>
        </w:r>
        <w:r>
          <w:rPr>
            <w:webHidden/>
          </w:rPr>
          <w:fldChar w:fldCharType="end"/>
        </w:r>
      </w:hyperlink>
    </w:p>
    <w:p w14:paraId="171265F9" w14:textId="0CC004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79"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Maximum Amount of Agricultural Loans for Capital Expenditures</w:t>
        </w:r>
        <w:r>
          <w:rPr>
            <w:webHidden/>
          </w:rPr>
          <w:tab/>
        </w:r>
        <w:r>
          <w:rPr>
            <w:webHidden/>
          </w:rPr>
          <w:fldChar w:fldCharType="begin"/>
        </w:r>
        <w:r>
          <w:rPr>
            <w:webHidden/>
          </w:rPr>
          <w:instrText xml:space="preserve"> PAGEREF _Toc224818479 \h </w:instrText>
        </w:r>
        <w:r>
          <w:rPr>
            <w:webHidden/>
          </w:rPr>
        </w:r>
        <w:r>
          <w:rPr>
            <w:webHidden/>
          </w:rPr>
          <w:fldChar w:fldCharType="separate"/>
        </w:r>
        <w:r w:rsidR="00AA17AB">
          <w:rPr>
            <w:webHidden/>
          </w:rPr>
          <w:t>11</w:t>
        </w:r>
        <w:r>
          <w:rPr>
            <w:webHidden/>
          </w:rPr>
          <w:fldChar w:fldCharType="end"/>
        </w:r>
      </w:hyperlink>
    </w:p>
    <w:p w14:paraId="37DEB7A2" w14:textId="542846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0"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Minimum Amount of Bonds/Agricultural Loans</w:t>
        </w:r>
        <w:r>
          <w:rPr>
            <w:webHidden/>
          </w:rPr>
          <w:tab/>
        </w:r>
        <w:r>
          <w:rPr>
            <w:webHidden/>
          </w:rPr>
          <w:fldChar w:fldCharType="begin"/>
        </w:r>
        <w:r>
          <w:rPr>
            <w:webHidden/>
          </w:rPr>
          <w:instrText xml:space="preserve"> PAGEREF _Toc224818480 \h </w:instrText>
        </w:r>
        <w:r>
          <w:rPr>
            <w:webHidden/>
          </w:rPr>
        </w:r>
        <w:r>
          <w:rPr>
            <w:webHidden/>
          </w:rPr>
          <w:fldChar w:fldCharType="separate"/>
        </w:r>
        <w:r w:rsidR="00AA17AB">
          <w:rPr>
            <w:webHidden/>
          </w:rPr>
          <w:t>12</w:t>
        </w:r>
        <w:r>
          <w:rPr>
            <w:webHidden/>
          </w:rPr>
          <w:fldChar w:fldCharType="end"/>
        </w:r>
      </w:hyperlink>
    </w:p>
    <w:p w14:paraId="763781D6" w14:textId="603A7D6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1"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Lenders</w:t>
        </w:r>
        <w:r>
          <w:rPr>
            <w:webHidden/>
          </w:rPr>
          <w:tab/>
        </w:r>
        <w:r>
          <w:rPr>
            <w:webHidden/>
          </w:rPr>
          <w:fldChar w:fldCharType="begin"/>
        </w:r>
        <w:r>
          <w:rPr>
            <w:webHidden/>
          </w:rPr>
          <w:instrText xml:space="preserve"> PAGEREF _Toc224818481 \h </w:instrText>
        </w:r>
        <w:r>
          <w:rPr>
            <w:webHidden/>
          </w:rPr>
        </w:r>
        <w:r>
          <w:rPr>
            <w:webHidden/>
          </w:rPr>
          <w:fldChar w:fldCharType="separate"/>
        </w:r>
        <w:r w:rsidR="00AA17AB">
          <w:rPr>
            <w:webHidden/>
          </w:rPr>
          <w:t>12</w:t>
        </w:r>
        <w:r>
          <w:rPr>
            <w:webHidden/>
          </w:rPr>
          <w:fldChar w:fldCharType="end"/>
        </w:r>
      </w:hyperlink>
    </w:p>
    <w:p w14:paraId="4A7CF397" w14:textId="09AF6A7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2"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Borrowers</w:t>
        </w:r>
        <w:r>
          <w:rPr>
            <w:webHidden/>
          </w:rPr>
          <w:tab/>
        </w:r>
        <w:r>
          <w:rPr>
            <w:webHidden/>
          </w:rPr>
          <w:fldChar w:fldCharType="begin"/>
        </w:r>
        <w:r>
          <w:rPr>
            <w:webHidden/>
          </w:rPr>
          <w:instrText xml:space="preserve"> PAGEREF _Toc224818482 \h </w:instrText>
        </w:r>
        <w:r>
          <w:rPr>
            <w:webHidden/>
          </w:rPr>
        </w:r>
        <w:r>
          <w:rPr>
            <w:webHidden/>
          </w:rPr>
          <w:fldChar w:fldCharType="separate"/>
        </w:r>
        <w:r w:rsidR="00AA17AB">
          <w:rPr>
            <w:webHidden/>
          </w:rPr>
          <w:t>12</w:t>
        </w:r>
        <w:r>
          <w:rPr>
            <w:webHidden/>
          </w:rPr>
          <w:fldChar w:fldCharType="end"/>
        </w:r>
      </w:hyperlink>
    </w:p>
    <w:p w14:paraId="3699C3A5" w14:textId="33DDE03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3"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Required Terms and Conditions for Loans Funded with Proceeds of LAFA Bonds</w:t>
        </w:r>
        <w:r>
          <w:rPr>
            <w:webHidden/>
          </w:rPr>
          <w:tab/>
        </w:r>
        <w:r>
          <w:rPr>
            <w:webHidden/>
          </w:rPr>
          <w:fldChar w:fldCharType="begin"/>
        </w:r>
        <w:r>
          <w:rPr>
            <w:webHidden/>
          </w:rPr>
          <w:instrText xml:space="preserve"> PAGEREF _Toc224818483 \h </w:instrText>
        </w:r>
        <w:r>
          <w:rPr>
            <w:webHidden/>
          </w:rPr>
        </w:r>
        <w:r>
          <w:rPr>
            <w:webHidden/>
          </w:rPr>
          <w:fldChar w:fldCharType="separate"/>
        </w:r>
        <w:r w:rsidR="00AA17AB">
          <w:rPr>
            <w:webHidden/>
          </w:rPr>
          <w:t>13</w:t>
        </w:r>
        <w:r>
          <w:rPr>
            <w:webHidden/>
          </w:rPr>
          <w:fldChar w:fldCharType="end"/>
        </w:r>
      </w:hyperlink>
    </w:p>
    <w:p w14:paraId="43F357F9" w14:textId="37A9E96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4"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Fees Required</w:t>
        </w:r>
        <w:r>
          <w:rPr>
            <w:webHidden/>
          </w:rPr>
          <w:tab/>
        </w:r>
        <w:r>
          <w:rPr>
            <w:webHidden/>
          </w:rPr>
          <w:fldChar w:fldCharType="begin"/>
        </w:r>
        <w:r>
          <w:rPr>
            <w:webHidden/>
          </w:rPr>
          <w:instrText xml:space="preserve"> PAGEREF _Toc224818484 \h </w:instrText>
        </w:r>
        <w:r>
          <w:rPr>
            <w:webHidden/>
          </w:rPr>
        </w:r>
        <w:r>
          <w:rPr>
            <w:webHidden/>
          </w:rPr>
          <w:fldChar w:fldCharType="separate"/>
        </w:r>
        <w:r w:rsidR="00AA17AB">
          <w:rPr>
            <w:webHidden/>
          </w:rPr>
          <w:t>13</w:t>
        </w:r>
        <w:r>
          <w:rPr>
            <w:webHidden/>
          </w:rPr>
          <w:fldChar w:fldCharType="end"/>
        </w:r>
      </w:hyperlink>
    </w:p>
    <w:p w14:paraId="6982CCC9" w14:textId="4D7C498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5"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 xml:space="preserve">Program Description; Procedures Required for Funding of Loans with </w:t>
        </w:r>
        <w:r>
          <w:rPr>
            <w:rStyle w:val="Hyperlink"/>
          </w:rPr>
          <w:br/>
        </w:r>
        <w:r>
          <w:rPr>
            <w:rStyle w:val="Hyperlink"/>
          </w:rPr>
          <w:tab/>
        </w:r>
        <w:r w:rsidRPr="00FC437C">
          <w:rPr>
            <w:rStyle w:val="Hyperlink"/>
          </w:rPr>
          <w:t>LAFA Bond Proceeds</w:t>
        </w:r>
        <w:r>
          <w:rPr>
            <w:webHidden/>
          </w:rPr>
          <w:tab/>
        </w:r>
        <w:r>
          <w:rPr>
            <w:webHidden/>
          </w:rPr>
          <w:fldChar w:fldCharType="begin"/>
        </w:r>
        <w:r>
          <w:rPr>
            <w:webHidden/>
          </w:rPr>
          <w:instrText xml:space="preserve"> PAGEREF _Toc224818485 \h </w:instrText>
        </w:r>
        <w:r>
          <w:rPr>
            <w:webHidden/>
          </w:rPr>
        </w:r>
        <w:r>
          <w:rPr>
            <w:webHidden/>
          </w:rPr>
          <w:fldChar w:fldCharType="separate"/>
        </w:r>
        <w:r w:rsidR="00AA17AB">
          <w:rPr>
            <w:webHidden/>
          </w:rPr>
          <w:t>14</w:t>
        </w:r>
        <w:r>
          <w:rPr>
            <w:webHidden/>
          </w:rPr>
          <w:fldChar w:fldCharType="end"/>
        </w:r>
      </w:hyperlink>
    </w:p>
    <w:p w14:paraId="59F73959" w14:textId="662266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6"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Causes for Termination of Loan Purchase Agreement</w:t>
        </w:r>
        <w:r>
          <w:rPr>
            <w:webHidden/>
          </w:rPr>
          <w:tab/>
        </w:r>
        <w:r>
          <w:rPr>
            <w:webHidden/>
          </w:rPr>
          <w:fldChar w:fldCharType="begin"/>
        </w:r>
        <w:r>
          <w:rPr>
            <w:webHidden/>
          </w:rPr>
          <w:instrText xml:space="preserve"> PAGEREF _Toc224818486 \h </w:instrText>
        </w:r>
        <w:r>
          <w:rPr>
            <w:webHidden/>
          </w:rPr>
        </w:r>
        <w:r>
          <w:rPr>
            <w:webHidden/>
          </w:rPr>
          <w:fldChar w:fldCharType="separate"/>
        </w:r>
        <w:r w:rsidR="00AA17AB">
          <w:rPr>
            <w:webHidden/>
          </w:rPr>
          <w:t>15</w:t>
        </w:r>
        <w:r>
          <w:rPr>
            <w:webHidden/>
          </w:rPr>
          <w:fldChar w:fldCharType="end"/>
        </w:r>
      </w:hyperlink>
    </w:p>
    <w:p w14:paraId="7C5FEE9C" w14:textId="244A535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7"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_Toc224818487 \h </w:instrText>
        </w:r>
        <w:r>
          <w:rPr>
            <w:webHidden/>
          </w:rPr>
        </w:r>
        <w:r>
          <w:rPr>
            <w:webHidden/>
          </w:rPr>
          <w:fldChar w:fldCharType="separate"/>
        </w:r>
        <w:r w:rsidR="00AA17AB">
          <w:rPr>
            <w:webHidden/>
          </w:rPr>
          <w:t>16</w:t>
        </w:r>
        <w:r>
          <w:rPr>
            <w:webHidden/>
          </w:rPr>
          <w:fldChar w:fldCharType="end"/>
        </w:r>
      </w:hyperlink>
    </w:p>
    <w:p w14:paraId="0751CA5D" w14:textId="7497482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8"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Definition of Program</w:t>
        </w:r>
        <w:r>
          <w:rPr>
            <w:webHidden/>
          </w:rPr>
          <w:tab/>
        </w:r>
        <w:r>
          <w:rPr>
            <w:webHidden/>
          </w:rPr>
          <w:fldChar w:fldCharType="begin"/>
        </w:r>
        <w:r>
          <w:rPr>
            <w:webHidden/>
          </w:rPr>
          <w:instrText xml:space="preserve"> PAGEREF _Toc224818488 \h </w:instrText>
        </w:r>
        <w:r>
          <w:rPr>
            <w:webHidden/>
          </w:rPr>
        </w:r>
        <w:r>
          <w:rPr>
            <w:webHidden/>
          </w:rPr>
          <w:fldChar w:fldCharType="separate"/>
        </w:r>
        <w:r w:rsidR="00AA17AB">
          <w:rPr>
            <w:webHidden/>
          </w:rPr>
          <w:t>16</w:t>
        </w:r>
        <w:r>
          <w:rPr>
            <w:webHidden/>
          </w:rPr>
          <w:fldChar w:fldCharType="end"/>
        </w:r>
      </w:hyperlink>
    </w:p>
    <w:p w14:paraId="67CD16A4" w14:textId="2570874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89"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Types of Loans to be Purchased or Made</w:t>
        </w:r>
        <w:r>
          <w:rPr>
            <w:webHidden/>
          </w:rPr>
          <w:tab/>
        </w:r>
        <w:r>
          <w:rPr>
            <w:webHidden/>
          </w:rPr>
          <w:fldChar w:fldCharType="begin"/>
        </w:r>
        <w:r>
          <w:rPr>
            <w:webHidden/>
          </w:rPr>
          <w:instrText xml:space="preserve"> PAGEREF _Toc224818489 \h </w:instrText>
        </w:r>
        <w:r>
          <w:rPr>
            <w:webHidden/>
          </w:rPr>
        </w:r>
        <w:r>
          <w:rPr>
            <w:webHidden/>
          </w:rPr>
          <w:fldChar w:fldCharType="separate"/>
        </w:r>
        <w:r w:rsidR="00AA17AB">
          <w:rPr>
            <w:webHidden/>
          </w:rPr>
          <w:t>17</w:t>
        </w:r>
        <w:r>
          <w:rPr>
            <w:webHidden/>
          </w:rPr>
          <w:fldChar w:fldCharType="end"/>
        </w:r>
      </w:hyperlink>
    </w:p>
    <w:p w14:paraId="41EA8F02" w14:textId="4D9DA18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0"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The Credit Provider</w:t>
        </w:r>
        <w:r>
          <w:rPr>
            <w:webHidden/>
          </w:rPr>
          <w:tab/>
        </w:r>
        <w:r>
          <w:rPr>
            <w:webHidden/>
          </w:rPr>
          <w:fldChar w:fldCharType="begin"/>
        </w:r>
        <w:r>
          <w:rPr>
            <w:webHidden/>
          </w:rPr>
          <w:instrText xml:space="preserve"> PAGEREF _Toc224818490 \h </w:instrText>
        </w:r>
        <w:r>
          <w:rPr>
            <w:webHidden/>
          </w:rPr>
        </w:r>
        <w:r>
          <w:rPr>
            <w:webHidden/>
          </w:rPr>
          <w:fldChar w:fldCharType="separate"/>
        </w:r>
        <w:r w:rsidR="00AA17AB">
          <w:rPr>
            <w:webHidden/>
          </w:rPr>
          <w:t>18</w:t>
        </w:r>
        <w:r>
          <w:rPr>
            <w:webHidden/>
          </w:rPr>
          <w:fldChar w:fldCharType="end"/>
        </w:r>
      </w:hyperlink>
    </w:p>
    <w:p w14:paraId="5E7D1C1D" w14:textId="7A4847E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1"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Procedure Required for Funding Agricultural Loans with Proceeds of the Bonds</w:t>
        </w:r>
        <w:r>
          <w:rPr>
            <w:webHidden/>
          </w:rPr>
          <w:tab/>
        </w:r>
        <w:r>
          <w:rPr>
            <w:webHidden/>
          </w:rPr>
          <w:fldChar w:fldCharType="begin"/>
        </w:r>
        <w:r>
          <w:rPr>
            <w:webHidden/>
          </w:rPr>
          <w:instrText xml:space="preserve"> PAGEREF _Toc224818491 \h </w:instrText>
        </w:r>
        <w:r>
          <w:rPr>
            <w:webHidden/>
          </w:rPr>
        </w:r>
        <w:r>
          <w:rPr>
            <w:webHidden/>
          </w:rPr>
          <w:fldChar w:fldCharType="separate"/>
        </w:r>
        <w:r w:rsidR="00AA17AB">
          <w:rPr>
            <w:webHidden/>
          </w:rPr>
          <w:t>18</w:t>
        </w:r>
        <w:r>
          <w:rPr>
            <w:webHidden/>
          </w:rPr>
          <w:fldChar w:fldCharType="end"/>
        </w:r>
      </w:hyperlink>
    </w:p>
    <w:p w14:paraId="00AC5CF4" w14:textId="536A067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2"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Amendment to Program Guidelines</w:t>
        </w:r>
        <w:r>
          <w:rPr>
            <w:webHidden/>
          </w:rPr>
          <w:tab/>
        </w:r>
        <w:r>
          <w:rPr>
            <w:webHidden/>
          </w:rPr>
          <w:fldChar w:fldCharType="begin"/>
        </w:r>
        <w:r>
          <w:rPr>
            <w:webHidden/>
          </w:rPr>
          <w:instrText xml:space="preserve"> PAGEREF _Toc224818492 \h </w:instrText>
        </w:r>
        <w:r>
          <w:rPr>
            <w:webHidden/>
          </w:rPr>
        </w:r>
        <w:r>
          <w:rPr>
            <w:webHidden/>
          </w:rPr>
          <w:fldChar w:fldCharType="separate"/>
        </w:r>
        <w:r w:rsidR="00AA17AB">
          <w:rPr>
            <w:webHidden/>
          </w:rPr>
          <w:t>19</w:t>
        </w:r>
        <w:r>
          <w:rPr>
            <w:webHidden/>
          </w:rPr>
          <w:fldChar w:fldCharType="end"/>
        </w:r>
      </w:hyperlink>
    </w:p>
    <w:p w14:paraId="6F76BD00" w14:textId="55CA07A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3" w:history="1">
        <w:r w:rsidRPr="00FC437C">
          <w:rPr>
            <w:rStyle w:val="Hyperlink"/>
          </w:rPr>
          <w:t>§138.</w:t>
        </w:r>
        <w:r>
          <w:rPr>
            <w:rFonts w:asciiTheme="minorHAnsi" w:eastAsiaTheme="minorEastAsia" w:hAnsiTheme="minorHAnsi" w:cstheme="minorBidi"/>
            <w:color w:val="auto"/>
            <w:kern w:val="2"/>
            <w:szCs w:val="24"/>
            <w14:ligatures w14:val="standardContextual"/>
          </w:rPr>
          <w:tab/>
        </w:r>
        <w:r w:rsidRPr="00FC437C">
          <w:rPr>
            <w:rStyle w:val="Hyperlink"/>
          </w:rPr>
          <w:t>Funding Forms</w:t>
        </w:r>
        <w:r>
          <w:rPr>
            <w:webHidden/>
          </w:rPr>
          <w:tab/>
        </w:r>
        <w:r>
          <w:rPr>
            <w:webHidden/>
          </w:rPr>
          <w:fldChar w:fldCharType="begin"/>
        </w:r>
        <w:r>
          <w:rPr>
            <w:webHidden/>
          </w:rPr>
          <w:instrText xml:space="preserve"> PAGEREF _Toc224818493 \h </w:instrText>
        </w:r>
        <w:r>
          <w:rPr>
            <w:webHidden/>
          </w:rPr>
        </w:r>
        <w:r>
          <w:rPr>
            <w:webHidden/>
          </w:rPr>
          <w:fldChar w:fldCharType="separate"/>
        </w:r>
        <w:r w:rsidR="00AA17AB">
          <w:rPr>
            <w:webHidden/>
          </w:rPr>
          <w:t>19</w:t>
        </w:r>
        <w:r>
          <w:rPr>
            <w:webHidden/>
          </w:rPr>
          <w:fldChar w:fldCharType="end"/>
        </w:r>
      </w:hyperlink>
    </w:p>
    <w:p w14:paraId="393DAA54" w14:textId="5A7BB4D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4" w:history="1">
        <w:r w:rsidRPr="00FC437C">
          <w:rPr>
            <w:rStyle w:val="Hyperlink"/>
          </w:rPr>
          <w:t>Exhibit A</w:t>
        </w:r>
        <w:r>
          <w:rPr>
            <w:webHidden/>
          </w:rPr>
          <w:tab/>
        </w:r>
        <w:r>
          <w:rPr>
            <w:webHidden/>
          </w:rPr>
          <w:fldChar w:fldCharType="begin"/>
        </w:r>
        <w:r>
          <w:rPr>
            <w:webHidden/>
          </w:rPr>
          <w:instrText xml:space="preserve"> PAGEREF _Toc224818494 \h </w:instrText>
        </w:r>
        <w:r>
          <w:rPr>
            <w:webHidden/>
          </w:rPr>
        </w:r>
        <w:r>
          <w:rPr>
            <w:webHidden/>
          </w:rPr>
          <w:fldChar w:fldCharType="separate"/>
        </w:r>
        <w:r w:rsidR="00AA17AB">
          <w:rPr>
            <w:webHidden/>
          </w:rPr>
          <w:t>19</w:t>
        </w:r>
        <w:r>
          <w:rPr>
            <w:webHidden/>
          </w:rPr>
          <w:fldChar w:fldCharType="end"/>
        </w:r>
      </w:hyperlink>
    </w:p>
    <w:p w14:paraId="0DBC2B2A" w14:textId="76D5BD9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5" w:history="1">
        <w:r w:rsidRPr="00FC437C">
          <w:rPr>
            <w:rStyle w:val="Hyperlink"/>
          </w:rPr>
          <w:t>Exhibit B</w:t>
        </w:r>
        <w:r>
          <w:rPr>
            <w:webHidden/>
          </w:rPr>
          <w:tab/>
        </w:r>
        <w:r>
          <w:rPr>
            <w:webHidden/>
          </w:rPr>
          <w:fldChar w:fldCharType="begin"/>
        </w:r>
        <w:r>
          <w:rPr>
            <w:webHidden/>
          </w:rPr>
          <w:instrText xml:space="preserve"> PAGEREF _Toc224818495 \h </w:instrText>
        </w:r>
        <w:r>
          <w:rPr>
            <w:webHidden/>
          </w:rPr>
        </w:r>
        <w:r>
          <w:rPr>
            <w:webHidden/>
          </w:rPr>
          <w:fldChar w:fldCharType="separate"/>
        </w:r>
        <w:r w:rsidR="00AA17AB">
          <w:rPr>
            <w:webHidden/>
          </w:rPr>
          <w:t>19</w:t>
        </w:r>
        <w:r>
          <w:rPr>
            <w:webHidden/>
          </w:rPr>
          <w:fldChar w:fldCharType="end"/>
        </w:r>
      </w:hyperlink>
    </w:p>
    <w:p w14:paraId="06D0AB26" w14:textId="68E8D8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6" w:history="1">
        <w:r w:rsidRPr="00FC437C">
          <w:rPr>
            <w:rStyle w:val="Hyperlink"/>
          </w:rPr>
          <w:t>Exhibit C</w:t>
        </w:r>
        <w:r>
          <w:rPr>
            <w:webHidden/>
          </w:rPr>
          <w:tab/>
        </w:r>
        <w:r>
          <w:rPr>
            <w:webHidden/>
          </w:rPr>
          <w:fldChar w:fldCharType="begin"/>
        </w:r>
        <w:r>
          <w:rPr>
            <w:webHidden/>
          </w:rPr>
          <w:instrText xml:space="preserve"> PAGEREF _Toc224818496 \h </w:instrText>
        </w:r>
        <w:r>
          <w:rPr>
            <w:webHidden/>
          </w:rPr>
        </w:r>
        <w:r>
          <w:rPr>
            <w:webHidden/>
          </w:rPr>
          <w:fldChar w:fldCharType="separate"/>
        </w:r>
        <w:r w:rsidR="00AA17AB">
          <w:rPr>
            <w:webHidden/>
          </w:rPr>
          <w:t>19</w:t>
        </w:r>
        <w:r>
          <w:rPr>
            <w:webHidden/>
          </w:rPr>
          <w:fldChar w:fldCharType="end"/>
        </w:r>
      </w:hyperlink>
    </w:p>
    <w:p w14:paraId="0E428FD3" w14:textId="047FC1C9" w:rsidR="00E67799" w:rsidRDefault="00E67799" w:rsidP="00E67799">
      <w:pPr>
        <w:pStyle w:val="TOC3"/>
        <w:keepNext/>
        <w:rPr>
          <w:rFonts w:asciiTheme="minorHAnsi" w:eastAsiaTheme="minorEastAsia" w:hAnsiTheme="minorHAnsi" w:cstheme="minorBidi"/>
          <w:color w:val="auto"/>
          <w:kern w:val="2"/>
          <w:szCs w:val="24"/>
          <w14:ligatures w14:val="standardContextual"/>
        </w:rPr>
      </w:pPr>
      <w:hyperlink w:anchor="_Toc224818497" w:history="1">
        <w:r w:rsidRPr="00FC437C">
          <w:rPr>
            <w:rStyle w:val="Hyperlink"/>
          </w:rPr>
          <w:t>Exhibit D</w:t>
        </w:r>
        <w:r>
          <w:rPr>
            <w:webHidden/>
          </w:rPr>
          <w:tab/>
        </w:r>
        <w:r>
          <w:rPr>
            <w:webHidden/>
          </w:rPr>
          <w:fldChar w:fldCharType="begin"/>
        </w:r>
        <w:r>
          <w:rPr>
            <w:webHidden/>
          </w:rPr>
          <w:instrText xml:space="preserve"> PAGEREF _Toc224818497 \h </w:instrText>
        </w:r>
        <w:r>
          <w:rPr>
            <w:webHidden/>
          </w:rPr>
        </w:r>
        <w:r>
          <w:rPr>
            <w:webHidden/>
          </w:rPr>
          <w:fldChar w:fldCharType="separate"/>
        </w:r>
        <w:r w:rsidR="00AA17AB">
          <w:rPr>
            <w:webHidden/>
          </w:rPr>
          <w:t>20</w:t>
        </w:r>
        <w:r>
          <w:rPr>
            <w:webHidden/>
          </w:rPr>
          <w:fldChar w:fldCharType="end"/>
        </w:r>
      </w:hyperlink>
    </w:p>
    <w:p w14:paraId="2A943BEA" w14:textId="2F6BD860" w:rsidR="00E67799" w:rsidRDefault="00E67799" w:rsidP="00E67799">
      <w:pPr>
        <w:pStyle w:val="TOC3"/>
        <w:keepNext/>
        <w:rPr>
          <w:rFonts w:asciiTheme="minorHAnsi" w:eastAsiaTheme="minorEastAsia" w:hAnsiTheme="minorHAnsi" w:cstheme="minorBidi"/>
          <w:color w:val="auto"/>
          <w:kern w:val="2"/>
          <w:szCs w:val="24"/>
          <w14:ligatures w14:val="standardContextual"/>
        </w:rPr>
      </w:pPr>
      <w:hyperlink w:anchor="_Toc224818498" w:history="1">
        <w:r w:rsidRPr="00FC437C">
          <w:rPr>
            <w:rStyle w:val="Hyperlink"/>
          </w:rPr>
          <w:t>Exhibit E</w:t>
        </w:r>
        <w:r>
          <w:rPr>
            <w:webHidden/>
          </w:rPr>
          <w:tab/>
        </w:r>
        <w:r>
          <w:rPr>
            <w:webHidden/>
          </w:rPr>
          <w:fldChar w:fldCharType="begin"/>
        </w:r>
        <w:r>
          <w:rPr>
            <w:webHidden/>
          </w:rPr>
          <w:instrText xml:space="preserve"> PAGEREF _Toc224818498 \h </w:instrText>
        </w:r>
        <w:r>
          <w:rPr>
            <w:webHidden/>
          </w:rPr>
        </w:r>
        <w:r>
          <w:rPr>
            <w:webHidden/>
          </w:rPr>
          <w:fldChar w:fldCharType="separate"/>
        </w:r>
        <w:r w:rsidR="00AA17AB">
          <w:rPr>
            <w:webHidden/>
          </w:rPr>
          <w:t>20</w:t>
        </w:r>
        <w:r>
          <w:rPr>
            <w:webHidden/>
          </w:rPr>
          <w:fldChar w:fldCharType="end"/>
        </w:r>
      </w:hyperlink>
    </w:p>
    <w:p w14:paraId="13CB4492" w14:textId="0130A11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499" w:history="1">
        <w:r w:rsidRPr="00FC437C">
          <w:rPr>
            <w:rStyle w:val="Hyperlink"/>
          </w:rPr>
          <w:t>Exhibit F</w:t>
        </w:r>
        <w:r>
          <w:rPr>
            <w:webHidden/>
          </w:rPr>
          <w:tab/>
        </w:r>
        <w:r>
          <w:rPr>
            <w:webHidden/>
          </w:rPr>
          <w:fldChar w:fldCharType="begin"/>
        </w:r>
        <w:r>
          <w:rPr>
            <w:webHidden/>
          </w:rPr>
          <w:instrText xml:space="preserve"> PAGEREF _Toc224818499 \h </w:instrText>
        </w:r>
        <w:r>
          <w:rPr>
            <w:webHidden/>
          </w:rPr>
        </w:r>
        <w:r>
          <w:rPr>
            <w:webHidden/>
          </w:rPr>
          <w:fldChar w:fldCharType="separate"/>
        </w:r>
        <w:r w:rsidR="00AA17AB">
          <w:rPr>
            <w:webHidden/>
          </w:rPr>
          <w:t>20</w:t>
        </w:r>
        <w:r>
          <w:rPr>
            <w:webHidden/>
          </w:rPr>
          <w:fldChar w:fldCharType="end"/>
        </w:r>
      </w:hyperlink>
    </w:p>
    <w:p w14:paraId="7812503B" w14:textId="794F3C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0"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Meaning of National Bank</w:t>
        </w:r>
        <w:r>
          <w:rPr>
            <w:webHidden/>
          </w:rPr>
          <w:tab/>
        </w:r>
        <w:r>
          <w:rPr>
            <w:webHidden/>
          </w:rPr>
          <w:fldChar w:fldCharType="begin"/>
        </w:r>
        <w:r>
          <w:rPr>
            <w:webHidden/>
          </w:rPr>
          <w:instrText xml:space="preserve"> PAGEREF _Toc224818500 \h </w:instrText>
        </w:r>
        <w:r>
          <w:rPr>
            <w:webHidden/>
          </w:rPr>
        </w:r>
        <w:r>
          <w:rPr>
            <w:webHidden/>
          </w:rPr>
          <w:fldChar w:fldCharType="separate"/>
        </w:r>
        <w:r w:rsidR="00AA17AB">
          <w:rPr>
            <w:webHidden/>
          </w:rPr>
          <w:t>21</w:t>
        </w:r>
        <w:r>
          <w:rPr>
            <w:webHidden/>
          </w:rPr>
          <w:fldChar w:fldCharType="end"/>
        </w:r>
      </w:hyperlink>
    </w:p>
    <w:p w14:paraId="719CD44D" w14:textId="6F7D89E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1"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Construction of Maximum Amounts of Loans</w:t>
        </w:r>
        <w:r>
          <w:rPr>
            <w:webHidden/>
          </w:rPr>
          <w:tab/>
        </w:r>
        <w:r>
          <w:rPr>
            <w:webHidden/>
          </w:rPr>
          <w:fldChar w:fldCharType="begin"/>
        </w:r>
        <w:r>
          <w:rPr>
            <w:webHidden/>
          </w:rPr>
          <w:instrText xml:space="preserve"> PAGEREF _Toc224818501 \h </w:instrText>
        </w:r>
        <w:r>
          <w:rPr>
            <w:webHidden/>
          </w:rPr>
        </w:r>
        <w:r>
          <w:rPr>
            <w:webHidden/>
          </w:rPr>
          <w:fldChar w:fldCharType="separate"/>
        </w:r>
        <w:r w:rsidR="00AA17AB">
          <w:rPr>
            <w:webHidden/>
          </w:rPr>
          <w:t>21</w:t>
        </w:r>
        <w:r>
          <w:rPr>
            <w:webHidden/>
          </w:rPr>
          <w:fldChar w:fldCharType="end"/>
        </w:r>
      </w:hyperlink>
    </w:p>
    <w:p w14:paraId="28898B54" w14:textId="5F97AFC5" w:rsidR="00E67799" w:rsidRDefault="00E67799">
      <w:pPr>
        <w:pStyle w:val="TOC2"/>
        <w:rPr>
          <w:rFonts w:asciiTheme="minorHAnsi" w:eastAsiaTheme="minorEastAsia" w:hAnsiTheme="minorHAnsi" w:cstheme="minorBidi"/>
          <w:kern w:val="2"/>
          <w:szCs w:val="24"/>
          <w14:ligatures w14:val="standardContextual"/>
        </w:rPr>
      </w:pPr>
      <w:hyperlink w:anchor="_Toc224818502"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Farm and Agribusiness Recovery and Loan Program</w:t>
        </w:r>
        <w:r>
          <w:rPr>
            <w:webHidden/>
          </w:rPr>
          <w:tab/>
        </w:r>
        <w:r>
          <w:rPr>
            <w:webHidden/>
          </w:rPr>
          <w:fldChar w:fldCharType="begin"/>
        </w:r>
        <w:r>
          <w:rPr>
            <w:webHidden/>
          </w:rPr>
          <w:instrText xml:space="preserve"> PAGEREF _Toc224818502 \h </w:instrText>
        </w:r>
        <w:r>
          <w:rPr>
            <w:webHidden/>
          </w:rPr>
        </w:r>
        <w:r>
          <w:rPr>
            <w:webHidden/>
          </w:rPr>
          <w:fldChar w:fldCharType="separate"/>
        </w:r>
        <w:r w:rsidR="00AA17AB">
          <w:rPr>
            <w:webHidden/>
          </w:rPr>
          <w:t>21</w:t>
        </w:r>
        <w:r>
          <w:rPr>
            <w:webHidden/>
          </w:rPr>
          <w:fldChar w:fldCharType="end"/>
        </w:r>
      </w:hyperlink>
    </w:p>
    <w:p w14:paraId="3FB2EB02" w14:textId="6167549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3"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 xml:space="preserve">Farm and Agribusiness Recovery and Loan Program; Establishment of; Purpose; </w:t>
        </w:r>
        <w:r>
          <w:rPr>
            <w:rStyle w:val="Hyperlink"/>
          </w:rPr>
          <w:br/>
        </w:r>
        <w:r>
          <w:rPr>
            <w:rStyle w:val="Hyperlink"/>
          </w:rPr>
          <w:tab/>
        </w:r>
        <w:r w:rsidRPr="00FC437C">
          <w:rPr>
            <w:rStyle w:val="Hyperlink"/>
          </w:rPr>
          <w:t>Limitations; Terms</w:t>
        </w:r>
        <w:r>
          <w:rPr>
            <w:webHidden/>
          </w:rPr>
          <w:tab/>
        </w:r>
        <w:r>
          <w:rPr>
            <w:webHidden/>
          </w:rPr>
          <w:fldChar w:fldCharType="begin"/>
        </w:r>
        <w:r>
          <w:rPr>
            <w:webHidden/>
          </w:rPr>
          <w:instrText xml:space="preserve"> PAGEREF _Toc224818503 \h </w:instrText>
        </w:r>
        <w:r>
          <w:rPr>
            <w:webHidden/>
          </w:rPr>
        </w:r>
        <w:r>
          <w:rPr>
            <w:webHidden/>
          </w:rPr>
          <w:fldChar w:fldCharType="separate"/>
        </w:r>
        <w:r w:rsidR="00AA17AB">
          <w:rPr>
            <w:webHidden/>
          </w:rPr>
          <w:t>21</w:t>
        </w:r>
        <w:r>
          <w:rPr>
            <w:webHidden/>
          </w:rPr>
          <w:fldChar w:fldCharType="end"/>
        </w:r>
      </w:hyperlink>
    </w:p>
    <w:p w14:paraId="4DEE8F3B" w14:textId="4CFB14D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4"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_Toc224818504 \h </w:instrText>
        </w:r>
        <w:r>
          <w:rPr>
            <w:webHidden/>
          </w:rPr>
        </w:r>
        <w:r>
          <w:rPr>
            <w:webHidden/>
          </w:rPr>
          <w:fldChar w:fldCharType="separate"/>
        </w:r>
        <w:r w:rsidR="00AA17AB">
          <w:rPr>
            <w:webHidden/>
          </w:rPr>
          <w:t>21</w:t>
        </w:r>
        <w:r>
          <w:rPr>
            <w:webHidden/>
          </w:rPr>
          <w:fldChar w:fldCharType="end"/>
        </w:r>
      </w:hyperlink>
    </w:p>
    <w:p w14:paraId="53F9ACAA" w14:textId="726B076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5"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Application Procedure and Forms</w:t>
        </w:r>
        <w:r>
          <w:rPr>
            <w:webHidden/>
          </w:rPr>
          <w:tab/>
        </w:r>
        <w:r>
          <w:rPr>
            <w:webHidden/>
          </w:rPr>
          <w:fldChar w:fldCharType="begin"/>
        </w:r>
        <w:r>
          <w:rPr>
            <w:webHidden/>
          </w:rPr>
          <w:instrText xml:space="preserve"> PAGEREF _Toc224818505 \h </w:instrText>
        </w:r>
        <w:r>
          <w:rPr>
            <w:webHidden/>
          </w:rPr>
        </w:r>
        <w:r>
          <w:rPr>
            <w:webHidden/>
          </w:rPr>
          <w:fldChar w:fldCharType="separate"/>
        </w:r>
        <w:r w:rsidR="00AA17AB">
          <w:rPr>
            <w:webHidden/>
          </w:rPr>
          <w:t>22</w:t>
        </w:r>
        <w:r>
          <w:rPr>
            <w:webHidden/>
          </w:rPr>
          <w:fldChar w:fldCharType="end"/>
        </w:r>
      </w:hyperlink>
    </w:p>
    <w:p w14:paraId="2C61D49E" w14:textId="578FC9C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6"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Approval of Application</w:t>
        </w:r>
        <w:r>
          <w:rPr>
            <w:webHidden/>
          </w:rPr>
          <w:tab/>
        </w:r>
        <w:r>
          <w:rPr>
            <w:webHidden/>
          </w:rPr>
          <w:fldChar w:fldCharType="begin"/>
        </w:r>
        <w:r>
          <w:rPr>
            <w:webHidden/>
          </w:rPr>
          <w:instrText xml:space="preserve"> PAGEREF _Toc224818506 \h </w:instrText>
        </w:r>
        <w:r>
          <w:rPr>
            <w:webHidden/>
          </w:rPr>
        </w:r>
        <w:r>
          <w:rPr>
            <w:webHidden/>
          </w:rPr>
          <w:fldChar w:fldCharType="separate"/>
        </w:r>
        <w:r w:rsidR="00AA17AB">
          <w:rPr>
            <w:webHidden/>
          </w:rPr>
          <w:t>22</w:t>
        </w:r>
        <w:r>
          <w:rPr>
            <w:webHidden/>
          </w:rPr>
          <w:fldChar w:fldCharType="end"/>
        </w:r>
      </w:hyperlink>
    </w:p>
    <w:p w14:paraId="40268997" w14:textId="3EB78F7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7"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Agricultural Loan Committee; Establishment of; Purpose; Membership; Quorum</w:t>
        </w:r>
        <w:r>
          <w:rPr>
            <w:webHidden/>
          </w:rPr>
          <w:tab/>
        </w:r>
        <w:r>
          <w:rPr>
            <w:webHidden/>
          </w:rPr>
          <w:fldChar w:fldCharType="begin"/>
        </w:r>
        <w:r>
          <w:rPr>
            <w:webHidden/>
          </w:rPr>
          <w:instrText xml:space="preserve"> PAGEREF _Toc224818507 \h </w:instrText>
        </w:r>
        <w:r>
          <w:rPr>
            <w:webHidden/>
          </w:rPr>
        </w:r>
        <w:r>
          <w:rPr>
            <w:webHidden/>
          </w:rPr>
          <w:fldChar w:fldCharType="separate"/>
        </w:r>
        <w:r w:rsidR="00AA17AB">
          <w:rPr>
            <w:webHidden/>
          </w:rPr>
          <w:t>23</w:t>
        </w:r>
        <w:r>
          <w:rPr>
            <w:webHidden/>
          </w:rPr>
          <w:fldChar w:fldCharType="end"/>
        </w:r>
      </w:hyperlink>
    </w:p>
    <w:p w14:paraId="217937AE" w14:textId="03BCAA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8" w:history="1">
        <w:r w:rsidRPr="00FC437C">
          <w:rPr>
            <w:rStyle w:val="Hyperlink"/>
          </w:rPr>
          <w:t>§311.</w:t>
        </w:r>
        <w:r>
          <w:rPr>
            <w:rFonts w:asciiTheme="minorHAnsi" w:eastAsiaTheme="minorEastAsia" w:hAnsiTheme="minorHAnsi" w:cstheme="minorBidi"/>
            <w:color w:val="auto"/>
            <w:kern w:val="2"/>
            <w:szCs w:val="24"/>
            <w14:ligatures w14:val="standardContextual"/>
          </w:rPr>
          <w:tab/>
        </w:r>
        <w:r w:rsidRPr="00FC437C">
          <w:rPr>
            <w:rStyle w:val="Hyperlink"/>
          </w:rPr>
          <w:t>Disbursement of Funds</w:t>
        </w:r>
        <w:r>
          <w:rPr>
            <w:webHidden/>
          </w:rPr>
          <w:tab/>
        </w:r>
        <w:r>
          <w:rPr>
            <w:webHidden/>
          </w:rPr>
          <w:fldChar w:fldCharType="begin"/>
        </w:r>
        <w:r>
          <w:rPr>
            <w:webHidden/>
          </w:rPr>
          <w:instrText xml:space="preserve"> PAGEREF _Toc224818508 \h </w:instrText>
        </w:r>
        <w:r>
          <w:rPr>
            <w:webHidden/>
          </w:rPr>
        </w:r>
        <w:r>
          <w:rPr>
            <w:webHidden/>
          </w:rPr>
          <w:fldChar w:fldCharType="separate"/>
        </w:r>
        <w:r w:rsidR="00AA17AB">
          <w:rPr>
            <w:webHidden/>
          </w:rPr>
          <w:t>23</w:t>
        </w:r>
        <w:r>
          <w:rPr>
            <w:webHidden/>
          </w:rPr>
          <w:fldChar w:fldCharType="end"/>
        </w:r>
      </w:hyperlink>
    </w:p>
    <w:p w14:paraId="4259CF2D" w14:textId="291A2E1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09" w:history="1">
        <w:r w:rsidRPr="00FC437C">
          <w:rPr>
            <w:rStyle w:val="Hyperlink"/>
          </w:rPr>
          <w:t>§313.</w:t>
        </w:r>
        <w:r>
          <w:rPr>
            <w:rFonts w:asciiTheme="minorHAnsi" w:eastAsiaTheme="minorEastAsia" w:hAnsiTheme="minorHAnsi" w:cstheme="minorBidi"/>
            <w:color w:val="auto"/>
            <w:kern w:val="2"/>
            <w:szCs w:val="24"/>
            <w14:ligatures w14:val="standardContextual"/>
          </w:rPr>
          <w:tab/>
        </w:r>
        <w:r w:rsidRPr="00FC437C">
          <w:rPr>
            <w:rStyle w:val="Hyperlink"/>
          </w:rPr>
          <w:t>Use of Loan and Grant Proceeds</w:t>
        </w:r>
        <w:r>
          <w:rPr>
            <w:webHidden/>
          </w:rPr>
          <w:tab/>
        </w:r>
        <w:r>
          <w:rPr>
            <w:webHidden/>
          </w:rPr>
          <w:fldChar w:fldCharType="begin"/>
        </w:r>
        <w:r>
          <w:rPr>
            <w:webHidden/>
          </w:rPr>
          <w:instrText xml:space="preserve"> PAGEREF _Toc224818509 \h </w:instrText>
        </w:r>
        <w:r>
          <w:rPr>
            <w:webHidden/>
          </w:rPr>
        </w:r>
        <w:r>
          <w:rPr>
            <w:webHidden/>
          </w:rPr>
          <w:fldChar w:fldCharType="separate"/>
        </w:r>
        <w:r w:rsidR="00AA17AB">
          <w:rPr>
            <w:webHidden/>
          </w:rPr>
          <w:t>23</w:t>
        </w:r>
        <w:r>
          <w:rPr>
            <w:webHidden/>
          </w:rPr>
          <w:fldChar w:fldCharType="end"/>
        </w:r>
      </w:hyperlink>
    </w:p>
    <w:p w14:paraId="0A6DB756" w14:textId="7212576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0" w:history="1">
        <w:r w:rsidRPr="00FC437C">
          <w:rPr>
            <w:rStyle w:val="Hyperlink"/>
          </w:rPr>
          <w:t>§315.</w:t>
        </w:r>
        <w:r>
          <w:rPr>
            <w:rFonts w:asciiTheme="minorHAnsi" w:eastAsiaTheme="minorEastAsia" w:hAnsiTheme="minorHAnsi" w:cstheme="minorBidi"/>
            <w:color w:val="auto"/>
            <w:kern w:val="2"/>
            <w:szCs w:val="24"/>
            <w14:ligatures w14:val="standardContextual"/>
          </w:rPr>
          <w:tab/>
        </w:r>
        <w:r w:rsidRPr="00FC437C">
          <w:rPr>
            <w:rStyle w:val="Hyperlink"/>
          </w:rPr>
          <w:t>Delinquencies and Defaults</w:t>
        </w:r>
        <w:r>
          <w:rPr>
            <w:webHidden/>
          </w:rPr>
          <w:tab/>
        </w:r>
        <w:r>
          <w:rPr>
            <w:webHidden/>
          </w:rPr>
          <w:fldChar w:fldCharType="begin"/>
        </w:r>
        <w:r>
          <w:rPr>
            <w:webHidden/>
          </w:rPr>
          <w:instrText xml:space="preserve"> PAGEREF _Toc224818510 \h </w:instrText>
        </w:r>
        <w:r>
          <w:rPr>
            <w:webHidden/>
          </w:rPr>
        </w:r>
        <w:r>
          <w:rPr>
            <w:webHidden/>
          </w:rPr>
          <w:fldChar w:fldCharType="separate"/>
        </w:r>
        <w:r w:rsidR="00AA17AB">
          <w:rPr>
            <w:webHidden/>
          </w:rPr>
          <w:t>23</w:t>
        </w:r>
        <w:r>
          <w:rPr>
            <w:webHidden/>
          </w:rPr>
          <w:fldChar w:fldCharType="end"/>
        </w:r>
      </w:hyperlink>
    </w:p>
    <w:p w14:paraId="2E1F0462" w14:textId="3BFCC41D" w:rsidR="00E67799" w:rsidRDefault="00E67799">
      <w:pPr>
        <w:pStyle w:val="TOC2"/>
        <w:rPr>
          <w:rFonts w:asciiTheme="minorHAnsi" w:eastAsiaTheme="minorEastAsia" w:hAnsiTheme="minorHAnsi" w:cstheme="minorBidi"/>
          <w:kern w:val="2"/>
          <w:szCs w:val="24"/>
          <w14:ligatures w14:val="standardContextual"/>
        </w:rPr>
      </w:pPr>
      <w:hyperlink w:anchor="_Toc224818511"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2016 Louisiana Farm Recovery Grant Program</w:t>
        </w:r>
        <w:r>
          <w:rPr>
            <w:webHidden/>
          </w:rPr>
          <w:tab/>
        </w:r>
        <w:r>
          <w:rPr>
            <w:webHidden/>
          </w:rPr>
          <w:fldChar w:fldCharType="begin"/>
        </w:r>
        <w:r>
          <w:rPr>
            <w:webHidden/>
          </w:rPr>
          <w:instrText xml:space="preserve"> PAGEREF _Toc224818511 \h </w:instrText>
        </w:r>
        <w:r>
          <w:rPr>
            <w:webHidden/>
          </w:rPr>
        </w:r>
        <w:r>
          <w:rPr>
            <w:webHidden/>
          </w:rPr>
          <w:fldChar w:fldCharType="separate"/>
        </w:r>
        <w:r w:rsidR="00AA17AB">
          <w:rPr>
            <w:webHidden/>
          </w:rPr>
          <w:t>24</w:t>
        </w:r>
        <w:r>
          <w:rPr>
            <w:webHidden/>
          </w:rPr>
          <w:fldChar w:fldCharType="end"/>
        </w:r>
      </w:hyperlink>
    </w:p>
    <w:p w14:paraId="76F7E888" w14:textId="701B609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2"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2016 Louisiana Farm Recovery Grant Program; Establishment; Purpose; Limitations</w:t>
        </w:r>
        <w:r>
          <w:rPr>
            <w:webHidden/>
          </w:rPr>
          <w:tab/>
        </w:r>
        <w:r>
          <w:rPr>
            <w:webHidden/>
          </w:rPr>
          <w:fldChar w:fldCharType="begin"/>
        </w:r>
        <w:r>
          <w:rPr>
            <w:webHidden/>
          </w:rPr>
          <w:instrText xml:space="preserve"> PAGEREF _Toc224818512 \h </w:instrText>
        </w:r>
        <w:r>
          <w:rPr>
            <w:webHidden/>
          </w:rPr>
        </w:r>
        <w:r>
          <w:rPr>
            <w:webHidden/>
          </w:rPr>
          <w:fldChar w:fldCharType="separate"/>
        </w:r>
        <w:r w:rsidR="00AA17AB">
          <w:rPr>
            <w:webHidden/>
          </w:rPr>
          <w:t>24</w:t>
        </w:r>
        <w:r>
          <w:rPr>
            <w:webHidden/>
          </w:rPr>
          <w:fldChar w:fldCharType="end"/>
        </w:r>
      </w:hyperlink>
    </w:p>
    <w:p w14:paraId="1FA0ADCF" w14:textId="2FB1CE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3"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_Toc224818513 \h </w:instrText>
        </w:r>
        <w:r>
          <w:rPr>
            <w:webHidden/>
          </w:rPr>
        </w:r>
        <w:r>
          <w:rPr>
            <w:webHidden/>
          </w:rPr>
          <w:fldChar w:fldCharType="separate"/>
        </w:r>
        <w:r w:rsidR="00AA17AB">
          <w:rPr>
            <w:webHidden/>
          </w:rPr>
          <w:t>24</w:t>
        </w:r>
        <w:r>
          <w:rPr>
            <w:webHidden/>
          </w:rPr>
          <w:fldChar w:fldCharType="end"/>
        </w:r>
      </w:hyperlink>
    </w:p>
    <w:p w14:paraId="7238902C" w14:textId="6905E19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4"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Application Procedure and Forms</w:t>
        </w:r>
        <w:r>
          <w:rPr>
            <w:webHidden/>
          </w:rPr>
          <w:tab/>
        </w:r>
        <w:r>
          <w:rPr>
            <w:webHidden/>
          </w:rPr>
          <w:fldChar w:fldCharType="begin"/>
        </w:r>
        <w:r>
          <w:rPr>
            <w:webHidden/>
          </w:rPr>
          <w:instrText xml:space="preserve"> PAGEREF _Toc224818514 \h </w:instrText>
        </w:r>
        <w:r>
          <w:rPr>
            <w:webHidden/>
          </w:rPr>
        </w:r>
        <w:r>
          <w:rPr>
            <w:webHidden/>
          </w:rPr>
          <w:fldChar w:fldCharType="separate"/>
        </w:r>
        <w:r w:rsidR="00AA17AB">
          <w:rPr>
            <w:webHidden/>
          </w:rPr>
          <w:t>24</w:t>
        </w:r>
        <w:r>
          <w:rPr>
            <w:webHidden/>
          </w:rPr>
          <w:fldChar w:fldCharType="end"/>
        </w:r>
      </w:hyperlink>
    </w:p>
    <w:p w14:paraId="7EFFEE1A" w14:textId="492E6F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5"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Disbursement of Funds</w:t>
        </w:r>
        <w:r>
          <w:rPr>
            <w:webHidden/>
          </w:rPr>
          <w:tab/>
        </w:r>
        <w:r>
          <w:rPr>
            <w:webHidden/>
          </w:rPr>
          <w:fldChar w:fldCharType="begin"/>
        </w:r>
        <w:r>
          <w:rPr>
            <w:webHidden/>
          </w:rPr>
          <w:instrText xml:space="preserve"> PAGEREF _Toc224818515 \h </w:instrText>
        </w:r>
        <w:r>
          <w:rPr>
            <w:webHidden/>
          </w:rPr>
        </w:r>
        <w:r>
          <w:rPr>
            <w:webHidden/>
          </w:rPr>
          <w:fldChar w:fldCharType="separate"/>
        </w:r>
        <w:r w:rsidR="00AA17AB">
          <w:rPr>
            <w:webHidden/>
          </w:rPr>
          <w:t>25</w:t>
        </w:r>
        <w:r>
          <w:rPr>
            <w:webHidden/>
          </w:rPr>
          <w:fldChar w:fldCharType="end"/>
        </w:r>
      </w:hyperlink>
    </w:p>
    <w:p w14:paraId="3B5E610B" w14:textId="364AB9C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6"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Use of Grant Proceeds</w:t>
        </w:r>
        <w:r>
          <w:rPr>
            <w:webHidden/>
          </w:rPr>
          <w:tab/>
        </w:r>
        <w:r>
          <w:rPr>
            <w:webHidden/>
          </w:rPr>
          <w:fldChar w:fldCharType="begin"/>
        </w:r>
        <w:r>
          <w:rPr>
            <w:webHidden/>
          </w:rPr>
          <w:instrText xml:space="preserve"> PAGEREF _Toc224818516 \h </w:instrText>
        </w:r>
        <w:r>
          <w:rPr>
            <w:webHidden/>
          </w:rPr>
        </w:r>
        <w:r>
          <w:rPr>
            <w:webHidden/>
          </w:rPr>
          <w:fldChar w:fldCharType="separate"/>
        </w:r>
        <w:r w:rsidR="00AA17AB">
          <w:rPr>
            <w:webHidden/>
          </w:rPr>
          <w:t>25</w:t>
        </w:r>
        <w:r>
          <w:rPr>
            <w:webHidden/>
          </w:rPr>
          <w:fldChar w:fldCharType="end"/>
        </w:r>
      </w:hyperlink>
    </w:p>
    <w:p w14:paraId="2EBDB7BE" w14:textId="071CF543" w:rsidR="00E67799" w:rsidRDefault="00E67799">
      <w:pPr>
        <w:pStyle w:val="TOC2"/>
        <w:rPr>
          <w:rFonts w:asciiTheme="minorHAnsi" w:eastAsiaTheme="minorEastAsia" w:hAnsiTheme="minorHAnsi" w:cstheme="minorBidi"/>
          <w:kern w:val="2"/>
          <w:szCs w:val="24"/>
          <w14:ligatures w14:val="standardContextual"/>
        </w:rPr>
      </w:pPr>
      <w:hyperlink w:anchor="_Toc224818517"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Louisiana Agricultural Workforce Development Program</w:t>
        </w:r>
        <w:r>
          <w:rPr>
            <w:webHidden/>
          </w:rPr>
          <w:tab/>
        </w:r>
        <w:r>
          <w:rPr>
            <w:webHidden/>
          </w:rPr>
          <w:fldChar w:fldCharType="begin"/>
        </w:r>
        <w:r>
          <w:rPr>
            <w:webHidden/>
          </w:rPr>
          <w:instrText xml:space="preserve"> PAGEREF _Toc224818517 \h </w:instrText>
        </w:r>
        <w:r>
          <w:rPr>
            <w:webHidden/>
          </w:rPr>
        </w:r>
        <w:r>
          <w:rPr>
            <w:webHidden/>
          </w:rPr>
          <w:fldChar w:fldCharType="separate"/>
        </w:r>
        <w:r w:rsidR="00AA17AB">
          <w:rPr>
            <w:webHidden/>
          </w:rPr>
          <w:t>25</w:t>
        </w:r>
        <w:r>
          <w:rPr>
            <w:webHidden/>
          </w:rPr>
          <w:fldChar w:fldCharType="end"/>
        </w:r>
      </w:hyperlink>
    </w:p>
    <w:p w14:paraId="3F3EB835" w14:textId="144DE74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8"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Purpose</w:t>
        </w:r>
        <w:r>
          <w:rPr>
            <w:webHidden/>
          </w:rPr>
          <w:tab/>
        </w:r>
        <w:r>
          <w:rPr>
            <w:webHidden/>
          </w:rPr>
          <w:fldChar w:fldCharType="begin"/>
        </w:r>
        <w:r>
          <w:rPr>
            <w:webHidden/>
          </w:rPr>
          <w:instrText xml:space="preserve"> PAGEREF _Toc224818518 \h </w:instrText>
        </w:r>
        <w:r>
          <w:rPr>
            <w:webHidden/>
          </w:rPr>
        </w:r>
        <w:r>
          <w:rPr>
            <w:webHidden/>
          </w:rPr>
          <w:fldChar w:fldCharType="separate"/>
        </w:r>
        <w:r w:rsidR="00AA17AB">
          <w:rPr>
            <w:webHidden/>
          </w:rPr>
          <w:t>25</w:t>
        </w:r>
        <w:r>
          <w:rPr>
            <w:webHidden/>
          </w:rPr>
          <w:fldChar w:fldCharType="end"/>
        </w:r>
      </w:hyperlink>
    </w:p>
    <w:p w14:paraId="642DAE55" w14:textId="31C1E15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19" w:history="1">
        <w:r w:rsidRPr="00FC437C">
          <w:rPr>
            <w:rStyle w:val="Hyperlink"/>
          </w:rPr>
          <w:t>§703.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_Toc224818519 \h </w:instrText>
        </w:r>
        <w:r>
          <w:rPr>
            <w:webHidden/>
          </w:rPr>
        </w:r>
        <w:r>
          <w:rPr>
            <w:webHidden/>
          </w:rPr>
          <w:fldChar w:fldCharType="separate"/>
        </w:r>
        <w:r w:rsidR="00AA17AB">
          <w:rPr>
            <w:webHidden/>
          </w:rPr>
          <w:t>26</w:t>
        </w:r>
        <w:r>
          <w:rPr>
            <w:webHidden/>
          </w:rPr>
          <w:fldChar w:fldCharType="end"/>
        </w:r>
      </w:hyperlink>
    </w:p>
    <w:p w14:paraId="4785CDFE" w14:textId="52F1CCC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0" w:history="1">
        <w:r w:rsidRPr="00FC437C">
          <w:rPr>
            <w:rStyle w:val="Hyperlink"/>
          </w:rPr>
          <w:t>§705.</w:t>
        </w:r>
        <w:r>
          <w:rPr>
            <w:rFonts w:asciiTheme="minorHAnsi" w:eastAsiaTheme="minorEastAsia" w:hAnsiTheme="minorHAnsi" w:cstheme="minorBidi"/>
            <w:color w:val="auto"/>
            <w:kern w:val="2"/>
            <w:szCs w:val="24"/>
            <w14:ligatures w14:val="standardContextual"/>
          </w:rPr>
          <w:tab/>
        </w:r>
        <w:r w:rsidRPr="00FC437C">
          <w:rPr>
            <w:rStyle w:val="Hyperlink"/>
          </w:rPr>
          <w:t>Eligibility Requirements of Applicants</w:t>
        </w:r>
        <w:r>
          <w:rPr>
            <w:webHidden/>
          </w:rPr>
          <w:tab/>
        </w:r>
        <w:r>
          <w:rPr>
            <w:webHidden/>
          </w:rPr>
          <w:fldChar w:fldCharType="begin"/>
        </w:r>
        <w:r>
          <w:rPr>
            <w:webHidden/>
          </w:rPr>
          <w:instrText xml:space="preserve"> PAGEREF _Toc224818520 \h </w:instrText>
        </w:r>
        <w:r>
          <w:rPr>
            <w:webHidden/>
          </w:rPr>
        </w:r>
        <w:r>
          <w:rPr>
            <w:webHidden/>
          </w:rPr>
          <w:fldChar w:fldCharType="separate"/>
        </w:r>
        <w:r w:rsidR="00AA17AB">
          <w:rPr>
            <w:webHidden/>
          </w:rPr>
          <w:t>26</w:t>
        </w:r>
        <w:r>
          <w:rPr>
            <w:webHidden/>
          </w:rPr>
          <w:fldChar w:fldCharType="end"/>
        </w:r>
      </w:hyperlink>
    </w:p>
    <w:p w14:paraId="733C5E50" w14:textId="54E97C2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1" w:history="1">
        <w:r w:rsidRPr="00FC437C">
          <w:rPr>
            <w:rStyle w:val="Hyperlink"/>
          </w:rPr>
          <w:t>§707.</w:t>
        </w:r>
        <w:r>
          <w:rPr>
            <w:rFonts w:asciiTheme="minorHAnsi" w:eastAsiaTheme="minorEastAsia" w:hAnsiTheme="minorHAnsi" w:cstheme="minorBidi"/>
            <w:color w:val="auto"/>
            <w:kern w:val="2"/>
            <w:szCs w:val="24"/>
            <w14:ligatures w14:val="standardContextual"/>
          </w:rPr>
          <w:tab/>
        </w:r>
        <w:r w:rsidRPr="00FC437C">
          <w:rPr>
            <w:rStyle w:val="Hyperlink"/>
          </w:rPr>
          <w:t>Internship Requirements</w:t>
        </w:r>
        <w:r>
          <w:rPr>
            <w:webHidden/>
          </w:rPr>
          <w:tab/>
        </w:r>
        <w:r>
          <w:rPr>
            <w:webHidden/>
          </w:rPr>
          <w:fldChar w:fldCharType="begin"/>
        </w:r>
        <w:r>
          <w:rPr>
            <w:webHidden/>
          </w:rPr>
          <w:instrText xml:space="preserve"> PAGEREF _Toc224818521 \h </w:instrText>
        </w:r>
        <w:r>
          <w:rPr>
            <w:webHidden/>
          </w:rPr>
        </w:r>
        <w:r>
          <w:rPr>
            <w:webHidden/>
          </w:rPr>
          <w:fldChar w:fldCharType="separate"/>
        </w:r>
        <w:r w:rsidR="00AA17AB">
          <w:rPr>
            <w:webHidden/>
          </w:rPr>
          <w:t>26</w:t>
        </w:r>
        <w:r>
          <w:rPr>
            <w:webHidden/>
          </w:rPr>
          <w:fldChar w:fldCharType="end"/>
        </w:r>
      </w:hyperlink>
    </w:p>
    <w:p w14:paraId="6DFB297B" w14:textId="5B8BF94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2" w:history="1">
        <w:r w:rsidRPr="00FC437C">
          <w:rPr>
            <w:rStyle w:val="Hyperlink"/>
          </w:rPr>
          <w:t>§709.</w:t>
        </w:r>
        <w:r>
          <w:rPr>
            <w:rFonts w:asciiTheme="minorHAnsi" w:eastAsiaTheme="minorEastAsia" w:hAnsiTheme="minorHAnsi" w:cstheme="minorBidi"/>
            <w:color w:val="auto"/>
            <w:kern w:val="2"/>
            <w:szCs w:val="24"/>
            <w14:ligatures w14:val="standardContextual"/>
          </w:rPr>
          <w:tab/>
        </w:r>
        <w:r w:rsidRPr="00FC437C">
          <w:rPr>
            <w:rStyle w:val="Hyperlink"/>
          </w:rPr>
          <w:t>Application Process</w:t>
        </w:r>
        <w:r>
          <w:rPr>
            <w:webHidden/>
          </w:rPr>
          <w:tab/>
        </w:r>
        <w:r>
          <w:rPr>
            <w:webHidden/>
          </w:rPr>
          <w:fldChar w:fldCharType="begin"/>
        </w:r>
        <w:r>
          <w:rPr>
            <w:webHidden/>
          </w:rPr>
          <w:instrText xml:space="preserve"> PAGEREF _Toc224818522 \h </w:instrText>
        </w:r>
        <w:r>
          <w:rPr>
            <w:webHidden/>
          </w:rPr>
        </w:r>
        <w:r>
          <w:rPr>
            <w:webHidden/>
          </w:rPr>
          <w:fldChar w:fldCharType="separate"/>
        </w:r>
        <w:r w:rsidR="00AA17AB">
          <w:rPr>
            <w:webHidden/>
          </w:rPr>
          <w:t>27</w:t>
        </w:r>
        <w:r>
          <w:rPr>
            <w:webHidden/>
          </w:rPr>
          <w:fldChar w:fldCharType="end"/>
        </w:r>
      </w:hyperlink>
    </w:p>
    <w:p w14:paraId="57734ECA" w14:textId="77B612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3"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Reimbursement</w:t>
        </w:r>
        <w:r>
          <w:rPr>
            <w:webHidden/>
          </w:rPr>
          <w:tab/>
        </w:r>
        <w:r>
          <w:rPr>
            <w:webHidden/>
          </w:rPr>
          <w:fldChar w:fldCharType="begin"/>
        </w:r>
        <w:r>
          <w:rPr>
            <w:webHidden/>
          </w:rPr>
          <w:instrText xml:space="preserve"> PAGEREF _Toc224818523 \h </w:instrText>
        </w:r>
        <w:r>
          <w:rPr>
            <w:webHidden/>
          </w:rPr>
        </w:r>
        <w:r>
          <w:rPr>
            <w:webHidden/>
          </w:rPr>
          <w:fldChar w:fldCharType="separate"/>
        </w:r>
        <w:r w:rsidR="00AA17AB">
          <w:rPr>
            <w:webHidden/>
          </w:rPr>
          <w:t>27</w:t>
        </w:r>
        <w:r>
          <w:rPr>
            <w:webHidden/>
          </w:rPr>
          <w:fldChar w:fldCharType="end"/>
        </w:r>
      </w:hyperlink>
    </w:p>
    <w:p w14:paraId="7DA28601" w14:textId="398478D7" w:rsidR="00E67799" w:rsidRDefault="00E67799">
      <w:pPr>
        <w:pStyle w:val="TOC2"/>
        <w:rPr>
          <w:rFonts w:asciiTheme="minorHAnsi" w:eastAsiaTheme="minorEastAsia" w:hAnsiTheme="minorHAnsi" w:cstheme="minorBidi"/>
          <w:kern w:val="2"/>
          <w:szCs w:val="24"/>
          <w14:ligatures w14:val="standardContextual"/>
        </w:rPr>
      </w:pPr>
      <w:hyperlink w:anchor="_Toc224818524"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Healthy Foods Retail Program</w:t>
        </w:r>
        <w:r>
          <w:rPr>
            <w:webHidden/>
          </w:rPr>
          <w:tab/>
        </w:r>
        <w:r>
          <w:rPr>
            <w:webHidden/>
          </w:rPr>
          <w:fldChar w:fldCharType="begin"/>
        </w:r>
        <w:r>
          <w:rPr>
            <w:webHidden/>
          </w:rPr>
          <w:instrText xml:space="preserve"> PAGEREF _Toc224818524 \h </w:instrText>
        </w:r>
        <w:r>
          <w:rPr>
            <w:webHidden/>
          </w:rPr>
        </w:r>
        <w:r>
          <w:rPr>
            <w:webHidden/>
          </w:rPr>
          <w:fldChar w:fldCharType="separate"/>
        </w:r>
        <w:r w:rsidR="00AA17AB">
          <w:rPr>
            <w:webHidden/>
          </w:rPr>
          <w:t>27</w:t>
        </w:r>
        <w:r>
          <w:rPr>
            <w:webHidden/>
          </w:rPr>
          <w:fldChar w:fldCharType="end"/>
        </w:r>
      </w:hyperlink>
    </w:p>
    <w:p w14:paraId="5EFBC069" w14:textId="2976D1A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5"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_Toc224818525 \h </w:instrText>
        </w:r>
        <w:r>
          <w:rPr>
            <w:webHidden/>
          </w:rPr>
        </w:r>
        <w:r>
          <w:rPr>
            <w:webHidden/>
          </w:rPr>
          <w:fldChar w:fldCharType="separate"/>
        </w:r>
        <w:r w:rsidR="00AA17AB">
          <w:rPr>
            <w:webHidden/>
          </w:rPr>
          <w:t>27</w:t>
        </w:r>
        <w:r>
          <w:rPr>
            <w:webHidden/>
          </w:rPr>
          <w:fldChar w:fldCharType="end"/>
        </w:r>
      </w:hyperlink>
    </w:p>
    <w:p w14:paraId="7B115348" w14:textId="5B893B5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6" w:history="1">
        <w:r w:rsidRPr="00FC437C">
          <w:rPr>
            <w:rStyle w:val="Hyperlink"/>
          </w:rPr>
          <w:t>§903.</w:t>
        </w:r>
        <w:r>
          <w:rPr>
            <w:rFonts w:asciiTheme="minorHAnsi" w:eastAsiaTheme="minorEastAsia" w:hAnsiTheme="minorHAnsi" w:cstheme="minorBidi"/>
            <w:color w:val="auto"/>
            <w:kern w:val="2"/>
            <w:szCs w:val="24"/>
            <w14:ligatures w14:val="standardContextual"/>
          </w:rPr>
          <w:tab/>
        </w:r>
        <w:r w:rsidRPr="00FC437C">
          <w:rPr>
            <w:rStyle w:val="Hyperlink"/>
          </w:rPr>
          <w:t>Available Funding</w:t>
        </w:r>
        <w:r>
          <w:rPr>
            <w:webHidden/>
          </w:rPr>
          <w:tab/>
        </w:r>
        <w:r>
          <w:rPr>
            <w:webHidden/>
          </w:rPr>
          <w:fldChar w:fldCharType="begin"/>
        </w:r>
        <w:r>
          <w:rPr>
            <w:webHidden/>
          </w:rPr>
          <w:instrText xml:space="preserve"> PAGEREF _Toc224818526 \h </w:instrText>
        </w:r>
        <w:r>
          <w:rPr>
            <w:webHidden/>
          </w:rPr>
        </w:r>
        <w:r>
          <w:rPr>
            <w:webHidden/>
          </w:rPr>
          <w:fldChar w:fldCharType="separate"/>
        </w:r>
        <w:r w:rsidR="00AA17AB">
          <w:rPr>
            <w:webHidden/>
          </w:rPr>
          <w:t>28</w:t>
        </w:r>
        <w:r>
          <w:rPr>
            <w:webHidden/>
          </w:rPr>
          <w:fldChar w:fldCharType="end"/>
        </w:r>
      </w:hyperlink>
    </w:p>
    <w:p w14:paraId="62B4FADF" w14:textId="5EBF0A9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7" w:history="1">
        <w:r w:rsidRPr="00FC437C">
          <w:rPr>
            <w:rStyle w:val="Hyperlink"/>
          </w:rPr>
          <w:t>§905.</w:t>
        </w:r>
        <w:r>
          <w:rPr>
            <w:rFonts w:asciiTheme="minorHAnsi" w:eastAsiaTheme="minorEastAsia" w:hAnsiTheme="minorHAnsi" w:cstheme="minorBidi"/>
            <w:color w:val="auto"/>
            <w:kern w:val="2"/>
            <w:szCs w:val="24"/>
            <w14:ligatures w14:val="standardContextual"/>
          </w:rPr>
          <w:tab/>
        </w:r>
        <w:r w:rsidRPr="00FC437C">
          <w:rPr>
            <w:rStyle w:val="Hyperlink"/>
          </w:rPr>
          <w:t>Application Process</w:t>
        </w:r>
        <w:r>
          <w:rPr>
            <w:webHidden/>
          </w:rPr>
          <w:tab/>
        </w:r>
        <w:r>
          <w:rPr>
            <w:webHidden/>
          </w:rPr>
          <w:fldChar w:fldCharType="begin"/>
        </w:r>
        <w:r>
          <w:rPr>
            <w:webHidden/>
          </w:rPr>
          <w:instrText xml:space="preserve"> PAGEREF _Toc224818527 \h </w:instrText>
        </w:r>
        <w:r>
          <w:rPr>
            <w:webHidden/>
          </w:rPr>
        </w:r>
        <w:r>
          <w:rPr>
            <w:webHidden/>
          </w:rPr>
          <w:fldChar w:fldCharType="separate"/>
        </w:r>
        <w:r w:rsidR="00AA17AB">
          <w:rPr>
            <w:webHidden/>
          </w:rPr>
          <w:t>28</w:t>
        </w:r>
        <w:r>
          <w:rPr>
            <w:webHidden/>
          </w:rPr>
          <w:fldChar w:fldCharType="end"/>
        </w:r>
      </w:hyperlink>
    </w:p>
    <w:p w14:paraId="540937D1" w14:textId="1CF567F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8" w:history="1">
        <w:r w:rsidRPr="00FC437C">
          <w:rPr>
            <w:rStyle w:val="Hyperlink"/>
          </w:rPr>
          <w:t>§907.</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_Toc224818528 \h </w:instrText>
        </w:r>
        <w:r>
          <w:rPr>
            <w:webHidden/>
          </w:rPr>
        </w:r>
        <w:r>
          <w:rPr>
            <w:webHidden/>
          </w:rPr>
          <w:fldChar w:fldCharType="separate"/>
        </w:r>
        <w:r w:rsidR="00AA17AB">
          <w:rPr>
            <w:webHidden/>
          </w:rPr>
          <w:t>28</w:t>
        </w:r>
        <w:r>
          <w:rPr>
            <w:webHidden/>
          </w:rPr>
          <w:fldChar w:fldCharType="end"/>
        </w:r>
      </w:hyperlink>
    </w:p>
    <w:p w14:paraId="00AF41F8" w14:textId="12291CA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29" w:history="1">
        <w:r w:rsidRPr="00FC437C">
          <w:rPr>
            <w:rStyle w:val="Hyperlink"/>
          </w:rPr>
          <w:t>§909.</w:t>
        </w:r>
        <w:r>
          <w:rPr>
            <w:rFonts w:asciiTheme="minorHAnsi" w:eastAsiaTheme="minorEastAsia" w:hAnsiTheme="minorHAnsi" w:cstheme="minorBidi"/>
            <w:color w:val="auto"/>
            <w:kern w:val="2"/>
            <w:szCs w:val="24"/>
            <w14:ligatures w14:val="standardContextual"/>
          </w:rPr>
          <w:tab/>
        </w:r>
        <w:r w:rsidRPr="00FC437C">
          <w:rPr>
            <w:rStyle w:val="Hyperlink"/>
          </w:rPr>
          <w:t>Ineligibility of Applicants</w:t>
        </w:r>
        <w:r>
          <w:rPr>
            <w:webHidden/>
          </w:rPr>
          <w:tab/>
        </w:r>
        <w:r>
          <w:rPr>
            <w:webHidden/>
          </w:rPr>
          <w:fldChar w:fldCharType="begin"/>
        </w:r>
        <w:r>
          <w:rPr>
            <w:webHidden/>
          </w:rPr>
          <w:instrText xml:space="preserve"> PAGEREF _Toc224818529 \h </w:instrText>
        </w:r>
        <w:r>
          <w:rPr>
            <w:webHidden/>
          </w:rPr>
        </w:r>
        <w:r>
          <w:rPr>
            <w:webHidden/>
          </w:rPr>
          <w:fldChar w:fldCharType="separate"/>
        </w:r>
        <w:r w:rsidR="00AA17AB">
          <w:rPr>
            <w:webHidden/>
          </w:rPr>
          <w:t>29</w:t>
        </w:r>
        <w:r>
          <w:rPr>
            <w:webHidden/>
          </w:rPr>
          <w:fldChar w:fldCharType="end"/>
        </w:r>
      </w:hyperlink>
    </w:p>
    <w:p w14:paraId="5E826FEE" w14:textId="0999643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0" w:history="1">
        <w:r w:rsidRPr="00FC437C">
          <w:rPr>
            <w:rStyle w:val="Hyperlink"/>
          </w:rPr>
          <w:t>§911.</w:t>
        </w:r>
        <w:r>
          <w:rPr>
            <w:rFonts w:asciiTheme="minorHAnsi" w:eastAsiaTheme="minorEastAsia" w:hAnsiTheme="minorHAnsi" w:cstheme="minorBidi"/>
            <w:color w:val="auto"/>
            <w:kern w:val="2"/>
            <w:szCs w:val="24"/>
            <w14:ligatures w14:val="standardContextual"/>
          </w:rPr>
          <w:tab/>
        </w:r>
        <w:r w:rsidRPr="00FC437C">
          <w:rPr>
            <w:rStyle w:val="Hyperlink"/>
          </w:rPr>
          <w:t>Location of Applicant’s Business</w:t>
        </w:r>
        <w:r>
          <w:rPr>
            <w:webHidden/>
          </w:rPr>
          <w:tab/>
        </w:r>
        <w:r>
          <w:rPr>
            <w:webHidden/>
          </w:rPr>
          <w:fldChar w:fldCharType="begin"/>
        </w:r>
        <w:r>
          <w:rPr>
            <w:webHidden/>
          </w:rPr>
          <w:instrText xml:space="preserve"> PAGEREF _Toc224818530 \h </w:instrText>
        </w:r>
        <w:r>
          <w:rPr>
            <w:webHidden/>
          </w:rPr>
        </w:r>
        <w:r>
          <w:rPr>
            <w:webHidden/>
          </w:rPr>
          <w:fldChar w:fldCharType="separate"/>
        </w:r>
        <w:r w:rsidR="00AA17AB">
          <w:rPr>
            <w:webHidden/>
          </w:rPr>
          <w:t>29</w:t>
        </w:r>
        <w:r>
          <w:rPr>
            <w:webHidden/>
          </w:rPr>
          <w:fldChar w:fldCharType="end"/>
        </w:r>
      </w:hyperlink>
    </w:p>
    <w:p w14:paraId="4D0CD713" w14:textId="7D45C69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1" w:history="1">
        <w:r w:rsidRPr="00FC437C">
          <w:rPr>
            <w:rStyle w:val="Hyperlink"/>
          </w:rPr>
          <w:t>§913.</w:t>
        </w:r>
        <w:r>
          <w:rPr>
            <w:rFonts w:asciiTheme="minorHAnsi" w:eastAsiaTheme="minorEastAsia" w:hAnsiTheme="minorHAnsi" w:cstheme="minorBidi"/>
            <w:color w:val="auto"/>
            <w:kern w:val="2"/>
            <w:szCs w:val="24"/>
            <w14:ligatures w14:val="standardContextual"/>
          </w:rPr>
          <w:tab/>
        </w:r>
        <w:r w:rsidRPr="00FC437C">
          <w:rPr>
            <w:rStyle w:val="Hyperlink"/>
          </w:rPr>
          <w:t>Borrower Reporting Requirements; Record Keeping; Nonperformance</w:t>
        </w:r>
        <w:r>
          <w:rPr>
            <w:webHidden/>
          </w:rPr>
          <w:tab/>
        </w:r>
        <w:r>
          <w:rPr>
            <w:webHidden/>
          </w:rPr>
          <w:fldChar w:fldCharType="begin"/>
        </w:r>
        <w:r>
          <w:rPr>
            <w:webHidden/>
          </w:rPr>
          <w:instrText xml:space="preserve"> PAGEREF _Toc224818531 \h </w:instrText>
        </w:r>
        <w:r>
          <w:rPr>
            <w:webHidden/>
          </w:rPr>
        </w:r>
        <w:r>
          <w:rPr>
            <w:webHidden/>
          </w:rPr>
          <w:fldChar w:fldCharType="separate"/>
        </w:r>
        <w:r w:rsidR="00AA17AB">
          <w:rPr>
            <w:webHidden/>
          </w:rPr>
          <w:t>29</w:t>
        </w:r>
        <w:r>
          <w:rPr>
            <w:webHidden/>
          </w:rPr>
          <w:fldChar w:fldCharType="end"/>
        </w:r>
      </w:hyperlink>
    </w:p>
    <w:p w14:paraId="00A3E280" w14:textId="7BAC1ED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2" w:history="1">
        <w:r w:rsidRPr="00FC437C">
          <w:rPr>
            <w:rStyle w:val="Hyperlink"/>
          </w:rPr>
          <w:t>§915.</w:t>
        </w:r>
        <w:r>
          <w:rPr>
            <w:rFonts w:asciiTheme="minorHAnsi" w:eastAsiaTheme="minorEastAsia" w:hAnsiTheme="minorHAnsi" w:cstheme="minorBidi"/>
            <w:color w:val="auto"/>
            <w:kern w:val="2"/>
            <w:szCs w:val="24"/>
            <w14:ligatures w14:val="standardContextual"/>
          </w:rPr>
          <w:tab/>
        </w:r>
        <w:r w:rsidRPr="00FC437C">
          <w:rPr>
            <w:rStyle w:val="Hyperlink"/>
          </w:rPr>
          <w:t>Program Reporting</w:t>
        </w:r>
        <w:r>
          <w:rPr>
            <w:webHidden/>
          </w:rPr>
          <w:tab/>
        </w:r>
        <w:r>
          <w:rPr>
            <w:webHidden/>
          </w:rPr>
          <w:fldChar w:fldCharType="begin"/>
        </w:r>
        <w:r>
          <w:rPr>
            <w:webHidden/>
          </w:rPr>
          <w:instrText xml:space="preserve"> PAGEREF _Toc224818532 \h </w:instrText>
        </w:r>
        <w:r>
          <w:rPr>
            <w:webHidden/>
          </w:rPr>
        </w:r>
        <w:r>
          <w:rPr>
            <w:webHidden/>
          </w:rPr>
          <w:fldChar w:fldCharType="separate"/>
        </w:r>
        <w:r w:rsidR="00AA17AB">
          <w:rPr>
            <w:webHidden/>
          </w:rPr>
          <w:t>29</w:t>
        </w:r>
        <w:r>
          <w:rPr>
            <w:webHidden/>
          </w:rPr>
          <w:fldChar w:fldCharType="end"/>
        </w:r>
      </w:hyperlink>
    </w:p>
    <w:p w14:paraId="2A34FFE0" w14:textId="15307D92" w:rsidR="00E67799" w:rsidRDefault="00E67799">
      <w:pPr>
        <w:pStyle w:val="TOC1"/>
        <w:rPr>
          <w:rFonts w:asciiTheme="minorHAnsi" w:hAnsiTheme="minorHAnsi" w:cstheme="minorBidi"/>
          <w:b w:val="0"/>
          <w:bCs w:val="0"/>
          <w:sz w:val="24"/>
          <w:szCs w:val="24"/>
        </w:rPr>
      </w:pPr>
      <w:hyperlink w:anchor="_Toc224818533" w:history="1">
        <w:r w:rsidRPr="00FC437C">
          <w:rPr>
            <w:rStyle w:val="Hyperlink"/>
          </w:rPr>
          <w:t>Part V.  Advertising, Marketing and Processing</w:t>
        </w:r>
      </w:hyperlink>
    </w:p>
    <w:p w14:paraId="4E48F0C5" w14:textId="66D3C526" w:rsidR="00E67799" w:rsidRDefault="00E67799">
      <w:pPr>
        <w:pStyle w:val="TOC2"/>
        <w:rPr>
          <w:rFonts w:asciiTheme="minorHAnsi" w:eastAsiaTheme="minorEastAsia" w:hAnsiTheme="minorHAnsi" w:cstheme="minorBidi"/>
          <w:kern w:val="2"/>
          <w:szCs w:val="24"/>
          <w14:ligatures w14:val="standardContextual"/>
        </w:rPr>
      </w:pPr>
      <w:hyperlink w:anchor="_Toc224818534"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Market Commission―Loans and Loan Guarantees</w:t>
        </w:r>
        <w:r>
          <w:rPr>
            <w:webHidden/>
          </w:rPr>
          <w:tab/>
        </w:r>
        <w:r>
          <w:rPr>
            <w:webHidden/>
          </w:rPr>
          <w:fldChar w:fldCharType="begin"/>
        </w:r>
        <w:r>
          <w:rPr>
            <w:webHidden/>
          </w:rPr>
          <w:instrText xml:space="preserve"> PAGEREF _Toc224818534 \h </w:instrText>
        </w:r>
        <w:r>
          <w:rPr>
            <w:webHidden/>
          </w:rPr>
        </w:r>
        <w:r>
          <w:rPr>
            <w:webHidden/>
          </w:rPr>
          <w:fldChar w:fldCharType="separate"/>
        </w:r>
        <w:r w:rsidR="00AA17AB">
          <w:rPr>
            <w:webHidden/>
          </w:rPr>
          <w:t>31</w:t>
        </w:r>
        <w:r>
          <w:rPr>
            <w:webHidden/>
          </w:rPr>
          <w:fldChar w:fldCharType="end"/>
        </w:r>
      </w:hyperlink>
    </w:p>
    <w:p w14:paraId="5F4983FA" w14:textId="431AC204" w:rsidR="00E67799" w:rsidRDefault="00E67799">
      <w:pPr>
        <w:pStyle w:val="TOC2"/>
        <w:rPr>
          <w:rFonts w:asciiTheme="minorHAnsi" w:eastAsiaTheme="minorEastAsia" w:hAnsiTheme="minorHAnsi" w:cstheme="minorBidi"/>
          <w:kern w:val="2"/>
          <w:szCs w:val="24"/>
          <w14:ligatures w14:val="standardContextual"/>
        </w:rPr>
      </w:pPr>
      <w:hyperlink w:anchor="_Toc224818535"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 xml:space="preserve">Procedures for Authorization and Administration of Market Commission Loans and </w:t>
        </w:r>
        <w:r w:rsidR="00695EC1">
          <w:rPr>
            <w:rStyle w:val="Hyperlink"/>
          </w:rPr>
          <w:br/>
        </w:r>
        <w:r w:rsidRPr="00FC437C">
          <w:rPr>
            <w:rStyle w:val="Hyperlink"/>
          </w:rPr>
          <w:t>Loan Guarantees</w:t>
        </w:r>
        <w:r>
          <w:rPr>
            <w:webHidden/>
          </w:rPr>
          <w:tab/>
        </w:r>
        <w:r>
          <w:rPr>
            <w:webHidden/>
          </w:rPr>
          <w:fldChar w:fldCharType="begin"/>
        </w:r>
        <w:r>
          <w:rPr>
            <w:webHidden/>
          </w:rPr>
          <w:instrText xml:space="preserve"> PAGEREF _Toc224818535 \h </w:instrText>
        </w:r>
        <w:r>
          <w:rPr>
            <w:webHidden/>
          </w:rPr>
        </w:r>
        <w:r>
          <w:rPr>
            <w:webHidden/>
          </w:rPr>
          <w:fldChar w:fldCharType="separate"/>
        </w:r>
        <w:r w:rsidR="00AA17AB">
          <w:rPr>
            <w:webHidden/>
          </w:rPr>
          <w:t>31</w:t>
        </w:r>
        <w:r>
          <w:rPr>
            <w:webHidden/>
          </w:rPr>
          <w:fldChar w:fldCharType="end"/>
        </w:r>
      </w:hyperlink>
    </w:p>
    <w:p w14:paraId="2258FE37" w14:textId="1D9104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6"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Eligibility</w:t>
        </w:r>
        <w:r>
          <w:rPr>
            <w:webHidden/>
          </w:rPr>
          <w:tab/>
        </w:r>
        <w:r>
          <w:rPr>
            <w:webHidden/>
          </w:rPr>
          <w:fldChar w:fldCharType="begin"/>
        </w:r>
        <w:r>
          <w:rPr>
            <w:webHidden/>
          </w:rPr>
          <w:instrText xml:space="preserve"> PAGEREF _Toc224818536 \h </w:instrText>
        </w:r>
        <w:r>
          <w:rPr>
            <w:webHidden/>
          </w:rPr>
        </w:r>
        <w:r>
          <w:rPr>
            <w:webHidden/>
          </w:rPr>
          <w:fldChar w:fldCharType="separate"/>
        </w:r>
        <w:r w:rsidR="00AA17AB">
          <w:rPr>
            <w:webHidden/>
          </w:rPr>
          <w:t>31</w:t>
        </w:r>
        <w:r>
          <w:rPr>
            <w:webHidden/>
          </w:rPr>
          <w:fldChar w:fldCharType="end"/>
        </w:r>
      </w:hyperlink>
    </w:p>
    <w:p w14:paraId="4B1D4924" w14:textId="09B12B0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7"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Time for Filing Applications</w:t>
        </w:r>
        <w:r>
          <w:rPr>
            <w:webHidden/>
          </w:rPr>
          <w:tab/>
        </w:r>
        <w:r>
          <w:rPr>
            <w:webHidden/>
          </w:rPr>
          <w:fldChar w:fldCharType="begin"/>
        </w:r>
        <w:r>
          <w:rPr>
            <w:webHidden/>
          </w:rPr>
          <w:instrText xml:space="preserve"> PAGEREF _Toc224818537 \h </w:instrText>
        </w:r>
        <w:r>
          <w:rPr>
            <w:webHidden/>
          </w:rPr>
        </w:r>
        <w:r>
          <w:rPr>
            <w:webHidden/>
          </w:rPr>
          <w:fldChar w:fldCharType="separate"/>
        </w:r>
        <w:r w:rsidR="00AA17AB">
          <w:rPr>
            <w:webHidden/>
          </w:rPr>
          <w:t>31</w:t>
        </w:r>
        <w:r>
          <w:rPr>
            <w:webHidden/>
          </w:rPr>
          <w:fldChar w:fldCharType="end"/>
        </w:r>
      </w:hyperlink>
    </w:p>
    <w:p w14:paraId="3D8BB6A8" w14:textId="5BFA904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8"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Contents of Application</w:t>
        </w:r>
        <w:r>
          <w:rPr>
            <w:webHidden/>
          </w:rPr>
          <w:tab/>
        </w:r>
        <w:r>
          <w:rPr>
            <w:webHidden/>
          </w:rPr>
          <w:fldChar w:fldCharType="begin"/>
        </w:r>
        <w:r>
          <w:rPr>
            <w:webHidden/>
          </w:rPr>
          <w:instrText xml:space="preserve"> PAGEREF _Toc224818538 \h </w:instrText>
        </w:r>
        <w:r>
          <w:rPr>
            <w:webHidden/>
          </w:rPr>
        </w:r>
        <w:r>
          <w:rPr>
            <w:webHidden/>
          </w:rPr>
          <w:fldChar w:fldCharType="separate"/>
        </w:r>
        <w:r w:rsidR="00AA17AB">
          <w:rPr>
            <w:webHidden/>
          </w:rPr>
          <w:t>31</w:t>
        </w:r>
        <w:r>
          <w:rPr>
            <w:webHidden/>
          </w:rPr>
          <w:fldChar w:fldCharType="end"/>
        </w:r>
      </w:hyperlink>
    </w:p>
    <w:p w14:paraId="33EB16EF" w14:textId="3790EF8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39"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Appraisal</w:t>
        </w:r>
        <w:r>
          <w:rPr>
            <w:webHidden/>
          </w:rPr>
          <w:tab/>
        </w:r>
        <w:r>
          <w:rPr>
            <w:webHidden/>
          </w:rPr>
          <w:fldChar w:fldCharType="begin"/>
        </w:r>
        <w:r>
          <w:rPr>
            <w:webHidden/>
          </w:rPr>
          <w:instrText xml:space="preserve"> PAGEREF _Toc224818539 \h </w:instrText>
        </w:r>
        <w:r>
          <w:rPr>
            <w:webHidden/>
          </w:rPr>
        </w:r>
        <w:r>
          <w:rPr>
            <w:webHidden/>
          </w:rPr>
          <w:fldChar w:fldCharType="separate"/>
        </w:r>
        <w:r w:rsidR="00AA17AB">
          <w:rPr>
            <w:webHidden/>
          </w:rPr>
          <w:t>32</w:t>
        </w:r>
        <w:r>
          <w:rPr>
            <w:webHidden/>
          </w:rPr>
          <w:fldChar w:fldCharType="end"/>
        </w:r>
      </w:hyperlink>
    </w:p>
    <w:p w14:paraId="5CDBA8BD" w14:textId="67435F1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0"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Approval of Application for Market Commission Loan</w:t>
        </w:r>
        <w:r>
          <w:rPr>
            <w:webHidden/>
          </w:rPr>
          <w:tab/>
        </w:r>
        <w:r>
          <w:rPr>
            <w:webHidden/>
          </w:rPr>
          <w:fldChar w:fldCharType="begin"/>
        </w:r>
        <w:r>
          <w:rPr>
            <w:webHidden/>
          </w:rPr>
          <w:instrText xml:space="preserve"> PAGEREF _Toc224818540 \h </w:instrText>
        </w:r>
        <w:r>
          <w:rPr>
            <w:webHidden/>
          </w:rPr>
        </w:r>
        <w:r>
          <w:rPr>
            <w:webHidden/>
          </w:rPr>
          <w:fldChar w:fldCharType="separate"/>
        </w:r>
        <w:r w:rsidR="00AA17AB">
          <w:rPr>
            <w:webHidden/>
          </w:rPr>
          <w:t>33</w:t>
        </w:r>
        <w:r>
          <w:rPr>
            <w:webHidden/>
          </w:rPr>
          <w:fldChar w:fldCharType="end"/>
        </w:r>
      </w:hyperlink>
    </w:p>
    <w:p w14:paraId="71E5334C" w14:textId="23FEFD9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1"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 xml:space="preserve">Disbursement of Market Commission Loan Proceeds and Market Commission Concurrence </w:t>
        </w:r>
        <w:r w:rsidR="00695EC1">
          <w:rPr>
            <w:rStyle w:val="Hyperlink"/>
          </w:rPr>
          <w:br/>
        </w:r>
        <w:r w:rsidR="00695EC1">
          <w:rPr>
            <w:rStyle w:val="Hyperlink"/>
          </w:rPr>
          <w:tab/>
        </w:r>
        <w:r w:rsidRPr="00FC437C">
          <w:rPr>
            <w:rStyle w:val="Hyperlink"/>
          </w:rPr>
          <w:t>in Loan Guarantees</w:t>
        </w:r>
        <w:r>
          <w:rPr>
            <w:webHidden/>
          </w:rPr>
          <w:tab/>
        </w:r>
        <w:r>
          <w:rPr>
            <w:webHidden/>
          </w:rPr>
          <w:fldChar w:fldCharType="begin"/>
        </w:r>
        <w:r>
          <w:rPr>
            <w:webHidden/>
          </w:rPr>
          <w:instrText xml:space="preserve"> PAGEREF _Toc224818541 \h </w:instrText>
        </w:r>
        <w:r>
          <w:rPr>
            <w:webHidden/>
          </w:rPr>
        </w:r>
        <w:r>
          <w:rPr>
            <w:webHidden/>
          </w:rPr>
          <w:fldChar w:fldCharType="separate"/>
        </w:r>
        <w:r w:rsidR="00AA17AB">
          <w:rPr>
            <w:webHidden/>
          </w:rPr>
          <w:t>34</w:t>
        </w:r>
        <w:r>
          <w:rPr>
            <w:webHidden/>
          </w:rPr>
          <w:fldChar w:fldCharType="end"/>
        </w:r>
      </w:hyperlink>
    </w:p>
    <w:p w14:paraId="00EDE63F" w14:textId="0D9E312B"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542"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Title Opinion</w:t>
        </w:r>
        <w:r>
          <w:rPr>
            <w:webHidden/>
          </w:rPr>
          <w:tab/>
        </w:r>
        <w:r>
          <w:rPr>
            <w:webHidden/>
          </w:rPr>
          <w:fldChar w:fldCharType="begin"/>
        </w:r>
        <w:r>
          <w:rPr>
            <w:webHidden/>
          </w:rPr>
          <w:instrText xml:space="preserve"> PAGEREF _Toc224818542 \h </w:instrText>
        </w:r>
        <w:r>
          <w:rPr>
            <w:webHidden/>
          </w:rPr>
        </w:r>
        <w:r>
          <w:rPr>
            <w:webHidden/>
          </w:rPr>
          <w:fldChar w:fldCharType="separate"/>
        </w:r>
        <w:r w:rsidR="00AA17AB">
          <w:rPr>
            <w:webHidden/>
          </w:rPr>
          <w:t>35</w:t>
        </w:r>
        <w:r>
          <w:rPr>
            <w:webHidden/>
          </w:rPr>
          <w:fldChar w:fldCharType="end"/>
        </w:r>
      </w:hyperlink>
    </w:p>
    <w:p w14:paraId="41A6A746" w14:textId="540F6D4E"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543"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Termination of Approval for Loan</w:t>
        </w:r>
        <w:r>
          <w:rPr>
            <w:webHidden/>
          </w:rPr>
          <w:tab/>
        </w:r>
        <w:r>
          <w:rPr>
            <w:webHidden/>
          </w:rPr>
          <w:fldChar w:fldCharType="begin"/>
        </w:r>
        <w:r>
          <w:rPr>
            <w:webHidden/>
          </w:rPr>
          <w:instrText xml:space="preserve"> PAGEREF _Toc224818543 \h </w:instrText>
        </w:r>
        <w:r>
          <w:rPr>
            <w:webHidden/>
          </w:rPr>
        </w:r>
        <w:r>
          <w:rPr>
            <w:webHidden/>
          </w:rPr>
          <w:fldChar w:fldCharType="separate"/>
        </w:r>
        <w:r w:rsidR="00AA17AB">
          <w:rPr>
            <w:webHidden/>
          </w:rPr>
          <w:t>36</w:t>
        </w:r>
        <w:r>
          <w:rPr>
            <w:webHidden/>
          </w:rPr>
          <w:fldChar w:fldCharType="end"/>
        </w:r>
      </w:hyperlink>
    </w:p>
    <w:p w14:paraId="316BFE99" w14:textId="4D01132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4"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Interest on Market Commission Loans</w:t>
        </w:r>
        <w:r>
          <w:rPr>
            <w:webHidden/>
          </w:rPr>
          <w:tab/>
        </w:r>
        <w:r>
          <w:rPr>
            <w:webHidden/>
          </w:rPr>
          <w:fldChar w:fldCharType="begin"/>
        </w:r>
        <w:r>
          <w:rPr>
            <w:webHidden/>
          </w:rPr>
          <w:instrText xml:space="preserve"> PAGEREF _Toc224818544 \h </w:instrText>
        </w:r>
        <w:r>
          <w:rPr>
            <w:webHidden/>
          </w:rPr>
        </w:r>
        <w:r>
          <w:rPr>
            <w:webHidden/>
          </w:rPr>
          <w:fldChar w:fldCharType="separate"/>
        </w:r>
        <w:r w:rsidR="00AA17AB">
          <w:rPr>
            <w:webHidden/>
          </w:rPr>
          <w:t>36</w:t>
        </w:r>
        <w:r>
          <w:rPr>
            <w:webHidden/>
          </w:rPr>
          <w:fldChar w:fldCharType="end"/>
        </w:r>
      </w:hyperlink>
    </w:p>
    <w:p w14:paraId="1713148B" w14:textId="481FA06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5"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Requirements Subsequent to Disbursement of Loan Proceeds</w:t>
        </w:r>
        <w:r>
          <w:rPr>
            <w:webHidden/>
          </w:rPr>
          <w:tab/>
        </w:r>
        <w:r>
          <w:rPr>
            <w:webHidden/>
          </w:rPr>
          <w:fldChar w:fldCharType="begin"/>
        </w:r>
        <w:r>
          <w:rPr>
            <w:webHidden/>
          </w:rPr>
          <w:instrText xml:space="preserve"> PAGEREF _Toc224818545 \h </w:instrText>
        </w:r>
        <w:r>
          <w:rPr>
            <w:webHidden/>
          </w:rPr>
        </w:r>
        <w:r>
          <w:rPr>
            <w:webHidden/>
          </w:rPr>
          <w:fldChar w:fldCharType="separate"/>
        </w:r>
        <w:r w:rsidR="00AA17AB">
          <w:rPr>
            <w:webHidden/>
          </w:rPr>
          <w:t>36</w:t>
        </w:r>
        <w:r>
          <w:rPr>
            <w:webHidden/>
          </w:rPr>
          <w:fldChar w:fldCharType="end"/>
        </w:r>
      </w:hyperlink>
    </w:p>
    <w:p w14:paraId="5207CD9F" w14:textId="19A800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6"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Balloon Notes and Rescheduling of Payments</w:t>
        </w:r>
        <w:r>
          <w:rPr>
            <w:webHidden/>
          </w:rPr>
          <w:tab/>
        </w:r>
        <w:r>
          <w:rPr>
            <w:webHidden/>
          </w:rPr>
          <w:fldChar w:fldCharType="begin"/>
        </w:r>
        <w:r>
          <w:rPr>
            <w:webHidden/>
          </w:rPr>
          <w:instrText xml:space="preserve"> PAGEREF _Toc224818546 \h </w:instrText>
        </w:r>
        <w:r>
          <w:rPr>
            <w:webHidden/>
          </w:rPr>
        </w:r>
        <w:r>
          <w:rPr>
            <w:webHidden/>
          </w:rPr>
          <w:fldChar w:fldCharType="separate"/>
        </w:r>
        <w:r w:rsidR="00AA17AB">
          <w:rPr>
            <w:webHidden/>
          </w:rPr>
          <w:t>37</w:t>
        </w:r>
        <w:r>
          <w:rPr>
            <w:webHidden/>
          </w:rPr>
          <w:fldChar w:fldCharType="end"/>
        </w:r>
      </w:hyperlink>
    </w:p>
    <w:p w14:paraId="10681E49" w14:textId="280182B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7"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Delinquency and Foreclosure</w:t>
        </w:r>
        <w:r>
          <w:rPr>
            <w:webHidden/>
          </w:rPr>
          <w:tab/>
        </w:r>
        <w:r>
          <w:rPr>
            <w:webHidden/>
          </w:rPr>
          <w:fldChar w:fldCharType="begin"/>
        </w:r>
        <w:r>
          <w:rPr>
            <w:webHidden/>
          </w:rPr>
          <w:instrText xml:space="preserve"> PAGEREF _Toc224818547 \h </w:instrText>
        </w:r>
        <w:r>
          <w:rPr>
            <w:webHidden/>
          </w:rPr>
        </w:r>
        <w:r>
          <w:rPr>
            <w:webHidden/>
          </w:rPr>
          <w:fldChar w:fldCharType="separate"/>
        </w:r>
        <w:r w:rsidR="00AA17AB">
          <w:rPr>
            <w:webHidden/>
          </w:rPr>
          <w:t>37</w:t>
        </w:r>
        <w:r>
          <w:rPr>
            <w:webHidden/>
          </w:rPr>
          <w:fldChar w:fldCharType="end"/>
        </w:r>
      </w:hyperlink>
    </w:p>
    <w:p w14:paraId="055EA1FA" w14:textId="5727AD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48"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_Toc224818548 \h </w:instrText>
        </w:r>
        <w:r>
          <w:rPr>
            <w:webHidden/>
          </w:rPr>
        </w:r>
        <w:r>
          <w:rPr>
            <w:webHidden/>
          </w:rPr>
          <w:fldChar w:fldCharType="separate"/>
        </w:r>
        <w:r w:rsidR="00AA17AB">
          <w:rPr>
            <w:webHidden/>
          </w:rPr>
          <w:t>37</w:t>
        </w:r>
        <w:r>
          <w:rPr>
            <w:webHidden/>
          </w:rPr>
          <w:fldChar w:fldCharType="end"/>
        </w:r>
      </w:hyperlink>
    </w:p>
    <w:p w14:paraId="1A78A3ED" w14:textId="4B297916" w:rsidR="00E67799" w:rsidRDefault="00E67799">
      <w:pPr>
        <w:pStyle w:val="TOC2"/>
        <w:rPr>
          <w:rFonts w:asciiTheme="minorHAnsi" w:eastAsiaTheme="minorEastAsia" w:hAnsiTheme="minorHAnsi" w:cstheme="minorBidi"/>
          <w:kern w:val="2"/>
          <w:szCs w:val="24"/>
          <w14:ligatures w14:val="standardContextual"/>
        </w:rPr>
      </w:pPr>
      <w:hyperlink w:anchor="_Toc224818549"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 xml:space="preserve">Market Commission―Agricultural Products Processing Development Law―Loans and </w:t>
        </w:r>
        <w:r w:rsidR="00695EC1">
          <w:rPr>
            <w:rStyle w:val="Hyperlink"/>
          </w:rPr>
          <w:br/>
        </w:r>
        <w:r w:rsidRPr="00FC437C">
          <w:rPr>
            <w:rStyle w:val="Hyperlink"/>
          </w:rPr>
          <w:t>Loan Guaranties</w:t>
        </w:r>
        <w:r>
          <w:rPr>
            <w:webHidden/>
          </w:rPr>
          <w:tab/>
        </w:r>
        <w:r>
          <w:rPr>
            <w:webHidden/>
          </w:rPr>
          <w:fldChar w:fldCharType="begin"/>
        </w:r>
        <w:r>
          <w:rPr>
            <w:webHidden/>
          </w:rPr>
          <w:instrText xml:space="preserve"> PAGEREF _Toc224818549 \h </w:instrText>
        </w:r>
        <w:r>
          <w:rPr>
            <w:webHidden/>
          </w:rPr>
        </w:r>
        <w:r>
          <w:rPr>
            <w:webHidden/>
          </w:rPr>
          <w:fldChar w:fldCharType="separate"/>
        </w:r>
        <w:r w:rsidR="00AA17AB">
          <w:rPr>
            <w:webHidden/>
          </w:rPr>
          <w:t>38</w:t>
        </w:r>
        <w:r>
          <w:rPr>
            <w:webHidden/>
          </w:rPr>
          <w:fldChar w:fldCharType="end"/>
        </w:r>
      </w:hyperlink>
    </w:p>
    <w:p w14:paraId="2135861A" w14:textId="3FF13D98" w:rsidR="00E67799" w:rsidRDefault="00E67799">
      <w:pPr>
        <w:pStyle w:val="TOC2"/>
        <w:rPr>
          <w:rFonts w:asciiTheme="minorHAnsi" w:eastAsiaTheme="minorEastAsia" w:hAnsiTheme="minorHAnsi" w:cstheme="minorBidi"/>
          <w:kern w:val="2"/>
          <w:szCs w:val="24"/>
          <w14:ligatures w14:val="standardContextual"/>
        </w:rPr>
      </w:pPr>
      <w:hyperlink w:anchor="_Toc224818550"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 xml:space="preserve">Authorization and Administration of Market Commission Loans and Loan Guaranties </w:t>
        </w:r>
        <w:r w:rsidR="00695EC1">
          <w:rPr>
            <w:rStyle w:val="Hyperlink"/>
          </w:rPr>
          <w:br/>
        </w:r>
        <w:r w:rsidRPr="00FC437C">
          <w:rPr>
            <w:rStyle w:val="Hyperlink"/>
          </w:rPr>
          <w:t>and Cooperative Endeavor Agreements under the Agricultural Products Processing Development Law</w:t>
        </w:r>
        <w:r>
          <w:rPr>
            <w:webHidden/>
          </w:rPr>
          <w:tab/>
        </w:r>
        <w:r>
          <w:rPr>
            <w:webHidden/>
          </w:rPr>
          <w:fldChar w:fldCharType="begin"/>
        </w:r>
        <w:r>
          <w:rPr>
            <w:webHidden/>
          </w:rPr>
          <w:instrText xml:space="preserve"> PAGEREF _Toc224818550 \h </w:instrText>
        </w:r>
        <w:r>
          <w:rPr>
            <w:webHidden/>
          </w:rPr>
        </w:r>
        <w:r>
          <w:rPr>
            <w:webHidden/>
          </w:rPr>
          <w:fldChar w:fldCharType="separate"/>
        </w:r>
        <w:r w:rsidR="00AA17AB">
          <w:rPr>
            <w:webHidden/>
          </w:rPr>
          <w:t>38</w:t>
        </w:r>
        <w:r>
          <w:rPr>
            <w:webHidden/>
          </w:rPr>
          <w:fldChar w:fldCharType="end"/>
        </w:r>
      </w:hyperlink>
    </w:p>
    <w:p w14:paraId="1D666678" w14:textId="0F6475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1"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_Toc224818551 \h </w:instrText>
        </w:r>
        <w:r>
          <w:rPr>
            <w:webHidden/>
          </w:rPr>
        </w:r>
        <w:r>
          <w:rPr>
            <w:webHidden/>
          </w:rPr>
          <w:fldChar w:fldCharType="separate"/>
        </w:r>
        <w:r w:rsidR="00AA17AB">
          <w:rPr>
            <w:webHidden/>
          </w:rPr>
          <w:t>38</w:t>
        </w:r>
        <w:r>
          <w:rPr>
            <w:webHidden/>
          </w:rPr>
          <w:fldChar w:fldCharType="end"/>
        </w:r>
      </w:hyperlink>
    </w:p>
    <w:p w14:paraId="7C75C6F5" w14:textId="2727809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2"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_Toc224818552 \h </w:instrText>
        </w:r>
        <w:r>
          <w:rPr>
            <w:webHidden/>
          </w:rPr>
        </w:r>
        <w:r>
          <w:rPr>
            <w:webHidden/>
          </w:rPr>
          <w:fldChar w:fldCharType="separate"/>
        </w:r>
        <w:r w:rsidR="00AA17AB">
          <w:rPr>
            <w:webHidden/>
          </w:rPr>
          <w:t>39</w:t>
        </w:r>
        <w:r>
          <w:rPr>
            <w:webHidden/>
          </w:rPr>
          <w:fldChar w:fldCharType="end"/>
        </w:r>
      </w:hyperlink>
    </w:p>
    <w:p w14:paraId="4D5E9C24" w14:textId="7EE14C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3"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Loan and Loan Guaranty Authorization</w:t>
        </w:r>
        <w:r>
          <w:rPr>
            <w:webHidden/>
          </w:rPr>
          <w:tab/>
        </w:r>
        <w:r>
          <w:rPr>
            <w:webHidden/>
          </w:rPr>
          <w:fldChar w:fldCharType="begin"/>
        </w:r>
        <w:r>
          <w:rPr>
            <w:webHidden/>
          </w:rPr>
          <w:instrText xml:space="preserve"> PAGEREF _Toc224818553 \h </w:instrText>
        </w:r>
        <w:r>
          <w:rPr>
            <w:webHidden/>
          </w:rPr>
        </w:r>
        <w:r>
          <w:rPr>
            <w:webHidden/>
          </w:rPr>
          <w:fldChar w:fldCharType="separate"/>
        </w:r>
        <w:r w:rsidR="00AA17AB">
          <w:rPr>
            <w:webHidden/>
          </w:rPr>
          <w:t>39</w:t>
        </w:r>
        <w:r>
          <w:rPr>
            <w:webHidden/>
          </w:rPr>
          <w:fldChar w:fldCharType="end"/>
        </w:r>
      </w:hyperlink>
    </w:p>
    <w:p w14:paraId="4198E3B9" w14:textId="5B24BB0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4"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Time for Filing Applications</w:t>
        </w:r>
        <w:r>
          <w:rPr>
            <w:webHidden/>
          </w:rPr>
          <w:tab/>
        </w:r>
        <w:r>
          <w:rPr>
            <w:webHidden/>
          </w:rPr>
          <w:fldChar w:fldCharType="begin"/>
        </w:r>
        <w:r>
          <w:rPr>
            <w:webHidden/>
          </w:rPr>
          <w:instrText xml:space="preserve"> PAGEREF _Toc224818554 \h </w:instrText>
        </w:r>
        <w:r>
          <w:rPr>
            <w:webHidden/>
          </w:rPr>
        </w:r>
        <w:r>
          <w:rPr>
            <w:webHidden/>
          </w:rPr>
          <w:fldChar w:fldCharType="separate"/>
        </w:r>
        <w:r w:rsidR="00AA17AB">
          <w:rPr>
            <w:webHidden/>
          </w:rPr>
          <w:t>39</w:t>
        </w:r>
        <w:r>
          <w:rPr>
            <w:webHidden/>
          </w:rPr>
          <w:fldChar w:fldCharType="end"/>
        </w:r>
      </w:hyperlink>
    </w:p>
    <w:p w14:paraId="21651776" w14:textId="18A0A8C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5"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Contents of Application</w:t>
        </w:r>
        <w:r>
          <w:rPr>
            <w:webHidden/>
          </w:rPr>
          <w:tab/>
        </w:r>
        <w:r>
          <w:rPr>
            <w:webHidden/>
          </w:rPr>
          <w:fldChar w:fldCharType="begin"/>
        </w:r>
        <w:r>
          <w:rPr>
            <w:webHidden/>
          </w:rPr>
          <w:instrText xml:space="preserve"> PAGEREF _Toc224818555 \h </w:instrText>
        </w:r>
        <w:r>
          <w:rPr>
            <w:webHidden/>
          </w:rPr>
        </w:r>
        <w:r>
          <w:rPr>
            <w:webHidden/>
          </w:rPr>
          <w:fldChar w:fldCharType="separate"/>
        </w:r>
        <w:r w:rsidR="00AA17AB">
          <w:rPr>
            <w:webHidden/>
          </w:rPr>
          <w:t>40</w:t>
        </w:r>
        <w:r>
          <w:rPr>
            <w:webHidden/>
          </w:rPr>
          <w:fldChar w:fldCharType="end"/>
        </w:r>
      </w:hyperlink>
    </w:p>
    <w:p w14:paraId="3E41C8E2" w14:textId="6EA998D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6" w:history="1">
        <w:r w:rsidRPr="00FC437C">
          <w:rPr>
            <w:rStyle w:val="Hyperlink"/>
          </w:rPr>
          <w:t>§311.</w:t>
        </w:r>
        <w:r>
          <w:rPr>
            <w:rFonts w:asciiTheme="minorHAnsi" w:eastAsiaTheme="minorEastAsia" w:hAnsiTheme="minorHAnsi" w:cstheme="minorBidi"/>
            <w:color w:val="auto"/>
            <w:kern w:val="2"/>
            <w:szCs w:val="24"/>
            <w14:ligatures w14:val="standardContextual"/>
          </w:rPr>
          <w:tab/>
        </w:r>
        <w:r w:rsidRPr="00FC437C">
          <w:rPr>
            <w:rStyle w:val="Hyperlink"/>
          </w:rPr>
          <w:t>Approval of Application for a Loan or Loan Guaranty</w:t>
        </w:r>
        <w:r>
          <w:rPr>
            <w:webHidden/>
          </w:rPr>
          <w:tab/>
        </w:r>
        <w:r>
          <w:rPr>
            <w:webHidden/>
          </w:rPr>
          <w:fldChar w:fldCharType="begin"/>
        </w:r>
        <w:r>
          <w:rPr>
            <w:webHidden/>
          </w:rPr>
          <w:instrText xml:space="preserve"> PAGEREF _Toc224818556 \h </w:instrText>
        </w:r>
        <w:r>
          <w:rPr>
            <w:webHidden/>
          </w:rPr>
        </w:r>
        <w:r>
          <w:rPr>
            <w:webHidden/>
          </w:rPr>
          <w:fldChar w:fldCharType="separate"/>
        </w:r>
        <w:r w:rsidR="00AA17AB">
          <w:rPr>
            <w:webHidden/>
          </w:rPr>
          <w:t>41</w:t>
        </w:r>
        <w:r>
          <w:rPr>
            <w:webHidden/>
          </w:rPr>
          <w:fldChar w:fldCharType="end"/>
        </w:r>
      </w:hyperlink>
    </w:p>
    <w:p w14:paraId="7CC456B9" w14:textId="06FB5EE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7" w:history="1">
        <w:r w:rsidRPr="00FC437C">
          <w:rPr>
            <w:rStyle w:val="Hyperlink"/>
          </w:rPr>
          <w:t>§313.</w:t>
        </w:r>
        <w:r>
          <w:rPr>
            <w:rFonts w:asciiTheme="minorHAnsi" w:eastAsiaTheme="minorEastAsia" w:hAnsiTheme="minorHAnsi" w:cstheme="minorBidi"/>
            <w:color w:val="auto"/>
            <w:kern w:val="2"/>
            <w:szCs w:val="24"/>
            <w14:ligatures w14:val="standardContextual"/>
          </w:rPr>
          <w:tab/>
        </w:r>
        <w:r w:rsidRPr="00FC437C">
          <w:rPr>
            <w:rStyle w:val="Hyperlink"/>
          </w:rPr>
          <w:t xml:space="preserve">Disbursement of Market Commission Loan Proceeds and Commission Concurrence </w:t>
        </w:r>
        <w:r w:rsidR="00695EC1">
          <w:rPr>
            <w:rStyle w:val="Hyperlink"/>
          </w:rPr>
          <w:br/>
        </w:r>
        <w:r w:rsidR="00695EC1">
          <w:rPr>
            <w:rStyle w:val="Hyperlink"/>
          </w:rPr>
          <w:tab/>
        </w:r>
        <w:r w:rsidRPr="00FC437C">
          <w:rPr>
            <w:rStyle w:val="Hyperlink"/>
          </w:rPr>
          <w:t>in Loan Guaranties</w:t>
        </w:r>
        <w:r>
          <w:rPr>
            <w:webHidden/>
          </w:rPr>
          <w:tab/>
        </w:r>
        <w:r>
          <w:rPr>
            <w:webHidden/>
          </w:rPr>
          <w:fldChar w:fldCharType="begin"/>
        </w:r>
        <w:r>
          <w:rPr>
            <w:webHidden/>
          </w:rPr>
          <w:instrText xml:space="preserve"> PAGEREF _Toc224818557 \h </w:instrText>
        </w:r>
        <w:r>
          <w:rPr>
            <w:webHidden/>
          </w:rPr>
        </w:r>
        <w:r>
          <w:rPr>
            <w:webHidden/>
          </w:rPr>
          <w:fldChar w:fldCharType="separate"/>
        </w:r>
        <w:r w:rsidR="00AA17AB">
          <w:rPr>
            <w:webHidden/>
          </w:rPr>
          <w:t>41</w:t>
        </w:r>
        <w:r>
          <w:rPr>
            <w:webHidden/>
          </w:rPr>
          <w:fldChar w:fldCharType="end"/>
        </w:r>
      </w:hyperlink>
    </w:p>
    <w:p w14:paraId="133FE222" w14:textId="4C308E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8" w:history="1">
        <w:r w:rsidRPr="00FC437C">
          <w:rPr>
            <w:rStyle w:val="Hyperlink"/>
          </w:rPr>
          <w:t>§315.</w:t>
        </w:r>
        <w:r>
          <w:rPr>
            <w:rFonts w:asciiTheme="minorHAnsi" w:eastAsiaTheme="minorEastAsia" w:hAnsiTheme="minorHAnsi" w:cstheme="minorBidi"/>
            <w:color w:val="auto"/>
            <w:kern w:val="2"/>
            <w:szCs w:val="24"/>
            <w14:ligatures w14:val="standardContextual"/>
          </w:rPr>
          <w:tab/>
        </w:r>
        <w:r w:rsidRPr="00FC437C">
          <w:rPr>
            <w:rStyle w:val="Hyperlink"/>
          </w:rPr>
          <w:t>Interest and Loan Guaranties</w:t>
        </w:r>
        <w:r>
          <w:rPr>
            <w:webHidden/>
          </w:rPr>
          <w:tab/>
        </w:r>
        <w:r>
          <w:rPr>
            <w:webHidden/>
          </w:rPr>
          <w:fldChar w:fldCharType="begin"/>
        </w:r>
        <w:r>
          <w:rPr>
            <w:webHidden/>
          </w:rPr>
          <w:instrText xml:space="preserve"> PAGEREF _Toc224818558 \h </w:instrText>
        </w:r>
        <w:r>
          <w:rPr>
            <w:webHidden/>
          </w:rPr>
        </w:r>
        <w:r>
          <w:rPr>
            <w:webHidden/>
          </w:rPr>
          <w:fldChar w:fldCharType="separate"/>
        </w:r>
        <w:r w:rsidR="00AA17AB">
          <w:rPr>
            <w:webHidden/>
          </w:rPr>
          <w:t>42</w:t>
        </w:r>
        <w:r>
          <w:rPr>
            <w:webHidden/>
          </w:rPr>
          <w:fldChar w:fldCharType="end"/>
        </w:r>
      </w:hyperlink>
    </w:p>
    <w:p w14:paraId="14D2ED9F" w14:textId="0C8BBDB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59" w:history="1">
        <w:r w:rsidRPr="00FC437C">
          <w:rPr>
            <w:rStyle w:val="Hyperlink"/>
          </w:rPr>
          <w:t>§317.</w:t>
        </w:r>
        <w:r>
          <w:rPr>
            <w:rFonts w:asciiTheme="minorHAnsi" w:eastAsiaTheme="minorEastAsia" w:hAnsiTheme="minorHAnsi" w:cstheme="minorBidi"/>
            <w:color w:val="auto"/>
            <w:kern w:val="2"/>
            <w:szCs w:val="24"/>
            <w14:ligatures w14:val="standardContextual"/>
          </w:rPr>
          <w:tab/>
        </w:r>
        <w:r w:rsidRPr="00FC437C">
          <w:rPr>
            <w:rStyle w:val="Hyperlink"/>
          </w:rPr>
          <w:t>Requirements Subsequent to Disbursement of Loan Proceeds</w:t>
        </w:r>
        <w:r>
          <w:rPr>
            <w:webHidden/>
          </w:rPr>
          <w:tab/>
        </w:r>
        <w:r>
          <w:rPr>
            <w:webHidden/>
          </w:rPr>
          <w:fldChar w:fldCharType="begin"/>
        </w:r>
        <w:r>
          <w:rPr>
            <w:webHidden/>
          </w:rPr>
          <w:instrText xml:space="preserve"> PAGEREF _Toc224818559 \h </w:instrText>
        </w:r>
        <w:r>
          <w:rPr>
            <w:webHidden/>
          </w:rPr>
        </w:r>
        <w:r>
          <w:rPr>
            <w:webHidden/>
          </w:rPr>
          <w:fldChar w:fldCharType="separate"/>
        </w:r>
        <w:r w:rsidR="00AA17AB">
          <w:rPr>
            <w:webHidden/>
          </w:rPr>
          <w:t>43</w:t>
        </w:r>
        <w:r>
          <w:rPr>
            <w:webHidden/>
          </w:rPr>
          <w:fldChar w:fldCharType="end"/>
        </w:r>
      </w:hyperlink>
    </w:p>
    <w:p w14:paraId="7AF2BA3C" w14:textId="64516C7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0" w:history="1">
        <w:r w:rsidRPr="00FC437C">
          <w:rPr>
            <w:rStyle w:val="Hyperlink"/>
          </w:rPr>
          <w:t>§319.</w:t>
        </w:r>
        <w:r>
          <w:rPr>
            <w:rFonts w:asciiTheme="minorHAnsi" w:eastAsiaTheme="minorEastAsia" w:hAnsiTheme="minorHAnsi" w:cstheme="minorBidi"/>
            <w:color w:val="auto"/>
            <w:kern w:val="2"/>
            <w:szCs w:val="24"/>
            <w14:ligatures w14:val="standardContextual"/>
          </w:rPr>
          <w:tab/>
        </w:r>
        <w:r w:rsidRPr="00FC437C">
          <w:rPr>
            <w:rStyle w:val="Hyperlink"/>
          </w:rPr>
          <w:t>Balloon Notes and Re-Scheduling of Payments</w:t>
        </w:r>
        <w:r>
          <w:rPr>
            <w:webHidden/>
          </w:rPr>
          <w:tab/>
        </w:r>
        <w:r>
          <w:rPr>
            <w:webHidden/>
          </w:rPr>
          <w:fldChar w:fldCharType="begin"/>
        </w:r>
        <w:r>
          <w:rPr>
            <w:webHidden/>
          </w:rPr>
          <w:instrText xml:space="preserve"> PAGEREF _Toc224818560 \h </w:instrText>
        </w:r>
        <w:r>
          <w:rPr>
            <w:webHidden/>
          </w:rPr>
        </w:r>
        <w:r>
          <w:rPr>
            <w:webHidden/>
          </w:rPr>
          <w:fldChar w:fldCharType="separate"/>
        </w:r>
        <w:r w:rsidR="00AA17AB">
          <w:rPr>
            <w:webHidden/>
          </w:rPr>
          <w:t>43</w:t>
        </w:r>
        <w:r>
          <w:rPr>
            <w:webHidden/>
          </w:rPr>
          <w:fldChar w:fldCharType="end"/>
        </w:r>
      </w:hyperlink>
    </w:p>
    <w:p w14:paraId="4CDF88F5" w14:textId="6C25A9F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1" w:history="1">
        <w:r w:rsidRPr="00FC437C">
          <w:rPr>
            <w:rStyle w:val="Hyperlink"/>
          </w:rPr>
          <w:t>§321.</w:t>
        </w:r>
        <w:r>
          <w:rPr>
            <w:rFonts w:asciiTheme="minorHAnsi" w:eastAsiaTheme="minorEastAsia" w:hAnsiTheme="minorHAnsi" w:cstheme="minorBidi"/>
            <w:color w:val="auto"/>
            <w:kern w:val="2"/>
            <w:szCs w:val="24"/>
            <w14:ligatures w14:val="standardContextual"/>
          </w:rPr>
          <w:tab/>
        </w:r>
        <w:r w:rsidRPr="00FC437C">
          <w:rPr>
            <w:rStyle w:val="Hyperlink"/>
          </w:rPr>
          <w:t>Cooperative Endeavor Agreements</w:t>
        </w:r>
        <w:r>
          <w:rPr>
            <w:webHidden/>
          </w:rPr>
          <w:tab/>
        </w:r>
        <w:r>
          <w:rPr>
            <w:webHidden/>
          </w:rPr>
          <w:fldChar w:fldCharType="begin"/>
        </w:r>
        <w:r>
          <w:rPr>
            <w:webHidden/>
          </w:rPr>
          <w:instrText xml:space="preserve"> PAGEREF _Toc224818561 \h </w:instrText>
        </w:r>
        <w:r>
          <w:rPr>
            <w:webHidden/>
          </w:rPr>
        </w:r>
        <w:r>
          <w:rPr>
            <w:webHidden/>
          </w:rPr>
          <w:fldChar w:fldCharType="separate"/>
        </w:r>
        <w:r w:rsidR="00AA17AB">
          <w:rPr>
            <w:webHidden/>
          </w:rPr>
          <w:t>43</w:t>
        </w:r>
        <w:r>
          <w:rPr>
            <w:webHidden/>
          </w:rPr>
          <w:fldChar w:fldCharType="end"/>
        </w:r>
      </w:hyperlink>
    </w:p>
    <w:p w14:paraId="3695EDE8" w14:textId="36B16FB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2" w:history="1">
        <w:r w:rsidRPr="00FC437C">
          <w:rPr>
            <w:rStyle w:val="Hyperlink"/>
          </w:rPr>
          <w:t>§323.</w:t>
        </w:r>
        <w:r>
          <w:rPr>
            <w:rFonts w:asciiTheme="minorHAnsi" w:eastAsiaTheme="minorEastAsia" w:hAnsiTheme="minorHAnsi" w:cstheme="minorBidi"/>
            <w:color w:val="auto"/>
            <w:kern w:val="2"/>
            <w:szCs w:val="24"/>
            <w14:ligatures w14:val="standardContextual"/>
          </w:rPr>
          <w:tab/>
        </w:r>
        <w:r w:rsidRPr="00FC437C">
          <w:rPr>
            <w:rStyle w:val="Hyperlink"/>
          </w:rPr>
          <w:t>Delinquency and Foreclosure on Market Commission Loans</w:t>
        </w:r>
        <w:r>
          <w:rPr>
            <w:webHidden/>
          </w:rPr>
          <w:tab/>
        </w:r>
        <w:r>
          <w:rPr>
            <w:webHidden/>
          </w:rPr>
          <w:fldChar w:fldCharType="begin"/>
        </w:r>
        <w:r>
          <w:rPr>
            <w:webHidden/>
          </w:rPr>
          <w:instrText xml:space="preserve"> PAGEREF _Toc224818562 \h </w:instrText>
        </w:r>
        <w:r>
          <w:rPr>
            <w:webHidden/>
          </w:rPr>
        </w:r>
        <w:r>
          <w:rPr>
            <w:webHidden/>
          </w:rPr>
          <w:fldChar w:fldCharType="separate"/>
        </w:r>
        <w:r w:rsidR="00AA17AB">
          <w:rPr>
            <w:webHidden/>
          </w:rPr>
          <w:t>43</w:t>
        </w:r>
        <w:r>
          <w:rPr>
            <w:webHidden/>
          </w:rPr>
          <w:fldChar w:fldCharType="end"/>
        </w:r>
      </w:hyperlink>
    </w:p>
    <w:p w14:paraId="30D49B06" w14:textId="5F51C1E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3" w:history="1">
        <w:r w:rsidRPr="00FC437C">
          <w:rPr>
            <w:rStyle w:val="Hyperlink"/>
          </w:rPr>
          <w:t>§325.</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_Toc224818563 \h </w:instrText>
        </w:r>
        <w:r>
          <w:rPr>
            <w:webHidden/>
          </w:rPr>
        </w:r>
        <w:r>
          <w:rPr>
            <w:webHidden/>
          </w:rPr>
          <w:fldChar w:fldCharType="separate"/>
        </w:r>
        <w:r w:rsidR="00AA17AB">
          <w:rPr>
            <w:webHidden/>
          </w:rPr>
          <w:t>44</w:t>
        </w:r>
        <w:r>
          <w:rPr>
            <w:webHidden/>
          </w:rPr>
          <w:fldChar w:fldCharType="end"/>
        </w:r>
      </w:hyperlink>
    </w:p>
    <w:p w14:paraId="674C026E" w14:textId="50EF5194" w:rsidR="00E67799" w:rsidRDefault="00E67799">
      <w:pPr>
        <w:pStyle w:val="TOC2"/>
        <w:rPr>
          <w:rFonts w:asciiTheme="minorHAnsi" w:eastAsiaTheme="minorEastAsia" w:hAnsiTheme="minorHAnsi" w:cstheme="minorBidi"/>
          <w:kern w:val="2"/>
          <w:szCs w:val="24"/>
          <w14:ligatures w14:val="standardContextual"/>
        </w:rPr>
      </w:pPr>
      <w:hyperlink w:anchor="_Toc224818564"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Market Commission―Meat Grading and Certification</w:t>
        </w:r>
        <w:r>
          <w:rPr>
            <w:webHidden/>
          </w:rPr>
          <w:tab/>
        </w:r>
        <w:r>
          <w:rPr>
            <w:webHidden/>
          </w:rPr>
          <w:fldChar w:fldCharType="begin"/>
        </w:r>
        <w:r>
          <w:rPr>
            <w:webHidden/>
          </w:rPr>
          <w:instrText xml:space="preserve"> PAGEREF _Toc224818564 \h </w:instrText>
        </w:r>
        <w:r>
          <w:rPr>
            <w:webHidden/>
          </w:rPr>
        </w:r>
        <w:r>
          <w:rPr>
            <w:webHidden/>
          </w:rPr>
          <w:fldChar w:fldCharType="separate"/>
        </w:r>
        <w:r w:rsidR="00AA17AB">
          <w:rPr>
            <w:webHidden/>
          </w:rPr>
          <w:t>44</w:t>
        </w:r>
        <w:r>
          <w:rPr>
            <w:webHidden/>
          </w:rPr>
          <w:fldChar w:fldCharType="end"/>
        </w:r>
      </w:hyperlink>
    </w:p>
    <w:p w14:paraId="6A061A36" w14:textId="5710882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5"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Establishment of Official State Grades for Meat and Meat Products</w:t>
        </w:r>
        <w:r>
          <w:rPr>
            <w:webHidden/>
          </w:rPr>
          <w:tab/>
        </w:r>
        <w:r>
          <w:rPr>
            <w:webHidden/>
          </w:rPr>
          <w:fldChar w:fldCharType="begin"/>
        </w:r>
        <w:r>
          <w:rPr>
            <w:webHidden/>
          </w:rPr>
          <w:instrText xml:space="preserve"> PAGEREF _Toc224818565 \h </w:instrText>
        </w:r>
        <w:r>
          <w:rPr>
            <w:webHidden/>
          </w:rPr>
        </w:r>
        <w:r>
          <w:rPr>
            <w:webHidden/>
          </w:rPr>
          <w:fldChar w:fldCharType="separate"/>
        </w:r>
        <w:r w:rsidR="00AA17AB">
          <w:rPr>
            <w:webHidden/>
          </w:rPr>
          <w:t>44</w:t>
        </w:r>
        <w:r>
          <w:rPr>
            <w:webHidden/>
          </w:rPr>
          <w:fldChar w:fldCharType="end"/>
        </w:r>
      </w:hyperlink>
    </w:p>
    <w:p w14:paraId="07288B2C" w14:textId="3957191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6"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Certification of Meat and Meat Products</w:t>
        </w:r>
        <w:r>
          <w:rPr>
            <w:webHidden/>
          </w:rPr>
          <w:tab/>
        </w:r>
        <w:r>
          <w:rPr>
            <w:webHidden/>
          </w:rPr>
          <w:fldChar w:fldCharType="begin"/>
        </w:r>
        <w:r>
          <w:rPr>
            <w:webHidden/>
          </w:rPr>
          <w:instrText xml:space="preserve"> PAGEREF _Toc224818566 \h </w:instrText>
        </w:r>
        <w:r>
          <w:rPr>
            <w:webHidden/>
          </w:rPr>
        </w:r>
        <w:r>
          <w:rPr>
            <w:webHidden/>
          </w:rPr>
          <w:fldChar w:fldCharType="separate"/>
        </w:r>
        <w:r w:rsidR="00AA17AB">
          <w:rPr>
            <w:webHidden/>
          </w:rPr>
          <w:t>44</w:t>
        </w:r>
        <w:r>
          <w:rPr>
            <w:webHidden/>
          </w:rPr>
          <w:fldChar w:fldCharType="end"/>
        </w:r>
      </w:hyperlink>
    </w:p>
    <w:p w14:paraId="396FCCA2" w14:textId="45F13BA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7"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Certification of State Grades of Specific Meats and Meat Products</w:t>
        </w:r>
        <w:r>
          <w:rPr>
            <w:webHidden/>
          </w:rPr>
          <w:tab/>
        </w:r>
        <w:r>
          <w:rPr>
            <w:webHidden/>
          </w:rPr>
          <w:fldChar w:fldCharType="begin"/>
        </w:r>
        <w:r>
          <w:rPr>
            <w:webHidden/>
          </w:rPr>
          <w:instrText xml:space="preserve"> PAGEREF _Toc224818567 \h </w:instrText>
        </w:r>
        <w:r>
          <w:rPr>
            <w:webHidden/>
          </w:rPr>
        </w:r>
        <w:r>
          <w:rPr>
            <w:webHidden/>
          </w:rPr>
          <w:fldChar w:fldCharType="separate"/>
        </w:r>
        <w:r w:rsidR="00AA17AB">
          <w:rPr>
            <w:webHidden/>
          </w:rPr>
          <w:t>45</w:t>
        </w:r>
        <w:r>
          <w:rPr>
            <w:webHidden/>
          </w:rPr>
          <w:fldChar w:fldCharType="end"/>
        </w:r>
      </w:hyperlink>
    </w:p>
    <w:p w14:paraId="110A3ECB" w14:textId="4E5E9F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8"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Time Limitation for Issuance of Certificate</w:t>
        </w:r>
        <w:r>
          <w:rPr>
            <w:webHidden/>
          </w:rPr>
          <w:tab/>
        </w:r>
        <w:r>
          <w:rPr>
            <w:webHidden/>
          </w:rPr>
          <w:fldChar w:fldCharType="begin"/>
        </w:r>
        <w:r>
          <w:rPr>
            <w:webHidden/>
          </w:rPr>
          <w:instrText xml:space="preserve"> PAGEREF _Toc224818568 \h </w:instrText>
        </w:r>
        <w:r>
          <w:rPr>
            <w:webHidden/>
          </w:rPr>
        </w:r>
        <w:r>
          <w:rPr>
            <w:webHidden/>
          </w:rPr>
          <w:fldChar w:fldCharType="separate"/>
        </w:r>
        <w:r w:rsidR="00AA17AB">
          <w:rPr>
            <w:webHidden/>
          </w:rPr>
          <w:t>45</w:t>
        </w:r>
        <w:r>
          <w:rPr>
            <w:webHidden/>
          </w:rPr>
          <w:fldChar w:fldCharType="end"/>
        </w:r>
      </w:hyperlink>
    </w:p>
    <w:p w14:paraId="5117A05A" w14:textId="5E234EC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69"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Waiver of Specification Requirements</w:t>
        </w:r>
        <w:r>
          <w:rPr>
            <w:webHidden/>
          </w:rPr>
          <w:tab/>
        </w:r>
        <w:r>
          <w:rPr>
            <w:webHidden/>
          </w:rPr>
          <w:fldChar w:fldCharType="begin"/>
        </w:r>
        <w:r>
          <w:rPr>
            <w:webHidden/>
          </w:rPr>
          <w:instrText xml:space="preserve"> PAGEREF _Toc224818569 \h </w:instrText>
        </w:r>
        <w:r>
          <w:rPr>
            <w:webHidden/>
          </w:rPr>
        </w:r>
        <w:r>
          <w:rPr>
            <w:webHidden/>
          </w:rPr>
          <w:fldChar w:fldCharType="separate"/>
        </w:r>
        <w:r w:rsidR="00AA17AB">
          <w:rPr>
            <w:webHidden/>
          </w:rPr>
          <w:t>45</w:t>
        </w:r>
        <w:r>
          <w:rPr>
            <w:webHidden/>
          </w:rPr>
          <w:fldChar w:fldCharType="end"/>
        </w:r>
      </w:hyperlink>
    </w:p>
    <w:p w14:paraId="126F75CA" w14:textId="07DF547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0"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Final Delivery of Product</w:t>
        </w:r>
        <w:r>
          <w:rPr>
            <w:webHidden/>
          </w:rPr>
          <w:tab/>
        </w:r>
        <w:r>
          <w:rPr>
            <w:webHidden/>
          </w:rPr>
          <w:fldChar w:fldCharType="begin"/>
        </w:r>
        <w:r>
          <w:rPr>
            <w:webHidden/>
          </w:rPr>
          <w:instrText xml:space="preserve"> PAGEREF _Toc224818570 \h </w:instrText>
        </w:r>
        <w:r>
          <w:rPr>
            <w:webHidden/>
          </w:rPr>
        </w:r>
        <w:r>
          <w:rPr>
            <w:webHidden/>
          </w:rPr>
          <w:fldChar w:fldCharType="separate"/>
        </w:r>
        <w:r w:rsidR="00AA17AB">
          <w:rPr>
            <w:webHidden/>
          </w:rPr>
          <w:t>45</w:t>
        </w:r>
        <w:r>
          <w:rPr>
            <w:webHidden/>
          </w:rPr>
          <w:fldChar w:fldCharType="end"/>
        </w:r>
      </w:hyperlink>
    </w:p>
    <w:p w14:paraId="590678BC" w14:textId="489B975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1"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Contractor's Obligation</w:t>
        </w:r>
        <w:r>
          <w:rPr>
            <w:webHidden/>
          </w:rPr>
          <w:tab/>
        </w:r>
        <w:r>
          <w:rPr>
            <w:webHidden/>
          </w:rPr>
          <w:fldChar w:fldCharType="begin"/>
        </w:r>
        <w:r>
          <w:rPr>
            <w:webHidden/>
          </w:rPr>
          <w:instrText xml:space="preserve"> PAGEREF _Toc224818571 \h </w:instrText>
        </w:r>
        <w:r>
          <w:rPr>
            <w:webHidden/>
          </w:rPr>
        </w:r>
        <w:r>
          <w:rPr>
            <w:webHidden/>
          </w:rPr>
          <w:fldChar w:fldCharType="separate"/>
        </w:r>
        <w:r w:rsidR="00AA17AB">
          <w:rPr>
            <w:webHidden/>
          </w:rPr>
          <w:t>45</w:t>
        </w:r>
        <w:r>
          <w:rPr>
            <w:webHidden/>
          </w:rPr>
          <w:fldChar w:fldCharType="end"/>
        </w:r>
      </w:hyperlink>
    </w:p>
    <w:p w14:paraId="6852A088" w14:textId="4D9B00A1" w:rsidR="00E67799" w:rsidRDefault="00E67799">
      <w:pPr>
        <w:pStyle w:val="TOC2"/>
        <w:rPr>
          <w:rFonts w:asciiTheme="minorHAnsi" w:eastAsiaTheme="minorEastAsia" w:hAnsiTheme="minorHAnsi" w:cstheme="minorBidi"/>
          <w:kern w:val="2"/>
          <w:szCs w:val="24"/>
          <w14:ligatures w14:val="standardContextual"/>
        </w:rPr>
      </w:pPr>
      <w:hyperlink w:anchor="_Toc224818572"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Market Commission―Agricultural Production Linked Deposit Loan Program</w:t>
        </w:r>
        <w:r>
          <w:rPr>
            <w:webHidden/>
          </w:rPr>
          <w:tab/>
        </w:r>
        <w:r>
          <w:rPr>
            <w:webHidden/>
          </w:rPr>
          <w:fldChar w:fldCharType="begin"/>
        </w:r>
        <w:r>
          <w:rPr>
            <w:webHidden/>
          </w:rPr>
          <w:instrText xml:space="preserve"> PAGEREF _Toc224818572 \h </w:instrText>
        </w:r>
        <w:r>
          <w:rPr>
            <w:webHidden/>
          </w:rPr>
        </w:r>
        <w:r>
          <w:rPr>
            <w:webHidden/>
          </w:rPr>
          <w:fldChar w:fldCharType="separate"/>
        </w:r>
        <w:r w:rsidR="00AA17AB">
          <w:rPr>
            <w:webHidden/>
          </w:rPr>
          <w:t>46</w:t>
        </w:r>
        <w:r>
          <w:rPr>
            <w:webHidden/>
          </w:rPr>
          <w:fldChar w:fldCharType="end"/>
        </w:r>
      </w:hyperlink>
    </w:p>
    <w:p w14:paraId="44E57240" w14:textId="548AA0D7" w:rsidR="00E67799" w:rsidRDefault="00E67799">
      <w:pPr>
        <w:pStyle w:val="TOC2"/>
        <w:rPr>
          <w:rFonts w:asciiTheme="minorHAnsi" w:eastAsiaTheme="minorEastAsia" w:hAnsiTheme="minorHAnsi" w:cstheme="minorBidi"/>
          <w:kern w:val="2"/>
          <w:szCs w:val="24"/>
          <w14:ligatures w14:val="standardContextual"/>
        </w:rPr>
      </w:pPr>
      <w:hyperlink w:anchor="_Toc224818573"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Authorization and Administration of Agricultural Products Processing Linked Deposit Loan Program</w:t>
        </w:r>
        <w:r>
          <w:rPr>
            <w:webHidden/>
          </w:rPr>
          <w:tab/>
        </w:r>
        <w:r>
          <w:rPr>
            <w:webHidden/>
          </w:rPr>
          <w:fldChar w:fldCharType="begin"/>
        </w:r>
        <w:r>
          <w:rPr>
            <w:webHidden/>
          </w:rPr>
          <w:instrText xml:space="preserve"> PAGEREF _Toc224818573 \h </w:instrText>
        </w:r>
        <w:r>
          <w:rPr>
            <w:webHidden/>
          </w:rPr>
        </w:r>
        <w:r>
          <w:rPr>
            <w:webHidden/>
          </w:rPr>
          <w:fldChar w:fldCharType="separate"/>
        </w:r>
        <w:r w:rsidR="00AA17AB">
          <w:rPr>
            <w:webHidden/>
          </w:rPr>
          <w:t>46</w:t>
        </w:r>
        <w:r>
          <w:rPr>
            <w:webHidden/>
          </w:rPr>
          <w:fldChar w:fldCharType="end"/>
        </w:r>
      </w:hyperlink>
    </w:p>
    <w:p w14:paraId="315CC9DB" w14:textId="43AC26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4"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_Toc224818574 \h </w:instrText>
        </w:r>
        <w:r>
          <w:rPr>
            <w:webHidden/>
          </w:rPr>
        </w:r>
        <w:r>
          <w:rPr>
            <w:webHidden/>
          </w:rPr>
          <w:fldChar w:fldCharType="separate"/>
        </w:r>
        <w:r w:rsidR="00AA17AB">
          <w:rPr>
            <w:webHidden/>
          </w:rPr>
          <w:t>46</w:t>
        </w:r>
        <w:r>
          <w:rPr>
            <w:webHidden/>
          </w:rPr>
          <w:fldChar w:fldCharType="end"/>
        </w:r>
      </w:hyperlink>
    </w:p>
    <w:p w14:paraId="4FB8B0C6" w14:textId="11F39E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5" w:history="1">
        <w:r w:rsidRPr="00FC437C">
          <w:rPr>
            <w:rStyle w:val="Hyperlink"/>
          </w:rPr>
          <w:t>§703.</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_Toc224818575 \h </w:instrText>
        </w:r>
        <w:r>
          <w:rPr>
            <w:webHidden/>
          </w:rPr>
        </w:r>
        <w:r>
          <w:rPr>
            <w:webHidden/>
          </w:rPr>
          <w:fldChar w:fldCharType="separate"/>
        </w:r>
        <w:r w:rsidR="00AA17AB">
          <w:rPr>
            <w:webHidden/>
          </w:rPr>
          <w:t>46</w:t>
        </w:r>
        <w:r>
          <w:rPr>
            <w:webHidden/>
          </w:rPr>
          <w:fldChar w:fldCharType="end"/>
        </w:r>
      </w:hyperlink>
    </w:p>
    <w:p w14:paraId="7B626A14" w14:textId="29B4073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6" w:history="1">
        <w:r w:rsidRPr="00FC437C">
          <w:rPr>
            <w:rStyle w:val="Hyperlink"/>
          </w:rPr>
          <w:t>§705.</w:t>
        </w:r>
        <w:r>
          <w:rPr>
            <w:rFonts w:asciiTheme="minorHAnsi" w:eastAsiaTheme="minorEastAsia" w:hAnsiTheme="minorHAnsi" w:cstheme="minorBidi"/>
            <w:color w:val="auto"/>
            <w:kern w:val="2"/>
            <w:szCs w:val="24"/>
            <w14:ligatures w14:val="standardContextual"/>
          </w:rPr>
          <w:tab/>
        </w:r>
        <w:r w:rsidRPr="00FC437C">
          <w:rPr>
            <w:rStyle w:val="Hyperlink"/>
          </w:rPr>
          <w:t xml:space="preserve">Linked Deposit Loan Program Authorization; Lending Institution Requirements; Applicants </w:t>
        </w:r>
        <w:r w:rsidR="00695EC1">
          <w:rPr>
            <w:rStyle w:val="Hyperlink"/>
          </w:rPr>
          <w:tab/>
        </w:r>
        <w:r w:rsidRPr="00FC437C">
          <w:rPr>
            <w:rStyle w:val="Hyperlink"/>
          </w:rPr>
          <w:t>Requirements and Conditions for Approval</w:t>
        </w:r>
        <w:r>
          <w:rPr>
            <w:webHidden/>
          </w:rPr>
          <w:tab/>
        </w:r>
        <w:r>
          <w:rPr>
            <w:webHidden/>
          </w:rPr>
          <w:fldChar w:fldCharType="begin"/>
        </w:r>
        <w:r>
          <w:rPr>
            <w:webHidden/>
          </w:rPr>
          <w:instrText xml:space="preserve"> PAGEREF _Toc224818576 \h </w:instrText>
        </w:r>
        <w:r>
          <w:rPr>
            <w:webHidden/>
          </w:rPr>
        </w:r>
        <w:r>
          <w:rPr>
            <w:webHidden/>
          </w:rPr>
          <w:fldChar w:fldCharType="separate"/>
        </w:r>
        <w:r w:rsidR="00AA17AB">
          <w:rPr>
            <w:webHidden/>
          </w:rPr>
          <w:t>47</w:t>
        </w:r>
        <w:r>
          <w:rPr>
            <w:webHidden/>
          </w:rPr>
          <w:fldChar w:fldCharType="end"/>
        </w:r>
      </w:hyperlink>
    </w:p>
    <w:p w14:paraId="098C6C6B" w14:textId="0245FCE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7" w:history="1">
        <w:r w:rsidRPr="00FC437C">
          <w:rPr>
            <w:rStyle w:val="Hyperlink"/>
          </w:rPr>
          <w:t>§707.</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_Toc224818577 \h </w:instrText>
        </w:r>
        <w:r>
          <w:rPr>
            <w:webHidden/>
          </w:rPr>
        </w:r>
        <w:r>
          <w:rPr>
            <w:webHidden/>
          </w:rPr>
          <w:fldChar w:fldCharType="separate"/>
        </w:r>
        <w:r w:rsidR="00AA17AB">
          <w:rPr>
            <w:webHidden/>
          </w:rPr>
          <w:t>48</w:t>
        </w:r>
        <w:r>
          <w:rPr>
            <w:webHidden/>
          </w:rPr>
          <w:fldChar w:fldCharType="end"/>
        </w:r>
      </w:hyperlink>
    </w:p>
    <w:p w14:paraId="6B27EEC1" w14:textId="523DFF6B" w:rsidR="00E67799" w:rsidRDefault="00E67799">
      <w:pPr>
        <w:pStyle w:val="TOC2"/>
        <w:rPr>
          <w:rFonts w:asciiTheme="minorHAnsi" w:eastAsiaTheme="minorEastAsia" w:hAnsiTheme="minorHAnsi" w:cstheme="minorBidi"/>
          <w:kern w:val="2"/>
          <w:szCs w:val="24"/>
          <w14:ligatures w14:val="standardContextual"/>
        </w:rPr>
      </w:pPr>
      <w:hyperlink w:anchor="_Toc22481857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Authorization and Administration of Agricultural Production Linked Deposit Loan Program</w:t>
        </w:r>
        <w:r>
          <w:rPr>
            <w:webHidden/>
          </w:rPr>
          <w:tab/>
        </w:r>
        <w:r>
          <w:rPr>
            <w:webHidden/>
          </w:rPr>
          <w:fldChar w:fldCharType="begin"/>
        </w:r>
        <w:r>
          <w:rPr>
            <w:webHidden/>
          </w:rPr>
          <w:instrText xml:space="preserve"> PAGEREF _Toc224818578 \h </w:instrText>
        </w:r>
        <w:r>
          <w:rPr>
            <w:webHidden/>
          </w:rPr>
        </w:r>
        <w:r>
          <w:rPr>
            <w:webHidden/>
          </w:rPr>
          <w:fldChar w:fldCharType="separate"/>
        </w:r>
        <w:r w:rsidR="00AA17AB">
          <w:rPr>
            <w:webHidden/>
          </w:rPr>
          <w:t>48</w:t>
        </w:r>
        <w:r>
          <w:rPr>
            <w:webHidden/>
          </w:rPr>
          <w:fldChar w:fldCharType="end"/>
        </w:r>
      </w:hyperlink>
    </w:p>
    <w:p w14:paraId="75FF508E" w14:textId="5986AD3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79"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_Toc224818579 \h </w:instrText>
        </w:r>
        <w:r>
          <w:rPr>
            <w:webHidden/>
          </w:rPr>
        </w:r>
        <w:r>
          <w:rPr>
            <w:webHidden/>
          </w:rPr>
          <w:fldChar w:fldCharType="separate"/>
        </w:r>
        <w:r w:rsidR="00AA17AB">
          <w:rPr>
            <w:webHidden/>
          </w:rPr>
          <w:t>48</w:t>
        </w:r>
        <w:r>
          <w:rPr>
            <w:webHidden/>
          </w:rPr>
          <w:fldChar w:fldCharType="end"/>
        </w:r>
      </w:hyperlink>
    </w:p>
    <w:p w14:paraId="5EC24DE5" w14:textId="0792C35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0" w:history="1">
        <w:r w:rsidRPr="00FC437C">
          <w:rPr>
            <w:rStyle w:val="Hyperlink"/>
          </w:rPr>
          <w:t>§713.</w:t>
        </w:r>
        <w:r>
          <w:rPr>
            <w:rFonts w:asciiTheme="minorHAnsi" w:eastAsiaTheme="minorEastAsia" w:hAnsiTheme="minorHAnsi" w:cstheme="minorBidi"/>
            <w:color w:val="auto"/>
            <w:kern w:val="2"/>
            <w:szCs w:val="24"/>
            <w14:ligatures w14:val="standardContextual"/>
          </w:rPr>
          <w:tab/>
        </w:r>
        <w:r w:rsidRPr="00FC437C">
          <w:rPr>
            <w:rStyle w:val="Hyperlink"/>
          </w:rPr>
          <w:t>Eligibility of Applicant</w:t>
        </w:r>
        <w:r>
          <w:rPr>
            <w:webHidden/>
          </w:rPr>
          <w:tab/>
        </w:r>
        <w:r>
          <w:rPr>
            <w:webHidden/>
          </w:rPr>
          <w:fldChar w:fldCharType="begin"/>
        </w:r>
        <w:r>
          <w:rPr>
            <w:webHidden/>
          </w:rPr>
          <w:instrText xml:space="preserve"> PAGEREF _Toc224818580 \h </w:instrText>
        </w:r>
        <w:r>
          <w:rPr>
            <w:webHidden/>
          </w:rPr>
        </w:r>
        <w:r>
          <w:rPr>
            <w:webHidden/>
          </w:rPr>
          <w:fldChar w:fldCharType="separate"/>
        </w:r>
        <w:r w:rsidR="00AA17AB">
          <w:rPr>
            <w:webHidden/>
          </w:rPr>
          <w:t>49</w:t>
        </w:r>
        <w:r>
          <w:rPr>
            <w:webHidden/>
          </w:rPr>
          <w:fldChar w:fldCharType="end"/>
        </w:r>
      </w:hyperlink>
    </w:p>
    <w:p w14:paraId="5F334333" w14:textId="1A9F119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1" w:history="1">
        <w:r w:rsidRPr="00FC437C">
          <w:rPr>
            <w:rStyle w:val="Hyperlink"/>
          </w:rPr>
          <w:t>§715.</w:t>
        </w:r>
        <w:r>
          <w:rPr>
            <w:rFonts w:asciiTheme="minorHAnsi" w:eastAsiaTheme="minorEastAsia" w:hAnsiTheme="minorHAnsi" w:cstheme="minorBidi"/>
            <w:color w:val="auto"/>
            <w:kern w:val="2"/>
            <w:szCs w:val="24"/>
            <w14:ligatures w14:val="standardContextual"/>
          </w:rPr>
          <w:tab/>
        </w:r>
        <w:r w:rsidRPr="00FC437C">
          <w:rPr>
            <w:rStyle w:val="Hyperlink"/>
          </w:rPr>
          <w:t xml:space="preserve">Linked Deposit Loan Program Authorization; Lending Institution Requirements; Applicants </w:t>
        </w:r>
        <w:r w:rsidR="00695EC1">
          <w:rPr>
            <w:rStyle w:val="Hyperlink"/>
          </w:rPr>
          <w:tab/>
        </w:r>
        <w:r w:rsidRPr="00FC437C">
          <w:rPr>
            <w:rStyle w:val="Hyperlink"/>
          </w:rPr>
          <w:t>Requirements and Conditions for Approval</w:t>
        </w:r>
        <w:r>
          <w:rPr>
            <w:webHidden/>
          </w:rPr>
          <w:tab/>
        </w:r>
        <w:r>
          <w:rPr>
            <w:webHidden/>
          </w:rPr>
          <w:fldChar w:fldCharType="begin"/>
        </w:r>
        <w:r>
          <w:rPr>
            <w:webHidden/>
          </w:rPr>
          <w:instrText xml:space="preserve"> PAGEREF _Toc224818581 \h </w:instrText>
        </w:r>
        <w:r>
          <w:rPr>
            <w:webHidden/>
          </w:rPr>
        </w:r>
        <w:r>
          <w:rPr>
            <w:webHidden/>
          </w:rPr>
          <w:fldChar w:fldCharType="separate"/>
        </w:r>
        <w:r w:rsidR="00AA17AB">
          <w:rPr>
            <w:webHidden/>
          </w:rPr>
          <w:t>49</w:t>
        </w:r>
        <w:r>
          <w:rPr>
            <w:webHidden/>
          </w:rPr>
          <w:fldChar w:fldCharType="end"/>
        </w:r>
      </w:hyperlink>
    </w:p>
    <w:p w14:paraId="4CA5E2C7" w14:textId="21752F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2" w:history="1">
        <w:r w:rsidRPr="00FC437C">
          <w:rPr>
            <w:rStyle w:val="Hyperlink"/>
          </w:rPr>
          <w:t>§717.</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_Toc224818582 \h </w:instrText>
        </w:r>
        <w:r>
          <w:rPr>
            <w:webHidden/>
          </w:rPr>
        </w:r>
        <w:r>
          <w:rPr>
            <w:webHidden/>
          </w:rPr>
          <w:fldChar w:fldCharType="separate"/>
        </w:r>
        <w:r w:rsidR="00AA17AB">
          <w:rPr>
            <w:webHidden/>
          </w:rPr>
          <w:t>50</w:t>
        </w:r>
        <w:r>
          <w:rPr>
            <w:webHidden/>
          </w:rPr>
          <w:fldChar w:fldCharType="end"/>
        </w:r>
      </w:hyperlink>
    </w:p>
    <w:p w14:paraId="12F9D1AD" w14:textId="3082CFCF" w:rsidR="00E67799" w:rsidRDefault="00E67799">
      <w:pPr>
        <w:pStyle w:val="TOC2"/>
        <w:rPr>
          <w:rFonts w:asciiTheme="minorHAnsi" w:eastAsiaTheme="minorEastAsia" w:hAnsiTheme="minorHAnsi" w:cstheme="minorBidi"/>
          <w:kern w:val="2"/>
          <w:szCs w:val="24"/>
          <w14:ligatures w14:val="standardContextual"/>
        </w:rPr>
      </w:pPr>
      <w:hyperlink w:anchor="_Toc224818583"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Market Commission―Poultry and Eggs</w:t>
        </w:r>
        <w:r>
          <w:rPr>
            <w:webHidden/>
          </w:rPr>
          <w:tab/>
        </w:r>
        <w:r>
          <w:rPr>
            <w:webHidden/>
          </w:rPr>
          <w:fldChar w:fldCharType="begin"/>
        </w:r>
        <w:r>
          <w:rPr>
            <w:webHidden/>
          </w:rPr>
          <w:instrText xml:space="preserve"> PAGEREF _Toc224818583 \h </w:instrText>
        </w:r>
        <w:r>
          <w:rPr>
            <w:webHidden/>
          </w:rPr>
        </w:r>
        <w:r>
          <w:rPr>
            <w:webHidden/>
          </w:rPr>
          <w:fldChar w:fldCharType="separate"/>
        </w:r>
        <w:r w:rsidR="00AA17AB">
          <w:rPr>
            <w:webHidden/>
          </w:rPr>
          <w:t>50</w:t>
        </w:r>
        <w:r>
          <w:rPr>
            <w:webHidden/>
          </w:rPr>
          <w:fldChar w:fldCharType="end"/>
        </w:r>
      </w:hyperlink>
    </w:p>
    <w:p w14:paraId="14ED841C" w14:textId="12F1313D" w:rsidR="00E67799" w:rsidRDefault="00E67799">
      <w:pPr>
        <w:pStyle w:val="TOC2"/>
        <w:rPr>
          <w:rFonts w:asciiTheme="minorHAnsi" w:eastAsiaTheme="minorEastAsia" w:hAnsiTheme="minorHAnsi" w:cstheme="minorBidi"/>
          <w:kern w:val="2"/>
          <w:szCs w:val="24"/>
          <w14:ligatures w14:val="standardContextual"/>
        </w:rPr>
      </w:pPr>
      <w:hyperlink w:anchor="_Toc224818584"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Certification of Official State Grades of Poultry, Poultry Products and Shell Eggs</w:t>
        </w:r>
        <w:r>
          <w:rPr>
            <w:webHidden/>
          </w:rPr>
          <w:tab/>
        </w:r>
        <w:r>
          <w:rPr>
            <w:webHidden/>
          </w:rPr>
          <w:fldChar w:fldCharType="begin"/>
        </w:r>
        <w:r>
          <w:rPr>
            <w:webHidden/>
          </w:rPr>
          <w:instrText xml:space="preserve"> PAGEREF _Toc224818584 \h </w:instrText>
        </w:r>
        <w:r>
          <w:rPr>
            <w:webHidden/>
          </w:rPr>
        </w:r>
        <w:r>
          <w:rPr>
            <w:webHidden/>
          </w:rPr>
          <w:fldChar w:fldCharType="separate"/>
        </w:r>
        <w:r w:rsidR="00AA17AB">
          <w:rPr>
            <w:webHidden/>
          </w:rPr>
          <w:t>50</w:t>
        </w:r>
        <w:r>
          <w:rPr>
            <w:webHidden/>
          </w:rPr>
          <w:fldChar w:fldCharType="end"/>
        </w:r>
      </w:hyperlink>
    </w:p>
    <w:p w14:paraId="76F1EABA" w14:textId="2E4BC13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5"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Establishment of Official State Grades of Poultry, Poultry Products, and Shell Eggs</w:t>
        </w:r>
        <w:r>
          <w:rPr>
            <w:webHidden/>
          </w:rPr>
          <w:tab/>
        </w:r>
        <w:r>
          <w:rPr>
            <w:webHidden/>
          </w:rPr>
          <w:fldChar w:fldCharType="begin"/>
        </w:r>
        <w:r>
          <w:rPr>
            <w:webHidden/>
          </w:rPr>
          <w:instrText xml:space="preserve"> PAGEREF _Toc224818585 \h </w:instrText>
        </w:r>
        <w:r>
          <w:rPr>
            <w:webHidden/>
          </w:rPr>
        </w:r>
        <w:r>
          <w:rPr>
            <w:webHidden/>
          </w:rPr>
          <w:fldChar w:fldCharType="separate"/>
        </w:r>
        <w:r w:rsidR="00AA17AB">
          <w:rPr>
            <w:webHidden/>
          </w:rPr>
          <w:t>50</w:t>
        </w:r>
        <w:r>
          <w:rPr>
            <w:webHidden/>
          </w:rPr>
          <w:fldChar w:fldCharType="end"/>
        </w:r>
      </w:hyperlink>
    </w:p>
    <w:p w14:paraId="39C6E97E" w14:textId="00F4044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6" w:history="1">
        <w:r w:rsidRPr="00FC437C">
          <w:rPr>
            <w:rStyle w:val="Hyperlink"/>
          </w:rPr>
          <w:t>§903.</w:t>
        </w:r>
        <w:r>
          <w:rPr>
            <w:rFonts w:asciiTheme="minorHAnsi" w:eastAsiaTheme="minorEastAsia" w:hAnsiTheme="minorHAnsi" w:cstheme="minorBidi"/>
            <w:color w:val="auto"/>
            <w:kern w:val="2"/>
            <w:szCs w:val="24"/>
            <w14:ligatures w14:val="standardContextual"/>
          </w:rPr>
          <w:tab/>
        </w:r>
        <w:r w:rsidRPr="00FC437C">
          <w:rPr>
            <w:rStyle w:val="Hyperlink"/>
          </w:rPr>
          <w:t>Certification of Poultry, Poultry Products, and Shell Eggs</w:t>
        </w:r>
        <w:r>
          <w:rPr>
            <w:webHidden/>
          </w:rPr>
          <w:tab/>
        </w:r>
        <w:r>
          <w:rPr>
            <w:webHidden/>
          </w:rPr>
          <w:fldChar w:fldCharType="begin"/>
        </w:r>
        <w:r>
          <w:rPr>
            <w:webHidden/>
          </w:rPr>
          <w:instrText xml:space="preserve"> PAGEREF _Toc224818586 \h </w:instrText>
        </w:r>
        <w:r>
          <w:rPr>
            <w:webHidden/>
          </w:rPr>
        </w:r>
        <w:r>
          <w:rPr>
            <w:webHidden/>
          </w:rPr>
          <w:fldChar w:fldCharType="separate"/>
        </w:r>
        <w:r w:rsidR="00AA17AB">
          <w:rPr>
            <w:webHidden/>
          </w:rPr>
          <w:t>51</w:t>
        </w:r>
        <w:r>
          <w:rPr>
            <w:webHidden/>
          </w:rPr>
          <w:fldChar w:fldCharType="end"/>
        </w:r>
      </w:hyperlink>
    </w:p>
    <w:p w14:paraId="1EF84D6F" w14:textId="50C1114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7" w:history="1">
        <w:r w:rsidRPr="00FC437C">
          <w:rPr>
            <w:rStyle w:val="Hyperlink"/>
          </w:rPr>
          <w:t>§905.</w:t>
        </w:r>
        <w:r>
          <w:rPr>
            <w:rFonts w:asciiTheme="minorHAnsi" w:eastAsiaTheme="minorEastAsia" w:hAnsiTheme="minorHAnsi" w:cstheme="minorBidi"/>
            <w:color w:val="auto"/>
            <w:kern w:val="2"/>
            <w:szCs w:val="24"/>
            <w14:ligatures w14:val="standardContextual"/>
          </w:rPr>
          <w:tab/>
        </w:r>
        <w:r w:rsidRPr="00FC437C">
          <w:rPr>
            <w:rStyle w:val="Hyperlink"/>
          </w:rPr>
          <w:t>Time Limitation for Issuance of Certificate</w:t>
        </w:r>
        <w:r>
          <w:rPr>
            <w:webHidden/>
          </w:rPr>
          <w:tab/>
        </w:r>
        <w:r>
          <w:rPr>
            <w:webHidden/>
          </w:rPr>
          <w:fldChar w:fldCharType="begin"/>
        </w:r>
        <w:r>
          <w:rPr>
            <w:webHidden/>
          </w:rPr>
          <w:instrText xml:space="preserve"> PAGEREF _Toc224818587 \h </w:instrText>
        </w:r>
        <w:r>
          <w:rPr>
            <w:webHidden/>
          </w:rPr>
        </w:r>
        <w:r>
          <w:rPr>
            <w:webHidden/>
          </w:rPr>
          <w:fldChar w:fldCharType="separate"/>
        </w:r>
        <w:r w:rsidR="00AA17AB">
          <w:rPr>
            <w:webHidden/>
          </w:rPr>
          <w:t>51</w:t>
        </w:r>
        <w:r>
          <w:rPr>
            <w:webHidden/>
          </w:rPr>
          <w:fldChar w:fldCharType="end"/>
        </w:r>
      </w:hyperlink>
    </w:p>
    <w:p w14:paraId="36BF59D1" w14:textId="26BB3D6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8" w:history="1">
        <w:r w:rsidRPr="00FC437C">
          <w:rPr>
            <w:rStyle w:val="Hyperlink"/>
          </w:rPr>
          <w:t>§907.</w:t>
        </w:r>
        <w:r>
          <w:rPr>
            <w:rFonts w:asciiTheme="minorHAnsi" w:eastAsiaTheme="minorEastAsia" w:hAnsiTheme="minorHAnsi" w:cstheme="minorBidi"/>
            <w:color w:val="auto"/>
            <w:kern w:val="2"/>
            <w:szCs w:val="24"/>
            <w14:ligatures w14:val="standardContextual"/>
          </w:rPr>
          <w:tab/>
        </w:r>
        <w:r w:rsidRPr="00FC437C">
          <w:rPr>
            <w:rStyle w:val="Hyperlink"/>
          </w:rPr>
          <w:t>Waiver of Specification Requirements</w:t>
        </w:r>
        <w:r>
          <w:rPr>
            <w:webHidden/>
          </w:rPr>
          <w:tab/>
        </w:r>
        <w:r>
          <w:rPr>
            <w:webHidden/>
          </w:rPr>
          <w:fldChar w:fldCharType="begin"/>
        </w:r>
        <w:r>
          <w:rPr>
            <w:webHidden/>
          </w:rPr>
          <w:instrText xml:space="preserve"> PAGEREF _Toc224818588 \h </w:instrText>
        </w:r>
        <w:r>
          <w:rPr>
            <w:webHidden/>
          </w:rPr>
        </w:r>
        <w:r>
          <w:rPr>
            <w:webHidden/>
          </w:rPr>
          <w:fldChar w:fldCharType="separate"/>
        </w:r>
        <w:r w:rsidR="00AA17AB">
          <w:rPr>
            <w:webHidden/>
          </w:rPr>
          <w:t>51</w:t>
        </w:r>
        <w:r>
          <w:rPr>
            <w:webHidden/>
          </w:rPr>
          <w:fldChar w:fldCharType="end"/>
        </w:r>
      </w:hyperlink>
    </w:p>
    <w:p w14:paraId="65E56D22" w14:textId="6E53B9A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89" w:history="1">
        <w:r w:rsidRPr="00FC437C">
          <w:rPr>
            <w:rStyle w:val="Hyperlink"/>
          </w:rPr>
          <w:t>§909.</w:t>
        </w:r>
        <w:r>
          <w:rPr>
            <w:rFonts w:asciiTheme="minorHAnsi" w:eastAsiaTheme="minorEastAsia" w:hAnsiTheme="minorHAnsi" w:cstheme="minorBidi"/>
            <w:color w:val="auto"/>
            <w:kern w:val="2"/>
            <w:szCs w:val="24"/>
            <w14:ligatures w14:val="standardContextual"/>
          </w:rPr>
          <w:tab/>
        </w:r>
        <w:r w:rsidRPr="00FC437C">
          <w:rPr>
            <w:rStyle w:val="Hyperlink"/>
          </w:rPr>
          <w:t>Final Delivery of Product</w:t>
        </w:r>
        <w:r>
          <w:rPr>
            <w:webHidden/>
          </w:rPr>
          <w:tab/>
        </w:r>
        <w:r>
          <w:rPr>
            <w:webHidden/>
          </w:rPr>
          <w:fldChar w:fldCharType="begin"/>
        </w:r>
        <w:r>
          <w:rPr>
            <w:webHidden/>
          </w:rPr>
          <w:instrText xml:space="preserve"> PAGEREF _Toc224818589 \h </w:instrText>
        </w:r>
        <w:r>
          <w:rPr>
            <w:webHidden/>
          </w:rPr>
        </w:r>
        <w:r>
          <w:rPr>
            <w:webHidden/>
          </w:rPr>
          <w:fldChar w:fldCharType="separate"/>
        </w:r>
        <w:r w:rsidR="00AA17AB">
          <w:rPr>
            <w:webHidden/>
          </w:rPr>
          <w:t>51</w:t>
        </w:r>
        <w:r>
          <w:rPr>
            <w:webHidden/>
          </w:rPr>
          <w:fldChar w:fldCharType="end"/>
        </w:r>
      </w:hyperlink>
    </w:p>
    <w:p w14:paraId="2D9892C3" w14:textId="2DECF7F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0" w:history="1">
        <w:r w:rsidRPr="00FC437C">
          <w:rPr>
            <w:rStyle w:val="Hyperlink"/>
          </w:rPr>
          <w:t>§911.</w:t>
        </w:r>
        <w:r>
          <w:rPr>
            <w:rFonts w:asciiTheme="minorHAnsi" w:eastAsiaTheme="minorEastAsia" w:hAnsiTheme="minorHAnsi" w:cstheme="minorBidi"/>
            <w:color w:val="auto"/>
            <w:kern w:val="2"/>
            <w:szCs w:val="24"/>
            <w14:ligatures w14:val="standardContextual"/>
          </w:rPr>
          <w:tab/>
        </w:r>
        <w:r w:rsidRPr="00FC437C">
          <w:rPr>
            <w:rStyle w:val="Hyperlink"/>
          </w:rPr>
          <w:t>Contractor's Obligations</w:t>
        </w:r>
        <w:r>
          <w:rPr>
            <w:webHidden/>
          </w:rPr>
          <w:tab/>
        </w:r>
        <w:r>
          <w:rPr>
            <w:webHidden/>
          </w:rPr>
          <w:fldChar w:fldCharType="begin"/>
        </w:r>
        <w:r>
          <w:rPr>
            <w:webHidden/>
          </w:rPr>
          <w:instrText xml:space="preserve"> PAGEREF _Toc224818590 \h </w:instrText>
        </w:r>
        <w:r>
          <w:rPr>
            <w:webHidden/>
          </w:rPr>
        </w:r>
        <w:r>
          <w:rPr>
            <w:webHidden/>
          </w:rPr>
          <w:fldChar w:fldCharType="separate"/>
        </w:r>
        <w:r w:rsidR="00AA17AB">
          <w:rPr>
            <w:webHidden/>
          </w:rPr>
          <w:t>52</w:t>
        </w:r>
        <w:r>
          <w:rPr>
            <w:webHidden/>
          </w:rPr>
          <w:fldChar w:fldCharType="end"/>
        </w:r>
      </w:hyperlink>
    </w:p>
    <w:p w14:paraId="5142FB69" w14:textId="2A9FAB6F" w:rsidR="00E67799" w:rsidRDefault="00E67799">
      <w:pPr>
        <w:pStyle w:val="TOC2"/>
        <w:rPr>
          <w:rFonts w:asciiTheme="minorHAnsi" w:eastAsiaTheme="minorEastAsia" w:hAnsiTheme="minorHAnsi" w:cstheme="minorBidi"/>
          <w:kern w:val="2"/>
          <w:szCs w:val="24"/>
          <w14:ligatures w14:val="standardContextual"/>
        </w:rPr>
      </w:pPr>
      <w:hyperlink w:anchor="_Toc224818591"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Egg Grading and Marketing</w:t>
        </w:r>
        <w:r>
          <w:rPr>
            <w:webHidden/>
          </w:rPr>
          <w:tab/>
        </w:r>
        <w:r>
          <w:rPr>
            <w:webHidden/>
          </w:rPr>
          <w:fldChar w:fldCharType="begin"/>
        </w:r>
        <w:r>
          <w:rPr>
            <w:webHidden/>
          </w:rPr>
          <w:instrText xml:space="preserve"> PAGEREF _Toc224818591 \h </w:instrText>
        </w:r>
        <w:r>
          <w:rPr>
            <w:webHidden/>
          </w:rPr>
        </w:r>
        <w:r>
          <w:rPr>
            <w:webHidden/>
          </w:rPr>
          <w:fldChar w:fldCharType="separate"/>
        </w:r>
        <w:r w:rsidR="00AA17AB">
          <w:rPr>
            <w:webHidden/>
          </w:rPr>
          <w:t>52</w:t>
        </w:r>
        <w:r>
          <w:rPr>
            <w:webHidden/>
          </w:rPr>
          <w:fldChar w:fldCharType="end"/>
        </w:r>
      </w:hyperlink>
    </w:p>
    <w:p w14:paraId="11B3CA4E" w14:textId="3E04E30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2" w:history="1">
        <w:r w:rsidRPr="00FC437C">
          <w:rPr>
            <w:rStyle w:val="Hyperlink"/>
          </w:rPr>
          <w:t>§915.</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_Toc224818592 \h </w:instrText>
        </w:r>
        <w:r>
          <w:rPr>
            <w:webHidden/>
          </w:rPr>
        </w:r>
        <w:r>
          <w:rPr>
            <w:webHidden/>
          </w:rPr>
          <w:fldChar w:fldCharType="separate"/>
        </w:r>
        <w:r w:rsidR="00AA17AB">
          <w:rPr>
            <w:webHidden/>
          </w:rPr>
          <w:t>52</w:t>
        </w:r>
        <w:r>
          <w:rPr>
            <w:webHidden/>
          </w:rPr>
          <w:fldChar w:fldCharType="end"/>
        </w:r>
      </w:hyperlink>
    </w:p>
    <w:p w14:paraId="3964E00A" w14:textId="22899D0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3" w:history="1">
        <w:r w:rsidRPr="00FC437C">
          <w:rPr>
            <w:rStyle w:val="Hyperlink"/>
          </w:rPr>
          <w:t>§917.</w:t>
        </w:r>
        <w:r>
          <w:rPr>
            <w:rFonts w:asciiTheme="minorHAnsi" w:eastAsiaTheme="minorEastAsia" w:hAnsiTheme="minorHAnsi" w:cstheme="minorBidi"/>
            <w:color w:val="auto"/>
            <w:kern w:val="2"/>
            <w:szCs w:val="24"/>
            <w14:ligatures w14:val="standardContextual"/>
          </w:rPr>
          <w:tab/>
        </w:r>
        <w:r w:rsidRPr="00FC437C">
          <w:rPr>
            <w:rStyle w:val="Hyperlink"/>
          </w:rPr>
          <w:t>Temperature Requirements</w:t>
        </w:r>
        <w:r>
          <w:rPr>
            <w:webHidden/>
          </w:rPr>
          <w:tab/>
        </w:r>
        <w:r>
          <w:rPr>
            <w:webHidden/>
          </w:rPr>
          <w:fldChar w:fldCharType="begin"/>
        </w:r>
        <w:r>
          <w:rPr>
            <w:webHidden/>
          </w:rPr>
          <w:instrText xml:space="preserve"> PAGEREF _Toc224818593 \h </w:instrText>
        </w:r>
        <w:r>
          <w:rPr>
            <w:webHidden/>
          </w:rPr>
        </w:r>
        <w:r>
          <w:rPr>
            <w:webHidden/>
          </w:rPr>
          <w:fldChar w:fldCharType="separate"/>
        </w:r>
        <w:r w:rsidR="00AA17AB">
          <w:rPr>
            <w:webHidden/>
          </w:rPr>
          <w:t>53</w:t>
        </w:r>
        <w:r>
          <w:rPr>
            <w:webHidden/>
          </w:rPr>
          <w:fldChar w:fldCharType="end"/>
        </w:r>
      </w:hyperlink>
    </w:p>
    <w:p w14:paraId="6DF3A0F8" w14:textId="6EBF1CB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4" w:history="1">
        <w:r w:rsidRPr="00FC437C">
          <w:rPr>
            <w:rStyle w:val="Hyperlink"/>
          </w:rPr>
          <w:t>§919.</w:t>
        </w:r>
        <w:r>
          <w:rPr>
            <w:rFonts w:asciiTheme="minorHAnsi" w:eastAsiaTheme="minorEastAsia" w:hAnsiTheme="minorHAnsi" w:cstheme="minorBidi"/>
            <w:color w:val="auto"/>
            <w:kern w:val="2"/>
            <w:szCs w:val="24"/>
            <w14:ligatures w14:val="standardContextual"/>
          </w:rPr>
          <w:tab/>
        </w:r>
        <w:r w:rsidRPr="00FC437C">
          <w:rPr>
            <w:rStyle w:val="Hyperlink"/>
          </w:rPr>
          <w:t>Sale or Offering for Sale of Eggs within Louisiana</w:t>
        </w:r>
        <w:r>
          <w:rPr>
            <w:webHidden/>
          </w:rPr>
          <w:tab/>
        </w:r>
        <w:r>
          <w:rPr>
            <w:webHidden/>
          </w:rPr>
          <w:fldChar w:fldCharType="begin"/>
        </w:r>
        <w:r>
          <w:rPr>
            <w:webHidden/>
          </w:rPr>
          <w:instrText xml:space="preserve"> PAGEREF _Toc224818594 \h </w:instrText>
        </w:r>
        <w:r>
          <w:rPr>
            <w:webHidden/>
          </w:rPr>
        </w:r>
        <w:r>
          <w:rPr>
            <w:webHidden/>
          </w:rPr>
          <w:fldChar w:fldCharType="separate"/>
        </w:r>
        <w:r w:rsidR="00AA17AB">
          <w:rPr>
            <w:webHidden/>
          </w:rPr>
          <w:t>53</w:t>
        </w:r>
        <w:r>
          <w:rPr>
            <w:webHidden/>
          </w:rPr>
          <w:fldChar w:fldCharType="end"/>
        </w:r>
      </w:hyperlink>
    </w:p>
    <w:p w14:paraId="367332EB" w14:textId="0D491C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5" w:history="1">
        <w:r w:rsidRPr="00FC437C">
          <w:rPr>
            <w:rStyle w:val="Hyperlink"/>
          </w:rPr>
          <w:t>§921.</w:t>
        </w:r>
        <w:r>
          <w:rPr>
            <w:rFonts w:asciiTheme="minorHAnsi" w:eastAsiaTheme="minorEastAsia" w:hAnsiTheme="minorHAnsi" w:cstheme="minorBidi"/>
            <w:color w:val="auto"/>
            <w:kern w:val="2"/>
            <w:szCs w:val="24"/>
            <w14:ligatures w14:val="standardContextual"/>
          </w:rPr>
          <w:tab/>
        </w:r>
        <w:r w:rsidRPr="00FC437C">
          <w:rPr>
            <w:rStyle w:val="Hyperlink"/>
          </w:rPr>
          <w:t>Louisiana Standards, Grades and Weight Classes for Shell Eggs</w:t>
        </w:r>
        <w:r>
          <w:rPr>
            <w:webHidden/>
          </w:rPr>
          <w:tab/>
        </w:r>
        <w:r>
          <w:rPr>
            <w:webHidden/>
          </w:rPr>
          <w:fldChar w:fldCharType="begin"/>
        </w:r>
        <w:r>
          <w:rPr>
            <w:webHidden/>
          </w:rPr>
          <w:instrText xml:space="preserve"> PAGEREF _Toc224818595 \h </w:instrText>
        </w:r>
        <w:r>
          <w:rPr>
            <w:webHidden/>
          </w:rPr>
        </w:r>
        <w:r>
          <w:rPr>
            <w:webHidden/>
          </w:rPr>
          <w:fldChar w:fldCharType="separate"/>
        </w:r>
        <w:r w:rsidR="00AA17AB">
          <w:rPr>
            <w:webHidden/>
          </w:rPr>
          <w:t>54</w:t>
        </w:r>
        <w:r>
          <w:rPr>
            <w:webHidden/>
          </w:rPr>
          <w:fldChar w:fldCharType="end"/>
        </w:r>
      </w:hyperlink>
    </w:p>
    <w:p w14:paraId="7C753FB4" w14:textId="11DD2F8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6" w:history="1">
        <w:r w:rsidRPr="00FC437C">
          <w:rPr>
            <w:rStyle w:val="Hyperlink"/>
          </w:rPr>
          <w:t>§923.</w:t>
        </w:r>
        <w:r>
          <w:rPr>
            <w:rFonts w:asciiTheme="minorHAnsi" w:eastAsiaTheme="minorEastAsia" w:hAnsiTheme="minorHAnsi" w:cstheme="minorBidi"/>
            <w:color w:val="auto"/>
            <w:kern w:val="2"/>
            <w:szCs w:val="24"/>
            <w14:ligatures w14:val="standardContextual"/>
          </w:rPr>
          <w:tab/>
        </w:r>
        <w:r w:rsidRPr="00FC437C">
          <w:rPr>
            <w:rStyle w:val="Hyperlink"/>
          </w:rPr>
          <w:t>Inspections; Fees; Failure to Meet Standards</w:t>
        </w:r>
        <w:r>
          <w:rPr>
            <w:webHidden/>
          </w:rPr>
          <w:tab/>
        </w:r>
        <w:r>
          <w:rPr>
            <w:webHidden/>
          </w:rPr>
          <w:fldChar w:fldCharType="begin"/>
        </w:r>
        <w:r>
          <w:rPr>
            <w:webHidden/>
          </w:rPr>
          <w:instrText xml:space="preserve"> PAGEREF _Toc224818596 \h </w:instrText>
        </w:r>
        <w:r>
          <w:rPr>
            <w:webHidden/>
          </w:rPr>
        </w:r>
        <w:r>
          <w:rPr>
            <w:webHidden/>
          </w:rPr>
          <w:fldChar w:fldCharType="separate"/>
        </w:r>
        <w:r w:rsidR="00AA17AB">
          <w:rPr>
            <w:webHidden/>
          </w:rPr>
          <w:t>54</w:t>
        </w:r>
        <w:r>
          <w:rPr>
            <w:webHidden/>
          </w:rPr>
          <w:fldChar w:fldCharType="end"/>
        </w:r>
      </w:hyperlink>
    </w:p>
    <w:p w14:paraId="3919D088" w14:textId="6303C4A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7" w:history="1">
        <w:r w:rsidRPr="00FC437C">
          <w:rPr>
            <w:rStyle w:val="Hyperlink"/>
          </w:rPr>
          <w:t>§925.</w:t>
        </w:r>
        <w:r>
          <w:rPr>
            <w:rFonts w:asciiTheme="minorHAnsi" w:eastAsiaTheme="minorEastAsia" w:hAnsiTheme="minorHAnsi" w:cstheme="minorBidi"/>
            <w:color w:val="auto"/>
            <w:kern w:val="2"/>
            <w:szCs w:val="24"/>
            <w14:ligatures w14:val="standardContextual"/>
          </w:rPr>
          <w:tab/>
        </w:r>
        <w:r w:rsidRPr="00FC437C">
          <w:rPr>
            <w:rStyle w:val="Hyperlink"/>
          </w:rPr>
          <w:t>Ownership</w:t>
        </w:r>
        <w:r>
          <w:rPr>
            <w:webHidden/>
          </w:rPr>
          <w:tab/>
        </w:r>
        <w:r>
          <w:rPr>
            <w:webHidden/>
          </w:rPr>
          <w:fldChar w:fldCharType="begin"/>
        </w:r>
        <w:r>
          <w:rPr>
            <w:webHidden/>
          </w:rPr>
          <w:instrText xml:space="preserve"> PAGEREF _Toc224818597 \h </w:instrText>
        </w:r>
        <w:r>
          <w:rPr>
            <w:webHidden/>
          </w:rPr>
        </w:r>
        <w:r>
          <w:rPr>
            <w:webHidden/>
          </w:rPr>
          <w:fldChar w:fldCharType="separate"/>
        </w:r>
        <w:r w:rsidR="00AA17AB">
          <w:rPr>
            <w:webHidden/>
          </w:rPr>
          <w:t>55</w:t>
        </w:r>
        <w:r>
          <w:rPr>
            <w:webHidden/>
          </w:rPr>
          <w:fldChar w:fldCharType="end"/>
        </w:r>
      </w:hyperlink>
    </w:p>
    <w:p w14:paraId="2E61B9DD" w14:textId="3D4ECD7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8" w:history="1">
        <w:r w:rsidRPr="00FC437C">
          <w:rPr>
            <w:rStyle w:val="Hyperlink"/>
          </w:rPr>
          <w:t>§927.</w:t>
        </w:r>
        <w:r>
          <w:rPr>
            <w:rFonts w:asciiTheme="minorHAnsi" w:eastAsiaTheme="minorEastAsia" w:hAnsiTheme="minorHAnsi" w:cstheme="minorBidi"/>
            <w:color w:val="auto"/>
            <w:kern w:val="2"/>
            <w:szCs w:val="24"/>
            <w14:ligatures w14:val="standardContextual"/>
          </w:rPr>
          <w:tab/>
        </w:r>
        <w:r w:rsidRPr="00FC437C">
          <w:rPr>
            <w:rStyle w:val="Hyperlink"/>
          </w:rPr>
          <w:t>Destination Tolerances; Additional Inspection Fees</w:t>
        </w:r>
        <w:r>
          <w:rPr>
            <w:webHidden/>
          </w:rPr>
          <w:tab/>
        </w:r>
        <w:r>
          <w:rPr>
            <w:webHidden/>
          </w:rPr>
          <w:fldChar w:fldCharType="begin"/>
        </w:r>
        <w:r>
          <w:rPr>
            <w:webHidden/>
          </w:rPr>
          <w:instrText xml:space="preserve"> PAGEREF _Toc224818598 \h </w:instrText>
        </w:r>
        <w:r>
          <w:rPr>
            <w:webHidden/>
          </w:rPr>
        </w:r>
        <w:r>
          <w:rPr>
            <w:webHidden/>
          </w:rPr>
          <w:fldChar w:fldCharType="separate"/>
        </w:r>
        <w:r w:rsidR="00AA17AB">
          <w:rPr>
            <w:webHidden/>
          </w:rPr>
          <w:t>55</w:t>
        </w:r>
        <w:r>
          <w:rPr>
            <w:webHidden/>
          </w:rPr>
          <w:fldChar w:fldCharType="end"/>
        </w:r>
      </w:hyperlink>
    </w:p>
    <w:p w14:paraId="76241F8F" w14:textId="68A641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599" w:history="1">
        <w:r w:rsidRPr="00FC437C">
          <w:rPr>
            <w:rStyle w:val="Hyperlink"/>
          </w:rPr>
          <w:t>§929.</w:t>
        </w:r>
        <w:r>
          <w:rPr>
            <w:rFonts w:asciiTheme="minorHAnsi" w:eastAsiaTheme="minorEastAsia" w:hAnsiTheme="minorHAnsi" w:cstheme="minorBidi"/>
            <w:color w:val="auto"/>
            <w:kern w:val="2"/>
            <w:szCs w:val="24"/>
            <w14:ligatures w14:val="standardContextual"/>
          </w:rPr>
          <w:tab/>
        </w:r>
        <w:r w:rsidRPr="00FC437C">
          <w:rPr>
            <w:rStyle w:val="Hyperlink"/>
          </w:rPr>
          <w:t>Labeling, Advertising and Displaying of Eggs</w:t>
        </w:r>
        <w:r>
          <w:rPr>
            <w:webHidden/>
          </w:rPr>
          <w:tab/>
        </w:r>
        <w:r>
          <w:rPr>
            <w:webHidden/>
          </w:rPr>
          <w:fldChar w:fldCharType="begin"/>
        </w:r>
        <w:r>
          <w:rPr>
            <w:webHidden/>
          </w:rPr>
          <w:instrText xml:space="preserve"> PAGEREF _Toc224818599 \h </w:instrText>
        </w:r>
        <w:r>
          <w:rPr>
            <w:webHidden/>
          </w:rPr>
        </w:r>
        <w:r>
          <w:rPr>
            <w:webHidden/>
          </w:rPr>
          <w:fldChar w:fldCharType="separate"/>
        </w:r>
        <w:r w:rsidR="00AA17AB">
          <w:rPr>
            <w:webHidden/>
          </w:rPr>
          <w:t>55</w:t>
        </w:r>
        <w:r>
          <w:rPr>
            <w:webHidden/>
          </w:rPr>
          <w:fldChar w:fldCharType="end"/>
        </w:r>
      </w:hyperlink>
    </w:p>
    <w:p w14:paraId="62DBADB4" w14:textId="27669E6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0" w:history="1">
        <w:r w:rsidRPr="00FC437C">
          <w:rPr>
            <w:rStyle w:val="Hyperlink"/>
          </w:rPr>
          <w:t>§931.</w:t>
        </w:r>
        <w:r>
          <w:rPr>
            <w:rFonts w:asciiTheme="minorHAnsi" w:eastAsiaTheme="minorEastAsia" w:hAnsiTheme="minorHAnsi" w:cstheme="minorBidi"/>
            <w:color w:val="auto"/>
            <w:kern w:val="2"/>
            <w:szCs w:val="24"/>
            <w14:ligatures w14:val="standardContextual"/>
          </w:rPr>
          <w:tab/>
        </w:r>
        <w:r w:rsidRPr="00FC437C">
          <w:rPr>
            <w:rStyle w:val="Hyperlink"/>
          </w:rPr>
          <w:t>Exemption</w:t>
        </w:r>
        <w:r>
          <w:rPr>
            <w:webHidden/>
          </w:rPr>
          <w:tab/>
        </w:r>
        <w:r>
          <w:rPr>
            <w:webHidden/>
          </w:rPr>
          <w:fldChar w:fldCharType="begin"/>
        </w:r>
        <w:r>
          <w:rPr>
            <w:webHidden/>
          </w:rPr>
          <w:instrText xml:space="preserve"> PAGEREF _Toc224818600 \h </w:instrText>
        </w:r>
        <w:r>
          <w:rPr>
            <w:webHidden/>
          </w:rPr>
        </w:r>
        <w:r>
          <w:rPr>
            <w:webHidden/>
          </w:rPr>
          <w:fldChar w:fldCharType="separate"/>
        </w:r>
        <w:r w:rsidR="00AA17AB">
          <w:rPr>
            <w:webHidden/>
          </w:rPr>
          <w:t>56</w:t>
        </w:r>
        <w:r>
          <w:rPr>
            <w:webHidden/>
          </w:rPr>
          <w:fldChar w:fldCharType="end"/>
        </w:r>
      </w:hyperlink>
    </w:p>
    <w:p w14:paraId="20A3BCDE" w14:textId="282C665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1" w:history="1">
        <w:r w:rsidRPr="00FC437C">
          <w:rPr>
            <w:rStyle w:val="Hyperlink"/>
          </w:rPr>
          <w:t>§933.</w:t>
        </w:r>
        <w:r>
          <w:rPr>
            <w:rFonts w:asciiTheme="minorHAnsi" w:eastAsiaTheme="minorEastAsia" w:hAnsiTheme="minorHAnsi" w:cstheme="minorBidi"/>
            <w:color w:val="auto"/>
            <w:kern w:val="2"/>
            <w:szCs w:val="24"/>
            <w14:ligatures w14:val="standardContextual"/>
          </w:rPr>
          <w:tab/>
        </w:r>
        <w:r w:rsidRPr="00FC437C">
          <w:rPr>
            <w:rStyle w:val="Hyperlink"/>
          </w:rPr>
          <w:t>Stop Sale Notices</w:t>
        </w:r>
        <w:r>
          <w:rPr>
            <w:webHidden/>
          </w:rPr>
          <w:tab/>
        </w:r>
        <w:r>
          <w:rPr>
            <w:webHidden/>
          </w:rPr>
          <w:fldChar w:fldCharType="begin"/>
        </w:r>
        <w:r>
          <w:rPr>
            <w:webHidden/>
          </w:rPr>
          <w:instrText xml:space="preserve"> PAGEREF _Toc224818601 \h </w:instrText>
        </w:r>
        <w:r>
          <w:rPr>
            <w:webHidden/>
          </w:rPr>
        </w:r>
        <w:r>
          <w:rPr>
            <w:webHidden/>
          </w:rPr>
          <w:fldChar w:fldCharType="separate"/>
        </w:r>
        <w:r w:rsidR="00AA17AB">
          <w:rPr>
            <w:webHidden/>
          </w:rPr>
          <w:t>56</w:t>
        </w:r>
        <w:r>
          <w:rPr>
            <w:webHidden/>
          </w:rPr>
          <w:fldChar w:fldCharType="end"/>
        </w:r>
      </w:hyperlink>
    </w:p>
    <w:p w14:paraId="44914865" w14:textId="0FC43C5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2" w:history="1">
        <w:r w:rsidRPr="00FC437C">
          <w:rPr>
            <w:rStyle w:val="Hyperlink"/>
          </w:rPr>
          <w:t>§935.</w:t>
        </w:r>
        <w:r>
          <w:rPr>
            <w:rFonts w:asciiTheme="minorHAnsi" w:eastAsiaTheme="minorEastAsia" w:hAnsiTheme="minorHAnsi" w:cstheme="minorBidi"/>
            <w:color w:val="auto"/>
            <w:kern w:val="2"/>
            <w:szCs w:val="24"/>
            <w14:ligatures w14:val="standardContextual"/>
          </w:rPr>
          <w:tab/>
        </w:r>
        <w:r w:rsidRPr="00FC437C">
          <w:rPr>
            <w:rStyle w:val="Hyperlink"/>
          </w:rPr>
          <w:t>Audits</w:t>
        </w:r>
        <w:r>
          <w:rPr>
            <w:webHidden/>
          </w:rPr>
          <w:tab/>
        </w:r>
        <w:r>
          <w:rPr>
            <w:webHidden/>
          </w:rPr>
          <w:fldChar w:fldCharType="begin"/>
        </w:r>
        <w:r>
          <w:rPr>
            <w:webHidden/>
          </w:rPr>
          <w:instrText xml:space="preserve"> PAGEREF _Toc224818602 \h </w:instrText>
        </w:r>
        <w:r>
          <w:rPr>
            <w:webHidden/>
          </w:rPr>
        </w:r>
        <w:r>
          <w:rPr>
            <w:webHidden/>
          </w:rPr>
          <w:fldChar w:fldCharType="separate"/>
        </w:r>
        <w:r w:rsidR="00AA17AB">
          <w:rPr>
            <w:webHidden/>
          </w:rPr>
          <w:t>56</w:t>
        </w:r>
        <w:r>
          <w:rPr>
            <w:webHidden/>
          </w:rPr>
          <w:fldChar w:fldCharType="end"/>
        </w:r>
      </w:hyperlink>
    </w:p>
    <w:p w14:paraId="149329EE" w14:textId="5BEDB7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3" w:history="1">
        <w:r w:rsidRPr="00FC437C">
          <w:rPr>
            <w:rStyle w:val="Hyperlink"/>
          </w:rPr>
          <w:t>§937.</w:t>
        </w:r>
        <w:r>
          <w:rPr>
            <w:rFonts w:asciiTheme="minorHAnsi" w:eastAsiaTheme="minorEastAsia" w:hAnsiTheme="minorHAnsi" w:cstheme="minorBidi"/>
            <w:color w:val="auto"/>
            <w:kern w:val="2"/>
            <w:szCs w:val="24"/>
            <w14:ligatures w14:val="standardContextual"/>
          </w:rPr>
          <w:tab/>
        </w:r>
        <w:r w:rsidRPr="00FC437C">
          <w:rPr>
            <w:rStyle w:val="Hyperlink"/>
          </w:rPr>
          <w:t>Prohibited Acts</w:t>
        </w:r>
        <w:r>
          <w:rPr>
            <w:webHidden/>
          </w:rPr>
          <w:tab/>
        </w:r>
        <w:r>
          <w:rPr>
            <w:webHidden/>
          </w:rPr>
          <w:fldChar w:fldCharType="begin"/>
        </w:r>
        <w:r>
          <w:rPr>
            <w:webHidden/>
          </w:rPr>
          <w:instrText xml:space="preserve"> PAGEREF _Toc224818603 \h </w:instrText>
        </w:r>
        <w:r>
          <w:rPr>
            <w:webHidden/>
          </w:rPr>
        </w:r>
        <w:r>
          <w:rPr>
            <w:webHidden/>
          </w:rPr>
          <w:fldChar w:fldCharType="separate"/>
        </w:r>
        <w:r w:rsidR="00AA17AB">
          <w:rPr>
            <w:webHidden/>
          </w:rPr>
          <w:t>56</w:t>
        </w:r>
        <w:r>
          <w:rPr>
            <w:webHidden/>
          </w:rPr>
          <w:fldChar w:fldCharType="end"/>
        </w:r>
      </w:hyperlink>
    </w:p>
    <w:p w14:paraId="6CBC3DC4" w14:textId="3CC3259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4" w:history="1">
        <w:r w:rsidRPr="00FC437C">
          <w:rPr>
            <w:rStyle w:val="Hyperlink"/>
          </w:rPr>
          <w:t>§939.</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_Toc224818604 \h </w:instrText>
        </w:r>
        <w:r>
          <w:rPr>
            <w:webHidden/>
          </w:rPr>
        </w:r>
        <w:r>
          <w:rPr>
            <w:webHidden/>
          </w:rPr>
          <w:fldChar w:fldCharType="separate"/>
        </w:r>
        <w:r w:rsidR="00AA17AB">
          <w:rPr>
            <w:webHidden/>
          </w:rPr>
          <w:t>57</w:t>
        </w:r>
        <w:r>
          <w:rPr>
            <w:webHidden/>
          </w:rPr>
          <w:fldChar w:fldCharType="end"/>
        </w:r>
      </w:hyperlink>
    </w:p>
    <w:p w14:paraId="0C9A6BC9" w14:textId="4B3511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5" w:history="1">
        <w:r w:rsidRPr="00FC437C">
          <w:rPr>
            <w:rStyle w:val="Hyperlink"/>
          </w:rPr>
          <w:t>§941.</w:t>
        </w:r>
        <w:r>
          <w:rPr>
            <w:rFonts w:asciiTheme="minorHAnsi" w:eastAsiaTheme="minorEastAsia" w:hAnsiTheme="minorHAnsi" w:cstheme="minorBidi"/>
            <w:color w:val="auto"/>
            <w:kern w:val="2"/>
            <w:szCs w:val="24"/>
            <w14:ligatures w14:val="standardContextual"/>
          </w:rPr>
          <w:tab/>
        </w:r>
        <w:r w:rsidRPr="00FC437C">
          <w:rPr>
            <w:rStyle w:val="Hyperlink"/>
          </w:rPr>
          <w:t>Application</w:t>
        </w:r>
        <w:r>
          <w:rPr>
            <w:webHidden/>
          </w:rPr>
          <w:tab/>
        </w:r>
        <w:r>
          <w:rPr>
            <w:webHidden/>
          </w:rPr>
          <w:fldChar w:fldCharType="begin"/>
        </w:r>
        <w:r>
          <w:rPr>
            <w:webHidden/>
          </w:rPr>
          <w:instrText xml:space="preserve"> PAGEREF _Toc224818605 \h </w:instrText>
        </w:r>
        <w:r>
          <w:rPr>
            <w:webHidden/>
          </w:rPr>
        </w:r>
        <w:r>
          <w:rPr>
            <w:webHidden/>
          </w:rPr>
          <w:fldChar w:fldCharType="separate"/>
        </w:r>
        <w:r w:rsidR="00AA17AB">
          <w:rPr>
            <w:webHidden/>
          </w:rPr>
          <w:t>57</w:t>
        </w:r>
        <w:r>
          <w:rPr>
            <w:webHidden/>
          </w:rPr>
          <w:fldChar w:fldCharType="end"/>
        </w:r>
      </w:hyperlink>
    </w:p>
    <w:p w14:paraId="1B25C0EF" w14:textId="0821FC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6" w:history="1">
        <w:r w:rsidRPr="00FC437C">
          <w:rPr>
            <w:rStyle w:val="Hyperlink"/>
          </w:rPr>
          <w:t>§943.</w:t>
        </w:r>
        <w:r>
          <w:rPr>
            <w:rFonts w:asciiTheme="minorHAnsi" w:eastAsiaTheme="minorEastAsia" w:hAnsiTheme="minorHAnsi" w:cstheme="minorBidi"/>
            <w:color w:val="auto"/>
            <w:kern w:val="2"/>
            <w:szCs w:val="24"/>
            <w14:ligatures w14:val="standardContextual"/>
          </w:rPr>
          <w:tab/>
        </w:r>
        <w:r w:rsidRPr="00FC437C">
          <w:rPr>
            <w:rStyle w:val="Hyperlink"/>
          </w:rPr>
          <w:t>Labeling, Advertising and Displaying of Poultry</w:t>
        </w:r>
        <w:r>
          <w:rPr>
            <w:webHidden/>
          </w:rPr>
          <w:tab/>
        </w:r>
        <w:r>
          <w:rPr>
            <w:webHidden/>
          </w:rPr>
          <w:fldChar w:fldCharType="begin"/>
        </w:r>
        <w:r>
          <w:rPr>
            <w:webHidden/>
          </w:rPr>
          <w:instrText xml:space="preserve"> PAGEREF _Toc224818606 \h </w:instrText>
        </w:r>
        <w:r>
          <w:rPr>
            <w:webHidden/>
          </w:rPr>
        </w:r>
        <w:r>
          <w:rPr>
            <w:webHidden/>
          </w:rPr>
          <w:fldChar w:fldCharType="separate"/>
        </w:r>
        <w:r w:rsidR="00AA17AB">
          <w:rPr>
            <w:webHidden/>
          </w:rPr>
          <w:t>57</w:t>
        </w:r>
        <w:r>
          <w:rPr>
            <w:webHidden/>
          </w:rPr>
          <w:fldChar w:fldCharType="end"/>
        </w:r>
      </w:hyperlink>
    </w:p>
    <w:p w14:paraId="12674C2C" w14:textId="5BD1678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7" w:history="1">
        <w:r w:rsidRPr="00FC437C">
          <w:rPr>
            <w:rStyle w:val="Hyperlink"/>
          </w:rPr>
          <w:t>§945.</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_Toc224818607 \h </w:instrText>
        </w:r>
        <w:r>
          <w:rPr>
            <w:webHidden/>
          </w:rPr>
        </w:r>
        <w:r>
          <w:rPr>
            <w:webHidden/>
          </w:rPr>
          <w:fldChar w:fldCharType="separate"/>
        </w:r>
        <w:r w:rsidR="00AA17AB">
          <w:rPr>
            <w:webHidden/>
          </w:rPr>
          <w:t>57</w:t>
        </w:r>
        <w:r>
          <w:rPr>
            <w:webHidden/>
          </w:rPr>
          <w:fldChar w:fldCharType="end"/>
        </w:r>
      </w:hyperlink>
    </w:p>
    <w:p w14:paraId="1FE1E211" w14:textId="46E4D74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08" w:history="1">
        <w:r w:rsidRPr="00FC437C">
          <w:rPr>
            <w:rStyle w:val="Hyperlink"/>
          </w:rPr>
          <w:t>§949.</w:t>
        </w:r>
        <w:r>
          <w:rPr>
            <w:rFonts w:asciiTheme="minorHAnsi" w:eastAsiaTheme="minorEastAsia" w:hAnsiTheme="minorHAnsi" w:cstheme="minorBidi"/>
            <w:color w:val="auto"/>
            <w:kern w:val="2"/>
            <w:szCs w:val="24"/>
            <w14:ligatures w14:val="standardContextual"/>
          </w:rPr>
          <w:tab/>
        </w:r>
        <w:r w:rsidRPr="00FC437C">
          <w:rPr>
            <w:rStyle w:val="Hyperlink"/>
          </w:rPr>
          <w:t>Authority to Enter Premises</w:t>
        </w:r>
        <w:r>
          <w:rPr>
            <w:webHidden/>
          </w:rPr>
          <w:tab/>
        </w:r>
        <w:r>
          <w:rPr>
            <w:webHidden/>
          </w:rPr>
          <w:fldChar w:fldCharType="begin"/>
        </w:r>
        <w:r>
          <w:rPr>
            <w:webHidden/>
          </w:rPr>
          <w:instrText xml:space="preserve"> PAGEREF _Toc224818608 \h </w:instrText>
        </w:r>
        <w:r>
          <w:rPr>
            <w:webHidden/>
          </w:rPr>
        </w:r>
        <w:r>
          <w:rPr>
            <w:webHidden/>
          </w:rPr>
          <w:fldChar w:fldCharType="separate"/>
        </w:r>
        <w:r w:rsidR="00AA17AB">
          <w:rPr>
            <w:webHidden/>
          </w:rPr>
          <w:t>58</w:t>
        </w:r>
        <w:r>
          <w:rPr>
            <w:webHidden/>
          </w:rPr>
          <w:fldChar w:fldCharType="end"/>
        </w:r>
      </w:hyperlink>
    </w:p>
    <w:p w14:paraId="37AA74DA" w14:textId="675229E7" w:rsidR="00E67799" w:rsidRDefault="00E67799">
      <w:pPr>
        <w:pStyle w:val="TOC2"/>
        <w:rPr>
          <w:rFonts w:asciiTheme="minorHAnsi" w:eastAsiaTheme="minorEastAsia" w:hAnsiTheme="minorHAnsi" w:cstheme="minorBidi"/>
          <w:kern w:val="2"/>
          <w:szCs w:val="24"/>
          <w14:ligatures w14:val="standardContextual"/>
        </w:rPr>
      </w:pPr>
      <w:hyperlink w:anchor="_Toc224818609" w:history="1">
        <w:r w:rsidRPr="00FC437C">
          <w:rPr>
            <w:rStyle w:val="Hyperlink"/>
          </w:rPr>
          <w:t>Chapter 11.</w:t>
        </w:r>
        <w:r>
          <w:rPr>
            <w:rFonts w:asciiTheme="minorHAnsi" w:eastAsiaTheme="minorEastAsia" w:hAnsiTheme="minorHAnsi" w:cstheme="minorBidi"/>
            <w:kern w:val="2"/>
            <w:szCs w:val="24"/>
            <w14:ligatures w14:val="standardContextual"/>
          </w:rPr>
          <w:tab/>
        </w:r>
        <w:r w:rsidRPr="00FC437C">
          <w:rPr>
            <w:rStyle w:val="Hyperlink"/>
          </w:rPr>
          <w:t>Market Commission―Fruits and Vegetables</w:t>
        </w:r>
        <w:r>
          <w:rPr>
            <w:webHidden/>
          </w:rPr>
          <w:tab/>
        </w:r>
        <w:r>
          <w:rPr>
            <w:webHidden/>
          </w:rPr>
          <w:fldChar w:fldCharType="begin"/>
        </w:r>
        <w:r>
          <w:rPr>
            <w:webHidden/>
          </w:rPr>
          <w:instrText xml:space="preserve"> PAGEREF _Toc224818609 \h </w:instrText>
        </w:r>
        <w:r>
          <w:rPr>
            <w:webHidden/>
          </w:rPr>
        </w:r>
        <w:r>
          <w:rPr>
            <w:webHidden/>
          </w:rPr>
          <w:fldChar w:fldCharType="separate"/>
        </w:r>
        <w:r w:rsidR="00AA17AB">
          <w:rPr>
            <w:webHidden/>
          </w:rPr>
          <w:t>58</w:t>
        </w:r>
        <w:r>
          <w:rPr>
            <w:webHidden/>
          </w:rPr>
          <w:fldChar w:fldCharType="end"/>
        </w:r>
      </w:hyperlink>
    </w:p>
    <w:p w14:paraId="21519E66" w14:textId="68183648" w:rsidR="00E67799" w:rsidRDefault="00E67799">
      <w:pPr>
        <w:pStyle w:val="TOC2"/>
        <w:rPr>
          <w:rFonts w:asciiTheme="minorHAnsi" w:eastAsiaTheme="minorEastAsia" w:hAnsiTheme="minorHAnsi" w:cstheme="minorBidi"/>
          <w:kern w:val="2"/>
          <w:szCs w:val="24"/>
          <w14:ligatures w14:val="standardContextual"/>
        </w:rPr>
      </w:pPr>
      <w:hyperlink w:anchor="_Toc224818610"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Fruits and Vegetables</w:t>
        </w:r>
        <w:r>
          <w:rPr>
            <w:webHidden/>
          </w:rPr>
          <w:tab/>
        </w:r>
        <w:r>
          <w:rPr>
            <w:webHidden/>
          </w:rPr>
          <w:fldChar w:fldCharType="begin"/>
        </w:r>
        <w:r>
          <w:rPr>
            <w:webHidden/>
          </w:rPr>
          <w:instrText xml:space="preserve"> PAGEREF _Toc224818610 \h </w:instrText>
        </w:r>
        <w:r>
          <w:rPr>
            <w:webHidden/>
          </w:rPr>
        </w:r>
        <w:r>
          <w:rPr>
            <w:webHidden/>
          </w:rPr>
          <w:fldChar w:fldCharType="separate"/>
        </w:r>
        <w:r w:rsidR="00AA17AB">
          <w:rPr>
            <w:webHidden/>
          </w:rPr>
          <w:t>58</w:t>
        </w:r>
        <w:r>
          <w:rPr>
            <w:webHidden/>
          </w:rPr>
          <w:fldChar w:fldCharType="end"/>
        </w:r>
      </w:hyperlink>
    </w:p>
    <w:p w14:paraId="5336624E" w14:textId="5CC143F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1" w:history="1">
        <w:r w:rsidRPr="00FC437C">
          <w:rPr>
            <w:rStyle w:val="Hyperlink"/>
          </w:rPr>
          <w:t>§1101.</w:t>
        </w:r>
        <w:r>
          <w:rPr>
            <w:rFonts w:asciiTheme="minorHAnsi" w:eastAsiaTheme="minorEastAsia" w:hAnsiTheme="minorHAnsi" w:cstheme="minorBidi"/>
            <w:color w:val="auto"/>
            <w:kern w:val="2"/>
            <w:szCs w:val="24"/>
            <w14:ligatures w14:val="standardContextual"/>
          </w:rPr>
          <w:tab/>
        </w:r>
        <w:r w:rsidRPr="00FC437C">
          <w:rPr>
            <w:rStyle w:val="Hyperlink"/>
          </w:rPr>
          <w:t>General Authority of Market Commission</w:t>
        </w:r>
        <w:r>
          <w:rPr>
            <w:webHidden/>
          </w:rPr>
          <w:tab/>
        </w:r>
        <w:r>
          <w:rPr>
            <w:webHidden/>
          </w:rPr>
          <w:fldChar w:fldCharType="begin"/>
        </w:r>
        <w:r>
          <w:rPr>
            <w:webHidden/>
          </w:rPr>
          <w:instrText xml:space="preserve"> PAGEREF _Toc224818611 \h </w:instrText>
        </w:r>
        <w:r>
          <w:rPr>
            <w:webHidden/>
          </w:rPr>
        </w:r>
        <w:r>
          <w:rPr>
            <w:webHidden/>
          </w:rPr>
          <w:fldChar w:fldCharType="separate"/>
        </w:r>
        <w:r w:rsidR="00AA17AB">
          <w:rPr>
            <w:webHidden/>
          </w:rPr>
          <w:t>58</w:t>
        </w:r>
        <w:r>
          <w:rPr>
            <w:webHidden/>
          </w:rPr>
          <w:fldChar w:fldCharType="end"/>
        </w:r>
      </w:hyperlink>
    </w:p>
    <w:p w14:paraId="68662D77" w14:textId="415691E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2" w:history="1">
        <w:r w:rsidRPr="00FC437C">
          <w:rPr>
            <w:rStyle w:val="Hyperlink"/>
          </w:rPr>
          <w:t>§1103.</w:t>
        </w:r>
        <w:r>
          <w:rPr>
            <w:rFonts w:asciiTheme="minorHAnsi" w:eastAsiaTheme="minorEastAsia" w:hAnsiTheme="minorHAnsi" w:cstheme="minorBidi"/>
            <w:color w:val="auto"/>
            <w:kern w:val="2"/>
            <w:szCs w:val="24"/>
            <w14:ligatures w14:val="standardContextual"/>
          </w:rPr>
          <w:tab/>
        </w:r>
        <w:r w:rsidRPr="00FC437C">
          <w:rPr>
            <w:rStyle w:val="Hyperlink"/>
          </w:rPr>
          <w:t xml:space="preserve">Establishment of Official State Grades for Fresh Fruits, Vegetables, Nuts and Other </w:t>
        </w:r>
        <w:r w:rsidR="00695EC1">
          <w:rPr>
            <w:rStyle w:val="Hyperlink"/>
          </w:rPr>
          <w:br/>
        </w:r>
        <w:r w:rsidR="00695EC1">
          <w:rPr>
            <w:rStyle w:val="Hyperlink"/>
          </w:rPr>
          <w:tab/>
        </w:r>
        <w:r w:rsidRPr="00FC437C">
          <w:rPr>
            <w:rStyle w:val="Hyperlink"/>
          </w:rPr>
          <w:t>Special Products</w:t>
        </w:r>
        <w:r>
          <w:rPr>
            <w:webHidden/>
          </w:rPr>
          <w:tab/>
        </w:r>
        <w:r>
          <w:rPr>
            <w:webHidden/>
          </w:rPr>
          <w:fldChar w:fldCharType="begin"/>
        </w:r>
        <w:r>
          <w:rPr>
            <w:webHidden/>
          </w:rPr>
          <w:instrText xml:space="preserve"> PAGEREF _Toc224818612 \h </w:instrText>
        </w:r>
        <w:r>
          <w:rPr>
            <w:webHidden/>
          </w:rPr>
        </w:r>
        <w:r>
          <w:rPr>
            <w:webHidden/>
          </w:rPr>
          <w:fldChar w:fldCharType="separate"/>
        </w:r>
        <w:r w:rsidR="00AA17AB">
          <w:rPr>
            <w:webHidden/>
          </w:rPr>
          <w:t>58</w:t>
        </w:r>
        <w:r>
          <w:rPr>
            <w:webHidden/>
          </w:rPr>
          <w:fldChar w:fldCharType="end"/>
        </w:r>
      </w:hyperlink>
    </w:p>
    <w:p w14:paraId="32EB13FC" w14:textId="60527F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3" w:history="1">
        <w:r w:rsidRPr="00FC437C">
          <w:rPr>
            <w:rStyle w:val="Hyperlink"/>
          </w:rPr>
          <w:t>§1105.</w:t>
        </w:r>
        <w:r>
          <w:rPr>
            <w:rFonts w:asciiTheme="minorHAnsi" w:eastAsiaTheme="minorEastAsia" w:hAnsiTheme="minorHAnsi" w:cstheme="minorBidi"/>
            <w:color w:val="auto"/>
            <w:kern w:val="2"/>
            <w:szCs w:val="24"/>
            <w14:ligatures w14:val="standardContextual"/>
          </w:rPr>
          <w:tab/>
        </w:r>
        <w:r w:rsidRPr="00FC437C">
          <w:rPr>
            <w:rStyle w:val="Hyperlink"/>
          </w:rPr>
          <w:t>Certification of Fresh Fruits, Vegetables, Nuts and Other Special Products</w:t>
        </w:r>
        <w:r>
          <w:rPr>
            <w:webHidden/>
          </w:rPr>
          <w:tab/>
        </w:r>
        <w:r>
          <w:rPr>
            <w:webHidden/>
          </w:rPr>
          <w:fldChar w:fldCharType="begin"/>
        </w:r>
        <w:r>
          <w:rPr>
            <w:webHidden/>
          </w:rPr>
          <w:instrText xml:space="preserve"> PAGEREF _Toc224818613 \h </w:instrText>
        </w:r>
        <w:r>
          <w:rPr>
            <w:webHidden/>
          </w:rPr>
        </w:r>
        <w:r>
          <w:rPr>
            <w:webHidden/>
          </w:rPr>
          <w:fldChar w:fldCharType="separate"/>
        </w:r>
        <w:r w:rsidR="00AA17AB">
          <w:rPr>
            <w:webHidden/>
          </w:rPr>
          <w:t>58</w:t>
        </w:r>
        <w:r>
          <w:rPr>
            <w:webHidden/>
          </w:rPr>
          <w:fldChar w:fldCharType="end"/>
        </w:r>
      </w:hyperlink>
    </w:p>
    <w:p w14:paraId="7F6A77A5" w14:textId="0C2B2EE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4" w:history="1">
        <w:r w:rsidRPr="00FC437C">
          <w:rPr>
            <w:rStyle w:val="Hyperlink"/>
          </w:rPr>
          <w:t>§1107.</w:t>
        </w:r>
        <w:r>
          <w:rPr>
            <w:rFonts w:asciiTheme="minorHAnsi" w:eastAsiaTheme="minorEastAsia" w:hAnsiTheme="minorHAnsi" w:cstheme="minorBidi"/>
            <w:color w:val="auto"/>
            <w:kern w:val="2"/>
            <w:szCs w:val="24"/>
            <w14:ligatures w14:val="standardContextual"/>
          </w:rPr>
          <w:tab/>
        </w:r>
        <w:r w:rsidRPr="00FC437C">
          <w:rPr>
            <w:rStyle w:val="Hyperlink"/>
          </w:rPr>
          <w:t>Time Limitation for Issuance of Certificate</w:t>
        </w:r>
        <w:r>
          <w:rPr>
            <w:webHidden/>
          </w:rPr>
          <w:tab/>
        </w:r>
        <w:r>
          <w:rPr>
            <w:webHidden/>
          </w:rPr>
          <w:fldChar w:fldCharType="begin"/>
        </w:r>
        <w:r>
          <w:rPr>
            <w:webHidden/>
          </w:rPr>
          <w:instrText xml:space="preserve"> PAGEREF _Toc224818614 \h </w:instrText>
        </w:r>
        <w:r>
          <w:rPr>
            <w:webHidden/>
          </w:rPr>
        </w:r>
        <w:r>
          <w:rPr>
            <w:webHidden/>
          </w:rPr>
          <w:fldChar w:fldCharType="separate"/>
        </w:r>
        <w:r w:rsidR="00AA17AB">
          <w:rPr>
            <w:webHidden/>
          </w:rPr>
          <w:t>58</w:t>
        </w:r>
        <w:r>
          <w:rPr>
            <w:webHidden/>
          </w:rPr>
          <w:fldChar w:fldCharType="end"/>
        </w:r>
      </w:hyperlink>
    </w:p>
    <w:p w14:paraId="327CF1A0" w14:textId="35BE8EA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5" w:history="1">
        <w:r w:rsidRPr="00FC437C">
          <w:rPr>
            <w:rStyle w:val="Hyperlink"/>
          </w:rPr>
          <w:t>§1109.</w:t>
        </w:r>
        <w:r>
          <w:rPr>
            <w:rFonts w:asciiTheme="minorHAnsi" w:eastAsiaTheme="minorEastAsia" w:hAnsiTheme="minorHAnsi" w:cstheme="minorBidi"/>
            <w:color w:val="auto"/>
            <w:kern w:val="2"/>
            <w:szCs w:val="24"/>
            <w14:ligatures w14:val="standardContextual"/>
          </w:rPr>
          <w:tab/>
        </w:r>
        <w:r w:rsidRPr="00FC437C">
          <w:rPr>
            <w:rStyle w:val="Hyperlink"/>
          </w:rPr>
          <w:t>Waiver of Specification Requirements</w:t>
        </w:r>
        <w:r>
          <w:rPr>
            <w:webHidden/>
          </w:rPr>
          <w:tab/>
        </w:r>
        <w:r>
          <w:rPr>
            <w:webHidden/>
          </w:rPr>
          <w:fldChar w:fldCharType="begin"/>
        </w:r>
        <w:r>
          <w:rPr>
            <w:webHidden/>
          </w:rPr>
          <w:instrText xml:space="preserve"> PAGEREF _Toc224818615 \h </w:instrText>
        </w:r>
        <w:r>
          <w:rPr>
            <w:webHidden/>
          </w:rPr>
        </w:r>
        <w:r>
          <w:rPr>
            <w:webHidden/>
          </w:rPr>
          <w:fldChar w:fldCharType="separate"/>
        </w:r>
        <w:r w:rsidR="00AA17AB">
          <w:rPr>
            <w:webHidden/>
          </w:rPr>
          <w:t>58</w:t>
        </w:r>
        <w:r>
          <w:rPr>
            <w:webHidden/>
          </w:rPr>
          <w:fldChar w:fldCharType="end"/>
        </w:r>
      </w:hyperlink>
    </w:p>
    <w:p w14:paraId="7E4E4430" w14:textId="706CE7A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6" w:history="1">
        <w:r w:rsidRPr="00FC437C">
          <w:rPr>
            <w:rStyle w:val="Hyperlink"/>
          </w:rPr>
          <w:t>§1111.</w:t>
        </w:r>
        <w:r>
          <w:rPr>
            <w:rFonts w:asciiTheme="minorHAnsi" w:eastAsiaTheme="minorEastAsia" w:hAnsiTheme="minorHAnsi" w:cstheme="minorBidi"/>
            <w:color w:val="auto"/>
            <w:kern w:val="2"/>
            <w:szCs w:val="24"/>
            <w14:ligatures w14:val="standardContextual"/>
          </w:rPr>
          <w:tab/>
        </w:r>
        <w:r w:rsidRPr="00FC437C">
          <w:rPr>
            <w:rStyle w:val="Hyperlink"/>
          </w:rPr>
          <w:t>Final Delivery Product</w:t>
        </w:r>
        <w:r>
          <w:rPr>
            <w:webHidden/>
          </w:rPr>
          <w:tab/>
        </w:r>
        <w:r>
          <w:rPr>
            <w:webHidden/>
          </w:rPr>
          <w:fldChar w:fldCharType="begin"/>
        </w:r>
        <w:r>
          <w:rPr>
            <w:webHidden/>
          </w:rPr>
          <w:instrText xml:space="preserve"> PAGEREF _Toc224818616 \h </w:instrText>
        </w:r>
        <w:r>
          <w:rPr>
            <w:webHidden/>
          </w:rPr>
        </w:r>
        <w:r>
          <w:rPr>
            <w:webHidden/>
          </w:rPr>
          <w:fldChar w:fldCharType="separate"/>
        </w:r>
        <w:r w:rsidR="00AA17AB">
          <w:rPr>
            <w:webHidden/>
          </w:rPr>
          <w:t>59</w:t>
        </w:r>
        <w:r>
          <w:rPr>
            <w:webHidden/>
          </w:rPr>
          <w:fldChar w:fldCharType="end"/>
        </w:r>
      </w:hyperlink>
    </w:p>
    <w:p w14:paraId="1B9AE711" w14:textId="172D05A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7" w:history="1">
        <w:r w:rsidRPr="00FC437C">
          <w:rPr>
            <w:rStyle w:val="Hyperlink"/>
          </w:rPr>
          <w:t>§1113.</w:t>
        </w:r>
        <w:r>
          <w:rPr>
            <w:rFonts w:asciiTheme="minorHAnsi" w:eastAsiaTheme="minorEastAsia" w:hAnsiTheme="minorHAnsi" w:cstheme="minorBidi"/>
            <w:color w:val="auto"/>
            <w:kern w:val="2"/>
            <w:szCs w:val="24"/>
            <w14:ligatures w14:val="standardContextual"/>
          </w:rPr>
          <w:tab/>
        </w:r>
        <w:r w:rsidRPr="00FC437C">
          <w:rPr>
            <w:rStyle w:val="Hyperlink"/>
          </w:rPr>
          <w:t>Contractor's Obligation</w:t>
        </w:r>
        <w:r>
          <w:rPr>
            <w:webHidden/>
          </w:rPr>
          <w:tab/>
        </w:r>
        <w:r>
          <w:rPr>
            <w:webHidden/>
          </w:rPr>
          <w:fldChar w:fldCharType="begin"/>
        </w:r>
        <w:r>
          <w:rPr>
            <w:webHidden/>
          </w:rPr>
          <w:instrText xml:space="preserve"> PAGEREF _Toc224818617 \h </w:instrText>
        </w:r>
        <w:r>
          <w:rPr>
            <w:webHidden/>
          </w:rPr>
        </w:r>
        <w:r>
          <w:rPr>
            <w:webHidden/>
          </w:rPr>
          <w:fldChar w:fldCharType="separate"/>
        </w:r>
        <w:r w:rsidR="00AA17AB">
          <w:rPr>
            <w:webHidden/>
          </w:rPr>
          <w:t>59</w:t>
        </w:r>
        <w:r>
          <w:rPr>
            <w:webHidden/>
          </w:rPr>
          <w:fldChar w:fldCharType="end"/>
        </w:r>
      </w:hyperlink>
    </w:p>
    <w:p w14:paraId="209F33F2" w14:textId="41A2749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8" w:history="1">
        <w:r w:rsidRPr="00FC437C">
          <w:rPr>
            <w:rStyle w:val="Hyperlink"/>
          </w:rPr>
          <w:t>§1115.</w:t>
        </w:r>
        <w:r>
          <w:rPr>
            <w:rFonts w:asciiTheme="minorHAnsi" w:eastAsiaTheme="minorEastAsia" w:hAnsiTheme="minorHAnsi" w:cstheme="minorBidi"/>
            <w:color w:val="auto"/>
            <w:kern w:val="2"/>
            <w:szCs w:val="24"/>
            <w14:ligatures w14:val="standardContextual"/>
          </w:rPr>
          <w:tab/>
        </w:r>
        <w:r w:rsidRPr="00FC437C">
          <w:rPr>
            <w:rStyle w:val="Hyperlink"/>
          </w:rPr>
          <w:t>Citrus Regulations</w:t>
        </w:r>
        <w:r>
          <w:rPr>
            <w:webHidden/>
          </w:rPr>
          <w:tab/>
        </w:r>
        <w:r>
          <w:rPr>
            <w:webHidden/>
          </w:rPr>
          <w:fldChar w:fldCharType="begin"/>
        </w:r>
        <w:r>
          <w:rPr>
            <w:webHidden/>
          </w:rPr>
          <w:instrText xml:space="preserve"> PAGEREF _Toc224818618 \h </w:instrText>
        </w:r>
        <w:r>
          <w:rPr>
            <w:webHidden/>
          </w:rPr>
        </w:r>
        <w:r>
          <w:rPr>
            <w:webHidden/>
          </w:rPr>
          <w:fldChar w:fldCharType="separate"/>
        </w:r>
        <w:r w:rsidR="00AA17AB">
          <w:rPr>
            <w:webHidden/>
          </w:rPr>
          <w:t>59</w:t>
        </w:r>
        <w:r>
          <w:rPr>
            <w:webHidden/>
          </w:rPr>
          <w:fldChar w:fldCharType="end"/>
        </w:r>
      </w:hyperlink>
    </w:p>
    <w:p w14:paraId="16988A4E" w14:textId="48731B7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19" w:history="1">
        <w:r w:rsidRPr="00FC437C">
          <w:rPr>
            <w:rStyle w:val="Hyperlink"/>
          </w:rPr>
          <w:t>§1117.</w:t>
        </w:r>
        <w:r>
          <w:rPr>
            <w:rFonts w:asciiTheme="minorHAnsi" w:eastAsiaTheme="minorEastAsia" w:hAnsiTheme="minorHAnsi" w:cstheme="minorBidi"/>
            <w:color w:val="auto"/>
            <w:kern w:val="2"/>
            <w:szCs w:val="24"/>
            <w14:ligatures w14:val="standardContextual"/>
          </w:rPr>
          <w:tab/>
        </w:r>
        <w:r w:rsidRPr="00FC437C">
          <w:rPr>
            <w:rStyle w:val="Hyperlink"/>
          </w:rPr>
          <w:t>Sweet Potato Regulations</w:t>
        </w:r>
        <w:r>
          <w:rPr>
            <w:webHidden/>
          </w:rPr>
          <w:tab/>
        </w:r>
        <w:r>
          <w:rPr>
            <w:webHidden/>
          </w:rPr>
          <w:fldChar w:fldCharType="begin"/>
        </w:r>
        <w:r>
          <w:rPr>
            <w:webHidden/>
          </w:rPr>
          <w:instrText xml:space="preserve"> PAGEREF _Toc224818619 \h </w:instrText>
        </w:r>
        <w:r>
          <w:rPr>
            <w:webHidden/>
          </w:rPr>
        </w:r>
        <w:r>
          <w:rPr>
            <w:webHidden/>
          </w:rPr>
          <w:fldChar w:fldCharType="separate"/>
        </w:r>
        <w:r w:rsidR="00AA17AB">
          <w:rPr>
            <w:webHidden/>
          </w:rPr>
          <w:t>60</w:t>
        </w:r>
        <w:r>
          <w:rPr>
            <w:webHidden/>
          </w:rPr>
          <w:fldChar w:fldCharType="end"/>
        </w:r>
      </w:hyperlink>
    </w:p>
    <w:p w14:paraId="74FE9F6F" w14:textId="737E798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0" w:history="1">
        <w:r w:rsidRPr="00FC437C">
          <w:rPr>
            <w:rStyle w:val="Hyperlink"/>
          </w:rPr>
          <w:t>§1119.</w:t>
        </w:r>
        <w:r>
          <w:rPr>
            <w:rFonts w:asciiTheme="minorHAnsi" w:eastAsiaTheme="minorEastAsia" w:hAnsiTheme="minorHAnsi" w:cstheme="minorBidi"/>
            <w:color w:val="auto"/>
            <w:kern w:val="2"/>
            <w:szCs w:val="24"/>
            <w14:ligatures w14:val="standardContextual"/>
          </w:rPr>
          <w:tab/>
        </w:r>
        <w:r w:rsidRPr="00FC437C">
          <w:rPr>
            <w:rStyle w:val="Hyperlink"/>
          </w:rPr>
          <w:t>Cabbage Solidity Regulation</w:t>
        </w:r>
        <w:r>
          <w:rPr>
            <w:webHidden/>
          </w:rPr>
          <w:tab/>
        </w:r>
        <w:r>
          <w:rPr>
            <w:webHidden/>
          </w:rPr>
          <w:fldChar w:fldCharType="begin"/>
        </w:r>
        <w:r>
          <w:rPr>
            <w:webHidden/>
          </w:rPr>
          <w:instrText xml:space="preserve"> PAGEREF _Toc224818620 \h </w:instrText>
        </w:r>
        <w:r>
          <w:rPr>
            <w:webHidden/>
          </w:rPr>
        </w:r>
        <w:r>
          <w:rPr>
            <w:webHidden/>
          </w:rPr>
          <w:fldChar w:fldCharType="separate"/>
        </w:r>
        <w:r w:rsidR="00AA17AB">
          <w:rPr>
            <w:webHidden/>
          </w:rPr>
          <w:t>61</w:t>
        </w:r>
        <w:r>
          <w:rPr>
            <w:webHidden/>
          </w:rPr>
          <w:fldChar w:fldCharType="end"/>
        </w:r>
      </w:hyperlink>
    </w:p>
    <w:p w14:paraId="67376201" w14:textId="295EA3F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1" w:history="1">
        <w:r w:rsidRPr="00FC437C">
          <w:rPr>
            <w:rStyle w:val="Hyperlink"/>
          </w:rPr>
          <w:t>§1121.</w:t>
        </w:r>
        <w:r>
          <w:rPr>
            <w:rFonts w:asciiTheme="minorHAnsi" w:eastAsiaTheme="minorEastAsia" w:hAnsiTheme="minorHAnsi" w:cstheme="minorBidi"/>
            <w:color w:val="auto"/>
            <w:kern w:val="2"/>
            <w:szCs w:val="24"/>
            <w14:ligatures w14:val="standardContextual"/>
          </w:rPr>
          <w:tab/>
        </w:r>
        <w:r w:rsidRPr="00FC437C">
          <w:rPr>
            <w:rStyle w:val="Hyperlink"/>
          </w:rPr>
          <w:t>Shallot Regulation</w:t>
        </w:r>
        <w:r>
          <w:rPr>
            <w:webHidden/>
          </w:rPr>
          <w:tab/>
        </w:r>
        <w:r>
          <w:rPr>
            <w:webHidden/>
          </w:rPr>
          <w:fldChar w:fldCharType="begin"/>
        </w:r>
        <w:r>
          <w:rPr>
            <w:webHidden/>
          </w:rPr>
          <w:instrText xml:space="preserve"> PAGEREF _Toc224818621 \h </w:instrText>
        </w:r>
        <w:r>
          <w:rPr>
            <w:webHidden/>
          </w:rPr>
        </w:r>
        <w:r>
          <w:rPr>
            <w:webHidden/>
          </w:rPr>
          <w:fldChar w:fldCharType="separate"/>
        </w:r>
        <w:r w:rsidR="00AA17AB">
          <w:rPr>
            <w:webHidden/>
          </w:rPr>
          <w:t>61</w:t>
        </w:r>
        <w:r>
          <w:rPr>
            <w:webHidden/>
          </w:rPr>
          <w:fldChar w:fldCharType="end"/>
        </w:r>
      </w:hyperlink>
    </w:p>
    <w:p w14:paraId="52B7A3CB" w14:textId="062156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2" w:history="1">
        <w:r w:rsidRPr="00FC437C">
          <w:rPr>
            <w:rStyle w:val="Hyperlink"/>
          </w:rPr>
          <w:t>§1123.</w:t>
        </w:r>
        <w:r>
          <w:rPr>
            <w:rFonts w:asciiTheme="minorHAnsi" w:eastAsiaTheme="minorEastAsia" w:hAnsiTheme="minorHAnsi" w:cstheme="minorBidi"/>
            <w:color w:val="auto"/>
            <w:kern w:val="2"/>
            <w:szCs w:val="24"/>
            <w14:ligatures w14:val="standardContextual"/>
          </w:rPr>
          <w:tab/>
        </w:r>
        <w:r w:rsidRPr="00FC437C">
          <w:rPr>
            <w:rStyle w:val="Hyperlink"/>
          </w:rPr>
          <w:t>Stemmed Berries for Processing Purposes</w:t>
        </w:r>
        <w:r>
          <w:rPr>
            <w:webHidden/>
          </w:rPr>
          <w:tab/>
        </w:r>
        <w:r>
          <w:rPr>
            <w:webHidden/>
          </w:rPr>
          <w:fldChar w:fldCharType="begin"/>
        </w:r>
        <w:r>
          <w:rPr>
            <w:webHidden/>
          </w:rPr>
          <w:instrText xml:space="preserve"> PAGEREF _Toc224818622 \h </w:instrText>
        </w:r>
        <w:r>
          <w:rPr>
            <w:webHidden/>
          </w:rPr>
        </w:r>
        <w:r>
          <w:rPr>
            <w:webHidden/>
          </w:rPr>
          <w:fldChar w:fldCharType="separate"/>
        </w:r>
        <w:r w:rsidR="00AA17AB">
          <w:rPr>
            <w:webHidden/>
          </w:rPr>
          <w:t>61</w:t>
        </w:r>
        <w:r>
          <w:rPr>
            <w:webHidden/>
          </w:rPr>
          <w:fldChar w:fldCharType="end"/>
        </w:r>
      </w:hyperlink>
    </w:p>
    <w:p w14:paraId="6A137E02" w14:textId="7F0264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3" w:history="1">
        <w:r w:rsidRPr="00FC437C">
          <w:rPr>
            <w:rStyle w:val="Hyperlink"/>
          </w:rPr>
          <w:t>§1125.</w:t>
        </w:r>
        <w:r>
          <w:rPr>
            <w:rFonts w:asciiTheme="minorHAnsi" w:eastAsiaTheme="minorEastAsia" w:hAnsiTheme="minorHAnsi" w:cstheme="minorBidi"/>
            <w:color w:val="auto"/>
            <w:kern w:val="2"/>
            <w:szCs w:val="24"/>
            <w14:ligatures w14:val="standardContextual"/>
          </w:rPr>
          <w:tab/>
        </w:r>
        <w:r w:rsidRPr="00FC437C">
          <w:rPr>
            <w:rStyle w:val="Hyperlink"/>
          </w:rPr>
          <w:t>Sweet Pepper Maturity Regulation</w:t>
        </w:r>
        <w:r>
          <w:rPr>
            <w:webHidden/>
          </w:rPr>
          <w:tab/>
        </w:r>
        <w:r>
          <w:rPr>
            <w:webHidden/>
          </w:rPr>
          <w:fldChar w:fldCharType="begin"/>
        </w:r>
        <w:r>
          <w:rPr>
            <w:webHidden/>
          </w:rPr>
          <w:instrText xml:space="preserve"> PAGEREF _Toc224818623 \h </w:instrText>
        </w:r>
        <w:r>
          <w:rPr>
            <w:webHidden/>
          </w:rPr>
        </w:r>
        <w:r>
          <w:rPr>
            <w:webHidden/>
          </w:rPr>
          <w:fldChar w:fldCharType="separate"/>
        </w:r>
        <w:r w:rsidR="00AA17AB">
          <w:rPr>
            <w:webHidden/>
          </w:rPr>
          <w:t>61</w:t>
        </w:r>
        <w:r>
          <w:rPr>
            <w:webHidden/>
          </w:rPr>
          <w:fldChar w:fldCharType="end"/>
        </w:r>
      </w:hyperlink>
    </w:p>
    <w:p w14:paraId="08D5F5B6" w14:textId="06CF64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4" w:history="1">
        <w:r w:rsidRPr="00FC437C">
          <w:rPr>
            <w:rStyle w:val="Hyperlink"/>
          </w:rPr>
          <w:t>§1127.</w:t>
        </w:r>
        <w:r>
          <w:rPr>
            <w:rFonts w:asciiTheme="minorHAnsi" w:eastAsiaTheme="minorEastAsia" w:hAnsiTheme="minorHAnsi" w:cstheme="minorBidi"/>
            <w:color w:val="auto"/>
            <w:kern w:val="2"/>
            <w:szCs w:val="24"/>
            <w14:ligatures w14:val="standardContextual"/>
          </w:rPr>
          <w:tab/>
        </w:r>
        <w:r w:rsidRPr="00FC437C">
          <w:rPr>
            <w:rStyle w:val="Hyperlink"/>
          </w:rPr>
          <w:t>Mislabeling of Fresh Fruits and Vegetables Prohibited</w:t>
        </w:r>
        <w:r>
          <w:rPr>
            <w:webHidden/>
          </w:rPr>
          <w:tab/>
        </w:r>
        <w:r>
          <w:rPr>
            <w:webHidden/>
          </w:rPr>
          <w:fldChar w:fldCharType="begin"/>
        </w:r>
        <w:r>
          <w:rPr>
            <w:webHidden/>
          </w:rPr>
          <w:instrText xml:space="preserve"> PAGEREF _Toc224818624 \h </w:instrText>
        </w:r>
        <w:r>
          <w:rPr>
            <w:webHidden/>
          </w:rPr>
        </w:r>
        <w:r>
          <w:rPr>
            <w:webHidden/>
          </w:rPr>
          <w:fldChar w:fldCharType="separate"/>
        </w:r>
        <w:r w:rsidR="00AA17AB">
          <w:rPr>
            <w:webHidden/>
          </w:rPr>
          <w:t>61</w:t>
        </w:r>
        <w:r>
          <w:rPr>
            <w:webHidden/>
          </w:rPr>
          <w:fldChar w:fldCharType="end"/>
        </w:r>
      </w:hyperlink>
    </w:p>
    <w:p w14:paraId="133FF893" w14:textId="65BFCC1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5" w:history="1">
        <w:r w:rsidRPr="00FC437C">
          <w:rPr>
            <w:rStyle w:val="Hyperlink"/>
          </w:rPr>
          <w:t>§1129.</w:t>
        </w:r>
        <w:r>
          <w:rPr>
            <w:rFonts w:asciiTheme="minorHAnsi" w:eastAsiaTheme="minorEastAsia" w:hAnsiTheme="minorHAnsi" w:cstheme="minorBidi"/>
            <w:color w:val="auto"/>
            <w:kern w:val="2"/>
            <w:szCs w:val="24"/>
            <w14:ligatures w14:val="standardContextual"/>
          </w:rPr>
          <w:tab/>
        </w:r>
        <w:r w:rsidRPr="00FC437C">
          <w:rPr>
            <w:rStyle w:val="Hyperlink"/>
          </w:rPr>
          <w:t>Transportation of Fresh Fruits and Vegetables</w:t>
        </w:r>
        <w:r>
          <w:rPr>
            <w:webHidden/>
          </w:rPr>
          <w:tab/>
        </w:r>
        <w:r>
          <w:rPr>
            <w:webHidden/>
          </w:rPr>
          <w:fldChar w:fldCharType="begin"/>
        </w:r>
        <w:r>
          <w:rPr>
            <w:webHidden/>
          </w:rPr>
          <w:instrText xml:space="preserve"> PAGEREF _Toc224818625 \h </w:instrText>
        </w:r>
        <w:r>
          <w:rPr>
            <w:webHidden/>
          </w:rPr>
        </w:r>
        <w:r>
          <w:rPr>
            <w:webHidden/>
          </w:rPr>
          <w:fldChar w:fldCharType="separate"/>
        </w:r>
        <w:r w:rsidR="00AA17AB">
          <w:rPr>
            <w:webHidden/>
          </w:rPr>
          <w:t>62</w:t>
        </w:r>
        <w:r>
          <w:rPr>
            <w:webHidden/>
          </w:rPr>
          <w:fldChar w:fldCharType="end"/>
        </w:r>
      </w:hyperlink>
    </w:p>
    <w:p w14:paraId="182FCE63" w14:textId="1EC5A5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6" w:history="1">
        <w:r w:rsidRPr="00FC437C">
          <w:rPr>
            <w:rStyle w:val="Hyperlink"/>
          </w:rPr>
          <w:t>§1131.</w:t>
        </w:r>
        <w:r>
          <w:rPr>
            <w:rFonts w:asciiTheme="minorHAnsi" w:eastAsiaTheme="minorEastAsia" w:hAnsiTheme="minorHAnsi" w:cstheme="minorBidi"/>
            <w:color w:val="auto"/>
            <w:kern w:val="2"/>
            <w:szCs w:val="24"/>
            <w14:ligatures w14:val="standardContextual"/>
          </w:rPr>
          <w:tab/>
        </w:r>
        <w:r w:rsidRPr="00FC437C">
          <w:rPr>
            <w:rStyle w:val="Hyperlink"/>
          </w:rPr>
          <w:t>Shipment of Product into Louisiana</w:t>
        </w:r>
        <w:r>
          <w:rPr>
            <w:webHidden/>
          </w:rPr>
          <w:tab/>
        </w:r>
        <w:r>
          <w:rPr>
            <w:webHidden/>
          </w:rPr>
          <w:fldChar w:fldCharType="begin"/>
        </w:r>
        <w:r>
          <w:rPr>
            <w:webHidden/>
          </w:rPr>
          <w:instrText xml:space="preserve"> PAGEREF _Toc224818626 \h </w:instrText>
        </w:r>
        <w:r>
          <w:rPr>
            <w:webHidden/>
          </w:rPr>
        </w:r>
        <w:r>
          <w:rPr>
            <w:webHidden/>
          </w:rPr>
          <w:fldChar w:fldCharType="separate"/>
        </w:r>
        <w:r w:rsidR="00AA17AB">
          <w:rPr>
            <w:webHidden/>
          </w:rPr>
          <w:t>62</w:t>
        </w:r>
        <w:r>
          <w:rPr>
            <w:webHidden/>
          </w:rPr>
          <w:fldChar w:fldCharType="end"/>
        </w:r>
      </w:hyperlink>
    </w:p>
    <w:p w14:paraId="7D0D5B2B" w14:textId="777FAEE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7" w:history="1">
        <w:r w:rsidRPr="00FC437C">
          <w:rPr>
            <w:rStyle w:val="Hyperlink"/>
          </w:rPr>
          <w:t>§1133.</w:t>
        </w:r>
        <w:r>
          <w:rPr>
            <w:rFonts w:asciiTheme="minorHAnsi" w:eastAsiaTheme="minorEastAsia" w:hAnsiTheme="minorHAnsi" w:cstheme="minorBidi"/>
            <w:color w:val="auto"/>
            <w:kern w:val="2"/>
            <w:szCs w:val="24"/>
            <w14:ligatures w14:val="standardContextual"/>
          </w:rPr>
          <w:tab/>
        </w:r>
        <w:r w:rsidRPr="00FC437C">
          <w:rPr>
            <w:rStyle w:val="Hyperlink"/>
          </w:rPr>
          <w:t>Penalty for Violations; Injunctive Relief; Costs</w:t>
        </w:r>
        <w:r>
          <w:rPr>
            <w:webHidden/>
          </w:rPr>
          <w:tab/>
        </w:r>
        <w:r>
          <w:rPr>
            <w:webHidden/>
          </w:rPr>
          <w:fldChar w:fldCharType="begin"/>
        </w:r>
        <w:r>
          <w:rPr>
            <w:webHidden/>
          </w:rPr>
          <w:instrText xml:space="preserve"> PAGEREF _Toc224818627 \h </w:instrText>
        </w:r>
        <w:r>
          <w:rPr>
            <w:webHidden/>
          </w:rPr>
        </w:r>
        <w:r>
          <w:rPr>
            <w:webHidden/>
          </w:rPr>
          <w:fldChar w:fldCharType="separate"/>
        </w:r>
        <w:r w:rsidR="00AA17AB">
          <w:rPr>
            <w:webHidden/>
          </w:rPr>
          <w:t>62</w:t>
        </w:r>
        <w:r>
          <w:rPr>
            <w:webHidden/>
          </w:rPr>
          <w:fldChar w:fldCharType="end"/>
        </w:r>
      </w:hyperlink>
    </w:p>
    <w:p w14:paraId="046F6B19" w14:textId="5395E1E3" w:rsidR="00E67799" w:rsidRDefault="00E67799">
      <w:pPr>
        <w:pStyle w:val="TOC2"/>
        <w:rPr>
          <w:rFonts w:asciiTheme="minorHAnsi" w:eastAsiaTheme="minorEastAsia" w:hAnsiTheme="minorHAnsi" w:cstheme="minorBidi"/>
          <w:kern w:val="2"/>
          <w:szCs w:val="24"/>
          <w14:ligatures w14:val="standardContextual"/>
        </w:rPr>
      </w:pPr>
      <w:hyperlink w:anchor="_Toc22481862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Fruits and Vegetables Rules and Regulations</w:t>
        </w:r>
        <w:r>
          <w:rPr>
            <w:webHidden/>
          </w:rPr>
          <w:tab/>
        </w:r>
        <w:r>
          <w:rPr>
            <w:webHidden/>
          </w:rPr>
          <w:fldChar w:fldCharType="begin"/>
        </w:r>
        <w:r>
          <w:rPr>
            <w:webHidden/>
          </w:rPr>
          <w:instrText xml:space="preserve"> PAGEREF _Toc224818628 \h </w:instrText>
        </w:r>
        <w:r>
          <w:rPr>
            <w:webHidden/>
          </w:rPr>
        </w:r>
        <w:r>
          <w:rPr>
            <w:webHidden/>
          </w:rPr>
          <w:fldChar w:fldCharType="separate"/>
        </w:r>
        <w:r w:rsidR="00AA17AB">
          <w:rPr>
            <w:webHidden/>
          </w:rPr>
          <w:t>62</w:t>
        </w:r>
        <w:r>
          <w:rPr>
            <w:webHidden/>
          </w:rPr>
          <w:fldChar w:fldCharType="end"/>
        </w:r>
      </w:hyperlink>
    </w:p>
    <w:p w14:paraId="416C55E7" w14:textId="154B631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29" w:history="1">
        <w:r w:rsidRPr="00FC437C">
          <w:rPr>
            <w:rStyle w:val="Hyperlink"/>
          </w:rPr>
          <w:t>§1135.</w:t>
        </w:r>
        <w:r>
          <w:rPr>
            <w:rFonts w:asciiTheme="minorHAnsi" w:eastAsiaTheme="minorEastAsia" w:hAnsiTheme="minorHAnsi" w:cstheme="minorBidi"/>
            <w:color w:val="auto"/>
            <w:kern w:val="2"/>
            <w:szCs w:val="24"/>
            <w14:ligatures w14:val="standardContextual"/>
          </w:rPr>
          <w:tab/>
        </w:r>
        <w:r w:rsidRPr="00FC437C">
          <w:rPr>
            <w:rStyle w:val="Hyperlink"/>
          </w:rPr>
          <w:t>Red River Valley Tomatoes</w:t>
        </w:r>
        <w:r>
          <w:rPr>
            <w:webHidden/>
          </w:rPr>
          <w:tab/>
        </w:r>
        <w:r>
          <w:rPr>
            <w:webHidden/>
          </w:rPr>
          <w:fldChar w:fldCharType="begin"/>
        </w:r>
        <w:r>
          <w:rPr>
            <w:webHidden/>
          </w:rPr>
          <w:instrText xml:space="preserve"> PAGEREF _Toc224818629 \h </w:instrText>
        </w:r>
        <w:r>
          <w:rPr>
            <w:webHidden/>
          </w:rPr>
        </w:r>
        <w:r>
          <w:rPr>
            <w:webHidden/>
          </w:rPr>
          <w:fldChar w:fldCharType="separate"/>
        </w:r>
        <w:r w:rsidR="00AA17AB">
          <w:rPr>
            <w:webHidden/>
          </w:rPr>
          <w:t>62</w:t>
        </w:r>
        <w:r>
          <w:rPr>
            <w:webHidden/>
          </w:rPr>
          <w:fldChar w:fldCharType="end"/>
        </w:r>
      </w:hyperlink>
    </w:p>
    <w:p w14:paraId="7428651E" w14:textId="3B3657BD" w:rsidR="00E67799" w:rsidRDefault="00E67799" w:rsidP="00695EC1">
      <w:pPr>
        <w:pStyle w:val="TOC2"/>
        <w:rPr>
          <w:rFonts w:asciiTheme="minorHAnsi" w:eastAsiaTheme="minorEastAsia" w:hAnsiTheme="minorHAnsi" w:cstheme="minorBidi"/>
          <w:kern w:val="2"/>
          <w:szCs w:val="24"/>
          <w14:ligatures w14:val="standardContextual"/>
        </w:rPr>
      </w:pPr>
      <w:hyperlink w:anchor="_Toc224818630" w:history="1">
        <w:r w:rsidRPr="00FC437C">
          <w:rPr>
            <w:rStyle w:val="Hyperlink"/>
          </w:rPr>
          <w:t>Chapter 12.</w:t>
        </w:r>
        <w:r>
          <w:rPr>
            <w:rFonts w:asciiTheme="minorHAnsi" w:eastAsiaTheme="minorEastAsia" w:hAnsiTheme="minorHAnsi" w:cstheme="minorBidi"/>
            <w:kern w:val="2"/>
            <w:szCs w:val="24"/>
            <w14:ligatures w14:val="standardContextual"/>
          </w:rPr>
          <w:tab/>
        </w:r>
        <w:r w:rsidRPr="00FC437C">
          <w:rPr>
            <w:rStyle w:val="Hyperlink"/>
          </w:rPr>
          <w:t>Produce Safety</w:t>
        </w:r>
        <w:r>
          <w:rPr>
            <w:webHidden/>
          </w:rPr>
          <w:tab/>
        </w:r>
        <w:r>
          <w:rPr>
            <w:webHidden/>
          </w:rPr>
          <w:fldChar w:fldCharType="begin"/>
        </w:r>
        <w:r>
          <w:rPr>
            <w:webHidden/>
          </w:rPr>
          <w:instrText xml:space="preserve"> PAGEREF _Toc224818630 \h </w:instrText>
        </w:r>
        <w:r>
          <w:rPr>
            <w:webHidden/>
          </w:rPr>
        </w:r>
        <w:r>
          <w:rPr>
            <w:webHidden/>
          </w:rPr>
          <w:fldChar w:fldCharType="separate"/>
        </w:r>
        <w:r w:rsidR="00AA17AB">
          <w:rPr>
            <w:webHidden/>
          </w:rPr>
          <w:t>63</w:t>
        </w:r>
        <w:r>
          <w:rPr>
            <w:webHidden/>
          </w:rPr>
          <w:fldChar w:fldCharType="end"/>
        </w:r>
      </w:hyperlink>
    </w:p>
    <w:p w14:paraId="4CBC26CF" w14:textId="178B6D51"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631" w:history="1">
        <w:r w:rsidRPr="00FC437C">
          <w:rPr>
            <w:rStyle w:val="Hyperlink"/>
          </w:rPr>
          <w:t>§1201.</w:t>
        </w:r>
        <w:r>
          <w:rPr>
            <w:rFonts w:asciiTheme="minorHAnsi" w:eastAsiaTheme="minorEastAsia" w:hAnsiTheme="minorHAnsi" w:cstheme="minorBidi"/>
            <w:color w:val="auto"/>
            <w:kern w:val="2"/>
            <w:szCs w:val="24"/>
            <w14:ligatures w14:val="standardContextual"/>
          </w:rPr>
          <w:tab/>
        </w:r>
        <w:r w:rsidRPr="00FC437C">
          <w:rPr>
            <w:rStyle w:val="Hyperlink"/>
          </w:rPr>
          <w:t>Purpose; General Requirements</w:t>
        </w:r>
        <w:r>
          <w:rPr>
            <w:webHidden/>
          </w:rPr>
          <w:tab/>
        </w:r>
        <w:r>
          <w:rPr>
            <w:webHidden/>
          </w:rPr>
          <w:fldChar w:fldCharType="begin"/>
        </w:r>
        <w:r>
          <w:rPr>
            <w:webHidden/>
          </w:rPr>
          <w:instrText xml:space="preserve"> PAGEREF _Toc224818631 \h </w:instrText>
        </w:r>
        <w:r>
          <w:rPr>
            <w:webHidden/>
          </w:rPr>
        </w:r>
        <w:r>
          <w:rPr>
            <w:webHidden/>
          </w:rPr>
          <w:fldChar w:fldCharType="separate"/>
        </w:r>
        <w:r w:rsidR="00AA17AB">
          <w:rPr>
            <w:webHidden/>
          </w:rPr>
          <w:t>63</w:t>
        </w:r>
        <w:r>
          <w:rPr>
            <w:webHidden/>
          </w:rPr>
          <w:fldChar w:fldCharType="end"/>
        </w:r>
      </w:hyperlink>
    </w:p>
    <w:p w14:paraId="6929B73A" w14:textId="63EA6B91"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632" w:history="1">
        <w:r w:rsidRPr="00FC437C">
          <w:rPr>
            <w:rStyle w:val="Hyperlink"/>
          </w:rPr>
          <w:t>§1203.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_Toc224818632 \h </w:instrText>
        </w:r>
        <w:r>
          <w:rPr>
            <w:webHidden/>
          </w:rPr>
        </w:r>
        <w:r>
          <w:rPr>
            <w:webHidden/>
          </w:rPr>
          <w:fldChar w:fldCharType="separate"/>
        </w:r>
        <w:r w:rsidR="00AA17AB">
          <w:rPr>
            <w:webHidden/>
          </w:rPr>
          <w:t>63</w:t>
        </w:r>
        <w:r>
          <w:rPr>
            <w:webHidden/>
          </w:rPr>
          <w:fldChar w:fldCharType="end"/>
        </w:r>
      </w:hyperlink>
    </w:p>
    <w:p w14:paraId="006718B8" w14:textId="76B1A73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3" w:history="1">
        <w:r w:rsidRPr="00FC437C">
          <w:rPr>
            <w:rStyle w:val="Hyperlink"/>
          </w:rPr>
          <w:t>§1205.</w:t>
        </w:r>
        <w:r>
          <w:rPr>
            <w:rFonts w:asciiTheme="minorHAnsi" w:eastAsiaTheme="minorEastAsia" w:hAnsiTheme="minorHAnsi" w:cstheme="minorBidi"/>
            <w:color w:val="auto"/>
            <w:kern w:val="2"/>
            <w:szCs w:val="24"/>
            <w14:ligatures w14:val="standardContextual"/>
          </w:rPr>
          <w:tab/>
        </w:r>
        <w:r w:rsidRPr="00FC437C">
          <w:rPr>
            <w:rStyle w:val="Hyperlink"/>
          </w:rPr>
          <w:t>Personnel Qualification and Training</w:t>
        </w:r>
        <w:r>
          <w:rPr>
            <w:webHidden/>
          </w:rPr>
          <w:tab/>
        </w:r>
        <w:r>
          <w:rPr>
            <w:webHidden/>
          </w:rPr>
          <w:fldChar w:fldCharType="begin"/>
        </w:r>
        <w:r>
          <w:rPr>
            <w:webHidden/>
          </w:rPr>
          <w:instrText xml:space="preserve"> PAGEREF _Toc224818633 \h </w:instrText>
        </w:r>
        <w:r>
          <w:rPr>
            <w:webHidden/>
          </w:rPr>
        </w:r>
        <w:r>
          <w:rPr>
            <w:webHidden/>
          </w:rPr>
          <w:fldChar w:fldCharType="separate"/>
        </w:r>
        <w:r w:rsidR="00AA17AB">
          <w:rPr>
            <w:webHidden/>
          </w:rPr>
          <w:t>66</w:t>
        </w:r>
        <w:r>
          <w:rPr>
            <w:webHidden/>
          </w:rPr>
          <w:fldChar w:fldCharType="end"/>
        </w:r>
      </w:hyperlink>
    </w:p>
    <w:p w14:paraId="0E2C0CDC" w14:textId="7676B74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4" w:history="1">
        <w:r w:rsidRPr="00FC437C">
          <w:rPr>
            <w:rStyle w:val="Hyperlink"/>
          </w:rPr>
          <w:t>§1207.</w:t>
        </w:r>
        <w:r>
          <w:rPr>
            <w:rFonts w:asciiTheme="minorHAnsi" w:eastAsiaTheme="minorEastAsia" w:hAnsiTheme="minorHAnsi" w:cstheme="minorBidi"/>
            <w:color w:val="auto"/>
            <w:kern w:val="2"/>
            <w:szCs w:val="24"/>
            <w14:ligatures w14:val="standardContextual"/>
          </w:rPr>
          <w:tab/>
        </w:r>
        <w:r w:rsidRPr="00FC437C">
          <w:rPr>
            <w:rStyle w:val="Hyperlink"/>
          </w:rPr>
          <w:t>Health and Hygiene</w:t>
        </w:r>
        <w:r>
          <w:rPr>
            <w:webHidden/>
          </w:rPr>
          <w:tab/>
        </w:r>
        <w:r>
          <w:rPr>
            <w:webHidden/>
          </w:rPr>
          <w:fldChar w:fldCharType="begin"/>
        </w:r>
        <w:r>
          <w:rPr>
            <w:webHidden/>
          </w:rPr>
          <w:instrText xml:space="preserve"> PAGEREF _Toc224818634 \h </w:instrText>
        </w:r>
        <w:r>
          <w:rPr>
            <w:webHidden/>
          </w:rPr>
        </w:r>
        <w:r>
          <w:rPr>
            <w:webHidden/>
          </w:rPr>
          <w:fldChar w:fldCharType="separate"/>
        </w:r>
        <w:r w:rsidR="00AA17AB">
          <w:rPr>
            <w:webHidden/>
          </w:rPr>
          <w:t>67</w:t>
        </w:r>
        <w:r>
          <w:rPr>
            <w:webHidden/>
          </w:rPr>
          <w:fldChar w:fldCharType="end"/>
        </w:r>
      </w:hyperlink>
    </w:p>
    <w:p w14:paraId="4AF6085F" w14:textId="269F4A8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5" w:history="1">
        <w:r w:rsidRPr="00FC437C">
          <w:rPr>
            <w:rStyle w:val="Hyperlink"/>
          </w:rPr>
          <w:t>§1209.</w:t>
        </w:r>
        <w:r>
          <w:rPr>
            <w:rFonts w:asciiTheme="minorHAnsi" w:eastAsiaTheme="minorEastAsia" w:hAnsiTheme="minorHAnsi" w:cstheme="minorBidi"/>
            <w:color w:val="auto"/>
            <w:kern w:val="2"/>
            <w:szCs w:val="24"/>
            <w14:ligatures w14:val="standardContextual"/>
          </w:rPr>
          <w:tab/>
        </w:r>
        <w:r w:rsidRPr="00FC437C">
          <w:rPr>
            <w:rStyle w:val="Hyperlink"/>
          </w:rPr>
          <w:t>Agricultural Water</w:t>
        </w:r>
        <w:r>
          <w:rPr>
            <w:webHidden/>
          </w:rPr>
          <w:tab/>
        </w:r>
        <w:r>
          <w:rPr>
            <w:webHidden/>
          </w:rPr>
          <w:fldChar w:fldCharType="begin"/>
        </w:r>
        <w:r>
          <w:rPr>
            <w:webHidden/>
          </w:rPr>
          <w:instrText xml:space="preserve"> PAGEREF _Toc224818635 \h </w:instrText>
        </w:r>
        <w:r>
          <w:rPr>
            <w:webHidden/>
          </w:rPr>
        </w:r>
        <w:r>
          <w:rPr>
            <w:webHidden/>
          </w:rPr>
          <w:fldChar w:fldCharType="separate"/>
        </w:r>
        <w:r w:rsidR="00AA17AB">
          <w:rPr>
            <w:webHidden/>
          </w:rPr>
          <w:t>68</w:t>
        </w:r>
        <w:r>
          <w:rPr>
            <w:webHidden/>
          </w:rPr>
          <w:fldChar w:fldCharType="end"/>
        </w:r>
      </w:hyperlink>
    </w:p>
    <w:p w14:paraId="5BAC1269" w14:textId="2F2124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6" w:history="1">
        <w:r w:rsidRPr="00FC437C">
          <w:rPr>
            <w:rStyle w:val="Hyperlink"/>
          </w:rPr>
          <w:t>§1211.</w:t>
        </w:r>
        <w:r>
          <w:rPr>
            <w:rFonts w:asciiTheme="minorHAnsi" w:eastAsiaTheme="minorEastAsia" w:hAnsiTheme="minorHAnsi" w:cstheme="minorBidi"/>
            <w:color w:val="auto"/>
            <w:kern w:val="2"/>
            <w:szCs w:val="24"/>
            <w14:ligatures w14:val="standardContextual"/>
          </w:rPr>
          <w:tab/>
        </w:r>
        <w:r w:rsidRPr="00FC437C">
          <w:rPr>
            <w:rStyle w:val="Hyperlink"/>
          </w:rPr>
          <w:t>Biological Soil Amendments of Animal Origin and Human Waste</w:t>
        </w:r>
        <w:r>
          <w:rPr>
            <w:webHidden/>
          </w:rPr>
          <w:tab/>
        </w:r>
        <w:r>
          <w:rPr>
            <w:webHidden/>
          </w:rPr>
          <w:fldChar w:fldCharType="begin"/>
        </w:r>
        <w:r>
          <w:rPr>
            <w:webHidden/>
          </w:rPr>
          <w:instrText xml:space="preserve"> PAGEREF _Toc224818636 \h </w:instrText>
        </w:r>
        <w:r>
          <w:rPr>
            <w:webHidden/>
          </w:rPr>
        </w:r>
        <w:r>
          <w:rPr>
            <w:webHidden/>
          </w:rPr>
          <w:fldChar w:fldCharType="separate"/>
        </w:r>
        <w:r w:rsidR="00AA17AB">
          <w:rPr>
            <w:webHidden/>
          </w:rPr>
          <w:t>68</w:t>
        </w:r>
        <w:r>
          <w:rPr>
            <w:webHidden/>
          </w:rPr>
          <w:fldChar w:fldCharType="end"/>
        </w:r>
      </w:hyperlink>
    </w:p>
    <w:p w14:paraId="734B39C2" w14:textId="51DD7F5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7" w:history="1">
        <w:r w:rsidRPr="00FC437C">
          <w:rPr>
            <w:rStyle w:val="Hyperlink"/>
          </w:rPr>
          <w:t>§1213.</w:t>
        </w:r>
        <w:r>
          <w:rPr>
            <w:rFonts w:asciiTheme="minorHAnsi" w:eastAsiaTheme="minorEastAsia" w:hAnsiTheme="minorHAnsi" w:cstheme="minorBidi"/>
            <w:color w:val="auto"/>
            <w:kern w:val="2"/>
            <w:szCs w:val="24"/>
            <w14:ligatures w14:val="standardContextual"/>
          </w:rPr>
          <w:tab/>
        </w:r>
        <w:r w:rsidRPr="00FC437C">
          <w:rPr>
            <w:rStyle w:val="Hyperlink"/>
          </w:rPr>
          <w:t>Domesticated and Wild Animals, Relative to Covered Produce</w:t>
        </w:r>
        <w:r>
          <w:rPr>
            <w:webHidden/>
          </w:rPr>
          <w:tab/>
        </w:r>
        <w:r>
          <w:rPr>
            <w:webHidden/>
          </w:rPr>
          <w:fldChar w:fldCharType="begin"/>
        </w:r>
        <w:r>
          <w:rPr>
            <w:webHidden/>
          </w:rPr>
          <w:instrText xml:space="preserve"> PAGEREF _Toc224818637 \h </w:instrText>
        </w:r>
        <w:r>
          <w:rPr>
            <w:webHidden/>
          </w:rPr>
        </w:r>
        <w:r>
          <w:rPr>
            <w:webHidden/>
          </w:rPr>
          <w:fldChar w:fldCharType="separate"/>
        </w:r>
        <w:r w:rsidR="00AA17AB">
          <w:rPr>
            <w:webHidden/>
          </w:rPr>
          <w:t>69</w:t>
        </w:r>
        <w:r>
          <w:rPr>
            <w:webHidden/>
          </w:rPr>
          <w:fldChar w:fldCharType="end"/>
        </w:r>
      </w:hyperlink>
    </w:p>
    <w:p w14:paraId="27F3ABBC" w14:textId="7FD4001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8" w:history="1">
        <w:r w:rsidRPr="00FC437C">
          <w:rPr>
            <w:rStyle w:val="Hyperlink"/>
          </w:rPr>
          <w:t>§1215.</w:t>
        </w:r>
        <w:r>
          <w:rPr>
            <w:rFonts w:asciiTheme="minorHAnsi" w:eastAsiaTheme="minorEastAsia" w:hAnsiTheme="minorHAnsi" w:cstheme="minorBidi"/>
            <w:color w:val="auto"/>
            <w:kern w:val="2"/>
            <w:szCs w:val="24"/>
            <w14:ligatures w14:val="standardContextual"/>
          </w:rPr>
          <w:tab/>
        </w:r>
        <w:r w:rsidRPr="00FC437C">
          <w:rPr>
            <w:rStyle w:val="Hyperlink"/>
          </w:rPr>
          <w:t>Growing, Harvesting, Packing, and Holding Activities</w:t>
        </w:r>
        <w:r>
          <w:rPr>
            <w:webHidden/>
          </w:rPr>
          <w:tab/>
        </w:r>
        <w:r>
          <w:rPr>
            <w:webHidden/>
          </w:rPr>
          <w:fldChar w:fldCharType="begin"/>
        </w:r>
        <w:r>
          <w:rPr>
            <w:webHidden/>
          </w:rPr>
          <w:instrText xml:space="preserve"> PAGEREF _Toc224818638 \h </w:instrText>
        </w:r>
        <w:r>
          <w:rPr>
            <w:webHidden/>
          </w:rPr>
        </w:r>
        <w:r>
          <w:rPr>
            <w:webHidden/>
          </w:rPr>
          <w:fldChar w:fldCharType="separate"/>
        </w:r>
        <w:r w:rsidR="00AA17AB">
          <w:rPr>
            <w:webHidden/>
          </w:rPr>
          <w:t>69</w:t>
        </w:r>
        <w:r>
          <w:rPr>
            <w:webHidden/>
          </w:rPr>
          <w:fldChar w:fldCharType="end"/>
        </w:r>
      </w:hyperlink>
    </w:p>
    <w:p w14:paraId="4A100045" w14:textId="428A08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39" w:history="1">
        <w:r w:rsidRPr="00FC437C">
          <w:rPr>
            <w:rStyle w:val="Hyperlink"/>
          </w:rPr>
          <w:t>§1217.</w:t>
        </w:r>
        <w:r>
          <w:rPr>
            <w:rFonts w:asciiTheme="minorHAnsi" w:eastAsiaTheme="minorEastAsia" w:hAnsiTheme="minorHAnsi" w:cstheme="minorBidi"/>
            <w:color w:val="auto"/>
            <w:kern w:val="2"/>
            <w:szCs w:val="24"/>
            <w14:ligatures w14:val="standardContextual"/>
          </w:rPr>
          <w:tab/>
        </w:r>
        <w:r w:rsidRPr="00FC437C">
          <w:rPr>
            <w:rStyle w:val="Hyperlink"/>
          </w:rPr>
          <w:t>Equipment, Tools, Buildings, and Sanitation</w:t>
        </w:r>
        <w:r>
          <w:rPr>
            <w:webHidden/>
          </w:rPr>
          <w:tab/>
        </w:r>
        <w:r>
          <w:rPr>
            <w:webHidden/>
          </w:rPr>
          <w:fldChar w:fldCharType="begin"/>
        </w:r>
        <w:r>
          <w:rPr>
            <w:webHidden/>
          </w:rPr>
          <w:instrText xml:space="preserve"> PAGEREF _Toc224818639 \h </w:instrText>
        </w:r>
        <w:r>
          <w:rPr>
            <w:webHidden/>
          </w:rPr>
        </w:r>
        <w:r>
          <w:rPr>
            <w:webHidden/>
          </w:rPr>
          <w:fldChar w:fldCharType="separate"/>
        </w:r>
        <w:r w:rsidR="00AA17AB">
          <w:rPr>
            <w:webHidden/>
          </w:rPr>
          <w:t>70</w:t>
        </w:r>
        <w:r>
          <w:rPr>
            <w:webHidden/>
          </w:rPr>
          <w:fldChar w:fldCharType="end"/>
        </w:r>
      </w:hyperlink>
    </w:p>
    <w:p w14:paraId="62E74103" w14:textId="0F6DD86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0" w:history="1">
        <w:r w:rsidRPr="00FC437C">
          <w:rPr>
            <w:rStyle w:val="Hyperlink"/>
          </w:rPr>
          <w:t>§1219.</w:t>
        </w:r>
        <w:r>
          <w:rPr>
            <w:rFonts w:asciiTheme="minorHAnsi" w:eastAsiaTheme="minorEastAsia" w:hAnsiTheme="minorHAnsi" w:cstheme="minorBidi"/>
            <w:color w:val="auto"/>
            <w:kern w:val="2"/>
            <w:szCs w:val="24"/>
            <w14:ligatures w14:val="standardContextual"/>
          </w:rPr>
          <w:tab/>
        </w:r>
        <w:r w:rsidRPr="00FC437C">
          <w:rPr>
            <w:rStyle w:val="Hyperlink"/>
          </w:rPr>
          <w:t>Sprouts</w:t>
        </w:r>
        <w:r>
          <w:rPr>
            <w:webHidden/>
          </w:rPr>
          <w:tab/>
        </w:r>
        <w:r>
          <w:rPr>
            <w:webHidden/>
          </w:rPr>
          <w:fldChar w:fldCharType="begin"/>
        </w:r>
        <w:r>
          <w:rPr>
            <w:webHidden/>
          </w:rPr>
          <w:instrText xml:space="preserve"> PAGEREF _Toc224818640 \h </w:instrText>
        </w:r>
        <w:r>
          <w:rPr>
            <w:webHidden/>
          </w:rPr>
        </w:r>
        <w:r>
          <w:rPr>
            <w:webHidden/>
          </w:rPr>
          <w:fldChar w:fldCharType="separate"/>
        </w:r>
        <w:r w:rsidR="00AA17AB">
          <w:rPr>
            <w:webHidden/>
          </w:rPr>
          <w:t>72</w:t>
        </w:r>
        <w:r>
          <w:rPr>
            <w:webHidden/>
          </w:rPr>
          <w:fldChar w:fldCharType="end"/>
        </w:r>
      </w:hyperlink>
    </w:p>
    <w:p w14:paraId="5CB60A26" w14:textId="100D525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1" w:history="1">
        <w:r w:rsidRPr="00FC437C">
          <w:rPr>
            <w:rStyle w:val="Hyperlink"/>
          </w:rPr>
          <w:t>§1221.</w:t>
        </w:r>
        <w:r>
          <w:rPr>
            <w:rFonts w:asciiTheme="minorHAnsi" w:eastAsiaTheme="minorEastAsia" w:hAnsiTheme="minorHAnsi" w:cstheme="minorBidi"/>
            <w:color w:val="auto"/>
            <w:kern w:val="2"/>
            <w:szCs w:val="24"/>
            <w14:ligatures w14:val="standardContextual"/>
          </w:rPr>
          <w:tab/>
        </w:r>
        <w:r w:rsidRPr="00FC437C">
          <w:rPr>
            <w:rStyle w:val="Hyperlink"/>
          </w:rPr>
          <w:t>Registration of Farms</w:t>
        </w:r>
        <w:r>
          <w:rPr>
            <w:webHidden/>
          </w:rPr>
          <w:tab/>
        </w:r>
        <w:r>
          <w:rPr>
            <w:webHidden/>
          </w:rPr>
          <w:fldChar w:fldCharType="begin"/>
        </w:r>
        <w:r>
          <w:rPr>
            <w:webHidden/>
          </w:rPr>
          <w:instrText xml:space="preserve"> PAGEREF _Toc224818641 \h </w:instrText>
        </w:r>
        <w:r>
          <w:rPr>
            <w:webHidden/>
          </w:rPr>
        </w:r>
        <w:r>
          <w:rPr>
            <w:webHidden/>
          </w:rPr>
          <w:fldChar w:fldCharType="separate"/>
        </w:r>
        <w:r w:rsidR="00AA17AB">
          <w:rPr>
            <w:webHidden/>
          </w:rPr>
          <w:t>72</w:t>
        </w:r>
        <w:r>
          <w:rPr>
            <w:webHidden/>
          </w:rPr>
          <w:fldChar w:fldCharType="end"/>
        </w:r>
      </w:hyperlink>
    </w:p>
    <w:p w14:paraId="4EB02986" w14:textId="02A85B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2" w:history="1">
        <w:r w:rsidRPr="00FC437C">
          <w:rPr>
            <w:rStyle w:val="Hyperlink"/>
          </w:rPr>
          <w:t>§1223.</w:t>
        </w:r>
        <w:r>
          <w:rPr>
            <w:rFonts w:asciiTheme="minorHAnsi" w:eastAsiaTheme="minorEastAsia" w:hAnsiTheme="minorHAnsi" w:cstheme="minorBidi"/>
            <w:color w:val="auto"/>
            <w:kern w:val="2"/>
            <w:szCs w:val="24"/>
            <w14:ligatures w14:val="standardContextual"/>
          </w:rPr>
          <w:tab/>
        </w:r>
        <w:r w:rsidRPr="00FC437C">
          <w:rPr>
            <w:rStyle w:val="Hyperlink"/>
          </w:rPr>
          <w:t>Records</w:t>
        </w:r>
        <w:r>
          <w:rPr>
            <w:webHidden/>
          </w:rPr>
          <w:tab/>
        </w:r>
        <w:r>
          <w:rPr>
            <w:webHidden/>
          </w:rPr>
          <w:fldChar w:fldCharType="begin"/>
        </w:r>
        <w:r>
          <w:rPr>
            <w:webHidden/>
          </w:rPr>
          <w:instrText xml:space="preserve"> PAGEREF _Toc224818642 \h </w:instrText>
        </w:r>
        <w:r>
          <w:rPr>
            <w:webHidden/>
          </w:rPr>
        </w:r>
        <w:r>
          <w:rPr>
            <w:webHidden/>
          </w:rPr>
          <w:fldChar w:fldCharType="separate"/>
        </w:r>
        <w:r w:rsidR="00AA17AB">
          <w:rPr>
            <w:webHidden/>
          </w:rPr>
          <w:t>72</w:t>
        </w:r>
        <w:r>
          <w:rPr>
            <w:webHidden/>
          </w:rPr>
          <w:fldChar w:fldCharType="end"/>
        </w:r>
      </w:hyperlink>
    </w:p>
    <w:p w14:paraId="5735CBBA" w14:textId="4EB19A4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3" w:history="1">
        <w:r w:rsidRPr="00FC437C">
          <w:rPr>
            <w:rStyle w:val="Hyperlink"/>
          </w:rPr>
          <w:t>§1225.</w:t>
        </w:r>
        <w:r>
          <w:rPr>
            <w:rFonts w:asciiTheme="minorHAnsi" w:eastAsiaTheme="minorEastAsia" w:hAnsiTheme="minorHAnsi" w:cstheme="minorBidi"/>
            <w:color w:val="auto"/>
            <w:kern w:val="2"/>
            <w:szCs w:val="24"/>
            <w14:ligatures w14:val="standardContextual"/>
          </w:rPr>
          <w:tab/>
        </w:r>
        <w:r w:rsidRPr="00FC437C">
          <w:rPr>
            <w:rStyle w:val="Hyperlink"/>
          </w:rPr>
          <w:t>Reports</w:t>
        </w:r>
        <w:r>
          <w:rPr>
            <w:webHidden/>
          </w:rPr>
          <w:tab/>
        </w:r>
        <w:r>
          <w:rPr>
            <w:webHidden/>
          </w:rPr>
          <w:fldChar w:fldCharType="begin"/>
        </w:r>
        <w:r>
          <w:rPr>
            <w:webHidden/>
          </w:rPr>
          <w:instrText xml:space="preserve"> PAGEREF _Toc224818643 \h </w:instrText>
        </w:r>
        <w:r>
          <w:rPr>
            <w:webHidden/>
          </w:rPr>
        </w:r>
        <w:r>
          <w:rPr>
            <w:webHidden/>
          </w:rPr>
          <w:fldChar w:fldCharType="separate"/>
        </w:r>
        <w:r w:rsidR="00AA17AB">
          <w:rPr>
            <w:webHidden/>
          </w:rPr>
          <w:t>73</w:t>
        </w:r>
        <w:r>
          <w:rPr>
            <w:webHidden/>
          </w:rPr>
          <w:fldChar w:fldCharType="end"/>
        </w:r>
      </w:hyperlink>
    </w:p>
    <w:p w14:paraId="45D57470" w14:textId="5B62F1D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4" w:history="1">
        <w:r w:rsidRPr="00FC437C">
          <w:rPr>
            <w:rStyle w:val="Hyperlink"/>
          </w:rPr>
          <w:t>§1227.</w:t>
        </w:r>
        <w:r>
          <w:rPr>
            <w:rFonts w:asciiTheme="minorHAnsi" w:eastAsiaTheme="minorEastAsia" w:hAnsiTheme="minorHAnsi" w:cstheme="minorBidi"/>
            <w:color w:val="auto"/>
            <w:kern w:val="2"/>
            <w:szCs w:val="24"/>
            <w14:ligatures w14:val="standardContextual"/>
          </w:rPr>
          <w:tab/>
        </w:r>
        <w:r w:rsidRPr="00FC437C">
          <w:rPr>
            <w:rStyle w:val="Hyperlink"/>
          </w:rPr>
          <w:t>Stop Orders</w:t>
        </w:r>
        <w:r>
          <w:rPr>
            <w:webHidden/>
          </w:rPr>
          <w:tab/>
        </w:r>
        <w:r>
          <w:rPr>
            <w:webHidden/>
          </w:rPr>
          <w:fldChar w:fldCharType="begin"/>
        </w:r>
        <w:r>
          <w:rPr>
            <w:webHidden/>
          </w:rPr>
          <w:instrText xml:space="preserve"> PAGEREF _Toc224818644 \h </w:instrText>
        </w:r>
        <w:r>
          <w:rPr>
            <w:webHidden/>
          </w:rPr>
        </w:r>
        <w:r>
          <w:rPr>
            <w:webHidden/>
          </w:rPr>
          <w:fldChar w:fldCharType="separate"/>
        </w:r>
        <w:r w:rsidR="00AA17AB">
          <w:rPr>
            <w:webHidden/>
          </w:rPr>
          <w:t>73</w:t>
        </w:r>
        <w:r>
          <w:rPr>
            <w:webHidden/>
          </w:rPr>
          <w:fldChar w:fldCharType="end"/>
        </w:r>
      </w:hyperlink>
    </w:p>
    <w:p w14:paraId="28E0CCAC" w14:textId="401567C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5" w:history="1">
        <w:r w:rsidRPr="00FC437C">
          <w:rPr>
            <w:rStyle w:val="Hyperlink"/>
          </w:rPr>
          <w:t>§1229.</w:t>
        </w:r>
        <w:r>
          <w:rPr>
            <w:rFonts w:asciiTheme="minorHAnsi" w:eastAsiaTheme="minorEastAsia" w:hAnsiTheme="minorHAnsi" w:cstheme="minorBidi"/>
            <w:color w:val="auto"/>
            <w:kern w:val="2"/>
            <w:szCs w:val="24"/>
            <w14:ligatures w14:val="standardContextual"/>
          </w:rPr>
          <w:tab/>
        </w:r>
        <w:r w:rsidRPr="00FC437C">
          <w:rPr>
            <w:rStyle w:val="Hyperlink"/>
          </w:rPr>
          <w:t>Investigation</w:t>
        </w:r>
        <w:r>
          <w:rPr>
            <w:webHidden/>
          </w:rPr>
          <w:tab/>
        </w:r>
        <w:r>
          <w:rPr>
            <w:webHidden/>
          </w:rPr>
          <w:fldChar w:fldCharType="begin"/>
        </w:r>
        <w:r>
          <w:rPr>
            <w:webHidden/>
          </w:rPr>
          <w:instrText xml:space="preserve"> PAGEREF _Toc224818645 \h </w:instrText>
        </w:r>
        <w:r>
          <w:rPr>
            <w:webHidden/>
          </w:rPr>
        </w:r>
        <w:r>
          <w:rPr>
            <w:webHidden/>
          </w:rPr>
          <w:fldChar w:fldCharType="separate"/>
        </w:r>
        <w:r w:rsidR="00AA17AB">
          <w:rPr>
            <w:webHidden/>
          </w:rPr>
          <w:t>73</w:t>
        </w:r>
        <w:r>
          <w:rPr>
            <w:webHidden/>
          </w:rPr>
          <w:fldChar w:fldCharType="end"/>
        </w:r>
      </w:hyperlink>
    </w:p>
    <w:p w14:paraId="5318B01C" w14:textId="2AB5BEC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6" w:history="1">
        <w:r w:rsidRPr="00FC437C">
          <w:rPr>
            <w:rStyle w:val="Hyperlink"/>
          </w:rPr>
          <w:t>§1231.</w:t>
        </w:r>
        <w:r>
          <w:rPr>
            <w:rFonts w:asciiTheme="minorHAnsi" w:eastAsiaTheme="minorEastAsia" w:hAnsiTheme="minorHAnsi" w:cstheme="minorBidi"/>
            <w:color w:val="auto"/>
            <w:kern w:val="2"/>
            <w:szCs w:val="24"/>
            <w14:ligatures w14:val="standardContextual"/>
          </w:rPr>
          <w:tab/>
        </w:r>
        <w:r w:rsidRPr="00FC437C">
          <w:rPr>
            <w:rStyle w:val="Hyperlink"/>
          </w:rPr>
          <w:t>Violations; Penalties</w:t>
        </w:r>
        <w:r>
          <w:rPr>
            <w:webHidden/>
          </w:rPr>
          <w:tab/>
        </w:r>
        <w:r>
          <w:rPr>
            <w:webHidden/>
          </w:rPr>
          <w:fldChar w:fldCharType="begin"/>
        </w:r>
        <w:r>
          <w:rPr>
            <w:webHidden/>
          </w:rPr>
          <w:instrText xml:space="preserve"> PAGEREF _Toc224818646 \h </w:instrText>
        </w:r>
        <w:r>
          <w:rPr>
            <w:webHidden/>
          </w:rPr>
        </w:r>
        <w:r>
          <w:rPr>
            <w:webHidden/>
          </w:rPr>
          <w:fldChar w:fldCharType="separate"/>
        </w:r>
        <w:r w:rsidR="00AA17AB">
          <w:rPr>
            <w:webHidden/>
          </w:rPr>
          <w:t>74</w:t>
        </w:r>
        <w:r>
          <w:rPr>
            <w:webHidden/>
          </w:rPr>
          <w:fldChar w:fldCharType="end"/>
        </w:r>
      </w:hyperlink>
    </w:p>
    <w:p w14:paraId="752902E7" w14:textId="393D335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7" w:history="1">
        <w:r w:rsidRPr="00FC437C">
          <w:rPr>
            <w:rStyle w:val="Hyperlink"/>
          </w:rPr>
          <w:t>§1233.</w:t>
        </w:r>
        <w:r>
          <w:rPr>
            <w:rFonts w:asciiTheme="minorHAnsi" w:eastAsiaTheme="minorEastAsia" w:hAnsiTheme="minorHAnsi" w:cstheme="minorBidi"/>
            <w:color w:val="auto"/>
            <w:kern w:val="2"/>
            <w:szCs w:val="24"/>
            <w14:ligatures w14:val="standardContextual"/>
          </w:rPr>
          <w:tab/>
        </w:r>
        <w:r w:rsidRPr="00FC437C">
          <w:rPr>
            <w:rStyle w:val="Hyperlink"/>
          </w:rPr>
          <w:t>Adjudicatory Hearings</w:t>
        </w:r>
        <w:r>
          <w:rPr>
            <w:webHidden/>
          </w:rPr>
          <w:tab/>
        </w:r>
        <w:r>
          <w:rPr>
            <w:webHidden/>
          </w:rPr>
          <w:fldChar w:fldCharType="begin"/>
        </w:r>
        <w:r>
          <w:rPr>
            <w:webHidden/>
          </w:rPr>
          <w:instrText xml:space="preserve"> PAGEREF _Toc224818647 \h </w:instrText>
        </w:r>
        <w:r>
          <w:rPr>
            <w:webHidden/>
          </w:rPr>
        </w:r>
        <w:r>
          <w:rPr>
            <w:webHidden/>
          </w:rPr>
          <w:fldChar w:fldCharType="separate"/>
        </w:r>
        <w:r w:rsidR="00AA17AB">
          <w:rPr>
            <w:webHidden/>
          </w:rPr>
          <w:t>74</w:t>
        </w:r>
        <w:r>
          <w:rPr>
            <w:webHidden/>
          </w:rPr>
          <w:fldChar w:fldCharType="end"/>
        </w:r>
      </w:hyperlink>
    </w:p>
    <w:p w14:paraId="416144DD" w14:textId="0B134C76" w:rsidR="00E67799" w:rsidRDefault="00E67799">
      <w:pPr>
        <w:pStyle w:val="TOC2"/>
        <w:rPr>
          <w:rFonts w:asciiTheme="minorHAnsi" w:eastAsiaTheme="minorEastAsia" w:hAnsiTheme="minorHAnsi" w:cstheme="minorBidi"/>
          <w:kern w:val="2"/>
          <w:szCs w:val="24"/>
          <w14:ligatures w14:val="standardContextual"/>
        </w:rPr>
      </w:pPr>
      <w:hyperlink w:anchor="_Toc224818648" w:history="1">
        <w:r w:rsidRPr="00FC437C">
          <w:rPr>
            <w:rStyle w:val="Hyperlink"/>
          </w:rPr>
          <w:t>Chapter 13.</w:t>
        </w:r>
        <w:r>
          <w:rPr>
            <w:rFonts w:asciiTheme="minorHAnsi" w:eastAsiaTheme="minorEastAsia" w:hAnsiTheme="minorHAnsi" w:cstheme="minorBidi"/>
            <w:kern w:val="2"/>
            <w:szCs w:val="24"/>
            <w14:ligatures w14:val="standardContextual"/>
          </w:rPr>
          <w:tab/>
        </w:r>
        <w:r w:rsidRPr="00FC437C">
          <w:rPr>
            <w:rStyle w:val="Hyperlink"/>
          </w:rPr>
          <w:t>Produce Assembly Center</w:t>
        </w:r>
        <w:r>
          <w:rPr>
            <w:webHidden/>
          </w:rPr>
          <w:tab/>
        </w:r>
        <w:r>
          <w:rPr>
            <w:webHidden/>
          </w:rPr>
          <w:fldChar w:fldCharType="begin"/>
        </w:r>
        <w:r>
          <w:rPr>
            <w:webHidden/>
          </w:rPr>
          <w:instrText xml:space="preserve"> PAGEREF _Toc224818648 \h </w:instrText>
        </w:r>
        <w:r>
          <w:rPr>
            <w:webHidden/>
          </w:rPr>
        </w:r>
        <w:r>
          <w:rPr>
            <w:webHidden/>
          </w:rPr>
          <w:fldChar w:fldCharType="separate"/>
        </w:r>
        <w:r w:rsidR="00AA17AB">
          <w:rPr>
            <w:webHidden/>
          </w:rPr>
          <w:t>74</w:t>
        </w:r>
        <w:r>
          <w:rPr>
            <w:webHidden/>
          </w:rPr>
          <w:fldChar w:fldCharType="end"/>
        </w:r>
      </w:hyperlink>
    </w:p>
    <w:p w14:paraId="4B9BB052" w14:textId="1B5FD9C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49" w:history="1">
        <w:r w:rsidRPr="00FC437C">
          <w:rPr>
            <w:rStyle w:val="Hyperlink"/>
          </w:rPr>
          <w:t>§1301.</w:t>
        </w:r>
        <w:r>
          <w:rPr>
            <w:rFonts w:asciiTheme="minorHAnsi" w:eastAsiaTheme="minorEastAsia" w:hAnsiTheme="minorHAnsi" w:cstheme="minorBidi"/>
            <w:color w:val="auto"/>
            <w:kern w:val="2"/>
            <w:szCs w:val="24"/>
            <w14:ligatures w14:val="standardContextual"/>
          </w:rPr>
          <w:tab/>
        </w:r>
        <w:r w:rsidRPr="00FC437C">
          <w:rPr>
            <w:rStyle w:val="Hyperlink"/>
          </w:rPr>
          <w:t>Operation of Center</w:t>
        </w:r>
        <w:r>
          <w:rPr>
            <w:webHidden/>
          </w:rPr>
          <w:tab/>
        </w:r>
        <w:r>
          <w:rPr>
            <w:webHidden/>
          </w:rPr>
          <w:fldChar w:fldCharType="begin"/>
        </w:r>
        <w:r>
          <w:rPr>
            <w:webHidden/>
          </w:rPr>
          <w:instrText xml:space="preserve"> PAGEREF _Toc224818649 \h </w:instrText>
        </w:r>
        <w:r>
          <w:rPr>
            <w:webHidden/>
          </w:rPr>
        </w:r>
        <w:r>
          <w:rPr>
            <w:webHidden/>
          </w:rPr>
          <w:fldChar w:fldCharType="separate"/>
        </w:r>
        <w:r w:rsidR="00AA17AB">
          <w:rPr>
            <w:webHidden/>
          </w:rPr>
          <w:t>74</w:t>
        </w:r>
        <w:r>
          <w:rPr>
            <w:webHidden/>
          </w:rPr>
          <w:fldChar w:fldCharType="end"/>
        </w:r>
      </w:hyperlink>
    </w:p>
    <w:p w14:paraId="2EC8120E" w14:textId="49C0D6A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0" w:history="1">
        <w:r w:rsidRPr="00FC437C">
          <w:rPr>
            <w:rStyle w:val="Hyperlink"/>
          </w:rPr>
          <w:t>§1303.</w:t>
        </w:r>
        <w:r>
          <w:rPr>
            <w:rFonts w:asciiTheme="minorHAnsi" w:eastAsiaTheme="minorEastAsia" w:hAnsiTheme="minorHAnsi" w:cstheme="minorBidi"/>
            <w:color w:val="auto"/>
            <w:kern w:val="2"/>
            <w:szCs w:val="24"/>
            <w14:ligatures w14:val="standardContextual"/>
          </w:rPr>
          <w:tab/>
        </w:r>
        <w:r w:rsidRPr="00FC437C">
          <w:rPr>
            <w:rStyle w:val="Hyperlink"/>
          </w:rPr>
          <w:t>Produce to be Marketed through the Produce Assembly Center</w:t>
        </w:r>
        <w:r>
          <w:rPr>
            <w:webHidden/>
          </w:rPr>
          <w:tab/>
        </w:r>
        <w:r>
          <w:rPr>
            <w:webHidden/>
          </w:rPr>
          <w:fldChar w:fldCharType="begin"/>
        </w:r>
        <w:r>
          <w:rPr>
            <w:webHidden/>
          </w:rPr>
          <w:instrText xml:space="preserve"> PAGEREF _Toc224818650 \h </w:instrText>
        </w:r>
        <w:r>
          <w:rPr>
            <w:webHidden/>
          </w:rPr>
        </w:r>
        <w:r>
          <w:rPr>
            <w:webHidden/>
          </w:rPr>
          <w:fldChar w:fldCharType="separate"/>
        </w:r>
        <w:r w:rsidR="00AA17AB">
          <w:rPr>
            <w:webHidden/>
          </w:rPr>
          <w:t>74</w:t>
        </w:r>
        <w:r>
          <w:rPr>
            <w:webHidden/>
          </w:rPr>
          <w:fldChar w:fldCharType="end"/>
        </w:r>
      </w:hyperlink>
    </w:p>
    <w:p w14:paraId="4C697BE0" w14:textId="25D415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1" w:history="1">
        <w:r w:rsidRPr="00FC437C">
          <w:rPr>
            <w:rStyle w:val="Hyperlink"/>
          </w:rPr>
          <w:t>§1305.</w:t>
        </w:r>
        <w:r>
          <w:rPr>
            <w:rFonts w:asciiTheme="minorHAnsi" w:eastAsiaTheme="minorEastAsia" w:hAnsiTheme="minorHAnsi" w:cstheme="minorBidi"/>
            <w:color w:val="auto"/>
            <w:kern w:val="2"/>
            <w:szCs w:val="24"/>
            <w14:ligatures w14:val="standardContextual"/>
          </w:rPr>
          <w:tab/>
        </w:r>
        <w:r w:rsidRPr="00FC437C">
          <w:rPr>
            <w:rStyle w:val="Hyperlink"/>
          </w:rPr>
          <w:t>Consignment of Produce and Payment Policy</w:t>
        </w:r>
        <w:r>
          <w:rPr>
            <w:webHidden/>
          </w:rPr>
          <w:tab/>
        </w:r>
        <w:r>
          <w:rPr>
            <w:webHidden/>
          </w:rPr>
          <w:fldChar w:fldCharType="begin"/>
        </w:r>
        <w:r>
          <w:rPr>
            <w:webHidden/>
          </w:rPr>
          <w:instrText xml:space="preserve"> PAGEREF _Toc224818651 \h </w:instrText>
        </w:r>
        <w:r>
          <w:rPr>
            <w:webHidden/>
          </w:rPr>
        </w:r>
        <w:r>
          <w:rPr>
            <w:webHidden/>
          </w:rPr>
          <w:fldChar w:fldCharType="separate"/>
        </w:r>
        <w:r w:rsidR="00AA17AB">
          <w:rPr>
            <w:webHidden/>
          </w:rPr>
          <w:t>74</w:t>
        </w:r>
        <w:r>
          <w:rPr>
            <w:webHidden/>
          </w:rPr>
          <w:fldChar w:fldCharType="end"/>
        </w:r>
      </w:hyperlink>
    </w:p>
    <w:p w14:paraId="05C22395" w14:textId="674427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2" w:history="1">
        <w:r w:rsidRPr="00FC437C">
          <w:rPr>
            <w:rStyle w:val="Hyperlink"/>
          </w:rPr>
          <w:t>§1307.</w:t>
        </w:r>
        <w:r>
          <w:rPr>
            <w:rFonts w:asciiTheme="minorHAnsi" w:eastAsiaTheme="minorEastAsia" w:hAnsiTheme="minorHAnsi" w:cstheme="minorBidi"/>
            <w:color w:val="auto"/>
            <w:kern w:val="2"/>
            <w:szCs w:val="24"/>
            <w14:ligatures w14:val="standardContextual"/>
          </w:rPr>
          <w:tab/>
        </w:r>
        <w:r w:rsidRPr="00FC437C">
          <w:rPr>
            <w:rStyle w:val="Hyperlink"/>
          </w:rPr>
          <w:t>Marketing Advisory Service</w:t>
        </w:r>
        <w:r>
          <w:rPr>
            <w:webHidden/>
          </w:rPr>
          <w:tab/>
        </w:r>
        <w:r>
          <w:rPr>
            <w:webHidden/>
          </w:rPr>
          <w:fldChar w:fldCharType="begin"/>
        </w:r>
        <w:r>
          <w:rPr>
            <w:webHidden/>
          </w:rPr>
          <w:instrText xml:space="preserve"> PAGEREF _Toc224818652 \h </w:instrText>
        </w:r>
        <w:r>
          <w:rPr>
            <w:webHidden/>
          </w:rPr>
        </w:r>
        <w:r>
          <w:rPr>
            <w:webHidden/>
          </w:rPr>
          <w:fldChar w:fldCharType="separate"/>
        </w:r>
        <w:r w:rsidR="00AA17AB">
          <w:rPr>
            <w:webHidden/>
          </w:rPr>
          <w:t>75</w:t>
        </w:r>
        <w:r>
          <w:rPr>
            <w:webHidden/>
          </w:rPr>
          <w:fldChar w:fldCharType="end"/>
        </w:r>
      </w:hyperlink>
    </w:p>
    <w:p w14:paraId="03DBD17E" w14:textId="001A4C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3" w:history="1">
        <w:r w:rsidRPr="00FC437C">
          <w:rPr>
            <w:rStyle w:val="Hyperlink"/>
          </w:rPr>
          <w:t>§1309.</w:t>
        </w:r>
        <w:r>
          <w:rPr>
            <w:rFonts w:asciiTheme="minorHAnsi" w:eastAsiaTheme="minorEastAsia" w:hAnsiTheme="minorHAnsi" w:cstheme="minorBidi"/>
            <w:color w:val="auto"/>
            <w:kern w:val="2"/>
            <w:szCs w:val="24"/>
            <w14:ligatures w14:val="standardContextual"/>
          </w:rPr>
          <w:tab/>
        </w:r>
        <w:r w:rsidRPr="00FC437C">
          <w:rPr>
            <w:rStyle w:val="Hyperlink"/>
          </w:rPr>
          <w:t>Right of Refusal</w:t>
        </w:r>
        <w:r>
          <w:rPr>
            <w:webHidden/>
          </w:rPr>
          <w:tab/>
        </w:r>
        <w:r>
          <w:rPr>
            <w:webHidden/>
          </w:rPr>
          <w:fldChar w:fldCharType="begin"/>
        </w:r>
        <w:r>
          <w:rPr>
            <w:webHidden/>
          </w:rPr>
          <w:instrText xml:space="preserve"> PAGEREF _Toc224818653 \h </w:instrText>
        </w:r>
        <w:r>
          <w:rPr>
            <w:webHidden/>
          </w:rPr>
        </w:r>
        <w:r>
          <w:rPr>
            <w:webHidden/>
          </w:rPr>
          <w:fldChar w:fldCharType="separate"/>
        </w:r>
        <w:r w:rsidR="00AA17AB">
          <w:rPr>
            <w:webHidden/>
          </w:rPr>
          <w:t>75</w:t>
        </w:r>
        <w:r>
          <w:rPr>
            <w:webHidden/>
          </w:rPr>
          <w:fldChar w:fldCharType="end"/>
        </w:r>
      </w:hyperlink>
    </w:p>
    <w:p w14:paraId="23007164" w14:textId="675EBE9A" w:rsidR="00E67799" w:rsidRDefault="00E67799">
      <w:pPr>
        <w:pStyle w:val="TOC2"/>
        <w:rPr>
          <w:rFonts w:asciiTheme="minorHAnsi" w:eastAsiaTheme="minorEastAsia" w:hAnsiTheme="minorHAnsi" w:cstheme="minorBidi"/>
          <w:kern w:val="2"/>
          <w:szCs w:val="24"/>
          <w14:ligatures w14:val="standardContextual"/>
        </w:rPr>
      </w:pPr>
      <w:hyperlink w:anchor="_Toc224818654" w:history="1">
        <w:r w:rsidRPr="00FC437C">
          <w:rPr>
            <w:rStyle w:val="Hyperlink"/>
          </w:rPr>
          <w:t>Chapter 15.</w:t>
        </w:r>
        <w:r>
          <w:rPr>
            <w:rFonts w:asciiTheme="minorHAnsi" w:eastAsiaTheme="minorEastAsia" w:hAnsiTheme="minorHAnsi" w:cstheme="minorBidi"/>
            <w:kern w:val="2"/>
            <w:szCs w:val="24"/>
            <w14:ligatures w14:val="standardContextual"/>
          </w:rPr>
          <w:tab/>
        </w:r>
        <w:r w:rsidRPr="00FC437C">
          <w:rPr>
            <w:rStyle w:val="Hyperlink"/>
          </w:rPr>
          <w:t>Farm Youth Loan Program</w:t>
        </w:r>
        <w:r>
          <w:rPr>
            <w:webHidden/>
          </w:rPr>
          <w:tab/>
        </w:r>
        <w:r>
          <w:rPr>
            <w:webHidden/>
          </w:rPr>
          <w:fldChar w:fldCharType="begin"/>
        </w:r>
        <w:r>
          <w:rPr>
            <w:webHidden/>
          </w:rPr>
          <w:instrText xml:space="preserve"> PAGEREF _Toc224818654 \h </w:instrText>
        </w:r>
        <w:r>
          <w:rPr>
            <w:webHidden/>
          </w:rPr>
        </w:r>
        <w:r>
          <w:rPr>
            <w:webHidden/>
          </w:rPr>
          <w:fldChar w:fldCharType="separate"/>
        </w:r>
        <w:r w:rsidR="00AA17AB">
          <w:rPr>
            <w:webHidden/>
          </w:rPr>
          <w:t>75</w:t>
        </w:r>
        <w:r>
          <w:rPr>
            <w:webHidden/>
          </w:rPr>
          <w:fldChar w:fldCharType="end"/>
        </w:r>
      </w:hyperlink>
    </w:p>
    <w:p w14:paraId="630AE005" w14:textId="2DDA6FF8" w:rsidR="00E67799" w:rsidRDefault="00E67799">
      <w:pPr>
        <w:pStyle w:val="TOC2"/>
        <w:rPr>
          <w:rFonts w:asciiTheme="minorHAnsi" w:eastAsiaTheme="minorEastAsia" w:hAnsiTheme="minorHAnsi" w:cstheme="minorBidi"/>
          <w:kern w:val="2"/>
          <w:szCs w:val="24"/>
          <w14:ligatures w14:val="standardContextual"/>
        </w:rPr>
      </w:pPr>
      <w:hyperlink w:anchor="_Toc224818655"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Authorization and Administration of Farm Youth Loans and Loan Guarantees</w:t>
        </w:r>
        <w:r>
          <w:rPr>
            <w:webHidden/>
          </w:rPr>
          <w:tab/>
        </w:r>
        <w:r>
          <w:rPr>
            <w:webHidden/>
          </w:rPr>
          <w:fldChar w:fldCharType="begin"/>
        </w:r>
        <w:r>
          <w:rPr>
            <w:webHidden/>
          </w:rPr>
          <w:instrText xml:space="preserve"> PAGEREF _Toc224818655 \h </w:instrText>
        </w:r>
        <w:r>
          <w:rPr>
            <w:webHidden/>
          </w:rPr>
        </w:r>
        <w:r>
          <w:rPr>
            <w:webHidden/>
          </w:rPr>
          <w:fldChar w:fldCharType="separate"/>
        </w:r>
        <w:r w:rsidR="00AA17AB">
          <w:rPr>
            <w:webHidden/>
          </w:rPr>
          <w:t>75</w:t>
        </w:r>
        <w:r>
          <w:rPr>
            <w:webHidden/>
          </w:rPr>
          <w:fldChar w:fldCharType="end"/>
        </w:r>
      </w:hyperlink>
    </w:p>
    <w:p w14:paraId="3340FFBA" w14:textId="7C19F95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6" w:history="1">
        <w:r w:rsidRPr="00FC437C">
          <w:rPr>
            <w:rStyle w:val="Hyperlink"/>
          </w:rPr>
          <w:t>§1501.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_Toc224818656 \h </w:instrText>
        </w:r>
        <w:r>
          <w:rPr>
            <w:webHidden/>
          </w:rPr>
        </w:r>
        <w:r>
          <w:rPr>
            <w:webHidden/>
          </w:rPr>
          <w:fldChar w:fldCharType="separate"/>
        </w:r>
        <w:r w:rsidR="00AA17AB">
          <w:rPr>
            <w:webHidden/>
          </w:rPr>
          <w:t>75</w:t>
        </w:r>
        <w:r>
          <w:rPr>
            <w:webHidden/>
          </w:rPr>
          <w:fldChar w:fldCharType="end"/>
        </w:r>
      </w:hyperlink>
    </w:p>
    <w:p w14:paraId="5F9F493A" w14:textId="1BF87F6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7" w:history="1">
        <w:r w:rsidRPr="00FC437C">
          <w:rPr>
            <w:rStyle w:val="Hyperlink"/>
          </w:rPr>
          <w:t>§1503.</w:t>
        </w:r>
        <w:r>
          <w:rPr>
            <w:rFonts w:asciiTheme="minorHAnsi" w:eastAsiaTheme="minorEastAsia" w:hAnsiTheme="minorHAnsi" w:cstheme="minorBidi"/>
            <w:color w:val="auto"/>
            <w:kern w:val="2"/>
            <w:szCs w:val="24"/>
            <w14:ligatures w14:val="standardContextual"/>
          </w:rPr>
          <w:tab/>
        </w:r>
        <w:r w:rsidRPr="00FC437C">
          <w:rPr>
            <w:rStyle w:val="Hyperlink"/>
          </w:rPr>
          <w:t>Applicant Eligibility Requirements</w:t>
        </w:r>
        <w:r>
          <w:rPr>
            <w:webHidden/>
          </w:rPr>
          <w:tab/>
        </w:r>
        <w:r>
          <w:rPr>
            <w:webHidden/>
          </w:rPr>
          <w:fldChar w:fldCharType="begin"/>
        </w:r>
        <w:r>
          <w:rPr>
            <w:webHidden/>
          </w:rPr>
          <w:instrText xml:space="preserve"> PAGEREF _Toc224818657 \h </w:instrText>
        </w:r>
        <w:r>
          <w:rPr>
            <w:webHidden/>
          </w:rPr>
        </w:r>
        <w:r>
          <w:rPr>
            <w:webHidden/>
          </w:rPr>
          <w:fldChar w:fldCharType="separate"/>
        </w:r>
        <w:r w:rsidR="00AA17AB">
          <w:rPr>
            <w:webHidden/>
          </w:rPr>
          <w:t>75</w:t>
        </w:r>
        <w:r>
          <w:rPr>
            <w:webHidden/>
          </w:rPr>
          <w:fldChar w:fldCharType="end"/>
        </w:r>
      </w:hyperlink>
    </w:p>
    <w:p w14:paraId="7CC91AEC" w14:textId="6218301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8" w:history="1">
        <w:r w:rsidRPr="00FC437C">
          <w:rPr>
            <w:rStyle w:val="Hyperlink"/>
          </w:rPr>
          <w:t>§1505.</w:t>
        </w:r>
        <w:r>
          <w:rPr>
            <w:rFonts w:asciiTheme="minorHAnsi" w:eastAsiaTheme="minorEastAsia" w:hAnsiTheme="minorHAnsi" w:cstheme="minorBidi"/>
            <w:color w:val="auto"/>
            <w:kern w:val="2"/>
            <w:szCs w:val="24"/>
            <w14:ligatures w14:val="standardContextual"/>
          </w:rPr>
          <w:tab/>
        </w:r>
        <w:r w:rsidRPr="00FC437C">
          <w:rPr>
            <w:rStyle w:val="Hyperlink"/>
          </w:rPr>
          <w:t>Time and Manner of Filing Application</w:t>
        </w:r>
        <w:r>
          <w:rPr>
            <w:webHidden/>
          </w:rPr>
          <w:tab/>
        </w:r>
        <w:r>
          <w:rPr>
            <w:webHidden/>
          </w:rPr>
          <w:fldChar w:fldCharType="begin"/>
        </w:r>
        <w:r>
          <w:rPr>
            <w:webHidden/>
          </w:rPr>
          <w:instrText xml:space="preserve"> PAGEREF _Toc224818658 \h </w:instrText>
        </w:r>
        <w:r>
          <w:rPr>
            <w:webHidden/>
          </w:rPr>
        </w:r>
        <w:r>
          <w:rPr>
            <w:webHidden/>
          </w:rPr>
          <w:fldChar w:fldCharType="separate"/>
        </w:r>
        <w:r w:rsidR="00AA17AB">
          <w:rPr>
            <w:webHidden/>
          </w:rPr>
          <w:t>76</w:t>
        </w:r>
        <w:r>
          <w:rPr>
            <w:webHidden/>
          </w:rPr>
          <w:fldChar w:fldCharType="end"/>
        </w:r>
      </w:hyperlink>
    </w:p>
    <w:p w14:paraId="4A1ABC4E" w14:textId="38A8362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59" w:history="1">
        <w:r w:rsidRPr="00FC437C">
          <w:rPr>
            <w:rStyle w:val="Hyperlink"/>
          </w:rPr>
          <w:t>§1507.</w:t>
        </w:r>
        <w:r>
          <w:rPr>
            <w:rFonts w:asciiTheme="minorHAnsi" w:eastAsiaTheme="minorEastAsia" w:hAnsiTheme="minorHAnsi" w:cstheme="minorBidi"/>
            <w:color w:val="auto"/>
            <w:kern w:val="2"/>
            <w:szCs w:val="24"/>
            <w14:ligatures w14:val="standardContextual"/>
          </w:rPr>
          <w:tab/>
        </w:r>
        <w:r w:rsidRPr="00FC437C">
          <w:rPr>
            <w:rStyle w:val="Hyperlink"/>
          </w:rPr>
          <w:t>Contents of the Application</w:t>
        </w:r>
        <w:r>
          <w:rPr>
            <w:webHidden/>
          </w:rPr>
          <w:tab/>
        </w:r>
        <w:r>
          <w:rPr>
            <w:webHidden/>
          </w:rPr>
          <w:fldChar w:fldCharType="begin"/>
        </w:r>
        <w:r>
          <w:rPr>
            <w:webHidden/>
          </w:rPr>
          <w:instrText xml:space="preserve"> PAGEREF _Toc224818659 \h </w:instrText>
        </w:r>
        <w:r>
          <w:rPr>
            <w:webHidden/>
          </w:rPr>
        </w:r>
        <w:r>
          <w:rPr>
            <w:webHidden/>
          </w:rPr>
          <w:fldChar w:fldCharType="separate"/>
        </w:r>
        <w:r w:rsidR="00AA17AB">
          <w:rPr>
            <w:webHidden/>
          </w:rPr>
          <w:t>76</w:t>
        </w:r>
        <w:r>
          <w:rPr>
            <w:webHidden/>
          </w:rPr>
          <w:fldChar w:fldCharType="end"/>
        </w:r>
      </w:hyperlink>
    </w:p>
    <w:p w14:paraId="7EB6DDD0" w14:textId="2195144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0" w:history="1">
        <w:r w:rsidRPr="00FC437C">
          <w:rPr>
            <w:rStyle w:val="Hyperlink"/>
          </w:rPr>
          <w:t>§1509.</w:t>
        </w:r>
        <w:r>
          <w:rPr>
            <w:rFonts w:asciiTheme="minorHAnsi" w:eastAsiaTheme="minorEastAsia" w:hAnsiTheme="minorHAnsi" w:cstheme="minorBidi"/>
            <w:color w:val="auto"/>
            <w:kern w:val="2"/>
            <w:szCs w:val="24"/>
            <w14:ligatures w14:val="standardContextual"/>
          </w:rPr>
          <w:tab/>
        </w:r>
        <w:r w:rsidRPr="00FC437C">
          <w:rPr>
            <w:rStyle w:val="Hyperlink"/>
          </w:rPr>
          <w:t>Application for Farm Youth Loans and Loan Guarantees</w:t>
        </w:r>
        <w:r>
          <w:rPr>
            <w:webHidden/>
          </w:rPr>
          <w:tab/>
        </w:r>
        <w:r>
          <w:rPr>
            <w:webHidden/>
          </w:rPr>
          <w:fldChar w:fldCharType="begin"/>
        </w:r>
        <w:r>
          <w:rPr>
            <w:webHidden/>
          </w:rPr>
          <w:instrText xml:space="preserve"> PAGEREF _Toc224818660 \h </w:instrText>
        </w:r>
        <w:r>
          <w:rPr>
            <w:webHidden/>
          </w:rPr>
        </w:r>
        <w:r>
          <w:rPr>
            <w:webHidden/>
          </w:rPr>
          <w:fldChar w:fldCharType="separate"/>
        </w:r>
        <w:r w:rsidR="00AA17AB">
          <w:rPr>
            <w:webHidden/>
          </w:rPr>
          <w:t>76</w:t>
        </w:r>
        <w:r>
          <w:rPr>
            <w:webHidden/>
          </w:rPr>
          <w:fldChar w:fldCharType="end"/>
        </w:r>
      </w:hyperlink>
    </w:p>
    <w:p w14:paraId="486880D4" w14:textId="21C819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1" w:history="1">
        <w:r w:rsidRPr="00FC437C">
          <w:rPr>
            <w:rStyle w:val="Hyperlink"/>
          </w:rPr>
          <w:t>§1511.</w:t>
        </w:r>
        <w:r>
          <w:rPr>
            <w:rFonts w:asciiTheme="minorHAnsi" w:eastAsiaTheme="minorEastAsia" w:hAnsiTheme="minorHAnsi" w:cstheme="minorBidi"/>
            <w:color w:val="auto"/>
            <w:kern w:val="2"/>
            <w:szCs w:val="24"/>
            <w14:ligatures w14:val="standardContextual"/>
          </w:rPr>
          <w:tab/>
        </w:r>
        <w:r w:rsidRPr="00FC437C">
          <w:rPr>
            <w:rStyle w:val="Hyperlink"/>
          </w:rPr>
          <w:t>Approval or Denial of Loan Applications and Notification of Commission Action</w:t>
        </w:r>
        <w:r>
          <w:rPr>
            <w:webHidden/>
          </w:rPr>
          <w:tab/>
        </w:r>
        <w:r>
          <w:rPr>
            <w:webHidden/>
          </w:rPr>
          <w:fldChar w:fldCharType="begin"/>
        </w:r>
        <w:r>
          <w:rPr>
            <w:webHidden/>
          </w:rPr>
          <w:instrText xml:space="preserve"> PAGEREF _Toc224818661 \h </w:instrText>
        </w:r>
        <w:r>
          <w:rPr>
            <w:webHidden/>
          </w:rPr>
        </w:r>
        <w:r>
          <w:rPr>
            <w:webHidden/>
          </w:rPr>
          <w:fldChar w:fldCharType="separate"/>
        </w:r>
        <w:r w:rsidR="00AA17AB">
          <w:rPr>
            <w:webHidden/>
          </w:rPr>
          <w:t>76</w:t>
        </w:r>
        <w:r>
          <w:rPr>
            <w:webHidden/>
          </w:rPr>
          <w:fldChar w:fldCharType="end"/>
        </w:r>
      </w:hyperlink>
    </w:p>
    <w:p w14:paraId="6C23200D" w14:textId="349FDE9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2" w:history="1">
        <w:r w:rsidRPr="00FC437C">
          <w:rPr>
            <w:rStyle w:val="Hyperlink"/>
          </w:rPr>
          <w:t>§1513.</w:t>
        </w:r>
        <w:r>
          <w:rPr>
            <w:rFonts w:asciiTheme="minorHAnsi" w:eastAsiaTheme="minorEastAsia" w:hAnsiTheme="minorHAnsi" w:cstheme="minorBidi"/>
            <w:color w:val="auto"/>
            <w:kern w:val="2"/>
            <w:szCs w:val="24"/>
            <w14:ligatures w14:val="standardContextual"/>
          </w:rPr>
          <w:tab/>
        </w:r>
        <w:r w:rsidRPr="00FC437C">
          <w:rPr>
            <w:rStyle w:val="Hyperlink"/>
          </w:rPr>
          <w:t>Re-Application; Review of Determination</w:t>
        </w:r>
        <w:r>
          <w:rPr>
            <w:webHidden/>
          </w:rPr>
          <w:tab/>
        </w:r>
        <w:r>
          <w:rPr>
            <w:webHidden/>
          </w:rPr>
          <w:fldChar w:fldCharType="begin"/>
        </w:r>
        <w:r>
          <w:rPr>
            <w:webHidden/>
          </w:rPr>
          <w:instrText xml:space="preserve"> PAGEREF _Toc224818662 \h </w:instrText>
        </w:r>
        <w:r>
          <w:rPr>
            <w:webHidden/>
          </w:rPr>
        </w:r>
        <w:r>
          <w:rPr>
            <w:webHidden/>
          </w:rPr>
          <w:fldChar w:fldCharType="separate"/>
        </w:r>
        <w:r w:rsidR="00AA17AB">
          <w:rPr>
            <w:webHidden/>
          </w:rPr>
          <w:t>77</w:t>
        </w:r>
        <w:r>
          <w:rPr>
            <w:webHidden/>
          </w:rPr>
          <w:fldChar w:fldCharType="end"/>
        </w:r>
      </w:hyperlink>
    </w:p>
    <w:p w14:paraId="1A91872A" w14:textId="0AAD8C5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3" w:history="1">
        <w:r w:rsidRPr="00FC437C">
          <w:rPr>
            <w:rStyle w:val="Hyperlink"/>
          </w:rPr>
          <w:t>§1515.</w:t>
        </w:r>
        <w:r>
          <w:rPr>
            <w:rFonts w:asciiTheme="minorHAnsi" w:eastAsiaTheme="minorEastAsia" w:hAnsiTheme="minorHAnsi" w:cstheme="minorBidi"/>
            <w:color w:val="auto"/>
            <w:kern w:val="2"/>
            <w:szCs w:val="24"/>
            <w14:ligatures w14:val="standardContextual"/>
          </w:rPr>
          <w:tab/>
        </w:r>
        <w:r w:rsidRPr="00FC437C">
          <w:rPr>
            <w:rStyle w:val="Hyperlink"/>
          </w:rPr>
          <w:t>Disbursement of Loan Proceeds to the Borrower</w:t>
        </w:r>
        <w:r>
          <w:rPr>
            <w:webHidden/>
          </w:rPr>
          <w:tab/>
        </w:r>
        <w:r>
          <w:rPr>
            <w:webHidden/>
          </w:rPr>
          <w:fldChar w:fldCharType="begin"/>
        </w:r>
        <w:r>
          <w:rPr>
            <w:webHidden/>
          </w:rPr>
          <w:instrText xml:space="preserve"> PAGEREF _Toc224818663 \h </w:instrText>
        </w:r>
        <w:r>
          <w:rPr>
            <w:webHidden/>
          </w:rPr>
        </w:r>
        <w:r>
          <w:rPr>
            <w:webHidden/>
          </w:rPr>
          <w:fldChar w:fldCharType="separate"/>
        </w:r>
        <w:r w:rsidR="00AA17AB">
          <w:rPr>
            <w:webHidden/>
          </w:rPr>
          <w:t>77</w:t>
        </w:r>
        <w:r>
          <w:rPr>
            <w:webHidden/>
          </w:rPr>
          <w:fldChar w:fldCharType="end"/>
        </w:r>
      </w:hyperlink>
    </w:p>
    <w:p w14:paraId="5BFB1439" w14:textId="608EE84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4" w:history="1">
        <w:r w:rsidRPr="00FC437C">
          <w:rPr>
            <w:rStyle w:val="Hyperlink"/>
          </w:rPr>
          <w:t>§1517.</w:t>
        </w:r>
        <w:r>
          <w:rPr>
            <w:rFonts w:asciiTheme="minorHAnsi" w:eastAsiaTheme="minorEastAsia" w:hAnsiTheme="minorHAnsi" w:cstheme="minorBidi"/>
            <w:color w:val="auto"/>
            <w:kern w:val="2"/>
            <w:szCs w:val="24"/>
            <w14:ligatures w14:val="standardContextual"/>
          </w:rPr>
          <w:tab/>
        </w:r>
        <w:r w:rsidRPr="00FC437C">
          <w:rPr>
            <w:rStyle w:val="Hyperlink"/>
          </w:rPr>
          <w:t>Concurrence in Loan Guarantees</w:t>
        </w:r>
        <w:r>
          <w:rPr>
            <w:webHidden/>
          </w:rPr>
          <w:tab/>
        </w:r>
        <w:r>
          <w:rPr>
            <w:webHidden/>
          </w:rPr>
          <w:fldChar w:fldCharType="begin"/>
        </w:r>
        <w:r>
          <w:rPr>
            <w:webHidden/>
          </w:rPr>
          <w:instrText xml:space="preserve"> PAGEREF _Toc224818664 \h </w:instrText>
        </w:r>
        <w:r>
          <w:rPr>
            <w:webHidden/>
          </w:rPr>
        </w:r>
        <w:r>
          <w:rPr>
            <w:webHidden/>
          </w:rPr>
          <w:fldChar w:fldCharType="separate"/>
        </w:r>
        <w:r w:rsidR="00AA17AB">
          <w:rPr>
            <w:webHidden/>
          </w:rPr>
          <w:t>77</w:t>
        </w:r>
        <w:r>
          <w:rPr>
            <w:webHidden/>
          </w:rPr>
          <w:fldChar w:fldCharType="end"/>
        </w:r>
      </w:hyperlink>
    </w:p>
    <w:p w14:paraId="4A43B0DD" w14:textId="30F2339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5" w:history="1">
        <w:r w:rsidRPr="00FC437C">
          <w:rPr>
            <w:rStyle w:val="Hyperlink"/>
          </w:rPr>
          <w:t>§1519.</w:t>
        </w:r>
        <w:r>
          <w:rPr>
            <w:rFonts w:asciiTheme="minorHAnsi" w:eastAsiaTheme="minorEastAsia" w:hAnsiTheme="minorHAnsi" w:cstheme="minorBidi"/>
            <w:color w:val="auto"/>
            <w:kern w:val="2"/>
            <w:szCs w:val="24"/>
            <w14:ligatures w14:val="standardContextual"/>
          </w:rPr>
          <w:tab/>
        </w:r>
        <w:r w:rsidRPr="00FC437C">
          <w:rPr>
            <w:rStyle w:val="Hyperlink"/>
          </w:rPr>
          <w:t>Procedure upon Default for Non-Payment</w:t>
        </w:r>
        <w:r>
          <w:rPr>
            <w:webHidden/>
          </w:rPr>
          <w:tab/>
        </w:r>
        <w:r>
          <w:rPr>
            <w:webHidden/>
          </w:rPr>
          <w:fldChar w:fldCharType="begin"/>
        </w:r>
        <w:r>
          <w:rPr>
            <w:webHidden/>
          </w:rPr>
          <w:instrText xml:space="preserve"> PAGEREF _Toc224818665 \h </w:instrText>
        </w:r>
        <w:r>
          <w:rPr>
            <w:webHidden/>
          </w:rPr>
        </w:r>
        <w:r>
          <w:rPr>
            <w:webHidden/>
          </w:rPr>
          <w:fldChar w:fldCharType="separate"/>
        </w:r>
        <w:r w:rsidR="00AA17AB">
          <w:rPr>
            <w:webHidden/>
          </w:rPr>
          <w:t>77</w:t>
        </w:r>
        <w:r>
          <w:rPr>
            <w:webHidden/>
          </w:rPr>
          <w:fldChar w:fldCharType="end"/>
        </w:r>
      </w:hyperlink>
    </w:p>
    <w:p w14:paraId="21E4E62E" w14:textId="0E74F992" w:rsidR="00E67799" w:rsidRDefault="00E67799">
      <w:pPr>
        <w:pStyle w:val="TOC2"/>
        <w:rPr>
          <w:rFonts w:asciiTheme="minorHAnsi" w:eastAsiaTheme="minorEastAsia" w:hAnsiTheme="minorHAnsi" w:cstheme="minorBidi"/>
          <w:kern w:val="2"/>
          <w:szCs w:val="24"/>
          <w14:ligatures w14:val="standardContextual"/>
        </w:rPr>
      </w:pPr>
      <w:hyperlink w:anchor="_Toc224818666" w:history="1">
        <w:r w:rsidRPr="00FC437C">
          <w:rPr>
            <w:rStyle w:val="Hyperlink"/>
          </w:rPr>
          <w:t>Chapter 16.</w:t>
        </w:r>
        <w:r>
          <w:rPr>
            <w:rFonts w:asciiTheme="minorHAnsi" w:eastAsiaTheme="minorEastAsia" w:hAnsiTheme="minorHAnsi" w:cstheme="minorBidi"/>
            <w:kern w:val="2"/>
            <w:szCs w:val="24"/>
            <w14:ligatures w14:val="standardContextual"/>
          </w:rPr>
          <w:tab/>
        </w:r>
        <w:r w:rsidRPr="00FC437C">
          <w:rPr>
            <w:rStyle w:val="Hyperlink"/>
          </w:rPr>
          <w:t>Meat, Poultry and Seafood Grading and Certification Program</w:t>
        </w:r>
        <w:r>
          <w:rPr>
            <w:webHidden/>
          </w:rPr>
          <w:tab/>
        </w:r>
        <w:r>
          <w:rPr>
            <w:webHidden/>
          </w:rPr>
          <w:fldChar w:fldCharType="begin"/>
        </w:r>
        <w:r>
          <w:rPr>
            <w:webHidden/>
          </w:rPr>
          <w:instrText xml:space="preserve"> PAGEREF _Toc224818666 \h </w:instrText>
        </w:r>
        <w:r>
          <w:rPr>
            <w:webHidden/>
          </w:rPr>
        </w:r>
        <w:r>
          <w:rPr>
            <w:webHidden/>
          </w:rPr>
          <w:fldChar w:fldCharType="separate"/>
        </w:r>
        <w:r w:rsidR="00AA17AB">
          <w:rPr>
            <w:webHidden/>
          </w:rPr>
          <w:t>78</w:t>
        </w:r>
        <w:r>
          <w:rPr>
            <w:webHidden/>
          </w:rPr>
          <w:fldChar w:fldCharType="end"/>
        </w:r>
      </w:hyperlink>
    </w:p>
    <w:p w14:paraId="655F28A8" w14:textId="140D2D5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7" w:history="1">
        <w:r w:rsidRPr="00FC437C">
          <w:rPr>
            <w:rStyle w:val="Hyperlink"/>
          </w:rPr>
          <w:t>§1601.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_Toc224818667 \h </w:instrText>
        </w:r>
        <w:r>
          <w:rPr>
            <w:webHidden/>
          </w:rPr>
        </w:r>
        <w:r>
          <w:rPr>
            <w:webHidden/>
          </w:rPr>
          <w:fldChar w:fldCharType="separate"/>
        </w:r>
        <w:r w:rsidR="00AA17AB">
          <w:rPr>
            <w:webHidden/>
          </w:rPr>
          <w:t>78</w:t>
        </w:r>
        <w:r>
          <w:rPr>
            <w:webHidden/>
          </w:rPr>
          <w:fldChar w:fldCharType="end"/>
        </w:r>
      </w:hyperlink>
    </w:p>
    <w:p w14:paraId="0EA7ACD8" w14:textId="005FD41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8" w:history="1">
        <w:r w:rsidRPr="00FC437C">
          <w:rPr>
            <w:rStyle w:val="Hyperlink"/>
          </w:rPr>
          <w:t>§1603.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_Toc224818668 \h </w:instrText>
        </w:r>
        <w:r>
          <w:rPr>
            <w:webHidden/>
          </w:rPr>
        </w:r>
        <w:r>
          <w:rPr>
            <w:webHidden/>
          </w:rPr>
          <w:fldChar w:fldCharType="separate"/>
        </w:r>
        <w:r w:rsidR="00AA17AB">
          <w:rPr>
            <w:webHidden/>
          </w:rPr>
          <w:t>78</w:t>
        </w:r>
        <w:r>
          <w:rPr>
            <w:webHidden/>
          </w:rPr>
          <w:fldChar w:fldCharType="end"/>
        </w:r>
      </w:hyperlink>
    </w:p>
    <w:p w14:paraId="519E9EF4" w14:textId="6A5AE8D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69" w:history="1">
        <w:r w:rsidRPr="00FC437C">
          <w:rPr>
            <w:rStyle w:val="Hyperlink"/>
          </w:rPr>
          <w:t>§1605.</w:t>
        </w:r>
        <w:r>
          <w:rPr>
            <w:rFonts w:asciiTheme="minorHAnsi" w:eastAsiaTheme="minorEastAsia" w:hAnsiTheme="minorHAnsi" w:cstheme="minorBidi"/>
            <w:color w:val="auto"/>
            <w:kern w:val="2"/>
            <w:szCs w:val="24"/>
            <w14:ligatures w14:val="standardContextual"/>
          </w:rPr>
          <w:tab/>
        </w:r>
        <w:r w:rsidRPr="00FC437C">
          <w:rPr>
            <w:rStyle w:val="Hyperlink"/>
          </w:rPr>
          <w:t>Use of Certified Food Products; Issuance of Certification; Exemptions</w:t>
        </w:r>
        <w:r>
          <w:rPr>
            <w:webHidden/>
          </w:rPr>
          <w:tab/>
        </w:r>
        <w:r>
          <w:rPr>
            <w:webHidden/>
          </w:rPr>
          <w:fldChar w:fldCharType="begin"/>
        </w:r>
        <w:r>
          <w:rPr>
            <w:webHidden/>
          </w:rPr>
          <w:instrText xml:space="preserve"> PAGEREF _Toc224818669 \h </w:instrText>
        </w:r>
        <w:r>
          <w:rPr>
            <w:webHidden/>
          </w:rPr>
        </w:r>
        <w:r>
          <w:rPr>
            <w:webHidden/>
          </w:rPr>
          <w:fldChar w:fldCharType="separate"/>
        </w:r>
        <w:r w:rsidR="00AA17AB">
          <w:rPr>
            <w:webHidden/>
          </w:rPr>
          <w:t>78</w:t>
        </w:r>
        <w:r>
          <w:rPr>
            <w:webHidden/>
          </w:rPr>
          <w:fldChar w:fldCharType="end"/>
        </w:r>
      </w:hyperlink>
    </w:p>
    <w:p w14:paraId="4D44D13A" w14:textId="1570972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0" w:history="1">
        <w:r w:rsidRPr="00FC437C">
          <w:rPr>
            <w:rStyle w:val="Hyperlink"/>
          </w:rPr>
          <w:t>§1607.</w:t>
        </w:r>
        <w:r>
          <w:rPr>
            <w:rFonts w:asciiTheme="minorHAnsi" w:eastAsiaTheme="minorEastAsia" w:hAnsiTheme="minorHAnsi" w:cstheme="minorBidi"/>
            <w:color w:val="auto"/>
            <w:kern w:val="2"/>
            <w:szCs w:val="24"/>
            <w14:ligatures w14:val="standardContextual"/>
          </w:rPr>
          <w:tab/>
        </w:r>
        <w:r w:rsidRPr="00FC437C">
          <w:rPr>
            <w:rStyle w:val="Hyperlink"/>
          </w:rPr>
          <w:t>Grading and Certification Standards and Specifications</w:t>
        </w:r>
        <w:r>
          <w:rPr>
            <w:webHidden/>
          </w:rPr>
          <w:tab/>
        </w:r>
        <w:r>
          <w:rPr>
            <w:webHidden/>
          </w:rPr>
          <w:fldChar w:fldCharType="begin"/>
        </w:r>
        <w:r>
          <w:rPr>
            <w:webHidden/>
          </w:rPr>
          <w:instrText xml:space="preserve"> PAGEREF _Toc224818670 \h </w:instrText>
        </w:r>
        <w:r>
          <w:rPr>
            <w:webHidden/>
          </w:rPr>
        </w:r>
        <w:r>
          <w:rPr>
            <w:webHidden/>
          </w:rPr>
          <w:fldChar w:fldCharType="separate"/>
        </w:r>
        <w:r w:rsidR="00AA17AB">
          <w:rPr>
            <w:webHidden/>
          </w:rPr>
          <w:t>79</w:t>
        </w:r>
        <w:r>
          <w:rPr>
            <w:webHidden/>
          </w:rPr>
          <w:fldChar w:fldCharType="end"/>
        </w:r>
      </w:hyperlink>
    </w:p>
    <w:p w14:paraId="641B8F0F" w14:textId="6E8B72D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1" w:history="1">
        <w:r w:rsidRPr="00FC437C">
          <w:rPr>
            <w:rStyle w:val="Hyperlink"/>
          </w:rPr>
          <w:t>§1609.</w:t>
        </w:r>
        <w:r>
          <w:rPr>
            <w:rFonts w:asciiTheme="minorHAnsi" w:eastAsiaTheme="minorEastAsia" w:hAnsiTheme="minorHAnsi" w:cstheme="minorBidi"/>
            <w:color w:val="auto"/>
            <w:kern w:val="2"/>
            <w:szCs w:val="24"/>
            <w14:ligatures w14:val="standardContextual"/>
          </w:rPr>
          <w:tab/>
        </w:r>
        <w:r w:rsidRPr="00FC437C">
          <w:rPr>
            <w:rStyle w:val="Hyperlink"/>
          </w:rPr>
          <w:t>Procurement of Food Products</w:t>
        </w:r>
        <w:r>
          <w:rPr>
            <w:webHidden/>
          </w:rPr>
          <w:tab/>
        </w:r>
        <w:r>
          <w:rPr>
            <w:webHidden/>
          </w:rPr>
          <w:fldChar w:fldCharType="begin"/>
        </w:r>
        <w:r>
          <w:rPr>
            <w:webHidden/>
          </w:rPr>
          <w:instrText xml:space="preserve"> PAGEREF _Toc224818671 \h </w:instrText>
        </w:r>
        <w:r>
          <w:rPr>
            <w:webHidden/>
          </w:rPr>
        </w:r>
        <w:r>
          <w:rPr>
            <w:webHidden/>
          </w:rPr>
          <w:fldChar w:fldCharType="separate"/>
        </w:r>
        <w:r w:rsidR="00AA17AB">
          <w:rPr>
            <w:webHidden/>
          </w:rPr>
          <w:t>79</w:t>
        </w:r>
        <w:r>
          <w:rPr>
            <w:webHidden/>
          </w:rPr>
          <w:fldChar w:fldCharType="end"/>
        </w:r>
      </w:hyperlink>
    </w:p>
    <w:p w14:paraId="104C2F5C" w14:textId="1A3B37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2" w:history="1">
        <w:r w:rsidRPr="00FC437C">
          <w:rPr>
            <w:rStyle w:val="Hyperlink"/>
          </w:rPr>
          <w:t>§1611.</w:t>
        </w:r>
        <w:r>
          <w:rPr>
            <w:rFonts w:asciiTheme="minorHAnsi" w:eastAsiaTheme="minorEastAsia" w:hAnsiTheme="minorHAnsi" w:cstheme="minorBidi"/>
            <w:color w:val="auto"/>
            <w:kern w:val="2"/>
            <w:szCs w:val="24"/>
            <w14:ligatures w14:val="standardContextual"/>
          </w:rPr>
          <w:tab/>
        </w:r>
        <w:r w:rsidRPr="00FC437C">
          <w:rPr>
            <w:rStyle w:val="Hyperlink"/>
          </w:rPr>
          <w:t>Inspection and Certification by a Public Entity; Procedures</w:t>
        </w:r>
        <w:r>
          <w:rPr>
            <w:webHidden/>
          </w:rPr>
          <w:tab/>
        </w:r>
        <w:r>
          <w:rPr>
            <w:webHidden/>
          </w:rPr>
          <w:fldChar w:fldCharType="begin"/>
        </w:r>
        <w:r>
          <w:rPr>
            <w:webHidden/>
          </w:rPr>
          <w:instrText xml:space="preserve"> PAGEREF _Toc224818672 \h </w:instrText>
        </w:r>
        <w:r>
          <w:rPr>
            <w:webHidden/>
          </w:rPr>
        </w:r>
        <w:r>
          <w:rPr>
            <w:webHidden/>
          </w:rPr>
          <w:fldChar w:fldCharType="separate"/>
        </w:r>
        <w:r w:rsidR="00AA17AB">
          <w:rPr>
            <w:webHidden/>
          </w:rPr>
          <w:t>80</w:t>
        </w:r>
        <w:r>
          <w:rPr>
            <w:webHidden/>
          </w:rPr>
          <w:fldChar w:fldCharType="end"/>
        </w:r>
      </w:hyperlink>
    </w:p>
    <w:p w14:paraId="55C18807" w14:textId="534B6F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3" w:history="1">
        <w:r w:rsidRPr="00FC437C">
          <w:rPr>
            <w:rStyle w:val="Hyperlink"/>
          </w:rPr>
          <w:t>§1613.</w:t>
        </w:r>
        <w:r>
          <w:rPr>
            <w:rFonts w:asciiTheme="minorHAnsi" w:eastAsiaTheme="minorEastAsia" w:hAnsiTheme="minorHAnsi" w:cstheme="minorBidi"/>
            <w:color w:val="auto"/>
            <w:kern w:val="2"/>
            <w:szCs w:val="24"/>
            <w14:ligatures w14:val="standardContextual"/>
          </w:rPr>
          <w:tab/>
        </w:r>
        <w:r w:rsidRPr="00FC437C">
          <w:rPr>
            <w:rStyle w:val="Hyperlink"/>
          </w:rPr>
          <w:t>Inspection and Certification by the Department; Procedures</w:t>
        </w:r>
        <w:r>
          <w:rPr>
            <w:webHidden/>
          </w:rPr>
          <w:tab/>
        </w:r>
        <w:r>
          <w:rPr>
            <w:webHidden/>
          </w:rPr>
          <w:fldChar w:fldCharType="begin"/>
        </w:r>
        <w:r>
          <w:rPr>
            <w:webHidden/>
          </w:rPr>
          <w:instrText xml:space="preserve"> PAGEREF _Toc224818673 \h </w:instrText>
        </w:r>
        <w:r>
          <w:rPr>
            <w:webHidden/>
          </w:rPr>
        </w:r>
        <w:r>
          <w:rPr>
            <w:webHidden/>
          </w:rPr>
          <w:fldChar w:fldCharType="separate"/>
        </w:r>
        <w:r w:rsidR="00AA17AB">
          <w:rPr>
            <w:webHidden/>
          </w:rPr>
          <w:t>80</w:t>
        </w:r>
        <w:r>
          <w:rPr>
            <w:webHidden/>
          </w:rPr>
          <w:fldChar w:fldCharType="end"/>
        </w:r>
      </w:hyperlink>
    </w:p>
    <w:p w14:paraId="7C8C69CD" w14:textId="6B1333F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4" w:history="1">
        <w:r w:rsidRPr="00FC437C">
          <w:rPr>
            <w:rStyle w:val="Hyperlink"/>
          </w:rPr>
          <w:t>§1615.</w:t>
        </w:r>
        <w:r>
          <w:rPr>
            <w:rFonts w:asciiTheme="minorHAnsi" w:eastAsiaTheme="minorEastAsia" w:hAnsiTheme="minorHAnsi" w:cstheme="minorBidi"/>
            <w:color w:val="auto"/>
            <w:kern w:val="2"/>
            <w:szCs w:val="24"/>
            <w14:ligatures w14:val="standardContextual"/>
          </w:rPr>
          <w:tab/>
        </w:r>
        <w:r w:rsidRPr="00FC437C">
          <w:rPr>
            <w:rStyle w:val="Hyperlink"/>
          </w:rPr>
          <w:t>Fees and Costs</w:t>
        </w:r>
        <w:r>
          <w:rPr>
            <w:webHidden/>
          </w:rPr>
          <w:tab/>
        </w:r>
        <w:r>
          <w:rPr>
            <w:webHidden/>
          </w:rPr>
          <w:fldChar w:fldCharType="begin"/>
        </w:r>
        <w:r>
          <w:rPr>
            <w:webHidden/>
          </w:rPr>
          <w:instrText xml:space="preserve"> PAGEREF _Toc224818674 \h </w:instrText>
        </w:r>
        <w:r>
          <w:rPr>
            <w:webHidden/>
          </w:rPr>
        </w:r>
        <w:r>
          <w:rPr>
            <w:webHidden/>
          </w:rPr>
          <w:fldChar w:fldCharType="separate"/>
        </w:r>
        <w:r w:rsidR="00AA17AB">
          <w:rPr>
            <w:webHidden/>
          </w:rPr>
          <w:t>80</w:t>
        </w:r>
        <w:r>
          <w:rPr>
            <w:webHidden/>
          </w:rPr>
          <w:fldChar w:fldCharType="end"/>
        </w:r>
      </w:hyperlink>
    </w:p>
    <w:p w14:paraId="31C3E7F1" w14:textId="0E3DBD9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5" w:history="1">
        <w:r w:rsidRPr="00FC437C">
          <w:rPr>
            <w:rStyle w:val="Hyperlink"/>
          </w:rPr>
          <w:t>§1617.</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_Toc224818675 \h </w:instrText>
        </w:r>
        <w:r>
          <w:rPr>
            <w:webHidden/>
          </w:rPr>
        </w:r>
        <w:r>
          <w:rPr>
            <w:webHidden/>
          </w:rPr>
          <w:fldChar w:fldCharType="separate"/>
        </w:r>
        <w:r w:rsidR="00AA17AB">
          <w:rPr>
            <w:webHidden/>
          </w:rPr>
          <w:t>80</w:t>
        </w:r>
        <w:r>
          <w:rPr>
            <w:webHidden/>
          </w:rPr>
          <w:fldChar w:fldCharType="end"/>
        </w:r>
      </w:hyperlink>
    </w:p>
    <w:p w14:paraId="43A5D5CD" w14:textId="672AC0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76" w:history="1">
        <w:r w:rsidRPr="00FC437C">
          <w:rPr>
            <w:rStyle w:val="Hyperlink"/>
          </w:rPr>
          <w:t>§1619.</w:t>
        </w:r>
        <w:r>
          <w:rPr>
            <w:rFonts w:asciiTheme="minorHAnsi" w:eastAsiaTheme="minorEastAsia" w:hAnsiTheme="minorHAnsi" w:cstheme="minorBidi"/>
            <w:color w:val="auto"/>
            <w:kern w:val="2"/>
            <w:szCs w:val="24"/>
            <w14:ligatures w14:val="standardContextual"/>
          </w:rPr>
          <w:tab/>
        </w:r>
        <w:r w:rsidRPr="00FC437C">
          <w:rPr>
            <w:rStyle w:val="Hyperlink"/>
          </w:rPr>
          <w:t>Penalty for Violations; Injunctive Relief; Costs; Notification</w:t>
        </w:r>
        <w:r>
          <w:rPr>
            <w:webHidden/>
          </w:rPr>
          <w:tab/>
        </w:r>
        <w:r>
          <w:rPr>
            <w:webHidden/>
          </w:rPr>
          <w:fldChar w:fldCharType="begin"/>
        </w:r>
        <w:r>
          <w:rPr>
            <w:webHidden/>
          </w:rPr>
          <w:instrText xml:space="preserve"> PAGEREF _Toc224818676 \h </w:instrText>
        </w:r>
        <w:r>
          <w:rPr>
            <w:webHidden/>
          </w:rPr>
        </w:r>
        <w:r>
          <w:rPr>
            <w:webHidden/>
          </w:rPr>
          <w:fldChar w:fldCharType="separate"/>
        </w:r>
        <w:r w:rsidR="00AA17AB">
          <w:rPr>
            <w:webHidden/>
          </w:rPr>
          <w:t>81</w:t>
        </w:r>
        <w:r>
          <w:rPr>
            <w:webHidden/>
          </w:rPr>
          <w:fldChar w:fldCharType="end"/>
        </w:r>
      </w:hyperlink>
    </w:p>
    <w:p w14:paraId="4C07FDBA" w14:textId="52CB988B" w:rsidR="00E67799" w:rsidRDefault="00E67799" w:rsidP="00695EC1">
      <w:pPr>
        <w:pStyle w:val="TOC2"/>
        <w:rPr>
          <w:rFonts w:asciiTheme="minorHAnsi" w:eastAsiaTheme="minorEastAsia" w:hAnsiTheme="minorHAnsi" w:cstheme="minorBidi"/>
          <w:kern w:val="2"/>
          <w:szCs w:val="24"/>
          <w14:ligatures w14:val="standardContextual"/>
        </w:rPr>
      </w:pPr>
      <w:hyperlink w:anchor="_Toc224818677" w:history="1">
        <w:r w:rsidRPr="00FC437C">
          <w:rPr>
            <w:rStyle w:val="Hyperlink"/>
          </w:rPr>
          <w:t>Chapter 17.</w:t>
        </w:r>
        <w:r>
          <w:rPr>
            <w:rFonts w:asciiTheme="minorHAnsi" w:eastAsiaTheme="minorEastAsia" w:hAnsiTheme="minorHAnsi" w:cstheme="minorBidi"/>
            <w:kern w:val="2"/>
            <w:szCs w:val="24"/>
            <w14:ligatures w14:val="standardContextual"/>
          </w:rPr>
          <w:tab/>
        </w:r>
        <w:r w:rsidRPr="00FC437C">
          <w:rPr>
            <w:rStyle w:val="Hyperlink"/>
          </w:rPr>
          <w:t>Louisiana Egg Commission</w:t>
        </w:r>
        <w:r>
          <w:rPr>
            <w:webHidden/>
          </w:rPr>
          <w:tab/>
        </w:r>
        <w:r>
          <w:rPr>
            <w:webHidden/>
          </w:rPr>
          <w:fldChar w:fldCharType="begin"/>
        </w:r>
        <w:r>
          <w:rPr>
            <w:webHidden/>
          </w:rPr>
          <w:instrText xml:space="preserve"> PAGEREF _Toc224818677 \h </w:instrText>
        </w:r>
        <w:r>
          <w:rPr>
            <w:webHidden/>
          </w:rPr>
        </w:r>
        <w:r>
          <w:rPr>
            <w:webHidden/>
          </w:rPr>
          <w:fldChar w:fldCharType="separate"/>
        </w:r>
        <w:r w:rsidR="00AA17AB">
          <w:rPr>
            <w:webHidden/>
          </w:rPr>
          <w:t>81</w:t>
        </w:r>
        <w:r>
          <w:rPr>
            <w:webHidden/>
          </w:rPr>
          <w:fldChar w:fldCharType="end"/>
        </w:r>
      </w:hyperlink>
    </w:p>
    <w:p w14:paraId="699DA3C1" w14:textId="2F75C054"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678" w:history="1">
        <w:r w:rsidRPr="00FC437C">
          <w:rPr>
            <w:rStyle w:val="Hyperlink"/>
          </w:rPr>
          <w:t>§1701.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_Toc224818678 \h </w:instrText>
        </w:r>
        <w:r>
          <w:rPr>
            <w:webHidden/>
          </w:rPr>
        </w:r>
        <w:r>
          <w:rPr>
            <w:webHidden/>
          </w:rPr>
          <w:fldChar w:fldCharType="separate"/>
        </w:r>
        <w:r w:rsidR="00AA17AB">
          <w:rPr>
            <w:webHidden/>
          </w:rPr>
          <w:t>81</w:t>
        </w:r>
        <w:r>
          <w:rPr>
            <w:webHidden/>
          </w:rPr>
          <w:fldChar w:fldCharType="end"/>
        </w:r>
      </w:hyperlink>
    </w:p>
    <w:p w14:paraId="5FA0257D" w14:textId="2B402F56"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679" w:history="1">
        <w:r w:rsidRPr="00FC437C">
          <w:rPr>
            <w:rStyle w:val="Hyperlink"/>
          </w:rPr>
          <w:t>§1703.</w:t>
        </w:r>
        <w:r>
          <w:rPr>
            <w:rFonts w:asciiTheme="minorHAnsi" w:eastAsiaTheme="minorEastAsia" w:hAnsiTheme="minorHAnsi" w:cstheme="minorBidi"/>
            <w:color w:val="auto"/>
            <w:kern w:val="2"/>
            <w:szCs w:val="24"/>
            <w14:ligatures w14:val="standardContextual"/>
          </w:rPr>
          <w:tab/>
        </w:r>
        <w:r w:rsidRPr="00FC437C">
          <w:rPr>
            <w:rStyle w:val="Hyperlink"/>
          </w:rPr>
          <w:t>The Commission</w:t>
        </w:r>
        <w:r>
          <w:rPr>
            <w:webHidden/>
          </w:rPr>
          <w:tab/>
        </w:r>
        <w:r>
          <w:rPr>
            <w:webHidden/>
          </w:rPr>
          <w:fldChar w:fldCharType="begin"/>
        </w:r>
        <w:r>
          <w:rPr>
            <w:webHidden/>
          </w:rPr>
          <w:instrText xml:space="preserve"> PAGEREF _Toc224818679 \h </w:instrText>
        </w:r>
        <w:r>
          <w:rPr>
            <w:webHidden/>
          </w:rPr>
        </w:r>
        <w:r>
          <w:rPr>
            <w:webHidden/>
          </w:rPr>
          <w:fldChar w:fldCharType="separate"/>
        </w:r>
        <w:r w:rsidR="00AA17AB">
          <w:rPr>
            <w:webHidden/>
          </w:rPr>
          <w:t>82</w:t>
        </w:r>
        <w:r>
          <w:rPr>
            <w:webHidden/>
          </w:rPr>
          <w:fldChar w:fldCharType="end"/>
        </w:r>
      </w:hyperlink>
    </w:p>
    <w:p w14:paraId="1DCB0859" w14:textId="2D6494C1"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680" w:history="1">
        <w:r w:rsidRPr="00FC437C">
          <w:rPr>
            <w:rStyle w:val="Hyperlink"/>
          </w:rPr>
          <w:t>§1707.</w:t>
        </w:r>
        <w:r>
          <w:rPr>
            <w:rFonts w:asciiTheme="minorHAnsi" w:eastAsiaTheme="minorEastAsia" w:hAnsiTheme="minorHAnsi" w:cstheme="minorBidi"/>
            <w:color w:val="auto"/>
            <w:kern w:val="2"/>
            <w:szCs w:val="24"/>
            <w14:ligatures w14:val="standardContextual"/>
          </w:rPr>
          <w:tab/>
        </w:r>
        <w:r w:rsidRPr="00FC437C">
          <w:rPr>
            <w:rStyle w:val="Hyperlink"/>
          </w:rPr>
          <w:t>Officers</w:t>
        </w:r>
        <w:r>
          <w:rPr>
            <w:webHidden/>
          </w:rPr>
          <w:tab/>
        </w:r>
        <w:r>
          <w:rPr>
            <w:webHidden/>
          </w:rPr>
          <w:fldChar w:fldCharType="begin"/>
        </w:r>
        <w:r>
          <w:rPr>
            <w:webHidden/>
          </w:rPr>
          <w:instrText xml:space="preserve"> PAGEREF _Toc224818680 \h </w:instrText>
        </w:r>
        <w:r>
          <w:rPr>
            <w:webHidden/>
          </w:rPr>
        </w:r>
        <w:r>
          <w:rPr>
            <w:webHidden/>
          </w:rPr>
          <w:fldChar w:fldCharType="separate"/>
        </w:r>
        <w:r w:rsidR="00AA17AB">
          <w:rPr>
            <w:webHidden/>
          </w:rPr>
          <w:t>82</w:t>
        </w:r>
        <w:r>
          <w:rPr>
            <w:webHidden/>
          </w:rPr>
          <w:fldChar w:fldCharType="end"/>
        </w:r>
      </w:hyperlink>
    </w:p>
    <w:p w14:paraId="110C134E" w14:textId="79041EE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1" w:history="1">
        <w:r w:rsidRPr="00FC437C">
          <w:rPr>
            <w:rStyle w:val="Hyperlink"/>
          </w:rPr>
          <w:t>§1711.</w:t>
        </w:r>
        <w:r>
          <w:rPr>
            <w:rFonts w:asciiTheme="minorHAnsi" w:eastAsiaTheme="minorEastAsia" w:hAnsiTheme="minorHAnsi" w:cstheme="minorBidi"/>
            <w:color w:val="auto"/>
            <w:kern w:val="2"/>
            <w:szCs w:val="24"/>
            <w14:ligatures w14:val="standardContextual"/>
          </w:rPr>
          <w:tab/>
        </w:r>
        <w:r w:rsidRPr="00FC437C">
          <w:rPr>
            <w:rStyle w:val="Hyperlink"/>
          </w:rPr>
          <w:t>Collection and Disbursement of Assessments</w:t>
        </w:r>
        <w:r>
          <w:rPr>
            <w:webHidden/>
          </w:rPr>
          <w:tab/>
        </w:r>
        <w:r>
          <w:rPr>
            <w:webHidden/>
          </w:rPr>
          <w:fldChar w:fldCharType="begin"/>
        </w:r>
        <w:r>
          <w:rPr>
            <w:webHidden/>
          </w:rPr>
          <w:instrText xml:space="preserve"> PAGEREF _Toc224818681 \h </w:instrText>
        </w:r>
        <w:r>
          <w:rPr>
            <w:webHidden/>
          </w:rPr>
        </w:r>
        <w:r>
          <w:rPr>
            <w:webHidden/>
          </w:rPr>
          <w:fldChar w:fldCharType="separate"/>
        </w:r>
        <w:r w:rsidR="00AA17AB">
          <w:rPr>
            <w:webHidden/>
          </w:rPr>
          <w:t>82</w:t>
        </w:r>
        <w:r>
          <w:rPr>
            <w:webHidden/>
          </w:rPr>
          <w:fldChar w:fldCharType="end"/>
        </w:r>
      </w:hyperlink>
    </w:p>
    <w:p w14:paraId="174D4A11" w14:textId="153AD64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2" w:history="1">
        <w:r w:rsidRPr="00FC437C">
          <w:rPr>
            <w:rStyle w:val="Hyperlink"/>
          </w:rPr>
          <w:t>§1713.</w:t>
        </w:r>
        <w:r>
          <w:rPr>
            <w:rFonts w:asciiTheme="minorHAnsi" w:eastAsiaTheme="minorEastAsia" w:hAnsiTheme="minorHAnsi" w:cstheme="minorBidi"/>
            <w:color w:val="auto"/>
            <w:kern w:val="2"/>
            <w:szCs w:val="24"/>
            <w14:ligatures w14:val="standardContextual"/>
          </w:rPr>
          <w:tab/>
        </w:r>
        <w:r w:rsidRPr="00FC437C">
          <w:rPr>
            <w:rStyle w:val="Hyperlink"/>
          </w:rPr>
          <w:t>Books and Records</w:t>
        </w:r>
        <w:r>
          <w:rPr>
            <w:webHidden/>
          </w:rPr>
          <w:tab/>
        </w:r>
        <w:r>
          <w:rPr>
            <w:webHidden/>
          </w:rPr>
          <w:fldChar w:fldCharType="begin"/>
        </w:r>
        <w:r>
          <w:rPr>
            <w:webHidden/>
          </w:rPr>
          <w:instrText xml:space="preserve"> PAGEREF _Toc224818682 \h </w:instrText>
        </w:r>
        <w:r>
          <w:rPr>
            <w:webHidden/>
          </w:rPr>
        </w:r>
        <w:r>
          <w:rPr>
            <w:webHidden/>
          </w:rPr>
          <w:fldChar w:fldCharType="separate"/>
        </w:r>
        <w:r w:rsidR="00AA17AB">
          <w:rPr>
            <w:webHidden/>
          </w:rPr>
          <w:t>82</w:t>
        </w:r>
        <w:r>
          <w:rPr>
            <w:webHidden/>
          </w:rPr>
          <w:fldChar w:fldCharType="end"/>
        </w:r>
      </w:hyperlink>
    </w:p>
    <w:p w14:paraId="0B1F2088" w14:textId="0DD3E40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3" w:history="1">
        <w:r w:rsidRPr="00FC437C">
          <w:rPr>
            <w:rStyle w:val="Hyperlink"/>
          </w:rPr>
          <w:t>§1715.</w:t>
        </w:r>
        <w:r>
          <w:rPr>
            <w:rFonts w:asciiTheme="minorHAnsi" w:eastAsiaTheme="minorEastAsia" w:hAnsiTheme="minorHAnsi" w:cstheme="minorBidi"/>
            <w:color w:val="auto"/>
            <w:kern w:val="2"/>
            <w:szCs w:val="24"/>
            <w14:ligatures w14:val="standardContextual"/>
          </w:rPr>
          <w:tab/>
        </w:r>
        <w:r w:rsidRPr="00FC437C">
          <w:rPr>
            <w:rStyle w:val="Hyperlink"/>
          </w:rPr>
          <w:t>Licenses</w:t>
        </w:r>
        <w:r>
          <w:rPr>
            <w:webHidden/>
          </w:rPr>
          <w:tab/>
        </w:r>
        <w:r>
          <w:rPr>
            <w:webHidden/>
          </w:rPr>
          <w:fldChar w:fldCharType="begin"/>
        </w:r>
        <w:r>
          <w:rPr>
            <w:webHidden/>
          </w:rPr>
          <w:instrText xml:space="preserve"> PAGEREF _Toc224818683 \h </w:instrText>
        </w:r>
        <w:r>
          <w:rPr>
            <w:webHidden/>
          </w:rPr>
        </w:r>
        <w:r>
          <w:rPr>
            <w:webHidden/>
          </w:rPr>
          <w:fldChar w:fldCharType="separate"/>
        </w:r>
        <w:r w:rsidR="00AA17AB">
          <w:rPr>
            <w:webHidden/>
          </w:rPr>
          <w:t>83</w:t>
        </w:r>
        <w:r>
          <w:rPr>
            <w:webHidden/>
          </w:rPr>
          <w:fldChar w:fldCharType="end"/>
        </w:r>
      </w:hyperlink>
    </w:p>
    <w:p w14:paraId="442FB748" w14:textId="55E12CDB" w:rsidR="00E67799" w:rsidRDefault="00E67799">
      <w:pPr>
        <w:pStyle w:val="TOC2"/>
        <w:rPr>
          <w:rFonts w:asciiTheme="minorHAnsi" w:eastAsiaTheme="minorEastAsia" w:hAnsiTheme="minorHAnsi" w:cstheme="minorBidi"/>
          <w:kern w:val="2"/>
          <w:szCs w:val="24"/>
          <w14:ligatures w14:val="standardContextual"/>
        </w:rPr>
      </w:pPr>
      <w:hyperlink w:anchor="_Toc224818684" w:history="1">
        <w:r w:rsidRPr="00FC437C">
          <w:rPr>
            <w:rStyle w:val="Hyperlink"/>
          </w:rPr>
          <w:t>Chapter 19.</w:t>
        </w:r>
        <w:r>
          <w:rPr>
            <w:rFonts w:asciiTheme="minorHAnsi" w:eastAsiaTheme="minorEastAsia" w:hAnsiTheme="minorHAnsi" w:cstheme="minorBidi"/>
            <w:kern w:val="2"/>
            <w:szCs w:val="24"/>
            <w14:ligatures w14:val="standardContextual"/>
          </w:rPr>
          <w:tab/>
        </w:r>
        <w:r w:rsidRPr="00FC437C">
          <w:rPr>
            <w:rStyle w:val="Hyperlink"/>
          </w:rPr>
          <w:t>Louisiana Strawberries</w:t>
        </w:r>
        <w:r>
          <w:rPr>
            <w:webHidden/>
          </w:rPr>
          <w:tab/>
        </w:r>
        <w:r>
          <w:rPr>
            <w:webHidden/>
          </w:rPr>
          <w:fldChar w:fldCharType="begin"/>
        </w:r>
        <w:r>
          <w:rPr>
            <w:webHidden/>
          </w:rPr>
          <w:instrText xml:space="preserve"> PAGEREF _Toc224818684 \h </w:instrText>
        </w:r>
        <w:r>
          <w:rPr>
            <w:webHidden/>
          </w:rPr>
        </w:r>
        <w:r>
          <w:rPr>
            <w:webHidden/>
          </w:rPr>
          <w:fldChar w:fldCharType="separate"/>
        </w:r>
        <w:r w:rsidR="00AA17AB">
          <w:rPr>
            <w:webHidden/>
          </w:rPr>
          <w:t>83</w:t>
        </w:r>
        <w:r>
          <w:rPr>
            <w:webHidden/>
          </w:rPr>
          <w:fldChar w:fldCharType="end"/>
        </w:r>
      </w:hyperlink>
    </w:p>
    <w:p w14:paraId="75970FA2" w14:textId="4228DC8B" w:rsidR="00E67799" w:rsidRDefault="00E67799">
      <w:pPr>
        <w:pStyle w:val="TOC2"/>
        <w:rPr>
          <w:rFonts w:asciiTheme="minorHAnsi" w:eastAsiaTheme="minorEastAsia" w:hAnsiTheme="minorHAnsi" w:cstheme="minorBidi"/>
          <w:kern w:val="2"/>
          <w:szCs w:val="24"/>
          <w14:ligatures w14:val="standardContextual"/>
        </w:rPr>
      </w:pPr>
      <w:hyperlink w:anchor="_Toc224818685"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_Toc224818685 \h </w:instrText>
        </w:r>
        <w:r>
          <w:rPr>
            <w:webHidden/>
          </w:rPr>
        </w:r>
        <w:r>
          <w:rPr>
            <w:webHidden/>
          </w:rPr>
          <w:fldChar w:fldCharType="separate"/>
        </w:r>
        <w:r w:rsidR="00AA17AB">
          <w:rPr>
            <w:webHidden/>
          </w:rPr>
          <w:t>83</w:t>
        </w:r>
        <w:r>
          <w:rPr>
            <w:webHidden/>
          </w:rPr>
          <w:fldChar w:fldCharType="end"/>
        </w:r>
      </w:hyperlink>
    </w:p>
    <w:p w14:paraId="3F3FA8D2" w14:textId="38BE6EF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6" w:history="1">
        <w:r w:rsidRPr="00FC437C">
          <w:rPr>
            <w:rStyle w:val="Hyperlink"/>
          </w:rPr>
          <w:t>§1901.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_Toc224818686 \h </w:instrText>
        </w:r>
        <w:r>
          <w:rPr>
            <w:webHidden/>
          </w:rPr>
        </w:r>
        <w:r>
          <w:rPr>
            <w:webHidden/>
          </w:rPr>
          <w:fldChar w:fldCharType="separate"/>
        </w:r>
        <w:r w:rsidR="00AA17AB">
          <w:rPr>
            <w:webHidden/>
          </w:rPr>
          <w:t>83</w:t>
        </w:r>
        <w:r>
          <w:rPr>
            <w:webHidden/>
          </w:rPr>
          <w:fldChar w:fldCharType="end"/>
        </w:r>
      </w:hyperlink>
    </w:p>
    <w:p w14:paraId="083C5A95" w14:textId="3CF064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7" w:history="1">
        <w:r w:rsidRPr="00FC437C">
          <w:rPr>
            <w:rStyle w:val="Hyperlink"/>
          </w:rPr>
          <w:t>§1903.</w:t>
        </w:r>
        <w:r>
          <w:rPr>
            <w:rFonts w:asciiTheme="minorHAnsi" w:eastAsiaTheme="minorEastAsia" w:hAnsiTheme="minorHAnsi" w:cstheme="minorBidi"/>
            <w:color w:val="auto"/>
            <w:kern w:val="2"/>
            <w:szCs w:val="24"/>
            <w14:ligatures w14:val="standardContextual"/>
          </w:rPr>
          <w:tab/>
        </w:r>
        <w:r w:rsidRPr="00FC437C">
          <w:rPr>
            <w:rStyle w:val="Hyperlink"/>
          </w:rPr>
          <w:t>Records Required; Inspections and Audits</w:t>
        </w:r>
        <w:r>
          <w:rPr>
            <w:webHidden/>
          </w:rPr>
          <w:tab/>
        </w:r>
        <w:r>
          <w:rPr>
            <w:webHidden/>
          </w:rPr>
          <w:fldChar w:fldCharType="begin"/>
        </w:r>
        <w:r>
          <w:rPr>
            <w:webHidden/>
          </w:rPr>
          <w:instrText xml:space="preserve"> PAGEREF _Toc224818687 \h </w:instrText>
        </w:r>
        <w:r>
          <w:rPr>
            <w:webHidden/>
          </w:rPr>
        </w:r>
        <w:r>
          <w:rPr>
            <w:webHidden/>
          </w:rPr>
          <w:fldChar w:fldCharType="separate"/>
        </w:r>
        <w:r w:rsidR="00AA17AB">
          <w:rPr>
            <w:webHidden/>
          </w:rPr>
          <w:t>83</w:t>
        </w:r>
        <w:r>
          <w:rPr>
            <w:webHidden/>
          </w:rPr>
          <w:fldChar w:fldCharType="end"/>
        </w:r>
      </w:hyperlink>
    </w:p>
    <w:p w14:paraId="0E6BB4E3" w14:textId="52AC382F" w:rsidR="00E67799" w:rsidRDefault="00E67799">
      <w:pPr>
        <w:pStyle w:val="TOC2"/>
        <w:rPr>
          <w:rFonts w:asciiTheme="minorHAnsi" w:eastAsiaTheme="minorEastAsia" w:hAnsiTheme="minorHAnsi" w:cstheme="minorBidi"/>
          <w:kern w:val="2"/>
          <w:szCs w:val="24"/>
          <w14:ligatures w14:val="standardContextual"/>
        </w:rPr>
      </w:pPr>
      <w:hyperlink w:anchor="_Toc22481868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The Strawberry Marketing Board</w:t>
        </w:r>
        <w:r>
          <w:rPr>
            <w:webHidden/>
          </w:rPr>
          <w:tab/>
        </w:r>
        <w:r>
          <w:rPr>
            <w:webHidden/>
          </w:rPr>
          <w:fldChar w:fldCharType="begin"/>
        </w:r>
        <w:r>
          <w:rPr>
            <w:webHidden/>
          </w:rPr>
          <w:instrText xml:space="preserve"> PAGEREF _Toc224818688 \h </w:instrText>
        </w:r>
        <w:r>
          <w:rPr>
            <w:webHidden/>
          </w:rPr>
        </w:r>
        <w:r>
          <w:rPr>
            <w:webHidden/>
          </w:rPr>
          <w:fldChar w:fldCharType="separate"/>
        </w:r>
        <w:r w:rsidR="00AA17AB">
          <w:rPr>
            <w:webHidden/>
          </w:rPr>
          <w:t>84</w:t>
        </w:r>
        <w:r>
          <w:rPr>
            <w:webHidden/>
          </w:rPr>
          <w:fldChar w:fldCharType="end"/>
        </w:r>
      </w:hyperlink>
    </w:p>
    <w:p w14:paraId="55072921" w14:textId="3C72A7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89" w:history="1">
        <w:r w:rsidRPr="00FC437C">
          <w:rPr>
            <w:rStyle w:val="Hyperlink"/>
          </w:rPr>
          <w:t>§1921.</w:t>
        </w:r>
        <w:r>
          <w:rPr>
            <w:rFonts w:asciiTheme="minorHAnsi" w:eastAsiaTheme="minorEastAsia" w:hAnsiTheme="minorHAnsi" w:cstheme="minorBidi"/>
            <w:color w:val="auto"/>
            <w:kern w:val="2"/>
            <w:szCs w:val="24"/>
            <w14:ligatures w14:val="standardContextual"/>
          </w:rPr>
          <w:tab/>
        </w:r>
        <w:r w:rsidRPr="00FC437C">
          <w:rPr>
            <w:rStyle w:val="Hyperlink"/>
          </w:rPr>
          <w:t>Compensation of Board Members</w:t>
        </w:r>
        <w:r>
          <w:rPr>
            <w:webHidden/>
          </w:rPr>
          <w:tab/>
        </w:r>
        <w:r>
          <w:rPr>
            <w:webHidden/>
          </w:rPr>
          <w:fldChar w:fldCharType="begin"/>
        </w:r>
        <w:r>
          <w:rPr>
            <w:webHidden/>
          </w:rPr>
          <w:instrText xml:space="preserve"> PAGEREF _Toc224818689 \h </w:instrText>
        </w:r>
        <w:r>
          <w:rPr>
            <w:webHidden/>
          </w:rPr>
        </w:r>
        <w:r>
          <w:rPr>
            <w:webHidden/>
          </w:rPr>
          <w:fldChar w:fldCharType="separate"/>
        </w:r>
        <w:r w:rsidR="00AA17AB">
          <w:rPr>
            <w:webHidden/>
          </w:rPr>
          <w:t>84</w:t>
        </w:r>
        <w:r>
          <w:rPr>
            <w:webHidden/>
          </w:rPr>
          <w:fldChar w:fldCharType="end"/>
        </w:r>
      </w:hyperlink>
    </w:p>
    <w:p w14:paraId="0EC1A777" w14:textId="0F18C78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0" w:history="1">
        <w:r w:rsidRPr="00FC437C">
          <w:rPr>
            <w:rStyle w:val="Hyperlink"/>
          </w:rPr>
          <w:t>§1923.</w:t>
        </w:r>
        <w:r>
          <w:rPr>
            <w:rFonts w:asciiTheme="minorHAnsi" w:eastAsiaTheme="minorEastAsia" w:hAnsiTheme="minorHAnsi" w:cstheme="minorBidi"/>
            <w:color w:val="auto"/>
            <w:kern w:val="2"/>
            <w:szCs w:val="24"/>
            <w14:ligatures w14:val="standardContextual"/>
          </w:rPr>
          <w:tab/>
        </w:r>
        <w:r w:rsidRPr="00FC437C">
          <w:rPr>
            <w:rStyle w:val="Hyperlink"/>
          </w:rPr>
          <w:t>Board Meetings</w:t>
        </w:r>
        <w:r>
          <w:rPr>
            <w:webHidden/>
          </w:rPr>
          <w:tab/>
        </w:r>
        <w:r>
          <w:rPr>
            <w:webHidden/>
          </w:rPr>
          <w:fldChar w:fldCharType="begin"/>
        </w:r>
        <w:r>
          <w:rPr>
            <w:webHidden/>
          </w:rPr>
          <w:instrText xml:space="preserve"> PAGEREF _Toc224818690 \h </w:instrText>
        </w:r>
        <w:r>
          <w:rPr>
            <w:webHidden/>
          </w:rPr>
        </w:r>
        <w:r>
          <w:rPr>
            <w:webHidden/>
          </w:rPr>
          <w:fldChar w:fldCharType="separate"/>
        </w:r>
        <w:r w:rsidR="00AA17AB">
          <w:rPr>
            <w:webHidden/>
          </w:rPr>
          <w:t>84</w:t>
        </w:r>
        <w:r>
          <w:rPr>
            <w:webHidden/>
          </w:rPr>
          <w:fldChar w:fldCharType="end"/>
        </w:r>
      </w:hyperlink>
    </w:p>
    <w:p w14:paraId="364236DB" w14:textId="7A9ED465" w:rsidR="00E67799" w:rsidRDefault="00E67799">
      <w:pPr>
        <w:pStyle w:val="TOC2"/>
        <w:rPr>
          <w:rFonts w:asciiTheme="minorHAnsi" w:eastAsiaTheme="minorEastAsia" w:hAnsiTheme="minorHAnsi" w:cstheme="minorBidi"/>
          <w:kern w:val="2"/>
          <w:szCs w:val="24"/>
          <w14:ligatures w14:val="standardContextual"/>
        </w:rPr>
      </w:pPr>
      <w:hyperlink w:anchor="_Toc224818691"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Farm of Origin Labeling</w:t>
        </w:r>
        <w:r>
          <w:rPr>
            <w:webHidden/>
          </w:rPr>
          <w:tab/>
        </w:r>
        <w:r>
          <w:rPr>
            <w:webHidden/>
          </w:rPr>
          <w:fldChar w:fldCharType="begin"/>
        </w:r>
        <w:r>
          <w:rPr>
            <w:webHidden/>
          </w:rPr>
          <w:instrText xml:space="preserve"> PAGEREF _Toc224818691 \h </w:instrText>
        </w:r>
        <w:r>
          <w:rPr>
            <w:webHidden/>
          </w:rPr>
        </w:r>
        <w:r>
          <w:rPr>
            <w:webHidden/>
          </w:rPr>
          <w:fldChar w:fldCharType="separate"/>
        </w:r>
        <w:r w:rsidR="00AA17AB">
          <w:rPr>
            <w:webHidden/>
          </w:rPr>
          <w:t>84</w:t>
        </w:r>
        <w:r>
          <w:rPr>
            <w:webHidden/>
          </w:rPr>
          <w:fldChar w:fldCharType="end"/>
        </w:r>
      </w:hyperlink>
    </w:p>
    <w:p w14:paraId="253F32FF" w14:textId="5633365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2" w:history="1">
        <w:r w:rsidRPr="00FC437C">
          <w:rPr>
            <w:rStyle w:val="Hyperlink"/>
          </w:rPr>
          <w:t>§1931.</w:t>
        </w:r>
        <w:r>
          <w:rPr>
            <w:rFonts w:asciiTheme="minorHAnsi" w:eastAsiaTheme="minorEastAsia" w:hAnsiTheme="minorHAnsi" w:cstheme="minorBidi"/>
            <w:color w:val="auto"/>
            <w:kern w:val="2"/>
            <w:szCs w:val="24"/>
            <w14:ligatures w14:val="standardContextual"/>
          </w:rPr>
          <w:tab/>
        </w:r>
        <w:r w:rsidRPr="00FC437C">
          <w:rPr>
            <w:rStyle w:val="Hyperlink"/>
          </w:rPr>
          <w:t>Labeling of Strawberries</w:t>
        </w:r>
        <w:r>
          <w:rPr>
            <w:webHidden/>
          </w:rPr>
          <w:tab/>
        </w:r>
        <w:r>
          <w:rPr>
            <w:webHidden/>
          </w:rPr>
          <w:fldChar w:fldCharType="begin"/>
        </w:r>
        <w:r>
          <w:rPr>
            <w:webHidden/>
          </w:rPr>
          <w:instrText xml:space="preserve"> PAGEREF _Toc224818692 \h </w:instrText>
        </w:r>
        <w:r>
          <w:rPr>
            <w:webHidden/>
          </w:rPr>
        </w:r>
        <w:r>
          <w:rPr>
            <w:webHidden/>
          </w:rPr>
          <w:fldChar w:fldCharType="separate"/>
        </w:r>
        <w:r w:rsidR="00AA17AB">
          <w:rPr>
            <w:webHidden/>
          </w:rPr>
          <w:t>84</w:t>
        </w:r>
        <w:r>
          <w:rPr>
            <w:webHidden/>
          </w:rPr>
          <w:fldChar w:fldCharType="end"/>
        </w:r>
      </w:hyperlink>
    </w:p>
    <w:p w14:paraId="04942666" w14:textId="3E7427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3" w:history="1">
        <w:r w:rsidRPr="00FC437C">
          <w:rPr>
            <w:rStyle w:val="Hyperlink"/>
          </w:rPr>
          <w:t>§1933.</w:t>
        </w:r>
        <w:r>
          <w:rPr>
            <w:rFonts w:asciiTheme="minorHAnsi" w:eastAsiaTheme="minorEastAsia" w:hAnsiTheme="minorHAnsi" w:cstheme="minorBidi"/>
            <w:color w:val="auto"/>
            <w:kern w:val="2"/>
            <w:szCs w:val="24"/>
            <w14:ligatures w14:val="standardContextual"/>
          </w:rPr>
          <w:tab/>
        </w:r>
        <w:r w:rsidRPr="00FC437C">
          <w:rPr>
            <w:rStyle w:val="Hyperlink"/>
          </w:rPr>
          <w:t>Louisiana Grown Strawberries; Use of Department Logos</w:t>
        </w:r>
        <w:r>
          <w:rPr>
            <w:webHidden/>
          </w:rPr>
          <w:tab/>
        </w:r>
        <w:r>
          <w:rPr>
            <w:webHidden/>
          </w:rPr>
          <w:fldChar w:fldCharType="begin"/>
        </w:r>
        <w:r>
          <w:rPr>
            <w:webHidden/>
          </w:rPr>
          <w:instrText xml:space="preserve"> PAGEREF _Toc224818693 \h </w:instrText>
        </w:r>
        <w:r>
          <w:rPr>
            <w:webHidden/>
          </w:rPr>
        </w:r>
        <w:r>
          <w:rPr>
            <w:webHidden/>
          </w:rPr>
          <w:fldChar w:fldCharType="separate"/>
        </w:r>
        <w:r w:rsidR="00AA17AB">
          <w:rPr>
            <w:webHidden/>
          </w:rPr>
          <w:t>84</w:t>
        </w:r>
        <w:r>
          <w:rPr>
            <w:webHidden/>
          </w:rPr>
          <w:fldChar w:fldCharType="end"/>
        </w:r>
      </w:hyperlink>
    </w:p>
    <w:p w14:paraId="4291CEA7" w14:textId="4C4B004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4" w:history="1">
        <w:r w:rsidRPr="00FC437C">
          <w:rPr>
            <w:rStyle w:val="Hyperlink"/>
          </w:rPr>
          <w:t>§1935.</w:t>
        </w:r>
        <w:r>
          <w:rPr>
            <w:rFonts w:asciiTheme="minorHAnsi" w:eastAsiaTheme="minorEastAsia" w:hAnsiTheme="minorHAnsi" w:cstheme="minorBidi"/>
            <w:color w:val="auto"/>
            <w:kern w:val="2"/>
            <w:szCs w:val="24"/>
            <w14:ligatures w14:val="standardContextual"/>
          </w:rPr>
          <w:tab/>
        </w:r>
        <w:r w:rsidRPr="00FC437C">
          <w:rPr>
            <w:rStyle w:val="Hyperlink"/>
          </w:rPr>
          <w:t>Use of Containers Ordered Prior to the Effective Date of these Regulations</w:t>
        </w:r>
        <w:r>
          <w:rPr>
            <w:webHidden/>
          </w:rPr>
          <w:tab/>
        </w:r>
        <w:r>
          <w:rPr>
            <w:webHidden/>
          </w:rPr>
          <w:fldChar w:fldCharType="begin"/>
        </w:r>
        <w:r>
          <w:rPr>
            <w:webHidden/>
          </w:rPr>
          <w:instrText xml:space="preserve"> PAGEREF _Toc224818694 \h </w:instrText>
        </w:r>
        <w:r>
          <w:rPr>
            <w:webHidden/>
          </w:rPr>
        </w:r>
        <w:r>
          <w:rPr>
            <w:webHidden/>
          </w:rPr>
          <w:fldChar w:fldCharType="separate"/>
        </w:r>
        <w:r w:rsidR="00AA17AB">
          <w:rPr>
            <w:webHidden/>
          </w:rPr>
          <w:t>85</w:t>
        </w:r>
        <w:r>
          <w:rPr>
            <w:webHidden/>
          </w:rPr>
          <w:fldChar w:fldCharType="end"/>
        </w:r>
      </w:hyperlink>
    </w:p>
    <w:p w14:paraId="6EB1ADF6" w14:textId="60C96A93" w:rsidR="00E67799" w:rsidRDefault="00E67799">
      <w:pPr>
        <w:pStyle w:val="TOC2"/>
        <w:rPr>
          <w:rFonts w:asciiTheme="minorHAnsi" w:eastAsiaTheme="minorEastAsia" w:hAnsiTheme="minorHAnsi" w:cstheme="minorBidi"/>
          <w:kern w:val="2"/>
          <w:szCs w:val="24"/>
          <w14:ligatures w14:val="standardContextual"/>
        </w:rPr>
      </w:pPr>
      <w:hyperlink w:anchor="_Toc224818695" w:history="1">
        <w:r w:rsidRPr="00FC437C">
          <w:rPr>
            <w:rStyle w:val="Hyperlink"/>
          </w:rPr>
          <w:t>Chapter 21.</w:t>
        </w:r>
        <w:r>
          <w:rPr>
            <w:rFonts w:asciiTheme="minorHAnsi" w:eastAsiaTheme="minorEastAsia" w:hAnsiTheme="minorHAnsi" w:cstheme="minorBidi"/>
            <w:kern w:val="2"/>
            <w:szCs w:val="24"/>
            <w14:ligatures w14:val="standardContextual"/>
          </w:rPr>
          <w:tab/>
        </w:r>
        <w:r w:rsidRPr="00FC437C">
          <w:rPr>
            <w:rStyle w:val="Hyperlink"/>
          </w:rPr>
          <w:t>Louisiana Sweet Potato Logo</w:t>
        </w:r>
        <w:r>
          <w:rPr>
            <w:webHidden/>
          </w:rPr>
          <w:tab/>
        </w:r>
        <w:r>
          <w:rPr>
            <w:webHidden/>
          </w:rPr>
          <w:fldChar w:fldCharType="begin"/>
        </w:r>
        <w:r>
          <w:rPr>
            <w:webHidden/>
          </w:rPr>
          <w:instrText xml:space="preserve"> PAGEREF _Toc224818695 \h </w:instrText>
        </w:r>
        <w:r>
          <w:rPr>
            <w:webHidden/>
          </w:rPr>
        </w:r>
        <w:r>
          <w:rPr>
            <w:webHidden/>
          </w:rPr>
          <w:fldChar w:fldCharType="separate"/>
        </w:r>
        <w:r w:rsidR="00AA17AB">
          <w:rPr>
            <w:webHidden/>
          </w:rPr>
          <w:t>85</w:t>
        </w:r>
        <w:r>
          <w:rPr>
            <w:webHidden/>
          </w:rPr>
          <w:fldChar w:fldCharType="end"/>
        </w:r>
      </w:hyperlink>
    </w:p>
    <w:p w14:paraId="316BB9A5" w14:textId="6CDB84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6" w:history="1">
        <w:r w:rsidRPr="00FC437C">
          <w:rPr>
            <w:rStyle w:val="Hyperlink"/>
          </w:rPr>
          <w:t>§2101.</w:t>
        </w:r>
        <w:r>
          <w:rPr>
            <w:rFonts w:asciiTheme="minorHAnsi" w:eastAsiaTheme="minorEastAsia" w:hAnsiTheme="minorHAnsi" w:cstheme="minorBidi"/>
            <w:color w:val="auto"/>
            <w:kern w:val="2"/>
            <w:szCs w:val="24"/>
            <w14:ligatures w14:val="standardContextual"/>
          </w:rPr>
          <w:tab/>
        </w:r>
        <w:r w:rsidRPr="00FC437C">
          <w:rPr>
            <w:rStyle w:val="Hyperlink"/>
          </w:rPr>
          <w:t>Statement of Authority and Purpose</w:t>
        </w:r>
        <w:r>
          <w:rPr>
            <w:webHidden/>
          </w:rPr>
          <w:tab/>
        </w:r>
        <w:r>
          <w:rPr>
            <w:webHidden/>
          </w:rPr>
          <w:fldChar w:fldCharType="begin"/>
        </w:r>
        <w:r>
          <w:rPr>
            <w:webHidden/>
          </w:rPr>
          <w:instrText xml:space="preserve"> PAGEREF _Toc224818696 \h </w:instrText>
        </w:r>
        <w:r>
          <w:rPr>
            <w:webHidden/>
          </w:rPr>
        </w:r>
        <w:r>
          <w:rPr>
            <w:webHidden/>
          </w:rPr>
          <w:fldChar w:fldCharType="separate"/>
        </w:r>
        <w:r w:rsidR="00AA17AB">
          <w:rPr>
            <w:webHidden/>
          </w:rPr>
          <w:t>85</w:t>
        </w:r>
        <w:r>
          <w:rPr>
            <w:webHidden/>
          </w:rPr>
          <w:fldChar w:fldCharType="end"/>
        </w:r>
      </w:hyperlink>
    </w:p>
    <w:p w14:paraId="0CBDAB69" w14:textId="7897F3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7" w:history="1">
        <w:r w:rsidRPr="00FC437C">
          <w:rPr>
            <w:rStyle w:val="Hyperlink"/>
          </w:rPr>
          <w:t>§2103.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_Toc224818697 \h </w:instrText>
        </w:r>
        <w:r>
          <w:rPr>
            <w:webHidden/>
          </w:rPr>
        </w:r>
        <w:r>
          <w:rPr>
            <w:webHidden/>
          </w:rPr>
          <w:fldChar w:fldCharType="separate"/>
        </w:r>
        <w:r w:rsidR="00AA17AB">
          <w:rPr>
            <w:webHidden/>
          </w:rPr>
          <w:t>85</w:t>
        </w:r>
        <w:r>
          <w:rPr>
            <w:webHidden/>
          </w:rPr>
          <w:fldChar w:fldCharType="end"/>
        </w:r>
      </w:hyperlink>
    </w:p>
    <w:p w14:paraId="6365A506" w14:textId="589C187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8" w:history="1">
        <w:r w:rsidRPr="00FC437C">
          <w:rPr>
            <w:rStyle w:val="Hyperlink"/>
          </w:rPr>
          <w:t>§2105.</w:t>
        </w:r>
        <w:r>
          <w:rPr>
            <w:rFonts w:asciiTheme="minorHAnsi" w:eastAsiaTheme="minorEastAsia" w:hAnsiTheme="minorHAnsi" w:cstheme="minorBidi"/>
            <w:color w:val="auto"/>
            <w:kern w:val="2"/>
            <w:szCs w:val="24"/>
            <w14:ligatures w14:val="standardContextual"/>
          </w:rPr>
          <w:tab/>
        </w:r>
        <w:r w:rsidRPr="00FC437C">
          <w:rPr>
            <w:rStyle w:val="Hyperlink"/>
          </w:rPr>
          <w:t>Development, Adoption and Registration of an Official Logo for Louisiana Sweet Potatoes</w:t>
        </w:r>
        <w:r>
          <w:rPr>
            <w:webHidden/>
          </w:rPr>
          <w:tab/>
        </w:r>
        <w:r>
          <w:rPr>
            <w:webHidden/>
          </w:rPr>
          <w:fldChar w:fldCharType="begin"/>
        </w:r>
        <w:r>
          <w:rPr>
            <w:webHidden/>
          </w:rPr>
          <w:instrText xml:space="preserve"> PAGEREF _Toc224818698 \h </w:instrText>
        </w:r>
        <w:r>
          <w:rPr>
            <w:webHidden/>
          </w:rPr>
        </w:r>
        <w:r>
          <w:rPr>
            <w:webHidden/>
          </w:rPr>
          <w:fldChar w:fldCharType="separate"/>
        </w:r>
        <w:r w:rsidR="00AA17AB">
          <w:rPr>
            <w:webHidden/>
          </w:rPr>
          <w:t>85</w:t>
        </w:r>
        <w:r>
          <w:rPr>
            <w:webHidden/>
          </w:rPr>
          <w:fldChar w:fldCharType="end"/>
        </w:r>
      </w:hyperlink>
    </w:p>
    <w:p w14:paraId="4D78B4C4" w14:textId="182885D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699" w:history="1">
        <w:r w:rsidRPr="00FC437C">
          <w:rPr>
            <w:rStyle w:val="Hyperlink"/>
          </w:rPr>
          <w:t>§2107.</w:t>
        </w:r>
        <w:r>
          <w:rPr>
            <w:rFonts w:asciiTheme="minorHAnsi" w:eastAsiaTheme="minorEastAsia" w:hAnsiTheme="minorHAnsi" w:cstheme="minorBidi"/>
            <w:color w:val="auto"/>
            <w:kern w:val="2"/>
            <w:szCs w:val="24"/>
            <w14:ligatures w14:val="standardContextual"/>
          </w:rPr>
          <w:tab/>
        </w:r>
        <w:r w:rsidRPr="00FC437C">
          <w:rPr>
            <w:rStyle w:val="Hyperlink"/>
          </w:rPr>
          <w:t>Licensing Eligibility for Use of Logo</w:t>
        </w:r>
        <w:r>
          <w:rPr>
            <w:webHidden/>
          </w:rPr>
          <w:tab/>
        </w:r>
        <w:r>
          <w:rPr>
            <w:webHidden/>
          </w:rPr>
          <w:fldChar w:fldCharType="begin"/>
        </w:r>
        <w:r>
          <w:rPr>
            <w:webHidden/>
          </w:rPr>
          <w:instrText xml:space="preserve"> PAGEREF _Toc224818699 \h </w:instrText>
        </w:r>
        <w:r>
          <w:rPr>
            <w:webHidden/>
          </w:rPr>
        </w:r>
        <w:r>
          <w:rPr>
            <w:webHidden/>
          </w:rPr>
          <w:fldChar w:fldCharType="separate"/>
        </w:r>
        <w:r w:rsidR="00AA17AB">
          <w:rPr>
            <w:webHidden/>
          </w:rPr>
          <w:t>85</w:t>
        </w:r>
        <w:r>
          <w:rPr>
            <w:webHidden/>
          </w:rPr>
          <w:fldChar w:fldCharType="end"/>
        </w:r>
      </w:hyperlink>
    </w:p>
    <w:p w14:paraId="2ABB9806" w14:textId="1E4711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0" w:history="1">
        <w:r w:rsidRPr="00FC437C">
          <w:rPr>
            <w:rStyle w:val="Hyperlink"/>
          </w:rPr>
          <w:t>§2109.</w:t>
        </w:r>
        <w:r>
          <w:rPr>
            <w:rFonts w:asciiTheme="minorHAnsi" w:eastAsiaTheme="minorEastAsia" w:hAnsiTheme="minorHAnsi" w:cstheme="minorBidi"/>
            <w:color w:val="auto"/>
            <w:kern w:val="2"/>
            <w:szCs w:val="24"/>
            <w14:ligatures w14:val="standardContextual"/>
          </w:rPr>
          <w:tab/>
        </w:r>
        <w:r w:rsidRPr="00FC437C">
          <w:rPr>
            <w:rStyle w:val="Hyperlink"/>
          </w:rPr>
          <w:t>Use and Transferability of Logo</w:t>
        </w:r>
        <w:r>
          <w:rPr>
            <w:webHidden/>
          </w:rPr>
          <w:tab/>
        </w:r>
        <w:r>
          <w:rPr>
            <w:webHidden/>
          </w:rPr>
          <w:fldChar w:fldCharType="begin"/>
        </w:r>
        <w:r>
          <w:rPr>
            <w:webHidden/>
          </w:rPr>
          <w:instrText xml:space="preserve"> PAGEREF _Toc224818700 \h </w:instrText>
        </w:r>
        <w:r>
          <w:rPr>
            <w:webHidden/>
          </w:rPr>
        </w:r>
        <w:r>
          <w:rPr>
            <w:webHidden/>
          </w:rPr>
          <w:fldChar w:fldCharType="separate"/>
        </w:r>
        <w:r w:rsidR="00AA17AB">
          <w:rPr>
            <w:webHidden/>
          </w:rPr>
          <w:t>86</w:t>
        </w:r>
        <w:r>
          <w:rPr>
            <w:webHidden/>
          </w:rPr>
          <w:fldChar w:fldCharType="end"/>
        </w:r>
      </w:hyperlink>
    </w:p>
    <w:p w14:paraId="79C3E954" w14:textId="6302873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1" w:history="1">
        <w:r w:rsidRPr="00FC437C">
          <w:rPr>
            <w:rStyle w:val="Hyperlink"/>
          </w:rPr>
          <w:t>§2111.</w:t>
        </w:r>
        <w:r>
          <w:rPr>
            <w:rFonts w:asciiTheme="minorHAnsi" w:eastAsiaTheme="minorEastAsia" w:hAnsiTheme="minorHAnsi" w:cstheme="minorBidi"/>
            <w:color w:val="auto"/>
            <w:kern w:val="2"/>
            <w:szCs w:val="24"/>
            <w14:ligatures w14:val="standardContextual"/>
          </w:rPr>
          <w:tab/>
        </w:r>
        <w:r w:rsidRPr="00FC437C">
          <w:rPr>
            <w:rStyle w:val="Hyperlink"/>
          </w:rPr>
          <w:t>Fees and Costs</w:t>
        </w:r>
        <w:r>
          <w:rPr>
            <w:webHidden/>
          </w:rPr>
          <w:tab/>
        </w:r>
        <w:r>
          <w:rPr>
            <w:webHidden/>
          </w:rPr>
          <w:fldChar w:fldCharType="begin"/>
        </w:r>
        <w:r>
          <w:rPr>
            <w:webHidden/>
          </w:rPr>
          <w:instrText xml:space="preserve"> PAGEREF _Toc224818701 \h </w:instrText>
        </w:r>
        <w:r>
          <w:rPr>
            <w:webHidden/>
          </w:rPr>
        </w:r>
        <w:r>
          <w:rPr>
            <w:webHidden/>
          </w:rPr>
          <w:fldChar w:fldCharType="separate"/>
        </w:r>
        <w:r w:rsidR="00AA17AB">
          <w:rPr>
            <w:webHidden/>
          </w:rPr>
          <w:t>86</w:t>
        </w:r>
        <w:r>
          <w:rPr>
            <w:webHidden/>
          </w:rPr>
          <w:fldChar w:fldCharType="end"/>
        </w:r>
      </w:hyperlink>
    </w:p>
    <w:p w14:paraId="6BDB42D5" w14:textId="752EFF7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2" w:history="1">
        <w:r w:rsidRPr="00FC437C">
          <w:rPr>
            <w:rStyle w:val="Hyperlink"/>
          </w:rPr>
          <w:t>§2113.</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_Toc224818702 \h </w:instrText>
        </w:r>
        <w:r>
          <w:rPr>
            <w:webHidden/>
          </w:rPr>
        </w:r>
        <w:r>
          <w:rPr>
            <w:webHidden/>
          </w:rPr>
          <w:fldChar w:fldCharType="separate"/>
        </w:r>
        <w:r w:rsidR="00AA17AB">
          <w:rPr>
            <w:webHidden/>
          </w:rPr>
          <w:t>86</w:t>
        </w:r>
        <w:r>
          <w:rPr>
            <w:webHidden/>
          </w:rPr>
          <w:fldChar w:fldCharType="end"/>
        </w:r>
      </w:hyperlink>
    </w:p>
    <w:p w14:paraId="559FE761" w14:textId="6EDE3B6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3" w:history="1">
        <w:r w:rsidRPr="00FC437C">
          <w:rPr>
            <w:rStyle w:val="Hyperlink"/>
          </w:rPr>
          <w:t>§2115.</w:t>
        </w:r>
        <w:r>
          <w:rPr>
            <w:rFonts w:asciiTheme="minorHAnsi" w:eastAsiaTheme="minorEastAsia" w:hAnsiTheme="minorHAnsi" w:cstheme="minorBidi"/>
            <w:color w:val="auto"/>
            <w:kern w:val="2"/>
            <w:szCs w:val="24"/>
            <w14:ligatures w14:val="standardContextual"/>
          </w:rPr>
          <w:tab/>
        </w:r>
        <w:r w:rsidRPr="00FC437C">
          <w:rPr>
            <w:rStyle w:val="Hyperlink"/>
          </w:rPr>
          <w:t>Penalty for Violations; Injunctive Relief; Costs; Notification</w:t>
        </w:r>
        <w:r>
          <w:rPr>
            <w:webHidden/>
          </w:rPr>
          <w:tab/>
        </w:r>
        <w:r>
          <w:rPr>
            <w:webHidden/>
          </w:rPr>
          <w:fldChar w:fldCharType="begin"/>
        </w:r>
        <w:r>
          <w:rPr>
            <w:webHidden/>
          </w:rPr>
          <w:instrText xml:space="preserve"> PAGEREF _Toc224818703 \h </w:instrText>
        </w:r>
        <w:r>
          <w:rPr>
            <w:webHidden/>
          </w:rPr>
        </w:r>
        <w:r>
          <w:rPr>
            <w:webHidden/>
          </w:rPr>
          <w:fldChar w:fldCharType="separate"/>
        </w:r>
        <w:r w:rsidR="00AA17AB">
          <w:rPr>
            <w:webHidden/>
          </w:rPr>
          <w:t>86</w:t>
        </w:r>
        <w:r>
          <w:rPr>
            <w:webHidden/>
          </w:rPr>
          <w:fldChar w:fldCharType="end"/>
        </w:r>
      </w:hyperlink>
    </w:p>
    <w:p w14:paraId="727C53C5" w14:textId="7D07E4DB" w:rsidR="00E67799" w:rsidRDefault="00E67799">
      <w:pPr>
        <w:pStyle w:val="TOC2"/>
        <w:rPr>
          <w:rFonts w:asciiTheme="minorHAnsi" w:eastAsiaTheme="minorEastAsia" w:hAnsiTheme="minorHAnsi" w:cstheme="minorBidi"/>
          <w:kern w:val="2"/>
          <w:szCs w:val="24"/>
          <w14:ligatures w14:val="standardContextual"/>
        </w:rPr>
      </w:pPr>
      <w:hyperlink w:anchor="_Toc224818704" w:history="1">
        <w:r w:rsidRPr="00FC437C">
          <w:rPr>
            <w:rStyle w:val="Hyperlink"/>
          </w:rPr>
          <w:t>Chapter 23.</w:t>
        </w:r>
        <w:r>
          <w:rPr>
            <w:rFonts w:asciiTheme="minorHAnsi" w:eastAsiaTheme="minorEastAsia" w:hAnsiTheme="minorHAnsi" w:cstheme="minorBidi"/>
            <w:kern w:val="2"/>
            <w:szCs w:val="24"/>
            <w14:ligatures w14:val="standardContextual"/>
          </w:rPr>
          <w:tab/>
        </w:r>
        <w:r w:rsidRPr="00FC437C">
          <w:rPr>
            <w:rStyle w:val="Hyperlink"/>
          </w:rPr>
          <w:t>Market Commission</w:t>
        </w:r>
        <w:r w:rsidRPr="00FC437C">
          <w:rPr>
            <w:rStyle w:val="Hyperlink"/>
            <w:iCs/>
          </w:rPr>
          <w:t>―</w:t>
        </w:r>
        <w:r w:rsidRPr="00FC437C">
          <w:rPr>
            <w:rStyle w:val="Hyperlink"/>
          </w:rPr>
          <w:t>Acquisition of Facilities</w:t>
        </w:r>
        <w:r>
          <w:rPr>
            <w:webHidden/>
          </w:rPr>
          <w:tab/>
        </w:r>
        <w:r>
          <w:rPr>
            <w:webHidden/>
          </w:rPr>
          <w:fldChar w:fldCharType="begin"/>
        </w:r>
        <w:r>
          <w:rPr>
            <w:webHidden/>
          </w:rPr>
          <w:instrText xml:space="preserve"> PAGEREF _Toc224818704 \h </w:instrText>
        </w:r>
        <w:r>
          <w:rPr>
            <w:webHidden/>
          </w:rPr>
        </w:r>
        <w:r>
          <w:rPr>
            <w:webHidden/>
          </w:rPr>
          <w:fldChar w:fldCharType="separate"/>
        </w:r>
        <w:r w:rsidR="00AA17AB">
          <w:rPr>
            <w:webHidden/>
          </w:rPr>
          <w:t>87</w:t>
        </w:r>
        <w:r>
          <w:rPr>
            <w:webHidden/>
          </w:rPr>
          <w:fldChar w:fldCharType="end"/>
        </w:r>
      </w:hyperlink>
    </w:p>
    <w:p w14:paraId="26A69D1C" w14:textId="5F613DE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5" w:history="1">
        <w:r w:rsidRPr="00FC437C">
          <w:rPr>
            <w:rStyle w:val="Hyperlink"/>
          </w:rPr>
          <w:t>§2301.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_Toc224818705 \h </w:instrText>
        </w:r>
        <w:r>
          <w:rPr>
            <w:webHidden/>
          </w:rPr>
        </w:r>
        <w:r>
          <w:rPr>
            <w:webHidden/>
          </w:rPr>
          <w:fldChar w:fldCharType="separate"/>
        </w:r>
        <w:r w:rsidR="00AA17AB">
          <w:rPr>
            <w:webHidden/>
          </w:rPr>
          <w:t>87</w:t>
        </w:r>
        <w:r>
          <w:rPr>
            <w:webHidden/>
          </w:rPr>
          <w:fldChar w:fldCharType="end"/>
        </w:r>
      </w:hyperlink>
    </w:p>
    <w:p w14:paraId="60E60E6A" w14:textId="64669E7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6" w:history="1">
        <w:r w:rsidRPr="00FC437C">
          <w:rPr>
            <w:rStyle w:val="Hyperlink"/>
          </w:rPr>
          <w:t>§2303.</w:t>
        </w:r>
        <w:r>
          <w:rPr>
            <w:rFonts w:asciiTheme="minorHAnsi" w:eastAsiaTheme="minorEastAsia" w:hAnsiTheme="minorHAnsi" w:cstheme="minorBidi"/>
            <w:color w:val="auto"/>
            <w:kern w:val="2"/>
            <w:szCs w:val="24"/>
            <w14:ligatures w14:val="standardContextual"/>
          </w:rPr>
          <w:tab/>
        </w:r>
        <w:r w:rsidRPr="00FC437C">
          <w:rPr>
            <w:rStyle w:val="Hyperlink"/>
          </w:rPr>
          <w:t>Criteria for Acquiring Machinery, Equipment, and Facilities</w:t>
        </w:r>
        <w:r>
          <w:rPr>
            <w:webHidden/>
          </w:rPr>
          <w:tab/>
        </w:r>
        <w:r>
          <w:rPr>
            <w:webHidden/>
          </w:rPr>
          <w:fldChar w:fldCharType="begin"/>
        </w:r>
        <w:r>
          <w:rPr>
            <w:webHidden/>
          </w:rPr>
          <w:instrText xml:space="preserve"> PAGEREF _Toc224818706 \h </w:instrText>
        </w:r>
        <w:r>
          <w:rPr>
            <w:webHidden/>
          </w:rPr>
        </w:r>
        <w:r>
          <w:rPr>
            <w:webHidden/>
          </w:rPr>
          <w:fldChar w:fldCharType="separate"/>
        </w:r>
        <w:r w:rsidR="00AA17AB">
          <w:rPr>
            <w:webHidden/>
          </w:rPr>
          <w:t>87</w:t>
        </w:r>
        <w:r>
          <w:rPr>
            <w:webHidden/>
          </w:rPr>
          <w:fldChar w:fldCharType="end"/>
        </w:r>
      </w:hyperlink>
    </w:p>
    <w:p w14:paraId="74C3F124" w14:textId="70C80B0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7" w:history="1">
        <w:r w:rsidRPr="00FC437C">
          <w:rPr>
            <w:rStyle w:val="Hyperlink"/>
          </w:rPr>
          <w:t>§2305.</w:t>
        </w:r>
        <w:r>
          <w:rPr>
            <w:rFonts w:asciiTheme="minorHAnsi" w:eastAsiaTheme="minorEastAsia" w:hAnsiTheme="minorHAnsi" w:cstheme="minorBidi"/>
            <w:color w:val="auto"/>
            <w:kern w:val="2"/>
            <w:szCs w:val="24"/>
            <w14:ligatures w14:val="standardContextual"/>
          </w:rPr>
          <w:tab/>
        </w:r>
        <w:r w:rsidRPr="00FC437C">
          <w:rPr>
            <w:rStyle w:val="Hyperlink"/>
          </w:rPr>
          <w:t>Persons Eligible to Use, Rent, or Purchase Acquired Machinery, Equipment, or Facility</w:t>
        </w:r>
        <w:r>
          <w:rPr>
            <w:webHidden/>
          </w:rPr>
          <w:tab/>
        </w:r>
        <w:r>
          <w:rPr>
            <w:webHidden/>
          </w:rPr>
          <w:fldChar w:fldCharType="begin"/>
        </w:r>
        <w:r>
          <w:rPr>
            <w:webHidden/>
          </w:rPr>
          <w:instrText xml:space="preserve"> PAGEREF _Toc224818707 \h </w:instrText>
        </w:r>
        <w:r>
          <w:rPr>
            <w:webHidden/>
          </w:rPr>
        </w:r>
        <w:r>
          <w:rPr>
            <w:webHidden/>
          </w:rPr>
          <w:fldChar w:fldCharType="separate"/>
        </w:r>
        <w:r w:rsidR="00AA17AB">
          <w:rPr>
            <w:webHidden/>
          </w:rPr>
          <w:t>88</w:t>
        </w:r>
        <w:r>
          <w:rPr>
            <w:webHidden/>
          </w:rPr>
          <w:fldChar w:fldCharType="end"/>
        </w:r>
      </w:hyperlink>
    </w:p>
    <w:p w14:paraId="1C06DCDA" w14:textId="2633733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8" w:history="1">
        <w:r w:rsidRPr="00FC437C">
          <w:rPr>
            <w:rStyle w:val="Hyperlink"/>
          </w:rPr>
          <w:t>§2307.</w:t>
        </w:r>
        <w:r>
          <w:rPr>
            <w:rFonts w:asciiTheme="minorHAnsi" w:eastAsiaTheme="minorEastAsia" w:hAnsiTheme="minorHAnsi" w:cstheme="minorBidi"/>
            <w:color w:val="auto"/>
            <w:kern w:val="2"/>
            <w:szCs w:val="24"/>
            <w14:ligatures w14:val="standardContextual"/>
          </w:rPr>
          <w:tab/>
        </w:r>
        <w:r w:rsidRPr="00FC437C">
          <w:rPr>
            <w:rStyle w:val="Hyperlink"/>
          </w:rPr>
          <w:t>Contents of Application</w:t>
        </w:r>
        <w:r>
          <w:rPr>
            <w:webHidden/>
          </w:rPr>
          <w:tab/>
        </w:r>
        <w:r>
          <w:rPr>
            <w:webHidden/>
          </w:rPr>
          <w:fldChar w:fldCharType="begin"/>
        </w:r>
        <w:r>
          <w:rPr>
            <w:webHidden/>
          </w:rPr>
          <w:instrText xml:space="preserve"> PAGEREF _Toc224818708 \h </w:instrText>
        </w:r>
        <w:r>
          <w:rPr>
            <w:webHidden/>
          </w:rPr>
        </w:r>
        <w:r>
          <w:rPr>
            <w:webHidden/>
          </w:rPr>
          <w:fldChar w:fldCharType="separate"/>
        </w:r>
        <w:r w:rsidR="00AA17AB">
          <w:rPr>
            <w:webHidden/>
          </w:rPr>
          <w:t>88</w:t>
        </w:r>
        <w:r>
          <w:rPr>
            <w:webHidden/>
          </w:rPr>
          <w:fldChar w:fldCharType="end"/>
        </w:r>
      </w:hyperlink>
    </w:p>
    <w:p w14:paraId="4E536AE4" w14:textId="7D13024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09" w:history="1">
        <w:r w:rsidRPr="00FC437C">
          <w:rPr>
            <w:rStyle w:val="Hyperlink"/>
          </w:rPr>
          <w:t>§2309.</w:t>
        </w:r>
        <w:r>
          <w:rPr>
            <w:rFonts w:asciiTheme="minorHAnsi" w:eastAsiaTheme="minorEastAsia" w:hAnsiTheme="minorHAnsi" w:cstheme="minorBidi"/>
            <w:color w:val="auto"/>
            <w:kern w:val="2"/>
            <w:szCs w:val="24"/>
            <w14:ligatures w14:val="standardContextual"/>
          </w:rPr>
          <w:tab/>
        </w:r>
        <w:r w:rsidRPr="00FC437C">
          <w:rPr>
            <w:rStyle w:val="Hyperlink"/>
          </w:rPr>
          <w:t>Approval of Application</w:t>
        </w:r>
        <w:r>
          <w:rPr>
            <w:webHidden/>
          </w:rPr>
          <w:tab/>
        </w:r>
        <w:r>
          <w:rPr>
            <w:webHidden/>
          </w:rPr>
          <w:fldChar w:fldCharType="begin"/>
        </w:r>
        <w:r>
          <w:rPr>
            <w:webHidden/>
          </w:rPr>
          <w:instrText xml:space="preserve"> PAGEREF _Toc224818709 \h </w:instrText>
        </w:r>
        <w:r>
          <w:rPr>
            <w:webHidden/>
          </w:rPr>
        </w:r>
        <w:r>
          <w:rPr>
            <w:webHidden/>
          </w:rPr>
          <w:fldChar w:fldCharType="separate"/>
        </w:r>
        <w:r w:rsidR="00AA17AB">
          <w:rPr>
            <w:webHidden/>
          </w:rPr>
          <w:t>88</w:t>
        </w:r>
        <w:r>
          <w:rPr>
            <w:webHidden/>
          </w:rPr>
          <w:fldChar w:fldCharType="end"/>
        </w:r>
      </w:hyperlink>
    </w:p>
    <w:p w14:paraId="7138828B" w14:textId="33360536" w:rsidR="00E67799" w:rsidRDefault="00E67799">
      <w:pPr>
        <w:pStyle w:val="TOC2"/>
        <w:rPr>
          <w:rFonts w:asciiTheme="minorHAnsi" w:eastAsiaTheme="minorEastAsia" w:hAnsiTheme="minorHAnsi" w:cstheme="minorBidi"/>
          <w:kern w:val="2"/>
          <w:szCs w:val="24"/>
          <w14:ligatures w14:val="standardContextual"/>
        </w:rPr>
      </w:pPr>
      <w:hyperlink w:anchor="_Toc224818710" w:history="1">
        <w:r w:rsidRPr="00FC437C">
          <w:rPr>
            <w:rStyle w:val="Hyperlink"/>
          </w:rPr>
          <w:t>Chapter 25.</w:t>
        </w:r>
        <w:r>
          <w:rPr>
            <w:rFonts w:asciiTheme="minorHAnsi" w:eastAsiaTheme="minorEastAsia" w:hAnsiTheme="minorHAnsi" w:cstheme="minorBidi"/>
            <w:kern w:val="2"/>
            <w:szCs w:val="24"/>
            <w14:ligatures w14:val="standardContextual"/>
          </w:rPr>
          <w:tab/>
        </w:r>
        <w:r w:rsidRPr="00FC437C">
          <w:rPr>
            <w:rStyle w:val="Hyperlink"/>
          </w:rPr>
          <w:t>Louisiana Crawfish Promotion and Research Program</w:t>
        </w:r>
        <w:r>
          <w:rPr>
            <w:webHidden/>
          </w:rPr>
          <w:tab/>
        </w:r>
        <w:r>
          <w:rPr>
            <w:webHidden/>
          </w:rPr>
          <w:fldChar w:fldCharType="begin"/>
        </w:r>
        <w:r>
          <w:rPr>
            <w:webHidden/>
          </w:rPr>
          <w:instrText xml:space="preserve"> PAGEREF _Toc224818710 \h </w:instrText>
        </w:r>
        <w:r>
          <w:rPr>
            <w:webHidden/>
          </w:rPr>
        </w:r>
        <w:r>
          <w:rPr>
            <w:webHidden/>
          </w:rPr>
          <w:fldChar w:fldCharType="separate"/>
        </w:r>
        <w:r w:rsidR="00AA17AB">
          <w:rPr>
            <w:webHidden/>
          </w:rPr>
          <w:t>89</w:t>
        </w:r>
        <w:r>
          <w:rPr>
            <w:webHidden/>
          </w:rPr>
          <w:fldChar w:fldCharType="end"/>
        </w:r>
      </w:hyperlink>
    </w:p>
    <w:p w14:paraId="1FF506E8" w14:textId="5BE91E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1" w:history="1">
        <w:r w:rsidRPr="00FC437C">
          <w:rPr>
            <w:rStyle w:val="Hyperlink"/>
          </w:rPr>
          <w:t>§2501.</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Crawfish Promotion and Research Board</w:t>
        </w:r>
        <w:r>
          <w:rPr>
            <w:webHidden/>
          </w:rPr>
          <w:tab/>
        </w:r>
        <w:r>
          <w:rPr>
            <w:webHidden/>
          </w:rPr>
          <w:fldChar w:fldCharType="begin"/>
        </w:r>
        <w:r>
          <w:rPr>
            <w:webHidden/>
          </w:rPr>
          <w:instrText xml:space="preserve"> PAGEREF _Toc224818711 \h </w:instrText>
        </w:r>
        <w:r>
          <w:rPr>
            <w:webHidden/>
          </w:rPr>
        </w:r>
        <w:r>
          <w:rPr>
            <w:webHidden/>
          </w:rPr>
          <w:fldChar w:fldCharType="separate"/>
        </w:r>
        <w:r w:rsidR="00AA17AB">
          <w:rPr>
            <w:webHidden/>
          </w:rPr>
          <w:t>89</w:t>
        </w:r>
        <w:r>
          <w:rPr>
            <w:webHidden/>
          </w:rPr>
          <w:fldChar w:fldCharType="end"/>
        </w:r>
      </w:hyperlink>
    </w:p>
    <w:p w14:paraId="1616C83A" w14:textId="27B25D2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2" w:history="1">
        <w:r w:rsidRPr="00FC437C">
          <w:rPr>
            <w:rStyle w:val="Hyperlink"/>
          </w:rPr>
          <w:t>§2503.</w:t>
        </w:r>
        <w:r>
          <w:rPr>
            <w:rFonts w:asciiTheme="minorHAnsi" w:eastAsiaTheme="minorEastAsia" w:hAnsiTheme="minorHAnsi" w:cstheme="minorBidi"/>
            <w:color w:val="auto"/>
            <w:kern w:val="2"/>
            <w:szCs w:val="24"/>
            <w14:ligatures w14:val="standardContextual"/>
          </w:rPr>
          <w:tab/>
        </w:r>
        <w:r w:rsidRPr="00FC437C">
          <w:rPr>
            <w:rStyle w:val="Hyperlink"/>
          </w:rPr>
          <w:t>Disbursement and Withdrawal of Funds</w:t>
        </w:r>
        <w:r>
          <w:rPr>
            <w:webHidden/>
          </w:rPr>
          <w:tab/>
        </w:r>
        <w:r>
          <w:rPr>
            <w:webHidden/>
          </w:rPr>
          <w:fldChar w:fldCharType="begin"/>
        </w:r>
        <w:r>
          <w:rPr>
            <w:webHidden/>
          </w:rPr>
          <w:instrText xml:space="preserve"> PAGEREF _Toc224818712 \h </w:instrText>
        </w:r>
        <w:r>
          <w:rPr>
            <w:webHidden/>
          </w:rPr>
        </w:r>
        <w:r>
          <w:rPr>
            <w:webHidden/>
          </w:rPr>
          <w:fldChar w:fldCharType="separate"/>
        </w:r>
        <w:r w:rsidR="00AA17AB">
          <w:rPr>
            <w:webHidden/>
          </w:rPr>
          <w:t>89</w:t>
        </w:r>
        <w:r>
          <w:rPr>
            <w:webHidden/>
          </w:rPr>
          <w:fldChar w:fldCharType="end"/>
        </w:r>
      </w:hyperlink>
    </w:p>
    <w:p w14:paraId="030C19AA" w14:textId="1581EB1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3" w:history="1">
        <w:r w:rsidRPr="00FC437C">
          <w:rPr>
            <w:rStyle w:val="Hyperlink"/>
          </w:rPr>
          <w:t>§2505.</w:t>
        </w:r>
        <w:r>
          <w:rPr>
            <w:rFonts w:asciiTheme="minorHAnsi" w:eastAsiaTheme="minorEastAsia" w:hAnsiTheme="minorHAnsi" w:cstheme="minorBidi"/>
            <w:color w:val="auto"/>
            <w:kern w:val="2"/>
            <w:szCs w:val="24"/>
            <w14:ligatures w14:val="standardContextual"/>
          </w:rPr>
          <w:tab/>
        </w:r>
        <w:r w:rsidRPr="00FC437C">
          <w:rPr>
            <w:rStyle w:val="Hyperlink"/>
          </w:rPr>
          <w:t>Contracts and Grants</w:t>
        </w:r>
        <w:r>
          <w:rPr>
            <w:webHidden/>
          </w:rPr>
          <w:tab/>
        </w:r>
        <w:r>
          <w:rPr>
            <w:webHidden/>
          </w:rPr>
          <w:fldChar w:fldCharType="begin"/>
        </w:r>
        <w:r>
          <w:rPr>
            <w:webHidden/>
          </w:rPr>
          <w:instrText xml:space="preserve"> PAGEREF _Toc224818713 \h </w:instrText>
        </w:r>
        <w:r>
          <w:rPr>
            <w:webHidden/>
          </w:rPr>
        </w:r>
        <w:r>
          <w:rPr>
            <w:webHidden/>
          </w:rPr>
          <w:fldChar w:fldCharType="separate"/>
        </w:r>
        <w:r w:rsidR="00AA17AB">
          <w:rPr>
            <w:webHidden/>
          </w:rPr>
          <w:t>89</w:t>
        </w:r>
        <w:r>
          <w:rPr>
            <w:webHidden/>
          </w:rPr>
          <w:fldChar w:fldCharType="end"/>
        </w:r>
      </w:hyperlink>
    </w:p>
    <w:p w14:paraId="024131E7" w14:textId="0FB70BCF" w:rsidR="00E67799" w:rsidRDefault="00E67799">
      <w:pPr>
        <w:pStyle w:val="TOC2"/>
        <w:rPr>
          <w:rFonts w:asciiTheme="minorHAnsi" w:eastAsiaTheme="minorEastAsia" w:hAnsiTheme="minorHAnsi" w:cstheme="minorBidi"/>
          <w:kern w:val="2"/>
          <w:szCs w:val="24"/>
          <w14:ligatures w14:val="standardContextual"/>
        </w:rPr>
      </w:pPr>
      <w:hyperlink w:anchor="_Toc224818714" w:history="1">
        <w:r w:rsidRPr="00FC437C">
          <w:rPr>
            <w:rStyle w:val="Hyperlink"/>
          </w:rPr>
          <w:t>Chapter 27.</w:t>
        </w:r>
        <w:r>
          <w:rPr>
            <w:rFonts w:asciiTheme="minorHAnsi" w:eastAsiaTheme="minorEastAsia" w:hAnsiTheme="minorHAnsi" w:cstheme="minorBidi"/>
            <w:kern w:val="2"/>
            <w:szCs w:val="24"/>
            <w14:ligatures w14:val="standardContextual"/>
          </w:rPr>
          <w:tab/>
        </w:r>
        <w:r w:rsidRPr="00FC437C">
          <w:rPr>
            <w:rStyle w:val="Hyperlink"/>
          </w:rPr>
          <w:t>Beef Promotion and Research Program</w:t>
        </w:r>
        <w:r>
          <w:rPr>
            <w:webHidden/>
          </w:rPr>
          <w:tab/>
        </w:r>
        <w:r>
          <w:rPr>
            <w:webHidden/>
          </w:rPr>
          <w:fldChar w:fldCharType="begin"/>
        </w:r>
        <w:r>
          <w:rPr>
            <w:webHidden/>
          </w:rPr>
          <w:instrText xml:space="preserve"> PAGEREF _Toc224818714 \h </w:instrText>
        </w:r>
        <w:r>
          <w:rPr>
            <w:webHidden/>
          </w:rPr>
        </w:r>
        <w:r>
          <w:rPr>
            <w:webHidden/>
          </w:rPr>
          <w:fldChar w:fldCharType="separate"/>
        </w:r>
        <w:r w:rsidR="00AA17AB">
          <w:rPr>
            <w:webHidden/>
          </w:rPr>
          <w:t>89</w:t>
        </w:r>
        <w:r>
          <w:rPr>
            <w:webHidden/>
          </w:rPr>
          <w:fldChar w:fldCharType="end"/>
        </w:r>
      </w:hyperlink>
    </w:p>
    <w:p w14:paraId="1A2425AB" w14:textId="2522759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5" w:history="1">
        <w:r w:rsidRPr="00FC437C">
          <w:rPr>
            <w:rStyle w:val="Hyperlink"/>
          </w:rPr>
          <w:t>§2701.</w:t>
        </w:r>
        <w:r>
          <w:rPr>
            <w:rFonts w:asciiTheme="minorHAnsi" w:eastAsiaTheme="minorEastAsia" w:hAnsiTheme="minorHAnsi" w:cstheme="minorBidi"/>
            <w:color w:val="auto"/>
            <w:kern w:val="2"/>
            <w:szCs w:val="24"/>
            <w14:ligatures w14:val="standardContextual"/>
          </w:rPr>
          <w:tab/>
        </w:r>
        <w:r w:rsidRPr="00FC437C">
          <w:rPr>
            <w:rStyle w:val="Hyperlink"/>
          </w:rPr>
          <w:t>Purpose</w:t>
        </w:r>
        <w:r>
          <w:rPr>
            <w:webHidden/>
          </w:rPr>
          <w:tab/>
        </w:r>
        <w:r>
          <w:rPr>
            <w:webHidden/>
          </w:rPr>
          <w:fldChar w:fldCharType="begin"/>
        </w:r>
        <w:r>
          <w:rPr>
            <w:webHidden/>
          </w:rPr>
          <w:instrText xml:space="preserve"> PAGEREF _Toc224818715 \h </w:instrText>
        </w:r>
        <w:r>
          <w:rPr>
            <w:webHidden/>
          </w:rPr>
        </w:r>
        <w:r>
          <w:rPr>
            <w:webHidden/>
          </w:rPr>
          <w:fldChar w:fldCharType="separate"/>
        </w:r>
        <w:r w:rsidR="00AA17AB">
          <w:rPr>
            <w:webHidden/>
          </w:rPr>
          <w:t>89</w:t>
        </w:r>
        <w:r>
          <w:rPr>
            <w:webHidden/>
          </w:rPr>
          <w:fldChar w:fldCharType="end"/>
        </w:r>
      </w:hyperlink>
    </w:p>
    <w:p w14:paraId="77C5C4D0" w14:textId="3E67FE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6" w:history="1">
        <w:r w:rsidRPr="00FC437C">
          <w:rPr>
            <w:rStyle w:val="Hyperlink"/>
          </w:rPr>
          <w:t>§2703.</w:t>
        </w:r>
        <w:r>
          <w:rPr>
            <w:rFonts w:asciiTheme="minorHAnsi" w:eastAsiaTheme="minorEastAsia" w:hAnsiTheme="minorHAnsi" w:cstheme="minorBidi"/>
            <w:color w:val="auto"/>
            <w:kern w:val="2"/>
            <w:szCs w:val="24"/>
            <w14:ligatures w14:val="standardContextual"/>
          </w:rPr>
          <w:tab/>
        </w:r>
        <w:r w:rsidRPr="00FC437C">
          <w:rPr>
            <w:rStyle w:val="Hyperlink"/>
          </w:rPr>
          <w:t>Powers and Duties of the Council; Quorum</w:t>
        </w:r>
        <w:r>
          <w:rPr>
            <w:webHidden/>
          </w:rPr>
          <w:tab/>
        </w:r>
        <w:r>
          <w:rPr>
            <w:webHidden/>
          </w:rPr>
          <w:fldChar w:fldCharType="begin"/>
        </w:r>
        <w:r>
          <w:rPr>
            <w:webHidden/>
          </w:rPr>
          <w:instrText xml:space="preserve"> PAGEREF _Toc224818716 \h </w:instrText>
        </w:r>
        <w:r>
          <w:rPr>
            <w:webHidden/>
          </w:rPr>
        </w:r>
        <w:r>
          <w:rPr>
            <w:webHidden/>
          </w:rPr>
          <w:fldChar w:fldCharType="separate"/>
        </w:r>
        <w:r w:rsidR="00AA17AB">
          <w:rPr>
            <w:webHidden/>
          </w:rPr>
          <w:t>89</w:t>
        </w:r>
        <w:r>
          <w:rPr>
            <w:webHidden/>
          </w:rPr>
          <w:fldChar w:fldCharType="end"/>
        </w:r>
      </w:hyperlink>
    </w:p>
    <w:p w14:paraId="791C64E0" w14:textId="5F7414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7" w:history="1">
        <w:r w:rsidRPr="00FC437C">
          <w:rPr>
            <w:rStyle w:val="Hyperlink"/>
          </w:rPr>
          <w:t>§2705.</w:t>
        </w:r>
        <w:r>
          <w:rPr>
            <w:rFonts w:asciiTheme="minorHAnsi" w:eastAsiaTheme="minorEastAsia" w:hAnsiTheme="minorHAnsi" w:cstheme="minorBidi"/>
            <w:color w:val="auto"/>
            <w:kern w:val="2"/>
            <w:szCs w:val="24"/>
            <w14:ligatures w14:val="standardContextual"/>
          </w:rPr>
          <w:tab/>
        </w:r>
        <w:r w:rsidRPr="00FC437C">
          <w:rPr>
            <w:rStyle w:val="Hyperlink"/>
          </w:rPr>
          <w:t>Use of Funds</w:t>
        </w:r>
        <w:r>
          <w:rPr>
            <w:webHidden/>
          </w:rPr>
          <w:tab/>
        </w:r>
        <w:r>
          <w:rPr>
            <w:webHidden/>
          </w:rPr>
          <w:fldChar w:fldCharType="begin"/>
        </w:r>
        <w:r>
          <w:rPr>
            <w:webHidden/>
          </w:rPr>
          <w:instrText xml:space="preserve"> PAGEREF _Toc224818717 \h </w:instrText>
        </w:r>
        <w:r>
          <w:rPr>
            <w:webHidden/>
          </w:rPr>
        </w:r>
        <w:r>
          <w:rPr>
            <w:webHidden/>
          </w:rPr>
          <w:fldChar w:fldCharType="separate"/>
        </w:r>
        <w:r w:rsidR="00AA17AB">
          <w:rPr>
            <w:webHidden/>
          </w:rPr>
          <w:t>90</w:t>
        </w:r>
        <w:r>
          <w:rPr>
            <w:webHidden/>
          </w:rPr>
          <w:fldChar w:fldCharType="end"/>
        </w:r>
      </w:hyperlink>
    </w:p>
    <w:p w14:paraId="5156E32E" w14:textId="06C95D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18" w:history="1">
        <w:r w:rsidRPr="00FC437C">
          <w:rPr>
            <w:rStyle w:val="Hyperlink"/>
          </w:rPr>
          <w:t>§2707.</w:t>
        </w:r>
        <w:r>
          <w:rPr>
            <w:rFonts w:asciiTheme="minorHAnsi" w:eastAsiaTheme="minorEastAsia" w:hAnsiTheme="minorHAnsi" w:cstheme="minorBidi"/>
            <w:color w:val="auto"/>
            <w:kern w:val="2"/>
            <w:szCs w:val="24"/>
            <w14:ligatures w14:val="standardContextual"/>
          </w:rPr>
          <w:tab/>
        </w:r>
        <w:r w:rsidRPr="00FC437C">
          <w:rPr>
            <w:rStyle w:val="Hyperlink"/>
          </w:rPr>
          <w:t>Additional Powers of Council</w:t>
        </w:r>
        <w:r>
          <w:rPr>
            <w:webHidden/>
          </w:rPr>
          <w:tab/>
        </w:r>
        <w:r>
          <w:rPr>
            <w:webHidden/>
          </w:rPr>
          <w:fldChar w:fldCharType="begin"/>
        </w:r>
        <w:r>
          <w:rPr>
            <w:webHidden/>
          </w:rPr>
          <w:instrText xml:space="preserve"> PAGEREF _Toc224818718 \h </w:instrText>
        </w:r>
        <w:r>
          <w:rPr>
            <w:webHidden/>
          </w:rPr>
        </w:r>
        <w:r>
          <w:rPr>
            <w:webHidden/>
          </w:rPr>
          <w:fldChar w:fldCharType="separate"/>
        </w:r>
        <w:r w:rsidR="00AA17AB">
          <w:rPr>
            <w:webHidden/>
          </w:rPr>
          <w:t>90</w:t>
        </w:r>
        <w:r>
          <w:rPr>
            <w:webHidden/>
          </w:rPr>
          <w:fldChar w:fldCharType="end"/>
        </w:r>
      </w:hyperlink>
    </w:p>
    <w:p w14:paraId="0D5634A7" w14:textId="6FA22813" w:rsidR="00E67799" w:rsidRDefault="00E67799">
      <w:pPr>
        <w:pStyle w:val="TOC2"/>
        <w:rPr>
          <w:rFonts w:asciiTheme="minorHAnsi" w:eastAsiaTheme="minorEastAsia" w:hAnsiTheme="minorHAnsi" w:cstheme="minorBidi"/>
          <w:kern w:val="2"/>
          <w:szCs w:val="24"/>
          <w14:ligatures w14:val="standardContextual"/>
        </w:rPr>
      </w:pPr>
      <w:hyperlink w:anchor="_Toc224818719" w:history="1">
        <w:r w:rsidRPr="00FC437C">
          <w:rPr>
            <w:rStyle w:val="Hyperlink"/>
          </w:rPr>
          <w:t>Chapter 29.</w:t>
        </w:r>
        <w:r>
          <w:rPr>
            <w:rFonts w:asciiTheme="minorHAnsi" w:eastAsiaTheme="minorEastAsia" w:hAnsiTheme="minorHAnsi" w:cstheme="minorBidi"/>
            <w:kern w:val="2"/>
            <w:szCs w:val="24"/>
            <w14:ligatures w14:val="standardContextual"/>
          </w:rPr>
          <w:tab/>
        </w:r>
        <w:r w:rsidRPr="00FC437C">
          <w:rPr>
            <w:rStyle w:val="Hyperlink"/>
          </w:rPr>
          <w:t>Logos for State Products</w:t>
        </w:r>
        <w:r>
          <w:rPr>
            <w:webHidden/>
          </w:rPr>
          <w:tab/>
        </w:r>
        <w:r>
          <w:rPr>
            <w:webHidden/>
          </w:rPr>
          <w:fldChar w:fldCharType="begin"/>
        </w:r>
        <w:r>
          <w:rPr>
            <w:webHidden/>
          </w:rPr>
          <w:instrText xml:space="preserve"> PAGEREF _Toc224818719 \h </w:instrText>
        </w:r>
        <w:r>
          <w:rPr>
            <w:webHidden/>
          </w:rPr>
        </w:r>
        <w:r>
          <w:rPr>
            <w:webHidden/>
          </w:rPr>
          <w:fldChar w:fldCharType="separate"/>
        </w:r>
        <w:r w:rsidR="00AA17AB">
          <w:rPr>
            <w:webHidden/>
          </w:rPr>
          <w:t>90</w:t>
        </w:r>
        <w:r>
          <w:rPr>
            <w:webHidden/>
          </w:rPr>
          <w:fldChar w:fldCharType="end"/>
        </w:r>
      </w:hyperlink>
    </w:p>
    <w:p w14:paraId="3F2EB572" w14:textId="7C89811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0" w:history="1">
        <w:r w:rsidRPr="00FC437C">
          <w:rPr>
            <w:rStyle w:val="Hyperlink"/>
          </w:rPr>
          <w:t>§2901.</w:t>
        </w:r>
        <w:r>
          <w:rPr>
            <w:rFonts w:asciiTheme="minorHAnsi" w:eastAsiaTheme="minorEastAsia" w:hAnsiTheme="minorHAnsi" w:cstheme="minorBidi"/>
            <w:color w:val="auto"/>
            <w:kern w:val="2"/>
            <w:szCs w:val="24"/>
            <w14:ligatures w14:val="standardContextual"/>
          </w:rPr>
          <w:tab/>
        </w:r>
        <w:r w:rsidRPr="00FC437C">
          <w:rPr>
            <w:rStyle w:val="Hyperlink"/>
          </w:rPr>
          <w:t>Purpose; Definitions</w:t>
        </w:r>
        <w:r>
          <w:rPr>
            <w:webHidden/>
          </w:rPr>
          <w:tab/>
        </w:r>
        <w:r>
          <w:rPr>
            <w:webHidden/>
          </w:rPr>
          <w:fldChar w:fldCharType="begin"/>
        </w:r>
        <w:r>
          <w:rPr>
            <w:webHidden/>
          </w:rPr>
          <w:instrText xml:space="preserve"> PAGEREF _Toc224818720 \h </w:instrText>
        </w:r>
        <w:r>
          <w:rPr>
            <w:webHidden/>
          </w:rPr>
        </w:r>
        <w:r>
          <w:rPr>
            <w:webHidden/>
          </w:rPr>
          <w:fldChar w:fldCharType="separate"/>
        </w:r>
        <w:r w:rsidR="00AA17AB">
          <w:rPr>
            <w:webHidden/>
          </w:rPr>
          <w:t>90</w:t>
        </w:r>
        <w:r>
          <w:rPr>
            <w:webHidden/>
          </w:rPr>
          <w:fldChar w:fldCharType="end"/>
        </w:r>
      </w:hyperlink>
    </w:p>
    <w:p w14:paraId="7DF3BAE4" w14:textId="6D4646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1" w:history="1">
        <w:r w:rsidRPr="00FC437C">
          <w:rPr>
            <w:rStyle w:val="Hyperlink"/>
          </w:rPr>
          <w:t>§2903.</w:t>
        </w:r>
        <w:r>
          <w:rPr>
            <w:rFonts w:asciiTheme="minorHAnsi" w:eastAsiaTheme="minorEastAsia" w:hAnsiTheme="minorHAnsi" w:cstheme="minorBidi"/>
            <w:color w:val="auto"/>
            <w:kern w:val="2"/>
            <w:szCs w:val="24"/>
            <w14:ligatures w14:val="standardContextual"/>
          </w:rPr>
          <w:tab/>
        </w:r>
        <w:r w:rsidRPr="00FC437C">
          <w:rPr>
            <w:rStyle w:val="Hyperlink"/>
          </w:rPr>
          <w:t>Eligibility</w:t>
        </w:r>
        <w:r>
          <w:rPr>
            <w:webHidden/>
          </w:rPr>
          <w:tab/>
        </w:r>
        <w:r>
          <w:rPr>
            <w:webHidden/>
          </w:rPr>
          <w:fldChar w:fldCharType="begin"/>
        </w:r>
        <w:r>
          <w:rPr>
            <w:webHidden/>
          </w:rPr>
          <w:instrText xml:space="preserve"> PAGEREF _Toc224818721 \h </w:instrText>
        </w:r>
        <w:r>
          <w:rPr>
            <w:webHidden/>
          </w:rPr>
        </w:r>
        <w:r>
          <w:rPr>
            <w:webHidden/>
          </w:rPr>
          <w:fldChar w:fldCharType="separate"/>
        </w:r>
        <w:r w:rsidR="00AA17AB">
          <w:rPr>
            <w:webHidden/>
          </w:rPr>
          <w:t>90</w:t>
        </w:r>
        <w:r>
          <w:rPr>
            <w:webHidden/>
          </w:rPr>
          <w:fldChar w:fldCharType="end"/>
        </w:r>
      </w:hyperlink>
    </w:p>
    <w:p w14:paraId="0A55ACED" w14:textId="28BEA4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2" w:history="1">
        <w:r w:rsidRPr="00FC437C">
          <w:rPr>
            <w:rStyle w:val="Hyperlink"/>
          </w:rPr>
          <w:t>§2905.</w:t>
        </w:r>
        <w:r>
          <w:rPr>
            <w:rFonts w:asciiTheme="minorHAnsi" w:eastAsiaTheme="minorEastAsia" w:hAnsiTheme="minorHAnsi" w:cstheme="minorBidi"/>
            <w:color w:val="auto"/>
            <w:kern w:val="2"/>
            <w:szCs w:val="24"/>
            <w14:ligatures w14:val="standardContextual"/>
          </w:rPr>
          <w:tab/>
        </w:r>
        <w:r w:rsidRPr="00FC437C">
          <w:rPr>
            <w:rStyle w:val="Hyperlink"/>
          </w:rPr>
          <w:t>Application Process and Product Verification</w:t>
        </w:r>
        <w:r>
          <w:rPr>
            <w:webHidden/>
          </w:rPr>
          <w:tab/>
        </w:r>
        <w:r>
          <w:rPr>
            <w:webHidden/>
          </w:rPr>
          <w:fldChar w:fldCharType="begin"/>
        </w:r>
        <w:r>
          <w:rPr>
            <w:webHidden/>
          </w:rPr>
          <w:instrText xml:space="preserve"> PAGEREF _Toc224818722 \h </w:instrText>
        </w:r>
        <w:r>
          <w:rPr>
            <w:webHidden/>
          </w:rPr>
        </w:r>
        <w:r>
          <w:rPr>
            <w:webHidden/>
          </w:rPr>
          <w:fldChar w:fldCharType="separate"/>
        </w:r>
        <w:r w:rsidR="00AA17AB">
          <w:rPr>
            <w:webHidden/>
          </w:rPr>
          <w:t>91</w:t>
        </w:r>
        <w:r>
          <w:rPr>
            <w:webHidden/>
          </w:rPr>
          <w:fldChar w:fldCharType="end"/>
        </w:r>
      </w:hyperlink>
    </w:p>
    <w:p w14:paraId="13D7A963" w14:textId="3CD9C27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3" w:history="1">
        <w:r w:rsidRPr="00FC437C">
          <w:rPr>
            <w:rStyle w:val="Hyperlink"/>
          </w:rPr>
          <w:t>§2907.</w:t>
        </w:r>
        <w:r>
          <w:rPr>
            <w:rFonts w:asciiTheme="minorHAnsi" w:eastAsiaTheme="minorEastAsia" w:hAnsiTheme="minorHAnsi" w:cstheme="minorBidi"/>
            <w:color w:val="auto"/>
            <w:kern w:val="2"/>
            <w:szCs w:val="24"/>
            <w14:ligatures w14:val="standardContextual"/>
          </w:rPr>
          <w:tab/>
        </w:r>
        <w:r w:rsidRPr="00FC437C">
          <w:rPr>
            <w:rStyle w:val="Hyperlink"/>
          </w:rPr>
          <w:t>Denial of Registration</w:t>
        </w:r>
        <w:r>
          <w:rPr>
            <w:webHidden/>
          </w:rPr>
          <w:tab/>
        </w:r>
        <w:r>
          <w:rPr>
            <w:webHidden/>
          </w:rPr>
          <w:fldChar w:fldCharType="begin"/>
        </w:r>
        <w:r>
          <w:rPr>
            <w:webHidden/>
          </w:rPr>
          <w:instrText xml:space="preserve"> PAGEREF _Toc224818723 \h </w:instrText>
        </w:r>
        <w:r>
          <w:rPr>
            <w:webHidden/>
          </w:rPr>
        </w:r>
        <w:r>
          <w:rPr>
            <w:webHidden/>
          </w:rPr>
          <w:fldChar w:fldCharType="separate"/>
        </w:r>
        <w:r w:rsidR="00AA17AB">
          <w:rPr>
            <w:webHidden/>
          </w:rPr>
          <w:t>91</w:t>
        </w:r>
        <w:r>
          <w:rPr>
            <w:webHidden/>
          </w:rPr>
          <w:fldChar w:fldCharType="end"/>
        </w:r>
      </w:hyperlink>
    </w:p>
    <w:p w14:paraId="5389F1A9" w14:textId="566955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4" w:history="1">
        <w:r w:rsidRPr="00FC437C">
          <w:rPr>
            <w:rStyle w:val="Hyperlink"/>
          </w:rPr>
          <w:t>§2909.</w:t>
        </w:r>
        <w:r>
          <w:rPr>
            <w:rFonts w:asciiTheme="minorHAnsi" w:eastAsiaTheme="minorEastAsia" w:hAnsiTheme="minorHAnsi" w:cstheme="minorBidi"/>
            <w:color w:val="auto"/>
            <w:kern w:val="2"/>
            <w:szCs w:val="24"/>
            <w14:ligatures w14:val="standardContextual"/>
          </w:rPr>
          <w:tab/>
        </w:r>
        <w:r w:rsidRPr="00FC437C">
          <w:rPr>
            <w:rStyle w:val="Hyperlink"/>
          </w:rPr>
          <w:t>Renewal of Registration</w:t>
        </w:r>
        <w:r>
          <w:rPr>
            <w:webHidden/>
          </w:rPr>
          <w:tab/>
        </w:r>
        <w:r>
          <w:rPr>
            <w:webHidden/>
          </w:rPr>
          <w:fldChar w:fldCharType="begin"/>
        </w:r>
        <w:r>
          <w:rPr>
            <w:webHidden/>
          </w:rPr>
          <w:instrText xml:space="preserve"> PAGEREF _Toc224818724 \h </w:instrText>
        </w:r>
        <w:r>
          <w:rPr>
            <w:webHidden/>
          </w:rPr>
        </w:r>
        <w:r>
          <w:rPr>
            <w:webHidden/>
          </w:rPr>
          <w:fldChar w:fldCharType="separate"/>
        </w:r>
        <w:r w:rsidR="00AA17AB">
          <w:rPr>
            <w:webHidden/>
          </w:rPr>
          <w:t>91</w:t>
        </w:r>
        <w:r>
          <w:rPr>
            <w:webHidden/>
          </w:rPr>
          <w:fldChar w:fldCharType="end"/>
        </w:r>
      </w:hyperlink>
    </w:p>
    <w:p w14:paraId="6E08D129" w14:textId="066BDE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5" w:history="1">
        <w:r w:rsidRPr="00FC437C">
          <w:rPr>
            <w:rStyle w:val="Hyperlink"/>
          </w:rPr>
          <w:t>§2911.</w:t>
        </w:r>
        <w:r>
          <w:rPr>
            <w:rFonts w:asciiTheme="minorHAnsi" w:eastAsiaTheme="minorEastAsia" w:hAnsiTheme="minorHAnsi" w:cstheme="minorBidi"/>
            <w:color w:val="auto"/>
            <w:kern w:val="2"/>
            <w:szCs w:val="24"/>
            <w14:ligatures w14:val="standardContextual"/>
          </w:rPr>
          <w:tab/>
        </w:r>
        <w:r w:rsidRPr="00FC437C">
          <w:rPr>
            <w:rStyle w:val="Hyperlink"/>
          </w:rPr>
          <w:t>Use of Logo</w:t>
        </w:r>
        <w:r>
          <w:rPr>
            <w:webHidden/>
          </w:rPr>
          <w:tab/>
        </w:r>
        <w:r>
          <w:rPr>
            <w:webHidden/>
          </w:rPr>
          <w:fldChar w:fldCharType="begin"/>
        </w:r>
        <w:r>
          <w:rPr>
            <w:webHidden/>
          </w:rPr>
          <w:instrText xml:space="preserve"> PAGEREF _Toc224818725 \h </w:instrText>
        </w:r>
        <w:r>
          <w:rPr>
            <w:webHidden/>
          </w:rPr>
        </w:r>
        <w:r>
          <w:rPr>
            <w:webHidden/>
          </w:rPr>
          <w:fldChar w:fldCharType="separate"/>
        </w:r>
        <w:r w:rsidR="00AA17AB">
          <w:rPr>
            <w:webHidden/>
          </w:rPr>
          <w:t>92</w:t>
        </w:r>
        <w:r>
          <w:rPr>
            <w:webHidden/>
          </w:rPr>
          <w:fldChar w:fldCharType="end"/>
        </w:r>
      </w:hyperlink>
    </w:p>
    <w:p w14:paraId="634CF9E5" w14:textId="472C961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6" w:history="1">
        <w:r w:rsidRPr="00FC437C">
          <w:rPr>
            <w:rStyle w:val="Hyperlink"/>
          </w:rPr>
          <w:t>§2913.</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_Toc224818726 \h </w:instrText>
        </w:r>
        <w:r>
          <w:rPr>
            <w:webHidden/>
          </w:rPr>
        </w:r>
        <w:r>
          <w:rPr>
            <w:webHidden/>
          </w:rPr>
          <w:fldChar w:fldCharType="separate"/>
        </w:r>
        <w:r w:rsidR="00AA17AB">
          <w:rPr>
            <w:webHidden/>
          </w:rPr>
          <w:t>92</w:t>
        </w:r>
        <w:r>
          <w:rPr>
            <w:webHidden/>
          </w:rPr>
          <w:fldChar w:fldCharType="end"/>
        </w:r>
      </w:hyperlink>
    </w:p>
    <w:p w14:paraId="1B1BA487" w14:textId="3ECF2E16" w:rsidR="00E67799" w:rsidRDefault="00E67799">
      <w:pPr>
        <w:pStyle w:val="TOC2"/>
        <w:rPr>
          <w:rFonts w:asciiTheme="minorHAnsi" w:eastAsiaTheme="minorEastAsia" w:hAnsiTheme="minorHAnsi" w:cstheme="minorBidi"/>
          <w:kern w:val="2"/>
          <w:szCs w:val="24"/>
          <w14:ligatures w14:val="standardContextual"/>
        </w:rPr>
      </w:pPr>
      <w:hyperlink w:anchor="_Toc224818727" w:history="1">
        <w:r w:rsidRPr="00FC437C">
          <w:rPr>
            <w:rStyle w:val="Hyperlink"/>
          </w:rPr>
          <w:t>Chapter 31.</w:t>
        </w:r>
        <w:r>
          <w:rPr>
            <w:rFonts w:asciiTheme="minorHAnsi" w:eastAsiaTheme="minorEastAsia" w:hAnsiTheme="minorHAnsi" w:cstheme="minorBidi"/>
            <w:kern w:val="2"/>
            <w:szCs w:val="24"/>
            <w14:ligatures w14:val="standardContextual"/>
          </w:rPr>
          <w:tab/>
        </w:r>
        <w:r w:rsidRPr="00FC437C">
          <w:rPr>
            <w:rStyle w:val="Hyperlink"/>
          </w:rPr>
          <w:t>Placing of Advertising or Sponsorship Signs on Department Assets</w:t>
        </w:r>
        <w:r>
          <w:rPr>
            <w:webHidden/>
          </w:rPr>
          <w:tab/>
        </w:r>
        <w:r>
          <w:rPr>
            <w:webHidden/>
          </w:rPr>
          <w:fldChar w:fldCharType="begin"/>
        </w:r>
        <w:r>
          <w:rPr>
            <w:webHidden/>
          </w:rPr>
          <w:instrText xml:space="preserve"> PAGEREF _Toc224818727 \h </w:instrText>
        </w:r>
        <w:r>
          <w:rPr>
            <w:webHidden/>
          </w:rPr>
        </w:r>
        <w:r>
          <w:rPr>
            <w:webHidden/>
          </w:rPr>
          <w:fldChar w:fldCharType="separate"/>
        </w:r>
        <w:r w:rsidR="00AA17AB">
          <w:rPr>
            <w:webHidden/>
          </w:rPr>
          <w:t>92</w:t>
        </w:r>
        <w:r>
          <w:rPr>
            <w:webHidden/>
          </w:rPr>
          <w:fldChar w:fldCharType="end"/>
        </w:r>
      </w:hyperlink>
    </w:p>
    <w:p w14:paraId="0E839CD2" w14:textId="6ACDA73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28" w:history="1">
        <w:r w:rsidRPr="00FC437C">
          <w:rPr>
            <w:rStyle w:val="Hyperlink"/>
          </w:rPr>
          <w:t>§3101.</w:t>
        </w:r>
        <w:r>
          <w:rPr>
            <w:rFonts w:asciiTheme="minorHAnsi" w:eastAsiaTheme="minorEastAsia" w:hAnsiTheme="minorHAnsi" w:cstheme="minorBidi"/>
            <w:color w:val="auto"/>
            <w:kern w:val="2"/>
            <w:szCs w:val="24"/>
            <w14:ligatures w14:val="standardContextual"/>
          </w:rPr>
          <w:tab/>
        </w:r>
        <w:r w:rsidRPr="00FC437C">
          <w:rPr>
            <w:rStyle w:val="Hyperlink"/>
          </w:rPr>
          <w:t>Advertising or Sponsorship Signs on Department Assets</w:t>
        </w:r>
        <w:r>
          <w:rPr>
            <w:webHidden/>
          </w:rPr>
          <w:tab/>
        </w:r>
        <w:r>
          <w:rPr>
            <w:webHidden/>
          </w:rPr>
          <w:fldChar w:fldCharType="begin"/>
        </w:r>
        <w:r>
          <w:rPr>
            <w:webHidden/>
          </w:rPr>
          <w:instrText xml:space="preserve"> PAGEREF _Toc224818728 \h </w:instrText>
        </w:r>
        <w:r>
          <w:rPr>
            <w:webHidden/>
          </w:rPr>
        </w:r>
        <w:r>
          <w:rPr>
            <w:webHidden/>
          </w:rPr>
          <w:fldChar w:fldCharType="separate"/>
        </w:r>
        <w:r w:rsidR="00AA17AB">
          <w:rPr>
            <w:webHidden/>
          </w:rPr>
          <w:t>92</w:t>
        </w:r>
        <w:r>
          <w:rPr>
            <w:webHidden/>
          </w:rPr>
          <w:fldChar w:fldCharType="end"/>
        </w:r>
      </w:hyperlink>
    </w:p>
    <w:p w14:paraId="6A23EC98" w14:textId="0CD54AE3" w:rsidR="00E67799" w:rsidRDefault="00E67799">
      <w:pPr>
        <w:pStyle w:val="TOC1"/>
        <w:rPr>
          <w:rFonts w:asciiTheme="minorHAnsi" w:hAnsiTheme="minorHAnsi" w:cstheme="minorBidi"/>
          <w:b w:val="0"/>
          <w:bCs w:val="0"/>
          <w:sz w:val="24"/>
          <w:szCs w:val="24"/>
        </w:rPr>
      </w:pPr>
      <w:hyperlink w:anchor="_Toc224818729" w:history="1">
        <w:r w:rsidRPr="00FC437C">
          <w:rPr>
            <w:rStyle w:val="Hyperlink"/>
          </w:rPr>
          <w:t>Part VII.  Dealers in Farm Products</w:t>
        </w:r>
      </w:hyperlink>
    </w:p>
    <w:p w14:paraId="7F3867EB" w14:textId="53A82441" w:rsidR="00E67799" w:rsidRDefault="00E67799">
      <w:pPr>
        <w:pStyle w:val="TOC2"/>
        <w:rPr>
          <w:rFonts w:asciiTheme="minorHAnsi" w:eastAsiaTheme="minorEastAsia" w:hAnsiTheme="minorHAnsi" w:cstheme="minorBidi"/>
          <w:kern w:val="2"/>
          <w:szCs w:val="24"/>
          <w14:ligatures w14:val="standardContextual"/>
        </w:rPr>
      </w:pPr>
      <w:hyperlink w:anchor="_Toc224818730"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Milk Buyers</w:t>
        </w:r>
        <w:r>
          <w:rPr>
            <w:webHidden/>
          </w:rPr>
          <w:tab/>
        </w:r>
        <w:r>
          <w:rPr>
            <w:webHidden/>
          </w:rPr>
          <w:fldChar w:fldCharType="begin"/>
        </w:r>
        <w:r>
          <w:rPr>
            <w:webHidden/>
          </w:rPr>
          <w:instrText xml:space="preserve"> PAGEREF _Toc224818730 \h </w:instrText>
        </w:r>
        <w:r>
          <w:rPr>
            <w:webHidden/>
          </w:rPr>
        </w:r>
        <w:r>
          <w:rPr>
            <w:webHidden/>
          </w:rPr>
          <w:fldChar w:fldCharType="separate"/>
        </w:r>
        <w:r w:rsidR="00AA17AB">
          <w:rPr>
            <w:webHidden/>
          </w:rPr>
          <w:t>95</w:t>
        </w:r>
        <w:r>
          <w:rPr>
            <w:webHidden/>
          </w:rPr>
          <w:fldChar w:fldCharType="end"/>
        </w:r>
      </w:hyperlink>
    </w:p>
    <w:p w14:paraId="31F7A75F" w14:textId="7ADF4C9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1"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_Toc224818731 \h </w:instrText>
        </w:r>
        <w:r>
          <w:rPr>
            <w:webHidden/>
          </w:rPr>
        </w:r>
        <w:r>
          <w:rPr>
            <w:webHidden/>
          </w:rPr>
          <w:fldChar w:fldCharType="separate"/>
        </w:r>
        <w:r w:rsidR="00AA17AB">
          <w:rPr>
            <w:webHidden/>
          </w:rPr>
          <w:t>95</w:t>
        </w:r>
        <w:r>
          <w:rPr>
            <w:webHidden/>
          </w:rPr>
          <w:fldChar w:fldCharType="end"/>
        </w:r>
      </w:hyperlink>
    </w:p>
    <w:p w14:paraId="04DCAAE0" w14:textId="59A2FE6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2"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Bonds and Other Securities</w:t>
        </w:r>
        <w:r>
          <w:rPr>
            <w:webHidden/>
          </w:rPr>
          <w:tab/>
        </w:r>
        <w:r>
          <w:rPr>
            <w:webHidden/>
          </w:rPr>
          <w:fldChar w:fldCharType="begin"/>
        </w:r>
        <w:r>
          <w:rPr>
            <w:webHidden/>
          </w:rPr>
          <w:instrText xml:space="preserve"> PAGEREF _Toc224818732 \h </w:instrText>
        </w:r>
        <w:r>
          <w:rPr>
            <w:webHidden/>
          </w:rPr>
        </w:r>
        <w:r>
          <w:rPr>
            <w:webHidden/>
          </w:rPr>
          <w:fldChar w:fldCharType="separate"/>
        </w:r>
        <w:r w:rsidR="00AA17AB">
          <w:rPr>
            <w:webHidden/>
          </w:rPr>
          <w:t>95</w:t>
        </w:r>
        <w:r>
          <w:rPr>
            <w:webHidden/>
          </w:rPr>
          <w:fldChar w:fldCharType="end"/>
        </w:r>
      </w:hyperlink>
    </w:p>
    <w:p w14:paraId="2094122B" w14:textId="720E75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3"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Injunctive Procedures</w:t>
        </w:r>
        <w:r>
          <w:rPr>
            <w:webHidden/>
          </w:rPr>
          <w:tab/>
        </w:r>
        <w:r>
          <w:rPr>
            <w:webHidden/>
          </w:rPr>
          <w:fldChar w:fldCharType="begin"/>
        </w:r>
        <w:r>
          <w:rPr>
            <w:webHidden/>
          </w:rPr>
          <w:instrText xml:space="preserve"> PAGEREF _Toc224818733 \h </w:instrText>
        </w:r>
        <w:r>
          <w:rPr>
            <w:webHidden/>
          </w:rPr>
        </w:r>
        <w:r>
          <w:rPr>
            <w:webHidden/>
          </w:rPr>
          <w:fldChar w:fldCharType="separate"/>
        </w:r>
        <w:r w:rsidR="00AA17AB">
          <w:rPr>
            <w:webHidden/>
          </w:rPr>
          <w:t>95</w:t>
        </w:r>
        <w:r>
          <w:rPr>
            <w:webHidden/>
          </w:rPr>
          <w:fldChar w:fldCharType="end"/>
        </w:r>
      </w:hyperlink>
    </w:p>
    <w:p w14:paraId="6B89B756" w14:textId="0303D36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4"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Authority to Promulgate Regulations and Effective Date</w:t>
        </w:r>
        <w:r>
          <w:rPr>
            <w:webHidden/>
          </w:rPr>
          <w:tab/>
        </w:r>
        <w:r>
          <w:rPr>
            <w:webHidden/>
          </w:rPr>
          <w:fldChar w:fldCharType="begin"/>
        </w:r>
        <w:r>
          <w:rPr>
            <w:webHidden/>
          </w:rPr>
          <w:instrText xml:space="preserve"> PAGEREF _Toc224818734 \h </w:instrText>
        </w:r>
        <w:r>
          <w:rPr>
            <w:webHidden/>
          </w:rPr>
        </w:r>
        <w:r>
          <w:rPr>
            <w:webHidden/>
          </w:rPr>
          <w:fldChar w:fldCharType="separate"/>
        </w:r>
        <w:r w:rsidR="00AA17AB">
          <w:rPr>
            <w:webHidden/>
          </w:rPr>
          <w:t>95</w:t>
        </w:r>
        <w:r>
          <w:rPr>
            <w:webHidden/>
          </w:rPr>
          <w:fldChar w:fldCharType="end"/>
        </w:r>
      </w:hyperlink>
    </w:p>
    <w:p w14:paraId="1D4B5588" w14:textId="6B28F2B6" w:rsidR="00E67799" w:rsidRDefault="00E67799">
      <w:pPr>
        <w:pStyle w:val="TOC1"/>
        <w:rPr>
          <w:rFonts w:asciiTheme="minorHAnsi" w:hAnsiTheme="minorHAnsi" w:cstheme="minorBidi"/>
          <w:b w:val="0"/>
          <w:bCs w:val="0"/>
          <w:sz w:val="24"/>
          <w:szCs w:val="24"/>
        </w:rPr>
      </w:pPr>
      <w:hyperlink w:anchor="_Toc224818735" w:history="1">
        <w:r w:rsidRPr="00FC437C">
          <w:rPr>
            <w:rStyle w:val="Hyperlink"/>
          </w:rPr>
          <w:t>Part IX.  Brands, Grades and Inspections―Reserved.</w:t>
        </w:r>
      </w:hyperlink>
    </w:p>
    <w:p w14:paraId="6E1CFC79" w14:textId="5F3C281E" w:rsidR="00E67799" w:rsidRDefault="00E67799">
      <w:pPr>
        <w:pStyle w:val="TOC1"/>
        <w:rPr>
          <w:rFonts w:asciiTheme="minorHAnsi" w:hAnsiTheme="minorHAnsi" w:cstheme="minorBidi"/>
          <w:b w:val="0"/>
          <w:bCs w:val="0"/>
          <w:sz w:val="24"/>
          <w:szCs w:val="24"/>
        </w:rPr>
      </w:pPr>
      <w:hyperlink w:anchor="_Toc224818736" w:history="1">
        <w:r w:rsidRPr="00FC437C">
          <w:rPr>
            <w:rStyle w:val="Hyperlink"/>
          </w:rPr>
          <w:t>Part XI.  Fertilizers</w:t>
        </w:r>
      </w:hyperlink>
    </w:p>
    <w:p w14:paraId="690EA564" w14:textId="539C5D23" w:rsidR="00E67799" w:rsidRDefault="00E67799">
      <w:pPr>
        <w:pStyle w:val="TOC2"/>
        <w:rPr>
          <w:rFonts w:asciiTheme="minorHAnsi" w:eastAsiaTheme="minorEastAsia" w:hAnsiTheme="minorHAnsi" w:cstheme="minorBidi"/>
          <w:kern w:val="2"/>
          <w:szCs w:val="24"/>
          <w14:ligatures w14:val="standardContextual"/>
        </w:rPr>
      </w:pPr>
      <w:hyperlink w:anchor="_Toc224818737"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Sale of Fertilizers</w:t>
        </w:r>
        <w:r>
          <w:rPr>
            <w:webHidden/>
          </w:rPr>
          <w:tab/>
        </w:r>
        <w:r>
          <w:rPr>
            <w:webHidden/>
          </w:rPr>
          <w:fldChar w:fldCharType="begin"/>
        </w:r>
        <w:r>
          <w:rPr>
            <w:webHidden/>
          </w:rPr>
          <w:instrText xml:space="preserve"> PAGEREF _Toc224818737 \h </w:instrText>
        </w:r>
        <w:r>
          <w:rPr>
            <w:webHidden/>
          </w:rPr>
        </w:r>
        <w:r>
          <w:rPr>
            <w:webHidden/>
          </w:rPr>
          <w:fldChar w:fldCharType="separate"/>
        </w:r>
        <w:r w:rsidR="00AA17AB">
          <w:rPr>
            <w:webHidden/>
          </w:rPr>
          <w:t>97</w:t>
        </w:r>
        <w:r>
          <w:rPr>
            <w:webHidden/>
          </w:rPr>
          <w:fldChar w:fldCharType="end"/>
        </w:r>
      </w:hyperlink>
    </w:p>
    <w:p w14:paraId="71EBDBD8" w14:textId="1D3F2D6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8"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_Toc224818738 \h </w:instrText>
        </w:r>
        <w:r>
          <w:rPr>
            <w:webHidden/>
          </w:rPr>
        </w:r>
        <w:r>
          <w:rPr>
            <w:webHidden/>
          </w:rPr>
          <w:fldChar w:fldCharType="separate"/>
        </w:r>
        <w:r w:rsidR="00AA17AB">
          <w:rPr>
            <w:webHidden/>
          </w:rPr>
          <w:t>97</w:t>
        </w:r>
        <w:r>
          <w:rPr>
            <w:webHidden/>
          </w:rPr>
          <w:fldChar w:fldCharType="end"/>
        </w:r>
      </w:hyperlink>
    </w:p>
    <w:p w14:paraId="005DEA9A" w14:textId="440693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39"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Registration Requirements</w:t>
        </w:r>
        <w:r>
          <w:rPr>
            <w:webHidden/>
          </w:rPr>
          <w:tab/>
        </w:r>
        <w:r>
          <w:rPr>
            <w:webHidden/>
          </w:rPr>
          <w:fldChar w:fldCharType="begin"/>
        </w:r>
        <w:r>
          <w:rPr>
            <w:webHidden/>
          </w:rPr>
          <w:instrText xml:space="preserve"> PAGEREF _Toc224818739 \h </w:instrText>
        </w:r>
        <w:r>
          <w:rPr>
            <w:webHidden/>
          </w:rPr>
        </w:r>
        <w:r>
          <w:rPr>
            <w:webHidden/>
          </w:rPr>
          <w:fldChar w:fldCharType="separate"/>
        </w:r>
        <w:r w:rsidR="00AA17AB">
          <w:rPr>
            <w:webHidden/>
          </w:rPr>
          <w:t>98</w:t>
        </w:r>
        <w:r>
          <w:rPr>
            <w:webHidden/>
          </w:rPr>
          <w:fldChar w:fldCharType="end"/>
        </w:r>
      </w:hyperlink>
    </w:p>
    <w:p w14:paraId="2DFDD69C" w14:textId="5AB8A3E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0"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Labeling Requirements</w:t>
        </w:r>
        <w:r>
          <w:rPr>
            <w:webHidden/>
          </w:rPr>
          <w:tab/>
        </w:r>
        <w:r>
          <w:rPr>
            <w:webHidden/>
          </w:rPr>
          <w:fldChar w:fldCharType="begin"/>
        </w:r>
        <w:r>
          <w:rPr>
            <w:webHidden/>
          </w:rPr>
          <w:instrText xml:space="preserve"> PAGEREF _Toc224818740 \h </w:instrText>
        </w:r>
        <w:r>
          <w:rPr>
            <w:webHidden/>
          </w:rPr>
        </w:r>
        <w:r>
          <w:rPr>
            <w:webHidden/>
          </w:rPr>
          <w:fldChar w:fldCharType="separate"/>
        </w:r>
        <w:r w:rsidR="00AA17AB">
          <w:rPr>
            <w:webHidden/>
          </w:rPr>
          <w:t>98</w:t>
        </w:r>
        <w:r>
          <w:rPr>
            <w:webHidden/>
          </w:rPr>
          <w:fldChar w:fldCharType="end"/>
        </w:r>
      </w:hyperlink>
    </w:p>
    <w:p w14:paraId="7E1EEF25" w14:textId="2D27F3C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1"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Required Guarantees</w:t>
        </w:r>
        <w:r>
          <w:rPr>
            <w:webHidden/>
          </w:rPr>
          <w:tab/>
        </w:r>
        <w:r>
          <w:rPr>
            <w:webHidden/>
          </w:rPr>
          <w:fldChar w:fldCharType="begin"/>
        </w:r>
        <w:r>
          <w:rPr>
            <w:webHidden/>
          </w:rPr>
          <w:instrText xml:space="preserve"> PAGEREF _Toc224818741 \h </w:instrText>
        </w:r>
        <w:r>
          <w:rPr>
            <w:webHidden/>
          </w:rPr>
        </w:r>
        <w:r>
          <w:rPr>
            <w:webHidden/>
          </w:rPr>
          <w:fldChar w:fldCharType="separate"/>
        </w:r>
        <w:r w:rsidR="00AA17AB">
          <w:rPr>
            <w:webHidden/>
          </w:rPr>
          <w:t>98</w:t>
        </w:r>
        <w:r>
          <w:rPr>
            <w:webHidden/>
          </w:rPr>
          <w:fldChar w:fldCharType="end"/>
        </w:r>
      </w:hyperlink>
    </w:p>
    <w:p w14:paraId="03C949D1" w14:textId="6DDC2D3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2"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Custom Mixed Fertilizers and Fertilizer Blends</w:t>
        </w:r>
        <w:r>
          <w:rPr>
            <w:webHidden/>
          </w:rPr>
          <w:tab/>
        </w:r>
        <w:r>
          <w:rPr>
            <w:webHidden/>
          </w:rPr>
          <w:fldChar w:fldCharType="begin"/>
        </w:r>
        <w:r>
          <w:rPr>
            <w:webHidden/>
          </w:rPr>
          <w:instrText xml:space="preserve"> PAGEREF _Toc224818742 \h </w:instrText>
        </w:r>
        <w:r>
          <w:rPr>
            <w:webHidden/>
          </w:rPr>
        </w:r>
        <w:r>
          <w:rPr>
            <w:webHidden/>
          </w:rPr>
          <w:fldChar w:fldCharType="separate"/>
        </w:r>
        <w:r w:rsidR="00AA17AB">
          <w:rPr>
            <w:webHidden/>
          </w:rPr>
          <w:t>98</w:t>
        </w:r>
        <w:r>
          <w:rPr>
            <w:webHidden/>
          </w:rPr>
          <w:fldChar w:fldCharType="end"/>
        </w:r>
      </w:hyperlink>
    </w:p>
    <w:p w14:paraId="5C2195A4" w14:textId="1C8236F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3"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Sampling Procedures</w:t>
        </w:r>
        <w:r>
          <w:rPr>
            <w:webHidden/>
          </w:rPr>
          <w:tab/>
        </w:r>
        <w:r>
          <w:rPr>
            <w:webHidden/>
          </w:rPr>
          <w:fldChar w:fldCharType="begin"/>
        </w:r>
        <w:r>
          <w:rPr>
            <w:webHidden/>
          </w:rPr>
          <w:instrText xml:space="preserve"> PAGEREF _Toc224818743 \h </w:instrText>
        </w:r>
        <w:r>
          <w:rPr>
            <w:webHidden/>
          </w:rPr>
        </w:r>
        <w:r>
          <w:rPr>
            <w:webHidden/>
          </w:rPr>
          <w:fldChar w:fldCharType="separate"/>
        </w:r>
        <w:r w:rsidR="00AA17AB">
          <w:rPr>
            <w:webHidden/>
          </w:rPr>
          <w:t>99</w:t>
        </w:r>
        <w:r>
          <w:rPr>
            <w:webHidden/>
          </w:rPr>
          <w:fldChar w:fldCharType="end"/>
        </w:r>
      </w:hyperlink>
    </w:p>
    <w:p w14:paraId="0F768FB2" w14:textId="172FACD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4"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Chemical Analysis of Fertilizer</w:t>
        </w:r>
        <w:r>
          <w:rPr>
            <w:webHidden/>
          </w:rPr>
          <w:tab/>
        </w:r>
        <w:r>
          <w:rPr>
            <w:webHidden/>
          </w:rPr>
          <w:fldChar w:fldCharType="begin"/>
        </w:r>
        <w:r>
          <w:rPr>
            <w:webHidden/>
          </w:rPr>
          <w:instrText xml:space="preserve"> PAGEREF _Toc224818744 \h </w:instrText>
        </w:r>
        <w:r>
          <w:rPr>
            <w:webHidden/>
          </w:rPr>
        </w:r>
        <w:r>
          <w:rPr>
            <w:webHidden/>
          </w:rPr>
          <w:fldChar w:fldCharType="separate"/>
        </w:r>
        <w:r w:rsidR="00AA17AB">
          <w:rPr>
            <w:webHidden/>
          </w:rPr>
          <w:t>99</w:t>
        </w:r>
        <w:r>
          <w:rPr>
            <w:webHidden/>
          </w:rPr>
          <w:fldChar w:fldCharType="end"/>
        </w:r>
      </w:hyperlink>
    </w:p>
    <w:p w14:paraId="52734E58" w14:textId="681E10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5"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Penalties; Deficiencies; Curing of Deficiencies</w:t>
        </w:r>
        <w:r>
          <w:rPr>
            <w:webHidden/>
          </w:rPr>
          <w:tab/>
        </w:r>
        <w:r>
          <w:rPr>
            <w:webHidden/>
          </w:rPr>
          <w:fldChar w:fldCharType="begin"/>
        </w:r>
        <w:r>
          <w:rPr>
            <w:webHidden/>
          </w:rPr>
          <w:instrText xml:space="preserve"> PAGEREF _Toc224818745 \h </w:instrText>
        </w:r>
        <w:r>
          <w:rPr>
            <w:webHidden/>
          </w:rPr>
        </w:r>
        <w:r>
          <w:rPr>
            <w:webHidden/>
          </w:rPr>
          <w:fldChar w:fldCharType="separate"/>
        </w:r>
        <w:r w:rsidR="00AA17AB">
          <w:rPr>
            <w:webHidden/>
          </w:rPr>
          <w:t>100</w:t>
        </w:r>
        <w:r>
          <w:rPr>
            <w:webHidden/>
          </w:rPr>
          <w:fldChar w:fldCharType="end"/>
        </w:r>
      </w:hyperlink>
    </w:p>
    <w:p w14:paraId="2C916607" w14:textId="531E109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6"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Payment of Penalties</w:t>
        </w:r>
        <w:r>
          <w:rPr>
            <w:webHidden/>
          </w:rPr>
          <w:tab/>
        </w:r>
        <w:r>
          <w:rPr>
            <w:webHidden/>
          </w:rPr>
          <w:fldChar w:fldCharType="begin"/>
        </w:r>
        <w:r>
          <w:rPr>
            <w:webHidden/>
          </w:rPr>
          <w:instrText xml:space="preserve"> PAGEREF _Toc224818746 \h </w:instrText>
        </w:r>
        <w:r>
          <w:rPr>
            <w:webHidden/>
          </w:rPr>
        </w:r>
        <w:r>
          <w:rPr>
            <w:webHidden/>
          </w:rPr>
          <w:fldChar w:fldCharType="separate"/>
        </w:r>
        <w:r w:rsidR="00AA17AB">
          <w:rPr>
            <w:webHidden/>
          </w:rPr>
          <w:t>100</w:t>
        </w:r>
        <w:r>
          <w:rPr>
            <w:webHidden/>
          </w:rPr>
          <w:fldChar w:fldCharType="end"/>
        </w:r>
      </w:hyperlink>
    </w:p>
    <w:p w14:paraId="6103EF23" w14:textId="0439FB4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7"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Recall of Deficient Fertilizer; Cancellation of Penalties upon Proof of Recall</w:t>
        </w:r>
        <w:r>
          <w:rPr>
            <w:webHidden/>
          </w:rPr>
          <w:tab/>
        </w:r>
        <w:r>
          <w:rPr>
            <w:webHidden/>
          </w:rPr>
          <w:fldChar w:fldCharType="begin"/>
        </w:r>
        <w:r>
          <w:rPr>
            <w:webHidden/>
          </w:rPr>
          <w:instrText xml:space="preserve"> PAGEREF _Toc224818747 \h </w:instrText>
        </w:r>
        <w:r>
          <w:rPr>
            <w:webHidden/>
          </w:rPr>
        </w:r>
        <w:r>
          <w:rPr>
            <w:webHidden/>
          </w:rPr>
          <w:fldChar w:fldCharType="separate"/>
        </w:r>
        <w:r w:rsidR="00AA17AB">
          <w:rPr>
            <w:webHidden/>
          </w:rPr>
          <w:t>100</w:t>
        </w:r>
        <w:r>
          <w:rPr>
            <w:webHidden/>
          </w:rPr>
          <w:fldChar w:fldCharType="end"/>
        </w:r>
      </w:hyperlink>
    </w:p>
    <w:p w14:paraId="6EF9EE53" w14:textId="238BE35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8"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Stop Sale Orders</w:t>
        </w:r>
        <w:r>
          <w:rPr>
            <w:webHidden/>
          </w:rPr>
          <w:tab/>
        </w:r>
        <w:r>
          <w:rPr>
            <w:webHidden/>
          </w:rPr>
          <w:fldChar w:fldCharType="begin"/>
        </w:r>
        <w:r>
          <w:rPr>
            <w:webHidden/>
          </w:rPr>
          <w:instrText xml:space="preserve"> PAGEREF _Toc224818748 \h </w:instrText>
        </w:r>
        <w:r>
          <w:rPr>
            <w:webHidden/>
          </w:rPr>
        </w:r>
        <w:r>
          <w:rPr>
            <w:webHidden/>
          </w:rPr>
          <w:fldChar w:fldCharType="separate"/>
        </w:r>
        <w:r w:rsidR="00AA17AB">
          <w:rPr>
            <w:webHidden/>
          </w:rPr>
          <w:t>100</w:t>
        </w:r>
        <w:r>
          <w:rPr>
            <w:webHidden/>
          </w:rPr>
          <w:fldChar w:fldCharType="end"/>
        </w:r>
      </w:hyperlink>
    </w:p>
    <w:p w14:paraId="0538D37A" w14:textId="588C6E9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49"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Probationary Status of Registrants</w:t>
        </w:r>
        <w:r>
          <w:rPr>
            <w:webHidden/>
          </w:rPr>
          <w:tab/>
        </w:r>
        <w:r>
          <w:rPr>
            <w:webHidden/>
          </w:rPr>
          <w:fldChar w:fldCharType="begin"/>
        </w:r>
        <w:r>
          <w:rPr>
            <w:webHidden/>
          </w:rPr>
          <w:instrText xml:space="preserve"> PAGEREF _Toc224818749 \h </w:instrText>
        </w:r>
        <w:r>
          <w:rPr>
            <w:webHidden/>
          </w:rPr>
        </w:r>
        <w:r>
          <w:rPr>
            <w:webHidden/>
          </w:rPr>
          <w:fldChar w:fldCharType="separate"/>
        </w:r>
        <w:r w:rsidR="00AA17AB">
          <w:rPr>
            <w:webHidden/>
          </w:rPr>
          <w:t>101</w:t>
        </w:r>
        <w:r>
          <w:rPr>
            <w:webHidden/>
          </w:rPr>
          <w:fldChar w:fldCharType="end"/>
        </w:r>
      </w:hyperlink>
    </w:p>
    <w:p w14:paraId="7015A365" w14:textId="1F04704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0"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Cancellation of Registration and/or Denial of Application for Renewal of Registration</w:t>
        </w:r>
        <w:r>
          <w:rPr>
            <w:webHidden/>
          </w:rPr>
          <w:tab/>
        </w:r>
        <w:r>
          <w:rPr>
            <w:webHidden/>
          </w:rPr>
          <w:fldChar w:fldCharType="begin"/>
        </w:r>
        <w:r>
          <w:rPr>
            <w:webHidden/>
          </w:rPr>
          <w:instrText xml:space="preserve"> PAGEREF _Toc224818750 \h </w:instrText>
        </w:r>
        <w:r>
          <w:rPr>
            <w:webHidden/>
          </w:rPr>
        </w:r>
        <w:r>
          <w:rPr>
            <w:webHidden/>
          </w:rPr>
          <w:fldChar w:fldCharType="separate"/>
        </w:r>
        <w:r w:rsidR="00AA17AB">
          <w:rPr>
            <w:webHidden/>
          </w:rPr>
          <w:t>101</w:t>
        </w:r>
        <w:r>
          <w:rPr>
            <w:webHidden/>
          </w:rPr>
          <w:fldChar w:fldCharType="end"/>
        </w:r>
      </w:hyperlink>
    </w:p>
    <w:p w14:paraId="092A3CC0" w14:textId="794B93F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1"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Appeals from Action of the Commission/Department of Agriculture and Forestry</w:t>
        </w:r>
        <w:r>
          <w:rPr>
            <w:webHidden/>
          </w:rPr>
          <w:tab/>
        </w:r>
        <w:r>
          <w:rPr>
            <w:webHidden/>
          </w:rPr>
          <w:fldChar w:fldCharType="begin"/>
        </w:r>
        <w:r>
          <w:rPr>
            <w:webHidden/>
          </w:rPr>
          <w:instrText xml:space="preserve"> PAGEREF _Toc224818751 \h </w:instrText>
        </w:r>
        <w:r>
          <w:rPr>
            <w:webHidden/>
          </w:rPr>
        </w:r>
        <w:r>
          <w:rPr>
            <w:webHidden/>
          </w:rPr>
          <w:fldChar w:fldCharType="separate"/>
        </w:r>
        <w:r w:rsidR="00AA17AB">
          <w:rPr>
            <w:webHidden/>
          </w:rPr>
          <w:t>101</w:t>
        </w:r>
        <w:r>
          <w:rPr>
            <w:webHidden/>
          </w:rPr>
          <w:fldChar w:fldCharType="end"/>
        </w:r>
      </w:hyperlink>
    </w:p>
    <w:p w14:paraId="34694A52" w14:textId="18B77D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2"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Confidentiality of Records</w:t>
        </w:r>
        <w:r>
          <w:rPr>
            <w:webHidden/>
          </w:rPr>
          <w:tab/>
        </w:r>
        <w:r>
          <w:rPr>
            <w:webHidden/>
          </w:rPr>
          <w:fldChar w:fldCharType="begin"/>
        </w:r>
        <w:r>
          <w:rPr>
            <w:webHidden/>
          </w:rPr>
          <w:instrText xml:space="preserve"> PAGEREF _Toc224818752 \h </w:instrText>
        </w:r>
        <w:r>
          <w:rPr>
            <w:webHidden/>
          </w:rPr>
        </w:r>
        <w:r>
          <w:rPr>
            <w:webHidden/>
          </w:rPr>
          <w:fldChar w:fldCharType="separate"/>
        </w:r>
        <w:r w:rsidR="00AA17AB">
          <w:rPr>
            <w:webHidden/>
          </w:rPr>
          <w:t>102</w:t>
        </w:r>
        <w:r>
          <w:rPr>
            <w:webHidden/>
          </w:rPr>
          <w:fldChar w:fldCharType="end"/>
        </w:r>
      </w:hyperlink>
    </w:p>
    <w:p w14:paraId="46550AF3" w14:textId="6025B4A1" w:rsidR="00E67799" w:rsidRDefault="00E67799">
      <w:pPr>
        <w:pStyle w:val="TOC2"/>
        <w:rPr>
          <w:rFonts w:asciiTheme="minorHAnsi" w:eastAsiaTheme="minorEastAsia" w:hAnsiTheme="minorHAnsi" w:cstheme="minorBidi"/>
          <w:kern w:val="2"/>
          <w:szCs w:val="24"/>
          <w14:ligatures w14:val="standardContextual"/>
        </w:rPr>
      </w:pPr>
      <w:hyperlink w:anchor="_Toc224818753" w:history="1">
        <w:r w:rsidRPr="00FC437C">
          <w:rPr>
            <w:rStyle w:val="Hyperlink"/>
          </w:rPr>
          <w:t>Chapter 2.</w:t>
        </w:r>
        <w:r>
          <w:rPr>
            <w:rFonts w:asciiTheme="minorHAnsi" w:eastAsiaTheme="minorEastAsia" w:hAnsiTheme="minorHAnsi" w:cstheme="minorBidi"/>
            <w:kern w:val="2"/>
            <w:szCs w:val="24"/>
            <w14:ligatures w14:val="standardContextual"/>
          </w:rPr>
          <w:tab/>
        </w:r>
        <w:r w:rsidRPr="00FC437C">
          <w:rPr>
            <w:rStyle w:val="Hyperlink"/>
          </w:rPr>
          <w:t>Gypsum</w:t>
        </w:r>
        <w:r>
          <w:rPr>
            <w:webHidden/>
          </w:rPr>
          <w:tab/>
        </w:r>
        <w:r>
          <w:rPr>
            <w:webHidden/>
          </w:rPr>
          <w:fldChar w:fldCharType="begin"/>
        </w:r>
        <w:r>
          <w:rPr>
            <w:webHidden/>
          </w:rPr>
          <w:instrText xml:space="preserve"> PAGEREF _Toc224818753 \h </w:instrText>
        </w:r>
        <w:r>
          <w:rPr>
            <w:webHidden/>
          </w:rPr>
        </w:r>
        <w:r>
          <w:rPr>
            <w:webHidden/>
          </w:rPr>
          <w:fldChar w:fldCharType="separate"/>
        </w:r>
        <w:r w:rsidR="00AA17AB">
          <w:rPr>
            <w:webHidden/>
          </w:rPr>
          <w:t>102</w:t>
        </w:r>
        <w:r>
          <w:rPr>
            <w:webHidden/>
          </w:rPr>
          <w:fldChar w:fldCharType="end"/>
        </w:r>
      </w:hyperlink>
    </w:p>
    <w:p w14:paraId="4791D9FA" w14:textId="14E8E5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4"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_Toc224818754 \h </w:instrText>
        </w:r>
        <w:r>
          <w:rPr>
            <w:webHidden/>
          </w:rPr>
        </w:r>
        <w:r>
          <w:rPr>
            <w:webHidden/>
          </w:rPr>
          <w:fldChar w:fldCharType="separate"/>
        </w:r>
        <w:r w:rsidR="00AA17AB">
          <w:rPr>
            <w:webHidden/>
          </w:rPr>
          <w:t>102</w:t>
        </w:r>
        <w:r>
          <w:rPr>
            <w:webHidden/>
          </w:rPr>
          <w:fldChar w:fldCharType="end"/>
        </w:r>
      </w:hyperlink>
    </w:p>
    <w:p w14:paraId="41643385" w14:textId="1279513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5"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Gypsum; Requirements for Agricultural Use; Analytical Tolerances</w:t>
        </w:r>
        <w:r>
          <w:rPr>
            <w:webHidden/>
          </w:rPr>
          <w:tab/>
        </w:r>
        <w:r>
          <w:rPr>
            <w:webHidden/>
          </w:rPr>
          <w:fldChar w:fldCharType="begin"/>
        </w:r>
        <w:r>
          <w:rPr>
            <w:webHidden/>
          </w:rPr>
          <w:instrText xml:space="preserve"> PAGEREF _Toc224818755 \h </w:instrText>
        </w:r>
        <w:r>
          <w:rPr>
            <w:webHidden/>
          </w:rPr>
        </w:r>
        <w:r>
          <w:rPr>
            <w:webHidden/>
          </w:rPr>
          <w:fldChar w:fldCharType="separate"/>
        </w:r>
        <w:r w:rsidR="00AA17AB">
          <w:rPr>
            <w:webHidden/>
          </w:rPr>
          <w:t>102</w:t>
        </w:r>
        <w:r>
          <w:rPr>
            <w:webHidden/>
          </w:rPr>
          <w:fldChar w:fldCharType="end"/>
        </w:r>
      </w:hyperlink>
    </w:p>
    <w:p w14:paraId="3C195E24" w14:textId="0DE18676" w:rsidR="00E67799" w:rsidRDefault="00E67799">
      <w:pPr>
        <w:pStyle w:val="TOC1"/>
        <w:rPr>
          <w:rFonts w:asciiTheme="minorHAnsi" w:hAnsiTheme="minorHAnsi" w:cstheme="minorBidi"/>
          <w:b w:val="0"/>
          <w:bCs w:val="0"/>
          <w:sz w:val="24"/>
          <w:szCs w:val="24"/>
        </w:rPr>
      </w:pPr>
      <w:hyperlink w:anchor="_Toc224818756" w:history="1">
        <w:r w:rsidRPr="00FC437C">
          <w:rPr>
            <w:rStyle w:val="Hyperlink"/>
          </w:rPr>
          <w:t>Part XIII.  Seeds</w:t>
        </w:r>
      </w:hyperlink>
    </w:p>
    <w:p w14:paraId="343D6957" w14:textId="2D040151" w:rsidR="00E67799" w:rsidRDefault="00E67799">
      <w:pPr>
        <w:pStyle w:val="TOC2"/>
        <w:rPr>
          <w:rFonts w:asciiTheme="minorHAnsi" w:eastAsiaTheme="minorEastAsia" w:hAnsiTheme="minorHAnsi" w:cstheme="minorBidi"/>
          <w:kern w:val="2"/>
          <w:szCs w:val="24"/>
          <w14:ligatures w14:val="standardContextual"/>
        </w:rPr>
      </w:pPr>
      <w:hyperlink w:anchor="_Toc224818757"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_Toc224818757 \h </w:instrText>
        </w:r>
        <w:r>
          <w:rPr>
            <w:webHidden/>
          </w:rPr>
        </w:r>
        <w:r>
          <w:rPr>
            <w:webHidden/>
          </w:rPr>
          <w:fldChar w:fldCharType="separate"/>
        </w:r>
        <w:r w:rsidR="00AA17AB">
          <w:rPr>
            <w:webHidden/>
          </w:rPr>
          <w:t>104</w:t>
        </w:r>
        <w:r>
          <w:rPr>
            <w:webHidden/>
          </w:rPr>
          <w:fldChar w:fldCharType="end"/>
        </w:r>
      </w:hyperlink>
    </w:p>
    <w:p w14:paraId="32FEF56A" w14:textId="320871FE" w:rsidR="00E67799" w:rsidRDefault="00E67799">
      <w:pPr>
        <w:pStyle w:val="TOC2"/>
        <w:rPr>
          <w:rFonts w:asciiTheme="minorHAnsi" w:eastAsiaTheme="minorEastAsia" w:hAnsiTheme="minorHAnsi" w:cstheme="minorBidi"/>
          <w:kern w:val="2"/>
          <w:szCs w:val="24"/>
          <w14:ligatures w14:val="standardContextual"/>
        </w:rPr>
      </w:pPr>
      <w:hyperlink w:anchor="_Toc224818758"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Definitions; Administrative Matters</w:t>
        </w:r>
        <w:r>
          <w:rPr>
            <w:webHidden/>
          </w:rPr>
          <w:tab/>
        </w:r>
        <w:r>
          <w:rPr>
            <w:webHidden/>
          </w:rPr>
          <w:fldChar w:fldCharType="begin"/>
        </w:r>
        <w:r>
          <w:rPr>
            <w:webHidden/>
          </w:rPr>
          <w:instrText xml:space="preserve"> PAGEREF _Toc224818758 \h </w:instrText>
        </w:r>
        <w:r>
          <w:rPr>
            <w:webHidden/>
          </w:rPr>
        </w:r>
        <w:r>
          <w:rPr>
            <w:webHidden/>
          </w:rPr>
          <w:fldChar w:fldCharType="separate"/>
        </w:r>
        <w:r w:rsidR="00AA17AB">
          <w:rPr>
            <w:webHidden/>
          </w:rPr>
          <w:t>104</w:t>
        </w:r>
        <w:r>
          <w:rPr>
            <w:webHidden/>
          </w:rPr>
          <w:fldChar w:fldCharType="end"/>
        </w:r>
      </w:hyperlink>
    </w:p>
    <w:p w14:paraId="7A19AFEE" w14:textId="5BFB60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59"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_Toc224818759 \h </w:instrText>
        </w:r>
        <w:r>
          <w:rPr>
            <w:webHidden/>
          </w:rPr>
        </w:r>
        <w:r>
          <w:rPr>
            <w:webHidden/>
          </w:rPr>
          <w:fldChar w:fldCharType="separate"/>
        </w:r>
        <w:r w:rsidR="00AA17AB">
          <w:rPr>
            <w:webHidden/>
          </w:rPr>
          <w:t>104</w:t>
        </w:r>
        <w:r>
          <w:rPr>
            <w:webHidden/>
          </w:rPr>
          <w:fldChar w:fldCharType="end"/>
        </w:r>
      </w:hyperlink>
    </w:p>
    <w:p w14:paraId="467F4827" w14:textId="1D6E9C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0"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Request for Adoption, Amendment, or Repeal of a Rule</w:t>
        </w:r>
        <w:r>
          <w:rPr>
            <w:webHidden/>
          </w:rPr>
          <w:tab/>
        </w:r>
        <w:r>
          <w:rPr>
            <w:webHidden/>
          </w:rPr>
          <w:fldChar w:fldCharType="begin"/>
        </w:r>
        <w:r>
          <w:rPr>
            <w:webHidden/>
          </w:rPr>
          <w:instrText xml:space="preserve"> PAGEREF _Toc224818760 \h </w:instrText>
        </w:r>
        <w:r>
          <w:rPr>
            <w:webHidden/>
          </w:rPr>
        </w:r>
        <w:r>
          <w:rPr>
            <w:webHidden/>
          </w:rPr>
          <w:fldChar w:fldCharType="separate"/>
        </w:r>
        <w:r w:rsidR="00AA17AB">
          <w:rPr>
            <w:webHidden/>
          </w:rPr>
          <w:t>104</w:t>
        </w:r>
        <w:r>
          <w:rPr>
            <w:webHidden/>
          </w:rPr>
          <w:fldChar w:fldCharType="end"/>
        </w:r>
      </w:hyperlink>
    </w:p>
    <w:p w14:paraId="1BFFE267" w14:textId="337BE19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1"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Procedure for Declaratory Orders and Rulings</w:t>
        </w:r>
        <w:r>
          <w:rPr>
            <w:webHidden/>
          </w:rPr>
          <w:tab/>
        </w:r>
        <w:r>
          <w:rPr>
            <w:webHidden/>
          </w:rPr>
          <w:fldChar w:fldCharType="begin"/>
        </w:r>
        <w:r>
          <w:rPr>
            <w:webHidden/>
          </w:rPr>
          <w:instrText xml:space="preserve"> PAGEREF _Toc224818761 \h </w:instrText>
        </w:r>
        <w:r>
          <w:rPr>
            <w:webHidden/>
          </w:rPr>
        </w:r>
        <w:r>
          <w:rPr>
            <w:webHidden/>
          </w:rPr>
          <w:fldChar w:fldCharType="separate"/>
        </w:r>
        <w:r w:rsidR="00AA17AB">
          <w:rPr>
            <w:webHidden/>
          </w:rPr>
          <w:t>105</w:t>
        </w:r>
        <w:r>
          <w:rPr>
            <w:webHidden/>
          </w:rPr>
          <w:fldChar w:fldCharType="end"/>
        </w:r>
      </w:hyperlink>
    </w:p>
    <w:p w14:paraId="429D41EA" w14:textId="0097DF0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2"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List of Noxious Weeds and Limitations on Noxious Weed Seed</w:t>
        </w:r>
        <w:r>
          <w:rPr>
            <w:webHidden/>
          </w:rPr>
          <w:tab/>
        </w:r>
        <w:r>
          <w:rPr>
            <w:webHidden/>
          </w:rPr>
          <w:fldChar w:fldCharType="begin"/>
        </w:r>
        <w:r>
          <w:rPr>
            <w:webHidden/>
          </w:rPr>
          <w:instrText xml:space="preserve"> PAGEREF _Toc224818762 \h </w:instrText>
        </w:r>
        <w:r>
          <w:rPr>
            <w:webHidden/>
          </w:rPr>
        </w:r>
        <w:r>
          <w:rPr>
            <w:webHidden/>
          </w:rPr>
          <w:fldChar w:fldCharType="separate"/>
        </w:r>
        <w:r w:rsidR="00AA17AB">
          <w:rPr>
            <w:webHidden/>
          </w:rPr>
          <w:t>105</w:t>
        </w:r>
        <w:r>
          <w:rPr>
            <w:webHidden/>
          </w:rPr>
          <w:fldChar w:fldCharType="end"/>
        </w:r>
      </w:hyperlink>
    </w:p>
    <w:p w14:paraId="25F68633" w14:textId="5D8AAD86"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8763" w:history="1">
        <w:r w:rsidRPr="00FC437C">
          <w:rPr>
            <w:rStyle w:val="Hyperlink"/>
          </w:rPr>
          <w:t>§§111-119.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_Toc224818763 \h </w:instrText>
        </w:r>
        <w:r>
          <w:rPr>
            <w:webHidden/>
          </w:rPr>
        </w:r>
        <w:r>
          <w:rPr>
            <w:webHidden/>
          </w:rPr>
          <w:fldChar w:fldCharType="separate"/>
        </w:r>
        <w:r w:rsidR="00AA17AB">
          <w:rPr>
            <w:webHidden/>
          </w:rPr>
          <w:t>106</w:t>
        </w:r>
        <w:r>
          <w:rPr>
            <w:webHidden/>
          </w:rPr>
          <w:fldChar w:fldCharType="end"/>
        </w:r>
      </w:hyperlink>
    </w:p>
    <w:p w14:paraId="7D872458" w14:textId="4313E7D0" w:rsidR="00E67799" w:rsidRDefault="00E67799">
      <w:pPr>
        <w:pStyle w:val="TOC2"/>
        <w:rPr>
          <w:rFonts w:asciiTheme="minorHAnsi" w:eastAsiaTheme="minorEastAsia" w:hAnsiTheme="minorHAnsi" w:cstheme="minorBidi"/>
          <w:kern w:val="2"/>
          <w:szCs w:val="24"/>
          <w14:ligatures w14:val="standardContextual"/>
        </w:rPr>
      </w:pPr>
      <w:hyperlink w:anchor="_Toc224818764"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_Toc224818764 \h </w:instrText>
        </w:r>
        <w:r>
          <w:rPr>
            <w:webHidden/>
          </w:rPr>
        </w:r>
        <w:r>
          <w:rPr>
            <w:webHidden/>
          </w:rPr>
          <w:fldChar w:fldCharType="separate"/>
        </w:r>
        <w:r w:rsidR="00AA17AB">
          <w:rPr>
            <w:webHidden/>
          </w:rPr>
          <w:t>106</w:t>
        </w:r>
        <w:r>
          <w:rPr>
            <w:webHidden/>
          </w:rPr>
          <w:fldChar w:fldCharType="end"/>
        </w:r>
      </w:hyperlink>
    </w:p>
    <w:p w14:paraId="448A51A8" w14:textId="36B0405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5"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License Fee; Laboratory and Sampling Fees</w:t>
        </w:r>
        <w:r>
          <w:rPr>
            <w:webHidden/>
          </w:rPr>
          <w:tab/>
        </w:r>
        <w:r>
          <w:rPr>
            <w:webHidden/>
          </w:rPr>
          <w:fldChar w:fldCharType="begin"/>
        </w:r>
        <w:r>
          <w:rPr>
            <w:webHidden/>
          </w:rPr>
          <w:instrText xml:space="preserve"> PAGEREF _Toc224818765 \h </w:instrText>
        </w:r>
        <w:r>
          <w:rPr>
            <w:webHidden/>
          </w:rPr>
        </w:r>
        <w:r>
          <w:rPr>
            <w:webHidden/>
          </w:rPr>
          <w:fldChar w:fldCharType="separate"/>
        </w:r>
        <w:r w:rsidR="00AA17AB">
          <w:rPr>
            <w:webHidden/>
          </w:rPr>
          <w:t>106</w:t>
        </w:r>
        <w:r>
          <w:rPr>
            <w:webHidden/>
          </w:rPr>
          <w:fldChar w:fldCharType="end"/>
        </w:r>
      </w:hyperlink>
    </w:p>
    <w:p w14:paraId="096B8675" w14:textId="2A2A6D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6"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Regulatory Fee on Seeds</w:t>
        </w:r>
        <w:r>
          <w:rPr>
            <w:webHidden/>
          </w:rPr>
          <w:tab/>
        </w:r>
        <w:r>
          <w:rPr>
            <w:webHidden/>
          </w:rPr>
          <w:fldChar w:fldCharType="begin"/>
        </w:r>
        <w:r>
          <w:rPr>
            <w:webHidden/>
          </w:rPr>
          <w:instrText xml:space="preserve"> PAGEREF _Toc224818766 \h </w:instrText>
        </w:r>
        <w:r>
          <w:rPr>
            <w:webHidden/>
          </w:rPr>
        </w:r>
        <w:r>
          <w:rPr>
            <w:webHidden/>
          </w:rPr>
          <w:fldChar w:fldCharType="separate"/>
        </w:r>
        <w:r w:rsidR="00AA17AB">
          <w:rPr>
            <w:webHidden/>
          </w:rPr>
          <w:t>107</w:t>
        </w:r>
        <w:r>
          <w:rPr>
            <w:webHidden/>
          </w:rPr>
          <w:fldChar w:fldCharType="end"/>
        </w:r>
      </w:hyperlink>
    </w:p>
    <w:p w14:paraId="7D11E39B" w14:textId="089551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67"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Certification, Field Inspection, and Sampling Fees</w:t>
        </w:r>
        <w:r>
          <w:rPr>
            <w:webHidden/>
          </w:rPr>
          <w:tab/>
        </w:r>
        <w:r>
          <w:rPr>
            <w:webHidden/>
          </w:rPr>
          <w:fldChar w:fldCharType="begin"/>
        </w:r>
        <w:r>
          <w:rPr>
            <w:webHidden/>
          </w:rPr>
          <w:instrText xml:space="preserve"> PAGEREF _Toc224818767 \h </w:instrText>
        </w:r>
        <w:r>
          <w:rPr>
            <w:webHidden/>
          </w:rPr>
        </w:r>
        <w:r>
          <w:rPr>
            <w:webHidden/>
          </w:rPr>
          <w:fldChar w:fldCharType="separate"/>
        </w:r>
        <w:r w:rsidR="00AA17AB">
          <w:rPr>
            <w:webHidden/>
          </w:rPr>
          <w:t>108</w:t>
        </w:r>
        <w:r>
          <w:rPr>
            <w:webHidden/>
          </w:rPr>
          <w:fldChar w:fldCharType="end"/>
        </w:r>
      </w:hyperlink>
    </w:p>
    <w:p w14:paraId="3255BED9" w14:textId="0CE9F9EF"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8768" w:history="1">
        <w:r w:rsidRPr="00FC437C">
          <w:rPr>
            <w:rStyle w:val="Hyperlink"/>
          </w:rPr>
          <w:t>§§127-129.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_Toc224818768 \h </w:instrText>
        </w:r>
        <w:r>
          <w:rPr>
            <w:webHidden/>
          </w:rPr>
        </w:r>
        <w:r>
          <w:rPr>
            <w:webHidden/>
          </w:rPr>
          <w:fldChar w:fldCharType="separate"/>
        </w:r>
        <w:r w:rsidR="00AA17AB">
          <w:rPr>
            <w:webHidden/>
          </w:rPr>
          <w:t>108</w:t>
        </w:r>
        <w:r>
          <w:rPr>
            <w:webHidden/>
          </w:rPr>
          <w:fldChar w:fldCharType="end"/>
        </w:r>
      </w:hyperlink>
    </w:p>
    <w:p w14:paraId="1E876952" w14:textId="559D9EDF" w:rsidR="00E67799" w:rsidRDefault="00E67799">
      <w:pPr>
        <w:pStyle w:val="TOC2"/>
        <w:rPr>
          <w:rFonts w:asciiTheme="minorHAnsi" w:eastAsiaTheme="minorEastAsia" w:hAnsiTheme="minorHAnsi" w:cstheme="minorBidi"/>
          <w:kern w:val="2"/>
          <w:szCs w:val="24"/>
          <w14:ligatures w14:val="standardContextual"/>
        </w:rPr>
      </w:pPr>
      <w:hyperlink w:anchor="_Toc224818769"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Labels; Records; Samples; Tolerances; Standards; Noxious Weed Seed</w:t>
        </w:r>
        <w:r>
          <w:rPr>
            <w:webHidden/>
          </w:rPr>
          <w:tab/>
        </w:r>
        <w:r>
          <w:rPr>
            <w:webHidden/>
          </w:rPr>
          <w:fldChar w:fldCharType="begin"/>
        </w:r>
        <w:r>
          <w:rPr>
            <w:webHidden/>
          </w:rPr>
          <w:instrText xml:space="preserve"> PAGEREF _Toc224818769 \h </w:instrText>
        </w:r>
        <w:r>
          <w:rPr>
            <w:webHidden/>
          </w:rPr>
        </w:r>
        <w:r>
          <w:rPr>
            <w:webHidden/>
          </w:rPr>
          <w:fldChar w:fldCharType="separate"/>
        </w:r>
        <w:r w:rsidR="00AA17AB">
          <w:rPr>
            <w:webHidden/>
          </w:rPr>
          <w:t>108</w:t>
        </w:r>
        <w:r>
          <w:rPr>
            <w:webHidden/>
          </w:rPr>
          <w:fldChar w:fldCharType="end"/>
        </w:r>
      </w:hyperlink>
    </w:p>
    <w:p w14:paraId="4BE02423" w14:textId="505BCB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0"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Analysis Test; Labeling of Seed</w:t>
        </w:r>
        <w:r>
          <w:rPr>
            <w:webHidden/>
          </w:rPr>
          <w:tab/>
        </w:r>
        <w:r>
          <w:rPr>
            <w:webHidden/>
          </w:rPr>
          <w:fldChar w:fldCharType="begin"/>
        </w:r>
        <w:r>
          <w:rPr>
            <w:webHidden/>
          </w:rPr>
          <w:instrText xml:space="preserve"> PAGEREF _Toc224818770 \h </w:instrText>
        </w:r>
        <w:r>
          <w:rPr>
            <w:webHidden/>
          </w:rPr>
        </w:r>
        <w:r>
          <w:rPr>
            <w:webHidden/>
          </w:rPr>
          <w:fldChar w:fldCharType="separate"/>
        </w:r>
        <w:r w:rsidR="00AA17AB">
          <w:rPr>
            <w:webHidden/>
          </w:rPr>
          <w:t>108</w:t>
        </w:r>
        <w:r>
          <w:rPr>
            <w:webHidden/>
          </w:rPr>
          <w:fldChar w:fldCharType="end"/>
        </w:r>
      </w:hyperlink>
    </w:p>
    <w:p w14:paraId="70D73924" w14:textId="41FD8D9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1"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Tag Requirements</w:t>
        </w:r>
        <w:r>
          <w:rPr>
            <w:webHidden/>
          </w:rPr>
          <w:tab/>
        </w:r>
        <w:r>
          <w:rPr>
            <w:webHidden/>
          </w:rPr>
          <w:fldChar w:fldCharType="begin"/>
        </w:r>
        <w:r>
          <w:rPr>
            <w:webHidden/>
          </w:rPr>
          <w:instrText xml:space="preserve"> PAGEREF _Toc224818771 \h </w:instrText>
        </w:r>
        <w:r>
          <w:rPr>
            <w:webHidden/>
          </w:rPr>
        </w:r>
        <w:r>
          <w:rPr>
            <w:webHidden/>
          </w:rPr>
          <w:fldChar w:fldCharType="separate"/>
        </w:r>
        <w:r w:rsidR="00AA17AB">
          <w:rPr>
            <w:webHidden/>
          </w:rPr>
          <w:t>109</w:t>
        </w:r>
        <w:r>
          <w:rPr>
            <w:webHidden/>
          </w:rPr>
          <w:fldChar w:fldCharType="end"/>
        </w:r>
      </w:hyperlink>
    </w:p>
    <w:p w14:paraId="0BB7FF89" w14:textId="62C0162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2"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Invoices and Records; Inspection of Records</w:t>
        </w:r>
        <w:r>
          <w:rPr>
            <w:webHidden/>
          </w:rPr>
          <w:tab/>
        </w:r>
        <w:r>
          <w:rPr>
            <w:webHidden/>
          </w:rPr>
          <w:fldChar w:fldCharType="begin"/>
        </w:r>
        <w:r>
          <w:rPr>
            <w:webHidden/>
          </w:rPr>
          <w:instrText xml:space="preserve"> PAGEREF _Toc224818772 \h </w:instrText>
        </w:r>
        <w:r>
          <w:rPr>
            <w:webHidden/>
          </w:rPr>
        </w:r>
        <w:r>
          <w:rPr>
            <w:webHidden/>
          </w:rPr>
          <w:fldChar w:fldCharType="separate"/>
        </w:r>
        <w:r w:rsidR="00AA17AB">
          <w:rPr>
            <w:webHidden/>
          </w:rPr>
          <w:t>110</w:t>
        </w:r>
        <w:r>
          <w:rPr>
            <w:webHidden/>
          </w:rPr>
          <w:fldChar w:fldCharType="end"/>
        </w:r>
      </w:hyperlink>
    </w:p>
    <w:p w14:paraId="2CD2DC26" w14:textId="244BEA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3"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Sampling</w:t>
        </w:r>
        <w:r>
          <w:rPr>
            <w:webHidden/>
          </w:rPr>
          <w:tab/>
        </w:r>
        <w:r>
          <w:rPr>
            <w:webHidden/>
          </w:rPr>
          <w:fldChar w:fldCharType="begin"/>
        </w:r>
        <w:r>
          <w:rPr>
            <w:webHidden/>
          </w:rPr>
          <w:instrText xml:space="preserve"> PAGEREF _Toc224818773 \h </w:instrText>
        </w:r>
        <w:r>
          <w:rPr>
            <w:webHidden/>
          </w:rPr>
        </w:r>
        <w:r>
          <w:rPr>
            <w:webHidden/>
          </w:rPr>
          <w:fldChar w:fldCharType="separate"/>
        </w:r>
        <w:r w:rsidR="00AA17AB">
          <w:rPr>
            <w:webHidden/>
          </w:rPr>
          <w:t>110</w:t>
        </w:r>
        <w:r>
          <w:rPr>
            <w:webHidden/>
          </w:rPr>
          <w:fldChar w:fldCharType="end"/>
        </w:r>
      </w:hyperlink>
    </w:p>
    <w:p w14:paraId="30546C2E" w14:textId="1839519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4"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Tolerances</w:t>
        </w:r>
        <w:r>
          <w:rPr>
            <w:webHidden/>
          </w:rPr>
          <w:tab/>
        </w:r>
        <w:r>
          <w:rPr>
            <w:webHidden/>
          </w:rPr>
          <w:fldChar w:fldCharType="begin"/>
        </w:r>
        <w:r>
          <w:rPr>
            <w:webHidden/>
          </w:rPr>
          <w:instrText xml:space="preserve"> PAGEREF _Toc224818774 \h </w:instrText>
        </w:r>
        <w:r>
          <w:rPr>
            <w:webHidden/>
          </w:rPr>
        </w:r>
        <w:r>
          <w:rPr>
            <w:webHidden/>
          </w:rPr>
          <w:fldChar w:fldCharType="separate"/>
        </w:r>
        <w:r w:rsidR="00AA17AB">
          <w:rPr>
            <w:webHidden/>
          </w:rPr>
          <w:t>110</w:t>
        </w:r>
        <w:r>
          <w:rPr>
            <w:webHidden/>
          </w:rPr>
          <w:fldChar w:fldCharType="end"/>
        </w:r>
      </w:hyperlink>
    </w:p>
    <w:p w14:paraId="31C6FA67" w14:textId="718F4F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5"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Germination Standards for Vegetable Seed</w:t>
        </w:r>
        <w:r>
          <w:rPr>
            <w:webHidden/>
          </w:rPr>
          <w:tab/>
        </w:r>
        <w:r>
          <w:rPr>
            <w:webHidden/>
          </w:rPr>
          <w:fldChar w:fldCharType="begin"/>
        </w:r>
        <w:r>
          <w:rPr>
            <w:webHidden/>
          </w:rPr>
          <w:instrText xml:space="preserve"> PAGEREF _Toc224818775 \h </w:instrText>
        </w:r>
        <w:r>
          <w:rPr>
            <w:webHidden/>
          </w:rPr>
        </w:r>
        <w:r>
          <w:rPr>
            <w:webHidden/>
          </w:rPr>
          <w:fldChar w:fldCharType="separate"/>
        </w:r>
        <w:r w:rsidR="00AA17AB">
          <w:rPr>
            <w:webHidden/>
          </w:rPr>
          <w:t>110</w:t>
        </w:r>
        <w:r>
          <w:rPr>
            <w:webHidden/>
          </w:rPr>
          <w:fldChar w:fldCharType="end"/>
        </w:r>
      </w:hyperlink>
    </w:p>
    <w:p w14:paraId="39810527" w14:textId="00A82E3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6"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Standards for Agricultural Seed</w:t>
        </w:r>
        <w:r>
          <w:rPr>
            <w:webHidden/>
          </w:rPr>
          <w:tab/>
        </w:r>
        <w:r>
          <w:rPr>
            <w:webHidden/>
          </w:rPr>
          <w:fldChar w:fldCharType="begin"/>
        </w:r>
        <w:r>
          <w:rPr>
            <w:webHidden/>
          </w:rPr>
          <w:instrText xml:space="preserve"> PAGEREF _Toc224818776 \h </w:instrText>
        </w:r>
        <w:r>
          <w:rPr>
            <w:webHidden/>
          </w:rPr>
        </w:r>
        <w:r>
          <w:rPr>
            <w:webHidden/>
          </w:rPr>
          <w:fldChar w:fldCharType="separate"/>
        </w:r>
        <w:r w:rsidR="00AA17AB">
          <w:rPr>
            <w:webHidden/>
          </w:rPr>
          <w:t>111</w:t>
        </w:r>
        <w:r>
          <w:rPr>
            <w:webHidden/>
          </w:rPr>
          <w:fldChar w:fldCharType="end"/>
        </w:r>
      </w:hyperlink>
    </w:p>
    <w:p w14:paraId="25AF8ACD" w14:textId="04DF88A2" w:rsidR="00E67799" w:rsidRDefault="00E67799">
      <w:pPr>
        <w:pStyle w:val="TOC2"/>
        <w:rPr>
          <w:rFonts w:asciiTheme="minorHAnsi" w:eastAsiaTheme="minorEastAsia" w:hAnsiTheme="minorHAnsi" w:cstheme="minorBidi"/>
          <w:kern w:val="2"/>
          <w:szCs w:val="24"/>
          <w14:ligatures w14:val="standardContextual"/>
        </w:rPr>
      </w:pPr>
      <w:hyperlink w:anchor="_Toc224818777"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Enforcement of Law and Regulations</w:t>
        </w:r>
        <w:r>
          <w:rPr>
            <w:webHidden/>
          </w:rPr>
          <w:tab/>
        </w:r>
        <w:r>
          <w:rPr>
            <w:webHidden/>
          </w:rPr>
          <w:fldChar w:fldCharType="begin"/>
        </w:r>
        <w:r>
          <w:rPr>
            <w:webHidden/>
          </w:rPr>
          <w:instrText xml:space="preserve"> PAGEREF _Toc224818777 \h </w:instrText>
        </w:r>
        <w:r>
          <w:rPr>
            <w:webHidden/>
          </w:rPr>
        </w:r>
        <w:r>
          <w:rPr>
            <w:webHidden/>
          </w:rPr>
          <w:fldChar w:fldCharType="separate"/>
        </w:r>
        <w:r w:rsidR="00AA17AB">
          <w:rPr>
            <w:webHidden/>
          </w:rPr>
          <w:t>111</w:t>
        </w:r>
        <w:r>
          <w:rPr>
            <w:webHidden/>
          </w:rPr>
          <w:fldChar w:fldCharType="end"/>
        </w:r>
      </w:hyperlink>
    </w:p>
    <w:p w14:paraId="5A6CA7F2" w14:textId="46F2C92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78"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Acts which Constitute Violations</w:t>
        </w:r>
        <w:r>
          <w:rPr>
            <w:webHidden/>
          </w:rPr>
          <w:tab/>
        </w:r>
        <w:r>
          <w:rPr>
            <w:webHidden/>
          </w:rPr>
          <w:fldChar w:fldCharType="begin"/>
        </w:r>
        <w:r>
          <w:rPr>
            <w:webHidden/>
          </w:rPr>
          <w:instrText xml:space="preserve"> PAGEREF _Toc224818778 \h </w:instrText>
        </w:r>
        <w:r>
          <w:rPr>
            <w:webHidden/>
          </w:rPr>
        </w:r>
        <w:r>
          <w:rPr>
            <w:webHidden/>
          </w:rPr>
          <w:fldChar w:fldCharType="separate"/>
        </w:r>
        <w:r w:rsidR="00AA17AB">
          <w:rPr>
            <w:webHidden/>
          </w:rPr>
          <w:t>111</w:t>
        </w:r>
        <w:r>
          <w:rPr>
            <w:webHidden/>
          </w:rPr>
          <w:fldChar w:fldCharType="end"/>
        </w:r>
      </w:hyperlink>
    </w:p>
    <w:p w14:paraId="1573E813" w14:textId="3CD0DC4B" w:rsidR="00E67799" w:rsidRDefault="00E67799">
      <w:pPr>
        <w:pStyle w:val="TOC2"/>
        <w:rPr>
          <w:rFonts w:asciiTheme="minorHAnsi" w:eastAsiaTheme="minorEastAsia" w:hAnsiTheme="minorHAnsi" w:cstheme="minorBidi"/>
          <w:kern w:val="2"/>
          <w:szCs w:val="24"/>
          <w14:ligatures w14:val="standardContextual"/>
        </w:rPr>
      </w:pPr>
      <w:hyperlink w:anchor="_Toc224818779"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General Seed Certification Requirements</w:t>
        </w:r>
        <w:r>
          <w:rPr>
            <w:webHidden/>
          </w:rPr>
          <w:tab/>
        </w:r>
        <w:r>
          <w:rPr>
            <w:webHidden/>
          </w:rPr>
          <w:fldChar w:fldCharType="begin"/>
        </w:r>
        <w:r>
          <w:rPr>
            <w:webHidden/>
          </w:rPr>
          <w:instrText xml:space="preserve"> PAGEREF _Toc224818779 \h </w:instrText>
        </w:r>
        <w:r>
          <w:rPr>
            <w:webHidden/>
          </w:rPr>
        </w:r>
        <w:r>
          <w:rPr>
            <w:webHidden/>
          </w:rPr>
          <w:fldChar w:fldCharType="separate"/>
        </w:r>
        <w:r w:rsidR="00AA17AB">
          <w:rPr>
            <w:webHidden/>
          </w:rPr>
          <w:t>112</w:t>
        </w:r>
        <w:r>
          <w:rPr>
            <w:webHidden/>
          </w:rPr>
          <w:fldChar w:fldCharType="end"/>
        </w:r>
      </w:hyperlink>
    </w:p>
    <w:p w14:paraId="1A9AEFBB" w14:textId="1A4D4F9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0"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Definitions also Applicable to this Chapter</w:t>
        </w:r>
        <w:r>
          <w:rPr>
            <w:webHidden/>
          </w:rPr>
          <w:tab/>
        </w:r>
        <w:r>
          <w:rPr>
            <w:webHidden/>
          </w:rPr>
          <w:fldChar w:fldCharType="begin"/>
        </w:r>
        <w:r>
          <w:rPr>
            <w:webHidden/>
          </w:rPr>
          <w:instrText xml:space="preserve"> PAGEREF _Toc224818780 \h </w:instrText>
        </w:r>
        <w:r>
          <w:rPr>
            <w:webHidden/>
          </w:rPr>
        </w:r>
        <w:r>
          <w:rPr>
            <w:webHidden/>
          </w:rPr>
          <w:fldChar w:fldCharType="separate"/>
        </w:r>
        <w:r w:rsidR="00AA17AB">
          <w:rPr>
            <w:webHidden/>
          </w:rPr>
          <w:t>112</w:t>
        </w:r>
        <w:r>
          <w:rPr>
            <w:webHidden/>
          </w:rPr>
          <w:fldChar w:fldCharType="end"/>
        </w:r>
      </w:hyperlink>
    </w:p>
    <w:p w14:paraId="44EB8FB5" w14:textId="3FD750D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1"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Classes of Seed</w:t>
        </w:r>
        <w:r>
          <w:rPr>
            <w:webHidden/>
          </w:rPr>
          <w:tab/>
        </w:r>
        <w:r>
          <w:rPr>
            <w:webHidden/>
          </w:rPr>
          <w:fldChar w:fldCharType="begin"/>
        </w:r>
        <w:r>
          <w:rPr>
            <w:webHidden/>
          </w:rPr>
          <w:instrText xml:space="preserve"> PAGEREF _Toc224818781 \h </w:instrText>
        </w:r>
        <w:r>
          <w:rPr>
            <w:webHidden/>
          </w:rPr>
        </w:r>
        <w:r>
          <w:rPr>
            <w:webHidden/>
          </w:rPr>
          <w:fldChar w:fldCharType="separate"/>
        </w:r>
        <w:r w:rsidR="00AA17AB">
          <w:rPr>
            <w:webHidden/>
          </w:rPr>
          <w:t>113</w:t>
        </w:r>
        <w:r>
          <w:rPr>
            <w:webHidden/>
          </w:rPr>
          <w:fldChar w:fldCharType="end"/>
        </w:r>
      </w:hyperlink>
    </w:p>
    <w:p w14:paraId="1BF4E421" w14:textId="06A09BD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2"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General Requirements for Certification</w:t>
        </w:r>
        <w:r>
          <w:rPr>
            <w:webHidden/>
          </w:rPr>
          <w:tab/>
        </w:r>
        <w:r>
          <w:rPr>
            <w:webHidden/>
          </w:rPr>
          <w:fldChar w:fldCharType="begin"/>
        </w:r>
        <w:r>
          <w:rPr>
            <w:webHidden/>
          </w:rPr>
          <w:instrText xml:space="preserve"> PAGEREF _Toc224818782 \h </w:instrText>
        </w:r>
        <w:r>
          <w:rPr>
            <w:webHidden/>
          </w:rPr>
        </w:r>
        <w:r>
          <w:rPr>
            <w:webHidden/>
          </w:rPr>
          <w:fldChar w:fldCharType="separate"/>
        </w:r>
        <w:r w:rsidR="00AA17AB">
          <w:rPr>
            <w:webHidden/>
          </w:rPr>
          <w:t>113</w:t>
        </w:r>
        <w:r>
          <w:rPr>
            <w:webHidden/>
          </w:rPr>
          <w:fldChar w:fldCharType="end"/>
        </w:r>
      </w:hyperlink>
    </w:p>
    <w:p w14:paraId="1CE08382" w14:textId="0B47B83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3"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Application for Field Certification</w:t>
        </w:r>
        <w:r>
          <w:rPr>
            <w:webHidden/>
          </w:rPr>
          <w:tab/>
        </w:r>
        <w:r>
          <w:rPr>
            <w:webHidden/>
          </w:rPr>
          <w:fldChar w:fldCharType="begin"/>
        </w:r>
        <w:r>
          <w:rPr>
            <w:webHidden/>
          </w:rPr>
          <w:instrText xml:space="preserve"> PAGEREF _Toc224818783 \h </w:instrText>
        </w:r>
        <w:r>
          <w:rPr>
            <w:webHidden/>
          </w:rPr>
        </w:r>
        <w:r>
          <w:rPr>
            <w:webHidden/>
          </w:rPr>
          <w:fldChar w:fldCharType="separate"/>
        </w:r>
        <w:r w:rsidR="00AA17AB">
          <w:rPr>
            <w:webHidden/>
          </w:rPr>
          <w:t>114</w:t>
        </w:r>
        <w:r>
          <w:rPr>
            <w:webHidden/>
          </w:rPr>
          <w:fldChar w:fldCharType="end"/>
        </w:r>
      </w:hyperlink>
    </w:p>
    <w:p w14:paraId="6C21CA92" w14:textId="1AF0C38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4"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Application Deadlines</w:t>
        </w:r>
        <w:r>
          <w:rPr>
            <w:webHidden/>
          </w:rPr>
          <w:tab/>
        </w:r>
        <w:r>
          <w:rPr>
            <w:webHidden/>
          </w:rPr>
          <w:fldChar w:fldCharType="begin"/>
        </w:r>
        <w:r>
          <w:rPr>
            <w:webHidden/>
          </w:rPr>
          <w:instrText xml:space="preserve"> PAGEREF _Toc224818784 \h </w:instrText>
        </w:r>
        <w:r>
          <w:rPr>
            <w:webHidden/>
          </w:rPr>
        </w:r>
        <w:r>
          <w:rPr>
            <w:webHidden/>
          </w:rPr>
          <w:fldChar w:fldCharType="separate"/>
        </w:r>
        <w:r w:rsidR="00AA17AB">
          <w:rPr>
            <w:webHidden/>
          </w:rPr>
          <w:t>114</w:t>
        </w:r>
        <w:r>
          <w:rPr>
            <w:webHidden/>
          </w:rPr>
          <w:fldChar w:fldCharType="end"/>
        </w:r>
      </w:hyperlink>
    </w:p>
    <w:p w14:paraId="676533A7" w14:textId="4AEA758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5"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Limitations on Generations</w:t>
        </w:r>
        <w:r>
          <w:rPr>
            <w:webHidden/>
          </w:rPr>
          <w:tab/>
        </w:r>
        <w:r>
          <w:rPr>
            <w:webHidden/>
          </w:rPr>
          <w:fldChar w:fldCharType="begin"/>
        </w:r>
        <w:r>
          <w:rPr>
            <w:webHidden/>
          </w:rPr>
          <w:instrText xml:space="preserve"> PAGEREF _Toc224818785 \h </w:instrText>
        </w:r>
        <w:r>
          <w:rPr>
            <w:webHidden/>
          </w:rPr>
        </w:r>
        <w:r>
          <w:rPr>
            <w:webHidden/>
          </w:rPr>
          <w:fldChar w:fldCharType="separate"/>
        </w:r>
        <w:r w:rsidR="00AA17AB">
          <w:rPr>
            <w:webHidden/>
          </w:rPr>
          <w:t>115</w:t>
        </w:r>
        <w:r>
          <w:rPr>
            <w:webHidden/>
          </w:rPr>
          <w:fldChar w:fldCharType="end"/>
        </w:r>
      </w:hyperlink>
    </w:p>
    <w:p w14:paraId="307B8E2C" w14:textId="251D92E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6"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Lot of Seed</w:t>
        </w:r>
        <w:r>
          <w:rPr>
            <w:webHidden/>
          </w:rPr>
          <w:tab/>
        </w:r>
        <w:r>
          <w:rPr>
            <w:webHidden/>
          </w:rPr>
          <w:fldChar w:fldCharType="begin"/>
        </w:r>
        <w:r>
          <w:rPr>
            <w:webHidden/>
          </w:rPr>
          <w:instrText xml:space="preserve"> PAGEREF _Toc224818786 \h </w:instrText>
        </w:r>
        <w:r>
          <w:rPr>
            <w:webHidden/>
          </w:rPr>
        </w:r>
        <w:r>
          <w:rPr>
            <w:webHidden/>
          </w:rPr>
          <w:fldChar w:fldCharType="separate"/>
        </w:r>
        <w:r w:rsidR="00AA17AB">
          <w:rPr>
            <w:webHidden/>
          </w:rPr>
          <w:t>115</w:t>
        </w:r>
        <w:r>
          <w:rPr>
            <w:webHidden/>
          </w:rPr>
          <w:fldChar w:fldCharType="end"/>
        </w:r>
      </w:hyperlink>
    </w:p>
    <w:p w14:paraId="0F09F52B" w14:textId="0C81A2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7" w:history="1">
        <w:r w:rsidRPr="00FC437C">
          <w:rPr>
            <w:rStyle w:val="Hyperlink"/>
          </w:rPr>
          <w:t>§515.</w:t>
        </w:r>
        <w:r>
          <w:rPr>
            <w:rFonts w:asciiTheme="minorHAnsi" w:eastAsiaTheme="minorEastAsia" w:hAnsiTheme="minorHAnsi" w:cstheme="minorBidi"/>
            <w:color w:val="auto"/>
            <w:kern w:val="2"/>
            <w:szCs w:val="24"/>
            <w14:ligatures w14:val="standardContextual"/>
          </w:rPr>
          <w:tab/>
        </w:r>
        <w:r w:rsidRPr="00FC437C">
          <w:rPr>
            <w:rStyle w:val="Hyperlink"/>
          </w:rPr>
          <w:t>Seed Sampling</w:t>
        </w:r>
        <w:r>
          <w:rPr>
            <w:webHidden/>
          </w:rPr>
          <w:tab/>
        </w:r>
        <w:r>
          <w:rPr>
            <w:webHidden/>
          </w:rPr>
          <w:fldChar w:fldCharType="begin"/>
        </w:r>
        <w:r>
          <w:rPr>
            <w:webHidden/>
          </w:rPr>
          <w:instrText xml:space="preserve"> PAGEREF _Toc224818787 \h </w:instrText>
        </w:r>
        <w:r>
          <w:rPr>
            <w:webHidden/>
          </w:rPr>
        </w:r>
        <w:r>
          <w:rPr>
            <w:webHidden/>
          </w:rPr>
          <w:fldChar w:fldCharType="separate"/>
        </w:r>
        <w:r w:rsidR="00AA17AB">
          <w:rPr>
            <w:webHidden/>
          </w:rPr>
          <w:t>115</w:t>
        </w:r>
        <w:r>
          <w:rPr>
            <w:webHidden/>
          </w:rPr>
          <w:fldChar w:fldCharType="end"/>
        </w:r>
      </w:hyperlink>
    </w:p>
    <w:p w14:paraId="0C0F3B88" w14:textId="1D4B59E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8" w:history="1">
        <w:r w:rsidRPr="00FC437C">
          <w:rPr>
            <w:rStyle w:val="Hyperlink"/>
          </w:rPr>
          <w:t>§517.</w:t>
        </w:r>
        <w:r>
          <w:rPr>
            <w:rFonts w:asciiTheme="minorHAnsi" w:eastAsiaTheme="minorEastAsia" w:hAnsiTheme="minorHAnsi" w:cstheme="minorBidi"/>
            <w:color w:val="auto"/>
            <w:kern w:val="2"/>
            <w:szCs w:val="24"/>
            <w14:ligatures w14:val="standardContextual"/>
          </w:rPr>
          <w:tab/>
        </w:r>
        <w:r w:rsidRPr="00FC437C">
          <w:rPr>
            <w:rStyle w:val="Hyperlink"/>
          </w:rPr>
          <w:t>Listing of Certified Seed Conditioning Plants</w:t>
        </w:r>
        <w:r>
          <w:rPr>
            <w:webHidden/>
          </w:rPr>
          <w:tab/>
        </w:r>
        <w:r>
          <w:rPr>
            <w:webHidden/>
          </w:rPr>
          <w:fldChar w:fldCharType="begin"/>
        </w:r>
        <w:r>
          <w:rPr>
            <w:webHidden/>
          </w:rPr>
          <w:instrText xml:space="preserve"> PAGEREF _Toc224818788 \h </w:instrText>
        </w:r>
        <w:r>
          <w:rPr>
            <w:webHidden/>
          </w:rPr>
        </w:r>
        <w:r>
          <w:rPr>
            <w:webHidden/>
          </w:rPr>
          <w:fldChar w:fldCharType="separate"/>
        </w:r>
        <w:r w:rsidR="00AA17AB">
          <w:rPr>
            <w:webHidden/>
          </w:rPr>
          <w:t>116</w:t>
        </w:r>
        <w:r>
          <w:rPr>
            <w:webHidden/>
          </w:rPr>
          <w:fldChar w:fldCharType="end"/>
        </w:r>
      </w:hyperlink>
    </w:p>
    <w:p w14:paraId="3F6B79C4" w14:textId="7727D20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89" w:history="1">
        <w:r w:rsidRPr="00FC437C">
          <w:rPr>
            <w:rStyle w:val="Hyperlink"/>
          </w:rPr>
          <w:t>§519.</w:t>
        </w:r>
        <w:r>
          <w:rPr>
            <w:rFonts w:asciiTheme="minorHAnsi" w:eastAsiaTheme="minorEastAsia" w:hAnsiTheme="minorHAnsi" w:cstheme="minorBidi"/>
            <w:color w:val="auto"/>
            <w:kern w:val="2"/>
            <w:szCs w:val="24"/>
            <w14:ligatures w14:val="standardContextual"/>
          </w:rPr>
          <w:tab/>
        </w:r>
        <w:r w:rsidRPr="00FC437C">
          <w:rPr>
            <w:rStyle w:val="Hyperlink"/>
          </w:rPr>
          <w:t>Processing of Certified Seed</w:t>
        </w:r>
        <w:r>
          <w:rPr>
            <w:webHidden/>
          </w:rPr>
          <w:tab/>
        </w:r>
        <w:r>
          <w:rPr>
            <w:webHidden/>
          </w:rPr>
          <w:fldChar w:fldCharType="begin"/>
        </w:r>
        <w:r>
          <w:rPr>
            <w:webHidden/>
          </w:rPr>
          <w:instrText xml:space="preserve"> PAGEREF _Toc224818789 \h </w:instrText>
        </w:r>
        <w:r>
          <w:rPr>
            <w:webHidden/>
          </w:rPr>
        </w:r>
        <w:r>
          <w:rPr>
            <w:webHidden/>
          </w:rPr>
          <w:fldChar w:fldCharType="separate"/>
        </w:r>
        <w:r w:rsidR="00AA17AB">
          <w:rPr>
            <w:webHidden/>
          </w:rPr>
          <w:t>116</w:t>
        </w:r>
        <w:r>
          <w:rPr>
            <w:webHidden/>
          </w:rPr>
          <w:fldChar w:fldCharType="end"/>
        </w:r>
      </w:hyperlink>
    </w:p>
    <w:p w14:paraId="192B383C" w14:textId="52833E0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0"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Bulk Certification Requirements</w:t>
        </w:r>
        <w:r>
          <w:rPr>
            <w:webHidden/>
          </w:rPr>
          <w:tab/>
        </w:r>
        <w:r>
          <w:rPr>
            <w:webHidden/>
          </w:rPr>
          <w:fldChar w:fldCharType="begin"/>
        </w:r>
        <w:r>
          <w:rPr>
            <w:webHidden/>
          </w:rPr>
          <w:instrText xml:space="preserve"> PAGEREF _Toc224818790 \h </w:instrText>
        </w:r>
        <w:r>
          <w:rPr>
            <w:webHidden/>
          </w:rPr>
        </w:r>
        <w:r>
          <w:rPr>
            <w:webHidden/>
          </w:rPr>
          <w:fldChar w:fldCharType="separate"/>
        </w:r>
        <w:r w:rsidR="00AA17AB">
          <w:rPr>
            <w:webHidden/>
          </w:rPr>
          <w:t>117</w:t>
        </w:r>
        <w:r>
          <w:rPr>
            <w:webHidden/>
          </w:rPr>
          <w:fldChar w:fldCharType="end"/>
        </w:r>
      </w:hyperlink>
    </w:p>
    <w:p w14:paraId="2A191C15" w14:textId="4E00DAA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1" w:history="1">
        <w:r w:rsidRPr="00FC437C">
          <w:rPr>
            <w:rStyle w:val="Hyperlink"/>
          </w:rPr>
          <w:t>§523.</w:t>
        </w:r>
        <w:r>
          <w:rPr>
            <w:rFonts w:asciiTheme="minorHAnsi" w:eastAsiaTheme="minorEastAsia" w:hAnsiTheme="minorHAnsi" w:cstheme="minorBidi"/>
            <w:color w:val="auto"/>
            <w:kern w:val="2"/>
            <w:szCs w:val="24"/>
            <w14:ligatures w14:val="standardContextual"/>
          </w:rPr>
          <w:tab/>
        </w:r>
        <w:r w:rsidRPr="00FC437C">
          <w:rPr>
            <w:rStyle w:val="Hyperlink"/>
          </w:rPr>
          <w:t>Interagency Certification (Out-of-State Seed)</w:t>
        </w:r>
        <w:r>
          <w:rPr>
            <w:webHidden/>
          </w:rPr>
          <w:tab/>
        </w:r>
        <w:r>
          <w:rPr>
            <w:webHidden/>
          </w:rPr>
          <w:fldChar w:fldCharType="begin"/>
        </w:r>
        <w:r>
          <w:rPr>
            <w:webHidden/>
          </w:rPr>
          <w:instrText xml:space="preserve"> PAGEREF _Toc224818791 \h </w:instrText>
        </w:r>
        <w:r>
          <w:rPr>
            <w:webHidden/>
          </w:rPr>
        </w:r>
        <w:r>
          <w:rPr>
            <w:webHidden/>
          </w:rPr>
          <w:fldChar w:fldCharType="separate"/>
        </w:r>
        <w:r w:rsidR="00AA17AB">
          <w:rPr>
            <w:webHidden/>
          </w:rPr>
          <w:t>118</w:t>
        </w:r>
        <w:r>
          <w:rPr>
            <w:webHidden/>
          </w:rPr>
          <w:fldChar w:fldCharType="end"/>
        </w:r>
      </w:hyperlink>
    </w:p>
    <w:p w14:paraId="205713A5" w14:textId="2135038F" w:rsidR="00E67799" w:rsidRDefault="00E67799">
      <w:pPr>
        <w:pStyle w:val="TOC2"/>
        <w:rPr>
          <w:rFonts w:asciiTheme="minorHAnsi" w:eastAsiaTheme="minorEastAsia" w:hAnsiTheme="minorHAnsi" w:cstheme="minorBidi"/>
          <w:kern w:val="2"/>
          <w:szCs w:val="24"/>
          <w14:ligatures w14:val="standardContextual"/>
        </w:rPr>
      </w:pPr>
      <w:hyperlink w:anchor="_Toc224818792"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Certification of Specific Crops/Varieties</w:t>
        </w:r>
        <w:r>
          <w:rPr>
            <w:webHidden/>
          </w:rPr>
          <w:tab/>
        </w:r>
        <w:r>
          <w:rPr>
            <w:webHidden/>
          </w:rPr>
          <w:fldChar w:fldCharType="begin"/>
        </w:r>
        <w:r>
          <w:rPr>
            <w:webHidden/>
          </w:rPr>
          <w:instrText xml:space="preserve"> PAGEREF _Toc224818792 \h </w:instrText>
        </w:r>
        <w:r>
          <w:rPr>
            <w:webHidden/>
          </w:rPr>
        </w:r>
        <w:r>
          <w:rPr>
            <w:webHidden/>
          </w:rPr>
          <w:fldChar w:fldCharType="separate"/>
        </w:r>
        <w:r w:rsidR="00AA17AB">
          <w:rPr>
            <w:webHidden/>
          </w:rPr>
          <w:t>118</w:t>
        </w:r>
        <w:r>
          <w:rPr>
            <w:webHidden/>
          </w:rPr>
          <w:fldChar w:fldCharType="end"/>
        </w:r>
      </w:hyperlink>
    </w:p>
    <w:p w14:paraId="47995564" w14:textId="7C3688A2" w:rsidR="00E67799" w:rsidRDefault="00E67799">
      <w:pPr>
        <w:pStyle w:val="TOC2"/>
        <w:rPr>
          <w:rFonts w:asciiTheme="minorHAnsi" w:eastAsiaTheme="minorEastAsia" w:hAnsiTheme="minorHAnsi" w:cstheme="minorBidi"/>
          <w:kern w:val="2"/>
          <w:szCs w:val="24"/>
          <w14:ligatures w14:val="standardContextual"/>
        </w:rPr>
      </w:pPr>
      <w:hyperlink w:anchor="_Toc224818793"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Grasses and Clovers</w:t>
        </w:r>
        <w:r>
          <w:rPr>
            <w:webHidden/>
          </w:rPr>
          <w:tab/>
        </w:r>
        <w:r>
          <w:rPr>
            <w:webHidden/>
          </w:rPr>
          <w:fldChar w:fldCharType="begin"/>
        </w:r>
        <w:r>
          <w:rPr>
            <w:webHidden/>
          </w:rPr>
          <w:instrText xml:space="preserve"> PAGEREF _Toc224818793 \h </w:instrText>
        </w:r>
        <w:r>
          <w:rPr>
            <w:webHidden/>
          </w:rPr>
        </w:r>
        <w:r>
          <w:rPr>
            <w:webHidden/>
          </w:rPr>
          <w:fldChar w:fldCharType="separate"/>
        </w:r>
        <w:r w:rsidR="00AA17AB">
          <w:rPr>
            <w:webHidden/>
          </w:rPr>
          <w:t>118</w:t>
        </w:r>
        <w:r>
          <w:rPr>
            <w:webHidden/>
          </w:rPr>
          <w:fldChar w:fldCharType="end"/>
        </w:r>
      </w:hyperlink>
    </w:p>
    <w:p w14:paraId="606DBCDC" w14:textId="4273513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4"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Crimson Clover Seed Certification Standards</w:t>
        </w:r>
        <w:r>
          <w:rPr>
            <w:webHidden/>
          </w:rPr>
          <w:tab/>
        </w:r>
        <w:r>
          <w:rPr>
            <w:webHidden/>
          </w:rPr>
          <w:fldChar w:fldCharType="begin"/>
        </w:r>
        <w:r>
          <w:rPr>
            <w:webHidden/>
          </w:rPr>
          <w:instrText xml:space="preserve"> PAGEREF _Toc224818794 \h </w:instrText>
        </w:r>
        <w:r>
          <w:rPr>
            <w:webHidden/>
          </w:rPr>
        </w:r>
        <w:r>
          <w:rPr>
            <w:webHidden/>
          </w:rPr>
          <w:fldChar w:fldCharType="separate"/>
        </w:r>
        <w:r w:rsidR="00AA17AB">
          <w:rPr>
            <w:webHidden/>
          </w:rPr>
          <w:t>118</w:t>
        </w:r>
        <w:r>
          <w:rPr>
            <w:webHidden/>
          </w:rPr>
          <w:fldChar w:fldCharType="end"/>
        </w:r>
      </w:hyperlink>
    </w:p>
    <w:p w14:paraId="6CF33476" w14:textId="4F1BFA8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5" w:history="1">
        <w:r w:rsidRPr="00FC437C">
          <w:rPr>
            <w:rStyle w:val="Hyperlink"/>
          </w:rPr>
          <w:t>§703.</w:t>
        </w:r>
        <w:r>
          <w:rPr>
            <w:rFonts w:asciiTheme="minorHAnsi" w:eastAsiaTheme="minorEastAsia" w:hAnsiTheme="minorHAnsi" w:cstheme="minorBidi"/>
            <w:color w:val="auto"/>
            <w:kern w:val="2"/>
            <w:szCs w:val="24"/>
            <w14:ligatures w14:val="standardContextual"/>
          </w:rPr>
          <w:tab/>
        </w:r>
        <w:r w:rsidRPr="00FC437C">
          <w:rPr>
            <w:rStyle w:val="Hyperlink"/>
          </w:rPr>
          <w:t xml:space="preserve">Louisiana White; Louisiana White S 1, Ladino and Other White Clover Seed </w:t>
        </w:r>
        <w:r w:rsidR="00695EC1">
          <w:rPr>
            <w:rStyle w:val="Hyperlink"/>
          </w:rPr>
          <w:br/>
        </w:r>
        <w:r w:rsidR="00695EC1">
          <w:rPr>
            <w:rStyle w:val="Hyperlink"/>
          </w:rPr>
          <w:tab/>
        </w:r>
        <w:r w:rsidRPr="00FC437C">
          <w:rPr>
            <w:rStyle w:val="Hyperlink"/>
          </w:rPr>
          <w:t>Certification Standards</w:t>
        </w:r>
        <w:r>
          <w:rPr>
            <w:webHidden/>
          </w:rPr>
          <w:tab/>
        </w:r>
        <w:r>
          <w:rPr>
            <w:webHidden/>
          </w:rPr>
          <w:fldChar w:fldCharType="begin"/>
        </w:r>
        <w:r>
          <w:rPr>
            <w:webHidden/>
          </w:rPr>
          <w:instrText xml:space="preserve"> PAGEREF _Toc224818795 \h </w:instrText>
        </w:r>
        <w:r>
          <w:rPr>
            <w:webHidden/>
          </w:rPr>
        </w:r>
        <w:r>
          <w:rPr>
            <w:webHidden/>
          </w:rPr>
          <w:fldChar w:fldCharType="separate"/>
        </w:r>
        <w:r w:rsidR="00AA17AB">
          <w:rPr>
            <w:webHidden/>
          </w:rPr>
          <w:t>118</w:t>
        </w:r>
        <w:r>
          <w:rPr>
            <w:webHidden/>
          </w:rPr>
          <w:fldChar w:fldCharType="end"/>
        </w:r>
      </w:hyperlink>
    </w:p>
    <w:p w14:paraId="49308C53" w14:textId="3F23A6E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6" w:history="1">
        <w:r w:rsidRPr="00FC437C">
          <w:rPr>
            <w:rStyle w:val="Hyperlink"/>
          </w:rPr>
          <w:t>§705.</w:t>
        </w:r>
        <w:r>
          <w:rPr>
            <w:rFonts w:asciiTheme="minorHAnsi" w:eastAsiaTheme="minorEastAsia" w:hAnsiTheme="minorHAnsi" w:cstheme="minorBidi"/>
            <w:color w:val="auto"/>
            <w:kern w:val="2"/>
            <w:szCs w:val="24"/>
            <w14:ligatures w14:val="standardContextual"/>
          </w:rPr>
          <w:tab/>
        </w:r>
        <w:r w:rsidRPr="00FC437C">
          <w:rPr>
            <w:rStyle w:val="Hyperlink"/>
          </w:rPr>
          <w:t>Red Clover Seed Certification Standards</w:t>
        </w:r>
        <w:r>
          <w:rPr>
            <w:webHidden/>
          </w:rPr>
          <w:tab/>
        </w:r>
        <w:r>
          <w:rPr>
            <w:webHidden/>
          </w:rPr>
          <w:fldChar w:fldCharType="begin"/>
        </w:r>
        <w:r>
          <w:rPr>
            <w:webHidden/>
          </w:rPr>
          <w:instrText xml:space="preserve"> PAGEREF _Toc224818796 \h </w:instrText>
        </w:r>
        <w:r>
          <w:rPr>
            <w:webHidden/>
          </w:rPr>
        </w:r>
        <w:r>
          <w:rPr>
            <w:webHidden/>
          </w:rPr>
          <w:fldChar w:fldCharType="separate"/>
        </w:r>
        <w:r w:rsidR="00AA17AB">
          <w:rPr>
            <w:webHidden/>
          </w:rPr>
          <w:t>119</w:t>
        </w:r>
        <w:r>
          <w:rPr>
            <w:webHidden/>
          </w:rPr>
          <w:fldChar w:fldCharType="end"/>
        </w:r>
      </w:hyperlink>
    </w:p>
    <w:p w14:paraId="668436EC" w14:textId="33EB40F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7" w:history="1">
        <w:r w:rsidRPr="00FC437C">
          <w:rPr>
            <w:rStyle w:val="Hyperlink"/>
          </w:rPr>
          <w:t>§707.</w:t>
        </w:r>
        <w:r>
          <w:rPr>
            <w:rFonts w:asciiTheme="minorHAnsi" w:eastAsiaTheme="minorEastAsia" w:hAnsiTheme="minorHAnsi" w:cstheme="minorBidi"/>
            <w:color w:val="auto"/>
            <w:kern w:val="2"/>
            <w:szCs w:val="24"/>
            <w14:ligatures w14:val="standardContextual"/>
          </w:rPr>
          <w:tab/>
        </w:r>
        <w:r w:rsidRPr="00FC437C">
          <w:rPr>
            <w:rStyle w:val="Hyperlink"/>
          </w:rPr>
          <w:t>Bahia Grass Seed Certification Standards</w:t>
        </w:r>
        <w:r>
          <w:rPr>
            <w:webHidden/>
          </w:rPr>
          <w:tab/>
        </w:r>
        <w:r>
          <w:rPr>
            <w:webHidden/>
          </w:rPr>
          <w:fldChar w:fldCharType="begin"/>
        </w:r>
        <w:r>
          <w:rPr>
            <w:webHidden/>
          </w:rPr>
          <w:instrText xml:space="preserve"> PAGEREF _Toc224818797 \h </w:instrText>
        </w:r>
        <w:r>
          <w:rPr>
            <w:webHidden/>
          </w:rPr>
        </w:r>
        <w:r>
          <w:rPr>
            <w:webHidden/>
          </w:rPr>
          <w:fldChar w:fldCharType="separate"/>
        </w:r>
        <w:r w:rsidR="00AA17AB">
          <w:rPr>
            <w:webHidden/>
          </w:rPr>
          <w:t>119</w:t>
        </w:r>
        <w:r>
          <w:rPr>
            <w:webHidden/>
          </w:rPr>
          <w:fldChar w:fldCharType="end"/>
        </w:r>
      </w:hyperlink>
    </w:p>
    <w:p w14:paraId="793BF5B7" w14:textId="16A6E8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8" w:history="1">
        <w:r w:rsidRPr="00FC437C">
          <w:rPr>
            <w:rStyle w:val="Hyperlink"/>
          </w:rPr>
          <w:t>§709.</w:t>
        </w:r>
        <w:r>
          <w:rPr>
            <w:rFonts w:asciiTheme="minorHAnsi" w:eastAsiaTheme="minorEastAsia" w:hAnsiTheme="minorHAnsi" w:cstheme="minorBidi"/>
            <w:color w:val="auto"/>
            <w:kern w:val="2"/>
            <w:szCs w:val="24"/>
            <w14:ligatures w14:val="standardContextual"/>
          </w:rPr>
          <w:tab/>
        </w:r>
        <w:r w:rsidRPr="00FC437C">
          <w:rPr>
            <w:rStyle w:val="Hyperlink"/>
          </w:rPr>
          <w:t>Bermuda and Zoysia Grass Seed Certification Standards</w:t>
        </w:r>
        <w:r>
          <w:rPr>
            <w:webHidden/>
          </w:rPr>
          <w:tab/>
        </w:r>
        <w:r>
          <w:rPr>
            <w:webHidden/>
          </w:rPr>
          <w:fldChar w:fldCharType="begin"/>
        </w:r>
        <w:r>
          <w:rPr>
            <w:webHidden/>
          </w:rPr>
          <w:instrText xml:space="preserve"> PAGEREF _Toc224818798 \h </w:instrText>
        </w:r>
        <w:r>
          <w:rPr>
            <w:webHidden/>
          </w:rPr>
        </w:r>
        <w:r>
          <w:rPr>
            <w:webHidden/>
          </w:rPr>
          <w:fldChar w:fldCharType="separate"/>
        </w:r>
        <w:r w:rsidR="00AA17AB">
          <w:rPr>
            <w:webHidden/>
          </w:rPr>
          <w:t>119</w:t>
        </w:r>
        <w:r>
          <w:rPr>
            <w:webHidden/>
          </w:rPr>
          <w:fldChar w:fldCharType="end"/>
        </w:r>
      </w:hyperlink>
    </w:p>
    <w:p w14:paraId="0C4E6299" w14:textId="35EB9D0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799"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Dallis Grass Seed Certification Standards</w:t>
        </w:r>
        <w:r>
          <w:rPr>
            <w:webHidden/>
          </w:rPr>
          <w:tab/>
        </w:r>
        <w:r>
          <w:rPr>
            <w:webHidden/>
          </w:rPr>
          <w:fldChar w:fldCharType="begin"/>
        </w:r>
        <w:r>
          <w:rPr>
            <w:webHidden/>
          </w:rPr>
          <w:instrText xml:space="preserve"> PAGEREF _Toc224818799 \h </w:instrText>
        </w:r>
        <w:r>
          <w:rPr>
            <w:webHidden/>
          </w:rPr>
        </w:r>
        <w:r>
          <w:rPr>
            <w:webHidden/>
          </w:rPr>
          <w:fldChar w:fldCharType="separate"/>
        </w:r>
        <w:r w:rsidR="00AA17AB">
          <w:rPr>
            <w:webHidden/>
          </w:rPr>
          <w:t>120</w:t>
        </w:r>
        <w:r>
          <w:rPr>
            <w:webHidden/>
          </w:rPr>
          <w:fldChar w:fldCharType="end"/>
        </w:r>
      </w:hyperlink>
    </w:p>
    <w:p w14:paraId="36293776" w14:textId="14C4B58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0" w:history="1">
        <w:r w:rsidRPr="00FC437C">
          <w:rPr>
            <w:rStyle w:val="Hyperlink"/>
          </w:rPr>
          <w:t>§713.</w:t>
        </w:r>
        <w:r>
          <w:rPr>
            <w:rFonts w:asciiTheme="minorHAnsi" w:eastAsiaTheme="minorEastAsia" w:hAnsiTheme="minorHAnsi" w:cstheme="minorBidi"/>
            <w:color w:val="auto"/>
            <w:kern w:val="2"/>
            <w:szCs w:val="24"/>
            <w14:ligatures w14:val="standardContextual"/>
          </w:rPr>
          <w:tab/>
        </w:r>
        <w:r w:rsidRPr="00FC437C">
          <w:rPr>
            <w:rStyle w:val="Hyperlink"/>
          </w:rPr>
          <w:t>Annual Ryegrass Seed Certification Standards</w:t>
        </w:r>
        <w:r>
          <w:rPr>
            <w:webHidden/>
          </w:rPr>
          <w:tab/>
        </w:r>
        <w:r>
          <w:rPr>
            <w:webHidden/>
          </w:rPr>
          <w:fldChar w:fldCharType="begin"/>
        </w:r>
        <w:r>
          <w:rPr>
            <w:webHidden/>
          </w:rPr>
          <w:instrText xml:space="preserve"> PAGEREF _Toc224818800 \h </w:instrText>
        </w:r>
        <w:r>
          <w:rPr>
            <w:webHidden/>
          </w:rPr>
        </w:r>
        <w:r>
          <w:rPr>
            <w:webHidden/>
          </w:rPr>
          <w:fldChar w:fldCharType="separate"/>
        </w:r>
        <w:r w:rsidR="00AA17AB">
          <w:rPr>
            <w:webHidden/>
          </w:rPr>
          <w:t>120</w:t>
        </w:r>
        <w:r>
          <w:rPr>
            <w:webHidden/>
          </w:rPr>
          <w:fldChar w:fldCharType="end"/>
        </w:r>
      </w:hyperlink>
    </w:p>
    <w:p w14:paraId="66418654" w14:textId="574B472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1" w:history="1">
        <w:r w:rsidRPr="00FC437C">
          <w:rPr>
            <w:rStyle w:val="Hyperlink"/>
          </w:rPr>
          <w:t>§715.</w:t>
        </w:r>
        <w:r>
          <w:rPr>
            <w:rFonts w:asciiTheme="minorHAnsi" w:eastAsiaTheme="minorEastAsia" w:hAnsiTheme="minorHAnsi" w:cstheme="minorBidi"/>
            <w:color w:val="auto"/>
            <w:kern w:val="2"/>
            <w:szCs w:val="24"/>
            <w14:ligatures w14:val="standardContextual"/>
          </w:rPr>
          <w:tab/>
        </w:r>
        <w:r w:rsidRPr="00FC437C">
          <w:rPr>
            <w:rStyle w:val="Hyperlink"/>
          </w:rPr>
          <w:t>California Bulrush (</w:t>
        </w:r>
        <w:r w:rsidRPr="00FC437C">
          <w:rPr>
            <w:rStyle w:val="Hyperlink"/>
            <w:i/>
          </w:rPr>
          <w:t>Schoenoplectus californicus</w:t>
        </w:r>
        <w:r w:rsidRPr="00FC437C">
          <w:rPr>
            <w:rStyle w:val="Hyperlink"/>
          </w:rPr>
          <w:t xml:space="preserve">) Clonally Propagated Plant </w:t>
        </w:r>
        <w:r w:rsidR="00695EC1">
          <w:rPr>
            <w:rStyle w:val="Hyperlink"/>
          </w:rPr>
          <w:br/>
        </w:r>
        <w:r w:rsidR="00695EC1">
          <w:rPr>
            <w:rStyle w:val="Hyperlink"/>
          </w:rPr>
          <w:tab/>
        </w:r>
        <w:r w:rsidRPr="00FC437C">
          <w:rPr>
            <w:rStyle w:val="Hyperlink"/>
          </w:rPr>
          <w:t>Certification Standards</w:t>
        </w:r>
        <w:r>
          <w:rPr>
            <w:webHidden/>
          </w:rPr>
          <w:tab/>
        </w:r>
        <w:r>
          <w:rPr>
            <w:webHidden/>
          </w:rPr>
          <w:fldChar w:fldCharType="begin"/>
        </w:r>
        <w:r>
          <w:rPr>
            <w:webHidden/>
          </w:rPr>
          <w:instrText xml:space="preserve"> PAGEREF _Toc224818801 \h </w:instrText>
        </w:r>
        <w:r>
          <w:rPr>
            <w:webHidden/>
          </w:rPr>
        </w:r>
        <w:r>
          <w:rPr>
            <w:webHidden/>
          </w:rPr>
          <w:fldChar w:fldCharType="separate"/>
        </w:r>
        <w:r w:rsidR="00AA17AB">
          <w:rPr>
            <w:webHidden/>
          </w:rPr>
          <w:t>120</w:t>
        </w:r>
        <w:r>
          <w:rPr>
            <w:webHidden/>
          </w:rPr>
          <w:fldChar w:fldCharType="end"/>
        </w:r>
      </w:hyperlink>
    </w:p>
    <w:p w14:paraId="7ACB23E5" w14:textId="526412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2" w:history="1">
        <w:r w:rsidRPr="00FC437C">
          <w:rPr>
            <w:rStyle w:val="Hyperlink"/>
          </w:rPr>
          <w:t>§717.</w:t>
        </w:r>
        <w:r>
          <w:rPr>
            <w:rFonts w:asciiTheme="minorHAnsi" w:eastAsiaTheme="minorEastAsia" w:hAnsiTheme="minorHAnsi" w:cstheme="minorBidi"/>
            <w:color w:val="auto"/>
            <w:kern w:val="2"/>
            <w:szCs w:val="24"/>
            <w14:ligatures w14:val="standardContextual"/>
          </w:rPr>
          <w:tab/>
        </w:r>
        <w:r w:rsidRPr="00FC437C">
          <w:rPr>
            <w:rStyle w:val="Hyperlink"/>
          </w:rPr>
          <w:t>Sea Oats (</w:t>
        </w:r>
        <w:r w:rsidRPr="00FC437C">
          <w:rPr>
            <w:rStyle w:val="Hyperlink"/>
            <w:i/>
          </w:rPr>
          <w:t>Uniola paniculata</w:t>
        </w:r>
        <w:r w:rsidRPr="00FC437C">
          <w:rPr>
            <w:rStyle w:val="Hyperlink"/>
          </w:rPr>
          <w:t>) Clonally Propagated Plant Certification Standards</w:t>
        </w:r>
        <w:r>
          <w:rPr>
            <w:webHidden/>
          </w:rPr>
          <w:tab/>
        </w:r>
        <w:r>
          <w:rPr>
            <w:webHidden/>
          </w:rPr>
          <w:fldChar w:fldCharType="begin"/>
        </w:r>
        <w:r>
          <w:rPr>
            <w:webHidden/>
          </w:rPr>
          <w:instrText xml:space="preserve"> PAGEREF _Toc224818802 \h </w:instrText>
        </w:r>
        <w:r>
          <w:rPr>
            <w:webHidden/>
          </w:rPr>
        </w:r>
        <w:r>
          <w:rPr>
            <w:webHidden/>
          </w:rPr>
          <w:fldChar w:fldCharType="separate"/>
        </w:r>
        <w:r w:rsidR="00AA17AB">
          <w:rPr>
            <w:webHidden/>
          </w:rPr>
          <w:t>121</w:t>
        </w:r>
        <w:r>
          <w:rPr>
            <w:webHidden/>
          </w:rPr>
          <w:fldChar w:fldCharType="end"/>
        </w:r>
      </w:hyperlink>
    </w:p>
    <w:p w14:paraId="5E2D1129" w14:textId="7E80AFC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3" w:history="1">
        <w:r w:rsidRPr="00FC437C">
          <w:rPr>
            <w:rStyle w:val="Hyperlink"/>
          </w:rPr>
          <w:t>§719.</w:t>
        </w:r>
        <w:r>
          <w:rPr>
            <w:rFonts w:asciiTheme="minorHAnsi" w:eastAsiaTheme="minorEastAsia" w:hAnsiTheme="minorHAnsi" w:cstheme="minorBidi"/>
            <w:color w:val="auto"/>
            <w:kern w:val="2"/>
            <w:szCs w:val="24"/>
            <w14:ligatures w14:val="standardContextual"/>
          </w:rPr>
          <w:tab/>
        </w:r>
        <w:r w:rsidRPr="00FC437C">
          <w:rPr>
            <w:rStyle w:val="Hyperlink"/>
          </w:rPr>
          <w:t>Smooth Cordgrass (</w:t>
        </w:r>
        <w:r w:rsidRPr="00FC437C">
          <w:rPr>
            <w:rStyle w:val="Hyperlink"/>
            <w:i/>
          </w:rPr>
          <w:t>Spartina alterniflora</w:t>
        </w:r>
        <w:r w:rsidRPr="00FC437C">
          <w:rPr>
            <w:rStyle w:val="Hyperlink"/>
          </w:rPr>
          <w:t>) Certification Standards</w:t>
        </w:r>
        <w:r>
          <w:rPr>
            <w:webHidden/>
          </w:rPr>
          <w:tab/>
        </w:r>
        <w:r>
          <w:rPr>
            <w:webHidden/>
          </w:rPr>
          <w:fldChar w:fldCharType="begin"/>
        </w:r>
        <w:r>
          <w:rPr>
            <w:webHidden/>
          </w:rPr>
          <w:instrText xml:space="preserve"> PAGEREF _Toc224818803 \h </w:instrText>
        </w:r>
        <w:r>
          <w:rPr>
            <w:webHidden/>
          </w:rPr>
        </w:r>
        <w:r>
          <w:rPr>
            <w:webHidden/>
          </w:rPr>
          <w:fldChar w:fldCharType="separate"/>
        </w:r>
        <w:r w:rsidR="00AA17AB">
          <w:rPr>
            <w:webHidden/>
          </w:rPr>
          <w:t>122</w:t>
        </w:r>
        <w:r>
          <w:rPr>
            <w:webHidden/>
          </w:rPr>
          <w:fldChar w:fldCharType="end"/>
        </w:r>
      </w:hyperlink>
    </w:p>
    <w:p w14:paraId="01F82D3C" w14:textId="2E914F9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4" w:history="1">
        <w:r w:rsidRPr="00FC437C">
          <w:rPr>
            <w:rStyle w:val="Hyperlink"/>
          </w:rPr>
          <w:t>§721.</w:t>
        </w:r>
        <w:r>
          <w:rPr>
            <w:rFonts w:asciiTheme="minorHAnsi" w:eastAsiaTheme="minorEastAsia" w:hAnsiTheme="minorHAnsi" w:cstheme="minorBidi"/>
            <w:color w:val="auto"/>
            <w:kern w:val="2"/>
            <w:szCs w:val="24"/>
            <w14:ligatures w14:val="standardContextual"/>
          </w:rPr>
          <w:tab/>
        </w:r>
        <w:r w:rsidRPr="00FC437C">
          <w:rPr>
            <w:rStyle w:val="Hyperlink"/>
          </w:rPr>
          <w:t>Tall and Meadow Fescue Seed  Certification Standards</w:t>
        </w:r>
        <w:r>
          <w:rPr>
            <w:webHidden/>
          </w:rPr>
          <w:tab/>
        </w:r>
        <w:r>
          <w:rPr>
            <w:webHidden/>
          </w:rPr>
          <w:fldChar w:fldCharType="begin"/>
        </w:r>
        <w:r>
          <w:rPr>
            <w:webHidden/>
          </w:rPr>
          <w:instrText xml:space="preserve"> PAGEREF _Toc224818804 \h </w:instrText>
        </w:r>
        <w:r>
          <w:rPr>
            <w:webHidden/>
          </w:rPr>
        </w:r>
        <w:r>
          <w:rPr>
            <w:webHidden/>
          </w:rPr>
          <w:fldChar w:fldCharType="separate"/>
        </w:r>
        <w:r w:rsidR="00AA17AB">
          <w:rPr>
            <w:webHidden/>
          </w:rPr>
          <w:t>123</w:t>
        </w:r>
        <w:r>
          <w:rPr>
            <w:webHidden/>
          </w:rPr>
          <w:fldChar w:fldCharType="end"/>
        </w:r>
      </w:hyperlink>
    </w:p>
    <w:p w14:paraId="28EC1A62" w14:textId="690868E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5" w:history="1">
        <w:r w:rsidRPr="00FC437C">
          <w:rPr>
            <w:rStyle w:val="Hyperlink"/>
          </w:rPr>
          <w:t>§723.</w:t>
        </w:r>
        <w:r>
          <w:rPr>
            <w:rFonts w:asciiTheme="minorHAnsi" w:eastAsiaTheme="minorEastAsia" w:hAnsiTheme="minorHAnsi" w:cstheme="minorBidi"/>
            <w:color w:val="auto"/>
            <w:kern w:val="2"/>
            <w:szCs w:val="24"/>
            <w14:ligatures w14:val="standardContextual"/>
          </w:rPr>
          <w:tab/>
        </w:r>
        <w:r w:rsidRPr="00FC437C">
          <w:rPr>
            <w:rStyle w:val="Hyperlink"/>
          </w:rPr>
          <w:t>Turf and Pasture Grass Certification Standards</w:t>
        </w:r>
        <w:r>
          <w:rPr>
            <w:webHidden/>
          </w:rPr>
          <w:tab/>
        </w:r>
        <w:r>
          <w:rPr>
            <w:webHidden/>
          </w:rPr>
          <w:fldChar w:fldCharType="begin"/>
        </w:r>
        <w:r>
          <w:rPr>
            <w:webHidden/>
          </w:rPr>
          <w:instrText xml:space="preserve"> PAGEREF _Toc224818805 \h </w:instrText>
        </w:r>
        <w:r>
          <w:rPr>
            <w:webHidden/>
          </w:rPr>
        </w:r>
        <w:r>
          <w:rPr>
            <w:webHidden/>
          </w:rPr>
          <w:fldChar w:fldCharType="separate"/>
        </w:r>
        <w:r w:rsidR="00AA17AB">
          <w:rPr>
            <w:webHidden/>
          </w:rPr>
          <w:t>124</w:t>
        </w:r>
        <w:r>
          <w:rPr>
            <w:webHidden/>
          </w:rPr>
          <w:fldChar w:fldCharType="end"/>
        </w:r>
      </w:hyperlink>
    </w:p>
    <w:p w14:paraId="04BCF54E" w14:textId="7871E0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6" w:history="1">
        <w:r w:rsidRPr="00FC437C">
          <w:rPr>
            <w:rStyle w:val="Hyperlink"/>
          </w:rPr>
          <w:t>§725.</w:t>
        </w:r>
        <w:r>
          <w:rPr>
            <w:rFonts w:asciiTheme="minorHAnsi" w:eastAsiaTheme="minorEastAsia" w:hAnsiTheme="minorHAnsi" w:cstheme="minorBidi"/>
            <w:color w:val="auto"/>
            <w:kern w:val="2"/>
            <w:szCs w:val="24"/>
            <w14:ligatures w14:val="standardContextual"/>
          </w:rPr>
          <w:tab/>
        </w:r>
        <w:r w:rsidRPr="00FC437C">
          <w:rPr>
            <w:rStyle w:val="Hyperlink"/>
          </w:rPr>
          <w:t>Vetch Seed Certification Standards</w:t>
        </w:r>
        <w:r>
          <w:rPr>
            <w:webHidden/>
          </w:rPr>
          <w:tab/>
        </w:r>
        <w:r>
          <w:rPr>
            <w:webHidden/>
          </w:rPr>
          <w:fldChar w:fldCharType="begin"/>
        </w:r>
        <w:r>
          <w:rPr>
            <w:webHidden/>
          </w:rPr>
          <w:instrText xml:space="preserve"> PAGEREF _Toc224818806 \h </w:instrText>
        </w:r>
        <w:r>
          <w:rPr>
            <w:webHidden/>
          </w:rPr>
        </w:r>
        <w:r>
          <w:rPr>
            <w:webHidden/>
          </w:rPr>
          <w:fldChar w:fldCharType="separate"/>
        </w:r>
        <w:r w:rsidR="00AA17AB">
          <w:rPr>
            <w:webHidden/>
          </w:rPr>
          <w:t>125</w:t>
        </w:r>
        <w:r>
          <w:rPr>
            <w:webHidden/>
          </w:rPr>
          <w:fldChar w:fldCharType="end"/>
        </w:r>
      </w:hyperlink>
    </w:p>
    <w:p w14:paraId="601B5154" w14:textId="01C07DF5" w:rsidR="00E67799" w:rsidRDefault="00E67799">
      <w:pPr>
        <w:pStyle w:val="TOC3"/>
        <w:tabs>
          <w:tab w:val="left" w:pos="1846"/>
        </w:tabs>
        <w:rPr>
          <w:rFonts w:asciiTheme="minorHAnsi" w:eastAsiaTheme="minorEastAsia" w:hAnsiTheme="minorHAnsi" w:cstheme="minorBidi"/>
          <w:color w:val="auto"/>
          <w:kern w:val="2"/>
          <w:szCs w:val="24"/>
          <w14:ligatures w14:val="standardContextual"/>
        </w:rPr>
      </w:pPr>
      <w:hyperlink w:anchor="_Toc224818807" w:history="1">
        <w:r w:rsidRPr="00FC437C">
          <w:rPr>
            <w:rStyle w:val="Hyperlink"/>
          </w:rPr>
          <w:t>§§727.-739.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_Toc224818807 \h </w:instrText>
        </w:r>
        <w:r>
          <w:rPr>
            <w:webHidden/>
          </w:rPr>
        </w:r>
        <w:r>
          <w:rPr>
            <w:webHidden/>
          </w:rPr>
          <w:fldChar w:fldCharType="separate"/>
        </w:r>
        <w:r w:rsidR="00AA17AB">
          <w:rPr>
            <w:webHidden/>
          </w:rPr>
          <w:t>125</w:t>
        </w:r>
        <w:r>
          <w:rPr>
            <w:webHidden/>
          </w:rPr>
          <w:fldChar w:fldCharType="end"/>
        </w:r>
      </w:hyperlink>
    </w:p>
    <w:p w14:paraId="130BF2DD" w14:textId="0FC7180B" w:rsidR="00E67799" w:rsidRDefault="00E67799">
      <w:pPr>
        <w:pStyle w:val="TOC2"/>
        <w:rPr>
          <w:rFonts w:asciiTheme="minorHAnsi" w:eastAsiaTheme="minorEastAsia" w:hAnsiTheme="minorHAnsi" w:cstheme="minorBidi"/>
          <w:kern w:val="2"/>
          <w:szCs w:val="24"/>
          <w14:ligatures w14:val="standardContextual"/>
        </w:rPr>
      </w:pPr>
      <w:hyperlink w:anchor="_Toc22481880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Grain and Row Crop Seeds</w:t>
        </w:r>
        <w:r>
          <w:rPr>
            <w:webHidden/>
          </w:rPr>
          <w:tab/>
        </w:r>
        <w:r>
          <w:rPr>
            <w:webHidden/>
          </w:rPr>
          <w:fldChar w:fldCharType="begin"/>
        </w:r>
        <w:r>
          <w:rPr>
            <w:webHidden/>
          </w:rPr>
          <w:instrText xml:space="preserve"> PAGEREF _Toc224818808 \h </w:instrText>
        </w:r>
        <w:r>
          <w:rPr>
            <w:webHidden/>
          </w:rPr>
        </w:r>
        <w:r>
          <w:rPr>
            <w:webHidden/>
          </w:rPr>
          <w:fldChar w:fldCharType="separate"/>
        </w:r>
        <w:r w:rsidR="00AA17AB">
          <w:rPr>
            <w:webHidden/>
          </w:rPr>
          <w:t>125</w:t>
        </w:r>
        <w:r>
          <w:rPr>
            <w:webHidden/>
          </w:rPr>
          <w:fldChar w:fldCharType="end"/>
        </w:r>
      </w:hyperlink>
    </w:p>
    <w:p w14:paraId="4C70B89D" w14:textId="5B24832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09" w:history="1">
        <w:r w:rsidRPr="00FC437C">
          <w:rPr>
            <w:rStyle w:val="Hyperlink"/>
          </w:rPr>
          <w:t>§741.</w:t>
        </w:r>
        <w:r>
          <w:rPr>
            <w:rFonts w:asciiTheme="minorHAnsi" w:eastAsiaTheme="minorEastAsia" w:hAnsiTheme="minorHAnsi" w:cstheme="minorBidi"/>
            <w:color w:val="auto"/>
            <w:kern w:val="2"/>
            <w:szCs w:val="24"/>
            <w14:ligatures w14:val="standardContextual"/>
          </w:rPr>
          <w:tab/>
        </w:r>
        <w:r w:rsidRPr="00FC437C">
          <w:rPr>
            <w:rStyle w:val="Hyperlink"/>
          </w:rPr>
          <w:t>Cottonseed Seed Certification Standards</w:t>
        </w:r>
        <w:r>
          <w:rPr>
            <w:webHidden/>
          </w:rPr>
          <w:tab/>
        </w:r>
        <w:r>
          <w:rPr>
            <w:webHidden/>
          </w:rPr>
          <w:fldChar w:fldCharType="begin"/>
        </w:r>
        <w:r>
          <w:rPr>
            <w:webHidden/>
          </w:rPr>
          <w:instrText xml:space="preserve"> PAGEREF _Toc224818809 \h </w:instrText>
        </w:r>
        <w:r>
          <w:rPr>
            <w:webHidden/>
          </w:rPr>
        </w:r>
        <w:r>
          <w:rPr>
            <w:webHidden/>
          </w:rPr>
          <w:fldChar w:fldCharType="separate"/>
        </w:r>
        <w:r w:rsidR="00AA17AB">
          <w:rPr>
            <w:webHidden/>
          </w:rPr>
          <w:t>125</w:t>
        </w:r>
        <w:r>
          <w:rPr>
            <w:webHidden/>
          </w:rPr>
          <w:fldChar w:fldCharType="end"/>
        </w:r>
      </w:hyperlink>
    </w:p>
    <w:p w14:paraId="1B673EF2" w14:textId="6A4089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0" w:history="1">
        <w:r w:rsidRPr="00FC437C">
          <w:rPr>
            <w:rStyle w:val="Hyperlink"/>
          </w:rPr>
          <w:t>§743.</w:t>
        </w:r>
        <w:r>
          <w:rPr>
            <w:rFonts w:asciiTheme="minorHAnsi" w:eastAsiaTheme="minorEastAsia" w:hAnsiTheme="minorHAnsi" w:cstheme="minorBidi"/>
            <w:color w:val="auto"/>
            <w:kern w:val="2"/>
            <w:szCs w:val="24"/>
            <w14:ligatures w14:val="standardContextual"/>
          </w:rPr>
          <w:tab/>
        </w:r>
        <w:r w:rsidRPr="00FC437C">
          <w:rPr>
            <w:rStyle w:val="Hyperlink"/>
          </w:rPr>
          <w:t>Hybrid Seed Corn Certification Standards</w:t>
        </w:r>
        <w:r>
          <w:rPr>
            <w:webHidden/>
          </w:rPr>
          <w:tab/>
        </w:r>
        <w:r>
          <w:rPr>
            <w:webHidden/>
          </w:rPr>
          <w:fldChar w:fldCharType="begin"/>
        </w:r>
        <w:r>
          <w:rPr>
            <w:webHidden/>
          </w:rPr>
          <w:instrText xml:space="preserve"> PAGEREF _Toc224818810 \h </w:instrText>
        </w:r>
        <w:r>
          <w:rPr>
            <w:webHidden/>
          </w:rPr>
        </w:r>
        <w:r>
          <w:rPr>
            <w:webHidden/>
          </w:rPr>
          <w:fldChar w:fldCharType="separate"/>
        </w:r>
        <w:r w:rsidR="00AA17AB">
          <w:rPr>
            <w:webHidden/>
          </w:rPr>
          <w:t>126</w:t>
        </w:r>
        <w:r>
          <w:rPr>
            <w:webHidden/>
          </w:rPr>
          <w:fldChar w:fldCharType="end"/>
        </w:r>
      </w:hyperlink>
    </w:p>
    <w:p w14:paraId="62E69092" w14:textId="3D9C94B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1" w:history="1">
        <w:r w:rsidRPr="00FC437C">
          <w:rPr>
            <w:rStyle w:val="Hyperlink"/>
          </w:rPr>
          <w:t>§745.</w:t>
        </w:r>
        <w:r>
          <w:rPr>
            <w:rFonts w:asciiTheme="minorHAnsi" w:eastAsiaTheme="minorEastAsia" w:hAnsiTheme="minorHAnsi" w:cstheme="minorBidi"/>
            <w:color w:val="auto"/>
            <w:kern w:val="2"/>
            <w:szCs w:val="24"/>
            <w14:ligatures w14:val="standardContextual"/>
          </w:rPr>
          <w:tab/>
        </w:r>
        <w:r w:rsidRPr="00FC437C">
          <w:rPr>
            <w:rStyle w:val="Hyperlink"/>
          </w:rPr>
          <w:t>Seed Corn (Open-Pollinated) Seed Certification Standards</w:t>
        </w:r>
        <w:r>
          <w:rPr>
            <w:webHidden/>
          </w:rPr>
          <w:tab/>
        </w:r>
        <w:r>
          <w:rPr>
            <w:webHidden/>
          </w:rPr>
          <w:fldChar w:fldCharType="begin"/>
        </w:r>
        <w:r>
          <w:rPr>
            <w:webHidden/>
          </w:rPr>
          <w:instrText xml:space="preserve"> PAGEREF _Toc224818811 \h </w:instrText>
        </w:r>
        <w:r>
          <w:rPr>
            <w:webHidden/>
          </w:rPr>
        </w:r>
        <w:r>
          <w:rPr>
            <w:webHidden/>
          </w:rPr>
          <w:fldChar w:fldCharType="separate"/>
        </w:r>
        <w:r w:rsidR="00AA17AB">
          <w:rPr>
            <w:webHidden/>
          </w:rPr>
          <w:t>126</w:t>
        </w:r>
        <w:r>
          <w:rPr>
            <w:webHidden/>
          </w:rPr>
          <w:fldChar w:fldCharType="end"/>
        </w:r>
      </w:hyperlink>
    </w:p>
    <w:p w14:paraId="424515E5" w14:textId="37A5F5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2" w:history="1">
        <w:r w:rsidRPr="00FC437C">
          <w:rPr>
            <w:rStyle w:val="Hyperlink"/>
          </w:rPr>
          <w:t>§747.</w:t>
        </w:r>
        <w:r>
          <w:rPr>
            <w:rFonts w:asciiTheme="minorHAnsi" w:eastAsiaTheme="minorEastAsia" w:hAnsiTheme="minorHAnsi" w:cstheme="minorBidi"/>
            <w:color w:val="auto"/>
            <w:kern w:val="2"/>
            <w:szCs w:val="24"/>
            <w14:ligatures w14:val="standardContextual"/>
          </w:rPr>
          <w:tab/>
        </w:r>
        <w:r w:rsidRPr="00FC437C">
          <w:rPr>
            <w:rStyle w:val="Hyperlink"/>
          </w:rPr>
          <w:t>Millet Seed Certification Standards</w:t>
        </w:r>
        <w:r>
          <w:rPr>
            <w:webHidden/>
          </w:rPr>
          <w:tab/>
        </w:r>
        <w:r>
          <w:rPr>
            <w:webHidden/>
          </w:rPr>
          <w:fldChar w:fldCharType="begin"/>
        </w:r>
        <w:r>
          <w:rPr>
            <w:webHidden/>
          </w:rPr>
          <w:instrText xml:space="preserve"> PAGEREF _Toc224818812 \h </w:instrText>
        </w:r>
        <w:r>
          <w:rPr>
            <w:webHidden/>
          </w:rPr>
        </w:r>
        <w:r>
          <w:rPr>
            <w:webHidden/>
          </w:rPr>
          <w:fldChar w:fldCharType="separate"/>
        </w:r>
        <w:r w:rsidR="00AA17AB">
          <w:rPr>
            <w:webHidden/>
          </w:rPr>
          <w:t>127</w:t>
        </w:r>
        <w:r>
          <w:rPr>
            <w:webHidden/>
          </w:rPr>
          <w:fldChar w:fldCharType="end"/>
        </w:r>
      </w:hyperlink>
    </w:p>
    <w:p w14:paraId="6F65B866" w14:textId="7165D12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3" w:history="1">
        <w:r w:rsidRPr="00FC437C">
          <w:rPr>
            <w:rStyle w:val="Hyperlink"/>
          </w:rPr>
          <w:t>§749.</w:t>
        </w:r>
        <w:r>
          <w:rPr>
            <w:rFonts w:asciiTheme="minorHAnsi" w:eastAsiaTheme="minorEastAsia" w:hAnsiTheme="minorHAnsi" w:cstheme="minorBidi"/>
            <w:color w:val="auto"/>
            <w:kern w:val="2"/>
            <w:szCs w:val="24"/>
            <w14:ligatures w14:val="standardContextual"/>
          </w:rPr>
          <w:tab/>
        </w:r>
        <w:r w:rsidRPr="00FC437C">
          <w:rPr>
            <w:rStyle w:val="Hyperlink"/>
          </w:rPr>
          <w:t>Rice Seed Certification Standards</w:t>
        </w:r>
        <w:r>
          <w:rPr>
            <w:webHidden/>
          </w:rPr>
          <w:tab/>
        </w:r>
        <w:r>
          <w:rPr>
            <w:webHidden/>
          </w:rPr>
          <w:fldChar w:fldCharType="begin"/>
        </w:r>
        <w:r>
          <w:rPr>
            <w:webHidden/>
          </w:rPr>
          <w:instrText xml:space="preserve"> PAGEREF _Toc224818813 \h </w:instrText>
        </w:r>
        <w:r>
          <w:rPr>
            <w:webHidden/>
          </w:rPr>
        </w:r>
        <w:r>
          <w:rPr>
            <w:webHidden/>
          </w:rPr>
          <w:fldChar w:fldCharType="separate"/>
        </w:r>
        <w:r w:rsidR="00AA17AB">
          <w:rPr>
            <w:webHidden/>
          </w:rPr>
          <w:t>127</w:t>
        </w:r>
        <w:r>
          <w:rPr>
            <w:webHidden/>
          </w:rPr>
          <w:fldChar w:fldCharType="end"/>
        </w:r>
      </w:hyperlink>
    </w:p>
    <w:p w14:paraId="2C600277" w14:textId="5928F0F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4" w:history="1">
        <w:r w:rsidRPr="00FC437C">
          <w:rPr>
            <w:rStyle w:val="Hyperlink"/>
          </w:rPr>
          <w:t>§751.</w:t>
        </w:r>
        <w:r>
          <w:rPr>
            <w:rFonts w:asciiTheme="minorHAnsi" w:eastAsiaTheme="minorEastAsia" w:hAnsiTheme="minorHAnsi" w:cstheme="minorBidi"/>
            <w:color w:val="auto"/>
            <w:kern w:val="2"/>
            <w:szCs w:val="24"/>
            <w14:ligatures w14:val="standardContextual"/>
          </w:rPr>
          <w:tab/>
        </w:r>
        <w:r w:rsidRPr="00FC437C">
          <w:rPr>
            <w:rStyle w:val="Hyperlink"/>
          </w:rPr>
          <w:t>Seed Irish Potato Certification Standards</w:t>
        </w:r>
        <w:r>
          <w:rPr>
            <w:webHidden/>
          </w:rPr>
          <w:tab/>
        </w:r>
        <w:r>
          <w:rPr>
            <w:webHidden/>
          </w:rPr>
          <w:fldChar w:fldCharType="begin"/>
        </w:r>
        <w:r>
          <w:rPr>
            <w:webHidden/>
          </w:rPr>
          <w:instrText xml:space="preserve"> PAGEREF _Toc224818814 \h </w:instrText>
        </w:r>
        <w:r>
          <w:rPr>
            <w:webHidden/>
          </w:rPr>
        </w:r>
        <w:r>
          <w:rPr>
            <w:webHidden/>
          </w:rPr>
          <w:fldChar w:fldCharType="separate"/>
        </w:r>
        <w:r w:rsidR="00AA17AB">
          <w:rPr>
            <w:webHidden/>
          </w:rPr>
          <w:t>128</w:t>
        </w:r>
        <w:r>
          <w:rPr>
            <w:webHidden/>
          </w:rPr>
          <w:fldChar w:fldCharType="end"/>
        </w:r>
      </w:hyperlink>
    </w:p>
    <w:p w14:paraId="7A4B47CC" w14:textId="55F9B83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15" w:history="1">
        <w:r w:rsidRPr="00FC437C">
          <w:rPr>
            <w:rStyle w:val="Hyperlink"/>
          </w:rPr>
          <w:t>§753.</w:t>
        </w:r>
        <w:r>
          <w:rPr>
            <w:rFonts w:asciiTheme="minorHAnsi" w:eastAsiaTheme="minorEastAsia" w:hAnsiTheme="minorHAnsi" w:cstheme="minorBidi"/>
            <w:color w:val="auto"/>
            <w:kern w:val="2"/>
            <w:szCs w:val="24"/>
            <w14:ligatures w14:val="standardContextual"/>
          </w:rPr>
          <w:tab/>
        </w:r>
        <w:r w:rsidRPr="00FC437C">
          <w:rPr>
            <w:rStyle w:val="Hyperlink"/>
          </w:rPr>
          <w:t>Seed Irish Potato Certification Standards (Out-of-State)</w:t>
        </w:r>
        <w:r>
          <w:rPr>
            <w:webHidden/>
          </w:rPr>
          <w:tab/>
        </w:r>
        <w:r>
          <w:rPr>
            <w:webHidden/>
          </w:rPr>
          <w:fldChar w:fldCharType="begin"/>
        </w:r>
        <w:r>
          <w:rPr>
            <w:webHidden/>
          </w:rPr>
          <w:instrText xml:space="preserve"> PAGEREF _Toc224818815 \h </w:instrText>
        </w:r>
        <w:r>
          <w:rPr>
            <w:webHidden/>
          </w:rPr>
        </w:r>
        <w:r>
          <w:rPr>
            <w:webHidden/>
          </w:rPr>
          <w:fldChar w:fldCharType="separate"/>
        </w:r>
        <w:r w:rsidR="00AA17AB">
          <w:rPr>
            <w:webHidden/>
          </w:rPr>
          <w:t>128</w:t>
        </w:r>
        <w:r>
          <w:rPr>
            <w:webHidden/>
          </w:rPr>
          <w:fldChar w:fldCharType="end"/>
        </w:r>
      </w:hyperlink>
    </w:p>
    <w:p w14:paraId="350E62A2" w14:textId="20331C74"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16" w:history="1">
        <w:r w:rsidRPr="00FC437C">
          <w:rPr>
            <w:rStyle w:val="Hyperlink"/>
          </w:rPr>
          <w:t>§755.</w:t>
        </w:r>
        <w:r>
          <w:rPr>
            <w:rFonts w:asciiTheme="minorHAnsi" w:eastAsiaTheme="minorEastAsia" w:hAnsiTheme="minorHAnsi" w:cstheme="minorBidi"/>
            <w:color w:val="auto"/>
            <w:kern w:val="2"/>
            <w:szCs w:val="24"/>
            <w14:ligatures w14:val="standardContextual"/>
          </w:rPr>
          <w:tab/>
        </w:r>
        <w:r w:rsidRPr="00FC437C">
          <w:rPr>
            <w:rStyle w:val="Hyperlink"/>
          </w:rPr>
          <w:t>Sweet Potato (Ipomoea batatas) Certification Standards</w:t>
        </w:r>
        <w:r>
          <w:rPr>
            <w:webHidden/>
          </w:rPr>
          <w:tab/>
        </w:r>
        <w:r>
          <w:rPr>
            <w:webHidden/>
          </w:rPr>
          <w:fldChar w:fldCharType="begin"/>
        </w:r>
        <w:r>
          <w:rPr>
            <w:webHidden/>
          </w:rPr>
          <w:instrText xml:space="preserve"> PAGEREF _Toc224818816 \h </w:instrText>
        </w:r>
        <w:r>
          <w:rPr>
            <w:webHidden/>
          </w:rPr>
        </w:r>
        <w:r>
          <w:rPr>
            <w:webHidden/>
          </w:rPr>
          <w:fldChar w:fldCharType="separate"/>
        </w:r>
        <w:r w:rsidR="00AA17AB">
          <w:rPr>
            <w:webHidden/>
          </w:rPr>
          <w:t>128</w:t>
        </w:r>
        <w:r>
          <w:rPr>
            <w:webHidden/>
          </w:rPr>
          <w:fldChar w:fldCharType="end"/>
        </w:r>
      </w:hyperlink>
    </w:p>
    <w:p w14:paraId="03EAAEB5" w14:textId="588387F3"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17" w:history="1">
        <w:r w:rsidRPr="00FC437C">
          <w:rPr>
            <w:rStyle w:val="Hyperlink"/>
          </w:rPr>
          <w:t>§757.</w:t>
        </w:r>
        <w:r>
          <w:rPr>
            <w:rFonts w:asciiTheme="minorHAnsi" w:eastAsiaTheme="minorEastAsia" w:hAnsiTheme="minorHAnsi" w:cstheme="minorBidi"/>
            <w:color w:val="auto"/>
            <w:kern w:val="2"/>
            <w:szCs w:val="24"/>
            <w14:ligatures w14:val="standardContextual"/>
          </w:rPr>
          <w:tab/>
        </w:r>
        <w:r w:rsidRPr="00FC437C">
          <w:rPr>
            <w:rStyle w:val="Hyperlink"/>
          </w:rPr>
          <w:t>Small Grain (Oats, Wheat, Rye) Seed Certification Standards</w:t>
        </w:r>
        <w:r>
          <w:rPr>
            <w:webHidden/>
          </w:rPr>
          <w:tab/>
        </w:r>
        <w:r>
          <w:rPr>
            <w:webHidden/>
          </w:rPr>
          <w:fldChar w:fldCharType="begin"/>
        </w:r>
        <w:r>
          <w:rPr>
            <w:webHidden/>
          </w:rPr>
          <w:instrText xml:space="preserve"> PAGEREF _Toc224818817 \h </w:instrText>
        </w:r>
        <w:r>
          <w:rPr>
            <w:webHidden/>
          </w:rPr>
        </w:r>
        <w:r>
          <w:rPr>
            <w:webHidden/>
          </w:rPr>
          <w:fldChar w:fldCharType="separate"/>
        </w:r>
        <w:r w:rsidR="00AA17AB">
          <w:rPr>
            <w:webHidden/>
          </w:rPr>
          <w:t>131</w:t>
        </w:r>
        <w:r>
          <w:rPr>
            <w:webHidden/>
          </w:rPr>
          <w:fldChar w:fldCharType="end"/>
        </w:r>
      </w:hyperlink>
    </w:p>
    <w:p w14:paraId="5D3CFEAA" w14:textId="23013567"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18" w:history="1">
        <w:r w:rsidRPr="00FC437C">
          <w:rPr>
            <w:rStyle w:val="Hyperlink"/>
          </w:rPr>
          <w:t>§759.</w:t>
        </w:r>
        <w:r>
          <w:rPr>
            <w:rFonts w:asciiTheme="minorHAnsi" w:eastAsiaTheme="minorEastAsia" w:hAnsiTheme="minorHAnsi" w:cstheme="minorBidi"/>
            <w:color w:val="auto"/>
            <w:kern w:val="2"/>
            <w:szCs w:val="24"/>
            <w14:ligatures w14:val="standardContextual"/>
          </w:rPr>
          <w:tab/>
        </w:r>
        <w:r w:rsidRPr="00FC437C">
          <w:rPr>
            <w:rStyle w:val="Hyperlink"/>
          </w:rPr>
          <w:t>Sorghum Seed Certification Standards</w:t>
        </w:r>
        <w:r>
          <w:rPr>
            <w:webHidden/>
          </w:rPr>
          <w:tab/>
        </w:r>
        <w:r>
          <w:rPr>
            <w:webHidden/>
          </w:rPr>
          <w:fldChar w:fldCharType="begin"/>
        </w:r>
        <w:r>
          <w:rPr>
            <w:webHidden/>
          </w:rPr>
          <w:instrText xml:space="preserve"> PAGEREF _Toc224818818 \h </w:instrText>
        </w:r>
        <w:r>
          <w:rPr>
            <w:webHidden/>
          </w:rPr>
        </w:r>
        <w:r>
          <w:rPr>
            <w:webHidden/>
          </w:rPr>
          <w:fldChar w:fldCharType="separate"/>
        </w:r>
        <w:r w:rsidR="00AA17AB">
          <w:rPr>
            <w:webHidden/>
          </w:rPr>
          <w:t>132</w:t>
        </w:r>
        <w:r>
          <w:rPr>
            <w:webHidden/>
          </w:rPr>
          <w:fldChar w:fldCharType="end"/>
        </w:r>
      </w:hyperlink>
    </w:p>
    <w:p w14:paraId="0802A058" w14:textId="10330F94"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19" w:history="1">
        <w:r w:rsidRPr="00FC437C">
          <w:rPr>
            <w:rStyle w:val="Hyperlink"/>
          </w:rPr>
          <w:t>§761.</w:t>
        </w:r>
        <w:r>
          <w:rPr>
            <w:rFonts w:asciiTheme="minorHAnsi" w:eastAsiaTheme="minorEastAsia" w:hAnsiTheme="minorHAnsi" w:cstheme="minorBidi"/>
            <w:color w:val="auto"/>
            <w:kern w:val="2"/>
            <w:szCs w:val="24"/>
            <w14:ligatures w14:val="standardContextual"/>
          </w:rPr>
          <w:tab/>
        </w:r>
        <w:r w:rsidRPr="00FC437C">
          <w:rPr>
            <w:rStyle w:val="Hyperlink"/>
          </w:rPr>
          <w:t>Soybean Seed Certification Standards</w:t>
        </w:r>
        <w:r>
          <w:rPr>
            <w:webHidden/>
          </w:rPr>
          <w:tab/>
        </w:r>
        <w:r>
          <w:rPr>
            <w:webHidden/>
          </w:rPr>
          <w:fldChar w:fldCharType="begin"/>
        </w:r>
        <w:r>
          <w:rPr>
            <w:webHidden/>
          </w:rPr>
          <w:instrText xml:space="preserve"> PAGEREF _Toc224818819 \h </w:instrText>
        </w:r>
        <w:r>
          <w:rPr>
            <w:webHidden/>
          </w:rPr>
        </w:r>
        <w:r>
          <w:rPr>
            <w:webHidden/>
          </w:rPr>
          <w:fldChar w:fldCharType="separate"/>
        </w:r>
        <w:r w:rsidR="00AA17AB">
          <w:rPr>
            <w:webHidden/>
          </w:rPr>
          <w:t>132</w:t>
        </w:r>
        <w:r>
          <w:rPr>
            <w:webHidden/>
          </w:rPr>
          <w:fldChar w:fldCharType="end"/>
        </w:r>
      </w:hyperlink>
    </w:p>
    <w:p w14:paraId="67CE089D" w14:textId="3E8594E1"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20" w:history="1">
        <w:r w:rsidRPr="00FC437C">
          <w:rPr>
            <w:rStyle w:val="Hyperlink"/>
          </w:rPr>
          <w:t>§763.</w:t>
        </w:r>
        <w:r>
          <w:rPr>
            <w:rFonts w:asciiTheme="minorHAnsi" w:eastAsiaTheme="minorEastAsia" w:hAnsiTheme="minorHAnsi" w:cstheme="minorBidi"/>
            <w:color w:val="auto"/>
            <w:kern w:val="2"/>
            <w:szCs w:val="24"/>
            <w14:ligatures w14:val="standardContextual"/>
          </w:rPr>
          <w:tab/>
        </w:r>
        <w:r w:rsidRPr="00FC437C">
          <w:rPr>
            <w:rStyle w:val="Hyperlink"/>
          </w:rPr>
          <w:t>Sugarcane (Tissue Culture) Certification Standards</w:t>
        </w:r>
        <w:r>
          <w:rPr>
            <w:webHidden/>
          </w:rPr>
          <w:tab/>
        </w:r>
        <w:r>
          <w:rPr>
            <w:webHidden/>
          </w:rPr>
          <w:fldChar w:fldCharType="begin"/>
        </w:r>
        <w:r>
          <w:rPr>
            <w:webHidden/>
          </w:rPr>
          <w:instrText xml:space="preserve"> PAGEREF _Toc224818820 \h </w:instrText>
        </w:r>
        <w:r>
          <w:rPr>
            <w:webHidden/>
          </w:rPr>
        </w:r>
        <w:r>
          <w:rPr>
            <w:webHidden/>
          </w:rPr>
          <w:fldChar w:fldCharType="separate"/>
        </w:r>
        <w:r w:rsidR="00AA17AB">
          <w:rPr>
            <w:webHidden/>
          </w:rPr>
          <w:t>132</w:t>
        </w:r>
        <w:r>
          <w:rPr>
            <w:webHidden/>
          </w:rPr>
          <w:fldChar w:fldCharType="end"/>
        </w:r>
      </w:hyperlink>
    </w:p>
    <w:p w14:paraId="662D5529" w14:textId="05B49099" w:rsidR="00E67799" w:rsidRDefault="00E67799" w:rsidP="00695EC1">
      <w:pPr>
        <w:pStyle w:val="TOC3"/>
        <w:keepNext/>
        <w:rPr>
          <w:rFonts w:asciiTheme="minorHAnsi" w:eastAsiaTheme="minorEastAsia" w:hAnsiTheme="minorHAnsi" w:cstheme="minorBidi"/>
          <w:color w:val="auto"/>
          <w:kern w:val="2"/>
          <w:szCs w:val="24"/>
          <w14:ligatures w14:val="standardContextual"/>
        </w:rPr>
      </w:pPr>
      <w:hyperlink w:anchor="_Toc224818821" w:history="1">
        <w:r w:rsidRPr="00FC437C">
          <w:rPr>
            <w:rStyle w:val="Hyperlink"/>
          </w:rPr>
          <w:t>§765.</w:t>
        </w:r>
        <w:r>
          <w:rPr>
            <w:rFonts w:asciiTheme="minorHAnsi" w:eastAsiaTheme="minorEastAsia" w:hAnsiTheme="minorHAnsi" w:cstheme="minorBidi"/>
            <w:color w:val="auto"/>
            <w:kern w:val="2"/>
            <w:szCs w:val="24"/>
            <w14:ligatures w14:val="standardContextual"/>
          </w:rPr>
          <w:tab/>
        </w:r>
        <w:r w:rsidRPr="00FC437C">
          <w:rPr>
            <w:rStyle w:val="Hyperlink"/>
          </w:rPr>
          <w:t>Sunflower Seed Certification Standards</w:t>
        </w:r>
        <w:r>
          <w:rPr>
            <w:webHidden/>
          </w:rPr>
          <w:tab/>
        </w:r>
        <w:r>
          <w:rPr>
            <w:webHidden/>
          </w:rPr>
          <w:fldChar w:fldCharType="begin"/>
        </w:r>
        <w:r>
          <w:rPr>
            <w:webHidden/>
          </w:rPr>
          <w:instrText xml:space="preserve"> PAGEREF _Toc224818821 \h </w:instrText>
        </w:r>
        <w:r>
          <w:rPr>
            <w:webHidden/>
          </w:rPr>
        </w:r>
        <w:r>
          <w:rPr>
            <w:webHidden/>
          </w:rPr>
          <w:fldChar w:fldCharType="separate"/>
        </w:r>
        <w:r w:rsidR="00AA17AB">
          <w:rPr>
            <w:webHidden/>
          </w:rPr>
          <w:t>134</w:t>
        </w:r>
        <w:r>
          <w:rPr>
            <w:webHidden/>
          </w:rPr>
          <w:fldChar w:fldCharType="end"/>
        </w:r>
      </w:hyperlink>
    </w:p>
    <w:p w14:paraId="7428F5D6" w14:textId="7A51DA3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2" w:history="1">
        <w:r w:rsidRPr="00FC437C">
          <w:rPr>
            <w:rStyle w:val="Hyperlink"/>
          </w:rPr>
          <w:t>§767.</w:t>
        </w:r>
        <w:r>
          <w:rPr>
            <w:rFonts w:asciiTheme="minorHAnsi" w:eastAsiaTheme="minorEastAsia" w:hAnsiTheme="minorHAnsi" w:cstheme="minorBidi"/>
            <w:color w:val="auto"/>
            <w:kern w:val="2"/>
            <w:szCs w:val="24"/>
            <w14:ligatures w14:val="standardContextual"/>
          </w:rPr>
          <w:tab/>
        </w:r>
        <w:r w:rsidRPr="00FC437C">
          <w:rPr>
            <w:rStyle w:val="Hyperlink"/>
          </w:rPr>
          <w:t>Peanut Seed Certification Standards</w:t>
        </w:r>
        <w:r>
          <w:rPr>
            <w:webHidden/>
          </w:rPr>
          <w:tab/>
        </w:r>
        <w:r>
          <w:rPr>
            <w:webHidden/>
          </w:rPr>
          <w:fldChar w:fldCharType="begin"/>
        </w:r>
        <w:r>
          <w:rPr>
            <w:webHidden/>
          </w:rPr>
          <w:instrText xml:space="preserve"> PAGEREF _Toc224818822 \h </w:instrText>
        </w:r>
        <w:r>
          <w:rPr>
            <w:webHidden/>
          </w:rPr>
        </w:r>
        <w:r>
          <w:rPr>
            <w:webHidden/>
          </w:rPr>
          <w:fldChar w:fldCharType="separate"/>
        </w:r>
        <w:r w:rsidR="00AA17AB">
          <w:rPr>
            <w:webHidden/>
          </w:rPr>
          <w:t>134</w:t>
        </w:r>
        <w:r>
          <w:rPr>
            <w:webHidden/>
          </w:rPr>
          <w:fldChar w:fldCharType="end"/>
        </w:r>
      </w:hyperlink>
    </w:p>
    <w:p w14:paraId="626BFAD1" w14:textId="585B0F0D"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8823" w:history="1">
        <w:r w:rsidRPr="00FC437C">
          <w:rPr>
            <w:rStyle w:val="Hyperlink"/>
          </w:rPr>
          <w:t>§§769-779.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_Toc224818823 \h </w:instrText>
        </w:r>
        <w:r>
          <w:rPr>
            <w:webHidden/>
          </w:rPr>
        </w:r>
        <w:r>
          <w:rPr>
            <w:webHidden/>
          </w:rPr>
          <w:fldChar w:fldCharType="separate"/>
        </w:r>
        <w:r w:rsidR="00AA17AB">
          <w:rPr>
            <w:webHidden/>
          </w:rPr>
          <w:t>134</w:t>
        </w:r>
        <w:r>
          <w:rPr>
            <w:webHidden/>
          </w:rPr>
          <w:fldChar w:fldCharType="end"/>
        </w:r>
      </w:hyperlink>
    </w:p>
    <w:p w14:paraId="6382094D" w14:textId="6CB564F9" w:rsidR="00E67799" w:rsidRDefault="00E67799">
      <w:pPr>
        <w:pStyle w:val="TOC2"/>
        <w:rPr>
          <w:rFonts w:asciiTheme="minorHAnsi" w:eastAsiaTheme="minorEastAsia" w:hAnsiTheme="minorHAnsi" w:cstheme="minorBidi"/>
          <w:kern w:val="2"/>
          <w:szCs w:val="24"/>
          <w14:ligatures w14:val="standardContextual"/>
        </w:rPr>
      </w:pPr>
      <w:hyperlink w:anchor="_Toc224818824"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Fruits and Vegetables</w:t>
        </w:r>
        <w:r>
          <w:rPr>
            <w:webHidden/>
          </w:rPr>
          <w:tab/>
        </w:r>
        <w:r>
          <w:rPr>
            <w:webHidden/>
          </w:rPr>
          <w:fldChar w:fldCharType="begin"/>
        </w:r>
        <w:r>
          <w:rPr>
            <w:webHidden/>
          </w:rPr>
          <w:instrText xml:space="preserve"> PAGEREF _Toc224818824 \h </w:instrText>
        </w:r>
        <w:r>
          <w:rPr>
            <w:webHidden/>
          </w:rPr>
        </w:r>
        <w:r>
          <w:rPr>
            <w:webHidden/>
          </w:rPr>
          <w:fldChar w:fldCharType="separate"/>
        </w:r>
        <w:r w:rsidR="00AA17AB">
          <w:rPr>
            <w:webHidden/>
          </w:rPr>
          <w:t>134</w:t>
        </w:r>
        <w:r>
          <w:rPr>
            <w:webHidden/>
          </w:rPr>
          <w:fldChar w:fldCharType="end"/>
        </w:r>
      </w:hyperlink>
    </w:p>
    <w:p w14:paraId="0EABC5F6" w14:textId="5395AFB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5" w:history="1">
        <w:r w:rsidRPr="00FC437C">
          <w:rPr>
            <w:rStyle w:val="Hyperlink"/>
          </w:rPr>
          <w:t>§781.</w:t>
        </w:r>
        <w:r>
          <w:rPr>
            <w:rFonts w:asciiTheme="minorHAnsi" w:eastAsiaTheme="minorEastAsia" w:hAnsiTheme="minorHAnsi" w:cstheme="minorBidi"/>
            <w:color w:val="auto"/>
            <w:kern w:val="2"/>
            <w:szCs w:val="24"/>
            <w14:ligatures w14:val="standardContextual"/>
          </w:rPr>
          <w:tab/>
        </w:r>
        <w:r w:rsidRPr="00FC437C">
          <w:rPr>
            <w:rStyle w:val="Hyperlink"/>
          </w:rPr>
          <w:t>Okra Seed Certification Standards</w:t>
        </w:r>
        <w:r>
          <w:rPr>
            <w:webHidden/>
          </w:rPr>
          <w:tab/>
        </w:r>
        <w:r>
          <w:rPr>
            <w:webHidden/>
          </w:rPr>
          <w:fldChar w:fldCharType="begin"/>
        </w:r>
        <w:r>
          <w:rPr>
            <w:webHidden/>
          </w:rPr>
          <w:instrText xml:space="preserve"> PAGEREF _Toc224818825 \h </w:instrText>
        </w:r>
        <w:r>
          <w:rPr>
            <w:webHidden/>
          </w:rPr>
        </w:r>
        <w:r>
          <w:rPr>
            <w:webHidden/>
          </w:rPr>
          <w:fldChar w:fldCharType="separate"/>
        </w:r>
        <w:r w:rsidR="00AA17AB">
          <w:rPr>
            <w:webHidden/>
          </w:rPr>
          <w:t>134</w:t>
        </w:r>
        <w:r>
          <w:rPr>
            <w:webHidden/>
          </w:rPr>
          <w:fldChar w:fldCharType="end"/>
        </w:r>
      </w:hyperlink>
    </w:p>
    <w:p w14:paraId="6ED632ED" w14:textId="0E9FA76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6" w:history="1">
        <w:r w:rsidRPr="00FC437C">
          <w:rPr>
            <w:rStyle w:val="Hyperlink"/>
          </w:rPr>
          <w:t>§783.</w:t>
        </w:r>
        <w:r>
          <w:rPr>
            <w:rFonts w:asciiTheme="minorHAnsi" w:eastAsiaTheme="minorEastAsia" w:hAnsiTheme="minorHAnsi" w:cstheme="minorBidi"/>
            <w:color w:val="auto"/>
            <w:kern w:val="2"/>
            <w:szCs w:val="24"/>
            <w14:ligatures w14:val="standardContextual"/>
          </w:rPr>
          <w:tab/>
        </w:r>
        <w:r w:rsidRPr="00FC437C">
          <w:rPr>
            <w:rStyle w:val="Hyperlink"/>
          </w:rPr>
          <w:t>Onion Bulb Seed Certification Standards</w:t>
        </w:r>
        <w:r>
          <w:rPr>
            <w:webHidden/>
          </w:rPr>
          <w:tab/>
        </w:r>
        <w:r>
          <w:rPr>
            <w:webHidden/>
          </w:rPr>
          <w:fldChar w:fldCharType="begin"/>
        </w:r>
        <w:r>
          <w:rPr>
            <w:webHidden/>
          </w:rPr>
          <w:instrText xml:space="preserve"> PAGEREF _Toc224818826 \h </w:instrText>
        </w:r>
        <w:r>
          <w:rPr>
            <w:webHidden/>
          </w:rPr>
        </w:r>
        <w:r>
          <w:rPr>
            <w:webHidden/>
          </w:rPr>
          <w:fldChar w:fldCharType="separate"/>
        </w:r>
        <w:r w:rsidR="00AA17AB">
          <w:rPr>
            <w:webHidden/>
          </w:rPr>
          <w:t>135</w:t>
        </w:r>
        <w:r>
          <w:rPr>
            <w:webHidden/>
          </w:rPr>
          <w:fldChar w:fldCharType="end"/>
        </w:r>
      </w:hyperlink>
    </w:p>
    <w:p w14:paraId="2A6C8FA8" w14:textId="2F19C4D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7" w:history="1">
        <w:r w:rsidRPr="00FC437C">
          <w:rPr>
            <w:rStyle w:val="Hyperlink"/>
          </w:rPr>
          <w:t>§785.</w:t>
        </w:r>
        <w:r>
          <w:rPr>
            <w:rFonts w:asciiTheme="minorHAnsi" w:eastAsiaTheme="minorEastAsia" w:hAnsiTheme="minorHAnsi" w:cstheme="minorBidi"/>
            <w:color w:val="auto"/>
            <w:kern w:val="2"/>
            <w:szCs w:val="24"/>
            <w14:ligatures w14:val="standardContextual"/>
          </w:rPr>
          <w:tab/>
        </w:r>
        <w:r w:rsidRPr="00FC437C">
          <w:rPr>
            <w:rStyle w:val="Hyperlink"/>
          </w:rPr>
          <w:t>Shallot Seed Certification Standards</w:t>
        </w:r>
        <w:r>
          <w:rPr>
            <w:webHidden/>
          </w:rPr>
          <w:tab/>
        </w:r>
        <w:r>
          <w:rPr>
            <w:webHidden/>
          </w:rPr>
          <w:fldChar w:fldCharType="begin"/>
        </w:r>
        <w:r>
          <w:rPr>
            <w:webHidden/>
          </w:rPr>
          <w:instrText xml:space="preserve"> PAGEREF _Toc224818827 \h </w:instrText>
        </w:r>
        <w:r>
          <w:rPr>
            <w:webHidden/>
          </w:rPr>
        </w:r>
        <w:r>
          <w:rPr>
            <w:webHidden/>
          </w:rPr>
          <w:fldChar w:fldCharType="separate"/>
        </w:r>
        <w:r w:rsidR="00AA17AB">
          <w:rPr>
            <w:webHidden/>
          </w:rPr>
          <w:t>135</w:t>
        </w:r>
        <w:r>
          <w:rPr>
            <w:webHidden/>
          </w:rPr>
          <w:fldChar w:fldCharType="end"/>
        </w:r>
      </w:hyperlink>
    </w:p>
    <w:p w14:paraId="21CFE6B1" w14:textId="6031A0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8" w:history="1">
        <w:r w:rsidRPr="00FC437C">
          <w:rPr>
            <w:rStyle w:val="Hyperlink"/>
          </w:rPr>
          <w:t>§787.</w:t>
        </w:r>
        <w:r>
          <w:rPr>
            <w:rFonts w:asciiTheme="minorHAnsi" w:eastAsiaTheme="minorEastAsia" w:hAnsiTheme="minorHAnsi" w:cstheme="minorBidi"/>
            <w:color w:val="auto"/>
            <w:kern w:val="2"/>
            <w:szCs w:val="24"/>
            <w14:ligatures w14:val="standardContextual"/>
          </w:rPr>
          <w:tab/>
        </w:r>
        <w:r w:rsidRPr="00FC437C">
          <w:rPr>
            <w:rStyle w:val="Hyperlink"/>
          </w:rPr>
          <w:t>Singletary Pea Seed Certification Standards</w:t>
        </w:r>
        <w:r>
          <w:rPr>
            <w:webHidden/>
          </w:rPr>
          <w:tab/>
        </w:r>
        <w:r>
          <w:rPr>
            <w:webHidden/>
          </w:rPr>
          <w:fldChar w:fldCharType="begin"/>
        </w:r>
        <w:r>
          <w:rPr>
            <w:webHidden/>
          </w:rPr>
          <w:instrText xml:space="preserve"> PAGEREF _Toc224818828 \h </w:instrText>
        </w:r>
        <w:r>
          <w:rPr>
            <w:webHidden/>
          </w:rPr>
        </w:r>
        <w:r>
          <w:rPr>
            <w:webHidden/>
          </w:rPr>
          <w:fldChar w:fldCharType="separate"/>
        </w:r>
        <w:r w:rsidR="00AA17AB">
          <w:rPr>
            <w:webHidden/>
          </w:rPr>
          <w:t>136</w:t>
        </w:r>
        <w:r>
          <w:rPr>
            <w:webHidden/>
          </w:rPr>
          <w:fldChar w:fldCharType="end"/>
        </w:r>
      </w:hyperlink>
    </w:p>
    <w:p w14:paraId="3FD1D2CB" w14:textId="0DA84C0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29" w:history="1">
        <w:r w:rsidRPr="00FC437C">
          <w:rPr>
            <w:rStyle w:val="Hyperlink"/>
          </w:rPr>
          <w:t>§789.</w:t>
        </w:r>
        <w:r>
          <w:rPr>
            <w:rFonts w:asciiTheme="minorHAnsi" w:eastAsiaTheme="minorEastAsia" w:hAnsiTheme="minorHAnsi" w:cstheme="minorBidi"/>
            <w:color w:val="auto"/>
            <w:kern w:val="2"/>
            <w:szCs w:val="24"/>
            <w14:ligatures w14:val="standardContextual"/>
          </w:rPr>
          <w:tab/>
        </w:r>
        <w:r w:rsidRPr="00FC437C">
          <w:rPr>
            <w:rStyle w:val="Hyperlink"/>
          </w:rPr>
          <w:t>Southern Field Pea (Cowpea) Seed Certification Standards</w:t>
        </w:r>
        <w:r>
          <w:rPr>
            <w:webHidden/>
          </w:rPr>
          <w:tab/>
        </w:r>
        <w:r>
          <w:rPr>
            <w:webHidden/>
          </w:rPr>
          <w:fldChar w:fldCharType="begin"/>
        </w:r>
        <w:r>
          <w:rPr>
            <w:webHidden/>
          </w:rPr>
          <w:instrText xml:space="preserve"> PAGEREF _Toc224818829 \h </w:instrText>
        </w:r>
        <w:r>
          <w:rPr>
            <w:webHidden/>
          </w:rPr>
        </w:r>
        <w:r>
          <w:rPr>
            <w:webHidden/>
          </w:rPr>
          <w:fldChar w:fldCharType="separate"/>
        </w:r>
        <w:r w:rsidR="00AA17AB">
          <w:rPr>
            <w:webHidden/>
          </w:rPr>
          <w:t>136</w:t>
        </w:r>
        <w:r>
          <w:rPr>
            <w:webHidden/>
          </w:rPr>
          <w:fldChar w:fldCharType="end"/>
        </w:r>
      </w:hyperlink>
    </w:p>
    <w:p w14:paraId="6F907BF4" w14:textId="021A24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0" w:history="1">
        <w:r w:rsidRPr="00FC437C">
          <w:rPr>
            <w:rStyle w:val="Hyperlink"/>
          </w:rPr>
          <w:t>§791.</w:t>
        </w:r>
        <w:r>
          <w:rPr>
            <w:rFonts w:asciiTheme="minorHAnsi" w:eastAsiaTheme="minorEastAsia" w:hAnsiTheme="minorHAnsi" w:cstheme="minorBidi"/>
            <w:color w:val="auto"/>
            <w:kern w:val="2"/>
            <w:szCs w:val="24"/>
            <w14:ligatures w14:val="standardContextual"/>
          </w:rPr>
          <w:tab/>
        </w:r>
        <w:r w:rsidRPr="00FC437C">
          <w:rPr>
            <w:rStyle w:val="Hyperlink"/>
          </w:rPr>
          <w:t>Tomato Seed Certification Standards</w:t>
        </w:r>
        <w:r>
          <w:rPr>
            <w:webHidden/>
          </w:rPr>
          <w:tab/>
        </w:r>
        <w:r>
          <w:rPr>
            <w:webHidden/>
          </w:rPr>
          <w:fldChar w:fldCharType="begin"/>
        </w:r>
        <w:r>
          <w:rPr>
            <w:webHidden/>
          </w:rPr>
          <w:instrText xml:space="preserve"> PAGEREF _Toc224818830 \h </w:instrText>
        </w:r>
        <w:r>
          <w:rPr>
            <w:webHidden/>
          </w:rPr>
        </w:r>
        <w:r>
          <w:rPr>
            <w:webHidden/>
          </w:rPr>
          <w:fldChar w:fldCharType="separate"/>
        </w:r>
        <w:r w:rsidR="00AA17AB">
          <w:rPr>
            <w:webHidden/>
          </w:rPr>
          <w:t>136</w:t>
        </w:r>
        <w:r>
          <w:rPr>
            <w:webHidden/>
          </w:rPr>
          <w:fldChar w:fldCharType="end"/>
        </w:r>
      </w:hyperlink>
    </w:p>
    <w:p w14:paraId="14F0210D" w14:textId="5E5F190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1" w:history="1">
        <w:r w:rsidRPr="00FC437C">
          <w:rPr>
            <w:rStyle w:val="Hyperlink"/>
          </w:rPr>
          <w:t>§793.</w:t>
        </w:r>
        <w:r>
          <w:rPr>
            <w:rFonts w:asciiTheme="minorHAnsi" w:eastAsiaTheme="minorEastAsia" w:hAnsiTheme="minorHAnsi" w:cstheme="minorBidi"/>
            <w:color w:val="auto"/>
            <w:kern w:val="2"/>
            <w:szCs w:val="24"/>
            <w14:ligatures w14:val="standardContextual"/>
          </w:rPr>
          <w:tab/>
        </w:r>
        <w:r w:rsidRPr="00FC437C">
          <w:rPr>
            <w:rStyle w:val="Hyperlink"/>
          </w:rPr>
          <w:t>Watermelon Seed Certification Standards</w:t>
        </w:r>
        <w:r>
          <w:rPr>
            <w:webHidden/>
          </w:rPr>
          <w:tab/>
        </w:r>
        <w:r>
          <w:rPr>
            <w:webHidden/>
          </w:rPr>
          <w:fldChar w:fldCharType="begin"/>
        </w:r>
        <w:r>
          <w:rPr>
            <w:webHidden/>
          </w:rPr>
          <w:instrText xml:space="preserve"> PAGEREF _Toc224818831 \h </w:instrText>
        </w:r>
        <w:r>
          <w:rPr>
            <w:webHidden/>
          </w:rPr>
        </w:r>
        <w:r>
          <w:rPr>
            <w:webHidden/>
          </w:rPr>
          <w:fldChar w:fldCharType="separate"/>
        </w:r>
        <w:r w:rsidR="00AA17AB">
          <w:rPr>
            <w:webHidden/>
          </w:rPr>
          <w:t>136</w:t>
        </w:r>
        <w:r>
          <w:rPr>
            <w:webHidden/>
          </w:rPr>
          <w:fldChar w:fldCharType="end"/>
        </w:r>
      </w:hyperlink>
    </w:p>
    <w:p w14:paraId="5B30A84B" w14:textId="23B42FAF"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8832" w:history="1">
        <w:r w:rsidRPr="00FC437C">
          <w:rPr>
            <w:rStyle w:val="Hyperlink"/>
          </w:rPr>
          <w:t>§§795-809.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_Toc224818832 \h </w:instrText>
        </w:r>
        <w:r>
          <w:rPr>
            <w:webHidden/>
          </w:rPr>
        </w:r>
        <w:r>
          <w:rPr>
            <w:webHidden/>
          </w:rPr>
          <w:fldChar w:fldCharType="separate"/>
        </w:r>
        <w:r w:rsidR="00AA17AB">
          <w:rPr>
            <w:webHidden/>
          </w:rPr>
          <w:t>137</w:t>
        </w:r>
        <w:r>
          <w:rPr>
            <w:webHidden/>
          </w:rPr>
          <w:fldChar w:fldCharType="end"/>
        </w:r>
      </w:hyperlink>
    </w:p>
    <w:p w14:paraId="74B52467" w14:textId="633305DD" w:rsidR="00E67799" w:rsidRDefault="00E67799">
      <w:pPr>
        <w:pStyle w:val="TOC2"/>
        <w:rPr>
          <w:rFonts w:asciiTheme="minorHAnsi" w:eastAsiaTheme="minorEastAsia" w:hAnsiTheme="minorHAnsi" w:cstheme="minorBidi"/>
          <w:kern w:val="2"/>
          <w:szCs w:val="24"/>
          <w14:ligatures w14:val="standardContextual"/>
        </w:rPr>
      </w:pPr>
      <w:hyperlink w:anchor="_Toc224818833"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Tree Seed</w:t>
        </w:r>
        <w:r>
          <w:rPr>
            <w:webHidden/>
          </w:rPr>
          <w:tab/>
        </w:r>
        <w:r>
          <w:rPr>
            <w:webHidden/>
          </w:rPr>
          <w:fldChar w:fldCharType="begin"/>
        </w:r>
        <w:r>
          <w:rPr>
            <w:webHidden/>
          </w:rPr>
          <w:instrText xml:space="preserve"> PAGEREF _Toc224818833 \h </w:instrText>
        </w:r>
        <w:r>
          <w:rPr>
            <w:webHidden/>
          </w:rPr>
        </w:r>
        <w:r>
          <w:rPr>
            <w:webHidden/>
          </w:rPr>
          <w:fldChar w:fldCharType="separate"/>
        </w:r>
        <w:r w:rsidR="00AA17AB">
          <w:rPr>
            <w:webHidden/>
          </w:rPr>
          <w:t>137</w:t>
        </w:r>
        <w:r>
          <w:rPr>
            <w:webHidden/>
          </w:rPr>
          <w:fldChar w:fldCharType="end"/>
        </w:r>
      </w:hyperlink>
    </w:p>
    <w:p w14:paraId="6442777B" w14:textId="18F823E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4" w:history="1">
        <w:r w:rsidRPr="00FC437C">
          <w:rPr>
            <w:rStyle w:val="Hyperlink"/>
          </w:rPr>
          <w:t>§811.</w:t>
        </w:r>
        <w:r>
          <w:rPr>
            <w:rFonts w:asciiTheme="minorHAnsi" w:eastAsiaTheme="minorEastAsia" w:hAnsiTheme="minorHAnsi" w:cstheme="minorBidi"/>
            <w:color w:val="auto"/>
            <w:kern w:val="2"/>
            <w:szCs w:val="24"/>
            <w14:ligatures w14:val="standardContextual"/>
          </w:rPr>
          <w:tab/>
        </w:r>
        <w:r w:rsidRPr="00FC437C">
          <w:rPr>
            <w:rStyle w:val="Hyperlink"/>
          </w:rPr>
          <w:t>Tree Seed Certification Standards</w:t>
        </w:r>
        <w:r>
          <w:rPr>
            <w:webHidden/>
          </w:rPr>
          <w:tab/>
        </w:r>
        <w:r>
          <w:rPr>
            <w:webHidden/>
          </w:rPr>
          <w:fldChar w:fldCharType="begin"/>
        </w:r>
        <w:r>
          <w:rPr>
            <w:webHidden/>
          </w:rPr>
          <w:instrText xml:space="preserve"> PAGEREF _Toc224818834 \h </w:instrText>
        </w:r>
        <w:r>
          <w:rPr>
            <w:webHidden/>
          </w:rPr>
        </w:r>
        <w:r>
          <w:rPr>
            <w:webHidden/>
          </w:rPr>
          <w:fldChar w:fldCharType="separate"/>
        </w:r>
        <w:r w:rsidR="00AA17AB">
          <w:rPr>
            <w:webHidden/>
          </w:rPr>
          <w:t>137</w:t>
        </w:r>
        <w:r>
          <w:rPr>
            <w:webHidden/>
          </w:rPr>
          <w:fldChar w:fldCharType="end"/>
        </w:r>
      </w:hyperlink>
    </w:p>
    <w:p w14:paraId="64EE9175" w14:textId="7503C8DF" w:rsidR="00E67799" w:rsidRDefault="00E67799">
      <w:pPr>
        <w:pStyle w:val="TOC2"/>
        <w:rPr>
          <w:rFonts w:asciiTheme="minorHAnsi" w:eastAsiaTheme="minorEastAsia" w:hAnsiTheme="minorHAnsi" w:cstheme="minorBidi"/>
          <w:kern w:val="2"/>
          <w:szCs w:val="24"/>
          <w14:ligatures w14:val="standardContextual"/>
        </w:rPr>
      </w:pPr>
      <w:hyperlink w:anchor="_Toc224818835"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Approved Plant Breeders</w:t>
        </w:r>
        <w:r>
          <w:rPr>
            <w:webHidden/>
          </w:rPr>
          <w:tab/>
        </w:r>
        <w:r>
          <w:rPr>
            <w:webHidden/>
          </w:rPr>
          <w:fldChar w:fldCharType="begin"/>
        </w:r>
        <w:r>
          <w:rPr>
            <w:webHidden/>
          </w:rPr>
          <w:instrText xml:space="preserve"> PAGEREF _Toc224818835 \h </w:instrText>
        </w:r>
        <w:r>
          <w:rPr>
            <w:webHidden/>
          </w:rPr>
        </w:r>
        <w:r>
          <w:rPr>
            <w:webHidden/>
          </w:rPr>
          <w:fldChar w:fldCharType="separate"/>
        </w:r>
        <w:r w:rsidR="00AA17AB">
          <w:rPr>
            <w:webHidden/>
          </w:rPr>
          <w:t>137</w:t>
        </w:r>
        <w:r>
          <w:rPr>
            <w:webHidden/>
          </w:rPr>
          <w:fldChar w:fldCharType="end"/>
        </w:r>
      </w:hyperlink>
    </w:p>
    <w:p w14:paraId="2F4F254C" w14:textId="41CD29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6"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_Toc224818836 \h </w:instrText>
        </w:r>
        <w:r>
          <w:rPr>
            <w:webHidden/>
          </w:rPr>
        </w:r>
        <w:r>
          <w:rPr>
            <w:webHidden/>
          </w:rPr>
          <w:fldChar w:fldCharType="separate"/>
        </w:r>
        <w:r w:rsidR="00AA17AB">
          <w:rPr>
            <w:webHidden/>
          </w:rPr>
          <w:t>137</w:t>
        </w:r>
        <w:r>
          <w:rPr>
            <w:webHidden/>
          </w:rPr>
          <w:fldChar w:fldCharType="end"/>
        </w:r>
      </w:hyperlink>
    </w:p>
    <w:p w14:paraId="0A56AEC0" w14:textId="34B0B04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7" w:history="1">
        <w:r w:rsidRPr="00FC437C">
          <w:rPr>
            <w:rStyle w:val="Hyperlink"/>
          </w:rPr>
          <w:t>§903.</w:t>
        </w:r>
        <w:r>
          <w:rPr>
            <w:rFonts w:asciiTheme="minorHAnsi" w:eastAsiaTheme="minorEastAsia" w:hAnsiTheme="minorHAnsi" w:cstheme="minorBidi"/>
            <w:color w:val="auto"/>
            <w:kern w:val="2"/>
            <w:szCs w:val="24"/>
            <w14:ligatures w14:val="standardContextual"/>
          </w:rPr>
          <w:tab/>
        </w:r>
        <w:r w:rsidRPr="00FC437C">
          <w:rPr>
            <w:rStyle w:val="Hyperlink"/>
          </w:rPr>
          <w:t>Definition of Terms Used</w:t>
        </w:r>
        <w:r>
          <w:rPr>
            <w:webHidden/>
          </w:rPr>
          <w:tab/>
        </w:r>
        <w:r>
          <w:rPr>
            <w:webHidden/>
          </w:rPr>
          <w:fldChar w:fldCharType="begin"/>
        </w:r>
        <w:r>
          <w:rPr>
            <w:webHidden/>
          </w:rPr>
          <w:instrText xml:space="preserve"> PAGEREF _Toc224818837 \h </w:instrText>
        </w:r>
        <w:r>
          <w:rPr>
            <w:webHidden/>
          </w:rPr>
        </w:r>
        <w:r>
          <w:rPr>
            <w:webHidden/>
          </w:rPr>
          <w:fldChar w:fldCharType="separate"/>
        </w:r>
        <w:r w:rsidR="00AA17AB">
          <w:rPr>
            <w:webHidden/>
          </w:rPr>
          <w:t>137</w:t>
        </w:r>
        <w:r>
          <w:rPr>
            <w:webHidden/>
          </w:rPr>
          <w:fldChar w:fldCharType="end"/>
        </w:r>
      </w:hyperlink>
    </w:p>
    <w:p w14:paraId="3A7AC2EF" w14:textId="1A3A3A8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8" w:history="1">
        <w:r w:rsidRPr="00FC437C">
          <w:rPr>
            <w:rStyle w:val="Hyperlink"/>
          </w:rPr>
          <w:t>§905.</w:t>
        </w:r>
        <w:r>
          <w:rPr>
            <w:rFonts w:asciiTheme="minorHAnsi" w:eastAsiaTheme="minorEastAsia" w:hAnsiTheme="minorHAnsi" w:cstheme="minorBidi"/>
            <w:color w:val="auto"/>
            <w:kern w:val="2"/>
            <w:szCs w:val="24"/>
            <w14:ligatures w14:val="standardContextual"/>
          </w:rPr>
          <w:tab/>
        </w:r>
        <w:r w:rsidRPr="00FC437C">
          <w:rPr>
            <w:rStyle w:val="Hyperlink"/>
          </w:rPr>
          <w:t>Professional Services for which an Approved Plant Breeder is Required</w:t>
        </w:r>
        <w:r>
          <w:rPr>
            <w:webHidden/>
          </w:rPr>
          <w:tab/>
        </w:r>
        <w:r>
          <w:rPr>
            <w:webHidden/>
          </w:rPr>
          <w:fldChar w:fldCharType="begin"/>
        </w:r>
        <w:r>
          <w:rPr>
            <w:webHidden/>
          </w:rPr>
          <w:instrText xml:space="preserve"> PAGEREF _Toc224818838 \h </w:instrText>
        </w:r>
        <w:r>
          <w:rPr>
            <w:webHidden/>
          </w:rPr>
        </w:r>
        <w:r>
          <w:rPr>
            <w:webHidden/>
          </w:rPr>
          <w:fldChar w:fldCharType="separate"/>
        </w:r>
        <w:r w:rsidR="00AA17AB">
          <w:rPr>
            <w:webHidden/>
          </w:rPr>
          <w:t>138</w:t>
        </w:r>
        <w:r>
          <w:rPr>
            <w:webHidden/>
          </w:rPr>
          <w:fldChar w:fldCharType="end"/>
        </w:r>
      </w:hyperlink>
    </w:p>
    <w:p w14:paraId="129513BC" w14:textId="51A4EA0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39" w:history="1">
        <w:r w:rsidRPr="00FC437C">
          <w:rPr>
            <w:rStyle w:val="Hyperlink"/>
          </w:rPr>
          <w:t>§907.</w:t>
        </w:r>
        <w:r>
          <w:rPr>
            <w:rFonts w:asciiTheme="minorHAnsi" w:eastAsiaTheme="minorEastAsia" w:hAnsiTheme="minorHAnsi" w:cstheme="minorBidi"/>
            <w:color w:val="auto"/>
            <w:kern w:val="2"/>
            <w:szCs w:val="24"/>
            <w14:ligatures w14:val="standardContextual"/>
          </w:rPr>
          <w:tab/>
        </w:r>
        <w:r w:rsidRPr="00FC437C">
          <w:rPr>
            <w:rStyle w:val="Hyperlink"/>
          </w:rPr>
          <w:t>Qualifications for Approved Plant Breeders</w:t>
        </w:r>
        <w:r>
          <w:rPr>
            <w:webHidden/>
          </w:rPr>
          <w:tab/>
        </w:r>
        <w:r>
          <w:rPr>
            <w:webHidden/>
          </w:rPr>
          <w:fldChar w:fldCharType="begin"/>
        </w:r>
        <w:r>
          <w:rPr>
            <w:webHidden/>
          </w:rPr>
          <w:instrText xml:space="preserve"> PAGEREF _Toc224818839 \h </w:instrText>
        </w:r>
        <w:r>
          <w:rPr>
            <w:webHidden/>
          </w:rPr>
        </w:r>
        <w:r>
          <w:rPr>
            <w:webHidden/>
          </w:rPr>
          <w:fldChar w:fldCharType="separate"/>
        </w:r>
        <w:r w:rsidR="00AA17AB">
          <w:rPr>
            <w:webHidden/>
          </w:rPr>
          <w:t>138</w:t>
        </w:r>
        <w:r>
          <w:rPr>
            <w:webHidden/>
          </w:rPr>
          <w:fldChar w:fldCharType="end"/>
        </w:r>
      </w:hyperlink>
    </w:p>
    <w:p w14:paraId="7C22BCA7" w14:textId="12D47E5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0" w:history="1">
        <w:r w:rsidRPr="00FC437C">
          <w:rPr>
            <w:rStyle w:val="Hyperlink"/>
          </w:rPr>
          <w:t>§909.</w:t>
        </w:r>
        <w:r>
          <w:rPr>
            <w:rFonts w:asciiTheme="minorHAnsi" w:eastAsiaTheme="minorEastAsia" w:hAnsiTheme="minorHAnsi" w:cstheme="minorBidi"/>
            <w:color w:val="auto"/>
            <w:kern w:val="2"/>
            <w:szCs w:val="24"/>
            <w14:ligatures w14:val="standardContextual"/>
          </w:rPr>
          <w:tab/>
        </w:r>
        <w:r w:rsidRPr="00FC437C">
          <w:rPr>
            <w:rStyle w:val="Hyperlink"/>
          </w:rPr>
          <w:t>Conditions Governing the Approval of Plant Breeders</w:t>
        </w:r>
        <w:r>
          <w:rPr>
            <w:webHidden/>
          </w:rPr>
          <w:tab/>
        </w:r>
        <w:r>
          <w:rPr>
            <w:webHidden/>
          </w:rPr>
          <w:fldChar w:fldCharType="begin"/>
        </w:r>
        <w:r>
          <w:rPr>
            <w:webHidden/>
          </w:rPr>
          <w:instrText xml:space="preserve"> PAGEREF _Toc224818840 \h </w:instrText>
        </w:r>
        <w:r>
          <w:rPr>
            <w:webHidden/>
          </w:rPr>
        </w:r>
        <w:r>
          <w:rPr>
            <w:webHidden/>
          </w:rPr>
          <w:fldChar w:fldCharType="separate"/>
        </w:r>
        <w:r w:rsidR="00AA17AB">
          <w:rPr>
            <w:webHidden/>
          </w:rPr>
          <w:t>138</w:t>
        </w:r>
        <w:r>
          <w:rPr>
            <w:webHidden/>
          </w:rPr>
          <w:fldChar w:fldCharType="end"/>
        </w:r>
      </w:hyperlink>
    </w:p>
    <w:p w14:paraId="5BAC5D0F" w14:textId="4E6320C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1" w:history="1">
        <w:r w:rsidRPr="00FC437C">
          <w:rPr>
            <w:rStyle w:val="Hyperlink"/>
          </w:rPr>
          <w:t>§911.</w:t>
        </w:r>
        <w:r>
          <w:rPr>
            <w:rFonts w:asciiTheme="minorHAnsi" w:eastAsiaTheme="minorEastAsia" w:hAnsiTheme="minorHAnsi" w:cstheme="minorBidi"/>
            <w:color w:val="auto"/>
            <w:kern w:val="2"/>
            <w:szCs w:val="24"/>
            <w14:ligatures w14:val="standardContextual"/>
          </w:rPr>
          <w:tab/>
        </w:r>
        <w:r w:rsidRPr="00FC437C">
          <w:rPr>
            <w:rStyle w:val="Hyperlink"/>
          </w:rPr>
          <w:t>Plant Breeder Examination</w:t>
        </w:r>
        <w:r>
          <w:rPr>
            <w:webHidden/>
          </w:rPr>
          <w:tab/>
        </w:r>
        <w:r>
          <w:rPr>
            <w:webHidden/>
          </w:rPr>
          <w:fldChar w:fldCharType="begin"/>
        </w:r>
        <w:r>
          <w:rPr>
            <w:webHidden/>
          </w:rPr>
          <w:instrText xml:space="preserve"> PAGEREF _Toc224818841 \h </w:instrText>
        </w:r>
        <w:r>
          <w:rPr>
            <w:webHidden/>
          </w:rPr>
        </w:r>
        <w:r>
          <w:rPr>
            <w:webHidden/>
          </w:rPr>
          <w:fldChar w:fldCharType="separate"/>
        </w:r>
        <w:r w:rsidR="00AA17AB">
          <w:rPr>
            <w:webHidden/>
          </w:rPr>
          <w:t>139</w:t>
        </w:r>
        <w:r>
          <w:rPr>
            <w:webHidden/>
          </w:rPr>
          <w:fldChar w:fldCharType="end"/>
        </w:r>
      </w:hyperlink>
    </w:p>
    <w:p w14:paraId="7E7AF52B" w14:textId="5438FBB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2" w:history="1">
        <w:r w:rsidRPr="00FC437C">
          <w:rPr>
            <w:rStyle w:val="Hyperlink"/>
          </w:rPr>
          <w:t>§913.</w:t>
        </w:r>
        <w:r>
          <w:rPr>
            <w:rFonts w:asciiTheme="minorHAnsi" w:eastAsiaTheme="minorEastAsia" w:hAnsiTheme="minorHAnsi" w:cstheme="minorBidi"/>
            <w:color w:val="auto"/>
            <w:kern w:val="2"/>
            <w:szCs w:val="24"/>
            <w14:ligatures w14:val="standardContextual"/>
          </w:rPr>
          <w:tab/>
        </w:r>
        <w:r w:rsidRPr="00FC437C">
          <w:rPr>
            <w:rStyle w:val="Hyperlink"/>
          </w:rPr>
          <w:t>Issuance and Duration of Certificates</w:t>
        </w:r>
        <w:r>
          <w:rPr>
            <w:webHidden/>
          </w:rPr>
          <w:tab/>
        </w:r>
        <w:r>
          <w:rPr>
            <w:webHidden/>
          </w:rPr>
          <w:fldChar w:fldCharType="begin"/>
        </w:r>
        <w:r>
          <w:rPr>
            <w:webHidden/>
          </w:rPr>
          <w:instrText xml:space="preserve"> PAGEREF _Toc224818842 \h </w:instrText>
        </w:r>
        <w:r>
          <w:rPr>
            <w:webHidden/>
          </w:rPr>
        </w:r>
        <w:r>
          <w:rPr>
            <w:webHidden/>
          </w:rPr>
          <w:fldChar w:fldCharType="separate"/>
        </w:r>
        <w:r w:rsidR="00AA17AB">
          <w:rPr>
            <w:webHidden/>
          </w:rPr>
          <w:t>139</w:t>
        </w:r>
        <w:r>
          <w:rPr>
            <w:webHidden/>
          </w:rPr>
          <w:fldChar w:fldCharType="end"/>
        </w:r>
      </w:hyperlink>
    </w:p>
    <w:p w14:paraId="4E1C61F7" w14:textId="12ED0703" w:rsidR="00E67799" w:rsidRDefault="00E67799">
      <w:pPr>
        <w:pStyle w:val="TOC2"/>
        <w:rPr>
          <w:rFonts w:asciiTheme="minorHAnsi" w:eastAsiaTheme="minorEastAsia" w:hAnsiTheme="minorHAnsi" w:cstheme="minorBidi"/>
          <w:kern w:val="2"/>
          <w:szCs w:val="24"/>
          <w14:ligatures w14:val="standardContextual"/>
        </w:rPr>
      </w:pPr>
      <w:hyperlink w:anchor="_Toc224818843" w:history="1">
        <w:r w:rsidRPr="00FC437C">
          <w:rPr>
            <w:rStyle w:val="Hyperlink"/>
          </w:rPr>
          <w:t>Chapter 11.</w:t>
        </w:r>
        <w:r>
          <w:rPr>
            <w:rFonts w:asciiTheme="minorHAnsi" w:eastAsiaTheme="minorEastAsia" w:hAnsiTheme="minorHAnsi" w:cstheme="minorBidi"/>
            <w:kern w:val="2"/>
            <w:szCs w:val="24"/>
            <w14:ligatures w14:val="standardContextual"/>
          </w:rPr>
          <w:tab/>
        </w:r>
        <w:r w:rsidRPr="00FC437C">
          <w:rPr>
            <w:rStyle w:val="Hyperlink"/>
          </w:rPr>
          <w:t>Adulterated Seed Stock and other Propagating Stock</w:t>
        </w:r>
        <w:r>
          <w:rPr>
            <w:webHidden/>
          </w:rPr>
          <w:tab/>
        </w:r>
        <w:r>
          <w:rPr>
            <w:webHidden/>
          </w:rPr>
          <w:fldChar w:fldCharType="begin"/>
        </w:r>
        <w:r>
          <w:rPr>
            <w:webHidden/>
          </w:rPr>
          <w:instrText xml:space="preserve"> PAGEREF _Toc224818843 \h </w:instrText>
        </w:r>
        <w:r>
          <w:rPr>
            <w:webHidden/>
          </w:rPr>
        </w:r>
        <w:r>
          <w:rPr>
            <w:webHidden/>
          </w:rPr>
          <w:fldChar w:fldCharType="separate"/>
        </w:r>
        <w:r w:rsidR="00AA17AB">
          <w:rPr>
            <w:webHidden/>
          </w:rPr>
          <w:t>139</w:t>
        </w:r>
        <w:r>
          <w:rPr>
            <w:webHidden/>
          </w:rPr>
          <w:fldChar w:fldCharType="end"/>
        </w:r>
      </w:hyperlink>
    </w:p>
    <w:p w14:paraId="31E71793" w14:textId="7617D63E" w:rsidR="00E67799" w:rsidRDefault="00E67799">
      <w:pPr>
        <w:pStyle w:val="TOC2"/>
        <w:rPr>
          <w:rFonts w:asciiTheme="minorHAnsi" w:eastAsiaTheme="minorEastAsia" w:hAnsiTheme="minorHAnsi" w:cstheme="minorBidi"/>
          <w:kern w:val="2"/>
          <w:szCs w:val="24"/>
          <w14:ligatures w14:val="standardContextual"/>
        </w:rPr>
      </w:pPr>
      <w:hyperlink w:anchor="_Toc224818844"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Rice Seed Stocks Containing the Presence of LibertyLink Traits</w:t>
        </w:r>
        <w:r>
          <w:rPr>
            <w:webHidden/>
          </w:rPr>
          <w:tab/>
        </w:r>
        <w:r>
          <w:rPr>
            <w:webHidden/>
          </w:rPr>
          <w:fldChar w:fldCharType="begin"/>
        </w:r>
        <w:r>
          <w:rPr>
            <w:webHidden/>
          </w:rPr>
          <w:instrText xml:space="preserve"> PAGEREF _Toc224818844 \h </w:instrText>
        </w:r>
        <w:r>
          <w:rPr>
            <w:webHidden/>
          </w:rPr>
        </w:r>
        <w:r>
          <w:rPr>
            <w:webHidden/>
          </w:rPr>
          <w:fldChar w:fldCharType="separate"/>
        </w:r>
        <w:r w:rsidR="00AA17AB">
          <w:rPr>
            <w:webHidden/>
          </w:rPr>
          <w:t>139</w:t>
        </w:r>
        <w:r>
          <w:rPr>
            <w:webHidden/>
          </w:rPr>
          <w:fldChar w:fldCharType="end"/>
        </w:r>
      </w:hyperlink>
    </w:p>
    <w:p w14:paraId="098029E3" w14:textId="398E80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5" w:history="1">
        <w:r w:rsidRPr="00FC437C">
          <w:rPr>
            <w:rStyle w:val="Hyperlink"/>
          </w:rPr>
          <w:t>§1101.</w:t>
        </w:r>
        <w:r>
          <w:rPr>
            <w:rFonts w:asciiTheme="minorHAnsi" w:eastAsiaTheme="minorEastAsia" w:hAnsiTheme="minorHAnsi" w:cstheme="minorBidi"/>
            <w:color w:val="auto"/>
            <w:kern w:val="2"/>
            <w:szCs w:val="24"/>
            <w14:ligatures w14:val="standardContextual"/>
          </w:rPr>
          <w:tab/>
        </w:r>
        <w:r w:rsidRPr="00FC437C">
          <w:rPr>
            <w:rStyle w:val="Hyperlink"/>
          </w:rPr>
          <w:t>Planting of Rice Seed Stock with LL Traits</w:t>
        </w:r>
        <w:r>
          <w:rPr>
            <w:webHidden/>
          </w:rPr>
          <w:tab/>
        </w:r>
        <w:r>
          <w:rPr>
            <w:webHidden/>
          </w:rPr>
          <w:fldChar w:fldCharType="begin"/>
        </w:r>
        <w:r>
          <w:rPr>
            <w:webHidden/>
          </w:rPr>
          <w:instrText xml:space="preserve"> PAGEREF _Toc224818845 \h </w:instrText>
        </w:r>
        <w:r>
          <w:rPr>
            <w:webHidden/>
          </w:rPr>
        </w:r>
        <w:r>
          <w:rPr>
            <w:webHidden/>
          </w:rPr>
          <w:fldChar w:fldCharType="separate"/>
        </w:r>
        <w:r w:rsidR="00AA17AB">
          <w:rPr>
            <w:webHidden/>
          </w:rPr>
          <w:t>139</w:t>
        </w:r>
        <w:r>
          <w:rPr>
            <w:webHidden/>
          </w:rPr>
          <w:fldChar w:fldCharType="end"/>
        </w:r>
      </w:hyperlink>
    </w:p>
    <w:p w14:paraId="14D3A7E2" w14:textId="621B83E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6" w:history="1">
        <w:r w:rsidRPr="00FC437C">
          <w:rPr>
            <w:rStyle w:val="Hyperlink"/>
          </w:rPr>
          <w:t>§1103.</w:t>
        </w:r>
        <w:r>
          <w:rPr>
            <w:rFonts w:asciiTheme="minorHAnsi" w:eastAsiaTheme="minorEastAsia" w:hAnsiTheme="minorHAnsi" w:cstheme="minorBidi"/>
            <w:color w:val="auto"/>
            <w:kern w:val="2"/>
            <w:szCs w:val="24"/>
            <w14:ligatures w14:val="standardContextual"/>
          </w:rPr>
          <w:tab/>
        </w:r>
        <w:r w:rsidRPr="00FC437C">
          <w:rPr>
            <w:rStyle w:val="Hyperlink"/>
          </w:rPr>
          <w:t>Planting of all Rice Seed Stocks</w:t>
        </w:r>
        <w:r>
          <w:rPr>
            <w:webHidden/>
          </w:rPr>
          <w:tab/>
        </w:r>
        <w:r>
          <w:rPr>
            <w:webHidden/>
          </w:rPr>
          <w:fldChar w:fldCharType="begin"/>
        </w:r>
        <w:r>
          <w:rPr>
            <w:webHidden/>
          </w:rPr>
          <w:instrText xml:space="preserve"> PAGEREF _Toc224818846 \h </w:instrText>
        </w:r>
        <w:r>
          <w:rPr>
            <w:webHidden/>
          </w:rPr>
        </w:r>
        <w:r>
          <w:rPr>
            <w:webHidden/>
          </w:rPr>
          <w:fldChar w:fldCharType="separate"/>
        </w:r>
        <w:r w:rsidR="00AA17AB">
          <w:rPr>
            <w:webHidden/>
          </w:rPr>
          <w:t>139</w:t>
        </w:r>
        <w:r>
          <w:rPr>
            <w:webHidden/>
          </w:rPr>
          <w:fldChar w:fldCharType="end"/>
        </w:r>
      </w:hyperlink>
    </w:p>
    <w:p w14:paraId="16DC4858" w14:textId="067D8A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7" w:history="1">
        <w:r w:rsidRPr="00FC437C">
          <w:rPr>
            <w:rStyle w:val="Hyperlink"/>
          </w:rPr>
          <w:t>§1105.</w:t>
        </w:r>
        <w:r>
          <w:rPr>
            <w:rFonts w:asciiTheme="minorHAnsi" w:eastAsiaTheme="minorEastAsia" w:hAnsiTheme="minorHAnsi" w:cstheme="minorBidi"/>
            <w:color w:val="auto"/>
            <w:kern w:val="2"/>
            <w:szCs w:val="24"/>
            <w14:ligatures w14:val="standardContextual"/>
          </w:rPr>
          <w:tab/>
        </w:r>
        <w:r w:rsidRPr="00FC437C">
          <w:rPr>
            <w:rStyle w:val="Hyperlink"/>
          </w:rPr>
          <w:t>Sampling of Rice Seed Stock to Detect LL Traits</w:t>
        </w:r>
        <w:r>
          <w:rPr>
            <w:webHidden/>
          </w:rPr>
          <w:tab/>
        </w:r>
        <w:r>
          <w:rPr>
            <w:webHidden/>
          </w:rPr>
          <w:fldChar w:fldCharType="begin"/>
        </w:r>
        <w:r>
          <w:rPr>
            <w:webHidden/>
          </w:rPr>
          <w:instrText xml:space="preserve"> PAGEREF _Toc224818847 \h </w:instrText>
        </w:r>
        <w:r>
          <w:rPr>
            <w:webHidden/>
          </w:rPr>
        </w:r>
        <w:r>
          <w:rPr>
            <w:webHidden/>
          </w:rPr>
          <w:fldChar w:fldCharType="separate"/>
        </w:r>
        <w:r w:rsidR="00AA17AB">
          <w:rPr>
            <w:webHidden/>
          </w:rPr>
          <w:t>139</w:t>
        </w:r>
        <w:r>
          <w:rPr>
            <w:webHidden/>
          </w:rPr>
          <w:fldChar w:fldCharType="end"/>
        </w:r>
      </w:hyperlink>
    </w:p>
    <w:p w14:paraId="1BD01723" w14:textId="50F80C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8" w:history="1">
        <w:r w:rsidRPr="00FC437C">
          <w:rPr>
            <w:rStyle w:val="Hyperlink"/>
          </w:rPr>
          <w:t>§1107.</w:t>
        </w:r>
        <w:r>
          <w:rPr>
            <w:rFonts w:asciiTheme="minorHAnsi" w:eastAsiaTheme="minorEastAsia" w:hAnsiTheme="minorHAnsi" w:cstheme="minorBidi"/>
            <w:color w:val="auto"/>
            <w:kern w:val="2"/>
            <w:szCs w:val="24"/>
            <w14:ligatures w14:val="standardContextual"/>
          </w:rPr>
          <w:tab/>
        </w:r>
        <w:r w:rsidRPr="00FC437C">
          <w:rPr>
            <w:rStyle w:val="Hyperlink"/>
          </w:rPr>
          <w:t>Rice Seed Stock Originating from Out-of-State</w:t>
        </w:r>
        <w:r>
          <w:rPr>
            <w:webHidden/>
          </w:rPr>
          <w:tab/>
        </w:r>
        <w:r>
          <w:rPr>
            <w:webHidden/>
          </w:rPr>
          <w:fldChar w:fldCharType="begin"/>
        </w:r>
        <w:r>
          <w:rPr>
            <w:webHidden/>
          </w:rPr>
          <w:instrText xml:space="preserve"> PAGEREF _Toc224818848 \h </w:instrText>
        </w:r>
        <w:r>
          <w:rPr>
            <w:webHidden/>
          </w:rPr>
        </w:r>
        <w:r>
          <w:rPr>
            <w:webHidden/>
          </w:rPr>
          <w:fldChar w:fldCharType="separate"/>
        </w:r>
        <w:r w:rsidR="00AA17AB">
          <w:rPr>
            <w:webHidden/>
          </w:rPr>
          <w:t>139</w:t>
        </w:r>
        <w:r>
          <w:rPr>
            <w:webHidden/>
          </w:rPr>
          <w:fldChar w:fldCharType="end"/>
        </w:r>
      </w:hyperlink>
    </w:p>
    <w:p w14:paraId="191451EA" w14:textId="3AD7B5B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49" w:history="1">
        <w:r w:rsidRPr="00FC437C">
          <w:rPr>
            <w:rStyle w:val="Hyperlink"/>
          </w:rPr>
          <w:t>§1109.</w:t>
        </w:r>
        <w:r>
          <w:rPr>
            <w:rFonts w:asciiTheme="minorHAnsi" w:eastAsiaTheme="minorEastAsia" w:hAnsiTheme="minorHAnsi" w:cstheme="minorBidi"/>
            <w:color w:val="auto"/>
            <w:kern w:val="2"/>
            <w:szCs w:val="24"/>
            <w14:ligatures w14:val="standardContextual"/>
          </w:rPr>
          <w:tab/>
        </w:r>
        <w:r w:rsidRPr="00FC437C">
          <w:rPr>
            <w:rStyle w:val="Hyperlink"/>
          </w:rPr>
          <w:t>Carry-Over Rice Seed Stock</w:t>
        </w:r>
        <w:r>
          <w:rPr>
            <w:webHidden/>
          </w:rPr>
          <w:tab/>
        </w:r>
        <w:r>
          <w:rPr>
            <w:webHidden/>
          </w:rPr>
          <w:fldChar w:fldCharType="begin"/>
        </w:r>
        <w:r>
          <w:rPr>
            <w:webHidden/>
          </w:rPr>
          <w:instrText xml:space="preserve"> PAGEREF _Toc224818849 \h </w:instrText>
        </w:r>
        <w:r>
          <w:rPr>
            <w:webHidden/>
          </w:rPr>
        </w:r>
        <w:r>
          <w:rPr>
            <w:webHidden/>
          </w:rPr>
          <w:fldChar w:fldCharType="separate"/>
        </w:r>
        <w:r w:rsidR="00AA17AB">
          <w:rPr>
            <w:webHidden/>
          </w:rPr>
          <w:t>140</w:t>
        </w:r>
        <w:r>
          <w:rPr>
            <w:webHidden/>
          </w:rPr>
          <w:fldChar w:fldCharType="end"/>
        </w:r>
      </w:hyperlink>
    </w:p>
    <w:p w14:paraId="3B973A53" w14:textId="79AB2F6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0" w:history="1">
        <w:r w:rsidRPr="00FC437C">
          <w:rPr>
            <w:rStyle w:val="Hyperlink"/>
          </w:rPr>
          <w:t>§1111.</w:t>
        </w:r>
        <w:r>
          <w:rPr>
            <w:rFonts w:asciiTheme="minorHAnsi" w:eastAsiaTheme="minorEastAsia" w:hAnsiTheme="minorHAnsi" w:cstheme="minorBidi"/>
            <w:color w:val="auto"/>
            <w:kern w:val="2"/>
            <w:szCs w:val="24"/>
            <w14:ligatures w14:val="standardContextual"/>
          </w:rPr>
          <w:tab/>
        </w:r>
        <w:r w:rsidRPr="00FC437C">
          <w:rPr>
            <w:rStyle w:val="Hyperlink"/>
          </w:rPr>
          <w:t>Stop-Sale</w:t>
        </w:r>
        <w:r>
          <w:rPr>
            <w:webHidden/>
          </w:rPr>
          <w:tab/>
        </w:r>
        <w:r>
          <w:rPr>
            <w:webHidden/>
          </w:rPr>
          <w:fldChar w:fldCharType="begin"/>
        </w:r>
        <w:r>
          <w:rPr>
            <w:webHidden/>
          </w:rPr>
          <w:instrText xml:space="preserve"> PAGEREF _Toc224818850 \h </w:instrText>
        </w:r>
        <w:r>
          <w:rPr>
            <w:webHidden/>
          </w:rPr>
        </w:r>
        <w:r>
          <w:rPr>
            <w:webHidden/>
          </w:rPr>
          <w:fldChar w:fldCharType="separate"/>
        </w:r>
        <w:r w:rsidR="00AA17AB">
          <w:rPr>
            <w:webHidden/>
          </w:rPr>
          <w:t>140</w:t>
        </w:r>
        <w:r>
          <w:rPr>
            <w:webHidden/>
          </w:rPr>
          <w:fldChar w:fldCharType="end"/>
        </w:r>
      </w:hyperlink>
    </w:p>
    <w:p w14:paraId="33A56476" w14:textId="4209570D" w:rsidR="00E67799" w:rsidRDefault="00E67799">
      <w:pPr>
        <w:pStyle w:val="TOC3"/>
        <w:tabs>
          <w:tab w:val="left" w:pos="2026"/>
        </w:tabs>
        <w:rPr>
          <w:rFonts w:asciiTheme="minorHAnsi" w:eastAsiaTheme="minorEastAsia" w:hAnsiTheme="minorHAnsi" w:cstheme="minorBidi"/>
          <w:color w:val="auto"/>
          <w:kern w:val="2"/>
          <w:szCs w:val="24"/>
          <w14:ligatures w14:val="standardContextual"/>
        </w:rPr>
      </w:pPr>
      <w:hyperlink w:anchor="_Toc224818851" w:history="1">
        <w:r w:rsidRPr="00FC437C">
          <w:rPr>
            <w:rStyle w:val="Hyperlink"/>
          </w:rPr>
          <w:t>§§1113-1119.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_Toc224818851 \h </w:instrText>
        </w:r>
        <w:r>
          <w:rPr>
            <w:webHidden/>
          </w:rPr>
        </w:r>
        <w:r>
          <w:rPr>
            <w:webHidden/>
          </w:rPr>
          <w:fldChar w:fldCharType="separate"/>
        </w:r>
        <w:r w:rsidR="00AA17AB">
          <w:rPr>
            <w:webHidden/>
          </w:rPr>
          <w:t>140</w:t>
        </w:r>
        <w:r>
          <w:rPr>
            <w:webHidden/>
          </w:rPr>
          <w:fldChar w:fldCharType="end"/>
        </w:r>
      </w:hyperlink>
    </w:p>
    <w:p w14:paraId="6B0BC254" w14:textId="47CB42F6" w:rsidR="00E67799" w:rsidRDefault="00E67799">
      <w:pPr>
        <w:pStyle w:val="TOC2"/>
        <w:rPr>
          <w:rFonts w:asciiTheme="minorHAnsi" w:eastAsiaTheme="minorEastAsia" w:hAnsiTheme="minorHAnsi" w:cstheme="minorBidi"/>
          <w:kern w:val="2"/>
          <w:szCs w:val="24"/>
          <w14:ligatures w14:val="standardContextual"/>
        </w:rPr>
      </w:pPr>
      <w:hyperlink w:anchor="_Toc224818852" w:history="1">
        <w:r w:rsidRPr="00FC437C">
          <w:rPr>
            <w:rStyle w:val="Hyperlink"/>
          </w:rPr>
          <w:t>Chapter 12.</w:t>
        </w:r>
        <w:r>
          <w:rPr>
            <w:rFonts w:asciiTheme="minorHAnsi" w:eastAsiaTheme="minorEastAsia" w:hAnsiTheme="minorHAnsi" w:cstheme="minorBidi"/>
            <w:kern w:val="2"/>
            <w:szCs w:val="24"/>
            <w14:ligatures w14:val="standardContextual"/>
          </w:rPr>
          <w:tab/>
        </w:r>
        <w:r w:rsidRPr="00FC437C">
          <w:rPr>
            <w:rStyle w:val="Hyperlink"/>
          </w:rPr>
          <w:t>Hemp (</w:t>
        </w:r>
        <w:r w:rsidRPr="00FC437C">
          <w:rPr>
            <w:rStyle w:val="Hyperlink"/>
            <w:i/>
            <w:iCs/>
          </w:rPr>
          <w:t>Cannabis</w:t>
        </w:r>
        <w:r w:rsidRPr="00FC437C">
          <w:rPr>
            <w:rStyle w:val="Hyperlink"/>
          </w:rPr>
          <w:t xml:space="preserve"> </w:t>
        </w:r>
        <w:r w:rsidRPr="00FC437C">
          <w:rPr>
            <w:rStyle w:val="Hyperlink"/>
            <w:i/>
            <w:iCs/>
          </w:rPr>
          <w:t>sativa</w:t>
        </w:r>
        <w:r w:rsidRPr="00FC437C">
          <w:rPr>
            <w:rStyle w:val="Hyperlink"/>
          </w:rPr>
          <w:t xml:space="preserve"> L. </w:t>
        </w:r>
        <w:r w:rsidRPr="00FC437C">
          <w:rPr>
            <w:rStyle w:val="Hyperlink"/>
            <w:i/>
            <w:iCs/>
          </w:rPr>
          <w:t>Subsp</w:t>
        </w:r>
        <w:r w:rsidRPr="00FC437C">
          <w:rPr>
            <w:rStyle w:val="Hyperlink"/>
          </w:rPr>
          <w:t xml:space="preserve">. </w:t>
        </w:r>
        <w:r w:rsidRPr="00FC437C">
          <w:rPr>
            <w:rStyle w:val="Hyperlink"/>
            <w:i/>
            <w:iCs/>
          </w:rPr>
          <w:t>sativa</w:t>
        </w:r>
        <w:r w:rsidRPr="00FC437C">
          <w:rPr>
            <w:rStyle w:val="Hyperlink"/>
          </w:rPr>
          <w:t>) Seed Certification Standards</w:t>
        </w:r>
        <w:r>
          <w:rPr>
            <w:webHidden/>
          </w:rPr>
          <w:tab/>
        </w:r>
        <w:r>
          <w:rPr>
            <w:webHidden/>
          </w:rPr>
          <w:fldChar w:fldCharType="begin"/>
        </w:r>
        <w:r>
          <w:rPr>
            <w:webHidden/>
          </w:rPr>
          <w:instrText xml:space="preserve"> PAGEREF _Toc224818852 \h </w:instrText>
        </w:r>
        <w:r>
          <w:rPr>
            <w:webHidden/>
          </w:rPr>
        </w:r>
        <w:r>
          <w:rPr>
            <w:webHidden/>
          </w:rPr>
          <w:fldChar w:fldCharType="separate"/>
        </w:r>
        <w:r w:rsidR="00AA17AB">
          <w:rPr>
            <w:webHidden/>
          </w:rPr>
          <w:t>140</w:t>
        </w:r>
        <w:r>
          <w:rPr>
            <w:webHidden/>
          </w:rPr>
          <w:fldChar w:fldCharType="end"/>
        </w:r>
      </w:hyperlink>
    </w:p>
    <w:p w14:paraId="3D2B0AF3" w14:textId="092C151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3" w:history="1">
        <w:r w:rsidRPr="00FC437C">
          <w:rPr>
            <w:rStyle w:val="Hyperlink"/>
            <w:bCs/>
          </w:rPr>
          <w:t>§</w:t>
        </w:r>
        <w:r w:rsidRPr="00FC437C">
          <w:rPr>
            <w:rStyle w:val="Hyperlink"/>
          </w:rPr>
          <w:t>1201.</w:t>
        </w:r>
        <w:r>
          <w:rPr>
            <w:rFonts w:asciiTheme="minorHAnsi" w:eastAsiaTheme="minorEastAsia" w:hAnsiTheme="minorHAnsi" w:cstheme="minorBidi"/>
            <w:color w:val="auto"/>
            <w:kern w:val="2"/>
            <w:szCs w:val="24"/>
            <w14:ligatures w14:val="standardContextual"/>
          </w:rPr>
          <w:tab/>
        </w:r>
        <w:r w:rsidRPr="00FC437C">
          <w:rPr>
            <w:rStyle w:val="Hyperlink"/>
          </w:rPr>
          <w:t>General Hemp Seed Certification Standards</w:t>
        </w:r>
        <w:r>
          <w:rPr>
            <w:webHidden/>
          </w:rPr>
          <w:tab/>
        </w:r>
        <w:r>
          <w:rPr>
            <w:webHidden/>
          </w:rPr>
          <w:fldChar w:fldCharType="begin"/>
        </w:r>
        <w:r>
          <w:rPr>
            <w:webHidden/>
          </w:rPr>
          <w:instrText xml:space="preserve"> PAGEREF _Toc224818853 \h </w:instrText>
        </w:r>
        <w:r>
          <w:rPr>
            <w:webHidden/>
          </w:rPr>
        </w:r>
        <w:r>
          <w:rPr>
            <w:webHidden/>
          </w:rPr>
          <w:fldChar w:fldCharType="separate"/>
        </w:r>
        <w:r w:rsidR="00AA17AB">
          <w:rPr>
            <w:webHidden/>
          </w:rPr>
          <w:t>140</w:t>
        </w:r>
        <w:r>
          <w:rPr>
            <w:webHidden/>
          </w:rPr>
          <w:fldChar w:fldCharType="end"/>
        </w:r>
      </w:hyperlink>
    </w:p>
    <w:p w14:paraId="374FDEA0" w14:textId="5288918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4" w:history="1">
        <w:r w:rsidRPr="00FC437C">
          <w:rPr>
            <w:rStyle w:val="Hyperlink"/>
          </w:rPr>
          <w:t>§</w:t>
        </w:r>
        <w:r w:rsidRPr="00FC437C">
          <w:rPr>
            <w:rStyle w:val="Hyperlink"/>
            <w:spacing w:val="-1"/>
          </w:rPr>
          <w:t>1203.</w:t>
        </w:r>
        <w:r>
          <w:rPr>
            <w:rFonts w:asciiTheme="minorHAnsi" w:eastAsiaTheme="minorEastAsia" w:hAnsiTheme="minorHAnsi" w:cstheme="minorBidi"/>
            <w:color w:val="auto"/>
            <w:kern w:val="2"/>
            <w:szCs w:val="24"/>
            <w14:ligatures w14:val="standardContextual"/>
          </w:rPr>
          <w:tab/>
        </w:r>
        <w:r w:rsidRPr="00FC437C">
          <w:rPr>
            <w:rStyle w:val="Hyperlink"/>
          </w:rPr>
          <w:t>Hemp Seed Certification Standards</w:t>
        </w:r>
        <w:r>
          <w:rPr>
            <w:webHidden/>
          </w:rPr>
          <w:tab/>
        </w:r>
        <w:r>
          <w:rPr>
            <w:webHidden/>
          </w:rPr>
          <w:fldChar w:fldCharType="begin"/>
        </w:r>
        <w:r>
          <w:rPr>
            <w:webHidden/>
          </w:rPr>
          <w:instrText xml:space="preserve"> PAGEREF _Toc224818854 \h </w:instrText>
        </w:r>
        <w:r>
          <w:rPr>
            <w:webHidden/>
          </w:rPr>
        </w:r>
        <w:r>
          <w:rPr>
            <w:webHidden/>
          </w:rPr>
          <w:fldChar w:fldCharType="separate"/>
        </w:r>
        <w:r w:rsidR="00AA17AB">
          <w:rPr>
            <w:webHidden/>
          </w:rPr>
          <w:t>141</w:t>
        </w:r>
        <w:r>
          <w:rPr>
            <w:webHidden/>
          </w:rPr>
          <w:fldChar w:fldCharType="end"/>
        </w:r>
      </w:hyperlink>
    </w:p>
    <w:p w14:paraId="0E1C6B82" w14:textId="2A727AD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5" w:history="1">
        <w:r w:rsidRPr="00FC437C">
          <w:rPr>
            <w:rStyle w:val="Hyperlink"/>
          </w:rPr>
          <w:t>§</w:t>
        </w:r>
        <w:r w:rsidRPr="00FC437C">
          <w:rPr>
            <w:rStyle w:val="Hyperlink"/>
            <w:spacing w:val="-1"/>
          </w:rPr>
          <w:t>1205.</w:t>
        </w:r>
        <w:r>
          <w:rPr>
            <w:rFonts w:asciiTheme="minorHAnsi" w:eastAsiaTheme="minorEastAsia" w:hAnsiTheme="minorHAnsi" w:cstheme="minorBidi"/>
            <w:color w:val="auto"/>
            <w:kern w:val="2"/>
            <w:szCs w:val="24"/>
            <w14:ligatures w14:val="standardContextual"/>
          </w:rPr>
          <w:tab/>
        </w:r>
        <w:r w:rsidRPr="00FC437C">
          <w:rPr>
            <w:rStyle w:val="Hyperlink"/>
          </w:rPr>
          <w:t>Feminized</w:t>
        </w:r>
        <w:r w:rsidRPr="00FC437C">
          <w:rPr>
            <w:rStyle w:val="Hyperlink"/>
            <w:rFonts w:eastAsia="PMingLiU"/>
          </w:rPr>
          <w:t xml:space="preserve"> </w:t>
        </w:r>
        <w:r w:rsidRPr="00FC437C">
          <w:rPr>
            <w:rStyle w:val="Hyperlink"/>
          </w:rPr>
          <w:t>Hemp</w:t>
        </w:r>
        <w:r w:rsidRPr="00FC437C">
          <w:rPr>
            <w:rStyle w:val="Hyperlink"/>
            <w:rFonts w:eastAsia="PMingLiU"/>
          </w:rPr>
          <w:t xml:space="preserve"> Seed Certification Standards</w:t>
        </w:r>
        <w:r>
          <w:rPr>
            <w:webHidden/>
          </w:rPr>
          <w:tab/>
        </w:r>
        <w:r>
          <w:rPr>
            <w:webHidden/>
          </w:rPr>
          <w:fldChar w:fldCharType="begin"/>
        </w:r>
        <w:r>
          <w:rPr>
            <w:webHidden/>
          </w:rPr>
          <w:instrText xml:space="preserve"> PAGEREF _Toc224818855 \h </w:instrText>
        </w:r>
        <w:r>
          <w:rPr>
            <w:webHidden/>
          </w:rPr>
        </w:r>
        <w:r>
          <w:rPr>
            <w:webHidden/>
          </w:rPr>
          <w:fldChar w:fldCharType="separate"/>
        </w:r>
        <w:r w:rsidR="00AA17AB">
          <w:rPr>
            <w:webHidden/>
          </w:rPr>
          <w:t>142</w:t>
        </w:r>
        <w:r>
          <w:rPr>
            <w:webHidden/>
          </w:rPr>
          <w:fldChar w:fldCharType="end"/>
        </w:r>
      </w:hyperlink>
    </w:p>
    <w:p w14:paraId="7355035C" w14:textId="621F0C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6" w:history="1">
        <w:r w:rsidRPr="00FC437C">
          <w:rPr>
            <w:rStyle w:val="Hyperlink"/>
          </w:rPr>
          <w:t>§</w:t>
        </w:r>
        <w:r w:rsidRPr="00FC437C">
          <w:rPr>
            <w:rStyle w:val="Hyperlink"/>
            <w:spacing w:val="-1"/>
          </w:rPr>
          <w:t>1207.</w:t>
        </w:r>
        <w:r>
          <w:rPr>
            <w:rFonts w:asciiTheme="minorHAnsi" w:eastAsiaTheme="minorEastAsia" w:hAnsiTheme="minorHAnsi" w:cstheme="minorBidi"/>
            <w:color w:val="auto"/>
            <w:kern w:val="2"/>
            <w:szCs w:val="24"/>
            <w14:ligatures w14:val="standardContextual"/>
          </w:rPr>
          <w:tab/>
        </w:r>
        <w:r w:rsidRPr="00FC437C">
          <w:rPr>
            <w:rStyle w:val="Hyperlink"/>
          </w:rPr>
          <w:t>Vegetatively</w:t>
        </w:r>
        <w:r w:rsidRPr="00FC437C">
          <w:rPr>
            <w:rStyle w:val="Hyperlink"/>
            <w:spacing w:val="32"/>
          </w:rPr>
          <w:t xml:space="preserve"> </w:t>
        </w:r>
        <w:r w:rsidRPr="00FC437C">
          <w:rPr>
            <w:rStyle w:val="Hyperlink"/>
          </w:rPr>
          <w:t>Propagated</w:t>
        </w:r>
        <w:r w:rsidRPr="00FC437C">
          <w:rPr>
            <w:rStyle w:val="Hyperlink"/>
            <w:spacing w:val="32"/>
          </w:rPr>
          <w:t xml:space="preserve"> Hemp</w:t>
        </w:r>
        <w:r w:rsidRPr="00FC437C">
          <w:rPr>
            <w:rStyle w:val="Hyperlink"/>
          </w:rPr>
          <w:t xml:space="preserve"> Seed Certification Standards</w:t>
        </w:r>
        <w:r>
          <w:rPr>
            <w:webHidden/>
          </w:rPr>
          <w:tab/>
        </w:r>
        <w:r>
          <w:rPr>
            <w:webHidden/>
          </w:rPr>
          <w:fldChar w:fldCharType="begin"/>
        </w:r>
        <w:r>
          <w:rPr>
            <w:webHidden/>
          </w:rPr>
          <w:instrText xml:space="preserve"> PAGEREF _Toc224818856 \h </w:instrText>
        </w:r>
        <w:r>
          <w:rPr>
            <w:webHidden/>
          </w:rPr>
        </w:r>
        <w:r>
          <w:rPr>
            <w:webHidden/>
          </w:rPr>
          <w:fldChar w:fldCharType="separate"/>
        </w:r>
        <w:r w:rsidR="00AA17AB">
          <w:rPr>
            <w:webHidden/>
          </w:rPr>
          <w:t>144</w:t>
        </w:r>
        <w:r>
          <w:rPr>
            <w:webHidden/>
          </w:rPr>
          <w:fldChar w:fldCharType="end"/>
        </w:r>
      </w:hyperlink>
    </w:p>
    <w:p w14:paraId="1F6ED5E9" w14:textId="05DF608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57" w:history="1">
        <w:r w:rsidRPr="00FC437C">
          <w:rPr>
            <w:rStyle w:val="Hyperlink"/>
            <w:bCs/>
          </w:rPr>
          <w:t>§</w:t>
        </w:r>
        <w:r w:rsidRPr="00FC437C">
          <w:rPr>
            <w:rStyle w:val="Hyperlink"/>
          </w:rPr>
          <w:t>1209.</w:t>
        </w:r>
        <w:r>
          <w:rPr>
            <w:rFonts w:asciiTheme="minorHAnsi" w:eastAsiaTheme="minorEastAsia" w:hAnsiTheme="minorHAnsi" w:cstheme="minorBidi"/>
            <w:color w:val="auto"/>
            <w:kern w:val="2"/>
            <w:szCs w:val="24"/>
            <w14:ligatures w14:val="standardContextual"/>
          </w:rPr>
          <w:tab/>
        </w:r>
        <w:r w:rsidRPr="00FC437C">
          <w:rPr>
            <w:rStyle w:val="Hyperlink"/>
          </w:rPr>
          <w:t>Hemp Transplants Certification Standards</w:t>
        </w:r>
        <w:r>
          <w:rPr>
            <w:webHidden/>
          </w:rPr>
          <w:tab/>
        </w:r>
        <w:r>
          <w:rPr>
            <w:webHidden/>
          </w:rPr>
          <w:fldChar w:fldCharType="begin"/>
        </w:r>
        <w:r>
          <w:rPr>
            <w:webHidden/>
          </w:rPr>
          <w:instrText xml:space="preserve"> PAGEREF _Toc224818857 \h </w:instrText>
        </w:r>
        <w:r>
          <w:rPr>
            <w:webHidden/>
          </w:rPr>
        </w:r>
        <w:r>
          <w:rPr>
            <w:webHidden/>
          </w:rPr>
          <w:fldChar w:fldCharType="separate"/>
        </w:r>
        <w:r w:rsidR="00AA17AB">
          <w:rPr>
            <w:webHidden/>
          </w:rPr>
          <w:t>145</w:t>
        </w:r>
        <w:r>
          <w:rPr>
            <w:webHidden/>
          </w:rPr>
          <w:fldChar w:fldCharType="end"/>
        </w:r>
      </w:hyperlink>
    </w:p>
    <w:p w14:paraId="7A111E4A" w14:textId="15875A53" w:rsidR="00E67799" w:rsidRDefault="00E67799">
      <w:pPr>
        <w:pStyle w:val="TOC2"/>
        <w:rPr>
          <w:rFonts w:asciiTheme="minorHAnsi" w:eastAsiaTheme="minorEastAsia" w:hAnsiTheme="minorHAnsi" w:cstheme="minorBidi"/>
          <w:kern w:val="2"/>
          <w:szCs w:val="24"/>
          <w14:ligatures w14:val="standardContextual"/>
        </w:rPr>
      </w:pPr>
      <w:hyperlink w:anchor="_Toc224818858" w:history="1">
        <w:r w:rsidRPr="00FC437C">
          <w:rPr>
            <w:rStyle w:val="Hyperlink"/>
          </w:rPr>
          <w:t>Chapter 13.Industrial Hemp</w:t>
        </w:r>
        <w:r>
          <w:rPr>
            <w:webHidden/>
          </w:rPr>
          <w:tab/>
        </w:r>
        <w:r>
          <w:rPr>
            <w:webHidden/>
          </w:rPr>
          <w:fldChar w:fldCharType="begin"/>
        </w:r>
        <w:r>
          <w:rPr>
            <w:webHidden/>
          </w:rPr>
          <w:instrText xml:space="preserve"> PAGEREF _Toc224818858 \h </w:instrText>
        </w:r>
        <w:r>
          <w:rPr>
            <w:webHidden/>
          </w:rPr>
        </w:r>
        <w:r>
          <w:rPr>
            <w:webHidden/>
          </w:rPr>
          <w:fldChar w:fldCharType="separate"/>
        </w:r>
        <w:r w:rsidR="00AA17AB">
          <w:rPr>
            <w:webHidden/>
          </w:rPr>
          <w:t>146</w:t>
        </w:r>
        <w:r>
          <w:rPr>
            <w:webHidden/>
          </w:rPr>
          <w:fldChar w:fldCharType="end"/>
        </w:r>
      </w:hyperlink>
    </w:p>
    <w:p w14:paraId="7DC3E421" w14:textId="28DFD6C8" w:rsidR="00E67799" w:rsidRDefault="00E67799">
      <w:pPr>
        <w:pStyle w:val="TOC2"/>
        <w:rPr>
          <w:rFonts w:asciiTheme="minorHAnsi" w:eastAsiaTheme="minorEastAsia" w:hAnsiTheme="minorHAnsi" w:cstheme="minorBidi"/>
          <w:kern w:val="2"/>
          <w:szCs w:val="24"/>
          <w14:ligatures w14:val="standardContextual"/>
        </w:rPr>
      </w:pPr>
      <w:hyperlink w:anchor="_Toc224818859" w:history="1">
        <w:r w:rsidRPr="00FC437C">
          <w:rPr>
            <w:rStyle w:val="Hyperlink"/>
          </w:rPr>
          <w:t>Subchapter A. General Provisions</w:t>
        </w:r>
        <w:r>
          <w:rPr>
            <w:webHidden/>
          </w:rPr>
          <w:tab/>
        </w:r>
        <w:r>
          <w:rPr>
            <w:webHidden/>
          </w:rPr>
          <w:fldChar w:fldCharType="begin"/>
        </w:r>
        <w:r>
          <w:rPr>
            <w:webHidden/>
          </w:rPr>
          <w:instrText xml:space="preserve"> PAGEREF _Toc224818859 \h </w:instrText>
        </w:r>
        <w:r>
          <w:rPr>
            <w:webHidden/>
          </w:rPr>
        </w:r>
        <w:r>
          <w:rPr>
            <w:webHidden/>
          </w:rPr>
          <w:fldChar w:fldCharType="separate"/>
        </w:r>
        <w:r w:rsidR="00AA17AB">
          <w:rPr>
            <w:webHidden/>
          </w:rPr>
          <w:t>146</w:t>
        </w:r>
        <w:r>
          <w:rPr>
            <w:webHidden/>
          </w:rPr>
          <w:fldChar w:fldCharType="end"/>
        </w:r>
      </w:hyperlink>
    </w:p>
    <w:p w14:paraId="5F13D1E1" w14:textId="57916A1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0" w:history="1">
        <w:r w:rsidRPr="00FC437C">
          <w:rPr>
            <w:rStyle w:val="Hyperlink"/>
          </w:rPr>
          <w:t>§1301.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_Toc224818860 \h </w:instrText>
        </w:r>
        <w:r>
          <w:rPr>
            <w:webHidden/>
          </w:rPr>
        </w:r>
        <w:r>
          <w:rPr>
            <w:webHidden/>
          </w:rPr>
          <w:fldChar w:fldCharType="separate"/>
        </w:r>
        <w:r w:rsidR="00AA17AB">
          <w:rPr>
            <w:webHidden/>
          </w:rPr>
          <w:t>146</w:t>
        </w:r>
        <w:r>
          <w:rPr>
            <w:webHidden/>
          </w:rPr>
          <w:fldChar w:fldCharType="end"/>
        </w:r>
      </w:hyperlink>
    </w:p>
    <w:p w14:paraId="16678360" w14:textId="6C62A5A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1" w:history="1">
        <w:r w:rsidRPr="00FC437C">
          <w:rPr>
            <w:rStyle w:val="Hyperlink"/>
          </w:rPr>
          <w:t>§1303.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_Toc224818861 \h </w:instrText>
        </w:r>
        <w:r>
          <w:rPr>
            <w:webHidden/>
          </w:rPr>
        </w:r>
        <w:r>
          <w:rPr>
            <w:webHidden/>
          </w:rPr>
          <w:fldChar w:fldCharType="separate"/>
        </w:r>
        <w:r w:rsidR="00AA17AB">
          <w:rPr>
            <w:webHidden/>
          </w:rPr>
          <w:t>146</w:t>
        </w:r>
        <w:r>
          <w:rPr>
            <w:webHidden/>
          </w:rPr>
          <w:fldChar w:fldCharType="end"/>
        </w:r>
      </w:hyperlink>
    </w:p>
    <w:p w14:paraId="1C27BD2A" w14:textId="40D78461" w:rsidR="00E67799" w:rsidRDefault="00E67799">
      <w:pPr>
        <w:pStyle w:val="TOC2"/>
        <w:rPr>
          <w:rFonts w:asciiTheme="minorHAnsi" w:eastAsiaTheme="minorEastAsia" w:hAnsiTheme="minorHAnsi" w:cstheme="minorBidi"/>
          <w:kern w:val="2"/>
          <w:szCs w:val="24"/>
          <w14:ligatures w14:val="standardContextual"/>
        </w:rPr>
      </w:pPr>
      <w:hyperlink w:anchor="_Toc224818862"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Licenses</w:t>
        </w:r>
        <w:r>
          <w:rPr>
            <w:webHidden/>
          </w:rPr>
          <w:tab/>
        </w:r>
        <w:r>
          <w:rPr>
            <w:webHidden/>
          </w:rPr>
          <w:fldChar w:fldCharType="begin"/>
        </w:r>
        <w:r>
          <w:rPr>
            <w:webHidden/>
          </w:rPr>
          <w:instrText xml:space="preserve"> PAGEREF _Toc224818862 \h </w:instrText>
        </w:r>
        <w:r>
          <w:rPr>
            <w:webHidden/>
          </w:rPr>
        </w:r>
        <w:r>
          <w:rPr>
            <w:webHidden/>
          </w:rPr>
          <w:fldChar w:fldCharType="separate"/>
        </w:r>
        <w:r w:rsidR="00AA17AB">
          <w:rPr>
            <w:webHidden/>
          </w:rPr>
          <w:t>148</w:t>
        </w:r>
        <w:r>
          <w:rPr>
            <w:webHidden/>
          </w:rPr>
          <w:fldChar w:fldCharType="end"/>
        </w:r>
      </w:hyperlink>
    </w:p>
    <w:p w14:paraId="3B90AC14" w14:textId="07C0FC0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3" w:history="1">
        <w:r w:rsidRPr="00FC437C">
          <w:rPr>
            <w:rStyle w:val="Hyperlink"/>
          </w:rPr>
          <w:t>§1305.</w:t>
        </w:r>
        <w:r>
          <w:rPr>
            <w:rFonts w:asciiTheme="minorHAnsi" w:eastAsiaTheme="minorEastAsia" w:hAnsiTheme="minorHAnsi" w:cstheme="minorBidi"/>
            <w:color w:val="auto"/>
            <w:kern w:val="2"/>
            <w:szCs w:val="24"/>
            <w14:ligatures w14:val="standardContextual"/>
          </w:rPr>
          <w:tab/>
        </w:r>
        <w:r w:rsidRPr="00FC437C">
          <w:rPr>
            <w:rStyle w:val="Hyperlink"/>
          </w:rPr>
          <w:t>Licensing</w:t>
        </w:r>
        <w:r>
          <w:rPr>
            <w:webHidden/>
          </w:rPr>
          <w:tab/>
        </w:r>
        <w:r>
          <w:rPr>
            <w:webHidden/>
          </w:rPr>
          <w:fldChar w:fldCharType="begin"/>
        </w:r>
        <w:r>
          <w:rPr>
            <w:webHidden/>
          </w:rPr>
          <w:instrText xml:space="preserve"> PAGEREF _Toc224818863 \h </w:instrText>
        </w:r>
        <w:r>
          <w:rPr>
            <w:webHidden/>
          </w:rPr>
        </w:r>
        <w:r>
          <w:rPr>
            <w:webHidden/>
          </w:rPr>
          <w:fldChar w:fldCharType="separate"/>
        </w:r>
        <w:r w:rsidR="00AA17AB">
          <w:rPr>
            <w:webHidden/>
          </w:rPr>
          <w:t>148</w:t>
        </w:r>
        <w:r>
          <w:rPr>
            <w:webHidden/>
          </w:rPr>
          <w:fldChar w:fldCharType="end"/>
        </w:r>
      </w:hyperlink>
    </w:p>
    <w:p w14:paraId="38266178" w14:textId="185317E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4" w:history="1">
        <w:r w:rsidRPr="00FC437C">
          <w:rPr>
            <w:rStyle w:val="Hyperlink"/>
          </w:rPr>
          <w:t>§1307.</w:t>
        </w:r>
        <w:r>
          <w:rPr>
            <w:rFonts w:asciiTheme="minorHAnsi" w:eastAsiaTheme="minorEastAsia" w:hAnsiTheme="minorHAnsi" w:cstheme="minorBidi"/>
            <w:color w:val="auto"/>
            <w:kern w:val="2"/>
            <w:szCs w:val="24"/>
            <w14:ligatures w14:val="standardContextual"/>
          </w:rPr>
          <w:tab/>
        </w:r>
        <w:r w:rsidRPr="00FC437C">
          <w:rPr>
            <w:rStyle w:val="Hyperlink"/>
          </w:rPr>
          <w:t>Seed Producer License</w:t>
        </w:r>
        <w:r>
          <w:rPr>
            <w:webHidden/>
          </w:rPr>
          <w:tab/>
        </w:r>
        <w:r>
          <w:rPr>
            <w:webHidden/>
          </w:rPr>
          <w:fldChar w:fldCharType="begin"/>
        </w:r>
        <w:r>
          <w:rPr>
            <w:webHidden/>
          </w:rPr>
          <w:instrText xml:space="preserve"> PAGEREF _Toc224818864 \h </w:instrText>
        </w:r>
        <w:r>
          <w:rPr>
            <w:webHidden/>
          </w:rPr>
        </w:r>
        <w:r>
          <w:rPr>
            <w:webHidden/>
          </w:rPr>
          <w:fldChar w:fldCharType="separate"/>
        </w:r>
        <w:r w:rsidR="00AA17AB">
          <w:rPr>
            <w:webHidden/>
          </w:rPr>
          <w:t>149</w:t>
        </w:r>
        <w:r>
          <w:rPr>
            <w:webHidden/>
          </w:rPr>
          <w:fldChar w:fldCharType="end"/>
        </w:r>
      </w:hyperlink>
    </w:p>
    <w:p w14:paraId="33760925" w14:textId="4B7F68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5" w:history="1">
        <w:r w:rsidRPr="00FC437C">
          <w:rPr>
            <w:rStyle w:val="Hyperlink"/>
          </w:rPr>
          <w:t>§1309.</w:t>
        </w:r>
        <w:r>
          <w:rPr>
            <w:rFonts w:asciiTheme="minorHAnsi" w:eastAsiaTheme="minorEastAsia" w:hAnsiTheme="minorHAnsi" w:cstheme="minorBidi"/>
            <w:color w:val="auto"/>
            <w:kern w:val="2"/>
            <w:szCs w:val="24"/>
            <w14:ligatures w14:val="standardContextual"/>
          </w:rPr>
          <w:tab/>
        </w:r>
        <w:r w:rsidRPr="00FC437C">
          <w:rPr>
            <w:rStyle w:val="Hyperlink"/>
          </w:rPr>
          <w:t>Grower License</w:t>
        </w:r>
        <w:r>
          <w:rPr>
            <w:webHidden/>
          </w:rPr>
          <w:tab/>
        </w:r>
        <w:r>
          <w:rPr>
            <w:webHidden/>
          </w:rPr>
          <w:fldChar w:fldCharType="begin"/>
        </w:r>
        <w:r>
          <w:rPr>
            <w:webHidden/>
          </w:rPr>
          <w:instrText xml:space="preserve"> PAGEREF _Toc224818865 \h </w:instrText>
        </w:r>
        <w:r>
          <w:rPr>
            <w:webHidden/>
          </w:rPr>
        </w:r>
        <w:r>
          <w:rPr>
            <w:webHidden/>
          </w:rPr>
          <w:fldChar w:fldCharType="separate"/>
        </w:r>
        <w:r w:rsidR="00AA17AB">
          <w:rPr>
            <w:webHidden/>
          </w:rPr>
          <w:t>149</w:t>
        </w:r>
        <w:r>
          <w:rPr>
            <w:webHidden/>
          </w:rPr>
          <w:fldChar w:fldCharType="end"/>
        </w:r>
      </w:hyperlink>
    </w:p>
    <w:p w14:paraId="52498E08" w14:textId="5834939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6" w:history="1">
        <w:r w:rsidRPr="00FC437C">
          <w:rPr>
            <w:rStyle w:val="Hyperlink"/>
          </w:rPr>
          <w:t>§1311.</w:t>
        </w:r>
        <w:r>
          <w:rPr>
            <w:rFonts w:asciiTheme="minorHAnsi" w:eastAsiaTheme="minorEastAsia" w:hAnsiTheme="minorHAnsi" w:cstheme="minorBidi"/>
            <w:color w:val="auto"/>
            <w:kern w:val="2"/>
            <w:szCs w:val="24"/>
            <w14:ligatures w14:val="standardContextual"/>
          </w:rPr>
          <w:tab/>
        </w:r>
        <w:r w:rsidRPr="00FC437C">
          <w:rPr>
            <w:rStyle w:val="Hyperlink"/>
          </w:rPr>
          <w:t>Processor License</w:t>
        </w:r>
        <w:r>
          <w:rPr>
            <w:webHidden/>
          </w:rPr>
          <w:tab/>
        </w:r>
        <w:r>
          <w:rPr>
            <w:webHidden/>
          </w:rPr>
          <w:fldChar w:fldCharType="begin"/>
        </w:r>
        <w:r>
          <w:rPr>
            <w:webHidden/>
          </w:rPr>
          <w:instrText xml:space="preserve"> PAGEREF _Toc224818866 \h </w:instrText>
        </w:r>
        <w:r>
          <w:rPr>
            <w:webHidden/>
          </w:rPr>
        </w:r>
        <w:r>
          <w:rPr>
            <w:webHidden/>
          </w:rPr>
          <w:fldChar w:fldCharType="separate"/>
        </w:r>
        <w:r w:rsidR="00AA17AB">
          <w:rPr>
            <w:webHidden/>
          </w:rPr>
          <w:t>150</w:t>
        </w:r>
        <w:r>
          <w:rPr>
            <w:webHidden/>
          </w:rPr>
          <w:fldChar w:fldCharType="end"/>
        </w:r>
      </w:hyperlink>
    </w:p>
    <w:p w14:paraId="6ADAAE95" w14:textId="777CD7C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7" w:history="1">
        <w:r w:rsidRPr="00FC437C">
          <w:rPr>
            <w:rStyle w:val="Hyperlink"/>
          </w:rPr>
          <w:t>§1313.</w:t>
        </w:r>
        <w:r>
          <w:rPr>
            <w:rFonts w:asciiTheme="minorHAnsi" w:eastAsiaTheme="minorEastAsia" w:hAnsiTheme="minorHAnsi" w:cstheme="minorBidi"/>
            <w:color w:val="auto"/>
            <w:kern w:val="2"/>
            <w:szCs w:val="24"/>
            <w14:ligatures w14:val="standardContextual"/>
          </w:rPr>
          <w:tab/>
        </w:r>
        <w:r w:rsidRPr="00FC437C">
          <w:rPr>
            <w:rStyle w:val="Hyperlink"/>
          </w:rPr>
          <w:t>Handler License</w:t>
        </w:r>
        <w:r>
          <w:rPr>
            <w:webHidden/>
          </w:rPr>
          <w:tab/>
        </w:r>
        <w:r>
          <w:rPr>
            <w:webHidden/>
          </w:rPr>
          <w:fldChar w:fldCharType="begin"/>
        </w:r>
        <w:r>
          <w:rPr>
            <w:webHidden/>
          </w:rPr>
          <w:instrText xml:space="preserve"> PAGEREF _Toc224818867 \h </w:instrText>
        </w:r>
        <w:r>
          <w:rPr>
            <w:webHidden/>
          </w:rPr>
        </w:r>
        <w:r>
          <w:rPr>
            <w:webHidden/>
          </w:rPr>
          <w:fldChar w:fldCharType="separate"/>
        </w:r>
        <w:r w:rsidR="00AA17AB">
          <w:rPr>
            <w:webHidden/>
          </w:rPr>
          <w:t>150</w:t>
        </w:r>
        <w:r>
          <w:rPr>
            <w:webHidden/>
          </w:rPr>
          <w:fldChar w:fldCharType="end"/>
        </w:r>
      </w:hyperlink>
    </w:p>
    <w:p w14:paraId="626876A0" w14:textId="42F1874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68" w:history="1">
        <w:r w:rsidRPr="00FC437C">
          <w:rPr>
            <w:rStyle w:val="Hyperlink"/>
          </w:rPr>
          <w:t>§1315.</w:t>
        </w:r>
        <w:r>
          <w:rPr>
            <w:rFonts w:asciiTheme="minorHAnsi" w:eastAsiaTheme="minorEastAsia" w:hAnsiTheme="minorHAnsi" w:cstheme="minorBidi"/>
            <w:color w:val="auto"/>
            <w:kern w:val="2"/>
            <w:szCs w:val="24"/>
            <w14:ligatures w14:val="standardContextual"/>
          </w:rPr>
          <w:tab/>
        </w:r>
        <w:r w:rsidRPr="00FC437C">
          <w:rPr>
            <w:rStyle w:val="Hyperlink"/>
          </w:rPr>
          <w:t>Criminal Background Check</w:t>
        </w:r>
        <w:r>
          <w:rPr>
            <w:webHidden/>
          </w:rPr>
          <w:tab/>
        </w:r>
        <w:r>
          <w:rPr>
            <w:webHidden/>
          </w:rPr>
          <w:fldChar w:fldCharType="begin"/>
        </w:r>
        <w:r>
          <w:rPr>
            <w:webHidden/>
          </w:rPr>
          <w:instrText xml:space="preserve"> PAGEREF _Toc224818868 \h </w:instrText>
        </w:r>
        <w:r>
          <w:rPr>
            <w:webHidden/>
          </w:rPr>
        </w:r>
        <w:r>
          <w:rPr>
            <w:webHidden/>
          </w:rPr>
          <w:fldChar w:fldCharType="separate"/>
        </w:r>
        <w:r w:rsidR="00AA17AB">
          <w:rPr>
            <w:webHidden/>
          </w:rPr>
          <w:t>150</w:t>
        </w:r>
        <w:r>
          <w:rPr>
            <w:webHidden/>
          </w:rPr>
          <w:fldChar w:fldCharType="end"/>
        </w:r>
      </w:hyperlink>
    </w:p>
    <w:p w14:paraId="5C9BB290" w14:textId="12DB29AD" w:rsidR="00E67799" w:rsidRDefault="00E67799">
      <w:pPr>
        <w:pStyle w:val="TOC2"/>
        <w:rPr>
          <w:rFonts w:asciiTheme="minorHAnsi" w:eastAsiaTheme="minorEastAsia" w:hAnsiTheme="minorHAnsi" w:cstheme="minorBidi"/>
          <w:kern w:val="2"/>
          <w:szCs w:val="24"/>
          <w14:ligatures w14:val="standardContextual"/>
        </w:rPr>
      </w:pPr>
      <w:hyperlink w:anchor="_Toc224818869"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_Toc224818869 \h </w:instrText>
        </w:r>
        <w:r>
          <w:rPr>
            <w:webHidden/>
          </w:rPr>
        </w:r>
        <w:r>
          <w:rPr>
            <w:webHidden/>
          </w:rPr>
          <w:fldChar w:fldCharType="separate"/>
        </w:r>
        <w:r w:rsidR="00AA17AB">
          <w:rPr>
            <w:webHidden/>
          </w:rPr>
          <w:t>151</w:t>
        </w:r>
        <w:r>
          <w:rPr>
            <w:webHidden/>
          </w:rPr>
          <w:fldChar w:fldCharType="end"/>
        </w:r>
      </w:hyperlink>
    </w:p>
    <w:p w14:paraId="5C1E215E" w14:textId="67C3611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0" w:history="1">
        <w:r w:rsidRPr="00FC437C">
          <w:rPr>
            <w:rStyle w:val="Hyperlink"/>
          </w:rPr>
          <w:t>§1317.</w:t>
        </w:r>
        <w:r>
          <w:rPr>
            <w:rFonts w:asciiTheme="minorHAnsi" w:eastAsiaTheme="minorEastAsia" w:hAnsiTheme="minorHAnsi" w:cstheme="minorBidi"/>
            <w:color w:val="auto"/>
            <w:kern w:val="2"/>
            <w:szCs w:val="24"/>
            <w14:ligatures w14:val="standardContextual"/>
          </w:rPr>
          <w:tab/>
        </w:r>
        <w:r w:rsidRPr="00FC437C">
          <w:rPr>
            <w:rStyle w:val="Hyperlink"/>
          </w:rPr>
          <w:t>Licensing and Testing Fees</w:t>
        </w:r>
        <w:r>
          <w:rPr>
            <w:webHidden/>
          </w:rPr>
          <w:tab/>
        </w:r>
        <w:r>
          <w:rPr>
            <w:webHidden/>
          </w:rPr>
          <w:fldChar w:fldCharType="begin"/>
        </w:r>
        <w:r>
          <w:rPr>
            <w:webHidden/>
          </w:rPr>
          <w:instrText xml:space="preserve"> PAGEREF _Toc224818870 \h </w:instrText>
        </w:r>
        <w:r>
          <w:rPr>
            <w:webHidden/>
          </w:rPr>
        </w:r>
        <w:r>
          <w:rPr>
            <w:webHidden/>
          </w:rPr>
          <w:fldChar w:fldCharType="separate"/>
        </w:r>
        <w:r w:rsidR="00AA17AB">
          <w:rPr>
            <w:webHidden/>
          </w:rPr>
          <w:t>151</w:t>
        </w:r>
        <w:r>
          <w:rPr>
            <w:webHidden/>
          </w:rPr>
          <w:fldChar w:fldCharType="end"/>
        </w:r>
      </w:hyperlink>
    </w:p>
    <w:p w14:paraId="0AF2F1F0" w14:textId="09DD79E0" w:rsidR="00E67799" w:rsidRDefault="00E67799">
      <w:pPr>
        <w:pStyle w:val="TOC2"/>
        <w:rPr>
          <w:rFonts w:asciiTheme="minorHAnsi" w:eastAsiaTheme="minorEastAsia" w:hAnsiTheme="minorHAnsi" w:cstheme="minorBidi"/>
          <w:kern w:val="2"/>
          <w:szCs w:val="24"/>
          <w14:ligatures w14:val="standardContextual"/>
        </w:rPr>
      </w:pPr>
      <w:hyperlink w:anchor="_Toc224818871"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Seed Producers and Growers</w:t>
        </w:r>
        <w:r>
          <w:rPr>
            <w:webHidden/>
          </w:rPr>
          <w:tab/>
        </w:r>
        <w:r>
          <w:rPr>
            <w:webHidden/>
          </w:rPr>
          <w:fldChar w:fldCharType="begin"/>
        </w:r>
        <w:r>
          <w:rPr>
            <w:webHidden/>
          </w:rPr>
          <w:instrText xml:space="preserve"> PAGEREF _Toc224818871 \h </w:instrText>
        </w:r>
        <w:r>
          <w:rPr>
            <w:webHidden/>
          </w:rPr>
        </w:r>
        <w:r>
          <w:rPr>
            <w:webHidden/>
          </w:rPr>
          <w:fldChar w:fldCharType="separate"/>
        </w:r>
        <w:r w:rsidR="00AA17AB">
          <w:rPr>
            <w:webHidden/>
          </w:rPr>
          <w:t>151</w:t>
        </w:r>
        <w:r>
          <w:rPr>
            <w:webHidden/>
          </w:rPr>
          <w:fldChar w:fldCharType="end"/>
        </w:r>
      </w:hyperlink>
    </w:p>
    <w:p w14:paraId="25382F0C" w14:textId="6102753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2" w:history="1">
        <w:r w:rsidRPr="00FC437C">
          <w:rPr>
            <w:rStyle w:val="Hyperlink"/>
          </w:rPr>
          <w:t>§1319.</w:t>
        </w:r>
        <w:r>
          <w:rPr>
            <w:rFonts w:asciiTheme="minorHAnsi" w:eastAsiaTheme="minorEastAsia" w:hAnsiTheme="minorHAnsi" w:cstheme="minorBidi"/>
            <w:color w:val="auto"/>
            <w:kern w:val="2"/>
            <w:szCs w:val="24"/>
            <w14:ligatures w14:val="standardContextual"/>
          </w:rPr>
          <w:tab/>
        </w:r>
        <w:r w:rsidRPr="00FC437C">
          <w:rPr>
            <w:rStyle w:val="Hyperlink"/>
          </w:rPr>
          <w:t>Requirements for Seed Producers and Growers</w:t>
        </w:r>
        <w:r>
          <w:rPr>
            <w:webHidden/>
          </w:rPr>
          <w:tab/>
        </w:r>
        <w:r>
          <w:rPr>
            <w:webHidden/>
          </w:rPr>
          <w:fldChar w:fldCharType="begin"/>
        </w:r>
        <w:r>
          <w:rPr>
            <w:webHidden/>
          </w:rPr>
          <w:instrText xml:space="preserve"> PAGEREF _Toc224818872 \h </w:instrText>
        </w:r>
        <w:r>
          <w:rPr>
            <w:webHidden/>
          </w:rPr>
        </w:r>
        <w:r>
          <w:rPr>
            <w:webHidden/>
          </w:rPr>
          <w:fldChar w:fldCharType="separate"/>
        </w:r>
        <w:r w:rsidR="00AA17AB">
          <w:rPr>
            <w:webHidden/>
          </w:rPr>
          <w:t>151</w:t>
        </w:r>
        <w:r>
          <w:rPr>
            <w:webHidden/>
          </w:rPr>
          <w:fldChar w:fldCharType="end"/>
        </w:r>
      </w:hyperlink>
    </w:p>
    <w:p w14:paraId="7771B54D" w14:textId="6F4B879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3" w:history="1">
        <w:r w:rsidRPr="00FC437C">
          <w:rPr>
            <w:rStyle w:val="Hyperlink"/>
          </w:rPr>
          <w:t>§1321.</w:t>
        </w:r>
        <w:r>
          <w:rPr>
            <w:rFonts w:asciiTheme="minorHAnsi" w:eastAsiaTheme="minorEastAsia" w:hAnsiTheme="minorHAnsi" w:cstheme="minorBidi"/>
            <w:color w:val="auto"/>
            <w:kern w:val="2"/>
            <w:szCs w:val="24"/>
            <w14:ligatures w14:val="standardContextual"/>
          </w:rPr>
          <w:tab/>
        </w:r>
        <w:r w:rsidRPr="00FC437C">
          <w:rPr>
            <w:rStyle w:val="Hyperlink"/>
          </w:rPr>
          <w:t>Seed Acquisition and Approval</w:t>
        </w:r>
        <w:r>
          <w:rPr>
            <w:webHidden/>
          </w:rPr>
          <w:tab/>
        </w:r>
        <w:r>
          <w:rPr>
            <w:webHidden/>
          </w:rPr>
          <w:fldChar w:fldCharType="begin"/>
        </w:r>
        <w:r>
          <w:rPr>
            <w:webHidden/>
          </w:rPr>
          <w:instrText xml:space="preserve"> PAGEREF _Toc224818873 \h </w:instrText>
        </w:r>
        <w:r>
          <w:rPr>
            <w:webHidden/>
          </w:rPr>
        </w:r>
        <w:r>
          <w:rPr>
            <w:webHidden/>
          </w:rPr>
          <w:fldChar w:fldCharType="separate"/>
        </w:r>
        <w:r w:rsidR="00AA17AB">
          <w:rPr>
            <w:webHidden/>
          </w:rPr>
          <w:t>152</w:t>
        </w:r>
        <w:r>
          <w:rPr>
            <w:webHidden/>
          </w:rPr>
          <w:fldChar w:fldCharType="end"/>
        </w:r>
      </w:hyperlink>
    </w:p>
    <w:p w14:paraId="604531EC" w14:textId="137BD056" w:rsidR="00E67799" w:rsidRDefault="00E67799">
      <w:pPr>
        <w:pStyle w:val="TOC2"/>
        <w:rPr>
          <w:rFonts w:asciiTheme="minorHAnsi" w:eastAsiaTheme="minorEastAsia" w:hAnsiTheme="minorHAnsi" w:cstheme="minorBidi"/>
          <w:kern w:val="2"/>
          <w:szCs w:val="24"/>
          <w14:ligatures w14:val="standardContextual"/>
        </w:rPr>
      </w:pPr>
      <w:hyperlink w:anchor="_Toc224818874" w:history="1">
        <w:r w:rsidRPr="00FC437C">
          <w:rPr>
            <w:rStyle w:val="Hyperlink"/>
          </w:rPr>
          <w:t>Subchapter E.</w:t>
        </w:r>
        <w:r>
          <w:rPr>
            <w:rFonts w:asciiTheme="minorHAnsi" w:eastAsiaTheme="minorEastAsia" w:hAnsiTheme="minorHAnsi" w:cstheme="minorBidi"/>
            <w:kern w:val="2"/>
            <w:szCs w:val="24"/>
            <w14:ligatures w14:val="standardContextual"/>
          </w:rPr>
          <w:tab/>
        </w:r>
        <w:r w:rsidRPr="00FC437C">
          <w:rPr>
            <w:rStyle w:val="Hyperlink"/>
          </w:rPr>
          <w:t>Restrictions and Prohibitions</w:t>
        </w:r>
        <w:r>
          <w:rPr>
            <w:webHidden/>
          </w:rPr>
          <w:tab/>
        </w:r>
        <w:r>
          <w:rPr>
            <w:webHidden/>
          </w:rPr>
          <w:fldChar w:fldCharType="begin"/>
        </w:r>
        <w:r>
          <w:rPr>
            <w:webHidden/>
          </w:rPr>
          <w:instrText xml:space="preserve"> PAGEREF _Toc224818874 \h </w:instrText>
        </w:r>
        <w:r>
          <w:rPr>
            <w:webHidden/>
          </w:rPr>
        </w:r>
        <w:r>
          <w:rPr>
            <w:webHidden/>
          </w:rPr>
          <w:fldChar w:fldCharType="separate"/>
        </w:r>
        <w:r w:rsidR="00AA17AB">
          <w:rPr>
            <w:webHidden/>
          </w:rPr>
          <w:t>153</w:t>
        </w:r>
        <w:r>
          <w:rPr>
            <w:webHidden/>
          </w:rPr>
          <w:fldChar w:fldCharType="end"/>
        </w:r>
      </w:hyperlink>
    </w:p>
    <w:p w14:paraId="59991AC0" w14:textId="250B0C2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5" w:history="1">
        <w:r w:rsidRPr="00FC437C">
          <w:rPr>
            <w:rStyle w:val="Hyperlink"/>
          </w:rPr>
          <w:t>§1323.</w:t>
        </w:r>
        <w:r>
          <w:rPr>
            <w:rFonts w:asciiTheme="minorHAnsi" w:eastAsiaTheme="minorEastAsia" w:hAnsiTheme="minorHAnsi" w:cstheme="minorBidi"/>
            <w:color w:val="auto"/>
            <w:kern w:val="2"/>
            <w:szCs w:val="24"/>
            <w14:ligatures w14:val="standardContextual"/>
          </w:rPr>
          <w:tab/>
        </w:r>
        <w:r w:rsidRPr="00FC437C">
          <w:rPr>
            <w:rStyle w:val="Hyperlink"/>
          </w:rPr>
          <w:t>Land Use Restrictions</w:t>
        </w:r>
        <w:r>
          <w:rPr>
            <w:webHidden/>
          </w:rPr>
          <w:tab/>
        </w:r>
        <w:r>
          <w:rPr>
            <w:webHidden/>
          </w:rPr>
          <w:fldChar w:fldCharType="begin"/>
        </w:r>
        <w:r>
          <w:rPr>
            <w:webHidden/>
          </w:rPr>
          <w:instrText xml:space="preserve"> PAGEREF _Toc224818875 \h </w:instrText>
        </w:r>
        <w:r>
          <w:rPr>
            <w:webHidden/>
          </w:rPr>
        </w:r>
        <w:r>
          <w:rPr>
            <w:webHidden/>
          </w:rPr>
          <w:fldChar w:fldCharType="separate"/>
        </w:r>
        <w:r w:rsidR="00AA17AB">
          <w:rPr>
            <w:webHidden/>
          </w:rPr>
          <w:t>153</w:t>
        </w:r>
        <w:r>
          <w:rPr>
            <w:webHidden/>
          </w:rPr>
          <w:fldChar w:fldCharType="end"/>
        </w:r>
      </w:hyperlink>
    </w:p>
    <w:p w14:paraId="61A426CB" w14:textId="0F75172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6" w:history="1">
        <w:r w:rsidRPr="00FC437C">
          <w:rPr>
            <w:rStyle w:val="Hyperlink"/>
          </w:rPr>
          <w:t>§1325.</w:t>
        </w:r>
        <w:r>
          <w:rPr>
            <w:rFonts w:asciiTheme="minorHAnsi" w:eastAsiaTheme="minorEastAsia" w:hAnsiTheme="minorHAnsi" w:cstheme="minorBidi"/>
            <w:color w:val="auto"/>
            <w:kern w:val="2"/>
            <w:szCs w:val="24"/>
            <w14:ligatures w14:val="standardContextual"/>
          </w:rPr>
          <w:tab/>
        </w:r>
        <w:r w:rsidRPr="00FC437C">
          <w:rPr>
            <w:rStyle w:val="Hyperlink"/>
          </w:rPr>
          <w:t>Restrictions on Sale or Transfer</w:t>
        </w:r>
        <w:r>
          <w:rPr>
            <w:webHidden/>
          </w:rPr>
          <w:tab/>
        </w:r>
        <w:r>
          <w:rPr>
            <w:webHidden/>
          </w:rPr>
          <w:fldChar w:fldCharType="begin"/>
        </w:r>
        <w:r>
          <w:rPr>
            <w:webHidden/>
          </w:rPr>
          <w:instrText xml:space="preserve"> PAGEREF _Toc224818876 \h </w:instrText>
        </w:r>
        <w:r>
          <w:rPr>
            <w:webHidden/>
          </w:rPr>
        </w:r>
        <w:r>
          <w:rPr>
            <w:webHidden/>
          </w:rPr>
          <w:fldChar w:fldCharType="separate"/>
        </w:r>
        <w:r w:rsidR="00AA17AB">
          <w:rPr>
            <w:webHidden/>
          </w:rPr>
          <w:t>153</w:t>
        </w:r>
        <w:r>
          <w:rPr>
            <w:webHidden/>
          </w:rPr>
          <w:fldChar w:fldCharType="end"/>
        </w:r>
      </w:hyperlink>
    </w:p>
    <w:p w14:paraId="71711AED" w14:textId="5375BBC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7" w:history="1">
        <w:r w:rsidRPr="00FC437C">
          <w:rPr>
            <w:rStyle w:val="Hyperlink"/>
          </w:rPr>
          <w:t>§1327.</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_Toc224818877 \h </w:instrText>
        </w:r>
        <w:r>
          <w:rPr>
            <w:webHidden/>
          </w:rPr>
        </w:r>
        <w:r>
          <w:rPr>
            <w:webHidden/>
          </w:rPr>
          <w:fldChar w:fldCharType="separate"/>
        </w:r>
        <w:r w:rsidR="00AA17AB">
          <w:rPr>
            <w:webHidden/>
          </w:rPr>
          <w:t>153</w:t>
        </w:r>
        <w:r>
          <w:rPr>
            <w:webHidden/>
          </w:rPr>
          <w:fldChar w:fldCharType="end"/>
        </w:r>
      </w:hyperlink>
    </w:p>
    <w:p w14:paraId="1B22E67E" w14:textId="32EA3BBC" w:rsidR="00E67799" w:rsidRDefault="00E67799">
      <w:pPr>
        <w:pStyle w:val="TOC2"/>
        <w:rPr>
          <w:rFonts w:asciiTheme="minorHAnsi" w:eastAsiaTheme="minorEastAsia" w:hAnsiTheme="minorHAnsi" w:cstheme="minorBidi"/>
          <w:kern w:val="2"/>
          <w:szCs w:val="24"/>
          <w14:ligatures w14:val="standardContextual"/>
        </w:rPr>
      </w:pPr>
      <w:hyperlink w:anchor="_Toc224818878" w:history="1">
        <w:r w:rsidRPr="00FC437C">
          <w:rPr>
            <w:rStyle w:val="Hyperlink"/>
          </w:rPr>
          <w:t>Subchapter F.</w:t>
        </w:r>
        <w:r>
          <w:rPr>
            <w:rFonts w:asciiTheme="minorHAnsi" w:eastAsiaTheme="minorEastAsia" w:hAnsiTheme="minorHAnsi" w:cstheme="minorBidi"/>
            <w:kern w:val="2"/>
            <w:szCs w:val="24"/>
            <w14:ligatures w14:val="standardContextual"/>
          </w:rPr>
          <w:tab/>
        </w:r>
        <w:r w:rsidRPr="00FC437C">
          <w:rPr>
            <w:rStyle w:val="Hyperlink"/>
          </w:rPr>
          <w:t>Reporting, Research, and Record-Keeping</w:t>
        </w:r>
        <w:r>
          <w:rPr>
            <w:webHidden/>
          </w:rPr>
          <w:tab/>
        </w:r>
        <w:r>
          <w:rPr>
            <w:webHidden/>
          </w:rPr>
          <w:fldChar w:fldCharType="begin"/>
        </w:r>
        <w:r>
          <w:rPr>
            <w:webHidden/>
          </w:rPr>
          <w:instrText xml:space="preserve"> PAGEREF _Toc224818878 \h </w:instrText>
        </w:r>
        <w:r>
          <w:rPr>
            <w:webHidden/>
          </w:rPr>
        </w:r>
        <w:r>
          <w:rPr>
            <w:webHidden/>
          </w:rPr>
          <w:fldChar w:fldCharType="separate"/>
        </w:r>
        <w:r w:rsidR="00AA17AB">
          <w:rPr>
            <w:webHidden/>
          </w:rPr>
          <w:t>153</w:t>
        </w:r>
        <w:r>
          <w:rPr>
            <w:webHidden/>
          </w:rPr>
          <w:fldChar w:fldCharType="end"/>
        </w:r>
      </w:hyperlink>
    </w:p>
    <w:p w14:paraId="24F134EF" w14:textId="784C9FD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79" w:history="1">
        <w:r w:rsidRPr="00FC437C">
          <w:rPr>
            <w:rStyle w:val="Hyperlink"/>
          </w:rPr>
          <w:t>§1329.</w:t>
        </w:r>
        <w:r>
          <w:rPr>
            <w:rFonts w:asciiTheme="minorHAnsi" w:eastAsiaTheme="minorEastAsia" w:hAnsiTheme="minorHAnsi" w:cstheme="minorBidi"/>
            <w:color w:val="auto"/>
            <w:kern w:val="2"/>
            <w:szCs w:val="24"/>
            <w14:ligatures w14:val="standardContextual"/>
          </w:rPr>
          <w:tab/>
        </w:r>
        <w:r w:rsidRPr="00FC437C">
          <w:rPr>
            <w:rStyle w:val="Hyperlink"/>
          </w:rPr>
          <w:t>Production Reports</w:t>
        </w:r>
        <w:r>
          <w:rPr>
            <w:webHidden/>
          </w:rPr>
          <w:tab/>
        </w:r>
        <w:r>
          <w:rPr>
            <w:webHidden/>
          </w:rPr>
          <w:fldChar w:fldCharType="begin"/>
        </w:r>
        <w:r>
          <w:rPr>
            <w:webHidden/>
          </w:rPr>
          <w:instrText xml:space="preserve"> PAGEREF _Toc224818879 \h </w:instrText>
        </w:r>
        <w:r>
          <w:rPr>
            <w:webHidden/>
          </w:rPr>
        </w:r>
        <w:r>
          <w:rPr>
            <w:webHidden/>
          </w:rPr>
          <w:fldChar w:fldCharType="separate"/>
        </w:r>
        <w:r w:rsidR="00AA17AB">
          <w:rPr>
            <w:webHidden/>
          </w:rPr>
          <w:t>153</w:t>
        </w:r>
        <w:r>
          <w:rPr>
            <w:webHidden/>
          </w:rPr>
          <w:fldChar w:fldCharType="end"/>
        </w:r>
      </w:hyperlink>
    </w:p>
    <w:p w14:paraId="54888166" w14:textId="2C9164A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0" w:history="1">
        <w:r w:rsidRPr="00FC437C">
          <w:rPr>
            <w:rStyle w:val="Hyperlink"/>
          </w:rPr>
          <w:t>§1330.</w:t>
        </w:r>
        <w:r>
          <w:rPr>
            <w:rFonts w:asciiTheme="minorHAnsi" w:eastAsiaTheme="minorEastAsia" w:hAnsiTheme="minorHAnsi" w:cstheme="minorBidi"/>
            <w:color w:val="auto"/>
            <w:kern w:val="2"/>
            <w:szCs w:val="24"/>
            <w14:ligatures w14:val="standardContextual"/>
          </w:rPr>
          <w:tab/>
        </w:r>
        <w:r w:rsidRPr="00FC437C">
          <w:rPr>
            <w:rStyle w:val="Hyperlink"/>
          </w:rPr>
          <w:t>Industrial Hemp Research</w:t>
        </w:r>
        <w:r>
          <w:rPr>
            <w:webHidden/>
          </w:rPr>
          <w:tab/>
        </w:r>
        <w:r>
          <w:rPr>
            <w:webHidden/>
          </w:rPr>
          <w:fldChar w:fldCharType="begin"/>
        </w:r>
        <w:r>
          <w:rPr>
            <w:webHidden/>
          </w:rPr>
          <w:instrText xml:space="preserve"> PAGEREF _Toc224818880 \h </w:instrText>
        </w:r>
        <w:r>
          <w:rPr>
            <w:webHidden/>
          </w:rPr>
        </w:r>
        <w:r>
          <w:rPr>
            <w:webHidden/>
          </w:rPr>
          <w:fldChar w:fldCharType="separate"/>
        </w:r>
        <w:r w:rsidR="00AA17AB">
          <w:rPr>
            <w:webHidden/>
          </w:rPr>
          <w:t>154</w:t>
        </w:r>
        <w:r>
          <w:rPr>
            <w:webHidden/>
          </w:rPr>
          <w:fldChar w:fldCharType="end"/>
        </w:r>
      </w:hyperlink>
    </w:p>
    <w:p w14:paraId="13D91853" w14:textId="76971AC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1" w:history="1">
        <w:r w:rsidRPr="00FC437C">
          <w:rPr>
            <w:rStyle w:val="Hyperlink"/>
          </w:rPr>
          <w:t>§1331.</w:t>
        </w:r>
        <w:r>
          <w:rPr>
            <w:rFonts w:asciiTheme="minorHAnsi" w:eastAsiaTheme="minorEastAsia" w:hAnsiTheme="minorHAnsi" w:cstheme="minorBidi"/>
            <w:color w:val="auto"/>
            <w:kern w:val="2"/>
            <w:szCs w:val="24"/>
            <w14:ligatures w14:val="standardContextual"/>
          </w:rPr>
          <w:tab/>
        </w:r>
        <w:r w:rsidRPr="00FC437C">
          <w:rPr>
            <w:rStyle w:val="Hyperlink"/>
          </w:rPr>
          <w:t>Records</w:t>
        </w:r>
        <w:r>
          <w:rPr>
            <w:webHidden/>
          </w:rPr>
          <w:tab/>
        </w:r>
        <w:r>
          <w:rPr>
            <w:webHidden/>
          </w:rPr>
          <w:fldChar w:fldCharType="begin"/>
        </w:r>
        <w:r>
          <w:rPr>
            <w:webHidden/>
          </w:rPr>
          <w:instrText xml:space="preserve"> PAGEREF _Toc224818881 \h </w:instrText>
        </w:r>
        <w:r>
          <w:rPr>
            <w:webHidden/>
          </w:rPr>
        </w:r>
        <w:r>
          <w:rPr>
            <w:webHidden/>
          </w:rPr>
          <w:fldChar w:fldCharType="separate"/>
        </w:r>
        <w:r w:rsidR="00AA17AB">
          <w:rPr>
            <w:webHidden/>
          </w:rPr>
          <w:t>154</w:t>
        </w:r>
        <w:r>
          <w:rPr>
            <w:webHidden/>
          </w:rPr>
          <w:fldChar w:fldCharType="end"/>
        </w:r>
      </w:hyperlink>
    </w:p>
    <w:p w14:paraId="0A86DBB5" w14:textId="5E0FC59F" w:rsidR="00E67799" w:rsidRDefault="00E67799">
      <w:pPr>
        <w:pStyle w:val="TOC2"/>
        <w:rPr>
          <w:rFonts w:asciiTheme="minorHAnsi" w:eastAsiaTheme="minorEastAsia" w:hAnsiTheme="minorHAnsi" w:cstheme="minorBidi"/>
          <w:kern w:val="2"/>
          <w:szCs w:val="24"/>
          <w14:ligatures w14:val="standardContextual"/>
        </w:rPr>
      </w:pPr>
      <w:hyperlink w:anchor="_Toc224818882" w:history="1">
        <w:r w:rsidRPr="00FC437C">
          <w:rPr>
            <w:rStyle w:val="Hyperlink"/>
          </w:rPr>
          <w:t>Subchapter G.</w:t>
        </w:r>
        <w:r>
          <w:rPr>
            <w:rFonts w:asciiTheme="minorHAnsi" w:eastAsiaTheme="minorEastAsia" w:hAnsiTheme="minorHAnsi" w:cstheme="minorBidi"/>
            <w:kern w:val="2"/>
            <w:szCs w:val="24"/>
            <w14:ligatures w14:val="standardContextual"/>
          </w:rPr>
          <w:tab/>
        </w:r>
        <w:r w:rsidRPr="00FC437C">
          <w:rPr>
            <w:rStyle w:val="Hyperlink"/>
          </w:rPr>
          <w:t>Inspections</w:t>
        </w:r>
        <w:r>
          <w:rPr>
            <w:webHidden/>
          </w:rPr>
          <w:tab/>
        </w:r>
        <w:r>
          <w:rPr>
            <w:webHidden/>
          </w:rPr>
          <w:fldChar w:fldCharType="begin"/>
        </w:r>
        <w:r>
          <w:rPr>
            <w:webHidden/>
          </w:rPr>
          <w:instrText xml:space="preserve"> PAGEREF _Toc224818882 \h </w:instrText>
        </w:r>
        <w:r>
          <w:rPr>
            <w:webHidden/>
          </w:rPr>
        </w:r>
        <w:r>
          <w:rPr>
            <w:webHidden/>
          </w:rPr>
          <w:fldChar w:fldCharType="separate"/>
        </w:r>
        <w:r w:rsidR="00AA17AB">
          <w:rPr>
            <w:webHidden/>
          </w:rPr>
          <w:t>155</w:t>
        </w:r>
        <w:r>
          <w:rPr>
            <w:webHidden/>
          </w:rPr>
          <w:fldChar w:fldCharType="end"/>
        </w:r>
      </w:hyperlink>
    </w:p>
    <w:p w14:paraId="72A76107" w14:textId="628D10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3" w:history="1">
        <w:r w:rsidRPr="00FC437C">
          <w:rPr>
            <w:rStyle w:val="Hyperlink"/>
          </w:rPr>
          <w:t>§1332.</w:t>
        </w:r>
        <w:r>
          <w:rPr>
            <w:rFonts w:asciiTheme="minorHAnsi" w:eastAsiaTheme="minorEastAsia" w:hAnsiTheme="minorHAnsi" w:cstheme="minorBidi"/>
            <w:color w:val="auto"/>
            <w:kern w:val="2"/>
            <w:szCs w:val="24"/>
            <w14:ligatures w14:val="standardContextual"/>
          </w:rPr>
          <w:tab/>
        </w:r>
        <w:r w:rsidRPr="00FC437C">
          <w:rPr>
            <w:rStyle w:val="Hyperlink"/>
          </w:rPr>
          <w:t>Reporting to USDA</w:t>
        </w:r>
        <w:r>
          <w:rPr>
            <w:webHidden/>
          </w:rPr>
          <w:tab/>
        </w:r>
        <w:r>
          <w:rPr>
            <w:webHidden/>
          </w:rPr>
          <w:fldChar w:fldCharType="begin"/>
        </w:r>
        <w:r>
          <w:rPr>
            <w:webHidden/>
          </w:rPr>
          <w:instrText xml:space="preserve"> PAGEREF _Toc224818883 \h </w:instrText>
        </w:r>
        <w:r>
          <w:rPr>
            <w:webHidden/>
          </w:rPr>
        </w:r>
        <w:r>
          <w:rPr>
            <w:webHidden/>
          </w:rPr>
          <w:fldChar w:fldCharType="separate"/>
        </w:r>
        <w:r w:rsidR="00AA17AB">
          <w:rPr>
            <w:webHidden/>
          </w:rPr>
          <w:t>155</w:t>
        </w:r>
        <w:r>
          <w:rPr>
            <w:webHidden/>
          </w:rPr>
          <w:fldChar w:fldCharType="end"/>
        </w:r>
      </w:hyperlink>
    </w:p>
    <w:p w14:paraId="1A42452D" w14:textId="1C8E2D1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4" w:history="1">
        <w:r w:rsidRPr="00FC437C">
          <w:rPr>
            <w:rStyle w:val="Hyperlink"/>
          </w:rPr>
          <w:t>§1333.</w:t>
        </w:r>
        <w:r>
          <w:rPr>
            <w:rFonts w:asciiTheme="minorHAnsi" w:eastAsiaTheme="minorEastAsia" w:hAnsiTheme="minorHAnsi" w:cstheme="minorBidi"/>
            <w:color w:val="auto"/>
            <w:kern w:val="2"/>
            <w:szCs w:val="24"/>
            <w14:ligatures w14:val="standardContextual"/>
          </w:rPr>
          <w:tab/>
        </w:r>
        <w:r w:rsidRPr="00FC437C">
          <w:rPr>
            <w:rStyle w:val="Hyperlink"/>
          </w:rPr>
          <w:t>Site Access and Compliance</w:t>
        </w:r>
        <w:r>
          <w:rPr>
            <w:webHidden/>
          </w:rPr>
          <w:tab/>
        </w:r>
        <w:r>
          <w:rPr>
            <w:webHidden/>
          </w:rPr>
          <w:fldChar w:fldCharType="begin"/>
        </w:r>
        <w:r>
          <w:rPr>
            <w:webHidden/>
          </w:rPr>
          <w:instrText xml:space="preserve"> PAGEREF _Toc224818884 \h </w:instrText>
        </w:r>
        <w:r>
          <w:rPr>
            <w:webHidden/>
          </w:rPr>
        </w:r>
        <w:r>
          <w:rPr>
            <w:webHidden/>
          </w:rPr>
          <w:fldChar w:fldCharType="separate"/>
        </w:r>
        <w:r w:rsidR="00AA17AB">
          <w:rPr>
            <w:webHidden/>
          </w:rPr>
          <w:t>156</w:t>
        </w:r>
        <w:r>
          <w:rPr>
            <w:webHidden/>
          </w:rPr>
          <w:fldChar w:fldCharType="end"/>
        </w:r>
      </w:hyperlink>
    </w:p>
    <w:p w14:paraId="7B649E18" w14:textId="684C5609" w:rsidR="00E67799" w:rsidRDefault="00E67799">
      <w:pPr>
        <w:pStyle w:val="TOC2"/>
        <w:rPr>
          <w:rFonts w:asciiTheme="minorHAnsi" w:eastAsiaTheme="minorEastAsia" w:hAnsiTheme="minorHAnsi" w:cstheme="minorBidi"/>
          <w:kern w:val="2"/>
          <w:szCs w:val="24"/>
          <w14:ligatures w14:val="standardContextual"/>
        </w:rPr>
      </w:pPr>
      <w:hyperlink w:anchor="_Toc224818885" w:history="1">
        <w:r w:rsidRPr="00FC437C">
          <w:rPr>
            <w:rStyle w:val="Hyperlink"/>
          </w:rPr>
          <w:t>Subchapter H.</w:t>
        </w:r>
        <w:r>
          <w:rPr>
            <w:rFonts w:asciiTheme="minorHAnsi" w:eastAsiaTheme="minorEastAsia" w:hAnsiTheme="minorHAnsi" w:cstheme="minorBidi"/>
            <w:kern w:val="2"/>
            <w:szCs w:val="24"/>
            <w14:ligatures w14:val="standardContextual"/>
          </w:rPr>
          <w:tab/>
        </w:r>
        <w:r w:rsidRPr="00FC437C">
          <w:rPr>
            <w:rStyle w:val="Hyperlink"/>
          </w:rPr>
          <w:t>Sampling, Testing, Remediation, and Destruction</w:t>
        </w:r>
        <w:r>
          <w:rPr>
            <w:webHidden/>
          </w:rPr>
          <w:tab/>
        </w:r>
        <w:r>
          <w:rPr>
            <w:webHidden/>
          </w:rPr>
          <w:fldChar w:fldCharType="begin"/>
        </w:r>
        <w:r>
          <w:rPr>
            <w:webHidden/>
          </w:rPr>
          <w:instrText xml:space="preserve"> PAGEREF _Toc224818885 \h </w:instrText>
        </w:r>
        <w:r>
          <w:rPr>
            <w:webHidden/>
          </w:rPr>
        </w:r>
        <w:r>
          <w:rPr>
            <w:webHidden/>
          </w:rPr>
          <w:fldChar w:fldCharType="separate"/>
        </w:r>
        <w:r w:rsidR="00AA17AB">
          <w:rPr>
            <w:webHidden/>
          </w:rPr>
          <w:t>156</w:t>
        </w:r>
        <w:r>
          <w:rPr>
            <w:webHidden/>
          </w:rPr>
          <w:fldChar w:fldCharType="end"/>
        </w:r>
      </w:hyperlink>
    </w:p>
    <w:p w14:paraId="5E11FB40" w14:textId="7663D7E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6" w:history="1">
        <w:r w:rsidRPr="00FC437C">
          <w:rPr>
            <w:rStyle w:val="Hyperlink"/>
          </w:rPr>
          <w:t>§1335.</w:t>
        </w:r>
        <w:r>
          <w:rPr>
            <w:rFonts w:asciiTheme="minorHAnsi" w:eastAsiaTheme="minorEastAsia" w:hAnsiTheme="minorHAnsi" w:cstheme="minorBidi"/>
            <w:color w:val="auto"/>
            <w:kern w:val="2"/>
            <w:szCs w:val="24"/>
            <w14:ligatures w14:val="standardContextual"/>
          </w:rPr>
          <w:tab/>
        </w:r>
        <w:r w:rsidRPr="00FC437C">
          <w:rPr>
            <w:rStyle w:val="Hyperlink"/>
          </w:rPr>
          <w:t>THC Sampling and Testing</w:t>
        </w:r>
        <w:r>
          <w:rPr>
            <w:webHidden/>
          </w:rPr>
          <w:tab/>
        </w:r>
        <w:r>
          <w:rPr>
            <w:webHidden/>
          </w:rPr>
          <w:fldChar w:fldCharType="begin"/>
        </w:r>
        <w:r>
          <w:rPr>
            <w:webHidden/>
          </w:rPr>
          <w:instrText xml:space="preserve"> PAGEREF _Toc224818886 \h </w:instrText>
        </w:r>
        <w:r>
          <w:rPr>
            <w:webHidden/>
          </w:rPr>
        </w:r>
        <w:r>
          <w:rPr>
            <w:webHidden/>
          </w:rPr>
          <w:fldChar w:fldCharType="separate"/>
        </w:r>
        <w:r w:rsidR="00AA17AB">
          <w:rPr>
            <w:webHidden/>
          </w:rPr>
          <w:t>156</w:t>
        </w:r>
        <w:r>
          <w:rPr>
            <w:webHidden/>
          </w:rPr>
          <w:fldChar w:fldCharType="end"/>
        </w:r>
      </w:hyperlink>
    </w:p>
    <w:p w14:paraId="72E09BE4" w14:textId="7EEAC86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7" w:history="1">
        <w:r w:rsidRPr="00FC437C">
          <w:rPr>
            <w:rStyle w:val="Hyperlink"/>
          </w:rPr>
          <w:t>§1337.</w:t>
        </w:r>
        <w:r>
          <w:rPr>
            <w:rFonts w:asciiTheme="minorHAnsi" w:eastAsiaTheme="minorEastAsia" w:hAnsiTheme="minorHAnsi" w:cstheme="minorBidi"/>
            <w:color w:val="auto"/>
            <w:kern w:val="2"/>
            <w:szCs w:val="24"/>
            <w14:ligatures w14:val="standardContextual"/>
          </w:rPr>
          <w:tab/>
        </w:r>
        <w:r w:rsidRPr="00FC437C">
          <w:rPr>
            <w:rStyle w:val="Hyperlink"/>
          </w:rPr>
          <w:t>Remediation and Destruction</w:t>
        </w:r>
        <w:r>
          <w:rPr>
            <w:webHidden/>
          </w:rPr>
          <w:tab/>
        </w:r>
        <w:r>
          <w:rPr>
            <w:webHidden/>
          </w:rPr>
          <w:fldChar w:fldCharType="begin"/>
        </w:r>
        <w:r>
          <w:rPr>
            <w:webHidden/>
          </w:rPr>
          <w:instrText xml:space="preserve"> PAGEREF _Toc224818887 \h </w:instrText>
        </w:r>
        <w:r>
          <w:rPr>
            <w:webHidden/>
          </w:rPr>
        </w:r>
        <w:r>
          <w:rPr>
            <w:webHidden/>
          </w:rPr>
          <w:fldChar w:fldCharType="separate"/>
        </w:r>
        <w:r w:rsidR="00AA17AB">
          <w:rPr>
            <w:webHidden/>
          </w:rPr>
          <w:t>157</w:t>
        </w:r>
        <w:r>
          <w:rPr>
            <w:webHidden/>
          </w:rPr>
          <w:fldChar w:fldCharType="end"/>
        </w:r>
      </w:hyperlink>
    </w:p>
    <w:p w14:paraId="2DC96B45" w14:textId="050E609A" w:rsidR="00E67799" w:rsidRDefault="00E67799">
      <w:pPr>
        <w:pStyle w:val="TOC2"/>
        <w:rPr>
          <w:rFonts w:asciiTheme="minorHAnsi" w:eastAsiaTheme="minorEastAsia" w:hAnsiTheme="minorHAnsi" w:cstheme="minorBidi"/>
          <w:kern w:val="2"/>
          <w:szCs w:val="24"/>
          <w14:ligatures w14:val="standardContextual"/>
        </w:rPr>
      </w:pPr>
      <w:hyperlink w:anchor="_Toc224818888" w:history="1">
        <w:r w:rsidRPr="00FC437C">
          <w:rPr>
            <w:rStyle w:val="Hyperlink"/>
          </w:rPr>
          <w:t>Subchapter I.</w:t>
        </w:r>
        <w:r>
          <w:rPr>
            <w:rFonts w:asciiTheme="minorHAnsi" w:eastAsiaTheme="minorEastAsia" w:hAnsiTheme="minorHAnsi" w:cstheme="minorBidi"/>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_Toc224818888 \h </w:instrText>
        </w:r>
        <w:r>
          <w:rPr>
            <w:webHidden/>
          </w:rPr>
        </w:r>
        <w:r>
          <w:rPr>
            <w:webHidden/>
          </w:rPr>
          <w:fldChar w:fldCharType="separate"/>
        </w:r>
        <w:r w:rsidR="00AA17AB">
          <w:rPr>
            <w:webHidden/>
          </w:rPr>
          <w:t>158</w:t>
        </w:r>
        <w:r>
          <w:rPr>
            <w:webHidden/>
          </w:rPr>
          <w:fldChar w:fldCharType="end"/>
        </w:r>
      </w:hyperlink>
    </w:p>
    <w:p w14:paraId="23251035" w14:textId="7A17DFB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89" w:history="1">
        <w:r w:rsidRPr="00FC437C">
          <w:rPr>
            <w:rStyle w:val="Hyperlink"/>
          </w:rPr>
          <w:t>§1339.</w:t>
        </w:r>
        <w:r>
          <w:rPr>
            <w:rFonts w:asciiTheme="minorHAnsi" w:eastAsiaTheme="minorEastAsia" w:hAnsiTheme="minorHAnsi" w:cstheme="minorBidi"/>
            <w:color w:val="auto"/>
            <w:kern w:val="2"/>
            <w:szCs w:val="24"/>
            <w14:ligatures w14:val="standardContextual"/>
          </w:rPr>
          <w:tab/>
        </w:r>
        <w:r w:rsidRPr="00FC437C">
          <w:rPr>
            <w:rStyle w:val="Hyperlink"/>
          </w:rPr>
          <w:t>Adjudicatory Proceedings; Violations</w:t>
        </w:r>
        <w:r>
          <w:rPr>
            <w:webHidden/>
          </w:rPr>
          <w:tab/>
        </w:r>
        <w:r>
          <w:rPr>
            <w:webHidden/>
          </w:rPr>
          <w:fldChar w:fldCharType="begin"/>
        </w:r>
        <w:r>
          <w:rPr>
            <w:webHidden/>
          </w:rPr>
          <w:instrText xml:space="preserve"> PAGEREF _Toc224818889 \h </w:instrText>
        </w:r>
        <w:r>
          <w:rPr>
            <w:webHidden/>
          </w:rPr>
        </w:r>
        <w:r>
          <w:rPr>
            <w:webHidden/>
          </w:rPr>
          <w:fldChar w:fldCharType="separate"/>
        </w:r>
        <w:r w:rsidR="00AA17AB">
          <w:rPr>
            <w:webHidden/>
          </w:rPr>
          <w:t>158</w:t>
        </w:r>
        <w:r>
          <w:rPr>
            <w:webHidden/>
          </w:rPr>
          <w:fldChar w:fldCharType="end"/>
        </w:r>
      </w:hyperlink>
    </w:p>
    <w:p w14:paraId="5FEB886F" w14:textId="3070F1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0" w:history="1">
        <w:r w:rsidRPr="00FC437C">
          <w:rPr>
            <w:rStyle w:val="Hyperlink"/>
          </w:rPr>
          <w:t>§1341.</w:t>
        </w:r>
        <w:r>
          <w:rPr>
            <w:rFonts w:asciiTheme="minorHAnsi" w:eastAsiaTheme="minorEastAsia" w:hAnsiTheme="minorHAnsi" w:cstheme="minorBidi"/>
            <w:color w:val="auto"/>
            <w:kern w:val="2"/>
            <w:szCs w:val="24"/>
            <w14:ligatures w14:val="standardContextual"/>
          </w:rPr>
          <w:tab/>
        </w:r>
        <w:r w:rsidRPr="00FC437C">
          <w:rPr>
            <w:rStyle w:val="Hyperlink"/>
          </w:rPr>
          <w:t>Corrective Action Plan for Negligent Violations and Mandatory Reporting</w:t>
        </w:r>
        <w:r>
          <w:rPr>
            <w:webHidden/>
          </w:rPr>
          <w:tab/>
        </w:r>
        <w:r>
          <w:rPr>
            <w:webHidden/>
          </w:rPr>
          <w:fldChar w:fldCharType="begin"/>
        </w:r>
        <w:r>
          <w:rPr>
            <w:webHidden/>
          </w:rPr>
          <w:instrText xml:space="preserve"> PAGEREF _Toc224818890 \h </w:instrText>
        </w:r>
        <w:r>
          <w:rPr>
            <w:webHidden/>
          </w:rPr>
        </w:r>
        <w:r>
          <w:rPr>
            <w:webHidden/>
          </w:rPr>
          <w:fldChar w:fldCharType="separate"/>
        </w:r>
        <w:r w:rsidR="00AA17AB">
          <w:rPr>
            <w:webHidden/>
          </w:rPr>
          <w:t>158</w:t>
        </w:r>
        <w:r>
          <w:rPr>
            <w:webHidden/>
          </w:rPr>
          <w:fldChar w:fldCharType="end"/>
        </w:r>
      </w:hyperlink>
    </w:p>
    <w:p w14:paraId="69DDF997" w14:textId="02A052C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1" w:history="1">
        <w:r w:rsidRPr="00FC437C">
          <w:rPr>
            <w:rStyle w:val="Hyperlink"/>
          </w:rPr>
          <w:t>§1343.</w:t>
        </w:r>
        <w:r>
          <w:rPr>
            <w:rFonts w:asciiTheme="minorHAnsi" w:eastAsiaTheme="minorEastAsia" w:hAnsiTheme="minorHAnsi" w:cstheme="minorBidi"/>
            <w:color w:val="auto"/>
            <w:kern w:val="2"/>
            <w:szCs w:val="24"/>
            <w14:ligatures w14:val="standardContextual"/>
          </w:rPr>
          <w:tab/>
        </w:r>
        <w:r w:rsidRPr="00FC437C">
          <w:rPr>
            <w:rStyle w:val="Hyperlink"/>
          </w:rPr>
          <w:t>Stop Orders</w:t>
        </w:r>
        <w:r>
          <w:rPr>
            <w:webHidden/>
          </w:rPr>
          <w:tab/>
        </w:r>
        <w:r>
          <w:rPr>
            <w:webHidden/>
          </w:rPr>
          <w:fldChar w:fldCharType="begin"/>
        </w:r>
        <w:r>
          <w:rPr>
            <w:webHidden/>
          </w:rPr>
          <w:instrText xml:space="preserve"> PAGEREF _Toc224818891 \h </w:instrText>
        </w:r>
        <w:r>
          <w:rPr>
            <w:webHidden/>
          </w:rPr>
        </w:r>
        <w:r>
          <w:rPr>
            <w:webHidden/>
          </w:rPr>
          <w:fldChar w:fldCharType="separate"/>
        </w:r>
        <w:r w:rsidR="00AA17AB">
          <w:rPr>
            <w:webHidden/>
          </w:rPr>
          <w:t>158</w:t>
        </w:r>
        <w:r>
          <w:rPr>
            <w:webHidden/>
          </w:rPr>
          <w:fldChar w:fldCharType="end"/>
        </w:r>
      </w:hyperlink>
    </w:p>
    <w:p w14:paraId="03BD0BF2" w14:textId="59F8F925" w:rsidR="00E67799" w:rsidRDefault="00E67799">
      <w:pPr>
        <w:pStyle w:val="TOC1"/>
        <w:rPr>
          <w:rFonts w:asciiTheme="minorHAnsi" w:hAnsiTheme="minorHAnsi" w:cstheme="minorBidi"/>
          <w:b w:val="0"/>
          <w:bCs w:val="0"/>
          <w:sz w:val="24"/>
          <w:szCs w:val="24"/>
        </w:rPr>
      </w:pPr>
      <w:hyperlink w:anchor="_Toc224818892" w:history="1">
        <w:r w:rsidRPr="00FC437C">
          <w:rPr>
            <w:rStyle w:val="Hyperlink"/>
          </w:rPr>
          <w:t>Part XV.  Plant Protection and Quarantine</w:t>
        </w:r>
      </w:hyperlink>
    </w:p>
    <w:p w14:paraId="06800095" w14:textId="1252B20F" w:rsidR="00E67799" w:rsidRDefault="00E67799">
      <w:pPr>
        <w:pStyle w:val="TOC2"/>
        <w:rPr>
          <w:rFonts w:asciiTheme="minorHAnsi" w:eastAsiaTheme="minorEastAsia" w:hAnsiTheme="minorHAnsi" w:cstheme="minorBidi"/>
          <w:kern w:val="2"/>
          <w:szCs w:val="24"/>
          <w14:ligatures w14:val="standardContextual"/>
        </w:rPr>
      </w:pPr>
      <w:hyperlink w:anchor="_Toc224818893"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Crop Pests and Diseases</w:t>
        </w:r>
        <w:r>
          <w:rPr>
            <w:webHidden/>
          </w:rPr>
          <w:tab/>
        </w:r>
        <w:r>
          <w:rPr>
            <w:webHidden/>
          </w:rPr>
          <w:fldChar w:fldCharType="begin"/>
        </w:r>
        <w:r>
          <w:rPr>
            <w:webHidden/>
          </w:rPr>
          <w:instrText xml:space="preserve"> PAGEREF _Toc224818893 \h </w:instrText>
        </w:r>
        <w:r>
          <w:rPr>
            <w:webHidden/>
          </w:rPr>
        </w:r>
        <w:r>
          <w:rPr>
            <w:webHidden/>
          </w:rPr>
          <w:fldChar w:fldCharType="separate"/>
        </w:r>
        <w:r w:rsidR="00AA17AB">
          <w:rPr>
            <w:webHidden/>
          </w:rPr>
          <w:t>161</w:t>
        </w:r>
        <w:r>
          <w:rPr>
            <w:webHidden/>
          </w:rPr>
          <w:fldChar w:fldCharType="end"/>
        </w:r>
      </w:hyperlink>
    </w:p>
    <w:p w14:paraId="77A31A69" w14:textId="6721136A" w:rsidR="00E67799" w:rsidRDefault="00E67799">
      <w:pPr>
        <w:pStyle w:val="TOC2"/>
        <w:rPr>
          <w:rFonts w:asciiTheme="minorHAnsi" w:eastAsiaTheme="minorEastAsia" w:hAnsiTheme="minorHAnsi" w:cstheme="minorBidi"/>
          <w:kern w:val="2"/>
          <w:szCs w:val="24"/>
          <w14:ligatures w14:val="standardContextual"/>
        </w:rPr>
      </w:pPr>
      <w:hyperlink w:anchor="_Toc224818894"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Plant Quarantine Provisions</w:t>
        </w:r>
        <w:r>
          <w:rPr>
            <w:webHidden/>
          </w:rPr>
          <w:tab/>
        </w:r>
        <w:r>
          <w:rPr>
            <w:webHidden/>
          </w:rPr>
          <w:fldChar w:fldCharType="begin"/>
        </w:r>
        <w:r>
          <w:rPr>
            <w:webHidden/>
          </w:rPr>
          <w:instrText xml:space="preserve"> PAGEREF _Toc224818894 \h </w:instrText>
        </w:r>
        <w:r>
          <w:rPr>
            <w:webHidden/>
          </w:rPr>
        </w:r>
        <w:r>
          <w:rPr>
            <w:webHidden/>
          </w:rPr>
          <w:fldChar w:fldCharType="separate"/>
        </w:r>
        <w:r w:rsidR="00AA17AB">
          <w:rPr>
            <w:webHidden/>
          </w:rPr>
          <w:t>161</w:t>
        </w:r>
        <w:r>
          <w:rPr>
            <w:webHidden/>
          </w:rPr>
          <w:fldChar w:fldCharType="end"/>
        </w:r>
      </w:hyperlink>
    </w:p>
    <w:p w14:paraId="47391685" w14:textId="49D03AB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5"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Applicability of Regulations</w:t>
        </w:r>
        <w:r>
          <w:rPr>
            <w:webHidden/>
          </w:rPr>
          <w:tab/>
        </w:r>
        <w:r>
          <w:rPr>
            <w:webHidden/>
          </w:rPr>
          <w:fldChar w:fldCharType="begin"/>
        </w:r>
        <w:r>
          <w:rPr>
            <w:webHidden/>
          </w:rPr>
          <w:instrText xml:space="preserve"> PAGEREF _Toc224818895 \h </w:instrText>
        </w:r>
        <w:r>
          <w:rPr>
            <w:webHidden/>
          </w:rPr>
        </w:r>
        <w:r>
          <w:rPr>
            <w:webHidden/>
          </w:rPr>
          <w:fldChar w:fldCharType="separate"/>
        </w:r>
        <w:r w:rsidR="00AA17AB">
          <w:rPr>
            <w:webHidden/>
          </w:rPr>
          <w:t>161</w:t>
        </w:r>
        <w:r>
          <w:rPr>
            <w:webHidden/>
          </w:rPr>
          <w:fldChar w:fldCharType="end"/>
        </w:r>
      </w:hyperlink>
    </w:p>
    <w:p w14:paraId="7421C734" w14:textId="07BC2AE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6"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_Toc224818896 \h </w:instrText>
        </w:r>
        <w:r>
          <w:rPr>
            <w:webHidden/>
          </w:rPr>
        </w:r>
        <w:r>
          <w:rPr>
            <w:webHidden/>
          </w:rPr>
          <w:fldChar w:fldCharType="separate"/>
        </w:r>
        <w:r w:rsidR="00AA17AB">
          <w:rPr>
            <w:webHidden/>
          </w:rPr>
          <w:t>161</w:t>
        </w:r>
        <w:r>
          <w:rPr>
            <w:webHidden/>
          </w:rPr>
          <w:fldChar w:fldCharType="end"/>
        </w:r>
      </w:hyperlink>
    </w:p>
    <w:p w14:paraId="4EE3FC64" w14:textId="57EB7A8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7"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Authority of State Entomologist to Conduct Inspections</w:t>
        </w:r>
        <w:r>
          <w:rPr>
            <w:webHidden/>
          </w:rPr>
          <w:tab/>
        </w:r>
        <w:r>
          <w:rPr>
            <w:webHidden/>
          </w:rPr>
          <w:fldChar w:fldCharType="begin"/>
        </w:r>
        <w:r>
          <w:rPr>
            <w:webHidden/>
          </w:rPr>
          <w:instrText xml:space="preserve"> PAGEREF _Toc224818897 \h </w:instrText>
        </w:r>
        <w:r>
          <w:rPr>
            <w:webHidden/>
          </w:rPr>
        </w:r>
        <w:r>
          <w:rPr>
            <w:webHidden/>
          </w:rPr>
          <w:fldChar w:fldCharType="separate"/>
        </w:r>
        <w:r w:rsidR="00AA17AB">
          <w:rPr>
            <w:webHidden/>
          </w:rPr>
          <w:t>162</w:t>
        </w:r>
        <w:r>
          <w:rPr>
            <w:webHidden/>
          </w:rPr>
          <w:fldChar w:fldCharType="end"/>
        </w:r>
      </w:hyperlink>
    </w:p>
    <w:p w14:paraId="1B5674C0" w14:textId="332B981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8"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Authority of State Entomologist to Impose Quarantines</w:t>
        </w:r>
        <w:r>
          <w:rPr>
            <w:webHidden/>
          </w:rPr>
          <w:tab/>
        </w:r>
        <w:r>
          <w:rPr>
            <w:webHidden/>
          </w:rPr>
          <w:fldChar w:fldCharType="begin"/>
        </w:r>
        <w:r>
          <w:rPr>
            <w:webHidden/>
          </w:rPr>
          <w:instrText xml:space="preserve"> PAGEREF _Toc224818898 \h </w:instrText>
        </w:r>
        <w:r>
          <w:rPr>
            <w:webHidden/>
          </w:rPr>
        </w:r>
        <w:r>
          <w:rPr>
            <w:webHidden/>
          </w:rPr>
          <w:fldChar w:fldCharType="separate"/>
        </w:r>
        <w:r w:rsidR="00AA17AB">
          <w:rPr>
            <w:webHidden/>
          </w:rPr>
          <w:t>162</w:t>
        </w:r>
        <w:r>
          <w:rPr>
            <w:webHidden/>
          </w:rPr>
          <w:fldChar w:fldCharType="end"/>
        </w:r>
      </w:hyperlink>
    </w:p>
    <w:p w14:paraId="5EC9BD38" w14:textId="0A92B77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899"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Procedure for Imposition of Quarantine</w:t>
        </w:r>
        <w:r>
          <w:rPr>
            <w:webHidden/>
          </w:rPr>
          <w:tab/>
        </w:r>
        <w:r>
          <w:rPr>
            <w:webHidden/>
          </w:rPr>
          <w:fldChar w:fldCharType="begin"/>
        </w:r>
        <w:r>
          <w:rPr>
            <w:webHidden/>
          </w:rPr>
          <w:instrText xml:space="preserve"> PAGEREF _Toc224818899 \h </w:instrText>
        </w:r>
        <w:r>
          <w:rPr>
            <w:webHidden/>
          </w:rPr>
        </w:r>
        <w:r>
          <w:rPr>
            <w:webHidden/>
          </w:rPr>
          <w:fldChar w:fldCharType="separate"/>
        </w:r>
        <w:r w:rsidR="00AA17AB">
          <w:rPr>
            <w:webHidden/>
          </w:rPr>
          <w:t>162</w:t>
        </w:r>
        <w:r>
          <w:rPr>
            <w:webHidden/>
          </w:rPr>
          <w:fldChar w:fldCharType="end"/>
        </w:r>
      </w:hyperlink>
    </w:p>
    <w:p w14:paraId="7C6CF484" w14:textId="495CA29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0"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Effect of Quarantine</w:t>
        </w:r>
        <w:r>
          <w:rPr>
            <w:webHidden/>
          </w:rPr>
          <w:tab/>
        </w:r>
        <w:r>
          <w:rPr>
            <w:webHidden/>
          </w:rPr>
          <w:fldChar w:fldCharType="begin"/>
        </w:r>
        <w:r>
          <w:rPr>
            <w:webHidden/>
          </w:rPr>
          <w:instrText xml:space="preserve"> PAGEREF _Toc224818900 \h </w:instrText>
        </w:r>
        <w:r>
          <w:rPr>
            <w:webHidden/>
          </w:rPr>
        </w:r>
        <w:r>
          <w:rPr>
            <w:webHidden/>
          </w:rPr>
          <w:fldChar w:fldCharType="separate"/>
        </w:r>
        <w:r w:rsidR="00AA17AB">
          <w:rPr>
            <w:webHidden/>
          </w:rPr>
          <w:t>162</w:t>
        </w:r>
        <w:r>
          <w:rPr>
            <w:webHidden/>
          </w:rPr>
          <w:fldChar w:fldCharType="end"/>
        </w:r>
      </w:hyperlink>
    </w:p>
    <w:p w14:paraId="7AED70B9" w14:textId="7190AB8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1"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Movement, Sale, Offer for Sale and/or Storage of Host Materials</w:t>
        </w:r>
        <w:r>
          <w:rPr>
            <w:webHidden/>
          </w:rPr>
          <w:tab/>
        </w:r>
        <w:r>
          <w:rPr>
            <w:webHidden/>
          </w:rPr>
          <w:fldChar w:fldCharType="begin"/>
        </w:r>
        <w:r>
          <w:rPr>
            <w:webHidden/>
          </w:rPr>
          <w:instrText xml:space="preserve"> PAGEREF _Toc224818901 \h </w:instrText>
        </w:r>
        <w:r>
          <w:rPr>
            <w:webHidden/>
          </w:rPr>
        </w:r>
        <w:r>
          <w:rPr>
            <w:webHidden/>
          </w:rPr>
          <w:fldChar w:fldCharType="separate"/>
        </w:r>
        <w:r w:rsidR="00AA17AB">
          <w:rPr>
            <w:webHidden/>
          </w:rPr>
          <w:t>163</w:t>
        </w:r>
        <w:r>
          <w:rPr>
            <w:webHidden/>
          </w:rPr>
          <w:fldChar w:fldCharType="end"/>
        </w:r>
      </w:hyperlink>
    </w:p>
    <w:p w14:paraId="020A6451" w14:textId="1C17EF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2"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Issuance of Certificate Permits, Certificate Permit Tags and Fumigation Certificates</w:t>
        </w:r>
        <w:r>
          <w:rPr>
            <w:webHidden/>
          </w:rPr>
          <w:tab/>
        </w:r>
        <w:r>
          <w:rPr>
            <w:webHidden/>
          </w:rPr>
          <w:fldChar w:fldCharType="begin"/>
        </w:r>
        <w:r>
          <w:rPr>
            <w:webHidden/>
          </w:rPr>
          <w:instrText xml:space="preserve"> PAGEREF _Toc224818902 \h </w:instrText>
        </w:r>
        <w:r>
          <w:rPr>
            <w:webHidden/>
          </w:rPr>
        </w:r>
        <w:r>
          <w:rPr>
            <w:webHidden/>
          </w:rPr>
          <w:fldChar w:fldCharType="separate"/>
        </w:r>
        <w:r w:rsidR="00AA17AB">
          <w:rPr>
            <w:webHidden/>
          </w:rPr>
          <w:t>163</w:t>
        </w:r>
        <w:r>
          <w:rPr>
            <w:webHidden/>
          </w:rPr>
          <w:fldChar w:fldCharType="end"/>
        </w:r>
      </w:hyperlink>
    </w:p>
    <w:p w14:paraId="63B73BAF" w14:textId="16FCBD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3"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Responsibility</w:t>
        </w:r>
        <w:r>
          <w:rPr>
            <w:webHidden/>
          </w:rPr>
          <w:tab/>
        </w:r>
        <w:r>
          <w:rPr>
            <w:webHidden/>
          </w:rPr>
          <w:fldChar w:fldCharType="begin"/>
        </w:r>
        <w:r>
          <w:rPr>
            <w:webHidden/>
          </w:rPr>
          <w:instrText xml:space="preserve"> PAGEREF _Toc224818903 \h </w:instrText>
        </w:r>
        <w:r>
          <w:rPr>
            <w:webHidden/>
          </w:rPr>
        </w:r>
        <w:r>
          <w:rPr>
            <w:webHidden/>
          </w:rPr>
          <w:fldChar w:fldCharType="separate"/>
        </w:r>
        <w:r w:rsidR="00AA17AB">
          <w:rPr>
            <w:webHidden/>
          </w:rPr>
          <w:t>163</w:t>
        </w:r>
        <w:r>
          <w:rPr>
            <w:webHidden/>
          </w:rPr>
          <w:fldChar w:fldCharType="end"/>
        </w:r>
      </w:hyperlink>
    </w:p>
    <w:p w14:paraId="077994A0" w14:textId="6135592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4"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Shipments for Scientific Purposes</w:t>
        </w:r>
        <w:r>
          <w:rPr>
            <w:webHidden/>
          </w:rPr>
          <w:tab/>
        </w:r>
        <w:r>
          <w:rPr>
            <w:webHidden/>
          </w:rPr>
          <w:fldChar w:fldCharType="begin"/>
        </w:r>
        <w:r>
          <w:rPr>
            <w:webHidden/>
          </w:rPr>
          <w:instrText xml:space="preserve"> PAGEREF _Toc224818904 \h </w:instrText>
        </w:r>
        <w:r>
          <w:rPr>
            <w:webHidden/>
          </w:rPr>
        </w:r>
        <w:r>
          <w:rPr>
            <w:webHidden/>
          </w:rPr>
          <w:fldChar w:fldCharType="separate"/>
        </w:r>
        <w:r w:rsidR="00AA17AB">
          <w:rPr>
            <w:webHidden/>
          </w:rPr>
          <w:t>163</w:t>
        </w:r>
        <w:r>
          <w:rPr>
            <w:webHidden/>
          </w:rPr>
          <w:fldChar w:fldCharType="end"/>
        </w:r>
      </w:hyperlink>
    </w:p>
    <w:p w14:paraId="5E4785C1" w14:textId="2C1073B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5"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_Toc224818905 \h </w:instrText>
        </w:r>
        <w:r>
          <w:rPr>
            <w:webHidden/>
          </w:rPr>
        </w:r>
        <w:r>
          <w:rPr>
            <w:webHidden/>
          </w:rPr>
          <w:fldChar w:fldCharType="separate"/>
        </w:r>
        <w:r w:rsidR="00AA17AB">
          <w:rPr>
            <w:webHidden/>
          </w:rPr>
          <w:t>163</w:t>
        </w:r>
        <w:r>
          <w:rPr>
            <w:webHidden/>
          </w:rPr>
          <w:fldChar w:fldCharType="end"/>
        </w:r>
      </w:hyperlink>
    </w:p>
    <w:p w14:paraId="78E32FD3" w14:textId="1328A0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6"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Host Materials</w:t>
        </w:r>
        <w:r>
          <w:rPr>
            <w:webHidden/>
          </w:rPr>
          <w:tab/>
        </w:r>
        <w:r>
          <w:rPr>
            <w:webHidden/>
          </w:rPr>
          <w:fldChar w:fldCharType="begin"/>
        </w:r>
        <w:r>
          <w:rPr>
            <w:webHidden/>
          </w:rPr>
          <w:instrText xml:space="preserve"> PAGEREF _Toc224818906 \h </w:instrText>
        </w:r>
        <w:r>
          <w:rPr>
            <w:webHidden/>
          </w:rPr>
        </w:r>
        <w:r>
          <w:rPr>
            <w:webHidden/>
          </w:rPr>
          <w:fldChar w:fldCharType="separate"/>
        </w:r>
        <w:r w:rsidR="00AA17AB">
          <w:rPr>
            <w:webHidden/>
          </w:rPr>
          <w:t>163</w:t>
        </w:r>
        <w:r>
          <w:rPr>
            <w:webHidden/>
          </w:rPr>
          <w:fldChar w:fldCharType="end"/>
        </w:r>
      </w:hyperlink>
    </w:p>
    <w:p w14:paraId="3EAEB560" w14:textId="7397AD6D" w:rsidR="00E67799" w:rsidRDefault="00E67799">
      <w:pPr>
        <w:pStyle w:val="TOC2"/>
        <w:rPr>
          <w:rFonts w:asciiTheme="minorHAnsi" w:eastAsiaTheme="minorEastAsia" w:hAnsiTheme="minorHAnsi" w:cstheme="minorBidi"/>
          <w:kern w:val="2"/>
          <w:szCs w:val="24"/>
          <w14:ligatures w14:val="standardContextual"/>
        </w:rPr>
      </w:pPr>
      <w:hyperlink w:anchor="_Toc224818907"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Nursery Stock Quarantines</w:t>
        </w:r>
        <w:r>
          <w:rPr>
            <w:webHidden/>
          </w:rPr>
          <w:tab/>
        </w:r>
        <w:r>
          <w:rPr>
            <w:webHidden/>
          </w:rPr>
          <w:fldChar w:fldCharType="begin"/>
        </w:r>
        <w:r>
          <w:rPr>
            <w:webHidden/>
          </w:rPr>
          <w:instrText xml:space="preserve"> PAGEREF _Toc224818907 \h </w:instrText>
        </w:r>
        <w:r>
          <w:rPr>
            <w:webHidden/>
          </w:rPr>
        </w:r>
        <w:r>
          <w:rPr>
            <w:webHidden/>
          </w:rPr>
          <w:fldChar w:fldCharType="separate"/>
        </w:r>
        <w:r w:rsidR="00AA17AB">
          <w:rPr>
            <w:webHidden/>
          </w:rPr>
          <w:t>165</w:t>
        </w:r>
        <w:r>
          <w:rPr>
            <w:webHidden/>
          </w:rPr>
          <w:fldChar w:fldCharType="end"/>
        </w:r>
      </w:hyperlink>
    </w:p>
    <w:p w14:paraId="4F710A4D" w14:textId="200A77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8"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Applicability of General Quarantine Regulations</w:t>
        </w:r>
        <w:r>
          <w:rPr>
            <w:webHidden/>
          </w:rPr>
          <w:tab/>
        </w:r>
        <w:r>
          <w:rPr>
            <w:webHidden/>
          </w:rPr>
          <w:fldChar w:fldCharType="begin"/>
        </w:r>
        <w:r>
          <w:rPr>
            <w:webHidden/>
          </w:rPr>
          <w:instrText xml:space="preserve"> PAGEREF _Toc224818908 \h </w:instrText>
        </w:r>
        <w:r>
          <w:rPr>
            <w:webHidden/>
          </w:rPr>
        </w:r>
        <w:r>
          <w:rPr>
            <w:webHidden/>
          </w:rPr>
          <w:fldChar w:fldCharType="separate"/>
        </w:r>
        <w:r w:rsidR="00AA17AB">
          <w:rPr>
            <w:webHidden/>
          </w:rPr>
          <w:t>165</w:t>
        </w:r>
        <w:r>
          <w:rPr>
            <w:webHidden/>
          </w:rPr>
          <w:fldChar w:fldCharType="end"/>
        </w:r>
      </w:hyperlink>
    </w:p>
    <w:p w14:paraId="3EA5116D" w14:textId="7752A5A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09" w:history="1">
        <w:r w:rsidRPr="00FC437C">
          <w:rPr>
            <w:rStyle w:val="Hyperlink"/>
          </w:rPr>
          <w:t>§126.</w:t>
        </w:r>
        <w:r>
          <w:rPr>
            <w:rFonts w:asciiTheme="minorHAnsi" w:eastAsiaTheme="minorEastAsia" w:hAnsiTheme="minorHAnsi" w:cstheme="minorBidi"/>
            <w:color w:val="auto"/>
            <w:kern w:val="2"/>
            <w:szCs w:val="24"/>
            <w14:ligatures w14:val="standardContextual"/>
          </w:rPr>
          <w:tab/>
        </w:r>
        <w:r w:rsidRPr="00FC437C">
          <w:rPr>
            <w:rStyle w:val="Hyperlink"/>
          </w:rPr>
          <w:t>Nursery Certificate Permit Fees</w:t>
        </w:r>
        <w:r>
          <w:rPr>
            <w:webHidden/>
          </w:rPr>
          <w:tab/>
        </w:r>
        <w:r>
          <w:rPr>
            <w:webHidden/>
          </w:rPr>
          <w:fldChar w:fldCharType="begin"/>
        </w:r>
        <w:r>
          <w:rPr>
            <w:webHidden/>
          </w:rPr>
          <w:instrText xml:space="preserve"> PAGEREF _Toc224818909 \h </w:instrText>
        </w:r>
        <w:r>
          <w:rPr>
            <w:webHidden/>
          </w:rPr>
        </w:r>
        <w:r>
          <w:rPr>
            <w:webHidden/>
          </w:rPr>
          <w:fldChar w:fldCharType="separate"/>
        </w:r>
        <w:r w:rsidR="00AA17AB">
          <w:rPr>
            <w:webHidden/>
          </w:rPr>
          <w:t>165</w:t>
        </w:r>
        <w:r>
          <w:rPr>
            <w:webHidden/>
          </w:rPr>
          <w:fldChar w:fldCharType="end"/>
        </w:r>
      </w:hyperlink>
    </w:p>
    <w:p w14:paraId="5D9A5A30" w14:textId="1AD3F7C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0"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Citrus Nursery Stock, Scions and Budwood</w:t>
        </w:r>
        <w:r>
          <w:rPr>
            <w:webHidden/>
          </w:rPr>
          <w:tab/>
        </w:r>
        <w:r>
          <w:rPr>
            <w:webHidden/>
          </w:rPr>
          <w:fldChar w:fldCharType="begin"/>
        </w:r>
        <w:r>
          <w:rPr>
            <w:webHidden/>
          </w:rPr>
          <w:instrText xml:space="preserve"> PAGEREF _Toc224818910 \h </w:instrText>
        </w:r>
        <w:r>
          <w:rPr>
            <w:webHidden/>
          </w:rPr>
        </w:r>
        <w:r>
          <w:rPr>
            <w:webHidden/>
          </w:rPr>
          <w:fldChar w:fldCharType="separate"/>
        </w:r>
        <w:r w:rsidR="00AA17AB">
          <w:rPr>
            <w:webHidden/>
          </w:rPr>
          <w:t>166</w:t>
        </w:r>
        <w:r>
          <w:rPr>
            <w:webHidden/>
          </w:rPr>
          <w:fldChar w:fldCharType="end"/>
        </w:r>
      </w:hyperlink>
    </w:p>
    <w:p w14:paraId="0582CA3E" w14:textId="0B9923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1"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Phony Peach</w:t>
        </w:r>
        <w:r>
          <w:rPr>
            <w:webHidden/>
          </w:rPr>
          <w:tab/>
        </w:r>
        <w:r>
          <w:rPr>
            <w:webHidden/>
          </w:rPr>
          <w:fldChar w:fldCharType="begin"/>
        </w:r>
        <w:r>
          <w:rPr>
            <w:webHidden/>
          </w:rPr>
          <w:instrText xml:space="preserve"> PAGEREF _Toc224818911 \h </w:instrText>
        </w:r>
        <w:r>
          <w:rPr>
            <w:webHidden/>
          </w:rPr>
        </w:r>
        <w:r>
          <w:rPr>
            <w:webHidden/>
          </w:rPr>
          <w:fldChar w:fldCharType="separate"/>
        </w:r>
        <w:r w:rsidR="00AA17AB">
          <w:rPr>
            <w:webHidden/>
          </w:rPr>
          <w:t>170</w:t>
        </w:r>
        <w:r>
          <w:rPr>
            <w:webHidden/>
          </w:rPr>
          <w:fldChar w:fldCharType="end"/>
        </w:r>
      </w:hyperlink>
    </w:p>
    <w:p w14:paraId="05956818" w14:textId="131764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2"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Phytophagous Snails</w:t>
        </w:r>
        <w:r>
          <w:rPr>
            <w:webHidden/>
          </w:rPr>
          <w:tab/>
        </w:r>
        <w:r>
          <w:rPr>
            <w:webHidden/>
          </w:rPr>
          <w:fldChar w:fldCharType="begin"/>
        </w:r>
        <w:r>
          <w:rPr>
            <w:webHidden/>
          </w:rPr>
          <w:instrText xml:space="preserve"> PAGEREF _Toc224818912 \h </w:instrText>
        </w:r>
        <w:r>
          <w:rPr>
            <w:webHidden/>
          </w:rPr>
        </w:r>
        <w:r>
          <w:rPr>
            <w:webHidden/>
          </w:rPr>
          <w:fldChar w:fldCharType="separate"/>
        </w:r>
        <w:r w:rsidR="00AA17AB">
          <w:rPr>
            <w:webHidden/>
          </w:rPr>
          <w:t>170</w:t>
        </w:r>
        <w:r>
          <w:rPr>
            <w:webHidden/>
          </w:rPr>
          <w:fldChar w:fldCharType="end"/>
        </w:r>
      </w:hyperlink>
    </w:p>
    <w:p w14:paraId="4FC723B4" w14:textId="16A3938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3" w:history="1">
        <w:r w:rsidRPr="00FC437C">
          <w:rPr>
            <w:rStyle w:val="Hyperlink"/>
          </w:rPr>
          <w:t>§132.</w:t>
        </w:r>
        <w:r>
          <w:rPr>
            <w:rFonts w:asciiTheme="minorHAnsi" w:eastAsiaTheme="minorEastAsia" w:hAnsiTheme="minorHAnsi" w:cstheme="minorBidi"/>
            <w:color w:val="auto"/>
            <w:kern w:val="2"/>
            <w:szCs w:val="24"/>
            <w14:ligatures w14:val="standardContextual"/>
          </w:rPr>
          <w:tab/>
        </w:r>
        <w:r w:rsidRPr="00FC437C">
          <w:rPr>
            <w:rStyle w:val="Hyperlink"/>
          </w:rPr>
          <w:t>Conifer and Hardwood Seedlings Used for Forestation Purposes</w:t>
        </w:r>
        <w:r>
          <w:rPr>
            <w:webHidden/>
          </w:rPr>
          <w:tab/>
        </w:r>
        <w:r>
          <w:rPr>
            <w:webHidden/>
          </w:rPr>
          <w:fldChar w:fldCharType="begin"/>
        </w:r>
        <w:r>
          <w:rPr>
            <w:webHidden/>
          </w:rPr>
          <w:instrText xml:space="preserve"> PAGEREF _Toc224818913 \h </w:instrText>
        </w:r>
        <w:r>
          <w:rPr>
            <w:webHidden/>
          </w:rPr>
        </w:r>
        <w:r>
          <w:rPr>
            <w:webHidden/>
          </w:rPr>
          <w:fldChar w:fldCharType="separate"/>
        </w:r>
        <w:r w:rsidR="00AA17AB">
          <w:rPr>
            <w:webHidden/>
          </w:rPr>
          <w:t>170</w:t>
        </w:r>
        <w:r>
          <w:rPr>
            <w:webHidden/>
          </w:rPr>
          <w:fldChar w:fldCharType="end"/>
        </w:r>
      </w:hyperlink>
    </w:p>
    <w:p w14:paraId="25B19911" w14:textId="72ECD435" w:rsidR="00E67799" w:rsidRDefault="00E67799">
      <w:pPr>
        <w:pStyle w:val="TOC2"/>
        <w:rPr>
          <w:rFonts w:asciiTheme="minorHAnsi" w:eastAsiaTheme="minorEastAsia" w:hAnsiTheme="minorHAnsi" w:cstheme="minorBidi"/>
          <w:kern w:val="2"/>
          <w:szCs w:val="24"/>
          <w14:ligatures w14:val="standardContextual"/>
        </w:rPr>
      </w:pPr>
      <w:hyperlink w:anchor="_Toc224818914"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Sweetpotato Weevil Quarantine</w:t>
        </w:r>
        <w:r>
          <w:rPr>
            <w:webHidden/>
          </w:rPr>
          <w:tab/>
        </w:r>
        <w:r>
          <w:rPr>
            <w:webHidden/>
          </w:rPr>
          <w:fldChar w:fldCharType="begin"/>
        </w:r>
        <w:r>
          <w:rPr>
            <w:webHidden/>
          </w:rPr>
          <w:instrText xml:space="preserve"> PAGEREF _Toc224818914 \h </w:instrText>
        </w:r>
        <w:r>
          <w:rPr>
            <w:webHidden/>
          </w:rPr>
        </w:r>
        <w:r>
          <w:rPr>
            <w:webHidden/>
          </w:rPr>
          <w:fldChar w:fldCharType="separate"/>
        </w:r>
        <w:r w:rsidR="00AA17AB">
          <w:rPr>
            <w:webHidden/>
          </w:rPr>
          <w:t>170</w:t>
        </w:r>
        <w:r>
          <w:rPr>
            <w:webHidden/>
          </w:rPr>
          <w:fldChar w:fldCharType="end"/>
        </w:r>
      </w:hyperlink>
    </w:p>
    <w:p w14:paraId="2949F180" w14:textId="4C8F0B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5"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Applicability of General Quarantine Regulations</w:t>
        </w:r>
        <w:r>
          <w:rPr>
            <w:webHidden/>
          </w:rPr>
          <w:tab/>
        </w:r>
        <w:r>
          <w:rPr>
            <w:webHidden/>
          </w:rPr>
          <w:fldChar w:fldCharType="begin"/>
        </w:r>
        <w:r>
          <w:rPr>
            <w:webHidden/>
          </w:rPr>
          <w:instrText xml:space="preserve"> PAGEREF _Toc224818915 \h </w:instrText>
        </w:r>
        <w:r>
          <w:rPr>
            <w:webHidden/>
          </w:rPr>
        </w:r>
        <w:r>
          <w:rPr>
            <w:webHidden/>
          </w:rPr>
          <w:fldChar w:fldCharType="separate"/>
        </w:r>
        <w:r w:rsidR="00AA17AB">
          <w:rPr>
            <w:webHidden/>
          </w:rPr>
          <w:t>170</w:t>
        </w:r>
        <w:r>
          <w:rPr>
            <w:webHidden/>
          </w:rPr>
          <w:fldChar w:fldCharType="end"/>
        </w:r>
      </w:hyperlink>
    </w:p>
    <w:p w14:paraId="14C28A8D" w14:textId="1697305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6"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Definitions Applicable to this Subchapter</w:t>
        </w:r>
        <w:r>
          <w:rPr>
            <w:webHidden/>
          </w:rPr>
          <w:tab/>
        </w:r>
        <w:r>
          <w:rPr>
            <w:webHidden/>
          </w:rPr>
          <w:fldChar w:fldCharType="begin"/>
        </w:r>
        <w:r>
          <w:rPr>
            <w:webHidden/>
          </w:rPr>
          <w:instrText xml:space="preserve"> PAGEREF _Toc224818916 \h </w:instrText>
        </w:r>
        <w:r>
          <w:rPr>
            <w:webHidden/>
          </w:rPr>
        </w:r>
        <w:r>
          <w:rPr>
            <w:webHidden/>
          </w:rPr>
          <w:fldChar w:fldCharType="separate"/>
        </w:r>
        <w:r w:rsidR="00AA17AB">
          <w:rPr>
            <w:webHidden/>
          </w:rPr>
          <w:t>170</w:t>
        </w:r>
        <w:r>
          <w:rPr>
            <w:webHidden/>
          </w:rPr>
          <w:fldChar w:fldCharType="end"/>
        </w:r>
      </w:hyperlink>
    </w:p>
    <w:p w14:paraId="064A0EE7" w14:textId="5EBC1E3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7"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 xml:space="preserve">Issuance and Use of Certificate Permits, Certificate Permit Tags, and Fumigation </w:t>
        </w:r>
        <w:r w:rsidR="00695EC1">
          <w:rPr>
            <w:rStyle w:val="Hyperlink"/>
          </w:rPr>
          <w:br/>
        </w:r>
        <w:r w:rsidR="00695EC1">
          <w:rPr>
            <w:rStyle w:val="Hyperlink"/>
          </w:rPr>
          <w:tab/>
        </w:r>
        <w:r w:rsidRPr="00FC437C">
          <w:rPr>
            <w:rStyle w:val="Hyperlink"/>
          </w:rPr>
          <w:t>Certificates for the Movement of Regulated Material</w:t>
        </w:r>
        <w:r>
          <w:rPr>
            <w:webHidden/>
          </w:rPr>
          <w:tab/>
        </w:r>
        <w:r>
          <w:rPr>
            <w:webHidden/>
          </w:rPr>
          <w:fldChar w:fldCharType="begin"/>
        </w:r>
        <w:r>
          <w:rPr>
            <w:webHidden/>
          </w:rPr>
          <w:instrText xml:space="preserve"> PAGEREF _Toc224818917 \h </w:instrText>
        </w:r>
        <w:r>
          <w:rPr>
            <w:webHidden/>
          </w:rPr>
        </w:r>
        <w:r>
          <w:rPr>
            <w:webHidden/>
          </w:rPr>
          <w:fldChar w:fldCharType="separate"/>
        </w:r>
        <w:r w:rsidR="00AA17AB">
          <w:rPr>
            <w:webHidden/>
          </w:rPr>
          <w:t>171</w:t>
        </w:r>
        <w:r>
          <w:rPr>
            <w:webHidden/>
          </w:rPr>
          <w:fldChar w:fldCharType="end"/>
        </w:r>
      </w:hyperlink>
    </w:p>
    <w:p w14:paraId="622A78ED" w14:textId="10E0C23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8" w:history="1">
        <w:r w:rsidRPr="00FC437C">
          <w:rPr>
            <w:rStyle w:val="Hyperlink"/>
          </w:rPr>
          <w:t>§138.</w:t>
        </w:r>
        <w:r>
          <w:rPr>
            <w:rFonts w:asciiTheme="minorHAnsi" w:eastAsiaTheme="minorEastAsia" w:hAnsiTheme="minorHAnsi" w:cstheme="minorBidi"/>
            <w:color w:val="auto"/>
            <w:kern w:val="2"/>
            <w:szCs w:val="24"/>
            <w14:ligatures w14:val="standardContextual"/>
          </w:rPr>
          <w:tab/>
        </w:r>
        <w:r w:rsidRPr="00FC437C">
          <w:rPr>
            <w:rStyle w:val="Hyperlink"/>
          </w:rPr>
          <w:t xml:space="preserve">Fumigation and Maintenance of Weevil-Free Status of Regulated Materials Originating </w:t>
        </w:r>
        <w:r w:rsidR="00695EC1">
          <w:rPr>
            <w:rStyle w:val="Hyperlink"/>
          </w:rPr>
          <w:br/>
        </w:r>
        <w:r w:rsidR="00695EC1">
          <w:rPr>
            <w:rStyle w:val="Hyperlink"/>
          </w:rPr>
          <w:tab/>
        </w:r>
        <w:r w:rsidRPr="00FC437C">
          <w:rPr>
            <w:rStyle w:val="Hyperlink"/>
          </w:rPr>
          <w:t>from Designated Sweetpotato Weevil-Infested Areas or Properties or Premises</w:t>
        </w:r>
        <w:r>
          <w:rPr>
            <w:webHidden/>
          </w:rPr>
          <w:tab/>
        </w:r>
        <w:r>
          <w:rPr>
            <w:webHidden/>
          </w:rPr>
          <w:fldChar w:fldCharType="begin"/>
        </w:r>
        <w:r>
          <w:rPr>
            <w:webHidden/>
          </w:rPr>
          <w:instrText xml:space="preserve"> PAGEREF _Toc224818918 \h </w:instrText>
        </w:r>
        <w:r>
          <w:rPr>
            <w:webHidden/>
          </w:rPr>
        </w:r>
        <w:r>
          <w:rPr>
            <w:webHidden/>
          </w:rPr>
          <w:fldChar w:fldCharType="separate"/>
        </w:r>
        <w:r w:rsidR="00AA17AB">
          <w:rPr>
            <w:webHidden/>
          </w:rPr>
          <w:t>171</w:t>
        </w:r>
        <w:r>
          <w:rPr>
            <w:webHidden/>
          </w:rPr>
          <w:fldChar w:fldCharType="end"/>
        </w:r>
      </w:hyperlink>
    </w:p>
    <w:p w14:paraId="126E011B" w14:textId="74250A6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19"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Effect of Quarantine for Sweetpotato Weevil</w:t>
        </w:r>
        <w:r>
          <w:rPr>
            <w:webHidden/>
          </w:rPr>
          <w:tab/>
        </w:r>
        <w:r>
          <w:rPr>
            <w:webHidden/>
          </w:rPr>
          <w:fldChar w:fldCharType="begin"/>
        </w:r>
        <w:r>
          <w:rPr>
            <w:webHidden/>
          </w:rPr>
          <w:instrText xml:space="preserve"> PAGEREF _Toc224818919 \h </w:instrText>
        </w:r>
        <w:r>
          <w:rPr>
            <w:webHidden/>
          </w:rPr>
        </w:r>
        <w:r>
          <w:rPr>
            <w:webHidden/>
          </w:rPr>
          <w:fldChar w:fldCharType="separate"/>
        </w:r>
        <w:r w:rsidR="00AA17AB">
          <w:rPr>
            <w:webHidden/>
          </w:rPr>
          <w:t>172</w:t>
        </w:r>
        <w:r>
          <w:rPr>
            <w:webHidden/>
          </w:rPr>
          <w:fldChar w:fldCharType="end"/>
        </w:r>
      </w:hyperlink>
    </w:p>
    <w:p w14:paraId="212D1698" w14:textId="17FFFDA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0"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 xml:space="preserve">Handling, Storage and Processing of Sweet Potatoes within Those Areas or Properties or </w:t>
        </w:r>
        <w:r w:rsidR="00695EC1">
          <w:rPr>
            <w:rStyle w:val="Hyperlink"/>
          </w:rPr>
          <w:tab/>
        </w:r>
        <w:r w:rsidRPr="00FC437C">
          <w:rPr>
            <w:rStyle w:val="Hyperlink"/>
          </w:rPr>
          <w:t>Premises of the State Designated Sweetpotato Weevil-Infested</w:t>
        </w:r>
        <w:r>
          <w:rPr>
            <w:webHidden/>
          </w:rPr>
          <w:tab/>
        </w:r>
        <w:r>
          <w:rPr>
            <w:webHidden/>
          </w:rPr>
          <w:fldChar w:fldCharType="begin"/>
        </w:r>
        <w:r>
          <w:rPr>
            <w:webHidden/>
          </w:rPr>
          <w:instrText xml:space="preserve"> PAGEREF _Toc224818920 \h </w:instrText>
        </w:r>
        <w:r>
          <w:rPr>
            <w:webHidden/>
          </w:rPr>
        </w:r>
        <w:r>
          <w:rPr>
            <w:webHidden/>
          </w:rPr>
          <w:fldChar w:fldCharType="separate"/>
        </w:r>
        <w:r w:rsidR="00AA17AB">
          <w:rPr>
            <w:webHidden/>
          </w:rPr>
          <w:t>174</w:t>
        </w:r>
        <w:r>
          <w:rPr>
            <w:webHidden/>
          </w:rPr>
          <w:fldChar w:fldCharType="end"/>
        </w:r>
      </w:hyperlink>
    </w:p>
    <w:p w14:paraId="59C87805" w14:textId="0494A4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1"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_Toc224818921 \h </w:instrText>
        </w:r>
        <w:r>
          <w:rPr>
            <w:webHidden/>
          </w:rPr>
        </w:r>
        <w:r>
          <w:rPr>
            <w:webHidden/>
          </w:rPr>
          <w:fldChar w:fldCharType="separate"/>
        </w:r>
        <w:r w:rsidR="00AA17AB">
          <w:rPr>
            <w:webHidden/>
          </w:rPr>
          <w:t>174</w:t>
        </w:r>
        <w:r>
          <w:rPr>
            <w:webHidden/>
          </w:rPr>
          <w:fldChar w:fldCharType="end"/>
        </w:r>
      </w:hyperlink>
    </w:p>
    <w:p w14:paraId="7AB1377F" w14:textId="17E1BCA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2" w:history="1">
        <w:r w:rsidRPr="00FC437C">
          <w:rPr>
            <w:rStyle w:val="Hyperlink"/>
          </w:rPr>
          <w:t>§145.</w:t>
        </w:r>
        <w:r>
          <w:rPr>
            <w:rFonts w:asciiTheme="minorHAnsi" w:eastAsiaTheme="minorEastAsia" w:hAnsiTheme="minorHAnsi" w:cstheme="minorBidi"/>
            <w:color w:val="auto"/>
            <w:kern w:val="2"/>
            <w:szCs w:val="24"/>
            <w14:ligatures w14:val="standardContextual"/>
          </w:rPr>
          <w:tab/>
        </w:r>
        <w:r w:rsidRPr="00FC437C">
          <w:rPr>
            <w:rStyle w:val="Hyperlink"/>
          </w:rPr>
          <w:t>Penalties for Violation of Sweetpotato Weevil Quarantine</w:t>
        </w:r>
        <w:r>
          <w:rPr>
            <w:webHidden/>
          </w:rPr>
          <w:tab/>
        </w:r>
        <w:r>
          <w:rPr>
            <w:webHidden/>
          </w:rPr>
          <w:fldChar w:fldCharType="begin"/>
        </w:r>
        <w:r>
          <w:rPr>
            <w:webHidden/>
          </w:rPr>
          <w:instrText xml:space="preserve"> PAGEREF _Toc224818922 \h </w:instrText>
        </w:r>
        <w:r>
          <w:rPr>
            <w:webHidden/>
          </w:rPr>
        </w:r>
        <w:r>
          <w:rPr>
            <w:webHidden/>
          </w:rPr>
          <w:fldChar w:fldCharType="separate"/>
        </w:r>
        <w:r w:rsidR="00AA17AB">
          <w:rPr>
            <w:webHidden/>
          </w:rPr>
          <w:t>174</w:t>
        </w:r>
        <w:r>
          <w:rPr>
            <w:webHidden/>
          </w:rPr>
          <w:fldChar w:fldCharType="end"/>
        </w:r>
      </w:hyperlink>
    </w:p>
    <w:p w14:paraId="7BAB019D" w14:textId="53B56A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3" w:history="1">
        <w:r w:rsidRPr="00FC437C">
          <w:rPr>
            <w:rStyle w:val="Hyperlink"/>
          </w:rPr>
          <w:t>§147.</w:t>
        </w:r>
        <w:r>
          <w:rPr>
            <w:rFonts w:asciiTheme="minorHAnsi" w:eastAsiaTheme="minorEastAsia" w:hAnsiTheme="minorHAnsi" w:cstheme="minorBidi"/>
            <w:color w:val="auto"/>
            <w:kern w:val="2"/>
            <w:szCs w:val="24"/>
            <w14:ligatures w14:val="standardContextual"/>
          </w:rPr>
          <w:tab/>
        </w:r>
        <w:r w:rsidRPr="00FC437C">
          <w:rPr>
            <w:rStyle w:val="Hyperlink"/>
          </w:rPr>
          <w:t>Sweet Potato Dealer's Permit</w:t>
        </w:r>
        <w:r>
          <w:rPr>
            <w:webHidden/>
          </w:rPr>
          <w:tab/>
        </w:r>
        <w:r>
          <w:rPr>
            <w:webHidden/>
          </w:rPr>
          <w:fldChar w:fldCharType="begin"/>
        </w:r>
        <w:r>
          <w:rPr>
            <w:webHidden/>
          </w:rPr>
          <w:instrText xml:space="preserve"> PAGEREF _Toc224818923 \h </w:instrText>
        </w:r>
        <w:r>
          <w:rPr>
            <w:webHidden/>
          </w:rPr>
        </w:r>
        <w:r>
          <w:rPr>
            <w:webHidden/>
          </w:rPr>
          <w:fldChar w:fldCharType="separate"/>
        </w:r>
        <w:r w:rsidR="00AA17AB">
          <w:rPr>
            <w:webHidden/>
          </w:rPr>
          <w:t>175</w:t>
        </w:r>
        <w:r>
          <w:rPr>
            <w:webHidden/>
          </w:rPr>
          <w:fldChar w:fldCharType="end"/>
        </w:r>
      </w:hyperlink>
    </w:p>
    <w:p w14:paraId="6A69D540" w14:textId="647E24D0" w:rsidR="00E67799" w:rsidRDefault="00E67799">
      <w:pPr>
        <w:pStyle w:val="TOC2"/>
        <w:rPr>
          <w:rFonts w:asciiTheme="minorHAnsi" w:eastAsiaTheme="minorEastAsia" w:hAnsiTheme="minorHAnsi" w:cstheme="minorBidi"/>
          <w:kern w:val="2"/>
          <w:szCs w:val="24"/>
          <w14:ligatures w14:val="standardContextual"/>
        </w:rPr>
      </w:pPr>
      <w:hyperlink w:anchor="_Toc224818924"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Pink Bollworm Quarantine Regulations</w:t>
        </w:r>
        <w:r>
          <w:rPr>
            <w:webHidden/>
          </w:rPr>
          <w:tab/>
        </w:r>
        <w:r>
          <w:rPr>
            <w:webHidden/>
          </w:rPr>
          <w:fldChar w:fldCharType="begin"/>
        </w:r>
        <w:r>
          <w:rPr>
            <w:webHidden/>
          </w:rPr>
          <w:instrText xml:space="preserve"> PAGEREF _Toc224818924 \h </w:instrText>
        </w:r>
        <w:r>
          <w:rPr>
            <w:webHidden/>
          </w:rPr>
        </w:r>
        <w:r>
          <w:rPr>
            <w:webHidden/>
          </w:rPr>
          <w:fldChar w:fldCharType="separate"/>
        </w:r>
        <w:r w:rsidR="00AA17AB">
          <w:rPr>
            <w:webHidden/>
          </w:rPr>
          <w:t>175</w:t>
        </w:r>
        <w:r>
          <w:rPr>
            <w:webHidden/>
          </w:rPr>
          <w:fldChar w:fldCharType="end"/>
        </w:r>
      </w:hyperlink>
    </w:p>
    <w:p w14:paraId="7926E3C5" w14:textId="68DD7A6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5" w:history="1">
        <w:r w:rsidRPr="00FC437C">
          <w:rPr>
            <w:rStyle w:val="Hyperlink"/>
          </w:rPr>
          <w:t>§149.</w:t>
        </w:r>
        <w:r>
          <w:rPr>
            <w:rFonts w:asciiTheme="minorHAnsi" w:eastAsiaTheme="minorEastAsia" w:hAnsiTheme="minorHAnsi" w:cstheme="minorBidi"/>
            <w:color w:val="auto"/>
            <w:kern w:val="2"/>
            <w:szCs w:val="24"/>
            <w14:ligatures w14:val="standardContextual"/>
          </w:rPr>
          <w:tab/>
        </w:r>
        <w:r w:rsidRPr="00FC437C">
          <w:rPr>
            <w:rStyle w:val="Hyperlink"/>
          </w:rPr>
          <w:t>Applicability of General Quarantine Regulations</w:t>
        </w:r>
        <w:r>
          <w:rPr>
            <w:webHidden/>
          </w:rPr>
          <w:tab/>
        </w:r>
        <w:r>
          <w:rPr>
            <w:webHidden/>
          </w:rPr>
          <w:fldChar w:fldCharType="begin"/>
        </w:r>
        <w:r>
          <w:rPr>
            <w:webHidden/>
          </w:rPr>
          <w:instrText xml:space="preserve"> PAGEREF _Toc224818925 \h </w:instrText>
        </w:r>
        <w:r>
          <w:rPr>
            <w:webHidden/>
          </w:rPr>
        </w:r>
        <w:r>
          <w:rPr>
            <w:webHidden/>
          </w:rPr>
          <w:fldChar w:fldCharType="separate"/>
        </w:r>
        <w:r w:rsidR="00AA17AB">
          <w:rPr>
            <w:webHidden/>
          </w:rPr>
          <w:t>175</w:t>
        </w:r>
        <w:r>
          <w:rPr>
            <w:webHidden/>
          </w:rPr>
          <w:fldChar w:fldCharType="end"/>
        </w:r>
      </w:hyperlink>
    </w:p>
    <w:p w14:paraId="63FCEF81" w14:textId="17693E0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6" w:history="1">
        <w:r w:rsidRPr="00FC437C">
          <w:rPr>
            <w:rStyle w:val="Hyperlink"/>
          </w:rPr>
          <w:t>§151.</w:t>
        </w:r>
        <w:r>
          <w:rPr>
            <w:rFonts w:asciiTheme="minorHAnsi" w:eastAsiaTheme="minorEastAsia" w:hAnsiTheme="minorHAnsi" w:cstheme="minorBidi"/>
            <w:color w:val="auto"/>
            <w:kern w:val="2"/>
            <w:szCs w:val="24"/>
            <w14:ligatures w14:val="standardContextual"/>
          </w:rPr>
          <w:tab/>
        </w:r>
        <w:r w:rsidRPr="00FC437C">
          <w:rPr>
            <w:rStyle w:val="Hyperlink"/>
          </w:rPr>
          <w:t>Definitions Applicable to Pink Bollworm</w:t>
        </w:r>
        <w:r>
          <w:rPr>
            <w:webHidden/>
          </w:rPr>
          <w:tab/>
        </w:r>
        <w:r>
          <w:rPr>
            <w:webHidden/>
          </w:rPr>
          <w:fldChar w:fldCharType="begin"/>
        </w:r>
        <w:r>
          <w:rPr>
            <w:webHidden/>
          </w:rPr>
          <w:instrText xml:space="preserve"> PAGEREF _Toc224818926 \h </w:instrText>
        </w:r>
        <w:r>
          <w:rPr>
            <w:webHidden/>
          </w:rPr>
        </w:r>
        <w:r>
          <w:rPr>
            <w:webHidden/>
          </w:rPr>
          <w:fldChar w:fldCharType="separate"/>
        </w:r>
        <w:r w:rsidR="00AA17AB">
          <w:rPr>
            <w:webHidden/>
          </w:rPr>
          <w:t>175</w:t>
        </w:r>
        <w:r>
          <w:rPr>
            <w:webHidden/>
          </w:rPr>
          <w:fldChar w:fldCharType="end"/>
        </w:r>
      </w:hyperlink>
    </w:p>
    <w:p w14:paraId="797D1A47" w14:textId="33240B5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7" w:history="1">
        <w:r w:rsidRPr="00FC437C">
          <w:rPr>
            <w:rStyle w:val="Hyperlink"/>
          </w:rPr>
          <w:t>§153.</w:t>
        </w:r>
        <w:r>
          <w:rPr>
            <w:rFonts w:asciiTheme="minorHAnsi" w:eastAsiaTheme="minorEastAsia" w:hAnsiTheme="minorHAnsi" w:cstheme="minorBidi"/>
            <w:color w:val="auto"/>
            <w:kern w:val="2"/>
            <w:szCs w:val="24"/>
            <w14:ligatures w14:val="standardContextual"/>
          </w:rPr>
          <w:tab/>
        </w:r>
        <w:r w:rsidRPr="00FC437C">
          <w:rPr>
            <w:rStyle w:val="Hyperlink"/>
          </w:rPr>
          <w:t>Articles Restricted or Prohibited for Intrastate Movement</w:t>
        </w:r>
        <w:r>
          <w:rPr>
            <w:webHidden/>
          </w:rPr>
          <w:tab/>
        </w:r>
        <w:r>
          <w:rPr>
            <w:webHidden/>
          </w:rPr>
          <w:fldChar w:fldCharType="begin"/>
        </w:r>
        <w:r>
          <w:rPr>
            <w:webHidden/>
          </w:rPr>
          <w:instrText xml:space="preserve"> PAGEREF _Toc224818927 \h </w:instrText>
        </w:r>
        <w:r>
          <w:rPr>
            <w:webHidden/>
          </w:rPr>
        </w:r>
        <w:r>
          <w:rPr>
            <w:webHidden/>
          </w:rPr>
          <w:fldChar w:fldCharType="separate"/>
        </w:r>
        <w:r w:rsidR="00AA17AB">
          <w:rPr>
            <w:webHidden/>
          </w:rPr>
          <w:t>175</w:t>
        </w:r>
        <w:r>
          <w:rPr>
            <w:webHidden/>
          </w:rPr>
          <w:fldChar w:fldCharType="end"/>
        </w:r>
      </w:hyperlink>
    </w:p>
    <w:p w14:paraId="4F65FDA5" w14:textId="4186996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8" w:history="1">
        <w:r w:rsidRPr="00FC437C">
          <w:rPr>
            <w:rStyle w:val="Hyperlink"/>
          </w:rPr>
          <w:t>§155.</w:t>
        </w:r>
        <w:r>
          <w:rPr>
            <w:rFonts w:asciiTheme="minorHAnsi" w:eastAsiaTheme="minorEastAsia" w:hAnsiTheme="minorHAnsi" w:cstheme="minorBidi"/>
            <w:color w:val="auto"/>
            <w:kern w:val="2"/>
            <w:szCs w:val="24"/>
            <w14:ligatures w14:val="standardContextual"/>
          </w:rPr>
          <w:tab/>
        </w:r>
        <w:r w:rsidRPr="00FC437C">
          <w:rPr>
            <w:rStyle w:val="Hyperlink"/>
          </w:rPr>
          <w:t>Certificates for Intrastate Movement</w:t>
        </w:r>
        <w:r>
          <w:rPr>
            <w:webHidden/>
          </w:rPr>
          <w:tab/>
        </w:r>
        <w:r>
          <w:rPr>
            <w:webHidden/>
          </w:rPr>
          <w:fldChar w:fldCharType="begin"/>
        </w:r>
        <w:r>
          <w:rPr>
            <w:webHidden/>
          </w:rPr>
          <w:instrText xml:space="preserve"> PAGEREF _Toc224818928 \h </w:instrText>
        </w:r>
        <w:r>
          <w:rPr>
            <w:webHidden/>
          </w:rPr>
        </w:r>
        <w:r>
          <w:rPr>
            <w:webHidden/>
          </w:rPr>
          <w:fldChar w:fldCharType="separate"/>
        </w:r>
        <w:r w:rsidR="00AA17AB">
          <w:rPr>
            <w:webHidden/>
          </w:rPr>
          <w:t>176</w:t>
        </w:r>
        <w:r>
          <w:rPr>
            <w:webHidden/>
          </w:rPr>
          <w:fldChar w:fldCharType="end"/>
        </w:r>
      </w:hyperlink>
    </w:p>
    <w:p w14:paraId="16C0737E" w14:textId="1B24D1B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29" w:history="1">
        <w:r w:rsidRPr="00FC437C">
          <w:rPr>
            <w:rStyle w:val="Hyperlink"/>
          </w:rPr>
          <w:t>§157.</w:t>
        </w:r>
        <w:r>
          <w:rPr>
            <w:rFonts w:asciiTheme="minorHAnsi" w:eastAsiaTheme="minorEastAsia" w:hAnsiTheme="minorHAnsi" w:cstheme="minorBidi"/>
            <w:color w:val="auto"/>
            <w:kern w:val="2"/>
            <w:szCs w:val="24"/>
            <w14:ligatures w14:val="standardContextual"/>
          </w:rPr>
          <w:tab/>
        </w:r>
        <w:r w:rsidRPr="00FC437C">
          <w:rPr>
            <w:rStyle w:val="Hyperlink"/>
          </w:rPr>
          <w:t>Limited Permits for Intrastate Movement</w:t>
        </w:r>
        <w:r>
          <w:rPr>
            <w:webHidden/>
          </w:rPr>
          <w:tab/>
        </w:r>
        <w:r>
          <w:rPr>
            <w:webHidden/>
          </w:rPr>
          <w:fldChar w:fldCharType="begin"/>
        </w:r>
        <w:r>
          <w:rPr>
            <w:webHidden/>
          </w:rPr>
          <w:instrText xml:space="preserve"> PAGEREF _Toc224818929 \h </w:instrText>
        </w:r>
        <w:r>
          <w:rPr>
            <w:webHidden/>
          </w:rPr>
        </w:r>
        <w:r>
          <w:rPr>
            <w:webHidden/>
          </w:rPr>
          <w:fldChar w:fldCharType="separate"/>
        </w:r>
        <w:r w:rsidR="00AA17AB">
          <w:rPr>
            <w:webHidden/>
          </w:rPr>
          <w:t>176</w:t>
        </w:r>
        <w:r>
          <w:rPr>
            <w:webHidden/>
          </w:rPr>
          <w:fldChar w:fldCharType="end"/>
        </w:r>
      </w:hyperlink>
    </w:p>
    <w:p w14:paraId="701B665D" w14:textId="54332E2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0" w:history="1">
        <w:r w:rsidRPr="00FC437C">
          <w:rPr>
            <w:rStyle w:val="Hyperlink"/>
          </w:rPr>
          <w:t>§159.</w:t>
        </w:r>
        <w:r>
          <w:rPr>
            <w:rFonts w:asciiTheme="minorHAnsi" w:eastAsiaTheme="minorEastAsia" w:hAnsiTheme="minorHAnsi" w:cstheme="minorBidi"/>
            <w:color w:val="auto"/>
            <w:kern w:val="2"/>
            <w:szCs w:val="24"/>
            <w14:ligatures w14:val="standardContextual"/>
          </w:rPr>
          <w:tab/>
        </w:r>
        <w:r w:rsidRPr="00FC437C">
          <w:rPr>
            <w:rStyle w:val="Hyperlink"/>
          </w:rPr>
          <w:t>Treatment Required for Materials Originating in Regulated Areas</w:t>
        </w:r>
        <w:r>
          <w:rPr>
            <w:webHidden/>
          </w:rPr>
          <w:tab/>
        </w:r>
        <w:r>
          <w:rPr>
            <w:webHidden/>
          </w:rPr>
          <w:fldChar w:fldCharType="begin"/>
        </w:r>
        <w:r>
          <w:rPr>
            <w:webHidden/>
          </w:rPr>
          <w:instrText xml:space="preserve"> PAGEREF _Toc224818930 \h </w:instrText>
        </w:r>
        <w:r>
          <w:rPr>
            <w:webHidden/>
          </w:rPr>
        </w:r>
        <w:r>
          <w:rPr>
            <w:webHidden/>
          </w:rPr>
          <w:fldChar w:fldCharType="separate"/>
        </w:r>
        <w:r w:rsidR="00AA17AB">
          <w:rPr>
            <w:webHidden/>
          </w:rPr>
          <w:t>176</w:t>
        </w:r>
        <w:r>
          <w:rPr>
            <w:webHidden/>
          </w:rPr>
          <w:fldChar w:fldCharType="end"/>
        </w:r>
      </w:hyperlink>
    </w:p>
    <w:p w14:paraId="6632E376" w14:textId="51B5B0F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1" w:history="1">
        <w:r w:rsidRPr="00FC437C">
          <w:rPr>
            <w:rStyle w:val="Hyperlink"/>
          </w:rPr>
          <w:t>§161.</w:t>
        </w:r>
        <w:r>
          <w:rPr>
            <w:rFonts w:asciiTheme="minorHAnsi" w:eastAsiaTheme="minorEastAsia" w:hAnsiTheme="minorHAnsi" w:cstheme="minorBidi"/>
            <w:color w:val="auto"/>
            <w:kern w:val="2"/>
            <w:szCs w:val="24"/>
            <w14:ligatures w14:val="standardContextual"/>
          </w:rPr>
          <w:tab/>
        </w:r>
        <w:r w:rsidRPr="00FC437C">
          <w:rPr>
            <w:rStyle w:val="Hyperlink"/>
          </w:rPr>
          <w:t>Cultural and Other Requirements in Regulated Areas</w:t>
        </w:r>
        <w:r>
          <w:rPr>
            <w:webHidden/>
          </w:rPr>
          <w:tab/>
        </w:r>
        <w:r>
          <w:rPr>
            <w:webHidden/>
          </w:rPr>
          <w:fldChar w:fldCharType="begin"/>
        </w:r>
        <w:r>
          <w:rPr>
            <w:webHidden/>
          </w:rPr>
          <w:instrText xml:space="preserve"> PAGEREF _Toc224818931 \h </w:instrText>
        </w:r>
        <w:r>
          <w:rPr>
            <w:webHidden/>
          </w:rPr>
        </w:r>
        <w:r>
          <w:rPr>
            <w:webHidden/>
          </w:rPr>
          <w:fldChar w:fldCharType="separate"/>
        </w:r>
        <w:r w:rsidR="00AA17AB">
          <w:rPr>
            <w:webHidden/>
          </w:rPr>
          <w:t>177</w:t>
        </w:r>
        <w:r>
          <w:rPr>
            <w:webHidden/>
          </w:rPr>
          <w:fldChar w:fldCharType="end"/>
        </w:r>
      </w:hyperlink>
    </w:p>
    <w:p w14:paraId="494D1270" w14:textId="6F9C0D5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2" w:history="1">
        <w:r w:rsidRPr="00FC437C">
          <w:rPr>
            <w:rStyle w:val="Hyperlink"/>
          </w:rPr>
          <w:t>§163.</w:t>
        </w:r>
        <w:r>
          <w:rPr>
            <w:rFonts w:asciiTheme="minorHAnsi" w:eastAsiaTheme="minorEastAsia" w:hAnsiTheme="minorHAnsi" w:cstheme="minorBidi"/>
            <w:color w:val="auto"/>
            <w:kern w:val="2"/>
            <w:szCs w:val="24"/>
            <w14:ligatures w14:val="standardContextual"/>
          </w:rPr>
          <w:tab/>
        </w:r>
        <w:r w:rsidRPr="00FC437C">
          <w:rPr>
            <w:rStyle w:val="Hyperlink"/>
          </w:rPr>
          <w:t>Dealer-Carrier Agreement</w:t>
        </w:r>
        <w:r>
          <w:rPr>
            <w:webHidden/>
          </w:rPr>
          <w:tab/>
        </w:r>
        <w:r>
          <w:rPr>
            <w:webHidden/>
          </w:rPr>
          <w:fldChar w:fldCharType="begin"/>
        </w:r>
        <w:r>
          <w:rPr>
            <w:webHidden/>
          </w:rPr>
          <w:instrText xml:space="preserve"> PAGEREF _Toc224818932 \h </w:instrText>
        </w:r>
        <w:r>
          <w:rPr>
            <w:webHidden/>
          </w:rPr>
        </w:r>
        <w:r>
          <w:rPr>
            <w:webHidden/>
          </w:rPr>
          <w:fldChar w:fldCharType="separate"/>
        </w:r>
        <w:r w:rsidR="00AA17AB">
          <w:rPr>
            <w:webHidden/>
          </w:rPr>
          <w:t>177</w:t>
        </w:r>
        <w:r>
          <w:rPr>
            <w:webHidden/>
          </w:rPr>
          <w:fldChar w:fldCharType="end"/>
        </w:r>
      </w:hyperlink>
    </w:p>
    <w:p w14:paraId="2CC93419" w14:textId="7F1BB211" w:rsidR="00E67799" w:rsidRDefault="00E67799">
      <w:pPr>
        <w:pStyle w:val="TOC2"/>
        <w:rPr>
          <w:rFonts w:asciiTheme="minorHAnsi" w:eastAsiaTheme="minorEastAsia" w:hAnsiTheme="minorHAnsi" w:cstheme="minorBidi"/>
          <w:kern w:val="2"/>
          <w:szCs w:val="24"/>
          <w14:ligatures w14:val="standardContextual"/>
        </w:rPr>
      </w:pPr>
      <w:hyperlink w:anchor="_Toc224818933" w:history="1">
        <w:r w:rsidRPr="00FC437C">
          <w:rPr>
            <w:rStyle w:val="Hyperlink"/>
          </w:rPr>
          <w:t>Subchapter E.</w:t>
        </w:r>
        <w:r>
          <w:rPr>
            <w:rFonts w:asciiTheme="minorHAnsi" w:eastAsiaTheme="minorEastAsia" w:hAnsiTheme="minorHAnsi" w:cstheme="minorBidi"/>
            <w:kern w:val="2"/>
            <w:szCs w:val="24"/>
            <w14:ligatures w14:val="standardContextual"/>
          </w:rPr>
          <w:tab/>
        </w:r>
        <w:r w:rsidRPr="00FC437C">
          <w:rPr>
            <w:rStyle w:val="Hyperlink"/>
          </w:rPr>
          <w:t>Repeal of Prior Rules and Regulations</w:t>
        </w:r>
        <w:r>
          <w:rPr>
            <w:webHidden/>
          </w:rPr>
          <w:tab/>
        </w:r>
        <w:r>
          <w:rPr>
            <w:webHidden/>
          </w:rPr>
          <w:fldChar w:fldCharType="begin"/>
        </w:r>
        <w:r>
          <w:rPr>
            <w:webHidden/>
          </w:rPr>
          <w:instrText xml:space="preserve"> PAGEREF _Toc224818933 \h </w:instrText>
        </w:r>
        <w:r>
          <w:rPr>
            <w:webHidden/>
          </w:rPr>
        </w:r>
        <w:r>
          <w:rPr>
            <w:webHidden/>
          </w:rPr>
          <w:fldChar w:fldCharType="separate"/>
        </w:r>
        <w:r w:rsidR="00AA17AB">
          <w:rPr>
            <w:webHidden/>
          </w:rPr>
          <w:t>177</w:t>
        </w:r>
        <w:r>
          <w:rPr>
            <w:webHidden/>
          </w:rPr>
          <w:fldChar w:fldCharType="end"/>
        </w:r>
      </w:hyperlink>
    </w:p>
    <w:p w14:paraId="3DE05BA7" w14:textId="492B362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4" w:history="1">
        <w:r w:rsidRPr="00FC437C">
          <w:rPr>
            <w:rStyle w:val="Hyperlink"/>
          </w:rPr>
          <w:t>§165.</w:t>
        </w:r>
        <w:r>
          <w:rPr>
            <w:rFonts w:asciiTheme="minorHAnsi" w:eastAsiaTheme="minorEastAsia" w:hAnsiTheme="minorHAnsi" w:cstheme="minorBidi"/>
            <w:color w:val="auto"/>
            <w:kern w:val="2"/>
            <w:szCs w:val="24"/>
            <w14:ligatures w14:val="standardContextual"/>
          </w:rPr>
          <w:tab/>
        </w:r>
        <w:r w:rsidRPr="00FC437C">
          <w:rPr>
            <w:rStyle w:val="Hyperlink"/>
          </w:rPr>
          <w:t>Repeal of Prior Rules and Regulations</w:t>
        </w:r>
        <w:r>
          <w:rPr>
            <w:webHidden/>
          </w:rPr>
          <w:tab/>
        </w:r>
        <w:r>
          <w:rPr>
            <w:webHidden/>
          </w:rPr>
          <w:fldChar w:fldCharType="begin"/>
        </w:r>
        <w:r>
          <w:rPr>
            <w:webHidden/>
          </w:rPr>
          <w:instrText xml:space="preserve"> PAGEREF _Toc224818934 \h </w:instrText>
        </w:r>
        <w:r>
          <w:rPr>
            <w:webHidden/>
          </w:rPr>
        </w:r>
        <w:r>
          <w:rPr>
            <w:webHidden/>
          </w:rPr>
          <w:fldChar w:fldCharType="separate"/>
        </w:r>
        <w:r w:rsidR="00AA17AB">
          <w:rPr>
            <w:webHidden/>
          </w:rPr>
          <w:t>177</w:t>
        </w:r>
        <w:r>
          <w:rPr>
            <w:webHidden/>
          </w:rPr>
          <w:fldChar w:fldCharType="end"/>
        </w:r>
      </w:hyperlink>
    </w:p>
    <w:p w14:paraId="6328F4D3" w14:textId="63CE69A7" w:rsidR="00E67799" w:rsidRDefault="00E67799">
      <w:pPr>
        <w:pStyle w:val="TOC2"/>
        <w:rPr>
          <w:rFonts w:asciiTheme="minorHAnsi" w:eastAsiaTheme="minorEastAsia" w:hAnsiTheme="minorHAnsi" w:cstheme="minorBidi"/>
          <w:kern w:val="2"/>
          <w:szCs w:val="24"/>
          <w14:ligatures w14:val="standardContextual"/>
        </w:rPr>
      </w:pPr>
      <w:hyperlink w:anchor="_Toc224818935" w:history="1">
        <w:r w:rsidRPr="00FC437C">
          <w:rPr>
            <w:rStyle w:val="Hyperlink"/>
          </w:rPr>
          <w:t>Subchapter F.</w:t>
        </w:r>
        <w:r>
          <w:rPr>
            <w:rFonts w:asciiTheme="minorHAnsi" w:eastAsiaTheme="minorEastAsia" w:hAnsiTheme="minorHAnsi" w:cstheme="minorBidi"/>
            <w:kern w:val="2"/>
            <w:szCs w:val="24"/>
            <w14:ligatures w14:val="standardContextual"/>
          </w:rPr>
          <w:tab/>
        </w:r>
        <w:r w:rsidRPr="00FC437C">
          <w:rPr>
            <w:rStyle w:val="Hyperlink"/>
          </w:rPr>
          <w:t>Emerald Ash Borer Quarantine</w:t>
        </w:r>
        <w:r>
          <w:rPr>
            <w:webHidden/>
          </w:rPr>
          <w:tab/>
        </w:r>
        <w:r>
          <w:rPr>
            <w:webHidden/>
          </w:rPr>
          <w:fldChar w:fldCharType="begin"/>
        </w:r>
        <w:r>
          <w:rPr>
            <w:webHidden/>
          </w:rPr>
          <w:instrText xml:space="preserve"> PAGEREF _Toc224818935 \h </w:instrText>
        </w:r>
        <w:r>
          <w:rPr>
            <w:webHidden/>
          </w:rPr>
        </w:r>
        <w:r>
          <w:rPr>
            <w:webHidden/>
          </w:rPr>
          <w:fldChar w:fldCharType="separate"/>
        </w:r>
        <w:r w:rsidR="00AA17AB">
          <w:rPr>
            <w:webHidden/>
          </w:rPr>
          <w:t>177</w:t>
        </w:r>
        <w:r>
          <w:rPr>
            <w:webHidden/>
          </w:rPr>
          <w:fldChar w:fldCharType="end"/>
        </w:r>
      </w:hyperlink>
    </w:p>
    <w:p w14:paraId="354536B8" w14:textId="307B699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6" w:history="1">
        <w:r w:rsidRPr="00FC437C">
          <w:rPr>
            <w:rStyle w:val="Hyperlink"/>
          </w:rPr>
          <w:t>§167.</w:t>
        </w:r>
        <w:r>
          <w:rPr>
            <w:rFonts w:asciiTheme="minorHAnsi" w:eastAsiaTheme="minorEastAsia" w:hAnsiTheme="minorHAnsi" w:cstheme="minorBidi"/>
            <w:color w:val="auto"/>
            <w:kern w:val="2"/>
            <w:szCs w:val="24"/>
            <w14:ligatures w14:val="standardContextual"/>
          </w:rPr>
          <w:tab/>
        </w:r>
        <w:r w:rsidRPr="00FC437C">
          <w:rPr>
            <w:rStyle w:val="Hyperlink"/>
          </w:rPr>
          <w:t>Emerald Ash Borer Quarantine</w:t>
        </w:r>
        <w:r>
          <w:rPr>
            <w:webHidden/>
          </w:rPr>
          <w:tab/>
        </w:r>
        <w:r>
          <w:rPr>
            <w:webHidden/>
          </w:rPr>
          <w:fldChar w:fldCharType="begin"/>
        </w:r>
        <w:r>
          <w:rPr>
            <w:webHidden/>
          </w:rPr>
          <w:instrText xml:space="preserve"> PAGEREF _Toc224818936 \h </w:instrText>
        </w:r>
        <w:r>
          <w:rPr>
            <w:webHidden/>
          </w:rPr>
        </w:r>
        <w:r>
          <w:rPr>
            <w:webHidden/>
          </w:rPr>
          <w:fldChar w:fldCharType="separate"/>
        </w:r>
        <w:r w:rsidR="00AA17AB">
          <w:rPr>
            <w:webHidden/>
          </w:rPr>
          <w:t>177</w:t>
        </w:r>
        <w:r>
          <w:rPr>
            <w:webHidden/>
          </w:rPr>
          <w:fldChar w:fldCharType="end"/>
        </w:r>
      </w:hyperlink>
    </w:p>
    <w:p w14:paraId="3B50F22F" w14:textId="4606227A" w:rsidR="00E67799" w:rsidRDefault="00E67799">
      <w:pPr>
        <w:pStyle w:val="TOC2"/>
        <w:rPr>
          <w:rFonts w:asciiTheme="minorHAnsi" w:eastAsiaTheme="minorEastAsia" w:hAnsiTheme="minorHAnsi" w:cstheme="minorBidi"/>
          <w:kern w:val="2"/>
          <w:szCs w:val="24"/>
          <w14:ligatures w14:val="standardContextual"/>
        </w:rPr>
      </w:pPr>
      <w:hyperlink w:anchor="_Toc224818937" w:history="1">
        <w:r w:rsidRPr="00FC437C">
          <w:rPr>
            <w:rStyle w:val="Hyperlink"/>
          </w:rPr>
          <w:t>Subchapter G.</w:t>
        </w:r>
        <w:r>
          <w:rPr>
            <w:rFonts w:asciiTheme="minorHAnsi" w:eastAsiaTheme="minorEastAsia" w:hAnsiTheme="minorHAnsi" w:cstheme="minorBidi"/>
            <w:kern w:val="2"/>
            <w:szCs w:val="24"/>
            <w14:ligatures w14:val="standardContextual"/>
          </w:rPr>
          <w:tab/>
        </w:r>
        <w:r w:rsidRPr="00FC437C">
          <w:rPr>
            <w:rStyle w:val="Hyperlink"/>
          </w:rPr>
          <w:t>Roseau Cane Scale Quarantine</w:t>
        </w:r>
        <w:r>
          <w:rPr>
            <w:webHidden/>
          </w:rPr>
          <w:tab/>
        </w:r>
        <w:r>
          <w:rPr>
            <w:webHidden/>
          </w:rPr>
          <w:fldChar w:fldCharType="begin"/>
        </w:r>
        <w:r>
          <w:rPr>
            <w:webHidden/>
          </w:rPr>
          <w:instrText xml:space="preserve"> PAGEREF _Toc224818937 \h </w:instrText>
        </w:r>
        <w:r>
          <w:rPr>
            <w:webHidden/>
          </w:rPr>
        </w:r>
        <w:r>
          <w:rPr>
            <w:webHidden/>
          </w:rPr>
          <w:fldChar w:fldCharType="separate"/>
        </w:r>
        <w:r w:rsidR="00AA17AB">
          <w:rPr>
            <w:webHidden/>
          </w:rPr>
          <w:t>178</w:t>
        </w:r>
        <w:r>
          <w:rPr>
            <w:webHidden/>
          </w:rPr>
          <w:fldChar w:fldCharType="end"/>
        </w:r>
      </w:hyperlink>
    </w:p>
    <w:p w14:paraId="2B67B78A" w14:textId="72100CD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38" w:history="1">
        <w:r w:rsidRPr="00FC437C">
          <w:rPr>
            <w:rStyle w:val="Hyperlink"/>
          </w:rPr>
          <w:t>§169.</w:t>
        </w:r>
        <w:r>
          <w:rPr>
            <w:rFonts w:asciiTheme="minorHAnsi" w:eastAsiaTheme="minorEastAsia" w:hAnsiTheme="minorHAnsi" w:cstheme="minorBidi"/>
            <w:color w:val="auto"/>
            <w:kern w:val="2"/>
            <w:szCs w:val="24"/>
            <w14:ligatures w14:val="standardContextual"/>
          </w:rPr>
          <w:tab/>
        </w:r>
        <w:r w:rsidRPr="00FC437C">
          <w:rPr>
            <w:rStyle w:val="Hyperlink"/>
          </w:rPr>
          <w:t>Roseau Cane Scale Quarantine</w:t>
        </w:r>
        <w:r>
          <w:rPr>
            <w:webHidden/>
          </w:rPr>
          <w:tab/>
        </w:r>
        <w:r>
          <w:rPr>
            <w:webHidden/>
          </w:rPr>
          <w:fldChar w:fldCharType="begin"/>
        </w:r>
        <w:r>
          <w:rPr>
            <w:webHidden/>
          </w:rPr>
          <w:instrText xml:space="preserve"> PAGEREF _Toc224818938 \h </w:instrText>
        </w:r>
        <w:r>
          <w:rPr>
            <w:webHidden/>
          </w:rPr>
        </w:r>
        <w:r>
          <w:rPr>
            <w:webHidden/>
          </w:rPr>
          <w:fldChar w:fldCharType="separate"/>
        </w:r>
        <w:r w:rsidR="00AA17AB">
          <w:rPr>
            <w:webHidden/>
          </w:rPr>
          <w:t>178</w:t>
        </w:r>
        <w:r>
          <w:rPr>
            <w:webHidden/>
          </w:rPr>
          <w:fldChar w:fldCharType="end"/>
        </w:r>
      </w:hyperlink>
    </w:p>
    <w:p w14:paraId="44F8E108" w14:textId="10A6BA45" w:rsidR="00E67799" w:rsidRDefault="00E67799">
      <w:pPr>
        <w:pStyle w:val="TOC2"/>
        <w:rPr>
          <w:rFonts w:asciiTheme="minorHAnsi" w:eastAsiaTheme="minorEastAsia" w:hAnsiTheme="minorHAnsi" w:cstheme="minorBidi"/>
          <w:kern w:val="2"/>
          <w:szCs w:val="24"/>
          <w14:ligatures w14:val="standardContextual"/>
        </w:rPr>
      </w:pPr>
      <w:hyperlink w:anchor="_Toc224818939" w:history="1">
        <w:r w:rsidRPr="00FC437C">
          <w:rPr>
            <w:rStyle w:val="Hyperlink"/>
          </w:rPr>
          <w:t>Subchapter H.</w:t>
        </w:r>
        <w:r>
          <w:rPr>
            <w:rFonts w:asciiTheme="minorHAnsi" w:eastAsiaTheme="minorEastAsia" w:hAnsiTheme="minorHAnsi" w:cstheme="minorBidi"/>
            <w:kern w:val="2"/>
            <w:szCs w:val="24"/>
            <w14:ligatures w14:val="standardContextual"/>
          </w:rPr>
          <w:tab/>
        </w:r>
        <w:r w:rsidRPr="00FC437C">
          <w:rPr>
            <w:rStyle w:val="Hyperlink"/>
          </w:rPr>
          <w:t>Guava Root Knot Nematode Quarantine</w:t>
        </w:r>
        <w:r>
          <w:rPr>
            <w:webHidden/>
          </w:rPr>
          <w:tab/>
        </w:r>
        <w:r>
          <w:rPr>
            <w:webHidden/>
          </w:rPr>
          <w:fldChar w:fldCharType="begin"/>
        </w:r>
        <w:r>
          <w:rPr>
            <w:webHidden/>
          </w:rPr>
          <w:instrText xml:space="preserve"> PAGEREF _Toc224818939 \h </w:instrText>
        </w:r>
        <w:r>
          <w:rPr>
            <w:webHidden/>
          </w:rPr>
        </w:r>
        <w:r>
          <w:rPr>
            <w:webHidden/>
          </w:rPr>
          <w:fldChar w:fldCharType="separate"/>
        </w:r>
        <w:r w:rsidR="00AA17AB">
          <w:rPr>
            <w:webHidden/>
          </w:rPr>
          <w:t>179</w:t>
        </w:r>
        <w:r>
          <w:rPr>
            <w:webHidden/>
          </w:rPr>
          <w:fldChar w:fldCharType="end"/>
        </w:r>
      </w:hyperlink>
    </w:p>
    <w:p w14:paraId="1ADDB6B7" w14:textId="510AB19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0" w:history="1">
        <w:r w:rsidRPr="00FC437C">
          <w:rPr>
            <w:rStyle w:val="Hyperlink"/>
          </w:rPr>
          <w:t>§171.</w:t>
        </w:r>
        <w:r>
          <w:rPr>
            <w:rFonts w:asciiTheme="minorHAnsi" w:eastAsiaTheme="minorEastAsia" w:hAnsiTheme="minorHAnsi" w:cstheme="minorBidi"/>
            <w:color w:val="auto"/>
            <w:kern w:val="2"/>
            <w:szCs w:val="24"/>
            <w14:ligatures w14:val="standardContextual"/>
          </w:rPr>
          <w:tab/>
        </w:r>
        <w:r w:rsidRPr="00FC437C">
          <w:rPr>
            <w:rStyle w:val="Hyperlink"/>
          </w:rPr>
          <w:t>Guava Root Knot Nematode Quarantine</w:t>
        </w:r>
        <w:r>
          <w:rPr>
            <w:webHidden/>
          </w:rPr>
          <w:tab/>
        </w:r>
        <w:r>
          <w:rPr>
            <w:webHidden/>
          </w:rPr>
          <w:fldChar w:fldCharType="begin"/>
        </w:r>
        <w:r>
          <w:rPr>
            <w:webHidden/>
          </w:rPr>
          <w:instrText xml:space="preserve"> PAGEREF _Toc224818940 \h </w:instrText>
        </w:r>
        <w:r>
          <w:rPr>
            <w:webHidden/>
          </w:rPr>
        </w:r>
        <w:r>
          <w:rPr>
            <w:webHidden/>
          </w:rPr>
          <w:fldChar w:fldCharType="separate"/>
        </w:r>
        <w:r w:rsidR="00AA17AB">
          <w:rPr>
            <w:webHidden/>
          </w:rPr>
          <w:t>179</w:t>
        </w:r>
        <w:r>
          <w:rPr>
            <w:webHidden/>
          </w:rPr>
          <w:fldChar w:fldCharType="end"/>
        </w:r>
      </w:hyperlink>
    </w:p>
    <w:p w14:paraId="46B756E8" w14:textId="3E80D56A" w:rsidR="00E67799" w:rsidRDefault="00E67799">
      <w:pPr>
        <w:pStyle w:val="TOC2"/>
        <w:rPr>
          <w:rFonts w:asciiTheme="minorHAnsi" w:eastAsiaTheme="minorEastAsia" w:hAnsiTheme="minorHAnsi" w:cstheme="minorBidi"/>
          <w:kern w:val="2"/>
          <w:szCs w:val="24"/>
          <w14:ligatures w14:val="standardContextual"/>
        </w:rPr>
      </w:pPr>
      <w:hyperlink w:anchor="_Toc224818941" w:history="1">
        <w:r w:rsidRPr="00FC437C">
          <w:rPr>
            <w:rStyle w:val="Hyperlink"/>
          </w:rPr>
          <w:t>Subchapter I.</w:t>
        </w:r>
        <w:r>
          <w:rPr>
            <w:rFonts w:asciiTheme="minorHAnsi" w:eastAsiaTheme="minorEastAsia" w:hAnsiTheme="minorHAnsi" w:cstheme="minorBidi"/>
            <w:kern w:val="2"/>
            <w:szCs w:val="24"/>
            <w14:ligatures w14:val="standardContextual"/>
          </w:rPr>
          <w:tab/>
        </w:r>
        <w:r w:rsidRPr="00FC437C">
          <w:rPr>
            <w:rStyle w:val="Hyperlink"/>
          </w:rPr>
          <w:t>Lethal Bronzing and Lethal Yellowing Quarantine</w:t>
        </w:r>
        <w:r>
          <w:rPr>
            <w:webHidden/>
          </w:rPr>
          <w:tab/>
        </w:r>
        <w:r>
          <w:rPr>
            <w:webHidden/>
          </w:rPr>
          <w:fldChar w:fldCharType="begin"/>
        </w:r>
        <w:r>
          <w:rPr>
            <w:webHidden/>
          </w:rPr>
          <w:instrText xml:space="preserve"> PAGEREF _Toc224818941 \h </w:instrText>
        </w:r>
        <w:r>
          <w:rPr>
            <w:webHidden/>
          </w:rPr>
        </w:r>
        <w:r>
          <w:rPr>
            <w:webHidden/>
          </w:rPr>
          <w:fldChar w:fldCharType="separate"/>
        </w:r>
        <w:r w:rsidR="00AA17AB">
          <w:rPr>
            <w:webHidden/>
          </w:rPr>
          <w:t>180</w:t>
        </w:r>
        <w:r>
          <w:rPr>
            <w:webHidden/>
          </w:rPr>
          <w:fldChar w:fldCharType="end"/>
        </w:r>
      </w:hyperlink>
    </w:p>
    <w:p w14:paraId="028DE69D" w14:textId="50FAD21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2" w:history="1">
        <w:r w:rsidRPr="00FC437C">
          <w:rPr>
            <w:rStyle w:val="Hyperlink"/>
          </w:rPr>
          <w:t>§173.</w:t>
        </w:r>
        <w:r>
          <w:rPr>
            <w:rFonts w:asciiTheme="minorHAnsi" w:eastAsiaTheme="minorEastAsia" w:hAnsiTheme="minorHAnsi" w:cstheme="minorBidi"/>
            <w:color w:val="auto"/>
            <w:kern w:val="2"/>
            <w:szCs w:val="24"/>
            <w14:ligatures w14:val="standardContextual"/>
          </w:rPr>
          <w:tab/>
        </w:r>
        <w:r w:rsidRPr="00FC437C">
          <w:rPr>
            <w:rStyle w:val="Hyperlink"/>
          </w:rPr>
          <w:t>Lethal Bronzing Quarantine</w:t>
        </w:r>
        <w:r>
          <w:rPr>
            <w:webHidden/>
          </w:rPr>
          <w:tab/>
        </w:r>
        <w:r>
          <w:rPr>
            <w:webHidden/>
          </w:rPr>
          <w:fldChar w:fldCharType="begin"/>
        </w:r>
        <w:r>
          <w:rPr>
            <w:webHidden/>
          </w:rPr>
          <w:instrText xml:space="preserve"> PAGEREF _Toc224818942 \h </w:instrText>
        </w:r>
        <w:r>
          <w:rPr>
            <w:webHidden/>
          </w:rPr>
        </w:r>
        <w:r>
          <w:rPr>
            <w:webHidden/>
          </w:rPr>
          <w:fldChar w:fldCharType="separate"/>
        </w:r>
        <w:r w:rsidR="00AA17AB">
          <w:rPr>
            <w:webHidden/>
          </w:rPr>
          <w:t>180</w:t>
        </w:r>
        <w:r>
          <w:rPr>
            <w:webHidden/>
          </w:rPr>
          <w:fldChar w:fldCharType="end"/>
        </w:r>
      </w:hyperlink>
    </w:p>
    <w:p w14:paraId="18D4D0D5" w14:textId="6AD3E2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3" w:history="1">
        <w:r w:rsidRPr="00FC437C">
          <w:rPr>
            <w:rStyle w:val="Hyperlink"/>
          </w:rPr>
          <w:t>§175.</w:t>
        </w:r>
        <w:r>
          <w:rPr>
            <w:rFonts w:asciiTheme="minorHAnsi" w:eastAsiaTheme="minorEastAsia" w:hAnsiTheme="minorHAnsi" w:cstheme="minorBidi"/>
            <w:color w:val="auto"/>
            <w:kern w:val="2"/>
            <w:szCs w:val="24"/>
            <w14:ligatures w14:val="standardContextual"/>
          </w:rPr>
          <w:tab/>
        </w:r>
        <w:r w:rsidRPr="00FC437C">
          <w:rPr>
            <w:rStyle w:val="Hyperlink"/>
          </w:rPr>
          <w:t>Lethal Yellowing Quarantine</w:t>
        </w:r>
        <w:r>
          <w:rPr>
            <w:webHidden/>
          </w:rPr>
          <w:tab/>
        </w:r>
        <w:r>
          <w:rPr>
            <w:webHidden/>
          </w:rPr>
          <w:fldChar w:fldCharType="begin"/>
        </w:r>
        <w:r>
          <w:rPr>
            <w:webHidden/>
          </w:rPr>
          <w:instrText xml:space="preserve"> PAGEREF _Toc224818943 \h </w:instrText>
        </w:r>
        <w:r>
          <w:rPr>
            <w:webHidden/>
          </w:rPr>
        </w:r>
        <w:r>
          <w:rPr>
            <w:webHidden/>
          </w:rPr>
          <w:fldChar w:fldCharType="separate"/>
        </w:r>
        <w:r w:rsidR="00AA17AB">
          <w:rPr>
            <w:webHidden/>
          </w:rPr>
          <w:t>180</w:t>
        </w:r>
        <w:r>
          <w:rPr>
            <w:webHidden/>
          </w:rPr>
          <w:fldChar w:fldCharType="end"/>
        </w:r>
      </w:hyperlink>
    </w:p>
    <w:p w14:paraId="375C2CE9" w14:textId="3FC034D5" w:rsidR="00E67799" w:rsidRDefault="00E67799">
      <w:pPr>
        <w:pStyle w:val="TOC2"/>
        <w:rPr>
          <w:rFonts w:asciiTheme="minorHAnsi" w:eastAsiaTheme="minorEastAsia" w:hAnsiTheme="minorHAnsi" w:cstheme="minorBidi"/>
          <w:kern w:val="2"/>
          <w:szCs w:val="24"/>
          <w14:ligatures w14:val="standardContextual"/>
        </w:rPr>
      </w:pPr>
      <w:hyperlink w:anchor="_Toc224818944"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Boll Weevil</w:t>
        </w:r>
        <w:r>
          <w:rPr>
            <w:webHidden/>
          </w:rPr>
          <w:tab/>
        </w:r>
        <w:r>
          <w:rPr>
            <w:webHidden/>
          </w:rPr>
          <w:fldChar w:fldCharType="begin"/>
        </w:r>
        <w:r>
          <w:rPr>
            <w:webHidden/>
          </w:rPr>
          <w:instrText xml:space="preserve"> PAGEREF _Toc224818944 \h </w:instrText>
        </w:r>
        <w:r>
          <w:rPr>
            <w:webHidden/>
          </w:rPr>
        </w:r>
        <w:r>
          <w:rPr>
            <w:webHidden/>
          </w:rPr>
          <w:fldChar w:fldCharType="separate"/>
        </w:r>
        <w:r w:rsidR="00AA17AB">
          <w:rPr>
            <w:webHidden/>
          </w:rPr>
          <w:t>181</w:t>
        </w:r>
        <w:r>
          <w:rPr>
            <w:webHidden/>
          </w:rPr>
          <w:fldChar w:fldCharType="end"/>
        </w:r>
      </w:hyperlink>
    </w:p>
    <w:p w14:paraId="6633B398" w14:textId="5E0F10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5"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Maintenance Inspection Fee</w:t>
        </w:r>
        <w:r>
          <w:rPr>
            <w:webHidden/>
          </w:rPr>
          <w:tab/>
        </w:r>
        <w:r>
          <w:rPr>
            <w:webHidden/>
          </w:rPr>
          <w:fldChar w:fldCharType="begin"/>
        </w:r>
        <w:r>
          <w:rPr>
            <w:webHidden/>
          </w:rPr>
          <w:instrText xml:space="preserve"> PAGEREF _Toc224818945 \h </w:instrText>
        </w:r>
        <w:r>
          <w:rPr>
            <w:webHidden/>
          </w:rPr>
        </w:r>
        <w:r>
          <w:rPr>
            <w:webHidden/>
          </w:rPr>
          <w:fldChar w:fldCharType="separate"/>
        </w:r>
        <w:r w:rsidR="00AA17AB">
          <w:rPr>
            <w:webHidden/>
          </w:rPr>
          <w:t>181</w:t>
        </w:r>
        <w:r>
          <w:rPr>
            <w:webHidden/>
          </w:rPr>
          <w:fldChar w:fldCharType="end"/>
        </w:r>
      </w:hyperlink>
    </w:p>
    <w:p w14:paraId="687DBCF6" w14:textId="4C8838A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6"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Definitions Applicable to Boll Weevil</w:t>
        </w:r>
        <w:r>
          <w:rPr>
            <w:webHidden/>
          </w:rPr>
          <w:tab/>
        </w:r>
        <w:r>
          <w:rPr>
            <w:webHidden/>
          </w:rPr>
          <w:fldChar w:fldCharType="begin"/>
        </w:r>
        <w:r>
          <w:rPr>
            <w:webHidden/>
          </w:rPr>
          <w:instrText xml:space="preserve"> PAGEREF _Toc224818946 \h </w:instrText>
        </w:r>
        <w:r>
          <w:rPr>
            <w:webHidden/>
          </w:rPr>
        </w:r>
        <w:r>
          <w:rPr>
            <w:webHidden/>
          </w:rPr>
          <w:fldChar w:fldCharType="separate"/>
        </w:r>
        <w:r w:rsidR="00AA17AB">
          <w:rPr>
            <w:webHidden/>
          </w:rPr>
          <w:t>181</w:t>
        </w:r>
        <w:r>
          <w:rPr>
            <w:webHidden/>
          </w:rPr>
          <w:fldChar w:fldCharType="end"/>
        </w:r>
      </w:hyperlink>
    </w:p>
    <w:p w14:paraId="3AC7150A" w14:textId="799C3B1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7"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Regulated Articles</w:t>
        </w:r>
        <w:r>
          <w:rPr>
            <w:webHidden/>
          </w:rPr>
          <w:tab/>
        </w:r>
        <w:r>
          <w:rPr>
            <w:webHidden/>
          </w:rPr>
          <w:fldChar w:fldCharType="begin"/>
        </w:r>
        <w:r>
          <w:rPr>
            <w:webHidden/>
          </w:rPr>
          <w:instrText xml:space="preserve"> PAGEREF _Toc224818947 \h </w:instrText>
        </w:r>
        <w:r>
          <w:rPr>
            <w:webHidden/>
          </w:rPr>
        </w:r>
        <w:r>
          <w:rPr>
            <w:webHidden/>
          </w:rPr>
          <w:fldChar w:fldCharType="separate"/>
        </w:r>
        <w:r w:rsidR="00AA17AB">
          <w:rPr>
            <w:webHidden/>
          </w:rPr>
          <w:t>181</w:t>
        </w:r>
        <w:r>
          <w:rPr>
            <w:webHidden/>
          </w:rPr>
          <w:fldChar w:fldCharType="end"/>
        </w:r>
      </w:hyperlink>
    </w:p>
    <w:p w14:paraId="027EFB26" w14:textId="44AF390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8"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Conditions Governing Movement and Handling of Regulated Articles</w:t>
        </w:r>
        <w:r>
          <w:rPr>
            <w:webHidden/>
          </w:rPr>
          <w:tab/>
        </w:r>
        <w:r>
          <w:rPr>
            <w:webHidden/>
          </w:rPr>
          <w:fldChar w:fldCharType="begin"/>
        </w:r>
        <w:r>
          <w:rPr>
            <w:webHidden/>
          </w:rPr>
          <w:instrText xml:space="preserve"> PAGEREF _Toc224818948 \h </w:instrText>
        </w:r>
        <w:r>
          <w:rPr>
            <w:webHidden/>
          </w:rPr>
        </w:r>
        <w:r>
          <w:rPr>
            <w:webHidden/>
          </w:rPr>
          <w:fldChar w:fldCharType="separate"/>
        </w:r>
        <w:r w:rsidR="00AA17AB">
          <w:rPr>
            <w:webHidden/>
          </w:rPr>
          <w:t>182</w:t>
        </w:r>
        <w:r>
          <w:rPr>
            <w:webHidden/>
          </w:rPr>
          <w:fldChar w:fldCharType="end"/>
        </w:r>
      </w:hyperlink>
    </w:p>
    <w:p w14:paraId="5C75A477" w14:textId="66E5939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49"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Compliance Agreements</w:t>
        </w:r>
        <w:r>
          <w:rPr>
            <w:webHidden/>
          </w:rPr>
          <w:tab/>
        </w:r>
        <w:r>
          <w:rPr>
            <w:webHidden/>
          </w:rPr>
          <w:fldChar w:fldCharType="begin"/>
        </w:r>
        <w:r>
          <w:rPr>
            <w:webHidden/>
          </w:rPr>
          <w:instrText xml:space="preserve"> PAGEREF _Toc224818949 \h </w:instrText>
        </w:r>
        <w:r>
          <w:rPr>
            <w:webHidden/>
          </w:rPr>
        </w:r>
        <w:r>
          <w:rPr>
            <w:webHidden/>
          </w:rPr>
          <w:fldChar w:fldCharType="separate"/>
        </w:r>
        <w:r w:rsidR="00AA17AB">
          <w:rPr>
            <w:webHidden/>
          </w:rPr>
          <w:t>182</w:t>
        </w:r>
        <w:r>
          <w:rPr>
            <w:webHidden/>
          </w:rPr>
          <w:fldChar w:fldCharType="end"/>
        </w:r>
      </w:hyperlink>
    </w:p>
    <w:p w14:paraId="283343E6" w14:textId="13AE00B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0" w:history="1">
        <w:r w:rsidRPr="00FC437C">
          <w:rPr>
            <w:rStyle w:val="Hyperlink"/>
          </w:rPr>
          <w:t>§311.</w:t>
        </w:r>
        <w:r>
          <w:rPr>
            <w:rFonts w:asciiTheme="minorHAnsi" w:eastAsiaTheme="minorEastAsia" w:hAnsiTheme="minorHAnsi" w:cstheme="minorBidi"/>
            <w:color w:val="auto"/>
            <w:kern w:val="2"/>
            <w:szCs w:val="24"/>
            <w14:ligatures w14:val="standardContextual"/>
          </w:rPr>
          <w:tab/>
        </w:r>
        <w:r w:rsidRPr="00FC437C">
          <w:rPr>
            <w:rStyle w:val="Hyperlink"/>
          </w:rPr>
          <w:t>Inspection, Movement and Enforcement</w:t>
        </w:r>
        <w:r>
          <w:rPr>
            <w:webHidden/>
          </w:rPr>
          <w:tab/>
        </w:r>
        <w:r>
          <w:rPr>
            <w:webHidden/>
          </w:rPr>
          <w:fldChar w:fldCharType="begin"/>
        </w:r>
        <w:r>
          <w:rPr>
            <w:webHidden/>
          </w:rPr>
          <w:instrText xml:space="preserve"> PAGEREF _Toc224818950 \h </w:instrText>
        </w:r>
        <w:r>
          <w:rPr>
            <w:webHidden/>
          </w:rPr>
        </w:r>
        <w:r>
          <w:rPr>
            <w:webHidden/>
          </w:rPr>
          <w:fldChar w:fldCharType="separate"/>
        </w:r>
        <w:r w:rsidR="00AA17AB">
          <w:rPr>
            <w:webHidden/>
          </w:rPr>
          <w:t>182</w:t>
        </w:r>
        <w:r>
          <w:rPr>
            <w:webHidden/>
          </w:rPr>
          <w:fldChar w:fldCharType="end"/>
        </w:r>
      </w:hyperlink>
    </w:p>
    <w:p w14:paraId="51C090CA" w14:textId="63FD75E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1" w:history="1">
        <w:r w:rsidRPr="00FC437C">
          <w:rPr>
            <w:rStyle w:val="Hyperlink"/>
          </w:rPr>
          <w:t>§313.</w:t>
        </w:r>
        <w:r>
          <w:rPr>
            <w:rFonts w:asciiTheme="minorHAnsi" w:eastAsiaTheme="minorEastAsia" w:hAnsiTheme="minorHAnsi" w:cstheme="minorBidi"/>
            <w:color w:val="auto"/>
            <w:kern w:val="2"/>
            <w:szCs w:val="24"/>
            <w14:ligatures w14:val="standardContextual"/>
          </w:rPr>
          <w:tab/>
        </w:r>
        <w:r w:rsidRPr="00FC437C">
          <w:rPr>
            <w:rStyle w:val="Hyperlink"/>
          </w:rPr>
          <w:t>Purchase and Destruction of Cotton to Effectuate Program Objectives</w:t>
        </w:r>
        <w:r>
          <w:rPr>
            <w:webHidden/>
          </w:rPr>
          <w:tab/>
        </w:r>
        <w:r>
          <w:rPr>
            <w:webHidden/>
          </w:rPr>
          <w:fldChar w:fldCharType="begin"/>
        </w:r>
        <w:r>
          <w:rPr>
            <w:webHidden/>
          </w:rPr>
          <w:instrText xml:space="preserve"> PAGEREF _Toc224818951 \h </w:instrText>
        </w:r>
        <w:r>
          <w:rPr>
            <w:webHidden/>
          </w:rPr>
        </w:r>
        <w:r>
          <w:rPr>
            <w:webHidden/>
          </w:rPr>
          <w:fldChar w:fldCharType="separate"/>
        </w:r>
        <w:r w:rsidR="00AA17AB">
          <w:rPr>
            <w:webHidden/>
          </w:rPr>
          <w:t>183</w:t>
        </w:r>
        <w:r>
          <w:rPr>
            <w:webHidden/>
          </w:rPr>
          <w:fldChar w:fldCharType="end"/>
        </w:r>
      </w:hyperlink>
    </w:p>
    <w:p w14:paraId="637F8519" w14:textId="081D0E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2" w:history="1">
        <w:r w:rsidRPr="00FC437C">
          <w:rPr>
            <w:rStyle w:val="Hyperlink"/>
          </w:rPr>
          <w:t>§314.</w:t>
        </w:r>
        <w:r>
          <w:rPr>
            <w:rFonts w:asciiTheme="minorHAnsi" w:eastAsiaTheme="minorEastAsia" w:hAnsiTheme="minorHAnsi" w:cstheme="minorBidi"/>
            <w:color w:val="auto"/>
            <w:kern w:val="2"/>
            <w:szCs w:val="24"/>
            <w14:ligatures w14:val="standardContextual"/>
          </w:rPr>
          <w:tab/>
        </w:r>
        <w:r w:rsidRPr="00FC437C">
          <w:rPr>
            <w:rStyle w:val="Hyperlink"/>
          </w:rPr>
          <w:t>Boll Weevil Eradication Zone: Creation</w:t>
        </w:r>
        <w:r>
          <w:rPr>
            <w:webHidden/>
          </w:rPr>
          <w:tab/>
        </w:r>
        <w:r>
          <w:rPr>
            <w:webHidden/>
          </w:rPr>
          <w:fldChar w:fldCharType="begin"/>
        </w:r>
        <w:r>
          <w:rPr>
            <w:webHidden/>
          </w:rPr>
          <w:instrText xml:space="preserve"> PAGEREF _Toc224818952 \h </w:instrText>
        </w:r>
        <w:r>
          <w:rPr>
            <w:webHidden/>
          </w:rPr>
        </w:r>
        <w:r>
          <w:rPr>
            <w:webHidden/>
          </w:rPr>
          <w:fldChar w:fldCharType="separate"/>
        </w:r>
        <w:r w:rsidR="00AA17AB">
          <w:rPr>
            <w:webHidden/>
          </w:rPr>
          <w:t>183</w:t>
        </w:r>
        <w:r>
          <w:rPr>
            <w:webHidden/>
          </w:rPr>
          <w:fldChar w:fldCharType="end"/>
        </w:r>
      </w:hyperlink>
    </w:p>
    <w:p w14:paraId="2E22099E" w14:textId="31101C7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3" w:history="1">
        <w:r w:rsidRPr="00FC437C">
          <w:rPr>
            <w:rStyle w:val="Hyperlink"/>
          </w:rPr>
          <w:t>§315.</w:t>
        </w:r>
        <w:r>
          <w:rPr>
            <w:rFonts w:asciiTheme="minorHAnsi" w:eastAsiaTheme="minorEastAsia" w:hAnsiTheme="minorHAnsi" w:cstheme="minorBidi"/>
            <w:color w:val="auto"/>
            <w:kern w:val="2"/>
            <w:szCs w:val="24"/>
            <w14:ligatures w14:val="standardContextual"/>
          </w:rPr>
          <w:tab/>
        </w:r>
        <w:r w:rsidRPr="00FC437C">
          <w:rPr>
            <w:rStyle w:val="Hyperlink"/>
          </w:rPr>
          <w:t>Quarantine: Authority and Procedures</w:t>
        </w:r>
        <w:r>
          <w:rPr>
            <w:webHidden/>
          </w:rPr>
          <w:tab/>
        </w:r>
        <w:r>
          <w:rPr>
            <w:webHidden/>
          </w:rPr>
          <w:fldChar w:fldCharType="begin"/>
        </w:r>
        <w:r>
          <w:rPr>
            <w:webHidden/>
          </w:rPr>
          <w:instrText xml:space="preserve"> PAGEREF _Toc224818953 \h </w:instrText>
        </w:r>
        <w:r>
          <w:rPr>
            <w:webHidden/>
          </w:rPr>
        </w:r>
        <w:r>
          <w:rPr>
            <w:webHidden/>
          </w:rPr>
          <w:fldChar w:fldCharType="separate"/>
        </w:r>
        <w:r w:rsidR="00AA17AB">
          <w:rPr>
            <w:webHidden/>
          </w:rPr>
          <w:t>183</w:t>
        </w:r>
        <w:r>
          <w:rPr>
            <w:webHidden/>
          </w:rPr>
          <w:fldChar w:fldCharType="end"/>
        </w:r>
      </w:hyperlink>
    </w:p>
    <w:p w14:paraId="6AD7BDB3" w14:textId="66ED9C7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4" w:history="1">
        <w:r w:rsidRPr="00FC437C">
          <w:rPr>
            <w:rStyle w:val="Hyperlink"/>
          </w:rPr>
          <w:t>§317.</w:t>
        </w:r>
        <w:r>
          <w:rPr>
            <w:rFonts w:asciiTheme="minorHAnsi" w:eastAsiaTheme="minorEastAsia" w:hAnsiTheme="minorHAnsi" w:cstheme="minorBidi"/>
            <w:color w:val="auto"/>
            <w:kern w:val="2"/>
            <w:szCs w:val="24"/>
            <w14:ligatures w14:val="standardContextual"/>
          </w:rPr>
          <w:tab/>
        </w:r>
        <w:r w:rsidRPr="00FC437C">
          <w:rPr>
            <w:rStyle w:val="Hyperlink"/>
          </w:rPr>
          <w:t>Aiding and Abetting</w:t>
        </w:r>
        <w:r>
          <w:rPr>
            <w:webHidden/>
          </w:rPr>
          <w:tab/>
        </w:r>
        <w:r>
          <w:rPr>
            <w:webHidden/>
          </w:rPr>
          <w:fldChar w:fldCharType="begin"/>
        </w:r>
        <w:r>
          <w:rPr>
            <w:webHidden/>
          </w:rPr>
          <w:instrText xml:space="preserve"> PAGEREF _Toc224818954 \h </w:instrText>
        </w:r>
        <w:r>
          <w:rPr>
            <w:webHidden/>
          </w:rPr>
        </w:r>
        <w:r>
          <w:rPr>
            <w:webHidden/>
          </w:rPr>
          <w:fldChar w:fldCharType="separate"/>
        </w:r>
        <w:r w:rsidR="00AA17AB">
          <w:rPr>
            <w:webHidden/>
          </w:rPr>
          <w:t>184</w:t>
        </w:r>
        <w:r>
          <w:rPr>
            <w:webHidden/>
          </w:rPr>
          <w:fldChar w:fldCharType="end"/>
        </w:r>
      </w:hyperlink>
    </w:p>
    <w:p w14:paraId="71956AEB" w14:textId="189355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5" w:history="1">
        <w:r w:rsidRPr="00FC437C">
          <w:rPr>
            <w:rStyle w:val="Hyperlink"/>
          </w:rPr>
          <w:t>§319.</w:t>
        </w:r>
        <w:r>
          <w:rPr>
            <w:rFonts w:asciiTheme="minorHAnsi" w:eastAsiaTheme="minorEastAsia" w:hAnsiTheme="minorHAnsi" w:cstheme="minorBidi"/>
            <w:color w:val="auto"/>
            <w:kern w:val="2"/>
            <w:szCs w:val="24"/>
            <w14:ligatures w14:val="standardContextual"/>
          </w:rPr>
          <w:tab/>
        </w:r>
        <w:r w:rsidRPr="00FC437C">
          <w:rPr>
            <w:rStyle w:val="Hyperlink"/>
          </w:rPr>
          <w:t>Reporting of Cotton Acreage</w:t>
        </w:r>
        <w:r>
          <w:rPr>
            <w:webHidden/>
          </w:rPr>
          <w:tab/>
        </w:r>
        <w:r>
          <w:rPr>
            <w:webHidden/>
          </w:rPr>
          <w:fldChar w:fldCharType="begin"/>
        </w:r>
        <w:r>
          <w:rPr>
            <w:webHidden/>
          </w:rPr>
          <w:instrText xml:space="preserve"> PAGEREF _Toc224818955 \h </w:instrText>
        </w:r>
        <w:r>
          <w:rPr>
            <w:webHidden/>
          </w:rPr>
        </w:r>
        <w:r>
          <w:rPr>
            <w:webHidden/>
          </w:rPr>
          <w:fldChar w:fldCharType="separate"/>
        </w:r>
        <w:r w:rsidR="00AA17AB">
          <w:rPr>
            <w:webHidden/>
          </w:rPr>
          <w:t>184</w:t>
        </w:r>
        <w:r>
          <w:rPr>
            <w:webHidden/>
          </w:rPr>
          <w:fldChar w:fldCharType="end"/>
        </w:r>
      </w:hyperlink>
    </w:p>
    <w:p w14:paraId="0C33B2FC" w14:textId="190EA62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6" w:history="1">
        <w:r w:rsidRPr="00FC437C">
          <w:rPr>
            <w:rStyle w:val="Hyperlink"/>
          </w:rPr>
          <w:t>§321.</w:t>
        </w:r>
        <w:r>
          <w:rPr>
            <w:rFonts w:asciiTheme="minorHAnsi" w:eastAsiaTheme="minorEastAsia" w:hAnsiTheme="minorHAnsi" w:cstheme="minorBidi"/>
            <w:color w:val="auto"/>
            <w:kern w:val="2"/>
            <w:szCs w:val="24"/>
            <w14:ligatures w14:val="standardContextual"/>
          </w:rPr>
          <w:tab/>
        </w:r>
        <w:r w:rsidRPr="00FC437C">
          <w:rPr>
            <w:rStyle w:val="Hyperlink"/>
          </w:rPr>
          <w:t>Maintenance Inspection Fees, Payment and Penalties</w:t>
        </w:r>
        <w:r>
          <w:rPr>
            <w:webHidden/>
          </w:rPr>
          <w:tab/>
        </w:r>
        <w:r>
          <w:rPr>
            <w:webHidden/>
          </w:rPr>
          <w:fldChar w:fldCharType="begin"/>
        </w:r>
        <w:r>
          <w:rPr>
            <w:webHidden/>
          </w:rPr>
          <w:instrText xml:space="preserve"> PAGEREF _Toc224818956 \h </w:instrText>
        </w:r>
        <w:r>
          <w:rPr>
            <w:webHidden/>
          </w:rPr>
        </w:r>
        <w:r>
          <w:rPr>
            <w:webHidden/>
          </w:rPr>
          <w:fldChar w:fldCharType="separate"/>
        </w:r>
        <w:r w:rsidR="00AA17AB">
          <w:rPr>
            <w:webHidden/>
          </w:rPr>
          <w:t>184</w:t>
        </w:r>
        <w:r>
          <w:rPr>
            <w:webHidden/>
          </w:rPr>
          <w:fldChar w:fldCharType="end"/>
        </w:r>
      </w:hyperlink>
    </w:p>
    <w:p w14:paraId="36661988" w14:textId="161185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57" w:history="1">
        <w:r w:rsidRPr="00FC437C">
          <w:rPr>
            <w:rStyle w:val="Hyperlink"/>
          </w:rPr>
          <w:t>§323.</w:t>
        </w:r>
        <w:r>
          <w:rPr>
            <w:rFonts w:asciiTheme="minorHAnsi" w:eastAsiaTheme="minorEastAsia" w:hAnsiTheme="minorHAnsi" w:cstheme="minorBidi"/>
            <w:color w:val="auto"/>
            <w:kern w:val="2"/>
            <w:szCs w:val="24"/>
            <w14:ligatures w14:val="standardContextual"/>
          </w:rPr>
          <w:tab/>
        </w:r>
        <w:r w:rsidRPr="00FC437C">
          <w:rPr>
            <w:rStyle w:val="Hyperlink"/>
          </w:rPr>
          <w:t>Program Participation (Formerly §327)</w:t>
        </w:r>
        <w:r>
          <w:rPr>
            <w:webHidden/>
          </w:rPr>
          <w:tab/>
        </w:r>
        <w:r>
          <w:rPr>
            <w:webHidden/>
          </w:rPr>
          <w:fldChar w:fldCharType="begin"/>
        </w:r>
        <w:r>
          <w:rPr>
            <w:webHidden/>
          </w:rPr>
          <w:instrText xml:space="preserve"> PAGEREF _Toc224818957 \h </w:instrText>
        </w:r>
        <w:r>
          <w:rPr>
            <w:webHidden/>
          </w:rPr>
        </w:r>
        <w:r>
          <w:rPr>
            <w:webHidden/>
          </w:rPr>
          <w:fldChar w:fldCharType="separate"/>
        </w:r>
        <w:r w:rsidR="00AA17AB">
          <w:rPr>
            <w:webHidden/>
          </w:rPr>
          <w:t>185</w:t>
        </w:r>
        <w:r>
          <w:rPr>
            <w:webHidden/>
          </w:rPr>
          <w:fldChar w:fldCharType="end"/>
        </w:r>
      </w:hyperlink>
    </w:p>
    <w:p w14:paraId="05EE41CA" w14:textId="45B1F78C" w:rsidR="00E67799" w:rsidRDefault="00E67799" w:rsidP="00676FBC">
      <w:pPr>
        <w:pStyle w:val="TOC2"/>
        <w:rPr>
          <w:rFonts w:asciiTheme="minorHAnsi" w:eastAsiaTheme="minorEastAsia" w:hAnsiTheme="minorHAnsi" w:cstheme="minorBidi"/>
          <w:kern w:val="2"/>
          <w:szCs w:val="24"/>
          <w14:ligatures w14:val="standardContextual"/>
        </w:rPr>
      </w:pPr>
      <w:hyperlink w:anchor="_Toc224818958"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Honey Bees and Apiaries (Formerly LAC 7:XXI.Chapter 25)</w:t>
        </w:r>
        <w:r>
          <w:rPr>
            <w:webHidden/>
          </w:rPr>
          <w:tab/>
        </w:r>
        <w:r>
          <w:rPr>
            <w:webHidden/>
          </w:rPr>
          <w:fldChar w:fldCharType="begin"/>
        </w:r>
        <w:r>
          <w:rPr>
            <w:webHidden/>
          </w:rPr>
          <w:instrText xml:space="preserve"> PAGEREF _Toc224818958 \h </w:instrText>
        </w:r>
        <w:r>
          <w:rPr>
            <w:webHidden/>
          </w:rPr>
        </w:r>
        <w:r>
          <w:rPr>
            <w:webHidden/>
          </w:rPr>
          <w:fldChar w:fldCharType="separate"/>
        </w:r>
        <w:r w:rsidR="00AA17AB">
          <w:rPr>
            <w:webHidden/>
          </w:rPr>
          <w:t>185</w:t>
        </w:r>
        <w:r>
          <w:rPr>
            <w:webHidden/>
          </w:rPr>
          <w:fldChar w:fldCharType="end"/>
        </w:r>
      </w:hyperlink>
    </w:p>
    <w:p w14:paraId="205E8B85" w14:textId="62AEC44C"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8959"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Definitions (Formerly LAC 7:XXI.2501)</w:t>
        </w:r>
        <w:r>
          <w:rPr>
            <w:webHidden/>
          </w:rPr>
          <w:tab/>
        </w:r>
        <w:r>
          <w:rPr>
            <w:webHidden/>
          </w:rPr>
          <w:fldChar w:fldCharType="begin"/>
        </w:r>
        <w:r>
          <w:rPr>
            <w:webHidden/>
          </w:rPr>
          <w:instrText xml:space="preserve"> PAGEREF _Toc224818959 \h </w:instrText>
        </w:r>
        <w:r>
          <w:rPr>
            <w:webHidden/>
          </w:rPr>
        </w:r>
        <w:r>
          <w:rPr>
            <w:webHidden/>
          </w:rPr>
          <w:fldChar w:fldCharType="separate"/>
        </w:r>
        <w:r w:rsidR="00AA17AB">
          <w:rPr>
            <w:webHidden/>
          </w:rPr>
          <w:t>185</w:t>
        </w:r>
        <w:r>
          <w:rPr>
            <w:webHidden/>
          </w:rPr>
          <w:fldChar w:fldCharType="end"/>
        </w:r>
      </w:hyperlink>
    </w:p>
    <w:p w14:paraId="661B3C70" w14:textId="4EEDE083"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8960"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 xml:space="preserve">Restrictions on Movement of Bees or Regulated Articles into Louisiana </w:t>
        </w:r>
        <w:r w:rsidR="00676FBC">
          <w:rPr>
            <w:rStyle w:val="Hyperlink"/>
          </w:rPr>
          <w:br/>
        </w:r>
        <w:r w:rsidR="00676FBC">
          <w:rPr>
            <w:rStyle w:val="Hyperlink"/>
          </w:rPr>
          <w:tab/>
        </w:r>
        <w:r w:rsidRPr="00FC437C">
          <w:rPr>
            <w:rStyle w:val="Hyperlink"/>
          </w:rPr>
          <w:t>(Formerly LAC 7:XXI.2511)</w:t>
        </w:r>
        <w:r>
          <w:rPr>
            <w:webHidden/>
          </w:rPr>
          <w:tab/>
        </w:r>
        <w:r>
          <w:rPr>
            <w:webHidden/>
          </w:rPr>
          <w:fldChar w:fldCharType="begin"/>
        </w:r>
        <w:r>
          <w:rPr>
            <w:webHidden/>
          </w:rPr>
          <w:instrText xml:space="preserve"> PAGEREF _Toc224818960 \h </w:instrText>
        </w:r>
        <w:r>
          <w:rPr>
            <w:webHidden/>
          </w:rPr>
        </w:r>
        <w:r>
          <w:rPr>
            <w:webHidden/>
          </w:rPr>
          <w:fldChar w:fldCharType="separate"/>
        </w:r>
        <w:r w:rsidR="00AA17AB">
          <w:rPr>
            <w:webHidden/>
          </w:rPr>
          <w:t>186</w:t>
        </w:r>
        <w:r>
          <w:rPr>
            <w:webHidden/>
          </w:rPr>
          <w:fldChar w:fldCharType="end"/>
        </w:r>
      </w:hyperlink>
    </w:p>
    <w:p w14:paraId="3DEA8DB2" w14:textId="7E87A5A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1"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 xml:space="preserve">Interstate Movement of Supers and Frames Used in Shipping Honey </w:t>
        </w:r>
        <w:r w:rsidR="00676FBC">
          <w:rPr>
            <w:rStyle w:val="Hyperlink"/>
          </w:rPr>
          <w:br/>
        </w:r>
        <w:r w:rsidR="00676FBC">
          <w:rPr>
            <w:rStyle w:val="Hyperlink"/>
          </w:rPr>
          <w:tab/>
        </w:r>
        <w:r w:rsidRPr="00FC437C">
          <w:rPr>
            <w:rStyle w:val="Hyperlink"/>
          </w:rPr>
          <w:t>(Formerly LAC 7:XXI.2513)</w:t>
        </w:r>
        <w:r>
          <w:rPr>
            <w:webHidden/>
          </w:rPr>
          <w:tab/>
        </w:r>
        <w:r>
          <w:rPr>
            <w:webHidden/>
          </w:rPr>
          <w:fldChar w:fldCharType="begin"/>
        </w:r>
        <w:r>
          <w:rPr>
            <w:webHidden/>
          </w:rPr>
          <w:instrText xml:space="preserve"> PAGEREF _Toc224818961 \h </w:instrText>
        </w:r>
        <w:r>
          <w:rPr>
            <w:webHidden/>
          </w:rPr>
        </w:r>
        <w:r>
          <w:rPr>
            <w:webHidden/>
          </w:rPr>
          <w:fldChar w:fldCharType="separate"/>
        </w:r>
        <w:r w:rsidR="00AA17AB">
          <w:rPr>
            <w:webHidden/>
          </w:rPr>
          <w:t>186</w:t>
        </w:r>
        <w:r>
          <w:rPr>
            <w:webHidden/>
          </w:rPr>
          <w:fldChar w:fldCharType="end"/>
        </w:r>
      </w:hyperlink>
    </w:p>
    <w:p w14:paraId="6A4ACCEA" w14:textId="605D86A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2"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 xml:space="preserve">Annual Registration and Designation of Class A and B Permits </w:t>
        </w:r>
        <w:r w:rsidR="00676FBC">
          <w:rPr>
            <w:rStyle w:val="Hyperlink"/>
          </w:rPr>
          <w:br/>
        </w:r>
        <w:r w:rsidR="00676FBC">
          <w:rPr>
            <w:rStyle w:val="Hyperlink"/>
          </w:rPr>
          <w:tab/>
        </w:r>
        <w:r w:rsidRPr="00FC437C">
          <w:rPr>
            <w:rStyle w:val="Hyperlink"/>
          </w:rPr>
          <w:t>(Formerly LAC 7:XXI.2503)</w:t>
        </w:r>
        <w:r>
          <w:rPr>
            <w:webHidden/>
          </w:rPr>
          <w:tab/>
        </w:r>
        <w:r>
          <w:rPr>
            <w:webHidden/>
          </w:rPr>
          <w:fldChar w:fldCharType="begin"/>
        </w:r>
        <w:r>
          <w:rPr>
            <w:webHidden/>
          </w:rPr>
          <w:instrText xml:space="preserve"> PAGEREF _Toc224818962 \h </w:instrText>
        </w:r>
        <w:r>
          <w:rPr>
            <w:webHidden/>
          </w:rPr>
        </w:r>
        <w:r>
          <w:rPr>
            <w:webHidden/>
          </w:rPr>
          <w:fldChar w:fldCharType="separate"/>
        </w:r>
        <w:r w:rsidR="00AA17AB">
          <w:rPr>
            <w:webHidden/>
          </w:rPr>
          <w:t>187</w:t>
        </w:r>
        <w:r>
          <w:rPr>
            <w:webHidden/>
          </w:rPr>
          <w:fldChar w:fldCharType="end"/>
        </w:r>
      </w:hyperlink>
    </w:p>
    <w:p w14:paraId="52A41263" w14:textId="2562004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3"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Authority to Enter Premises (Formerly LAC 7:XXI.2505)</w:t>
        </w:r>
        <w:r>
          <w:rPr>
            <w:webHidden/>
          </w:rPr>
          <w:tab/>
        </w:r>
        <w:r>
          <w:rPr>
            <w:webHidden/>
          </w:rPr>
          <w:fldChar w:fldCharType="begin"/>
        </w:r>
        <w:r>
          <w:rPr>
            <w:webHidden/>
          </w:rPr>
          <w:instrText xml:space="preserve"> PAGEREF _Toc224818963 \h </w:instrText>
        </w:r>
        <w:r>
          <w:rPr>
            <w:webHidden/>
          </w:rPr>
        </w:r>
        <w:r>
          <w:rPr>
            <w:webHidden/>
          </w:rPr>
          <w:fldChar w:fldCharType="separate"/>
        </w:r>
        <w:r w:rsidR="00AA17AB">
          <w:rPr>
            <w:webHidden/>
          </w:rPr>
          <w:t>187</w:t>
        </w:r>
        <w:r>
          <w:rPr>
            <w:webHidden/>
          </w:rPr>
          <w:fldChar w:fldCharType="end"/>
        </w:r>
      </w:hyperlink>
    </w:p>
    <w:p w14:paraId="7B623096" w14:textId="27A58E0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4"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Applications for Inspection (Formerly LAC 7:XXI.2507)</w:t>
        </w:r>
        <w:r>
          <w:rPr>
            <w:webHidden/>
          </w:rPr>
          <w:tab/>
        </w:r>
        <w:r>
          <w:rPr>
            <w:webHidden/>
          </w:rPr>
          <w:fldChar w:fldCharType="begin"/>
        </w:r>
        <w:r>
          <w:rPr>
            <w:webHidden/>
          </w:rPr>
          <w:instrText xml:space="preserve"> PAGEREF _Toc224818964 \h </w:instrText>
        </w:r>
        <w:r>
          <w:rPr>
            <w:webHidden/>
          </w:rPr>
        </w:r>
        <w:r>
          <w:rPr>
            <w:webHidden/>
          </w:rPr>
          <w:fldChar w:fldCharType="separate"/>
        </w:r>
        <w:r w:rsidR="00AA17AB">
          <w:rPr>
            <w:webHidden/>
          </w:rPr>
          <w:t>187</w:t>
        </w:r>
        <w:r>
          <w:rPr>
            <w:webHidden/>
          </w:rPr>
          <w:fldChar w:fldCharType="end"/>
        </w:r>
      </w:hyperlink>
    </w:p>
    <w:p w14:paraId="00EED56B" w14:textId="6FF5F0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5"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Issuance and Use of Certificates of Inspection (Formerly LAC 7:XXI.2509)</w:t>
        </w:r>
        <w:r>
          <w:rPr>
            <w:webHidden/>
          </w:rPr>
          <w:tab/>
        </w:r>
        <w:r>
          <w:rPr>
            <w:webHidden/>
          </w:rPr>
          <w:fldChar w:fldCharType="begin"/>
        </w:r>
        <w:r>
          <w:rPr>
            <w:webHidden/>
          </w:rPr>
          <w:instrText xml:space="preserve"> PAGEREF _Toc224818965 \h </w:instrText>
        </w:r>
        <w:r>
          <w:rPr>
            <w:webHidden/>
          </w:rPr>
        </w:r>
        <w:r>
          <w:rPr>
            <w:webHidden/>
          </w:rPr>
          <w:fldChar w:fldCharType="separate"/>
        </w:r>
        <w:r w:rsidR="00AA17AB">
          <w:rPr>
            <w:webHidden/>
          </w:rPr>
          <w:t>188</w:t>
        </w:r>
        <w:r>
          <w:rPr>
            <w:webHidden/>
          </w:rPr>
          <w:fldChar w:fldCharType="end"/>
        </w:r>
      </w:hyperlink>
    </w:p>
    <w:p w14:paraId="657E2523" w14:textId="0E0840D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6" w:history="1">
        <w:r w:rsidRPr="00FC437C">
          <w:rPr>
            <w:rStyle w:val="Hyperlink"/>
          </w:rPr>
          <w:t>§515.</w:t>
        </w:r>
        <w:r>
          <w:rPr>
            <w:rFonts w:asciiTheme="minorHAnsi" w:eastAsiaTheme="minorEastAsia" w:hAnsiTheme="minorHAnsi" w:cstheme="minorBidi"/>
            <w:color w:val="auto"/>
            <w:kern w:val="2"/>
            <w:szCs w:val="24"/>
            <w14:ligatures w14:val="standardContextual"/>
          </w:rPr>
          <w:tab/>
        </w:r>
        <w:r w:rsidRPr="00FC437C">
          <w:rPr>
            <w:rStyle w:val="Hyperlink"/>
          </w:rPr>
          <w:t>Quarantines (Formerly LAC 7:XXI.2515)</w:t>
        </w:r>
        <w:r>
          <w:rPr>
            <w:webHidden/>
          </w:rPr>
          <w:tab/>
        </w:r>
        <w:r>
          <w:rPr>
            <w:webHidden/>
          </w:rPr>
          <w:fldChar w:fldCharType="begin"/>
        </w:r>
        <w:r>
          <w:rPr>
            <w:webHidden/>
          </w:rPr>
          <w:instrText xml:space="preserve"> PAGEREF _Toc224818966 \h </w:instrText>
        </w:r>
        <w:r>
          <w:rPr>
            <w:webHidden/>
          </w:rPr>
        </w:r>
        <w:r>
          <w:rPr>
            <w:webHidden/>
          </w:rPr>
          <w:fldChar w:fldCharType="separate"/>
        </w:r>
        <w:r w:rsidR="00AA17AB">
          <w:rPr>
            <w:webHidden/>
          </w:rPr>
          <w:t>188</w:t>
        </w:r>
        <w:r>
          <w:rPr>
            <w:webHidden/>
          </w:rPr>
          <w:fldChar w:fldCharType="end"/>
        </w:r>
      </w:hyperlink>
    </w:p>
    <w:p w14:paraId="3363A38E" w14:textId="68E9BA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7" w:history="1">
        <w:r w:rsidRPr="00FC437C">
          <w:rPr>
            <w:rStyle w:val="Hyperlink"/>
          </w:rPr>
          <w:t>§517.</w:t>
        </w:r>
        <w:r>
          <w:rPr>
            <w:rFonts w:asciiTheme="minorHAnsi" w:eastAsiaTheme="minorEastAsia" w:hAnsiTheme="minorHAnsi" w:cstheme="minorBidi"/>
            <w:color w:val="auto"/>
            <w:kern w:val="2"/>
            <w:szCs w:val="24"/>
            <w14:ligatures w14:val="standardContextual"/>
          </w:rPr>
          <w:tab/>
        </w:r>
        <w:r w:rsidRPr="00FC437C">
          <w:rPr>
            <w:rStyle w:val="Hyperlink"/>
          </w:rPr>
          <w:t>Eradication Measures (Formerly LAC 7:XXI.2517)</w:t>
        </w:r>
        <w:r>
          <w:rPr>
            <w:webHidden/>
          </w:rPr>
          <w:tab/>
        </w:r>
        <w:r>
          <w:rPr>
            <w:webHidden/>
          </w:rPr>
          <w:fldChar w:fldCharType="begin"/>
        </w:r>
        <w:r>
          <w:rPr>
            <w:webHidden/>
          </w:rPr>
          <w:instrText xml:space="preserve"> PAGEREF _Toc224818967 \h </w:instrText>
        </w:r>
        <w:r>
          <w:rPr>
            <w:webHidden/>
          </w:rPr>
        </w:r>
        <w:r>
          <w:rPr>
            <w:webHidden/>
          </w:rPr>
          <w:fldChar w:fldCharType="separate"/>
        </w:r>
        <w:r w:rsidR="00AA17AB">
          <w:rPr>
            <w:webHidden/>
          </w:rPr>
          <w:t>189</w:t>
        </w:r>
        <w:r>
          <w:rPr>
            <w:webHidden/>
          </w:rPr>
          <w:fldChar w:fldCharType="end"/>
        </w:r>
      </w:hyperlink>
    </w:p>
    <w:p w14:paraId="10865CD9" w14:textId="2E32793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68"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Repeal of Prior Rules and Regulations (Formerly LAC 7:XXI.2521)</w:t>
        </w:r>
        <w:r>
          <w:rPr>
            <w:webHidden/>
          </w:rPr>
          <w:tab/>
        </w:r>
        <w:r>
          <w:rPr>
            <w:webHidden/>
          </w:rPr>
          <w:fldChar w:fldCharType="begin"/>
        </w:r>
        <w:r>
          <w:rPr>
            <w:webHidden/>
          </w:rPr>
          <w:instrText xml:space="preserve"> PAGEREF _Toc224818968 \h </w:instrText>
        </w:r>
        <w:r>
          <w:rPr>
            <w:webHidden/>
          </w:rPr>
        </w:r>
        <w:r>
          <w:rPr>
            <w:webHidden/>
          </w:rPr>
          <w:fldChar w:fldCharType="separate"/>
        </w:r>
        <w:r w:rsidR="00AA17AB">
          <w:rPr>
            <w:webHidden/>
          </w:rPr>
          <w:t>189</w:t>
        </w:r>
        <w:r>
          <w:rPr>
            <w:webHidden/>
          </w:rPr>
          <w:fldChar w:fldCharType="end"/>
        </w:r>
      </w:hyperlink>
    </w:p>
    <w:p w14:paraId="0DA4B7A5" w14:textId="49B32A24" w:rsidR="00E67799" w:rsidRDefault="00E67799">
      <w:pPr>
        <w:pStyle w:val="TOC1"/>
        <w:rPr>
          <w:rFonts w:asciiTheme="minorHAnsi" w:hAnsiTheme="minorHAnsi" w:cstheme="minorBidi"/>
          <w:b w:val="0"/>
          <w:bCs w:val="0"/>
          <w:sz w:val="24"/>
          <w:szCs w:val="24"/>
        </w:rPr>
      </w:pPr>
      <w:hyperlink w:anchor="_Toc224818969" w:history="1">
        <w:r w:rsidRPr="00FC437C">
          <w:rPr>
            <w:rStyle w:val="Hyperlink"/>
          </w:rPr>
          <w:t>Part XVII.  Feed</w:t>
        </w:r>
      </w:hyperlink>
    </w:p>
    <w:p w14:paraId="0325DB02" w14:textId="7A17DE64" w:rsidR="00E67799" w:rsidRDefault="00E67799">
      <w:pPr>
        <w:pStyle w:val="TOC2"/>
        <w:rPr>
          <w:rFonts w:asciiTheme="minorHAnsi" w:eastAsiaTheme="minorEastAsia" w:hAnsiTheme="minorHAnsi" w:cstheme="minorBidi"/>
          <w:kern w:val="2"/>
          <w:szCs w:val="24"/>
          <w14:ligatures w14:val="standardContextual"/>
        </w:rPr>
      </w:pPr>
      <w:hyperlink w:anchor="_Toc224818970"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Commercial Feeds</w:t>
        </w:r>
        <w:r>
          <w:rPr>
            <w:webHidden/>
          </w:rPr>
          <w:tab/>
        </w:r>
        <w:r>
          <w:rPr>
            <w:webHidden/>
          </w:rPr>
          <w:fldChar w:fldCharType="begin"/>
        </w:r>
        <w:r>
          <w:rPr>
            <w:webHidden/>
          </w:rPr>
          <w:instrText xml:space="preserve"> PAGEREF _Toc224818970 \h </w:instrText>
        </w:r>
        <w:r>
          <w:rPr>
            <w:webHidden/>
          </w:rPr>
        </w:r>
        <w:r>
          <w:rPr>
            <w:webHidden/>
          </w:rPr>
          <w:fldChar w:fldCharType="separate"/>
        </w:r>
        <w:r w:rsidR="00AA17AB">
          <w:rPr>
            <w:webHidden/>
          </w:rPr>
          <w:t>191</w:t>
        </w:r>
        <w:r>
          <w:rPr>
            <w:webHidden/>
          </w:rPr>
          <w:fldChar w:fldCharType="end"/>
        </w:r>
      </w:hyperlink>
    </w:p>
    <w:p w14:paraId="5E4F99B1" w14:textId="39B30904" w:rsidR="00E67799" w:rsidRDefault="00E67799">
      <w:pPr>
        <w:pStyle w:val="TOC2"/>
        <w:rPr>
          <w:rFonts w:asciiTheme="minorHAnsi" w:eastAsiaTheme="minorEastAsia" w:hAnsiTheme="minorHAnsi" w:cstheme="minorBidi"/>
          <w:kern w:val="2"/>
          <w:szCs w:val="24"/>
          <w14:ligatures w14:val="standardContextual"/>
        </w:rPr>
      </w:pPr>
      <w:hyperlink w:anchor="_Toc224818971"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Official Feed</w:t>
        </w:r>
        <w:r>
          <w:rPr>
            <w:webHidden/>
          </w:rPr>
          <w:tab/>
        </w:r>
        <w:r>
          <w:rPr>
            <w:webHidden/>
          </w:rPr>
          <w:fldChar w:fldCharType="begin"/>
        </w:r>
        <w:r>
          <w:rPr>
            <w:webHidden/>
          </w:rPr>
          <w:instrText xml:space="preserve"> PAGEREF _Toc224818971 \h </w:instrText>
        </w:r>
        <w:r>
          <w:rPr>
            <w:webHidden/>
          </w:rPr>
        </w:r>
        <w:r>
          <w:rPr>
            <w:webHidden/>
          </w:rPr>
          <w:fldChar w:fldCharType="separate"/>
        </w:r>
        <w:r w:rsidR="00AA17AB">
          <w:rPr>
            <w:webHidden/>
          </w:rPr>
          <w:t>191</w:t>
        </w:r>
        <w:r>
          <w:rPr>
            <w:webHidden/>
          </w:rPr>
          <w:fldChar w:fldCharType="end"/>
        </w:r>
      </w:hyperlink>
    </w:p>
    <w:p w14:paraId="2EC7FD76" w14:textId="1EBA241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2"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General Provisions, Definitions and Terms</w:t>
        </w:r>
        <w:r>
          <w:rPr>
            <w:webHidden/>
          </w:rPr>
          <w:tab/>
        </w:r>
        <w:r>
          <w:rPr>
            <w:webHidden/>
          </w:rPr>
          <w:fldChar w:fldCharType="begin"/>
        </w:r>
        <w:r>
          <w:rPr>
            <w:webHidden/>
          </w:rPr>
          <w:instrText xml:space="preserve"> PAGEREF _Toc224818972 \h </w:instrText>
        </w:r>
        <w:r>
          <w:rPr>
            <w:webHidden/>
          </w:rPr>
        </w:r>
        <w:r>
          <w:rPr>
            <w:webHidden/>
          </w:rPr>
          <w:fldChar w:fldCharType="separate"/>
        </w:r>
        <w:r w:rsidR="00AA17AB">
          <w:rPr>
            <w:webHidden/>
          </w:rPr>
          <w:t>191</w:t>
        </w:r>
        <w:r>
          <w:rPr>
            <w:webHidden/>
          </w:rPr>
          <w:fldChar w:fldCharType="end"/>
        </w:r>
      </w:hyperlink>
    </w:p>
    <w:p w14:paraId="49536066" w14:textId="525BCA8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3"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Label Format</w:t>
        </w:r>
        <w:r>
          <w:rPr>
            <w:webHidden/>
          </w:rPr>
          <w:tab/>
        </w:r>
        <w:r>
          <w:rPr>
            <w:webHidden/>
          </w:rPr>
          <w:fldChar w:fldCharType="begin"/>
        </w:r>
        <w:r>
          <w:rPr>
            <w:webHidden/>
          </w:rPr>
          <w:instrText xml:space="preserve"> PAGEREF _Toc224818973 \h </w:instrText>
        </w:r>
        <w:r>
          <w:rPr>
            <w:webHidden/>
          </w:rPr>
        </w:r>
        <w:r>
          <w:rPr>
            <w:webHidden/>
          </w:rPr>
          <w:fldChar w:fldCharType="separate"/>
        </w:r>
        <w:r w:rsidR="00AA17AB">
          <w:rPr>
            <w:webHidden/>
          </w:rPr>
          <w:t>193</w:t>
        </w:r>
        <w:r>
          <w:rPr>
            <w:webHidden/>
          </w:rPr>
          <w:fldChar w:fldCharType="end"/>
        </w:r>
      </w:hyperlink>
    </w:p>
    <w:p w14:paraId="1EA5FC4D" w14:textId="2FA78F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4"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Brand and Product Names</w:t>
        </w:r>
        <w:r>
          <w:rPr>
            <w:webHidden/>
          </w:rPr>
          <w:tab/>
        </w:r>
        <w:r>
          <w:rPr>
            <w:webHidden/>
          </w:rPr>
          <w:fldChar w:fldCharType="begin"/>
        </w:r>
        <w:r>
          <w:rPr>
            <w:webHidden/>
          </w:rPr>
          <w:instrText xml:space="preserve"> PAGEREF _Toc224818974 \h </w:instrText>
        </w:r>
        <w:r>
          <w:rPr>
            <w:webHidden/>
          </w:rPr>
        </w:r>
        <w:r>
          <w:rPr>
            <w:webHidden/>
          </w:rPr>
          <w:fldChar w:fldCharType="separate"/>
        </w:r>
        <w:r w:rsidR="00AA17AB">
          <w:rPr>
            <w:webHidden/>
          </w:rPr>
          <w:t>194</w:t>
        </w:r>
        <w:r>
          <w:rPr>
            <w:webHidden/>
          </w:rPr>
          <w:fldChar w:fldCharType="end"/>
        </w:r>
      </w:hyperlink>
    </w:p>
    <w:p w14:paraId="60CCE83E" w14:textId="3F52BDB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5"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Expression of Guarantees</w:t>
        </w:r>
        <w:r>
          <w:rPr>
            <w:webHidden/>
          </w:rPr>
          <w:tab/>
        </w:r>
        <w:r>
          <w:rPr>
            <w:webHidden/>
          </w:rPr>
          <w:fldChar w:fldCharType="begin"/>
        </w:r>
        <w:r>
          <w:rPr>
            <w:webHidden/>
          </w:rPr>
          <w:instrText xml:space="preserve"> PAGEREF _Toc224818975 \h </w:instrText>
        </w:r>
        <w:r>
          <w:rPr>
            <w:webHidden/>
          </w:rPr>
        </w:r>
        <w:r>
          <w:rPr>
            <w:webHidden/>
          </w:rPr>
          <w:fldChar w:fldCharType="separate"/>
        </w:r>
        <w:r w:rsidR="00AA17AB">
          <w:rPr>
            <w:webHidden/>
          </w:rPr>
          <w:t>194</w:t>
        </w:r>
        <w:r>
          <w:rPr>
            <w:webHidden/>
          </w:rPr>
          <w:fldChar w:fldCharType="end"/>
        </w:r>
      </w:hyperlink>
    </w:p>
    <w:p w14:paraId="2FF67D4C" w14:textId="527BC33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6"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Ingredients</w:t>
        </w:r>
        <w:r>
          <w:rPr>
            <w:webHidden/>
          </w:rPr>
          <w:tab/>
        </w:r>
        <w:r>
          <w:rPr>
            <w:webHidden/>
          </w:rPr>
          <w:fldChar w:fldCharType="begin"/>
        </w:r>
        <w:r>
          <w:rPr>
            <w:webHidden/>
          </w:rPr>
          <w:instrText xml:space="preserve"> PAGEREF _Toc224818976 \h </w:instrText>
        </w:r>
        <w:r>
          <w:rPr>
            <w:webHidden/>
          </w:rPr>
        </w:r>
        <w:r>
          <w:rPr>
            <w:webHidden/>
          </w:rPr>
          <w:fldChar w:fldCharType="separate"/>
        </w:r>
        <w:r w:rsidR="00AA17AB">
          <w:rPr>
            <w:webHidden/>
          </w:rPr>
          <w:t>195</w:t>
        </w:r>
        <w:r>
          <w:rPr>
            <w:webHidden/>
          </w:rPr>
          <w:fldChar w:fldCharType="end"/>
        </w:r>
      </w:hyperlink>
    </w:p>
    <w:p w14:paraId="1E31A03B" w14:textId="4DC2C4A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7"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Directions for Use and Precautionary Statements</w:t>
        </w:r>
        <w:r>
          <w:rPr>
            <w:webHidden/>
          </w:rPr>
          <w:tab/>
        </w:r>
        <w:r>
          <w:rPr>
            <w:webHidden/>
          </w:rPr>
          <w:fldChar w:fldCharType="begin"/>
        </w:r>
        <w:r>
          <w:rPr>
            <w:webHidden/>
          </w:rPr>
          <w:instrText xml:space="preserve"> PAGEREF _Toc224818977 \h </w:instrText>
        </w:r>
        <w:r>
          <w:rPr>
            <w:webHidden/>
          </w:rPr>
        </w:r>
        <w:r>
          <w:rPr>
            <w:webHidden/>
          </w:rPr>
          <w:fldChar w:fldCharType="separate"/>
        </w:r>
        <w:r w:rsidR="00AA17AB">
          <w:rPr>
            <w:webHidden/>
          </w:rPr>
          <w:t>196</w:t>
        </w:r>
        <w:r>
          <w:rPr>
            <w:webHidden/>
          </w:rPr>
          <w:fldChar w:fldCharType="end"/>
        </w:r>
      </w:hyperlink>
    </w:p>
    <w:p w14:paraId="70DCC62E" w14:textId="3D8BC4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8"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Nonprotein Nitrogen</w:t>
        </w:r>
        <w:r>
          <w:rPr>
            <w:webHidden/>
          </w:rPr>
          <w:tab/>
        </w:r>
        <w:r>
          <w:rPr>
            <w:webHidden/>
          </w:rPr>
          <w:fldChar w:fldCharType="begin"/>
        </w:r>
        <w:r>
          <w:rPr>
            <w:webHidden/>
          </w:rPr>
          <w:instrText xml:space="preserve"> PAGEREF _Toc224818978 \h </w:instrText>
        </w:r>
        <w:r>
          <w:rPr>
            <w:webHidden/>
          </w:rPr>
        </w:r>
        <w:r>
          <w:rPr>
            <w:webHidden/>
          </w:rPr>
          <w:fldChar w:fldCharType="separate"/>
        </w:r>
        <w:r w:rsidR="00AA17AB">
          <w:rPr>
            <w:webHidden/>
          </w:rPr>
          <w:t>196</w:t>
        </w:r>
        <w:r>
          <w:rPr>
            <w:webHidden/>
          </w:rPr>
          <w:fldChar w:fldCharType="end"/>
        </w:r>
      </w:hyperlink>
    </w:p>
    <w:p w14:paraId="60ABCF3D" w14:textId="5984735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79"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Drug and Feed Additives</w:t>
        </w:r>
        <w:r>
          <w:rPr>
            <w:webHidden/>
          </w:rPr>
          <w:tab/>
        </w:r>
        <w:r>
          <w:rPr>
            <w:webHidden/>
          </w:rPr>
          <w:fldChar w:fldCharType="begin"/>
        </w:r>
        <w:r>
          <w:rPr>
            <w:webHidden/>
          </w:rPr>
          <w:instrText xml:space="preserve"> PAGEREF _Toc224818979 \h </w:instrText>
        </w:r>
        <w:r>
          <w:rPr>
            <w:webHidden/>
          </w:rPr>
        </w:r>
        <w:r>
          <w:rPr>
            <w:webHidden/>
          </w:rPr>
          <w:fldChar w:fldCharType="separate"/>
        </w:r>
        <w:r w:rsidR="00AA17AB">
          <w:rPr>
            <w:webHidden/>
          </w:rPr>
          <w:t>196</w:t>
        </w:r>
        <w:r>
          <w:rPr>
            <w:webHidden/>
          </w:rPr>
          <w:fldChar w:fldCharType="end"/>
        </w:r>
      </w:hyperlink>
    </w:p>
    <w:p w14:paraId="3A3A532B" w14:textId="0EAB652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0"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Adulterants</w:t>
        </w:r>
        <w:r>
          <w:rPr>
            <w:webHidden/>
          </w:rPr>
          <w:tab/>
        </w:r>
        <w:r>
          <w:rPr>
            <w:webHidden/>
          </w:rPr>
          <w:fldChar w:fldCharType="begin"/>
        </w:r>
        <w:r>
          <w:rPr>
            <w:webHidden/>
          </w:rPr>
          <w:instrText xml:space="preserve"> PAGEREF _Toc224818980 \h </w:instrText>
        </w:r>
        <w:r>
          <w:rPr>
            <w:webHidden/>
          </w:rPr>
        </w:r>
        <w:r>
          <w:rPr>
            <w:webHidden/>
          </w:rPr>
          <w:fldChar w:fldCharType="separate"/>
        </w:r>
        <w:r w:rsidR="00AA17AB">
          <w:rPr>
            <w:webHidden/>
          </w:rPr>
          <w:t>196</w:t>
        </w:r>
        <w:r>
          <w:rPr>
            <w:webHidden/>
          </w:rPr>
          <w:fldChar w:fldCharType="end"/>
        </w:r>
      </w:hyperlink>
    </w:p>
    <w:p w14:paraId="6A9563B2" w14:textId="292EF0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1"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Good Manufacturing Practices</w:t>
        </w:r>
        <w:r>
          <w:rPr>
            <w:webHidden/>
          </w:rPr>
          <w:tab/>
        </w:r>
        <w:r>
          <w:rPr>
            <w:webHidden/>
          </w:rPr>
          <w:fldChar w:fldCharType="begin"/>
        </w:r>
        <w:r>
          <w:rPr>
            <w:webHidden/>
          </w:rPr>
          <w:instrText xml:space="preserve"> PAGEREF _Toc224818981 \h </w:instrText>
        </w:r>
        <w:r>
          <w:rPr>
            <w:webHidden/>
          </w:rPr>
        </w:r>
        <w:r>
          <w:rPr>
            <w:webHidden/>
          </w:rPr>
          <w:fldChar w:fldCharType="separate"/>
        </w:r>
        <w:r w:rsidR="00AA17AB">
          <w:rPr>
            <w:webHidden/>
          </w:rPr>
          <w:t>197</w:t>
        </w:r>
        <w:r>
          <w:rPr>
            <w:webHidden/>
          </w:rPr>
          <w:fldChar w:fldCharType="end"/>
        </w:r>
      </w:hyperlink>
    </w:p>
    <w:p w14:paraId="001EA405" w14:textId="6AEFB9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2"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_Toc224818982 \h </w:instrText>
        </w:r>
        <w:r>
          <w:rPr>
            <w:webHidden/>
          </w:rPr>
        </w:r>
        <w:r>
          <w:rPr>
            <w:webHidden/>
          </w:rPr>
          <w:fldChar w:fldCharType="separate"/>
        </w:r>
        <w:r w:rsidR="00AA17AB">
          <w:rPr>
            <w:webHidden/>
          </w:rPr>
          <w:t>197</w:t>
        </w:r>
        <w:r>
          <w:rPr>
            <w:webHidden/>
          </w:rPr>
          <w:fldChar w:fldCharType="end"/>
        </w:r>
      </w:hyperlink>
    </w:p>
    <w:p w14:paraId="32870D10" w14:textId="79ED76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3"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Deficiency Assessments and Penalties</w:t>
        </w:r>
        <w:r>
          <w:rPr>
            <w:webHidden/>
          </w:rPr>
          <w:tab/>
        </w:r>
        <w:r>
          <w:rPr>
            <w:webHidden/>
          </w:rPr>
          <w:fldChar w:fldCharType="begin"/>
        </w:r>
        <w:r>
          <w:rPr>
            <w:webHidden/>
          </w:rPr>
          <w:instrText xml:space="preserve"> PAGEREF _Toc224818983 \h </w:instrText>
        </w:r>
        <w:r>
          <w:rPr>
            <w:webHidden/>
          </w:rPr>
        </w:r>
        <w:r>
          <w:rPr>
            <w:webHidden/>
          </w:rPr>
          <w:fldChar w:fldCharType="separate"/>
        </w:r>
        <w:r w:rsidR="00AA17AB">
          <w:rPr>
            <w:webHidden/>
          </w:rPr>
          <w:t>198</w:t>
        </w:r>
        <w:r>
          <w:rPr>
            <w:webHidden/>
          </w:rPr>
          <w:fldChar w:fldCharType="end"/>
        </w:r>
      </w:hyperlink>
    </w:p>
    <w:p w14:paraId="020CEFF7" w14:textId="56928E54" w:rsidR="00E67799" w:rsidRDefault="00E67799">
      <w:pPr>
        <w:pStyle w:val="TOC2"/>
        <w:rPr>
          <w:rFonts w:asciiTheme="minorHAnsi" w:eastAsiaTheme="minorEastAsia" w:hAnsiTheme="minorHAnsi" w:cstheme="minorBidi"/>
          <w:kern w:val="2"/>
          <w:szCs w:val="24"/>
          <w14:ligatures w14:val="standardContextual"/>
        </w:rPr>
      </w:pPr>
      <w:hyperlink w:anchor="_Toc224818984"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Pet Food</w:t>
        </w:r>
        <w:r>
          <w:rPr>
            <w:webHidden/>
          </w:rPr>
          <w:tab/>
        </w:r>
        <w:r>
          <w:rPr>
            <w:webHidden/>
          </w:rPr>
          <w:fldChar w:fldCharType="begin"/>
        </w:r>
        <w:r>
          <w:rPr>
            <w:webHidden/>
          </w:rPr>
          <w:instrText xml:space="preserve"> PAGEREF _Toc224818984 \h </w:instrText>
        </w:r>
        <w:r>
          <w:rPr>
            <w:webHidden/>
          </w:rPr>
        </w:r>
        <w:r>
          <w:rPr>
            <w:webHidden/>
          </w:rPr>
          <w:fldChar w:fldCharType="separate"/>
        </w:r>
        <w:r w:rsidR="00AA17AB">
          <w:rPr>
            <w:webHidden/>
          </w:rPr>
          <w:t>198</w:t>
        </w:r>
        <w:r>
          <w:rPr>
            <w:webHidden/>
          </w:rPr>
          <w:fldChar w:fldCharType="end"/>
        </w:r>
      </w:hyperlink>
    </w:p>
    <w:p w14:paraId="455E8DBA" w14:textId="56BD4F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5"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Definitions and Terms</w:t>
        </w:r>
        <w:r>
          <w:rPr>
            <w:webHidden/>
          </w:rPr>
          <w:tab/>
        </w:r>
        <w:r>
          <w:rPr>
            <w:webHidden/>
          </w:rPr>
          <w:fldChar w:fldCharType="begin"/>
        </w:r>
        <w:r>
          <w:rPr>
            <w:webHidden/>
          </w:rPr>
          <w:instrText xml:space="preserve"> PAGEREF _Toc224818985 \h </w:instrText>
        </w:r>
        <w:r>
          <w:rPr>
            <w:webHidden/>
          </w:rPr>
        </w:r>
        <w:r>
          <w:rPr>
            <w:webHidden/>
          </w:rPr>
          <w:fldChar w:fldCharType="separate"/>
        </w:r>
        <w:r w:rsidR="00AA17AB">
          <w:rPr>
            <w:webHidden/>
          </w:rPr>
          <w:t>198</w:t>
        </w:r>
        <w:r>
          <w:rPr>
            <w:webHidden/>
          </w:rPr>
          <w:fldChar w:fldCharType="end"/>
        </w:r>
      </w:hyperlink>
    </w:p>
    <w:p w14:paraId="576FFED9" w14:textId="3420CEE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6"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Label Format and Labeling</w:t>
        </w:r>
        <w:r>
          <w:rPr>
            <w:webHidden/>
          </w:rPr>
          <w:tab/>
        </w:r>
        <w:r>
          <w:rPr>
            <w:webHidden/>
          </w:rPr>
          <w:fldChar w:fldCharType="begin"/>
        </w:r>
        <w:r>
          <w:rPr>
            <w:webHidden/>
          </w:rPr>
          <w:instrText xml:space="preserve"> PAGEREF _Toc224818986 \h </w:instrText>
        </w:r>
        <w:r>
          <w:rPr>
            <w:webHidden/>
          </w:rPr>
        </w:r>
        <w:r>
          <w:rPr>
            <w:webHidden/>
          </w:rPr>
          <w:fldChar w:fldCharType="separate"/>
        </w:r>
        <w:r w:rsidR="00AA17AB">
          <w:rPr>
            <w:webHidden/>
          </w:rPr>
          <w:t>198</w:t>
        </w:r>
        <w:r>
          <w:rPr>
            <w:webHidden/>
          </w:rPr>
          <w:fldChar w:fldCharType="end"/>
        </w:r>
      </w:hyperlink>
    </w:p>
    <w:p w14:paraId="7E90B959" w14:textId="589D45B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7"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Brand and Product Names</w:t>
        </w:r>
        <w:r>
          <w:rPr>
            <w:webHidden/>
          </w:rPr>
          <w:tab/>
        </w:r>
        <w:r>
          <w:rPr>
            <w:webHidden/>
          </w:rPr>
          <w:fldChar w:fldCharType="begin"/>
        </w:r>
        <w:r>
          <w:rPr>
            <w:webHidden/>
          </w:rPr>
          <w:instrText xml:space="preserve"> PAGEREF _Toc224818987 \h </w:instrText>
        </w:r>
        <w:r>
          <w:rPr>
            <w:webHidden/>
          </w:rPr>
        </w:r>
        <w:r>
          <w:rPr>
            <w:webHidden/>
          </w:rPr>
          <w:fldChar w:fldCharType="separate"/>
        </w:r>
        <w:r w:rsidR="00AA17AB">
          <w:rPr>
            <w:webHidden/>
          </w:rPr>
          <w:t>200</w:t>
        </w:r>
        <w:r>
          <w:rPr>
            <w:webHidden/>
          </w:rPr>
          <w:fldChar w:fldCharType="end"/>
        </w:r>
      </w:hyperlink>
    </w:p>
    <w:p w14:paraId="11238877" w14:textId="07FE8EA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8"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Expression of Guarantees</w:t>
        </w:r>
        <w:r>
          <w:rPr>
            <w:webHidden/>
          </w:rPr>
          <w:tab/>
        </w:r>
        <w:r>
          <w:rPr>
            <w:webHidden/>
          </w:rPr>
          <w:fldChar w:fldCharType="begin"/>
        </w:r>
        <w:r>
          <w:rPr>
            <w:webHidden/>
          </w:rPr>
          <w:instrText xml:space="preserve"> PAGEREF _Toc224818988 \h </w:instrText>
        </w:r>
        <w:r>
          <w:rPr>
            <w:webHidden/>
          </w:rPr>
        </w:r>
        <w:r>
          <w:rPr>
            <w:webHidden/>
          </w:rPr>
          <w:fldChar w:fldCharType="separate"/>
        </w:r>
        <w:r w:rsidR="00AA17AB">
          <w:rPr>
            <w:webHidden/>
          </w:rPr>
          <w:t>200</w:t>
        </w:r>
        <w:r>
          <w:rPr>
            <w:webHidden/>
          </w:rPr>
          <w:fldChar w:fldCharType="end"/>
        </w:r>
      </w:hyperlink>
    </w:p>
    <w:p w14:paraId="1B36FDE5" w14:textId="2897CB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89"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Ingredients</w:t>
        </w:r>
        <w:r>
          <w:rPr>
            <w:webHidden/>
          </w:rPr>
          <w:tab/>
        </w:r>
        <w:r>
          <w:rPr>
            <w:webHidden/>
          </w:rPr>
          <w:fldChar w:fldCharType="begin"/>
        </w:r>
        <w:r>
          <w:rPr>
            <w:webHidden/>
          </w:rPr>
          <w:instrText xml:space="preserve"> PAGEREF _Toc224818989 \h </w:instrText>
        </w:r>
        <w:r>
          <w:rPr>
            <w:webHidden/>
          </w:rPr>
        </w:r>
        <w:r>
          <w:rPr>
            <w:webHidden/>
          </w:rPr>
          <w:fldChar w:fldCharType="separate"/>
        </w:r>
        <w:r w:rsidR="00AA17AB">
          <w:rPr>
            <w:webHidden/>
          </w:rPr>
          <w:t>201</w:t>
        </w:r>
        <w:r>
          <w:rPr>
            <w:webHidden/>
          </w:rPr>
          <w:fldChar w:fldCharType="end"/>
        </w:r>
      </w:hyperlink>
    </w:p>
    <w:p w14:paraId="27B70AAB" w14:textId="44E17A7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0"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Drugs and Pet Food Additives</w:t>
        </w:r>
        <w:r>
          <w:rPr>
            <w:webHidden/>
          </w:rPr>
          <w:tab/>
        </w:r>
        <w:r>
          <w:rPr>
            <w:webHidden/>
          </w:rPr>
          <w:fldChar w:fldCharType="begin"/>
        </w:r>
        <w:r>
          <w:rPr>
            <w:webHidden/>
          </w:rPr>
          <w:instrText xml:space="preserve"> PAGEREF _Toc224818990 \h </w:instrText>
        </w:r>
        <w:r>
          <w:rPr>
            <w:webHidden/>
          </w:rPr>
        </w:r>
        <w:r>
          <w:rPr>
            <w:webHidden/>
          </w:rPr>
          <w:fldChar w:fldCharType="separate"/>
        </w:r>
        <w:r w:rsidR="00AA17AB">
          <w:rPr>
            <w:webHidden/>
          </w:rPr>
          <w:t>201</w:t>
        </w:r>
        <w:r>
          <w:rPr>
            <w:webHidden/>
          </w:rPr>
          <w:fldChar w:fldCharType="end"/>
        </w:r>
      </w:hyperlink>
    </w:p>
    <w:p w14:paraId="3420F8BF" w14:textId="0C9065B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1" w:history="1">
        <w:r w:rsidRPr="00FC437C">
          <w:rPr>
            <w:rStyle w:val="Hyperlink"/>
          </w:rPr>
          <w:t>§136.</w:t>
        </w:r>
        <w:r>
          <w:rPr>
            <w:rFonts w:asciiTheme="minorHAnsi" w:eastAsiaTheme="minorEastAsia" w:hAnsiTheme="minorHAnsi" w:cstheme="minorBidi"/>
            <w:color w:val="auto"/>
            <w:kern w:val="2"/>
            <w:szCs w:val="24"/>
            <w14:ligatures w14:val="standardContextual"/>
          </w:rPr>
          <w:tab/>
        </w:r>
        <w:r w:rsidRPr="00FC437C">
          <w:rPr>
            <w:rStyle w:val="Hyperlink"/>
          </w:rPr>
          <w:t>Adulterants in Pet Food</w:t>
        </w:r>
        <w:r>
          <w:rPr>
            <w:webHidden/>
          </w:rPr>
          <w:tab/>
        </w:r>
        <w:r>
          <w:rPr>
            <w:webHidden/>
          </w:rPr>
          <w:fldChar w:fldCharType="begin"/>
        </w:r>
        <w:r>
          <w:rPr>
            <w:webHidden/>
          </w:rPr>
          <w:instrText xml:space="preserve"> PAGEREF _Toc224818991 \h </w:instrText>
        </w:r>
        <w:r>
          <w:rPr>
            <w:webHidden/>
          </w:rPr>
        </w:r>
        <w:r>
          <w:rPr>
            <w:webHidden/>
          </w:rPr>
          <w:fldChar w:fldCharType="separate"/>
        </w:r>
        <w:r w:rsidR="00AA17AB">
          <w:rPr>
            <w:webHidden/>
          </w:rPr>
          <w:t>201</w:t>
        </w:r>
        <w:r>
          <w:rPr>
            <w:webHidden/>
          </w:rPr>
          <w:fldChar w:fldCharType="end"/>
        </w:r>
      </w:hyperlink>
    </w:p>
    <w:p w14:paraId="6FF37AD2" w14:textId="2BEDE36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2"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Fees for Pet Food</w:t>
        </w:r>
        <w:r>
          <w:rPr>
            <w:webHidden/>
          </w:rPr>
          <w:tab/>
        </w:r>
        <w:r>
          <w:rPr>
            <w:webHidden/>
          </w:rPr>
          <w:fldChar w:fldCharType="begin"/>
        </w:r>
        <w:r>
          <w:rPr>
            <w:webHidden/>
          </w:rPr>
          <w:instrText xml:space="preserve"> PAGEREF _Toc224818992 \h </w:instrText>
        </w:r>
        <w:r>
          <w:rPr>
            <w:webHidden/>
          </w:rPr>
        </w:r>
        <w:r>
          <w:rPr>
            <w:webHidden/>
          </w:rPr>
          <w:fldChar w:fldCharType="separate"/>
        </w:r>
        <w:r w:rsidR="00AA17AB">
          <w:rPr>
            <w:webHidden/>
          </w:rPr>
          <w:t>202</w:t>
        </w:r>
        <w:r>
          <w:rPr>
            <w:webHidden/>
          </w:rPr>
          <w:fldChar w:fldCharType="end"/>
        </w:r>
      </w:hyperlink>
    </w:p>
    <w:p w14:paraId="6ABBB669" w14:textId="2255185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3"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Deficiency Assessments and Penalties for Pet Food</w:t>
        </w:r>
        <w:r>
          <w:rPr>
            <w:webHidden/>
          </w:rPr>
          <w:tab/>
        </w:r>
        <w:r>
          <w:rPr>
            <w:webHidden/>
          </w:rPr>
          <w:fldChar w:fldCharType="begin"/>
        </w:r>
        <w:r>
          <w:rPr>
            <w:webHidden/>
          </w:rPr>
          <w:instrText xml:space="preserve"> PAGEREF _Toc224818993 \h </w:instrText>
        </w:r>
        <w:r>
          <w:rPr>
            <w:webHidden/>
          </w:rPr>
        </w:r>
        <w:r>
          <w:rPr>
            <w:webHidden/>
          </w:rPr>
          <w:fldChar w:fldCharType="separate"/>
        </w:r>
        <w:r w:rsidR="00AA17AB">
          <w:rPr>
            <w:webHidden/>
          </w:rPr>
          <w:t>202</w:t>
        </w:r>
        <w:r>
          <w:rPr>
            <w:webHidden/>
          </w:rPr>
          <w:fldChar w:fldCharType="end"/>
        </w:r>
      </w:hyperlink>
    </w:p>
    <w:p w14:paraId="3E51B82E" w14:textId="1EA4F8A2" w:rsidR="00E67799" w:rsidRDefault="00E67799">
      <w:pPr>
        <w:pStyle w:val="TOC2"/>
        <w:rPr>
          <w:rFonts w:asciiTheme="minorHAnsi" w:eastAsiaTheme="minorEastAsia" w:hAnsiTheme="minorHAnsi" w:cstheme="minorBidi"/>
          <w:kern w:val="2"/>
          <w:szCs w:val="24"/>
          <w14:ligatures w14:val="standardContextual"/>
        </w:rPr>
      </w:pPr>
      <w:hyperlink w:anchor="_Toc224818994"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Processed Animal Waste Products as Animal Feed Ingredients</w:t>
        </w:r>
        <w:r>
          <w:rPr>
            <w:webHidden/>
          </w:rPr>
          <w:tab/>
        </w:r>
        <w:r>
          <w:rPr>
            <w:webHidden/>
          </w:rPr>
          <w:fldChar w:fldCharType="begin"/>
        </w:r>
        <w:r>
          <w:rPr>
            <w:webHidden/>
          </w:rPr>
          <w:instrText xml:space="preserve"> PAGEREF _Toc224818994 \h </w:instrText>
        </w:r>
        <w:r>
          <w:rPr>
            <w:webHidden/>
          </w:rPr>
        </w:r>
        <w:r>
          <w:rPr>
            <w:webHidden/>
          </w:rPr>
          <w:fldChar w:fldCharType="separate"/>
        </w:r>
        <w:r w:rsidR="00AA17AB">
          <w:rPr>
            <w:webHidden/>
          </w:rPr>
          <w:t>203</w:t>
        </w:r>
        <w:r>
          <w:rPr>
            <w:webHidden/>
          </w:rPr>
          <w:fldChar w:fldCharType="end"/>
        </w:r>
      </w:hyperlink>
    </w:p>
    <w:p w14:paraId="601394FA" w14:textId="5A7BED1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5"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Definitions and Quality Standards</w:t>
        </w:r>
        <w:r>
          <w:rPr>
            <w:webHidden/>
          </w:rPr>
          <w:tab/>
        </w:r>
        <w:r>
          <w:rPr>
            <w:webHidden/>
          </w:rPr>
          <w:fldChar w:fldCharType="begin"/>
        </w:r>
        <w:r>
          <w:rPr>
            <w:webHidden/>
          </w:rPr>
          <w:instrText xml:space="preserve"> PAGEREF _Toc224818995 \h </w:instrText>
        </w:r>
        <w:r>
          <w:rPr>
            <w:webHidden/>
          </w:rPr>
        </w:r>
        <w:r>
          <w:rPr>
            <w:webHidden/>
          </w:rPr>
          <w:fldChar w:fldCharType="separate"/>
        </w:r>
        <w:r w:rsidR="00AA17AB">
          <w:rPr>
            <w:webHidden/>
          </w:rPr>
          <w:t>203</w:t>
        </w:r>
        <w:r>
          <w:rPr>
            <w:webHidden/>
          </w:rPr>
          <w:fldChar w:fldCharType="end"/>
        </w:r>
      </w:hyperlink>
    </w:p>
    <w:p w14:paraId="6A47139C" w14:textId="1BB821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6"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Registration Required</w:t>
        </w:r>
        <w:r>
          <w:rPr>
            <w:webHidden/>
          </w:rPr>
          <w:tab/>
        </w:r>
        <w:r>
          <w:rPr>
            <w:webHidden/>
          </w:rPr>
          <w:fldChar w:fldCharType="begin"/>
        </w:r>
        <w:r>
          <w:rPr>
            <w:webHidden/>
          </w:rPr>
          <w:instrText xml:space="preserve"> PAGEREF _Toc224818996 \h </w:instrText>
        </w:r>
        <w:r>
          <w:rPr>
            <w:webHidden/>
          </w:rPr>
        </w:r>
        <w:r>
          <w:rPr>
            <w:webHidden/>
          </w:rPr>
          <w:fldChar w:fldCharType="separate"/>
        </w:r>
        <w:r w:rsidR="00AA17AB">
          <w:rPr>
            <w:webHidden/>
          </w:rPr>
          <w:t>203</w:t>
        </w:r>
        <w:r>
          <w:rPr>
            <w:webHidden/>
          </w:rPr>
          <w:fldChar w:fldCharType="end"/>
        </w:r>
      </w:hyperlink>
    </w:p>
    <w:p w14:paraId="43C82AE1" w14:textId="29C69EE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7" w:history="1">
        <w:r w:rsidRPr="00FC437C">
          <w:rPr>
            <w:rStyle w:val="Hyperlink"/>
          </w:rPr>
          <w:t>§145.</w:t>
        </w:r>
        <w:r>
          <w:rPr>
            <w:rFonts w:asciiTheme="minorHAnsi" w:eastAsiaTheme="minorEastAsia" w:hAnsiTheme="minorHAnsi" w:cstheme="minorBidi"/>
            <w:color w:val="auto"/>
            <w:kern w:val="2"/>
            <w:szCs w:val="24"/>
            <w14:ligatures w14:val="standardContextual"/>
          </w:rPr>
          <w:tab/>
        </w:r>
        <w:r w:rsidRPr="00FC437C">
          <w:rPr>
            <w:rStyle w:val="Hyperlink"/>
          </w:rPr>
          <w:t>Registration Refused or Canceled</w:t>
        </w:r>
        <w:r>
          <w:rPr>
            <w:webHidden/>
          </w:rPr>
          <w:tab/>
        </w:r>
        <w:r>
          <w:rPr>
            <w:webHidden/>
          </w:rPr>
          <w:fldChar w:fldCharType="begin"/>
        </w:r>
        <w:r>
          <w:rPr>
            <w:webHidden/>
          </w:rPr>
          <w:instrText xml:space="preserve"> PAGEREF _Toc224818997 \h </w:instrText>
        </w:r>
        <w:r>
          <w:rPr>
            <w:webHidden/>
          </w:rPr>
        </w:r>
        <w:r>
          <w:rPr>
            <w:webHidden/>
          </w:rPr>
          <w:fldChar w:fldCharType="separate"/>
        </w:r>
        <w:r w:rsidR="00AA17AB">
          <w:rPr>
            <w:webHidden/>
          </w:rPr>
          <w:t>203</w:t>
        </w:r>
        <w:r>
          <w:rPr>
            <w:webHidden/>
          </w:rPr>
          <w:fldChar w:fldCharType="end"/>
        </w:r>
      </w:hyperlink>
    </w:p>
    <w:p w14:paraId="7121C018" w14:textId="70CB8E3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8" w:history="1">
        <w:r w:rsidRPr="00FC437C">
          <w:rPr>
            <w:rStyle w:val="Hyperlink"/>
          </w:rPr>
          <w:t>§147.</w:t>
        </w:r>
        <w:r>
          <w:rPr>
            <w:rFonts w:asciiTheme="minorHAnsi" w:eastAsiaTheme="minorEastAsia" w:hAnsiTheme="minorHAnsi" w:cstheme="minorBidi"/>
            <w:color w:val="auto"/>
            <w:kern w:val="2"/>
            <w:szCs w:val="24"/>
            <w14:ligatures w14:val="standardContextual"/>
          </w:rPr>
          <w:tab/>
        </w:r>
        <w:r w:rsidRPr="00FC437C">
          <w:rPr>
            <w:rStyle w:val="Hyperlink"/>
          </w:rPr>
          <w:t>Labeling Requirements</w:t>
        </w:r>
        <w:r>
          <w:rPr>
            <w:webHidden/>
          </w:rPr>
          <w:tab/>
        </w:r>
        <w:r>
          <w:rPr>
            <w:webHidden/>
          </w:rPr>
          <w:fldChar w:fldCharType="begin"/>
        </w:r>
        <w:r>
          <w:rPr>
            <w:webHidden/>
          </w:rPr>
          <w:instrText xml:space="preserve"> PAGEREF _Toc224818998 \h </w:instrText>
        </w:r>
        <w:r>
          <w:rPr>
            <w:webHidden/>
          </w:rPr>
        </w:r>
        <w:r>
          <w:rPr>
            <w:webHidden/>
          </w:rPr>
          <w:fldChar w:fldCharType="separate"/>
        </w:r>
        <w:r w:rsidR="00AA17AB">
          <w:rPr>
            <w:webHidden/>
          </w:rPr>
          <w:t>203</w:t>
        </w:r>
        <w:r>
          <w:rPr>
            <w:webHidden/>
          </w:rPr>
          <w:fldChar w:fldCharType="end"/>
        </w:r>
      </w:hyperlink>
    </w:p>
    <w:p w14:paraId="36D34810" w14:textId="735760A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8999" w:history="1">
        <w:r w:rsidRPr="00FC437C">
          <w:rPr>
            <w:rStyle w:val="Hyperlink"/>
          </w:rPr>
          <w:t>§149.</w:t>
        </w:r>
        <w:r>
          <w:rPr>
            <w:rFonts w:asciiTheme="minorHAnsi" w:eastAsiaTheme="minorEastAsia" w:hAnsiTheme="minorHAnsi" w:cstheme="minorBidi"/>
            <w:color w:val="auto"/>
            <w:kern w:val="2"/>
            <w:szCs w:val="24"/>
            <w14:ligatures w14:val="standardContextual"/>
          </w:rPr>
          <w:tab/>
        </w:r>
        <w:r w:rsidRPr="00FC437C">
          <w:rPr>
            <w:rStyle w:val="Hyperlink"/>
          </w:rPr>
          <w:t>Testing Required</w:t>
        </w:r>
        <w:r>
          <w:rPr>
            <w:webHidden/>
          </w:rPr>
          <w:tab/>
        </w:r>
        <w:r>
          <w:rPr>
            <w:webHidden/>
          </w:rPr>
          <w:fldChar w:fldCharType="begin"/>
        </w:r>
        <w:r>
          <w:rPr>
            <w:webHidden/>
          </w:rPr>
          <w:instrText xml:space="preserve"> PAGEREF _Toc224818999 \h </w:instrText>
        </w:r>
        <w:r>
          <w:rPr>
            <w:webHidden/>
          </w:rPr>
        </w:r>
        <w:r>
          <w:rPr>
            <w:webHidden/>
          </w:rPr>
          <w:fldChar w:fldCharType="separate"/>
        </w:r>
        <w:r w:rsidR="00AA17AB">
          <w:rPr>
            <w:webHidden/>
          </w:rPr>
          <w:t>204</w:t>
        </w:r>
        <w:r>
          <w:rPr>
            <w:webHidden/>
          </w:rPr>
          <w:fldChar w:fldCharType="end"/>
        </w:r>
      </w:hyperlink>
    </w:p>
    <w:p w14:paraId="628064A7" w14:textId="3A7A0FB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0" w:history="1">
        <w:r w:rsidRPr="00FC437C">
          <w:rPr>
            <w:rStyle w:val="Hyperlink"/>
          </w:rPr>
          <w:t>§151.</w:t>
        </w:r>
        <w:r>
          <w:rPr>
            <w:rFonts w:asciiTheme="minorHAnsi" w:eastAsiaTheme="minorEastAsia" w:hAnsiTheme="minorHAnsi" w:cstheme="minorBidi"/>
            <w:color w:val="auto"/>
            <w:kern w:val="2"/>
            <w:szCs w:val="24"/>
            <w14:ligatures w14:val="standardContextual"/>
          </w:rPr>
          <w:tab/>
        </w:r>
        <w:r w:rsidRPr="00FC437C">
          <w:rPr>
            <w:rStyle w:val="Hyperlink"/>
          </w:rPr>
          <w:t>Records Required</w:t>
        </w:r>
        <w:r>
          <w:rPr>
            <w:webHidden/>
          </w:rPr>
          <w:tab/>
        </w:r>
        <w:r>
          <w:rPr>
            <w:webHidden/>
          </w:rPr>
          <w:fldChar w:fldCharType="begin"/>
        </w:r>
        <w:r>
          <w:rPr>
            <w:webHidden/>
          </w:rPr>
          <w:instrText xml:space="preserve"> PAGEREF _Toc224819000 \h </w:instrText>
        </w:r>
        <w:r>
          <w:rPr>
            <w:webHidden/>
          </w:rPr>
        </w:r>
        <w:r>
          <w:rPr>
            <w:webHidden/>
          </w:rPr>
          <w:fldChar w:fldCharType="separate"/>
        </w:r>
        <w:r w:rsidR="00AA17AB">
          <w:rPr>
            <w:webHidden/>
          </w:rPr>
          <w:t>204</w:t>
        </w:r>
        <w:r>
          <w:rPr>
            <w:webHidden/>
          </w:rPr>
          <w:fldChar w:fldCharType="end"/>
        </w:r>
      </w:hyperlink>
    </w:p>
    <w:p w14:paraId="72A24883" w14:textId="321FFEB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1" w:history="1">
        <w:r w:rsidRPr="00FC437C">
          <w:rPr>
            <w:rStyle w:val="Hyperlink"/>
          </w:rPr>
          <w:t>§153.</w:t>
        </w:r>
        <w:r>
          <w:rPr>
            <w:rFonts w:asciiTheme="minorHAnsi" w:eastAsiaTheme="minorEastAsia" w:hAnsiTheme="minorHAnsi" w:cstheme="minorBidi"/>
            <w:color w:val="auto"/>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_Toc224819001 \h </w:instrText>
        </w:r>
        <w:r>
          <w:rPr>
            <w:webHidden/>
          </w:rPr>
        </w:r>
        <w:r>
          <w:rPr>
            <w:webHidden/>
          </w:rPr>
          <w:fldChar w:fldCharType="separate"/>
        </w:r>
        <w:r w:rsidR="00AA17AB">
          <w:rPr>
            <w:webHidden/>
          </w:rPr>
          <w:t>205</w:t>
        </w:r>
        <w:r>
          <w:rPr>
            <w:webHidden/>
          </w:rPr>
          <w:fldChar w:fldCharType="end"/>
        </w:r>
      </w:hyperlink>
    </w:p>
    <w:p w14:paraId="56C4AE5E" w14:textId="0097AA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2" w:history="1">
        <w:r w:rsidRPr="00FC437C">
          <w:rPr>
            <w:rStyle w:val="Hyperlink"/>
          </w:rPr>
          <w:t>§155.</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_Toc224819002 \h </w:instrText>
        </w:r>
        <w:r>
          <w:rPr>
            <w:webHidden/>
          </w:rPr>
        </w:r>
        <w:r>
          <w:rPr>
            <w:webHidden/>
          </w:rPr>
          <w:fldChar w:fldCharType="separate"/>
        </w:r>
        <w:r w:rsidR="00AA17AB">
          <w:rPr>
            <w:webHidden/>
          </w:rPr>
          <w:t>205</w:t>
        </w:r>
        <w:r>
          <w:rPr>
            <w:webHidden/>
          </w:rPr>
          <w:fldChar w:fldCharType="end"/>
        </w:r>
      </w:hyperlink>
    </w:p>
    <w:p w14:paraId="526231D3" w14:textId="232E8B33" w:rsidR="00E67799" w:rsidRDefault="00E67799">
      <w:pPr>
        <w:pStyle w:val="TOC2"/>
        <w:rPr>
          <w:rFonts w:asciiTheme="minorHAnsi" w:eastAsiaTheme="minorEastAsia" w:hAnsiTheme="minorHAnsi" w:cstheme="minorBidi"/>
          <w:kern w:val="2"/>
          <w:szCs w:val="24"/>
          <w14:ligatures w14:val="standardContextual"/>
        </w:rPr>
      </w:pPr>
      <w:hyperlink w:anchor="_Toc224819003"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Probation of Registrants</w:t>
        </w:r>
        <w:r>
          <w:rPr>
            <w:webHidden/>
          </w:rPr>
          <w:tab/>
        </w:r>
        <w:r>
          <w:rPr>
            <w:webHidden/>
          </w:rPr>
          <w:fldChar w:fldCharType="begin"/>
        </w:r>
        <w:r>
          <w:rPr>
            <w:webHidden/>
          </w:rPr>
          <w:instrText xml:space="preserve"> PAGEREF _Toc224819003 \h </w:instrText>
        </w:r>
        <w:r>
          <w:rPr>
            <w:webHidden/>
          </w:rPr>
        </w:r>
        <w:r>
          <w:rPr>
            <w:webHidden/>
          </w:rPr>
          <w:fldChar w:fldCharType="separate"/>
        </w:r>
        <w:r w:rsidR="00AA17AB">
          <w:rPr>
            <w:webHidden/>
          </w:rPr>
          <w:t>205</w:t>
        </w:r>
        <w:r>
          <w:rPr>
            <w:webHidden/>
          </w:rPr>
          <w:fldChar w:fldCharType="end"/>
        </w:r>
      </w:hyperlink>
    </w:p>
    <w:p w14:paraId="1C1E5827" w14:textId="2893E89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4" w:history="1">
        <w:r w:rsidRPr="00FC437C">
          <w:rPr>
            <w:rStyle w:val="Hyperlink"/>
          </w:rPr>
          <w:t>§157.</w:t>
        </w:r>
        <w:r>
          <w:rPr>
            <w:rFonts w:asciiTheme="minorHAnsi" w:eastAsiaTheme="minorEastAsia" w:hAnsiTheme="minorHAnsi" w:cstheme="minorBidi"/>
            <w:color w:val="auto"/>
            <w:kern w:val="2"/>
            <w:szCs w:val="24"/>
            <w14:ligatures w14:val="standardContextual"/>
          </w:rPr>
          <w:tab/>
        </w:r>
        <w:r w:rsidRPr="00FC437C">
          <w:rPr>
            <w:rStyle w:val="Hyperlink"/>
          </w:rPr>
          <w:t>Probationary Status of Registrants</w:t>
        </w:r>
        <w:r>
          <w:rPr>
            <w:webHidden/>
          </w:rPr>
          <w:tab/>
        </w:r>
        <w:r>
          <w:rPr>
            <w:webHidden/>
          </w:rPr>
          <w:fldChar w:fldCharType="begin"/>
        </w:r>
        <w:r>
          <w:rPr>
            <w:webHidden/>
          </w:rPr>
          <w:instrText xml:space="preserve"> PAGEREF _Toc224819004 \h </w:instrText>
        </w:r>
        <w:r>
          <w:rPr>
            <w:webHidden/>
          </w:rPr>
        </w:r>
        <w:r>
          <w:rPr>
            <w:webHidden/>
          </w:rPr>
          <w:fldChar w:fldCharType="separate"/>
        </w:r>
        <w:r w:rsidR="00AA17AB">
          <w:rPr>
            <w:webHidden/>
          </w:rPr>
          <w:t>205</w:t>
        </w:r>
        <w:r>
          <w:rPr>
            <w:webHidden/>
          </w:rPr>
          <w:fldChar w:fldCharType="end"/>
        </w:r>
      </w:hyperlink>
    </w:p>
    <w:p w14:paraId="5328843E" w14:textId="3538970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5" w:history="1">
        <w:r w:rsidRPr="00FC437C">
          <w:rPr>
            <w:rStyle w:val="Hyperlink"/>
          </w:rPr>
          <w:t>§159.</w:t>
        </w:r>
        <w:r>
          <w:rPr>
            <w:rFonts w:asciiTheme="minorHAnsi" w:eastAsiaTheme="minorEastAsia" w:hAnsiTheme="minorHAnsi" w:cstheme="minorBidi"/>
            <w:color w:val="auto"/>
            <w:kern w:val="2"/>
            <w:szCs w:val="24"/>
            <w14:ligatures w14:val="standardContextual"/>
          </w:rPr>
          <w:tab/>
        </w:r>
        <w:r w:rsidRPr="00FC437C">
          <w:rPr>
            <w:rStyle w:val="Hyperlink"/>
          </w:rPr>
          <w:t>Cancellation of Registration and/or Denial of Application for Renewal of Registration</w:t>
        </w:r>
        <w:r>
          <w:rPr>
            <w:webHidden/>
          </w:rPr>
          <w:tab/>
        </w:r>
        <w:r>
          <w:rPr>
            <w:webHidden/>
          </w:rPr>
          <w:fldChar w:fldCharType="begin"/>
        </w:r>
        <w:r>
          <w:rPr>
            <w:webHidden/>
          </w:rPr>
          <w:instrText xml:space="preserve"> PAGEREF _Toc224819005 \h </w:instrText>
        </w:r>
        <w:r>
          <w:rPr>
            <w:webHidden/>
          </w:rPr>
        </w:r>
        <w:r>
          <w:rPr>
            <w:webHidden/>
          </w:rPr>
          <w:fldChar w:fldCharType="separate"/>
        </w:r>
        <w:r w:rsidR="00AA17AB">
          <w:rPr>
            <w:webHidden/>
          </w:rPr>
          <w:t>205</w:t>
        </w:r>
        <w:r>
          <w:rPr>
            <w:webHidden/>
          </w:rPr>
          <w:fldChar w:fldCharType="end"/>
        </w:r>
      </w:hyperlink>
    </w:p>
    <w:p w14:paraId="54662194" w14:textId="5156E85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6" w:history="1">
        <w:r w:rsidRPr="00FC437C">
          <w:rPr>
            <w:rStyle w:val="Hyperlink"/>
          </w:rPr>
          <w:t>§161.</w:t>
        </w:r>
        <w:r>
          <w:rPr>
            <w:rFonts w:asciiTheme="minorHAnsi" w:eastAsiaTheme="minorEastAsia" w:hAnsiTheme="minorHAnsi" w:cstheme="minorBidi"/>
            <w:color w:val="auto"/>
            <w:kern w:val="2"/>
            <w:szCs w:val="24"/>
            <w14:ligatures w14:val="standardContextual"/>
          </w:rPr>
          <w:tab/>
        </w:r>
        <w:r w:rsidRPr="00FC437C">
          <w:rPr>
            <w:rStyle w:val="Hyperlink"/>
          </w:rPr>
          <w:t xml:space="preserve">Appeals from Action of the Commission; Department of Agriculture and Forestry </w:t>
        </w:r>
        <w:r w:rsidR="00676FBC">
          <w:rPr>
            <w:rStyle w:val="Hyperlink"/>
          </w:rPr>
          <w:br/>
        </w:r>
        <w:r w:rsidR="00676FBC">
          <w:rPr>
            <w:rStyle w:val="Hyperlink"/>
          </w:rPr>
          <w:tab/>
        </w:r>
        <w:r w:rsidRPr="00FC437C">
          <w:rPr>
            <w:rStyle w:val="Hyperlink"/>
          </w:rPr>
          <w:t>Appeals Concerning Method of Taking Samples</w:t>
        </w:r>
        <w:r>
          <w:rPr>
            <w:webHidden/>
          </w:rPr>
          <w:tab/>
        </w:r>
        <w:r>
          <w:rPr>
            <w:webHidden/>
          </w:rPr>
          <w:fldChar w:fldCharType="begin"/>
        </w:r>
        <w:r>
          <w:rPr>
            <w:webHidden/>
          </w:rPr>
          <w:instrText xml:space="preserve"> PAGEREF _Toc224819006 \h </w:instrText>
        </w:r>
        <w:r>
          <w:rPr>
            <w:webHidden/>
          </w:rPr>
        </w:r>
        <w:r>
          <w:rPr>
            <w:webHidden/>
          </w:rPr>
          <w:fldChar w:fldCharType="separate"/>
        </w:r>
        <w:r w:rsidR="00AA17AB">
          <w:rPr>
            <w:webHidden/>
          </w:rPr>
          <w:t>205</w:t>
        </w:r>
        <w:r>
          <w:rPr>
            <w:webHidden/>
          </w:rPr>
          <w:fldChar w:fldCharType="end"/>
        </w:r>
      </w:hyperlink>
    </w:p>
    <w:p w14:paraId="6D23098C" w14:textId="7BC6D6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7" w:history="1">
        <w:r w:rsidRPr="00FC437C">
          <w:rPr>
            <w:rStyle w:val="Hyperlink"/>
          </w:rPr>
          <w:t>§163.</w:t>
        </w:r>
        <w:r>
          <w:rPr>
            <w:rFonts w:asciiTheme="minorHAnsi" w:eastAsiaTheme="minorEastAsia" w:hAnsiTheme="minorHAnsi" w:cstheme="minorBidi"/>
            <w:color w:val="auto"/>
            <w:kern w:val="2"/>
            <w:szCs w:val="24"/>
            <w14:ligatures w14:val="standardContextual"/>
          </w:rPr>
          <w:tab/>
        </w:r>
        <w:r w:rsidRPr="00FC437C">
          <w:rPr>
            <w:rStyle w:val="Hyperlink"/>
          </w:rPr>
          <w:t>Appeals Concerning Results of Chemical Analysis</w:t>
        </w:r>
        <w:r>
          <w:rPr>
            <w:webHidden/>
          </w:rPr>
          <w:tab/>
        </w:r>
        <w:r>
          <w:rPr>
            <w:webHidden/>
          </w:rPr>
          <w:fldChar w:fldCharType="begin"/>
        </w:r>
        <w:r>
          <w:rPr>
            <w:webHidden/>
          </w:rPr>
          <w:instrText xml:space="preserve"> PAGEREF _Toc224819007 \h </w:instrText>
        </w:r>
        <w:r>
          <w:rPr>
            <w:webHidden/>
          </w:rPr>
        </w:r>
        <w:r>
          <w:rPr>
            <w:webHidden/>
          </w:rPr>
          <w:fldChar w:fldCharType="separate"/>
        </w:r>
        <w:r w:rsidR="00AA17AB">
          <w:rPr>
            <w:webHidden/>
          </w:rPr>
          <w:t>206</w:t>
        </w:r>
        <w:r>
          <w:rPr>
            <w:webHidden/>
          </w:rPr>
          <w:fldChar w:fldCharType="end"/>
        </w:r>
      </w:hyperlink>
    </w:p>
    <w:p w14:paraId="74323771" w14:textId="79AC9AA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8" w:history="1">
        <w:r w:rsidRPr="00FC437C">
          <w:rPr>
            <w:rStyle w:val="Hyperlink"/>
          </w:rPr>
          <w:t>§165.</w:t>
        </w:r>
        <w:r>
          <w:rPr>
            <w:rFonts w:asciiTheme="minorHAnsi" w:eastAsiaTheme="minorEastAsia" w:hAnsiTheme="minorHAnsi" w:cstheme="minorBidi"/>
            <w:color w:val="auto"/>
            <w:kern w:val="2"/>
            <w:szCs w:val="24"/>
            <w14:ligatures w14:val="standardContextual"/>
          </w:rPr>
          <w:tab/>
        </w:r>
        <w:r w:rsidRPr="00FC437C">
          <w:rPr>
            <w:rStyle w:val="Hyperlink"/>
          </w:rPr>
          <w:t>Appeals Concerning Probationary Status</w:t>
        </w:r>
        <w:r>
          <w:rPr>
            <w:webHidden/>
          </w:rPr>
          <w:tab/>
        </w:r>
        <w:r>
          <w:rPr>
            <w:webHidden/>
          </w:rPr>
          <w:fldChar w:fldCharType="begin"/>
        </w:r>
        <w:r>
          <w:rPr>
            <w:webHidden/>
          </w:rPr>
          <w:instrText xml:space="preserve"> PAGEREF _Toc224819008 \h </w:instrText>
        </w:r>
        <w:r>
          <w:rPr>
            <w:webHidden/>
          </w:rPr>
        </w:r>
        <w:r>
          <w:rPr>
            <w:webHidden/>
          </w:rPr>
          <w:fldChar w:fldCharType="separate"/>
        </w:r>
        <w:r w:rsidR="00AA17AB">
          <w:rPr>
            <w:webHidden/>
          </w:rPr>
          <w:t>206</w:t>
        </w:r>
        <w:r>
          <w:rPr>
            <w:webHidden/>
          </w:rPr>
          <w:fldChar w:fldCharType="end"/>
        </w:r>
      </w:hyperlink>
    </w:p>
    <w:p w14:paraId="4585E65B" w14:textId="10C1E45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09" w:history="1">
        <w:r w:rsidRPr="00FC437C">
          <w:rPr>
            <w:rStyle w:val="Hyperlink"/>
          </w:rPr>
          <w:t>§167.</w:t>
        </w:r>
        <w:r>
          <w:rPr>
            <w:rFonts w:asciiTheme="minorHAnsi" w:eastAsiaTheme="minorEastAsia" w:hAnsiTheme="minorHAnsi" w:cstheme="minorBidi"/>
            <w:color w:val="auto"/>
            <w:kern w:val="2"/>
            <w:szCs w:val="24"/>
            <w14:ligatures w14:val="standardContextual"/>
          </w:rPr>
          <w:tab/>
        </w:r>
        <w:r w:rsidRPr="00FC437C">
          <w:rPr>
            <w:rStyle w:val="Hyperlink"/>
          </w:rPr>
          <w:t xml:space="preserve">Public Hearing on Cancellation of Registration/Denial of Application for Renewal </w:t>
        </w:r>
        <w:r w:rsidR="00676FBC">
          <w:rPr>
            <w:rStyle w:val="Hyperlink"/>
          </w:rPr>
          <w:br/>
        </w:r>
        <w:r w:rsidR="00676FBC">
          <w:rPr>
            <w:rStyle w:val="Hyperlink"/>
          </w:rPr>
          <w:tab/>
        </w:r>
        <w:r w:rsidRPr="00FC437C">
          <w:rPr>
            <w:rStyle w:val="Hyperlink"/>
          </w:rPr>
          <w:t>of Registration</w:t>
        </w:r>
        <w:r>
          <w:rPr>
            <w:webHidden/>
          </w:rPr>
          <w:tab/>
        </w:r>
        <w:r>
          <w:rPr>
            <w:webHidden/>
          </w:rPr>
          <w:fldChar w:fldCharType="begin"/>
        </w:r>
        <w:r>
          <w:rPr>
            <w:webHidden/>
          </w:rPr>
          <w:instrText xml:space="preserve"> PAGEREF _Toc224819009 \h </w:instrText>
        </w:r>
        <w:r>
          <w:rPr>
            <w:webHidden/>
          </w:rPr>
        </w:r>
        <w:r>
          <w:rPr>
            <w:webHidden/>
          </w:rPr>
          <w:fldChar w:fldCharType="separate"/>
        </w:r>
        <w:r w:rsidR="00AA17AB">
          <w:rPr>
            <w:webHidden/>
          </w:rPr>
          <w:t>206</w:t>
        </w:r>
        <w:r>
          <w:rPr>
            <w:webHidden/>
          </w:rPr>
          <w:fldChar w:fldCharType="end"/>
        </w:r>
      </w:hyperlink>
    </w:p>
    <w:p w14:paraId="3CE31816" w14:textId="3A9E1ED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10" w:history="1">
        <w:r w:rsidRPr="00FC437C">
          <w:rPr>
            <w:rStyle w:val="Hyperlink"/>
          </w:rPr>
          <w:t>§169.</w:t>
        </w:r>
        <w:r>
          <w:rPr>
            <w:rFonts w:asciiTheme="minorHAnsi" w:eastAsiaTheme="minorEastAsia" w:hAnsiTheme="minorHAnsi" w:cstheme="minorBidi"/>
            <w:color w:val="auto"/>
            <w:kern w:val="2"/>
            <w:szCs w:val="24"/>
            <w14:ligatures w14:val="standardContextual"/>
          </w:rPr>
          <w:tab/>
        </w:r>
        <w:r w:rsidRPr="00FC437C">
          <w:rPr>
            <w:rStyle w:val="Hyperlink"/>
          </w:rPr>
          <w:t>Confidentiality of Records</w:t>
        </w:r>
        <w:r>
          <w:rPr>
            <w:webHidden/>
          </w:rPr>
          <w:tab/>
        </w:r>
        <w:r>
          <w:rPr>
            <w:webHidden/>
          </w:rPr>
          <w:fldChar w:fldCharType="begin"/>
        </w:r>
        <w:r>
          <w:rPr>
            <w:webHidden/>
          </w:rPr>
          <w:instrText xml:space="preserve"> PAGEREF _Toc224819010 \h </w:instrText>
        </w:r>
        <w:r>
          <w:rPr>
            <w:webHidden/>
          </w:rPr>
        </w:r>
        <w:r>
          <w:rPr>
            <w:webHidden/>
          </w:rPr>
          <w:fldChar w:fldCharType="separate"/>
        </w:r>
        <w:r w:rsidR="00AA17AB">
          <w:rPr>
            <w:webHidden/>
          </w:rPr>
          <w:t>206</w:t>
        </w:r>
        <w:r>
          <w:rPr>
            <w:webHidden/>
          </w:rPr>
          <w:fldChar w:fldCharType="end"/>
        </w:r>
      </w:hyperlink>
    </w:p>
    <w:p w14:paraId="6F1FD476" w14:textId="33A8D860" w:rsidR="00E67799" w:rsidRDefault="00E67799">
      <w:pPr>
        <w:pStyle w:val="TOC1"/>
        <w:rPr>
          <w:rFonts w:asciiTheme="minorHAnsi" w:hAnsiTheme="minorHAnsi" w:cstheme="minorBidi"/>
          <w:b w:val="0"/>
          <w:bCs w:val="0"/>
          <w:sz w:val="24"/>
          <w:szCs w:val="24"/>
        </w:rPr>
      </w:pPr>
      <w:hyperlink w:anchor="_Toc224819011" w:history="1">
        <w:r w:rsidRPr="00FC437C">
          <w:rPr>
            <w:rStyle w:val="Hyperlink"/>
          </w:rPr>
          <w:t>Part XIX.  Agriculture Liming Materials</w:t>
        </w:r>
      </w:hyperlink>
    </w:p>
    <w:p w14:paraId="3326B638" w14:textId="4A658A02" w:rsidR="00E67799" w:rsidRDefault="00E67799">
      <w:pPr>
        <w:pStyle w:val="TOC2"/>
        <w:rPr>
          <w:rFonts w:asciiTheme="minorHAnsi" w:eastAsiaTheme="minorEastAsia" w:hAnsiTheme="minorHAnsi" w:cstheme="minorBidi"/>
          <w:kern w:val="2"/>
          <w:szCs w:val="24"/>
          <w14:ligatures w14:val="standardContextual"/>
        </w:rPr>
      </w:pPr>
      <w:hyperlink w:anchor="_Toc224819012"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_Toc224819012 \h </w:instrText>
        </w:r>
        <w:r>
          <w:rPr>
            <w:webHidden/>
          </w:rPr>
        </w:r>
        <w:r>
          <w:rPr>
            <w:webHidden/>
          </w:rPr>
          <w:fldChar w:fldCharType="separate"/>
        </w:r>
        <w:r w:rsidR="00AA17AB">
          <w:rPr>
            <w:webHidden/>
          </w:rPr>
          <w:t>207</w:t>
        </w:r>
        <w:r>
          <w:rPr>
            <w:webHidden/>
          </w:rPr>
          <w:fldChar w:fldCharType="end"/>
        </w:r>
      </w:hyperlink>
    </w:p>
    <w:p w14:paraId="6F2945DA" w14:textId="3757094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13"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Analysis and Deficiencies</w:t>
        </w:r>
        <w:r>
          <w:rPr>
            <w:webHidden/>
          </w:rPr>
          <w:tab/>
        </w:r>
        <w:r>
          <w:rPr>
            <w:webHidden/>
          </w:rPr>
          <w:fldChar w:fldCharType="begin"/>
        </w:r>
        <w:r>
          <w:rPr>
            <w:webHidden/>
          </w:rPr>
          <w:instrText xml:space="preserve"> PAGEREF _Toc224819013 \h </w:instrText>
        </w:r>
        <w:r>
          <w:rPr>
            <w:webHidden/>
          </w:rPr>
        </w:r>
        <w:r>
          <w:rPr>
            <w:webHidden/>
          </w:rPr>
          <w:fldChar w:fldCharType="separate"/>
        </w:r>
        <w:r w:rsidR="00AA17AB">
          <w:rPr>
            <w:webHidden/>
          </w:rPr>
          <w:t>207</w:t>
        </w:r>
        <w:r>
          <w:rPr>
            <w:webHidden/>
          </w:rPr>
          <w:fldChar w:fldCharType="end"/>
        </w:r>
      </w:hyperlink>
    </w:p>
    <w:p w14:paraId="1D69AF4A" w14:textId="5DB3E583" w:rsidR="00E67799" w:rsidRDefault="00E67799">
      <w:pPr>
        <w:pStyle w:val="TOC1"/>
        <w:rPr>
          <w:rFonts w:asciiTheme="minorHAnsi" w:hAnsiTheme="minorHAnsi" w:cstheme="minorBidi"/>
          <w:b w:val="0"/>
          <w:bCs w:val="0"/>
          <w:sz w:val="24"/>
          <w:szCs w:val="24"/>
        </w:rPr>
      </w:pPr>
      <w:hyperlink w:anchor="_Toc224819014" w:history="1">
        <w:r w:rsidRPr="00FC437C">
          <w:rPr>
            <w:rStyle w:val="Hyperlink"/>
          </w:rPr>
          <w:t>Part XXI.  Animals and Animal Health</w:t>
        </w:r>
      </w:hyperlink>
    </w:p>
    <w:p w14:paraId="7A765D5B" w14:textId="7A342D95" w:rsidR="00E67799" w:rsidRDefault="00E67799">
      <w:pPr>
        <w:pStyle w:val="TOC2"/>
        <w:rPr>
          <w:rFonts w:asciiTheme="minorHAnsi" w:eastAsiaTheme="minorEastAsia" w:hAnsiTheme="minorHAnsi" w:cstheme="minorBidi"/>
          <w:kern w:val="2"/>
          <w:szCs w:val="24"/>
          <w14:ligatures w14:val="standardContextual"/>
        </w:rPr>
      </w:pPr>
      <w:hyperlink w:anchor="_Toc224819015"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General Provisions; Administrative Matters</w:t>
        </w:r>
        <w:r>
          <w:rPr>
            <w:webHidden/>
          </w:rPr>
          <w:tab/>
        </w:r>
        <w:r>
          <w:rPr>
            <w:webHidden/>
          </w:rPr>
          <w:fldChar w:fldCharType="begin"/>
        </w:r>
        <w:r>
          <w:rPr>
            <w:webHidden/>
          </w:rPr>
          <w:instrText xml:space="preserve"> PAGEREF _Toc224819015 \h </w:instrText>
        </w:r>
        <w:r>
          <w:rPr>
            <w:webHidden/>
          </w:rPr>
        </w:r>
        <w:r>
          <w:rPr>
            <w:webHidden/>
          </w:rPr>
          <w:fldChar w:fldCharType="separate"/>
        </w:r>
        <w:r w:rsidR="00AA17AB">
          <w:rPr>
            <w:webHidden/>
          </w:rPr>
          <w:t>209</w:t>
        </w:r>
        <w:r>
          <w:rPr>
            <w:webHidden/>
          </w:rPr>
          <w:fldChar w:fldCharType="end"/>
        </w:r>
      </w:hyperlink>
    </w:p>
    <w:p w14:paraId="29E86418" w14:textId="3DBD487A" w:rsidR="00E67799" w:rsidRDefault="00E67799">
      <w:pPr>
        <w:pStyle w:val="TOC2"/>
        <w:rPr>
          <w:rFonts w:asciiTheme="minorHAnsi" w:eastAsiaTheme="minorEastAsia" w:hAnsiTheme="minorHAnsi" w:cstheme="minorBidi"/>
          <w:kern w:val="2"/>
          <w:szCs w:val="24"/>
          <w14:ligatures w14:val="standardContextual"/>
        </w:rPr>
      </w:pPr>
      <w:hyperlink w:anchor="_Toc224819016"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_Toc224819016 \h </w:instrText>
        </w:r>
        <w:r>
          <w:rPr>
            <w:webHidden/>
          </w:rPr>
        </w:r>
        <w:r>
          <w:rPr>
            <w:webHidden/>
          </w:rPr>
          <w:fldChar w:fldCharType="separate"/>
        </w:r>
        <w:r w:rsidR="00AA17AB">
          <w:rPr>
            <w:webHidden/>
          </w:rPr>
          <w:t>209</w:t>
        </w:r>
        <w:r>
          <w:rPr>
            <w:webHidden/>
          </w:rPr>
          <w:fldChar w:fldCharType="end"/>
        </w:r>
      </w:hyperlink>
    </w:p>
    <w:p w14:paraId="5354C642" w14:textId="0111DC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17"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_Toc224819017 \h </w:instrText>
        </w:r>
        <w:r>
          <w:rPr>
            <w:webHidden/>
          </w:rPr>
        </w:r>
        <w:r>
          <w:rPr>
            <w:webHidden/>
          </w:rPr>
          <w:fldChar w:fldCharType="separate"/>
        </w:r>
        <w:r w:rsidR="00AA17AB">
          <w:rPr>
            <w:webHidden/>
          </w:rPr>
          <w:t>209</w:t>
        </w:r>
        <w:r>
          <w:rPr>
            <w:webHidden/>
          </w:rPr>
          <w:fldChar w:fldCharType="end"/>
        </w:r>
      </w:hyperlink>
    </w:p>
    <w:p w14:paraId="7646AE23" w14:textId="3B984D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18"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Prohibited Removal of Official or Permanent Animal Identification</w:t>
        </w:r>
        <w:r>
          <w:rPr>
            <w:webHidden/>
          </w:rPr>
          <w:tab/>
        </w:r>
        <w:r>
          <w:rPr>
            <w:webHidden/>
          </w:rPr>
          <w:fldChar w:fldCharType="begin"/>
        </w:r>
        <w:r>
          <w:rPr>
            <w:webHidden/>
          </w:rPr>
          <w:instrText xml:space="preserve"> PAGEREF _Toc224819018 \h </w:instrText>
        </w:r>
        <w:r>
          <w:rPr>
            <w:webHidden/>
          </w:rPr>
        </w:r>
        <w:r>
          <w:rPr>
            <w:webHidden/>
          </w:rPr>
          <w:fldChar w:fldCharType="separate"/>
        </w:r>
        <w:r w:rsidR="00AA17AB">
          <w:rPr>
            <w:webHidden/>
          </w:rPr>
          <w:t>213</w:t>
        </w:r>
        <w:r>
          <w:rPr>
            <w:webHidden/>
          </w:rPr>
          <w:fldChar w:fldCharType="end"/>
        </w:r>
      </w:hyperlink>
    </w:p>
    <w:p w14:paraId="10935E97" w14:textId="4B650A2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19"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Requiring the Reporting of Contagious Diseases (Formerly §121)</w:t>
        </w:r>
        <w:r>
          <w:rPr>
            <w:webHidden/>
          </w:rPr>
          <w:tab/>
        </w:r>
        <w:r>
          <w:rPr>
            <w:webHidden/>
          </w:rPr>
          <w:fldChar w:fldCharType="begin"/>
        </w:r>
        <w:r>
          <w:rPr>
            <w:webHidden/>
          </w:rPr>
          <w:instrText xml:space="preserve"> PAGEREF _Toc224819019 \h </w:instrText>
        </w:r>
        <w:r>
          <w:rPr>
            <w:webHidden/>
          </w:rPr>
        </w:r>
        <w:r>
          <w:rPr>
            <w:webHidden/>
          </w:rPr>
          <w:fldChar w:fldCharType="separate"/>
        </w:r>
        <w:r w:rsidR="00AA17AB">
          <w:rPr>
            <w:webHidden/>
          </w:rPr>
          <w:t>214</w:t>
        </w:r>
        <w:r>
          <w:rPr>
            <w:webHidden/>
          </w:rPr>
          <w:fldChar w:fldCharType="end"/>
        </w:r>
      </w:hyperlink>
    </w:p>
    <w:p w14:paraId="00A093A9" w14:textId="1A5C566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0"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Intrastate Manufacture, Sale or Distribution of Animal Vaccines (Formerly §123)</w:t>
        </w:r>
        <w:r>
          <w:rPr>
            <w:webHidden/>
          </w:rPr>
          <w:tab/>
        </w:r>
        <w:r>
          <w:rPr>
            <w:webHidden/>
          </w:rPr>
          <w:fldChar w:fldCharType="begin"/>
        </w:r>
        <w:r>
          <w:rPr>
            <w:webHidden/>
          </w:rPr>
          <w:instrText xml:space="preserve"> PAGEREF _Toc224819020 \h </w:instrText>
        </w:r>
        <w:r>
          <w:rPr>
            <w:webHidden/>
          </w:rPr>
        </w:r>
        <w:r>
          <w:rPr>
            <w:webHidden/>
          </w:rPr>
          <w:fldChar w:fldCharType="separate"/>
        </w:r>
        <w:r w:rsidR="00AA17AB">
          <w:rPr>
            <w:webHidden/>
          </w:rPr>
          <w:t>214</w:t>
        </w:r>
        <w:r>
          <w:rPr>
            <w:webHidden/>
          </w:rPr>
          <w:fldChar w:fldCharType="end"/>
        </w:r>
      </w:hyperlink>
    </w:p>
    <w:p w14:paraId="2B4D74D7" w14:textId="2F8CBC8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1"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Tuberculin Tests (Formerly §125)</w:t>
        </w:r>
        <w:r>
          <w:rPr>
            <w:webHidden/>
          </w:rPr>
          <w:tab/>
        </w:r>
        <w:r>
          <w:rPr>
            <w:webHidden/>
          </w:rPr>
          <w:fldChar w:fldCharType="begin"/>
        </w:r>
        <w:r>
          <w:rPr>
            <w:webHidden/>
          </w:rPr>
          <w:instrText xml:space="preserve"> PAGEREF _Toc224819021 \h </w:instrText>
        </w:r>
        <w:r>
          <w:rPr>
            <w:webHidden/>
          </w:rPr>
        </w:r>
        <w:r>
          <w:rPr>
            <w:webHidden/>
          </w:rPr>
          <w:fldChar w:fldCharType="separate"/>
        </w:r>
        <w:r w:rsidR="00AA17AB">
          <w:rPr>
            <w:webHidden/>
          </w:rPr>
          <w:t>214</w:t>
        </w:r>
        <w:r>
          <w:rPr>
            <w:webHidden/>
          </w:rPr>
          <w:fldChar w:fldCharType="end"/>
        </w:r>
      </w:hyperlink>
    </w:p>
    <w:p w14:paraId="558829A8" w14:textId="45E2766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2"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Conditions for Issuing a Quarantined Feedlot Permit (Formerly §131)</w:t>
        </w:r>
        <w:r>
          <w:rPr>
            <w:webHidden/>
          </w:rPr>
          <w:tab/>
        </w:r>
        <w:r>
          <w:rPr>
            <w:webHidden/>
          </w:rPr>
          <w:fldChar w:fldCharType="begin"/>
        </w:r>
        <w:r>
          <w:rPr>
            <w:webHidden/>
          </w:rPr>
          <w:instrText xml:space="preserve"> PAGEREF _Toc224819022 \h </w:instrText>
        </w:r>
        <w:r>
          <w:rPr>
            <w:webHidden/>
          </w:rPr>
        </w:r>
        <w:r>
          <w:rPr>
            <w:webHidden/>
          </w:rPr>
          <w:fldChar w:fldCharType="separate"/>
        </w:r>
        <w:r w:rsidR="00AA17AB">
          <w:rPr>
            <w:webHidden/>
          </w:rPr>
          <w:t>215</w:t>
        </w:r>
        <w:r>
          <w:rPr>
            <w:webHidden/>
          </w:rPr>
          <w:fldChar w:fldCharType="end"/>
        </w:r>
      </w:hyperlink>
    </w:p>
    <w:p w14:paraId="63B2F74C" w14:textId="1CE1021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3"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Source and Amount of Indemnification (Formerly §133)</w:t>
        </w:r>
        <w:r>
          <w:rPr>
            <w:webHidden/>
          </w:rPr>
          <w:tab/>
        </w:r>
        <w:r>
          <w:rPr>
            <w:webHidden/>
          </w:rPr>
          <w:fldChar w:fldCharType="begin"/>
        </w:r>
        <w:r>
          <w:rPr>
            <w:webHidden/>
          </w:rPr>
          <w:instrText xml:space="preserve"> PAGEREF _Toc224819023 \h </w:instrText>
        </w:r>
        <w:r>
          <w:rPr>
            <w:webHidden/>
          </w:rPr>
        </w:r>
        <w:r>
          <w:rPr>
            <w:webHidden/>
          </w:rPr>
          <w:fldChar w:fldCharType="separate"/>
        </w:r>
        <w:r w:rsidR="00AA17AB">
          <w:rPr>
            <w:webHidden/>
          </w:rPr>
          <w:t>215</w:t>
        </w:r>
        <w:r>
          <w:rPr>
            <w:webHidden/>
          </w:rPr>
          <w:fldChar w:fldCharType="end"/>
        </w:r>
      </w:hyperlink>
    </w:p>
    <w:p w14:paraId="63C5F7EC" w14:textId="4575415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4"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 xml:space="preserve">Repeal Rules and Regulations Previously Adopted by the Livestock Sanitary Board </w:t>
        </w:r>
        <w:r w:rsidR="00676FBC">
          <w:rPr>
            <w:rStyle w:val="Hyperlink"/>
          </w:rPr>
          <w:br/>
        </w:r>
        <w:r w:rsidR="00676FBC">
          <w:rPr>
            <w:rStyle w:val="Hyperlink"/>
          </w:rPr>
          <w:tab/>
        </w:r>
        <w:r w:rsidRPr="00FC437C">
          <w:rPr>
            <w:rStyle w:val="Hyperlink"/>
          </w:rPr>
          <w:t>(Formerly §2901)</w:t>
        </w:r>
        <w:r>
          <w:rPr>
            <w:webHidden/>
          </w:rPr>
          <w:tab/>
        </w:r>
        <w:r>
          <w:rPr>
            <w:webHidden/>
          </w:rPr>
          <w:fldChar w:fldCharType="begin"/>
        </w:r>
        <w:r>
          <w:rPr>
            <w:webHidden/>
          </w:rPr>
          <w:instrText xml:space="preserve"> PAGEREF _Toc224819024 \h </w:instrText>
        </w:r>
        <w:r>
          <w:rPr>
            <w:webHidden/>
          </w:rPr>
        </w:r>
        <w:r>
          <w:rPr>
            <w:webHidden/>
          </w:rPr>
          <w:fldChar w:fldCharType="separate"/>
        </w:r>
        <w:r w:rsidR="00AA17AB">
          <w:rPr>
            <w:webHidden/>
          </w:rPr>
          <w:t>215</w:t>
        </w:r>
        <w:r>
          <w:rPr>
            <w:webHidden/>
          </w:rPr>
          <w:fldChar w:fldCharType="end"/>
        </w:r>
      </w:hyperlink>
    </w:p>
    <w:p w14:paraId="3CC5065B" w14:textId="00BE1F1F"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25" w:history="1">
        <w:r w:rsidRPr="00FC437C">
          <w:rPr>
            <w:rStyle w:val="Hyperlink"/>
          </w:rPr>
          <w:t>§§117-119.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_Toc224819025 \h </w:instrText>
        </w:r>
        <w:r>
          <w:rPr>
            <w:webHidden/>
          </w:rPr>
        </w:r>
        <w:r>
          <w:rPr>
            <w:webHidden/>
          </w:rPr>
          <w:fldChar w:fldCharType="separate"/>
        </w:r>
        <w:r w:rsidR="00AA17AB">
          <w:rPr>
            <w:webHidden/>
          </w:rPr>
          <w:t>215</w:t>
        </w:r>
        <w:r>
          <w:rPr>
            <w:webHidden/>
          </w:rPr>
          <w:fldChar w:fldCharType="end"/>
        </w:r>
      </w:hyperlink>
    </w:p>
    <w:p w14:paraId="6D91A0EE" w14:textId="1431500C" w:rsidR="00E67799" w:rsidRDefault="00E67799">
      <w:pPr>
        <w:pStyle w:val="TOC2"/>
        <w:rPr>
          <w:rFonts w:asciiTheme="minorHAnsi" w:eastAsiaTheme="minorEastAsia" w:hAnsiTheme="minorHAnsi" w:cstheme="minorBidi"/>
          <w:kern w:val="2"/>
          <w:szCs w:val="24"/>
          <w14:ligatures w14:val="standardContextual"/>
        </w:rPr>
      </w:pPr>
      <w:hyperlink w:anchor="_Toc224819026"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Board of Animal Health</w:t>
        </w:r>
        <w:r>
          <w:rPr>
            <w:webHidden/>
          </w:rPr>
          <w:tab/>
        </w:r>
        <w:r>
          <w:rPr>
            <w:webHidden/>
          </w:rPr>
          <w:fldChar w:fldCharType="begin"/>
        </w:r>
        <w:r>
          <w:rPr>
            <w:webHidden/>
          </w:rPr>
          <w:instrText xml:space="preserve"> PAGEREF _Toc224819026 \h </w:instrText>
        </w:r>
        <w:r>
          <w:rPr>
            <w:webHidden/>
          </w:rPr>
        </w:r>
        <w:r>
          <w:rPr>
            <w:webHidden/>
          </w:rPr>
          <w:fldChar w:fldCharType="separate"/>
        </w:r>
        <w:r w:rsidR="00AA17AB">
          <w:rPr>
            <w:webHidden/>
          </w:rPr>
          <w:t>215</w:t>
        </w:r>
        <w:r>
          <w:rPr>
            <w:webHidden/>
          </w:rPr>
          <w:fldChar w:fldCharType="end"/>
        </w:r>
      </w:hyperlink>
    </w:p>
    <w:p w14:paraId="06D7BC6E" w14:textId="09DA9D6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27"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Affairs of the Board (Formerly §105)</w:t>
        </w:r>
        <w:r>
          <w:rPr>
            <w:webHidden/>
          </w:rPr>
          <w:tab/>
        </w:r>
        <w:r>
          <w:rPr>
            <w:webHidden/>
          </w:rPr>
          <w:fldChar w:fldCharType="begin"/>
        </w:r>
        <w:r>
          <w:rPr>
            <w:webHidden/>
          </w:rPr>
          <w:instrText xml:space="preserve"> PAGEREF _Toc224819027 \h </w:instrText>
        </w:r>
        <w:r>
          <w:rPr>
            <w:webHidden/>
          </w:rPr>
        </w:r>
        <w:r>
          <w:rPr>
            <w:webHidden/>
          </w:rPr>
          <w:fldChar w:fldCharType="separate"/>
        </w:r>
        <w:r w:rsidR="00AA17AB">
          <w:rPr>
            <w:webHidden/>
          </w:rPr>
          <w:t>215</w:t>
        </w:r>
        <w:r>
          <w:rPr>
            <w:webHidden/>
          </w:rPr>
          <w:fldChar w:fldCharType="end"/>
        </w:r>
      </w:hyperlink>
    </w:p>
    <w:p w14:paraId="1D648614" w14:textId="0F5F90F1"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28" w:history="1">
        <w:r w:rsidRPr="00FC437C">
          <w:rPr>
            <w:rStyle w:val="Hyperlink"/>
          </w:rPr>
          <w:t>§§123-129.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_Toc224819028 \h </w:instrText>
        </w:r>
        <w:r>
          <w:rPr>
            <w:webHidden/>
          </w:rPr>
        </w:r>
        <w:r>
          <w:rPr>
            <w:webHidden/>
          </w:rPr>
          <w:fldChar w:fldCharType="separate"/>
        </w:r>
        <w:r w:rsidR="00AA17AB">
          <w:rPr>
            <w:webHidden/>
          </w:rPr>
          <w:t>216</w:t>
        </w:r>
        <w:r>
          <w:rPr>
            <w:webHidden/>
          </w:rPr>
          <w:fldChar w:fldCharType="end"/>
        </w:r>
      </w:hyperlink>
    </w:p>
    <w:p w14:paraId="347876FF" w14:textId="490B4805" w:rsidR="00E67799" w:rsidRDefault="00E67799">
      <w:pPr>
        <w:pStyle w:val="TOC2"/>
        <w:rPr>
          <w:rFonts w:asciiTheme="minorHAnsi" w:eastAsiaTheme="minorEastAsia" w:hAnsiTheme="minorHAnsi" w:cstheme="minorBidi"/>
          <w:kern w:val="2"/>
          <w:szCs w:val="24"/>
          <w14:ligatures w14:val="standardContextual"/>
        </w:rPr>
      </w:pPr>
      <w:hyperlink w:anchor="_Toc224819029"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State Veterinarian</w:t>
        </w:r>
        <w:r>
          <w:rPr>
            <w:webHidden/>
          </w:rPr>
          <w:tab/>
        </w:r>
        <w:r>
          <w:rPr>
            <w:webHidden/>
          </w:rPr>
          <w:fldChar w:fldCharType="begin"/>
        </w:r>
        <w:r>
          <w:rPr>
            <w:webHidden/>
          </w:rPr>
          <w:instrText xml:space="preserve"> PAGEREF _Toc224819029 \h </w:instrText>
        </w:r>
        <w:r>
          <w:rPr>
            <w:webHidden/>
          </w:rPr>
        </w:r>
        <w:r>
          <w:rPr>
            <w:webHidden/>
          </w:rPr>
          <w:fldChar w:fldCharType="separate"/>
        </w:r>
        <w:r w:rsidR="00AA17AB">
          <w:rPr>
            <w:webHidden/>
          </w:rPr>
          <w:t>216</w:t>
        </w:r>
        <w:r>
          <w:rPr>
            <w:webHidden/>
          </w:rPr>
          <w:fldChar w:fldCharType="end"/>
        </w:r>
      </w:hyperlink>
    </w:p>
    <w:p w14:paraId="0C79E44A" w14:textId="57A554A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0"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Cooperation with USDA, APHIS, Veterinary Services (Formerly §127)</w:t>
        </w:r>
        <w:r>
          <w:rPr>
            <w:webHidden/>
          </w:rPr>
          <w:tab/>
        </w:r>
        <w:r>
          <w:rPr>
            <w:webHidden/>
          </w:rPr>
          <w:fldChar w:fldCharType="begin"/>
        </w:r>
        <w:r>
          <w:rPr>
            <w:webHidden/>
          </w:rPr>
          <w:instrText xml:space="preserve"> PAGEREF _Toc224819030 \h </w:instrText>
        </w:r>
        <w:r>
          <w:rPr>
            <w:webHidden/>
          </w:rPr>
        </w:r>
        <w:r>
          <w:rPr>
            <w:webHidden/>
          </w:rPr>
          <w:fldChar w:fldCharType="separate"/>
        </w:r>
        <w:r w:rsidR="00AA17AB">
          <w:rPr>
            <w:webHidden/>
          </w:rPr>
          <w:t>216</w:t>
        </w:r>
        <w:r>
          <w:rPr>
            <w:webHidden/>
          </w:rPr>
          <w:fldChar w:fldCharType="end"/>
        </w:r>
      </w:hyperlink>
    </w:p>
    <w:p w14:paraId="3B37A195" w14:textId="3299CCC0" w:rsidR="00E67799" w:rsidRDefault="00E67799">
      <w:pPr>
        <w:pStyle w:val="TOC2"/>
        <w:rPr>
          <w:rFonts w:asciiTheme="minorHAnsi" w:eastAsiaTheme="minorEastAsia" w:hAnsiTheme="minorHAnsi" w:cstheme="minorBidi"/>
          <w:kern w:val="2"/>
          <w:szCs w:val="24"/>
          <w14:ligatures w14:val="standardContextual"/>
        </w:rPr>
      </w:pPr>
      <w:hyperlink w:anchor="_Toc224819031"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Livestock Auction Markets; Market Agencies; Dealers</w:t>
        </w:r>
        <w:r>
          <w:rPr>
            <w:webHidden/>
          </w:rPr>
          <w:tab/>
        </w:r>
        <w:r>
          <w:rPr>
            <w:webHidden/>
          </w:rPr>
          <w:fldChar w:fldCharType="begin"/>
        </w:r>
        <w:r>
          <w:rPr>
            <w:webHidden/>
          </w:rPr>
          <w:instrText xml:space="preserve"> PAGEREF _Toc224819031 \h </w:instrText>
        </w:r>
        <w:r>
          <w:rPr>
            <w:webHidden/>
          </w:rPr>
        </w:r>
        <w:r>
          <w:rPr>
            <w:webHidden/>
          </w:rPr>
          <w:fldChar w:fldCharType="separate"/>
        </w:r>
        <w:r w:rsidR="00AA17AB">
          <w:rPr>
            <w:webHidden/>
          </w:rPr>
          <w:t>216</w:t>
        </w:r>
        <w:r>
          <w:rPr>
            <w:webHidden/>
          </w:rPr>
          <w:fldChar w:fldCharType="end"/>
        </w:r>
      </w:hyperlink>
    </w:p>
    <w:p w14:paraId="603E9B88" w14:textId="1D7F0C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2"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Livestock Auction Market Requirements (Formerly §111)</w:t>
        </w:r>
        <w:r>
          <w:rPr>
            <w:webHidden/>
          </w:rPr>
          <w:tab/>
        </w:r>
        <w:r>
          <w:rPr>
            <w:webHidden/>
          </w:rPr>
          <w:fldChar w:fldCharType="begin"/>
        </w:r>
        <w:r>
          <w:rPr>
            <w:webHidden/>
          </w:rPr>
          <w:instrText xml:space="preserve"> PAGEREF _Toc224819032 \h </w:instrText>
        </w:r>
        <w:r>
          <w:rPr>
            <w:webHidden/>
          </w:rPr>
        </w:r>
        <w:r>
          <w:rPr>
            <w:webHidden/>
          </w:rPr>
          <w:fldChar w:fldCharType="separate"/>
        </w:r>
        <w:r w:rsidR="00AA17AB">
          <w:rPr>
            <w:webHidden/>
          </w:rPr>
          <w:t>216</w:t>
        </w:r>
        <w:r>
          <w:rPr>
            <w:webHidden/>
          </w:rPr>
          <w:fldChar w:fldCharType="end"/>
        </w:r>
      </w:hyperlink>
    </w:p>
    <w:p w14:paraId="5CE19868" w14:textId="69CBDA3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3"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Livestock Video Auction Market Requirements (Formerly §113)</w:t>
        </w:r>
        <w:r>
          <w:rPr>
            <w:webHidden/>
          </w:rPr>
          <w:tab/>
        </w:r>
        <w:r>
          <w:rPr>
            <w:webHidden/>
          </w:rPr>
          <w:fldChar w:fldCharType="begin"/>
        </w:r>
        <w:r>
          <w:rPr>
            <w:webHidden/>
          </w:rPr>
          <w:instrText xml:space="preserve"> PAGEREF _Toc224819033 \h </w:instrText>
        </w:r>
        <w:r>
          <w:rPr>
            <w:webHidden/>
          </w:rPr>
        </w:r>
        <w:r>
          <w:rPr>
            <w:webHidden/>
          </w:rPr>
          <w:fldChar w:fldCharType="separate"/>
        </w:r>
        <w:r w:rsidR="00AA17AB">
          <w:rPr>
            <w:webHidden/>
          </w:rPr>
          <w:t>217</w:t>
        </w:r>
        <w:r>
          <w:rPr>
            <w:webHidden/>
          </w:rPr>
          <w:fldChar w:fldCharType="end"/>
        </w:r>
      </w:hyperlink>
    </w:p>
    <w:p w14:paraId="55A0AC1D" w14:textId="61DFBED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4"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Livestock Dealer General Requirements (Formerly §115)</w:t>
        </w:r>
        <w:r>
          <w:rPr>
            <w:webHidden/>
          </w:rPr>
          <w:tab/>
        </w:r>
        <w:r>
          <w:rPr>
            <w:webHidden/>
          </w:rPr>
          <w:fldChar w:fldCharType="begin"/>
        </w:r>
        <w:r>
          <w:rPr>
            <w:webHidden/>
          </w:rPr>
          <w:instrText xml:space="preserve"> PAGEREF _Toc224819034 \h </w:instrText>
        </w:r>
        <w:r>
          <w:rPr>
            <w:webHidden/>
          </w:rPr>
        </w:r>
        <w:r>
          <w:rPr>
            <w:webHidden/>
          </w:rPr>
          <w:fldChar w:fldCharType="separate"/>
        </w:r>
        <w:r w:rsidR="00AA17AB">
          <w:rPr>
            <w:webHidden/>
          </w:rPr>
          <w:t>219</w:t>
        </w:r>
        <w:r>
          <w:rPr>
            <w:webHidden/>
          </w:rPr>
          <w:fldChar w:fldCharType="end"/>
        </w:r>
      </w:hyperlink>
    </w:p>
    <w:p w14:paraId="0FF7C8AD" w14:textId="119EE753" w:rsidR="00E67799" w:rsidRDefault="00E67799">
      <w:pPr>
        <w:pStyle w:val="TOC2"/>
        <w:rPr>
          <w:rFonts w:asciiTheme="minorHAnsi" w:eastAsiaTheme="minorEastAsia" w:hAnsiTheme="minorHAnsi" w:cstheme="minorBidi"/>
          <w:kern w:val="2"/>
          <w:szCs w:val="24"/>
          <w14:ligatures w14:val="standardContextual"/>
        </w:rPr>
      </w:pPr>
      <w:hyperlink w:anchor="_Toc224819035" w:history="1">
        <w:r w:rsidRPr="00FC437C">
          <w:rPr>
            <w:rStyle w:val="Hyperlink"/>
          </w:rPr>
          <w:t>Chapter 4.</w:t>
        </w:r>
        <w:r>
          <w:rPr>
            <w:rFonts w:asciiTheme="minorHAnsi" w:eastAsiaTheme="minorEastAsia" w:hAnsiTheme="minorHAnsi" w:cstheme="minorBidi"/>
            <w:kern w:val="2"/>
            <w:szCs w:val="24"/>
            <w14:ligatures w14:val="standardContextual"/>
          </w:rPr>
          <w:tab/>
        </w:r>
        <w:r w:rsidRPr="00FC437C">
          <w:rPr>
            <w:rStyle w:val="Hyperlink"/>
          </w:rPr>
          <w:t>Livestock Brands and Marks</w:t>
        </w:r>
        <w:r>
          <w:rPr>
            <w:webHidden/>
          </w:rPr>
          <w:tab/>
        </w:r>
        <w:r>
          <w:rPr>
            <w:webHidden/>
          </w:rPr>
          <w:fldChar w:fldCharType="begin"/>
        </w:r>
        <w:r>
          <w:rPr>
            <w:webHidden/>
          </w:rPr>
          <w:instrText xml:space="preserve"> PAGEREF _Toc224819035 \h </w:instrText>
        </w:r>
        <w:r>
          <w:rPr>
            <w:webHidden/>
          </w:rPr>
        </w:r>
        <w:r>
          <w:rPr>
            <w:webHidden/>
          </w:rPr>
          <w:fldChar w:fldCharType="separate"/>
        </w:r>
        <w:r w:rsidR="00AA17AB">
          <w:rPr>
            <w:webHidden/>
          </w:rPr>
          <w:t>219</w:t>
        </w:r>
        <w:r>
          <w:rPr>
            <w:webHidden/>
          </w:rPr>
          <w:fldChar w:fldCharType="end"/>
        </w:r>
      </w:hyperlink>
    </w:p>
    <w:p w14:paraId="2FDA5D28" w14:textId="309B679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6" w:history="1">
        <w:r w:rsidRPr="00FC437C">
          <w:rPr>
            <w:rStyle w:val="Hyperlink"/>
          </w:rPr>
          <w:t>§401.</w:t>
        </w:r>
        <w:r>
          <w:rPr>
            <w:rFonts w:asciiTheme="minorHAnsi" w:eastAsiaTheme="minorEastAsia" w:hAnsiTheme="minorHAnsi" w:cstheme="minorBidi"/>
            <w:color w:val="auto"/>
            <w:kern w:val="2"/>
            <w:szCs w:val="24"/>
            <w14:ligatures w14:val="standardContextual"/>
          </w:rPr>
          <w:tab/>
        </w:r>
        <w:r w:rsidRPr="00FC437C">
          <w:rPr>
            <w:rStyle w:val="Hyperlink"/>
          </w:rPr>
          <w:t>Purpose; Definitions</w:t>
        </w:r>
        <w:r>
          <w:rPr>
            <w:webHidden/>
          </w:rPr>
          <w:tab/>
        </w:r>
        <w:r>
          <w:rPr>
            <w:webHidden/>
          </w:rPr>
          <w:fldChar w:fldCharType="begin"/>
        </w:r>
        <w:r>
          <w:rPr>
            <w:webHidden/>
          </w:rPr>
          <w:instrText xml:space="preserve"> PAGEREF _Toc224819036 \h </w:instrText>
        </w:r>
        <w:r>
          <w:rPr>
            <w:webHidden/>
          </w:rPr>
        </w:r>
        <w:r>
          <w:rPr>
            <w:webHidden/>
          </w:rPr>
          <w:fldChar w:fldCharType="separate"/>
        </w:r>
        <w:r w:rsidR="00AA17AB">
          <w:rPr>
            <w:webHidden/>
          </w:rPr>
          <w:t>219</w:t>
        </w:r>
        <w:r>
          <w:rPr>
            <w:webHidden/>
          </w:rPr>
          <w:fldChar w:fldCharType="end"/>
        </w:r>
      </w:hyperlink>
    </w:p>
    <w:p w14:paraId="673485DF" w14:textId="5BFE3FD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7" w:history="1">
        <w:r w:rsidRPr="00FC437C">
          <w:rPr>
            <w:rStyle w:val="Hyperlink"/>
          </w:rPr>
          <w:t>§403.</w:t>
        </w:r>
        <w:r>
          <w:rPr>
            <w:rFonts w:asciiTheme="minorHAnsi" w:eastAsiaTheme="minorEastAsia" w:hAnsiTheme="minorHAnsi" w:cstheme="minorBidi"/>
            <w:color w:val="auto"/>
            <w:kern w:val="2"/>
            <w:szCs w:val="24"/>
            <w14:ligatures w14:val="standardContextual"/>
          </w:rPr>
          <w:tab/>
        </w:r>
        <w:r w:rsidRPr="00FC437C">
          <w:rPr>
            <w:rStyle w:val="Hyperlink"/>
          </w:rPr>
          <w:t>Recordation of Brand and Marks, Generally</w:t>
        </w:r>
        <w:r>
          <w:rPr>
            <w:webHidden/>
          </w:rPr>
          <w:tab/>
        </w:r>
        <w:r>
          <w:rPr>
            <w:webHidden/>
          </w:rPr>
          <w:fldChar w:fldCharType="begin"/>
        </w:r>
        <w:r>
          <w:rPr>
            <w:webHidden/>
          </w:rPr>
          <w:instrText xml:space="preserve"> PAGEREF _Toc224819037 \h </w:instrText>
        </w:r>
        <w:r>
          <w:rPr>
            <w:webHidden/>
          </w:rPr>
        </w:r>
        <w:r>
          <w:rPr>
            <w:webHidden/>
          </w:rPr>
          <w:fldChar w:fldCharType="separate"/>
        </w:r>
        <w:r w:rsidR="00AA17AB">
          <w:rPr>
            <w:webHidden/>
          </w:rPr>
          <w:t>220</w:t>
        </w:r>
        <w:r>
          <w:rPr>
            <w:webHidden/>
          </w:rPr>
          <w:fldChar w:fldCharType="end"/>
        </w:r>
      </w:hyperlink>
    </w:p>
    <w:p w14:paraId="65009AA5" w14:textId="1E18987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8" w:history="1">
        <w:r w:rsidRPr="00FC437C">
          <w:rPr>
            <w:rStyle w:val="Hyperlink"/>
          </w:rPr>
          <w:t>§405.</w:t>
        </w:r>
        <w:r>
          <w:rPr>
            <w:rFonts w:asciiTheme="minorHAnsi" w:eastAsiaTheme="minorEastAsia" w:hAnsiTheme="minorHAnsi" w:cstheme="minorBidi"/>
            <w:color w:val="auto"/>
            <w:kern w:val="2"/>
            <w:szCs w:val="24"/>
            <w14:ligatures w14:val="standardContextual"/>
          </w:rPr>
          <w:tab/>
        </w:r>
        <w:r w:rsidRPr="00FC437C">
          <w:rPr>
            <w:rStyle w:val="Hyperlink"/>
          </w:rPr>
          <w:t>Types of Animals</w:t>
        </w:r>
        <w:r>
          <w:rPr>
            <w:webHidden/>
          </w:rPr>
          <w:tab/>
        </w:r>
        <w:r>
          <w:rPr>
            <w:webHidden/>
          </w:rPr>
          <w:fldChar w:fldCharType="begin"/>
        </w:r>
        <w:r>
          <w:rPr>
            <w:webHidden/>
          </w:rPr>
          <w:instrText xml:space="preserve"> PAGEREF _Toc224819038 \h </w:instrText>
        </w:r>
        <w:r>
          <w:rPr>
            <w:webHidden/>
          </w:rPr>
        </w:r>
        <w:r>
          <w:rPr>
            <w:webHidden/>
          </w:rPr>
          <w:fldChar w:fldCharType="separate"/>
        </w:r>
        <w:r w:rsidR="00AA17AB">
          <w:rPr>
            <w:webHidden/>
          </w:rPr>
          <w:t>220</w:t>
        </w:r>
        <w:r>
          <w:rPr>
            <w:webHidden/>
          </w:rPr>
          <w:fldChar w:fldCharType="end"/>
        </w:r>
      </w:hyperlink>
    </w:p>
    <w:p w14:paraId="63399597" w14:textId="48C4483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39" w:history="1">
        <w:r w:rsidRPr="00FC437C">
          <w:rPr>
            <w:rStyle w:val="Hyperlink"/>
          </w:rPr>
          <w:t>§407.</w:t>
        </w:r>
        <w:r>
          <w:rPr>
            <w:rFonts w:asciiTheme="minorHAnsi" w:eastAsiaTheme="minorEastAsia" w:hAnsiTheme="minorHAnsi" w:cstheme="minorBidi"/>
            <w:color w:val="auto"/>
            <w:kern w:val="2"/>
            <w:szCs w:val="24"/>
            <w14:ligatures w14:val="standardContextual"/>
          </w:rPr>
          <w:tab/>
        </w:r>
        <w:r w:rsidRPr="00FC437C">
          <w:rPr>
            <w:rStyle w:val="Hyperlink"/>
          </w:rPr>
          <w:t>Style, Design, and Size of Brands and Marks</w:t>
        </w:r>
        <w:r>
          <w:rPr>
            <w:webHidden/>
          </w:rPr>
          <w:tab/>
        </w:r>
        <w:r>
          <w:rPr>
            <w:webHidden/>
          </w:rPr>
          <w:fldChar w:fldCharType="begin"/>
        </w:r>
        <w:r>
          <w:rPr>
            <w:webHidden/>
          </w:rPr>
          <w:instrText xml:space="preserve"> PAGEREF _Toc224819039 \h </w:instrText>
        </w:r>
        <w:r>
          <w:rPr>
            <w:webHidden/>
          </w:rPr>
        </w:r>
        <w:r>
          <w:rPr>
            <w:webHidden/>
          </w:rPr>
          <w:fldChar w:fldCharType="separate"/>
        </w:r>
        <w:r w:rsidR="00AA17AB">
          <w:rPr>
            <w:webHidden/>
          </w:rPr>
          <w:t>220</w:t>
        </w:r>
        <w:r>
          <w:rPr>
            <w:webHidden/>
          </w:rPr>
          <w:fldChar w:fldCharType="end"/>
        </w:r>
      </w:hyperlink>
    </w:p>
    <w:p w14:paraId="332CA00B" w14:textId="7406591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40" w:history="1">
        <w:r w:rsidRPr="00FC437C">
          <w:rPr>
            <w:rStyle w:val="Hyperlink"/>
          </w:rPr>
          <w:t>§409.</w:t>
        </w:r>
        <w:r>
          <w:rPr>
            <w:rFonts w:asciiTheme="minorHAnsi" w:eastAsiaTheme="minorEastAsia" w:hAnsiTheme="minorHAnsi" w:cstheme="minorBidi"/>
            <w:color w:val="auto"/>
            <w:kern w:val="2"/>
            <w:szCs w:val="24"/>
            <w14:ligatures w14:val="standardContextual"/>
          </w:rPr>
          <w:tab/>
        </w:r>
        <w:r w:rsidRPr="00FC437C">
          <w:rPr>
            <w:rStyle w:val="Hyperlink"/>
          </w:rPr>
          <w:t>Location of Brands and Marks</w:t>
        </w:r>
        <w:r>
          <w:rPr>
            <w:webHidden/>
          </w:rPr>
          <w:tab/>
        </w:r>
        <w:r>
          <w:rPr>
            <w:webHidden/>
          </w:rPr>
          <w:fldChar w:fldCharType="begin"/>
        </w:r>
        <w:r>
          <w:rPr>
            <w:webHidden/>
          </w:rPr>
          <w:instrText xml:space="preserve"> PAGEREF _Toc224819040 \h </w:instrText>
        </w:r>
        <w:r>
          <w:rPr>
            <w:webHidden/>
          </w:rPr>
        </w:r>
        <w:r>
          <w:rPr>
            <w:webHidden/>
          </w:rPr>
          <w:fldChar w:fldCharType="separate"/>
        </w:r>
        <w:r w:rsidR="00AA17AB">
          <w:rPr>
            <w:webHidden/>
          </w:rPr>
          <w:t>220</w:t>
        </w:r>
        <w:r>
          <w:rPr>
            <w:webHidden/>
          </w:rPr>
          <w:fldChar w:fldCharType="end"/>
        </w:r>
      </w:hyperlink>
    </w:p>
    <w:p w14:paraId="520485D6" w14:textId="0EE6DF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41" w:history="1">
        <w:r w:rsidRPr="00FC437C">
          <w:rPr>
            <w:rStyle w:val="Hyperlink"/>
          </w:rPr>
          <w:t>§411.</w:t>
        </w:r>
        <w:r>
          <w:rPr>
            <w:rFonts w:asciiTheme="minorHAnsi" w:eastAsiaTheme="minorEastAsia" w:hAnsiTheme="minorHAnsi" w:cstheme="minorBidi"/>
            <w:color w:val="auto"/>
            <w:kern w:val="2"/>
            <w:szCs w:val="24"/>
            <w14:ligatures w14:val="standardContextual"/>
          </w:rPr>
          <w:tab/>
        </w:r>
        <w:r w:rsidRPr="00FC437C">
          <w:rPr>
            <w:rStyle w:val="Hyperlink"/>
          </w:rPr>
          <w:t>Lifetime Livestock Brand</w:t>
        </w:r>
        <w:r>
          <w:rPr>
            <w:webHidden/>
          </w:rPr>
          <w:tab/>
        </w:r>
        <w:r>
          <w:rPr>
            <w:webHidden/>
          </w:rPr>
          <w:fldChar w:fldCharType="begin"/>
        </w:r>
        <w:r>
          <w:rPr>
            <w:webHidden/>
          </w:rPr>
          <w:instrText xml:space="preserve"> PAGEREF _Toc224819041 \h </w:instrText>
        </w:r>
        <w:r>
          <w:rPr>
            <w:webHidden/>
          </w:rPr>
        </w:r>
        <w:r>
          <w:rPr>
            <w:webHidden/>
          </w:rPr>
          <w:fldChar w:fldCharType="separate"/>
        </w:r>
        <w:r w:rsidR="00AA17AB">
          <w:rPr>
            <w:webHidden/>
          </w:rPr>
          <w:t>220</w:t>
        </w:r>
        <w:r>
          <w:rPr>
            <w:webHidden/>
          </w:rPr>
          <w:fldChar w:fldCharType="end"/>
        </w:r>
      </w:hyperlink>
    </w:p>
    <w:p w14:paraId="128F334B" w14:textId="15D582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42" w:history="1">
        <w:r w:rsidRPr="00FC437C">
          <w:rPr>
            <w:rStyle w:val="Hyperlink"/>
          </w:rPr>
          <w:t>§413.</w:t>
        </w:r>
        <w:r>
          <w:rPr>
            <w:rFonts w:asciiTheme="minorHAnsi" w:eastAsiaTheme="minorEastAsia" w:hAnsiTheme="minorHAnsi" w:cstheme="minorBidi"/>
            <w:color w:val="auto"/>
            <w:kern w:val="2"/>
            <w:szCs w:val="24"/>
            <w14:ligatures w14:val="standardContextual"/>
          </w:rPr>
          <w:tab/>
        </w:r>
        <w:r w:rsidRPr="00FC437C">
          <w:rPr>
            <w:rStyle w:val="Hyperlink"/>
          </w:rPr>
          <w:t>Recordation Fees</w:t>
        </w:r>
        <w:r>
          <w:rPr>
            <w:webHidden/>
          </w:rPr>
          <w:tab/>
        </w:r>
        <w:r>
          <w:rPr>
            <w:webHidden/>
          </w:rPr>
          <w:fldChar w:fldCharType="begin"/>
        </w:r>
        <w:r>
          <w:rPr>
            <w:webHidden/>
          </w:rPr>
          <w:instrText xml:space="preserve"> PAGEREF _Toc224819042 \h </w:instrText>
        </w:r>
        <w:r>
          <w:rPr>
            <w:webHidden/>
          </w:rPr>
        </w:r>
        <w:r>
          <w:rPr>
            <w:webHidden/>
          </w:rPr>
          <w:fldChar w:fldCharType="separate"/>
        </w:r>
        <w:r w:rsidR="00AA17AB">
          <w:rPr>
            <w:webHidden/>
          </w:rPr>
          <w:t>220</w:t>
        </w:r>
        <w:r>
          <w:rPr>
            <w:webHidden/>
          </w:rPr>
          <w:fldChar w:fldCharType="end"/>
        </w:r>
      </w:hyperlink>
    </w:p>
    <w:p w14:paraId="1AAF81D7" w14:textId="1BC238EB"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3" w:history="1">
        <w:r w:rsidRPr="00FC437C">
          <w:rPr>
            <w:rStyle w:val="Hyperlink"/>
          </w:rPr>
          <w:t>§415.</w:t>
        </w:r>
        <w:r>
          <w:rPr>
            <w:rFonts w:asciiTheme="minorHAnsi" w:eastAsiaTheme="minorEastAsia" w:hAnsiTheme="minorHAnsi" w:cstheme="minorBidi"/>
            <w:color w:val="auto"/>
            <w:kern w:val="2"/>
            <w:szCs w:val="24"/>
            <w14:ligatures w14:val="standardContextual"/>
          </w:rPr>
          <w:tab/>
        </w:r>
        <w:r w:rsidRPr="00FC437C">
          <w:rPr>
            <w:rStyle w:val="Hyperlink"/>
          </w:rPr>
          <w:t>Application Process</w:t>
        </w:r>
        <w:r>
          <w:rPr>
            <w:webHidden/>
          </w:rPr>
          <w:tab/>
        </w:r>
        <w:r>
          <w:rPr>
            <w:webHidden/>
          </w:rPr>
          <w:fldChar w:fldCharType="begin"/>
        </w:r>
        <w:r>
          <w:rPr>
            <w:webHidden/>
          </w:rPr>
          <w:instrText xml:space="preserve"> PAGEREF _Toc224819043 \h </w:instrText>
        </w:r>
        <w:r>
          <w:rPr>
            <w:webHidden/>
          </w:rPr>
        </w:r>
        <w:r>
          <w:rPr>
            <w:webHidden/>
          </w:rPr>
          <w:fldChar w:fldCharType="separate"/>
        </w:r>
        <w:r w:rsidR="00AA17AB">
          <w:rPr>
            <w:webHidden/>
          </w:rPr>
          <w:t>220</w:t>
        </w:r>
        <w:r>
          <w:rPr>
            <w:webHidden/>
          </w:rPr>
          <w:fldChar w:fldCharType="end"/>
        </w:r>
      </w:hyperlink>
    </w:p>
    <w:p w14:paraId="5A14D46B" w14:textId="1362FFC0"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4" w:history="1">
        <w:r w:rsidRPr="00FC437C">
          <w:rPr>
            <w:rStyle w:val="Hyperlink"/>
          </w:rPr>
          <w:t>§417.</w:t>
        </w:r>
        <w:r>
          <w:rPr>
            <w:rFonts w:asciiTheme="minorHAnsi" w:eastAsiaTheme="minorEastAsia" w:hAnsiTheme="minorHAnsi" w:cstheme="minorBidi"/>
            <w:color w:val="auto"/>
            <w:kern w:val="2"/>
            <w:szCs w:val="24"/>
            <w14:ligatures w14:val="standardContextual"/>
          </w:rPr>
          <w:tab/>
        </w:r>
        <w:r w:rsidRPr="00FC437C">
          <w:rPr>
            <w:rStyle w:val="Hyperlink"/>
          </w:rPr>
          <w:t>Recordation of Brand Registration Process</w:t>
        </w:r>
        <w:r>
          <w:rPr>
            <w:webHidden/>
          </w:rPr>
          <w:tab/>
        </w:r>
        <w:r>
          <w:rPr>
            <w:webHidden/>
          </w:rPr>
          <w:fldChar w:fldCharType="begin"/>
        </w:r>
        <w:r>
          <w:rPr>
            <w:webHidden/>
          </w:rPr>
          <w:instrText xml:space="preserve"> PAGEREF _Toc224819044 \h </w:instrText>
        </w:r>
        <w:r>
          <w:rPr>
            <w:webHidden/>
          </w:rPr>
        </w:r>
        <w:r>
          <w:rPr>
            <w:webHidden/>
          </w:rPr>
          <w:fldChar w:fldCharType="separate"/>
        </w:r>
        <w:r w:rsidR="00AA17AB">
          <w:rPr>
            <w:webHidden/>
          </w:rPr>
          <w:t>221</w:t>
        </w:r>
        <w:r>
          <w:rPr>
            <w:webHidden/>
          </w:rPr>
          <w:fldChar w:fldCharType="end"/>
        </w:r>
      </w:hyperlink>
    </w:p>
    <w:p w14:paraId="6C25F95D" w14:textId="33EB2E48"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5" w:history="1">
        <w:r w:rsidRPr="00FC437C">
          <w:rPr>
            <w:rStyle w:val="Hyperlink"/>
          </w:rPr>
          <w:t>§419.</w:t>
        </w:r>
        <w:r>
          <w:rPr>
            <w:rFonts w:asciiTheme="minorHAnsi" w:eastAsiaTheme="minorEastAsia" w:hAnsiTheme="minorHAnsi" w:cstheme="minorBidi"/>
            <w:color w:val="auto"/>
            <w:kern w:val="2"/>
            <w:szCs w:val="24"/>
            <w14:ligatures w14:val="standardContextual"/>
          </w:rPr>
          <w:tab/>
        </w:r>
        <w:r w:rsidRPr="00FC437C">
          <w:rPr>
            <w:rStyle w:val="Hyperlink"/>
          </w:rPr>
          <w:t>Transfer of Brand Registration; Name Change</w:t>
        </w:r>
        <w:r>
          <w:rPr>
            <w:webHidden/>
          </w:rPr>
          <w:tab/>
        </w:r>
        <w:r>
          <w:rPr>
            <w:webHidden/>
          </w:rPr>
          <w:fldChar w:fldCharType="begin"/>
        </w:r>
        <w:r>
          <w:rPr>
            <w:webHidden/>
          </w:rPr>
          <w:instrText xml:space="preserve"> PAGEREF _Toc224819045 \h </w:instrText>
        </w:r>
        <w:r>
          <w:rPr>
            <w:webHidden/>
          </w:rPr>
        </w:r>
        <w:r>
          <w:rPr>
            <w:webHidden/>
          </w:rPr>
          <w:fldChar w:fldCharType="separate"/>
        </w:r>
        <w:r w:rsidR="00AA17AB">
          <w:rPr>
            <w:webHidden/>
          </w:rPr>
          <w:t>221</w:t>
        </w:r>
        <w:r>
          <w:rPr>
            <w:webHidden/>
          </w:rPr>
          <w:fldChar w:fldCharType="end"/>
        </w:r>
      </w:hyperlink>
    </w:p>
    <w:p w14:paraId="07DC6597" w14:textId="2BBDBBA1"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6" w:history="1">
        <w:r w:rsidRPr="00FC437C">
          <w:rPr>
            <w:rStyle w:val="Hyperlink"/>
          </w:rPr>
          <w:t>§421.</w:t>
        </w:r>
        <w:r>
          <w:rPr>
            <w:rFonts w:asciiTheme="minorHAnsi" w:eastAsiaTheme="minorEastAsia" w:hAnsiTheme="minorHAnsi" w:cstheme="minorBidi"/>
            <w:color w:val="auto"/>
            <w:kern w:val="2"/>
            <w:szCs w:val="24"/>
            <w14:ligatures w14:val="standardContextual"/>
          </w:rPr>
          <w:tab/>
        </w:r>
        <w:r w:rsidRPr="00FC437C">
          <w:rPr>
            <w:rStyle w:val="Hyperlink"/>
          </w:rPr>
          <w:t>Violations</w:t>
        </w:r>
        <w:r>
          <w:rPr>
            <w:webHidden/>
          </w:rPr>
          <w:tab/>
        </w:r>
        <w:r>
          <w:rPr>
            <w:webHidden/>
          </w:rPr>
          <w:fldChar w:fldCharType="begin"/>
        </w:r>
        <w:r>
          <w:rPr>
            <w:webHidden/>
          </w:rPr>
          <w:instrText xml:space="preserve"> PAGEREF _Toc224819046 \h </w:instrText>
        </w:r>
        <w:r>
          <w:rPr>
            <w:webHidden/>
          </w:rPr>
        </w:r>
        <w:r>
          <w:rPr>
            <w:webHidden/>
          </w:rPr>
          <w:fldChar w:fldCharType="separate"/>
        </w:r>
        <w:r w:rsidR="00AA17AB">
          <w:rPr>
            <w:webHidden/>
          </w:rPr>
          <w:t>221</w:t>
        </w:r>
        <w:r>
          <w:rPr>
            <w:webHidden/>
          </w:rPr>
          <w:fldChar w:fldCharType="end"/>
        </w:r>
      </w:hyperlink>
    </w:p>
    <w:p w14:paraId="2D320EA0" w14:textId="62524837"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7" w:history="1">
        <w:r w:rsidRPr="00FC437C">
          <w:rPr>
            <w:rStyle w:val="Hyperlink"/>
          </w:rPr>
          <w:t>§423.</w:t>
        </w:r>
        <w:r>
          <w:rPr>
            <w:rFonts w:asciiTheme="minorHAnsi" w:eastAsiaTheme="minorEastAsia" w:hAnsiTheme="minorHAnsi" w:cstheme="minorBidi"/>
            <w:color w:val="auto"/>
            <w:kern w:val="2"/>
            <w:szCs w:val="24"/>
            <w14:ligatures w14:val="standardContextual"/>
          </w:rPr>
          <w:tab/>
        </w:r>
        <w:r w:rsidRPr="00FC437C">
          <w:rPr>
            <w:rStyle w:val="Hyperlink"/>
          </w:rPr>
          <w:t>Investigation</w:t>
        </w:r>
        <w:r>
          <w:rPr>
            <w:webHidden/>
          </w:rPr>
          <w:tab/>
        </w:r>
        <w:r>
          <w:rPr>
            <w:webHidden/>
          </w:rPr>
          <w:fldChar w:fldCharType="begin"/>
        </w:r>
        <w:r>
          <w:rPr>
            <w:webHidden/>
          </w:rPr>
          <w:instrText xml:space="preserve"> PAGEREF _Toc224819047 \h </w:instrText>
        </w:r>
        <w:r>
          <w:rPr>
            <w:webHidden/>
          </w:rPr>
        </w:r>
        <w:r>
          <w:rPr>
            <w:webHidden/>
          </w:rPr>
          <w:fldChar w:fldCharType="separate"/>
        </w:r>
        <w:r w:rsidR="00AA17AB">
          <w:rPr>
            <w:webHidden/>
          </w:rPr>
          <w:t>222</w:t>
        </w:r>
        <w:r>
          <w:rPr>
            <w:webHidden/>
          </w:rPr>
          <w:fldChar w:fldCharType="end"/>
        </w:r>
      </w:hyperlink>
    </w:p>
    <w:p w14:paraId="7467CF83" w14:textId="3F88EFDD"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48" w:history="1">
        <w:r w:rsidRPr="00FC437C">
          <w:rPr>
            <w:rStyle w:val="Hyperlink"/>
          </w:rPr>
          <w:t>§425.</w:t>
        </w:r>
        <w:r>
          <w:rPr>
            <w:rFonts w:asciiTheme="minorHAnsi" w:eastAsiaTheme="minorEastAsia" w:hAnsiTheme="minorHAnsi" w:cstheme="minorBidi"/>
            <w:color w:val="auto"/>
            <w:kern w:val="2"/>
            <w:szCs w:val="24"/>
            <w14:ligatures w14:val="standardContextual"/>
          </w:rPr>
          <w:tab/>
        </w:r>
        <w:r w:rsidRPr="00FC437C">
          <w:rPr>
            <w:rStyle w:val="Hyperlink"/>
          </w:rPr>
          <w:t>Adjudicatory Hearing</w:t>
        </w:r>
        <w:r>
          <w:rPr>
            <w:webHidden/>
          </w:rPr>
          <w:tab/>
        </w:r>
        <w:r>
          <w:rPr>
            <w:webHidden/>
          </w:rPr>
          <w:fldChar w:fldCharType="begin"/>
        </w:r>
        <w:r>
          <w:rPr>
            <w:webHidden/>
          </w:rPr>
          <w:instrText xml:space="preserve"> PAGEREF _Toc224819048 \h </w:instrText>
        </w:r>
        <w:r>
          <w:rPr>
            <w:webHidden/>
          </w:rPr>
        </w:r>
        <w:r>
          <w:rPr>
            <w:webHidden/>
          </w:rPr>
          <w:fldChar w:fldCharType="separate"/>
        </w:r>
        <w:r w:rsidR="00AA17AB">
          <w:rPr>
            <w:webHidden/>
          </w:rPr>
          <w:t>222</w:t>
        </w:r>
        <w:r>
          <w:rPr>
            <w:webHidden/>
          </w:rPr>
          <w:fldChar w:fldCharType="end"/>
        </w:r>
      </w:hyperlink>
    </w:p>
    <w:p w14:paraId="4D90C80E" w14:textId="18800854" w:rsidR="00E67799" w:rsidRDefault="00E67799">
      <w:pPr>
        <w:pStyle w:val="TOC2"/>
        <w:rPr>
          <w:rFonts w:asciiTheme="minorHAnsi" w:eastAsiaTheme="minorEastAsia" w:hAnsiTheme="minorHAnsi" w:cstheme="minorBidi"/>
          <w:kern w:val="2"/>
          <w:szCs w:val="24"/>
          <w14:ligatures w14:val="standardContextual"/>
        </w:rPr>
      </w:pPr>
      <w:hyperlink w:anchor="_Toc224819049"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Entry Requirements to admit Animals into this State and into Events</w:t>
        </w:r>
        <w:r>
          <w:rPr>
            <w:webHidden/>
          </w:rPr>
          <w:tab/>
        </w:r>
        <w:r>
          <w:rPr>
            <w:webHidden/>
          </w:rPr>
          <w:fldChar w:fldCharType="begin"/>
        </w:r>
        <w:r>
          <w:rPr>
            <w:webHidden/>
          </w:rPr>
          <w:instrText xml:space="preserve"> PAGEREF _Toc224819049 \h </w:instrText>
        </w:r>
        <w:r>
          <w:rPr>
            <w:webHidden/>
          </w:rPr>
        </w:r>
        <w:r>
          <w:rPr>
            <w:webHidden/>
          </w:rPr>
          <w:fldChar w:fldCharType="separate"/>
        </w:r>
        <w:r w:rsidR="00AA17AB">
          <w:rPr>
            <w:webHidden/>
          </w:rPr>
          <w:t>222</w:t>
        </w:r>
        <w:r>
          <w:rPr>
            <w:webHidden/>
          </w:rPr>
          <w:fldChar w:fldCharType="end"/>
        </w:r>
      </w:hyperlink>
    </w:p>
    <w:p w14:paraId="4657977A" w14:textId="6E87105E" w:rsidR="00E67799" w:rsidRDefault="00E67799">
      <w:pPr>
        <w:pStyle w:val="TOC2"/>
        <w:rPr>
          <w:rFonts w:asciiTheme="minorHAnsi" w:eastAsiaTheme="minorEastAsia" w:hAnsiTheme="minorHAnsi" w:cstheme="minorBidi"/>
          <w:kern w:val="2"/>
          <w:szCs w:val="24"/>
          <w14:ligatures w14:val="standardContextual"/>
        </w:rPr>
      </w:pPr>
      <w:hyperlink w:anchor="_Toc224819050"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Entry Requirements</w:t>
        </w:r>
        <w:r>
          <w:rPr>
            <w:webHidden/>
          </w:rPr>
          <w:tab/>
        </w:r>
        <w:r>
          <w:rPr>
            <w:webHidden/>
          </w:rPr>
          <w:fldChar w:fldCharType="begin"/>
        </w:r>
        <w:r>
          <w:rPr>
            <w:webHidden/>
          </w:rPr>
          <w:instrText xml:space="preserve"> PAGEREF _Toc224819050 \h </w:instrText>
        </w:r>
        <w:r>
          <w:rPr>
            <w:webHidden/>
          </w:rPr>
        </w:r>
        <w:r>
          <w:rPr>
            <w:webHidden/>
          </w:rPr>
          <w:fldChar w:fldCharType="separate"/>
        </w:r>
        <w:r w:rsidR="00AA17AB">
          <w:rPr>
            <w:webHidden/>
          </w:rPr>
          <w:t>222</w:t>
        </w:r>
        <w:r>
          <w:rPr>
            <w:webHidden/>
          </w:rPr>
          <w:fldChar w:fldCharType="end"/>
        </w:r>
      </w:hyperlink>
    </w:p>
    <w:p w14:paraId="295B0DB8" w14:textId="634B4A6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51"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 xml:space="preserve">General Health Requirements Governing Admission of Livestock and Poultry </w:t>
        </w:r>
        <w:r w:rsidR="00676FBC">
          <w:rPr>
            <w:rStyle w:val="Hyperlink"/>
          </w:rPr>
          <w:br/>
        </w:r>
        <w:r w:rsidR="00676FBC">
          <w:rPr>
            <w:rStyle w:val="Hyperlink"/>
          </w:rPr>
          <w:tab/>
        </w:r>
        <w:r w:rsidRPr="00FC437C">
          <w:rPr>
            <w:rStyle w:val="Hyperlink"/>
          </w:rPr>
          <w:t>(Formerly §107)</w:t>
        </w:r>
        <w:r>
          <w:rPr>
            <w:webHidden/>
          </w:rPr>
          <w:tab/>
        </w:r>
        <w:r>
          <w:rPr>
            <w:webHidden/>
          </w:rPr>
          <w:fldChar w:fldCharType="begin"/>
        </w:r>
        <w:r>
          <w:rPr>
            <w:webHidden/>
          </w:rPr>
          <w:instrText xml:space="preserve"> PAGEREF _Toc224819051 \h </w:instrText>
        </w:r>
        <w:r>
          <w:rPr>
            <w:webHidden/>
          </w:rPr>
        </w:r>
        <w:r>
          <w:rPr>
            <w:webHidden/>
          </w:rPr>
          <w:fldChar w:fldCharType="separate"/>
        </w:r>
        <w:r w:rsidR="00AA17AB">
          <w:rPr>
            <w:webHidden/>
          </w:rPr>
          <w:t>222</w:t>
        </w:r>
        <w:r>
          <w:rPr>
            <w:webHidden/>
          </w:rPr>
          <w:fldChar w:fldCharType="end"/>
        </w:r>
      </w:hyperlink>
    </w:p>
    <w:p w14:paraId="252A22FD" w14:textId="72134B8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52"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Admittance of Livestock to Fairs, Livestock Shows, Breeders' Association Sales, </w:t>
        </w:r>
        <w:r w:rsidR="00676FBC">
          <w:rPr>
            <w:rStyle w:val="Hyperlink"/>
          </w:rPr>
          <w:br/>
        </w:r>
        <w:r w:rsidR="00676FBC">
          <w:rPr>
            <w:rStyle w:val="Hyperlink"/>
          </w:rPr>
          <w:tab/>
        </w:r>
        <w:r w:rsidRPr="00FC437C">
          <w:rPr>
            <w:rStyle w:val="Hyperlink"/>
          </w:rPr>
          <w:t>Rodeos and Racetracks (Formerly §109)</w:t>
        </w:r>
        <w:r>
          <w:rPr>
            <w:webHidden/>
          </w:rPr>
          <w:tab/>
        </w:r>
        <w:r>
          <w:rPr>
            <w:webHidden/>
          </w:rPr>
          <w:fldChar w:fldCharType="begin"/>
        </w:r>
        <w:r>
          <w:rPr>
            <w:webHidden/>
          </w:rPr>
          <w:instrText xml:space="preserve"> PAGEREF _Toc224819052 \h </w:instrText>
        </w:r>
        <w:r>
          <w:rPr>
            <w:webHidden/>
          </w:rPr>
        </w:r>
        <w:r>
          <w:rPr>
            <w:webHidden/>
          </w:rPr>
          <w:fldChar w:fldCharType="separate"/>
        </w:r>
        <w:r w:rsidR="00AA17AB">
          <w:rPr>
            <w:webHidden/>
          </w:rPr>
          <w:t>222</w:t>
        </w:r>
        <w:r>
          <w:rPr>
            <w:webHidden/>
          </w:rPr>
          <w:fldChar w:fldCharType="end"/>
        </w:r>
      </w:hyperlink>
    </w:p>
    <w:p w14:paraId="5C8D00E6" w14:textId="04F458E4"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53" w:history="1">
        <w:r w:rsidRPr="00FC437C">
          <w:rPr>
            <w:rStyle w:val="Hyperlink"/>
          </w:rPr>
          <w:t>§§505-509.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_Toc224819053 \h </w:instrText>
        </w:r>
        <w:r>
          <w:rPr>
            <w:webHidden/>
          </w:rPr>
        </w:r>
        <w:r>
          <w:rPr>
            <w:webHidden/>
          </w:rPr>
          <w:fldChar w:fldCharType="separate"/>
        </w:r>
        <w:r w:rsidR="00AA17AB">
          <w:rPr>
            <w:webHidden/>
          </w:rPr>
          <w:t>223</w:t>
        </w:r>
        <w:r>
          <w:rPr>
            <w:webHidden/>
          </w:rPr>
          <w:fldChar w:fldCharType="end"/>
        </w:r>
      </w:hyperlink>
    </w:p>
    <w:p w14:paraId="28687237" w14:textId="62FDC7D2" w:rsidR="00E67799" w:rsidRDefault="00E67799">
      <w:pPr>
        <w:pStyle w:val="TOC2"/>
        <w:rPr>
          <w:rFonts w:asciiTheme="minorHAnsi" w:eastAsiaTheme="minorEastAsia" w:hAnsiTheme="minorHAnsi" w:cstheme="minorBidi"/>
          <w:kern w:val="2"/>
          <w:szCs w:val="24"/>
          <w14:ligatures w14:val="standardContextual"/>
        </w:rPr>
      </w:pPr>
      <w:hyperlink w:anchor="_Toc224819054"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Specific Entry Requirements for Cattle, Bison, and other Bovines</w:t>
        </w:r>
        <w:r>
          <w:rPr>
            <w:webHidden/>
          </w:rPr>
          <w:tab/>
        </w:r>
        <w:r>
          <w:rPr>
            <w:webHidden/>
          </w:rPr>
          <w:fldChar w:fldCharType="begin"/>
        </w:r>
        <w:r>
          <w:rPr>
            <w:webHidden/>
          </w:rPr>
          <w:instrText xml:space="preserve"> PAGEREF _Toc224819054 \h </w:instrText>
        </w:r>
        <w:r>
          <w:rPr>
            <w:webHidden/>
          </w:rPr>
        </w:r>
        <w:r>
          <w:rPr>
            <w:webHidden/>
          </w:rPr>
          <w:fldChar w:fldCharType="separate"/>
        </w:r>
        <w:r w:rsidR="00AA17AB">
          <w:rPr>
            <w:webHidden/>
          </w:rPr>
          <w:t>223</w:t>
        </w:r>
        <w:r>
          <w:rPr>
            <w:webHidden/>
          </w:rPr>
          <w:fldChar w:fldCharType="end"/>
        </w:r>
      </w:hyperlink>
    </w:p>
    <w:p w14:paraId="49F268B8" w14:textId="21B0F10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55"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Admission of Cattle into Louisiana (Formerly §301)</w:t>
        </w:r>
        <w:r>
          <w:rPr>
            <w:webHidden/>
          </w:rPr>
          <w:tab/>
        </w:r>
        <w:r>
          <w:rPr>
            <w:webHidden/>
          </w:rPr>
          <w:fldChar w:fldCharType="begin"/>
        </w:r>
        <w:r>
          <w:rPr>
            <w:webHidden/>
          </w:rPr>
          <w:instrText xml:space="preserve"> PAGEREF _Toc224819055 \h </w:instrText>
        </w:r>
        <w:r>
          <w:rPr>
            <w:webHidden/>
          </w:rPr>
        </w:r>
        <w:r>
          <w:rPr>
            <w:webHidden/>
          </w:rPr>
          <w:fldChar w:fldCharType="separate"/>
        </w:r>
        <w:r w:rsidR="00AA17AB">
          <w:rPr>
            <w:webHidden/>
          </w:rPr>
          <w:t>223</w:t>
        </w:r>
        <w:r>
          <w:rPr>
            <w:webHidden/>
          </w:rPr>
          <w:fldChar w:fldCharType="end"/>
        </w:r>
      </w:hyperlink>
    </w:p>
    <w:p w14:paraId="73A83248" w14:textId="781482B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56"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Admittance of Louisiana Cattle to Fairs, Livestock Shows, Breeders’ Association Sales </w:t>
        </w:r>
        <w:r w:rsidR="00676FBC">
          <w:rPr>
            <w:rStyle w:val="Hyperlink"/>
          </w:rPr>
          <w:br/>
        </w:r>
        <w:r w:rsidR="00676FBC">
          <w:rPr>
            <w:rStyle w:val="Hyperlink"/>
          </w:rPr>
          <w:tab/>
        </w:r>
        <w:r w:rsidRPr="00FC437C">
          <w:rPr>
            <w:rStyle w:val="Hyperlink"/>
          </w:rPr>
          <w:t>and Rodeos Held in Louisiana (Formerly §303)</w:t>
        </w:r>
        <w:r>
          <w:rPr>
            <w:webHidden/>
          </w:rPr>
          <w:tab/>
        </w:r>
        <w:r>
          <w:rPr>
            <w:webHidden/>
          </w:rPr>
          <w:fldChar w:fldCharType="begin"/>
        </w:r>
        <w:r>
          <w:rPr>
            <w:webHidden/>
          </w:rPr>
          <w:instrText xml:space="preserve"> PAGEREF _Toc224819056 \h </w:instrText>
        </w:r>
        <w:r>
          <w:rPr>
            <w:webHidden/>
          </w:rPr>
        </w:r>
        <w:r>
          <w:rPr>
            <w:webHidden/>
          </w:rPr>
          <w:fldChar w:fldCharType="separate"/>
        </w:r>
        <w:r w:rsidR="00AA17AB">
          <w:rPr>
            <w:webHidden/>
          </w:rPr>
          <w:t>223</w:t>
        </w:r>
        <w:r>
          <w:rPr>
            <w:webHidden/>
          </w:rPr>
          <w:fldChar w:fldCharType="end"/>
        </w:r>
      </w:hyperlink>
    </w:p>
    <w:p w14:paraId="169DF363" w14:textId="64C1246C" w:rsidR="00E67799" w:rsidRDefault="00E67799">
      <w:pPr>
        <w:pStyle w:val="TOC3"/>
        <w:tabs>
          <w:tab w:val="left" w:pos="1846"/>
        </w:tabs>
        <w:rPr>
          <w:rFonts w:asciiTheme="minorHAnsi" w:eastAsiaTheme="minorEastAsia" w:hAnsiTheme="minorHAnsi" w:cstheme="minorBidi"/>
          <w:color w:val="auto"/>
          <w:kern w:val="2"/>
          <w:szCs w:val="24"/>
          <w14:ligatures w14:val="standardContextual"/>
        </w:rPr>
      </w:pPr>
      <w:hyperlink w:anchor="_Toc224819057" w:history="1">
        <w:r w:rsidRPr="00FC437C">
          <w:rPr>
            <w:rStyle w:val="Hyperlink"/>
          </w:rPr>
          <w:t>§§515 -519.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_Toc224819057 \h </w:instrText>
        </w:r>
        <w:r>
          <w:rPr>
            <w:webHidden/>
          </w:rPr>
        </w:r>
        <w:r>
          <w:rPr>
            <w:webHidden/>
          </w:rPr>
          <w:fldChar w:fldCharType="separate"/>
        </w:r>
        <w:r w:rsidR="00AA17AB">
          <w:rPr>
            <w:webHidden/>
          </w:rPr>
          <w:t>224</w:t>
        </w:r>
        <w:r>
          <w:rPr>
            <w:webHidden/>
          </w:rPr>
          <w:fldChar w:fldCharType="end"/>
        </w:r>
      </w:hyperlink>
    </w:p>
    <w:p w14:paraId="448EE0ED" w14:textId="5727A5AA" w:rsidR="00E67799" w:rsidRDefault="00E67799">
      <w:pPr>
        <w:pStyle w:val="TOC2"/>
        <w:rPr>
          <w:rFonts w:asciiTheme="minorHAnsi" w:eastAsiaTheme="minorEastAsia" w:hAnsiTheme="minorHAnsi" w:cstheme="minorBidi"/>
          <w:kern w:val="2"/>
          <w:szCs w:val="24"/>
          <w14:ligatures w14:val="standardContextual"/>
        </w:rPr>
      </w:pPr>
      <w:hyperlink w:anchor="_Toc224819058"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Specific Entry Requirements for Horses and other Equine</w:t>
        </w:r>
        <w:r>
          <w:rPr>
            <w:webHidden/>
          </w:rPr>
          <w:tab/>
        </w:r>
        <w:r>
          <w:rPr>
            <w:webHidden/>
          </w:rPr>
          <w:fldChar w:fldCharType="begin"/>
        </w:r>
        <w:r>
          <w:rPr>
            <w:webHidden/>
          </w:rPr>
          <w:instrText xml:space="preserve"> PAGEREF _Toc224819058 \h </w:instrText>
        </w:r>
        <w:r>
          <w:rPr>
            <w:webHidden/>
          </w:rPr>
        </w:r>
        <w:r>
          <w:rPr>
            <w:webHidden/>
          </w:rPr>
          <w:fldChar w:fldCharType="separate"/>
        </w:r>
        <w:r w:rsidR="00AA17AB">
          <w:rPr>
            <w:webHidden/>
          </w:rPr>
          <w:t>224</w:t>
        </w:r>
        <w:r>
          <w:rPr>
            <w:webHidden/>
          </w:rPr>
          <w:fldChar w:fldCharType="end"/>
        </w:r>
      </w:hyperlink>
    </w:p>
    <w:p w14:paraId="3857B446" w14:textId="757BDCF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59"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General Requirements Governing the Admission of Equine (Formerly §501)</w:t>
        </w:r>
        <w:r>
          <w:rPr>
            <w:webHidden/>
          </w:rPr>
          <w:tab/>
        </w:r>
        <w:r>
          <w:rPr>
            <w:webHidden/>
          </w:rPr>
          <w:fldChar w:fldCharType="begin"/>
        </w:r>
        <w:r>
          <w:rPr>
            <w:webHidden/>
          </w:rPr>
          <w:instrText xml:space="preserve"> PAGEREF _Toc224819059 \h </w:instrText>
        </w:r>
        <w:r>
          <w:rPr>
            <w:webHidden/>
          </w:rPr>
        </w:r>
        <w:r>
          <w:rPr>
            <w:webHidden/>
          </w:rPr>
          <w:fldChar w:fldCharType="separate"/>
        </w:r>
        <w:r w:rsidR="00AA17AB">
          <w:rPr>
            <w:webHidden/>
          </w:rPr>
          <w:t>224</w:t>
        </w:r>
        <w:r>
          <w:rPr>
            <w:webHidden/>
          </w:rPr>
          <w:fldChar w:fldCharType="end"/>
        </w:r>
      </w:hyperlink>
    </w:p>
    <w:p w14:paraId="17ABA28C" w14:textId="25BC9B8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0" w:history="1">
        <w:r w:rsidRPr="00FC437C">
          <w:rPr>
            <w:rStyle w:val="Hyperlink"/>
          </w:rPr>
          <w:t>§523.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Admission of Equine to Fairs, Livestock Shows, Breeders Association Sales, Rodeos </w:t>
        </w:r>
        <w:r w:rsidR="00676FBC">
          <w:rPr>
            <w:rStyle w:val="Hyperlink"/>
          </w:rPr>
          <w:br/>
        </w:r>
        <w:r w:rsidR="00676FBC">
          <w:rPr>
            <w:rStyle w:val="Hyperlink"/>
          </w:rPr>
          <w:tab/>
        </w:r>
        <w:r w:rsidRPr="00FC437C">
          <w:rPr>
            <w:rStyle w:val="Hyperlink"/>
          </w:rPr>
          <w:t>and Racetracks (Formerly §503)</w:t>
        </w:r>
        <w:r>
          <w:rPr>
            <w:webHidden/>
          </w:rPr>
          <w:tab/>
        </w:r>
        <w:r>
          <w:rPr>
            <w:webHidden/>
          </w:rPr>
          <w:fldChar w:fldCharType="begin"/>
        </w:r>
        <w:r>
          <w:rPr>
            <w:webHidden/>
          </w:rPr>
          <w:instrText xml:space="preserve"> PAGEREF _Toc224819060 \h </w:instrText>
        </w:r>
        <w:r>
          <w:rPr>
            <w:webHidden/>
          </w:rPr>
        </w:r>
        <w:r>
          <w:rPr>
            <w:webHidden/>
          </w:rPr>
          <w:fldChar w:fldCharType="separate"/>
        </w:r>
        <w:r w:rsidR="00AA17AB">
          <w:rPr>
            <w:webHidden/>
          </w:rPr>
          <w:t>224</w:t>
        </w:r>
        <w:r>
          <w:rPr>
            <w:webHidden/>
          </w:rPr>
          <w:fldChar w:fldCharType="end"/>
        </w:r>
      </w:hyperlink>
    </w:p>
    <w:p w14:paraId="2E87826B" w14:textId="68C00C7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1" w:history="1">
        <w:r w:rsidRPr="00FC437C">
          <w:rPr>
            <w:rStyle w:val="Hyperlink"/>
          </w:rPr>
          <w:t>§525.</w:t>
        </w:r>
        <w:r>
          <w:rPr>
            <w:rFonts w:asciiTheme="minorHAnsi" w:eastAsiaTheme="minorEastAsia" w:hAnsiTheme="minorHAnsi" w:cstheme="minorBidi"/>
            <w:color w:val="auto"/>
            <w:kern w:val="2"/>
            <w:szCs w:val="24"/>
            <w14:ligatures w14:val="standardContextual"/>
          </w:rPr>
          <w:tab/>
        </w:r>
        <w:r w:rsidRPr="00FC437C">
          <w:rPr>
            <w:rStyle w:val="Hyperlink"/>
          </w:rPr>
          <w:t>Movement of Equine in Louisiana by Livestock Dealers (Formerly §505)</w:t>
        </w:r>
        <w:r>
          <w:rPr>
            <w:webHidden/>
          </w:rPr>
          <w:tab/>
        </w:r>
        <w:r>
          <w:rPr>
            <w:webHidden/>
          </w:rPr>
          <w:fldChar w:fldCharType="begin"/>
        </w:r>
        <w:r>
          <w:rPr>
            <w:webHidden/>
          </w:rPr>
          <w:instrText xml:space="preserve"> PAGEREF _Toc224819061 \h </w:instrText>
        </w:r>
        <w:r>
          <w:rPr>
            <w:webHidden/>
          </w:rPr>
        </w:r>
        <w:r>
          <w:rPr>
            <w:webHidden/>
          </w:rPr>
          <w:fldChar w:fldCharType="separate"/>
        </w:r>
        <w:r w:rsidR="00AA17AB">
          <w:rPr>
            <w:webHidden/>
          </w:rPr>
          <w:t>225</w:t>
        </w:r>
        <w:r>
          <w:rPr>
            <w:webHidden/>
          </w:rPr>
          <w:fldChar w:fldCharType="end"/>
        </w:r>
      </w:hyperlink>
    </w:p>
    <w:p w14:paraId="1FA30722" w14:textId="65320A76"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62" w:history="1">
        <w:r w:rsidRPr="00FC437C">
          <w:rPr>
            <w:rStyle w:val="Hyperlink"/>
          </w:rPr>
          <w:t>§§527-529.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_Toc224819062 \h </w:instrText>
        </w:r>
        <w:r>
          <w:rPr>
            <w:webHidden/>
          </w:rPr>
        </w:r>
        <w:r>
          <w:rPr>
            <w:webHidden/>
          </w:rPr>
          <w:fldChar w:fldCharType="separate"/>
        </w:r>
        <w:r w:rsidR="00AA17AB">
          <w:rPr>
            <w:webHidden/>
          </w:rPr>
          <w:t>225</w:t>
        </w:r>
        <w:r>
          <w:rPr>
            <w:webHidden/>
          </w:rPr>
          <w:fldChar w:fldCharType="end"/>
        </w:r>
      </w:hyperlink>
    </w:p>
    <w:p w14:paraId="4C556909" w14:textId="5A714409" w:rsidR="00E67799" w:rsidRDefault="00E67799">
      <w:pPr>
        <w:pStyle w:val="TOC2"/>
        <w:rPr>
          <w:rFonts w:asciiTheme="minorHAnsi" w:eastAsiaTheme="minorEastAsia" w:hAnsiTheme="minorHAnsi" w:cstheme="minorBidi"/>
          <w:kern w:val="2"/>
          <w:szCs w:val="24"/>
          <w14:ligatures w14:val="standardContextual"/>
        </w:rPr>
      </w:pPr>
      <w:hyperlink w:anchor="_Toc224819063"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Specific Entry Requirements for Poultry and Other Birds</w:t>
        </w:r>
        <w:r>
          <w:rPr>
            <w:webHidden/>
          </w:rPr>
          <w:tab/>
        </w:r>
        <w:r>
          <w:rPr>
            <w:webHidden/>
          </w:rPr>
          <w:fldChar w:fldCharType="begin"/>
        </w:r>
        <w:r>
          <w:rPr>
            <w:webHidden/>
          </w:rPr>
          <w:instrText xml:space="preserve"> PAGEREF _Toc224819063 \h </w:instrText>
        </w:r>
        <w:r>
          <w:rPr>
            <w:webHidden/>
          </w:rPr>
        </w:r>
        <w:r>
          <w:rPr>
            <w:webHidden/>
          </w:rPr>
          <w:fldChar w:fldCharType="separate"/>
        </w:r>
        <w:r w:rsidR="00AA17AB">
          <w:rPr>
            <w:webHidden/>
          </w:rPr>
          <w:t>225</w:t>
        </w:r>
        <w:r>
          <w:rPr>
            <w:webHidden/>
          </w:rPr>
          <w:fldChar w:fldCharType="end"/>
        </w:r>
      </w:hyperlink>
    </w:p>
    <w:p w14:paraId="03AB5544" w14:textId="6A1BC14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4" w:history="1">
        <w:r w:rsidRPr="00FC437C">
          <w:rPr>
            <w:rStyle w:val="Hyperlink"/>
          </w:rPr>
          <w:t>§531.</w:t>
        </w:r>
        <w:r>
          <w:rPr>
            <w:rFonts w:asciiTheme="minorHAnsi" w:eastAsiaTheme="minorEastAsia" w:hAnsiTheme="minorHAnsi" w:cstheme="minorBidi"/>
            <w:color w:val="auto"/>
            <w:kern w:val="2"/>
            <w:szCs w:val="24"/>
            <w14:ligatures w14:val="standardContextual"/>
          </w:rPr>
          <w:tab/>
        </w:r>
        <w:r w:rsidRPr="00FC437C">
          <w:rPr>
            <w:rStyle w:val="Hyperlink"/>
          </w:rPr>
          <w:t>Health Requirement Governing Admission of Poultry (Formerly §701)</w:t>
        </w:r>
        <w:r>
          <w:rPr>
            <w:webHidden/>
          </w:rPr>
          <w:tab/>
        </w:r>
        <w:r>
          <w:rPr>
            <w:webHidden/>
          </w:rPr>
          <w:fldChar w:fldCharType="begin"/>
        </w:r>
        <w:r>
          <w:rPr>
            <w:webHidden/>
          </w:rPr>
          <w:instrText xml:space="preserve"> PAGEREF _Toc224819064 \h </w:instrText>
        </w:r>
        <w:r>
          <w:rPr>
            <w:webHidden/>
          </w:rPr>
        </w:r>
        <w:r>
          <w:rPr>
            <w:webHidden/>
          </w:rPr>
          <w:fldChar w:fldCharType="separate"/>
        </w:r>
        <w:r w:rsidR="00AA17AB">
          <w:rPr>
            <w:webHidden/>
          </w:rPr>
          <w:t>225</w:t>
        </w:r>
        <w:r>
          <w:rPr>
            <w:webHidden/>
          </w:rPr>
          <w:fldChar w:fldCharType="end"/>
        </w:r>
      </w:hyperlink>
    </w:p>
    <w:p w14:paraId="5EF2C0C2" w14:textId="289784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5" w:history="1">
        <w:r w:rsidRPr="00FC437C">
          <w:rPr>
            <w:rStyle w:val="Hyperlink"/>
          </w:rPr>
          <w:t>§533.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Admittance of Poultry to Fairs, Livestock and Poultry Shows, Trade Days and </w:t>
        </w:r>
        <w:r w:rsidR="00676FBC">
          <w:rPr>
            <w:rStyle w:val="Hyperlink"/>
          </w:rPr>
          <w:br/>
        </w:r>
        <w:r w:rsidR="00676FBC">
          <w:rPr>
            <w:rStyle w:val="Hyperlink"/>
          </w:rPr>
          <w:tab/>
        </w:r>
        <w:r w:rsidRPr="00FC437C">
          <w:rPr>
            <w:rStyle w:val="Hyperlink"/>
          </w:rPr>
          <w:t>Swap Meets (Formerly §703)</w:t>
        </w:r>
        <w:r>
          <w:rPr>
            <w:webHidden/>
          </w:rPr>
          <w:tab/>
        </w:r>
        <w:r>
          <w:rPr>
            <w:webHidden/>
          </w:rPr>
          <w:fldChar w:fldCharType="begin"/>
        </w:r>
        <w:r>
          <w:rPr>
            <w:webHidden/>
          </w:rPr>
          <w:instrText xml:space="preserve"> PAGEREF _Toc224819065 \h </w:instrText>
        </w:r>
        <w:r>
          <w:rPr>
            <w:webHidden/>
          </w:rPr>
        </w:r>
        <w:r>
          <w:rPr>
            <w:webHidden/>
          </w:rPr>
          <w:fldChar w:fldCharType="separate"/>
        </w:r>
        <w:r w:rsidR="00AA17AB">
          <w:rPr>
            <w:webHidden/>
          </w:rPr>
          <w:t>225</w:t>
        </w:r>
        <w:r>
          <w:rPr>
            <w:webHidden/>
          </w:rPr>
          <w:fldChar w:fldCharType="end"/>
        </w:r>
      </w:hyperlink>
    </w:p>
    <w:p w14:paraId="21D9AF04" w14:textId="1252EB1B"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66" w:history="1">
        <w:r w:rsidRPr="00FC437C">
          <w:rPr>
            <w:rStyle w:val="Hyperlink"/>
          </w:rPr>
          <w:t>§§535-539.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_Toc224819066 \h </w:instrText>
        </w:r>
        <w:r>
          <w:rPr>
            <w:webHidden/>
          </w:rPr>
        </w:r>
        <w:r>
          <w:rPr>
            <w:webHidden/>
          </w:rPr>
          <w:fldChar w:fldCharType="separate"/>
        </w:r>
        <w:r w:rsidR="00AA17AB">
          <w:rPr>
            <w:webHidden/>
          </w:rPr>
          <w:t>226</w:t>
        </w:r>
        <w:r>
          <w:rPr>
            <w:webHidden/>
          </w:rPr>
          <w:fldChar w:fldCharType="end"/>
        </w:r>
      </w:hyperlink>
    </w:p>
    <w:p w14:paraId="371BEC71" w14:textId="5DE9B3A1" w:rsidR="00E67799" w:rsidRDefault="00E67799">
      <w:pPr>
        <w:pStyle w:val="TOC2"/>
        <w:rPr>
          <w:rFonts w:asciiTheme="minorHAnsi" w:eastAsiaTheme="minorEastAsia" w:hAnsiTheme="minorHAnsi" w:cstheme="minorBidi"/>
          <w:kern w:val="2"/>
          <w:szCs w:val="24"/>
          <w14:ligatures w14:val="standardContextual"/>
        </w:rPr>
      </w:pPr>
      <w:hyperlink w:anchor="_Toc224819067" w:history="1">
        <w:r w:rsidRPr="00FC437C">
          <w:rPr>
            <w:rStyle w:val="Hyperlink"/>
          </w:rPr>
          <w:t>Subchapter E.</w:t>
        </w:r>
        <w:r>
          <w:rPr>
            <w:rFonts w:asciiTheme="minorHAnsi" w:eastAsiaTheme="minorEastAsia" w:hAnsiTheme="minorHAnsi" w:cstheme="minorBidi"/>
            <w:kern w:val="2"/>
            <w:szCs w:val="24"/>
            <w14:ligatures w14:val="standardContextual"/>
          </w:rPr>
          <w:tab/>
        </w:r>
        <w:r w:rsidRPr="00FC437C">
          <w:rPr>
            <w:rStyle w:val="Hyperlink"/>
          </w:rPr>
          <w:t>Specific Entry Requirements for Swine</w:t>
        </w:r>
        <w:r>
          <w:rPr>
            <w:webHidden/>
          </w:rPr>
          <w:tab/>
        </w:r>
        <w:r>
          <w:rPr>
            <w:webHidden/>
          </w:rPr>
          <w:fldChar w:fldCharType="begin"/>
        </w:r>
        <w:r>
          <w:rPr>
            <w:webHidden/>
          </w:rPr>
          <w:instrText xml:space="preserve"> PAGEREF _Toc224819067 \h </w:instrText>
        </w:r>
        <w:r>
          <w:rPr>
            <w:webHidden/>
          </w:rPr>
        </w:r>
        <w:r>
          <w:rPr>
            <w:webHidden/>
          </w:rPr>
          <w:fldChar w:fldCharType="separate"/>
        </w:r>
        <w:r w:rsidR="00AA17AB">
          <w:rPr>
            <w:webHidden/>
          </w:rPr>
          <w:t>226</w:t>
        </w:r>
        <w:r>
          <w:rPr>
            <w:webHidden/>
          </w:rPr>
          <w:fldChar w:fldCharType="end"/>
        </w:r>
      </w:hyperlink>
    </w:p>
    <w:p w14:paraId="454A8989" w14:textId="46C1AB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8" w:history="1">
        <w:r w:rsidRPr="00FC437C">
          <w:rPr>
            <w:rStyle w:val="Hyperlink"/>
          </w:rPr>
          <w:t>§541.</w:t>
        </w:r>
        <w:r>
          <w:rPr>
            <w:rFonts w:asciiTheme="minorHAnsi" w:eastAsiaTheme="minorEastAsia" w:hAnsiTheme="minorHAnsi" w:cstheme="minorBidi"/>
            <w:color w:val="auto"/>
            <w:kern w:val="2"/>
            <w:szCs w:val="24"/>
            <w14:ligatures w14:val="standardContextual"/>
          </w:rPr>
          <w:tab/>
        </w:r>
        <w:r w:rsidRPr="00FC437C">
          <w:rPr>
            <w:rStyle w:val="Hyperlink"/>
          </w:rPr>
          <w:t>Health Requirements Governing Admission of Livestock (Formerly §901)</w:t>
        </w:r>
        <w:r>
          <w:rPr>
            <w:webHidden/>
          </w:rPr>
          <w:tab/>
        </w:r>
        <w:r>
          <w:rPr>
            <w:webHidden/>
          </w:rPr>
          <w:fldChar w:fldCharType="begin"/>
        </w:r>
        <w:r>
          <w:rPr>
            <w:webHidden/>
          </w:rPr>
          <w:instrText xml:space="preserve"> PAGEREF _Toc224819068 \h </w:instrText>
        </w:r>
        <w:r>
          <w:rPr>
            <w:webHidden/>
          </w:rPr>
        </w:r>
        <w:r>
          <w:rPr>
            <w:webHidden/>
          </w:rPr>
          <w:fldChar w:fldCharType="separate"/>
        </w:r>
        <w:r w:rsidR="00AA17AB">
          <w:rPr>
            <w:webHidden/>
          </w:rPr>
          <w:t>226</w:t>
        </w:r>
        <w:r>
          <w:rPr>
            <w:webHidden/>
          </w:rPr>
          <w:fldChar w:fldCharType="end"/>
        </w:r>
      </w:hyperlink>
    </w:p>
    <w:p w14:paraId="578B287B" w14:textId="7C8128B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69" w:history="1">
        <w:r w:rsidRPr="00FC437C">
          <w:rPr>
            <w:rStyle w:val="Hyperlink"/>
          </w:rPr>
          <w:t>§543.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Admittance of Livestock to Fairs, Livestock Shows, Breeders' Association Sales </w:t>
        </w:r>
        <w:r w:rsidR="00676FBC">
          <w:rPr>
            <w:rStyle w:val="Hyperlink"/>
          </w:rPr>
          <w:br/>
        </w:r>
        <w:r w:rsidR="00676FBC">
          <w:rPr>
            <w:rStyle w:val="Hyperlink"/>
          </w:rPr>
          <w:tab/>
        </w:r>
        <w:r w:rsidRPr="00FC437C">
          <w:rPr>
            <w:rStyle w:val="Hyperlink"/>
          </w:rPr>
          <w:t>(Formerly §903)</w:t>
        </w:r>
        <w:r>
          <w:rPr>
            <w:webHidden/>
          </w:rPr>
          <w:tab/>
        </w:r>
        <w:r>
          <w:rPr>
            <w:webHidden/>
          </w:rPr>
          <w:fldChar w:fldCharType="begin"/>
        </w:r>
        <w:r>
          <w:rPr>
            <w:webHidden/>
          </w:rPr>
          <w:instrText xml:space="preserve"> PAGEREF _Toc224819069 \h </w:instrText>
        </w:r>
        <w:r>
          <w:rPr>
            <w:webHidden/>
          </w:rPr>
        </w:r>
        <w:r>
          <w:rPr>
            <w:webHidden/>
          </w:rPr>
          <w:fldChar w:fldCharType="separate"/>
        </w:r>
        <w:r w:rsidR="00AA17AB">
          <w:rPr>
            <w:webHidden/>
          </w:rPr>
          <w:t>227</w:t>
        </w:r>
        <w:r>
          <w:rPr>
            <w:webHidden/>
          </w:rPr>
          <w:fldChar w:fldCharType="end"/>
        </w:r>
      </w:hyperlink>
    </w:p>
    <w:p w14:paraId="109CDD1D" w14:textId="6101972A"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70" w:history="1">
        <w:r w:rsidRPr="00FC437C">
          <w:rPr>
            <w:rStyle w:val="Hyperlink"/>
          </w:rPr>
          <w:t>§§545-549.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_Toc224819070 \h </w:instrText>
        </w:r>
        <w:r>
          <w:rPr>
            <w:webHidden/>
          </w:rPr>
        </w:r>
        <w:r>
          <w:rPr>
            <w:webHidden/>
          </w:rPr>
          <w:fldChar w:fldCharType="separate"/>
        </w:r>
        <w:r w:rsidR="00AA17AB">
          <w:rPr>
            <w:webHidden/>
          </w:rPr>
          <w:t>227</w:t>
        </w:r>
        <w:r>
          <w:rPr>
            <w:webHidden/>
          </w:rPr>
          <w:fldChar w:fldCharType="end"/>
        </w:r>
      </w:hyperlink>
    </w:p>
    <w:p w14:paraId="6CDB609F" w14:textId="4D598CEA" w:rsidR="00E67799" w:rsidRDefault="00E67799">
      <w:pPr>
        <w:pStyle w:val="TOC2"/>
        <w:rPr>
          <w:rFonts w:asciiTheme="minorHAnsi" w:eastAsiaTheme="minorEastAsia" w:hAnsiTheme="minorHAnsi" w:cstheme="minorBidi"/>
          <w:kern w:val="2"/>
          <w:szCs w:val="24"/>
          <w14:ligatures w14:val="standardContextual"/>
        </w:rPr>
      </w:pPr>
      <w:hyperlink w:anchor="_Toc224819071" w:history="1">
        <w:r w:rsidRPr="00FC437C">
          <w:rPr>
            <w:rStyle w:val="Hyperlink"/>
          </w:rPr>
          <w:t>Subchapter F.</w:t>
        </w:r>
        <w:r>
          <w:rPr>
            <w:rFonts w:asciiTheme="minorHAnsi" w:eastAsiaTheme="minorEastAsia" w:hAnsiTheme="minorHAnsi" w:cstheme="minorBidi"/>
            <w:kern w:val="2"/>
            <w:szCs w:val="24"/>
            <w14:ligatures w14:val="standardContextual"/>
          </w:rPr>
          <w:tab/>
        </w:r>
        <w:r w:rsidRPr="00FC437C">
          <w:rPr>
            <w:rStyle w:val="Hyperlink"/>
          </w:rPr>
          <w:t>Specific Entry Requirements for Sheep and Goats</w:t>
        </w:r>
        <w:r>
          <w:rPr>
            <w:webHidden/>
          </w:rPr>
          <w:tab/>
        </w:r>
        <w:r>
          <w:rPr>
            <w:webHidden/>
          </w:rPr>
          <w:fldChar w:fldCharType="begin"/>
        </w:r>
        <w:r>
          <w:rPr>
            <w:webHidden/>
          </w:rPr>
          <w:instrText xml:space="preserve"> PAGEREF _Toc224819071 \h </w:instrText>
        </w:r>
        <w:r>
          <w:rPr>
            <w:webHidden/>
          </w:rPr>
        </w:r>
        <w:r>
          <w:rPr>
            <w:webHidden/>
          </w:rPr>
          <w:fldChar w:fldCharType="separate"/>
        </w:r>
        <w:r w:rsidR="00AA17AB">
          <w:rPr>
            <w:webHidden/>
          </w:rPr>
          <w:t>227</w:t>
        </w:r>
        <w:r>
          <w:rPr>
            <w:webHidden/>
          </w:rPr>
          <w:fldChar w:fldCharType="end"/>
        </w:r>
      </w:hyperlink>
    </w:p>
    <w:p w14:paraId="3716B1B8" w14:textId="63444C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72" w:history="1">
        <w:r w:rsidRPr="00FC437C">
          <w:rPr>
            <w:rStyle w:val="Hyperlink"/>
          </w:rPr>
          <w:t>§551.</w:t>
        </w:r>
        <w:r>
          <w:rPr>
            <w:rFonts w:asciiTheme="minorHAnsi" w:eastAsiaTheme="minorEastAsia" w:hAnsiTheme="minorHAnsi" w:cstheme="minorBidi"/>
            <w:color w:val="auto"/>
            <w:kern w:val="2"/>
            <w:szCs w:val="24"/>
            <w14:ligatures w14:val="standardContextual"/>
          </w:rPr>
          <w:tab/>
        </w:r>
        <w:r w:rsidRPr="00FC437C">
          <w:rPr>
            <w:rStyle w:val="Hyperlink"/>
          </w:rPr>
          <w:t>Health Requirements Governing Admission of Livestock (Formerly §1101)</w:t>
        </w:r>
        <w:r>
          <w:rPr>
            <w:webHidden/>
          </w:rPr>
          <w:tab/>
        </w:r>
        <w:r>
          <w:rPr>
            <w:webHidden/>
          </w:rPr>
          <w:fldChar w:fldCharType="begin"/>
        </w:r>
        <w:r>
          <w:rPr>
            <w:webHidden/>
          </w:rPr>
          <w:instrText xml:space="preserve"> PAGEREF _Toc224819072 \h </w:instrText>
        </w:r>
        <w:r>
          <w:rPr>
            <w:webHidden/>
          </w:rPr>
        </w:r>
        <w:r>
          <w:rPr>
            <w:webHidden/>
          </w:rPr>
          <w:fldChar w:fldCharType="separate"/>
        </w:r>
        <w:r w:rsidR="00AA17AB">
          <w:rPr>
            <w:webHidden/>
          </w:rPr>
          <w:t>227</w:t>
        </w:r>
        <w:r>
          <w:rPr>
            <w:webHidden/>
          </w:rPr>
          <w:fldChar w:fldCharType="end"/>
        </w:r>
      </w:hyperlink>
    </w:p>
    <w:p w14:paraId="7CACA05B" w14:textId="64D2589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73" w:history="1">
        <w:r w:rsidRPr="00FC437C">
          <w:rPr>
            <w:rStyle w:val="Hyperlink"/>
          </w:rPr>
          <w:t>§553.</w:t>
        </w:r>
        <w:r>
          <w:rPr>
            <w:rFonts w:asciiTheme="minorHAnsi" w:eastAsiaTheme="minorEastAsia" w:hAnsiTheme="minorHAnsi" w:cstheme="minorBidi"/>
            <w:color w:val="auto"/>
            <w:kern w:val="2"/>
            <w:szCs w:val="24"/>
            <w14:ligatures w14:val="standardContextual"/>
          </w:rPr>
          <w:tab/>
        </w:r>
        <w:r w:rsidRPr="00FC437C">
          <w:rPr>
            <w:rStyle w:val="Hyperlink"/>
          </w:rPr>
          <w:t xml:space="preserve">Admission of Livestock to Fairs, Livestock Shows, Breeders' Association Sales </w:t>
        </w:r>
        <w:r w:rsidR="00676FBC">
          <w:rPr>
            <w:rStyle w:val="Hyperlink"/>
          </w:rPr>
          <w:br/>
        </w:r>
        <w:r w:rsidR="00676FBC">
          <w:rPr>
            <w:rStyle w:val="Hyperlink"/>
          </w:rPr>
          <w:tab/>
        </w:r>
        <w:r w:rsidRPr="00FC437C">
          <w:rPr>
            <w:rStyle w:val="Hyperlink"/>
          </w:rPr>
          <w:t>and Rodeos (Formerly §1103)</w:t>
        </w:r>
        <w:r>
          <w:rPr>
            <w:webHidden/>
          </w:rPr>
          <w:tab/>
        </w:r>
        <w:r>
          <w:rPr>
            <w:webHidden/>
          </w:rPr>
          <w:fldChar w:fldCharType="begin"/>
        </w:r>
        <w:r>
          <w:rPr>
            <w:webHidden/>
          </w:rPr>
          <w:instrText xml:space="preserve"> PAGEREF _Toc224819073 \h </w:instrText>
        </w:r>
        <w:r>
          <w:rPr>
            <w:webHidden/>
          </w:rPr>
        </w:r>
        <w:r>
          <w:rPr>
            <w:webHidden/>
          </w:rPr>
          <w:fldChar w:fldCharType="separate"/>
        </w:r>
        <w:r w:rsidR="00AA17AB">
          <w:rPr>
            <w:webHidden/>
          </w:rPr>
          <w:t>227</w:t>
        </w:r>
        <w:r>
          <w:rPr>
            <w:webHidden/>
          </w:rPr>
          <w:fldChar w:fldCharType="end"/>
        </w:r>
      </w:hyperlink>
    </w:p>
    <w:p w14:paraId="0590ABF6" w14:textId="6A344E4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74" w:history="1">
        <w:r w:rsidRPr="00FC437C">
          <w:rPr>
            <w:rStyle w:val="Hyperlink"/>
          </w:rPr>
          <w:t>§555.</w:t>
        </w:r>
        <w:r>
          <w:rPr>
            <w:rFonts w:asciiTheme="minorHAnsi" w:eastAsiaTheme="minorEastAsia" w:hAnsiTheme="minorHAnsi" w:cstheme="minorBidi"/>
            <w:color w:val="auto"/>
            <w:kern w:val="2"/>
            <w:szCs w:val="24"/>
            <w14:ligatures w14:val="standardContextual"/>
          </w:rPr>
          <w:tab/>
        </w:r>
        <w:r w:rsidRPr="00FC437C">
          <w:rPr>
            <w:rStyle w:val="Hyperlink"/>
          </w:rPr>
          <w:t>Health Requirements Governing Admission of Livestock (Formerly §1301)</w:t>
        </w:r>
        <w:r>
          <w:rPr>
            <w:webHidden/>
          </w:rPr>
          <w:tab/>
        </w:r>
        <w:r>
          <w:rPr>
            <w:webHidden/>
          </w:rPr>
          <w:fldChar w:fldCharType="begin"/>
        </w:r>
        <w:r>
          <w:rPr>
            <w:webHidden/>
          </w:rPr>
          <w:instrText xml:space="preserve"> PAGEREF _Toc224819074 \h </w:instrText>
        </w:r>
        <w:r>
          <w:rPr>
            <w:webHidden/>
          </w:rPr>
        </w:r>
        <w:r>
          <w:rPr>
            <w:webHidden/>
          </w:rPr>
          <w:fldChar w:fldCharType="separate"/>
        </w:r>
        <w:r w:rsidR="00AA17AB">
          <w:rPr>
            <w:webHidden/>
          </w:rPr>
          <w:t>227</w:t>
        </w:r>
        <w:r>
          <w:rPr>
            <w:webHidden/>
          </w:rPr>
          <w:fldChar w:fldCharType="end"/>
        </w:r>
      </w:hyperlink>
    </w:p>
    <w:p w14:paraId="1A21BB3C" w14:textId="3829BEF1"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75" w:history="1">
        <w:r w:rsidRPr="00FC437C">
          <w:rPr>
            <w:rStyle w:val="Hyperlink"/>
          </w:rPr>
          <w:t>§§557-559.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_Toc224819075 \h </w:instrText>
        </w:r>
        <w:r>
          <w:rPr>
            <w:webHidden/>
          </w:rPr>
        </w:r>
        <w:r>
          <w:rPr>
            <w:webHidden/>
          </w:rPr>
          <w:fldChar w:fldCharType="separate"/>
        </w:r>
        <w:r w:rsidR="00AA17AB">
          <w:rPr>
            <w:webHidden/>
          </w:rPr>
          <w:t>228</w:t>
        </w:r>
        <w:r>
          <w:rPr>
            <w:webHidden/>
          </w:rPr>
          <w:fldChar w:fldCharType="end"/>
        </w:r>
      </w:hyperlink>
    </w:p>
    <w:p w14:paraId="1B18AF7C" w14:textId="6BD83FCB" w:rsidR="00E67799" w:rsidRDefault="00E67799">
      <w:pPr>
        <w:pStyle w:val="TOC2"/>
        <w:rPr>
          <w:rFonts w:asciiTheme="minorHAnsi" w:eastAsiaTheme="minorEastAsia" w:hAnsiTheme="minorHAnsi" w:cstheme="minorBidi"/>
          <w:kern w:val="2"/>
          <w:szCs w:val="24"/>
          <w14:ligatures w14:val="standardContextual"/>
        </w:rPr>
      </w:pPr>
      <w:hyperlink w:anchor="_Toc224819076" w:history="1">
        <w:r w:rsidRPr="00FC437C">
          <w:rPr>
            <w:rStyle w:val="Hyperlink"/>
          </w:rPr>
          <w:t>Subchapter G.</w:t>
        </w:r>
        <w:r>
          <w:rPr>
            <w:rFonts w:asciiTheme="minorHAnsi" w:eastAsiaTheme="minorEastAsia" w:hAnsiTheme="minorHAnsi" w:cstheme="minorBidi"/>
            <w:kern w:val="2"/>
            <w:szCs w:val="24"/>
            <w14:ligatures w14:val="standardContextual"/>
          </w:rPr>
          <w:tab/>
        </w:r>
        <w:r w:rsidRPr="00FC437C">
          <w:rPr>
            <w:rStyle w:val="Hyperlink"/>
          </w:rPr>
          <w:t>Specific Entry Requirements for White-Tailed Deer and Captive Cervids. Reserved.</w:t>
        </w:r>
        <w:r>
          <w:rPr>
            <w:webHidden/>
          </w:rPr>
          <w:tab/>
        </w:r>
        <w:r>
          <w:rPr>
            <w:webHidden/>
          </w:rPr>
          <w:fldChar w:fldCharType="begin"/>
        </w:r>
        <w:r>
          <w:rPr>
            <w:webHidden/>
          </w:rPr>
          <w:instrText xml:space="preserve"> PAGEREF _Toc224819076 \h </w:instrText>
        </w:r>
        <w:r>
          <w:rPr>
            <w:webHidden/>
          </w:rPr>
        </w:r>
        <w:r>
          <w:rPr>
            <w:webHidden/>
          </w:rPr>
          <w:fldChar w:fldCharType="separate"/>
        </w:r>
        <w:r w:rsidR="00AA17AB">
          <w:rPr>
            <w:webHidden/>
          </w:rPr>
          <w:t>228</w:t>
        </w:r>
        <w:r>
          <w:rPr>
            <w:webHidden/>
          </w:rPr>
          <w:fldChar w:fldCharType="end"/>
        </w:r>
      </w:hyperlink>
    </w:p>
    <w:p w14:paraId="1D10F4DA" w14:textId="3C1500D7"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77" w:history="1">
        <w:r w:rsidRPr="00FC437C">
          <w:rPr>
            <w:rStyle w:val="Hyperlink"/>
          </w:rPr>
          <w:t>§§561-569.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_Toc224819077 \h </w:instrText>
        </w:r>
        <w:r>
          <w:rPr>
            <w:webHidden/>
          </w:rPr>
        </w:r>
        <w:r>
          <w:rPr>
            <w:webHidden/>
          </w:rPr>
          <w:fldChar w:fldCharType="separate"/>
        </w:r>
        <w:r w:rsidR="00AA17AB">
          <w:rPr>
            <w:webHidden/>
          </w:rPr>
          <w:t>228</w:t>
        </w:r>
        <w:r>
          <w:rPr>
            <w:webHidden/>
          </w:rPr>
          <w:fldChar w:fldCharType="end"/>
        </w:r>
      </w:hyperlink>
    </w:p>
    <w:p w14:paraId="2E8E09A4" w14:textId="58E69ED6" w:rsidR="00E67799" w:rsidRDefault="00E67799">
      <w:pPr>
        <w:pStyle w:val="TOC2"/>
        <w:rPr>
          <w:rFonts w:asciiTheme="minorHAnsi" w:eastAsiaTheme="minorEastAsia" w:hAnsiTheme="minorHAnsi" w:cstheme="minorBidi"/>
          <w:kern w:val="2"/>
          <w:szCs w:val="24"/>
          <w14:ligatures w14:val="standardContextual"/>
        </w:rPr>
      </w:pPr>
      <w:hyperlink w:anchor="_Toc224819078" w:history="1">
        <w:r w:rsidRPr="00FC437C">
          <w:rPr>
            <w:rStyle w:val="Hyperlink"/>
          </w:rPr>
          <w:t>Subchapter H.</w:t>
        </w:r>
        <w:r>
          <w:rPr>
            <w:rFonts w:asciiTheme="minorHAnsi" w:eastAsiaTheme="minorEastAsia" w:hAnsiTheme="minorHAnsi" w:cstheme="minorBidi"/>
            <w:kern w:val="2"/>
            <w:szCs w:val="24"/>
            <w14:ligatures w14:val="standardContextual"/>
          </w:rPr>
          <w:tab/>
        </w:r>
        <w:r w:rsidRPr="00FC437C">
          <w:rPr>
            <w:rStyle w:val="Hyperlink"/>
          </w:rPr>
          <w:t>Specific Entry Requirements for Dogs and Cats</w:t>
        </w:r>
        <w:r>
          <w:rPr>
            <w:webHidden/>
          </w:rPr>
          <w:tab/>
        </w:r>
        <w:r>
          <w:rPr>
            <w:webHidden/>
          </w:rPr>
          <w:fldChar w:fldCharType="begin"/>
        </w:r>
        <w:r>
          <w:rPr>
            <w:webHidden/>
          </w:rPr>
          <w:instrText xml:space="preserve"> PAGEREF _Toc224819078 \h </w:instrText>
        </w:r>
        <w:r>
          <w:rPr>
            <w:webHidden/>
          </w:rPr>
        </w:r>
        <w:r>
          <w:rPr>
            <w:webHidden/>
          </w:rPr>
          <w:fldChar w:fldCharType="separate"/>
        </w:r>
        <w:r w:rsidR="00AA17AB">
          <w:rPr>
            <w:webHidden/>
          </w:rPr>
          <w:t>228</w:t>
        </w:r>
        <w:r>
          <w:rPr>
            <w:webHidden/>
          </w:rPr>
          <w:fldChar w:fldCharType="end"/>
        </w:r>
      </w:hyperlink>
    </w:p>
    <w:p w14:paraId="1A14A622" w14:textId="1653BB3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79" w:history="1">
        <w:r w:rsidRPr="00FC437C">
          <w:rPr>
            <w:rStyle w:val="Hyperlink"/>
          </w:rPr>
          <w:t>§571.</w:t>
        </w:r>
        <w:r>
          <w:rPr>
            <w:rFonts w:asciiTheme="minorHAnsi" w:eastAsiaTheme="minorEastAsia" w:hAnsiTheme="minorHAnsi" w:cstheme="minorBidi"/>
            <w:color w:val="auto"/>
            <w:kern w:val="2"/>
            <w:szCs w:val="24"/>
            <w14:ligatures w14:val="standardContextual"/>
          </w:rPr>
          <w:tab/>
        </w:r>
        <w:r w:rsidRPr="00FC437C">
          <w:rPr>
            <w:rStyle w:val="Hyperlink"/>
          </w:rPr>
          <w:t>Health Requirements Governing Admission (Formerly §1901)</w:t>
        </w:r>
        <w:r>
          <w:rPr>
            <w:webHidden/>
          </w:rPr>
          <w:tab/>
        </w:r>
        <w:r>
          <w:rPr>
            <w:webHidden/>
          </w:rPr>
          <w:fldChar w:fldCharType="begin"/>
        </w:r>
        <w:r>
          <w:rPr>
            <w:webHidden/>
          </w:rPr>
          <w:instrText xml:space="preserve"> PAGEREF _Toc224819079 \h </w:instrText>
        </w:r>
        <w:r>
          <w:rPr>
            <w:webHidden/>
          </w:rPr>
        </w:r>
        <w:r>
          <w:rPr>
            <w:webHidden/>
          </w:rPr>
          <w:fldChar w:fldCharType="separate"/>
        </w:r>
        <w:r w:rsidR="00AA17AB">
          <w:rPr>
            <w:webHidden/>
          </w:rPr>
          <w:t>228</w:t>
        </w:r>
        <w:r>
          <w:rPr>
            <w:webHidden/>
          </w:rPr>
          <w:fldChar w:fldCharType="end"/>
        </w:r>
      </w:hyperlink>
    </w:p>
    <w:p w14:paraId="253619C1" w14:textId="6561DE54"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80" w:history="1">
        <w:r w:rsidRPr="00FC437C">
          <w:rPr>
            <w:rStyle w:val="Hyperlink"/>
          </w:rPr>
          <w:t>§§573-579.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_Toc224819080 \h </w:instrText>
        </w:r>
        <w:r>
          <w:rPr>
            <w:webHidden/>
          </w:rPr>
        </w:r>
        <w:r>
          <w:rPr>
            <w:webHidden/>
          </w:rPr>
          <w:fldChar w:fldCharType="separate"/>
        </w:r>
        <w:r w:rsidR="00AA17AB">
          <w:rPr>
            <w:webHidden/>
          </w:rPr>
          <w:t>228</w:t>
        </w:r>
        <w:r>
          <w:rPr>
            <w:webHidden/>
          </w:rPr>
          <w:fldChar w:fldCharType="end"/>
        </w:r>
      </w:hyperlink>
    </w:p>
    <w:p w14:paraId="2786CBD2" w14:textId="3A27EB07" w:rsidR="00E67799" w:rsidRDefault="00E67799">
      <w:pPr>
        <w:pStyle w:val="TOC2"/>
        <w:rPr>
          <w:rFonts w:asciiTheme="minorHAnsi" w:eastAsiaTheme="minorEastAsia" w:hAnsiTheme="minorHAnsi" w:cstheme="minorBidi"/>
          <w:kern w:val="2"/>
          <w:szCs w:val="24"/>
          <w14:ligatures w14:val="standardContextual"/>
        </w:rPr>
      </w:pPr>
      <w:hyperlink w:anchor="_Toc224819081" w:history="1">
        <w:r w:rsidRPr="00FC437C">
          <w:rPr>
            <w:rStyle w:val="Hyperlink"/>
          </w:rPr>
          <w:t>Subchapter I.</w:t>
        </w:r>
        <w:r>
          <w:rPr>
            <w:rFonts w:asciiTheme="minorHAnsi" w:eastAsiaTheme="minorEastAsia" w:hAnsiTheme="minorHAnsi" w:cstheme="minorBidi"/>
            <w:kern w:val="2"/>
            <w:szCs w:val="24"/>
            <w14:ligatures w14:val="standardContextual"/>
          </w:rPr>
          <w:tab/>
        </w:r>
        <w:r w:rsidRPr="00FC437C">
          <w:rPr>
            <w:rStyle w:val="Hyperlink"/>
          </w:rPr>
          <w:t>Specific Entry Requirements for Wild Animals</w:t>
        </w:r>
        <w:r>
          <w:rPr>
            <w:webHidden/>
          </w:rPr>
          <w:tab/>
        </w:r>
        <w:r>
          <w:rPr>
            <w:webHidden/>
          </w:rPr>
          <w:fldChar w:fldCharType="begin"/>
        </w:r>
        <w:r>
          <w:rPr>
            <w:webHidden/>
          </w:rPr>
          <w:instrText xml:space="preserve"> PAGEREF _Toc224819081 \h </w:instrText>
        </w:r>
        <w:r>
          <w:rPr>
            <w:webHidden/>
          </w:rPr>
        </w:r>
        <w:r>
          <w:rPr>
            <w:webHidden/>
          </w:rPr>
          <w:fldChar w:fldCharType="separate"/>
        </w:r>
        <w:r w:rsidR="00AA17AB">
          <w:rPr>
            <w:webHidden/>
          </w:rPr>
          <w:t>228</w:t>
        </w:r>
        <w:r>
          <w:rPr>
            <w:webHidden/>
          </w:rPr>
          <w:fldChar w:fldCharType="end"/>
        </w:r>
      </w:hyperlink>
    </w:p>
    <w:p w14:paraId="7945EE6F" w14:textId="7633D17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82" w:history="1">
        <w:r w:rsidRPr="00FC437C">
          <w:rPr>
            <w:rStyle w:val="Hyperlink"/>
          </w:rPr>
          <w:t>§581.</w:t>
        </w:r>
        <w:r>
          <w:rPr>
            <w:rFonts w:asciiTheme="minorHAnsi" w:eastAsiaTheme="minorEastAsia" w:hAnsiTheme="minorHAnsi" w:cstheme="minorBidi"/>
            <w:color w:val="auto"/>
            <w:kern w:val="2"/>
            <w:szCs w:val="24"/>
            <w14:ligatures w14:val="standardContextual"/>
          </w:rPr>
          <w:tab/>
        </w:r>
        <w:r w:rsidRPr="00FC437C">
          <w:rPr>
            <w:rStyle w:val="Hyperlink"/>
          </w:rPr>
          <w:t>Health Requirements Governing Admission (Formerly §2101)</w:t>
        </w:r>
        <w:r>
          <w:rPr>
            <w:webHidden/>
          </w:rPr>
          <w:tab/>
        </w:r>
        <w:r>
          <w:rPr>
            <w:webHidden/>
          </w:rPr>
          <w:fldChar w:fldCharType="begin"/>
        </w:r>
        <w:r>
          <w:rPr>
            <w:webHidden/>
          </w:rPr>
          <w:instrText xml:space="preserve"> PAGEREF _Toc224819082 \h </w:instrText>
        </w:r>
        <w:r>
          <w:rPr>
            <w:webHidden/>
          </w:rPr>
        </w:r>
        <w:r>
          <w:rPr>
            <w:webHidden/>
          </w:rPr>
          <w:fldChar w:fldCharType="separate"/>
        </w:r>
        <w:r w:rsidR="00AA17AB">
          <w:rPr>
            <w:webHidden/>
          </w:rPr>
          <w:t>228</w:t>
        </w:r>
        <w:r>
          <w:rPr>
            <w:webHidden/>
          </w:rPr>
          <w:fldChar w:fldCharType="end"/>
        </w:r>
      </w:hyperlink>
    </w:p>
    <w:p w14:paraId="0AD90C8B" w14:textId="322307CF" w:rsidR="00E67799" w:rsidRDefault="00E67799" w:rsidP="00676FBC">
      <w:pPr>
        <w:pStyle w:val="TOC2"/>
        <w:rPr>
          <w:rFonts w:asciiTheme="minorHAnsi" w:eastAsiaTheme="minorEastAsia" w:hAnsiTheme="minorHAnsi" w:cstheme="minorBidi"/>
          <w:kern w:val="2"/>
          <w:szCs w:val="24"/>
          <w14:ligatures w14:val="standardContextual"/>
        </w:rPr>
      </w:pPr>
      <w:hyperlink w:anchor="_Toc224819083"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Cattle, Bison, and other Bovines (Formerly Chapter 3)</w:t>
        </w:r>
        <w:r>
          <w:rPr>
            <w:webHidden/>
          </w:rPr>
          <w:tab/>
        </w:r>
        <w:r>
          <w:rPr>
            <w:webHidden/>
          </w:rPr>
          <w:fldChar w:fldCharType="begin"/>
        </w:r>
        <w:r>
          <w:rPr>
            <w:webHidden/>
          </w:rPr>
          <w:instrText xml:space="preserve"> PAGEREF _Toc224819083 \h </w:instrText>
        </w:r>
        <w:r>
          <w:rPr>
            <w:webHidden/>
          </w:rPr>
        </w:r>
        <w:r>
          <w:rPr>
            <w:webHidden/>
          </w:rPr>
          <w:fldChar w:fldCharType="separate"/>
        </w:r>
        <w:r w:rsidR="00AA17AB">
          <w:rPr>
            <w:webHidden/>
          </w:rPr>
          <w:t>228</w:t>
        </w:r>
        <w:r>
          <w:rPr>
            <w:webHidden/>
          </w:rPr>
          <w:fldChar w:fldCharType="end"/>
        </w:r>
      </w:hyperlink>
    </w:p>
    <w:p w14:paraId="43C2D97B" w14:textId="6B88240F" w:rsidR="00E67799" w:rsidRDefault="00E67799" w:rsidP="00676FBC">
      <w:pPr>
        <w:pStyle w:val="TOC2"/>
        <w:rPr>
          <w:rFonts w:asciiTheme="minorHAnsi" w:eastAsiaTheme="minorEastAsia" w:hAnsiTheme="minorHAnsi" w:cstheme="minorBidi"/>
          <w:kern w:val="2"/>
          <w:szCs w:val="24"/>
          <w14:ligatures w14:val="standardContextual"/>
        </w:rPr>
      </w:pPr>
      <w:hyperlink w:anchor="_Toc224819084"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_Toc224819084 \h </w:instrText>
        </w:r>
        <w:r>
          <w:rPr>
            <w:webHidden/>
          </w:rPr>
        </w:r>
        <w:r>
          <w:rPr>
            <w:webHidden/>
          </w:rPr>
          <w:fldChar w:fldCharType="separate"/>
        </w:r>
        <w:r w:rsidR="00AA17AB">
          <w:rPr>
            <w:webHidden/>
          </w:rPr>
          <w:t>228</w:t>
        </w:r>
        <w:r>
          <w:rPr>
            <w:webHidden/>
          </w:rPr>
          <w:fldChar w:fldCharType="end"/>
        </w:r>
      </w:hyperlink>
    </w:p>
    <w:p w14:paraId="251E2B3D" w14:textId="7C8E0159"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85"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_Toc224819085 \h </w:instrText>
        </w:r>
        <w:r>
          <w:rPr>
            <w:webHidden/>
          </w:rPr>
        </w:r>
        <w:r>
          <w:rPr>
            <w:webHidden/>
          </w:rPr>
          <w:fldChar w:fldCharType="separate"/>
        </w:r>
        <w:r w:rsidR="00AA17AB">
          <w:rPr>
            <w:webHidden/>
          </w:rPr>
          <w:t>228</w:t>
        </w:r>
        <w:r>
          <w:rPr>
            <w:webHidden/>
          </w:rPr>
          <w:fldChar w:fldCharType="end"/>
        </w:r>
      </w:hyperlink>
    </w:p>
    <w:p w14:paraId="116D77B0" w14:textId="3F13F0AF"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086" w:history="1">
        <w:r w:rsidRPr="00FC437C">
          <w:rPr>
            <w:rStyle w:val="Hyperlink"/>
          </w:rPr>
          <w:t>§705.</w:t>
        </w:r>
        <w:r>
          <w:rPr>
            <w:rFonts w:asciiTheme="minorHAnsi" w:eastAsiaTheme="minorEastAsia" w:hAnsiTheme="minorHAnsi" w:cstheme="minorBidi"/>
            <w:color w:val="auto"/>
            <w:kern w:val="2"/>
            <w:szCs w:val="24"/>
            <w14:ligatures w14:val="standardContextual"/>
          </w:rPr>
          <w:tab/>
        </w:r>
        <w:r w:rsidRPr="00FC437C">
          <w:rPr>
            <w:rStyle w:val="Hyperlink"/>
          </w:rPr>
          <w:t>Quarantined Cattle Feedlots (Formerly §325)</w:t>
        </w:r>
        <w:r>
          <w:rPr>
            <w:webHidden/>
          </w:rPr>
          <w:tab/>
        </w:r>
        <w:r>
          <w:rPr>
            <w:webHidden/>
          </w:rPr>
          <w:fldChar w:fldCharType="begin"/>
        </w:r>
        <w:r>
          <w:rPr>
            <w:webHidden/>
          </w:rPr>
          <w:instrText xml:space="preserve"> PAGEREF _Toc224819086 \h </w:instrText>
        </w:r>
        <w:r>
          <w:rPr>
            <w:webHidden/>
          </w:rPr>
        </w:r>
        <w:r>
          <w:rPr>
            <w:webHidden/>
          </w:rPr>
          <w:fldChar w:fldCharType="separate"/>
        </w:r>
        <w:r w:rsidR="00AA17AB">
          <w:rPr>
            <w:webHidden/>
          </w:rPr>
          <w:t>228</w:t>
        </w:r>
        <w:r>
          <w:rPr>
            <w:webHidden/>
          </w:rPr>
          <w:fldChar w:fldCharType="end"/>
        </w:r>
      </w:hyperlink>
    </w:p>
    <w:p w14:paraId="2F955B14" w14:textId="14C701DF"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087" w:history="1">
        <w:r w:rsidRPr="00FC437C">
          <w:rPr>
            <w:rStyle w:val="Hyperlink"/>
          </w:rPr>
          <w:t>§§707-709.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_Toc224819087 \h </w:instrText>
        </w:r>
        <w:r>
          <w:rPr>
            <w:webHidden/>
          </w:rPr>
        </w:r>
        <w:r>
          <w:rPr>
            <w:webHidden/>
          </w:rPr>
          <w:fldChar w:fldCharType="separate"/>
        </w:r>
        <w:r w:rsidR="00AA17AB">
          <w:rPr>
            <w:webHidden/>
          </w:rPr>
          <w:t>229</w:t>
        </w:r>
        <w:r>
          <w:rPr>
            <w:webHidden/>
          </w:rPr>
          <w:fldChar w:fldCharType="end"/>
        </w:r>
      </w:hyperlink>
    </w:p>
    <w:p w14:paraId="0FD3D454" w14:textId="4FCCAB03" w:rsidR="00E67799" w:rsidRDefault="00E67799">
      <w:pPr>
        <w:pStyle w:val="TOC2"/>
        <w:rPr>
          <w:rFonts w:asciiTheme="minorHAnsi" w:eastAsiaTheme="minorEastAsia" w:hAnsiTheme="minorHAnsi" w:cstheme="minorBidi"/>
          <w:kern w:val="2"/>
          <w:szCs w:val="24"/>
          <w14:ligatures w14:val="standardContextual"/>
        </w:rPr>
      </w:pPr>
      <w:hyperlink w:anchor="_Toc22481908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i/>
          </w:rPr>
          <w:t>Brucellosis</w:t>
        </w:r>
        <w:r w:rsidRPr="00FC437C">
          <w:rPr>
            <w:rStyle w:val="Hyperlink"/>
          </w:rPr>
          <w:t xml:space="preserve"> Regulations</w:t>
        </w:r>
        <w:r>
          <w:rPr>
            <w:webHidden/>
          </w:rPr>
          <w:tab/>
        </w:r>
        <w:r>
          <w:rPr>
            <w:webHidden/>
          </w:rPr>
          <w:fldChar w:fldCharType="begin"/>
        </w:r>
        <w:r>
          <w:rPr>
            <w:webHidden/>
          </w:rPr>
          <w:instrText xml:space="preserve"> PAGEREF _Toc224819088 \h </w:instrText>
        </w:r>
        <w:r>
          <w:rPr>
            <w:webHidden/>
          </w:rPr>
        </w:r>
        <w:r>
          <w:rPr>
            <w:webHidden/>
          </w:rPr>
          <w:fldChar w:fldCharType="separate"/>
        </w:r>
        <w:r w:rsidR="00AA17AB">
          <w:rPr>
            <w:webHidden/>
          </w:rPr>
          <w:t>229</w:t>
        </w:r>
        <w:r>
          <w:rPr>
            <w:webHidden/>
          </w:rPr>
          <w:fldChar w:fldCharType="end"/>
        </w:r>
      </w:hyperlink>
    </w:p>
    <w:p w14:paraId="4C85479F" w14:textId="3E24A7C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89"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Livestock Auction Market Requirements (Formerly §307)</w:t>
        </w:r>
        <w:r>
          <w:rPr>
            <w:webHidden/>
          </w:rPr>
          <w:tab/>
        </w:r>
        <w:r>
          <w:rPr>
            <w:webHidden/>
          </w:rPr>
          <w:fldChar w:fldCharType="begin"/>
        </w:r>
        <w:r>
          <w:rPr>
            <w:webHidden/>
          </w:rPr>
          <w:instrText xml:space="preserve"> PAGEREF _Toc224819089 \h </w:instrText>
        </w:r>
        <w:r>
          <w:rPr>
            <w:webHidden/>
          </w:rPr>
        </w:r>
        <w:r>
          <w:rPr>
            <w:webHidden/>
          </w:rPr>
          <w:fldChar w:fldCharType="separate"/>
        </w:r>
        <w:r w:rsidR="00AA17AB">
          <w:rPr>
            <w:webHidden/>
          </w:rPr>
          <w:t>229</w:t>
        </w:r>
        <w:r>
          <w:rPr>
            <w:webHidden/>
          </w:rPr>
          <w:fldChar w:fldCharType="end"/>
        </w:r>
      </w:hyperlink>
    </w:p>
    <w:p w14:paraId="301985F0" w14:textId="6D6193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0" w:history="1">
        <w:r w:rsidRPr="00FC437C">
          <w:rPr>
            <w:rStyle w:val="Hyperlink"/>
          </w:rPr>
          <w:t>§713.</w:t>
        </w:r>
        <w:r>
          <w:rPr>
            <w:rFonts w:asciiTheme="minorHAnsi" w:eastAsiaTheme="minorEastAsia" w:hAnsiTheme="minorHAnsi" w:cstheme="minorBidi"/>
            <w:color w:val="auto"/>
            <w:kern w:val="2"/>
            <w:szCs w:val="24"/>
            <w14:ligatures w14:val="standardContextual"/>
          </w:rPr>
          <w:tab/>
        </w:r>
        <w:r w:rsidRPr="00FC437C">
          <w:rPr>
            <w:rStyle w:val="Hyperlink"/>
          </w:rPr>
          <w:t>Governing the Sale of Cattle in Louisiana by Livestock Dealers (Formerly §309)</w:t>
        </w:r>
        <w:r>
          <w:rPr>
            <w:webHidden/>
          </w:rPr>
          <w:tab/>
        </w:r>
        <w:r>
          <w:rPr>
            <w:webHidden/>
          </w:rPr>
          <w:fldChar w:fldCharType="begin"/>
        </w:r>
        <w:r>
          <w:rPr>
            <w:webHidden/>
          </w:rPr>
          <w:instrText xml:space="preserve"> PAGEREF _Toc224819090 \h </w:instrText>
        </w:r>
        <w:r>
          <w:rPr>
            <w:webHidden/>
          </w:rPr>
        </w:r>
        <w:r>
          <w:rPr>
            <w:webHidden/>
          </w:rPr>
          <w:fldChar w:fldCharType="separate"/>
        </w:r>
        <w:r w:rsidR="00AA17AB">
          <w:rPr>
            <w:webHidden/>
          </w:rPr>
          <w:t>231</w:t>
        </w:r>
        <w:r>
          <w:rPr>
            <w:webHidden/>
          </w:rPr>
          <w:fldChar w:fldCharType="end"/>
        </w:r>
      </w:hyperlink>
    </w:p>
    <w:p w14:paraId="5E342698" w14:textId="1AB60B9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1" w:history="1">
        <w:r w:rsidRPr="00FC437C">
          <w:rPr>
            <w:rStyle w:val="Hyperlink"/>
          </w:rPr>
          <w:t>§715.</w:t>
        </w:r>
        <w:r>
          <w:rPr>
            <w:rFonts w:asciiTheme="minorHAnsi" w:eastAsiaTheme="minorEastAsia" w:hAnsiTheme="minorHAnsi" w:cstheme="minorBidi"/>
            <w:color w:val="auto"/>
            <w:kern w:val="2"/>
            <w:szCs w:val="24"/>
            <w14:ligatures w14:val="standardContextual"/>
          </w:rPr>
          <w:tab/>
        </w:r>
        <w:r w:rsidRPr="00FC437C">
          <w:rPr>
            <w:rStyle w:val="Hyperlink"/>
          </w:rPr>
          <w:t xml:space="preserve">Governing the Sale of Purchases, within Louisiana, of all Livestock not Governed </w:t>
        </w:r>
        <w:r w:rsidR="00676FBC">
          <w:rPr>
            <w:rStyle w:val="Hyperlink"/>
          </w:rPr>
          <w:br/>
        </w:r>
        <w:r w:rsidR="00676FBC">
          <w:rPr>
            <w:rStyle w:val="Hyperlink"/>
          </w:rPr>
          <w:tab/>
        </w:r>
        <w:r w:rsidRPr="00FC437C">
          <w:rPr>
            <w:rStyle w:val="Hyperlink"/>
          </w:rPr>
          <w:t>by Other Regulations (</w:t>
        </w:r>
        <w:r w:rsidRPr="00FC437C">
          <w:rPr>
            <w:rStyle w:val="Hyperlink"/>
            <w:i/>
          </w:rPr>
          <w:t>Brucellosis</w:t>
        </w:r>
        <w:r w:rsidRPr="00FC437C">
          <w:rPr>
            <w:rStyle w:val="Hyperlink"/>
          </w:rPr>
          <w:t xml:space="preserve"> Requirements) (Formerly §311)</w:t>
        </w:r>
        <w:r>
          <w:rPr>
            <w:webHidden/>
          </w:rPr>
          <w:tab/>
        </w:r>
        <w:r>
          <w:rPr>
            <w:webHidden/>
          </w:rPr>
          <w:fldChar w:fldCharType="begin"/>
        </w:r>
        <w:r>
          <w:rPr>
            <w:webHidden/>
          </w:rPr>
          <w:instrText xml:space="preserve"> PAGEREF _Toc224819091 \h </w:instrText>
        </w:r>
        <w:r>
          <w:rPr>
            <w:webHidden/>
          </w:rPr>
        </w:r>
        <w:r>
          <w:rPr>
            <w:webHidden/>
          </w:rPr>
          <w:fldChar w:fldCharType="separate"/>
        </w:r>
        <w:r w:rsidR="00AA17AB">
          <w:rPr>
            <w:webHidden/>
          </w:rPr>
          <w:t>232</w:t>
        </w:r>
        <w:r>
          <w:rPr>
            <w:webHidden/>
          </w:rPr>
          <w:fldChar w:fldCharType="end"/>
        </w:r>
      </w:hyperlink>
    </w:p>
    <w:p w14:paraId="11B99054" w14:textId="470AB15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2" w:history="1">
        <w:r w:rsidRPr="00FC437C">
          <w:rPr>
            <w:rStyle w:val="Hyperlink"/>
          </w:rPr>
          <w:t>§717.</w:t>
        </w:r>
        <w:r>
          <w:rPr>
            <w:rFonts w:asciiTheme="minorHAnsi" w:eastAsiaTheme="minorEastAsia" w:hAnsiTheme="minorHAnsi" w:cstheme="minorBidi"/>
            <w:color w:val="auto"/>
            <w:kern w:val="2"/>
            <w:szCs w:val="24"/>
            <w14:ligatures w14:val="standardContextual"/>
          </w:rPr>
          <w:tab/>
        </w:r>
        <w:r w:rsidRPr="00FC437C">
          <w:rPr>
            <w:rStyle w:val="Hyperlink"/>
          </w:rPr>
          <w:t xml:space="preserve">Testing of Cattle for </w:t>
        </w:r>
        <w:r w:rsidRPr="00FC437C">
          <w:rPr>
            <w:rStyle w:val="Hyperlink"/>
            <w:i/>
          </w:rPr>
          <w:t xml:space="preserve">Brucellosis </w:t>
        </w:r>
        <w:r w:rsidRPr="00FC437C">
          <w:rPr>
            <w:rStyle w:val="Hyperlink"/>
          </w:rPr>
          <w:t>(Formerly §313)</w:t>
        </w:r>
        <w:r>
          <w:rPr>
            <w:webHidden/>
          </w:rPr>
          <w:tab/>
        </w:r>
        <w:r>
          <w:rPr>
            <w:webHidden/>
          </w:rPr>
          <w:fldChar w:fldCharType="begin"/>
        </w:r>
        <w:r>
          <w:rPr>
            <w:webHidden/>
          </w:rPr>
          <w:instrText xml:space="preserve"> PAGEREF _Toc224819092 \h </w:instrText>
        </w:r>
        <w:r>
          <w:rPr>
            <w:webHidden/>
          </w:rPr>
        </w:r>
        <w:r>
          <w:rPr>
            <w:webHidden/>
          </w:rPr>
          <w:fldChar w:fldCharType="separate"/>
        </w:r>
        <w:r w:rsidR="00AA17AB">
          <w:rPr>
            <w:webHidden/>
          </w:rPr>
          <w:t>233</w:t>
        </w:r>
        <w:r>
          <w:rPr>
            <w:webHidden/>
          </w:rPr>
          <w:fldChar w:fldCharType="end"/>
        </w:r>
      </w:hyperlink>
    </w:p>
    <w:p w14:paraId="16E2AAB4" w14:textId="1DC3E8A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3" w:history="1">
        <w:r w:rsidRPr="00FC437C">
          <w:rPr>
            <w:rStyle w:val="Hyperlink"/>
          </w:rPr>
          <w:t>§719.</w:t>
        </w:r>
        <w:r>
          <w:rPr>
            <w:rFonts w:asciiTheme="minorHAnsi" w:eastAsiaTheme="minorEastAsia" w:hAnsiTheme="minorHAnsi" w:cstheme="minorBidi"/>
            <w:color w:val="auto"/>
            <w:kern w:val="2"/>
            <w:szCs w:val="24"/>
            <w14:ligatures w14:val="standardContextual"/>
          </w:rPr>
          <w:tab/>
        </w:r>
        <w:r w:rsidRPr="00FC437C">
          <w:rPr>
            <w:rStyle w:val="Hyperlink"/>
          </w:rPr>
          <w:t xml:space="preserve">Sale and Use of </w:t>
        </w:r>
        <w:r w:rsidRPr="00FC437C">
          <w:rPr>
            <w:rStyle w:val="Hyperlink"/>
            <w:i/>
          </w:rPr>
          <w:t>Brucella abortus</w:t>
        </w:r>
        <w:r w:rsidRPr="00FC437C">
          <w:rPr>
            <w:rStyle w:val="Hyperlink"/>
          </w:rPr>
          <w:t xml:space="preserve"> Antigen (Formerly §315)</w:t>
        </w:r>
        <w:r>
          <w:rPr>
            <w:webHidden/>
          </w:rPr>
          <w:tab/>
        </w:r>
        <w:r>
          <w:rPr>
            <w:webHidden/>
          </w:rPr>
          <w:fldChar w:fldCharType="begin"/>
        </w:r>
        <w:r>
          <w:rPr>
            <w:webHidden/>
          </w:rPr>
          <w:instrText xml:space="preserve"> PAGEREF _Toc224819093 \h </w:instrText>
        </w:r>
        <w:r>
          <w:rPr>
            <w:webHidden/>
          </w:rPr>
        </w:r>
        <w:r>
          <w:rPr>
            <w:webHidden/>
          </w:rPr>
          <w:fldChar w:fldCharType="separate"/>
        </w:r>
        <w:r w:rsidR="00AA17AB">
          <w:rPr>
            <w:webHidden/>
          </w:rPr>
          <w:t>233</w:t>
        </w:r>
        <w:r>
          <w:rPr>
            <w:webHidden/>
          </w:rPr>
          <w:fldChar w:fldCharType="end"/>
        </w:r>
      </w:hyperlink>
    </w:p>
    <w:p w14:paraId="10BB7A1C" w14:textId="439A64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4" w:history="1">
        <w:r w:rsidRPr="00FC437C">
          <w:rPr>
            <w:rStyle w:val="Hyperlink"/>
          </w:rPr>
          <w:t>§721.</w:t>
        </w:r>
        <w:r>
          <w:rPr>
            <w:rFonts w:asciiTheme="minorHAnsi" w:eastAsiaTheme="minorEastAsia" w:hAnsiTheme="minorHAnsi" w:cstheme="minorBidi"/>
            <w:color w:val="auto"/>
            <w:kern w:val="2"/>
            <w:szCs w:val="24"/>
            <w14:ligatures w14:val="standardContextual"/>
          </w:rPr>
          <w:tab/>
        </w:r>
        <w:r w:rsidRPr="00FC437C">
          <w:rPr>
            <w:rStyle w:val="Hyperlink"/>
          </w:rPr>
          <w:t xml:space="preserve">Identification and Movement of Cattle Reacting to the </w:t>
        </w:r>
        <w:r w:rsidRPr="00FC437C">
          <w:rPr>
            <w:rStyle w:val="Hyperlink"/>
            <w:i/>
          </w:rPr>
          <w:t>Brucellosis</w:t>
        </w:r>
        <w:r w:rsidRPr="00FC437C">
          <w:rPr>
            <w:rStyle w:val="Hyperlink"/>
          </w:rPr>
          <w:t xml:space="preserve"> Test (Formerly §317)</w:t>
        </w:r>
        <w:r>
          <w:rPr>
            <w:webHidden/>
          </w:rPr>
          <w:tab/>
        </w:r>
        <w:r>
          <w:rPr>
            <w:webHidden/>
          </w:rPr>
          <w:fldChar w:fldCharType="begin"/>
        </w:r>
        <w:r>
          <w:rPr>
            <w:webHidden/>
          </w:rPr>
          <w:instrText xml:space="preserve"> PAGEREF _Toc224819094 \h </w:instrText>
        </w:r>
        <w:r>
          <w:rPr>
            <w:webHidden/>
          </w:rPr>
        </w:r>
        <w:r>
          <w:rPr>
            <w:webHidden/>
          </w:rPr>
          <w:fldChar w:fldCharType="separate"/>
        </w:r>
        <w:r w:rsidR="00AA17AB">
          <w:rPr>
            <w:webHidden/>
          </w:rPr>
          <w:t>233</w:t>
        </w:r>
        <w:r>
          <w:rPr>
            <w:webHidden/>
          </w:rPr>
          <w:fldChar w:fldCharType="end"/>
        </w:r>
      </w:hyperlink>
    </w:p>
    <w:p w14:paraId="034838ED" w14:textId="25C94E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5" w:history="1">
        <w:r w:rsidRPr="00FC437C">
          <w:rPr>
            <w:rStyle w:val="Hyperlink"/>
          </w:rPr>
          <w:t>§723.</w:t>
        </w:r>
        <w:r>
          <w:rPr>
            <w:rFonts w:asciiTheme="minorHAnsi" w:eastAsiaTheme="minorEastAsia" w:hAnsiTheme="minorHAnsi" w:cstheme="minorBidi"/>
            <w:color w:val="auto"/>
            <w:kern w:val="2"/>
            <w:szCs w:val="24"/>
            <w14:ligatures w14:val="standardContextual"/>
          </w:rPr>
          <w:tab/>
        </w:r>
        <w:r w:rsidRPr="00FC437C">
          <w:rPr>
            <w:rStyle w:val="Hyperlink"/>
          </w:rPr>
          <w:t xml:space="preserve">Sale and Use of </w:t>
        </w:r>
        <w:r w:rsidRPr="00FC437C">
          <w:rPr>
            <w:rStyle w:val="Hyperlink"/>
            <w:i/>
          </w:rPr>
          <w:t>Brucella abortus</w:t>
        </w:r>
        <w:r w:rsidRPr="00FC437C">
          <w:rPr>
            <w:rStyle w:val="Hyperlink"/>
          </w:rPr>
          <w:t xml:space="preserve"> Vaccine (Formerly §319)</w:t>
        </w:r>
        <w:r>
          <w:rPr>
            <w:webHidden/>
          </w:rPr>
          <w:tab/>
        </w:r>
        <w:r>
          <w:rPr>
            <w:webHidden/>
          </w:rPr>
          <w:fldChar w:fldCharType="begin"/>
        </w:r>
        <w:r>
          <w:rPr>
            <w:webHidden/>
          </w:rPr>
          <w:instrText xml:space="preserve"> PAGEREF _Toc224819095 \h </w:instrText>
        </w:r>
        <w:r>
          <w:rPr>
            <w:webHidden/>
          </w:rPr>
        </w:r>
        <w:r>
          <w:rPr>
            <w:webHidden/>
          </w:rPr>
          <w:fldChar w:fldCharType="separate"/>
        </w:r>
        <w:r w:rsidR="00AA17AB">
          <w:rPr>
            <w:webHidden/>
          </w:rPr>
          <w:t>233</w:t>
        </w:r>
        <w:r>
          <w:rPr>
            <w:webHidden/>
          </w:rPr>
          <w:fldChar w:fldCharType="end"/>
        </w:r>
      </w:hyperlink>
    </w:p>
    <w:p w14:paraId="04BC8AC8" w14:textId="5C489A0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6" w:history="1">
        <w:r w:rsidRPr="00FC437C">
          <w:rPr>
            <w:rStyle w:val="Hyperlink"/>
          </w:rPr>
          <w:t>§725.</w:t>
        </w:r>
        <w:r>
          <w:rPr>
            <w:rFonts w:asciiTheme="minorHAnsi" w:eastAsiaTheme="minorEastAsia" w:hAnsiTheme="minorHAnsi" w:cstheme="minorBidi"/>
            <w:color w:val="auto"/>
            <w:kern w:val="2"/>
            <w:szCs w:val="24"/>
            <w14:ligatures w14:val="standardContextual"/>
          </w:rPr>
          <w:tab/>
        </w:r>
        <w:r w:rsidRPr="00FC437C">
          <w:rPr>
            <w:rStyle w:val="Hyperlink"/>
          </w:rPr>
          <w:t xml:space="preserve">Establishing the Official Tests for </w:t>
        </w:r>
        <w:r w:rsidRPr="00FC437C">
          <w:rPr>
            <w:rStyle w:val="Hyperlink"/>
            <w:i/>
          </w:rPr>
          <w:t>Brucellosis</w:t>
        </w:r>
        <w:r w:rsidRPr="00FC437C">
          <w:rPr>
            <w:rStyle w:val="Hyperlink"/>
          </w:rPr>
          <w:t xml:space="preserve"> in Cattle (Formerly §321)</w:t>
        </w:r>
        <w:r>
          <w:rPr>
            <w:webHidden/>
          </w:rPr>
          <w:tab/>
        </w:r>
        <w:r>
          <w:rPr>
            <w:webHidden/>
          </w:rPr>
          <w:fldChar w:fldCharType="begin"/>
        </w:r>
        <w:r>
          <w:rPr>
            <w:webHidden/>
          </w:rPr>
          <w:instrText xml:space="preserve"> PAGEREF _Toc224819096 \h </w:instrText>
        </w:r>
        <w:r>
          <w:rPr>
            <w:webHidden/>
          </w:rPr>
        </w:r>
        <w:r>
          <w:rPr>
            <w:webHidden/>
          </w:rPr>
          <w:fldChar w:fldCharType="separate"/>
        </w:r>
        <w:r w:rsidR="00AA17AB">
          <w:rPr>
            <w:webHidden/>
          </w:rPr>
          <w:t>234</w:t>
        </w:r>
        <w:r>
          <w:rPr>
            <w:webHidden/>
          </w:rPr>
          <w:fldChar w:fldCharType="end"/>
        </w:r>
      </w:hyperlink>
    </w:p>
    <w:p w14:paraId="5024D45A" w14:textId="63DF32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7" w:history="1">
        <w:r w:rsidRPr="00FC437C">
          <w:rPr>
            <w:rStyle w:val="Hyperlink"/>
          </w:rPr>
          <w:t>§727.</w:t>
        </w:r>
        <w:r>
          <w:rPr>
            <w:rFonts w:asciiTheme="minorHAnsi" w:eastAsiaTheme="minorEastAsia" w:hAnsiTheme="minorHAnsi" w:cstheme="minorBidi"/>
            <w:color w:val="auto"/>
            <w:kern w:val="2"/>
            <w:szCs w:val="24"/>
            <w14:ligatures w14:val="standardContextual"/>
          </w:rPr>
          <w:tab/>
        </w:r>
        <w:r w:rsidRPr="00FC437C">
          <w:rPr>
            <w:rStyle w:val="Hyperlink"/>
          </w:rPr>
          <w:t xml:space="preserve">Testing and Vaccination of Cattle and the Movement of Cattle from </w:t>
        </w:r>
        <w:r w:rsidR="00676FBC">
          <w:rPr>
            <w:rStyle w:val="Hyperlink"/>
          </w:rPr>
          <w:br/>
        </w:r>
        <w:r w:rsidR="00676FBC">
          <w:rPr>
            <w:rStyle w:val="Hyperlink"/>
          </w:rPr>
          <w:tab/>
        </w:r>
        <w:r w:rsidRPr="00FC437C">
          <w:rPr>
            <w:rStyle w:val="Hyperlink"/>
            <w:i/>
          </w:rPr>
          <w:t>Brucellosis</w:t>
        </w:r>
        <w:r w:rsidRPr="00FC437C">
          <w:rPr>
            <w:rStyle w:val="Hyperlink"/>
          </w:rPr>
          <w:t xml:space="preserve"> Quarantined Herds (Formerly §323)</w:t>
        </w:r>
        <w:r>
          <w:rPr>
            <w:webHidden/>
          </w:rPr>
          <w:tab/>
        </w:r>
        <w:r>
          <w:rPr>
            <w:webHidden/>
          </w:rPr>
          <w:fldChar w:fldCharType="begin"/>
        </w:r>
        <w:r>
          <w:rPr>
            <w:webHidden/>
          </w:rPr>
          <w:instrText xml:space="preserve"> PAGEREF _Toc224819097 \h </w:instrText>
        </w:r>
        <w:r>
          <w:rPr>
            <w:webHidden/>
          </w:rPr>
        </w:r>
        <w:r>
          <w:rPr>
            <w:webHidden/>
          </w:rPr>
          <w:fldChar w:fldCharType="separate"/>
        </w:r>
        <w:r w:rsidR="00AA17AB">
          <w:rPr>
            <w:webHidden/>
          </w:rPr>
          <w:t>235</w:t>
        </w:r>
        <w:r>
          <w:rPr>
            <w:webHidden/>
          </w:rPr>
          <w:fldChar w:fldCharType="end"/>
        </w:r>
      </w:hyperlink>
    </w:p>
    <w:p w14:paraId="2FF36C49" w14:textId="015F225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098" w:history="1">
        <w:r w:rsidRPr="00FC437C">
          <w:rPr>
            <w:rStyle w:val="Hyperlink"/>
          </w:rPr>
          <w:t>§729.</w:t>
        </w:r>
        <w:r>
          <w:rPr>
            <w:rFonts w:asciiTheme="minorHAnsi" w:eastAsiaTheme="minorEastAsia" w:hAnsiTheme="minorHAnsi" w:cstheme="minorBidi"/>
            <w:color w:val="auto"/>
            <w:kern w:val="2"/>
            <w:szCs w:val="24"/>
            <w14:ligatures w14:val="standardContextual"/>
          </w:rPr>
          <w:tab/>
        </w:r>
        <w:r w:rsidRPr="00FC437C">
          <w:rPr>
            <w:rStyle w:val="Hyperlink"/>
          </w:rPr>
          <w:t>Payment of Indemnities (Formerly §331)</w:t>
        </w:r>
        <w:r>
          <w:rPr>
            <w:webHidden/>
          </w:rPr>
          <w:tab/>
        </w:r>
        <w:r>
          <w:rPr>
            <w:webHidden/>
          </w:rPr>
          <w:fldChar w:fldCharType="begin"/>
        </w:r>
        <w:r>
          <w:rPr>
            <w:webHidden/>
          </w:rPr>
          <w:instrText xml:space="preserve"> PAGEREF _Toc224819098 \h </w:instrText>
        </w:r>
        <w:r>
          <w:rPr>
            <w:webHidden/>
          </w:rPr>
        </w:r>
        <w:r>
          <w:rPr>
            <w:webHidden/>
          </w:rPr>
          <w:fldChar w:fldCharType="separate"/>
        </w:r>
        <w:r w:rsidR="00AA17AB">
          <w:rPr>
            <w:webHidden/>
          </w:rPr>
          <w:t>236</w:t>
        </w:r>
        <w:r>
          <w:rPr>
            <w:webHidden/>
          </w:rPr>
          <w:fldChar w:fldCharType="end"/>
        </w:r>
      </w:hyperlink>
    </w:p>
    <w:p w14:paraId="288DF0C8" w14:textId="7B9DF215" w:rsidR="00E67799" w:rsidRDefault="00E67799">
      <w:pPr>
        <w:pStyle w:val="TOC2"/>
        <w:rPr>
          <w:rFonts w:asciiTheme="minorHAnsi" w:eastAsiaTheme="minorEastAsia" w:hAnsiTheme="minorHAnsi" w:cstheme="minorBidi"/>
          <w:kern w:val="2"/>
          <w:szCs w:val="24"/>
          <w14:ligatures w14:val="standardContextual"/>
        </w:rPr>
      </w:pPr>
      <w:hyperlink w:anchor="_Toc224819099"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Tuberculosis</w:t>
        </w:r>
        <w:r>
          <w:rPr>
            <w:webHidden/>
          </w:rPr>
          <w:tab/>
        </w:r>
        <w:r>
          <w:rPr>
            <w:webHidden/>
          </w:rPr>
          <w:fldChar w:fldCharType="begin"/>
        </w:r>
        <w:r>
          <w:rPr>
            <w:webHidden/>
          </w:rPr>
          <w:instrText xml:space="preserve"> PAGEREF _Toc224819099 \h </w:instrText>
        </w:r>
        <w:r>
          <w:rPr>
            <w:webHidden/>
          </w:rPr>
        </w:r>
        <w:r>
          <w:rPr>
            <w:webHidden/>
          </w:rPr>
          <w:fldChar w:fldCharType="separate"/>
        </w:r>
        <w:r w:rsidR="00AA17AB">
          <w:rPr>
            <w:webHidden/>
          </w:rPr>
          <w:t>236</w:t>
        </w:r>
        <w:r>
          <w:rPr>
            <w:webHidden/>
          </w:rPr>
          <w:fldChar w:fldCharType="end"/>
        </w:r>
      </w:hyperlink>
    </w:p>
    <w:p w14:paraId="685AEE56" w14:textId="0A8EFA3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0" w:history="1">
        <w:r w:rsidRPr="00FC437C">
          <w:rPr>
            <w:rStyle w:val="Hyperlink"/>
          </w:rPr>
          <w:t>§731.</w:t>
        </w:r>
        <w:r>
          <w:rPr>
            <w:rFonts w:asciiTheme="minorHAnsi" w:eastAsiaTheme="minorEastAsia" w:hAnsiTheme="minorHAnsi" w:cstheme="minorBidi"/>
            <w:color w:val="auto"/>
            <w:kern w:val="2"/>
            <w:szCs w:val="24"/>
            <w14:ligatures w14:val="standardContextual"/>
          </w:rPr>
          <w:tab/>
        </w:r>
        <w:r w:rsidRPr="00FC437C">
          <w:rPr>
            <w:rStyle w:val="Hyperlink"/>
          </w:rPr>
          <w:t xml:space="preserve">Testing of Cattle and the Movement of Cattle from Tuberculosis Quarantined Herds </w:t>
        </w:r>
        <w:r w:rsidR="00676FBC">
          <w:rPr>
            <w:rStyle w:val="Hyperlink"/>
          </w:rPr>
          <w:br/>
        </w:r>
        <w:r w:rsidR="00676FBC">
          <w:rPr>
            <w:rStyle w:val="Hyperlink"/>
          </w:rPr>
          <w:tab/>
        </w:r>
        <w:r w:rsidRPr="00FC437C">
          <w:rPr>
            <w:rStyle w:val="Hyperlink"/>
          </w:rPr>
          <w:t xml:space="preserve">and the Establishment and Maintenance of All Tuberculosis Accredited Herds </w:t>
        </w:r>
        <w:r w:rsidR="00676FBC">
          <w:rPr>
            <w:rStyle w:val="Hyperlink"/>
          </w:rPr>
          <w:br/>
        </w:r>
        <w:r w:rsidR="00676FBC">
          <w:rPr>
            <w:rStyle w:val="Hyperlink"/>
          </w:rPr>
          <w:tab/>
        </w:r>
        <w:r w:rsidRPr="00FC437C">
          <w:rPr>
            <w:rStyle w:val="Hyperlink"/>
          </w:rPr>
          <w:t>(Formerly §327)</w:t>
        </w:r>
        <w:r>
          <w:rPr>
            <w:webHidden/>
          </w:rPr>
          <w:tab/>
        </w:r>
        <w:r>
          <w:rPr>
            <w:webHidden/>
          </w:rPr>
          <w:fldChar w:fldCharType="begin"/>
        </w:r>
        <w:r>
          <w:rPr>
            <w:webHidden/>
          </w:rPr>
          <w:instrText xml:space="preserve"> PAGEREF _Toc224819100 \h </w:instrText>
        </w:r>
        <w:r>
          <w:rPr>
            <w:webHidden/>
          </w:rPr>
        </w:r>
        <w:r>
          <w:rPr>
            <w:webHidden/>
          </w:rPr>
          <w:fldChar w:fldCharType="separate"/>
        </w:r>
        <w:r w:rsidR="00AA17AB">
          <w:rPr>
            <w:webHidden/>
          </w:rPr>
          <w:t>236</w:t>
        </w:r>
        <w:r>
          <w:rPr>
            <w:webHidden/>
          </w:rPr>
          <w:fldChar w:fldCharType="end"/>
        </w:r>
      </w:hyperlink>
    </w:p>
    <w:p w14:paraId="0376569A" w14:textId="0A99D48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1" w:history="1">
        <w:r w:rsidRPr="00FC437C">
          <w:rPr>
            <w:rStyle w:val="Hyperlink"/>
          </w:rPr>
          <w:t>§733.</w:t>
        </w:r>
        <w:r>
          <w:rPr>
            <w:rFonts w:asciiTheme="minorHAnsi" w:eastAsiaTheme="minorEastAsia" w:hAnsiTheme="minorHAnsi" w:cstheme="minorBidi"/>
            <w:color w:val="auto"/>
            <w:kern w:val="2"/>
            <w:szCs w:val="24"/>
            <w14:ligatures w14:val="standardContextual"/>
          </w:rPr>
          <w:tab/>
        </w:r>
        <w:r w:rsidRPr="00FC437C">
          <w:rPr>
            <w:rStyle w:val="Hyperlink"/>
          </w:rPr>
          <w:t>Tuberculosis Testing of Mexican Cattle; Documentation (Formerly §341)</w:t>
        </w:r>
        <w:r>
          <w:rPr>
            <w:webHidden/>
          </w:rPr>
          <w:tab/>
        </w:r>
        <w:r>
          <w:rPr>
            <w:webHidden/>
          </w:rPr>
          <w:fldChar w:fldCharType="begin"/>
        </w:r>
        <w:r>
          <w:rPr>
            <w:webHidden/>
          </w:rPr>
          <w:instrText xml:space="preserve"> PAGEREF _Toc224819101 \h </w:instrText>
        </w:r>
        <w:r>
          <w:rPr>
            <w:webHidden/>
          </w:rPr>
        </w:r>
        <w:r>
          <w:rPr>
            <w:webHidden/>
          </w:rPr>
          <w:fldChar w:fldCharType="separate"/>
        </w:r>
        <w:r w:rsidR="00AA17AB">
          <w:rPr>
            <w:webHidden/>
          </w:rPr>
          <w:t>237</w:t>
        </w:r>
        <w:r>
          <w:rPr>
            <w:webHidden/>
          </w:rPr>
          <w:fldChar w:fldCharType="end"/>
        </w:r>
      </w:hyperlink>
    </w:p>
    <w:p w14:paraId="6DE500FF" w14:textId="5AA5178B"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102" w:history="1">
        <w:r w:rsidRPr="00FC437C">
          <w:rPr>
            <w:rStyle w:val="Hyperlink"/>
          </w:rPr>
          <w:t>§§735-739.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_Toc224819102 \h </w:instrText>
        </w:r>
        <w:r>
          <w:rPr>
            <w:webHidden/>
          </w:rPr>
        </w:r>
        <w:r>
          <w:rPr>
            <w:webHidden/>
          </w:rPr>
          <w:fldChar w:fldCharType="separate"/>
        </w:r>
        <w:r w:rsidR="00AA17AB">
          <w:rPr>
            <w:webHidden/>
          </w:rPr>
          <w:t>238</w:t>
        </w:r>
        <w:r>
          <w:rPr>
            <w:webHidden/>
          </w:rPr>
          <w:fldChar w:fldCharType="end"/>
        </w:r>
      </w:hyperlink>
    </w:p>
    <w:p w14:paraId="0564398A" w14:textId="2D9E7016" w:rsidR="00E67799" w:rsidRDefault="00E67799">
      <w:pPr>
        <w:pStyle w:val="TOC2"/>
        <w:rPr>
          <w:rFonts w:asciiTheme="minorHAnsi" w:eastAsiaTheme="minorEastAsia" w:hAnsiTheme="minorHAnsi" w:cstheme="minorBidi"/>
          <w:kern w:val="2"/>
          <w:szCs w:val="24"/>
          <w14:ligatures w14:val="standardContextual"/>
        </w:rPr>
      </w:pPr>
      <w:hyperlink w:anchor="_Toc224819103"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Mycoplasma in Dairy Cattle Regulations</w:t>
        </w:r>
        <w:r>
          <w:rPr>
            <w:webHidden/>
          </w:rPr>
          <w:tab/>
        </w:r>
        <w:r>
          <w:rPr>
            <w:webHidden/>
          </w:rPr>
          <w:fldChar w:fldCharType="begin"/>
        </w:r>
        <w:r>
          <w:rPr>
            <w:webHidden/>
          </w:rPr>
          <w:instrText xml:space="preserve"> PAGEREF _Toc224819103 \h </w:instrText>
        </w:r>
        <w:r>
          <w:rPr>
            <w:webHidden/>
          </w:rPr>
        </w:r>
        <w:r>
          <w:rPr>
            <w:webHidden/>
          </w:rPr>
          <w:fldChar w:fldCharType="separate"/>
        </w:r>
        <w:r w:rsidR="00AA17AB">
          <w:rPr>
            <w:webHidden/>
          </w:rPr>
          <w:t>238</w:t>
        </w:r>
        <w:r>
          <w:rPr>
            <w:webHidden/>
          </w:rPr>
          <w:fldChar w:fldCharType="end"/>
        </w:r>
      </w:hyperlink>
    </w:p>
    <w:p w14:paraId="71002332" w14:textId="2E9B69B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4" w:history="1">
        <w:r w:rsidRPr="00FC437C">
          <w:rPr>
            <w:rStyle w:val="Hyperlink"/>
          </w:rPr>
          <w:t>§741.</w:t>
        </w:r>
        <w:r>
          <w:rPr>
            <w:rFonts w:asciiTheme="minorHAnsi" w:eastAsiaTheme="minorEastAsia" w:hAnsiTheme="minorHAnsi" w:cstheme="minorBidi"/>
            <w:color w:val="auto"/>
            <w:kern w:val="2"/>
            <w:szCs w:val="24"/>
            <w14:ligatures w14:val="standardContextual"/>
          </w:rPr>
          <w:tab/>
        </w:r>
        <w:r w:rsidRPr="00FC437C">
          <w:rPr>
            <w:rStyle w:val="Hyperlink"/>
          </w:rPr>
          <w:t>Routine Testing of Dairy Herds (Formerly §333)</w:t>
        </w:r>
        <w:r>
          <w:rPr>
            <w:webHidden/>
          </w:rPr>
          <w:tab/>
        </w:r>
        <w:r>
          <w:rPr>
            <w:webHidden/>
          </w:rPr>
          <w:fldChar w:fldCharType="begin"/>
        </w:r>
        <w:r>
          <w:rPr>
            <w:webHidden/>
          </w:rPr>
          <w:instrText xml:space="preserve"> PAGEREF _Toc224819104 \h </w:instrText>
        </w:r>
        <w:r>
          <w:rPr>
            <w:webHidden/>
          </w:rPr>
        </w:r>
        <w:r>
          <w:rPr>
            <w:webHidden/>
          </w:rPr>
          <w:fldChar w:fldCharType="separate"/>
        </w:r>
        <w:r w:rsidR="00AA17AB">
          <w:rPr>
            <w:webHidden/>
          </w:rPr>
          <w:t>238</w:t>
        </w:r>
        <w:r>
          <w:rPr>
            <w:webHidden/>
          </w:rPr>
          <w:fldChar w:fldCharType="end"/>
        </w:r>
      </w:hyperlink>
    </w:p>
    <w:p w14:paraId="2D531A9E" w14:textId="7A309E8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5" w:history="1">
        <w:r w:rsidRPr="00FC437C">
          <w:rPr>
            <w:rStyle w:val="Hyperlink"/>
          </w:rPr>
          <w:t>§743.</w:t>
        </w:r>
        <w:r>
          <w:rPr>
            <w:rFonts w:asciiTheme="minorHAnsi" w:eastAsiaTheme="minorEastAsia" w:hAnsiTheme="minorHAnsi" w:cstheme="minorBidi"/>
            <w:color w:val="auto"/>
            <w:kern w:val="2"/>
            <w:szCs w:val="24"/>
            <w14:ligatures w14:val="standardContextual"/>
          </w:rPr>
          <w:tab/>
        </w:r>
        <w:r w:rsidRPr="00FC437C">
          <w:rPr>
            <w:rStyle w:val="Hyperlink"/>
          </w:rPr>
          <w:t>Restrictions on Dairy Herds Testing Positive for Mycoplasma Mastitis (Formerly §335)</w:t>
        </w:r>
        <w:r>
          <w:rPr>
            <w:webHidden/>
          </w:rPr>
          <w:tab/>
        </w:r>
        <w:r>
          <w:rPr>
            <w:webHidden/>
          </w:rPr>
          <w:fldChar w:fldCharType="begin"/>
        </w:r>
        <w:r>
          <w:rPr>
            <w:webHidden/>
          </w:rPr>
          <w:instrText xml:space="preserve"> PAGEREF _Toc224819105 \h </w:instrText>
        </w:r>
        <w:r>
          <w:rPr>
            <w:webHidden/>
          </w:rPr>
        </w:r>
        <w:r>
          <w:rPr>
            <w:webHidden/>
          </w:rPr>
          <w:fldChar w:fldCharType="separate"/>
        </w:r>
        <w:r w:rsidR="00AA17AB">
          <w:rPr>
            <w:webHidden/>
          </w:rPr>
          <w:t>238</w:t>
        </w:r>
        <w:r>
          <w:rPr>
            <w:webHidden/>
          </w:rPr>
          <w:fldChar w:fldCharType="end"/>
        </w:r>
      </w:hyperlink>
    </w:p>
    <w:p w14:paraId="6830F723" w14:textId="7E62D1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6" w:history="1">
        <w:r w:rsidRPr="00FC437C">
          <w:rPr>
            <w:rStyle w:val="Hyperlink"/>
          </w:rPr>
          <w:t>§745.</w:t>
        </w:r>
        <w:r>
          <w:rPr>
            <w:rFonts w:asciiTheme="minorHAnsi" w:eastAsiaTheme="minorEastAsia" w:hAnsiTheme="minorHAnsi" w:cstheme="minorBidi"/>
            <w:color w:val="auto"/>
            <w:kern w:val="2"/>
            <w:szCs w:val="24"/>
            <w14:ligatures w14:val="standardContextual"/>
          </w:rPr>
          <w:tab/>
        </w:r>
        <w:r w:rsidRPr="00FC437C">
          <w:rPr>
            <w:rStyle w:val="Hyperlink"/>
          </w:rPr>
          <w:t>Fees (Formerly §337)</w:t>
        </w:r>
        <w:r>
          <w:rPr>
            <w:webHidden/>
          </w:rPr>
          <w:tab/>
        </w:r>
        <w:r>
          <w:rPr>
            <w:webHidden/>
          </w:rPr>
          <w:fldChar w:fldCharType="begin"/>
        </w:r>
        <w:r>
          <w:rPr>
            <w:webHidden/>
          </w:rPr>
          <w:instrText xml:space="preserve"> PAGEREF _Toc224819106 \h </w:instrText>
        </w:r>
        <w:r>
          <w:rPr>
            <w:webHidden/>
          </w:rPr>
        </w:r>
        <w:r>
          <w:rPr>
            <w:webHidden/>
          </w:rPr>
          <w:fldChar w:fldCharType="separate"/>
        </w:r>
        <w:r w:rsidR="00AA17AB">
          <w:rPr>
            <w:webHidden/>
          </w:rPr>
          <w:t>238</w:t>
        </w:r>
        <w:r>
          <w:rPr>
            <w:webHidden/>
          </w:rPr>
          <w:fldChar w:fldCharType="end"/>
        </w:r>
      </w:hyperlink>
    </w:p>
    <w:p w14:paraId="3985EE74" w14:textId="6F5811B0"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107" w:history="1">
        <w:r w:rsidRPr="00FC437C">
          <w:rPr>
            <w:rStyle w:val="Hyperlink"/>
          </w:rPr>
          <w:t>§§747-749.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_Toc224819107 \h </w:instrText>
        </w:r>
        <w:r>
          <w:rPr>
            <w:webHidden/>
          </w:rPr>
        </w:r>
        <w:r>
          <w:rPr>
            <w:webHidden/>
          </w:rPr>
          <w:fldChar w:fldCharType="separate"/>
        </w:r>
        <w:r w:rsidR="00AA17AB">
          <w:rPr>
            <w:webHidden/>
          </w:rPr>
          <w:t>239</w:t>
        </w:r>
        <w:r>
          <w:rPr>
            <w:webHidden/>
          </w:rPr>
          <w:fldChar w:fldCharType="end"/>
        </w:r>
      </w:hyperlink>
    </w:p>
    <w:p w14:paraId="6219B1D4" w14:textId="6E052A69" w:rsidR="00E67799" w:rsidRDefault="00E67799">
      <w:pPr>
        <w:pStyle w:val="TOC2"/>
        <w:rPr>
          <w:rFonts w:asciiTheme="minorHAnsi" w:eastAsiaTheme="minorEastAsia" w:hAnsiTheme="minorHAnsi" w:cstheme="minorBidi"/>
          <w:kern w:val="2"/>
          <w:szCs w:val="24"/>
          <w14:ligatures w14:val="standardContextual"/>
        </w:rPr>
      </w:pPr>
      <w:hyperlink w:anchor="_Toc224819108" w:history="1">
        <w:r w:rsidRPr="00FC437C">
          <w:rPr>
            <w:rStyle w:val="Hyperlink"/>
          </w:rPr>
          <w:t>Subchapter E.</w:t>
        </w:r>
        <w:r>
          <w:rPr>
            <w:rFonts w:asciiTheme="minorHAnsi" w:eastAsiaTheme="minorEastAsia" w:hAnsiTheme="minorHAnsi" w:cstheme="minorBidi"/>
            <w:kern w:val="2"/>
            <w:szCs w:val="24"/>
            <w14:ligatures w14:val="standardContextual"/>
          </w:rPr>
          <w:tab/>
        </w:r>
        <w:r w:rsidRPr="00FC437C">
          <w:rPr>
            <w:rStyle w:val="Hyperlink"/>
          </w:rPr>
          <w:t>Trichomoniasis</w:t>
        </w:r>
        <w:r>
          <w:rPr>
            <w:webHidden/>
          </w:rPr>
          <w:tab/>
        </w:r>
        <w:r>
          <w:rPr>
            <w:webHidden/>
          </w:rPr>
          <w:fldChar w:fldCharType="begin"/>
        </w:r>
        <w:r>
          <w:rPr>
            <w:webHidden/>
          </w:rPr>
          <w:instrText xml:space="preserve"> PAGEREF _Toc224819108 \h </w:instrText>
        </w:r>
        <w:r>
          <w:rPr>
            <w:webHidden/>
          </w:rPr>
        </w:r>
        <w:r>
          <w:rPr>
            <w:webHidden/>
          </w:rPr>
          <w:fldChar w:fldCharType="separate"/>
        </w:r>
        <w:r w:rsidR="00AA17AB">
          <w:rPr>
            <w:webHidden/>
          </w:rPr>
          <w:t>239</w:t>
        </w:r>
        <w:r>
          <w:rPr>
            <w:webHidden/>
          </w:rPr>
          <w:fldChar w:fldCharType="end"/>
        </w:r>
      </w:hyperlink>
    </w:p>
    <w:p w14:paraId="0EC7FC1E" w14:textId="3CE7B7A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09" w:history="1">
        <w:r w:rsidRPr="00FC437C">
          <w:rPr>
            <w:rStyle w:val="Hyperlink"/>
          </w:rPr>
          <w:t>§751.</w:t>
        </w:r>
        <w:r>
          <w:rPr>
            <w:rFonts w:asciiTheme="minorHAnsi" w:eastAsiaTheme="minorEastAsia" w:hAnsiTheme="minorHAnsi" w:cstheme="minorBidi"/>
            <w:color w:val="auto"/>
            <w:kern w:val="2"/>
            <w:szCs w:val="24"/>
            <w14:ligatures w14:val="standardContextual"/>
          </w:rPr>
          <w:tab/>
        </w:r>
        <w:r w:rsidRPr="00FC437C">
          <w:rPr>
            <w:rStyle w:val="Hyperlink"/>
          </w:rPr>
          <w:t>Trichomoniasis Testing and Movement Requirements for Cattle (Formerly §339)</w:t>
        </w:r>
        <w:r>
          <w:rPr>
            <w:webHidden/>
          </w:rPr>
          <w:tab/>
        </w:r>
        <w:r>
          <w:rPr>
            <w:webHidden/>
          </w:rPr>
          <w:fldChar w:fldCharType="begin"/>
        </w:r>
        <w:r>
          <w:rPr>
            <w:webHidden/>
          </w:rPr>
          <w:instrText xml:space="preserve"> PAGEREF _Toc224819109 \h </w:instrText>
        </w:r>
        <w:r>
          <w:rPr>
            <w:webHidden/>
          </w:rPr>
        </w:r>
        <w:r>
          <w:rPr>
            <w:webHidden/>
          </w:rPr>
          <w:fldChar w:fldCharType="separate"/>
        </w:r>
        <w:r w:rsidR="00AA17AB">
          <w:rPr>
            <w:webHidden/>
          </w:rPr>
          <w:t>239</w:t>
        </w:r>
        <w:r>
          <w:rPr>
            <w:webHidden/>
          </w:rPr>
          <w:fldChar w:fldCharType="end"/>
        </w:r>
      </w:hyperlink>
    </w:p>
    <w:p w14:paraId="291FC62B" w14:textId="1A36FE0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10" w:history="1">
        <w:r w:rsidRPr="00FC437C">
          <w:rPr>
            <w:rStyle w:val="Hyperlink"/>
          </w:rPr>
          <w:t>§752.</w:t>
        </w:r>
        <w:r>
          <w:rPr>
            <w:rFonts w:asciiTheme="minorHAnsi" w:eastAsiaTheme="minorEastAsia" w:hAnsiTheme="minorHAnsi" w:cstheme="minorBidi"/>
            <w:color w:val="auto"/>
            <w:kern w:val="2"/>
            <w:szCs w:val="24"/>
            <w14:ligatures w14:val="standardContextual"/>
          </w:rPr>
          <w:tab/>
        </w:r>
        <w:r w:rsidRPr="00FC437C">
          <w:rPr>
            <w:rStyle w:val="Hyperlink"/>
          </w:rPr>
          <w:t>Trichomoniasis Quarantine Facility</w:t>
        </w:r>
        <w:r>
          <w:rPr>
            <w:webHidden/>
          </w:rPr>
          <w:tab/>
        </w:r>
        <w:r>
          <w:rPr>
            <w:webHidden/>
          </w:rPr>
          <w:fldChar w:fldCharType="begin"/>
        </w:r>
        <w:r>
          <w:rPr>
            <w:webHidden/>
          </w:rPr>
          <w:instrText xml:space="preserve"> PAGEREF _Toc224819110 \h </w:instrText>
        </w:r>
        <w:r>
          <w:rPr>
            <w:webHidden/>
          </w:rPr>
        </w:r>
        <w:r>
          <w:rPr>
            <w:webHidden/>
          </w:rPr>
          <w:fldChar w:fldCharType="separate"/>
        </w:r>
        <w:r w:rsidR="00AA17AB">
          <w:rPr>
            <w:webHidden/>
          </w:rPr>
          <w:t>240</w:t>
        </w:r>
        <w:r>
          <w:rPr>
            <w:webHidden/>
          </w:rPr>
          <w:fldChar w:fldCharType="end"/>
        </w:r>
      </w:hyperlink>
    </w:p>
    <w:p w14:paraId="43022D19" w14:textId="366E932C"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111" w:history="1">
        <w:r w:rsidRPr="00FC437C">
          <w:rPr>
            <w:rStyle w:val="Hyperlink"/>
          </w:rPr>
          <w:t>§§753-759.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_Toc224819111 \h </w:instrText>
        </w:r>
        <w:r>
          <w:rPr>
            <w:webHidden/>
          </w:rPr>
        </w:r>
        <w:r>
          <w:rPr>
            <w:webHidden/>
          </w:rPr>
          <w:fldChar w:fldCharType="separate"/>
        </w:r>
        <w:r w:rsidR="00AA17AB">
          <w:rPr>
            <w:webHidden/>
          </w:rPr>
          <w:t>241</w:t>
        </w:r>
        <w:r>
          <w:rPr>
            <w:webHidden/>
          </w:rPr>
          <w:fldChar w:fldCharType="end"/>
        </w:r>
      </w:hyperlink>
    </w:p>
    <w:p w14:paraId="4588EAE1" w14:textId="5D1C2DB3" w:rsidR="00E67799" w:rsidRDefault="00E67799">
      <w:pPr>
        <w:pStyle w:val="TOC2"/>
        <w:rPr>
          <w:rFonts w:asciiTheme="minorHAnsi" w:eastAsiaTheme="minorEastAsia" w:hAnsiTheme="minorHAnsi" w:cstheme="minorBidi"/>
          <w:kern w:val="2"/>
          <w:szCs w:val="24"/>
          <w14:ligatures w14:val="standardContextual"/>
        </w:rPr>
      </w:pPr>
      <w:hyperlink w:anchor="_Toc224819112" w:history="1">
        <w:r w:rsidRPr="00FC437C">
          <w:rPr>
            <w:rStyle w:val="Hyperlink"/>
          </w:rPr>
          <w:t>Subchapter F.</w:t>
        </w:r>
        <w:r>
          <w:rPr>
            <w:rFonts w:asciiTheme="minorHAnsi" w:eastAsiaTheme="minorEastAsia" w:hAnsiTheme="minorHAnsi" w:cstheme="minorBidi"/>
            <w:kern w:val="2"/>
            <w:szCs w:val="24"/>
            <w14:ligatures w14:val="standardContextual"/>
          </w:rPr>
          <w:tab/>
        </w:r>
        <w:r w:rsidRPr="00FC437C">
          <w:rPr>
            <w:rStyle w:val="Hyperlink"/>
          </w:rPr>
          <w:t>Slaughterhouse Requirements for Identification, Sampling, and Records</w:t>
        </w:r>
        <w:r>
          <w:rPr>
            <w:webHidden/>
          </w:rPr>
          <w:tab/>
        </w:r>
        <w:r>
          <w:rPr>
            <w:webHidden/>
          </w:rPr>
          <w:fldChar w:fldCharType="begin"/>
        </w:r>
        <w:r>
          <w:rPr>
            <w:webHidden/>
          </w:rPr>
          <w:instrText xml:space="preserve"> PAGEREF _Toc224819112 \h </w:instrText>
        </w:r>
        <w:r>
          <w:rPr>
            <w:webHidden/>
          </w:rPr>
        </w:r>
        <w:r>
          <w:rPr>
            <w:webHidden/>
          </w:rPr>
          <w:fldChar w:fldCharType="separate"/>
        </w:r>
        <w:r w:rsidR="00AA17AB">
          <w:rPr>
            <w:webHidden/>
          </w:rPr>
          <w:t>241</w:t>
        </w:r>
        <w:r>
          <w:rPr>
            <w:webHidden/>
          </w:rPr>
          <w:fldChar w:fldCharType="end"/>
        </w:r>
      </w:hyperlink>
    </w:p>
    <w:p w14:paraId="30A78890" w14:textId="57A8C51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13" w:history="1">
        <w:r w:rsidRPr="00FC437C">
          <w:rPr>
            <w:rStyle w:val="Hyperlink"/>
          </w:rPr>
          <w:t>§761.</w:t>
        </w:r>
        <w:r>
          <w:rPr>
            <w:rFonts w:asciiTheme="minorHAnsi" w:eastAsiaTheme="minorEastAsia" w:hAnsiTheme="minorHAnsi" w:cstheme="minorBidi"/>
            <w:color w:val="auto"/>
            <w:kern w:val="2"/>
            <w:szCs w:val="24"/>
            <w14:ligatures w14:val="standardContextual"/>
          </w:rPr>
          <w:tab/>
        </w:r>
        <w:r w:rsidRPr="00FC437C">
          <w:rPr>
            <w:rStyle w:val="Hyperlink"/>
          </w:rPr>
          <w:t xml:space="preserve">Identification of Cattle with Official Backtags and the Collection of Blood Samples </w:t>
        </w:r>
        <w:r w:rsidR="00676FBC">
          <w:rPr>
            <w:rStyle w:val="Hyperlink"/>
          </w:rPr>
          <w:br/>
        </w:r>
        <w:r w:rsidR="00676FBC">
          <w:rPr>
            <w:rStyle w:val="Hyperlink"/>
          </w:rPr>
          <w:tab/>
        </w:r>
        <w:r w:rsidRPr="00FC437C">
          <w:rPr>
            <w:rStyle w:val="Hyperlink"/>
          </w:rPr>
          <w:t xml:space="preserve">from Officially Backtagged Cattle at Slaughter Establishments under State or Federal </w:t>
        </w:r>
        <w:r w:rsidR="00676FBC">
          <w:rPr>
            <w:rStyle w:val="Hyperlink"/>
          </w:rPr>
          <w:br/>
        </w:r>
        <w:r w:rsidR="00676FBC">
          <w:rPr>
            <w:rStyle w:val="Hyperlink"/>
          </w:rPr>
          <w:tab/>
        </w:r>
        <w:r w:rsidRPr="00FC437C">
          <w:rPr>
            <w:rStyle w:val="Hyperlink"/>
          </w:rPr>
          <w:t>Meat Inspection (Formerly §329)</w:t>
        </w:r>
        <w:r>
          <w:rPr>
            <w:webHidden/>
          </w:rPr>
          <w:tab/>
        </w:r>
        <w:r>
          <w:rPr>
            <w:webHidden/>
          </w:rPr>
          <w:fldChar w:fldCharType="begin"/>
        </w:r>
        <w:r>
          <w:rPr>
            <w:webHidden/>
          </w:rPr>
          <w:instrText xml:space="preserve"> PAGEREF _Toc224819113 \h </w:instrText>
        </w:r>
        <w:r>
          <w:rPr>
            <w:webHidden/>
          </w:rPr>
        </w:r>
        <w:r>
          <w:rPr>
            <w:webHidden/>
          </w:rPr>
          <w:fldChar w:fldCharType="separate"/>
        </w:r>
        <w:r w:rsidR="00AA17AB">
          <w:rPr>
            <w:webHidden/>
          </w:rPr>
          <w:t>241</w:t>
        </w:r>
        <w:r>
          <w:rPr>
            <w:webHidden/>
          </w:rPr>
          <w:fldChar w:fldCharType="end"/>
        </w:r>
      </w:hyperlink>
    </w:p>
    <w:p w14:paraId="262ED973" w14:textId="72281C61" w:rsidR="00E67799" w:rsidRDefault="00E67799">
      <w:pPr>
        <w:pStyle w:val="TOC2"/>
        <w:rPr>
          <w:rFonts w:asciiTheme="minorHAnsi" w:eastAsiaTheme="minorEastAsia" w:hAnsiTheme="minorHAnsi" w:cstheme="minorBidi"/>
          <w:kern w:val="2"/>
          <w:szCs w:val="24"/>
          <w14:ligatures w14:val="standardContextual"/>
        </w:rPr>
      </w:pPr>
      <w:hyperlink w:anchor="_Toc224819114"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 xml:space="preserve"> Horses and other Equines (Formerly Chapter 5)</w:t>
        </w:r>
        <w:r>
          <w:rPr>
            <w:webHidden/>
          </w:rPr>
          <w:tab/>
        </w:r>
        <w:r>
          <w:rPr>
            <w:webHidden/>
          </w:rPr>
          <w:fldChar w:fldCharType="begin"/>
        </w:r>
        <w:r>
          <w:rPr>
            <w:webHidden/>
          </w:rPr>
          <w:instrText xml:space="preserve"> PAGEREF _Toc224819114 \h </w:instrText>
        </w:r>
        <w:r>
          <w:rPr>
            <w:webHidden/>
          </w:rPr>
        </w:r>
        <w:r>
          <w:rPr>
            <w:webHidden/>
          </w:rPr>
          <w:fldChar w:fldCharType="separate"/>
        </w:r>
        <w:r w:rsidR="00AA17AB">
          <w:rPr>
            <w:webHidden/>
          </w:rPr>
          <w:t>242</w:t>
        </w:r>
        <w:r>
          <w:rPr>
            <w:webHidden/>
          </w:rPr>
          <w:fldChar w:fldCharType="end"/>
        </w:r>
      </w:hyperlink>
    </w:p>
    <w:p w14:paraId="6E58E226" w14:textId="2D08E87A" w:rsidR="00E67799" w:rsidRDefault="00E67799">
      <w:pPr>
        <w:pStyle w:val="TOC2"/>
        <w:rPr>
          <w:rFonts w:asciiTheme="minorHAnsi" w:eastAsiaTheme="minorEastAsia" w:hAnsiTheme="minorHAnsi" w:cstheme="minorBidi"/>
          <w:kern w:val="2"/>
          <w:szCs w:val="24"/>
          <w14:ligatures w14:val="standardContextual"/>
        </w:rPr>
      </w:pPr>
      <w:hyperlink w:anchor="_Toc224819115"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_Toc224819115 \h </w:instrText>
        </w:r>
        <w:r>
          <w:rPr>
            <w:webHidden/>
          </w:rPr>
        </w:r>
        <w:r>
          <w:rPr>
            <w:webHidden/>
          </w:rPr>
          <w:fldChar w:fldCharType="separate"/>
        </w:r>
        <w:r w:rsidR="00AA17AB">
          <w:rPr>
            <w:webHidden/>
          </w:rPr>
          <w:t>242</w:t>
        </w:r>
        <w:r>
          <w:rPr>
            <w:webHidden/>
          </w:rPr>
          <w:fldChar w:fldCharType="end"/>
        </w:r>
      </w:hyperlink>
    </w:p>
    <w:p w14:paraId="62E8AFAF" w14:textId="1BA0597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16"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_Toc224819116 \h </w:instrText>
        </w:r>
        <w:r>
          <w:rPr>
            <w:webHidden/>
          </w:rPr>
        </w:r>
        <w:r>
          <w:rPr>
            <w:webHidden/>
          </w:rPr>
          <w:fldChar w:fldCharType="separate"/>
        </w:r>
        <w:r w:rsidR="00AA17AB">
          <w:rPr>
            <w:webHidden/>
          </w:rPr>
          <w:t>242</w:t>
        </w:r>
        <w:r>
          <w:rPr>
            <w:webHidden/>
          </w:rPr>
          <w:fldChar w:fldCharType="end"/>
        </w:r>
      </w:hyperlink>
    </w:p>
    <w:p w14:paraId="13A8AB5D" w14:textId="06CB24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17" w:history="1">
        <w:r w:rsidRPr="00FC437C">
          <w:rPr>
            <w:rStyle w:val="Hyperlink"/>
          </w:rPr>
          <w:t>§903.</w:t>
        </w:r>
        <w:r>
          <w:rPr>
            <w:rFonts w:asciiTheme="minorHAnsi" w:eastAsiaTheme="minorEastAsia" w:hAnsiTheme="minorHAnsi" w:cstheme="minorBidi"/>
            <w:color w:val="auto"/>
            <w:kern w:val="2"/>
            <w:szCs w:val="24"/>
            <w14:ligatures w14:val="standardContextual"/>
          </w:rPr>
          <w:tab/>
        </w:r>
        <w:r w:rsidRPr="00FC437C">
          <w:rPr>
            <w:rStyle w:val="Hyperlink"/>
          </w:rPr>
          <w:t>Definitions (Formerly §511)</w:t>
        </w:r>
        <w:r>
          <w:rPr>
            <w:webHidden/>
          </w:rPr>
          <w:tab/>
        </w:r>
        <w:r>
          <w:rPr>
            <w:webHidden/>
          </w:rPr>
          <w:fldChar w:fldCharType="begin"/>
        </w:r>
        <w:r>
          <w:rPr>
            <w:webHidden/>
          </w:rPr>
          <w:instrText xml:space="preserve"> PAGEREF _Toc224819117 \h </w:instrText>
        </w:r>
        <w:r>
          <w:rPr>
            <w:webHidden/>
          </w:rPr>
        </w:r>
        <w:r>
          <w:rPr>
            <w:webHidden/>
          </w:rPr>
          <w:fldChar w:fldCharType="separate"/>
        </w:r>
        <w:r w:rsidR="00AA17AB">
          <w:rPr>
            <w:webHidden/>
          </w:rPr>
          <w:t>242</w:t>
        </w:r>
        <w:r>
          <w:rPr>
            <w:webHidden/>
          </w:rPr>
          <w:fldChar w:fldCharType="end"/>
        </w:r>
      </w:hyperlink>
    </w:p>
    <w:p w14:paraId="48C2B9A5" w14:textId="26B8647D" w:rsidR="00E67799" w:rsidRDefault="00E67799">
      <w:pPr>
        <w:pStyle w:val="TOC3"/>
        <w:tabs>
          <w:tab w:val="left" w:pos="1786"/>
        </w:tabs>
        <w:rPr>
          <w:rFonts w:asciiTheme="minorHAnsi" w:eastAsiaTheme="minorEastAsia" w:hAnsiTheme="minorHAnsi" w:cstheme="minorBidi"/>
          <w:color w:val="auto"/>
          <w:kern w:val="2"/>
          <w:szCs w:val="24"/>
          <w14:ligatures w14:val="standardContextual"/>
        </w:rPr>
      </w:pPr>
      <w:hyperlink w:anchor="_Toc224819118" w:history="1">
        <w:r w:rsidRPr="00FC437C">
          <w:rPr>
            <w:rStyle w:val="Hyperlink"/>
          </w:rPr>
          <w:t>§§905-909.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_Toc224819118 \h </w:instrText>
        </w:r>
        <w:r>
          <w:rPr>
            <w:webHidden/>
          </w:rPr>
        </w:r>
        <w:r>
          <w:rPr>
            <w:webHidden/>
          </w:rPr>
          <w:fldChar w:fldCharType="separate"/>
        </w:r>
        <w:r w:rsidR="00AA17AB">
          <w:rPr>
            <w:webHidden/>
          </w:rPr>
          <w:t>243</w:t>
        </w:r>
        <w:r>
          <w:rPr>
            <w:webHidden/>
          </w:rPr>
          <w:fldChar w:fldCharType="end"/>
        </w:r>
      </w:hyperlink>
    </w:p>
    <w:p w14:paraId="7158C4E2" w14:textId="48C11F83" w:rsidR="00E67799" w:rsidRDefault="00E67799">
      <w:pPr>
        <w:pStyle w:val="TOC2"/>
        <w:rPr>
          <w:rFonts w:asciiTheme="minorHAnsi" w:eastAsiaTheme="minorEastAsia" w:hAnsiTheme="minorHAnsi" w:cstheme="minorBidi"/>
          <w:kern w:val="2"/>
          <w:szCs w:val="24"/>
          <w14:ligatures w14:val="standardContextual"/>
        </w:rPr>
      </w:pPr>
      <w:hyperlink w:anchor="_Toc224819119"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Equine Infectious Anemia (EIA)</w:t>
        </w:r>
        <w:r>
          <w:rPr>
            <w:webHidden/>
          </w:rPr>
          <w:tab/>
        </w:r>
        <w:r>
          <w:rPr>
            <w:webHidden/>
          </w:rPr>
          <w:fldChar w:fldCharType="begin"/>
        </w:r>
        <w:r>
          <w:rPr>
            <w:webHidden/>
          </w:rPr>
          <w:instrText xml:space="preserve"> PAGEREF _Toc224819119 \h </w:instrText>
        </w:r>
        <w:r>
          <w:rPr>
            <w:webHidden/>
          </w:rPr>
        </w:r>
        <w:r>
          <w:rPr>
            <w:webHidden/>
          </w:rPr>
          <w:fldChar w:fldCharType="separate"/>
        </w:r>
        <w:r w:rsidR="00AA17AB">
          <w:rPr>
            <w:webHidden/>
          </w:rPr>
          <w:t>243</w:t>
        </w:r>
        <w:r>
          <w:rPr>
            <w:webHidden/>
          </w:rPr>
          <w:fldChar w:fldCharType="end"/>
        </w:r>
      </w:hyperlink>
    </w:p>
    <w:p w14:paraId="7585F90D" w14:textId="1A602E4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0" w:history="1">
        <w:r w:rsidRPr="00FC437C">
          <w:rPr>
            <w:rStyle w:val="Hyperlink"/>
          </w:rPr>
          <w:t>§911.</w:t>
        </w:r>
        <w:r>
          <w:rPr>
            <w:rFonts w:asciiTheme="minorHAnsi" w:eastAsiaTheme="minorEastAsia" w:hAnsiTheme="minorHAnsi" w:cstheme="minorBidi"/>
            <w:color w:val="auto"/>
            <w:kern w:val="2"/>
            <w:szCs w:val="24"/>
            <w14:ligatures w14:val="standardContextual"/>
          </w:rPr>
          <w:tab/>
        </w:r>
        <w:r w:rsidRPr="00FC437C">
          <w:rPr>
            <w:rStyle w:val="Hyperlink"/>
          </w:rPr>
          <w:t>Statement of Purpose (Formerly §513)</w:t>
        </w:r>
        <w:r>
          <w:rPr>
            <w:webHidden/>
          </w:rPr>
          <w:tab/>
        </w:r>
        <w:r>
          <w:rPr>
            <w:webHidden/>
          </w:rPr>
          <w:fldChar w:fldCharType="begin"/>
        </w:r>
        <w:r>
          <w:rPr>
            <w:webHidden/>
          </w:rPr>
          <w:instrText xml:space="preserve"> PAGEREF _Toc224819120 \h </w:instrText>
        </w:r>
        <w:r>
          <w:rPr>
            <w:webHidden/>
          </w:rPr>
        </w:r>
        <w:r>
          <w:rPr>
            <w:webHidden/>
          </w:rPr>
          <w:fldChar w:fldCharType="separate"/>
        </w:r>
        <w:r w:rsidR="00AA17AB">
          <w:rPr>
            <w:webHidden/>
          </w:rPr>
          <w:t>243</w:t>
        </w:r>
        <w:r>
          <w:rPr>
            <w:webHidden/>
          </w:rPr>
          <w:fldChar w:fldCharType="end"/>
        </w:r>
      </w:hyperlink>
    </w:p>
    <w:p w14:paraId="2FB057BE" w14:textId="73A259F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1" w:history="1">
        <w:r w:rsidRPr="00FC437C">
          <w:rPr>
            <w:rStyle w:val="Hyperlink"/>
          </w:rPr>
          <w:t>§913.</w:t>
        </w:r>
        <w:r>
          <w:rPr>
            <w:rFonts w:asciiTheme="minorHAnsi" w:eastAsiaTheme="minorEastAsia" w:hAnsiTheme="minorHAnsi" w:cstheme="minorBidi"/>
            <w:color w:val="auto"/>
            <w:kern w:val="2"/>
            <w:szCs w:val="24"/>
            <w14:ligatures w14:val="standardContextual"/>
          </w:rPr>
          <w:tab/>
        </w:r>
        <w:r w:rsidRPr="00FC437C">
          <w:rPr>
            <w:rStyle w:val="Hyperlink"/>
          </w:rPr>
          <w:t>Equine Infectious Anemia (Formerly §§507, 917 and 919)</w:t>
        </w:r>
        <w:r>
          <w:rPr>
            <w:webHidden/>
          </w:rPr>
          <w:tab/>
        </w:r>
        <w:r>
          <w:rPr>
            <w:webHidden/>
          </w:rPr>
          <w:fldChar w:fldCharType="begin"/>
        </w:r>
        <w:r>
          <w:rPr>
            <w:webHidden/>
          </w:rPr>
          <w:instrText xml:space="preserve"> PAGEREF _Toc224819121 \h </w:instrText>
        </w:r>
        <w:r>
          <w:rPr>
            <w:webHidden/>
          </w:rPr>
        </w:r>
        <w:r>
          <w:rPr>
            <w:webHidden/>
          </w:rPr>
          <w:fldChar w:fldCharType="separate"/>
        </w:r>
        <w:r w:rsidR="00AA17AB">
          <w:rPr>
            <w:webHidden/>
          </w:rPr>
          <w:t>243</w:t>
        </w:r>
        <w:r>
          <w:rPr>
            <w:webHidden/>
          </w:rPr>
          <w:fldChar w:fldCharType="end"/>
        </w:r>
      </w:hyperlink>
    </w:p>
    <w:p w14:paraId="1B22DCC8" w14:textId="049EF1E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2" w:history="1">
        <w:r w:rsidRPr="00FC437C">
          <w:rPr>
            <w:rStyle w:val="Hyperlink"/>
          </w:rPr>
          <w:t>§915.</w:t>
        </w:r>
        <w:r>
          <w:rPr>
            <w:rFonts w:asciiTheme="minorHAnsi" w:eastAsiaTheme="minorEastAsia" w:hAnsiTheme="minorHAnsi" w:cstheme="minorBidi"/>
            <w:color w:val="auto"/>
            <w:kern w:val="2"/>
            <w:szCs w:val="24"/>
            <w14:ligatures w14:val="standardContextual"/>
          </w:rPr>
          <w:tab/>
        </w:r>
        <w:r w:rsidRPr="00FC437C">
          <w:rPr>
            <w:rStyle w:val="Hyperlink"/>
          </w:rPr>
          <w:t>Equine Quarantine Holding Area (Formerly §931)</w:t>
        </w:r>
        <w:r>
          <w:rPr>
            <w:webHidden/>
          </w:rPr>
          <w:tab/>
        </w:r>
        <w:r>
          <w:rPr>
            <w:webHidden/>
          </w:rPr>
          <w:fldChar w:fldCharType="begin"/>
        </w:r>
        <w:r>
          <w:rPr>
            <w:webHidden/>
          </w:rPr>
          <w:instrText xml:space="preserve"> PAGEREF _Toc224819122 \h </w:instrText>
        </w:r>
        <w:r>
          <w:rPr>
            <w:webHidden/>
          </w:rPr>
        </w:r>
        <w:r>
          <w:rPr>
            <w:webHidden/>
          </w:rPr>
          <w:fldChar w:fldCharType="separate"/>
        </w:r>
        <w:r w:rsidR="00AA17AB">
          <w:rPr>
            <w:webHidden/>
          </w:rPr>
          <w:t>245</w:t>
        </w:r>
        <w:r>
          <w:rPr>
            <w:webHidden/>
          </w:rPr>
          <w:fldChar w:fldCharType="end"/>
        </w:r>
      </w:hyperlink>
    </w:p>
    <w:p w14:paraId="237CA672" w14:textId="778FA29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3" w:history="1">
        <w:r w:rsidRPr="00FC437C">
          <w:rPr>
            <w:rStyle w:val="Hyperlink"/>
          </w:rPr>
          <w:t>§917.</w:t>
        </w:r>
        <w:r>
          <w:rPr>
            <w:rFonts w:asciiTheme="minorHAnsi" w:eastAsiaTheme="minorEastAsia" w:hAnsiTheme="minorHAnsi" w:cstheme="minorBidi"/>
            <w:color w:val="auto"/>
            <w:kern w:val="2"/>
            <w:szCs w:val="24"/>
            <w14:ligatures w14:val="standardContextual"/>
          </w:rPr>
          <w:tab/>
        </w:r>
        <w:r w:rsidRPr="00FC437C">
          <w:rPr>
            <w:rStyle w:val="Hyperlink"/>
          </w:rPr>
          <w:t>Approved Equine Infectious Anemia Testing Laboratories (Formerly §915)</w:t>
        </w:r>
        <w:r>
          <w:rPr>
            <w:webHidden/>
          </w:rPr>
          <w:tab/>
        </w:r>
        <w:r>
          <w:rPr>
            <w:webHidden/>
          </w:rPr>
          <w:fldChar w:fldCharType="begin"/>
        </w:r>
        <w:r>
          <w:rPr>
            <w:webHidden/>
          </w:rPr>
          <w:instrText xml:space="preserve"> PAGEREF _Toc224819123 \h </w:instrText>
        </w:r>
        <w:r>
          <w:rPr>
            <w:webHidden/>
          </w:rPr>
        </w:r>
        <w:r>
          <w:rPr>
            <w:webHidden/>
          </w:rPr>
          <w:fldChar w:fldCharType="separate"/>
        </w:r>
        <w:r w:rsidR="00AA17AB">
          <w:rPr>
            <w:webHidden/>
          </w:rPr>
          <w:t>245</w:t>
        </w:r>
        <w:r>
          <w:rPr>
            <w:webHidden/>
          </w:rPr>
          <w:fldChar w:fldCharType="end"/>
        </w:r>
      </w:hyperlink>
    </w:p>
    <w:p w14:paraId="000A2954" w14:textId="60AF73A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4" w:history="1">
        <w:r w:rsidRPr="00FC437C">
          <w:rPr>
            <w:rStyle w:val="Hyperlink"/>
          </w:rPr>
          <w:t>§919.</w:t>
        </w:r>
        <w:r>
          <w:rPr>
            <w:rFonts w:asciiTheme="minorHAnsi" w:eastAsiaTheme="minorEastAsia" w:hAnsiTheme="minorHAnsi" w:cstheme="minorBidi"/>
            <w:color w:val="auto"/>
            <w:kern w:val="2"/>
            <w:szCs w:val="24"/>
            <w14:ligatures w14:val="standardContextual"/>
          </w:rPr>
          <w:tab/>
        </w:r>
        <w:r w:rsidRPr="00FC437C">
          <w:rPr>
            <w:rStyle w:val="Hyperlink"/>
          </w:rPr>
          <w:t>Penalties (Formerly §923)</w:t>
        </w:r>
        <w:r>
          <w:rPr>
            <w:webHidden/>
          </w:rPr>
          <w:tab/>
        </w:r>
        <w:r>
          <w:rPr>
            <w:webHidden/>
          </w:rPr>
          <w:fldChar w:fldCharType="begin"/>
        </w:r>
        <w:r>
          <w:rPr>
            <w:webHidden/>
          </w:rPr>
          <w:instrText xml:space="preserve"> PAGEREF _Toc224819124 \h </w:instrText>
        </w:r>
        <w:r>
          <w:rPr>
            <w:webHidden/>
          </w:rPr>
        </w:r>
        <w:r>
          <w:rPr>
            <w:webHidden/>
          </w:rPr>
          <w:fldChar w:fldCharType="separate"/>
        </w:r>
        <w:r w:rsidR="00AA17AB">
          <w:rPr>
            <w:webHidden/>
          </w:rPr>
          <w:t>246</w:t>
        </w:r>
        <w:r>
          <w:rPr>
            <w:webHidden/>
          </w:rPr>
          <w:fldChar w:fldCharType="end"/>
        </w:r>
      </w:hyperlink>
    </w:p>
    <w:p w14:paraId="20E01AB0" w14:textId="3AE0CDE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5" w:history="1">
        <w:r w:rsidRPr="00FC437C">
          <w:rPr>
            <w:rStyle w:val="Hyperlink"/>
          </w:rPr>
          <w:t>§921.</w:t>
        </w:r>
        <w:r>
          <w:rPr>
            <w:rFonts w:asciiTheme="minorHAnsi" w:eastAsiaTheme="minorEastAsia" w:hAnsiTheme="minorHAnsi" w:cstheme="minorBidi"/>
            <w:color w:val="auto"/>
            <w:kern w:val="2"/>
            <w:szCs w:val="24"/>
            <w14:ligatures w14:val="standardContextual"/>
          </w:rPr>
          <w:tab/>
        </w:r>
        <w:r w:rsidRPr="00FC437C">
          <w:rPr>
            <w:rStyle w:val="Hyperlink"/>
          </w:rPr>
          <w:t>Enforcement (Formerly §925)</w:t>
        </w:r>
        <w:r>
          <w:rPr>
            <w:webHidden/>
          </w:rPr>
          <w:tab/>
        </w:r>
        <w:r>
          <w:rPr>
            <w:webHidden/>
          </w:rPr>
          <w:fldChar w:fldCharType="begin"/>
        </w:r>
        <w:r>
          <w:rPr>
            <w:webHidden/>
          </w:rPr>
          <w:instrText xml:space="preserve"> PAGEREF _Toc224819125 \h </w:instrText>
        </w:r>
        <w:r>
          <w:rPr>
            <w:webHidden/>
          </w:rPr>
        </w:r>
        <w:r>
          <w:rPr>
            <w:webHidden/>
          </w:rPr>
          <w:fldChar w:fldCharType="separate"/>
        </w:r>
        <w:r w:rsidR="00AA17AB">
          <w:rPr>
            <w:webHidden/>
          </w:rPr>
          <w:t>246</w:t>
        </w:r>
        <w:r>
          <w:rPr>
            <w:webHidden/>
          </w:rPr>
          <w:fldChar w:fldCharType="end"/>
        </w:r>
      </w:hyperlink>
    </w:p>
    <w:p w14:paraId="506C9AFE" w14:textId="1D6D1B1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6" w:history="1">
        <w:r w:rsidRPr="00FC437C">
          <w:rPr>
            <w:rStyle w:val="Hyperlink"/>
          </w:rPr>
          <w:t>§923.</w:t>
        </w:r>
        <w:r>
          <w:rPr>
            <w:rFonts w:asciiTheme="minorHAnsi" w:eastAsiaTheme="minorEastAsia" w:hAnsiTheme="minorHAnsi" w:cstheme="minorBidi"/>
            <w:color w:val="auto"/>
            <w:kern w:val="2"/>
            <w:szCs w:val="24"/>
            <w14:ligatures w14:val="standardContextual"/>
          </w:rPr>
          <w:tab/>
        </w:r>
        <w:r w:rsidRPr="00FC437C">
          <w:rPr>
            <w:rStyle w:val="Hyperlink"/>
          </w:rPr>
          <w:t>Severability (Formerly §935)</w:t>
        </w:r>
        <w:r>
          <w:rPr>
            <w:webHidden/>
          </w:rPr>
          <w:tab/>
        </w:r>
        <w:r>
          <w:rPr>
            <w:webHidden/>
          </w:rPr>
          <w:fldChar w:fldCharType="begin"/>
        </w:r>
        <w:r>
          <w:rPr>
            <w:webHidden/>
          </w:rPr>
          <w:instrText xml:space="preserve"> PAGEREF _Toc224819126 \h </w:instrText>
        </w:r>
        <w:r>
          <w:rPr>
            <w:webHidden/>
          </w:rPr>
        </w:r>
        <w:r>
          <w:rPr>
            <w:webHidden/>
          </w:rPr>
          <w:fldChar w:fldCharType="separate"/>
        </w:r>
        <w:r w:rsidR="00AA17AB">
          <w:rPr>
            <w:webHidden/>
          </w:rPr>
          <w:t>246</w:t>
        </w:r>
        <w:r>
          <w:rPr>
            <w:webHidden/>
          </w:rPr>
          <w:fldChar w:fldCharType="end"/>
        </w:r>
      </w:hyperlink>
    </w:p>
    <w:p w14:paraId="7182ED91" w14:textId="42BA099E" w:rsidR="00E67799" w:rsidRDefault="00E67799">
      <w:pPr>
        <w:pStyle w:val="TOC2"/>
        <w:rPr>
          <w:rFonts w:asciiTheme="minorHAnsi" w:eastAsiaTheme="minorEastAsia" w:hAnsiTheme="minorHAnsi" w:cstheme="minorBidi"/>
          <w:kern w:val="2"/>
          <w:szCs w:val="24"/>
          <w14:ligatures w14:val="standardContextual"/>
        </w:rPr>
      </w:pPr>
      <w:hyperlink w:anchor="_Toc224819127" w:history="1">
        <w:r w:rsidRPr="00FC437C">
          <w:rPr>
            <w:rStyle w:val="Hyperlink"/>
          </w:rPr>
          <w:t>Chapter 11.</w:t>
        </w:r>
        <w:r>
          <w:rPr>
            <w:rFonts w:asciiTheme="minorHAnsi" w:eastAsiaTheme="minorEastAsia" w:hAnsiTheme="minorHAnsi" w:cstheme="minorBidi"/>
            <w:kern w:val="2"/>
            <w:szCs w:val="24"/>
            <w14:ligatures w14:val="standardContextual"/>
          </w:rPr>
          <w:tab/>
        </w:r>
        <w:r w:rsidRPr="00FC437C">
          <w:rPr>
            <w:rStyle w:val="Hyperlink"/>
          </w:rPr>
          <w:t>Poultry and Other Birds (Formerly Chapter 7)</w:t>
        </w:r>
        <w:r>
          <w:rPr>
            <w:webHidden/>
          </w:rPr>
          <w:tab/>
        </w:r>
        <w:r>
          <w:rPr>
            <w:webHidden/>
          </w:rPr>
          <w:fldChar w:fldCharType="begin"/>
        </w:r>
        <w:r>
          <w:rPr>
            <w:webHidden/>
          </w:rPr>
          <w:instrText xml:space="preserve"> PAGEREF _Toc224819127 \h </w:instrText>
        </w:r>
        <w:r>
          <w:rPr>
            <w:webHidden/>
          </w:rPr>
        </w:r>
        <w:r>
          <w:rPr>
            <w:webHidden/>
          </w:rPr>
          <w:fldChar w:fldCharType="separate"/>
        </w:r>
        <w:r w:rsidR="00AA17AB">
          <w:rPr>
            <w:webHidden/>
          </w:rPr>
          <w:t>247</w:t>
        </w:r>
        <w:r>
          <w:rPr>
            <w:webHidden/>
          </w:rPr>
          <w:fldChar w:fldCharType="end"/>
        </w:r>
      </w:hyperlink>
    </w:p>
    <w:p w14:paraId="46E0D813" w14:textId="57EFC84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8" w:history="1">
        <w:r w:rsidRPr="00FC437C">
          <w:rPr>
            <w:rStyle w:val="Hyperlink"/>
          </w:rPr>
          <w:t>§1101.</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_Toc224819128 \h </w:instrText>
        </w:r>
        <w:r>
          <w:rPr>
            <w:webHidden/>
          </w:rPr>
        </w:r>
        <w:r>
          <w:rPr>
            <w:webHidden/>
          </w:rPr>
          <w:fldChar w:fldCharType="separate"/>
        </w:r>
        <w:r w:rsidR="00AA17AB">
          <w:rPr>
            <w:webHidden/>
          </w:rPr>
          <w:t>247</w:t>
        </w:r>
        <w:r>
          <w:rPr>
            <w:webHidden/>
          </w:rPr>
          <w:fldChar w:fldCharType="end"/>
        </w:r>
      </w:hyperlink>
    </w:p>
    <w:p w14:paraId="3ACE293E" w14:textId="22620FC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29" w:history="1">
        <w:r w:rsidRPr="00FC437C">
          <w:rPr>
            <w:rStyle w:val="Hyperlink"/>
          </w:rPr>
          <w:t>§1103.</w:t>
        </w:r>
        <w:r>
          <w:rPr>
            <w:rFonts w:asciiTheme="minorHAnsi" w:eastAsiaTheme="minorEastAsia" w:hAnsiTheme="minorHAnsi" w:cstheme="minorBidi"/>
            <w:color w:val="auto"/>
            <w:kern w:val="2"/>
            <w:szCs w:val="24"/>
            <w14:ligatures w14:val="standardContextual"/>
          </w:rPr>
          <w:tab/>
        </w:r>
        <w:r w:rsidRPr="00FC437C">
          <w:rPr>
            <w:rStyle w:val="Hyperlink"/>
          </w:rPr>
          <w:t>Slaughter and Testing of Poultry of Questionable Health (Formerly §705)</w:t>
        </w:r>
        <w:r>
          <w:rPr>
            <w:webHidden/>
          </w:rPr>
          <w:tab/>
        </w:r>
        <w:r>
          <w:rPr>
            <w:webHidden/>
          </w:rPr>
          <w:fldChar w:fldCharType="begin"/>
        </w:r>
        <w:r>
          <w:rPr>
            <w:webHidden/>
          </w:rPr>
          <w:instrText xml:space="preserve"> PAGEREF _Toc224819129 \h </w:instrText>
        </w:r>
        <w:r>
          <w:rPr>
            <w:webHidden/>
          </w:rPr>
        </w:r>
        <w:r>
          <w:rPr>
            <w:webHidden/>
          </w:rPr>
          <w:fldChar w:fldCharType="separate"/>
        </w:r>
        <w:r w:rsidR="00AA17AB">
          <w:rPr>
            <w:webHidden/>
          </w:rPr>
          <w:t>247</w:t>
        </w:r>
        <w:r>
          <w:rPr>
            <w:webHidden/>
          </w:rPr>
          <w:fldChar w:fldCharType="end"/>
        </w:r>
      </w:hyperlink>
    </w:p>
    <w:p w14:paraId="12110F49" w14:textId="7FFE2C8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30" w:history="1">
        <w:r w:rsidRPr="00FC437C">
          <w:rPr>
            <w:rStyle w:val="Hyperlink"/>
          </w:rPr>
          <w:t>§1105.</w:t>
        </w:r>
        <w:r>
          <w:rPr>
            <w:rFonts w:asciiTheme="minorHAnsi" w:eastAsiaTheme="minorEastAsia" w:hAnsiTheme="minorHAnsi" w:cstheme="minorBidi"/>
            <w:color w:val="auto"/>
            <w:kern w:val="2"/>
            <w:szCs w:val="24"/>
            <w14:ligatures w14:val="standardContextual"/>
          </w:rPr>
          <w:tab/>
        </w:r>
        <w:r w:rsidRPr="00FC437C">
          <w:rPr>
            <w:rStyle w:val="Hyperlink"/>
          </w:rPr>
          <w:t>Sanitary Disposal of Dead Poultry (Formerly §707)</w:t>
        </w:r>
        <w:r>
          <w:rPr>
            <w:webHidden/>
          </w:rPr>
          <w:tab/>
        </w:r>
        <w:r>
          <w:rPr>
            <w:webHidden/>
          </w:rPr>
          <w:fldChar w:fldCharType="begin"/>
        </w:r>
        <w:r>
          <w:rPr>
            <w:webHidden/>
          </w:rPr>
          <w:instrText xml:space="preserve"> PAGEREF _Toc224819130 \h </w:instrText>
        </w:r>
        <w:r>
          <w:rPr>
            <w:webHidden/>
          </w:rPr>
        </w:r>
        <w:r>
          <w:rPr>
            <w:webHidden/>
          </w:rPr>
          <w:fldChar w:fldCharType="separate"/>
        </w:r>
        <w:r w:rsidR="00AA17AB">
          <w:rPr>
            <w:webHidden/>
          </w:rPr>
          <w:t>247</w:t>
        </w:r>
        <w:r>
          <w:rPr>
            <w:webHidden/>
          </w:rPr>
          <w:fldChar w:fldCharType="end"/>
        </w:r>
      </w:hyperlink>
    </w:p>
    <w:p w14:paraId="33841C3E" w14:textId="7F4ABDCA" w:rsidR="00E67799" w:rsidRDefault="00E67799">
      <w:pPr>
        <w:pStyle w:val="TOC2"/>
        <w:rPr>
          <w:rFonts w:asciiTheme="minorHAnsi" w:eastAsiaTheme="minorEastAsia" w:hAnsiTheme="minorHAnsi" w:cstheme="minorBidi"/>
          <w:kern w:val="2"/>
          <w:szCs w:val="24"/>
          <w14:ligatures w14:val="standardContextual"/>
        </w:rPr>
      </w:pPr>
      <w:hyperlink w:anchor="_Toc224819131" w:history="1">
        <w:r w:rsidRPr="00FC437C">
          <w:rPr>
            <w:rStyle w:val="Hyperlink"/>
          </w:rPr>
          <w:t>Chapter 13.</w:t>
        </w:r>
        <w:r>
          <w:rPr>
            <w:rFonts w:asciiTheme="minorHAnsi" w:eastAsiaTheme="minorEastAsia" w:hAnsiTheme="minorHAnsi" w:cstheme="minorBidi"/>
            <w:kern w:val="2"/>
            <w:szCs w:val="24"/>
            <w14:ligatures w14:val="standardContextual"/>
          </w:rPr>
          <w:tab/>
        </w:r>
        <w:r w:rsidRPr="00FC437C">
          <w:rPr>
            <w:rStyle w:val="Hyperlink"/>
          </w:rPr>
          <w:t>Swine (Formerly Chapter 9)</w:t>
        </w:r>
        <w:r>
          <w:rPr>
            <w:webHidden/>
          </w:rPr>
          <w:tab/>
        </w:r>
        <w:r>
          <w:rPr>
            <w:webHidden/>
          </w:rPr>
          <w:fldChar w:fldCharType="begin"/>
        </w:r>
        <w:r>
          <w:rPr>
            <w:webHidden/>
          </w:rPr>
          <w:instrText xml:space="preserve"> PAGEREF _Toc224819131 \h </w:instrText>
        </w:r>
        <w:r>
          <w:rPr>
            <w:webHidden/>
          </w:rPr>
        </w:r>
        <w:r>
          <w:rPr>
            <w:webHidden/>
          </w:rPr>
          <w:fldChar w:fldCharType="separate"/>
        </w:r>
        <w:r w:rsidR="00AA17AB">
          <w:rPr>
            <w:webHidden/>
          </w:rPr>
          <w:t>247</w:t>
        </w:r>
        <w:r>
          <w:rPr>
            <w:webHidden/>
          </w:rPr>
          <w:fldChar w:fldCharType="end"/>
        </w:r>
      </w:hyperlink>
    </w:p>
    <w:p w14:paraId="6E3C3D41" w14:textId="0A47CBAF" w:rsidR="00E67799" w:rsidRDefault="00E67799">
      <w:pPr>
        <w:pStyle w:val="TOC2"/>
        <w:rPr>
          <w:rFonts w:asciiTheme="minorHAnsi" w:eastAsiaTheme="minorEastAsia" w:hAnsiTheme="minorHAnsi" w:cstheme="minorBidi"/>
          <w:kern w:val="2"/>
          <w:szCs w:val="24"/>
          <w14:ligatures w14:val="standardContextual"/>
        </w:rPr>
      </w:pPr>
      <w:hyperlink w:anchor="_Toc224819132"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_Toc224819132 \h </w:instrText>
        </w:r>
        <w:r>
          <w:rPr>
            <w:webHidden/>
          </w:rPr>
        </w:r>
        <w:r>
          <w:rPr>
            <w:webHidden/>
          </w:rPr>
          <w:fldChar w:fldCharType="separate"/>
        </w:r>
        <w:r w:rsidR="00AA17AB">
          <w:rPr>
            <w:webHidden/>
          </w:rPr>
          <w:t>247</w:t>
        </w:r>
        <w:r>
          <w:rPr>
            <w:webHidden/>
          </w:rPr>
          <w:fldChar w:fldCharType="end"/>
        </w:r>
      </w:hyperlink>
    </w:p>
    <w:p w14:paraId="1806D270" w14:textId="4ACE9BA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33" w:history="1">
        <w:r w:rsidRPr="00FC437C">
          <w:rPr>
            <w:rStyle w:val="Hyperlink"/>
          </w:rPr>
          <w:t>§1301.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_Toc224819133 \h </w:instrText>
        </w:r>
        <w:r>
          <w:rPr>
            <w:webHidden/>
          </w:rPr>
        </w:r>
        <w:r>
          <w:rPr>
            <w:webHidden/>
          </w:rPr>
          <w:fldChar w:fldCharType="separate"/>
        </w:r>
        <w:r w:rsidR="00AA17AB">
          <w:rPr>
            <w:webHidden/>
          </w:rPr>
          <w:t>247</w:t>
        </w:r>
        <w:r>
          <w:rPr>
            <w:webHidden/>
          </w:rPr>
          <w:fldChar w:fldCharType="end"/>
        </w:r>
      </w:hyperlink>
    </w:p>
    <w:p w14:paraId="58C3D4D9" w14:textId="14D1792F" w:rsidR="00E67799" w:rsidRDefault="00E67799">
      <w:pPr>
        <w:pStyle w:val="TOC3"/>
        <w:tabs>
          <w:tab w:val="left" w:pos="2026"/>
        </w:tabs>
        <w:rPr>
          <w:rFonts w:asciiTheme="minorHAnsi" w:eastAsiaTheme="minorEastAsia" w:hAnsiTheme="minorHAnsi" w:cstheme="minorBidi"/>
          <w:color w:val="auto"/>
          <w:kern w:val="2"/>
          <w:szCs w:val="24"/>
          <w14:ligatures w14:val="standardContextual"/>
        </w:rPr>
      </w:pPr>
      <w:hyperlink w:anchor="_Toc224819134" w:history="1">
        <w:r w:rsidRPr="00FC437C">
          <w:rPr>
            <w:rStyle w:val="Hyperlink"/>
          </w:rPr>
          <w:t>§§1303-1309.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_Toc224819134 \h </w:instrText>
        </w:r>
        <w:r>
          <w:rPr>
            <w:webHidden/>
          </w:rPr>
        </w:r>
        <w:r>
          <w:rPr>
            <w:webHidden/>
          </w:rPr>
          <w:fldChar w:fldCharType="separate"/>
        </w:r>
        <w:r w:rsidR="00AA17AB">
          <w:rPr>
            <w:webHidden/>
          </w:rPr>
          <w:t>248</w:t>
        </w:r>
        <w:r>
          <w:rPr>
            <w:webHidden/>
          </w:rPr>
          <w:fldChar w:fldCharType="end"/>
        </w:r>
      </w:hyperlink>
    </w:p>
    <w:p w14:paraId="6BC97194" w14:textId="2754629E" w:rsidR="00E67799" w:rsidRDefault="00E67799">
      <w:pPr>
        <w:pStyle w:val="TOC2"/>
        <w:rPr>
          <w:rFonts w:asciiTheme="minorHAnsi" w:eastAsiaTheme="minorEastAsia" w:hAnsiTheme="minorHAnsi" w:cstheme="minorBidi"/>
          <w:kern w:val="2"/>
          <w:szCs w:val="24"/>
          <w14:ligatures w14:val="standardContextual"/>
        </w:rPr>
      </w:pPr>
      <w:hyperlink w:anchor="_Toc224819135"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Brucellosis and Pseudorabies</w:t>
        </w:r>
        <w:r>
          <w:rPr>
            <w:webHidden/>
          </w:rPr>
          <w:tab/>
        </w:r>
        <w:r>
          <w:rPr>
            <w:webHidden/>
          </w:rPr>
          <w:fldChar w:fldCharType="begin"/>
        </w:r>
        <w:r>
          <w:rPr>
            <w:webHidden/>
          </w:rPr>
          <w:instrText xml:space="preserve"> PAGEREF _Toc224819135 \h </w:instrText>
        </w:r>
        <w:r>
          <w:rPr>
            <w:webHidden/>
          </w:rPr>
        </w:r>
        <w:r>
          <w:rPr>
            <w:webHidden/>
          </w:rPr>
          <w:fldChar w:fldCharType="separate"/>
        </w:r>
        <w:r w:rsidR="00AA17AB">
          <w:rPr>
            <w:webHidden/>
          </w:rPr>
          <w:t>248</w:t>
        </w:r>
        <w:r>
          <w:rPr>
            <w:webHidden/>
          </w:rPr>
          <w:fldChar w:fldCharType="end"/>
        </w:r>
      </w:hyperlink>
    </w:p>
    <w:p w14:paraId="2A17386C" w14:textId="2D0049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36" w:history="1">
        <w:r w:rsidRPr="00FC437C">
          <w:rPr>
            <w:rStyle w:val="Hyperlink"/>
          </w:rPr>
          <w:t>§1311.</w:t>
        </w:r>
        <w:r>
          <w:rPr>
            <w:rFonts w:asciiTheme="minorHAnsi" w:eastAsiaTheme="minorEastAsia" w:hAnsiTheme="minorHAnsi" w:cstheme="minorBidi"/>
            <w:color w:val="auto"/>
            <w:kern w:val="2"/>
            <w:szCs w:val="24"/>
            <w14:ligatures w14:val="standardContextual"/>
          </w:rPr>
          <w:tab/>
        </w:r>
        <w:r w:rsidRPr="00FC437C">
          <w:rPr>
            <w:rStyle w:val="Hyperlink"/>
          </w:rPr>
          <w:t xml:space="preserve">Quarantining, Vaccinating and Testing Swine for Brucellosis and Pseudorabies </w:t>
        </w:r>
        <w:r w:rsidR="00676FBC">
          <w:rPr>
            <w:rStyle w:val="Hyperlink"/>
          </w:rPr>
          <w:br/>
        </w:r>
        <w:r w:rsidR="00676FBC">
          <w:rPr>
            <w:rStyle w:val="Hyperlink"/>
          </w:rPr>
          <w:tab/>
        </w:r>
        <w:r w:rsidRPr="00FC437C">
          <w:rPr>
            <w:rStyle w:val="Hyperlink"/>
          </w:rPr>
          <w:t>(Formerly §905)</w:t>
        </w:r>
        <w:r>
          <w:rPr>
            <w:webHidden/>
          </w:rPr>
          <w:tab/>
        </w:r>
        <w:r>
          <w:rPr>
            <w:webHidden/>
          </w:rPr>
          <w:fldChar w:fldCharType="begin"/>
        </w:r>
        <w:r>
          <w:rPr>
            <w:webHidden/>
          </w:rPr>
          <w:instrText xml:space="preserve"> PAGEREF _Toc224819136 \h </w:instrText>
        </w:r>
        <w:r>
          <w:rPr>
            <w:webHidden/>
          </w:rPr>
        </w:r>
        <w:r>
          <w:rPr>
            <w:webHidden/>
          </w:rPr>
          <w:fldChar w:fldCharType="separate"/>
        </w:r>
        <w:r w:rsidR="00AA17AB">
          <w:rPr>
            <w:webHidden/>
          </w:rPr>
          <w:t>248</w:t>
        </w:r>
        <w:r>
          <w:rPr>
            <w:webHidden/>
          </w:rPr>
          <w:fldChar w:fldCharType="end"/>
        </w:r>
      </w:hyperlink>
    </w:p>
    <w:p w14:paraId="57DC523D" w14:textId="3F14C5B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37" w:history="1">
        <w:r w:rsidRPr="00FC437C">
          <w:rPr>
            <w:rStyle w:val="Hyperlink"/>
          </w:rPr>
          <w:t>§1312.</w:t>
        </w:r>
        <w:r>
          <w:rPr>
            <w:rFonts w:asciiTheme="minorHAnsi" w:eastAsiaTheme="minorEastAsia" w:hAnsiTheme="minorHAnsi" w:cstheme="minorBidi"/>
            <w:color w:val="auto"/>
            <w:kern w:val="2"/>
            <w:szCs w:val="24"/>
            <w14:ligatures w14:val="standardContextual"/>
          </w:rPr>
          <w:tab/>
        </w:r>
        <w:r w:rsidRPr="00FC437C">
          <w:rPr>
            <w:rStyle w:val="Hyperlink"/>
          </w:rPr>
          <w:t>Swine Movement Restrictions and Feral Swine Authorized Transporter Authorization</w:t>
        </w:r>
        <w:r>
          <w:rPr>
            <w:webHidden/>
          </w:rPr>
          <w:tab/>
        </w:r>
        <w:r>
          <w:rPr>
            <w:webHidden/>
          </w:rPr>
          <w:fldChar w:fldCharType="begin"/>
        </w:r>
        <w:r>
          <w:rPr>
            <w:webHidden/>
          </w:rPr>
          <w:instrText xml:space="preserve"> PAGEREF _Toc224819137 \h </w:instrText>
        </w:r>
        <w:r>
          <w:rPr>
            <w:webHidden/>
          </w:rPr>
        </w:r>
        <w:r>
          <w:rPr>
            <w:webHidden/>
          </w:rPr>
          <w:fldChar w:fldCharType="separate"/>
        </w:r>
        <w:r w:rsidR="00AA17AB">
          <w:rPr>
            <w:webHidden/>
          </w:rPr>
          <w:t>249</w:t>
        </w:r>
        <w:r>
          <w:rPr>
            <w:webHidden/>
          </w:rPr>
          <w:fldChar w:fldCharType="end"/>
        </w:r>
      </w:hyperlink>
    </w:p>
    <w:p w14:paraId="3A4BC12E" w14:textId="33BCC0E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38" w:history="1">
        <w:r w:rsidRPr="00FC437C">
          <w:rPr>
            <w:rStyle w:val="Hyperlink"/>
          </w:rPr>
          <w:t>§1313.</w:t>
        </w:r>
        <w:r>
          <w:rPr>
            <w:rFonts w:asciiTheme="minorHAnsi" w:eastAsiaTheme="minorEastAsia" w:hAnsiTheme="minorHAnsi" w:cstheme="minorBidi"/>
            <w:color w:val="auto"/>
            <w:kern w:val="2"/>
            <w:szCs w:val="24"/>
            <w14:ligatures w14:val="standardContextual"/>
          </w:rPr>
          <w:tab/>
        </w:r>
        <w:r w:rsidRPr="00FC437C">
          <w:rPr>
            <w:rStyle w:val="Hyperlink"/>
          </w:rPr>
          <w:t>Operation of Livestock Auction Markets (Formerly §907)</w:t>
        </w:r>
        <w:r>
          <w:rPr>
            <w:webHidden/>
          </w:rPr>
          <w:tab/>
        </w:r>
        <w:r>
          <w:rPr>
            <w:webHidden/>
          </w:rPr>
          <w:fldChar w:fldCharType="begin"/>
        </w:r>
        <w:r>
          <w:rPr>
            <w:webHidden/>
          </w:rPr>
          <w:instrText xml:space="preserve"> PAGEREF _Toc224819138 \h </w:instrText>
        </w:r>
        <w:r>
          <w:rPr>
            <w:webHidden/>
          </w:rPr>
        </w:r>
        <w:r>
          <w:rPr>
            <w:webHidden/>
          </w:rPr>
          <w:fldChar w:fldCharType="separate"/>
        </w:r>
        <w:r w:rsidR="00AA17AB">
          <w:rPr>
            <w:webHidden/>
          </w:rPr>
          <w:t>249</w:t>
        </w:r>
        <w:r>
          <w:rPr>
            <w:webHidden/>
          </w:rPr>
          <w:fldChar w:fldCharType="end"/>
        </w:r>
      </w:hyperlink>
    </w:p>
    <w:p w14:paraId="073EE572" w14:textId="139F1E82" w:rsidR="00E67799" w:rsidRDefault="00E67799">
      <w:pPr>
        <w:pStyle w:val="TOC3"/>
        <w:tabs>
          <w:tab w:val="left" w:pos="2026"/>
        </w:tabs>
        <w:rPr>
          <w:rFonts w:asciiTheme="minorHAnsi" w:eastAsiaTheme="minorEastAsia" w:hAnsiTheme="minorHAnsi" w:cstheme="minorBidi"/>
          <w:color w:val="auto"/>
          <w:kern w:val="2"/>
          <w:szCs w:val="24"/>
          <w14:ligatures w14:val="standardContextual"/>
        </w:rPr>
      </w:pPr>
      <w:hyperlink w:anchor="_Toc224819139" w:history="1">
        <w:r w:rsidRPr="00FC437C">
          <w:rPr>
            <w:rStyle w:val="Hyperlink"/>
          </w:rPr>
          <w:t>§§1315-1319.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_Toc224819139 \h </w:instrText>
        </w:r>
        <w:r>
          <w:rPr>
            <w:webHidden/>
          </w:rPr>
        </w:r>
        <w:r>
          <w:rPr>
            <w:webHidden/>
          </w:rPr>
          <w:fldChar w:fldCharType="separate"/>
        </w:r>
        <w:r w:rsidR="00AA17AB">
          <w:rPr>
            <w:webHidden/>
          </w:rPr>
          <w:t>250</w:t>
        </w:r>
        <w:r>
          <w:rPr>
            <w:webHidden/>
          </w:rPr>
          <w:fldChar w:fldCharType="end"/>
        </w:r>
      </w:hyperlink>
    </w:p>
    <w:p w14:paraId="12F4F0D4" w14:textId="7E3A20A6" w:rsidR="00E67799" w:rsidRDefault="00E67799">
      <w:pPr>
        <w:pStyle w:val="TOC2"/>
        <w:rPr>
          <w:rFonts w:asciiTheme="minorHAnsi" w:eastAsiaTheme="minorEastAsia" w:hAnsiTheme="minorHAnsi" w:cstheme="minorBidi"/>
          <w:kern w:val="2"/>
          <w:szCs w:val="24"/>
          <w14:ligatures w14:val="standardContextual"/>
        </w:rPr>
      </w:pPr>
      <w:hyperlink w:anchor="_Toc224819140"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Quarantine Swine Feedlots and Feral Swine Approved Holding Facilities</w:t>
        </w:r>
        <w:r>
          <w:rPr>
            <w:webHidden/>
          </w:rPr>
          <w:tab/>
        </w:r>
        <w:r>
          <w:rPr>
            <w:webHidden/>
          </w:rPr>
          <w:fldChar w:fldCharType="begin"/>
        </w:r>
        <w:r>
          <w:rPr>
            <w:webHidden/>
          </w:rPr>
          <w:instrText xml:space="preserve"> PAGEREF _Toc224819140 \h </w:instrText>
        </w:r>
        <w:r>
          <w:rPr>
            <w:webHidden/>
          </w:rPr>
        </w:r>
        <w:r>
          <w:rPr>
            <w:webHidden/>
          </w:rPr>
          <w:fldChar w:fldCharType="separate"/>
        </w:r>
        <w:r w:rsidR="00AA17AB">
          <w:rPr>
            <w:webHidden/>
          </w:rPr>
          <w:t>250</w:t>
        </w:r>
        <w:r>
          <w:rPr>
            <w:webHidden/>
          </w:rPr>
          <w:fldChar w:fldCharType="end"/>
        </w:r>
      </w:hyperlink>
    </w:p>
    <w:p w14:paraId="59C7A126" w14:textId="7A15A79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41" w:history="1">
        <w:r w:rsidRPr="00FC437C">
          <w:rPr>
            <w:rStyle w:val="Hyperlink"/>
          </w:rPr>
          <w:t>§1321.</w:t>
        </w:r>
        <w:r>
          <w:rPr>
            <w:rFonts w:asciiTheme="minorHAnsi" w:eastAsiaTheme="minorEastAsia" w:hAnsiTheme="minorHAnsi" w:cstheme="minorBidi"/>
            <w:color w:val="auto"/>
            <w:kern w:val="2"/>
            <w:szCs w:val="24"/>
            <w14:ligatures w14:val="standardContextual"/>
          </w:rPr>
          <w:tab/>
        </w:r>
        <w:r w:rsidRPr="00FC437C">
          <w:rPr>
            <w:rStyle w:val="Hyperlink"/>
          </w:rPr>
          <w:t>Quarantine Swine Feedlots and Feral Swine Approved Holding Facilities (Formerly §909)</w:t>
        </w:r>
        <w:r>
          <w:rPr>
            <w:webHidden/>
          </w:rPr>
          <w:tab/>
        </w:r>
        <w:r>
          <w:rPr>
            <w:webHidden/>
          </w:rPr>
          <w:fldChar w:fldCharType="begin"/>
        </w:r>
        <w:r>
          <w:rPr>
            <w:webHidden/>
          </w:rPr>
          <w:instrText xml:space="preserve"> PAGEREF _Toc224819141 \h </w:instrText>
        </w:r>
        <w:r>
          <w:rPr>
            <w:webHidden/>
          </w:rPr>
        </w:r>
        <w:r>
          <w:rPr>
            <w:webHidden/>
          </w:rPr>
          <w:fldChar w:fldCharType="separate"/>
        </w:r>
        <w:r w:rsidR="00AA17AB">
          <w:rPr>
            <w:webHidden/>
          </w:rPr>
          <w:t>250</w:t>
        </w:r>
        <w:r>
          <w:rPr>
            <w:webHidden/>
          </w:rPr>
          <w:fldChar w:fldCharType="end"/>
        </w:r>
      </w:hyperlink>
    </w:p>
    <w:p w14:paraId="5A7E081E" w14:textId="4FA82E42" w:rsidR="00E67799" w:rsidRDefault="00E67799">
      <w:pPr>
        <w:pStyle w:val="TOC2"/>
        <w:rPr>
          <w:rFonts w:asciiTheme="minorHAnsi" w:eastAsiaTheme="minorEastAsia" w:hAnsiTheme="minorHAnsi" w:cstheme="minorBidi"/>
          <w:kern w:val="2"/>
          <w:szCs w:val="24"/>
          <w14:ligatures w14:val="standardContextual"/>
        </w:rPr>
      </w:pPr>
      <w:hyperlink w:anchor="_Toc224819142"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Slaughterhouse Requirements for Identification, Sampling and Records</w:t>
        </w:r>
        <w:r>
          <w:rPr>
            <w:webHidden/>
          </w:rPr>
          <w:tab/>
        </w:r>
        <w:r>
          <w:rPr>
            <w:webHidden/>
          </w:rPr>
          <w:fldChar w:fldCharType="begin"/>
        </w:r>
        <w:r>
          <w:rPr>
            <w:webHidden/>
          </w:rPr>
          <w:instrText xml:space="preserve"> PAGEREF _Toc224819142 \h </w:instrText>
        </w:r>
        <w:r>
          <w:rPr>
            <w:webHidden/>
          </w:rPr>
        </w:r>
        <w:r>
          <w:rPr>
            <w:webHidden/>
          </w:rPr>
          <w:fldChar w:fldCharType="separate"/>
        </w:r>
        <w:r w:rsidR="00AA17AB">
          <w:rPr>
            <w:webHidden/>
          </w:rPr>
          <w:t>251</w:t>
        </w:r>
        <w:r>
          <w:rPr>
            <w:webHidden/>
          </w:rPr>
          <w:fldChar w:fldCharType="end"/>
        </w:r>
      </w:hyperlink>
    </w:p>
    <w:p w14:paraId="300A5485" w14:textId="5CAC65F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43" w:history="1">
        <w:r w:rsidRPr="00FC437C">
          <w:rPr>
            <w:rStyle w:val="Hyperlink"/>
          </w:rPr>
          <w:t>§1323.</w:t>
        </w:r>
        <w:r>
          <w:rPr>
            <w:rFonts w:asciiTheme="minorHAnsi" w:eastAsiaTheme="minorEastAsia" w:hAnsiTheme="minorHAnsi" w:cstheme="minorBidi"/>
            <w:color w:val="auto"/>
            <w:kern w:val="2"/>
            <w:szCs w:val="24"/>
            <w14:ligatures w14:val="standardContextual"/>
          </w:rPr>
          <w:tab/>
        </w:r>
        <w:r w:rsidRPr="00FC437C">
          <w:rPr>
            <w:rStyle w:val="Hyperlink"/>
          </w:rPr>
          <w:t xml:space="preserve">Identification of Swine with Official Backtags and the Collection of Blood Samples from </w:t>
        </w:r>
        <w:r w:rsidR="00676FBC">
          <w:rPr>
            <w:rStyle w:val="Hyperlink"/>
          </w:rPr>
          <w:tab/>
        </w:r>
        <w:r w:rsidRPr="00FC437C">
          <w:rPr>
            <w:rStyle w:val="Hyperlink"/>
          </w:rPr>
          <w:t xml:space="preserve">Officially Backtagged Swine at Slaughter Establishments under State or Federal Meat </w:t>
        </w:r>
        <w:r w:rsidR="00676FBC">
          <w:rPr>
            <w:rStyle w:val="Hyperlink"/>
          </w:rPr>
          <w:tab/>
        </w:r>
        <w:r w:rsidRPr="00FC437C">
          <w:rPr>
            <w:rStyle w:val="Hyperlink"/>
          </w:rPr>
          <w:t>Inspection (Formerly §911)</w:t>
        </w:r>
        <w:r>
          <w:rPr>
            <w:webHidden/>
          </w:rPr>
          <w:tab/>
        </w:r>
        <w:r>
          <w:rPr>
            <w:webHidden/>
          </w:rPr>
          <w:fldChar w:fldCharType="begin"/>
        </w:r>
        <w:r>
          <w:rPr>
            <w:webHidden/>
          </w:rPr>
          <w:instrText xml:space="preserve"> PAGEREF _Toc224819143 \h </w:instrText>
        </w:r>
        <w:r>
          <w:rPr>
            <w:webHidden/>
          </w:rPr>
        </w:r>
        <w:r>
          <w:rPr>
            <w:webHidden/>
          </w:rPr>
          <w:fldChar w:fldCharType="separate"/>
        </w:r>
        <w:r w:rsidR="00AA17AB">
          <w:rPr>
            <w:webHidden/>
          </w:rPr>
          <w:t>251</w:t>
        </w:r>
        <w:r>
          <w:rPr>
            <w:webHidden/>
          </w:rPr>
          <w:fldChar w:fldCharType="end"/>
        </w:r>
      </w:hyperlink>
    </w:p>
    <w:p w14:paraId="17594231" w14:textId="79598711" w:rsidR="00E67799" w:rsidRDefault="00E67799">
      <w:pPr>
        <w:pStyle w:val="TOC2"/>
        <w:rPr>
          <w:rFonts w:asciiTheme="minorHAnsi" w:eastAsiaTheme="minorEastAsia" w:hAnsiTheme="minorHAnsi" w:cstheme="minorBidi"/>
          <w:kern w:val="2"/>
          <w:szCs w:val="24"/>
          <w14:ligatures w14:val="standardContextual"/>
        </w:rPr>
      </w:pPr>
      <w:hyperlink w:anchor="_Toc224819144" w:history="1">
        <w:r w:rsidRPr="00FC437C">
          <w:rPr>
            <w:rStyle w:val="Hyperlink"/>
          </w:rPr>
          <w:t>Chapter 15.</w:t>
        </w:r>
        <w:r>
          <w:rPr>
            <w:rFonts w:asciiTheme="minorHAnsi" w:eastAsiaTheme="minorEastAsia" w:hAnsiTheme="minorHAnsi" w:cstheme="minorBidi"/>
            <w:kern w:val="2"/>
            <w:szCs w:val="24"/>
            <w14:ligatures w14:val="standardContextual"/>
          </w:rPr>
          <w:tab/>
        </w:r>
        <w:r w:rsidRPr="00FC437C">
          <w:rPr>
            <w:rStyle w:val="Hyperlink"/>
          </w:rPr>
          <w:t>Sheep and Goats (Formerly Chapters 11 and 13)</w:t>
        </w:r>
        <w:r>
          <w:rPr>
            <w:webHidden/>
          </w:rPr>
          <w:tab/>
        </w:r>
        <w:r>
          <w:rPr>
            <w:webHidden/>
          </w:rPr>
          <w:fldChar w:fldCharType="begin"/>
        </w:r>
        <w:r>
          <w:rPr>
            <w:webHidden/>
          </w:rPr>
          <w:instrText xml:space="preserve"> PAGEREF _Toc224819144 \h </w:instrText>
        </w:r>
        <w:r>
          <w:rPr>
            <w:webHidden/>
          </w:rPr>
        </w:r>
        <w:r>
          <w:rPr>
            <w:webHidden/>
          </w:rPr>
          <w:fldChar w:fldCharType="separate"/>
        </w:r>
        <w:r w:rsidR="00AA17AB">
          <w:rPr>
            <w:webHidden/>
          </w:rPr>
          <w:t>251</w:t>
        </w:r>
        <w:r>
          <w:rPr>
            <w:webHidden/>
          </w:rPr>
          <w:fldChar w:fldCharType="end"/>
        </w:r>
      </w:hyperlink>
    </w:p>
    <w:p w14:paraId="564D1D67" w14:textId="54269C86" w:rsidR="00E67799" w:rsidRDefault="00E67799">
      <w:pPr>
        <w:pStyle w:val="TOC2"/>
        <w:rPr>
          <w:rFonts w:asciiTheme="minorHAnsi" w:eastAsiaTheme="minorEastAsia" w:hAnsiTheme="minorHAnsi" w:cstheme="minorBidi"/>
          <w:kern w:val="2"/>
          <w:szCs w:val="24"/>
          <w14:ligatures w14:val="standardContextual"/>
        </w:rPr>
      </w:pPr>
      <w:hyperlink w:anchor="_Toc224819145"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Sheep</w:t>
        </w:r>
        <w:r>
          <w:rPr>
            <w:webHidden/>
          </w:rPr>
          <w:tab/>
        </w:r>
        <w:r>
          <w:rPr>
            <w:webHidden/>
          </w:rPr>
          <w:fldChar w:fldCharType="begin"/>
        </w:r>
        <w:r>
          <w:rPr>
            <w:webHidden/>
          </w:rPr>
          <w:instrText xml:space="preserve"> PAGEREF _Toc224819145 \h </w:instrText>
        </w:r>
        <w:r>
          <w:rPr>
            <w:webHidden/>
          </w:rPr>
        </w:r>
        <w:r>
          <w:rPr>
            <w:webHidden/>
          </w:rPr>
          <w:fldChar w:fldCharType="separate"/>
        </w:r>
        <w:r w:rsidR="00AA17AB">
          <w:rPr>
            <w:webHidden/>
          </w:rPr>
          <w:t>251</w:t>
        </w:r>
        <w:r>
          <w:rPr>
            <w:webHidden/>
          </w:rPr>
          <w:fldChar w:fldCharType="end"/>
        </w:r>
      </w:hyperlink>
    </w:p>
    <w:p w14:paraId="676DDCD2" w14:textId="51F5E5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46" w:history="1">
        <w:r w:rsidRPr="00FC437C">
          <w:rPr>
            <w:rStyle w:val="Hyperlink"/>
          </w:rPr>
          <w:t>§1501.</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_Toc224819146 \h </w:instrText>
        </w:r>
        <w:r>
          <w:rPr>
            <w:webHidden/>
          </w:rPr>
        </w:r>
        <w:r>
          <w:rPr>
            <w:webHidden/>
          </w:rPr>
          <w:fldChar w:fldCharType="separate"/>
        </w:r>
        <w:r w:rsidR="00AA17AB">
          <w:rPr>
            <w:webHidden/>
          </w:rPr>
          <w:t>251</w:t>
        </w:r>
        <w:r>
          <w:rPr>
            <w:webHidden/>
          </w:rPr>
          <w:fldChar w:fldCharType="end"/>
        </w:r>
      </w:hyperlink>
    </w:p>
    <w:p w14:paraId="7CBD4D69" w14:textId="5E179B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47" w:history="1">
        <w:r w:rsidRPr="00FC437C">
          <w:rPr>
            <w:rStyle w:val="Hyperlink"/>
          </w:rPr>
          <w:t>§1503.</w:t>
        </w:r>
        <w:r>
          <w:rPr>
            <w:rFonts w:asciiTheme="minorHAnsi" w:eastAsiaTheme="minorEastAsia" w:hAnsiTheme="minorHAnsi" w:cstheme="minorBidi"/>
            <w:color w:val="auto"/>
            <w:kern w:val="2"/>
            <w:szCs w:val="24"/>
            <w14:ligatures w14:val="standardContextual"/>
          </w:rPr>
          <w:tab/>
        </w:r>
        <w:r w:rsidRPr="00FC437C">
          <w:rPr>
            <w:rStyle w:val="Hyperlink"/>
          </w:rPr>
          <w:t>Identification of Sheep (Formerly §1105)</w:t>
        </w:r>
        <w:r>
          <w:rPr>
            <w:webHidden/>
          </w:rPr>
          <w:tab/>
        </w:r>
        <w:r>
          <w:rPr>
            <w:webHidden/>
          </w:rPr>
          <w:fldChar w:fldCharType="begin"/>
        </w:r>
        <w:r>
          <w:rPr>
            <w:webHidden/>
          </w:rPr>
          <w:instrText xml:space="preserve"> PAGEREF _Toc224819147 \h </w:instrText>
        </w:r>
        <w:r>
          <w:rPr>
            <w:webHidden/>
          </w:rPr>
        </w:r>
        <w:r>
          <w:rPr>
            <w:webHidden/>
          </w:rPr>
          <w:fldChar w:fldCharType="separate"/>
        </w:r>
        <w:r w:rsidR="00AA17AB">
          <w:rPr>
            <w:webHidden/>
          </w:rPr>
          <w:t>251</w:t>
        </w:r>
        <w:r>
          <w:rPr>
            <w:webHidden/>
          </w:rPr>
          <w:fldChar w:fldCharType="end"/>
        </w:r>
      </w:hyperlink>
    </w:p>
    <w:p w14:paraId="054FAF48" w14:textId="457A3F57" w:rsidR="00E67799" w:rsidRDefault="00E67799">
      <w:pPr>
        <w:pStyle w:val="TOC3"/>
        <w:tabs>
          <w:tab w:val="left" w:pos="2026"/>
        </w:tabs>
        <w:rPr>
          <w:rFonts w:asciiTheme="minorHAnsi" w:eastAsiaTheme="minorEastAsia" w:hAnsiTheme="minorHAnsi" w:cstheme="minorBidi"/>
          <w:color w:val="auto"/>
          <w:kern w:val="2"/>
          <w:szCs w:val="24"/>
          <w14:ligatures w14:val="standardContextual"/>
        </w:rPr>
      </w:pPr>
      <w:hyperlink w:anchor="_Toc224819148" w:history="1">
        <w:r w:rsidRPr="00FC437C">
          <w:rPr>
            <w:rStyle w:val="Hyperlink"/>
          </w:rPr>
          <w:t>§§1505-1509.</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_Toc224819148 \h </w:instrText>
        </w:r>
        <w:r>
          <w:rPr>
            <w:webHidden/>
          </w:rPr>
        </w:r>
        <w:r>
          <w:rPr>
            <w:webHidden/>
          </w:rPr>
          <w:fldChar w:fldCharType="separate"/>
        </w:r>
        <w:r w:rsidR="00AA17AB">
          <w:rPr>
            <w:webHidden/>
          </w:rPr>
          <w:t>251</w:t>
        </w:r>
        <w:r>
          <w:rPr>
            <w:webHidden/>
          </w:rPr>
          <w:fldChar w:fldCharType="end"/>
        </w:r>
      </w:hyperlink>
    </w:p>
    <w:p w14:paraId="5D0413A1" w14:textId="18686417" w:rsidR="00E67799" w:rsidRDefault="00E67799">
      <w:pPr>
        <w:pStyle w:val="TOC2"/>
        <w:rPr>
          <w:rFonts w:asciiTheme="minorHAnsi" w:eastAsiaTheme="minorEastAsia" w:hAnsiTheme="minorHAnsi" w:cstheme="minorBidi"/>
          <w:kern w:val="2"/>
          <w:szCs w:val="24"/>
          <w14:ligatures w14:val="standardContextual"/>
        </w:rPr>
      </w:pPr>
      <w:hyperlink w:anchor="_Toc224819149"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Goats</w:t>
        </w:r>
        <w:r>
          <w:rPr>
            <w:webHidden/>
          </w:rPr>
          <w:tab/>
        </w:r>
        <w:r>
          <w:rPr>
            <w:webHidden/>
          </w:rPr>
          <w:fldChar w:fldCharType="begin"/>
        </w:r>
        <w:r>
          <w:rPr>
            <w:webHidden/>
          </w:rPr>
          <w:instrText xml:space="preserve"> PAGEREF _Toc224819149 \h </w:instrText>
        </w:r>
        <w:r>
          <w:rPr>
            <w:webHidden/>
          </w:rPr>
        </w:r>
        <w:r>
          <w:rPr>
            <w:webHidden/>
          </w:rPr>
          <w:fldChar w:fldCharType="separate"/>
        </w:r>
        <w:r w:rsidR="00AA17AB">
          <w:rPr>
            <w:webHidden/>
          </w:rPr>
          <w:t>251</w:t>
        </w:r>
        <w:r>
          <w:rPr>
            <w:webHidden/>
          </w:rPr>
          <w:fldChar w:fldCharType="end"/>
        </w:r>
      </w:hyperlink>
    </w:p>
    <w:p w14:paraId="0071E35B" w14:textId="2FED94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0" w:history="1">
        <w:r w:rsidRPr="00FC437C">
          <w:rPr>
            <w:rStyle w:val="Hyperlink"/>
          </w:rPr>
          <w:t>§1511.</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_Toc224819150 \h </w:instrText>
        </w:r>
        <w:r>
          <w:rPr>
            <w:webHidden/>
          </w:rPr>
        </w:r>
        <w:r>
          <w:rPr>
            <w:webHidden/>
          </w:rPr>
          <w:fldChar w:fldCharType="separate"/>
        </w:r>
        <w:r w:rsidR="00AA17AB">
          <w:rPr>
            <w:webHidden/>
          </w:rPr>
          <w:t>251</w:t>
        </w:r>
        <w:r>
          <w:rPr>
            <w:webHidden/>
          </w:rPr>
          <w:fldChar w:fldCharType="end"/>
        </w:r>
      </w:hyperlink>
    </w:p>
    <w:p w14:paraId="2C2BC1B2" w14:textId="103F738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1" w:history="1">
        <w:r w:rsidRPr="00FC437C">
          <w:rPr>
            <w:rStyle w:val="Hyperlink"/>
          </w:rPr>
          <w:t>§1513.</w:t>
        </w:r>
        <w:r>
          <w:rPr>
            <w:rFonts w:asciiTheme="minorHAnsi" w:eastAsiaTheme="minorEastAsia" w:hAnsiTheme="minorHAnsi" w:cstheme="minorBidi"/>
            <w:color w:val="auto"/>
            <w:kern w:val="2"/>
            <w:szCs w:val="24"/>
            <w14:ligatures w14:val="standardContextual"/>
          </w:rPr>
          <w:tab/>
        </w:r>
        <w:r w:rsidRPr="00FC437C">
          <w:rPr>
            <w:rStyle w:val="Hyperlink"/>
          </w:rPr>
          <w:t>Identification of Goats (Formerly §1303)</w:t>
        </w:r>
        <w:r>
          <w:rPr>
            <w:webHidden/>
          </w:rPr>
          <w:tab/>
        </w:r>
        <w:r>
          <w:rPr>
            <w:webHidden/>
          </w:rPr>
          <w:fldChar w:fldCharType="begin"/>
        </w:r>
        <w:r>
          <w:rPr>
            <w:webHidden/>
          </w:rPr>
          <w:instrText xml:space="preserve"> PAGEREF _Toc224819151 \h </w:instrText>
        </w:r>
        <w:r>
          <w:rPr>
            <w:webHidden/>
          </w:rPr>
        </w:r>
        <w:r>
          <w:rPr>
            <w:webHidden/>
          </w:rPr>
          <w:fldChar w:fldCharType="separate"/>
        </w:r>
        <w:r w:rsidR="00AA17AB">
          <w:rPr>
            <w:webHidden/>
          </w:rPr>
          <w:t>251</w:t>
        </w:r>
        <w:r>
          <w:rPr>
            <w:webHidden/>
          </w:rPr>
          <w:fldChar w:fldCharType="end"/>
        </w:r>
      </w:hyperlink>
    </w:p>
    <w:p w14:paraId="25B2A6E1" w14:textId="5D946DE5" w:rsidR="00E67799" w:rsidRDefault="00E67799">
      <w:pPr>
        <w:pStyle w:val="TOC2"/>
        <w:rPr>
          <w:rFonts w:asciiTheme="minorHAnsi" w:eastAsiaTheme="minorEastAsia" w:hAnsiTheme="minorHAnsi" w:cstheme="minorBidi"/>
          <w:kern w:val="2"/>
          <w:szCs w:val="24"/>
          <w14:ligatures w14:val="standardContextual"/>
        </w:rPr>
      </w:pPr>
      <w:hyperlink w:anchor="_Toc224819152" w:history="1">
        <w:r w:rsidRPr="00FC437C">
          <w:rPr>
            <w:rStyle w:val="Hyperlink"/>
          </w:rPr>
          <w:t>Chapter 17.</w:t>
        </w:r>
        <w:r>
          <w:rPr>
            <w:rFonts w:asciiTheme="minorHAnsi" w:eastAsiaTheme="minorEastAsia" w:hAnsiTheme="minorHAnsi" w:cstheme="minorBidi"/>
            <w:kern w:val="2"/>
            <w:szCs w:val="24"/>
            <w14:ligatures w14:val="standardContextual"/>
          </w:rPr>
          <w:tab/>
        </w:r>
        <w:r w:rsidRPr="00FC437C">
          <w:rPr>
            <w:rStyle w:val="Hyperlink"/>
          </w:rPr>
          <w:t>Alternative Livestock</w:t>
        </w:r>
        <w:r w:rsidRPr="00FC437C">
          <w:rPr>
            <w:rStyle w:val="Hyperlink"/>
          </w:rPr>
          <w:sym w:font="Symbol" w:char="F0BE"/>
        </w:r>
        <w:r w:rsidRPr="00FC437C">
          <w:rPr>
            <w:rStyle w:val="Hyperlink"/>
          </w:rPr>
          <w:t xml:space="preserve">White-tailed Deer and other Captive Cervids </w:t>
        </w:r>
        <w:r w:rsidR="00676FBC">
          <w:rPr>
            <w:rStyle w:val="Hyperlink"/>
          </w:rPr>
          <w:br/>
        </w:r>
        <w:r w:rsidR="00676FBC">
          <w:rPr>
            <w:rStyle w:val="Hyperlink"/>
          </w:rPr>
          <w:tab/>
        </w:r>
        <w:r w:rsidRPr="00FC437C">
          <w:rPr>
            <w:rStyle w:val="Hyperlink"/>
          </w:rPr>
          <w:t>(Formerly Chapter 15)</w:t>
        </w:r>
        <w:r>
          <w:rPr>
            <w:webHidden/>
          </w:rPr>
          <w:tab/>
        </w:r>
        <w:r>
          <w:rPr>
            <w:webHidden/>
          </w:rPr>
          <w:fldChar w:fldCharType="begin"/>
        </w:r>
        <w:r>
          <w:rPr>
            <w:webHidden/>
          </w:rPr>
          <w:instrText xml:space="preserve"> PAGEREF _Toc224819152 \h </w:instrText>
        </w:r>
        <w:r>
          <w:rPr>
            <w:webHidden/>
          </w:rPr>
        </w:r>
        <w:r>
          <w:rPr>
            <w:webHidden/>
          </w:rPr>
          <w:fldChar w:fldCharType="separate"/>
        </w:r>
        <w:r w:rsidR="00AA17AB">
          <w:rPr>
            <w:webHidden/>
          </w:rPr>
          <w:t>252</w:t>
        </w:r>
        <w:r>
          <w:rPr>
            <w:webHidden/>
          </w:rPr>
          <w:fldChar w:fldCharType="end"/>
        </w:r>
      </w:hyperlink>
    </w:p>
    <w:p w14:paraId="51B8C337" w14:textId="5E7822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3" w:history="1">
        <w:r w:rsidRPr="00FC437C">
          <w:rPr>
            <w:rStyle w:val="Hyperlink"/>
          </w:rPr>
          <w:t>§1701.</w:t>
        </w:r>
        <w:r>
          <w:rPr>
            <w:rFonts w:asciiTheme="minorHAnsi" w:eastAsiaTheme="minorEastAsia" w:hAnsiTheme="minorHAnsi" w:cstheme="minorBidi"/>
            <w:color w:val="auto"/>
            <w:kern w:val="2"/>
            <w:szCs w:val="24"/>
            <w14:ligatures w14:val="standardContextual"/>
          </w:rPr>
          <w:tab/>
        </w:r>
        <w:r w:rsidRPr="00FC437C">
          <w:rPr>
            <w:rStyle w:val="Hyperlink"/>
          </w:rPr>
          <w:t>Statement of Authority and Purpose (Formerly §1501)</w:t>
        </w:r>
        <w:r>
          <w:rPr>
            <w:webHidden/>
          </w:rPr>
          <w:tab/>
        </w:r>
        <w:r>
          <w:rPr>
            <w:webHidden/>
          </w:rPr>
          <w:fldChar w:fldCharType="begin"/>
        </w:r>
        <w:r>
          <w:rPr>
            <w:webHidden/>
          </w:rPr>
          <w:instrText xml:space="preserve"> PAGEREF _Toc224819153 \h </w:instrText>
        </w:r>
        <w:r>
          <w:rPr>
            <w:webHidden/>
          </w:rPr>
        </w:r>
        <w:r>
          <w:rPr>
            <w:webHidden/>
          </w:rPr>
          <w:fldChar w:fldCharType="separate"/>
        </w:r>
        <w:r w:rsidR="00AA17AB">
          <w:rPr>
            <w:webHidden/>
          </w:rPr>
          <w:t>252</w:t>
        </w:r>
        <w:r>
          <w:rPr>
            <w:webHidden/>
          </w:rPr>
          <w:fldChar w:fldCharType="end"/>
        </w:r>
      </w:hyperlink>
    </w:p>
    <w:p w14:paraId="38260363" w14:textId="776BF1D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4" w:history="1">
        <w:r w:rsidRPr="00FC437C">
          <w:rPr>
            <w:rStyle w:val="Hyperlink"/>
          </w:rPr>
          <w:t>§1703.</w:t>
        </w:r>
        <w:r>
          <w:rPr>
            <w:rFonts w:asciiTheme="minorHAnsi" w:eastAsiaTheme="minorEastAsia" w:hAnsiTheme="minorHAnsi" w:cstheme="minorBidi"/>
            <w:color w:val="auto"/>
            <w:kern w:val="2"/>
            <w:szCs w:val="24"/>
            <w14:ligatures w14:val="standardContextual"/>
          </w:rPr>
          <w:tab/>
        </w:r>
        <w:r w:rsidRPr="00FC437C">
          <w:rPr>
            <w:rStyle w:val="Hyperlink"/>
          </w:rPr>
          <w:t>Reserved.</w:t>
        </w:r>
        <w:r>
          <w:rPr>
            <w:webHidden/>
          </w:rPr>
          <w:tab/>
        </w:r>
        <w:r>
          <w:rPr>
            <w:webHidden/>
          </w:rPr>
          <w:fldChar w:fldCharType="begin"/>
        </w:r>
        <w:r>
          <w:rPr>
            <w:webHidden/>
          </w:rPr>
          <w:instrText xml:space="preserve"> PAGEREF _Toc224819154 \h </w:instrText>
        </w:r>
        <w:r>
          <w:rPr>
            <w:webHidden/>
          </w:rPr>
        </w:r>
        <w:r>
          <w:rPr>
            <w:webHidden/>
          </w:rPr>
          <w:fldChar w:fldCharType="separate"/>
        </w:r>
        <w:r w:rsidR="00AA17AB">
          <w:rPr>
            <w:webHidden/>
          </w:rPr>
          <w:t>252</w:t>
        </w:r>
        <w:r>
          <w:rPr>
            <w:webHidden/>
          </w:rPr>
          <w:fldChar w:fldCharType="end"/>
        </w:r>
      </w:hyperlink>
    </w:p>
    <w:p w14:paraId="255CCC6D" w14:textId="533B38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5" w:history="1">
        <w:r w:rsidRPr="00FC437C">
          <w:rPr>
            <w:rStyle w:val="Hyperlink"/>
          </w:rPr>
          <w:t>§1705.</w:t>
        </w:r>
        <w:r>
          <w:rPr>
            <w:rFonts w:asciiTheme="minorHAnsi" w:eastAsiaTheme="minorEastAsia" w:hAnsiTheme="minorHAnsi" w:cstheme="minorBidi"/>
            <w:color w:val="auto"/>
            <w:kern w:val="2"/>
            <w:szCs w:val="24"/>
            <w14:ligatures w14:val="standardContextual"/>
          </w:rPr>
          <w:tab/>
        </w:r>
        <w:r w:rsidRPr="00FC437C">
          <w:rPr>
            <w:rStyle w:val="Hyperlink"/>
          </w:rPr>
          <w:t>Definitions (Formerly §1503)</w:t>
        </w:r>
        <w:r>
          <w:rPr>
            <w:webHidden/>
          </w:rPr>
          <w:tab/>
        </w:r>
        <w:r>
          <w:rPr>
            <w:webHidden/>
          </w:rPr>
          <w:fldChar w:fldCharType="begin"/>
        </w:r>
        <w:r>
          <w:rPr>
            <w:webHidden/>
          </w:rPr>
          <w:instrText xml:space="preserve"> PAGEREF _Toc224819155 \h </w:instrText>
        </w:r>
        <w:r>
          <w:rPr>
            <w:webHidden/>
          </w:rPr>
        </w:r>
        <w:r>
          <w:rPr>
            <w:webHidden/>
          </w:rPr>
          <w:fldChar w:fldCharType="separate"/>
        </w:r>
        <w:r w:rsidR="00AA17AB">
          <w:rPr>
            <w:webHidden/>
          </w:rPr>
          <w:t>252</w:t>
        </w:r>
        <w:r>
          <w:rPr>
            <w:webHidden/>
          </w:rPr>
          <w:fldChar w:fldCharType="end"/>
        </w:r>
      </w:hyperlink>
    </w:p>
    <w:p w14:paraId="741B34CE" w14:textId="1AF6B6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6" w:history="1">
        <w:r w:rsidRPr="00FC437C">
          <w:rPr>
            <w:rStyle w:val="Hyperlink"/>
          </w:rPr>
          <w:t>§1707.</w:t>
        </w:r>
        <w:r>
          <w:rPr>
            <w:rFonts w:asciiTheme="minorHAnsi" w:eastAsiaTheme="minorEastAsia" w:hAnsiTheme="minorHAnsi" w:cstheme="minorBidi"/>
            <w:color w:val="auto"/>
            <w:kern w:val="2"/>
            <w:szCs w:val="24"/>
            <w14:ligatures w14:val="standardContextual"/>
          </w:rPr>
          <w:tab/>
        </w:r>
        <w:r w:rsidRPr="00FC437C">
          <w:rPr>
            <w:rStyle w:val="Hyperlink"/>
          </w:rPr>
          <w:t>Issuance of Farm-Raising License; Renewals (Formerly §1505)</w:t>
        </w:r>
        <w:r>
          <w:rPr>
            <w:webHidden/>
          </w:rPr>
          <w:tab/>
        </w:r>
        <w:r>
          <w:rPr>
            <w:webHidden/>
          </w:rPr>
          <w:fldChar w:fldCharType="begin"/>
        </w:r>
        <w:r>
          <w:rPr>
            <w:webHidden/>
          </w:rPr>
          <w:instrText xml:space="preserve"> PAGEREF _Toc224819156 \h </w:instrText>
        </w:r>
        <w:r>
          <w:rPr>
            <w:webHidden/>
          </w:rPr>
        </w:r>
        <w:r>
          <w:rPr>
            <w:webHidden/>
          </w:rPr>
          <w:fldChar w:fldCharType="separate"/>
        </w:r>
        <w:r w:rsidR="00AA17AB">
          <w:rPr>
            <w:webHidden/>
          </w:rPr>
          <w:t>253</w:t>
        </w:r>
        <w:r>
          <w:rPr>
            <w:webHidden/>
          </w:rPr>
          <w:fldChar w:fldCharType="end"/>
        </w:r>
      </w:hyperlink>
    </w:p>
    <w:p w14:paraId="52C5C06A" w14:textId="27B2D04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7" w:history="1">
        <w:r w:rsidRPr="00FC437C">
          <w:rPr>
            <w:rStyle w:val="Hyperlink"/>
          </w:rPr>
          <w:t>§1709.</w:t>
        </w:r>
        <w:r>
          <w:rPr>
            <w:rFonts w:asciiTheme="minorHAnsi" w:eastAsiaTheme="minorEastAsia" w:hAnsiTheme="minorHAnsi" w:cstheme="minorBidi"/>
            <w:color w:val="auto"/>
            <w:kern w:val="2"/>
            <w:szCs w:val="24"/>
            <w14:ligatures w14:val="standardContextual"/>
          </w:rPr>
          <w:tab/>
        </w:r>
        <w:r w:rsidRPr="00FC437C">
          <w:rPr>
            <w:rStyle w:val="Hyperlink"/>
          </w:rPr>
          <w:t>Fees (Formerly §1507)</w:t>
        </w:r>
        <w:r>
          <w:rPr>
            <w:webHidden/>
          </w:rPr>
          <w:tab/>
        </w:r>
        <w:r>
          <w:rPr>
            <w:webHidden/>
          </w:rPr>
          <w:fldChar w:fldCharType="begin"/>
        </w:r>
        <w:r>
          <w:rPr>
            <w:webHidden/>
          </w:rPr>
          <w:instrText xml:space="preserve"> PAGEREF _Toc224819157 \h </w:instrText>
        </w:r>
        <w:r>
          <w:rPr>
            <w:webHidden/>
          </w:rPr>
        </w:r>
        <w:r>
          <w:rPr>
            <w:webHidden/>
          </w:rPr>
          <w:fldChar w:fldCharType="separate"/>
        </w:r>
        <w:r w:rsidR="00AA17AB">
          <w:rPr>
            <w:webHidden/>
          </w:rPr>
          <w:t>253</w:t>
        </w:r>
        <w:r>
          <w:rPr>
            <w:webHidden/>
          </w:rPr>
          <w:fldChar w:fldCharType="end"/>
        </w:r>
      </w:hyperlink>
    </w:p>
    <w:p w14:paraId="07738CD6" w14:textId="2B39A43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8" w:history="1">
        <w:r w:rsidRPr="00FC437C">
          <w:rPr>
            <w:rStyle w:val="Hyperlink"/>
          </w:rPr>
          <w:t>§1711.</w:t>
        </w:r>
        <w:r>
          <w:rPr>
            <w:rFonts w:asciiTheme="minorHAnsi" w:eastAsiaTheme="minorEastAsia" w:hAnsiTheme="minorHAnsi" w:cstheme="minorBidi"/>
            <w:color w:val="auto"/>
            <w:kern w:val="2"/>
            <w:szCs w:val="24"/>
            <w14:ligatures w14:val="standardContextual"/>
          </w:rPr>
          <w:tab/>
        </w:r>
        <w:r w:rsidRPr="00FC437C">
          <w:rPr>
            <w:rStyle w:val="Hyperlink"/>
          </w:rPr>
          <w:t>Farm-Raising Licensing Requirements (Formerly §1509)</w:t>
        </w:r>
        <w:r>
          <w:rPr>
            <w:webHidden/>
          </w:rPr>
          <w:tab/>
        </w:r>
        <w:r>
          <w:rPr>
            <w:webHidden/>
          </w:rPr>
          <w:fldChar w:fldCharType="begin"/>
        </w:r>
        <w:r>
          <w:rPr>
            <w:webHidden/>
          </w:rPr>
          <w:instrText xml:space="preserve"> PAGEREF _Toc224819158 \h </w:instrText>
        </w:r>
        <w:r>
          <w:rPr>
            <w:webHidden/>
          </w:rPr>
        </w:r>
        <w:r>
          <w:rPr>
            <w:webHidden/>
          </w:rPr>
          <w:fldChar w:fldCharType="separate"/>
        </w:r>
        <w:r w:rsidR="00AA17AB">
          <w:rPr>
            <w:webHidden/>
          </w:rPr>
          <w:t>254</w:t>
        </w:r>
        <w:r>
          <w:rPr>
            <w:webHidden/>
          </w:rPr>
          <w:fldChar w:fldCharType="end"/>
        </w:r>
      </w:hyperlink>
    </w:p>
    <w:p w14:paraId="76EE978D" w14:textId="18B3785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59" w:history="1">
        <w:r w:rsidRPr="00FC437C">
          <w:rPr>
            <w:rStyle w:val="Hyperlink"/>
          </w:rPr>
          <w:t>§1713.</w:t>
        </w:r>
        <w:r>
          <w:rPr>
            <w:rFonts w:asciiTheme="minorHAnsi" w:eastAsiaTheme="minorEastAsia" w:hAnsiTheme="minorHAnsi" w:cstheme="minorBidi"/>
            <w:color w:val="auto"/>
            <w:kern w:val="2"/>
            <w:szCs w:val="24"/>
            <w14:ligatures w14:val="standardContextual"/>
          </w:rPr>
          <w:tab/>
        </w:r>
        <w:r w:rsidRPr="00FC437C">
          <w:rPr>
            <w:rStyle w:val="Hyperlink"/>
          </w:rPr>
          <w:t>Grounds for Refusal to Issue or Renew a Farm-Raising License (Formerly §1511)</w:t>
        </w:r>
        <w:r>
          <w:rPr>
            <w:webHidden/>
          </w:rPr>
          <w:tab/>
        </w:r>
        <w:r>
          <w:rPr>
            <w:webHidden/>
          </w:rPr>
          <w:fldChar w:fldCharType="begin"/>
        </w:r>
        <w:r>
          <w:rPr>
            <w:webHidden/>
          </w:rPr>
          <w:instrText xml:space="preserve"> PAGEREF _Toc224819159 \h </w:instrText>
        </w:r>
        <w:r>
          <w:rPr>
            <w:webHidden/>
          </w:rPr>
        </w:r>
        <w:r>
          <w:rPr>
            <w:webHidden/>
          </w:rPr>
          <w:fldChar w:fldCharType="separate"/>
        </w:r>
        <w:r w:rsidR="00AA17AB">
          <w:rPr>
            <w:webHidden/>
          </w:rPr>
          <w:t>255</w:t>
        </w:r>
        <w:r>
          <w:rPr>
            <w:webHidden/>
          </w:rPr>
          <w:fldChar w:fldCharType="end"/>
        </w:r>
      </w:hyperlink>
    </w:p>
    <w:p w14:paraId="3A38E3B3" w14:textId="4606B15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0" w:history="1">
        <w:r w:rsidRPr="00FC437C">
          <w:rPr>
            <w:rStyle w:val="Hyperlink"/>
          </w:rPr>
          <w:t>§1715.</w:t>
        </w:r>
        <w:r>
          <w:rPr>
            <w:rFonts w:asciiTheme="minorHAnsi" w:eastAsiaTheme="minorEastAsia" w:hAnsiTheme="minorHAnsi" w:cstheme="minorBidi"/>
            <w:color w:val="auto"/>
            <w:kern w:val="2"/>
            <w:szCs w:val="24"/>
            <w14:ligatures w14:val="standardContextual"/>
          </w:rPr>
          <w:tab/>
        </w:r>
        <w:r w:rsidRPr="00FC437C">
          <w:rPr>
            <w:rStyle w:val="Hyperlink"/>
          </w:rPr>
          <w:t>Obligations of the Farm-Raising Licensee (Formerly §1513)</w:t>
        </w:r>
        <w:r>
          <w:rPr>
            <w:webHidden/>
          </w:rPr>
          <w:tab/>
        </w:r>
        <w:r>
          <w:rPr>
            <w:webHidden/>
          </w:rPr>
          <w:fldChar w:fldCharType="begin"/>
        </w:r>
        <w:r>
          <w:rPr>
            <w:webHidden/>
          </w:rPr>
          <w:instrText xml:space="preserve"> PAGEREF _Toc224819160 \h </w:instrText>
        </w:r>
        <w:r>
          <w:rPr>
            <w:webHidden/>
          </w:rPr>
        </w:r>
        <w:r>
          <w:rPr>
            <w:webHidden/>
          </w:rPr>
          <w:fldChar w:fldCharType="separate"/>
        </w:r>
        <w:r w:rsidR="00AA17AB">
          <w:rPr>
            <w:webHidden/>
          </w:rPr>
          <w:t>255</w:t>
        </w:r>
        <w:r>
          <w:rPr>
            <w:webHidden/>
          </w:rPr>
          <w:fldChar w:fldCharType="end"/>
        </w:r>
      </w:hyperlink>
    </w:p>
    <w:p w14:paraId="33841E06" w14:textId="2FE9D72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1" w:history="1">
        <w:r w:rsidRPr="00FC437C">
          <w:rPr>
            <w:rStyle w:val="Hyperlink"/>
          </w:rPr>
          <w:t>§1717.</w:t>
        </w:r>
        <w:r>
          <w:rPr>
            <w:rFonts w:asciiTheme="minorHAnsi" w:eastAsiaTheme="minorEastAsia" w:hAnsiTheme="minorHAnsi" w:cstheme="minorBidi"/>
            <w:color w:val="auto"/>
            <w:kern w:val="2"/>
            <w:szCs w:val="24"/>
            <w14:ligatures w14:val="standardContextual"/>
          </w:rPr>
          <w:tab/>
        </w:r>
        <w:r w:rsidRPr="00FC437C">
          <w:rPr>
            <w:rStyle w:val="Hyperlink"/>
          </w:rPr>
          <w:t>Health Certificates and Health Requirements (Formerly §1515)</w:t>
        </w:r>
        <w:r>
          <w:rPr>
            <w:webHidden/>
          </w:rPr>
          <w:tab/>
        </w:r>
        <w:r>
          <w:rPr>
            <w:webHidden/>
          </w:rPr>
          <w:fldChar w:fldCharType="begin"/>
        </w:r>
        <w:r>
          <w:rPr>
            <w:webHidden/>
          </w:rPr>
          <w:instrText xml:space="preserve"> PAGEREF _Toc224819161 \h </w:instrText>
        </w:r>
        <w:r>
          <w:rPr>
            <w:webHidden/>
          </w:rPr>
        </w:r>
        <w:r>
          <w:rPr>
            <w:webHidden/>
          </w:rPr>
          <w:fldChar w:fldCharType="separate"/>
        </w:r>
        <w:r w:rsidR="00AA17AB">
          <w:rPr>
            <w:webHidden/>
          </w:rPr>
          <w:t>257</w:t>
        </w:r>
        <w:r>
          <w:rPr>
            <w:webHidden/>
          </w:rPr>
          <w:fldChar w:fldCharType="end"/>
        </w:r>
      </w:hyperlink>
    </w:p>
    <w:p w14:paraId="6E809768" w14:textId="60C6EC5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2" w:history="1">
        <w:r w:rsidRPr="00FC437C">
          <w:rPr>
            <w:rStyle w:val="Hyperlink"/>
          </w:rPr>
          <w:t>§1719.</w:t>
        </w:r>
        <w:r>
          <w:rPr>
            <w:rFonts w:asciiTheme="minorHAnsi" w:eastAsiaTheme="minorEastAsia" w:hAnsiTheme="minorHAnsi" w:cstheme="minorBidi"/>
            <w:color w:val="auto"/>
            <w:kern w:val="2"/>
            <w:szCs w:val="24"/>
            <w14:ligatures w14:val="standardContextual"/>
          </w:rPr>
          <w:tab/>
        </w:r>
        <w:r w:rsidRPr="00FC437C">
          <w:rPr>
            <w:rStyle w:val="Hyperlink"/>
          </w:rPr>
          <w:t>Harvesting or Killing of Farm-Raised Alternative Livestock (Formerly §1517)</w:t>
        </w:r>
        <w:r>
          <w:rPr>
            <w:webHidden/>
          </w:rPr>
          <w:tab/>
        </w:r>
        <w:r>
          <w:rPr>
            <w:webHidden/>
          </w:rPr>
          <w:fldChar w:fldCharType="begin"/>
        </w:r>
        <w:r>
          <w:rPr>
            <w:webHidden/>
          </w:rPr>
          <w:instrText xml:space="preserve"> PAGEREF _Toc224819162 \h </w:instrText>
        </w:r>
        <w:r>
          <w:rPr>
            <w:webHidden/>
          </w:rPr>
        </w:r>
        <w:r>
          <w:rPr>
            <w:webHidden/>
          </w:rPr>
          <w:fldChar w:fldCharType="separate"/>
        </w:r>
        <w:r w:rsidR="00AA17AB">
          <w:rPr>
            <w:webHidden/>
          </w:rPr>
          <w:t>258</w:t>
        </w:r>
        <w:r>
          <w:rPr>
            <w:webHidden/>
          </w:rPr>
          <w:fldChar w:fldCharType="end"/>
        </w:r>
      </w:hyperlink>
    </w:p>
    <w:p w14:paraId="563D58B5" w14:textId="45610B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3" w:history="1">
        <w:r w:rsidRPr="00FC437C">
          <w:rPr>
            <w:rStyle w:val="Hyperlink"/>
          </w:rPr>
          <w:t>§1721.</w:t>
        </w:r>
        <w:r>
          <w:rPr>
            <w:rFonts w:asciiTheme="minorHAnsi" w:eastAsiaTheme="minorEastAsia" w:hAnsiTheme="minorHAnsi" w:cstheme="minorBidi"/>
            <w:color w:val="auto"/>
            <w:kern w:val="2"/>
            <w:szCs w:val="24"/>
            <w14:ligatures w14:val="standardContextual"/>
          </w:rPr>
          <w:tab/>
        </w:r>
        <w:r w:rsidRPr="00FC437C">
          <w:rPr>
            <w:rStyle w:val="Hyperlink"/>
          </w:rPr>
          <w:t>Prohibitions (Formerly §1519)</w:t>
        </w:r>
        <w:r>
          <w:rPr>
            <w:webHidden/>
          </w:rPr>
          <w:tab/>
        </w:r>
        <w:r>
          <w:rPr>
            <w:webHidden/>
          </w:rPr>
          <w:fldChar w:fldCharType="begin"/>
        </w:r>
        <w:r>
          <w:rPr>
            <w:webHidden/>
          </w:rPr>
          <w:instrText xml:space="preserve"> PAGEREF _Toc224819163 \h </w:instrText>
        </w:r>
        <w:r>
          <w:rPr>
            <w:webHidden/>
          </w:rPr>
        </w:r>
        <w:r>
          <w:rPr>
            <w:webHidden/>
          </w:rPr>
          <w:fldChar w:fldCharType="separate"/>
        </w:r>
        <w:r w:rsidR="00AA17AB">
          <w:rPr>
            <w:webHidden/>
          </w:rPr>
          <w:t>258</w:t>
        </w:r>
        <w:r>
          <w:rPr>
            <w:webHidden/>
          </w:rPr>
          <w:fldChar w:fldCharType="end"/>
        </w:r>
      </w:hyperlink>
    </w:p>
    <w:p w14:paraId="0A80EF33" w14:textId="368FE10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4" w:history="1">
        <w:r w:rsidRPr="00FC437C">
          <w:rPr>
            <w:rStyle w:val="Hyperlink"/>
          </w:rPr>
          <w:t>§1723.</w:t>
        </w:r>
        <w:r>
          <w:rPr>
            <w:rFonts w:asciiTheme="minorHAnsi" w:eastAsiaTheme="minorEastAsia" w:hAnsiTheme="minorHAnsi" w:cstheme="minorBidi"/>
            <w:color w:val="auto"/>
            <w:kern w:val="2"/>
            <w:szCs w:val="24"/>
            <w14:ligatures w14:val="standardContextual"/>
          </w:rPr>
          <w:tab/>
        </w:r>
        <w:r w:rsidRPr="00FC437C">
          <w:rPr>
            <w:rStyle w:val="Hyperlink"/>
          </w:rPr>
          <w:t>Enforcement (Formerly §1521)</w:t>
        </w:r>
        <w:r>
          <w:rPr>
            <w:webHidden/>
          </w:rPr>
          <w:tab/>
        </w:r>
        <w:r>
          <w:rPr>
            <w:webHidden/>
          </w:rPr>
          <w:fldChar w:fldCharType="begin"/>
        </w:r>
        <w:r>
          <w:rPr>
            <w:webHidden/>
          </w:rPr>
          <w:instrText xml:space="preserve"> PAGEREF _Toc224819164 \h </w:instrText>
        </w:r>
        <w:r>
          <w:rPr>
            <w:webHidden/>
          </w:rPr>
        </w:r>
        <w:r>
          <w:rPr>
            <w:webHidden/>
          </w:rPr>
          <w:fldChar w:fldCharType="separate"/>
        </w:r>
        <w:r w:rsidR="00AA17AB">
          <w:rPr>
            <w:webHidden/>
          </w:rPr>
          <w:t>259</w:t>
        </w:r>
        <w:r>
          <w:rPr>
            <w:webHidden/>
          </w:rPr>
          <w:fldChar w:fldCharType="end"/>
        </w:r>
      </w:hyperlink>
    </w:p>
    <w:p w14:paraId="0F652A08" w14:textId="58F42F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5" w:history="1">
        <w:r w:rsidRPr="00FC437C">
          <w:rPr>
            <w:rStyle w:val="Hyperlink"/>
          </w:rPr>
          <w:t>§1725.</w:t>
        </w:r>
        <w:r>
          <w:rPr>
            <w:rFonts w:asciiTheme="minorHAnsi" w:eastAsiaTheme="minorEastAsia" w:hAnsiTheme="minorHAnsi" w:cstheme="minorBidi"/>
            <w:color w:val="auto"/>
            <w:kern w:val="2"/>
            <w:szCs w:val="24"/>
            <w14:ligatures w14:val="standardContextual"/>
          </w:rPr>
          <w:tab/>
        </w:r>
        <w:r w:rsidRPr="00FC437C">
          <w:rPr>
            <w:rStyle w:val="Hyperlink"/>
          </w:rPr>
          <w:t>Penalties (Formerly §1523)</w:t>
        </w:r>
        <w:r>
          <w:rPr>
            <w:webHidden/>
          </w:rPr>
          <w:tab/>
        </w:r>
        <w:r>
          <w:rPr>
            <w:webHidden/>
          </w:rPr>
          <w:fldChar w:fldCharType="begin"/>
        </w:r>
        <w:r>
          <w:rPr>
            <w:webHidden/>
          </w:rPr>
          <w:instrText xml:space="preserve"> PAGEREF _Toc224819165 \h </w:instrText>
        </w:r>
        <w:r>
          <w:rPr>
            <w:webHidden/>
          </w:rPr>
        </w:r>
        <w:r>
          <w:rPr>
            <w:webHidden/>
          </w:rPr>
          <w:fldChar w:fldCharType="separate"/>
        </w:r>
        <w:r w:rsidR="00AA17AB">
          <w:rPr>
            <w:webHidden/>
          </w:rPr>
          <w:t>259</w:t>
        </w:r>
        <w:r>
          <w:rPr>
            <w:webHidden/>
          </w:rPr>
          <w:fldChar w:fldCharType="end"/>
        </w:r>
      </w:hyperlink>
    </w:p>
    <w:p w14:paraId="370A38B8" w14:textId="2E6D39A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6" w:history="1">
        <w:r w:rsidRPr="00FC437C">
          <w:rPr>
            <w:rStyle w:val="Hyperlink"/>
          </w:rPr>
          <w:t>§1727.</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Surveillance Zones</w:t>
        </w:r>
        <w:r>
          <w:rPr>
            <w:webHidden/>
          </w:rPr>
          <w:tab/>
        </w:r>
        <w:r>
          <w:rPr>
            <w:webHidden/>
          </w:rPr>
          <w:fldChar w:fldCharType="begin"/>
        </w:r>
        <w:r>
          <w:rPr>
            <w:webHidden/>
          </w:rPr>
          <w:instrText xml:space="preserve"> PAGEREF _Toc224819166 \h </w:instrText>
        </w:r>
        <w:r>
          <w:rPr>
            <w:webHidden/>
          </w:rPr>
        </w:r>
        <w:r>
          <w:rPr>
            <w:webHidden/>
          </w:rPr>
          <w:fldChar w:fldCharType="separate"/>
        </w:r>
        <w:r w:rsidR="00AA17AB">
          <w:rPr>
            <w:webHidden/>
          </w:rPr>
          <w:t>259</w:t>
        </w:r>
        <w:r>
          <w:rPr>
            <w:webHidden/>
          </w:rPr>
          <w:fldChar w:fldCharType="end"/>
        </w:r>
      </w:hyperlink>
    </w:p>
    <w:p w14:paraId="1E2EAD15" w14:textId="1CB8853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67" w:history="1">
        <w:r w:rsidRPr="00FC437C">
          <w:rPr>
            <w:rStyle w:val="Hyperlink"/>
          </w:rPr>
          <w:t>§1729.</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Export of Carcasses from a Surveillance Zone</w:t>
        </w:r>
        <w:r>
          <w:rPr>
            <w:webHidden/>
          </w:rPr>
          <w:tab/>
        </w:r>
        <w:r>
          <w:rPr>
            <w:webHidden/>
          </w:rPr>
          <w:fldChar w:fldCharType="begin"/>
        </w:r>
        <w:r>
          <w:rPr>
            <w:webHidden/>
          </w:rPr>
          <w:instrText xml:space="preserve"> PAGEREF _Toc224819167 \h </w:instrText>
        </w:r>
        <w:r>
          <w:rPr>
            <w:webHidden/>
          </w:rPr>
        </w:r>
        <w:r>
          <w:rPr>
            <w:webHidden/>
          </w:rPr>
          <w:fldChar w:fldCharType="separate"/>
        </w:r>
        <w:r w:rsidR="00AA17AB">
          <w:rPr>
            <w:webHidden/>
          </w:rPr>
          <w:t>260</w:t>
        </w:r>
        <w:r>
          <w:rPr>
            <w:webHidden/>
          </w:rPr>
          <w:fldChar w:fldCharType="end"/>
        </w:r>
      </w:hyperlink>
    </w:p>
    <w:p w14:paraId="7FB2C7FB" w14:textId="3DAC012A"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168" w:history="1">
        <w:r w:rsidRPr="00FC437C">
          <w:rPr>
            <w:rStyle w:val="Hyperlink"/>
            <w:rFonts w:eastAsia="Aptos"/>
          </w:rPr>
          <w:t>§1730.</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 xml:space="preserve">Chronic Wasting Disease; Transport of Deer Heads from Quarantined Facility within </w:t>
        </w:r>
        <w:r w:rsidR="00676FBC">
          <w:rPr>
            <w:rStyle w:val="Hyperlink"/>
            <w:rFonts w:eastAsia="Aptos"/>
          </w:rPr>
          <w:br/>
        </w:r>
        <w:r w:rsidR="00676FBC">
          <w:rPr>
            <w:rStyle w:val="Hyperlink"/>
            <w:rFonts w:eastAsia="Aptos"/>
          </w:rPr>
          <w:tab/>
        </w:r>
        <w:r w:rsidRPr="00FC437C">
          <w:rPr>
            <w:rStyle w:val="Hyperlink"/>
            <w:rFonts w:eastAsia="Aptos"/>
          </w:rPr>
          <w:t>Louisiana for Taxidermy Purposes.</w:t>
        </w:r>
        <w:r>
          <w:rPr>
            <w:webHidden/>
          </w:rPr>
          <w:tab/>
        </w:r>
        <w:r>
          <w:rPr>
            <w:webHidden/>
          </w:rPr>
          <w:fldChar w:fldCharType="begin"/>
        </w:r>
        <w:r>
          <w:rPr>
            <w:webHidden/>
          </w:rPr>
          <w:instrText xml:space="preserve"> PAGEREF _Toc224819168 \h </w:instrText>
        </w:r>
        <w:r>
          <w:rPr>
            <w:webHidden/>
          </w:rPr>
        </w:r>
        <w:r>
          <w:rPr>
            <w:webHidden/>
          </w:rPr>
          <w:fldChar w:fldCharType="separate"/>
        </w:r>
        <w:r w:rsidR="00AA17AB">
          <w:rPr>
            <w:webHidden/>
          </w:rPr>
          <w:t>260</w:t>
        </w:r>
        <w:r>
          <w:rPr>
            <w:webHidden/>
          </w:rPr>
          <w:fldChar w:fldCharType="end"/>
        </w:r>
      </w:hyperlink>
    </w:p>
    <w:p w14:paraId="08AEE1B9" w14:textId="6FCE5071"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169" w:history="1">
        <w:r w:rsidRPr="00FC437C">
          <w:rPr>
            <w:rStyle w:val="Hyperlink"/>
          </w:rPr>
          <w:t>§1731.</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Transport of Cervids in Surveillance Zone</w:t>
        </w:r>
        <w:r>
          <w:rPr>
            <w:webHidden/>
          </w:rPr>
          <w:tab/>
        </w:r>
        <w:r>
          <w:rPr>
            <w:webHidden/>
          </w:rPr>
          <w:fldChar w:fldCharType="begin"/>
        </w:r>
        <w:r>
          <w:rPr>
            <w:webHidden/>
          </w:rPr>
          <w:instrText xml:space="preserve"> PAGEREF _Toc224819169 \h </w:instrText>
        </w:r>
        <w:r>
          <w:rPr>
            <w:webHidden/>
          </w:rPr>
        </w:r>
        <w:r>
          <w:rPr>
            <w:webHidden/>
          </w:rPr>
          <w:fldChar w:fldCharType="separate"/>
        </w:r>
        <w:r w:rsidR="00AA17AB">
          <w:rPr>
            <w:webHidden/>
          </w:rPr>
          <w:t>260</w:t>
        </w:r>
        <w:r>
          <w:rPr>
            <w:webHidden/>
          </w:rPr>
          <w:fldChar w:fldCharType="end"/>
        </w:r>
      </w:hyperlink>
    </w:p>
    <w:p w14:paraId="38161B4C" w14:textId="2ED9853E"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170" w:history="1">
        <w:r w:rsidRPr="00FC437C">
          <w:rPr>
            <w:rStyle w:val="Hyperlink"/>
          </w:rPr>
          <w:t>§1733.</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Certified Herds; Non-Certified/Non-Enrolled Herds</w:t>
        </w:r>
        <w:r>
          <w:rPr>
            <w:webHidden/>
          </w:rPr>
          <w:tab/>
        </w:r>
        <w:r>
          <w:rPr>
            <w:webHidden/>
          </w:rPr>
          <w:fldChar w:fldCharType="begin"/>
        </w:r>
        <w:r>
          <w:rPr>
            <w:webHidden/>
          </w:rPr>
          <w:instrText xml:space="preserve"> PAGEREF _Toc224819170 \h </w:instrText>
        </w:r>
        <w:r>
          <w:rPr>
            <w:webHidden/>
          </w:rPr>
        </w:r>
        <w:r>
          <w:rPr>
            <w:webHidden/>
          </w:rPr>
          <w:fldChar w:fldCharType="separate"/>
        </w:r>
        <w:r w:rsidR="00AA17AB">
          <w:rPr>
            <w:webHidden/>
          </w:rPr>
          <w:t>260</w:t>
        </w:r>
        <w:r>
          <w:rPr>
            <w:webHidden/>
          </w:rPr>
          <w:fldChar w:fldCharType="end"/>
        </w:r>
      </w:hyperlink>
    </w:p>
    <w:p w14:paraId="43220914" w14:textId="55A0AC28"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171" w:history="1">
        <w:r w:rsidRPr="00FC437C">
          <w:rPr>
            <w:rStyle w:val="Hyperlink"/>
          </w:rPr>
          <w:t>§1735.</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Permits and Licenses</w:t>
        </w:r>
        <w:r>
          <w:rPr>
            <w:webHidden/>
          </w:rPr>
          <w:tab/>
        </w:r>
        <w:r>
          <w:rPr>
            <w:webHidden/>
          </w:rPr>
          <w:fldChar w:fldCharType="begin"/>
        </w:r>
        <w:r>
          <w:rPr>
            <w:webHidden/>
          </w:rPr>
          <w:instrText xml:space="preserve"> PAGEREF _Toc224819171 \h </w:instrText>
        </w:r>
        <w:r>
          <w:rPr>
            <w:webHidden/>
          </w:rPr>
        </w:r>
        <w:r>
          <w:rPr>
            <w:webHidden/>
          </w:rPr>
          <w:fldChar w:fldCharType="separate"/>
        </w:r>
        <w:r w:rsidR="00AA17AB">
          <w:rPr>
            <w:webHidden/>
          </w:rPr>
          <w:t>261</w:t>
        </w:r>
        <w:r>
          <w:rPr>
            <w:webHidden/>
          </w:rPr>
          <w:fldChar w:fldCharType="end"/>
        </w:r>
      </w:hyperlink>
    </w:p>
    <w:p w14:paraId="0BC30F46" w14:textId="6B68AF35" w:rsidR="00E67799" w:rsidRDefault="00E67799" w:rsidP="00676FBC">
      <w:pPr>
        <w:pStyle w:val="TOC3"/>
        <w:keepNext/>
        <w:rPr>
          <w:rFonts w:asciiTheme="minorHAnsi" w:eastAsiaTheme="minorEastAsia" w:hAnsiTheme="minorHAnsi" w:cstheme="minorBidi"/>
          <w:color w:val="auto"/>
          <w:kern w:val="2"/>
          <w:szCs w:val="24"/>
          <w14:ligatures w14:val="standardContextual"/>
        </w:rPr>
      </w:pPr>
      <w:hyperlink w:anchor="_Toc224819172" w:history="1">
        <w:r w:rsidRPr="00FC437C">
          <w:rPr>
            <w:rStyle w:val="Hyperlink"/>
          </w:rPr>
          <w:t>§1737.</w:t>
        </w:r>
        <w:r>
          <w:rPr>
            <w:rFonts w:asciiTheme="minorHAnsi" w:eastAsiaTheme="minorEastAsia" w:hAnsiTheme="minorHAnsi" w:cstheme="minorBidi"/>
            <w:color w:val="auto"/>
            <w:kern w:val="2"/>
            <w:szCs w:val="24"/>
            <w14:ligatures w14:val="standardContextual"/>
          </w:rPr>
          <w:tab/>
        </w:r>
        <w:r w:rsidRPr="00FC437C">
          <w:rPr>
            <w:rStyle w:val="Hyperlink"/>
          </w:rPr>
          <w:t>Chronic Wasting Disease; Enforcement</w:t>
        </w:r>
        <w:r>
          <w:rPr>
            <w:webHidden/>
          </w:rPr>
          <w:tab/>
        </w:r>
        <w:r>
          <w:rPr>
            <w:webHidden/>
          </w:rPr>
          <w:fldChar w:fldCharType="begin"/>
        </w:r>
        <w:r>
          <w:rPr>
            <w:webHidden/>
          </w:rPr>
          <w:instrText xml:space="preserve"> PAGEREF _Toc224819172 \h </w:instrText>
        </w:r>
        <w:r>
          <w:rPr>
            <w:webHidden/>
          </w:rPr>
        </w:r>
        <w:r>
          <w:rPr>
            <w:webHidden/>
          </w:rPr>
          <w:fldChar w:fldCharType="separate"/>
        </w:r>
        <w:r w:rsidR="00AA17AB">
          <w:rPr>
            <w:webHidden/>
          </w:rPr>
          <w:t>261</w:t>
        </w:r>
        <w:r>
          <w:rPr>
            <w:webHidden/>
          </w:rPr>
          <w:fldChar w:fldCharType="end"/>
        </w:r>
      </w:hyperlink>
    </w:p>
    <w:p w14:paraId="552D9D16" w14:textId="3A1E4E1F" w:rsidR="00E67799" w:rsidRDefault="00E67799">
      <w:pPr>
        <w:pStyle w:val="TOC2"/>
        <w:rPr>
          <w:rFonts w:asciiTheme="minorHAnsi" w:eastAsiaTheme="minorEastAsia" w:hAnsiTheme="minorHAnsi" w:cstheme="minorBidi"/>
          <w:kern w:val="2"/>
          <w:szCs w:val="24"/>
          <w14:ligatures w14:val="standardContextual"/>
        </w:rPr>
      </w:pPr>
      <w:hyperlink w:anchor="_Toc224819173" w:history="1">
        <w:r w:rsidRPr="00FC437C">
          <w:rPr>
            <w:rStyle w:val="Hyperlink"/>
          </w:rPr>
          <w:t>Chapter 19.</w:t>
        </w:r>
        <w:r>
          <w:rPr>
            <w:rFonts w:asciiTheme="minorHAnsi" w:eastAsiaTheme="minorEastAsia" w:hAnsiTheme="minorHAnsi" w:cstheme="minorBidi"/>
            <w:kern w:val="2"/>
            <w:szCs w:val="24"/>
            <w14:ligatures w14:val="standardContextual"/>
          </w:rPr>
          <w:tab/>
        </w:r>
        <w:r w:rsidRPr="00FC437C">
          <w:rPr>
            <w:rStyle w:val="Hyperlink"/>
          </w:rPr>
          <w:t>Turtles</w:t>
        </w:r>
        <w:r>
          <w:rPr>
            <w:webHidden/>
          </w:rPr>
          <w:tab/>
        </w:r>
        <w:r>
          <w:rPr>
            <w:webHidden/>
          </w:rPr>
          <w:fldChar w:fldCharType="begin"/>
        </w:r>
        <w:r>
          <w:rPr>
            <w:webHidden/>
          </w:rPr>
          <w:instrText xml:space="preserve"> PAGEREF _Toc224819173 \h </w:instrText>
        </w:r>
        <w:r>
          <w:rPr>
            <w:webHidden/>
          </w:rPr>
        </w:r>
        <w:r>
          <w:rPr>
            <w:webHidden/>
          </w:rPr>
          <w:fldChar w:fldCharType="separate"/>
        </w:r>
        <w:r w:rsidR="00AA17AB">
          <w:rPr>
            <w:webHidden/>
          </w:rPr>
          <w:t>261</w:t>
        </w:r>
        <w:r>
          <w:rPr>
            <w:webHidden/>
          </w:rPr>
          <w:fldChar w:fldCharType="end"/>
        </w:r>
      </w:hyperlink>
    </w:p>
    <w:p w14:paraId="51F038B9" w14:textId="39E6D7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4" w:history="1">
        <w:r w:rsidRPr="00FC437C">
          <w:rPr>
            <w:rStyle w:val="Hyperlink"/>
          </w:rPr>
          <w:t>§1901.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_Toc224819174 \h </w:instrText>
        </w:r>
        <w:r>
          <w:rPr>
            <w:webHidden/>
          </w:rPr>
        </w:r>
        <w:r>
          <w:rPr>
            <w:webHidden/>
          </w:rPr>
          <w:fldChar w:fldCharType="separate"/>
        </w:r>
        <w:r w:rsidR="00AA17AB">
          <w:rPr>
            <w:webHidden/>
          </w:rPr>
          <w:t>261</w:t>
        </w:r>
        <w:r>
          <w:rPr>
            <w:webHidden/>
          </w:rPr>
          <w:fldChar w:fldCharType="end"/>
        </w:r>
      </w:hyperlink>
    </w:p>
    <w:p w14:paraId="07BCE1FC" w14:textId="3F55F36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5" w:history="1">
        <w:r w:rsidRPr="00FC437C">
          <w:rPr>
            <w:rStyle w:val="Hyperlink"/>
          </w:rPr>
          <w:t>§1903.</w:t>
        </w:r>
        <w:r>
          <w:rPr>
            <w:rFonts w:asciiTheme="minorHAnsi" w:eastAsiaTheme="minorEastAsia" w:hAnsiTheme="minorHAnsi" w:cstheme="minorBidi"/>
            <w:color w:val="auto"/>
            <w:kern w:val="2"/>
            <w:szCs w:val="24"/>
            <w14:ligatures w14:val="standardContextual"/>
          </w:rPr>
          <w:tab/>
        </w:r>
        <w:r w:rsidRPr="00FC437C">
          <w:rPr>
            <w:rStyle w:val="Hyperlink"/>
          </w:rPr>
          <w:t>Requirements for Turtle Farms</w:t>
        </w:r>
        <w:r>
          <w:rPr>
            <w:webHidden/>
          </w:rPr>
          <w:tab/>
        </w:r>
        <w:r>
          <w:rPr>
            <w:webHidden/>
          </w:rPr>
          <w:fldChar w:fldCharType="begin"/>
        </w:r>
        <w:r>
          <w:rPr>
            <w:webHidden/>
          </w:rPr>
          <w:instrText xml:space="preserve"> PAGEREF _Toc224819175 \h </w:instrText>
        </w:r>
        <w:r>
          <w:rPr>
            <w:webHidden/>
          </w:rPr>
        </w:r>
        <w:r>
          <w:rPr>
            <w:webHidden/>
          </w:rPr>
          <w:fldChar w:fldCharType="separate"/>
        </w:r>
        <w:r w:rsidR="00AA17AB">
          <w:rPr>
            <w:webHidden/>
          </w:rPr>
          <w:t>262</w:t>
        </w:r>
        <w:r>
          <w:rPr>
            <w:webHidden/>
          </w:rPr>
          <w:fldChar w:fldCharType="end"/>
        </w:r>
      </w:hyperlink>
    </w:p>
    <w:p w14:paraId="74362CAD" w14:textId="4C094DF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6" w:history="1">
        <w:r w:rsidRPr="00FC437C">
          <w:rPr>
            <w:rStyle w:val="Hyperlink"/>
          </w:rPr>
          <w:t>§1905.</w:t>
        </w:r>
        <w:r>
          <w:rPr>
            <w:rFonts w:asciiTheme="minorHAnsi" w:eastAsiaTheme="minorEastAsia" w:hAnsiTheme="minorHAnsi" w:cstheme="minorBidi"/>
            <w:color w:val="auto"/>
            <w:kern w:val="2"/>
            <w:szCs w:val="24"/>
            <w14:ligatures w14:val="standardContextual"/>
          </w:rPr>
          <w:tab/>
        </w:r>
        <w:r w:rsidRPr="00FC437C">
          <w:rPr>
            <w:rStyle w:val="Hyperlink"/>
          </w:rPr>
          <w:t>Inspections</w:t>
        </w:r>
        <w:r>
          <w:rPr>
            <w:webHidden/>
          </w:rPr>
          <w:tab/>
        </w:r>
        <w:r>
          <w:rPr>
            <w:webHidden/>
          </w:rPr>
          <w:fldChar w:fldCharType="begin"/>
        </w:r>
        <w:r>
          <w:rPr>
            <w:webHidden/>
          </w:rPr>
          <w:instrText xml:space="preserve"> PAGEREF _Toc224819176 \h </w:instrText>
        </w:r>
        <w:r>
          <w:rPr>
            <w:webHidden/>
          </w:rPr>
        </w:r>
        <w:r>
          <w:rPr>
            <w:webHidden/>
          </w:rPr>
          <w:fldChar w:fldCharType="separate"/>
        </w:r>
        <w:r w:rsidR="00AA17AB">
          <w:rPr>
            <w:webHidden/>
          </w:rPr>
          <w:t>262</w:t>
        </w:r>
        <w:r>
          <w:rPr>
            <w:webHidden/>
          </w:rPr>
          <w:fldChar w:fldCharType="end"/>
        </w:r>
      </w:hyperlink>
    </w:p>
    <w:p w14:paraId="5D5CE886" w14:textId="1677306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7" w:history="1">
        <w:r w:rsidRPr="00FC437C">
          <w:rPr>
            <w:rStyle w:val="Hyperlink"/>
          </w:rPr>
          <w:t>§1909.</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_Toc224819177 \h </w:instrText>
        </w:r>
        <w:r>
          <w:rPr>
            <w:webHidden/>
          </w:rPr>
        </w:r>
        <w:r>
          <w:rPr>
            <w:webHidden/>
          </w:rPr>
          <w:fldChar w:fldCharType="separate"/>
        </w:r>
        <w:r w:rsidR="00AA17AB">
          <w:rPr>
            <w:webHidden/>
          </w:rPr>
          <w:t>263</w:t>
        </w:r>
        <w:r>
          <w:rPr>
            <w:webHidden/>
          </w:rPr>
          <w:fldChar w:fldCharType="end"/>
        </w:r>
      </w:hyperlink>
    </w:p>
    <w:p w14:paraId="50514A4D" w14:textId="75DC21E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8" w:history="1">
        <w:r w:rsidRPr="00FC437C">
          <w:rPr>
            <w:rStyle w:val="Hyperlink"/>
          </w:rPr>
          <w:t>§1911.</w:t>
        </w:r>
        <w:r>
          <w:rPr>
            <w:rFonts w:asciiTheme="minorHAnsi" w:eastAsiaTheme="minorEastAsia" w:hAnsiTheme="minorHAnsi" w:cstheme="minorBidi"/>
            <w:color w:val="auto"/>
            <w:kern w:val="2"/>
            <w:szCs w:val="24"/>
            <w14:ligatures w14:val="standardContextual"/>
          </w:rPr>
          <w:tab/>
        </w:r>
        <w:r w:rsidRPr="00FC437C">
          <w:rPr>
            <w:rStyle w:val="Hyperlink"/>
          </w:rPr>
          <w:t>Identification of Lots of Turtles and Turtle Eggs</w:t>
        </w:r>
        <w:r>
          <w:rPr>
            <w:webHidden/>
          </w:rPr>
          <w:tab/>
        </w:r>
        <w:r>
          <w:rPr>
            <w:webHidden/>
          </w:rPr>
          <w:fldChar w:fldCharType="begin"/>
        </w:r>
        <w:r>
          <w:rPr>
            <w:webHidden/>
          </w:rPr>
          <w:instrText xml:space="preserve"> PAGEREF _Toc224819178 \h </w:instrText>
        </w:r>
        <w:r>
          <w:rPr>
            <w:webHidden/>
          </w:rPr>
        </w:r>
        <w:r>
          <w:rPr>
            <w:webHidden/>
          </w:rPr>
          <w:fldChar w:fldCharType="separate"/>
        </w:r>
        <w:r w:rsidR="00AA17AB">
          <w:rPr>
            <w:webHidden/>
          </w:rPr>
          <w:t>263</w:t>
        </w:r>
        <w:r>
          <w:rPr>
            <w:webHidden/>
          </w:rPr>
          <w:fldChar w:fldCharType="end"/>
        </w:r>
      </w:hyperlink>
    </w:p>
    <w:p w14:paraId="599C3BD8" w14:textId="2A46BB5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79" w:history="1">
        <w:r w:rsidRPr="00FC437C">
          <w:rPr>
            <w:rStyle w:val="Hyperlink"/>
          </w:rPr>
          <w:t>§1913.</w:t>
        </w:r>
        <w:r>
          <w:rPr>
            <w:rFonts w:asciiTheme="minorHAnsi" w:eastAsiaTheme="minorEastAsia" w:hAnsiTheme="minorHAnsi" w:cstheme="minorBidi"/>
            <w:color w:val="auto"/>
            <w:kern w:val="2"/>
            <w:szCs w:val="24"/>
            <w14:ligatures w14:val="standardContextual"/>
          </w:rPr>
          <w:tab/>
        </w:r>
        <w:r w:rsidRPr="00FC437C">
          <w:rPr>
            <w:rStyle w:val="Hyperlink"/>
          </w:rPr>
          <w:t>Microbiological Test Procedures</w:t>
        </w:r>
        <w:r>
          <w:rPr>
            <w:webHidden/>
          </w:rPr>
          <w:tab/>
        </w:r>
        <w:r>
          <w:rPr>
            <w:webHidden/>
          </w:rPr>
          <w:fldChar w:fldCharType="begin"/>
        </w:r>
        <w:r>
          <w:rPr>
            <w:webHidden/>
          </w:rPr>
          <w:instrText xml:space="preserve"> PAGEREF _Toc224819179 \h </w:instrText>
        </w:r>
        <w:r>
          <w:rPr>
            <w:webHidden/>
          </w:rPr>
        </w:r>
        <w:r>
          <w:rPr>
            <w:webHidden/>
          </w:rPr>
          <w:fldChar w:fldCharType="separate"/>
        </w:r>
        <w:r w:rsidR="00AA17AB">
          <w:rPr>
            <w:webHidden/>
          </w:rPr>
          <w:t>263</w:t>
        </w:r>
        <w:r>
          <w:rPr>
            <w:webHidden/>
          </w:rPr>
          <w:fldChar w:fldCharType="end"/>
        </w:r>
      </w:hyperlink>
    </w:p>
    <w:p w14:paraId="59B0BF6F" w14:textId="2185A8D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0" w:history="1">
        <w:r w:rsidRPr="00FC437C">
          <w:rPr>
            <w:rStyle w:val="Hyperlink"/>
          </w:rPr>
          <w:t>§1917.</w:t>
        </w:r>
        <w:r>
          <w:rPr>
            <w:rFonts w:asciiTheme="minorHAnsi" w:eastAsiaTheme="minorEastAsia" w:hAnsiTheme="minorHAnsi" w:cstheme="minorBidi"/>
            <w:color w:val="auto"/>
            <w:kern w:val="2"/>
            <w:szCs w:val="24"/>
            <w14:ligatures w14:val="standardContextual"/>
          </w:rPr>
          <w:tab/>
        </w:r>
        <w:r w:rsidRPr="00FC437C">
          <w:rPr>
            <w:rStyle w:val="Hyperlink"/>
          </w:rPr>
          <w:t>Quarantine (Formerly §2315)</w:t>
        </w:r>
        <w:r>
          <w:rPr>
            <w:webHidden/>
          </w:rPr>
          <w:tab/>
        </w:r>
        <w:r>
          <w:rPr>
            <w:webHidden/>
          </w:rPr>
          <w:fldChar w:fldCharType="begin"/>
        </w:r>
        <w:r>
          <w:rPr>
            <w:webHidden/>
          </w:rPr>
          <w:instrText xml:space="preserve"> PAGEREF _Toc224819180 \h </w:instrText>
        </w:r>
        <w:r>
          <w:rPr>
            <w:webHidden/>
          </w:rPr>
        </w:r>
        <w:r>
          <w:rPr>
            <w:webHidden/>
          </w:rPr>
          <w:fldChar w:fldCharType="separate"/>
        </w:r>
        <w:r w:rsidR="00AA17AB">
          <w:rPr>
            <w:webHidden/>
          </w:rPr>
          <w:t>264</w:t>
        </w:r>
        <w:r>
          <w:rPr>
            <w:webHidden/>
          </w:rPr>
          <w:fldChar w:fldCharType="end"/>
        </w:r>
      </w:hyperlink>
    </w:p>
    <w:p w14:paraId="6CACE9BA" w14:textId="618AA11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1" w:history="1">
        <w:r w:rsidRPr="00FC437C">
          <w:rPr>
            <w:rStyle w:val="Hyperlink"/>
          </w:rPr>
          <w:t>§1919.</w:t>
        </w:r>
        <w:r>
          <w:rPr>
            <w:rFonts w:asciiTheme="minorHAnsi" w:eastAsiaTheme="minorEastAsia" w:hAnsiTheme="minorHAnsi" w:cstheme="minorBidi"/>
            <w:color w:val="auto"/>
            <w:kern w:val="2"/>
            <w:szCs w:val="24"/>
            <w14:ligatures w14:val="standardContextual"/>
          </w:rPr>
          <w:tab/>
        </w:r>
        <w:r w:rsidRPr="00FC437C">
          <w:rPr>
            <w:rStyle w:val="Hyperlink"/>
          </w:rPr>
          <w:t>Form and Content of Records</w:t>
        </w:r>
        <w:r>
          <w:rPr>
            <w:webHidden/>
          </w:rPr>
          <w:tab/>
        </w:r>
        <w:r>
          <w:rPr>
            <w:webHidden/>
          </w:rPr>
          <w:fldChar w:fldCharType="begin"/>
        </w:r>
        <w:r>
          <w:rPr>
            <w:webHidden/>
          </w:rPr>
          <w:instrText xml:space="preserve"> PAGEREF _Toc224819181 \h </w:instrText>
        </w:r>
        <w:r>
          <w:rPr>
            <w:webHidden/>
          </w:rPr>
        </w:r>
        <w:r>
          <w:rPr>
            <w:webHidden/>
          </w:rPr>
          <w:fldChar w:fldCharType="separate"/>
        </w:r>
        <w:r w:rsidR="00AA17AB">
          <w:rPr>
            <w:webHidden/>
          </w:rPr>
          <w:t>264</w:t>
        </w:r>
        <w:r>
          <w:rPr>
            <w:webHidden/>
          </w:rPr>
          <w:fldChar w:fldCharType="end"/>
        </w:r>
      </w:hyperlink>
    </w:p>
    <w:p w14:paraId="408F6DB2" w14:textId="0BF4821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2" w:history="1">
        <w:r w:rsidRPr="00FC437C">
          <w:rPr>
            <w:rStyle w:val="Hyperlink"/>
          </w:rPr>
          <w:t>§1921.</w:t>
        </w:r>
        <w:r>
          <w:rPr>
            <w:rFonts w:asciiTheme="minorHAnsi" w:eastAsiaTheme="minorEastAsia" w:hAnsiTheme="minorHAnsi" w:cstheme="minorBidi"/>
            <w:color w:val="auto"/>
            <w:kern w:val="2"/>
            <w:szCs w:val="24"/>
            <w14:ligatures w14:val="standardContextual"/>
          </w:rPr>
          <w:tab/>
        </w:r>
        <w:r w:rsidRPr="00FC437C">
          <w:rPr>
            <w:rStyle w:val="Hyperlink"/>
          </w:rPr>
          <w:t>Certified Turtle Farmers; Licensing</w:t>
        </w:r>
        <w:r>
          <w:rPr>
            <w:webHidden/>
          </w:rPr>
          <w:tab/>
        </w:r>
        <w:r>
          <w:rPr>
            <w:webHidden/>
          </w:rPr>
          <w:fldChar w:fldCharType="begin"/>
        </w:r>
        <w:r>
          <w:rPr>
            <w:webHidden/>
          </w:rPr>
          <w:instrText xml:space="preserve"> PAGEREF _Toc224819182 \h </w:instrText>
        </w:r>
        <w:r>
          <w:rPr>
            <w:webHidden/>
          </w:rPr>
        </w:r>
        <w:r>
          <w:rPr>
            <w:webHidden/>
          </w:rPr>
          <w:fldChar w:fldCharType="separate"/>
        </w:r>
        <w:r w:rsidR="00AA17AB">
          <w:rPr>
            <w:webHidden/>
          </w:rPr>
          <w:t>264</w:t>
        </w:r>
        <w:r>
          <w:rPr>
            <w:webHidden/>
          </w:rPr>
          <w:fldChar w:fldCharType="end"/>
        </w:r>
      </w:hyperlink>
    </w:p>
    <w:p w14:paraId="59701982" w14:textId="6577D0F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3" w:history="1">
        <w:r w:rsidRPr="00FC437C">
          <w:rPr>
            <w:rStyle w:val="Hyperlink"/>
          </w:rPr>
          <w:t>§1925.</w:t>
        </w:r>
        <w:r>
          <w:rPr>
            <w:rFonts w:asciiTheme="minorHAnsi" w:eastAsiaTheme="minorEastAsia" w:hAnsiTheme="minorHAnsi" w:cstheme="minorBidi"/>
            <w:color w:val="auto"/>
            <w:kern w:val="2"/>
            <w:szCs w:val="24"/>
            <w14:ligatures w14:val="standardContextual"/>
          </w:rPr>
          <w:tab/>
        </w:r>
        <w:r w:rsidRPr="00FC437C">
          <w:rPr>
            <w:rStyle w:val="Hyperlink"/>
          </w:rPr>
          <w:t>Authority of Agents to Enter Premises</w:t>
        </w:r>
        <w:r>
          <w:rPr>
            <w:webHidden/>
          </w:rPr>
          <w:tab/>
        </w:r>
        <w:r>
          <w:rPr>
            <w:webHidden/>
          </w:rPr>
          <w:fldChar w:fldCharType="begin"/>
        </w:r>
        <w:r>
          <w:rPr>
            <w:webHidden/>
          </w:rPr>
          <w:instrText xml:space="preserve"> PAGEREF _Toc224819183 \h </w:instrText>
        </w:r>
        <w:r>
          <w:rPr>
            <w:webHidden/>
          </w:rPr>
        </w:r>
        <w:r>
          <w:rPr>
            <w:webHidden/>
          </w:rPr>
          <w:fldChar w:fldCharType="separate"/>
        </w:r>
        <w:r w:rsidR="00AA17AB">
          <w:rPr>
            <w:webHidden/>
          </w:rPr>
          <w:t>265</w:t>
        </w:r>
        <w:r>
          <w:rPr>
            <w:webHidden/>
          </w:rPr>
          <w:fldChar w:fldCharType="end"/>
        </w:r>
      </w:hyperlink>
    </w:p>
    <w:p w14:paraId="3C8F73E2" w14:textId="59A6CAF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4" w:history="1">
        <w:r w:rsidRPr="00FC437C">
          <w:rPr>
            <w:rStyle w:val="Hyperlink"/>
          </w:rPr>
          <w:t>§1929.</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_Toc224819184 \h </w:instrText>
        </w:r>
        <w:r>
          <w:rPr>
            <w:webHidden/>
          </w:rPr>
        </w:r>
        <w:r>
          <w:rPr>
            <w:webHidden/>
          </w:rPr>
          <w:fldChar w:fldCharType="separate"/>
        </w:r>
        <w:r w:rsidR="00AA17AB">
          <w:rPr>
            <w:webHidden/>
          </w:rPr>
          <w:t>265</w:t>
        </w:r>
        <w:r>
          <w:rPr>
            <w:webHidden/>
          </w:rPr>
          <w:fldChar w:fldCharType="end"/>
        </w:r>
      </w:hyperlink>
    </w:p>
    <w:p w14:paraId="665D6EE7" w14:textId="0A7E8F0E" w:rsidR="00E67799" w:rsidRDefault="00E67799">
      <w:pPr>
        <w:pStyle w:val="TOC2"/>
        <w:rPr>
          <w:rFonts w:asciiTheme="minorHAnsi" w:eastAsiaTheme="minorEastAsia" w:hAnsiTheme="minorHAnsi" w:cstheme="minorBidi"/>
          <w:kern w:val="2"/>
          <w:szCs w:val="24"/>
          <w14:ligatures w14:val="standardContextual"/>
        </w:rPr>
      </w:pPr>
      <w:hyperlink w:anchor="_Toc224819185" w:history="1">
        <w:r w:rsidRPr="00FC437C">
          <w:rPr>
            <w:rStyle w:val="Hyperlink"/>
          </w:rPr>
          <w:t>Chapter 21.</w:t>
        </w:r>
        <w:r>
          <w:rPr>
            <w:rFonts w:asciiTheme="minorHAnsi" w:eastAsiaTheme="minorEastAsia" w:hAnsiTheme="minorHAnsi" w:cstheme="minorBidi"/>
            <w:kern w:val="2"/>
            <w:szCs w:val="24"/>
            <w14:ligatures w14:val="standardContextual"/>
          </w:rPr>
          <w:tab/>
        </w:r>
        <w:r w:rsidRPr="00FC437C">
          <w:rPr>
            <w:rStyle w:val="Hyperlink"/>
          </w:rPr>
          <w:t xml:space="preserve">Animal Care Standards for Bovine, Equine, Poultry, Porcine, Ovine, and Caprine </w:t>
        </w:r>
        <w:r w:rsidR="00676FBC">
          <w:rPr>
            <w:rStyle w:val="Hyperlink"/>
          </w:rPr>
          <w:br/>
        </w:r>
        <w:r w:rsidRPr="00FC437C">
          <w:rPr>
            <w:rStyle w:val="Hyperlink"/>
          </w:rPr>
          <w:t>(Formerly Chapter 31)</w:t>
        </w:r>
        <w:r>
          <w:rPr>
            <w:webHidden/>
          </w:rPr>
          <w:tab/>
        </w:r>
        <w:r>
          <w:rPr>
            <w:webHidden/>
          </w:rPr>
          <w:fldChar w:fldCharType="begin"/>
        </w:r>
        <w:r>
          <w:rPr>
            <w:webHidden/>
          </w:rPr>
          <w:instrText xml:space="preserve"> PAGEREF _Toc224819185 \h </w:instrText>
        </w:r>
        <w:r>
          <w:rPr>
            <w:webHidden/>
          </w:rPr>
        </w:r>
        <w:r>
          <w:rPr>
            <w:webHidden/>
          </w:rPr>
          <w:fldChar w:fldCharType="separate"/>
        </w:r>
        <w:r w:rsidR="00AA17AB">
          <w:rPr>
            <w:webHidden/>
          </w:rPr>
          <w:t>265</w:t>
        </w:r>
        <w:r>
          <w:rPr>
            <w:webHidden/>
          </w:rPr>
          <w:fldChar w:fldCharType="end"/>
        </w:r>
      </w:hyperlink>
    </w:p>
    <w:p w14:paraId="297490E6" w14:textId="0051424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6" w:history="1">
        <w:r w:rsidRPr="00FC437C">
          <w:rPr>
            <w:rStyle w:val="Hyperlink"/>
            <w:rFonts w:eastAsia="Calibri"/>
          </w:rPr>
          <w:t>§2101.</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Definitions (Formerly §3101)</w:t>
        </w:r>
        <w:r>
          <w:rPr>
            <w:webHidden/>
          </w:rPr>
          <w:tab/>
        </w:r>
        <w:r>
          <w:rPr>
            <w:webHidden/>
          </w:rPr>
          <w:fldChar w:fldCharType="begin"/>
        </w:r>
        <w:r>
          <w:rPr>
            <w:webHidden/>
          </w:rPr>
          <w:instrText xml:space="preserve"> PAGEREF _Toc224819186 \h </w:instrText>
        </w:r>
        <w:r>
          <w:rPr>
            <w:webHidden/>
          </w:rPr>
        </w:r>
        <w:r>
          <w:rPr>
            <w:webHidden/>
          </w:rPr>
          <w:fldChar w:fldCharType="separate"/>
        </w:r>
        <w:r w:rsidR="00AA17AB">
          <w:rPr>
            <w:webHidden/>
          </w:rPr>
          <w:t>265</w:t>
        </w:r>
        <w:r>
          <w:rPr>
            <w:webHidden/>
          </w:rPr>
          <w:fldChar w:fldCharType="end"/>
        </w:r>
      </w:hyperlink>
    </w:p>
    <w:p w14:paraId="77E7A07E" w14:textId="5053C3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7" w:history="1">
        <w:r w:rsidRPr="00FC437C">
          <w:rPr>
            <w:rStyle w:val="Hyperlink"/>
            <w:rFonts w:eastAsia="Calibri"/>
          </w:rPr>
          <w:t>§2103.</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General Standards that Apply to the Production of All Animals (Formerly §3103)</w:t>
        </w:r>
        <w:r>
          <w:rPr>
            <w:webHidden/>
          </w:rPr>
          <w:tab/>
        </w:r>
        <w:r>
          <w:rPr>
            <w:webHidden/>
          </w:rPr>
          <w:fldChar w:fldCharType="begin"/>
        </w:r>
        <w:r>
          <w:rPr>
            <w:webHidden/>
          </w:rPr>
          <w:instrText xml:space="preserve"> PAGEREF _Toc224819187 \h </w:instrText>
        </w:r>
        <w:r>
          <w:rPr>
            <w:webHidden/>
          </w:rPr>
        </w:r>
        <w:r>
          <w:rPr>
            <w:webHidden/>
          </w:rPr>
          <w:fldChar w:fldCharType="separate"/>
        </w:r>
        <w:r w:rsidR="00AA17AB">
          <w:rPr>
            <w:webHidden/>
          </w:rPr>
          <w:t>267</w:t>
        </w:r>
        <w:r>
          <w:rPr>
            <w:webHidden/>
          </w:rPr>
          <w:fldChar w:fldCharType="end"/>
        </w:r>
      </w:hyperlink>
    </w:p>
    <w:p w14:paraId="0C04F2EB" w14:textId="3EA28B9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8" w:history="1">
        <w:r w:rsidRPr="00FC437C">
          <w:rPr>
            <w:rStyle w:val="Hyperlink"/>
            <w:rFonts w:eastAsia="Calibri"/>
          </w:rPr>
          <w:t>§2105.</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Beef and Dairy Cattle (Formerly §3105)</w:t>
        </w:r>
        <w:r>
          <w:rPr>
            <w:webHidden/>
          </w:rPr>
          <w:tab/>
        </w:r>
        <w:r>
          <w:rPr>
            <w:webHidden/>
          </w:rPr>
          <w:fldChar w:fldCharType="begin"/>
        </w:r>
        <w:r>
          <w:rPr>
            <w:webHidden/>
          </w:rPr>
          <w:instrText xml:space="preserve"> PAGEREF _Toc224819188 \h </w:instrText>
        </w:r>
        <w:r>
          <w:rPr>
            <w:webHidden/>
          </w:rPr>
        </w:r>
        <w:r>
          <w:rPr>
            <w:webHidden/>
          </w:rPr>
          <w:fldChar w:fldCharType="separate"/>
        </w:r>
        <w:r w:rsidR="00AA17AB">
          <w:rPr>
            <w:webHidden/>
          </w:rPr>
          <w:t>269</w:t>
        </w:r>
        <w:r>
          <w:rPr>
            <w:webHidden/>
          </w:rPr>
          <w:fldChar w:fldCharType="end"/>
        </w:r>
      </w:hyperlink>
    </w:p>
    <w:p w14:paraId="34E7DFA3" w14:textId="4CF29B2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89" w:history="1">
        <w:r w:rsidRPr="00FC437C">
          <w:rPr>
            <w:rStyle w:val="Hyperlink"/>
            <w:rFonts w:eastAsia="Calibri"/>
          </w:rPr>
          <w:t>§2107.</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Equine (Formerly §3107)</w:t>
        </w:r>
        <w:r>
          <w:rPr>
            <w:webHidden/>
          </w:rPr>
          <w:tab/>
        </w:r>
        <w:r>
          <w:rPr>
            <w:webHidden/>
          </w:rPr>
          <w:fldChar w:fldCharType="begin"/>
        </w:r>
        <w:r>
          <w:rPr>
            <w:webHidden/>
          </w:rPr>
          <w:instrText xml:space="preserve"> PAGEREF _Toc224819189 \h </w:instrText>
        </w:r>
        <w:r>
          <w:rPr>
            <w:webHidden/>
          </w:rPr>
        </w:r>
        <w:r>
          <w:rPr>
            <w:webHidden/>
          </w:rPr>
          <w:fldChar w:fldCharType="separate"/>
        </w:r>
        <w:r w:rsidR="00AA17AB">
          <w:rPr>
            <w:webHidden/>
          </w:rPr>
          <w:t>269</w:t>
        </w:r>
        <w:r>
          <w:rPr>
            <w:webHidden/>
          </w:rPr>
          <w:fldChar w:fldCharType="end"/>
        </w:r>
      </w:hyperlink>
    </w:p>
    <w:p w14:paraId="3E7B47E2" w14:textId="60FB14B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0" w:history="1">
        <w:r w:rsidRPr="00FC437C">
          <w:rPr>
            <w:rStyle w:val="Hyperlink"/>
            <w:rFonts w:eastAsia="Calibri"/>
          </w:rPr>
          <w:t>§2109.</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 xml:space="preserve">Poultry </w:t>
        </w:r>
        <w:r w:rsidRPr="00FC437C">
          <w:rPr>
            <w:rStyle w:val="Hyperlink"/>
          </w:rPr>
          <w:t>(Formerly §3113)</w:t>
        </w:r>
        <w:r>
          <w:rPr>
            <w:webHidden/>
          </w:rPr>
          <w:tab/>
        </w:r>
        <w:r>
          <w:rPr>
            <w:webHidden/>
          </w:rPr>
          <w:fldChar w:fldCharType="begin"/>
        </w:r>
        <w:r>
          <w:rPr>
            <w:webHidden/>
          </w:rPr>
          <w:instrText xml:space="preserve"> PAGEREF _Toc224819190 \h </w:instrText>
        </w:r>
        <w:r>
          <w:rPr>
            <w:webHidden/>
          </w:rPr>
        </w:r>
        <w:r>
          <w:rPr>
            <w:webHidden/>
          </w:rPr>
          <w:fldChar w:fldCharType="separate"/>
        </w:r>
        <w:r w:rsidR="00AA17AB">
          <w:rPr>
            <w:webHidden/>
          </w:rPr>
          <w:t>270</w:t>
        </w:r>
        <w:r>
          <w:rPr>
            <w:webHidden/>
          </w:rPr>
          <w:fldChar w:fldCharType="end"/>
        </w:r>
      </w:hyperlink>
    </w:p>
    <w:p w14:paraId="1A817083" w14:textId="104268E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1" w:history="1">
        <w:r w:rsidRPr="00FC437C">
          <w:rPr>
            <w:rStyle w:val="Hyperlink"/>
            <w:rFonts w:eastAsia="Calibri"/>
          </w:rPr>
          <w:t>§2111.</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Porcine (Formerly §3109)</w:t>
        </w:r>
        <w:r>
          <w:rPr>
            <w:webHidden/>
          </w:rPr>
          <w:tab/>
        </w:r>
        <w:r>
          <w:rPr>
            <w:webHidden/>
          </w:rPr>
          <w:fldChar w:fldCharType="begin"/>
        </w:r>
        <w:r>
          <w:rPr>
            <w:webHidden/>
          </w:rPr>
          <w:instrText xml:space="preserve"> PAGEREF _Toc224819191 \h </w:instrText>
        </w:r>
        <w:r>
          <w:rPr>
            <w:webHidden/>
          </w:rPr>
        </w:r>
        <w:r>
          <w:rPr>
            <w:webHidden/>
          </w:rPr>
          <w:fldChar w:fldCharType="separate"/>
        </w:r>
        <w:r w:rsidR="00AA17AB">
          <w:rPr>
            <w:webHidden/>
          </w:rPr>
          <w:t>272</w:t>
        </w:r>
        <w:r>
          <w:rPr>
            <w:webHidden/>
          </w:rPr>
          <w:fldChar w:fldCharType="end"/>
        </w:r>
      </w:hyperlink>
    </w:p>
    <w:p w14:paraId="72C60909" w14:textId="621622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2" w:history="1">
        <w:r w:rsidRPr="00FC437C">
          <w:rPr>
            <w:rStyle w:val="Hyperlink"/>
            <w:rFonts w:eastAsia="Calibri"/>
          </w:rPr>
          <w:t>§2113.</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Ovine and Caprine (Small Ruminants) (Formerly §3111)</w:t>
        </w:r>
        <w:r>
          <w:rPr>
            <w:webHidden/>
          </w:rPr>
          <w:tab/>
        </w:r>
        <w:r>
          <w:rPr>
            <w:webHidden/>
          </w:rPr>
          <w:fldChar w:fldCharType="begin"/>
        </w:r>
        <w:r>
          <w:rPr>
            <w:webHidden/>
          </w:rPr>
          <w:instrText xml:space="preserve"> PAGEREF _Toc224819192 \h </w:instrText>
        </w:r>
        <w:r>
          <w:rPr>
            <w:webHidden/>
          </w:rPr>
        </w:r>
        <w:r>
          <w:rPr>
            <w:webHidden/>
          </w:rPr>
          <w:fldChar w:fldCharType="separate"/>
        </w:r>
        <w:r w:rsidR="00AA17AB">
          <w:rPr>
            <w:webHidden/>
          </w:rPr>
          <w:t>272</w:t>
        </w:r>
        <w:r>
          <w:rPr>
            <w:webHidden/>
          </w:rPr>
          <w:fldChar w:fldCharType="end"/>
        </w:r>
      </w:hyperlink>
    </w:p>
    <w:p w14:paraId="325587FF" w14:textId="2CC27BA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3" w:history="1">
        <w:r w:rsidRPr="00FC437C">
          <w:rPr>
            <w:rStyle w:val="Hyperlink"/>
            <w:rFonts w:eastAsia="Calibri"/>
          </w:rPr>
          <w:t>§2115.</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 xml:space="preserve">Emergency Standards </w:t>
        </w:r>
        <w:r w:rsidRPr="00FC437C">
          <w:rPr>
            <w:rStyle w:val="Hyperlink"/>
          </w:rPr>
          <w:t>(Formerly §3115)</w:t>
        </w:r>
        <w:r>
          <w:rPr>
            <w:webHidden/>
          </w:rPr>
          <w:tab/>
        </w:r>
        <w:r>
          <w:rPr>
            <w:webHidden/>
          </w:rPr>
          <w:fldChar w:fldCharType="begin"/>
        </w:r>
        <w:r>
          <w:rPr>
            <w:webHidden/>
          </w:rPr>
          <w:instrText xml:space="preserve"> PAGEREF _Toc224819193 \h </w:instrText>
        </w:r>
        <w:r>
          <w:rPr>
            <w:webHidden/>
          </w:rPr>
        </w:r>
        <w:r>
          <w:rPr>
            <w:webHidden/>
          </w:rPr>
          <w:fldChar w:fldCharType="separate"/>
        </w:r>
        <w:r w:rsidR="00AA17AB">
          <w:rPr>
            <w:webHidden/>
          </w:rPr>
          <w:t>273</w:t>
        </w:r>
        <w:r>
          <w:rPr>
            <w:webHidden/>
          </w:rPr>
          <w:fldChar w:fldCharType="end"/>
        </w:r>
      </w:hyperlink>
    </w:p>
    <w:p w14:paraId="164F0081" w14:textId="05E0757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4" w:history="1">
        <w:r w:rsidRPr="00FC437C">
          <w:rPr>
            <w:rStyle w:val="Hyperlink"/>
            <w:rFonts w:eastAsia="Calibri"/>
          </w:rPr>
          <w:t>§2117.</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 xml:space="preserve">Accepted Methods for Mass Euthanasia </w:t>
        </w:r>
        <w:r w:rsidRPr="00FC437C">
          <w:rPr>
            <w:rStyle w:val="Hyperlink"/>
          </w:rPr>
          <w:t>(Formerly §3117)</w:t>
        </w:r>
        <w:r>
          <w:rPr>
            <w:webHidden/>
          </w:rPr>
          <w:tab/>
        </w:r>
        <w:r>
          <w:rPr>
            <w:webHidden/>
          </w:rPr>
          <w:fldChar w:fldCharType="begin"/>
        </w:r>
        <w:r>
          <w:rPr>
            <w:webHidden/>
          </w:rPr>
          <w:instrText xml:space="preserve"> PAGEREF _Toc224819194 \h </w:instrText>
        </w:r>
        <w:r>
          <w:rPr>
            <w:webHidden/>
          </w:rPr>
        </w:r>
        <w:r>
          <w:rPr>
            <w:webHidden/>
          </w:rPr>
          <w:fldChar w:fldCharType="separate"/>
        </w:r>
        <w:r w:rsidR="00AA17AB">
          <w:rPr>
            <w:webHidden/>
          </w:rPr>
          <w:t>273</w:t>
        </w:r>
        <w:r>
          <w:rPr>
            <w:webHidden/>
          </w:rPr>
          <w:fldChar w:fldCharType="end"/>
        </w:r>
      </w:hyperlink>
    </w:p>
    <w:p w14:paraId="6FD3178C" w14:textId="2C31BC75" w:rsidR="00E67799" w:rsidRDefault="00E67799">
      <w:pPr>
        <w:pStyle w:val="TOC2"/>
        <w:rPr>
          <w:rFonts w:asciiTheme="minorHAnsi" w:eastAsiaTheme="minorEastAsia" w:hAnsiTheme="minorHAnsi" w:cstheme="minorBidi"/>
          <w:kern w:val="2"/>
          <w:szCs w:val="24"/>
          <w14:ligatures w14:val="standardContextual"/>
        </w:rPr>
      </w:pPr>
      <w:hyperlink w:anchor="_Toc224819195" w:history="1">
        <w:r w:rsidRPr="00FC437C">
          <w:rPr>
            <w:rStyle w:val="Hyperlink"/>
          </w:rPr>
          <w:t>Chapter 23.</w:t>
        </w:r>
        <w:r>
          <w:rPr>
            <w:rFonts w:asciiTheme="minorHAnsi" w:eastAsiaTheme="minorEastAsia" w:hAnsiTheme="minorHAnsi" w:cstheme="minorBidi"/>
            <w:kern w:val="2"/>
            <w:szCs w:val="24"/>
            <w14:ligatures w14:val="standardContextual"/>
          </w:rPr>
          <w:tab/>
        </w:r>
        <w:r w:rsidRPr="00FC437C">
          <w:rPr>
            <w:rStyle w:val="Hyperlink"/>
          </w:rPr>
          <w:t>Rendering Plants; Waste Food Processing; Garbage Disposal</w:t>
        </w:r>
        <w:r>
          <w:rPr>
            <w:webHidden/>
          </w:rPr>
          <w:tab/>
        </w:r>
        <w:r>
          <w:rPr>
            <w:webHidden/>
          </w:rPr>
          <w:fldChar w:fldCharType="begin"/>
        </w:r>
        <w:r>
          <w:rPr>
            <w:webHidden/>
          </w:rPr>
          <w:instrText xml:space="preserve"> PAGEREF _Toc224819195 \h </w:instrText>
        </w:r>
        <w:r>
          <w:rPr>
            <w:webHidden/>
          </w:rPr>
        </w:r>
        <w:r>
          <w:rPr>
            <w:webHidden/>
          </w:rPr>
          <w:fldChar w:fldCharType="separate"/>
        </w:r>
        <w:r w:rsidR="00AA17AB">
          <w:rPr>
            <w:webHidden/>
          </w:rPr>
          <w:t>274</w:t>
        </w:r>
        <w:r>
          <w:rPr>
            <w:webHidden/>
          </w:rPr>
          <w:fldChar w:fldCharType="end"/>
        </w:r>
      </w:hyperlink>
    </w:p>
    <w:p w14:paraId="103B4907" w14:textId="23BF57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6" w:history="1">
        <w:r w:rsidRPr="00FC437C">
          <w:rPr>
            <w:rStyle w:val="Hyperlink"/>
          </w:rPr>
          <w:t>§2301.</w:t>
        </w:r>
        <w:r>
          <w:rPr>
            <w:rFonts w:asciiTheme="minorHAnsi" w:eastAsiaTheme="minorEastAsia" w:hAnsiTheme="minorHAnsi" w:cstheme="minorBidi"/>
            <w:color w:val="auto"/>
            <w:kern w:val="2"/>
            <w:szCs w:val="24"/>
            <w14:ligatures w14:val="standardContextual"/>
          </w:rPr>
          <w:tab/>
        </w:r>
        <w:r w:rsidRPr="00FC437C">
          <w:rPr>
            <w:rStyle w:val="Hyperlink"/>
          </w:rPr>
          <w:t>Rendering Plant (Formerly §119)</w:t>
        </w:r>
        <w:r>
          <w:rPr>
            <w:webHidden/>
          </w:rPr>
          <w:tab/>
        </w:r>
        <w:r>
          <w:rPr>
            <w:webHidden/>
          </w:rPr>
          <w:fldChar w:fldCharType="begin"/>
        </w:r>
        <w:r>
          <w:rPr>
            <w:webHidden/>
          </w:rPr>
          <w:instrText xml:space="preserve"> PAGEREF _Toc224819196 \h </w:instrText>
        </w:r>
        <w:r>
          <w:rPr>
            <w:webHidden/>
          </w:rPr>
        </w:r>
        <w:r>
          <w:rPr>
            <w:webHidden/>
          </w:rPr>
          <w:fldChar w:fldCharType="separate"/>
        </w:r>
        <w:r w:rsidR="00AA17AB">
          <w:rPr>
            <w:webHidden/>
          </w:rPr>
          <w:t>274</w:t>
        </w:r>
        <w:r>
          <w:rPr>
            <w:webHidden/>
          </w:rPr>
          <w:fldChar w:fldCharType="end"/>
        </w:r>
      </w:hyperlink>
    </w:p>
    <w:p w14:paraId="4D6D4C10" w14:textId="2E72B10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7" w:history="1">
        <w:r w:rsidRPr="00FC437C">
          <w:rPr>
            <w:rStyle w:val="Hyperlink"/>
          </w:rPr>
          <w:t>§2303.</w:t>
        </w:r>
        <w:r>
          <w:rPr>
            <w:rFonts w:asciiTheme="minorHAnsi" w:eastAsiaTheme="minorEastAsia" w:hAnsiTheme="minorHAnsi" w:cstheme="minorBidi"/>
            <w:color w:val="auto"/>
            <w:kern w:val="2"/>
            <w:szCs w:val="24"/>
            <w14:ligatures w14:val="standardContextual"/>
          </w:rPr>
          <w:tab/>
        </w:r>
        <w:r w:rsidRPr="00FC437C">
          <w:rPr>
            <w:rStyle w:val="Hyperlink"/>
          </w:rPr>
          <w:t>Waste Food Processing Unit (Formerly §129)</w:t>
        </w:r>
        <w:r>
          <w:rPr>
            <w:webHidden/>
          </w:rPr>
          <w:tab/>
        </w:r>
        <w:r>
          <w:rPr>
            <w:webHidden/>
          </w:rPr>
          <w:fldChar w:fldCharType="begin"/>
        </w:r>
        <w:r>
          <w:rPr>
            <w:webHidden/>
          </w:rPr>
          <w:instrText xml:space="preserve"> PAGEREF _Toc224819197 \h </w:instrText>
        </w:r>
        <w:r>
          <w:rPr>
            <w:webHidden/>
          </w:rPr>
        </w:r>
        <w:r>
          <w:rPr>
            <w:webHidden/>
          </w:rPr>
          <w:fldChar w:fldCharType="separate"/>
        </w:r>
        <w:r w:rsidR="00AA17AB">
          <w:rPr>
            <w:webHidden/>
          </w:rPr>
          <w:t>274</w:t>
        </w:r>
        <w:r>
          <w:rPr>
            <w:webHidden/>
          </w:rPr>
          <w:fldChar w:fldCharType="end"/>
        </w:r>
      </w:hyperlink>
    </w:p>
    <w:p w14:paraId="750BD654" w14:textId="3B102BA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198" w:history="1">
        <w:r w:rsidRPr="00FC437C">
          <w:rPr>
            <w:rStyle w:val="Hyperlink"/>
          </w:rPr>
          <w:t>§2305.</w:t>
        </w:r>
        <w:r>
          <w:rPr>
            <w:rFonts w:asciiTheme="minorHAnsi" w:eastAsiaTheme="minorEastAsia" w:hAnsiTheme="minorHAnsi" w:cstheme="minorBidi"/>
            <w:color w:val="auto"/>
            <w:kern w:val="2"/>
            <w:szCs w:val="24"/>
            <w14:ligatures w14:val="standardContextual"/>
          </w:rPr>
          <w:tab/>
        </w:r>
        <w:r w:rsidRPr="00FC437C">
          <w:rPr>
            <w:rStyle w:val="Hyperlink"/>
          </w:rPr>
          <w:t>Disposal of Garbage (Formerly §117)</w:t>
        </w:r>
        <w:r>
          <w:rPr>
            <w:webHidden/>
          </w:rPr>
          <w:tab/>
        </w:r>
        <w:r>
          <w:rPr>
            <w:webHidden/>
          </w:rPr>
          <w:fldChar w:fldCharType="begin"/>
        </w:r>
        <w:r>
          <w:rPr>
            <w:webHidden/>
          </w:rPr>
          <w:instrText xml:space="preserve"> PAGEREF _Toc224819198 \h </w:instrText>
        </w:r>
        <w:r>
          <w:rPr>
            <w:webHidden/>
          </w:rPr>
        </w:r>
        <w:r>
          <w:rPr>
            <w:webHidden/>
          </w:rPr>
          <w:fldChar w:fldCharType="separate"/>
        </w:r>
        <w:r w:rsidR="00AA17AB">
          <w:rPr>
            <w:webHidden/>
          </w:rPr>
          <w:t>275</w:t>
        </w:r>
        <w:r>
          <w:rPr>
            <w:webHidden/>
          </w:rPr>
          <w:fldChar w:fldCharType="end"/>
        </w:r>
      </w:hyperlink>
    </w:p>
    <w:p w14:paraId="622A5085" w14:textId="365D187E" w:rsidR="00E67799" w:rsidRDefault="00E67799">
      <w:pPr>
        <w:pStyle w:val="TOC1"/>
        <w:rPr>
          <w:rFonts w:asciiTheme="minorHAnsi" w:hAnsiTheme="minorHAnsi" w:cstheme="minorBidi"/>
          <w:b w:val="0"/>
          <w:bCs w:val="0"/>
          <w:sz w:val="24"/>
          <w:szCs w:val="24"/>
        </w:rPr>
      </w:pPr>
      <w:hyperlink w:anchor="_Toc224819199" w:history="1">
        <w:r w:rsidRPr="00FC437C">
          <w:rPr>
            <w:rStyle w:val="Hyperlink"/>
          </w:rPr>
          <w:t>Part XXIII.  Pesticides</w:t>
        </w:r>
      </w:hyperlink>
    </w:p>
    <w:p w14:paraId="0C5FEFD6" w14:textId="1E7F2929" w:rsidR="00E67799" w:rsidRDefault="00E67799">
      <w:pPr>
        <w:pStyle w:val="TOC2"/>
        <w:rPr>
          <w:rFonts w:asciiTheme="minorHAnsi" w:eastAsiaTheme="minorEastAsia" w:hAnsiTheme="minorHAnsi" w:cstheme="minorBidi"/>
          <w:kern w:val="2"/>
          <w:szCs w:val="24"/>
          <w14:ligatures w14:val="standardContextual"/>
        </w:rPr>
      </w:pPr>
      <w:hyperlink w:anchor="_Toc224819200"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Authority, Pesticide Declarations, Definitions</w:t>
        </w:r>
        <w:r>
          <w:rPr>
            <w:webHidden/>
          </w:rPr>
          <w:tab/>
        </w:r>
        <w:r>
          <w:rPr>
            <w:webHidden/>
          </w:rPr>
          <w:fldChar w:fldCharType="begin"/>
        </w:r>
        <w:r>
          <w:rPr>
            <w:webHidden/>
          </w:rPr>
          <w:instrText xml:space="preserve"> PAGEREF _Toc224819200 \h </w:instrText>
        </w:r>
        <w:r>
          <w:rPr>
            <w:webHidden/>
          </w:rPr>
        </w:r>
        <w:r>
          <w:rPr>
            <w:webHidden/>
          </w:rPr>
          <w:fldChar w:fldCharType="separate"/>
        </w:r>
        <w:r w:rsidR="00AA17AB">
          <w:rPr>
            <w:webHidden/>
          </w:rPr>
          <w:t>277</w:t>
        </w:r>
        <w:r>
          <w:rPr>
            <w:webHidden/>
          </w:rPr>
          <w:fldChar w:fldCharType="end"/>
        </w:r>
      </w:hyperlink>
    </w:p>
    <w:p w14:paraId="57809F56" w14:textId="2B24C8E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1"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_Toc224819201 \h </w:instrText>
        </w:r>
        <w:r>
          <w:rPr>
            <w:webHidden/>
          </w:rPr>
        </w:r>
        <w:r>
          <w:rPr>
            <w:webHidden/>
          </w:rPr>
          <w:fldChar w:fldCharType="separate"/>
        </w:r>
        <w:r w:rsidR="00AA17AB">
          <w:rPr>
            <w:webHidden/>
          </w:rPr>
          <w:t>277</w:t>
        </w:r>
        <w:r>
          <w:rPr>
            <w:webHidden/>
          </w:rPr>
          <w:fldChar w:fldCharType="end"/>
        </w:r>
      </w:hyperlink>
    </w:p>
    <w:p w14:paraId="7C6D81BA" w14:textId="2CEA4F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2"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_Toc224819202 \h </w:instrText>
        </w:r>
        <w:r>
          <w:rPr>
            <w:webHidden/>
          </w:rPr>
        </w:r>
        <w:r>
          <w:rPr>
            <w:webHidden/>
          </w:rPr>
          <w:fldChar w:fldCharType="separate"/>
        </w:r>
        <w:r w:rsidR="00AA17AB">
          <w:rPr>
            <w:webHidden/>
          </w:rPr>
          <w:t>277</w:t>
        </w:r>
        <w:r>
          <w:rPr>
            <w:webHidden/>
          </w:rPr>
          <w:fldChar w:fldCharType="end"/>
        </w:r>
      </w:hyperlink>
    </w:p>
    <w:p w14:paraId="1016B475" w14:textId="4C029A76" w:rsidR="00E67799" w:rsidRDefault="00E67799">
      <w:pPr>
        <w:pStyle w:val="TOC2"/>
        <w:rPr>
          <w:rFonts w:asciiTheme="minorHAnsi" w:eastAsiaTheme="minorEastAsia" w:hAnsiTheme="minorHAnsi" w:cstheme="minorBidi"/>
          <w:kern w:val="2"/>
          <w:szCs w:val="24"/>
          <w14:ligatures w14:val="standardContextual"/>
        </w:rPr>
      </w:pPr>
      <w:hyperlink w:anchor="_Toc224819203"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Advisory Commission on Pesticides</w:t>
        </w:r>
        <w:r>
          <w:rPr>
            <w:webHidden/>
          </w:rPr>
          <w:tab/>
        </w:r>
        <w:r>
          <w:rPr>
            <w:webHidden/>
          </w:rPr>
          <w:fldChar w:fldCharType="begin"/>
        </w:r>
        <w:r>
          <w:rPr>
            <w:webHidden/>
          </w:rPr>
          <w:instrText xml:space="preserve"> PAGEREF _Toc224819203 \h </w:instrText>
        </w:r>
        <w:r>
          <w:rPr>
            <w:webHidden/>
          </w:rPr>
        </w:r>
        <w:r>
          <w:rPr>
            <w:webHidden/>
          </w:rPr>
          <w:fldChar w:fldCharType="separate"/>
        </w:r>
        <w:r w:rsidR="00AA17AB">
          <w:rPr>
            <w:webHidden/>
          </w:rPr>
          <w:t>279</w:t>
        </w:r>
        <w:r>
          <w:rPr>
            <w:webHidden/>
          </w:rPr>
          <w:fldChar w:fldCharType="end"/>
        </w:r>
      </w:hyperlink>
    </w:p>
    <w:p w14:paraId="5215B7F5" w14:textId="7B3DD9A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4"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Filings with the Commission</w:t>
        </w:r>
        <w:r>
          <w:rPr>
            <w:webHidden/>
          </w:rPr>
          <w:tab/>
        </w:r>
        <w:r>
          <w:rPr>
            <w:webHidden/>
          </w:rPr>
          <w:fldChar w:fldCharType="begin"/>
        </w:r>
        <w:r>
          <w:rPr>
            <w:webHidden/>
          </w:rPr>
          <w:instrText xml:space="preserve"> PAGEREF _Toc224819204 \h </w:instrText>
        </w:r>
        <w:r>
          <w:rPr>
            <w:webHidden/>
          </w:rPr>
        </w:r>
        <w:r>
          <w:rPr>
            <w:webHidden/>
          </w:rPr>
          <w:fldChar w:fldCharType="separate"/>
        </w:r>
        <w:r w:rsidR="00AA17AB">
          <w:rPr>
            <w:webHidden/>
          </w:rPr>
          <w:t>279</w:t>
        </w:r>
        <w:r>
          <w:rPr>
            <w:webHidden/>
          </w:rPr>
          <w:fldChar w:fldCharType="end"/>
        </w:r>
      </w:hyperlink>
    </w:p>
    <w:p w14:paraId="263F0879" w14:textId="0492265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5"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Chairman; Presiding Officer</w:t>
        </w:r>
        <w:r>
          <w:rPr>
            <w:webHidden/>
          </w:rPr>
          <w:tab/>
        </w:r>
        <w:r>
          <w:rPr>
            <w:webHidden/>
          </w:rPr>
          <w:fldChar w:fldCharType="begin"/>
        </w:r>
        <w:r>
          <w:rPr>
            <w:webHidden/>
          </w:rPr>
          <w:instrText xml:space="preserve"> PAGEREF _Toc224819205 \h </w:instrText>
        </w:r>
        <w:r>
          <w:rPr>
            <w:webHidden/>
          </w:rPr>
        </w:r>
        <w:r>
          <w:rPr>
            <w:webHidden/>
          </w:rPr>
          <w:fldChar w:fldCharType="separate"/>
        </w:r>
        <w:r w:rsidR="00AA17AB">
          <w:rPr>
            <w:webHidden/>
          </w:rPr>
          <w:t>279</w:t>
        </w:r>
        <w:r>
          <w:rPr>
            <w:webHidden/>
          </w:rPr>
          <w:fldChar w:fldCharType="end"/>
        </w:r>
      </w:hyperlink>
    </w:p>
    <w:p w14:paraId="5B34D4F5" w14:textId="19FDF08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6"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Expulsion</w:t>
        </w:r>
        <w:r>
          <w:rPr>
            <w:webHidden/>
          </w:rPr>
          <w:tab/>
        </w:r>
        <w:r>
          <w:rPr>
            <w:webHidden/>
          </w:rPr>
          <w:fldChar w:fldCharType="begin"/>
        </w:r>
        <w:r>
          <w:rPr>
            <w:webHidden/>
          </w:rPr>
          <w:instrText xml:space="preserve"> PAGEREF _Toc224819206 \h </w:instrText>
        </w:r>
        <w:r>
          <w:rPr>
            <w:webHidden/>
          </w:rPr>
        </w:r>
        <w:r>
          <w:rPr>
            <w:webHidden/>
          </w:rPr>
          <w:fldChar w:fldCharType="separate"/>
        </w:r>
        <w:r w:rsidR="00AA17AB">
          <w:rPr>
            <w:webHidden/>
          </w:rPr>
          <w:t>279</w:t>
        </w:r>
        <w:r>
          <w:rPr>
            <w:webHidden/>
          </w:rPr>
          <w:fldChar w:fldCharType="end"/>
        </w:r>
      </w:hyperlink>
    </w:p>
    <w:p w14:paraId="14DAB464" w14:textId="78CFA1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7"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Requests for Adoption, Amendment or Repeal of a Rule</w:t>
        </w:r>
        <w:r>
          <w:rPr>
            <w:webHidden/>
          </w:rPr>
          <w:tab/>
        </w:r>
        <w:r>
          <w:rPr>
            <w:webHidden/>
          </w:rPr>
          <w:fldChar w:fldCharType="begin"/>
        </w:r>
        <w:r>
          <w:rPr>
            <w:webHidden/>
          </w:rPr>
          <w:instrText xml:space="preserve"> PAGEREF _Toc224819207 \h </w:instrText>
        </w:r>
        <w:r>
          <w:rPr>
            <w:webHidden/>
          </w:rPr>
        </w:r>
        <w:r>
          <w:rPr>
            <w:webHidden/>
          </w:rPr>
          <w:fldChar w:fldCharType="separate"/>
        </w:r>
        <w:r w:rsidR="00AA17AB">
          <w:rPr>
            <w:webHidden/>
          </w:rPr>
          <w:t>279</w:t>
        </w:r>
        <w:r>
          <w:rPr>
            <w:webHidden/>
          </w:rPr>
          <w:fldChar w:fldCharType="end"/>
        </w:r>
      </w:hyperlink>
    </w:p>
    <w:p w14:paraId="25471DB2" w14:textId="3DAC65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08"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Procedure for Declaratory Orders and Rulings</w:t>
        </w:r>
        <w:r>
          <w:rPr>
            <w:webHidden/>
          </w:rPr>
          <w:tab/>
        </w:r>
        <w:r>
          <w:rPr>
            <w:webHidden/>
          </w:rPr>
          <w:fldChar w:fldCharType="begin"/>
        </w:r>
        <w:r>
          <w:rPr>
            <w:webHidden/>
          </w:rPr>
          <w:instrText xml:space="preserve"> PAGEREF _Toc224819208 \h </w:instrText>
        </w:r>
        <w:r>
          <w:rPr>
            <w:webHidden/>
          </w:rPr>
        </w:r>
        <w:r>
          <w:rPr>
            <w:webHidden/>
          </w:rPr>
          <w:fldChar w:fldCharType="separate"/>
        </w:r>
        <w:r w:rsidR="00AA17AB">
          <w:rPr>
            <w:webHidden/>
          </w:rPr>
          <w:t>280</w:t>
        </w:r>
        <w:r>
          <w:rPr>
            <w:webHidden/>
          </w:rPr>
          <w:fldChar w:fldCharType="end"/>
        </w:r>
      </w:hyperlink>
    </w:p>
    <w:p w14:paraId="344B0670" w14:textId="031E9E8A" w:rsidR="00E67799" w:rsidRDefault="00E67799">
      <w:pPr>
        <w:pStyle w:val="TOC2"/>
        <w:rPr>
          <w:rFonts w:asciiTheme="minorHAnsi" w:eastAsiaTheme="minorEastAsia" w:hAnsiTheme="minorHAnsi" w:cstheme="minorBidi"/>
          <w:kern w:val="2"/>
          <w:szCs w:val="24"/>
          <w14:ligatures w14:val="standardContextual"/>
        </w:rPr>
      </w:pPr>
      <w:hyperlink w:anchor="_Toc224819209"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Registration of Pesticides</w:t>
        </w:r>
        <w:r>
          <w:rPr>
            <w:webHidden/>
          </w:rPr>
          <w:tab/>
        </w:r>
        <w:r>
          <w:rPr>
            <w:webHidden/>
          </w:rPr>
          <w:fldChar w:fldCharType="begin"/>
        </w:r>
        <w:r>
          <w:rPr>
            <w:webHidden/>
          </w:rPr>
          <w:instrText xml:space="preserve"> PAGEREF _Toc224819209 \h </w:instrText>
        </w:r>
        <w:r>
          <w:rPr>
            <w:webHidden/>
          </w:rPr>
        </w:r>
        <w:r>
          <w:rPr>
            <w:webHidden/>
          </w:rPr>
          <w:fldChar w:fldCharType="separate"/>
        </w:r>
        <w:r w:rsidR="00AA17AB">
          <w:rPr>
            <w:webHidden/>
          </w:rPr>
          <w:t>281</w:t>
        </w:r>
        <w:r>
          <w:rPr>
            <w:webHidden/>
          </w:rPr>
          <w:fldChar w:fldCharType="end"/>
        </w:r>
      </w:hyperlink>
    </w:p>
    <w:p w14:paraId="3D42C92F" w14:textId="5B0415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0"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Registration Required</w:t>
        </w:r>
        <w:r>
          <w:rPr>
            <w:webHidden/>
          </w:rPr>
          <w:tab/>
        </w:r>
        <w:r>
          <w:rPr>
            <w:webHidden/>
          </w:rPr>
          <w:fldChar w:fldCharType="begin"/>
        </w:r>
        <w:r>
          <w:rPr>
            <w:webHidden/>
          </w:rPr>
          <w:instrText xml:space="preserve"> PAGEREF _Toc224819210 \h </w:instrText>
        </w:r>
        <w:r>
          <w:rPr>
            <w:webHidden/>
          </w:rPr>
        </w:r>
        <w:r>
          <w:rPr>
            <w:webHidden/>
          </w:rPr>
          <w:fldChar w:fldCharType="separate"/>
        </w:r>
        <w:r w:rsidR="00AA17AB">
          <w:rPr>
            <w:webHidden/>
          </w:rPr>
          <w:t>281</w:t>
        </w:r>
        <w:r>
          <w:rPr>
            <w:webHidden/>
          </w:rPr>
          <w:fldChar w:fldCharType="end"/>
        </w:r>
      </w:hyperlink>
    </w:p>
    <w:p w14:paraId="462CE964" w14:textId="1943F5E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1"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Chart of Tolerances</w:t>
        </w:r>
        <w:r>
          <w:rPr>
            <w:webHidden/>
          </w:rPr>
          <w:tab/>
        </w:r>
        <w:r>
          <w:rPr>
            <w:webHidden/>
          </w:rPr>
          <w:fldChar w:fldCharType="begin"/>
        </w:r>
        <w:r>
          <w:rPr>
            <w:webHidden/>
          </w:rPr>
          <w:instrText xml:space="preserve"> PAGEREF _Toc224819211 \h </w:instrText>
        </w:r>
        <w:r>
          <w:rPr>
            <w:webHidden/>
          </w:rPr>
        </w:r>
        <w:r>
          <w:rPr>
            <w:webHidden/>
          </w:rPr>
          <w:fldChar w:fldCharType="separate"/>
        </w:r>
        <w:r w:rsidR="00AA17AB">
          <w:rPr>
            <w:webHidden/>
          </w:rPr>
          <w:t>281</w:t>
        </w:r>
        <w:r>
          <w:rPr>
            <w:webHidden/>
          </w:rPr>
          <w:fldChar w:fldCharType="end"/>
        </w:r>
      </w:hyperlink>
    </w:p>
    <w:p w14:paraId="44026896" w14:textId="5B6CEA2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2"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Standard Registrations</w:t>
        </w:r>
        <w:r>
          <w:rPr>
            <w:webHidden/>
          </w:rPr>
          <w:tab/>
        </w:r>
        <w:r>
          <w:rPr>
            <w:webHidden/>
          </w:rPr>
          <w:fldChar w:fldCharType="begin"/>
        </w:r>
        <w:r>
          <w:rPr>
            <w:webHidden/>
          </w:rPr>
          <w:instrText xml:space="preserve"> PAGEREF _Toc224819212 \h </w:instrText>
        </w:r>
        <w:r>
          <w:rPr>
            <w:webHidden/>
          </w:rPr>
        </w:r>
        <w:r>
          <w:rPr>
            <w:webHidden/>
          </w:rPr>
          <w:fldChar w:fldCharType="separate"/>
        </w:r>
        <w:r w:rsidR="00AA17AB">
          <w:rPr>
            <w:webHidden/>
          </w:rPr>
          <w:t>281</w:t>
        </w:r>
        <w:r>
          <w:rPr>
            <w:webHidden/>
          </w:rPr>
          <w:fldChar w:fldCharType="end"/>
        </w:r>
      </w:hyperlink>
    </w:p>
    <w:p w14:paraId="2B73125E" w14:textId="039CC7F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3"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Special Registrations</w:t>
        </w:r>
        <w:r>
          <w:rPr>
            <w:webHidden/>
          </w:rPr>
          <w:tab/>
        </w:r>
        <w:r>
          <w:rPr>
            <w:webHidden/>
          </w:rPr>
          <w:fldChar w:fldCharType="begin"/>
        </w:r>
        <w:r>
          <w:rPr>
            <w:webHidden/>
          </w:rPr>
          <w:instrText xml:space="preserve"> PAGEREF _Toc224819213 \h </w:instrText>
        </w:r>
        <w:r>
          <w:rPr>
            <w:webHidden/>
          </w:rPr>
        </w:r>
        <w:r>
          <w:rPr>
            <w:webHidden/>
          </w:rPr>
          <w:fldChar w:fldCharType="separate"/>
        </w:r>
        <w:r w:rsidR="00AA17AB">
          <w:rPr>
            <w:webHidden/>
          </w:rPr>
          <w:t>282</w:t>
        </w:r>
        <w:r>
          <w:rPr>
            <w:webHidden/>
          </w:rPr>
          <w:fldChar w:fldCharType="end"/>
        </w:r>
      </w:hyperlink>
    </w:p>
    <w:p w14:paraId="78946BBF" w14:textId="5116AB0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4"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Supervision of Use</w:t>
        </w:r>
        <w:r>
          <w:rPr>
            <w:webHidden/>
          </w:rPr>
          <w:tab/>
        </w:r>
        <w:r>
          <w:rPr>
            <w:webHidden/>
          </w:rPr>
          <w:fldChar w:fldCharType="begin"/>
        </w:r>
        <w:r>
          <w:rPr>
            <w:webHidden/>
          </w:rPr>
          <w:instrText xml:space="preserve"> PAGEREF _Toc224819214 \h </w:instrText>
        </w:r>
        <w:r>
          <w:rPr>
            <w:webHidden/>
          </w:rPr>
        </w:r>
        <w:r>
          <w:rPr>
            <w:webHidden/>
          </w:rPr>
          <w:fldChar w:fldCharType="separate"/>
        </w:r>
        <w:r w:rsidR="00AA17AB">
          <w:rPr>
            <w:webHidden/>
          </w:rPr>
          <w:t>284</w:t>
        </w:r>
        <w:r>
          <w:rPr>
            <w:webHidden/>
          </w:rPr>
          <w:fldChar w:fldCharType="end"/>
        </w:r>
      </w:hyperlink>
    </w:p>
    <w:p w14:paraId="70F68927" w14:textId="00A9D4FA" w:rsidR="00E67799" w:rsidRDefault="00E67799">
      <w:pPr>
        <w:pStyle w:val="TOC2"/>
        <w:rPr>
          <w:rFonts w:asciiTheme="minorHAnsi" w:eastAsiaTheme="minorEastAsia" w:hAnsiTheme="minorHAnsi" w:cstheme="minorBidi"/>
          <w:kern w:val="2"/>
          <w:szCs w:val="24"/>
          <w14:ligatures w14:val="standardContextual"/>
        </w:rPr>
      </w:pPr>
      <w:hyperlink w:anchor="_Toc224819215"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Examinations, Certification and Licensing</w:t>
        </w:r>
        <w:r>
          <w:rPr>
            <w:webHidden/>
          </w:rPr>
          <w:tab/>
        </w:r>
        <w:r>
          <w:rPr>
            <w:webHidden/>
          </w:rPr>
          <w:fldChar w:fldCharType="begin"/>
        </w:r>
        <w:r>
          <w:rPr>
            <w:webHidden/>
          </w:rPr>
          <w:instrText xml:space="preserve"> PAGEREF _Toc224819215 \h </w:instrText>
        </w:r>
        <w:r>
          <w:rPr>
            <w:webHidden/>
          </w:rPr>
        </w:r>
        <w:r>
          <w:rPr>
            <w:webHidden/>
          </w:rPr>
          <w:fldChar w:fldCharType="separate"/>
        </w:r>
        <w:r w:rsidR="00AA17AB">
          <w:rPr>
            <w:webHidden/>
          </w:rPr>
          <w:t>285</w:t>
        </w:r>
        <w:r>
          <w:rPr>
            <w:webHidden/>
          </w:rPr>
          <w:fldChar w:fldCharType="end"/>
        </w:r>
      </w:hyperlink>
    </w:p>
    <w:p w14:paraId="3CF8864B" w14:textId="01D066A1" w:rsidR="00E67799" w:rsidRDefault="00E67799">
      <w:pPr>
        <w:pStyle w:val="TOC2"/>
        <w:rPr>
          <w:rFonts w:asciiTheme="minorHAnsi" w:eastAsiaTheme="minorEastAsia" w:hAnsiTheme="minorHAnsi" w:cstheme="minorBidi"/>
          <w:kern w:val="2"/>
          <w:szCs w:val="24"/>
          <w14:ligatures w14:val="standardContextual"/>
        </w:rPr>
      </w:pPr>
      <w:hyperlink w:anchor="_Toc224819216"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Examinations</w:t>
        </w:r>
        <w:r>
          <w:rPr>
            <w:webHidden/>
          </w:rPr>
          <w:tab/>
        </w:r>
        <w:r>
          <w:rPr>
            <w:webHidden/>
          </w:rPr>
          <w:fldChar w:fldCharType="begin"/>
        </w:r>
        <w:r>
          <w:rPr>
            <w:webHidden/>
          </w:rPr>
          <w:instrText xml:space="preserve"> PAGEREF _Toc224819216 \h </w:instrText>
        </w:r>
        <w:r>
          <w:rPr>
            <w:webHidden/>
          </w:rPr>
        </w:r>
        <w:r>
          <w:rPr>
            <w:webHidden/>
          </w:rPr>
          <w:fldChar w:fldCharType="separate"/>
        </w:r>
        <w:r w:rsidR="00AA17AB">
          <w:rPr>
            <w:webHidden/>
          </w:rPr>
          <w:t>285</w:t>
        </w:r>
        <w:r>
          <w:rPr>
            <w:webHidden/>
          </w:rPr>
          <w:fldChar w:fldCharType="end"/>
        </w:r>
      </w:hyperlink>
    </w:p>
    <w:p w14:paraId="2544BF18" w14:textId="533E068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7"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 xml:space="preserve">Examinations of Private Applicators, Commercial Applicators, Pesticide Salespersons, </w:t>
        </w:r>
        <w:r w:rsidR="00676FBC">
          <w:rPr>
            <w:rStyle w:val="Hyperlink"/>
          </w:rPr>
          <w:br/>
        </w:r>
        <w:r w:rsidR="00676FBC">
          <w:rPr>
            <w:rStyle w:val="Hyperlink"/>
          </w:rPr>
          <w:tab/>
        </w:r>
        <w:r w:rsidRPr="00FC437C">
          <w:rPr>
            <w:rStyle w:val="Hyperlink"/>
          </w:rPr>
          <w:t>and Agricultural Consultants</w:t>
        </w:r>
        <w:r>
          <w:rPr>
            <w:webHidden/>
          </w:rPr>
          <w:tab/>
        </w:r>
        <w:r>
          <w:rPr>
            <w:webHidden/>
          </w:rPr>
          <w:fldChar w:fldCharType="begin"/>
        </w:r>
        <w:r>
          <w:rPr>
            <w:webHidden/>
          </w:rPr>
          <w:instrText xml:space="preserve"> PAGEREF _Toc224819217 \h </w:instrText>
        </w:r>
        <w:r>
          <w:rPr>
            <w:webHidden/>
          </w:rPr>
        </w:r>
        <w:r>
          <w:rPr>
            <w:webHidden/>
          </w:rPr>
          <w:fldChar w:fldCharType="separate"/>
        </w:r>
        <w:r w:rsidR="00AA17AB">
          <w:rPr>
            <w:webHidden/>
          </w:rPr>
          <w:t>285</w:t>
        </w:r>
        <w:r>
          <w:rPr>
            <w:webHidden/>
          </w:rPr>
          <w:fldChar w:fldCharType="end"/>
        </w:r>
      </w:hyperlink>
    </w:p>
    <w:p w14:paraId="5963B902" w14:textId="0A709962" w:rsidR="00E67799" w:rsidRDefault="00E67799">
      <w:pPr>
        <w:pStyle w:val="TOC2"/>
        <w:rPr>
          <w:rFonts w:asciiTheme="minorHAnsi" w:eastAsiaTheme="minorEastAsia" w:hAnsiTheme="minorHAnsi" w:cstheme="minorBidi"/>
          <w:kern w:val="2"/>
          <w:szCs w:val="24"/>
          <w14:ligatures w14:val="standardContextual"/>
        </w:rPr>
      </w:pPr>
      <w:hyperlink w:anchor="_Toc224819218"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Certification</w:t>
        </w:r>
        <w:r>
          <w:rPr>
            <w:webHidden/>
          </w:rPr>
          <w:tab/>
        </w:r>
        <w:r>
          <w:rPr>
            <w:webHidden/>
          </w:rPr>
          <w:fldChar w:fldCharType="begin"/>
        </w:r>
        <w:r>
          <w:rPr>
            <w:webHidden/>
          </w:rPr>
          <w:instrText xml:space="preserve"> PAGEREF _Toc224819218 \h </w:instrText>
        </w:r>
        <w:r>
          <w:rPr>
            <w:webHidden/>
          </w:rPr>
        </w:r>
        <w:r>
          <w:rPr>
            <w:webHidden/>
          </w:rPr>
          <w:fldChar w:fldCharType="separate"/>
        </w:r>
        <w:r w:rsidR="00AA17AB">
          <w:rPr>
            <w:webHidden/>
          </w:rPr>
          <w:t>286</w:t>
        </w:r>
        <w:r>
          <w:rPr>
            <w:webHidden/>
          </w:rPr>
          <w:fldChar w:fldCharType="end"/>
        </w:r>
      </w:hyperlink>
    </w:p>
    <w:p w14:paraId="61BD71E4" w14:textId="00AFD65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19" w:history="1">
        <w:r w:rsidRPr="00FC437C">
          <w:rPr>
            <w:rStyle w:val="Hyperlink"/>
          </w:rPr>
          <w:t>§709.</w:t>
        </w:r>
        <w:r>
          <w:rPr>
            <w:rFonts w:asciiTheme="minorHAnsi" w:eastAsiaTheme="minorEastAsia" w:hAnsiTheme="minorHAnsi" w:cstheme="minorBidi"/>
            <w:color w:val="auto"/>
            <w:kern w:val="2"/>
            <w:szCs w:val="24"/>
            <w14:ligatures w14:val="standardContextual"/>
          </w:rPr>
          <w:tab/>
        </w:r>
        <w:r w:rsidRPr="00FC437C">
          <w:rPr>
            <w:rStyle w:val="Hyperlink"/>
          </w:rPr>
          <w:t>Certification of Private Applicators</w:t>
        </w:r>
        <w:r>
          <w:rPr>
            <w:webHidden/>
          </w:rPr>
          <w:tab/>
        </w:r>
        <w:r>
          <w:rPr>
            <w:webHidden/>
          </w:rPr>
          <w:fldChar w:fldCharType="begin"/>
        </w:r>
        <w:r>
          <w:rPr>
            <w:webHidden/>
          </w:rPr>
          <w:instrText xml:space="preserve"> PAGEREF _Toc224819219 \h </w:instrText>
        </w:r>
        <w:r>
          <w:rPr>
            <w:webHidden/>
          </w:rPr>
        </w:r>
        <w:r>
          <w:rPr>
            <w:webHidden/>
          </w:rPr>
          <w:fldChar w:fldCharType="separate"/>
        </w:r>
        <w:r w:rsidR="00AA17AB">
          <w:rPr>
            <w:webHidden/>
          </w:rPr>
          <w:t>286</w:t>
        </w:r>
        <w:r>
          <w:rPr>
            <w:webHidden/>
          </w:rPr>
          <w:fldChar w:fldCharType="end"/>
        </w:r>
      </w:hyperlink>
    </w:p>
    <w:p w14:paraId="3BC734CF" w14:textId="2B02D1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0"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Certification of Commercial Applicators</w:t>
        </w:r>
        <w:r>
          <w:rPr>
            <w:webHidden/>
          </w:rPr>
          <w:tab/>
        </w:r>
        <w:r>
          <w:rPr>
            <w:webHidden/>
          </w:rPr>
          <w:fldChar w:fldCharType="begin"/>
        </w:r>
        <w:r>
          <w:rPr>
            <w:webHidden/>
          </w:rPr>
          <w:instrText xml:space="preserve"> PAGEREF _Toc224819220 \h </w:instrText>
        </w:r>
        <w:r>
          <w:rPr>
            <w:webHidden/>
          </w:rPr>
        </w:r>
        <w:r>
          <w:rPr>
            <w:webHidden/>
          </w:rPr>
          <w:fldChar w:fldCharType="separate"/>
        </w:r>
        <w:r w:rsidR="00AA17AB">
          <w:rPr>
            <w:webHidden/>
          </w:rPr>
          <w:t>286</w:t>
        </w:r>
        <w:r>
          <w:rPr>
            <w:webHidden/>
          </w:rPr>
          <w:fldChar w:fldCharType="end"/>
        </w:r>
      </w:hyperlink>
    </w:p>
    <w:p w14:paraId="6441C223" w14:textId="37A09E2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1" w:history="1">
        <w:r w:rsidRPr="00FC437C">
          <w:rPr>
            <w:rStyle w:val="Hyperlink"/>
          </w:rPr>
          <w:t>§713.</w:t>
        </w:r>
        <w:r>
          <w:rPr>
            <w:rFonts w:asciiTheme="minorHAnsi" w:eastAsiaTheme="minorEastAsia" w:hAnsiTheme="minorHAnsi" w:cstheme="minorBidi"/>
            <w:color w:val="auto"/>
            <w:kern w:val="2"/>
            <w:szCs w:val="24"/>
            <w14:ligatures w14:val="standardContextual"/>
          </w:rPr>
          <w:tab/>
        </w:r>
        <w:r w:rsidRPr="00FC437C">
          <w:rPr>
            <w:rStyle w:val="Hyperlink"/>
          </w:rPr>
          <w:t>Certification of Pesticide Salespersons</w:t>
        </w:r>
        <w:r>
          <w:rPr>
            <w:webHidden/>
          </w:rPr>
          <w:tab/>
        </w:r>
        <w:r>
          <w:rPr>
            <w:webHidden/>
          </w:rPr>
          <w:fldChar w:fldCharType="begin"/>
        </w:r>
        <w:r>
          <w:rPr>
            <w:webHidden/>
          </w:rPr>
          <w:instrText xml:space="preserve"> PAGEREF _Toc224819221 \h </w:instrText>
        </w:r>
        <w:r>
          <w:rPr>
            <w:webHidden/>
          </w:rPr>
        </w:r>
        <w:r>
          <w:rPr>
            <w:webHidden/>
          </w:rPr>
          <w:fldChar w:fldCharType="separate"/>
        </w:r>
        <w:r w:rsidR="00AA17AB">
          <w:rPr>
            <w:webHidden/>
          </w:rPr>
          <w:t>289</w:t>
        </w:r>
        <w:r>
          <w:rPr>
            <w:webHidden/>
          </w:rPr>
          <w:fldChar w:fldCharType="end"/>
        </w:r>
      </w:hyperlink>
    </w:p>
    <w:p w14:paraId="49C1A9DB" w14:textId="3C6437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2" w:history="1">
        <w:r w:rsidRPr="00FC437C">
          <w:rPr>
            <w:rStyle w:val="Hyperlink"/>
          </w:rPr>
          <w:t>§715.</w:t>
        </w:r>
        <w:r>
          <w:rPr>
            <w:rFonts w:asciiTheme="minorHAnsi" w:eastAsiaTheme="minorEastAsia" w:hAnsiTheme="minorHAnsi" w:cstheme="minorBidi"/>
            <w:color w:val="auto"/>
            <w:kern w:val="2"/>
            <w:szCs w:val="24"/>
            <w14:ligatures w14:val="standardContextual"/>
          </w:rPr>
          <w:tab/>
        </w:r>
        <w:r w:rsidRPr="00FC437C">
          <w:rPr>
            <w:rStyle w:val="Hyperlink"/>
          </w:rPr>
          <w:t>Certification of Agricultural Consultants</w:t>
        </w:r>
        <w:r>
          <w:rPr>
            <w:webHidden/>
          </w:rPr>
          <w:tab/>
        </w:r>
        <w:r>
          <w:rPr>
            <w:webHidden/>
          </w:rPr>
          <w:fldChar w:fldCharType="begin"/>
        </w:r>
        <w:r>
          <w:rPr>
            <w:webHidden/>
          </w:rPr>
          <w:instrText xml:space="preserve"> PAGEREF _Toc224819222 \h </w:instrText>
        </w:r>
        <w:r>
          <w:rPr>
            <w:webHidden/>
          </w:rPr>
        </w:r>
        <w:r>
          <w:rPr>
            <w:webHidden/>
          </w:rPr>
          <w:fldChar w:fldCharType="separate"/>
        </w:r>
        <w:r w:rsidR="00AA17AB">
          <w:rPr>
            <w:webHidden/>
          </w:rPr>
          <w:t>289</w:t>
        </w:r>
        <w:r>
          <w:rPr>
            <w:webHidden/>
          </w:rPr>
          <w:fldChar w:fldCharType="end"/>
        </w:r>
      </w:hyperlink>
    </w:p>
    <w:p w14:paraId="259E1B0A" w14:textId="6CBE9A7D" w:rsidR="00E67799" w:rsidRDefault="00E67799">
      <w:pPr>
        <w:pStyle w:val="TOC2"/>
        <w:rPr>
          <w:rFonts w:asciiTheme="minorHAnsi" w:eastAsiaTheme="minorEastAsia" w:hAnsiTheme="minorHAnsi" w:cstheme="minorBidi"/>
          <w:kern w:val="2"/>
          <w:szCs w:val="24"/>
          <w14:ligatures w14:val="standardContextual"/>
        </w:rPr>
      </w:pPr>
      <w:hyperlink w:anchor="_Toc224819223"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Licensing Requirements</w:t>
        </w:r>
        <w:r>
          <w:rPr>
            <w:webHidden/>
          </w:rPr>
          <w:tab/>
        </w:r>
        <w:r>
          <w:rPr>
            <w:webHidden/>
          </w:rPr>
          <w:fldChar w:fldCharType="begin"/>
        </w:r>
        <w:r>
          <w:rPr>
            <w:webHidden/>
          </w:rPr>
          <w:instrText xml:space="preserve"> PAGEREF _Toc224819223 \h </w:instrText>
        </w:r>
        <w:r>
          <w:rPr>
            <w:webHidden/>
          </w:rPr>
        </w:r>
        <w:r>
          <w:rPr>
            <w:webHidden/>
          </w:rPr>
          <w:fldChar w:fldCharType="separate"/>
        </w:r>
        <w:r w:rsidR="00AA17AB">
          <w:rPr>
            <w:webHidden/>
          </w:rPr>
          <w:t>290</w:t>
        </w:r>
        <w:r>
          <w:rPr>
            <w:webHidden/>
          </w:rPr>
          <w:fldChar w:fldCharType="end"/>
        </w:r>
      </w:hyperlink>
    </w:p>
    <w:p w14:paraId="3D80185D" w14:textId="2B16AE2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4" w:history="1">
        <w:r w:rsidRPr="00FC437C">
          <w:rPr>
            <w:rStyle w:val="Hyperlink"/>
          </w:rPr>
          <w:t>§723.</w:t>
        </w:r>
        <w:r>
          <w:rPr>
            <w:rFonts w:asciiTheme="minorHAnsi" w:eastAsiaTheme="minorEastAsia" w:hAnsiTheme="minorHAnsi" w:cstheme="minorBidi"/>
            <w:color w:val="auto"/>
            <w:kern w:val="2"/>
            <w:szCs w:val="24"/>
            <w14:ligatures w14:val="standardContextual"/>
          </w:rPr>
          <w:tab/>
        </w:r>
        <w:r w:rsidRPr="00FC437C">
          <w:rPr>
            <w:rStyle w:val="Hyperlink"/>
          </w:rPr>
          <w:t>Owner-Operators</w:t>
        </w:r>
        <w:r>
          <w:rPr>
            <w:webHidden/>
          </w:rPr>
          <w:tab/>
        </w:r>
        <w:r>
          <w:rPr>
            <w:webHidden/>
          </w:rPr>
          <w:fldChar w:fldCharType="begin"/>
        </w:r>
        <w:r>
          <w:rPr>
            <w:webHidden/>
          </w:rPr>
          <w:instrText xml:space="preserve"> PAGEREF _Toc224819224 \h </w:instrText>
        </w:r>
        <w:r>
          <w:rPr>
            <w:webHidden/>
          </w:rPr>
        </w:r>
        <w:r>
          <w:rPr>
            <w:webHidden/>
          </w:rPr>
          <w:fldChar w:fldCharType="separate"/>
        </w:r>
        <w:r w:rsidR="00AA17AB">
          <w:rPr>
            <w:webHidden/>
          </w:rPr>
          <w:t>290</w:t>
        </w:r>
        <w:r>
          <w:rPr>
            <w:webHidden/>
          </w:rPr>
          <w:fldChar w:fldCharType="end"/>
        </w:r>
      </w:hyperlink>
    </w:p>
    <w:p w14:paraId="7633776E" w14:textId="28F6773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5" w:history="1">
        <w:r w:rsidRPr="00FC437C">
          <w:rPr>
            <w:rStyle w:val="Hyperlink"/>
          </w:rPr>
          <w:t>§725.</w:t>
        </w:r>
        <w:r>
          <w:rPr>
            <w:rFonts w:asciiTheme="minorHAnsi" w:eastAsiaTheme="minorEastAsia" w:hAnsiTheme="minorHAnsi" w:cstheme="minorBidi"/>
            <w:color w:val="auto"/>
            <w:kern w:val="2"/>
            <w:szCs w:val="24"/>
            <w14:ligatures w14:val="standardContextual"/>
          </w:rPr>
          <w:tab/>
        </w:r>
        <w:r w:rsidRPr="00FC437C">
          <w:rPr>
            <w:rStyle w:val="Hyperlink"/>
          </w:rPr>
          <w:t>Pesticide Dealers Selling Restricted Use Pesticides</w:t>
        </w:r>
        <w:r>
          <w:rPr>
            <w:webHidden/>
          </w:rPr>
          <w:tab/>
        </w:r>
        <w:r>
          <w:rPr>
            <w:webHidden/>
          </w:rPr>
          <w:fldChar w:fldCharType="begin"/>
        </w:r>
        <w:r>
          <w:rPr>
            <w:webHidden/>
          </w:rPr>
          <w:instrText xml:space="preserve"> PAGEREF _Toc224819225 \h </w:instrText>
        </w:r>
        <w:r>
          <w:rPr>
            <w:webHidden/>
          </w:rPr>
        </w:r>
        <w:r>
          <w:rPr>
            <w:webHidden/>
          </w:rPr>
          <w:fldChar w:fldCharType="separate"/>
        </w:r>
        <w:r w:rsidR="00AA17AB">
          <w:rPr>
            <w:webHidden/>
          </w:rPr>
          <w:t>291</w:t>
        </w:r>
        <w:r>
          <w:rPr>
            <w:webHidden/>
          </w:rPr>
          <w:fldChar w:fldCharType="end"/>
        </w:r>
      </w:hyperlink>
    </w:p>
    <w:p w14:paraId="2F79BA63" w14:textId="18C7241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6" w:history="1">
        <w:r w:rsidRPr="00FC437C">
          <w:rPr>
            <w:rStyle w:val="Hyperlink"/>
          </w:rPr>
          <w:t>§729.</w:t>
        </w:r>
        <w:r>
          <w:rPr>
            <w:rFonts w:asciiTheme="minorHAnsi" w:eastAsiaTheme="minorEastAsia" w:hAnsiTheme="minorHAnsi" w:cstheme="minorBidi"/>
            <w:color w:val="auto"/>
            <w:kern w:val="2"/>
            <w:szCs w:val="24"/>
            <w14:ligatures w14:val="standardContextual"/>
          </w:rPr>
          <w:tab/>
        </w:r>
        <w:r w:rsidRPr="00FC437C">
          <w:rPr>
            <w:rStyle w:val="Hyperlink"/>
          </w:rPr>
          <w:t>Agricultural Consultants</w:t>
        </w:r>
        <w:r>
          <w:rPr>
            <w:webHidden/>
          </w:rPr>
          <w:tab/>
        </w:r>
        <w:r>
          <w:rPr>
            <w:webHidden/>
          </w:rPr>
          <w:fldChar w:fldCharType="begin"/>
        </w:r>
        <w:r>
          <w:rPr>
            <w:webHidden/>
          </w:rPr>
          <w:instrText xml:space="preserve"> PAGEREF _Toc224819226 \h </w:instrText>
        </w:r>
        <w:r>
          <w:rPr>
            <w:webHidden/>
          </w:rPr>
        </w:r>
        <w:r>
          <w:rPr>
            <w:webHidden/>
          </w:rPr>
          <w:fldChar w:fldCharType="separate"/>
        </w:r>
        <w:r w:rsidR="00AA17AB">
          <w:rPr>
            <w:webHidden/>
          </w:rPr>
          <w:t>292</w:t>
        </w:r>
        <w:r>
          <w:rPr>
            <w:webHidden/>
          </w:rPr>
          <w:fldChar w:fldCharType="end"/>
        </w:r>
      </w:hyperlink>
    </w:p>
    <w:p w14:paraId="6BF03284" w14:textId="428A8849" w:rsidR="00E67799" w:rsidRDefault="00E67799">
      <w:pPr>
        <w:pStyle w:val="TOC2"/>
        <w:rPr>
          <w:rFonts w:asciiTheme="minorHAnsi" w:eastAsiaTheme="minorEastAsia" w:hAnsiTheme="minorHAnsi" w:cstheme="minorBidi"/>
          <w:kern w:val="2"/>
          <w:szCs w:val="24"/>
          <w14:ligatures w14:val="standardContextual"/>
        </w:rPr>
      </w:pPr>
      <w:hyperlink w:anchor="_Toc224819227"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_Toc224819227 \h </w:instrText>
        </w:r>
        <w:r>
          <w:rPr>
            <w:webHidden/>
          </w:rPr>
        </w:r>
        <w:r>
          <w:rPr>
            <w:webHidden/>
          </w:rPr>
          <w:fldChar w:fldCharType="separate"/>
        </w:r>
        <w:r w:rsidR="00AA17AB">
          <w:rPr>
            <w:webHidden/>
          </w:rPr>
          <w:t>293</w:t>
        </w:r>
        <w:r>
          <w:rPr>
            <w:webHidden/>
          </w:rPr>
          <w:fldChar w:fldCharType="end"/>
        </w:r>
      </w:hyperlink>
    </w:p>
    <w:p w14:paraId="78CEE7E3" w14:textId="7943957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28"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Fees</w:t>
        </w:r>
        <w:r>
          <w:rPr>
            <w:webHidden/>
          </w:rPr>
          <w:tab/>
        </w:r>
        <w:r>
          <w:rPr>
            <w:webHidden/>
          </w:rPr>
          <w:fldChar w:fldCharType="begin"/>
        </w:r>
        <w:r>
          <w:rPr>
            <w:webHidden/>
          </w:rPr>
          <w:instrText xml:space="preserve"> PAGEREF _Toc224819228 \h </w:instrText>
        </w:r>
        <w:r>
          <w:rPr>
            <w:webHidden/>
          </w:rPr>
        </w:r>
        <w:r>
          <w:rPr>
            <w:webHidden/>
          </w:rPr>
          <w:fldChar w:fldCharType="separate"/>
        </w:r>
        <w:r w:rsidR="00AA17AB">
          <w:rPr>
            <w:webHidden/>
          </w:rPr>
          <w:t>293</w:t>
        </w:r>
        <w:r>
          <w:rPr>
            <w:webHidden/>
          </w:rPr>
          <w:fldChar w:fldCharType="end"/>
        </w:r>
      </w:hyperlink>
    </w:p>
    <w:p w14:paraId="34A2EC12" w14:textId="2C730015" w:rsidR="00E67799" w:rsidRDefault="00E67799">
      <w:pPr>
        <w:pStyle w:val="TOC2"/>
        <w:rPr>
          <w:rFonts w:asciiTheme="minorHAnsi" w:eastAsiaTheme="minorEastAsia" w:hAnsiTheme="minorHAnsi" w:cstheme="minorBidi"/>
          <w:kern w:val="2"/>
          <w:szCs w:val="24"/>
          <w14:ligatures w14:val="standardContextual"/>
        </w:rPr>
      </w:pPr>
      <w:hyperlink w:anchor="_Toc224819229" w:history="1">
        <w:r w:rsidRPr="00FC437C">
          <w:rPr>
            <w:rStyle w:val="Hyperlink"/>
          </w:rPr>
          <w:t>Chapter 11.</w:t>
        </w:r>
        <w:r>
          <w:rPr>
            <w:rFonts w:asciiTheme="minorHAnsi" w:eastAsiaTheme="minorEastAsia" w:hAnsiTheme="minorHAnsi" w:cstheme="minorBidi"/>
            <w:kern w:val="2"/>
            <w:szCs w:val="24"/>
            <w14:ligatures w14:val="standardContextual"/>
          </w:rPr>
          <w:tab/>
        </w:r>
        <w:r w:rsidRPr="00FC437C">
          <w:rPr>
            <w:rStyle w:val="Hyperlink"/>
          </w:rPr>
          <w:t>Regulations Governing Application of Pesticides</w:t>
        </w:r>
        <w:r>
          <w:rPr>
            <w:webHidden/>
          </w:rPr>
          <w:tab/>
        </w:r>
        <w:r>
          <w:rPr>
            <w:webHidden/>
          </w:rPr>
          <w:fldChar w:fldCharType="begin"/>
        </w:r>
        <w:r>
          <w:rPr>
            <w:webHidden/>
          </w:rPr>
          <w:instrText xml:space="preserve"> PAGEREF _Toc224819229 \h </w:instrText>
        </w:r>
        <w:r>
          <w:rPr>
            <w:webHidden/>
          </w:rPr>
        </w:r>
        <w:r>
          <w:rPr>
            <w:webHidden/>
          </w:rPr>
          <w:fldChar w:fldCharType="separate"/>
        </w:r>
        <w:r w:rsidR="00AA17AB">
          <w:rPr>
            <w:webHidden/>
          </w:rPr>
          <w:t>293</w:t>
        </w:r>
        <w:r>
          <w:rPr>
            <w:webHidden/>
          </w:rPr>
          <w:fldChar w:fldCharType="end"/>
        </w:r>
      </w:hyperlink>
    </w:p>
    <w:p w14:paraId="69474B13" w14:textId="1C6F97A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0" w:history="1">
        <w:r w:rsidRPr="00FC437C">
          <w:rPr>
            <w:rStyle w:val="Hyperlink"/>
          </w:rPr>
          <w:t>§1101.</w:t>
        </w:r>
        <w:r>
          <w:rPr>
            <w:rFonts w:asciiTheme="minorHAnsi" w:eastAsiaTheme="minorEastAsia" w:hAnsiTheme="minorHAnsi" w:cstheme="minorBidi"/>
            <w:color w:val="auto"/>
            <w:kern w:val="2"/>
            <w:szCs w:val="24"/>
            <w14:ligatures w14:val="standardContextual"/>
          </w:rPr>
          <w:tab/>
        </w:r>
        <w:r w:rsidRPr="00FC437C">
          <w:rPr>
            <w:rStyle w:val="Hyperlink"/>
          </w:rPr>
          <w:t>General Requirements</w:t>
        </w:r>
        <w:r>
          <w:rPr>
            <w:webHidden/>
          </w:rPr>
          <w:tab/>
        </w:r>
        <w:r>
          <w:rPr>
            <w:webHidden/>
          </w:rPr>
          <w:fldChar w:fldCharType="begin"/>
        </w:r>
        <w:r>
          <w:rPr>
            <w:webHidden/>
          </w:rPr>
          <w:instrText xml:space="preserve"> PAGEREF _Toc224819230 \h </w:instrText>
        </w:r>
        <w:r>
          <w:rPr>
            <w:webHidden/>
          </w:rPr>
        </w:r>
        <w:r>
          <w:rPr>
            <w:webHidden/>
          </w:rPr>
          <w:fldChar w:fldCharType="separate"/>
        </w:r>
        <w:r w:rsidR="00AA17AB">
          <w:rPr>
            <w:webHidden/>
          </w:rPr>
          <w:t>293</w:t>
        </w:r>
        <w:r>
          <w:rPr>
            <w:webHidden/>
          </w:rPr>
          <w:fldChar w:fldCharType="end"/>
        </w:r>
      </w:hyperlink>
    </w:p>
    <w:p w14:paraId="6F17FE40" w14:textId="5FE01D6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1" w:history="1">
        <w:r w:rsidRPr="00FC437C">
          <w:rPr>
            <w:rStyle w:val="Hyperlink"/>
          </w:rPr>
          <w:t>§1103.</w:t>
        </w:r>
        <w:r>
          <w:rPr>
            <w:rFonts w:asciiTheme="minorHAnsi" w:eastAsiaTheme="minorEastAsia" w:hAnsiTheme="minorHAnsi" w:cstheme="minorBidi"/>
            <w:color w:val="auto"/>
            <w:kern w:val="2"/>
            <w:szCs w:val="24"/>
            <w14:ligatures w14:val="standardContextual"/>
          </w:rPr>
          <w:tab/>
        </w:r>
        <w:r w:rsidRPr="00FC437C">
          <w:rPr>
            <w:rStyle w:val="Hyperlink"/>
          </w:rPr>
          <w:t>Restrictions on Application of Certain Pesticides</w:t>
        </w:r>
        <w:r>
          <w:rPr>
            <w:webHidden/>
          </w:rPr>
          <w:tab/>
        </w:r>
        <w:r>
          <w:rPr>
            <w:webHidden/>
          </w:rPr>
          <w:fldChar w:fldCharType="begin"/>
        </w:r>
        <w:r>
          <w:rPr>
            <w:webHidden/>
          </w:rPr>
          <w:instrText xml:space="preserve"> PAGEREF _Toc224819231 \h </w:instrText>
        </w:r>
        <w:r>
          <w:rPr>
            <w:webHidden/>
          </w:rPr>
        </w:r>
        <w:r>
          <w:rPr>
            <w:webHidden/>
          </w:rPr>
          <w:fldChar w:fldCharType="separate"/>
        </w:r>
        <w:r w:rsidR="00AA17AB">
          <w:rPr>
            <w:webHidden/>
          </w:rPr>
          <w:t>294</w:t>
        </w:r>
        <w:r>
          <w:rPr>
            <w:webHidden/>
          </w:rPr>
          <w:fldChar w:fldCharType="end"/>
        </w:r>
      </w:hyperlink>
    </w:p>
    <w:p w14:paraId="0681E21A" w14:textId="6ECDBF1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2" w:history="1">
        <w:r w:rsidRPr="00FC437C">
          <w:rPr>
            <w:rStyle w:val="Hyperlink"/>
          </w:rPr>
          <w:t>§1105.</w:t>
        </w:r>
        <w:r>
          <w:rPr>
            <w:rFonts w:asciiTheme="minorHAnsi" w:eastAsiaTheme="minorEastAsia" w:hAnsiTheme="minorHAnsi" w:cstheme="minorBidi"/>
            <w:color w:val="auto"/>
            <w:kern w:val="2"/>
            <w:szCs w:val="24"/>
            <w14:ligatures w14:val="standardContextual"/>
          </w:rPr>
          <w:tab/>
        </w:r>
        <w:r w:rsidRPr="00FC437C">
          <w:rPr>
            <w:rStyle w:val="Hyperlink"/>
          </w:rPr>
          <w:t>Fixed Wing Aircraft; Standards for Commercial Aerial Pesticide Applications</w:t>
        </w:r>
        <w:r>
          <w:rPr>
            <w:webHidden/>
          </w:rPr>
          <w:tab/>
        </w:r>
        <w:r>
          <w:rPr>
            <w:webHidden/>
          </w:rPr>
          <w:fldChar w:fldCharType="begin"/>
        </w:r>
        <w:r>
          <w:rPr>
            <w:webHidden/>
          </w:rPr>
          <w:instrText xml:space="preserve"> PAGEREF _Toc224819232 \h </w:instrText>
        </w:r>
        <w:r>
          <w:rPr>
            <w:webHidden/>
          </w:rPr>
        </w:r>
        <w:r>
          <w:rPr>
            <w:webHidden/>
          </w:rPr>
          <w:fldChar w:fldCharType="separate"/>
        </w:r>
        <w:r w:rsidR="00AA17AB">
          <w:rPr>
            <w:webHidden/>
          </w:rPr>
          <w:t>295</w:t>
        </w:r>
        <w:r>
          <w:rPr>
            <w:webHidden/>
          </w:rPr>
          <w:fldChar w:fldCharType="end"/>
        </w:r>
      </w:hyperlink>
    </w:p>
    <w:p w14:paraId="3FCBB4DF" w14:textId="21FAF1E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3" w:history="1">
        <w:r w:rsidRPr="00FC437C">
          <w:rPr>
            <w:rStyle w:val="Hyperlink"/>
          </w:rPr>
          <w:t>§1107.</w:t>
        </w:r>
        <w:r>
          <w:rPr>
            <w:rFonts w:asciiTheme="minorHAnsi" w:eastAsiaTheme="minorEastAsia" w:hAnsiTheme="minorHAnsi" w:cstheme="minorBidi"/>
            <w:color w:val="auto"/>
            <w:kern w:val="2"/>
            <w:szCs w:val="24"/>
            <w14:ligatures w14:val="standardContextual"/>
          </w:rPr>
          <w:tab/>
        </w:r>
        <w:r w:rsidRPr="00FC437C">
          <w:rPr>
            <w:rStyle w:val="Hyperlink"/>
          </w:rPr>
          <w:t>Waiver of Restrictions</w:t>
        </w:r>
        <w:r>
          <w:rPr>
            <w:webHidden/>
          </w:rPr>
          <w:tab/>
        </w:r>
        <w:r>
          <w:rPr>
            <w:webHidden/>
          </w:rPr>
          <w:fldChar w:fldCharType="begin"/>
        </w:r>
        <w:r>
          <w:rPr>
            <w:webHidden/>
          </w:rPr>
          <w:instrText xml:space="preserve"> PAGEREF _Toc224819233 \h </w:instrText>
        </w:r>
        <w:r>
          <w:rPr>
            <w:webHidden/>
          </w:rPr>
        </w:r>
        <w:r>
          <w:rPr>
            <w:webHidden/>
          </w:rPr>
          <w:fldChar w:fldCharType="separate"/>
        </w:r>
        <w:r w:rsidR="00AA17AB">
          <w:rPr>
            <w:webHidden/>
          </w:rPr>
          <w:t>296</w:t>
        </w:r>
        <w:r>
          <w:rPr>
            <w:webHidden/>
          </w:rPr>
          <w:fldChar w:fldCharType="end"/>
        </w:r>
      </w:hyperlink>
    </w:p>
    <w:p w14:paraId="04E6960C" w14:textId="2BE5BC1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4" w:history="1">
        <w:r w:rsidRPr="00FC437C">
          <w:rPr>
            <w:rStyle w:val="Hyperlink"/>
          </w:rPr>
          <w:t>§1109.</w:t>
        </w:r>
        <w:r>
          <w:rPr>
            <w:rFonts w:asciiTheme="minorHAnsi" w:eastAsiaTheme="minorEastAsia" w:hAnsiTheme="minorHAnsi" w:cstheme="minorBidi"/>
            <w:color w:val="auto"/>
            <w:kern w:val="2"/>
            <w:szCs w:val="24"/>
            <w14:ligatures w14:val="standardContextual"/>
          </w:rPr>
          <w:tab/>
        </w:r>
        <w:r w:rsidRPr="00FC437C">
          <w:rPr>
            <w:rStyle w:val="Hyperlink"/>
          </w:rPr>
          <w:t xml:space="preserve">Special Restrictions on Commercial Aerial Pesticide Applications; Applications in the </w:t>
        </w:r>
        <w:r w:rsidR="00ED0600">
          <w:rPr>
            <w:rStyle w:val="Hyperlink"/>
          </w:rPr>
          <w:br/>
        </w:r>
        <w:r w:rsidR="00ED0600">
          <w:rPr>
            <w:rStyle w:val="Hyperlink"/>
          </w:rPr>
          <w:tab/>
        </w:r>
        <w:r w:rsidRPr="00FC437C">
          <w:rPr>
            <w:rStyle w:val="Hyperlink"/>
          </w:rPr>
          <w:t>Rain and Buffer Zones</w:t>
        </w:r>
        <w:r>
          <w:rPr>
            <w:webHidden/>
          </w:rPr>
          <w:tab/>
        </w:r>
        <w:r>
          <w:rPr>
            <w:webHidden/>
          </w:rPr>
          <w:fldChar w:fldCharType="begin"/>
        </w:r>
        <w:r>
          <w:rPr>
            <w:webHidden/>
          </w:rPr>
          <w:instrText xml:space="preserve"> PAGEREF _Toc224819234 \h </w:instrText>
        </w:r>
        <w:r>
          <w:rPr>
            <w:webHidden/>
          </w:rPr>
        </w:r>
        <w:r>
          <w:rPr>
            <w:webHidden/>
          </w:rPr>
          <w:fldChar w:fldCharType="separate"/>
        </w:r>
        <w:r w:rsidR="00AA17AB">
          <w:rPr>
            <w:webHidden/>
          </w:rPr>
          <w:t>296</w:t>
        </w:r>
        <w:r>
          <w:rPr>
            <w:webHidden/>
          </w:rPr>
          <w:fldChar w:fldCharType="end"/>
        </w:r>
      </w:hyperlink>
    </w:p>
    <w:p w14:paraId="1D170555" w14:textId="4FA9177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5" w:history="1">
        <w:r w:rsidRPr="00FC437C">
          <w:rPr>
            <w:rStyle w:val="Hyperlink"/>
          </w:rPr>
          <w:t>§1111.</w:t>
        </w:r>
        <w:r>
          <w:rPr>
            <w:rFonts w:asciiTheme="minorHAnsi" w:eastAsiaTheme="minorEastAsia" w:hAnsiTheme="minorHAnsi" w:cstheme="minorBidi"/>
            <w:color w:val="auto"/>
            <w:kern w:val="2"/>
            <w:szCs w:val="24"/>
            <w14:ligatures w14:val="standardContextual"/>
          </w:rPr>
          <w:tab/>
        </w:r>
        <w:r w:rsidRPr="00FC437C">
          <w:rPr>
            <w:rStyle w:val="Hyperlink"/>
          </w:rPr>
          <w:t>Special Restrictions on Pesticide Applications in Schools</w:t>
        </w:r>
        <w:r>
          <w:rPr>
            <w:webHidden/>
          </w:rPr>
          <w:tab/>
        </w:r>
        <w:r>
          <w:rPr>
            <w:webHidden/>
          </w:rPr>
          <w:fldChar w:fldCharType="begin"/>
        </w:r>
        <w:r>
          <w:rPr>
            <w:webHidden/>
          </w:rPr>
          <w:instrText xml:space="preserve"> PAGEREF _Toc224819235 \h </w:instrText>
        </w:r>
        <w:r>
          <w:rPr>
            <w:webHidden/>
          </w:rPr>
        </w:r>
        <w:r>
          <w:rPr>
            <w:webHidden/>
          </w:rPr>
          <w:fldChar w:fldCharType="separate"/>
        </w:r>
        <w:r w:rsidR="00AA17AB">
          <w:rPr>
            <w:webHidden/>
          </w:rPr>
          <w:t>296</w:t>
        </w:r>
        <w:r>
          <w:rPr>
            <w:webHidden/>
          </w:rPr>
          <w:fldChar w:fldCharType="end"/>
        </w:r>
      </w:hyperlink>
    </w:p>
    <w:p w14:paraId="17343F7C" w14:textId="05C923F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6" w:history="1">
        <w:r w:rsidRPr="00FC437C">
          <w:rPr>
            <w:rStyle w:val="Hyperlink"/>
          </w:rPr>
          <w:t>§1113.</w:t>
        </w:r>
        <w:r>
          <w:rPr>
            <w:rFonts w:asciiTheme="minorHAnsi" w:eastAsiaTheme="minorEastAsia" w:hAnsiTheme="minorHAnsi" w:cstheme="minorBidi"/>
            <w:color w:val="auto"/>
            <w:kern w:val="2"/>
            <w:szCs w:val="24"/>
            <w14:ligatures w14:val="standardContextual"/>
          </w:rPr>
          <w:tab/>
        </w:r>
        <w:r w:rsidRPr="00FC437C">
          <w:rPr>
            <w:rStyle w:val="Hyperlink"/>
          </w:rPr>
          <w:t>Complaints</w:t>
        </w:r>
        <w:r>
          <w:rPr>
            <w:webHidden/>
          </w:rPr>
          <w:tab/>
        </w:r>
        <w:r>
          <w:rPr>
            <w:webHidden/>
          </w:rPr>
          <w:fldChar w:fldCharType="begin"/>
        </w:r>
        <w:r>
          <w:rPr>
            <w:webHidden/>
          </w:rPr>
          <w:instrText xml:space="preserve"> PAGEREF _Toc224819236 \h </w:instrText>
        </w:r>
        <w:r>
          <w:rPr>
            <w:webHidden/>
          </w:rPr>
        </w:r>
        <w:r>
          <w:rPr>
            <w:webHidden/>
          </w:rPr>
          <w:fldChar w:fldCharType="separate"/>
        </w:r>
        <w:r w:rsidR="00AA17AB">
          <w:rPr>
            <w:webHidden/>
          </w:rPr>
          <w:t>297</w:t>
        </w:r>
        <w:r>
          <w:rPr>
            <w:webHidden/>
          </w:rPr>
          <w:fldChar w:fldCharType="end"/>
        </w:r>
      </w:hyperlink>
    </w:p>
    <w:p w14:paraId="4A7434F7" w14:textId="14905AF3" w:rsidR="00E67799" w:rsidRDefault="00E67799">
      <w:pPr>
        <w:pStyle w:val="TOC2"/>
        <w:rPr>
          <w:rFonts w:asciiTheme="minorHAnsi" w:eastAsiaTheme="minorEastAsia" w:hAnsiTheme="minorHAnsi" w:cstheme="minorBidi"/>
          <w:kern w:val="2"/>
          <w:szCs w:val="24"/>
          <w14:ligatures w14:val="standardContextual"/>
        </w:rPr>
      </w:pPr>
      <w:hyperlink w:anchor="_Toc224819237" w:history="1">
        <w:r w:rsidRPr="00FC437C">
          <w:rPr>
            <w:rStyle w:val="Hyperlink"/>
          </w:rPr>
          <w:t>Chapter 13.</w:t>
        </w:r>
        <w:r>
          <w:rPr>
            <w:rFonts w:asciiTheme="minorHAnsi" w:eastAsiaTheme="minorEastAsia" w:hAnsiTheme="minorHAnsi" w:cstheme="minorBidi"/>
            <w:kern w:val="2"/>
            <w:szCs w:val="24"/>
            <w14:ligatures w14:val="standardContextual"/>
          </w:rPr>
          <w:tab/>
        </w:r>
        <w:r w:rsidRPr="00FC437C">
          <w:rPr>
            <w:rStyle w:val="Hyperlink"/>
          </w:rPr>
          <w:t>Pesticide Containers and Bulk Facilities</w:t>
        </w:r>
        <w:r>
          <w:rPr>
            <w:webHidden/>
          </w:rPr>
          <w:tab/>
        </w:r>
        <w:r>
          <w:rPr>
            <w:webHidden/>
          </w:rPr>
          <w:fldChar w:fldCharType="begin"/>
        </w:r>
        <w:r>
          <w:rPr>
            <w:webHidden/>
          </w:rPr>
          <w:instrText xml:space="preserve"> PAGEREF _Toc224819237 \h </w:instrText>
        </w:r>
        <w:r>
          <w:rPr>
            <w:webHidden/>
          </w:rPr>
        </w:r>
        <w:r>
          <w:rPr>
            <w:webHidden/>
          </w:rPr>
          <w:fldChar w:fldCharType="separate"/>
        </w:r>
        <w:r w:rsidR="00AA17AB">
          <w:rPr>
            <w:webHidden/>
          </w:rPr>
          <w:t>297</w:t>
        </w:r>
        <w:r>
          <w:rPr>
            <w:webHidden/>
          </w:rPr>
          <w:fldChar w:fldCharType="end"/>
        </w:r>
      </w:hyperlink>
    </w:p>
    <w:p w14:paraId="6720B50E" w14:textId="2529048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8" w:history="1">
        <w:r w:rsidRPr="00FC437C">
          <w:rPr>
            <w:rStyle w:val="Hyperlink"/>
          </w:rPr>
          <w:t>§1301.</w:t>
        </w:r>
        <w:r>
          <w:rPr>
            <w:rFonts w:asciiTheme="minorHAnsi" w:eastAsiaTheme="minorEastAsia" w:hAnsiTheme="minorHAnsi" w:cstheme="minorBidi"/>
            <w:color w:val="auto"/>
            <w:kern w:val="2"/>
            <w:szCs w:val="24"/>
            <w14:ligatures w14:val="standardContextual"/>
          </w:rPr>
          <w:tab/>
        </w:r>
        <w:r w:rsidRPr="00FC437C">
          <w:rPr>
            <w:rStyle w:val="Hyperlink"/>
          </w:rPr>
          <w:t>Pesticide Containers</w:t>
        </w:r>
        <w:r>
          <w:rPr>
            <w:webHidden/>
          </w:rPr>
          <w:tab/>
        </w:r>
        <w:r>
          <w:rPr>
            <w:webHidden/>
          </w:rPr>
          <w:fldChar w:fldCharType="begin"/>
        </w:r>
        <w:r>
          <w:rPr>
            <w:webHidden/>
          </w:rPr>
          <w:instrText xml:space="preserve"> PAGEREF _Toc224819238 \h </w:instrText>
        </w:r>
        <w:r>
          <w:rPr>
            <w:webHidden/>
          </w:rPr>
        </w:r>
        <w:r>
          <w:rPr>
            <w:webHidden/>
          </w:rPr>
          <w:fldChar w:fldCharType="separate"/>
        </w:r>
        <w:r w:rsidR="00AA17AB">
          <w:rPr>
            <w:webHidden/>
          </w:rPr>
          <w:t>297</w:t>
        </w:r>
        <w:r>
          <w:rPr>
            <w:webHidden/>
          </w:rPr>
          <w:fldChar w:fldCharType="end"/>
        </w:r>
      </w:hyperlink>
    </w:p>
    <w:p w14:paraId="6CCEC54E" w14:textId="26D5E1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39" w:history="1">
        <w:r w:rsidRPr="00FC437C">
          <w:rPr>
            <w:rStyle w:val="Hyperlink"/>
          </w:rPr>
          <w:t>§1303.</w:t>
        </w:r>
        <w:r>
          <w:rPr>
            <w:rFonts w:asciiTheme="minorHAnsi" w:eastAsiaTheme="minorEastAsia" w:hAnsiTheme="minorHAnsi" w:cstheme="minorBidi"/>
            <w:color w:val="auto"/>
            <w:kern w:val="2"/>
            <w:szCs w:val="24"/>
            <w14:ligatures w14:val="standardContextual"/>
          </w:rPr>
          <w:tab/>
        </w:r>
        <w:r w:rsidRPr="00FC437C">
          <w:rPr>
            <w:rStyle w:val="Hyperlink"/>
          </w:rPr>
          <w:t>Bulk Facilities</w:t>
        </w:r>
        <w:r>
          <w:rPr>
            <w:webHidden/>
          </w:rPr>
          <w:tab/>
        </w:r>
        <w:r>
          <w:rPr>
            <w:webHidden/>
          </w:rPr>
          <w:fldChar w:fldCharType="begin"/>
        </w:r>
        <w:r>
          <w:rPr>
            <w:webHidden/>
          </w:rPr>
          <w:instrText xml:space="preserve"> PAGEREF _Toc224819239 \h </w:instrText>
        </w:r>
        <w:r>
          <w:rPr>
            <w:webHidden/>
          </w:rPr>
        </w:r>
        <w:r>
          <w:rPr>
            <w:webHidden/>
          </w:rPr>
          <w:fldChar w:fldCharType="separate"/>
        </w:r>
        <w:r w:rsidR="00AA17AB">
          <w:rPr>
            <w:webHidden/>
          </w:rPr>
          <w:t>297</w:t>
        </w:r>
        <w:r>
          <w:rPr>
            <w:webHidden/>
          </w:rPr>
          <w:fldChar w:fldCharType="end"/>
        </w:r>
      </w:hyperlink>
    </w:p>
    <w:p w14:paraId="53743EC4" w14:textId="60405902" w:rsidR="00E67799" w:rsidRDefault="00E67799">
      <w:pPr>
        <w:pStyle w:val="TOC2"/>
        <w:rPr>
          <w:rFonts w:asciiTheme="minorHAnsi" w:eastAsiaTheme="minorEastAsia" w:hAnsiTheme="minorHAnsi" w:cstheme="minorBidi"/>
          <w:kern w:val="2"/>
          <w:szCs w:val="24"/>
          <w14:ligatures w14:val="standardContextual"/>
        </w:rPr>
      </w:pPr>
      <w:hyperlink w:anchor="_Toc224819240" w:history="1">
        <w:r w:rsidRPr="00FC437C">
          <w:rPr>
            <w:rStyle w:val="Hyperlink"/>
          </w:rPr>
          <w:t>Chapter 15.</w:t>
        </w:r>
        <w:r>
          <w:rPr>
            <w:rFonts w:asciiTheme="minorHAnsi" w:eastAsiaTheme="minorEastAsia" w:hAnsiTheme="minorHAnsi" w:cstheme="minorBidi"/>
            <w:kern w:val="2"/>
            <w:szCs w:val="24"/>
            <w14:ligatures w14:val="standardContextual"/>
          </w:rPr>
          <w:tab/>
        </w:r>
        <w:r w:rsidRPr="00FC437C">
          <w:rPr>
            <w:rStyle w:val="Hyperlink"/>
          </w:rPr>
          <w:t>Mechanically Powered Pesticide Application Equipment</w:t>
        </w:r>
        <w:r>
          <w:rPr>
            <w:webHidden/>
          </w:rPr>
          <w:tab/>
        </w:r>
        <w:r>
          <w:rPr>
            <w:webHidden/>
          </w:rPr>
          <w:fldChar w:fldCharType="begin"/>
        </w:r>
        <w:r>
          <w:rPr>
            <w:webHidden/>
          </w:rPr>
          <w:instrText xml:space="preserve"> PAGEREF _Toc224819240 \h </w:instrText>
        </w:r>
        <w:r>
          <w:rPr>
            <w:webHidden/>
          </w:rPr>
        </w:r>
        <w:r>
          <w:rPr>
            <w:webHidden/>
          </w:rPr>
          <w:fldChar w:fldCharType="separate"/>
        </w:r>
        <w:r w:rsidR="00AA17AB">
          <w:rPr>
            <w:webHidden/>
          </w:rPr>
          <w:t>299</w:t>
        </w:r>
        <w:r>
          <w:rPr>
            <w:webHidden/>
          </w:rPr>
          <w:fldChar w:fldCharType="end"/>
        </w:r>
      </w:hyperlink>
    </w:p>
    <w:p w14:paraId="2D98C1BE" w14:textId="5FA565E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1" w:history="1">
        <w:r w:rsidRPr="00FC437C">
          <w:rPr>
            <w:rStyle w:val="Hyperlink"/>
          </w:rPr>
          <w:t>§1501.</w:t>
        </w:r>
        <w:r>
          <w:rPr>
            <w:rFonts w:asciiTheme="minorHAnsi" w:eastAsiaTheme="minorEastAsia" w:hAnsiTheme="minorHAnsi" w:cstheme="minorBidi"/>
            <w:color w:val="auto"/>
            <w:kern w:val="2"/>
            <w:szCs w:val="24"/>
            <w14:ligatures w14:val="standardContextual"/>
          </w:rPr>
          <w:tab/>
        </w:r>
        <w:r w:rsidRPr="00FC437C">
          <w:rPr>
            <w:rStyle w:val="Hyperlink"/>
          </w:rPr>
          <w:t>Commercial Applicators</w:t>
        </w:r>
        <w:r>
          <w:rPr>
            <w:webHidden/>
          </w:rPr>
          <w:tab/>
        </w:r>
        <w:r>
          <w:rPr>
            <w:webHidden/>
          </w:rPr>
          <w:fldChar w:fldCharType="begin"/>
        </w:r>
        <w:r>
          <w:rPr>
            <w:webHidden/>
          </w:rPr>
          <w:instrText xml:space="preserve"> PAGEREF _Toc224819241 \h </w:instrText>
        </w:r>
        <w:r>
          <w:rPr>
            <w:webHidden/>
          </w:rPr>
        </w:r>
        <w:r>
          <w:rPr>
            <w:webHidden/>
          </w:rPr>
          <w:fldChar w:fldCharType="separate"/>
        </w:r>
        <w:r w:rsidR="00AA17AB">
          <w:rPr>
            <w:webHidden/>
          </w:rPr>
          <w:t>299</w:t>
        </w:r>
        <w:r>
          <w:rPr>
            <w:webHidden/>
          </w:rPr>
          <w:fldChar w:fldCharType="end"/>
        </w:r>
      </w:hyperlink>
    </w:p>
    <w:p w14:paraId="584D5603" w14:textId="74E6EF17" w:rsidR="00E67799" w:rsidRDefault="00E67799">
      <w:pPr>
        <w:pStyle w:val="TOC2"/>
        <w:rPr>
          <w:rFonts w:asciiTheme="minorHAnsi" w:eastAsiaTheme="minorEastAsia" w:hAnsiTheme="minorHAnsi" w:cstheme="minorBidi"/>
          <w:kern w:val="2"/>
          <w:szCs w:val="24"/>
          <w14:ligatures w14:val="standardContextual"/>
        </w:rPr>
      </w:pPr>
      <w:hyperlink w:anchor="_Toc224819242" w:history="1">
        <w:r w:rsidRPr="00FC437C">
          <w:rPr>
            <w:rStyle w:val="Hyperlink"/>
          </w:rPr>
          <w:t>Chapter 17.</w:t>
        </w:r>
        <w:r>
          <w:rPr>
            <w:rFonts w:asciiTheme="minorHAnsi" w:eastAsiaTheme="minorEastAsia" w:hAnsiTheme="minorHAnsi" w:cstheme="minorBidi"/>
            <w:kern w:val="2"/>
            <w:szCs w:val="24"/>
            <w14:ligatures w14:val="standardContextual"/>
          </w:rPr>
          <w:tab/>
        </w:r>
        <w:r w:rsidRPr="00FC437C">
          <w:rPr>
            <w:rStyle w:val="Hyperlink"/>
          </w:rPr>
          <w:t>Monitoring of Commercial Applicator Operations</w:t>
        </w:r>
        <w:r>
          <w:rPr>
            <w:webHidden/>
          </w:rPr>
          <w:tab/>
        </w:r>
        <w:r>
          <w:rPr>
            <w:webHidden/>
          </w:rPr>
          <w:fldChar w:fldCharType="begin"/>
        </w:r>
        <w:r>
          <w:rPr>
            <w:webHidden/>
          </w:rPr>
          <w:instrText xml:space="preserve"> PAGEREF _Toc224819242 \h </w:instrText>
        </w:r>
        <w:r>
          <w:rPr>
            <w:webHidden/>
          </w:rPr>
        </w:r>
        <w:r>
          <w:rPr>
            <w:webHidden/>
          </w:rPr>
          <w:fldChar w:fldCharType="separate"/>
        </w:r>
        <w:r w:rsidR="00AA17AB">
          <w:rPr>
            <w:webHidden/>
          </w:rPr>
          <w:t>300</w:t>
        </w:r>
        <w:r>
          <w:rPr>
            <w:webHidden/>
          </w:rPr>
          <w:fldChar w:fldCharType="end"/>
        </w:r>
      </w:hyperlink>
    </w:p>
    <w:p w14:paraId="29E98F93" w14:textId="765138C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3" w:history="1">
        <w:r w:rsidRPr="00FC437C">
          <w:rPr>
            <w:rStyle w:val="Hyperlink"/>
          </w:rPr>
          <w:t>§1701.</w:t>
        </w:r>
        <w:r>
          <w:rPr>
            <w:rFonts w:asciiTheme="minorHAnsi" w:eastAsiaTheme="minorEastAsia" w:hAnsiTheme="minorHAnsi" w:cstheme="minorBidi"/>
            <w:color w:val="auto"/>
            <w:kern w:val="2"/>
            <w:szCs w:val="24"/>
            <w14:ligatures w14:val="standardContextual"/>
          </w:rPr>
          <w:tab/>
        </w:r>
        <w:r w:rsidRPr="00FC437C">
          <w:rPr>
            <w:rStyle w:val="Hyperlink"/>
          </w:rPr>
          <w:t>Monitoring of Commercial Applicator Operations</w:t>
        </w:r>
        <w:r>
          <w:rPr>
            <w:webHidden/>
          </w:rPr>
          <w:tab/>
        </w:r>
        <w:r>
          <w:rPr>
            <w:webHidden/>
          </w:rPr>
          <w:fldChar w:fldCharType="begin"/>
        </w:r>
        <w:r>
          <w:rPr>
            <w:webHidden/>
          </w:rPr>
          <w:instrText xml:space="preserve"> PAGEREF _Toc224819243 \h </w:instrText>
        </w:r>
        <w:r>
          <w:rPr>
            <w:webHidden/>
          </w:rPr>
        </w:r>
        <w:r>
          <w:rPr>
            <w:webHidden/>
          </w:rPr>
          <w:fldChar w:fldCharType="separate"/>
        </w:r>
        <w:r w:rsidR="00AA17AB">
          <w:rPr>
            <w:webHidden/>
          </w:rPr>
          <w:t>300</w:t>
        </w:r>
        <w:r>
          <w:rPr>
            <w:webHidden/>
          </w:rPr>
          <w:fldChar w:fldCharType="end"/>
        </w:r>
      </w:hyperlink>
    </w:p>
    <w:p w14:paraId="0035D61E" w14:textId="016B9A6E" w:rsidR="00E67799" w:rsidRDefault="00E67799">
      <w:pPr>
        <w:pStyle w:val="TOC2"/>
        <w:rPr>
          <w:rFonts w:asciiTheme="minorHAnsi" w:eastAsiaTheme="minorEastAsia" w:hAnsiTheme="minorHAnsi" w:cstheme="minorBidi"/>
          <w:kern w:val="2"/>
          <w:szCs w:val="24"/>
          <w14:ligatures w14:val="standardContextual"/>
        </w:rPr>
      </w:pPr>
      <w:hyperlink w:anchor="_Toc224819244" w:history="1">
        <w:r w:rsidRPr="00FC437C">
          <w:rPr>
            <w:rStyle w:val="Hyperlink"/>
          </w:rPr>
          <w:t>Chapter 19.</w:t>
        </w:r>
        <w:r>
          <w:rPr>
            <w:rFonts w:asciiTheme="minorHAnsi" w:eastAsiaTheme="minorEastAsia" w:hAnsiTheme="minorHAnsi" w:cstheme="minorBidi"/>
            <w:kern w:val="2"/>
            <w:szCs w:val="24"/>
            <w14:ligatures w14:val="standardContextual"/>
          </w:rPr>
          <w:tab/>
        </w:r>
        <w:r w:rsidRPr="00FC437C">
          <w:rPr>
            <w:rStyle w:val="Hyperlink"/>
          </w:rPr>
          <w:t>Requirements for Access, Examination and Sampling</w:t>
        </w:r>
        <w:r>
          <w:rPr>
            <w:webHidden/>
          </w:rPr>
          <w:tab/>
        </w:r>
        <w:r>
          <w:rPr>
            <w:webHidden/>
          </w:rPr>
          <w:fldChar w:fldCharType="begin"/>
        </w:r>
        <w:r>
          <w:rPr>
            <w:webHidden/>
          </w:rPr>
          <w:instrText xml:space="preserve"> PAGEREF _Toc224819244 \h </w:instrText>
        </w:r>
        <w:r>
          <w:rPr>
            <w:webHidden/>
          </w:rPr>
        </w:r>
        <w:r>
          <w:rPr>
            <w:webHidden/>
          </w:rPr>
          <w:fldChar w:fldCharType="separate"/>
        </w:r>
        <w:r w:rsidR="00AA17AB">
          <w:rPr>
            <w:webHidden/>
          </w:rPr>
          <w:t>300</w:t>
        </w:r>
        <w:r>
          <w:rPr>
            <w:webHidden/>
          </w:rPr>
          <w:fldChar w:fldCharType="end"/>
        </w:r>
      </w:hyperlink>
    </w:p>
    <w:p w14:paraId="2C63FCF7" w14:textId="3E7230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5" w:history="1">
        <w:r w:rsidRPr="00FC437C">
          <w:rPr>
            <w:rStyle w:val="Hyperlink"/>
          </w:rPr>
          <w:t>§1901.</w:t>
        </w:r>
        <w:r>
          <w:rPr>
            <w:rFonts w:asciiTheme="minorHAnsi" w:eastAsiaTheme="minorEastAsia" w:hAnsiTheme="minorHAnsi" w:cstheme="minorBidi"/>
            <w:color w:val="auto"/>
            <w:kern w:val="2"/>
            <w:szCs w:val="24"/>
            <w14:ligatures w14:val="standardContextual"/>
          </w:rPr>
          <w:tab/>
        </w:r>
        <w:r w:rsidRPr="00FC437C">
          <w:rPr>
            <w:rStyle w:val="Hyperlink"/>
          </w:rPr>
          <w:t>Pesticide Dealers and Pesticide Salespersons</w:t>
        </w:r>
        <w:r>
          <w:rPr>
            <w:webHidden/>
          </w:rPr>
          <w:tab/>
        </w:r>
        <w:r>
          <w:rPr>
            <w:webHidden/>
          </w:rPr>
          <w:fldChar w:fldCharType="begin"/>
        </w:r>
        <w:r>
          <w:rPr>
            <w:webHidden/>
          </w:rPr>
          <w:instrText xml:space="preserve"> PAGEREF _Toc224819245 \h </w:instrText>
        </w:r>
        <w:r>
          <w:rPr>
            <w:webHidden/>
          </w:rPr>
        </w:r>
        <w:r>
          <w:rPr>
            <w:webHidden/>
          </w:rPr>
          <w:fldChar w:fldCharType="separate"/>
        </w:r>
        <w:r w:rsidR="00AA17AB">
          <w:rPr>
            <w:webHidden/>
          </w:rPr>
          <w:t>300</w:t>
        </w:r>
        <w:r>
          <w:rPr>
            <w:webHidden/>
          </w:rPr>
          <w:fldChar w:fldCharType="end"/>
        </w:r>
      </w:hyperlink>
    </w:p>
    <w:p w14:paraId="12EC4ED3" w14:textId="61DA993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6" w:history="1">
        <w:r w:rsidRPr="00FC437C">
          <w:rPr>
            <w:rStyle w:val="Hyperlink"/>
          </w:rPr>
          <w:t>§1903.</w:t>
        </w:r>
        <w:r>
          <w:rPr>
            <w:rFonts w:asciiTheme="minorHAnsi" w:eastAsiaTheme="minorEastAsia" w:hAnsiTheme="minorHAnsi" w:cstheme="minorBidi"/>
            <w:color w:val="auto"/>
            <w:kern w:val="2"/>
            <w:szCs w:val="24"/>
            <w14:ligatures w14:val="standardContextual"/>
          </w:rPr>
          <w:tab/>
        </w:r>
        <w:r w:rsidRPr="00FC437C">
          <w:rPr>
            <w:rStyle w:val="Hyperlink"/>
          </w:rPr>
          <w:t>Agricultural Consultants</w:t>
        </w:r>
        <w:r>
          <w:rPr>
            <w:webHidden/>
          </w:rPr>
          <w:tab/>
        </w:r>
        <w:r>
          <w:rPr>
            <w:webHidden/>
          </w:rPr>
          <w:fldChar w:fldCharType="begin"/>
        </w:r>
        <w:r>
          <w:rPr>
            <w:webHidden/>
          </w:rPr>
          <w:instrText xml:space="preserve"> PAGEREF _Toc224819246 \h </w:instrText>
        </w:r>
        <w:r>
          <w:rPr>
            <w:webHidden/>
          </w:rPr>
        </w:r>
        <w:r>
          <w:rPr>
            <w:webHidden/>
          </w:rPr>
          <w:fldChar w:fldCharType="separate"/>
        </w:r>
        <w:r w:rsidR="00AA17AB">
          <w:rPr>
            <w:webHidden/>
          </w:rPr>
          <w:t>300</w:t>
        </w:r>
        <w:r>
          <w:rPr>
            <w:webHidden/>
          </w:rPr>
          <w:fldChar w:fldCharType="end"/>
        </w:r>
      </w:hyperlink>
    </w:p>
    <w:p w14:paraId="0E98B445" w14:textId="1677601A" w:rsidR="00E67799" w:rsidRDefault="00E67799">
      <w:pPr>
        <w:pStyle w:val="TOC2"/>
        <w:rPr>
          <w:rFonts w:asciiTheme="minorHAnsi" w:eastAsiaTheme="minorEastAsia" w:hAnsiTheme="minorHAnsi" w:cstheme="minorBidi"/>
          <w:kern w:val="2"/>
          <w:szCs w:val="24"/>
          <w14:ligatures w14:val="standardContextual"/>
        </w:rPr>
      </w:pPr>
      <w:hyperlink w:anchor="_Toc224819247" w:history="1">
        <w:r w:rsidRPr="00FC437C">
          <w:rPr>
            <w:rStyle w:val="Hyperlink"/>
          </w:rPr>
          <w:t>Chapter 21.</w:t>
        </w:r>
        <w:r>
          <w:rPr>
            <w:rFonts w:asciiTheme="minorHAnsi" w:eastAsiaTheme="minorEastAsia" w:hAnsiTheme="minorHAnsi" w:cstheme="minorBidi"/>
            <w:kern w:val="2"/>
            <w:szCs w:val="24"/>
            <w14:ligatures w14:val="standardContextual"/>
          </w:rPr>
          <w:tab/>
        </w:r>
        <w:r w:rsidRPr="00FC437C">
          <w:rPr>
            <w:rStyle w:val="Hyperlink"/>
          </w:rPr>
          <w:t>Record Keeping Requirements</w:t>
        </w:r>
        <w:r>
          <w:rPr>
            <w:webHidden/>
          </w:rPr>
          <w:tab/>
        </w:r>
        <w:r>
          <w:rPr>
            <w:webHidden/>
          </w:rPr>
          <w:fldChar w:fldCharType="begin"/>
        </w:r>
        <w:r>
          <w:rPr>
            <w:webHidden/>
          </w:rPr>
          <w:instrText xml:space="preserve"> PAGEREF _Toc224819247 \h </w:instrText>
        </w:r>
        <w:r>
          <w:rPr>
            <w:webHidden/>
          </w:rPr>
        </w:r>
        <w:r>
          <w:rPr>
            <w:webHidden/>
          </w:rPr>
          <w:fldChar w:fldCharType="separate"/>
        </w:r>
        <w:r w:rsidR="00AA17AB">
          <w:rPr>
            <w:webHidden/>
          </w:rPr>
          <w:t>300</w:t>
        </w:r>
        <w:r>
          <w:rPr>
            <w:webHidden/>
          </w:rPr>
          <w:fldChar w:fldCharType="end"/>
        </w:r>
      </w:hyperlink>
    </w:p>
    <w:p w14:paraId="134876B6" w14:textId="4FB4A12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8" w:history="1">
        <w:r w:rsidRPr="00FC437C">
          <w:rPr>
            <w:rStyle w:val="Hyperlink"/>
          </w:rPr>
          <w:t>§2101.</w:t>
        </w:r>
        <w:r>
          <w:rPr>
            <w:rFonts w:asciiTheme="minorHAnsi" w:eastAsiaTheme="minorEastAsia" w:hAnsiTheme="minorHAnsi" w:cstheme="minorBidi"/>
            <w:color w:val="auto"/>
            <w:kern w:val="2"/>
            <w:szCs w:val="24"/>
            <w14:ligatures w14:val="standardContextual"/>
          </w:rPr>
          <w:tab/>
        </w:r>
        <w:r w:rsidRPr="00FC437C">
          <w:rPr>
            <w:rStyle w:val="Hyperlink"/>
          </w:rPr>
          <w:t>Owne</w:t>
        </w:r>
        <w:r w:rsidRPr="00FC437C">
          <w:rPr>
            <w:rStyle w:val="Hyperlink"/>
            <w:spacing w:val="-7"/>
          </w:rPr>
          <w:t>r</w:t>
        </w:r>
        <w:r w:rsidRPr="00FC437C">
          <w:rPr>
            <w:rStyle w:val="Hyperlink"/>
          </w:rPr>
          <w:t>-Operators, Non-Fee Commercial</w:t>
        </w:r>
        <w:r w:rsidRPr="00FC437C">
          <w:rPr>
            <w:rStyle w:val="Hyperlink"/>
            <w:spacing w:val="-11"/>
          </w:rPr>
          <w:t xml:space="preserve"> </w:t>
        </w:r>
        <w:r w:rsidRPr="00FC437C">
          <w:rPr>
            <w:rStyle w:val="Hyperlink"/>
          </w:rPr>
          <w:t>Applicators, Private</w:t>
        </w:r>
        <w:r w:rsidRPr="00FC437C">
          <w:rPr>
            <w:rStyle w:val="Hyperlink"/>
            <w:spacing w:val="-11"/>
          </w:rPr>
          <w:t xml:space="preserve"> </w:t>
        </w:r>
        <w:r w:rsidRPr="00FC437C">
          <w:rPr>
            <w:rStyle w:val="Hyperlink"/>
          </w:rPr>
          <w:t xml:space="preserve">Applicators and </w:t>
        </w:r>
        <w:r w:rsidR="00ED0600">
          <w:rPr>
            <w:rStyle w:val="Hyperlink"/>
          </w:rPr>
          <w:br/>
        </w:r>
        <w:r w:rsidR="00ED0600">
          <w:rPr>
            <w:rStyle w:val="Hyperlink"/>
          </w:rPr>
          <w:tab/>
        </w:r>
        <w:r w:rsidRPr="00FC437C">
          <w:rPr>
            <w:rStyle w:val="Hyperlink"/>
          </w:rPr>
          <w:t>Commercial Applicators</w:t>
        </w:r>
        <w:r>
          <w:rPr>
            <w:webHidden/>
          </w:rPr>
          <w:tab/>
        </w:r>
        <w:r>
          <w:rPr>
            <w:webHidden/>
          </w:rPr>
          <w:fldChar w:fldCharType="begin"/>
        </w:r>
        <w:r>
          <w:rPr>
            <w:webHidden/>
          </w:rPr>
          <w:instrText xml:space="preserve"> PAGEREF _Toc224819248 \h </w:instrText>
        </w:r>
        <w:r>
          <w:rPr>
            <w:webHidden/>
          </w:rPr>
        </w:r>
        <w:r>
          <w:rPr>
            <w:webHidden/>
          </w:rPr>
          <w:fldChar w:fldCharType="separate"/>
        </w:r>
        <w:r w:rsidR="00AA17AB">
          <w:rPr>
            <w:webHidden/>
          </w:rPr>
          <w:t>300</w:t>
        </w:r>
        <w:r>
          <w:rPr>
            <w:webHidden/>
          </w:rPr>
          <w:fldChar w:fldCharType="end"/>
        </w:r>
      </w:hyperlink>
    </w:p>
    <w:p w14:paraId="5DFEEE12" w14:textId="1ED473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49" w:history="1">
        <w:r w:rsidRPr="00FC437C">
          <w:rPr>
            <w:rStyle w:val="Hyperlink"/>
          </w:rPr>
          <w:t>§2103.</w:t>
        </w:r>
        <w:r>
          <w:rPr>
            <w:rFonts w:asciiTheme="minorHAnsi" w:eastAsiaTheme="minorEastAsia" w:hAnsiTheme="minorHAnsi" w:cstheme="minorBidi"/>
            <w:color w:val="auto"/>
            <w:kern w:val="2"/>
            <w:szCs w:val="24"/>
            <w14:ligatures w14:val="standardContextual"/>
          </w:rPr>
          <w:tab/>
        </w:r>
        <w:r w:rsidRPr="00FC437C">
          <w:rPr>
            <w:rStyle w:val="Hyperlink"/>
          </w:rPr>
          <w:t>Pesticide Dealers and Salespersons</w:t>
        </w:r>
        <w:r>
          <w:rPr>
            <w:webHidden/>
          </w:rPr>
          <w:tab/>
        </w:r>
        <w:r>
          <w:rPr>
            <w:webHidden/>
          </w:rPr>
          <w:fldChar w:fldCharType="begin"/>
        </w:r>
        <w:r>
          <w:rPr>
            <w:webHidden/>
          </w:rPr>
          <w:instrText xml:space="preserve"> PAGEREF _Toc224819249 \h </w:instrText>
        </w:r>
        <w:r>
          <w:rPr>
            <w:webHidden/>
          </w:rPr>
        </w:r>
        <w:r>
          <w:rPr>
            <w:webHidden/>
          </w:rPr>
          <w:fldChar w:fldCharType="separate"/>
        </w:r>
        <w:r w:rsidR="00AA17AB">
          <w:rPr>
            <w:webHidden/>
          </w:rPr>
          <w:t>301</w:t>
        </w:r>
        <w:r>
          <w:rPr>
            <w:webHidden/>
          </w:rPr>
          <w:fldChar w:fldCharType="end"/>
        </w:r>
      </w:hyperlink>
    </w:p>
    <w:p w14:paraId="18000D18" w14:textId="44ED34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0" w:history="1">
        <w:r w:rsidRPr="00FC437C">
          <w:rPr>
            <w:rStyle w:val="Hyperlink"/>
          </w:rPr>
          <w:t>§2105.</w:t>
        </w:r>
        <w:r>
          <w:rPr>
            <w:rFonts w:asciiTheme="minorHAnsi" w:eastAsiaTheme="minorEastAsia" w:hAnsiTheme="minorHAnsi" w:cstheme="minorBidi"/>
            <w:color w:val="auto"/>
            <w:kern w:val="2"/>
            <w:szCs w:val="24"/>
            <w14:ligatures w14:val="standardContextual"/>
          </w:rPr>
          <w:tab/>
        </w:r>
        <w:r w:rsidRPr="00FC437C">
          <w:rPr>
            <w:rStyle w:val="Hyperlink"/>
          </w:rPr>
          <w:t>Agricultural Consultants</w:t>
        </w:r>
        <w:r>
          <w:rPr>
            <w:webHidden/>
          </w:rPr>
          <w:tab/>
        </w:r>
        <w:r>
          <w:rPr>
            <w:webHidden/>
          </w:rPr>
          <w:fldChar w:fldCharType="begin"/>
        </w:r>
        <w:r>
          <w:rPr>
            <w:webHidden/>
          </w:rPr>
          <w:instrText xml:space="preserve"> PAGEREF _Toc224819250 \h </w:instrText>
        </w:r>
        <w:r>
          <w:rPr>
            <w:webHidden/>
          </w:rPr>
        </w:r>
        <w:r>
          <w:rPr>
            <w:webHidden/>
          </w:rPr>
          <w:fldChar w:fldCharType="separate"/>
        </w:r>
        <w:r w:rsidR="00AA17AB">
          <w:rPr>
            <w:webHidden/>
          </w:rPr>
          <w:t>301</w:t>
        </w:r>
        <w:r>
          <w:rPr>
            <w:webHidden/>
          </w:rPr>
          <w:fldChar w:fldCharType="end"/>
        </w:r>
      </w:hyperlink>
    </w:p>
    <w:p w14:paraId="5503226A" w14:textId="087D63D2" w:rsidR="00E67799" w:rsidRDefault="00E67799">
      <w:pPr>
        <w:pStyle w:val="TOC2"/>
        <w:rPr>
          <w:rFonts w:asciiTheme="minorHAnsi" w:eastAsiaTheme="minorEastAsia" w:hAnsiTheme="minorHAnsi" w:cstheme="minorBidi"/>
          <w:kern w:val="2"/>
          <w:szCs w:val="24"/>
          <w14:ligatures w14:val="standardContextual"/>
        </w:rPr>
      </w:pPr>
      <w:hyperlink w:anchor="_Toc224819251" w:history="1">
        <w:r w:rsidRPr="00FC437C">
          <w:rPr>
            <w:rStyle w:val="Hyperlink"/>
          </w:rPr>
          <w:t>Chapter 23.</w:t>
        </w:r>
        <w:r>
          <w:rPr>
            <w:rFonts w:asciiTheme="minorHAnsi" w:eastAsiaTheme="minorEastAsia" w:hAnsiTheme="minorHAnsi" w:cstheme="minorBidi"/>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_Toc224819251 \h </w:instrText>
        </w:r>
        <w:r>
          <w:rPr>
            <w:webHidden/>
          </w:rPr>
        </w:r>
        <w:r>
          <w:rPr>
            <w:webHidden/>
          </w:rPr>
          <w:fldChar w:fldCharType="separate"/>
        </w:r>
        <w:r w:rsidR="00AA17AB">
          <w:rPr>
            <w:webHidden/>
          </w:rPr>
          <w:t>302</w:t>
        </w:r>
        <w:r>
          <w:rPr>
            <w:webHidden/>
          </w:rPr>
          <w:fldChar w:fldCharType="end"/>
        </w:r>
      </w:hyperlink>
    </w:p>
    <w:p w14:paraId="744C2E65" w14:textId="2283467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2" w:history="1">
        <w:r w:rsidRPr="00FC437C">
          <w:rPr>
            <w:rStyle w:val="Hyperlink"/>
          </w:rPr>
          <w:t>§2301.</w:t>
        </w:r>
        <w:r>
          <w:rPr>
            <w:rFonts w:asciiTheme="minorHAnsi" w:eastAsiaTheme="minorEastAsia" w:hAnsiTheme="minorHAnsi" w:cstheme="minorBidi"/>
            <w:color w:val="auto"/>
            <w:kern w:val="2"/>
            <w:szCs w:val="24"/>
            <w14:ligatures w14:val="standardContextual"/>
          </w:rPr>
          <w:tab/>
        </w:r>
        <w:r w:rsidRPr="00FC437C">
          <w:rPr>
            <w:rStyle w:val="Hyperlink"/>
          </w:rPr>
          <w:t>Penalties for Violation of Pesticide Statutes and These Regulations</w:t>
        </w:r>
        <w:r>
          <w:rPr>
            <w:webHidden/>
          </w:rPr>
          <w:tab/>
        </w:r>
        <w:r>
          <w:rPr>
            <w:webHidden/>
          </w:rPr>
          <w:fldChar w:fldCharType="begin"/>
        </w:r>
        <w:r>
          <w:rPr>
            <w:webHidden/>
          </w:rPr>
          <w:instrText xml:space="preserve"> PAGEREF _Toc224819252 \h </w:instrText>
        </w:r>
        <w:r>
          <w:rPr>
            <w:webHidden/>
          </w:rPr>
        </w:r>
        <w:r>
          <w:rPr>
            <w:webHidden/>
          </w:rPr>
          <w:fldChar w:fldCharType="separate"/>
        </w:r>
        <w:r w:rsidR="00AA17AB">
          <w:rPr>
            <w:webHidden/>
          </w:rPr>
          <w:t>302</w:t>
        </w:r>
        <w:r>
          <w:rPr>
            <w:webHidden/>
          </w:rPr>
          <w:fldChar w:fldCharType="end"/>
        </w:r>
      </w:hyperlink>
    </w:p>
    <w:p w14:paraId="299CDC7E" w14:textId="541CB052" w:rsidR="00E67799" w:rsidRDefault="00E67799">
      <w:pPr>
        <w:pStyle w:val="TOC2"/>
        <w:rPr>
          <w:rFonts w:asciiTheme="minorHAnsi" w:eastAsiaTheme="minorEastAsia" w:hAnsiTheme="minorHAnsi" w:cstheme="minorBidi"/>
          <w:kern w:val="2"/>
          <w:szCs w:val="24"/>
          <w14:ligatures w14:val="standardContextual"/>
        </w:rPr>
      </w:pPr>
      <w:hyperlink w:anchor="_Toc224819253" w:history="1">
        <w:r w:rsidRPr="00FC437C">
          <w:rPr>
            <w:rStyle w:val="Hyperlink"/>
          </w:rPr>
          <w:t>Chapter 25.</w:t>
        </w:r>
        <w:r>
          <w:rPr>
            <w:rFonts w:asciiTheme="minorHAnsi" w:eastAsiaTheme="minorEastAsia" w:hAnsiTheme="minorHAnsi" w:cstheme="minorBidi"/>
            <w:kern w:val="2"/>
            <w:szCs w:val="24"/>
            <w14:ligatures w14:val="standardContextual"/>
          </w:rPr>
          <w:tab/>
        </w:r>
        <w:r w:rsidRPr="00FC437C">
          <w:rPr>
            <w:rStyle w:val="Hyperlink"/>
          </w:rPr>
          <w:t>General Requirements for Rinsate Water</w:t>
        </w:r>
        <w:r>
          <w:rPr>
            <w:webHidden/>
          </w:rPr>
          <w:tab/>
        </w:r>
        <w:r>
          <w:rPr>
            <w:webHidden/>
          </w:rPr>
          <w:fldChar w:fldCharType="begin"/>
        </w:r>
        <w:r>
          <w:rPr>
            <w:webHidden/>
          </w:rPr>
          <w:instrText xml:space="preserve"> PAGEREF _Toc224819253 \h </w:instrText>
        </w:r>
        <w:r>
          <w:rPr>
            <w:webHidden/>
          </w:rPr>
        </w:r>
        <w:r>
          <w:rPr>
            <w:webHidden/>
          </w:rPr>
          <w:fldChar w:fldCharType="separate"/>
        </w:r>
        <w:r w:rsidR="00AA17AB">
          <w:rPr>
            <w:webHidden/>
          </w:rPr>
          <w:t>302</w:t>
        </w:r>
        <w:r>
          <w:rPr>
            <w:webHidden/>
          </w:rPr>
          <w:fldChar w:fldCharType="end"/>
        </w:r>
      </w:hyperlink>
    </w:p>
    <w:p w14:paraId="01C394BC" w14:textId="39DFF74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4" w:history="1">
        <w:r w:rsidRPr="00FC437C">
          <w:rPr>
            <w:rStyle w:val="Hyperlink"/>
          </w:rPr>
          <w:t>§2501.</w:t>
        </w:r>
        <w:r>
          <w:rPr>
            <w:rFonts w:asciiTheme="minorHAnsi" w:eastAsiaTheme="minorEastAsia" w:hAnsiTheme="minorHAnsi" w:cstheme="minorBidi"/>
            <w:color w:val="auto"/>
            <w:kern w:val="2"/>
            <w:szCs w:val="24"/>
            <w14:ligatures w14:val="standardContextual"/>
          </w:rPr>
          <w:tab/>
        </w:r>
        <w:r w:rsidRPr="00FC437C">
          <w:rPr>
            <w:rStyle w:val="Hyperlink"/>
          </w:rPr>
          <w:t>Rinsate Water</w:t>
        </w:r>
        <w:r>
          <w:rPr>
            <w:webHidden/>
          </w:rPr>
          <w:tab/>
        </w:r>
        <w:r>
          <w:rPr>
            <w:webHidden/>
          </w:rPr>
          <w:fldChar w:fldCharType="begin"/>
        </w:r>
        <w:r>
          <w:rPr>
            <w:webHidden/>
          </w:rPr>
          <w:instrText xml:space="preserve"> PAGEREF _Toc224819254 \h </w:instrText>
        </w:r>
        <w:r>
          <w:rPr>
            <w:webHidden/>
          </w:rPr>
        </w:r>
        <w:r>
          <w:rPr>
            <w:webHidden/>
          </w:rPr>
          <w:fldChar w:fldCharType="separate"/>
        </w:r>
        <w:r w:rsidR="00AA17AB">
          <w:rPr>
            <w:webHidden/>
          </w:rPr>
          <w:t>302</w:t>
        </w:r>
        <w:r>
          <w:rPr>
            <w:webHidden/>
          </w:rPr>
          <w:fldChar w:fldCharType="end"/>
        </w:r>
      </w:hyperlink>
    </w:p>
    <w:p w14:paraId="472DA44C" w14:textId="01897AE0" w:rsidR="00E67799" w:rsidRDefault="00E67799">
      <w:pPr>
        <w:pStyle w:val="TOC2"/>
        <w:rPr>
          <w:rFonts w:asciiTheme="minorHAnsi" w:eastAsiaTheme="minorEastAsia" w:hAnsiTheme="minorHAnsi" w:cstheme="minorBidi"/>
          <w:kern w:val="2"/>
          <w:szCs w:val="24"/>
          <w14:ligatures w14:val="standardContextual"/>
        </w:rPr>
      </w:pPr>
      <w:hyperlink w:anchor="_Toc224819255" w:history="1">
        <w:r w:rsidRPr="00FC437C">
          <w:rPr>
            <w:rStyle w:val="Hyperlink"/>
          </w:rPr>
          <w:t>Chapter 27.</w:t>
        </w:r>
        <w:r>
          <w:rPr>
            <w:rFonts w:asciiTheme="minorHAnsi" w:eastAsiaTheme="minorEastAsia" w:hAnsiTheme="minorHAnsi" w:cstheme="minorBidi"/>
            <w:kern w:val="2"/>
            <w:szCs w:val="24"/>
            <w14:ligatures w14:val="standardContextual"/>
          </w:rPr>
          <w:tab/>
        </w:r>
        <w:r w:rsidRPr="00FC437C">
          <w:rPr>
            <w:rStyle w:val="Hyperlink"/>
          </w:rPr>
          <w:t>Handling Pesticide Spills by Applicators</w:t>
        </w:r>
        <w:r>
          <w:rPr>
            <w:webHidden/>
          </w:rPr>
          <w:tab/>
        </w:r>
        <w:r>
          <w:rPr>
            <w:webHidden/>
          </w:rPr>
          <w:fldChar w:fldCharType="begin"/>
        </w:r>
        <w:r>
          <w:rPr>
            <w:webHidden/>
          </w:rPr>
          <w:instrText xml:space="preserve"> PAGEREF _Toc224819255 \h </w:instrText>
        </w:r>
        <w:r>
          <w:rPr>
            <w:webHidden/>
          </w:rPr>
        </w:r>
        <w:r>
          <w:rPr>
            <w:webHidden/>
          </w:rPr>
          <w:fldChar w:fldCharType="separate"/>
        </w:r>
        <w:r w:rsidR="00AA17AB">
          <w:rPr>
            <w:webHidden/>
          </w:rPr>
          <w:t>302</w:t>
        </w:r>
        <w:r>
          <w:rPr>
            <w:webHidden/>
          </w:rPr>
          <w:fldChar w:fldCharType="end"/>
        </w:r>
      </w:hyperlink>
    </w:p>
    <w:p w14:paraId="3D04D3B3" w14:textId="10AFD68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6" w:history="1">
        <w:r w:rsidRPr="00FC437C">
          <w:rPr>
            <w:rStyle w:val="Hyperlink"/>
          </w:rPr>
          <w:t>§2701.</w:t>
        </w:r>
        <w:r>
          <w:rPr>
            <w:rFonts w:asciiTheme="minorHAnsi" w:eastAsiaTheme="minorEastAsia" w:hAnsiTheme="minorHAnsi" w:cstheme="minorBidi"/>
            <w:color w:val="auto"/>
            <w:kern w:val="2"/>
            <w:szCs w:val="24"/>
            <w14:ligatures w14:val="standardContextual"/>
          </w:rPr>
          <w:tab/>
        </w:r>
        <w:r w:rsidRPr="00FC437C">
          <w:rPr>
            <w:rStyle w:val="Hyperlink"/>
          </w:rPr>
          <w:t>Handling Pesticide Spills</w:t>
        </w:r>
        <w:r>
          <w:rPr>
            <w:webHidden/>
          </w:rPr>
          <w:tab/>
        </w:r>
        <w:r>
          <w:rPr>
            <w:webHidden/>
          </w:rPr>
          <w:fldChar w:fldCharType="begin"/>
        </w:r>
        <w:r>
          <w:rPr>
            <w:webHidden/>
          </w:rPr>
          <w:instrText xml:space="preserve"> PAGEREF _Toc224819256 \h </w:instrText>
        </w:r>
        <w:r>
          <w:rPr>
            <w:webHidden/>
          </w:rPr>
        </w:r>
        <w:r>
          <w:rPr>
            <w:webHidden/>
          </w:rPr>
          <w:fldChar w:fldCharType="separate"/>
        </w:r>
        <w:r w:rsidR="00AA17AB">
          <w:rPr>
            <w:webHidden/>
          </w:rPr>
          <w:t>302</w:t>
        </w:r>
        <w:r>
          <w:rPr>
            <w:webHidden/>
          </w:rPr>
          <w:fldChar w:fldCharType="end"/>
        </w:r>
      </w:hyperlink>
    </w:p>
    <w:p w14:paraId="7D3A4D92" w14:textId="0CCDAE9E" w:rsidR="00E67799" w:rsidRDefault="00E67799">
      <w:pPr>
        <w:pStyle w:val="TOC2"/>
        <w:rPr>
          <w:rFonts w:asciiTheme="minorHAnsi" w:eastAsiaTheme="minorEastAsia" w:hAnsiTheme="minorHAnsi" w:cstheme="minorBidi"/>
          <w:kern w:val="2"/>
          <w:szCs w:val="24"/>
          <w14:ligatures w14:val="standardContextual"/>
        </w:rPr>
      </w:pPr>
      <w:hyperlink w:anchor="_Toc224819257" w:history="1">
        <w:r w:rsidRPr="00FC437C">
          <w:rPr>
            <w:rStyle w:val="Hyperlink"/>
          </w:rPr>
          <w:t>Chapter 29.</w:t>
        </w:r>
        <w:r>
          <w:rPr>
            <w:rFonts w:asciiTheme="minorHAnsi" w:eastAsiaTheme="minorEastAsia" w:hAnsiTheme="minorHAnsi" w:cstheme="minorBidi"/>
            <w:kern w:val="2"/>
            <w:szCs w:val="24"/>
            <w14:ligatures w14:val="standardContextual"/>
          </w:rPr>
          <w:tab/>
        </w:r>
        <w:r w:rsidRPr="00FC437C">
          <w:rPr>
            <w:rStyle w:val="Hyperlink"/>
          </w:rPr>
          <w:t>Emergency Procedures Related to Pesticides</w:t>
        </w:r>
        <w:r>
          <w:rPr>
            <w:webHidden/>
          </w:rPr>
          <w:tab/>
        </w:r>
        <w:r>
          <w:rPr>
            <w:webHidden/>
          </w:rPr>
          <w:fldChar w:fldCharType="begin"/>
        </w:r>
        <w:r>
          <w:rPr>
            <w:webHidden/>
          </w:rPr>
          <w:instrText xml:space="preserve"> PAGEREF _Toc224819257 \h </w:instrText>
        </w:r>
        <w:r>
          <w:rPr>
            <w:webHidden/>
          </w:rPr>
        </w:r>
        <w:r>
          <w:rPr>
            <w:webHidden/>
          </w:rPr>
          <w:fldChar w:fldCharType="separate"/>
        </w:r>
        <w:r w:rsidR="00AA17AB">
          <w:rPr>
            <w:webHidden/>
          </w:rPr>
          <w:t>302</w:t>
        </w:r>
        <w:r>
          <w:rPr>
            <w:webHidden/>
          </w:rPr>
          <w:fldChar w:fldCharType="end"/>
        </w:r>
      </w:hyperlink>
    </w:p>
    <w:p w14:paraId="40BEC82F" w14:textId="183F6E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8" w:history="1">
        <w:r w:rsidRPr="00FC437C">
          <w:rPr>
            <w:rStyle w:val="Hyperlink"/>
          </w:rPr>
          <w:t>§2901.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_Toc224819258 \h </w:instrText>
        </w:r>
        <w:r>
          <w:rPr>
            <w:webHidden/>
          </w:rPr>
        </w:r>
        <w:r>
          <w:rPr>
            <w:webHidden/>
          </w:rPr>
          <w:fldChar w:fldCharType="separate"/>
        </w:r>
        <w:r w:rsidR="00AA17AB">
          <w:rPr>
            <w:webHidden/>
          </w:rPr>
          <w:t>302</w:t>
        </w:r>
        <w:r>
          <w:rPr>
            <w:webHidden/>
          </w:rPr>
          <w:fldChar w:fldCharType="end"/>
        </w:r>
      </w:hyperlink>
    </w:p>
    <w:p w14:paraId="72128D83" w14:textId="7BF13B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59" w:history="1">
        <w:r w:rsidRPr="00FC437C">
          <w:rPr>
            <w:rStyle w:val="Hyperlink"/>
          </w:rPr>
          <w:t>§2903.</w:t>
        </w:r>
        <w:r>
          <w:rPr>
            <w:rFonts w:asciiTheme="minorHAnsi" w:eastAsiaTheme="minorEastAsia" w:hAnsiTheme="minorHAnsi" w:cstheme="minorBidi"/>
            <w:color w:val="auto"/>
            <w:kern w:val="2"/>
            <w:szCs w:val="24"/>
            <w14:ligatures w14:val="standardContextual"/>
          </w:rPr>
          <w:tab/>
        </w:r>
        <w:r w:rsidRPr="00FC437C">
          <w:rPr>
            <w:rStyle w:val="Hyperlink"/>
          </w:rPr>
          <w:t>Identification of Emergency</w:t>
        </w:r>
        <w:r>
          <w:rPr>
            <w:webHidden/>
          </w:rPr>
          <w:tab/>
        </w:r>
        <w:r>
          <w:rPr>
            <w:webHidden/>
          </w:rPr>
          <w:fldChar w:fldCharType="begin"/>
        </w:r>
        <w:r>
          <w:rPr>
            <w:webHidden/>
          </w:rPr>
          <w:instrText xml:space="preserve"> PAGEREF _Toc224819259 \h </w:instrText>
        </w:r>
        <w:r>
          <w:rPr>
            <w:webHidden/>
          </w:rPr>
        </w:r>
        <w:r>
          <w:rPr>
            <w:webHidden/>
          </w:rPr>
          <w:fldChar w:fldCharType="separate"/>
        </w:r>
        <w:r w:rsidR="00AA17AB">
          <w:rPr>
            <w:webHidden/>
          </w:rPr>
          <w:t>302</w:t>
        </w:r>
        <w:r>
          <w:rPr>
            <w:webHidden/>
          </w:rPr>
          <w:fldChar w:fldCharType="end"/>
        </w:r>
      </w:hyperlink>
    </w:p>
    <w:p w14:paraId="4CCBBDA5" w14:textId="439C8D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0" w:history="1">
        <w:r w:rsidRPr="00FC437C">
          <w:rPr>
            <w:rStyle w:val="Hyperlink"/>
          </w:rPr>
          <w:t>§2905.</w:t>
        </w:r>
        <w:r>
          <w:rPr>
            <w:rFonts w:asciiTheme="minorHAnsi" w:eastAsiaTheme="minorEastAsia" w:hAnsiTheme="minorHAnsi" w:cstheme="minorBidi"/>
            <w:color w:val="auto"/>
            <w:kern w:val="2"/>
            <w:szCs w:val="24"/>
            <w14:ligatures w14:val="standardContextual"/>
          </w:rPr>
          <w:tab/>
        </w:r>
        <w:r w:rsidRPr="00FC437C">
          <w:rPr>
            <w:rStyle w:val="Hyperlink"/>
          </w:rPr>
          <w:t>Declaration of Emergency</w:t>
        </w:r>
        <w:r>
          <w:rPr>
            <w:webHidden/>
          </w:rPr>
          <w:tab/>
        </w:r>
        <w:r>
          <w:rPr>
            <w:webHidden/>
          </w:rPr>
          <w:fldChar w:fldCharType="begin"/>
        </w:r>
        <w:r>
          <w:rPr>
            <w:webHidden/>
          </w:rPr>
          <w:instrText xml:space="preserve"> PAGEREF _Toc224819260 \h </w:instrText>
        </w:r>
        <w:r>
          <w:rPr>
            <w:webHidden/>
          </w:rPr>
        </w:r>
        <w:r>
          <w:rPr>
            <w:webHidden/>
          </w:rPr>
          <w:fldChar w:fldCharType="separate"/>
        </w:r>
        <w:r w:rsidR="00AA17AB">
          <w:rPr>
            <w:webHidden/>
          </w:rPr>
          <w:t>303</w:t>
        </w:r>
        <w:r>
          <w:rPr>
            <w:webHidden/>
          </w:rPr>
          <w:fldChar w:fldCharType="end"/>
        </w:r>
      </w:hyperlink>
    </w:p>
    <w:p w14:paraId="3F3741E0" w14:textId="2A8BAD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1" w:history="1">
        <w:r w:rsidRPr="00FC437C">
          <w:rPr>
            <w:rStyle w:val="Hyperlink"/>
          </w:rPr>
          <w:t>§2907.</w:t>
        </w:r>
        <w:r>
          <w:rPr>
            <w:rFonts w:asciiTheme="minorHAnsi" w:eastAsiaTheme="minorEastAsia" w:hAnsiTheme="minorHAnsi" w:cstheme="minorBidi"/>
            <w:color w:val="auto"/>
            <w:kern w:val="2"/>
            <w:szCs w:val="24"/>
            <w14:ligatures w14:val="standardContextual"/>
          </w:rPr>
          <w:tab/>
        </w:r>
        <w:r w:rsidRPr="00FC437C">
          <w:rPr>
            <w:rStyle w:val="Hyperlink"/>
          </w:rPr>
          <w:t>Response to Emergency</w:t>
        </w:r>
        <w:r>
          <w:rPr>
            <w:webHidden/>
          </w:rPr>
          <w:tab/>
        </w:r>
        <w:r>
          <w:rPr>
            <w:webHidden/>
          </w:rPr>
          <w:fldChar w:fldCharType="begin"/>
        </w:r>
        <w:r>
          <w:rPr>
            <w:webHidden/>
          </w:rPr>
          <w:instrText xml:space="preserve"> PAGEREF _Toc224819261 \h </w:instrText>
        </w:r>
        <w:r>
          <w:rPr>
            <w:webHidden/>
          </w:rPr>
        </w:r>
        <w:r>
          <w:rPr>
            <w:webHidden/>
          </w:rPr>
          <w:fldChar w:fldCharType="separate"/>
        </w:r>
        <w:r w:rsidR="00AA17AB">
          <w:rPr>
            <w:webHidden/>
          </w:rPr>
          <w:t>303</w:t>
        </w:r>
        <w:r>
          <w:rPr>
            <w:webHidden/>
          </w:rPr>
          <w:fldChar w:fldCharType="end"/>
        </w:r>
      </w:hyperlink>
    </w:p>
    <w:p w14:paraId="45E70D89" w14:textId="2E5168E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2" w:history="1">
        <w:r w:rsidRPr="00FC437C">
          <w:rPr>
            <w:rStyle w:val="Hyperlink"/>
          </w:rPr>
          <w:t>§2909.</w:t>
        </w:r>
        <w:r>
          <w:rPr>
            <w:rFonts w:asciiTheme="minorHAnsi" w:eastAsiaTheme="minorEastAsia" w:hAnsiTheme="minorHAnsi" w:cstheme="minorBidi"/>
            <w:color w:val="auto"/>
            <w:kern w:val="2"/>
            <w:szCs w:val="24"/>
            <w14:ligatures w14:val="standardContextual"/>
          </w:rPr>
          <w:tab/>
        </w:r>
        <w:r w:rsidRPr="00FC437C">
          <w:rPr>
            <w:rStyle w:val="Hyperlink"/>
          </w:rPr>
          <w:t>Declaration of Termination of Emergency</w:t>
        </w:r>
        <w:r>
          <w:rPr>
            <w:webHidden/>
          </w:rPr>
          <w:tab/>
        </w:r>
        <w:r>
          <w:rPr>
            <w:webHidden/>
          </w:rPr>
          <w:fldChar w:fldCharType="begin"/>
        </w:r>
        <w:r>
          <w:rPr>
            <w:webHidden/>
          </w:rPr>
          <w:instrText xml:space="preserve"> PAGEREF _Toc224819262 \h </w:instrText>
        </w:r>
        <w:r>
          <w:rPr>
            <w:webHidden/>
          </w:rPr>
        </w:r>
        <w:r>
          <w:rPr>
            <w:webHidden/>
          </w:rPr>
          <w:fldChar w:fldCharType="separate"/>
        </w:r>
        <w:r w:rsidR="00AA17AB">
          <w:rPr>
            <w:webHidden/>
          </w:rPr>
          <w:t>304</w:t>
        </w:r>
        <w:r>
          <w:rPr>
            <w:webHidden/>
          </w:rPr>
          <w:fldChar w:fldCharType="end"/>
        </w:r>
      </w:hyperlink>
    </w:p>
    <w:p w14:paraId="4BFF0E78" w14:textId="714F7694" w:rsidR="00E67799" w:rsidRDefault="00E67799">
      <w:pPr>
        <w:pStyle w:val="TOC2"/>
        <w:rPr>
          <w:rFonts w:asciiTheme="minorHAnsi" w:eastAsiaTheme="minorEastAsia" w:hAnsiTheme="minorHAnsi" w:cstheme="minorBidi"/>
          <w:kern w:val="2"/>
          <w:szCs w:val="24"/>
          <w14:ligatures w14:val="standardContextual"/>
        </w:rPr>
      </w:pPr>
      <w:hyperlink w:anchor="_Toc224819263" w:history="1">
        <w:r w:rsidRPr="00FC437C">
          <w:rPr>
            <w:rStyle w:val="Hyperlink"/>
          </w:rPr>
          <w:t>Chapter 31.</w:t>
        </w:r>
        <w:r>
          <w:rPr>
            <w:rFonts w:asciiTheme="minorHAnsi" w:eastAsiaTheme="minorEastAsia" w:hAnsiTheme="minorHAnsi" w:cstheme="minorBidi"/>
            <w:kern w:val="2"/>
            <w:szCs w:val="24"/>
            <w14:ligatures w14:val="standardContextual"/>
          </w:rPr>
          <w:tab/>
        </w:r>
        <w:r w:rsidRPr="00FC437C">
          <w:rPr>
            <w:rStyle w:val="Hyperlink"/>
          </w:rPr>
          <w:t>Water Protection</w:t>
        </w:r>
        <w:r>
          <w:rPr>
            <w:webHidden/>
          </w:rPr>
          <w:tab/>
        </w:r>
        <w:r>
          <w:rPr>
            <w:webHidden/>
          </w:rPr>
          <w:fldChar w:fldCharType="begin"/>
        </w:r>
        <w:r>
          <w:rPr>
            <w:webHidden/>
          </w:rPr>
          <w:instrText xml:space="preserve"> PAGEREF _Toc224819263 \h </w:instrText>
        </w:r>
        <w:r>
          <w:rPr>
            <w:webHidden/>
          </w:rPr>
        </w:r>
        <w:r>
          <w:rPr>
            <w:webHidden/>
          </w:rPr>
          <w:fldChar w:fldCharType="separate"/>
        </w:r>
        <w:r w:rsidR="00AA17AB">
          <w:rPr>
            <w:webHidden/>
          </w:rPr>
          <w:t>304</w:t>
        </w:r>
        <w:r>
          <w:rPr>
            <w:webHidden/>
          </w:rPr>
          <w:fldChar w:fldCharType="end"/>
        </w:r>
      </w:hyperlink>
    </w:p>
    <w:p w14:paraId="12DAF94C" w14:textId="5768E60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4" w:history="1">
        <w:r w:rsidRPr="00FC437C">
          <w:rPr>
            <w:rStyle w:val="Hyperlink"/>
          </w:rPr>
          <w:t>§3101.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_Toc224819264 \h </w:instrText>
        </w:r>
        <w:r>
          <w:rPr>
            <w:webHidden/>
          </w:rPr>
        </w:r>
        <w:r>
          <w:rPr>
            <w:webHidden/>
          </w:rPr>
          <w:fldChar w:fldCharType="separate"/>
        </w:r>
        <w:r w:rsidR="00AA17AB">
          <w:rPr>
            <w:webHidden/>
          </w:rPr>
          <w:t>304</w:t>
        </w:r>
        <w:r>
          <w:rPr>
            <w:webHidden/>
          </w:rPr>
          <w:fldChar w:fldCharType="end"/>
        </w:r>
      </w:hyperlink>
    </w:p>
    <w:p w14:paraId="759A9B11" w14:textId="383DFD9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5" w:history="1">
        <w:r w:rsidRPr="00FC437C">
          <w:rPr>
            <w:rStyle w:val="Hyperlink"/>
          </w:rPr>
          <w:t>§3103.</w:t>
        </w:r>
        <w:r>
          <w:rPr>
            <w:rFonts w:asciiTheme="minorHAnsi" w:eastAsiaTheme="minorEastAsia" w:hAnsiTheme="minorHAnsi" w:cstheme="minorBidi"/>
            <w:color w:val="auto"/>
            <w:kern w:val="2"/>
            <w:szCs w:val="24"/>
            <w14:ligatures w14:val="standardContextual"/>
          </w:rPr>
          <w:tab/>
        </w:r>
        <w:r w:rsidRPr="00FC437C">
          <w:rPr>
            <w:rStyle w:val="Hyperlink"/>
          </w:rPr>
          <w:t>Establishment of Standards for Pesticides in Water</w:t>
        </w:r>
        <w:r>
          <w:rPr>
            <w:webHidden/>
          </w:rPr>
          <w:tab/>
        </w:r>
        <w:r>
          <w:rPr>
            <w:webHidden/>
          </w:rPr>
          <w:fldChar w:fldCharType="begin"/>
        </w:r>
        <w:r>
          <w:rPr>
            <w:webHidden/>
          </w:rPr>
          <w:instrText xml:space="preserve"> PAGEREF _Toc224819265 \h </w:instrText>
        </w:r>
        <w:r>
          <w:rPr>
            <w:webHidden/>
          </w:rPr>
        </w:r>
        <w:r>
          <w:rPr>
            <w:webHidden/>
          </w:rPr>
          <w:fldChar w:fldCharType="separate"/>
        </w:r>
        <w:r w:rsidR="00AA17AB">
          <w:rPr>
            <w:webHidden/>
          </w:rPr>
          <w:t>304</w:t>
        </w:r>
        <w:r>
          <w:rPr>
            <w:webHidden/>
          </w:rPr>
          <w:fldChar w:fldCharType="end"/>
        </w:r>
      </w:hyperlink>
    </w:p>
    <w:p w14:paraId="473BDFCC" w14:textId="091A961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6" w:history="1">
        <w:r w:rsidRPr="00FC437C">
          <w:rPr>
            <w:rStyle w:val="Hyperlink"/>
          </w:rPr>
          <w:t>§3105.</w:t>
        </w:r>
        <w:r>
          <w:rPr>
            <w:rFonts w:asciiTheme="minorHAnsi" w:eastAsiaTheme="minorEastAsia" w:hAnsiTheme="minorHAnsi" w:cstheme="minorBidi"/>
            <w:color w:val="auto"/>
            <w:kern w:val="2"/>
            <w:szCs w:val="24"/>
            <w14:ligatures w14:val="standardContextual"/>
          </w:rPr>
          <w:tab/>
        </w:r>
        <w:r w:rsidRPr="00FC437C">
          <w:rPr>
            <w:rStyle w:val="Hyperlink"/>
          </w:rPr>
          <w:t>Procedures for the Determination of Threats</w:t>
        </w:r>
        <w:r>
          <w:rPr>
            <w:webHidden/>
          </w:rPr>
          <w:tab/>
        </w:r>
        <w:r>
          <w:rPr>
            <w:webHidden/>
          </w:rPr>
          <w:fldChar w:fldCharType="begin"/>
        </w:r>
        <w:r>
          <w:rPr>
            <w:webHidden/>
          </w:rPr>
          <w:instrText xml:space="preserve"> PAGEREF _Toc224819266 \h </w:instrText>
        </w:r>
        <w:r>
          <w:rPr>
            <w:webHidden/>
          </w:rPr>
        </w:r>
        <w:r>
          <w:rPr>
            <w:webHidden/>
          </w:rPr>
          <w:fldChar w:fldCharType="separate"/>
        </w:r>
        <w:r w:rsidR="00AA17AB">
          <w:rPr>
            <w:webHidden/>
          </w:rPr>
          <w:t>304</w:t>
        </w:r>
        <w:r>
          <w:rPr>
            <w:webHidden/>
          </w:rPr>
          <w:fldChar w:fldCharType="end"/>
        </w:r>
      </w:hyperlink>
    </w:p>
    <w:p w14:paraId="5F05826E" w14:textId="077924C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7" w:history="1">
        <w:r w:rsidRPr="00FC437C">
          <w:rPr>
            <w:rStyle w:val="Hyperlink"/>
          </w:rPr>
          <w:t>§3107.</w:t>
        </w:r>
        <w:r>
          <w:rPr>
            <w:rFonts w:asciiTheme="minorHAnsi" w:eastAsiaTheme="minorEastAsia" w:hAnsiTheme="minorHAnsi" w:cstheme="minorBidi"/>
            <w:color w:val="auto"/>
            <w:kern w:val="2"/>
            <w:szCs w:val="24"/>
            <w14:ligatures w14:val="standardContextual"/>
          </w:rPr>
          <w:tab/>
        </w:r>
        <w:r w:rsidRPr="00FC437C">
          <w:rPr>
            <w:rStyle w:val="Hyperlink"/>
          </w:rPr>
          <w:t>Determination of Appropriate Action</w:t>
        </w:r>
        <w:r>
          <w:rPr>
            <w:webHidden/>
          </w:rPr>
          <w:tab/>
        </w:r>
        <w:r>
          <w:rPr>
            <w:webHidden/>
          </w:rPr>
          <w:fldChar w:fldCharType="begin"/>
        </w:r>
        <w:r>
          <w:rPr>
            <w:webHidden/>
          </w:rPr>
          <w:instrText xml:space="preserve"> PAGEREF _Toc224819267 \h </w:instrText>
        </w:r>
        <w:r>
          <w:rPr>
            <w:webHidden/>
          </w:rPr>
        </w:r>
        <w:r>
          <w:rPr>
            <w:webHidden/>
          </w:rPr>
          <w:fldChar w:fldCharType="separate"/>
        </w:r>
        <w:r w:rsidR="00AA17AB">
          <w:rPr>
            <w:webHidden/>
          </w:rPr>
          <w:t>305</w:t>
        </w:r>
        <w:r>
          <w:rPr>
            <w:webHidden/>
          </w:rPr>
          <w:fldChar w:fldCharType="end"/>
        </w:r>
      </w:hyperlink>
    </w:p>
    <w:p w14:paraId="71699052" w14:textId="0BD6CEB1" w:rsidR="00E67799" w:rsidRDefault="00E67799">
      <w:pPr>
        <w:pStyle w:val="TOC2"/>
        <w:rPr>
          <w:rFonts w:asciiTheme="minorHAnsi" w:eastAsiaTheme="minorEastAsia" w:hAnsiTheme="minorHAnsi" w:cstheme="minorBidi"/>
          <w:kern w:val="2"/>
          <w:szCs w:val="24"/>
          <w14:ligatures w14:val="standardContextual"/>
        </w:rPr>
      </w:pPr>
      <w:hyperlink w:anchor="_Toc224819268" w:history="1">
        <w:r w:rsidRPr="00FC437C">
          <w:rPr>
            <w:rStyle w:val="Hyperlink"/>
          </w:rPr>
          <w:t>Chapter 33.</w:t>
        </w:r>
        <w:r>
          <w:rPr>
            <w:rFonts w:asciiTheme="minorHAnsi" w:eastAsiaTheme="minorEastAsia" w:hAnsiTheme="minorHAnsi" w:cstheme="minorBidi"/>
            <w:kern w:val="2"/>
            <w:szCs w:val="24"/>
            <w14:ligatures w14:val="standardContextual"/>
          </w:rPr>
          <w:tab/>
        </w:r>
        <w:r w:rsidRPr="00FC437C">
          <w:rPr>
            <w:rStyle w:val="Hyperlink"/>
          </w:rPr>
          <w:t>Pesticide Wastes</w:t>
        </w:r>
        <w:r>
          <w:rPr>
            <w:webHidden/>
          </w:rPr>
          <w:tab/>
        </w:r>
        <w:r>
          <w:rPr>
            <w:webHidden/>
          </w:rPr>
          <w:fldChar w:fldCharType="begin"/>
        </w:r>
        <w:r>
          <w:rPr>
            <w:webHidden/>
          </w:rPr>
          <w:instrText xml:space="preserve"> PAGEREF _Toc224819268 \h </w:instrText>
        </w:r>
        <w:r>
          <w:rPr>
            <w:webHidden/>
          </w:rPr>
        </w:r>
        <w:r>
          <w:rPr>
            <w:webHidden/>
          </w:rPr>
          <w:fldChar w:fldCharType="separate"/>
        </w:r>
        <w:r w:rsidR="00AA17AB">
          <w:rPr>
            <w:webHidden/>
          </w:rPr>
          <w:t>305</w:t>
        </w:r>
        <w:r>
          <w:rPr>
            <w:webHidden/>
          </w:rPr>
          <w:fldChar w:fldCharType="end"/>
        </w:r>
      </w:hyperlink>
    </w:p>
    <w:p w14:paraId="79D29C3C" w14:textId="5D78E42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69" w:history="1">
        <w:r w:rsidRPr="00FC437C">
          <w:rPr>
            <w:rStyle w:val="Hyperlink"/>
          </w:rPr>
          <w:t>§3301.</w:t>
        </w:r>
        <w:r>
          <w:rPr>
            <w:rFonts w:asciiTheme="minorHAnsi" w:eastAsiaTheme="minorEastAsia" w:hAnsiTheme="minorHAnsi" w:cstheme="minorBidi"/>
            <w:color w:val="auto"/>
            <w:kern w:val="2"/>
            <w:szCs w:val="24"/>
            <w14:ligatures w14:val="standardContextual"/>
          </w:rPr>
          <w:tab/>
        </w:r>
        <w:r w:rsidRPr="00FC437C">
          <w:rPr>
            <w:rStyle w:val="Hyperlink"/>
          </w:rPr>
          <w:t>Listing of Hazardous Pesticide Wastes</w:t>
        </w:r>
        <w:r>
          <w:rPr>
            <w:webHidden/>
          </w:rPr>
          <w:tab/>
        </w:r>
        <w:r>
          <w:rPr>
            <w:webHidden/>
          </w:rPr>
          <w:fldChar w:fldCharType="begin"/>
        </w:r>
        <w:r>
          <w:rPr>
            <w:webHidden/>
          </w:rPr>
          <w:instrText xml:space="preserve"> PAGEREF _Toc224819269 \h </w:instrText>
        </w:r>
        <w:r>
          <w:rPr>
            <w:webHidden/>
          </w:rPr>
        </w:r>
        <w:r>
          <w:rPr>
            <w:webHidden/>
          </w:rPr>
          <w:fldChar w:fldCharType="separate"/>
        </w:r>
        <w:r w:rsidR="00AA17AB">
          <w:rPr>
            <w:webHidden/>
          </w:rPr>
          <w:t>305</w:t>
        </w:r>
        <w:r>
          <w:rPr>
            <w:webHidden/>
          </w:rPr>
          <w:fldChar w:fldCharType="end"/>
        </w:r>
      </w:hyperlink>
    </w:p>
    <w:p w14:paraId="1FC0B325" w14:textId="7CF20D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0" w:history="1">
        <w:r w:rsidRPr="00FC437C">
          <w:rPr>
            <w:rStyle w:val="Hyperlink"/>
          </w:rPr>
          <w:t>§3303.</w:t>
        </w:r>
        <w:r>
          <w:rPr>
            <w:rFonts w:asciiTheme="minorHAnsi" w:eastAsiaTheme="minorEastAsia" w:hAnsiTheme="minorHAnsi" w:cstheme="minorBidi"/>
            <w:color w:val="auto"/>
            <w:kern w:val="2"/>
            <w:szCs w:val="24"/>
            <w14:ligatures w14:val="standardContextual"/>
          </w:rPr>
          <w:tab/>
        </w:r>
        <w:r w:rsidRPr="00FC437C">
          <w:rPr>
            <w:rStyle w:val="Hyperlink"/>
          </w:rPr>
          <w:t>Procedures for Monitoring</w:t>
        </w:r>
        <w:r>
          <w:rPr>
            <w:webHidden/>
          </w:rPr>
          <w:tab/>
        </w:r>
        <w:r>
          <w:rPr>
            <w:webHidden/>
          </w:rPr>
          <w:fldChar w:fldCharType="begin"/>
        </w:r>
        <w:r>
          <w:rPr>
            <w:webHidden/>
          </w:rPr>
          <w:instrText xml:space="preserve"> PAGEREF _Toc224819270 \h </w:instrText>
        </w:r>
        <w:r>
          <w:rPr>
            <w:webHidden/>
          </w:rPr>
        </w:r>
        <w:r>
          <w:rPr>
            <w:webHidden/>
          </w:rPr>
          <w:fldChar w:fldCharType="separate"/>
        </w:r>
        <w:r w:rsidR="00AA17AB">
          <w:rPr>
            <w:webHidden/>
          </w:rPr>
          <w:t>305</w:t>
        </w:r>
        <w:r>
          <w:rPr>
            <w:webHidden/>
          </w:rPr>
          <w:fldChar w:fldCharType="end"/>
        </w:r>
      </w:hyperlink>
    </w:p>
    <w:p w14:paraId="3EA543F8" w14:textId="77F822C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1" w:history="1">
        <w:r w:rsidRPr="00FC437C">
          <w:rPr>
            <w:rStyle w:val="Hyperlink"/>
          </w:rPr>
          <w:t>§3305.</w:t>
        </w:r>
        <w:r>
          <w:rPr>
            <w:rFonts w:asciiTheme="minorHAnsi" w:eastAsiaTheme="minorEastAsia" w:hAnsiTheme="minorHAnsi" w:cstheme="minorBidi"/>
            <w:color w:val="auto"/>
            <w:kern w:val="2"/>
            <w:szCs w:val="24"/>
            <w14:ligatures w14:val="standardContextual"/>
          </w:rPr>
          <w:tab/>
        </w:r>
        <w:r w:rsidRPr="00FC437C">
          <w:rPr>
            <w:rStyle w:val="Hyperlink"/>
          </w:rPr>
          <w:t>Procedures for Determinations</w:t>
        </w:r>
        <w:r>
          <w:rPr>
            <w:webHidden/>
          </w:rPr>
          <w:tab/>
        </w:r>
        <w:r>
          <w:rPr>
            <w:webHidden/>
          </w:rPr>
          <w:fldChar w:fldCharType="begin"/>
        </w:r>
        <w:r>
          <w:rPr>
            <w:webHidden/>
          </w:rPr>
          <w:instrText xml:space="preserve"> PAGEREF _Toc224819271 \h </w:instrText>
        </w:r>
        <w:r>
          <w:rPr>
            <w:webHidden/>
          </w:rPr>
        </w:r>
        <w:r>
          <w:rPr>
            <w:webHidden/>
          </w:rPr>
          <w:fldChar w:fldCharType="separate"/>
        </w:r>
        <w:r w:rsidR="00AA17AB">
          <w:rPr>
            <w:webHidden/>
          </w:rPr>
          <w:t>306</w:t>
        </w:r>
        <w:r>
          <w:rPr>
            <w:webHidden/>
          </w:rPr>
          <w:fldChar w:fldCharType="end"/>
        </w:r>
      </w:hyperlink>
    </w:p>
    <w:p w14:paraId="652D5D67" w14:textId="1598D7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2" w:history="1">
        <w:r w:rsidRPr="00FC437C">
          <w:rPr>
            <w:rStyle w:val="Hyperlink"/>
          </w:rPr>
          <w:t>§3307</w:t>
        </w:r>
        <w:r>
          <w:rPr>
            <w:rFonts w:asciiTheme="minorHAnsi" w:eastAsiaTheme="minorEastAsia" w:hAnsiTheme="minorHAnsi" w:cstheme="minorBidi"/>
            <w:color w:val="auto"/>
            <w:kern w:val="2"/>
            <w:szCs w:val="24"/>
            <w14:ligatures w14:val="standardContextual"/>
          </w:rPr>
          <w:tab/>
        </w:r>
        <w:r w:rsidRPr="00FC437C">
          <w:rPr>
            <w:rStyle w:val="Hyperlink"/>
          </w:rPr>
          <w:t>Appropriate Actions</w:t>
        </w:r>
        <w:r>
          <w:rPr>
            <w:webHidden/>
          </w:rPr>
          <w:tab/>
        </w:r>
        <w:r>
          <w:rPr>
            <w:webHidden/>
          </w:rPr>
          <w:fldChar w:fldCharType="begin"/>
        </w:r>
        <w:r>
          <w:rPr>
            <w:webHidden/>
          </w:rPr>
          <w:instrText xml:space="preserve"> PAGEREF _Toc224819272 \h </w:instrText>
        </w:r>
        <w:r>
          <w:rPr>
            <w:webHidden/>
          </w:rPr>
        </w:r>
        <w:r>
          <w:rPr>
            <w:webHidden/>
          </w:rPr>
          <w:fldChar w:fldCharType="separate"/>
        </w:r>
        <w:r w:rsidR="00AA17AB">
          <w:rPr>
            <w:webHidden/>
          </w:rPr>
          <w:t>306</w:t>
        </w:r>
        <w:r>
          <w:rPr>
            <w:webHidden/>
          </w:rPr>
          <w:fldChar w:fldCharType="end"/>
        </w:r>
      </w:hyperlink>
    </w:p>
    <w:p w14:paraId="1865303B" w14:textId="05E6B8B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3" w:history="1">
        <w:r w:rsidRPr="00FC437C">
          <w:rPr>
            <w:rStyle w:val="Hyperlink"/>
          </w:rPr>
          <w:t>§3309.</w:t>
        </w:r>
        <w:r>
          <w:rPr>
            <w:rFonts w:asciiTheme="minorHAnsi" w:eastAsiaTheme="minorEastAsia" w:hAnsiTheme="minorHAnsi" w:cstheme="minorBidi"/>
            <w:color w:val="auto"/>
            <w:kern w:val="2"/>
            <w:szCs w:val="24"/>
            <w14:ligatures w14:val="standardContextual"/>
          </w:rPr>
          <w:tab/>
        </w:r>
        <w:r w:rsidRPr="00FC437C">
          <w:rPr>
            <w:rStyle w:val="Hyperlink"/>
          </w:rPr>
          <w:t>Record Keeping</w:t>
        </w:r>
        <w:r>
          <w:rPr>
            <w:webHidden/>
          </w:rPr>
          <w:tab/>
        </w:r>
        <w:r>
          <w:rPr>
            <w:webHidden/>
          </w:rPr>
          <w:fldChar w:fldCharType="begin"/>
        </w:r>
        <w:r>
          <w:rPr>
            <w:webHidden/>
          </w:rPr>
          <w:instrText xml:space="preserve"> PAGEREF _Toc224819273 \h </w:instrText>
        </w:r>
        <w:r>
          <w:rPr>
            <w:webHidden/>
          </w:rPr>
        </w:r>
        <w:r>
          <w:rPr>
            <w:webHidden/>
          </w:rPr>
          <w:fldChar w:fldCharType="separate"/>
        </w:r>
        <w:r w:rsidR="00AA17AB">
          <w:rPr>
            <w:webHidden/>
          </w:rPr>
          <w:t>306</w:t>
        </w:r>
        <w:r>
          <w:rPr>
            <w:webHidden/>
          </w:rPr>
          <w:fldChar w:fldCharType="end"/>
        </w:r>
      </w:hyperlink>
    </w:p>
    <w:p w14:paraId="7CF80BEA" w14:textId="4500137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4" w:history="1">
        <w:r w:rsidRPr="00FC437C">
          <w:rPr>
            <w:rStyle w:val="Hyperlink"/>
          </w:rPr>
          <w:t>§3311.</w:t>
        </w:r>
        <w:r>
          <w:rPr>
            <w:rFonts w:asciiTheme="minorHAnsi" w:eastAsiaTheme="minorEastAsia" w:hAnsiTheme="minorHAnsi" w:cstheme="minorBidi"/>
            <w:color w:val="auto"/>
            <w:kern w:val="2"/>
            <w:szCs w:val="24"/>
            <w14:ligatures w14:val="standardContextual"/>
          </w:rPr>
          <w:tab/>
        </w:r>
        <w:r w:rsidRPr="00FC437C">
          <w:rPr>
            <w:rStyle w:val="Hyperlink"/>
          </w:rPr>
          <w:t>Transportation of Pesticide Waste</w:t>
        </w:r>
        <w:r>
          <w:rPr>
            <w:webHidden/>
          </w:rPr>
          <w:tab/>
        </w:r>
        <w:r>
          <w:rPr>
            <w:webHidden/>
          </w:rPr>
          <w:fldChar w:fldCharType="begin"/>
        </w:r>
        <w:r>
          <w:rPr>
            <w:webHidden/>
          </w:rPr>
          <w:instrText xml:space="preserve"> PAGEREF _Toc224819274 \h </w:instrText>
        </w:r>
        <w:r>
          <w:rPr>
            <w:webHidden/>
          </w:rPr>
        </w:r>
        <w:r>
          <w:rPr>
            <w:webHidden/>
          </w:rPr>
          <w:fldChar w:fldCharType="separate"/>
        </w:r>
        <w:r w:rsidR="00AA17AB">
          <w:rPr>
            <w:webHidden/>
          </w:rPr>
          <w:t>306</w:t>
        </w:r>
        <w:r>
          <w:rPr>
            <w:webHidden/>
          </w:rPr>
          <w:fldChar w:fldCharType="end"/>
        </w:r>
      </w:hyperlink>
    </w:p>
    <w:p w14:paraId="52EE10F5" w14:textId="4DC2D614" w:rsidR="00E67799" w:rsidRDefault="00E67799">
      <w:pPr>
        <w:pStyle w:val="TOC2"/>
        <w:rPr>
          <w:rFonts w:asciiTheme="minorHAnsi" w:eastAsiaTheme="minorEastAsia" w:hAnsiTheme="minorHAnsi" w:cstheme="minorBidi"/>
          <w:kern w:val="2"/>
          <w:szCs w:val="24"/>
          <w14:ligatures w14:val="standardContextual"/>
        </w:rPr>
      </w:pPr>
      <w:hyperlink w:anchor="_Toc224819275" w:history="1">
        <w:r w:rsidRPr="00FC437C">
          <w:rPr>
            <w:rStyle w:val="Hyperlink"/>
          </w:rPr>
          <w:t>Chapter 35.</w:t>
        </w:r>
        <w:r>
          <w:rPr>
            <w:rFonts w:asciiTheme="minorHAnsi" w:eastAsiaTheme="minorEastAsia" w:hAnsiTheme="minorHAnsi" w:cstheme="minorBidi"/>
            <w:kern w:val="2"/>
            <w:szCs w:val="24"/>
            <w14:ligatures w14:val="standardContextual"/>
          </w:rPr>
          <w:tab/>
        </w:r>
        <w:r w:rsidRPr="00FC437C">
          <w:rPr>
            <w:rStyle w:val="Hyperlink"/>
          </w:rPr>
          <w:t>Health Complaints</w:t>
        </w:r>
        <w:r>
          <w:rPr>
            <w:webHidden/>
          </w:rPr>
          <w:tab/>
        </w:r>
        <w:r>
          <w:rPr>
            <w:webHidden/>
          </w:rPr>
          <w:fldChar w:fldCharType="begin"/>
        </w:r>
        <w:r>
          <w:rPr>
            <w:webHidden/>
          </w:rPr>
          <w:instrText xml:space="preserve"> PAGEREF _Toc224819275 \h </w:instrText>
        </w:r>
        <w:r>
          <w:rPr>
            <w:webHidden/>
          </w:rPr>
        </w:r>
        <w:r>
          <w:rPr>
            <w:webHidden/>
          </w:rPr>
          <w:fldChar w:fldCharType="separate"/>
        </w:r>
        <w:r w:rsidR="00AA17AB">
          <w:rPr>
            <w:webHidden/>
          </w:rPr>
          <w:t>306</w:t>
        </w:r>
        <w:r>
          <w:rPr>
            <w:webHidden/>
          </w:rPr>
          <w:fldChar w:fldCharType="end"/>
        </w:r>
      </w:hyperlink>
    </w:p>
    <w:p w14:paraId="120D7813" w14:textId="5BAFE51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6" w:history="1">
        <w:r w:rsidRPr="00FC437C">
          <w:rPr>
            <w:rStyle w:val="Hyperlink"/>
          </w:rPr>
          <w:t>§3501.</w:t>
        </w:r>
        <w:r>
          <w:rPr>
            <w:rFonts w:asciiTheme="minorHAnsi" w:eastAsiaTheme="minorEastAsia" w:hAnsiTheme="minorHAnsi" w:cstheme="minorBidi"/>
            <w:color w:val="auto"/>
            <w:kern w:val="2"/>
            <w:szCs w:val="24"/>
            <w14:ligatures w14:val="standardContextual"/>
          </w:rPr>
          <w:tab/>
        </w:r>
        <w:r w:rsidRPr="00FC437C">
          <w:rPr>
            <w:rStyle w:val="Hyperlink"/>
          </w:rPr>
          <w:t>Notification of Pesticide Poisoning</w:t>
        </w:r>
        <w:r>
          <w:rPr>
            <w:webHidden/>
          </w:rPr>
          <w:tab/>
        </w:r>
        <w:r>
          <w:rPr>
            <w:webHidden/>
          </w:rPr>
          <w:fldChar w:fldCharType="begin"/>
        </w:r>
        <w:r>
          <w:rPr>
            <w:webHidden/>
          </w:rPr>
          <w:instrText xml:space="preserve"> PAGEREF _Toc224819276 \h </w:instrText>
        </w:r>
        <w:r>
          <w:rPr>
            <w:webHidden/>
          </w:rPr>
        </w:r>
        <w:r>
          <w:rPr>
            <w:webHidden/>
          </w:rPr>
          <w:fldChar w:fldCharType="separate"/>
        </w:r>
        <w:r w:rsidR="00AA17AB">
          <w:rPr>
            <w:webHidden/>
          </w:rPr>
          <w:t>306</w:t>
        </w:r>
        <w:r>
          <w:rPr>
            <w:webHidden/>
          </w:rPr>
          <w:fldChar w:fldCharType="end"/>
        </w:r>
      </w:hyperlink>
    </w:p>
    <w:p w14:paraId="29C4280D" w14:textId="5D38F911" w:rsidR="00E67799" w:rsidRDefault="00E67799">
      <w:pPr>
        <w:pStyle w:val="TOC1"/>
        <w:rPr>
          <w:rFonts w:asciiTheme="minorHAnsi" w:hAnsiTheme="minorHAnsi" w:cstheme="minorBidi"/>
          <w:b w:val="0"/>
          <w:bCs w:val="0"/>
          <w:sz w:val="24"/>
          <w:szCs w:val="24"/>
        </w:rPr>
      </w:pPr>
      <w:hyperlink w:anchor="_Toc224819277" w:history="1">
        <w:r w:rsidRPr="00FC437C">
          <w:rPr>
            <w:rStyle w:val="Hyperlink"/>
          </w:rPr>
          <w:t>Part XXV.  Structural Pest Control</w:t>
        </w:r>
      </w:hyperlink>
    </w:p>
    <w:p w14:paraId="65414892" w14:textId="033C458C" w:rsidR="00E67799" w:rsidRDefault="00E67799">
      <w:pPr>
        <w:pStyle w:val="TOC2"/>
        <w:rPr>
          <w:rFonts w:asciiTheme="minorHAnsi" w:eastAsiaTheme="minorEastAsia" w:hAnsiTheme="minorHAnsi" w:cstheme="minorBidi"/>
          <w:kern w:val="2"/>
          <w:szCs w:val="24"/>
          <w14:ligatures w14:val="standardContextual"/>
        </w:rPr>
      </w:pPr>
      <w:hyperlink w:anchor="_Toc224819278"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Structural Pest Control Commission</w:t>
        </w:r>
        <w:r>
          <w:rPr>
            <w:webHidden/>
          </w:rPr>
          <w:tab/>
        </w:r>
        <w:r>
          <w:rPr>
            <w:webHidden/>
          </w:rPr>
          <w:fldChar w:fldCharType="begin"/>
        </w:r>
        <w:r>
          <w:rPr>
            <w:webHidden/>
          </w:rPr>
          <w:instrText xml:space="preserve"> PAGEREF _Toc224819278 \h </w:instrText>
        </w:r>
        <w:r>
          <w:rPr>
            <w:webHidden/>
          </w:rPr>
        </w:r>
        <w:r>
          <w:rPr>
            <w:webHidden/>
          </w:rPr>
          <w:fldChar w:fldCharType="separate"/>
        </w:r>
        <w:r w:rsidR="00AA17AB">
          <w:rPr>
            <w:webHidden/>
          </w:rPr>
          <w:t>309</w:t>
        </w:r>
        <w:r>
          <w:rPr>
            <w:webHidden/>
          </w:rPr>
          <w:fldChar w:fldCharType="end"/>
        </w:r>
      </w:hyperlink>
    </w:p>
    <w:p w14:paraId="1489FEAE" w14:textId="79A3E0F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79"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_Toc224819279 \h </w:instrText>
        </w:r>
        <w:r>
          <w:rPr>
            <w:webHidden/>
          </w:rPr>
        </w:r>
        <w:r>
          <w:rPr>
            <w:webHidden/>
          </w:rPr>
          <w:fldChar w:fldCharType="separate"/>
        </w:r>
        <w:r w:rsidR="00AA17AB">
          <w:rPr>
            <w:webHidden/>
          </w:rPr>
          <w:t>309</w:t>
        </w:r>
        <w:r>
          <w:rPr>
            <w:webHidden/>
          </w:rPr>
          <w:fldChar w:fldCharType="end"/>
        </w:r>
      </w:hyperlink>
    </w:p>
    <w:p w14:paraId="0CFC136F" w14:textId="0776B28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0"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Affairs of the Commission; Adoption of Rules and Regulations</w:t>
        </w:r>
        <w:r>
          <w:rPr>
            <w:webHidden/>
          </w:rPr>
          <w:tab/>
        </w:r>
        <w:r>
          <w:rPr>
            <w:webHidden/>
          </w:rPr>
          <w:fldChar w:fldCharType="begin"/>
        </w:r>
        <w:r>
          <w:rPr>
            <w:webHidden/>
          </w:rPr>
          <w:instrText xml:space="preserve"> PAGEREF _Toc224819280 \h </w:instrText>
        </w:r>
        <w:r>
          <w:rPr>
            <w:webHidden/>
          </w:rPr>
        </w:r>
        <w:r>
          <w:rPr>
            <w:webHidden/>
          </w:rPr>
          <w:fldChar w:fldCharType="separate"/>
        </w:r>
        <w:r w:rsidR="00AA17AB">
          <w:rPr>
            <w:webHidden/>
          </w:rPr>
          <w:t>312</w:t>
        </w:r>
        <w:r>
          <w:rPr>
            <w:webHidden/>
          </w:rPr>
          <w:fldChar w:fldCharType="end"/>
        </w:r>
      </w:hyperlink>
    </w:p>
    <w:p w14:paraId="3D8241F8" w14:textId="3312F63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1"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 xml:space="preserve">Permit for Operation of Structural Pest Control Business; Changes in Structural Pest </w:t>
        </w:r>
        <w:r w:rsidR="00ED0600">
          <w:rPr>
            <w:rStyle w:val="Hyperlink"/>
          </w:rPr>
          <w:br/>
        </w:r>
        <w:r w:rsidR="00ED0600">
          <w:rPr>
            <w:rStyle w:val="Hyperlink"/>
          </w:rPr>
          <w:tab/>
        </w:r>
        <w:r w:rsidRPr="00FC437C">
          <w:rPr>
            <w:rStyle w:val="Hyperlink"/>
          </w:rPr>
          <w:t>Control Business</w:t>
        </w:r>
        <w:r>
          <w:rPr>
            <w:webHidden/>
          </w:rPr>
          <w:tab/>
        </w:r>
        <w:r>
          <w:rPr>
            <w:webHidden/>
          </w:rPr>
          <w:fldChar w:fldCharType="begin"/>
        </w:r>
        <w:r>
          <w:rPr>
            <w:webHidden/>
          </w:rPr>
          <w:instrText xml:space="preserve"> PAGEREF _Toc224819281 \h </w:instrText>
        </w:r>
        <w:r>
          <w:rPr>
            <w:webHidden/>
          </w:rPr>
        </w:r>
        <w:r>
          <w:rPr>
            <w:webHidden/>
          </w:rPr>
          <w:fldChar w:fldCharType="separate"/>
        </w:r>
        <w:r w:rsidR="00AA17AB">
          <w:rPr>
            <w:webHidden/>
          </w:rPr>
          <w:t>312</w:t>
        </w:r>
        <w:r>
          <w:rPr>
            <w:webHidden/>
          </w:rPr>
          <w:fldChar w:fldCharType="end"/>
        </w:r>
      </w:hyperlink>
    </w:p>
    <w:p w14:paraId="4929AD39" w14:textId="233CEBB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2"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License to Engage in Structural Pest Control Work Required</w:t>
        </w:r>
        <w:r>
          <w:rPr>
            <w:webHidden/>
          </w:rPr>
          <w:tab/>
        </w:r>
        <w:r>
          <w:rPr>
            <w:webHidden/>
          </w:rPr>
          <w:fldChar w:fldCharType="begin"/>
        </w:r>
        <w:r>
          <w:rPr>
            <w:webHidden/>
          </w:rPr>
          <w:instrText xml:space="preserve"> PAGEREF _Toc224819282 \h </w:instrText>
        </w:r>
        <w:r>
          <w:rPr>
            <w:webHidden/>
          </w:rPr>
        </w:r>
        <w:r>
          <w:rPr>
            <w:webHidden/>
          </w:rPr>
          <w:fldChar w:fldCharType="separate"/>
        </w:r>
        <w:r w:rsidR="00AA17AB">
          <w:rPr>
            <w:webHidden/>
          </w:rPr>
          <w:t>314</w:t>
        </w:r>
        <w:r>
          <w:rPr>
            <w:webHidden/>
          </w:rPr>
          <w:fldChar w:fldCharType="end"/>
        </w:r>
      </w:hyperlink>
    </w:p>
    <w:p w14:paraId="5EE72D49" w14:textId="01A5184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3"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Application for Examination; Contents of Application</w:t>
        </w:r>
        <w:r>
          <w:rPr>
            <w:webHidden/>
          </w:rPr>
          <w:tab/>
        </w:r>
        <w:r>
          <w:rPr>
            <w:webHidden/>
          </w:rPr>
          <w:fldChar w:fldCharType="begin"/>
        </w:r>
        <w:r>
          <w:rPr>
            <w:webHidden/>
          </w:rPr>
          <w:instrText xml:space="preserve"> PAGEREF _Toc224819283 \h </w:instrText>
        </w:r>
        <w:r>
          <w:rPr>
            <w:webHidden/>
          </w:rPr>
        </w:r>
        <w:r>
          <w:rPr>
            <w:webHidden/>
          </w:rPr>
          <w:fldChar w:fldCharType="separate"/>
        </w:r>
        <w:r w:rsidR="00AA17AB">
          <w:rPr>
            <w:webHidden/>
          </w:rPr>
          <w:t>316</w:t>
        </w:r>
        <w:r>
          <w:rPr>
            <w:webHidden/>
          </w:rPr>
          <w:fldChar w:fldCharType="end"/>
        </w:r>
      </w:hyperlink>
    </w:p>
    <w:p w14:paraId="65C13198" w14:textId="1C9AC4C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4"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 xml:space="preserve">Registration of Employees; Duties of Licensee and Registered Employee with Respect </w:t>
        </w:r>
        <w:r w:rsidR="00ED0600">
          <w:rPr>
            <w:rStyle w:val="Hyperlink"/>
          </w:rPr>
          <w:br/>
        </w:r>
        <w:r w:rsidR="00ED0600">
          <w:rPr>
            <w:rStyle w:val="Hyperlink"/>
          </w:rPr>
          <w:tab/>
        </w:r>
        <w:r w:rsidRPr="00FC437C">
          <w:rPr>
            <w:rStyle w:val="Hyperlink"/>
          </w:rPr>
          <w:t>to Registration</w:t>
        </w:r>
        <w:r>
          <w:rPr>
            <w:webHidden/>
          </w:rPr>
          <w:tab/>
        </w:r>
        <w:r>
          <w:rPr>
            <w:webHidden/>
          </w:rPr>
          <w:fldChar w:fldCharType="begin"/>
        </w:r>
        <w:r>
          <w:rPr>
            <w:webHidden/>
          </w:rPr>
          <w:instrText xml:space="preserve"> PAGEREF _Toc224819284 \h </w:instrText>
        </w:r>
        <w:r>
          <w:rPr>
            <w:webHidden/>
          </w:rPr>
        </w:r>
        <w:r>
          <w:rPr>
            <w:webHidden/>
          </w:rPr>
          <w:fldChar w:fldCharType="separate"/>
        </w:r>
        <w:r w:rsidR="00AA17AB">
          <w:rPr>
            <w:webHidden/>
          </w:rPr>
          <w:t>317</w:t>
        </w:r>
        <w:r>
          <w:rPr>
            <w:webHidden/>
          </w:rPr>
          <w:fldChar w:fldCharType="end"/>
        </w:r>
      </w:hyperlink>
    </w:p>
    <w:p w14:paraId="3F987986" w14:textId="346615E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5"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Certified WDIR Technician</w:t>
        </w:r>
        <w:r>
          <w:rPr>
            <w:webHidden/>
          </w:rPr>
          <w:tab/>
        </w:r>
        <w:r>
          <w:rPr>
            <w:webHidden/>
          </w:rPr>
          <w:fldChar w:fldCharType="begin"/>
        </w:r>
        <w:r>
          <w:rPr>
            <w:webHidden/>
          </w:rPr>
          <w:instrText xml:space="preserve"> PAGEREF _Toc224819285 \h </w:instrText>
        </w:r>
        <w:r>
          <w:rPr>
            <w:webHidden/>
          </w:rPr>
        </w:r>
        <w:r>
          <w:rPr>
            <w:webHidden/>
          </w:rPr>
          <w:fldChar w:fldCharType="separate"/>
        </w:r>
        <w:r w:rsidR="00AA17AB">
          <w:rPr>
            <w:webHidden/>
          </w:rPr>
          <w:t>318</w:t>
        </w:r>
        <w:r>
          <w:rPr>
            <w:webHidden/>
          </w:rPr>
          <w:fldChar w:fldCharType="end"/>
        </w:r>
      </w:hyperlink>
    </w:p>
    <w:p w14:paraId="577AD355" w14:textId="2C8FAEA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6"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Obligations of the Licensee/Permittee</w:t>
        </w:r>
        <w:r>
          <w:rPr>
            <w:webHidden/>
          </w:rPr>
          <w:tab/>
        </w:r>
        <w:r>
          <w:rPr>
            <w:webHidden/>
          </w:rPr>
          <w:fldChar w:fldCharType="begin"/>
        </w:r>
        <w:r>
          <w:rPr>
            <w:webHidden/>
          </w:rPr>
          <w:instrText xml:space="preserve"> PAGEREF _Toc224819286 \h </w:instrText>
        </w:r>
        <w:r>
          <w:rPr>
            <w:webHidden/>
          </w:rPr>
        </w:r>
        <w:r>
          <w:rPr>
            <w:webHidden/>
          </w:rPr>
          <w:fldChar w:fldCharType="separate"/>
        </w:r>
        <w:r w:rsidR="00AA17AB">
          <w:rPr>
            <w:webHidden/>
          </w:rPr>
          <w:t>318</w:t>
        </w:r>
        <w:r>
          <w:rPr>
            <w:webHidden/>
          </w:rPr>
          <w:fldChar w:fldCharType="end"/>
        </w:r>
      </w:hyperlink>
    </w:p>
    <w:p w14:paraId="1E0A52ED" w14:textId="022A66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7"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Contracts for Termite Control Work</w:t>
        </w:r>
        <w:r>
          <w:rPr>
            <w:webHidden/>
          </w:rPr>
          <w:tab/>
        </w:r>
        <w:r>
          <w:rPr>
            <w:webHidden/>
          </w:rPr>
          <w:fldChar w:fldCharType="begin"/>
        </w:r>
        <w:r>
          <w:rPr>
            <w:webHidden/>
          </w:rPr>
          <w:instrText xml:space="preserve"> PAGEREF _Toc224819287 \h </w:instrText>
        </w:r>
        <w:r>
          <w:rPr>
            <w:webHidden/>
          </w:rPr>
        </w:r>
        <w:r>
          <w:rPr>
            <w:webHidden/>
          </w:rPr>
          <w:fldChar w:fldCharType="separate"/>
        </w:r>
        <w:r w:rsidR="00AA17AB">
          <w:rPr>
            <w:webHidden/>
          </w:rPr>
          <w:t>320</w:t>
        </w:r>
        <w:r>
          <w:rPr>
            <w:webHidden/>
          </w:rPr>
          <w:fldChar w:fldCharType="end"/>
        </w:r>
      </w:hyperlink>
    </w:p>
    <w:p w14:paraId="0D1C08EB" w14:textId="15499A4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8"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Wood Destroying Insect Report</w:t>
        </w:r>
        <w:r>
          <w:rPr>
            <w:webHidden/>
          </w:rPr>
          <w:tab/>
        </w:r>
        <w:r>
          <w:rPr>
            <w:webHidden/>
          </w:rPr>
          <w:fldChar w:fldCharType="begin"/>
        </w:r>
        <w:r>
          <w:rPr>
            <w:webHidden/>
          </w:rPr>
          <w:instrText xml:space="preserve"> PAGEREF _Toc224819288 \h </w:instrText>
        </w:r>
        <w:r>
          <w:rPr>
            <w:webHidden/>
          </w:rPr>
        </w:r>
        <w:r>
          <w:rPr>
            <w:webHidden/>
          </w:rPr>
          <w:fldChar w:fldCharType="separate"/>
        </w:r>
        <w:r w:rsidR="00AA17AB">
          <w:rPr>
            <w:webHidden/>
          </w:rPr>
          <w:t>321</w:t>
        </w:r>
        <w:r>
          <w:rPr>
            <w:webHidden/>
          </w:rPr>
          <w:fldChar w:fldCharType="end"/>
        </w:r>
      </w:hyperlink>
    </w:p>
    <w:p w14:paraId="078EE967" w14:textId="031696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89"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Change in Status of Licensee</w:t>
        </w:r>
        <w:r>
          <w:rPr>
            <w:webHidden/>
          </w:rPr>
          <w:tab/>
        </w:r>
        <w:r>
          <w:rPr>
            <w:webHidden/>
          </w:rPr>
          <w:fldChar w:fldCharType="begin"/>
        </w:r>
        <w:r>
          <w:rPr>
            <w:webHidden/>
          </w:rPr>
          <w:instrText xml:space="preserve"> PAGEREF _Toc224819289 \h </w:instrText>
        </w:r>
        <w:r>
          <w:rPr>
            <w:webHidden/>
          </w:rPr>
        </w:r>
        <w:r>
          <w:rPr>
            <w:webHidden/>
          </w:rPr>
          <w:fldChar w:fldCharType="separate"/>
        </w:r>
        <w:r w:rsidR="00AA17AB">
          <w:rPr>
            <w:webHidden/>
          </w:rPr>
          <w:t>322</w:t>
        </w:r>
        <w:r>
          <w:rPr>
            <w:webHidden/>
          </w:rPr>
          <w:fldChar w:fldCharType="end"/>
        </w:r>
      </w:hyperlink>
    </w:p>
    <w:p w14:paraId="109CD994" w14:textId="3EC7325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0"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Inactive Status of License</w:t>
        </w:r>
        <w:r>
          <w:rPr>
            <w:webHidden/>
          </w:rPr>
          <w:tab/>
        </w:r>
        <w:r>
          <w:rPr>
            <w:webHidden/>
          </w:rPr>
          <w:fldChar w:fldCharType="begin"/>
        </w:r>
        <w:r>
          <w:rPr>
            <w:webHidden/>
          </w:rPr>
          <w:instrText xml:space="preserve"> PAGEREF _Toc224819290 \h </w:instrText>
        </w:r>
        <w:r>
          <w:rPr>
            <w:webHidden/>
          </w:rPr>
        </w:r>
        <w:r>
          <w:rPr>
            <w:webHidden/>
          </w:rPr>
          <w:fldChar w:fldCharType="separate"/>
        </w:r>
        <w:r w:rsidR="00AA17AB">
          <w:rPr>
            <w:webHidden/>
          </w:rPr>
          <w:t>323</w:t>
        </w:r>
        <w:r>
          <w:rPr>
            <w:webHidden/>
          </w:rPr>
          <w:fldChar w:fldCharType="end"/>
        </w:r>
      </w:hyperlink>
    </w:p>
    <w:p w14:paraId="6C53CF57" w14:textId="76E0398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1" w:history="1">
        <w:r w:rsidRPr="00FC437C">
          <w:rPr>
            <w:rStyle w:val="Hyperlink"/>
          </w:rPr>
          <w:t>§126.</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_Toc224819291 \h </w:instrText>
        </w:r>
        <w:r>
          <w:rPr>
            <w:webHidden/>
          </w:rPr>
        </w:r>
        <w:r>
          <w:rPr>
            <w:webHidden/>
          </w:rPr>
          <w:fldChar w:fldCharType="separate"/>
        </w:r>
        <w:r w:rsidR="00AA17AB">
          <w:rPr>
            <w:webHidden/>
          </w:rPr>
          <w:t>323</w:t>
        </w:r>
        <w:r>
          <w:rPr>
            <w:webHidden/>
          </w:rPr>
          <w:fldChar w:fldCharType="end"/>
        </w:r>
      </w:hyperlink>
    </w:p>
    <w:p w14:paraId="66462EDE" w14:textId="62E8EB5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2"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Adjudicatory Proceedings of the Commission; Violations</w:t>
        </w:r>
        <w:r>
          <w:rPr>
            <w:webHidden/>
          </w:rPr>
          <w:tab/>
        </w:r>
        <w:r>
          <w:rPr>
            <w:webHidden/>
          </w:rPr>
          <w:fldChar w:fldCharType="begin"/>
        </w:r>
        <w:r>
          <w:rPr>
            <w:webHidden/>
          </w:rPr>
          <w:instrText xml:space="preserve"> PAGEREF _Toc224819292 \h </w:instrText>
        </w:r>
        <w:r>
          <w:rPr>
            <w:webHidden/>
          </w:rPr>
        </w:r>
        <w:r>
          <w:rPr>
            <w:webHidden/>
          </w:rPr>
          <w:fldChar w:fldCharType="separate"/>
        </w:r>
        <w:r w:rsidR="00AA17AB">
          <w:rPr>
            <w:webHidden/>
          </w:rPr>
          <w:t>323</w:t>
        </w:r>
        <w:r>
          <w:rPr>
            <w:webHidden/>
          </w:rPr>
          <w:fldChar w:fldCharType="end"/>
        </w:r>
      </w:hyperlink>
    </w:p>
    <w:p w14:paraId="2D80FB01" w14:textId="2A3B6B8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3"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Probationary Status of Licensee/Registered Employee</w:t>
        </w:r>
        <w:r>
          <w:rPr>
            <w:webHidden/>
          </w:rPr>
          <w:tab/>
        </w:r>
        <w:r>
          <w:rPr>
            <w:webHidden/>
          </w:rPr>
          <w:fldChar w:fldCharType="begin"/>
        </w:r>
        <w:r>
          <w:rPr>
            <w:webHidden/>
          </w:rPr>
          <w:instrText xml:space="preserve"> PAGEREF _Toc224819293 \h </w:instrText>
        </w:r>
        <w:r>
          <w:rPr>
            <w:webHidden/>
          </w:rPr>
        </w:r>
        <w:r>
          <w:rPr>
            <w:webHidden/>
          </w:rPr>
          <w:fldChar w:fldCharType="separate"/>
        </w:r>
        <w:r w:rsidR="00AA17AB">
          <w:rPr>
            <w:webHidden/>
          </w:rPr>
          <w:t>324</w:t>
        </w:r>
        <w:r>
          <w:rPr>
            <w:webHidden/>
          </w:rPr>
          <w:fldChar w:fldCharType="end"/>
        </w:r>
      </w:hyperlink>
    </w:p>
    <w:p w14:paraId="482A0E9C" w14:textId="6196983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4"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Suspension/Revocation of License/Registration</w:t>
        </w:r>
        <w:r>
          <w:rPr>
            <w:webHidden/>
          </w:rPr>
          <w:tab/>
        </w:r>
        <w:r>
          <w:rPr>
            <w:webHidden/>
          </w:rPr>
          <w:fldChar w:fldCharType="begin"/>
        </w:r>
        <w:r>
          <w:rPr>
            <w:webHidden/>
          </w:rPr>
          <w:instrText xml:space="preserve"> PAGEREF _Toc224819294 \h </w:instrText>
        </w:r>
        <w:r>
          <w:rPr>
            <w:webHidden/>
          </w:rPr>
        </w:r>
        <w:r>
          <w:rPr>
            <w:webHidden/>
          </w:rPr>
          <w:fldChar w:fldCharType="separate"/>
        </w:r>
        <w:r w:rsidR="00AA17AB">
          <w:rPr>
            <w:webHidden/>
          </w:rPr>
          <w:t>325</w:t>
        </w:r>
        <w:r>
          <w:rPr>
            <w:webHidden/>
          </w:rPr>
          <w:fldChar w:fldCharType="end"/>
        </w:r>
      </w:hyperlink>
    </w:p>
    <w:p w14:paraId="107F47D3" w14:textId="434E5B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5"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Inspection, Taking of Samples</w:t>
        </w:r>
        <w:r>
          <w:rPr>
            <w:webHidden/>
          </w:rPr>
          <w:tab/>
        </w:r>
        <w:r>
          <w:rPr>
            <w:webHidden/>
          </w:rPr>
          <w:fldChar w:fldCharType="begin"/>
        </w:r>
        <w:r>
          <w:rPr>
            <w:webHidden/>
          </w:rPr>
          <w:instrText xml:space="preserve"> PAGEREF _Toc224819295 \h </w:instrText>
        </w:r>
        <w:r>
          <w:rPr>
            <w:webHidden/>
          </w:rPr>
        </w:r>
        <w:r>
          <w:rPr>
            <w:webHidden/>
          </w:rPr>
          <w:fldChar w:fldCharType="separate"/>
        </w:r>
        <w:r w:rsidR="00AA17AB">
          <w:rPr>
            <w:webHidden/>
          </w:rPr>
          <w:t>325</w:t>
        </w:r>
        <w:r>
          <w:rPr>
            <w:webHidden/>
          </w:rPr>
          <w:fldChar w:fldCharType="end"/>
        </w:r>
      </w:hyperlink>
    </w:p>
    <w:p w14:paraId="7DF31243" w14:textId="6300292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6"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_Toc224819296 \h </w:instrText>
        </w:r>
        <w:r>
          <w:rPr>
            <w:webHidden/>
          </w:rPr>
        </w:r>
        <w:r>
          <w:rPr>
            <w:webHidden/>
          </w:rPr>
          <w:fldChar w:fldCharType="separate"/>
        </w:r>
        <w:r w:rsidR="00AA17AB">
          <w:rPr>
            <w:webHidden/>
          </w:rPr>
          <w:t>325</w:t>
        </w:r>
        <w:r>
          <w:rPr>
            <w:webHidden/>
          </w:rPr>
          <w:fldChar w:fldCharType="end"/>
        </w:r>
      </w:hyperlink>
    </w:p>
    <w:p w14:paraId="71107F69" w14:textId="432E5C6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7"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Exceptions</w:t>
        </w:r>
        <w:r>
          <w:rPr>
            <w:webHidden/>
          </w:rPr>
          <w:tab/>
        </w:r>
        <w:r>
          <w:rPr>
            <w:webHidden/>
          </w:rPr>
          <w:fldChar w:fldCharType="begin"/>
        </w:r>
        <w:r>
          <w:rPr>
            <w:webHidden/>
          </w:rPr>
          <w:instrText xml:space="preserve"> PAGEREF _Toc224819297 \h </w:instrText>
        </w:r>
        <w:r>
          <w:rPr>
            <w:webHidden/>
          </w:rPr>
        </w:r>
        <w:r>
          <w:rPr>
            <w:webHidden/>
          </w:rPr>
          <w:fldChar w:fldCharType="separate"/>
        </w:r>
        <w:r w:rsidR="00AA17AB">
          <w:rPr>
            <w:webHidden/>
          </w:rPr>
          <w:t>325</w:t>
        </w:r>
        <w:r>
          <w:rPr>
            <w:webHidden/>
          </w:rPr>
          <w:fldChar w:fldCharType="end"/>
        </w:r>
      </w:hyperlink>
    </w:p>
    <w:p w14:paraId="20F4CEB7" w14:textId="5F869F9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8"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Complaints against Pest Control Operators</w:t>
        </w:r>
        <w:r>
          <w:rPr>
            <w:webHidden/>
          </w:rPr>
          <w:tab/>
        </w:r>
        <w:r>
          <w:rPr>
            <w:webHidden/>
          </w:rPr>
          <w:fldChar w:fldCharType="begin"/>
        </w:r>
        <w:r>
          <w:rPr>
            <w:webHidden/>
          </w:rPr>
          <w:instrText xml:space="preserve"> PAGEREF _Toc224819298 \h </w:instrText>
        </w:r>
        <w:r>
          <w:rPr>
            <w:webHidden/>
          </w:rPr>
        </w:r>
        <w:r>
          <w:rPr>
            <w:webHidden/>
          </w:rPr>
          <w:fldChar w:fldCharType="separate"/>
        </w:r>
        <w:r w:rsidR="00AA17AB">
          <w:rPr>
            <w:webHidden/>
          </w:rPr>
          <w:t>326</w:t>
        </w:r>
        <w:r>
          <w:rPr>
            <w:webHidden/>
          </w:rPr>
          <w:fldChar w:fldCharType="end"/>
        </w:r>
      </w:hyperlink>
    </w:p>
    <w:p w14:paraId="6AAB07C9" w14:textId="6C26CD8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299"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Minimum Specifications for Termite Control Work</w:t>
        </w:r>
        <w:r>
          <w:rPr>
            <w:webHidden/>
          </w:rPr>
          <w:tab/>
        </w:r>
        <w:r>
          <w:rPr>
            <w:webHidden/>
          </w:rPr>
          <w:fldChar w:fldCharType="begin"/>
        </w:r>
        <w:r>
          <w:rPr>
            <w:webHidden/>
          </w:rPr>
          <w:instrText xml:space="preserve"> PAGEREF _Toc224819299 \h </w:instrText>
        </w:r>
        <w:r>
          <w:rPr>
            <w:webHidden/>
          </w:rPr>
        </w:r>
        <w:r>
          <w:rPr>
            <w:webHidden/>
          </w:rPr>
          <w:fldChar w:fldCharType="separate"/>
        </w:r>
        <w:r w:rsidR="00AA17AB">
          <w:rPr>
            <w:webHidden/>
          </w:rPr>
          <w:t>326</w:t>
        </w:r>
        <w:r>
          <w:rPr>
            <w:webHidden/>
          </w:rPr>
          <w:fldChar w:fldCharType="end"/>
        </w:r>
      </w:hyperlink>
    </w:p>
    <w:p w14:paraId="3E56AAE6" w14:textId="782DC9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00"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Termiticide Foam Applications</w:t>
        </w:r>
        <w:r>
          <w:rPr>
            <w:webHidden/>
          </w:rPr>
          <w:tab/>
        </w:r>
        <w:r>
          <w:rPr>
            <w:webHidden/>
          </w:rPr>
          <w:fldChar w:fldCharType="begin"/>
        </w:r>
        <w:r>
          <w:rPr>
            <w:webHidden/>
          </w:rPr>
          <w:instrText xml:space="preserve"> PAGEREF _Toc224819300 \h </w:instrText>
        </w:r>
        <w:r>
          <w:rPr>
            <w:webHidden/>
          </w:rPr>
        </w:r>
        <w:r>
          <w:rPr>
            <w:webHidden/>
          </w:rPr>
          <w:fldChar w:fldCharType="separate"/>
        </w:r>
        <w:r w:rsidR="00AA17AB">
          <w:rPr>
            <w:webHidden/>
          </w:rPr>
          <w:t>333</w:t>
        </w:r>
        <w:r>
          <w:rPr>
            <w:webHidden/>
          </w:rPr>
          <w:fldChar w:fldCharType="end"/>
        </w:r>
      </w:hyperlink>
    </w:p>
    <w:p w14:paraId="1DE6FD38" w14:textId="04E8F2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01" w:history="1">
        <w:r w:rsidRPr="00FC437C">
          <w:rPr>
            <w:rStyle w:val="Hyperlink"/>
          </w:rPr>
          <w:t>§147.</w:t>
        </w:r>
        <w:r>
          <w:rPr>
            <w:rFonts w:asciiTheme="minorHAnsi" w:eastAsiaTheme="minorEastAsia" w:hAnsiTheme="minorHAnsi" w:cstheme="minorBidi"/>
            <w:color w:val="auto"/>
            <w:kern w:val="2"/>
            <w:szCs w:val="24"/>
            <w14:ligatures w14:val="standardContextual"/>
          </w:rPr>
          <w:tab/>
        </w:r>
        <w:r w:rsidRPr="00FC437C">
          <w:rPr>
            <w:rStyle w:val="Hyperlink"/>
          </w:rPr>
          <w:t>Fumigation</w:t>
        </w:r>
        <w:r>
          <w:rPr>
            <w:webHidden/>
          </w:rPr>
          <w:tab/>
        </w:r>
        <w:r>
          <w:rPr>
            <w:webHidden/>
          </w:rPr>
          <w:fldChar w:fldCharType="begin"/>
        </w:r>
        <w:r>
          <w:rPr>
            <w:webHidden/>
          </w:rPr>
          <w:instrText xml:space="preserve"> PAGEREF _Toc224819301 \h </w:instrText>
        </w:r>
        <w:r>
          <w:rPr>
            <w:webHidden/>
          </w:rPr>
        </w:r>
        <w:r>
          <w:rPr>
            <w:webHidden/>
          </w:rPr>
          <w:fldChar w:fldCharType="separate"/>
        </w:r>
        <w:r w:rsidR="00AA17AB">
          <w:rPr>
            <w:webHidden/>
          </w:rPr>
          <w:t>334</w:t>
        </w:r>
        <w:r>
          <w:rPr>
            <w:webHidden/>
          </w:rPr>
          <w:fldChar w:fldCharType="end"/>
        </w:r>
      </w:hyperlink>
    </w:p>
    <w:p w14:paraId="418D01A5" w14:textId="6B8FCD0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02" w:history="1">
        <w:r w:rsidRPr="00FC437C">
          <w:rPr>
            <w:rStyle w:val="Hyperlink"/>
          </w:rPr>
          <w:t>§149.</w:t>
        </w:r>
        <w:r>
          <w:rPr>
            <w:rFonts w:asciiTheme="minorHAnsi" w:eastAsiaTheme="minorEastAsia" w:hAnsiTheme="minorHAnsi" w:cstheme="minorBidi"/>
            <w:color w:val="auto"/>
            <w:kern w:val="2"/>
            <w:szCs w:val="24"/>
            <w14:ligatures w14:val="standardContextual"/>
          </w:rPr>
          <w:tab/>
        </w:r>
        <w:r w:rsidRPr="00FC437C">
          <w:rPr>
            <w:rStyle w:val="Hyperlink"/>
          </w:rPr>
          <w:t>Repeal of Prior Rules and Regulations of the Commission</w:t>
        </w:r>
        <w:r>
          <w:rPr>
            <w:webHidden/>
          </w:rPr>
          <w:tab/>
        </w:r>
        <w:r>
          <w:rPr>
            <w:webHidden/>
          </w:rPr>
          <w:fldChar w:fldCharType="begin"/>
        </w:r>
        <w:r>
          <w:rPr>
            <w:webHidden/>
          </w:rPr>
          <w:instrText xml:space="preserve"> PAGEREF _Toc224819302 \h </w:instrText>
        </w:r>
        <w:r>
          <w:rPr>
            <w:webHidden/>
          </w:rPr>
        </w:r>
        <w:r>
          <w:rPr>
            <w:webHidden/>
          </w:rPr>
          <w:fldChar w:fldCharType="separate"/>
        </w:r>
        <w:r w:rsidR="00AA17AB">
          <w:rPr>
            <w:webHidden/>
          </w:rPr>
          <w:t>335</w:t>
        </w:r>
        <w:r>
          <w:rPr>
            <w:webHidden/>
          </w:rPr>
          <w:fldChar w:fldCharType="end"/>
        </w:r>
      </w:hyperlink>
    </w:p>
    <w:p w14:paraId="5984E889" w14:textId="2BCA8A9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03" w:history="1">
        <w:r w:rsidRPr="00FC437C">
          <w:rPr>
            <w:rStyle w:val="Hyperlink"/>
          </w:rPr>
          <w:t>§151.</w:t>
        </w:r>
        <w:r>
          <w:rPr>
            <w:rFonts w:asciiTheme="minorHAnsi" w:eastAsiaTheme="minorEastAsia" w:hAnsiTheme="minorHAnsi" w:cstheme="minorBidi"/>
            <w:color w:val="auto"/>
            <w:kern w:val="2"/>
            <w:szCs w:val="24"/>
            <w14:ligatures w14:val="standardContextual"/>
          </w:rPr>
          <w:tab/>
        </w:r>
        <w:r w:rsidRPr="00FC437C">
          <w:rPr>
            <w:rStyle w:val="Hyperlink"/>
          </w:rPr>
          <w:t>General Requirements for Pesticide Waste</w:t>
        </w:r>
        <w:r>
          <w:rPr>
            <w:webHidden/>
          </w:rPr>
          <w:tab/>
        </w:r>
        <w:r>
          <w:rPr>
            <w:webHidden/>
          </w:rPr>
          <w:fldChar w:fldCharType="begin"/>
        </w:r>
        <w:r>
          <w:rPr>
            <w:webHidden/>
          </w:rPr>
          <w:instrText xml:space="preserve"> PAGEREF _Toc224819303 \h </w:instrText>
        </w:r>
        <w:r>
          <w:rPr>
            <w:webHidden/>
          </w:rPr>
        </w:r>
        <w:r>
          <w:rPr>
            <w:webHidden/>
          </w:rPr>
          <w:fldChar w:fldCharType="separate"/>
        </w:r>
        <w:r w:rsidR="00AA17AB">
          <w:rPr>
            <w:webHidden/>
          </w:rPr>
          <w:t>335</w:t>
        </w:r>
        <w:r>
          <w:rPr>
            <w:webHidden/>
          </w:rPr>
          <w:fldChar w:fldCharType="end"/>
        </w:r>
      </w:hyperlink>
    </w:p>
    <w:p w14:paraId="5AD9C88D" w14:textId="2F8D1E51"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4" w:history="1">
        <w:r w:rsidRPr="00FC437C">
          <w:rPr>
            <w:rStyle w:val="Hyperlink"/>
          </w:rPr>
          <w:t>§153.</w:t>
        </w:r>
        <w:r>
          <w:rPr>
            <w:rFonts w:asciiTheme="minorHAnsi" w:eastAsiaTheme="minorEastAsia" w:hAnsiTheme="minorHAnsi" w:cstheme="minorBidi"/>
            <w:color w:val="auto"/>
            <w:kern w:val="2"/>
            <w:szCs w:val="24"/>
            <w14:ligatures w14:val="standardContextual"/>
          </w:rPr>
          <w:tab/>
        </w:r>
        <w:r w:rsidRPr="00FC437C">
          <w:rPr>
            <w:rStyle w:val="Hyperlink"/>
          </w:rPr>
          <w:t>Handling of Pesticide Containers by Structural Pest Control Operators</w:t>
        </w:r>
        <w:r>
          <w:rPr>
            <w:webHidden/>
          </w:rPr>
          <w:tab/>
        </w:r>
        <w:r>
          <w:rPr>
            <w:webHidden/>
          </w:rPr>
          <w:fldChar w:fldCharType="begin"/>
        </w:r>
        <w:r>
          <w:rPr>
            <w:webHidden/>
          </w:rPr>
          <w:instrText xml:space="preserve"> PAGEREF _Toc224819304 \h </w:instrText>
        </w:r>
        <w:r>
          <w:rPr>
            <w:webHidden/>
          </w:rPr>
        </w:r>
        <w:r>
          <w:rPr>
            <w:webHidden/>
          </w:rPr>
          <w:fldChar w:fldCharType="separate"/>
        </w:r>
        <w:r w:rsidR="00AA17AB">
          <w:rPr>
            <w:webHidden/>
          </w:rPr>
          <w:t>335</w:t>
        </w:r>
        <w:r>
          <w:rPr>
            <w:webHidden/>
          </w:rPr>
          <w:fldChar w:fldCharType="end"/>
        </w:r>
      </w:hyperlink>
    </w:p>
    <w:p w14:paraId="6FEFC1EE" w14:textId="0F581D21"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5" w:history="1">
        <w:r w:rsidRPr="00FC437C">
          <w:rPr>
            <w:rStyle w:val="Hyperlink"/>
          </w:rPr>
          <w:t>§155.</w:t>
        </w:r>
        <w:r>
          <w:rPr>
            <w:rFonts w:asciiTheme="minorHAnsi" w:eastAsiaTheme="minorEastAsia" w:hAnsiTheme="minorHAnsi" w:cstheme="minorBidi"/>
            <w:color w:val="auto"/>
            <w:kern w:val="2"/>
            <w:szCs w:val="24"/>
            <w14:ligatures w14:val="standardContextual"/>
          </w:rPr>
          <w:tab/>
        </w:r>
        <w:r w:rsidRPr="00FC437C">
          <w:rPr>
            <w:rStyle w:val="Hyperlink"/>
          </w:rPr>
          <w:t>Rinsate from Pesticide Containers</w:t>
        </w:r>
        <w:r>
          <w:rPr>
            <w:webHidden/>
          </w:rPr>
          <w:tab/>
        </w:r>
        <w:r>
          <w:rPr>
            <w:webHidden/>
          </w:rPr>
          <w:fldChar w:fldCharType="begin"/>
        </w:r>
        <w:r>
          <w:rPr>
            <w:webHidden/>
          </w:rPr>
          <w:instrText xml:space="preserve"> PAGEREF _Toc224819305 \h </w:instrText>
        </w:r>
        <w:r>
          <w:rPr>
            <w:webHidden/>
          </w:rPr>
        </w:r>
        <w:r>
          <w:rPr>
            <w:webHidden/>
          </w:rPr>
          <w:fldChar w:fldCharType="separate"/>
        </w:r>
        <w:r w:rsidR="00AA17AB">
          <w:rPr>
            <w:webHidden/>
          </w:rPr>
          <w:t>335</w:t>
        </w:r>
        <w:r>
          <w:rPr>
            <w:webHidden/>
          </w:rPr>
          <w:fldChar w:fldCharType="end"/>
        </w:r>
      </w:hyperlink>
    </w:p>
    <w:p w14:paraId="5BEFB933" w14:textId="4C35B60C"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6" w:history="1">
        <w:r w:rsidRPr="00FC437C">
          <w:rPr>
            <w:rStyle w:val="Hyperlink"/>
          </w:rPr>
          <w:t>§157.</w:t>
        </w:r>
        <w:r>
          <w:rPr>
            <w:rFonts w:asciiTheme="minorHAnsi" w:eastAsiaTheme="minorEastAsia" w:hAnsiTheme="minorHAnsi" w:cstheme="minorBidi"/>
            <w:color w:val="auto"/>
            <w:kern w:val="2"/>
            <w:szCs w:val="24"/>
            <w14:ligatures w14:val="standardContextual"/>
          </w:rPr>
          <w:tab/>
        </w:r>
        <w:r w:rsidRPr="00FC437C">
          <w:rPr>
            <w:rStyle w:val="Hyperlink"/>
          </w:rPr>
          <w:t>Containment Structures</w:t>
        </w:r>
        <w:r>
          <w:rPr>
            <w:webHidden/>
          </w:rPr>
          <w:tab/>
        </w:r>
        <w:r>
          <w:rPr>
            <w:webHidden/>
          </w:rPr>
          <w:fldChar w:fldCharType="begin"/>
        </w:r>
        <w:r>
          <w:rPr>
            <w:webHidden/>
          </w:rPr>
          <w:instrText xml:space="preserve"> PAGEREF _Toc224819306 \h </w:instrText>
        </w:r>
        <w:r>
          <w:rPr>
            <w:webHidden/>
          </w:rPr>
        </w:r>
        <w:r>
          <w:rPr>
            <w:webHidden/>
          </w:rPr>
          <w:fldChar w:fldCharType="separate"/>
        </w:r>
        <w:r w:rsidR="00AA17AB">
          <w:rPr>
            <w:webHidden/>
          </w:rPr>
          <w:t>335</w:t>
        </w:r>
        <w:r>
          <w:rPr>
            <w:webHidden/>
          </w:rPr>
          <w:fldChar w:fldCharType="end"/>
        </w:r>
      </w:hyperlink>
    </w:p>
    <w:p w14:paraId="16A0CF8B" w14:textId="6546B6AB"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7" w:history="1">
        <w:r w:rsidRPr="00FC437C">
          <w:rPr>
            <w:rStyle w:val="Hyperlink"/>
          </w:rPr>
          <w:t>§159.</w:t>
        </w:r>
        <w:r>
          <w:rPr>
            <w:rFonts w:asciiTheme="minorHAnsi" w:eastAsiaTheme="minorEastAsia" w:hAnsiTheme="minorHAnsi" w:cstheme="minorBidi"/>
            <w:color w:val="auto"/>
            <w:kern w:val="2"/>
            <w:szCs w:val="24"/>
            <w14:ligatures w14:val="standardContextual"/>
          </w:rPr>
          <w:tab/>
        </w:r>
        <w:r w:rsidRPr="00FC437C">
          <w:rPr>
            <w:rStyle w:val="Hyperlink"/>
          </w:rPr>
          <w:t>Containment Pads</w:t>
        </w:r>
        <w:r>
          <w:rPr>
            <w:webHidden/>
          </w:rPr>
          <w:tab/>
        </w:r>
        <w:r>
          <w:rPr>
            <w:webHidden/>
          </w:rPr>
          <w:fldChar w:fldCharType="begin"/>
        </w:r>
        <w:r>
          <w:rPr>
            <w:webHidden/>
          </w:rPr>
          <w:instrText xml:space="preserve"> PAGEREF _Toc224819307 \h </w:instrText>
        </w:r>
        <w:r>
          <w:rPr>
            <w:webHidden/>
          </w:rPr>
        </w:r>
        <w:r>
          <w:rPr>
            <w:webHidden/>
          </w:rPr>
          <w:fldChar w:fldCharType="separate"/>
        </w:r>
        <w:r w:rsidR="00AA17AB">
          <w:rPr>
            <w:webHidden/>
          </w:rPr>
          <w:t>336</w:t>
        </w:r>
        <w:r>
          <w:rPr>
            <w:webHidden/>
          </w:rPr>
          <w:fldChar w:fldCharType="end"/>
        </w:r>
      </w:hyperlink>
    </w:p>
    <w:p w14:paraId="3246BE32" w14:textId="356E3737"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8" w:history="1">
        <w:r w:rsidRPr="00FC437C">
          <w:rPr>
            <w:rStyle w:val="Hyperlink"/>
          </w:rPr>
          <w:t>§163.</w:t>
        </w:r>
        <w:r>
          <w:rPr>
            <w:rFonts w:asciiTheme="minorHAnsi" w:eastAsiaTheme="minorEastAsia" w:hAnsiTheme="minorHAnsi" w:cstheme="minorBidi"/>
            <w:color w:val="auto"/>
            <w:kern w:val="2"/>
            <w:szCs w:val="24"/>
            <w14:ligatures w14:val="standardContextual"/>
          </w:rPr>
          <w:tab/>
        </w:r>
        <w:r w:rsidRPr="00FC437C">
          <w:rPr>
            <w:rStyle w:val="Hyperlink"/>
          </w:rPr>
          <w:t>Donation of Structural Pest Control Work</w:t>
        </w:r>
        <w:r>
          <w:rPr>
            <w:webHidden/>
          </w:rPr>
          <w:tab/>
        </w:r>
        <w:r>
          <w:rPr>
            <w:webHidden/>
          </w:rPr>
          <w:fldChar w:fldCharType="begin"/>
        </w:r>
        <w:r>
          <w:rPr>
            <w:webHidden/>
          </w:rPr>
          <w:instrText xml:space="preserve"> PAGEREF _Toc224819308 \h </w:instrText>
        </w:r>
        <w:r>
          <w:rPr>
            <w:webHidden/>
          </w:rPr>
        </w:r>
        <w:r>
          <w:rPr>
            <w:webHidden/>
          </w:rPr>
          <w:fldChar w:fldCharType="separate"/>
        </w:r>
        <w:r w:rsidR="00AA17AB">
          <w:rPr>
            <w:webHidden/>
          </w:rPr>
          <w:t>336</w:t>
        </w:r>
        <w:r>
          <w:rPr>
            <w:webHidden/>
          </w:rPr>
          <w:fldChar w:fldCharType="end"/>
        </w:r>
      </w:hyperlink>
    </w:p>
    <w:p w14:paraId="5EFB4E91" w14:textId="6D138317"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09" w:history="1">
        <w:r w:rsidRPr="00FC437C">
          <w:rPr>
            <w:rStyle w:val="Hyperlink"/>
          </w:rPr>
          <w:t>§165.</w:t>
        </w:r>
        <w:r>
          <w:rPr>
            <w:rFonts w:asciiTheme="minorHAnsi" w:eastAsiaTheme="minorEastAsia" w:hAnsiTheme="minorHAnsi" w:cstheme="minorBidi"/>
            <w:color w:val="auto"/>
            <w:kern w:val="2"/>
            <w:szCs w:val="24"/>
            <w14:ligatures w14:val="standardContextual"/>
          </w:rPr>
          <w:tab/>
        </w:r>
        <w:r w:rsidRPr="00FC437C">
          <w:rPr>
            <w:rStyle w:val="Hyperlink"/>
          </w:rPr>
          <w:t>Requests for Adoption, Amendment, or Repeal of a Rule</w:t>
        </w:r>
        <w:r>
          <w:rPr>
            <w:webHidden/>
          </w:rPr>
          <w:tab/>
        </w:r>
        <w:r>
          <w:rPr>
            <w:webHidden/>
          </w:rPr>
          <w:fldChar w:fldCharType="begin"/>
        </w:r>
        <w:r>
          <w:rPr>
            <w:webHidden/>
          </w:rPr>
          <w:instrText xml:space="preserve"> PAGEREF _Toc224819309 \h </w:instrText>
        </w:r>
        <w:r>
          <w:rPr>
            <w:webHidden/>
          </w:rPr>
        </w:r>
        <w:r>
          <w:rPr>
            <w:webHidden/>
          </w:rPr>
          <w:fldChar w:fldCharType="separate"/>
        </w:r>
        <w:r w:rsidR="00AA17AB">
          <w:rPr>
            <w:webHidden/>
          </w:rPr>
          <w:t>337</w:t>
        </w:r>
        <w:r>
          <w:rPr>
            <w:webHidden/>
          </w:rPr>
          <w:fldChar w:fldCharType="end"/>
        </w:r>
      </w:hyperlink>
    </w:p>
    <w:p w14:paraId="6A01F8AD" w14:textId="278401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0" w:history="1">
        <w:r w:rsidRPr="00FC437C">
          <w:rPr>
            <w:rStyle w:val="Hyperlink"/>
          </w:rPr>
          <w:t>§167.</w:t>
        </w:r>
        <w:r>
          <w:rPr>
            <w:rFonts w:asciiTheme="minorHAnsi" w:eastAsiaTheme="minorEastAsia" w:hAnsiTheme="minorHAnsi" w:cstheme="minorBidi"/>
            <w:color w:val="auto"/>
            <w:kern w:val="2"/>
            <w:szCs w:val="24"/>
            <w14:ligatures w14:val="standardContextual"/>
          </w:rPr>
          <w:tab/>
        </w:r>
        <w:r w:rsidRPr="00FC437C">
          <w:rPr>
            <w:rStyle w:val="Hyperlink"/>
          </w:rPr>
          <w:t>Procedure for Declaratory Orders and Rulings</w:t>
        </w:r>
        <w:r>
          <w:rPr>
            <w:webHidden/>
          </w:rPr>
          <w:tab/>
        </w:r>
        <w:r>
          <w:rPr>
            <w:webHidden/>
          </w:rPr>
          <w:fldChar w:fldCharType="begin"/>
        </w:r>
        <w:r>
          <w:rPr>
            <w:webHidden/>
          </w:rPr>
          <w:instrText xml:space="preserve"> PAGEREF _Toc224819310 \h </w:instrText>
        </w:r>
        <w:r>
          <w:rPr>
            <w:webHidden/>
          </w:rPr>
        </w:r>
        <w:r>
          <w:rPr>
            <w:webHidden/>
          </w:rPr>
          <w:fldChar w:fldCharType="separate"/>
        </w:r>
        <w:r w:rsidR="00AA17AB">
          <w:rPr>
            <w:webHidden/>
          </w:rPr>
          <w:t>337</w:t>
        </w:r>
        <w:r>
          <w:rPr>
            <w:webHidden/>
          </w:rPr>
          <w:fldChar w:fldCharType="end"/>
        </w:r>
      </w:hyperlink>
    </w:p>
    <w:p w14:paraId="68ADE32E" w14:textId="3BAD6CEA" w:rsidR="00E67799" w:rsidRDefault="00E67799">
      <w:pPr>
        <w:pStyle w:val="TOC1"/>
        <w:rPr>
          <w:rFonts w:asciiTheme="minorHAnsi" w:hAnsiTheme="minorHAnsi" w:cstheme="minorBidi"/>
          <w:b w:val="0"/>
          <w:bCs w:val="0"/>
          <w:sz w:val="24"/>
          <w:szCs w:val="24"/>
        </w:rPr>
      </w:pPr>
      <w:hyperlink w:anchor="_Toc224819311" w:history="1">
        <w:r w:rsidRPr="00FC437C">
          <w:rPr>
            <w:rStyle w:val="Hyperlink"/>
          </w:rPr>
          <w:t>Part XXVII.  Agricultural Commodity Dealer and Warehouse Law</w:t>
        </w:r>
      </w:hyperlink>
    </w:p>
    <w:p w14:paraId="71F14FD9" w14:textId="30D4055E" w:rsidR="00E67799" w:rsidRDefault="00E67799">
      <w:pPr>
        <w:pStyle w:val="TOC2"/>
        <w:rPr>
          <w:rFonts w:asciiTheme="minorHAnsi" w:eastAsiaTheme="minorEastAsia" w:hAnsiTheme="minorHAnsi" w:cstheme="minorBidi"/>
          <w:kern w:val="2"/>
          <w:szCs w:val="24"/>
          <w14:ligatures w14:val="standardContextual"/>
        </w:rPr>
      </w:pPr>
      <w:hyperlink w:anchor="_Toc224819312"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Louisiana Agricultural Commodities Commission</w:t>
        </w:r>
        <w:r>
          <w:rPr>
            <w:webHidden/>
          </w:rPr>
          <w:tab/>
        </w:r>
        <w:r>
          <w:rPr>
            <w:webHidden/>
          </w:rPr>
          <w:fldChar w:fldCharType="begin"/>
        </w:r>
        <w:r>
          <w:rPr>
            <w:webHidden/>
          </w:rPr>
          <w:instrText xml:space="preserve"> PAGEREF _Toc224819312 \h </w:instrText>
        </w:r>
        <w:r>
          <w:rPr>
            <w:webHidden/>
          </w:rPr>
        </w:r>
        <w:r>
          <w:rPr>
            <w:webHidden/>
          </w:rPr>
          <w:fldChar w:fldCharType="separate"/>
        </w:r>
        <w:r w:rsidR="00AA17AB">
          <w:rPr>
            <w:webHidden/>
          </w:rPr>
          <w:t>339</w:t>
        </w:r>
        <w:r>
          <w:rPr>
            <w:webHidden/>
          </w:rPr>
          <w:fldChar w:fldCharType="end"/>
        </w:r>
      </w:hyperlink>
    </w:p>
    <w:p w14:paraId="51912680" w14:textId="09937EA2" w:rsidR="00E67799" w:rsidRDefault="00E67799">
      <w:pPr>
        <w:pStyle w:val="TOC2"/>
        <w:rPr>
          <w:rFonts w:asciiTheme="minorHAnsi" w:eastAsiaTheme="minorEastAsia" w:hAnsiTheme="minorHAnsi" w:cstheme="minorBidi"/>
          <w:kern w:val="2"/>
          <w:szCs w:val="24"/>
          <w14:ligatures w14:val="standardContextual"/>
        </w:rPr>
      </w:pPr>
      <w:hyperlink w:anchor="_Toc224819313"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General Provisions</w:t>
        </w:r>
        <w:r>
          <w:rPr>
            <w:webHidden/>
          </w:rPr>
          <w:tab/>
        </w:r>
        <w:r>
          <w:rPr>
            <w:webHidden/>
          </w:rPr>
          <w:fldChar w:fldCharType="begin"/>
        </w:r>
        <w:r>
          <w:rPr>
            <w:webHidden/>
          </w:rPr>
          <w:instrText xml:space="preserve"> PAGEREF _Toc224819313 \h </w:instrText>
        </w:r>
        <w:r>
          <w:rPr>
            <w:webHidden/>
          </w:rPr>
        </w:r>
        <w:r>
          <w:rPr>
            <w:webHidden/>
          </w:rPr>
          <w:fldChar w:fldCharType="separate"/>
        </w:r>
        <w:r w:rsidR="00AA17AB">
          <w:rPr>
            <w:webHidden/>
          </w:rPr>
          <w:t>339</w:t>
        </w:r>
        <w:r>
          <w:rPr>
            <w:webHidden/>
          </w:rPr>
          <w:fldChar w:fldCharType="end"/>
        </w:r>
      </w:hyperlink>
    </w:p>
    <w:p w14:paraId="487EE147" w14:textId="600AC1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4"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_Toc224819314 \h </w:instrText>
        </w:r>
        <w:r>
          <w:rPr>
            <w:webHidden/>
          </w:rPr>
        </w:r>
        <w:r>
          <w:rPr>
            <w:webHidden/>
          </w:rPr>
          <w:fldChar w:fldCharType="separate"/>
        </w:r>
        <w:r w:rsidR="00AA17AB">
          <w:rPr>
            <w:webHidden/>
          </w:rPr>
          <w:t>339</w:t>
        </w:r>
        <w:r>
          <w:rPr>
            <w:webHidden/>
          </w:rPr>
          <w:fldChar w:fldCharType="end"/>
        </w:r>
      </w:hyperlink>
    </w:p>
    <w:p w14:paraId="46954665" w14:textId="1606777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5"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Affairs of the Commission</w:t>
        </w:r>
        <w:r>
          <w:rPr>
            <w:webHidden/>
          </w:rPr>
          <w:tab/>
        </w:r>
        <w:r>
          <w:rPr>
            <w:webHidden/>
          </w:rPr>
          <w:fldChar w:fldCharType="begin"/>
        </w:r>
        <w:r>
          <w:rPr>
            <w:webHidden/>
          </w:rPr>
          <w:instrText xml:space="preserve"> PAGEREF _Toc224819315 \h </w:instrText>
        </w:r>
        <w:r>
          <w:rPr>
            <w:webHidden/>
          </w:rPr>
        </w:r>
        <w:r>
          <w:rPr>
            <w:webHidden/>
          </w:rPr>
          <w:fldChar w:fldCharType="separate"/>
        </w:r>
        <w:r w:rsidR="00AA17AB">
          <w:rPr>
            <w:webHidden/>
          </w:rPr>
          <w:t>341</w:t>
        </w:r>
        <w:r>
          <w:rPr>
            <w:webHidden/>
          </w:rPr>
          <w:fldChar w:fldCharType="end"/>
        </w:r>
      </w:hyperlink>
    </w:p>
    <w:p w14:paraId="67BA7638" w14:textId="4AF8573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6"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Agricultural Commodities and Other Farm Products Regulated by the Commission</w:t>
        </w:r>
        <w:r>
          <w:rPr>
            <w:webHidden/>
          </w:rPr>
          <w:tab/>
        </w:r>
        <w:r>
          <w:rPr>
            <w:webHidden/>
          </w:rPr>
          <w:fldChar w:fldCharType="begin"/>
        </w:r>
        <w:r>
          <w:rPr>
            <w:webHidden/>
          </w:rPr>
          <w:instrText xml:space="preserve"> PAGEREF _Toc224819316 \h </w:instrText>
        </w:r>
        <w:r>
          <w:rPr>
            <w:webHidden/>
          </w:rPr>
        </w:r>
        <w:r>
          <w:rPr>
            <w:webHidden/>
          </w:rPr>
          <w:fldChar w:fldCharType="separate"/>
        </w:r>
        <w:r w:rsidR="00AA17AB">
          <w:rPr>
            <w:webHidden/>
          </w:rPr>
          <w:t>341</w:t>
        </w:r>
        <w:r>
          <w:rPr>
            <w:webHidden/>
          </w:rPr>
          <w:fldChar w:fldCharType="end"/>
        </w:r>
      </w:hyperlink>
    </w:p>
    <w:p w14:paraId="775620E6" w14:textId="1DD09649" w:rsidR="00E67799" w:rsidRDefault="00E67799">
      <w:pPr>
        <w:pStyle w:val="TOC2"/>
        <w:rPr>
          <w:rFonts w:asciiTheme="minorHAnsi" w:eastAsiaTheme="minorEastAsia" w:hAnsiTheme="minorHAnsi" w:cstheme="minorBidi"/>
          <w:kern w:val="2"/>
          <w:szCs w:val="24"/>
          <w14:ligatures w14:val="standardContextual"/>
        </w:rPr>
      </w:pPr>
      <w:hyperlink w:anchor="_Toc224819317"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Application for Warehouse, Grain Dealer and Cotton Merchant Licenses</w:t>
        </w:r>
        <w:r>
          <w:rPr>
            <w:webHidden/>
          </w:rPr>
          <w:tab/>
        </w:r>
        <w:r>
          <w:rPr>
            <w:webHidden/>
          </w:rPr>
          <w:fldChar w:fldCharType="begin"/>
        </w:r>
        <w:r>
          <w:rPr>
            <w:webHidden/>
          </w:rPr>
          <w:instrText xml:space="preserve"> PAGEREF _Toc224819317 \h </w:instrText>
        </w:r>
        <w:r>
          <w:rPr>
            <w:webHidden/>
          </w:rPr>
        </w:r>
        <w:r>
          <w:rPr>
            <w:webHidden/>
          </w:rPr>
          <w:fldChar w:fldCharType="separate"/>
        </w:r>
        <w:r w:rsidR="00AA17AB">
          <w:rPr>
            <w:webHidden/>
          </w:rPr>
          <w:t>342</w:t>
        </w:r>
        <w:r>
          <w:rPr>
            <w:webHidden/>
          </w:rPr>
          <w:fldChar w:fldCharType="end"/>
        </w:r>
      </w:hyperlink>
    </w:p>
    <w:p w14:paraId="3E392099" w14:textId="465C86D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8"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 xml:space="preserve">Application for License (Initial and Renewal); Time for Filing; Contents; Fees; </w:t>
        </w:r>
        <w:r w:rsidR="00ED0600">
          <w:rPr>
            <w:rStyle w:val="Hyperlink"/>
          </w:rPr>
          <w:br/>
        </w:r>
        <w:r w:rsidR="00ED0600">
          <w:rPr>
            <w:rStyle w:val="Hyperlink"/>
          </w:rPr>
          <w:tab/>
        </w:r>
        <w:r w:rsidRPr="00FC437C">
          <w:rPr>
            <w:rStyle w:val="Hyperlink"/>
          </w:rPr>
          <w:t>Style of Document</w:t>
        </w:r>
        <w:r>
          <w:rPr>
            <w:webHidden/>
          </w:rPr>
          <w:tab/>
        </w:r>
        <w:r>
          <w:rPr>
            <w:webHidden/>
          </w:rPr>
          <w:fldChar w:fldCharType="begin"/>
        </w:r>
        <w:r>
          <w:rPr>
            <w:webHidden/>
          </w:rPr>
          <w:instrText xml:space="preserve"> PAGEREF _Toc224819318 \h </w:instrText>
        </w:r>
        <w:r>
          <w:rPr>
            <w:webHidden/>
          </w:rPr>
        </w:r>
        <w:r>
          <w:rPr>
            <w:webHidden/>
          </w:rPr>
          <w:fldChar w:fldCharType="separate"/>
        </w:r>
        <w:r w:rsidR="00AA17AB">
          <w:rPr>
            <w:webHidden/>
          </w:rPr>
          <w:t>342</w:t>
        </w:r>
        <w:r>
          <w:rPr>
            <w:webHidden/>
          </w:rPr>
          <w:fldChar w:fldCharType="end"/>
        </w:r>
      </w:hyperlink>
    </w:p>
    <w:p w14:paraId="30A46FF7" w14:textId="51005B2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19"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 xml:space="preserve">Grounds for Refusal to Issue or Renew a Warehouse, Cotton Merchant, or </w:t>
        </w:r>
        <w:r w:rsidR="00ED0600">
          <w:rPr>
            <w:rStyle w:val="Hyperlink"/>
          </w:rPr>
          <w:br/>
        </w:r>
        <w:r w:rsidR="00ED0600">
          <w:rPr>
            <w:rStyle w:val="Hyperlink"/>
          </w:rPr>
          <w:tab/>
        </w:r>
        <w:r w:rsidRPr="00FC437C">
          <w:rPr>
            <w:rStyle w:val="Hyperlink"/>
          </w:rPr>
          <w:t>Grain Dealer License</w:t>
        </w:r>
        <w:r>
          <w:rPr>
            <w:webHidden/>
          </w:rPr>
          <w:tab/>
        </w:r>
        <w:r>
          <w:rPr>
            <w:webHidden/>
          </w:rPr>
          <w:fldChar w:fldCharType="begin"/>
        </w:r>
        <w:r>
          <w:rPr>
            <w:webHidden/>
          </w:rPr>
          <w:instrText xml:space="preserve"> PAGEREF _Toc224819319 \h </w:instrText>
        </w:r>
        <w:r>
          <w:rPr>
            <w:webHidden/>
          </w:rPr>
        </w:r>
        <w:r>
          <w:rPr>
            <w:webHidden/>
          </w:rPr>
          <w:fldChar w:fldCharType="separate"/>
        </w:r>
        <w:r w:rsidR="00AA17AB">
          <w:rPr>
            <w:webHidden/>
          </w:rPr>
          <w:t>344</w:t>
        </w:r>
        <w:r>
          <w:rPr>
            <w:webHidden/>
          </w:rPr>
          <w:fldChar w:fldCharType="end"/>
        </w:r>
      </w:hyperlink>
    </w:p>
    <w:p w14:paraId="2F681D2A" w14:textId="71738F33" w:rsidR="00E67799" w:rsidRDefault="00E67799">
      <w:pPr>
        <w:pStyle w:val="TOC2"/>
        <w:rPr>
          <w:rFonts w:asciiTheme="minorHAnsi" w:eastAsiaTheme="minorEastAsia" w:hAnsiTheme="minorHAnsi" w:cstheme="minorBidi"/>
          <w:kern w:val="2"/>
          <w:szCs w:val="24"/>
          <w14:ligatures w14:val="standardContextual"/>
        </w:rPr>
      </w:pPr>
      <w:hyperlink w:anchor="_Toc224819320"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Warehouse Licenses</w:t>
        </w:r>
        <w:r>
          <w:rPr>
            <w:webHidden/>
          </w:rPr>
          <w:tab/>
        </w:r>
        <w:r>
          <w:rPr>
            <w:webHidden/>
          </w:rPr>
          <w:fldChar w:fldCharType="begin"/>
        </w:r>
        <w:r>
          <w:rPr>
            <w:webHidden/>
          </w:rPr>
          <w:instrText xml:space="preserve"> PAGEREF _Toc224819320 \h </w:instrText>
        </w:r>
        <w:r>
          <w:rPr>
            <w:webHidden/>
          </w:rPr>
        </w:r>
        <w:r>
          <w:rPr>
            <w:webHidden/>
          </w:rPr>
          <w:fldChar w:fldCharType="separate"/>
        </w:r>
        <w:r w:rsidR="00AA17AB">
          <w:rPr>
            <w:webHidden/>
          </w:rPr>
          <w:t>344</w:t>
        </w:r>
        <w:r>
          <w:rPr>
            <w:webHidden/>
          </w:rPr>
          <w:fldChar w:fldCharType="end"/>
        </w:r>
      </w:hyperlink>
    </w:p>
    <w:p w14:paraId="4833A435" w14:textId="14FE8D5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1"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Requirements Applicable to All Warehouses</w:t>
        </w:r>
        <w:r>
          <w:rPr>
            <w:webHidden/>
          </w:rPr>
          <w:tab/>
        </w:r>
        <w:r>
          <w:rPr>
            <w:webHidden/>
          </w:rPr>
          <w:fldChar w:fldCharType="begin"/>
        </w:r>
        <w:r>
          <w:rPr>
            <w:webHidden/>
          </w:rPr>
          <w:instrText xml:space="preserve"> PAGEREF _Toc224819321 \h </w:instrText>
        </w:r>
        <w:r>
          <w:rPr>
            <w:webHidden/>
          </w:rPr>
        </w:r>
        <w:r>
          <w:rPr>
            <w:webHidden/>
          </w:rPr>
          <w:fldChar w:fldCharType="separate"/>
        </w:r>
        <w:r w:rsidR="00AA17AB">
          <w:rPr>
            <w:webHidden/>
          </w:rPr>
          <w:t>344</w:t>
        </w:r>
        <w:r>
          <w:rPr>
            <w:webHidden/>
          </w:rPr>
          <w:fldChar w:fldCharType="end"/>
        </w:r>
      </w:hyperlink>
    </w:p>
    <w:p w14:paraId="002F57D4" w14:textId="4D290A3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2"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Standards for Approval of Facilities for Storage of Agricultural Commodities</w:t>
        </w:r>
        <w:r>
          <w:rPr>
            <w:webHidden/>
          </w:rPr>
          <w:tab/>
        </w:r>
        <w:r>
          <w:rPr>
            <w:webHidden/>
          </w:rPr>
          <w:fldChar w:fldCharType="begin"/>
        </w:r>
        <w:r>
          <w:rPr>
            <w:webHidden/>
          </w:rPr>
          <w:instrText xml:space="preserve"> PAGEREF _Toc224819322 \h </w:instrText>
        </w:r>
        <w:r>
          <w:rPr>
            <w:webHidden/>
          </w:rPr>
        </w:r>
        <w:r>
          <w:rPr>
            <w:webHidden/>
          </w:rPr>
          <w:fldChar w:fldCharType="separate"/>
        </w:r>
        <w:r w:rsidR="00AA17AB">
          <w:rPr>
            <w:webHidden/>
          </w:rPr>
          <w:t>345</w:t>
        </w:r>
        <w:r>
          <w:rPr>
            <w:webHidden/>
          </w:rPr>
          <w:fldChar w:fldCharType="end"/>
        </w:r>
      </w:hyperlink>
    </w:p>
    <w:p w14:paraId="334919F0" w14:textId="15A811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3" w:history="1">
        <w:r w:rsidRPr="00FC437C">
          <w:rPr>
            <w:rStyle w:val="Hyperlink"/>
          </w:rPr>
          <w:t>§114.</w:t>
        </w:r>
        <w:r>
          <w:rPr>
            <w:rFonts w:asciiTheme="minorHAnsi" w:eastAsiaTheme="minorEastAsia" w:hAnsiTheme="minorHAnsi" w:cstheme="minorBidi"/>
            <w:color w:val="auto"/>
            <w:kern w:val="2"/>
            <w:szCs w:val="24"/>
            <w14:ligatures w14:val="standardContextual"/>
          </w:rPr>
          <w:tab/>
        </w:r>
        <w:r w:rsidRPr="00FC437C">
          <w:rPr>
            <w:rStyle w:val="Hyperlink"/>
          </w:rPr>
          <w:t>Temporary Storage Facilities</w:t>
        </w:r>
        <w:r>
          <w:rPr>
            <w:webHidden/>
          </w:rPr>
          <w:tab/>
        </w:r>
        <w:r>
          <w:rPr>
            <w:webHidden/>
          </w:rPr>
          <w:fldChar w:fldCharType="begin"/>
        </w:r>
        <w:r>
          <w:rPr>
            <w:webHidden/>
          </w:rPr>
          <w:instrText xml:space="preserve"> PAGEREF _Toc224819323 \h </w:instrText>
        </w:r>
        <w:r>
          <w:rPr>
            <w:webHidden/>
          </w:rPr>
        </w:r>
        <w:r>
          <w:rPr>
            <w:webHidden/>
          </w:rPr>
          <w:fldChar w:fldCharType="separate"/>
        </w:r>
        <w:r w:rsidR="00AA17AB">
          <w:rPr>
            <w:webHidden/>
          </w:rPr>
          <w:t>346</w:t>
        </w:r>
        <w:r>
          <w:rPr>
            <w:webHidden/>
          </w:rPr>
          <w:fldChar w:fldCharType="end"/>
        </w:r>
      </w:hyperlink>
    </w:p>
    <w:p w14:paraId="1674CF54" w14:textId="302A31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4"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Security Required for Warehouse License; Provisions Relative to Licensed Capacities</w:t>
        </w:r>
        <w:r>
          <w:rPr>
            <w:webHidden/>
          </w:rPr>
          <w:tab/>
        </w:r>
        <w:r>
          <w:rPr>
            <w:webHidden/>
          </w:rPr>
          <w:fldChar w:fldCharType="begin"/>
        </w:r>
        <w:r>
          <w:rPr>
            <w:webHidden/>
          </w:rPr>
          <w:instrText xml:space="preserve"> PAGEREF _Toc224819324 \h </w:instrText>
        </w:r>
        <w:r>
          <w:rPr>
            <w:webHidden/>
          </w:rPr>
        </w:r>
        <w:r>
          <w:rPr>
            <w:webHidden/>
          </w:rPr>
          <w:fldChar w:fldCharType="separate"/>
        </w:r>
        <w:r w:rsidR="00AA17AB">
          <w:rPr>
            <w:webHidden/>
          </w:rPr>
          <w:t>347</w:t>
        </w:r>
        <w:r>
          <w:rPr>
            <w:webHidden/>
          </w:rPr>
          <w:fldChar w:fldCharType="end"/>
        </w:r>
      </w:hyperlink>
    </w:p>
    <w:p w14:paraId="1A4281CA" w14:textId="15FB7BC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5"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Provisional Stock Insurance Required for Warehouse License</w:t>
        </w:r>
        <w:r>
          <w:rPr>
            <w:webHidden/>
          </w:rPr>
          <w:tab/>
        </w:r>
        <w:r>
          <w:rPr>
            <w:webHidden/>
          </w:rPr>
          <w:fldChar w:fldCharType="begin"/>
        </w:r>
        <w:r>
          <w:rPr>
            <w:webHidden/>
          </w:rPr>
          <w:instrText xml:space="preserve"> PAGEREF _Toc224819325 \h </w:instrText>
        </w:r>
        <w:r>
          <w:rPr>
            <w:webHidden/>
          </w:rPr>
        </w:r>
        <w:r>
          <w:rPr>
            <w:webHidden/>
          </w:rPr>
          <w:fldChar w:fldCharType="separate"/>
        </w:r>
        <w:r w:rsidR="00AA17AB">
          <w:rPr>
            <w:webHidden/>
          </w:rPr>
          <w:t>348</w:t>
        </w:r>
        <w:r>
          <w:rPr>
            <w:webHidden/>
          </w:rPr>
          <w:fldChar w:fldCharType="end"/>
        </w:r>
      </w:hyperlink>
    </w:p>
    <w:p w14:paraId="0479E5AC" w14:textId="76AF288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6"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Amendment to License Required When Change of Status Occurs</w:t>
        </w:r>
        <w:r>
          <w:rPr>
            <w:webHidden/>
          </w:rPr>
          <w:tab/>
        </w:r>
        <w:r>
          <w:rPr>
            <w:webHidden/>
          </w:rPr>
          <w:fldChar w:fldCharType="begin"/>
        </w:r>
        <w:r>
          <w:rPr>
            <w:webHidden/>
          </w:rPr>
          <w:instrText xml:space="preserve"> PAGEREF _Toc224819326 \h </w:instrText>
        </w:r>
        <w:r>
          <w:rPr>
            <w:webHidden/>
          </w:rPr>
        </w:r>
        <w:r>
          <w:rPr>
            <w:webHidden/>
          </w:rPr>
          <w:fldChar w:fldCharType="separate"/>
        </w:r>
        <w:r w:rsidR="00AA17AB">
          <w:rPr>
            <w:webHidden/>
          </w:rPr>
          <w:t>348</w:t>
        </w:r>
        <w:r>
          <w:rPr>
            <w:webHidden/>
          </w:rPr>
          <w:fldChar w:fldCharType="end"/>
        </w:r>
      </w:hyperlink>
    </w:p>
    <w:p w14:paraId="536CAF4E" w14:textId="1259848F" w:rsidR="00E67799" w:rsidRDefault="00E67799">
      <w:pPr>
        <w:pStyle w:val="TOC2"/>
        <w:rPr>
          <w:rFonts w:asciiTheme="minorHAnsi" w:eastAsiaTheme="minorEastAsia" w:hAnsiTheme="minorHAnsi" w:cstheme="minorBidi"/>
          <w:kern w:val="2"/>
          <w:szCs w:val="24"/>
          <w14:ligatures w14:val="standardContextual"/>
        </w:rPr>
      </w:pPr>
      <w:hyperlink w:anchor="_Toc224819327"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Grain Dealers</w:t>
        </w:r>
        <w:r>
          <w:rPr>
            <w:webHidden/>
          </w:rPr>
          <w:tab/>
        </w:r>
        <w:r>
          <w:rPr>
            <w:webHidden/>
          </w:rPr>
          <w:fldChar w:fldCharType="begin"/>
        </w:r>
        <w:r>
          <w:rPr>
            <w:webHidden/>
          </w:rPr>
          <w:instrText xml:space="preserve"> PAGEREF _Toc224819327 \h </w:instrText>
        </w:r>
        <w:r>
          <w:rPr>
            <w:webHidden/>
          </w:rPr>
        </w:r>
        <w:r>
          <w:rPr>
            <w:webHidden/>
          </w:rPr>
          <w:fldChar w:fldCharType="separate"/>
        </w:r>
        <w:r w:rsidR="00AA17AB">
          <w:rPr>
            <w:webHidden/>
          </w:rPr>
          <w:t>349</w:t>
        </w:r>
        <w:r>
          <w:rPr>
            <w:webHidden/>
          </w:rPr>
          <w:fldChar w:fldCharType="end"/>
        </w:r>
      </w:hyperlink>
    </w:p>
    <w:p w14:paraId="0B8E298B" w14:textId="01D26C0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8"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Requirements Applicable to All Grain Dealers</w:t>
        </w:r>
        <w:r>
          <w:rPr>
            <w:webHidden/>
          </w:rPr>
          <w:tab/>
        </w:r>
        <w:r>
          <w:rPr>
            <w:webHidden/>
          </w:rPr>
          <w:fldChar w:fldCharType="begin"/>
        </w:r>
        <w:r>
          <w:rPr>
            <w:webHidden/>
          </w:rPr>
          <w:instrText xml:space="preserve"> PAGEREF _Toc224819328 \h </w:instrText>
        </w:r>
        <w:r>
          <w:rPr>
            <w:webHidden/>
          </w:rPr>
        </w:r>
        <w:r>
          <w:rPr>
            <w:webHidden/>
          </w:rPr>
          <w:fldChar w:fldCharType="separate"/>
        </w:r>
        <w:r w:rsidR="00AA17AB">
          <w:rPr>
            <w:webHidden/>
          </w:rPr>
          <w:t>349</w:t>
        </w:r>
        <w:r>
          <w:rPr>
            <w:webHidden/>
          </w:rPr>
          <w:fldChar w:fldCharType="end"/>
        </w:r>
      </w:hyperlink>
    </w:p>
    <w:p w14:paraId="67DC63AE" w14:textId="5057B8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29"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Risk Position Requirements</w:t>
        </w:r>
        <w:r>
          <w:rPr>
            <w:webHidden/>
          </w:rPr>
          <w:tab/>
        </w:r>
        <w:r>
          <w:rPr>
            <w:webHidden/>
          </w:rPr>
          <w:fldChar w:fldCharType="begin"/>
        </w:r>
        <w:r>
          <w:rPr>
            <w:webHidden/>
          </w:rPr>
          <w:instrText xml:space="preserve"> PAGEREF _Toc224819329 \h </w:instrText>
        </w:r>
        <w:r>
          <w:rPr>
            <w:webHidden/>
          </w:rPr>
        </w:r>
        <w:r>
          <w:rPr>
            <w:webHidden/>
          </w:rPr>
          <w:fldChar w:fldCharType="separate"/>
        </w:r>
        <w:r w:rsidR="00AA17AB">
          <w:rPr>
            <w:webHidden/>
          </w:rPr>
          <w:t>350</w:t>
        </w:r>
        <w:r>
          <w:rPr>
            <w:webHidden/>
          </w:rPr>
          <w:fldChar w:fldCharType="end"/>
        </w:r>
      </w:hyperlink>
    </w:p>
    <w:p w14:paraId="0CE8EE2B" w14:textId="5B718174" w:rsidR="00E67799" w:rsidRDefault="00E67799">
      <w:pPr>
        <w:pStyle w:val="TOC2"/>
        <w:rPr>
          <w:rFonts w:asciiTheme="minorHAnsi" w:eastAsiaTheme="minorEastAsia" w:hAnsiTheme="minorHAnsi" w:cstheme="minorBidi"/>
          <w:kern w:val="2"/>
          <w:szCs w:val="24"/>
          <w14:ligatures w14:val="standardContextual"/>
        </w:rPr>
      </w:pPr>
      <w:hyperlink w:anchor="_Toc224819330" w:history="1">
        <w:r w:rsidRPr="00FC437C">
          <w:rPr>
            <w:rStyle w:val="Hyperlink"/>
          </w:rPr>
          <w:t>Subchapter E.</w:t>
        </w:r>
        <w:r>
          <w:rPr>
            <w:rFonts w:asciiTheme="minorHAnsi" w:eastAsiaTheme="minorEastAsia" w:hAnsiTheme="minorHAnsi" w:cstheme="minorBidi"/>
            <w:kern w:val="2"/>
            <w:szCs w:val="24"/>
            <w14:ligatures w14:val="standardContextual"/>
          </w:rPr>
          <w:tab/>
        </w:r>
        <w:r w:rsidRPr="00FC437C">
          <w:rPr>
            <w:rStyle w:val="Hyperlink"/>
          </w:rPr>
          <w:t>Assessments and Fees</w:t>
        </w:r>
        <w:r>
          <w:rPr>
            <w:webHidden/>
          </w:rPr>
          <w:tab/>
        </w:r>
        <w:r>
          <w:rPr>
            <w:webHidden/>
          </w:rPr>
          <w:fldChar w:fldCharType="begin"/>
        </w:r>
        <w:r>
          <w:rPr>
            <w:webHidden/>
          </w:rPr>
          <w:instrText xml:space="preserve"> PAGEREF _Toc224819330 \h </w:instrText>
        </w:r>
        <w:r>
          <w:rPr>
            <w:webHidden/>
          </w:rPr>
        </w:r>
        <w:r>
          <w:rPr>
            <w:webHidden/>
          </w:rPr>
          <w:fldChar w:fldCharType="separate"/>
        </w:r>
        <w:r w:rsidR="00AA17AB">
          <w:rPr>
            <w:webHidden/>
          </w:rPr>
          <w:t>350</w:t>
        </w:r>
        <w:r>
          <w:rPr>
            <w:webHidden/>
          </w:rPr>
          <w:fldChar w:fldCharType="end"/>
        </w:r>
      </w:hyperlink>
    </w:p>
    <w:p w14:paraId="5F05A6EF" w14:textId="4BFFE7B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1"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Assessments: Amount, Time of Payment, Payment under Special Conditions</w:t>
        </w:r>
        <w:r>
          <w:rPr>
            <w:webHidden/>
          </w:rPr>
          <w:tab/>
        </w:r>
        <w:r>
          <w:rPr>
            <w:webHidden/>
          </w:rPr>
          <w:fldChar w:fldCharType="begin"/>
        </w:r>
        <w:r>
          <w:rPr>
            <w:webHidden/>
          </w:rPr>
          <w:instrText xml:space="preserve"> PAGEREF _Toc224819331 \h </w:instrText>
        </w:r>
        <w:r>
          <w:rPr>
            <w:webHidden/>
          </w:rPr>
        </w:r>
        <w:r>
          <w:rPr>
            <w:webHidden/>
          </w:rPr>
          <w:fldChar w:fldCharType="separate"/>
        </w:r>
        <w:r w:rsidR="00AA17AB">
          <w:rPr>
            <w:webHidden/>
          </w:rPr>
          <w:t>350</w:t>
        </w:r>
        <w:r>
          <w:rPr>
            <w:webHidden/>
          </w:rPr>
          <w:fldChar w:fldCharType="end"/>
        </w:r>
      </w:hyperlink>
    </w:p>
    <w:p w14:paraId="76E20B51" w14:textId="3DEA515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2" w:history="1">
        <w:r w:rsidRPr="00FC437C">
          <w:rPr>
            <w:rStyle w:val="Hyperlink"/>
          </w:rPr>
          <w:t>§128.</w:t>
        </w:r>
        <w:r>
          <w:rPr>
            <w:rFonts w:asciiTheme="minorHAnsi" w:eastAsiaTheme="minorEastAsia" w:hAnsiTheme="minorHAnsi" w:cstheme="minorBidi"/>
            <w:color w:val="auto"/>
            <w:kern w:val="2"/>
            <w:szCs w:val="24"/>
            <w14:ligatures w14:val="standardContextual"/>
          </w:rPr>
          <w:tab/>
        </w:r>
        <w:r w:rsidRPr="00FC437C">
          <w:rPr>
            <w:rStyle w:val="Hyperlink"/>
          </w:rPr>
          <w:t>Fees: Amount, Time of Payment</w:t>
        </w:r>
        <w:r>
          <w:rPr>
            <w:webHidden/>
          </w:rPr>
          <w:tab/>
        </w:r>
        <w:r>
          <w:rPr>
            <w:webHidden/>
          </w:rPr>
          <w:fldChar w:fldCharType="begin"/>
        </w:r>
        <w:r>
          <w:rPr>
            <w:webHidden/>
          </w:rPr>
          <w:instrText xml:space="preserve"> PAGEREF _Toc224819332 \h </w:instrText>
        </w:r>
        <w:r>
          <w:rPr>
            <w:webHidden/>
          </w:rPr>
        </w:r>
        <w:r>
          <w:rPr>
            <w:webHidden/>
          </w:rPr>
          <w:fldChar w:fldCharType="separate"/>
        </w:r>
        <w:r w:rsidR="00AA17AB">
          <w:rPr>
            <w:webHidden/>
          </w:rPr>
          <w:t>351</w:t>
        </w:r>
        <w:r>
          <w:rPr>
            <w:webHidden/>
          </w:rPr>
          <w:fldChar w:fldCharType="end"/>
        </w:r>
      </w:hyperlink>
    </w:p>
    <w:p w14:paraId="58D9233A" w14:textId="002A65D5" w:rsidR="00E67799" w:rsidRDefault="00E67799">
      <w:pPr>
        <w:pStyle w:val="TOC2"/>
        <w:rPr>
          <w:rFonts w:asciiTheme="minorHAnsi" w:eastAsiaTheme="minorEastAsia" w:hAnsiTheme="minorHAnsi" w:cstheme="minorBidi"/>
          <w:kern w:val="2"/>
          <w:szCs w:val="24"/>
          <w14:ligatures w14:val="standardContextual"/>
        </w:rPr>
      </w:pPr>
      <w:hyperlink w:anchor="_Toc224819333" w:history="1">
        <w:r w:rsidRPr="00FC437C">
          <w:rPr>
            <w:rStyle w:val="Hyperlink"/>
          </w:rPr>
          <w:t>Subchapter F.</w:t>
        </w:r>
        <w:r>
          <w:rPr>
            <w:rFonts w:asciiTheme="minorHAnsi" w:eastAsiaTheme="minorEastAsia" w:hAnsiTheme="minorHAnsi" w:cstheme="minorBidi"/>
            <w:kern w:val="2"/>
            <w:szCs w:val="24"/>
            <w14:ligatures w14:val="standardContextual"/>
          </w:rPr>
          <w:tab/>
        </w:r>
        <w:r w:rsidRPr="00FC437C">
          <w:rPr>
            <w:rStyle w:val="Hyperlink"/>
          </w:rPr>
          <w:t>Scale Tickets</w:t>
        </w:r>
        <w:r>
          <w:rPr>
            <w:webHidden/>
          </w:rPr>
          <w:tab/>
        </w:r>
        <w:r>
          <w:rPr>
            <w:webHidden/>
          </w:rPr>
          <w:fldChar w:fldCharType="begin"/>
        </w:r>
        <w:r>
          <w:rPr>
            <w:webHidden/>
          </w:rPr>
          <w:instrText xml:space="preserve"> PAGEREF _Toc224819333 \h </w:instrText>
        </w:r>
        <w:r>
          <w:rPr>
            <w:webHidden/>
          </w:rPr>
        </w:r>
        <w:r>
          <w:rPr>
            <w:webHidden/>
          </w:rPr>
          <w:fldChar w:fldCharType="separate"/>
        </w:r>
        <w:r w:rsidR="00AA17AB">
          <w:rPr>
            <w:webHidden/>
          </w:rPr>
          <w:t>352</w:t>
        </w:r>
        <w:r>
          <w:rPr>
            <w:webHidden/>
          </w:rPr>
          <w:fldChar w:fldCharType="end"/>
        </w:r>
      </w:hyperlink>
    </w:p>
    <w:p w14:paraId="1D294B34" w14:textId="626979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4"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Scale Tickets: Filing, Contents, Maintenance in Records</w:t>
        </w:r>
        <w:r>
          <w:rPr>
            <w:webHidden/>
          </w:rPr>
          <w:tab/>
        </w:r>
        <w:r>
          <w:rPr>
            <w:webHidden/>
          </w:rPr>
          <w:fldChar w:fldCharType="begin"/>
        </w:r>
        <w:r>
          <w:rPr>
            <w:webHidden/>
          </w:rPr>
          <w:instrText xml:space="preserve"> PAGEREF _Toc224819334 \h </w:instrText>
        </w:r>
        <w:r>
          <w:rPr>
            <w:webHidden/>
          </w:rPr>
        </w:r>
        <w:r>
          <w:rPr>
            <w:webHidden/>
          </w:rPr>
          <w:fldChar w:fldCharType="separate"/>
        </w:r>
        <w:r w:rsidR="00AA17AB">
          <w:rPr>
            <w:webHidden/>
          </w:rPr>
          <w:t>352</w:t>
        </w:r>
        <w:r>
          <w:rPr>
            <w:webHidden/>
          </w:rPr>
          <w:fldChar w:fldCharType="end"/>
        </w:r>
      </w:hyperlink>
    </w:p>
    <w:p w14:paraId="5436C947" w14:textId="6D9ED4D9" w:rsidR="00E67799" w:rsidRDefault="00E67799">
      <w:pPr>
        <w:pStyle w:val="TOC2"/>
        <w:rPr>
          <w:rFonts w:asciiTheme="minorHAnsi" w:eastAsiaTheme="minorEastAsia" w:hAnsiTheme="minorHAnsi" w:cstheme="minorBidi"/>
          <w:kern w:val="2"/>
          <w:szCs w:val="24"/>
          <w14:ligatures w14:val="standardContextual"/>
        </w:rPr>
      </w:pPr>
      <w:hyperlink w:anchor="_Toc224819335" w:history="1">
        <w:r w:rsidRPr="00FC437C">
          <w:rPr>
            <w:rStyle w:val="Hyperlink"/>
          </w:rPr>
          <w:t>Subchapter G.</w:t>
        </w:r>
        <w:r>
          <w:rPr>
            <w:rFonts w:asciiTheme="minorHAnsi" w:eastAsiaTheme="minorEastAsia" w:hAnsiTheme="minorHAnsi" w:cstheme="minorBidi"/>
            <w:kern w:val="2"/>
            <w:szCs w:val="24"/>
            <w14:ligatures w14:val="standardContextual"/>
          </w:rPr>
          <w:tab/>
        </w:r>
        <w:r w:rsidRPr="00FC437C">
          <w:rPr>
            <w:rStyle w:val="Hyperlink"/>
          </w:rPr>
          <w:t>Warehouse Receipts</w:t>
        </w:r>
        <w:r>
          <w:rPr>
            <w:webHidden/>
          </w:rPr>
          <w:tab/>
        </w:r>
        <w:r>
          <w:rPr>
            <w:webHidden/>
          </w:rPr>
          <w:fldChar w:fldCharType="begin"/>
        </w:r>
        <w:r>
          <w:rPr>
            <w:webHidden/>
          </w:rPr>
          <w:instrText xml:space="preserve"> PAGEREF _Toc224819335 \h </w:instrText>
        </w:r>
        <w:r>
          <w:rPr>
            <w:webHidden/>
          </w:rPr>
        </w:r>
        <w:r>
          <w:rPr>
            <w:webHidden/>
          </w:rPr>
          <w:fldChar w:fldCharType="separate"/>
        </w:r>
        <w:r w:rsidR="00AA17AB">
          <w:rPr>
            <w:webHidden/>
          </w:rPr>
          <w:t>352</w:t>
        </w:r>
        <w:r>
          <w:rPr>
            <w:webHidden/>
          </w:rPr>
          <w:fldChar w:fldCharType="end"/>
        </w:r>
      </w:hyperlink>
    </w:p>
    <w:p w14:paraId="54D49C42" w14:textId="37EDA54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6"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 xml:space="preserve">Warehouse Receipts: Completion; Issuance; Open Storage; Cessation of Business; Other </w:t>
        </w:r>
        <w:r w:rsidR="00ED0600">
          <w:rPr>
            <w:rStyle w:val="Hyperlink"/>
          </w:rPr>
          <w:tab/>
        </w:r>
        <w:r w:rsidRPr="00FC437C">
          <w:rPr>
            <w:rStyle w:val="Hyperlink"/>
          </w:rPr>
          <w:t xml:space="preserve">Applicable Laws; Cancellation of Receipts; Company-Owned Commodities; Form of </w:t>
        </w:r>
        <w:r w:rsidR="00ED0600">
          <w:rPr>
            <w:rStyle w:val="Hyperlink"/>
          </w:rPr>
          <w:br/>
        </w:r>
        <w:r w:rsidR="00ED0600">
          <w:rPr>
            <w:rStyle w:val="Hyperlink"/>
          </w:rPr>
          <w:tab/>
        </w:r>
        <w:r w:rsidRPr="00FC437C">
          <w:rPr>
            <w:rStyle w:val="Hyperlink"/>
          </w:rPr>
          <w:t>Non-Negotiable Receipts</w:t>
        </w:r>
        <w:r>
          <w:rPr>
            <w:webHidden/>
          </w:rPr>
          <w:tab/>
        </w:r>
        <w:r>
          <w:rPr>
            <w:webHidden/>
          </w:rPr>
          <w:fldChar w:fldCharType="begin"/>
        </w:r>
        <w:r>
          <w:rPr>
            <w:webHidden/>
          </w:rPr>
          <w:instrText xml:space="preserve"> PAGEREF _Toc224819336 \h </w:instrText>
        </w:r>
        <w:r>
          <w:rPr>
            <w:webHidden/>
          </w:rPr>
        </w:r>
        <w:r>
          <w:rPr>
            <w:webHidden/>
          </w:rPr>
          <w:fldChar w:fldCharType="separate"/>
        </w:r>
        <w:r w:rsidR="00AA17AB">
          <w:rPr>
            <w:webHidden/>
          </w:rPr>
          <w:t>352</w:t>
        </w:r>
        <w:r>
          <w:rPr>
            <w:webHidden/>
          </w:rPr>
          <w:fldChar w:fldCharType="end"/>
        </w:r>
      </w:hyperlink>
    </w:p>
    <w:p w14:paraId="7B7B664A" w14:textId="05D7529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7"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 xml:space="preserve">Paper Warehouse Receipts: Required Form; Issuance; Partial Delivery; Duplicate </w:t>
        </w:r>
        <w:r w:rsidR="00ED0600">
          <w:rPr>
            <w:rStyle w:val="Hyperlink"/>
          </w:rPr>
          <w:br/>
        </w:r>
        <w:r w:rsidR="00ED0600">
          <w:rPr>
            <w:rStyle w:val="Hyperlink"/>
          </w:rPr>
          <w:tab/>
        </w:r>
        <w:r w:rsidRPr="00FC437C">
          <w:rPr>
            <w:rStyle w:val="Hyperlink"/>
          </w:rPr>
          <w:t>Receipts; Non-Negotiable Receipts</w:t>
        </w:r>
        <w:r>
          <w:rPr>
            <w:webHidden/>
          </w:rPr>
          <w:tab/>
        </w:r>
        <w:r>
          <w:rPr>
            <w:webHidden/>
          </w:rPr>
          <w:fldChar w:fldCharType="begin"/>
        </w:r>
        <w:r>
          <w:rPr>
            <w:webHidden/>
          </w:rPr>
          <w:instrText xml:space="preserve"> PAGEREF _Toc224819337 \h </w:instrText>
        </w:r>
        <w:r>
          <w:rPr>
            <w:webHidden/>
          </w:rPr>
        </w:r>
        <w:r>
          <w:rPr>
            <w:webHidden/>
          </w:rPr>
          <w:fldChar w:fldCharType="separate"/>
        </w:r>
        <w:r w:rsidR="00AA17AB">
          <w:rPr>
            <w:webHidden/>
          </w:rPr>
          <w:t>353</w:t>
        </w:r>
        <w:r>
          <w:rPr>
            <w:webHidden/>
          </w:rPr>
          <w:fldChar w:fldCharType="end"/>
        </w:r>
      </w:hyperlink>
    </w:p>
    <w:p w14:paraId="48102EAD" w14:textId="7835E18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38" w:history="1">
        <w:r w:rsidRPr="00FC437C">
          <w:rPr>
            <w:rStyle w:val="Hyperlink"/>
          </w:rPr>
          <w:t>§134.</w:t>
        </w:r>
        <w:r>
          <w:rPr>
            <w:rFonts w:asciiTheme="minorHAnsi" w:eastAsiaTheme="minorEastAsia" w:hAnsiTheme="minorHAnsi" w:cstheme="minorBidi"/>
            <w:color w:val="auto"/>
            <w:kern w:val="2"/>
            <w:szCs w:val="24"/>
            <w14:ligatures w14:val="standardContextual"/>
          </w:rPr>
          <w:tab/>
        </w:r>
        <w:r w:rsidRPr="00FC437C">
          <w:rPr>
            <w:rStyle w:val="Hyperlink"/>
          </w:rPr>
          <w:t xml:space="preserve">Electronic Warehouse Receipts (EWR): Validity; Format; Issuance; Rights and </w:t>
        </w:r>
        <w:r w:rsidR="00ED0600">
          <w:rPr>
            <w:rStyle w:val="Hyperlink"/>
          </w:rPr>
          <w:br/>
        </w:r>
        <w:r w:rsidR="00ED0600">
          <w:rPr>
            <w:rStyle w:val="Hyperlink"/>
          </w:rPr>
          <w:tab/>
        </w:r>
        <w:r w:rsidRPr="00FC437C">
          <w:rPr>
            <w:rStyle w:val="Hyperlink"/>
          </w:rPr>
          <w:t>Obligations; Printing; Records Retained; Duplicates</w:t>
        </w:r>
        <w:r>
          <w:rPr>
            <w:webHidden/>
          </w:rPr>
          <w:tab/>
        </w:r>
        <w:r>
          <w:rPr>
            <w:webHidden/>
          </w:rPr>
          <w:fldChar w:fldCharType="begin"/>
        </w:r>
        <w:r>
          <w:rPr>
            <w:webHidden/>
          </w:rPr>
          <w:instrText xml:space="preserve"> PAGEREF _Toc224819338 \h </w:instrText>
        </w:r>
        <w:r>
          <w:rPr>
            <w:webHidden/>
          </w:rPr>
        </w:r>
        <w:r>
          <w:rPr>
            <w:webHidden/>
          </w:rPr>
          <w:fldChar w:fldCharType="separate"/>
        </w:r>
        <w:r w:rsidR="00AA17AB">
          <w:rPr>
            <w:webHidden/>
          </w:rPr>
          <w:t>354</w:t>
        </w:r>
        <w:r>
          <w:rPr>
            <w:webHidden/>
          </w:rPr>
          <w:fldChar w:fldCharType="end"/>
        </w:r>
      </w:hyperlink>
    </w:p>
    <w:p w14:paraId="2FDB7E30" w14:textId="61F85D82" w:rsidR="00E67799" w:rsidRDefault="00E67799">
      <w:pPr>
        <w:pStyle w:val="TOC2"/>
        <w:rPr>
          <w:rFonts w:asciiTheme="minorHAnsi" w:eastAsiaTheme="minorEastAsia" w:hAnsiTheme="minorHAnsi" w:cstheme="minorBidi"/>
          <w:kern w:val="2"/>
          <w:szCs w:val="24"/>
          <w14:ligatures w14:val="standardContextual"/>
        </w:rPr>
      </w:pPr>
      <w:hyperlink w:anchor="_Toc224819339" w:history="1">
        <w:r w:rsidRPr="00FC437C">
          <w:rPr>
            <w:rStyle w:val="Hyperlink"/>
          </w:rPr>
          <w:t>Subchapter H.</w:t>
        </w:r>
        <w:r>
          <w:rPr>
            <w:rFonts w:asciiTheme="minorHAnsi" w:eastAsiaTheme="minorEastAsia" w:hAnsiTheme="minorHAnsi" w:cstheme="minorBidi"/>
            <w:kern w:val="2"/>
            <w:szCs w:val="24"/>
            <w14:ligatures w14:val="standardContextual"/>
          </w:rPr>
          <w:tab/>
        </w:r>
        <w:r w:rsidRPr="00FC437C">
          <w:rPr>
            <w:rStyle w:val="Hyperlink"/>
          </w:rPr>
          <w:t>Grading; Sampling; Out-of-Condition Commodities</w:t>
        </w:r>
        <w:r>
          <w:rPr>
            <w:webHidden/>
          </w:rPr>
          <w:tab/>
        </w:r>
        <w:r>
          <w:rPr>
            <w:webHidden/>
          </w:rPr>
          <w:fldChar w:fldCharType="begin"/>
        </w:r>
        <w:r>
          <w:rPr>
            <w:webHidden/>
          </w:rPr>
          <w:instrText xml:space="preserve"> PAGEREF _Toc224819339 \h </w:instrText>
        </w:r>
        <w:r>
          <w:rPr>
            <w:webHidden/>
          </w:rPr>
        </w:r>
        <w:r>
          <w:rPr>
            <w:webHidden/>
          </w:rPr>
          <w:fldChar w:fldCharType="separate"/>
        </w:r>
        <w:r w:rsidR="00AA17AB">
          <w:rPr>
            <w:webHidden/>
          </w:rPr>
          <w:t>355</w:t>
        </w:r>
        <w:r>
          <w:rPr>
            <w:webHidden/>
          </w:rPr>
          <w:fldChar w:fldCharType="end"/>
        </w:r>
      </w:hyperlink>
    </w:p>
    <w:p w14:paraId="1284BB07" w14:textId="7326A98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0"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Elevators: Official Grades and Sampling</w:t>
        </w:r>
        <w:r>
          <w:rPr>
            <w:webHidden/>
          </w:rPr>
          <w:tab/>
        </w:r>
        <w:r>
          <w:rPr>
            <w:webHidden/>
          </w:rPr>
          <w:fldChar w:fldCharType="begin"/>
        </w:r>
        <w:r>
          <w:rPr>
            <w:webHidden/>
          </w:rPr>
          <w:instrText xml:space="preserve"> PAGEREF _Toc224819340 \h </w:instrText>
        </w:r>
        <w:r>
          <w:rPr>
            <w:webHidden/>
          </w:rPr>
        </w:r>
        <w:r>
          <w:rPr>
            <w:webHidden/>
          </w:rPr>
          <w:fldChar w:fldCharType="separate"/>
        </w:r>
        <w:r w:rsidR="00AA17AB">
          <w:rPr>
            <w:webHidden/>
          </w:rPr>
          <w:t>355</w:t>
        </w:r>
        <w:r>
          <w:rPr>
            <w:webHidden/>
          </w:rPr>
          <w:fldChar w:fldCharType="end"/>
        </w:r>
      </w:hyperlink>
    </w:p>
    <w:p w14:paraId="0907A8E1" w14:textId="61E7656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1" w:history="1">
        <w:r w:rsidRPr="00FC437C">
          <w:rPr>
            <w:rStyle w:val="Hyperlink"/>
          </w:rPr>
          <w:t>§136.</w:t>
        </w:r>
        <w:r>
          <w:rPr>
            <w:rFonts w:asciiTheme="minorHAnsi" w:eastAsiaTheme="minorEastAsia" w:hAnsiTheme="minorHAnsi" w:cstheme="minorBidi"/>
            <w:color w:val="auto"/>
            <w:kern w:val="2"/>
            <w:szCs w:val="24"/>
            <w14:ligatures w14:val="standardContextual"/>
          </w:rPr>
          <w:tab/>
        </w:r>
        <w:r w:rsidRPr="00FC437C">
          <w:rPr>
            <w:rStyle w:val="Hyperlink"/>
          </w:rPr>
          <w:t>State Official Grain Inspections</w:t>
        </w:r>
        <w:r>
          <w:rPr>
            <w:webHidden/>
          </w:rPr>
          <w:tab/>
        </w:r>
        <w:r>
          <w:rPr>
            <w:webHidden/>
          </w:rPr>
          <w:fldChar w:fldCharType="begin"/>
        </w:r>
        <w:r>
          <w:rPr>
            <w:webHidden/>
          </w:rPr>
          <w:instrText xml:space="preserve"> PAGEREF _Toc224819341 \h </w:instrText>
        </w:r>
        <w:r>
          <w:rPr>
            <w:webHidden/>
          </w:rPr>
        </w:r>
        <w:r>
          <w:rPr>
            <w:webHidden/>
          </w:rPr>
          <w:fldChar w:fldCharType="separate"/>
        </w:r>
        <w:r w:rsidR="00AA17AB">
          <w:rPr>
            <w:webHidden/>
          </w:rPr>
          <w:t>355</w:t>
        </w:r>
        <w:r>
          <w:rPr>
            <w:webHidden/>
          </w:rPr>
          <w:fldChar w:fldCharType="end"/>
        </w:r>
      </w:hyperlink>
    </w:p>
    <w:p w14:paraId="05E66F19" w14:textId="154A258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2"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Out-of-Condition Commodities</w:t>
        </w:r>
        <w:r>
          <w:rPr>
            <w:webHidden/>
          </w:rPr>
          <w:tab/>
        </w:r>
        <w:r>
          <w:rPr>
            <w:webHidden/>
          </w:rPr>
          <w:fldChar w:fldCharType="begin"/>
        </w:r>
        <w:r>
          <w:rPr>
            <w:webHidden/>
          </w:rPr>
          <w:instrText xml:space="preserve"> PAGEREF _Toc224819342 \h </w:instrText>
        </w:r>
        <w:r>
          <w:rPr>
            <w:webHidden/>
          </w:rPr>
        </w:r>
        <w:r>
          <w:rPr>
            <w:webHidden/>
          </w:rPr>
          <w:fldChar w:fldCharType="separate"/>
        </w:r>
        <w:r w:rsidR="00AA17AB">
          <w:rPr>
            <w:webHidden/>
          </w:rPr>
          <w:t>355</w:t>
        </w:r>
        <w:r>
          <w:rPr>
            <w:webHidden/>
          </w:rPr>
          <w:fldChar w:fldCharType="end"/>
        </w:r>
      </w:hyperlink>
    </w:p>
    <w:p w14:paraId="7440BDC3" w14:textId="0C9F8820" w:rsidR="00E67799" w:rsidRDefault="00E67799">
      <w:pPr>
        <w:pStyle w:val="TOC2"/>
        <w:rPr>
          <w:rFonts w:asciiTheme="minorHAnsi" w:eastAsiaTheme="minorEastAsia" w:hAnsiTheme="minorHAnsi" w:cstheme="minorBidi"/>
          <w:kern w:val="2"/>
          <w:szCs w:val="24"/>
          <w14:ligatures w14:val="standardContextual"/>
        </w:rPr>
      </w:pPr>
      <w:hyperlink w:anchor="_Toc224819343" w:history="1">
        <w:r w:rsidRPr="00FC437C">
          <w:rPr>
            <w:rStyle w:val="Hyperlink"/>
          </w:rPr>
          <w:t>Subchapter I.</w:t>
        </w:r>
        <w:r>
          <w:rPr>
            <w:rFonts w:asciiTheme="minorHAnsi" w:eastAsiaTheme="minorEastAsia" w:hAnsiTheme="minorHAnsi" w:cstheme="minorBidi"/>
            <w:kern w:val="2"/>
            <w:szCs w:val="24"/>
            <w14:ligatures w14:val="standardContextual"/>
          </w:rPr>
          <w:tab/>
        </w:r>
        <w:r w:rsidRPr="00FC437C">
          <w:rPr>
            <w:rStyle w:val="Hyperlink"/>
          </w:rPr>
          <w:t>Records and Reports</w:t>
        </w:r>
        <w:r>
          <w:rPr>
            <w:webHidden/>
          </w:rPr>
          <w:tab/>
        </w:r>
        <w:r>
          <w:rPr>
            <w:webHidden/>
          </w:rPr>
          <w:fldChar w:fldCharType="begin"/>
        </w:r>
        <w:r>
          <w:rPr>
            <w:webHidden/>
          </w:rPr>
          <w:instrText xml:space="preserve"> PAGEREF _Toc224819343 \h </w:instrText>
        </w:r>
        <w:r>
          <w:rPr>
            <w:webHidden/>
          </w:rPr>
        </w:r>
        <w:r>
          <w:rPr>
            <w:webHidden/>
          </w:rPr>
          <w:fldChar w:fldCharType="separate"/>
        </w:r>
        <w:r w:rsidR="00AA17AB">
          <w:rPr>
            <w:webHidden/>
          </w:rPr>
          <w:t>355</w:t>
        </w:r>
        <w:r>
          <w:rPr>
            <w:webHidden/>
          </w:rPr>
          <w:fldChar w:fldCharType="end"/>
        </w:r>
      </w:hyperlink>
    </w:p>
    <w:p w14:paraId="72BCDE11" w14:textId="304355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4"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Records Required to be Maintained</w:t>
        </w:r>
        <w:r>
          <w:rPr>
            <w:webHidden/>
          </w:rPr>
          <w:tab/>
        </w:r>
        <w:r>
          <w:rPr>
            <w:webHidden/>
          </w:rPr>
          <w:fldChar w:fldCharType="begin"/>
        </w:r>
        <w:r>
          <w:rPr>
            <w:webHidden/>
          </w:rPr>
          <w:instrText xml:space="preserve"> PAGEREF _Toc224819344 \h </w:instrText>
        </w:r>
        <w:r>
          <w:rPr>
            <w:webHidden/>
          </w:rPr>
        </w:r>
        <w:r>
          <w:rPr>
            <w:webHidden/>
          </w:rPr>
          <w:fldChar w:fldCharType="separate"/>
        </w:r>
        <w:r w:rsidR="00AA17AB">
          <w:rPr>
            <w:webHidden/>
          </w:rPr>
          <w:t>355</w:t>
        </w:r>
        <w:r>
          <w:rPr>
            <w:webHidden/>
          </w:rPr>
          <w:fldChar w:fldCharType="end"/>
        </w:r>
      </w:hyperlink>
    </w:p>
    <w:p w14:paraId="52A038AC" w14:textId="15CA60E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5" w:history="1">
        <w:r w:rsidRPr="00FC437C">
          <w:rPr>
            <w:rStyle w:val="Hyperlink"/>
          </w:rPr>
          <w:t>§143.</w:t>
        </w:r>
        <w:r>
          <w:rPr>
            <w:rFonts w:asciiTheme="minorHAnsi" w:eastAsiaTheme="minorEastAsia" w:hAnsiTheme="minorHAnsi" w:cstheme="minorBidi"/>
            <w:color w:val="auto"/>
            <w:kern w:val="2"/>
            <w:szCs w:val="24"/>
            <w14:ligatures w14:val="standardContextual"/>
          </w:rPr>
          <w:tab/>
        </w:r>
        <w:r w:rsidRPr="00FC437C">
          <w:rPr>
            <w:rStyle w:val="Hyperlink"/>
          </w:rPr>
          <w:t>Reports Required</w:t>
        </w:r>
        <w:r>
          <w:rPr>
            <w:webHidden/>
          </w:rPr>
          <w:tab/>
        </w:r>
        <w:r>
          <w:rPr>
            <w:webHidden/>
          </w:rPr>
          <w:fldChar w:fldCharType="begin"/>
        </w:r>
        <w:r>
          <w:rPr>
            <w:webHidden/>
          </w:rPr>
          <w:instrText xml:space="preserve"> PAGEREF _Toc224819345 \h </w:instrText>
        </w:r>
        <w:r>
          <w:rPr>
            <w:webHidden/>
          </w:rPr>
        </w:r>
        <w:r>
          <w:rPr>
            <w:webHidden/>
          </w:rPr>
          <w:fldChar w:fldCharType="separate"/>
        </w:r>
        <w:r w:rsidR="00AA17AB">
          <w:rPr>
            <w:webHidden/>
          </w:rPr>
          <w:t>356</w:t>
        </w:r>
        <w:r>
          <w:rPr>
            <w:webHidden/>
          </w:rPr>
          <w:fldChar w:fldCharType="end"/>
        </w:r>
      </w:hyperlink>
    </w:p>
    <w:p w14:paraId="67AAFA1F" w14:textId="22210F04" w:rsidR="00E67799" w:rsidRDefault="00E67799">
      <w:pPr>
        <w:pStyle w:val="TOC2"/>
        <w:rPr>
          <w:rFonts w:asciiTheme="minorHAnsi" w:eastAsiaTheme="minorEastAsia" w:hAnsiTheme="minorHAnsi" w:cstheme="minorBidi"/>
          <w:kern w:val="2"/>
          <w:szCs w:val="24"/>
          <w14:ligatures w14:val="standardContextual"/>
        </w:rPr>
      </w:pPr>
      <w:hyperlink w:anchor="_Toc224819346" w:history="1">
        <w:r w:rsidRPr="00FC437C">
          <w:rPr>
            <w:rStyle w:val="Hyperlink"/>
          </w:rPr>
          <w:t>Subchapter J.</w:t>
        </w:r>
        <w:r>
          <w:rPr>
            <w:rFonts w:asciiTheme="minorHAnsi" w:eastAsiaTheme="minorEastAsia" w:hAnsiTheme="minorHAnsi" w:cstheme="minorBidi"/>
            <w:kern w:val="2"/>
            <w:szCs w:val="24"/>
            <w14:ligatures w14:val="standardContextual"/>
          </w:rPr>
          <w:tab/>
        </w:r>
        <w:r w:rsidRPr="00FC437C">
          <w:rPr>
            <w:rStyle w:val="Hyperlink"/>
          </w:rPr>
          <w:t>Access Requirements</w:t>
        </w:r>
        <w:r>
          <w:rPr>
            <w:webHidden/>
          </w:rPr>
          <w:tab/>
        </w:r>
        <w:r>
          <w:rPr>
            <w:webHidden/>
          </w:rPr>
          <w:fldChar w:fldCharType="begin"/>
        </w:r>
        <w:r>
          <w:rPr>
            <w:webHidden/>
          </w:rPr>
          <w:instrText xml:space="preserve"> PAGEREF _Toc224819346 \h </w:instrText>
        </w:r>
        <w:r>
          <w:rPr>
            <w:webHidden/>
          </w:rPr>
        </w:r>
        <w:r>
          <w:rPr>
            <w:webHidden/>
          </w:rPr>
          <w:fldChar w:fldCharType="separate"/>
        </w:r>
        <w:r w:rsidR="00AA17AB">
          <w:rPr>
            <w:webHidden/>
          </w:rPr>
          <w:t>356</w:t>
        </w:r>
        <w:r>
          <w:rPr>
            <w:webHidden/>
          </w:rPr>
          <w:fldChar w:fldCharType="end"/>
        </w:r>
      </w:hyperlink>
    </w:p>
    <w:p w14:paraId="254A56B9" w14:textId="528D82F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7" w:history="1">
        <w:r w:rsidRPr="00FC437C">
          <w:rPr>
            <w:rStyle w:val="Hyperlink"/>
          </w:rPr>
          <w:t>§145.</w:t>
        </w:r>
        <w:r>
          <w:rPr>
            <w:rFonts w:asciiTheme="minorHAnsi" w:eastAsiaTheme="minorEastAsia" w:hAnsiTheme="minorHAnsi" w:cstheme="minorBidi"/>
            <w:color w:val="auto"/>
            <w:kern w:val="2"/>
            <w:szCs w:val="24"/>
            <w14:ligatures w14:val="standardContextual"/>
          </w:rPr>
          <w:tab/>
        </w:r>
        <w:r w:rsidRPr="00FC437C">
          <w:rPr>
            <w:rStyle w:val="Hyperlink"/>
          </w:rPr>
          <w:t>Access Requirements</w:t>
        </w:r>
        <w:r>
          <w:rPr>
            <w:webHidden/>
          </w:rPr>
          <w:tab/>
        </w:r>
        <w:r>
          <w:rPr>
            <w:webHidden/>
          </w:rPr>
          <w:fldChar w:fldCharType="begin"/>
        </w:r>
        <w:r>
          <w:rPr>
            <w:webHidden/>
          </w:rPr>
          <w:instrText xml:space="preserve"> PAGEREF _Toc224819347 \h </w:instrText>
        </w:r>
        <w:r>
          <w:rPr>
            <w:webHidden/>
          </w:rPr>
        </w:r>
        <w:r>
          <w:rPr>
            <w:webHidden/>
          </w:rPr>
          <w:fldChar w:fldCharType="separate"/>
        </w:r>
        <w:r w:rsidR="00AA17AB">
          <w:rPr>
            <w:webHidden/>
          </w:rPr>
          <w:t>356</w:t>
        </w:r>
        <w:r>
          <w:rPr>
            <w:webHidden/>
          </w:rPr>
          <w:fldChar w:fldCharType="end"/>
        </w:r>
      </w:hyperlink>
    </w:p>
    <w:p w14:paraId="2FEDBA6B" w14:textId="59579989" w:rsidR="00E67799" w:rsidRDefault="00E67799">
      <w:pPr>
        <w:pStyle w:val="TOC2"/>
        <w:rPr>
          <w:rFonts w:asciiTheme="minorHAnsi" w:eastAsiaTheme="minorEastAsia" w:hAnsiTheme="minorHAnsi" w:cstheme="minorBidi"/>
          <w:kern w:val="2"/>
          <w:szCs w:val="24"/>
          <w14:ligatures w14:val="standardContextual"/>
        </w:rPr>
      </w:pPr>
      <w:hyperlink w:anchor="_Toc224819348" w:history="1">
        <w:r w:rsidRPr="00FC437C">
          <w:rPr>
            <w:rStyle w:val="Hyperlink"/>
          </w:rPr>
          <w:t>Subchapter K.</w:t>
        </w:r>
        <w:r>
          <w:rPr>
            <w:rFonts w:asciiTheme="minorHAnsi" w:eastAsiaTheme="minorEastAsia" w:hAnsiTheme="minorHAnsi" w:cstheme="minorBidi"/>
            <w:kern w:val="2"/>
            <w:szCs w:val="24"/>
            <w14:ligatures w14:val="standardContextual"/>
          </w:rPr>
          <w:tab/>
        </w:r>
        <w:r w:rsidRPr="00FC437C">
          <w:rPr>
            <w:rStyle w:val="Hyperlink"/>
          </w:rPr>
          <w:t>Posting Requirements</w:t>
        </w:r>
        <w:r>
          <w:rPr>
            <w:webHidden/>
          </w:rPr>
          <w:tab/>
        </w:r>
        <w:r>
          <w:rPr>
            <w:webHidden/>
          </w:rPr>
          <w:fldChar w:fldCharType="begin"/>
        </w:r>
        <w:r>
          <w:rPr>
            <w:webHidden/>
          </w:rPr>
          <w:instrText xml:space="preserve"> PAGEREF _Toc224819348 \h </w:instrText>
        </w:r>
        <w:r>
          <w:rPr>
            <w:webHidden/>
          </w:rPr>
        </w:r>
        <w:r>
          <w:rPr>
            <w:webHidden/>
          </w:rPr>
          <w:fldChar w:fldCharType="separate"/>
        </w:r>
        <w:r w:rsidR="00AA17AB">
          <w:rPr>
            <w:webHidden/>
          </w:rPr>
          <w:t>356</w:t>
        </w:r>
        <w:r>
          <w:rPr>
            <w:webHidden/>
          </w:rPr>
          <w:fldChar w:fldCharType="end"/>
        </w:r>
      </w:hyperlink>
    </w:p>
    <w:p w14:paraId="4E157216" w14:textId="6318F3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49" w:history="1">
        <w:r w:rsidRPr="00FC437C">
          <w:rPr>
            <w:rStyle w:val="Hyperlink"/>
          </w:rPr>
          <w:t>§147.</w:t>
        </w:r>
        <w:r>
          <w:rPr>
            <w:rFonts w:asciiTheme="minorHAnsi" w:eastAsiaTheme="minorEastAsia" w:hAnsiTheme="minorHAnsi" w:cstheme="minorBidi"/>
            <w:color w:val="auto"/>
            <w:kern w:val="2"/>
            <w:szCs w:val="24"/>
            <w14:ligatures w14:val="standardContextual"/>
          </w:rPr>
          <w:tab/>
        </w:r>
        <w:r w:rsidRPr="00FC437C">
          <w:rPr>
            <w:rStyle w:val="Hyperlink"/>
          </w:rPr>
          <w:t>Posting Requirements</w:t>
        </w:r>
        <w:r>
          <w:rPr>
            <w:webHidden/>
          </w:rPr>
          <w:tab/>
        </w:r>
        <w:r>
          <w:rPr>
            <w:webHidden/>
          </w:rPr>
          <w:fldChar w:fldCharType="begin"/>
        </w:r>
        <w:r>
          <w:rPr>
            <w:webHidden/>
          </w:rPr>
          <w:instrText xml:space="preserve"> PAGEREF _Toc224819349 \h </w:instrText>
        </w:r>
        <w:r>
          <w:rPr>
            <w:webHidden/>
          </w:rPr>
        </w:r>
        <w:r>
          <w:rPr>
            <w:webHidden/>
          </w:rPr>
          <w:fldChar w:fldCharType="separate"/>
        </w:r>
        <w:r w:rsidR="00AA17AB">
          <w:rPr>
            <w:webHidden/>
          </w:rPr>
          <w:t>356</w:t>
        </w:r>
        <w:r>
          <w:rPr>
            <w:webHidden/>
          </w:rPr>
          <w:fldChar w:fldCharType="end"/>
        </w:r>
      </w:hyperlink>
    </w:p>
    <w:p w14:paraId="27C6A051" w14:textId="2BB0772D" w:rsidR="00E67799" w:rsidRDefault="00E67799">
      <w:pPr>
        <w:pStyle w:val="TOC2"/>
        <w:rPr>
          <w:rFonts w:asciiTheme="minorHAnsi" w:eastAsiaTheme="minorEastAsia" w:hAnsiTheme="minorHAnsi" w:cstheme="minorBidi"/>
          <w:kern w:val="2"/>
          <w:szCs w:val="24"/>
          <w14:ligatures w14:val="standardContextual"/>
        </w:rPr>
      </w:pPr>
      <w:hyperlink w:anchor="_Toc224819350" w:history="1">
        <w:r w:rsidRPr="00FC437C">
          <w:rPr>
            <w:rStyle w:val="Hyperlink"/>
          </w:rPr>
          <w:t>Subchapter L.</w:t>
        </w:r>
        <w:r>
          <w:rPr>
            <w:rFonts w:asciiTheme="minorHAnsi" w:eastAsiaTheme="minorEastAsia" w:hAnsiTheme="minorHAnsi" w:cstheme="minorBidi"/>
            <w:kern w:val="2"/>
            <w:szCs w:val="24"/>
            <w14:ligatures w14:val="standardContextual"/>
          </w:rPr>
          <w:tab/>
        </w:r>
        <w:r w:rsidRPr="00FC437C">
          <w:rPr>
            <w:rStyle w:val="Hyperlink"/>
          </w:rPr>
          <w:t>Suspension/Revocation of License; Other Penalties</w:t>
        </w:r>
        <w:r>
          <w:rPr>
            <w:webHidden/>
          </w:rPr>
          <w:tab/>
        </w:r>
        <w:r>
          <w:rPr>
            <w:webHidden/>
          </w:rPr>
          <w:fldChar w:fldCharType="begin"/>
        </w:r>
        <w:r>
          <w:rPr>
            <w:webHidden/>
          </w:rPr>
          <w:instrText xml:space="preserve"> PAGEREF _Toc224819350 \h </w:instrText>
        </w:r>
        <w:r>
          <w:rPr>
            <w:webHidden/>
          </w:rPr>
        </w:r>
        <w:r>
          <w:rPr>
            <w:webHidden/>
          </w:rPr>
          <w:fldChar w:fldCharType="separate"/>
        </w:r>
        <w:r w:rsidR="00AA17AB">
          <w:rPr>
            <w:webHidden/>
          </w:rPr>
          <w:t>357</w:t>
        </w:r>
        <w:r>
          <w:rPr>
            <w:webHidden/>
          </w:rPr>
          <w:fldChar w:fldCharType="end"/>
        </w:r>
      </w:hyperlink>
    </w:p>
    <w:p w14:paraId="0A01139A" w14:textId="330EC4F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1" w:history="1">
        <w:r w:rsidRPr="00FC437C">
          <w:rPr>
            <w:rStyle w:val="Hyperlink"/>
          </w:rPr>
          <w:t>§149.</w:t>
        </w:r>
        <w:r>
          <w:rPr>
            <w:rFonts w:asciiTheme="minorHAnsi" w:eastAsiaTheme="minorEastAsia" w:hAnsiTheme="minorHAnsi" w:cstheme="minorBidi"/>
            <w:color w:val="auto"/>
            <w:kern w:val="2"/>
            <w:szCs w:val="24"/>
            <w14:ligatures w14:val="standardContextual"/>
          </w:rPr>
          <w:tab/>
        </w:r>
        <w:r w:rsidRPr="00FC437C">
          <w:rPr>
            <w:rStyle w:val="Hyperlink"/>
          </w:rPr>
          <w:t xml:space="preserve">Adjudication Required Prior to Suspension/Revocation of License or Imposition of </w:t>
        </w:r>
        <w:r w:rsidR="00ED0600">
          <w:rPr>
            <w:rStyle w:val="Hyperlink"/>
          </w:rPr>
          <w:br/>
        </w:r>
        <w:r w:rsidR="00ED0600">
          <w:rPr>
            <w:rStyle w:val="Hyperlink"/>
          </w:rPr>
          <w:tab/>
        </w:r>
        <w:r w:rsidRPr="00FC437C">
          <w:rPr>
            <w:rStyle w:val="Hyperlink"/>
          </w:rPr>
          <w:t>Other Penalties; Amount of Penalties; Surrender of License</w:t>
        </w:r>
        <w:r>
          <w:rPr>
            <w:webHidden/>
          </w:rPr>
          <w:tab/>
        </w:r>
        <w:r>
          <w:rPr>
            <w:webHidden/>
          </w:rPr>
          <w:fldChar w:fldCharType="begin"/>
        </w:r>
        <w:r>
          <w:rPr>
            <w:webHidden/>
          </w:rPr>
          <w:instrText xml:space="preserve"> PAGEREF _Toc224819351 \h </w:instrText>
        </w:r>
        <w:r>
          <w:rPr>
            <w:webHidden/>
          </w:rPr>
        </w:r>
        <w:r>
          <w:rPr>
            <w:webHidden/>
          </w:rPr>
          <w:fldChar w:fldCharType="separate"/>
        </w:r>
        <w:r w:rsidR="00AA17AB">
          <w:rPr>
            <w:webHidden/>
          </w:rPr>
          <w:t>357</w:t>
        </w:r>
        <w:r>
          <w:rPr>
            <w:webHidden/>
          </w:rPr>
          <w:fldChar w:fldCharType="end"/>
        </w:r>
      </w:hyperlink>
    </w:p>
    <w:p w14:paraId="6659BC0E" w14:textId="0A544F48" w:rsidR="00E67799" w:rsidRDefault="00E67799">
      <w:pPr>
        <w:pStyle w:val="TOC2"/>
        <w:rPr>
          <w:rFonts w:asciiTheme="minorHAnsi" w:eastAsiaTheme="minorEastAsia" w:hAnsiTheme="minorHAnsi" w:cstheme="minorBidi"/>
          <w:kern w:val="2"/>
          <w:szCs w:val="24"/>
          <w14:ligatures w14:val="standardContextual"/>
        </w:rPr>
      </w:pPr>
      <w:hyperlink w:anchor="_Toc224819352" w:history="1">
        <w:r w:rsidRPr="00FC437C">
          <w:rPr>
            <w:rStyle w:val="Hyperlink"/>
          </w:rPr>
          <w:t>Subchapter M.</w:t>
        </w:r>
        <w:r>
          <w:rPr>
            <w:rFonts w:asciiTheme="minorHAnsi" w:eastAsiaTheme="minorEastAsia" w:hAnsiTheme="minorHAnsi" w:cstheme="minorBidi"/>
            <w:kern w:val="2"/>
            <w:szCs w:val="24"/>
            <w14:ligatures w14:val="standardContextual"/>
          </w:rPr>
          <w:tab/>
        </w:r>
        <w:r w:rsidRPr="00FC437C">
          <w:rPr>
            <w:rStyle w:val="Hyperlink"/>
          </w:rPr>
          <w:t>Schedule of Inspections; Voluntary Inspection</w:t>
        </w:r>
        <w:r>
          <w:rPr>
            <w:webHidden/>
          </w:rPr>
          <w:tab/>
        </w:r>
        <w:r>
          <w:rPr>
            <w:webHidden/>
          </w:rPr>
          <w:fldChar w:fldCharType="begin"/>
        </w:r>
        <w:r>
          <w:rPr>
            <w:webHidden/>
          </w:rPr>
          <w:instrText xml:space="preserve"> PAGEREF _Toc224819352 \h </w:instrText>
        </w:r>
        <w:r>
          <w:rPr>
            <w:webHidden/>
          </w:rPr>
        </w:r>
        <w:r>
          <w:rPr>
            <w:webHidden/>
          </w:rPr>
          <w:fldChar w:fldCharType="separate"/>
        </w:r>
        <w:r w:rsidR="00AA17AB">
          <w:rPr>
            <w:webHidden/>
          </w:rPr>
          <w:t>357</w:t>
        </w:r>
        <w:r>
          <w:rPr>
            <w:webHidden/>
          </w:rPr>
          <w:fldChar w:fldCharType="end"/>
        </w:r>
      </w:hyperlink>
    </w:p>
    <w:p w14:paraId="1B905F5F" w14:textId="3D0DCE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3" w:history="1">
        <w:r w:rsidRPr="00FC437C">
          <w:rPr>
            <w:rStyle w:val="Hyperlink"/>
          </w:rPr>
          <w:t>§151.</w:t>
        </w:r>
        <w:r>
          <w:rPr>
            <w:rFonts w:asciiTheme="minorHAnsi" w:eastAsiaTheme="minorEastAsia" w:hAnsiTheme="minorHAnsi" w:cstheme="minorBidi"/>
            <w:color w:val="auto"/>
            <w:kern w:val="2"/>
            <w:szCs w:val="24"/>
            <w14:ligatures w14:val="standardContextual"/>
          </w:rPr>
          <w:tab/>
        </w:r>
        <w:r w:rsidRPr="00FC437C">
          <w:rPr>
            <w:rStyle w:val="Hyperlink"/>
          </w:rPr>
          <w:t>Inspection of Physical Facilities and Contents; Schedule</w:t>
        </w:r>
        <w:r>
          <w:rPr>
            <w:webHidden/>
          </w:rPr>
          <w:tab/>
        </w:r>
        <w:r>
          <w:rPr>
            <w:webHidden/>
          </w:rPr>
          <w:fldChar w:fldCharType="begin"/>
        </w:r>
        <w:r>
          <w:rPr>
            <w:webHidden/>
          </w:rPr>
          <w:instrText xml:space="preserve"> PAGEREF _Toc224819353 \h </w:instrText>
        </w:r>
        <w:r>
          <w:rPr>
            <w:webHidden/>
          </w:rPr>
        </w:r>
        <w:r>
          <w:rPr>
            <w:webHidden/>
          </w:rPr>
          <w:fldChar w:fldCharType="separate"/>
        </w:r>
        <w:r w:rsidR="00AA17AB">
          <w:rPr>
            <w:webHidden/>
          </w:rPr>
          <w:t>357</w:t>
        </w:r>
        <w:r>
          <w:rPr>
            <w:webHidden/>
          </w:rPr>
          <w:fldChar w:fldCharType="end"/>
        </w:r>
      </w:hyperlink>
    </w:p>
    <w:p w14:paraId="0CA783C6" w14:textId="3B08F85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4" w:history="1">
        <w:r w:rsidRPr="00FC437C">
          <w:rPr>
            <w:rStyle w:val="Hyperlink"/>
          </w:rPr>
          <w:t>§153.</w:t>
        </w:r>
        <w:r>
          <w:rPr>
            <w:rFonts w:asciiTheme="minorHAnsi" w:eastAsiaTheme="minorEastAsia" w:hAnsiTheme="minorHAnsi" w:cstheme="minorBidi"/>
            <w:color w:val="auto"/>
            <w:kern w:val="2"/>
            <w:szCs w:val="24"/>
            <w14:ligatures w14:val="standardContextual"/>
          </w:rPr>
          <w:tab/>
        </w:r>
        <w:r w:rsidRPr="00FC437C">
          <w:rPr>
            <w:rStyle w:val="Hyperlink"/>
          </w:rPr>
          <w:t>Voluntary Inspection Service</w:t>
        </w:r>
        <w:r>
          <w:rPr>
            <w:webHidden/>
          </w:rPr>
          <w:tab/>
        </w:r>
        <w:r>
          <w:rPr>
            <w:webHidden/>
          </w:rPr>
          <w:fldChar w:fldCharType="begin"/>
        </w:r>
        <w:r>
          <w:rPr>
            <w:webHidden/>
          </w:rPr>
          <w:instrText xml:space="preserve"> PAGEREF _Toc224819354 \h </w:instrText>
        </w:r>
        <w:r>
          <w:rPr>
            <w:webHidden/>
          </w:rPr>
        </w:r>
        <w:r>
          <w:rPr>
            <w:webHidden/>
          </w:rPr>
          <w:fldChar w:fldCharType="separate"/>
        </w:r>
        <w:r w:rsidR="00AA17AB">
          <w:rPr>
            <w:webHidden/>
          </w:rPr>
          <w:t>357</w:t>
        </w:r>
        <w:r>
          <w:rPr>
            <w:webHidden/>
          </w:rPr>
          <w:fldChar w:fldCharType="end"/>
        </w:r>
      </w:hyperlink>
    </w:p>
    <w:p w14:paraId="1177089E" w14:textId="3FC986CD" w:rsidR="00E67799" w:rsidRDefault="00E67799">
      <w:pPr>
        <w:pStyle w:val="TOC2"/>
        <w:rPr>
          <w:rFonts w:asciiTheme="minorHAnsi" w:eastAsiaTheme="minorEastAsia" w:hAnsiTheme="minorHAnsi" w:cstheme="minorBidi"/>
          <w:kern w:val="2"/>
          <w:szCs w:val="24"/>
          <w14:ligatures w14:val="standardContextual"/>
        </w:rPr>
      </w:pPr>
      <w:hyperlink w:anchor="_Toc224819355" w:history="1">
        <w:r w:rsidRPr="00FC437C">
          <w:rPr>
            <w:rStyle w:val="Hyperlink"/>
          </w:rPr>
          <w:t>Subchapter N.</w:t>
        </w:r>
        <w:r>
          <w:rPr>
            <w:rFonts w:asciiTheme="minorHAnsi" w:eastAsiaTheme="minorEastAsia" w:hAnsiTheme="minorHAnsi" w:cstheme="minorBidi"/>
            <w:kern w:val="2"/>
            <w:szCs w:val="24"/>
            <w14:ligatures w14:val="standardContextual"/>
          </w:rPr>
          <w:tab/>
        </w:r>
        <w:r w:rsidRPr="00FC437C">
          <w:rPr>
            <w:rStyle w:val="Hyperlink"/>
          </w:rPr>
          <w:t>Exemptions</w:t>
        </w:r>
        <w:r>
          <w:rPr>
            <w:webHidden/>
          </w:rPr>
          <w:tab/>
        </w:r>
        <w:r>
          <w:rPr>
            <w:webHidden/>
          </w:rPr>
          <w:fldChar w:fldCharType="begin"/>
        </w:r>
        <w:r>
          <w:rPr>
            <w:webHidden/>
          </w:rPr>
          <w:instrText xml:space="preserve"> PAGEREF _Toc224819355 \h </w:instrText>
        </w:r>
        <w:r>
          <w:rPr>
            <w:webHidden/>
          </w:rPr>
        </w:r>
        <w:r>
          <w:rPr>
            <w:webHidden/>
          </w:rPr>
          <w:fldChar w:fldCharType="separate"/>
        </w:r>
        <w:r w:rsidR="00AA17AB">
          <w:rPr>
            <w:webHidden/>
          </w:rPr>
          <w:t>358</w:t>
        </w:r>
        <w:r>
          <w:rPr>
            <w:webHidden/>
          </w:rPr>
          <w:fldChar w:fldCharType="end"/>
        </w:r>
      </w:hyperlink>
    </w:p>
    <w:p w14:paraId="1E924607" w14:textId="49DDA1E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6" w:history="1">
        <w:r w:rsidRPr="00FC437C">
          <w:rPr>
            <w:rStyle w:val="Hyperlink"/>
          </w:rPr>
          <w:t>§155.</w:t>
        </w:r>
        <w:r>
          <w:rPr>
            <w:rFonts w:asciiTheme="minorHAnsi" w:eastAsiaTheme="minorEastAsia" w:hAnsiTheme="minorHAnsi" w:cstheme="minorBidi"/>
            <w:color w:val="auto"/>
            <w:kern w:val="2"/>
            <w:szCs w:val="24"/>
            <w14:ligatures w14:val="standardContextual"/>
          </w:rPr>
          <w:tab/>
        </w:r>
        <w:r w:rsidRPr="00FC437C">
          <w:rPr>
            <w:rStyle w:val="Hyperlink"/>
          </w:rPr>
          <w:t>Exemptions</w:t>
        </w:r>
        <w:r>
          <w:rPr>
            <w:webHidden/>
          </w:rPr>
          <w:tab/>
        </w:r>
        <w:r>
          <w:rPr>
            <w:webHidden/>
          </w:rPr>
          <w:fldChar w:fldCharType="begin"/>
        </w:r>
        <w:r>
          <w:rPr>
            <w:webHidden/>
          </w:rPr>
          <w:instrText xml:space="preserve"> PAGEREF _Toc224819356 \h </w:instrText>
        </w:r>
        <w:r>
          <w:rPr>
            <w:webHidden/>
          </w:rPr>
        </w:r>
        <w:r>
          <w:rPr>
            <w:webHidden/>
          </w:rPr>
          <w:fldChar w:fldCharType="separate"/>
        </w:r>
        <w:r w:rsidR="00AA17AB">
          <w:rPr>
            <w:webHidden/>
          </w:rPr>
          <w:t>358</w:t>
        </w:r>
        <w:r>
          <w:rPr>
            <w:webHidden/>
          </w:rPr>
          <w:fldChar w:fldCharType="end"/>
        </w:r>
      </w:hyperlink>
    </w:p>
    <w:p w14:paraId="6C954FF5" w14:textId="6F39013C" w:rsidR="00E67799" w:rsidRDefault="00E67799">
      <w:pPr>
        <w:pStyle w:val="TOC2"/>
        <w:rPr>
          <w:rFonts w:asciiTheme="minorHAnsi" w:eastAsiaTheme="minorEastAsia" w:hAnsiTheme="minorHAnsi" w:cstheme="minorBidi"/>
          <w:kern w:val="2"/>
          <w:szCs w:val="24"/>
          <w14:ligatures w14:val="standardContextual"/>
        </w:rPr>
      </w:pPr>
      <w:hyperlink w:anchor="_Toc224819357" w:history="1">
        <w:r w:rsidRPr="00FC437C">
          <w:rPr>
            <w:rStyle w:val="Hyperlink"/>
          </w:rPr>
          <w:t>Subchapter O.</w:t>
        </w:r>
        <w:r>
          <w:rPr>
            <w:rFonts w:asciiTheme="minorHAnsi" w:eastAsiaTheme="minorEastAsia" w:hAnsiTheme="minorHAnsi" w:cstheme="minorBidi"/>
            <w:kern w:val="2"/>
            <w:szCs w:val="24"/>
            <w14:ligatures w14:val="standardContextual"/>
          </w:rPr>
          <w:tab/>
        </w:r>
        <w:r w:rsidRPr="00FC437C">
          <w:rPr>
            <w:rStyle w:val="Hyperlink"/>
          </w:rPr>
          <w:t>Grain and Cotton Indemnity Fund</w:t>
        </w:r>
        <w:r>
          <w:rPr>
            <w:webHidden/>
          </w:rPr>
          <w:tab/>
        </w:r>
        <w:r>
          <w:rPr>
            <w:webHidden/>
          </w:rPr>
          <w:fldChar w:fldCharType="begin"/>
        </w:r>
        <w:r>
          <w:rPr>
            <w:webHidden/>
          </w:rPr>
          <w:instrText xml:space="preserve"> PAGEREF _Toc224819357 \h </w:instrText>
        </w:r>
        <w:r>
          <w:rPr>
            <w:webHidden/>
          </w:rPr>
        </w:r>
        <w:r>
          <w:rPr>
            <w:webHidden/>
          </w:rPr>
          <w:fldChar w:fldCharType="separate"/>
        </w:r>
        <w:r w:rsidR="00AA17AB">
          <w:rPr>
            <w:webHidden/>
          </w:rPr>
          <w:t>358</w:t>
        </w:r>
        <w:r>
          <w:rPr>
            <w:webHidden/>
          </w:rPr>
          <w:fldChar w:fldCharType="end"/>
        </w:r>
      </w:hyperlink>
    </w:p>
    <w:p w14:paraId="37296CE8" w14:textId="5B9F1EF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8" w:history="1">
        <w:r w:rsidRPr="00FC437C">
          <w:rPr>
            <w:rStyle w:val="Hyperlink"/>
          </w:rPr>
          <w:t>§191.</w:t>
        </w:r>
        <w:r>
          <w:rPr>
            <w:rFonts w:asciiTheme="minorHAnsi" w:eastAsiaTheme="minorEastAsia" w:hAnsiTheme="minorHAnsi" w:cstheme="minorBidi"/>
            <w:color w:val="auto"/>
            <w:kern w:val="2"/>
            <w:szCs w:val="24"/>
            <w14:ligatures w14:val="standardContextual"/>
          </w:rPr>
          <w:tab/>
        </w:r>
        <w:r w:rsidRPr="00FC437C">
          <w:rPr>
            <w:rStyle w:val="Hyperlink"/>
          </w:rPr>
          <w:t>Creation</w:t>
        </w:r>
        <w:r>
          <w:rPr>
            <w:webHidden/>
          </w:rPr>
          <w:tab/>
        </w:r>
        <w:r>
          <w:rPr>
            <w:webHidden/>
          </w:rPr>
          <w:fldChar w:fldCharType="begin"/>
        </w:r>
        <w:r>
          <w:rPr>
            <w:webHidden/>
          </w:rPr>
          <w:instrText xml:space="preserve"> PAGEREF _Toc224819358 \h </w:instrText>
        </w:r>
        <w:r>
          <w:rPr>
            <w:webHidden/>
          </w:rPr>
        </w:r>
        <w:r>
          <w:rPr>
            <w:webHidden/>
          </w:rPr>
          <w:fldChar w:fldCharType="separate"/>
        </w:r>
        <w:r w:rsidR="00AA17AB">
          <w:rPr>
            <w:webHidden/>
          </w:rPr>
          <w:t>358</w:t>
        </w:r>
        <w:r>
          <w:rPr>
            <w:webHidden/>
          </w:rPr>
          <w:fldChar w:fldCharType="end"/>
        </w:r>
      </w:hyperlink>
    </w:p>
    <w:p w14:paraId="4B43C058" w14:textId="1F16B7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59" w:history="1">
        <w:r w:rsidRPr="00FC437C">
          <w:rPr>
            <w:rStyle w:val="Hyperlink"/>
          </w:rPr>
          <w:t>§193.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_Toc224819359 \h </w:instrText>
        </w:r>
        <w:r>
          <w:rPr>
            <w:webHidden/>
          </w:rPr>
        </w:r>
        <w:r>
          <w:rPr>
            <w:webHidden/>
          </w:rPr>
          <w:fldChar w:fldCharType="separate"/>
        </w:r>
        <w:r w:rsidR="00AA17AB">
          <w:rPr>
            <w:webHidden/>
          </w:rPr>
          <w:t>358</w:t>
        </w:r>
        <w:r>
          <w:rPr>
            <w:webHidden/>
          </w:rPr>
          <w:fldChar w:fldCharType="end"/>
        </w:r>
      </w:hyperlink>
    </w:p>
    <w:p w14:paraId="0136D56D" w14:textId="191C64C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0" w:history="1">
        <w:r w:rsidRPr="00FC437C">
          <w:rPr>
            <w:rStyle w:val="Hyperlink"/>
          </w:rPr>
          <w:t>§195.</w:t>
        </w:r>
        <w:r>
          <w:rPr>
            <w:rFonts w:asciiTheme="minorHAnsi" w:eastAsiaTheme="minorEastAsia" w:hAnsiTheme="minorHAnsi" w:cstheme="minorBidi"/>
            <w:color w:val="auto"/>
            <w:kern w:val="2"/>
            <w:szCs w:val="24"/>
            <w14:ligatures w14:val="standardContextual"/>
          </w:rPr>
          <w:tab/>
        </w:r>
        <w:r w:rsidRPr="00FC437C">
          <w:rPr>
            <w:rStyle w:val="Hyperlink"/>
          </w:rPr>
          <w:t>Purpose</w:t>
        </w:r>
        <w:r>
          <w:rPr>
            <w:webHidden/>
          </w:rPr>
          <w:tab/>
        </w:r>
        <w:r>
          <w:rPr>
            <w:webHidden/>
          </w:rPr>
          <w:fldChar w:fldCharType="begin"/>
        </w:r>
        <w:r>
          <w:rPr>
            <w:webHidden/>
          </w:rPr>
          <w:instrText xml:space="preserve"> PAGEREF _Toc224819360 \h </w:instrText>
        </w:r>
        <w:r>
          <w:rPr>
            <w:webHidden/>
          </w:rPr>
        </w:r>
        <w:r>
          <w:rPr>
            <w:webHidden/>
          </w:rPr>
          <w:fldChar w:fldCharType="separate"/>
        </w:r>
        <w:r w:rsidR="00AA17AB">
          <w:rPr>
            <w:webHidden/>
          </w:rPr>
          <w:t>358</w:t>
        </w:r>
        <w:r>
          <w:rPr>
            <w:webHidden/>
          </w:rPr>
          <w:fldChar w:fldCharType="end"/>
        </w:r>
      </w:hyperlink>
    </w:p>
    <w:p w14:paraId="2FA667D4" w14:textId="6C8E00F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1" w:history="1">
        <w:r w:rsidRPr="00FC437C">
          <w:rPr>
            <w:rStyle w:val="Hyperlink"/>
          </w:rPr>
          <w:t>§197.</w:t>
        </w:r>
        <w:r>
          <w:rPr>
            <w:rFonts w:asciiTheme="minorHAnsi" w:eastAsiaTheme="minorEastAsia" w:hAnsiTheme="minorHAnsi" w:cstheme="minorBidi"/>
            <w:color w:val="auto"/>
            <w:kern w:val="2"/>
            <w:szCs w:val="24"/>
            <w14:ligatures w14:val="standardContextual"/>
          </w:rPr>
          <w:tab/>
        </w:r>
        <w:r w:rsidRPr="00FC437C">
          <w:rPr>
            <w:rStyle w:val="Hyperlink"/>
          </w:rPr>
          <w:t>Assessments</w:t>
        </w:r>
        <w:r>
          <w:rPr>
            <w:webHidden/>
          </w:rPr>
          <w:tab/>
        </w:r>
        <w:r>
          <w:rPr>
            <w:webHidden/>
          </w:rPr>
          <w:fldChar w:fldCharType="begin"/>
        </w:r>
        <w:r>
          <w:rPr>
            <w:webHidden/>
          </w:rPr>
          <w:instrText xml:space="preserve"> PAGEREF _Toc224819361 \h </w:instrText>
        </w:r>
        <w:r>
          <w:rPr>
            <w:webHidden/>
          </w:rPr>
        </w:r>
        <w:r>
          <w:rPr>
            <w:webHidden/>
          </w:rPr>
          <w:fldChar w:fldCharType="separate"/>
        </w:r>
        <w:r w:rsidR="00AA17AB">
          <w:rPr>
            <w:webHidden/>
          </w:rPr>
          <w:t>358</w:t>
        </w:r>
        <w:r>
          <w:rPr>
            <w:webHidden/>
          </w:rPr>
          <w:fldChar w:fldCharType="end"/>
        </w:r>
      </w:hyperlink>
    </w:p>
    <w:p w14:paraId="1DE9F075" w14:textId="7EA147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2" w:history="1">
        <w:r w:rsidRPr="00FC437C">
          <w:rPr>
            <w:rStyle w:val="Hyperlink"/>
          </w:rPr>
          <w:t>§199.</w:t>
        </w:r>
        <w:r>
          <w:rPr>
            <w:rFonts w:asciiTheme="minorHAnsi" w:eastAsiaTheme="minorEastAsia" w:hAnsiTheme="minorHAnsi" w:cstheme="minorBidi"/>
            <w:color w:val="auto"/>
            <w:kern w:val="2"/>
            <w:szCs w:val="24"/>
            <w14:ligatures w14:val="standardContextual"/>
          </w:rPr>
          <w:tab/>
        </w:r>
        <w:r w:rsidRPr="00FC437C">
          <w:rPr>
            <w:rStyle w:val="Hyperlink"/>
          </w:rPr>
          <w:t>Cotton Merchants Operating on a Cooperative Basis</w:t>
        </w:r>
        <w:r>
          <w:rPr>
            <w:webHidden/>
          </w:rPr>
          <w:tab/>
        </w:r>
        <w:r>
          <w:rPr>
            <w:webHidden/>
          </w:rPr>
          <w:fldChar w:fldCharType="begin"/>
        </w:r>
        <w:r>
          <w:rPr>
            <w:webHidden/>
          </w:rPr>
          <w:instrText xml:space="preserve"> PAGEREF _Toc224819362 \h </w:instrText>
        </w:r>
        <w:r>
          <w:rPr>
            <w:webHidden/>
          </w:rPr>
        </w:r>
        <w:r>
          <w:rPr>
            <w:webHidden/>
          </w:rPr>
          <w:fldChar w:fldCharType="separate"/>
        </w:r>
        <w:r w:rsidR="00AA17AB">
          <w:rPr>
            <w:webHidden/>
          </w:rPr>
          <w:t>359</w:t>
        </w:r>
        <w:r>
          <w:rPr>
            <w:webHidden/>
          </w:rPr>
          <w:fldChar w:fldCharType="end"/>
        </w:r>
      </w:hyperlink>
    </w:p>
    <w:p w14:paraId="32BA7F93" w14:textId="0C7C5F6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3" w:history="1">
        <w:r w:rsidRPr="00FC437C">
          <w:rPr>
            <w:rStyle w:val="Hyperlink"/>
          </w:rPr>
          <w:t>§201.</w:t>
        </w:r>
        <w:r>
          <w:rPr>
            <w:rFonts w:asciiTheme="minorHAnsi" w:eastAsiaTheme="minorEastAsia" w:hAnsiTheme="minorHAnsi" w:cstheme="minorBidi"/>
            <w:color w:val="auto"/>
            <w:kern w:val="2"/>
            <w:szCs w:val="24"/>
            <w14:ligatures w14:val="standardContextual"/>
          </w:rPr>
          <w:tab/>
        </w:r>
        <w:r w:rsidRPr="00FC437C">
          <w:rPr>
            <w:rStyle w:val="Hyperlink"/>
          </w:rPr>
          <w:t>Claim Provisions</w:t>
        </w:r>
        <w:r>
          <w:rPr>
            <w:webHidden/>
          </w:rPr>
          <w:tab/>
        </w:r>
        <w:r>
          <w:rPr>
            <w:webHidden/>
          </w:rPr>
          <w:fldChar w:fldCharType="begin"/>
        </w:r>
        <w:r>
          <w:rPr>
            <w:webHidden/>
          </w:rPr>
          <w:instrText xml:space="preserve"> PAGEREF _Toc224819363 \h </w:instrText>
        </w:r>
        <w:r>
          <w:rPr>
            <w:webHidden/>
          </w:rPr>
        </w:r>
        <w:r>
          <w:rPr>
            <w:webHidden/>
          </w:rPr>
          <w:fldChar w:fldCharType="separate"/>
        </w:r>
        <w:r w:rsidR="00AA17AB">
          <w:rPr>
            <w:webHidden/>
          </w:rPr>
          <w:t>359</w:t>
        </w:r>
        <w:r>
          <w:rPr>
            <w:webHidden/>
          </w:rPr>
          <w:fldChar w:fldCharType="end"/>
        </w:r>
      </w:hyperlink>
    </w:p>
    <w:p w14:paraId="37BCFC0A" w14:textId="4BAED68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4" w:history="1">
        <w:r w:rsidRPr="00FC437C">
          <w:rPr>
            <w:rStyle w:val="Hyperlink"/>
          </w:rPr>
          <w:t>§203.</w:t>
        </w:r>
        <w:r>
          <w:rPr>
            <w:rFonts w:asciiTheme="minorHAnsi" w:eastAsiaTheme="minorEastAsia" w:hAnsiTheme="minorHAnsi" w:cstheme="minorBidi"/>
            <w:color w:val="auto"/>
            <w:kern w:val="2"/>
            <w:szCs w:val="24"/>
            <w14:ligatures w14:val="standardContextual"/>
          </w:rPr>
          <w:tab/>
        </w:r>
        <w:r w:rsidRPr="00FC437C">
          <w:rPr>
            <w:rStyle w:val="Hyperlink"/>
          </w:rPr>
          <w:t>Distribution of Funds for Claims from Prior Insolvency</w:t>
        </w:r>
        <w:r>
          <w:rPr>
            <w:webHidden/>
          </w:rPr>
          <w:tab/>
        </w:r>
        <w:r>
          <w:rPr>
            <w:webHidden/>
          </w:rPr>
          <w:fldChar w:fldCharType="begin"/>
        </w:r>
        <w:r>
          <w:rPr>
            <w:webHidden/>
          </w:rPr>
          <w:instrText xml:space="preserve"> PAGEREF _Toc224819364 \h </w:instrText>
        </w:r>
        <w:r>
          <w:rPr>
            <w:webHidden/>
          </w:rPr>
        </w:r>
        <w:r>
          <w:rPr>
            <w:webHidden/>
          </w:rPr>
          <w:fldChar w:fldCharType="separate"/>
        </w:r>
        <w:r w:rsidR="00AA17AB">
          <w:rPr>
            <w:webHidden/>
          </w:rPr>
          <w:t>359</w:t>
        </w:r>
        <w:r>
          <w:rPr>
            <w:webHidden/>
          </w:rPr>
          <w:fldChar w:fldCharType="end"/>
        </w:r>
      </w:hyperlink>
    </w:p>
    <w:p w14:paraId="681DCE5B" w14:textId="00C6BD7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5" w:history="1">
        <w:r w:rsidRPr="00FC437C">
          <w:rPr>
            <w:rStyle w:val="Hyperlink"/>
          </w:rPr>
          <w:t>§205.</w:t>
        </w:r>
        <w:r>
          <w:rPr>
            <w:rFonts w:asciiTheme="minorHAnsi" w:eastAsiaTheme="minorEastAsia" w:hAnsiTheme="minorHAnsi" w:cstheme="minorBidi"/>
            <w:color w:val="auto"/>
            <w:kern w:val="2"/>
            <w:szCs w:val="24"/>
            <w14:ligatures w14:val="standardContextual"/>
          </w:rPr>
          <w:tab/>
        </w:r>
        <w:r w:rsidRPr="00FC437C">
          <w:rPr>
            <w:rStyle w:val="Hyperlink"/>
          </w:rPr>
          <w:t>Appeal Procedure</w:t>
        </w:r>
        <w:r>
          <w:rPr>
            <w:webHidden/>
          </w:rPr>
          <w:tab/>
        </w:r>
        <w:r>
          <w:rPr>
            <w:webHidden/>
          </w:rPr>
          <w:fldChar w:fldCharType="begin"/>
        </w:r>
        <w:r>
          <w:rPr>
            <w:webHidden/>
          </w:rPr>
          <w:instrText xml:space="preserve"> PAGEREF _Toc224819365 \h </w:instrText>
        </w:r>
        <w:r>
          <w:rPr>
            <w:webHidden/>
          </w:rPr>
        </w:r>
        <w:r>
          <w:rPr>
            <w:webHidden/>
          </w:rPr>
          <w:fldChar w:fldCharType="separate"/>
        </w:r>
        <w:r w:rsidR="00AA17AB">
          <w:rPr>
            <w:webHidden/>
          </w:rPr>
          <w:t>360</w:t>
        </w:r>
        <w:r>
          <w:rPr>
            <w:webHidden/>
          </w:rPr>
          <w:fldChar w:fldCharType="end"/>
        </w:r>
      </w:hyperlink>
    </w:p>
    <w:p w14:paraId="5A825C90" w14:textId="776A5D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6" w:history="1">
        <w:r w:rsidRPr="00FC437C">
          <w:rPr>
            <w:rStyle w:val="Hyperlink"/>
          </w:rPr>
          <w:t>§207.</w:t>
        </w:r>
        <w:r>
          <w:rPr>
            <w:rFonts w:asciiTheme="minorHAnsi" w:eastAsiaTheme="minorEastAsia" w:hAnsiTheme="minorHAnsi" w:cstheme="minorBidi"/>
            <w:color w:val="auto"/>
            <w:kern w:val="2"/>
            <w:szCs w:val="24"/>
            <w14:ligatures w14:val="standardContextual"/>
          </w:rPr>
          <w:tab/>
        </w:r>
        <w:r w:rsidRPr="00FC437C">
          <w:rPr>
            <w:rStyle w:val="Hyperlink"/>
          </w:rPr>
          <w:t>Subrogation</w:t>
        </w:r>
        <w:r>
          <w:rPr>
            <w:webHidden/>
          </w:rPr>
          <w:tab/>
        </w:r>
        <w:r>
          <w:rPr>
            <w:webHidden/>
          </w:rPr>
          <w:fldChar w:fldCharType="begin"/>
        </w:r>
        <w:r>
          <w:rPr>
            <w:webHidden/>
          </w:rPr>
          <w:instrText xml:space="preserve"> PAGEREF _Toc224819366 \h </w:instrText>
        </w:r>
        <w:r>
          <w:rPr>
            <w:webHidden/>
          </w:rPr>
        </w:r>
        <w:r>
          <w:rPr>
            <w:webHidden/>
          </w:rPr>
          <w:fldChar w:fldCharType="separate"/>
        </w:r>
        <w:r w:rsidR="00AA17AB">
          <w:rPr>
            <w:webHidden/>
          </w:rPr>
          <w:t>360</w:t>
        </w:r>
        <w:r>
          <w:rPr>
            <w:webHidden/>
          </w:rPr>
          <w:fldChar w:fldCharType="end"/>
        </w:r>
      </w:hyperlink>
    </w:p>
    <w:p w14:paraId="5625E28B" w14:textId="6F9D73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7" w:history="1">
        <w:r w:rsidRPr="00FC437C">
          <w:rPr>
            <w:rStyle w:val="Hyperlink"/>
          </w:rPr>
          <w:t>§209.</w:t>
        </w:r>
        <w:r>
          <w:rPr>
            <w:rFonts w:asciiTheme="minorHAnsi" w:eastAsiaTheme="minorEastAsia" w:hAnsiTheme="minorHAnsi" w:cstheme="minorBidi"/>
            <w:color w:val="auto"/>
            <w:kern w:val="2"/>
            <w:szCs w:val="24"/>
            <w14:ligatures w14:val="standardContextual"/>
          </w:rPr>
          <w:tab/>
        </w:r>
        <w:r w:rsidRPr="00FC437C">
          <w:rPr>
            <w:rStyle w:val="Hyperlink"/>
          </w:rPr>
          <w:t>Reimbursement Limitations</w:t>
        </w:r>
        <w:r>
          <w:rPr>
            <w:webHidden/>
          </w:rPr>
          <w:tab/>
        </w:r>
        <w:r>
          <w:rPr>
            <w:webHidden/>
          </w:rPr>
          <w:fldChar w:fldCharType="begin"/>
        </w:r>
        <w:r>
          <w:rPr>
            <w:webHidden/>
          </w:rPr>
          <w:instrText xml:space="preserve"> PAGEREF _Toc224819367 \h </w:instrText>
        </w:r>
        <w:r>
          <w:rPr>
            <w:webHidden/>
          </w:rPr>
        </w:r>
        <w:r>
          <w:rPr>
            <w:webHidden/>
          </w:rPr>
          <w:fldChar w:fldCharType="separate"/>
        </w:r>
        <w:r w:rsidR="00AA17AB">
          <w:rPr>
            <w:webHidden/>
          </w:rPr>
          <w:t>360</w:t>
        </w:r>
        <w:r>
          <w:rPr>
            <w:webHidden/>
          </w:rPr>
          <w:fldChar w:fldCharType="end"/>
        </w:r>
      </w:hyperlink>
    </w:p>
    <w:p w14:paraId="0670CD5C" w14:textId="4649C52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8" w:history="1">
        <w:r w:rsidRPr="00FC437C">
          <w:rPr>
            <w:rStyle w:val="Hyperlink"/>
          </w:rPr>
          <w:t>§211.</w:t>
        </w:r>
        <w:r>
          <w:rPr>
            <w:rFonts w:asciiTheme="minorHAnsi" w:eastAsiaTheme="minorEastAsia" w:hAnsiTheme="minorHAnsi" w:cstheme="minorBidi"/>
            <w:color w:val="auto"/>
            <w:kern w:val="2"/>
            <w:szCs w:val="24"/>
            <w14:ligatures w14:val="standardContextual"/>
          </w:rPr>
          <w:tab/>
        </w:r>
        <w:r w:rsidRPr="00FC437C">
          <w:rPr>
            <w:rStyle w:val="Hyperlink"/>
          </w:rPr>
          <w:t>Pending Litigation or Arbitration; Stay of Claims</w:t>
        </w:r>
        <w:r>
          <w:rPr>
            <w:webHidden/>
          </w:rPr>
          <w:tab/>
        </w:r>
        <w:r>
          <w:rPr>
            <w:webHidden/>
          </w:rPr>
          <w:fldChar w:fldCharType="begin"/>
        </w:r>
        <w:r>
          <w:rPr>
            <w:webHidden/>
          </w:rPr>
          <w:instrText xml:space="preserve"> PAGEREF _Toc224819368 \h </w:instrText>
        </w:r>
        <w:r>
          <w:rPr>
            <w:webHidden/>
          </w:rPr>
        </w:r>
        <w:r>
          <w:rPr>
            <w:webHidden/>
          </w:rPr>
          <w:fldChar w:fldCharType="separate"/>
        </w:r>
        <w:r w:rsidR="00AA17AB">
          <w:rPr>
            <w:webHidden/>
          </w:rPr>
          <w:t>360</w:t>
        </w:r>
        <w:r>
          <w:rPr>
            <w:webHidden/>
          </w:rPr>
          <w:fldChar w:fldCharType="end"/>
        </w:r>
      </w:hyperlink>
    </w:p>
    <w:p w14:paraId="3082F440" w14:textId="4F7F7E8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69" w:history="1">
        <w:r w:rsidRPr="00FC437C">
          <w:rPr>
            <w:rStyle w:val="Hyperlink"/>
          </w:rPr>
          <w:t>§213.</w:t>
        </w:r>
        <w:r>
          <w:rPr>
            <w:rFonts w:asciiTheme="minorHAnsi" w:eastAsiaTheme="minorEastAsia" w:hAnsiTheme="minorHAnsi" w:cstheme="minorBidi"/>
            <w:color w:val="auto"/>
            <w:kern w:val="2"/>
            <w:szCs w:val="24"/>
            <w14:ligatures w14:val="standardContextual"/>
          </w:rPr>
          <w:tab/>
        </w:r>
        <w:r w:rsidRPr="00FC437C">
          <w:rPr>
            <w:rStyle w:val="Hyperlink"/>
          </w:rPr>
          <w:t>Violations</w:t>
        </w:r>
        <w:r>
          <w:rPr>
            <w:webHidden/>
          </w:rPr>
          <w:tab/>
        </w:r>
        <w:r>
          <w:rPr>
            <w:webHidden/>
          </w:rPr>
          <w:fldChar w:fldCharType="begin"/>
        </w:r>
        <w:r>
          <w:rPr>
            <w:webHidden/>
          </w:rPr>
          <w:instrText xml:space="preserve"> PAGEREF _Toc224819369 \h </w:instrText>
        </w:r>
        <w:r>
          <w:rPr>
            <w:webHidden/>
          </w:rPr>
        </w:r>
        <w:r>
          <w:rPr>
            <w:webHidden/>
          </w:rPr>
          <w:fldChar w:fldCharType="separate"/>
        </w:r>
        <w:r w:rsidR="00AA17AB">
          <w:rPr>
            <w:webHidden/>
          </w:rPr>
          <w:t>360</w:t>
        </w:r>
        <w:r>
          <w:rPr>
            <w:webHidden/>
          </w:rPr>
          <w:fldChar w:fldCharType="end"/>
        </w:r>
      </w:hyperlink>
    </w:p>
    <w:p w14:paraId="2AE10D13" w14:textId="7F6465C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0" w:history="1">
        <w:r w:rsidRPr="00FC437C">
          <w:rPr>
            <w:rStyle w:val="Hyperlink"/>
          </w:rPr>
          <w:t>§215.</w:t>
        </w:r>
        <w:r>
          <w:rPr>
            <w:rFonts w:asciiTheme="minorHAnsi" w:eastAsiaTheme="minorEastAsia" w:hAnsiTheme="minorHAnsi" w:cstheme="minorBidi"/>
            <w:color w:val="auto"/>
            <w:kern w:val="2"/>
            <w:szCs w:val="24"/>
            <w14:ligatures w14:val="standardContextual"/>
          </w:rPr>
          <w:tab/>
        </w:r>
        <w:r w:rsidRPr="00FC437C">
          <w:rPr>
            <w:rStyle w:val="Hyperlink"/>
          </w:rPr>
          <w:t>Adjudicatory Hearings</w:t>
        </w:r>
        <w:r>
          <w:rPr>
            <w:webHidden/>
          </w:rPr>
          <w:tab/>
        </w:r>
        <w:r>
          <w:rPr>
            <w:webHidden/>
          </w:rPr>
          <w:fldChar w:fldCharType="begin"/>
        </w:r>
        <w:r>
          <w:rPr>
            <w:webHidden/>
          </w:rPr>
          <w:instrText xml:space="preserve"> PAGEREF _Toc224819370 \h </w:instrText>
        </w:r>
        <w:r>
          <w:rPr>
            <w:webHidden/>
          </w:rPr>
        </w:r>
        <w:r>
          <w:rPr>
            <w:webHidden/>
          </w:rPr>
          <w:fldChar w:fldCharType="separate"/>
        </w:r>
        <w:r w:rsidR="00AA17AB">
          <w:rPr>
            <w:webHidden/>
          </w:rPr>
          <w:t>360</w:t>
        </w:r>
        <w:r>
          <w:rPr>
            <w:webHidden/>
          </w:rPr>
          <w:fldChar w:fldCharType="end"/>
        </w:r>
      </w:hyperlink>
    </w:p>
    <w:p w14:paraId="16BF52DE" w14:textId="6141FB1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1" w:history="1">
        <w:r w:rsidRPr="00FC437C">
          <w:rPr>
            <w:rStyle w:val="Hyperlink"/>
          </w:rPr>
          <w:t>§217.</w:t>
        </w:r>
        <w:r>
          <w:rPr>
            <w:rFonts w:asciiTheme="minorHAnsi" w:eastAsiaTheme="minorEastAsia" w:hAnsiTheme="minorHAnsi" w:cstheme="minorBidi"/>
            <w:color w:val="auto"/>
            <w:kern w:val="2"/>
            <w:szCs w:val="24"/>
            <w14:ligatures w14:val="standardContextual"/>
          </w:rPr>
          <w:tab/>
        </w:r>
        <w:r w:rsidRPr="00FC437C">
          <w:rPr>
            <w:rStyle w:val="Hyperlink"/>
          </w:rPr>
          <w:t>Civil Penalties</w:t>
        </w:r>
        <w:r>
          <w:rPr>
            <w:webHidden/>
          </w:rPr>
          <w:tab/>
        </w:r>
        <w:r>
          <w:rPr>
            <w:webHidden/>
          </w:rPr>
          <w:fldChar w:fldCharType="begin"/>
        </w:r>
        <w:r>
          <w:rPr>
            <w:webHidden/>
          </w:rPr>
          <w:instrText xml:space="preserve"> PAGEREF _Toc224819371 \h </w:instrText>
        </w:r>
        <w:r>
          <w:rPr>
            <w:webHidden/>
          </w:rPr>
        </w:r>
        <w:r>
          <w:rPr>
            <w:webHidden/>
          </w:rPr>
          <w:fldChar w:fldCharType="separate"/>
        </w:r>
        <w:r w:rsidR="00AA17AB">
          <w:rPr>
            <w:webHidden/>
          </w:rPr>
          <w:t>361</w:t>
        </w:r>
        <w:r>
          <w:rPr>
            <w:webHidden/>
          </w:rPr>
          <w:fldChar w:fldCharType="end"/>
        </w:r>
      </w:hyperlink>
    </w:p>
    <w:p w14:paraId="44DAD4A2" w14:textId="7E22DA5B" w:rsidR="00E67799" w:rsidRDefault="00E67799">
      <w:pPr>
        <w:pStyle w:val="TOC1"/>
        <w:rPr>
          <w:rFonts w:asciiTheme="minorHAnsi" w:hAnsiTheme="minorHAnsi" w:cstheme="minorBidi"/>
          <w:b w:val="0"/>
          <w:bCs w:val="0"/>
          <w:sz w:val="24"/>
          <w:szCs w:val="24"/>
        </w:rPr>
      </w:pPr>
      <w:hyperlink w:anchor="_Toc224819372" w:history="1">
        <w:r w:rsidRPr="00FC437C">
          <w:rPr>
            <w:rStyle w:val="Hyperlink"/>
          </w:rPr>
          <w:t>Part XXIX.  Horticulture Commission</w:t>
        </w:r>
      </w:hyperlink>
    </w:p>
    <w:p w14:paraId="1A1C175B" w14:textId="15C8F3DF" w:rsidR="00E67799" w:rsidRDefault="00E67799">
      <w:pPr>
        <w:pStyle w:val="TOC2"/>
        <w:rPr>
          <w:rFonts w:asciiTheme="minorHAnsi" w:eastAsiaTheme="minorEastAsia" w:hAnsiTheme="minorHAnsi" w:cstheme="minorBidi"/>
          <w:kern w:val="2"/>
          <w:szCs w:val="24"/>
          <w14:ligatures w14:val="standardContextual"/>
        </w:rPr>
      </w:pPr>
      <w:hyperlink w:anchor="_Toc224819373"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Horticulture</w:t>
        </w:r>
        <w:r>
          <w:rPr>
            <w:webHidden/>
          </w:rPr>
          <w:tab/>
        </w:r>
        <w:r>
          <w:rPr>
            <w:webHidden/>
          </w:rPr>
          <w:fldChar w:fldCharType="begin"/>
        </w:r>
        <w:r>
          <w:rPr>
            <w:webHidden/>
          </w:rPr>
          <w:instrText xml:space="preserve"> PAGEREF _Toc224819373 \h </w:instrText>
        </w:r>
        <w:r>
          <w:rPr>
            <w:webHidden/>
          </w:rPr>
        </w:r>
        <w:r>
          <w:rPr>
            <w:webHidden/>
          </w:rPr>
          <w:fldChar w:fldCharType="separate"/>
        </w:r>
        <w:r w:rsidR="00AA17AB">
          <w:rPr>
            <w:webHidden/>
          </w:rPr>
          <w:t>363</w:t>
        </w:r>
        <w:r>
          <w:rPr>
            <w:webHidden/>
          </w:rPr>
          <w:fldChar w:fldCharType="end"/>
        </w:r>
      </w:hyperlink>
    </w:p>
    <w:p w14:paraId="42B8C2FE" w14:textId="18008CE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4"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Affairs of the Horticulture Commission</w:t>
        </w:r>
        <w:r>
          <w:rPr>
            <w:webHidden/>
          </w:rPr>
          <w:tab/>
        </w:r>
        <w:r>
          <w:rPr>
            <w:webHidden/>
          </w:rPr>
          <w:fldChar w:fldCharType="begin"/>
        </w:r>
        <w:r>
          <w:rPr>
            <w:webHidden/>
          </w:rPr>
          <w:instrText xml:space="preserve"> PAGEREF _Toc224819374 \h </w:instrText>
        </w:r>
        <w:r>
          <w:rPr>
            <w:webHidden/>
          </w:rPr>
        </w:r>
        <w:r>
          <w:rPr>
            <w:webHidden/>
          </w:rPr>
          <w:fldChar w:fldCharType="separate"/>
        </w:r>
        <w:r w:rsidR="00AA17AB">
          <w:rPr>
            <w:webHidden/>
          </w:rPr>
          <w:t>363</w:t>
        </w:r>
        <w:r>
          <w:rPr>
            <w:webHidden/>
          </w:rPr>
          <w:fldChar w:fldCharType="end"/>
        </w:r>
      </w:hyperlink>
    </w:p>
    <w:p w14:paraId="451D684F" w14:textId="1C658A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5" w:history="1">
        <w:r w:rsidRPr="00FC437C">
          <w:rPr>
            <w:rStyle w:val="Hyperlink"/>
          </w:rPr>
          <w:t>§102.</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_Toc224819375 \h </w:instrText>
        </w:r>
        <w:r>
          <w:rPr>
            <w:webHidden/>
          </w:rPr>
        </w:r>
        <w:r>
          <w:rPr>
            <w:webHidden/>
          </w:rPr>
          <w:fldChar w:fldCharType="separate"/>
        </w:r>
        <w:r w:rsidR="00AA17AB">
          <w:rPr>
            <w:webHidden/>
          </w:rPr>
          <w:t>363</w:t>
        </w:r>
        <w:r>
          <w:rPr>
            <w:webHidden/>
          </w:rPr>
          <w:fldChar w:fldCharType="end"/>
        </w:r>
      </w:hyperlink>
    </w:p>
    <w:p w14:paraId="143776F8" w14:textId="1D98784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6"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_Toc224819376 \h </w:instrText>
        </w:r>
        <w:r>
          <w:rPr>
            <w:webHidden/>
          </w:rPr>
        </w:r>
        <w:r>
          <w:rPr>
            <w:webHidden/>
          </w:rPr>
          <w:fldChar w:fldCharType="separate"/>
        </w:r>
        <w:r w:rsidR="00AA17AB">
          <w:rPr>
            <w:webHidden/>
          </w:rPr>
          <w:t>363</w:t>
        </w:r>
        <w:r>
          <w:rPr>
            <w:webHidden/>
          </w:rPr>
          <w:fldChar w:fldCharType="end"/>
        </w:r>
      </w:hyperlink>
    </w:p>
    <w:p w14:paraId="2EDBBA86" w14:textId="4E31CA4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7"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Qualifications for Examination and Licensure or Permitting</w:t>
        </w:r>
        <w:r>
          <w:rPr>
            <w:webHidden/>
          </w:rPr>
          <w:tab/>
        </w:r>
        <w:r>
          <w:rPr>
            <w:webHidden/>
          </w:rPr>
          <w:fldChar w:fldCharType="begin"/>
        </w:r>
        <w:r>
          <w:rPr>
            <w:webHidden/>
          </w:rPr>
          <w:instrText xml:space="preserve"> PAGEREF _Toc224819377 \h </w:instrText>
        </w:r>
        <w:r>
          <w:rPr>
            <w:webHidden/>
          </w:rPr>
        </w:r>
        <w:r>
          <w:rPr>
            <w:webHidden/>
          </w:rPr>
          <w:fldChar w:fldCharType="separate"/>
        </w:r>
        <w:r w:rsidR="00AA17AB">
          <w:rPr>
            <w:webHidden/>
          </w:rPr>
          <w:t>364</w:t>
        </w:r>
        <w:r>
          <w:rPr>
            <w:webHidden/>
          </w:rPr>
          <w:fldChar w:fldCharType="end"/>
        </w:r>
      </w:hyperlink>
    </w:p>
    <w:p w14:paraId="3E8F6386" w14:textId="727465E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8"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Application for Examination and Licensure or Permitting</w:t>
        </w:r>
        <w:r>
          <w:rPr>
            <w:webHidden/>
          </w:rPr>
          <w:tab/>
        </w:r>
        <w:r>
          <w:rPr>
            <w:webHidden/>
          </w:rPr>
          <w:fldChar w:fldCharType="begin"/>
        </w:r>
        <w:r>
          <w:rPr>
            <w:webHidden/>
          </w:rPr>
          <w:instrText xml:space="preserve"> PAGEREF _Toc224819378 \h </w:instrText>
        </w:r>
        <w:r>
          <w:rPr>
            <w:webHidden/>
          </w:rPr>
        </w:r>
        <w:r>
          <w:rPr>
            <w:webHidden/>
          </w:rPr>
          <w:fldChar w:fldCharType="separate"/>
        </w:r>
        <w:r w:rsidR="00AA17AB">
          <w:rPr>
            <w:webHidden/>
          </w:rPr>
          <w:t>365</w:t>
        </w:r>
        <w:r>
          <w:rPr>
            <w:webHidden/>
          </w:rPr>
          <w:fldChar w:fldCharType="end"/>
        </w:r>
      </w:hyperlink>
    </w:p>
    <w:p w14:paraId="1DE9D20A" w14:textId="13FF580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79"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Examination and Licensure or Permitting Fees</w:t>
        </w:r>
        <w:r>
          <w:rPr>
            <w:webHidden/>
          </w:rPr>
          <w:tab/>
        </w:r>
        <w:r>
          <w:rPr>
            <w:webHidden/>
          </w:rPr>
          <w:fldChar w:fldCharType="begin"/>
        </w:r>
        <w:r>
          <w:rPr>
            <w:webHidden/>
          </w:rPr>
          <w:instrText xml:space="preserve"> PAGEREF _Toc224819379 \h </w:instrText>
        </w:r>
        <w:r>
          <w:rPr>
            <w:webHidden/>
          </w:rPr>
        </w:r>
        <w:r>
          <w:rPr>
            <w:webHidden/>
          </w:rPr>
          <w:fldChar w:fldCharType="separate"/>
        </w:r>
        <w:r w:rsidR="00AA17AB">
          <w:rPr>
            <w:webHidden/>
          </w:rPr>
          <w:t>365</w:t>
        </w:r>
        <w:r>
          <w:rPr>
            <w:webHidden/>
          </w:rPr>
          <w:fldChar w:fldCharType="end"/>
        </w:r>
      </w:hyperlink>
    </w:p>
    <w:p w14:paraId="2E2B929D" w14:textId="3784AB2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0"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Minimum Examination Performance Levels Required</w:t>
        </w:r>
        <w:r>
          <w:rPr>
            <w:webHidden/>
          </w:rPr>
          <w:tab/>
        </w:r>
        <w:r>
          <w:rPr>
            <w:webHidden/>
          </w:rPr>
          <w:fldChar w:fldCharType="begin"/>
        </w:r>
        <w:r>
          <w:rPr>
            <w:webHidden/>
          </w:rPr>
          <w:instrText xml:space="preserve"> PAGEREF _Toc224819380 \h </w:instrText>
        </w:r>
        <w:r>
          <w:rPr>
            <w:webHidden/>
          </w:rPr>
        </w:r>
        <w:r>
          <w:rPr>
            <w:webHidden/>
          </w:rPr>
          <w:fldChar w:fldCharType="separate"/>
        </w:r>
        <w:r w:rsidR="00AA17AB">
          <w:rPr>
            <w:webHidden/>
          </w:rPr>
          <w:t>365</w:t>
        </w:r>
        <w:r>
          <w:rPr>
            <w:webHidden/>
          </w:rPr>
          <w:fldChar w:fldCharType="end"/>
        </w:r>
      </w:hyperlink>
    </w:p>
    <w:p w14:paraId="58A467BA" w14:textId="40857F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1"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Examination Schedule and Administration</w:t>
        </w:r>
        <w:r>
          <w:rPr>
            <w:webHidden/>
          </w:rPr>
          <w:tab/>
        </w:r>
        <w:r>
          <w:rPr>
            <w:webHidden/>
          </w:rPr>
          <w:fldChar w:fldCharType="begin"/>
        </w:r>
        <w:r>
          <w:rPr>
            <w:webHidden/>
          </w:rPr>
          <w:instrText xml:space="preserve"> PAGEREF _Toc224819381 \h </w:instrText>
        </w:r>
        <w:r>
          <w:rPr>
            <w:webHidden/>
          </w:rPr>
        </w:r>
        <w:r>
          <w:rPr>
            <w:webHidden/>
          </w:rPr>
          <w:fldChar w:fldCharType="separate"/>
        </w:r>
        <w:r w:rsidR="00AA17AB">
          <w:rPr>
            <w:webHidden/>
          </w:rPr>
          <w:t>366</w:t>
        </w:r>
        <w:r>
          <w:rPr>
            <w:webHidden/>
          </w:rPr>
          <w:fldChar w:fldCharType="end"/>
        </w:r>
      </w:hyperlink>
    </w:p>
    <w:p w14:paraId="362C2A7B" w14:textId="16C6625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2"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General Requirements for All Licensees or Permittee</w:t>
        </w:r>
        <w:r>
          <w:rPr>
            <w:webHidden/>
          </w:rPr>
          <w:tab/>
        </w:r>
        <w:r>
          <w:rPr>
            <w:webHidden/>
          </w:rPr>
          <w:fldChar w:fldCharType="begin"/>
        </w:r>
        <w:r>
          <w:rPr>
            <w:webHidden/>
          </w:rPr>
          <w:instrText xml:space="preserve"> PAGEREF _Toc224819382 \h </w:instrText>
        </w:r>
        <w:r>
          <w:rPr>
            <w:webHidden/>
          </w:rPr>
        </w:r>
        <w:r>
          <w:rPr>
            <w:webHidden/>
          </w:rPr>
          <w:fldChar w:fldCharType="separate"/>
        </w:r>
        <w:r w:rsidR="00AA17AB">
          <w:rPr>
            <w:webHidden/>
          </w:rPr>
          <w:t>366</w:t>
        </w:r>
        <w:r>
          <w:rPr>
            <w:webHidden/>
          </w:rPr>
          <w:fldChar w:fldCharType="end"/>
        </w:r>
      </w:hyperlink>
    </w:p>
    <w:p w14:paraId="57667757" w14:textId="6BA9288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3"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Professional and Occupational Standards and Requirements</w:t>
        </w:r>
        <w:r>
          <w:rPr>
            <w:webHidden/>
          </w:rPr>
          <w:tab/>
        </w:r>
        <w:r>
          <w:rPr>
            <w:webHidden/>
          </w:rPr>
          <w:fldChar w:fldCharType="begin"/>
        </w:r>
        <w:r>
          <w:rPr>
            <w:webHidden/>
          </w:rPr>
          <w:instrText xml:space="preserve"> PAGEREF _Toc224819383 \h </w:instrText>
        </w:r>
        <w:r>
          <w:rPr>
            <w:webHidden/>
          </w:rPr>
        </w:r>
        <w:r>
          <w:rPr>
            <w:webHidden/>
          </w:rPr>
          <w:fldChar w:fldCharType="separate"/>
        </w:r>
        <w:r w:rsidR="00AA17AB">
          <w:rPr>
            <w:webHidden/>
          </w:rPr>
          <w:t>367</w:t>
        </w:r>
        <w:r>
          <w:rPr>
            <w:webHidden/>
          </w:rPr>
          <w:fldChar w:fldCharType="end"/>
        </w:r>
      </w:hyperlink>
    </w:p>
    <w:p w14:paraId="10FD2976" w14:textId="218EDB5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4"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Prohibition</w:t>
        </w:r>
        <w:r>
          <w:rPr>
            <w:webHidden/>
          </w:rPr>
          <w:tab/>
        </w:r>
        <w:r>
          <w:rPr>
            <w:webHidden/>
          </w:rPr>
          <w:fldChar w:fldCharType="begin"/>
        </w:r>
        <w:r>
          <w:rPr>
            <w:webHidden/>
          </w:rPr>
          <w:instrText xml:space="preserve"> PAGEREF _Toc224819384 \h </w:instrText>
        </w:r>
        <w:r>
          <w:rPr>
            <w:webHidden/>
          </w:rPr>
        </w:r>
        <w:r>
          <w:rPr>
            <w:webHidden/>
          </w:rPr>
          <w:fldChar w:fldCharType="separate"/>
        </w:r>
        <w:r w:rsidR="00AA17AB">
          <w:rPr>
            <w:webHidden/>
          </w:rPr>
          <w:t>371</w:t>
        </w:r>
        <w:r>
          <w:rPr>
            <w:webHidden/>
          </w:rPr>
          <w:fldChar w:fldCharType="end"/>
        </w:r>
      </w:hyperlink>
    </w:p>
    <w:p w14:paraId="5B2C5A13" w14:textId="741286B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5"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Re-Issuance of Suspended, Revoked or Unrenewed License or Permit</w:t>
        </w:r>
        <w:r>
          <w:rPr>
            <w:webHidden/>
          </w:rPr>
          <w:tab/>
        </w:r>
        <w:r>
          <w:rPr>
            <w:webHidden/>
          </w:rPr>
          <w:fldChar w:fldCharType="begin"/>
        </w:r>
        <w:r>
          <w:rPr>
            <w:webHidden/>
          </w:rPr>
          <w:instrText xml:space="preserve"> PAGEREF _Toc224819385 \h </w:instrText>
        </w:r>
        <w:r>
          <w:rPr>
            <w:webHidden/>
          </w:rPr>
        </w:r>
        <w:r>
          <w:rPr>
            <w:webHidden/>
          </w:rPr>
          <w:fldChar w:fldCharType="separate"/>
        </w:r>
        <w:r w:rsidR="00AA17AB">
          <w:rPr>
            <w:webHidden/>
          </w:rPr>
          <w:t>372</w:t>
        </w:r>
        <w:r>
          <w:rPr>
            <w:webHidden/>
          </w:rPr>
          <w:fldChar w:fldCharType="end"/>
        </w:r>
      </w:hyperlink>
    </w:p>
    <w:p w14:paraId="4F886C4F" w14:textId="3E2D18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86"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Stop Orders and Notice of Non-Compliance</w:t>
        </w:r>
        <w:r>
          <w:rPr>
            <w:webHidden/>
          </w:rPr>
          <w:tab/>
        </w:r>
        <w:r>
          <w:rPr>
            <w:webHidden/>
          </w:rPr>
          <w:fldChar w:fldCharType="begin"/>
        </w:r>
        <w:r>
          <w:rPr>
            <w:webHidden/>
          </w:rPr>
          <w:instrText xml:space="preserve"> PAGEREF _Toc224819386 \h </w:instrText>
        </w:r>
        <w:r>
          <w:rPr>
            <w:webHidden/>
          </w:rPr>
        </w:r>
        <w:r>
          <w:rPr>
            <w:webHidden/>
          </w:rPr>
          <w:fldChar w:fldCharType="separate"/>
        </w:r>
        <w:r w:rsidR="00AA17AB">
          <w:rPr>
            <w:webHidden/>
          </w:rPr>
          <w:t>372</w:t>
        </w:r>
        <w:r>
          <w:rPr>
            <w:webHidden/>
          </w:rPr>
          <w:fldChar w:fldCharType="end"/>
        </w:r>
      </w:hyperlink>
    </w:p>
    <w:p w14:paraId="3FAFF1A2" w14:textId="5364B027" w:rsidR="00E67799" w:rsidRDefault="00E67799" w:rsidP="00ED0600">
      <w:pPr>
        <w:pStyle w:val="TOC1"/>
        <w:rPr>
          <w:rFonts w:asciiTheme="minorHAnsi" w:hAnsiTheme="minorHAnsi" w:cstheme="minorBidi"/>
          <w:b w:val="0"/>
          <w:bCs w:val="0"/>
          <w:sz w:val="24"/>
          <w:szCs w:val="24"/>
        </w:rPr>
      </w:pPr>
      <w:hyperlink w:anchor="_Toc224819387" w:history="1">
        <w:r w:rsidRPr="00FC437C">
          <w:rPr>
            <w:rStyle w:val="Hyperlink"/>
          </w:rPr>
          <w:t>Part XXXI.  Milk, Milk Products and Substitutions</w:t>
        </w:r>
      </w:hyperlink>
    </w:p>
    <w:p w14:paraId="5BD5B302" w14:textId="40E9F0F4" w:rsidR="00E67799" w:rsidRDefault="00E67799" w:rsidP="00ED0600">
      <w:pPr>
        <w:pStyle w:val="TOC2"/>
        <w:rPr>
          <w:rFonts w:asciiTheme="minorHAnsi" w:eastAsiaTheme="minorEastAsia" w:hAnsiTheme="minorHAnsi" w:cstheme="minorBidi"/>
          <w:kern w:val="2"/>
          <w:szCs w:val="24"/>
          <w14:ligatures w14:val="standardContextual"/>
        </w:rPr>
      </w:pPr>
      <w:hyperlink w:anchor="_Toc224819388"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Milk Testing</w:t>
        </w:r>
        <w:r>
          <w:rPr>
            <w:webHidden/>
          </w:rPr>
          <w:tab/>
        </w:r>
        <w:r>
          <w:rPr>
            <w:webHidden/>
          </w:rPr>
          <w:fldChar w:fldCharType="begin"/>
        </w:r>
        <w:r>
          <w:rPr>
            <w:webHidden/>
          </w:rPr>
          <w:instrText xml:space="preserve"> PAGEREF _Toc224819388 \h </w:instrText>
        </w:r>
        <w:r>
          <w:rPr>
            <w:webHidden/>
          </w:rPr>
        </w:r>
        <w:r>
          <w:rPr>
            <w:webHidden/>
          </w:rPr>
          <w:fldChar w:fldCharType="separate"/>
        </w:r>
        <w:r w:rsidR="00AA17AB">
          <w:rPr>
            <w:webHidden/>
          </w:rPr>
          <w:t>373</w:t>
        </w:r>
        <w:r>
          <w:rPr>
            <w:webHidden/>
          </w:rPr>
          <w:fldChar w:fldCharType="end"/>
        </w:r>
      </w:hyperlink>
    </w:p>
    <w:p w14:paraId="304147CB" w14:textId="10C8C58E" w:rsidR="00E67799" w:rsidRDefault="00E67799" w:rsidP="00ED0600">
      <w:pPr>
        <w:pStyle w:val="TOC2"/>
        <w:rPr>
          <w:rFonts w:asciiTheme="minorHAnsi" w:eastAsiaTheme="minorEastAsia" w:hAnsiTheme="minorHAnsi" w:cstheme="minorBidi"/>
          <w:kern w:val="2"/>
          <w:szCs w:val="24"/>
          <w14:ligatures w14:val="standardContextual"/>
        </w:rPr>
      </w:pPr>
      <w:hyperlink w:anchor="_Toc224819389"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Samples</w:t>
        </w:r>
        <w:r>
          <w:rPr>
            <w:webHidden/>
          </w:rPr>
          <w:tab/>
        </w:r>
        <w:r>
          <w:rPr>
            <w:webHidden/>
          </w:rPr>
          <w:fldChar w:fldCharType="begin"/>
        </w:r>
        <w:r>
          <w:rPr>
            <w:webHidden/>
          </w:rPr>
          <w:instrText xml:space="preserve"> PAGEREF _Toc224819389 \h </w:instrText>
        </w:r>
        <w:r>
          <w:rPr>
            <w:webHidden/>
          </w:rPr>
        </w:r>
        <w:r>
          <w:rPr>
            <w:webHidden/>
          </w:rPr>
          <w:fldChar w:fldCharType="separate"/>
        </w:r>
        <w:r w:rsidR="00AA17AB">
          <w:rPr>
            <w:webHidden/>
          </w:rPr>
          <w:t>373</w:t>
        </w:r>
        <w:r>
          <w:rPr>
            <w:webHidden/>
          </w:rPr>
          <w:fldChar w:fldCharType="end"/>
        </w:r>
      </w:hyperlink>
    </w:p>
    <w:p w14:paraId="536BF815" w14:textId="65C55C13"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90"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Measuring and Sampling Milk from Farm Bulk Tanks</w:t>
        </w:r>
        <w:r>
          <w:rPr>
            <w:webHidden/>
          </w:rPr>
          <w:tab/>
        </w:r>
        <w:r>
          <w:rPr>
            <w:webHidden/>
          </w:rPr>
          <w:fldChar w:fldCharType="begin"/>
        </w:r>
        <w:r>
          <w:rPr>
            <w:webHidden/>
          </w:rPr>
          <w:instrText xml:space="preserve"> PAGEREF _Toc224819390 \h </w:instrText>
        </w:r>
        <w:r>
          <w:rPr>
            <w:webHidden/>
          </w:rPr>
        </w:r>
        <w:r>
          <w:rPr>
            <w:webHidden/>
          </w:rPr>
          <w:fldChar w:fldCharType="separate"/>
        </w:r>
        <w:r w:rsidR="00AA17AB">
          <w:rPr>
            <w:webHidden/>
          </w:rPr>
          <w:t>373</w:t>
        </w:r>
        <w:r>
          <w:rPr>
            <w:webHidden/>
          </w:rPr>
          <w:fldChar w:fldCharType="end"/>
        </w:r>
      </w:hyperlink>
    </w:p>
    <w:p w14:paraId="70192673" w14:textId="084C3815"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391"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Storage; Preparation of Samples for Testing</w:t>
        </w:r>
        <w:r>
          <w:rPr>
            <w:webHidden/>
          </w:rPr>
          <w:tab/>
        </w:r>
        <w:r>
          <w:rPr>
            <w:webHidden/>
          </w:rPr>
          <w:fldChar w:fldCharType="begin"/>
        </w:r>
        <w:r>
          <w:rPr>
            <w:webHidden/>
          </w:rPr>
          <w:instrText xml:space="preserve"> PAGEREF _Toc224819391 \h </w:instrText>
        </w:r>
        <w:r>
          <w:rPr>
            <w:webHidden/>
          </w:rPr>
        </w:r>
        <w:r>
          <w:rPr>
            <w:webHidden/>
          </w:rPr>
          <w:fldChar w:fldCharType="separate"/>
        </w:r>
        <w:r w:rsidR="00AA17AB">
          <w:rPr>
            <w:webHidden/>
          </w:rPr>
          <w:t>373</w:t>
        </w:r>
        <w:r>
          <w:rPr>
            <w:webHidden/>
          </w:rPr>
          <w:fldChar w:fldCharType="end"/>
        </w:r>
      </w:hyperlink>
    </w:p>
    <w:p w14:paraId="0FE50E67" w14:textId="5A1EF727" w:rsidR="00E67799" w:rsidRDefault="00E67799" w:rsidP="00ED0600">
      <w:pPr>
        <w:pStyle w:val="TOC2"/>
        <w:rPr>
          <w:rFonts w:asciiTheme="minorHAnsi" w:eastAsiaTheme="minorEastAsia" w:hAnsiTheme="minorHAnsi" w:cstheme="minorBidi"/>
          <w:kern w:val="2"/>
          <w:szCs w:val="24"/>
          <w14:ligatures w14:val="standardContextual"/>
        </w:rPr>
      </w:pPr>
      <w:hyperlink w:anchor="_Toc224819392"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Approved Methods of Testing</w:t>
        </w:r>
        <w:r>
          <w:rPr>
            <w:webHidden/>
          </w:rPr>
          <w:tab/>
        </w:r>
        <w:r>
          <w:rPr>
            <w:webHidden/>
          </w:rPr>
          <w:fldChar w:fldCharType="begin"/>
        </w:r>
        <w:r>
          <w:rPr>
            <w:webHidden/>
          </w:rPr>
          <w:instrText xml:space="preserve"> PAGEREF _Toc224819392 \h </w:instrText>
        </w:r>
        <w:r>
          <w:rPr>
            <w:webHidden/>
          </w:rPr>
        </w:r>
        <w:r>
          <w:rPr>
            <w:webHidden/>
          </w:rPr>
          <w:fldChar w:fldCharType="separate"/>
        </w:r>
        <w:r w:rsidR="00AA17AB">
          <w:rPr>
            <w:webHidden/>
          </w:rPr>
          <w:t>373</w:t>
        </w:r>
        <w:r>
          <w:rPr>
            <w:webHidden/>
          </w:rPr>
          <w:fldChar w:fldCharType="end"/>
        </w:r>
      </w:hyperlink>
    </w:p>
    <w:p w14:paraId="61664C60" w14:textId="21E595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3"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Testing Raw Milk Samples for Butterfat Content</w:t>
        </w:r>
        <w:r>
          <w:rPr>
            <w:webHidden/>
          </w:rPr>
          <w:tab/>
        </w:r>
        <w:r>
          <w:rPr>
            <w:webHidden/>
          </w:rPr>
          <w:fldChar w:fldCharType="begin"/>
        </w:r>
        <w:r>
          <w:rPr>
            <w:webHidden/>
          </w:rPr>
          <w:instrText xml:space="preserve"> PAGEREF _Toc224819393 \h </w:instrText>
        </w:r>
        <w:r>
          <w:rPr>
            <w:webHidden/>
          </w:rPr>
        </w:r>
        <w:r>
          <w:rPr>
            <w:webHidden/>
          </w:rPr>
          <w:fldChar w:fldCharType="separate"/>
        </w:r>
        <w:r w:rsidR="00AA17AB">
          <w:rPr>
            <w:webHidden/>
          </w:rPr>
          <w:t>373</w:t>
        </w:r>
        <w:r>
          <w:rPr>
            <w:webHidden/>
          </w:rPr>
          <w:fldChar w:fldCharType="end"/>
        </w:r>
      </w:hyperlink>
    </w:p>
    <w:p w14:paraId="2C8CD93D" w14:textId="17A361E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4"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Procedure; Testing Cream for Butterfat Content</w:t>
        </w:r>
        <w:r>
          <w:rPr>
            <w:webHidden/>
          </w:rPr>
          <w:tab/>
        </w:r>
        <w:r>
          <w:rPr>
            <w:webHidden/>
          </w:rPr>
          <w:fldChar w:fldCharType="begin"/>
        </w:r>
        <w:r>
          <w:rPr>
            <w:webHidden/>
          </w:rPr>
          <w:instrText xml:space="preserve"> PAGEREF _Toc224819394 \h </w:instrText>
        </w:r>
        <w:r>
          <w:rPr>
            <w:webHidden/>
          </w:rPr>
        </w:r>
        <w:r>
          <w:rPr>
            <w:webHidden/>
          </w:rPr>
          <w:fldChar w:fldCharType="separate"/>
        </w:r>
        <w:r w:rsidR="00AA17AB">
          <w:rPr>
            <w:webHidden/>
          </w:rPr>
          <w:t>374</w:t>
        </w:r>
        <w:r>
          <w:rPr>
            <w:webHidden/>
          </w:rPr>
          <w:fldChar w:fldCharType="end"/>
        </w:r>
      </w:hyperlink>
    </w:p>
    <w:p w14:paraId="3276D540" w14:textId="2089B74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5"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Procedure; Testing Ice Cream for Butterfat Content</w:t>
        </w:r>
        <w:r>
          <w:rPr>
            <w:webHidden/>
          </w:rPr>
          <w:tab/>
        </w:r>
        <w:r>
          <w:rPr>
            <w:webHidden/>
          </w:rPr>
          <w:fldChar w:fldCharType="begin"/>
        </w:r>
        <w:r>
          <w:rPr>
            <w:webHidden/>
          </w:rPr>
          <w:instrText xml:space="preserve"> PAGEREF _Toc224819395 \h </w:instrText>
        </w:r>
        <w:r>
          <w:rPr>
            <w:webHidden/>
          </w:rPr>
        </w:r>
        <w:r>
          <w:rPr>
            <w:webHidden/>
          </w:rPr>
          <w:fldChar w:fldCharType="separate"/>
        </w:r>
        <w:r w:rsidR="00AA17AB">
          <w:rPr>
            <w:webHidden/>
          </w:rPr>
          <w:t>374</w:t>
        </w:r>
        <w:r>
          <w:rPr>
            <w:webHidden/>
          </w:rPr>
          <w:fldChar w:fldCharType="end"/>
        </w:r>
      </w:hyperlink>
    </w:p>
    <w:p w14:paraId="13DFB4CC" w14:textId="56DDF63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6"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Procedure; Testing Homogenized Milk for Butterfat Content</w:t>
        </w:r>
        <w:r>
          <w:rPr>
            <w:webHidden/>
          </w:rPr>
          <w:tab/>
        </w:r>
        <w:r>
          <w:rPr>
            <w:webHidden/>
          </w:rPr>
          <w:fldChar w:fldCharType="begin"/>
        </w:r>
        <w:r>
          <w:rPr>
            <w:webHidden/>
          </w:rPr>
          <w:instrText xml:space="preserve"> PAGEREF _Toc224819396 \h </w:instrText>
        </w:r>
        <w:r>
          <w:rPr>
            <w:webHidden/>
          </w:rPr>
        </w:r>
        <w:r>
          <w:rPr>
            <w:webHidden/>
          </w:rPr>
          <w:fldChar w:fldCharType="separate"/>
        </w:r>
        <w:r w:rsidR="00AA17AB">
          <w:rPr>
            <w:webHidden/>
          </w:rPr>
          <w:t>374</w:t>
        </w:r>
        <w:r>
          <w:rPr>
            <w:webHidden/>
          </w:rPr>
          <w:fldChar w:fldCharType="end"/>
        </w:r>
      </w:hyperlink>
    </w:p>
    <w:p w14:paraId="0827A099" w14:textId="44DE1C3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7"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Testing Chocolate Milk for Butterfat Content</w:t>
        </w:r>
        <w:r>
          <w:rPr>
            <w:webHidden/>
          </w:rPr>
          <w:tab/>
        </w:r>
        <w:r>
          <w:rPr>
            <w:webHidden/>
          </w:rPr>
          <w:fldChar w:fldCharType="begin"/>
        </w:r>
        <w:r>
          <w:rPr>
            <w:webHidden/>
          </w:rPr>
          <w:instrText xml:space="preserve"> PAGEREF _Toc224819397 \h </w:instrText>
        </w:r>
        <w:r>
          <w:rPr>
            <w:webHidden/>
          </w:rPr>
        </w:r>
        <w:r>
          <w:rPr>
            <w:webHidden/>
          </w:rPr>
          <w:fldChar w:fldCharType="separate"/>
        </w:r>
        <w:r w:rsidR="00AA17AB">
          <w:rPr>
            <w:webHidden/>
          </w:rPr>
          <w:t>374</w:t>
        </w:r>
        <w:r>
          <w:rPr>
            <w:webHidden/>
          </w:rPr>
          <w:fldChar w:fldCharType="end"/>
        </w:r>
      </w:hyperlink>
    </w:p>
    <w:p w14:paraId="7348C0AE" w14:textId="13C2EF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398"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Procedure; Testing Skim Milk for Butterfat Content</w:t>
        </w:r>
        <w:r>
          <w:rPr>
            <w:webHidden/>
          </w:rPr>
          <w:tab/>
        </w:r>
        <w:r>
          <w:rPr>
            <w:webHidden/>
          </w:rPr>
          <w:fldChar w:fldCharType="begin"/>
        </w:r>
        <w:r>
          <w:rPr>
            <w:webHidden/>
          </w:rPr>
          <w:instrText xml:space="preserve"> PAGEREF _Toc224819398 \h </w:instrText>
        </w:r>
        <w:r>
          <w:rPr>
            <w:webHidden/>
          </w:rPr>
        </w:r>
        <w:r>
          <w:rPr>
            <w:webHidden/>
          </w:rPr>
          <w:fldChar w:fldCharType="separate"/>
        </w:r>
        <w:r w:rsidR="00AA17AB">
          <w:rPr>
            <w:webHidden/>
          </w:rPr>
          <w:t>374</w:t>
        </w:r>
        <w:r>
          <w:rPr>
            <w:webHidden/>
          </w:rPr>
          <w:fldChar w:fldCharType="end"/>
        </w:r>
      </w:hyperlink>
    </w:p>
    <w:p w14:paraId="4914CEC4" w14:textId="2310B5B6" w:rsidR="00E67799" w:rsidRDefault="00E67799">
      <w:pPr>
        <w:pStyle w:val="TOC2"/>
        <w:rPr>
          <w:rFonts w:asciiTheme="minorHAnsi" w:eastAsiaTheme="minorEastAsia" w:hAnsiTheme="minorHAnsi" w:cstheme="minorBidi"/>
          <w:kern w:val="2"/>
          <w:szCs w:val="24"/>
          <w14:ligatures w14:val="standardContextual"/>
        </w:rPr>
      </w:pPr>
      <w:hyperlink w:anchor="_Toc224819399" w:history="1">
        <w:r w:rsidRPr="00FC437C">
          <w:rPr>
            <w:rStyle w:val="Hyperlink"/>
          </w:rPr>
          <w:t>Subchapter C.</w:t>
        </w:r>
        <w:r>
          <w:rPr>
            <w:rFonts w:asciiTheme="minorHAnsi" w:eastAsiaTheme="minorEastAsia" w:hAnsiTheme="minorHAnsi" w:cstheme="minorBidi"/>
            <w:kern w:val="2"/>
            <w:szCs w:val="24"/>
            <w14:ligatures w14:val="standardContextual"/>
          </w:rPr>
          <w:tab/>
        </w:r>
        <w:r w:rsidRPr="00FC437C">
          <w:rPr>
            <w:rStyle w:val="Hyperlink"/>
          </w:rPr>
          <w:t>Use of Other Than Approved Method Equipment, Glassware, Tests or Installation Prohibited</w:t>
        </w:r>
        <w:r>
          <w:rPr>
            <w:webHidden/>
          </w:rPr>
          <w:tab/>
        </w:r>
        <w:r>
          <w:rPr>
            <w:webHidden/>
          </w:rPr>
          <w:fldChar w:fldCharType="begin"/>
        </w:r>
        <w:r>
          <w:rPr>
            <w:webHidden/>
          </w:rPr>
          <w:instrText xml:space="preserve"> PAGEREF _Toc224819399 \h </w:instrText>
        </w:r>
        <w:r>
          <w:rPr>
            <w:webHidden/>
          </w:rPr>
        </w:r>
        <w:r>
          <w:rPr>
            <w:webHidden/>
          </w:rPr>
          <w:fldChar w:fldCharType="separate"/>
        </w:r>
        <w:r w:rsidR="00AA17AB">
          <w:rPr>
            <w:webHidden/>
          </w:rPr>
          <w:t>375</w:t>
        </w:r>
        <w:r>
          <w:rPr>
            <w:webHidden/>
          </w:rPr>
          <w:fldChar w:fldCharType="end"/>
        </w:r>
      </w:hyperlink>
    </w:p>
    <w:p w14:paraId="3E4D2346" w14:textId="523595A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0"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Calibration</w:t>
        </w:r>
        <w:r>
          <w:rPr>
            <w:webHidden/>
          </w:rPr>
          <w:tab/>
        </w:r>
        <w:r>
          <w:rPr>
            <w:webHidden/>
          </w:rPr>
          <w:fldChar w:fldCharType="begin"/>
        </w:r>
        <w:r>
          <w:rPr>
            <w:webHidden/>
          </w:rPr>
          <w:instrText xml:space="preserve"> PAGEREF _Toc224819400 \h </w:instrText>
        </w:r>
        <w:r>
          <w:rPr>
            <w:webHidden/>
          </w:rPr>
        </w:r>
        <w:r>
          <w:rPr>
            <w:webHidden/>
          </w:rPr>
          <w:fldChar w:fldCharType="separate"/>
        </w:r>
        <w:r w:rsidR="00AA17AB">
          <w:rPr>
            <w:webHidden/>
          </w:rPr>
          <w:t>375</w:t>
        </w:r>
        <w:r>
          <w:rPr>
            <w:webHidden/>
          </w:rPr>
          <w:fldChar w:fldCharType="end"/>
        </w:r>
      </w:hyperlink>
    </w:p>
    <w:p w14:paraId="304F07C0" w14:textId="079601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1"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Approved Laboratories; Equipment</w:t>
        </w:r>
        <w:r>
          <w:rPr>
            <w:webHidden/>
          </w:rPr>
          <w:tab/>
        </w:r>
        <w:r>
          <w:rPr>
            <w:webHidden/>
          </w:rPr>
          <w:fldChar w:fldCharType="begin"/>
        </w:r>
        <w:r>
          <w:rPr>
            <w:webHidden/>
          </w:rPr>
          <w:instrText xml:space="preserve"> PAGEREF _Toc224819401 \h </w:instrText>
        </w:r>
        <w:r>
          <w:rPr>
            <w:webHidden/>
          </w:rPr>
        </w:r>
        <w:r>
          <w:rPr>
            <w:webHidden/>
          </w:rPr>
          <w:fldChar w:fldCharType="separate"/>
        </w:r>
        <w:r w:rsidR="00AA17AB">
          <w:rPr>
            <w:webHidden/>
          </w:rPr>
          <w:t>375</w:t>
        </w:r>
        <w:r>
          <w:rPr>
            <w:webHidden/>
          </w:rPr>
          <w:fldChar w:fldCharType="end"/>
        </w:r>
      </w:hyperlink>
    </w:p>
    <w:p w14:paraId="62E929FD" w14:textId="042E3062" w:rsidR="00E67799" w:rsidRDefault="00E67799">
      <w:pPr>
        <w:pStyle w:val="TOC2"/>
        <w:rPr>
          <w:rFonts w:asciiTheme="minorHAnsi" w:eastAsiaTheme="minorEastAsia" w:hAnsiTheme="minorHAnsi" w:cstheme="minorBidi"/>
          <w:kern w:val="2"/>
          <w:szCs w:val="24"/>
          <w14:ligatures w14:val="standardContextual"/>
        </w:rPr>
      </w:pPr>
      <w:hyperlink w:anchor="_Toc224819402" w:history="1">
        <w:r w:rsidRPr="00FC437C">
          <w:rPr>
            <w:rStyle w:val="Hyperlink"/>
          </w:rPr>
          <w:t>Subchapter D.</w:t>
        </w:r>
        <w:r>
          <w:rPr>
            <w:rFonts w:asciiTheme="minorHAnsi" w:eastAsiaTheme="minorEastAsia" w:hAnsiTheme="minorHAnsi" w:cstheme="minorBidi"/>
            <w:kern w:val="2"/>
            <w:szCs w:val="24"/>
            <w14:ligatures w14:val="standardContextual"/>
          </w:rPr>
          <w:tab/>
        </w:r>
        <w:r w:rsidRPr="00FC437C">
          <w:rPr>
            <w:rStyle w:val="Hyperlink"/>
          </w:rPr>
          <w:t>Test Results</w:t>
        </w:r>
        <w:r>
          <w:rPr>
            <w:webHidden/>
          </w:rPr>
          <w:tab/>
        </w:r>
        <w:r>
          <w:rPr>
            <w:webHidden/>
          </w:rPr>
          <w:fldChar w:fldCharType="begin"/>
        </w:r>
        <w:r>
          <w:rPr>
            <w:webHidden/>
          </w:rPr>
          <w:instrText xml:space="preserve"> PAGEREF _Toc224819402 \h </w:instrText>
        </w:r>
        <w:r>
          <w:rPr>
            <w:webHidden/>
          </w:rPr>
        </w:r>
        <w:r>
          <w:rPr>
            <w:webHidden/>
          </w:rPr>
          <w:fldChar w:fldCharType="separate"/>
        </w:r>
        <w:r w:rsidR="00AA17AB">
          <w:rPr>
            <w:webHidden/>
          </w:rPr>
          <w:t>375</w:t>
        </w:r>
        <w:r>
          <w:rPr>
            <w:webHidden/>
          </w:rPr>
          <w:fldChar w:fldCharType="end"/>
        </w:r>
      </w:hyperlink>
    </w:p>
    <w:p w14:paraId="25FCB590" w14:textId="37822B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3"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Finished Product Analysis</w:t>
        </w:r>
        <w:r>
          <w:rPr>
            <w:webHidden/>
          </w:rPr>
          <w:tab/>
        </w:r>
        <w:r>
          <w:rPr>
            <w:webHidden/>
          </w:rPr>
          <w:fldChar w:fldCharType="begin"/>
        </w:r>
        <w:r>
          <w:rPr>
            <w:webHidden/>
          </w:rPr>
          <w:instrText xml:space="preserve"> PAGEREF _Toc224819403 \h </w:instrText>
        </w:r>
        <w:r>
          <w:rPr>
            <w:webHidden/>
          </w:rPr>
        </w:r>
        <w:r>
          <w:rPr>
            <w:webHidden/>
          </w:rPr>
          <w:fldChar w:fldCharType="separate"/>
        </w:r>
        <w:r w:rsidR="00AA17AB">
          <w:rPr>
            <w:webHidden/>
          </w:rPr>
          <w:t>375</w:t>
        </w:r>
        <w:r>
          <w:rPr>
            <w:webHidden/>
          </w:rPr>
          <w:fldChar w:fldCharType="end"/>
        </w:r>
      </w:hyperlink>
    </w:p>
    <w:p w14:paraId="6ACE294E" w14:textId="1ED5AED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4"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Inadequate Fresh Milk Tests Compensation</w:t>
        </w:r>
        <w:r>
          <w:rPr>
            <w:webHidden/>
          </w:rPr>
          <w:tab/>
        </w:r>
        <w:r>
          <w:rPr>
            <w:webHidden/>
          </w:rPr>
          <w:fldChar w:fldCharType="begin"/>
        </w:r>
        <w:r>
          <w:rPr>
            <w:webHidden/>
          </w:rPr>
          <w:instrText xml:space="preserve"> PAGEREF _Toc224819404 \h </w:instrText>
        </w:r>
        <w:r>
          <w:rPr>
            <w:webHidden/>
          </w:rPr>
        </w:r>
        <w:r>
          <w:rPr>
            <w:webHidden/>
          </w:rPr>
          <w:fldChar w:fldCharType="separate"/>
        </w:r>
        <w:r w:rsidR="00AA17AB">
          <w:rPr>
            <w:webHidden/>
          </w:rPr>
          <w:t>375</w:t>
        </w:r>
        <w:r>
          <w:rPr>
            <w:webHidden/>
          </w:rPr>
          <w:fldChar w:fldCharType="end"/>
        </w:r>
      </w:hyperlink>
    </w:p>
    <w:p w14:paraId="021386EE" w14:textId="14B9AB5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5"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Computation of Butterfat Tests; Averages</w:t>
        </w:r>
        <w:r>
          <w:rPr>
            <w:webHidden/>
          </w:rPr>
          <w:tab/>
        </w:r>
        <w:r>
          <w:rPr>
            <w:webHidden/>
          </w:rPr>
          <w:fldChar w:fldCharType="begin"/>
        </w:r>
        <w:r>
          <w:rPr>
            <w:webHidden/>
          </w:rPr>
          <w:instrText xml:space="preserve"> PAGEREF _Toc224819405 \h </w:instrText>
        </w:r>
        <w:r>
          <w:rPr>
            <w:webHidden/>
          </w:rPr>
        </w:r>
        <w:r>
          <w:rPr>
            <w:webHidden/>
          </w:rPr>
          <w:fldChar w:fldCharType="separate"/>
        </w:r>
        <w:r w:rsidR="00AA17AB">
          <w:rPr>
            <w:webHidden/>
          </w:rPr>
          <w:t>376</w:t>
        </w:r>
        <w:r>
          <w:rPr>
            <w:webHidden/>
          </w:rPr>
          <w:fldChar w:fldCharType="end"/>
        </w:r>
      </w:hyperlink>
    </w:p>
    <w:p w14:paraId="422C1A06" w14:textId="4A4EDC83" w:rsidR="00E67799" w:rsidRDefault="00E67799">
      <w:pPr>
        <w:pStyle w:val="TOC2"/>
        <w:rPr>
          <w:rFonts w:asciiTheme="minorHAnsi" w:eastAsiaTheme="minorEastAsia" w:hAnsiTheme="minorHAnsi" w:cstheme="minorBidi"/>
          <w:kern w:val="2"/>
          <w:szCs w:val="24"/>
          <w14:ligatures w14:val="standardContextual"/>
        </w:rPr>
      </w:pPr>
      <w:hyperlink w:anchor="_Toc224819406"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Dairy Stabilization Board</w:t>
        </w:r>
        <w:r>
          <w:rPr>
            <w:webHidden/>
          </w:rPr>
          <w:tab/>
        </w:r>
        <w:r>
          <w:rPr>
            <w:webHidden/>
          </w:rPr>
          <w:fldChar w:fldCharType="begin"/>
        </w:r>
        <w:r>
          <w:rPr>
            <w:webHidden/>
          </w:rPr>
          <w:instrText xml:space="preserve"> PAGEREF _Toc224819406 \h </w:instrText>
        </w:r>
        <w:r>
          <w:rPr>
            <w:webHidden/>
          </w:rPr>
        </w:r>
        <w:r>
          <w:rPr>
            <w:webHidden/>
          </w:rPr>
          <w:fldChar w:fldCharType="separate"/>
        </w:r>
        <w:r w:rsidR="00AA17AB">
          <w:rPr>
            <w:webHidden/>
          </w:rPr>
          <w:t>376</w:t>
        </w:r>
        <w:r>
          <w:rPr>
            <w:webHidden/>
          </w:rPr>
          <w:fldChar w:fldCharType="end"/>
        </w:r>
      </w:hyperlink>
    </w:p>
    <w:p w14:paraId="30EF2F8D" w14:textId="7AD38C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7"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_Toc224819407 \h </w:instrText>
        </w:r>
        <w:r>
          <w:rPr>
            <w:webHidden/>
          </w:rPr>
        </w:r>
        <w:r>
          <w:rPr>
            <w:webHidden/>
          </w:rPr>
          <w:fldChar w:fldCharType="separate"/>
        </w:r>
        <w:r w:rsidR="00AA17AB">
          <w:rPr>
            <w:webHidden/>
          </w:rPr>
          <w:t>376</w:t>
        </w:r>
        <w:r>
          <w:rPr>
            <w:webHidden/>
          </w:rPr>
          <w:fldChar w:fldCharType="end"/>
        </w:r>
      </w:hyperlink>
    </w:p>
    <w:p w14:paraId="62FFF6C2" w14:textId="1816326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8"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Affairs of the Board</w:t>
        </w:r>
        <w:r>
          <w:rPr>
            <w:webHidden/>
          </w:rPr>
          <w:tab/>
        </w:r>
        <w:r>
          <w:rPr>
            <w:webHidden/>
          </w:rPr>
          <w:fldChar w:fldCharType="begin"/>
        </w:r>
        <w:r>
          <w:rPr>
            <w:webHidden/>
          </w:rPr>
          <w:instrText xml:space="preserve"> PAGEREF _Toc224819408 \h </w:instrText>
        </w:r>
        <w:r>
          <w:rPr>
            <w:webHidden/>
          </w:rPr>
        </w:r>
        <w:r>
          <w:rPr>
            <w:webHidden/>
          </w:rPr>
          <w:fldChar w:fldCharType="separate"/>
        </w:r>
        <w:r w:rsidR="00AA17AB">
          <w:rPr>
            <w:webHidden/>
          </w:rPr>
          <w:t>377</w:t>
        </w:r>
        <w:r>
          <w:rPr>
            <w:webHidden/>
          </w:rPr>
          <w:fldChar w:fldCharType="end"/>
        </w:r>
      </w:hyperlink>
    </w:p>
    <w:p w14:paraId="10AA55B5" w14:textId="4AA5B3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09"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Licenses Required and Procedure</w:t>
        </w:r>
        <w:r>
          <w:rPr>
            <w:webHidden/>
          </w:rPr>
          <w:tab/>
        </w:r>
        <w:r>
          <w:rPr>
            <w:webHidden/>
          </w:rPr>
          <w:fldChar w:fldCharType="begin"/>
        </w:r>
        <w:r>
          <w:rPr>
            <w:webHidden/>
          </w:rPr>
          <w:instrText xml:space="preserve"> PAGEREF _Toc224819409 \h </w:instrText>
        </w:r>
        <w:r>
          <w:rPr>
            <w:webHidden/>
          </w:rPr>
        </w:r>
        <w:r>
          <w:rPr>
            <w:webHidden/>
          </w:rPr>
          <w:fldChar w:fldCharType="separate"/>
        </w:r>
        <w:r w:rsidR="00AA17AB">
          <w:rPr>
            <w:webHidden/>
          </w:rPr>
          <w:t>378</w:t>
        </w:r>
        <w:r>
          <w:rPr>
            <w:webHidden/>
          </w:rPr>
          <w:fldChar w:fldCharType="end"/>
        </w:r>
      </w:hyperlink>
    </w:p>
    <w:p w14:paraId="71A6C370" w14:textId="3B5B205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0"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Assessments</w:t>
        </w:r>
        <w:r>
          <w:rPr>
            <w:webHidden/>
          </w:rPr>
          <w:tab/>
        </w:r>
        <w:r>
          <w:rPr>
            <w:webHidden/>
          </w:rPr>
          <w:fldChar w:fldCharType="begin"/>
        </w:r>
        <w:r>
          <w:rPr>
            <w:webHidden/>
          </w:rPr>
          <w:instrText xml:space="preserve"> PAGEREF _Toc224819410 \h </w:instrText>
        </w:r>
        <w:r>
          <w:rPr>
            <w:webHidden/>
          </w:rPr>
        </w:r>
        <w:r>
          <w:rPr>
            <w:webHidden/>
          </w:rPr>
          <w:fldChar w:fldCharType="separate"/>
        </w:r>
        <w:r w:rsidR="00AA17AB">
          <w:rPr>
            <w:webHidden/>
          </w:rPr>
          <w:t>378</w:t>
        </w:r>
        <w:r>
          <w:rPr>
            <w:webHidden/>
          </w:rPr>
          <w:fldChar w:fldCharType="end"/>
        </w:r>
      </w:hyperlink>
    </w:p>
    <w:p w14:paraId="25A492DB" w14:textId="01F5163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1"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Volume Discounts Program and Procedures</w:t>
        </w:r>
        <w:r>
          <w:rPr>
            <w:webHidden/>
          </w:rPr>
          <w:tab/>
        </w:r>
        <w:r>
          <w:rPr>
            <w:webHidden/>
          </w:rPr>
          <w:fldChar w:fldCharType="begin"/>
        </w:r>
        <w:r>
          <w:rPr>
            <w:webHidden/>
          </w:rPr>
          <w:instrText xml:space="preserve"> PAGEREF _Toc224819411 \h </w:instrText>
        </w:r>
        <w:r>
          <w:rPr>
            <w:webHidden/>
          </w:rPr>
        </w:r>
        <w:r>
          <w:rPr>
            <w:webHidden/>
          </w:rPr>
          <w:fldChar w:fldCharType="separate"/>
        </w:r>
        <w:r w:rsidR="00AA17AB">
          <w:rPr>
            <w:webHidden/>
          </w:rPr>
          <w:t>378</w:t>
        </w:r>
        <w:r>
          <w:rPr>
            <w:webHidden/>
          </w:rPr>
          <w:fldChar w:fldCharType="end"/>
        </w:r>
      </w:hyperlink>
    </w:p>
    <w:p w14:paraId="35A29614" w14:textId="0DABD0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2" w:history="1">
        <w:r w:rsidRPr="00FC437C">
          <w:rPr>
            <w:rStyle w:val="Hyperlink"/>
          </w:rPr>
          <w:t>§311.</w:t>
        </w:r>
        <w:r>
          <w:rPr>
            <w:rFonts w:asciiTheme="minorHAnsi" w:eastAsiaTheme="minorEastAsia" w:hAnsiTheme="minorHAnsi" w:cstheme="minorBidi"/>
            <w:color w:val="auto"/>
            <w:kern w:val="2"/>
            <w:szCs w:val="24"/>
            <w14:ligatures w14:val="standardContextual"/>
          </w:rPr>
          <w:tab/>
        </w:r>
        <w:r w:rsidRPr="00FC437C">
          <w:rPr>
            <w:rStyle w:val="Hyperlink"/>
          </w:rPr>
          <w:t>Milk Case Deposit Program and Procedure</w:t>
        </w:r>
        <w:r>
          <w:rPr>
            <w:webHidden/>
          </w:rPr>
          <w:tab/>
        </w:r>
        <w:r>
          <w:rPr>
            <w:webHidden/>
          </w:rPr>
          <w:fldChar w:fldCharType="begin"/>
        </w:r>
        <w:r>
          <w:rPr>
            <w:webHidden/>
          </w:rPr>
          <w:instrText xml:space="preserve"> PAGEREF _Toc224819412 \h </w:instrText>
        </w:r>
        <w:r>
          <w:rPr>
            <w:webHidden/>
          </w:rPr>
        </w:r>
        <w:r>
          <w:rPr>
            <w:webHidden/>
          </w:rPr>
          <w:fldChar w:fldCharType="separate"/>
        </w:r>
        <w:r w:rsidR="00AA17AB">
          <w:rPr>
            <w:webHidden/>
          </w:rPr>
          <w:t>379</w:t>
        </w:r>
        <w:r>
          <w:rPr>
            <w:webHidden/>
          </w:rPr>
          <w:fldChar w:fldCharType="end"/>
        </w:r>
      </w:hyperlink>
    </w:p>
    <w:p w14:paraId="396451C9" w14:textId="3F1709C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3" w:history="1">
        <w:r w:rsidRPr="00FC437C">
          <w:rPr>
            <w:rStyle w:val="Hyperlink"/>
          </w:rPr>
          <w:t>§313.</w:t>
        </w:r>
        <w:r>
          <w:rPr>
            <w:rFonts w:asciiTheme="minorHAnsi" w:eastAsiaTheme="minorEastAsia" w:hAnsiTheme="minorHAnsi" w:cstheme="minorBidi"/>
            <w:color w:val="auto"/>
            <w:kern w:val="2"/>
            <w:szCs w:val="24"/>
            <w14:ligatures w14:val="standardContextual"/>
          </w:rPr>
          <w:tab/>
        </w:r>
        <w:r w:rsidRPr="00FC437C">
          <w:rPr>
            <w:rStyle w:val="Hyperlink"/>
          </w:rPr>
          <w:t>Investigative Hearing Procedure</w:t>
        </w:r>
        <w:r>
          <w:rPr>
            <w:webHidden/>
          </w:rPr>
          <w:tab/>
        </w:r>
        <w:r>
          <w:rPr>
            <w:webHidden/>
          </w:rPr>
          <w:fldChar w:fldCharType="begin"/>
        </w:r>
        <w:r>
          <w:rPr>
            <w:webHidden/>
          </w:rPr>
          <w:instrText xml:space="preserve"> PAGEREF _Toc224819413 \h </w:instrText>
        </w:r>
        <w:r>
          <w:rPr>
            <w:webHidden/>
          </w:rPr>
        </w:r>
        <w:r>
          <w:rPr>
            <w:webHidden/>
          </w:rPr>
          <w:fldChar w:fldCharType="separate"/>
        </w:r>
        <w:r w:rsidR="00AA17AB">
          <w:rPr>
            <w:webHidden/>
          </w:rPr>
          <w:t>380</w:t>
        </w:r>
        <w:r>
          <w:rPr>
            <w:webHidden/>
          </w:rPr>
          <w:fldChar w:fldCharType="end"/>
        </w:r>
      </w:hyperlink>
    </w:p>
    <w:p w14:paraId="58A261A9" w14:textId="7330CC7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4" w:history="1">
        <w:r w:rsidRPr="00FC437C">
          <w:rPr>
            <w:rStyle w:val="Hyperlink"/>
          </w:rPr>
          <w:t>§315.</w:t>
        </w:r>
        <w:r>
          <w:rPr>
            <w:rFonts w:asciiTheme="minorHAnsi" w:eastAsiaTheme="minorEastAsia" w:hAnsiTheme="minorHAnsi" w:cstheme="minorBidi"/>
            <w:color w:val="auto"/>
            <w:kern w:val="2"/>
            <w:szCs w:val="24"/>
            <w14:ligatures w14:val="standardContextual"/>
          </w:rPr>
          <w:tab/>
        </w:r>
        <w:r w:rsidRPr="00FC437C">
          <w:rPr>
            <w:rStyle w:val="Hyperlink"/>
          </w:rPr>
          <w:t>Violations</w:t>
        </w:r>
        <w:r>
          <w:rPr>
            <w:webHidden/>
          </w:rPr>
          <w:tab/>
        </w:r>
        <w:r>
          <w:rPr>
            <w:webHidden/>
          </w:rPr>
          <w:fldChar w:fldCharType="begin"/>
        </w:r>
        <w:r>
          <w:rPr>
            <w:webHidden/>
          </w:rPr>
          <w:instrText xml:space="preserve"> PAGEREF _Toc224819414 \h </w:instrText>
        </w:r>
        <w:r>
          <w:rPr>
            <w:webHidden/>
          </w:rPr>
        </w:r>
        <w:r>
          <w:rPr>
            <w:webHidden/>
          </w:rPr>
          <w:fldChar w:fldCharType="separate"/>
        </w:r>
        <w:r w:rsidR="00AA17AB">
          <w:rPr>
            <w:webHidden/>
          </w:rPr>
          <w:t>380</w:t>
        </w:r>
        <w:r>
          <w:rPr>
            <w:webHidden/>
          </w:rPr>
          <w:fldChar w:fldCharType="end"/>
        </w:r>
      </w:hyperlink>
    </w:p>
    <w:p w14:paraId="688981D5" w14:textId="0FFB29C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5" w:history="1">
        <w:r w:rsidRPr="00FC437C">
          <w:rPr>
            <w:rStyle w:val="Hyperlink"/>
          </w:rPr>
          <w:t>§317.</w:t>
        </w:r>
        <w:r>
          <w:rPr>
            <w:rFonts w:asciiTheme="minorHAnsi" w:eastAsiaTheme="minorEastAsia" w:hAnsiTheme="minorHAnsi" w:cstheme="minorBidi"/>
            <w:color w:val="auto"/>
            <w:kern w:val="2"/>
            <w:szCs w:val="24"/>
            <w14:ligatures w14:val="standardContextual"/>
          </w:rPr>
          <w:tab/>
        </w:r>
        <w:r w:rsidRPr="00FC437C">
          <w:rPr>
            <w:rStyle w:val="Hyperlink"/>
          </w:rPr>
          <w:t>Disruptive Trade Practices</w:t>
        </w:r>
        <w:r>
          <w:rPr>
            <w:webHidden/>
          </w:rPr>
          <w:tab/>
        </w:r>
        <w:r>
          <w:rPr>
            <w:webHidden/>
          </w:rPr>
          <w:fldChar w:fldCharType="begin"/>
        </w:r>
        <w:r>
          <w:rPr>
            <w:webHidden/>
          </w:rPr>
          <w:instrText xml:space="preserve"> PAGEREF _Toc224819415 \h </w:instrText>
        </w:r>
        <w:r>
          <w:rPr>
            <w:webHidden/>
          </w:rPr>
        </w:r>
        <w:r>
          <w:rPr>
            <w:webHidden/>
          </w:rPr>
          <w:fldChar w:fldCharType="separate"/>
        </w:r>
        <w:r w:rsidR="00AA17AB">
          <w:rPr>
            <w:webHidden/>
          </w:rPr>
          <w:t>380</w:t>
        </w:r>
        <w:r>
          <w:rPr>
            <w:webHidden/>
          </w:rPr>
          <w:fldChar w:fldCharType="end"/>
        </w:r>
      </w:hyperlink>
    </w:p>
    <w:p w14:paraId="7E46C8BA" w14:textId="5F3F3AC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6" w:history="1">
        <w:r w:rsidRPr="00FC437C">
          <w:rPr>
            <w:rStyle w:val="Hyperlink"/>
          </w:rPr>
          <w:t>§319.</w:t>
        </w:r>
        <w:r>
          <w:rPr>
            <w:rFonts w:asciiTheme="minorHAnsi" w:eastAsiaTheme="minorEastAsia" w:hAnsiTheme="minorHAnsi" w:cstheme="minorBidi"/>
            <w:color w:val="auto"/>
            <w:kern w:val="2"/>
            <w:szCs w:val="24"/>
            <w14:ligatures w14:val="standardContextual"/>
          </w:rPr>
          <w:tab/>
        </w:r>
        <w:r w:rsidRPr="00FC437C">
          <w:rPr>
            <w:rStyle w:val="Hyperlink"/>
          </w:rPr>
          <w:t>Mandatory Obligations of Licensees</w:t>
        </w:r>
        <w:r>
          <w:rPr>
            <w:webHidden/>
          </w:rPr>
          <w:tab/>
        </w:r>
        <w:r>
          <w:rPr>
            <w:webHidden/>
          </w:rPr>
          <w:fldChar w:fldCharType="begin"/>
        </w:r>
        <w:r>
          <w:rPr>
            <w:webHidden/>
          </w:rPr>
          <w:instrText xml:space="preserve"> PAGEREF _Toc224819416 \h </w:instrText>
        </w:r>
        <w:r>
          <w:rPr>
            <w:webHidden/>
          </w:rPr>
        </w:r>
        <w:r>
          <w:rPr>
            <w:webHidden/>
          </w:rPr>
          <w:fldChar w:fldCharType="separate"/>
        </w:r>
        <w:r w:rsidR="00AA17AB">
          <w:rPr>
            <w:webHidden/>
          </w:rPr>
          <w:t>382</w:t>
        </w:r>
        <w:r>
          <w:rPr>
            <w:webHidden/>
          </w:rPr>
          <w:fldChar w:fldCharType="end"/>
        </w:r>
      </w:hyperlink>
    </w:p>
    <w:p w14:paraId="7C8F8D8A" w14:textId="06698B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7" w:history="1">
        <w:r w:rsidRPr="00FC437C">
          <w:rPr>
            <w:rStyle w:val="Hyperlink"/>
          </w:rPr>
          <w:t>§321.</w:t>
        </w:r>
        <w:r>
          <w:rPr>
            <w:rFonts w:asciiTheme="minorHAnsi" w:eastAsiaTheme="minorEastAsia" w:hAnsiTheme="minorHAnsi" w:cstheme="minorBidi"/>
            <w:color w:val="auto"/>
            <w:kern w:val="2"/>
            <w:szCs w:val="24"/>
            <w14:ligatures w14:val="standardContextual"/>
          </w:rPr>
          <w:tab/>
        </w:r>
        <w:r w:rsidRPr="00FC437C">
          <w:rPr>
            <w:rStyle w:val="Hyperlink"/>
          </w:rPr>
          <w:t>Trade Practices Declared Not Disruptive</w:t>
        </w:r>
        <w:r>
          <w:rPr>
            <w:webHidden/>
          </w:rPr>
          <w:tab/>
        </w:r>
        <w:r>
          <w:rPr>
            <w:webHidden/>
          </w:rPr>
          <w:fldChar w:fldCharType="begin"/>
        </w:r>
        <w:r>
          <w:rPr>
            <w:webHidden/>
          </w:rPr>
          <w:instrText xml:space="preserve"> PAGEREF _Toc224819417 \h </w:instrText>
        </w:r>
        <w:r>
          <w:rPr>
            <w:webHidden/>
          </w:rPr>
        </w:r>
        <w:r>
          <w:rPr>
            <w:webHidden/>
          </w:rPr>
          <w:fldChar w:fldCharType="separate"/>
        </w:r>
        <w:r w:rsidR="00AA17AB">
          <w:rPr>
            <w:webHidden/>
          </w:rPr>
          <w:t>382</w:t>
        </w:r>
        <w:r>
          <w:rPr>
            <w:webHidden/>
          </w:rPr>
          <w:fldChar w:fldCharType="end"/>
        </w:r>
      </w:hyperlink>
    </w:p>
    <w:p w14:paraId="2A35DEA5" w14:textId="35A3B53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8" w:history="1">
        <w:r w:rsidRPr="00FC437C">
          <w:rPr>
            <w:rStyle w:val="Hyperlink"/>
          </w:rPr>
          <w:t>§323.</w:t>
        </w:r>
        <w:r>
          <w:rPr>
            <w:rFonts w:asciiTheme="minorHAnsi" w:eastAsiaTheme="minorEastAsia" w:hAnsiTheme="minorHAnsi" w:cstheme="minorBidi"/>
            <w:color w:val="auto"/>
            <w:kern w:val="2"/>
            <w:szCs w:val="24"/>
            <w14:ligatures w14:val="standardContextual"/>
          </w:rPr>
          <w:tab/>
        </w:r>
        <w:r w:rsidRPr="00FC437C">
          <w:rPr>
            <w:rStyle w:val="Hyperlink"/>
          </w:rPr>
          <w:t>Burdens and Presumptions</w:t>
        </w:r>
        <w:r>
          <w:rPr>
            <w:webHidden/>
          </w:rPr>
          <w:tab/>
        </w:r>
        <w:r>
          <w:rPr>
            <w:webHidden/>
          </w:rPr>
          <w:fldChar w:fldCharType="begin"/>
        </w:r>
        <w:r>
          <w:rPr>
            <w:webHidden/>
          </w:rPr>
          <w:instrText xml:space="preserve"> PAGEREF _Toc224819418 \h </w:instrText>
        </w:r>
        <w:r>
          <w:rPr>
            <w:webHidden/>
          </w:rPr>
        </w:r>
        <w:r>
          <w:rPr>
            <w:webHidden/>
          </w:rPr>
          <w:fldChar w:fldCharType="separate"/>
        </w:r>
        <w:r w:rsidR="00AA17AB">
          <w:rPr>
            <w:webHidden/>
          </w:rPr>
          <w:t>383</w:t>
        </w:r>
        <w:r>
          <w:rPr>
            <w:webHidden/>
          </w:rPr>
          <w:fldChar w:fldCharType="end"/>
        </w:r>
      </w:hyperlink>
    </w:p>
    <w:p w14:paraId="6FAB2EFD" w14:textId="7A54FC6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19" w:history="1">
        <w:r w:rsidRPr="00FC437C">
          <w:rPr>
            <w:rStyle w:val="Hyperlink"/>
          </w:rPr>
          <w:t>§325.</w:t>
        </w:r>
        <w:r>
          <w:rPr>
            <w:rFonts w:asciiTheme="minorHAnsi" w:eastAsiaTheme="minorEastAsia" w:hAnsiTheme="minorHAnsi" w:cstheme="minorBidi"/>
            <w:color w:val="auto"/>
            <w:kern w:val="2"/>
            <w:szCs w:val="24"/>
            <w14:ligatures w14:val="standardContextual"/>
          </w:rPr>
          <w:tab/>
        </w:r>
        <w:r w:rsidRPr="00FC437C">
          <w:rPr>
            <w:rStyle w:val="Hyperlink"/>
          </w:rPr>
          <w:t xml:space="preserve">Cease and Desist Order; Suspension/Revocation of License; Hearing Required; Penalties; </w:t>
        </w:r>
        <w:r w:rsidR="00ED0600">
          <w:rPr>
            <w:rStyle w:val="Hyperlink"/>
          </w:rPr>
          <w:tab/>
        </w:r>
        <w:r w:rsidRPr="00FC437C">
          <w:rPr>
            <w:rStyle w:val="Hyperlink"/>
          </w:rPr>
          <w:t>Amount; Stipulated Resolutions; Service</w:t>
        </w:r>
        <w:r>
          <w:rPr>
            <w:webHidden/>
          </w:rPr>
          <w:tab/>
        </w:r>
        <w:r>
          <w:rPr>
            <w:webHidden/>
          </w:rPr>
          <w:fldChar w:fldCharType="begin"/>
        </w:r>
        <w:r>
          <w:rPr>
            <w:webHidden/>
          </w:rPr>
          <w:instrText xml:space="preserve"> PAGEREF _Toc224819419 \h </w:instrText>
        </w:r>
        <w:r>
          <w:rPr>
            <w:webHidden/>
          </w:rPr>
        </w:r>
        <w:r>
          <w:rPr>
            <w:webHidden/>
          </w:rPr>
          <w:fldChar w:fldCharType="separate"/>
        </w:r>
        <w:r w:rsidR="00AA17AB">
          <w:rPr>
            <w:webHidden/>
          </w:rPr>
          <w:t>383</w:t>
        </w:r>
        <w:r>
          <w:rPr>
            <w:webHidden/>
          </w:rPr>
          <w:fldChar w:fldCharType="end"/>
        </w:r>
      </w:hyperlink>
    </w:p>
    <w:p w14:paraId="153691F4" w14:textId="172738A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0" w:history="1">
        <w:r w:rsidRPr="00FC437C">
          <w:rPr>
            <w:rStyle w:val="Hyperlink"/>
          </w:rPr>
          <w:t>§327.</w:t>
        </w:r>
        <w:r>
          <w:rPr>
            <w:rFonts w:asciiTheme="minorHAnsi" w:eastAsiaTheme="minorEastAsia" w:hAnsiTheme="minorHAnsi" w:cstheme="minorBidi"/>
            <w:color w:val="auto"/>
            <w:kern w:val="2"/>
            <w:szCs w:val="24"/>
            <w14:ligatures w14:val="standardContextual"/>
          </w:rPr>
          <w:tab/>
        </w:r>
        <w:r w:rsidRPr="00FC437C">
          <w:rPr>
            <w:rStyle w:val="Hyperlink"/>
          </w:rPr>
          <w:t>Confidentiality</w:t>
        </w:r>
        <w:r>
          <w:rPr>
            <w:webHidden/>
          </w:rPr>
          <w:tab/>
        </w:r>
        <w:r>
          <w:rPr>
            <w:webHidden/>
          </w:rPr>
          <w:fldChar w:fldCharType="begin"/>
        </w:r>
        <w:r>
          <w:rPr>
            <w:webHidden/>
          </w:rPr>
          <w:instrText xml:space="preserve"> PAGEREF _Toc224819420 \h </w:instrText>
        </w:r>
        <w:r>
          <w:rPr>
            <w:webHidden/>
          </w:rPr>
        </w:r>
        <w:r>
          <w:rPr>
            <w:webHidden/>
          </w:rPr>
          <w:fldChar w:fldCharType="separate"/>
        </w:r>
        <w:r w:rsidR="00AA17AB">
          <w:rPr>
            <w:webHidden/>
          </w:rPr>
          <w:t>384</w:t>
        </w:r>
        <w:r>
          <w:rPr>
            <w:webHidden/>
          </w:rPr>
          <w:fldChar w:fldCharType="end"/>
        </w:r>
      </w:hyperlink>
    </w:p>
    <w:p w14:paraId="698A02CC" w14:textId="6F9090D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1" w:history="1">
        <w:r w:rsidRPr="00FC437C">
          <w:rPr>
            <w:rStyle w:val="Hyperlink"/>
          </w:rPr>
          <w:t>§329.</w:t>
        </w:r>
        <w:r>
          <w:rPr>
            <w:rFonts w:asciiTheme="minorHAnsi" w:eastAsiaTheme="minorEastAsia" w:hAnsiTheme="minorHAnsi" w:cstheme="minorBidi"/>
            <w:color w:val="auto"/>
            <w:kern w:val="2"/>
            <w:szCs w:val="24"/>
            <w14:ligatures w14:val="standardContextual"/>
          </w:rPr>
          <w:tab/>
        </w:r>
        <w:r w:rsidRPr="00FC437C">
          <w:rPr>
            <w:rStyle w:val="Hyperlink"/>
          </w:rPr>
          <w:t>Delegation of Authority and Duties</w:t>
        </w:r>
        <w:r>
          <w:rPr>
            <w:webHidden/>
          </w:rPr>
          <w:tab/>
        </w:r>
        <w:r>
          <w:rPr>
            <w:webHidden/>
          </w:rPr>
          <w:fldChar w:fldCharType="begin"/>
        </w:r>
        <w:r>
          <w:rPr>
            <w:webHidden/>
          </w:rPr>
          <w:instrText xml:space="preserve"> PAGEREF _Toc224819421 \h </w:instrText>
        </w:r>
        <w:r>
          <w:rPr>
            <w:webHidden/>
          </w:rPr>
        </w:r>
        <w:r>
          <w:rPr>
            <w:webHidden/>
          </w:rPr>
          <w:fldChar w:fldCharType="separate"/>
        </w:r>
        <w:r w:rsidR="00AA17AB">
          <w:rPr>
            <w:webHidden/>
          </w:rPr>
          <w:t>384</w:t>
        </w:r>
        <w:r>
          <w:rPr>
            <w:webHidden/>
          </w:rPr>
          <w:fldChar w:fldCharType="end"/>
        </w:r>
      </w:hyperlink>
    </w:p>
    <w:p w14:paraId="6E9A3F0C" w14:textId="75E8D660" w:rsidR="00E67799" w:rsidRDefault="00E67799">
      <w:pPr>
        <w:pStyle w:val="TOC2"/>
        <w:rPr>
          <w:rFonts w:asciiTheme="minorHAnsi" w:eastAsiaTheme="minorEastAsia" w:hAnsiTheme="minorHAnsi" w:cstheme="minorBidi"/>
          <w:kern w:val="2"/>
          <w:szCs w:val="24"/>
          <w14:ligatures w14:val="standardContextual"/>
        </w:rPr>
      </w:pPr>
      <w:hyperlink w:anchor="_Toc224819422"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Tax Credit for Certain Milk Producers</w:t>
        </w:r>
        <w:r>
          <w:rPr>
            <w:webHidden/>
          </w:rPr>
          <w:tab/>
        </w:r>
        <w:r>
          <w:rPr>
            <w:webHidden/>
          </w:rPr>
          <w:fldChar w:fldCharType="begin"/>
        </w:r>
        <w:r>
          <w:rPr>
            <w:webHidden/>
          </w:rPr>
          <w:instrText xml:space="preserve"> PAGEREF _Toc224819422 \h </w:instrText>
        </w:r>
        <w:r>
          <w:rPr>
            <w:webHidden/>
          </w:rPr>
        </w:r>
        <w:r>
          <w:rPr>
            <w:webHidden/>
          </w:rPr>
          <w:fldChar w:fldCharType="separate"/>
        </w:r>
        <w:r w:rsidR="00AA17AB">
          <w:rPr>
            <w:webHidden/>
          </w:rPr>
          <w:t>384</w:t>
        </w:r>
        <w:r>
          <w:rPr>
            <w:webHidden/>
          </w:rPr>
          <w:fldChar w:fldCharType="end"/>
        </w:r>
      </w:hyperlink>
    </w:p>
    <w:p w14:paraId="2E71A1A0" w14:textId="250A960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3"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Purpose and Effective Date</w:t>
        </w:r>
        <w:r>
          <w:rPr>
            <w:webHidden/>
          </w:rPr>
          <w:tab/>
        </w:r>
        <w:r>
          <w:rPr>
            <w:webHidden/>
          </w:rPr>
          <w:fldChar w:fldCharType="begin"/>
        </w:r>
        <w:r>
          <w:rPr>
            <w:webHidden/>
          </w:rPr>
          <w:instrText xml:space="preserve"> PAGEREF _Toc224819423 \h </w:instrText>
        </w:r>
        <w:r>
          <w:rPr>
            <w:webHidden/>
          </w:rPr>
        </w:r>
        <w:r>
          <w:rPr>
            <w:webHidden/>
          </w:rPr>
          <w:fldChar w:fldCharType="separate"/>
        </w:r>
        <w:r w:rsidR="00AA17AB">
          <w:rPr>
            <w:webHidden/>
          </w:rPr>
          <w:t>384</w:t>
        </w:r>
        <w:r>
          <w:rPr>
            <w:webHidden/>
          </w:rPr>
          <w:fldChar w:fldCharType="end"/>
        </w:r>
      </w:hyperlink>
    </w:p>
    <w:p w14:paraId="5852511D" w14:textId="6F3A919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4"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_Toc224819424 \h </w:instrText>
        </w:r>
        <w:r>
          <w:rPr>
            <w:webHidden/>
          </w:rPr>
        </w:r>
        <w:r>
          <w:rPr>
            <w:webHidden/>
          </w:rPr>
          <w:fldChar w:fldCharType="separate"/>
        </w:r>
        <w:r w:rsidR="00AA17AB">
          <w:rPr>
            <w:webHidden/>
          </w:rPr>
          <w:t>384</w:t>
        </w:r>
        <w:r>
          <w:rPr>
            <w:webHidden/>
          </w:rPr>
          <w:fldChar w:fldCharType="end"/>
        </w:r>
      </w:hyperlink>
    </w:p>
    <w:p w14:paraId="68FEA524" w14:textId="26B9AF6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5"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Cooperative Endeavor Agreements</w:t>
        </w:r>
        <w:r>
          <w:rPr>
            <w:webHidden/>
          </w:rPr>
          <w:tab/>
        </w:r>
        <w:r>
          <w:rPr>
            <w:webHidden/>
          </w:rPr>
          <w:fldChar w:fldCharType="begin"/>
        </w:r>
        <w:r>
          <w:rPr>
            <w:webHidden/>
          </w:rPr>
          <w:instrText xml:space="preserve"> PAGEREF _Toc224819425 \h </w:instrText>
        </w:r>
        <w:r>
          <w:rPr>
            <w:webHidden/>
          </w:rPr>
        </w:r>
        <w:r>
          <w:rPr>
            <w:webHidden/>
          </w:rPr>
          <w:fldChar w:fldCharType="separate"/>
        </w:r>
        <w:r w:rsidR="00AA17AB">
          <w:rPr>
            <w:webHidden/>
          </w:rPr>
          <w:t>385</w:t>
        </w:r>
        <w:r>
          <w:rPr>
            <w:webHidden/>
          </w:rPr>
          <w:fldChar w:fldCharType="end"/>
        </w:r>
      </w:hyperlink>
    </w:p>
    <w:p w14:paraId="0C124D98" w14:textId="53932F3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6"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Responsibilities of Milk Producers and Milk Handlers</w:t>
        </w:r>
        <w:r>
          <w:rPr>
            <w:webHidden/>
          </w:rPr>
          <w:tab/>
        </w:r>
        <w:r>
          <w:rPr>
            <w:webHidden/>
          </w:rPr>
          <w:fldChar w:fldCharType="begin"/>
        </w:r>
        <w:r>
          <w:rPr>
            <w:webHidden/>
          </w:rPr>
          <w:instrText xml:space="preserve"> PAGEREF _Toc224819426 \h </w:instrText>
        </w:r>
        <w:r>
          <w:rPr>
            <w:webHidden/>
          </w:rPr>
        </w:r>
        <w:r>
          <w:rPr>
            <w:webHidden/>
          </w:rPr>
          <w:fldChar w:fldCharType="separate"/>
        </w:r>
        <w:r w:rsidR="00AA17AB">
          <w:rPr>
            <w:webHidden/>
          </w:rPr>
          <w:t>385</w:t>
        </w:r>
        <w:r>
          <w:rPr>
            <w:webHidden/>
          </w:rPr>
          <w:fldChar w:fldCharType="end"/>
        </w:r>
      </w:hyperlink>
    </w:p>
    <w:p w14:paraId="353768D5" w14:textId="5A7CFB8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7"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Forms; Distribution</w:t>
        </w:r>
        <w:r>
          <w:rPr>
            <w:webHidden/>
          </w:rPr>
          <w:tab/>
        </w:r>
        <w:r>
          <w:rPr>
            <w:webHidden/>
          </w:rPr>
          <w:fldChar w:fldCharType="begin"/>
        </w:r>
        <w:r>
          <w:rPr>
            <w:webHidden/>
          </w:rPr>
          <w:instrText xml:space="preserve"> PAGEREF _Toc224819427 \h </w:instrText>
        </w:r>
        <w:r>
          <w:rPr>
            <w:webHidden/>
          </w:rPr>
        </w:r>
        <w:r>
          <w:rPr>
            <w:webHidden/>
          </w:rPr>
          <w:fldChar w:fldCharType="separate"/>
        </w:r>
        <w:r w:rsidR="00AA17AB">
          <w:rPr>
            <w:webHidden/>
          </w:rPr>
          <w:t>385</w:t>
        </w:r>
        <w:r>
          <w:rPr>
            <w:webHidden/>
          </w:rPr>
          <w:fldChar w:fldCharType="end"/>
        </w:r>
      </w:hyperlink>
    </w:p>
    <w:p w14:paraId="29BD7817" w14:textId="77E84C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28"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Determination of the Announced Production Price</w:t>
        </w:r>
        <w:r>
          <w:rPr>
            <w:webHidden/>
          </w:rPr>
          <w:tab/>
        </w:r>
        <w:r>
          <w:rPr>
            <w:webHidden/>
          </w:rPr>
          <w:fldChar w:fldCharType="begin"/>
        </w:r>
        <w:r>
          <w:rPr>
            <w:webHidden/>
          </w:rPr>
          <w:instrText xml:space="preserve"> PAGEREF _Toc224819428 \h </w:instrText>
        </w:r>
        <w:r>
          <w:rPr>
            <w:webHidden/>
          </w:rPr>
        </w:r>
        <w:r>
          <w:rPr>
            <w:webHidden/>
          </w:rPr>
          <w:fldChar w:fldCharType="separate"/>
        </w:r>
        <w:r w:rsidR="00AA17AB">
          <w:rPr>
            <w:webHidden/>
          </w:rPr>
          <w:t>386</w:t>
        </w:r>
        <w:r>
          <w:rPr>
            <w:webHidden/>
          </w:rPr>
          <w:fldChar w:fldCharType="end"/>
        </w:r>
      </w:hyperlink>
    </w:p>
    <w:p w14:paraId="64B4D37C" w14:textId="318B58BB"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29"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Determination of Tax Credit for Individual Producers and Eligible Quarters</w:t>
        </w:r>
        <w:r>
          <w:rPr>
            <w:webHidden/>
          </w:rPr>
          <w:tab/>
        </w:r>
        <w:r>
          <w:rPr>
            <w:webHidden/>
          </w:rPr>
          <w:fldChar w:fldCharType="begin"/>
        </w:r>
        <w:r>
          <w:rPr>
            <w:webHidden/>
          </w:rPr>
          <w:instrText xml:space="preserve"> PAGEREF _Toc224819429 \h </w:instrText>
        </w:r>
        <w:r>
          <w:rPr>
            <w:webHidden/>
          </w:rPr>
        </w:r>
        <w:r>
          <w:rPr>
            <w:webHidden/>
          </w:rPr>
          <w:fldChar w:fldCharType="separate"/>
        </w:r>
        <w:r w:rsidR="00AA17AB">
          <w:rPr>
            <w:webHidden/>
          </w:rPr>
          <w:t>386</w:t>
        </w:r>
        <w:r>
          <w:rPr>
            <w:webHidden/>
          </w:rPr>
          <w:fldChar w:fldCharType="end"/>
        </w:r>
      </w:hyperlink>
    </w:p>
    <w:p w14:paraId="082220AE" w14:textId="79832CD4"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30" w:history="1">
        <w:r w:rsidRPr="00FC437C">
          <w:rPr>
            <w:rStyle w:val="Hyperlink"/>
          </w:rPr>
          <w:t>§515.</w:t>
        </w:r>
        <w:r>
          <w:rPr>
            <w:rFonts w:asciiTheme="minorHAnsi" w:eastAsiaTheme="minorEastAsia" w:hAnsiTheme="minorHAnsi" w:cstheme="minorBidi"/>
            <w:color w:val="auto"/>
            <w:kern w:val="2"/>
            <w:szCs w:val="24"/>
            <w14:ligatures w14:val="standardContextual"/>
          </w:rPr>
          <w:tab/>
        </w:r>
        <w:r w:rsidRPr="00FC437C">
          <w:rPr>
            <w:rStyle w:val="Hyperlink"/>
          </w:rPr>
          <w:t>Payment of Tax Credit</w:t>
        </w:r>
        <w:r>
          <w:rPr>
            <w:webHidden/>
          </w:rPr>
          <w:tab/>
        </w:r>
        <w:r>
          <w:rPr>
            <w:webHidden/>
          </w:rPr>
          <w:fldChar w:fldCharType="begin"/>
        </w:r>
        <w:r>
          <w:rPr>
            <w:webHidden/>
          </w:rPr>
          <w:instrText xml:space="preserve"> PAGEREF _Toc224819430 \h </w:instrText>
        </w:r>
        <w:r>
          <w:rPr>
            <w:webHidden/>
          </w:rPr>
        </w:r>
        <w:r>
          <w:rPr>
            <w:webHidden/>
          </w:rPr>
          <w:fldChar w:fldCharType="separate"/>
        </w:r>
        <w:r w:rsidR="00AA17AB">
          <w:rPr>
            <w:webHidden/>
          </w:rPr>
          <w:t>386</w:t>
        </w:r>
        <w:r>
          <w:rPr>
            <w:webHidden/>
          </w:rPr>
          <w:fldChar w:fldCharType="end"/>
        </w:r>
      </w:hyperlink>
    </w:p>
    <w:p w14:paraId="204C6484" w14:textId="3449A4EC"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31" w:history="1">
        <w:r w:rsidRPr="00FC437C">
          <w:rPr>
            <w:rStyle w:val="Hyperlink"/>
          </w:rPr>
          <w:t>§517.</w:t>
        </w:r>
        <w:r>
          <w:rPr>
            <w:rFonts w:asciiTheme="minorHAnsi" w:eastAsiaTheme="minorEastAsia" w:hAnsiTheme="minorHAnsi" w:cstheme="minorBidi"/>
            <w:color w:val="auto"/>
            <w:kern w:val="2"/>
            <w:szCs w:val="24"/>
            <w14:ligatures w14:val="standardContextual"/>
          </w:rPr>
          <w:tab/>
        </w:r>
        <w:r w:rsidRPr="00FC437C">
          <w:rPr>
            <w:rStyle w:val="Hyperlink"/>
          </w:rPr>
          <w:t>Certification of Non-Pooled Milk</w:t>
        </w:r>
        <w:r>
          <w:rPr>
            <w:webHidden/>
          </w:rPr>
          <w:tab/>
        </w:r>
        <w:r>
          <w:rPr>
            <w:webHidden/>
          </w:rPr>
          <w:fldChar w:fldCharType="begin"/>
        </w:r>
        <w:r>
          <w:rPr>
            <w:webHidden/>
          </w:rPr>
          <w:instrText xml:space="preserve"> PAGEREF _Toc224819431 \h </w:instrText>
        </w:r>
        <w:r>
          <w:rPr>
            <w:webHidden/>
          </w:rPr>
        </w:r>
        <w:r>
          <w:rPr>
            <w:webHidden/>
          </w:rPr>
          <w:fldChar w:fldCharType="separate"/>
        </w:r>
        <w:r w:rsidR="00AA17AB">
          <w:rPr>
            <w:webHidden/>
          </w:rPr>
          <w:t>387</w:t>
        </w:r>
        <w:r>
          <w:rPr>
            <w:webHidden/>
          </w:rPr>
          <w:fldChar w:fldCharType="end"/>
        </w:r>
      </w:hyperlink>
    </w:p>
    <w:p w14:paraId="2DB8E35C" w14:textId="6791E7CB"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32" w:history="1">
        <w:r w:rsidRPr="00FC437C">
          <w:rPr>
            <w:rStyle w:val="Hyperlink"/>
          </w:rPr>
          <w:t>§519.</w:t>
        </w:r>
        <w:r>
          <w:rPr>
            <w:rFonts w:asciiTheme="minorHAnsi" w:eastAsiaTheme="minorEastAsia" w:hAnsiTheme="minorHAnsi" w:cstheme="minorBidi"/>
            <w:color w:val="auto"/>
            <w:kern w:val="2"/>
            <w:szCs w:val="24"/>
            <w14:ligatures w14:val="standardContextual"/>
          </w:rPr>
          <w:tab/>
        </w:r>
        <w:r w:rsidRPr="00FC437C">
          <w:rPr>
            <w:rStyle w:val="Hyperlink"/>
          </w:rPr>
          <w:t>Notices</w:t>
        </w:r>
        <w:r>
          <w:rPr>
            <w:webHidden/>
          </w:rPr>
          <w:tab/>
        </w:r>
        <w:r>
          <w:rPr>
            <w:webHidden/>
          </w:rPr>
          <w:fldChar w:fldCharType="begin"/>
        </w:r>
        <w:r>
          <w:rPr>
            <w:webHidden/>
          </w:rPr>
          <w:instrText xml:space="preserve"> PAGEREF _Toc224819432 \h </w:instrText>
        </w:r>
        <w:r>
          <w:rPr>
            <w:webHidden/>
          </w:rPr>
        </w:r>
        <w:r>
          <w:rPr>
            <w:webHidden/>
          </w:rPr>
          <w:fldChar w:fldCharType="separate"/>
        </w:r>
        <w:r w:rsidR="00AA17AB">
          <w:rPr>
            <w:webHidden/>
          </w:rPr>
          <w:t>387</w:t>
        </w:r>
        <w:r>
          <w:rPr>
            <w:webHidden/>
          </w:rPr>
          <w:fldChar w:fldCharType="end"/>
        </w:r>
      </w:hyperlink>
    </w:p>
    <w:p w14:paraId="28F71E3C" w14:textId="4BCD72A6"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33"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Disputes Regarding Milk Producer Tax Credit Qualifications</w:t>
        </w:r>
        <w:r>
          <w:rPr>
            <w:webHidden/>
          </w:rPr>
          <w:tab/>
        </w:r>
        <w:r>
          <w:rPr>
            <w:webHidden/>
          </w:rPr>
          <w:fldChar w:fldCharType="begin"/>
        </w:r>
        <w:r>
          <w:rPr>
            <w:webHidden/>
          </w:rPr>
          <w:instrText xml:space="preserve"> PAGEREF _Toc224819433 \h </w:instrText>
        </w:r>
        <w:r>
          <w:rPr>
            <w:webHidden/>
          </w:rPr>
        </w:r>
        <w:r>
          <w:rPr>
            <w:webHidden/>
          </w:rPr>
          <w:fldChar w:fldCharType="separate"/>
        </w:r>
        <w:r w:rsidR="00AA17AB">
          <w:rPr>
            <w:webHidden/>
          </w:rPr>
          <w:t>387</w:t>
        </w:r>
        <w:r>
          <w:rPr>
            <w:webHidden/>
          </w:rPr>
          <w:fldChar w:fldCharType="end"/>
        </w:r>
      </w:hyperlink>
    </w:p>
    <w:p w14:paraId="2B4FA729" w14:textId="53C3EF9E"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434" w:history="1">
        <w:r w:rsidRPr="00FC437C">
          <w:rPr>
            <w:rStyle w:val="Hyperlink"/>
          </w:rPr>
          <w:t>§523.</w:t>
        </w:r>
        <w:r>
          <w:rPr>
            <w:rFonts w:asciiTheme="minorHAnsi" w:eastAsiaTheme="minorEastAsia" w:hAnsiTheme="minorHAnsi" w:cstheme="minorBidi"/>
            <w:color w:val="auto"/>
            <w:kern w:val="2"/>
            <w:szCs w:val="24"/>
            <w14:ligatures w14:val="standardContextual"/>
          </w:rPr>
          <w:tab/>
        </w:r>
        <w:r w:rsidRPr="00FC437C">
          <w:rPr>
            <w:rStyle w:val="Hyperlink"/>
          </w:rPr>
          <w:t>Confidentiality of Records; Maintenance of Records</w:t>
        </w:r>
        <w:r>
          <w:rPr>
            <w:webHidden/>
          </w:rPr>
          <w:tab/>
        </w:r>
        <w:r>
          <w:rPr>
            <w:webHidden/>
          </w:rPr>
          <w:fldChar w:fldCharType="begin"/>
        </w:r>
        <w:r>
          <w:rPr>
            <w:webHidden/>
          </w:rPr>
          <w:instrText xml:space="preserve"> PAGEREF _Toc224819434 \h </w:instrText>
        </w:r>
        <w:r>
          <w:rPr>
            <w:webHidden/>
          </w:rPr>
        </w:r>
        <w:r>
          <w:rPr>
            <w:webHidden/>
          </w:rPr>
          <w:fldChar w:fldCharType="separate"/>
        </w:r>
        <w:r w:rsidR="00AA17AB">
          <w:rPr>
            <w:webHidden/>
          </w:rPr>
          <w:t>387</w:t>
        </w:r>
        <w:r>
          <w:rPr>
            <w:webHidden/>
          </w:rPr>
          <w:fldChar w:fldCharType="end"/>
        </w:r>
      </w:hyperlink>
    </w:p>
    <w:p w14:paraId="29CC8EB0" w14:textId="6F1FD07F" w:rsidR="00E67799" w:rsidRDefault="00E67799">
      <w:pPr>
        <w:pStyle w:val="TOC1"/>
        <w:rPr>
          <w:rFonts w:asciiTheme="minorHAnsi" w:hAnsiTheme="minorHAnsi" w:cstheme="minorBidi"/>
          <w:b w:val="0"/>
          <w:bCs w:val="0"/>
          <w:sz w:val="24"/>
          <w:szCs w:val="24"/>
        </w:rPr>
      </w:pPr>
      <w:hyperlink w:anchor="_Toc224819435" w:history="1">
        <w:r w:rsidRPr="00FC437C">
          <w:rPr>
            <w:rStyle w:val="Hyperlink"/>
          </w:rPr>
          <w:t>Part XXXIII.  Meat and Poultry Inspections</w:t>
        </w:r>
      </w:hyperlink>
    </w:p>
    <w:p w14:paraId="278AB1A8" w14:textId="21A2FCD7" w:rsidR="00E67799" w:rsidRDefault="00E67799">
      <w:pPr>
        <w:pStyle w:val="TOC2"/>
        <w:rPr>
          <w:rFonts w:asciiTheme="minorHAnsi" w:eastAsiaTheme="minorEastAsia" w:hAnsiTheme="minorHAnsi" w:cstheme="minorBidi"/>
          <w:kern w:val="2"/>
          <w:szCs w:val="24"/>
          <w14:ligatures w14:val="standardContextual"/>
        </w:rPr>
      </w:pPr>
      <w:hyperlink w:anchor="_Toc224819436"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Meat and Poultry Inspection Program</w:t>
        </w:r>
        <w:r>
          <w:rPr>
            <w:webHidden/>
          </w:rPr>
          <w:tab/>
        </w:r>
        <w:r>
          <w:rPr>
            <w:webHidden/>
          </w:rPr>
          <w:fldChar w:fldCharType="begin"/>
        </w:r>
        <w:r>
          <w:rPr>
            <w:webHidden/>
          </w:rPr>
          <w:instrText xml:space="preserve"> PAGEREF _Toc224819436 \h </w:instrText>
        </w:r>
        <w:r>
          <w:rPr>
            <w:webHidden/>
          </w:rPr>
        </w:r>
        <w:r>
          <w:rPr>
            <w:webHidden/>
          </w:rPr>
          <w:fldChar w:fldCharType="separate"/>
        </w:r>
        <w:r w:rsidR="00AA17AB">
          <w:rPr>
            <w:webHidden/>
          </w:rPr>
          <w:t>389</w:t>
        </w:r>
        <w:r>
          <w:rPr>
            <w:webHidden/>
          </w:rPr>
          <w:fldChar w:fldCharType="end"/>
        </w:r>
      </w:hyperlink>
    </w:p>
    <w:p w14:paraId="0ECE4AF5" w14:textId="6B48480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37"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Applicability of Federal Laws and Regulations</w:t>
        </w:r>
        <w:r>
          <w:rPr>
            <w:webHidden/>
          </w:rPr>
          <w:tab/>
        </w:r>
        <w:r>
          <w:rPr>
            <w:webHidden/>
          </w:rPr>
          <w:fldChar w:fldCharType="begin"/>
        </w:r>
        <w:r>
          <w:rPr>
            <w:webHidden/>
          </w:rPr>
          <w:instrText xml:space="preserve"> PAGEREF _Toc224819437 \h </w:instrText>
        </w:r>
        <w:r>
          <w:rPr>
            <w:webHidden/>
          </w:rPr>
        </w:r>
        <w:r>
          <w:rPr>
            <w:webHidden/>
          </w:rPr>
          <w:fldChar w:fldCharType="separate"/>
        </w:r>
        <w:r w:rsidR="00AA17AB">
          <w:rPr>
            <w:webHidden/>
          </w:rPr>
          <w:t>389</w:t>
        </w:r>
        <w:r>
          <w:rPr>
            <w:webHidden/>
          </w:rPr>
          <w:fldChar w:fldCharType="end"/>
        </w:r>
      </w:hyperlink>
    </w:p>
    <w:p w14:paraId="1B1E5313" w14:textId="4F3A828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38"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_Toc224819438 \h </w:instrText>
        </w:r>
        <w:r>
          <w:rPr>
            <w:webHidden/>
          </w:rPr>
        </w:r>
        <w:r>
          <w:rPr>
            <w:webHidden/>
          </w:rPr>
          <w:fldChar w:fldCharType="separate"/>
        </w:r>
        <w:r w:rsidR="00AA17AB">
          <w:rPr>
            <w:webHidden/>
          </w:rPr>
          <w:t>389</w:t>
        </w:r>
        <w:r>
          <w:rPr>
            <w:webHidden/>
          </w:rPr>
          <w:fldChar w:fldCharType="end"/>
        </w:r>
      </w:hyperlink>
    </w:p>
    <w:p w14:paraId="7565D0F9" w14:textId="4040D1E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39"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Persons Required to Register</w:t>
        </w:r>
        <w:r>
          <w:rPr>
            <w:webHidden/>
          </w:rPr>
          <w:tab/>
        </w:r>
        <w:r>
          <w:rPr>
            <w:webHidden/>
          </w:rPr>
          <w:fldChar w:fldCharType="begin"/>
        </w:r>
        <w:r>
          <w:rPr>
            <w:webHidden/>
          </w:rPr>
          <w:instrText xml:space="preserve"> PAGEREF _Toc224819439 \h </w:instrText>
        </w:r>
        <w:r>
          <w:rPr>
            <w:webHidden/>
          </w:rPr>
        </w:r>
        <w:r>
          <w:rPr>
            <w:webHidden/>
          </w:rPr>
          <w:fldChar w:fldCharType="separate"/>
        </w:r>
        <w:r w:rsidR="00AA17AB">
          <w:rPr>
            <w:webHidden/>
          </w:rPr>
          <w:t>390</w:t>
        </w:r>
        <w:r>
          <w:rPr>
            <w:webHidden/>
          </w:rPr>
          <w:fldChar w:fldCharType="end"/>
        </w:r>
      </w:hyperlink>
    </w:p>
    <w:p w14:paraId="5E0ECED3" w14:textId="18D480E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0"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Licenses for Establishments Coming under Inspection</w:t>
        </w:r>
        <w:r>
          <w:rPr>
            <w:webHidden/>
          </w:rPr>
          <w:tab/>
        </w:r>
        <w:r>
          <w:rPr>
            <w:webHidden/>
          </w:rPr>
          <w:fldChar w:fldCharType="begin"/>
        </w:r>
        <w:r>
          <w:rPr>
            <w:webHidden/>
          </w:rPr>
          <w:instrText xml:space="preserve"> PAGEREF _Toc224819440 \h </w:instrText>
        </w:r>
        <w:r>
          <w:rPr>
            <w:webHidden/>
          </w:rPr>
        </w:r>
        <w:r>
          <w:rPr>
            <w:webHidden/>
          </w:rPr>
          <w:fldChar w:fldCharType="separate"/>
        </w:r>
        <w:r w:rsidR="00AA17AB">
          <w:rPr>
            <w:webHidden/>
          </w:rPr>
          <w:t>390</w:t>
        </w:r>
        <w:r>
          <w:rPr>
            <w:webHidden/>
          </w:rPr>
          <w:fldChar w:fldCharType="end"/>
        </w:r>
      </w:hyperlink>
    </w:p>
    <w:p w14:paraId="792163EB" w14:textId="3A0DD5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1"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Change of Ownership of Licensed Establishments</w:t>
        </w:r>
        <w:r>
          <w:rPr>
            <w:webHidden/>
          </w:rPr>
          <w:tab/>
        </w:r>
        <w:r>
          <w:rPr>
            <w:webHidden/>
          </w:rPr>
          <w:fldChar w:fldCharType="begin"/>
        </w:r>
        <w:r>
          <w:rPr>
            <w:webHidden/>
          </w:rPr>
          <w:instrText xml:space="preserve"> PAGEREF _Toc224819441 \h </w:instrText>
        </w:r>
        <w:r>
          <w:rPr>
            <w:webHidden/>
          </w:rPr>
        </w:r>
        <w:r>
          <w:rPr>
            <w:webHidden/>
          </w:rPr>
          <w:fldChar w:fldCharType="separate"/>
        </w:r>
        <w:r w:rsidR="00AA17AB">
          <w:rPr>
            <w:webHidden/>
          </w:rPr>
          <w:t>391</w:t>
        </w:r>
        <w:r>
          <w:rPr>
            <w:webHidden/>
          </w:rPr>
          <w:fldChar w:fldCharType="end"/>
        </w:r>
      </w:hyperlink>
    </w:p>
    <w:p w14:paraId="11032476" w14:textId="53B30D2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2"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Exemption</w:t>
        </w:r>
        <w:r>
          <w:rPr>
            <w:webHidden/>
          </w:rPr>
          <w:tab/>
        </w:r>
        <w:r>
          <w:rPr>
            <w:webHidden/>
          </w:rPr>
          <w:fldChar w:fldCharType="begin"/>
        </w:r>
        <w:r>
          <w:rPr>
            <w:webHidden/>
          </w:rPr>
          <w:instrText xml:space="preserve"> PAGEREF _Toc224819442 \h </w:instrText>
        </w:r>
        <w:r>
          <w:rPr>
            <w:webHidden/>
          </w:rPr>
        </w:r>
        <w:r>
          <w:rPr>
            <w:webHidden/>
          </w:rPr>
          <w:fldChar w:fldCharType="separate"/>
        </w:r>
        <w:r w:rsidR="00AA17AB">
          <w:rPr>
            <w:webHidden/>
          </w:rPr>
          <w:t>391</w:t>
        </w:r>
        <w:r>
          <w:rPr>
            <w:webHidden/>
          </w:rPr>
          <w:fldChar w:fldCharType="end"/>
        </w:r>
      </w:hyperlink>
    </w:p>
    <w:p w14:paraId="409A8089" w14:textId="677FAAE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3"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Removal of Inspection Services</w:t>
        </w:r>
        <w:r>
          <w:rPr>
            <w:webHidden/>
          </w:rPr>
          <w:tab/>
        </w:r>
        <w:r>
          <w:rPr>
            <w:webHidden/>
          </w:rPr>
          <w:fldChar w:fldCharType="begin"/>
        </w:r>
        <w:r>
          <w:rPr>
            <w:webHidden/>
          </w:rPr>
          <w:instrText xml:space="preserve"> PAGEREF _Toc224819443 \h </w:instrText>
        </w:r>
        <w:r>
          <w:rPr>
            <w:webHidden/>
          </w:rPr>
        </w:r>
        <w:r>
          <w:rPr>
            <w:webHidden/>
          </w:rPr>
          <w:fldChar w:fldCharType="separate"/>
        </w:r>
        <w:r w:rsidR="00AA17AB">
          <w:rPr>
            <w:webHidden/>
          </w:rPr>
          <w:t>391</w:t>
        </w:r>
        <w:r>
          <w:rPr>
            <w:webHidden/>
          </w:rPr>
          <w:fldChar w:fldCharType="end"/>
        </w:r>
      </w:hyperlink>
    </w:p>
    <w:p w14:paraId="0241CE0E" w14:textId="6F9A4ED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4"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Inspection Brands; Hot Brands; Replacement Brands</w:t>
        </w:r>
        <w:r>
          <w:rPr>
            <w:webHidden/>
          </w:rPr>
          <w:tab/>
        </w:r>
        <w:r>
          <w:rPr>
            <w:webHidden/>
          </w:rPr>
          <w:fldChar w:fldCharType="begin"/>
        </w:r>
        <w:r>
          <w:rPr>
            <w:webHidden/>
          </w:rPr>
          <w:instrText xml:space="preserve"> PAGEREF _Toc224819444 \h </w:instrText>
        </w:r>
        <w:r>
          <w:rPr>
            <w:webHidden/>
          </w:rPr>
        </w:r>
        <w:r>
          <w:rPr>
            <w:webHidden/>
          </w:rPr>
          <w:fldChar w:fldCharType="separate"/>
        </w:r>
        <w:r w:rsidR="00AA17AB">
          <w:rPr>
            <w:webHidden/>
          </w:rPr>
          <w:t>391</w:t>
        </w:r>
        <w:r>
          <w:rPr>
            <w:webHidden/>
          </w:rPr>
          <w:fldChar w:fldCharType="end"/>
        </w:r>
      </w:hyperlink>
    </w:p>
    <w:p w14:paraId="318AB119" w14:textId="54C8879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5"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Stamping of Carcasses</w:t>
        </w:r>
        <w:r>
          <w:rPr>
            <w:webHidden/>
          </w:rPr>
          <w:tab/>
        </w:r>
        <w:r>
          <w:rPr>
            <w:webHidden/>
          </w:rPr>
          <w:fldChar w:fldCharType="begin"/>
        </w:r>
        <w:r>
          <w:rPr>
            <w:webHidden/>
          </w:rPr>
          <w:instrText xml:space="preserve"> PAGEREF _Toc224819445 \h </w:instrText>
        </w:r>
        <w:r>
          <w:rPr>
            <w:webHidden/>
          </w:rPr>
        </w:r>
        <w:r>
          <w:rPr>
            <w:webHidden/>
          </w:rPr>
          <w:fldChar w:fldCharType="separate"/>
        </w:r>
        <w:r w:rsidR="00AA17AB">
          <w:rPr>
            <w:webHidden/>
          </w:rPr>
          <w:t>392</w:t>
        </w:r>
        <w:r>
          <w:rPr>
            <w:webHidden/>
          </w:rPr>
          <w:fldChar w:fldCharType="end"/>
        </w:r>
      </w:hyperlink>
    </w:p>
    <w:p w14:paraId="30B8E6E6" w14:textId="0656ED2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6"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Inspection upon Movement of Meat and Meat Products</w:t>
        </w:r>
        <w:r>
          <w:rPr>
            <w:webHidden/>
          </w:rPr>
          <w:tab/>
        </w:r>
        <w:r>
          <w:rPr>
            <w:webHidden/>
          </w:rPr>
          <w:fldChar w:fldCharType="begin"/>
        </w:r>
        <w:r>
          <w:rPr>
            <w:webHidden/>
          </w:rPr>
          <w:instrText xml:space="preserve"> PAGEREF _Toc224819446 \h </w:instrText>
        </w:r>
        <w:r>
          <w:rPr>
            <w:webHidden/>
          </w:rPr>
        </w:r>
        <w:r>
          <w:rPr>
            <w:webHidden/>
          </w:rPr>
          <w:fldChar w:fldCharType="separate"/>
        </w:r>
        <w:r w:rsidR="00AA17AB">
          <w:rPr>
            <w:webHidden/>
          </w:rPr>
          <w:t>392</w:t>
        </w:r>
        <w:r>
          <w:rPr>
            <w:webHidden/>
          </w:rPr>
          <w:fldChar w:fldCharType="end"/>
        </w:r>
      </w:hyperlink>
    </w:p>
    <w:p w14:paraId="407ED5BA" w14:textId="4B6A12C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7"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 xml:space="preserve">Appeals from Decisions of the Cooperative Federal/State Meat and Poultry </w:t>
        </w:r>
        <w:r w:rsidR="00ED0600">
          <w:rPr>
            <w:rStyle w:val="Hyperlink"/>
          </w:rPr>
          <w:br/>
        </w:r>
        <w:r w:rsidR="00ED0600">
          <w:rPr>
            <w:rStyle w:val="Hyperlink"/>
          </w:rPr>
          <w:tab/>
        </w:r>
        <w:r w:rsidRPr="00FC437C">
          <w:rPr>
            <w:rStyle w:val="Hyperlink"/>
          </w:rPr>
          <w:t>Inspection Program</w:t>
        </w:r>
        <w:r>
          <w:rPr>
            <w:webHidden/>
          </w:rPr>
          <w:tab/>
        </w:r>
        <w:r>
          <w:rPr>
            <w:webHidden/>
          </w:rPr>
          <w:fldChar w:fldCharType="begin"/>
        </w:r>
        <w:r>
          <w:rPr>
            <w:webHidden/>
          </w:rPr>
          <w:instrText xml:space="preserve"> PAGEREF _Toc224819447 \h </w:instrText>
        </w:r>
        <w:r>
          <w:rPr>
            <w:webHidden/>
          </w:rPr>
        </w:r>
        <w:r>
          <w:rPr>
            <w:webHidden/>
          </w:rPr>
          <w:fldChar w:fldCharType="separate"/>
        </w:r>
        <w:r w:rsidR="00AA17AB">
          <w:rPr>
            <w:webHidden/>
          </w:rPr>
          <w:t>392</w:t>
        </w:r>
        <w:r>
          <w:rPr>
            <w:webHidden/>
          </w:rPr>
          <w:fldChar w:fldCharType="end"/>
        </w:r>
      </w:hyperlink>
    </w:p>
    <w:p w14:paraId="5CDA280B" w14:textId="4DE426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8"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Taking of Blood Samples</w:t>
        </w:r>
        <w:r>
          <w:rPr>
            <w:webHidden/>
          </w:rPr>
          <w:tab/>
        </w:r>
        <w:r>
          <w:rPr>
            <w:webHidden/>
          </w:rPr>
          <w:fldChar w:fldCharType="begin"/>
        </w:r>
        <w:r>
          <w:rPr>
            <w:webHidden/>
          </w:rPr>
          <w:instrText xml:space="preserve"> PAGEREF _Toc224819448 \h </w:instrText>
        </w:r>
        <w:r>
          <w:rPr>
            <w:webHidden/>
          </w:rPr>
        </w:r>
        <w:r>
          <w:rPr>
            <w:webHidden/>
          </w:rPr>
          <w:fldChar w:fldCharType="separate"/>
        </w:r>
        <w:r w:rsidR="00AA17AB">
          <w:rPr>
            <w:webHidden/>
          </w:rPr>
          <w:t>392</w:t>
        </w:r>
        <w:r>
          <w:rPr>
            <w:webHidden/>
          </w:rPr>
          <w:fldChar w:fldCharType="end"/>
        </w:r>
      </w:hyperlink>
    </w:p>
    <w:p w14:paraId="383F2848" w14:textId="0A26D4D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49"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Overtime and Holiday Inspection Service</w:t>
        </w:r>
        <w:r>
          <w:rPr>
            <w:webHidden/>
          </w:rPr>
          <w:tab/>
        </w:r>
        <w:r>
          <w:rPr>
            <w:webHidden/>
          </w:rPr>
          <w:fldChar w:fldCharType="begin"/>
        </w:r>
        <w:r>
          <w:rPr>
            <w:webHidden/>
          </w:rPr>
          <w:instrText xml:space="preserve"> PAGEREF _Toc224819449 \h </w:instrText>
        </w:r>
        <w:r>
          <w:rPr>
            <w:webHidden/>
          </w:rPr>
        </w:r>
        <w:r>
          <w:rPr>
            <w:webHidden/>
          </w:rPr>
          <w:fldChar w:fldCharType="separate"/>
        </w:r>
        <w:r w:rsidR="00AA17AB">
          <w:rPr>
            <w:webHidden/>
          </w:rPr>
          <w:t>393</w:t>
        </w:r>
        <w:r>
          <w:rPr>
            <w:webHidden/>
          </w:rPr>
          <w:fldChar w:fldCharType="end"/>
        </w:r>
      </w:hyperlink>
    </w:p>
    <w:p w14:paraId="69F9166A" w14:textId="686D22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0"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 xml:space="preserve">Appeals from Decisions of the Cooperative Federal/State Meat and Poultry </w:t>
        </w:r>
        <w:r w:rsidR="00ED0600">
          <w:rPr>
            <w:rStyle w:val="Hyperlink"/>
          </w:rPr>
          <w:br/>
        </w:r>
        <w:r w:rsidR="00ED0600">
          <w:rPr>
            <w:rStyle w:val="Hyperlink"/>
          </w:rPr>
          <w:tab/>
        </w:r>
        <w:r w:rsidRPr="00FC437C">
          <w:rPr>
            <w:rStyle w:val="Hyperlink"/>
          </w:rPr>
          <w:t>Inspection Program</w:t>
        </w:r>
        <w:r>
          <w:rPr>
            <w:webHidden/>
          </w:rPr>
          <w:tab/>
        </w:r>
        <w:r>
          <w:rPr>
            <w:webHidden/>
          </w:rPr>
          <w:fldChar w:fldCharType="begin"/>
        </w:r>
        <w:r>
          <w:rPr>
            <w:webHidden/>
          </w:rPr>
          <w:instrText xml:space="preserve"> PAGEREF _Toc224819450 \h </w:instrText>
        </w:r>
        <w:r>
          <w:rPr>
            <w:webHidden/>
          </w:rPr>
        </w:r>
        <w:r>
          <w:rPr>
            <w:webHidden/>
          </w:rPr>
          <w:fldChar w:fldCharType="separate"/>
        </w:r>
        <w:r w:rsidR="00AA17AB">
          <w:rPr>
            <w:webHidden/>
          </w:rPr>
          <w:t>393</w:t>
        </w:r>
        <w:r>
          <w:rPr>
            <w:webHidden/>
          </w:rPr>
          <w:fldChar w:fldCharType="end"/>
        </w:r>
      </w:hyperlink>
    </w:p>
    <w:p w14:paraId="13DDCC8F" w14:textId="5B9FEA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1"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Hearings on Alleged Violations of Law and/or Regulations</w:t>
        </w:r>
        <w:r>
          <w:rPr>
            <w:webHidden/>
          </w:rPr>
          <w:tab/>
        </w:r>
        <w:r>
          <w:rPr>
            <w:webHidden/>
          </w:rPr>
          <w:fldChar w:fldCharType="begin"/>
        </w:r>
        <w:r>
          <w:rPr>
            <w:webHidden/>
          </w:rPr>
          <w:instrText xml:space="preserve"> PAGEREF _Toc224819451 \h </w:instrText>
        </w:r>
        <w:r>
          <w:rPr>
            <w:webHidden/>
          </w:rPr>
        </w:r>
        <w:r>
          <w:rPr>
            <w:webHidden/>
          </w:rPr>
          <w:fldChar w:fldCharType="separate"/>
        </w:r>
        <w:r w:rsidR="00AA17AB">
          <w:rPr>
            <w:webHidden/>
          </w:rPr>
          <w:t>394</w:t>
        </w:r>
        <w:r>
          <w:rPr>
            <w:webHidden/>
          </w:rPr>
          <w:fldChar w:fldCharType="end"/>
        </w:r>
      </w:hyperlink>
    </w:p>
    <w:p w14:paraId="3EFD3A94" w14:textId="1570E23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2"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Taking of Blood Samples</w:t>
        </w:r>
        <w:r>
          <w:rPr>
            <w:webHidden/>
          </w:rPr>
          <w:tab/>
        </w:r>
        <w:r>
          <w:rPr>
            <w:webHidden/>
          </w:rPr>
          <w:fldChar w:fldCharType="begin"/>
        </w:r>
        <w:r>
          <w:rPr>
            <w:webHidden/>
          </w:rPr>
          <w:instrText xml:space="preserve"> PAGEREF _Toc224819452 \h </w:instrText>
        </w:r>
        <w:r>
          <w:rPr>
            <w:webHidden/>
          </w:rPr>
        </w:r>
        <w:r>
          <w:rPr>
            <w:webHidden/>
          </w:rPr>
          <w:fldChar w:fldCharType="separate"/>
        </w:r>
        <w:r w:rsidR="00AA17AB">
          <w:rPr>
            <w:webHidden/>
          </w:rPr>
          <w:t>394</w:t>
        </w:r>
        <w:r>
          <w:rPr>
            <w:webHidden/>
          </w:rPr>
          <w:fldChar w:fldCharType="end"/>
        </w:r>
      </w:hyperlink>
    </w:p>
    <w:p w14:paraId="13BD1530" w14:textId="5A26203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3"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Overtime and Holiday Inspection Service</w:t>
        </w:r>
        <w:r>
          <w:rPr>
            <w:webHidden/>
          </w:rPr>
          <w:tab/>
        </w:r>
        <w:r>
          <w:rPr>
            <w:webHidden/>
          </w:rPr>
          <w:fldChar w:fldCharType="begin"/>
        </w:r>
        <w:r>
          <w:rPr>
            <w:webHidden/>
          </w:rPr>
          <w:instrText xml:space="preserve"> PAGEREF _Toc224819453 \h </w:instrText>
        </w:r>
        <w:r>
          <w:rPr>
            <w:webHidden/>
          </w:rPr>
        </w:r>
        <w:r>
          <w:rPr>
            <w:webHidden/>
          </w:rPr>
          <w:fldChar w:fldCharType="separate"/>
        </w:r>
        <w:r w:rsidR="00AA17AB">
          <w:rPr>
            <w:webHidden/>
          </w:rPr>
          <w:t>394</w:t>
        </w:r>
        <w:r>
          <w:rPr>
            <w:webHidden/>
          </w:rPr>
          <w:fldChar w:fldCharType="end"/>
        </w:r>
      </w:hyperlink>
    </w:p>
    <w:p w14:paraId="57E2889C" w14:textId="6247540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4" w:history="1">
        <w:r w:rsidRPr="00FC437C">
          <w:rPr>
            <w:rStyle w:val="Hyperlink"/>
          </w:rPr>
          <w:t>§135.</w:t>
        </w:r>
        <w:r>
          <w:rPr>
            <w:rFonts w:asciiTheme="minorHAnsi" w:eastAsiaTheme="minorEastAsia" w:hAnsiTheme="minorHAnsi" w:cstheme="minorBidi"/>
            <w:color w:val="auto"/>
            <w:kern w:val="2"/>
            <w:szCs w:val="24"/>
            <w14:ligatures w14:val="standardContextual"/>
          </w:rPr>
          <w:tab/>
        </w:r>
        <w:r w:rsidRPr="00FC437C">
          <w:rPr>
            <w:rStyle w:val="Hyperlink"/>
          </w:rPr>
          <w:t>Meat, Poultry and Seafood Fee</w:t>
        </w:r>
        <w:r>
          <w:rPr>
            <w:webHidden/>
          </w:rPr>
          <w:tab/>
        </w:r>
        <w:r>
          <w:rPr>
            <w:webHidden/>
          </w:rPr>
          <w:fldChar w:fldCharType="begin"/>
        </w:r>
        <w:r>
          <w:rPr>
            <w:webHidden/>
          </w:rPr>
          <w:instrText xml:space="preserve"> PAGEREF _Toc224819454 \h </w:instrText>
        </w:r>
        <w:r>
          <w:rPr>
            <w:webHidden/>
          </w:rPr>
        </w:r>
        <w:r>
          <w:rPr>
            <w:webHidden/>
          </w:rPr>
          <w:fldChar w:fldCharType="separate"/>
        </w:r>
        <w:r w:rsidR="00AA17AB">
          <w:rPr>
            <w:webHidden/>
          </w:rPr>
          <w:t>394</w:t>
        </w:r>
        <w:r>
          <w:rPr>
            <w:webHidden/>
          </w:rPr>
          <w:fldChar w:fldCharType="end"/>
        </w:r>
      </w:hyperlink>
    </w:p>
    <w:p w14:paraId="289FAF07" w14:textId="7255ED4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5"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Practical Meat Cutting and Merchandising―Volume 1</w:t>
        </w:r>
        <w:r>
          <w:rPr>
            <w:webHidden/>
          </w:rPr>
          <w:tab/>
        </w:r>
        <w:r>
          <w:rPr>
            <w:webHidden/>
          </w:rPr>
          <w:fldChar w:fldCharType="begin"/>
        </w:r>
        <w:r>
          <w:rPr>
            <w:webHidden/>
          </w:rPr>
          <w:instrText xml:space="preserve"> PAGEREF _Toc224819455 \h </w:instrText>
        </w:r>
        <w:r>
          <w:rPr>
            <w:webHidden/>
          </w:rPr>
        </w:r>
        <w:r>
          <w:rPr>
            <w:webHidden/>
          </w:rPr>
          <w:fldChar w:fldCharType="separate"/>
        </w:r>
        <w:r w:rsidR="00AA17AB">
          <w:rPr>
            <w:webHidden/>
          </w:rPr>
          <w:t>395</w:t>
        </w:r>
        <w:r>
          <w:rPr>
            <w:webHidden/>
          </w:rPr>
          <w:fldChar w:fldCharType="end"/>
        </w:r>
      </w:hyperlink>
    </w:p>
    <w:p w14:paraId="110A57AB" w14:textId="642A974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6" w:history="1">
        <w:r w:rsidRPr="00FC437C">
          <w:rPr>
            <w:rStyle w:val="Hyperlink"/>
          </w:rPr>
          <w:t>§139.</w:t>
        </w:r>
        <w:r>
          <w:rPr>
            <w:rFonts w:asciiTheme="minorHAnsi" w:eastAsiaTheme="minorEastAsia" w:hAnsiTheme="minorHAnsi" w:cstheme="minorBidi"/>
            <w:color w:val="auto"/>
            <w:kern w:val="2"/>
            <w:szCs w:val="24"/>
            <w14:ligatures w14:val="standardContextual"/>
          </w:rPr>
          <w:tab/>
        </w:r>
        <w:r w:rsidRPr="00FC437C">
          <w:rPr>
            <w:rStyle w:val="Hyperlink"/>
          </w:rPr>
          <w:t>Side of Beef</w:t>
        </w:r>
        <w:r>
          <w:rPr>
            <w:webHidden/>
          </w:rPr>
          <w:tab/>
        </w:r>
        <w:r>
          <w:rPr>
            <w:webHidden/>
          </w:rPr>
          <w:fldChar w:fldCharType="begin"/>
        </w:r>
        <w:r>
          <w:rPr>
            <w:webHidden/>
          </w:rPr>
          <w:instrText xml:space="preserve"> PAGEREF _Toc224819456 \h </w:instrText>
        </w:r>
        <w:r>
          <w:rPr>
            <w:webHidden/>
          </w:rPr>
        </w:r>
        <w:r>
          <w:rPr>
            <w:webHidden/>
          </w:rPr>
          <w:fldChar w:fldCharType="separate"/>
        </w:r>
        <w:r w:rsidR="00AA17AB">
          <w:rPr>
            <w:webHidden/>
          </w:rPr>
          <w:t>397</w:t>
        </w:r>
        <w:r>
          <w:rPr>
            <w:webHidden/>
          </w:rPr>
          <w:fldChar w:fldCharType="end"/>
        </w:r>
      </w:hyperlink>
    </w:p>
    <w:p w14:paraId="54D1F078" w14:textId="6291605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7" w:history="1">
        <w:r w:rsidRPr="00FC437C">
          <w:rPr>
            <w:rStyle w:val="Hyperlink"/>
          </w:rPr>
          <w:t>§141.</w:t>
        </w:r>
        <w:r>
          <w:rPr>
            <w:rFonts w:asciiTheme="minorHAnsi" w:eastAsiaTheme="minorEastAsia" w:hAnsiTheme="minorHAnsi" w:cstheme="minorBidi"/>
            <w:color w:val="auto"/>
            <w:kern w:val="2"/>
            <w:szCs w:val="24"/>
            <w14:ligatures w14:val="standardContextual"/>
          </w:rPr>
          <w:tab/>
        </w:r>
        <w:r w:rsidRPr="00FC437C">
          <w:rPr>
            <w:rStyle w:val="Hyperlink"/>
          </w:rPr>
          <w:t>Proper Stampling―Primal Cuts</w:t>
        </w:r>
        <w:r>
          <w:rPr>
            <w:webHidden/>
          </w:rPr>
          <w:tab/>
        </w:r>
        <w:r>
          <w:rPr>
            <w:webHidden/>
          </w:rPr>
          <w:fldChar w:fldCharType="begin"/>
        </w:r>
        <w:r>
          <w:rPr>
            <w:webHidden/>
          </w:rPr>
          <w:instrText xml:space="preserve"> PAGEREF _Toc224819457 \h </w:instrText>
        </w:r>
        <w:r>
          <w:rPr>
            <w:webHidden/>
          </w:rPr>
        </w:r>
        <w:r>
          <w:rPr>
            <w:webHidden/>
          </w:rPr>
          <w:fldChar w:fldCharType="separate"/>
        </w:r>
        <w:r w:rsidR="00AA17AB">
          <w:rPr>
            <w:webHidden/>
          </w:rPr>
          <w:t>397</w:t>
        </w:r>
        <w:r>
          <w:rPr>
            <w:webHidden/>
          </w:rPr>
          <w:fldChar w:fldCharType="end"/>
        </w:r>
      </w:hyperlink>
    </w:p>
    <w:p w14:paraId="15031206" w14:textId="23D4173C" w:rsidR="00E67799" w:rsidRDefault="00E67799">
      <w:pPr>
        <w:pStyle w:val="TOC2"/>
        <w:rPr>
          <w:rFonts w:asciiTheme="minorHAnsi" w:eastAsiaTheme="minorEastAsia" w:hAnsiTheme="minorHAnsi" w:cstheme="minorBidi"/>
          <w:kern w:val="2"/>
          <w:szCs w:val="24"/>
          <w14:ligatures w14:val="standardContextual"/>
        </w:rPr>
      </w:pPr>
      <w:hyperlink w:anchor="_Toc224819458" w:history="1">
        <w:r w:rsidRPr="00FC437C">
          <w:rPr>
            <w:rStyle w:val="Hyperlink"/>
            <w:rFonts w:eastAsia="Aptos"/>
          </w:rPr>
          <w:t>Chapter 3.</w:t>
        </w:r>
        <w:r>
          <w:rPr>
            <w:rFonts w:asciiTheme="minorHAnsi" w:eastAsiaTheme="minorEastAsia" w:hAnsiTheme="minorHAnsi" w:cstheme="minorBidi"/>
            <w:kern w:val="2"/>
            <w:szCs w:val="24"/>
            <w14:ligatures w14:val="standardContextual"/>
          </w:rPr>
          <w:tab/>
        </w:r>
        <w:r w:rsidRPr="00FC437C">
          <w:rPr>
            <w:rStyle w:val="Hyperlink"/>
            <w:rFonts w:eastAsia="Aptos"/>
          </w:rPr>
          <w:t>Voluntary Inspection for Slaughter and Processing of Exotic Animals</w:t>
        </w:r>
        <w:r>
          <w:rPr>
            <w:webHidden/>
          </w:rPr>
          <w:tab/>
        </w:r>
        <w:r>
          <w:rPr>
            <w:webHidden/>
          </w:rPr>
          <w:fldChar w:fldCharType="begin"/>
        </w:r>
        <w:r>
          <w:rPr>
            <w:webHidden/>
          </w:rPr>
          <w:instrText xml:space="preserve"> PAGEREF _Toc224819458 \h </w:instrText>
        </w:r>
        <w:r>
          <w:rPr>
            <w:webHidden/>
          </w:rPr>
        </w:r>
        <w:r>
          <w:rPr>
            <w:webHidden/>
          </w:rPr>
          <w:fldChar w:fldCharType="separate"/>
        </w:r>
        <w:r w:rsidR="00AA17AB">
          <w:rPr>
            <w:webHidden/>
          </w:rPr>
          <w:t>398</w:t>
        </w:r>
        <w:r>
          <w:rPr>
            <w:webHidden/>
          </w:rPr>
          <w:fldChar w:fldCharType="end"/>
        </w:r>
      </w:hyperlink>
    </w:p>
    <w:p w14:paraId="31D72F45" w14:textId="0B7497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59" w:history="1">
        <w:r w:rsidRPr="00FC437C">
          <w:rPr>
            <w:rStyle w:val="Hyperlink"/>
            <w:rFonts w:eastAsia="Aptos"/>
          </w:rPr>
          <w:t>§301.</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General Provisions, Definitions</w:t>
        </w:r>
        <w:r>
          <w:rPr>
            <w:webHidden/>
          </w:rPr>
          <w:tab/>
        </w:r>
        <w:r>
          <w:rPr>
            <w:webHidden/>
          </w:rPr>
          <w:fldChar w:fldCharType="begin"/>
        </w:r>
        <w:r>
          <w:rPr>
            <w:webHidden/>
          </w:rPr>
          <w:instrText xml:space="preserve"> PAGEREF _Toc224819459 \h </w:instrText>
        </w:r>
        <w:r>
          <w:rPr>
            <w:webHidden/>
          </w:rPr>
        </w:r>
        <w:r>
          <w:rPr>
            <w:webHidden/>
          </w:rPr>
          <w:fldChar w:fldCharType="separate"/>
        </w:r>
        <w:r w:rsidR="00AA17AB">
          <w:rPr>
            <w:webHidden/>
          </w:rPr>
          <w:t>398</w:t>
        </w:r>
        <w:r>
          <w:rPr>
            <w:webHidden/>
          </w:rPr>
          <w:fldChar w:fldCharType="end"/>
        </w:r>
      </w:hyperlink>
    </w:p>
    <w:p w14:paraId="273D41A9" w14:textId="1F81C7C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0" w:history="1">
        <w:r w:rsidRPr="00FC437C">
          <w:rPr>
            <w:rStyle w:val="Hyperlink"/>
            <w:rFonts w:eastAsia="Aptos"/>
          </w:rPr>
          <w:t>§303.</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Voluntary Inspection for Exotic Animals</w:t>
        </w:r>
        <w:r>
          <w:rPr>
            <w:webHidden/>
          </w:rPr>
          <w:tab/>
        </w:r>
        <w:r>
          <w:rPr>
            <w:webHidden/>
          </w:rPr>
          <w:fldChar w:fldCharType="begin"/>
        </w:r>
        <w:r>
          <w:rPr>
            <w:webHidden/>
          </w:rPr>
          <w:instrText xml:space="preserve"> PAGEREF _Toc224819460 \h </w:instrText>
        </w:r>
        <w:r>
          <w:rPr>
            <w:webHidden/>
          </w:rPr>
        </w:r>
        <w:r>
          <w:rPr>
            <w:webHidden/>
          </w:rPr>
          <w:fldChar w:fldCharType="separate"/>
        </w:r>
        <w:r w:rsidR="00AA17AB">
          <w:rPr>
            <w:webHidden/>
          </w:rPr>
          <w:t>398</w:t>
        </w:r>
        <w:r>
          <w:rPr>
            <w:webHidden/>
          </w:rPr>
          <w:fldChar w:fldCharType="end"/>
        </w:r>
      </w:hyperlink>
    </w:p>
    <w:p w14:paraId="740CB0D4" w14:textId="6452739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1" w:history="1">
        <w:r w:rsidRPr="00FC437C">
          <w:rPr>
            <w:rStyle w:val="Hyperlink"/>
            <w:rFonts w:eastAsia="Aptos"/>
          </w:rPr>
          <w:t>§305.</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Application for Voluntary Inspection</w:t>
        </w:r>
        <w:r>
          <w:rPr>
            <w:webHidden/>
          </w:rPr>
          <w:tab/>
        </w:r>
        <w:r>
          <w:rPr>
            <w:webHidden/>
          </w:rPr>
          <w:fldChar w:fldCharType="begin"/>
        </w:r>
        <w:r>
          <w:rPr>
            <w:webHidden/>
          </w:rPr>
          <w:instrText xml:space="preserve"> PAGEREF _Toc224819461 \h </w:instrText>
        </w:r>
        <w:r>
          <w:rPr>
            <w:webHidden/>
          </w:rPr>
        </w:r>
        <w:r>
          <w:rPr>
            <w:webHidden/>
          </w:rPr>
          <w:fldChar w:fldCharType="separate"/>
        </w:r>
        <w:r w:rsidR="00AA17AB">
          <w:rPr>
            <w:webHidden/>
          </w:rPr>
          <w:t>398</w:t>
        </w:r>
        <w:r>
          <w:rPr>
            <w:webHidden/>
          </w:rPr>
          <w:fldChar w:fldCharType="end"/>
        </w:r>
      </w:hyperlink>
    </w:p>
    <w:p w14:paraId="25E8BD50" w14:textId="2985757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2" w:history="1">
        <w:r w:rsidRPr="00FC437C">
          <w:rPr>
            <w:rStyle w:val="Hyperlink"/>
            <w:rFonts w:eastAsia="Aptos"/>
          </w:rPr>
          <w:t>§307.</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Fees</w:t>
        </w:r>
        <w:r>
          <w:rPr>
            <w:webHidden/>
          </w:rPr>
          <w:tab/>
        </w:r>
        <w:r>
          <w:rPr>
            <w:webHidden/>
          </w:rPr>
          <w:fldChar w:fldCharType="begin"/>
        </w:r>
        <w:r>
          <w:rPr>
            <w:webHidden/>
          </w:rPr>
          <w:instrText xml:space="preserve"> PAGEREF _Toc224819462 \h </w:instrText>
        </w:r>
        <w:r>
          <w:rPr>
            <w:webHidden/>
          </w:rPr>
        </w:r>
        <w:r>
          <w:rPr>
            <w:webHidden/>
          </w:rPr>
          <w:fldChar w:fldCharType="separate"/>
        </w:r>
        <w:r w:rsidR="00AA17AB">
          <w:rPr>
            <w:webHidden/>
          </w:rPr>
          <w:t>399</w:t>
        </w:r>
        <w:r>
          <w:rPr>
            <w:webHidden/>
          </w:rPr>
          <w:fldChar w:fldCharType="end"/>
        </w:r>
      </w:hyperlink>
    </w:p>
    <w:p w14:paraId="6CB3691F" w14:textId="67CD4B1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3" w:history="1">
        <w:r w:rsidRPr="00FC437C">
          <w:rPr>
            <w:rStyle w:val="Hyperlink"/>
            <w:rFonts w:eastAsia="Aptos"/>
          </w:rPr>
          <w:t>§309.</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Facility Standards</w:t>
        </w:r>
        <w:r>
          <w:rPr>
            <w:webHidden/>
          </w:rPr>
          <w:tab/>
        </w:r>
        <w:r>
          <w:rPr>
            <w:webHidden/>
          </w:rPr>
          <w:fldChar w:fldCharType="begin"/>
        </w:r>
        <w:r>
          <w:rPr>
            <w:webHidden/>
          </w:rPr>
          <w:instrText xml:space="preserve"> PAGEREF _Toc224819463 \h </w:instrText>
        </w:r>
        <w:r>
          <w:rPr>
            <w:webHidden/>
          </w:rPr>
        </w:r>
        <w:r>
          <w:rPr>
            <w:webHidden/>
          </w:rPr>
          <w:fldChar w:fldCharType="separate"/>
        </w:r>
        <w:r w:rsidR="00AA17AB">
          <w:rPr>
            <w:webHidden/>
          </w:rPr>
          <w:t>399</w:t>
        </w:r>
        <w:r>
          <w:rPr>
            <w:webHidden/>
          </w:rPr>
          <w:fldChar w:fldCharType="end"/>
        </w:r>
      </w:hyperlink>
    </w:p>
    <w:p w14:paraId="39D4B9E8" w14:textId="0A1D73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4" w:history="1">
        <w:r w:rsidRPr="00FC437C">
          <w:rPr>
            <w:rStyle w:val="Hyperlink"/>
            <w:rFonts w:eastAsia="Aptos"/>
          </w:rPr>
          <w:t>§311.</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Operating Times</w:t>
        </w:r>
        <w:r>
          <w:rPr>
            <w:webHidden/>
          </w:rPr>
          <w:tab/>
        </w:r>
        <w:r>
          <w:rPr>
            <w:webHidden/>
          </w:rPr>
          <w:fldChar w:fldCharType="begin"/>
        </w:r>
        <w:r>
          <w:rPr>
            <w:webHidden/>
          </w:rPr>
          <w:instrText xml:space="preserve"> PAGEREF _Toc224819464 \h </w:instrText>
        </w:r>
        <w:r>
          <w:rPr>
            <w:webHidden/>
          </w:rPr>
        </w:r>
        <w:r>
          <w:rPr>
            <w:webHidden/>
          </w:rPr>
          <w:fldChar w:fldCharType="separate"/>
        </w:r>
        <w:r w:rsidR="00AA17AB">
          <w:rPr>
            <w:webHidden/>
          </w:rPr>
          <w:t>399</w:t>
        </w:r>
        <w:r>
          <w:rPr>
            <w:webHidden/>
          </w:rPr>
          <w:fldChar w:fldCharType="end"/>
        </w:r>
      </w:hyperlink>
    </w:p>
    <w:p w14:paraId="30ECC5A2" w14:textId="51D2ACF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5" w:history="1">
        <w:r w:rsidRPr="00FC437C">
          <w:rPr>
            <w:rStyle w:val="Hyperlink"/>
            <w:rFonts w:eastAsia="Aptos"/>
          </w:rPr>
          <w:t>§313.</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Antemortem Examination and Humane Standards.</w:t>
        </w:r>
        <w:r>
          <w:rPr>
            <w:webHidden/>
          </w:rPr>
          <w:tab/>
        </w:r>
        <w:r>
          <w:rPr>
            <w:webHidden/>
          </w:rPr>
          <w:fldChar w:fldCharType="begin"/>
        </w:r>
        <w:r>
          <w:rPr>
            <w:webHidden/>
          </w:rPr>
          <w:instrText xml:space="preserve"> PAGEREF _Toc224819465 \h </w:instrText>
        </w:r>
        <w:r>
          <w:rPr>
            <w:webHidden/>
          </w:rPr>
        </w:r>
        <w:r>
          <w:rPr>
            <w:webHidden/>
          </w:rPr>
          <w:fldChar w:fldCharType="separate"/>
        </w:r>
        <w:r w:rsidR="00AA17AB">
          <w:rPr>
            <w:webHidden/>
          </w:rPr>
          <w:t>399</w:t>
        </w:r>
        <w:r>
          <w:rPr>
            <w:webHidden/>
          </w:rPr>
          <w:fldChar w:fldCharType="end"/>
        </w:r>
      </w:hyperlink>
    </w:p>
    <w:p w14:paraId="0666B537" w14:textId="62C8465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6" w:history="1">
        <w:r w:rsidRPr="00FC437C">
          <w:rPr>
            <w:rStyle w:val="Hyperlink"/>
            <w:rFonts w:eastAsia="Aptos"/>
          </w:rPr>
          <w:t>§315.</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Postmortem Examination Standards</w:t>
        </w:r>
        <w:r>
          <w:rPr>
            <w:webHidden/>
          </w:rPr>
          <w:tab/>
        </w:r>
        <w:r>
          <w:rPr>
            <w:webHidden/>
          </w:rPr>
          <w:fldChar w:fldCharType="begin"/>
        </w:r>
        <w:r>
          <w:rPr>
            <w:webHidden/>
          </w:rPr>
          <w:instrText xml:space="preserve"> PAGEREF _Toc224819466 \h </w:instrText>
        </w:r>
        <w:r>
          <w:rPr>
            <w:webHidden/>
          </w:rPr>
        </w:r>
        <w:r>
          <w:rPr>
            <w:webHidden/>
          </w:rPr>
          <w:fldChar w:fldCharType="separate"/>
        </w:r>
        <w:r w:rsidR="00AA17AB">
          <w:rPr>
            <w:webHidden/>
          </w:rPr>
          <w:t>399</w:t>
        </w:r>
        <w:r>
          <w:rPr>
            <w:webHidden/>
          </w:rPr>
          <w:fldChar w:fldCharType="end"/>
        </w:r>
      </w:hyperlink>
    </w:p>
    <w:p w14:paraId="2D42BEE5" w14:textId="1C4517D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7" w:history="1">
        <w:r w:rsidRPr="00FC437C">
          <w:rPr>
            <w:rStyle w:val="Hyperlink"/>
            <w:rFonts w:eastAsia="Aptos"/>
          </w:rPr>
          <w:t>§317.</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Marking</w:t>
        </w:r>
        <w:r>
          <w:rPr>
            <w:webHidden/>
          </w:rPr>
          <w:tab/>
        </w:r>
        <w:r>
          <w:rPr>
            <w:webHidden/>
          </w:rPr>
          <w:fldChar w:fldCharType="begin"/>
        </w:r>
        <w:r>
          <w:rPr>
            <w:webHidden/>
          </w:rPr>
          <w:instrText xml:space="preserve"> PAGEREF _Toc224819467 \h </w:instrText>
        </w:r>
        <w:r>
          <w:rPr>
            <w:webHidden/>
          </w:rPr>
        </w:r>
        <w:r>
          <w:rPr>
            <w:webHidden/>
          </w:rPr>
          <w:fldChar w:fldCharType="separate"/>
        </w:r>
        <w:r w:rsidR="00AA17AB">
          <w:rPr>
            <w:webHidden/>
          </w:rPr>
          <w:t>400</w:t>
        </w:r>
        <w:r>
          <w:rPr>
            <w:webHidden/>
          </w:rPr>
          <w:fldChar w:fldCharType="end"/>
        </w:r>
      </w:hyperlink>
    </w:p>
    <w:p w14:paraId="74A22EB4" w14:textId="01881FB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8" w:history="1">
        <w:r w:rsidRPr="00FC437C">
          <w:rPr>
            <w:rStyle w:val="Hyperlink"/>
            <w:rFonts w:eastAsia="Aptos"/>
          </w:rPr>
          <w:t>§319.</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Recall/Public Health Notice</w:t>
        </w:r>
        <w:r>
          <w:rPr>
            <w:webHidden/>
          </w:rPr>
          <w:tab/>
        </w:r>
        <w:r>
          <w:rPr>
            <w:webHidden/>
          </w:rPr>
          <w:fldChar w:fldCharType="begin"/>
        </w:r>
        <w:r>
          <w:rPr>
            <w:webHidden/>
          </w:rPr>
          <w:instrText xml:space="preserve"> PAGEREF _Toc224819468 \h </w:instrText>
        </w:r>
        <w:r>
          <w:rPr>
            <w:webHidden/>
          </w:rPr>
        </w:r>
        <w:r>
          <w:rPr>
            <w:webHidden/>
          </w:rPr>
          <w:fldChar w:fldCharType="separate"/>
        </w:r>
        <w:r w:rsidR="00AA17AB">
          <w:rPr>
            <w:webHidden/>
          </w:rPr>
          <w:t>400</w:t>
        </w:r>
        <w:r>
          <w:rPr>
            <w:webHidden/>
          </w:rPr>
          <w:fldChar w:fldCharType="end"/>
        </w:r>
      </w:hyperlink>
    </w:p>
    <w:p w14:paraId="0CE6B597" w14:textId="2F2531D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69" w:history="1">
        <w:r w:rsidRPr="00FC437C">
          <w:rPr>
            <w:rStyle w:val="Hyperlink"/>
            <w:rFonts w:eastAsia="Aptos"/>
          </w:rPr>
          <w:t>§321.</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Detention of Product</w:t>
        </w:r>
        <w:r>
          <w:rPr>
            <w:webHidden/>
          </w:rPr>
          <w:tab/>
        </w:r>
        <w:r>
          <w:rPr>
            <w:webHidden/>
          </w:rPr>
          <w:fldChar w:fldCharType="begin"/>
        </w:r>
        <w:r>
          <w:rPr>
            <w:webHidden/>
          </w:rPr>
          <w:instrText xml:space="preserve"> PAGEREF _Toc224819469 \h </w:instrText>
        </w:r>
        <w:r>
          <w:rPr>
            <w:webHidden/>
          </w:rPr>
        </w:r>
        <w:r>
          <w:rPr>
            <w:webHidden/>
          </w:rPr>
          <w:fldChar w:fldCharType="separate"/>
        </w:r>
        <w:r w:rsidR="00AA17AB">
          <w:rPr>
            <w:webHidden/>
          </w:rPr>
          <w:t>400</w:t>
        </w:r>
        <w:r>
          <w:rPr>
            <w:webHidden/>
          </w:rPr>
          <w:fldChar w:fldCharType="end"/>
        </w:r>
      </w:hyperlink>
    </w:p>
    <w:p w14:paraId="09D121A0" w14:textId="4CA079C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0" w:history="1">
        <w:r w:rsidRPr="00FC437C">
          <w:rPr>
            <w:rStyle w:val="Hyperlink"/>
            <w:rFonts w:eastAsia="Aptos"/>
          </w:rPr>
          <w:t>§323.</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Appeals from Decisions</w:t>
        </w:r>
        <w:r>
          <w:rPr>
            <w:webHidden/>
          </w:rPr>
          <w:tab/>
        </w:r>
        <w:r>
          <w:rPr>
            <w:webHidden/>
          </w:rPr>
          <w:fldChar w:fldCharType="begin"/>
        </w:r>
        <w:r>
          <w:rPr>
            <w:webHidden/>
          </w:rPr>
          <w:instrText xml:space="preserve"> PAGEREF _Toc224819470 \h </w:instrText>
        </w:r>
        <w:r>
          <w:rPr>
            <w:webHidden/>
          </w:rPr>
        </w:r>
        <w:r>
          <w:rPr>
            <w:webHidden/>
          </w:rPr>
          <w:fldChar w:fldCharType="separate"/>
        </w:r>
        <w:r w:rsidR="00AA17AB">
          <w:rPr>
            <w:webHidden/>
          </w:rPr>
          <w:t>400</w:t>
        </w:r>
        <w:r>
          <w:rPr>
            <w:webHidden/>
          </w:rPr>
          <w:fldChar w:fldCharType="end"/>
        </w:r>
      </w:hyperlink>
    </w:p>
    <w:p w14:paraId="37039A58" w14:textId="29A7BCB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1" w:history="1">
        <w:r w:rsidRPr="00FC437C">
          <w:rPr>
            <w:rStyle w:val="Hyperlink"/>
            <w:rFonts w:eastAsia="Aptos"/>
          </w:rPr>
          <w:t>§325.</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Condemnation and seizure</w:t>
        </w:r>
        <w:r>
          <w:rPr>
            <w:webHidden/>
          </w:rPr>
          <w:tab/>
        </w:r>
        <w:r>
          <w:rPr>
            <w:webHidden/>
          </w:rPr>
          <w:fldChar w:fldCharType="begin"/>
        </w:r>
        <w:r>
          <w:rPr>
            <w:webHidden/>
          </w:rPr>
          <w:instrText xml:space="preserve"> PAGEREF _Toc224819471 \h </w:instrText>
        </w:r>
        <w:r>
          <w:rPr>
            <w:webHidden/>
          </w:rPr>
        </w:r>
        <w:r>
          <w:rPr>
            <w:webHidden/>
          </w:rPr>
          <w:fldChar w:fldCharType="separate"/>
        </w:r>
        <w:r w:rsidR="00AA17AB">
          <w:rPr>
            <w:webHidden/>
          </w:rPr>
          <w:t>400</w:t>
        </w:r>
        <w:r>
          <w:rPr>
            <w:webHidden/>
          </w:rPr>
          <w:fldChar w:fldCharType="end"/>
        </w:r>
      </w:hyperlink>
    </w:p>
    <w:p w14:paraId="2044E3AF" w14:textId="5260C46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2" w:history="1">
        <w:r w:rsidRPr="00FC437C">
          <w:rPr>
            <w:rStyle w:val="Hyperlink"/>
            <w:rFonts w:eastAsia="Aptos"/>
          </w:rPr>
          <w:t>§327.</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Withholding of Voluntary Exotic Inspection Services</w:t>
        </w:r>
        <w:r>
          <w:rPr>
            <w:webHidden/>
          </w:rPr>
          <w:tab/>
        </w:r>
        <w:r>
          <w:rPr>
            <w:webHidden/>
          </w:rPr>
          <w:fldChar w:fldCharType="begin"/>
        </w:r>
        <w:r>
          <w:rPr>
            <w:webHidden/>
          </w:rPr>
          <w:instrText xml:space="preserve"> PAGEREF _Toc224819472 \h </w:instrText>
        </w:r>
        <w:r>
          <w:rPr>
            <w:webHidden/>
          </w:rPr>
        </w:r>
        <w:r>
          <w:rPr>
            <w:webHidden/>
          </w:rPr>
          <w:fldChar w:fldCharType="separate"/>
        </w:r>
        <w:r w:rsidR="00AA17AB">
          <w:rPr>
            <w:webHidden/>
          </w:rPr>
          <w:t>401</w:t>
        </w:r>
        <w:r>
          <w:rPr>
            <w:webHidden/>
          </w:rPr>
          <w:fldChar w:fldCharType="end"/>
        </w:r>
      </w:hyperlink>
    </w:p>
    <w:p w14:paraId="0DDF6F84" w14:textId="5D20E5E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3" w:history="1">
        <w:r w:rsidRPr="00FC437C">
          <w:rPr>
            <w:rStyle w:val="Hyperlink"/>
            <w:rFonts w:eastAsia="Aptos"/>
          </w:rPr>
          <w:t>§329.</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Prohibitions</w:t>
        </w:r>
        <w:r>
          <w:rPr>
            <w:webHidden/>
          </w:rPr>
          <w:tab/>
        </w:r>
        <w:r>
          <w:rPr>
            <w:webHidden/>
          </w:rPr>
          <w:fldChar w:fldCharType="begin"/>
        </w:r>
        <w:r>
          <w:rPr>
            <w:webHidden/>
          </w:rPr>
          <w:instrText xml:space="preserve"> PAGEREF _Toc224819473 \h </w:instrText>
        </w:r>
        <w:r>
          <w:rPr>
            <w:webHidden/>
          </w:rPr>
        </w:r>
        <w:r>
          <w:rPr>
            <w:webHidden/>
          </w:rPr>
          <w:fldChar w:fldCharType="separate"/>
        </w:r>
        <w:r w:rsidR="00AA17AB">
          <w:rPr>
            <w:webHidden/>
          </w:rPr>
          <w:t>401</w:t>
        </w:r>
        <w:r>
          <w:rPr>
            <w:webHidden/>
          </w:rPr>
          <w:fldChar w:fldCharType="end"/>
        </w:r>
      </w:hyperlink>
    </w:p>
    <w:p w14:paraId="4FC5E49B" w14:textId="758AD63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4" w:history="1">
        <w:r w:rsidRPr="00FC437C">
          <w:rPr>
            <w:rStyle w:val="Hyperlink"/>
            <w:rFonts w:eastAsia="Aptos"/>
          </w:rPr>
          <w:t>§331.</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Investigations</w:t>
        </w:r>
        <w:r>
          <w:rPr>
            <w:webHidden/>
          </w:rPr>
          <w:tab/>
        </w:r>
        <w:r>
          <w:rPr>
            <w:webHidden/>
          </w:rPr>
          <w:fldChar w:fldCharType="begin"/>
        </w:r>
        <w:r>
          <w:rPr>
            <w:webHidden/>
          </w:rPr>
          <w:instrText xml:space="preserve"> PAGEREF _Toc224819474 \h </w:instrText>
        </w:r>
        <w:r>
          <w:rPr>
            <w:webHidden/>
          </w:rPr>
        </w:r>
        <w:r>
          <w:rPr>
            <w:webHidden/>
          </w:rPr>
          <w:fldChar w:fldCharType="separate"/>
        </w:r>
        <w:r w:rsidR="00AA17AB">
          <w:rPr>
            <w:webHidden/>
          </w:rPr>
          <w:t>401</w:t>
        </w:r>
        <w:r>
          <w:rPr>
            <w:webHidden/>
          </w:rPr>
          <w:fldChar w:fldCharType="end"/>
        </w:r>
      </w:hyperlink>
    </w:p>
    <w:p w14:paraId="75DFFD59" w14:textId="2479FA7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5" w:history="1">
        <w:r w:rsidRPr="00FC437C">
          <w:rPr>
            <w:rStyle w:val="Hyperlink"/>
            <w:rFonts w:eastAsia="Aptos"/>
          </w:rPr>
          <w:t>§333.</w:t>
        </w:r>
        <w:r>
          <w:rPr>
            <w:rFonts w:asciiTheme="minorHAnsi" w:eastAsiaTheme="minorEastAsia" w:hAnsiTheme="minorHAnsi" w:cstheme="minorBidi"/>
            <w:color w:val="auto"/>
            <w:kern w:val="2"/>
            <w:szCs w:val="24"/>
            <w14:ligatures w14:val="standardContextual"/>
          </w:rPr>
          <w:tab/>
        </w:r>
        <w:r w:rsidRPr="00FC437C">
          <w:rPr>
            <w:rStyle w:val="Hyperlink"/>
            <w:rFonts w:eastAsia="Aptos"/>
          </w:rPr>
          <w:t>Adjudicatory Proceedings; Violations</w:t>
        </w:r>
        <w:r>
          <w:rPr>
            <w:webHidden/>
          </w:rPr>
          <w:tab/>
        </w:r>
        <w:r>
          <w:rPr>
            <w:webHidden/>
          </w:rPr>
          <w:fldChar w:fldCharType="begin"/>
        </w:r>
        <w:r>
          <w:rPr>
            <w:webHidden/>
          </w:rPr>
          <w:instrText xml:space="preserve"> PAGEREF _Toc224819475 \h </w:instrText>
        </w:r>
        <w:r>
          <w:rPr>
            <w:webHidden/>
          </w:rPr>
        </w:r>
        <w:r>
          <w:rPr>
            <w:webHidden/>
          </w:rPr>
          <w:fldChar w:fldCharType="separate"/>
        </w:r>
        <w:r w:rsidR="00AA17AB">
          <w:rPr>
            <w:webHidden/>
          </w:rPr>
          <w:t>401</w:t>
        </w:r>
        <w:r>
          <w:rPr>
            <w:webHidden/>
          </w:rPr>
          <w:fldChar w:fldCharType="end"/>
        </w:r>
      </w:hyperlink>
    </w:p>
    <w:p w14:paraId="2D0746E1" w14:textId="4A76A4A5" w:rsidR="00E67799" w:rsidRDefault="00E67799">
      <w:pPr>
        <w:pStyle w:val="TOC1"/>
        <w:rPr>
          <w:rFonts w:asciiTheme="minorHAnsi" w:hAnsiTheme="minorHAnsi" w:cstheme="minorBidi"/>
          <w:b w:val="0"/>
          <w:bCs w:val="0"/>
          <w:sz w:val="24"/>
          <w:szCs w:val="24"/>
        </w:rPr>
      </w:pPr>
      <w:hyperlink w:anchor="_Toc224819476" w:history="1">
        <w:r w:rsidRPr="00FC437C">
          <w:rPr>
            <w:rStyle w:val="Hyperlink"/>
          </w:rPr>
          <w:t>Part XXXV.  Agro-Consumer Services</w:t>
        </w:r>
      </w:hyperlink>
    </w:p>
    <w:p w14:paraId="0B36EFD9" w14:textId="4A3BCC49" w:rsidR="00E67799" w:rsidRDefault="00E67799">
      <w:pPr>
        <w:pStyle w:val="TOC2"/>
        <w:rPr>
          <w:rFonts w:asciiTheme="minorHAnsi" w:eastAsiaTheme="minorEastAsia" w:hAnsiTheme="minorHAnsi" w:cstheme="minorBidi"/>
          <w:kern w:val="2"/>
          <w:szCs w:val="24"/>
          <w14:ligatures w14:val="standardContextual"/>
        </w:rPr>
      </w:pPr>
      <w:hyperlink w:anchor="_Toc224819477"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Weights and Measures</w:t>
        </w:r>
        <w:r>
          <w:rPr>
            <w:webHidden/>
          </w:rPr>
          <w:tab/>
        </w:r>
        <w:r>
          <w:rPr>
            <w:webHidden/>
          </w:rPr>
          <w:fldChar w:fldCharType="begin"/>
        </w:r>
        <w:r>
          <w:rPr>
            <w:webHidden/>
          </w:rPr>
          <w:instrText xml:space="preserve"> PAGEREF _Toc224819477 \h </w:instrText>
        </w:r>
        <w:r>
          <w:rPr>
            <w:webHidden/>
          </w:rPr>
        </w:r>
        <w:r>
          <w:rPr>
            <w:webHidden/>
          </w:rPr>
          <w:fldChar w:fldCharType="separate"/>
        </w:r>
        <w:r w:rsidR="00AA17AB">
          <w:rPr>
            <w:webHidden/>
          </w:rPr>
          <w:t>403</w:t>
        </w:r>
        <w:r>
          <w:rPr>
            <w:webHidden/>
          </w:rPr>
          <w:fldChar w:fldCharType="end"/>
        </w:r>
      </w:hyperlink>
    </w:p>
    <w:p w14:paraId="559BFD98" w14:textId="1B9AFC7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8"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 xml:space="preserve">Specifications, Tolerances and Regulation for Commercial Weighing and </w:t>
        </w:r>
        <w:r w:rsidR="00ED0600">
          <w:rPr>
            <w:rStyle w:val="Hyperlink"/>
          </w:rPr>
          <w:br/>
        </w:r>
        <w:r w:rsidR="00ED0600">
          <w:rPr>
            <w:rStyle w:val="Hyperlink"/>
          </w:rPr>
          <w:tab/>
        </w:r>
        <w:r w:rsidRPr="00FC437C">
          <w:rPr>
            <w:rStyle w:val="Hyperlink"/>
          </w:rPr>
          <w:t>Measuring Devices</w:t>
        </w:r>
        <w:r>
          <w:rPr>
            <w:webHidden/>
          </w:rPr>
          <w:tab/>
        </w:r>
        <w:r>
          <w:rPr>
            <w:webHidden/>
          </w:rPr>
          <w:fldChar w:fldCharType="begin"/>
        </w:r>
        <w:r>
          <w:rPr>
            <w:webHidden/>
          </w:rPr>
          <w:instrText xml:space="preserve"> PAGEREF _Toc224819478 \h </w:instrText>
        </w:r>
        <w:r>
          <w:rPr>
            <w:webHidden/>
          </w:rPr>
        </w:r>
        <w:r>
          <w:rPr>
            <w:webHidden/>
          </w:rPr>
          <w:fldChar w:fldCharType="separate"/>
        </w:r>
        <w:r w:rsidR="00AA17AB">
          <w:rPr>
            <w:webHidden/>
          </w:rPr>
          <w:t>403</w:t>
        </w:r>
        <w:r>
          <w:rPr>
            <w:webHidden/>
          </w:rPr>
          <w:fldChar w:fldCharType="end"/>
        </w:r>
      </w:hyperlink>
    </w:p>
    <w:p w14:paraId="5C5C9F09" w14:textId="48BE9C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79"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_Toc224819479 \h </w:instrText>
        </w:r>
        <w:r>
          <w:rPr>
            <w:webHidden/>
          </w:rPr>
        </w:r>
        <w:r>
          <w:rPr>
            <w:webHidden/>
          </w:rPr>
          <w:fldChar w:fldCharType="separate"/>
        </w:r>
        <w:r w:rsidR="00AA17AB">
          <w:rPr>
            <w:webHidden/>
          </w:rPr>
          <w:t>403</w:t>
        </w:r>
        <w:r>
          <w:rPr>
            <w:webHidden/>
          </w:rPr>
          <w:fldChar w:fldCharType="end"/>
        </w:r>
      </w:hyperlink>
    </w:p>
    <w:p w14:paraId="684E0EE8" w14:textId="3731943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0"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Commodities</w:t>
        </w:r>
        <w:r>
          <w:rPr>
            <w:webHidden/>
          </w:rPr>
          <w:tab/>
        </w:r>
        <w:r>
          <w:rPr>
            <w:webHidden/>
          </w:rPr>
          <w:fldChar w:fldCharType="begin"/>
        </w:r>
        <w:r>
          <w:rPr>
            <w:webHidden/>
          </w:rPr>
          <w:instrText xml:space="preserve"> PAGEREF _Toc224819480 \h </w:instrText>
        </w:r>
        <w:r>
          <w:rPr>
            <w:webHidden/>
          </w:rPr>
        </w:r>
        <w:r>
          <w:rPr>
            <w:webHidden/>
          </w:rPr>
          <w:fldChar w:fldCharType="separate"/>
        </w:r>
        <w:r w:rsidR="00AA17AB">
          <w:rPr>
            <w:webHidden/>
          </w:rPr>
          <w:t>405</w:t>
        </w:r>
        <w:r>
          <w:rPr>
            <w:webHidden/>
          </w:rPr>
          <w:fldChar w:fldCharType="end"/>
        </w:r>
      </w:hyperlink>
    </w:p>
    <w:p w14:paraId="159ED70A" w14:textId="68E2247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1"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Crawfish; Live; Boiled; Peeled</w:t>
        </w:r>
        <w:r>
          <w:rPr>
            <w:webHidden/>
          </w:rPr>
          <w:tab/>
        </w:r>
        <w:r>
          <w:rPr>
            <w:webHidden/>
          </w:rPr>
          <w:fldChar w:fldCharType="begin"/>
        </w:r>
        <w:r>
          <w:rPr>
            <w:webHidden/>
          </w:rPr>
          <w:instrText xml:space="preserve"> PAGEREF _Toc224819481 \h </w:instrText>
        </w:r>
        <w:r>
          <w:rPr>
            <w:webHidden/>
          </w:rPr>
        </w:r>
        <w:r>
          <w:rPr>
            <w:webHidden/>
          </w:rPr>
          <w:fldChar w:fldCharType="separate"/>
        </w:r>
        <w:r w:rsidR="00AA17AB">
          <w:rPr>
            <w:webHidden/>
          </w:rPr>
          <w:t>405</w:t>
        </w:r>
        <w:r>
          <w:rPr>
            <w:webHidden/>
          </w:rPr>
          <w:fldChar w:fldCharType="end"/>
        </w:r>
      </w:hyperlink>
    </w:p>
    <w:p w14:paraId="09AC5EAC" w14:textId="4E37A04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2"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Oysters―Method of Sale</w:t>
        </w:r>
        <w:r>
          <w:rPr>
            <w:webHidden/>
          </w:rPr>
          <w:tab/>
        </w:r>
        <w:r>
          <w:rPr>
            <w:webHidden/>
          </w:rPr>
          <w:fldChar w:fldCharType="begin"/>
        </w:r>
        <w:r>
          <w:rPr>
            <w:webHidden/>
          </w:rPr>
          <w:instrText xml:space="preserve"> PAGEREF _Toc224819482 \h </w:instrText>
        </w:r>
        <w:r>
          <w:rPr>
            <w:webHidden/>
          </w:rPr>
        </w:r>
        <w:r>
          <w:rPr>
            <w:webHidden/>
          </w:rPr>
          <w:fldChar w:fldCharType="separate"/>
        </w:r>
        <w:r w:rsidR="00AA17AB">
          <w:rPr>
            <w:webHidden/>
          </w:rPr>
          <w:t>406</w:t>
        </w:r>
        <w:r>
          <w:rPr>
            <w:webHidden/>
          </w:rPr>
          <w:fldChar w:fldCharType="end"/>
        </w:r>
      </w:hyperlink>
    </w:p>
    <w:p w14:paraId="34B89D44" w14:textId="56EC0D0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3"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Poultry; Live; Dressed―Method of Sale</w:t>
        </w:r>
        <w:r>
          <w:rPr>
            <w:webHidden/>
          </w:rPr>
          <w:tab/>
        </w:r>
        <w:r>
          <w:rPr>
            <w:webHidden/>
          </w:rPr>
          <w:fldChar w:fldCharType="begin"/>
        </w:r>
        <w:r>
          <w:rPr>
            <w:webHidden/>
          </w:rPr>
          <w:instrText xml:space="preserve"> PAGEREF _Toc224819483 \h </w:instrText>
        </w:r>
        <w:r>
          <w:rPr>
            <w:webHidden/>
          </w:rPr>
        </w:r>
        <w:r>
          <w:rPr>
            <w:webHidden/>
          </w:rPr>
          <w:fldChar w:fldCharType="separate"/>
        </w:r>
        <w:r w:rsidR="00AA17AB">
          <w:rPr>
            <w:webHidden/>
          </w:rPr>
          <w:t>406</w:t>
        </w:r>
        <w:r>
          <w:rPr>
            <w:webHidden/>
          </w:rPr>
          <w:fldChar w:fldCharType="end"/>
        </w:r>
      </w:hyperlink>
    </w:p>
    <w:p w14:paraId="2975F6B2" w14:textId="6350888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4"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Scales Prohibited from Use</w:t>
        </w:r>
        <w:r>
          <w:rPr>
            <w:webHidden/>
          </w:rPr>
          <w:tab/>
        </w:r>
        <w:r>
          <w:rPr>
            <w:webHidden/>
          </w:rPr>
          <w:fldChar w:fldCharType="begin"/>
        </w:r>
        <w:r>
          <w:rPr>
            <w:webHidden/>
          </w:rPr>
          <w:instrText xml:space="preserve"> PAGEREF _Toc224819484 \h </w:instrText>
        </w:r>
        <w:r>
          <w:rPr>
            <w:webHidden/>
          </w:rPr>
        </w:r>
        <w:r>
          <w:rPr>
            <w:webHidden/>
          </w:rPr>
          <w:fldChar w:fldCharType="separate"/>
        </w:r>
        <w:r w:rsidR="00AA17AB">
          <w:rPr>
            <w:webHidden/>
          </w:rPr>
          <w:t>406</w:t>
        </w:r>
        <w:r>
          <w:rPr>
            <w:webHidden/>
          </w:rPr>
          <w:fldChar w:fldCharType="end"/>
        </w:r>
      </w:hyperlink>
    </w:p>
    <w:p w14:paraId="2D85DEF6" w14:textId="587CE49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5"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Visual Machine-Readable Code Devices and Labels</w:t>
        </w:r>
        <w:r>
          <w:rPr>
            <w:webHidden/>
          </w:rPr>
          <w:tab/>
        </w:r>
        <w:r>
          <w:rPr>
            <w:webHidden/>
          </w:rPr>
          <w:fldChar w:fldCharType="begin"/>
        </w:r>
        <w:r>
          <w:rPr>
            <w:webHidden/>
          </w:rPr>
          <w:instrText xml:space="preserve"> PAGEREF _Toc224819485 \h </w:instrText>
        </w:r>
        <w:r>
          <w:rPr>
            <w:webHidden/>
          </w:rPr>
        </w:r>
        <w:r>
          <w:rPr>
            <w:webHidden/>
          </w:rPr>
          <w:fldChar w:fldCharType="separate"/>
        </w:r>
        <w:r w:rsidR="00AA17AB">
          <w:rPr>
            <w:webHidden/>
          </w:rPr>
          <w:t>407</w:t>
        </w:r>
        <w:r>
          <w:rPr>
            <w:webHidden/>
          </w:rPr>
          <w:fldChar w:fldCharType="end"/>
        </w:r>
      </w:hyperlink>
    </w:p>
    <w:p w14:paraId="03C7441C" w14:textId="6FE98D6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6"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Cotton Beam Scales</w:t>
        </w:r>
        <w:r>
          <w:rPr>
            <w:webHidden/>
          </w:rPr>
          <w:tab/>
        </w:r>
        <w:r>
          <w:rPr>
            <w:webHidden/>
          </w:rPr>
          <w:fldChar w:fldCharType="begin"/>
        </w:r>
        <w:r>
          <w:rPr>
            <w:webHidden/>
          </w:rPr>
          <w:instrText xml:space="preserve"> PAGEREF _Toc224819486 \h </w:instrText>
        </w:r>
        <w:r>
          <w:rPr>
            <w:webHidden/>
          </w:rPr>
        </w:r>
        <w:r>
          <w:rPr>
            <w:webHidden/>
          </w:rPr>
          <w:fldChar w:fldCharType="separate"/>
        </w:r>
        <w:r w:rsidR="00AA17AB">
          <w:rPr>
            <w:webHidden/>
          </w:rPr>
          <w:t>407</w:t>
        </w:r>
        <w:r>
          <w:rPr>
            <w:webHidden/>
          </w:rPr>
          <w:fldChar w:fldCharType="end"/>
        </w:r>
      </w:hyperlink>
    </w:p>
    <w:p w14:paraId="0E8C9741" w14:textId="3BFE6EA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7"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Farm Bulk Milk Tank Regulations</w:t>
        </w:r>
        <w:r>
          <w:rPr>
            <w:webHidden/>
          </w:rPr>
          <w:tab/>
        </w:r>
        <w:r>
          <w:rPr>
            <w:webHidden/>
          </w:rPr>
          <w:fldChar w:fldCharType="begin"/>
        </w:r>
        <w:r>
          <w:rPr>
            <w:webHidden/>
          </w:rPr>
          <w:instrText xml:space="preserve"> PAGEREF _Toc224819487 \h </w:instrText>
        </w:r>
        <w:r>
          <w:rPr>
            <w:webHidden/>
          </w:rPr>
        </w:r>
        <w:r>
          <w:rPr>
            <w:webHidden/>
          </w:rPr>
          <w:fldChar w:fldCharType="separate"/>
        </w:r>
        <w:r w:rsidR="00AA17AB">
          <w:rPr>
            <w:webHidden/>
          </w:rPr>
          <w:t>407</w:t>
        </w:r>
        <w:r>
          <w:rPr>
            <w:webHidden/>
          </w:rPr>
          <w:fldChar w:fldCharType="end"/>
        </w:r>
      </w:hyperlink>
    </w:p>
    <w:p w14:paraId="42934B1D" w14:textId="70AB73B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8"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Weighmaster</w:t>
        </w:r>
        <w:r>
          <w:rPr>
            <w:webHidden/>
          </w:rPr>
          <w:tab/>
        </w:r>
        <w:r>
          <w:rPr>
            <w:webHidden/>
          </w:rPr>
          <w:fldChar w:fldCharType="begin"/>
        </w:r>
        <w:r>
          <w:rPr>
            <w:webHidden/>
          </w:rPr>
          <w:instrText xml:space="preserve"> PAGEREF _Toc224819488 \h </w:instrText>
        </w:r>
        <w:r>
          <w:rPr>
            <w:webHidden/>
          </w:rPr>
        </w:r>
        <w:r>
          <w:rPr>
            <w:webHidden/>
          </w:rPr>
          <w:fldChar w:fldCharType="separate"/>
        </w:r>
        <w:r w:rsidR="00AA17AB">
          <w:rPr>
            <w:webHidden/>
          </w:rPr>
          <w:t>407</w:t>
        </w:r>
        <w:r>
          <w:rPr>
            <w:webHidden/>
          </w:rPr>
          <w:fldChar w:fldCharType="end"/>
        </w:r>
      </w:hyperlink>
    </w:p>
    <w:p w14:paraId="27B581B6" w14:textId="7E9FBDC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89" w:history="1">
        <w:r w:rsidRPr="00FC437C">
          <w:rPr>
            <w:rStyle w:val="Hyperlink"/>
          </w:rPr>
          <w:t>§125.</w:t>
        </w:r>
        <w:r>
          <w:rPr>
            <w:rFonts w:asciiTheme="minorHAnsi" w:eastAsiaTheme="minorEastAsia" w:hAnsiTheme="minorHAnsi" w:cstheme="minorBidi"/>
            <w:color w:val="auto"/>
            <w:kern w:val="2"/>
            <w:szCs w:val="24"/>
            <w14:ligatures w14:val="standardContextual"/>
          </w:rPr>
          <w:tab/>
        </w:r>
        <w:r w:rsidRPr="00FC437C">
          <w:rPr>
            <w:rStyle w:val="Hyperlink"/>
          </w:rPr>
          <w:t>Weights and Measures Fee Structure</w:t>
        </w:r>
        <w:r>
          <w:rPr>
            <w:webHidden/>
          </w:rPr>
          <w:tab/>
        </w:r>
        <w:r>
          <w:rPr>
            <w:webHidden/>
          </w:rPr>
          <w:fldChar w:fldCharType="begin"/>
        </w:r>
        <w:r>
          <w:rPr>
            <w:webHidden/>
          </w:rPr>
          <w:instrText xml:space="preserve"> PAGEREF _Toc224819489 \h </w:instrText>
        </w:r>
        <w:r>
          <w:rPr>
            <w:webHidden/>
          </w:rPr>
        </w:r>
        <w:r>
          <w:rPr>
            <w:webHidden/>
          </w:rPr>
          <w:fldChar w:fldCharType="separate"/>
        </w:r>
        <w:r w:rsidR="00AA17AB">
          <w:rPr>
            <w:webHidden/>
          </w:rPr>
          <w:t>407</w:t>
        </w:r>
        <w:r>
          <w:rPr>
            <w:webHidden/>
          </w:rPr>
          <w:fldChar w:fldCharType="end"/>
        </w:r>
      </w:hyperlink>
    </w:p>
    <w:p w14:paraId="793DE55A" w14:textId="0E3662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0" w:history="1">
        <w:r w:rsidRPr="00FC437C">
          <w:rPr>
            <w:rStyle w:val="Hyperlink"/>
          </w:rPr>
          <w:t>§127.</w:t>
        </w:r>
        <w:r>
          <w:rPr>
            <w:rFonts w:asciiTheme="minorHAnsi" w:eastAsiaTheme="minorEastAsia" w:hAnsiTheme="minorHAnsi" w:cstheme="minorBidi"/>
            <w:color w:val="auto"/>
            <w:kern w:val="2"/>
            <w:szCs w:val="24"/>
            <w14:ligatures w14:val="standardContextual"/>
          </w:rPr>
          <w:tab/>
        </w:r>
        <w:r w:rsidRPr="00FC437C">
          <w:rPr>
            <w:rStyle w:val="Hyperlink"/>
          </w:rPr>
          <w:t>Registration</w:t>
        </w:r>
        <w:r>
          <w:rPr>
            <w:webHidden/>
          </w:rPr>
          <w:tab/>
        </w:r>
        <w:r>
          <w:rPr>
            <w:webHidden/>
          </w:rPr>
          <w:fldChar w:fldCharType="begin"/>
        </w:r>
        <w:r>
          <w:rPr>
            <w:webHidden/>
          </w:rPr>
          <w:instrText xml:space="preserve"> PAGEREF _Toc224819490 \h </w:instrText>
        </w:r>
        <w:r>
          <w:rPr>
            <w:webHidden/>
          </w:rPr>
        </w:r>
        <w:r>
          <w:rPr>
            <w:webHidden/>
          </w:rPr>
          <w:fldChar w:fldCharType="separate"/>
        </w:r>
        <w:r w:rsidR="00AA17AB">
          <w:rPr>
            <w:webHidden/>
          </w:rPr>
          <w:t>408</w:t>
        </w:r>
        <w:r>
          <w:rPr>
            <w:webHidden/>
          </w:rPr>
          <w:fldChar w:fldCharType="end"/>
        </w:r>
      </w:hyperlink>
    </w:p>
    <w:p w14:paraId="56949D6A" w14:textId="21E5243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1" w:history="1">
        <w:r w:rsidRPr="00FC437C">
          <w:rPr>
            <w:rStyle w:val="Hyperlink"/>
          </w:rPr>
          <w:t>§129.</w:t>
        </w:r>
        <w:r>
          <w:rPr>
            <w:rFonts w:asciiTheme="minorHAnsi" w:eastAsiaTheme="minorEastAsia" w:hAnsiTheme="minorHAnsi" w:cstheme="minorBidi"/>
            <w:color w:val="auto"/>
            <w:kern w:val="2"/>
            <w:szCs w:val="24"/>
            <w14:ligatures w14:val="standardContextual"/>
          </w:rPr>
          <w:tab/>
        </w:r>
        <w:r w:rsidRPr="00FC437C">
          <w:rPr>
            <w:rStyle w:val="Hyperlink"/>
          </w:rPr>
          <w:t>Standards</w:t>
        </w:r>
        <w:r>
          <w:rPr>
            <w:webHidden/>
          </w:rPr>
          <w:tab/>
        </w:r>
        <w:r>
          <w:rPr>
            <w:webHidden/>
          </w:rPr>
          <w:fldChar w:fldCharType="begin"/>
        </w:r>
        <w:r>
          <w:rPr>
            <w:webHidden/>
          </w:rPr>
          <w:instrText xml:space="preserve"> PAGEREF _Toc224819491 \h </w:instrText>
        </w:r>
        <w:r>
          <w:rPr>
            <w:webHidden/>
          </w:rPr>
        </w:r>
        <w:r>
          <w:rPr>
            <w:webHidden/>
          </w:rPr>
          <w:fldChar w:fldCharType="separate"/>
        </w:r>
        <w:r w:rsidR="00AA17AB">
          <w:rPr>
            <w:webHidden/>
          </w:rPr>
          <w:t>409</w:t>
        </w:r>
        <w:r>
          <w:rPr>
            <w:webHidden/>
          </w:rPr>
          <w:fldChar w:fldCharType="end"/>
        </w:r>
      </w:hyperlink>
    </w:p>
    <w:p w14:paraId="1E67BEC1" w14:textId="2469E78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2" w:history="1">
        <w:r w:rsidRPr="00FC437C">
          <w:rPr>
            <w:rStyle w:val="Hyperlink"/>
          </w:rPr>
          <w:t>§131.</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_Toc224819492 \h </w:instrText>
        </w:r>
        <w:r>
          <w:rPr>
            <w:webHidden/>
          </w:rPr>
        </w:r>
        <w:r>
          <w:rPr>
            <w:webHidden/>
          </w:rPr>
          <w:fldChar w:fldCharType="separate"/>
        </w:r>
        <w:r w:rsidR="00AA17AB">
          <w:rPr>
            <w:webHidden/>
          </w:rPr>
          <w:t>410</w:t>
        </w:r>
        <w:r>
          <w:rPr>
            <w:webHidden/>
          </w:rPr>
          <w:fldChar w:fldCharType="end"/>
        </w:r>
      </w:hyperlink>
    </w:p>
    <w:p w14:paraId="0D0DC463" w14:textId="03D2D99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3" w:history="1">
        <w:r w:rsidRPr="00FC437C">
          <w:rPr>
            <w:rStyle w:val="Hyperlink"/>
          </w:rPr>
          <w:t>§133.</w:t>
        </w:r>
        <w:r>
          <w:rPr>
            <w:rFonts w:asciiTheme="minorHAnsi" w:eastAsiaTheme="minorEastAsia" w:hAnsiTheme="minorHAnsi" w:cstheme="minorBidi"/>
            <w:color w:val="auto"/>
            <w:kern w:val="2"/>
            <w:szCs w:val="24"/>
            <w14:ligatures w14:val="standardContextual"/>
          </w:rPr>
          <w:tab/>
        </w:r>
        <w:r w:rsidRPr="00FC437C">
          <w:rPr>
            <w:rStyle w:val="Hyperlink"/>
          </w:rPr>
          <w:t>Powers of the Director</w:t>
        </w:r>
        <w:r>
          <w:rPr>
            <w:webHidden/>
          </w:rPr>
          <w:tab/>
        </w:r>
        <w:r>
          <w:rPr>
            <w:webHidden/>
          </w:rPr>
          <w:fldChar w:fldCharType="begin"/>
        </w:r>
        <w:r>
          <w:rPr>
            <w:webHidden/>
          </w:rPr>
          <w:instrText xml:space="preserve"> PAGEREF _Toc224819493 \h </w:instrText>
        </w:r>
        <w:r>
          <w:rPr>
            <w:webHidden/>
          </w:rPr>
        </w:r>
        <w:r>
          <w:rPr>
            <w:webHidden/>
          </w:rPr>
          <w:fldChar w:fldCharType="separate"/>
        </w:r>
        <w:r w:rsidR="00AA17AB">
          <w:rPr>
            <w:webHidden/>
          </w:rPr>
          <w:t>410</w:t>
        </w:r>
        <w:r>
          <w:rPr>
            <w:webHidden/>
          </w:rPr>
          <w:fldChar w:fldCharType="end"/>
        </w:r>
      </w:hyperlink>
    </w:p>
    <w:p w14:paraId="6433CE5F" w14:textId="6C9244A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4" w:history="1">
        <w:r w:rsidRPr="00FC437C">
          <w:rPr>
            <w:rStyle w:val="Hyperlink"/>
          </w:rPr>
          <w:t>§137.</w:t>
        </w:r>
        <w:r>
          <w:rPr>
            <w:rFonts w:asciiTheme="minorHAnsi" w:eastAsiaTheme="minorEastAsia" w:hAnsiTheme="minorHAnsi" w:cstheme="minorBidi"/>
            <w:color w:val="auto"/>
            <w:kern w:val="2"/>
            <w:szCs w:val="24"/>
            <w14:ligatures w14:val="standardContextual"/>
          </w:rPr>
          <w:tab/>
        </w:r>
        <w:r w:rsidRPr="00FC437C">
          <w:rPr>
            <w:rStyle w:val="Hyperlink"/>
          </w:rPr>
          <w:t>Mulch; Definition; Sale by Volume; Prohibitions</w:t>
        </w:r>
        <w:r>
          <w:rPr>
            <w:webHidden/>
          </w:rPr>
          <w:tab/>
        </w:r>
        <w:r>
          <w:rPr>
            <w:webHidden/>
          </w:rPr>
          <w:fldChar w:fldCharType="begin"/>
        </w:r>
        <w:r>
          <w:rPr>
            <w:webHidden/>
          </w:rPr>
          <w:instrText xml:space="preserve"> PAGEREF _Toc224819494 \h </w:instrText>
        </w:r>
        <w:r>
          <w:rPr>
            <w:webHidden/>
          </w:rPr>
        </w:r>
        <w:r>
          <w:rPr>
            <w:webHidden/>
          </w:rPr>
          <w:fldChar w:fldCharType="separate"/>
        </w:r>
        <w:r w:rsidR="00AA17AB">
          <w:rPr>
            <w:webHidden/>
          </w:rPr>
          <w:t>410</w:t>
        </w:r>
        <w:r>
          <w:rPr>
            <w:webHidden/>
          </w:rPr>
          <w:fldChar w:fldCharType="end"/>
        </w:r>
      </w:hyperlink>
    </w:p>
    <w:p w14:paraId="32810C7F" w14:textId="778555F3" w:rsidR="00E67799" w:rsidRDefault="00E67799">
      <w:pPr>
        <w:pStyle w:val="TOC2"/>
        <w:rPr>
          <w:rFonts w:asciiTheme="minorHAnsi" w:eastAsiaTheme="minorEastAsia" w:hAnsiTheme="minorHAnsi" w:cstheme="minorBidi"/>
          <w:kern w:val="2"/>
          <w:szCs w:val="24"/>
          <w14:ligatures w14:val="standardContextual"/>
        </w:rPr>
      </w:pPr>
      <w:hyperlink w:anchor="_Toc224819495"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Petroleum Products</w:t>
        </w:r>
        <w:r>
          <w:rPr>
            <w:webHidden/>
          </w:rPr>
          <w:tab/>
        </w:r>
        <w:r>
          <w:rPr>
            <w:webHidden/>
          </w:rPr>
          <w:fldChar w:fldCharType="begin"/>
        </w:r>
        <w:r>
          <w:rPr>
            <w:webHidden/>
          </w:rPr>
          <w:instrText xml:space="preserve"> PAGEREF _Toc224819495 \h </w:instrText>
        </w:r>
        <w:r>
          <w:rPr>
            <w:webHidden/>
          </w:rPr>
        </w:r>
        <w:r>
          <w:rPr>
            <w:webHidden/>
          </w:rPr>
          <w:fldChar w:fldCharType="separate"/>
        </w:r>
        <w:r w:rsidR="00AA17AB">
          <w:rPr>
            <w:webHidden/>
          </w:rPr>
          <w:t>410</w:t>
        </w:r>
        <w:r>
          <w:rPr>
            <w:webHidden/>
          </w:rPr>
          <w:fldChar w:fldCharType="end"/>
        </w:r>
      </w:hyperlink>
    </w:p>
    <w:p w14:paraId="1BC932E4" w14:textId="03F1E2DA" w:rsidR="00E67799" w:rsidRDefault="00E67799">
      <w:pPr>
        <w:pStyle w:val="TOC2"/>
        <w:rPr>
          <w:rFonts w:asciiTheme="minorHAnsi" w:eastAsiaTheme="minorEastAsia" w:hAnsiTheme="minorHAnsi" w:cstheme="minorBidi"/>
          <w:kern w:val="2"/>
          <w:szCs w:val="24"/>
          <w14:ligatures w14:val="standardContextual"/>
        </w:rPr>
      </w:pPr>
      <w:hyperlink w:anchor="_Toc224819496"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Standards</w:t>
        </w:r>
        <w:r>
          <w:rPr>
            <w:webHidden/>
          </w:rPr>
          <w:tab/>
        </w:r>
        <w:r>
          <w:rPr>
            <w:webHidden/>
          </w:rPr>
          <w:fldChar w:fldCharType="begin"/>
        </w:r>
        <w:r>
          <w:rPr>
            <w:webHidden/>
          </w:rPr>
          <w:instrText xml:space="preserve"> PAGEREF _Toc224819496 \h </w:instrText>
        </w:r>
        <w:r>
          <w:rPr>
            <w:webHidden/>
          </w:rPr>
        </w:r>
        <w:r>
          <w:rPr>
            <w:webHidden/>
          </w:rPr>
          <w:fldChar w:fldCharType="separate"/>
        </w:r>
        <w:r w:rsidR="00AA17AB">
          <w:rPr>
            <w:webHidden/>
          </w:rPr>
          <w:t>410</w:t>
        </w:r>
        <w:r>
          <w:rPr>
            <w:webHidden/>
          </w:rPr>
          <w:fldChar w:fldCharType="end"/>
        </w:r>
      </w:hyperlink>
    </w:p>
    <w:p w14:paraId="10B204A3" w14:textId="00B6578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7"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_Toc224819497 \h </w:instrText>
        </w:r>
        <w:r>
          <w:rPr>
            <w:webHidden/>
          </w:rPr>
        </w:r>
        <w:r>
          <w:rPr>
            <w:webHidden/>
          </w:rPr>
          <w:fldChar w:fldCharType="separate"/>
        </w:r>
        <w:r w:rsidR="00AA17AB">
          <w:rPr>
            <w:webHidden/>
          </w:rPr>
          <w:t>410</w:t>
        </w:r>
        <w:r>
          <w:rPr>
            <w:webHidden/>
          </w:rPr>
          <w:fldChar w:fldCharType="end"/>
        </w:r>
      </w:hyperlink>
    </w:p>
    <w:p w14:paraId="18689059" w14:textId="7636FB4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8"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Gasoline and Gasoline-Oxygenate Blends</w:t>
        </w:r>
        <w:r>
          <w:rPr>
            <w:webHidden/>
          </w:rPr>
          <w:tab/>
        </w:r>
        <w:r>
          <w:rPr>
            <w:webHidden/>
          </w:rPr>
          <w:fldChar w:fldCharType="begin"/>
        </w:r>
        <w:r>
          <w:rPr>
            <w:webHidden/>
          </w:rPr>
          <w:instrText xml:space="preserve"> PAGEREF _Toc224819498 \h </w:instrText>
        </w:r>
        <w:r>
          <w:rPr>
            <w:webHidden/>
          </w:rPr>
        </w:r>
        <w:r>
          <w:rPr>
            <w:webHidden/>
          </w:rPr>
          <w:fldChar w:fldCharType="separate"/>
        </w:r>
        <w:r w:rsidR="00AA17AB">
          <w:rPr>
            <w:webHidden/>
          </w:rPr>
          <w:t>412</w:t>
        </w:r>
        <w:r>
          <w:rPr>
            <w:webHidden/>
          </w:rPr>
          <w:fldChar w:fldCharType="end"/>
        </w:r>
      </w:hyperlink>
    </w:p>
    <w:p w14:paraId="7E766378" w14:textId="174C12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499"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Diesel Fuel</w:t>
        </w:r>
        <w:r>
          <w:rPr>
            <w:webHidden/>
          </w:rPr>
          <w:tab/>
        </w:r>
        <w:r>
          <w:rPr>
            <w:webHidden/>
          </w:rPr>
          <w:fldChar w:fldCharType="begin"/>
        </w:r>
        <w:r>
          <w:rPr>
            <w:webHidden/>
          </w:rPr>
          <w:instrText xml:space="preserve"> PAGEREF _Toc224819499 \h </w:instrText>
        </w:r>
        <w:r>
          <w:rPr>
            <w:webHidden/>
          </w:rPr>
        </w:r>
        <w:r>
          <w:rPr>
            <w:webHidden/>
          </w:rPr>
          <w:fldChar w:fldCharType="separate"/>
        </w:r>
        <w:r w:rsidR="00AA17AB">
          <w:rPr>
            <w:webHidden/>
          </w:rPr>
          <w:t>413</w:t>
        </w:r>
        <w:r>
          <w:rPr>
            <w:webHidden/>
          </w:rPr>
          <w:fldChar w:fldCharType="end"/>
        </w:r>
      </w:hyperlink>
    </w:p>
    <w:p w14:paraId="1ED2FB31" w14:textId="16C692E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0"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Aviation Turbine Fuels</w:t>
        </w:r>
        <w:r>
          <w:rPr>
            <w:webHidden/>
          </w:rPr>
          <w:tab/>
        </w:r>
        <w:r>
          <w:rPr>
            <w:webHidden/>
          </w:rPr>
          <w:fldChar w:fldCharType="begin"/>
        </w:r>
        <w:r>
          <w:rPr>
            <w:webHidden/>
          </w:rPr>
          <w:instrText xml:space="preserve"> PAGEREF _Toc224819500 \h </w:instrText>
        </w:r>
        <w:r>
          <w:rPr>
            <w:webHidden/>
          </w:rPr>
        </w:r>
        <w:r>
          <w:rPr>
            <w:webHidden/>
          </w:rPr>
          <w:fldChar w:fldCharType="separate"/>
        </w:r>
        <w:r w:rsidR="00AA17AB">
          <w:rPr>
            <w:webHidden/>
          </w:rPr>
          <w:t>413</w:t>
        </w:r>
        <w:r>
          <w:rPr>
            <w:webHidden/>
          </w:rPr>
          <w:fldChar w:fldCharType="end"/>
        </w:r>
      </w:hyperlink>
    </w:p>
    <w:p w14:paraId="1EFB3F60" w14:textId="0CDF9D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1" w:history="1">
        <w:r w:rsidRPr="00FC437C">
          <w:rPr>
            <w:rStyle w:val="Hyperlink"/>
          </w:rPr>
          <w:t>§309.</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Aviation Gasoline</w:t>
        </w:r>
        <w:r>
          <w:rPr>
            <w:webHidden/>
          </w:rPr>
          <w:tab/>
        </w:r>
        <w:r>
          <w:rPr>
            <w:webHidden/>
          </w:rPr>
          <w:fldChar w:fldCharType="begin"/>
        </w:r>
        <w:r>
          <w:rPr>
            <w:webHidden/>
          </w:rPr>
          <w:instrText xml:space="preserve"> PAGEREF _Toc224819501 \h </w:instrText>
        </w:r>
        <w:r>
          <w:rPr>
            <w:webHidden/>
          </w:rPr>
        </w:r>
        <w:r>
          <w:rPr>
            <w:webHidden/>
          </w:rPr>
          <w:fldChar w:fldCharType="separate"/>
        </w:r>
        <w:r w:rsidR="00AA17AB">
          <w:rPr>
            <w:webHidden/>
          </w:rPr>
          <w:t>414</w:t>
        </w:r>
        <w:r>
          <w:rPr>
            <w:webHidden/>
          </w:rPr>
          <w:fldChar w:fldCharType="end"/>
        </w:r>
      </w:hyperlink>
    </w:p>
    <w:p w14:paraId="27BAFEAC" w14:textId="3C8F7FE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2" w:history="1">
        <w:r w:rsidRPr="00FC437C">
          <w:rPr>
            <w:rStyle w:val="Hyperlink"/>
          </w:rPr>
          <w:t>§311.</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Fuel Oils</w:t>
        </w:r>
        <w:r>
          <w:rPr>
            <w:webHidden/>
          </w:rPr>
          <w:tab/>
        </w:r>
        <w:r>
          <w:rPr>
            <w:webHidden/>
          </w:rPr>
          <w:fldChar w:fldCharType="begin"/>
        </w:r>
        <w:r>
          <w:rPr>
            <w:webHidden/>
          </w:rPr>
          <w:instrText xml:space="preserve"> PAGEREF _Toc224819502 \h </w:instrText>
        </w:r>
        <w:r>
          <w:rPr>
            <w:webHidden/>
          </w:rPr>
        </w:r>
        <w:r>
          <w:rPr>
            <w:webHidden/>
          </w:rPr>
          <w:fldChar w:fldCharType="separate"/>
        </w:r>
        <w:r w:rsidR="00AA17AB">
          <w:rPr>
            <w:webHidden/>
          </w:rPr>
          <w:t>414</w:t>
        </w:r>
        <w:r>
          <w:rPr>
            <w:webHidden/>
          </w:rPr>
          <w:fldChar w:fldCharType="end"/>
        </w:r>
      </w:hyperlink>
    </w:p>
    <w:p w14:paraId="4BC8DA2F" w14:textId="55FB984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3" w:history="1">
        <w:r w:rsidRPr="00FC437C">
          <w:rPr>
            <w:rStyle w:val="Hyperlink"/>
          </w:rPr>
          <w:t>§313.</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Kerosene</w:t>
        </w:r>
        <w:r>
          <w:rPr>
            <w:webHidden/>
          </w:rPr>
          <w:tab/>
        </w:r>
        <w:r>
          <w:rPr>
            <w:webHidden/>
          </w:rPr>
          <w:fldChar w:fldCharType="begin"/>
        </w:r>
        <w:r>
          <w:rPr>
            <w:webHidden/>
          </w:rPr>
          <w:instrText xml:space="preserve"> PAGEREF _Toc224819503 \h </w:instrText>
        </w:r>
        <w:r>
          <w:rPr>
            <w:webHidden/>
          </w:rPr>
        </w:r>
        <w:r>
          <w:rPr>
            <w:webHidden/>
          </w:rPr>
          <w:fldChar w:fldCharType="separate"/>
        </w:r>
        <w:r w:rsidR="00AA17AB">
          <w:rPr>
            <w:webHidden/>
          </w:rPr>
          <w:t>414</w:t>
        </w:r>
        <w:r>
          <w:rPr>
            <w:webHidden/>
          </w:rPr>
          <w:fldChar w:fldCharType="end"/>
        </w:r>
      </w:hyperlink>
    </w:p>
    <w:p w14:paraId="736724C6" w14:textId="376BBB0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4" w:history="1">
        <w:r w:rsidRPr="00FC437C">
          <w:rPr>
            <w:rStyle w:val="Hyperlink"/>
          </w:rPr>
          <w:t>§315.</w:t>
        </w:r>
        <w:r>
          <w:rPr>
            <w:rFonts w:asciiTheme="minorHAnsi" w:eastAsiaTheme="minorEastAsia" w:hAnsiTheme="minorHAnsi" w:cstheme="minorBidi"/>
            <w:color w:val="auto"/>
            <w:kern w:val="2"/>
            <w:szCs w:val="24"/>
            <w14:ligatures w14:val="standardContextual"/>
          </w:rPr>
          <w:tab/>
        </w:r>
        <w:r w:rsidRPr="00FC437C">
          <w:rPr>
            <w:rStyle w:val="Hyperlink"/>
          </w:rPr>
          <w:t>Standard Specifications for Ethanol</w:t>
        </w:r>
        <w:r>
          <w:rPr>
            <w:webHidden/>
          </w:rPr>
          <w:tab/>
        </w:r>
        <w:r>
          <w:rPr>
            <w:webHidden/>
          </w:rPr>
          <w:fldChar w:fldCharType="begin"/>
        </w:r>
        <w:r>
          <w:rPr>
            <w:webHidden/>
          </w:rPr>
          <w:instrText xml:space="preserve"> PAGEREF _Toc224819504 \h </w:instrText>
        </w:r>
        <w:r>
          <w:rPr>
            <w:webHidden/>
          </w:rPr>
        </w:r>
        <w:r>
          <w:rPr>
            <w:webHidden/>
          </w:rPr>
          <w:fldChar w:fldCharType="separate"/>
        </w:r>
        <w:r w:rsidR="00AA17AB">
          <w:rPr>
            <w:webHidden/>
          </w:rPr>
          <w:t>414</w:t>
        </w:r>
        <w:r>
          <w:rPr>
            <w:webHidden/>
          </w:rPr>
          <w:fldChar w:fldCharType="end"/>
        </w:r>
      </w:hyperlink>
    </w:p>
    <w:p w14:paraId="56FAA8C1" w14:textId="32B75D4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5" w:history="1">
        <w:r w:rsidRPr="00FC437C">
          <w:rPr>
            <w:rStyle w:val="Hyperlink"/>
          </w:rPr>
          <w:t>§317.</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Fuel Ethanol</w:t>
        </w:r>
        <w:r>
          <w:rPr>
            <w:webHidden/>
          </w:rPr>
          <w:tab/>
        </w:r>
        <w:r>
          <w:rPr>
            <w:webHidden/>
          </w:rPr>
          <w:fldChar w:fldCharType="begin"/>
        </w:r>
        <w:r>
          <w:rPr>
            <w:webHidden/>
          </w:rPr>
          <w:instrText xml:space="preserve"> PAGEREF _Toc224819505 \h </w:instrText>
        </w:r>
        <w:r>
          <w:rPr>
            <w:webHidden/>
          </w:rPr>
        </w:r>
        <w:r>
          <w:rPr>
            <w:webHidden/>
          </w:rPr>
          <w:fldChar w:fldCharType="separate"/>
        </w:r>
        <w:r w:rsidR="00AA17AB">
          <w:rPr>
            <w:webHidden/>
          </w:rPr>
          <w:t>414</w:t>
        </w:r>
        <w:r>
          <w:rPr>
            <w:webHidden/>
          </w:rPr>
          <w:fldChar w:fldCharType="end"/>
        </w:r>
      </w:hyperlink>
    </w:p>
    <w:p w14:paraId="6928D272" w14:textId="6C14586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6" w:history="1">
        <w:r w:rsidRPr="00FC437C">
          <w:rPr>
            <w:rStyle w:val="Hyperlink"/>
          </w:rPr>
          <w:t>§319.</w:t>
        </w:r>
        <w:r>
          <w:rPr>
            <w:rFonts w:asciiTheme="minorHAnsi" w:eastAsiaTheme="minorEastAsia" w:hAnsiTheme="minorHAnsi" w:cstheme="minorBidi"/>
            <w:color w:val="auto"/>
            <w:kern w:val="2"/>
            <w:szCs w:val="24"/>
            <w14:ligatures w14:val="standardContextual"/>
          </w:rPr>
          <w:tab/>
        </w:r>
        <w:r w:rsidRPr="00FC437C">
          <w:rPr>
            <w:rStyle w:val="Hyperlink"/>
          </w:rPr>
          <w:t>Standard Fuel Specifications for Fuel Methanol</w:t>
        </w:r>
        <w:r>
          <w:rPr>
            <w:webHidden/>
          </w:rPr>
          <w:tab/>
        </w:r>
        <w:r>
          <w:rPr>
            <w:webHidden/>
          </w:rPr>
          <w:fldChar w:fldCharType="begin"/>
        </w:r>
        <w:r>
          <w:rPr>
            <w:webHidden/>
          </w:rPr>
          <w:instrText xml:space="preserve"> PAGEREF _Toc224819506 \h </w:instrText>
        </w:r>
        <w:r>
          <w:rPr>
            <w:webHidden/>
          </w:rPr>
        </w:r>
        <w:r>
          <w:rPr>
            <w:webHidden/>
          </w:rPr>
          <w:fldChar w:fldCharType="separate"/>
        </w:r>
        <w:r w:rsidR="00AA17AB">
          <w:rPr>
            <w:webHidden/>
          </w:rPr>
          <w:t>414</w:t>
        </w:r>
        <w:r>
          <w:rPr>
            <w:webHidden/>
          </w:rPr>
          <w:fldChar w:fldCharType="end"/>
        </w:r>
      </w:hyperlink>
    </w:p>
    <w:p w14:paraId="5E1E538D" w14:textId="610D9F6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7" w:history="1">
        <w:r w:rsidRPr="00FC437C">
          <w:rPr>
            <w:rStyle w:val="Hyperlink"/>
          </w:rPr>
          <w:t>§321.</w:t>
        </w:r>
        <w:r>
          <w:rPr>
            <w:rFonts w:asciiTheme="minorHAnsi" w:eastAsiaTheme="minorEastAsia" w:hAnsiTheme="minorHAnsi" w:cstheme="minorBidi"/>
            <w:color w:val="auto"/>
            <w:kern w:val="2"/>
            <w:szCs w:val="24"/>
            <w14:ligatures w14:val="standardContextual"/>
          </w:rPr>
          <w:tab/>
        </w:r>
        <w:r w:rsidRPr="00FC437C">
          <w:rPr>
            <w:rStyle w:val="Hyperlink"/>
          </w:rPr>
          <w:t>Classification and Method of Sale of Petroleum Products</w:t>
        </w:r>
        <w:r>
          <w:rPr>
            <w:webHidden/>
          </w:rPr>
          <w:tab/>
        </w:r>
        <w:r>
          <w:rPr>
            <w:webHidden/>
          </w:rPr>
          <w:fldChar w:fldCharType="begin"/>
        </w:r>
        <w:r>
          <w:rPr>
            <w:webHidden/>
          </w:rPr>
          <w:instrText xml:space="preserve"> PAGEREF _Toc224819507 \h </w:instrText>
        </w:r>
        <w:r>
          <w:rPr>
            <w:webHidden/>
          </w:rPr>
        </w:r>
        <w:r>
          <w:rPr>
            <w:webHidden/>
          </w:rPr>
          <w:fldChar w:fldCharType="separate"/>
        </w:r>
        <w:r w:rsidR="00AA17AB">
          <w:rPr>
            <w:webHidden/>
          </w:rPr>
          <w:t>414</w:t>
        </w:r>
        <w:r>
          <w:rPr>
            <w:webHidden/>
          </w:rPr>
          <w:fldChar w:fldCharType="end"/>
        </w:r>
      </w:hyperlink>
    </w:p>
    <w:p w14:paraId="4C7836E4" w14:textId="692B2F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8" w:history="1">
        <w:r w:rsidRPr="00FC437C">
          <w:rPr>
            <w:rStyle w:val="Hyperlink"/>
          </w:rPr>
          <w:t>§323.</w:t>
        </w:r>
        <w:r>
          <w:rPr>
            <w:rFonts w:asciiTheme="minorHAnsi" w:eastAsiaTheme="minorEastAsia" w:hAnsiTheme="minorHAnsi" w:cstheme="minorBidi"/>
            <w:color w:val="auto"/>
            <w:kern w:val="2"/>
            <w:szCs w:val="24"/>
            <w14:ligatures w14:val="standardContextual"/>
          </w:rPr>
          <w:tab/>
        </w:r>
        <w:r w:rsidRPr="00FC437C">
          <w:rPr>
            <w:rStyle w:val="Hyperlink"/>
          </w:rPr>
          <w:t>Automotive Gasoline and Automotive Gasoline-Oxygenate Blends</w:t>
        </w:r>
        <w:r>
          <w:rPr>
            <w:webHidden/>
          </w:rPr>
          <w:tab/>
        </w:r>
        <w:r>
          <w:rPr>
            <w:webHidden/>
          </w:rPr>
          <w:fldChar w:fldCharType="begin"/>
        </w:r>
        <w:r>
          <w:rPr>
            <w:webHidden/>
          </w:rPr>
          <w:instrText xml:space="preserve"> PAGEREF _Toc224819508 \h </w:instrText>
        </w:r>
        <w:r>
          <w:rPr>
            <w:webHidden/>
          </w:rPr>
        </w:r>
        <w:r>
          <w:rPr>
            <w:webHidden/>
          </w:rPr>
          <w:fldChar w:fldCharType="separate"/>
        </w:r>
        <w:r w:rsidR="00AA17AB">
          <w:rPr>
            <w:webHidden/>
          </w:rPr>
          <w:t>415</w:t>
        </w:r>
        <w:r>
          <w:rPr>
            <w:webHidden/>
          </w:rPr>
          <w:fldChar w:fldCharType="end"/>
        </w:r>
      </w:hyperlink>
    </w:p>
    <w:p w14:paraId="3ADEAD88" w14:textId="095C22E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09" w:history="1">
        <w:r w:rsidRPr="00FC437C">
          <w:rPr>
            <w:rStyle w:val="Hyperlink"/>
          </w:rPr>
          <w:t>§325.</w:t>
        </w:r>
        <w:r>
          <w:rPr>
            <w:rFonts w:asciiTheme="minorHAnsi" w:eastAsiaTheme="minorEastAsia" w:hAnsiTheme="minorHAnsi" w:cstheme="minorBidi"/>
            <w:color w:val="auto"/>
            <w:kern w:val="2"/>
            <w:szCs w:val="24"/>
            <w14:ligatures w14:val="standardContextual"/>
          </w:rPr>
          <w:tab/>
        </w:r>
        <w:r w:rsidRPr="00FC437C">
          <w:rPr>
            <w:rStyle w:val="Hyperlink"/>
          </w:rPr>
          <w:t>Diesel Fuel</w:t>
        </w:r>
        <w:r>
          <w:rPr>
            <w:webHidden/>
          </w:rPr>
          <w:tab/>
        </w:r>
        <w:r>
          <w:rPr>
            <w:webHidden/>
          </w:rPr>
          <w:fldChar w:fldCharType="begin"/>
        </w:r>
        <w:r>
          <w:rPr>
            <w:webHidden/>
          </w:rPr>
          <w:instrText xml:space="preserve"> PAGEREF _Toc224819509 \h </w:instrText>
        </w:r>
        <w:r>
          <w:rPr>
            <w:webHidden/>
          </w:rPr>
        </w:r>
        <w:r>
          <w:rPr>
            <w:webHidden/>
          </w:rPr>
          <w:fldChar w:fldCharType="separate"/>
        </w:r>
        <w:r w:rsidR="00AA17AB">
          <w:rPr>
            <w:webHidden/>
          </w:rPr>
          <w:t>416</w:t>
        </w:r>
        <w:r>
          <w:rPr>
            <w:webHidden/>
          </w:rPr>
          <w:fldChar w:fldCharType="end"/>
        </w:r>
      </w:hyperlink>
    </w:p>
    <w:p w14:paraId="0BB4190B" w14:textId="6DB80B0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0" w:history="1">
        <w:r w:rsidRPr="00FC437C">
          <w:rPr>
            <w:rStyle w:val="Hyperlink"/>
          </w:rPr>
          <w:t>§327.</w:t>
        </w:r>
        <w:r>
          <w:rPr>
            <w:rFonts w:asciiTheme="minorHAnsi" w:eastAsiaTheme="minorEastAsia" w:hAnsiTheme="minorHAnsi" w:cstheme="minorBidi"/>
            <w:color w:val="auto"/>
            <w:kern w:val="2"/>
            <w:szCs w:val="24"/>
            <w14:ligatures w14:val="standardContextual"/>
          </w:rPr>
          <w:tab/>
        </w:r>
        <w:r w:rsidRPr="00FC437C">
          <w:rPr>
            <w:rStyle w:val="Hyperlink"/>
          </w:rPr>
          <w:t>Biodiesel and Biomass-Based Diesel</w:t>
        </w:r>
        <w:r>
          <w:rPr>
            <w:webHidden/>
          </w:rPr>
          <w:tab/>
        </w:r>
        <w:r>
          <w:rPr>
            <w:webHidden/>
          </w:rPr>
          <w:fldChar w:fldCharType="begin"/>
        </w:r>
        <w:r>
          <w:rPr>
            <w:webHidden/>
          </w:rPr>
          <w:instrText xml:space="preserve"> PAGEREF _Toc224819510 \h </w:instrText>
        </w:r>
        <w:r>
          <w:rPr>
            <w:webHidden/>
          </w:rPr>
        </w:r>
        <w:r>
          <w:rPr>
            <w:webHidden/>
          </w:rPr>
          <w:fldChar w:fldCharType="separate"/>
        </w:r>
        <w:r w:rsidR="00AA17AB">
          <w:rPr>
            <w:webHidden/>
          </w:rPr>
          <w:t>416</w:t>
        </w:r>
        <w:r>
          <w:rPr>
            <w:webHidden/>
          </w:rPr>
          <w:fldChar w:fldCharType="end"/>
        </w:r>
      </w:hyperlink>
    </w:p>
    <w:p w14:paraId="17317E49" w14:textId="24038E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1" w:history="1">
        <w:r w:rsidRPr="00FC437C">
          <w:rPr>
            <w:rStyle w:val="Hyperlink"/>
          </w:rPr>
          <w:t>§329.</w:t>
        </w:r>
        <w:r>
          <w:rPr>
            <w:rFonts w:asciiTheme="minorHAnsi" w:eastAsiaTheme="minorEastAsia" w:hAnsiTheme="minorHAnsi" w:cstheme="minorBidi"/>
            <w:color w:val="auto"/>
            <w:kern w:val="2"/>
            <w:szCs w:val="24"/>
            <w14:ligatures w14:val="standardContextual"/>
          </w:rPr>
          <w:tab/>
        </w:r>
        <w:r w:rsidRPr="00FC437C">
          <w:rPr>
            <w:rStyle w:val="Hyperlink"/>
          </w:rPr>
          <w:t>Aviation Turbine Fuels</w:t>
        </w:r>
        <w:r>
          <w:rPr>
            <w:webHidden/>
          </w:rPr>
          <w:tab/>
        </w:r>
        <w:r>
          <w:rPr>
            <w:webHidden/>
          </w:rPr>
          <w:fldChar w:fldCharType="begin"/>
        </w:r>
        <w:r>
          <w:rPr>
            <w:webHidden/>
          </w:rPr>
          <w:instrText xml:space="preserve"> PAGEREF _Toc224819511 \h </w:instrText>
        </w:r>
        <w:r>
          <w:rPr>
            <w:webHidden/>
          </w:rPr>
        </w:r>
        <w:r>
          <w:rPr>
            <w:webHidden/>
          </w:rPr>
          <w:fldChar w:fldCharType="separate"/>
        </w:r>
        <w:r w:rsidR="00AA17AB">
          <w:rPr>
            <w:webHidden/>
          </w:rPr>
          <w:t>416</w:t>
        </w:r>
        <w:r>
          <w:rPr>
            <w:webHidden/>
          </w:rPr>
          <w:fldChar w:fldCharType="end"/>
        </w:r>
      </w:hyperlink>
    </w:p>
    <w:p w14:paraId="60C66E57" w14:textId="114C0AE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2" w:history="1">
        <w:r w:rsidRPr="00FC437C">
          <w:rPr>
            <w:rStyle w:val="Hyperlink"/>
          </w:rPr>
          <w:t>§331.</w:t>
        </w:r>
        <w:r>
          <w:rPr>
            <w:rFonts w:asciiTheme="minorHAnsi" w:eastAsiaTheme="minorEastAsia" w:hAnsiTheme="minorHAnsi" w:cstheme="minorBidi"/>
            <w:color w:val="auto"/>
            <w:kern w:val="2"/>
            <w:szCs w:val="24"/>
            <w14:ligatures w14:val="standardContextual"/>
          </w:rPr>
          <w:tab/>
        </w:r>
        <w:r w:rsidRPr="00FC437C">
          <w:rPr>
            <w:rStyle w:val="Hyperlink"/>
          </w:rPr>
          <w:t>Aviation Gasoline</w:t>
        </w:r>
        <w:r>
          <w:rPr>
            <w:webHidden/>
          </w:rPr>
          <w:tab/>
        </w:r>
        <w:r>
          <w:rPr>
            <w:webHidden/>
          </w:rPr>
          <w:fldChar w:fldCharType="begin"/>
        </w:r>
        <w:r>
          <w:rPr>
            <w:webHidden/>
          </w:rPr>
          <w:instrText xml:space="preserve"> PAGEREF _Toc224819512 \h </w:instrText>
        </w:r>
        <w:r>
          <w:rPr>
            <w:webHidden/>
          </w:rPr>
        </w:r>
        <w:r>
          <w:rPr>
            <w:webHidden/>
          </w:rPr>
          <w:fldChar w:fldCharType="separate"/>
        </w:r>
        <w:r w:rsidR="00AA17AB">
          <w:rPr>
            <w:webHidden/>
          </w:rPr>
          <w:t>417</w:t>
        </w:r>
        <w:r>
          <w:rPr>
            <w:webHidden/>
          </w:rPr>
          <w:fldChar w:fldCharType="end"/>
        </w:r>
      </w:hyperlink>
    </w:p>
    <w:p w14:paraId="3783E5CF" w14:textId="4A97624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3" w:history="1">
        <w:r w:rsidRPr="00FC437C">
          <w:rPr>
            <w:rStyle w:val="Hyperlink"/>
          </w:rPr>
          <w:t>§333.</w:t>
        </w:r>
        <w:r>
          <w:rPr>
            <w:rFonts w:asciiTheme="minorHAnsi" w:eastAsiaTheme="minorEastAsia" w:hAnsiTheme="minorHAnsi" w:cstheme="minorBidi"/>
            <w:color w:val="auto"/>
            <w:kern w:val="2"/>
            <w:szCs w:val="24"/>
            <w14:ligatures w14:val="standardContextual"/>
          </w:rPr>
          <w:tab/>
        </w:r>
        <w:r w:rsidRPr="00FC437C">
          <w:rPr>
            <w:rStyle w:val="Hyperlink"/>
          </w:rPr>
          <w:t>Fuel Oils</w:t>
        </w:r>
        <w:r>
          <w:rPr>
            <w:webHidden/>
          </w:rPr>
          <w:tab/>
        </w:r>
        <w:r>
          <w:rPr>
            <w:webHidden/>
          </w:rPr>
          <w:fldChar w:fldCharType="begin"/>
        </w:r>
        <w:r>
          <w:rPr>
            <w:webHidden/>
          </w:rPr>
          <w:instrText xml:space="preserve"> PAGEREF _Toc224819513 \h </w:instrText>
        </w:r>
        <w:r>
          <w:rPr>
            <w:webHidden/>
          </w:rPr>
        </w:r>
        <w:r>
          <w:rPr>
            <w:webHidden/>
          </w:rPr>
          <w:fldChar w:fldCharType="separate"/>
        </w:r>
        <w:r w:rsidR="00AA17AB">
          <w:rPr>
            <w:webHidden/>
          </w:rPr>
          <w:t>417</w:t>
        </w:r>
        <w:r>
          <w:rPr>
            <w:webHidden/>
          </w:rPr>
          <w:fldChar w:fldCharType="end"/>
        </w:r>
      </w:hyperlink>
    </w:p>
    <w:p w14:paraId="5A1406BF" w14:textId="4FBC5F7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4" w:history="1">
        <w:r w:rsidRPr="00FC437C">
          <w:rPr>
            <w:rStyle w:val="Hyperlink"/>
          </w:rPr>
          <w:t>§335.</w:t>
        </w:r>
        <w:r>
          <w:rPr>
            <w:rFonts w:asciiTheme="minorHAnsi" w:eastAsiaTheme="minorEastAsia" w:hAnsiTheme="minorHAnsi" w:cstheme="minorBidi"/>
            <w:color w:val="auto"/>
            <w:kern w:val="2"/>
            <w:szCs w:val="24"/>
            <w14:ligatures w14:val="standardContextual"/>
          </w:rPr>
          <w:tab/>
        </w:r>
        <w:r w:rsidRPr="00FC437C">
          <w:rPr>
            <w:rStyle w:val="Hyperlink"/>
          </w:rPr>
          <w:t>Kerosene (Kerosine)</w:t>
        </w:r>
        <w:r>
          <w:rPr>
            <w:webHidden/>
          </w:rPr>
          <w:tab/>
        </w:r>
        <w:r>
          <w:rPr>
            <w:webHidden/>
          </w:rPr>
          <w:fldChar w:fldCharType="begin"/>
        </w:r>
        <w:r>
          <w:rPr>
            <w:webHidden/>
          </w:rPr>
          <w:instrText xml:space="preserve"> PAGEREF _Toc224819514 \h </w:instrText>
        </w:r>
        <w:r>
          <w:rPr>
            <w:webHidden/>
          </w:rPr>
        </w:r>
        <w:r>
          <w:rPr>
            <w:webHidden/>
          </w:rPr>
          <w:fldChar w:fldCharType="separate"/>
        </w:r>
        <w:r w:rsidR="00AA17AB">
          <w:rPr>
            <w:webHidden/>
          </w:rPr>
          <w:t>417</w:t>
        </w:r>
        <w:r>
          <w:rPr>
            <w:webHidden/>
          </w:rPr>
          <w:fldChar w:fldCharType="end"/>
        </w:r>
      </w:hyperlink>
    </w:p>
    <w:p w14:paraId="4D53B157" w14:textId="193A320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5" w:history="1">
        <w:r w:rsidRPr="00FC437C">
          <w:rPr>
            <w:rStyle w:val="Hyperlink"/>
          </w:rPr>
          <w:t>§337.</w:t>
        </w:r>
        <w:r>
          <w:rPr>
            <w:rFonts w:asciiTheme="minorHAnsi" w:eastAsiaTheme="minorEastAsia" w:hAnsiTheme="minorHAnsi" w:cstheme="minorBidi"/>
            <w:color w:val="auto"/>
            <w:kern w:val="2"/>
            <w:szCs w:val="24"/>
            <w14:ligatures w14:val="standardContextual"/>
          </w:rPr>
          <w:tab/>
        </w:r>
        <w:r w:rsidRPr="00FC437C">
          <w:rPr>
            <w:rStyle w:val="Hyperlink"/>
          </w:rPr>
          <w:t>Gasoline-Alcohol Blends</w:t>
        </w:r>
        <w:r>
          <w:rPr>
            <w:webHidden/>
          </w:rPr>
          <w:tab/>
        </w:r>
        <w:r>
          <w:rPr>
            <w:webHidden/>
          </w:rPr>
          <w:fldChar w:fldCharType="begin"/>
        </w:r>
        <w:r>
          <w:rPr>
            <w:webHidden/>
          </w:rPr>
          <w:instrText xml:space="preserve"> PAGEREF _Toc224819515 \h </w:instrText>
        </w:r>
        <w:r>
          <w:rPr>
            <w:webHidden/>
          </w:rPr>
        </w:r>
        <w:r>
          <w:rPr>
            <w:webHidden/>
          </w:rPr>
          <w:fldChar w:fldCharType="separate"/>
        </w:r>
        <w:r w:rsidR="00AA17AB">
          <w:rPr>
            <w:webHidden/>
          </w:rPr>
          <w:t>417</w:t>
        </w:r>
        <w:r>
          <w:rPr>
            <w:webHidden/>
          </w:rPr>
          <w:fldChar w:fldCharType="end"/>
        </w:r>
      </w:hyperlink>
    </w:p>
    <w:p w14:paraId="1EC73C49" w14:textId="6CF0A68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6" w:history="1">
        <w:r w:rsidRPr="00FC437C">
          <w:rPr>
            <w:rStyle w:val="Hyperlink"/>
          </w:rPr>
          <w:t>§339.</w:t>
        </w:r>
        <w:r>
          <w:rPr>
            <w:rFonts w:asciiTheme="minorHAnsi" w:eastAsiaTheme="minorEastAsia" w:hAnsiTheme="minorHAnsi" w:cstheme="minorBidi"/>
            <w:color w:val="auto"/>
            <w:kern w:val="2"/>
            <w:szCs w:val="24"/>
            <w14:ligatures w14:val="standardContextual"/>
          </w:rPr>
          <w:tab/>
        </w:r>
        <w:r w:rsidRPr="00FC437C">
          <w:rPr>
            <w:rStyle w:val="Hyperlink"/>
          </w:rPr>
          <w:t>Fuel Ethanol</w:t>
        </w:r>
        <w:r>
          <w:rPr>
            <w:webHidden/>
          </w:rPr>
          <w:tab/>
        </w:r>
        <w:r>
          <w:rPr>
            <w:webHidden/>
          </w:rPr>
          <w:fldChar w:fldCharType="begin"/>
        </w:r>
        <w:r>
          <w:rPr>
            <w:webHidden/>
          </w:rPr>
          <w:instrText xml:space="preserve"> PAGEREF _Toc224819516 \h </w:instrText>
        </w:r>
        <w:r>
          <w:rPr>
            <w:webHidden/>
          </w:rPr>
        </w:r>
        <w:r>
          <w:rPr>
            <w:webHidden/>
          </w:rPr>
          <w:fldChar w:fldCharType="separate"/>
        </w:r>
        <w:r w:rsidR="00AA17AB">
          <w:rPr>
            <w:webHidden/>
          </w:rPr>
          <w:t>417</w:t>
        </w:r>
        <w:r>
          <w:rPr>
            <w:webHidden/>
          </w:rPr>
          <w:fldChar w:fldCharType="end"/>
        </w:r>
      </w:hyperlink>
    </w:p>
    <w:p w14:paraId="5C6082A7" w14:textId="67F6DFF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7" w:history="1">
        <w:r w:rsidRPr="00FC437C">
          <w:rPr>
            <w:rStyle w:val="Hyperlink"/>
          </w:rPr>
          <w:t>§341.</w:t>
        </w:r>
        <w:r>
          <w:rPr>
            <w:rFonts w:asciiTheme="minorHAnsi" w:eastAsiaTheme="minorEastAsia" w:hAnsiTheme="minorHAnsi" w:cstheme="minorBidi"/>
            <w:color w:val="auto"/>
            <w:kern w:val="2"/>
            <w:szCs w:val="24"/>
            <w14:ligatures w14:val="standardContextual"/>
          </w:rPr>
          <w:tab/>
        </w:r>
        <w:r w:rsidRPr="00FC437C">
          <w:rPr>
            <w:rStyle w:val="Hyperlink"/>
          </w:rPr>
          <w:t>Fuel Methanol</w:t>
        </w:r>
        <w:r>
          <w:rPr>
            <w:webHidden/>
          </w:rPr>
          <w:tab/>
        </w:r>
        <w:r>
          <w:rPr>
            <w:webHidden/>
          </w:rPr>
          <w:fldChar w:fldCharType="begin"/>
        </w:r>
        <w:r>
          <w:rPr>
            <w:webHidden/>
          </w:rPr>
          <w:instrText xml:space="preserve"> PAGEREF _Toc224819517 \h </w:instrText>
        </w:r>
        <w:r>
          <w:rPr>
            <w:webHidden/>
          </w:rPr>
        </w:r>
        <w:r>
          <w:rPr>
            <w:webHidden/>
          </w:rPr>
          <w:fldChar w:fldCharType="separate"/>
        </w:r>
        <w:r w:rsidR="00AA17AB">
          <w:rPr>
            <w:webHidden/>
          </w:rPr>
          <w:t>418</w:t>
        </w:r>
        <w:r>
          <w:rPr>
            <w:webHidden/>
          </w:rPr>
          <w:fldChar w:fldCharType="end"/>
        </w:r>
      </w:hyperlink>
    </w:p>
    <w:p w14:paraId="7D811B1A" w14:textId="21C3750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8" w:history="1">
        <w:r w:rsidRPr="00FC437C">
          <w:rPr>
            <w:rStyle w:val="Hyperlink"/>
          </w:rPr>
          <w:t>§343.</w:t>
        </w:r>
        <w:r>
          <w:rPr>
            <w:rFonts w:asciiTheme="minorHAnsi" w:eastAsiaTheme="minorEastAsia" w:hAnsiTheme="minorHAnsi" w:cstheme="minorBidi"/>
            <w:color w:val="auto"/>
            <w:kern w:val="2"/>
            <w:szCs w:val="24"/>
            <w14:ligatures w14:val="standardContextual"/>
          </w:rPr>
          <w:tab/>
        </w:r>
        <w:r w:rsidRPr="00FC437C">
          <w:rPr>
            <w:rStyle w:val="Hyperlink"/>
          </w:rPr>
          <w:t>Retail Storage Tanks</w:t>
        </w:r>
        <w:r>
          <w:rPr>
            <w:webHidden/>
          </w:rPr>
          <w:tab/>
        </w:r>
        <w:r>
          <w:rPr>
            <w:webHidden/>
          </w:rPr>
          <w:fldChar w:fldCharType="begin"/>
        </w:r>
        <w:r>
          <w:rPr>
            <w:webHidden/>
          </w:rPr>
          <w:instrText xml:space="preserve"> PAGEREF _Toc224819518 \h </w:instrText>
        </w:r>
        <w:r>
          <w:rPr>
            <w:webHidden/>
          </w:rPr>
        </w:r>
        <w:r>
          <w:rPr>
            <w:webHidden/>
          </w:rPr>
          <w:fldChar w:fldCharType="separate"/>
        </w:r>
        <w:r w:rsidR="00AA17AB">
          <w:rPr>
            <w:webHidden/>
          </w:rPr>
          <w:t>418</w:t>
        </w:r>
        <w:r>
          <w:rPr>
            <w:webHidden/>
          </w:rPr>
          <w:fldChar w:fldCharType="end"/>
        </w:r>
      </w:hyperlink>
    </w:p>
    <w:p w14:paraId="5CF9BDDD" w14:textId="42EEF66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19" w:history="1">
        <w:r w:rsidRPr="00FC437C">
          <w:rPr>
            <w:rStyle w:val="Hyperlink"/>
          </w:rPr>
          <w:t>§345.</w:t>
        </w:r>
        <w:r>
          <w:rPr>
            <w:rFonts w:asciiTheme="minorHAnsi" w:eastAsiaTheme="minorEastAsia" w:hAnsiTheme="minorHAnsi" w:cstheme="minorBidi"/>
            <w:color w:val="auto"/>
            <w:kern w:val="2"/>
            <w:szCs w:val="24"/>
            <w14:ligatures w14:val="standardContextual"/>
          </w:rPr>
          <w:tab/>
        </w:r>
        <w:r w:rsidRPr="00FC437C">
          <w:rPr>
            <w:rStyle w:val="Hyperlink"/>
          </w:rPr>
          <w:t>Sampling</w:t>
        </w:r>
        <w:r>
          <w:rPr>
            <w:webHidden/>
          </w:rPr>
          <w:tab/>
        </w:r>
        <w:r>
          <w:rPr>
            <w:webHidden/>
          </w:rPr>
          <w:fldChar w:fldCharType="begin"/>
        </w:r>
        <w:r>
          <w:rPr>
            <w:webHidden/>
          </w:rPr>
          <w:instrText xml:space="preserve"> PAGEREF _Toc224819519 \h </w:instrText>
        </w:r>
        <w:r>
          <w:rPr>
            <w:webHidden/>
          </w:rPr>
        </w:r>
        <w:r>
          <w:rPr>
            <w:webHidden/>
          </w:rPr>
          <w:fldChar w:fldCharType="separate"/>
        </w:r>
        <w:r w:rsidR="00AA17AB">
          <w:rPr>
            <w:webHidden/>
          </w:rPr>
          <w:t>418</w:t>
        </w:r>
        <w:r>
          <w:rPr>
            <w:webHidden/>
          </w:rPr>
          <w:fldChar w:fldCharType="end"/>
        </w:r>
      </w:hyperlink>
    </w:p>
    <w:p w14:paraId="73F5A637" w14:textId="56D9012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0" w:history="1">
        <w:r w:rsidRPr="00FC437C">
          <w:rPr>
            <w:rStyle w:val="Hyperlink"/>
          </w:rPr>
          <w:t>§347.</w:t>
        </w:r>
        <w:r>
          <w:rPr>
            <w:rFonts w:asciiTheme="minorHAnsi" w:eastAsiaTheme="minorEastAsia" w:hAnsiTheme="minorHAnsi" w:cstheme="minorBidi"/>
            <w:color w:val="auto"/>
            <w:kern w:val="2"/>
            <w:szCs w:val="24"/>
            <w14:ligatures w14:val="standardContextual"/>
          </w:rPr>
          <w:tab/>
        </w:r>
        <w:r w:rsidRPr="00FC437C">
          <w:rPr>
            <w:rStyle w:val="Hyperlink"/>
          </w:rPr>
          <w:t>Nonconforming Product</w:t>
        </w:r>
        <w:r>
          <w:rPr>
            <w:webHidden/>
          </w:rPr>
          <w:tab/>
        </w:r>
        <w:r>
          <w:rPr>
            <w:webHidden/>
          </w:rPr>
          <w:fldChar w:fldCharType="begin"/>
        </w:r>
        <w:r>
          <w:rPr>
            <w:webHidden/>
          </w:rPr>
          <w:instrText xml:space="preserve"> PAGEREF _Toc224819520 \h </w:instrText>
        </w:r>
        <w:r>
          <w:rPr>
            <w:webHidden/>
          </w:rPr>
        </w:r>
        <w:r>
          <w:rPr>
            <w:webHidden/>
          </w:rPr>
          <w:fldChar w:fldCharType="separate"/>
        </w:r>
        <w:r w:rsidR="00AA17AB">
          <w:rPr>
            <w:webHidden/>
          </w:rPr>
          <w:t>418</w:t>
        </w:r>
        <w:r>
          <w:rPr>
            <w:webHidden/>
          </w:rPr>
          <w:fldChar w:fldCharType="end"/>
        </w:r>
      </w:hyperlink>
    </w:p>
    <w:p w14:paraId="31F69181" w14:textId="6E6821D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1" w:history="1">
        <w:r w:rsidRPr="00FC437C">
          <w:rPr>
            <w:rStyle w:val="Hyperlink"/>
          </w:rPr>
          <w:t>§349.</w:t>
        </w:r>
        <w:r>
          <w:rPr>
            <w:rFonts w:asciiTheme="minorHAnsi" w:eastAsiaTheme="minorEastAsia" w:hAnsiTheme="minorHAnsi" w:cstheme="minorBidi"/>
            <w:color w:val="auto"/>
            <w:kern w:val="2"/>
            <w:szCs w:val="24"/>
            <w14:ligatures w14:val="standardContextual"/>
          </w:rPr>
          <w:tab/>
        </w:r>
        <w:r w:rsidRPr="00FC437C">
          <w:rPr>
            <w:rStyle w:val="Hyperlink"/>
          </w:rPr>
          <w:t>Product Registration</w:t>
        </w:r>
        <w:r>
          <w:rPr>
            <w:webHidden/>
          </w:rPr>
          <w:tab/>
        </w:r>
        <w:r>
          <w:rPr>
            <w:webHidden/>
          </w:rPr>
          <w:fldChar w:fldCharType="begin"/>
        </w:r>
        <w:r>
          <w:rPr>
            <w:webHidden/>
          </w:rPr>
          <w:instrText xml:space="preserve"> PAGEREF _Toc224819521 \h </w:instrText>
        </w:r>
        <w:r>
          <w:rPr>
            <w:webHidden/>
          </w:rPr>
        </w:r>
        <w:r>
          <w:rPr>
            <w:webHidden/>
          </w:rPr>
          <w:fldChar w:fldCharType="separate"/>
        </w:r>
        <w:r w:rsidR="00AA17AB">
          <w:rPr>
            <w:webHidden/>
          </w:rPr>
          <w:t>419</w:t>
        </w:r>
        <w:r>
          <w:rPr>
            <w:webHidden/>
          </w:rPr>
          <w:fldChar w:fldCharType="end"/>
        </w:r>
      </w:hyperlink>
    </w:p>
    <w:p w14:paraId="5B38CFB6" w14:textId="4C45EC3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2" w:history="1">
        <w:r w:rsidRPr="00FC437C">
          <w:rPr>
            <w:rStyle w:val="Hyperlink"/>
          </w:rPr>
          <w:t>§351.</w:t>
        </w:r>
        <w:r>
          <w:rPr>
            <w:rFonts w:asciiTheme="minorHAnsi" w:eastAsiaTheme="minorEastAsia" w:hAnsiTheme="minorHAnsi" w:cstheme="minorBidi"/>
            <w:color w:val="auto"/>
            <w:kern w:val="2"/>
            <w:szCs w:val="24"/>
            <w14:ligatures w14:val="standardContextual"/>
          </w:rPr>
          <w:tab/>
        </w:r>
        <w:r w:rsidRPr="00FC437C">
          <w:rPr>
            <w:rStyle w:val="Hyperlink"/>
          </w:rPr>
          <w:t>Test Methods and Reproducibility Limits</w:t>
        </w:r>
        <w:r>
          <w:rPr>
            <w:webHidden/>
          </w:rPr>
          <w:tab/>
        </w:r>
        <w:r>
          <w:rPr>
            <w:webHidden/>
          </w:rPr>
          <w:fldChar w:fldCharType="begin"/>
        </w:r>
        <w:r>
          <w:rPr>
            <w:webHidden/>
          </w:rPr>
          <w:instrText xml:space="preserve"> PAGEREF _Toc224819522 \h </w:instrText>
        </w:r>
        <w:r>
          <w:rPr>
            <w:webHidden/>
          </w:rPr>
        </w:r>
        <w:r>
          <w:rPr>
            <w:webHidden/>
          </w:rPr>
          <w:fldChar w:fldCharType="separate"/>
        </w:r>
        <w:r w:rsidR="00AA17AB">
          <w:rPr>
            <w:webHidden/>
          </w:rPr>
          <w:t>419</w:t>
        </w:r>
        <w:r>
          <w:rPr>
            <w:webHidden/>
          </w:rPr>
          <w:fldChar w:fldCharType="end"/>
        </w:r>
      </w:hyperlink>
    </w:p>
    <w:p w14:paraId="2D856EC2" w14:textId="3E6F9E7A" w:rsidR="00E67799" w:rsidRDefault="00E67799">
      <w:pPr>
        <w:pStyle w:val="TOC2"/>
        <w:rPr>
          <w:rFonts w:asciiTheme="minorHAnsi" w:eastAsiaTheme="minorEastAsia" w:hAnsiTheme="minorHAnsi" w:cstheme="minorBidi"/>
          <w:kern w:val="2"/>
          <w:szCs w:val="24"/>
          <w14:ligatures w14:val="standardContextual"/>
        </w:rPr>
      </w:pPr>
      <w:hyperlink w:anchor="_Toc224819523"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Seafood Safety and Consumer Protection</w:t>
        </w:r>
        <w:r>
          <w:rPr>
            <w:webHidden/>
          </w:rPr>
          <w:tab/>
        </w:r>
        <w:r>
          <w:rPr>
            <w:webHidden/>
          </w:rPr>
          <w:fldChar w:fldCharType="begin"/>
        </w:r>
        <w:r>
          <w:rPr>
            <w:webHidden/>
          </w:rPr>
          <w:instrText xml:space="preserve"> PAGEREF _Toc224819523 \h </w:instrText>
        </w:r>
        <w:r>
          <w:rPr>
            <w:webHidden/>
          </w:rPr>
        </w:r>
        <w:r>
          <w:rPr>
            <w:webHidden/>
          </w:rPr>
          <w:fldChar w:fldCharType="separate"/>
        </w:r>
        <w:r w:rsidR="00AA17AB">
          <w:rPr>
            <w:webHidden/>
          </w:rPr>
          <w:t>419</w:t>
        </w:r>
        <w:r>
          <w:rPr>
            <w:webHidden/>
          </w:rPr>
          <w:fldChar w:fldCharType="end"/>
        </w:r>
      </w:hyperlink>
    </w:p>
    <w:p w14:paraId="72F6C2B1" w14:textId="6141DAE3" w:rsidR="00E67799" w:rsidRDefault="00E67799">
      <w:pPr>
        <w:pStyle w:val="TOC2"/>
        <w:rPr>
          <w:rFonts w:asciiTheme="minorHAnsi" w:eastAsiaTheme="minorEastAsia" w:hAnsiTheme="minorHAnsi" w:cstheme="minorBidi"/>
          <w:kern w:val="2"/>
          <w:szCs w:val="24"/>
          <w14:ligatures w14:val="standardContextual"/>
        </w:rPr>
      </w:pPr>
      <w:hyperlink w:anchor="_Toc224819524" w:history="1">
        <w:r w:rsidRPr="00FC437C">
          <w:rPr>
            <w:rStyle w:val="Hyperlink"/>
          </w:rPr>
          <w:t>Subchapter A.</w:t>
        </w:r>
        <w:r>
          <w:rPr>
            <w:rFonts w:asciiTheme="minorHAnsi" w:eastAsiaTheme="minorEastAsia" w:hAnsiTheme="minorHAnsi" w:cstheme="minorBidi"/>
            <w:kern w:val="2"/>
            <w:szCs w:val="24"/>
            <w14:ligatures w14:val="standardContextual"/>
          </w:rPr>
          <w:tab/>
        </w:r>
        <w:r w:rsidRPr="00FC437C">
          <w:rPr>
            <w:rStyle w:val="Hyperlink"/>
          </w:rPr>
          <w:t>Fees and Reports</w:t>
        </w:r>
        <w:r>
          <w:rPr>
            <w:webHidden/>
          </w:rPr>
          <w:tab/>
        </w:r>
        <w:r>
          <w:rPr>
            <w:webHidden/>
          </w:rPr>
          <w:fldChar w:fldCharType="begin"/>
        </w:r>
        <w:r>
          <w:rPr>
            <w:webHidden/>
          </w:rPr>
          <w:instrText xml:space="preserve"> PAGEREF _Toc224819524 \h </w:instrText>
        </w:r>
        <w:r>
          <w:rPr>
            <w:webHidden/>
          </w:rPr>
        </w:r>
        <w:r>
          <w:rPr>
            <w:webHidden/>
          </w:rPr>
          <w:fldChar w:fldCharType="separate"/>
        </w:r>
        <w:r w:rsidR="00AA17AB">
          <w:rPr>
            <w:webHidden/>
          </w:rPr>
          <w:t>419</w:t>
        </w:r>
        <w:r>
          <w:rPr>
            <w:webHidden/>
          </w:rPr>
          <w:fldChar w:fldCharType="end"/>
        </w:r>
      </w:hyperlink>
    </w:p>
    <w:p w14:paraId="7F9805AB" w14:textId="13AD500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5"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Imported Seafood Safety Fee</w:t>
        </w:r>
        <w:r>
          <w:rPr>
            <w:webHidden/>
          </w:rPr>
          <w:tab/>
        </w:r>
        <w:r>
          <w:rPr>
            <w:webHidden/>
          </w:rPr>
          <w:fldChar w:fldCharType="begin"/>
        </w:r>
        <w:r>
          <w:rPr>
            <w:webHidden/>
          </w:rPr>
          <w:instrText xml:space="preserve"> PAGEREF _Toc224819525 \h </w:instrText>
        </w:r>
        <w:r>
          <w:rPr>
            <w:webHidden/>
          </w:rPr>
        </w:r>
        <w:r>
          <w:rPr>
            <w:webHidden/>
          </w:rPr>
          <w:fldChar w:fldCharType="separate"/>
        </w:r>
        <w:r w:rsidR="00AA17AB">
          <w:rPr>
            <w:webHidden/>
          </w:rPr>
          <w:t>419</w:t>
        </w:r>
        <w:r>
          <w:rPr>
            <w:webHidden/>
          </w:rPr>
          <w:fldChar w:fldCharType="end"/>
        </w:r>
      </w:hyperlink>
    </w:p>
    <w:p w14:paraId="061E7D9E" w14:textId="66EDE2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6"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Quarterly Seafood Reports</w:t>
        </w:r>
        <w:r>
          <w:rPr>
            <w:webHidden/>
          </w:rPr>
          <w:tab/>
        </w:r>
        <w:r>
          <w:rPr>
            <w:webHidden/>
          </w:rPr>
          <w:fldChar w:fldCharType="begin"/>
        </w:r>
        <w:r>
          <w:rPr>
            <w:webHidden/>
          </w:rPr>
          <w:instrText xml:space="preserve"> PAGEREF _Toc224819526 \h </w:instrText>
        </w:r>
        <w:r>
          <w:rPr>
            <w:webHidden/>
          </w:rPr>
        </w:r>
        <w:r>
          <w:rPr>
            <w:webHidden/>
          </w:rPr>
          <w:fldChar w:fldCharType="separate"/>
        </w:r>
        <w:r w:rsidR="00AA17AB">
          <w:rPr>
            <w:webHidden/>
          </w:rPr>
          <w:t>420</w:t>
        </w:r>
        <w:r>
          <w:rPr>
            <w:webHidden/>
          </w:rPr>
          <w:fldChar w:fldCharType="end"/>
        </w:r>
      </w:hyperlink>
    </w:p>
    <w:p w14:paraId="5AC5B9B0" w14:textId="7DA4F17A" w:rsidR="00E67799" w:rsidRDefault="00E67799">
      <w:pPr>
        <w:pStyle w:val="TOC2"/>
        <w:rPr>
          <w:rFonts w:asciiTheme="minorHAnsi" w:eastAsiaTheme="minorEastAsia" w:hAnsiTheme="minorHAnsi" w:cstheme="minorBidi"/>
          <w:kern w:val="2"/>
          <w:szCs w:val="24"/>
          <w14:ligatures w14:val="standardContextual"/>
        </w:rPr>
      </w:pPr>
      <w:hyperlink w:anchor="_Toc224819527" w:history="1">
        <w:r w:rsidRPr="00FC437C">
          <w:rPr>
            <w:rStyle w:val="Hyperlink"/>
            <w:iCs/>
          </w:rPr>
          <w:t>Subchapter B.</w:t>
        </w:r>
        <w:r>
          <w:rPr>
            <w:rFonts w:asciiTheme="minorHAnsi" w:eastAsiaTheme="minorEastAsia" w:hAnsiTheme="minorHAnsi" w:cstheme="minorBidi"/>
            <w:kern w:val="2"/>
            <w:szCs w:val="24"/>
            <w14:ligatures w14:val="standardContextual"/>
          </w:rPr>
          <w:tab/>
        </w:r>
        <w:r w:rsidRPr="00FC437C">
          <w:rPr>
            <w:rStyle w:val="Hyperlink"/>
          </w:rPr>
          <w:t>Seafood Labeling</w:t>
        </w:r>
        <w:r>
          <w:rPr>
            <w:webHidden/>
          </w:rPr>
          <w:tab/>
        </w:r>
        <w:r>
          <w:rPr>
            <w:webHidden/>
          </w:rPr>
          <w:fldChar w:fldCharType="begin"/>
        </w:r>
        <w:r>
          <w:rPr>
            <w:webHidden/>
          </w:rPr>
          <w:instrText xml:space="preserve"> PAGEREF _Toc224819527 \h </w:instrText>
        </w:r>
        <w:r>
          <w:rPr>
            <w:webHidden/>
          </w:rPr>
        </w:r>
        <w:r>
          <w:rPr>
            <w:webHidden/>
          </w:rPr>
          <w:fldChar w:fldCharType="separate"/>
        </w:r>
        <w:r w:rsidR="00AA17AB">
          <w:rPr>
            <w:webHidden/>
          </w:rPr>
          <w:t>420</w:t>
        </w:r>
        <w:r>
          <w:rPr>
            <w:webHidden/>
          </w:rPr>
          <w:fldChar w:fldCharType="end"/>
        </w:r>
      </w:hyperlink>
    </w:p>
    <w:p w14:paraId="6E7183FB" w14:textId="55238CD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8"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_Toc224819528 \h </w:instrText>
        </w:r>
        <w:r>
          <w:rPr>
            <w:webHidden/>
          </w:rPr>
        </w:r>
        <w:r>
          <w:rPr>
            <w:webHidden/>
          </w:rPr>
          <w:fldChar w:fldCharType="separate"/>
        </w:r>
        <w:r w:rsidR="00AA17AB">
          <w:rPr>
            <w:webHidden/>
          </w:rPr>
          <w:t>420</w:t>
        </w:r>
        <w:r>
          <w:rPr>
            <w:webHidden/>
          </w:rPr>
          <w:fldChar w:fldCharType="end"/>
        </w:r>
      </w:hyperlink>
    </w:p>
    <w:p w14:paraId="13E1155E" w14:textId="514558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29" w:history="1">
        <w:r w:rsidRPr="00FC437C">
          <w:rPr>
            <w:rStyle w:val="Hyperlink"/>
          </w:rPr>
          <w:t>§515.</w:t>
        </w:r>
        <w:r>
          <w:rPr>
            <w:rFonts w:asciiTheme="minorHAnsi" w:eastAsiaTheme="minorEastAsia" w:hAnsiTheme="minorHAnsi" w:cstheme="minorBidi"/>
            <w:color w:val="auto"/>
            <w:kern w:val="2"/>
            <w:szCs w:val="24"/>
            <w14:ligatures w14:val="standardContextual"/>
          </w:rPr>
          <w:tab/>
        </w:r>
        <w:r w:rsidRPr="00FC437C">
          <w:rPr>
            <w:rStyle w:val="Hyperlink"/>
          </w:rPr>
          <w:t>Application</w:t>
        </w:r>
        <w:r>
          <w:rPr>
            <w:webHidden/>
          </w:rPr>
          <w:tab/>
        </w:r>
        <w:r>
          <w:rPr>
            <w:webHidden/>
          </w:rPr>
          <w:fldChar w:fldCharType="begin"/>
        </w:r>
        <w:r>
          <w:rPr>
            <w:webHidden/>
          </w:rPr>
          <w:instrText xml:space="preserve"> PAGEREF _Toc224819529 \h </w:instrText>
        </w:r>
        <w:r>
          <w:rPr>
            <w:webHidden/>
          </w:rPr>
        </w:r>
        <w:r>
          <w:rPr>
            <w:webHidden/>
          </w:rPr>
          <w:fldChar w:fldCharType="separate"/>
        </w:r>
        <w:r w:rsidR="00AA17AB">
          <w:rPr>
            <w:webHidden/>
          </w:rPr>
          <w:t>420</w:t>
        </w:r>
        <w:r>
          <w:rPr>
            <w:webHidden/>
          </w:rPr>
          <w:fldChar w:fldCharType="end"/>
        </w:r>
      </w:hyperlink>
    </w:p>
    <w:p w14:paraId="3CFD8141" w14:textId="676DE75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0" w:history="1">
        <w:r w:rsidRPr="00FC437C">
          <w:rPr>
            <w:rStyle w:val="Hyperlink"/>
          </w:rPr>
          <w:t>§517.</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_Toc224819530 \h </w:instrText>
        </w:r>
        <w:r>
          <w:rPr>
            <w:webHidden/>
          </w:rPr>
        </w:r>
        <w:r>
          <w:rPr>
            <w:webHidden/>
          </w:rPr>
          <w:fldChar w:fldCharType="separate"/>
        </w:r>
        <w:r w:rsidR="00AA17AB">
          <w:rPr>
            <w:webHidden/>
          </w:rPr>
          <w:t>420</w:t>
        </w:r>
        <w:r>
          <w:rPr>
            <w:webHidden/>
          </w:rPr>
          <w:fldChar w:fldCharType="end"/>
        </w:r>
      </w:hyperlink>
    </w:p>
    <w:p w14:paraId="645466BD" w14:textId="177B4CA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1" w:history="1">
        <w:r w:rsidRPr="00FC437C">
          <w:rPr>
            <w:rStyle w:val="Hyperlink"/>
          </w:rPr>
          <w:t>§519.</w:t>
        </w:r>
        <w:r>
          <w:rPr>
            <w:rFonts w:asciiTheme="minorHAnsi" w:eastAsiaTheme="minorEastAsia" w:hAnsiTheme="minorHAnsi" w:cstheme="minorBidi"/>
            <w:color w:val="auto"/>
            <w:kern w:val="2"/>
            <w:szCs w:val="24"/>
            <w14:ligatures w14:val="standardContextual"/>
          </w:rPr>
          <w:tab/>
        </w:r>
        <w:r w:rsidRPr="00FC437C">
          <w:rPr>
            <w:rStyle w:val="Hyperlink"/>
          </w:rPr>
          <w:t>Complaints and Investigations</w:t>
        </w:r>
        <w:r>
          <w:rPr>
            <w:webHidden/>
          </w:rPr>
          <w:tab/>
        </w:r>
        <w:r>
          <w:rPr>
            <w:webHidden/>
          </w:rPr>
          <w:fldChar w:fldCharType="begin"/>
        </w:r>
        <w:r>
          <w:rPr>
            <w:webHidden/>
          </w:rPr>
          <w:instrText xml:space="preserve"> PAGEREF _Toc224819531 \h </w:instrText>
        </w:r>
        <w:r>
          <w:rPr>
            <w:webHidden/>
          </w:rPr>
        </w:r>
        <w:r>
          <w:rPr>
            <w:webHidden/>
          </w:rPr>
          <w:fldChar w:fldCharType="separate"/>
        </w:r>
        <w:r w:rsidR="00AA17AB">
          <w:rPr>
            <w:webHidden/>
          </w:rPr>
          <w:t>420</w:t>
        </w:r>
        <w:r>
          <w:rPr>
            <w:webHidden/>
          </w:rPr>
          <w:fldChar w:fldCharType="end"/>
        </w:r>
      </w:hyperlink>
    </w:p>
    <w:p w14:paraId="14F64F7B" w14:textId="42B9D12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2"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_Toc224819532 \h </w:instrText>
        </w:r>
        <w:r>
          <w:rPr>
            <w:webHidden/>
          </w:rPr>
        </w:r>
        <w:r>
          <w:rPr>
            <w:webHidden/>
          </w:rPr>
          <w:fldChar w:fldCharType="separate"/>
        </w:r>
        <w:r w:rsidR="00AA17AB">
          <w:rPr>
            <w:webHidden/>
          </w:rPr>
          <w:t>421</w:t>
        </w:r>
        <w:r>
          <w:rPr>
            <w:webHidden/>
          </w:rPr>
          <w:fldChar w:fldCharType="end"/>
        </w:r>
      </w:hyperlink>
    </w:p>
    <w:p w14:paraId="4853EDF6" w14:textId="259BC60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3" w:history="1">
        <w:r w:rsidRPr="00FC437C">
          <w:rPr>
            <w:rStyle w:val="Hyperlink"/>
          </w:rPr>
          <w:t>§523.</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_Toc224819533 \h </w:instrText>
        </w:r>
        <w:r>
          <w:rPr>
            <w:webHidden/>
          </w:rPr>
        </w:r>
        <w:r>
          <w:rPr>
            <w:webHidden/>
          </w:rPr>
          <w:fldChar w:fldCharType="separate"/>
        </w:r>
        <w:r w:rsidR="00AA17AB">
          <w:rPr>
            <w:webHidden/>
          </w:rPr>
          <w:t>421</w:t>
        </w:r>
        <w:r>
          <w:rPr>
            <w:webHidden/>
          </w:rPr>
          <w:fldChar w:fldCharType="end"/>
        </w:r>
      </w:hyperlink>
    </w:p>
    <w:p w14:paraId="56DCCCC2" w14:textId="5E08BFE3" w:rsidR="00E67799" w:rsidRDefault="00E67799">
      <w:pPr>
        <w:pStyle w:val="TOC2"/>
        <w:rPr>
          <w:rFonts w:asciiTheme="minorHAnsi" w:eastAsiaTheme="minorEastAsia" w:hAnsiTheme="minorHAnsi" w:cstheme="minorBidi"/>
          <w:kern w:val="2"/>
          <w:szCs w:val="24"/>
          <w14:ligatures w14:val="standardContextual"/>
        </w:rPr>
      </w:pPr>
      <w:hyperlink w:anchor="_Toc224819534"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Truth in Labeling of Food Products</w:t>
        </w:r>
        <w:r>
          <w:rPr>
            <w:webHidden/>
          </w:rPr>
          <w:tab/>
        </w:r>
        <w:r>
          <w:rPr>
            <w:webHidden/>
          </w:rPr>
          <w:fldChar w:fldCharType="begin"/>
        </w:r>
        <w:r>
          <w:rPr>
            <w:webHidden/>
          </w:rPr>
          <w:instrText xml:space="preserve"> PAGEREF _Toc224819534 \h </w:instrText>
        </w:r>
        <w:r>
          <w:rPr>
            <w:webHidden/>
          </w:rPr>
        </w:r>
        <w:r>
          <w:rPr>
            <w:webHidden/>
          </w:rPr>
          <w:fldChar w:fldCharType="separate"/>
        </w:r>
        <w:r w:rsidR="00AA17AB">
          <w:rPr>
            <w:webHidden/>
          </w:rPr>
          <w:t>421</w:t>
        </w:r>
        <w:r>
          <w:rPr>
            <w:webHidden/>
          </w:rPr>
          <w:fldChar w:fldCharType="end"/>
        </w:r>
      </w:hyperlink>
    </w:p>
    <w:p w14:paraId="6FA818DF" w14:textId="3F102FA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5"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_Toc224819535 \h </w:instrText>
        </w:r>
        <w:r>
          <w:rPr>
            <w:webHidden/>
          </w:rPr>
        </w:r>
        <w:r>
          <w:rPr>
            <w:webHidden/>
          </w:rPr>
          <w:fldChar w:fldCharType="separate"/>
        </w:r>
        <w:r w:rsidR="00AA17AB">
          <w:rPr>
            <w:webHidden/>
          </w:rPr>
          <w:t>421</w:t>
        </w:r>
        <w:r>
          <w:rPr>
            <w:webHidden/>
          </w:rPr>
          <w:fldChar w:fldCharType="end"/>
        </w:r>
      </w:hyperlink>
    </w:p>
    <w:p w14:paraId="1ECF2085" w14:textId="3F261C5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6" w:history="1">
        <w:r w:rsidRPr="00FC437C">
          <w:rPr>
            <w:rStyle w:val="Hyperlink"/>
          </w:rPr>
          <w:t>§703.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_Toc224819536 \h </w:instrText>
        </w:r>
        <w:r>
          <w:rPr>
            <w:webHidden/>
          </w:rPr>
        </w:r>
        <w:r>
          <w:rPr>
            <w:webHidden/>
          </w:rPr>
          <w:fldChar w:fldCharType="separate"/>
        </w:r>
        <w:r w:rsidR="00AA17AB">
          <w:rPr>
            <w:webHidden/>
          </w:rPr>
          <w:t>421</w:t>
        </w:r>
        <w:r>
          <w:rPr>
            <w:webHidden/>
          </w:rPr>
          <w:fldChar w:fldCharType="end"/>
        </w:r>
      </w:hyperlink>
    </w:p>
    <w:p w14:paraId="0B1F4B63" w14:textId="614919B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7" w:history="1">
        <w:r w:rsidRPr="00FC437C">
          <w:rPr>
            <w:rStyle w:val="Hyperlink"/>
          </w:rPr>
          <w:t>§705.</w:t>
        </w:r>
        <w:r>
          <w:rPr>
            <w:rFonts w:asciiTheme="minorHAnsi" w:eastAsiaTheme="minorEastAsia" w:hAnsiTheme="minorHAnsi" w:cstheme="minorBidi"/>
            <w:color w:val="auto"/>
            <w:kern w:val="2"/>
            <w:szCs w:val="24"/>
            <w14:ligatures w14:val="standardContextual"/>
          </w:rPr>
          <w:tab/>
        </w:r>
        <w:r w:rsidRPr="00FC437C">
          <w:rPr>
            <w:rStyle w:val="Hyperlink"/>
          </w:rPr>
          <w:t>Application</w:t>
        </w:r>
        <w:r>
          <w:rPr>
            <w:webHidden/>
          </w:rPr>
          <w:tab/>
        </w:r>
        <w:r>
          <w:rPr>
            <w:webHidden/>
          </w:rPr>
          <w:fldChar w:fldCharType="begin"/>
        </w:r>
        <w:r>
          <w:rPr>
            <w:webHidden/>
          </w:rPr>
          <w:instrText xml:space="preserve"> PAGEREF _Toc224819537 \h </w:instrText>
        </w:r>
        <w:r>
          <w:rPr>
            <w:webHidden/>
          </w:rPr>
        </w:r>
        <w:r>
          <w:rPr>
            <w:webHidden/>
          </w:rPr>
          <w:fldChar w:fldCharType="separate"/>
        </w:r>
        <w:r w:rsidR="00AA17AB">
          <w:rPr>
            <w:webHidden/>
          </w:rPr>
          <w:t>422</w:t>
        </w:r>
        <w:r>
          <w:rPr>
            <w:webHidden/>
          </w:rPr>
          <w:fldChar w:fldCharType="end"/>
        </w:r>
      </w:hyperlink>
    </w:p>
    <w:p w14:paraId="4A9BC9DD" w14:textId="730C751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8" w:history="1">
        <w:r w:rsidRPr="00FC437C">
          <w:rPr>
            <w:rStyle w:val="Hyperlink"/>
          </w:rPr>
          <w:t>§707.</w:t>
        </w:r>
        <w:r>
          <w:rPr>
            <w:rFonts w:asciiTheme="minorHAnsi" w:eastAsiaTheme="minorEastAsia" w:hAnsiTheme="minorHAnsi" w:cstheme="minorBidi"/>
            <w:color w:val="auto"/>
            <w:kern w:val="2"/>
            <w:szCs w:val="24"/>
            <w14:ligatures w14:val="standardContextual"/>
          </w:rPr>
          <w:tab/>
        </w:r>
        <w:r w:rsidRPr="00FC437C">
          <w:rPr>
            <w:rStyle w:val="Hyperlink"/>
          </w:rPr>
          <w:t>Requirements for Food Labeling</w:t>
        </w:r>
        <w:r>
          <w:rPr>
            <w:webHidden/>
          </w:rPr>
          <w:tab/>
        </w:r>
        <w:r>
          <w:rPr>
            <w:webHidden/>
          </w:rPr>
          <w:fldChar w:fldCharType="begin"/>
        </w:r>
        <w:r>
          <w:rPr>
            <w:webHidden/>
          </w:rPr>
          <w:instrText xml:space="preserve"> PAGEREF _Toc224819538 \h </w:instrText>
        </w:r>
        <w:r>
          <w:rPr>
            <w:webHidden/>
          </w:rPr>
        </w:r>
        <w:r>
          <w:rPr>
            <w:webHidden/>
          </w:rPr>
          <w:fldChar w:fldCharType="separate"/>
        </w:r>
        <w:r w:rsidR="00AA17AB">
          <w:rPr>
            <w:webHidden/>
          </w:rPr>
          <w:t>422</w:t>
        </w:r>
        <w:r>
          <w:rPr>
            <w:webHidden/>
          </w:rPr>
          <w:fldChar w:fldCharType="end"/>
        </w:r>
      </w:hyperlink>
    </w:p>
    <w:p w14:paraId="559C0644" w14:textId="09C763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39" w:history="1">
        <w:r w:rsidRPr="00FC437C">
          <w:rPr>
            <w:rStyle w:val="Hyperlink"/>
          </w:rPr>
          <w:t>§709.</w:t>
        </w:r>
        <w:r>
          <w:rPr>
            <w:rFonts w:asciiTheme="minorHAnsi" w:eastAsiaTheme="minorEastAsia" w:hAnsiTheme="minorHAnsi" w:cstheme="minorBidi"/>
            <w:color w:val="auto"/>
            <w:kern w:val="2"/>
            <w:szCs w:val="24"/>
            <w14:ligatures w14:val="standardContextual"/>
          </w:rPr>
          <w:tab/>
        </w:r>
        <w:r w:rsidRPr="00FC437C">
          <w:rPr>
            <w:rStyle w:val="Hyperlink"/>
          </w:rPr>
          <w:t>Prohibitions</w:t>
        </w:r>
        <w:r>
          <w:rPr>
            <w:webHidden/>
          </w:rPr>
          <w:tab/>
        </w:r>
        <w:r>
          <w:rPr>
            <w:webHidden/>
          </w:rPr>
          <w:fldChar w:fldCharType="begin"/>
        </w:r>
        <w:r>
          <w:rPr>
            <w:webHidden/>
          </w:rPr>
          <w:instrText xml:space="preserve"> PAGEREF _Toc224819539 \h </w:instrText>
        </w:r>
        <w:r>
          <w:rPr>
            <w:webHidden/>
          </w:rPr>
        </w:r>
        <w:r>
          <w:rPr>
            <w:webHidden/>
          </w:rPr>
          <w:fldChar w:fldCharType="separate"/>
        </w:r>
        <w:r w:rsidR="00AA17AB">
          <w:rPr>
            <w:webHidden/>
          </w:rPr>
          <w:t>422</w:t>
        </w:r>
        <w:r>
          <w:rPr>
            <w:webHidden/>
          </w:rPr>
          <w:fldChar w:fldCharType="end"/>
        </w:r>
      </w:hyperlink>
    </w:p>
    <w:p w14:paraId="5DA93685" w14:textId="51FDB37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0" w:history="1">
        <w:r w:rsidRPr="00FC437C">
          <w:rPr>
            <w:rStyle w:val="Hyperlink"/>
          </w:rPr>
          <w:t>§711.</w:t>
        </w:r>
        <w:r>
          <w:rPr>
            <w:rFonts w:asciiTheme="minorHAnsi" w:eastAsiaTheme="minorEastAsia" w:hAnsiTheme="minorHAnsi" w:cstheme="minorBidi"/>
            <w:color w:val="auto"/>
            <w:kern w:val="2"/>
            <w:szCs w:val="24"/>
            <w14:ligatures w14:val="standardContextual"/>
          </w:rPr>
          <w:tab/>
        </w:r>
        <w:r w:rsidRPr="00FC437C">
          <w:rPr>
            <w:rStyle w:val="Hyperlink"/>
          </w:rPr>
          <w:t>Complaints and Investigations.</w:t>
        </w:r>
        <w:r>
          <w:rPr>
            <w:webHidden/>
          </w:rPr>
          <w:tab/>
        </w:r>
        <w:r>
          <w:rPr>
            <w:webHidden/>
          </w:rPr>
          <w:fldChar w:fldCharType="begin"/>
        </w:r>
        <w:r>
          <w:rPr>
            <w:webHidden/>
          </w:rPr>
          <w:instrText xml:space="preserve"> PAGEREF _Toc224819540 \h </w:instrText>
        </w:r>
        <w:r>
          <w:rPr>
            <w:webHidden/>
          </w:rPr>
        </w:r>
        <w:r>
          <w:rPr>
            <w:webHidden/>
          </w:rPr>
          <w:fldChar w:fldCharType="separate"/>
        </w:r>
        <w:r w:rsidR="00AA17AB">
          <w:rPr>
            <w:webHidden/>
          </w:rPr>
          <w:t>422</w:t>
        </w:r>
        <w:r>
          <w:rPr>
            <w:webHidden/>
          </w:rPr>
          <w:fldChar w:fldCharType="end"/>
        </w:r>
      </w:hyperlink>
    </w:p>
    <w:p w14:paraId="3F9D61A9" w14:textId="559D6CC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1" w:history="1">
        <w:r w:rsidRPr="00FC437C">
          <w:rPr>
            <w:rStyle w:val="Hyperlink"/>
          </w:rPr>
          <w:t>§713.</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_Toc224819541 \h </w:instrText>
        </w:r>
        <w:r>
          <w:rPr>
            <w:webHidden/>
          </w:rPr>
        </w:r>
        <w:r>
          <w:rPr>
            <w:webHidden/>
          </w:rPr>
          <w:fldChar w:fldCharType="separate"/>
        </w:r>
        <w:r w:rsidR="00AA17AB">
          <w:rPr>
            <w:webHidden/>
          </w:rPr>
          <w:t>422</w:t>
        </w:r>
        <w:r>
          <w:rPr>
            <w:webHidden/>
          </w:rPr>
          <w:fldChar w:fldCharType="end"/>
        </w:r>
      </w:hyperlink>
    </w:p>
    <w:p w14:paraId="13B865F7" w14:textId="7FF2DCE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2" w:history="1">
        <w:r w:rsidRPr="00FC437C">
          <w:rPr>
            <w:rStyle w:val="Hyperlink"/>
          </w:rPr>
          <w:t>§715.</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_Toc224819542 \h </w:instrText>
        </w:r>
        <w:r>
          <w:rPr>
            <w:webHidden/>
          </w:rPr>
        </w:r>
        <w:r>
          <w:rPr>
            <w:webHidden/>
          </w:rPr>
          <w:fldChar w:fldCharType="separate"/>
        </w:r>
        <w:r w:rsidR="00AA17AB">
          <w:rPr>
            <w:webHidden/>
          </w:rPr>
          <w:t>423</w:t>
        </w:r>
        <w:r>
          <w:rPr>
            <w:webHidden/>
          </w:rPr>
          <w:fldChar w:fldCharType="end"/>
        </w:r>
      </w:hyperlink>
    </w:p>
    <w:p w14:paraId="242C78D8" w14:textId="50D37000" w:rsidR="00E67799" w:rsidRDefault="00E67799">
      <w:pPr>
        <w:pStyle w:val="TOC1"/>
        <w:rPr>
          <w:rFonts w:asciiTheme="minorHAnsi" w:hAnsiTheme="minorHAnsi" w:cstheme="minorBidi"/>
          <w:b w:val="0"/>
          <w:bCs w:val="0"/>
          <w:sz w:val="24"/>
          <w:szCs w:val="24"/>
        </w:rPr>
      </w:pPr>
      <w:hyperlink w:anchor="_Toc224819543" w:history="1">
        <w:r w:rsidRPr="00FC437C">
          <w:rPr>
            <w:rStyle w:val="Hyperlink"/>
          </w:rPr>
          <w:t>Part XXXVI.  Agricultural Ethanol Production</w:t>
        </w:r>
      </w:hyperlink>
    </w:p>
    <w:p w14:paraId="5924AE37" w14:textId="549E55FC" w:rsidR="00E67799" w:rsidRDefault="00E67799">
      <w:pPr>
        <w:pStyle w:val="TOC2"/>
        <w:rPr>
          <w:rFonts w:asciiTheme="minorHAnsi" w:eastAsiaTheme="minorEastAsia" w:hAnsiTheme="minorHAnsi" w:cstheme="minorBidi"/>
          <w:kern w:val="2"/>
          <w:szCs w:val="24"/>
          <w14:ligatures w14:val="standardContextual"/>
        </w:rPr>
      </w:pPr>
      <w:hyperlink w:anchor="_Toc224819544"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Agricultural Ethanol Productions</w:t>
        </w:r>
        <w:r>
          <w:rPr>
            <w:webHidden/>
          </w:rPr>
          <w:tab/>
        </w:r>
        <w:r>
          <w:rPr>
            <w:webHidden/>
          </w:rPr>
          <w:fldChar w:fldCharType="begin"/>
        </w:r>
        <w:r>
          <w:rPr>
            <w:webHidden/>
          </w:rPr>
          <w:instrText xml:space="preserve"> PAGEREF _Toc224819544 \h </w:instrText>
        </w:r>
        <w:r>
          <w:rPr>
            <w:webHidden/>
          </w:rPr>
        </w:r>
        <w:r>
          <w:rPr>
            <w:webHidden/>
          </w:rPr>
          <w:fldChar w:fldCharType="separate"/>
        </w:r>
        <w:r w:rsidR="00AA17AB">
          <w:rPr>
            <w:webHidden/>
          </w:rPr>
          <w:t>425</w:t>
        </w:r>
        <w:r>
          <w:rPr>
            <w:webHidden/>
          </w:rPr>
          <w:fldChar w:fldCharType="end"/>
        </w:r>
      </w:hyperlink>
    </w:p>
    <w:p w14:paraId="6F3C5336" w14:textId="3F6892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5"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_Toc224819545 \h </w:instrText>
        </w:r>
        <w:r>
          <w:rPr>
            <w:webHidden/>
          </w:rPr>
        </w:r>
        <w:r>
          <w:rPr>
            <w:webHidden/>
          </w:rPr>
          <w:fldChar w:fldCharType="separate"/>
        </w:r>
        <w:r w:rsidR="00AA17AB">
          <w:rPr>
            <w:webHidden/>
          </w:rPr>
          <w:t>425</w:t>
        </w:r>
        <w:r>
          <w:rPr>
            <w:webHidden/>
          </w:rPr>
          <w:fldChar w:fldCharType="end"/>
        </w:r>
      </w:hyperlink>
    </w:p>
    <w:p w14:paraId="785139A5" w14:textId="27F6333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6"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_Toc224819546 \h </w:instrText>
        </w:r>
        <w:r>
          <w:rPr>
            <w:webHidden/>
          </w:rPr>
        </w:r>
        <w:r>
          <w:rPr>
            <w:webHidden/>
          </w:rPr>
          <w:fldChar w:fldCharType="separate"/>
        </w:r>
        <w:r w:rsidR="00AA17AB">
          <w:rPr>
            <w:webHidden/>
          </w:rPr>
          <w:t>425</w:t>
        </w:r>
        <w:r>
          <w:rPr>
            <w:webHidden/>
          </w:rPr>
          <w:fldChar w:fldCharType="end"/>
        </w:r>
      </w:hyperlink>
    </w:p>
    <w:p w14:paraId="5F1D7908" w14:textId="4C3BF3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7"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Administration of the Agricultural Industry Board</w:t>
        </w:r>
        <w:r>
          <w:rPr>
            <w:webHidden/>
          </w:rPr>
          <w:tab/>
        </w:r>
        <w:r>
          <w:rPr>
            <w:webHidden/>
          </w:rPr>
          <w:fldChar w:fldCharType="begin"/>
        </w:r>
        <w:r>
          <w:rPr>
            <w:webHidden/>
          </w:rPr>
          <w:instrText xml:space="preserve"> PAGEREF _Toc224819547 \h </w:instrText>
        </w:r>
        <w:r>
          <w:rPr>
            <w:webHidden/>
          </w:rPr>
        </w:r>
        <w:r>
          <w:rPr>
            <w:webHidden/>
          </w:rPr>
          <w:fldChar w:fldCharType="separate"/>
        </w:r>
        <w:r w:rsidR="00AA17AB">
          <w:rPr>
            <w:webHidden/>
          </w:rPr>
          <w:t>427</w:t>
        </w:r>
        <w:r>
          <w:rPr>
            <w:webHidden/>
          </w:rPr>
          <w:fldChar w:fldCharType="end"/>
        </w:r>
      </w:hyperlink>
    </w:p>
    <w:p w14:paraId="08B91F1F" w14:textId="16F166A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8"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Certified Market Participants: Procedures and Criteria for Approval</w:t>
        </w:r>
        <w:r>
          <w:rPr>
            <w:webHidden/>
          </w:rPr>
          <w:tab/>
        </w:r>
        <w:r>
          <w:rPr>
            <w:webHidden/>
          </w:rPr>
          <w:fldChar w:fldCharType="begin"/>
        </w:r>
        <w:r>
          <w:rPr>
            <w:webHidden/>
          </w:rPr>
          <w:instrText xml:space="preserve"> PAGEREF _Toc224819548 \h </w:instrText>
        </w:r>
        <w:r>
          <w:rPr>
            <w:webHidden/>
          </w:rPr>
        </w:r>
        <w:r>
          <w:rPr>
            <w:webHidden/>
          </w:rPr>
          <w:fldChar w:fldCharType="separate"/>
        </w:r>
        <w:r w:rsidR="00AA17AB">
          <w:rPr>
            <w:webHidden/>
          </w:rPr>
          <w:t>427</w:t>
        </w:r>
        <w:r>
          <w:rPr>
            <w:webHidden/>
          </w:rPr>
          <w:fldChar w:fldCharType="end"/>
        </w:r>
      </w:hyperlink>
    </w:p>
    <w:p w14:paraId="40EB9B5D" w14:textId="1535138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49"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Cooperative Endeavors and Agreements</w:t>
        </w:r>
        <w:r>
          <w:rPr>
            <w:webHidden/>
          </w:rPr>
          <w:tab/>
        </w:r>
        <w:r>
          <w:rPr>
            <w:webHidden/>
          </w:rPr>
          <w:fldChar w:fldCharType="begin"/>
        </w:r>
        <w:r>
          <w:rPr>
            <w:webHidden/>
          </w:rPr>
          <w:instrText xml:space="preserve"> PAGEREF _Toc224819549 \h </w:instrText>
        </w:r>
        <w:r>
          <w:rPr>
            <w:webHidden/>
          </w:rPr>
        </w:r>
        <w:r>
          <w:rPr>
            <w:webHidden/>
          </w:rPr>
          <w:fldChar w:fldCharType="separate"/>
        </w:r>
        <w:r w:rsidR="00AA17AB">
          <w:rPr>
            <w:webHidden/>
          </w:rPr>
          <w:t>429</w:t>
        </w:r>
        <w:r>
          <w:rPr>
            <w:webHidden/>
          </w:rPr>
          <w:fldChar w:fldCharType="end"/>
        </w:r>
      </w:hyperlink>
    </w:p>
    <w:p w14:paraId="29B413FB" w14:textId="5CAAFA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0"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Incentive Payments to Certified Market Participants</w:t>
        </w:r>
        <w:r>
          <w:rPr>
            <w:webHidden/>
          </w:rPr>
          <w:tab/>
        </w:r>
        <w:r>
          <w:rPr>
            <w:webHidden/>
          </w:rPr>
          <w:fldChar w:fldCharType="begin"/>
        </w:r>
        <w:r>
          <w:rPr>
            <w:webHidden/>
          </w:rPr>
          <w:instrText xml:space="preserve"> PAGEREF _Toc224819550 \h </w:instrText>
        </w:r>
        <w:r>
          <w:rPr>
            <w:webHidden/>
          </w:rPr>
        </w:r>
        <w:r>
          <w:rPr>
            <w:webHidden/>
          </w:rPr>
          <w:fldChar w:fldCharType="separate"/>
        </w:r>
        <w:r w:rsidR="00AA17AB">
          <w:rPr>
            <w:webHidden/>
          </w:rPr>
          <w:t>431</w:t>
        </w:r>
        <w:r>
          <w:rPr>
            <w:webHidden/>
          </w:rPr>
          <w:fldChar w:fldCharType="end"/>
        </w:r>
      </w:hyperlink>
    </w:p>
    <w:p w14:paraId="7C6F4BD0" w14:textId="185DA9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1" w:history="1">
        <w:r w:rsidRPr="00FC437C">
          <w:rPr>
            <w:rStyle w:val="Hyperlink"/>
          </w:rPr>
          <w:t>§113.</w:t>
        </w:r>
        <w:r>
          <w:rPr>
            <w:rFonts w:asciiTheme="minorHAnsi" w:eastAsiaTheme="minorEastAsia" w:hAnsiTheme="minorHAnsi" w:cstheme="minorBidi"/>
            <w:color w:val="auto"/>
            <w:kern w:val="2"/>
            <w:szCs w:val="24"/>
            <w14:ligatures w14:val="standardContextual"/>
          </w:rPr>
          <w:tab/>
        </w:r>
        <w:r w:rsidRPr="00FC437C">
          <w:rPr>
            <w:rStyle w:val="Hyperlink"/>
          </w:rPr>
          <w:t>Records Requirements</w:t>
        </w:r>
        <w:r>
          <w:rPr>
            <w:webHidden/>
          </w:rPr>
          <w:tab/>
        </w:r>
        <w:r>
          <w:rPr>
            <w:webHidden/>
          </w:rPr>
          <w:fldChar w:fldCharType="begin"/>
        </w:r>
        <w:r>
          <w:rPr>
            <w:webHidden/>
          </w:rPr>
          <w:instrText xml:space="preserve"> PAGEREF _Toc224819551 \h </w:instrText>
        </w:r>
        <w:r>
          <w:rPr>
            <w:webHidden/>
          </w:rPr>
        </w:r>
        <w:r>
          <w:rPr>
            <w:webHidden/>
          </w:rPr>
          <w:fldChar w:fldCharType="separate"/>
        </w:r>
        <w:r w:rsidR="00AA17AB">
          <w:rPr>
            <w:webHidden/>
          </w:rPr>
          <w:t>432</w:t>
        </w:r>
        <w:r>
          <w:rPr>
            <w:webHidden/>
          </w:rPr>
          <w:fldChar w:fldCharType="end"/>
        </w:r>
      </w:hyperlink>
    </w:p>
    <w:p w14:paraId="54BC5D47" w14:textId="799A1B8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2" w:history="1">
        <w:r w:rsidRPr="00FC437C">
          <w:rPr>
            <w:rStyle w:val="Hyperlink"/>
          </w:rPr>
          <w:t>§115.</w:t>
        </w:r>
        <w:r>
          <w:rPr>
            <w:rFonts w:asciiTheme="minorHAnsi" w:eastAsiaTheme="minorEastAsia" w:hAnsiTheme="minorHAnsi" w:cstheme="minorBidi"/>
            <w:color w:val="auto"/>
            <w:kern w:val="2"/>
            <w:szCs w:val="24"/>
            <w14:ligatures w14:val="standardContextual"/>
          </w:rPr>
          <w:tab/>
        </w:r>
        <w:r w:rsidRPr="00FC437C">
          <w:rPr>
            <w:rStyle w:val="Hyperlink"/>
          </w:rPr>
          <w:t>Audits and Inspections</w:t>
        </w:r>
        <w:r>
          <w:rPr>
            <w:webHidden/>
          </w:rPr>
          <w:tab/>
        </w:r>
        <w:r>
          <w:rPr>
            <w:webHidden/>
          </w:rPr>
          <w:fldChar w:fldCharType="begin"/>
        </w:r>
        <w:r>
          <w:rPr>
            <w:webHidden/>
          </w:rPr>
          <w:instrText xml:space="preserve"> PAGEREF _Toc224819552 \h </w:instrText>
        </w:r>
        <w:r>
          <w:rPr>
            <w:webHidden/>
          </w:rPr>
        </w:r>
        <w:r>
          <w:rPr>
            <w:webHidden/>
          </w:rPr>
          <w:fldChar w:fldCharType="separate"/>
        </w:r>
        <w:r w:rsidR="00AA17AB">
          <w:rPr>
            <w:webHidden/>
          </w:rPr>
          <w:t>432</w:t>
        </w:r>
        <w:r>
          <w:rPr>
            <w:webHidden/>
          </w:rPr>
          <w:fldChar w:fldCharType="end"/>
        </w:r>
      </w:hyperlink>
    </w:p>
    <w:p w14:paraId="59534A3A" w14:textId="6427D5B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3" w:history="1">
        <w:r w:rsidRPr="00FC437C">
          <w:rPr>
            <w:rStyle w:val="Hyperlink"/>
          </w:rPr>
          <w:t>§117.</w:t>
        </w:r>
        <w:r>
          <w:rPr>
            <w:rFonts w:asciiTheme="minorHAnsi" w:eastAsiaTheme="minorEastAsia" w:hAnsiTheme="minorHAnsi" w:cstheme="minorBidi"/>
            <w:color w:val="auto"/>
            <w:kern w:val="2"/>
            <w:szCs w:val="24"/>
            <w14:ligatures w14:val="standardContextual"/>
          </w:rPr>
          <w:tab/>
        </w:r>
        <w:r w:rsidRPr="00FC437C">
          <w:rPr>
            <w:rStyle w:val="Hyperlink"/>
          </w:rPr>
          <w:t>Adjudicatory Proceedings</w:t>
        </w:r>
        <w:r>
          <w:rPr>
            <w:webHidden/>
          </w:rPr>
          <w:tab/>
        </w:r>
        <w:r>
          <w:rPr>
            <w:webHidden/>
          </w:rPr>
          <w:fldChar w:fldCharType="begin"/>
        </w:r>
        <w:r>
          <w:rPr>
            <w:webHidden/>
          </w:rPr>
          <w:instrText xml:space="preserve"> PAGEREF _Toc224819553 \h </w:instrText>
        </w:r>
        <w:r>
          <w:rPr>
            <w:webHidden/>
          </w:rPr>
        </w:r>
        <w:r>
          <w:rPr>
            <w:webHidden/>
          </w:rPr>
          <w:fldChar w:fldCharType="separate"/>
        </w:r>
        <w:r w:rsidR="00AA17AB">
          <w:rPr>
            <w:webHidden/>
          </w:rPr>
          <w:t>433</w:t>
        </w:r>
        <w:r>
          <w:rPr>
            <w:webHidden/>
          </w:rPr>
          <w:fldChar w:fldCharType="end"/>
        </w:r>
      </w:hyperlink>
    </w:p>
    <w:p w14:paraId="6B538050" w14:textId="50B585B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4" w:history="1">
        <w:r w:rsidRPr="00FC437C">
          <w:rPr>
            <w:rStyle w:val="Hyperlink"/>
          </w:rPr>
          <w:t>§119.</w:t>
        </w:r>
        <w:r>
          <w:rPr>
            <w:rFonts w:asciiTheme="minorHAnsi" w:eastAsiaTheme="minorEastAsia" w:hAnsiTheme="minorHAnsi" w:cstheme="minorBidi"/>
            <w:color w:val="auto"/>
            <w:kern w:val="2"/>
            <w:szCs w:val="24"/>
            <w14:ligatures w14:val="standardContextual"/>
          </w:rPr>
          <w:tab/>
        </w:r>
        <w:r w:rsidRPr="00FC437C">
          <w:rPr>
            <w:rStyle w:val="Hyperlink"/>
          </w:rPr>
          <w:t>Violations</w:t>
        </w:r>
        <w:r>
          <w:rPr>
            <w:webHidden/>
          </w:rPr>
          <w:tab/>
        </w:r>
        <w:r>
          <w:rPr>
            <w:webHidden/>
          </w:rPr>
          <w:fldChar w:fldCharType="begin"/>
        </w:r>
        <w:r>
          <w:rPr>
            <w:webHidden/>
          </w:rPr>
          <w:instrText xml:space="preserve"> PAGEREF _Toc224819554 \h </w:instrText>
        </w:r>
        <w:r>
          <w:rPr>
            <w:webHidden/>
          </w:rPr>
        </w:r>
        <w:r>
          <w:rPr>
            <w:webHidden/>
          </w:rPr>
          <w:fldChar w:fldCharType="separate"/>
        </w:r>
        <w:r w:rsidR="00AA17AB">
          <w:rPr>
            <w:webHidden/>
          </w:rPr>
          <w:t>433</w:t>
        </w:r>
        <w:r>
          <w:rPr>
            <w:webHidden/>
          </w:rPr>
          <w:fldChar w:fldCharType="end"/>
        </w:r>
      </w:hyperlink>
    </w:p>
    <w:p w14:paraId="7D6E76D1" w14:textId="70A0BDD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5" w:history="1">
        <w:r w:rsidRPr="00FC437C">
          <w:rPr>
            <w:rStyle w:val="Hyperlink"/>
          </w:rPr>
          <w:t>§121.</w:t>
        </w:r>
        <w:r>
          <w:rPr>
            <w:rFonts w:asciiTheme="minorHAnsi" w:eastAsiaTheme="minorEastAsia" w:hAnsiTheme="minorHAnsi" w:cstheme="minorBidi"/>
            <w:color w:val="auto"/>
            <w:kern w:val="2"/>
            <w:szCs w:val="24"/>
            <w14:ligatures w14:val="standardContextual"/>
          </w:rPr>
          <w:tab/>
        </w:r>
        <w:r w:rsidRPr="00FC437C">
          <w:rPr>
            <w:rStyle w:val="Hyperlink"/>
          </w:rPr>
          <w:t>Penalties</w:t>
        </w:r>
        <w:r>
          <w:rPr>
            <w:webHidden/>
          </w:rPr>
          <w:tab/>
        </w:r>
        <w:r>
          <w:rPr>
            <w:webHidden/>
          </w:rPr>
          <w:fldChar w:fldCharType="begin"/>
        </w:r>
        <w:r>
          <w:rPr>
            <w:webHidden/>
          </w:rPr>
          <w:instrText xml:space="preserve"> PAGEREF _Toc224819555 \h </w:instrText>
        </w:r>
        <w:r>
          <w:rPr>
            <w:webHidden/>
          </w:rPr>
        </w:r>
        <w:r>
          <w:rPr>
            <w:webHidden/>
          </w:rPr>
          <w:fldChar w:fldCharType="separate"/>
        </w:r>
        <w:r w:rsidR="00AA17AB">
          <w:rPr>
            <w:webHidden/>
          </w:rPr>
          <w:t>433</w:t>
        </w:r>
        <w:r>
          <w:rPr>
            <w:webHidden/>
          </w:rPr>
          <w:fldChar w:fldCharType="end"/>
        </w:r>
      </w:hyperlink>
    </w:p>
    <w:p w14:paraId="11D13693" w14:textId="61C69CD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6" w:history="1">
        <w:r w:rsidRPr="00FC437C">
          <w:rPr>
            <w:rStyle w:val="Hyperlink"/>
          </w:rPr>
          <w:t>§123.</w:t>
        </w:r>
        <w:r>
          <w:rPr>
            <w:rFonts w:asciiTheme="minorHAnsi" w:eastAsiaTheme="minorEastAsia" w:hAnsiTheme="minorHAnsi" w:cstheme="minorBidi"/>
            <w:color w:val="auto"/>
            <w:kern w:val="2"/>
            <w:szCs w:val="24"/>
            <w14:ligatures w14:val="standardContextual"/>
          </w:rPr>
          <w:tab/>
        </w:r>
        <w:r w:rsidRPr="00FC437C">
          <w:rPr>
            <w:rStyle w:val="Hyperlink"/>
          </w:rPr>
          <w:t>Severability</w:t>
        </w:r>
        <w:r>
          <w:rPr>
            <w:webHidden/>
          </w:rPr>
          <w:tab/>
        </w:r>
        <w:r>
          <w:rPr>
            <w:webHidden/>
          </w:rPr>
          <w:fldChar w:fldCharType="begin"/>
        </w:r>
        <w:r>
          <w:rPr>
            <w:webHidden/>
          </w:rPr>
          <w:instrText xml:space="preserve"> PAGEREF _Toc224819556 \h </w:instrText>
        </w:r>
        <w:r>
          <w:rPr>
            <w:webHidden/>
          </w:rPr>
        </w:r>
        <w:r>
          <w:rPr>
            <w:webHidden/>
          </w:rPr>
          <w:fldChar w:fldCharType="separate"/>
        </w:r>
        <w:r w:rsidR="00AA17AB">
          <w:rPr>
            <w:webHidden/>
          </w:rPr>
          <w:t>433</w:t>
        </w:r>
        <w:r>
          <w:rPr>
            <w:webHidden/>
          </w:rPr>
          <w:fldChar w:fldCharType="end"/>
        </w:r>
      </w:hyperlink>
    </w:p>
    <w:p w14:paraId="2227689D" w14:textId="78339E17" w:rsidR="00E67799" w:rsidRDefault="00E67799">
      <w:pPr>
        <w:pStyle w:val="TOC1"/>
        <w:rPr>
          <w:rFonts w:asciiTheme="minorHAnsi" w:hAnsiTheme="minorHAnsi" w:cstheme="minorBidi"/>
          <w:b w:val="0"/>
          <w:bCs w:val="0"/>
          <w:sz w:val="24"/>
          <w:szCs w:val="24"/>
        </w:rPr>
      </w:pPr>
      <w:hyperlink w:anchor="_Toc224819557" w:history="1">
        <w:r w:rsidRPr="00FC437C">
          <w:rPr>
            <w:rStyle w:val="Hyperlink"/>
          </w:rPr>
          <w:t>Part XXXIX.  Forestry</w:t>
        </w:r>
      </w:hyperlink>
    </w:p>
    <w:p w14:paraId="5CE52640" w14:textId="1843CAB4" w:rsidR="00E67799" w:rsidRDefault="00E67799">
      <w:pPr>
        <w:pStyle w:val="TOC2"/>
        <w:rPr>
          <w:rFonts w:asciiTheme="minorHAnsi" w:eastAsiaTheme="minorEastAsia" w:hAnsiTheme="minorHAnsi" w:cstheme="minorBidi"/>
          <w:kern w:val="2"/>
          <w:szCs w:val="24"/>
          <w14:ligatures w14:val="standardContextual"/>
        </w:rPr>
      </w:pPr>
      <w:hyperlink w:anchor="_Toc224819558"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Timber Stumpage</w:t>
        </w:r>
        <w:r>
          <w:rPr>
            <w:webHidden/>
          </w:rPr>
          <w:tab/>
        </w:r>
        <w:r>
          <w:rPr>
            <w:webHidden/>
          </w:rPr>
          <w:fldChar w:fldCharType="begin"/>
        </w:r>
        <w:r>
          <w:rPr>
            <w:webHidden/>
          </w:rPr>
          <w:instrText xml:space="preserve"> PAGEREF _Toc224819558 \h </w:instrText>
        </w:r>
        <w:r>
          <w:rPr>
            <w:webHidden/>
          </w:rPr>
        </w:r>
        <w:r>
          <w:rPr>
            <w:webHidden/>
          </w:rPr>
          <w:fldChar w:fldCharType="separate"/>
        </w:r>
        <w:r w:rsidR="00AA17AB">
          <w:rPr>
            <w:webHidden/>
          </w:rPr>
          <w:t>435</w:t>
        </w:r>
        <w:r>
          <w:rPr>
            <w:webHidden/>
          </w:rPr>
          <w:fldChar w:fldCharType="end"/>
        </w:r>
      </w:hyperlink>
    </w:p>
    <w:p w14:paraId="5DF94F92" w14:textId="2E696A9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59"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_Toc224819559 \h </w:instrText>
        </w:r>
        <w:r>
          <w:rPr>
            <w:webHidden/>
          </w:rPr>
        </w:r>
        <w:r>
          <w:rPr>
            <w:webHidden/>
          </w:rPr>
          <w:fldChar w:fldCharType="separate"/>
        </w:r>
        <w:r w:rsidR="00AA17AB">
          <w:rPr>
            <w:webHidden/>
          </w:rPr>
          <w:t>435</w:t>
        </w:r>
        <w:r>
          <w:rPr>
            <w:webHidden/>
          </w:rPr>
          <w:fldChar w:fldCharType="end"/>
        </w:r>
      </w:hyperlink>
    </w:p>
    <w:p w14:paraId="406E8A93" w14:textId="72699AB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0"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Calculation of Current Average Stumpage Market Value</w:t>
        </w:r>
        <w:r>
          <w:rPr>
            <w:webHidden/>
          </w:rPr>
          <w:tab/>
        </w:r>
        <w:r>
          <w:rPr>
            <w:webHidden/>
          </w:rPr>
          <w:fldChar w:fldCharType="begin"/>
        </w:r>
        <w:r>
          <w:rPr>
            <w:webHidden/>
          </w:rPr>
          <w:instrText xml:space="preserve"> PAGEREF _Toc224819560 \h </w:instrText>
        </w:r>
        <w:r>
          <w:rPr>
            <w:webHidden/>
          </w:rPr>
        </w:r>
        <w:r>
          <w:rPr>
            <w:webHidden/>
          </w:rPr>
          <w:fldChar w:fldCharType="separate"/>
        </w:r>
        <w:r w:rsidR="00AA17AB">
          <w:rPr>
            <w:webHidden/>
          </w:rPr>
          <w:t>435</w:t>
        </w:r>
        <w:r>
          <w:rPr>
            <w:webHidden/>
          </w:rPr>
          <w:fldChar w:fldCharType="end"/>
        </w:r>
      </w:hyperlink>
    </w:p>
    <w:p w14:paraId="6BC710E0" w14:textId="393B476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1"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Notice</w:t>
        </w:r>
        <w:r>
          <w:rPr>
            <w:webHidden/>
          </w:rPr>
          <w:tab/>
        </w:r>
        <w:r>
          <w:rPr>
            <w:webHidden/>
          </w:rPr>
          <w:fldChar w:fldCharType="begin"/>
        </w:r>
        <w:r>
          <w:rPr>
            <w:webHidden/>
          </w:rPr>
          <w:instrText xml:space="preserve"> PAGEREF _Toc224819561 \h </w:instrText>
        </w:r>
        <w:r>
          <w:rPr>
            <w:webHidden/>
          </w:rPr>
        </w:r>
        <w:r>
          <w:rPr>
            <w:webHidden/>
          </w:rPr>
          <w:fldChar w:fldCharType="separate"/>
        </w:r>
        <w:r w:rsidR="00AA17AB">
          <w:rPr>
            <w:webHidden/>
          </w:rPr>
          <w:t>435</w:t>
        </w:r>
        <w:r>
          <w:rPr>
            <w:webHidden/>
          </w:rPr>
          <w:fldChar w:fldCharType="end"/>
        </w:r>
      </w:hyperlink>
    </w:p>
    <w:p w14:paraId="4EDF5BA8" w14:textId="3C43E15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2"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Annual Determination of Current Average Stumpage Market Value</w:t>
        </w:r>
        <w:r>
          <w:rPr>
            <w:webHidden/>
          </w:rPr>
          <w:tab/>
        </w:r>
        <w:r>
          <w:rPr>
            <w:webHidden/>
          </w:rPr>
          <w:fldChar w:fldCharType="begin"/>
        </w:r>
        <w:r>
          <w:rPr>
            <w:webHidden/>
          </w:rPr>
          <w:instrText xml:space="preserve"> PAGEREF _Toc224819562 \h </w:instrText>
        </w:r>
        <w:r>
          <w:rPr>
            <w:webHidden/>
          </w:rPr>
        </w:r>
        <w:r>
          <w:rPr>
            <w:webHidden/>
          </w:rPr>
          <w:fldChar w:fldCharType="separate"/>
        </w:r>
        <w:r w:rsidR="00AA17AB">
          <w:rPr>
            <w:webHidden/>
          </w:rPr>
          <w:t>435</w:t>
        </w:r>
        <w:r>
          <w:rPr>
            <w:webHidden/>
          </w:rPr>
          <w:fldChar w:fldCharType="end"/>
        </w:r>
      </w:hyperlink>
    </w:p>
    <w:p w14:paraId="69CC26A7" w14:textId="1E7F637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3"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Product Categories</w:t>
        </w:r>
        <w:r>
          <w:rPr>
            <w:webHidden/>
          </w:rPr>
          <w:tab/>
        </w:r>
        <w:r>
          <w:rPr>
            <w:webHidden/>
          </w:rPr>
          <w:fldChar w:fldCharType="begin"/>
        </w:r>
        <w:r>
          <w:rPr>
            <w:webHidden/>
          </w:rPr>
          <w:instrText xml:space="preserve"> PAGEREF _Toc224819563 \h </w:instrText>
        </w:r>
        <w:r>
          <w:rPr>
            <w:webHidden/>
          </w:rPr>
        </w:r>
        <w:r>
          <w:rPr>
            <w:webHidden/>
          </w:rPr>
          <w:fldChar w:fldCharType="separate"/>
        </w:r>
        <w:r w:rsidR="00AA17AB">
          <w:rPr>
            <w:webHidden/>
          </w:rPr>
          <w:t>436</w:t>
        </w:r>
        <w:r>
          <w:rPr>
            <w:webHidden/>
          </w:rPr>
          <w:fldChar w:fldCharType="end"/>
        </w:r>
      </w:hyperlink>
    </w:p>
    <w:p w14:paraId="57F3C0B7" w14:textId="462F47E0" w:rsidR="00E67799" w:rsidRDefault="00E67799">
      <w:pPr>
        <w:pStyle w:val="TOC2"/>
        <w:rPr>
          <w:rFonts w:asciiTheme="minorHAnsi" w:eastAsiaTheme="minorEastAsia" w:hAnsiTheme="minorHAnsi" w:cstheme="minorBidi"/>
          <w:kern w:val="2"/>
          <w:szCs w:val="24"/>
          <w14:ligatures w14:val="standardContextual"/>
        </w:rPr>
      </w:pPr>
      <w:hyperlink w:anchor="_Toc224819564" w:history="1">
        <w:r w:rsidRPr="00FC437C">
          <w:rPr>
            <w:rStyle w:val="Hyperlink"/>
          </w:rPr>
          <w:t>Chapter 5.</w:t>
        </w:r>
        <w:r>
          <w:rPr>
            <w:rFonts w:asciiTheme="minorHAnsi" w:eastAsiaTheme="minorEastAsia" w:hAnsiTheme="minorHAnsi" w:cstheme="minorBidi"/>
            <w:kern w:val="2"/>
            <w:szCs w:val="24"/>
            <w14:ligatures w14:val="standardContextual"/>
          </w:rPr>
          <w:tab/>
        </w:r>
        <w:r w:rsidRPr="00FC437C">
          <w:rPr>
            <w:rStyle w:val="Hyperlink"/>
          </w:rPr>
          <w:t>Indian Creek Recreation Area</w:t>
        </w:r>
        <w:r>
          <w:rPr>
            <w:webHidden/>
          </w:rPr>
          <w:tab/>
        </w:r>
        <w:r>
          <w:rPr>
            <w:webHidden/>
          </w:rPr>
          <w:fldChar w:fldCharType="begin"/>
        </w:r>
        <w:r>
          <w:rPr>
            <w:webHidden/>
          </w:rPr>
          <w:instrText xml:space="preserve"> PAGEREF _Toc224819564 \h </w:instrText>
        </w:r>
        <w:r>
          <w:rPr>
            <w:webHidden/>
          </w:rPr>
        </w:r>
        <w:r>
          <w:rPr>
            <w:webHidden/>
          </w:rPr>
          <w:fldChar w:fldCharType="separate"/>
        </w:r>
        <w:r w:rsidR="00AA17AB">
          <w:rPr>
            <w:webHidden/>
          </w:rPr>
          <w:t>436</w:t>
        </w:r>
        <w:r>
          <w:rPr>
            <w:webHidden/>
          </w:rPr>
          <w:fldChar w:fldCharType="end"/>
        </w:r>
      </w:hyperlink>
    </w:p>
    <w:p w14:paraId="3D350379" w14:textId="5832E69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5" w:history="1">
        <w:r w:rsidRPr="00FC437C">
          <w:rPr>
            <w:rStyle w:val="Hyperlink"/>
          </w:rPr>
          <w:t>§501.</w:t>
        </w:r>
        <w:r>
          <w:rPr>
            <w:rFonts w:asciiTheme="minorHAnsi" w:eastAsiaTheme="minorEastAsia" w:hAnsiTheme="minorHAnsi" w:cstheme="minorBidi"/>
            <w:color w:val="auto"/>
            <w:kern w:val="2"/>
            <w:szCs w:val="24"/>
            <w14:ligatures w14:val="standardContextual"/>
          </w:rPr>
          <w:tab/>
        </w:r>
        <w:r w:rsidRPr="00FC437C">
          <w:rPr>
            <w:rStyle w:val="Hyperlink"/>
          </w:rPr>
          <w:t>General Authority and Purpose</w:t>
        </w:r>
        <w:r>
          <w:rPr>
            <w:webHidden/>
          </w:rPr>
          <w:tab/>
        </w:r>
        <w:r>
          <w:rPr>
            <w:webHidden/>
          </w:rPr>
          <w:fldChar w:fldCharType="begin"/>
        </w:r>
        <w:r>
          <w:rPr>
            <w:webHidden/>
          </w:rPr>
          <w:instrText xml:space="preserve"> PAGEREF _Toc224819565 \h </w:instrText>
        </w:r>
        <w:r>
          <w:rPr>
            <w:webHidden/>
          </w:rPr>
        </w:r>
        <w:r>
          <w:rPr>
            <w:webHidden/>
          </w:rPr>
          <w:fldChar w:fldCharType="separate"/>
        </w:r>
        <w:r w:rsidR="00AA17AB">
          <w:rPr>
            <w:webHidden/>
          </w:rPr>
          <w:t>436</w:t>
        </w:r>
        <w:r>
          <w:rPr>
            <w:webHidden/>
          </w:rPr>
          <w:fldChar w:fldCharType="end"/>
        </w:r>
      </w:hyperlink>
    </w:p>
    <w:p w14:paraId="35D30E60" w14:textId="49CECB8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6" w:history="1">
        <w:r w:rsidRPr="00FC437C">
          <w:rPr>
            <w:rStyle w:val="Hyperlink"/>
          </w:rPr>
          <w:t>§503.</w:t>
        </w:r>
        <w:r>
          <w:rPr>
            <w:rFonts w:asciiTheme="minorHAnsi" w:eastAsiaTheme="minorEastAsia" w:hAnsiTheme="minorHAnsi" w:cstheme="minorBidi"/>
            <w:color w:val="auto"/>
            <w:kern w:val="2"/>
            <w:szCs w:val="24"/>
            <w14:ligatures w14:val="standardContextual"/>
          </w:rPr>
          <w:tab/>
        </w:r>
        <w:r w:rsidRPr="00FC437C">
          <w:rPr>
            <w:rStyle w:val="Hyperlink"/>
          </w:rPr>
          <w:t>Park Property and Environment</w:t>
        </w:r>
        <w:r>
          <w:rPr>
            <w:webHidden/>
          </w:rPr>
          <w:tab/>
        </w:r>
        <w:r>
          <w:rPr>
            <w:webHidden/>
          </w:rPr>
          <w:fldChar w:fldCharType="begin"/>
        </w:r>
        <w:r>
          <w:rPr>
            <w:webHidden/>
          </w:rPr>
          <w:instrText xml:space="preserve"> PAGEREF _Toc224819566 \h </w:instrText>
        </w:r>
        <w:r>
          <w:rPr>
            <w:webHidden/>
          </w:rPr>
        </w:r>
        <w:r>
          <w:rPr>
            <w:webHidden/>
          </w:rPr>
          <w:fldChar w:fldCharType="separate"/>
        </w:r>
        <w:r w:rsidR="00AA17AB">
          <w:rPr>
            <w:webHidden/>
          </w:rPr>
          <w:t>436</w:t>
        </w:r>
        <w:r>
          <w:rPr>
            <w:webHidden/>
          </w:rPr>
          <w:fldChar w:fldCharType="end"/>
        </w:r>
      </w:hyperlink>
    </w:p>
    <w:p w14:paraId="7CDB5568" w14:textId="06A918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7" w:history="1">
        <w:r w:rsidRPr="00FC437C">
          <w:rPr>
            <w:rStyle w:val="Hyperlink"/>
          </w:rPr>
          <w:t>§505.</w:t>
        </w:r>
        <w:r>
          <w:rPr>
            <w:rFonts w:asciiTheme="minorHAnsi" w:eastAsiaTheme="minorEastAsia" w:hAnsiTheme="minorHAnsi" w:cstheme="minorBidi"/>
            <w:color w:val="auto"/>
            <w:kern w:val="2"/>
            <w:szCs w:val="24"/>
            <w14:ligatures w14:val="standardContextual"/>
          </w:rPr>
          <w:tab/>
        </w:r>
        <w:r w:rsidRPr="00FC437C">
          <w:rPr>
            <w:rStyle w:val="Hyperlink"/>
          </w:rPr>
          <w:t>Vehicle Use</w:t>
        </w:r>
        <w:r>
          <w:rPr>
            <w:webHidden/>
          </w:rPr>
          <w:tab/>
        </w:r>
        <w:r>
          <w:rPr>
            <w:webHidden/>
          </w:rPr>
          <w:fldChar w:fldCharType="begin"/>
        </w:r>
        <w:r>
          <w:rPr>
            <w:webHidden/>
          </w:rPr>
          <w:instrText xml:space="preserve"> PAGEREF _Toc224819567 \h </w:instrText>
        </w:r>
        <w:r>
          <w:rPr>
            <w:webHidden/>
          </w:rPr>
        </w:r>
        <w:r>
          <w:rPr>
            <w:webHidden/>
          </w:rPr>
          <w:fldChar w:fldCharType="separate"/>
        </w:r>
        <w:r w:rsidR="00AA17AB">
          <w:rPr>
            <w:webHidden/>
          </w:rPr>
          <w:t>436</w:t>
        </w:r>
        <w:r>
          <w:rPr>
            <w:webHidden/>
          </w:rPr>
          <w:fldChar w:fldCharType="end"/>
        </w:r>
      </w:hyperlink>
    </w:p>
    <w:p w14:paraId="05688380" w14:textId="72273AC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8" w:history="1">
        <w:r w:rsidRPr="00FC437C">
          <w:rPr>
            <w:rStyle w:val="Hyperlink"/>
          </w:rPr>
          <w:t>§507.</w:t>
        </w:r>
        <w:r>
          <w:rPr>
            <w:rFonts w:asciiTheme="minorHAnsi" w:eastAsiaTheme="minorEastAsia" w:hAnsiTheme="minorHAnsi" w:cstheme="minorBidi"/>
            <w:color w:val="auto"/>
            <w:kern w:val="2"/>
            <w:szCs w:val="24"/>
            <w14:ligatures w14:val="standardContextual"/>
          </w:rPr>
          <w:tab/>
        </w:r>
        <w:r w:rsidRPr="00FC437C">
          <w:rPr>
            <w:rStyle w:val="Hyperlink"/>
          </w:rPr>
          <w:t>Watercraft</w:t>
        </w:r>
        <w:r>
          <w:rPr>
            <w:webHidden/>
          </w:rPr>
          <w:tab/>
        </w:r>
        <w:r>
          <w:rPr>
            <w:webHidden/>
          </w:rPr>
          <w:fldChar w:fldCharType="begin"/>
        </w:r>
        <w:r>
          <w:rPr>
            <w:webHidden/>
          </w:rPr>
          <w:instrText xml:space="preserve"> PAGEREF _Toc224819568 \h </w:instrText>
        </w:r>
        <w:r>
          <w:rPr>
            <w:webHidden/>
          </w:rPr>
        </w:r>
        <w:r>
          <w:rPr>
            <w:webHidden/>
          </w:rPr>
          <w:fldChar w:fldCharType="separate"/>
        </w:r>
        <w:r w:rsidR="00AA17AB">
          <w:rPr>
            <w:webHidden/>
          </w:rPr>
          <w:t>437</w:t>
        </w:r>
        <w:r>
          <w:rPr>
            <w:webHidden/>
          </w:rPr>
          <w:fldChar w:fldCharType="end"/>
        </w:r>
      </w:hyperlink>
    </w:p>
    <w:p w14:paraId="15897DC6" w14:textId="10224DE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69" w:history="1">
        <w:r w:rsidRPr="00FC437C">
          <w:rPr>
            <w:rStyle w:val="Hyperlink"/>
          </w:rPr>
          <w:t>§509.</w:t>
        </w:r>
        <w:r>
          <w:rPr>
            <w:rFonts w:asciiTheme="minorHAnsi" w:eastAsiaTheme="minorEastAsia" w:hAnsiTheme="minorHAnsi" w:cstheme="minorBidi"/>
            <w:color w:val="auto"/>
            <w:kern w:val="2"/>
            <w:szCs w:val="24"/>
            <w14:ligatures w14:val="standardContextual"/>
          </w:rPr>
          <w:tab/>
        </w:r>
        <w:r w:rsidRPr="00FC437C">
          <w:rPr>
            <w:rStyle w:val="Hyperlink"/>
          </w:rPr>
          <w:t>Livestock, Animals and Pets</w:t>
        </w:r>
        <w:r>
          <w:rPr>
            <w:webHidden/>
          </w:rPr>
          <w:tab/>
        </w:r>
        <w:r>
          <w:rPr>
            <w:webHidden/>
          </w:rPr>
          <w:fldChar w:fldCharType="begin"/>
        </w:r>
        <w:r>
          <w:rPr>
            <w:webHidden/>
          </w:rPr>
          <w:instrText xml:space="preserve"> PAGEREF _Toc224819569 \h </w:instrText>
        </w:r>
        <w:r>
          <w:rPr>
            <w:webHidden/>
          </w:rPr>
        </w:r>
        <w:r>
          <w:rPr>
            <w:webHidden/>
          </w:rPr>
          <w:fldChar w:fldCharType="separate"/>
        </w:r>
        <w:r w:rsidR="00AA17AB">
          <w:rPr>
            <w:webHidden/>
          </w:rPr>
          <w:t>437</w:t>
        </w:r>
        <w:r>
          <w:rPr>
            <w:webHidden/>
          </w:rPr>
          <w:fldChar w:fldCharType="end"/>
        </w:r>
      </w:hyperlink>
    </w:p>
    <w:p w14:paraId="56AAD837" w14:textId="1BFE93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0" w:history="1">
        <w:r w:rsidRPr="00FC437C">
          <w:rPr>
            <w:rStyle w:val="Hyperlink"/>
          </w:rPr>
          <w:t>§511.</w:t>
        </w:r>
        <w:r>
          <w:rPr>
            <w:rFonts w:asciiTheme="minorHAnsi" w:eastAsiaTheme="minorEastAsia" w:hAnsiTheme="minorHAnsi" w:cstheme="minorBidi"/>
            <w:color w:val="auto"/>
            <w:kern w:val="2"/>
            <w:szCs w:val="24"/>
            <w14:ligatures w14:val="standardContextual"/>
          </w:rPr>
          <w:tab/>
        </w:r>
        <w:r w:rsidRPr="00FC437C">
          <w:rPr>
            <w:rStyle w:val="Hyperlink"/>
          </w:rPr>
          <w:t>Litter, Sanitation and Health</w:t>
        </w:r>
        <w:r>
          <w:rPr>
            <w:webHidden/>
          </w:rPr>
          <w:tab/>
        </w:r>
        <w:r>
          <w:rPr>
            <w:webHidden/>
          </w:rPr>
          <w:fldChar w:fldCharType="begin"/>
        </w:r>
        <w:r>
          <w:rPr>
            <w:webHidden/>
          </w:rPr>
          <w:instrText xml:space="preserve"> PAGEREF _Toc224819570 \h </w:instrText>
        </w:r>
        <w:r>
          <w:rPr>
            <w:webHidden/>
          </w:rPr>
        </w:r>
        <w:r>
          <w:rPr>
            <w:webHidden/>
          </w:rPr>
          <w:fldChar w:fldCharType="separate"/>
        </w:r>
        <w:r w:rsidR="00AA17AB">
          <w:rPr>
            <w:webHidden/>
          </w:rPr>
          <w:t>437</w:t>
        </w:r>
        <w:r>
          <w:rPr>
            <w:webHidden/>
          </w:rPr>
          <w:fldChar w:fldCharType="end"/>
        </w:r>
      </w:hyperlink>
    </w:p>
    <w:p w14:paraId="7335942A" w14:textId="52207C1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1" w:history="1">
        <w:r w:rsidRPr="00FC437C">
          <w:rPr>
            <w:rStyle w:val="Hyperlink"/>
          </w:rPr>
          <w:t>§513.</w:t>
        </w:r>
        <w:r>
          <w:rPr>
            <w:rFonts w:asciiTheme="minorHAnsi" w:eastAsiaTheme="minorEastAsia" w:hAnsiTheme="minorHAnsi" w:cstheme="minorBidi"/>
            <w:color w:val="auto"/>
            <w:kern w:val="2"/>
            <w:szCs w:val="24"/>
            <w14:ligatures w14:val="standardContextual"/>
          </w:rPr>
          <w:tab/>
        </w:r>
        <w:r w:rsidRPr="00FC437C">
          <w:rPr>
            <w:rStyle w:val="Hyperlink"/>
          </w:rPr>
          <w:t>Fires</w:t>
        </w:r>
        <w:r>
          <w:rPr>
            <w:webHidden/>
          </w:rPr>
          <w:tab/>
        </w:r>
        <w:r>
          <w:rPr>
            <w:webHidden/>
          </w:rPr>
          <w:fldChar w:fldCharType="begin"/>
        </w:r>
        <w:r>
          <w:rPr>
            <w:webHidden/>
          </w:rPr>
          <w:instrText xml:space="preserve"> PAGEREF _Toc224819571 \h </w:instrText>
        </w:r>
        <w:r>
          <w:rPr>
            <w:webHidden/>
          </w:rPr>
        </w:r>
        <w:r>
          <w:rPr>
            <w:webHidden/>
          </w:rPr>
          <w:fldChar w:fldCharType="separate"/>
        </w:r>
        <w:r w:rsidR="00AA17AB">
          <w:rPr>
            <w:webHidden/>
          </w:rPr>
          <w:t>437</w:t>
        </w:r>
        <w:r>
          <w:rPr>
            <w:webHidden/>
          </w:rPr>
          <w:fldChar w:fldCharType="end"/>
        </w:r>
      </w:hyperlink>
    </w:p>
    <w:p w14:paraId="6981F575" w14:textId="5CE11C7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2" w:history="1">
        <w:r w:rsidRPr="00FC437C">
          <w:rPr>
            <w:rStyle w:val="Hyperlink"/>
          </w:rPr>
          <w:t>§515.</w:t>
        </w:r>
        <w:r>
          <w:rPr>
            <w:rFonts w:asciiTheme="minorHAnsi" w:eastAsiaTheme="minorEastAsia" w:hAnsiTheme="minorHAnsi" w:cstheme="minorBidi"/>
            <w:color w:val="auto"/>
            <w:kern w:val="2"/>
            <w:szCs w:val="24"/>
            <w14:ligatures w14:val="standardContextual"/>
          </w:rPr>
          <w:tab/>
        </w:r>
        <w:r w:rsidRPr="00FC437C">
          <w:rPr>
            <w:rStyle w:val="Hyperlink"/>
          </w:rPr>
          <w:t>Fishing, Hunting, Trapping, and the Use of Firearms or Fireworks</w:t>
        </w:r>
        <w:r>
          <w:rPr>
            <w:webHidden/>
          </w:rPr>
          <w:tab/>
        </w:r>
        <w:r>
          <w:rPr>
            <w:webHidden/>
          </w:rPr>
          <w:fldChar w:fldCharType="begin"/>
        </w:r>
        <w:r>
          <w:rPr>
            <w:webHidden/>
          </w:rPr>
          <w:instrText xml:space="preserve"> PAGEREF _Toc224819572 \h </w:instrText>
        </w:r>
        <w:r>
          <w:rPr>
            <w:webHidden/>
          </w:rPr>
        </w:r>
        <w:r>
          <w:rPr>
            <w:webHidden/>
          </w:rPr>
          <w:fldChar w:fldCharType="separate"/>
        </w:r>
        <w:r w:rsidR="00AA17AB">
          <w:rPr>
            <w:webHidden/>
          </w:rPr>
          <w:t>438</w:t>
        </w:r>
        <w:r>
          <w:rPr>
            <w:webHidden/>
          </w:rPr>
          <w:fldChar w:fldCharType="end"/>
        </w:r>
      </w:hyperlink>
    </w:p>
    <w:p w14:paraId="39B2806A" w14:textId="5F6FAAC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3" w:history="1">
        <w:r w:rsidRPr="00FC437C">
          <w:rPr>
            <w:rStyle w:val="Hyperlink"/>
          </w:rPr>
          <w:t>§517.</w:t>
        </w:r>
        <w:r>
          <w:rPr>
            <w:rFonts w:asciiTheme="minorHAnsi" w:eastAsiaTheme="minorEastAsia" w:hAnsiTheme="minorHAnsi" w:cstheme="minorBidi"/>
            <w:color w:val="auto"/>
            <w:kern w:val="2"/>
            <w:szCs w:val="24"/>
            <w14:ligatures w14:val="standardContextual"/>
          </w:rPr>
          <w:tab/>
        </w:r>
        <w:r w:rsidRPr="00FC437C">
          <w:rPr>
            <w:rStyle w:val="Hyperlink"/>
          </w:rPr>
          <w:t>Swimming</w:t>
        </w:r>
        <w:r>
          <w:rPr>
            <w:webHidden/>
          </w:rPr>
          <w:tab/>
        </w:r>
        <w:r>
          <w:rPr>
            <w:webHidden/>
          </w:rPr>
          <w:fldChar w:fldCharType="begin"/>
        </w:r>
        <w:r>
          <w:rPr>
            <w:webHidden/>
          </w:rPr>
          <w:instrText xml:space="preserve"> PAGEREF _Toc224819573 \h </w:instrText>
        </w:r>
        <w:r>
          <w:rPr>
            <w:webHidden/>
          </w:rPr>
        </w:r>
        <w:r>
          <w:rPr>
            <w:webHidden/>
          </w:rPr>
          <w:fldChar w:fldCharType="separate"/>
        </w:r>
        <w:r w:rsidR="00AA17AB">
          <w:rPr>
            <w:webHidden/>
          </w:rPr>
          <w:t>438</w:t>
        </w:r>
        <w:r>
          <w:rPr>
            <w:webHidden/>
          </w:rPr>
          <w:fldChar w:fldCharType="end"/>
        </w:r>
      </w:hyperlink>
    </w:p>
    <w:p w14:paraId="0FF54677" w14:textId="1631B1C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4" w:history="1">
        <w:r w:rsidRPr="00FC437C">
          <w:rPr>
            <w:rStyle w:val="Hyperlink"/>
          </w:rPr>
          <w:t>§519.</w:t>
        </w:r>
        <w:r>
          <w:rPr>
            <w:rFonts w:asciiTheme="minorHAnsi" w:eastAsiaTheme="minorEastAsia" w:hAnsiTheme="minorHAnsi" w:cstheme="minorBidi"/>
            <w:color w:val="auto"/>
            <w:kern w:val="2"/>
            <w:szCs w:val="24"/>
            <w14:ligatures w14:val="standardContextual"/>
          </w:rPr>
          <w:tab/>
        </w:r>
        <w:r w:rsidRPr="00FC437C">
          <w:rPr>
            <w:rStyle w:val="Hyperlink"/>
          </w:rPr>
          <w:t>Amplified Sound Equipment</w:t>
        </w:r>
        <w:r>
          <w:rPr>
            <w:webHidden/>
          </w:rPr>
          <w:tab/>
        </w:r>
        <w:r>
          <w:rPr>
            <w:webHidden/>
          </w:rPr>
          <w:fldChar w:fldCharType="begin"/>
        </w:r>
        <w:r>
          <w:rPr>
            <w:webHidden/>
          </w:rPr>
          <w:instrText xml:space="preserve"> PAGEREF _Toc224819574 \h </w:instrText>
        </w:r>
        <w:r>
          <w:rPr>
            <w:webHidden/>
          </w:rPr>
        </w:r>
        <w:r>
          <w:rPr>
            <w:webHidden/>
          </w:rPr>
          <w:fldChar w:fldCharType="separate"/>
        </w:r>
        <w:r w:rsidR="00AA17AB">
          <w:rPr>
            <w:webHidden/>
          </w:rPr>
          <w:t>438</w:t>
        </w:r>
        <w:r>
          <w:rPr>
            <w:webHidden/>
          </w:rPr>
          <w:fldChar w:fldCharType="end"/>
        </w:r>
      </w:hyperlink>
    </w:p>
    <w:p w14:paraId="4F9D028B" w14:textId="508AA5A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5" w:history="1">
        <w:r w:rsidRPr="00FC437C">
          <w:rPr>
            <w:rStyle w:val="Hyperlink"/>
          </w:rPr>
          <w:t>§521.</w:t>
        </w:r>
        <w:r>
          <w:rPr>
            <w:rFonts w:asciiTheme="minorHAnsi" w:eastAsiaTheme="minorEastAsia" w:hAnsiTheme="minorHAnsi" w:cstheme="minorBidi"/>
            <w:color w:val="auto"/>
            <w:kern w:val="2"/>
            <w:szCs w:val="24"/>
            <w14:ligatures w14:val="standardContextual"/>
          </w:rPr>
          <w:tab/>
        </w:r>
        <w:r w:rsidRPr="00FC437C">
          <w:rPr>
            <w:rStyle w:val="Hyperlink"/>
          </w:rPr>
          <w:t>Disorderly Conduct</w:t>
        </w:r>
        <w:r>
          <w:rPr>
            <w:webHidden/>
          </w:rPr>
          <w:tab/>
        </w:r>
        <w:r>
          <w:rPr>
            <w:webHidden/>
          </w:rPr>
          <w:fldChar w:fldCharType="begin"/>
        </w:r>
        <w:r>
          <w:rPr>
            <w:webHidden/>
          </w:rPr>
          <w:instrText xml:space="preserve"> PAGEREF _Toc224819575 \h </w:instrText>
        </w:r>
        <w:r>
          <w:rPr>
            <w:webHidden/>
          </w:rPr>
        </w:r>
        <w:r>
          <w:rPr>
            <w:webHidden/>
          </w:rPr>
          <w:fldChar w:fldCharType="separate"/>
        </w:r>
        <w:r w:rsidR="00AA17AB">
          <w:rPr>
            <w:webHidden/>
          </w:rPr>
          <w:t>438</w:t>
        </w:r>
        <w:r>
          <w:rPr>
            <w:webHidden/>
          </w:rPr>
          <w:fldChar w:fldCharType="end"/>
        </w:r>
      </w:hyperlink>
    </w:p>
    <w:p w14:paraId="55777AFE" w14:textId="6E8CBE4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6" w:history="1">
        <w:r w:rsidRPr="00FC437C">
          <w:rPr>
            <w:rStyle w:val="Hyperlink"/>
          </w:rPr>
          <w:t>§523.</w:t>
        </w:r>
        <w:r>
          <w:rPr>
            <w:rFonts w:asciiTheme="minorHAnsi" w:eastAsiaTheme="minorEastAsia" w:hAnsiTheme="minorHAnsi" w:cstheme="minorBidi"/>
            <w:color w:val="auto"/>
            <w:kern w:val="2"/>
            <w:szCs w:val="24"/>
            <w14:ligatures w14:val="standardContextual"/>
          </w:rPr>
          <w:tab/>
        </w:r>
        <w:r w:rsidRPr="00FC437C">
          <w:rPr>
            <w:rStyle w:val="Hyperlink"/>
          </w:rPr>
          <w:t>Business Activities</w:t>
        </w:r>
        <w:r>
          <w:rPr>
            <w:webHidden/>
          </w:rPr>
          <w:tab/>
        </w:r>
        <w:r>
          <w:rPr>
            <w:webHidden/>
          </w:rPr>
          <w:fldChar w:fldCharType="begin"/>
        </w:r>
        <w:r>
          <w:rPr>
            <w:webHidden/>
          </w:rPr>
          <w:instrText xml:space="preserve"> PAGEREF _Toc224819576 \h </w:instrText>
        </w:r>
        <w:r>
          <w:rPr>
            <w:webHidden/>
          </w:rPr>
        </w:r>
        <w:r>
          <w:rPr>
            <w:webHidden/>
          </w:rPr>
          <w:fldChar w:fldCharType="separate"/>
        </w:r>
        <w:r w:rsidR="00AA17AB">
          <w:rPr>
            <w:webHidden/>
          </w:rPr>
          <w:t>438</w:t>
        </w:r>
        <w:r>
          <w:rPr>
            <w:webHidden/>
          </w:rPr>
          <w:fldChar w:fldCharType="end"/>
        </w:r>
      </w:hyperlink>
    </w:p>
    <w:p w14:paraId="63B63CB6" w14:textId="43E5F8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7" w:history="1">
        <w:r w:rsidRPr="00FC437C">
          <w:rPr>
            <w:rStyle w:val="Hyperlink"/>
          </w:rPr>
          <w:t>§525.</w:t>
        </w:r>
        <w:r>
          <w:rPr>
            <w:rFonts w:asciiTheme="minorHAnsi" w:eastAsiaTheme="minorEastAsia" w:hAnsiTheme="minorHAnsi" w:cstheme="minorBidi"/>
            <w:color w:val="auto"/>
            <w:kern w:val="2"/>
            <w:szCs w:val="24"/>
            <w14:ligatures w14:val="standardContextual"/>
          </w:rPr>
          <w:tab/>
        </w:r>
        <w:r w:rsidRPr="00FC437C">
          <w:rPr>
            <w:rStyle w:val="Hyperlink"/>
          </w:rPr>
          <w:t>Enforcement</w:t>
        </w:r>
        <w:r>
          <w:rPr>
            <w:webHidden/>
          </w:rPr>
          <w:tab/>
        </w:r>
        <w:r>
          <w:rPr>
            <w:webHidden/>
          </w:rPr>
          <w:fldChar w:fldCharType="begin"/>
        </w:r>
        <w:r>
          <w:rPr>
            <w:webHidden/>
          </w:rPr>
          <w:instrText xml:space="preserve"> PAGEREF _Toc224819577 \h </w:instrText>
        </w:r>
        <w:r>
          <w:rPr>
            <w:webHidden/>
          </w:rPr>
        </w:r>
        <w:r>
          <w:rPr>
            <w:webHidden/>
          </w:rPr>
          <w:fldChar w:fldCharType="separate"/>
        </w:r>
        <w:r w:rsidR="00AA17AB">
          <w:rPr>
            <w:webHidden/>
          </w:rPr>
          <w:t>439</w:t>
        </w:r>
        <w:r>
          <w:rPr>
            <w:webHidden/>
          </w:rPr>
          <w:fldChar w:fldCharType="end"/>
        </w:r>
      </w:hyperlink>
    </w:p>
    <w:p w14:paraId="6143F52C" w14:textId="484EFF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8" w:history="1">
        <w:r w:rsidRPr="00FC437C">
          <w:rPr>
            <w:rStyle w:val="Hyperlink"/>
          </w:rPr>
          <w:t>§527.</w:t>
        </w:r>
        <w:r>
          <w:rPr>
            <w:rFonts w:asciiTheme="minorHAnsi" w:eastAsiaTheme="minorEastAsia" w:hAnsiTheme="minorHAnsi" w:cstheme="minorBidi"/>
            <w:color w:val="auto"/>
            <w:kern w:val="2"/>
            <w:szCs w:val="24"/>
            <w14:ligatures w14:val="standardContextual"/>
          </w:rPr>
          <w:tab/>
        </w:r>
        <w:r w:rsidRPr="00FC437C">
          <w:rPr>
            <w:rStyle w:val="Hyperlink"/>
          </w:rPr>
          <w:t>Overnight Use</w:t>
        </w:r>
        <w:r>
          <w:rPr>
            <w:webHidden/>
          </w:rPr>
          <w:tab/>
        </w:r>
        <w:r>
          <w:rPr>
            <w:webHidden/>
          </w:rPr>
          <w:fldChar w:fldCharType="begin"/>
        </w:r>
        <w:r>
          <w:rPr>
            <w:webHidden/>
          </w:rPr>
          <w:instrText xml:space="preserve"> PAGEREF _Toc224819578 \h </w:instrText>
        </w:r>
        <w:r>
          <w:rPr>
            <w:webHidden/>
          </w:rPr>
        </w:r>
        <w:r>
          <w:rPr>
            <w:webHidden/>
          </w:rPr>
          <w:fldChar w:fldCharType="separate"/>
        </w:r>
        <w:r w:rsidR="00AA17AB">
          <w:rPr>
            <w:webHidden/>
          </w:rPr>
          <w:t>439</w:t>
        </w:r>
        <w:r>
          <w:rPr>
            <w:webHidden/>
          </w:rPr>
          <w:fldChar w:fldCharType="end"/>
        </w:r>
      </w:hyperlink>
    </w:p>
    <w:p w14:paraId="072177C6" w14:textId="6DABA39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79" w:history="1">
        <w:r w:rsidRPr="00FC437C">
          <w:rPr>
            <w:rStyle w:val="Hyperlink"/>
          </w:rPr>
          <w:t>§529.</w:t>
        </w:r>
        <w:r>
          <w:rPr>
            <w:rFonts w:asciiTheme="minorHAnsi" w:eastAsiaTheme="minorEastAsia" w:hAnsiTheme="minorHAnsi" w:cstheme="minorBidi"/>
            <w:color w:val="auto"/>
            <w:kern w:val="2"/>
            <w:szCs w:val="24"/>
            <w14:ligatures w14:val="standardContextual"/>
          </w:rPr>
          <w:tab/>
        </w:r>
        <w:r w:rsidRPr="00FC437C">
          <w:rPr>
            <w:rStyle w:val="Hyperlink"/>
          </w:rPr>
          <w:t>Fees and Emergency Closing</w:t>
        </w:r>
        <w:r>
          <w:rPr>
            <w:webHidden/>
          </w:rPr>
          <w:tab/>
        </w:r>
        <w:r>
          <w:rPr>
            <w:webHidden/>
          </w:rPr>
          <w:fldChar w:fldCharType="begin"/>
        </w:r>
        <w:r>
          <w:rPr>
            <w:webHidden/>
          </w:rPr>
          <w:instrText xml:space="preserve"> PAGEREF _Toc224819579 \h </w:instrText>
        </w:r>
        <w:r>
          <w:rPr>
            <w:webHidden/>
          </w:rPr>
        </w:r>
        <w:r>
          <w:rPr>
            <w:webHidden/>
          </w:rPr>
          <w:fldChar w:fldCharType="separate"/>
        </w:r>
        <w:r w:rsidR="00AA17AB">
          <w:rPr>
            <w:webHidden/>
          </w:rPr>
          <w:t>440</w:t>
        </w:r>
        <w:r>
          <w:rPr>
            <w:webHidden/>
          </w:rPr>
          <w:fldChar w:fldCharType="end"/>
        </w:r>
      </w:hyperlink>
    </w:p>
    <w:p w14:paraId="29FC91CA" w14:textId="21849B7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0" w:history="1">
        <w:r w:rsidRPr="00FC437C">
          <w:rPr>
            <w:rStyle w:val="Hyperlink"/>
          </w:rPr>
          <w:t>§531.</w:t>
        </w:r>
        <w:r>
          <w:rPr>
            <w:rFonts w:asciiTheme="minorHAnsi" w:eastAsiaTheme="minorEastAsia" w:hAnsiTheme="minorHAnsi" w:cstheme="minorBidi"/>
            <w:color w:val="auto"/>
            <w:kern w:val="2"/>
            <w:szCs w:val="24"/>
            <w14:ligatures w14:val="standardContextual"/>
          </w:rPr>
          <w:tab/>
        </w:r>
        <w:r w:rsidRPr="00FC437C">
          <w:rPr>
            <w:rStyle w:val="Hyperlink"/>
          </w:rPr>
          <w:t>Fees; Day-Use Fees</w:t>
        </w:r>
        <w:r>
          <w:rPr>
            <w:webHidden/>
          </w:rPr>
          <w:tab/>
        </w:r>
        <w:r>
          <w:rPr>
            <w:webHidden/>
          </w:rPr>
          <w:fldChar w:fldCharType="begin"/>
        </w:r>
        <w:r>
          <w:rPr>
            <w:webHidden/>
          </w:rPr>
          <w:instrText xml:space="preserve"> PAGEREF _Toc224819580 \h </w:instrText>
        </w:r>
        <w:r>
          <w:rPr>
            <w:webHidden/>
          </w:rPr>
        </w:r>
        <w:r>
          <w:rPr>
            <w:webHidden/>
          </w:rPr>
          <w:fldChar w:fldCharType="separate"/>
        </w:r>
        <w:r w:rsidR="00AA17AB">
          <w:rPr>
            <w:webHidden/>
          </w:rPr>
          <w:t>440</w:t>
        </w:r>
        <w:r>
          <w:rPr>
            <w:webHidden/>
          </w:rPr>
          <w:fldChar w:fldCharType="end"/>
        </w:r>
      </w:hyperlink>
    </w:p>
    <w:p w14:paraId="5971C853" w14:textId="5AB4042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1" w:history="1">
        <w:r w:rsidRPr="00FC437C">
          <w:rPr>
            <w:rStyle w:val="Hyperlink"/>
          </w:rPr>
          <w:t>§533.</w:t>
        </w:r>
        <w:r>
          <w:rPr>
            <w:rFonts w:asciiTheme="minorHAnsi" w:eastAsiaTheme="minorEastAsia" w:hAnsiTheme="minorHAnsi" w:cstheme="minorBidi"/>
            <w:color w:val="auto"/>
            <w:kern w:val="2"/>
            <w:szCs w:val="24"/>
            <w14:ligatures w14:val="standardContextual"/>
          </w:rPr>
          <w:tab/>
        </w:r>
        <w:r w:rsidRPr="00FC437C">
          <w:rPr>
            <w:rStyle w:val="Hyperlink"/>
          </w:rPr>
          <w:t>Fees; Boating and Vehicle Use</w:t>
        </w:r>
        <w:r>
          <w:rPr>
            <w:webHidden/>
          </w:rPr>
          <w:tab/>
        </w:r>
        <w:r>
          <w:rPr>
            <w:webHidden/>
          </w:rPr>
          <w:fldChar w:fldCharType="begin"/>
        </w:r>
        <w:r>
          <w:rPr>
            <w:webHidden/>
          </w:rPr>
          <w:instrText xml:space="preserve"> PAGEREF _Toc224819581 \h </w:instrText>
        </w:r>
        <w:r>
          <w:rPr>
            <w:webHidden/>
          </w:rPr>
        </w:r>
        <w:r>
          <w:rPr>
            <w:webHidden/>
          </w:rPr>
          <w:fldChar w:fldCharType="separate"/>
        </w:r>
        <w:r w:rsidR="00AA17AB">
          <w:rPr>
            <w:webHidden/>
          </w:rPr>
          <w:t>440</w:t>
        </w:r>
        <w:r>
          <w:rPr>
            <w:webHidden/>
          </w:rPr>
          <w:fldChar w:fldCharType="end"/>
        </w:r>
      </w:hyperlink>
    </w:p>
    <w:p w14:paraId="7D1EFF1A" w14:textId="4C7BA6D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2" w:history="1">
        <w:r w:rsidRPr="00FC437C">
          <w:rPr>
            <w:rStyle w:val="Hyperlink"/>
          </w:rPr>
          <w:t>§535.</w:t>
        </w:r>
        <w:r>
          <w:rPr>
            <w:rFonts w:asciiTheme="minorHAnsi" w:eastAsiaTheme="minorEastAsia" w:hAnsiTheme="minorHAnsi" w:cstheme="minorBidi"/>
            <w:color w:val="auto"/>
            <w:kern w:val="2"/>
            <w:szCs w:val="24"/>
            <w14:ligatures w14:val="standardContextual"/>
          </w:rPr>
          <w:tab/>
        </w:r>
        <w:r w:rsidRPr="00FC437C">
          <w:rPr>
            <w:rStyle w:val="Hyperlink"/>
          </w:rPr>
          <w:t>Fees and Exemptions; Exemptions/Discounts</w:t>
        </w:r>
        <w:r>
          <w:rPr>
            <w:webHidden/>
          </w:rPr>
          <w:tab/>
        </w:r>
        <w:r>
          <w:rPr>
            <w:webHidden/>
          </w:rPr>
          <w:fldChar w:fldCharType="begin"/>
        </w:r>
        <w:r>
          <w:rPr>
            <w:webHidden/>
          </w:rPr>
          <w:instrText xml:space="preserve"> PAGEREF _Toc224819582 \h </w:instrText>
        </w:r>
        <w:r>
          <w:rPr>
            <w:webHidden/>
          </w:rPr>
        </w:r>
        <w:r>
          <w:rPr>
            <w:webHidden/>
          </w:rPr>
          <w:fldChar w:fldCharType="separate"/>
        </w:r>
        <w:r w:rsidR="00AA17AB">
          <w:rPr>
            <w:webHidden/>
          </w:rPr>
          <w:t>440</w:t>
        </w:r>
        <w:r>
          <w:rPr>
            <w:webHidden/>
          </w:rPr>
          <w:fldChar w:fldCharType="end"/>
        </w:r>
      </w:hyperlink>
    </w:p>
    <w:p w14:paraId="292D7851" w14:textId="7017ED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3" w:history="1">
        <w:r w:rsidRPr="00FC437C">
          <w:rPr>
            <w:rStyle w:val="Hyperlink"/>
          </w:rPr>
          <w:t>§537.</w:t>
        </w:r>
        <w:r>
          <w:rPr>
            <w:rFonts w:asciiTheme="minorHAnsi" w:eastAsiaTheme="minorEastAsia" w:hAnsiTheme="minorHAnsi" w:cstheme="minorBidi"/>
            <w:color w:val="auto"/>
            <w:kern w:val="2"/>
            <w:szCs w:val="24"/>
            <w14:ligatures w14:val="standardContextual"/>
          </w:rPr>
          <w:tab/>
        </w:r>
        <w:r w:rsidRPr="00FC437C">
          <w:rPr>
            <w:rStyle w:val="Hyperlink"/>
          </w:rPr>
          <w:t>Fees and Exemptions; Special Promotions</w:t>
        </w:r>
        <w:r>
          <w:rPr>
            <w:webHidden/>
          </w:rPr>
          <w:tab/>
        </w:r>
        <w:r>
          <w:rPr>
            <w:webHidden/>
          </w:rPr>
          <w:fldChar w:fldCharType="begin"/>
        </w:r>
        <w:r>
          <w:rPr>
            <w:webHidden/>
          </w:rPr>
          <w:instrText xml:space="preserve"> PAGEREF _Toc224819583 \h </w:instrText>
        </w:r>
        <w:r>
          <w:rPr>
            <w:webHidden/>
          </w:rPr>
        </w:r>
        <w:r>
          <w:rPr>
            <w:webHidden/>
          </w:rPr>
          <w:fldChar w:fldCharType="separate"/>
        </w:r>
        <w:r w:rsidR="00AA17AB">
          <w:rPr>
            <w:webHidden/>
          </w:rPr>
          <w:t>440</w:t>
        </w:r>
        <w:r>
          <w:rPr>
            <w:webHidden/>
          </w:rPr>
          <w:fldChar w:fldCharType="end"/>
        </w:r>
      </w:hyperlink>
    </w:p>
    <w:p w14:paraId="506D763E" w14:textId="06067B3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4" w:history="1">
        <w:r w:rsidRPr="00FC437C">
          <w:rPr>
            <w:rStyle w:val="Hyperlink"/>
          </w:rPr>
          <w:t>§539.</w:t>
        </w:r>
        <w:r>
          <w:rPr>
            <w:rFonts w:asciiTheme="minorHAnsi" w:eastAsiaTheme="minorEastAsia" w:hAnsiTheme="minorHAnsi" w:cstheme="minorBidi"/>
            <w:color w:val="auto"/>
            <w:kern w:val="2"/>
            <w:szCs w:val="24"/>
            <w14:ligatures w14:val="standardContextual"/>
          </w:rPr>
          <w:tab/>
        </w:r>
        <w:r w:rsidRPr="00FC437C">
          <w:rPr>
            <w:rStyle w:val="Hyperlink"/>
          </w:rPr>
          <w:t>Fees and Exemptions; Overnight Use</w:t>
        </w:r>
        <w:r>
          <w:rPr>
            <w:webHidden/>
          </w:rPr>
          <w:tab/>
        </w:r>
        <w:r>
          <w:rPr>
            <w:webHidden/>
          </w:rPr>
          <w:fldChar w:fldCharType="begin"/>
        </w:r>
        <w:r>
          <w:rPr>
            <w:webHidden/>
          </w:rPr>
          <w:instrText xml:space="preserve"> PAGEREF _Toc224819584 \h </w:instrText>
        </w:r>
        <w:r>
          <w:rPr>
            <w:webHidden/>
          </w:rPr>
        </w:r>
        <w:r>
          <w:rPr>
            <w:webHidden/>
          </w:rPr>
          <w:fldChar w:fldCharType="separate"/>
        </w:r>
        <w:r w:rsidR="00AA17AB">
          <w:rPr>
            <w:webHidden/>
          </w:rPr>
          <w:t>441</w:t>
        </w:r>
        <w:r>
          <w:rPr>
            <w:webHidden/>
          </w:rPr>
          <w:fldChar w:fldCharType="end"/>
        </w:r>
      </w:hyperlink>
    </w:p>
    <w:p w14:paraId="125E18EB" w14:textId="6397023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5" w:history="1">
        <w:r w:rsidRPr="00FC437C">
          <w:rPr>
            <w:rStyle w:val="Hyperlink"/>
          </w:rPr>
          <w:t>§541.</w:t>
        </w:r>
        <w:r>
          <w:rPr>
            <w:rFonts w:asciiTheme="minorHAnsi" w:eastAsiaTheme="minorEastAsia" w:hAnsiTheme="minorHAnsi" w:cstheme="minorBidi"/>
            <w:color w:val="auto"/>
            <w:kern w:val="2"/>
            <w:szCs w:val="24"/>
            <w14:ligatures w14:val="standardContextual"/>
          </w:rPr>
          <w:tab/>
        </w:r>
        <w:r w:rsidRPr="00FC437C">
          <w:rPr>
            <w:rStyle w:val="Hyperlink"/>
          </w:rPr>
          <w:t>Reservation Policy</w:t>
        </w:r>
        <w:r>
          <w:rPr>
            <w:webHidden/>
          </w:rPr>
          <w:tab/>
        </w:r>
        <w:r>
          <w:rPr>
            <w:webHidden/>
          </w:rPr>
          <w:fldChar w:fldCharType="begin"/>
        </w:r>
        <w:r>
          <w:rPr>
            <w:webHidden/>
          </w:rPr>
          <w:instrText xml:space="preserve"> PAGEREF _Toc224819585 \h </w:instrText>
        </w:r>
        <w:r>
          <w:rPr>
            <w:webHidden/>
          </w:rPr>
        </w:r>
        <w:r>
          <w:rPr>
            <w:webHidden/>
          </w:rPr>
          <w:fldChar w:fldCharType="separate"/>
        </w:r>
        <w:r w:rsidR="00AA17AB">
          <w:rPr>
            <w:webHidden/>
          </w:rPr>
          <w:t>441</w:t>
        </w:r>
        <w:r>
          <w:rPr>
            <w:webHidden/>
          </w:rPr>
          <w:fldChar w:fldCharType="end"/>
        </w:r>
      </w:hyperlink>
    </w:p>
    <w:p w14:paraId="3EEEB488" w14:textId="43B3E42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6" w:history="1">
        <w:r w:rsidRPr="00FC437C">
          <w:rPr>
            <w:rStyle w:val="Hyperlink"/>
          </w:rPr>
          <w:t>§543.</w:t>
        </w:r>
        <w:r>
          <w:rPr>
            <w:rFonts w:asciiTheme="minorHAnsi" w:eastAsiaTheme="minorEastAsia" w:hAnsiTheme="minorHAnsi" w:cstheme="minorBidi"/>
            <w:color w:val="auto"/>
            <w:kern w:val="2"/>
            <w:szCs w:val="24"/>
            <w14:ligatures w14:val="standardContextual"/>
          </w:rPr>
          <w:tab/>
        </w:r>
        <w:r w:rsidRPr="00FC437C">
          <w:rPr>
            <w:rStyle w:val="Hyperlink"/>
          </w:rPr>
          <w:t>Refunds</w:t>
        </w:r>
        <w:r>
          <w:rPr>
            <w:webHidden/>
          </w:rPr>
          <w:tab/>
        </w:r>
        <w:r>
          <w:rPr>
            <w:webHidden/>
          </w:rPr>
          <w:fldChar w:fldCharType="begin"/>
        </w:r>
        <w:r>
          <w:rPr>
            <w:webHidden/>
          </w:rPr>
          <w:instrText xml:space="preserve"> PAGEREF _Toc224819586 \h </w:instrText>
        </w:r>
        <w:r>
          <w:rPr>
            <w:webHidden/>
          </w:rPr>
        </w:r>
        <w:r>
          <w:rPr>
            <w:webHidden/>
          </w:rPr>
          <w:fldChar w:fldCharType="separate"/>
        </w:r>
        <w:r w:rsidR="00AA17AB">
          <w:rPr>
            <w:webHidden/>
          </w:rPr>
          <w:t>442</w:t>
        </w:r>
        <w:r>
          <w:rPr>
            <w:webHidden/>
          </w:rPr>
          <w:fldChar w:fldCharType="end"/>
        </w:r>
      </w:hyperlink>
    </w:p>
    <w:p w14:paraId="669091FB" w14:textId="3286846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7" w:history="1">
        <w:r w:rsidRPr="00FC437C">
          <w:rPr>
            <w:rStyle w:val="Hyperlink"/>
          </w:rPr>
          <w:t>§545.</w:t>
        </w:r>
        <w:r>
          <w:rPr>
            <w:rFonts w:asciiTheme="minorHAnsi" w:eastAsiaTheme="minorEastAsia" w:hAnsiTheme="minorHAnsi" w:cstheme="minorBidi"/>
            <w:color w:val="auto"/>
            <w:kern w:val="2"/>
            <w:szCs w:val="24"/>
            <w14:ligatures w14:val="standardContextual"/>
          </w:rPr>
          <w:tab/>
        </w:r>
        <w:r w:rsidRPr="00FC437C">
          <w:rPr>
            <w:rStyle w:val="Hyperlink"/>
          </w:rPr>
          <w:t>Pavilion Use; Rate; Restrictions</w:t>
        </w:r>
        <w:r>
          <w:rPr>
            <w:webHidden/>
          </w:rPr>
          <w:tab/>
        </w:r>
        <w:r>
          <w:rPr>
            <w:webHidden/>
          </w:rPr>
          <w:fldChar w:fldCharType="begin"/>
        </w:r>
        <w:r>
          <w:rPr>
            <w:webHidden/>
          </w:rPr>
          <w:instrText xml:space="preserve"> PAGEREF _Toc224819587 \h </w:instrText>
        </w:r>
        <w:r>
          <w:rPr>
            <w:webHidden/>
          </w:rPr>
        </w:r>
        <w:r>
          <w:rPr>
            <w:webHidden/>
          </w:rPr>
          <w:fldChar w:fldCharType="separate"/>
        </w:r>
        <w:r w:rsidR="00AA17AB">
          <w:rPr>
            <w:webHidden/>
          </w:rPr>
          <w:t>442</w:t>
        </w:r>
        <w:r>
          <w:rPr>
            <w:webHidden/>
          </w:rPr>
          <w:fldChar w:fldCharType="end"/>
        </w:r>
      </w:hyperlink>
    </w:p>
    <w:p w14:paraId="533D3C73" w14:textId="0A7922A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88" w:history="1">
        <w:r w:rsidRPr="00FC437C">
          <w:rPr>
            <w:rStyle w:val="Hyperlink"/>
          </w:rPr>
          <w:t>§547.</w:t>
        </w:r>
        <w:r>
          <w:rPr>
            <w:rFonts w:asciiTheme="minorHAnsi" w:eastAsiaTheme="minorEastAsia" w:hAnsiTheme="minorHAnsi" w:cstheme="minorBidi"/>
            <w:color w:val="auto"/>
            <w:kern w:val="2"/>
            <w:szCs w:val="24"/>
            <w14:ligatures w14:val="standardContextual"/>
          </w:rPr>
          <w:tab/>
        </w:r>
        <w:r w:rsidRPr="00FC437C">
          <w:rPr>
            <w:rStyle w:val="Hyperlink"/>
          </w:rPr>
          <w:t>Mandatory Minimum Stays</w:t>
        </w:r>
        <w:r>
          <w:rPr>
            <w:webHidden/>
          </w:rPr>
          <w:tab/>
        </w:r>
        <w:r>
          <w:rPr>
            <w:webHidden/>
          </w:rPr>
          <w:fldChar w:fldCharType="begin"/>
        </w:r>
        <w:r>
          <w:rPr>
            <w:webHidden/>
          </w:rPr>
          <w:instrText xml:space="preserve"> PAGEREF _Toc224819588 \h </w:instrText>
        </w:r>
        <w:r>
          <w:rPr>
            <w:webHidden/>
          </w:rPr>
        </w:r>
        <w:r>
          <w:rPr>
            <w:webHidden/>
          </w:rPr>
          <w:fldChar w:fldCharType="separate"/>
        </w:r>
        <w:r w:rsidR="00AA17AB">
          <w:rPr>
            <w:webHidden/>
          </w:rPr>
          <w:t>442</w:t>
        </w:r>
        <w:r>
          <w:rPr>
            <w:webHidden/>
          </w:rPr>
          <w:fldChar w:fldCharType="end"/>
        </w:r>
      </w:hyperlink>
    </w:p>
    <w:p w14:paraId="6F44E1B0" w14:textId="18C08849" w:rsidR="00E67799" w:rsidRDefault="00E67799">
      <w:pPr>
        <w:pStyle w:val="TOC2"/>
        <w:rPr>
          <w:rFonts w:asciiTheme="minorHAnsi" w:eastAsiaTheme="minorEastAsia" w:hAnsiTheme="minorHAnsi" w:cstheme="minorBidi"/>
          <w:kern w:val="2"/>
          <w:szCs w:val="24"/>
          <w14:ligatures w14:val="standardContextual"/>
        </w:rPr>
      </w:pPr>
      <w:hyperlink w:anchor="_Toc224819589" w:history="1">
        <w:r w:rsidRPr="00FC437C">
          <w:rPr>
            <w:rStyle w:val="Hyperlink"/>
          </w:rPr>
          <w:t>Chapter 7.</w:t>
        </w:r>
        <w:r>
          <w:rPr>
            <w:rFonts w:asciiTheme="minorHAnsi" w:eastAsiaTheme="minorEastAsia" w:hAnsiTheme="minorHAnsi" w:cstheme="minorBidi"/>
            <w:kern w:val="2"/>
            <w:szCs w:val="24"/>
            <w14:ligatures w14:val="standardContextual"/>
          </w:rPr>
          <w:tab/>
        </w:r>
        <w:r w:rsidRPr="00FC437C">
          <w:rPr>
            <w:rStyle w:val="Hyperlink"/>
          </w:rPr>
          <w:t>Forest Landowner Assistance</w:t>
        </w:r>
        <w:r>
          <w:rPr>
            <w:webHidden/>
          </w:rPr>
          <w:tab/>
        </w:r>
        <w:r>
          <w:rPr>
            <w:webHidden/>
          </w:rPr>
          <w:fldChar w:fldCharType="begin"/>
        </w:r>
        <w:r>
          <w:rPr>
            <w:webHidden/>
          </w:rPr>
          <w:instrText xml:space="preserve"> PAGEREF _Toc224819589 \h </w:instrText>
        </w:r>
        <w:r>
          <w:rPr>
            <w:webHidden/>
          </w:rPr>
        </w:r>
        <w:r>
          <w:rPr>
            <w:webHidden/>
          </w:rPr>
          <w:fldChar w:fldCharType="separate"/>
        </w:r>
        <w:r w:rsidR="00AA17AB">
          <w:rPr>
            <w:webHidden/>
          </w:rPr>
          <w:t>442</w:t>
        </w:r>
        <w:r>
          <w:rPr>
            <w:webHidden/>
          </w:rPr>
          <w:fldChar w:fldCharType="end"/>
        </w:r>
      </w:hyperlink>
    </w:p>
    <w:p w14:paraId="40931BF1" w14:textId="02A4AF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0" w:history="1">
        <w:r w:rsidRPr="00FC437C">
          <w:rPr>
            <w:rStyle w:val="Hyperlink"/>
          </w:rPr>
          <w:t>§701.</w:t>
        </w:r>
        <w:r>
          <w:rPr>
            <w:rFonts w:asciiTheme="minorHAnsi" w:eastAsiaTheme="minorEastAsia" w:hAnsiTheme="minorHAnsi" w:cstheme="minorBidi"/>
            <w:color w:val="auto"/>
            <w:kern w:val="2"/>
            <w:szCs w:val="24"/>
            <w14:ligatures w14:val="standardContextual"/>
          </w:rPr>
          <w:tab/>
        </w:r>
        <w:r w:rsidRPr="00FC437C">
          <w:rPr>
            <w:rStyle w:val="Hyperlink"/>
          </w:rPr>
          <w:t>Management Services</w:t>
        </w:r>
        <w:r>
          <w:rPr>
            <w:webHidden/>
          </w:rPr>
          <w:tab/>
        </w:r>
        <w:r>
          <w:rPr>
            <w:webHidden/>
          </w:rPr>
          <w:fldChar w:fldCharType="begin"/>
        </w:r>
        <w:r>
          <w:rPr>
            <w:webHidden/>
          </w:rPr>
          <w:instrText xml:space="preserve"> PAGEREF _Toc224819590 \h </w:instrText>
        </w:r>
        <w:r>
          <w:rPr>
            <w:webHidden/>
          </w:rPr>
        </w:r>
        <w:r>
          <w:rPr>
            <w:webHidden/>
          </w:rPr>
          <w:fldChar w:fldCharType="separate"/>
        </w:r>
        <w:r w:rsidR="00AA17AB">
          <w:rPr>
            <w:webHidden/>
          </w:rPr>
          <w:t>442</w:t>
        </w:r>
        <w:r>
          <w:rPr>
            <w:webHidden/>
          </w:rPr>
          <w:fldChar w:fldCharType="end"/>
        </w:r>
      </w:hyperlink>
    </w:p>
    <w:p w14:paraId="66A3C1E4" w14:textId="0648F54D" w:rsidR="00E67799" w:rsidRDefault="00E67799">
      <w:pPr>
        <w:pStyle w:val="TOC2"/>
        <w:rPr>
          <w:rFonts w:asciiTheme="minorHAnsi" w:eastAsiaTheme="minorEastAsia" w:hAnsiTheme="minorHAnsi" w:cstheme="minorBidi"/>
          <w:kern w:val="2"/>
          <w:szCs w:val="24"/>
          <w14:ligatures w14:val="standardContextual"/>
        </w:rPr>
      </w:pPr>
      <w:hyperlink w:anchor="_Toc224819591" w:history="1">
        <w:r w:rsidRPr="00FC437C">
          <w:rPr>
            <w:rStyle w:val="Hyperlink"/>
          </w:rPr>
          <w:t>Chapter 9.</w:t>
        </w:r>
        <w:r>
          <w:rPr>
            <w:rFonts w:asciiTheme="minorHAnsi" w:eastAsiaTheme="minorEastAsia" w:hAnsiTheme="minorHAnsi" w:cstheme="minorBidi"/>
            <w:kern w:val="2"/>
            <w:szCs w:val="24"/>
            <w14:ligatures w14:val="standardContextual"/>
          </w:rPr>
          <w:tab/>
        </w:r>
        <w:r w:rsidRPr="00FC437C">
          <w:rPr>
            <w:rStyle w:val="Hyperlink"/>
          </w:rPr>
          <w:t>Prescribed Burning</w:t>
        </w:r>
        <w:r>
          <w:rPr>
            <w:webHidden/>
          </w:rPr>
          <w:tab/>
        </w:r>
        <w:r>
          <w:rPr>
            <w:webHidden/>
          </w:rPr>
          <w:fldChar w:fldCharType="begin"/>
        </w:r>
        <w:r>
          <w:rPr>
            <w:webHidden/>
          </w:rPr>
          <w:instrText xml:space="preserve"> PAGEREF _Toc224819591 \h </w:instrText>
        </w:r>
        <w:r>
          <w:rPr>
            <w:webHidden/>
          </w:rPr>
        </w:r>
        <w:r>
          <w:rPr>
            <w:webHidden/>
          </w:rPr>
          <w:fldChar w:fldCharType="separate"/>
        </w:r>
        <w:r w:rsidR="00AA17AB">
          <w:rPr>
            <w:webHidden/>
          </w:rPr>
          <w:t>443</w:t>
        </w:r>
        <w:r>
          <w:rPr>
            <w:webHidden/>
          </w:rPr>
          <w:fldChar w:fldCharType="end"/>
        </w:r>
      </w:hyperlink>
    </w:p>
    <w:p w14:paraId="335243C3" w14:textId="240C3AF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2" w:history="1">
        <w:r w:rsidRPr="00FC437C">
          <w:rPr>
            <w:rStyle w:val="Hyperlink"/>
          </w:rPr>
          <w:t>§901.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_Toc224819592 \h </w:instrText>
        </w:r>
        <w:r>
          <w:rPr>
            <w:webHidden/>
          </w:rPr>
        </w:r>
        <w:r>
          <w:rPr>
            <w:webHidden/>
          </w:rPr>
          <w:fldChar w:fldCharType="separate"/>
        </w:r>
        <w:r w:rsidR="00AA17AB">
          <w:rPr>
            <w:webHidden/>
          </w:rPr>
          <w:t>443</w:t>
        </w:r>
        <w:r>
          <w:rPr>
            <w:webHidden/>
          </w:rPr>
          <w:fldChar w:fldCharType="end"/>
        </w:r>
      </w:hyperlink>
    </w:p>
    <w:p w14:paraId="75FE53F2" w14:textId="1683A55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3" w:history="1">
        <w:r w:rsidRPr="00FC437C">
          <w:rPr>
            <w:rStyle w:val="Hyperlink"/>
          </w:rPr>
          <w:t>§903.</w:t>
        </w:r>
        <w:r>
          <w:rPr>
            <w:rFonts w:asciiTheme="minorHAnsi" w:eastAsiaTheme="minorEastAsia" w:hAnsiTheme="minorHAnsi" w:cstheme="minorBidi"/>
            <w:color w:val="auto"/>
            <w:kern w:val="2"/>
            <w:szCs w:val="24"/>
            <w14:ligatures w14:val="standardContextual"/>
          </w:rPr>
          <w:tab/>
        </w:r>
        <w:r w:rsidRPr="00FC437C">
          <w:rPr>
            <w:rStyle w:val="Hyperlink"/>
          </w:rPr>
          <w:t>Written Authority</w:t>
        </w:r>
        <w:r>
          <w:rPr>
            <w:webHidden/>
          </w:rPr>
          <w:tab/>
        </w:r>
        <w:r>
          <w:rPr>
            <w:webHidden/>
          </w:rPr>
          <w:fldChar w:fldCharType="begin"/>
        </w:r>
        <w:r>
          <w:rPr>
            <w:webHidden/>
          </w:rPr>
          <w:instrText xml:space="preserve"> PAGEREF _Toc224819593 \h </w:instrText>
        </w:r>
        <w:r>
          <w:rPr>
            <w:webHidden/>
          </w:rPr>
        </w:r>
        <w:r>
          <w:rPr>
            <w:webHidden/>
          </w:rPr>
          <w:fldChar w:fldCharType="separate"/>
        </w:r>
        <w:r w:rsidR="00AA17AB">
          <w:rPr>
            <w:webHidden/>
          </w:rPr>
          <w:t>443</w:t>
        </w:r>
        <w:r>
          <w:rPr>
            <w:webHidden/>
          </w:rPr>
          <w:fldChar w:fldCharType="end"/>
        </w:r>
      </w:hyperlink>
    </w:p>
    <w:p w14:paraId="38E76F63" w14:textId="1EAA9DA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4" w:history="1">
        <w:r w:rsidRPr="00FC437C">
          <w:rPr>
            <w:rStyle w:val="Hyperlink"/>
          </w:rPr>
          <w:t>§905.</w:t>
        </w:r>
        <w:r>
          <w:rPr>
            <w:rFonts w:asciiTheme="minorHAnsi" w:eastAsiaTheme="minorEastAsia" w:hAnsiTheme="minorHAnsi" w:cstheme="minorBidi"/>
            <w:color w:val="auto"/>
            <w:kern w:val="2"/>
            <w:szCs w:val="24"/>
            <w14:ligatures w14:val="standardContextual"/>
          </w:rPr>
          <w:tab/>
        </w:r>
        <w:r w:rsidRPr="00FC437C">
          <w:rPr>
            <w:rStyle w:val="Hyperlink"/>
          </w:rPr>
          <w:t>Completion of Prescribed Burn</w:t>
        </w:r>
        <w:r>
          <w:rPr>
            <w:webHidden/>
          </w:rPr>
          <w:tab/>
        </w:r>
        <w:r>
          <w:rPr>
            <w:webHidden/>
          </w:rPr>
          <w:fldChar w:fldCharType="begin"/>
        </w:r>
        <w:r>
          <w:rPr>
            <w:webHidden/>
          </w:rPr>
          <w:instrText xml:space="preserve"> PAGEREF _Toc224819594 \h </w:instrText>
        </w:r>
        <w:r>
          <w:rPr>
            <w:webHidden/>
          </w:rPr>
        </w:r>
        <w:r>
          <w:rPr>
            <w:webHidden/>
          </w:rPr>
          <w:fldChar w:fldCharType="separate"/>
        </w:r>
        <w:r w:rsidR="00AA17AB">
          <w:rPr>
            <w:webHidden/>
          </w:rPr>
          <w:t>443</w:t>
        </w:r>
        <w:r>
          <w:rPr>
            <w:webHidden/>
          </w:rPr>
          <w:fldChar w:fldCharType="end"/>
        </w:r>
      </w:hyperlink>
    </w:p>
    <w:p w14:paraId="21A90833" w14:textId="1595C88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5" w:history="1">
        <w:r w:rsidRPr="00FC437C">
          <w:rPr>
            <w:rStyle w:val="Hyperlink"/>
          </w:rPr>
          <w:t>§907.</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Prescribed Burner Certification; Prerequisites and Training</w:t>
        </w:r>
        <w:r>
          <w:rPr>
            <w:webHidden/>
          </w:rPr>
          <w:tab/>
        </w:r>
        <w:r>
          <w:rPr>
            <w:webHidden/>
          </w:rPr>
          <w:fldChar w:fldCharType="begin"/>
        </w:r>
        <w:r>
          <w:rPr>
            <w:webHidden/>
          </w:rPr>
          <w:instrText xml:space="preserve"> PAGEREF _Toc224819595 \h </w:instrText>
        </w:r>
        <w:r>
          <w:rPr>
            <w:webHidden/>
          </w:rPr>
        </w:r>
        <w:r>
          <w:rPr>
            <w:webHidden/>
          </w:rPr>
          <w:fldChar w:fldCharType="separate"/>
        </w:r>
        <w:r w:rsidR="00AA17AB">
          <w:rPr>
            <w:webHidden/>
          </w:rPr>
          <w:t>443</w:t>
        </w:r>
        <w:r>
          <w:rPr>
            <w:webHidden/>
          </w:rPr>
          <w:fldChar w:fldCharType="end"/>
        </w:r>
      </w:hyperlink>
    </w:p>
    <w:p w14:paraId="6CAC6132" w14:textId="249434E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6" w:history="1">
        <w:r w:rsidRPr="00FC437C">
          <w:rPr>
            <w:rStyle w:val="Hyperlink"/>
          </w:rPr>
          <w:t>§909.</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Renewal of Prescribed Burner Certification</w:t>
        </w:r>
        <w:r>
          <w:rPr>
            <w:webHidden/>
          </w:rPr>
          <w:tab/>
        </w:r>
        <w:r>
          <w:rPr>
            <w:webHidden/>
          </w:rPr>
          <w:fldChar w:fldCharType="begin"/>
        </w:r>
        <w:r>
          <w:rPr>
            <w:webHidden/>
          </w:rPr>
          <w:instrText xml:space="preserve"> PAGEREF _Toc224819596 \h </w:instrText>
        </w:r>
        <w:r>
          <w:rPr>
            <w:webHidden/>
          </w:rPr>
        </w:r>
        <w:r>
          <w:rPr>
            <w:webHidden/>
          </w:rPr>
          <w:fldChar w:fldCharType="separate"/>
        </w:r>
        <w:r w:rsidR="00AA17AB">
          <w:rPr>
            <w:webHidden/>
          </w:rPr>
          <w:t>444</w:t>
        </w:r>
        <w:r>
          <w:rPr>
            <w:webHidden/>
          </w:rPr>
          <w:fldChar w:fldCharType="end"/>
        </w:r>
      </w:hyperlink>
    </w:p>
    <w:p w14:paraId="2C199EBF" w14:textId="76852B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7" w:history="1">
        <w:r w:rsidRPr="00FC437C">
          <w:rPr>
            <w:rStyle w:val="Hyperlink"/>
          </w:rPr>
          <w:t>§911.</w:t>
        </w:r>
        <w:r>
          <w:rPr>
            <w:rFonts w:asciiTheme="minorHAnsi" w:eastAsiaTheme="minorEastAsia" w:hAnsiTheme="minorHAnsi" w:cstheme="minorBidi"/>
            <w:color w:val="auto"/>
            <w:kern w:val="2"/>
            <w:szCs w:val="24"/>
            <w14:ligatures w14:val="standardContextual"/>
          </w:rPr>
          <w:tab/>
        </w:r>
        <w:r w:rsidRPr="00FC437C">
          <w:rPr>
            <w:rStyle w:val="Hyperlink"/>
          </w:rPr>
          <w:t>Smoke Management Guidelines</w:t>
        </w:r>
        <w:r>
          <w:rPr>
            <w:webHidden/>
          </w:rPr>
          <w:tab/>
        </w:r>
        <w:r>
          <w:rPr>
            <w:webHidden/>
          </w:rPr>
          <w:fldChar w:fldCharType="begin"/>
        </w:r>
        <w:r>
          <w:rPr>
            <w:webHidden/>
          </w:rPr>
          <w:instrText xml:space="preserve"> PAGEREF _Toc224819597 \h </w:instrText>
        </w:r>
        <w:r>
          <w:rPr>
            <w:webHidden/>
          </w:rPr>
        </w:r>
        <w:r>
          <w:rPr>
            <w:webHidden/>
          </w:rPr>
          <w:fldChar w:fldCharType="separate"/>
        </w:r>
        <w:r w:rsidR="00AA17AB">
          <w:rPr>
            <w:webHidden/>
          </w:rPr>
          <w:t>444</w:t>
        </w:r>
        <w:r>
          <w:rPr>
            <w:webHidden/>
          </w:rPr>
          <w:fldChar w:fldCharType="end"/>
        </w:r>
      </w:hyperlink>
    </w:p>
    <w:p w14:paraId="6DEBC84C" w14:textId="0AF6030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8" w:history="1">
        <w:r w:rsidRPr="00FC437C">
          <w:rPr>
            <w:rStyle w:val="Hyperlink"/>
          </w:rPr>
          <w:t>§913.</w:t>
        </w:r>
        <w:r>
          <w:rPr>
            <w:rFonts w:asciiTheme="minorHAnsi" w:eastAsiaTheme="minorEastAsia" w:hAnsiTheme="minorHAnsi" w:cstheme="minorBidi"/>
            <w:color w:val="auto"/>
            <w:kern w:val="2"/>
            <w:szCs w:val="24"/>
            <w14:ligatures w14:val="standardContextual"/>
          </w:rPr>
          <w:tab/>
        </w:r>
        <w:r w:rsidRPr="00FC437C">
          <w:rPr>
            <w:rStyle w:val="Hyperlink"/>
          </w:rPr>
          <w:t>Complaints and Investigation</w:t>
        </w:r>
        <w:r>
          <w:rPr>
            <w:webHidden/>
          </w:rPr>
          <w:tab/>
        </w:r>
        <w:r>
          <w:rPr>
            <w:webHidden/>
          </w:rPr>
          <w:fldChar w:fldCharType="begin"/>
        </w:r>
        <w:r>
          <w:rPr>
            <w:webHidden/>
          </w:rPr>
          <w:instrText xml:space="preserve"> PAGEREF _Toc224819598 \h </w:instrText>
        </w:r>
        <w:r>
          <w:rPr>
            <w:webHidden/>
          </w:rPr>
        </w:r>
        <w:r>
          <w:rPr>
            <w:webHidden/>
          </w:rPr>
          <w:fldChar w:fldCharType="separate"/>
        </w:r>
        <w:r w:rsidR="00AA17AB">
          <w:rPr>
            <w:webHidden/>
          </w:rPr>
          <w:t>444</w:t>
        </w:r>
        <w:r>
          <w:rPr>
            <w:webHidden/>
          </w:rPr>
          <w:fldChar w:fldCharType="end"/>
        </w:r>
      </w:hyperlink>
    </w:p>
    <w:p w14:paraId="096FED52" w14:textId="03E2DD9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599" w:history="1">
        <w:r w:rsidRPr="00FC437C">
          <w:rPr>
            <w:rStyle w:val="Hyperlink"/>
          </w:rPr>
          <w:t>§914.</w:t>
        </w:r>
        <w:r>
          <w:rPr>
            <w:rFonts w:asciiTheme="minorHAnsi" w:eastAsiaTheme="minorEastAsia" w:hAnsiTheme="minorHAnsi" w:cstheme="minorBidi"/>
            <w:color w:val="auto"/>
            <w:kern w:val="2"/>
            <w:szCs w:val="24"/>
            <w14:ligatures w14:val="standardContextual"/>
          </w:rPr>
          <w:tab/>
        </w:r>
        <w:r w:rsidRPr="00FC437C">
          <w:rPr>
            <w:rStyle w:val="Hyperlink"/>
          </w:rPr>
          <w:t>Suspension and Revocation of Prescribed Burning Certificate (Formerly §913)</w:t>
        </w:r>
        <w:r>
          <w:rPr>
            <w:webHidden/>
          </w:rPr>
          <w:tab/>
        </w:r>
        <w:r>
          <w:rPr>
            <w:webHidden/>
          </w:rPr>
          <w:fldChar w:fldCharType="begin"/>
        </w:r>
        <w:r>
          <w:rPr>
            <w:webHidden/>
          </w:rPr>
          <w:instrText xml:space="preserve"> PAGEREF _Toc224819599 \h </w:instrText>
        </w:r>
        <w:r>
          <w:rPr>
            <w:webHidden/>
          </w:rPr>
        </w:r>
        <w:r>
          <w:rPr>
            <w:webHidden/>
          </w:rPr>
          <w:fldChar w:fldCharType="separate"/>
        </w:r>
        <w:r w:rsidR="00AA17AB">
          <w:rPr>
            <w:webHidden/>
          </w:rPr>
          <w:t>445</w:t>
        </w:r>
        <w:r>
          <w:rPr>
            <w:webHidden/>
          </w:rPr>
          <w:fldChar w:fldCharType="end"/>
        </w:r>
      </w:hyperlink>
    </w:p>
    <w:p w14:paraId="25F010DF" w14:textId="06979B2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0" w:history="1">
        <w:r w:rsidRPr="00FC437C">
          <w:rPr>
            <w:rStyle w:val="Hyperlink"/>
          </w:rPr>
          <w:t>§915.</w:t>
        </w:r>
        <w:r>
          <w:rPr>
            <w:rFonts w:asciiTheme="minorHAnsi" w:eastAsiaTheme="minorEastAsia" w:hAnsiTheme="minorHAnsi" w:cstheme="minorBidi"/>
            <w:color w:val="auto"/>
            <w:kern w:val="2"/>
            <w:szCs w:val="24"/>
            <w14:ligatures w14:val="standardContextual"/>
          </w:rPr>
          <w:tab/>
        </w:r>
        <w:r w:rsidRPr="00FC437C">
          <w:rPr>
            <w:rStyle w:val="Hyperlink"/>
          </w:rPr>
          <w:t>Prescribed Burning by Non-Certified Prescribed Burn Managers</w:t>
        </w:r>
        <w:r>
          <w:rPr>
            <w:webHidden/>
          </w:rPr>
          <w:tab/>
        </w:r>
        <w:r>
          <w:rPr>
            <w:webHidden/>
          </w:rPr>
          <w:fldChar w:fldCharType="begin"/>
        </w:r>
        <w:r>
          <w:rPr>
            <w:webHidden/>
          </w:rPr>
          <w:instrText xml:space="preserve"> PAGEREF _Toc224819600 \h </w:instrText>
        </w:r>
        <w:r>
          <w:rPr>
            <w:webHidden/>
          </w:rPr>
        </w:r>
        <w:r>
          <w:rPr>
            <w:webHidden/>
          </w:rPr>
          <w:fldChar w:fldCharType="separate"/>
        </w:r>
        <w:r w:rsidR="00AA17AB">
          <w:rPr>
            <w:webHidden/>
          </w:rPr>
          <w:t>445</w:t>
        </w:r>
        <w:r>
          <w:rPr>
            <w:webHidden/>
          </w:rPr>
          <w:fldChar w:fldCharType="end"/>
        </w:r>
      </w:hyperlink>
    </w:p>
    <w:p w14:paraId="05C409B1" w14:textId="4D18DA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1" w:history="1">
        <w:r w:rsidRPr="00FC437C">
          <w:rPr>
            <w:rStyle w:val="Hyperlink"/>
          </w:rPr>
          <w:t>§917.</w:t>
        </w:r>
        <w:r>
          <w:rPr>
            <w:rFonts w:asciiTheme="minorHAnsi" w:eastAsiaTheme="minorEastAsia" w:hAnsiTheme="minorHAnsi" w:cstheme="minorBidi"/>
            <w:color w:val="auto"/>
            <w:kern w:val="2"/>
            <w:szCs w:val="24"/>
            <w14:ligatures w14:val="standardContextual"/>
          </w:rPr>
          <w:tab/>
        </w:r>
        <w:r w:rsidRPr="00FC437C">
          <w:rPr>
            <w:rStyle w:val="Hyperlink"/>
          </w:rPr>
          <w:t>Civil Penalties</w:t>
        </w:r>
        <w:r>
          <w:rPr>
            <w:webHidden/>
          </w:rPr>
          <w:tab/>
        </w:r>
        <w:r>
          <w:rPr>
            <w:webHidden/>
          </w:rPr>
          <w:fldChar w:fldCharType="begin"/>
        </w:r>
        <w:r>
          <w:rPr>
            <w:webHidden/>
          </w:rPr>
          <w:instrText xml:space="preserve"> PAGEREF _Toc224819601 \h </w:instrText>
        </w:r>
        <w:r>
          <w:rPr>
            <w:webHidden/>
          </w:rPr>
        </w:r>
        <w:r>
          <w:rPr>
            <w:webHidden/>
          </w:rPr>
          <w:fldChar w:fldCharType="separate"/>
        </w:r>
        <w:r w:rsidR="00AA17AB">
          <w:rPr>
            <w:webHidden/>
          </w:rPr>
          <w:t>445</w:t>
        </w:r>
        <w:r>
          <w:rPr>
            <w:webHidden/>
          </w:rPr>
          <w:fldChar w:fldCharType="end"/>
        </w:r>
      </w:hyperlink>
    </w:p>
    <w:p w14:paraId="4CB47423" w14:textId="440B2C3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2" w:history="1">
        <w:r w:rsidRPr="00FC437C">
          <w:rPr>
            <w:rStyle w:val="Hyperlink"/>
          </w:rPr>
          <w:t>§919.</w:t>
        </w:r>
        <w:r>
          <w:rPr>
            <w:rFonts w:asciiTheme="minorHAnsi" w:eastAsiaTheme="minorEastAsia" w:hAnsiTheme="minorHAnsi" w:cstheme="minorBidi"/>
            <w:color w:val="auto"/>
            <w:kern w:val="2"/>
            <w:szCs w:val="24"/>
            <w14:ligatures w14:val="standardContextual"/>
          </w:rPr>
          <w:tab/>
        </w:r>
        <w:r w:rsidRPr="00FC437C">
          <w:rPr>
            <w:rStyle w:val="Hyperlink"/>
          </w:rPr>
          <w:t>Burning of Leaf Piles, Yard Debris, or Hand-Piled Natural Vegetation</w:t>
        </w:r>
        <w:r>
          <w:rPr>
            <w:webHidden/>
          </w:rPr>
          <w:tab/>
        </w:r>
        <w:r>
          <w:rPr>
            <w:webHidden/>
          </w:rPr>
          <w:fldChar w:fldCharType="begin"/>
        </w:r>
        <w:r>
          <w:rPr>
            <w:webHidden/>
          </w:rPr>
          <w:instrText xml:space="preserve"> PAGEREF _Toc224819602 \h </w:instrText>
        </w:r>
        <w:r>
          <w:rPr>
            <w:webHidden/>
          </w:rPr>
        </w:r>
        <w:r>
          <w:rPr>
            <w:webHidden/>
          </w:rPr>
          <w:fldChar w:fldCharType="separate"/>
        </w:r>
        <w:r w:rsidR="00AA17AB">
          <w:rPr>
            <w:webHidden/>
          </w:rPr>
          <w:t>445</w:t>
        </w:r>
        <w:r>
          <w:rPr>
            <w:webHidden/>
          </w:rPr>
          <w:fldChar w:fldCharType="end"/>
        </w:r>
      </w:hyperlink>
    </w:p>
    <w:p w14:paraId="41D83C54" w14:textId="40628C0C" w:rsidR="00E67799" w:rsidRDefault="00E67799">
      <w:pPr>
        <w:pStyle w:val="TOC2"/>
        <w:rPr>
          <w:rFonts w:asciiTheme="minorHAnsi" w:eastAsiaTheme="minorEastAsia" w:hAnsiTheme="minorHAnsi" w:cstheme="minorBidi"/>
          <w:kern w:val="2"/>
          <w:szCs w:val="24"/>
          <w14:ligatures w14:val="standardContextual"/>
        </w:rPr>
      </w:pPr>
      <w:hyperlink w:anchor="_Toc224819603" w:history="1">
        <w:r w:rsidRPr="00FC437C">
          <w:rPr>
            <w:rStyle w:val="Hyperlink"/>
          </w:rPr>
          <w:t>Chapter 10.</w:t>
        </w:r>
        <w:r>
          <w:rPr>
            <w:rFonts w:asciiTheme="minorHAnsi" w:eastAsiaTheme="minorEastAsia" w:hAnsiTheme="minorHAnsi" w:cstheme="minorBidi"/>
            <w:kern w:val="2"/>
            <w:szCs w:val="24"/>
            <w14:ligatures w14:val="standardContextual"/>
          </w:rPr>
          <w:tab/>
        </w:r>
        <w:r w:rsidRPr="00FC437C">
          <w:rPr>
            <w:rStyle w:val="Hyperlink"/>
          </w:rPr>
          <w:t>Reforestation of Public Lands</w:t>
        </w:r>
        <w:r>
          <w:rPr>
            <w:webHidden/>
          </w:rPr>
          <w:tab/>
        </w:r>
        <w:r>
          <w:rPr>
            <w:webHidden/>
          </w:rPr>
          <w:fldChar w:fldCharType="begin"/>
        </w:r>
        <w:r>
          <w:rPr>
            <w:webHidden/>
          </w:rPr>
          <w:instrText xml:space="preserve"> PAGEREF _Toc224819603 \h </w:instrText>
        </w:r>
        <w:r>
          <w:rPr>
            <w:webHidden/>
          </w:rPr>
        </w:r>
        <w:r>
          <w:rPr>
            <w:webHidden/>
          </w:rPr>
          <w:fldChar w:fldCharType="separate"/>
        </w:r>
        <w:r w:rsidR="00AA17AB">
          <w:rPr>
            <w:webHidden/>
          </w:rPr>
          <w:t>445</w:t>
        </w:r>
        <w:r>
          <w:rPr>
            <w:webHidden/>
          </w:rPr>
          <w:fldChar w:fldCharType="end"/>
        </w:r>
      </w:hyperlink>
    </w:p>
    <w:p w14:paraId="1F8F45A6" w14:textId="5C9EC90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4" w:history="1">
        <w:r w:rsidRPr="00FC437C">
          <w:rPr>
            <w:rStyle w:val="Hyperlink"/>
          </w:rPr>
          <w:t>§1001.</w:t>
        </w:r>
        <w:r>
          <w:rPr>
            <w:rFonts w:asciiTheme="minorHAnsi" w:eastAsiaTheme="minorEastAsia" w:hAnsiTheme="minorHAnsi" w:cstheme="minorBidi"/>
            <w:color w:val="auto"/>
            <w:kern w:val="2"/>
            <w:szCs w:val="24"/>
            <w14:ligatures w14:val="standardContextual"/>
          </w:rPr>
          <w:tab/>
        </w:r>
        <w:r w:rsidRPr="00FC437C">
          <w:rPr>
            <w:rStyle w:val="Hyperlink"/>
          </w:rPr>
          <w:t>Scope; Agencies Involved</w:t>
        </w:r>
        <w:r>
          <w:rPr>
            <w:webHidden/>
          </w:rPr>
          <w:tab/>
        </w:r>
        <w:r>
          <w:rPr>
            <w:webHidden/>
          </w:rPr>
          <w:fldChar w:fldCharType="begin"/>
        </w:r>
        <w:r>
          <w:rPr>
            <w:webHidden/>
          </w:rPr>
          <w:instrText xml:space="preserve"> PAGEREF _Toc224819604 \h </w:instrText>
        </w:r>
        <w:r>
          <w:rPr>
            <w:webHidden/>
          </w:rPr>
        </w:r>
        <w:r>
          <w:rPr>
            <w:webHidden/>
          </w:rPr>
          <w:fldChar w:fldCharType="separate"/>
        </w:r>
        <w:r w:rsidR="00AA17AB">
          <w:rPr>
            <w:webHidden/>
          </w:rPr>
          <w:t>445</w:t>
        </w:r>
        <w:r>
          <w:rPr>
            <w:webHidden/>
          </w:rPr>
          <w:fldChar w:fldCharType="end"/>
        </w:r>
      </w:hyperlink>
    </w:p>
    <w:p w14:paraId="566FB0B1" w14:textId="6CE377A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5" w:history="1">
        <w:r w:rsidRPr="00FC437C">
          <w:rPr>
            <w:rStyle w:val="Hyperlink"/>
          </w:rPr>
          <w:t>§1003.</w:t>
        </w:r>
        <w:r>
          <w:rPr>
            <w:rFonts w:asciiTheme="minorHAnsi" w:eastAsiaTheme="minorEastAsia" w:hAnsiTheme="minorHAnsi" w:cstheme="minorBidi"/>
            <w:color w:val="auto"/>
            <w:kern w:val="2"/>
            <w:szCs w:val="24"/>
            <w14:ligatures w14:val="standardContextual"/>
          </w:rPr>
          <w:tab/>
        </w:r>
        <w:r w:rsidRPr="00FC437C">
          <w:rPr>
            <w:rStyle w:val="Hyperlink"/>
          </w:rPr>
          <w:t>Response to Agency Reports</w:t>
        </w:r>
        <w:r>
          <w:rPr>
            <w:webHidden/>
          </w:rPr>
          <w:tab/>
        </w:r>
        <w:r>
          <w:rPr>
            <w:webHidden/>
          </w:rPr>
          <w:fldChar w:fldCharType="begin"/>
        </w:r>
        <w:r>
          <w:rPr>
            <w:webHidden/>
          </w:rPr>
          <w:instrText xml:space="preserve"> PAGEREF _Toc224819605 \h </w:instrText>
        </w:r>
        <w:r>
          <w:rPr>
            <w:webHidden/>
          </w:rPr>
        </w:r>
        <w:r>
          <w:rPr>
            <w:webHidden/>
          </w:rPr>
          <w:fldChar w:fldCharType="separate"/>
        </w:r>
        <w:r w:rsidR="00AA17AB">
          <w:rPr>
            <w:webHidden/>
          </w:rPr>
          <w:t>445</w:t>
        </w:r>
        <w:r>
          <w:rPr>
            <w:webHidden/>
          </w:rPr>
          <w:fldChar w:fldCharType="end"/>
        </w:r>
      </w:hyperlink>
    </w:p>
    <w:p w14:paraId="15DA69C5" w14:textId="6050C44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6" w:history="1">
        <w:r w:rsidRPr="00FC437C">
          <w:rPr>
            <w:rStyle w:val="Hyperlink"/>
          </w:rPr>
          <w:t>§1005.</w:t>
        </w:r>
        <w:r>
          <w:rPr>
            <w:rFonts w:asciiTheme="minorHAnsi" w:eastAsiaTheme="minorEastAsia" w:hAnsiTheme="minorHAnsi" w:cstheme="minorBidi"/>
            <w:color w:val="auto"/>
            <w:kern w:val="2"/>
            <w:szCs w:val="24"/>
            <w14:ligatures w14:val="standardContextual"/>
          </w:rPr>
          <w:tab/>
        </w:r>
        <w:r w:rsidRPr="00FC437C">
          <w:rPr>
            <w:rStyle w:val="Hyperlink"/>
          </w:rPr>
          <w:t>Site Inspections</w:t>
        </w:r>
        <w:r>
          <w:rPr>
            <w:webHidden/>
          </w:rPr>
          <w:tab/>
        </w:r>
        <w:r>
          <w:rPr>
            <w:webHidden/>
          </w:rPr>
          <w:fldChar w:fldCharType="begin"/>
        </w:r>
        <w:r>
          <w:rPr>
            <w:webHidden/>
          </w:rPr>
          <w:instrText xml:space="preserve"> PAGEREF _Toc224819606 \h </w:instrText>
        </w:r>
        <w:r>
          <w:rPr>
            <w:webHidden/>
          </w:rPr>
        </w:r>
        <w:r>
          <w:rPr>
            <w:webHidden/>
          </w:rPr>
          <w:fldChar w:fldCharType="separate"/>
        </w:r>
        <w:r w:rsidR="00AA17AB">
          <w:rPr>
            <w:webHidden/>
          </w:rPr>
          <w:t>446</w:t>
        </w:r>
        <w:r>
          <w:rPr>
            <w:webHidden/>
          </w:rPr>
          <w:fldChar w:fldCharType="end"/>
        </w:r>
      </w:hyperlink>
    </w:p>
    <w:p w14:paraId="77185A84" w14:textId="4E8F311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7" w:history="1">
        <w:r w:rsidRPr="00FC437C">
          <w:rPr>
            <w:rStyle w:val="Hyperlink"/>
          </w:rPr>
          <w:t>§1007.</w:t>
        </w:r>
        <w:r>
          <w:rPr>
            <w:rFonts w:asciiTheme="minorHAnsi" w:eastAsiaTheme="minorEastAsia" w:hAnsiTheme="minorHAnsi" w:cstheme="minorBidi"/>
            <w:color w:val="auto"/>
            <w:kern w:val="2"/>
            <w:szCs w:val="24"/>
            <w14:ligatures w14:val="standardContextual"/>
          </w:rPr>
          <w:tab/>
        </w:r>
        <w:r w:rsidRPr="00FC437C">
          <w:rPr>
            <w:rStyle w:val="Hyperlink"/>
          </w:rPr>
          <w:t>Appeals</w:t>
        </w:r>
        <w:r>
          <w:rPr>
            <w:webHidden/>
          </w:rPr>
          <w:tab/>
        </w:r>
        <w:r>
          <w:rPr>
            <w:webHidden/>
          </w:rPr>
          <w:fldChar w:fldCharType="begin"/>
        </w:r>
        <w:r>
          <w:rPr>
            <w:webHidden/>
          </w:rPr>
          <w:instrText xml:space="preserve"> PAGEREF _Toc224819607 \h </w:instrText>
        </w:r>
        <w:r>
          <w:rPr>
            <w:webHidden/>
          </w:rPr>
        </w:r>
        <w:r>
          <w:rPr>
            <w:webHidden/>
          </w:rPr>
          <w:fldChar w:fldCharType="separate"/>
        </w:r>
        <w:r w:rsidR="00AA17AB">
          <w:rPr>
            <w:webHidden/>
          </w:rPr>
          <w:t>446</w:t>
        </w:r>
        <w:r>
          <w:rPr>
            <w:webHidden/>
          </w:rPr>
          <w:fldChar w:fldCharType="end"/>
        </w:r>
      </w:hyperlink>
    </w:p>
    <w:p w14:paraId="7C5583BE" w14:textId="74C7FBD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8" w:history="1">
        <w:r w:rsidRPr="00FC437C">
          <w:rPr>
            <w:rStyle w:val="Hyperlink"/>
          </w:rPr>
          <w:t>§1009.</w:t>
        </w:r>
        <w:r>
          <w:rPr>
            <w:rFonts w:asciiTheme="minorHAnsi" w:eastAsiaTheme="minorEastAsia" w:hAnsiTheme="minorHAnsi" w:cstheme="minorBidi"/>
            <w:color w:val="auto"/>
            <w:kern w:val="2"/>
            <w:szCs w:val="24"/>
            <w14:ligatures w14:val="standardContextual"/>
          </w:rPr>
          <w:tab/>
        </w:r>
        <w:r w:rsidRPr="00FC437C">
          <w:rPr>
            <w:rStyle w:val="Hyperlink"/>
          </w:rPr>
          <w:t>Tree Planting; Survival Inspections</w:t>
        </w:r>
        <w:r>
          <w:rPr>
            <w:webHidden/>
          </w:rPr>
          <w:tab/>
        </w:r>
        <w:r>
          <w:rPr>
            <w:webHidden/>
          </w:rPr>
          <w:fldChar w:fldCharType="begin"/>
        </w:r>
        <w:r>
          <w:rPr>
            <w:webHidden/>
          </w:rPr>
          <w:instrText xml:space="preserve"> PAGEREF _Toc224819608 \h </w:instrText>
        </w:r>
        <w:r>
          <w:rPr>
            <w:webHidden/>
          </w:rPr>
        </w:r>
        <w:r>
          <w:rPr>
            <w:webHidden/>
          </w:rPr>
          <w:fldChar w:fldCharType="separate"/>
        </w:r>
        <w:r w:rsidR="00AA17AB">
          <w:rPr>
            <w:webHidden/>
          </w:rPr>
          <w:t>446</w:t>
        </w:r>
        <w:r>
          <w:rPr>
            <w:webHidden/>
          </w:rPr>
          <w:fldChar w:fldCharType="end"/>
        </w:r>
      </w:hyperlink>
    </w:p>
    <w:p w14:paraId="77AC11B9" w14:textId="736743F0"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09" w:history="1">
        <w:r w:rsidRPr="00FC437C">
          <w:rPr>
            <w:rStyle w:val="Hyperlink"/>
          </w:rPr>
          <w:t>§1011.</w:t>
        </w:r>
        <w:r>
          <w:rPr>
            <w:rFonts w:asciiTheme="minorHAnsi" w:eastAsiaTheme="minorEastAsia" w:hAnsiTheme="minorHAnsi" w:cstheme="minorBidi"/>
            <w:color w:val="auto"/>
            <w:kern w:val="2"/>
            <w:szCs w:val="24"/>
            <w14:ligatures w14:val="standardContextual"/>
          </w:rPr>
          <w:tab/>
        </w:r>
        <w:r w:rsidRPr="00FC437C">
          <w:rPr>
            <w:rStyle w:val="Hyperlink"/>
          </w:rPr>
          <w:t>Size Requirements</w:t>
        </w:r>
        <w:r>
          <w:rPr>
            <w:webHidden/>
          </w:rPr>
          <w:tab/>
        </w:r>
        <w:r>
          <w:rPr>
            <w:webHidden/>
          </w:rPr>
          <w:fldChar w:fldCharType="begin"/>
        </w:r>
        <w:r>
          <w:rPr>
            <w:webHidden/>
          </w:rPr>
          <w:instrText xml:space="preserve"> PAGEREF _Toc224819609 \h </w:instrText>
        </w:r>
        <w:r>
          <w:rPr>
            <w:webHidden/>
          </w:rPr>
        </w:r>
        <w:r>
          <w:rPr>
            <w:webHidden/>
          </w:rPr>
          <w:fldChar w:fldCharType="separate"/>
        </w:r>
        <w:r w:rsidR="00AA17AB">
          <w:rPr>
            <w:webHidden/>
          </w:rPr>
          <w:t>446</w:t>
        </w:r>
        <w:r>
          <w:rPr>
            <w:webHidden/>
          </w:rPr>
          <w:fldChar w:fldCharType="end"/>
        </w:r>
      </w:hyperlink>
    </w:p>
    <w:p w14:paraId="1F30D03C" w14:textId="171438E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0" w:history="1">
        <w:r w:rsidRPr="00FC437C">
          <w:rPr>
            <w:rStyle w:val="Hyperlink"/>
          </w:rPr>
          <w:t>§1013.</w:t>
        </w:r>
        <w:r>
          <w:rPr>
            <w:rFonts w:asciiTheme="minorHAnsi" w:eastAsiaTheme="minorEastAsia" w:hAnsiTheme="minorHAnsi" w:cstheme="minorBidi"/>
            <w:color w:val="auto"/>
            <w:kern w:val="2"/>
            <w:szCs w:val="24"/>
            <w14:ligatures w14:val="standardContextual"/>
          </w:rPr>
          <w:tab/>
        </w:r>
        <w:r w:rsidRPr="00FC437C">
          <w:rPr>
            <w:rStyle w:val="Hyperlink"/>
          </w:rPr>
          <w:t>Landscape Architects</w:t>
        </w:r>
        <w:r>
          <w:rPr>
            <w:webHidden/>
          </w:rPr>
          <w:tab/>
        </w:r>
        <w:r>
          <w:rPr>
            <w:webHidden/>
          </w:rPr>
          <w:fldChar w:fldCharType="begin"/>
        </w:r>
        <w:r>
          <w:rPr>
            <w:webHidden/>
          </w:rPr>
          <w:instrText xml:space="preserve"> PAGEREF _Toc224819610 \h </w:instrText>
        </w:r>
        <w:r>
          <w:rPr>
            <w:webHidden/>
          </w:rPr>
        </w:r>
        <w:r>
          <w:rPr>
            <w:webHidden/>
          </w:rPr>
          <w:fldChar w:fldCharType="separate"/>
        </w:r>
        <w:r w:rsidR="00AA17AB">
          <w:rPr>
            <w:webHidden/>
          </w:rPr>
          <w:t>446</w:t>
        </w:r>
        <w:r>
          <w:rPr>
            <w:webHidden/>
          </w:rPr>
          <w:fldChar w:fldCharType="end"/>
        </w:r>
      </w:hyperlink>
    </w:p>
    <w:p w14:paraId="2EB1422C" w14:textId="5592F8F9"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1" w:history="1">
        <w:r w:rsidRPr="00FC437C">
          <w:rPr>
            <w:rStyle w:val="Hyperlink"/>
          </w:rPr>
          <w:t>§1015.</w:t>
        </w:r>
        <w:r>
          <w:rPr>
            <w:rFonts w:asciiTheme="minorHAnsi" w:eastAsiaTheme="minorEastAsia" w:hAnsiTheme="minorHAnsi" w:cstheme="minorBidi"/>
            <w:color w:val="auto"/>
            <w:kern w:val="2"/>
            <w:szCs w:val="24"/>
            <w14:ligatures w14:val="standardContextual"/>
          </w:rPr>
          <w:tab/>
        </w:r>
        <w:r w:rsidRPr="00FC437C">
          <w:rPr>
            <w:rStyle w:val="Hyperlink"/>
          </w:rPr>
          <w:t>Timber Harvesting</w:t>
        </w:r>
        <w:r>
          <w:rPr>
            <w:webHidden/>
          </w:rPr>
          <w:tab/>
        </w:r>
        <w:r>
          <w:rPr>
            <w:webHidden/>
          </w:rPr>
          <w:fldChar w:fldCharType="begin"/>
        </w:r>
        <w:r>
          <w:rPr>
            <w:webHidden/>
          </w:rPr>
          <w:instrText xml:space="preserve"> PAGEREF _Toc224819611 \h </w:instrText>
        </w:r>
        <w:r>
          <w:rPr>
            <w:webHidden/>
          </w:rPr>
        </w:r>
        <w:r>
          <w:rPr>
            <w:webHidden/>
          </w:rPr>
          <w:fldChar w:fldCharType="separate"/>
        </w:r>
        <w:r w:rsidR="00AA17AB">
          <w:rPr>
            <w:webHidden/>
          </w:rPr>
          <w:t>446</w:t>
        </w:r>
        <w:r>
          <w:rPr>
            <w:webHidden/>
          </w:rPr>
          <w:fldChar w:fldCharType="end"/>
        </w:r>
      </w:hyperlink>
    </w:p>
    <w:p w14:paraId="61446A8C" w14:textId="2BE1430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2" w:history="1">
        <w:r w:rsidRPr="00FC437C">
          <w:rPr>
            <w:rStyle w:val="Hyperlink"/>
          </w:rPr>
          <w:t>§1017.</w:t>
        </w:r>
        <w:r>
          <w:rPr>
            <w:rFonts w:asciiTheme="minorHAnsi" w:eastAsiaTheme="minorEastAsia" w:hAnsiTheme="minorHAnsi" w:cstheme="minorBidi"/>
            <w:color w:val="auto"/>
            <w:kern w:val="2"/>
            <w:szCs w:val="24"/>
            <w14:ligatures w14:val="standardContextual"/>
          </w:rPr>
          <w:tab/>
        </w:r>
        <w:r w:rsidRPr="00FC437C">
          <w:rPr>
            <w:rStyle w:val="Hyperlink"/>
          </w:rPr>
          <w:t>Developing Wooded Property</w:t>
        </w:r>
        <w:r>
          <w:rPr>
            <w:webHidden/>
          </w:rPr>
          <w:tab/>
        </w:r>
        <w:r>
          <w:rPr>
            <w:webHidden/>
          </w:rPr>
          <w:fldChar w:fldCharType="begin"/>
        </w:r>
        <w:r>
          <w:rPr>
            <w:webHidden/>
          </w:rPr>
          <w:instrText xml:space="preserve"> PAGEREF _Toc224819612 \h </w:instrText>
        </w:r>
        <w:r>
          <w:rPr>
            <w:webHidden/>
          </w:rPr>
        </w:r>
        <w:r>
          <w:rPr>
            <w:webHidden/>
          </w:rPr>
          <w:fldChar w:fldCharType="separate"/>
        </w:r>
        <w:r w:rsidR="00AA17AB">
          <w:rPr>
            <w:webHidden/>
          </w:rPr>
          <w:t>446</w:t>
        </w:r>
        <w:r>
          <w:rPr>
            <w:webHidden/>
          </w:rPr>
          <w:fldChar w:fldCharType="end"/>
        </w:r>
      </w:hyperlink>
    </w:p>
    <w:p w14:paraId="18B87187" w14:textId="628F236F" w:rsidR="00E67799" w:rsidRDefault="00E67799">
      <w:pPr>
        <w:pStyle w:val="TOC2"/>
        <w:rPr>
          <w:rFonts w:asciiTheme="minorHAnsi" w:eastAsiaTheme="minorEastAsia" w:hAnsiTheme="minorHAnsi" w:cstheme="minorBidi"/>
          <w:kern w:val="2"/>
          <w:szCs w:val="24"/>
          <w14:ligatures w14:val="standardContextual"/>
        </w:rPr>
      </w:pPr>
      <w:hyperlink w:anchor="_Toc224819613" w:history="1">
        <w:r w:rsidRPr="00FC437C">
          <w:rPr>
            <w:rStyle w:val="Hyperlink"/>
          </w:rPr>
          <w:t>Chapter 11.</w:t>
        </w:r>
        <w:r>
          <w:rPr>
            <w:rFonts w:asciiTheme="minorHAnsi" w:eastAsiaTheme="minorEastAsia" w:hAnsiTheme="minorHAnsi" w:cstheme="minorBidi"/>
            <w:kern w:val="2"/>
            <w:szCs w:val="24"/>
            <w14:ligatures w14:val="standardContextual"/>
          </w:rPr>
          <w:tab/>
        </w:r>
        <w:r w:rsidRPr="00FC437C">
          <w:rPr>
            <w:rStyle w:val="Hyperlink"/>
          </w:rPr>
          <w:t>Rural Fire Protection</w:t>
        </w:r>
        <w:r>
          <w:rPr>
            <w:webHidden/>
          </w:rPr>
          <w:tab/>
        </w:r>
        <w:r>
          <w:rPr>
            <w:webHidden/>
          </w:rPr>
          <w:fldChar w:fldCharType="begin"/>
        </w:r>
        <w:r>
          <w:rPr>
            <w:webHidden/>
          </w:rPr>
          <w:instrText xml:space="preserve"> PAGEREF _Toc224819613 \h </w:instrText>
        </w:r>
        <w:r>
          <w:rPr>
            <w:webHidden/>
          </w:rPr>
        </w:r>
        <w:r>
          <w:rPr>
            <w:webHidden/>
          </w:rPr>
          <w:fldChar w:fldCharType="separate"/>
        </w:r>
        <w:r w:rsidR="00AA17AB">
          <w:rPr>
            <w:webHidden/>
          </w:rPr>
          <w:t>446</w:t>
        </w:r>
        <w:r>
          <w:rPr>
            <w:webHidden/>
          </w:rPr>
          <w:fldChar w:fldCharType="end"/>
        </w:r>
      </w:hyperlink>
    </w:p>
    <w:p w14:paraId="76E7F466" w14:textId="017063A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4" w:history="1">
        <w:r w:rsidRPr="00FC437C">
          <w:rPr>
            <w:rStyle w:val="Hyperlink"/>
          </w:rPr>
          <w:t>§1101.</w:t>
        </w:r>
        <w:r>
          <w:rPr>
            <w:rFonts w:asciiTheme="minorHAnsi" w:eastAsiaTheme="minorEastAsia" w:hAnsiTheme="minorHAnsi" w:cstheme="minorBidi"/>
            <w:color w:val="auto"/>
            <w:kern w:val="2"/>
            <w:szCs w:val="24"/>
            <w14:ligatures w14:val="standardContextual"/>
          </w:rPr>
          <w:tab/>
        </w:r>
        <w:r w:rsidRPr="00FC437C">
          <w:rPr>
            <w:rStyle w:val="Hyperlink"/>
          </w:rPr>
          <w:t>State Excess Property Program</w:t>
        </w:r>
        <w:r>
          <w:rPr>
            <w:webHidden/>
          </w:rPr>
          <w:tab/>
        </w:r>
        <w:r>
          <w:rPr>
            <w:webHidden/>
          </w:rPr>
          <w:fldChar w:fldCharType="begin"/>
        </w:r>
        <w:r>
          <w:rPr>
            <w:webHidden/>
          </w:rPr>
          <w:instrText xml:space="preserve"> PAGEREF _Toc224819614 \h </w:instrText>
        </w:r>
        <w:r>
          <w:rPr>
            <w:webHidden/>
          </w:rPr>
        </w:r>
        <w:r>
          <w:rPr>
            <w:webHidden/>
          </w:rPr>
          <w:fldChar w:fldCharType="separate"/>
        </w:r>
        <w:r w:rsidR="00AA17AB">
          <w:rPr>
            <w:webHidden/>
          </w:rPr>
          <w:t>446</w:t>
        </w:r>
        <w:r>
          <w:rPr>
            <w:webHidden/>
          </w:rPr>
          <w:fldChar w:fldCharType="end"/>
        </w:r>
      </w:hyperlink>
    </w:p>
    <w:p w14:paraId="3B97DB46" w14:textId="29E8ABD4" w:rsidR="00E67799" w:rsidRDefault="00E67799">
      <w:pPr>
        <w:pStyle w:val="TOC2"/>
        <w:rPr>
          <w:rFonts w:asciiTheme="minorHAnsi" w:eastAsiaTheme="minorEastAsia" w:hAnsiTheme="minorHAnsi" w:cstheme="minorBidi"/>
          <w:kern w:val="2"/>
          <w:szCs w:val="24"/>
          <w14:ligatures w14:val="standardContextual"/>
        </w:rPr>
      </w:pPr>
      <w:hyperlink w:anchor="_Toc224819615" w:history="1">
        <w:r w:rsidRPr="00FC437C">
          <w:rPr>
            <w:rStyle w:val="Hyperlink"/>
          </w:rPr>
          <w:t>Subchapter B.</w:t>
        </w:r>
        <w:r>
          <w:rPr>
            <w:rFonts w:asciiTheme="minorHAnsi" w:eastAsiaTheme="minorEastAsia" w:hAnsiTheme="minorHAnsi" w:cstheme="minorBidi"/>
            <w:kern w:val="2"/>
            <w:szCs w:val="24"/>
            <w14:ligatures w14:val="standardContextual"/>
          </w:rPr>
          <w:tab/>
        </w:r>
        <w:r w:rsidRPr="00FC437C">
          <w:rPr>
            <w:rStyle w:val="Hyperlink"/>
          </w:rPr>
          <w:t>Parish Burn Ban Ordinances</w:t>
        </w:r>
        <w:r>
          <w:rPr>
            <w:webHidden/>
          </w:rPr>
          <w:tab/>
        </w:r>
        <w:r>
          <w:rPr>
            <w:webHidden/>
          </w:rPr>
          <w:fldChar w:fldCharType="begin"/>
        </w:r>
        <w:r>
          <w:rPr>
            <w:webHidden/>
          </w:rPr>
          <w:instrText xml:space="preserve"> PAGEREF _Toc224819615 \h </w:instrText>
        </w:r>
        <w:r>
          <w:rPr>
            <w:webHidden/>
          </w:rPr>
        </w:r>
        <w:r>
          <w:rPr>
            <w:webHidden/>
          </w:rPr>
          <w:fldChar w:fldCharType="separate"/>
        </w:r>
        <w:r w:rsidR="00AA17AB">
          <w:rPr>
            <w:webHidden/>
          </w:rPr>
          <w:t>447</w:t>
        </w:r>
        <w:r>
          <w:rPr>
            <w:webHidden/>
          </w:rPr>
          <w:fldChar w:fldCharType="end"/>
        </w:r>
      </w:hyperlink>
    </w:p>
    <w:p w14:paraId="4BC3EDC3" w14:textId="5B517CE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6" w:history="1">
        <w:r w:rsidRPr="00FC437C">
          <w:rPr>
            <w:rStyle w:val="Hyperlink"/>
          </w:rPr>
          <w:t>§1111.</w:t>
        </w:r>
        <w:r>
          <w:rPr>
            <w:rFonts w:asciiTheme="minorHAnsi" w:eastAsiaTheme="minorEastAsia" w:hAnsiTheme="minorHAnsi" w:cstheme="minorBidi"/>
            <w:color w:val="auto"/>
            <w:kern w:val="2"/>
            <w:szCs w:val="24"/>
            <w14:ligatures w14:val="standardContextual"/>
          </w:rPr>
          <w:tab/>
        </w:r>
        <w:r w:rsidRPr="00FC437C">
          <w:rPr>
            <w:rStyle w:val="Hyperlink"/>
          </w:rPr>
          <w:t>Purpose</w:t>
        </w:r>
        <w:r>
          <w:rPr>
            <w:webHidden/>
          </w:rPr>
          <w:tab/>
        </w:r>
        <w:r>
          <w:rPr>
            <w:webHidden/>
          </w:rPr>
          <w:fldChar w:fldCharType="begin"/>
        </w:r>
        <w:r>
          <w:rPr>
            <w:webHidden/>
          </w:rPr>
          <w:instrText xml:space="preserve"> PAGEREF _Toc224819616 \h </w:instrText>
        </w:r>
        <w:r>
          <w:rPr>
            <w:webHidden/>
          </w:rPr>
        </w:r>
        <w:r>
          <w:rPr>
            <w:webHidden/>
          </w:rPr>
          <w:fldChar w:fldCharType="separate"/>
        </w:r>
        <w:r w:rsidR="00AA17AB">
          <w:rPr>
            <w:webHidden/>
          </w:rPr>
          <w:t>447</w:t>
        </w:r>
        <w:r>
          <w:rPr>
            <w:webHidden/>
          </w:rPr>
          <w:fldChar w:fldCharType="end"/>
        </w:r>
      </w:hyperlink>
    </w:p>
    <w:p w14:paraId="368529CE" w14:textId="76F49EB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17" w:history="1">
        <w:r w:rsidRPr="00FC437C">
          <w:rPr>
            <w:rStyle w:val="Hyperlink"/>
          </w:rPr>
          <w:t>§1113.</w:t>
        </w:r>
        <w:r>
          <w:rPr>
            <w:rFonts w:asciiTheme="minorHAnsi" w:eastAsiaTheme="minorEastAsia" w:hAnsiTheme="minorHAnsi" w:cstheme="minorBidi"/>
            <w:color w:val="auto"/>
            <w:kern w:val="2"/>
            <w:szCs w:val="24"/>
            <w14:ligatures w14:val="standardContextual"/>
          </w:rPr>
          <w:tab/>
        </w:r>
        <w:r w:rsidRPr="00FC437C">
          <w:rPr>
            <w:rStyle w:val="Hyperlink"/>
          </w:rPr>
          <w:t>Determination of Fire Danger Rating</w:t>
        </w:r>
        <w:r>
          <w:rPr>
            <w:webHidden/>
          </w:rPr>
          <w:tab/>
        </w:r>
        <w:r>
          <w:rPr>
            <w:webHidden/>
          </w:rPr>
          <w:fldChar w:fldCharType="begin"/>
        </w:r>
        <w:r>
          <w:rPr>
            <w:webHidden/>
          </w:rPr>
          <w:instrText xml:space="preserve"> PAGEREF _Toc224819617 \h </w:instrText>
        </w:r>
        <w:r>
          <w:rPr>
            <w:webHidden/>
          </w:rPr>
        </w:r>
        <w:r>
          <w:rPr>
            <w:webHidden/>
          </w:rPr>
          <w:fldChar w:fldCharType="separate"/>
        </w:r>
        <w:r w:rsidR="00AA17AB">
          <w:rPr>
            <w:webHidden/>
          </w:rPr>
          <w:t>447</w:t>
        </w:r>
        <w:r>
          <w:rPr>
            <w:webHidden/>
          </w:rPr>
          <w:fldChar w:fldCharType="end"/>
        </w:r>
      </w:hyperlink>
    </w:p>
    <w:p w14:paraId="2DA1A71E" w14:textId="5C4ED5F8" w:rsidR="00E67799" w:rsidRDefault="00E67799" w:rsidP="00ED0600">
      <w:pPr>
        <w:pStyle w:val="TOC2"/>
        <w:rPr>
          <w:rFonts w:asciiTheme="minorHAnsi" w:eastAsiaTheme="minorEastAsia" w:hAnsiTheme="minorHAnsi" w:cstheme="minorBidi"/>
          <w:kern w:val="2"/>
          <w:szCs w:val="24"/>
          <w14:ligatures w14:val="standardContextual"/>
        </w:rPr>
      </w:pPr>
      <w:hyperlink w:anchor="_Toc224819618" w:history="1">
        <w:r w:rsidRPr="00FC437C">
          <w:rPr>
            <w:rStyle w:val="Hyperlink"/>
          </w:rPr>
          <w:t>Chapter 13.</w:t>
        </w:r>
        <w:r>
          <w:rPr>
            <w:rFonts w:asciiTheme="minorHAnsi" w:eastAsiaTheme="minorEastAsia" w:hAnsiTheme="minorHAnsi" w:cstheme="minorBidi"/>
            <w:kern w:val="2"/>
            <w:szCs w:val="24"/>
            <w14:ligatures w14:val="standardContextual"/>
          </w:rPr>
          <w:tab/>
        </w:r>
        <w:r w:rsidRPr="00FC437C">
          <w:rPr>
            <w:rStyle w:val="Hyperlink"/>
          </w:rPr>
          <w:t>Forestry Productivity Program</w:t>
        </w:r>
        <w:r>
          <w:rPr>
            <w:webHidden/>
          </w:rPr>
          <w:tab/>
        </w:r>
        <w:r>
          <w:rPr>
            <w:webHidden/>
          </w:rPr>
          <w:fldChar w:fldCharType="begin"/>
        </w:r>
        <w:r>
          <w:rPr>
            <w:webHidden/>
          </w:rPr>
          <w:instrText xml:space="preserve"> PAGEREF _Toc224819618 \h </w:instrText>
        </w:r>
        <w:r>
          <w:rPr>
            <w:webHidden/>
          </w:rPr>
        </w:r>
        <w:r>
          <w:rPr>
            <w:webHidden/>
          </w:rPr>
          <w:fldChar w:fldCharType="separate"/>
        </w:r>
        <w:r w:rsidR="00AA17AB">
          <w:rPr>
            <w:webHidden/>
          </w:rPr>
          <w:t>447</w:t>
        </w:r>
        <w:r>
          <w:rPr>
            <w:webHidden/>
          </w:rPr>
          <w:fldChar w:fldCharType="end"/>
        </w:r>
      </w:hyperlink>
    </w:p>
    <w:p w14:paraId="2D94F73A" w14:textId="02610613"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619" w:history="1">
        <w:r w:rsidRPr="00FC437C">
          <w:rPr>
            <w:rStyle w:val="Hyperlink"/>
          </w:rPr>
          <w:t>§1301.</w:t>
        </w:r>
        <w:r>
          <w:rPr>
            <w:rFonts w:asciiTheme="minorHAnsi" w:eastAsiaTheme="minorEastAsia" w:hAnsiTheme="minorHAnsi" w:cstheme="minorBidi"/>
            <w:color w:val="auto"/>
            <w:kern w:val="2"/>
            <w:szCs w:val="24"/>
            <w14:ligatures w14:val="standardContextual"/>
          </w:rPr>
          <w:tab/>
        </w:r>
        <w:r w:rsidRPr="00FC437C">
          <w:rPr>
            <w:rStyle w:val="Hyperlink"/>
          </w:rPr>
          <w:t>Authority</w:t>
        </w:r>
        <w:r>
          <w:rPr>
            <w:webHidden/>
          </w:rPr>
          <w:tab/>
        </w:r>
        <w:r>
          <w:rPr>
            <w:webHidden/>
          </w:rPr>
          <w:fldChar w:fldCharType="begin"/>
        </w:r>
        <w:r>
          <w:rPr>
            <w:webHidden/>
          </w:rPr>
          <w:instrText xml:space="preserve"> PAGEREF _Toc224819619 \h </w:instrText>
        </w:r>
        <w:r>
          <w:rPr>
            <w:webHidden/>
          </w:rPr>
        </w:r>
        <w:r>
          <w:rPr>
            <w:webHidden/>
          </w:rPr>
          <w:fldChar w:fldCharType="separate"/>
        </w:r>
        <w:r w:rsidR="00AA17AB">
          <w:rPr>
            <w:webHidden/>
          </w:rPr>
          <w:t>447</w:t>
        </w:r>
        <w:r>
          <w:rPr>
            <w:webHidden/>
          </w:rPr>
          <w:fldChar w:fldCharType="end"/>
        </w:r>
      </w:hyperlink>
    </w:p>
    <w:p w14:paraId="46DD30EE" w14:textId="3A21B606"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620" w:history="1">
        <w:r w:rsidRPr="00FC437C">
          <w:rPr>
            <w:rStyle w:val="Hyperlink"/>
          </w:rPr>
          <w:t>§1303.</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_Toc224819620 \h </w:instrText>
        </w:r>
        <w:r>
          <w:rPr>
            <w:webHidden/>
          </w:rPr>
        </w:r>
        <w:r>
          <w:rPr>
            <w:webHidden/>
          </w:rPr>
          <w:fldChar w:fldCharType="separate"/>
        </w:r>
        <w:r w:rsidR="00AA17AB">
          <w:rPr>
            <w:webHidden/>
          </w:rPr>
          <w:t>448</w:t>
        </w:r>
        <w:r>
          <w:rPr>
            <w:webHidden/>
          </w:rPr>
          <w:fldChar w:fldCharType="end"/>
        </w:r>
      </w:hyperlink>
    </w:p>
    <w:p w14:paraId="2EAAF187" w14:textId="48EF93AE" w:rsidR="00E67799" w:rsidRDefault="00E67799" w:rsidP="00ED0600">
      <w:pPr>
        <w:pStyle w:val="TOC3"/>
        <w:keepNext/>
        <w:rPr>
          <w:rFonts w:asciiTheme="minorHAnsi" w:eastAsiaTheme="minorEastAsia" w:hAnsiTheme="minorHAnsi" w:cstheme="minorBidi"/>
          <w:color w:val="auto"/>
          <w:kern w:val="2"/>
          <w:szCs w:val="24"/>
          <w14:ligatures w14:val="standardContextual"/>
        </w:rPr>
      </w:pPr>
      <w:hyperlink w:anchor="_Toc224819621" w:history="1">
        <w:r w:rsidRPr="00FC437C">
          <w:rPr>
            <w:rStyle w:val="Hyperlink"/>
          </w:rPr>
          <w:t>§1305.</w:t>
        </w:r>
        <w:r>
          <w:rPr>
            <w:rFonts w:asciiTheme="minorHAnsi" w:eastAsiaTheme="minorEastAsia" w:hAnsiTheme="minorHAnsi" w:cstheme="minorBidi"/>
            <w:color w:val="auto"/>
            <w:kern w:val="2"/>
            <w:szCs w:val="24"/>
            <w14:ligatures w14:val="standardContextual"/>
          </w:rPr>
          <w:tab/>
        </w:r>
        <w:r w:rsidRPr="00FC437C">
          <w:rPr>
            <w:rStyle w:val="Hyperlink"/>
          </w:rPr>
          <w:t>Application and Fee</w:t>
        </w:r>
        <w:r>
          <w:rPr>
            <w:webHidden/>
          </w:rPr>
          <w:tab/>
        </w:r>
        <w:r>
          <w:rPr>
            <w:webHidden/>
          </w:rPr>
          <w:fldChar w:fldCharType="begin"/>
        </w:r>
        <w:r>
          <w:rPr>
            <w:webHidden/>
          </w:rPr>
          <w:instrText xml:space="preserve"> PAGEREF _Toc224819621 \h </w:instrText>
        </w:r>
        <w:r>
          <w:rPr>
            <w:webHidden/>
          </w:rPr>
        </w:r>
        <w:r>
          <w:rPr>
            <w:webHidden/>
          </w:rPr>
          <w:fldChar w:fldCharType="separate"/>
        </w:r>
        <w:r w:rsidR="00AA17AB">
          <w:rPr>
            <w:webHidden/>
          </w:rPr>
          <w:t>448</w:t>
        </w:r>
        <w:r>
          <w:rPr>
            <w:webHidden/>
          </w:rPr>
          <w:fldChar w:fldCharType="end"/>
        </w:r>
      </w:hyperlink>
    </w:p>
    <w:p w14:paraId="6F00A46D" w14:textId="12582D7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2" w:history="1">
        <w:r w:rsidRPr="00FC437C">
          <w:rPr>
            <w:rStyle w:val="Hyperlink"/>
          </w:rPr>
          <w:t>§1307.</w:t>
        </w:r>
        <w:r>
          <w:rPr>
            <w:rFonts w:asciiTheme="minorHAnsi" w:eastAsiaTheme="minorEastAsia" w:hAnsiTheme="minorHAnsi" w:cstheme="minorBidi"/>
            <w:color w:val="auto"/>
            <w:kern w:val="2"/>
            <w:szCs w:val="24"/>
            <w14:ligatures w14:val="standardContextual"/>
          </w:rPr>
          <w:tab/>
        </w:r>
        <w:r w:rsidRPr="00FC437C">
          <w:rPr>
            <w:rStyle w:val="Hyperlink"/>
          </w:rPr>
          <w:t>Extent of State Participation</w:t>
        </w:r>
        <w:r>
          <w:rPr>
            <w:webHidden/>
          </w:rPr>
          <w:tab/>
        </w:r>
        <w:r>
          <w:rPr>
            <w:webHidden/>
          </w:rPr>
          <w:fldChar w:fldCharType="begin"/>
        </w:r>
        <w:r>
          <w:rPr>
            <w:webHidden/>
          </w:rPr>
          <w:instrText xml:space="preserve"> PAGEREF _Toc224819622 \h </w:instrText>
        </w:r>
        <w:r>
          <w:rPr>
            <w:webHidden/>
          </w:rPr>
        </w:r>
        <w:r>
          <w:rPr>
            <w:webHidden/>
          </w:rPr>
          <w:fldChar w:fldCharType="separate"/>
        </w:r>
        <w:r w:rsidR="00AA17AB">
          <w:rPr>
            <w:webHidden/>
          </w:rPr>
          <w:t>448</w:t>
        </w:r>
        <w:r>
          <w:rPr>
            <w:webHidden/>
          </w:rPr>
          <w:fldChar w:fldCharType="end"/>
        </w:r>
      </w:hyperlink>
    </w:p>
    <w:p w14:paraId="06B0E861" w14:textId="42963208"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3" w:history="1">
        <w:r w:rsidRPr="00FC437C">
          <w:rPr>
            <w:rStyle w:val="Hyperlink"/>
          </w:rPr>
          <w:t>§1309.</w:t>
        </w:r>
        <w:r>
          <w:rPr>
            <w:rFonts w:asciiTheme="minorHAnsi" w:eastAsiaTheme="minorEastAsia" w:hAnsiTheme="minorHAnsi" w:cstheme="minorBidi"/>
            <w:color w:val="auto"/>
            <w:kern w:val="2"/>
            <w:szCs w:val="24"/>
            <w14:ligatures w14:val="standardContextual"/>
          </w:rPr>
          <w:tab/>
        </w:r>
        <w:r w:rsidRPr="00FC437C">
          <w:rPr>
            <w:rStyle w:val="Hyperlink"/>
          </w:rPr>
          <w:t>Land and Landowners Eligibility, Exclusions and Limitations</w:t>
        </w:r>
        <w:r>
          <w:rPr>
            <w:webHidden/>
          </w:rPr>
          <w:tab/>
        </w:r>
        <w:r>
          <w:rPr>
            <w:webHidden/>
          </w:rPr>
          <w:fldChar w:fldCharType="begin"/>
        </w:r>
        <w:r>
          <w:rPr>
            <w:webHidden/>
          </w:rPr>
          <w:instrText xml:space="preserve"> PAGEREF _Toc224819623 \h </w:instrText>
        </w:r>
        <w:r>
          <w:rPr>
            <w:webHidden/>
          </w:rPr>
        </w:r>
        <w:r>
          <w:rPr>
            <w:webHidden/>
          </w:rPr>
          <w:fldChar w:fldCharType="separate"/>
        </w:r>
        <w:r w:rsidR="00AA17AB">
          <w:rPr>
            <w:webHidden/>
          </w:rPr>
          <w:t>448</w:t>
        </w:r>
        <w:r>
          <w:rPr>
            <w:webHidden/>
          </w:rPr>
          <w:fldChar w:fldCharType="end"/>
        </w:r>
      </w:hyperlink>
    </w:p>
    <w:p w14:paraId="4BCF919A" w14:textId="7B3CAD9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4" w:history="1">
        <w:r w:rsidRPr="00FC437C">
          <w:rPr>
            <w:rStyle w:val="Hyperlink"/>
          </w:rPr>
          <w:t>§1311.</w:t>
        </w:r>
        <w:r>
          <w:rPr>
            <w:rFonts w:asciiTheme="minorHAnsi" w:eastAsiaTheme="minorEastAsia" w:hAnsiTheme="minorHAnsi" w:cstheme="minorBidi"/>
            <w:color w:val="auto"/>
            <w:kern w:val="2"/>
            <w:szCs w:val="24"/>
            <w14:ligatures w14:val="standardContextual"/>
          </w:rPr>
          <w:tab/>
        </w:r>
        <w:r w:rsidRPr="00FC437C">
          <w:rPr>
            <w:rStyle w:val="Hyperlink"/>
          </w:rPr>
          <w:t>Obligations of the Landowner</w:t>
        </w:r>
        <w:r>
          <w:rPr>
            <w:webHidden/>
          </w:rPr>
          <w:tab/>
        </w:r>
        <w:r>
          <w:rPr>
            <w:webHidden/>
          </w:rPr>
          <w:fldChar w:fldCharType="begin"/>
        </w:r>
        <w:r>
          <w:rPr>
            <w:webHidden/>
          </w:rPr>
          <w:instrText xml:space="preserve"> PAGEREF _Toc224819624 \h </w:instrText>
        </w:r>
        <w:r>
          <w:rPr>
            <w:webHidden/>
          </w:rPr>
        </w:r>
        <w:r>
          <w:rPr>
            <w:webHidden/>
          </w:rPr>
          <w:fldChar w:fldCharType="separate"/>
        </w:r>
        <w:r w:rsidR="00AA17AB">
          <w:rPr>
            <w:webHidden/>
          </w:rPr>
          <w:t>449</w:t>
        </w:r>
        <w:r>
          <w:rPr>
            <w:webHidden/>
          </w:rPr>
          <w:fldChar w:fldCharType="end"/>
        </w:r>
      </w:hyperlink>
    </w:p>
    <w:p w14:paraId="75119BE8" w14:textId="4D38958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5" w:history="1">
        <w:r w:rsidRPr="00FC437C">
          <w:rPr>
            <w:rStyle w:val="Hyperlink"/>
          </w:rPr>
          <w:t>§1313.</w:t>
        </w:r>
        <w:r>
          <w:rPr>
            <w:rFonts w:asciiTheme="minorHAnsi" w:eastAsiaTheme="minorEastAsia" w:hAnsiTheme="minorHAnsi" w:cstheme="minorBidi"/>
            <w:color w:val="auto"/>
            <w:kern w:val="2"/>
            <w:szCs w:val="24"/>
            <w14:ligatures w14:val="standardContextual"/>
          </w:rPr>
          <w:tab/>
        </w:r>
        <w:r w:rsidRPr="00FC437C">
          <w:rPr>
            <w:rStyle w:val="Hyperlink"/>
          </w:rPr>
          <w:t>Approved Forestry Practices</w:t>
        </w:r>
        <w:r>
          <w:rPr>
            <w:webHidden/>
          </w:rPr>
          <w:tab/>
        </w:r>
        <w:r>
          <w:rPr>
            <w:webHidden/>
          </w:rPr>
          <w:fldChar w:fldCharType="begin"/>
        </w:r>
        <w:r>
          <w:rPr>
            <w:webHidden/>
          </w:rPr>
          <w:instrText xml:space="preserve"> PAGEREF _Toc224819625 \h </w:instrText>
        </w:r>
        <w:r>
          <w:rPr>
            <w:webHidden/>
          </w:rPr>
        </w:r>
        <w:r>
          <w:rPr>
            <w:webHidden/>
          </w:rPr>
          <w:fldChar w:fldCharType="separate"/>
        </w:r>
        <w:r w:rsidR="00AA17AB">
          <w:rPr>
            <w:webHidden/>
          </w:rPr>
          <w:t>449</w:t>
        </w:r>
        <w:r>
          <w:rPr>
            <w:webHidden/>
          </w:rPr>
          <w:fldChar w:fldCharType="end"/>
        </w:r>
      </w:hyperlink>
    </w:p>
    <w:p w14:paraId="3F9700C0" w14:textId="16D7A3C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6" w:history="1">
        <w:r w:rsidRPr="00FC437C">
          <w:rPr>
            <w:rStyle w:val="Hyperlink"/>
          </w:rPr>
          <w:t>§1315.</w:t>
        </w:r>
        <w:r>
          <w:rPr>
            <w:rFonts w:asciiTheme="minorHAnsi" w:eastAsiaTheme="minorEastAsia" w:hAnsiTheme="minorHAnsi" w:cstheme="minorBidi"/>
            <w:color w:val="auto"/>
            <w:kern w:val="2"/>
            <w:szCs w:val="24"/>
            <w14:ligatures w14:val="standardContextual"/>
          </w:rPr>
          <w:tab/>
        </w:r>
        <w:r w:rsidRPr="00FC437C">
          <w:rPr>
            <w:rStyle w:val="Hyperlink"/>
          </w:rPr>
          <w:t>Forestry Practice Implementation Period</w:t>
        </w:r>
        <w:r>
          <w:rPr>
            <w:webHidden/>
          </w:rPr>
          <w:tab/>
        </w:r>
        <w:r>
          <w:rPr>
            <w:webHidden/>
          </w:rPr>
          <w:fldChar w:fldCharType="begin"/>
        </w:r>
        <w:r>
          <w:rPr>
            <w:webHidden/>
          </w:rPr>
          <w:instrText xml:space="preserve"> PAGEREF _Toc224819626 \h </w:instrText>
        </w:r>
        <w:r>
          <w:rPr>
            <w:webHidden/>
          </w:rPr>
        </w:r>
        <w:r>
          <w:rPr>
            <w:webHidden/>
          </w:rPr>
          <w:fldChar w:fldCharType="separate"/>
        </w:r>
        <w:r w:rsidR="00AA17AB">
          <w:rPr>
            <w:webHidden/>
          </w:rPr>
          <w:t>449</w:t>
        </w:r>
        <w:r>
          <w:rPr>
            <w:webHidden/>
          </w:rPr>
          <w:fldChar w:fldCharType="end"/>
        </w:r>
      </w:hyperlink>
    </w:p>
    <w:p w14:paraId="1F04AE21" w14:textId="2F590997"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7" w:history="1">
        <w:r w:rsidRPr="00FC437C">
          <w:rPr>
            <w:rStyle w:val="Hyperlink"/>
          </w:rPr>
          <w:t>§1317.</w:t>
        </w:r>
        <w:r>
          <w:rPr>
            <w:rFonts w:asciiTheme="minorHAnsi" w:eastAsiaTheme="minorEastAsia" w:hAnsiTheme="minorHAnsi" w:cstheme="minorBidi"/>
            <w:color w:val="auto"/>
            <w:kern w:val="2"/>
            <w:szCs w:val="24"/>
            <w14:ligatures w14:val="standardContextual"/>
          </w:rPr>
          <w:tab/>
        </w:r>
        <w:r w:rsidRPr="00FC437C">
          <w:rPr>
            <w:rStyle w:val="Hyperlink"/>
          </w:rPr>
          <w:t>Payment by the Department</w:t>
        </w:r>
        <w:r>
          <w:rPr>
            <w:webHidden/>
          </w:rPr>
          <w:tab/>
        </w:r>
        <w:r>
          <w:rPr>
            <w:webHidden/>
          </w:rPr>
          <w:fldChar w:fldCharType="begin"/>
        </w:r>
        <w:r>
          <w:rPr>
            <w:webHidden/>
          </w:rPr>
          <w:instrText xml:space="preserve"> PAGEREF _Toc224819627 \h </w:instrText>
        </w:r>
        <w:r>
          <w:rPr>
            <w:webHidden/>
          </w:rPr>
        </w:r>
        <w:r>
          <w:rPr>
            <w:webHidden/>
          </w:rPr>
          <w:fldChar w:fldCharType="separate"/>
        </w:r>
        <w:r w:rsidR="00AA17AB">
          <w:rPr>
            <w:webHidden/>
          </w:rPr>
          <w:t>449</w:t>
        </w:r>
        <w:r>
          <w:rPr>
            <w:webHidden/>
          </w:rPr>
          <w:fldChar w:fldCharType="end"/>
        </w:r>
      </w:hyperlink>
    </w:p>
    <w:p w14:paraId="1198DC71" w14:textId="5B85B7E5"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8" w:history="1">
        <w:r w:rsidRPr="00FC437C">
          <w:rPr>
            <w:rStyle w:val="Hyperlink"/>
          </w:rPr>
          <w:t>§1319.</w:t>
        </w:r>
        <w:r>
          <w:rPr>
            <w:rFonts w:asciiTheme="minorHAnsi" w:eastAsiaTheme="minorEastAsia" w:hAnsiTheme="minorHAnsi" w:cstheme="minorBidi"/>
            <w:color w:val="auto"/>
            <w:kern w:val="2"/>
            <w:szCs w:val="24"/>
            <w14:ligatures w14:val="standardContextual"/>
          </w:rPr>
          <w:tab/>
        </w:r>
        <w:r w:rsidRPr="00FC437C">
          <w:rPr>
            <w:rStyle w:val="Hyperlink"/>
          </w:rPr>
          <w:t>Repayment by Landowners to the Department</w:t>
        </w:r>
        <w:r>
          <w:rPr>
            <w:webHidden/>
          </w:rPr>
          <w:tab/>
        </w:r>
        <w:r>
          <w:rPr>
            <w:webHidden/>
          </w:rPr>
          <w:fldChar w:fldCharType="begin"/>
        </w:r>
        <w:r>
          <w:rPr>
            <w:webHidden/>
          </w:rPr>
          <w:instrText xml:space="preserve"> PAGEREF _Toc224819628 \h </w:instrText>
        </w:r>
        <w:r>
          <w:rPr>
            <w:webHidden/>
          </w:rPr>
        </w:r>
        <w:r>
          <w:rPr>
            <w:webHidden/>
          </w:rPr>
          <w:fldChar w:fldCharType="separate"/>
        </w:r>
        <w:r w:rsidR="00AA17AB">
          <w:rPr>
            <w:webHidden/>
          </w:rPr>
          <w:t>450</w:t>
        </w:r>
        <w:r>
          <w:rPr>
            <w:webHidden/>
          </w:rPr>
          <w:fldChar w:fldCharType="end"/>
        </w:r>
      </w:hyperlink>
    </w:p>
    <w:p w14:paraId="304D9439" w14:textId="1981E8E2"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29" w:history="1">
        <w:r w:rsidRPr="00FC437C">
          <w:rPr>
            <w:rStyle w:val="Hyperlink"/>
          </w:rPr>
          <w:t>§1321.</w:t>
        </w:r>
        <w:r>
          <w:rPr>
            <w:rFonts w:asciiTheme="minorHAnsi" w:eastAsiaTheme="minorEastAsia" w:hAnsiTheme="minorHAnsi" w:cstheme="minorBidi"/>
            <w:color w:val="auto"/>
            <w:kern w:val="2"/>
            <w:szCs w:val="24"/>
            <w14:ligatures w14:val="standardContextual"/>
          </w:rPr>
          <w:tab/>
        </w:r>
        <w:r w:rsidRPr="00FC437C">
          <w:rPr>
            <w:rStyle w:val="Hyperlink"/>
          </w:rPr>
          <w:t>Competitive Research and Cooperative Extension Grants</w:t>
        </w:r>
        <w:r>
          <w:rPr>
            <w:webHidden/>
          </w:rPr>
          <w:tab/>
        </w:r>
        <w:r>
          <w:rPr>
            <w:webHidden/>
          </w:rPr>
          <w:fldChar w:fldCharType="begin"/>
        </w:r>
        <w:r>
          <w:rPr>
            <w:webHidden/>
          </w:rPr>
          <w:instrText xml:space="preserve"> PAGEREF _Toc224819629 \h </w:instrText>
        </w:r>
        <w:r>
          <w:rPr>
            <w:webHidden/>
          </w:rPr>
        </w:r>
        <w:r>
          <w:rPr>
            <w:webHidden/>
          </w:rPr>
          <w:fldChar w:fldCharType="separate"/>
        </w:r>
        <w:r w:rsidR="00AA17AB">
          <w:rPr>
            <w:webHidden/>
          </w:rPr>
          <w:t>450</w:t>
        </w:r>
        <w:r>
          <w:rPr>
            <w:webHidden/>
          </w:rPr>
          <w:fldChar w:fldCharType="end"/>
        </w:r>
      </w:hyperlink>
    </w:p>
    <w:p w14:paraId="2B3C18E3" w14:textId="6B7638F6" w:rsidR="00E67799" w:rsidRDefault="00E67799">
      <w:pPr>
        <w:pStyle w:val="TOC2"/>
        <w:rPr>
          <w:rFonts w:asciiTheme="minorHAnsi" w:eastAsiaTheme="minorEastAsia" w:hAnsiTheme="minorHAnsi" w:cstheme="minorBidi"/>
          <w:kern w:val="2"/>
          <w:szCs w:val="24"/>
          <w14:ligatures w14:val="standardContextual"/>
        </w:rPr>
      </w:pPr>
      <w:hyperlink w:anchor="_Toc224819630" w:history="1">
        <w:r w:rsidRPr="00FC437C">
          <w:rPr>
            <w:rStyle w:val="Hyperlink"/>
          </w:rPr>
          <w:t>Chapter 15.</w:t>
        </w:r>
        <w:r>
          <w:rPr>
            <w:rFonts w:asciiTheme="minorHAnsi" w:eastAsiaTheme="minorEastAsia" w:hAnsiTheme="minorHAnsi" w:cstheme="minorBidi"/>
            <w:kern w:val="2"/>
            <w:szCs w:val="24"/>
            <w14:ligatures w14:val="standardContextual"/>
          </w:rPr>
          <w:tab/>
        </w:r>
        <w:r w:rsidRPr="00FC437C">
          <w:rPr>
            <w:rStyle w:val="Hyperlink"/>
          </w:rPr>
          <w:t>Timber Harvesting and Receiving Records</w:t>
        </w:r>
        <w:r>
          <w:rPr>
            <w:webHidden/>
          </w:rPr>
          <w:tab/>
        </w:r>
        <w:r>
          <w:rPr>
            <w:webHidden/>
          </w:rPr>
          <w:fldChar w:fldCharType="begin"/>
        </w:r>
        <w:r>
          <w:rPr>
            <w:webHidden/>
          </w:rPr>
          <w:instrText xml:space="preserve"> PAGEREF _Toc224819630 \h </w:instrText>
        </w:r>
        <w:r>
          <w:rPr>
            <w:webHidden/>
          </w:rPr>
        </w:r>
        <w:r>
          <w:rPr>
            <w:webHidden/>
          </w:rPr>
          <w:fldChar w:fldCharType="separate"/>
        </w:r>
        <w:r w:rsidR="00AA17AB">
          <w:rPr>
            <w:webHidden/>
          </w:rPr>
          <w:t>450</w:t>
        </w:r>
        <w:r>
          <w:rPr>
            <w:webHidden/>
          </w:rPr>
          <w:fldChar w:fldCharType="end"/>
        </w:r>
      </w:hyperlink>
    </w:p>
    <w:p w14:paraId="3B938F90" w14:textId="50C5248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1" w:history="1">
        <w:r w:rsidRPr="00FC437C">
          <w:rPr>
            <w:rStyle w:val="Hyperlink"/>
            <w:rFonts w:eastAsia="Calibri"/>
          </w:rPr>
          <w:t>§1500.</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Definitions</w:t>
        </w:r>
        <w:r>
          <w:rPr>
            <w:webHidden/>
          </w:rPr>
          <w:tab/>
        </w:r>
        <w:r>
          <w:rPr>
            <w:webHidden/>
          </w:rPr>
          <w:fldChar w:fldCharType="begin"/>
        </w:r>
        <w:r>
          <w:rPr>
            <w:webHidden/>
          </w:rPr>
          <w:instrText xml:space="preserve"> PAGEREF _Toc224819631 \h </w:instrText>
        </w:r>
        <w:r>
          <w:rPr>
            <w:webHidden/>
          </w:rPr>
        </w:r>
        <w:r>
          <w:rPr>
            <w:webHidden/>
          </w:rPr>
          <w:fldChar w:fldCharType="separate"/>
        </w:r>
        <w:r w:rsidR="00AA17AB">
          <w:rPr>
            <w:webHidden/>
          </w:rPr>
          <w:t>450</w:t>
        </w:r>
        <w:r>
          <w:rPr>
            <w:webHidden/>
          </w:rPr>
          <w:fldChar w:fldCharType="end"/>
        </w:r>
      </w:hyperlink>
    </w:p>
    <w:p w14:paraId="26F74BA6" w14:textId="49BAC113"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2" w:history="1">
        <w:r w:rsidRPr="00FC437C">
          <w:rPr>
            <w:rStyle w:val="Hyperlink"/>
          </w:rPr>
          <w:t>§1501.</w:t>
        </w:r>
        <w:r>
          <w:rPr>
            <w:rFonts w:asciiTheme="minorHAnsi" w:eastAsiaTheme="minorEastAsia" w:hAnsiTheme="minorHAnsi" w:cstheme="minorBidi"/>
            <w:color w:val="auto"/>
            <w:kern w:val="2"/>
            <w:szCs w:val="24"/>
            <w14:ligatures w14:val="standardContextual"/>
          </w:rPr>
          <w:tab/>
        </w:r>
        <w:r w:rsidRPr="00FC437C">
          <w:rPr>
            <w:rStyle w:val="Hyperlink"/>
          </w:rPr>
          <w:t>Loaders Log: Required Information; Distribution; Maintenance of Records</w:t>
        </w:r>
        <w:r>
          <w:rPr>
            <w:webHidden/>
          </w:rPr>
          <w:tab/>
        </w:r>
        <w:r>
          <w:rPr>
            <w:webHidden/>
          </w:rPr>
          <w:fldChar w:fldCharType="begin"/>
        </w:r>
        <w:r>
          <w:rPr>
            <w:webHidden/>
          </w:rPr>
          <w:instrText xml:space="preserve"> PAGEREF _Toc224819632 \h </w:instrText>
        </w:r>
        <w:r>
          <w:rPr>
            <w:webHidden/>
          </w:rPr>
        </w:r>
        <w:r>
          <w:rPr>
            <w:webHidden/>
          </w:rPr>
          <w:fldChar w:fldCharType="separate"/>
        </w:r>
        <w:r w:rsidR="00AA17AB">
          <w:rPr>
            <w:webHidden/>
          </w:rPr>
          <w:t>451</w:t>
        </w:r>
        <w:r>
          <w:rPr>
            <w:webHidden/>
          </w:rPr>
          <w:fldChar w:fldCharType="end"/>
        </w:r>
      </w:hyperlink>
    </w:p>
    <w:p w14:paraId="781DEBF4" w14:textId="0A3EBCF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3" w:history="1">
        <w:r w:rsidRPr="00FC437C">
          <w:rPr>
            <w:rStyle w:val="Hyperlink"/>
          </w:rPr>
          <w:t>§1503.</w:t>
        </w:r>
        <w:r>
          <w:rPr>
            <w:rFonts w:asciiTheme="minorHAnsi" w:eastAsiaTheme="minorEastAsia" w:hAnsiTheme="minorHAnsi" w:cstheme="minorBidi"/>
            <w:color w:val="auto"/>
            <w:kern w:val="2"/>
            <w:szCs w:val="24"/>
            <w14:ligatures w14:val="standardContextual"/>
          </w:rPr>
          <w:tab/>
        </w:r>
        <w:r w:rsidRPr="00FC437C">
          <w:rPr>
            <w:rStyle w:val="Hyperlink"/>
          </w:rPr>
          <w:t xml:space="preserve">Scale/Load Tickets: Required Information; Distribution; Maintenance of Records; </w:t>
        </w:r>
        <w:r w:rsidR="00ED0600">
          <w:rPr>
            <w:rStyle w:val="Hyperlink"/>
          </w:rPr>
          <w:br/>
        </w:r>
        <w:r w:rsidR="00ED0600">
          <w:rPr>
            <w:rStyle w:val="Hyperlink"/>
          </w:rPr>
          <w:tab/>
        </w:r>
        <w:r w:rsidRPr="00FC437C">
          <w:rPr>
            <w:rStyle w:val="Hyperlink"/>
          </w:rPr>
          <w:t>Electronic Transfer/Driver Cards</w:t>
        </w:r>
        <w:r>
          <w:rPr>
            <w:webHidden/>
          </w:rPr>
          <w:tab/>
        </w:r>
        <w:r>
          <w:rPr>
            <w:webHidden/>
          </w:rPr>
          <w:fldChar w:fldCharType="begin"/>
        </w:r>
        <w:r>
          <w:rPr>
            <w:webHidden/>
          </w:rPr>
          <w:instrText xml:space="preserve"> PAGEREF _Toc224819633 \h </w:instrText>
        </w:r>
        <w:r>
          <w:rPr>
            <w:webHidden/>
          </w:rPr>
        </w:r>
        <w:r>
          <w:rPr>
            <w:webHidden/>
          </w:rPr>
          <w:fldChar w:fldCharType="separate"/>
        </w:r>
        <w:r w:rsidR="00AA17AB">
          <w:rPr>
            <w:webHidden/>
          </w:rPr>
          <w:t>451</w:t>
        </w:r>
        <w:r>
          <w:rPr>
            <w:webHidden/>
          </w:rPr>
          <w:fldChar w:fldCharType="end"/>
        </w:r>
      </w:hyperlink>
    </w:p>
    <w:p w14:paraId="2EF1E8E0" w14:textId="1343FD9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4" w:history="1">
        <w:r w:rsidRPr="00FC437C">
          <w:rPr>
            <w:rStyle w:val="Hyperlink"/>
          </w:rPr>
          <w:t>§1505.</w:t>
        </w:r>
        <w:r>
          <w:rPr>
            <w:rFonts w:asciiTheme="minorHAnsi" w:eastAsiaTheme="minorEastAsia" w:hAnsiTheme="minorHAnsi" w:cstheme="minorBidi"/>
            <w:color w:val="auto"/>
            <w:kern w:val="2"/>
            <w:szCs w:val="24"/>
            <w14:ligatures w14:val="standardContextual"/>
          </w:rPr>
          <w:tab/>
        </w:r>
        <w:r w:rsidRPr="00FC437C">
          <w:rPr>
            <w:rStyle w:val="Hyperlink"/>
          </w:rPr>
          <w:t>Access Requirements</w:t>
        </w:r>
        <w:r>
          <w:rPr>
            <w:webHidden/>
          </w:rPr>
          <w:tab/>
        </w:r>
        <w:r>
          <w:rPr>
            <w:webHidden/>
          </w:rPr>
          <w:fldChar w:fldCharType="begin"/>
        </w:r>
        <w:r>
          <w:rPr>
            <w:webHidden/>
          </w:rPr>
          <w:instrText xml:space="preserve"> PAGEREF _Toc224819634 \h </w:instrText>
        </w:r>
        <w:r>
          <w:rPr>
            <w:webHidden/>
          </w:rPr>
        </w:r>
        <w:r>
          <w:rPr>
            <w:webHidden/>
          </w:rPr>
          <w:fldChar w:fldCharType="separate"/>
        </w:r>
        <w:r w:rsidR="00AA17AB">
          <w:rPr>
            <w:webHidden/>
          </w:rPr>
          <w:t>452</w:t>
        </w:r>
        <w:r>
          <w:rPr>
            <w:webHidden/>
          </w:rPr>
          <w:fldChar w:fldCharType="end"/>
        </w:r>
      </w:hyperlink>
    </w:p>
    <w:p w14:paraId="117FAF52" w14:textId="6F68EF3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5" w:history="1">
        <w:r w:rsidRPr="00FC437C">
          <w:rPr>
            <w:rStyle w:val="Hyperlink"/>
          </w:rPr>
          <w:t>§1507.</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Timber Harvesting Written Contract or Agreement</w:t>
        </w:r>
        <w:r>
          <w:rPr>
            <w:webHidden/>
          </w:rPr>
          <w:tab/>
        </w:r>
        <w:r>
          <w:rPr>
            <w:webHidden/>
          </w:rPr>
          <w:fldChar w:fldCharType="begin"/>
        </w:r>
        <w:r>
          <w:rPr>
            <w:webHidden/>
          </w:rPr>
          <w:instrText xml:space="preserve"> PAGEREF _Toc224819635 \h </w:instrText>
        </w:r>
        <w:r>
          <w:rPr>
            <w:webHidden/>
          </w:rPr>
        </w:r>
        <w:r>
          <w:rPr>
            <w:webHidden/>
          </w:rPr>
          <w:fldChar w:fldCharType="separate"/>
        </w:r>
        <w:r w:rsidR="00AA17AB">
          <w:rPr>
            <w:webHidden/>
          </w:rPr>
          <w:t>452</w:t>
        </w:r>
        <w:r>
          <w:rPr>
            <w:webHidden/>
          </w:rPr>
          <w:fldChar w:fldCharType="end"/>
        </w:r>
      </w:hyperlink>
    </w:p>
    <w:p w14:paraId="6A759D60" w14:textId="702BBFAF"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6" w:history="1">
        <w:r w:rsidRPr="00FC437C">
          <w:rPr>
            <w:rStyle w:val="Hyperlink"/>
            <w:rFonts w:eastAsia="Calibri"/>
          </w:rPr>
          <w:t>§1509.</w:t>
        </w:r>
        <w:r>
          <w:rPr>
            <w:rFonts w:asciiTheme="minorHAnsi" w:eastAsiaTheme="minorEastAsia" w:hAnsiTheme="minorHAnsi" w:cstheme="minorBidi"/>
            <w:color w:val="auto"/>
            <w:kern w:val="2"/>
            <w:szCs w:val="24"/>
            <w14:ligatures w14:val="standardContextual"/>
          </w:rPr>
          <w:tab/>
        </w:r>
        <w:r w:rsidRPr="00FC437C">
          <w:rPr>
            <w:rStyle w:val="Hyperlink"/>
            <w:rFonts w:eastAsia="Calibri"/>
          </w:rPr>
          <w:t>Penalty for Violations [Formerly §1507]</w:t>
        </w:r>
        <w:r>
          <w:rPr>
            <w:webHidden/>
          </w:rPr>
          <w:tab/>
        </w:r>
        <w:r>
          <w:rPr>
            <w:webHidden/>
          </w:rPr>
          <w:fldChar w:fldCharType="begin"/>
        </w:r>
        <w:r>
          <w:rPr>
            <w:webHidden/>
          </w:rPr>
          <w:instrText xml:space="preserve"> PAGEREF _Toc224819636 \h </w:instrText>
        </w:r>
        <w:r>
          <w:rPr>
            <w:webHidden/>
          </w:rPr>
        </w:r>
        <w:r>
          <w:rPr>
            <w:webHidden/>
          </w:rPr>
          <w:fldChar w:fldCharType="separate"/>
        </w:r>
        <w:r w:rsidR="00AA17AB">
          <w:rPr>
            <w:webHidden/>
          </w:rPr>
          <w:t>453</w:t>
        </w:r>
        <w:r>
          <w:rPr>
            <w:webHidden/>
          </w:rPr>
          <w:fldChar w:fldCharType="end"/>
        </w:r>
      </w:hyperlink>
    </w:p>
    <w:p w14:paraId="3D235BBE" w14:textId="371ADFA2" w:rsidR="00E67799" w:rsidRDefault="00E67799">
      <w:pPr>
        <w:pStyle w:val="TOC1"/>
        <w:rPr>
          <w:rFonts w:asciiTheme="minorHAnsi" w:hAnsiTheme="minorHAnsi" w:cstheme="minorBidi"/>
          <w:b w:val="0"/>
          <w:bCs w:val="0"/>
          <w:sz w:val="24"/>
          <w:szCs w:val="24"/>
        </w:rPr>
      </w:pPr>
      <w:hyperlink w:anchor="_Toc224819637" w:history="1">
        <w:r w:rsidRPr="00FC437C">
          <w:rPr>
            <w:rStyle w:val="Hyperlink"/>
          </w:rPr>
          <w:t>Part XLI.  Soil and Water Conservation</w:t>
        </w:r>
      </w:hyperlink>
    </w:p>
    <w:p w14:paraId="10836922" w14:textId="29257CA9" w:rsidR="00E67799" w:rsidRDefault="00E67799">
      <w:pPr>
        <w:pStyle w:val="TOC2"/>
        <w:rPr>
          <w:rFonts w:asciiTheme="minorHAnsi" w:eastAsiaTheme="minorEastAsia" w:hAnsiTheme="minorHAnsi" w:cstheme="minorBidi"/>
          <w:kern w:val="2"/>
          <w:szCs w:val="24"/>
          <w14:ligatures w14:val="standardContextual"/>
        </w:rPr>
      </w:pPr>
      <w:hyperlink w:anchor="_Toc224819638"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Annual Election for Supervisors</w:t>
        </w:r>
        <w:r>
          <w:rPr>
            <w:webHidden/>
          </w:rPr>
          <w:tab/>
        </w:r>
        <w:r>
          <w:rPr>
            <w:webHidden/>
          </w:rPr>
          <w:fldChar w:fldCharType="begin"/>
        </w:r>
        <w:r>
          <w:rPr>
            <w:webHidden/>
          </w:rPr>
          <w:instrText xml:space="preserve"> PAGEREF _Toc224819638 \h </w:instrText>
        </w:r>
        <w:r>
          <w:rPr>
            <w:webHidden/>
          </w:rPr>
        </w:r>
        <w:r>
          <w:rPr>
            <w:webHidden/>
          </w:rPr>
          <w:fldChar w:fldCharType="separate"/>
        </w:r>
        <w:r w:rsidR="00AA17AB">
          <w:rPr>
            <w:webHidden/>
          </w:rPr>
          <w:t>455</w:t>
        </w:r>
        <w:r>
          <w:rPr>
            <w:webHidden/>
          </w:rPr>
          <w:fldChar w:fldCharType="end"/>
        </w:r>
      </w:hyperlink>
    </w:p>
    <w:p w14:paraId="1C65006A" w14:textId="204C339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39"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Electing One Soil and Water Conservation District Supervisor</w:t>
        </w:r>
        <w:r>
          <w:rPr>
            <w:webHidden/>
          </w:rPr>
          <w:tab/>
        </w:r>
        <w:r>
          <w:rPr>
            <w:webHidden/>
          </w:rPr>
          <w:fldChar w:fldCharType="begin"/>
        </w:r>
        <w:r>
          <w:rPr>
            <w:webHidden/>
          </w:rPr>
          <w:instrText xml:space="preserve"> PAGEREF _Toc224819639 \h </w:instrText>
        </w:r>
        <w:r>
          <w:rPr>
            <w:webHidden/>
          </w:rPr>
        </w:r>
        <w:r>
          <w:rPr>
            <w:webHidden/>
          </w:rPr>
          <w:fldChar w:fldCharType="separate"/>
        </w:r>
        <w:r w:rsidR="00AA17AB">
          <w:rPr>
            <w:webHidden/>
          </w:rPr>
          <w:t>455</w:t>
        </w:r>
        <w:r>
          <w:rPr>
            <w:webHidden/>
          </w:rPr>
          <w:fldChar w:fldCharType="end"/>
        </w:r>
      </w:hyperlink>
    </w:p>
    <w:p w14:paraId="69CDABC9" w14:textId="7454920C" w:rsidR="00E67799" w:rsidRDefault="00E67799">
      <w:pPr>
        <w:pStyle w:val="TOC2"/>
        <w:rPr>
          <w:rFonts w:asciiTheme="minorHAnsi" w:eastAsiaTheme="minorEastAsia" w:hAnsiTheme="minorHAnsi" w:cstheme="minorBidi"/>
          <w:kern w:val="2"/>
          <w:szCs w:val="24"/>
          <w14:ligatures w14:val="standardContextual"/>
        </w:rPr>
      </w:pPr>
      <w:hyperlink w:anchor="_Toc224819640" w:history="1">
        <w:r w:rsidRPr="00FC437C">
          <w:rPr>
            <w:rStyle w:val="Hyperlink"/>
          </w:rPr>
          <w:t>Chapter 3.</w:t>
        </w:r>
        <w:r>
          <w:rPr>
            <w:rFonts w:asciiTheme="minorHAnsi" w:eastAsiaTheme="minorEastAsia" w:hAnsiTheme="minorHAnsi" w:cstheme="minorBidi"/>
            <w:kern w:val="2"/>
            <w:szCs w:val="24"/>
            <w14:ligatures w14:val="standardContextual"/>
          </w:rPr>
          <w:tab/>
        </w:r>
        <w:r w:rsidRPr="00FC437C">
          <w:rPr>
            <w:rStyle w:val="Hyperlink"/>
          </w:rPr>
          <w:t>Master Farmer Certification</w:t>
        </w:r>
        <w:r>
          <w:rPr>
            <w:webHidden/>
          </w:rPr>
          <w:tab/>
        </w:r>
        <w:r>
          <w:rPr>
            <w:webHidden/>
          </w:rPr>
          <w:fldChar w:fldCharType="begin"/>
        </w:r>
        <w:r>
          <w:rPr>
            <w:webHidden/>
          </w:rPr>
          <w:instrText xml:space="preserve"> PAGEREF _Toc224819640 \h </w:instrText>
        </w:r>
        <w:r>
          <w:rPr>
            <w:webHidden/>
          </w:rPr>
        </w:r>
        <w:r>
          <w:rPr>
            <w:webHidden/>
          </w:rPr>
          <w:fldChar w:fldCharType="separate"/>
        </w:r>
        <w:r w:rsidR="00AA17AB">
          <w:rPr>
            <w:webHidden/>
          </w:rPr>
          <w:t>456</w:t>
        </w:r>
        <w:r>
          <w:rPr>
            <w:webHidden/>
          </w:rPr>
          <w:fldChar w:fldCharType="end"/>
        </w:r>
      </w:hyperlink>
    </w:p>
    <w:p w14:paraId="12443097" w14:textId="52606DA6"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1" w:history="1">
        <w:r w:rsidRPr="00FC437C">
          <w:rPr>
            <w:rStyle w:val="Hyperlink"/>
          </w:rPr>
          <w:t>§301.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_Toc224819641 \h </w:instrText>
        </w:r>
        <w:r>
          <w:rPr>
            <w:webHidden/>
          </w:rPr>
        </w:r>
        <w:r>
          <w:rPr>
            <w:webHidden/>
          </w:rPr>
          <w:fldChar w:fldCharType="separate"/>
        </w:r>
        <w:r w:rsidR="00AA17AB">
          <w:rPr>
            <w:webHidden/>
          </w:rPr>
          <w:t>456</w:t>
        </w:r>
        <w:r>
          <w:rPr>
            <w:webHidden/>
          </w:rPr>
          <w:fldChar w:fldCharType="end"/>
        </w:r>
      </w:hyperlink>
    </w:p>
    <w:p w14:paraId="5D08B9EA" w14:textId="41A00EF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2" w:history="1">
        <w:r w:rsidRPr="00FC437C">
          <w:rPr>
            <w:rStyle w:val="Hyperlink"/>
          </w:rPr>
          <w:t>§303.</w:t>
        </w:r>
        <w:r>
          <w:rPr>
            <w:rFonts w:asciiTheme="minorHAnsi" w:eastAsiaTheme="minorEastAsia" w:hAnsiTheme="minorHAnsi" w:cstheme="minorBidi"/>
            <w:color w:val="auto"/>
            <w:kern w:val="2"/>
            <w:szCs w:val="24"/>
            <w14:ligatures w14:val="standardContextual"/>
          </w:rPr>
          <w:tab/>
        </w:r>
        <w:r w:rsidRPr="00FC437C">
          <w:rPr>
            <w:rStyle w:val="Hyperlink"/>
          </w:rPr>
          <w:t>Application for Master Farmer Certification</w:t>
        </w:r>
        <w:r>
          <w:rPr>
            <w:webHidden/>
          </w:rPr>
          <w:tab/>
        </w:r>
        <w:r>
          <w:rPr>
            <w:webHidden/>
          </w:rPr>
          <w:fldChar w:fldCharType="begin"/>
        </w:r>
        <w:r>
          <w:rPr>
            <w:webHidden/>
          </w:rPr>
          <w:instrText xml:space="preserve"> PAGEREF _Toc224819642 \h </w:instrText>
        </w:r>
        <w:r>
          <w:rPr>
            <w:webHidden/>
          </w:rPr>
        </w:r>
        <w:r>
          <w:rPr>
            <w:webHidden/>
          </w:rPr>
          <w:fldChar w:fldCharType="separate"/>
        </w:r>
        <w:r w:rsidR="00AA17AB">
          <w:rPr>
            <w:webHidden/>
          </w:rPr>
          <w:t>456</w:t>
        </w:r>
        <w:r>
          <w:rPr>
            <w:webHidden/>
          </w:rPr>
          <w:fldChar w:fldCharType="end"/>
        </w:r>
      </w:hyperlink>
    </w:p>
    <w:p w14:paraId="32D13487" w14:textId="175F724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3" w:history="1">
        <w:r w:rsidRPr="00FC437C">
          <w:rPr>
            <w:rStyle w:val="Hyperlink"/>
          </w:rPr>
          <w:t>§305.</w:t>
        </w:r>
        <w:r>
          <w:rPr>
            <w:rFonts w:asciiTheme="minorHAnsi" w:eastAsiaTheme="minorEastAsia" w:hAnsiTheme="minorHAnsi" w:cstheme="minorBidi"/>
            <w:color w:val="auto"/>
            <w:kern w:val="2"/>
            <w:szCs w:val="24"/>
            <w14:ligatures w14:val="standardContextual"/>
          </w:rPr>
          <w:tab/>
        </w:r>
        <w:r w:rsidRPr="00FC437C">
          <w:rPr>
            <w:rStyle w:val="Hyperlink"/>
          </w:rPr>
          <w:t>Issuance of Master Farmer Certification</w:t>
        </w:r>
        <w:r>
          <w:rPr>
            <w:webHidden/>
          </w:rPr>
          <w:tab/>
        </w:r>
        <w:r>
          <w:rPr>
            <w:webHidden/>
          </w:rPr>
          <w:fldChar w:fldCharType="begin"/>
        </w:r>
        <w:r>
          <w:rPr>
            <w:webHidden/>
          </w:rPr>
          <w:instrText xml:space="preserve"> PAGEREF _Toc224819643 \h </w:instrText>
        </w:r>
        <w:r>
          <w:rPr>
            <w:webHidden/>
          </w:rPr>
        </w:r>
        <w:r>
          <w:rPr>
            <w:webHidden/>
          </w:rPr>
          <w:fldChar w:fldCharType="separate"/>
        </w:r>
        <w:r w:rsidR="00AA17AB">
          <w:rPr>
            <w:webHidden/>
          </w:rPr>
          <w:t>457</w:t>
        </w:r>
        <w:r>
          <w:rPr>
            <w:webHidden/>
          </w:rPr>
          <w:fldChar w:fldCharType="end"/>
        </w:r>
      </w:hyperlink>
    </w:p>
    <w:p w14:paraId="1ED8F5D0" w14:textId="618F261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4" w:history="1">
        <w:r w:rsidRPr="00FC437C">
          <w:rPr>
            <w:rStyle w:val="Hyperlink"/>
          </w:rPr>
          <w:t>§307.</w:t>
        </w:r>
        <w:r>
          <w:rPr>
            <w:rFonts w:asciiTheme="minorHAnsi" w:eastAsiaTheme="minorEastAsia" w:hAnsiTheme="minorHAnsi" w:cstheme="minorBidi"/>
            <w:color w:val="auto"/>
            <w:kern w:val="2"/>
            <w:szCs w:val="24"/>
            <w14:ligatures w14:val="standardContextual"/>
          </w:rPr>
          <w:tab/>
        </w:r>
        <w:r w:rsidRPr="00FC437C">
          <w:rPr>
            <w:rStyle w:val="Hyperlink"/>
          </w:rPr>
          <w:t>Cancellation of Master Farmer Certification</w:t>
        </w:r>
        <w:r>
          <w:rPr>
            <w:webHidden/>
          </w:rPr>
          <w:tab/>
        </w:r>
        <w:r>
          <w:rPr>
            <w:webHidden/>
          </w:rPr>
          <w:fldChar w:fldCharType="begin"/>
        </w:r>
        <w:r>
          <w:rPr>
            <w:webHidden/>
          </w:rPr>
          <w:instrText xml:space="preserve"> PAGEREF _Toc224819644 \h </w:instrText>
        </w:r>
        <w:r>
          <w:rPr>
            <w:webHidden/>
          </w:rPr>
        </w:r>
        <w:r>
          <w:rPr>
            <w:webHidden/>
          </w:rPr>
          <w:fldChar w:fldCharType="separate"/>
        </w:r>
        <w:r w:rsidR="00AA17AB">
          <w:rPr>
            <w:webHidden/>
          </w:rPr>
          <w:t>457</w:t>
        </w:r>
        <w:r>
          <w:rPr>
            <w:webHidden/>
          </w:rPr>
          <w:fldChar w:fldCharType="end"/>
        </w:r>
      </w:hyperlink>
    </w:p>
    <w:p w14:paraId="045AED14" w14:textId="72A4F710" w:rsidR="00E67799" w:rsidRDefault="00E67799">
      <w:pPr>
        <w:pStyle w:val="TOC1"/>
        <w:rPr>
          <w:rFonts w:asciiTheme="minorHAnsi" w:hAnsiTheme="minorHAnsi" w:cstheme="minorBidi"/>
          <w:b w:val="0"/>
          <w:bCs w:val="0"/>
          <w:sz w:val="24"/>
          <w:szCs w:val="24"/>
        </w:rPr>
      </w:pPr>
      <w:hyperlink w:anchor="_Toc224819645" w:history="1">
        <w:r w:rsidRPr="00FC437C">
          <w:rPr>
            <w:rStyle w:val="Hyperlink"/>
          </w:rPr>
          <w:t>Part XLIII.  Organic Farming</w:t>
        </w:r>
      </w:hyperlink>
    </w:p>
    <w:p w14:paraId="2F45DACE" w14:textId="2671ACE7" w:rsidR="00E67799" w:rsidRDefault="00E67799">
      <w:pPr>
        <w:pStyle w:val="TOC2"/>
        <w:rPr>
          <w:rFonts w:asciiTheme="minorHAnsi" w:eastAsiaTheme="minorEastAsia" w:hAnsiTheme="minorHAnsi" w:cstheme="minorBidi"/>
          <w:kern w:val="2"/>
          <w:szCs w:val="24"/>
          <w14:ligatures w14:val="standardContextual"/>
        </w:rPr>
      </w:pPr>
      <w:hyperlink w:anchor="_Toc224819646"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Organic Certification Program</w:t>
        </w:r>
        <w:r>
          <w:rPr>
            <w:webHidden/>
          </w:rPr>
          <w:tab/>
        </w:r>
        <w:r>
          <w:rPr>
            <w:webHidden/>
          </w:rPr>
          <w:fldChar w:fldCharType="begin"/>
        </w:r>
        <w:r>
          <w:rPr>
            <w:webHidden/>
          </w:rPr>
          <w:instrText xml:space="preserve"> PAGEREF _Toc224819646 \h </w:instrText>
        </w:r>
        <w:r>
          <w:rPr>
            <w:webHidden/>
          </w:rPr>
        </w:r>
        <w:r>
          <w:rPr>
            <w:webHidden/>
          </w:rPr>
          <w:fldChar w:fldCharType="separate"/>
        </w:r>
        <w:r w:rsidR="00AA17AB">
          <w:rPr>
            <w:webHidden/>
          </w:rPr>
          <w:t>459</w:t>
        </w:r>
        <w:r>
          <w:rPr>
            <w:webHidden/>
          </w:rPr>
          <w:fldChar w:fldCharType="end"/>
        </w:r>
      </w:hyperlink>
    </w:p>
    <w:p w14:paraId="25E7CFB4" w14:textId="734BCDC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7"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Organic Certification</w:t>
        </w:r>
        <w:r>
          <w:rPr>
            <w:webHidden/>
          </w:rPr>
          <w:tab/>
        </w:r>
        <w:r>
          <w:rPr>
            <w:webHidden/>
          </w:rPr>
          <w:fldChar w:fldCharType="begin"/>
        </w:r>
        <w:r>
          <w:rPr>
            <w:webHidden/>
          </w:rPr>
          <w:instrText xml:space="preserve"> PAGEREF _Toc224819647 \h </w:instrText>
        </w:r>
        <w:r>
          <w:rPr>
            <w:webHidden/>
          </w:rPr>
        </w:r>
        <w:r>
          <w:rPr>
            <w:webHidden/>
          </w:rPr>
          <w:fldChar w:fldCharType="separate"/>
        </w:r>
        <w:r w:rsidR="00AA17AB">
          <w:rPr>
            <w:webHidden/>
          </w:rPr>
          <w:t>459</w:t>
        </w:r>
        <w:r>
          <w:rPr>
            <w:webHidden/>
          </w:rPr>
          <w:fldChar w:fldCharType="end"/>
        </w:r>
      </w:hyperlink>
    </w:p>
    <w:p w14:paraId="4917EF14" w14:textId="6BB357D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48"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Organic Certification Fees</w:t>
        </w:r>
        <w:r>
          <w:rPr>
            <w:webHidden/>
          </w:rPr>
          <w:tab/>
        </w:r>
        <w:r>
          <w:rPr>
            <w:webHidden/>
          </w:rPr>
          <w:fldChar w:fldCharType="begin"/>
        </w:r>
        <w:r>
          <w:rPr>
            <w:webHidden/>
          </w:rPr>
          <w:instrText xml:space="preserve"> PAGEREF _Toc224819648 \h </w:instrText>
        </w:r>
        <w:r>
          <w:rPr>
            <w:webHidden/>
          </w:rPr>
        </w:r>
        <w:r>
          <w:rPr>
            <w:webHidden/>
          </w:rPr>
          <w:fldChar w:fldCharType="separate"/>
        </w:r>
        <w:r w:rsidR="00AA17AB">
          <w:rPr>
            <w:webHidden/>
          </w:rPr>
          <w:t>459</w:t>
        </w:r>
        <w:r>
          <w:rPr>
            <w:webHidden/>
          </w:rPr>
          <w:fldChar w:fldCharType="end"/>
        </w:r>
      </w:hyperlink>
    </w:p>
    <w:p w14:paraId="363B9F11" w14:textId="4B941746" w:rsidR="00E67799" w:rsidRDefault="00E67799">
      <w:pPr>
        <w:pStyle w:val="TOC1"/>
        <w:rPr>
          <w:rFonts w:asciiTheme="minorHAnsi" w:hAnsiTheme="minorHAnsi" w:cstheme="minorBidi"/>
          <w:b w:val="0"/>
          <w:bCs w:val="0"/>
          <w:sz w:val="24"/>
          <w:szCs w:val="24"/>
        </w:rPr>
      </w:pPr>
      <w:hyperlink w:anchor="_Toc224819649" w:history="1">
        <w:r w:rsidRPr="00FC437C">
          <w:rPr>
            <w:rStyle w:val="Hyperlink"/>
          </w:rPr>
          <w:t>Part XLV.  Agritourism</w:t>
        </w:r>
      </w:hyperlink>
    </w:p>
    <w:p w14:paraId="28522FFC" w14:textId="2EC71721" w:rsidR="00E67799" w:rsidRDefault="00E67799">
      <w:pPr>
        <w:pStyle w:val="TOC2"/>
        <w:rPr>
          <w:rFonts w:asciiTheme="minorHAnsi" w:eastAsiaTheme="minorEastAsia" w:hAnsiTheme="minorHAnsi" w:cstheme="minorBidi"/>
          <w:kern w:val="2"/>
          <w:szCs w:val="24"/>
          <w14:ligatures w14:val="standardContextual"/>
        </w:rPr>
      </w:pPr>
      <w:hyperlink w:anchor="_Toc224819650"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Agritourism Activities;  Plans of Operation</w:t>
        </w:r>
        <w:r>
          <w:rPr>
            <w:webHidden/>
          </w:rPr>
          <w:tab/>
        </w:r>
        <w:r>
          <w:rPr>
            <w:webHidden/>
          </w:rPr>
          <w:fldChar w:fldCharType="begin"/>
        </w:r>
        <w:r>
          <w:rPr>
            <w:webHidden/>
          </w:rPr>
          <w:instrText xml:space="preserve"> PAGEREF _Toc224819650 \h </w:instrText>
        </w:r>
        <w:r>
          <w:rPr>
            <w:webHidden/>
          </w:rPr>
        </w:r>
        <w:r>
          <w:rPr>
            <w:webHidden/>
          </w:rPr>
          <w:fldChar w:fldCharType="separate"/>
        </w:r>
        <w:r w:rsidR="00AA17AB">
          <w:rPr>
            <w:webHidden/>
          </w:rPr>
          <w:t>461</w:t>
        </w:r>
        <w:r>
          <w:rPr>
            <w:webHidden/>
          </w:rPr>
          <w:fldChar w:fldCharType="end"/>
        </w:r>
      </w:hyperlink>
    </w:p>
    <w:p w14:paraId="7407A418" w14:textId="6FF833E4"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1"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_Toc224819651 \h </w:instrText>
        </w:r>
        <w:r>
          <w:rPr>
            <w:webHidden/>
          </w:rPr>
        </w:r>
        <w:r>
          <w:rPr>
            <w:webHidden/>
          </w:rPr>
          <w:fldChar w:fldCharType="separate"/>
        </w:r>
        <w:r w:rsidR="00AA17AB">
          <w:rPr>
            <w:webHidden/>
          </w:rPr>
          <w:t>461</w:t>
        </w:r>
        <w:r>
          <w:rPr>
            <w:webHidden/>
          </w:rPr>
          <w:fldChar w:fldCharType="end"/>
        </w:r>
      </w:hyperlink>
    </w:p>
    <w:p w14:paraId="642F2CD8" w14:textId="2B7C43B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2"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Agritourism Activities</w:t>
        </w:r>
        <w:r>
          <w:rPr>
            <w:webHidden/>
          </w:rPr>
          <w:tab/>
        </w:r>
        <w:r>
          <w:rPr>
            <w:webHidden/>
          </w:rPr>
          <w:fldChar w:fldCharType="begin"/>
        </w:r>
        <w:r>
          <w:rPr>
            <w:webHidden/>
          </w:rPr>
          <w:instrText xml:space="preserve"> PAGEREF _Toc224819652 \h </w:instrText>
        </w:r>
        <w:r>
          <w:rPr>
            <w:webHidden/>
          </w:rPr>
        </w:r>
        <w:r>
          <w:rPr>
            <w:webHidden/>
          </w:rPr>
          <w:fldChar w:fldCharType="separate"/>
        </w:r>
        <w:r w:rsidR="00AA17AB">
          <w:rPr>
            <w:webHidden/>
          </w:rPr>
          <w:t>461</w:t>
        </w:r>
        <w:r>
          <w:rPr>
            <w:webHidden/>
          </w:rPr>
          <w:fldChar w:fldCharType="end"/>
        </w:r>
      </w:hyperlink>
    </w:p>
    <w:p w14:paraId="00D84BB1" w14:textId="69F1326B"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3"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Procedure for Submission of Plan of Operation</w:t>
        </w:r>
        <w:r>
          <w:rPr>
            <w:webHidden/>
          </w:rPr>
          <w:tab/>
        </w:r>
        <w:r>
          <w:rPr>
            <w:webHidden/>
          </w:rPr>
          <w:fldChar w:fldCharType="begin"/>
        </w:r>
        <w:r>
          <w:rPr>
            <w:webHidden/>
          </w:rPr>
          <w:instrText xml:space="preserve"> PAGEREF _Toc224819653 \h </w:instrText>
        </w:r>
        <w:r>
          <w:rPr>
            <w:webHidden/>
          </w:rPr>
        </w:r>
        <w:r>
          <w:rPr>
            <w:webHidden/>
          </w:rPr>
          <w:fldChar w:fldCharType="separate"/>
        </w:r>
        <w:r w:rsidR="00AA17AB">
          <w:rPr>
            <w:webHidden/>
          </w:rPr>
          <w:t>462</w:t>
        </w:r>
        <w:r>
          <w:rPr>
            <w:webHidden/>
          </w:rPr>
          <w:fldChar w:fldCharType="end"/>
        </w:r>
      </w:hyperlink>
    </w:p>
    <w:p w14:paraId="04DC6406" w14:textId="4E903BDD"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4" w:history="1">
        <w:r w:rsidRPr="00FC437C">
          <w:rPr>
            <w:rStyle w:val="Hyperlink"/>
            <w:bdr w:val="none" w:sz="0" w:space="0" w:color="auto" w:frame="1"/>
            <w:shd w:val="clear" w:color="auto" w:fill="FFFFFF"/>
          </w:rPr>
          <w:t>§107.</w:t>
        </w:r>
        <w:r>
          <w:rPr>
            <w:rFonts w:asciiTheme="minorHAnsi" w:eastAsiaTheme="minorEastAsia" w:hAnsiTheme="minorHAnsi" w:cstheme="minorBidi"/>
            <w:color w:val="auto"/>
            <w:kern w:val="2"/>
            <w:szCs w:val="24"/>
            <w14:ligatures w14:val="standardContextual"/>
          </w:rPr>
          <w:tab/>
        </w:r>
        <w:r w:rsidRPr="00FC437C">
          <w:rPr>
            <w:rStyle w:val="Hyperlink"/>
            <w:bdr w:val="none" w:sz="0" w:space="0" w:color="auto" w:frame="1"/>
            <w:shd w:val="clear" w:color="auto" w:fill="FFFFFF"/>
          </w:rPr>
          <w:t>Issuance of Certificate</w:t>
        </w:r>
        <w:r>
          <w:rPr>
            <w:webHidden/>
          </w:rPr>
          <w:tab/>
        </w:r>
        <w:r>
          <w:rPr>
            <w:webHidden/>
          </w:rPr>
          <w:fldChar w:fldCharType="begin"/>
        </w:r>
        <w:r>
          <w:rPr>
            <w:webHidden/>
          </w:rPr>
          <w:instrText xml:space="preserve"> PAGEREF _Toc224819654 \h </w:instrText>
        </w:r>
        <w:r>
          <w:rPr>
            <w:webHidden/>
          </w:rPr>
        </w:r>
        <w:r>
          <w:rPr>
            <w:webHidden/>
          </w:rPr>
          <w:fldChar w:fldCharType="separate"/>
        </w:r>
        <w:r w:rsidR="00AA17AB">
          <w:rPr>
            <w:webHidden/>
          </w:rPr>
          <w:t>462</w:t>
        </w:r>
        <w:r>
          <w:rPr>
            <w:webHidden/>
          </w:rPr>
          <w:fldChar w:fldCharType="end"/>
        </w:r>
      </w:hyperlink>
    </w:p>
    <w:p w14:paraId="15F5FFCB" w14:textId="404C60C3" w:rsidR="00E67799" w:rsidRDefault="00E67799">
      <w:pPr>
        <w:pStyle w:val="TOC1"/>
        <w:rPr>
          <w:rFonts w:asciiTheme="minorHAnsi" w:hAnsiTheme="minorHAnsi" w:cstheme="minorBidi"/>
          <w:b w:val="0"/>
          <w:bCs w:val="0"/>
          <w:sz w:val="24"/>
          <w:szCs w:val="24"/>
        </w:rPr>
      </w:pPr>
      <w:hyperlink w:anchor="_Toc224819655" w:history="1">
        <w:r w:rsidRPr="00FC437C">
          <w:rPr>
            <w:rStyle w:val="Hyperlink"/>
          </w:rPr>
          <w:t>Part XLVII.  Railroad Crossings</w:t>
        </w:r>
        <w:r w:rsidRPr="00FC437C">
          <w:rPr>
            <w:rStyle w:val="Hyperlink"/>
          </w:rPr>
          <w:sym w:font="Symbol" w:char="F0BE"/>
        </w:r>
        <w:r w:rsidRPr="00FC437C">
          <w:rPr>
            <w:rStyle w:val="Hyperlink"/>
          </w:rPr>
          <w:t>Agricultural and Private Rural Residence</w:t>
        </w:r>
      </w:hyperlink>
    </w:p>
    <w:p w14:paraId="1962C3E8" w14:textId="7E0BA0AA" w:rsidR="00E67799" w:rsidRDefault="00E67799">
      <w:pPr>
        <w:pStyle w:val="TOC2"/>
        <w:rPr>
          <w:rFonts w:asciiTheme="minorHAnsi" w:eastAsiaTheme="minorEastAsia" w:hAnsiTheme="minorHAnsi" w:cstheme="minorBidi"/>
          <w:kern w:val="2"/>
          <w:szCs w:val="24"/>
          <w14:ligatures w14:val="standardContextual"/>
        </w:rPr>
      </w:pPr>
      <w:hyperlink w:anchor="_Toc224819656" w:history="1">
        <w:r w:rsidRPr="00FC437C">
          <w:rPr>
            <w:rStyle w:val="Hyperlink"/>
          </w:rPr>
          <w:t>Chapter 1.</w:t>
        </w:r>
        <w:r>
          <w:rPr>
            <w:rFonts w:asciiTheme="minorHAnsi" w:eastAsiaTheme="minorEastAsia" w:hAnsiTheme="minorHAnsi" w:cstheme="minorBidi"/>
            <w:kern w:val="2"/>
            <w:szCs w:val="24"/>
            <w14:ligatures w14:val="standardContextual"/>
          </w:rPr>
          <w:tab/>
        </w:r>
        <w:r w:rsidRPr="00FC437C">
          <w:rPr>
            <w:rStyle w:val="Hyperlink"/>
          </w:rPr>
          <w:t>Railways</w:t>
        </w:r>
        <w:r w:rsidRPr="00FC437C">
          <w:rPr>
            <w:rStyle w:val="Hyperlink"/>
          </w:rPr>
          <w:sym w:font="Symbol" w:char="F0BE"/>
        </w:r>
        <w:r w:rsidRPr="00FC437C">
          <w:rPr>
            <w:rStyle w:val="Hyperlink"/>
          </w:rPr>
          <w:t>Access Over Right-of-Way</w:t>
        </w:r>
        <w:r>
          <w:rPr>
            <w:webHidden/>
          </w:rPr>
          <w:tab/>
        </w:r>
        <w:r>
          <w:rPr>
            <w:webHidden/>
          </w:rPr>
          <w:fldChar w:fldCharType="begin"/>
        </w:r>
        <w:r>
          <w:rPr>
            <w:webHidden/>
          </w:rPr>
          <w:instrText xml:space="preserve"> PAGEREF _Toc224819656 \h </w:instrText>
        </w:r>
        <w:r>
          <w:rPr>
            <w:webHidden/>
          </w:rPr>
        </w:r>
        <w:r>
          <w:rPr>
            <w:webHidden/>
          </w:rPr>
          <w:fldChar w:fldCharType="separate"/>
        </w:r>
        <w:r w:rsidR="00AA17AB">
          <w:rPr>
            <w:webHidden/>
          </w:rPr>
          <w:t>463</w:t>
        </w:r>
        <w:r>
          <w:rPr>
            <w:webHidden/>
          </w:rPr>
          <w:fldChar w:fldCharType="end"/>
        </w:r>
      </w:hyperlink>
    </w:p>
    <w:p w14:paraId="7D02557A" w14:textId="185FBB3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7" w:history="1">
        <w:r w:rsidRPr="00FC437C">
          <w:rPr>
            <w:rStyle w:val="Hyperlink"/>
          </w:rPr>
          <w:t>§101.</w:t>
        </w:r>
        <w:r>
          <w:rPr>
            <w:rFonts w:asciiTheme="minorHAnsi" w:eastAsiaTheme="minorEastAsia" w:hAnsiTheme="minorHAnsi" w:cstheme="minorBidi"/>
            <w:color w:val="auto"/>
            <w:kern w:val="2"/>
            <w:szCs w:val="24"/>
            <w14:ligatures w14:val="standardContextual"/>
          </w:rPr>
          <w:tab/>
        </w:r>
        <w:r w:rsidRPr="00FC437C">
          <w:rPr>
            <w:rStyle w:val="Hyperlink"/>
          </w:rPr>
          <w:t>Definitions</w:t>
        </w:r>
        <w:r>
          <w:rPr>
            <w:webHidden/>
          </w:rPr>
          <w:tab/>
        </w:r>
        <w:r>
          <w:rPr>
            <w:webHidden/>
          </w:rPr>
          <w:fldChar w:fldCharType="begin"/>
        </w:r>
        <w:r>
          <w:rPr>
            <w:webHidden/>
          </w:rPr>
          <w:instrText xml:space="preserve"> PAGEREF _Toc224819657 \h </w:instrText>
        </w:r>
        <w:r>
          <w:rPr>
            <w:webHidden/>
          </w:rPr>
        </w:r>
        <w:r>
          <w:rPr>
            <w:webHidden/>
          </w:rPr>
          <w:fldChar w:fldCharType="separate"/>
        </w:r>
        <w:r w:rsidR="00AA17AB">
          <w:rPr>
            <w:webHidden/>
          </w:rPr>
          <w:t>463</w:t>
        </w:r>
        <w:r>
          <w:rPr>
            <w:webHidden/>
          </w:rPr>
          <w:fldChar w:fldCharType="end"/>
        </w:r>
      </w:hyperlink>
    </w:p>
    <w:p w14:paraId="5D96368A" w14:textId="4179591C"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8" w:history="1">
        <w:r w:rsidRPr="00FC437C">
          <w:rPr>
            <w:rStyle w:val="Hyperlink"/>
          </w:rPr>
          <w:t>§103.</w:t>
        </w:r>
        <w:r>
          <w:rPr>
            <w:rFonts w:asciiTheme="minorHAnsi" w:eastAsiaTheme="minorEastAsia" w:hAnsiTheme="minorHAnsi" w:cstheme="minorBidi"/>
            <w:color w:val="auto"/>
            <w:kern w:val="2"/>
            <w:szCs w:val="24"/>
            <w14:ligatures w14:val="standardContextual"/>
          </w:rPr>
          <w:tab/>
        </w:r>
        <w:r w:rsidRPr="00FC437C">
          <w:rPr>
            <w:rStyle w:val="Hyperlink"/>
          </w:rPr>
          <w:t>Authority of the Commissioner</w:t>
        </w:r>
        <w:r>
          <w:rPr>
            <w:webHidden/>
          </w:rPr>
          <w:tab/>
        </w:r>
        <w:r>
          <w:rPr>
            <w:webHidden/>
          </w:rPr>
          <w:fldChar w:fldCharType="begin"/>
        </w:r>
        <w:r>
          <w:rPr>
            <w:webHidden/>
          </w:rPr>
          <w:instrText xml:space="preserve"> PAGEREF _Toc224819658 \h </w:instrText>
        </w:r>
        <w:r>
          <w:rPr>
            <w:webHidden/>
          </w:rPr>
        </w:r>
        <w:r>
          <w:rPr>
            <w:webHidden/>
          </w:rPr>
          <w:fldChar w:fldCharType="separate"/>
        </w:r>
        <w:r w:rsidR="00AA17AB">
          <w:rPr>
            <w:webHidden/>
          </w:rPr>
          <w:t>463</w:t>
        </w:r>
        <w:r>
          <w:rPr>
            <w:webHidden/>
          </w:rPr>
          <w:fldChar w:fldCharType="end"/>
        </w:r>
      </w:hyperlink>
    </w:p>
    <w:p w14:paraId="66B73CE6" w14:textId="5E615D7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59" w:history="1">
        <w:r w:rsidRPr="00FC437C">
          <w:rPr>
            <w:rStyle w:val="Hyperlink"/>
          </w:rPr>
          <w:t>§105.</w:t>
        </w:r>
        <w:r>
          <w:rPr>
            <w:rFonts w:asciiTheme="minorHAnsi" w:eastAsiaTheme="minorEastAsia" w:hAnsiTheme="minorHAnsi" w:cstheme="minorBidi"/>
            <w:color w:val="auto"/>
            <w:kern w:val="2"/>
            <w:szCs w:val="24"/>
            <w14:ligatures w14:val="standardContextual"/>
          </w:rPr>
          <w:tab/>
        </w:r>
        <w:r w:rsidRPr="00FC437C">
          <w:rPr>
            <w:rStyle w:val="Hyperlink"/>
          </w:rPr>
          <w:t>Eligibility for Making a Request</w:t>
        </w:r>
        <w:r>
          <w:rPr>
            <w:webHidden/>
          </w:rPr>
          <w:tab/>
        </w:r>
        <w:r>
          <w:rPr>
            <w:webHidden/>
          </w:rPr>
          <w:fldChar w:fldCharType="begin"/>
        </w:r>
        <w:r>
          <w:rPr>
            <w:webHidden/>
          </w:rPr>
          <w:instrText xml:space="preserve"> PAGEREF _Toc224819659 \h </w:instrText>
        </w:r>
        <w:r>
          <w:rPr>
            <w:webHidden/>
          </w:rPr>
        </w:r>
        <w:r>
          <w:rPr>
            <w:webHidden/>
          </w:rPr>
          <w:fldChar w:fldCharType="separate"/>
        </w:r>
        <w:r w:rsidR="00AA17AB">
          <w:rPr>
            <w:webHidden/>
          </w:rPr>
          <w:t>463</w:t>
        </w:r>
        <w:r>
          <w:rPr>
            <w:webHidden/>
          </w:rPr>
          <w:fldChar w:fldCharType="end"/>
        </w:r>
      </w:hyperlink>
    </w:p>
    <w:p w14:paraId="1EA82B8F" w14:textId="0D14CF5A"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60" w:history="1">
        <w:r w:rsidRPr="00FC437C">
          <w:rPr>
            <w:rStyle w:val="Hyperlink"/>
          </w:rPr>
          <w:t>§107.</w:t>
        </w:r>
        <w:r>
          <w:rPr>
            <w:rFonts w:asciiTheme="minorHAnsi" w:eastAsiaTheme="minorEastAsia" w:hAnsiTheme="minorHAnsi" w:cstheme="minorBidi"/>
            <w:color w:val="auto"/>
            <w:kern w:val="2"/>
            <w:szCs w:val="24"/>
            <w14:ligatures w14:val="standardContextual"/>
          </w:rPr>
          <w:tab/>
        </w:r>
        <w:r w:rsidRPr="00FC437C">
          <w:rPr>
            <w:rStyle w:val="Hyperlink"/>
          </w:rPr>
          <w:t>Procedure for Requesting an Order from the Commissioner</w:t>
        </w:r>
        <w:r>
          <w:rPr>
            <w:webHidden/>
          </w:rPr>
          <w:tab/>
        </w:r>
        <w:r>
          <w:rPr>
            <w:webHidden/>
          </w:rPr>
          <w:fldChar w:fldCharType="begin"/>
        </w:r>
        <w:r>
          <w:rPr>
            <w:webHidden/>
          </w:rPr>
          <w:instrText xml:space="preserve"> PAGEREF _Toc224819660 \h </w:instrText>
        </w:r>
        <w:r>
          <w:rPr>
            <w:webHidden/>
          </w:rPr>
        </w:r>
        <w:r>
          <w:rPr>
            <w:webHidden/>
          </w:rPr>
          <w:fldChar w:fldCharType="separate"/>
        </w:r>
        <w:r w:rsidR="00AA17AB">
          <w:rPr>
            <w:webHidden/>
          </w:rPr>
          <w:t>463</w:t>
        </w:r>
        <w:r>
          <w:rPr>
            <w:webHidden/>
          </w:rPr>
          <w:fldChar w:fldCharType="end"/>
        </w:r>
      </w:hyperlink>
    </w:p>
    <w:p w14:paraId="349BC4EC" w14:textId="6D5898B1"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61" w:history="1">
        <w:r w:rsidRPr="00FC437C">
          <w:rPr>
            <w:rStyle w:val="Hyperlink"/>
          </w:rPr>
          <w:t>§109.</w:t>
        </w:r>
        <w:r>
          <w:rPr>
            <w:rFonts w:asciiTheme="minorHAnsi" w:eastAsiaTheme="minorEastAsia" w:hAnsiTheme="minorHAnsi" w:cstheme="minorBidi"/>
            <w:color w:val="auto"/>
            <w:kern w:val="2"/>
            <w:szCs w:val="24"/>
            <w14:ligatures w14:val="standardContextual"/>
          </w:rPr>
          <w:tab/>
        </w:r>
        <w:r w:rsidRPr="00FC437C">
          <w:rPr>
            <w:rStyle w:val="Hyperlink"/>
          </w:rPr>
          <w:t>Notice to a Railroad Corporation</w:t>
        </w:r>
        <w:r>
          <w:rPr>
            <w:webHidden/>
          </w:rPr>
          <w:tab/>
        </w:r>
        <w:r>
          <w:rPr>
            <w:webHidden/>
          </w:rPr>
          <w:fldChar w:fldCharType="begin"/>
        </w:r>
        <w:r>
          <w:rPr>
            <w:webHidden/>
          </w:rPr>
          <w:instrText xml:space="preserve"> PAGEREF _Toc224819661 \h </w:instrText>
        </w:r>
        <w:r>
          <w:rPr>
            <w:webHidden/>
          </w:rPr>
        </w:r>
        <w:r>
          <w:rPr>
            <w:webHidden/>
          </w:rPr>
          <w:fldChar w:fldCharType="separate"/>
        </w:r>
        <w:r w:rsidR="00AA17AB">
          <w:rPr>
            <w:webHidden/>
          </w:rPr>
          <w:t>464</w:t>
        </w:r>
        <w:r>
          <w:rPr>
            <w:webHidden/>
          </w:rPr>
          <w:fldChar w:fldCharType="end"/>
        </w:r>
      </w:hyperlink>
    </w:p>
    <w:p w14:paraId="56DE5F82" w14:textId="7FFC3A0E" w:rsidR="00E67799" w:rsidRDefault="00E67799">
      <w:pPr>
        <w:pStyle w:val="TOC3"/>
        <w:rPr>
          <w:rFonts w:asciiTheme="minorHAnsi" w:eastAsiaTheme="minorEastAsia" w:hAnsiTheme="minorHAnsi" w:cstheme="minorBidi"/>
          <w:color w:val="auto"/>
          <w:kern w:val="2"/>
          <w:szCs w:val="24"/>
          <w14:ligatures w14:val="standardContextual"/>
        </w:rPr>
      </w:pPr>
      <w:hyperlink w:anchor="_Toc224819662" w:history="1">
        <w:r w:rsidRPr="00FC437C">
          <w:rPr>
            <w:rStyle w:val="Hyperlink"/>
          </w:rPr>
          <w:t>§111.</w:t>
        </w:r>
        <w:r>
          <w:rPr>
            <w:rFonts w:asciiTheme="minorHAnsi" w:eastAsiaTheme="minorEastAsia" w:hAnsiTheme="minorHAnsi" w:cstheme="minorBidi"/>
            <w:color w:val="auto"/>
            <w:kern w:val="2"/>
            <w:szCs w:val="24"/>
            <w14:ligatures w14:val="standardContextual"/>
          </w:rPr>
          <w:tab/>
        </w:r>
        <w:r w:rsidRPr="00FC437C">
          <w:rPr>
            <w:rStyle w:val="Hyperlink"/>
          </w:rPr>
          <w:t>Notice of Decision</w:t>
        </w:r>
        <w:r>
          <w:rPr>
            <w:webHidden/>
          </w:rPr>
          <w:tab/>
        </w:r>
        <w:r>
          <w:rPr>
            <w:webHidden/>
          </w:rPr>
          <w:fldChar w:fldCharType="begin"/>
        </w:r>
        <w:r>
          <w:rPr>
            <w:webHidden/>
          </w:rPr>
          <w:instrText xml:space="preserve"> PAGEREF _Toc224819662 \h </w:instrText>
        </w:r>
        <w:r>
          <w:rPr>
            <w:webHidden/>
          </w:rPr>
        </w:r>
        <w:r>
          <w:rPr>
            <w:webHidden/>
          </w:rPr>
          <w:fldChar w:fldCharType="separate"/>
        </w:r>
        <w:r w:rsidR="00AA17AB">
          <w:rPr>
            <w:webHidden/>
          </w:rPr>
          <w:t>464</w:t>
        </w:r>
        <w:r>
          <w:rPr>
            <w:webHidden/>
          </w:rPr>
          <w:fldChar w:fldCharType="end"/>
        </w:r>
      </w:hyperlink>
    </w:p>
    <w:p w14:paraId="0B198E1D" w14:textId="77777777" w:rsidR="00CF626A" w:rsidRPr="001531CD" w:rsidRDefault="00695163" w:rsidP="002D2907">
      <w:pPr>
        <w:pStyle w:val="TOCIndex"/>
        <w:keepNext/>
        <w:sectPr w:rsidR="00CF626A" w:rsidRPr="001531CD" w:rsidSect="00676A9E">
          <w:headerReference w:type="even" r:id="rId8"/>
          <w:headerReference w:type="default" r:id="rId9"/>
          <w:headerReference w:type="first" r:id="rId10"/>
          <w:type w:val="continuous"/>
          <w:pgSz w:w="12240" w:h="15840" w:code="1"/>
          <w:pgMar w:top="1080" w:right="864" w:bottom="864" w:left="864" w:header="576" w:footer="432" w:gutter="0"/>
          <w:pgNumType w:fmt="lowerRoman" w:start="1"/>
          <w:cols w:space="720"/>
          <w:titlePg/>
        </w:sectPr>
      </w:pPr>
      <w:r w:rsidRPr="001531CD">
        <w:rPr>
          <w:color w:val="000000"/>
        </w:rPr>
        <w:fldChar w:fldCharType="end"/>
      </w:r>
    </w:p>
    <w:p w14:paraId="6E6D9E69" w14:textId="77777777" w:rsidR="00CF626A" w:rsidRPr="001531CD" w:rsidRDefault="00CF626A" w:rsidP="00F03863">
      <w:pPr>
        <w:pStyle w:val="Title1"/>
        <w:outlineLvl w:val="0"/>
      </w:pPr>
      <w:bookmarkStart w:id="0" w:name="StartTitleHere"/>
      <w:bookmarkEnd w:id="0"/>
      <w:r w:rsidRPr="001531CD">
        <w:lastRenderedPageBreak/>
        <w:t xml:space="preserve">Title </w:t>
      </w:r>
      <w:bookmarkStart w:id="1" w:name="TitleNumber"/>
      <w:r w:rsidRPr="001531CD">
        <w:t>7</w:t>
      </w:r>
      <w:bookmarkEnd w:id="1"/>
    </w:p>
    <w:p w14:paraId="7E6324F7" w14:textId="77777777" w:rsidR="00CF626A" w:rsidRPr="001531CD" w:rsidRDefault="00CF626A">
      <w:pPr>
        <w:pStyle w:val="Title2"/>
      </w:pPr>
      <w:bookmarkStart w:id="2" w:name="TitleName"/>
      <w:r w:rsidRPr="001531CD">
        <w:t>AGRICULTURE AND ANIMALS</w:t>
      </w:r>
      <w:bookmarkEnd w:id="2"/>
    </w:p>
    <w:p w14:paraId="3C8E1DA1" w14:textId="77777777" w:rsidR="00CF626A" w:rsidRPr="001531CD" w:rsidRDefault="00CF626A">
      <w:pPr>
        <w:pStyle w:val="Part"/>
      </w:pPr>
      <w:bookmarkStart w:id="3" w:name="TOC_Part0"/>
      <w:bookmarkStart w:id="4" w:name="_Toc264623712"/>
      <w:bookmarkStart w:id="5" w:name="_Toc283622410"/>
      <w:bookmarkStart w:id="6" w:name="_Toc285803575"/>
      <w:bookmarkStart w:id="7" w:name="_Toc306600817"/>
      <w:bookmarkStart w:id="8" w:name="_Toc312136843"/>
      <w:bookmarkStart w:id="9" w:name="_Toc322411134"/>
      <w:bookmarkStart w:id="10" w:name="_Toc338237638"/>
      <w:bookmarkStart w:id="11" w:name="_Toc348951179"/>
      <w:bookmarkStart w:id="12" w:name="_Toc361749579"/>
      <w:bookmarkStart w:id="13" w:name="_Toc370126955"/>
      <w:bookmarkStart w:id="14" w:name="_Toc372623723"/>
      <w:bookmarkStart w:id="15" w:name="_Toc375025022"/>
      <w:bookmarkStart w:id="16" w:name="_Toc386109908"/>
      <w:bookmarkStart w:id="17" w:name="_Toc388357741"/>
      <w:bookmarkStart w:id="18" w:name="_Toc396114645"/>
      <w:bookmarkStart w:id="19" w:name="_Toc411855031"/>
      <w:bookmarkStart w:id="20" w:name="_Toc419795232"/>
      <w:bookmarkStart w:id="21" w:name="_Toc427736620"/>
      <w:bookmarkStart w:id="22" w:name="_Toc438546420"/>
      <w:bookmarkStart w:id="23" w:name="_Toc446326404"/>
      <w:bookmarkStart w:id="24" w:name="_Toc448824589"/>
      <w:bookmarkStart w:id="25" w:name="_Toc451505633"/>
      <w:bookmarkStart w:id="26" w:name="_Toc462212056"/>
      <w:bookmarkStart w:id="27" w:name="_Toc468095976"/>
      <w:bookmarkStart w:id="28" w:name="_Toc477853454"/>
      <w:bookmarkStart w:id="29" w:name="_Toc488735398"/>
      <w:bookmarkStart w:id="30" w:name="_Toc491176215"/>
      <w:bookmarkStart w:id="31" w:name="_Toc509393132"/>
      <w:bookmarkStart w:id="32" w:name="_Toc525114299"/>
      <w:bookmarkStart w:id="33" w:name="_Toc535996696"/>
      <w:bookmarkStart w:id="34" w:name="_Toc22716129"/>
      <w:bookmarkStart w:id="35" w:name="_Toc30579939"/>
      <w:bookmarkStart w:id="36" w:name="_Toc32927766"/>
      <w:bookmarkStart w:id="37" w:name="_Toc33434218"/>
      <w:bookmarkStart w:id="38" w:name="_Toc33439438"/>
      <w:bookmarkStart w:id="39" w:name="_Toc56691454"/>
      <w:bookmarkStart w:id="40" w:name="_Toc57884273"/>
      <w:bookmarkStart w:id="41" w:name="_Toc67474681"/>
      <w:bookmarkStart w:id="42" w:name="_Toc72317636"/>
      <w:bookmarkStart w:id="43" w:name="_Toc77764412"/>
      <w:bookmarkStart w:id="44" w:name="_Toc77839456"/>
      <w:bookmarkStart w:id="45" w:name="_Toc78883629"/>
      <w:bookmarkStart w:id="46" w:name="_Toc80605633"/>
      <w:bookmarkStart w:id="47" w:name="_Toc90989154"/>
      <w:bookmarkStart w:id="48" w:name="_Toc93649729"/>
      <w:bookmarkStart w:id="49" w:name="_Toc96333613"/>
      <w:bookmarkStart w:id="50" w:name="_Toc98918355"/>
      <w:bookmarkStart w:id="51" w:name="_Toc101426766"/>
      <w:bookmarkStart w:id="52" w:name="_Toc112162437"/>
      <w:bookmarkStart w:id="53" w:name="_Toc119930049"/>
      <w:bookmarkStart w:id="54" w:name="_Toc128048025"/>
      <w:bookmarkStart w:id="55" w:name="_Toc154570895"/>
      <w:bookmarkStart w:id="56" w:name="_Toc164249609"/>
      <w:bookmarkStart w:id="57" w:name="_Toc186107620"/>
      <w:bookmarkStart w:id="58" w:name="_Toc189048077"/>
      <w:bookmarkStart w:id="59" w:name="_Toc201138734"/>
      <w:bookmarkStart w:id="60" w:name="_Toc201145979"/>
      <w:bookmarkStart w:id="61" w:name="_Toc211937577"/>
      <w:bookmarkStart w:id="62" w:name="_Toc214531746"/>
      <w:bookmarkStart w:id="63" w:name="_Toc216881830"/>
      <w:bookmarkStart w:id="64" w:name="_Toc219361315"/>
      <w:bookmarkStart w:id="65" w:name="_Toc219367074"/>
      <w:bookmarkStart w:id="66" w:name="_Toc224818456"/>
      <w:r w:rsidRPr="001531CD">
        <w:t>Part I.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31373BE" w14:textId="77777777" w:rsidR="00CF626A" w:rsidRPr="001531CD" w:rsidRDefault="00CF626A">
      <w:pPr>
        <w:pStyle w:val="Part"/>
      </w:pPr>
    </w:p>
    <w:p w14:paraId="0C4C1A17" w14:textId="77777777" w:rsidR="00CF626A" w:rsidRPr="001531CD" w:rsidRDefault="00CF626A">
      <w:pPr>
        <w:pStyle w:val="Part"/>
        <w:sectPr w:rsidR="00CF626A" w:rsidRPr="001531CD" w:rsidSect="00167E2E">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1080" w:right="864" w:bottom="864" w:left="864" w:header="576" w:footer="432" w:gutter="0"/>
          <w:pgNumType w:start="1"/>
          <w:cols w:space="720" w:equalWidth="0">
            <w:col w:w="10512" w:space="720"/>
          </w:cols>
        </w:sectPr>
      </w:pPr>
    </w:p>
    <w:p w14:paraId="5E91A491" w14:textId="77777777" w:rsidR="00CF626A" w:rsidRPr="001531CD" w:rsidRDefault="00CF626A" w:rsidP="00D31A24">
      <w:pPr>
        <w:pStyle w:val="Chapter"/>
        <w:tabs>
          <w:tab w:val="clear" w:pos="1080"/>
          <w:tab w:val="clear" w:pos="1260"/>
          <w:tab w:val="clear" w:pos="1440"/>
          <w:tab w:val="left" w:pos="1530"/>
        </w:tabs>
        <w:outlineLvl w:val="0"/>
      </w:pPr>
      <w:bookmarkStart w:id="67" w:name="TOC_Chap24"/>
      <w:bookmarkStart w:id="68" w:name="_Toc256754253"/>
      <w:bookmarkStart w:id="69" w:name="_Toc22716130"/>
      <w:bookmarkStart w:id="70" w:name="_Toc224818457"/>
      <w:r w:rsidRPr="001531CD">
        <w:t>Chapter 1.</w:t>
      </w:r>
      <w:bookmarkEnd w:id="67"/>
      <w:r w:rsidR="001413E4">
        <w:tab/>
      </w:r>
      <w:bookmarkStart w:id="71" w:name="TOCT_Chap2"/>
      <w:bookmarkStart w:id="72" w:name="TOCT_Chap22"/>
      <w:bookmarkStart w:id="73" w:name="TOCT_Chap23"/>
      <w:bookmarkStart w:id="74" w:name="TOCT_Chap24"/>
      <w:r w:rsidRPr="001531CD">
        <w:t>Administration Procedure</w:t>
      </w:r>
      <w:bookmarkEnd w:id="68"/>
      <w:bookmarkEnd w:id="69"/>
      <w:bookmarkEnd w:id="70"/>
      <w:bookmarkEnd w:id="71"/>
      <w:bookmarkEnd w:id="72"/>
      <w:bookmarkEnd w:id="73"/>
      <w:bookmarkEnd w:id="74"/>
    </w:p>
    <w:p w14:paraId="14634211" w14:textId="77777777" w:rsidR="00CF626A" w:rsidRPr="001531CD" w:rsidRDefault="00CF626A">
      <w:pPr>
        <w:pStyle w:val="Section"/>
      </w:pPr>
      <w:bookmarkStart w:id="75" w:name="_Toc256754254"/>
      <w:bookmarkStart w:id="76" w:name="_Toc224818458"/>
      <w:r w:rsidRPr="001531CD">
        <w:t>§101.</w:t>
      </w:r>
      <w:r w:rsidRPr="001531CD">
        <w:tab/>
        <w:t>Market Bulletin Subscriber Fee</w:t>
      </w:r>
      <w:bookmarkEnd w:id="75"/>
      <w:bookmarkEnd w:id="76"/>
    </w:p>
    <w:p w14:paraId="3EEA5586" w14:textId="77777777" w:rsidR="009E2FE3" w:rsidRPr="001531CD" w:rsidRDefault="009E2FE3" w:rsidP="009451C5">
      <w:pPr>
        <w:pStyle w:val="A"/>
      </w:pPr>
      <w:r w:rsidRPr="001531CD">
        <w:t>A.</w:t>
      </w:r>
      <w:r w:rsidRPr="001531CD">
        <w:tab/>
        <w:t xml:space="preserve">The fee for a yearly subscription to the </w:t>
      </w:r>
      <w:r w:rsidRPr="001531CD">
        <w:rPr>
          <w:i/>
        </w:rPr>
        <w:t>Louisiana Market Bulletin</w:t>
      </w:r>
      <w:r w:rsidRPr="001531CD">
        <w:t xml:space="preserve"> shall not exceed the annual cost of publication and distribution.</w:t>
      </w:r>
    </w:p>
    <w:p w14:paraId="3EDFDD3B" w14:textId="77777777" w:rsidR="009E2FE3" w:rsidRPr="001531CD" w:rsidRDefault="009E2FE3" w:rsidP="009E2FE3">
      <w:pPr>
        <w:pStyle w:val="A"/>
      </w:pPr>
      <w:r w:rsidRPr="001531CD">
        <w:t>B.</w:t>
      </w:r>
      <w:r w:rsidRPr="001531CD">
        <w:tab/>
        <w:t xml:space="preserve">The subscription fee shall be paid by the subscriber to the Department of Agriculture and Forestry annually at the time the subscription is ordered or renewed. Upon payment of the subscription fee, the subscriber shall be entitled to 26 issues of the </w:t>
      </w:r>
      <w:r w:rsidRPr="001531CD">
        <w:rPr>
          <w:i/>
          <w:iCs/>
        </w:rPr>
        <w:t>Louisiana Market Bulletin</w:t>
      </w:r>
      <w:r w:rsidRPr="001531CD">
        <w:t>.</w:t>
      </w:r>
    </w:p>
    <w:p w14:paraId="2D36FB53" w14:textId="77777777" w:rsidR="00CF626A" w:rsidRPr="001531CD" w:rsidRDefault="00CF626A">
      <w:pPr>
        <w:pStyle w:val="AuthorityNote"/>
      </w:pPr>
      <w:r w:rsidRPr="001531CD">
        <w:t>AUTHORITY NOTE:</w:t>
      </w:r>
      <w:r w:rsidRPr="001531CD">
        <w:tab/>
        <w:t>Promulgated in accordance with R.S. 43:31.</w:t>
      </w:r>
    </w:p>
    <w:p w14:paraId="31545F4B" w14:textId="77777777" w:rsidR="00CF626A" w:rsidRPr="001531CD" w:rsidRDefault="00CF626A">
      <w:pPr>
        <w:pStyle w:val="HistoricalNote"/>
      </w:pPr>
      <w:r w:rsidRPr="001531CD">
        <w:t>HISTORICAL NOTE:</w:t>
      </w:r>
      <w:r w:rsidRPr="001531CD">
        <w:tab/>
        <w:t xml:space="preserve">Promulgated by the Department of Agriculture and Forestry, Market Commission, LR 15:75 (February 1989), </w:t>
      </w:r>
      <w:r w:rsidR="009E2FE3" w:rsidRPr="001531CD">
        <w:t>amended LR 31:26 (January 2005), amended by the Department of Agriculture and Forestry, Office of the Commissioner, LR 35:632 (April 2009).</w:t>
      </w:r>
    </w:p>
    <w:p w14:paraId="0CD8864F" w14:textId="77777777" w:rsidR="00CF626A" w:rsidRPr="001531CD" w:rsidRDefault="00CF626A">
      <w:pPr>
        <w:pStyle w:val="Section"/>
      </w:pPr>
      <w:bookmarkStart w:id="77" w:name="_Toc256754255"/>
      <w:bookmarkStart w:id="78" w:name="_Toc224818459"/>
      <w:r w:rsidRPr="001531CD">
        <w:t>§103.</w:t>
      </w:r>
      <w:r w:rsidRPr="001531CD">
        <w:tab/>
        <w:t>Agriculture Chemistry Lab Fees</w:t>
      </w:r>
      <w:bookmarkEnd w:id="77"/>
      <w:bookmarkEnd w:id="78"/>
    </w:p>
    <w:p w14:paraId="69A531CE" w14:textId="77777777" w:rsidR="00CF626A" w:rsidRPr="001531CD" w:rsidRDefault="00CF626A">
      <w:pPr>
        <w:pStyle w:val="A"/>
        <w:spacing w:after="200"/>
      </w:pPr>
      <w:r w:rsidRPr="001531CD">
        <w:t>A.</w:t>
      </w:r>
      <w:r w:rsidRPr="001531CD">
        <w:tab/>
        <w:t>There is hereby established and henceforth shall be a fee paid by the users of the Louisiana Agricultural Chemistry Laboratory, which fees shall be known as laboratory fees and they shall be as follows.</w:t>
      </w:r>
    </w:p>
    <w:tbl>
      <w:tblPr>
        <w:tblW w:w="490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924"/>
        <w:gridCol w:w="1980"/>
      </w:tblGrid>
      <w:tr w:rsidR="00CF626A" w:rsidRPr="001531CD" w14:paraId="4B0ADB3F" w14:textId="77777777" w:rsidTr="00AE7346">
        <w:trPr>
          <w:jc w:val="center"/>
        </w:trPr>
        <w:tc>
          <w:tcPr>
            <w:tcW w:w="2924" w:type="dxa"/>
          </w:tcPr>
          <w:p w14:paraId="01749304" w14:textId="77777777" w:rsidR="00CF626A" w:rsidRPr="001531CD" w:rsidRDefault="009327B2">
            <w:pPr>
              <w:rPr>
                <w:sz w:val="16"/>
              </w:rPr>
            </w:pPr>
            <w:r w:rsidRPr="001531CD">
              <w:rPr>
                <w:sz w:val="16"/>
              </w:rPr>
              <w:t>Pesticide Residue Samples</w:t>
            </w:r>
          </w:p>
        </w:tc>
        <w:tc>
          <w:tcPr>
            <w:tcW w:w="1980" w:type="dxa"/>
          </w:tcPr>
          <w:p w14:paraId="7038B87F" w14:textId="77777777" w:rsidR="00CF626A" w:rsidRPr="001531CD" w:rsidRDefault="00CF626A">
            <w:pPr>
              <w:rPr>
                <w:sz w:val="16"/>
              </w:rPr>
            </w:pPr>
            <w:r w:rsidRPr="001531CD">
              <w:rPr>
                <w:sz w:val="16"/>
              </w:rPr>
              <w:t>Up to $100 per analysis</w:t>
            </w:r>
          </w:p>
        </w:tc>
      </w:tr>
      <w:tr w:rsidR="00CF626A" w:rsidRPr="001531CD" w14:paraId="2CB96491" w14:textId="77777777" w:rsidTr="00AE7346">
        <w:trPr>
          <w:jc w:val="center"/>
        </w:trPr>
        <w:tc>
          <w:tcPr>
            <w:tcW w:w="2924" w:type="dxa"/>
          </w:tcPr>
          <w:p w14:paraId="7A89CFAF" w14:textId="77777777" w:rsidR="00CF626A" w:rsidRPr="001531CD" w:rsidRDefault="00CF626A">
            <w:pPr>
              <w:rPr>
                <w:sz w:val="16"/>
              </w:rPr>
            </w:pPr>
            <w:r w:rsidRPr="001531CD">
              <w:rPr>
                <w:sz w:val="16"/>
              </w:rPr>
              <w:t>Pesticide Formulation Samples</w:t>
            </w:r>
          </w:p>
        </w:tc>
        <w:tc>
          <w:tcPr>
            <w:tcW w:w="1980" w:type="dxa"/>
          </w:tcPr>
          <w:p w14:paraId="13F15793" w14:textId="77777777" w:rsidR="00CF626A" w:rsidRPr="001531CD" w:rsidRDefault="00CF626A">
            <w:pPr>
              <w:rPr>
                <w:sz w:val="16"/>
              </w:rPr>
            </w:pPr>
            <w:r w:rsidRPr="001531CD">
              <w:rPr>
                <w:sz w:val="16"/>
              </w:rPr>
              <w:t>Up to $  50 per analysis</w:t>
            </w:r>
          </w:p>
        </w:tc>
      </w:tr>
      <w:tr w:rsidR="00CF626A" w:rsidRPr="001531CD" w14:paraId="5BC418BC" w14:textId="77777777" w:rsidTr="00AE7346">
        <w:trPr>
          <w:jc w:val="center"/>
        </w:trPr>
        <w:tc>
          <w:tcPr>
            <w:tcW w:w="2924" w:type="dxa"/>
          </w:tcPr>
          <w:p w14:paraId="5F53D110" w14:textId="77777777" w:rsidR="00CF626A" w:rsidRPr="001531CD" w:rsidRDefault="00CF626A">
            <w:pPr>
              <w:rPr>
                <w:sz w:val="16"/>
              </w:rPr>
            </w:pPr>
            <w:r w:rsidRPr="001531CD">
              <w:rPr>
                <w:sz w:val="16"/>
              </w:rPr>
              <w:t>Water Samples</w:t>
            </w:r>
          </w:p>
        </w:tc>
        <w:tc>
          <w:tcPr>
            <w:tcW w:w="1980" w:type="dxa"/>
          </w:tcPr>
          <w:p w14:paraId="2D882A1B" w14:textId="77777777" w:rsidR="00CF626A" w:rsidRPr="001531CD" w:rsidRDefault="00CF626A">
            <w:pPr>
              <w:rPr>
                <w:sz w:val="16"/>
              </w:rPr>
            </w:pPr>
            <w:r w:rsidRPr="001531CD">
              <w:rPr>
                <w:sz w:val="16"/>
              </w:rPr>
              <w:t>Up to $  35 per analysis</w:t>
            </w:r>
          </w:p>
        </w:tc>
      </w:tr>
      <w:tr w:rsidR="00CF626A" w:rsidRPr="001531CD" w14:paraId="457B597E" w14:textId="77777777" w:rsidTr="00AE7346">
        <w:trPr>
          <w:jc w:val="center"/>
        </w:trPr>
        <w:tc>
          <w:tcPr>
            <w:tcW w:w="2924" w:type="dxa"/>
          </w:tcPr>
          <w:p w14:paraId="0CF5D6B7" w14:textId="77777777" w:rsidR="00CF626A" w:rsidRPr="001531CD" w:rsidRDefault="00CF626A">
            <w:pPr>
              <w:rPr>
                <w:sz w:val="16"/>
              </w:rPr>
            </w:pPr>
            <w:r w:rsidRPr="001531CD">
              <w:rPr>
                <w:sz w:val="16"/>
              </w:rPr>
              <w:t>Feed, Fertilizer and Lime Samples</w:t>
            </w:r>
          </w:p>
        </w:tc>
        <w:tc>
          <w:tcPr>
            <w:tcW w:w="1980" w:type="dxa"/>
          </w:tcPr>
          <w:p w14:paraId="4E3AEBF8" w14:textId="77777777" w:rsidR="00CF626A" w:rsidRPr="001531CD" w:rsidRDefault="00CF626A">
            <w:pPr>
              <w:rPr>
                <w:sz w:val="16"/>
              </w:rPr>
            </w:pPr>
            <w:r w:rsidRPr="001531CD">
              <w:rPr>
                <w:sz w:val="16"/>
              </w:rPr>
              <w:t>Up to $  40 per analysis</w:t>
            </w:r>
          </w:p>
        </w:tc>
      </w:tr>
      <w:tr w:rsidR="00CF626A" w:rsidRPr="001531CD" w14:paraId="364E68B8" w14:textId="77777777" w:rsidTr="00AE7346">
        <w:trPr>
          <w:trHeight w:val="48"/>
          <w:jc w:val="center"/>
        </w:trPr>
        <w:tc>
          <w:tcPr>
            <w:tcW w:w="2924" w:type="dxa"/>
          </w:tcPr>
          <w:p w14:paraId="28250CCB" w14:textId="77777777" w:rsidR="00CF626A" w:rsidRPr="001531CD" w:rsidRDefault="00CF626A" w:rsidP="009327B2">
            <w:pPr>
              <w:rPr>
                <w:sz w:val="16"/>
              </w:rPr>
            </w:pPr>
            <w:r w:rsidRPr="001531CD">
              <w:rPr>
                <w:sz w:val="16"/>
              </w:rPr>
              <w:t>All Other Samples</w:t>
            </w:r>
          </w:p>
        </w:tc>
        <w:tc>
          <w:tcPr>
            <w:tcW w:w="1980" w:type="dxa"/>
          </w:tcPr>
          <w:p w14:paraId="30688F4E" w14:textId="77777777" w:rsidR="00CF626A" w:rsidRPr="001531CD" w:rsidRDefault="00CF626A" w:rsidP="009327B2">
            <w:pPr>
              <w:rPr>
                <w:sz w:val="16"/>
              </w:rPr>
            </w:pPr>
            <w:r w:rsidRPr="001531CD">
              <w:rPr>
                <w:sz w:val="16"/>
              </w:rPr>
              <w:t>Up to $  50 per analysis</w:t>
            </w:r>
          </w:p>
        </w:tc>
      </w:tr>
    </w:tbl>
    <w:p w14:paraId="79143C53" w14:textId="77777777" w:rsidR="00CF626A" w:rsidRPr="001531CD" w:rsidRDefault="00CF626A">
      <w:pPr>
        <w:pStyle w:val="1"/>
        <w:spacing w:before="200"/>
      </w:pPr>
      <w:r w:rsidRPr="001531CD">
        <w:t>1.</w:t>
      </w:r>
      <w:r w:rsidRPr="001531CD">
        <w:tab/>
        <w:t>Each laboratory procedure will be, for purposes of this regulation, considered a separate analysis.</w:t>
      </w:r>
    </w:p>
    <w:p w14:paraId="185B220F" w14:textId="77777777" w:rsidR="00187A82" w:rsidRPr="001531CD" w:rsidRDefault="00187A82" w:rsidP="00187A82">
      <w:pPr>
        <w:pStyle w:val="A"/>
      </w:pPr>
      <w:r w:rsidRPr="001531CD">
        <w:t>B.</w:t>
      </w:r>
      <w:r w:rsidRPr="001531CD">
        <w:tab/>
        <w:t>The laboratory fees shall be paid by the party requesting analysis and shall be payable to the Louisiana Agricultural Chemistry Laboratory.</w:t>
      </w:r>
    </w:p>
    <w:p w14:paraId="7B364E1F" w14:textId="77777777" w:rsidR="00CF626A" w:rsidRPr="001531CD" w:rsidRDefault="00187A82" w:rsidP="00187A82">
      <w:pPr>
        <w:pStyle w:val="AuthorityNote"/>
      </w:pPr>
      <w:r w:rsidRPr="001531CD">
        <w:t>AUTHORITY NOTE:</w:t>
      </w:r>
      <w:r w:rsidRPr="001531CD">
        <w:tab/>
        <w:t>Promulgated in accordance with R.S. 3:16.</w:t>
      </w:r>
    </w:p>
    <w:p w14:paraId="6D5FEFB3" w14:textId="77777777" w:rsidR="00187A82" w:rsidRPr="001531CD" w:rsidRDefault="00CF626A" w:rsidP="00187A82">
      <w:pPr>
        <w:pStyle w:val="HistoricalNote"/>
      </w:pPr>
      <w:r w:rsidRPr="001531CD">
        <w:t>HISTORICAL NOTE:</w:t>
      </w:r>
      <w:r w:rsidRPr="001531CD">
        <w:tab/>
        <w:t>Promulgated by the Department of Agriculture and Forestry, Office of Agricultural and Environmental Sci</w:t>
      </w:r>
      <w:r w:rsidR="00187A82" w:rsidRPr="001531CD">
        <w:t>ences, LR 15:77 (February 1989), amended 37:809 (March 2011).</w:t>
      </w:r>
    </w:p>
    <w:p w14:paraId="147B8A5C" w14:textId="77777777" w:rsidR="00CF626A" w:rsidRPr="001531CD" w:rsidRDefault="00CF626A">
      <w:pPr>
        <w:pStyle w:val="Section"/>
      </w:pPr>
      <w:bookmarkStart w:id="79" w:name="_Toc256754256"/>
      <w:bookmarkStart w:id="80" w:name="_Toc224818460"/>
      <w:r w:rsidRPr="001531CD">
        <w:t>§105.</w:t>
      </w:r>
      <w:r w:rsidRPr="001531CD">
        <w:tab/>
        <w:t>Petitions for Adoption, Amendment or Repeal of Rules; Form and Procedure</w:t>
      </w:r>
      <w:bookmarkEnd w:id="79"/>
      <w:bookmarkEnd w:id="80"/>
    </w:p>
    <w:p w14:paraId="6277A74A" w14:textId="77777777" w:rsidR="007E775F" w:rsidRPr="00CA541B" w:rsidRDefault="00CF626A" w:rsidP="007E775F">
      <w:pPr>
        <w:pStyle w:val="A"/>
        <w:rPr>
          <w:rFonts w:eastAsia="Aptos"/>
        </w:rPr>
      </w:pPr>
      <w:r w:rsidRPr="001531CD">
        <w:t>A.</w:t>
      </w:r>
      <w:r w:rsidRPr="001531CD">
        <w:tab/>
      </w:r>
      <w:r w:rsidR="007E775F" w:rsidRPr="00CA541B">
        <w:rPr>
          <w:rFonts w:eastAsia="Aptos"/>
        </w:rPr>
        <w:t xml:space="preserve">Any interested person may submit a petition for the adoption of a new rule, or the amendment or repeal of an existing rule in this Title. </w:t>
      </w:r>
    </w:p>
    <w:p w14:paraId="2359A0BE" w14:textId="77777777" w:rsidR="007E775F" w:rsidRPr="00CA541B" w:rsidRDefault="007E775F" w:rsidP="007E775F">
      <w:pPr>
        <w:pStyle w:val="A"/>
        <w:rPr>
          <w:rFonts w:eastAsia="Aptos"/>
        </w:rPr>
      </w:pPr>
      <w:r w:rsidRPr="00CA541B">
        <w:rPr>
          <w:rFonts w:eastAsia="Aptos"/>
        </w:rPr>
        <w:t>B.</w:t>
      </w:r>
      <w:r w:rsidRPr="00CA541B">
        <w:rPr>
          <w:rFonts w:eastAsia="Aptos"/>
        </w:rPr>
        <w:tab/>
        <w:t xml:space="preserve">A petition for a rule change shall be in writing, signed by the petitioner, containing the following: </w:t>
      </w:r>
    </w:p>
    <w:p w14:paraId="40787137" w14:textId="77777777" w:rsidR="007E775F" w:rsidRPr="00CA541B" w:rsidRDefault="007E775F" w:rsidP="007E775F">
      <w:pPr>
        <w:pStyle w:val="1"/>
        <w:rPr>
          <w:rFonts w:eastAsia="Aptos"/>
        </w:rPr>
      </w:pPr>
      <w:r w:rsidRPr="00CA541B">
        <w:rPr>
          <w:rFonts w:eastAsia="Aptos"/>
        </w:rPr>
        <w:t>1.</w:t>
      </w:r>
      <w:r w:rsidRPr="00CA541B">
        <w:rPr>
          <w:rFonts w:eastAsia="Aptos"/>
        </w:rPr>
        <w:tab/>
        <w:t xml:space="preserve">the petitioner’s name, address, telephone number, and email address; </w:t>
      </w:r>
    </w:p>
    <w:p w14:paraId="679C1CCD" w14:textId="77777777" w:rsidR="007E775F" w:rsidRPr="00CA541B" w:rsidRDefault="007E775F" w:rsidP="007E775F">
      <w:pPr>
        <w:pStyle w:val="1"/>
        <w:rPr>
          <w:rFonts w:eastAsia="Aptos"/>
        </w:rPr>
      </w:pPr>
      <w:r w:rsidRPr="00CA541B">
        <w:rPr>
          <w:rFonts w:eastAsia="Aptos"/>
        </w:rPr>
        <w:t>2.</w:t>
      </w:r>
      <w:r w:rsidRPr="00CA541B">
        <w:rPr>
          <w:rFonts w:eastAsia="Aptos"/>
        </w:rPr>
        <w:tab/>
        <w:t xml:space="preserve">a statement indicating whether the request involves adoption, amendment, repeal, or a combination of; </w:t>
      </w:r>
    </w:p>
    <w:p w14:paraId="6B09CBCC" w14:textId="77777777" w:rsidR="007E775F" w:rsidRPr="00CA541B" w:rsidRDefault="007E775F" w:rsidP="007E775F">
      <w:pPr>
        <w:pStyle w:val="1"/>
        <w:rPr>
          <w:rFonts w:eastAsia="Aptos"/>
        </w:rPr>
      </w:pPr>
      <w:r w:rsidRPr="00CA541B">
        <w:rPr>
          <w:rFonts w:eastAsia="Aptos"/>
        </w:rPr>
        <w:t>3.</w:t>
      </w:r>
      <w:r w:rsidRPr="00CA541B">
        <w:rPr>
          <w:rFonts w:eastAsia="Aptos"/>
        </w:rPr>
        <w:tab/>
        <w:t xml:space="preserve">citation of the statutory authority for a new rule or reference to the existing rule for amendments or repeals; </w:t>
      </w:r>
    </w:p>
    <w:p w14:paraId="71DC3D74" w14:textId="77777777" w:rsidR="007E775F" w:rsidRPr="00CA541B" w:rsidRDefault="007E775F" w:rsidP="007E775F">
      <w:pPr>
        <w:pStyle w:val="1"/>
        <w:rPr>
          <w:rFonts w:eastAsia="Aptos"/>
        </w:rPr>
      </w:pPr>
      <w:r w:rsidRPr="00CA541B">
        <w:rPr>
          <w:rFonts w:eastAsia="Aptos"/>
        </w:rPr>
        <w:t>4.</w:t>
      </w:r>
      <w:r w:rsidRPr="00CA541B">
        <w:rPr>
          <w:rFonts w:eastAsia="Aptos"/>
        </w:rPr>
        <w:tab/>
        <w:t xml:space="preserve">the proposed change with a summary of supporting facts; and </w:t>
      </w:r>
    </w:p>
    <w:p w14:paraId="292E7E28" w14:textId="77777777" w:rsidR="007E775F" w:rsidRPr="00CA541B" w:rsidRDefault="007E775F" w:rsidP="007E775F">
      <w:pPr>
        <w:pStyle w:val="1"/>
        <w:rPr>
          <w:rFonts w:eastAsia="Aptos"/>
        </w:rPr>
      </w:pPr>
      <w:r w:rsidRPr="00CA541B">
        <w:rPr>
          <w:rFonts w:eastAsia="Aptos"/>
        </w:rPr>
        <w:t>5.</w:t>
      </w:r>
      <w:r w:rsidRPr="00CA541B">
        <w:rPr>
          <w:rFonts w:eastAsia="Aptos"/>
        </w:rPr>
        <w:tab/>
        <w:t xml:space="preserve">relevant statutory citations, if known. </w:t>
      </w:r>
    </w:p>
    <w:p w14:paraId="77AA9779" w14:textId="77777777" w:rsidR="007E775F" w:rsidRPr="00CA541B" w:rsidRDefault="007E775F" w:rsidP="007E775F">
      <w:pPr>
        <w:pStyle w:val="A"/>
        <w:rPr>
          <w:rFonts w:eastAsia="Aptos"/>
        </w:rPr>
      </w:pPr>
      <w:r w:rsidRPr="00CA541B">
        <w:rPr>
          <w:rFonts w:eastAsia="Aptos"/>
        </w:rPr>
        <w:t>C.</w:t>
      </w:r>
      <w:r w:rsidRPr="00CA541B">
        <w:rPr>
          <w:rFonts w:eastAsia="Aptos"/>
        </w:rPr>
        <w:tab/>
        <w:t xml:space="preserve">Any petition that does not comply with the requirements in this Section shall be returned to the petitioner with an attached statement explaining why the petition is incomplete. </w:t>
      </w:r>
    </w:p>
    <w:p w14:paraId="66820014" w14:textId="77777777" w:rsidR="007E775F" w:rsidRPr="00CA541B" w:rsidRDefault="007E775F" w:rsidP="007E775F">
      <w:pPr>
        <w:pStyle w:val="A"/>
        <w:rPr>
          <w:rFonts w:eastAsia="Aptos"/>
        </w:rPr>
      </w:pPr>
      <w:r w:rsidRPr="00CA541B">
        <w:rPr>
          <w:rFonts w:eastAsia="Aptos"/>
        </w:rPr>
        <w:t>D.</w:t>
      </w:r>
      <w:r w:rsidRPr="00CA541B">
        <w:rPr>
          <w:rFonts w:eastAsia="Aptos"/>
        </w:rPr>
        <w:tab/>
        <w:t>Unless otherwise requested by statute or rule, all petitions for a rule change shall be addressed to the commissioner of agriculture and forestry and shall be mailed or delivered to Legal Division, 5825 Florida Blvd, Suite 2000, Baton Rouge, LA 70806.</w:t>
      </w:r>
    </w:p>
    <w:p w14:paraId="2449FAAD" w14:textId="77777777" w:rsidR="007E775F" w:rsidRPr="00CA541B" w:rsidRDefault="007E775F" w:rsidP="007E775F">
      <w:pPr>
        <w:pStyle w:val="A"/>
        <w:rPr>
          <w:rFonts w:eastAsia="Aptos"/>
        </w:rPr>
      </w:pPr>
      <w:r w:rsidRPr="00CA541B">
        <w:rPr>
          <w:rFonts w:eastAsia="Aptos"/>
        </w:rPr>
        <w:t>E.</w:t>
      </w:r>
      <w:r w:rsidRPr="00CA541B">
        <w:rPr>
          <w:rFonts w:eastAsia="Aptos"/>
        </w:rPr>
        <w:tab/>
        <w:t xml:space="preserve">If the petition relates to a rule within the commissioner’s rulemaking authority, the petition shall be considered as follows: </w:t>
      </w:r>
    </w:p>
    <w:p w14:paraId="4522788B" w14:textId="77777777" w:rsidR="007E775F" w:rsidRPr="00CA541B" w:rsidRDefault="007E775F" w:rsidP="007E775F">
      <w:pPr>
        <w:pStyle w:val="1"/>
        <w:rPr>
          <w:rFonts w:eastAsia="Aptos"/>
        </w:rPr>
      </w:pPr>
      <w:r w:rsidRPr="00CA541B">
        <w:rPr>
          <w:rFonts w:eastAsia="Aptos"/>
        </w:rPr>
        <w:t>1.</w:t>
      </w:r>
      <w:r w:rsidRPr="00CA541B">
        <w:rPr>
          <w:rFonts w:eastAsia="Aptos"/>
        </w:rPr>
        <w:tab/>
      </w:r>
      <w:r>
        <w:rPr>
          <w:rFonts w:eastAsia="Aptos"/>
        </w:rPr>
        <w:t>r</w:t>
      </w:r>
      <w:r w:rsidRPr="00CA541B">
        <w:rPr>
          <w:rFonts w:eastAsia="Aptos"/>
        </w:rPr>
        <w:t xml:space="preserve">eview the requested rule change; </w:t>
      </w:r>
    </w:p>
    <w:p w14:paraId="56774117" w14:textId="77777777" w:rsidR="007E775F" w:rsidRPr="00CA541B" w:rsidRDefault="007E775F" w:rsidP="007E775F">
      <w:pPr>
        <w:pStyle w:val="1"/>
        <w:rPr>
          <w:rFonts w:eastAsia="Aptos"/>
        </w:rPr>
      </w:pPr>
      <w:r w:rsidRPr="00CA541B">
        <w:rPr>
          <w:rFonts w:eastAsia="Aptos"/>
        </w:rPr>
        <w:t>2.</w:t>
      </w:r>
      <w:r>
        <w:rPr>
          <w:rFonts w:eastAsia="Aptos"/>
        </w:rPr>
        <w:tab/>
        <w:t>w</w:t>
      </w:r>
      <w:r w:rsidRPr="00CA541B">
        <w:rPr>
          <w:rFonts w:eastAsia="Aptos"/>
        </w:rPr>
        <w:t xml:space="preserve">ithin 90 days of submission, the department shall either: </w:t>
      </w:r>
    </w:p>
    <w:p w14:paraId="3808EBF8" w14:textId="77777777" w:rsidR="007E775F" w:rsidRPr="00CA541B" w:rsidRDefault="007E775F" w:rsidP="007E775F">
      <w:pPr>
        <w:pStyle w:val="a0"/>
        <w:rPr>
          <w:rFonts w:eastAsia="Aptos"/>
        </w:rPr>
      </w:pPr>
      <w:r w:rsidRPr="00CA541B">
        <w:rPr>
          <w:rFonts w:eastAsia="Aptos"/>
        </w:rPr>
        <w:t>a.</w:t>
      </w:r>
      <w:r w:rsidRPr="00CA541B">
        <w:rPr>
          <w:rFonts w:eastAsia="Aptos"/>
        </w:rPr>
        <w:tab/>
        <w:t xml:space="preserve">deny the petition in writing, providing reasons for the denial; or </w:t>
      </w:r>
    </w:p>
    <w:p w14:paraId="4951500D" w14:textId="77777777" w:rsidR="007E775F" w:rsidRPr="00CA541B" w:rsidRDefault="007E775F" w:rsidP="007E775F">
      <w:pPr>
        <w:pStyle w:val="a0"/>
        <w:rPr>
          <w:rFonts w:eastAsia="Aptos"/>
        </w:rPr>
      </w:pPr>
      <w:r w:rsidRPr="00CA541B">
        <w:rPr>
          <w:rFonts w:eastAsia="Aptos"/>
        </w:rPr>
        <w:t>b.</w:t>
      </w:r>
      <w:r w:rsidRPr="00CA541B">
        <w:rPr>
          <w:rFonts w:eastAsia="Aptos"/>
        </w:rPr>
        <w:tab/>
        <w:t>initiate rulemaking proceedings in accordance with the Administrative Procedure Act.</w:t>
      </w:r>
    </w:p>
    <w:p w14:paraId="4F78DD16" w14:textId="77777777" w:rsidR="007E775F" w:rsidRPr="00CA541B" w:rsidRDefault="007E775F" w:rsidP="007E775F">
      <w:pPr>
        <w:pStyle w:val="A"/>
        <w:rPr>
          <w:rFonts w:eastAsia="Aptos"/>
        </w:rPr>
      </w:pPr>
      <w:r w:rsidRPr="00CA541B">
        <w:rPr>
          <w:rFonts w:eastAsia="Aptos"/>
        </w:rPr>
        <w:t>F.</w:t>
      </w:r>
      <w:r>
        <w:rPr>
          <w:rFonts w:eastAsia="Aptos"/>
        </w:rPr>
        <w:tab/>
      </w:r>
      <w:r w:rsidRPr="00CA541B">
        <w:rPr>
          <w:rFonts w:eastAsia="Aptos"/>
        </w:rPr>
        <w:t xml:space="preserve">If the petition relates to a rule over which a public body within the department has authority, the petition shall be considered as follows: </w:t>
      </w:r>
    </w:p>
    <w:p w14:paraId="6AC67114" w14:textId="77777777" w:rsidR="007E775F" w:rsidRPr="00CA541B" w:rsidRDefault="007E775F" w:rsidP="007E775F">
      <w:pPr>
        <w:pStyle w:val="1"/>
        <w:rPr>
          <w:rFonts w:eastAsia="Aptos"/>
        </w:rPr>
      </w:pPr>
      <w:r w:rsidRPr="00CA541B">
        <w:rPr>
          <w:rFonts w:eastAsia="Aptos"/>
        </w:rPr>
        <w:t>1.</w:t>
      </w:r>
      <w:r>
        <w:rPr>
          <w:rFonts w:eastAsia="Aptos"/>
        </w:rPr>
        <w:tab/>
      </w:r>
      <w:r w:rsidRPr="00CA541B">
        <w:rPr>
          <w:rFonts w:eastAsia="Aptos"/>
        </w:rPr>
        <w:t>The petition shall be considered by the public body’s at the next regularly scheduled meeting.</w:t>
      </w:r>
    </w:p>
    <w:p w14:paraId="59ECEF2B" w14:textId="77777777" w:rsidR="007E775F" w:rsidRPr="00CA541B" w:rsidRDefault="007E775F" w:rsidP="007E775F">
      <w:pPr>
        <w:pStyle w:val="1"/>
        <w:rPr>
          <w:rFonts w:eastAsia="Aptos"/>
        </w:rPr>
      </w:pPr>
      <w:r w:rsidRPr="00CA541B">
        <w:rPr>
          <w:rFonts w:eastAsia="Aptos"/>
        </w:rPr>
        <w:t>2.</w:t>
      </w:r>
      <w:r>
        <w:rPr>
          <w:rFonts w:eastAsia="Aptos"/>
        </w:rPr>
        <w:tab/>
      </w:r>
      <w:r w:rsidRPr="00CA541B">
        <w:rPr>
          <w:rFonts w:eastAsia="Aptos"/>
        </w:rPr>
        <w:t>The petitioner shall be provided with adequate notice of the meeting.</w:t>
      </w:r>
    </w:p>
    <w:p w14:paraId="71A03BD4" w14:textId="77777777" w:rsidR="007E775F" w:rsidRPr="00CA541B" w:rsidRDefault="007E775F" w:rsidP="007E775F">
      <w:pPr>
        <w:pStyle w:val="1"/>
        <w:rPr>
          <w:rFonts w:eastAsia="Aptos"/>
        </w:rPr>
      </w:pPr>
      <w:r w:rsidRPr="00CA541B">
        <w:rPr>
          <w:rFonts w:eastAsia="Aptos"/>
        </w:rPr>
        <w:t>3.</w:t>
      </w:r>
      <w:r>
        <w:rPr>
          <w:rFonts w:eastAsia="Aptos"/>
        </w:rPr>
        <w:tab/>
      </w:r>
      <w:r w:rsidRPr="00CA541B">
        <w:rPr>
          <w:rFonts w:eastAsia="Aptos"/>
        </w:rPr>
        <w:t xml:space="preserve">Within 90 days of the submission of the petition, the public body shall either; </w:t>
      </w:r>
    </w:p>
    <w:p w14:paraId="2B2433D8" w14:textId="77777777" w:rsidR="007E775F" w:rsidRPr="00CA541B" w:rsidRDefault="007E775F" w:rsidP="007E775F">
      <w:pPr>
        <w:pStyle w:val="a0"/>
        <w:rPr>
          <w:rFonts w:eastAsia="Aptos"/>
        </w:rPr>
      </w:pPr>
      <w:r w:rsidRPr="00CA541B">
        <w:rPr>
          <w:rFonts w:eastAsia="Aptos"/>
        </w:rPr>
        <w:t>a.</w:t>
      </w:r>
      <w:r>
        <w:rPr>
          <w:rFonts w:eastAsia="Aptos"/>
        </w:rPr>
        <w:tab/>
      </w:r>
      <w:r w:rsidRPr="00CA541B">
        <w:rPr>
          <w:rFonts w:eastAsia="Aptos"/>
        </w:rPr>
        <w:t xml:space="preserve">deny the petition in writing, stating reasons for the denial; or </w:t>
      </w:r>
    </w:p>
    <w:p w14:paraId="26E5BAD0" w14:textId="77777777" w:rsidR="00CF626A" w:rsidRPr="001531CD" w:rsidRDefault="007E775F" w:rsidP="007E775F">
      <w:pPr>
        <w:pStyle w:val="a0"/>
      </w:pPr>
      <w:r w:rsidRPr="00CA541B">
        <w:rPr>
          <w:rFonts w:eastAsia="Aptos"/>
        </w:rPr>
        <w:t>b.</w:t>
      </w:r>
      <w:r w:rsidRPr="00CA541B">
        <w:rPr>
          <w:rFonts w:eastAsia="Aptos"/>
        </w:rPr>
        <w:tab/>
        <w:t>initiate rulemaking proceedings in accordance with the Administrative Procedure Act.</w:t>
      </w:r>
    </w:p>
    <w:p w14:paraId="563C9321" w14:textId="77777777" w:rsidR="00CF626A" w:rsidRPr="001531CD" w:rsidRDefault="00CF626A">
      <w:pPr>
        <w:pStyle w:val="AuthorityNote"/>
      </w:pPr>
      <w:r w:rsidRPr="001531CD">
        <w:t>AUTHORITY NOTE:</w:t>
      </w:r>
      <w:r w:rsidRPr="001531CD">
        <w:tab/>
      </w:r>
      <w:r w:rsidR="007E775F" w:rsidRPr="00CA541B">
        <w:rPr>
          <w:rFonts w:eastAsia="Aptos"/>
        </w:rPr>
        <w:t>Promulgated</w:t>
      </w:r>
      <w:r w:rsidR="007E775F">
        <w:rPr>
          <w:rFonts w:eastAsia="Aptos"/>
        </w:rPr>
        <w:t xml:space="preserve"> in accordance with R.S. 46:953, R.S. 49:964,</w:t>
      </w:r>
      <w:r w:rsidR="007E775F" w:rsidRPr="00CA541B">
        <w:rPr>
          <w:rFonts w:eastAsia="Aptos"/>
        </w:rPr>
        <w:t xml:space="preserve"> R.S. 3:3</w:t>
      </w:r>
      <w:r w:rsidR="007E775F">
        <w:rPr>
          <w:rFonts w:eastAsia="Aptos"/>
        </w:rPr>
        <w:t>.</w:t>
      </w:r>
    </w:p>
    <w:p w14:paraId="6CE54375" w14:textId="77777777" w:rsidR="00CF626A" w:rsidRPr="001531CD" w:rsidRDefault="00CF626A">
      <w:pPr>
        <w:pStyle w:val="HistoricalNote"/>
      </w:pPr>
      <w:r w:rsidRPr="001531CD">
        <w:lastRenderedPageBreak/>
        <w:t>HISTORICAL NOTE:</w:t>
      </w:r>
      <w:r w:rsidRPr="001531CD">
        <w:tab/>
        <w:t>Promulgated by the Department of Agriculture and Forestry, LR 18:144 (February 1992</w:t>
      </w:r>
      <w:r w:rsidR="007E775F">
        <w:rPr>
          <w:rFonts w:eastAsia="Aptos"/>
        </w:rPr>
        <w:t>),</w:t>
      </w:r>
      <w:r w:rsidR="007E775F" w:rsidRPr="00CA541B">
        <w:rPr>
          <w:rFonts w:eastAsia="Aptos"/>
        </w:rPr>
        <w:t xml:space="preserve"> amended by the Department of Agriculture and Forestry, Office of the Commissioner, LR 51:</w:t>
      </w:r>
      <w:r w:rsidR="007E775F">
        <w:rPr>
          <w:rFonts w:eastAsia="Aptos"/>
        </w:rPr>
        <w:t>782 (June 2025).</w:t>
      </w:r>
    </w:p>
    <w:p w14:paraId="3259E3FA" w14:textId="77777777" w:rsidR="00CF626A" w:rsidRPr="001531CD" w:rsidRDefault="00CF626A">
      <w:pPr>
        <w:pStyle w:val="Section"/>
      </w:pPr>
      <w:bookmarkStart w:id="81" w:name="_Toc256754257"/>
      <w:bookmarkStart w:id="82" w:name="_Toc224818461"/>
      <w:r w:rsidRPr="001531CD">
        <w:t>§107.</w:t>
      </w:r>
      <w:r w:rsidRPr="001531CD">
        <w:tab/>
        <w:t>Emergency Airstrip for Agricultural Purposes Program</w:t>
      </w:r>
      <w:bookmarkEnd w:id="81"/>
      <w:bookmarkEnd w:id="82"/>
    </w:p>
    <w:p w14:paraId="3D8BCD0E" w14:textId="77777777" w:rsidR="00CF626A" w:rsidRPr="001531CD" w:rsidRDefault="00CF626A" w:rsidP="0034445B">
      <w:pPr>
        <w:pStyle w:val="A"/>
        <w:spacing w:after="80"/>
      </w:pPr>
      <w:r w:rsidRPr="001531CD">
        <w:t>A.</w:t>
      </w:r>
      <w:r w:rsidRPr="001531CD">
        <w:tab/>
        <w:t>Creation. There is hereby established within the Department of Agriculture and Forestry a program to designate certain roads as emergency airstrips to aid in the use of aircraft for agricultural purposes to be known as the "Emergency Airstrip for Agricultural Purposes Program."</w:t>
      </w:r>
    </w:p>
    <w:p w14:paraId="374666C1" w14:textId="77777777" w:rsidR="00CF626A" w:rsidRPr="001531CD" w:rsidRDefault="00CF626A" w:rsidP="0034445B">
      <w:pPr>
        <w:pStyle w:val="A"/>
        <w:spacing w:after="80"/>
      </w:pPr>
      <w:r w:rsidRPr="001531CD">
        <w:t>B.</w:t>
      </w:r>
      <w:r w:rsidRPr="001531CD">
        <w:tab/>
        <w:t>Declaration of Emergency</w:t>
      </w:r>
    </w:p>
    <w:p w14:paraId="22E0DDB2" w14:textId="77777777" w:rsidR="00CF626A" w:rsidRPr="001531CD" w:rsidRDefault="00CF626A" w:rsidP="0034445B">
      <w:pPr>
        <w:pStyle w:val="1"/>
        <w:spacing w:after="80"/>
      </w:pPr>
      <w:r w:rsidRPr="001531CD">
        <w:t>1.</w:t>
      </w:r>
      <w:r w:rsidRPr="001531CD">
        <w:tab/>
        <w:t>The department may declare an agricultural emergency to exist which requires the use of portions of designated roads as airstrips for agricultural purposes when conditions are such that agricultural turf airstrips are rendered unavailable for safe use.</w:t>
      </w:r>
    </w:p>
    <w:p w14:paraId="27A5B880" w14:textId="77777777" w:rsidR="00CF626A" w:rsidRPr="001531CD" w:rsidRDefault="00CF626A" w:rsidP="0034445B">
      <w:pPr>
        <w:pStyle w:val="1"/>
        <w:spacing w:after="80"/>
      </w:pPr>
      <w:r w:rsidRPr="001531CD">
        <w:t>2.</w:t>
      </w:r>
      <w:r w:rsidRPr="001531CD">
        <w:tab/>
        <w:t>Each declaration of agricultural emergency shall be in writing and contain a declaration number, the date, and a list of the portions of designated roads which may be utilized as airstrips during the agricultural emergency.</w:t>
      </w:r>
    </w:p>
    <w:p w14:paraId="1BA3E13E" w14:textId="77777777" w:rsidR="00CF626A" w:rsidRPr="001531CD" w:rsidRDefault="00CF626A" w:rsidP="0034445B">
      <w:pPr>
        <w:pStyle w:val="1"/>
        <w:spacing w:after="80"/>
      </w:pPr>
      <w:r w:rsidRPr="001531CD">
        <w:t>3.</w:t>
      </w:r>
      <w:r w:rsidRPr="001531CD">
        <w:tab/>
        <w:t>The department shall provide a copy of the declaration to the sheriff and police jury for the parish in which each of the designated roads is located, and the aviation division of the State Department of Transportation and Development (hereinafter referred to as "DOTD") prior to utilization of the emergency airstrip. If the designated road is a state road, a copy of the declaration should also be provided to the communications center at State Police Headquarters and to the secretary of DOTD. If a designated road is located on the parish line, a copy of the declaration must be provided to the sheriff and police jury for both parishes.</w:t>
      </w:r>
    </w:p>
    <w:p w14:paraId="7904B9B9" w14:textId="77777777" w:rsidR="00CF626A" w:rsidRPr="001531CD" w:rsidRDefault="00CF626A">
      <w:pPr>
        <w:pStyle w:val="1"/>
      </w:pPr>
      <w:r w:rsidRPr="001531CD">
        <w:t>4.</w:t>
      </w:r>
      <w:r w:rsidRPr="001531CD">
        <w:tab/>
        <w:t>The appropriate law enforcement entity as set forth in Paragraph B.3 above shall be responsible for implementing security and safety requirements for road traffic during periods when a road designated for use as an emergency airstrip to aid in the use of aircraft for agricultural purposes is actually utilized for that purpose. At a minimum, the appropriate law enforcement entity shall have at least one officer at the site and signs shall be placed at each end and at all approach ramps of a designated road to notify persons that the road is designated for use as an emergency airstrip to aid in the use of aircraft for agricultural purposes. The officer will insure that whenever aircraft are in the process of landing, taking off, or taxiing, there shall be no movement of vehicles on the emergency airstrip or within 500 feet of each landing threshold of the emergency airstrip. The enforcement entity providing said officer shall have the option of cost recovery for services from the party requesting use of the emergency airstrip.</w:t>
      </w:r>
    </w:p>
    <w:p w14:paraId="4555E2DF" w14:textId="77777777" w:rsidR="00CF626A" w:rsidRPr="001531CD" w:rsidRDefault="00CF626A">
      <w:pPr>
        <w:pStyle w:val="A"/>
      </w:pPr>
      <w:r w:rsidRPr="001531CD">
        <w:t>C.</w:t>
      </w:r>
      <w:r w:rsidRPr="001531CD">
        <w:tab/>
        <w:t>Designation of Roads</w:t>
      </w:r>
    </w:p>
    <w:p w14:paraId="0AED57D0" w14:textId="77777777" w:rsidR="00CF626A" w:rsidRPr="001531CD" w:rsidRDefault="00CF626A">
      <w:pPr>
        <w:pStyle w:val="1"/>
      </w:pPr>
      <w:r w:rsidRPr="001531CD">
        <w:t>1.</w:t>
      </w:r>
      <w:r w:rsidRPr="001531CD">
        <w:tab/>
        <w:t>Upon declaration by the department that an agricultural emergency exists, certain roads, including but not limited to dead-end roads and strategically placed parish roads, may be designated by the department for use as airstrips to aid in the use of aircraft for agricultural purposes.</w:t>
      </w:r>
    </w:p>
    <w:p w14:paraId="4E4E6F06" w14:textId="77777777" w:rsidR="00CF626A" w:rsidRPr="001531CD" w:rsidRDefault="00CF626A">
      <w:pPr>
        <w:pStyle w:val="1"/>
      </w:pPr>
      <w:r w:rsidRPr="001531CD">
        <w:t>2.</w:t>
      </w:r>
      <w:r w:rsidRPr="001531CD">
        <w:tab/>
        <w:t>Whenever possible, the department shall pre-designate a portion of a road for use as an emergency agricultural airstrip for use in the event a declaration of an agricultural emergency is made by the department. The request for pre-designation must be made by mail or facsimile to the department and include the following information:</w:t>
      </w:r>
    </w:p>
    <w:p w14:paraId="32061651" w14:textId="77777777" w:rsidR="00CF626A" w:rsidRPr="001531CD" w:rsidRDefault="00CF626A">
      <w:pPr>
        <w:pStyle w:val="a0"/>
      </w:pPr>
      <w:r w:rsidRPr="001531CD">
        <w:t>a.</w:t>
      </w:r>
      <w:r w:rsidRPr="001531CD">
        <w:tab/>
        <w:t>location of the road marked on a topography map;</w:t>
      </w:r>
    </w:p>
    <w:p w14:paraId="2E92F2CD" w14:textId="77777777" w:rsidR="00CF626A" w:rsidRPr="001531CD" w:rsidRDefault="00CF626A">
      <w:pPr>
        <w:pStyle w:val="a0"/>
      </w:pPr>
      <w:r w:rsidRPr="001531CD">
        <w:t>b.</w:t>
      </w:r>
      <w:r w:rsidRPr="001531CD">
        <w:tab/>
        <w:t>reason for designation; and</w:t>
      </w:r>
    </w:p>
    <w:p w14:paraId="56795FFD" w14:textId="77777777" w:rsidR="00CF626A" w:rsidRPr="001531CD" w:rsidRDefault="00CF626A">
      <w:pPr>
        <w:pStyle w:val="a0"/>
      </w:pPr>
      <w:r w:rsidRPr="001531CD">
        <w:t>c.</w:t>
      </w:r>
      <w:r w:rsidRPr="001531CD">
        <w:tab/>
        <w:t>a statement that the road meets all the criteria set forth in Paragraph C.3 or a statement setting forth the reasons why a waiver under Paragraph C.4 should be issued.</w:t>
      </w:r>
    </w:p>
    <w:p w14:paraId="09644BA0" w14:textId="77777777" w:rsidR="00CF626A" w:rsidRPr="001531CD" w:rsidRDefault="00CF626A">
      <w:pPr>
        <w:pStyle w:val="1"/>
      </w:pPr>
      <w:r w:rsidRPr="001531CD">
        <w:t>3.</w:t>
      </w:r>
      <w:r w:rsidRPr="001531CD">
        <w:tab/>
        <w:t>Predesignated emergency agricultural airstrips shall be inspected and registered by DOTD Aviation using similar criteria as utilized by DOTD in the registration of an agricultural use permanent airstrip. The registration certificate shall be issued to and held by the department. The registered and designated airstrip shall be marked and signed as such. Persons seeking predesignation must contact the aviation division of DOTD for specifications regarding the appropriate marking and signage required for the registered and designated emergency airstrip.</w:t>
      </w:r>
    </w:p>
    <w:p w14:paraId="67B5DD03" w14:textId="77777777" w:rsidR="00CF626A" w:rsidRPr="001531CD" w:rsidRDefault="00CF626A">
      <w:pPr>
        <w:pStyle w:val="1"/>
      </w:pPr>
      <w:r w:rsidRPr="001531CD">
        <w:t>4.</w:t>
      </w:r>
      <w:r w:rsidRPr="001531CD">
        <w:tab/>
        <w:t>The department may authorize use of airstrips which have not been pre-designated and registered with the aviation division of DOTD, on a case-by-case basis, when safety and aircraft performance would not be compromised by such waiver and the use of said road as an emergency agricultural airstrip is deemed necessary by the department. Any such airstrip authorized shall, at a minimum, meet all of the following:</w:t>
      </w:r>
    </w:p>
    <w:p w14:paraId="46ECBC84" w14:textId="77777777" w:rsidR="00CF626A" w:rsidRPr="001531CD" w:rsidRDefault="00CF626A">
      <w:pPr>
        <w:pStyle w:val="a0"/>
      </w:pPr>
      <w:r w:rsidRPr="001531CD">
        <w:t>a.</w:t>
      </w:r>
      <w:r w:rsidRPr="001531CD">
        <w:tab/>
        <w:t>the surface must be flat and straight for a minimum distance to 2,000 feet;</w:t>
      </w:r>
    </w:p>
    <w:p w14:paraId="0308FA89" w14:textId="77777777" w:rsidR="00CF626A" w:rsidRPr="001531CD" w:rsidRDefault="00CF626A">
      <w:pPr>
        <w:pStyle w:val="a0"/>
      </w:pPr>
      <w:r w:rsidRPr="001531CD">
        <w:t>b.</w:t>
      </w:r>
      <w:r w:rsidRPr="001531CD">
        <w:tab/>
        <w:t>the width shall be a minimum of 20 feet for the full length of the landing area. Sufficient wing tip clearance shall be provided as required for the aircraft utilizing the emergency agricultural airstrip;</w:t>
      </w:r>
    </w:p>
    <w:p w14:paraId="0A800070" w14:textId="77777777" w:rsidR="00CF626A" w:rsidRPr="001531CD" w:rsidRDefault="00CF626A">
      <w:pPr>
        <w:pStyle w:val="a0"/>
      </w:pPr>
      <w:r w:rsidRPr="001531CD">
        <w:t>c.</w:t>
      </w:r>
      <w:r w:rsidRPr="001531CD">
        <w:tab/>
        <w:t>there shall be no potholes or depressions greater than 3 inches in depth over the entire landing surface;</w:t>
      </w:r>
    </w:p>
    <w:p w14:paraId="6B9D71AC" w14:textId="77777777" w:rsidR="00CF626A" w:rsidRPr="001531CD" w:rsidRDefault="00CF626A">
      <w:pPr>
        <w:pStyle w:val="a0"/>
      </w:pPr>
      <w:r w:rsidRPr="001531CD">
        <w:t>d.</w:t>
      </w:r>
      <w:r w:rsidRPr="001531CD">
        <w:tab/>
        <w:t>there shall be no vertical obstructions such as utility poles, trees, buildings, road signs, mail boxes, etc., on more than one longitudinal side of the landing surface;</w:t>
      </w:r>
    </w:p>
    <w:p w14:paraId="121ED208" w14:textId="77777777" w:rsidR="00CF626A" w:rsidRPr="001531CD" w:rsidRDefault="00CF626A">
      <w:pPr>
        <w:pStyle w:val="a0"/>
      </w:pPr>
      <w:r w:rsidRPr="001531CD">
        <w:t>e.</w:t>
      </w:r>
      <w:r w:rsidRPr="001531CD">
        <w:tab/>
        <w:t>there shall be no overhead obstructions such as utility lines, overpasses, bridges, etc., for the full length of the landing area and within 500 feet of each landing area threshold;</w:t>
      </w:r>
    </w:p>
    <w:p w14:paraId="436C3F85" w14:textId="77777777" w:rsidR="00CF626A" w:rsidRPr="001531CD" w:rsidRDefault="00CF626A">
      <w:pPr>
        <w:pStyle w:val="a0"/>
      </w:pPr>
      <w:r w:rsidRPr="001531CD">
        <w:t>f.</w:t>
      </w:r>
      <w:r w:rsidRPr="001531CD">
        <w:tab/>
        <w:t>each landing area threshold shall be marked in such a way as to be readily identified from an aircraft in flight (e.g., white or orange cones, buckets, or painted tires); and</w:t>
      </w:r>
    </w:p>
    <w:p w14:paraId="2ACD9727" w14:textId="77777777" w:rsidR="00CF626A" w:rsidRPr="001531CD" w:rsidRDefault="00CF626A">
      <w:pPr>
        <w:pStyle w:val="a0"/>
      </w:pPr>
      <w:r w:rsidRPr="001531CD">
        <w:t>g.</w:t>
      </w:r>
      <w:r w:rsidRPr="001531CD">
        <w:tab/>
        <w:t>threshold markers shall be placed on either side of the landing area at the thresholds and shall be no taller than 24 inches.</w:t>
      </w:r>
    </w:p>
    <w:p w14:paraId="2C2C71BC" w14:textId="77777777" w:rsidR="00CF626A" w:rsidRPr="001531CD" w:rsidRDefault="00CF626A">
      <w:pPr>
        <w:pStyle w:val="AuthorityNote"/>
      </w:pPr>
      <w:r w:rsidRPr="001531CD">
        <w:t>AUTHORITY NOTE:</w:t>
      </w:r>
      <w:r w:rsidRPr="001531CD">
        <w:tab/>
        <w:t>Promulgated in accordance with R.S. 3:18.</w:t>
      </w:r>
    </w:p>
    <w:p w14:paraId="40140679" w14:textId="77777777" w:rsidR="00CF626A" w:rsidRDefault="00CF626A">
      <w:pPr>
        <w:pStyle w:val="HistoricalNote"/>
      </w:pPr>
      <w:bookmarkStart w:id="83" w:name="LastPara"/>
      <w:bookmarkEnd w:id="83"/>
      <w:r w:rsidRPr="001531CD">
        <w:lastRenderedPageBreak/>
        <w:t>HISTORICAL NOTE:</w:t>
      </w:r>
      <w:r w:rsidRPr="001531CD">
        <w:tab/>
        <w:t>Promulgated by the Department of Agriculture and Forestry, Office of the Commissioner, LR 23:703 (June 1997).</w:t>
      </w:r>
    </w:p>
    <w:p w14:paraId="5B492D3E" w14:textId="77777777" w:rsidR="00A16100" w:rsidRPr="009769DE" w:rsidRDefault="00A16100" w:rsidP="00A16100">
      <w:pPr>
        <w:pStyle w:val="Section"/>
        <w:rPr>
          <w:rFonts w:eastAsia="Aptos"/>
        </w:rPr>
      </w:pPr>
      <w:bookmarkStart w:id="84" w:name="_Toc224818462"/>
      <w:r w:rsidRPr="009769DE">
        <w:rPr>
          <w:rFonts w:eastAsia="Aptos"/>
        </w:rPr>
        <w:t>§111.</w:t>
      </w:r>
      <w:r w:rsidRPr="009769DE">
        <w:rPr>
          <w:rFonts w:eastAsia="Aptos"/>
        </w:rPr>
        <w:tab/>
        <w:t>Petitions for Declaratory Orders and Rulings</w:t>
      </w:r>
      <w:bookmarkEnd w:id="84"/>
    </w:p>
    <w:p w14:paraId="215982D6" w14:textId="77777777" w:rsidR="00A16100" w:rsidRPr="009769DE" w:rsidRDefault="00A16100" w:rsidP="00A16100">
      <w:pPr>
        <w:pStyle w:val="A"/>
      </w:pPr>
      <w:r w:rsidRPr="009769DE">
        <w:t>A.</w:t>
      </w:r>
      <w:r w:rsidRPr="009769DE">
        <w:tab/>
        <w:t>Any interested person desiring a declaratory ord</w:t>
      </w:r>
      <w:r>
        <w:t xml:space="preserve">er must file a written petition </w:t>
      </w:r>
      <w:r w:rsidRPr="009769DE">
        <w:t>with the appropriate public body created within the department, which shall include:</w:t>
      </w:r>
    </w:p>
    <w:p w14:paraId="01FD0105" w14:textId="77777777" w:rsidR="00A16100" w:rsidRPr="009769DE" w:rsidRDefault="00A16100" w:rsidP="00A16100">
      <w:pPr>
        <w:pStyle w:val="1"/>
      </w:pPr>
      <w:r w:rsidRPr="009769DE">
        <w:t>1.</w:t>
      </w:r>
      <w:r w:rsidRPr="009769DE">
        <w:tab/>
        <w:t>a clear, concise written statement of applicable facts and supporting evidence, including the statutes, rules, or regulations at issue; and</w:t>
      </w:r>
    </w:p>
    <w:p w14:paraId="621CD5E9" w14:textId="77777777" w:rsidR="00A16100" w:rsidRPr="009769DE" w:rsidRDefault="00A16100" w:rsidP="00A16100">
      <w:pPr>
        <w:pStyle w:val="1"/>
      </w:pPr>
      <w:r w:rsidRPr="009769DE">
        <w:t>2.</w:t>
      </w:r>
      <w:r w:rsidRPr="009769DE">
        <w:tab/>
        <w:t xml:space="preserve">the name, address, telephone number, and email address of the applicant and each person that may be called to testify as a witness. </w:t>
      </w:r>
    </w:p>
    <w:p w14:paraId="0747353A" w14:textId="77777777" w:rsidR="00A16100" w:rsidRPr="009769DE" w:rsidRDefault="00A16100" w:rsidP="00A16100">
      <w:pPr>
        <w:pStyle w:val="A"/>
        <w:rPr>
          <w:rFonts w:eastAsia="Aptos"/>
        </w:rPr>
      </w:pPr>
      <w:r w:rsidRPr="009769DE">
        <w:rPr>
          <w:rFonts w:eastAsia="Aptos"/>
        </w:rPr>
        <w:t>B.</w:t>
      </w:r>
      <w:r w:rsidRPr="009769DE">
        <w:rPr>
          <w:rFonts w:eastAsia="Aptos"/>
        </w:rPr>
        <w:tab/>
        <w:t>Unless otherwise provided by statute or rule, all petitions for declaratory order or ruling shall be addressed to the commissioner of agriculture and forestry and shall be mailed or delivered to: Legal Division, 5825 Florida Blvd, Suite 2000, Baton Rouge, LA 70806.</w:t>
      </w:r>
    </w:p>
    <w:p w14:paraId="51D19390" w14:textId="77777777" w:rsidR="00A16100" w:rsidRPr="009769DE" w:rsidRDefault="00A16100" w:rsidP="00A16100">
      <w:pPr>
        <w:pStyle w:val="A"/>
        <w:rPr>
          <w:rFonts w:eastAsia="Aptos"/>
        </w:rPr>
      </w:pPr>
      <w:bookmarkStart w:id="85" w:name="_Hlk182958919"/>
      <w:r w:rsidRPr="009769DE">
        <w:rPr>
          <w:rFonts w:eastAsia="Aptos"/>
        </w:rPr>
        <w:t>C.</w:t>
      </w:r>
      <w:r w:rsidRPr="009769DE">
        <w:rPr>
          <w:rFonts w:eastAsia="Aptos"/>
        </w:rPr>
        <w:tab/>
        <w:t xml:space="preserve">If the petition seeks declaratory relief over which the commissioner has authority: </w:t>
      </w:r>
    </w:p>
    <w:p w14:paraId="7016DC91" w14:textId="77777777" w:rsidR="00A16100" w:rsidRPr="009769DE" w:rsidRDefault="00A16100" w:rsidP="00A16100">
      <w:pPr>
        <w:pStyle w:val="1"/>
        <w:rPr>
          <w:rFonts w:eastAsia="Aptos"/>
        </w:rPr>
      </w:pPr>
      <w:r w:rsidRPr="009769DE">
        <w:rPr>
          <w:rFonts w:eastAsia="Aptos"/>
        </w:rPr>
        <w:t>1.</w:t>
      </w:r>
      <w:r w:rsidRPr="009769DE">
        <w:rPr>
          <w:rFonts w:eastAsia="Aptos"/>
        </w:rPr>
        <w:tab/>
        <w:t>the petition shall be considered by the commissioner within a reasonable time; and</w:t>
      </w:r>
    </w:p>
    <w:p w14:paraId="38189E0A" w14:textId="77777777" w:rsidR="00A16100" w:rsidRPr="009769DE" w:rsidRDefault="00A16100" w:rsidP="00A16100">
      <w:pPr>
        <w:pStyle w:val="1"/>
        <w:rPr>
          <w:rFonts w:eastAsia="Aptos"/>
        </w:rPr>
      </w:pPr>
      <w:r w:rsidRPr="009769DE">
        <w:rPr>
          <w:rFonts w:eastAsia="Aptos"/>
        </w:rPr>
        <w:t>2.</w:t>
      </w:r>
      <w:r>
        <w:rPr>
          <w:rFonts w:eastAsia="Aptos"/>
        </w:rPr>
        <w:tab/>
      </w:r>
      <w:r w:rsidRPr="009769DE">
        <w:rPr>
          <w:rFonts w:eastAsia="Aptos"/>
        </w:rPr>
        <w:t xml:space="preserve">the commissioner will issue a written declaratory order, which shall be a final order. </w:t>
      </w:r>
    </w:p>
    <w:p w14:paraId="2373A6BF" w14:textId="77777777" w:rsidR="00A16100" w:rsidRPr="009769DE" w:rsidRDefault="00A16100" w:rsidP="00A16100">
      <w:pPr>
        <w:pStyle w:val="A"/>
        <w:rPr>
          <w:rFonts w:eastAsia="Aptos"/>
        </w:rPr>
      </w:pPr>
      <w:bookmarkStart w:id="86" w:name="_Hlk182960005"/>
      <w:bookmarkEnd w:id="85"/>
      <w:r w:rsidRPr="009769DE">
        <w:rPr>
          <w:rFonts w:eastAsia="Aptos"/>
        </w:rPr>
        <w:t>D.</w:t>
      </w:r>
      <w:r w:rsidRPr="009769DE">
        <w:rPr>
          <w:rFonts w:eastAsia="Aptos"/>
        </w:rPr>
        <w:tab/>
        <w:t xml:space="preserve">If the petition seeks declaratory relief over which a public body created within the department has authority, the petition shall be considered as follows: </w:t>
      </w:r>
    </w:p>
    <w:p w14:paraId="26D0C14F" w14:textId="77777777" w:rsidR="00A16100" w:rsidRPr="009769DE" w:rsidRDefault="00A16100" w:rsidP="00A16100">
      <w:pPr>
        <w:pStyle w:val="1"/>
        <w:rPr>
          <w:rFonts w:eastAsia="Aptos"/>
        </w:rPr>
      </w:pPr>
      <w:r w:rsidRPr="009769DE">
        <w:rPr>
          <w:rFonts w:eastAsia="Aptos"/>
        </w:rPr>
        <w:t>1.</w:t>
      </w:r>
      <w:r w:rsidRPr="009769DE">
        <w:rPr>
          <w:rFonts w:eastAsia="Aptos"/>
        </w:rPr>
        <w:tab/>
        <w:t>the petition shall be considered by the appropriate public body at its next regularly scheduled meeting;</w:t>
      </w:r>
    </w:p>
    <w:p w14:paraId="3194B7F6" w14:textId="77777777" w:rsidR="00A16100" w:rsidRPr="009769DE" w:rsidRDefault="00A16100" w:rsidP="00A16100">
      <w:pPr>
        <w:pStyle w:val="1"/>
        <w:rPr>
          <w:rFonts w:eastAsia="Aptos"/>
        </w:rPr>
      </w:pPr>
      <w:r w:rsidRPr="009769DE">
        <w:rPr>
          <w:rFonts w:eastAsia="Aptos"/>
        </w:rPr>
        <w:t>2.</w:t>
      </w:r>
      <w:r w:rsidRPr="009769DE">
        <w:rPr>
          <w:rFonts w:eastAsia="Aptos"/>
        </w:rPr>
        <w:tab/>
        <w:t>the petitioner shall be provided adequate notice of the meeting; and</w:t>
      </w:r>
    </w:p>
    <w:p w14:paraId="31621E0D" w14:textId="77777777" w:rsidR="00A16100" w:rsidRPr="009769DE" w:rsidRDefault="00A16100" w:rsidP="00A16100">
      <w:pPr>
        <w:pStyle w:val="1"/>
        <w:rPr>
          <w:rFonts w:eastAsia="Aptos"/>
        </w:rPr>
      </w:pPr>
      <w:r w:rsidRPr="009769DE">
        <w:rPr>
          <w:rFonts w:eastAsia="Aptos"/>
        </w:rPr>
        <w:t>3.</w:t>
      </w:r>
      <w:r w:rsidRPr="009769DE">
        <w:rPr>
          <w:rFonts w:eastAsia="Aptos"/>
        </w:rPr>
        <w:tab/>
        <w:t xml:space="preserve">the public body shall issue a written, final declaratory order within a reasonable time. </w:t>
      </w:r>
    </w:p>
    <w:bookmarkEnd w:id="86"/>
    <w:p w14:paraId="1C27AFB8" w14:textId="77777777" w:rsidR="00A16100" w:rsidRPr="009769DE" w:rsidRDefault="00A16100" w:rsidP="00A16100">
      <w:pPr>
        <w:pStyle w:val="A"/>
        <w:rPr>
          <w:rFonts w:eastAsia="Aptos"/>
        </w:rPr>
      </w:pPr>
      <w:r w:rsidRPr="009769DE">
        <w:rPr>
          <w:rFonts w:eastAsia="Aptos"/>
        </w:rPr>
        <w:t>E.</w:t>
      </w:r>
      <w:r w:rsidRPr="009769DE">
        <w:rPr>
          <w:rFonts w:eastAsia="Aptos"/>
        </w:rPr>
        <w:tab/>
        <w:t xml:space="preserve">Written declaratory orders shall be sent to the petitioner either by certified mail, hand delivery, or commercial courier. </w:t>
      </w:r>
    </w:p>
    <w:p w14:paraId="398CD4E6" w14:textId="77777777" w:rsidR="00A16100" w:rsidRDefault="00A16100" w:rsidP="00A16100">
      <w:pPr>
        <w:pStyle w:val="A"/>
        <w:rPr>
          <w:rFonts w:eastAsia="Aptos"/>
        </w:rPr>
      </w:pPr>
      <w:r w:rsidRPr="009769DE">
        <w:rPr>
          <w:rFonts w:eastAsia="Aptos"/>
        </w:rPr>
        <w:t>F.</w:t>
      </w:r>
      <w:r w:rsidRPr="009769DE">
        <w:rPr>
          <w:rFonts w:eastAsia="Aptos"/>
        </w:rPr>
        <w:tab/>
        <w:t>A declaratory order shall have the same status as a final agency decision or an order in an adjudicated case.</w:t>
      </w:r>
      <w:r>
        <w:rPr>
          <w:rFonts w:eastAsia="Aptos"/>
        </w:rPr>
        <w:t xml:space="preserve"> </w:t>
      </w:r>
      <w:r w:rsidRPr="009769DE">
        <w:rPr>
          <w:rFonts w:eastAsia="Aptos"/>
        </w:rPr>
        <w:t>Declaratory orders may be appealed to district court in accordance with R.S. 49:968.</w:t>
      </w:r>
      <w:r>
        <w:rPr>
          <w:rFonts w:eastAsia="Aptos"/>
        </w:rPr>
        <w:t xml:space="preserve"> </w:t>
      </w:r>
    </w:p>
    <w:p w14:paraId="6AD05817" w14:textId="77777777" w:rsidR="00A16100" w:rsidRPr="009769DE" w:rsidRDefault="00A16100" w:rsidP="00A16100">
      <w:pPr>
        <w:pStyle w:val="AuthorityNote"/>
        <w:rPr>
          <w:rFonts w:eastAsia="Aptos"/>
        </w:rPr>
      </w:pPr>
      <w:r w:rsidRPr="009769DE">
        <w:rPr>
          <w:rFonts w:eastAsia="Aptos"/>
        </w:rPr>
        <w:t>AUTHORITY NOTE:</w:t>
      </w:r>
      <w:r w:rsidRPr="009769DE">
        <w:rPr>
          <w:rFonts w:eastAsia="Aptos"/>
        </w:rPr>
        <w:tab/>
        <w:t xml:space="preserve">Promulgated in accordance with R.S. 3:3; R.S. 49:968; and R.S. 49:977.4. </w:t>
      </w:r>
    </w:p>
    <w:p w14:paraId="55D050B5" w14:textId="77777777" w:rsidR="00A16100" w:rsidRPr="001531CD" w:rsidRDefault="00A16100" w:rsidP="00A16100">
      <w:pPr>
        <w:pStyle w:val="HistoricalNote"/>
      </w:pPr>
      <w:r w:rsidRPr="009769DE">
        <w:rPr>
          <w:rFonts w:eastAsia="Aptos"/>
        </w:rPr>
        <w:t>HISTORICAL NOTE:</w:t>
      </w:r>
      <w:r w:rsidRPr="009769DE">
        <w:rPr>
          <w:rFonts w:eastAsia="Aptos"/>
        </w:rPr>
        <w:tab/>
        <w:t>Promulgated by the Department of Agriculture and Forestry, Office of the Commissioner; LR 51:</w:t>
      </w:r>
      <w:r>
        <w:rPr>
          <w:rFonts w:eastAsia="Aptos"/>
        </w:rPr>
        <w:t>783 (June 2025).</w:t>
      </w:r>
    </w:p>
    <w:p w14:paraId="33B50E64" w14:textId="77777777" w:rsidR="00CF626A" w:rsidRPr="001531CD" w:rsidRDefault="00CF626A">
      <w:pPr>
        <w:pStyle w:val="Chapter"/>
      </w:pPr>
      <w:bookmarkStart w:id="87" w:name="TOC_Chap25"/>
      <w:bookmarkStart w:id="88" w:name="_Toc256754258"/>
      <w:bookmarkStart w:id="89" w:name="_Toc224818463"/>
      <w:r w:rsidRPr="001531CD">
        <w:t>Chapter 2.</w:t>
      </w:r>
      <w:bookmarkEnd w:id="87"/>
      <w:r w:rsidR="001413E4">
        <w:tab/>
      </w:r>
      <w:bookmarkStart w:id="90" w:name="TOCT_Chap3"/>
      <w:bookmarkStart w:id="91" w:name="TOCT_Chap25"/>
      <w:r w:rsidRPr="001531CD">
        <w:t>Rebates of Registration Fees</w:t>
      </w:r>
      <w:bookmarkEnd w:id="88"/>
      <w:bookmarkEnd w:id="89"/>
      <w:bookmarkEnd w:id="90"/>
      <w:bookmarkEnd w:id="91"/>
    </w:p>
    <w:p w14:paraId="43F5D59D" w14:textId="77777777" w:rsidR="00CF626A" w:rsidRPr="001531CD" w:rsidRDefault="00CF626A">
      <w:pPr>
        <w:pStyle w:val="Section"/>
      </w:pPr>
      <w:bookmarkStart w:id="92" w:name="_Toc256754259"/>
      <w:bookmarkStart w:id="93" w:name="_Toc224818464"/>
      <w:r w:rsidRPr="001531CD">
        <w:t>§201.</w:t>
      </w:r>
      <w:r w:rsidRPr="001531CD">
        <w:tab/>
        <w:t>Findings</w:t>
      </w:r>
      <w:bookmarkEnd w:id="92"/>
      <w:bookmarkEnd w:id="93"/>
    </w:p>
    <w:p w14:paraId="4910C638" w14:textId="77777777" w:rsidR="00CF626A" w:rsidRPr="001531CD" w:rsidRDefault="00CF626A">
      <w:pPr>
        <w:pStyle w:val="A"/>
      </w:pPr>
      <w:r w:rsidRPr="001531CD">
        <w:t>A.</w:t>
      </w:r>
      <w:r w:rsidRPr="001531CD">
        <w:tab/>
        <w:t xml:space="preserve">The commissioner of Agriculture and Forestry has the duty and authority to promote, protect, and advance Louisiana agriculture and to promote the building of Louisiana using </w:t>
      </w:r>
      <w:r w:rsidRPr="001531CD">
        <w:t>Louisiana products. The constitution and laws of Louisiana grant the commissioner this authority both generally and particularly. Among the particular subject matters entrusted to the commissioner for the foregoing objectives is the regulation of pesticides. The preservation of a safe supply of pesticides and of the local capacity to manufacture pesticides is essential to maintain agricultural production year after year while some pestilences subside as new ones arise. Although registering labels of pesticides serves the above stated objectives, the pesticide registration fees the Department of Agriculture and Forestry charges for such registration may in some cases impose a burden that impairs the above stated objectives. The commissioner finds that in order to promote and protect Louisiana agriculture and Louisiana products it is appropriate and expedient to permit pesticide manufacturers to apply for a rebate of the pesticide registration fee and to receive such rebate under those circumstances provided for in this Chapter.</w:t>
      </w:r>
    </w:p>
    <w:p w14:paraId="2391388C" w14:textId="77777777" w:rsidR="00CF626A" w:rsidRPr="001531CD" w:rsidRDefault="00CF626A">
      <w:pPr>
        <w:pStyle w:val="AuthorityNote"/>
      </w:pPr>
      <w:r w:rsidRPr="001531CD">
        <w:t>AUTHORITY NOTE:</w:t>
      </w:r>
      <w:r w:rsidRPr="001531CD">
        <w:tab/>
        <w:t>Promulgated in accordance with La. Const. Art. 4 §10; and R.S. 3:2(A), 3(B), 14(B), 1652, 1732, and 3203 (A).</w:t>
      </w:r>
    </w:p>
    <w:p w14:paraId="15332369" w14:textId="77777777" w:rsidR="00CF626A" w:rsidRPr="001531CD" w:rsidRDefault="00CF626A">
      <w:pPr>
        <w:pStyle w:val="HistoricalNote"/>
      </w:pPr>
      <w:r w:rsidRPr="001531CD">
        <w:t>HISTORICAL NOTE:</w:t>
      </w:r>
      <w:r w:rsidRPr="001531CD">
        <w:tab/>
        <w:t>Promulgated by the Department of Agriculture and Forestry, Office of the Commissioner, LR 24:626 (April 1998).</w:t>
      </w:r>
    </w:p>
    <w:p w14:paraId="65E230BC" w14:textId="77777777" w:rsidR="00CF626A" w:rsidRPr="001531CD" w:rsidRDefault="00CF626A" w:rsidP="0034445B">
      <w:pPr>
        <w:pStyle w:val="Section"/>
        <w:spacing w:after="80"/>
      </w:pPr>
      <w:bookmarkStart w:id="94" w:name="_Toc256754260"/>
      <w:bookmarkStart w:id="95" w:name="_Toc224818465"/>
      <w:r w:rsidRPr="001531CD">
        <w:t>§203.</w:t>
      </w:r>
      <w:r w:rsidRPr="001531CD">
        <w:tab/>
        <w:t>Application</w:t>
      </w:r>
      <w:bookmarkEnd w:id="94"/>
      <w:bookmarkEnd w:id="95"/>
    </w:p>
    <w:p w14:paraId="317481FA" w14:textId="77777777" w:rsidR="00CF626A" w:rsidRPr="001531CD" w:rsidRDefault="00CF626A" w:rsidP="0034445B">
      <w:pPr>
        <w:pStyle w:val="A"/>
        <w:spacing w:after="80"/>
      </w:pPr>
      <w:r w:rsidRPr="001531CD">
        <w:t>A.</w:t>
      </w:r>
      <w:r w:rsidRPr="001531CD">
        <w:tab/>
        <w:t>A pesticide manufacturer having paid the pesticide registration fee required by R.S. 3:3221(A) may make written application to the Department of Agriculture and Forestry on a form provided by said department for a rebate of not more than 50 percent of each pesticide registration fee paid by the pesticide manufacturer. This application must be submitted:</w:t>
      </w:r>
    </w:p>
    <w:p w14:paraId="5DAB19F4" w14:textId="77777777" w:rsidR="00CF626A" w:rsidRPr="001531CD" w:rsidRDefault="00CF626A" w:rsidP="0034445B">
      <w:pPr>
        <w:pStyle w:val="1"/>
        <w:spacing w:after="80"/>
      </w:pPr>
      <w:r w:rsidRPr="001531CD">
        <w:t>1.</w:t>
      </w:r>
      <w:r w:rsidRPr="001531CD">
        <w:tab/>
        <w:t>at the time of registration; or</w:t>
      </w:r>
    </w:p>
    <w:p w14:paraId="080F8015" w14:textId="77777777" w:rsidR="00CF626A" w:rsidRPr="001531CD" w:rsidRDefault="00CF626A" w:rsidP="0034445B">
      <w:pPr>
        <w:pStyle w:val="1"/>
        <w:spacing w:after="80"/>
      </w:pPr>
      <w:r w:rsidRPr="001531CD">
        <w:t>2.</w:t>
      </w:r>
      <w:r w:rsidRPr="001531CD">
        <w:tab/>
        <w:t>at any time on or before December 31 of the year of registration; or</w:t>
      </w:r>
    </w:p>
    <w:p w14:paraId="55B16252" w14:textId="77777777" w:rsidR="00CF626A" w:rsidRPr="001531CD" w:rsidRDefault="00CF626A" w:rsidP="0034445B">
      <w:pPr>
        <w:pStyle w:val="1"/>
        <w:spacing w:after="80"/>
      </w:pPr>
      <w:r w:rsidRPr="001531CD">
        <w:t>3.</w:t>
      </w:r>
      <w:r w:rsidRPr="001531CD">
        <w:tab/>
        <w:t>prior to July 1, 1998 where the application is for a rebate of a pesticide registration fee paid in 1997.</w:t>
      </w:r>
    </w:p>
    <w:p w14:paraId="1115C294" w14:textId="77777777" w:rsidR="00CF626A" w:rsidRPr="001531CD" w:rsidRDefault="00CF626A">
      <w:pPr>
        <w:pStyle w:val="AuthorityNote"/>
      </w:pPr>
      <w:r w:rsidRPr="001531CD">
        <w:t>AUTHORITY NOTE:</w:t>
      </w:r>
      <w:r w:rsidRPr="001531CD">
        <w:tab/>
        <w:t>Promulgated in accordance with La. Const. Art. 4 §10; and R.S. 3:2(A), 3(B), 14(B), 1652, 1732, and 3203(A).</w:t>
      </w:r>
    </w:p>
    <w:p w14:paraId="0AD652A1" w14:textId="77777777" w:rsidR="00CF626A" w:rsidRPr="001531CD" w:rsidRDefault="00CF626A">
      <w:pPr>
        <w:pStyle w:val="HistoricalNote"/>
      </w:pPr>
      <w:r w:rsidRPr="001531CD">
        <w:t>HISTORICAL NOTE:</w:t>
      </w:r>
      <w:r w:rsidRPr="001531CD">
        <w:tab/>
        <w:t>Promulgated by the Department of Agriculture and Forestry, Office of the Commissioner LR 24:627 (April 1998).</w:t>
      </w:r>
    </w:p>
    <w:p w14:paraId="5B2C9A11" w14:textId="77777777" w:rsidR="00CF626A" w:rsidRPr="001531CD" w:rsidRDefault="00CF626A">
      <w:pPr>
        <w:pStyle w:val="Section"/>
      </w:pPr>
      <w:bookmarkStart w:id="96" w:name="_Toc256754261"/>
      <w:bookmarkStart w:id="97" w:name="_Toc224818466"/>
      <w:r w:rsidRPr="001531CD">
        <w:t>§205.</w:t>
      </w:r>
      <w:r w:rsidRPr="001531CD">
        <w:tab/>
        <w:t>Issuance of Rebates</w:t>
      </w:r>
      <w:bookmarkEnd w:id="96"/>
      <w:bookmarkEnd w:id="97"/>
    </w:p>
    <w:p w14:paraId="591F6520" w14:textId="77777777" w:rsidR="00CF626A" w:rsidRPr="001531CD" w:rsidRDefault="00CF626A">
      <w:pPr>
        <w:pStyle w:val="A"/>
      </w:pPr>
      <w:r w:rsidRPr="001531CD">
        <w:t>A.</w:t>
      </w:r>
      <w:r w:rsidRPr="001531CD">
        <w:tab/>
        <w:t>Upon receipt of a written application for a rebate of the pesticide registration fee, the commissioner may grant a rebate of not more than 50 percent of each pesticide registration fee and thereafter may rebate same to the pesticide manufacturer if the commissioner finds, based upon the application submitted by the pesticide manufacturer, public records and facts subject to official notice, that:</w:t>
      </w:r>
    </w:p>
    <w:p w14:paraId="24776C7F" w14:textId="77777777" w:rsidR="00CF626A" w:rsidRPr="001531CD" w:rsidRDefault="00CF626A">
      <w:pPr>
        <w:pStyle w:val="1"/>
      </w:pPr>
      <w:r w:rsidRPr="001531CD">
        <w:t>1.</w:t>
      </w:r>
      <w:r w:rsidRPr="001531CD">
        <w:tab/>
        <w:t>the pesticide registration fee is likely to impose a hardship or undue burden on the pesticide manufacturer; and</w:t>
      </w:r>
    </w:p>
    <w:p w14:paraId="1489FEE2" w14:textId="77777777" w:rsidR="00CF626A" w:rsidRPr="001531CD" w:rsidRDefault="00CF626A">
      <w:pPr>
        <w:pStyle w:val="1"/>
      </w:pPr>
      <w:r w:rsidRPr="001531CD">
        <w:t>2.</w:t>
      </w:r>
      <w:r w:rsidRPr="001531CD">
        <w:tab/>
        <w:t>the operations of the pesticide manufacturer substantially benefit the economy of Louisiana and employment therein; and</w:t>
      </w:r>
    </w:p>
    <w:p w14:paraId="0D03E72A" w14:textId="77777777" w:rsidR="00CF626A" w:rsidRPr="001531CD" w:rsidRDefault="00CF626A">
      <w:pPr>
        <w:pStyle w:val="1"/>
      </w:pPr>
      <w:r w:rsidRPr="001531CD">
        <w:lastRenderedPageBreak/>
        <w:t>3.</w:t>
      </w:r>
      <w:r w:rsidRPr="001531CD">
        <w:tab/>
        <w:t>the pesticide manufacturer maintains and utilizes an active Environmental Protection Administration pesticide producer establishment number which shall be exhibited on each label of pesticide for which a rebate is being requested; and</w:t>
      </w:r>
    </w:p>
    <w:p w14:paraId="69C7FF89" w14:textId="77777777" w:rsidR="00CF626A" w:rsidRPr="001531CD" w:rsidRDefault="00CF626A">
      <w:pPr>
        <w:pStyle w:val="1"/>
      </w:pPr>
      <w:r w:rsidRPr="001531CD">
        <w:t>4.</w:t>
      </w:r>
      <w:r w:rsidRPr="001531CD">
        <w:tab/>
        <w:t>the pesticide manufacturer registered 20 or more products in the current year or registered the same number of products as in the previous year plus two or more new registrations.</w:t>
      </w:r>
    </w:p>
    <w:p w14:paraId="38A31D56" w14:textId="77777777" w:rsidR="00CF626A" w:rsidRPr="001531CD" w:rsidRDefault="00CF626A">
      <w:pPr>
        <w:pStyle w:val="AuthorityNote"/>
      </w:pPr>
      <w:r w:rsidRPr="001531CD">
        <w:t>AUTHORITY NOTE:</w:t>
      </w:r>
      <w:r w:rsidRPr="001531CD">
        <w:tab/>
        <w:t>Promulgated in accordance with La. Const. Art. 4 §10; and R.S. 3:2(A), 3(B), 14(B), 1652, 1732, and 3203(A).</w:t>
      </w:r>
    </w:p>
    <w:p w14:paraId="64A93BAA" w14:textId="77777777" w:rsidR="00CF626A" w:rsidRDefault="00CF626A">
      <w:pPr>
        <w:pStyle w:val="HistoricalNote"/>
      </w:pPr>
      <w:r w:rsidRPr="001531CD">
        <w:t>HISTORICAL NOTE:</w:t>
      </w:r>
      <w:r w:rsidRPr="001531CD">
        <w:tab/>
        <w:t>Promulgated by the Department of Agriculture and Forestry, Office of the Commissioner LR 24:627 (April 1998).</w:t>
      </w:r>
    </w:p>
    <w:p w14:paraId="4B62D747" w14:textId="77777777" w:rsidR="007E775F" w:rsidRPr="00A94F83" w:rsidRDefault="007E775F" w:rsidP="007E775F">
      <w:pPr>
        <w:pStyle w:val="Chapter"/>
      </w:pPr>
      <w:bookmarkStart w:id="98" w:name="_Toc224818467"/>
      <w:r w:rsidRPr="00A94F83">
        <w:t>Chapter 3.</w:t>
      </w:r>
      <w:r w:rsidRPr="00A94F83">
        <w:tab/>
        <w:t xml:space="preserve">Open Meetings </w:t>
      </w:r>
      <w:r>
        <w:t>v</w:t>
      </w:r>
      <w:r w:rsidRPr="00A94F83">
        <w:t>ia Electronic Means</w:t>
      </w:r>
      <w:bookmarkEnd w:id="98"/>
      <w:r w:rsidRPr="00A94F83">
        <w:t xml:space="preserve"> </w:t>
      </w:r>
    </w:p>
    <w:p w14:paraId="29E99590" w14:textId="77777777" w:rsidR="007E775F" w:rsidRPr="00E10BE2" w:rsidRDefault="007E775F" w:rsidP="007E775F">
      <w:pPr>
        <w:pStyle w:val="Section"/>
      </w:pPr>
      <w:bookmarkStart w:id="99" w:name="_Toc224818468"/>
      <w:r w:rsidRPr="00E10BE2">
        <w:t>§301.</w:t>
      </w:r>
      <w:r w:rsidRPr="00E10BE2">
        <w:tab/>
        <w:t>Open Meetings Accessibility and Accommodations</w:t>
      </w:r>
      <w:bookmarkEnd w:id="99"/>
    </w:p>
    <w:p w14:paraId="011B75D4" w14:textId="77777777" w:rsidR="007E775F" w:rsidRPr="00E10BE2" w:rsidRDefault="007E775F" w:rsidP="007E775F">
      <w:pPr>
        <w:pStyle w:val="A"/>
      </w:pPr>
      <w:r w:rsidRPr="00E10BE2">
        <w:t>A.</w:t>
      </w:r>
      <w:r w:rsidRPr="00E10BE2">
        <w:tab/>
        <w:t xml:space="preserve">The Louisiana Department of Agriculture and Forestry and all public bodies created within the department shall provide for access to and participation in open meetings held by the public body via electronic means on an individualized basis to people with disabilities. </w:t>
      </w:r>
    </w:p>
    <w:p w14:paraId="1584088E" w14:textId="77777777" w:rsidR="007E775F" w:rsidRPr="00E10BE2" w:rsidRDefault="007E775F" w:rsidP="007E775F">
      <w:pPr>
        <w:pStyle w:val="AuthorityNote"/>
      </w:pPr>
      <w:r w:rsidRPr="00E10BE2">
        <w:t>AUTHORITY NOTE:</w:t>
      </w:r>
      <w:r w:rsidRPr="00E10BE2">
        <w:tab/>
        <w:t>Promulgated in accordance with R.S. 42:14, R.S. 42:17:2, R.S. 42:17.2.1, and R.S. 3:3</w:t>
      </w:r>
    </w:p>
    <w:p w14:paraId="0548EE75" w14:textId="77777777" w:rsidR="007E775F" w:rsidRPr="00E10BE2" w:rsidRDefault="007E775F" w:rsidP="007E775F">
      <w:pPr>
        <w:pStyle w:val="HistoricalNote"/>
      </w:pPr>
      <w:r w:rsidRPr="00E10BE2">
        <w:t>HISTORICAL NOTE:</w:t>
      </w:r>
      <w:r>
        <w:tab/>
      </w:r>
      <w:r w:rsidRPr="00E10BE2">
        <w:t>Promulgated by Department of Agriculture and Forestry, Office of the Commissioner LR 51:</w:t>
      </w:r>
      <w:r>
        <w:t>781 (June 2025).</w:t>
      </w:r>
    </w:p>
    <w:p w14:paraId="59F0A654" w14:textId="77777777" w:rsidR="007E775F" w:rsidRPr="00E10BE2" w:rsidRDefault="007E775F" w:rsidP="007E775F">
      <w:pPr>
        <w:pStyle w:val="Section"/>
      </w:pPr>
      <w:bookmarkStart w:id="100" w:name="_Toc224818469"/>
      <w:r w:rsidRPr="00E10BE2">
        <w:t>§303.</w:t>
      </w:r>
      <w:r w:rsidRPr="00E10BE2">
        <w:tab/>
        <w:t>Postings Prior to Meeting via Electronic Means</w:t>
      </w:r>
      <w:bookmarkEnd w:id="100"/>
    </w:p>
    <w:p w14:paraId="0029BFF8" w14:textId="77777777" w:rsidR="007E775F" w:rsidRPr="00E10BE2" w:rsidRDefault="007E775F" w:rsidP="007E775F">
      <w:pPr>
        <w:pStyle w:val="A"/>
      </w:pPr>
      <w:r w:rsidRPr="00E10BE2">
        <w:t>A.</w:t>
      </w:r>
      <w:r w:rsidRPr="00E10BE2">
        <w:tab/>
        <w:t>At least twenty-four hours prior to the meeting, the public body shall post the following to its website:</w:t>
      </w:r>
    </w:p>
    <w:p w14:paraId="5CB647FC" w14:textId="77777777" w:rsidR="007E775F" w:rsidRPr="00E10BE2" w:rsidRDefault="007E775F" w:rsidP="007E775F">
      <w:pPr>
        <w:pStyle w:val="1"/>
      </w:pPr>
      <w:r w:rsidRPr="00E10BE2">
        <w:t>1.</w:t>
      </w:r>
      <w:r w:rsidRPr="00E10BE2">
        <w:tab/>
        <w:t xml:space="preserve">meeting notice and agenda; and </w:t>
      </w:r>
    </w:p>
    <w:p w14:paraId="57F485E8" w14:textId="77777777" w:rsidR="007E775F" w:rsidRPr="00E10BE2" w:rsidRDefault="007E775F" w:rsidP="007E775F">
      <w:pPr>
        <w:pStyle w:val="1"/>
      </w:pPr>
      <w:r w:rsidRPr="00E10BE2">
        <w:t>2.</w:t>
      </w:r>
      <w:r w:rsidRPr="00E10BE2">
        <w:tab/>
        <w:t>detailed information regarding how members of the public may:</w:t>
      </w:r>
    </w:p>
    <w:p w14:paraId="5AC20B11" w14:textId="77777777" w:rsidR="007E775F" w:rsidRPr="00E10BE2" w:rsidRDefault="007E775F" w:rsidP="007E775F">
      <w:pPr>
        <w:pStyle w:val="a0"/>
      </w:pPr>
      <w:r w:rsidRPr="00E10BE2">
        <w:t>a.</w:t>
      </w:r>
      <w:r w:rsidRPr="00E10BE2">
        <w:tab/>
        <w:t>participate in the meeting via electronic means, including the applicable videoconference link and/or teleconference phone number; and</w:t>
      </w:r>
    </w:p>
    <w:p w14:paraId="612F79B1" w14:textId="77777777" w:rsidR="007E775F" w:rsidRPr="00E10BE2" w:rsidRDefault="007E775F" w:rsidP="007E775F">
      <w:pPr>
        <w:pStyle w:val="a0"/>
      </w:pPr>
      <w:r w:rsidRPr="00E10BE2">
        <w:t>b.</w:t>
      </w:r>
      <w:r w:rsidRPr="00E10BE2">
        <w:tab/>
        <w:t>submit written comments regarding matters on the agenda prior to the meeting.</w:t>
      </w:r>
    </w:p>
    <w:p w14:paraId="755C786E" w14:textId="77777777" w:rsidR="007E775F" w:rsidRPr="00E10BE2" w:rsidRDefault="007E775F" w:rsidP="007E775F">
      <w:pPr>
        <w:pStyle w:val="AuthorityNote"/>
      </w:pPr>
      <w:r w:rsidRPr="00E10BE2">
        <w:t>AUTHORITY NOTE:</w:t>
      </w:r>
      <w:r w:rsidRPr="00E10BE2">
        <w:tab/>
        <w:t>Promulgated in accordance with R.S. 42:14, R.S. 42:17.2 and R.S. 3:3</w:t>
      </w:r>
    </w:p>
    <w:p w14:paraId="7784FAD6" w14:textId="77777777" w:rsidR="007E775F" w:rsidRPr="00E10BE2" w:rsidRDefault="007E775F" w:rsidP="007E775F">
      <w:pPr>
        <w:pStyle w:val="HistoricalNote"/>
      </w:pPr>
      <w:r w:rsidRPr="00E10BE2">
        <w:t>HISTORICAL NOTE:</w:t>
      </w:r>
      <w:r w:rsidRPr="00E10BE2">
        <w:tab/>
        <w:t>Promulgated by Department of Agriculture and Forestry, Office of the Commissioner LR 51:</w:t>
      </w:r>
      <w:r>
        <w:t>781 (June 2025).</w:t>
      </w:r>
    </w:p>
    <w:p w14:paraId="4397CCB8" w14:textId="77777777" w:rsidR="007E775F" w:rsidRPr="00E10BE2" w:rsidRDefault="007E775F" w:rsidP="007E775F">
      <w:pPr>
        <w:pStyle w:val="Section"/>
      </w:pPr>
      <w:bookmarkStart w:id="101" w:name="_Toc224818470"/>
      <w:r w:rsidRPr="00E10BE2">
        <w:t>§305.</w:t>
      </w:r>
      <w:r>
        <w:tab/>
      </w:r>
      <w:r w:rsidRPr="00E10BE2">
        <w:t>Electronic Meeting Requirements and Limitations</w:t>
      </w:r>
      <w:bookmarkEnd w:id="101"/>
    </w:p>
    <w:p w14:paraId="319574C1" w14:textId="77777777" w:rsidR="007E775F" w:rsidRPr="00E10BE2" w:rsidRDefault="007E775F" w:rsidP="007E775F">
      <w:pPr>
        <w:pStyle w:val="A"/>
      </w:pPr>
      <w:r w:rsidRPr="00E10BE2">
        <w:t>A.</w:t>
      </w:r>
      <w:r w:rsidRPr="00E10BE2">
        <w:tab/>
        <w:t>Any public body that conducts six or more regularly scheduled meetings in a calendar year shall not conduct any more than one-third of its open meetings via electronic means, and will only conduct successive meetings via electronic means as needed.</w:t>
      </w:r>
    </w:p>
    <w:p w14:paraId="4DACD5A5" w14:textId="77777777" w:rsidR="007E775F" w:rsidRPr="00E10BE2" w:rsidRDefault="007E775F" w:rsidP="007E775F">
      <w:pPr>
        <w:pStyle w:val="A"/>
      </w:pPr>
      <w:r w:rsidRPr="00E10BE2">
        <w:t>B.</w:t>
      </w:r>
      <w:r w:rsidRPr="00E10BE2">
        <w:tab/>
        <w:t>The public body shall ensure compliance with all requirements outlined in R.S. 42:17.2, for any meeting conducted via electronic means.</w:t>
      </w:r>
    </w:p>
    <w:p w14:paraId="7A8D0A5B" w14:textId="77777777" w:rsidR="007E775F" w:rsidRPr="00E10BE2" w:rsidRDefault="007E775F" w:rsidP="007E775F">
      <w:pPr>
        <w:pStyle w:val="A"/>
      </w:pPr>
      <w:r w:rsidRPr="00E10BE2">
        <w:t>C.</w:t>
      </w:r>
      <w:r w:rsidRPr="00E10BE2">
        <w:tab/>
        <w:t>A schedule identifying which meetings will be conducted via electronic means and which will be conducted in-person shall be posted to the public body’s website annually.</w:t>
      </w:r>
    </w:p>
    <w:p w14:paraId="0FD34916" w14:textId="77777777" w:rsidR="007E775F" w:rsidRPr="00E10BE2" w:rsidRDefault="007E775F" w:rsidP="007E775F">
      <w:pPr>
        <w:pStyle w:val="A"/>
      </w:pPr>
      <w:r w:rsidRPr="00E10BE2">
        <w:t>D.</w:t>
      </w:r>
      <w:r w:rsidRPr="00E10BE2">
        <w:tab/>
        <w:t>All members of the public body whether participating from the anchor location or via electronic means, shall be counted for the purpose of establishing a quorum and may vote.</w:t>
      </w:r>
    </w:p>
    <w:p w14:paraId="37A78691" w14:textId="77777777" w:rsidR="007E775F" w:rsidRPr="00E10BE2" w:rsidRDefault="007E775F" w:rsidP="007E775F">
      <w:pPr>
        <w:pStyle w:val="A"/>
      </w:pPr>
      <w:r w:rsidRPr="00E10BE2">
        <w:t>E.</w:t>
      </w:r>
      <w:r w:rsidRPr="00E10BE2">
        <w:tab/>
        <w:t>An online archive of any open meetings conducted via electronic means shall be maintained and available for two years on the public body’s website.</w:t>
      </w:r>
    </w:p>
    <w:p w14:paraId="30E23DA5" w14:textId="77777777" w:rsidR="007E775F" w:rsidRPr="00E10BE2" w:rsidRDefault="007E775F" w:rsidP="007E775F">
      <w:pPr>
        <w:pStyle w:val="AuthorityNote"/>
      </w:pPr>
      <w:r w:rsidRPr="00E10BE2">
        <w:t>AUTHORITY NOTE:</w:t>
      </w:r>
      <w:r w:rsidRPr="00E10BE2">
        <w:tab/>
        <w:t>Promulgated in accordance with R.S. 42:14, R.S. 42:17.2, and R.S. 3:3</w:t>
      </w:r>
    </w:p>
    <w:p w14:paraId="7263BC07" w14:textId="77777777" w:rsidR="007E775F" w:rsidRPr="00E10BE2" w:rsidRDefault="007E775F" w:rsidP="007E775F">
      <w:pPr>
        <w:pStyle w:val="HistoricalNote"/>
      </w:pPr>
      <w:r w:rsidRPr="00E10BE2">
        <w:t>HISTORICAL NOTE:</w:t>
      </w:r>
      <w:r w:rsidRPr="00E10BE2">
        <w:tab/>
        <w:t>Promulgated by Department of Agriculture and Forestry, Office of the Commissioner LR 51:</w:t>
      </w:r>
      <w:r>
        <w:t>781 (June 2025).</w:t>
      </w:r>
    </w:p>
    <w:p w14:paraId="7731579E" w14:textId="77777777" w:rsidR="007E775F" w:rsidRPr="00E10BE2" w:rsidRDefault="007E775F" w:rsidP="007E775F">
      <w:pPr>
        <w:pStyle w:val="Section"/>
      </w:pPr>
      <w:bookmarkStart w:id="102" w:name="_Toc224818471"/>
      <w:r w:rsidRPr="00E10BE2">
        <w:t>§307.</w:t>
      </w:r>
      <w:r w:rsidRPr="00E10BE2">
        <w:tab/>
        <w:t>Disability Accommodations</w:t>
      </w:r>
      <w:bookmarkEnd w:id="102"/>
    </w:p>
    <w:p w14:paraId="3AFB4B00" w14:textId="77777777" w:rsidR="007E775F" w:rsidRPr="00E10BE2" w:rsidRDefault="007E775F" w:rsidP="007E775F">
      <w:pPr>
        <w:pStyle w:val="A"/>
      </w:pPr>
      <w:r w:rsidRPr="00E10BE2">
        <w:t>A.</w:t>
      </w:r>
      <w:r w:rsidRPr="00E10BE2">
        <w:tab/>
        <w:t>Although an open meeting may be scheduled as in-person, the public body is obligated to provide for participation via electronic means on an individualized basis by people with disabilities.</w:t>
      </w:r>
    </w:p>
    <w:p w14:paraId="5579098D" w14:textId="77777777" w:rsidR="007E775F" w:rsidRPr="00E10BE2" w:rsidRDefault="007E775F" w:rsidP="007E775F">
      <w:pPr>
        <w:pStyle w:val="A"/>
      </w:pPr>
      <w:r w:rsidRPr="00E10BE2">
        <w:t>B.</w:t>
      </w:r>
      <w:r w:rsidRPr="00E10BE2">
        <w:tab/>
        <w:t>People with disabilities are defined as any of the following:</w:t>
      </w:r>
    </w:p>
    <w:p w14:paraId="1F705C29" w14:textId="77777777" w:rsidR="007E775F" w:rsidRPr="00E10BE2" w:rsidRDefault="007E775F" w:rsidP="007E775F">
      <w:pPr>
        <w:pStyle w:val="1"/>
      </w:pPr>
      <w:r w:rsidRPr="00E10BE2">
        <w:t>1.</w:t>
      </w:r>
      <w:r w:rsidRPr="00E10BE2">
        <w:tab/>
        <w:t>a member of the public with a disability recognized by the Americans with Disabilities Act (ADA);</w:t>
      </w:r>
    </w:p>
    <w:p w14:paraId="348C66FD" w14:textId="77777777" w:rsidR="007E775F" w:rsidRPr="00E10BE2" w:rsidRDefault="007E775F" w:rsidP="007E775F">
      <w:pPr>
        <w:pStyle w:val="1"/>
      </w:pPr>
      <w:r w:rsidRPr="00E10BE2">
        <w:t>2.</w:t>
      </w:r>
      <w:r w:rsidRPr="00E10BE2">
        <w:tab/>
        <w:t>a designated caregiver of such a person; or</w:t>
      </w:r>
    </w:p>
    <w:p w14:paraId="0957C670" w14:textId="77777777" w:rsidR="007E775F" w:rsidRPr="00E10BE2" w:rsidRDefault="007E775F" w:rsidP="007E775F">
      <w:pPr>
        <w:pStyle w:val="1"/>
      </w:pPr>
      <w:r w:rsidRPr="00E10BE2">
        <w:t>3.</w:t>
      </w:r>
      <w:r w:rsidRPr="00E10BE2">
        <w:tab/>
        <w:t>a participant member of the public body with an ADA-qualifying disability.</w:t>
      </w:r>
    </w:p>
    <w:p w14:paraId="076477F4" w14:textId="77777777" w:rsidR="007E775F" w:rsidRPr="00E10BE2" w:rsidRDefault="007E775F" w:rsidP="007E775F">
      <w:pPr>
        <w:pStyle w:val="A"/>
      </w:pPr>
      <w:r w:rsidRPr="00E10BE2">
        <w:t>C.</w:t>
      </w:r>
      <w:r w:rsidRPr="00E10BE2">
        <w:tab/>
        <w:t>The public body shall ensure that the written public notice for an open meeting, as required by R.S. 42:19, includes the name, telephone number and email address of the designated public representative to whom a disability accommodation may be submitted.</w:t>
      </w:r>
    </w:p>
    <w:p w14:paraId="345A8722" w14:textId="77777777" w:rsidR="007E775F" w:rsidRPr="00E10BE2" w:rsidRDefault="007E775F" w:rsidP="007E775F">
      <w:pPr>
        <w:pStyle w:val="A"/>
      </w:pPr>
      <w:r w:rsidRPr="00E10BE2">
        <w:t>D.</w:t>
      </w:r>
      <w:r w:rsidRPr="00E10BE2">
        <w:tab/>
        <w:t>Upon receipt of an accommodation request, the designated representative is only permitted to ask if the requestor has an ADA-qualifying disability or is a caregiver of such a person (yes or no). The requestor shall not be required to complete a medical inquiry form or disclose the actual impairment or medical condition to support a disability accommodation request.</w:t>
      </w:r>
    </w:p>
    <w:p w14:paraId="0FFF05BC" w14:textId="77777777" w:rsidR="007E775F" w:rsidRPr="00E10BE2" w:rsidRDefault="007E775F" w:rsidP="007E775F">
      <w:pPr>
        <w:pStyle w:val="A"/>
      </w:pPr>
      <w:r w:rsidRPr="00E10BE2">
        <w:t>E.</w:t>
      </w:r>
      <w:r w:rsidRPr="00E10BE2">
        <w:tab/>
        <w:t>The designated representative shall provide the requestor with the accommodation, including the teleconference and/or video conference link, for participation via electronic means as soon as possible following receipt of the request, but no later than the start of the scheduled meeting.</w:t>
      </w:r>
    </w:p>
    <w:p w14:paraId="458BC3BB" w14:textId="77777777" w:rsidR="007E775F" w:rsidRPr="00E10BE2" w:rsidRDefault="007E775F" w:rsidP="007E775F">
      <w:pPr>
        <w:pStyle w:val="A"/>
      </w:pPr>
      <w:r w:rsidRPr="00E10BE2">
        <w:t>F.</w:t>
      </w:r>
      <w:r w:rsidRPr="00E10BE2">
        <w:tab/>
        <w:t>Participation via electronic means shall count for purposes of establishing quorum and voting.</w:t>
      </w:r>
    </w:p>
    <w:p w14:paraId="1DE0ACE2" w14:textId="77777777" w:rsidR="007E775F" w:rsidRPr="00E10BE2" w:rsidRDefault="007E775F" w:rsidP="007E775F">
      <w:pPr>
        <w:pStyle w:val="1"/>
      </w:pPr>
      <w:r w:rsidRPr="00E10BE2">
        <w:lastRenderedPageBreak/>
        <w:t>1.</w:t>
      </w:r>
      <w:r w:rsidRPr="00E10BE2">
        <w:tab/>
        <w:t>Any member of the public body participating via videoconference must be visually present on-screen throughout the meeting.</w:t>
      </w:r>
    </w:p>
    <w:p w14:paraId="4F552CAC" w14:textId="77777777" w:rsidR="007E775F" w:rsidRPr="00E10BE2" w:rsidRDefault="007E775F" w:rsidP="007E775F">
      <w:pPr>
        <w:pStyle w:val="AuthorityNote"/>
      </w:pPr>
      <w:r w:rsidRPr="00E10BE2">
        <w:t>AUTHORITY NOTE:</w:t>
      </w:r>
      <w:r w:rsidRPr="00E10BE2">
        <w:tab/>
        <w:t>Promulgated in accordance with R.S. 42:14, R.S. 42:17.2 and R.S. 3:3</w:t>
      </w:r>
    </w:p>
    <w:p w14:paraId="119FA2C5" w14:textId="77777777" w:rsidR="007E775F" w:rsidRPr="001531CD" w:rsidRDefault="007E775F" w:rsidP="007E775F">
      <w:pPr>
        <w:pStyle w:val="HistoricalNote"/>
      </w:pPr>
      <w:r w:rsidRPr="00E10BE2">
        <w:t>HISTORICAL NOTE:</w:t>
      </w:r>
      <w:r w:rsidRPr="00E10BE2">
        <w:tab/>
        <w:t>Promulgated by Department of Agriculture and Forestry, Office of the Commissioner LR 51:</w:t>
      </w:r>
      <w:r>
        <w:t>782 (June 2025).</w:t>
      </w:r>
    </w:p>
    <w:p w14:paraId="343422B4" w14:textId="77777777" w:rsidR="00CF626A" w:rsidRPr="001531CD" w:rsidRDefault="00CF626A">
      <w:pPr>
        <w:pStyle w:val="Chapter"/>
        <w:sectPr w:rsidR="00CF626A" w:rsidRPr="001531CD" w:rsidSect="00167E2E">
          <w:headerReference w:type="even" r:id="rId17"/>
          <w:headerReference w:type="default" r:id="rId18"/>
          <w:footerReference w:type="even" r:id="rId19"/>
          <w:footerReference w:type="default" r:id="rId20"/>
          <w:type w:val="continuous"/>
          <w:pgSz w:w="12240" w:h="15840" w:code="1"/>
          <w:pgMar w:top="1080" w:right="864" w:bottom="864" w:left="864" w:header="576" w:footer="432" w:gutter="0"/>
          <w:cols w:num="2" w:space="720"/>
        </w:sectPr>
      </w:pPr>
    </w:p>
    <w:p w14:paraId="4F2423A3"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387812A9" w14:textId="77777777" w:rsidR="00CF626A" w:rsidRPr="001531CD" w:rsidRDefault="00CF626A" w:rsidP="00F03863">
      <w:pPr>
        <w:pStyle w:val="Title1"/>
        <w:outlineLvl w:val="0"/>
      </w:pPr>
      <w:r w:rsidRPr="001531CD">
        <w:lastRenderedPageBreak/>
        <w:t>Title 7</w:t>
      </w:r>
    </w:p>
    <w:p w14:paraId="7170AD31" w14:textId="77777777" w:rsidR="00CF626A" w:rsidRPr="001531CD" w:rsidRDefault="00CF626A">
      <w:pPr>
        <w:pStyle w:val="Title2"/>
      </w:pPr>
      <w:r w:rsidRPr="001531CD">
        <w:t>AGRICULTURE AND ANIMALS</w:t>
      </w:r>
    </w:p>
    <w:p w14:paraId="0AB11BCD" w14:textId="77777777" w:rsidR="00CF626A" w:rsidRPr="001531CD" w:rsidRDefault="00CF626A">
      <w:pPr>
        <w:pStyle w:val="Part"/>
      </w:pPr>
      <w:bookmarkStart w:id="103" w:name="TOC_Part1"/>
      <w:bookmarkStart w:id="104" w:name="_Toc264623722"/>
      <w:bookmarkStart w:id="105" w:name="_Toc283622420"/>
      <w:bookmarkStart w:id="106" w:name="_Toc285803585"/>
      <w:bookmarkStart w:id="107" w:name="_Toc306600827"/>
      <w:bookmarkStart w:id="108" w:name="_Toc312136853"/>
      <w:bookmarkStart w:id="109" w:name="_Toc322411144"/>
      <w:bookmarkStart w:id="110" w:name="_Toc338237648"/>
      <w:bookmarkStart w:id="111" w:name="_Toc348951189"/>
      <w:bookmarkStart w:id="112" w:name="_Toc361749589"/>
      <w:bookmarkStart w:id="113" w:name="_Toc370126965"/>
      <w:bookmarkStart w:id="114" w:name="_Toc372623733"/>
      <w:bookmarkStart w:id="115" w:name="_Toc375025032"/>
      <w:bookmarkStart w:id="116" w:name="_Toc386109918"/>
      <w:bookmarkStart w:id="117" w:name="_Toc388357751"/>
      <w:bookmarkStart w:id="118" w:name="_Toc396114655"/>
      <w:bookmarkStart w:id="119" w:name="_Toc411855041"/>
      <w:bookmarkStart w:id="120" w:name="_Toc419795242"/>
      <w:bookmarkStart w:id="121" w:name="_Toc427736630"/>
      <w:bookmarkStart w:id="122" w:name="_Toc438546430"/>
      <w:bookmarkStart w:id="123" w:name="_Toc446326414"/>
      <w:bookmarkStart w:id="124" w:name="_Toc448824599"/>
      <w:bookmarkStart w:id="125" w:name="_Toc451505643"/>
      <w:bookmarkStart w:id="126" w:name="_Toc462212066"/>
      <w:bookmarkStart w:id="127" w:name="_Toc535996706"/>
      <w:bookmarkStart w:id="128" w:name="_Toc33439448"/>
      <w:bookmarkStart w:id="129" w:name="_Toc67474691"/>
      <w:bookmarkStart w:id="130" w:name="_Toc72317646"/>
      <w:bookmarkStart w:id="131" w:name="_Toc77764422"/>
      <w:bookmarkStart w:id="132" w:name="_Toc77839466"/>
      <w:bookmarkStart w:id="133" w:name="_Toc78883639"/>
      <w:bookmarkStart w:id="134" w:name="_Toc80605643"/>
      <w:bookmarkStart w:id="135" w:name="_Toc90989164"/>
      <w:bookmarkStart w:id="136" w:name="_Toc93649739"/>
      <w:bookmarkStart w:id="137" w:name="_Toc96333623"/>
      <w:bookmarkStart w:id="138" w:name="_Toc98918365"/>
      <w:bookmarkStart w:id="139" w:name="_Toc101426776"/>
      <w:bookmarkStart w:id="140" w:name="_Toc112162447"/>
      <w:bookmarkStart w:id="141" w:name="_Toc119930059"/>
      <w:bookmarkStart w:id="142" w:name="_Toc128048035"/>
      <w:bookmarkStart w:id="143" w:name="_Toc154570905"/>
      <w:bookmarkStart w:id="144" w:name="_Toc164249619"/>
      <w:bookmarkStart w:id="145" w:name="_Toc186107630"/>
      <w:bookmarkStart w:id="146" w:name="_Toc189048087"/>
      <w:bookmarkStart w:id="147" w:name="_Toc201138744"/>
      <w:bookmarkStart w:id="148" w:name="_Toc201145995"/>
      <w:bookmarkStart w:id="149" w:name="_Toc211937593"/>
      <w:bookmarkStart w:id="150" w:name="_Toc214531762"/>
      <w:bookmarkStart w:id="151" w:name="_Toc216881846"/>
      <w:bookmarkStart w:id="152" w:name="_Toc219367090"/>
      <w:bookmarkStart w:id="153" w:name="_Toc224818472"/>
      <w:r w:rsidRPr="001531CD">
        <w:t xml:space="preserve">Part III.  Agricultural </w:t>
      </w:r>
      <w:bookmarkEnd w:id="103"/>
      <w:r w:rsidR="00702375" w:rsidRPr="001531CD">
        <w:t>Finance</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78449A2" w14:textId="77777777" w:rsidR="00CF626A" w:rsidRPr="001531CD" w:rsidRDefault="00CF626A">
      <w:pPr>
        <w:pStyle w:val="Part"/>
      </w:pPr>
    </w:p>
    <w:p w14:paraId="3909B49A" w14:textId="77777777" w:rsidR="00CF626A" w:rsidRPr="001531CD" w:rsidRDefault="00CF626A">
      <w:pPr>
        <w:pStyle w:val="Part"/>
        <w:sectPr w:rsidR="00CF626A" w:rsidRPr="001531CD" w:rsidSect="00167E2E">
          <w:headerReference w:type="default" r:id="rId21"/>
          <w:type w:val="oddPage"/>
          <w:pgSz w:w="12240" w:h="15840" w:code="1"/>
          <w:pgMar w:top="1080" w:right="864" w:bottom="864" w:left="864" w:header="576" w:footer="432" w:gutter="0"/>
          <w:cols w:space="720"/>
          <w:docGrid w:linePitch="326"/>
        </w:sectPr>
      </w:pPr>
    </w:p>
    <w:p w14:paraId="44624F3D" w14:textId="77777777" w:rsidR="00CF626A" w:rsidRPr="001531CD" w:rsidRDefault="00CF626A">
      <w:pPr>
        <w:pStyle w:val="Chapter"/>
      </w:pPr>
      <w:bookmarkStart w:id="154" w:name="TOC_Chap27"/>
      <w:bookmarkStart w:id="155" w:name="_Toc256754262"/>
      <w:bookmarkStart w:id="156" w:name="_Toc224818473"/>
      <w:r w:rsidRPr="001531CD">
        <w:t>Chapter 1.</w:t>
      </w:r>
      <w:bookmarkEnd w:id="154"/>
      <w:r w:rsidR="001413E4">
        <w:tab/>
      </w:r>
      <w:bookmarkEnd w:id="155"/>
      <w:r w:rsidR="003E2396" w:rsidRPr="001F65A2">
        <w:t>General Provisions</w:t>
      </w:r>
      <w:bookmarkEnd w:id="156"/>
    </w:p>
    <w:p w14:paraId="0A86A218" w14:textId="77777777" w:rsidR="00CF626A" w:rsidRPr="001531CD" w:rsidRDefault="00CF626A" w:rsidP="00F03863">
      <w:pPr>
        <w:pStyle w:val="Section"/>
        <w:outlineLvl w:val="0"/>
      </w:pPr>
      <w:bookmarkStart w:id="157" w:name="_Toc256754263"/>
      <w:bookmarkStart w:id="158" w:name="_Toc224818474"/>
      <w:r w:rsidRPr="001531CD">
        <w:t>§101.</w:t>
      </w:r>
      <w:r w:rsidRPr="001531CD">
        <w:tab/>
        <w:t>Definitions</w:t>
      </w:r>
      <w:bookmarkEnd w:id="157"/>
      <w:bookmarkEnd w:id="158"/>
    </w:p>
    <w:p w14:paraId="6A051868" w14:textId="77777777" w:rsidR="003F4944" w:rsidRPr="001531CD" w:rsidRDefault="003F4944" w:rsidP="003F4944">
      <w:pPr>
        <w:pStyle w:val="A"/>
      </w:pPr>
      <w:r w:rsidRPr="001531CD">
        <w:t>A.</w:t>
      </w:r>
      <w:r w:rsidRPr="001531CD">
        <w:tab/>
        <w:t>The words and terms defined in R.S. 3:263 are applicable to this Part.</w:t>
      </w:r>
    </w:p>
    <w:p w14:paraId="608635A1" w14:textId="77777777" w:rsidR="003F4944" w:rsidRPr="001531CD" w:rsidRDefault="003F4944" w:rsidP="003F4944">
      <w:pPr>
        <w:pStyle w:val="A"/>
      </w:pPr>
      <w:r w:rsidRPr="001531CD">
        <w:t>B.</w:t>
      </w:r>
      <w:r w:rsidRPr="001531CD">
        <w:tab/>
        <w:t>The following words and terms are defined for the purposes of this Part and are applicable to this Part.</w:t>
      </w:r>
    </w:p>
    <w:p w14:paraId="17C45841" w14:textId="77777777" w:rsidR="003F4944" w:rsidRPr="001531CD" w:rsidRDefault="003F4944" w:rsidP="003F4944">
      <w:pPr>
        <w:pStyle w:val="1"/>
      </w:pPr>
      <w:r w:rsidRPr="001531CD">
        <w:rPr>
          <w:i/>
          <w:iCs/>
        </w:rPr>
        <w:t>Act</w:t>
      </w:r>
      <w:r w:rsidRPr="001531CD">
        <w:t>―the Louisiana Agricultural Finance Act found in Chapter 3-B of Title 3 of the Louisiana Revised Statutes of 1950, (R.S. 3:261 et seq.).</w:t>
      </w:r>
    </w:p>
    <w:p w14:paraId="627A6544" w14:textId="77777777" w:rsidR="003F4944" w:rsidRPr="001531CD" w:rsidRDefault="003F4944" w:rsidP="003F4944">
      <w:pPr>
        <w:pStyle w:val="1"/>
      </w:pPr>
      <w:r w:rsidRPr="001531CD">
        <w:rPr>
          <w:i/>
        </w:rPr>
        <w:t>Agricultural</w:t>
      </w:r>
      <w:r w:rsidRPr="001531CD">
        <w:t xml:space="preserve">—the adjective form of </w:t>
      </w:r>
      <w:r w:rsidRPr="001531CD">
        <w:rPr>
          <w:i/>
        </w:rPr>
        <w:t>agriculture</w:t>
      </w:r>
      <w:r w:rsidRPr="001531CD">
        <w:t xml:space="preserve"> as defined in R.S. 3:263(6).</w:t>
      </w:r>
    </w:p>
    <w:p w14:paraId="0C8BCFA0" w14:textId="77777777" w:rsidR="003F4944" w:rsidRPr="001531CD" w:rsidRDefault="003F4944" w:rsidP="003F4944">
      <w:pPr>
        <w:pStyle w:val="1"/>
      </w:pPr>
      <w:r w:rsidRPr="001531CD">
        <w:rPr>
          <w:i/>
        </w:rPr>
        <w:t>Farm</w:t>
      </w:r>
      <w:r w:rsidRPr="001531CD">
        <w:t>—the total of all areas of land, water, or both in Louisiana, used by an agricultural producer to produce or harvest one or more agricultural products, regardless of whether the area or areas are located in more than one parish.</w:t>
      </w:r>
    </w:p>
    <w:p w14:paraId="6AA8F282" w14:textId="77777777" w:rsidR="003F4944" w:rsidRPr="001531CD" w:rsidRDefault="003F4944" w:rsidP="003F4944">
      <w:pPr>
        <w:pStyle w:val="1"/>
      </w:pPr>
      <w:r w:rsidRPr="001531CD">
        <w:rPr>
          <w:i/>
        </w:rPr>
        <w:t>LAFA</w:t>
      </w:r>
      <w:r w:rsidRPr="001531CD">
        <w:t>—the Louisiana Agricultural Finance Authority.</w:t>
      </w:r>
    </w:p>
    <w:p w14:paraId="6E6C46B5" w14:textId="77777777" w:rsidR="003F4944" w:rsidRPr="001531CD" w:rsidRDefault="003F4944" w:rsidP="003F4944">
      <w:pPr>
        <w:pStyle w:val="A"/>
      </w:pPr>
      <w:r w:rsidRPr="001531CD">
        <w:t>C.</w:t>
      </w:r>
      <w:r w:rsidRPr="001531CD">
        <w:tab/>
        <w:t>The following words and terms are defined for the purposes of the Louisiana Direct Placement Agricultural Revenue Bond Program (§§105-141) only.</w:t>
      </w:r>
    </w:p>
    <w:p w14:paraId="4AE173A8" w14:textId="77777777" w:rsidR="003F4944" w:rsidRPr="001531CD" w:rsidRDefault="003F4944" w:rsidP="003F4944">
      <w:pPr>
        <w:pStyle w:val="1"/>
      </w:pPr>
      <w:r w:rsidRPr="001531CD">
        <w:rPr>
          <w:i/>
          <w:iCs/>
        </w:rPr>
        <w:t>Bond</w:t>
      </w:r>
      <w:r w:rsidRPr="001531CD">
        <w:t xml:space="preserve"> or </w:t>
      </w:r>
      <w:r w:rsidRPr="001531CD">
        <w:rPr>
          <w:i/>
          <w:iCs/>
        </w:rPr>
        <w:t>Bonds</w:t>
      </w:r>
      <w:r w:rsidRPr="001531CD">
        <w:t>―LAFA Direct Placement Agricultural Revenue Bonds which are exempt from federal taxation. Such bonds are issued from time to time throughout the year, and each issue will be identified by a letter designation, e.g., Series 1984-A, Series 1984-B, etc. The letter designation merely identifies the date of issue of each series of bonds. The proceeds of such bonds are used to purchase loans and pay the costs of issuance of the bonds.</w:t>
      </w:r>
    </w:p>
    <w:p w14:paraId="461ECF12" w14:textId="77777777" w:rsidR="003F4944" w:rsidRPr="001531CD" w:rsidRDefault="003F4944" w:rsidP="003F4944">
      <w:pPr>
        <w:pStyle w:val="1"/>
      </w:pPr>
      <w:r w:rsidRPr="001531CD">
        <w:rPr>
          <w:i/>
          <w:iCs/>
        </w:rPr>
        <w:t>Bond Resolution</w:t>
      </w:r>
      <w:r w:rsidRPr="001531CD">
        <w:t>―the resolution adopted by LAFA to authorize the issuance of a bond to be sold to a lender.</w:t>
      </w:r>
    </w:p>
    <w:p w14:paraId="26FAB39E" w14:textId="77777777" w:rsidR="003F4944" w:rsidRPr="001531CD" w:rsidRDefault="003F4944" w:rsidP="003F4944">
      <w:pPr>
        <w:pStyle w:val="1"/>
      </w:pPr>
      <w:r w:rsidRPr="001531CD">
        <w:rPr>
          <w:i/>
          <w:iCs/>
        </w:rPr>
        <w:t>Borrower</w:t>
      </w:r>
      <w:r w:rsidRPr="001531CD">
        <w:t>―an individual, partnership, firm, corporation, company, cooperative, association, society, trust or any other business unit or entity, including any state or federal agency, which uses proceeds of a loan for any project which meets the requirements of these regulations.</w:t>
      </w:r>
    </w:p>
    <w:p w14:paraId="7AC97236" w14:textId="77777777" w:rsidR="003F4944" w:rsidRPr="001531CD" w:rsidRDefault="003F4944" w:rsidP="003F4944">
      <w:pPr>
        <w:pStyle w:val="1"/>
      </w:pPr>
      <w:r w:rsidRPr="001531CD">
        <w:rPr>
          <w:i/>
          <w:iCs/>
        </w:rPr>
        <w:t>Borrower's Certificate</w:t>
      </w:r>
      <w:r w:rsidRPr="001531CD">
        <w:t>―the certified statement which each borrower must execute, prior to submission of the offer, setting forth the borrower's eligibility to participate in the program.</w:t>
      </w:r>
    </w:p>
    <w:p w14:paraId="1D2F7C34" w14:textId="77777777" w:rsidR="003F4944" w:rsidRPr="001531CD" w:rsidRDefault="003F4944" w:rsidP="003F4944">
      <w:pPr>
        <w:pStyle w:val="1"/>
      </w:pPr>
      <w:r w:rsidRPr="001531CD">
        <w:rPr>
          <w:i/>
          <w:iCs/>
        </w:rPr>
        <w:t>Closing</w:t>
      </w:r>
      <w:r w:rsidRPr="001531CD">
        <w:t>―the date on which a loan is originated by a lender, which shall be mutually agreed upon between lender and borrower and sold to LAFA.</w:t>
      </w:r>
    </w:p>
    <w:p w14:paraId="41BC90A9" w14:textId="77777777" w:rsidR="003F4944" w:rsidRPr="001531CD" w:rsidRDefault="003F4944" w:rsidP="003F4944">
      <w:pPr>
        <w:pStyle w:val="1"/>
      </w:pPr>
      <w:r w:rsidRPr="001531CD">
        <w:rPr>
          <w:i/>
          <w:iCs/>
        </w:rPr>
        <w:t>Code</w:t>
      </w:r>
      <w:r w:rsidRPr="001531CD">
        <w:t xml:space="preserve">―the Federal Internal Revenue Code of 1954 as amended. In these regulations, the term Code may have specific reference to section 103(b)(6) of the Internal Revenue </w:t>
      </w:r>
      <w:r w:rsidRPr="001531CD">
        <w:t>Code and/or to regulations enacted by the Internal Revenue Service pursuant thereunder.</w:t>
      </w:r>
    </w:p>
    <w:p w14:paraId="7A067EF4" w14:textId="77777777" w:rsidR="003F4944" w:rsidRPr="001531CD" w:rsidRDefault="003F4944" w:rsidP="003F4944">
      <w:pPr>
        <w:pStyle w:val="1"/>
      </w:pPr>
      <w:r w:rsidRPr="001531CD">
        <w:rPr>
          <w:i/>
          <w:iCs/>
        </w:rPr>
        <w:t>Default</w:t>
      </w:r>
      <w:r w:rsidRPr="001531CD">
        <w:t xml:space="preserve"> or </w:t>
      </w:r>
      <w:r w:rsidRPr="001531CD">
        <w:rPr>
          <w:i/>
          <w:iCs/>
        </w:rPr>
        <w:t>In Default</w:t>
      </w:r>
      <w:r w:rsidRPr="001531CD">
        <w:t>―with respect to any loan, any payment of principal or interest which is more than 30 days in arrears.</w:t>
      </w:r>
    </w:p>
    <w:p w14:paraId="6641557E" w14:textId="77777777" w:rsidR="003F4944" w:rsidRPr="001531CD" w:rsidRDefault="003F4944" w:rsidP="003F4944">
      <w:pPr>
        <w:pStyle w:val="1"/>
      </w:pPr>
      <w:r w:rsidRPr="001531CD">
        <w:rPr>
          <w:i/>
          <w:iCs/>
        </w:rPr>
        <w:t>Farm</w:t>
      </w:r>
      <w:r w:rsidRPr="001531CD">
        <w:t>―includes stock, dairy, poultry, fruit, fur</w:t>
      </w:r>
      <w:r w:rsidRPr="001531CD">
        <w:noBreakHyphen/>
        <w:t>bearing animal and truck farms; plantations; ranches; nurseries; ranges; greenhouses or similar structures used primarily for the raising of agricultural or horticultural commodities; and orchards.</w:t>
      </w:r>
    </w:p>
    <w:p w14:paraId="7379B08A" w14:textId="77777777" w:rsidR="003F4944" w:rsidRPr="001531CD" w:rsidRDefault="003F4944" w:rsidP="003F4944">
      <w:pPr>
        <w:pStyle w:val="1"/>
      </w:pPr>
      <w:r w:rsidRPr="001531CD">
        <w:rPr>
          <w:i/>
          <w:iCs/>
        </w:rPr>
        <w:t>Fee</w:t>
      </w:r>
      <w:r w:rsidRPr="001531CD">
        <w:t xml:space="preserve"> or </w:t>
      </w:r>
      <w:r w:rsidRPr="001531CD">
        <w:rPr>
          <w:i/>
          <w:iCs/>
        </w:rPr>
        <w:t>Fees</w:t>
      </w:r>
      <w:r w:rsidRPr="001531CD">
        <w:t>―any and all of the following:</w:t>
      </w:r>
    </w:p>
    <w:p w14:paraId="1E76A24F" w14:textId="77777777" w:rsidR="003F4944" w:rsidRPr="001531CD" w:rsidRDefault="003F4944" w:rsidP="003F4944">
      <w:pPr>
        <w:pStyle w:val="a0"/>
      </w:pPr>
      <w:r w:rsidRPr="001531CD">
        <w:t>a.</w:t>
      </w:r>
      <w:r w:rsidRPr="001531CD">
        <w:tab/>
      </w:r>
      <w:r w:rsidRPr="001531CD">
        <w:rPr>
          <w:i/>
          <w:iCs/>
        </w:rPr>
        <w:t>Application Fee</w:t>
      </w:r>
      <w:r w:rsidRPr="001531CD">
        <w:t>―a set fee based on the total value of the loan which is paid by the borrower and transmitted by the lender to LAFA for LAFA processing of the application for a loan.</w:t>
      </w:r>
    </w:p>
    <w:p w14:paraId="483D740F" w14:textId="77777777" w:rsidR="003F4944" w:rsidRPr="001531CD" w:rsidRDefault="003F4944" w:rsidP="003F4944">
      <w:pPr>
        <w:pStyle w:val="a0"/>
      </w:pPr>
      <w:r w:rsidRPr="001531CD">
        <w:t>b.</w:t>
      </w:r>
      <w:r w:rsidRPr="001531CD">
        <w:tab/>
      </w:r>
      <w:r w:rsidRPr="001531CD">
        <w:rPr>
          <w:i/>
          <w:iCs/>
        </w:rPr>
        <w:t>Commitment Fee</w:t>
      </w:r>
      <w:r w:rsidRPr="001531CD">
        <w:t>―a percentage of the total value of the loan which is paid by the borrower to the lender prior to submission of the offer to cover the costs of issuing the bond to support the loan granted to the borrower. This fee is refundable to the borrower under the conditions set forth in §121.B hereof.</w:t>
      </w:r>
    </w:p>
    <w:p w14:paraId="789A4899" w14:textId="77777777" w:rsidR="003F4944" w:rsidRPr="001531CD" w:rsidRDefault="003F4944" w:rsidP="003F4944">
      <w:pPr>
        <w:pStyle w:val="a0"/>
      </w:pPr>
      <w:r w:rsidRPr="001531CD">
        <w:t>c.</w:t>
      </w:r>
      <w:r w:rsidRPr="001531CD">
        <w:tab/>
      </w:r>
      <w:r w:rsidRPr="001531CD">
        <w:rPr>
          <w:i/>
          <w:iCs/>
        </w:rPr>
        <w:t>Cost of Issue Fee</w:t>
      </w:r>
      <w:r w:rsidRPr="001531CD">
        <w:t>―a percentage of the total value of the loan which is paid by the borrower to cover the costs of issuing the bond to support the loan granted to the borrower. The fee is paid in the form of a discount from the original principal amount of the loan when purchased by a LAFA from lender.</w:t>
      </w:r>
    </w:p>
    <w:p w14:paraId="51E01E07" w14:textId="77777777" w:rsidR="003F4944" w:rsidRPr="001531CD" w:rsidRDefault="003F4944" w:rsidP="003F4944">
      <w:pPr>
        <w:pStyle w:val="a0"/>
      </w:pPr>
      <w:r w:rsidRPr="001531CD">
        <w:t>d.</w:t>
      </w:r>
      <w:r w:rsidRPr="001531CD">
        <w:tab/>
      </w:r>
      <w:r w:rsidRPr="001531CD">
        <w:rPr>
          <w:i/>
          <w:iCs/>
        </w:rPr>
        <w:t>Origination Fee</w:t>
      </w:r>
      <w:r w:rsidRPr="001531CD">
        <w:t>―a percentage of the total value of the loan which is paid by the borrower to the lender to cover the costs of processing, originating, and disbursing the proceeds of the loan granted to the borrower.</w:t>
      </w:r>
    </w:p>
    <w:p w14:paraId="1DECC38B" w14:textId="77777777" w:rsidR="003F4944" w:rsidRPr="001531CD" w:rsidRDefault="003F4944" w:rsidP="003F4944">
      <w:pPr>
        <w:pStyle w:val="a0"/>
      </w:pPr>
      <w:r w:rsidRPr="001531CD">
        <w:t>e.</w:t>
      </w:r>
      <w:r w:rsidRPr="001531CD">
        <w:tab/>
      </w:r>
      <w:r w:rsidRPr="001531CD">
        <w:rPr>
          <w:i/>
          <w:iCs/>
        </w:rPr>
        <w:t>Program Participation Fee</w:t>
      </w:r>
      <w:r w:rsidRPr="001531CD">
        <w:t>―a percentage of the remaining principal balance of the loan granted to borrower which is paid by the borrower to the lender on the due date of the annual payment directed by trustee. The lender transmits to the trustee along with the loan payment, and the proceeds thereof are used to cover the administrative costs of trustee and LAFA.</w:t>
      </w:r>
    </w:p>
    <w:p w14:paraId="1F166C89" w14:textId="77777777" w:rsidR="003F4944" w:rsidRPr="001531CD" w:rsidRDefault="003F4944" w:rsidP="003F4944">
      <w:pPr>
        <w:pStyle w:val="1"/>
      </w:pPr>
      <w:r w:rsidRPr="001531CD">
        <w:rPr>
          <w:i/>
          <w:iCs/>
        </w:rPr>
        <w:t>First-Time Farmer</w:t>
      </w:r>
      <w:r w:rsidRPr="001531CD">
        <w:t>―an individual who has never had any direct or indirect ownership interest in substantial farmland in the operation of which such individual materially participated. Ownership or participation by a spouse or child is treated as ownership or participation by the individual. Substantial farmland means any parcel of land unless:</w:t>
      </w:r>
    </w:p>
    <w:p w14:paraId="3A4E90B9" w14:textId="77777777" w:rsidR="003F4944" w:rsidRPr="001531CD" w:rsidRDefault="003F4944" w:rsidP="003F4944">
      <w:pPr>
        <w:pStyle w:val="a0"/>
      </w:pPr>
      <w:r w:rsidRPr="001531CD">
        <w:t>a.</w:t>
      </w:r>
      <w:r w:rsidRPr="001531CD">
        <w:tab/>
        <w:t>such parcel is smaller than 15 percent of the median farm size in the parish in which such parcel is located; and</w:t>
      </w:r>
    </w:p>
    <w:p w14:paraId="7312D196" w14:textId="77777777" w:rsidR="003F4944" w:rsidRPr="001531CD" w:rsidRDefault="003F4944" w:rsidP="003F4944">
      <w:pPr>
        <w:pStyle w:val="a0"/>
      </w:pPr>
      <w:r w:rsidRPr="001531CD">
        <w:lastRenderedPageBreak/>
        <w:t>b.</w:t>
      </w:r>
      <w:r w:rsidRPr="001531CD">
        <w:tab/>
        <w:t>the fair market value of the land does not at any time while held by the individual exceed $125,000.</w:t>
      </w:r>
    </w:p>
    <w:p w14:paraId="33FF532A" w14:textId="77777777" w:rsidR="003F4944" w:rsidRPr="001531CD" w:rsidRDefault="003F4944" w:rsidP="003F4944">
      <w:pPr>
        <w:pStyle w:val="1"/>
      </w:pPr>
      <w:r w:rsidRPr="001531CD">
        <w:rPr>
          <w:i/>
          <w:iCs/>
        </w:rPr>
        <w:t>Intent Resolution</w:t>
      </w:r>
      <w:r w:rsidRPr="001531CD">
        <w:t>―the resolution adopted by LAFA stating its intent to accept the offer and to issue a bond, the proceeds of which will be used to purchase an agricultural loan originated by the lender and accepting the offer.</w:t>
      </w:r>
    </w:p>
    <w:p w14:paraId="65264CD8" w14:textId="77777777" w:rsidR="003F4944" w:rsidRPr="001531CD" w:rsidRDefault="003F4944" w:rsidP="003F4944">
      <w:pPr>
        <w:pStyle w:val="1"/>
      </w:pPr>
      <w:r w:rsidRPr="001531CD">
        <w:rPr>
          <w:i/>
          <w:iCs/>
        </w:rPr>
        <w:t>Interest Rate</w:t>
      </w:r>
      <w:r w:rsidRPr="001531CD">
        <w:t>―one of the following when applied to a loan:</w:t>
      </w:r>
    </w:p>
    <w:p w14:paraId="095EEB77" w14:textId="77777777" w:rsidR="003F4944" w:rsidRPr="001531CD" w:rsidRDefault="003F4944" w:rsidP="003F4944">
      <w:pPr>
        <w:pStyle w:val="a0"/>
      </w:pPr>
      <w:r w:rsidRPr="001531CD">
        <w:t>a.</w:t>
      </w:r>
      <w:r w:rsidRPr="001531CD">
        <w:tab/>
      </w:r>
      <w:r w:rsidRPr="001531CD">
        <w:rPr>
          <w:i/>
          <w:iCs/>
        </w:rPr>
        <w:t>Fixed Interest Rate</w:t>
      </w:r>
      <w:r w:rsidRPr="001531CD">
        <w:t>―a rate of interest which does not change throughout the term of the loan.</w:t>
      </w:r>
    </w:p>
    <w:p w14:paraId="197BE469" w14:textId="77777777" w:rsidR="003F4944" w:rsidRPr="001531CD" w:rsidRDefault="003F4944" w:rsidP="003F4944">
      <w:pPr>
        <w:pStyle w:val="a0"/>
      </w:pPr>
      <w:r w:rsidRPr="001531CD">
        <w:t>b.</w:t>
      </w:r>
      <w:r w:rsidRPr="001531CD">
        <w:tab/>
      </w:r>
      <w:r w:rsidRPr="001531CD">
        <w:rPr>
          <w:i/>
          <w:iCs/>
        </w:rPr>
        <w:t>Variable Interest Rate</w:t>
      </w:r>
      <w:r w:rsidRPr="001531CD">
        <w:t>―a rate of interest which may change from time to time at stated intervals throughout the term of the loan.</w:t>
      </w:r>
    </w:p>
    <w:p w14:paraId="40F6621E" w14:textId="77777777" w:rsidR="003F4944" w:rsidRPr="001531CD" w:rsidRDefault="003F4944" w:rsidP="003F4944">
      <w:pPr>
        <w:pStyle w:val="a0"/>
      </w:pPr>
      <w:r w:rsidRPr="001531CD">
        <w:t>c.</w:t>
      </w:r>
      <w:r w:rsidRPr="001531CD">
        <w:tab/>
      </w:r>
      <w:r w:rsidRPr="001531CD">
        <w:rPr>
          <w:i/>
          <w:iCs/>
        </w:rPr>
        <w:t>Prime Interest Rate</w:t>
      </w:r>
      <w:r w:rsidRPr="001531CD">
        <w:t>―the base rate on corporate loans at large U.S. money center commercial banks as published in The Wall Street Journal as the prime rate. When the prime rate is published in The Wall Street Journal as a range in the form of a low and high rate, then in that event, LAFA may designate a rate within the published range which shall be the prime interest rate. When LAFA does not designate a rate within the published range the prime interest rate shall be the high of the range.</w:t>
      </w:r>
    </w:p>
    <w:p w14:paraId="471EE7CC" w14:textId="77777777" w:rsidR="003F4944" w:rsidRPr="001531CD" w:rsidRDefault="003F4944" w:rsidP="003F4944">
      <w:pPr>
        <w:pStyle w:val="1"/>
      </w:pPr>
      <w:r w:rsidRPr="001531CD">
        <w:rPr>
          <w:i/>
          <w:iCs/>
        </w:rPr>
        <w:t>IRS</w:t>
      </w:r>
      <w:r w:rsidRPr="001531CD">
        <w:t>―the Internal Revenue Service of the United States.</w:t>
      </w:r>
    </w:p>
    <w:p w14:paraId="07AF6138" w14:textId="77777777" w:rsidR="003F4944" w:rsidRPr="001531CD" w:rsidRDefault="003F4944" w:rsidP="003F4944">
      <w:pPr>
        <w:pStyle w:val="1"/>
      </w:pPr>
      <w:r w:rsidRPr="001531CD">
        <w:rPr>
          <w:i/>
          <w:iCs/>
        </w:rPr>
        <w:t>LAFA</w:t>
      </w:r>
      <w:r w:rsidRPr="001531CD">
        <w:t>―the Louisiana Agricultural Finance Authority, an agency of state government under the jurisdiction of the Department of Agriculture and Forestry, and any of its duly authorized agents; the term also means the issuer of Direct Placement Agricultural Revenue Bonds.</w:t>
      </w:r>
    </w:p>
    <w:p w14:paraId="6E31483B" w14:textId="77777777" w:rsidR="003F4944" w:rsidRPr="001531CD" w:rsidRDefault="003F4944" w:rsidP="003F4944">
      <w:pPr>
        <w:pStyle w:val="1"/>
      </w:pPr>
      <w:r w:rsidRPr="001531CD">
        <w:rPr>
          <w:i/>
          <w:iCs/>
        </w:rPr>
        <w:t>Lender</w:t>
      </w:r>
      <w:r w:rsidRPr="001531CD">
        <w:t>―any of the following, when participating in the program: a bank, bank or trust company, federal land bank, production credit association, bank for cooperatives, building and loan association, homestead, insurance company, investing banker, mortgage banker or company, pension or retirement fund, savings bank or savings and loan association, small business investment company, credit union, any other financial institution authorized to do business in Louisiana or operating under the supervision of any federal agency or any Edge Act Corporation or agreement, or a corporation organized or operating pursuant to Section 25 of the Federal Reserve Act.</w:t>
      </w:r>
    </w:p>
    <w:p w14:paraId="73ACE3AF" w14:textId="77777777" w:rsidR="003F4944" w:rsidRPr="001531CD" w:rsidRDefault="003F4944" w:rsidP="003F4944">
      <w:pPr>
        <w:pStyle w:val="1"/>
      </w:pPr>
      <w:r w:rsidRPr="001531CD">
        <w:rPr>
          <w:i/>
          <w:iCs/>
        </w:rPr>
        <w:t>Loan</w:t>
      </w:r>
      <w:r w:rsidRPr="001531CD">
        <w:t xml:space="preserve"> or </w:t>
      </w:r>
      <w:r w:rsidRPr="001531CD">
        <w:rPr>
          <w:i/>
          <w:iCs/>
        </w:rPr>
        <w:t>Loans</w:t>
      </w:r>
      <w:r w:rsidRPr="001531CD">
        <w:t>―an interest-bearing agricultural loan, described by an offer, originated by a lender participating in the LAFA Program to an eligible borrower, and evidenced by a loan note.</w:t>
      </w:r>
    </w:p>
    <w:p w14:paraId="4AA7B246" w14:textId="77777777" w:rsidR="003F4944" w:rsidRPr="001531CD" w:rsidRDefault="003F4944" w:rsidP="003F4944">
      <w:pPr>
        <w:pStyle w:val="1"/>
      </w:pPr>
      <w:r w:rsidRPr="001531CD">
        <w:rPr>
          <w:i/>
          <w:iCs/>
        </w:rPr>
        <w:t>Loan File</w:t>
      </w:r>
      <w:r w:rsidRPr="001531CD">
        <w:t>―the loan documents pertaining to a particular loan, which consist of the following, all in the form provided by LAFA:</w:t>
      </w:r>
    </w:p>
    <w:p w14:paraId="1E6F1175" w14:textId="77777777" w:rsidR="003F4944" w:rsidRPr="001531CD" w:rsidRDefault="003F4944" w:rsidP="003F4944">
      <w:pPr>
        <w:pStyle w:val="a0"/>
      </w:pPr>
      <w:r w:rsidRPr="001531CD">
        <w:t>a.</w:t>
      </w:r>
      <w:r w:rsidRPr="001531CD">
        <w:tab/>
        <w:t>loan purchase agreement;</w:t>
      </w:r>
    </w:p>
    <w:p w14:paraId="25FD69CE" w14:textId="77777777" w:rsidR="003F4944" w:rsidRPr="001531CD" w:rsidRDefault="003F4944" w:rsidP="003F4944">
      <w:pPr>
        <w:pStyle w:val="a0"/>
      </w:pPr>
      <w:r w:rsidRPr="001531CD">
        <w:t>b.</w:t>
      </w:r>
      <w:r w:rsidRPr="001531CD">
        <w:tab/>
        <w:t>loan submission voucher;</w:t>
      </w:r>
    </w:p>
    <w:p w14:paraId="05D0D570" w14:textId="77777777" w:rsidR="003F4944" w:rsidRPr="001531CD" w:rsidRDefault="003F4944" w:rsidP="003F4944">
      <w:pPr>
        <w:pStyle w:val="a0"/>
      </w:pPr>
      <w:r w:rsidRPr="001531CD">
        <w:t>c.</w:t>
      </w:r>
      <w:r w:rsidRPr="001531CD">
        <w:tab/>
        <w:t>opinion of lender's counsel;</w:t>
      </w:r>
    </w:p>
    <w:p w14:paraId="3798D5BF" w14:textId="77777777" w:rsidR="003F4944" w:rsidRPr="001531CD" w:rsidRDefault="003F4944" w:rsidP="003F4944">
      <w:pPr>
        <w:pStyle w:val="a0"/>
      </w:pPr>
      <w:r w:rsidRPr="001531CD">
        <w:t>d.</w:t>
      </w:r>
      <w:r w:rsidRPr="001531CD">
        <w:tab/>
        <w:t>officer's closing certificate;</w:t>
      </w:r>
    </w:p>
    <w:p w14:paraId="7D4CD2BB" w14:textId="77777777" w:rsidR="003F4944" w:rsidRPr="001531CD" w:rsidRDefault="003F4944" w:rsidP="003F4944">
      <w:pPr>
        <w:pStyle w:val="a0"/>
      </w:pPr>
      <w:r w:rsidRPr="001531CD">
        <w:t>e.</w:t>
      </w:r>
      <w:r w:rsidRPr="001531CD">
        <w:tab/>
        <w:t>loan note;</w:t>
      </w:r>
    </w:p>
    <w:p w14:paraId="073D41AE" w14:textId="77777777" w:rsidR="003F4944" w:rsidRPr="001531CD" w:rsidRDefault="003F4944" w:rsidP="003F4944">
      <w:pPr>
        <w:pStyle w:val="a0"/>
      </w:pPr>
      <w:r w:rsidRPr="001531CD">
        <w:t>f.</w:t>
      </w:r>
      <w:r w:rsidRPr="001531CD">
        <w:tab/>
        <w:t>mortgage or any other evidence of security securing the borrower's obligations under the loan note;</w:t>
      </w:r>
    </w:p>
    <w:p w14:paraId="540D597F" w14:textId="77777777" w:rsidR="003F4944" w:rsidRPr="001531CD" w:rsidRDefault="003F4944" w:rsidP="003F4944">
      <w:pPr>
        <w:pStyle w:val="a0"/>
      </w:pPr>
      <w:r w:rsidRPr="001531CD">
        <w:t>g.</w:t>
      </w:r>
      <w:r w:rsidRPr="001531CD">
        <w:tab/>
        <w:t>certificate of economic life; and</w:t>
      </w:r>
    </w:p>
    <w:p w14:paraId="1F2F3A33" w14:textId="77777777" w:rsidR="003F4944" w:rsidRPr="001531CD" w:rsidRDefault="003F4944" w:rsidP="003F4944">
      <w:pPr>
        <w:pStyle w:val="a0"/>
      </w:pPr>
      <w:r w:rsidRPr="001531CD">
        <w:t>h.</w:t>
      </w:r>
      <w:r w:rsidRPr="001531CD">
        <w:tab/>
        <w:t>assignment of loan note.</w:t>
      </w:r>
    </w:p>
    <w:p w14:paraId="71D880EE" w14:textId="77777777" w:rsidR="003F4944" w:rsidRPr="001531CD" w:rsidRDefault="003F4944" w:rsidP="003F4944">
      <w:pPr>
        <w:pStyle w:val="1"/>
      </w:pPr>
      <w:r w:rsidRPr="001531CD">
        <w:rPr>
          <w:i/>
          <w:iCs/>
        </w:rPr>
        <w:t>Loan Note</w:t>
      </w:r>
      <w:r w:rsidRPr="001531CD">
        <w:t>―a promissory note or other evidence of indebtedness executed by a borrower to evidence the borrower's obligation to repay the loan.</w:t>
      </w:r>
    </w:p>
    <w:p w14:paraId="19D71277" w14:textId="77777777" w:rsidR="003F4944" w:rsidRPr="001531CD" w:rsidRDefault="003F4944" w:rsidP="003F4944">
      <w:pPr>
        <w:pStyle w:val="1"/>
      </w:pPr>
      <w:r w:rsidRPr="001531CD">
        <w:rPr>
          <w:i/>
          <w:iCs/>
        </w:rPr>
        <w:t>Loan Purchase Agreement</w:t>
      </w:r>
      <w:r w:rsidRPr="001531CD">
        <w:t>―an agreement between LAFA and a lender under which, among other required provisions, LAFA agrees to purchase a loan after it is originated by the lender and the lender agrees to repurchase the loan in the event of default by the borrower.</w:t>
      </w:r>
    </w:p>
    <w:p w14:paraId="6AEC1733" w14:textId="77777777" w:rsidR="003F4944" w:rsidRPr="001531CD" w:rsidRDefault="003F4944" w:rsidP="003F4944">
      <w:pPr>
        <w:pStyle w:val="1"/>
      </w:pPr>
      <w:r w:rsidRPr="001531CD">
        <w:rPr>
          <w:i/>
          <w:iCs/>
        </w:rPr>
        <w:t>Loan Submission Voucher</w:t>
      </w:r>
      <w:r w:rsidRPr="001531CD">
        <w:t>―a document provided by LAFA and submitted by the lender to the trustee requesting the purchase of the loan by LAFA at a price equal to a specified percentage of the principal amount of the loan and which also contains substantially the same terms and conditions set forth in the loan terms schedule contained in the offer.</w:t>
      </w:r>
    </w:p>
    <w:p w14:paraId="7E42F3AA" w14:textId="77777777" w:rsidR="003F4944" w:rsidRPr="001531CD" w:rsidRDefault="003F4944" w:rsidP="003F4944">
      <w:pPr>
        <w:pStyle w:val="1"/>
      </w:pPr>
      <w:r w:rsidRPr="001531CD">
        <w:rPr>
          <w:i/>
          <w:iCs/>
        </w:rPr>
        <w:t>Loan Terms Schedule</w:t>
      </w:r>
      <w:r w:rsidRPr="001531CD">
        <w:t>―a loan description form, to be attached to the offer, which describes the terms and conditions of the proposed loan and the project to be financed with loan proceeds.</w:t>
      </w:r>
    </w:p>
    <w:p w14:paraId="698AAF93" w14:textId="77777777" w:rsidR="003F4944" w:rsidRPr="001531CD" w:rsidRDefault="003F4944" w:rsidP="003F4944">
      <w:pPr>
        <w:pStyle w:val="1"/>
      </w:pPr>
      <w:r w:rsidRPr="001531CD">
        <w:rPr>
          <w:i/>
          <w:iCs/>
        </w:rPr>
        <w:t>Offer</w:t>
      </w:r>
      <w:r w:rsidRPr="001531CD">
        <w:t>―the written document entitled Offer to Originate and Sell Agricultural Loans executed by a lender setting forth the terms and conditions whereby the lender agrees to originate and sell a loan to LAFA and to purchase a bond in the same principal amount as the loan.</w:t>
      </w:r>
    </w:p>
    <w:p w14:paraId="087E8D1F" w14:textId="77777777" w:rsidR="003F4944" w:rsidRPr="001531CD" w:rsidRDefault="003F4944" w:rsidP="003F4944">
      <w:pPr>
        <w:pStyle w:val="1"/>
      </w:pPr>
      <w:r w:rsidRPr="001531CD">
        <w:rPr>
          <w:i/>
          <w:iCs/>
        </w:rPr>
        <w:t>Origination Period</w:t>
      </w:r>
      <w:r w:rsidRPr="001531CD">
        <w:t>―a six-month period beginning with the date of issuance of a bond by LAFA.</w:t>
      </w:r>
    </w:p>
    <w:p w14:paraId="79F89542" w14:textId="77777777" w:rsidR="003F4944" w:rsidRPr="001531CD" w:rsidRDefault="003F4944" w:rsidP="003F4944">
      <w:pPr>
        <w:pStyle w:val="1"/>
      </w:pPr>
      <w:r w:rsidRPr="001531CD">
        <w:rPr>
          <w:i/>
          <w:iCs/>
        </w:rPr>
        <w:t>Principal User</w:t>
      </w:r>
      <w:r w:rsidRPr="001531CD">
        <w:t>―a person or company who uses more than 10 percent of a project, measured by the value paid by such user for the project. All capital expenditures for the project, must be taken into account to determine which are principal users of the project. For example, A, B, and C own Farm X in Parish X, each owning individually and not as a partner, respectively, 55 percent, 40 percent, and 5 percent by value, of the farm. A and B are principal users of Farm X (i.e., each owns more than 10 percent, by value), but C is not a principal user of Farm X because C only owns 5 percent by value. If A or B seek to acquire another Farm Y in Parish X, to be financed by a bond, the capital expenditures of A or B on Farm X will be deducted from the maximum principal amount of the bond (either $1,000,000 or $10,000,000; see §111). Since C is not a principal user of Farm X, if he acquired Farm Y with bond financing, he would not be required to deduct his capital expenditures on Farm X from the loan proceeds for the purchase of Farm Y.</w:t>
      </w:r>
    </w:p>
    <w:p w14:paraId="5082EB41" w14:textId="77777777" w:rsidR="003F4944" w:rsidRPr="001531CD" w:rsidRDefault="003F4944" w:rsidP="003F4944">
      <w:pPr>
        <w:pStyle w:val="1"/>
      </w:pPr>
      <w:r w:rsidRPr="001531CD">
        <w:rPr>
          <w:i/>
          <w:iCs/>
        </w:rPr>
        <w:t>Program</w:t>
      </w:r>
      <w:r w:rsidRPr="001531CD">
        <w:t>―the Direct Placement Agricultural Revenue Bond Program administered by LAFA.</w:t>
      </w:r>
    </w:p>
    <w:p w14:paraId="4987F434" w14:textId="77777777" w:rsidR="003F4944" w:rsidRPr="001531CD" w:rsidRDefault="003F4944" w:rsidP="003F4944">
      <w:pPr>
        <w:pStyle w:val="1"/>
      </w:pPr>
      <w:r w:rsidRPr="001531CD">
        <w:rPr>
          <w:i/>
          <w:iCs/>
        </w:rPr>
        <w:t>Project</w:t>
      </w:r>
      <w:r w:rsidRPr="001531CD">
        <w:t>―the property to be financed with loan proceeds, pursuant to the terms and conditions contained in the offer and in the loan purchase agreement.</w:t>
      </w:r>
    </w:p>
    <w:p w14:paraId="7FB055B0" w14:textId="77777777" w:rsidR="003F4944" w:rsidRPr="001531CD" w:rsidRDefault="003F4944" w:rsidP="003F4944">
      <w:pPr>
        <w:pStyle w:val="1"/>
      </w:pPr>
      <w:r w:rsidRPr="001531CD">
        <w:rPr>
          <w:i/>
          <w:iCs/>
        </w:rPr>
        <w:lastRenderedPageBreak/>
        <w:t>Rehabilitation Expenditures</w:t>
      </w:r>
      <w:r w:rsidRPr="001531CD">
        <w:t>―any costs associated with renovation or modernization of an existing building or the equipment located within an existing building which can be properly charged to a capital account; the term does not include expenditures for enlargement of an existing building.</w:t>
      </w:r>
    </w:p>
    <w:p w14:paraId="2AD4493C" w14:textId="77777777" w:rsidR="003F4944" w:rsidRPr="001531CD" w:rsidRDefault="003F4944" w:rsidP="003F4944">
      <w:pPr>
        <w:pStyle w:val="1"/>
      </w:pPr>
      <w:r w:rsidRPr="001531CD">
        <w:rPr>
          <w:i/>
        </w:rPr>
        <w:t>Related Person</w:t>
      </w:r>
      <w:r w:rsidRPr="001531CD">
        <w:t>―</w:t>
      </w:r>
    </w:p>
    <w:p w14:paraId="2D0A45DC" w14:textId="77777777" w:rsidR="003F4944" w:rsidRPr="001531CD" w:rsidRDefault="003F4944" w:rsidP="003F4944">
      <w:pPr>
        <w:pStyle w:val="a0"/>
      </w:pPr>
      <w:r w:rsidRPr="001531CD">
        <w:t>a.</w:t>
      </w:r>
      <w:r w:rsidRPr="001531CD">
        <w:tab/>
        <w:t>the following are related persons if borrower is an individual:</w:t>
      </w:r>
    </w:p>
    <w:p w14:paraId="7E26D233" w14:textId="77777777" w:rsidR="003F4944" w:rsidRPr="001531CD" w:rsidRDefault="003F4944" w:rsidP="003F4944">
      <w:pPr>
        <w:pStyle w:val="i0"/>
      </w:pPr>
      <w:r w:rsidRPr="001531CD">
        <w:tab/>
        <w:t>i.</w:t>
      </w:r>
      <w:r w:rsidRPr="001531CD">
        <w:tab/>
        <w:t>borrower's spouse or a spouse's ancestors or lineal descendants;</w:t>
      </w:r>
    </w:p>
    <w:p w14:paraId="325AE118" w14:textId="77777777" w:rsidR="003F4944" w:rsidRPr="001531CD" w:rsidRDefault="003F4944" w:rsidP="003F4944">
      <w:pPr>
        <w:pStyle w:val="i0"/>
      </w:pPr>
      <w:r w:rsidRPr="001531CD">
        <w:tab/>
        <w:t>ii.</w:t>
      </w:r>
      <w:r w:rsidRPr="001531CD">
        <w:tab/>
        <w:t>borrower's siblings (i.e., brothers and sisters);</w:t>
      </w:r>
    </w:p>
    <w:p w14:paraId="637A2537" w14:textId="77777777" w:rsidR="003F4944" w:rsidRPr="001531CD" w:rsidRDefault="003F4944" w:rsidP="003F4944">
      <w:pPr>
        <w:pStyle w:val="i0"/>
      </w:pPr>
      <w:r w:rsidRPr="001531CD">
        <w:tab/>
        <w:t>iii.</w:t>
      </w:r>
      <w:r w:rsidRPr="001531CD">
        <w:tab/>
        <w:t>borrower's ancestors and/or lineal descendants;</w:t>
      </w:r>
    </w:p>
    <w:p w14:paraId="5FF2A477" w14:textId="77777777" w:rsidR="003F4944" w:rsidRPr="001531CD" w:rsidRDefault="003F4944" w:rsidP="003F4944">
      <w:pPr>
        <w:pStyle w:val="i0"/>
      </w:pPr>
      <w:r w:rsidRPr="001531CD">
        <w:tab/>
        <w:t>iv.</w:t>
      </w:r>
      <w:r w:rsidRPr="001531CD">
        <w:tab/>
        <w:t>a corporation in which more than 50 percent in value of the outstanding stock is owned, directly or indirectly, by or for borrower;</w:t>
      </w:r>
    </w:p>
    <w:p w14:paraId="7A9C623D" w14:textId="77777777" w:rsidR="003F4944" w:rsidRPr="001531CD" w:rsidRDefault="003F4944" w:rsidP="003F4944">
      <w:pPr>
        <w:pStyle w:val="i0"/>
      </w:pPr>
      <w:r w:rsidRPr="001531CD">
        <w:tab/>
        <w:t>v.</w:t>
      </w:r>
      <w:r w:rsidRPr="001531CD">
        <w:tab/>
        <w:t>a trust of which borrower is the grantor or the beneficiary; and</w:t>
      </w:r>
    </w:p>
    <w:p w14:paraId="5C71A569" w14:textId="77777777" w:rsidR="003F4944" w:rsidRPr="001531CD" w:rsidRDefault="003F4944" w:rsidP="003F4944">
      <w:pPr>
        <w:pStyle w:val="i0"/>
      </w:pPr>
      <w:r w:rsidRPr="001531CD">
        <w:tab/>
        <w:t>vi.</w:t>
      </w:r>
      <w:r w:rsidRPr="001531CD">
        <w:tab/>
        <w:t>a partnership of which borrower owns, directly or indirectly, more than 50 percent of the capital or profits interest;</w:t>
      </w:r>
    </w:p>
    <w:p w14:paraId="0EE392AD" w14:textId="77777777" w:rsidR="003F4944" w:rsidRPr="001531CD" w:rsidRDefault="003F4944" w:rsidP="003F4944">
      <w:pPr>
        <w:pStyle w:val="a0"/>
      </w:pPr>
      <w:r w:rsidRPr="001531CD">
        <w:t>b.</w:t>
      </w:r>
      <w:r w:rsidRPr="001531CD">
        <w:tab/>
        <w:t>the following are related persons if borrower is a corporation:</w:t>
      </w:r>
    </w:p>
    <w:p w14:paraId="4B7EAF0B" w14:textId="77777777" w:rsidR="003F4944" w:rsidRPr="001531CD" w:rsidRDefault="003F4944" w:rsidP="003F4944">
      <w:pPr>
        <w:pStyle w:val="i0"/>
      </w:pPr>
      <w:r w:rsidRPr="001531CD">
        <w:tab/>
        <w:t>i.</w:t>
      </w:r>
      <w:r w:rsidRPr="001531CD">
        <w:tab/>
        <w:t>an individual who owns, directly or indirectly, more than 50 percent in value of the outstanding stock of the corporation;</w:t>
      </w:r>
    </w:p>
    <w:p w14:paraId="560E1BAD" w14:textId="77777777" w:rsidR="003F4944" w:rsidRPr="001531CD" w:rsidRDefault="003F4944" w:rsidP="003F4944">
      <w:pPr>
        <w:pStyle w:val="i0"/>
      </w:pPr>
      <w:r w:rsidRPr="001531CD">
        <w:tab/>
        <w:t>ii.</w:t>
      </w:r>
      <w:r w:rsidRPr="001531CD">
        <w:tab/>
        <w:t>a trust which owns, directly or indirectly, more than 50 percent in value of the outstanding stock of the corporation;</w:t>
      </w:r>
    </w:p>
    <w:p w14:paraId="76489E27" w14:textId="77777777" w:rsidR="003F4944" w:rsidRPr="001531CD" w:rsidRDefault="003F4944" w:rsidP="003F4944">
      <w:pPr>
        <w:pStyle w:val="i0"/>
      </w:pPr>
      <w:r w:rsidRPr="001531CD">
        <w:tab/>
        <w:t>iii.</w:t>
      </w:r>
      <w:r w:rsidRPr="001531CD">
        <w:tab/>
        <w:t>a corporation that is a member of the same parent-subsidiary controlled group, a brother-sister controlled group, or a combined group of corporations;</w:t>
      </w:r>
    </w:p>
    <w:p w14:paraId="5AE823FF" w14:textId="77777777" w:rsidR="003F4944" w:rsidRPr="001531CD" w:rsidRDefault="003F4944" w:rsidP="003F4944">
      <w:pPr>
        <w:pStyle w:val="i0"/>
      </w:pPr>
      <w:r w:rsidRPr="001531CD">
        <w:tab/>
        <w:t>iv.</w:t>
      </w:r>
      <w:r w:rsidRPr="001531CD">
        <w:tab/>
        <w:t>a partnership which owns, directly or indirectly, more than 50 percent of the outstanding stock of the corporation; and</w:t>
      </w:r>
    </w:p>
    <w:p w14:paraId="16B9C1C9" w14:textId="77777777" w:rsidR="003F4944" w:rsidRPr="001531CD" w:rsidRDefault="003F4944" w:rsidP="003F4944">
      <w:pPr>
        <w:pStyle w:val="i0"/>
      </w:pPr>
      <w:r w:rsidRPr="001531CD">
        <w:tab/>
        <w:t>v.</w:t>
      </w:r>
      <w:r w:rsidRPr="001531CD">
        <w:tab/>
        <w:t>for purposes of these regulations, stock owned, directly or indirectly, by or for a corporation, partnership, estate or trust is considered to be owned proportionately by or for its shareholders, partners or beneficiaries. In addition, an individual is considered to be the owner of stock owned, directly or indirectly, by or for his family;</w:t>
      </w:r>
    </w:p>
    <w:p w14:paraId="6F4BEED1" w14:textId="77777777" w:rsidR="003F4944" w:rsidRPr="001531CD" w:rsidRDefault="003F4944" w:rsidP="003F4944">
      <w:pPr>
        <w:pStyle w:val="a0"/>
      </w:pPr>
      <w:r w:rsidRPr="001531CD">
        <w:t>c.</w:t>
      </w:r>
      <w:r w:rsidRPr="001531CD">
        <w:tab/>
        <w:t>the following are related persons if borrower is a partnership:</w:t>
      </w:r>
    </w:p>
    <w:p w14:paraId="4F15CDF9" w14:textId="77777777" w:rsidR="003F4944" w:rsidRPr="001531CD" w:rsidRDefault="003F4944" w:rsidP="003F4944">
      <w:pPr>
        <w:pStyle w:val="i0"/>
      </w:pPr>
      <w:r w:rsidRPr="001531CD">
        <w:tab/>
        <w:t>i.</w:t>
      </w:r>
      <w:r w:rsidRPr="001531CD">
        <w:tab/>
        <w:t>a partner who owns, directly or indirectly, more than 50 percent of the capital or profits interest of the partnership;</w:t>
      </w:r>
    </w:p>
    <w:p w14:paraId="128BA1A7" w14:textId="77777777" w:rsidR="003F4944" w:rsidRPr="001531CD" w:rsidRDefault="003F4944" w:rsidP="003F4944">
      <w:pPr>
        <w:pStyle w:val="i0"/>
      </w:pPr>
      <w:r w:rsidRPr="001531CD">
        <w:tab/>
        <w:t>ii.</w:t>
      </w:r>
      <w:r w:rsidRPr="001531CD">
        <w:tab/>
        <w:t>another partnership in which the same persons own, directly or indirectly, more than 50 percent of the capital or profits interest;</w:t>
      </w:r>
    </w:p>
    <w:p w14:paraId="11C52F21" w14:textId="77777777" w:rsidR="003F4944" w:rsidRPr="001531CD" w:rsidRDefault="003F4944" w:rsidP="003F4944">
      <w:pPr>
        <w:pStyle w:val="i0"/>
      </w:pPr>
      <w:r w:rsidRPr="001531CD">
        <w:tab/>
        <w:t>iii.</w:t>
      </w:r>
      <w:r w:rsidRPr="001531CD">
        <w:tab/>
        <w:t xml:space="preserve">if an individual owns stock in a corporation, other than constructively though his family, he is considered </w:t>
      </w:r>
      <w:r w:rsidRPr="001531CD">
        <w:t>as owning the stock owned, directly or indirectly, by or for his partner; and</w:t>
      </w:r>
    </w:p>
    <w:p w14:paraId="54ADC5F3" w14:textId="77777777" w:rsidR="003F4944" w:rsidRPr="001531CD" w:rsidRDefault="003F4944" w:rsidP="003F4944">
      <w:pPr>
        <w:pStyle w:val="i0"/>
      </w:pPr>
      <w:r w:rsidRPr="001531CD">
        <w:tab/>
        <w:t>iv.</w:t>
      </w:r>
      <w:r w:rsidRPr="001531CD">
        <w:tab/>
        <w:t>a partner is considered as the owner of partnership interests:</w:t>
      </w:r>
    </w:p>
    <w:p w14:paraId="298FE7A0" w14:textId="77777777" w:rsidR="003F4944" w:rsidRPr="001531CD" w:rsidRDefault="003F4944" w:rsidP="003F4944">
      <w:pPr>
        <w:pStyle w:val="a1"/>
      </w:pPr>
      <w:r w:rsidRPr="001531CD">
        <w:t>(a).</w:t>
      </w:r>
      <w:r w:rsidRPr="001531CD">
        <w:tab/>
        <w:t>owned by a corporation, partnership, estate or trust, proportionately, if he is a shareholder, partner, or beneficiary; and</w:t>
      </w:r>
    </w:p>
    <w:p w14:paraId="10B5B1A1" w14:textId="77777777" w:rsidR="003F4944" w:rsidRPr="001531CD" w:rsidRDefault="003F4944" w:rsidP="003F4944">
      <w:pPr>
        <w:pStyle w:val="a1"/>
      </w:pPr>
      <w:r w:rsidRPr="001531CD">
        <w:t>(b).</w:t>
      </w:r>
      <w:r w:rsidRPr="001531CD">
        <w:tab/>
        <w:t>owned by his brothers, sisters, spouse, ancestors or lineal descendants;</w:t>
      </w:r>
    </w:p>
    <w:p w14:paraId="256C326D" w14:textId="77777777" w:rsidR="003F4944" w:rsidRPr="001531CD" w:rsidRDefault="003F4944" w:rsidP="003F4944">
      <w:pPr>
        <w:pStyle w:val="a0"/>
      </w:pPr>
      <w:r w:rsidRPr="001531CD">
        <w:t>d.</w:t>
      </w:r>
      <w:r w:rsidRPr="001531CD">
        <w:tab/>
        <w:t>the following are related persons if borrower is a trust:</w:t>
      </w:r>
    </w:p>
    <w:p w14:paraId="42D73745" w14:textId="77777777" w:rsidR="003F4944" w:rsidRPr="001531CD" w:rsidRDefault="003F4944" w:rsidP="003F4944">
      <w:pPr>
        <w:pStyle w:val="i0"/>
      </w:pPr>
      <w:r w:rsidRPr="001531CD">
        <w:tab/>
        <w:t>i.</w:t>
      </w:r>
      <w:r w:rsidRPr="001531CD">
        <w:tab/>
        <w:t>its grantor;</w:t>
      </w:r>
    </w:p>
    <w:p w14:paraId="55702A55" w14:textId="77777777" w:rsidR="003F4944" w:rsidRPr="001531CD" w:rsidRDefault="003F4944" w:rsidP="003F4944">
      <w:pPr>
        <w:pStyle w:val="i0"/>
      </w:pPr>
      <w:r w:rsidRPr="001531CD">
        <w:tab/>
        <w:t>ii.</w:t>
      </w:r>
      <w:r w:rsidRPr="001531CD">
        <w:tab/>
        <w:t>another trust, if the same person is the grantor of both trusts;</w:t>
      </w:r>
    </w:p>
    <w:p w14:paraId="4B14D7AB" w14:textId="77777777" w:rsidR="003F4944" w:rsidRPr="001531CD" w:rsidRDefault="003F4944" w:rsidP="003F4944">
      <w:pPr>
        <w:pStyle w:val="i0"/>
      </w:pPr>
      <w:r w:rsidRPr="001531CD">
        <w:tab/>
        <w:t>iii.</w:t>
      </w:r>
      <w:r w:rsidRPr="001531CD">
        <w:tab/>
        <w:t>a beneficiary of the trust;</w:t>
      </w:r>
    </w:p>
    <w:p w14:paraId="79A29E53" w14:textId="77777777" w:rsidR="003F4944" w:rsidRPr="001531CD" w:rsidRDefault="003F4944" w:rsidP="003F4944">
      <w:pPr>
        <w:pStyle w:val="i0"/>
      </w:pPr>
      <w:r w:rsidRPr="001531CD">
        <w:tab/>
        <w:t>iv.</w:t>
      </w:r>
      <w:r w:rsidRPr="001531CD">
        <w:tab/>
        <w:t>a beneficiary of another trust, if the same person is the grantor of both trusts; and</w:t>
      </w:r>
    </w:p>
    <w:p w14:paraId="6EA0C2DF" w14:textId="77777777" w:rsidR="003F4944" w:rsidRPr="001531CD" w:rsidRDefault="003F4944" w:rsidP="003F4944">
      <w:pPr>
        <w:pStyle w:val="i0"/>
      </w:pPr>
      <w:r w:rsidRPr="001531CD">
        <w:tab/>
        <w:t>v.</w:t>
      </w:r>
      <w:r w:rsidRPr="001531CD">
        <w:tab/>
        <w:t>a corporation of which more than 50 percent in value of the outstanding stock is owned, directly or indirectly, by or for the trust or by or for a grantor of the trust.</w:t>
      </w:r>
    </w:p>
    <w:p w14:paraId="2860D46F" w14:textId="77777777" w:rsidR="003F4944" w:rsidRPr="001531CD" w:rsidRDefault="003F4944" w:rsidP="003F4944">
      <w:pPr>
        <w:pStyle w:val="1"/>
      </w:pPr>
      <w:r w:rsidRPr="001531CD">
        <w:rPr>
          <w:i/>
          <w:iCs/>
        </w:rPr>
        <w:t>TEFRA</w:t>
      </w:r>
      <w:r w:rsidRPr="001531CD">
        <w:t>―the Tax Equity and Fiscal Responsibility Act of 1982 (</w:t>
      </w:r>
      <w:r w:rsidR="002A2015" w:rsidRPr="001531CD">
        <w:t>f</w:t>
      </w:r>
      <w:r w:rsidRPr="001531CD">
        <w:t>ederal).</w:t>
      </w:r>
    </w:p>
    <w:p w14:paraId="25C25DB3" w14:textId="77777777" w:rsidR="003F4944" w:rsidRDefault="003F4944" w:rsidP="003F4944">
      <w:pPr>
        <w:pStyle w:val="1"/>
      </w:pPr>
      <w:r w:rsidRPr="001531CD">
        <w:rPr>
          <w:i/>
          <w:iCs/>
        </w:rPr>
        <w:t>Trustee</w:t>
      </w:r>
      <w:r w:rsidRPr="001531CD">
        <w:t>―Capital Bank and Trust Company of Baton Rouge, Louisiana.</w:t>
      </w:r>
    </w:p>
    <w:p w14:paraId="2C91586C" w14:textId="77777777" w:rsidR="003E2396" w:rsidRDefault="003E2396" w:rsidP="003E2396">
      <w:pPr>
        <w:pStyle w:val="A"/>
      </w:pPr>
      <w:r w:rsidRPr="001F65A2">
        <w:t>D.</w:t>
      </w:r>
      <w:r>
        <w:tab/>
      </w:r>
      <w:r w:rsidRPr="001F65A2">
        <w:t>The following words and terms are defined for the purposes of the 2016 Louisiana Farm Recovery Grant Program.</w:t>
      </w:r>
    </w:p>
    <w:p w14:paraId="5EF9EA25" w14:textId="77777777" w:rsidR="003E2396" w:rsidRDefault="003E2396" w:rsidP="003E2396">
      <w:pPr>
        <w:pStyle w:val="1"/>
      </w:pPr>
      <w:r w:rsidRPr="001F65A2">
        <w:rPr>
          <w:i/>
        </w:rPr>
        <w:t>Expected Gross Crop Revenue</w:t>
      </w:r>
      <w:r w:rsidRPr="001F65A2">
        <w:t xml:space="preserve"> (for 2016)</w:t>
      </w:r>
      <w:r>
        <w:t>—</w:t>
      </w:r>
      <w:r w:rsidRPr="001F65A2">
        <w:t>the level of revenue that would have been expected to have been generated in 2016 under normal weather conditions and is calculated using the applicant’s response to the number of acres harvested in 2016, a 5-year parish average for crop yields and the estimated average market price in 2016.</w:t>
      </w:r>
    </w:p>
    <w:p w14:paraId="34986F26" w14:textId="77777777" w:rsidR="003E2396" w:rsidRDefault="003E2396" w:rsidP="003E2396">
      <w:pPr>
        <w:pStyle w:val="1"/>
      </w:pPr>
      <w:r w:rsidRPr="001F65A2">
        <w:rPr>
          <w:i/>
        </w:rPr>
        <w:t>Gross Crop Revenue</w:t>
      </w:r>
      <w:r w:rsidRPr="001F65A2">
        <w:t xml:space="preserve"> (for 2016)</w:t>
      </w:r>
      <w:r>
        <w:t>—</w:t>
      </w:r>
      <w:r w:rsidRPr="001F65A2">
        <w:t>calculated by multiplying total acres harvested times the total average yield times an estimated average selling price.</w:t>
      </w:r>
      <w:r>
        <w:t xml:space="preserve"> </w:t>
      </w:r>
      <w:r w:rsidRPr="001F65A2">
        <w:t>The estimated average selling price is calculated by dividing the applicant’s share of crop revenue by the amount of the crop marketed by the applicant.</w:t>
      </w:r>
      <w:r>
        <w:t xml:space="preserve"> </w:t>
      </w:r>
    </w:p>
    <w:p w14:paraId="56ECD93F" w14:textId="77777777" w:rsidR="003E2396" w:rsidRDefault="003E2396" w:rsidP="003E2396">
      <w:pPr>
        <w:pStyle w:val="1"/>
      </w:pPr>
      <w:r w:rsidRPr="001F65A2">
        <w:rPr>
          <w:i/>
        </w:rPr>
        <w:t>Increases in either Harvest or Production Costs</w:t>
      </w:r>
      <w:r>
        <w:t>—</w:t>
      </w:r>
      <w:r w:rsidRPr="001F65A2">
        <w:t>the costs of having to replant crops that were ruined due to high levels of rainfall and flooding; costs associated with harvesting crops under excessively wet field conditions causing reduced harvest speeds and efficiency; and costs associated with increased tillage and land preparation due to damage caused to land resulting from either having to harvest under excessively wet conditions or resulting from the impact of pounding rainfall and flooding.</w:t>
      </w:r>
    </w:p>
    <w:p w14:paraId="57573AEC" w14:textId="77777777" w:rsidR="003E2396" w:rsidRDefault="003E2396" w:rsidP="003E2396">
      <w:pPr>
        <w:pStyle w:val="1"/>
      </w:pPr>
      <w:r w:rsidRPr="001F65A2">
        <w:rPr>
          <w:i/>
        </w:rPr>
        <w:t>Loss of Stored Hay</w:t>
      </w:r>
      <w:r>
        <w:t>—</w:t>
      </w:r>
      <w:r w:rsidRPr="001F65A2">
        <w:t>calculated by using the number of bales destroyed and then converting them into tons of hay assuming an average bale weight of 1,200 pounds.</w:t>
      </w:r>
      <w:r>
        <w:t xml:space="preserve"> </w:t>
      </w:r>
      <w:r w:rsidRPr="001F65A2">
        <w:t xml:space="preserve">A market value for hay lost due to flooding is then calculated using the </w:t>
      </w:r>
      <w:r w:rsidRPr="001F65A2">
        <w:lastRenderedPageBreak/>
        <w:t xml:space="preserve">average 2016 market price as defined by the 2016 </w:t>
      </w:r>
      <w:r w:rsidRPr="00400BA0">
        <w:rPr>
          <w:i/>
        </w:rPr>
        <w:t>Louisiana Summary</w:t>
      </w:r>
      <w:r w:rsidRPr="001F65A2">
        <w:t xml:space="preserve"> publication. </w:t>
      </w:r>
    </w:p>
    <w:p w14:paraId="487C654C" w14:textId="77777777" w:rsidR="003E2396" w:rsidRDefault="003E2396" w:rsidP="003E2396">
      <w:pPr>
        <w:pStyle w:val="1"/>
      </w:pPr>
      <w:r w:rsidRPr="001F65A2">
        <w:rPr>
          <w:i/>
        </w:rPr>
        <w:t>Lost or Dead Cattle</w:t>
      </w:r>
      <w:r>
        <w:t>—</w:t>
      </w:r>
      <w:r w:rsidRPr="001F65A2">
        <w:t xml:space="preserve">cattle that were lost or killed and calculated on a value per head by for the two classes of cattle using average 2016 market prices obtained from the 2016 </w:t>
      </w:r>
      <w:r w:rsidRPr="00400BA0">
        <w:rPr>
          <w:i/>
        </w:rPr>
        <w:t xml:space="preserve">Louisiana Summary </w:t>
      </w:r>
      <w:r w:rsidRPr="001F65A2">
        <w:t xml:space="preserve">publication and assuming an average weight for calves of 500 pounds and breeding animals of 1,200 pounds. </w:t>
      </w:r>
    </w:p>
    <w:p w14:paraId="6746EE39" w14:textId="77777777" w:rsidR="003E2396" w:rsidRDefault="003E2396" w:rsidP="003E2396">
      <w:pPr>
        <w:pStyle w:val="1"/>
      </w:pPr>
      <w:r w:rsidRPr="001F65A2">
        <w:rPr>
          <w:i/>
        </w:rPr>
        <w:t>Net Estimated Losses</w:t>
      </w:r>
      <w:r>
        <w:t>—</w:t>
      </w:r>
      <w:r w:rsidRPr="001F65A2">
        <w:t xml:space="preserve">the amount of losses eligible for assistance under the 2016 Louisiana Farm Recovery Grant Program calculated by the difference between the total estimated losses and any assistance received by the applicant from other sources. </w:t>
      </w:r>
    </w:p>
    <w:p w14:paraId="272DE3D7" w14:textId="77777777" w:rsidR="003E2396" w:rsidRDefault="003E2396" w:rsidP="003E2396">
      <w:pPr>
        <w:pStyle w:val="1"/>
      </w:pPr>
      <w:r w:rsidRPr="001F65A2">
        <w:rPr>
          <w:i/>
        </w:rPr>
        <w:t>Producer</w:t>
      </w:r>
      <w:r>
        <w:t>—</w:t>
      </w:r>
      <w:r w:rsidRPr="001F65A2">
        <w:t>one who engages, as an occupation, in farming operations as a distinct activity for the purpose of producing a farm crop and assumes the production and market risks associated with the agricultural production of those crops.</w:t>
      </w:r>
      <w:r>
        <w:t xml:space="preserve"> </w:t>
      </w:r>
      <w:r w:rsidRPr="001F65A2">
        <w:t>A corporation or farmer’s cooperative may be a “producer” if engaged in actual farming of the nature and extent there indicated.</w:t>
      </w:r>
    </w:p>
    <w:p w14:paraId="268A6E7F" w14:textId="77777777" w:rsidR="003E2396" w:rsidRDefault="003E2396" w:rsidP="003E2396">
      <w:pPr>
        <w:pStyle w:val="1"/>
      </w:pPr>
      <w:r w:rsidRPr="001F65A2">
        <w:rPr>
          <w:i/>
        </w:rPr>
        <w:t>Reductions in Grazing Availability</w:t>
      </w:r>
      <w:r>
        <w:t>—</w:t>
      </w:r>
      <w:r w:rsidRPr="001F65A2">
        <w:t>the economic loss associated with pastures that were flooded making grazing unavailable to cattle which is calculated using a hay equivalent methodology.</w:t>
      </w:r>
      <w:r>
        <w:t xml:space="preserve"> </w:t>
      </w:r>
      <w:r w:rsidRPr="001F65A2">
        <w:t>The methodology assumes the economic loss is equal to the value of the amount of hay that would be needed to compensate for the lost grazing.</w:t>
      </w:r>
      <w:r>
        <w:t xml:space="preserve"> </w:t>
      </w:r>
      <w:r w:rsidRPr="001F65A2">
        <w:t>The methodology assumes that each mature cow weighs 1,200 pounds and eats 2 percent of her body weight per day.</w:t>
      </w:r>
      <w:r>
        <w:t xml:space="preserve"> </w:t>
      </w:r>
      <w:r w:rsidRPr="001F65A2">
        <w:t>With this information, the total amount of hay needed for the number of days grazing was unavailable is calculated.</w:t>
      </w:r>
      <w:r>
        <w:t xml:space="preserve"> </w:t>
      </w:r>
      <w:r w:rsidRPr="001F65A2">
        <w:t xml:space="preserve">The value of that hay is then estimated using the average 2016 market price for hay as defined by the 2016 </w:t>
      </w:r>
      <w:r w:rsidRPr="00400BA0">
        <w:rPr>
          <w:i/>
        </w:rPr>
        <w:t>Louisiana Summary</w:t>
      </w:r>
      <w:r w:rsidRPr="001F65A2">
        <w:t xml:space="preserve"> publication. </w:t>
      </w:r>
    </w:p>
    <w:p w14:paraId="27BDCB3D" w14:textId="77777777" w:rsidR="003E2396" w:rsidRPr="001F65A2" w:rsidRDefault="003E2396" w:rsidP="003E2396">
      <w:pPr>
        <w:pStyle w:val="1"/>
      </w:pPr>
      <w:r w:rsidRPr="001F65A2">
        <w:rPr>
          <w:i/>
        </w:rPr>
        <w:t>Total Estimated Losses</w:t>
      </w:r>
      <w:r w:rsidRPr="001F65A2">
        <w:t xml:space="preserve"> (suffered by the farming operation)</w:t>
      </w:r>
      <w:r>
        <w:t>—</w:t>
      </w:r>
      <w:r w:rsidRPr="001F65A2">
        <w:t>a summation of the estimated economic losses associated with each crop produced and any cattle related losses.</w:t>
      </w:r>
    </w:p>
    <w:p w14:paraId="372AB97A" w14:textId="77777777" w:rsidR="003E2396" w:rsidRPr="001531CD" w:rsidRDefault="003E2396" w:rsidP="003E2396">
      <w:pPr>
        <w:pStyle w:val="AuthorityNote"/>
      </w:pPr>
      <w:r w:rsidRPr="001F65A2">
        <w:t>AUTHORITY NOTE:</w:t>
      </w:r>
      <w:r>
        <w:tab/>
      </w:r>
      <w:r w:rsidRPr="001F65A2">
        <w:t>Promulgated in accordance with R.S. 3:266.</w:t>
      </w:r>
    </w:p>
    <w:p w14:paraId="7D1A60BF" w14:textId="77777777" w:rsidR="00CF626A" w:rsidRPr="001531CD" w:rsidRDefault="00CF626A">
      <w:pPr>
        <w:pStyle w:val="HistoricalNote"/>
      </w:pPr>
      <w:r w:rsidRPr="001531CD">
        <w:t>HISTORICAL NOTE:</w:t>
      </w:r>
      <w:r w:rsidRPr="001531CD">
        <w:tab/>
        <w:t>Promulgated by the Department of Agriculture, Agricultural Finance Autho</w:t>
      </w:r>
      <w:r w:rsidR="003F4944" w:rsidRPr="001531CD">
        <w:t>rity, LR 10:866 (November 1984),</w:t>
      </w:r>
      <w:r w:rsidR="003E2396">
        <w:t xml:space="preserve"> amended LR 36:464 (March 2010), amended </w:t>
      </w:r>
      <w:r w:rsidR="003E2396" w:rsidRPr="001531CD">
        <w:t>by the Department of Agriculture</w:t>
      </w:r>
      <w:r w:rsidR="003E2396">
        <w:t xml:space="preserve"> and Forestry</w:t>
      </w:r>
      <w:r w:rsidR="003E2396" w:rsidRPr="001531CD">
        <w:t xml:space="preserve">, Agricultural Finance Authority, </w:t>
      </w:r>
      <w:r w:rsidR="003E2396">
        <w:t>LR 44:437 (March 2018).</w:t>
      </w:r>
    </w:p>
    <w:p w14:paraId="77FE8102" w14:textId="77777777" w:rsidR="00CF626A" w:rsidRPr="001531CD" w:rsidRDefault="00CF626A">
      <w:pPr>
        <w:pStyle w:val="Section"/>
      </w:pPr>
      <w:bookmarkStart w:id="159" w:name="_Toc256754264"/>
      <w:bookmarkStart w:id="160" w:name="_Toc224818475"/>
      <w:r w:rsidRPr="001531CD">
        <w:t>§103.</w:t>
      </w:r>
      <w:r w:rsidRPr="001531CD">
        <w:tab/>
        <w:t>Administration of LAFA's Affairs</w:t>
      </w:r>
      <w:bookmarkEnd w:id="159"/>
      <w:bookmarkEnd w:id="160"/>
    </w:p>
    <w:p w14:paraId="79A83337" w14:textId="77777777" w:rsidR="003F4944" w:rsidRPr="001531CD" w:rsidRDefault="003F4944" w:rsidP="003F4944">
      <w:pPr>
        <w:pStyle w:val="A"/>
      </w:pPr>
      <w:r w:rsidRPr="001531CD">
        <w:t>A.</w:t>
      </w:r>
      <w:r w:rsidRPr="001531CD">
        <w:tab/>
        <w:t>LAFA officers shall be a chairman, vice-chairman, and secretary who shall serve terms of one year but may be elected for an indefinite number of terms.</w:t>
      </w:r>
    </w:p>
    <w:p w14:paraId="44C1D12C" w14:textId="77777777" w:rsidR="003F4944" w:rsidRPr="001531CD" w:rsidRDefault="003F4944" w:rsidP="003F4944">
      <w:pPr>
        <w:pStyle w:val="A"/>
      </w:pPr>
      <w:r w:rsidRPr="001531CD">
        <w:t>B.</w:t>
      </w:r>
      <w:r w:rsidRPr="001531CD">
        <w:tab/>
        <w:t>After the initial election of officers, the officers shall be elected at LAFA's regular meeting during the first quarter of the year.</w:t>
      </w:r>
    </w:p>
    <w:p w14:paraId="5A825921" w14:textId="77777777" w:rsidR="003F4944" w:rsidRPr="001531CD" w:rsidRDefault="003F4944" w:rsidP="003F4944">
      <w:pPr>
        <w:pStyle w:val="A"/>
      </w:pPr>
      <w:r w:rsidRPr="001531CD">
        <w:t>C.</w:t>
      </w:r>
      <w:r w:rsidRPr="001531CD">
        <w:tab/>
        <w:t>In the absence of the chairman at any LAFA meeting, the vice-chairman shall preside.</w:t>
      </w:r>
    </w:p>
    <w:p w14:paraId="55A22027" w14:textId="77777777" w:rsidR="003F4944" w:rsidRPr="001531CD" w:rsidRDefault="003F4944" w:rsidP="003F4944">
      <w:pPr>
        <w:pStyle w:val="A"/>
      </w:pPr>
      <w:r w:rsidRPr="001531CD">
        <w:t>D.</w:t>
      </w:r>
      <w:r w:rsidRPr="001531CD">
        <w:tab/>
        <w:t>LAFA shall hold at least one meeting during each quarter of the year but may meet more frequently upon the call of the chairman.</w:t>
      </w:r>
    </w:p>
    <w:p w14:paraId="47B857DA" w14:textId="77777777" w:rsidR="003F4944" w:rsidRPr="001531CD" w:rsidRDefault="003F4944" w:rsidP="003F4944">
      <w:pPr>
        <w:pStyle w:val="A"/>
      </w:pPr>
      <w:r w:rsidRPr="001531CD">
        <w:t>E.</w:t>
      </w:r>
      <w:r w:rsidRPr="001531CD">
        <w:tab/>
        <w:t>LAFA meetings shall normally be held at its domicile but may be held at other locations upon the determination of the chairman or the will of the members.</w:t>
      </w:r>
    </w:p>
    <w:p w14:paraId="060F1E51" w14:textId="77777777" w:rsidR="003F4944" w:rsidRPr="001531CD" w:rsidRDefault="003F4944" w:rsidP="003F4944">
      <w:pPr>
        <w:pStyle w:val="A"/>
      </w:pPr>
      <w:r w:rsidRPr="001531CD">
        <w:t>F.</w:t>
      </w:r>
      <w:r w:rsidRPr="001531CD">
        <w:tab/>
        <w:t>There shall be no voting by proxy.</w:t>
      </w:r>
    </w:p>
    <w:p w14:paraId="0D0AADEB" w14:textId="77777777" w:rsidR="003F4944" w:rsidRPr="001531CD" w:rsidRDefault="00BF010C" w:rsidP="003F4944">
      <w:pPr>
        <w:pStyle w:val="A"/>
      </w:pPr>
      <w:r w:rsidRPr="001531CD">
        <w:t>G..</w:t>
      </w:r>
      <w:r w:rsidRPr="001531CD">
        <w:tab/>
      </w:r>
      <w:r w:rsidR="003F4944" w:rsidRPr="001531CD">
        <w:t>The chairman shall designate a hearing officer, who may or may not be a LAFA member, to preside at all adjudicatory proceedings. The chairman may, if he so desires, serve as hearing officer at any such proceeding. All adjudicatory proceedings held by LAFA shall be conducted in accordance with the Administrative Procedure Act.</w:t>
      </w:r>
    </w:p>
    <w:p w14:paraId="6DBED574" w14:textId="77777777" w:rsidR="003F4944" w:rsidRPr="001531CD" w:rsidRDefault="003F4944" w:rsidP="003F4944">
      <w:pPr>
        <w:pStyle w:val="AuthorityNote"/>
      </w:pPr>
      <w:r w:rsidRPr="001531CD">
        <w:t>AUTHORITY NOTE:</w:t>
      </w:r>
      <w:r w:rsidRPr="001531CD">
        <w:tab/>
        <w:t>Promulgated in accordance with R.S.</w:t>
      </w:r>
      <w:r w:rsidR="00BF010C" w:rsidRPr="001531CD">
        <w:t xml:space="preserve"> </w:t>
      </w:r>
      <w:r w:rsidRPr="001531CD">
        <w:t>3:266.</w:t>
      </w:r>
    </w:p>
    <w:p w14:paraId="4D0FAF1D" w14:textId="77777777" w:rsidR="003F4944" w:rsidRPr="001531CD" w:rsidRDefault="00CF626A" w:rsidP="003F4944">
      <w:pPr>
        <w:pStyle w:val="HistoricalNote"/>
      </w:pPr>
      <w:r w:rsidRPr="001531CD">
        <w:t>HISTORICAL NOTE:</w:t>
      </w:r>
      <w:r w:rsidRPr="001531CD">
        <w:tab/>
        <w:t>Promulgated by the Department of Agriculture, Agricultural Finance Authority, LR 10:867 (November 1</w:t>
      </w:r>
      <w:r w:rsidR="003F4944" w:rsidRPr="001531CD">
        <w:t>984), amended LR 36:466 (March 2010).</w:t>
      </w:r>
    </w:p>
    <w:p w14:paraId="6DBDBBA2" w14:textId="77777777" w:rsidR="00CF626A" w:rsidRPr="001531CD" w:rsidRDefault="00CF626A">
      <w:pPr>
        <w:pStyle w:val="Section"/>
      </w:pPr>
      <w:bookmarkStart w:id="161" w:name="_Toc256754265"/>
      <w:bookmarkStart w:id="162" w:name="_Toc224818476"/>
      <w:r w:rsidRPr="001531CD">
        <w:t>§105.</w:t>
      </w:r>
      <w:r w:rsidRPr="001531CD">
        <w:tab/>
        <w:t>Program Authorization; Applicability of Federal Law</w:t>
      </w:r>
      <w:bookmarkEnd w:id="161"/>
      <w:bookmarkEnd w:id="162"/>
    </w:p>
    <w:p w14:paraId="22D4165C" w14:textId="77777777" w:rsidR="00CF626A" w:rsidRPr="001531CD" w:rsidRDefault="00CF626A">
      <w:pPr>
        <w:pStyle w:val="A"/>
      </w:pPr>
      <w:r w:rsidRPr="001531CD">
        <w:t>A.</w:t>
      </w:r>
      <w:r w:rsidRPr="001531CD">
        <w:tab/>
        <w:t>State Statutes. The Louisiana Direct Placement Agricultural Revenue Bond Program is authorized by Louisiana Revised Statutes of 1950, Title 3, Chapter 3-B, Sections 261-283. These statutes permit funding by Agricultural Revenue Bonds of a wide range of agricultural loans.</w:t>
      </w:r>
    </w:p>
    <w:p w14:paraId="3D6A9F77" w14:textId="77777777" w:rsidR="00CF626A" w:rsidRPr="001531CD" w:rsidRDefault="00CF626A">
      <w:pPr>
        <w:pStyle w:val="A"/>
      </w:pPr>
      <w:r w:rsidRPr="001531CD">
        <w:t>B.</w:t>
      </w:r>
      <w:r w:rsidRPr="001531CD">
        <w:tab/>
        <w:t>Federal Statutes. However, Federal income tax law contains provisions which restrict the type of projects which may be financed through the Louisiana program. In order for LAFA's bonds to qualify as tax-exempt bonds under the code, each bond and each loan is subject to the restrictions contained in the code, particularly the provisions of Section 103(b)(6) and regulations promulgated by IRS pursuant thereto.</w:t>
      </w:r>
    </w:p>
    <w:p w14:paraId="3E745C1E" w14:textId="77777777" w:rsidR="00CF626A" w:rsidRPr="001531CD" w:rsidRDefault="00CF626A">
      <w:pPr>
        <w:pStyle w:val="AuthorityNote"/>
      </w:pPr>
      <w:r w:rsidRPr="001531CD">
        <w:t>AUTHORITY NOTE:</w:t>
      </w:r>
      <w:r w:rsidRPr="001531CD">
        <w:tab/>
        <w:t>Promulgated in accordance with R.S. 3:262, R.S. 3:266, R.S. 3:270 and Section 103(b)(6) of the Internal Revenue Code of 1954, as amended.</w:t>
      </w:r>
    </w:p>
    <w:p w14:paraId="10FEB41B" w14:textId="77777777" w:rsidR="00CF626A" w:rsidRPr="001531CD" w:rsidRDefault="00CF626A">
      <w:pPr>
        <w:pStyle w:val="HistoricalNote"/>
      </w:pPr>
      <w:r w:rsidRPr="001531CD">
        <w:t>HISTORICAL NOTE:</w:t>
      </w:r>
      <w:r w:rsidRPr="001531CD">
        <w:tab/>
        <w:t>Promulgated by the Department of Agriculture, Agricultural Finance Authority, LR 10:868 (November 1984).</w:t>
      </w:r>
    </w:p>
    <w:p w14:paraId="1650350C" w14:textId="77777777" w:rsidR="00CF626A" w:rsidRPr="001531CD" w:rsidRDefault="00CF626A">
      <w:pPr>
        <w:pStyle w:val="Section"/>
      </w:pPr>
      <w:bookmarkStart w:id="163" w:name="_Toc256754266"/>
      <w:bookmarkStart w:id="164" w:name="_Toc224818477"/>
      <w:r w:rsidRPr="001531CD">
        <w:t>§107.</w:t>
      </w:r>
      <w:r w:rsidRPr="001531CD">
        <w:tab/>
        <w:t>Projects Eligible for Loans Funded with LAFA Bond Proceeds</w:t>
      </w:r>
      <w:bookmarkEnd w:id="163"/>
      <w:bookmarkEnd w:id="164"/>
    </w:p>
    <w:p w14:paraId="1E0FBA8B" w14:textId="77777777" w:rsidR="00CF626A" w:rsidRPr="001531CD" w:rsidRDefault="00CF626A">
      <w:pPr>
        <w:pStyle w:val="A"/>
      </w:pPr>
      <w:r w:rsidRPr="001531CD">
        <w:t>A.</w:t>
      </w:r>
      <w:r w:rsidRPr="001531CD">
        <w:tab/>
        <w:t>Loan proceeds may be used for acquisition, construction, reconstruction, equipping or installation of any property which, under the code, is eligible for a depreciation allowance or chargeable, for federal income tax purposes, to a capital account (or that would be chargeable to a capital account either with a proper election by the borrower or but for a proper election by the borrower), including but not limited to the following.</w:t>
      </w:r>
    </w:p>
    <w:p w14:paraId="5C742E47" w14:textId="77777777" w:rsidR="00CF626A" w:rsidRPr="001531CD" w:rsidRDefault="00CF626A">
      <w:pPr>
        <w:pStyle w:val="1"/>
      </w:pPr>
      <w:r w:rsidRPr="001531CD">
        <w:t>1.</w:t>
      </w:r>
      <w:r w:rsidRPr="001531CD">
        <w:tab/>
        <w:t>Improvements to real estate such as land clearing, fencing, land forming, land leveling, terracing, wells and water impoundment, subject to an approving opinion of nationally recognized bond counsel.</w:t>
      </w:r>
    </w:p>
    <w:p w14:paraId="70203414" w14:textId="77777777" w:rsidR="00CF626A" w:rsidRPr="001531CD" w:rsidRDefault="00CF626A">
      <w:pPr>
        <w:pStyle w:val="1"/>
      </w:pPr>
      <w:r w:rsidRPr="001531CD">
        <w:lastRenderedPageBreak/>
        <w:t>2.</w:t>
      </w:r>
      <w:r w:rsidRPr="001531CD">
        <w:tab/>
        <w:t>Acquisition of depreciable personal property used in:</w:t>
      </w:r>
    </w:p>
    <w:p w14:paraId="1E7ADEC0" w14:textId="77777777" w:rsidR="00CF626A" w:rsidRPr="001531CD" w:rsidRDefault="00CF626A">
      <w:pPr>
        <w:pStyle w:val="a0"/>
      </w:pPr>
      <w:r w:rsidRPr="001531CD">
        <w:t>a.</w:t>
      </w:r>
      <w:r w:rsidRPr="001531CD">
        <w:tab/>
        <w:t>a farmer's or rancher's trade or business, including but not limited to:</w:t>
      </w:r>
    </w:p>
    <w:p w14:paraId="6AC02C69" w14:textId="77777777" w:rsidR="00CF626A" w:rsidRPr="001531CD" w:rsidRDefault="00CF626A">
      <w:pPr>
        <w:pStyle w:val="i0"/>
        <w:outlineLvl w:val="6"/>
      </w:pPr>
      <w:r w:rsidRPr="001531CD">
        <w:tab/>
        <w:t>i.</w:t>
      </w:r>
      <w:r w:rsidRPr="001531CD">
        <w:tab/>
        <w:t>new equipment, such as tractors, combines, plows, rakes, cultivators and related equipment; trucks and pickups;</w:t>
      </w:r>
    </w:p>
    <w:p w14:paraId="6974AEFB" w14:textId="77777777" w:rsidR="00CF626A" w:rsidRPr="001531CD" w:rsidRDefault="00CF626A">
      <w:pPr>
        <w:pStyle w:val="i0"/>
        <w:outlineLvl w:val="6"/>
      </w:pPr>
      <w:r w:rsidRPr="001531CD">
        <w:tab/>
        <w:t>ii.</w:t>
      </w:r>
      <w:r w:rsidRPr="001531CD">
        <w:tab/>
        <w:t>irrigation systems, including center pivot operations and equipment for ditch operations;</w:t>
      </w:r>
    </w:p>
    <w:p w14:paraId="3C69B02C" w14:textId="77777777" w:rsidR="00CF626A" w:rsidRPr="001531CD" w:rsidRDefault="00CF626A">
      <w:pPr>
        <w:pStyle w:val="i0"/>
        <w:outlineLvl w:val="6"/>
      </w:pPr>
      <w:r w:rsidRPr="001531CD">
        <w:tab/>
        <w:t>iii.</w:t>
      </w:r>
      <w:r w:rsidRPr="001531CD">
        <w:tab/>
        <w:t>buildings used to shelter livestock, store equipment, store and preserve grain, such as cribs, bins; and equipment used to dry grain, such as grain dryers and seed cleaners; and</w:t>
      </w:r>
    </w:p>
    <w:p w14:paraId="3D984B6C" w14:textId="77777777" w:rsidR="00CF626A" w:rsidRPr="001531CD" w:rsidRDefault="00CF626A">
      <w:pPr>
        <w:pStyle w:val="i0"/>
        <w:outlineLvl w:val="6"/>
      </w:pPr>
      <w:r w:rsidRPr="001531CD">
        <w:tab/>
        <w:t>iv.</w:t>
      </w:r>
      <w:r w:rsidRPr="001531CD">
        <w:tab/>
        <w:t>breeding stock, such as bulls, heifers, dairy cows, boars and sows;</w:t>
      </w:r>
    </w:p>
    <w:p w14:paraId="169233FF" w14:textId="77777777" w:rsidR="00CF626A" w:rsidRPr="001531CD" w:rsidRDefault="00CF626A">
      <w:pPr>
        <w:pStyle w:val="a0"/>
      </w:pPr>
      <w:r w:rsidRPr="001531CD">
        <w:t>b.</w:t>
      </w:r>
      <w:r w:rsidRPr="001531CD">
        <w:tab/>
        <w:t>an individual's or company's agribusiness, including but not limited to cotton gins, grain elevators, sugar mills and equipment contained therein; meat or crawfish processing plants; and related equipment.</w:t>
      </w:r>
    </w:p>
    <w:p w14:paraId="01E1753D"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415B5018" w14:textId="77777777" w:rsidR="00CF626A" w:rsidRPr="001531CD" w:rsidRDefault="00CF626A">
      <w:pPr>
        <w:pStyle w:val="HistoricalNote"/>
      </w:pPr>
      <w:r w:rsidRPr="001531CD">
        <w:t>HISTORICAL NOTE:</w:t>
      </w:r>
      <w:r w:rsidRPr="001531CD">
        <w:tab/>
        <w:t>Promulgated by the Department of Agriculture, Agricultural Finance Authority, LR 10:868 (November 1984).</w:t>
      </w:r>
    </w:p>
    <w:p w14:paraId="671C85A1" w14:textId="77777777" w:rsidR="00CF626A" w:rsidRPr="001531CD" w:rsidRDefault="00CF626A">
      <w:pPr>
        <w:pStyle w:val="Section"/>
      </w:pPr>
      <w:bookmarkStart w:id="165" w:name="_Toc256754267"/>
      <w:bookmarkStart w:id="166" w:name="_Toc224818478"/>
      <w:r w:rsidRPr="001531CD">
        <w:t>§109.</w:t>
      </w:r>
      <w:r w:rsidRPr="001531CD">
        <w:tab/>
        <w:t>Projects Ineligible for Loans Funded with LAFA Bond Proceeds; Exceptions</w:t>
      </w:r>
      <w:bookmarkEnd w:id="165"/>
      <w:bookmarkEnd w:id="166"/>
    </w:p>
    <w:p w14:paraId="4C3F6B52" w14:textId="77777777" w:rsidR="00CF626A" w:rsidRPr="001531CD" w:rsidRDefault="00CF626A">
      <w:pPr>
        <w:pStyle w:val="A"/>
      </w:pPr>
      <w:r w:rsidRPr="001531CD">
        <w:t>A.</w:t>
      </w:r>
      <w:r w:rsidRPr="001531CD">
        <w:tab/>
        <w:t>LAFA bonds may not be used for the following purposes, except as provided under this rule:</w:t>
      </w:r>
    </w:p>
    <w:p w14:paraId="38050FF7" w14:textId="77777777" w:rsidR="00CF626A" w:rsidRPr="001531CD" w:rsidRDefault="00CF626A">
      <w:pPr>
        <w:pStyle w:val="1"/>
      </w:pPr>
      <w:r w:rsidRPr="001531CD">
        <w:t>1.</w:t>
      </w:r>
      <w:r w:rsidRPr="001531CD">
        <w:tab/>
        <w:t>land acquisition, except that:</w:t>
      </w:r>
    </w:p>
    <w:p w14:paraId="35425524" w14:textId="77777777" w:rsidR="00CF626A" w:rsidRPr="001531CD" w:rsidRDefault="00CF626A">
      <w:pPr>
        <w:pStyle w:val="a0"/>
      </w:pPr>
      <w:r w:rsidRPr="001531CD">
        <w:t>a.</w:t>
      </w:r>
      <w:r w:rsidRPr="001531CD">
        <w:tab/>
        <w:t xml:space="preserve">25 percent of a loan may be used to acquire </w:t>
      </w:r>
      <w:r w:rsidRPr="001531CD">
        <w:br/>
        <w:t>non-farm land; and</w:t>
      </w:r>
    </w:p>
    <w:p w14:paraId="4CC91AD2" w14:textId="77777777" w:rsidR="00CF626A" w:rsidRPr="001531CD" w:rsidRDefault="00CF626A">
      <w:pPr>
        <w:pStyle w:val="a0"/>
      </w:pPr>
      <w:r w:rsidRPr="001531CD">
        <w:t>b.</w:t>
      </w:r>
      <w:r w:rsidRPr="001531CD">
        <w:tab/>
        <w:t>first-time farmers may utilize a maximum of $250,000 in loan proceeds to purchase land to be used for farming; if</w:t>
      </w:r>
    </w:p>
    <w:p w14:paraId="5A16D4D6" w14:textId="77777777" w:rsidR="00CF626A" w:rsidRPr="001531CD" w:rsidRDefault="00CF626A">
      <w:pPr>
        <w:pStyle w:val="i0"/>
        <w:outlineLvl w:val="6"/>
      </w:pPr>
      <w:r w:rsidRPr="001531CD">
        <w:tab/>
        <w:t>i.</w:t>
      </w:r>
      <w:r w:rsidRPr="001531CD">
        <w:tab/>
        <w:t xml:space="preserve">the borrower meets the definition of </w:t>
      </w:r>
      <w:r w:rsidRPr="001531CD">
        <w:rPr>
          <w:i/>
          <w:iCs/>
        </w:rPr>
        <w:t>first-time farmers</w:t>
      </w:r>
      <w:r w:rsidRPr="001531CD">
        <w:t xml:space="preserve"> contained in §101;</w:t>
      </w:r>
    </w:p>
    <w:p w14:paraId="38EFFAD2" w14:textId="77777777" w:rsidR="00CF626A" w:rsidRPr="001531CD" w:rsidRDefault="00CF626A">
      <w:pPr>
        <w:pStyle w:val="i0"/>
        <w:outlineLvl w:val="6"/>
      </w:pPr>
      <w:r w:rsidRPr="001531CD">
        <w:tab/>
        <w:t>ii.</w:t>
      </w:r>
      <w:r w:rsidRPr="001531CD">
        <w:tab/>
        <w:t xml:space="preserve">the borrower will be the </w:t>
      </w:r>
      <w:r w:rsidRPr="001531CD">
        <w:rPr>
          <w:i/>
          <w:iCs/>
        </w:rPr>
        <w:t>principal user</w:t>
      </w:r>
      <w:r w:rsidRPr="001531CD">
        <w:t xml:space="preserve"> (as defined in §101) of the land; and</w:t>
      </w:r>
    </w:p>
    <w:p w14:paraId="69762566" w14:textId="77777777" w:rsidR="00CF626A" w:rsidRPr="001531CD" w:rsidRDefault="00CF626A">
      <w:pPr>
        <w:pStyle w:val="i0"/>
        <w:outlineLvl w:val="6"/>
      </w:pPr>
      <w:r w:rsidRPr="001531CD">
        <w:tab/>
        <w:t>iii.</w:t>
      </w:r>
      <w:r w:rsidRPr="001531CD">
        <w:tab/>
        <w:t>the borrower will materially and substantially participate in the operation of the farm of which the land is a part;</w:t>
      </w:r>
    </w:p>
    <w:p w14:paraId="7485B575" w14:textId="77777777" w:rsidR="00CF626A" w:rsidRPr="001531CD" w:rsidRDefault="00CF626A">
      <w:pPr>
        <w:pStyle w:val="1"/>
      </w:pPr>
      <w:r w:rsidRPr="001531CD">
        <w:t>2.</w:t>
      </w:r>
      <w:r w:rsidRPr="001531CD">
        <w:tab/>
        <w:t>acquisition of existing agribusiness facilities (used buildings or equipment), except that, the restriction against use of loan proceeds to purchase existing facilities does not apply to any building, and the equipment therein if at least 15 percent of the cost of acquiring the building and equipment are used for rehabilitation expenditures;</w:t>
      </w:r>
    </w:p>
    <w:p w14:paraId="488F4FED" w14:textId="77777777" w:rsidR="00CF626A" w:rsidRPr="001531CD" w:rsidRDefault="00CF626A">
      <w:pPr>
        <w:pStyle w:val="1"/>
      </w:pPr>
      <w:r w:rsidRPr="001531CD">
        <w:t>3.</w:t>
      </w:r>
      <w:r w:rsidRPr="001531CD">
        <w:tab/>
        <w:t>working capital;</w:t>
      </w:r>
    </w:p>
    <w:p w14:paraId="3CFA0BD8" w14:textId="77777777" w:rsidR="00CF626A" w:rsidRPr="001531CD" w:rsidRDefault="00CF626A">
      <w:pPr>
        <w:pStyle w:val="1"/>
      </w:pPr>
      <w:r w:rsidRPr="001531CD">
        <w:t>4.</w:t>
      </w:r>
      <w:r w:rsidRPr="001531CD">
        <w:tab/>
        <w:t>production expenses;</w:t>
      </w:r>
    </w:p>
    <w:p w14:paraId="5FA521A7" w14:textId="77777777" w:rsidR="00CF626A" w:rsidRPr="001531CD" w:rsidRDefault="00CF626A">
      <w:pPr>
        <w:pStyle w:val="1"/>
      </w:pPr>
      <w:r w:rsidRPr="001531CD">
        <w:t>5.</w:t>
      </w:r>
      <w:r w:rsidRPr="001531CD">
        <w:tab/>
        <w:t>refinancing of existing indebtedness;</w:t>
      </w:r>
    </w:p>
    <w:p w14:paraId="5D08E8BF" w14:textId="77777777" w:rsidR="00CF626A" w:rsidRPr="001531CD" w:rsidRDefault="00CF626A">
      <w:pPr>
        <w:pStyle w:val="1"/>
      </w:pPr>
      <w:r w:rsidRPr="001531CD">
        <w:t>6.</w:t>
      </w:r>
      <w:r w:rsidRPr="001531CD">
        <w:tab/>
        <w:t>financing of residential housing;</w:t>
      </w:r>
    </w:p>
    <w:p w14:paraId="39D5C280" w14:textId="77777777" w:rsidR="00CF626A" w:rsidRPr="001531CD" w:rsidRDefault="00CF626A">
      <w:pPr>
        <w:pStyle w:val="1"/>
      </w:pPr>
      <w:r w:rsidRPr="001531CD">
        <w:t>7.</w:t>
      </w:r>
      <w:r w:rsidRPr="001531CD">
        <w:tab/>
        <w:t xml:space="preserve">purchase of any property from any </w:t>
      </w:r>
      <w:r w:rsidRPr="001531CD">
        <w:rPr>
          <w:i/>
          <w:iCs/>
        </w:rPr>
        <w:t>related person</w:t>
      </w:r>
      <w:r w:rsidRPr="001531CD">
        <w:t xml:space="preserve"> </w:t>
      </w:r>
      <w:r w:rsidR="00A0014C" w:rsidRPr="001531CD">
        <w:t>(</w:t>
      </w:r>
      <w:r w:rsidRPr="001531CD">
        <w:t>as defined in §101 of these regulations</w:t>
      </w:r>
      <w:r w:rsidR="00A0014C" w:rsidRPr="001531CD">
        <w:t>)</w:t>
      </w:r>
      <w:r w:rsidRPr="001531CD">
        <w:t>; or</w:t>
      </w:r>
    </w:p>
    <w:p w14:paraId="58937D8B" w14:textId="77777777" w:rsidR="00CF626A" w:rsidRPr="001531CD" w:rsidRDefault="00CF626A">
      <w:pPr>
        <w:pStyle w:val="1"/>
      </w:pPr>
      <w:r w:rsidRPr="001531CD">
        <w:t>8.</w:t>
      </w:r>
      <w:r w:rsidRPr="001531CD">
        <w:tab/>
        <w:t>purchase of property from a partner of the borrower, when the borrower is a partnership, regardless of the degree of the partner's interest in the borrower.</w:t>
      </w:r>
    </w:p>
    <w:p w14:paraId="2D441D8E"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292EA52F" w14:textId="77777777" w:rsidR="00CF626A" w:rsidRPr="001531CD" w:rsidRDefault="00CF626A">
      <w:pPr>
        <w:pStyle w:val="HistoricalNote"/>
      </w:pPr>
      <w:r w:rsidRPr="001531CD">
        <w:t>HISTORICAL NOTE:</w:t>
      </w:r>
      <w:r w:rsidRPr="001531CD">
        <w:tab/>
        <w:t>Promulgated by the Department of Agriculture, Agricultural Finance Authority, LR 10:868 (November 1984).</w:t>
      </w:r>
    </w:p>
    <w:p w14:paraId="7D83B252" w14:textId="77777777" w:rsidR="00CF626A" w:rsidRPr="001531CD" w:rsidRDefault="00CF626A">
      <w:pPr>
        <w:pStyle w:val="Section"/>
      </w:pPr>
      <w:bookmarkStart w:id="167" w:name="_Toc256754268"/>
      <w:bookmarkStart w:id="168" w:name="_Toc224818479"/>
      <w:r w:rsidRPr="001531CD">
        <w:t>§111.</w:t>
      </w:r>
      <w:r w:rsidRPr="001531CD">
        <w:tab/>
        <w:t>Maximum Amount of Agricultural Loans for Capital Expenditures</w:t>
      </w:r>
      <w:bookmarkEnd w:id="167"/>
      <w:bookmarkEnd w:id="168"/>
    </w:p>
    <w:p w14:paraId="405CE11C" w14:textId="77777777" w:rsidR="00CF626A" w:rsidRPr="001531CD" w:rsidRDefault="00CF626A">
      <w:pPr>
        <w:pStyle w:val="A"/>
      </w:pPr>
      <w:r w:rsidRPr="001531CD">
        <w:t>A.</w:t>
      </w:r>
      <w:r w:rsidRPr="001531CD">
        <w:tab/>
        <w:t xml:space="preserve">Section 103(b)(6) of the code restricts use of </w:t>
      </w:r>
      <w:r w:rsidRPr="001531CD">
        <w:br/>
        <w:t>tax-exempt bonds to small issues, which thereby limits the principal amount of the corresponding loans. To determine whether a bond is eligible under the established limits, the code requires that certain sums be added to the principal amount of the bond. Therefore, the following amounts must be subtracted from the established limit to determine the maximum principal amount of bonds and corresponding loans:</w:t>
      </w:r>
    </w:p>
    <w:p w14:paraId="4634C99C" w14:textId="77777777" w:rsidR="00CF626A" w:rsidRPr="001531CD" w:rsidRDefault="00CF626A" w:rsidP="0034445B">
      <w:pPr>
        <w:pStyle w:val="1"/>
        <w:keepNext/>
      </w:pPr>
      <w:r w:rsidRPr="001531CD">
        <w:t>1.</w:t>
      </w:r>
      <w:r w:rsidRPr="001531CD">
        <w:tab/>
        <w:t>$1,000,000 Limit. If:</w:t>
      </w:r>
    </w:p>
    <w:p w14:paraId="722748B9" w14:textId="77777777" w:rsidR="00CF626A" w:rsidRPr="001531CD" w:rsidRDefault="00CF626A">
      <w:pPr>
        <w:pStyle w:val="a0"/>
      </w:pPr>
      <w:r w:rsidRPr="001531CD">
        <w:t>a.</w:t>
      </w:r>
      <w:r w:rsidRPr="001531CD">
        <w:tab/>
        <w:t>the facilities to be financed with proceeds of LAFA bonds are located in the same incorporated municipality or in unincorporated areas of the same parish (i.e., the same political subdivision); and</w:t>
      </w:r>
    </w:p>
    <w:p w14:paraId="681DE65A" w14:textId="77777777" w:rsidR="00CF626A" w:rsidRPr="001531CD" w:rsidRDefault="00CF626A">
      <w:pPr>
        <w:pStyle w:val="a0"/>
      </w:pPr>
      <w:r w:rsidRPr="001531CD">
        <w:t>b.</w:t>
      </w:r>
      <w:r w:rsidRPr="001531CD">
        <w:tab/>
        <w:t xml:space="preserve">the </w:t>
      </w:r>
      <w:r w:rsidRPr="001531CD">
        <w:rPr>
          <w:i/>
          <w:iCs/>
        </w:rPr>
        <w:t>principal user</w:t>
      </w:r>
      <w:r w:rsidRPr="001531CD">
        <w:t xml:space="preserve"> as defined in §101 of the property financed by a prior bond issue was the borrower or a related person, the sum of the following may not exceed $1,000,000 (but see also §111.A.2):</w:t>
      </w:r>
    </w:p>
    <w:p w14:paraId="5E1B025B" w14:textId="77777777" w:rsidR="00CF626A" w:rsidRPr="001531CD" w:rsidRDefault="00CF626A">
      <w:pPr>
        <w:pStyle w:val="i0"/>
        <w:outlineLvl w:val="6"/>
      </w:pPr>
      <w:r w:rsidRPr="001531CD">
        <w:tab/>
        <w:t>i.</w:t>
      </w:r>
      <w:r w:rsidRPr="001531CD">
        <w:tab/>
        <w:t>the face amount of the bond to be issued; plus</w:t>
      </w:r>
    </w:p>
    <w:p w14:paraId="4D3639F8" w14:textId="77777777" w:rsidR="00CF626A" w:rsidRPr="001531CD" w:rsidRDefault="00CF626A">
      <w:pPr>
        <w:pStyle w:val="i0"/>
        <w:outlineLvl w:val="6"/>
      </w:pPr>
      <w:r w:rsidRPr="001531CD">
        <w:tab/>
        <w:t>ii.</w:t>
      </w:r>
      <w:r w:rsidRPr="001531CD">
        <w:tab/>
        <w:t>the remaining principal balance(s) of any loan(s) granted to the borrower or a related person of the borrower with proceeds of earlier bond issues (regardless of the issuer) which were exempt from taxation under Section 103(b)(6) of the code.</w:t>
      </w:r>
    </w:p>
    <w:p w14:paraId="345AC1ED" w14:textId="77777777" w:rsidR="00CF626A" w:rsidRPr="001531CD" w:rsidRDefault="00CF626A">
      <w:pPr>
        <w:pStyle w:val="1"/>
      </w:pPr>
      <w:r w:rsidRPr="001531CD">
        <w:t>2.</w:t>
      </w:r>
      <w:r w:rsidRPr="001531CD">
        <w:tab/>
        <w:t>$10,000,000 Limit. If LAFA files the proper election with IRS, the maximum amount of LAFA bonds and corresponding loans may be increased to $10,000,000. In such event, the same qualifying factors (i.e., location of the property to be financed and identity of the principal user of bond proceeds) will apply, and the sum of the following may not exceed $10,000,000:</w:t>
      </w:r>
    </w:p>
    <w:p w14:paraId="18CE6AFB" w14:textId="77777777" w:rsidR="00CF626A" w:rsidRPr="001531CD" w:rsidRDefault="00CF626A">
      <w:pPr>
        <w:pStyle w:val="a0"/>
      </w:pPr>
      <w:r w:rsidRPr="001531CD">
        <w:t>a.</w:t>
      </w:r>
      <w:r w:rsidRPr="001531CD">
        <w:tab/>
        <w:t>the face amount of the bond to be issued; plus</w:t>
      </w:r>
    </w:p>
    <w:p w14:paraId="41EAD668" w14:textId="77777777" w:rsidR="00CF626A" w:rsidRPr="001531CD" w:rsidRDefault="00CF626A">
      <w:pPr>
        <w:pStyle w:val="a0"/>
      </w:pPr>
      <w:r w:rsidRPr="001531CD">
        <w:t>b.</w:t>
      </w:r>
      <w:r w:rsidRPr="001531CD">
        <w:tab/>
        <w:t>the remaining principal balance(s) of any loan(s) granted to the borrower or a related person of the borrower with proceeds of earlier bond issues (regardless of the issuer) which were exempt from taxation under Section 103(b)(6) of the code; plus</w:t>
      </w:r>
    </w:p>
    <w:p w14:paraId="69302899" w14:textId="77777777" w:rsidR="00CF626A" w:rsidRPr="001531CD" w:rsidRDefault="00CF626A">
      <w:pPr>
        <w:pStyle w:val="a0"/>
      </w:pPr>
      <w:r w:rsidRPr="001531CD">
        <w:t>c.</w:t>
      </w:r>
      <w:r w:rsidRPr="001531CD">
        <w:tab/>
        <w:t xml:space="preserve">all capital expenditures on the property to be financed with bond proceeds which were paid or incurred </w:t>
      </w:r>
      <w:r w:rsidRPr="001531CD">
        <w:lastRenderedPageBreak/>
        <w:t>during the six-year period beginning three years before and ending three years after the date of issuance of the bond, as follows:</w:t>
      </w:r>
    </w:p>
    <w:p w14:paraId="77926718" w14:textId="77777777" w:rsidR="00CF626A" w:rsidRPr="001531CD" w:rsidRDefault="00CF626A">
      <w:pPr>
        <w:pStyle w:val="i0"/>
        <w:outlineLvl w:val="6"/>
      </w:pPr>
      <w:r w:rsidRPr="001531CD">
        <w:tab/>
        <w:t>i.</w:t>
      </w:r>
      <w:r w:rsidRPr="001531CD">
        <w:tab/>
        <w:t>capital expenditures which were financed other than out of the proceeds of a tax-exempt bond; and</w:t>
      </w:r>
    </w:p>
    <w:p w14:paraId="468A0B0A" w14:textId="77777777" w:rsidR="00CF626A" w:rsidRPr="001531CD" w:rsidRDefault="00CF626A">
      <w:pPr>
        <w:pStyle w:val="i0"/>
        <w:outlineLvl w:val="6"/>
      </w:pPr>
      <w:r w:rsidRPr="001531CD">
        <w:tab/>
        <w:t>ii.</w:t>
      </w:r>
      <w:r w:rsidRPr="001531CD">
        <w:tab/>
        <w:t>capital expenditures which are properly chargeable to the capital account of any person or state or local government unit (whether or not such person is the principal user or a related person), in which event capital expenditures are determined without regard to any rule of the code which permits expenditures properly chargeable to capital accounts to be treated as current expenses; plus</w:t>
      </w:r>
    </w:p>
    <w:p w14:paraId="38D65A45" w14:textId="77777777" w:rsidR="00CF626A" w:rsidRPr="001531CD" w:rsidRDefault="00CF626A">
      <w:pPr>
        <w:pStyle w:val="a0"/>
      </w:pPr>
      <w:r w:rsidRPr="001531CD">
        <w:t>d.</w:t>
      </w:r>
      <w:r w:rsidRPr="001531CD">
        <w:tab/>
        <w:t>all other capital expenditures of any principal user in the political subdivision for which the bonds were issued.</w:t>
      </w:r>
    </w:p>
    <w:p w14:paraId="1251E887" w14:textId="77777777" w:rsidR="00CF626A" w:rsidRPr="001531CD" w:rsidRDefault="00CF626A">
      <w:pPr>
        <w:pStyle w:val="1"/>
      </w:pPr>
      <w:r w:rsidRPr="001531CD">
        <w:t>3.</w:t>
      </w:r>
      <w:r w:rsidRPr="001531CD">
        <w:tab/>
        <w:t>The requirements of the code, as effective on the date of issuance of the bond and/or origination of the loan, shall determine the procedures to be followed with respect to all loans exceeding $1,000,000 in principal amount. If the requirements of the code are different from the requirements stated in this rule, the requirements of the code shall supersede this rule.</w:t>
      </w:r>
    </w:p>
    <w:p w14:paraId="6B524640"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4E5E02D4" w14:textId="77777777" w:rsidR="00CF626A" w:rsidRPr="001531CD" w:rsidRDefault="00CF626A">
      <w:pPr>
        <w:pStyle w:val="HistoricalNote"/>
      </w:pPr>
      <w:r w:rsidRPr="001531CD">
        <w:t>HISTORICAL NOTE:</w:t>
      </w:r>
      <w:r w:rsidRPr="001531CD">
        <w:tab/>
        <w:t>Promulgated by the Department of Agriculture, Agricultural Finance Authority, LR 10:868 (November 1984).</w:t>
      </w:r>
    </w:p>
    <w:p w14:paraId="079F6958" w14:textId="77777777" w:rsidR="00CF626A" w:rsidRPr="001531CD" w:rsidRDefault="00CF626A">
      <w:pPr>
        <w:pStyle w:val="Section"/>
      </w:pPr>
      <w:bookmarkStart w:id="169" w:name="_Toc256754269"/>
      <w:bookmarkStart w:id="170" w:name="_Toc224818480"/>
      <w:r w:rsidRPr="001531CD">
        <w:t>§113.</w:t>
      </w:r>
      <w:r w:rsidRPr="001531CD">
        <w:tab/>
        <w:t>Minimum Amount of Bonds/Agricultural Loans</w:t>
      </w:r>
      <w:bookmarkEnd w:id="169"/>
      <w:bookmarkEnd w:id="170"/>
    </w:p>
    <w:p w14:paraId="0998FEC8" w14:textId="77777777" w:rsidR="00CF626A" w:rsidRPr="001531CD" w:rsidRDefault="00CF626A">
      <w:pPr>
        <w:pStyle w:val="A"/>
      </w:pPr>
      <w:r w:rsidRPr="001531CD">
        <w:t>A.</w:t>
      </w:r>
      <w:r w:rsidRPr="001531CD">
        <w:tab/>
        <w:t>The minimum amount of loans originated by any one lender shall be $10,000.</w:t>
      </w:r>
    </w:p>
    <w:p w14:paraId="4D72FFC5" w14:textId="77777777" w:rsidR="00CF626A" w:rsidRPr="001531CD" w:rsidRDefault="00CF626A">
      <w:pPr>
        <w:pStyle w:val="A"/>
      </w:pPr>
      <w:r w:rsidRPr="001531CD">
        <w:t>B.</w:t>
      </w:r>
      <w:r w:rsidRPr="001531CD">
        <w:tab/>
        <w:t>The minimum amount of a loan shall be $10,000.</w:t>
      </w:r>
    </w:p>
    <w:p w14:paraId="4FCAFC7C"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39450BAC" w14:textId="77777777" w:rsidR="00CF626A" w:rsidRPr="001531CD" w:rsidRDefault="00CF626A">
      <w:pPr>
        <w:pStyle w:val="HistoricalNote"/>
      </w:pPr>
      <w:r w:rsidRPr="001531CD">
        <w:t>HISTORICAL NOTE:</w:t>
      </w:r>
      <w:r w:rsidRPr="001531CD">
        <w:tab/>
        <w:t>Promulgated by the Department of Agriculture, Agricultural Finance Authority, LR 10:869 (November 1984).</w:t>
      </w:r>
    </w:p>
    <w:p w14:paraId="28DD8B2B" w14:textId="77777777" w:rsidR="00CF626A" w:rsidRPr="001531CD" w:rsidRDefault="00CF626A">
      <w:pPr>
        <w:pStyle w:val="Section"/>
      </w:pPr>
      <w:bookmarkStart w:id="171" w:name="_Toc256754270"/>
      <w:bookmarkStart w:id="172" w:name="_Toc224818481"/>
      <w:r w:rsidRPr="001531CD">
        <w:t>§115.</w:t>
      </w:r>
      <w:r w:rsidRPr="001531CD">
        <w:tab/>
        <w:t>Lenders</w:t>
      </w:r>
      <w:bookmarkEnd w:id="171"/>
      <w:bookmarkEnd w:id="172"/>
    </w:p>
    <w:p w14:paraId="5630C79D" w14:textId="77777777" w:rsidR="00CF626A" w:rsidRPr="001531CD" w:rsidRDefault="00CF626A">
      <w:pPr>
        <w:pStyle w:val="A"/>
      </w:pPr>
      <w:r w:rsidRPr="001531CD">
        <w:t>A.</w:t>
      </w:r>
      <w:r w:rsidRPr="001531CD">
        <w:tab/>
        <w:t>Eligibility Requirements</w:t>
      </w:r>
    </w:p>
    <w:p w14:paraId="2866A775" w14:textId="77777777" w:rsidR="00CF626A" w:rsidRPr="001531CD" w:rsidRDefault="00CF626A">
      <w:pPr>
        <w:pStyle w:val="1"/>
      </w:pPr>
      <w:r w:rsidRPr="001531CD">
        <w:t>1.</w:t>
      </w:r>
      <w:r w:rsidRPr="001531CD">
        <w:tab/>
        <w:t xml:space="preserve">The </w:t>
      </w:r>
      <w:r w:rsidRPr="001531CD">
        <w:rPr>
          <w:iCs/>
        </w:rPr>
        <w:t>lender</w:t>
      </w:r>
      <w:r w:rsidRPr="001531CD">
        <w:t xml:space="preserve"> must be an entity listed in §101 and must be experienced in originating and servicing agricultural loans.</w:t>
      </w:r>
    </w:p>
    <w:p w14:paraId="0532E9AE" w14:textId="77777777" w:rsidR="00CF626A" w:rsidRPr="001531CD" w:rsidRDefault="00CF626A">
      <w:pPr>
        <w:pStyle w:val="1"/>
      </w:pPr>
      <w:r w:rsidRPr="001531CD">
        <w:t>2.</w:t>
      </w:r>
      <w:r w:rsidRPr="001531CD">
        <w:tab/>
        <w:t>The lender must be qualified and in good standing under all state and federal laws applicable to lenders.</w:t>
      </w:r>
    </w:p>
    <w:p w14:paraId="0D3B7834" w14:textId="77777777" w:rsidR="00CF626A" w:rsidRPr="001531CD" w:rsidRDefault="00CF626A">
      <w:pPr>
        <w:pStyle w:val="1"/>
      </w:pPr>
      <w:r w:rsidRPr="001531CD">
        <w:t>3.</w:t>
      </w:r>
      <w:r w:rsidRPr="001531CD">
        <w:tab/>
        <w:t>Within the past three years, the lender cannot have been listed on the federal comptroller's Supervised or Watch List, or any substantially similar listing of any state or federal regulatory agency responsible for regulating banks and financial institutions.</w:t>
      </w:r>
    </w:p>
    <w:p w14:paraId="3D7F1B03" w14:textId="77777777" w:rsidR="00CF626A" w:rsidRPr="001531CD" w:rsidRDefault="00CF626A">
      <w:pPr>
        <w:pStyle w:val="1"/>
      </w:pPr>
      <w:r w:rsidRPr="001531CD">
        <w:t>4.</w:t>
      </w:r>
      <w:r w:rsidRPr="001531CD">
        <w:tab/>
        <w:t>Each lender must be approved by LAFA prior to participating in the program; LAFA retains the right to reject any lender, even though that lender meets the minimum requirements established by these regulations, or to accept a lender which does not meet these minimum requirements.</w:t>
      </w:r>
    </w:p>
    <w:p w14:paraId="503C1DCD" w14:textId="77777777" w:rsidR="00CF626A" w:rsidRPr="001531CD" w:rsidRDefault="00CF626A">
      <w:pPr>
        <w:pStyle w:val="A"/>
      </w:pPr>
      <w:r w:rsidRPr="001531CD">
        <w:t>B.</w:t>
      </w:r>
      <w:r w:rsidRPr="001531CD">
        <w:tab/>
        <w:t>The lender must collect all payments required under the terms and conditions of a loan note and pay such amounts to the trustee. All such payments must be accompanied by a certification of the lending officer, in a form acceptable to trustee, stating that the computation of interest on the loan is in accordance with terms as approved by LAFA, and affirming correctness of the amount being submitted.</w:t>
      </w:r>
    </w:p>
    <w:p w14:paraId="2D5027E7" w14:textId="77777777" w:rsidR="00CF626A" w:rsidRPr="001531CD" w:rsidRDefault="00CF626A">
      <w:pPr>
        <w:pStyle w:val="A"/>
      </w:pPr>
      <w:r w:rsidRPr="001531CD">
        <w:t>C.</w:t>
      </w:r>
      <w:r w:rsidRPr="001531CD">
        <w:tab/>
        <w:t>The lender must notify the trustee in no more than five days after any default in any loan and upon LAFA's request, declare all payments on such loan to be due and owing and take such action as may be required by LAFA to obtain the amounts owed thereunder, which amounts shall be paid to the trustee.</w:t>
      </w:r>
    </w:p>
    <w:p w14:paraId="77178801" w14:textId="77777777" w:rsidR="00CF626A" w:rsidRPr="001531CD" w:rsidRDefault="00CF626A">
      <w:pPr>
        <w:pStyle w:val="A"/>
      </w:pPr>
      <w:r w:rsidRPr="001531CD">
        <w:t>D.</w:t>
      </w:r>
      <w:r w:rsidRPr="001531CD">
        <w:tab/>
        <w:t xml:space="preserve">Whenever any </w:t>
      </w:r>
      <w:r w:rsidRPr="001531CD">
        <w:rPr>
          <w:iCs/>
        </w:rPr>
        <w:t>loan</w:t>
      </w:r>
      <w:r w:rsidRPr="001531CD">
        <w:t xml:space="preserve"> is in default (see §101), the lender shall, on or before the twenty-fifth day of each month (or, if such day is not a business day, the next business day thereafter), submit a report to the trustee, containing, as of the twentieth day of the month (or, if such day is not a business day, the next business day after the twentieth of the month), the following information:</w:t>
      </w:r>
    </w:p>
    <w:p w14:paraId="5CC98C51" w14:textId="77777777" w:rsidR="00CF626A" w:rsidRPr="001531CD" w:rsidRDefault="00CF626A">
      <w:pPr>
        <w:pStyle w:val="1"/>
      </w:pPr>
      <w:r w:rsidRPr="001531CD">
        <w:t>1.</w:t>
      </w:r>
      <w:r w:rsidRPr="001531CD">
        <w:tab/>
        <w:t>the principal balance due under the loan note;</w:t>
      </w:r>
    </w:p>
    <w:p w14:paraId="3B18E64E" w14:textId="77777777" w:rsidR="00CF626A" w:rsidRPr="001531CD" w:rsidRDefault="00CF626A">
      <w:pPr>
        <w:pStyle w:val="1"/>
      </w:pPr>
      <w:r w:rsidRPr="001531CD">
        <w:t>2.</w:t>
      </w:r>
      <w:r w:rsidRPr="001531CD">
        <w:tab/>
        <w:t>a statement of the procedures undertaken by the lender to collect such amount and the result of such procedures; and</w:t>
      </w:r>
    </w:p>
    <w:p w14:paraId="454800DF" w14:textId="77777777" w:rsidR="00CF626A" w:rsidRPr="001531CD" w:rsidRDefault="00CF626A">
      <w:pPr>
        <w:pStyle w:val="1"/>
      </w:pPr>
      <w:r w:rsidRPr="001531CD">
        <w:t>3.</w:t>
      </w:r>
      <w:r w:rsidRPr="001531CD">
        <w:tab/>
        <w:t>a statement as to the overall status of the loan. This report is not due in any month when there are no delinquencies or defaults in any loan serviced by the lender.</w:t>
      </w:r>
    </w:p>
    <w:p w14:paraId="7656503D" w14:textId="77777777" w:rsidR="00CF626A" w:rsidRPr="001531CD" w:rsidRDefault="00CF626A">
      <w:pPr>
        <w:pStyle w:val="A"/>
      </w:pPr>
      <w:r w:rsidRPr="001531CD">
        <w:t>E.</w:t>
      </w:r>
      <w:r w:rsidRPr="001531CD">
        <w:tab/>
        <w:t>Each lender must administer and service loans originated by the lender and must maintain the loan file for each loan for three years following the date when the loan is fully paid or otherwise terminated.</w:t>
      </w:r>
    </w:p>
    <w:p w14:paraId="68511D35"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0ADA6D92" w14:textId="77777777" w:rsidR="00CF626A" w:rsidRPr="001531CD" w:rsidRDefault="00CF626A">
      <w:pPr>
        <w:pStyle w:val="HistoricalNote"/>
      </w:pPr>
      <w:r w:rsidRPr="001531CD">
        <w:t>HISTORICAL NOTE:</w:t>
      </w:r>
      <w:r w:rsidRPr="001531CD">
        <w:tab/>
        <w:t>Promulgated by the Department of Agriculture, Agricultural Finance Authority, LR 10:869 (November 1984).</w:t>
      </w:r>
    </w:p>
    <w:p w14:paraId="78AA426B" w14:textId="77777777" w:rsidR="00CF626A" w:rsidRPr="001531CD" w:rsidRDefault="00CF626A">
      <w:pPr>
        <w:pStyle w:val="Section"/>
      </w:pPr>
      <w:bookmarkStart w:id="173" w:name="_Toc256754271"/>
      <w:bookmarkStart w:id="174" w:name="_Toc224818482"/>
      <w:r w:rsidRPr="001531CD">
        <w:t>§117.</w:t>
      </w:r>
      <w:r w:rsidRPr="001531CD">
        <w:tab/>
        <w:t>Borrowers</w:t>
      </w:r>
      <w:bookmarkEnd w:id="173"/>
      <w:bookmarkEnd w:id="174"/>
    </w:p>
    <w:p w14:paraId="36C2EE8B" w14:textId="77777777" w:rsidR="00CF626A" w:rsidRPr="001531CD" w:rsidRDefault="00CF626A">
      <w:pPr>
        <w:pStyle w:val="A"/>
      </w:pPr>
      <w:r w:rsidRPr="001531CD">
        <w:t>A.</w:t>
      </w:r>
      <w:r w:rsidRPr="001531CD">
        <w:tab/>
        <w:t>Each borrower must be eligible to receive a loan with proceeds of LAFA bonds. See in particular definitions of principal user and related person contained in §101 hereof in order to make a determination as to each borrower's eligibility.</w:t>
      </w:r>
    </w:p>
    <w:p w14:paraId="6F462515" w14:textId="77777777" w:rsidR="00CF626A" w:rsidRPr="001531CD" w:rsidRDefault="00CF626A">
      <w:pPr>
        <w:pStyle w:val="A"/>
      </w:pPr>
      <w:r w:rsidRPr="001531CD">
        <w:t>B.</w:t>
      </w:r>
      <w:r w:rsidRPr="001531CD">
        <w:tab/>
        <w:t>Each borrower must be approved by the lender to whom the borrower makes application for a loan; lenders shall apply the same criteria for approval of borrowers applying for loans to be funded with proceeds of LAFA bonds as they apply to borrowers in the lenders' conventional agricultural loan program.</w:t>
      </w:r>
    </w:p>
    <w:p w14:paraId="7109879E" w14:textId="77777777" w:rsidR="00CF626A" w:rsidRPr="001531CD" w:rsidRDefault="00CF626A">
      <w:pPr>
        <w:pStyle w:val="A"/>
      </w:pPr>
      <w:r w:rsidRPr="001531CD">
        <w:t>C.</w:t>
      </w:r>
      <w:r w:rsidRPr="001531CD">
        <w:tab/>
        <w:t>The borrower must expend the proceeds of loan solely to finance the project described in the offer and the loan terms schedule and not for any other purpose.</w:t>
      </w:r>
    </w:p>
    <w:p w14:paraId="15A4B54F" w14:textId="77777777" w:rsidR="00CF626A" w:rsidRPr="001531CD" w:rsidRDefault="00CF626A">
      <w:pPr>
        <w:pStyle w:val="A"/>
      </w:pPr>
      <w:r w:rsidRPr="001531CD">
        <w:lastRenderedPageBreak/>
        <w:t>D.</w:t>
      </w:r>
      <w:r w:rsidRPr="001531CD">
        <w:tab/>
        <w:t xml:space="preserve">The borrower or a related person of the borrower must be the </w:t>
      </w:r>
      <w:r w:rsidRPr="001531CD">
        <w:rPr>
          <w:i/>
          <w:iCs/>
        </w:rPr>
        <w:t>principal user</w:t>
      </w:r>
      <w:r w:rsidRPr="001531CD">
        <w:t xml:space="preserve"> (as defined in §101 hereof) of the project.</w:t>
      </w:r>
    </w:p>
    <w:p w14:paraId="6ACC4361" w14:textId="77777777" w:rsidR="00CF626A" w:rsidRPr="001531CD" w:rsidRDefault="00CF626A">
      <w:pPr>
        <w:pStyle w:val="A"/>
      </w:pPr>
      <w:r w:rsidRPr="001531CD">
        <w:t>E.</w:t>
      </w:r>
      <w:r w:rsidRPr="001531CD">
        <w:tab/>
        <w:t>A borrower will not be eligible for a loan if prior to LAFA's written acceptance of the offer and adoption of an intent resolution, the borrower or any related person of the borrower has taken any of the following actions:</w:t>
      </w:r>
    </w:p>
    <w:p w14:paraId="3941DC78" w14:textId="77777777" w:rsidR="00CF626A" w:rsidRPr="001531CD" w:rsidRDefault="00CF626A">
      <w:pPr>
        <w:pStyle w:val="1"/>
      </w:pPr>
      <w:r w:rsidRPr="001531CD">
        <w:t>1.</w:t>
      </w:r>
      <w:r w:rsidRPr="001531CD">
        <w:tab/>
        <w:t>commenced acquisition or construction to be financed with loan proceeds;</w:t>
      </w:r>
    </w:p>
    <w:p w14:paraId="2EB3C7BA" w14:textId="77777777" w:rsidR="00CF626A" w:rsidRPr="001531CD" w:rsidRDefault="00CF626A">
      <w:pPr>
        <w:pStyle w:val="1"/>
      </w:pPr>
      <w:r w:rsidRPr="001531CD">
        <w:t>2.</w:t>
      </w:r>
      <w:r w:rsidRPr="001531CD">
        <w:tab/>
        <w:t>entered into any building agreement or purchase agreement covering the facilities to be constructed with loan proceeds;</w:t>
      </w:r>
    </w:p>
    <w:p w14:paraId="42020622" w14:textId="77777777" w:rsidR="00CF626A" w:rsidRPr="001531CD" w:rsidRDefault="00CF626A">
      <w:pPr>
        <w:pStyle w:val="1"/>
      </w:pPr>
      <w:r w:rsidRPr="001531CD">
        <w:t>3.</w:t>
      </w:r>
      <w:r w:rsidRPr="001531CD">
        <w:tab/>
        <w:t>commenced the installation or acquisition of any property to be acquired with loan proceeds;</w:t>
      </w:r>
    </w:p>
    <w:p w14:paraId="62B21ED7" w14:textId="77777777" w:rsidR="00CF626A" w:rsidRPr="001531CD" w:rsidRDefault="00CF626A">
      <w:pPr>
        <w:pStyle w:val="1"/>
      </w:pPr>
      <w:r w:rsidRPr="001531CD">
        <w:t>4.</w:t>
      </w:r>
      <w:r w:rsidRPr="001531CD">
        <w:tab/>
        <w:t>commenced any on-site work in connection with construction of the project to be financed with loan proceeds; or</w:t>
      </w:r>
    </w:p>
    <w:p w14:paraId="66560BCC" w14:textId="77777777" w:rsidR="00CF626A" w:rsidRPr="001531CD" w:rsidRDefault="00CF626A">
      <w:pPr>
        <w:pStyle w:val="1"/>
      </w:pPr>
      <w:r w:rsidRPr="001531CD">
        <w:t>5.</w:t>
      </w:r>
      <w:r w:rsidRPr="001531CD">
        <w:tab/>
        <w:t>commenced any off-site fabrication or acquisition of any portion of the project to be financed with loan proceeds.</w:t>
      </w:r>
    </w:p>
    <w:p w14:paraId="0E0F8E51" w14:textId="77777777" w:rsidR="00CF626A" w:rsidRPr="001531CD" w:rsidRDefault="00CF626A">
      <w:pPr>
        <w:pStyle w:val="A"/>
      </w:pPr>
      <w:r w:rsidRPr="001531CD">
        <w:t>F.</w:t>
      </w:r>
      <w:r w:rsidRPr="001531CD">
        <w:tab/>
        <w:t>Each borrower must execute a borrower's certificate, in the form required by LAFA, setting forth the borrower's compliance with the requirements of Section 103(b)(6) of the code. When the original principal amount of a loan exceeds $1,000,000, the principal amount of the bond must be aggregated with certain capital expenditures of the borrower in accordance with regulations applicable under Section 103(b)(6) of the code to determine the total loan proceeds for which the borrower is eligible. In such circumstances, the borrower must execute, in addition to the borrower's certificate required in the first sentence of this rule, an additional borrower's certificate setting forth the assurances required under the code.</w:t>
      </w:r>
    </w:p>
    <w:p w14:paraId="05D380E9"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1E052910" w14:textId="77777777" w:rsidR="00CF626A" w:rsidRPr="001531CD" w:rsidRDefault="00CF626A">
      <w:pPr>
        <w:pStyle w:val="HistoricalNote"/>
      </w:pPr>
      <w:r w:rsidRPr="001531CD">
        <w:t>HISTORICAL NOTE:</w:t>
      </w:r>
      <w:r w:rsidRPr="001531CD">
        <w:tab/>
        <w:t>Promulgated by the Department of Agriculture, Agricultural Finance Authority, LR 10:869 (November 1984).</w:t>
      </w:r>
    </w:p>
    <w:p w14:paraId="47050A0D" w14:textId="77777777" w:rsidR="00CF626A" w:rsidRPr="001531CD" w:rsidRDefault="00CF626A">
      <w:pPr>
        <w:pStyle w:val="Section"/>
      </w:pPr>
      <w:bookmarkStart w:id="175" w:name="_Toc256754272"/>
      <w:bookmarkStart w:id="176" w:name="_Toc224818483"/>
      <w:r w:rsidRPr="001531CD">
        <w:t>§119.</w:t>
      </w:r>
      <w:r w:rsidRPr="001531CD">
        <w:tab/>
        <w:t>Required Terms and Conditions for Loans Funded with Proceeds of LAFA Bonds</w:t>
      </w:r>
      <w:bookmarkEnd w:id="175"/>
      <w:bookmarkEnd w:id="176"/>
    </w:p>
    <w:p w14:paraId="275F7A41" w14:textId="77777777" w:rsidR="00CF626A" w:rsidRPr="001531CD" w:rsidRDefault="00CF626A">
      <w:pPr>
        <w:pStyle w:val="A"/>
      </w:pPr>
      <w:r w:rsidRPr="001531CD">
        <w:t>A.</w:t>
      </w:r>
      <w:r w:rsidRPr="001531CD">
        <w:tab/>
        <w:t>The terms and conditions of each loan, except as required under this rule, shall be determined by the lender and the borrower, but are subject to LAFA approval prior to acceptance of the offer.</w:t>
      </w:r>
    </w:p>
    <w:p w14:paraId="14E1C7D0" w14:textId="77777777" w:rsidR="00CF626A" w:rsidRPr="001531CD" w:rsidRDefault="00CF626A">
      <w:pPr>
        <w:pStyle w:val="A"/>
      </w:pPr>
      <w:r w:rsidRPr="001531CD">
        <w:t>B.</w:t>
      </w:r>
      <w:r w:rsidRPr="001531CD">
        <w:tab/>
        <w:t>Each loan must be secured by a promissory note (the loan note) in the full principal amount of the loan and such other security as may be required by the lender.</w:t>
      </w:r>
    </w:p>
    <w:p w14:paraId="34BB32E1" w14:textId="77777777" w:rsidR="00CF626A" w:rsidRPr="001531CD" w:rsidRDefault="00CF626A">
      <w:pPr>
        <w:pStyle w:val="A"/>
      </w:pPr>
      <w:r w:rsidRPr="001531CD">
        <w:t>C.</w:t>
      </w:r>
      <w:r w:rsidRPr="001531CD">
        <w:tab/>
        <w:t xml:space="preserve">The maximum loan term shall be the lesser of </w:t>
      </w:r>
      <w:r w:rsidR="006C00E7" w:rsidRPr="001531CD">
        <w:br/>
      </w:r>
      <w:r w:rsidRPr="001531CD">
        <w:t>30 years or 100 percent of the average reasonably expected economic life of personal property to be financed with the proceeds of the LAFA bond, using IRS Asset Depreciation Guidelines provided by LAFA in the loan terms schedule. The minimum average life of the bonds shall not be less than five years.</w:t>
      </w:r>
    </w:p>
    <w:p w14:paraId="0C9BC40C" w14:textId="77777777" w:rsidR="00CF626A" w:rsidRPr="001531CD" w:rsidRDefault="00CF626A" w:rsidP="0034445B">
      <w:pPr>
        <w:pStyle w:val="A"/>
        <w:spacing w:after="80"/>
      </w:pPr>
      <w:r w:rsidRPr="001531CD">
        <w:t>D.</w:t>
      </w:r>
      <w:r w:rsidRPr="001531CD">
        <w:tab/>
        <w:t>The agreement between lender and borrower must require payments sufficient to meet the debt service requirements of the bond (i.e., in principal and interest). The loan repayment schedule (amount and due date of each payment) must be approved by LAFA prior to acceptance of the offer.</w:t>
      </w:r>
    </w:p>
    <w:p w14:paraId="4EBCBFD3" w14:textId="77777777" w:rsidR="00CF626A" w:rsidRPr="001531CD" w:rsidRDefault="00CF626A" w:rsidP="0034445B">
      <w:pPr>
        <w:pStyle w:val="A"/>
        <w:spacing w:after="80"/>
      </w:pPr>
      <w:r w:rsidRPr="001531CD">
        <w:t>E.</w:t>
      </w:r>
      <w:r w:rsidRPr="001531CD">
        <w:tab/>
        <w:t>The lender and the borrower will determine the rate of interest to be charged on the agricultural loan subject to §119.F, but such rate of interest must be approved by LAFA prior to acceptance of the offer. The interest rate agreed on by the lender and the borrower must be stated in the offer.</w:t>
      </w:r>
    </w:p>
    <w:p w14:paraId="3A17D5B9" w14:textId="77777777" w:rsidR="00CF626A" w:rsidRPr="001531CD" w:rsidRDefault="00CF626A" w:rsidP="0034445B">
      <w:pPr>
        <w:pStyle w:val="A"/>
        <w:spacing w:after="80"/>
      </w:pPr>
      <w:r w:rsidRPr="001531CD">
        <w:t>F.</w:t>
      </w:r>
      <w:r w:rsidRPr="001531CD">
        <w:tab/>
        <w:t>Interest rates on loans may be either fixed or variable.</w:t>
      </w:r>
    </w:p>
    <w:p w14:paraId="3F6EEC67" w14:textId="77777777" w:rsidR="00CF626A" w:rsidRPr="001531CD" w:rsidRDefault="00CF626A" w:rsidP="0034445B">
      <w:pPr>
        <w:pStyle w:val="1"/>
        <w:spacing w:after="80"/>
      </w:pPr>
      <w:r w:rsidRPr="001531CD">
        <w:t>1.</w:t>
      </w:r>
      <w:r w:rsidRPr="001531CD">
        <w:tab/>
        <w:t xml:space="preserve">A variable interest rate may not exceed 85 percent of the prime </w:t>
      </w:r>
      <w:r w:rsidRPr="001531CD">
        <w:rPr>
          <w:i/>
          <w:iCs/>
        </w:rPr>
        <w:t>interest rate</w:t>
      </w:r>
      <w:r w:rsidRPr="001531CD">
        <w:t>, as defined in §101:</w:t>
      </w:r>
    </w:p>
    <w:p w14:paraId="1D700F3A" w14:textId="77777777" w:rsidR="00CF626A" w:rsidRPr="001531CD" w:rsidRDefault="00CF626A" w:rsidP="0034445B">
      <w:pPr>
        <w:pStyle w:val="a0"/>
        <w:spacing w:after="80"/>
      </w:pPr>
      <w:r w:rsidRPr="001531CD">
        <w:t>a.</w:t>
      </w:r>
      <w:r w:rsidRPr="001531CD">
        <w:tab/>
        <w:t>on the date of disbursement of loan proceeds; or</w:t>
      </w:r>
    </w:p>
    <w:p w14:paraId="6F04D572" w14:textId="77777777" w:rsidR="00CF626A" w:rsidRPr="001531CD" w:rsidRDefault="00CF626A" w:rsidP="0034445B">
      <w:pPr>
        <w:pStyle w:val="a0"/>
        <w:spacing w:after="80"/>
      </w:pPr>
      <w:r w:rsidRPr="001531CD">
        <w:t>b.</w:t>
      </w:r>
      <w:r w:rsidRPr="001531CD">
        <w:tab/>
        <w:t>on any subsequent date when the interest rate for the loan is established for a subsequent period.</w:t>
      </w:r>
    </w:p>
    <w:p w14:paraId="277D6B27" w14:textId="77777777" w:rsidR="00CF626A" w:rsidRPr="001531CD" w:rsidRDefault="00CF626A">
      <w:pPr>
        <w:pStyle w:val="1"/>
      </w:pPr>
      <w:r w:rsidRPr="001531CD">
        <w:t>2.</w:t>
      </w:r>
      <w:r w:rsidRPr="001531CD">
        <w:tab/>
        <w:t>Loans with fixed interest rates are subject to LAFA review and approval on a case-by-case basis and must comply with the goals of the program.</w:t>
      </w:r>
    </w:p>
    <w:p w14:paraId="11849103" w14:textId="77777777" w:rsidR="00CF626A" w:rsidRPr="001531CD" w:rsidRDefault="00CF626A">
      <w:pPr>
        <w:pStyle w:val="1"/>
      </w:pPr>
      <w:r w:rsidRPr="001531CD">
        <w:t>3.</w:t>
      </w:r>
      <w:r w:rsidRPr="001531CD">
        <w:tab/>
        <w:t>If a borrower defaults on a loan and the loan is repurchased by the lender, the interest rate for the loan may be increased in accordance with the terms and provisions of the loan note executed at origination of the loan.</w:t>
      </w:r>
    </w:p>
    <w:p w14:paraId="25BBCB66" w14:textId="77777777" w:rsidR="00CF626A" w:rsidRPr="001531CD" w:rsidRDefault="00CF626A">
      <w:pPr>
        <w:pStyle w:val="1"/>
      </w:pPr>
      <w:r w:rsidRPr="001531CD">
        <w:t>4.</w:t>
      </w:r>
      <w:r w:rsidRPr="001531CD">
        <w:tab/>
        <w:t>The lender may impose interest on payments which are not timely made by the borrower, but only if the loan note provides therefor and only in accordance with provisions relative to late payments expressed in the loan note.</w:t>
      </w:r>
    </w:p>
    <w:p w14:paraId="3076E172" w14:textId="77777777" w:rsidR="00CF626A" w:rsidRPr="001531CD" w:rsidRDefault="00CF626A">
      <w:pPr>
        <w:pStyle w:val="A"/>
      </w:pPr>
      <w:r w:rsidRPr="001531CD">
        <w:t>G.</w:t>
      </w:r>
      <w:r w:rsidRPr="001531CD">
        <w:tab/>
        <w:t>All loans must be prepayable in whole, without a prepayment penalty.</w:t>
      </w:r>
    </w:p>
    <w:p w14:paraId="5BB3A0A3" w14:textId="77777777" w:rsidR="00CF626A" w:rsidRPr="001531CD" w:rsidRDefault="00CF626A">
      <w:pPr>
        <w:pStyle w:val="A"/>
      </w:pPr>
      <w:r w:rsidRPr="001531CD">
        <w:t>H.</w:t>
      </w:r>
      <w:r w:rsidRPr="001531CD">
        <w:tab/>
        <w:t>Loans may be assumed by a third party, with the prior approval of the lender, if:</w:t>
      </w:r>
    </w:p>
    <w:p w14:paraId="15267F55" w14:textId="77777777" w:rsidR="00CF626A" w:rsidRPr="001531CD" w:rsidRDefault="00CF626A">
      <w:pPr>
        <w:pStyle w:val="1"/>
      </w:pPr>
      <w:r w:rsidRPr="001531CD">
        <w:t>1.</w:t>
      </w:r>
      <w:r w:rsidRPr="001531CD">
        <w:tab/>
        <w:t>in the opinion of nationally recognized bond counsel or special tax counsel, such assumption does not adversely affect the tax-exempt status of the LAFA bond; and</w:t>
      </w:r>
    </w:p>
    <w:p w14:paraId="00EFABDC" w14:textId="77777777" w:rsidR="00CF626A" w:rsidRPr="001531CD" w:rsidRDefault="00CF626A">
      <w:pPr>
        <w:pStyle w:val="1"/>
      </w:pPr>
      <w:r w:rsidRPr="001531CD">
        <w:t>2.</w:t>
      </w:r>
      <w:r w:rsidRPr="001531CD">
        <w:tab/>
        <w:t>the third party assuming the loan meets the qualifications of a borrower as set forth in these regulations.</w:t>
      </w:r>
    </w:p>
    <w:p w14:paraId="05A0D172"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058FB093" w14:textId="77777777" w:rsidR="00CF626A" w:rsidRPr="001531CD" w:rsidRDefault="00CF626A">
      <w:pPr>
        <w:pStyle w:val="HistoricalNote"/>
      </w:pPr>
      <w:r w:rsidRPr="001531CD">
        <w:t>HISTORICAL NOTE:</w:t>
      </w:r>
      <w:r w:rsidRPr="001531CD">
        <w:tab/>
        <w:t>Promulgated by the Department of Agriculture, Agricultural Finance Authority, LR 10:870 (November 1984).</w:t>
      </w:r>
    </w:p>
    <w:p w14:paraId="7475B22D" w14:textId="77777777" w:rsidR="00CF626A" w:rsidRPr="001531CD" w:rsidRDefault="00CF626A">
      <w:pPr>
        <w:pStyle w:val="Section"/>
      </w:pPr>
      <w:bookmarkStart w:id="177" w:name="_Toc256754273"/>
      <w:bookmarkStart w:id="178" w:name="_Toc224818484"/>
      <w:r w:rsidRPr="001531CD">
        <w:t>§121.</w:t>
      </w:r>
      <w:r w:rsidRPr="001531CD">
        <w:tab/>
        <w:t>Fees Required</w:t>
      </w:r>
      <w:bookmarkEnd w:id="177"/>
      <w:bookmarkEnd w:id="178"/>
    </w:p>
    <w:p w14:paraId="624160CF" w14:textId="77777777" w:rsidR="00CF626A" w:rsidRPr="001531CD" w:rsidRDefault="00CF626A">
      <w:pPr>
        <w:pStyle w:val="A"/>
      </w:pPr>
      <w:r w:rsidRPr="001531CD">
        <w:t>A.</w:t>
      </w:r>
      <w:r w:rsidRPr="001531CD">
        <w:tab/>
        <w:t>Application Fee</w:t>
      </w:r>
    </w:p>
    <w:p w14:paraId="012BC257" w14:textId="77777777" w:rsidR="00CF626A" w:rsidRPr="001531CD" w:rsidRDefault="00CF626A">
      <w:pPr>
        <w:pStyle w:val="1"/>
      </w:pPr>
      <w:r w:rsidRPr="001531CD">
        <w:t>1.</w:t>
      </w:r>
      <w:r w:rsidRPr="001531CD">
        <w:tab/>
        <w:t>Each borrower must pay an application fee to cover LAFA's cost of processing the loan application. The application fee is non-refundable.</w:t>
      </w:r>
    </w:p>
    <w:p w14:paraId="06CB2E9E" w14:textId="77777777" w:rsidR="00CF626A" w:rsidRPr="001531CD" w:rsidRDefault="00CF626A">
      <w:pPr>
        <w:pStyle w:val="1"/>
      </w:pPr>
      <w:r w:rsidRPr="001531CD">
        <w:t>2.</w:t>
      </w:r>
      <w:r w:rsidRPr="001531CD">
        <w:tab/>
        <w:t>The application fee shall be paid by the borrower to the lender and transmitted to LAFA by the lender when the offer is submitted.</w:t>
      </w:r>
    </w:p>
    <w:p w14:paraId="3BC820EB" w14:textId="77777777" w:rsidR="00CF626A" w:rsidRPr="001531CD" w:rsidRDefault="00CF626A">
      <w:pPr>
        <w:pStyle w:val="1"/>
      </w:pPr>
      <w:r w:rsidRPr="001531CD">
        <w:lastRenderedPageBreak/>
        <w:t>3.</w:t>
      </w:r>
      <w:r w:rsidRPr="001531CD">
        <w:tab/>
        <w:t>The amount of the application fee is determined by the total principal amount of the loan requested, as follows.</w:t>
      </w:r>
    </w:p>
    <w:p w14:paraId="07A39B39" w14:textId="77777777" w:rsidR="00CF626A" w:rsidRPr="001531CD" w:rsidRDefault="00CF626A">
      <w:pPr>
        <w:pStyle w:val="a0"/>
        <w:tabs>
          <w:tab w:val="clear" w:pos="4500"/>
          <w:tab w:val="left" w:pos="3960"/>
        </w:tabs>
      </w:pPr>
      <w:r w:rsidRPr="001531CD">
        <w:t>a.</w:t>
      </w:r>
      <w:r w:rsidRPr="001531CD">
        <w:tab/>
        <w:t>Loans of $25,000 or less</w:t>
      </w:r>
      <w:r w:rsidRPr="001531CD">
        <w:tab/>
        <w:t>$  50</w:t>
      </w:r>
    </w:p>
    <w:p w14:paraId="2A868C36" w14:textId="77777777" w:rsidR="00CF626A" w:rsidRPr="001531CD" w:rsidRDefault="00CF626A">
      <w:pPr>
        <w:pStyle w:val="a0"/>
        <w:tabs>
          <w:tab w:val="clear" w:pos="4500"/>
          <w:tab w:val="left" w:pos="3960"/>
        </w:tabs>
      </w:pPr>
      <w:r w:rsidRPr="001531CD">
        <w:t>b.</w:t>
      </w:r>
      <w:r w:rsidRPr="001531CD">
        <w:tab/>
        <w:t>Loans of $25,001 to $200,000</w:t>
      </w:r>
      <w:r w:rsidRPr="001531CD">
        <w:tab/>
        <w:t>$100</w:t>
      </w:r>
    </w:p>
    <w:p w14:paraId="06BDB76E" w14:textId="77777777" w:rsidR="00CF626A" w:rsidRPr="001531CD" w:rsidRDefault="00CF626A">
      <w:pPr>
        <w:pStyle w:val="a0"/>
        <w:tabs>
          <w:tab w:val="clear" w:pos="4500"/>
          <w:tab w:val="left" w:pos="3960"/>
        </w:tabs>
      </w:pPr>
      <w:r w:rsidRPr="001531CD">
        <w:t>c.</w:t>
      </w:r>
      <w:r w:rsidRPr="001531CD">
        <w:tab/>
        <w:t>Loans of more than $200,001</w:t>
      </w:r>
      <w:r w:rsidRPr="001531CD">
        <w:tab/>
        <w:t>$200</w:t>
      </w:r>
    </w:p>
    <w:p w14:paraId="3732B933" w14:textId="77777777" w:rsidR="00CF626A" w:rsidRPr="001531CD" w:rsidRDefault="00CF626A">
      <w:pPr>
        <w:pStyle w:val="A"/>
      </w:pPr>
      <w:r w:rsidRPr="001531CD">
        <w:t>B.</w:t>
      </w:r>
      <w:r w:rsidRPr="001531CD">
        <w:tab/>
        <w:t>Fees Imposed by Lender</w:t>
      </w:r>
    </w:p>
    <w:p w14:paraId="2FF7A2E2" w14:textId="77777777" w:rsidR="00CF626A" w:rsidRPr="001531CD" w:rsidRDefault="00CF626A">
      <w:pPr>
        <w:pStyle w:val="1"/>
      </w:pPr>
      <w:r w:rsidRPr="001531CD">
        <w:t>1.</w:t>
      </w:r>
      <w:r w:rsidRPr="001531CD">
        <w:tab/>
        <w:t>Commitment Fee</w:t>
      </w:r>
    </w:p>
    <w:p w14:paraId="4A308B46" w14:textId="77777777" w:rsidR="00CF626A" w:rsidRPr="001531CD" w:rsidRDefault="00CF626A">
      <w:pPr>
        <w:pStyle w:val="a0"/>
      </w:pPr>
      <w:r w:rsidRPr="001531CD">
        <w:t>a.</w:t>
      </w:r>
      <w:r w:rsidRPr="001531CD">
        <w:tab/>
        <w:t>The lender may impose a borrower commitment fee in an amount not to exceed 2 1/2 percent of the original principal amount of the loan which the lender intends to originate to cover the cost of issuing the bond.</w:t>
      </w:r>
    </w:p>
    <w:p w14:paraId="435BC7BC" w14:textId="77777777" w:rsidR="00CF626A" w:rsidRPr="001531CD" w:rsidRDefault="00CF626A">
      <w:pPr>
        <w:pStyle w:val="a0"/>
      </w:pPr>
      <w:r w:rsidRPr="001531CD">
        <w:t>b.</w:t>
      </w:r>
      <w:r w:rsidRPr="001531CD">
        <w:tab/>
        <w:t>The commitment fee is paid by the borrower to the lender on or before the loan closing.</w:t>
      </w:r>
    </w:p>
    <w:p w14:paraId="330A3FD4" w14:textId="77777777" w:rsidR="00CF626A" w:rsidRPr="001531CD" w:rsidRDefault="00CF626A">
      <w:pPr>
        <w:pStyle w:val="a0"/>
      </w:pPr>
      <w:r w:rsidRPr="001531CD">
        <w:t>c.</w:t>
      </w:r>
      <w:r w:rsidRPr="001531CD">
        <w:tab/>
        <w:t>The commitment fee will be refunded by the lender as follows:</w:t>
      </w:r>
    </w:p>
    <w:p w14:paraId="2B3F7B43" w14:textId="77777777" w:rsidR="00CF626A" w:rsidRPr="001531CD" w:rsidRDefault="00CF626A">
      <w:pPr>
        <w:pStyle w:val="i0"/>
        <w:outlineLvl w:val="6"/>
      </w:pPr>
      <w:r w:rsidRPr="001531CD">
        <w:tab/>
        <w:t>i.</w:t>
      </w:r>
      <w:r w:rsidRPr="001531CD">
        <w:tab/>
        <w:t>in whole if the bonds are not issued by LAFA within one year after acceptance of an offer;</w:t>
      </w:r>
    </w:p>
    <w:p w14:paraId="3D688B9D" w14:textId="77777777" w:rsidR="00CF626A" w:rsidRPr="001531CD" w:rsidRDefault="00CF626A">
      <w:pPr>
        <w:pStyle w:val="i0"/>
        <w:outlineLvl w:val="6"/>
      </w:pPr>
      <w:r w:rsidRPr="001531CD">
        <w:tab/>
        <w:t>ii.</w:t>
      </w:r>
      <w:r w:rsidRPr="001531CD">
        <w:tab/>
        <w:t xml:space="preserve">in whole if the loan is not closed during the origination period specified in the offer and accepted by LAFA, if the failure to close the loan is due to any action or inaction by the lender for which the borrower is not </w:t>
      </w:r>
      <w:r w:rsidRPr="001531CD">
        <w:tab/>
        <w:t>responsible;</w:t>
      </w:r>
    </w:p>
    <w:p w14:paraId="6EC0CA71" w14:textId="77777777" w:rsidR="00CF626A" w:rsidRPr="001531CD" w:rsidRDefault="00CF626A">
      <w:pPr>
        <w:pStyle w:val="i0"/>
        <w:outlineLvl w:val="6"/>
      </w:pPr>
      <w:r w:rsidRPr="001531CD">
        <w:tab/>
        <w:t>iii.</w:t>
      </w:r>
      <w:r w:rsidRPr="001531CD">
        <w:tab/>
        <w:t>in whole if the lender cannot finance the loan without exceeding the lender's aggregate authorization for sale and repurchase of loans under the program; and</w:t>
      </w:r>
    </w:p>
    <w:p w14:paraId="75234B08" w14:textId="77777777" w:rsidR="00CF626A" w:rsidRPr="001531CD" w:rsidRDefault="00CF626A">
      <w:pPr>
        <w:pStyle w:val="i0"/>
        <w:outlineLvl w:val="6"/>
      </w:pPr>
      <w:r w:rsidRPr="001531CD">
        <w:tab/>
        <w:t>iv.</w:t>
      </w:r>
      <w:r w:rsidRPr="001531CD">
        <w:tab/>
        <w:t>in whole when the loan is funded by the lender.</w:t>
      </w:r>
    </w:p>
    <w:p w14:paraId="66026704" w14:textId="77777777" w:rsidR="00CF626A" w:rsidRPr="001531CD" w:rsidRDefault="00CF626A">
      <w:pPr>
        <w:pStyle w:val="1"/>
      </w:pPr>
      <w:r w:rsidRPr="001531CD">
        <w:t>2.</w:t>
      </w:r>
      <w:r w:rsidRPr="001531CD">
        <w:tab/>
        <w:t>Origination Fee</w:t>
      </w:r>
    </w:p>
    <w:p w14:paraId="05370110" w14:textId="77777777" w:rsidR="00CF626A" w:rsidRPr="001531CD" w:rsidRDefault="00CF626A">
      <w:pPr>
        <w:pStyle w:val="a0"/>
      </w:pPr>
      <w:r w:rsidRPr="001531CD">
        <w:t>a.</w:t>
      </w:r>
      <w:r w:rsidRPr="001531CD">
        <w:tab/>
        <w:t>The lender may impose an origination fee to defray expenses incurred by the lender in processing, originating, and disbursing the proceeds of the loan granted to the borrower in an amount not to exceed 1 percent of the original principal amount of the loan.</w:t>
      </w:r>
    </w:p>
    <w:p w14:paraId="2A3078EA" w14:textId="77777777" w:rsidR="00CF626A" w:rsidRPr="001531CD" w:rsidRDefault="00CF626A">
      <w:pPr>
        <w:pStyle w:val="a0"/>
      </w:pPr>
      <w:r w:rsidRPr="001531CD">
        <w:t>b.</w:t>
      </w:r>
      <w:r w:rsidRPr="001531CD">
        <w:tab/>
        <w:t>The origination fee is paid by the borrower to the lender at the loan closing.</w:t>
      </w:r>
    </w:p>
    <w:p w14:paraId="209B6208" w14:textId="77777777" w:rsidR="00CF626A" w:rsidRPr="001531CD" w:rsidRDefault="00CF626A">
      <w:pPr>
        <w:pStyle w:val="1"/>
      </w:pPr>
      <w:r w:rsidRPr="001531CD">
        <w:t>3.</w:t>
      </w:r>
      <w:r w:rsidRPr="001531CD">
        <w:tab/>
        <w:t>The lender may impose lender's reasonable and customary charges for insurance premiums, surveys, and other similar closing costs.</w:t>
      </w:r>
    </w:p>
    <w:p w14:paraId="040C8927" w14:textId="77777777" w:rsidR="00CF626A" w:rsidRPr="001531CD" w:rsidRDefault="00CF626A">
      <w:pPr>
        <w:pStyle w:val="A"/>
      </w:pPr>
      <w:r w:rsidRPr="001531CD">
        <w:t>C.</w:t>
      </w:r>
      <w:r w:rsidRPr="001531CD">
        <w:tab/>
        <w:t>Fees Imposed by LAFA</w:t>
      </w:r>
    </w:p>
    <w:p w14:paraId="6FF65224" w14:textId="77777777" w:rsidR="00CF626A" w:rsidRPr="001531CD" w:rsidRDefault="00CF626A">
      <w:pPr>
        <w:pStyle w:val="1"/>
      </w:pPr>
      <w:r w:rsidRPr="001531CD">
        <w:t>1.</w:t>
      </w:r>
      <w:r w:rsidRPr="001531CD">
        <w:tab/>
        <w:t>Cost of Issue Fee</w:t>
      </w:r>
    </w:p>
    <w:p w14:paraId="57BA1907" w14:textId="77777777" w:rsidR="00CF626A" w:rsidRPr="001531CD" w:rsidRDefault="00CF626A">
      <w:pPr>
        <w:pStyle w:val="a0"/>
      </w:pPr>
      <w:r w:rsidRPr="001531CD">
        <w:t>a.</w:t>
      </w:r>
      <w:r w:rsidRPr="001531CD">
        <w:tab/>
        <w:t>LAFA will impose a cost of issue fee to defray expenses incurred in issuance of the bond in an amount not to exceed 2 1/2 percent of the original principal amount of the loan.</w:t>
      </w:r>
    </w:p>
    <w:p w14:paraId="195EF564" w14:textId="77777777" w:rsidR="00CF626A" w:rsidRPr="001531CD" w:rsidRDefault="00CF626A">
      <w:pPr>
        <w:pStyle w:val="a0"/>
      </w:pPr>
      <w:r w:rsidRPr="001531CD">
        <w:t>b.</w:t>
      </w:r>
      <w:r w:rsidRPr="001531CD">
        <w:tab/>
        <w:t>The cost of issue fee is paid by the borrower to LAFA in the form of a discount of 2 1/2 percent from the original principal amount of the loan when the loan is purchased by LAFA from the lender.</w:t>
      </w:r>
    </w:p>
    <w:p w14:paraId="6AF8BA9E" w14:textId="77777777" w:rsidR="00CF626A" w:rsidRPr="001531CD" w:rsidRDefault="00CF626A">
      <w:pPr>
        <w:pStyle w:val="1"/>
      </w:pPr>
      <w:r w:rsidRPr="001531CD">
        <w:t>2.</w:t>
      </w:r>
      <w:r w:rsidRPr="001531CD">
        <w:tab/>
        <w:t>Program Participation Fee</w:t>
      </w:r>
    </w:p>
    <w:p w14:paraId="631C2F90" w14:textId="77777777" w:rsidR="00CF626A" w:rsidRPr="001531CD" w:rsidRDefault="00CF626A">
      <w:pPr>
        <w:pStyle w:val="a0"/>
      </w:pPr>
      <w:r w:rsidRPr="001531CD">
        <w:t>a.</w:t>
      </w:r>
      <w:r w:rsidRPr="001531CD">
        <w:tab/>
        <w:t>LAFA shall charge a program participation fee in an amount not to exceed 1/8 of 1 percent per annum on the outstanding principal amount of the loan.</w:t>
      </w:r>
    </w:p>
    <w:p w14:paraId="4B59A45E" w14:textId="77777777" w:rsidR="00CF626A" w:rsidRPr="001531CD" w:rsidRDefault="00CF626A">
      <w:pPr>
        <w:pStyle w:val="a0"/>
      </w:pPr>
      <w:r w:rsidRPr="001531CD">
        <w:t>b.</w:t>
      </w:r>
      <w:r w:rsidRPr="001531CD">
        <w:tab/>
        <w:t>The program participation fee shall be paid by the borrower to the lender on each required loan payment date and transmitted by the lender to the trustee to be used to cover the administrative costs of the trustee and LAFA.</w:t>
      </w:r>
    </w:p>
    <w:p w14:paraId="49038A0E"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27D4281C" w14:textId="77777777" w:rsidR="00CF626A" w:rsidRPr="001531CD" w:rsidRDefault="00CF626A">
      <w:pPr>
        <w:pStyle w:val="HistoricalNote"/>
      </w:pPr>
      <w:r w:rsidRPr="001531CD">
        <w:t>HISTORICAL NOTE:</w:t>
      </w:r>
      <w:r w:rsidRPr="001531CD">
        <w:tab/>
        <w:t>Promulgated by the Department of Agriculture, Agricultural Finance Authority, LR 10:870 (November 1984).</w:t>
      </w:r>
    </w:p>
    <w:p w14:paraId="111378AA" w14:textId="77777777" w:rsidR="00CF626A" w:rsidRPr="001531CD" w:rsidRDefault="00CF626A">
      <w:pPr>
        <w:pStyle w:val="Section"/>
      </w:pPr>
      <w:bookmarkStart w:id="179" w:name="_Toc256754274"/>
      <w:bookmarkStart w:id="180" w:name="_Toc224818485"/>
      <w:r w:rsidRPr="001531CD">
        <w:t>§123.</w:t>
      </w:r>
      <w:r w:rsidRPr="001531CD">
        <w:tab/>
        <w:t>Program Description; Procedures Required for Funding of Loans with LAFA Bond Proceeds</w:t>
      </w:r>
      <w:bookmarkEnd w:id="179"/>
      <w:bookmarkEnd w:id="180"/>
    </w:p>
    <w:p w14:paraId="3308D7F7" w14:textId="77777777" w:rsidR="00CF626A" w:rsidRPr="001531CD" w:rsidRDefault="00CF626A">
      <w:pPr>
        <w:pStyle w:val="A"/>
      </w:pPr>
      <w:r w:rsidRPr="001531CD">
        <w:t>A.</w:t>
      </w:r>
      <w:r w:rsidRPr="001531CD">
        <w:tab/>
        <w:t>Loan applicants (i.e., borrowers) will initially apply for a loan to a participating lender and must be approved by the lender. Borrowers must meet all eligibility criteria established by these regulations and by individual lenders for conventional agricultural loans.</w:t>
      </w:r>
    </w:p>
    <w:p w14:paraId="75520022" w14:textId="77777777" w:rsidR="00CF626A" w:rsidRPr="001531CD" w:rsidRDefault="00CF626A">
      <w:pPr>
        <w:pStyle w:val="A"/>
      </w:pPr>
      <w:r w:rsidRPr="001531CD">
        <w:t>B.</w:t>
      </w:r>
      <w:r w:rsidRPr="001531CD">
        <w:tab/>
        <w:t>After a lender approves a borrower for a loan, the lender will apply to LAFA for a determination of the project's eligibility for tax-exempt bond proceeds and, if the project is approved by LAFA, for issuance of a bond. To apply for LAFA approval of a loan, the lender shall submit the following documents to LAFA, each to be submitted on the form provided by LAFA in fully-executed form:</w:t>
      </w:r>
    </w:p>
    <w:p w14:paraId="65DC1DA6" w14:textId="77777777" w:rsidR="00CF626A" w:rsidRPr="001531CD" w:rsidRDefault="00CF626A">
      <w:pPr>
        <w:pStyle w:val="1"/>
      </w:pPr>
      <w:r w:rsidRPr="001531CD">
        <w:t>1.</w:t>
      </w:r>
      <w:r w:rsidRPr="001531CD">
        <w:tab/>
        <w:t>the offer, to be executed by the lender, which must contain the lender's commitment to originate a loan to each eligible borrower;</w:t>
      </w:r>
    </w:p>
    <w:p w14:paraId="486A488A" w14:textId="77777777" w:rsidR="00CF626A" w:rsidRPr="001531CD" w:rsidRDefault="00CF626A">
      <w:pPr>
        <w:pStyle w:val="1"/>
      </w:pPr>
      <w:r w:rsidRPr="001531CD">
        <w:t>2.</w:t>
      </w:r>
      <w:r w:rsidRPr="001531CD">
        <w:tab/>
        <w:t>the loan terms schedule, which must specify the principal amount, the interest rate, and the amortization schedule of the loan to be funded;</w:t>
      </w:r>
    </w:p>
    <w:p w14:paraId="306DAACE" w14:textId="77777777" w:rsidR="00CF626A" w:rsidRPr="001531CD" w:rsidRDefault="00CF626A">
      <w:pPr>
        <w:pStyle w:val="1"/>
      </w:pPr>
      <w:r w:rsidRPr="001531CD">
        <w:t>3.</w:t>
      </w:r>
      <w:r w:rsidRPr="001531CD">
        <w:tab/>
        <w:t>the borrower's certificate, to be executed by the borrower;</w:t>
      </w:r>
    </w:p>
    <w:p w14:paraId="7A3E5E0D" w14:textId="77777777" w:rsidR="00CF626A" w:rsidRPr="001531CD" w:rsidRDefault="00CF626A">
      <w:pPr>
        <w:pStyle w:val="1"/>
      </w:pPr>
      <w:r w:rsidRPr="001531CD">
        <w:t>4.</w:t>
      </w:r>
      <w:r w:rsidRPr="001531CD">
        <w:tab/>
        <w:t>a letter from lender's credit or loan committee or an authorized officer that lender has completed a satisfactory review of each borrower's credit-worthiness; and</w:t>
      </w:r>
    </w:p>
    <w:p w14:paraId="45AB01EC" w14:textId="77777777" w:rsidR="00CF626A" w:rsidRPr="001531CD" w:rsidRDefault="00CF626A">
      <w:pPr>
        <w:pStyle w:val="1"/>
      </w:pPr>
      <w:r w:rsidRPr="001531CD">
        <w:t>5.</w:t>
      </w:r>
      <w:r w:rsidRPr="001531CD">
        <w:tab/>
        <w:t>the borrower's application fee, payable to LAFA.</w:t>
      </w:r>
    </w:p>
    <w:p w14:paraId="4C759579" w14:textId="77777777" w:rsidR="00CF626A" w:rsidRPr="001531CD" w:rsidRDefault="00CF626A">
      <w:pPr>
        <w:pStyle w:val="A"/>
      </w:pPr>
      <w:r w:rsidRPr="001531CD">
        <w:t>C.</w:t>
      </w:r>
      <w:r w:rsidRPr="001531CD">
        <w:tab/>
        <w:t>After submission of the above documents to LAFA, the lender may issue a commitment to fund the loan, but lender's commitment shall in no way represent a commitment by LAFA to issue bonds or cause any specific loan to be funded.</w:t>
      </w:r>
    </w:p>
    <w:p w14:paraId="55F41B85" w14:textId="77777777" w:rsidR="00CF626A" w:rsidRPr="001531CD" w:rsidRDefault="00CF626A">
      <w:pPr>
        <w:pStyle w:val="A"/>
      </w:pPr>
      <w:r w:rsidRPr="001531CD">
        <w:t>D.</w:t>
      </w:r>
      <w:r w:rsidRPr="001531CD">
        <w:tab/>
        <w:t>Upon receipt of the lender's offer, LAFA will officially accept or reject the offer. Upon acceptance of the offer, LAFA will adopt a resolution stating its intention to issue the bond (the intent resolution), a copy of which shall be provided to lender and conduct the hearing required under TEFRA prior to issuing the bond.</w:t>
      </w:r>
    </w:p>
    <w:p w14:paraId="10D0B1FC" w14:textId="77777777" w:rsidR="00CF626A" w:rsidRPr="001531CD" w:rsidRDefault="00CF626A">
      <w:pPr>
        <w:pStyle w:val="A"/>
      </w:pPr>
      <w:r w:rsidRPr="001531CD">
        <w:t>E.</w:t>
      </w:r>
      <w:r w:rsidRPr="001531CD">
        <w:tab/>
        <w:t xml:space="preserve">No lender may permit interim financing prior to receipt of written notification of LAFA's acceptance of the offer and adoption of the intent resolution. Funding a loan prior to LAFA approval of the offer and adoption of the intent </w:t>
      </w:r>
      <w:r w:rsidRPr="001531CD">
        <w:lastRenderedPageBreak/>
        <w:t>resolution may disqualify the borrower and jeopardize the tax-exempt status of the bonds.</w:t>
      </w:r>
    </w:p>
    <w:p w14:paraId="3148BCE8" w14:textId="77777777" w:rsidR="00CF626A" w:rsidRPr="001531CD" w:rsidRDefault="00CF626A">
      <w:pPr>
        <w:pStyle w:val="A"/>
      </w:pPr>
      <w:r w:rsidRPr="001531CD">
        <w:t>F.</w:t>
      </w:r>
      <w:r w:rsidRPr="001531CD">
        <w:tab/>
        <w:t>LAFA will signify acceptance of the offer by signature of an authorized LAFA representative in the acceptance section of the offer. Upon receipt of written notification of LAFA's approval of the offer and adoption of the intent resolution, the lender may originate the loan. However, any funding of a loan by a lender prior to delivery of the bond is strictly at lender's risk, there being no assurance by LAFA that bond proceeds will be sufficient to fund any or all such loans.</w:t>
      </w:r>
    </w:p>
    <w:p w14:paraId="4E83D823" w14:textId="77777777" w:rsidR="00CF626A" w:rsidRPr="001531CD" w:rsidRDefault="00CF626A">
      <w:pPr>
        <w:pStyle w:val="A"/>
      </w:pPr>
      <w:r w:rsidRPr="001531CD">
        <w:t>G.</w:t>
      </w:r>
      <w:r w:rsidRPr="001531CD">
        <w:tab/>
        <w:t>From time to time, as the demand warrants and at LAFA's sole discretion, LAFA will issue and deliver bonds, pursuant to a bond resolution, to the lender. The proceeds from sale of the bond will be deposited with and invested by the trustee in accordance with the bond resolution prior to the purchase of the loan from the lender.</w:t>
      </w:r>
    </w:p>
    <w:p w14:paraId="330797F9" w14:textId="77777777" w:rsidR="00CF626A" w:rsidRPr="001531CD" w:rsidRDefault="00CF626A">
      <w:pPr>
        <w:pStyle w:val="A"/>
      </w:pPr>
      <w:r w:rsidRPr="001531CD">
        <w:t>H.</w:t>
      </w:r>
      <w:r w:rsidRPr="001531CD">
        <w:tab/>
        <w:t>During the origination period after delivery of the bond, the lender shall:</w:t>
      </w:r>
    </w:p>
    <w:p w14:paraId="455DFC74" w14:textId="77777777" w:rsidR="00CF626A" w:rsidRPr="001531CD" w:rsidRDefault="00CF626A">
      <w:pPr>
        <w:pStyle w:val="1"/>
      </w:pPr>
      <w:r w:rsidRPr="001531CD">
        <w:t>1.</w:t>
      </w:r>
      <w:r w:rsidRPr="001531CD">
        <w:tab/>
        <w:t>originate the loan; and</w:t>
      </w:r>
    </w:p>
    <w:p w14:paraId="41AAD58B" w14:textId="77777777" w:rsidR="00CF626A" w:rsidRPr="001531CD" w:rsidRDefault="00CF626A">
      <w:pPr>
        <w:pStyle w:val="1"/>
      </w:pPr>
      <w:r w:rsidRPr="001531CD">
        <w:t>2.</w:t>
      </w:r>
      <w:r w:rsidRPr="001531CD">
        <w:tab/>
        <w:t>sell the loan to LAFA. To help defray the costs of issuing the bonds, each loan will be funded to the borrower and purchased by LAFA in an amount equal to 97.5 percent of the original principal amount of the loan (i.e., principal amount less the cost of issue fee). If the lender fails to originate and sell the loan prior to expiration of the origination period, LAFA will redeem the bond held by lender at 97.5 percent of the outstanding principal amount of the bond plus any accrued interest thereon.</w:t>
      </w:r>
    </w:p>
    <w:p w14:paraId="51CF0272" w14:textId="77777777" w:rsidR="00CF626A" w:rsidRPr="001531CD" w:rsidRDefault="00CF626A">
      <w:pPr>
        <w:pStyle w:val="A"/>
      </w:pPr>
      <w:r w:rsidRPr="001531CD">
        <w:t>I.</w:t>
      </w:r>
      <w:r w:rsidRPr="001531CD">
        <w:tab/>
        <w:t>Prior to the loan closing, the lender must enter into a loan purchase agreement with LAFA, whereby the lender must agree in addition to other provisions to repurchase the loan in the event of default on the loan by the borrower.</w:t>
      </w:r>
    </w:p>
    <w:p w14:paraId="0D9DBE29" w14:textId="77777777" w:rsidR="00CF626A" w:rsidRPr="001531CD" w:rsidRDefault="00CF626A">
      <w:pPr>
        <w:pStyle w:val="A"/>
      </w:pPr>
      <w:r w:rsidRPr="001531CD">
        <w:t>J.</w:t>
      </w:r>
      <w:r w:rsidRPr="001531CD">
        <w:tab/>
        <w:t>No later than 15 days prior to the date scheduled for each loan closing, the lender must deliver the loan file to the trustee consisting of the following instruments in the form required by LAFA:</w:t>
      </w:r>
    </w:p>
    <w:p w14:paraId="7794F033" w14:textId="77777777" w:rsidR="00CF626A" w:rsidRPr="001531CD" w:rsidRDefault="00CF626A">
      <w:pPr>
        <w:pStyle w:val="1"/>
      </w:pPr>
      <w:r w:rsidRPr="001531CD">
        <w:t>1.</w:t>
      </w:r>
      <w:r w:rsidRPr="001531CD">
        <w:tab/>
        <w:t>the loan purchase agreement, executed by the lender;</w:t>
      </w:r>
    </w:p>
    <w:p w14:paraId="27CFD568" w14:textId="77777777" w:rsidR="00CF626A" w:rsidRPr="001531CD" w:rsidRDefault="00CF626A">
      <w:pPr>
        <w:pStyle w:val="1"/>
      </w:pPr>
      <w:r w:rsidRPr="001531CD">
        <w:t>2.</w:t>
      </w:r>
      <w:r w:rsidRPr="001531CD">
        <w:tab/>
        <w:t xml:space="preserve">a copy of the executed loan submission voucher (Exhibit A attached to agreement), which shall request </w:t>
      </w:r>
      <w:r w:rsidR="006C00E7" w:rsidRPr="001531CD">
        <w:br/>
      </w:r>
      <w:r w:rsidRPr="001531CD">
        <w:t xml:space="preserve">the purchase of the loan by LAFA at a price equal to </w:t>
      </w:r>
      <w:r w:rsidR="006C00E7" w:rsidRPr="001531CD">
        <w:br/>
      </w:r>
      <w:r w:rsidRPr="001531CD">
        <w:t>97.5 percent of the principal amount of the loan;</w:t>
      </w:r>
    </w:p>
    <w:p w14:paraId="6B3ABA70" w14:textId="77777777" w:rsidR="00CF626A" w:rsidRPr="001531CD" w:rsidRDefault="00CF626A">
      <w:pPr>
        <w:pStyle w:val="1"/>
      </w:pPr>
      <w:r w:rsidRPr="001531CD">
        <w:t>3.</w:t>
      </w:r>
      <w:r w:rsidRPr="001531CD">
        <w:tab/>
        <w:t>an executed opinion of lender's counsel (Exhibit B attached to the agreement), to be dated the date of the bond closing;</w:t>
      </w:r>
    </w:p>
    <w:p w14:paraId="470F5BB7" w14:textId="77777777" w:rsidR="00CF626A" w:rsidRPr="001531CD" w:rsidRDefault="00CF626A">
      <w:pPr>
        <w:pStyle w:val="1"/>
      </w:pPr>
      <w:r w:rsidRPr="001531CD">
        <w:t>4.</w:t>
      </w:r>
      <w:r w:rsidRPr="001531CD">
        <w:tab/>
        <w:t>a copy of the executed officer's closing certificate (Exhibit C attached to agreement), to be dated the date of the loan closing;</w:t>
      </w:r>
    </w:p>
    <w:p w14:paraId="333E4D3A" w14:textId="77777777" w:rsidR="00CF626A" w:rsidRPr="001531CD" w:rsidRDefault="00CF626A">
      <w:pPr>
        <w:pStyle w:val="1"/>
      </w:pPr>
      <w:r w:rsidRPr="001531CD">
        <w:t>5.</w:t>
      </w:r>
      <w:r w:rsidRPr="001531CD">
        <w:tab/>
        <w:t>a copy of the executed loan note, post-dated to loan closing date;</w:t>
      </w:r>
    </w:p>
    <w:p w14:paraId="78258A6D" w14:textId="77777777" w:rsidR="00CF626A" w:rsidRPr="001531CD" w:rsidRDefault="00CF626A">
      <w:pPr>
        <w:pStyle w:val="1"/>
      </w:pPr>
      <w:r w:rsidRPr="001531CD">
        <w:t>6.</w:t>
      </w:r>
      <w:r w:rsidRPr="001531CD">
        <w:tab/>
        <w:t>a certified or other copy of the mortgage or other evidence of security (the mortgage) securing the borrower's obligations under the loan note, if any, showing recordation information;</w:t>
      </w:r>
    </w:p>
    <w:p w14:paraId="533C6810" w14:textId="77777777" w:rsidR="00CF626A" w:rsidRPr="001531CD" w:rsidRDefault="00CF626A">
      <w:pPr>
        <w:pStyle w:val="1"/>
      </w:pPr>
      <w:r w:rsidRPr="001531CD">
        <w:t>7.</w:t>
      </w:r>
      <w:r w:rsidRPr="001531CD">
        <w:tab/>
        <w:t>an executed certificate of economic life; and</w:t>
      </w:r>
    </w:p>
    <w:p w14:paraId="4F712061" w14:textId="77777777" w:rsidR="00CF626A" w:rsidRPr="001531CD" w:rsidRDefault="00CF626A">
      <w:pPr>
        <w:pStyle w:val="1"/>
      </w:pPr>
      <w:r w:rsidRPr="001531CD">
        <w:t>8.</w:t>
      </w:r>
      <w:r w:rsidRPr="001531CD">
        <w:tab/>
        <w:t>an executed assignment of loan note (Exhibit D attached to the agreement), to be dated the date of loan closing.</w:t>
      </w:r>
    </w:p>
    <w:p w14:paraId="41F3F8AA" w14:textId="77777777" w:rsidR="00CF626A" w:rsidRPr="001531CD" w:rsidRDefault="00CF626A">
      <w:pPr>
        <w:pStyle w:val="A"/>
      </w:pPr>
      <w:r w:rsidRPr="001531CD">
        <w:t>K.</w:t>
      </w:r>
      <w:r w:rsidRPr="001531CD">
        <w:tab/>
        <w:t>The trustee shall review the loan file solely to determine:</w:t>
      </w:r>
    </w:p>
    <w:p w14:paraId="479759EA" w14:textId="77777777" w:rsidR="00CF626A" w:rsidRPr="001531CD" w:rsidRDefault="00CF626A">
      <w:pPr>
        <w:pStyle w:val="1"/>
      </w:pPr>
      <w:r w:rsidRPr="001531CD">
        <w:t>1.</w:t>
      </w:r>
      <w:r w:rsidRPr="001531CD">
        <w:tab/>
        <w:t>whether the loan file conta</w:t>
      </w:r>
      <w:r w:rsidR="006C00E7" w:rsidRPr="001531CD">
        <w:t>ins all required documents; and</w:t>
      </w:r>
    </w:p>
    <w:p w14:paraId="14613CC7" w14:textId="77777777" w:rsidR="00CF626A" w:rsidRPr="001531CD" w:rsidRDefault="00CF626A">
      <w:pPr>
        <w:pStyle w:val="1"/>
      </w:pPr>
      <w:r w:rsidRPr="001531CD">
        <w:t>2.</w:t>
      </w:r>
      <w:r w:rsidRPr="001531CD">
        <w:tab/>
        <w:t>whether such documents relate to the loan identified in the offer. The trustee is not required to make any further examination of any document in any loan file. The trustee shall notify LAFA and the lender of its approval of the documents in the loan file prior to the date scheduled for closing the loan.</w:t>
      </w:r>
    </w:p>
    <w:p w14:paraId="71655ECE" w14:textId="77777777" w:rsidR="00CF626A" w:rsidRPr="001531CD" w:rsidRDefault="00CF626A">
      <w:pPr>
        <w:pStyle w:val="A"/>
      </w:pPr>
      <w:r w:rsidRPr="001531CD">
        <w:t>L.</w:t>
      </w:r>
      <w:r w:rsidRPr="001531CD">
        <w:tab/>
        <w:t>Subsequent to issuance of a bond, the loan purchase agreement may not be amended, changed, modified, altered, or terminated without the written consent of LAFA and the bondholder.</w:t>
      </w:r>
    </w:p>
    <w:p w14:paraId="58F2EDBC" w14:textId="77777777" w:rsidR="00CF626A" w:rsidRPr="001531CD" w:rsidRDefault="00CF626A" w:rsidP="0034445B">
      <w:pPr>
        <w:pStyle w:val="A"/>
        <w:spacing w:after="60"/>
      </w:pPr>
      <w:r w:rsidRPr="001531CD">
        <w:t>M.</w:t>
      </w:r>
      <w:r w:rsidRPr="001531CD">
        <w:tab/>
        <w:t>If any provisions of the loan purchase agreement is breached by either party and thereafter waived by the other party, such waiver shall be limited to the particular breach so waived and shall not be deemed to waive any other provisions of the loan purchase agreement.</w:t>
      </w:r>
    </w:p>
    <w:p w14:paraId="7A972A86" w14:textId="77777777" w:rsidR="00CF626A" w:rsidRPr="001531CD" w:rsidRDefault="00CF626A" w:rsidP="0034445B">
      <w:pPr>
        <w:pStyle w:val="A"/>
        <w:spacing w:after="60"/>
      </w:pPr>
      <w:r w:rsidRPr="001531CD">
        <w:t>N.</w:t>
      </w:r>
      <w:r w:rsidRPr="001531CD">
        <w:tab/>
        <w:t>Simultaneously with the closing of the loan, or at such other time as the trustee and the lender may mutually agree upon, the lender shall sell and LAFA shall purchase the loan. Under the required loan purchase agreement, the lender will service the loan.</w:t>
      </w:r>
    </w:p>
    <w:p w14:paraId="14473FBB" w14:textId="77777777" w:rsidR="00CF626A" w:rsidRPr="001531CD" w:rsidRDefault="00CF626A" w:rsidP="0034445B">
      <w:pPr>
        <w:pStyle w:val="A"/>
        <w:spacing w:after="60"/>
      </w:pPr>
      <w:r w:rsidRPr="001531CD">
        <w:t>O.</w:t>
      </w:r>
      <w:r w:rsidRPr="001531CD">
        <w:tab/>
        <w:t>If a lender fails to maintain its eligibility under the program after the issue and delivery of the bond, but before sale of the loan to LAFA, LAFA will redeem the bond held by the lender in an amount equal to 97.5 percent of the aggregate principal amount of the bond plus any accrued interest thereon.</w:t>
      </w:r>
    </w:p>
    <w:p w14:paraId="0C64B5E3" w14:textId="77777777" w:rsidR="00CF626A" w:rsidRPr="001531CD" w:rsidRDefault="00CF626A" w:rsidP="0034445B">
      <w:pPr>
        <w:pStyle w:val="A"/>
        <w:spacing w:after="60"/>
      </w:pPr>
      <w:r w:rsidRPr="001531CD">
        <w:t>P.</w:t>
      </w:r>
      <w:r w:rsidRPr="001531CD">
        <w:tab/>
        <w:t xml:space="preserve">Upon default on a loan and repurchase of the loan pursuant to the provisions of the loan purchase agreement, the corresponding bond shall be redeemed by LAFA at </w:t>
      </w:r>
      <w:r w:rsidR="006C00E7" w:rsidRPr="001531CD">
        <w:br/>
      </w:r>
      <w:r w:rsidRPr="001531CD">
        <w:t>100 percent of the outstanding principal amount thereof together with any accrued interest thereon.</w:t>
      </w:r>
    </w:p>
    <w:p w14:paraId="0EA28DD9"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0D288325" w14:textId="77777777" w:rsidR="00CF626A" w:rsidRPr="001531CD" w:rsidRDefault="00CF626A">
      <w:pPr>
        <w:pStyle w:val="HistoricalNote"/>
      </w:pPr>
      <w:r w:rsidRPr="001531CD">
        <w:t>HISTORICAL NOTE:</w:t>
      </w:r>
      <w:r w:rsidRPr="001531CD">
        <w:tab/>
        <w:t>Promulgated by the Department of Agriculture, Agricultural Finance Authority, LR 10:870 (November 1984).</w:t>
      </w:r>
    </w:p>
    <w:p w14:paraId="663BD697" w14:textId="77777777" w:rsidR="00CF626A" w:rsidRPr="001531CD" w:rsidRDefault="00CF626A" w:rsidP="0034445B">
      <w:pPr>
        <w:pStyle w:val="Section"/>
        <w:spacing w:after="60"/>
      </w:pPr>
      <w:bookmarkStart w:id="181" w:name="_Toc256754275"/>
      <w:bookmarkStart w:id="182" w:name="_Toc224818486"/>
      <w:r w:rsidRPr="001531CD">
        <w:t>§125.</w:t>
      </w:r>
      <w:r w:rsidRPr="001531CD">
        <w:tab/>
        <w:t>Causes for Termination of Loan Purchase Agreement</w:t>
      </w:r>
      <w:bookmarkEnd w:id="181"/>
      <w:bookmarkEnd w:id="182"/>
    </w:p>
    <w:p w14:paraId="20A448E2" w14:textId="77777777" w:rsidR="00CF626A" w:rsidRPr="001531CD" w:rsidRDefault="00CF626A" w:rsidP="0034445B">
      <w:pPr>
        <w:pStyle w:val="A"/>
        <w:spacing w:after="60"/>
      </w:pPr>
      <w:r w:rsidRPr="001531CD">
        <w:t>A.</w:t>
      </w:r>
      <w:r w:rsidRPr="001531CD">
        <w:tab/>
        <w:t>LAFA may terminate a loan purchase agreement with any lender in any of the following circumstances:</w:t>
      </w:r>
    </w:p>
    <w:p w14:paraId="598CBA66" w14:textId="77777777" w:rsidR="00CF626A" w:rsidRPr="001531CD" w:rsidRDefault="00CF626A" w:rsidP="0034445B">
      <w:pPr>
        <w:pStyle w:val="1"/>
        <w:spacing w:after="60"/>
      </w:pPr>
      <w:r w:rsidRPr="001531CD">
        <w:t>1.</w:t>
      </w:r>
      <w:r w:rsidRPr="001531CD">
        <w:tab/>
        <w:t>lenders failure to pay loan note repayments over to the trustee if such failure continues for a period of five days;</w:t>
      </w:r>
    </w:p>
    <w:p w14:paraId="06D7D305" w14:textId="77777777" w:rsidR="00CF626A" w:rsidRPr="001531CD" w:rsidRDefault="00CF626A" w:rsidP="0034445B">
      <w:pPr>
        <w:pStyle w:val="1"/>
        <w:spacing w:after="60"/>
      </w:pPr>
      <w:r w:rsidRPr="001531CD">
        <w:t>2.</w:t>
      </w:r>
      <w:r w:rsidRPr="001531CD">
        <w:tab/>
        <w:t xml:space="preserve">lenders failure to observe or perform in any material respect any other covenant or condition of a loan purchase agreement for more than 30 days after receipt of written notice thereof from LAFA or the trustee. Prior to the expiration of </w:t>
      </w:r>
      <w:r w:rsidRPr="001531CD">
        <w:lastRenderedPageBreak/>
        <w:t>such period, LAFA may extend the period by written authorization. If the failure stated in the notice cannot be corrected within 30 days, LAFA will not unreasonably withhold its consent to an extension of such time if corrective action is instituted by the lender within the applicable period;</w:t>
      </w:r>
    </w:p>
    <w:p w14:paraId="20C712E0" w14:textId="77777777" w:rsidR="00CF626A" w:rsidRPr="001531CD" w:rsidRDefault="00CF626A" w:rsidP="0034445B">
      <w:pPr>
        <w:pStyle w:val="1"/>
        <w:spacing w:after="60"/>
      </w:pPr>
      <w:r w:rsidRPr="001531CD">
        <w:t>3.</w:t>
      </w:r>
      <w:r w:rsidRPr="001531CD">
        <w:tab/>
        <w:t>if any representation of or warranty by lender to LAFA is false in any material respect and LAFA has notice thereof;</w:t>
      </w:r>
    </w:p>
    <w:p w14:paraId="102BEDB9" w14:textId="77777777" w:rsidR="00CF626A" w:rsidRPr="001531CD" w:rsidRDefault="00CF626A" w:rsidP="0034445B">
      <w:pPr>
        <w:pStyle w:val="1"/>
        <w:spacing w:after="60"/>
      </w:pPr>
      <w:r w:rsidRPr="001531CD">
        <w:t>4.</w:t>
      </w:r>
      <w:r w:rsidRPr="001531CD">
        <w:tab/>
        <w:t>the issuance of an order against the lender by any court or other supervisory authority having jurisdiction in the premises for the appointment of a conservator, receiver, or liquidator in any insolvency, readjustment of debt, marshaling of assets and liabilities, or liquidation of lender's affairs which remains in force undischarged or unstated for a period of 60 days;</w:t>
      </w:r>
    </w:p>
    <w:p w14:paraId="004B9D97" w14:textId="77777777" w:rsidR="00CF626A" w:rsidRPr="001531CD" w:rsidRDefault="00CF626A">
      <w:pPr>
        <w:pStyle w:val="1"/>
      </w:pPr>
      <w:r w:rsidRPr="001531CD">
        <w:t>5.</w:t>
      </w:r>
      <w:r w:rsidRPr="001531CD">
        <w:tab/>
        <w:t>lender's consent to the appointment of a conservator, receiver, or liquidator in any insolvency, readjustment of debt, marshaling of assets and liabilities, or similar proceedings relating to lender or all or substantially all of its property;</w:t>
      </w:r>
    </w:p>
    <w:p w14:paraId="6FE952FD" w14:textId="77777777" w:rsidR="00CF626A" w:rsidRPr="001531CD" w:rsidRDefault="00CF626A">
      <w:pPr>
        <w:pStyle w:val="1"/>
      </w:pPr>
      <w:r w:rsidRPr="001531CD">
        <w:t>6.</w:t>
      </w:r>
      <w:r w:rsidRPr="001531CD">
        <w:tab/>
        <w:t>lender's admission, in writing, of its inability to pay its debts generally as they become due, filing of a petition to take advantage of any applicable insolvency or reorganization statute, making an assignment for the benefit of its creditors, or voluntarily suspending payment of its obligations.</w:t>
      </w:r>
    </w:p>
    <w:p w14:paraId="6521A966" w14:textId="77777777" w:rsidR="00CF626A" w:rsidRPr="001531CD" w:rsidRDefault="00CF626A">
      <w:pPr>
        <w:pStyle w:val="A"/>
      </w:pPr>
      <w:r w:rsidRPr="001531CD">
        <w:t>B.</w:t>
      </w:r>
      <w:r w:rsidRPr="001531CD">
        <w:tab/>
        <w:t>In any of the circumstances enumerated in §125.A, LAFA or the trustee, on LAFA's behalf, may take one or both of the following steps:</w:t>
      </w:r>
    </w:p>
    <w:p w14:paraId="576C8F16" w14:textId="77777777" w:rsidR="00CF626A" w:rsidRPr="001531CD" w:rsidRDefault="00CF626A">
      <w:pPr>
        <w:pStyle w:val="1"/>
      </w:pPr>
      <w:r w:rsidRPr="001531CD">
        <w:t>1.</w:t>
      </w:r>
      <w:r w:rsidRPr="001531CD">
        <w:tab/>
        <w:t>make written demand on the lender for lender's repurchase of the unpaid portion of the loan note at a price equal to the unpaid principal plus any interest which has accrued and is unpaid as of the date of repurchase. Such demand shall be made when the lender fails for more than five days to pay over to the trustee the proceeds of loan note repayments;</w:t>
      </w:r>
    </w:p>
    <w:p w14:paraId="7ABA2172" w14:textId="77777777" w:rsidR="00CF626A" w:rsidRPr="001531CD" w:rsidRDefault="00CF626A">
      <w:pPr>
        <w:pStyle w:val="1"/>
      </w:pPr>
      <w:r w:rsidRPr="001531CD">
        <w:t>2.</w:t>
      </w:r>
      <w:r w:rsidRPr="001531CD">
        <w:tab/>
        <w:t>take whatever other action at law or in equity may appear necessary or desirable to collect any amounts due or to become due under the loan purchase agreement or to enforce performance and observance of a loan purchase agreement, including actions for costs of legal fees and other expenses incurred in such actions. Any amounts collected pursuant to action taken under this rule shall be deposited in the bond fund.</w:t>
      </w:r>
    </w:p>
    <w:p w14:paraId="51A2062D" w14:textId="77777777" w:rsidR="00CF626A" w:rsidRPr="001531CD" w:rsidRDefault="00CF626A">
      <w:pPr>
        <w:pStyle w:val="A"/>
      </w:pPr>
      <w:r w:rsidRPr="001531CD">
        <w:t>C.</w:t>
      </w:r>
      <w:r w:rsidRPr="001531CD">
        <w:tab/>
        <w:t>No delay or omission in exercising the remedies set forth above shall impair any right or be construed to be a waiver thereof; such remedies may be exercised from time to time, as often as may be deemed expedient, without any notice other than the notice required by this rule.</w:t>
      </w:r>
    </w:p>
    <w:p w14:paraId="4FD3DE9D" w14:textId="77777777"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14:paraId="0E1006F4" w14:textId="77777777" w:rsidR="00CF626A" w:rsidRPr="001531CD" w:rsidRDefault="00CF626A">
      <w:pPr>
        <w:pStyle w:val="HistoricalNote"/>
      </w:pPr>
      <w:r w:rsidRPr="001531CD">
        <w:t>HISTORICAL NOTE:</w:t>
      </w:r>
      <w:r w:rsidRPr="001531CD">
        <w:tab/>
        <w:t>Promulgated by the Department of Agriculture, Agricultural Finance Authority, LR 10:871 (November 1984).</w:t>
      </w:r>
    </w:p>
    <w:p w14:paraId="17E770EC" w14:textId="77777777" w:rsidR="00CF626A" w:rsidRPr="001531CD" w:rsidRDefault="00CF626A">
      <w:pPr>
        <w:pStyle w:val="Section"/>
      </w:pPr>
      <w:bookmarkStart w:id="183" w:name="_Toc256754276"/>
      <w:bookmarkStart w:id="184" w:name="_Toc224818487"/>
      <w:r w:rsidRPr="001531CD">
        <w:t>§127.</w:t>
      </w:r>
      <w:r w:rsidRPr="001531CD">
        <w:tab/>
        <w:t>Definitions</w:t>
      </w:r>
      <w:bookmarkEnd w:id="183"/>
      <w:bookmarkEnd w:id="184"/>
    </w:p>
    <w:p w14:paraId="24E3BCA4" w14:textId="77777777" w:rsidR="00CF626A" w:rsidRPr="001531CD" w:rsidRDefault="00CF626A">
      <w:pPr>
        <w:pStyle w:val="A"/>
      </w:pPr>
      <w:r w:rsidRPr="001531CD">
        <w:t>A.</w:t>
      </w:r>
      <w:r w:rsidRPr="001531CD">
        <w:tab/>
        <w:t xml:space="preserve">The following definitions shall apply to §§127-137, which are sections pertaining to the Louisiana Agricultural </w:t>
      </w:r>
      <w:r w:rsidRPr="001531CD">
        <w:t>Finance Authority Securitized Agricultural Revenue Bond Program.</w:t>
      </w:r>
    </w:p>
    <w:p w14:paraId="4FC8AE2D" w14:textId="77777777" w:rsidR="00CF626A" w:rsidRPr="001531CD" w:rsidRDefault="00CF626A">
      <w:pPr>
        <w:pStyle w:val="1"/>
      </w:pPr>
      <w:r w:rsidRPr="001531CD">
        <w:rPr>
          <w:i/>
          <w:iCs/>
        </w:rPr>
        <w:t>Act</w:t>
      </w:r>
      <w:r w:rsidRPr="001531CD">
        <w:t>―the Louisiana Agricultural Finance Act, Chapter 3-B of Title 3 of the Louisiana Revised Statutes of 1950, as amended (R.S. 3:261-R.S. 3:284).</w:t>
      </w:r>
    </w:p>
    <w:p w14:paraId="60CEE2F1" w14:textId="77777777" w:rsidR="00CF626A" w:rsidRPr="001531CD" w:rsidRDefault="00CF626A">
      <w:pPr>
        <w:pStyle w:val="1"/>
      </w:pPr>
      <w:r w:rsidRPr="001531CD">
        <w:rPr>
          <w:i/>
          <w:iCs/>
        </w:rPr>
        <w:t>Agreements</w:t>
      </w:r>
      <w:r w:rsidRPr="001531CD">
        <w:t xml:space="preserve">―agreements by which the </w:t>
      </w:r>
      <w:r w:rsidR="00A0014C" w:rsidRPr="001531CD">
        <w:t>issuer</w:t>
      </w:r>
      <w:r w:rsidRPr="001531CD">
        <w:t xml:space="preserve"> agrees to purchase from </w:t>
      </w:r>
      <w:r w:rsidR="00A0014C" w:rsidRPr="001531CD">
        <w:t>lenders</w:t>
      </w:r>
      <w:r w:rsidRPr="001531CD">
        <w:t xml:space="preserve"> certain </w:t>
      </w:r>
      <w:r w:rsidR="00A0014C" w:rsidRPr="001531CD">
        <w:t>agricultural loans</w:t>
      </w:r>
      <w:r w:rsidRPr="001531CD">
        <w:t>.</w:t>
      </w:r>
    </w:p>
    <w:p w14:paraId="7BE51548" w14:textId="77777777" w:rsidR="00CF626A" w:rsidRPr="001531CD" w:rsidRDefault="00CF626A">
      <w:pPr>
        <w:pStyle w:val="1"/>
      </w:pPr>
      <w:r w:rsidRPr="001531CD">
        <w:rPr>
          <w:i/>
          <w:iCs/>
        </w:rPr>
        <w:t>Agricultural Loan</w:t>
      </w:r>
      <w:r w:rsidRPr="001531CD">
        <w:t>―a loan made by a lender to any person for the purpose of financing land acquisition or improvement, soil conservation; irrigation; construction, renovation, or expansion of buildings and facilities; purchase of farm fixtures, livestock, poultry and fish of any kind; seeds; fertilizers; pesticides; feeds; machinery; equipment; containers or supplies employed in the production, cultivation, harvesting, storage, marketing, distribution, or export of agricultural products.</w:t>
      </w:r>
    </w:p>
    <w:p w14:paraId="1E6E7447" w14:textId="77777777" w:rsidR="00CF626A" w:rsidRPr="001531CD" w:rsidRDefault="00CF626A">
      <w:pPr>
        <w:pStyle w:val="1"/>
      </w:pPr>
      <w:r w:rsidRPr="001531CD">
        <w:rPr>
          <w:i/>
          <w:iCs/>
        </w:rPr>
        <w:t>Borrower</w:t>
      </w:r>
      <w:r w:rsidRPr="001531CD">
        <w:t>―any person engaged in agricultural production or exportation who has entered into an agricultural loan with a lender.</w:t>
      </w:r>
    </w:p>
    <w:p w14:paraId="0E6F8ADB" w14:textId="77777777" w:rsidR="00CF626A" w:rsidRPr="001531CD" w:rsidRDefault="00CF626A">
      <w:pPr>
        <w:pStyle w:val="1"/>
      </w:pPr>
      <w:r w:rsidRPr="001531CD">
        <w:rPr>
          <w:i/>
          <w:iCs/>
        </w:rPr>
        <w:t>Co-Trustee</w:t>
      </w:r>
      <w:r w:rsidRPr="001531CD">
        <w:t>―Premier Bank, formerly known as the Louisiana National Bank of Baton Rouge.</w:t>
      </w:r>
    </w:p>
    <w:p w14:paraId="682EBCD6" w14:textId="77777777" w:rsidR="00CF626A" w:rsidRPr="001531CD" w:rsidRDefault="00CF626A">
      <w:pPr>
        <w:pStyle w:val="1"/>
      </w:pPr>
      <w:r w:rsidRPr="001531CD">
        <w:rPr>
          <w:i/>
          <w:iCs/>
        </w:rPr>
        <w:t>Indenture</w:t>
      </w:r>
      <w:r w:rsidRPr="001531CD">
        <w:t>―the Trust Indenture and its exhibits by and among the Louisiana Agricultural Finance Authority and Capitol Bank and Trust Company now known as Sunburst Bank, as Trustee and Louisiana National Bank of Baton Rouge, now known as Premier Bank, as Co-Trustee dated as of September 15, 1986. This document is identified as Exhibit A and may be obtained in its entirety from the Department of Agriculture and Forestry, Agriculture Finance Authority, 5825 Florida Boulevard, Baton Rouge, LA 70806.</w:t>
      </w:r>
    </w:p>
    <w:p w14:paraId="640F504E" w14:textId="77777777" w:rsidR="00CF626A" w:rsidRPr="001531CD" w:rsidRDefault="00CF626A">
      <w:pPr>
        <w:pStyle w:val="1"/>
      </w:pPr>
      <w:r w:rsidRPr="001531CD">
        <w:rPr>
          <w:i/>
          <w:iCs/>
        </w:rPr>
        <w:t>Issuer</w:t>
      </w:r>
      <w:r w:rsidRPr="001531CD">
        <w:t>―the Louisiana Agricultural Finance Authority (LAFA).</w:t>
      </w:r>
    </w:p>
    <w:p w14:paraId="3A88B620" w14:textId="77777777" w:rsidR="00CF626A" w:rsidRPr="001531CD" w:rsidRDefault="00CF626A">
      <w:pPr>
        <w:pStyle w:val="1"/>
      </w:pPr>
      <w:r w:rsidRPr="001531CD">
        <w:rPr>
          <w:i/>
          <w:iCs/>
        </w:rPr>
        <w:t>Lenders</w:t>
      </w:r>
      <w:r w:rsidRPr="001531CD">
        <w:t>―any leading institution as defined in the Act which institution either:</w:t>
      </w:r>
    </w:p>
    <w:p w14:paraId="29BFB1C8" w14:textId="77777777" w:rsidR="00CF626A" w:rsidRPr="001531CD" w:rsidRDefault="00CF626A">
      <w:pPr>
        <w:pStyle w:val="a0"/>
      </w:pPr>
      <w:r w:rsidRPr="001531CD">
        <w:t>a.</w:t>
      </w:r>
      <w:r w:rsidRPr="001531CD">
        <w:tab/>
        <w:t>sells an agricultural loan to the trustee; or</w:t>
      </w:r>
    </w:p>
    <w:p w14:paraId="3A141C6D" w14:textId="77777777" w:rsidR="00CF626A" w:rsidRPr="001531CD" w:rsidRDefault="00CF626A">
      <w:pPr>
        <w:pStyle w:val="a0"/>
      </w:pPr>
      <w:r w:rsidRPr="001531CD">
        <w:t>b.</w:t>
      </w:r>
      <w:r w:rsidRPr="001531CD">
        <w:tab/>
        <w:t>enters into a repurchase obligation with the trustee.</w:t>
      </w:r>
    </w:p>
    <w:p w14:paraId="3093421D" w14:textId="77777777" w:rsidR="00CF626A" w:rsidRPr="001531CD" w:rsidRDefault="00CF626A">
      <w:pPr>
        <w:pStyle w:val="1"/>
      </w:pPr>
      <w:r w:rsidRPr="001531CD">
        <w:rPr>
          <w:i/>
          <w:iCs/>
        </w:rPr>
        <w:t>Trustee</w:t>
      </w:r>
      <w:r w:rsidRPr="001531CD">
        <w:t>―Sunburst Bank, formerly known as Capitol Bank and Trust Company.</w:t>
      </w:r>
    </w:p>
    <w:p w14:paraId="1C5C1513" w14:textId="77777777" w:rsidR="00CF626A" w:rsidRPr="001531CD" w:rsidRDefault="00CF626A">
      <w:pPr>
        <w:pStyle w:val="A"/>
      </w:pPr>
      <w:r w:rsidRPr="001531CD">
        <w:t>B.</w:t>
      </w:r>
      <w:r w:rsidRPr="001531CD">
        <w:tab/>
        <w:t xml:space="preserve">All capitalized, undefined terms used herein shall have the meanings ascribed thereto in the </w:t>
      </w:r>
      <w:r w:rsidR="00A0014C" w:rsidRPr="001531CD">
        <w:rPr>
          <w:i/>
        </w:rPr>
        <w:t>indenture</w:t>
      </w:r>
      <w:r w:rsidRPr="001531CD">
        <w:t xml:space="preserve"> and its exhibits.</w:t>
      </w:r>
    </w:p>
    <w:p w14:paraId="13A138C5" w14:textId="77777777" w:rsidR="00CF626A" w:rsidRPr="001531CD" w:rsidRDefault="00CF626A">
      <w:pPr>
        <w:pStyle w:val="AuthorityNote"/>
      </w:pPr>
      <w:r w:rsidRPr="001531CD">
        <w:t>AUTHORITY NOTE:</w:t>
      </w:r>
      <w:r w:rsidRPr="001531CD">
        <w:tab/>
        <w:t>Promulgated in accordance with R.S. 3:266(4).</w:t>
      </w:r>
    </w:p>
    <w:p w14:paraId="2B0BA041" w14:textId="77777777"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14:paraId="780FAA69" w14:textId="77777777" w:rsidR="00CF626A" w:rsidRPr="001531CD" w:rsidRDefault="00CF626A">
      <w:pPr>
        <w:pStyle w:val="Section"/>
      </w:pPr>
      <w:bookmarkStart w:id="185" w:name="_Toc256754277"/>
      <w:bookmarkStart w:id="186" w:name="_Toc224818488"/>
      <w:r w:rsidRPr="001531CD">
        <w:t>§129.</w:t>
      </w:r>
      <w:r w:rsidRPr="001531CD">
        <w:tab/>
        <w:t>Definition of Program</w:t>
      </w:r>
      <w:bookmarkEnd w:id="185"/>
      <w:bookmarkEnd w:id="186"/>
      <w:r w:rsidRPr="001531CD">
        <w:t xml:space="preserve"> </w:t>
      </w:r>
    </w:p>
    <w:p w14:paraId="0C098552" w14:textId="77777777" w:rsidR="00CF626A" w:rsidRPr="001531CD" w:rsidRDefault="00CF626A">
      <w:pPr>
        <w:pStyle w:val="A"/>
      </w:pPr>
      <w:r w:rsidRPr="001531CD">
        <w:t>A.</w:t>
      </w:r>
      <w:r w:rsidRPr="001531CD">
        <w:tab/>
        <w:t>Under the Act, the issuer is authorized to issue revenue bonds to alleviate the serious shortage of capital and credit available for investment in agriculture, for domestic and export purposes, at interest rates within the financial means of persons engaged in agricultural production and agricultural exports. The Act also authorizes the issuer:</w:t>
      </w:r>
    </w:p>
    <w:p w14:paraId="644C41FA" w14:textId="77777777" w:rsidR="00CF626A" w:rsidRPr="001531CD" w:rsidRDefault="00CF626A">
      <w:pPr>
        <w:pStyle w:val="1"/>
      </w:pPr>
      <w:r w:rsidRPr="001531CD">
        <w:lastRenderedPageBreak/>
        <w:t>1.</w:t>
      </w:r>
      <w:r w:rsidRPr="001531CD">
        <w:tab/>
        <w:t>to purchase or make contracts to purchase agricultural loans made by lenders to borrowers; and</w:t>
      </w:r>
    </w:p>
    <w:p w14:paraId="5C8BED95" w14:textId="77777777" w:rsidR="00CF626A" w:rsidRPr="001531CD" w:rsidRDefault="00CF626A">
      <w:pPr>
        <w:pStyle w:val="1"/>
      </w:pPr>
      <w:r w:rsidRPr="001531CD">
        <w:t>2.</w:t>
      </w:r>
      <w:r w:rsidRPr="001531CD">
        <w:tab/>
        <w:t>to make loans or contract to make loans to and deposits with certain lending institutions, who will in turn make agricultural loans to borrowers with the proceeds.</w:t>
      </w:r>
    </w:p>
    <w:p w14:paraId="7F265E31" w14:textId="77777777" w:rsidR="00CF626A" w:rsidRPr="001531CD" w:rsidRDefault="00CF626A">
      <w:pPr>
        <w:pStyle w:val="A"/>
      </w:pPr>
      <w:r w:rsidRPr="001531CD">
        <w:t>B.</w:t>
      </w:r>
      <w:r w:rsidRPr="001531CD">
        <w:tab/>
        <w:t>The issuer, pursuant to its powers under the Act has authorized the issuance of bonds and intends to use a portion of the proceeds of the bonds:</w:t>
      </w:r>
    </w:p>
    <w:p w14:paraId="7DF881AC" w14:textId="77777777" w:rsidR="00CF626A" w:rsidRPr="001531CD" w:rsidRDefault="00CF626A">
      <w:pPr>
        <w:pStyle w:val="1"/>
      </w:pPr>
      <w:r w:rsidRPr="001531CD">
        <w:t>1.</w:t>
      </w:r>
      <w:r w:rsidRPr="001531CD">
        <w:tab/>
        <w:t>to purchase without recourse from lenders certain agricultural loans, which are to be originated by the lenders and purchased by the issuer pursuant to agreements and which shall be secured by mortgages and with either a letter of credit or a guaranty; and</w:t>
      </w:r>
    </w:p>
    <w:p w14:paraId="419397B3" w14:textId="77777777" w:rsidR="00CF626A" w:rsidRPr="001531CD" w:rsidRDefault="00CF626A">
      <w:pPr>
        <w:pStyle w:val="1"/>
      </w:pPr>
      <w:r w:rsidRPr="001531CD">
        <w:t>2.</w:t>
      </w:r>
      <w:r w:rsidRPr="001531CD">
        <w:tab/>
        <w:t>to enter into repurchase obligations with certain banks to enable such banks to in turn make agricultural loans to borrowers. Under the Act, the issuer, prior to the purchase or contract to purchase agricultural loans from lenders, and prior to making or contracting to make agricultural loans to certain national banks who will in turn make loans to borrowers, is required to promulgate certain rules and regulations with regard to its loan program. These rules and regulations are intended to comply with this requirement of the Act and with the Administrative Procedure Act, Louisiana Revised Statutes of 1950, as amended, Section 49:950 et seq.</w:t>
      </w:r>
    </w:p>
    <w:p w14:paraId="562F7D60" w14:textId="77777777" w:rsidR="00CF626A" w:rsidRPr="001531CD" w:rsidRDefault="00CF626A">
      <w:pPr>
        <w:pStyle w:val="AuthorityNote"/>
      </w:pPr>
      <w:r w:rsidRPr="001531CD">
        <w:t>AUTHORITY NOTE:</w:t>
      </w:r>
      <w:r w:rsidRPr="001531CD">
        <w:tab/>
        <w:t>Promulgated in accordance with R.S. 3:266(4).</w:t>
      </w:r>
    </w:p>
    <w:p w14:paraId="76E9B36C" w14:textId="77777777"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14:paraId="7E95377B" w14:textId="77777777" w:rsidR="00CF626A" w:rsidRPr="001531CD" w:rsidRDefault="00CF626A">
      <w:pPr>
        <w:pStyle w:val="Section"/>
      </w:pPr>
      <w:bookmarkStart w:id="187" w:name="_Toc256754278"/>
      <w:bookmarkStart w:id="188" w:name="_Toc224818489"/>
      <w:r w:rsidRPr="001531CD">
        <w:t>§131.</w:t>
      </w:r>
      <w:r w:rsidRPr="001531CD">
        <w:tab/>
        <w:t>Types of Loans to be Purchased or Made</w:t>
      </w:r>
      <w:bookmarkEnd w:id="187"/>
      <w:bookmarkEnd w:id="188"/>
    </w:p>
    <w:p w14:paraId="3D7E76A0" w14:textId="77777777" w:rsidR="00CF626A" w:rsidRPr="001531CD" w:rsidRDefault="00CF626A">
      <w:pPr>
        <w:pStyle w:val="A"/>
      </w:pPr>
      <w:r w:rsidRPr="001531CD">
        <w:t>A.</w:t>
      </w:r>
      <w:r w:rsidRPr="001531CD">
        <w:tab/>
        <w:t>The issuer shall only purchase agricultural loans made by lenders or enter into repurchase obligations with certain national banks who will in turn make agricultural loans to borrowers.</w:t>
      </w:r>
    </w:p>
    <w:p w14:paraId="3799A53A" w14:textId="77777777" w:rsidR="00CF626A" w:rsidRPr="001531CD" w:rsidRDefault="00CF626A">
      <w:pPr>
        <w:pStyle w:val="A"/>
      </w:pPr>
      <w:r w:rsidRPr="001531CD">
        <w:t>B.</w:t>
      </w:r>
      <w:r w:rsidRPr="001531CD">
        <w:tab/>
        <w:t>Acquisition of Eligible Loans</w:t>
      </w:r>
    </w:p>
    <w:p w14:paraId="1C647864" w14:textId="77777777" w:rsidR="00CF626A" w:rsidRPr="001531CD" w:rsidRDefault="00CF626A">
      <w:pPr>
        <w:pStyle w:val="1"/>
      </w:pPr>
      <w:r w:rsidRPr="001531CD">
        <w:t>1.</w:t>
      </w:r>
      <w:r w:rsidRPr="001531CD">
        <w:tab/>
        <w:t>Moneys in the loan fund shall be used only for the acquisition of eligible loans pursuant to agreements or to enter into repurchase obligations, as described below. No eligible loan shall be purchased unless such eligible loan bears interest, payable semiannually on April 1 and October 1 of each year, at a rate no less than 9.10 percent, and matures no later than October 1, 1996. No repurchase obligation shall be entered into unless such repurchase obligation carries with it an interest component as a part of the resale price of 9.10 percent, and matures no later than October 1, 1996. No eligible loan or repurchase obligation shall be purchased unless it requires that any principal amounts prepaid under such eligible loan or repurchase obligation, for whatever reason, shall be paid to the trustee in accordance with Section 4.14 of the Indenture, and in no event shall any prepayment (including prepayments due to casualty or condemnation) be in an amount less than $100,000. Prior to the disbursement of any funds from the loan fund to acquire an eligible loan or enter into a repurchase obligation, the trustee shall complete a program checklist and submit the same to the issuer and to Standard and Poor's Corporation.</w:t>
      </w:r>
    </w:p>
    <w:p w14:paraId="556B5165" w14:textId="77777777" w:rsidR="00CF626A" w:rsidRPr="001531CD" w:rsidRDefault="00CF626A">
      <w:pPr>
        <w:pStyle w:val="1"/>
      </w:pPr>
      <w:r w:rsidRPr="001531CD">
        <w:t>2.</w:t>
      </w:r>
      <w:r w:rsidRPr="001531CD">
        <w:tab/>
        <w:t xml:space="preserve">Moneys in the loan fund shall be used to acquire any eligible loans presented to the issuer and the trustee by a lender in accordance with the provisions set forth herein, pursuant to an agreement at a price described below upon receipt by the trustee of all documents, opinions and certificates required in the agreement and the program checklist. Each eligible loan shall be purchased at a purchase price of 99.78 percent of the outstanding principal amount of such eligible loan, less a surrender charge (as that term is defined in the investment agreement and which shall be payable to the insurance company), in the amount determined by the investment agreement provided that the purchase price of an eligible loan shall not be in an amount less than $100,000 and shall not exceed $5,000,000. The average principal amount of eligible loans must be at least $500,000. </w:t>
      </w:r>
      <w:r w:rsidR="0034445B" w:rsidRPr="001531CD">
        <w:t>E</w:t>
      </w:r>
      <w:r w:rsidRPr="001531CD">
        <w:t>ligible loans may not be acquired after September 30, 1991, and the total amount of withdrawals (as such term is defined in the investment agreement) at any point in time shall not exceed the applicable maximum cumulative withdrawal amounts (as defined in the investment agreement). Payments made by a credit provider under a letter of credit or guaranty shall be applied as a credit against amounts owing by a borrower under a financed eligible loan with respect to which such letter of credit or guaranty was issued.</w:t>
      </w:r>
    </w:p>
    <w:p w14:paraId="111E6AF5" w14:textId="77777777" w:rsidR="00CF626A" w:rsidRPr="001531CD" w:rsidRDefault="00CF626A">
      <w:pPr>
        <w:pStyle w:val="1"/>
      </w:pPr>
      <w:r w:rsidRPr="001531CD">
        <w:t>3.</w:t>
      </w:r>
      <w:r w:rsidRPr="001531CD">
        <w:tab/>
        <w:t>The issuer will cooperate with each lender, and shall require each lender to cooperate with the issuer, such that all accrued interest through the date on which the eligible loan is acquired by the issuer is paid directly or reimbursed to each lender.</w:t>
      </w:r>
    </w:p>
    <w:p w14:paraId="56F9F59F" w14:textId="77777777" w:rsidR="00CF626A" w:rsidRPr="001531CD" w:rsidRDefault="00CF626A">
      <w:pPr>
        <w:pStyle w:val="1"/>
      </w:pPr>
      <w:r w:rsidRPr="001531CD">
        <w:t>4.</w:t>
      </w:r>
      <w:r w:rsidRPr="001531CD">
        <w:tab/>
        <w:t>Each eligible loan shall be secured by an irrevocable letter of credit, a guaranty, or a comparable instrument which shall effectively guarantee payment of all principal and interest on such eligible loan, such letter of credit, guaranty or comparable instrument being issued by a credit provider whose long-term unsecured debt rating is rated at least as high as the initial rating on the bonds, as confirmed in writing by Standard and Poor's Corporation, or, if not so rated (and then only in the case of a letter of credit delivered by a savings and loan association insured by FSLIC or a state-chartered banking association insured by FDIC such credit provider shall pledge securities sufficient to maintain the initial rating on the bonds; the types of eligible collateral securities, and the level of collateralization required for each type of collateral security in order to obtain such a rating from Standard and Poor's Corporation, are set forth in Exhibit F; provided that if any such securities to be pledged consist of FHA/VA Mortgage Notes, Conventional Mortgage Notes, FHA/VA Mortgage Notes</w:t>
      </w:r>
      <w:r w:rsidR="005B1246" w:rsidRPr="001531CD">
        <w:t>―</w:t>
      </w:r>
      <w:r w:rsidRPr="001531CD">
        <w:t>ARMS and Conventional Mortgage Notes</w:t>
      </w:r>
      <w:r w:rsidR="005B1246" w:rsidRPr="001531CD">
        <w:t>―</w:t>
      </w:r>
      <w:r w:rsidRPr="001531CD">
        <w:t>ARMS (as those terms are used in the Collateral Pledge Agreement FSLIC), then prior to the acquisition of the eligible loan the trustee shall receive notice from Standard and Poor's Corporation (at the expense of the respective borrower) to the effect that the delivery of FHA/VA Mortgage Notes, Conventional Mortgage Notes, FHA/VA Mortgage Notes</w:t>
      </w:r>
      <w:r w:rsidR="005B1246" w:rsidRPr="001531CD">
        <w:t>―</w:t>
      </w:r>
      <w:r w:rsidRPr="001531CD">
        <w:t>ARMS and Conventional Mortgage Notes</w:t>
      </w:r>
      <w:r w:rsidR="005B1246" w:rsidRPr="001531CD">
        <w:t>―</w:t>
      </w:r>
      <w:r w:rsidRPr="001531CD">
        <w:t xml:space="preserve">ARMS by such credit provider will not adversely affect the rating on the bonds. In the event that an eligible loan is to be secured by an instrument other than a letter of credit or a guaranty in precisely the forms attached to the Indenture, such eligible </w:t>
      </w:r>
      <w:r w:rsidRPr="001531CD">
        <w:lastRenderedPageBreak/>
        <w:t>loan shall not be purchased with bond proceeds until such time as the trustee receives written confirmation from Standard and Poor's Corporation (at the expense of the respective borrower) that such purchase will not adversely affect the rating of the bonds.</w:t>
      </w:r>
    </w:p>
    <w:p w14:paraId="4E50AC94" w14:textId="77777777" w:rsidR="00CF626A" w:rsidRPr="001531CD" w:rsidRDefault="00CF626A">
      <w:pPr>
        <w:pStyle w:val="A"/>
      </w:pPr>
      <w:r w:rsidRPr="001531CD">
        <w:t>C.</w:t>
      </w:r>
      <w:r w:rsidRPr="001531CD">
        <w:tab/>
        <w:t xml:space="preserve">Repurchase Obligations. Moneys in the loan fund shall also be used by the issuer to enter into any repurchase obligation presented to it by a credit provider in accordance with the provisions set forth herein (to enable such credit provider to in turn finance an eligible loan). Securities purchased under a repurchase obligation shall be purchased at a price of 99.78 percent of the purchase price, less a surrender charge (as that term is defined in the investment agreement and which shall be payable to the insurance company) in the amount determined by the investment agreement. The purchase price of a repurchase obligation shall not be in an amount less than $100,000 and shall not exceed $5,000,000. The average principal amount of repurchase obligations must be at least $500,000. Repurchase </w:t>
      </w:r>
      <w:r w:rsidR="00A0014C" w:rsidRPr="001531CD">
        <w:t>ob</w:t>
      </w:r>
      <w:r w:rsidRPr="001531CD">
        <w:t>ligations may not be acquired after September 30, 1991, and the total amount of withdrawals (as such term is defined in the investment agreement) at any point in time shall not exceed the applicable maximum cumulative withdrawal amounts (as defined in the investment agreement).</w:t>
      </w:r>
    </w:p>
    <w:p w14:paraId="07F97F1D" w14:textId="77777777" w:rsidR="00CF626A" w:rsidRPr="001531CD" w:rsidRDefault="00CF626A">
      <w:pPr>
        <w:pStyle w:val="A"/>
      </w:pPr>
      <w:r w:rsidRPr="001531CD">
        <w:t>D.</w:t>
      </w:r>
      <w:r w:rsidRPr="001531CD">
        <w:tab/>
        <w:t>There shall be included as a provision to every loan note, the agreement of the maker thereof to the effect that the loan note shall continue to bear interest until such time as the trustee has on deposit available moneys representing sufficient funds for the payment of such loan note.</w:t>
      </w:r>
    </w:p>
    <w:p w14:paraId="098E2ABE" w14:textId="77777777" w:rsidR="00CF626A" w:rsidRPr="001531CD" w:rsidRDefault="00CF626A">
      <w:pPr>
        <w:pStyle w:val="A"/>
      </w:pPr>
      <w:r w:rsidRPr="001531CD">
        <w:t>E.</w:t>
      </w:r>
      <w:r w:rsidRPr="001531CD">
        <w:tab/>
        <w:t>No eligible loan shall be purchased by the trustee, and no repurchase obligation shall be entered into by the trustee, during any period commencing with the date which would (if such eligible loan were otherwise purchased) constitute a draw date for such eligible loan and ending on the immediately succeeding interest payment date.</w:t>
      </w:r>
    </w:p>
    <w:p w14:paraId="2E0A7F22" w14:textId="77777777" w:rsidR="00CF626A" w:rsidRPr="001531CD" w:rsidRDefault="00CF626A">
      <w:pPr>
        <w:pStyle w:val="AuthorityNote"/>
      </w:pPr>
      <w:r w:rsidRPr="001531CD">
        <w:t>AUTHORITY NOTE:</w:t>
      </w:r>
      <w:r w:rsidRPr="001531CD">
        <w:tab/>
        <w:t>Promulgated in accordance with R.S. 3:266(4).</w:t>
      </w:r>
    </w:p>
    <w:p w14:paraId="63BC1976" w14:textId="77777777"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14:paraId="4229A31A" w14:textId="77777777" w:rsidR="00CF626A" w:rsidRPr="001531CD" w:rsidRDefault="00CF626A" w:rsidP="0034445B">
      <w:pPr>
        <w:pStyle w:val="Section"/>
        <w:spacing w:after="80"/>
      </w:pPr>
      <w:bookmarkStart w:id="189" w:name="_Toc256754279"/>
      <w:bookmarkStart w:id="190" w:name="_Toc224818490"/>
      <w:r w:rsidRPr="001531CD">
        <w:t>§133.</w:t>
      </w:r>
      <w:r w:rsidRPr="001531CD">
        <w:tab/>
        <w:t>The Credit Provider</w:t>
      </w:r>
      <w:bookmarkEnd w:id="189"/>
      <w:bookmarkEnd w:id="190"/>
    </w:p>
    <w:p w14:paraId="5262F11D" w14:textId="77777777" w:rsidR="00CF626A" w:rsidRPr="001531CD" w:rsidRDefault="00CF626A" w:rsidP="0034445B">
      <w:pPr>
        <w:pStyle w:val="A"/>
        <w:spacing w:after="80"/>
      </w:pPr>
      <w:r w:rsidRPr="001531CD">
        <w:t>A.</w:t>
      </w:r>
      <w:r w:rsidRPr="001531CD">
        <w:tab/>
        <w:t>The following financial institutions shall qualify as credit providers and shall meet the following conditions.</w:t>
      </w:r>
    </w:p>
    <w:p w14:paraId="38C8C91E" w14:textId="77777777" w:rsidR="00CF626A" w:rsidRPr="001531CD" w:rsidRDefault="00CF626A" w:rsidP="0034445B">
      <w:pPr>
        <w:pStyle w:val="1"/>
        <w:spacing w:after="80"/>
      </w:pPr>
      <w:r w:rsidRPr="001531CD">
        <w:t>1.</w:t>
      </w:r>
      <w:r w:rsidRPr="001531CD">
        <w:tab/>
        <w:t>A savings and loan association insured by FSLIC may act as credit provider and shall deliver a letter of credit and in the event such savings and loan association does not have a long-term unsecured debt rating by Standard and Poor's Corporation at least equal to the initial rating on the bonds, such letter of credit shall be collateralized in accordance with a Collateral Pledge Agreement (FSLIC) which shall be delivered to the Trustee.</w:t>
      </w:r>
    </w:p>
    <w:p w14:paraId="09D846BD" w14:textId="77777777" w:rsidR="00CF626A" w:rsidRPr="001531CD" w:rsidRDefault="00CF626A" w:rsidP="0034445B">
      <w:pPr>
        <w:pStyle w:val="1"/>
        <w:spacing w:after="80"/>
      </w:pPr>
      <w:r w:rsidRPr="001531CD">
        <w:t>2.</w:t>
      </w:r>
      <w:r w:rsidRPr="001531CD">
        <w:tab/>
        <w:t>A national bank may act as a credit provider and if it does not have a long-term credit rating at least equal to the initial rating on the bonds, shall enter into a repurchase obligation which shall be delivered to the trustee.</w:t>
      </w:r>
    </w:p>
    <w:p w14:paraId="491E7509" w14:textId="77777777" w:rsidR="00CF626A" w:rsidRPr="001531CD" w:rsidRDefault="00CF626A" w:rsidP="0034445B">
      <w:pPr>
        <w:pStyle w:val="1"/>
        <w:spacing w:after="80"/>
      </w:pPr>
      <w:r w:rsidRPr="001531CD">
        <w:t>3.</w:t>
      </w:r>
      <w:r w:rsidRPr="001531CD">
        <w:tab/>
        <w:t xml:space="preserve">Any national bank which has an unsecured </w:t>
      </w:r>
      <w:r w:rsidR="006C00E7" w:rsidRPr="001531CD">
        <w:br/>
      </w:r>
      <w:r w:rsidRPr="001531CD">
        <w:t xml:space="preserve">long-term debt rating by Standard and Poor's Corporation at </w:t>
      </w:r>
      <w:r w:rsidRPr="001531CD">
        <w:t>least equal to the initial rating on the bonds may act as a credit provider and shall deliver an unsecured letter of credit.</w:t>
      </w:r>
    </w:p>
    <w:p w14:paraId="307CB2D6" w14:textId="77777777" w:rsidR="00CF626A" w:rsidRPr="001531CD" w:rsidRDefault="00CF626A">
      <w:pPr>
        <w:pStyle w:val="1"/>
      </w:pPr>
      <w:r w:rsidRPr="001531CD">
        <w:t>4.</w:t>
      </w:r>
      <w:r w:rsidRPr="001531CD">
        <w:tab/>
        <w:t>A state chartered bank insured by FDIC may act as a credit provider and shall deliver a letter of credit, and in the event such state-chartered bank does not have a long-term unsecured debt rating by Standard and Poor's Corporation at least equal to the initial rating on the bonds, such letter of credit shall be collateralized in accordance with a Collateral Pledge Agreement (FDIC) which shall be delivered to the trustee.</w:t>
      </w:r>
    </w:p>
    <w:p w14:paraId="3AE58A0B" w14:textId="77777777" w:rsidR="00CF626A" w:rsidRPr="001531CD" w:rsidRDefault="00CF626A">
      <w:pPr>
        <w:pStyle w:val="1"/>
      </w:pPr>
      <w:r w:rsidRPr="001531CD">
        <w:t>5.</w:t>
      </w:r>
      <w:r w:rsidRPr="001531CD">
        <w:tab/>
        <w:t>Any other legal entity may act as a credit provider which has a long-term unsecured debt rating (or, in the case of an insurance company, a claims-paying ability rating) by Standard and Poor's Corporation at least equal to the initial rating on the bonds and may only deliver a guaranty.</w:t>
      </w:r>
    </w:p>
    <w:p w14:paraId="12ED9AB8" w14:textId="77777777" w:rsidR="00CF626A" w:rsidRPr="001531CD" w:rsidRDefault="00CF626A">
      <w:pPr>
        <w:pStyle w:val="AuthorityNote"/>
      </w:pPr>
      <w:r w:rsidRPr="001531CD">
        <w:t>AUTHORITY NOTE:</w:t>
      </w:r>
      <w:r w:rsidRPr="001531CD">
        <w:tab/>
        <w:t>Promulgated in accordance with R.S. 3:266(4).</w:t>
      </w:r>
    </w:p>
    <w:p w14:paraId="40554CB3" w14:textId="77777777" w:rsidR="00CF626A" w:rsidRPr="001531CD" w:rsidRDefault="00CF626A">
      <w:pPr>
        <w:pStyle w:val="HistoricalNote"/>
      </w:pPr>
      <w:r w:rsidRPr="001531CD">
        <w:t>HISTORICAL NOTE:</w:t>
      </w:r>
      <w:r w:rsidRPr="001531CD">
        <w:tab/>
        <w:t>Promulgated by the Department of Agriculture and Forestry, Agricultural Finance Authority, LR 17:166 (February 1991).</w:t>
      </w:r>
    </w:p>
    <w:p w14:paraId="236C5049" w14:textId="77777777" w:rsidR="00CF626A" w:rsidRPr="001531CD" w:rsidRDefault="00CF626A">
      <w:pPr>
        <w:pStyle w:val="Section"/>
      </w:pPr>
      <w:bookmarkStart w:id="191" w:name="_Toc256754280"/>
      <w:bookmarkStart w:id="192" w:name="_Toc224818491"/>
      <w:r w:rsidRPr="001531CD">
        <w:t>§135.</w:t>
      </w:r>
      <w:r w:rsidRPr="001531CD">
        <w:tab/>
        <w:t>Procedure Required for Funding Agricultural Loans with Proceeds of the Bonds</w:t>
      </w:r>
      <w:bookmarkEnd w:id="191"/>
      <w:bookmarkEnd w:id="192"/>
      <w:r w:rsidRPr="001531CD">
        <w:t xml:space="preserve"> </w:t>
      </w:r>
    </w:p>
    <w:p w14:paraId="0D50D185" w14:textId="77777777" w:rsidR="00CF626A" w:rsidRPr="001531CD" w:rsidRDefault="00CF626A">
      <w:pPr>
        <w:pStyle w:val="A"/>
      </w:pPr>
      <w:r w:rsidRPr="001531CD">
        <w:t>A.</w:t>
      </w:r>
      <w:r w:rsidRPr="001531CD">
        <w:tab/>
        <w:t>Initiation of Eligible Loan Purchase. A lender may submit to the issuer, the trustee and the co-trustee a proposal to sell agricultural loans in substantially the form attached as Exhibit B hereto. Such form shall include a description of the rates, fees and terms of the loans made by the lender to the borrower and a description of the project financed, including its location and characteristics The lender shall also describe the security for the loan. Upon receipt of a proposal to sell agricultural loans, the issuer, the trustee and the co-trustee, on behalf of the issuer, shall review such proposal. If the issuer determines that the loans to be purchased are agricultural loans and that the loans to be purchased are eligible loans meeting the requirements of the Act, the issuer shall be empowered to send a conditional approval, in substantially the form attached as Exhibit C hereto, to the lender. The form of agreement shall be enclosed with the conditional approval.</w:t>
      </w:r>
    </w:p>
    <w:p w14:paraId="70829C5A" w14:textId="77777777" w:rsidR="00CF626A" w:rsidRPr="001531CD" w:rsidRDefault="00CF626A">
      <w:pPr>
        <w:pStyle w:val="A"/>
      </w:pPr>
      <w:r w:rsidRPr="001531CD">
        <w:t>B.</w:t>
      </w:r>
      <w:r w:rsidRPr="001531CD">
        <w:tab/>
        <w:t>Initiation of Repurchase Obligation. A national bank may submit to the issuer, the trustee and the co-trustee a proposal to enter into repurchase obligation in substantially the form attached as Exhibit D hereto. Such form shall include a description of the rates, fees, and terms of the loans to be made by the national bank to the borrower and a description of the project financed, including its location and characteristics. The national bank shall also describe the security for the loan. Upon receipt of a proposal to enter into repurchase obligation, the issuer, the trustee and the co-trustee, on behalf of the issuer, shall review such proposal. If the issuer determines that the loans to be made by the national bank are agricultural loans and determines that the loans to be made by the national bank are eligible loans meeting the requirements of the Act, the issuer shall be empowered to send a conditional approval, in substantially the form attached as Exhibit E hereto, to the national bank. The form of the repurchase obligation shall be enclosed with the conditional approval.</w:t>
      </w:r>
    </w:p>
    <w:p w14:paraId="5DB51C02" w14:textId="77777777" w:rsidR="00CF626A" w:rsidRPr="001531CD" w:rsidRDefault="00CF626A">
      <w:pPr>
        <w:pStyle w:val="A"/>
      </w:pPr>
      <w:r w:rsidRPr="001531CD">
        <w:lastRenderedPageBreak/>
        <w:t>C.</w:t>
      </w:r>
      <w:r w:rsidRPr="001531CD">
        <w:tab/>
        <w:t>Procedure to Purchase Eligible Loan. Upon execution of the agricultural loan purchase agreement by the lender, the lender shall return and the trustee, on behalf of the issuer, shall receive the agreement, which must be signed by the lender within 14 days of postmark date of the conditional approval. The issuer shall then sign the agreement and notify the trustee. The trustee shall establish a loan closing date. The trustee shall, by date telephonic notice, inform the issuer and the lender of such date. Such date is referred to herein as the "Loan Purchase Date". On the loan purchase date, and upon completion of the program checklist by the trustee, which shall be forwarded to the issuer and Standard and Poor's Corporation, the issuer shall direct the trustee to disburse moneys from the loan fund for loan purchase.</w:t>
      </w:r>
    </w:p>
    <w:p w14:paraId="0800678D" w14:textId="77777777" w:rsidR="00CF626A" w:rsidRPr="001531CD" w:rsidRDefault="00CF626A">
      <w:pPr>
        <w:pStyle w:val="A"/>
      </w:pPr>
      <w:r w:rsidRPr="001531CD">
        <w:t>D.</w:t>
      </w:r>
      <w:r w:rsidRPr="001531CD">
        <w:tab/>
        <w:t>Procedure to Enter into Repurchase Obligation. Upon execution of the repurchase obligation by the national bank, the national bank shall return and the trustee, on behalf of the issuer, shall receive the repurchase obligation which must be signed by the national bank with 14 days of postmark date of the conditional approval. The issuer shall then sign the repurchase obligation and notify trustee. The trustee shall establish a loan closing date. The trustee shall, by telephonic notice, inform the issuer and the national bank of such purchase date, and upon completion of the program checklist by the trustee, which shall be forwarded to the issuer and Standard and Poor's Corporation, the issuer shall direct the trustee to disburse moneys from the loan fund for the purpose of making a loan to the national bank.</w:t>
      </w:r>
    </w:p>
    <w:p w14:paraId="12913224" w14:textId="77777777" w:rsidR="00CF626A" w:rsidRPr="001531CD" w:rsidRDefault="00CF626A">
      <w:pPr>
        <w:pStyle w:val="AuthorityNote"/>
      </w:pPr>
      <w:r w:rsidRPr="001531CD">
        <w:t>AUTHORITY NOTE:</w:t>
      </w:r>
      <w:r w:rsidRPr="001531CD">
        <w:tab/>
        <w:t>Promulgated in accordance with R.S. 3:266(4).</w:t>
      </w:r>
    </w:p>
    <w:p w14:paraId="673D3F1B" w14:textId="77777777" w:rsidR="00CF626A" w:rsidRPr="001531CD" w:rsidRDefault="00CF626A">
      <w:pPr>
        <w:pStyle w:val="HistoricalNote"/>
      </w:pPr>
      <w:r w:rsidRPr="001531CD">
        <w:t>HISTORICAL NOTE:</w:t>
      </w:r>
      <w:r w:rsidRPr="001531CD">
        <w:tab/>
        <w:t>Promulgated by the Department of Agriculture and Forestry, Agricultural Finance Authority, LR 17:166 (February 1991).</w:t>
      </w:r>
    </w:p>
    <w:p w14:paraId="33AAD935" w14:textId="77777777" w:rsidR="00CF626A" w:rsidRPr="001531CD" w:rsidRDefault="00CF626A">
      <w:pPr>
        <w:pStyle w:val="Section"/>
      </w:pPr>
      <w:bookmarkStart w:id="193" w:name="_Toc256754281"/>
      <w:bookmarkStart w:id="194" w:name="_Toc224818492"/>
      <w:r w:rsidRPr="001531CD">
        <w:t>§137.</w:t>
      </w:r>
      <w:r w:rsidRPr="001531CD">
        <w:tab/>
        <w:t>Amendment to Program Guidelines</w:t>
      </w:r>
      <w:bookmarkEnd w:id="193"/>
      <w:bookmarkEnd w:id="194"/>
    </w:p>
    <w:p w14:paraId="3C5B9D65" w14:textId="77777777" w:rsidR="00CF626A" w:rsidRPr="001531CD" w:rsidRDefault="00CF626A">
      <w:pPr>
        <w:pStyle w:val="A"/>
      </w:pPr>
      <w:r w:rsidRPr="001531CD">
        <w:t>A.</w:t>
      </w:r>
      <w:r w:rsidRPr="001531CD">
        <w:tab/>
        <w:t>The Program Guidelines, Exhibit B of the indenture, may not be amended by the issuer, trustee, or co-trustee at any time.</w:t>
      </w:r>
    </w:p>
    <w:p w14:paraId="21B20F0C" w14:textId="77777777" w:rsidR="00CF626A" w:rsidRPr="001531CD" w:rsidRDefault="00CF626A">
      <w:pPr>
        <w:pStyle w:val="AuthorityNote"/>
      </w:pPr>
      <w:r w:rsidRPr="001531CD">
        <w:t>AUTHORITY NOTE:</w:t>
      </w:r>
      <w:r w:rsidRPr="001531CD">
        <w:tab/>
        <w:t>Promulgated in accordance with R.S. 3:266(4).</w:t>
      </w:r>
    </w:p>
    <w:p w14:paraId="46F813A7" w14:textId="77777777" w:rsidR="00CF626A" w:rsidRPr="001531CD" w:rsidRDefault="00CF626A">
      <w:pPr>
        <w:pStyle w:val="HistoricalNote"/>
      </w:pPr>
      <w:r w:rsidRPr="001531CD">
        <w:t>HISTORICAL NOTE:</w:t>
      </w:r>
      <w:r w:rsidRPr="001531CD">
        <w:tab/>
        <w:t>Promulgated by the Department of Agriculture and Forestry, Agricultural Finance Authority, LR 17:167 (February 1991).</w:t>
      </w:r>
    </w:p>
    <w:p w14:paraId="3616D4C5" w14:textId="77777777" w:rsidR="00CF626A" w:rsidRPr="001531CD" w:rsidRDefault="00CF626A">
      <w:pPr>
        <w:pStyle w:val="Section"/>
        <w:ind w:left="0" w:firstLine="0"/>
      </w:pPr>
      <w:bookmarkStart w:id="195" w:name="_Toc256754282"/>
      <w:bookmarkStart w:id="196" w:name="_Toc224818493"/>
      <w:r w:rsidRPr="001531CD">
        <w:t>§138.</w:t>
      </w:r>
      <w:r w:rsidRPr="001531CD">
        <w:tab/>
        <w:t>Funding Forms</w:t>
      </w:r>
      <w:bookmarkEnd w:id="195"/>
      <w:bookmarkEnd w:id="196"/>
    </w:p>
    <w:p w14:paraId="24ED6102" w14:textId="77777777" w:rsidR="00CF626A" w:rsidRPr="001531CD" w:rsidRDefault="00817FAD" w:rsidP="00F03863">
      <w:pPr>
        <w:pStyle w:val="Section"/>
        <w:jc w:val="center"/>
        <w:outlineLvl w:val="0"/>
      </w:pPr>
      <w:bookmarkStart w:id="197" w:name="_Toc235869539"/>
      <w:bookmarkStart w:id="198" w:name="_Toc254254841"/>
      <w:bookmarkStart w:id="199" w:name="_Toc256754283"/>
      <w:bookmarkStart w:id="200" w:name="_Toc264623744"/>
      <w:bookmarkStart w:id="201" w:name="_Toc283622442"/>
      <w:bookmarkStart w:id="202" w:name="_Toc285803607"/>
      <w:bookmarkStart w:id="203" w:name="_Toc306600849"/>
      <w:bookmarkStart w:id="204" w:name="_Toc312136875"/>
      <w:bookmarkStart w:id="205" w:name="_Toc322411166"/>
      <w:bookmarkStart w:id="206" w:name="_Toc338237670"/>
      <w:bookmarkStart w:id="207" w:name="_Toc348951211"/>
      <w:bookmarkStart w:id="208" w:name="_Toc361749611"/>
      <w:bookmarkStart w:id="209" w:name="_Toc372623755"/>
      <w:bookmarkStart w:id="210" w:name="_Toc375025054"/>
      <w:bookmarkStart w:id="211" w:name="_Toc386109940"/>
      <w:bookmarkStart w:id="212" w:name="_Toc388357773"/>
      <w:bookmarkStart w:id="213" w:name="_Toc396114677"/>
      <w:bookmarkStart w:id="214" w:name="_Toc411855063"/>
      <w:bookmarkStart w:id="215" w:name="_Toc419795264"/>
      <w:bookmarkStart w:id="216" w:name="_Toc427736652"/>
      <w:bookmarkStart w:id="217" w:name="_Toc438546452"/>
      <w:bookmarkStart w:id="218" w:name="_Toc446326436"/>
      <w:bookmarkStart w:id="219" w:name="_Toc448824621"/>
      <w:bookmarkStart w:id="220" w:name="_Toc451505665"/>
      <w:bookmarkStart w:id="221" w:name="_Toc462212088"/>
      <w:bookmarkStart w:id="222" w:name="_Toc468096008"/>
      <w:bookmarkStart w:id="223" w:name="_Toc477853486"/>
      <w:bookmarkStart w:id="224" w:name="_Toc488735430"/>
      <w:bookmarkStart w:id="225" w:name="_Toc491176247"/>
      <w:bookmarkStart w:id="226" w:name="_Toc509393164"/>
      <w:bookmarkStart w:id="227" w:name="_Toc525114331"/>
      <w:bookmarkStart w:id="228" w:name="_Toc535996728"/>
      <w:bookmarkStart w:id="229" w:name="_Toc33439470"/>
      <w:bookmarkStart w:id="230" w:name="_Toc57884305"/>
      <w:bookmarkStart w:id="231" w:name="_Toc77839488"/>
      <w:bookmarkStart w:id="232" w:name="_Toc78883661"/>
      <w:bookmarkStart w:id="233" w:name="_Toc90989186"/>
      <w:bookmarkStart w:id="234" w:name="_Toc98918387"/>
      <w:bookmarkStart w:id="235" w:name="_Toc101426798"/>
      <w:bookmarkStart w:id="236" w:name="_Toc112162469"/>
      <w:bookmarkStart w:id="237" w:name="_Toc119930081"/>
      <w:bookmarkStart w:id="238" w:name="_Toc128048057"/>
      <w:bookmarkStart w:id="239" w:name="_Toc164249641"/>
      <w:bookmarkStart w:id="240" w:name="_Toc189048109"/>
      <w:bookmarkStart w:id="241" w:name="_Toc201138766"/>
      <w:bookmarkStart w:id="242" w:name="_Toc201146017"/>
      <w:bookmarkStart w:id="243" w:name="_Toc224818494"/>
      <w:r w:rsidRPr="001531CD">
        <w:t>E</w:t>
      </w:r>
      <w:r w:rsidR="00CF626A" w:rsidRPr="001531CD">
        <w:t>xhibit A</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1AF6297" w14:textId="77777777" w:rsidR="00CF626A" w:rsidRPr="001531CD" w:rsidRDefault="00CF626A">
      <w:pPr>
        <w:pStyle w:val="A"/>
        <w:jc w:val="center"/>
      </w:pPr>
      <w:r w:rsidRPr="001531CD">
        <w:t>TRUST INDENTURE</w:t>
      </w:r>
    </w:p>
    <w:p w14:paraId="00662508" w14:textId="77777777" w:rsidR="00CF626A" w:rsidRPr="001531CD" w:rsidRDefault="00CF626A">
      <w:pPr>
        <w:pStyle w:val="LACNote"/>
        <w:ind w:left="432" w:right="432"/>
      </w:pPr>
      <w:r w:rsidRPr="001531CD">
        <w:rPr>
          <w:caps/>
        </w:rPr>
        <w:t>Editor's Note:</w:t>
      </w:r>
      <w:r w:rsidRPr="001531CD">
        <w:t xml:space="preserve"> This exhibit may be obtained in its entirety from the Department of Agriculture and Forestry, Agricultural Finance Authority, 5825 Florida Boulevard, Baton Rouge, LA 70806.</w:t>
      </w:r>
    </w:p>
    <w:p w14:paraId="69A76624" w14:textId="77777777" w:rsidR="00CF626A" w:rsidRPr="001531CD" w:rsidRDefault="001C11D2" w:rsidP="00F03863">
      <w:pPr>
        <w:pStyle w:val="Section"/>
        <w:jc w:val="center"/>
        <w:outlineLvl w:val="0"/>
        <w:rPr>
          <w:bCs/>
        </w:rPr>
      </w:pPr>
      <w:bookmarkStart w:id="244" w:name="_Toc235869540"/>
      <w:bookmarkStart w:id="245" w:name="_Toc254254842"/>
      <w:bookmarkStart w:id="246" w:name="_Toc256754284"/>
      <w:bookmarkStart w:id="247" w:name="_Toc264623745"/>
      <w:bookmarkStart w:id="248" w:name="_Toc283622443"/>
      <w:bookmarkStart w:id="249" w:name="_Toc285803608"/>
      <w:bookmarkStart w:id="250" w:name="_Toc306600850"/>
      <w:bookmarkStart w:id="251" w:name="_Toc312136876"/>
      <w:bookmarkStart w:id="252" w:name="_Toc322411167"/>
      <w:bookmarkStart w:id="253" w:name="_Toc338237671"/>
      <w:bookmarkStart w:id="254" w:name="_Toc348951212"/>
      <w:bookmarkStart w:id="255" w:name="_Toc361749612"/>
      <w:bookmarkStart w:id="256" w:name="_Toc372623756"/>
      <w:bookmarkStart w:id="257" w:name="_Toc375025055"/>
      <w:bookmarkStart w:id="258" w:name="_Toc386109941"/>
      <w:bookmarkStart w:id="259" w:name="_Toc388357774"/>
      <w:bookmarkStart w:id="260" w:name="_Toc396114678"/>
      <w:bookmarkStart w:id="261" w:name="_Toc411855064"/>
      <w:bookmarkStart w:id="262" w:name="_Toc419795265"/>
      <w:bookmarkStart w:id="263" w:name="_Toc427736653"/>
      <w:bookmarkStart w:id="264" w:name="_Toc438546453"/>
      <w:bookmarkStart w:id="265" w:name="_Toc446326437"/>
      <w:bookmarkStart w:id="266" w:name="_Toc448824622"/>
      <w:bookmarkStart w:id="267" w:name="_Toc451505666"/>
      <w:bookmarkStart w:id="268" w:name="_Toc462212089"/>
      <w:bookmarkStart w:id="269" w:name="_Toc468096009"/>
      <w:bookmarkStart w:id="270" w:name="_Toc477853487"/>
      <w:bookmarkStart w:id="271" w:name="_Toc488735431"/>
      <w:bookmarkStart w:id="272" w:name="_Toc491176248"/>
      <w:bookmarkStart w:id="273" w:name="_Toc509393165"/>
      <w:bookmarkStart w:id="274" w:name="_Toc525114332"/>
      <w:bookmarkStart w:id="275" w:name="_Toc535996729"/>
      <w:bookmarkStart w:id="276" w:name="_Toc33439471"/>
      <w:bookmarkStart w:id="277" w:name="_Toc57884306"/>
      <w:bookmarkStart w:id="278" w:name="_Toc77839489"/>
      <w:bookmarkStart w:id="279" w:name="_Toc78883662"/>
      <w:bookmarkStart w:id="280" w:name="_Toc90989187"/>
      <w:bookmarkStart w:id="281" w:name="_Toc98918388"/>
      <w:bookmarkStart w:id="282" w:name="_Toc101426799"/>
      <w:bookmarkStart w:id="283" w:name="_Toc112162470"/>
      <w:bookmarkStart w:id="284" w:name="_Toc119930082"/>
      <w:bookmarkStart w:id="285" w:name="_Toc128048058"/>
      <w:bookmarkStart w:id="286" w:name="_Toc164249642"/>
      <w:bookmarkStart w:id="287" w:name="_Toc189048110"/>
      <w:bookmarkStart w:id="288" w:name="_Toc201138767"/>
      <w:bookmarkStart w:id="289" w:name="_Toc201146018"/>
      <w:bookmarkStart w:id="290" w:name="_Toc224818495"/>
      <w:r w:rsidRPr="001531CD">
        <w:t>E</w:t>
      </w:r>
      <w:r w:rsidR="00CF626A" w:rsidRPr="001531CD">
        <w:t>xhibit B</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560662CC" w14:textId="77777777" w:rsidR="00CF626A" w:rsidRPr="001531CD" w:rsidRDefault="00CF626A">
      <w:pPr>
        <w:pStyle w:val="A"/>
        <w:jc w:val="center"/>
      </w:pPr>
      <w:r w:rsidRPr="001531CD">
        <w:t>FORM OF PROPOSAL TO SELL</w:t>
      </w:r>
    </w:p>
    <w:p w14:paraId="4E090DAA" w14:textId="77777777" w:rsidR="00CF626A" w:rsidRPr="001531CD" w:rsidRDefault="00CF626A">
      <w:pPr>
        <w:pStyle w:val="A"/>
        <w:jc w:val="center"/>
        <w:rPr>
          <w:sz w:val="16"/>
          <w:szCs w:val="16"/>
        </w:rPr>
      </w:pPr>
      <w:r w:rsidRPr="001531CD">
        <w:rPr>
          <w:sz w:val="16"/>
        </w:rPr>
        <w:t>AGRICULTURAL LOANS</w:t>
      </w:r>
    </w:p>
    <w:p w14:paraId="4C5E1FA1" w14:textId="77777777" w:rsidR="00CF626A" w:rsidRPr="001531CD" w:rsidRDefault="00CF626A">
      <w:pPr>
        <w:pStyle w:val="A"/>
        <w:spacing w:after="0"/>
        <w:jc w:val="center"/>
        <w:rPr>
          <w:b/>
          <w:bCs/>
          <w:sz w:val="16"/>
        </w:rPr>
      </w:pPr>
      <w:r w:rsidRPr="001531CD">
        <w:rPr>
          <w:sz w:val="16"/>
        </w:rPr>
        <w:t>LOUISIANA AGRICULTURAL</w:t>
      </w:r>
    </w:p>
    <w:p w14:paraId="51F03A68" w14:textId="77777777" w:rsidR="00CF626A" w:rsidRPr="001531CD" w:rsidRDefault="00CF626A">
      <w:pPr>
        <w:pStyle w:val="A"/>
        <w:jc w:val="center"/>
        <w:rPr>
          <w:sz w:val="16"/>
        </w:rPr>
      </w:pPr>
      <w:r w:rsidRPr="001531CD">
        <w:rPr>
          <w:sz w:val="16"/>
        </w:rPr>
        <w:t>FINANCE AUTHORITY</w:t>
      </w:r>
    </w:p>
    <w:p w14:paraId="07FD763C" w14:textId="77777777" w:rsidR="00CF626A" w:rsidRPr="001531CD" w:rsidRDefault="00CF626A">
      <w:pPr>
        <w:pStyle w:val="A"/>
        <w:spacing w:after="0"/>
        <w:jc w:val="center"/>
        <w:rPr>
          <w:sz w:val="16"/>
        </w:rPr>
      </w:pPr>
      <w:r w:rsidRPr="001531CD">
        <w:rPr>
          <w:sz w:val="16"/>
        </w:rPr>
        <w:t>SECURITIZED AGRICULTURAL</w:t>
      </w:r>
    </w:p>
    <w:p w14:paraId="21AD9618" w14:textId="77777777" w:rsidR="00CF626A" w:rsidRPr="001531CD" w:rsidRDefault="00CF626A">
      <w:pPr>
        <w:pStyle w:val="A"/>
        <w:jc w:val="center"/>
        <w:rPr>
          <w:sz w:val="16"/>
        </w:rPr>
      </w:pPr>
      <w:r w:rsidRPr="001531CD">
        <w:rPr>
          <w:sz w:val="16"/>
        </w:rPr>
        <w:t>REVENUEBOND PROGRAM</w:t>
      </w:r>
    </w:p>
    <w:p w14:paraId="1B63D656" w14:textId="77777777" w:rsidR="00CF626A" w:rsidRPr="001531CD" w:rsidRDefault="00CF626A">
      <w:pPr>
        <w:pStyle w:val="A"/>
        <w:spacing w:after="0"/>
        <w:ind w:left="432" w:right="432" w:firstLine="0"/>
        <w:rPr>
          <w:sz w:val="16"/>
        </w:rPr>
      </w:pPr>
      <w:r w:rsidRPr="001531CD">
        <w:rPr>
          <w:sz w:val="16"/>
        </w:rPr>
        <w:t>Louisiana Agricultural Finance Authority</w:t>
      </w:r>
    </w:p>
    <w:p w14:paraId="60225CE2" w14:textId="77777777" w:rsidR="00CF626A" w:rsidRPr="001531CD" w:rsidRDefault="00CF626A">
      <w:pPr>
        <w:pStyle w:val="A"/>
        <w:spacing w:after="0"/>
        <w:ind w:left="432" w:right="432" w:firstLine="0"/>
        <w:rPr>
          <w:sz w:val="16"/>
        </w:rPr>
      </w:pPr>
      <w:r w:rsidRPr="001531CD">
        <w:rPr>
          <w:sz w:val="16"/>
        </w:rPr>
        <w:t>12055 Airline Highway</w:t>
      </w:r>
    </w:p>
    <w:p w14:paraId="21523A6C" w14:textId="77777777" w:rsidR="00CF626A" w:rsidRPr="001531CD" w:rsidRDefault="00CF626A">
      <w:pPr>
        <w:pStyle w:val="A"/>
        <w:spacing w:after="0"/>
        <w:ind w:left="432" w:right="432" w:firstLine="0"/>
        <w:rPr>
          <w:sz w:val="16"/>
        </w:rPr>
      </w:pPr>
      <w:r w:rsidRPr="001531CD">
        <w:rPr>
          <w:sz w:val="16"/>
        </w:rPr>
        <w:t>Baton Rouge, Louisiana 70816</w:t>
      </w:r>
    </w:p>
    <w:p w14:paraId="6A97FF6C" w14:textId="77777777" w:rsidR="00CF626A" w:rsidRPr="001531CD" w:rsidRDefault="00CF626A">
      <w:pPr>
        <w:pStyle w:val="A"/>
        <w:spacing w:after="0"/>
        <w:ind w:left="432" w:right="432" w:firstLine="0"/>
        <w:rPr>
          <w:sz w:val="16"/>
        </w:rPr>
      </w:pPr>
    </w:p>
    <w:p w14:paraId="642EC94B" w14:textId="77777777" w:rsidR="00CF626A" w:rsidRPr="001531CD" w:rsidRDefault="00CF626A">
      <w:pPr>
        <w:pStyle w:val="A"/>
        <w:spacing w:after="0"/>
        <w:ind w:left="432" w:right="432" w:firstLine="0"/>
        <w:rPr>
          <w:sz w:val="16"/>
        </w:rPr>
      </w:pPr>
      <w:r w:rsidRPr="001531CD">
        <w:rPr>
          <w:sz w:val="16"/>
        </w:rPr>
        <w:t>Sir:</w:t>
      </w:r>
    </w:p>
    <w:p w14:paraId="71ED3422" w14:textId="77777777" w:rsidR="00CF626A" w:rsidRPr="001531CD" w:rsidRDefault="00CF626A">
      <w:pPr>
        <w:pStyle w:val="A"/>
        <w:spacing w:after="0"/>
        <w:ind w:left="432" w:right="432" w:firstLine="0"/>
        <w:rPr>
          <w:sz w:val="16"/>
        </w:rPr>
      </w:pPr>
    </w:p>
    <w:p w14:paraId="33F60027" w14:textId="77777777" w:rsidR="00CF626A" w:rsidRPr="001531CD" w:rsidRDefault="00CF626A">
      <w:pPr>
        <w:pStyle w:val="A"/>
        <w:spacing w:after="60"/>
        <w:ind w:left="432" w:right="432"/>
        <w:rPr>
          <w:sz w:val="16"/>
        </w:rPr>
      </w:pPr>
      <w:r w:rsidRPr="001531CD">
        <w:rPr>
          <w:sz w:val="16"/>
        </w:rPr>
        <w:t xml:space="preserve">   The (Name of Lender) (the "Lender") hereby requests to participate in the Securitized Agricultural Revenue Bond Program of the Louisiana Agricultural Finance Authority (the  "Authority").</w:t>
      </w:r>
    </w:p>
    <w:p w14:paraId="7F709F1F" w14:textId="77777777" w:rsidR="00CF626A" w:rsidRPr="001531CD" w:rsidRDefault="00CF626A" w:rsidP="0034445B">
      <w:pPr>
        <w:pStyle w:val="A"/>
        <w:keepNext/>
        <w:tabs>
          <w:tab w:val="left" w:pos="840"/>
        </w:tabs>
        <w:spacing w:after="60"/>
        <w:ind w:left="432" w:right="432"/>
        <w:rPr>
          <w:sz w:val="16"/>
        </w:rPr>
      </w:pPr>
      <w:r w:rsidRPr="001531CD">
        <w:rPr>
          <w:sz w:val="16"/>
        </w:rPr>
        <w:t>1.</w:t>
      </w:r>
      <w:r w:rsidRPr="001531CD">
        <w:rPr>
          <w:sz w:val="16"/>
        </w:rPr>
        <w:tab/>
        <w:t>Name of Lender</w:t>
      </w:r>
    </w:p>
    <w:p w14:paraId="1E9568FE" w14:textId="77777777" w:rsidR="00CF626A" w:rsidRPr="001531CD" w:rsidRDefault="00CF626A">
      <w:pPr>
        <w:pStyle w:val="A"/>
        <w:tabs>
          <w:tab w:val="left" w:pos="840"/>
        </w:tabs>
        <w:spacing w:after="60"/>
        <w:ind w:left="432" w:right="432"/>
        <w:rPr>
          <w:sz w:val="16"/>
        </w:rPr>
      </w:pPr>
      <w:r w:rsidRPr="001531CD">
        <w:rPr>
          <w:sz w:val="16"/>
        </w:rPr>
        <w:t>2.</w:t>
      </w:r>
      <w:r w:rsidRPr="001531CD">
        <w:rPr>
          <w:sz w:val="16"/>
        </w:rPr>
        <w:tab/>
        <w:t>Jurisdiction of Organization and Date of Incorporation</w:t>
      </w:r>
    </w:p>
    <w:p w14:paraId="64E98E25" w14:textId="77777777" w:rsidR="00CF626A" w:rsidRPr="001531CD" w:rsidRDefault="00CF626A">
      <w:pPr>
        <w:pStyle w:val="A"/>
        <w:tabs>
          <w:tab w:val="left" w:pos="840"/>
        </w:tabs>
        <w:spacing w:after="60"/>
        <w:ind w:left="432" w:right="432"/>
        <w:rPr>
          <w:sz w:val="16"/>
        </w:rPr>
      </w:pPr>
      <w:r w:rsidRPr="001531CD">
        <w:rPr>
          <w:sz w:val="16"/>
        </w:rPr>
        <w:t>3.</w:t>
      </w:r>
      <w:r w:rsidRPr="001531CD">
        <w:rPr>
          <w:sz w:val="16"/>
        </w:rPr>
        <w:tab/>
        <w:t>Address and Telephone Number of Principal Officer</w:t>
      </w:r>
    </w:p>
    <w:p w14:paraId="6EFF1248" w14:textId="77777777" w:rsidR="00CF626A" w:rsidRPr="001531CD" w:rsidRDefault="00CF626A">
      <w:pPr>
        <w:pStyle w:val="A"/>
        <w:tabs>
          <w:tab w:val="left" w:pos="840"/>
        </w:tabs>
        <w:spacing w:after="60"/>
        <w:ind w:left="432" w:right="432"/>
        <w:rPr>
          <w:sz w:val="16"/>
        </w:rPr>
      </w:pPr>
      <w:r w:rsidRPr="001531CD">
        <w:rPr>
          <w:sz w:val="16"/>
        </w:rPr>
        <w:t>4.</w:t>
      </w:r>
      <w:r w:rsidRPr="001531CD">
        <w:rPr>
          <w:sz w:val="16"/>
        </w:rPr>
        <w:tab/>
        <w:t>Name and Title of Person to whom correspondence with regard to this Program should be addressed.</w:t>
      </w:r>
    </w:p>
    <w:p w14:paraId="4A6D4320" w14:textId="77777777" w:rsidR="00CF626A" w:rsidRPr="001531CD" w:rsidRDefault="00CF626A">
      <w:pPr>
        <w:pStyle w:val="A"/>
        <w:tabs>
          <w:tab w:val="left" w:pos="840"/>
        </w:tabs>
        <w:spacing w:after="60"/>
        <w:ind w:left="432" w:right="432"/>
        <w:rPr>
          <w:sz w:val="16"/>
        </w:rPr>
      </w:pPr>
      <w:r w:rsidRPr="001531CD">
        <w:rPr>
          <w:sz w:val="16"/>
        </w:rPr>
        <w:t>5.</w:t>
      </w:r>
      <w:r w:rsidRPr="001531CD">
        <w:rPr>
          <w:sz w:val="16"/>
        </w:rPr>
        <w:tab/>
        <w:t>Description of Loans. Please provide the following information with respect to each existing or proposed loan which the lender desires to sell.</w:t>
      </w:r>
    </w:p>
    <w:p w14:paraId="5CB4FCEA"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a.</w:t>
      </w:r>
      <w:r w:rsidRPr="001531CD">
        <w:rPr>
          <w:sz w:val="16"/>
        </w:rPr>
        <w:tab/>
        <w:t>Total amount of loan</w:t>
      </w:r>
    </w:p>
    <w:p w14:paraId="26577221" w14:textId="77777777" w:rsidR="00CF626A" w:rsidRPr="001531CD" w:rsidRDefault="00CF626A">
      <w:pPr>
        <w:pStyle w:val="a0"/>
        <w:tabs>
          <w:tab w:val="clear" w:pos="907"/>
          <w:tab w:val="left" w:pos="1080"/>
        </w:tabs>
        <w:spacing w:after="60"/>
        <w:ind w:left="432" w:right="432" w:firstLine="317"/>
        <w:rPr>
          <w:sz w:val="16"/>
        </w:rPr>
      </w:pPr>
      <w:r w:rsidRPr="001531CD">
        <w:rPr>
          <w:sz w:val="16"/>
        </w:rPr>
        <w:t>b.</w:t>
      </w:r>
      <w:r w:rsidRPr="001531CD">
        <w:rPr>
          <w:sz w:val="16"/>
        </w:rPr>
        <w:tab/>
        <w:t>Date of loan</w:t>
      </w:r>
    </w:p>
    <w:p w14:paraId="03C21CA8" w14:textId="77777777" w:rsidR="00CF626A" w:rsidRPr="001531CD" w:rsidRDefault="00CF626A">
      <w:pPr>
        <w:pStyle w:val="a0"/>
        <w:tabs>
          <w:tab w:val="clear" w:pos="907"/>
          <w:tab w:val="left" w:pos="1080"/>
        </w:tabs>
        <w:spacing w:after="60"/>
        <w:ind w:left="432" w:right="432" w:firstLine="317"/>
        <w:rPr>
          <w:sz w:val="16"/>
        </w:rPr>
      </w:pPr>
      <w:r w:rsidRPr="001531CD">
        <w:rPr>
          <w:sz w:val="16"/>
        </w:rPr>
        <w:t>c.</w:t>
      </w:r>
      <w:r w:rsidRPr="001531CD">
        <w:rPr>
          <w:sz w:val="16"/>
        </w:rPr>
        <w:tab/>
        <w:t>Eligible loan</w:t>
      </w:r>
    </w:p>
    <w:p w14:paraId="48D20324" w14:textId="77777777"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When does the loan mature?</w:t>
      </w:r>
    </w:p>
    <w:p w14:paraId="3BCF5911" w14:textId="77777777"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How is principal payable (e.g., monthly, quarterly, semiannually, annually, at maturity)?</w:t>
      </w:r>
    </w:p>
    <w:p w14:paraId="1C98A49D" w14:textId="77777777" w:rsidR="00CF626A" w:rsidRPr="001531CD" w:rsidRDefault="00CF626A">
      <w:pPr>
        <w:pStyle w:val="A"/>
        <w:tabs>
          <w:tab w:val="left" w:pos="960"/>
          <w:tab w:val="left" w:pos="1200"/>
        </w:tabs>
        <w:spacing w:after="60"/>
        <w:ind w:left="432" w:right="432"/>
        <w:rPr>
          <w:sz w:val="16"/>
        </w:rPr>
      </w:pPr>
      <w:r w:rsidRPr="001531CD">
        <w:rPr>
          <w:sz w:val="16"/>
        </w:rPr>
        <w:tab/>
        <w:t>iii.</w:t>
      </w:r>
      <w:r w:rsidRPr="001531CD">
        <w:rPr>
          <w:sz w:val="16"/>
        </w:rPr>
        <w:tab/>
        <w:t>How is interest payable (e.g., monthly, quarterly, semiannually, annually, at maturity)?</w:t>
      </w:r>
    </w:p>
    <w:p w14:paraId="26EFE0CC" w14:textId="77777777" w:rsidR="00CF626A" w:rsidRPr="001531CD" w:rsidRDefault="00CF626A">
      <w:pPr>
        <w:pStyle w:val="A"/>
        <w:tabs>
          <w:tab w:val="left" w:pos="960"/>
          <w:tab w:val="left" w:pos="1200"/>
        </w:tabs>
        <w:spacing w:after="60"/>
        <w:ind w:left="432" w:right="432"/>
        <w:rPr>
          <w:sz w:val="16"/>
        </w:rPr>
      </w:pPr>
      <w:r w:rsidRPr="001531CD">
        <w:rPr>
          <w:sz w:val="16"/>
        </w:rPr>
        <w:tab/>
        <w:t>iv.</w:t>
      </w:r>
      <w:r w:rsidRPr="001531CD">
        <w:rPr>
          <w:sz w:val="16"/>
        </w:rPr>
        <w:tab/>
        <w:t>What is the interest rate on the loan?</w:t>
      </w:r>
    </w:p>
    <w:p w14:paraId="5B8FA9B4" w14:textId="77777777" w:rsidR="00CF626A" w:rsidRPr="001531CD" w:rsidRDefault="00CF626A">
      <w:pPr>
        <w:pStyle w:val="a0"/>
        <w:tabs>
          <w:tab w:val="clear" w:pos="907"/>
          <w:tab w:val="left" w:pos="1080"/>
        </w:tabs>
        <w:spacing w:after="60"/>
        <w:ind w:left="432" w:right="432" w:firstLine="317"/>
        <w:rPr>
          <w:sz w:val="16"/>
        </w:rPr>
      </w:pPr>
      <w:r w:rsidRPr="001531CD">
        <w:rPr>
          <w:sz w:val="16"/>
        </w:rPr>
        <w:t>d.</w:t>
      </w:r>
      <w:r w:rsidRPr="001531CD">
        <w:rPr>
          <w:sz w:val="16"/>
        </w:rPr>
        <w:tab/>
        <w:t>Please attach the amortization schedule of the loan, showing when principal is payable (e.g., monthly, quarterly, semiannually, annually, at maturity), when the principal comes due and on what dates.</w:t>
      </w:r>
    </w:p>
    <w:p w14:paraId="316E560D" w14:textId="77777777" w:rsidR="00CF626A" w:rsidRPr="001531CD" w:rsidRDefault="00CF626A">
      <w:pPr>
        <w:pStyle w:val="a0"/>
        <w:tabs>
          <w:tab w:val="clear" w:pos="907"/>
          <w:tab w:val="left" w:pos="1080"/>
        </w:tabs>
        <w:spacing w:after="60"/>
        <w:ind w:left="432" w:right="432" w:firstLine="317"/>
        <w:rPr>
          <w:sz w:val="16"/>
        </w:rPr>
      </w:pPr>
      <w:r w:rsidRPr="001531CD">
        <w:rPr>
          <w:sz w:val="16"/>
        </w:rPr>
        <w:t>e.</w:t>
      </w:r>
      <w:r w:rsidRPr="001531CD">
        <w:rPr>
          <w:sz w:val="16"/>
        </w:rPr>
        <w:tab/>
        <w:t>Project financed</w:t>
      </w:r>
    </w:p>
    <w:p w14:paraId="70E80DA2" w14:textId="77777777"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location</w:t>
      </w:r>
    </w:p>
    <w:p w14:paraId="115FE2AF" w14:textId="77777777"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description of project</w:t>
      </w:r>
    </w:p>
    <w:p w14:paraId="26881D88" w14:textId="77777777" w:rsidR="00CF626A" w:rsidRPr="001531CD" w:rsidRDefault="00CF626A">
      <w:pPr>
        <w:pStyle w:val="A"/>
        <w:tabs>
          <w:tab w:val="left" w:pos="840"/>
        </w:tabs>
        <w:spacing w:after="60"/>
        <w:ind w:left="432" w:right="432"/>
        <w:rPr>
          <w:sz w:val="16"/>
        </w:rPr>
      </w:pPr>
      <w:r w:rsidRPr="001531CD">
        <w:rPr>
          <w:sz w:val="16"/>
        </w:rPr>
        <w:t>6.</w:t>
      </w:r>
      <w:r w:rsidRPr="001531CD">
        <w:rPr>
          <w:sz w:val="16"/>
        </w:rPr>
        <w:tab/>
        <w:t>Dollar amount of loan to be financed by the Authority.</w:t>
      </w:r>
    </w:p>
    <w:p w14:paraId="4EE1A899" w14:textId="77777777" w:rsidR="00CF626A" w:rsidRPr="001531CD" w:rsidRDefault="00CF626A">
      <w:pPr>
        <w:pStyle w:val="A"/>
        <w:tabs>
          <w:tab w:val="left" w:pos="840"/>
        </w:tabs>
        <w:spacing w:after="60"/>
        <w:ind w:left="432" w:right="432"/>
        <w:rPr>
          <w:sz w:val="16"/>
        </w:rPr>
      </w:pPr>
      <w:r w:rsidRPr="001531CD">
        <w:rPr>
          <w:sz w:val="16"/>
        </w:rPr>
        <w:t>7.</w:t>
      </w:r>
      <w:r w:rsidRPr="001531CD">
        <w:rPr>
          <w:sz w:val="16"/>
        </w:rPr>
        <w:tab/>
        <w:t>If existing, does lender which to refinance loans to be sold?</w:t>
      </w:r>
    </w:p>
    <w:p w14:paraId="420DC648" w14:textId="77777777" w:rsidR="00CF626A" w:rsidRPr="001531CD" w:rsidRDefault="00CF626A">
      <w:pPr>
        <w:pStyle w:val="A"/>
        <w:tabs>
          <w:tab w:val="left" w:pos="840"/>
        </w:tabs>
        <w:ind w:left="432" w:right="432"/>
        <w:rPr>
          <w:sz w:val="16"/>
        </w:rPr>
      </w:pPr>
      <w:r w:rsidRPr="001531CD">
        <w:rPr>
          <w:sz w:val="16"/>
        </w:rPr>
        <w:t>8.</w:t>
      </w:r>
      <w:r w:rsidRPr="001531CD">
        <w:rPr>
          <w:sz w:val="16"/>
        </w:rPr>
        <w:tab/>
        <w:t>If yes, please give desired length and terms of refinanced loans.</w:t>
      </w:r>
    </w:p>
    <w:p w14:paraId="257C83B0" w14:textId="77777777" w:rsidR="00CF626A" w:rsidRPr="001531CD" w:rsidRDefault="001C11D2" w:rsidP="00F03863">
      <w:pPr>
        <w:pStyle w:val="Section"/>
        <w:jc w:val="center"/>
        <w:outlineLvl w:val="0"/>
      </w:pPr>
      <w:bookmarkStart w:id="291" w:name="_Toc235869541"/>
      <w:bookmarkStart w:id="292" w:name="_Toc254254843"/>
      <w:bookmarkStart w:id="293" w:name="_Toc256754285"/>
      <w:bookmarkStart w:id="294" w:name="_Toc264623746"/>
      <w:bookmarkStart w:id="295" w:name="_Toc283622444"/>
      <w:bookmarkStart w:id="296" w:name="_Toc285803609"/>
      <w:bookmarkStart w:id="297" w:name="_Toc306600851"/>
      <w:bookmarkStart w:id="298" w:name="_Toc312136877"/>
      <w:bookmarkStart w:id="299" w:name="_Toc322411168"/>
      <w:bookmarkStart w:id="300" w:name="_Toc338237672"/>
      <w:bookmarkStart w:id="301" w:name="_Toc348951213"/>
      <w:bookmarkStart w:id="302" w:name="_Toc361749613"/>
      <w:bookmarkStart w:id="303" w:name="_Toc372623757"/>
      <w:bookmarkStart w:id="304" w:name="_Toc375025056"/>
      <w:bookmarkStart w:id="305" w:name="_Toc386109942"/>
      <w:bookmarkStart w:id="306" w:name="_Toc388357775"/>
      <w:bookmarkStart w:id="307" w:name="_Toc396114679"/>
      <w:bookmarkStart w:id="308" w:name="_Toc411855065"/>
      <w:bookmarkStart w:id="309" w:name="_Toc419795266"/>
      <w:bookmarkStart w:id="310" w:name="_Toc427736654"/>
      <w:bookmarkStart w:id="311" w:name="_Toc438546454"/>
      <w:bookmarkStart w:id="312" w:name="_Toc446326438"/>
      <w:bookmarkStart w:id="313" w:name="_Toc448824623"/>
      <w:bookmarkStart w:id="314" w:name="_Toc451505667"/>
      <w:bookmarkStart w:id="315" w:name="_Toc462212090"/>
      <w:bookmarkStart w:id="316" w:name="_Toc468096010"/>
      <w:bookmarkStart w:id="317" w:name="_Toc477853488"/>
      <w:bookmarkStart w:id="318" w:name="_Toc488735432"/>
      <w:bookmarkStart w:id="319" w:name="_Toc491176249"/>
      <w:bookmarkStart w:id="320" w:name="_Toc509393166"/>
      <w:bookmarkStart w:id="321" w:name="_Toc525114333"/>
      <w:bookmarkStart w:id="322" w:name="_Toc535996730"/>
      <w:bookmarkStart w:id="323" w:name="_Toc33439472"/>
      <w:bookmarkStart w:id="324" w:name="_Toc57884307"/>
      <w:bookmarkStart w:id="325" w:name="_Toc77839490"/>
      <w:bookmarkStart w:id="326" w:name="_Toc78883663"/>
      <w:bookmarkStart w:id="327" w:name="_Toc90989188"/>
      <w:bookmarkStart w:id="328" w:name="_Toc98918389"/>
      <w:bookmarkStart w:id="329" w:name="_Toc101426800"/>
      <w:bookmarkStart w:id="330" w:name="_Toc112162471"/>
      <w:bookmarkStart w:id="331" w:name="_Toc119930083"/>
      <w:bookmarkStart w:id="332" w:name="_Toc128048059"/>
      <w:bookmarkStart w:id="333" w:name="_Toc164249643"/>
      <w:bookmarkStart w:id="334" w:name="_Toc189048111"/>
      <w:bookmarkStart w:id="335" w:name="_Toc201138768"/>
      <w:bookmarkStart w:id="336" w:name="_Toc201146019"/>
      <w:bookmarkStart w:id="337" w:name="_Toc224818496"/>
      <w:r w:rsidRPr="001531CD">
        <w:t>E</w:t>
      </w:r>
      <w:r w:rsidR="00CF626A" w:rsidRPr="001531CD">
        <w:t>xhibit C</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4D4AE03" w14:textId="77777777" w:rsidR="00CF626A" w:rsidRPr="001531CD" w:rsidRDefault="00CF626A">
      <w:pPr>
        <w:pStyle w:val="A"/>
        <w:jc w:val="center"/>
      </w:pPr>
      <w:r w:rsidRPr="001531CD">
        <w:t>CONDITIONAL APPROVAL</w:t>
      </w:r>
    </w:p>
    <w:p w14:paraId="5E246FF8" w14:textId="77777777" w:rsidR="00CF626A" w:rsidRPr="001531CD" w:rsidRDefault="00CF626A">
      <w:pPr>
        <w:pStyle w:val="A"/>
        <w:spacing w:after="0"/>
        <w:ind w:left="432" w:right="432" w:firstLine="0"/>
        <w:rPr>
          <w:sz w:val="16"/>
        </w:rPr>
      </w:pPr>
      <w:r w:rsidRPr="001531CD">
        <w:rPr>
          <w:sz w:val="16"/>
        </w:rPr>
        <w:t>(Lender)</w:t>
      </w:r>
    </w:p>
    <w:p w14:paraId="36E876DA" w14:textId="77777777" w:rsidR="00CF626A" w:rsidRPr="001531CD" w:rsidRDefault="00CF626A">
      <w:pPr>
        <w:pStyle w:val="A"/>
        <w:spacing w:after="0"/>
        <w:ind w:left="432" w:right="432" w:firstLine="0"/>
        <w:rPr>
          <w:sz w:val="16"/>
        </w:rPr>
      </w:pPr>
    </w:p>
    <w:p w14:paraId="0F246968" w14:textId="77777777" w:rsidR="00CF626A" w:rsidRPr="001531CD" w:rsidRDefault="00CF626A">
      <w:pPr>
        <w:pStyle w:val="A"/>
        <w:spacing w:after="0"/>
        <w:ind w:left="432" w:right="432" w:firstLine="0"/>
        <w:rPr>
          <w:sz w:val="16"/>
        </w:rPr>
      </w:pPr>
      <w:r w:rsidRPr="001531CD">
        <w:rPr>
          <w:sz w:val="16"/>
        </w:rPr>
        <w:t>Sir:</w:t>
      </w:r>
    </w:p>
    <w:p w14:paraId="02EC76F4" w14:textId="77777777" w:rsidR="00CF626A" w:rsidRPr="001531CD" w:rsidRDefault="00CF626A">
      <w:pPr>
        <w:pStyle w:val="A"/>
        <w:spacing w:after="60"/>
        <w:ind w:left="432" w:right="432"/>
        <w:rPr>
          <w:sz w:val="16"/>
        </w:rPr>
      </w:pPr>
      <w:r w:rsidRPr="001531CD">
        <w:rPr>
          <w:sz w:val="16"/>
        </w:rPr>
        <w:t>You are hereby notified that your proposal to sell agricultural loans to the Louisiana Agricultural Finance Authority ("Authority") has been tentatively approved pending completion of and signing an agricultural loan purchase agreement, a form of which is enclosed. This approval is based upon the information and representations provided by you in your proposal to sell agricultural loans application and is expressly conditional upon the accuracy of such information and timely completion of the agricultural loan purchase agreement.</w:t>
      </w:r>
    </w:p>
    <w:p w14:paraId="449C1CA6" w14:textId="77777777" w:rsidR="00CF626A" w:rsidRPr="001531CD" w:rsidRDefault="00CF626A">
      <w:pPr>
        <w:pStyle w:val="A"/>
        <w:spacing w:after="60"/>
        <w:ind w:left="432" w:right="432"/>
        <w:rPr>
          <w:sz w:val="16"/>
        </w:rPr>
      </w:pPr>
      <w:r w:rsidRPr="001531CD">
        <w:rPr>
          <w:sz w:val="16"/>
        </w:rPr>
        <w:t>Pursuant to our earlier correspondence, the terms of the loan following the purchase by the authority shall be as follows:</w:t>
      </w:r>
    </w:p>
    <w:p w14:paraId="3403D404" w14:textId="77777777" w:rsidR="00CF626A" w:rsidRPr="001531CD" w:rsidRDefault="00CF626A">
      <w:pPr>
        <w:pStyle w:val="A"/>
        <w:spacing w:after="60"/>
        <w:ind w:left="432" w:right="432"/>
        <w:rPr>
          <w:sz w:val="16"/>
        </w:rPr>
      </w:pPr>
      <w:r w:rsidRPr="001531CD">
        <w:rPr>
          <w:sz w:val="16"/>
        </w:rPr>
        <w:t>(Terms of Refinanced Loan)</w:t>
      </w:r>
    </w:p>
    <w:p w14:paraId="11E9616B" w14:textId="77777777" w:rsidR="00CF626A" w:rsidRPr="001531CD" w:rsidRDefault="00CF626A">
      <w:pPr>
        <w:pStyle w:val="A"/>
        <w:spacing w:after="60"/>
        <w:ind w:left="432" w:right="432"/>
        <w:rPr>
          <w:sz w:val="16"/>
        </w:rPr>
      </w:pPr>
      <w:r w:rsidRPr="001531CD">
        <w:rPr>
          <w:sz w:val="16"/>
        </w:rPr>
        <w:t xml:space="preserve">Please execute and return the enclosed agricultural loan purchase agreement within fourteen days of the postmark of this conditional approval to the offices of the Louisiana Agricultural Finance Authority, Department of Agriculture, 12055 Airline Highway, Baton Rouge, LA 70816, Attention: Director. If the agricultural loan purchase agreement is not received by the authority within fourteen days of the postmark on the letter </w:t>
      </w:r>
      <w:r w:rsidRPr="001531CD">
        <w:rPr>
          <w:sz w:val="16"/>
        </w:rPr>
        <w:lastRenderedPageBreak/>
        <w:t>delivering the conditional approval, the authority may discontinue consideration of the applicant's loan purchase.</w:t>
      </w:r>
    </w:p>
    <w:p w14:paraId="414AEFAE" w14:textId="77777777" w:rsidR="00CF626A" w:rsidRPr="001531CD" w:rsidRDefault="00CF626A">
      <w:pPr>
        <w:pStyle w:val="A"/>
        <w:spacing w:after="60"/>
        <w:ind w:left="432" w:right="432"/>
        <w:rPr>
          <w:sz w:val="16"/>
        </w:rPr>
      </w:pPr>
      <w:r w:rsidRPr="001531CD">
        <w:rPr>
          <w:sz w:val="16"/>
        </w:rPr>
        <w:t>Sincerely,</w:t>
      </w:r>
    </w:p>
    <w:p w14:paraId="72D9CDAF" w14:textId="77777777" w:rsidR="00CF626A" w:rsidRPr="001531CD" w:rsidRDefault="00CF626A" w:rsidP="00F03863">
      <w:pPr>
        <w:pStyle w:val="A"/>
        <w:spacing w:after="0"/>
        <w:ind w:left="432" w:right="432"/>
        <w:jc w:val="center"/>
        <w:outlineLvl w:val="0"/>
        <w:rPr>
          <w:sz w:val="16"/>
        </w:rPr>
      </w:pPr>
      <w:r w:rsidRPr="001531CD">
        <w:rPr>
          <w:sz w:val="16"/>
        </w:rPr>
        <w:t>LOUISIANA AGRICULTURAL</w:t>
      </w:r>
    </w:p>
    <w:p w14:paraId="28B4ACDC" w14:textId="77777777" w:rsidR="00CF626A" w:rsidRPr="001531CD" w:rsidRDefault="00CF626A">
      <w:pPr>
        <w:pStyle w:val="A"/>
        <w:ind w:left="432" w:right="432"/>
        <w:jc w:val="center"/>
        <w:rPr>
          <w:sz w:val="16"/>
        </w:rPr>
      </w:pPr>
      <w:r w:rsidRPr="001531CD">
        <w:rPr>
          <w:sz w:val="16"/>
        </w:rPr>
        <w:t>FINANCE AUTHORITY</w:t>
      </w:r>
    </w:p>
    <w:p w14:paraId="3658382F" w14:textId="77777777" w:rsidR="00CF626A" w:rsidRPr="001531CD" w:rsidRDefault="001C11D2" w:rsidP="001C11D2">
      <w:pPr>
        <w:pStyle w:val="Section"/>
        <w:jc w:val="center"/>
      </w:pPr>
      <w:bookmarkStart w:id="338" w:name="_Toc235869542"/>
      <w:bookmarkStart w:id="339" w:name="_Toc254254844"/>
      <w:bookmarkStart w:id="340" w:name="_Toc256754286"/>
      <w:bookmarkStart w:id="341" w:name="_Toc264623747"/>
      <w:bookmarkStart w:id="342" w:name="_Toc283622445"/>
      <w:bookmarkStart w:id="343" w:name="_Toc285803610"/>
      <w:bookmarkStart w:id="344" w:name="_Toc306600852"/>
      <w:bookmarkStart w:id="345" w:name="_Toc312136878"/>
      <w:bookmarkStart w:id="346" w:name="_Toc322411169"/>
      <w:bookmarkStart w:id="347" w:name="_Toc338237673"/>
      <w:bookmarkStart w:id="348" w:name="_Toc348951214"/>
      <w:bookmarkStart w:id="349" w:name="_Toc361749614"/>
      <w:bookmarkStart w:id="350" w:name="_Toc372623758"/>
      <w:bookmarkStart w:id="351" w:name="_Toc375025057"/>
      <w:bookmarkStart w:id="352" w:name="_Toc386109943"/>
      <w:bookmarkStart w:id="353" w:name="_Toc388357776"/>
      <w:bookmarkStart w:id="354" w:name="_Toc396114680"/>
      <w:bookmarkStart w:id="355" w:name="_Toc411855066"/>
      <w:bookmarkStart w:id="356" w:name="_Toc419795267"/>
      <w:bookmarkStart w:id="357" w:name="_Toc427736655"/>
      <w:bookmarkStart w:id="358" w:name="_Toc438546455"/>
      <w:bookmarkStart w:id="359" w:name="_Toc446326439"/>
      <w:bookmarkStart w:id="360" w:name="_Toc448824624"/>
      <w:bookmarkStart w:id="361" w:name="_Toc451505668"/>
      <w:bookmarkStart w:id="362" w:name="_Toc462212091"/>
      <w:bookmarkStart w:id="363" w:name="_Toc468096011"/>
      <w:bookmarkStart w:id="364" w:name="_Toc477853489"/>
      <w:bookmarkStart w:id="365" w:name="_Toc488735433"/>
      <w:bookmarkStart w:id="366" w:name="_Toc491176250"/>
      <w:bookmarkStart w:id="367" w:name="_Toc509393167"/>
      <w:bookmarkStart w:id="368" w:name="_Toc525114334"/>
      <w:bookmarkStart w:id="369" w:name="_Toc535996731"/>
      <w:bookmarkStart w:id="370" w:name="_Toc33439473"/>
      <w:bookmarkStart w:id="371" w:name="_Toc57884308"/>
      <w:bookmarkStart w:id="372" w:name="_Toc77839491"/>
      <w:bookmarkStart w:id="373" w:name="_Toc78883664"/>
      <w:bookmarkStart w:id="374" w:name="_Toc90989189"/>
      <w:bookmarkStart w:id="375" w:name="_Toc98918390"/>
      <w:bookmarkStart w:id="376" w:name="_Toc101426801"/>
      <w:bookmarkStart w:id="377" w:name="_Toc112162472"/>
      <w:bookmarkStart w:id="378" w:name="_Toc119930084"/>
      <w:bookmarkStart w:id="379" w:name="_Toc128048060"/>
      <w:bookmarkStart w:id="380" w:name="_Toc164249644"/>
      <w:bookmarkStart w:id="381" w:name="_Toc189048112"/>
      <w:bookmarkStart w:id="382" w:name="_Toc201138769"/>
      <w:bookmarkStart w:id="383" w:name="_Toc201146020"/>
      <w:bookmarkStart w:id="384" w:name="_Toc224818497"/>
      <w:r w:rsidRPr="001531CD">
        <w:t>E</w:t>
      </w:r>
      <w:r w:rsidR="00CF626A" w:rsidRPr="001531CD">
        <w:t>xhibit D</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717028C1" w14:textId="77777777" w:rsidR="00CF626A" w:rsidRPr="001531CD" w:rsidRDefault="00CF626A">
      <w:pPr>
        <w:pStyle w:val="A"/>
        <w:jc w:val="center"/>
      </w:pPr>
      <w:r w:rsidRPr="001531CD">
        <w:t>FORM OF PROPOSAL TO ENTER INTO REPURCHASE OBLIGATION</w:t>
      </w:r>
    </w:p>
    <w:p w14:paraId="76D87177" w14:textId="77777777" w:rsidR="00CF626A" w:rsidRPr="001531CD" w:rsidRDefault="00CF626A" w:rsidP="00F03863">
      <w:pPr>
        <w:pStyle w:val="A"/>
        <w:spacing w:after="0"/>
        <w:ind w:left="432" w:right="432"/>
        <w:jc w:val="center"/>
        <w:outlineLvl w:val="0"/>
        <w:rPr>
          <w:sz w:val="16"/>
        </w:rPr>
      </w:pPr>
      <w:r w:rsidRPr="001531CD">
        <w:rPr>
          <w:sz w:val="16"/>
        </w:rPr>
        <w:t xml:space="preserve">LOUISIANA AGRICULTURAL </w:t>
      </w:r>
    </w:p>
    <w:p w14:paraId="6885DE16" w14:textId="77777777" w:rsidR="00CF626A" w:rsidRPr="001531CD" w:rsidRDefault="00CF626A">
      <w:pPr>
        <w:pStyle w:val="A"/>
        <w:ind w:left="432" w:right="432"/>
        <w:jc w:val="center"/>
        <w:rPr>
          <w:sz w:val="16"/>
        </w:rPr>
      </w:pPr>
      <w:r w:rsidRPr="001531CD">
        <w:rPr>
          <w:sz w:val="16"/>
        </w:rPr>
        <w:t>FINANCE AUTHORITY</w:t>
      </w:r>
    </w:p>
    <w:p w14:paraId="72A5D592" w14:textId="77777777" w:rsidR="00CF626A" w:rsidRPr="001531CD" w:rsidRDefault="00CF626A">
      <w:pPr>
        <w:pStyle w:val="A"/>
        <w:spacing w:after="0"/>
        <w:ind w:left="432" w:right="432"/>
        <w:jc w:val="center"/>
        <w:rPr>
          <w:sz w:val="16"/>
        </w:rPr>
      </w:pPr>
      <w:r w:rsidRPr="001531CD">
        <w:rPr>
          <w:sz w:val="16"/>
        </w:rPr>
        <w:t xml:space="preserve">SECURITIZED AGRICULTURAL </w:t>
      </w:r>
    </w:p>
    <w:p w14:paraId="5EFF2B3D" w14:textId="77777777" w:rsidR="00CF626A" w:rsidRPr="001531CD" w:rsidRDefault="00CF626A">
      <w:pPr>
        <w:pStyle w:val="A"/>
        <w:ind w:left="432" w:right="432"/>
        <w:jc w:val="center"/>
        <w:rPr>
          <w:sz w:val="16"/>
        </w:rPr>
      </w:pPr>
      <w:r w:rsidRPr="001531CD">
        <w:rPr>
          <w:sz w:val="16"/>
        </w:rPr>
        <w:t>REVENUE BOND PROGRAM</w:t>
      </w:r>
    </w:p>
    <w:p w14:paraId="7E2A9DE5" w14:textId="77777777" w:rsidR="00CF626A" w:rsidRPr="001531CD" w:rsidRDefault="00CF626A">
      <w:pPr>
        <w:pStyle w:val="A"/>
        <w:spacing w:after="0"/>
        <w:ind w:left="432" w:right="432" w:firstLine="0"/>
        <w:rPr>
          <w:sz w:val="16"/>
        </w:rPr>
      </w:pPr>
      <w:r w:rsidRPr="001531CD">
        <w:rPr>
          <w:sz w:val="16"/>
        </w:rPr>
        <w:t>Louisiana Agricultural Finance Authority</w:t>
      </w:r>
    </w:p>
    <w:p w14:paraId="43F8591F" w14:textId="77777777" w:rsidR="00CF626A" w:rsidRPr="001531CD" w:rsidRDefault="00CF626A">
      <w:pPr>
        <w:pStyle w:val="A"/>
        <w:spacing w:after="0"/>
        <w:ind w:left="432" w:right="432" w:firstLine="0"/>
        <w:rPr>
          <w:sz w:val="16"/>
        </w:rPr>
      </w:pPr>
      <w:r w:rsidRPr="001531CD">
        <w:rPr>
          <w:sz w:val="16"/>
        </w:rPr>
        <w:t xml:space="preserve">12055 Airline Highway </w:t>
      </w:r>
    </w:p>
    <w:p w14:paraId="297FC8B7" w14:textId="77777777" w:rsidR="00CF626A" w:rsidRPr="001531CD" w:rsidRDefault="00CF626A">
      <w:pPr>
        <w:pStyle w:val="A"/>
        <w:spacing w:after="60"/>
        <w:ind w:left="432" w:right="432" w:firstLine="0"/>
        <w:rPr>
          <w:sz w:val="16"/>
        </w:rPr>
      </w:pPr>
      <w:r w:rsidRPr="001531CD">
        <w:rPr>
          <w:sz w:val="16"/>
        </w:rPr>
        <w:t>Baton Rouge, LA 70816</w:t>
      </w:r>
    </w:p>
    <w:p w14:paraId="2643CEC7" w14:textId="77777777" w:rsidR="00CF626A" w:rsidRPr="001531CD" w:rsidRDefault="00CF626A">
      <w:pPr>
        <w:pStyle w:val="A"/>
        <w:spacing w:after="60"/>
        <w:ind w:left="432" w:right="432" w:firstLine="0"/>
        <w:rPr>
          <w:sz w:val="16"/>
        </w:rPr>
      </w:pPr>
      <w:r w:rsidRPr="001531CD">
        <w:rPr>
          <w:sz w:val="16"/>
        </w:rPr>
        <w:t>Sir:</w:t>
      </w:r>
    </w:p>
    <w:p w14:paraId="126067E9" w14:textId="77777777" w:rsidR="00CF626A" w:rsidRPr="001531CD" w:rsidRDefault="00CF626A">
      <w:pPr>
        <w:pStyle w:val="A"/>
        <w:spacing w:after="60"/>
        <w:ind w:left="432" w:right="432"/>
        <w:rPr>
          <w:sz w:val="16"/>
        </w:rPr>
      </w:pPr>
      <w:r w:rsidRPr="001531CD">
        <w:rPr>
          <w:sz w:val="16"/>
        </w:rPr>
        <w:t>The (Name of National Bank), a national banking association organized and existing under the laws of the United States, (the "Bank") hereby requests to participate in the securitized agricultural revenue bond program of the Louisiana Agricultural Finance Authority (the "Authority").</w:t>
      </w:r>
    </w:p>
    <w:p w14:paraId="177F114A" w14:textId="77777777" w:rsidR="00CF626A" w:rsidRPr="001531CD" w:rsidRDefault="00CF626A">
      <w:pPr>
        <w:pStyle w:val="A"/>
        <w:tabs>
          <w:tab w:val="left" w:pos="840"/>
        </w:tabs>
        <w:spacing w:after="60"/>
        <w:ind w:left="432" w:right="432"/>
        <w:rPr>
          <w:sz w:val="16"/>
        </w:rPr>
      </w:pPr>
      <w:r w:rsidRPr="001531CD">
        <w:rPr>
          <w:sz w:val="16"/>
        </w:rPr>
        <w:t>1.</w:t>
      </w:r>
      <w:r w:rsidRPr="001531CD">
        <w:rPr>
          <w:sz w:val="16"/>
        </w:rPr>
        <w:tab/>
        <w:t>Name of bank.</w:t>
      </w:r>
    </w:p>
    <w:p w14:paraId="00C70DD7" w14:textId="77777777" w:rsidR="00CF626A" w:rsidRPr="001531CD" w:rsidRDefault="00CF626A">
      <w:pPr>
        <w:pStyle w:val="A"/>
        <w:tabs>
          <w:tab w:val="left" w:pos="840"/>
        </w:tabs>
        <w:spacing w:after="60"/>
        <w:ind w:left="432" w:right="432"/>
        <w:rPr>
          <w:sz w:val="16"/>
        </w:rPr>
      </w:pPr>
      <w:r w:rsidRPr="001531CD">
        <w:rPr>
          <w:sz w:val="16"/>
        </w:rPr>
        <w:t>2.</w:t>
      </w:r>
      <w:r w:rsidRPr="001531CD">
        <w:rPr>
          <w:sz w:val="16"/>
        </w:rPr>
        <w:tab/>
        <w:t>Date of incorporation.</w:t>
      </w:r>
    </w:p>
    <w:p w14:paraId="6F6AAF4B" w14:textId="77777777" w:rsidR="00CF626A" w:rsidRPr="001531CD" w:rsidRDefault="00CF626A">
      <w:pPr>
        <w:pStyle w:val="A"/>
        <w:tabs>
          <w:tab w:val="left" w:pos="840"/>
        </w:tabs>
        <w:spacing w:after="60"/>
        <w:ind w:left="432" w:right="432"/>
        <w:rPr>
          <w:sz w:val="16"/>
        </w:rPr>
      </w:pPr>
      <w:r w:rsidRPr="001531CD">
        <w:rPr>
          <w:sz w:val="16"/>
        </w:rPr>
        <w:t>3.</w:t>
      </w:r>
      <w:r w:rsidRPr="001531CD">
        <w:rPr>
          <w:sz w:val="16"/>
        </w:rPr>
        <w:tab/>
        <w:t>Address and telephone number of principal office.</w:t>
      </w:r>
    </w:p>
    <w:p w14:paraId="6AD3C74E" w14:textId="77777777" w:rsidR="00CF626A" w:rsidRPr="001531CD" w:rsidRDefault="00CF626A">
      <w:pPr>
        <w:pStyle w:val="A"/>
        <w:tabs>
          <w:tab w:val="left" w:pos="840"/>
        </w:tabs>
        <w:spacing w:after="60"/>
        <w:ind w:left="432" w:right="432"/>
        <w:rPr>
          <w:sz w:val="16"/>
        </w:rPr>
      </w:pPr>
      <w:r w:rsidRPr="001531CD">
        <w:rPr>
          <w:sz w:val="16"/>
        </w:rPr>
        <w:t>4.</w:t>
      </w:r>
      <w:r w:rsidRPr="001531CD">
        <w:rPr>
          <w:sz w:val="16"/>
        </w:rPr>
        <w:tab/>
        <w:t>Name and title of person to whom correspondence with regard to this program should be addressed.</w:t>
      </w:r>
    </w:p>
    <w:p w14:paraId="5991F8D7" w14:textId="77777777" w:rsidR="00CF626A" w:rsidRPr="001531CD" w:rsidRDefault="00CF626A">
      <w:pPr>
        <w:pStyle w:val="A"/>
        <w:tabs>
          <w:tab w:val="left" w:pos="840"/>
        </w:tabs>
        <w:spacing w:after="60"/>
        <w:ind w:left="432" w:right="432"/>
        <w:rPr>
          <w:sz w:val="16"/>
        </w:rPr>
      </w:pPr>
      <w:r w:rsidRPr="001531CD">
        <w:rPr>
          <w:sz w:val="16"/>
        </w:rPr>
        <w:t>5.</w:t>
      </w:r>
      <w:r w:rsidRPr="001531CD">
        <w:rPr>
          <w:sz w:val="16"/>
        </w:rPr>
        <w:tab/>
        <w:t>Description of loans. Please provide the following information with respect to each proposed loan which the bank desires to make.</w:t>
      </w:r>
    </w:p>
    <w:p w14:paraId="50043389"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a.</w:t>
      </w:r>
      <w:r w:rsidRPr="001531CD">
        <w:rPr>
          <w:sz w:val="16"/>
        </w:rPr>
        <w:tab/>
        <w:t>Total amount of loan</w:t>
      </w:r>
    </w:p>
    <w:p w14:paraId="4C39EA08"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b.</w:t>
      </w:r>
      <w:r w:rsidRPr="001531CD">
        <w:rPr>
          <w:sz w:val="16"/>
        </w:rPr>
        <w:tab/>
        <w:t>Date of loan</w:t>
      </w:r>
    </w:p>
    <w:p w14:paraId="64D417E2"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c.</w:t>
      </w:r>
      <w:r w:rsidRPr="001531CD">
        <w:rPr>
          <w:sz w:val="16"/>
        </w:rPr>
        <w:tab/>
        <w:t>Eligible loan</w:t>
      </w:r>
    </w:p>
    <w:p w14:paraId="37A53748" w14:textId="77777777"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When will the loan mature?</w:t>
      </w:r>
    </w:p>
    <w:p w14:paraId="58469A80" w14:textId="77777777"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How is principal payable (e.g. monthly, quarterly, semiannually, annually, at maturity)?</w:t>
      </w:r>
    </w:p>
    <w:p w14:paraId="27A1F612" w14:textId="77777777" w:rsidR="00CF626A" w:rsidRPr="001531CD" w:rsidRDefault="00CF626A">
      <w:pPr>
        <w:pStyle w:val="A"/>
        <w:tabs>
          <w:tab w:val="left" w:pos="960"/>
          <w:tab w:val="left" w:pos="1200"/>
        </w:tabs>
        <w:spacing w:after="60"/>
        <w:ind w:left="432" w:right="432"/>
        <w:rPr>
          <w:sz w:val="16"/>
        </w:rPr>
      </w:pPr>
      <w:r w:rsidRPr="001531CD">
        <w:rPr>
          <w:sz w:val="16"/>
        </w:rPr>
        <w:tab/>
        <w:t>iii.</w:t>
      </w:r>
      <w:r w:rsidRPr="001531CD">
        <w:rPr>
          <w:sz w:val="16"/>
        </w:rPr>
        <w:tab/>
        <w:t>How is interest payable (e.g. monthly, quarterly, semiannually, annually, at maturity)?</w:t>
      </w:r>
    </w:p>
    <w:p w14:paraId="0B69D4A7"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d.</w:t>
      </w:r>
      <w:r w:rsidRPr="001531CD">
        <w:rPr>
          <w:sz w:val="16"/>
        </w:rPr>
        <w:tab/>
        <w:t>Please attach the amortization schedule of the loan, showing when principal is payable (e.g. monthly, quarterly, semiannually, annually, at maturity), when the principal comes due and on what dates.</w:t>
      </w:r>
    </w:p>
    <w:p w14:paraId="760FC269" w14:textId="77777777" w:rsidR="00CF626A" w:rsidRPr="001531CD" w:rsidRDefault="00CF626A">
      <w:pPr>
        <w:pStyle w:val="a0"/>
        <w:tabs>
          <w:tab w:val="clear" w:pos="907"/>
          <w:tab w:val="left" w:pos="1080"/>
        </w:tabs>
        <w:spacing w:after="60"/>
        <w:ind w:left="432" w:right="432" w:firstLine="317"/>
        <w:jc w:val="left"/>
        <w:rPr>
          <w:sz w:val="16"/>
        </w:rPr>
      </w:pPr>
      <w:r w:rsidRPr="001531CD">
        <w:rPr>
          <w:sz w:val="16"/>
        </w:rPr>
        <w:t>e.</w:t>
      </w:r>
      <w:r w:rsidRPr="001531CD">
        <w:rPr>
          <w:sz w:val="16"/>
        </w:rPr>
        <w:tab/>
        <w:t>Project financed</w:t>
      </w:r>
    </w:p>
    <w:p w14:paraId="55A23BBE" w14:textId="77777777"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Location</w:t>
      </w:r>
    </w:p>
    <w:p w14:paraId="4BDABCC4" w14:textId="77777777"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Description of project</w:t>
      </w:r>
    </w:p>
    <w:p w14:paraId="218895C1" w14:textId="77777777" w:rsidR="00CF626A" w:rsidRPr="001531CD" w:rsidRDefault="00CF626A">
      <w:pPr>
        <w:pStyle w:val="A"/>
        <w:tabs>
          <w:tab w:val="left" w:pos="840"/>
        </w:tabs>
        <w:ind w:left="432" w:right="432"/>
        <w:rPr>
          <w:sz w:val="16"/>
        </w:rPr>
      </w:pPr>
      <w:r w:rsidRPr="001531CD">
        <w:rPr>
          <w:sz w:val="16"/>
        </w:rPr>
        <w:t>6.</w:t>
      </w:r>
      <w:r w:rsidRPr="001531CD">
        <w:rPr>
          <w:sz w:val="16"/>
        </w:rPr>
        <w:tab/>
        <w:t>Dollar amount of loan to be financed by the authority</w:t>
      </w:r>
    </w:p>
    <w:p w14:paraId="0FE5CBD5" w14:textId="77777777" w:rsidR="00CF626A" w:rsidRPr="001531CD" w:rsidRDefault="001C11D2" w:rsidP="00675FBA">
      <w:pPr>
        <w:pStyle w:val="Section"/>
        <w:jc w:val="center"/>
        <w:outlineLvl w:val="0"/>
      </w:pPr>
      <w:bookmarkStart w:id="385" w:name="_Toc235869543"/>
      <w:bookmarkStart w:id="386" w:name="_Toc254254845"/>
      <w:bookmarkStart w:id="387" w:name="_Toc256754287"/>
      <w:bookmarkStart w:id="388" w:name="_Toc264623748"/>
      <w:bookmarkStart w:id="389" w:name="_Toc283622446"/>
      <w:bookmarkStart w:id="390" w:name="_Toc285803611"/>
      <w:bookmarkStart w:id="391" w:name="_Toc306600853"/>
      <w:bookmarkStart w:id="392" w:name="_Toc312136879"/>
      <w:bookmarkStart w:id="393" w:name="_Toc322411170"/>
      <w:bookmarkStart w:id="394" w:name="_Toc338237674"/>
      <w:bookmarkStart w:id="395" w:name="_Toc348951215"/>
      <w:bookmarkStart w:id="396" w:name="_Toc361749615"/>
      <w:bookmarkStart w:id="397" w:name="_Toc372623759"/>
      <w:bookmarkStart w:id="398" w:name="_Toc375025058"/>
      <w:bookmarkStart w:id="399" w:name="_Toc386109944"/>
      <w:bookmarkStart w:id="400" w:name="_Toc388357777"/>
      <w:bookmarkStart w:id="401" w:name="_Toc396114681"/>
      <w:bookmarkStart w:id="402" w:name="_Toc411855067"/>
      <w:bookmarkStart w:id="403" w:name="_Toc419795268"/>
      <w:bookmarkStart w:id="404" w:name="_Toc427736656"/>
      <w:bookmarkStart w:id="405" w:name="_Toc438546456"/>
      <w:bookmarkStart w:id="406" w:name="_Toc446326440"/>
      <w:bookmarkStart w:id="407" w:name="_Toc448824625"/>
      <w:bookmarkStart w:id="408" w:name="_Toc451505669"/>
      <w:bookmarkStart w:id="409" w:name="_Toc462212092"/>
      <w:bookmarkStart w:id="410" w:name="_Toc468096012"/>
      <w:bookmarkStart w:id="411" w:name="_Toc477853490"/>
      <w:bookmarkStart w:id="412" w:name="_Toc488735434"/>
      <w:bookmarkStart w:id="413" w:name="_Toc491176251"/>
      <w:bookmarkStart w:id="414" w:name="_Toc509393168"/>
      <w:bookmarkStart w:id="415" w:name="_Toc525114335"/>
      <w:bookmarkStart w:id="416" w:name="_Toc535996732"/>
      <w:bookmarkStart w:id="417" w:name="_Toc33439474"/>
      <w:bookmarkStart w:id="418" w:name="_Toc57884309"/>
      <w:bookmarkStart w:id="419" w:name="_Toc77839492"/>
      <w:bookmarkStart w:id="420" w:name="_Toc78883665"/>
      <w:bookmarkStart w:id="421" w:name="_Toc90989190"/>
      <w:bookmarkStart w:id="422" w:name="_Toc98918391"/>
      <w:bookmarkStart w:id="423" w:name="_Toc101426802"/>
      <w:bookmarkStart w:id="424" w:name="_Toc112162473"/>
      <w:bookmarkStart w:id="425" w:name="_Toc119930085"/>
      <w:bookmarkStart w:id="426" w:name="_Toc128048061"/>
      <w:bookmarkStart w:id="427" w:name="_Toc164249645"/>
      <w:bookmarkStart w:id="428" w:name="_Toc189048113"/>
      <w:bookmarkStart w:id="429" w:name="_Toc201138770"/>
      <w:bookmarkStart w:id="430" w:name="_Toc201146021"/>
      <w:bookmarkStart w:id="431" w:name="_Toc224818498"/>
      <w:r w:rsidRPr="001531CD">
        <w:t>E</w:t>
      </w:r>
      <w:r w:rsidR="00CF626A" w:rsidRPr="001531CD">
        <w:t>xhibit E</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7DC95F20" w14:textId="77777777" w:rsidR="00CF626A" w:rsidRPr="001531CD" w:rsidRDefault="00CF626A" w:rsidP="00675FBA">
      <w:pPr>
        <w:pStyle w:val="A"/>
        <w:keepNext/>
        <w:jc w:val="center"/>
      </w:pPr>
      <w:r w:rsidRPr="001531CD">
        <w:t>CONDITIONAL APPROVAL</w:t>
      </w:r>
    </w:p>
    <w:p w14:paraId="31534A08" w14:textId="77777777" w:rsidR="00CF626A" w:rsidRPr="001531CD" w:rsidRDefault="00CF626A" w:rsidP="00675FBA">
      <w:pPr>
        <w:pStyle w:val="A"/>
        <w:keepNext/>
        <w:ind w:left="432" w:firstLine="0"/>
        <w:rPr>
          <w:sz w:val="16"/>
        </w:rPr>
      </w:pPr>
      <w:r w:rsidRPr="001531CD">
        <w:rPr>
          <w:sz w:val="16"/>
        </w:rPr>
        <w:t>(National Bank)</w:t>
      </w:r>
    </w:p>
    <w:p w14:paraId="634BF50A" w14:textId="77777777" w:rsidR="00CF626A" w:rsidRPr="001531CD" w:rsidRDefault="00CF626A" w:rsidP="00675FBA">
      <w:pPr>
        <w:pStyle w:val="A"/>
        <w:keepNext/>
        <w:ind w:left="432" w:right="432" w:firstLine="0"/>
        <w:rPr>
          <w:sz w:val="16"/>
        </w:rPr>
      </w:pPr>
      <w:r w:rsidRPr="001531CD">
        <w:rPr>
          <w:sz w:val="16"/>
        </w:rPr>
        <w:t>Sir:</w:t>
      </w:r>
    </w:p>
    <w:p w14:paraId="74045C31" w14:textId="77777777" w:rsidR="00CF626A" w:rsidRPr="001531CD" w:rsidRDefault="00CF626A" w:rsidP="00675FBA">
      <w:pPr>
        <w:pStyle w:val="A"/>
        <w:keepNext/>
        <w:spacing w:after="60"/>
        <w:ind w:left="432" w:right="432"/>
        <w:rPr>
          <w:sz w:val="16"/>
        </w:rPr>
      </w:pPr>
      <w:r w:rsidRPr="001531CD">
        <w:rPr>
          <w:sz w:val="16"/>
        </w:rPr>
        <w:t>You are hereby notified that your proposal to enter into repurchase obligation to the Louisiana Agricultural Finance Authority ("Authority") has been tentatively approved pending completion of and signing a repurchase obligation, a form of which is enclosed. This approval is based upon the information and representations provided by you in your proposal to enter into repurchase obligation application and is expressly conditioned upon the accuracy of such information and timely completion of the repurchase obligation.</w:t>
      </w:r>
    </w:p>
    <w:p w14:paraId="6651C2A7" w14:textId="77777777" w:rsidR="00CF626A" w:rsidRPr="001531CD" w:rsidRDefault="00CF626A">
      <w:pPr>
        <w:pStyle w:val="A"/>
        <w:spacing w:after="60"/>
        <w:ind w:left="432" w:right="432"/>
        <w:rPr>
          <w:sz w:val="16"/>
        </w:rPr>
      </w:pPr>
      <w:r w:rsidRPr="001531CD">
        <w:rPr>
          <w:sz w:val="16"/>
        </w:rPr>
        <w:t>Pursuant to our earlier correspondence, the terms of the</w:t>
      </w:r>
      <w:r w:rsidRPr="001531CD">
        <w:t xml:space="preserve"> </w:t>
      </w:r>
      <w:r w:rsidRPr="001531CD">
        <w:rPr>
          <w:sz w:val="16"/>
        </w:rPr>
        <w:t>loan shall be as follows:</w:t>
      </w:r>
    </w:p>
    <w:p w14:paraId="69A56E70" w14:textId="77777777" w:rsidR="00CF626A" w:rsidRPr="001531CD" w:rsidRDefault="00CF626A">
      <w:pPr>
        <w:pStyle w:val="A"/>
        <w:spacing w:after="60"/>
        <w:ind w:left="432" w:right="432"/>
        <w:rPr>
          <w:sz w:val="16"/>
        </w:rPr>
      </w:pPr>
      <w:r w:rsidRPr="001531CD">
        <w:rPr>
          <w:sz w:val="16"/>
        </w:rPr>
        <w:t>(Terms of Refinanced Loan)</w:t>
      </w:r>
    </w:p>
    <w:p w14:paraId="0A8A9C80" w14:textId="77777777" w:rsidR="00CF626A" w:rsidRPr="001531CD" w:rsidRDefault="00CF626A">
      <w:pPr>
        <w:pStyle w:val="A"/>
        <w:spacing w:after="60"/>
        <w:ind w:left="432" w:right="432"/>
        <w:rPr>
          <w:sz w:val="16"/>
        </w:rPr>
      </w:pPr>
      <w:r w:rsidRPr="001531CD">
        <w:rPr>
          <w:sz w:val="16"/>
        </w:rPr>
        <w:t>Please execute and return the enclosed repurchase obligation within fourteen days of the postmark of this conditional approval to the offices of the Louisiana Agricultural Finance Authority, Department of Agriculture, 12055 Airline Highway, Baton Rouge, LA 70816, Attention: Director. If the Repurchase Obligation is not received by the Authority within fourteen days of the postmark on the letter delivering this Conditional Approval, the Authority may discontinue consideration of the applicant's loan.</w:t>
      </w:r>
    </w:p>
    <w:p w14:paraId="02A29DDD" w14:textId="77777777" w:rsidR="00CF626A" w:rsidRPr="001531CD" w:rsidRDefault="00CF626A">
      <w:pPr>
        <w:pStyle w:val="A"/>
        <w:ind w:left="432" w:right="432"/>
        <w:rPr>
          <w:sz w:val="16"/>
        </w:rPr>
      </w:pPr>
      <w:r w:rsidRPr="001531CD">
        <w:rPr>
          <w:sz w:val="16"/>
        </w:rPr>
        <w:t>Sincerely,</w:t>
      </w:r>
    </w:p>
    <w:p w14:paraId="338EE613" w14:textId="77777777" w:rsidR="00CF626A" w:rsidRPr="001531CD" w:rsidRDefault="00CF626A" w:rsidP="00F03863">
      <w:pPr>
        <w:pStyle w:val="A"/>
        <w:ind w:left="432" w:right="432" w:firstLine="0"/>
        <w:jc w:val="center"/>
        <w:outlineLvl w:val="0"/>
        <w:rPr>
          <w:sz w:val="16"/>
        </w:rPr>
      </w:pPr>
      <w:r w:rsidRPr="001531CD">
        <w:rPr>
          <w:sz w:val="16"/>
        </w:rPr>
        <w:t>LOUISIANA AGRICULTURAL FINANCE AUTHORITY</w:t>
      </w:r>
    </w:p>
    <w:p w14:paraId="0C1D48FD" w14:textId="77777777" w:rsidR="00CF626A" w:rsidRPr="001531CD" w:rsidRDefault="008F013B" w:rsidP="008F013B">
      <w:pPr>
        <w:pStyle w:val="Section"/>
        <w:jc w:val="center"/>
      </w:pPr>
      <w:bookmarkStart w:id="432" w:name="_Toc235869544"/>
      <w:bookmarkStart w:id="433" w:name="_Toc254254846"/>
      <w:bookmarkStart w:id="434" w:name="_Toc256754288"/>
      <w:bookmarkStart w:id="435" w:name="_Toc264623749"/>
      <w:bookmarkStart w:id="436" w:name="_Toc283622447"/>
      <w:bookmarkStart w:id="437" w:name="_Toc285803612"/>
      <w:bookmarkStart w:id="438" w:name="_Toc306600854"/>
      <w:bookmarkStart w:id="439" w:name="_Toc312136880"/>
      <w:bookmarkStart w:id="440" w:name="_Toc322411171"/>
      <w:bookmarkStart w:id="441" w:name="_Toc338237675"/>
      <w:bookmarkStart w:id="442" w:name="_Toc348951216"/>
      <w:bookmarkStart w:id="443" w:name="_Toc361749616"/>
      <w:bookmarkStart w:id="444" w:name="_Toc372623760"/>
      <w:bookmarkStart w:id="445" w:name="_Toc375025059"/>
      <w:bookmarkStart w:id="446" w:name="_Toc386109945"/>
      <w:bookmarkStart w:id="447" w:name="_Toc388357778"/>
      <w:bookmarkStart w:id="448" w:name="_Toc396114682"/>
      <w:bookmarkStart w:id="449" w:name="_Toc411855068"/>
      <w:bookmarkStart w:id="450" w:name="_Toc419795269"/>
      <w:bookmarkStart w:id="451" w:name="_Toc427736657"/>
      <w:bookmarkStart w:id="452" w:name="_Toc438546457"/>
      <w:bookmarkStart w:id="453" w:name="_Toc446326441"/>
      <w:bookmarkStart w:id="454" w:name="_Toc448824626"/>
      <w:bookmarkStart w:id="455" w:name="_Toc451505670"/>
      <w:bookmarkStart w:id="456" w:name="_Toc462212093"/>
      <w:bookmarkStart w:id="457" w:name="_Toc468096013"/>
      <w:bookmarkStart w:id="458" w:name="_Toc477853491"/>
      <w:bookmarkStart w:id="459" w:name="_Toc488735435"/>
      <w:bookmarkStart w:id="460" w:name="_Toc491176252"/>
      <w:bookmarkStart w:id="461" w:name="_Toc509393169"/>
      <w:bookmarkStart w:id="462" w:name="_Toc525114336"/>
      <w:bookmarkStart w:id="463" w:name="_Toc535996733"/>
      <w:bookmarkStart w:id="464" w:name="_Toc33439475"/>
      <w:bookmarkStart w:id="465" w:name="_Toc57884310"/>
      <w:bookmarkStart w:id="466" w:name="_Toc77839493"/>
      <w:bookmarkStart w:id="467" w:name="_Toc78883666"/>
      <w:bookmarkStart w:id="468" w:name="_Toc90989191"/>
      <w:bookmarkStart w:id="469" w:name="_Toc98918392"/>
      <w:bookmarkStart w:id="470" w:name="_Toc101426803"/>
      <w:bookmarkStart w:id="471" w:name="_Toc112162474"/>
      <w:bookmarkStart w:id="472" w:name="_Toc119930086"/>
      <w:bookmarkStart w:id="473" w:name="_Toc128048062"/>
      <w:bookmarkStart w:id="474" w:name="_Toc164249646"/>
      <w:bookmarkStart w:id="475" w:name="_Toc189048114"/>
      <w:bookmarkStart w:id="476" w:name="_Toc201138771"/>
      <w:bookmarkStart w:id="477" w:name="_Toc201146022"/>
      <w:bookmarkStart w:id="478" w:name="_Toc224818499"/>
      <w:r w:rsidRPr="001531CD">
        <w:t>E</w:t>
      </w:r>
      <w:r w:rsidR="00CF626A" w:rsidRPr="001531CD">
        <w:t>xhibit F</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5A85D379" w14:textId="77777777" w:rsidR="00CF626A" w:rsidRPr="001531CD" w:rsidRDefault="00CF626A">
      <w:pPr>
        <w:pStyle w:val="A"/>
        <w:spacing w:after="0"/>
        <w:jc w:val="center"/>
      </w:pPr>
      <w:r w:rsidRPr="001531CD">
        <w:t>ELIGIBLE COLLATERAL AND</w:t>
      </w:r>
    </w:p>
    <w:p w14:paraId="5B0EA052" w14:textId="77777777" w:rsidR="00CF626A" w:rsidRPr="001531CD" w:rsidRDefault="00CF626A">
      <w:pPr>
        <w:pStyle w:val="A"/>
        <w:jc w:val="center"/>
      </w:pPr>
      <w:r w:rsidRPr="001531CD">
        <w:t>COLLATERAL LEVELS</w:t>
      </w:r>
    </w:p>
    <w:p w14:paraId="5B29620C" w14:textId="77777777" w:rsidR="00CF626A" w:rsidRPr="001531CD" w:rsidRDefault="00CF626A">
      <w:pPr>
        <w:pStyle w:val="A"/>
        <w:spacing w:after="200"/>
        <w:jc w:val="center"/>
        <w:rPr>
          <w:sz w:val="16"/>
        </w:rPr>
      </w:pPr>
      <w:r w:rsidRPr="001531CD">
        <w:rPr>
          <w:sz w:val="16"/>
        </w:rPr>
        <w:t>REPURCHASE OBLIGATIONS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52"/>
        <w:gridCol w:w="2196"/>
      </w:tblGrid>
      <w:tr w:rsidR="00CF626A" w:rsidRPr="001531CD" w14:paraId="5F8B8811" w14:textId="77777777">
        <w:trPr>
          <w:cantSplit/>
          <w:jc w:val="center"/>
        </w:trPr>
        <w:tc>
          <w:tcPr>
            <w:tcW w:w="2652" w:type="dxa"/>
            <w:shd w:val="clear" w:color="000000" w:fill="E0E0E0"/>
          </w:tcPr>
          <w:p w14:paraId="5DA354A7"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Type of Collateral Security</w:t>
            </w:r>
          </w:p>
        </w:tc>
        <w:tc>
          <w:tcPr>
            <w:tcW w:w="2196" w:type="dxa"/>
            <w:shd w:val="clear" w:color="000000" w:fill="E0E0E0"/>
            <w:vAlign w:val="bottom"/>
          </w:tcPr>
          <w:p w14:paraId="5DF372E4"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 of Market Value to be Sold</w:t>
            </w:r>
          </w:p>
        </w:tc>
      </w:tr>
      <w:tr w:rsidR="00CF626A" w:rsidRPr="001531CD" w14:paraId="3B5B31AE" w14:textId="77777777">
        <w:trPr>
          <w:cantSplit/>
          <w:jc w:val="center"/>
        </w:trPr>
        <w:tc>
          <w:tcPr>
            <w:tcW w:w="2652" w:type="dxa"/>
          </w:tcPr>
          <w:p w14:paraId="06EFDBF5"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FHLMC Participation Certificates</w:t>
            </w:r>
            <w:r w:rsidRPr="001531CD">
              <w:rPr>
                <w:kern w:val="2"/>
                <w:sz w:val="16"/>
                <w:vertAlign w:val="superscript"/>
              </w:rPr>
              <w:t>1</w:t>
            </w:r>
          </w:p>
        </w:tc>
        <w:tc>
          <w:tcPr>
            <w:tcW w:w="2196" w:type="dxa"/>
            <w:vAlign w:val="bottom"/>
          </w:tcPr>
          <w:p w14:paraId="3AD5E912"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14:paraId="09AD3B4F" w14:textId="77777777">
        <w:trPr>
          <w:cantSplit/>
          <w:jc w:val="center"/>
        </w:trPr>
        <w:tc>
          <w:tcPr>
            <w:tcW w:w="2652" w:type="dxa"/>
          </w:tcPr>
          <w:p w14:paraId="348DA765"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GNMA Pass-Through Certificates</w:t>
            </w:r>
            <w:r w:rsidRPr="001531CD">
              <w:rPr>
                <w:kern w:val="2"/>
                <w:sz w:val="16"/>
                <w:vertAlign w:val="superscript"/>
              </w:rPr>
              <w:t>1</w:t>
            </w:r>
          </w:p>
        </w:tc>
        <w:tc>
          <w:tcPr>
            <w:tcW w:w="2196" w:type="dxa"/>
            <w:vAlign w:val="bottom"/>
          </w:tcPr>
          <w:p w14:paraId="395B9699"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147.0%</w:t>
            </w:r>
          </w:p>
        </w:tc>
      </w:tr>
      <w:tr w:rsidR="00CF626A" w:rsidRPr="001531CD" w14:paraId="6F91AB55" w14:textId="77777777">
        <w:trPr>
          <w:cantSplit/>
          <w:jc w:val="center"/>
        </w:trPr>
        <w:tc>
          <w:tcPr>
            <w:tcW w:w="2652" w:type="dxa"/>
          </w:tcPr>
          <w:p w14:paraId="55C9035D"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FNMA Pass-Through Certificates</w:t>
            </w:r>
            <w:r w:rsidRPr="001531CD">
              <w:rPr>
                <w:kern w:val="2"/>
                <w:sz w:val="16"/>
                <w:vertAlign w:val="superscript"/>
              </w:rPr>
              <w:t>1</w:t>
            </w:r>
          </w:p>
        </w:tc>
        <w:tc>
          <w:tcPr>
            <w:tcW w:w="2196" w:type="dxa"/>
            <w:vAlign w:val="bottom"/>
          </w:tcPr>
          <w:p w14:paraId="1B92F36F"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14:paraId="1F513AF1" w14:textId="77777777">
        <w:trPr>
          <w:cantSplit/>
          <w:jc w:val="center"/>
        </w:trPr>
        <w:tc>
          <w:tcPr>
            <w:tcW w:w="2652" w:type="dxa"/>
          </w:tcPr>
          <w:p w14:paraId="4266DD0E"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Cash and Federal Funds</w:t>
            </w:r>
          </w:p>
        </w:tc>
        <w:tc>
          <w:tcPr>
            <w:tcW w:w="2196" w:type="dxa"/>
            <w:vAlign w:val="bottom"/>
          </w:tcPr>
          <w:p w14:paraId="7F3B419E"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w:t>
            </w:r>
          </w:p>
        </w:tc>
      </w:tr>
      <w:tr w:rsidR="00CF626A" w:rsidRPr="001531CD" w14:paraId="55395A03" w14:textId="77777777">
        <w:trPr>
          <w:cantSplit/>
          <w:jc w:val="center"/>
        </w:trPr>
        <w:tc>
          <w:tcPr>
            <w:tcW w:w="2652" w:type="dxa"/>
          </w:tcPr>
          <w:p w14:paraId="0A4F02CD" w14:textId="77777777" w:rsidR="00CF626A" w:rsidRPr="001531CD" w:rsidRDefault="00CF626A">
            <w:pPr>
              <w:keepNext/>
              <w:ind w:left="72" w:hanging="72"/>
              <w:rPr>
                <w:kern w:val="2"/>
                <w:sz w:val="16"/>
              </w:rPr>
            </w:pPr>
            <w:r w:rsidRPr="001531CD">
              <w:rPr>
                <w:kern w:val="2"/>
                <w:sz w:val="16"/>
              </w:rPr>
              <w:t>Government Securities</w:t>
            </w:r>
            <w:r w:rsidRPr="001531CD">
              <w:rPr>
                <w:kern w:val="2"/>
                <w:sz w:val="16"/>
                <w:vertAlign w:val="superscript"/>
              </w:rPr>
              <w:t>2</w:t>
            </w:r>
            <w:r w:rsidRPr="001531CD">
              <w:rPr>
                <w:kern w:val="2"/>
                <w:sz w:val="16"/>
              </w:rPr>
              <w:t xml:space="preserve"> with a</w:t>
            </w:r>
            <w:r w:rsidRPr="001531CD">
              <w:rPr>
                <w:sz w:val="16"/>
              </w:rPr>
              <w:t xml:space="preserve"> </w:t>
            </w:r>
            <w:r w:rsidRPr="001531CD">
              <w:rPr>
                <w:kern w:val="2"/>
                <w:sz w:val="16"/>
              </w:rPr>
              <w:t>remaining term to Maturity of up to and including:</w:t>
            </w:r>
          </w:p>
        </w:tc>
        <w:tc>
          <w:tcPr>
            <w:tcW w:w="2196" w:type="dxa"/>
          </w:tcPr>
          <w:p w14:paraId="142B1E62"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w:t>
            </w:r>
          </w:p>
        </w:tc>
      </w:tr>
      <w:tr w:rsidR="00CF626A" w:rsidRPr="001531CD" w14:paraId="563E16D1" w14:textId="77777777">
        <w:trPr>
          <w:cantSplit/>
          <w:jc w:val="center"/>
        </w:trPr>
        <w:tc>
          <w:tcPr>
            <w:tcW w:w="2652" w:type="dxa"/>
          </w:tcPr>
          <w:p w14:paraId="143EF8B6"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one year</w:t>
            </w:r>
          </w:p>
        </w:tc>
        <w:tc>
          <w:tcPr>
            <w:tcW w:w="2196" w:type="dxa"/>
            <w:vAlign w:val="bottom"/>
          </w:tcPr>
          <w:p w14:paraId="4ED82CDE"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108.0%</w:t>
            </w:r>
          </w:p>
        </w:tc>
      </w:tr>
      <w:tr w:rsidR="00CF626A" w:rsidRPr="001531CD" w14:paraId="19810E1C" w14:textId="77777777">
        <w:trPr>
          <w:cantSplit/>
          <w:jc w:val="center"/>
        </w:trPr>
        <w:tc>
          <w:tcPr>
            <w:tcW w:w="2652" w:type="dxa"/>
          </w:tcPr>
          <w:p w14:paraId="26FE256C"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five years</w:t>
            </w:r>
          </w:p>
        </w:tc>
        <w:tc>
          <w:tcPr>
            <w:tcW w:w="2196" w:type="dxa"/>
            <w:vAlign w:val="bottom"/>
          </w:tcPr>
          <w:p w14:paraId="7EEE5D5F"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128.0%</w:t>
            </w:r>
          </w:p>
        </w:tc>
      </w:tr>
      <w:tr w:rsidR="00CF626A" w:rsidRPr="001531CD" w14:paraId="4BA7D0C6" w14:textId="77777777">
        <w:trPr>
          <w:cantSplit/>
          <w:jc w:val="center"/>
        </w:trPr>
        <w:tc>
          <w:tcPr>
            <w:tcW w:w="2652" w:type="dxa"/>
          </w:tcPr>
          <w:p w14:paraId="070700BF"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ten years</w:t>
            </w:r>
          </w:p>
        </w:tc>
        <w:tc>
          <w:tcPr>
            <w:tcW w:w="2196" w:type="dxa"/>
            <w:vAlign w:val="bottom"/>
          </w:tcPr>
          <w:p w14:paraId="32B4582F"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135.0%</w:t>
            </w:r>
          </w:p>
        </w:tc>
      </w:tr>
      <w:tr w:rsidR="00CF626A" w:rsidRPr="001531CD" w14:paraId="6B9E9B52" w14:textId="77777777">
        <w:trPr>
          <w:cantSplit/>
          <w:jc w:val="center"/>
        </w:trPr>
        <w:tc>
          <w:tcPr>
            <w:tcW w:w="2652" w:type="dxa"/>
          </w:tcPr>
          <w:p w14:paraId="000123A2"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fifteen years</w:t>
            </w:r>
          </w:p>
        </w:tc>
        <w:tc>
          <w:tcPr>
            <w:tcW w:w="2196" w:type="dxa"/>
            <w:vAlign w:val="bottom"/>
          </w:tcPr>
          <w:p w14:paraId="46C0C050"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140.0%</w:t>
            </w:r>
          </w:p>
        </w:tc>
      </w:tr>
      <w:tr w:rsidR="00CF626A" w:rsidRPr="001531CD" w14:paraId="7E0E6796" w14:textId="77777777">
        <w:trPr>
          <w:cantSplit/>
          <w:jc w:val="center"/>
        </w:trPr>
        <w:tc>
          <w:tcPr>
            <w:tcW w:w="2652" w:type="dxa"/>
          </w:tcPr>
          <w:p w14:paraId="3EB993D2"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thirty years</w:t>
            </w:r>
          </w:p>
        </w:tc>
        <w:tc>
          <w:tcPr>
            <w:tcW w:w="2196" w:type="dxa"/>
            <w:vAlign w:val="bottom"/>
          </w:tcPr>
          <w:p w14:paraId="7068C304"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bl>
    <w:p w14:paraId="09A8DE81" w14:textId="77777777" w:rsidR="00CF626A" w:rsidRPr="001531CD" w:rsidRDefault="00CF626A">
      <w:pPr>
        <w:pStyle w:val="A"/>
        <w:spacing w:before="200" w:after="200"/>
        <w:jc w:val="center"/>
        <w:rPr>
          <w:sz w:val="16"/>
        </w:rPr>
      </w:pPr>
      <w:r w:rsidRPr="001531CD">
        <w:rPr>
          <w:sz w:val="16"/>
        </w:rPr>
        <w:t>LETTERS OF CREDIT/GUARANTIES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16"/>
        <w:gridCol w:w="2232"/>
      </w:tblGrid>
      <w:tr w:rsidR="00CF626A" w:rsidRPr="001531CD" w14:paraId="554B1E80" w14:textId="77777777" w:rsidTr="00675FBA">
        <w:trPr>
          <w:cantSplit/>
          <w:tblHeader/>
          <w:jc w:val="center"/>
        </w:trPr>
        <w:tc>
          <w:tcPr>
            <w:tcW w:w="2616" w:type="dxa"/>
            <w:shd w:val="clear" w:color="000000" w:fill="E0E0E0"/>
          </w:tcPr>
          <w:p w14:paraId="2E6CBBD4"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bookmarkStart w:id="479" w:name="Place"/>
            <w:r w:rsidRPr="001531CD">
              <w:rPr>
                <w:b/>
                <w:bCs/>
                <w:kern w:val="2"/>
                <w:sz w:val="16"/>
              </w:rPr>
              <w:t>Type of Collateral Security</w:t>
            </w:r>
          </w:p>
        </w:tc>
        <w:tc>
          <w:tcPr>
            <w:tcW w:w="2232" w:type="dxa"/>
            <w:shd w:val="clear" w:color="000000" w:fill="E0E0E0"/>
            <w:vAlign w:val="bottom"/>
          </w:tcPr>
          <w:p w14:paraId="1C6E7A00"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 of Market Value to be Pledged</w:t>
            </w:r>
          </w:p>
        </w:tc>
      </w:tr>
      <w:bookmarkEnd w:id="479"/>
      <w:tr w:rsidR="00CF626A" w:rsidRPr="001531CD" w14:paraId="260A4AB5" w14:textId="77777777">
        <w:trPr>
          <w:cantSplit/>
          <w:jc w:val="center"/>
        </w:trPr>
        <w:tc>
          <w:tcPr>
            <w:tcW w:w="2616" w:type="dxa"/>
          </w:tcPr>
          <w:p w14:paraId="3DDDFFCC"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FHLMC Participation Certificates</w:t>
            </w:r>
            <w:r w:rsidRPr="001531CD">
              <w:rPr>
                <w:kern w:val="2"/>
                <w:sz w:val="16"/>
                <w:vertAlign w:val="superscript"/>
              </w:rPr>
              <w:t>1</w:t>
            </w:r>
          </w:p>
        </w:tc>
        <w:tc>
          <w:tcPr>
            <w:tcW w:w="2232" w:type="dxa"/>
            <w:vAlign w:val="bottom"/>
          </w:tcPr>
          <w:p w14:paraId="08AB1326"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14:paraId="1A0E64C0" w14:textId="77777777">
        <w:trPr>
          <w:cantSplit/>
          <w:jc w:val="center"/>
        </w:trPr>
        <w:tc>
          <w:tcPr>
            <w:tcW w:w="2616" w:type="dxa"/>
          </w:tcPr>
          <w:p w14:paraId="73E0DA8B"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GNMA Pass-Through Certificates</w:t>
            </w:r>
            <w:r w:rsidRPr="001531CD">
              <w:rPr>
                <w:kern w:val="2"/>
                <w:sz w:val="16"/>
                <w:vertAlign w:val="superscript"/>
              </w:rPr>
              <w:t>1</w:t>
            </w:r>
          </w:p>
        </w:tc>
        <w:tc>
          <w:tcPr>
            <w:tcW w:w="2232" w:type="dxa"/>
            <w:vAlign w:val="bottom"/>
          </w:tcPr>
          <w:p w14:paraId="142CE9B4"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147.0%</w:t>
            </w:r>
          </w:p>
        </w:tc>
      </w:tr>
      <w:tr w:rsidR="00CF626A" w:rsidRPr="001531CD" w14:paraId="29833809" w14:textId="77777777">
        <w:trPr>
          <w:cantSplit/>
          <w:jc w:val="center"/>
        </w:trPr>
        <w:tc>
          <w:tcPr>
            <w:tcW w:w="2616" w:type="dxa"/>
          </w:tcPr>
          <w:p w14:paraId="353BE2BB"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FNMA Pass-Through Certificates</w:t>
            </w:r>
            <w:r w:rsidRPr="001531CD">
              <w:rPr>
                <w:kern w:val="2"/>
                <w:sz w:val="16"/>
                <w:vertAlign w:val="superscript"/>
              </w:rPr>
              <w:t>1</w:t>
            </w:r>
          </w:p>
        </w:tc>
        <w:tc>
          <w:tcPr>
            <w:tcW w:w="2232" w:type="dxa"/>
            <w:vAlign w:val="bottom"/>
          </w:tcPr>
          <w:p w14:paraId="5575F6A0"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14:paraId="72808DD8" w14:textId="77777777">
        <w:trPr>
          <w:cantSplit/>
          <w:jc w:val="center"/>
        </w:trPr>
        <w:tc>
          <w:tcPr>
            <w:tcW w:w="2616" w:type="dxa"/>
          </w:tcPr>
          <w:p w14:paraId="2A0977EE"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Cash and Federal Funds</w:t>
            </w:r>
          </w:p>
        </w:tc>
        <w:tc>
          <w:tcPr>
            <w:tcW w:w="2232" w:type="dxa"/>
            <w:vAlign w:val="bottom"/>
          </w:tcPr>
          <w:p w14:paraId="484AA3F3"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w:t>
            </w:r>
          </w:p>
        </w:tc>
      </w:tr>
      <w:tr w:rsidR="00CF626A" w:rsidRPr="001531CD" w14:paraId="0D1F65E2" w14:textId="77777777">
        <w:trPr>
          <w:cantSplit/>
          <w:jc w:val="center"/>
        </w:trPr>
        <w:tc>
          <w:tcPr>
            <w:tcW w:w="2616" w:type="dxa"/>
          </w:tcPr>
          <w:p w14:paraId="48CE9F3D" w14:textId="77777777" w:rsidR="00CF626A" w:rsidRPr="001531CD" w:rsidRDefault="00CF626A" w:rsidP="00675FBA">
            <w:pPr>
              <w:ind w:left="72" w:hanging="72"/>
              <w:rPr>
                <w:kern w:val="2"/>
                <w:sz w:val="16"/>
              </w:rPr>
            </w:pPr>
            <w:r w:rsidRPr="001531CD">
              <w:rPr>
                <w:kern w:val="2"/>
                <w:sz w:val="16"/>
              </w:rPr>
              <w:t>Government Securities</w:t>
            </w:r>
            <w:r w:rsidRPr="001531CD">
              <w:rPr>
                <w:kern w:val="2"/>
                <w:sz w:val="16"/>
                <w:vertAlign w:val="superscript"/>
              </w:rPr>
              <w:t>2</w:t>
            </w:r>
            <w:r w:rsidRPr="001531CD">
              <w:rPr>
                <w:kern w:val="2"/>
                <w:sz w:val="16"/>
              </w:rPr>
              <w:t xml:space="preserve"> with a remaining term to Maturity of up to and including:</w:t>
            </w:r>
          </w:p>
        </w:tc>
        <w:tc>
          <w:tcPr>
            <w:tcW w:w="2232" w:type="dxa"/>
          </w:tcPr>
          <w:p w14:paraId="39BFC618"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w:t>
            </w:r>
          </w:p>
        </w:tc>
      </w:tr>
      <w:tr w:rsidR="00CF626A" w:rsidRPr="001531CD" w14:paraId="4F4114CA" w14:textId="77777777">
        <w:trPr>
          <w:cantSplit/>
          <w:jc w:val="center"/>
        </w:trPr>
        <w:tc>
          <w:tcPr>
            <w:tcW w:w="2616" w:type="dxa"/>
          </w:tcPr>
          <w:p w14:paraId="08943671"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one year</w:t>
            </w:r>
          </w:p>
        </w:tc>
        <w:tc>
          <w:tcPr>
            <w:tcW w:w="2232" w:type="dxa"/>
            <w:vAlign w:val="bottom"/>
          </w:tcPr>
          <w:p w14:paraId="38F94E64"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108.0%</w:t>
            </w:r>
          </w:p>
        </w:tc>
      </w:tr>
      <w:tr w:rsidR="00CF626A" w:rsidRPr="001531CD" w14:paraId="3363F12E" w14:textId="77777777">
        <w:trPr>
          <w:cantSplit/>
          <w:jc w:val="center"/>
        </w:trPr>
        <w:tc>
          <w:tcPr>
            <w:tcW w:w="2616" w:type="dxa"/>
          </w:tcPr>
          <w:p w14:paraId="0EC767A5"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five years</w:t>
            </w:r>
          </w:p>
        </w:tc>
        <w:tc>
          <w:tcPr>
            <w:tcW w:w="2232" w:type="dxa"/>
            <w:vAlign w:val="bottom"/>
          </w:tcPr>
          <w:p w14:paraId="12DFEBC0"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128.0%</w:t>
            </w:r>
          </w:p>
        </w:tc>
      </w:tr>
      <w:tr w:rsidR="00CF626A" w:rsidRPr="001531CD" w14:paraId="12201842" w14:textId="77777777">
        <w:trPr>
          <w:cantSplit/>
          <w:jc w:val="center"/>
        </w:trPr>
        <w:tc>
          <w:tcPr>
            <w:tcW w:w="2616" w:type="dxa"/>
          </w:tcPr>
          <w:p w14:paraId="1C282FAE"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ten years</w:t>
            </w:r>
          </w:p>
        </w:tc>
        <w:tc>
          <w:tcPr>
            <w:tcW w:w="2232" w:type="dxa"/>
            <w:vAlign w:val="bottom"/>
          </w:tcPr>
          <w:p w14:paraId="4CB9E201"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135.0%</w:t>
            </w:r>
          </w:p>
        </w:tc>
      </w:tr>
      <w:tr w:rsidR="00CF626A" w:rsidRPr="001531CD" w14:paraId="7862396A" w14:textId="77777777">
        <w:trPr>
          <w:cantSplit/>
          <w:jc w:val="center"/>
        </w:trPr>
        <w:tc>
          <w:tcPr>
            <w:tcW w:w="2616" w:type="dxa"/>
          </w:tcPr>
          <w:p w14:paraId="744F51EC"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fifteen years</w:t>
            </w:r>
          </w:p>
        </w:tc>
        <w:tc>
          <w:tcPr>
            <w:tcW w:w="2232" w:type="dxa"/>
            <w:vAlign w:val="bottom"/>
          </w:tcPr>
          <w:p w14:paraId="2206C28C"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140.0%</w:t>
            </w:r>
          </w:p>
        </w:tc>
      </w:tr>
      <w:tr w:rsidR="00CF626A" w:rsidRPr="001531CD" w14:paraId="167A6354" w14:textId="77777777">
        <w:trPr>
          <w:cantSplit/>
          <w:jc w:val="center"/>
        </w:trPr>
        <w:tc>
          <w:tcPr>
            <w:tcW w:w="2616" w:type="dxa"/>
          </w:tcPr>
          <w:p w14:paraId="6B419F6D"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thirty years</w:t>
            </w:r>
          </w:p>
        </w:tc>
        <w:tc>
          <w:tcPr>
            <w:tcW w:w="2232" w:type="dxa"/>
            <w:vAlign w:val="bottom"/>
          </w:tcPr>
          <w:p w14:paraId="4F8E059E"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14:paraId="59E5FAE0" w14:textId="77777777">
        <w:trPr>
          <w:cantSplit/>
          <w:jc w:val="center"/>
        </w:trPr>
        <w:tc>
          <w:tcPr>
            <w:tcW w:w="2616" w:type="dxa"/>
          </w:tcPr>
          <w:p w14:paraId="70415AB0"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FHA/VA Mortgage Notes</w:t>
            </w:r>
            <w:r w:rsidRPr="001531CD">
              <w:rPr>
                <w:kern w:val="2"/>
                <w:sz w:val="16"/>
                <w:vertAlign w:val="superscript"/>
              </w:rPr>
              <w:t>3</w:t>
            </w:r>
          </w:p>
        </w:tc>
        <w:tc>
          <w:tcPr>
            <w:tcW w:w="2232" w:type="dxa"/>
            <w:vAlign w:val="bottom"/>
          </w:tcPr>
          <w:p w14:paraId="16411597"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14:paraId="64739D43" w14:textId="77777777">
        <w:trPr>
          <w:cantSplit/>
          <w:jc w:val="center"/>
        </w:trPr>
        <w:tc>
          <w:tcPr>
            <w:tcW w:w="2616" w:type="dxa"/>
          </w:tcPr>
          <w:p w14:paraId="66D645FB"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Conventional Mortgage Notes</w:t>
            </w:r>
            <w:r w:rsidRPr="001531CD">
              <w:rPr>
                <w:kern w:val="2"/>
                <w:sz w:val="16"/>
                <w:vertAlign w:val="superscript"/>
              </w:rPr>
              <w:t>3</w:t>
            </w:r>
          </w:p>
        </w:tc>
        <w:tc>
          <w:tcPr>
            <w:tcW w:w="2232" w:type="dxa"/>
            <w:vAlign w:val="bottom"/>
          </w:tcPr>
          <w:p w14:paraId="45478985"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14:paraId="0FC598FB" w14:textId="77777777">
        <w:trPr>
          <w:cantSplit/>
          <w:jc w:val="center"/>
        </w:trPr>
        <w:tc>
          <w:tcPr>
            <w:tcW w:w="2616" w:type="dxa"/>
          </w:tcPr>
          <w:p w14:paraId="42650D66"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Conventional Mortgage Notes―ARMS</w:t>
            </w:r>
            <w:r w:rsidRPr="001531CD">
              <w:rPr>
                <w:kern w:val="2"/>
                <w:sz w:val="16"/>
                <w:vertAlign w:val="superscript"/>
              </w:rPr>
              <w:t>3</w:t>
            </w:r>
          </w:p>
        </w:tc>
        <w:tc>
          <w:tcPr>
            <w:tcW w:w="2232" w:type="dxa"/>
            <w:vAlign w:val="bottom"/>
          </w:tcPr>
          <w:p w14:paraId="39BFD7C6" w14:textId="77777777"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170.0%</w:t>
            </w:r>
          </w:p>
        </w:tc>
      </w:tr>
      <w:tr w:rsidR="00CF626A" w:rsidRPr="001531CD" w14:paraId="7201B25B" w14:textId="77777777">
        <w:trPr>
          <w:cantSplit/>
          <w:jc w:val="center"/>
        </w:trPr>
        <w:tc>
          <w:tcPr>
            <w:tcW w:w="2616" w:type="dxa"/>
          </w:tcPr>
          <w:p w14:paraId="2A8A84B1"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FHA/VA Mortgage Notes―ARMS</w:t>
            </w:r>
            <w:r w:rsidRPr="001531CD">
              <w:rPr>
                <w:kern w:val="2"/>
                <w:sz w:val="16"/>
                <w:vertAlign w:val="superscript"/>
              </w:rPr>
              <w:t>3</w:t>
            </w:r>
          </w:p>
        </w:tc>
        <w:tc>
          <w:tcPr>
            <w:tcW w:w="2232" w:type="dxa"/>
            <w:vAlign w:val="bottom"/>
          </w:tcPr>
          <w:p w14:paraId="1F1133EC"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170.0%</w:t>
            </w:r>
          </w:p>
        </w:tc>
      </w:tr>
    </w:tbl>
    <w:p w14:paraId="46245427" w14:textId="77777777" w:rsidR="00CF626A" w:rsidRPr="001531CD" w:rsidRDefault="00CF626A">
      <w:pPr>
        <w:pStyle w:val="A"/>
        <w:spacing w:before="120" w:after="0"/>
        <w:ind w:left="432" w:right="432"/>
        <w:rPr>
          <w:sz w:val="16"/>
        </w:rPr>
      </w:pPr>
      <w:r w:rsidRPr="001531CD">
        <w:rPr>
          <w:sz w:val="16"/>
          <w:vertAlign w:val="superscript"/>
        </w:rPr>
        <w:t>1</w:t>
      </w:r>
      <w:r w:rsidRPr="001531CD">
        <w:rPr>
          <w:sz w:val="16"/>
        </w:rPr>
        <w:t>Assumptions:</w:t>
      </w:r>
    </w:p>
    <w:p w14:paraId="7ABD492F" w14:textId="77777777"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Certificates represent undivided interest in pool of fixed-rate single family mortgage loans with no further negative amortization.</w:t>
      </w:r>
    </w:p>
    <w:p w14:paraId="4AAD9B4A" w14:textId="77777777"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Registered in name of, and held by, bond trustee.</w:t>
      </w:r>
    </w:p>
    <w:p w14:paraId="012B529C" w14:textId="77777777" w:rsidR="00CF626A" w:rsidRPr="001531CD" w:rsidRDefault="00CF626A">
      <w:pPr>
        <w:pStyle w:val="1"/>
        <w:tabs>
          <w:tab w:val="clear" w:pos="979"/>
          <w:tab w:val="left" w:pos="1080"/>
        </w:tabs>
        <w:spacing w:after="0"/>
        <w:ind w:left="1109" w:right="432" w:hanging="317"/>
        <w:rPr>
          <w:sz w:val="16"/>
        </w:rPr>
      </w:pPr>
      <w:r w:rsidRPr="001531CD">
        <w:rPr>
          <w:sz w:val="16"/>
        </w:rPr>
        <w:t>3.</w:t>
      </w:r>
      <w:r w:rsidRPr="001531CD">
        <w:rPr>
          <w:sz w:val="16"/>
        </w:rPr>
        <w:tab/>
        <w:t>Collateral cash flow released to collateral provider so long as requisite collateral level maintained.</w:t>
      </w:r>
    </w:p>
    <w:p w14:paraId="760CCD49" w14:textId="77777777" w:rsidR="00CF626A" w:rsidRPr="001531CD" w:rsidRDefault="00CF626A">
      <w:pPr>
        <w:pStyle w:val="1"/>
        <w:tabs>
          <w:tab w:val="clear" w:pos="979"/>
          <w:tab w:val="left" w:pos="1080"/>
        </w:tabs>
        <w:spacing w:after="0"/>
        <w:ind w:left="1109" w:right="432" w:hanging="317"/>
        <w:rPr>
          <w:sz w:val="16"/>
        </w:rPr>
      </w:pPr>
      <w:r w:rsidRPr="001531CD">
        <w:rPr>
          <w:sz w:val="16"/>
        </w:rPr>
        <w:t>4.</w:t>
      </w:r>
      <w:r w:rsidRPr="001531CD">
        <w:rPr>
          <w:sz w:val="16"/>
        </w:rPr>
        <w:tab/>
        <w:t>Collateral levels assume collateral proceeds will cover up to six months of accrued interest at maximum rate of 12 percent/annum.</w:t>
      </w:r>
    </w:p>
    <w:p w14:paraId="642C6693" w14:textId="77777777" w:rsidR="00CF626A" w:rsidRPr="001531CD" w:rsidRDefault="00CF626A">
      <w:pPr>
        <w:pStyle w:val="1"/>
        <w:tabs>
          <w:tab w:val="clear" w:pos="979"/>
          <w:tab w:val="left" w:pos="1080"/>
        </w:tabs>
        <w:spacing w:after="0"/>
        <w:ind w:left="1109" w:right="432" w:hanging="317"/>
        <w:rPr>
          <w:sz w:val="16"/>
        </w:rPr>
      </w:pPr>
      <w:r w:rsidRPr="001531CD">
        <w:rPr>
          <w:sz w:val="16"/>
        </w:rPr>
        <w:t>5.</w:t>
      </w:r>
      <w:r w:rsidRPr="001531CD">
        <w:rPr>
          <w:sz w:val="16"/>
        </w:rPr>
        <w:tab/>
        <w:t>Collateral securities marked to market on a monthly basis.</w:t>
      </w:r>
    </w:p>
    <w:p w14:paraId="166800ED" w14:textId="77777777" w:rsidR="00CF626A" w:rsidRPr="001531CD" w:rsidRDefault="00CF626A">
      <w:pPr>
        <w:pStyle w:val="1"/>
        <w:tabs>
          <w:tab w:val="clear" w:pos="979"/>
          <w:tab w:val="left" w:pos="1080"/>
        </w:tabs>
        <w:spacing w:after="0"/>
        <w:ind w:left="1109" w:right="432" w:hanging="317"/>
        <w:rPr>
          <w:sz w:val="16"/>
        </w:rPr>
      </w:pPr>
      <w:r w:rsidRPr="001531CD">
        <w:rPr>
          <w:sz w:val="16"/>
        </w:rPr>
        <w:t>6.</w:t>
      </w:r>
      <w:r w:rsidRPr="001531CD">
        <w:rPr>
          <w:sz w:val="16"/>
        </w:rPr>
        <w:tab/>
        <w:t>Collateral provider has two business days to cause any deficiency in collateral level requirement.</w:t>
      </w:r>
    </w:p>
    <w:p w14:paraId="2EF850AD" w14:textId="77777777" w:rsidR="00CF626A" w:rsidRPr="001531CD" w:rsidRDefault="00CF626A">
      <w:pPr>
        <w:pStyle w:val="1"/>
        <w:tabs>
          <w:tab w:val="clear" w:pos="979"/>
          <w:tab w:val="left" w:pos="1080"/>
        </w:tabs>
        <w:spacing w:after="0"/>
        <w:ind w:left="1109" w:right="432" w:hanging="317"/>
        <w:rPr>
          <w:sz w:val="16"/>
        </w:rPr>
      </w:pPr>
      <w:r w:rsidRPr="001531CD">
        <w:rPr>
          <w:sz w:val="16"/>
        </w:rPr>
        <w:lastRenderedPageBreak/>
        <w:t>7.</w:t>
      </w:r>
      <w:r w:rsidRPr="001531CD">
        <w:rPr>
          <w:sz w:val="16"/>
        </w:rPr>
        <w:tab/>
        <w:t>Collateral cannot be valued in an amount greater then the lesser of</w:t>
      </w:r>
    </w:p>
    <w:p w14:paraId="073BC8C1" w14:textId="77777777" w:rsidR="00CF626A" w:rsidRPr="001531CD" w:rsidRDefault="00CF626A">
      <w:pPr>
        <w:pStyle w:val="a0"/>
        <w:tabs>
          <w:tab w:val="left" w:pos="1320"/>
        </w:tabs>
        <w:spacing w:after="0"/>
        <w:ind w:left="432" w:right="432" w:firstLine="648"/>
        <w:rPr>
          <w:sz w:val="16"/>
        </w:rPr>
      </w:pPr>
      <w:r w:rsidRPr="001531CD">
        <w:rPr>
          <w:sz w:val="16"/>
        </w:rPr>
        <w:t>a.</w:t>
      </w:r>
      <w:r w:rsidRPr="001531CD">
        <w:rPr>
          <w:sz w:val="16"/>
        </w:rPr>
        <w:tab/>
        <w:t>100 percent of its redemption value of</w:t>
      </w:r>
    </w:p>
    <w:p w14:paraId="1B9147AB" w14:textId="77777777" w:rsidR="00CF626A" w:rsidRPr="001531CD" w:rsidRDefault="00CF626A">
      <w:pPr>
        <w:pStyle w:val="a0"/>
        <w:tabs>
          <w:tab w:val="left" w:pos="1320"/>
        </w:tabs>
        <w:spacing w:after="0"/>
        <w:ind w:left="432" w:right="432" w:firstLine="648"/>
        <w:rPr>
          <w:sz w:val="16"/>
        </w:rPr>
      </w:pPr>
      <w:r w:rsidRPr="001531CD">
        <w:rPr>
          <w:sz w:val="16"/>
        </w:rPr>
        <w:t>b.</w:t>
      </w:r>
      <w:r w:rsidRPr="001531CD">
        <w:rPr>
          <w:sz w:val="16"/>
        </w:rPr>
        <w:tab/>
        <w:t>100 percent of its maturity value.</w:t>
      </w:r>
    </w:p>
    <w:p w14:paraId="2F771D66" w14:textId="77777777" w:rsidR="00CF626A" w:rsidRPr="001531CD" w:rsidRDefault="00CF626A" w:rsidP="0034445B">
      <w:pPr>
        <w:pStyle w:val="A"/>
        <w:keepNext/>
        <w:spacing w:after="0"/>
        <w:ind w:left="432" w:right="432"/>
        <w:rPr>
          <w:sz w:val="16"/>
        </w:rPr>
      </w:pPr>
      <w:r w:rsidRPr="001531CD">
        <w:rPr>
          <w:sz w:val="16"/>
          <w:vertAlign w:val="superscript"/>
        </w:rPr>
        <w:t>2</w:t>
      </w:r>
      <w:r w:rsidRPr="001531CD">
        <w:rPr>
          <w:sz w:val="16"/>
        </w:rPr>
        <w:t>Assumptions:</w:t>
      </w:r>
    </w:p>
    <w:p w14:paraId="07AFA754" w14:textId="77777777"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"Government Securities" are obligations which are direct obligations or which are fully guaranteed by the full faith and credit, of the United States of America which pay periodic interest and pay principal at maturity or call.</w:t>
      </w:r>
    </w:p>
    <w:p w14:paraId="78B2E9C0" w14:textId="77777777"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The assumptions in 3, 4, 5, 6, and 7 in Footnote 1 above apply to Government Securities.</w:t>
      </w:r>
    </w:p>
    <w:p w14:paraId="02BE5959" w14:textId="77777777" w:rsidR="00CF626A" w:rsidRPr="001531CD" w:rsidRDefault="00CF626A">
      <w:pPr>
        <w:pStyle w:val="A"/>
        <w:spacing w:after="0"/>
        <w:ind w:left="432" w:right="432"/>
        <w:rPr>
          <w:sz w:val="16"/>
        </w:rPr>
      </w:pPr>
      <w:r w:rsidRPr="001531CD">
        <w:rPr>
          <w:sz w:val="16"/>
          <w:vertAlign w:val="superscript"/>
        </w:rPr>
        <w:t>3</w:t>
      </w:r>
      <w:r w:rsidRPr="001531CD">
        <w:rPr>
          <w:sz w:val="16"/>
        </w:rPr>
        <w:t>Assumptions:</w:t>
      </w:r>
    </w:p>
    <w:p w14:paraId="5B7662B4" w14:textId="77777777"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Mortgage loans meet the requirements of a prime collateral pool.</w:t>
      </w:r>
    </w:p>
    <w:p w14:paraId="67B57625" w14:textId="77777777"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The assumptions in 3, 4, 5, 6, and 7 in Footnote 1 above apply to Conventional/FHA/VA Mortgages.</w:t>
      </w:r>
    </w:p>
    <w:p w14:paraId="378269B8" w14:textId="77777777" w:rsidR="00CF626A" w:rsidRPr="001531CD" w:rsidRDefault="00CF626A">
      <w:pPr>
        <w:pStyle w:val="AuthorityNote"/>
        <w:spacing w:before="120"/>
      </w:pPr>
      <w:r w:rsidRPr="001531CD">
        <w:t>AUTHORITY NOTE:</w:t>
      </w:r>
      <w:r w:rsidRPr="001531CD">
        <w:tab/>
        <w:t>Promulgated in accordance with R.S. 3:266(4).</w:t>
      </w:r>
    </w:p>
    <w:p w14:paraId="211E907C" w14:textId="77777777" w:rsidR="00CF626A" w:rsidRPr="001531CD" w:rsidRDefault="00CF626A">
      <w:pPr>
        <w:pStyle w:val="HistoricalNote"/>
      </w:pPr>
      <w:r w:rsidRPr="001531CD">
        <w:t>HISTORICAL NOTE:</w:t>
      </w:r>
      <w:r w:rsidRPr="001531CD">
        <w:tab/>
        <w:t>Promulgated by the Department of Agriculture and Forestry, Agricultural Finance Authority, LR 17:167 (February 1991).</w:t>
      </w:r>
    </w:p>
    <w:p w14:paraId="2C99BA51" w14:textId="77777777" w:rsidR="00CF626A" w:rsidRPr="001531CD" w:rsidRDefault="00CF626A">
      <w:pPr>
        <w:pStyle w:val="Section"/>
      </w:pPr>
      <w:bookmarkStart w:id="480" w:name="_Toc256754289"/>
      <w:bookmarkStart w:id="481" w:name="_Toc224818500"/>
      <w:r w:rsidRPr="001531CD">
        <w:t>§139.</w:t>
      </w:r>
      <w:r w:rsidRPr="001531CD">
        <w:tab/>
        <w:t>Meaning of National Bank</w:t>
      </w:r>
      <w:bookmarkEnd w:id="480"/>
      <w:bookmarkEnd w:id="481"/>
    </w:p>
    <w:p w14:paraId="208D8407" w14:textId="77777777" w:rsidR="00CF626A" w:rsidRPr="001531CD" w:rsidRDefault="00CF626A">
      <w:pPr>
        <w:pStyle w:val="A"/>
      </w:pPr>
      <w:r w:rsidRPr="001531CD">
        <w:t>A.</w:t>
      </w:r>
      <w:r w:rsidRPr="001531CD">
        <w:tab/>
        <w:t>For any and all programs and regulations that Louisiana Agricultural Finance Authority (LAFA) has implemented or will implement, LAFA hereby deems the term "national bank" to include banks of foreign nations which are national in scope of operations in their domicile nation.</w:t>
      </w:r>
    </w:p>
    <w:p w14:paraId="700EC8C5" w14:textId="77777777" w:rsidR="00CF626A" w:rsidRPr="001531CD" w:rsidRDefault="00CF626A">
      <w:pPr>
        <w:pStyle w:val="AuthorityNote"/>
      </w:pPr>
      <w:r w:rsidRPr="001531CD">
        <w:t>AUTHORITY NOTE:</w:t>
      </w:r>
      <w:r w:rsidRPr="001531CD">
        <w:tab/>
        <w:t>Promulgated in accordance with R.S. 3:266(4).</w:t>
      </w:r>
    </w:p>
    <w:p w14:paraId="023931AB" w14:textId="77777777" w:rsidR="00CF626A" w:rsidRPr="001531CD" w:rsidRDefault="00CF626A">
      <w:pPr>
        <w:pStyle w:val="HistoricalNote"/>
      </w:pPr>
      <w:r w:rsidRPr="001531CD">
        <w:t>HISTORICAL NOTE:</w:t>
      </w:r>
      <w:r w:rsidRPr="001531CD">
        <w:tab/>
        <w:t>Promulgated by the Department of Agriculture and Forestry, Agricultural Finance Authority, LR 17:249 (March 1991).</w:t>
      </w:r>
    </w:p>
    <w:p w14:paraId="67332996" w14:textId="77777777" w:rsidR="00CF626A" w:rsidRPr="001531CD" w:rsidRDefault="00CF626A">
      <w:pPr>
        <w:pStyle w:val="Section"/>
      </w:pPr>
      <w:bookmarkStart w:id="482" w:name="_Toc256754290"/>
      <w:bookmarkStart w:id="483" w:name="_Toc224818501"/>
      <w:r w:rsidRPr="001531CD">
        <w:t>§141.</w:t>
      </w:r>
      <w:r w:rsidRPr="001531CD">
        <w:tab/>
        <w:t>Construction of Maximum Amounts of Loans</w:t>
      </w:r>
      <w:bookmarkEnd w:id="482"/>
      <w:bookmarkEnd w:id="483"/>
    </w:p>
    <w:p w14:paraId="30CF4FBD" w14:textId="77777777" w:rsidR="00CF626A" w:rsidRPr="001531CD" w:rsidRDefault="00CF626A">
      <w:pPr>
        <w:pStyle w:val="A"/>
      </w:pPr>
      <w:r w:rsidRPr="001531CD">
        <w:t>A.</w:t>
      </w:r>
      <w:r w:rsidRPr="001531CD">
        <w:tab/>
        <w:t>Wherever regulations adopted or to be adopted by Louisiana Agricultural Finance Authority (LAFA) establish a maximum dollar amount of a transaction or loan that LAFA may purchase or sell or contract to purchase or sell but do not expressly place a restriction on the number of transactions or loans that any one borrower may receive or be involved with, the maximum dollar amount shall apply only to each transactions or loan and shall not restrict the number of transactions or loans per borrower. Accordingly, all regulations that are intended to prohibit multiple transactions or loans to or with borrowers shall expressly limit the number of transactions or loans per borrower.</w:t>
      </w:r>
    </w:p>
    <w:p w14:paraId="1C32D3E3" w14:textId="77777777" w:rsidR="00CF626A" w:rsidRPr="001531CD" w:rsidRDefault="00CF626A">
      <w:pPr>
        <w:pStyle w:val="AuthorityNote"/>
      </w:pPr>
      <w:r w:rsidRPr="001531CD">
        <w:t>AUTHORITY NOTE:</w:t>
      </w:r>
      <w:r w:rsidRPr="001531CD">
        <w:tab/>
        <w:t>Promulgated in accordance with R.S. 3:266(4).</w:t>
      </w:r>
    </w:p>
    <w:p w14:paraId="64F77737" w14:textId="77777777" w:rsidR="00CF626A" w:rsidRPr="001531CD" w:rsidRDefault="00CF626A">
      <w:pPr>
        <w:pStyle w:val="HistoricalNote"/>
      </w:pPr>
      <w:r w:rsidRPr="001531CD">
        <w:t>HISTORICAL NOTE:</w:t>
      </w:r>
      <w:r w:rsidRPr="001531CD">
        <w:tab/>
        <w:t>Promulgated by the Department of Agriculture and Forestry, Agricultural Finance Authority, LR 17:249 (March 1991).</w:t>
      </w:r>
    </w:p>
    <w:p w14:paraId="04A56B53" w14:textId="77777777" w:rsidR="002217AB" w:rsidRPr="001531CD" w:rsidRDefault="00C94DD4" w:rsidP="002217AB">
      <w:pPr>
        <w:pStyle w:val="Chapter"/>
      </w:pPr>
      <w:bookmarkStart w:id="484" w:name="_Toc256754291"/>
      <w:bookmarkStart w:id="485" w:name="_Toc224818502"/>
      <w:r>
        <w:t>Chapter 3.</w:t>
      </w:r>
      <w:r w:rsidR="001413E4">
        <w:tab/>
      </w:r>
      <w:r w:rsidR="002217AB" w:rsidRPr="001531CD">
        <w:t>Farm and Agribusiness Recovery and Loan Program</w:t>
      </w:r>
      <w:bookmarkEnd w:id="484"/>
      <w:bookmarkEnd w:id="485"/>
      <w:r w:rsidR="002217AB" w:rsidRPr="001531CD">
        <w:t xml:space="preserve"> </w:t>
      </w:r>
    </w:p>
    <w:p w14:paraId="591309AC" w14:textId="77777777" w:rsidR="002217AB" w:rsidRPr="001531CD" w:rsidRDefault="002217AB" w:rsidP="002217AB">
      <w:pPr>
        <w:pStyle w:val="Section"/>
      </w:pPr>
      <w:bookmarkStart w:id="486" w:name="_Toc256754292"/>
      <w:bookmarkStart w:id="487" w:name="_Toc224818503"/>
      <w:r w:rsidRPr="001531CD">
        <w:t>§301.</w:t>
      </w:r>
      <w:r w:rsidRPr="001531CD">
        <w:tab/>
        <w:t>Farm and Agribusiness Recovery and Loan Program; Establishment of; Purpose; Limitations; Terms</w:t>
      </w:r>
      <w:bookmarkEnd w:id="486"/>
      <w:bookmarkEnd w:id="487"/>
      <w:r w:rsidRPr="001531CD">
        <w:t xml:space="preserve"> </w:t>
      </w:r>
    </w:p>
    <w:p w14:paraId="4A66E001" w14:textId="77777777" w:rsidR="002217AB" w:rsidRPr="001531CD" w:rsidRDefault="002217AB" w:rsidP="002217AB">
      <w:pPr>
        <w:pStyle w:val="A"/>
      </w:pPr>
      <w:r w:rsidRPr="001531CD">
        <w:t>A.</w:t>
      </w:r>
      <w:r w:rsidRPr="001531CD">
        <w:tab/>
        <w:t>The Farm and Agribusiness Recovery and Loan Program is hereby established.</w:t>
      </w:r>
    </w:p>
    <w:p w14:paraId="67AC5C01" w14:textId="77777777" w:rsidR="002217AB" w:rsidRPr="001531CD" w:rsidRDefault="002217AB" w:rsidP="002217AB">
      <w:pPr>
        <w:pStyle w:val="A"/>
      </w:pPr>
      <w:r w:rsidRPr="001531CD">
        <w:t>B.</w:t>
      </w:r>
      <w:r w:rsidRPr="001531CD">
        <w:tab/>
        <w:t>The Farm and Agribusiness Recovery and Loan Program provides loans, grants, or a combination thereof to agricultural producers or agribusinesses for the purpose of aiding in the recovery from the 2008 hurricanes, Gustav and Ike, and to subsequently provide Louisiana agricultural producers and agribusinesses additional financial resources for recovery from any future disasters and for the maintenance and growth of agriculture in Louisiana.</w:t>
      </w:r>
    </w:p>
    <w:p w14:paraId="5A5283CE" w14:textId="77777777" w:rsidR="002217AB" w:rsidRPr="001531CD" w:rsidRDefault="002217AB" w:rsidP="002217AB">
      <w:pPr>
        <w:pStyle w:val="A"/>
      </w:pPr>
      <w:r w:rsidRPr="001531CD">
        <w:t>C.</w:t>
      </w:r>
      <w:r w:rsidRPr="001531CD">
        <w:tab/>
        <w:t>The limits on loans and grants from the Farm and Agribusiness Recovery and Loan Program are as follows:</w:t>
      </w:r>
    </w:p>
    <w:p w14:paraId="2A974FD4" w14:textId="77777777" w:rsidR="002217AB" w:rsidRPr="001531CD" w:rsidRDefault="002217AB" w:rsidP="002217AB">
      <w:pPr>
        <w:pStyle w:val="1"/>
      </w:pPr>
      <w:r w:rsidRPr="001531CD">
        <w:t>1.</w:t>
      </w:r>
      <w:r w:rsidRPr="001531CD">
        <w:tab/>
        <w:t>Agricultural producers may receive a minimum of $10,000 and up to a maximum of $100,000. The amount provided shall be a combination of an 80 percent loan and 20 percent grant.</w:t>
      </w:r>
    </w:p>
    <w:p w14:paraId="09DE3144" w14:textId="77777777" w:rsidR="002217AB" w:rsidRPr="001531CD" w:rsidRDefault="002217AB" w:rsidP="002217AB">
      <w:pPr>
        <w:pStyle w:val="1"/>
      </w:pPr>
      <w:r w:rsidRPr="001531CD">
        <w:t>2.</w:t>
      </w:r>
      <w:r w:rsidRPr="001531CD">
        <w:tab/>
        <w:t>Agribusinesses may receive a minimum of $10,000 and up to a maximum of $250,000 in the form of a direct loan.</w:t>
      </w:r>
    </w:p>
    <w:p w14:paraId="2C14A87D" w14:textId="77777777" w:rsidR="002217AB" w:rsidRPr="001531CD" w:rsidRDefault="002217AB" w:rsidP="002217AB">
      <w:pPr>
        <w:pStyle w:val="A"/>
      </w:pPr>
      <w:r w:rsidRPr="001531CD">
        <w:t>D.</w:t>
      </w:r>
      <w:r w:rsidRPr="001531CD">
        <w:tab/>
        <w:t>The general terms under which disbursements will be made are as follows.</w:t>
      </w:r>
    </w:p>
    <w:p w14:paraId="2F909263" w14:textId="77777777" w:rsidR="002217AB" w:rsidRPr="001531CD" w:rsidRDefault="002217AB" w:rsidP="002217AB">
      <w:pPr>
        <w:pStyle w:val="1"/>
      </w:pPr>
      <w:r w:rsidRPr="001531CD">
        <w:t>1.</w:t>
      </w:r>
      <w:r w:rsidRPr="001531CD">
        <w:tab/>
        <w:t>Interest at the rate of 1 ½ percent interest per annum will be charged on the unpaid balance of all loans made under this program.</w:t>
      </w:r>
    </w:p>
    <w:p w14:paraId="584CA4AC" w14:textId="77777777" w:rsidR="002217AB" w:rsidRPr="001531CD" w:rsidRDefault="002217AB" w:rsidP="002217AB">
      <w:pPr>
        <w:pStyle w:val="1"/>
      </w:pPr>
      <w:r w:rsidRPr="001531CD">
        <w:t>2.</w:t>
      </w:r>
      <w:r w:rsidRPr="001531CD">
        <w:tab/>
        <w:t>The maximum term of any loan shall be 10 years.</w:t>
      </w:r>
    </w:p>
    <w:p w14:paraId="0F5649FB" w14:textId="77777777" w:rsidR="002217AB" w:rsidRPr="001531CD" w:rsidRDefault="002217AB" w:rsidP="002217AB">
      <w:pPr>
        <w:pStyle w:val="1"/>
      </w:pPr>
      <w:r w:rsidRPr="001531CD">
        <w:t>3.</w:t>
      </w:r>
      <w:r w:rsidRPr="001531CD">
        <w:tab/>
        <w:t>Any grant given in combination with a loan shall be subject to being repaid if the loan plus interest is not paid in full or if the loan goes into default.</w:t>
      </w:r>
    </w:p>
    <w:p w14:paraId="7C60E072" w14:textId="77777777" w:rsidR="002217AB" w:rsidRPr="001531CD" w:rsidRDefault="002217AB" w:rsidP="002217AB">
      <w:pPr>
        <w:pStyle w:val="1"/>
      </w:pPr>
      <w:r w:rsidRPr="001531CD">
        <w:t>4.</w:t>
      </w:r>
      <w:r w:rsidRPr="001531CD">
        <w:tab/>
        <w:t>Normal and customary terms of loans regarding notices, defaults, late fees, attorney fees, and other matters customarily spelled out in a promissory note or other negotiable instrument. Such terms, as authorized by LAFA, shall be in the negotiable instrument approved by LAFA.</w:t>
      </w:r>
    </w:p>
    <w:p w14:paraId="2B8F7372" w14:textId="77777777" w:rsidR="002217AB" w:rsidRPr="001531CD" w:rsidRDefault="002217AB" w:rsidP="002217AB">
      <w:pPr>
        <w:pStyle w:val="AuthorityNote"/>
      </w:pPr>
      <w:r w:rsidRPr="001531CD">
        <w:t>AUTHORITY NOTE:</w:t>
      </w:r>
      <w:r w:rsidRPr="001531CD">
        <w:tab/>
        <w:t xml:space="preserve">Promulgated in accordance with R. S. 3:266. </w:t>
      </w:r>
    </w:p>
    <w:p w14:paraId="394CA3F9"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024325" w:rsidRPr="001531CD">
        <w:t>466 (March 2010).</w:t>
      </w:r>
    </w:p>
    <w:p w14:paraId="4C3B4CD7" w14:textId="77777777" w:rsidR="002217AB" w:rsidRPr="001531CD" w:rsidRDefault="002217AB" w:rsidP="002217AB">
      <w:pPr>
        <w:pStyle w:val="Section"/>
      </w:pPr>
      <w:bookmarkStart w:id="488" w:name="_Toc256754293"/>
      <w:bookmarkStart w:id="489" w:name="_Toc224818504"/>
      <w:r w:rsidRPr="001531CD">
        <w:t>§303.</w:t>
      </w:r>
      <w:r w:rsidRPr="001531CD">
        <w:tab/>
        <w:t>Eligibility of Applicant</w:t>
      </w:r>
      <w:bookmarkEnd w:id="488"/>
      <w:bookmarkEnd w:id="489"/>
    </w:p>
    <w:p w14:paraId="19FFB597" w14:textId="77777777" w:rsidR="002217AB" w:rsidRPr="001531CD" w:rsidRDefault="002217AB" w:rsidP="002217AB">
      <w:pPr>
        <w:pStyle w:val="A"/>
      </w:pPr>
      <w:r w:rsidRPr="001531CD">
        <w:t>A.</w:t>
      </w:r>
      <w:r w:rsidRPr="001531CD">
        <w:tab/>
        <w:t>An agricultural producer experiencing a 2008 storm related loss shall be eligible to receive money from the Farm and Agribusiness Recovery and Loan Program upon meeting the following requirements:</w:t>
      </w:r>
    </w:p>
    <w:p w14:paraId="01E62166" w14:textId="77777777" w:rsidR="002217AB" w:rsidRPr="001531CD" w:rsidRDefault="002217AB" w:rsidP="002217AB">
      <w:pPr>
        <w:pStyle w:val="1"/>
      </w:pPr>
      <w:r w:rsidRPr="001531CD">
        <w:t>1.</w:t>
      </w:r>
      <w:r w:rsidRPr="001531CD">
        <w:tab/>
        <w:t>the farm upon which a loss occurred must be located in Louisiana;</w:t>
      </w:r>
    </w:p>
    <w:p w14:paraId="749BFABA" w14:textId="77777777" w:rsidR="002217AB" w:rsidRPr="001531CD" w:rsidRDefault="002217AB" w:rsidP="002217AB">
      <w:pPr>
        <w:pStyle w:val="1"/>
      </w:pPr>
      <w:r w:rsidRPr="001531CD">
        <w:t>2.</w:t>
      </w:r>
      <w:r w:rsidRPr="001531CD">
        <w:tab/>
        <w:t>active agricultural operations must have been ongoing before the 2008 storms occurred and continue to be ongoing thereafter;</w:t>
      </w:r>
    </w:p>
    <w:p w14:paraId="1EEEA603" w14:textId="77777777" w:rsidR="002217AB" w:rsidRPr="001531CD" w:rsidRDefault="002217AB" w:rsidP="002217AB">
      <w:pPr>
        <w:pStyle w:val="1"/>
      </w:pPr>
      <w:r w:rsidRPr="001531CD">
        <w:t>3.</w:t>
      </w:r>
      <w:r w:rsidRPr="001531CD">
        <w:tab/>
        <w:t>a minimum annual gross revenue of $25,000 from the agricultural operations must have been received in 2007 or in 2008 prior to the storms;</w:t>
      </w:r>
    </w:p>
    <w:p w14:paraId="446395FC" w14:textId="77777777" w:rsidR="002217AB" w:rsidRPr="001531CD" w:rsidRDefault="002217AB" w:rsidP="002217AB">
      <w:pPr>
        <w:pStyle w:val="1"/>
      </w:pPr>
      <w:r w:rsidRPr="001531CD">
        <w:t>4.</w:t>
      </w:r>
      <w:r w:rsidRPr="001531CD">
        <w:tab/>
        <w:t>suffered a minimum storm related loss of $10,000;</w:t>
      </w:r>
    </w:p>
    <w:p w14:paraId="3B7DB6AB" w14:textId="77777777" w:rsidR="002217AB" w:rsidRPr="001531CD" w:rsidRDefault="002217AB" w:rsidP="002217AB">
      <w:pPr>
        <w:pStyle w:val="1"/>
      </w:pPr>
      <w:r w:rsidRPr="001531CD">
        <w:t>5.</w:t>
      </w:r>
      <w:r w:rsidRPr="001531CD">
        <w:tab/>
        <w:t>employed one or more person (including owner) full time during the previous year.</w:t>
      </w:r>
    </w:p>
    <w:p w14:paraId="60D59AF5" w14:textId="77777777" w:rsidR="002217AB" w:rsidRPr="001531CD" w:rsidRDefault="002217AB" w:rsidP="002217AB">
      <w:pPr>
        <w:pStyle w:val="A"/>
      </w:pPr>
      <w:r w:rsidRPr="001531CD">
        <w:lastRenderedPageBreak/>
        <w:t>B.</w:t>
      </w:r>
      <w:r w:rsidRPr="001531CD">
        <w:tab/>
        <w:t>An agribusiness experiencing a 2008 storm related loss shall be eligible to receive money from the Louisiana Farm and Agribusiness Recovery and Loan Program upon meeting the following requirements.</w:t>
      </w:r>
    </w:p>
    <w:p w14:paraId="7DA684DD" w14:textId="77777777" w:rsidR="002217AB" w:rsidRPr="001531CD" w:rsidRDefault="002217AB" w:rsidP="002217AB">
      <w:pPr>
        <w:pStyle w:val="1"/>
      </w:pPr>
      <w:r w:rsidRPr="001531CD">
        <w:t>1.</w:t>
      </w:r>
      <w:r w:rsidRPr="001531CD">
        <w:tab/>
        <w:t>The agribusiness must be physically located in Louisiana.</w:t>
      </w:r>
    </w:p>
    <w:p w14:paraId="784406A5" w14:textId="77777777" w:rsidR="002217AB" w:rsidRPr="001531CD" w:rsidRDefault="002217AB" w:rsidP="002217AB">
      <w:pPr>
        <w:pStyle w:val="1"/>
      </w:pPr>
      <w:r w:rsidRPr="001531CD">
        <w:t>2.</w:t>
      </w:r>
      <w:r w:rsidRPr="001531CD">
        <w:tab/>
        <w:t>Active agribusiness operations must have been ongoing before the 2008 storms occurred and continue to be ongoing from the time active agribusiness operations could resume after the storms up to the date of application.</w:t>
      </w:r>
    </w:p>
    <w:p w14:paraId="64BFEB97" w14:textId="77777777" w:rsidR="002217AB" w:rsidRPr="001531CD" w:rsidRDefault="002217AB" w:rsidP="002217AB">
      <w:pPr>
        <w:pStyle w:val="1"/>
      </w:pPr>
      <w:r w:rsidRPr="001531CD">
        <w:t>3.</w:t>
      </w:r>
      <w:r w:rsidRPr="001531CD">
        <w:tab/>
        <w:t>A minimum annual gross revenue of $25,000 from the agribusiness operations must have been received in 2007 or in 2008 prior to the storms.</w:t>
      </w:r>
    </w:p>
    <w:p w14:paraId="31BDDF3E" w14:textId="77777777" w:rsidR="002217AB" w:rsidRPr="001531CD" w:rsidRDefault="002217AB" w:rsidP="002217AB">
      <w:pPr>
        <w:pStyle w:val="1"/>
      </w:pPr>
      <w:r w:rsidRPr="001531CD">
        <w:t>4.</w:t>
      </w:r>
      <w:r w:rsidRPr="001531CD">
        <w:tab/>
        <w:t>Employed at least 2 full time employees (including owner) in 2008, prior to the storms and support at least two other indirect jobs in this state.</w:t>
      </w:r>
    </w:p>
    <w:p w14:paraId="5C2A09C4" w14:textId="77777777" w:rsidR="002217AB" w:rsidRPr="001531CD" w:rsidRDefault="002217AB" w:rsidP="002217AB">
      <w:pPr>
        <w:pStyle w:val="1"/>
      </w:pPr>
      <w:r w:rsidRPr="001531CD">
        <w:t>5.</w:t>
      </w:r>
      <w:r w:rsidRPr="001531CD">
        <w:tab/>
        <w:t>Experienced a 20 percent decline in gross agribusiness revenue for the period of time in 2008 after the storms occurred as compared to gross agribusiness revenue for the same time period in 2007 or experienced a combined tangible property loss and revenue loss of $10,000 or more.</w:t>
      </w:r>
    </w:p>
    <w:p w14:paraId="53C57F8A" w14:textId="77777777" w:rsidR="002217AB" w:rsidRPr="001531CD" w:rsidRDefault="002217AB" w:rsidP="002217AB">
      <w:pPr>
        <w:pStyle w:val="AuthorityNote"/>
      </w:pPr>
      <w:r w:rsidRPr="001531CD">
        <w:t>AUTHORITY NOTE:</w:t>
      </w:r>
      <w:r w:rsidRPr="001531CD">
        <w:tab/>
        <w:t xml:space="preserve">Promulgated </w:t>
      </w:r>
      <w:r w:rsidR="00024325" w:rsidRPr="001531CD">
        <w:t>in accordance with R. S. 3:266.</w:t>
      </w:r>
    </w:p>
    <w:p w14:paraId="5ABABB15"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36:467 (Ma</w:t>
      </w:r>
      <w:r w:rsidR="00024325" w:rsidRPr="001531CD">
        <w:t>rch 2010).</w:t>
      </w:r>
    </w:p>
    <w:p w14:paraId="48A7E853" w14:textId="77777777" w:rsidR="002217AB" w:rsidRPr="001531CD" w:rsidRDefault="002217AB" w:rsidP="002217AB">
      <w:pPr>
        <w:pStyle w:val="Section"/>
      </w:pPr>
      <w:bookmarkStart w:id="490" w:name="_Toc256754294"/>
      <w:bookmarkStart w:id="491" w:name="_Toc224818505"/>
      <w:r w:rsidRPr="001531CD">
        <w:t>§305.</w:t>
      </w:r>
      <w:r w:rsidRPr="001531CD">
        <w:tab/>
        <w:t>Application Procedure and Forms</w:t>
      </w:r>
      <w:bookmarkEnd w:id="490"/>
      <w:bookmarkEnd w:id="491"/>
    </w:p>
    <w:p w14:paraId="6C888DDE" w14:textId="77777777" w:rsidR="002217AB" w:rsidRPr="001531CD" w:rsidRDefault="002217AB" w:rsidP="002217AB">
      <w:pPr>
        <w:pStyle w:val="A"/>
      </w:pPr>
      <w:r w:rsidRPr="001531CD">
        <w:t>A.</w:t>
      </w:r>
      <w:r w:rsidRPr="001531CD">
        <w:tab/>
        <w:t>The application period shall be publicly announced or published in a manner that will fairly put agricultural producers and agribusinesses on notice of the Farm and Agribusiness Recovery and Loan Program and the start and end of the application period.</w:t>
      </w:r>
    </w:p>
    <w:p w14:paraId="4DB7760F" w14:textId="77777777" w:rsidR="002217AB" w:rsidRPr="001531CD" w:rsidRDefault="002217AB" w:rsidP="002217AB">
      <w:pPr>
        <w:pStyle w:val="A"/>
      </w:pPr>
      <w:r w:rsidRPr="001531CD">
        <w:t>B.</w:t>
      </w:r>
      <w:r w:rsidRPr="001531CD">
        <w:tab/>
        <w:t>Only application forms prepared by LAFA for this purpose may be used.</w:t>
      </w:r>
    </w:p>
    <w:p w14:paraId="1238F365" w14:textId="77777777" w:rsidR="002217AB" w:rsidRPr="001531CD" w:rsidRDefault="002217AB" w:rsidP="002217AB">
      <w:pPr>
        <w:pStyle w:val="A"/>
      </w:pPr>
      <w:r w:rsidRPr="001531CD">
        <w:t>C.</w:t>
      </w:r>
      <w:r w:rsidRPr="001531CD">
        <w:tab/>
        <w:t>Every applicant for a loan or grant shall submit the following documents to LAFA.</w:t>
      </w:r>
    </w:p>
    <w:p w14:paraId="2DDE2A48" w14:textId="77777777" w:rsidR="002217AB" w:rsidRPr="001531CD" w:rsidRDefault="002217AB" w:rsidP="002217AB">
      <w:pPr>
        <w:pStyle w:val="1"/>
      </w:pPr>
      <w:r w:rsidRPr="001531CD">
        <w:t>1.</w:t>
      </w:r>
      <w:r w:rsidRPr="001531CD">
        <w:tab/>
        <w:t>The completed application form signed by the agricultural producer or agribusiness, if a sole proprietorship. If the agricultural producer or agribusiness is not a sole proprietorship then the application form must be signed by all owners or by a duly authorized representative. The authorization of a representative to sign on behalf of an agricultural producer or agribusiness must be shown by a power of attorney, corporate resolution or other expression of authority that is consistent with the legal form of the agricultural producer or agribusiness.</w:t>
      </w:r>
    </w:p>
    <w:p w14:paraId="3F08D5A9" w14:textId="77777777" w:rsidR="002217AB" w:rsidRPr="001531CD" w:rsidRDefault="002217AB" w:rsidP="002217AB">
      <w:pPr>
        <w:pStyle w:val="1"/>
      </w:pPr>
      <w:r w:rsidRPr="001531CD">
        <w:t>2.</w:t>
      </w:r>
      <w:r w:rsidRPr="001531CD">
        <w:tab/>
        <w:t xml:space="preserve">Proof of identity of the signer of the application. One or more of the following may be used as proof of identity: </w:t>
      </w:r>
    </w:p>
    <w:p w14:paraId="50F99580" w14:textId="77777777" w:rsidR="002217AB" w:rsidRPr="001531CD" w:rsidRDefault="002217AB" w:rsidP="002217AB">
      <w:pPr>
        <w:pStyle w:val="a0"/>
      </w:pPr>
      <w:r w:rsidRPr="001531CD">
        <w:t>a.</w:t>
      </w:r>
      <w:r w:rsidRPr="001531CD">
        <w:tab/>
        <w:t xml:space="preserve">birth certificate; </w:t>
      </w:r>
    </w:p>
    <w:p w14:paraId="11E938ED" w14:textId="77777777" w:rsidR="002217AB" w:rsidRPr="001531CD" w:rsidRDefault="002217AB" w:rsidP="002217AB">
      <w:pPr>
        <w:pStyle w:val="a0"/>
      </w:pPr>
      <w:r w:rsidRPr="001531CD">
        <w:t>b.</w:t>
      </w:r>
      <w:r w:rsidRPr="001531CD">
        <w:tab/>
        <w:t>government issued photo identification or other documentation acceptable to the agricultural loan committee.</w:t>
      </w:r>
    </w:p>
    <w:p w14:paraId="3B39A561" w14:textId="77777777" w:rsidR="002217AB" w:rsidRPr="001531CD" w:rsidRDefault="002217AB" w:rsidP="002217AB">
      <w:pPr>
        <w:pStyle w:val="1"/>
      </w:pPr>
      <w:r w:rsidRPr="001531CD">
        <w:t>3.</w:t>
      </w:r>
      <w:r w:rsidRPr="001531CD">
        <w:tab/>
        <w:t xml:space="preserve">Proof of address of the farm or agribusiness. One or more of the following may be used as proof of address: copy </w:t>
      </w:r>
      <w:r w:rsidRPr="001531CD">
        <w:t>of utility bill, Louisiana tax return from the previous year, lease agreement, business license, USDA Farm Service Administration (FSA) certification, or other documentation acceptable to the agricultural loan committee.</w:t>
      </w:r>
    </w:p>
    <w:p w14:paraId="2D8A4671" w14:textId="77777777" w:rsidR="002217AB" w:rsidRPr="001531CD" w:rsidRDefault="002217AB" w:rsidP="002217AB">
      <w:pPr>
        <w:pStyle w:val="1"/>
      </w:pPr>
      <w:r w:rsidRPr="001531CD">
        <w:t>4.</w:t>
      </w:r>
      <w:r w:rsidRPr="001531CD">
        <w:tab/>
        <w:t>Proof of Ownership of the Farm or Agribusiness. One or more of the following may be used as proof of ownership: tax returns with appropriate schedules, stock certificates with proof of total number of shares, or other documentation acceptable to the agricultural loan committee.</w:t>
      </w:r>
    </w:p>
    <w:p w14:paraId="2CBD2C7A" w14:textId="77777777" w:rsidR="002217AB" w:rsidRPr="001531CD" w:rsidRDefault="002217AB" w:rsidP="002217AB">
      <w:pPr>
        <w:pStyle w:val="1"/>
      </w:pPr>
      <w:r w:rsidRPr="001531CD">
        <w:t>5.</w:t>
      </w:r>
      <w:r w:rsidRPr="001531CD">
        <w:tab/>
        <w:t>Proof of Employees. One or more of the following may be used as proof of employees: Federal form 941, Louisiana unemployment tax records, internal payroll register, or other documentation acceptable to the agricultural loan committee.</w:t>
      </w:r>
    </w:p>
    <w:p w14:paraId="70600C79" w14:textId="77777777" w:rsidR="002217AB" w:rsidRPr="001531CD" w:rsidRDefault="002217AB" w:rsidP="002217AB">
      <w:pPr>
        <w:pStyle w:val="1"/>
      </w:pPr>
      <w:r w:rsidRPr="001531CD">
        <w:t>6.</w:t>
      </w:r>
      <w:r w:rsidRPr="001531CD">
        <w:tab/>
        <w:t xml:space="preserve">Proof of Revenue. One or more of the following may be used as proof of gross revenues: Federal tax returns with appropriate schedules, actual revenue receipts, or other documentation acceptable to the agricultural loan committee. </w:t>
      </w:r>
    </w:p>
    <w:p w14:paraId="2FCB7B17" w14:textId="77777777" w:rsidR="002217AB" w:rsidRPr="001531CD" w:rsidRDefault="002217AB" w:rsidP="002217AB">
      <w:pPr>
        <w:pStyle w:val="1"/>
      </w:pPr>
      <w:r w:rsidRPr="001531CD">
        <w:t>7.</w:t>
      </w:r>
      <w:r w:rsidRPr="001531CD">
        <w:tab/>
        <w:t>The agricultural loan committee may require an applicant to supply; tax returns with appropriate schedules, insurance claim forms, settlement sheets, FSA declarations, receipts for replacement, or other documentation when such documentation is needed by the agricultural loan committee in deciding whether to approve or deny an application.</w:t>
      </w:r>
    </w:p>
    <w:p w14:paraId="2C3DE205" w14:textId="77777777" w:rsidR="002217AB" w:rsidRPr="001531CD" w:rsidRDefault="002217AB" w:rsidP="002217AB">
      <w:pPr>
        <w:pStyle w:val="AuthorityNote"/>
      </w:pPr>
      <w:r w:rsidRPr="001531CD">
        <w:t>AUTHORITY NOTE:</w:t>
      </w:r>
      <w:r w:rsidRPr="001531CD">
        <w:tab/>
        <w:t xml:space="preserve">Promulgated in accordance with R. S. 3:266. </w:t>
      </w:r>
    </w:p>
    <w:p w14:paraId="5D14AA4A"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36:467 (March 2010).</w:t>
      </w:r>
    </w:p>
    <w:p w14:paraId="7CD5B5DE" w14:textId="77777777" w:rsidR="002217AB" w:rsidRPr="001531CD" w:rsidRDefault="002217AB" w:rsidP="002217AB">
      <w:pPr>
        <w:pStyle w:val="Section"/>
      </w:pPr>
      <w:bookmarkStart w:id="492" w:name="_Toc256754295"/>
      <w:bookmarkStart w:id="493" w:name="_Toc224818506"/>
      <w:r w:rsidRPr="001531CD">
        <w:t>§307.</w:t>
      </w:r>
      <w:r w:rsidRPr="001531CD">
        <w:tab/>
        <w:t>Approval of Application</w:t>
      </w:r>
      <w:bookmarkEnd w:id="492"/>
      <w:bookmarkEnd w:id="493"/>
    </w:p>
    <w:p w14:paraId="2DAEEF73" w14:textId="77777777" w:rsidR="002217AB" w:rsidRPr="001531CD" w:rsidRDefault="002217AB" w:rsidP="002217AB">
      <w:pPr>
        <w:pStyle w:val="A"/>
      </w:pPr>
      <w:r w:rsidRPr="001531CD">
        <w:t>A.</w:t>
      </w:r>
      <w:r w:rsidRPr="001531CD">
        <w:tab/>
        <w:t>The applicant must provide all required information at least 10 working days prior to the meeting of the agricultural loan committee where the application will be considered, unless partial submission is allowed by LAFA’s staff or the agricultural loan committee.</w:t>
      </w:r>
    </w:p>
    <w:p w14:paraId="2B24D48A" w14:textId="77777777" w:rsidR="002217AB" w:rsidRPr="001531CD" w:rsidRDefault="002217AB" w:rsidP="002217AB">
      <w:pPr>
        <w:pStyle w:val="A"/>
      </w:pPr>
      <w:r w:rsidRPr="001531CD">
        <w:t>B.</w:t>
      </w:r>
      <w:r w:rsidRPr="001531CD">
        <w:tab/>
        <w:t xml:space="preserve">The agricultural loan committee may require terms and conditions that are not included in other loan/grants to be in a particular loan/grant based on the circumstances of each individual loan/grant so long as such terms and conditions are consistent with these regulations. </w:t>
      </w:r>
    </w:p>
    <w:p w14:paraId="3EFA69BB" w14:textId="77777777" w:rsidR="002217AB" w:rsidRPr="001531CD" w:rsidRDefault="002217AB" w:rsidP="002217AB">
      <w:pPr>
        <w:pStyle w:val="A"/>
      </w:pPr>
      <w:r w:rsidRPr="001531CD">
        <w:t>C.</w:t>
      </w:r>
      <w:r w:rsidRPr="001531CD">
        <w:tab/>
        <w:t>The agricultural loan committee may authorize LAFA’s director to negotiate additional terms and conditions for a specific loan/grant within the parameters established by these regulations and the instructions of the agricultural loan committee.</w:t>
      </w:r>
    </w:p>
    <w:p w14:paraId="27B6FC3C" w14:textId="77777777" w:rsidR="002217AB" w:rsidRPr="001531CD" w:rsidRDefault="002217AB" w:rsidP="002217AB">
      <w:pPr>
        <w:pStyle w:val="A"/>
      </w:pPr>
      <w:r w:rsidRPr="001531CD">
        <w:t>D.</w:t>
      </w:r>
      <w:r w:rsidRPr="001531CD">
        <w:tab/>
        <w:t>The agricultural loan committee shall review each loan application and approve or deny the application, after consideration of the application, supporting documentation, comments of the applicant, and staff recommendations. However, the agricultural loan committee may defer action on an application to obtain additional information.</w:t>
      </w:r>
    </w:p>
    <w:p w14:paraId="31F74059" w14:textId="77777777" w:rsidR="002217AB" w:rsidRPr="001531CD" w:rsidRDefault="002217AB" w:rsidP="002217AB">
      <w:pPr>
        <w:pStyle w:val="A"/>
      </w:pPr>
      <w:r w:rsidRPr="001531CD">
        <w:t>E.</w:t>
      </w:r>
      <w:r w:rsidRPr="001531CD">
        <w:tab/>
        <w:t xml:space="preserve">Within three business days after an application has been acted upon by the agricultural loan committee notice of the decision shall be sent to the applicant. Notification may be by U.S. mail, private commercial courier, hand delivery by </w:t>
      </w:r>
      <w:r w:rsidRPr="001531CD">
        <w:lastRenderedPageBreak/>
        <w:t>an employee of the department, fax, e-mail, or other electronic means. However, whatever the means of notification used must be designed to verify receipt of the notification by the applicant.</w:t>
      </w:r>
    </w:p>
    <w:p w14:paraId="756C52CC" w14:textId="77777777" w:rsidR="002217AB" w:rsidRPr="001531CD" w:rsidRDefault="002217AB" w:rsidP="002217AB">
      <w:pPr>
        <w:pStyle w:val="AuthorityNote"/>
      </w:pPr>
      <w:r w:rsidRPr="001531CD">
        <w:t>AUTHORITY NOTE:</w:t>
      </w:r>
      <w:r w:rsidRPr="001531CD">
        <w:tab/>
        <w:t xml:space="preserve">Promulgated in accordance with R. S. 3:266. </w:t>
      </w:r>
    </w:p>
    <w:p w14:paraId="57B14C5A"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467</w:t>
      </w:r>
      <w:r w:rsidRPr="001531CD">
        <w:t xml:space="preserve"> (March 2010).</w:t>
      </w:r>
    </w:p>
    <w:p w14:paraId="47CAF66E" w14:textId="77777777" w:rsidR="002217AB" w:rsidRPr="001531CD" w:rsidRDefault="002217AB" w:rsidP="002217AB">
      <w:pPr>
        <w:pStyle w:val="Section"/>
      </w:pPr>
      <w:bookmarkStart w:id="494" w:name="_Toc256754296"/>
      <w:bookmarkStart w:id="495" w:name="_Toc224818507"/>
      <w:r w:rsidRPr="001531CD">
        <w:t>§309.</w:t>
      </w:r>
      <w:r w:rsidRPr="001531CD">
        <w:tab/>
        <w:t>Agricultural Loan Committee; Establishment of; Purpose; Membership; Quorum</w:t>
      </w:r>
      <w:bookmarkEnd w:id="494"/>
      <w:bookmarkEnd w:id="495"/>
    </w:p>
    <w:p w14:paraId="505CBCB7" w14:textId="77777777" w:rsidR="002217AB" w:rsidRPr="001531CD" w:rsidRDefault="002217AB" w:rsidP="002217AB">
      <w:pPr>
        <w:pStyle w:val="A"/>
      </w:pPr>
      <w:r w:rsidRPr="001531CD">
        <w:t>A.</w:t>
      </w:r>
      <w:r w:rsidR="00024325" w:rsidRPr="001531CD">
        <w:tab/>
      </w:r>
      <w:r w:rsidRPr="001531CD">
        <w:t>The agricultural loan committee is hereby established to consider and act on applications for loans or grants, or a combination of both made pursuant to this Part.</w:t>
      </w:r>
    </w:p>
    <w:p w14:paraId="10C0A1C2" w14:textId="77777777" w:rsidR="002217AB" w:rsidRPr="001531CD" w:rsidRDefault="00024325" w:rsidP="002217AB">
      <w:pPr>
        <w:pStyle w:val="A"/>
      </w:pPr>
      <w:r w:rsidRPr="001531CD">
        <w:t>B.</w:t>
      </w:r>
      <w:r w:rsidRPr="001531CD">
        <w:tab/>
      </w:r>
      <w:r w:rsidR="002217AB" w:rsidRPr="001531CD">
        <w:t>The agricultural loan committee shall consist of the following seven members:</w:t>
      </w:r>
    </w:p>
    <w:p w14:paraId="490A4AD2" w14:textId="77777777" w:rsidR="002217AB" w:rsidRPr="001531CD" w:rsidRDefault="002217AB" w:rsidP="002217AB">
      <w:pPr>
        <w:pStyle w:val="1"/>
      </w:pPr>
      <w:r w:rsidRPr="001531CD">
        <w:t>1.</w:t>
      </w:r>
      <w:r w:rsidRPr="001531CD">
        <w:tab/>
        <w:t>the Commissioner of Agriculture and Forestry or his designee;</w:t>
      </w:r>
    </w:p>
    <w:p w14:paraId="2AE52EBC" w14:textId="77777777" w:rsidR="002217AB" w:rsidRPr="001531CD" w:rsidRDefault="002217AB" w:rsidP="002217AB">
      <w:pPr>
        <w:pStyle w:val="1"/>
      </w:pPr>
      <w:r w:rsidRPr="001531CD">
        <w:t>2.</w:t>
      </w:r>
      <w:r w:rsidRPr="001531CD">
        <w:tab/>
        <w:t>the Chancellor of the LSU AgCenter or his designee;</w:t>
      </w:r>
    </w:p>
    <w:p w14:paraId="353EB0F9" w14:textId="77777777" w:rsidR="002217AB" w:rsidRPr="001531CD" w:rsidRDefault="002217AB" w:rsidP="002217AB">
      <w:pPr>
        <w:pStyle w:val="1"/>
      </w:pPr>
      <w:r w:rsidRPr="001531CD">
        <w:t>3.</w:t>
      </w:r>
      <w:r w:rsidRPr="001531CD">
        <w:tab/>
        <w:t>the Chancellor of the Southern University AgCenter or his designee;</w:t>
      </w:r>
    </w:p>
    <w:p w14:paraId="41180FA8" w14:textId="77777777" w:rsidR="002217AB" w:rsidRPr="001531CD" w:rsidRDefault="002217AB" w:rsidP="002217AB">
      <w:pPr>
        <w:pStyle w:val="1"/>
      </w:pPr>
      <w:r w:rsidRPr="001531CD">
        <w:t>4.</w:t>
      </w:r>
      <w:r w:rsidRPr="001531CD">
        <w:tab/>
        <w:t>the President of the Louisiana Farm Bureau Federation or his designee;</w:t>
      </w:r>
    </w:p>
    <w:p w14:paraId="531D79A5" w14:textId="77777777" w:rsidR="002217AB" w:rsidRPr="001531CD" w:rsidRDefault="002217AB" w:rsidP="002217AB">
      <w:pPr>
        <w:pStyle w:val="1"/>
      </w:pPr>
      <w:r w:rsidRPr="001531CD">
        <w:t>5.</w:t>
      </w:r>
      <w:r w:rsidRPr="001531CD">
        <w:tab/>
        <w:t>the Assistant Commissioner of Agriculture and Forestry, Office of Management and Finance or his designee;</w:t>
      </w:r>
    </w:p>
    <w:p w14:paraId="2CD09213" w14:textId="77777777" w:rsidR="002217AB" w:rsidRPr="001531CD" w:rsidRDefault="002217AB" w:rsidP="002217AB">
      <w:pPr>
        <w:pStyle w:val="1"/>
      </w:pPr>
      <w:r w:rsidRPr="001531CD">
        <w:t>6.</w:t>
      </w:r>
      <w:r w:rsidRPr="001531CD">
        <w:tab/>
        <w:t>one member at large appointed by the Commissioner of Agriculture and Forestry;</w:t>
      </w:r>
    </w:p>
    <w:p w14:paraId="5880A24A" w14:textId="77777777" w:rsidR="002217AB" w:rsidRPr="001531CD" w:rsidRDefault="002217AB" w:rsidP="002217AB">
      <w:pPr>
        <w:pStyle w:val="1"/>
      </w:pPr>
      <w:r w:rsidRPr="001531CD">
        <w:t>7.</w:t>
      </w:r>
      <w:r w:rsidRPr="001531CD">
        <w:tab/>
        <w:t>the Director of LAFA or his designee.</w:t>
      </w:r>
    </w:p>
    <w:p w14:paraId="59DEE459" w14:textId="77777777" w:rsidR="002217AB" w:rsidRPr="001531CD" w:rsidRDefault="002217AB" w:rsidP="002217AB">
      <w:pPr>
        <w:pStyle w:val="A"/>
      </w:pPr>
      <w:r w:rsidRPr="001531CD">
        <w:t>C. Four members of the agriculture loan committee shall constitute a quorum.</w:t>
      </w:r>
    </w:p>
    <w:p w14:paraId="56EB00A6" w14:textId="77777777" w:rsidR="002217AB" w:rsidRPr="001531CD" w:rsidRDefault="002217AB" w:rsidP="002217AB">
      <w:pPr>
        <w:pStyle w:val="AuthorityNote"/>
      </w:pPr>
      <w:r w:rsidRPr="001531CD">
        <w:t>AUTHORITY NOTE:</w:t>
      </w:r>
      <w:r w:rsidRPr="001531CD">
        <w:tab/>
        <w:t xml:space="preserve">Promulgated in accordance with R. S. 3:266. </w:t>
      </w:r>
    </w:p>
    <w:p w14:paraId="1084C3BD"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00024325" w:rsidRPr="001531CD">
        <w:t xml:space="preserve"> (March 2010).</w:t>
      </w:r>
    </w:p>
    <w:p w14:paraId="5055DE8F" w14:textId="77777777" w:rsidR="002217AB" w:rsidRPr="001531CD" w:rsidRDefault="002217AB" w:rsidP="002217AB">
      <w:pPr>
        <w:pStyle w:val="Section"/>
      </w:pPr>
      <w:bookmarkStart w:id="496" w:name="_Toc256754297"/>
      <w:bookmarkStart w:id="497" w:name="_Toc224818508"/>
      <w:r w:rsidRPr="001531CD">
        <w:t>§311.</w:t>
      </w:r>
      <w:r w:rsidRPr="001531CD">
        <w:tab/>
        <w:t>Disbursement of Funds</w:t>
      </w:r>
      <w:bookmarkEnd w:id="496"/>
      <w:bookmarkEnd w:id="497"/>
    </w:p>
    <w:p w14:paraId="0947F6EF" w14:textId="77777777" w:rsidR="002217AB" w:rsidRPr="001531CD" w:rsidRDefault="002217AB" w:rsidP="002217AB">
      <w:pPr>
        <w:pStyle w:val="A"/>
      </w:pPr>
      <w:r w:rsidRPr="001531CD">
        <w:t>A.</w:t>
      </w:r>
      <w:r w:rsidRPr="001531CD">
        <w:tab/>
        <w:t>After the agricultural loan committee has approved an application the proceeds of the loan/grant shall be disbursed by LAFA’s staff upon the signing of the loan or grant documents by the applicant and LAFA’s director.</w:t>
      </w:r>
    </w:p>
    <w:p w14:paraId="28D8E047" w14:textId="77777777" w:rsidR="002217AB" w:rsidRPr="001531CD" w:rsidRDefault="002217AB" w:rsidP="002217AB">
      <w:pPr>
        <w:pStyle w:val="A"/>
      </w:pPr>
      <w:r w:rsidRPr="001531CD">
        <w:t>B.</w:t>
      </w:r>
      <w:r w:rsidRPr="001531CD">
        <w:tab/>
        <w:t>If the total amount of proceeds to be disbursed under the Louisiana Farm and Agribusiness Recovery and Loan Program exceeds the amount of money available for the program then the amount received by each approved applicant shall be reduced on a pro-rata basis.</w:t>
      </w:r>
    </w:p>
    <w:p w14:paraId="2320D923" w14:textId="77777777" w:rsidR="002217AB" w:rsidRPr="001531CD" w:rsidRDefault="002217AB" w:rsidP="002217AB">
      <w:pPr>
        <w:pStyle w:val="AuthorityNote"/>
      </w:pPr>
      <w:r w:rsidRPr="001531CD">
        <w:t>AUTHORITY NOTE:</w:t>
      </w:r>
      <w:r w:rsidRPr="001531CD">
        <w:tab/>
        <w:t xml:space="preserve">Promulgated in accordance with R. S. 3:266. </w:t>
      </w:r>
    </w:p>
    <w:p w14:paraId="3E36E949"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p>
    <w:p w14:paraId="5BA059A1" w14:textId="77777777" w:rsidR="002217AB" w:rsidRPr="001531CD" w:rsidRDefault="002217AB" w:rsidP="002217AB">
      <w:pPr>
        <w:pStyle w:val="Section"/>
      </w:pPr>
      <w:bookmarkStart w:id="498" w:name="_Toc256754298"/>
      <w:bookmarkStart w:id="499" w:name="_Toc224818509"/>
      <w:r w:rsidRPr="001531CD">
        <w:t>§313.</w:t>
      </w:r>
      <w:r w:rsidRPr="001531CD">
        <w:tab/>
        <w:t>Use of Loan and Grant Proceeds</w:t>
      </w:r>
      <w:bookmarkEnd w:id="498"/>
      <w:bookmarkEnd w:id="499"/>
    </w:p>
    <w:p w14:paraId="319B5399" w14:textId="77777777" w:rsidR="002217AB" w:rsidRPr="001531CD" w:rsidRDefault="002217AB" w:rsidP="002217AB">
      <w:pPr>
        <w:pStyle w:val="A"/>
      </w:pPr>
      <w:r w:rsidRPr="001531CD">
        <w:t>A.</w:t>
      </w:r>
      <w:r w:rsidRPr="001531CD">
        <w:tab/>
        <w:t>Loan and grant proceeds may be used to:</w:t>
      </w:r>
    </w:p>
    <w:p w14:paraId="2EE2F3D1" w14:textId="77777777" w:rsidR="002217AB" w:rsidRPr="001531CD" w:rsidRDefault="002217AB" w:rsidP="002217AB">
      <w:pPr>
        <w:pStyle w:val="1"/>
      </w:pPr>
      <w:r w:rsidRPr="001531CD">
        <w:t>1.</w:t>
      </w:r>
      <w:r w:rsidRPr="001531CD">
        <w:tab/>
        <w:t>pay current year expenses that are related to the preparation, planting, management and harvesting the current year crop as specified;</w:t>
      </w:r>
    </w:p>
    <w:p w14:paraId="53B06D98" w14:textId="77777777" w:rsidR="002217AB" w:rsidRPr="001531CD" w:rsidRDefault="002217AB" w:rsidP="002217AB">
      <w:pPr>
        <w:pStyle w:val="1"/>
      </w:pPr>
      <w:r w:rsidRPr="001531CD">
        <w:t>2.</w:t>
      </w:r>
      <w:r w:rsidRPr="001531CD">
        <w:tab/>
        <w:t>pay down or pay off existing crop production loans, if a financial institution has committed itself to furnish sufficient funding for preparing, planting, managing and harvesting the current year crop;</w:t>
      </w:r>
    </w:p>
    <w:p w14:paraId="326943CD" w14:textId="77777777" w:rsidR="002217AB" w:rsidRPr="001531CD" w:rsidRDefault="002217AB" w:rsidP="002217AB">
      <w:pPr>
        <w:pStyle w:val="1"/>
      </w:pPr>
      <w:r w:rsidRPr="001531CD">
        <w:t>3.</w:t>
      </w:r>
      <w:r w:rsidRPr="001531CD">
        <w:tab/>
        <w:t>pay operating expenses (rent, insurance, utilities, etc.);</w:t>
      </w:r>
    </w:p>
    <w:p w14:paraId="0B5AD250" w14:textId="77777777" w:rsidR="002217AB" w:rsidRPr="001531CD" w:rsidRDefault="002217AB" w:rsidP="002217AB">
      <w:pPr>
        <w:pStyle w:val="1"/>
      </w:pPr>
      <w:r w:rsidRPr="001531CD">
        <w:t>4.</w:t>
      </w:r>
      <w:r w:rsidRPr="001531CD">
        <w:tab/>
        <w:t>purchase inventory;</w:t>
      </w:r>
    </w:p>
    <w:p w14:paraId="3642FB70" w14:textId="77777777" w:rsidR="002217AB" w:rsidRPr="001531CD" w:rsidRDefault="002217AB" w:rsidP="002217AB">
      <w:pPr>
        <w:pStyle w:val="1"/>
      </w:pPr>
      <w:r w:rsidRPr="001531CD">
        <w:t>5.</w:t>
      </w:r>
      <w:r w:rsidRPr="001531CD">
        <w:tab/>
        <w:t>pay or refinance more expensive business-related debt to improve cash flow.</w:t>
      </w:r>
    </w:p>
    <w:p w14:paraId="42B4D041" w14:textId="77777777" w:rsidR="002217AB" w:rsidRPr="001531CD" w:rsidRDefault="002217AB" w:rsidP="002217AB">
      <w:pPr>
        <w:pStyle w:val="A"/>
      </w:pPr>
      <w:r w:rsidRPr="001531CD">
        <w:t>B.</w:t>
      </w:r>
      <w:r w:rsidRPr="001531CD">
        <w:tab/>
        <w:t xml:space="preserve">Loan and grant proceeds may not be used for: </w:t>
      </w:r>
    </w:p>
    <w:p w14:paraId="2DA61BEA" w14:textId="77777777" w:rsidR="002217AB" w:rsidRPr="001531CD" w:rsidRDefault="002217AB" w:rsidP="002217AB">
      <w:pPr>
        <w:pStyle w:val="1"/>
      </w:pPr>
      <w:r w:rsidRPr="001531CD">
        <w:t>1.</w:t>
      </w:r>
      <w:r w:rsidRPr="001531CD">
        <w:tab/>
        <w:t>acquisition of buildings or land;</w:t>
      </w:r>
    </w:p>
    <w:p w14:paraId="5889B2BA" w14:textId="77777777" w:rsidR="002217AB" w:rsidRPr="001531CD" w:rsidRDefault="002217AB" w:rsidP="002217AB">
      <w:pPr>
        <w:pStyle w:val="1"/>
      </w:pPr>
      <w:r w:rsidRPr="001531CD">
        <w:t>2.</w:t>
      </w:r>
      <w:r w:rsidRPr="001531CD">
        <w:tab/>
        <w:t>new construction or reconstruction;</w:t>
      </w:r>
    </w:p>
    <w:p w14:paraId="359A77CA" w14:textId="77777777" w:rsidR="002217AB" w:rsidRPr="001531CD" w:rsidRDefault="002217AB" w:rsidP="002217AB">
      <w:pPr>
        <w:pStyle w:val="1"/>
      </w:pPr>
      <w:r w:rsidRPr="001531CD">
        <w:t>3.</w:t>
      </w:r>
      <w:r w:rsidRPr="001531CD">
        <w:tab/>
        <w:t>refinancing of State Bridge Loans or Community Development Block Grant loans;</w:t>
      </w:r>
    </w:p>
    <w:p w14:paraId="01F261A5" w14:textId="77777777" w:rsidR="002217AB" w:rsidRPr="001531CD" w:rsidRDefault="002217AB" w:rsidP="002217AB">
      <w:pPr>
        <w:pStyle w:val="1"/>
      </w:pPr>
      <w:r w:rsidRPr="001531CD">
        <w:t>4.</w:t>
      </w:r>
      <w:r w:rsidRPr="001531CD">
        <w:tab/>
        <w:t>payments of tax arrearages, government fines or penalties;</w:t>
      </w:r>
    </w:p>
    <w:p w14:paraId="4A98A193" w14:textId="77777777" w:rsidR="002217AB" w:rsidRPr="001531CD" w:rsidRDefault="002217AB" w:rsidP="002217AB">
      <w:pPr>
        <w:pStyle w:val="1"/>
      </w:pPr>
      <w:r w:rsidRPr="001531CD">
        <w:t>5.</w:t>
      </w:r>
      <w:r w:rsidRPr="001531CD">
        <w:tab/>
        <w:t>political or religious activities;</w:t>
      </w:r>
    </w:p>
    <w:p w14:paraId="5C7B6BCE" w14:textId="77777777" w:rsidR="002217AB" w:rsidRPr="001531CD" w:rsidRDefault="002217AB" w:rsidP="002217AB">
      <w:pPr>
        <w:pStyle w:val="1"/>
      </w:pPr>
      <w:r w:rsidRPr="001531CD">
        <w:t>6.</w:t>
      </w:r>
      <w:r w:rsidRPr="001531CD">
        <w:tab/>
        <w:t>buying out any stockholder or equity holder in a business;</w:t>
      </w:r>
    </w:p>
    <w:p w14:paraId="05E3A1CB" w14:textId="77777777" w:rsidR="002217AB" w:rsidRPr="001531CD" w:rsidRDefault="002217AB" w:rsidP="002217AB">
      <w:pPr>
        <w:pStyle w:val="1"/>
      </w:pPr>
      <w:r w:rsidRPr="001531CD">
        <w:t>7.</w:t>
      </w:r>
      <w:r w:rsidRPr="001531CD">
        <w:tab/>
        <w:t>buying out or reimbursing any family member;</w:t>
      </w:r>
    </w:p>
    <w:p w14:paraId="08C2A810" w14:textId="77777777" w:rsidR="002217AB" w:rsidRPr="001531CD" w:rsidRDefault="002217AB" w:rsidP="002217AB">
      <w:pPr>
        <w:pStyle w:val="1"/>
      </w:pPr>
      <w:r w:rsidRPr="001531CD">
        <w:t>8.</w:t>
      </w:r>
      <w:r w:rsidRPr="001531CD">
        <w:tab/>
        <w:t>investing in instruments or investments for the sole purpose of a return on Investment; or</w:t>
      </w:r>
    </w:p>
    <w:p w14:paraId="2EB633F2" w14:textId="77777777" w:rsidR="002217AB" w:rsidRPr="001531CD" w:rsidRDefault="002217AB" w:rsidP="002217AB">
      <w:pPr>
        <w:pStyle w:val="1"/>
      </w:pPr>
      <w:r w:rsidRPr="001531CD">
        <w:t>9.</w:t>
      </w:r>
      <w:r w:rsidRPr="001531CD">
        <w:tab/>
        <w:t>a loss or expense for which insurance benefits has been or is to paid or for which financial assistance has been or is to be provided from any other source, whether public or private.</w:t>
      </w:r>
    </w:p>
    <w:p w14:paraId="1EF3A55B" w14:textId="77777777" w:rsidR="002217AB" w:rsidRPr="001531CD" w:rsidRDefault="002217AB" w:rsidP="002217AB">
      <w:pPr>
        <w:pStyle w:val="AuthorityNote"/>
      </w:pPr>
      <w:r w:rsidRPr="001531CD">
        <w:t>AUTHORITY NOTE:</w:t>
      </w:r>
      <w:r w:rsidRPr="001531CD">
        <w:tab/>
        <w:t xml:space="preserve">Promulgated in accordance with R. S. 3:266. </w:t>
      </w:r>
    </w:p>
    <w:p w14:paraId="041B50C1" w14:textId="77777777"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p>
    <w:p w14:paraId="26F5B489" w14:textId="77777777" w:rsidR="002217AB" w:rsidRPr="001531CD" w:rsidRDefault="002217AB" w:rsidP="002217AB">
      <w:pPr>
        <w:pStyle w:val="Section"/>
      </w:pPr>
      <w:bookmarkStart w:id="500" w:name="_Toc256754299"/>
      <w:bookmarkStart w:id="501" w:name="_Toc224818510"/>
      <w:r w:rsidRPr="001531CD">
        <w:t>§315.</w:t>
      </w:r>
      <w:r w:rsidRPr="001531CD">
        <w:tab/>
        <w:t>Delinquencies and Defaults</w:t>
      </w:r>
      <w:bookmarkEnd w:id="500"/>
      <w:bookmarkEnd w:id="501"/>
    </w:p>
    <w:p w14:paraId="3B1BBCFE" w14:textId="77777777" w:rsidR="002217AB" w:rsidRPr="001531CD" w:rsidRDefault="002217AB" w:rsidP="002217AB">
      <w:pPr>
        <w:pStyle w:val="A"/>
      </w:pPr>
      <w:r w:rsidRPr="001531CD">
        <w:t>A.</w:t>
      </w:r>
      <w:r w:rsidRPr="001531CD">
        <w:tab/>
        <w:t>A loan shall become delinquent if the full monthly or periodic payment is not received within 10 calendar days following the due date or the loan is otherwise in default for non-compliance with any other provision of the loan.</w:t>
      </w:r>
    </w:p>
    <w:p w14:paraId="322E3238" w14:textId="77777777" w:rsidR="002217AB" w:rsidRPr="001531CD" w:rsidRDefault="002217AB" w:rsidP="002217AB">
      <w:pPr>
        <w:pStyle w:val="1"/>
      </w:pPr>
      <w:r w:rsidRPr="001531CD">
        <w:t>1.</w:t>
      </w:r>
      <w:r w:rsidRPr="001531CD">
        <w:tab/>
        <w:t>Written notification of a delinquency shall be sent to the borrower giving the borrower the opportunity to cure the cause for the delinquency within 30 days from the date of the notice plus payment of any late fee .</w:t>
      </w:r>
    </w:p>
    <w:p w14:paraId="31494EEF" w14:textId="77777777" w:rsidR="002217AB" w:rsidRPr="001531CD" w:rsidRDefault="002217AB" w:rsidP="002217AB">
      <w:pPr>
        <w:pStyle w:val="1"/>
      </w:pPr>
      <w:r w:rsidRPr="001531CD">
        <w:t>2.</w:t>
      </w:r>
      <w:r w:rsidRPr="001531CD">
        <w:tab/>
        <w:t xml:space="preserve">If the delinquency is due to late payment, the director of LAFA, when he determines that such payment arrangements are justified by the circumstances, may make payment arrangements with the borrower to cure the delinquency before reporting the loan to the LAFA Board as a delinquent loan. </w:t>
      </w:r>
    </w:p>
    <w:p w14:paraId="6465F054" w14:textId="77777777" w:rsidR="002217AB" w:rsidRPr="001531CD" w:rsidRDefault="002217AB" w:rsidP="002217AB">
      <w:pPr>
        <w:pStyle w:val="1"/>
      </w:pPr>
      <w:r w:rsidRPr="001531CD">
        <w:lastRenderedPageBreak/>
        <w:t>3.</w:t>
      </w:r>
      <w:r w:rsidRPr="001531CD">
        <w:tab/>
        <w:t>If the delinquency is not timely cured, the delinquent loan shall be reported to the LAFA Board, which may review and take action on the delinquent loan at any meeting of the board.</w:t>
      </w:r>
    </w:p>
    <w:p w14:paraId="35C1A7A0" w14:textId="77777777" w:rsidR="002217AB" w:rsidRPr="001531CD" w:rsidRDefault="002217AB" w:rsidP="002217AB">
      <w:pPr>
        <w:pStyle w:val="A"/>
      </w:pPr>
      <w:r w:rsidRPr="001531CD">
        <w:t>B.</w:t>
      </w:r>
      <w:r w:rsidRPr="001531CD">
        <w:tab/>
        <w:t xml:space="preserve">Upon review, the LAFA Board may direct that the loan be maintained in delinquent status and set the terms and time by which the borrower may bring the payments up to date or otherwise cure the delinquency or the board may declare the loan to be in default and that the entire amount due on the loan accelerated in accordance with the terms of the loan. </w:t>
      </w:r>
    </w:p>
    <w:p w14:paraId="6148682F" w14:textId="77777777" w:rsidR="002217AB" w:rsidRPr="001531CD" w:rsidRDefault="002217AB" w:rsidP="002217AB">
      <w:pPr>
        <w:pStyle w:val="1"/>
      </w:pPr>
      <w:r w:rsidRPr="001531CD">
        <w:t>1.</w:t>
      </w:r>
      <w:r w:rsidRPr="001531CD">
        <w:tab/>
        <w:t>If a loan is continued as delinquent the LAFA Board shall establish the terms and time by which the borrower may bring the loan out of delinquency and into good standing and the borrower shall be notified of such terms and time.</w:t>
      </w:r>
    </w:p>
    <w:p w14:paraId="31D1C2B8" w14:textId="77777777" w:rsidR="002217AB" w:rsidRPr="001531CD" w:rsidRDefault="002217AB" w:rsidP="002217AB">
      <w:pPr>
        <w:pStyle w:val="1"/>
      </w:pPr>
      <w:r w:rsidRPr="001531CD">
        <w:t>2.</w:t>
      </w:r>
      <w:r w:rsidRPr="001531CD">
        <w:tab/>
        <w:t>If a loan is declared to be in default, notice of the default and a demand for full payment of all sums due, including the amount of any portion of the loan that may be forgiven as a grant, shall be sent to the borrower along with a request for full payment within 10 business days from the sending of the notice.</w:t>
      </w:r>
    </w:p>
    <w:p w14:paraId="5727D90B" w14:textId="77777777" w:rsidR="002217AB" w:rsidRPr="001531CD" w:rsidRDefault="002217AB" w:rsidP="002217AB">
      <w:pPr>
        <w:pStyle w:val="A"/>
      </w:pPr>
      <w:r w:rsidRPr="001531CD">
        <w:t>C.</w:t>
      </w:r>
      <w:r w:rsidRPr="001531CD">
        <w:tab/>
        <w:t xml:space="preserve">If a loan is continued as delinquent and the borrower does not accept the terms and time set by the board of if the borrower does not timely comply with the terms, the loan shall automatically go into default without further action of the board. Upon default, a demand for payment shall be made and if payment is not timely made the loan shall be turned over for collection, as provided for in these regulations. </w:t>
      </w:r>
    </w:p>
    <w:p w14:paraId="2EBE70C9" w14:textId="77777777" w:rsidR="002217AB" w:rsidRPr="001531CD" w:rsidRDefault="002217AB" w:rsidP="002217AB">
      <w:pPr>
        <w:pStyle w:val="A"/>
      </w:pPr>
      <w:r w:rsidRPr="001531CD">
        <w:t>D.</w:t>
      </w:r>
      <w:r w:rsidRPr="001531CD">
        <w:tab/>
        <w:t>If full payment is not received by the deadline given in the notice of default the loan, including the amount of any portion of the loan that may be forgiven as a grant, shall be turned over to an attorney for collection in accordance with the terms of the loan.</w:t>
      </w:r>
    </w:p>
    <w:p w14:paraId="5AF9972D" w14:textId="77777777" w:rsidR="002217AB" w:rsidRPr="001531CD" w:rsidRDefault="002217AB" w:rsidP="002217AB">
      <w:pPr>
        <w:pStyle w:val="A"/>
      </w:pPr>
      <w:r w:rsidRPr="001531CD">
        <w:t>E.</w:t>
      </w:r>
      <w:r w:rsidRPr="001531CD">
        <w:tab/>
        <w:t>Any notice required by these regulations or by the terms of any loan may be sent by certified United States mail, return receipt requested; by any commercial courier who requires a receipt of delivery; or by hand delivery.</w:t>
      </w:r>
    </w:p>
    <w:p w14:paraId="3429701E" w14:textId="77777777" w:rsidR="002217AB" w:rsidRPr="001531CD" w:rsidRDefault="002217AB" w:rsidP="002217AB">
      <w:pPr>
        <w:pStyle w:val="AuthorityNote"/>
      </w:pPr>
      <w:r w:rsidRPr="001531CD">
        <w:t>AUTHORITY NOTE:</w:t>
      </w:r>
      <w:r w:rsidRPr="001531CD">
        <w:tab/>
        <w:t xml:space="preserve">Promulgated </w:t>
      </w:r>
      <w:r w:rsidR="00465E4B" w:rsidRPr="001531CD">
        <w:t>in accordance with R. S. 3:266.</w:t>
      </w:r>
    </w:p>
    <w:p w14:paraId="34BEEF6A" w14:textId="77777777" w:rsidR="002217AB"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r w:rsidR="00465E4B" w:rsidRPr="001531CD">
        <w:t>.</w:t>
      </w:r>
    </w:p>
    <w:p w14:paraId="1BF3780C" w14:textId="77777777" w:rsidR="003E2396" w:rsidRDefault="003E2396" w:rsidP="003E2396">
      <w:pPr>
        <w:pStyle w:val="Chapter"/>
      </w:pPr>
      <w:bookmarkStart w:id="502" w:name="_Toc224818511"/>
      <w:r w:rsidRPr="001F65A2">
        <w:t>Chapter 5.</w:t>
      </w:r>
      <w:r>
        <w:tab/>
      </w:r>
      <w:r w:rsidRPr="001F65A2">
        <w:t>2016 Louisiana Farm Recovery Grant Program</w:t>
      </w:r>
      <w:bookmarkEnd w:id="502"/>
    </w:p>
    <w:p w14:paraId="66512339" w14:textId="77777777" w:rsidR="003E2396" w:rsidRDefault="003E2396" w:rsidP="003E2396">
      <w:pPr>
        <w:pStyle w:val="Section"/>
      </w:pPr>
      <w:bookmarkStart w:id="503" w:name="_Toc224818512"/>
      <w:r w:rsidRPr="001F65A2">
        <w:t>§501.</w:t>
      </w:r>
      <w:r w:rsidRPr="001F65A2">
        <w:tab/>
        <w:t>2016 Louisiana Farm Recovery Grant Program; Establishment; Purpose; Limitations</w:t>
      </w:r>
      <w:bookmarkEnd w:id="503"/>
    </w:p>
    <w:p w14:paraId="51C12AC1" w14:textId="77777777" w:rsidR="003E2396" w:rsidRDefault="003E2396" w:rsidP="003E2396">
      <w:pPr>
        <w:pStyle w:val="A"/>
      </w:pPr>
      <w:r w:rsidRPr="001F65A2">
        <w:t>A.</w:t>
      </w:r>
      <w:r w:rsidRPr="001F65A2">
        <w:tab/>
        <w:t>The 2016 Louisiana Farm Recovery Grant Program is hereby established.</w:t>
      </w:r>
    </w:p>
    <w:p w14:paraId="7A922146" w14:textId="77777777" w:rsidR="003E2396" w:rsidRDefault="003E2396" w:rsidP="003E2396">
      <w:pPr>
        <w:pStyle w:val="A"/>
      </w:pPr>
      <w:r w:rsidRPr="001F65A2">
        <w:t>B.</w:t>
      </w:r>
      <w:r>
        <w:tab/>
      </w:r>
      <w:r w:rsidRPr="001F65A2">
        <w:t>The 2016 Louisiana Farm Recovery Grant Program provides a 100</w:t>
      </w:r>
      <w:r>
        <w:t xml:space="preserve"> percent</w:t>
      </w:r>
      <w:r w:rsidRPr="001F65A2">
        <w:t xml:space="preserve"> grant to agricultural producers for working capital expenses related to the 2017 planting year for the purpose of aiding in the recovery from the 2016 floods.</w:t>
      </w:r>
    </w:p>
    <w:p w14:paraId="53138199" w14:textId="77777777" w:rsidR="003E2396" w:rsidRDefault="003E2396" w:rsidP="003E2396">
      <w:pPr>
        <w:pStyle w:val="A"/>
      </w:pPr>
      <w:r w:rsidRPr="001F65A2">
        <w:t>C.</w:t>
      </w:r>
      <w:r w:rsidRPr="001F65A2">
        <w:tab/>
        <w:t>The limits on the grants from the 2016 Louisiana Farm Recove</w:t>
      </w:r>
      <w:r>
        <w:t>ry Grant Program are as follows.</w:t>
      </w:r>
    </w:p>
    <w:p w14:paraId="2E5FBE7F" w14:textId="77777777" w:rsidR="003E2396" w:rsidRPr="001F65A2" w:rsidRDefault="003E2396" w:rsidP="003E2396">
      <w:pPr>
        <w:pStyle w:val="1"/>
      </w:pPr>
      <w:r>
        <w:t>1.</w:t>
      </w:r>
      <w:r>
        <w:tab/>
      </w:r>
      <w:r w:rsidRPr="001F65A2">
        <w:t>Agricultural producers may receive a maximum grant of $100,000.</w:t>
      </w:r>
    </w:p>
    <w:p w14:paraId="2A1BE7E7" w14:textId="77777777" w:rsidR="003E2396" w:rsidRPr="001F65A2" w:rsidRDefault="003E2396" w:rsidP="003E2396">
      <w:pPr>
        <w:pStyle w:val="AuthorityNote"/>
      </w:pPr>
      <w:r w:rsidRPr="001F65A2">
        <w:t>AUTHORITY NOTE:</w:t>
      </w:r>
      <w:r w:rsidRPr="001F65A2">
        <w:tab/>
        <w:t>Promulgated in accordance with R.S. 3:266.</w:t>
      </w:r>
    </w:p>
    <w:p w14:paraId="0B9C53A0" w14:textId="77777777"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14:paraId="0740D847" w14:textId="77777777" w:rsidR="003E2396" w:rsidRDefault="003E2396" w:rsidP="003E2396">
      <w:pPr>
        <w:pStyle w:val="Section"/>
      </w:pPr>
      <w:bookmarkStart w:id="504" w:name="_Toc224818513"/>
      <w:r w:rsidRPr="001F65A2">
        <w:t>§503.</w:t>
      </w:r>
      <w:r>
        <w:tab/>
      </w:r>
      <w:r w:rsidRPr="001F65A2">
        <w:t>Eligibility of Applicant</w:t>
      </w:r>
      <w:bookmarkEnd w:id="504"/>
    </w:p>
    <w:p w14:paraId="5DB5C347" w14:textId="77777777" w:rsidR="003E2396" w:rsidRDefault="003E2396" w:rsidP="003E2396">
      <w:pPr>
        <w:pStyle w:val="A"/>
      </w:pPr>
      <w:r w:rsidRPr="001F65A2">
        <w:t>A.</w:t>
      </w:r>
      <w:r>
        <w:tab/>
      </w:r>
      <w:r w:rsidRPr="001F65A2">
        <w:t>An agricultural producer experiencing a 2016 flood related loss shall be eligible to receive money from the 2016 Louisiana Farm Recovery Grant Program upon meeting al</w:t>
      </w:r>
      <w:r>
        <w:t>l of the following requirements.</w:t>
      </w:r>
    </w:p>
    <w:p w14:paraId="2111706F" w14:textId="77777777" w:rsidR="003E2396" w:rsidRDefault="003E2396" w:rsidP="003E2396">
      <w:pPr>
        <w:pStyle w:val="1"/>
      </w:pPr>
      <w:r>
        <w:t>1.</w:t>
      </w:r>
      <w:r>
        <w:tab/>
      </w:r>
      <w:r w:rsidRPr="001F65A2">
        <w:t>The farm upon which a loss occurred must be located in one of the following parishes: Acadia, Allen, Ascension, Avoyelles, Beauregard, Bienville, Bossier, Caddo, Calcasieu, Caldwell, Catahoula, Claiborne, DeSoto, East Baton Rouge, East Carroll, East Feliciana, Evangeline, Franklin, Grant, Iberia, Iberville, Jackson, Jefferson Davis, Lafayette,</w:t>
      </w:r>
      <w:r>
        <w:t xml:space="preserve"> </w:t>
      </w:r>
      <w:r w:rsidRPr="001F65A2">
        <w:t>LaSalle, Lincoln, Livingston, Madison, Morehouse, Natchitoches, Ouachita, Point Coupee, Rapides, Red</w:t>
      </w:r>
      <w:r>
        <w:t xml:space="preserve"> </w:t>
      </w:r>
      <w:r w:rsidRPr="001F65A2">
        <w:t>River, Richland, Sabine, St. Helena, St. James, St. Landry, St. Martin, St. Tammany, Tangipahoa, Union, Vermilion, Vernon, Washington, Webster, West Baton Rouge, West Carroll, West Feliciana or Winn.</w:t>
      </w:r>
    </w:p>
    <w:p w14:paraId="35130C8B" w14:textId="77777777" w:rsidR="003E2396" w:rsidRDefault="003E2396" w:rsidP="003E2396">
      <w:pPr>
        <w:pStyle w:val="1"/>
      </w:pPr>
      <w:r>
        <w:t>2.</w:t>
      </w:r>
      <w:r>
        <w:tab/>
      </w:r>
      <w:r w:rsidRPr="001F65A2">
        <w:t>Active agricultural operations must have been ongoing before March 1, 2016 and continue to be ongoing in 2017.</w:t>
      </w:r>
    </w:p>
    <w:p w14:paraId="36D50F82" w14:textId="77777777" w:rsidR="003E2396" w:rsidRPr="001F65A2" w:rsidRDefault="003E2396" w:rsidP="003E2396">
      <w:pPr>
        <w:pStyle w:val="1"/>
      </w:pPr>
      <w:r>
        <w:t>3.</w:t>
      </w:r>
      <w:r>
        <w:tab/>
      </w:r>
      <w:r w:rsidRPr="001F65A2">
        <w:t>The applicant must have annual gross farm revenue of $25,000 in 2014, 2015 or 2016.</w:t>
      </w:r>
    </w:p>
    <w:p w14:paraId="26C0ADFE" w14:textId="77777777" w:rsidR="003E2396" w:rsidRDefault="003E2396" w:rsidP="003E2396">
      <w:pPr>
        <w:pStyle w:val="1"/>
      </w:pPr>
      <w:r>
        <w:t>4.</w:t>
      </w:r>
      <w:r>
        <w:tab/>
      </w:r>
      <w:r w:rsidRPr="001F65A2">
        <w:t>The applicant must have suffered a minimum storm related loss of $10,000 as determined by the crop loss calculator.</w:t>
      </w:r>
    </w:p>
    <w:p w14:paraId="48DFB2DA" w14:textId="77777777" w:rsidR="003E2396" w:rsidRPr="001F65A2" w:rsidRDefault="003E2396" w:rsidP="003E2396">
      <w:pPr>
        <w:pStyle w:val="1"/>
      </w:pPr>
      <w:r>
        <w:t>5.</w:t>
      </w:r>
      <w:r>
        <w:tab/>
      </w:r>
      <w:r w:rsidRPr="001F65A2">
        <w:t>The applicant must have grown one of the following crops in 2016: cattle, corn, cotton, crawfish, grain sorghum, hay, rice, soybeans, strawberries, sugarcane, sweet potatoes or wheat.</w:t>
      </w:r>
    </w:p>
    <w:p w14:paraId="48DD3D45" w14:textId="77777777" w:rsidR="003E2396" w:rsidRPr="001F65A2" w:rsidRDefault="003E2396" w:rsidP="003E2396">
      <w:pPr>
        <w:pStyle w:val="AuthorityNote"/>
      </w:pPr>
      <w:r w:rsidRPr="001F65A2">
        <w:t>AUTHORITY NOTE:</w:t>
      </w:r>
      <w:r w:rsidRPr="001F65A2">
        <w:tab/>
        <w:t>Promulgated in accordance with R.S. 3:266.</w:t>
      </w:r>
    </w:p>
    <w:p w14:paraId="6A84655E" w14:textId="77777777"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14:paraId="7431B72A" w14:textId="77777777" w:rsidR="003E2396" w:rsidRDefault="003E2396" w:rsidP="003E2396">
      <w:pPr>
        <w:pStyle w:val="Section"/>
      </w:pPr>
      <w:bookmarkStart w:id="505" w:name="_Toc224818514"/>
      <w:r>
        <w:t>§505.</w:t>
      </w:r>
      <w:r>
        <w:tab/>
      </w:r>
      <w:r w:rsidRPr="001F65A2">
        <w:t>Application Procedure and Forms</w:t>
      </w:r>
      <w:bookmarkEnd w:id="505"/>
    </w:p>
    <w:p w14:paraId="324CB54D" w14:textId="77777777" w:rsidR="003E2396" w:rsidRDefault="003E2396" w:rsidP="003E2396">
      <w:pPr>
        <w:pStyle w:val="A"/>
      </w:pPr>
      <w:r w:rsidRPr="001F65A2">
        <w:t>A.</w:t>
      </w:r>
      <w:r>
        <w:tab/>
      </w:r>
      <w:r w:rsidRPr="001F65A2">
        <w:t>The application period shall be publicly announced or published in a manner that fairly puts agricultural producers on notice of the 2016 Louisiana Farm Recovery Grant Program and the start and end of the application period.</w:t>
      </w:r>
    </w:p>
    <w:p w14:paraId="43D42C4E" w14:textId="77777777" w:rsidR="003E2396" w:rsidRDefault="003E2396" w:rsidP="003E2396">
      <w:pPr>
        <w:pStyle w:val="A"/>
      </w:pPr>
      <w:r w:rsidRPr="001F65A2">
        <w:t>B.</w:t>
      </w:r>
      <w:r>
        <w:tab/>
      </w:r>
      <w:r w:rsidRPr="001F65A2">
        <w:t>Only application forms prepared by LAFA for this purpose may be used.</w:t>
      </w:r>
    </w:p>
    <w:p w14:paraId="3DB4844D" w14:textId="77777777" w:rsidR="003E2396" w:rsidRDefault="003E2396" w:rsidP="003E2396">
      <w:pPr>
        <w:pStyle w:val="A"/>
      </w:pPr>
      <w:r w:rsidRPr="001F65A2">
        <w:t>C.</w:t>
      </w:r>
      <w:r>
        <w:tab/>
      </w:r>
      <w:r w:rsidRPr="001F65A2">
        <w:t xml:space="preserve">Each applicant for a grant shall submit all of </w:t>
      </w:r>
      <w:r>
        <w:t>the following documents to LAFA.</w:t>
      </w:r>
    </w:p>
    <w:p w14:paraId="51446140" w14:textId="77777777" w:rsidR="003E2396" w:rsidRDefault="003E2396" w:rsidP="003E2396">
      <w:pPr>
        <w:pStyle w:val="1"/>
      </w:pPr>
      <w:r>
        <w:t>1.</w:t>
      </w:r>
      <w:r>
        <w:tab/>
      </w:r>
      <w:r w:rsidRPr="001F65A2">
        <w:t>The completed application form signed by the agricultural producer, if a sole proprietorship.</w:t>
      </w:r>
      <w:r>
        <w:t xml:space="preserve"> </w:t>
      </w:r>
      <w:r w:rsidRPr="001F65A2">
        <w:t xml:space="preserve">If the agricultural producer is not a sole proprietorship then the </w:t>
      </w:r>
      <w:r w:rsidRPr="001F65A2">
        <w:lastRenderedPageBreak/>
        <w:t xml:space="preserve">application form must be signed by all owners, unless an applicant has more than </w:t>
      </w:r>
      <w:r>
        <w:t>10</w:t>
      </w:r>
      <w:r w:rsidRPr="001F65A2">
        <w:t xml:space="preserve"> owners.</w:t>
      </w:r>
    </w:p>
    <w:p w14:paraId="4753C7F0" w14:textId="77777777" w:rsidR="003E2396" w:rsidRDefault="003E2396" w:rsidP="003E2396">
      <w:pPr>
        <w:pStyle w:val="1"/>
      </w:pPr>
      <w:r w:rsidRPr="001F65A2">
        <w:t>2.</w:t>
      </w:r>
      <w:r>
        <w:tab/>
      </w:r>
      <w:r w:rsidRPr="001F65A2">
        <w:t>Proof of Identity of the Signer of the Application.</w:t>
      </w:r>
      <w:r>
        <w:t xml:space="preserve"> </w:t>
      </w:r>
      <w:r w:rsidRPr="001F65A2">
        <w:t>A government issued photo identification must be presented.</w:t>
      </w:r>
    </w:p>
    <w:p w14:paraId="742A2D68" w14:textId="77777777" w:rsidR="003E2396" w:rsidRDefault="003E2396" w:rsidP="003E2396">
      <w:pPr>
        <w:pStyle w:val="1"/>
      </w:pPr>
      <w:r w:rsidRPr="001F65A2">
        <w:t>3.</w:t>
      </w:r>
      <w:r>
        <w:tab/>
      </w:r>
      <w:r w:rsidRPr="001F65A2">
        <w:t>Proof of Address of the Farm.</w:t>
      </w:r>
      <w:r>
        <w:t xml:space="preserve"> </w:t>
      </w:r>
      <w:r w:rsidRPr="001F65A2">
        <w:t>One or more of the following m</w:t>
      </w:r>
      <w:r>
        <w:t>ay be used as proof of address:</w:t>
      </w:r>
    </w:p>
    <w:p w14:paraId="111CEC37" w14:textId="77777777" w:rsidR="003E2396" w:rsidRDefault="003E2396" w:rsidP="003E2396">
      <w:pPr>
        <w:pStyle w:val="a0"/>
      </w:pPr>
      <w:r>
        <w:t>a.</w:t>
      </w:r>
      <w:r>
        <w:tab/>
      </w:r>
      <w:r w:rsidRPr="001F65A2">
        <w:t xml:space="preserve">a </w:t>
      </w:r>
      <w:r>
        <w:t>copy of utility bill;</w:t>
      </w:r>
    </w:p>
    <w:p w14:paraId="1D9EB028" w14:textId="77777777" w:rsidR="003E2396" w:rsidRDefault="003E2396" w:rsidP="003E2396">
      <w:pPr>
        <w:pStyle w:val="a0"/>
      </w:pPr>
      <w:r>
        <w:t>b.</w:t>
      </w:r>
      <w:r>
        <w:tab/>
      </w:r>
      <w:r w:rsidRPr="001F65A2">
        <w:t>Louisiana tax</w:t>
      </w:r>
      <w:r>
        <w:t xml:space="preserve"> return from the previous year;</w:t>
      </w:r>
    </w:p>
    <w:p w14:paraId="6BD8AE85" w14:textId="77777777" w:rsidR="003E2396" w:rsidRDefault="003E2396" w:rsidP="003E2396">
      <w:pPr>
        <w:pStyle w:val="a0"/>
      </w:pPr>
      <w:r>
        <w:t>c.</w:t>
      </w:r>
      <w:r>
        <w:tab/>
        <w:t>lease agreement;</w:t>
      </w:r>
    </w:p>
    <w:p w14:paraId="72AC02CC" w14:textId="77777777" w:rsidR="003E2396" w:rsidRDefault="003E2396" w:rsidP="003E2396">
      <w:pPr>
        <w:pStyle w:val="a0"/>
      </w:pPr>
      <w:r>
        <w:t>d.</w:t>
      </w:r>
      <w:r>
        <w:tab/>
        <w:t>map;</w:t>
      </w:r>
    </w:p>
    <w:p w14:paraId="4BF44E42" w14:textId="77777777" w:rsidR="003E2396" w:rsidRDefault="003E2396" w:rsidP="003E2396">
      <w:pPr>
        <w:pStyle w:val="a0"/>
      </w:pPr>
      <w:r>
        <w:t>e.</w:t>
      </w:r>
      <w:r>
        <w:tab/>
        <w:t>title to land; or</w:t>
      </w:r>
    </w:p>
    <w:p w14:paraId="766B2772" w14:textId="77777777" w:rsidR="003E2396" w:rsidRDefault="003E2396" w:rsidP="003E2396">
      <w:pPr>
        <w:pStyle w:val="a0"/>
      </w:pPr>
      <w:r>
        <w:t>f.</w:t>
      </w:r>
      <w:r>
        <w:tab/>
      </w:r>
      <w:r w:rsidRPr="001F65A2">
        <w:t>a USDA Farm Service Admi</w:t>
      </w:r>
      <w:r>
        <w:t>nistration (FSA) certification.</w:t>
      </w:r>
    </w:p>
    <w:p w14:paraId="07D528B8" w14:textId="77777777" w:rsidR="003E2396" w:rsidRDefault="003E2396" w:rsidP="003E2396">
      <w:pPr>
        <w:pStyle w:val="1"/>
      </w:pPr>
      <w:r w:rsidRPr="001F65A2">
        <w:t>4.</w:t>
      </w:r>
      <w:r>
        <w:tab/>
      </w:r>
      <w:r w:rsidRPr="001F65A2">
        <w:t>Proof of Ownership of the Farm.</w:t>
      </w:r>
      <w:r>
        <w:t xml:space="preserve"> </w:t>
      </w:r>
      <w:r w:rsidRPr="001F65A2">
        <w:t>Tax returns with appropriate schedules must be presented.</w:t>
      </w:r>
    </w:p>
    <w:p w14:paraId="1787C854" w14:textId="77777777" w:rsidR="003E2396" w:rsidRDefault="003E2396" w:rsidP="003E2396">
      <w:pPr>
        <w:pStyle w:val="1"/>
      </w:pPr>
      <w:r w:rsidRPr="001F65A2">
        <w:t>5.</w:t>
      </w:r>
      <w:r>
        <w:tab/>
      </w:r>
      <w:r w:rsidRPr="001F65A2">
        <w:t>Proof of National Objective.</w:t>
      </w:r>
      <w:r>
        <w:t xml:space="preserve"> </w:t>
      </w:r>
      <w:r w:rsidRPr="001F65A2">
        <w:t>One or more of the following may</w:t>
      </w:r>
      <w:r>
        <w:t xml:space="preserve"> be used as proof of employees:</w:t>
      </w:r>
    </w:p>
    <w:p w14:paraId="4F1CFBCE" w14:textId="77777777" w:rsidR="003E2396" w:rsidRDefault="003E2396" w:rsidP="003E2396">
      <w:pPr>
        <w:pStyle w:val="a0"/>
      </w:pPr>
      <w:r>
        <w:t>a.</w:t>
      </w:r>
      <w:r>
        <w:tab/>
        <w:t>federal Form 941;</w:t>
      </w:r>
    </w:p>
    <w:p w14:paraId="25F4FE01" w14:textId="77777777" w:rsidR="003E2396" w:rsidRDefault="003E2396" w:rsidP="003E2396">
      <w:pPr>
        <w:pStyle w:val="a0"/>
      </w:pPr>
      <w:r>
        <w:t>b.</w:t>
      </w:r>
      <w:r>
        <w:tab/>
        <w:t>LMI form;</w:t>
      </w:r>
    </w:p>
    <w:p w14:paraId="42C142FB" w14:textId="77777777" w:rsidR="003E2396" w:rsidRDefault="003E2396" w:rsidP="003E2396">
      <w:pPr>
        <w:pStyle w:val="a0"/>
      </w:pPr>
      <w:r>
        <w:t>c.</w:t>
      </w:r>
      <w:r>
        <w:tab/>
      </w:r>
      <w:r w:rsidRPr="001F65A2">
        <w:t>Louisiana unemployment tax records</w:t>
      </w:r>
      <w:r>
        <w:t>; or</w:t>
      </w:r>
    </w:p>
    <w:p w14:paraId="0B337021" w14:textId="77777777" w:rsidR="003E2396" w:rsidRDefault="003E2396" w:rsidP="003E2396">
      <w:pPr>
        <w:pStyle w:val="a0"/>
      </w:pPr>
      <w:r>
        <w:t>d.</w:t>
      </w:r>
      <w:r>
        <w:tab/>
      </w:r>
      <w:r w:rsidRPr="001F65A2">
        <w:t>internal payroll register.</w:t>
      </w:r>
    </w:p>
    <w:p w14:paraId="4F614667" w14:textId="77777777" w:rsidR="003E2396" w:rsidRDefault="003E2396" w:rsidP="003E2396">
      <w:pPr>
        <w:pStyle w:val="1"/>
      </w:pPr>
      <w:r w:rsidRPr="001F65A2">
        <w:t>6.</w:t>
      </w:r>
      <w:r>
        <w:tab/>
      </w:r>
      <w:r w:rsidRPr="001F65A2">
        <w:t xml:space="preserve">Proof of </w:t>
      </w:r>
      <w:r>
        <w:t>R</w:t>
      </w:r>
      <w:r w:rsidRPr="001F65A2">
        <w:t>evenue.</w:t>
      </w:r>
      <w:r>
        <w:t xml:space="preserve"> </w:t>
      </w:r>
      <w:r w:rsidRPr="001F65A2">
        <w:t>Tax returns with appropriate schedules must be presented.</w:t>
      </w:r>
    </w:p>
    <w:p w14:paraId="61D6C1E5" w14:textId="77777777" w:rsidR="003E2396" w:rsidRDefault="003E2396" w:rsidP="003E2396">
      <w:pPr>
        <w:pStyle w:val="1"/>
      </w:pPr>
      <w:r w:rsidRPr="001F65A2">
        <w:t>7.</w:t>
      </w:r>
      <w:r>
        <w:tab/>
      </w:r>
      <w:r w:rsidRPr="001F65A2">
        <w:t>Proof of Crop Loss.</w:t>
      </w:r>
      <w:r>
        <w:t xml:space="preserve"> </w:t>
      </w:r>
      <w:r w:rsidRPr="001F65A2">
        <w:t>A completed crop loss calculator must be presented.</w:t>
      </w:r>
    </w:p>
    <w:p w14:paraId="06D95E4A" w14:textId="77777777" w:rsidR="003E2396" w:rsidRDefault="003E2396" w:rsidP="003E2396">
      <w:pPr>
        <w:pStyle w:val="1"/>
      </w:pPr>
      <w:r w:rsidRPr="001F65A2">
        <w:t>8.</w:t>
      </w:r>
      <w:r>
        <w:tab/>
      </w:r>
      <w:r w:rsidRPr="001F65A2">
        <w:t>Proof of Harvesting an Eligible Crop in 2016.</w:t>
      </w:r>
      <w:r>
        <w:t xml:space="preserve"> </w:t>
      </w:r>
      <w:r w:rsidRPr="001F65A2">
        <w:t>Tax returns with appropriate schedules must be presented in calendar year 2017.</w:t>
      </w:r>
    </w:p>
    <w:p w14:paraId="5C02E62B" w14:textId="77777777" w:rsidR="003E2396" w:rsidRPr="001F65A2" w:rsidRDefault="003E2396" w:rsidP="003E2396">
      <w:pPr>
        <w:pStyle w:val="1"/>
      </w:pPr>
      <w:r w:rsidRPr="001F65A2">
        <w:t>9.</w:t>
      </w:r>
      <w:r>
        <w:tab/>
      </w:r>
      <w:r w:rsidRPr="001F65A2">
        <w:t>Proof of Planting or Harvesting an Eligible Crop in 2017.</w:t>
      </w:r>
      <w:r>
        <w:t xml:space="preserve"> </w:t>
      </w:r>
      <w:r w:rsidRPr="001F65A2">
        <w:t>Paid receipts, invoices, copies of checks or other evidence must be presented for expenses in calendar year 2017.</w:t>
      </w:r>
    </w:p>
    <w:p w14:paraId="7644DCAE" w14:textId="77777777" w:rsidR="003E2396" w:rsidRPr="001F65A2" w:rsidRDefault="003E2396" w:rsidP="003E2396">
      <w:pPr>
        <w:pStyle w:val="AuthorityNote"/>
      </w:pPr>
      <w:r w:rsidRPr="001F65A2">
        <w:t>AUTHORITY NOTE:</w:t>
      </w:r>
      <w:r w:rsidRPr="001F65A2">
        <w:tab/>
        <w:t>Promulgated in accordance with R.S. 3:266.</w:t>
      </w:r>
    </w:p>
    <w:p w14:paraId="4AD2EFFA" w14:textId="77777777"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14:paraId="194D31E6" w14:textId="77777777" w:rsidR="003E2396" w:rsidRDefault="003E2396" w:rsidP="003E2396">
      <w:pPr>
        <w:pStyle w:val="Section"/>
      </w:pPr>
      <w:bookmarkStart w:id="506" w:name="_Toc224818515"/>
      <w:r w:rsidRPr="001F65A2">
        <w:t>§507.</w:t>
      </w:r>
      <w:r w:rsidRPr="001F65A2">
        <w:tab/>
        <w:t>Disbursement of Funds</w:t>
      </w:r>
      <w:bookmarkEnd w:id="506"/>
    </w:p>
    <w:p w14:paraId="4180037F" w14:textId="77777777" w:rsidR="003E2396" w:rsidRDefault="003E2396" w:rsidP="003E2396">
      <w:pPr>
        <w:pStyle w:val="A"/>
      </w:pPr>
      <w:r w:rsidRPr="001F65A2">
        <w:t>A.</w:t>
      </w:r>
      <w:r>
        <w:tab/>
      </w:r>
      <w:r w:rsidRPr="001F65A2">
        <w:t>After the LAFA staff has approved an application, the proceeds of the grant shall be disbursed by LAFA’s staff upon the signing of the grant documents by the applicant and LDAF’s director of grant recovery programs.</w:t>
      </w:r>
    </w:p>
    <w:p w14:paraId="6712E8CA" w14:textId="77777777" w:rsidR="003E2396" w:rsidRPr="001F65A2" w:rsidRDefault="003E2396" w:rsidP="003E2396">
      <w:pPr>
        <w:pStyle w:val="A"/>
      </w:pPr>
      <w:r w:rsidRPr="001F65A2">
        <w:t>B.</w:t>
      </w:r>
      <w:r>
        <w:tab/>
      </w:r>
      <w:r w:rsidRPr="001F65A2">
        <w:t>If the total amount of proceeds to be disbursed under the 2016 Louisiana Farm Recovery Grant Program exceeds the amount of available money then the amount received by each approved applicant shall be reduced on a pro-rata basis.</w:t>
      </w:r>
    </w:p>
    <w:p w14:paraId="5B797C6D" w14:textId="77777777" w:rsidR="003E2396" w:rsidRPr="001F65A2" w:rsidRDefault="003E2396" w:rsidP="003E2396">
      <w:pPr>
        <w:pStyle w:val="AuthorityNote"/>
      </w:pPr>
      <w:r w:rsidRPr="001F65A2">
        <w:t>AUTHORITY NOTE:</w:t>
      </w:r>
      <w:r w:rsidRPr="001F65A2">
        <w:tab/>
        <w:t>Promulgated in accordance with R.S. 3:266.</w:t>
      </w:r>
    </w:p>
    <w:p w14:paraId="5EA742C7" w14:textId="77777777"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14:paraId="51B9BCAF" w14:textId="77777777" w:rsidR="003E2396" w:rsidRDefault="003E2396" w:rsidP="003E2396">
      <w:pPr>
        <w:pStyle w:val="Section"/>
      </w:pPr>
      <w:bookmarkStart w:id="507" w:name="_Toc224818516"/>
      <w:r w:rsidRPr="001F65A2">
        <w:t>§509.</w:t>
      </w:r>
      <w:r>
        <w:tab/>
      </w:r>
      <w:r w:rsidRPr="001F65A2">
        <w:t>Use of Grant Proceeds</w:t>
      </w:r>
      <w:bookmarkEnd w:id="507"/>
    </w:p>
    <w:p w14:paraId="5D887118" w14:textId="77777777" w:rsidR="003E2396" w:rsidRDefault="003E2396" w:rsidP="003E2396">
      <w:pPr>
        <w:pStyle w:val="A"/>
      </w:pPr>
      <w:r>
        <w:t>A.</w:t>
      </w:r>
      <w:r>
        <w:tab/>
      </w:r>
      <w:r w:rsidRPr="001F65A2">
        <w:t>Grant proceeds may be used to pay current year working capital expenses that are related to the preparation, planting, management and harvesting the current year crop including, but limited to feed, bait, seed, fertilizer, fuel, chemicals, herbicides, crawfish traps, office supplies, insurance, utilities, labor/payroll, veterinarian services and supplies, custom harvester, custom aerial applicator, and written land leases for crawfish producers.</w:t>
      </w:r>
    </w:p>
    <w:p w14:paraId="566798A8" w14:textId="77777777" w:rsidR="003E2396" w:rsidRDefault="003E2396" w:rsidP="003E2396">
      <w:pPr>
        <w:pStyle w:val="A"/>
      </w:pPr>
      <w:r>
        <w:t>B.</w:t>
      </w:r>
      <w:r>
        <w:tab/>
      </w:r>
      <w:r w:rsidRPr="001F65A2">
        <w:t>Grant proceeds may not be used for any of the following:</w:t>
      </w:r>
    </w:p>
    <w:p w14:paraId="5F58574C" w14:textId="77777777" w:rsidR="003E2396" w:rsidRDefault="003E2396" w:rsidP="003E2396">
      <w:pPr>
        <w:pStyle w:val="1"/>
      </w:pPr>
      <w:r>
        <w:t>1.</w:t>
      </w:r>
      <w:r>
        <w:tab/>
      </w:r>
      <w:r w:rsidRPr="001F65A2">
        <w:t>a</w:t>
      </w:r>
      <w:r>
        <w:t>cquisition of buildings or land;</w:t>
      </w:r>
    </w:p>
    <w:p w14:paraId="5B19D886" w14:textId="77777777" w:rsidR="003E2396" w:rsidRDefault="003E2396" w:rsidP="003E2396">
      <w:pPr>
        <w:pStyle w:val="1"/>
      </w:pPr>
      <w:r>
        <w:t>2.</w:t>
      </w:r>
      <w:r>
        <w:tab/>
      </w:r>
      <w:r w:rsidRPr="001F65A2">
        <w:t>new construction or reconstruction</w:t>
      </w:r>
      <w:r>
        <w:t>;</w:t>
      </w:r>
    </w:p>
    <w:p w14:paraId="09946553" w14:textId="77777777" w:rsidR="003E2396" w:rsidRDefault="003E2396" w:rsidP="003E2396">
      <w:pPr>
        <w:pStyle w:val="1"/>
      </w:pPr>
      <w:r>
        <w:t>3.</w:t>
      </w:r>
      <w:r>
        <w:tab/>
      </w:r>
      <w:r w:rsidRPr="001F65A2">
        <w:t>repayment or refinancing loans</w:t>
      </w:r>
      <w:r>
        <w:t>;</w:t>
      </w:r>
    </w:p>
    <w:p w14:paraId="1CFFD00F" w14:textId="77777777" w:rsidR="003E2396" w:rsidRDefault="003E2396" w:rsidP="003E2396">
      <w:pPr>
        <w:pStyle w:val="1"/>
      </w:pPr>
      <w:r>
        <w:t>4.</w:t>
      </w:r>
      <w:r>
        <w:tab/>
      </w:r>
      <w:r w:rsidRPr="001F65A2">
        <w:t>payments of tax arrearages, government fines or penalties</w:t>
      </w:r>
      <w:r>
        <w:t>;</w:t>
      </w:r>
    </w:p>
    <w:p w14:paraId="1CDD9E0D" w14:textId="77777777" w:rsidR="003E2396" w:rsidRDefault="003E2396" w:rsidP="003E2396">
      <w:pPr>
        <w:pStyle w:val="1"/>
      </w:pPr>
      <w:r>
        <w:t>5.</w:t>
      </w:r>
      <w:r>
        <w:tab/>
      </w:r>
      <w:r w:rsidRPr="001F65A2">
        <w:t>political or religious activities</w:t>
      </w:r>
      <w:r>
        <w:t>;</w:t>
      </w:r>
    </w:p>
    <w:p w14:paraId="7D0520F3" w14:textId="77777777" w:rsidR="003E2396" w:rsidRDefault="003E2396" w:rsidP="003E2396">
      <w:pPr>
        <w:pStyle w:val="1"/>
      </w:pPr>
      <w:r>
        <w:t>6.</w:t>
      </w:r>
      <w:r>
        <w:tab/>
      </w:r>
      <w:r w:rsidRPr="001F65A2">
        <w:t>buying out any stockholder or equity holder in a business</w:t>
      </w:r>
      <w:r>
        <w:t>;</w:t>
      </w:r>
    </w:p>
    <w:p w14:paraId="48CE0E60" w14:textId="77777777" w:rsidR="003E2396" w:rsidRDefault="003E2396" w:rsidP="003E2396">
      <w:pPr>
        <w:pStyle w:val="1"/>
      </w:pPr>
      <w:r>
        <w:t>7.</w:t>
      </w:r>
      <w:r>
        <w:tab/>
      </w:r>
      <w:r w:rsidRPr="001F65A2">
        <w:t>buying out or reimbursing any family member</w:t>
      </w:r>
      <w:r>
        <w:t>;</w:t>
      </w:r>
    </w:p>
    <w:p w14:paraId="240A5BB5" w14:textId="77777777" w:rsidR="003E2396" w:rsidRDefault="003E2396" w:rsidP="003E2396">
      <w:pPr>
        <w:pStyle w:val="1"/>
      </w:pPr>
      <w:r>
        <w:t>8.</w:t>
      </w:r>
      <w:r>
        <w:tab/>
      </w:r>
      <w:r w:rsidRPr="001F65A2">
        <w:t>investing in instruments or investments for the sole purpose of a return on investment</w:t>
      </w:r>
      <w:r>
        <w:t>;</w:t>
      </w:r>
    </w:p>
    <w:p w14:paraId="3C6CF8A2" w14:textId="77777777" w:rsidR="003E2396" w:rsidRDefault="003E2396" w:rsidP="003E2396">
      <w:pPr>
        <w:pStyle w:val="1"/>
      </w:pPr>
      <w:r>
        <w:t>9.</w:t>
      </w:r>
      <w:r>
        <w:tab/>
      </w:r>
      <w:r w:rsidRPr="001F65A2">
        <w:t>a loss or expense for which insurance benefits has been or will be paid or financial assistance that has been or will be provided from federal, state or any other source</w:t>
      </w:r>
      <w:r>
        <w:t>;</w:t>
      </w:r>
    </w:p>
    <w:p w14:paraId="3B8B3C70" w14:textId="77777777" w:rsidR="003E2396" w:rsidRDefault="003E2396" w:rsidP="003E2396">
      <w:pPr>
        <w:pStyle w:val="1"/>
      </w:pPr>
      <w:r>
        <w:t>10.</w:t>
      </w:r>
      <w:r>
        <w:tab/>
      </w:r>
      <w:r w:rsidRPr="001F65A2">
        <w:t>purchasing or repairing of equipment</w:t>
      </w:r>
      <w:r>
        <w:t>;</w:t>
      </w:r>
    </w:p>
    <w:p w14:paraId="679A6981" w14:textId="77777777" w:rsidR="003E2396" w:rsidRPr="001F65A2" w:rsidRDefault="003E2396" w:rsidP="003E2396">
      <w:pPr>
        <w:pStyle w:val="1"/>
      </w:pPr>
      <w:r>
        <w:t>11.</w:t>
      </w:r>
      <w:r>
        <w:tab/>
      </w:r>
      <w:r w:rsidRPr="001F65A2">
        <w:t>placing new land into production.</w:t>
      </w:r>
    </w:p>
    <w:p w14:paraId="29CE6B62" w14:textId="77777777" w:rsidR="003E2396" w:rsidRPr="001F65A2" w:rsidRDefault="003E2396" w:rsidP="003E2396">
      <w:pPr>
        <w:pStyle w:val="AuthorityNote"/>
      </w:pPr>
      <w:r w:rsidRPr="001F65A2">
        <w:t>AUTHORITY NOTE:</w:t>
      </w:r>
      <w:r w:rsidRPr="001F65A2">
        <w:tab/>
        <w:t>Promulgated in accordance with R.S. 3:266.</w:t>
      </w:r>
    </w:p>
    <w:p w14:paraId="6EFA4931" w14:textId="77777777" w:rsidR="003E2396" w:rsidRDefault="003E2396" w:rsidP="003E2396">
      <w:pPr>
        <w:pStyle w:val="HistoricalNote"/>
      </w:pPr>
      <w:r w:rsidRPr="001F65A2">
        <w:t>HISTORICAL NOTE:</w:t>
      </w:r>
      <w:r w:rsidRPr="001F65A2">
        <w:tab/>
        <w:t xml:space="preserve">Promulgated by the Department of Agriculture and Forestry, Agricultural Finance Authority, </w:t>
      </w:r>
      <w:r>
        <w:t>LR 44:439 (March 2018).</w:t>
      </w:r>
    </w:p>
    <w:p w14:paraId="12D6DEA8" w14:textId="77777777" w:rsidR="00B87D7C" w:rsidRPr="00EE602B" w:rsidRDefault="00B87D7C" w:rsidP="00B87D7C">
      <w:pPr>
        <w:pStyle w:val="Chapter"/>
        <w:tabs>
          <w:tab w:val="clear" w:pos="1440"/>
          <w:tab w:val="left" w:pos="1710"/>
        </w:tabs>
      </w:pPr>
      <w:bookmarkStart w:id="508" w:name="_Toc224818517"/>
      <w:r w:rsidRPr="00EE602B">
        <w:t>Chapter 7.</w:t>
      </w:r>
      <w:r w:rsidRPr="00EE602B">
        <w:tab/>
        <w:t>Louisiana Agricultural Workforce Development Program</w:t>
      </w:r>
      <w:bookmarkEnd w:id="508"/>
    </w:p>
    <w:p w14:paraId="58287E44" w14:textId="77777777" w:rsidR="00B87D7C" w:rsidRPr="00EE602B" w:rsidRDefault="00B87D7C" w:rsidP="00B87D7C">
      <w:pPr>
        <w:pStyle w:val="Section"/>
      </w:pPr>
      <w:bookmarkStart w:id="509" w:name="_Toc224818518"/>
      <w:r w:rsidRPr="00EE602B">
        <w:t>§701.</w:t>
      </w:r>
      <w:r w:rsidRPr="00EE602B">
        <w:tab/>
        <w:t>Purpose</w:t>
      </w:r>
      <w:bookmarkEnd w:id="509"/>
    </w:p>
    <w:p w14:paraId="2480C920" w14:textId="77777777" w:rsidR="00B87D7C" w:rsidRPr="00EE602B" w:rsidRDefault="00B87D7C" w:rsidP="00B87D7C">
      <w:pPr>
        <w:pStyle w:val="A"/>
      </w:pPr>
      <w:r w:rsidRPr="00EE602B">
        <w:t>A.</w:t>
      </w:r>
      <w:r w:rsidRPr="00EE602B">
        <w:tab/>
        <w:t>The purpose of these rules is to:</w:t>
      </w:r>
    </w:p>
    <w:p w14:paraId="7BB0A2F8" w14:textId="77777777" w:rsidR="00B87D7C" w:rsidRDefault="00B87D7C" w:rsidP="00B87D7C">
      <w:pPr>
        <w:pStyle w:val="1"/>
      </w:pPr>
      <w:r w:rsidRPr="00EE602B">
        <w:t>1.</w:t>
      </w:r>
      <w:r w:rsidRPr="00EE602B">
        <w:tab/>
        <w:t>establish eligibility requirements of the Louisiana Agricultural Workforce Development program;</w:t>
      </w:r>
    </w:p>
    <w:p w14:paraId="4268F5D6" w14:textId="77777777" w:rsidR="00B87D7C" w:rsidRPr="00EE602B" w:rsidRDefault="00B87D7C" w:rsidP="00B87D7C">
      <w:pPr>
        <w:pStyle w:val="1"/>
      </w:pPr>
      <w:r w:rsidRPr="00EE602B">
        <w:t>2.</w:t>
      </w:r>
      <w:r w:rsidRPr="00EE602B">
        <w:tab/>
        <w:t>establish eligibility requirements for agricultural businesses and interns for participation in the program;</w:t>
      </w:r>
    </w:p>
    <w:p w14:paraId="4FABE264" w14:textId="77777777" w:rsidR="00B87D7C" w:rsidRPr="00EE602B" w:rsidRDefault="00B87D7C" w:rsidP="00B87D7C">
      <w:pPr>
        <w:pStyle w:val="1"/>
      </w:pPr>
      <w:r w:rsidRPr="00EE602B">
        <w:t>3.</w:t>
      </w:r>
      <w:r w:rsidRPr="00EE602B">
        <w:tab/>
        <w:t xml:space="preserve">establish application processes for agricultural businesses and intern candidates seeking approval to become program participants; </w:t>
      </w:r>
    </w:p>
    <w:p w14:paraId="1018F364" w14:textId="77777777" w:rsidR="00B87D7C" w:rsidRPr="00EE602B" w:rsidRDefault="00B87D7C" w:rsidP="00B87D7C">
      <w:pPr>
        <w:pStyle w:val="1"/>
      </w:pPr>
      <w:r w:rsidRPr="00EE602B">
        <w:t>4.</w:t>
      </w:r>
      <w:r w:rsidRPr="00EE602B">
        <w:tab/>
        <w:t xml:space="preserve">establish qualification requirements for reimbursement of internship costs within the program; and </w:t>
      </w:r>
    </w:p>
    <w:p w14:paraId="283E0DBC" w14:textId="77777777" w:rsidR="00B87D7C" w:rsidRPr="00EE602B" w:rsidRDefault="00B87D7C" w:rsidP="00B87D7C">
      <w:pPr>
        <w:pStyle w:val="1"/>
      </w:pPr>
      <w:r w:rsidRPr="00EE602B">
        <w:lastRenderedPageBreak/>
        <w:t>5.</w:t>
      </w:r>
      <w:r w:rsidRPr="00EE602B">
        <w:tab/>
        <w:t>establish processes for reimbursement of internship costs to participating agricultural businesses.</w:t>
      </w:r>
    </w:p>
    <w:p w14:paraId="6FA1A6EE" w14:textId="77777777" w:rsidR="00B87D7C" w:rsidRPr="00EE602B" w:rsidRDefault="00B87D7C" w:rsidP="00B87D7C">
      <w:pPr>
        <w:pStyle w:val="AuthorityNote"/>
      </w:pPr>
      <w:r w:rsidRPr="00EE602B">
        <w:t>AUTHORITY NOTE:</w:t>
      </w:r>
      <w:r>
        <w:tab/>
      </w:r>
      <w:r w:rsidRPr="00EE602B">
        <w:t>Promulgated in accordance with R.S. 3:266 and 3:285</w:t>
      </w:r>
    </w:p>
    <w:p w14:paraId="278DFD29" w14:textId="77777777" w:rsidR="00B87D7C" w:rsidRDefault="00B87D7C" w:rsidP="00B87D7C">
      <w:pPr>
        <w:pStyle w:val="HistoricalNote"/>
      </w:pPr>
      <w:r w:rsidRPr="00EE602B">
        <w:t>HISTORICAL NOTE:</w:t>
      </w:r>
      <w:r>
        <w:tab/>
      </w:r>
      <w:r w:rsidRPr="00EE602B">
        <w:t>Promulgated by the Department of Agriculture, Agricu</w:t>
      </w:r>
      <w:r>
        <w:t>lture Finance Authority, LR 47:850 (July 2021).</w:t>
      </w:r>
    </w:p>
    <w:p w14:paraId="0D35DBC0" w14:textId="77777777" w:rsidR="00B87D7C" w:rsidRPr="00EE602B" w:rsidRDefault="00B87D7C" w:rsidP="00B87D7C">
      <w:pPr>
        <w:pStyle w:val="Section"/>
      </w:pPr>
      <w:bookmarkStart w:id="510" w:name="_Toc224818519"/>
      <w:r w:rsidRPr="00EE602B">
        <w:t>§703.</w:t>
      </w:r>
      <w:r w:rsidRPr="00EE602B">
        <w:tab/>
        <w:t>Definitions</w:t>
      </w:r>
      <w:bookmarkEnd w:id="510"/>
    </w:p>
    <w:p w14:paraId="663BFDA9" w14:textId="77777777" w:rsidR="00B87D7C" w:rsidRPr="00EE602B" w:rsidRDefault="00B87D7C" w:rsidP="00B87D7C">
      <w:pPr>
        <w:pStyle w:val="A"/>
      </w:pPr>
      <w:r w:rsidRPr="00EE602B">
        <w:t>A.</w:t>
      </w:r>
      <w:r w:rsidRPr="00EE602B">
        <w:tab/>
        <w:t xml:space="preserve">The words and terms defined in R.S. 3:285 are applicable to this Chapter. </w:t>
      </w:r>
    </w:p>
    <w:p w14:paraId="267F1CFB" w14:textId="77777777" w:rsidR="00B87D7C" w:rsidRPr="00EE602B" w:rsidRDefault="00B87D7C" w:rsidP="00B87D7C">
      <w:pPr>
        <w:pStyle w:val="A"/>
      </w:pPr>
      <w:r w:rsidRPr="00EE602B">
        <w:t>B.</w:t>
      </w:r>
      <w:r w:rsidRPr="00EE602B">
        <w:tab/>
        <w:t xml:space="preserve">The following words and terms are defined for purposes of this Chapter and are applicable to this Chapter. </w:t>
      </w:r>
    </w:p>
    <w:p w14:paraId="758781D4" w14:textId="77777777" w:rsidR="00B87D7C" w:rsidRPr="00EE602B" w:rsidRDefault="00B87D7C" w:rsidP="00B87D7C">
      <w:pPr>
        <w:pStyle w:val="1"/>
      </w:pPr>
      <w:r w:rsidRPr="00EE602B">
        <w:rPr>
          <w:i/>
        </w:rPr>
        <w:t xml:space="preserve">Actual </w:t>
      </w:r>
      <w:r>
        <w:rPr>
          <w:i/>
        </w:rPr>
        <w:t>C</w:t>
      </w:r>
      <w:r w:rsidRPr="00EE602B">
        <w:rPr>
          <w:i/>
        </w:rPr>
        <w:t>ost</w:t>
      </w:r>
      <w:r>
        <w:t>—</w:t>
      </w:r>
      <w:r w:rsidRPr="00EE602B">
        <w:t>the wages paid to an intern, reasonable allocation of fixed overhead expenses, and all incidental costs directly related to the internship.</w:t>
      </w:r>
    </w:p>
    <w:p w14:paraId="6A8C8824" w14:textId="77777777" w:rsidR="00B87D7C" w:rsidRPr="00EE602B" w:rsidRDefault="00B87D7C" w:rsidP="00B87D7C">
      <w:pPr>
        <w:pStyle w:val="1"/>
      </w:pPr>
      <w:r w:rsidRPr="00EE602B">
        <w:rPr>
          <w:i/>
        </w:rPr>
        <w:t xml:space="preserve">Agricultural </w:t>
      </w:r>
      <w:r>
        <w:rPr>
          <w:i/>
        </w:rPr>
        <w:t>B</w:t>
      </w:r>
      <w:r w:rsidRPr="00EE602B">
        <w:rPr>
          <w:i/>
        </w:rPr>
        <w:t>usiness</w:t>
      </w:r>
      <w:r>
        <w:t>—</w:t>
      </w:r>
      <w:r w:rsidRPr="00EE602B">
        <w:t>an agricultural producer, or a person or legal entity who engages in agriculture or provides support activities, products, or services to an agricultural producer and such products or services that are directly related to the planting, growing, production, harvesting, or processing of Louisiana products.</w:t>
      </w:r>
    </w:p>
    <w:p w14:paraId="2C4FBD19" w14:textId="77777777" w:rsidR="00B87D7C" w:rsidRPr="00EE602B" w:rsidRDefault="00B87D7C" w:rsidP="00B87D7C">
      <w:pPr>
        <w:pStyle w:val="1"/>
      </w:pPr>
      <w:r w:rsidRPr="00EE602B">
        <w:rPr>
          <w:i/>
        </w:rPr>
        <w:t xml:space="preserve">Beginning </w:t>
      </w:r>
      <w:r>
        <w:rPr>
          <w:i/>
        </w:rPr>
        <w:t>F</w:t>
      </w:r>
      <w:r w:rsidRPr="00EE602B">
        <w:rPr>
          <w:i/>
        </w:rPr>
        <w:t>armer</w:t>
      </w:r>
      <w:r>
        <w:t>—</w:t>
      </w:r>
      <w:r w:rsidRPr="00EE602B">
        <w:t>a farmer, rancher, or operator of non-industrial private forestland who is in the first 10 years of operation or a person intending or aspiring to begin such an operation.</w:t>
      </w:r>
    </w:p>
    <w:p w14:paraId="0A1630C4" w14:textId="77777777" w:rsidR="00B87D7C" w:rsidRPr="00EE602B" w:rsidRDefault="00B87D7C" w:rsidP="00B87D7C">
      <w:pPr>
        <w:pStyle w:val="1"/>
      </w:pPr>
      <w:r w:rsidRPr="00EE602B">
        <w:rPr>
          <w:i/>
        </w:rPr>
        <w:t>Commissioner</w:t>
      </w:r>
      <w:r>
        <w:t>—</w:t>
      </w:r>
      <w:r w:rsidRPr="00EE602B">
        <w:t>the commissioner of the Department of Agriculture and Forestry.</w:t>
      </w:r>
    </w:p>
    <w:p w14:paraId="10598A06" w14:textId="77777777" w:rsidR="00B87D7C" w:rsidRPr="00EE602B" w:rsidRDefault="00B87D7C" w:rsidP="00B87D7C">
      <w:pPr>
        <w:pStyle w:val="1"/>
      </w:pPr>
      <w:r w:rsidRPr="00EE602B">
        <w:rPr>
          <w:i/>
        </w:rPr>
        <w:t>Department</w:t>
      </w:r>
      <w:r>
        <w:t>—</w:t>
      </w:r>
      <w:r w:rsidRPr="00EE602B">
        <w:t>the Department of Agriculture and Forestry</w:t>
      </w:r>
      <w:r>
        <w:t>.</w:t>
      </w:r>
    </w:p>
    <w:p w14:paraId="5610D235" w14:textId="77777777" w:rsidR="00B87D7C" w:rsidRPr="00EE602B" w:rsidRDefault="00B87D7C" w:rsidP="00B87D7C">
      <w:pPr>
        <w:pStyle w:val="1"/>
      </w:pPr>
      <w:r w:rsidRPr="00EE602B">
        <w:rPr>
          <w:i/>
        </w:rPr>
        <w:t>Director</w:t>
      </w:r>
      <w:r>
        <w:t>—</w:t>
      </w:r>
      <w:r w:rsidRPr="00EE602B">
        <w:t>the director of the Louisiana Agricultural Finance Authority (LAFA).</w:t>
      </w:r>
    </w:p>
    <w:p w14:paraId="5E5D26C6" w14:textId="77777777" w:rsidR="00B87D7C" w:rsidRPr="00EE602B" w:rsidRDefault="00B87D7C" w:rsidP="00B87D7C">
      <w:pPr>
        <w:pStyle w:val="1"/>
      </w:pPr>
      <w:r w:rsidRPr="00EE602B">
        <w:rPr>
          <w:i/>
        </w:rPr>
        <w:t xml:space="preserve">Immediate </w:t>
      </w:r>
      <w:r>
        <w:rPr>
          <w:i/>
        </w:rPr>
        <w:t>F</w:t>
      </w:r>
      <w:r w:rsidRPr="00EE602B">
        <w:rPr>
          <w:i/>
        </w:rPr>
        <w:t xml:space="preserve">amily </w:t>
      </w:r>
      <w:r>
        <w:rPr>
          <w:i/>
        </w:rPr>
        <w:t>M</w:t>
      </w:r>
      <w:r w:rsidRPr="00EE602B">
        <w:rPr>
          <w:i/>
        </w:rPr>
        <w:t>ember</w:t>
      </w:r>
      <w:r>
        <w:t>—</w:t>
      </w:r>
      <w:r w:rsidRPr="00EE602B">
        <w:t>the spouse, parent, sibling, or child of the owner, manager, chief executive officer, or president of an agricultural business; a person to whom the owner, manager, chief executive officer, or president stands as legal guardian or tutor; or any other person living in the household of the owner, manager, chief executive office, or president of an agricultural business by blood or marriage.</w:t>
      </w:r>
    </w:p>
    <w:p w14:paraId="36A56CDF" w14:textId="77777777" w:rsidR="00B87D7C" w:rsidRPr="00EE602B" w:rsidRDefault="00B87D7C" w:rsidP="00B87D7C">
      <w:pPr>
        <w:pStyle w:val="1"/>
      </w:pPr>
      <w:r w:rsidRPr="00EE602B">
        <w:rPr>
          <w:i/>
        </w:rPr>
        <w:t>Intern</w:t>
      </w:r>
      <w:r>
        <w:t>—</w:t>
      </w:r>
      <w:r w:rsidRPr="00EE602B">
        <w:t>an individual who is a student enrolled at a Louisiana secondary or postsecondary institution or a young and beginning farmer or rancher employed by an agricultural business pursuant to the program.</w:t>
      </w:r>
    </w:p>
    <w:p w14:paraId="034E72EB" w14:textId="77777777" w:rsidR="00B87D7C" w:rsidRPr="00EE602B" w:rsidRDefault="00B87D7C" w:rsidP="00B87D7C">
      <w:pPr>
        <w:pStyle w:val="1"/>
      </w:pPr>
      <w:r w:rsidRPr="00EE602B">
        <w:rPr>
          <w:i/>
        </w:rPr>
        <w:t>LAFA</w:t>
      </w:r>
      <w:r>
        <w:t>—</w:t>
      </w:r>
      <w:r w:rsidRPr="00EE602B">
        <w:t>the Louisiana Agricultural Finance Authority which is within the Department of Agriculture and Forestry.</w:t>
      </w:r>
    </w:p>
    <w:p w14:paraId="739B54EB" w14:textId="77777777" w:rsidR="00B87D7C" w:rsidRPr="00EE602B" w:rsidRDefault="00B87D7C" w:rsidP="00B87D7C">
      <w:pPr>
        <w:pStyle w:val="1"/>
      </w:pPr>
      <w:r w:rsidRPr="00EE602B">
        <w:rPr>
          <w:i/>
        </w:rPr>
        <w:t>Program</w:t>
      </w:r>
      <w:r>
        <w:t>—</w:t>
      </w:r>
      <w:r w:rsidRPr="00EE602B">
        <w:t xml:space="preserve">the Louisiana Agricultural Workforce Development Program created with passage of House Bill 69/ Act 23 of the 2020 Second Extraordinary Session, which enacted R.S. 3:285. </w:t>
      </w:r>
    </w:p>
    <w:p w14:paraId="2915BA61" w14:textId="77777777" w:rsidR="00B87D7C" w:rsidRPr="00EE602B" w:rsidRDefault="00B87D7C" w:rsidP="00B87D7C">
      <w:pPr>
        <w:pStyle w:val="1"/>
      </w:pPr>
      <w:r w:rsidRPr="00EE602B">
        <w:rPr>
          <w:i/>
        </w:rPr>
        <w:t xml:space="preserve">Qualifying </w:t>
      </w:r>
      <w:r>
        <w:rPr>
          <w:i/>
        </w:rPr>
        <w:t>I</w:t>
      </w:r>
      <w:r w:rsidRPr="00EE602B">
        <w:rPr>
          <w:i/>
        </w:rPr>
        <w:t>nternship</w:t>
      </w:r>
      <w:r>
        <w:t>—</w:t>
      </w:r>
      <w:r w:rsidRPr="00EE602B">
        <w:t>an internship meeting the requirements as necessary for the partial reimbursement of costs to employ intern(s).</w:t>
      </w:r>
    </w:p>
    <w:p w14:paraId="419BE126" w14:textId="77777777" w:rsidR="00B87D7C" w:rsidRPr="00EE602B" w:rsidRDefault="00B87D7C" w:rsidP="00B87D7C">
      <w:pPr>
        <w:pStyle w:val="1"/>
      </w:pPr>
      <w:r w:rsidRPr="00EE602B">
        <w:rPr>
          <w:i/>
        </w:rPr>
        <w:t>Student</w:t>
      </w:r>
      <w:r>
        <w:t>—</w:t>
      </w:r>
      <w:r w:rsidRPr="00EE602B">
        <w:t>an individual who is enrolled in a Louisiana secondary or postsecondary institution.</w:t>
      </w:r>
    </w:p>
    <w:p w14:paraId="14193457" w14:textId="77777777"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14:paraId="25F9B6AA" w14:textId="77777777" w:rsidR="00B87D7C" w:rsidRDefault="00B87D7C" w:rsidP="00B87D7C">
      <w:pPr>
        <w:pStyle w:val="HistoricalNote"/>
      </w:pPr>
      <w:r>
        <w:t>HISTORICAL NOTE:</w:t>
      </w:r>
      <w:r>
        <w:tab/>
      </w:r>
      <w:r w:rsidRPr="00EE602B">
        <w:t>Promulgated by the Department of Agriculture, Agricu</w:t>
      </w:r>
      <w:r>
        <w:t>lture Finance Authority, LR 47:850 (July 2021).</w:t>
      </w:r>
    </w:p>
    <w:p w14:paraId="77E14F0D" w14:textId="77777777" w:rsidR="00B87D7C" w:rsidRPr="00EE602B" w:rsidRDefault="00B87D7C" w:rsidP="00B87D7C">
      <w:pPr>
        <w:pStyle w:val="Section"/>
      </w:pPr>
      <w:bookmarkStart w:id="511" w:name="_Toc224818520"/>
      <w:r w:rsidRPr="00EE602B">
        <w:t>§705.</w:t>
      </w:r>
      <w:r w:rsidRPr="00EE602B">
        <w:tab/>
        <w:t>Eligibility Requirements of Applicants</w:t>
      </w:r>
      <w:bookmarkEnd w:id="511"/>
    </w:p>
    <w:p w14:paraId="19A2A7E0" w14:textId="77777777" w:rsidR="00B87D7C" w:rsidRPr="00EE602B" w:rsidRDefault="00B87D7C" w:rsidP="00B87D7C">
      <w:pPr>
        <w:pStyle w:val="A"/>
      </w:pPr>
      <w:r w:rsidRPr="00EE602B">
        <w:t>A.</w:t>
      </w:r>
      <w:r w:rsidRPr="00EE602B">
        <w:tab/>
        <w:t>Agricultural businesses must meet the following eligibility requirements in order to be considered for the program.</w:t>
      </w:r>
      <w:r>
        <w:t xml:space="preserve"> </w:t>
      </w:r>
      <w:r w:rsidRPr="00EE602B">
        <w:t xml:space="preserve">Agricultural business applicants shall: </w:t>
      </w:r>
    </w:p>
    <w:p w14:paraId="100F037C" w14:textId="77777777" w:rsidR="00B87D7C" w:rsidRPr="00EE602B" w:rsidRDefault="00B87D7C" w:rsidP="00B87D7C">
      <w:pPr>
        <w:pStyle w:val="1"/>
      </w:pPr>
      <w:r w:rsidRPr="00EE602B">
        <w:t>1.</w:t>
      </w:r>
      <w:r w:rsidRPr="00EE602B">
        <w:tab/>
      </w:r>
      <w:r>
        <w:t>b</w:t>
      </w:r>
      <w:r w:rsidRPr="00EE602B">
        <w:t xml:space="preserve">e physically located within the State of Louisiana; </w:t>
      </w:r>
    </w:p>
    <w:p w14:paraId="2B056DFC" w14:textId="77777777" w:rsidR="00B87D7C" w:rsidRPr="00EE602B" w:rsidRDefault="00B87D7C" w:rsidP="00B87D7C">
      <w:pPr>
        <w:pStyle w:val="1"/>
      </w:pPr>
      <w:r w:rsidRPr="00EE602B">
        <w:t>2.</w:t>
      </w:r>
      <w:r w:rsidRPr="00EE602B">
        <w:tab/>
      </w:r>
      <w:r>
        <w:t>p</w:t>
      </w:r>
      <w:r w:rsidRPr="00EE602B">
        <w:t xml:space="preserve">rovide an internship with a place of work located within the </w:t>
      </w:r>
      <w:r>
        <w:t>s</w:t>
      </w:r>
      <w:r w:rsidRPr="00EE602B">
        <w:t xml:space="preserve">tate of Louisiana; </w:t>
      </w:r>
    </w:p>
    <w:p w14:paraId="0A593065" w14:textId="77777777" w:rsidR="00B87D7C" w:rsidRPr="00EE602B" w:rsidRDefault="00B87D7C" w:rsidP="00B87D7C">
      <w:pPr>
        <w:pStyle w:val="1"/>
      </w:pPr>
      <w:r w:rsidRPr="00EE602B">
        <w:t>3.</w:t>
      </w:r>
      <w:r w:rsidRPr="00EE602B">
        <w:tab/>
      </w:r>
      <w:r>
        <w:t>h</w:t>
      </w:r>
      <w:r w:rsidRPr="00EE602B">
        <w:t>ave the ability to effectively supervise an intern;</w:t>
      </w:r>
    </w:p>
    <w:p w14:paraId="1AA24FFC" w14:textId="77777777" w:rsidR="00B87D7C" w:rsidRPr="00EE602B" w:rsidRDefault="00B87D7C" w:rsidP="00B87D7C">
      <w:pPr>
        <w:pStyle w:val="1"/>
      </w:pPr>
      <w:r w:rsidRPr="00EE602B">
        <w:t>4.</w:t>
      </w:r>
      <w:r w:rsidRPr="00EE602B">
        <w:tab/>
      </w:r>
      <w:r>
        <w:t>o</w:t>
      </w:r>
      <w:r w:rsidRPr="00EE602B">
        <w:t>ffer the intern an opportunity to obtain meaningful work experience, including, but not limited to:</w:t>
      </w:r>
    </w:p>
    <w:p w14:paraId="5FE3405A" w14:textId="77777777" w:rsidR="00B87D7C" w:rsidRPr="00EE602B" w:rsidRDefault="00B87D7C" w:rsidP="00B87D7C">
      <w:pPr>
        <w:pStyle w:val="a0"/>
      </w:pPr>
      <w:r w:rsidRPr="00EE602B">
        <w:t>a.</w:t>
      </w:r>
      <w:r w:rsidRPr="00EE602B">
        <w:tab/>
      </w:r>
      <w:r>
        <w:t>a</w:t>
      </w:r>
      <w:r w:rsidRPr="00EE602B">
        <w:t xml:space="preserve">t least one hundred thirty hours of work experience; </w:t>
      </w:r>
    </w:p>
    <w:p w14:paraId="2C289350" w14:textId="77777777" w:rsidR="00B87D7C" w:rsidRPr="00EE602B" w:rsidRDefault="00B87D7C" w:rsidP="00B87D7C">
      <w:pPr>
        <w:pStyle w:val="a0"/>
      </w:pPr>
      <w:r w:rsidRPr="00EE602B">
        <w:t>b.</w:t>
      </w:r>
      <w:r w:rsidRPr="00EE602B">
        <w:tab/>
      </w:r>
      <w:r>
        <w:t>n</w:t>
      </w:r>
      <w:r w:rsidRPr="00EE602B">
        <w:t>ot to exceed one year in duration; and</w:t>
      </w:r>
    </w:p>
    <w:p w14:paraId="2BA83D01" w14:textId="77777777" w:rsidR="00B87D7C" w:rsidRPr="00EE602B" w:rsidRDefault="00B87D7C" w:rsidP="00B87D7C">
      <w:pPr>
        <w:pStyle w:val="a0"/>
      </w:pPr>
      <w:r w:rsidRPr="00EE602B">
        <w:t>c.</w:t>
      </w:r>
      <w:r w:rsidRPr="00EE602B">
        <w:tab/>
      </w:r>
      <w:r>
        <w:t>a</w:t>
      </w:r>
      <w:r w:rsidRPr="00EE602B">
        <w:t>n hourly wage rate that is no less than the state’s prevailing minimum wage rate.</w:t>
      </w:r>
      <w:r>
        <w:t xml:space="preserve"> </w:t>
      </w:r>
    </w:p>
    <w:p w14:paraId="70391A24" w14:textId="77777777" w:rsidR="00B87D7C" w:rsidRPr="00EE602B" w:rsidRDefault="00B87D7C" w:rsidP="00B87D7C">
      <w:pPr>
        <w:pStyle w:val="1"/>
      </w:pPr>
      <w:r w:rsidRPr="00EE602B">
        <w:t>5.</w:t>
      </w:r>
      <w:r w:rsidRPr="00EE602B">
        <w:tab/>
        <w:t>Ensure compliance with all federal, state, and local laws including, but not limited to, the Fair Labor Standards Act as well as any other applicable labor and /or occupational safety laws and regulations.</w:t>
      </w:r>
      <w:r>
        <w:t xml:space="preserve"> </w:t>
      </w:r>
      <w:r w:rsidRPr="00EE602B">
        <w:t>In such instances when both federal and state laws apply, the more stringent standard must be observed.</w:t>
      </w:r>
    </w:p>
    <w:p w14:paraId="59ACBB8E" w14:textId="77777777" w:rsidR="00B87D7C" w:rsidRPr="00EE602B" w:rsidRDefault="00B87D7C" w:rsidP="00B87D7C">
      <w:pPr>
        <w:pStyle w:val="A"/>
      </w:pPr>
      <w:r w:rsidRPr="00EE602B">
        <w:t>B.</w:t>
      </w:r>
      <w:r w:rsidRPr="00EE602B">
        <w:tab/>
        <w:t>Intern applicants must meet the following eligibility requirements in order to be considered for the program.</w:t>
      </w:r>
      <w:r>
        <w:t xml:space="preserve"> </w:t>
      </w:r>
    </w:p>
    <w:p w14:paraId="52A426C1" w14:textId="77777777" w:rsidR="00B87D7C" w:rsidRPr="00EE602B" w:rsidRDefault="00B87D7C" w:rsidP="00B87D7C">
      <w:pPr>
        <w:pStyle w:val="1"/>
      </w:pPr>
      <w:r w:rsidRPr="00EE602B">
        <w:t>1.</w:t>
      </w:r>
      <w:r w:rsidRPr="00EE602B">
        <w:tab/>
        <w:t xml:space="preserve">Intern applicants shall be: </w:t>
      </w:r>
    </w:p>
    <w:p w14:paraId="7E6F90BA" w14:textId="77777777" w:rsidR="00B87D7C" w:rsidRPr="00EE602B" w:rsidRDefault="00B87D7C" w:rsidP="00B87D7C">
      <w:pPr>
        <w:pStyle w:val="a0"/>
      </w:pPr>
      <w:r w:rsidRPr="00EE602B">
        <w:t>a.</w:t>
      </w:r>
      <w:r w:rsidRPr="00EE602B">
        <w:tab/>
      </w:r>
      <w:r>
        <w:t>b</w:t>
      </w:r>
      <w:r w:rsidRPr="00EE602B">
        <w:t xml:space="preserve">e a student enrolled in a Louisiana secondary or postsecondary institution; or </w:t>
      </w:r>
    </w:p>
    <w:p w14:paraId="19102EE0" w14:textId="77777777" w:rsidR="00B87D7C" w:rsidRPr="00EE602B" w:rsidRDefault="00B87D7C" w:rsidP="00B87D7C">
      <w:pPr>
        <w:pStyle w:val="a0"/>
      </w:pPr>
      <w:r>
        <w:t>b.</w:t>
      </w:r>
      <w:r>
        <w:tab/>
        <w:t>b</w:t>
      </w:r>
      <w:r w:rsidRPr="00EE602B">
        <w:t xml:space="preserve">e a beginning farmer or rancher, as defined by this Chapter, employed by an agricultural business. </w:t>
      </w:r>
    </w:p>
    <w:p w14:paraId="1CE3123B" w14:textId="77777777" w:rsidR="00B87D7C" w:rsidRPr="00EE602B" w:rsidRDefault="00B87D7C" w:rsidP="00B87D7C">
      <w:pPr>
        <w:pStyle w:val="1"/>
      </w:pPr>
      <w:r w:rsidRPr="00EE602B">
        <w:t>2.</w:t>
      </w:r>
      <w:r w:rsidRPr="00EE602B">
        <w:tab/>
        <w:t xml:space="preserve">Intern applicants shall not be: </w:t>
      </w:r>
    </w:p>
    <w:p w14:paraId="4E3F2684" w14:textId="77777777" w:rsidR="00B87D7C" w:rsidRPr="00EE602B" w:rsidRDefault="00B87D7C" w:rsidP="00B87D7C">
      <w:pPr>
        <w:pStyle w:val="a0"/>
      </w:pPr>
      <w:r w:rsidRPr="00EE602B">
        <w:t>a.</w:t>
      </w:r>
      <w:r w:rsidRPr="00EE602B">
        <w:tab/>
      </w:r>
      <w:r>
        <w:t>a</w:t>
      </w:r>
      <w:r w:rsidRPr="00EE602B">
        <w:t xml:space="preserve"> current or past employee of the participating agricultural business for which he or she will be an intern; or</w:t>
      </w:r>
    </w:p>
    <w:p w14:paraId="67B581EC" w14:textId="77777777" w:rsidR="00B87D7C" w:rsidRPr="00EE602B" w:rsidRDefault="00B87D7C" w:rsidP="00B87D7C">
      <w:pPr>
        <w:pStyle w:val="a0"/>
      </w:pPr>
      <w:r w:rsidRPr="00EE602B">
        <w:t>b.</w:t>
      </w:r>
      <w:r w:rsidRPr="00EE602B">
        <w:tab/>
      </w:r>
      <w:r>
        <w:t>a</w:t>
      </w:r>
      <w:r w:rsidRPr="00EE602B">
        <w:t>n immediate family member of the participating business applicant as defined in this Chapter.</w:t>
      </w:r>
    </w:p>
    <w:p w14:paraId="3946311F" w14:textId="77777777"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14:paraId="54D74BCD" w14:textId="77777777" w:rsidR="00B87D7C" w:rsidRDefault="00B87D7C" w:rsidP="00B87D7C">
      <w:pPr>
        <w:pStyle w:val="HistoricalNote"/>
      </w:pPr>
      <w:r w:rsidRPr="00EE602B">
        <w:t>HISTORICAL NOTE:</w:t>
      </w:r>
      <w:r>
        <w:tab/>
      </w:r>
      <w:r w:rsidRPr="00EE602B">
        <w:t>Promulgated by the Department of Agriculture, Agricu</w:t>
      </w:r>
      <w:r>
        <w:t>lture Finance Authority, LR 47:850 (July 2021).</w:t>
      </w:r>
    </w:p>
    <w:p w14:paraId="6283D3A2" w14:textId="77777777" w:rsidR="00B87D7C" w:rsidRPr="00EE602B" w:rsidRDefault="00B87D7C" w:rsidP="00B87D7C">
      <w:pPr>
        <w:pStyle w:val="Section"/>
      </w:pPr>
      <w:bookmarkStart w:id="512" w:name="_Toc224818521"/>
      <w:r w:rsidRPr="00EE602B">
        <w:t>§707.</w:t>
      </w:r>
      <w:r w:rsidRPr="00EE602B">
        <w:tab/>
        <w:t>Internship Requirements</w:t>
      </w:r>
      <w:bookmarkEnd w:id="512"/>
    </w:p>
    <w:p w14:paraId="765AD7B9" w14:textId="77777777" w:rsidR="00B87D7C" w:rsidRPr="00EE602B" w:rsidRDefault="00B87D7C" w:rsidP="00B87D7C">
      <w:pPr>
        <w:pStyle w:val="A"/>
      </w:pPr>
      <w:r w:rsidRPr="00EE602B">
        <w:t>A.</w:t>
      </w:r>
      <w:r w:rsidRPr="00EE602B">
        <w:tab/>
        <w:t>A qualifying internship shall be considered eligible for reimbursement from LDAF upon meeting each of the following requirements.</w:t>
      </w:r>
      <w:r>
        <w:t xml:space="preserve"> </w:t>
      </w:r>
      <w:r w:rsidRPr="00EE602B">
        <w:t xml:space="preserve">The internship must: </w:t>
      </w:r>
    </w:p>
    <w:p w14:paraId="1612C74D" w14:textId="77777777" w:rsidR="00B87D7C" w:rsidRPr="00EE602B" w:rsidRDefault="00B87D7C" w:rsidP="00B87D7C">
      <w:pPr>
        <w:pStyle w:val="1"/>
      </w:pPr>
      <w:r>
        <w:t>1.</w:t>
      </w:r>
      <w:r>
        <w:tab/>
        <w:t>i</w:t>
      </w:r>
      <w:r w:rsidRPr="00EE602B">
        <w:t>nclude an educational focus preparing interns for a career in one or more occupational areas including, but not limited to:</w:t>
      </w:r>
    </w:p>
    <w:p w14:paraId="69748872" w14:textId="77777777" w:rsidR="00B87D7C" w:rsidRPr="00EE602B" w:rsidRDefault="00B87D7C" w:rsidP="00B87D7C">
      <w:pPr>
        <w:pStyle w:val="a0"/>
      </w:pPr>
      <w:r w:rsidRPr="00EE602B">
        <w:t>a.</w:t>
      </w:r>
      <w:r w:rsidRPr="00EE602B">
        <w:tab/>
        <w:t xml:space="preserve">agribusiness; </w:t>
      </w:r>
    </w:p>
    <w:p w14:paraId="36A37573" w14:textId="77777777" w:rsidR="00B87D7C" w:rsidRPr="00EE602B" w:rsidRDefault="00B87D7C" w:rsidP="00B87D7C">
      <w:pPr>
        <w:pStyle w:val="a0"/>
      </w:pPr>
      <w:r w:rsidRPr="00EE602B">
        <w:lastRenderedPageBreak/>
        <w:t>b.</w:t>
      </w:r>
      <w:r w:rsidRPr="00EE602B">
        <w:tab/>
        <w:t xml:space="preserve">animal husbandry; </w:t>
      </w:r>
    </w:p>
    <w:p w14:paraId="37DD962B" w14:textId="77777777" w:rsidR="00B87D7C" w:rsidRPr="00EE602B" w:rsidRDefault="00B87D7C" w:rsidP="00B87D7C">
      <w:pPr>
        <w:pStyle w:val="a0"/>
      </w:pPr>
      <w:r w:rsidRPr="00EE602B">
        <w:t>c.</w:t>
      </w:r>
      <w:r w:rsidRPr="00EE602B">
        <w:tab/>
        <w:t xml:space="preserve">crop production; </w:t>
      </w:r>
    </w:p>
    <w:p w14:paraId="4AD6BDD9" w14:textId="77777777" w:rsidR="00B87D7C" w:rsidRPr="00EE602B" w:rsidRDefault="00B87D7C" w:rsidP="00B87D7C">
      <w:pPr>
        <w:pStyle w:val="a0"/>
      </w:pPr>
      <w:r w:rsidRPr="00EE602B">
        <w:t>d.</w:t>
      </w:r>
      <w:r w:rsidRPr="00EE602B">
        <w:tab/>
        <w:t xml:space="preserve">farm management; </w:t>
      </w:r>
    </w:p>
    <w:p w14:paraId="2B3DF996" w14:textId="77777777" w:rsidR="00B87D7C" w:rsidRPr="00EE602B" w:rsidRDefault="00B87D7C" w:rsidP="00B87D7C">
      <w:pPr>
        <w:pStyle w:val="a0"/>
      </w:pPr>
      <w:r w:rsidRPr="00EE602B">
        <w:t>e.</w:t>
      </w:r>
      <w:r w:rsidRPr="00EE602B">
        <w:tab/>
        <w:t xml:space="preserve">agronomy; </w:t>
      </w:r>
    </w:p>
    <w:p w14:paraId="039CBB79" w14:textId="77777777" w:rsidR="00B87D7C" w:rsidRPr="00EE602B" w:rsidRDefault="00B87D7C" w:rsidP="00B87D7C">
      <w:pPr>
        <w:pStyle w:val="a0"/>
      </w:pPr>
      <w:r w:rsidRPr="00EE602B">
        <w:t>f.</w:t>
      </w:r>
      <w:r w:rsidRPr="00EE602B">
        <w:tab/>
        <w:t xml:space="preserve">natural resources; </w:t>
      </w:r>
    </w:p>
    <w:p w14:paraId="2ED0CB7A" w14:textId="77777777" w:rsidR="00B87D7C" w:rsidRPr="00EE602B" w:rsidRDefault="00B87D7C" w:rsidP="00B87D7C">
      <w:pPr>
        <w:pStyle w:val="a0"/>
      </w:pPr>
      <w:r w:rsidRPr="00EE602B">
        <w:t>g.</w:t>
      </w:r>
      <w:r w:rsidRPr="00EE602B">
        <w:tab/>
        <w:t xml:space="preserve">forestry; </w:t>
      </w:r>
    </w:p>
    <w:p w14:paraId="1B1ADBD8" w14:textId="77777777" w:rsidR="00B87D7C" w:rsidRPr="00EE602B" w:rsidRDefault="00B87D7C" w:rsidP="00B87D7C">
      <w:pPr>
        <w:pStyle w:val="a0"/>
      </w:pPr>
      <w:r w:rsidRPr="00EE602B">
        <w:t>h.</w:t>
      </w:r>
      <w:r w:rsidRPr="00EE602B">
        <w:tab/>
        <w:t>research and development;</w:t>
      </w:r>
      <w:r>
        <w:t xml:space="preserve"> </w:t>
      </w:r>
    </w:p>
    <w:p w14:paraId="70709CBF" w14:textId="77777777" w:rsidR="00B87D7C" w:rsidRPr="00EE602B" w:rsidRDefault="00B87D7C" w:rsidP="00B87D7C">
      <w:pPr>
        <w:pStyle w:val="a0"/>
      </w:pPr>
      <w:r w:rsidRPr="00EE602B">
        <w:t>i.</w:t>
      </w:r>
      <w:r w:rsidRPr="00EE602B">
        <w:tab/>
        <w:t xml:space="preserve">marketing and sales; </w:t>
      </w:r>
    </w:p>
    <w:p w14:paraId="2B3A3CD4" w14:textId="77777777" w:rsidR="00B87D7C" w:rsidRPr="00EE602B" w:rsidRDefault="00B87D7C" w:rsidP="00B87D7C">
      <w:pPr>
        <w:pStyle w:val="a0"/>
      </w:pPr>
      <w:r w:rsidRPr="00EE602B">
        <w:t>j.</w:t>
      </w:r>
      <w:r w:rsidRPr="00EE602B">
        <w:tab/>
        <w:t>food safety and/or maintenance; or</w:t>
      </w:r>
    </w:p>
    <w:p w14:paraId="743C6B27" w14:textId="77777777" w:rsidR="00B87D7C" w:rsidRPr="00EE602B" w:rsidRDefault="00B87D7C" w:rsidP="00B87D7C">
      <w:pPr>
        <w:pStyle w:val="a0"/>
      </w:pPr>
      <w:r w:rsidRPr="00EE602B">
        <w:t>k.</w:t>
      </w:r>
      <w:r w:rsidRPr="00EE602B">
        <w:tab/>
        <w:t>repair of machinery and equipment.</w:t>
      </w:r>
    </w:p>
    <w:p w14:paraId="4CE7A4B6" w14:textId="77777777" w:rsidR="00B87D7C" w:rsidRPr="00EE602B" w:rsidRDefault="00B87D7C" w:rsidP="00B87D7C">
      <w:pPr>
        <w:pStyle w:val="1"/>
      </w:pPr>
      <w:r>
        <w:t>2.</w:t>
      </w:r>
      <w:r>
        <w:tab/>
        <w:t>p</w:t>
      </w:r>
      <w:r w:rsidRPr="00EE602B">
        <w:t xml:space="preserve">rovide an educational experience of at least 130 hours per intern and not exceed one year in duration per intern; </w:t>
      </w:r>
    </w:p>
    <w:p w14:paraId="6DA6C988" w14:textId="77777777" w:rsidR="00B87D7C" w:rsidRPr="00EE602B" w:rsidRDefault="00B87D7C" w:rsidP="00B87D7C">
      <w:pPr>
        <w:pStyle w:val="1"/>
      </w:pPr>
      <w:r>
        <w:t>3.</w:t>
      </w:r>
      <w:r>
        <w:tab/>
        <w:t>p</w:t>
      </w:r>
      <w:r w:rsidRPr="00EE602B">
        <w:t>ay intern(s) at a rate no less than the state’s prevailing minimum wage to be paid in accordance with the participating business’ normal payroll processes, but paid at least monthly;</w:t>
      </w:r>
    </w:p>
    <w:p w14:paraId="328E6A6E" w14:textId="77777777" w:rsidR="00B87D7C" w:rsidRPr="00EE602B" w:rsidRDefault="00B87D7C" w:rsidP="00B87D7C">
      <w:pPr>
        <w:pStyle w:val="1"/>
      </w:pPr>
      <w:r>
        <w:t>4.</w:t>
      </w:r>
      <w:r>
        <w:tab/>
        <w:t>p</w:t>
      </w:r>
      <w:r w:rsidRPr="00EE602B">
        <w:t>rovide a supervisor for intern(s);</w:t>
      </w:r>
      <w:r>
        <w:t xml:space="preserve"> </w:t>
      </w:r>
    </w:p>
    <w:p w14:paraId="1C95D9E7" w14:textId="77777777" w:rsidR="00B87D7C" w:rsidRPr="00EE602B" w:rsidRDefault="00B87D7C" w:rsidP="00B87D7C">
      <w:pPr>
        <w:pStyle w:val="1"/>
      </w:pPr>
      <w:r>
        <w:t>5.</w:t>
      </w:r>
      <w:r>
        <w:tab/>
        <w:t>p</w:t>
      </w:r>
      <w:r w:rsidRPr="00EE602B">
        <w:t>rovide worker’s compensation insurance coverage for intern(s);</w:t>
      </w:r>
    </w:p>
    <w:p w14:paraId="3BD52186" w14:textId="77777777" w:rsidR="00B87D7C" w:rsidRPr="00EE602B" w:rsidRDefault="00B87D7C" w:rsidP="00B87D7C">
      <w:pPr>
        <w:pStyle w:val="1"/>
      </w:pPr>
      <w:r>
        <w:t>6.</w:t>
      </w:r>
      <w:r>
        <w:tab/>
        <w:t>c</w:t>
      </w:r>
      <w:r w:rsidRPr="00EE602B">
        <w:t xml:space="preserve">ommence within 30 days of the projected start date identified in the business application; and </w:t>
      </w:r>
    </w:p>
    <w:p w14:paraId="7A73EAC4" w14:textId="77777777" w:rsidR="00B87D7C" w:rsidRPr="00EE602B" w:rsidRDefault="00B87D7C" w:rsidP="00B87D7C">
      <w:pPr>
        <w:pStyle w:val="1"/>
      </w:pPr>
      <w:r w:rsidRPr="00EE602B">
        <w:t>7.</w:t>
      </w:r>
      <w:r w:rsidRPr="00EE602B">
        <w:tab/>
      </w:r>
      <w:r>
        <w:t>e</w:t>
      </w:r>
      <w:r w:rsidRPr="00EE602B">
        <w:t xml:space="preserve">nsure that intern(s) do not displace current employee(s) of the participating business. </w:t>
      </w:r>
    </w:p>
    <w:p w14:paraId="4C026048" w14:textId="77777777"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14:paraId="12348665" w14:textId="77777777" w:rsidR="00B87D7C" w:rsidRDefault="00B87D7C" w:rsidP="00B87D7C">
      <w:pPr>
        <w:pStyle w:val="HistoricalNote"/>
      </w:pPr>
      <w:r>
        <w:t>HISTORICAL NOTE:</w:t>
      </w:r>
      <w:r>
        <w:tab/>
      </w:r>
      <w:r w:rsidRPr="00EE602B">
        <w:t xml:space="preserve">Promulgated by the Department of Agriculture, Agriculture Finance Authority, </w:t>
      </w:r>
      <w:r>
        <w:t>LR 47:851 (July 2021).</w:t>
      </w:r>
    </w:p>
    <w:p w14:paraId="04149B2D" w14:textId="77777777" w:rsidR="00B87D7C" w:rsidRPr="00EE602B" w:rsidRDefault="00B87D7C" w:rsidP="00B87D7C">
      <w:pPr>
        <w:pStyle w:val="Section"/>
      </w:pPr>
      <w:bookmarkStart w:id="513" w:name="_Toc224818522"/>
      <w:r w:rsidRPr="00EE602B">
        <w:t>§709.</w:t>
      </w:r>
      <w:r w:rsidRPr="00EE602B">
        <w:tab/>
        <w:t>Application Process</w:t>
      </w:r>
      <w:bookmarkEnd w:id="513"/>
    </w:p>
    <w:p w14:paraId="2591AF98" w14:textId="77777777" w:rsidR="00B87D7C" w:rsidRPr="00EE602B" w:rsidRDefault="00B87D7C" w:rsidP="00B87D7C">
      <w:pPr>
        <w:pStyle w:val="A"/>
      </w:pPr>
      <w:r w:rsidRPr="00EE602B">
        <w:t>A.</w:t>
      </w:r>
      <w:r w:rsidRPr="00EE602B">
        <w:tab/>
        <w:t xml:space="preserve">Participating businesses and prospective intern(s) must receive approval by the LAFA director in order for a qualifying internship to be eligible for reimbursement. </w:t>
      </w:r>
    </w:p>
    <w:p w14:paraId="610A0E11" w14:textId="77777777" w:rsidR="00B87D7C" w:rsidRPr="00EE602B" w:rsidRDefault="00B87D7C" w:rsidP="00B87D7C">
      <w:pPr>
        <w:pStyle w:val="1"/>
      </w:pPr>
      <w:r w:rsidRPr="00EE602B">
        <w:t>1.</w:t>
      </w:r>
      <w:r w:rsidRPr="00EE602B">
        <w:tab/>
        <w:t>Agricultural businesses interested in participating may apply for the program during the open application period from July 1 through September 1 of every year. Eligible applications will be reviewed and funded on a first-come, first-serve basis.</w:t>
      </w:r>
      <w:r>
        <w:t xml:space="preserve"> </w:t>
      </w:r>
      <w:r w:rsidRPr="00EE602B">
        <w:t>An agricultural business must complete and submit the necessary application to LAFA within the application period.</w:t>
      </w:r>
      <w:r>
        <w:t xml:space="preserve"> </w:t>
      </w:r>
      <w:r w:rsidRPr="00EE602B">
        <w:t>Only application forms prepared by LAFA for this purpose may be used.</w:t>
      </w:r>
      <w:r>
        <w:t xml:space="preserve"> </w:t>
      </w:r>
      <w:r w:rsidRPr="00EE602B">
        <w:t>If funds remain, the director of LAFA will consider business applications on a rolling basis after the close of the open application period.</w:t>
      </w:r>
      <w:r>
        <w:t xml:space="preserve"> </w:t>
      </w:r>
    </w:p>
    <w:p w14:paraId="59CA96B0" w14:textId="77777777" w:rsidR="00B87D7C" w:rsidRPr="00EE602B" w:rsidRDefault="00B87D7C" w:rsidP="00B87D7C">
      <w:pPr>
        <w:pStyle w:val="a0"/>
      </w:pPr>
      <w:r w:rsidRPr="00EE602B">
        <w:t>a.</w:t>
      </w:r>
      <w:r w:rsidRPr="00EE602B">
        <w:tab/>
        <w:t>Eligible business applications will be reviewed upon receipt by LAFA staff. Decisions will be based on the needs of the program, legislative intent, applicable statute, and these rules.</w:t>
      </w:r>
    </w:p>
    <w:p w14:paraId="4C03C916" w14:textId="77777777" w:rsidR="00B87D7C" w:rsidRPr="00EE602B" w:rsidRDefault="00B87D7C" w:rsidP="00B87D7C">
      <w:pPr>
        <w:pStyle w:val="a0"/>
      </w:pPr>
      <w:r w:rsidRPr="00EE602B">
        <w:t>b.</w:t>
      </w:r>
      <w:r w:rsidRPr="00EE602B">
        <w:tab/>
        <w:t xml:space="preserve">Acceptance and rejection notifications will be sent via email within 30 days of completion of application review. </w:t>
      </w:r>
    </w:p>
    <w:p w14:paraId="48462117" w14:textId="77777777" w:rsidR="00B87D7C" w:rsidRPr="00EE602B" w:rsidRDefault="00B87D7C" w:rsidP="00B87D7C">
      <w:pPr>
        <w:pStyle w:val="a0"/>
      </w:pPr>
      <w:r w:rsidRPr="00EE602B">
        <w:t>c.</w:t>
      </w:r>
      <w:r w:rsidRPr="00EE602B">
        <w:tab/>
        <w:t>An agricultural business applicant shall submit a separate application for every internship position that it is requesting.</w:t>
      </w:r>
    </w:p>
    <w:p w14:paraId="45704FDD" w14:textId="77777777" w:rsidR="00B87D7C" w:rsidRPr="00EE602B" w:rsidRDefault="00B87D7C" w:rsidP="00B87D7C">
      <w:pPr>
        <w:pStyle w:val="1"/>
      </w:pPr>
      <w:r w:rsidRPr="00EE602B">
        <w:t>2.</w:t>
      </w:r>
      <w:r w:rsidRPr="00EE602B">
        <w:tab/>
        <w:t>Upon approval of the agricultural business applicant, the intern candidate(s) selected by a participating business must complete and submit an intern application to the LAFA Director.</w:t>
      </w:r>
      <w:r>
        <w:t xml:space="preserve"> </w:t>
      </w:r>
      <w:r w:rsidRPr="00EE602B">
        <w:t>Only application forms prepared by LAFA for this purpose may be used.</w:t>
      </w:r>
      <w:r>
        <w:t xml:space="preserve"> </w:t>
      </w:r>
    </w:p>
    <w:p w14:paraId="00B4A955" w14:textId="77777777" w:rsidR="00B87D7C" w:rsidRPr="00EE602B" w:rsidRDefault="00B87D7C" w:rsidP="00B87D7C">
      <w:pPr>
        <w:pStyle w:val="a0"/>
      </w:pPr>
      <w:r w:rsidRPr="00EE602B">
        <w:t>a.</w:t>
      </w:r>
      <w:r w:rsidRPr="00EE602B">
        <w:tab/>
        <w:t>In addition to the internship application, intern candidates must also submit a statement of career goal</w:t>
      </w:r>
      <w:r>
        <w:t>s to the LAFA d</w:t>
      </w:r>
      <w:r w:rsidRPr="00EE602B">
        <w:t>irector.</w:t>
      </w:r>
    </w:p>
    <w:p w14:paraId="2DD0BF67" w14:textId="77777777" w:rsidR="00B87D7C" w:rsidRPr="00EE602B" w:rsidRDefault="00B87D7C" w:rsidP="00B87D7C">
      <w:pPr>
        <w:pStyle w:val="a0"/>
      </w:pPr>
      <w:r w:rsidRPr="00EE602B">
        <w:t>b.</w:t>
      </w:r>
      <w:r w:rsidRPr="00EE602B">
        <w:tab/>
        <w:t>Intern applications will be reviewed by LAFA staff and a determination of approval will be sent via email to the participating business within 10 business days of receipt of a fully completed intern application and statement.</w:t>
      </w:r>
    </w:p>
    <w:p w14:paraId="3C4B9BA0" w14:textId="77777777"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14:paraId="3B9E19DC" w14:textId="77777777" w:rsidR="00B87D7C" w:rsidRDefault="00B87D7C" w:rsidP="00B87D7C">
      <w:pPr>
        <w:pStyle w:val="HistoricalNote"/>
      </w:pPr>
      <w:r>
        <w:t>HISTORICAL NOTE:</w:t>
      </w:r>
      <w:r>
        <w:tab/>
      </w:r>
      <w:r w:rsidRPr="00EE602B">
        <w:t>Promulgated by the Department of Agriculture, Agricu</w:t>
      </w:r>
      <w:r>
        <w:t>lture Finance Authority, LR 47:851 (July 2021).</w:t>
      </w:r>
    </w:p>
    <w:p w14:paraId="3B52EF14" w14:textId="77777777" w:rsidR="00B87D7C" w:rsidRPr="00EE602B" w:rsidRDefault="00B87D7C" w:rsidP="00B87D7C">
      <w:pPr>
        <w:pStyle w:val="Section"/>
      </w:pPr>
      <w:bookmarkStart w:id="514" w:name="_Toc224818523"/>
      <w:r w:rsidRPr="00EE602B">
        <w:t>§711.</w:t>
      </w:r>
      <w:r w:rsidRPr="00EE602B">
        <w:tab/>
        <w:t>Reimbursement</w:t>
      </w:r>
      <w:bookmarkEnd w:id="514"/>
    </w:p>
    <w:p w14:paraId="77AAAA27" w14:textId="77777777" w:rsidR="00B87D7C" w:rsidRPr="00EE602B" w:rsidRDefault="00B87D7C" w:rsidP="00B87D7C">
      <w:pPr>
        <w:pStyle w:val="A"/>
      </w:pPr>
      <w:r w:rsidRPr="00EE602B">
        <w:t>A.</w:t>
      </w:r>
      <w:r w:rsidRPr="00EE602B">
        <w:tab/>
        <w:t>Participating agricultural businesses will be reimbursed up to the agreed upon amount at the conclusion of the internship upon presentation of an invoice and supporting documentation. Reimbursement will not exceed 50 percent of the actual cost to the business. The maximum amount a business may be reimbu</w:t>
      </w:r>
      <w:r>
        <w:t>rsed per internship is $5,000</w:t>
      </w:r>
      <w:r w:rsidRPr="00EE602B">
        <w:t>.</w:t>
      </w:r>
    </w:p>
    <w:p w14:paraId="694E9CD7" w14:textId="77777777" w:rsidR="00B87D7C" w:rsidRPr="00EE602B" w:rsidRDefault="00B87D7C" w:rsidP="00B87D7C">
      <w:pPr>
        <w:pStyle w:val="1"/>
      </w:pPr>
      <w:r w:rsidRPr="00EE602B">
        <w:t>1.</w:t>
      </w:r>
      <w:r w:rsidRPr="00EE602B">
        <w:tab/>
        <w:t>An invoice requesting reimbursement shall be submitted to LAFA within 30 business days of the conclusion of the internship.</w:t>
      </w:r>
      <w:r>
        <w:t xml:space="preserve"> </w:t>
      </w:r>
      <w:r w:rsidRPr="00EE602B">
        <w:t>The invoice must include the reimbursement amount requested and the actual costs incurred by the business to employ the intern.</w:t>
      </w:r>
      <w:r>
        <w:t xml:space="preserve"> </w:t>
      </w:r>
    </w:p>
    <w:p w14:paraId="07E3DBEB" w14:textId="77777777" w:rsidR="00B87D7C" w:rsidRPr="00EE602B" w:rsidRDefault="00B87D7C" w:rsidP="00B87D7C">
      <w:pPr>
        <w:pStyle w:val="1"/>
      </w:pPr>
      <w:r w:rsidRPr="00EE602B">
        <w:t>2.</w:t>
      </w:r>
      <w:r w:rsidRPr="00EE602B">
        <w:tab/>
        <w:t>The participating agricultural business shall submit copies of time sheets and pay stubs verifying the total amount paid to the intern during the internship.</w:t>
      </w:r>
      <w:r>
        <w:t xml:space="preserve"> </w:t>
      </w:r>
      <w:r w:rsidRPr="00EE602B">
        <w:t>If the invoice includes costs for incidental expenses, those costs must be supported with proof of payment by the participating business.</w:t>
      </w:r>
    </w:p>
    <w:p w14:paraId="4B788ADB" w14:textId="77777777" w:rsidR="00B87D7C" w:rsidRPr="00EE602B" w:rsidRDefault="00B87D7C" w:rsidP="00B87D7C">
      <w:pPr>
        <w:pStyle w:val="1"/>
      </w:pPr>
      <w:r w:rsidRPr="00EE602B">
        <w:t>3.</w:t>
      </w:r>
      <w:r w:rsidRPr="00EE602B">
        <w:tab/>
        <w:t>The participating agricultural business shall also, as a requirement of reimbursement, complete a post-internship evaluation form, to be provided by LAFA staff.</w:t>
      </w:r>
    </w:p>
    <w:p w14:paraId="6A73CE25" w14:textId="77777777" w:rsidR="00B87D7C" w:rsidRPr="00EE602B" w:rsidRDefault="00B87D7C" w:rsidP="00B87D7C">
      <w:pPr>
        <w:pStyle w:val="1"/>
      </w:pPr>
      <w:r w:rsidRPr="00EE602B">
        <w:t>4.</w:t>
      </w:r>
      <w:r w:rsidRPr="00EE602B">
        <w:tab/>
        <w:t>In the event an internship ends prior to its scheduled completion, participating businesses may still be partially reimbursed for costs incurred.</w:t>
      </w:r>
    </w:p>
    <w:p w14:paraId="77B8526E" w14:textId="77777777"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14:paraId="753F42DD" w14:textId="77777777" w:rsidR="00B87D7C" w:rsidRDefault="00B87D7C" w:rsidP="00B87D7C">
      <w:pPr>
        <w:pStyle w:val="HistoricalNote"/>
      </w:pPr>
      <w:r>
        <w:t>HISTORICAL NOTE:</w:t>
      </w:r>
      <w:r>
        <w:tab/>
      </w:r>
      <w:r w:rsidRPr="00EE602B">
        <w:t>Promulgated by the Department of Agriculture, Agricu</w:t>
      </w:r>
      <w:r>
        <w:t>lture Finance Authority, LR 47:851 (July 2021).</w:t>
      </w:r>
    </w:p>
    <w:p w14:paraId="16F510B3" w14:textId="77777777" w:rsidR="00AE53BE" w:rsidRDefault="00AE53BE" w:rsidP="00AE53BE">
      <w:pPr>
        <w:pStyle w:val="Chapter"/>
      </w:pPr>
      <w:bookmarkStart w:id="515" w:name="_Toc224818524"/>
      <w:r w:rsidRPr="005F319E">
        <w:t>Chapter 9.</w:t>
      </w:r>
      <w:r w:rsidRPr="005F319E">
        <w:tab/>
        <w:t>Healthy Foods Retail Program</w:t>
      </w:r>
      <w:bookmarkEnd w:id="515"/>
    </w:p>
    <w:p w14:paraId="528E529B" w14:textId="77777777" w:rsidR="00AE53BE" w:rsidRDefault="00AE53BE" w:rsidP="00AE53BE">
      <w:pPr>
        <w:pStyle w:val="Section"/>
      </w:pPr>
      <w:bookmarkStart w:id="516" w:name="_Toc224818525"/>
      <w:r w:rsidRPr="005F319E">
        <w:t>§901.</w:t>
      </w:r>
      <w:r w:rsidRPr="005F319E">
        <w:tab/>
        <w:t>Definitions</w:t>
      </w:r>
      <w:bookmarkEnd w:id="516"/>
    </w:p>
    <w:p w14:paraId="3903EB43" w14:textId="77777777" w:rsidR="00AE53BE" w:rsidRPr="000B281F" w:rsidRDefault="00AE53BE" w:rsidP="00AE53BE">
      <w:pPr>
        <w:pStyle w:val="A"/>
      </w:pPr>
      <w:r w:rsidRPr="000B281F">
        <w:t>A.</w:t>
      </w:r>
      <w:r w:rsidRPr="000B281F">
        <w:tab/>
        <w:t xml:space="preserve">The words and terms defined in R.S. 3:296 are applicable to this Chapter. </w:t>
      </w:r>
    </w:p>
    <w:p w14:paraId="666532D8" w14:textId="77777777" w:rsidR="00AE53BE" w:rsidRPr="000B281F" w:rsidRDefault="00AE53BE" w:rsidP="00AE53BE">
      <w:pPr>
        <w:pStyle w:val="A"/>
      </w:pPr>
      <w:r w:rsidRPr="000B281F">
        <w:lastRenderedPageBreak/>
        <w:t>B.</w:t>
      </w:r>
      <w:r w:rsidRPr="000B281F">
        <w:tab/>
        <w:t>As used in this Chapter, the following terms and phrases shall have the meaning</w:t>
      </w:r>
      <w:r>
        <w:t>s hereinafter ascribed to them.</w:t>
      </w:r>
    </w:p>
    <w:p w14:paraId="535C6993" w14:textId="77777777" w:rsidR="00AE53BE" w:rsidRDefault="00AE53BE" w:rsidP="00AE53BE">
      <w:pPr>
        <w:pStyle w:val="1"/>
      </w:pPr>
      <w:r w:rsidRPr="000B281F">
        <w:rPr>
          <w:i/>
        </w:rPr>
        <w:t>Commissioner</w:t>
      </w:r>
      <w:r w:rsidRPr="000B281F">
        <w:t xml:space="preserve">—the commissioner of agriculture and forestry. </w:t>
      </w:r>
    </w:p>
    <w:p w14:paraId="1B4B15D4" w14:textId="77777777" w:rsidR="00AE53BE" w:rsidRPr="000B281F" w:rsidRDefault="00AE53BE" w:rsidP="00AE53BE">
      <w:pPr>
        <w:pStyle w:val="1"/>
      </w:pPr>
      <w:r w:rsidRPr="000B281F">
        <w:rPr>
          <w:i/>
        </w:rPr>
        <w:t>D-CDBG</w:t>
      </w:r>
      <w:r w:rsidRPr="000B281F">
        <w:t xml:space="preserve">—Disaster Community Development Block Grant. </w:t>
      </w:r>
    </w:p>
    <w:p w14:paraId="2A912F4C" w14:textId="77777777" w:rsidR="00AE53BE" w:rsidRPr="000B281F" w:rsidRDefault="00AE53BE" w:rsidP="00AE53BE">
      <w:pPr>
        <w:pStyle w:val="1"/>
      </w:pPr>
      <w:r w:rsidRPr="000B281F">
        <w:rPr>
          <w:i/>
        </w:rPr>
        <w:t>Department</w:t>
      </w:r>
      <w:r w:rsidRPr="000B281F">
        <w:t xml:space="preserve">—the Louisiana Department of Agriculture and Forestry. </w:t>
      </w:r>
    </w:p>
    <w:p w14:paraId="1ED042D0" w14:textId="77777777" w:rsidR="00AE53BE" w:rsidRPr="000B281F" w:rsidRDefault="00AE53BE" w:rsidP="00AE53BE">
      <w:pPr>
        <w:pStyle w:val="1"/>
      </w:pPr>
      <w:r w:rsidRPr="000B281F">
        <w:rPr>
          <w:i/>
        </w:rPr>
        <w:t>Funding</w:t>
      </w:r>
      <w:r w:rsidRPr="000B281F">
        <w:t xml:space="preserve">—grants, loans, or a combination of grants and loans. </w:t>
      </w:r>
    </w:p>
    <w:p w14:paraId="369FF4FD" w14:textId="77777777" w:rsidR="00AE53BE" w:rsidRPr="000B281F" w:rsidRDefault="00AE53BE" w:rsidP="00AE53BE">
      <w:pPr>
        <w:pStyle w:val="1"/>
      </w:pPr>
      <w:r w:rsidRPr="000B281F">
        <w:rPr>
          <w:i/>
        </w:rPr>
        <w:t>Healthy Food Retailers</w:t>
      </w:r>
      <w:r w:rsidRPr="000B281F">
        <w:t xml:space="preserve">—for-profit or not-for-profit retailers that sell high quality fresh fruits and vegetables at competitive prices including but not limited to supermarkets, grocery stores, and farmers’ markets. </w:t>
      </w:r>
    </w:p>
    <w:p w14:paraId="31865611" w14:textId="77777777" w:rsidR="00AE53BE" w:rsidRPr="000B281F" w:rsidRDefault="00AE53BE" w:rsidP="00AE53BE">
      <w:pPr>
        <w:pStyle w:val="1"/>
      </w:pPr>
      <w:r w:rsidRPr="000B281F">
        <w:rPr>
          <w:i/>
        </w:rPr>
        <w:t>HFRP</w:t>
      </w:r>
      <w:r w:rsidRPr="000B281F">
        <w:t xml:space="preserve">—Healthy Food Retail Program. </w:t>
      </w:r>
    </w:p>
    <w:p w14:paraId="09A0A0F2" w14:textId="77777777" w:rsidR="00AE53BE" w:rsidRPr="000B281F" w:rsidRDefault="00AE53BE" w:rsidP="00AE53BE">
      <w:pPr>
        <w:pStyle w:val="1"/>
      </w:pPr>
      <w:r w:rsidRPr="000B281F">
        <w:rPr>
          <w:i/>
        </w:rPr>
        <w:t>LAFA</w:t>
      </w:r>
      <w:r w:rsidRPr="000B281F">
        <w:t xml:space="preserve">—Louisiana Agricultural Finance Authority. </w:t>
      </w:r>
    </w:p>
    <w:p w14:paraId="724B246D" w14:textId="77777777" w:rsidR="00AE53BE" w:rsidRPr="000B281F" w:rsidRDefault="00AE53BE" w:rsidP="00AE53BE">
      <w:pPr>
        <w:pStyle w:val="1"/>
      </w:pPr>
      <w:r w:rsidRPr="000B281F">
        <w:rPr>
          <w:i/>
        </w:rPr>
        <w:t>LMI</w:t>
      </w:r>
      <w:r>
        <w:t>—low- or moderate- income.</w:t>
      </w:r>
    </w:p>
    <w:p w14:paraId="47C1527F" w14:textId="77777777" w:rsidR="00AE53BE" w:rsidRPr="000B281F" w:rsidRDefault="00AE53BE" w:rsidP="00AE53BE">
      <w:pPr>
        <w:pStyle w:val="1"/>
      </w:pPr>
      <w:r w:rsidRPr="000B281F">
        <w:rPr>
          <w:i/>
        </w:rPr>
        <w:t>OCD</w:t>
      </w:r>
      <w:r w:rsidRPr="000B281F">
        <w:t xml:space="preserve">—Office </w:t>
      </w:r>
      <w:r>
        <w:t>of Community Development.</w:t>
      </w:r>
    </w:p>
    <w:p w14:paraId="5E86B75D" w14:textId="77777777" w:rsidR="00AE53BE" w:rsidRPr="000B281F" w:rsidRDefault="00AE53BE" w:rsidP="00AE53BE">
      <w:pPr>
        <w:pStyle w:val="1"/>
      </w:pPr>
      <w:r w:rsidRPr="000B281F">
        <w:rPr>
          <w:i/>
        </w:rPr>
        <w:t>Program</w:t>
      </w:r>
      <w:r w:rsidRPr="000B281F">
        <w:t xml:space="preserve">—a public-private partnership established to provide a dedicated source of financing for food retailers that increase access to fresh fruits and vegetables and other affordable healthy food for Louisiana residents managed by the Louisiana Department of Agriculture and Forestry. </w:t>
      </w:r>
    </w:p>
    <w:p w14:paraId="713553D5" w14:textId="77777777" w:rsidR="00AE53BE" w:rsidRPr="000B281F" w:rsidRDefault="00AE53BE" w:rsidP="00AE53BE">
      <w:pPr>
        <w:pStyle w:val="1"/>
      </w:pPr>
      <w:r w:rsidRPr="000B281F">
        <w:rPr>
          <w:i/>
        </w:rPr>
        <w:t>Program Partner</w:t>
      </w:r>
      <w:r w:rsidRPr="000B281F">
        <w:t xml:space="preserve">—consists of LDAF, LAFA, and any other contracted nonprofit organization or community development financial institution that assists with administering the program. </w:t>
      </w:r>
    </w:p>
    <w:p w14:paraId="25DE058C" w14:textId="77777777" w:rsidR="00AE53BE" w:rsidRPr="000B281F" w:rsidRDefault="00AE53BE" w:rsidP="00AE53BE">
      <w:pPr>
        <w:pStyle w:val="1"/>
      </w:pPr>
      <w:r w:rsidRPr="000B281F">
        <w:rPr>
          <w:i/>
        </w:rPr>
        <w:t>Underserved Community</w:t>
      </w:r>
      <w:r w:rsidRPr="000B281F">
        <w:t>—a geographic area that has limited acces</w:t>
      </w:r>
      <w:r>
        <w:t xml:space="preserve">s to healthy food retailers and is located in </w:t>
      </w:r>
      <w:r w:rsidRPr="000B281F">
        <w:t xml:space="preserve">a lower-income or high-poverty area, or an area that is otherwise determined to have serious healthy food access limitations. </w:t>
      </w:r>
    </w:p>
    <w:p w14:paraId="51878661" w14:textId="77777777" w:rsidR="00AE53BE" w:rsidRPr="000B281F" w:rsidRDefault="00AE53BE" w:rsidP="00AE53BE">
      <w:pPr>
        <w:pStyle w:val="AuthorityNote"/>
      </w:pPr>
      <w:r w:rsidRPr="000B281F">
        <w:t>AUTHORITY NOTE:</w:t>
      </w:r>
      <w:r w:rsidRPr="000B281F">
        <w:tab/>
        <w:t>Promulgated in accordance with R.S. 3:296.</w:t>
      </w:r>
    </w:p>
    <w:p w14:paraId="573B0BC2"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296 (February 2022).</w:t>
      </w:r>
    </w:p>
    <w:p w14:paraId="0F3EE71F" w14:textId="77777777" w:rsidR="00AE53BE" w:rsidRPr="00E04B4C" w:rsidRDefault="00AE53BE" w:rsidP="00AE53BE">
      <w:pPr>
        <w:pStyle w:val="Section"/>
      </w:pPr>
      <w:bookmarkStart w:id="517" w:name="_Toc224818526"/>
      <w:r w:rsidRPr="00E04B4C">
        <w:t>§903.</w:t>
      </w:r>
      <w:r w:rsidRPr="00E04B4C">
        <w:tab/>
        <w:t>Available Funding</w:t>
      </w:r>
      <w:bookmarkEnd w:id="517"/>
    </w:p>
    <w:p w14:paraId="7B355B56" w14:textId="77777777" w:rsidR="00AE53BE" w:rsidRPr="00E04B4C" w:rsidRDefault="00AE53BE" w:rsidP="00AE53BE">
      <w:pPr>
        <w:pStyle w:val="A"/>
      </w:pPr>
      <w:r w:rsidRPr="00E04B4C">
        <w:t>A.</w:t>
      </w:r>
      <w:r w:rsidRPr="00E04B4C">
        <w:tab/>
        <w:t xml:space="preserve">The </w:t>
      </w:r>
      <w:r>
        <w:t xml:space="preserve">Healthy Food Retail Program may </w:t>
      </w:r>
      <w:r w:rsidRPr="00E04B4C">
        <w:t>provide funding on a one-t</w:t>
      </w:r>
      <w:r>
        <w:t>ime basis for projects such as:</w:t>
      </w:r>
    </w:p>
    <w:p w14:paraId="48FDF298" w14:textId="77777777" w:rsidR="00AE53BE" w:rsidRPr="00E04B4C" w:rsidRDefault="00AE53BE" w:rsidP="00AE53BE">
      <w:pPr>
        <w:pStyle w:val="1"/>
      </w:pPr>
      <w:r w:rsidRPr="00E04B4C">
        <w:t>1.</w:t>
      </w:r>
      <w:r w:rsidRPr="00E04B4C">
        <w:tab/>
        <w:t>new construct</w:t>
      </w:r>
      <w:r>
        <w:t xml:space="preserve">ion of supermarkets and grocery </w:t>
      </w:r>
      <w:r w:rsidRPr="00E04B4C">
        <w:t xml:space="preserve">stores; </w:t>
      </w:r>
    </w:p>
    <w:p w14:paraId="515090E7" w14:textId="77777777" w:rsidR="00AE53BE" w:rsidRPr="00E04B4C" w:rsidRDefault="00AE53BE" w:rsidP="00AE53BE">
      <w:pPr>
        <w:pStyle w:val="1"/>
      </w:pPr>
      <w:r w:rsidRPr="00E04B4C">
        <w:t>2.</w:t>
      </w:r>
      <w:r w:rsidRPr="00E04B4C">
        <w:tab/>
        <w:t xml:space="preserve">store renovations, expansion, and infrastructure upgrades that improve the availability and quality of fresh produce; </w:t>
      </w:r>
    </w:p>
    <w:p w14:paraId="1AD3C609" w14:textId="77777777" w:rsidR="00AE53BE" w:rsidRPr="00E04B4C" w:rsidRDefault="00AE53BE" w:rsidP="00AE53BE">
      <w:pPr>
        <w:pStyle w:val="1"/>
      </w:pPr>
      <w:r w:rsidRPr="00E04B4C">
        <w:t>3.</w:t>
      </w:r>
      <w:r w:rsidRPr="00E04B4C">
        <w:tab/>
        <w:t>farmers’ markets and public markets, food cooperatives, mobile markets and delivery projects, and distribution projects that enable food retailers in underserved communities to regularly obtain fresh produce; or </w:t>
      </w:r>
    </w:p>
    <w:p w14:paraId="4961121F" w14:textId="77777777" w:rsidR="00AE53BE" w:rsidRPr="00E04B4C" w:rsidRDefault="00AE53BE" w:rsidP="00AE53BE">
      <w:pPr>
        <w:pStyle w:val="1"/>
      </w:pPr>
      <w:r w:rsidRPr="00E04B4C">
        <w:t>4.</w:t>
      </w:r>
      <w:r w:rsidRPr="00E04B4C">
        <w:tab/>
        <w:t xml:space="preserve">other projects that create or improve healthy food retail outlets as determined by LAFA. </w:t>
      </w:r>
    </w:p>
    <w:p w14:paraId="2C011AB6" w14:textId="77777777" w:rsidR="00AE53BE" w:rsidRPr="00E04B4C" w:rsidRDefault="00AE53BE" w:rsidP="00AE53BE">
      <w:pPr>
        <w:pStyle w:val="A"/>
      </w:pPr>
      <w:r w:rsidRPr="00E04B4C">
        <w:t>B.</w:t>
      </w:r>
      <w:r w:rsidRPr="00E04B4C">
        <w:tab/>
        <w:t xml:space="preserve">Funding made available for </w:t>
      </w:r>
      <w:r>
        <w:t>projects included in Paragraph A</w:t>
      </w:r>
      <w:r w:rsidRPr="00E04B4C">
        <w:t xml:space="preserve"> of this Section may be u</w:t>
      </w:r>
      <w:r>
        <w:t>sed for the following purposes:</w:t>
      </w:r>
    </w:p>
    <w:p w14:paraId="416A7DBA" w14:textId="77777777" w:rsidR="00AE53BE" w:rsidRPr="00E04B4C" w:rsidRDefault="00AE53BE" w:rsidP="00AE53BE">
      <w:pPr>
        <w:pStyle w:val="1"/>
      </w:pPr>
      <w:r w:rsidRPr="00E04B4C">
        <w:t>1.</w:t>
      </w:r>
      <w:r w:rsidRPr="00E04B4C">
        <w:tab/>
      </w:r>
      <w:r>
        <w:t xml:space="preserve">site acquisition and </w:t>
      </w:r>
      <w:r w:rsidRPr="00E04B4C">
        <w:t xml:space="preserve">preparation; </w:t>
      </w:r>
    </w:p>
    <w:p w14:paraId="2D661898" w14:textId="77777777" w:rsidR="00AE53BE" w:rsidRPr="00E04B4C" w:rsidRDefault="00AE53BE" w:rsidP="00AE53BE">
      <w:pPr>
        <w:pStyle w:val="1"/>
      </w:pPr>
      <w:r w:rsidRPr="00E04B4C">
        <w:t>2.</w:t>
      </w:r>
      <w:r w:rsidRPr="00E04B4C">
        <w:tab/>
      </w:r>
      <w:r>
        <w:t xml:space="preserve">construction </w:t>
      </w:r>
      <w:r w:rsidRPr="00E04B4C">
        <w:t xml:space="preserve">costs; </w:t>
      </w:r>
    </w:p>
    <w:p w14:paraId="40CA58C2" w14:textId="77777777" w:rsidR="00AE53BE" w:rsidRPr="00E04B4C" w:rsidRDefault="00AE53BE" w:rsidP="00AE53BE">
      <w:pPr>
        <w:pStyle w:val="1"/>
      </w:pPr>
      <w:r w:rsidRPr="00E04B4C">
        <w:t>3.</w:t>
      </w:r>
      <w:r w:rsidRPr="00E04B4C">
        <w:tab/>
      </w:r>
      <w:r>
        <w:t xml:space="preserve">equipment and </w:t>
      </w:r>
      <w:r w:rsidRPr="00E04B4C">
        <w:t xml:space="preserve">furnishings; </w:t>
      </w:r>
    </w:p>
    <w:p w14:paraId="2DBBE6A4" w14:textId="77777777" w:rsidR="00AE53BE" w:rsidRPr="00E04B4C" w:rsidRDefault="00AE53BE" w:rsidP="00AE53BE">
      <w:pPr>
        <w:pStyle w:val="1"/>
      </w:pPr>
      <w:r w:rsidRPr="00E04B4C">
        <w:t>4.</w:t>
      </w:r>
      <w:r w:rsidRPr="00E04B4C">
        <w:tab/>
      </w:r>
      <w:r>
        <w:t xml:space="preserve">workforce </w:t>
      </w:r>
      <w:r w:rsidRPr="00E04B4C">
        <w:t xml:space="preserve">training; </w:t>
      </w:r>
    </w:p>
    <w:p w14:paraId="1C8BE517" w14:textId="77777777" w:rsidR="00AE53BE" w:rsidRPr="00E04B4C" w:rsidRDefault="00AE53BE" w:rsidP="00AE53BE">
      <w:pPr>
        <w:pStyle w:val="1"/>
      </w:pPr>
      <w:r w:rsidRPr="00E04B4C">
        <w:t>5.</w:t>
      </w:r>
      <w:r w:rsidRPr="00E04B4C">
        <w:tab/>
        <w:t xml:space="preserve">security; </w:t>
      </w:r>
    </w:p>
    <w:p w14:paraId="3DE07015" w14:textId="77777777" w:rsidR="00AE53BE" w:rsidRPr="00E04B4C" w:rsidRDefault="00AE53BE" w:rsidP="00AE53BE">
      <w:pPr>
        <w:pStyle w:val="1"/>
      </w:pPr>
      <w:r w:rsidRPr="00E04B4C">
        <w:t>6.</w:t>
      </w:r>
      <w:r w:rsidRPr="00E04B4C">
        <w:tab/>
        <w:t xml:space="preserve">certain pre-development costs, such as market studies and appraisals; and </w:t>
      </w:r>
    </w:p>
    <w:p w14:paraId="6638AF77" w14:textId="77777777" w:rsidR="00AE53BE" w:rsidRPr="00E04B4C" w:rsidRDefault="00AE53BE" w:rsidP="00AE53BE">
      <w:pPr>
        <w:pStyle w:val="1"/>
      </w:pPr>
      <w:r w:rsidRPr="00E04B4C">
        <w:t>7.</w:t>
      </w:r>
      <w:r w:rsidRPr="00E04B4C">
        <w:tab/>
        <w:t xml:space="preserve">working capital for first-time inventory and start-up costs. </w:t>
      </w:r>
    </w:p>
    <w:p w14:paraId="27B06044" w14:textId="77777777" w:rsidR="00AE53BE" w:rsidRPr="00E04B4C" w:rsidRDefault="00AE53BE" w:rsidP="00AE53BE">
      <w:pPr>
        <w:pStyle w:val="A"/>
      </w:pPr>
      <w:r w:rsidRPr="00E04B4C">
        <w:t>C.</w:t>
      </w:r>
      <w:r w:rsidRPr="00E04B4C">
        <w:tab/>
        <w:t xml:space="preserve">Applicants shall not use </w:t>
      </w:r>
      <w:r>
        <w:t>HFRP funding for the following:</w:t>
      </w:r>
    </w:p>
    <w:p w14:paraId="3469EA18" w14:textId="77777777" w:rsidR="00AE53BE" w:rsidRPr="00E04B4C" w:rsidRDefault="00AE53BE" w:rsidP="00AE53BE">
      <w:pPr>
        <w:pStyle w:val="1"/>
      </w:pPr>
      <w:r w:rsidRPr="00E04B4C">
        <w:t>1.</w:t>
      </w:r>
      <w:r w:rsidRPr="00E04B4C">
        <w:tab/>
        <w:t xml:space="preserve">the sole </w:t>
      </w:r>
      <w:r>
        <w:t xml:space="preserve">purpose of refinancing existing </w:t>
      </w:r>
      <w:r w:rsidRPr="00E04B4C">
        <w:t xml:space="preserve">debt; </w:t>
      </w:r>
    </w:p>
    <w:p w14:paraId="5E4668F1" w14:textId="77777777" w:rsidR="00AE53BE" w:rsidRPr="00E04B4C" w:rsidRDefault="00AE53BE" w:rsidP="00AE53BE">
      <w:pPr>
        <w:pStyle w:val="1"/>
      </w:pPr>
      <w:r w:rsidRPr="00E04B4C">
        <w:t>2.</w:t>
      </w:r>
      <w:r w:rsidRPr="00E04B4C">
        <w:tab/>
        <w:t>payment of any tax arrearages, governme</w:t>
      </w:r>
      <w:r>
        <w:t xml:space="preserve">nt fines, or </w:t>
      </w:r>
      <w:r w:rsidRPr="00E04B4C">
        <w:t xml:space="preserve">penalties; </w:t>
      </w:r>
    </w:p>
    <w:p w14:paraId="4E34D7AB" w14:textId="77777777" w:rsidR="00AE53BE" w:rsidRPr="00E04B4C" w:rsidRDefault="00AE53BE" w:rsidP="00AE53BE">
      <w:pPr>
        <w:pStyle w:val="1"/>
      </w:pPr>
      <w:r>
        <w:t>3.</w:t>
      </w:r>
      <w:r>
        <w:tab/>
        <w:t xml:space="preserve">political or religious </w:t>
      </w:r>
      <w:r w:rsidRPr="00E04B4C">
        <w:t xml:space="preserve">activities; </w:t>
      </w:r>
    </w:p>
    <w:p w14:paraId="5C428719" w14:textId="77777777" w:rsidR="00AE53BE" w:rsidRPr="00E04B4C" w:rsidRDefault="00AE53BE" w:rsidP="00AE53BE">
      <w:pPr>
        <w:pStyle w:val="1"/>
      </w:pPr>
      <w:r w:rsidRPr="00E04B4C">
        <w:t>4.</w:t>
      </w:r>
      <w:r w:rsidRPr="00E04B4C">
        <w:tab/>
        <w:t xml:space="preserve">buying out any stockholder or </w:t>
      </w:r>
      <w:r>
        <w:t xml:space="preserve">equity holder in the borrower’s </w:t>
      </w:r>
      <w:r w:rsidRPr="00E04B4C">
        <w:t xml:space="preserve">business; </w:t>
      </w:r>
    </w:p>
    <w:p w14:paraId="7F45AAF6" w14:textId="77777777" w:rsidR="00AE53BE" w:rsidRPr="00E04B4C" w:rsidRDefault="00AE53BE" w:rsidP="00AE53BE">
      <w:pPr>
        <w:pStyle w:val="1"/>
      </w:pPr>
      <w:r w:rsidRPr="00E04B4C">
        <w:t>5.</w:t>
      </w:r>
      <w:r w:rsidRPr="00E04B4C">
        <w:tab/>
        <w:t>buyin</w:t>
      </w:r>
      <w:r>
        <w:t xml:space="preserve">g out or reimbursing any family </w:t>
      </w:r>
      <w:r w:rsidRPr="00E04B4C">
        <w:t xml:space="preserve">member; </w:t>
      </w:r>
    </w:p>
    <w:p w14:paraId="2EBC9A40" w14:textId="77777777" w:rsidR="00AE53BE" w:rsidRPr="00E04B4C" w:rsidRDefault="00AE53BE" w:rsidP="00AE53BE">
      <w:pPr>
        <w:pStyle w:val="1"/>
      </w:pPr>
      <w:r w:rsidRPr="00E04B4C">
        <w:t>6.</w:t>
      </w:r>
      <w:r w:rsidRPr="00E04B4C">
        <w:tab/>
        <w:t xml:space="preserve">purchasing instruments or investments for the sole purpose of a return on investment; or </w:t>
      </w:r>
    </w:p>
    <w:p w14:paraId="14765EE5" w14:textId="77777777" w:rsidR="00AE53BE" w:rsidRPr="00E04B4C" w:rsidRDefault="00AE53BE" w:rsidP="00AE53BE">
      <w:pPr>
        <w:pStyle w:val="1"/>
      </w:pPr>
      <w:r w:rsidRPr="00E04B4C">
        <w:t>7.</w:t>
      </w:r>
      <w:r w:rsidRPr="00E04B4C">
        <w:tab/>
      </w:r>
      <w:r>
        <w:t xml:space="preserve">any other activity that LAFA </w:t>
      </w:r>
      <w:r w:rsidRPr="00E04B4C">
        <w:t xml:space="preserve">sees fit. </w:t>
      </w:r>
    </w:p>
    <w:p w14:paraId="1C234246" w14:textId="77777777" w:rsidR="00AE53BE" w:rsidRPr="000B281F" w:rsidRDefault="00AE53BE" w:rsidP="00AE53BE">
      <w:pPr>
        <w:pStyle w:val="AuthorityNote"/>
      </w:pPr>
      <w:r w:rsidRPr="000B281F">
        <w:t>AUTHORITY NOTE:</w:t>
      </w:r>
      <w:r w:rsidRPr="000B281F">
        <w:tab/>
        <w:t>Promulgated in accordance with R.S. 3:296.</w:t>
      </w:r>
    </w:p>
    <w:p w14:paraId="0FB22B0F"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295 (February 2022).</w:t>
      </w:r>
    </w:p>
    <w:p w14:paraId="412A97B2" w14:textId="77777777" w:rsidR="00AE53BE" w:rsidRPr="000B281F" w:rsidRDefault="00AE53BE" w:rsidP="00AE53BE">
      <w:pPr>
        <w:pStyle w:val="Section"/>
      </w:pPr>
      <w:bookmarkStart w:id="518" w:name="_Toc224818527"/>
      <w:r w:rsidRPr="000B281F">
        <w:t>§905.</w:t>
      </w:r>
      <w:r w:rsidRPr="000B281F">
        <w:tab/>
      </w:r>
      <w:r>
        <w:t>Application Process</w:t>
      </w:r>
      <w:bookmarkEnd w:id="518"/>
    </w:p>
    <w:p w14:paraId="1A0A58D0" w14:textId="77777777" w:rsidR="00AE53BE" w:rsidRPr="000B281F" w:rsidRDefault="00AE53BE" w:rsidP="00AE53BE">
      <w:pPr>
        <w:pStyle w:val="A"/>
      </w:pPr>
      <w:r w:rsidRPr="000B281F">
        <w:t>A.</w:t>
      </w:r>
      <w:r w:rsidRPr="000B281F">
        <w:tab/>
        <w:t>Applying to the Healthy Foods Retail Program is a two-st</w:t>
      </w:r>
      <w:r>
        <w:t>ep process. The applicant must:</w:t>
      </w:r>
    </w:p>
    <w:p w14:paraId="19FDF28A" w14:textId="77777777" w:rsidR="00AE53BE" w:rsidRPr="000B281F" w:rsidRDefault="00AE53BE" w:rsidP="00AE53BE">
      <w:pPr>
        <w:pStyle w:val="1"/>
      </w:pPr>
      <w:r w:rsidRPr="000B281F">
        <w:t>1.</w:t>
      </w:r>
      <w:r w:rsidRPr="000B281F">
        <w:tab/>
        <w:t>complete an initial HFRP Eligibility Application. All ap</w:t>
      </w:r>
      <w:r>
        <w:t xml:space="preserve">plications will be submitted to </w:t>
      </w:r>
      <w:r w:rsidRPr="000B281F">
        <w:t xml:space="preserve">the program partner; and </w:t>
      </w:r>
    </w:p>
    <w:p w14:paraId="3E4E5CD8" w14:textId="77777777" w:rsidR="00AE53BE" w:rsidRPr="000B281F" w:rsidRDefault="00AE53BE" w:rsidP="00AE53BE">
      <w:pPr>
        <w:pStyle w:val="1"/>
      </w:pPr>
      <w:r w:rsidRPr="000B281F">
        <w:t>2.</w:t>
      </w:r>
      <w:r w:rsidRPr="000B281F">
        <w:tab/>
        <w:t>if deemed eligible, the applicant</w:t>
      </w:r>
      <w:r>
        <w:t xml:space="preserve"> will receive confirmation from the program partner, </w:t>
      </w:r>
      <w:r w:rsidRPr="000B281F">
        <w:t>along with an invitation to complete a</w:t>
      </w:r>
      <w:r>
        <w:t xml:space="preserve"> business loan application from </w:t>
      </w:r>
      <w:r w:rsidRPr="000B281F">
        <w:t xml:space="preserve">the program partner. Financing eligibility will be determined based criteria set forth by the program partner. </w:t>
      </w:r>
    </w:p>
    <w:p w14:paraId="5F4C9399" w14:textId="77777777" w:rsidR="00AE53BE" w:rsidRPr="000B281F" w:rsidRDefault="00AE53BE" w:rsidP="00AE53BE">
      <w:pPr>
        <w:pStyle w:val="AuthorityNote"/>
      </w:pPr>
      <w:r w:rsidRPr="000B281F">
        <w:t>AUTHORITY NOTE:</w:t>
      </w:r>
      <w:r w:rsidRPr="000B281F">
        <w:tab/>
        <w:t>Promulgated in accordance with R.S. 3:296.</w:t>
      </w:r>
    </w:p>
    <w:p w14:paraId="17C73937"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14:paraId="50EAA448" w14:textId="77777777" w:rsidR="00AE53BE" w:rsidRPr="000B281F" w:rsidRDefault="00AE53BE" w:rsidP="00AE53BE">
      <w:pPr>
        <w:pStyle w:val="Section"/>
      </w:pPr>
      <w:bookmarkStart w:id="519" w:name="_Toc224818528"/>
      <w:r>
        <w:t>§907.</w:t>
      </w:r>
      <w:r>
        <w:tab/>
        <w:t>Eligibility of Applicant</w:t>
      </w:r>
      <w:bookmarkEnd w:id="519"/>
    </w:p>
    <w:p w14:paraId="54AD4BED" w14:textId="77777777" w:rsidR="00AE53BE" w:rsidRPr="000B281F" w:rsidRDefault="00AE53BE" w:rsidP="00AE53BE">
      <w:pPr>
        <w:pStyle w:val="A"/>
      </w:pPr>
      <w:r>
        <w:t>A.</w:t>
      </w:r>
      <w:r>
        <w:tab/>
        <w:t xml:space="preserve">An applicant for a loan through </w:t>
      </w:r>
      <w:r w:rsidRPr="000B281F">
        <w:t>the HFRP may have a for-profit or non-profit status, including but not limited to a sole proprietorship, partnership, limited liability company, corp</w:t>
      </w:r>
      <w:r>
        <w:t xml:space="preserve">oration, cooperative, nonprofit organization </w:t>
      </w:r>
      <w:r w:rsidRPr="000B281F">
        <w:t xml:space="preserve">or nonprofit </w:t>
      </w:r>
      <w:r w:rsidRPr="000B281F">
        <w:lastRenderedPageBreak/>
        <w:t>community devel</w:t>
      </w:r>
      <w:r>
        <w:t xml:space="preserve">opment entity. An applicant may </w:t>
      </w:r>
      <w:r w:rsidRPr="000B281F">
        <w:t xml:space="preserve">also be a national chain, regional grocery chain, singular retail outlet or smaller neighborhood food store. All potential applicants must be in good standing with the Louisiana Secretary of State. </w:t>
      </w:r>
    </w:p>
    <w:p w14:paraId="1746A0E9" w14:textId="77777777" w:rsidR="00AE53BE" w:rsidRPr="000B281F" w:rsidRDefault="00AE53BE" w:rsidP="00AE53BE">
      <w:pPr>
        <w:pStyle w:val="A"/>
      </w:pPr>
      <w:r w:rsidRPr="000B281F">
        <w:t>B.</w:t>
      </w:r>
      <w:r w:rsidRPr="000B281F">
        <w:tab/>
      </w:r>
      <w:r>
        <w:t xml:space="preserve">In order to </w:t>
      </w:r>
      <w:r w:rsidRPr="000B281F">
        <w:t>be eligible to participate in the HFRP, the applicant must demonstrate all of th</w:t>
      </w:r>
      <w:r>
        <w:t>e following:</w:t>
      </w:r>
    </w:p>
    <w:p w14:paraId="0B97CE02" w14:textId="77777777" w:rsidR="00AE53BE" w:rsidRPr="000B281F" w:rsidRDefault="00AE53BE" w:rsidP="00AE53BE">
      <w:pPr>
        <w:pStyle w:val="1"/>
      </w:pPr>
      <w:r w:rsidRPr="000B281F">
        <w:t>1.</w:t>
      </w:r>
      <w:r w:rsidRPr="000B281F">
        <w:tab/>
        <w:t>the project for which the applicant seeks funding shall be</w:t>
      </w:r>
      <w:r>
        <w:t>nefit an underserved community;</w:t>
      </w:r>
    </w:p>
    <w:p w14:paraId="59C6E184" w14:textId="77777777" w:rsidR="00AE53BE" w:rsidRPr="000B281F" w:rsidRDefault="00AE53BE" w:rsidP="00AE53BE">
      <w:pPr>
        <w:pStyle w:val="1"/>
      </w:pPr>
      <w:r w:rsidRPr="000B281F">
        <w:t>2.</w:t>
      </w:r>
      <w:r w:rsidRPr="000B281F">
        <w:tab/>
        <w:t>the applicant shall demonstrate a meaningful commitment to sell fresh fruits and vegetables; and</w:t>
      </w:r>
    </w:p>
    <w:p w14:paraId="3DC66709" w14:textId="77777777" w:rsidR="00AE53BE" w:rsidRPr="000B281F" w:rsidRDefault="00AE53BE" w:rsidP="00AE53BE">
      <w:pPr>
        <w:pStyle w:val="1"/>
      </w:pPr>
      <w:r w:rsidRPr="000B281F">
        <w:t>3.</w:t>
      </w:r>
      <w:r w:rsidRPr="000B281F">
        <w:tab/>
        <w:t xml:space="preserve">generally, the applicant shall accept Food Stamps (Supplemental Nutrition Assistance Program) and WIC (Special Supplemental Nutrition Program for Women, Infants, and Children) benefits. </w:t>
      </w:r>
    </w:p>
    <w:p w14:paraId="7F6B9530" w14:textId="77777777" w:rsidR="00AE53BE" w:rsidRPr="000B281F" w:rsidRDefault="00AE53BE" w:rsidP="00AE53BE">
      <w:pPr>
        <w:pStyle w:val="a0"/>
      </w:pPr>
      <w:r w:rsidRPr="000B281F">
        <w:t>a.</w:t>
      </w:r>
      <w:r>
        <w:tab/>
      </w:r>
      <w:r w:rsidRPr="000B281F">
        <w:t>If an applicant is unable to accept Food Stamps or WIC benefits, an alternative may be provided by LDAF to demonstrate a meaningful commitment to make healthy food affor</w:t>
      </w:r>
      <w:r>
        <w:t>dable to low-income households.</w:t>
      </w:r>
    </w:p>
    <w:p w14:paraId="5D47593B" w14:textId="77777777" w:rsidR="00AE53BE" w:rsidRPr="000B281F" w:rsidRDefault="00AE53BE" w:rsidP="00AE53BE">
      <w:pPr>
        <w:pStyle w:val="A"/>
      </w:pPr>
      <w:r w:rsidRPr="000B281F">
        <w:t>C.</w:t>
      </w:r>
      <w:r w:rsidRPr="000B281F">
        <w:tab/>
      </w:r>
      <w:r>
        <w:t xml:space="preserve">Applicants for the HFRP </w:t>
      </w:r>
      <w:r w:rsidRPr="000B281F">
        <w:t>shall be evaluated based on the following criteria to determ</w:t>
      </w:r>
      <w:r>
        <w:t>ine if funding will be awarded:</w:t>
      </w:r>
    </w:p>
    <w:p w14:paraId="153723F2" w14:textId="77777777" w:rsidR="00AE53BE" w:rsidRPr="000B281F" w:rsidRDefault="00AE53BE" w:rsidP="00AE53BE">
      <w:pPr>
        <w:pStyle w:val="1"/>
      </w:pPr>
      <w:r w:rsidRPr="000B281F">
        <w:t>1.</w:t>
      </w:r>
      <w:r w:rsidRPr="000B281F">
        <w:tab/>
        <w:t>the applicant demonstrated the capacity to successfully implement the project, including the applicant’s relevant experience, and the likelihood that t</w:t>
      </w:r>
      <w:r>
        <w:t xml:space="preserve">he project will be economically </w:t>
      </w:r>
      <w:r w:rsidRPr="000B281F">
        <w:t xml:space="preserve">self-sustaining; </w:t>
      </w:r>
    </w:p>
    <w:p w14:paraId="7F6AC9E3" w14:textId="77777777" w:rsidR="00AE53BE" w:rsidRPr="000B281F" w:rsidRDefault="00AE53BE" w:rsidP="00AE53BE">
      <w:pPr>
        <w:pStyle w:val="1"/>
      </w:pPr>
      <w:r w:rsidRPr="000B281F">
        <w:t>2.</w:t>
      </w:r>
      <w:r w:rsidRPr="000B281F">
        <w:tab/>
        <w:t>the ab</w:t>
      </w:r>
      <w:r>
        <w:t xml:space="preserve">ility of the applicant to repay </w:t>
      </w:r>
      <w:r w:rsidRPr="000B281F">
        <w:t xml:space="preserve">debt; </w:t>
      </w:r>
    </w:p>
    <w:p w14:paraId="3ECFF48A" w14:textId="77777777" w:rsidR="00AE53BE" w:rsidRPr="000B281F" w:rsidRDefault="00AE53BE" w:rsidP="00AE53BE">
      <w:pPr>
        <w:pStyle w:val="1"/>
      </w:pPr>
      <w:r w:rsidRPr="000B281F">
        <w:t>3.</w:t>
      </w:r>
      <w:r w:rsidRPr="000B281F">
        <w:tab/>
        <w:t>the degree to which the project requires an investment of public funding to move forward, create impact, or be competitive, as well as the level of</w:t>
      </w:r>
      <w:r>
        <w:t xml:space="preserve"> need in the area to be served;</w:t>
      </w:r>
    </w:p>
    <w:p w14:paraId="4AE51B56" w14:textId="77777777" w:rsidR="00AE53BE" w:rsidRPr="005F319E" w:rsidRDefault="00AE53BE" w:rsidP="00AE53BE">
      <w:pPr>
        <w:pStyle w:val="a0"/>
      </w:pPr>
      <w:r w:rsidRPr="005F319E">
        <w:rPr>
          <w:rStyle w:val="normaltextrun"/>
        </w:rPr>
        <w:t>a.</w:t>
      </w:r>
      <w:r w:rsidRPr="005F319E">
        <w:rPr>
          <w:rStyle w:val="normaltextrun"/>
        </w:rPr>
        <w:tab/>
        <w:t xml:space="preserve">Additional factors that will improve or preserve retail access for low-income residents, such as proximity to public </w:t>
      </w:r>
      <w:r>
        <w:rPr>
          <w:rStyle w:val="normaltextrun"/>
        </w:rPr>
        <w:t xml:space="preserve">transit lines, also may be </w:t>
      </w:r>
      <w:r w:rsidRPr="005F319E">
        <w:rPr>
          <w:rStyle w:val="normaltextrun"/>
        </w:rPr>
        <w:t>taken into account.</w:t>
      </w:r>
      <w:r>
        <w:rPr>
          <w:rStyle w:val="normaltextrun"/>
        </w:rPr>
        <w:t xml:space="preserve"> </w:t>
      </w:r>
    </w:p>
    <w:p w14:paraId="52569DD7" w14:textId="77777777" w:rsidR="00AE53BE" w:rsidRPr="000B281F" w:rsidRDefault="00AE53BE" w:rsidP="00AE53BE">
      <w:pPr>
        <w:pStyle w:val="1"/>
      </w:pPr>
      <w:r w:rsidRPr="000B281F">
        <w:t>4.</w:t>
      </w:r>
      <w:r w:rsidRPr="000B281F">
        <w:tab/>
        <w:t>the degree to which the project will promote sales of fresh produce, particularly Louisia</w:t>
      </w:r>
      <w:r>
        <w:t>na-grown fruits and vegetables;</w:t>
      </w:r>
    </w:p>
    <w:p w14:paraId="5FF214A6" w14:textId="77777777" w:rsidR="00AE53BE" w:rsidRPr="000B281F" w:rsidRDefault="00AE53BE" w:rsidP="00AE53BE">
      <w:pPr>
        <w:pStyle w:val="1"/>
      </w:pPr>
      <w:r w:rsidRPr="000B281F">
        <w:t>5.</w:t>
      </w:r>
      <w:r w:rsidRPr="000B281F">
        <w:tab/>
        <w:t>the degree to which the project will have a positive economic impact on the underserved community, including</w:t>
      </w:r>
      <w:r>
        <w:t xml:space="preserve"> creating or retaining jobs for </w:t>
      </w:r>
      <w:r w:rsidRPr="000B281F">
        <w:t xml:space="preserve">local residents; and </w:t>
      </w:r>
    </w:p>
    <w:p w14:paraId="650F1273" w14:textId="77777777" w:rsidR="00AE53BE" w:rsidRPr="000B281F" w:rsidRDefault="00AE53BE" w:rsidP="00AE53BE">
      <w:pPr>
        <w:pStyle w:val="1"/>
      </w:pPr>
      <w:r>
        <w:t>6.</w:t>
      </w:r>
      <w:r>
        <w:tab/>
        <w:t xml:space="preserve">any other criteria LAFA </w:t>
      </w:r>
      <w:r w:rsidRPr="000B281F">
        <w:t xml:space="preserve">determines to be consistent with the purposes of this Chapter/Part. </w:t>
      </w:r>
    </w:p>
    <w:p w14:paraId="0E43A012" w14:textId="77777777" w:rsidR="00AE53BE" w:rsidRPr="000B281F" w:rsidRDefault="00AE53BE" w:rsidP="00AE53BE">
      <w:pPr>
        <w:pStyle w:val="AuthorityNote"/>
      </w:pPr>
      <w:r w:rsidRPr="000B281F">
        <w:t>AUTHORITY NOTE:</w:t>
      </w:r>
      <w:r w:rsidRPr="000B281F">
        <w:tab/>
        <w:t>Promulgated in accordance with R.S. 3:296.</w:t>
      </w:r>
    </w:p>
    <w:p w14:paraId="5360814B"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14:paraId="384D0146" w14:textId="77777777" w:rsidR="00AE53BE" w:rsidRPr="000B281F" w:rsidRDefault="00AE53BE" w:rsidP="00AE53BE">
      <w:pPr>
        <w:pStyle w:val="Section"/>
      </w:pPr>
      <w:bookmarkStart w:id="520" w:name="_Toc224818529"/>
      <w:r w:rsidRPr="000B281F">
        <w:t>§9</w:t>
      </w:r>
      <w:r>
        <w:t>09.</w:t>
      </w:r>
      <w:r>
        <w:tab/>
        <w:t>Ineligibility of Applicants</w:t>
      </w:r>
      <w:bookmarkEnd w:id="520"/>
    </w:p>
    <w:p w14:paraId="7D36AAE6" w14:textId="77777777" w:rsidR="00AE53BE" w:rsidRPr="000B281F" w:rsidRDefault="00AE53BE" w:rsidP="00AE53BE">
      <w:pPr>
        <w:pStyle w:val="A"/>
      </w:pPr>
      <w:r w:rsidRPr="000B281F">
        <w:t>A.</w:t>
      </w:r>
      <w:r w:rsidRPr="000B281F">
        <w:tab/>
        <w:t>An applicant will be found ineligible to re</w:t>
      </w:r>
      <w:r>
        <w:t>ceive funding from the HFRP if:</w:t>
      </w:r>
    </w:p>
    <w:p w14:paraId="35473CE8" w14:textId="77777777" w:rsidR="00AE53BE" w:rsidRPr="005F319E" w:rsidRDefault="00AE53BE" w:rsidP="00AE53BE">
      <w:pPr>
        <w:pStyle w:val="1"/>
      </w:pPr>
      <w:r w:rsidRPr="005F319E">
        <w:rPr>
          <w:rStyle w:val="normaltextrun"/>
        </w:rPr>
        <w:t>1.</w:t>
      </w:r>
      <w:r w:rsidRPr="005F319E">
        <w:rPr>
          <w:rStyle w:val="normaltextrun"/>
        </w:rPr>
        <w:tab/>
        <w:t>applicant fails to demonstrate a commitment to offer fresh, h</w:t>
      </w:r>
      <w:r>
        <w:rPr>
          <w:rStyle w:val="normaltextrun"/>
        </w:rPr>
        <w:t xml:space="preserve">ealthy foods in the judgment of LDAF, LAFA, and program </w:t>
      </w:r>
      <w:r w:rsidRPr="005F319E">
        <w:rPr>
          <w:rStyle w:val="normaltextrun"/>
        </w:rPr>
        <w:t>partners;</w:t>
      </w:r>
      <w:r>
        <w:rPr>
          <w:rStyle w:val="normaltextrun"/>
        </w:rPr>
        <w:t xml:space="preserve"> </w:t>
      </w:r>
    </w:p>
    <w:p w14:paraId="08F853CC" w14:textId="77777777" w:rsidR="00AE53BE" w:rsidRPr="005F319E" w:rsidRDefault="00AE53BE" w:rsidP="00AE53BE">
      <w:pPr>
        <w:pStyle w:val="1"/>
      </w:pPr>
      <w:r w:rsidRPr="005F319E">
        <w:rPr>
          <w:rStyle w:val="normaltextrun"/>
        </w:rPr>
        <w:t>2.</w:t>
      </w:r>
      <w:r w:rsidRPr="005F319E">
        <w:rPr>
          <w:rStyle w:val="normaltextrun"/>
        </w:rPr>
        <w:tab/>
        <w:t>projects that are primarily restaurants, cafes, or bakeries;</w:t>
      </w:r>
      <w:r>
        <w:rPr>
          <w:rStyle w:val="normaltextrun"/>
        </w:rPr>
        <w:t xml:space="preserve"> </w:t>
      </w:r>
    </w:p>
    <w:p w14:paraId="39B35F79" w14:textId="77777777" w:rsidR="00AE53BE" w:rsidRPr="005F319E" w:rsidRDefault="00AE53BE" w:rsidP="00AE53BE">
      <w:pPr>
        <w:pStyle w:val="1"/>
      </w:pPr>
      <w:r w:rsidRPr="005F319E">
        <w:rPr>
          <w:rStyle w:val="normaltextrun"/>
        </w:rPr>
        <w:t>3.</w:t>
      </w:r>
      <w:r w:rsidRPr="005F319E">
        <w:rPr>
          <w:rStyle w:val="normaltextrun"/>
        </w:rPr>
        <w:tab/>
        <w:t>large department stores that specialize in many different types of goods, of which groceries are only one department;</w:t>
      </w:r>
      <w:r>
        <w:rPr>
          <w:rStyle w:val="normaltextrun"/>
        </w:rPr>
        <w:t xml:space="preserve"> </w:t>
      </w:r>
    </w:p>
    <w:p w14:paraId="31627ECC" w14:textId="77777777" w:rsidR="00AE53BE" w:rsidRPr="005F319E" w:rsidRDefault="00AE53BE" w:rsidP="00AE53BE">
      <w:pPr>
        <w:pStyle w:val="1"/>
      </w:pPr>
      <w:r>
        <w:rPr>
          <w:rStyle w:val="normaltextrun"/>
        </w:rPr>
        <w:t>4.</w:t>
      </w:r>
      <w:r>
        <w:rPr>
          <w:rStyle w:val="normaltextrun"/>
        </w:rPr>
        <w:tab/>
        <w:t xml:space="preserve">pharmacies with grocery </w:t>
      </w:r>
      <w:r w:rsidRPr="005F319E">
        <w:rPr>
          <w:rStyle w:val="normaltextrun"/>
        </w:rPr>
        <w:t>sections;</w:t>
      </w:r>
      <w:r>
        <w:rPr>
          <w:rStyle w:val="normaltextrun"/>
        </w:rPr>
        <w:t xml:space="preserve"> </w:t>
      </w:r>
    </w:p>
    <w:p w14:paraId="2AA729C8" w14:textId="77777777" w:rsidR="00AE53BE" w:rsidRPr="005F319E" w:rsidRDefault="00AE53BE" w:rsidP="00AE53BE">
      <w:pPr>
        <w:pStyle w:val="1"/>
        <w:rPr>
          <w:rFonts w:ascii="Segoe UI" w:hAnsi="Segoe UI" w:cs="Segoe UI"/>
        </w:rPr>
      </w:pPr>
      <w:r w:rsidRPr="005F319E">
        <w:rPr>
          <w:rStyle w:val="normaltextrun"/>
        </w:rPr>
        <w:t>5.</w:t>
      </w:r>
      <w:r w:rsidRPr="005F319E">
        <w:rPr>
          <w:rStyle w:val="tabchar"/>
          <w:rFonts w:ascii="Calibri" w:hAnsi="Calibri" w:cs="Calibri"/>
        </w:rPr>
        <w:tab/>
      </w:r>
      <w:r w:rsidRPr="005F319E">
        <w:rPr>
          <w:rStyle w:val="normaltextrun"/>
        </w:rPr>
        <w:t>businesses with alcohol or tobacco retail sales as the primary source of revenue; or</w:t>
      </w:r>
      <w:r>
        <w:rPr>
          <w:rStyle w:val="normaltextrun"/>
        </w:rPr>
        <w:t xml:space="preserve"> </w:t>
      </w:r>
    </w:p>
    <w:p w14:paraId="69FAB70B" w14:textId="77777777" w:rsidR="00AE53BE" w:rsidRPr="005F319E" w:rsidRDefault="00AE53BE" w:rsidP="00AE53BE">
      <w:pPr>
        <w:pStyle w:val="1"/>
        <w:rPr>
          <w:rFonts w:ascii="Segoe UI" w:hAnsi="Segoe UI" w:cs="Segoe UI"/>
        </w:rPr>
      </w:pPr>
      <w:r w:rsidRPr="005F319E">
        <w:rPr>
          <w:rStyle w:val="normaltextrun"/>
        </w:rPr>
        <w:t>6.</w:t>
      </w:r>
      <w:r w:rsidRPr="005F319E">
        <w:rPr>
          <w:rStyle w:val="tabchar"/>
          <w:rFonts w:ascii="Calibri" w:hAnsi="Calibri" w:cs="Calibri"/>
        </w:rPr>
        <w:tab/>
      </w:r>
      <w:r w:rsidRPr="005F319E">
        <w:rPr>
          <w:rStyle w:val="normaltextrun"/>
        </w:rPr>
        <w:t>public entities.</w:t>
      </w:r>
    </w:p>
    <w:p w14:paraId="524D1595" w14:textId="77777777" w:rsidR="00AE53BE" w:rsidRPr="000B281F" w:rsidRDefault="00AE53BE" w:rsidP="00AE53BE">
      <w:pPr>
        <w:pStyle w:val="AuthorityNote"/>
      </w:pPr>
      <w:r w:rsidRPr="000B281F">
        <w:t>AUTHORITY NOTE:</w:t>
      </w:r>
      <w:r w:rsidRPr="000B281F">
        <w:tab/>
        <w:t>Promulgated in accordance with R.S. 3:296.</w:t>
      </w:r>
    </w:p>
    <w:p w14:paraId="7241E73E"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14:paraId="655127DD" w14:textId="77777777" w:rsidR="00AE53BE" w:rsidRPr="00E04B4C" w:rsidRDefault="00AE53BE" w:rsidP="00AE53BE">
      <w:pPr>
        <w:pStyle w:val="Section"/>
      </w:pPr>
      <w:bookmarkStart w:id="521" w:name="_Toc224818530"/>
      <w:r w:rsidRPr="00E04B4C">
        <w:t>§911.</w:t>
      </w:r>
      <w:r w:rsidRPr="00E04B4C">
        <w:tab/>
        <w:t>Location of Applicant’s Business</w:t>
      </w:r>
      <w:bookmarkEnd w:id="521"/>
      <w:r w:rsidRPr="00E04B4C">
        <w:t xml:space="preserve"> </w:t>
      </w:r>
    </w:p>
    <w:p w14:paraId="75732A50" w14:textId="77777777" w:rsidR="00AE53BE" w:rsidRPr="00E04B4C" w:rsidRDefault="00AE53BE" w:rsidP="00AE53BE">
      <w:pPr>
        <w:pStyle w:val="A"/>
      </w:pPr>
      <w:r w:rsidRPr="00E04B4C">
        <w:t>A.</w:t>
      </w:r>
      <w:r w:rsidRPr="00E04B4C">
        <w:tab/>
        <w:t>The</w:t>
      </w:r>
      <w:r>
        <w:t xml:space="preserve"> applicant’s business site must be located in </w:t>
      </w:r>
      <w:r w:rsidRPr="00E04B4C">
        <w:t>a community or location that meets</w:t>
      </w:r>
      <w:r>
        <w:t xml:space="preserve"> Low- or Moderate- Income (LMI) </w:t>
      </w:r>
      <w:r w:rsidRPr="00E04B4C">
        <w:t>criteria. A project will be deemed t</w:t>
      </w:r>
      <w:r>
        <w:t xml:space="preserve">o meet the LMI criteria </w:t>
      </w:r>
      <w:r w:rsidRPr="00E04B4C">
        <w:t>if it is within a census tract or</w:t>
      </w:r>
      <w:r>
        <w:t xml:space="preserve"> service area where at least 51 percent of persons or households are considered low to moderate income, </w:t>
      </w:r>
      <w:r w:rsidRPr="00E04B4C">
        <w:t xml:space="preserve">as determined by LDAF, LAFA, or program partners. </w:t>
      </w:r>
    </w:p>
    <w:p w14:paraId="5E2B47E1" w14:textId="77777777" w:rsidR="00AE53BE" w:rsidRPr="000B281F" w:rsidRDefault="00AE53BE" w:rsidP="00AE53BE">
      <w:pPr>
        <w:pStyle w:val="AuthorityNote"/>
      </w:pPr>
      <w:r w:rsidRPr="000B281F">
        <w:t>AUTHORITY NOTE:</w:t>
      </w:r>
      <w:r w:rsidRPr="000B281F">
        <w:tab/>
        <w:t>Promulgated in accordance with R.S. 3:296.</w:t>
      </w:r>
    </w:p>
    <w:p w14:paraId="3D7176A7"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296 (February 2022).</w:t>
      </w:r>
    </w:p>
    <w:p w14:paraId="44E1BE6F" w14:textId="77777777" w:rsidR="00AE53BE" w:rsidRPr="00E04B4C" w:rsidRDefault="00AE53BE" w:rsidP="00AE53BE">
      <w:pPr>
        <w:pStyle w:val="Section"/>
      </w:pPr>
      <w:bookmarkStart w:id="522" w:name="_Toc224818531"/>
      <w:r w:rsidRPr="00E04B4C">
        <w:t>§913.</w:t>
      </w:r>
      <w:r w:rsidRPr="00E04B4C">
        <w:tab/>
        <w:t>Borrower Reporting Requirements;</w:t>
      </w:r>
      <w:r>
        <w:t xml:space="preserve"> Record Keeping; Nonperformance</w:t>
      </w:r>
      <w:bookmarkEnd w:id="522"/>
    </w:p>
    <w:p w14:paraId="23537308" w14:textId="77777777" w:rsidR="00AE53BE" w:rsidRPr="00E04B4C" w:rsidRDefault="00AE53BE" w:rsidP="00AE53BE">
      <w:pPr>
        <w:pStyle w:val="A"/>
      </w:pPr>
      <w:r w:rsidRPr="00E04B4C">
        <w:t>A.</w:t>
      </w:r>
      <w:r w:rsidRPr="00E04B4C">
        <w:tab/>
        <w:t>The program partners may enter into a loan agreement with all borrowers. Loan proceeds are subject to audit by the program partners, LAFA, LDAF, OCD, their auditors, the</w:t>
      </w:r>
      <w:r>
        <w:t xml:space="preserve"> Louisiana Legislative Auditor, </w:t>
      </w:r>
      <w:r w:rsidRPr="00E04B4C">
        <w:t>HUD, or federal auditors in the scope of any audits which any of them deem prudent to per</w:t>
      </w:r>
      <w:r>
        <w:t xml:space="preserve">form. Borrowers may be required </w:t>
      </w:r>
      <w:r w:rsidRPr="00E04B4C">
        <w:t xml:space="preserve">for complying with all applicable D-CDBG regulations. </w:t>
      </w:r>
    </w:p>
    <w:p w14:paraId="5370B10D" w14:textId="77777777" w:rsidR="00AE53BE" w:rsidRPr="00E04B4C" w:rsidRDefault="00AE53BE" w:rsidP="00AE53BE">
      <w:pPr>
        <w:pStyle w:val="A"/>
      </w:pPr>
      <w:r w:rsidRPr="00E04B4C">
        <w:t>B.</w:t>
      </w:r>
      <w:r w:rsidRPr="00E04B4C">
        <w:tab/>
        <w:t>Borrowers may be required to submit CPA-audited fiscal year-end financial statements, annual federal tax returns for the borrower and all gua</w:t>
      </w:r>
      <w:r>
        <w:t xml:space="preserve">rantors, quarterly CPA prepared </w:t>
      </w:r>
      <w:r w:rsidRPr="00E04B4C">
        <w:t xml:space="preserve">financial statements and annual personal financial statements for all guarantors. Additional financial and/or compliance documentation may be required. </w:t>
      </w:r>
    </w:p>
    <w:p w14:paraId="254533F0" w14:textId="77777777" w:rsidR="00AE53BE" w:rsidRPr="000B281F" w:rsidRDefault="00AE53BE" w:rsidP="00AE53BE">
      <w:pPr>
        <w:pStyle w:val="AuthorityNote"/>
      </w:pPr>
      <w:r w:rsidRPr="000B281F">
        <w:t>AUTHORITY NOTE:</w:t>
      </w:r>
      <w:r w:rsidRPr="000B281F">
        <w:tab/>
        <w:t>Promulgated in accordance with R.S. 3:296.</w:t>
      </w:r>
    </w:p>
    <w:p w14:paraId="6AE64D76" w14:textId="77777777"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14:paraId="20368874" w14:textId="77777777" w:rsidR="00AE53BE" w:rsidRPr="00E04B4C" w:rsidRDefault="00AE53BE" w:rsidP="00AE53BE">
      <w:pPr>
        <w:pStyle w:val="Section"/>
      </w:pPr>
      <w:bookmarkStart w:id="523" w:name="_Toc224818532"/>
      <w:r>
        <w:t>§915.</w:t>
      </w:r>
      <w:r>
        <w:tab/>
        <w:t>Program Reporting</w:t>
      </w:r>
      <w:bookmarkEnd w:id="523"/>
    </w:p>
    <w:p w14:paraId="671D82DC" w14:textId="77777777" w:rsidR="00AE53BE" w:rsidRPr="00E04B4C" w:rsidRDefault="00AE53BE" w:rsidP="00AE53BE">
      <w:pPr>
        <w:pStyle w:val="A"/>
      </w:pPr>
      <w:r w:rsidRPr="00E04B4C">
        <w:t>A.</w:t>
      </w:r>
      <w:r w:rsidRPr="00E04B4C">
        <w:tab/>
        <w:t xml:space="preserve">The program partners will annually monitor all recipients for program compliance. Program partners may also require quarterly financial, program, and impact reports from borrowers. </w:t>
      </w:r>
    </w:p>
    <w:p w14:paraId="72321F04" w14:textId="77777777" w:rsidR="00AE53BE" w:rsidRPr="00E04B4C" w:rsidRDefault="00AE53BE" w:rsidP="00AE53BE">
      <w:pPr>
        <w:pStyle w:val="A"/>
      </w:pPr>
      <w:r w:rsidRPr="00E04B4C">
        <w:t>B.</w:t>
      </w:r>
      <w:r w:rsidRPr="00E04B4C">
        <w:tab/>
        <w:t xml:space="preserve">LAFA may require annual reports on the funded projects and outcome data. The program partners shall be </w:t>
      </w:r>
      <w:r w:rsidRPr="00E04B4C">
        <w:lastRenderedPageBreak/>
        <w:t xml:space="preserve">required to submit quarterly progress and financial reports to LAFA. </w:t>
      </w:r>
    </w:p>
    <w:p w14:paraId="07DCC847" w14:textId="77777777" w:rsidR="00AE53BE" w:rsidRPr="00E04B4C" w:rsidRDefault="00AE53BE" w:rsidP="00AE53BE">
      <w:pPr>
        <w:pStyle w:val="A"/>
      </w:pPr>
      <w:r w:rsidRPr="00E04B4C">
        <w:t>C.</w:t>
      </w:r>
      <w:r w:rsidRPr="00E04B4C">
        <w:tab/>
        <w:t xml:space="preserve">LAFA and the program partners may require additional reporting. </w:t>
      </w:r>
    </w:p>
    <w:p w14:paraId="3BFC0DF5" w14:textId="77777777" w:rsidR="00AE53BE" w:rsidRPr="000B281F" w:rsidRDefault="00AE53BE" w:rsidP="00AE53BE">
      <w:pPr>
        <w:pStyle w:val="AuthorityNote"/>
      </w:pPr>
      <w:r w:rsidRPr="000B281F">
        <w:t>AUTHORITY NOTE:</w:t>
      </w:r>
      <w:r w:rsidRPr="000B281F">
        <w:tab/>
        <w:t>Promulgated in accordance with R.S. 3:296.</w:t>
      </w:r>
    </w:p>
    <w:p w14:paraId="4FB03264" w14:textId="77777777" w:rsidR="00AE53BE" w:rsidRDefault="00AE53BE" w:rsidP="00AE53BE">
      <w:pPr>
        <w:pStyle w:val="HistoricalNote"/>
      </w:pPr>
      <w:r w:rsidRPr="000B281F">
        <w:t>HISTORICAL NOTE:</w:t>
      </w:r>
      <w:r w:rsidRPr="000B281F">
        <w:tab/>
        <w:t>Promulgated by the Department of Agriculture, Agriculture and Finance Authority, LR 48:</w:t>
      </w:r>
      <w:r>
        <w:t>297 (February 2022).</w:t>
      </w:r>
    </w:p>
    <w:p w14:paraId="3589FD9F" w14:textId="77777777" w:rsidR="002217AB" w:rsidRPr="001531CD" w:rsidRDefault="002217AB" w:rsidP="002217AB">
      <w:pPr>
        <w:pStyle w:val="HistoricalNote"/>
        <w:sectPr w:rsidR="002217AB" w:rsidRPr="001531CD" w:rsidSect="00167E2E">
          <w:headerReference w:type="even" r:id="rId22"/>
          <w:headerReference w:type="default" r:id="rId23"/>
          <w:type w:val="continuous"/>
          <w:pgSz w:w="12240" w:h="15840" w:code="1"/>
          <w:pgMar w:top="1080" w:right="864" w:bottom="864" w:left="864" w:header="576" w:footer="432" w:gutter="0"/>
          <w:cols w:num="2" w:space="720"/>
        </w:sectPr>
      </w:pPr>
    </w:p>
    <w:p w14:paraId="09D387B2" w14:textId="77777777" w:rsidR="002217AB" w:rsidRPr="001531CD" w:rsidRDefault="002217AB">
      <w:pPr>
        <w:pStyle w:val="Chapter"/>
        <w:sectPr w:rsidR="002217AB" w:rsidRPr="001531CD" w:rsidSect="00167E2E">
          <w:type w:val="continuous"/>
          <w:pgSz w:w="12240" w:h="15840" w:code="1"/>
          <w:pgMar w:top="1080" w:right="864" w:bottom="864" w:left="864" w:header="576" w:footer="432" w:gutter="0"/>
          <w:cols w:num="2" w:space="720"/>
        </w:sectPr>
      </w:pPr>
    </w:p>
    <w:p w14:paraId="13095D5B" w14:textId="77777777" w:rsidR="00CF626A" w:rsidRPr="001531CD" w:rsidRDefault="00CF626A" w:rsidP="00F03863">
      <w:pPr>
        <w:pStyle w:val="Title1"/>
        <w:outlineLvl w:val="0"/>
      </w:pPr>
      <w:r w:rsidRPr="001531CD">
        <w:lastRenderedPageBreak/>
        <w:t>Title 7</w:t>
      </w:r>
    </w:p>
    <w:p w14:paraId="694F2D8B" w14:textId="77777777" w:rsidR="00CF626A" w:rsidRPr="001531CD" w:rsidRDefault="00CF626A">
      <w:pPr>
        <w:pStyle w:val="Title2"/>
      </w:pPr>
      <w:r w:rsidRPr="001531CD">
        <w:t>AGRICULTURE AND ANIMALS</w:t>
      </w:r>
    </w:p>
    <w:p w14:paraId="1D932443" w14:textId="77777777" w:rsidR="00CF626A" w:rsidRPr="001531CD" w:rsidRDefault="00CF626A">
      <w:pPr>
        <w:pStyle w:val="Part"/>
      </w:pPr>
      <w:bookmarkStart w:id="524" w:name="TOC_Part2"/>
      <w:bookmarkStart w:id="525" w:name="_Toc77839518"/>
      <w:bookmarkStart w:id="526" w:name="_Toc224818533"/>
      <w:r w:rsidRPr="001531CD">
        <w:t>Part V.  Advertising, Marketing and Processing</w:t>
      </w:r>
      <w:bookmarkEnd w:id="524"/>
      <w:bookmarkEnd w:id="525"/>
      <w:bookmarkEnd w:id="526"/>
    </w:p>
    <w:p w14:paraId="30E2CDFF" w14:textId="77777777" w:rsidR="00CF626A" w:rsidRPr="001531CD" w:rsidRDefault="00CF626A">
      <w:pPr>
        <w:pStyle w:val="Part"/>
      </w:pPr>
    </w:p>
    <w:p w14:paraId="08057732" w14:textId="77777777" w:rsidR="00CF626A" w:rsidRPr="001531CD" w:rsidRDefault="00CF626A">
      <w:pPr>
        <w:pStyle w:val="Part"/>
        <w:sectPr w:rsidR="00CF626A" w:rsidRPr="001531CD" w:rsidSect="00167E2E">
          <w:headerReference w:type="default" r:id="rId24"/>
          <w:type w:val="oddPage"/>
          <w:pgSz w:w="12240" w:h="15840" w:code="1"/>
          <w:pgMar w:top="1080" w:right="864" w:bottom="864" w:left="864" w:header="576" w:footer="432" w:gutter="0"/>
          <w:cols w:space="720"/>
          <w:docGrid w:linePitch="326"/>
        </w:sectPr>
      </w:pPr>
    </w:p>
    <w:p w14:paraId="54BA7E8C" w14:textId="77777777" w:rsidR="00CF626A" w:rsidRPr="001531CD" w:rsidRDefault="00CF626A">
      <w:pPr>
        <w:pStyle w:val="Chapter"/>
      </w:pPr>
      <w:bookmarkStart w:id="527" w:name="TOC_Chap31"/>
      <w:bookmarkStart w:id="528" w:name="_Toc256754300"/>
      <w:bookmarkStart w:id="529" w:name="_Toc224818534"/>
      <w:r w:rsidRPr="001531CD">
        <w:t>Chapter 1.</w:t>
      </w:r>
      <w:bookmarkEnd w:id="527"/>
      <w:r w:rsidR="001413E4">
        <w:tab/>
      </w:r>
      <w:bookmarkStart w:id="530" w:name="TOCT_Chap9"/>
      <w:bookmarkStart w:id="531" w:name="TOCT_Chap31"/>
      <w:r w:rsidRPr="001531CD">
        <w:t>Market Commission</w:t>
      </w:r>
      <w:r w:rsidR="005B1246" w:rsidRPr="001531CD">
        <w:t>―</w:t>
      </w:r>
      <w:r w:rsidRPr="001531CD">
        <w:t>Loans and Loan Guarantees</w:t>
      </w:r>
      <w:bookmarkEnd w:id="528"/>
      <w:bookmarkEnd w:id="529"/>
      <w:bookmarkEnd w:id="530"/>
      <w:bookmarkEnd w:id="531"/>
    </w:p>
    <w:p w14:paraId="1195A258" w14:textId="77777777" w:rsidR="00CF626A" w:rsidRPr="001531CD" w:rsidRDefault="00CF626A">
      <w:pPr>
        <w:pStyle w:val="Chapter"/>
      </w:pPr>
      <w:bookmarkStart w:id="532" w:name="TOC_SubC32"/>
      <w:bookmarkStart w:id="533" w:name="_Toc256754301"/>
      <w:bookmarkStart w:id="534" w:name="_Toc224818535"/>
      <w:r w:rsidRPr="001531CD">
        <w:t>Subchapter A.</w:t>
      </w:r>
      <w:bookmarkEnd w:id="532"/>
      <w:r w:rsidR="001413E4">
        <w:tab/>
      </w:r>
      <w:bookmarkStart w:id="535" w:name="TOCT_SubC30"/>
      <w:bookmarkStart w:id="536" w:name="TOCT_SubC31"/>
      <w:bookmarkStart w:id="537" w:name="TOCT_SubC32"/>
      <w:r w:rsidRPr="001531CD">
        <w:t>Procedures for Authorization and Administration of Market Commission Loans and Loan Guarantees</w:t>
      </w:r>
      <w:bookmarkEnd w:id="533"/>
      <w:bookmarkEnd w:id="534"/>
      <w:bookmarkEnd w:id="535"/>
      <w:bookmarkEnd w:id="536"/>
      <w:bookmarkEnd w:id="537"/>
    </w:p>
    <w:p w14:paraId="3481C982" w14:textId="77777777" w:rsidR="00CF626A" w:rsidRPr="001531CD" w:rsidRDefault="00CF626A">
      <w:pPr>
        <w:pStyle w:val="Section"/>
      </w:pPr>
      <w:bookmarkStart w:id="538" w:name="_Toc256754302"/>
      <w:bookmarkStart w:id="539" w:name="_Toc224818536"/>
      <w:r w:rsidRPr="001531CD">
        <w:t>§101.</w:t>
      </w:r>
      <w:r w:rsidRPr="001531CD">
        <w:tab/>
        <w:t>Eligibility</w:t>
      </w:r>
      <w:bookmarkEnd w:id="538"/>
      <w:bookmarkEnd w:id="539"/>
    </w:p>
    <w:p w14:paraId="721C5B43" w14:textId="77777777" w:rsidR="00CF626A" w:rsidRPr="001531CD" w:rsidRDefault="00CF626A">
      <w:pPr>
        <w:pStyle w:val="A"/>
      </w:pPr>
      <w:r w:rsidRPr="001531CD">
        <w:t>A.</w:t>
      </w:r>
      <w:r w:rsidRPr="001531CD">
        <w:tab/>
        <w:t>Any person, firm, corporation, partnership, or association engaged in the marketing, processing, and/or storage of Louisiana farm products shall be eligible for a State Market Commission loan or loan guaranty, upon proper application and approval therefore, as set forth herein.</w:t>
      </w:r>
    </w:p>
    <w:p w14:paraId="44E60DC7" w14:textId="77777777" w:rsidR="00CF626A" w:rsidRPr="001531CD" w:rsidRDefault="00CF626A">
      <w:pPr>
        <w:pStyle w:val="A"/>
      </w:pPr>
      <w:r w:rsidRPr="001531CD">
        <w:t>B.</w:t>
      </w:r>
      <w:r w:rsidRPr="001531CD">
        <w:tab/>
        <w:t>Farm products means any agronomic, horticultural, silvacultural, or aquacultural crop, any commercially raised livestock or raw product derived therefrom; or any final derivative resulting from a combination or breakdown of raw farm products.</w:t>
      </w:r>
    </w:p>
    <w:p w14:paraId="48AB6F9F" w14:textId="77777777" w:rsidR="00CF626A" w:rsidRPr="001531CD" w:rsidRDefault="00CF626A">
      <w:pPr>
        <w:pStyle w:val="A"/>
      </w:pPr>
      <w:r w:rsidRPr="001531CD">
        <w:t>C.</w:t>
      </w:r>
      <w:r w:rsidRPr="001531CD">
        <w:tab/>
        <w:t>Costs associated with the purchase, construction, or necessary improvement of any agricultural plant shall be eligible for a State Market Commission loan.</w:t>
      </w:r>
    </w:p>
    <w:p w14:paraId="73E608EA" w14:textId="77777777" w:rsidR="00CF626A" w:rsidRPr="001531CD" w:rsidRDefault="00CF626A">
      <w:pPr>
        <w:pStyle w:val="A"/>
      </w:pPr>
      <w:r w:rsidRPr="001531CD">
        <w:t>D.</w:t>
      </w:r>
      <w:r w:rsidRPr="001531CD">
        <w:tab/>
        <w:t>The State Market Commission shall give priority to persons, firms, corporations, partnerships, and associations which utilize Louisiana agricultural products to the maximum extent possible.</w:t>
      </w:r>
    </w:p>
    <w:p w14:paraId="5AF0F743" w14:textId="77777777" w:rsidR="00CF626A" w:rsidRPr="001531CD" w:rsidRDefault="00CF626A">
      <w:pPr>
        <w:pStyle w:val="A"/>
      </w:pPr>
      <w:r w:rsidRPr="001531CD">
        <w:t>E.</w:t>
      </w:r>
      <w:r w:rsidRPr="001531CD">
        <w:tab/>
        <w:t>The State Market Commission shall also give preference to those persons, firms, partnerships, corporations, and associations which, at the time of the loan application, provide, or expect to provide upon completion of a facility, new or expanded job opportunities for the Louisiana work force.</w:t>
      </w:r>
    </w:p>
    <w:p w14:paraId="694AA1B9" w14:textId="77777777" w:rsidR="00CF626A" w:rsidRPr="001531CD" w:rsidRDefault="00CF626A">
      <w:pPr>
        <w:pStyle w:val="AuthorityNote"/>
      </w:pPr>
      <w:r w:rsidRPr="001531CD">
        <w:t>AUTHORITY NOTE:</w:t>
      </w:r>
      <w:r w:rsidRPr="001531CD">
        <w:tab/>
        <w:t>Promulgated in accordance with R.S. 3:407 and R.S. 3:404.</w:t>
      </w:r>
    </w:p>
    <w:p w14:paraId="6F2B34FC" w14:textId="77777777" w:rsidR="00CF626A" w:rsidRPr="001531CD" w:rsidRDefault="00CF626A">
      <w:pPr>
        <w:pStyle w:val="HistoricalNote"/>
      </w:pPr>
      <w:r w:rsidRPr="001531CD">
        <w:t>HISTORICAL NOTE:</w:t>
      </w:r>
      <w:r w:rsidRPr="001531CD">
        <w:tab/>
        <w:t>Promulgated by the Department of Agriculture, Market Commission, LR 6:252 (June 1980).</w:t>
      </w:r>
    </w:p>
    <w:p w14:paraId="679C8E45" w14:textId="77777777" w:rsidR="00CF626A" w:rsidRPr="001531CD" w:rsidRDefault="00CF626A">
      <w:pPr>
        <w:pStyle w:val="Section"/>
      </w:pPr>
      <w:bookmarkStart w:id="540" w:name="_Toc256754303"/>
      <w:bookmarkStart w:id="541" w:name="_Toc224818537"/>
      <w:r w:rsidRPr="001531CD">
        <w:t>§103.</w:t>
      </w:r>
      <w:r w:rsidRPr="001531CD">
        <w:tab/>
        <w:t>Time for Filing Applications</w:t>
      </w:r>
      <w:bookmarkEnd w:id="540"/>
      <w:bookmarkEnd w:id="541"/>
    </w:p>
    <w:p w14:paraId="7C0AEE77" w14:textId="77777777" w:rsidR="00CF626A" w:rsidRPr="001531CD" w:rsidRDefault="00CF626A">
      <w:pPr>
        <w:pStyle w:val="A"/>
      </w:pPr>
      <w:r w:rsidRPr="001531CD">
        <w:t>A.</w:t>
      </w:r>
      <w:r w:rsidRPr="001531CD">
        <w:tab/>
        <w:t xml:space="preserve">Applications may be filed at any time throughout the year and may be personally delivered to the State Market Commission </w:t>
      </w:r>
      <w:r w:rsidR="006259F2" w:rsidRPr="001531CD">
        <w:t>O</w:t>
      </w:r>
      <w:r w:rsidRPr="001531CD">
        <w:t>ffice in Baton Rouge or forwarded through the United States Mail.</w:t>
      </w:r>
    </w:p>
    <w:p w14:paraId="4A6B3FAB" w14:textId="77777777" w:rsidR="00CF626A" w:rsidRPr="001531CD" w:rsidRDefault="00CF626A">
      <w:pPr>
        <w:pStyle w:val="A"/>
      </w:pPr>
      <w:r w:rsidRPr="001531CD">
        <w:t>B.</w:t>
      </w:r>
      <w:r w:rsidRPr="001531CD">
        <w:tab/>
        <w:t>An application will be considered filed only upon provision of all information required in §105.</w:t>
      </w:r>
    </w:p>
    <w:p w14:paraId="0F766774" w14:textId="77777777" w:rsidR="00CF626A" w:rsidRPr="001531CD" w:rsidRDefault="00CF626A">
      <w:pPr>
        <w:pStyle w:val="A"/>
      </w:pPr>
      <w:r w:rsidRPr="001531CD">
        <w:t>C.</w:t>
      </w:r>
      <w:r w:rsidRPr="001531CD">
        <w:tab/>
        <w:t xml:space="preserve">A complete application, consisting of all information required in §105 must be physically on hand in the State </w:t>
      </w:r>
      <w:r w:rsidRPr="001531CD">
        <w:t>Market Commission office at least 20 working days prior to the State Market Commission meeting at which the application will be considered by the commission.</w:t>
      </w:r>
    </w:p>
    <w:p w14:paraId="4C6B88EF" w14:textId="77777777" w:rsidR="00CF626A" w:rsidRPr="001531CD" w:rsidRDefault="00CF626A">
      <w:pPr>
        <w:pStyle w:val="AuthorityNote"/>
      </w:pPr>
      <w:r w:rsidRPr="001531CD">
        <w:t>AUTHORITY NOTE:</w:t>
      </w:r>
      <w:r w:rsidRPr="001531CD">
        <w:tab/>
        <w:t>Promulgated in accordance with R.S. 3:404.</w:t>
      </w:r>
    </w:p>
    <w:p w14:paraId="547110B7" w14:textId="77777777" w:rsidR="00CF626A" w:rsidRPr="001531CD" w:rsidRDefault="00CF626A">
      <w:pPr>
        <w:pStyle w:val="HistoricalNote"/>
      </w:pPr>
      <w:r w:rsidRPr="001531CD">
        <w:t>HISTORICAL NOTE:</w:t>
      </w:r>
      <w:r w:rsidRPr="001531CD">
        <w:tab/>
        <w:t>Promulgated by the Department of Agriculture, Market Commission, LR 6:252 (June 1980).</w:t>
      </w:r>
    </w:p>
    <w:p w14:paraId="109B18CC" w14:textId="77777777" w:rsidR="00CF626A" w:rsidRPr="001531CD" w:rsidRDefault="00CF626A">
      <w:pPr>
        <w:pStyle w:val="Section"/>
      </w:pPr>
      <w:bookmarkStart w:id="542" w:name="_Toc256754304"/>
      <w:bookmarkStart w:id="543" w:name="_Toc224818538"/>
      <w:r w:rsidRPr="001531CD">
        <w:t>§105.</w:t>
      </w:r>
      <w:r w:rsidRPr="001531CD">
        <w:tab/>
        <w:t>Contents of Application</w:t>
      </w:r>
      <w:bookmarkEnd w:id="542"/>
      <w:bookmarkEnd w:id="543"/>
    </w:p>
    <w:p w14:paraId="2912F532" w14:textId="77777777" w:rsidR="00CF626A" w:rsidRPr="001531CD" w:rsidRDefault="00CF626A">
      <w:pPr>
        <w:pStyle w:val="A"/>
      </w:pPr>
      <w:r w:rsidRPr="001531CD">
        <w:t>A.</w:t>
      </w:r>
      <w:r w:rsidRPr="001531CD">
        <w:tab/>
        <w:t>Every applicant for a market commission loan, whether for a direct or participation loan, or for a loan guaranty, shall submit the following information to the State Market Commission:</w:t>
      </w:r>
    </w:p>
    <w:p w14:paraId="575543A6" w14:textId="77777777" w:rsidR="00CF626A" w:rsidRPr="001531CD" w:rsidRDefault="00CF626A">
      <w:pPr>
        <w:pStyle w:val="1"/>
      </w:pPr>
      <w:r w:rsidRPr="001531CD">
        <w:t>1.</w:t>
      </w:r>
      <w:r w:rsidRPr="001531CD">
        <w:tab/>
        <w:t>names and addresses of all principals;</w:t>
      </w:r>
    </w:p>
    <w:p w14:paraId="7D1111E4" w14:textId="77777777" w:rsidR="00CF626A" w:rsidRPr="001531CD" w:rsidRDefault="00CF626A">
      <w:pPr>
        <w:pStyle w:val="1"/>
      </w:pPr>
      <w:r w:rsidRPr="001531CD">
        <w:t>2.</w:t>
      </w:r>
      <w:r w:rsidRPr="001531CD">
        <w:tab/>
        <w:t>a statement of the nature and amount of the interest held by each principal;</w:t>
      </w:r>
    </w:p>
    <w:p w14:paraId="12E848D3" w14:textId="77777777" w:rsidR="00CF626A" w:rsidRPr="001531CD" w:rsidRDefault="00CF626A">
      <w:pPr>
        <w:pStyle w:val="1"/>
      </w:pPr>
      <w:r w:rsidRPr="001531CD">
        <w:t>3.</w:t>
      </w:r>
      <w:r w:rsidRPr="001531CD">
        <w:tab/>
        <w:t>sworn statement of the relationship, if any, of any of the principals with any state official and/or with any employee of the State Department of Agriculture;</w:t>
      </w:r>
    </w:p>
    <w:p w14:paraId="743E76D4" w14:textId="77777777" w:rsidR="00CF626A" w:rsidRPr="001531CD" w:rsidRDefault="00CF626A">
      <w:pPr>
        <w:pStyle w:val="1"/>
      </w:pPr>
      <w:r w:rsidRPr="001531CD">
        <w:t>4.</w:t>
      </w:r>
      <w:r w:rsidRPr="001531CD">
        <w:tab/>
        <w:t>location and legal description of the property to be offered as security;</w:t>
      </w:r>
    </w:p>
    <w:p w14:paraId="1B619B5A" w14:textId="77777777" w:rsidR="00CF626A" w:rsidRPr="001531CD" w:rsidRDefault="00CF626A">
      <w:pPr>
        <w:pStyle w:val="1"/>
      </w:pPr>
      <w:r w:rsidRPr="001531CD">
        <w:t>5.</w:t>
      </w:r>
      <w:r w:rsidRPr="001531CD">
        <w:tab/>
        <w:t>evidence that title is or can be vested in the name of the applicant;</w:t>
      </w:r>
    </w:p>
    <w:p w14:paraId="0A919AC0" w14:textId="77777777" w:rsidR="00CF626A" w:rsidRPr="001531CD" w:rsidRDefault="00CF626A">
      <w:pPr>
        <w:pStyle w:val="1"/>
      </w:pPr>
      <w:r w:rsidRPr="001531CD">
        <w:t>6.</w:t>
      </w:r>
      <w:r w:rsidRPr="001531CD">
        <w:tab/>
        <w:t>personal financial statements of every principal of the firm, corporation, partnership, or association, prepared in accordance with generally accepted accounting principles. In the case of corporations and cooperative associations, every member of the board of directors, by whatever name known, must provide personal financial statements;</w:t>
      </w:r>
    </w:p>
    <w:p w14:paraId="0EEA5D11" w14:textId="77777777" w:rsidR="00CF626A" w:rsidRPr="001531CD" w:rsidRDefault="00CF626A">
      <w:pPr>
        <w:pStyle w:val="1"/>
      </w:pPr>
      <w:r w:rsidRPr="001531CD">
        <w:t>7.</w:t>
      </w:r>
      <w:r w:rsidRPr="001531CD">
        <w:tab/>
        <w:t>credit analyses of the principals, to be provided by an independent source, such as a bank or other lending institution;</w:t>
      </w:r>
    </w:p>
    <w:p w14:paraId="50011A2F" w14:textId="77777777" w:rsidR="00CF626A" w:rsidRPr="001531CD" w:rsidRDefault="00CF626A">
      <w:pPr>
        <w:pStyle w:val="1"/>
      </w:pPr>
      <w:r w:rsidRPr="001531CD">
        <w:t>8.</w:t>
      </w:r>
      <w:r w:rsidRPr="001531CD">
        <w:tab/>
        <w:t>a property appraisal, prepared in accordance with §107 hereof, of all movable and immovable property to be offered as security;</w:t>
      </w:r>
    </w:p>
    <w:p w14:paraId="55566214" w14:textId="77777777" w:rsidR="00CF626A" w:rsidRPr="001531CD" w:rsidRDefault="00CF626A">
      <w:pPr>
        <w:pStyle w:val="1"/>
      </w:pPr>
      <w:r w:rsidRPr="001531CD">
        <w:t>9.</w:t>
      </w:r>
      <w:r w:rsidRPr="001531CD">
        <w:tab/>
        <w:t>listing of all equipment and furnishings, both movable and immovable by destination, with amortization tables as appropriate, if equipment and furnishings will be offered as part of the security;</w:t>
      </w:r>
    </w:p>
    <w:p w14:paraId="6DFD6D68" w14:textId="77777777" w:rsidR="00CF626A" w:rsidRPr="001531CD" w:rsidRDefault="00CF626A">
      <w:pPr>
        <w:pStyle w:val="1"/>
      </w:pPr>
      <w:r w:rsidRPr="001531CD">
        <w:t>10.</w:t>
      </w:r>
      <w:r w:rsidRPr="001531CD">
        <w:tab/>
        <w:t>evidence of rejection, with written reasons therefor, from at least two private lending institutions in the area or at least two public lending institutions other than the State Market Commission;</w:t>
      </w:r>
    </w:p>
    <w:p w14:paraId="2E5B2E50" w14:textId="77777777" w:rsidR="00CF626A" w:rsidRPr="001531CD" w:rsidRDefault="00CF626A">
      <w:pPr>
        <w:pStyle w:val="1"/>
      </w:pPr>
      <w:r w:rsidRPr="001531CD">
        <w:t>11.</w:t>
      </w:r>
      <w:r w:rsidRPr="001531CD">
        <w:tab/>
        <w:t>evidence of satisfactory interim financing;</w:t>
      </w:r>
    </w:p>
    <w:p w14:paraId="7B0C6C87" w14:textId="77777777" w:rsidR="00CF626A" w:rsidRPr="001531CD" w:rsidRDefault="00CF626A">
      <w:pPr>
        <w:pStyle w:val="1"/>
      </w:pPr>
      <w:r w:rsidRPr="001531CD">
        <w:t>12.</w:t>
      </w:r>
      <w:r w:rsidRPr="001531CD">
        <w:tab/>
        <w:t>a three-year projected cash flow statement;</w:t>
      </w:r>
    </w:p>
    <w:p w14:paraId="26AC8376" w14:textId="77777777" w:rsidR="00CF626A" w:rsidRPr="001531CD" w:rsidRDefault="00CF626A">
      <w:pPr>
        <w:pStyle w:val="1"/>
      </w:pPr>
      <w:r w:rsidRPr="001531CD">
        <w:lastRenderedPageBreak/>
        <w:t>13.</w:t>
      </w:r>
      <w:r w:rsidRPr="001531CD">
        <w:tab/>
        <w:t>an evaluation of the professional management capability of the individual(s) primarily responsible for the operation of the facility, to be provided by an independent, reputable source not involved in the firm, partnership, corporation, or association;</w:t>
      </w:r>
    </w:p>
    <w:p w14:paraId="433C08A1" w14:textId="77777777" w:rsidR="00CF626A" w:rsidRPr="001531CD" w:rsidRDefault="00CF626A">
      <w:pPr>
        <w:pStyle w:val="1"/>
      </w:pPr>
      <w:r w:rsidRPr="001531CD">
        <w:t>14.</w:t>
      </w:r>
      <w:r w:rsidRPr="001531CD">
        <w:tab/>
        <w:t>an explanation of how the marketing facility for which the loan is sought will benefit the community in which the facility is to be located;</w:t>
      </w:r>
    </w:p>
    <w:p w14:paraId="7123DC41" w14:textId="77777777" w:rsidR="00CF626A" w:rsidRPr="001531CD" w:rsidRDefault="00CF626A">
      <w:pPr>
        <w:pStyle w:val="1"/>
      </w:pPr>
      <w:r w:rsidRPr="001531CD">
        <w:t>15.</w:t>
      </w:r>
      <w:r w:rsidRPr="001531CD">
        <w:tab/>
        <w:t>written authorization for the State Market Commission to perform any credit check(s) which the commission may, in its discretion, deem advisable.</w:t>
      </w:r>
    </w:p>
    <w:p w14:paraId="07C5ACAB" w14:textId="77777777" w:rsidR="00CF626A" w:rsidRPr="001531CD" w:rsidRDefault="00CF626A">
      <w:pPr>
        <w:pStyle w:val="A"/>
      </w:pPr>
      <w:r w:rsidRPr="001531CD">
        <w:t>B.</w:t>
      </w:r>
      <w:r w:rsidRPr="001531CD">
        <w:tab/>
        <w:t>Every applicant for a loan for new construction shall provide, in addition to the information required by §105.A the following information:</w:t>
      </w:r>
    </w:p>
    <w:p w14:paraId="457DC3C2" w14:textId="77777777" w:rsidR="00CF626A" w:rsidRPr="001531CD" w:rsidRDefault="00CF626A">
      <w:pPr>
        <w:pStyle w:val="1"/>
      </w:pPr>
      <w:r w:rsidRPr="001531CD">
        <w:t>1.</w:t>
      </w:r>
      <w:r w:rsidRPr="001531CD">
        <w:tab/>
        <w:t>blueprints and construction specifications, if available at date of application. In the absence of blueprints and construction specifications, the applicant shall provide a written description of the planned construction at the time of application, to be followed by blueprints and construction specifications as set forth herein. It is not the intent of the market commission to require unnecessary expenditure of the applicant's funds; however, in the event that blueprints and construction specifications cannot be provided at the time of application, any applicant receiving approval for a loan shall be required to provide, within 90 days after approval of the loan, either copies of blueprints and construction specifications, or a written statement of the reasons for delay in provision of such blueprints and construction specifications. Reasons acceptable to the market commission shall include, but not be limited to, failure of the architect to timely provide all drawings and specifications;</w:t>
      </w:r>
    </w:p>
    <w:p w14:paraId="04CBC6B1" w14:textId="77777777" w:rsidR="00CF626A" w:rsidRPr="001531CD" w:rsidRDefault="00CF626A">
      <w:pPr>
        <w:pStyle w:val="1"/>
      </w:pPr>
      <w:r w:rsidRPr="001531CD">
        <w:t>2.</w:t>
      </w:r>
      <w:r w:rsidRPr="001531CD">
        <w:tab/>
        <w:t>a statement of the number of jobs to be made available upon completion of the facility;</w:t>
      </w:r>
    </w:p>
    <w:p w14:paraId="18922648" w14:textId="77777777" w:rsidR="00CF626A" w:rsidRPr="001531CD" w:rsidRDefault="00CF626A">
      <w:pPr>
        <w:pStyle w:val="1"/>
      </w:pPr>
      <w:r w:rsidRPr="001531CD">
        <w:t>3.</w:t>
      </w:r>
      <w:r w:rsidRPr="001531CD">
        <w:tab/>
        <w:t>evidence of adequate operating funds for a period of at least one year following completion of the facility;</w:t>
      </w:r>
    </w:p>
    <w:p w14:paraId="39D3518D" w14:textId="77777777" w:rsidR="00CF626A" w:rsidRPr="001531CD" w:rsidRDefault="00CF626A">
      <w:pPr>
        <w:pStyle w:val="1"/>
      </w:pPr>
      <w:r w:rsidRPr="001531CD">
        <w:t>4.</w:t>
      </w:r>
      <w:r w:rsidRPr="001531CD">
        <w:tab/>
        <w:t>a projected construction schedule, with anticipated completion date.</w:t>
      </w:r>
    </w:p>
    <w:p w14:paraId="7AEC6D4E" w14:textId="77777777" w:rsidR="00CF626A" w:rsidRPr="001531CD" w:rsidRDefault="00CF626A">
      <w:pPr>
        <w:pStyle w:val="A"/>
      </w:pPr>
      <w:r w:rsidRPr="001531CD">
        <w:t>C.</w:t>
      </w:r>
      <w:r w:rsidRPr="001531CD">
        <w:tab/>
        <w:t>Every applicant for a loan for the purchase or expansion of existing facilities shall provide, in addition to the information required by §105.A, the following information:</w:t>
      </w:r>
    </w:p>
    <w:p w14:paraId="5B2A366E" w14:textId="77777777" w:rsidR="00CF626A" w:rsidRPr="001531CD" w:rsidRDefault="00CF626A">
      <w:pPr>
        <w:pStyle w:val="1"/>
      </w:pPr>
      <w:r w:rsidRPr="001531CD">
        <w:t>1.</w:t>
      </w:r>
      <w:r w:rsidRPr="001531CD">
        <w:tab/>
        <w:t>profit and loss statements for the three years immediately preceding date of the application;</w:t>
      </w:r>
    </w:p>
    <w:p w14:paraId="7D7705C8" w14:textId="77777777" w:rsidR="00CF626A" w:rsidRPr="001531CD" w:rsidRDefault="00CF626A">
      <w:pPr>
        <w:pStyle w:val="1"/>
      </w:pPr>
      <w:r w:rsidRPr="001531CD">
        <w:t>2.</w:t>
      </w:r>
      <w:r w:rsidRPr="001531CD">
        <w:tab/>
        <w:t>balance sheets for the three years immediately preceding date of the application;</w:t>
      </w:r>
    </w:p>
    <w:p w14:paraId="5A25B21B" w14:textId="77777777" w:rsidR="00CF626A" w:rsidRPr="001531CD" w:rsidRDefault="00CF626A">
      <w:pPr>
        <w:pStyle w:val="1"/>
      </w:pPr>
      <w:r w:rsidRPr="001531CD">
        <w:t>3.</w:t>
      </w:r>
      <w:r w:rsidRPr="001531CD">
        <w:tab/>
        <w:t>statement demonstrating the marketability of the product or process for which the funds are sought;</w:t>
      </w:r>
    </w:p>
    <w:p w14:paraId="732E97BD" w14:textId="77777777" w:rsidR="00CF626A" w:rsidRPr="001531CD" w:rsidRDefault="00CF626A">
      <w:pPr>
        <w:pStyle w:val="1"/>
      </w:pPr>
      <w:r w:rsidRPr="001531CD">
        <w:t>4.</w:t>
      </w:r>
      <w:r w:rsidRPr="001531CD">
        <w:tab/>
        <w:t>such additional market data as will enable the State Market Commission to determine the advisability of loan approval;</w:t>
      </w:r>
    </w:p>
    <w:p w14:paraId="5D801702" w14:textId="77777777" w:rsidR="00CF626A" w:rsidRPr="001531CD" w:rsidRDefault="00CF626A">
      <w:pPr>
        <w:pStyle w:val="1"/>
      </w:pPr>
      <w:r w:rsidRPr="001531CD">
        <w:t>5.</w:t>
      </w:r>
      <w:r w:rsidRPr="001531CD">
        <w:tab/>
        <w:t>a statement of the number of jobs existing at the time of the application and the number of additional jobs to be created as a result of the proposed purchase and/or expansion of the facility;</w:t>
      </w:r>
    </w:p>
    <w:p w14:paraId="15FF908E" w14:textId="77777777" w:rsidR="00CF626A" w:rsidRPr="001531CD" w:rsidRDefault="00CF626A">
      <w:pPr>
        <w:pStyle w:val="1"/>
      </w:pPr>
      <w:r w:rsidRPr="001531CD">
        <w:t>6.</w:t>
      </w:r>
      <w:r w:rsidRPr="001531CD">
        <w:tab/>
        <w:t>blueprints of the existing facility, if purchase is contemplated, and, in the case of proposed expansions, blueprints of the existing and proposed facility. The applicant shall provide a detailed statement of reasons when prints cannot be provided. In the event that blueprints and specifications cannot be provided at the time of the application, any applicant receiving approval for a market commission loan will be required to provide blueprints and construction specifications within 90 days after approval of the loan. The market commission may, however, at its discretion, waive the requirements for provision of blueprints and construction specifications for simple additions, but shall waive such requirement only in open session with adequate explanation for its actions.</w:t>
      </w:r>
    </w:p>
    <w:p w14:paraId="08594F7C" w14:textId="77777777" w:rsidR="00CF626A" w:rsidRPr="001531CD" w:rsidRDefault="00CF626A">
      <w:pPr>
        <w:pStyle w:val="A"/>
      </w:pPr>
      <w:r w:rsidRPr="001531CD">
        <w:t>D.</w:t>
      </w:r>
      <w:r w:rsidRPr="001531CD">
        <w:tab/>
        <w:t>Any applicant for a loan guarantee shall provide, in addition to the information required by §105.A, a letter of commitment from a lending institution setting forth the terms and conditions upon which the loan sought to be guaranteed will be made.</w:t>
      </w:r>
    </w:p>
    <w:p w14:paraId="654B0EDA" w14:textId="77777777" w:rsidR="00CF626A" w:rsidRPr="001531CD" w:rsidRDefault="00CF626A">
      <w:pPr>
        <w:pStyle w:val="AuthorityNote"/>
      </w:pPr>
      <w:r w:rsidRPr="001531CD">
        <w:t>AUTHORITY NOTE:</w:t>
      </w:r>
      <w:r w:rsidRPr="001531CD">
        <w:tab/>
        <w:t>Promulgated in accordance with R.S. 3:404 and R.S. 3:408.</w:t>
      </w:r>
    </w:p>
    <w:p w14:paraId="0B85B3FD" w14:textId="77777777" w:rsidR="00CF626A" w:rsidRPr="001531CD" w:rsidRDefault="00CF626A">
      <w:pPr>
        <w:pStyle w:val="HistoricalNote"/>
      </w:pPr>
      <w:r w:rsidRPr="001531CD">
        <w:t>HISTORICAL NOTE:</w:t>
      </w:r>
      <w:r w:rsidRPr="001531CD">
        <w:tab/>
        <w:t>Promulgated by the Department of Agriculture, Market Commission, LR 6:253 (June 1980).</w:t>
      </w:r>
    </w:p>
    <w:p w14:paraId="2356AEE1" w14:textId="77777777" w:rsidR="00CF626A" w:rsidRPr="001531CD" w:rsidRDefault="00CF626A">
      <w:pPr>
        <w:pStyle w:val="Section"/>
      </w:pPr>
      <w:bookmarkStart w:id="544" w:name="_Toc256754305"/>
      <w:bookmarkStart w:id="545" w:name="_Toc224818539"/>
      <w:r w:rsidRPr="001531CD">
        <w:t>§107.</w:t>
      </w:r>
      <w:r w:rsidRPr="001531CD">
        <w:tab/>
        <w:t>Appraisal</w:t>
      </w:r>
      <w:bookmarkEnd w:id="544"/>
      <w:bookmarkEnd w:id="545"/>
    </w:p>
    <w:p w14:paraId="4F7FA988" w14:textId="77777777" w:rsidR="00CF626A" w:rsidRPr="001531CD" w:rsidRDefault="00CF626A">
      <w:pPr>
        <w:pStyle w:val="A"/>
      </w:pPr>
      <w:r w:rsidRPr="001531CD">
        <w:t>A.</w:t>
      </w:r>
      <w:r w:rsidRPr="001531CD">
        <w:tab/>
        <w:t>The State Market Commission shall develop and maintain for public examination at any time a listing of approved appraisers and a file of the credentials of such approved appraisers.</w:t>
      </w:r>
    </w:p>
    <w:p w14:paraId="6F979E4B" w14:textId="77777777" w:rsidR="00CF626A" w:rsidRPr="001531CD" w:rsidRDefault="00CF626A">
      <w:pPr>
        <w:pStyle w:val="A"/>
      </w:pPr>
      <w:r w:rsidRPr="001531CD">
        <w:t>B.</w:t>
      </w:r>
      <w:r w:rsidRPr="001531CD">
        <w:tab/>
        <w:t>In order to have his or her name included on the State Market Commission Listing of Approved Appraisers, an applicant shall submit the following information:</w:t>
      </w:r>
    </w:p>
    <w:p w14:paraId="26A0A5EC" w14:textId="77777777" w:rsidR="00CF626A" w:rsidRPr="001531CD" w:rsidRDefault="00CF626A">
      <w:pPr>
        <w:pStyle w:val="1"/>
      </w:pPr>
      <w:r w:rsidRPr="001531CD">
        <w:t>1.</w:t>
      </w:r>
      <w:r w:rsidRPr="001531CD">
        <w:tab/>
        <w:t>at least three written statements of his or her competence as an appraiser from organizations such as banks or other financial institutions, real estate boards or licensed real estate brokers, mortgage loan institutions, and so forth;</w:t>
      </w:r>
    </w:p>
    <w:p w14:paraId="7C0A202E" w14:textId="77777777" w:rsidR="00CF626A" w:rsidRPr="001531CD" w:rsidRDefault="00CF626A">
      <w:pPr>
        <w:pStyle w:val="1"/>
      </w:pPr>
      <w:r w:rsidRPr="001531CD">
        <w:t>2.</w:t>
      </w:r>
      <w:r w:rsidRPr="001531CD">
        <w:tab/>
        <w:t>a written statement of his or her areas of expertise in appraising property;</w:t>
      </w:r>
    </w:p>
    <w:p w14:paraId="2B816F8F" w14:textId="77777777" w:rsidR="00CF626A" w:rsidRPr="001531CD" w:rsidRDefault="00CF626A">
      <w:pPr>
        <w:pStyle w:val="1"/>
      </w:pPr>
      <w:r w:rsidRPr="001531CD">
        <w:t>3.</w:t>
      </w:r>
      <w:r w:rsidRPr="001531CD">
        <w:tab/>
        <w:t>a written statement of his or her years of experience in appraising property;</w:t>
      </w:r>
    </w:p>
    <w:p w14:paraId="1FA19BB1" w14:textId="77777777" w:rsidR="00CF626A" w:rsidRPr="001531CD" w:rsidRDefault="00CF626A">
      <w:pPr>
        <w:pStyle w:val="1"/>
      </w:pPr>
      <w:r w:rsidRPr="001531CD">
        <w:t>4.</w:t>
      </w:r>
      <w:r w:rsidRPr="001531CD">
        <w:tab/>
        <w:t>evidence of inclusion on the approved appraisers listing of any state or federally chartered banks, or such public agencies as the Small Business Administration, the Farmers Home Administration, the Production Credit Association, the Federal Housing Authority, or other similar institutions;</w:t>
      </w:r>
    </w:p>
    <w:p w14:paraId="15DE8781" w14:textId="77777777" w:rsidR="00CF626A" w:rsidRPr="001531CD" w:rsidRDefault="00CF626A">
      <w:pPr>
        <w:pStyle w:val="1"/>
      </w:pPr>
      <w:r w:rsidRPr="001531CD">
        <w:t>5.</w:t>
      </w:r>
      <w:r w:rsidRPr="001531CD">
        <w:tab/>
        <w:t>a written statement containing any additional information which the applicant thinks would be beneficial to the market commission's determination of qualifications.</w:t>
      </w:r>
    </w:p>
    <w:p w14:paraId="15012E2B" w14:textId="77777777" w:rsidR="00CF626A" w:rsidRPr="001531CD" w:rsidRDefault="00CF626A">
      <w:pPr>
        <w:pStyle w:val="A"/>
      </w:pPr>
      <w:r w:rsidRPr="001531CD">
        <w:t>C.</w:t>
      </w:r>
      <w:r w:rsidRPr="001531CD">
        <w:tab/>
        <w:t>Applicants for inclusion of the State Market Commission Listing of Approved Appraisers shall pay a fee of $25 at the time of filing request for inclusion on the list, which fee shall be deposited in the general fund of the state of Louisiana and shall be non-refundable to the applicant regardless of the decision of the market commission with respect to the listing.</w:t>
      </w:r>
    </w:p>
    <w:p w14:paraId="6954D3FA" w14:textId="77777777" w:rsidR="00CF626A" w:rsidRPr="001531CD" w:rsidRDefault="00CF626A">
      <w:pPr>
        <w:pStyle w:val="A"/>
      </w:pPr>
      <w:r w:rsidRPr="001531CD">
        <w:lastRenderedPageBreak/>
        <w:t>D.</w:t>
      </w:r>
      <w:r w:rsidRPr="001531CD">
        <w:tab/>
        <w:t>Any applicant for listing on the State Market Commission Listing of Approved Appraisers who is denied a listing may appeal the decision of the State Market Commission under the general appeals procedures of the State Department of Agriculture.</w:t>
      </w:r>
    </w:p>
    <w:p w14:paraId="76550C09" w14:textId="77777777" w:rsidR="00CF626A" w:rsidRPr="001531CD" w:rsidRDefault="00CF626A">
      <w:pPr>
        <w:pStyle w:val="A"/>
      </w:pPr>
      <w:r w:rsidRPr="001531CD">
        <w:t>E.</w:t>
      </w:r>
      <w:r w:rsidRPr="001531CD">
        <w:tab/>
        <w:t>Pending development of a comprehensive Listing of Approved Appraisers, the market commission may approve appraisers on an individual basis, but the market commission shall not approve appraisers in the absence of all information required under §107.B after November 1, 1980.</w:t>
      </w:r>
    </w:p>
    <w:p w14:paraId="37BBBCE4" w14:textId="77777777" w:rsidR="00CF626A" w:rsidRPr="001531CD" w:rsidRDefault="00CF626A">
      <w:pPr>
        <w:pStyle w:val="A"/>
      </w:pPr>
      <w:r w:rsidRPr="001531CD">
        <w:t>F.</w:t>
      </w:r>
      <w:r w:rsidRPr="001531CD">
        <w:tab/>
        <w:t>Applicants for inclusion on the State Market Commission Listing of Approved Appraisers may make application at any time throughout the calendar year, and the names of approved applicants shall be added to the listing immediately upon approval action by the market commission.</w:t>
      </w:r>
    </w:p>
    <w:p w14:paraId="384A47FA" w14:textId="77777777" w:rsidR="00CF626A" w:rsidRPr="001531CD" w:rsidRDefault="00CF626A">
      <w:pPr>
        <w:pStyle w:val="A"/>
      </w:pPr>
      <w:r w:rsidRPr="001531CD">
        <w:t>G.</w:t>
      </w:r>
      <w:r w:rsidRPr="001531CD">
        <w:tab/>
        <w:t>All applicants for a market commission direct or participation loan, or loan guaranty, must submit, as a part of the application package, an appraisal performed by an appraiser selected as follows from the State Market Commission Listing of Approved Appraisers.</w:t>
      </w:r>
    </w:p>
    <w:p w14:paraId="14B810CC" w14:textId="77777777" w:rsidR="00CF626A" w:rsidRPr="001531CD" w:rsidRDefault="00CF626A">
      <w:pPr>
        <w:pStyle w:val="1"/>
      </w:pPr>
      <w:r w:rsidRPr="001531CD">
        <w:t>1.</w:t>
      </w:r>
      <w:r w:rsidRPr="001531CD">
        <w:tab/>
        <w:t>The applicant may review the file of credentials of approved appraisers, except for personal financial statements, and shall select from the Listing of Approved Appraisers three appraisers who are acceptable to the applicant.</w:t>
      </w:r>
    </w:p>
    <w:p w14:paraId="746926D1" w14:textId="77777777" w:rsidR="00CF626A" w:rsidRPr="001531CD" w:rsidRDefault="00CF626A">
      <w:pPr>
        <w:pStyle w:val="1"/>
      </w:pPr>
      <w:r w:rsidRPr="001531CD">
        <w:t>2.</w:t>
      </w:r>
      <w:r w:rsidRPr="001531CD">
        <w:tab/>
        <w:t>The applicant shall notify the market commission in writing the names of the three appraisers selected by the applicant.</w:t>
      </w:r>
    </w:p>
    <w:p w14:paraId="01030F6C" w14:textId="77777777" w:rsidR="00CF626A" w:rsidRPr="001531CD" w:rsidRDefault="00CF626A">
      <w:pPr>
        <w:pStyle w:val="1"/>
      </w:pPr>
      <w:r w:rsidRPr="001531CD">
        <w:t>3.</w:t>
      </w:r>
      <w:r w:rsidRPr="001531CD">
        <w:tab/>
        <w:t>The market commission staff shall select one appraiser from the list of three appraisers submitted by the applicant and shall notify the applicant in writing of the appraiser selected by the staff to perform the appraisal.</w:t>
      </w:r>
    </w:p>
    <w:p w14:paraId="6D73607F" w14:textId="77777777" w:rsidR="00CF626A" w:rsidRPr="001531CD" w:rsidRDefault="00CF626A">
      <w:pPr>
        <w:pStyle w:val="1"/>
      </w:pPr>
      <w:r w:rsidRPr="001531CD">
        <w:t>4.</w:t>
      </w:r>
      <w:r w:rsidRPr="001531CD">
        <w:tab/>
        <w:t>The applicant and the State Market Commission staff shall meet with the appraiser selected and negotiate a fee satisfactory to the applicant and the appraiser.</w:t>
      </w:r>
    </w:p>
    <w:p w14:paraId="7E49E62A" w14:textId="77777777" w:rsidR="00CF626A" w:rsidRPr="001531CD" w:rsidRDefault="00CF626A">
      <w:pPr>
        <w:pStyle w:val="1"/>
      </w:pPr>
      <w:r w:rsidRPr="001531CD">
        <w:t>5.</w:t>
      </w:r>
      <w:r w:rsidRPr="001531CD">
        <w:tab/>
        <w:t>The agreement for performance of the appraisal shall be in writing for the protection of all parties, the agreement to be prepared by the State Market Commission staff unless the applicant wishes to secure private legal counsel.</w:t>
      </w:r>
    </w:p>
    <w:p w14:paraId="740FD290" w14:textId="77777777" w:rsidR="00CF626A" w:rsidRPr="001531CD" w:rsidRDefault="00CF626A">
      <w:pPr>
        <w:pStyle w:val="1"/>
      </w:pPr>
      <w:r w:rsidRPr="001531CD">
        <w:t>6.</w:t>
      </w:r>
      <w:r w:rsidRPr="001531CD">
        <w:tab/>
        <w:t>Failure to agree upon a fee shall result in selection of another appraiser. In such circumstance, the applicant shall be permitted to add one additional name, selected from the Listing of Approved Appraisers, to the list and the market commission staff shall again select from the list and follow procedures outlined in §107.G.</w:t>
      </w:r>
    </w:p>
    <w:p w14:paraId="1E0DE184" w14:textId="77777777" w:rsidR="00CF626A" w:rsidRPr="001531CD" w:rsidRDefault="00CF626A">
      <w:pPr>
        <w:pStyle w:val="A"/>
      </w:pPr>
      <w:r w:rsidRPr="001531CD">
        <w:t>H.</w:t>
      </w:r>
      <w:r w:rsidRPr="001531CD">
        <w:tab/>
        <w:t>The applicant shall be responsible for payment of the agreed-upon appraisal fee.</w:t>
      </w:r>
    </w:p>
    <w:p w14:paraId="15913A88" w14:textId="77777777" w:rsidR="00CF626A" w:rsidRPr="001531CD" w:rsidRDefault="00CF626A">
      <w:pPr>
        <w:pStyle w:val="A"/>
      </w:pPr>
      <w:r w:rsidRPr="001531CD">
        <w:t>I.</w:t>
      </w:r>
      <w:r w:rsidRPr="001531CD">
        <w:tab/>
        <w:t>The market commission may, at its discretion, directly employ an appraiser listed on the Listing of Approved Appraisers to conduct any appraisal.</w:t>
      </w:r>
    </w:p>
    <w:p w14:paraId="7F7F2202" w14:textId="77777777" w:rsidR="00CF626A" w:rsidRPr="001531CD" w:rsidRDefault="00CF626A">
      <w:pPr>
        <w:pStyle w:val="1"/>
      </w:pPr>
      <w:r w:rsidRPr="001531CD">
        <w:t>1.</w:t>
      </w:r>
      <w:r w:rsidRPr="001531CD">
        <w:tab/>
        <w:t>When the market commission directly employs an appraiser, such appraisal shall be performed at the cost of the market commission.</w:t>
      </w:r>
    </w:p>
    <w:p w14:paraId="4B48A62E" w14:textId="77777777" w:rsidR="00CF626A" w:rsidRPr="001531CD" w:rsidRDefault="00CF626A">
      <w:pPr>
        <w:pStyle w:val="1"/>
      </w:pPr>
      <w:r w:rsidRPr="001531CD">
        <w:t>2.</w:t>
      </w:r>
      <w:r w:rsidRPr="001531CD">
        <w:tab/>
        <w:t>The applicant shall cooperate fully with any appraiser employed directly by the market commission.</w:t>
      </w:r>
    </w:p>
    <w:p w14:paraId="3D1C0B80" w14:textId="77777777" w:rsidR="00CF626A" w:rsidRPr="001531CD" w:rsidRDefault="00CF626A">
      <w:pPr>
        <w:pStyle w:val="1"/>
      </w:pPr>
      <w:r w:rsidRPr="001531CD">
        <w:t>3.</w:t>
      </w:r>
      <w:r w:rsidRPr="001531CD">
        <w:tab/>
        <w:t>The market commission shall give weight to the appraisal performed by the appraiser selected by the applicant as well as to the appraisal performed by the appraiser employed by the commission.</w:t>
      </w:r>
    </w:p>
    <w:p w14:paraId="77F210B4" w14:textId="77777777" w:rsidR="00CF626A" w:rsidRPr="001531CD" w:rsidRDefault="00CF626A">
      <w:pPr>
        <w:pStyle w:val="A"/>
      </w:pPr>
      <w:r w:rsidRPr="001531CD">
        <w:t>J.</w:t>
      </w:r>
      <w:r w:rsidRPr="001531CD">
        <w:tab/>
        <w:t>The listing of any appraiser on the State Market Commission Listing of Approved Appraisers shall be valid for a period of two years from the date of the commission's approval.</w:t>
      </w:r>
    </w:p>
    <w:p w14:paraId="1C77B61D" w14:textId="77777777" w:rsidR="00CF626A" w:rsidRPr="001531CD" w:rsidRDefault="00CF626A">
      <w:pPr>
        <w:pStyle w:val="1"/>
      </w:pPr>
      <w:r w:rsidRPr="001531CD">
        <w:t>1.</w:t>
      </w:r>
      <w:r w:rsidRPr="001531CD">
        <w:tab/>
        <w:t>Thirty days prior to the second anniversary of each listing, the market commission staff shall notify the appraiser, at the last address furnished by the appraiser, of the date on which approval for listing will terminate.</w:t>
      </w:r>
    </w:p>
    <w:p w14:paraId="37923F97" w14:textId="77777777" w:rsidR="00CF626A" w:rsidRPr="001531CD" w:rsidRDefault="00CF626A">
      <w:pPr>
        <w:pStyle w:val="1"/>
      </w:pPr>
      <w:r w:rsidRPr="001531CD">
        <w:t>2.</w:t>
      </w:r>
      <w:r w:rsidRPr="001531CD">
        <w:tab/>
        <w:t>The appraiser so notified may renew his or her listing for an additional two-year period upon payment of a $5 renewal fee, without the necessity for submission of the information required in §107.B.</w:t>
      </w:r>
    </w:p>
    <w:p w14:paraId="009E6185" w14:textId="77777777" w:rsidR="00CF626A" w:rsidRPr="001531CD" w:rsidRDefault="00CF626A">
      <w:pPr>
        <w:pStyle w:val="A"/>
      </w:pPr>
      <w:r w:rsidRPr="001531CD">
        <w:t>K.</w:t>
      </w:r>
      <w:r w:rsidRPr="001531CD">
        <w:tab/>
        <w:t>The market commission staff may recommend to the market commission at any time the removal from the Listing of Approved Appraisers the name of any appraiser who, in their judgment, should be removed.</w:t>
      </w:r>
    </w:p>
    <w:p w14:paraId="570FE0BD" w14:textId="77777777" w:rsidR="00CF626A" w:rsidRPr="001531CD" w:rsidRDefault="00CF626A">
      <w:pPr>
        <w:pStyle w:val="A"/>
      </w:pPr>
      <w:r w:rsidRPr="001531CD">
        <w:t>L.</w:t>
      </w:r>
      <w:r w:rsidRPr="001531CD">
        <w:tab/>
        <w:t>Any appraiser so removed from the Listing of Approved Appraisers shall be immediately notified in writing of the removal and may appeal such removal under the general appeals procedures of the State Department of Agriculture.</w:t>
      </w:r>
    </w:p>
    <w:p w14:paraId="172DA00F" w14:textId="77777777" w:rsidR="00CF626A" w:rsidRPr="001531CD" w:rsidRDefault="00CF626A">
      <w:pPr>
        <w:pStyle w:val="A"/>
      </w:pPr>
      <w:r w:rsidRPr="001531CD">
        <w:t>M.</w:t>
      </w:r>
      <w:r w:rsidRPr="001531CD">
        <w:tab/>
        <w:t>Upon request, the market commission shall furnish any applicant or interested citizen a copy of the Listing of Approved Appraisers.</w:t>
      </w:r>
    </w:p>
    <w:p w14:paraId="4C6225E2" w14:textId="77777777" w:rsidR="00CF626A" w:rsidRPr="001531CD" w:rsidRDefault="00CF626A">
      <w:pPr>
        <w:pStyle w:val="AuthorityNote"/>
      </w:pPr>
      <w:r w:rsidRPr="001531CD">
        <w:t>AUTHORITY NOTE:</w:t>
      </w:r>
      <w:r w:rsidRPr="001531CD">
        <w:tab/>
        <w:t>Promulgated in accordance with R.S. 3:404.</w:t>
      </w:r>
    </w:p>
    <w:p w14:paraId="6C541F0C" w14:textId="77777777" w:rsidR="00CF626A" w:rsidRPr="001531CD" w:rsidRDefault="00CF626A">
      <w:pPr>
        <w:pStyle w:val="HistoricalNote"/>
      </w:pPr>
      <w:r w:rsidRPr="001531CD">
        <w:t>HISTORICAL NOTE:</w:t>
      </w:r>
      <w:r w:rsidRPr="001531CD">
        <w:tab/>
        <w:t>Promulgated by the Department of Agriculture, Market Commission, LR 6:253 (June 1980), amended LR 7:260 (May 1981).</w:t>
      </w:r>
    </w:p>
    <w:p w14:paraId="7238084A" w14:textId="77777777" w:rsidR="00CF626A" w:rsidRPr="001531CD" w:rsidRDefault="00CF626A">
      <w:pPr>
        <w:pStyle w:val="Section"/>
      </w:pPr>
      <w:bookmarkStart w:id="546" w:name="_Toc256754306"/>
      <w:bookmarkStart w:id="547" w:name="_Toc224818540"/>
      <w:r w:rsidRPr="001531CD">
        <w:t>§109.</w:t>
      </w:r>
      <w:r w:rsidRPr="001531CD">
        <w:tab/>
        <w:t>Approval of Application for Market Commission Loan</w:t>
      </w:r>
      <w:bookmarkEnd w:id="546"/>
      <w:bookmarkEnd w:id="547"/>
    </w:p>
    <w:p w14:paraId="6AA305AD" w14:textId="77777777" w:rsidR="00CF626A" w:rsidRPr="001531CD" w:rsidRDefault="00CF626A">
      <w:pPr>
        <w:pStyle w:val="A"/>
      </w:pPr>
      <w:r w:rsidRPr="001531CD">
        <w:t>A.</w:t>
      </w:r>
      <w:r w:rsidRPr="001531CD">
        <w:tab/>
        <w:t>The applicant must provide all required information at least 20 working days prior to the meeting at which the application will be considered. The market commission shall not consider any incomplete application.</w:t>
      </w:r>
    </w:p>
    <w:p w14:paraId="0B1DB55D" w14:textId="77777777" w:rsidR="00CF626A" w:rsidRPr="001531CD" w:rsidRDefault="00CF626A">
      <w:pPr>
        <w:pStyle w:val="A"/>
      </w:pPr>
      <w:r w:rsidRPr="001531CD">
        <w:t>B.</w:t>
      </w:r>
      <w:r w:rsidRPr="001531CD">
        <w:tab/>
        <w:t>The applicant must appear in person at the meeting at which the application will be considered, in order to provide any additional information which may be required by the market commission.</w:t>
      </w:r>
    </w:p>
    <w:p w14:paraId="0DC35966" w14:textId="77777777" w:rsidR="00CF626A" w:rsidRPr="001531CD" w:rsidRDefault="00CF626A">
      <w:pPr>
        <w:pStyle w:val="A"/>
      </w:pPr>
      <w:r w:rsidRPr="001531CD">
        <w:t>C.</w:t>
      </w:r>
      <w:r w:rsidRPr="001531CD">
        <w:tab/>
        <w:t>Approval of the loan must not result in encumbrance(s) on the property offered as security in excess of 75 percent of the appraised value of the property.</w:t>
      </w:r>
    </w:p>
    <w:p w14:paraId="1A4962C4" w14:textId="77777777" w:rsidR="00CF626A" w:rsidRPr="001531CD" w:rsidRDefault="00CF626A">
      <w:pPr>
        <w:pStyle w:val="A"/>
      </w:pPr>
      <w:r w:rsidRPr="001531CD">
        <w:t>D.</w:t>
      </w:r>
      <w:r w:rsidRPr="001531CD">
        <w:tab/>
        <w:t>The period for which the loan is requested must not exceed five years, provided, however, that the State Market Commission may, under conditions hereinafter set forth, extend the period of the loan for an additional period not to exceed a total of 15 years from the date of the original loan, as required under R.S. 3:407(G).</w:t>
      </w:r>
    </w:p>
    <w:p w14:paraId="0C5EC256" w14:textId="77777777" w:rsidR="00CF626A" w:rsidRPr="001531CD" w:rsidRDefault="00CF626A">
      <w:pPr>
        <w:pStyle w:val="A"/>
      </w:pPr>
      <w:r w:rsidRPr="001531CD">
        <w:lastRenderedPageBreak/>
        <w:t>E.</w:t>
      </w:r>
      <w:r w:rsidRPr="001531CD">
        <w:tab/>
        <w:t>Approval of a direct loan application shall be limited to 75 percent of the value of the property offered as security when covered by a first mortgage to the State Market Commission.</w:t>
      </w:r>
    </w:p>
    <w:p w14:paraId="2A521B82" w14:textId="77777777" w:rsidR="00CF626A" w:rsidRPr="001531CD" w:rsidRDefault="00CF626A">
      <w:pPr>
        <w:pStyle w:val="A"/>
      </w:pPr>
      <w:r w:rsidRPr="001531CD">
        <w:t>F.</w:t>
      </w:r>
      <w:r w:rsidRPr="001531CD">
        <w:tab/>
        <w:t>Approval of a direct loan application shall be limited to 50 percent of the value of the property offered as security when covered by a second mortgage to the State Market Commission.</w:t>
      </w:r>
    </w:p>
    <w:p w14:paraId="2AF621E5" w14:textId="77777777" w:rsidR="00CF626A" w:rsidRPr="001531CD" w:rsidRDefault="00CF626A">
      <w:pPr>
        <w:pStyle w:val="A"/>
      </w:pPr>
      <w:r w:rsidRPr="001531CD">
        <w:t>G.</w:t>
      </w:r>
      <w:r w:rsidRPr="001531CD">
        <w:tab/>
        <w:t>Approval of a loan guaranty application shall be limited to 75 percent of the total amount required by the borrower.</w:t>
      </w:r>
    </w:p>
    <w:p w14:paraId="3F7F1599" w14:textId="77777777" w:rsidR="00CF626A" w:rsidRPr="001531CD" w:rsidRDefault="00CF626A">
      <w:pPr>
        <w:pStyle w:val="A"/>
      </w:pPr>
      <w:r w:rsidRPr="001531CD">
        <w:t>H.</w:t>
      </w:r>
      <w:r w:rsidRPr="001531CD">
        <w:tab/>
        <w:t>Approval of a direct loan or 75 percent of the amount expended for purchase, construction, or necessary improvement to facilities that manufacture containers for farm products must be secured by a first mortgage to the market commission if the amount loaned is in excess of 50 percent of the value of the property offered as security, but may be secured by a second mortgage to the market commission if the amount loaned is 50 percent or less than the value of the property offered as security, as provided in R.S. 3:407(C)(3).</w:t>
      </w:r>
    </w:p>
    <w:p w14:paraId="096C6C65" w14:textId="77777777" w:rsidR="00CF626A" w:rsidRPr="001531CD" w:rsidRDefault="00CF626A">
      <w:pPr>
        <w:pStyle w:val="A"/>
      </w:pPr>
      <w:r w:rsidRPr="001531CD">
        <w:t>I.</w:t>
      </w:r>
      <w:r w:rsidRPr="001531CD">
        <w:tab/>
        <w:t>A market assessment and/or feasibility study conducted or secured by the market commission staff must support the advisability of the loan.</w:t>
      </w:r>
    </w:p>
    <w:p w14:paraId="1F87220E" w14:textId="77777777" w:rsidR="00CF626A" w:rsidRPr="001531CD" w:rsidRDefault="00CF626A">
      <w:pPr>
        <w:pStyle w:val="A"/>
      </w:pPr>
      <w:r w:rsidRPr="001531CD">
        <w:t>J.</w:t>
      </w:r>
      <w:r w:rsidRPr="001531CD">
        <w:tab/>
        <w:t>The loan application must satisfy all legal requirements, as evidenced by the written approval of the department attorney.</w:t>
      </w:r>
    </w:p>
    <w:p w14:paraId="1E3231E1" w14:textId="77777777" w:rsidR="00CF626A" w:rsidRPr="001531CD" w:rsidRDefault="00CF626A">
      <w:pPr>
        <w:pStyle w:val="AuthorityNote"/>
      </w:pPr>
      <w:r w:rsidRPr="001531CD">
        <w:t>AUTHORITY NOTE:</w:t>
      </w:r>
      <w:r w:rsidRPr="001531CD">
        <w:tab/>
        <w:t>Promulgated in accordance with R.S. 3:407 and R.S. 3:404.</w:t>
      </w:r>
    </w:p>
    <w:p w14:paraId="06B04076" w14:textId="77777777" w:rsidR="00CF626A" w:rsidRPr="001531CD" w:rsidRDefault="00CF626A">
      <w:pPr>
        <w:pStyle w:val="HistoricalNote"/>
      </w:pPr>
      <w:r w:rsidRPr="001531CD">
        <w:t>HISTORICAL NOTE:</w:t>
      </w:r>
      <w:r w:rsidRPr="001531CD">
        <w:tab/>
        <w:t>Promulgated by the Department of Agriculture, Market Commission, LR 6:254 (June 1980).</w:t>
      </w:r>
    </w:p>
    <w:p w14:paraId="32A5996D" w14:textId="77777777" w:rsidR="00CF626A" w:rsidRPr="001531CD" w:rsidRDefault="00CF626A">
      <w:pPr>
        <w:pStyle w:val="Section"/>
      </w:pPr>
      <w:bookmarkStart w:id="548" w:name="_Toc256754307"/>
      <w:bookmarkStart w:id="549" w:name="_Toc224818541"/>
      <w:r w:rsidRPr="001531CD">
        <w:t>§111.</w:t>
      </w:r>
      <w:r w:rsidRPr="001531CD">
        <w:tab/>
        <w:t>Disbursement of Market Commission Loan Proceeds and Market Commission Concurrence in Loan Guarantees</w:t>
      </w:r>
      <w:bookmarkEnd w:id="548"/>
      <w:bookmarkEnd w:id="549"/>
    </w:p>
    <w:p w14:paraId="15FBCB09" w14:textId="77777777" w:rsidR="00CF626A" w:rsidRPr="001531CD" w:rsidRDefault="00CF626A">
      <w:pPr>
        <w:pStyle w:val="A"/>
      </w:pPr>
      <w:r w:rsidRPr="001531CD">
        <w:t>A.</w:t>
      </w:r>
      <w:r w:rsidRPr="001531CD">
        <w:tab/>
        <w:t>Prior to the setting of a date for the loan closing, the applicant must submit satisfactory proof that the facility, if new construction and/or additions to the existing facilities, has been completed in accordance with the plans submitted to the commission for its consideration of the loan application.</w:t>
      </w:r>
    </w:p>
    <w:p w14:paraId="77A8C2FA" w14:textId="77777777" w:rsidR="00CF626A" w:rsidRPr="001531CD" w:rsidRDefault="00CF626A">
      <w:pPr>
        <w:pStyle w:val="A"/>
      </w:pPr>
      <w:r w:rsidRPr="001531CD">
        <w:t>B.</w:t>
      </w:r>
      <w:r w:rsidRPr="001531CD">
        <w:tab/>
        <w:t>Prior to the setting of a date for the loan closing, the applicant must provide a copy of the note and the mortgage to be executed at the closing for examination and approval by the department attorney.</w:t>
      </w:r>
    </w:p>
    <w:p w14:paraId="204CDF31" w14:textId="77777777" w:rsidR="00CF626A" w:rsidRPr="001531CD" w:rsidRDefault="00CF626A">
      <w:pPr>
        <w:pStyle w:val="A"/>
      </w:pPr>
      <w:r w:rsidRPr="001531CD">
        <w:t>C.</w:t>
      </w:r>
      <w:r w:rsidRPr="001531CD">
        <w:tab/>
        <w:t>Prior to the setting of a date for the loan closing, the applicant must provide a copy of a plat survey by a registered surveyor, provided, however, that the department attorney is authorized to waive, in writing, provision of the survey, at his discretion.</w:t>
      </w:r>
    </w:p>
    <w:p w14:paraId="401B23B5" w14:textId="77777777" w:rsidR="00CF626A" w:rsidRPr="001531CD" w:rsidRDefault="00CF626A">
      <w:pPr>
        <w:pStyle w:val="A"/>
      </w:pPr>
      <w:r w:rsidRPr="001531CD">
        <w:t>D.</w:t>
      </w:r>
      <w:r w:rsidRPr="001531CD">
        <w:tab/>
        <w:t>Prior to the setting of a date for the loan closing, the applicant must provide evidence of adequate title insurance.</w:t>
      </w:r>
    </w:p>
    <w:p w14:paraId="6C35A67A" w14:textId="77777777" w:rsidR="00CF626A" w:rsidRPr="001531CD" w:rsidRDefault="00CF626A" w:rsidP="0034445B">
      <w:pPr>
        <w:pStyle w:val="A"/>
        <w:spacing w:after="80"/>
      </w:pPr>
      <w:r w:rsidRPr="001531CD">
        <w:t>E.</w:t>
      </w:r>
      <w:r w:rsidRPr="001531CD">
        <w:tab/>
        <w:t>Prior to the setting of a date for the loan closing, the applicant must carry and provide evidence of the following insurance coverage:</w:t>
      </w:r>
    </w:p>
    <w:p w14:paraId="61407A59" w14:textId="77777777" w:rsidR="00CF626A" w:rsidRPr="001531CD" w:rsidRDefault="00CF626A" w:rsidP="0034445B">
      <w:pPr>
        <w:pStyle w:val="1"/>
        <w:spacing w:after="80"/>
      </w:pPr>
      <w:r w:rsidRPr="001531CD">
        <w:t>1.</w:t>
      </w:r>
      <w:r w:rsidRPr="001531CD">
        <w:tab/>
        <w:t>public liability insurance of $500,000, naming the market commission as additional insured. The applicant must also provide a certificate evidencing such insurance, which certificate must provide that the insurance cannot be cancelled without 30 days prior notice to the State Market Commission;</w:t>
      </w:r>
    </w:p>
    <w:p w14:paraId="01A2950F" w14:textId="77777777" w:rsidR="00CF626A" w:rsidRPr="001531CD" w:rsidRDefault="00CF626A" w:rsidP="0034445B">
      <w:pPr>
        <w:pStyle w:val="1"/>
        <w:spacing w:after="80"/>
      </w:pPr>
      <w:r w:rsidRPr="001531CD">
        <w:t>2.</w:t>
      </w:r>
      <w:r w:rsidRPr="001531CD">
        <w:tab/>
        <w:t>fire and extended coverage and vandalism insurance to the full extent of the amount loaned or guaranteed by the market commission, naming the market commission as loss payee, the total amount of the insurance to meet the 80 percent co-insurance requirements. The applicant must also provide a certificate evidencing such insurance, which certificate must provide that the insurance cannot be cancelled without 30 days prior notice to the State Market Commission.</w:t>
      </w:r>
    </w:p>
    <w:p w14:paraId="553D0311" w14:textId="77777777" w:rsidR="00CF626A" w:rsidRPr="001531CD" w:rsidRDefault="00CF626A" w:rsidP="0034445B">
      <w:pPr>
        <w:pStyle w:val="A"/>
        <w:spacing w:after="80"/>
      </w:pPr>
      <w:r w:rsidRPr="001531CD">
        <w:t>F.</w:t>
      </w:r>
      <w:r w:rsidRPr="001531CD">
        <w:tab/>
        <w:t>Prior to the setting of a date for the loan closing, the applicant must provide satisfactory proof that all materials suppliers and workmen have been fully paid.</w:t>
      </w:r>
    </w:p>
    <w:p w14:paraId="20AB79DF" w14:textId="77777777" w:rsidR="00CF626A" w:rsidRPr="001531CD" w:rsidRDefault="00CF626A" w:rsidP="0034445B">
      <w:pPr>
        <w:pStyle w:val="A"/>
        <w:spacing w:after="80"/>
      </w:pPr>
      <w:r w:rsidRPr="001531CD">
        <w:t>G.</w:t>
      </w:r>
      <w:r w:rsidRPr="001531CD">
        <w:tab/>
        <w:t>Prior to the setting of a date for the loan closing, all legal instruments must be examined and approved by the department attorney.</w:t>
      </w:r>
    </w:p>
    <w:p w14:paraId="6D6F2505" w14:textId="77777777" w:rsidR="00CF626A" w:rsidRPr="001531CD" w:rsidRDefault="00CF626A" w:rsidP="0034445B">
      <w:pPr>
        <w:pStyle w:val="A"/>
        <w:spacing w:after="80"/>
      </w:pPr>
      <w:r w:rsidRPr="001531CD">
        <w:t>H.</w:t>
      </w:r>
      <w:r w:rsidRPr="001531CD">
        <w:tab/>
        <w:t>On or before the loan closing date, the applicant must provide a title opinion by a title attorney selected in accordance with §113, which title opinion shall provide evidence of clear title and shall include, but not be limited to, the following:</w:t>
      </w:r>
    </w:p>
    <w:p w14:paraId="5BEC15D2" w14:textId="77777777" w:rsidR="00CF626A" w:rsidRPr="001531CD" w:rsidRDefault="00CF626A" w:rsidP="0034445B">
      <w:pPr>
        <w:pStyle w:val="1"/>
        <w:spacing w:after="80"/>
      </w:pPr>
      <w:r w:rsidRPr="001531CD">
        <w:t>1.</w:t>
      </w:r>
      <w:r w:rsidRPr="001531CD">
        <w:tab/>
        <w:t>a property description;</w:t>
      </w:r>
    </w:p>
    <w:p w14:paraId="0B0DED70" w14:textId="77777777" w:rsidR="00CF626A" w:rsidRPr="001531CD" w:rsidRDefault="00CF626A" w:rsidP="0034445B">
      <w:pPr>
        <w:pStyle w:val="1"/>
        <w:spacing w:after="80"/>
      </w:pPr>
      <w:r w:rsidRPr="001531CD">
        <w:t>2.</w:t>
      </w:r>
      <w:r w:rsidRPr="001531CD">
        <w:tab/>
        <w:t>identification of the property owner, with pertinent recordation data;</w:t>
      </w:r>
    </w:p>
    <w:p w14:paraId="305A947D" w14:textId="77777777" w:rsidR="00CF626A" w:rsidRPr="001531CD" w:rsidRDefault="00CF626A" w:rsidP="0034445B">
      <w:pPr>
        <w:pStyle w:val="1"/>
        <w:spacing w:after="80"/>
      </w:pPr>
      <w:r w:rsidRPr="001531CD">
        <w:t>3.</w:t>
      </w:r>
      <w:r w:rsidRPr="001531CD">
        <w:tab/>
        <w:t>satisfactory evidence that all taxes due on the property have been paid;</w:t>
      </w:r>
    </w:p>
    <w:p w14:paraId="1DFF5F19" w14:textId="77777777" w:rsidR="00CF626A" w:rsidRPr="001531CD" w:rsidRDefault="00CF626A" w:rsidP="0034445B">
      <w:pPr>
        <w:pStyle w:val="1"/>
        <w:spacing w:after="80"/>
      </w:pPr>
      <w:r w:rsidRPr="001531CD">
        <w:t>4.</w:t>
      </w:r>
      <w:r w:rsidRPr="001531CD">
        <w:tab/>
        <w:t>a full and complete list of all mortgages, liens, encumbrances, and/or servitudes on the property; and</w:t>
      </w:r>
    </w:p>
    <w:p w14:paraId="68EFF3D5" w14:textId="77777777" w:rsidR="00CF626A" w:rsidRPr="001531CD" w:rsidRDefault="00CF626A" w:rsidP="0034445B">
      <w:pPr>
        <w:pStyle w:val="1"/>
        <w:spacing w:after="80"/>
      </w:pPr>
      <w:r w:rsidRPr="001531CD">
        <w:t>5.</w:t>
      </w:r>
      <w:r w:rsidRPr="001531CD">
        <w:tab/>
        <w:t>such other information as may be necessary for a full recital of the facts surrounding such property.</w:t>
      </w:r>
    </w:p>
    <w:p w14:paraId="586A2398" w14:textId="77777777" w:rsidR="00CF626A" w:rsidRPr="001531CD" w:rsidRDefault="00CF626A" w:rsidP="0034445B">
      <w:pPr>
        <w:pStyle w:val="A"/>
        <w:spacing w:after="80"/>
      </w:pPr>
      <w:r w:rsidRPr="001531CD">
        <w:t>I.</w:t>
      </w:r>
      <w:r w:rsidRPr="001531CD">
        <w:tab/>
        <w:t>On or before the loan closing date, the applicant must provide a mortgage certificate from the clerk of court for the parish in which the property is located.</w:t>
      </w:r>
    </w:p>
    <w:p w14:paraId="7AE469AA" w14:textId="77777777" w:rsidR="00CF626A" w:rsidRPr="001531CD" w:rsidRDefault="00CF626A">
      <w:pPr>
        <w:pStyle w:val="A"/>
      </w:pPr>
      <w:r w:rsidRPr="001531CD">
        <w:t>J.</w:t>
      </w:r>
      <w:r w:rsidRPr="001531CD">
        <w:tab/>
        <w:t>On the loan closing date, in the case of direct loans or participation loans paid direct to the borrower, the borrower must execute a note secured by a first or second mortgage payable to the market commission setting forth in full the terms and conditions under which the loan will be repaid, and containing such endorsements as the market commission shall require.</w:t>
      </w:r>
    </w:p>
    <w:p w14:paraId="27B68ABB" w14:textId="77777777" w:rsidR="00CF626A" w:rsidRPr="001531CD" w:rsidRDefault="00CF626A" w:rsidP="0034445B">
      <w:pPr>
        <w:pStyle w:val="A"/>
        <w:spacing w:after="80"/>
      </w:pPr>
      <w:r w:rsidRPr="001531CD">
        <w:t>K.</w:t>
      </w:r>
      <w:r w:rsidRPr="001531CD">
        <w:tab/>
        <w:t>On the loan closing date, in the case of direct loans or participation loans paid direct to the borrower, the borrower must execute a first or second mortgage payable to the market commission, which mortgage shall contain, but not necessarily be limited to, the following:</w:t>
      </w:r>
    </w:p>
    <w:p w14:paraId="20F4F809" w14:textId="77777777" w:rsidR="00CF626A" w:rsidRPr="001531CD" w:rsidRDefault="00CF626A" w:rsidP="0034445B">
      <w:pPr>
        <w:pStyle w:val="1"/>
        <w:spacing w:after="80"/>
      </w:pPr>
      <w:r w:rsidRPr="001531CD">
        <w:t>1.</w:t>
      </w:r>
      <w:r w:rsidRPr="001531CD">
        <w:tab/>
        <w:t>the amount loaned;</w:t>
      </w:r>
    </w:p>
    <w:p w14:paraId="70DC2B69" w14:textId="77777777" w:rsidR="00CF626A" w:rsidRPr="001531CD" w:rsidRDefault="00CF626A" w:rsidP="0034445B">
      <w:pPr>
        <w:pStyle w:val="1"/>
        <w:spacing w:after="80"/>
      </w:pPr>
      <w:r w:rsidRPr="001531CD">
        <w:t>2.</w:t>
      </w:r>
      <w:r w:rsidRPr="001531CD">
        <w:tab/>
        <w:t>the rate of interest;</w:t>
      </w:r>
    </w:p>
    <w:p w14:paraId="497A598C" w14:textId="77777777" w:rsidR="00CF626A" w:rsidRPr="001531CD" w:rsidRDefault="00CF626A" w:rsidP="0034445B">
      <w:pPr>
        <w:pStyle w:val="1"/>
        <w:spacing w:after="80"/>
      </w:pPr>
      <w:r w:rsidRPr="001531CD">
        <w:t>3.</w:t>
      </w:r>
      <w:r w:rsidRPr="001531CD">
        <w:tab/>
        <w:t>the repayment schedule;</w:t>
      </w:r>
    </w:p>
    <w:p w14:paraId="75CA3A2E" w14:textId="77777777" w:rsidR="00CF626A" w:rsidRPr="001531CD" w:rsidRDefault="00CF626A" w:rsidP="0034445B">
      <w:pPr>
        <w:pStyle w:val="1"/>
        <w:spacing w:after="80"/>
      </w:pPr>
      <w:r w:rsidRPr="001531CD">
        <w:t>4.</w:t>
      </w:r>
      <w:r w:rsidRPr="001531CD">
        <w:tab/>
        <w:t>description of real property and all equipment and/or furnishings to be included in the security;</w:t>
      </w:r>
    </w:p>
    <w:p w14:paraId="6A26ED3F" w14:textId="77777777" w:rsidR="00CF626A" w:rsidRPr="001531CD" w:rsidRDefault="00CF626A" w:rsidP="0034445B">
      <w:pPr>
        <w:pStyle w:val="1"/>
        <w:spacing w:after="80"/>
      </w:pPr>
      <w:r w:rsidRPr="001531CD">
        <w:t>5.</w:t>
      </w:r>
      <w:r w:rsidRPr="001531CD">
        <w:tab/>
        <w:t>provision for executory process;</w:t>
      </w:r>
    </w:p>
    <w:p w14:paraId="72687183" w14:textId="77777777" w:rsidR="00CF626A" w:rsidRPr="001531CD" w:rsidRDefault="00CF626A" w:rsidP="0034445B">
      <w:pPr>
        <w:pStyle w:val="1"/>
        <w:spacing w:after="80"/>
      </w:pPr>
      <w:r w:rsidRPr="001531CD">
        <w:lastRenderedPageBreak/>
        <w:t>6.</w:t>
      </w:r>
      <w:r w:rsidRPr="001531CD">
        <w:tab/>
        <w:t>provision for payment of all costs of foreclosure, including attorney's fees at 25 percent of the principal balance and interest accrued at foreclosure;</w:t>
      </w:r>
    </w:p>
    <w:p w14:paraId="2BD79073" w14:textId="77777777" w:rsidR="00CF626A" w:rsidRPr="001531CD" w:rsidRDefault="00CF626A">
      <w:pPr>
        <w:pStyle w:val="1"/>
      </w:pPr>
      <w:r w:rsidRPr="001531CD">
        <w:t>7.</w:t>
      </w:r>
      <w:r w:rsidRPr="001531CD">
        <w:tab/>
        <w:t>authorization for the addition to the principal balance of the amount of any taxes and/or insurance premiums paid by the market commission, upon failure of the mortgagee to pay such amounts when due, to protect the security position of the market commission.</w:t>
      </w:r>
    </w:p>
    <w:p w14:paraId="07CD47F3" w14:textId="77777777" w:rsidR="00CF626A" w:rsidRPr="001531CD" w:rsidRDefault="00CF626A">
      <w:pPr>
        <w:pStyle w:val="A"/>
      </w:pPr>
      <w:r w:rsidRPr="001531CD">
        <w:t>L.</w:t>
      </w:r>
      <w:r w:rsidRPr="001531CD">
        <w:tab/>
        <w:t>On the loan closing date, in the case of participation loans the proceeds for which are paid direct to the bank or other lending institution, the borrower shall provide a participation certificate executed by the bank or other lending institution, payable to the State Market Commission, setting forth in full the terms and conditions under which the commission agrees to such participation, the security pledged for repayment, and the time within which the loan shall be liquidated.</w:t>
      </w:r>
    </w:p>
    <w:p w14:paraId="694DE348" w14:textId="77777777" w:rsidR="00CF626A" w:rsidRPr="001531CD" w:rsidRDefault="00CF626A">
      <w:pPr>
        <w:pStyle w:val="A"/>
      </w:pPr>
      <w:r w:rsidRPr="001531CD">
        <w:t>M.</w:t>
      </w:r>
      <w:r w:rsidRPr="001531CD">
        <w:tab/>
        <w:t>On or before the loan closing date, in the case of a loan guaranty, the borrower must pay to the State Market Commission an amount equal to 1 percent of the amount guaranteed by the State Market Commission, which payment shall be deposited in the Market Loss Fund.</w:t>
      </w:r>
    </w:p>
    <w:p w14:paraId="6C152F39" w14:textId="77777777" w:rsidR="00CF626A" w:rsidRPr="001531CD" w:rsidRDefault="00CF626A">
      <w:pPr>
        <w:pStyle w:val="A"/>
      </w:pPr>
      <w:r w:rsidRPr="001531CD">
        <w:t>N.</w:t>
      </w:r>
      <w:r w:rsidRPr="001531CD">
        <w:tab/>
        <w:t>In the case of all direct loans and participation loans paid directly to the borrower, the individual borrower and/or all partners of a partnership shall personally endorse the note securing the first or second mortgage.</w:t>
      </w:r>
    </w:p>
    <w:p w14:paraId="03C19765" w14:textId="77777777" w:rsidR="00CF626A" w:rsidRPr="001531CD" w:rsidRDefault="00CF626A">
      <w:pPr>
        <w:pStyle w:val="A"/>
      </w:pPr>
      <w:r w:rsidRPr="001531CD">
        <w:t>O.</w:t>
      </w:r>
      <w:r w:rsidRPr="001531CD">
        <w:tab/>
        <w:t>In the case of all direct loans and participation loans paid directly to the borrower, all members of the board of directors, by whatever name known, of the corporation or cooperative association shall personally endorse the note, in solido, securing the first or second mortgage.</w:t>
      </w:r>
    </w:p>
    <w:p w14:paraId="34D9B092" w14:textId="77777777" w:rsidR="00CF626A" w:rsidRPr="001531CD" w:rsidRDefault="00CF626A">
      <w:pPr>
        <w:pStyle w:val="A"/>
      </w:pPr>
      <w:r w:rsidRPr="001531CD">
        <w:t>P.</w:t>
      </w:r>
      <w:r w:rsidRPr="001531CD">
        <w:tab/>
        <w:t>In the case of a loan guaranty, the borrower must provide for the market commission file record a copy of the note and the mortgage payable to the lending institution and any other data deemed necessary by the market commission staff.</w:t>
      </w:r>
    </w:p>
    <w:p w14:paraId="1E579154" w14:textId="77777777" w:rsidR="00CF626A" w:rsidRPr="001531CD" w:rsidRDefault="00CF626A">
      <w:pPr>
        <w:pStyle w:val="A"/>
      </w:pPr>
      <w:r w:rsidRPr="001531CD">
        <w:t>Q.</w:t>
      </w:r>
      <w:r w:rsidRPr="001531CD">
        <w:tab/>
        <w:t>The State Market Commission shall authorize the setting of a loan closing date and the disbursement of loan proceeds upon presentation of all information required in §111.</w:t>
      </w:r>
    </w:p>
    <w:p w14:paraId="206F1783" w14:textId="77777777" w:rsidR="00CF626A" w:rsidRPr="001531CD" w:rsidRDefault="00CF626A">
      <w:pPr>
        <w:pStyle w:val="A"/>
      </w:pPr>
      <w:r w:rsidRPr="001531CD">
        <w:t>R.</w:t>
      </w:r>
      <w:r w:rsidRPr="001531CD">
        <w:tab/>
        <w:t>The commissioner of agriculture, or his designee, as official representative of the State Market Commission, shall execute all necessary legal instruments at the loan closing.</w:t>
      </w:r>
    </w:p>
    <w:p w14:paraId="60E5C7D1" w14:textId="77777777" w:rsidR="00CF626A" w:rsidRPr="001531CD" w:rsidRDefault="00CF626A">
      <w:pPr>
        <w:pStyle w:val="A"/>
      </w:pPr>
      <w:r w:rsidRPr="001531CD">
        <w:t>S.</w:t>
      </w:r>
      <w:r w:rsidRPr="001531CD">
        <w:tab/>
        <w:t>The loan guaranty agreement shall be executed by the borrower, the lending institution, and the commissioner of agriculture, or his designee, as official representative of the State Market Commission.</w:t>
      </w:r>
    </w:p>
    <w:p w14:paraId="6A2F84D9" w14:textId="77777777" w:rsidR="00CF626A" w:rsidRPr="001531CD" w:rsidRDefault="00CF626A">
      <w:pPr>
        <w:pStyle w:val="AuthorityNote"/>
      </w:pPr>
      <w:r w:rsidRPr="001531CD">
        <w:t>AUTHORITY NOTE:</w:t>
      </w:r>
      <w:r w:rsidRPr="001531CD">
        <w:tab/>
        <w:t>Promulgated in accordance with R.S. 3:407, R.S. 3:413 and R.S. 3:404.</w:t>
      </w:r>
    </w:p>
    <w:p w14:paraId="3C087690" w14:textId="77777777" w:rsidR="00CF626A" w:rsidRPr="001531CD" w:rsidRDefault="00CF626A">
      <w:pPr>
        <w:pStyle w:val="HistoricalNote"/>
      </w:pPr>
      <w:r w:rsidRPr="001531CD">
        <w:t>HISTORICAL NOTE:</w:t>
      </w:r>
      <w:r w:rsidRPr="001531CD">
        <w:tab/>
        <w:t>Promulgated by the Department of Agriculture, Market Commission, LR 6:254 (June 1980).</w:t>
      </w:r>
    </w:p>
    <w:p w14:paraId="2BB94436" w14:textId="77777777" w:rsidR="00CF626A" w:rsidRPr="001531CD" w:rsidRDefault="00CF626A">
      <w:pPr>
        <w:pStyle w:val="Section"/>
      </w:pPr>
      <w:bookmarkStart w:id="550" w:name="_Toc256754308"/>
      <w:bookmarkStart w:id="551" w:name="_Toc224818542"/>
      <w:r w:rsidRPr="001531CD">
        <w:t>§113.</w:t>
      </w:r>
      <w:r w:rsidRPr="001531CD">
        <w:tab/>
        <w:t>Title Opinion</w:t>
      </w:r>
      <w:bookmarkEnd w:id="550"/>
      <w:bookmarkEnd w:id="551"/>
    </w:p>
    <w:p w14:paraId="7D7A938C" w14:textId="77777777" w:rsidR="00CF626A" w:rsidRPr="001531CD" w:rsidRDefault="00CF626A">
      <w:pPr>
        <w:pStyle w:val="A"/>
      </w:pPr>
      <w:r w:rsidRPr="001531CD">
        <w:t>A.</w:t>
      </w:r>
      <w:r w:rsidRPr="001531CD">
        <w:tab/>
        <w:t xml:space="preserve">The State Market Commission shall develop and maintain for public examination at any time a listing of </w:t>
      </w:r>
      <w:r w:rsidRPr="001531CD">
        <w:t>attorneys whose title opinions will be acceptable to the market commission.</w:t>
      </w:r>
    </w:p>
    <w:p w14:paraId="627B4A15" w14:textId="77777777" w:rsidR="00CF626A" w:rsidRPr="001531CD" w:rsidRDefault="00CF626A">
      <w:pPr>
        <w:pStyle w:val="A"/>
      </w:pPr>
      <w:r w:rsidRPr="001531CD">
        <w:t>B.</w:t>
      </w:r>
      <w:r w:rsidRPr="001531CD">
        <w:tab/>
        <w:t>In order to have his or her name included on the State Market Commission Listing of Approved Attorneys, an applicant shall submit the following information:</w:t>
      </w:r>
    </w:p>
    <w:p w14:paraId="2ED5FAF2" w14:textId="77777777" w:rsidR="00CF626A" w:rsidRPr="001531CD" w:rsidRDefault="00CF626A">
      <w:pPr>
        <w:pStyle w:val="1"/>
      </w:pPr>
      <w:r w:rsidRPr="001531CD">
        <w:t>1.</w:t>
      </w:r>
      <w:r w:rsidRPr="001531CD">
        <w:tab/>
        <w:t xml:space="preserve">a </w:t>
      </w:r>
      <w:r w:rsidR="00D43CAC" w:rsidRPr="001531CD">
        <w:t>résumé</w:t>
      </w:r>
      <w:r w:rsidRPr="001531CD">
        <w:t xml:space="preserve"> of his or her experience in the practice of real estate law;</w:t>
      </w:r>
    </w:p>
    <w:p w14:paraId="6208DE4B" w14:textId="77777777" w:rsidR="00CF626A" w:rsidRPr="001531CD" w:rsidRDefault="00CF626A">
      <w:pPr>
        <w:pStyle w:val="1"/>
      </w:pPr>
      <w:r w:rsidRPr="001531CD">
        <w:t>2.</w:t>
      </w:r>
      <w:r w:rsidRPr="001531CD">
        <w:tab/>
        <w:t>a list of three or more attorneys who are familiar with his or her practice in real estate law who may be contacted for reference.</w:t>
      </w:r>
    </w:p>
    <w:p w14:paraId="0944CEEC" w14:textId="77777777" w:rsidR="00CF626A" w:rsidRPr="001531CD" w:rsidRDefault="00CF626A">
      <w:pPr>
        <w:pStyle w:val="A"/>
      </w:pPr>
      <w:r w:rsidRPr="001531CD">
        <w:t>C.</w:t>
      </w:r>
      <w:r w:rsidRPr="001531CD">
        <w:tab/>
        <w:t>Minimum requirements for approval of attorneys providing title opinions shall be as follows:</w:t>
      </w:r>
    </w:p>
    <w:p w14:paraId="2FC2E7E3" w14:textId="77777777" w:rsidR="00CF626A" w:rsidRPr="001531CD" w:rsidRDefault="00CF626A">
      <w:pPr>
        <w:pStyle w:val="1"/>
      </w:pPr>
      <w:r w:rsidRPr="001531CD">
        <w:t>1.</w:t>
      </w:r>
      <w:r w:rsidRPr="001531CD">
        <w:tab/>
        <w:t>one or more years since admission to the bar;</w:t>
      </w:r>
    </w:p>
    <w:p w14:paraId="6346B320" w14:textId="77777777" w:rsidR="00CF626A" w:rsidRPr="001531CD" w:rsidRDefault="00CF626A">
      <w:pPr>
        <w:pStyle w:val="1"/>
      </w:pPr>
      <w:r w:rsidRPr="001531CD">
        <w:t>2.</w:t>
      </w:r>
      <w:r w:rsidRPr="001531CD">
        <w:tab/>
        <w:t>a minimum of 25 percent of the attorney's practice devoted to real estate matters;</w:t>
      </w:r>
    </w:p>
    <w:p w14:paraId="2A52AD4A" w14:textId="77777777" w:rsidR="00CF626A" w:rsidRPr="001531CD" w:rsidRDefault="00CF626A">
      <w:pPr>
        <w:pStyle w:val="1"/>
      </w:pPr>
      <w:r w:rsidRPr="001531CD">
        <w:t>3.</w:t>
      </w:r>
      <w:r w:rsidRPr="001531CD">
        <w:tab/>
        <w:t>at least 25 prior real estate closings and/or title opinions;</w:t>
      </w:r>
    </w:p>
    <w:p w14:paraId="40CEC17B" w14:textId="77777777" w:rsidR="00CF626A" w:rsidRPr="001531CD" w:rsidRDefault="00CF626A">
      <w:pPr>
        <w:pStyle w:val="1"/>
      </w:pPr>
      <w:r w:rsidRPr="001531CD">
        <w:t>4.</w:t>
      </w:r>
      <w:r w:rsidRPr="001531CD">
        <w:tab/>
        <w:t>a favorable recommendation from the attorneys given as reference;</w:t>
      </w:r>
    </w:p>
    <w:p w14:paraId="56E15E1B" w14:textId="77777777" w:rsidR="00CF626A" w:rsidRPr="001531CD" w:rsidRDefault="00CF626A">
      <w:pPr>
        <w:pStyle w:val="1"/>
      </w:pPr>
      <w:r w:rsidRPr="001531CD">
        <w:t>5.</w:t>
      </w:r>
      <w:r w:rsidRPr="001531CD">
        <w:tab/>
        <w:t>favorable recommendation from three or more lending institutions, savings and loan associations, finance companies, the Small Business Administration, the Farmers Home Administration, the Production Credit Association, the Federal Housing Authority, and other similar organizations to whom the attorney has rendered title opinion letters on property.</w:t>
      </w:r>
    </w:p>
    <w:p w14:paraId="1EE40428" w14:textId="77777777" w:rsidR="00CF626A" w:rsidRPr="001531CD" w:rsidRDefault="00CF626A">
      <w:pPr>
        <w:pStyle w:val="A"/>
      </w:pPr>
      <w:r w:rsidRPr="001531CD">
        <w:t>D.</w:t>
      </w:r>
      <w:r w:rsidRPr="001531CD">
        <w:tab/>
        <w:t>The attorney may also provide evidence of prior approval to write title insurance for any title insurance company.</w:t>
      </w:r>
    </w:p>
    <w:p w14:paraId="2C803DE9" w14:textId="77777777" w:rsidR="00CF626A" w:rsidRPr="001531CD" w:rsidRDefault="00CF626A">
      <w:pPr>
        <w:pStyle w:val="A"/>
      </w:pPr>
      <w:r w:rsidRPr="001531CD">
        <w:t>E.</w:t>
      </w:r>
      <w:r w:rsidRPr="001531CD">
        <w:tab/>
        <w:t>Applicants for inclusion on the State Market Commission Listing of Approved Attorneys shall pay a fee of $25 at the time of filing request for inclusion on the list, which fee shall be deposited in the general fund of the state of Louisiana and shall be non-refundable to the applicant regardless of the decision of the market commission with respect to the listing.</w:t>
      </w:r>
    </w:p>
    <w:p w14:paraId="4ED3E325" w14:textId="77777777" w:rsidR="00CF626A" w:rsidRPr="001531CD" w:rsidRDefault="00CF626A">
      <w:pPr>
        <w:pStyle w:val="A"/>
      </w:pPr>
      <w:r w:rsidRPr="001531CD">
        <w:t>F.</w:t>
      </w:r>
      <w:r w:rsidRPr="001531CD">
        <w:tab/>
        <w:t>Any applicant for listing on the State Market Commission Listing of Approved Attorneys who is denied a listing may appeal the decision of the State Market Commission under the general appeals procedures of the State Department of Agriculture.</w:t>
      </w:r>
    </w:p>
    <w:p w14:paraId="31BDD191" w14:textId="77777777" w:rsidR="00CF626A" w:rsidRPr="001531CD" w:rsidRDefault="00CF626A">
      <w:pPr>
        <w:pStyle w:val="A"/>
      </w:pPr>
      <w:r w:rsidRPr="001531CD">
        <w:t>G.</w:t>
      </w:r>
      <w:r w:rsidRPr="001531CD">
        <w:tab/>
        <w:t>Pending development of a comprehensive Listing of Approved Attorneys, the market commission may approve attorneys on an individual basis, but the market commission shall not approve attorneys for title opinions in the absence of all information required under §113.B after November l, 1980.</w:t>
      </w:r>
    </w:p>
    <w:p w14:paraId="5A1D7A52" w14:textId="77777777" w:rsidR="00CF626A" w:rsidRPr="001531CD" w:rsidRDefault="00CF626A">
      <w:pPr>
        <w:pStyle w:val="A"/>
      </w:pPr>
      <w:r w:rsidRPr="001531CD">
        <w:t>H.</w:t>
      </w:r>
      <w:r w:rsidRPr="001531CD">
        <w:tab/>
        <w:t>Applicants for inclusion on the State Market Commission Listing of Approved Attorneys may make application at any time throughout the calendar year, and the names of approved applicants shall be added to the listing immediately upon approval action by the market commission.</w:t>
      </w:r>
    </w:p>
    <w:p w14:paraId="37EA830B" w14:textId="77777777" w:rsidR="00CF626A" w:rsidRPr="001531CD" w:rsidRDefault="00CF626A">
      <w:pPr>
        <w:pStyle w:val="A"/>
      </w:pPr>
      <w:r w:rsidRPr="001531CD">
        <w:lastRenderedPageBreak/>
        <w:t>I.</w:t>
      </w:r>
      <w:r w:rsidRPr="001531CD">
        <w:tab/>
        <w:t>The applicant for a market commission loan shall be responsible for the payment of any fee for the required title opinion.</w:t>
      </w:r>
    </w:p>
    <w:p w14:paraId="3AB1FC03" w14:textId="77777777" w:rsidR="00CF626A" w:rsidRPr="001531CD" w:rsidRDefault="00CF626A">
      <w:pPr>
        <w:pStyle w:val="A"/>
      </w:pPr>
      <w:r w:rsidRPr="001531CD">
        <w:t>J.</w:t>
      </w:r>
      <w:r w:rsidRPr="001531CD">
        <w:tab/>
        <w:t>The listing of any attorney on the State Market Commission Listing of Approved Attorneys shall be valid for a period of two years from the date of the commission's approval.</w:t>
      </w:r>
    </w:p>
    <w:p w14:paraId="591DCFB6" w14:textId="77777777" w:rsidR="00CF626A" w:rsidRPr="001531CD" w:rsidRDefault="00CF626A">
      <w:pPr>
        <w:pStyle w:val="1"/>
      </w:pPr>
      <w:r w:rsidRPr="001531CD">
        <w:t>1.</w:t>
      </w:r>
      <w:r w:rsidRPr="001531CD">
        <w:tab/>
        <w:t>Thirty days prior to the second anniversary of each listing, the market commission staff shall notify the attorney, at the last address furnished by the attorney, of the date on which approval for the listing will terminate.</w:t>
      </w:r>
    </w:p>
    <w:p w14:paraId="67B6640A" w14:textId="77777777" w:rsidR="00CF626A" w:rsidRPr="001531CD" w:rsidRDefault="00CF626A">
      <w:pPr>
        <w:pStyle w:val="1"/>
      </w:pPr>
      <w:r w:rsidRPr="001531CD">
        <w:t>2.</w:t>
      </w:r>
      <w:r w:rsidRPr="001531CD">
        <w:tab/>
        <w:t>The attorney so notified may renew his or her listing for an additional two year period upon payment of a $5 renewal fee without the necessity for submission of the information required in §113.B.</w:t>
      </w:r>
    </w:p>
    <w:p w14:paraId="5B28B530" w14:textId="77777777" w:rsidR="00CF626A" w:rsidRPr="001531CD" w:rsidRDefault="00CF626A">
      <w:pPr>
        <w:pStyle w:val="A"/>
      </w:pPr>
      <w:r w:rsidRPr="001531CD">
        <w:t>K.</w:t>
      </w:r>
      <w:r w:rsidRPr="001531CD">
        <w:tab/>
        <w:t xml:space="preserve">The market commission staff may recommend to the market commission at any time the removal from </w:t>
      </w:r>
      <w:r w:rsidR="00813255" w:rsidRPr="001531CD">
        <w:t>the listing of approved attorneys an</w:t>
      </w:r>
      <w:r w:rsidRPr="001531CD">
        <w:t>y attorney who, in their judgment, should be removed.</w:t>
      </w:r>
    </w:p>
    <w:p w14:paraId="43BBDF4F" w14:textId="77777777" w:rsidR="00CF626A" w:rsidRPr="001531CD" w:rsidRDefault="00CF626A">
      <w:pPr>
        <w:pStyle w:val="A"/>
      </w:pPr>
      <w:r w:rsidRPr="001531CD">
        <w:t>L.</w:t>
      </w:r>
      <w:r w:rsidRPr="001531CD">
        <w:tab/>
        <w:t>Any attorney so removed from the State Market Commission Listing of Approved Attorneys shall be immediately notified in writing of the removal and may appeal such removal under the general appeals procedures of the Department of Agriculture.</w:t>
      </w:r>
    </w:p>
    <w:p w14:paraId="1972B09E" w14:textId="77777777" w:rsidR="00CF626A" w:rsidRPr="001531CD" w:rsidRDefault="00CF626A">
      <w:pPr>
        <w:pStyle w:val="A"/>
      </w:pPr>
      <w:r w:rsidRPr="001531CD">
        <w:t>M.</w:t>
      </w:r>
      <w:r w:rsidRPr="001531CD">
        <w:tab/>
        <w:t xml:space="preserve">Upon request, the State Market Commission shall furnish any applicant or interested citizen a copy of the </w:t>
      </w:r>
      <w:r w:rsidR="00813255" w:rsidRPr="001531CD">
        <w:t>listing of approved attorneys</w:t>
      </w:r>
      <w:r w:rsidRPr="001531CD">
        <w:t>.</w:t>
      </w:r>
    </w:p>
    <w:p w14:paraId="5FEE6BD9" w14:textId="77777777" w:rsidR="00CF626A" w:rsidRPr="001531CD" w:rsidRDefault="00CF626A">
      <w:pPr>
        <w:pStyle w:val="AuthorityNote"/>
      </w:pPr>
      <w:r w:rsidRPr="001531CD">
        <w:t>AUTHORITY NOTE:</w:t>
      </w:r>
      <w:r w:rsidRPr="001531CD">
        <w:tab/>
        <w:t>Promulgated in accordance with R.S. 3:404.</w:t>
      </w:r>
    </w:p>
    <w:p w14:paraId="58AC447D" w14:textId="77777777" w:rsidR="00CF626A" w:rsidRPr="001531CD" w:rsidRDefault="00CF626A">
      <w:pPr>
        <w:pStyle w:val="HistoricalNote"/>
      </w:pPr>
      <w:r w:rsidRPr="001531CD">
        <w:t>HISTORICAL NOTE:</w:t>
      </w:r>
      <w:r w:rsidRPr="001531CD">
        <w:tab/>
        <w:t>Promulgated by the Department of Agriculture, Market Commission, LR 6:255 (June 1980), amended LR 7:261 (May 1981).</w:t>
      </w:r>
    </w:p>
    <w:p w14:paraId="63CC5563" w14:textId="77777777" w:rsidR="00CF626A" w:rsidRPr="001531CD" w:rsidRDefault="00CF626A">
      <w:pPr>
        <w:pStyle w:val="Section"/>
      </w:pPr>
      <w:bookmarkStart w:id="552" w:name="_Toc256754309"/>
      <w:bookmarkStart w:id="553" w:name="_Toc224818543"/>
      <w:r w:rsidRPr="001531CD">
        <w:t>§115.</w:t>
      </w:r>
      <w:r w:rsidRPr="001531CD">
        <w:tab/>
        <w:t>Termination of Approval for Loan</w:t>
      </w:r>
      <w:bookmarkEnd w:id="552"/>
      <w:bookmarkEnd w:id="553"/>
    </w:p>
    <w:p w14:paraId="30F498F9" w14:textId="77777777" w:rsidR="00CF626A" w:rsidRPr="001531CD" w:rsidRDefault="00CF626A">
      <w:pPr>
        <w:pStyle w:val="A"/>
      </w:pPr>
      <w:r w:rsidRPr="001531CD">
        <w:t>A.</w:t>
      </w:r>
      <w:r w:rsidRPr="001531CD">
        <w:tab/>
        <w:t>Loan proceeds shall remain committed, after approval of the loan, for the following periods, which shall begin to run from the date of the State Market Commission approval for the loan:</w:t>
      </w:r>
    </w:p>
    <w:p w14:paraId="329D526A" w14:textId="77777777" w:rsidR="00CF626A" w:rsidRPr="001531CD" w:rsidRDefault="00CF626A">
      <w:pPr>
        <w:pStyle w:val="1"/>
      </w:pPr>
      <w:r w:rsidRPr="001531CD">
        <w:t>1.</w:t>
      </w:r>
      <w:r w:rsidRPr="001531CD">
        <w:tab/>
        <w:t>for new construction and/or expansion of existing facilities ranging from 0 to 50,000 square feet</w:t>
      </w:r>
      <w:r w:rsidR="005B1246" w:rsidRPr="001531CD">
        <w:t>―</w:t>
      </w:r>
      <w:r w:rsidRPr="001531CD">
        <w:t>450 days;</w:t>
      </w:r>
    </w:p>
    <w:p w14:paraId="586F6AB2" w14:textId="77777777" w:rsidR="00CF626A" w:rsidRPr="001531CD" w:rsidRDefault="00CF626A">
      <w:pPr>
        <w:pStyle w:val="1"/>
      </w:pPr>
      <w:r w:rsidRPr="001531CD">
        <w:t>2.</w:t>
      </w:r>
      <w:r w:rsidRPr="001531CD">
        <w:tab/>
        <w:t>for new construction and/or expansion of existing facilities ranging from 50,001 to 100,000 square feet</w:t>
      </w:r>
      <w:r w:rsidR="005B1246" w:rsidRPr="001531CD">
        <w:t>―</w:t>
      </w:r>
      <w:r w:rsidRPr="001531CD">
        <w:t>720 days;</w:t>
      </w:r>
    </w:p>
    <w:p w14:paraId="455D25BA" w14:textId="77777777" w:rsidR="00CF626A" w:rsidRPr="001531CD" w:rsidRDefault="00CF626A">
      <w:pPr>
        <w:pStyle w:val="1"/>
      </w:pPr>
      <w:r w:rsidRPr="001531CD">
        <w:t>3.</w:t>
      </w:r>
      <w:r w:rsidRPr="001531CD">
        <w:tab/>
        <w:t>for new construction and/or expansion of existing facilities in excess of 100,001 square feet</w:t>
      </w:r>
      <w:r w:rsidR="005B1246" w:rsidRPr="001531CD">
        <w:t>―</w:t>
      </w:r>
      <w:r w:rsidRPr="001531CD">
        <w:t>860 days.</w:t>
      </w:r>
    </w:p>
    <w:p w14:paraId="217D1C1A" w14:textId="77777777" w:rsidR="00CF626A" w:rsidRPr="001531CD" w:rsidRDefault="00CF626A">
      <w:pPr>
        <w:pStyle w:val="A"/>
      </w:pPr>
      <w:r w:rsidRPr="001531CD">
        <w:t>B.</w:t>
      </w:r>
      <w:r w:rsidRPr="001531CD">
        <w:tab/>
        <w:t xml:space="preserve">At the expiration of the period of commitment as indicated in §115.A, and in the absence of evidence of completion of all work, approval for the loan shall be terminated by the market commission, provided, however, that approval may be extended on a month-to-month basis by the market commission upon submission of reasons acceptable to the commission for the delay in completion. In the event that the market commission extends the period of time for finalization of the loan beyond the period indicated </w:t>
      </w:r>
      <w:r w:rsidRPr="001531CD">
        <w:t>in §115.A, the market commission shall do so only in open session with adequate explanation for its actions.</w:t>
      </w:r>
    </w:p>
    <w:p w14:paraId="57ABC884" w14:textId="77777777" w:rsidR="00CF626A" w:rsidRPr="001531CD" w:rsidRDefault="00CF626A">
      <w:pPr>
        <w:pStyle w:val="A"/>
      </w:pPr>
      <w:r w:rsidRPr="001531CD">
        <w:t>C.</w:t>
      </w:r>
      <w:r w:rsidRPr="001531CD">
        <w:tab/>
        <w:t>If approval for any loan is terminated as provided in §115.B, the applicant shall be required to provide a complete current loan application in order to be again considered for approval.</w:t>
      </w:r>
    </w:p>
    <w:p w14:paraId="74385D32" w14:textId="77777777" w:rsidR="00CF626A" w:rsidRPr="001531CD" w:rsidRDefault="00CF626A">
      <w:pPr>
        <w:pStyle w:val="AuthorityNote"/>
      </w:pPr>
      <w:r w:rsidRPr="001531CD">
        <w:t>AUTHORITY NOTE:</w:t>
      </w:r>
      <w:r w:rsidRPr="001531CD">
        <w:tab/>
        <w:t>Promulgated in accordance with R.S. 3:407 and R.S. 3:404.</w:t>
      </w:r>
    </w:p>
    <w:p w14:paraId="315C40EC" w14:textId="77777777" w:rsidR="00CF626A" w:rsidRPr="001531CD" w:rsidRDefault="00CF626A">
      <w:pPr>
        <w:pStyle w:val="HistoricalNote"/>
      </w:pPr>
      <w:r w:rsidRPr="001531CD">
        <w:t>HISTORICAL NOTE:</w:t>
      </w:r>
      <w:r w:rsidRPr="001531CD">
        <w:tab/>
        <w:t>Promulgated by the Department of Agriculture, Market Commission, LR 6:256 (June 1980).</w:t>
      </w:r>
    </w:p>
    <w:p w14:paraId="3B337E05" w14:textId="77777777" w:rsidR="00CF626A" w:rsidRPr="001531CD" w:rsidRDefault="00CF626A">
      <w:pPr>
        <w:pStyle w:val="Section"/>
      </w:pPr>
      <w:bookmarkStart w:id="554" w:name="_Toc256754310"/>
      <w:bookmarkStart w:id="555" w:name="_Toc224818544"/>
      <w:r w:rsidRPr="001531CD">
        <w:t>§117.</w:t>
      </w:r>
      <w:r w:rsidRPr="001531CD">
        <w:tab/>
        <w:t>Interest on Market Commission Loans</w:t>
      </w:r>
      <w:bookmarkEnd w:id="554"/>
      <w:bookmarkEnd w:id="555"/>
    </w:p>
    <w:p w14:paraId="417648F4" w14:textId="77777777" w:rsidR="00CF626A" w:rsidRPr="001531CD" w:rsidRDefault="00CF626A">
      <w:pPr>
        <w:pStyle w:val="A"/>
      </w:pPr>
      <w:r w:rsidRPr="001531CD">
        <w:t>A.</w:t>
      </w:r>
      <w:r w:rsidRPr="001531CD">
        <w:tab/>
        <w:t>The State Market Commission shall, at its first regularly scheduled meeting in each calendar year, establish its interest rate for that calendar year.</w:t>
      </w:r>
    </w:p>
    <w:p w14:paraId="71D988E3" w14:textId="77777777" w:rsidR="00CF626A" w:rsidRPr="001531CD" w:rsidRDefault="00CF626A">
      <w:pPr>
        <w:pStyle w:val="A"/>
      </w:pPr>
      <w:r w:rsidRPr="001531CD">
        <w:t>B.</w:t>
      </w:r>
      <w:r w:rsidRPr="001531CD">
        <w:tab/>
        <w:t>The interest rate established by the market commission shall be not less than the average of the rates charged by the Small Business Administration, the Farmers Home Administration, and the Bank of Cooperatives, as required under the provisions of R.S. 3:407(H).</w:t>
      </w:r>
    </w:p>
    <w:p w14:paraId="41655AE9" w14:textId="77777777" w:rsidR="00CF626A" w:rsidRPr="001531CD" w:rsidRDefault="00CF626A">
      <w:pPr>
        <w:pStyle w:val="A"/>
      </w:pPr>
      <w:r w:rsidRPr="001531CD">
        <w:t>C.</w:t>
      </w:r>
      <w:r w:rsidRPr="001531CD">
        <w:tab/>
        <w:t>The interest rate in effect at the time of the loan approval shall govern the interest to be paid on the loan.</w:t>
      </w:r>
    </w:p>
    <w:p w14:paraId="685D6C97" w14:textId="77777777" w:rsidR="00CF626A" w:rsidRPr="001531CD" w:rsidRDefault="00CF626A">
      <w:pPr>
        <w:pStyle w:val="AuthorityNote"/>
      </w:pPr>
      <w:r w:rsidRPr="001531CD">
        <w:t>AUTHORITY NOTE:</w:t>
      </w:r>
      <w:r w:rsidRPr="001531CD">
        <w:tab/>
        <w:t>Promulgated in accordance with R.S. 3:407 and R.S. 3:404.</w:t>
      </w:r>
    </w:p>
    <w:p w14:paraId="631BD5CA" w14:textId="77777777" w:rsidR="00CF626A" w:rsidRPr="001531CD" w:rsidRDefault="00CF626A">
      <w:pPr>
        <w:pStyle w:val="HistoricalNote"/>
      </w:pPr>
      <w:r w:rsidRPr="001531CD">
        <w:t>HISTORICAL NOTE:</w:t>
      </w:r>
      <w:r w:rsidRPr="001531CD">
        <w:tab/>
        <w:t>Promulgated by the Department of Agriculture, Market Commission, LR 6:256 (June 1980).</w:t>
      </w:r>
    </w:p>
    <w:p w14:paraId="3DE586AB" w14:textId="77777777" w:rsidR="00CF626A" w:rsidRPr="001531CD" w:rsidRDefault="00CF626A">
      <w:pPr>
        <w:pStyle w:val="Section"/>
      </w:pPr>
      <w:bookmarkStart w:id="556" w:name="_Toc256754311"/>
      <w:bookmarkStart w:id="557" w:name="_Toc224818545"/>
      <w:r w:rsidRPr="001531CD">
        <w:t>§119.</w:t>
      </w:r>
      <w:r w:rsidRPr="001531CD">
        <w:tab/>
        <w:t>Requirements Subsequent to Disbursement of Loan Proceeds</w:t>
      </w:r>
      <w:bookmarkEnd w:id="556"/>
      <w:bookmarkEnd w:id="557"/>
    </w:p>
    <w:p w14:paraId="296C1142" w14:textId="77777777" w:rsidR="00CF626A" w:rsidRPr="001531CD" w:rsidRDefault="00CF626A">
      <w:pPr>
        <w:pStyle w:val="A"/>
      </w:pPr>
      <w:r w:rsidRPr="001531CD">
        <w:t>A.</w:t>
      </w:r>
      <w:r w:rsidRPr="001531CD">
        <w:tab/>
        <w:t>Each year, on the anniversary of the disbursement of loan proceeds, each loan recipient, whether a direct or participation loan or a loan guaranty, shall provide the following:</w:t>
      </w:r>
    </w:p>
    <w:p w14:paraId="31DEE13A" w14:textId="77777777" w:rsidR="00CF626A" w:rsidRPr="001531CD" w:rsidRDefault="00CF626A">
      <w:pPr>
        <w:pStyle w:val="1"/>
      </w:pPr>
      <w:r w:rsidRPr="001531CD">
        <w:t>1.</w:t>
      </w:r>
      <w:r w:rsidRPr="001531CD">
        <w:tab/>
        <w:t>a listing of all stockholders, with the number of shares held by each, at any time during the previous year;</w:t>
      </w:r>
    </w:p>
    <w:p w14:paraId="4E733627" w14:textId="77777777" w:rsidR="00CF626A" w:rsidRPr="001531CD" w:rsidRDefault="00CF626A">
      <w:pPr>
        <w:pStyle w:val="1"/>
      </w:pPr>
      <w:r w:rsidRPr="001531CD">
        <w:t>2.</w:t>
      </w:r>
      <w:r w:rsidRPr="001531CD">
        <w:tab/>
        <w:t>a statement of its operations, including an analysis of profits and losses;</w:t>
      </w:r>
    </w:p>
    <w:p w14:paraId="34F145F8" w14:textId="77777777" w:rsidR="00CF626A" w:rsidRPr="001531CD" w:rsidRDefault="00CF626A">
      <w:pPr>
        <w:pStyle w:val="1"/>
      </w:pPr>
      <w:r w:rsidRPr="001531CD">
        <w:t>3.</w:t>
      </w:r>
      <w:r w:rsidRPr="001531CD">
        <w:tab/>
        <w:t>a statement of financial condition, including but not limited to a balance sheet for the most recently completed fiscal year of the firm, partnership, corporation, or association;</w:t>
      </w:r>
    </w:p>
    <w:p w14:paraId="2715FFBB" w14:textId="77777777" w:rsidR="00CF626A" w:rsidRPr="001531CD" w:rsidRDefault="00CF626A">
      <w:pPr>
        <w:pStyle w:val="1"/>
      </w:pPr>
      <w:r w:rsidRPr="001531CD">
        <w:t>4.</w:t>
      </w:r>
      <w:r w:rsidRPr="001531CD">
        <w:tab/>
        <w:t>a personal financial statement of all principals, including all members of the boards of directors of corporations and cooperatives, who have endorsed in solido on the note or are liable for repayment of the loan.</w:t>
      </w:r>
    </w:p>
    <w:p w14:paraId="12006B19" w14:textId="77777777" w:rsidR="00CF626A" w:rsidRPr="001531CD" w:rsidRDefault="00CF626A">
      <w:pPr>
        <w:pStyle w:val="A"/>
      </w:pPr>
      <w:r w:rsidRPr="001531CD">
        <w:t>B.</w:t>
      </w:r>
      <w:r w:rsidRPr="001531CD">
        <w:tab/>
        <w:t>Each recipient of a loan guaranty shall authorize the bank or other lending institution holding the loan record to file quarterly statements with the market commission showing the principal balance remaining outstanding and any defaults in payment.</w:t>
      </w:r>
    </w:p>
    <w:p w14:paraId="35196078" w14:textId="77777777" w:rsidR="00CF626A" w:rsidRPr="001531CD" w:rsidRDefault="00CF626A">
      <w:pPr>
        <w:pStyle w:val="AuthorityNote"/>
      </w:pPr>
      <w:r w:rsidRPr="001531CD">
        <w:t>AUTHORITY NOTE:</w:t>
      </w:r>
      <w:r w:rsidRPr="001531CD">
        <w:tab/>
        <w:t>Promulgated in accordance with R.S. 3:404.</w:t>
      </w:r>
    </w:p>
    <w:p w14:paraId="2996B2E3" w14:textId="77777777" w:rsidR="00CF626A" w:rsidRPr="001531CD" w:rsidRDefault="00CF626A">
      <w:pPr>
        <w:pStyle w:val="HistoricalNote"/>
      </w:pPr>
      <w:r w:rsidRPr="001531CD">
        <w:t>HISTORICAL NOTE:</w:t>
      </w:r>
      <w:r w:rsidRPr="001531CD">
        <w:tab/>
        <w:t>Promulgated by the Department of Agriculture, Market Commission, LR 6:256 (June 1980).</w:t>
      </w:r>
    </w:p>
    <w:p w14:paraId="15597965" w14:textId="77777777" w:rsidR="00CF626A" w:rsidRPr="001531CD" w:rsidRDefault="00CF626A">
      <w:pPr>
        <w:pStyle w:val="Section"/>
      </w:pPr>
      <w:bookmarkStart w:id="558" w:name="_Toc256754312"/>
      <w:bookmarkStart w:id="559" w:name="_Toc224818546"/>
      <w:r w:rsidRPr="001531CD">
        <w:lastRenderedPageBreak/>
        <w:t>§121.</w:t>
      </w:r>
      <w:r w:rsidRPr="001531CD">
        <w:tab/>
        <w:t>Balloon Notes and Rescheduling of Payments</w:t>
      </w:r>
      <w:bookmarkEnd w:id="558"/>
      <w:bookmarkEnd w:id="559"/>
    </w:p>
    <w:p w14:paraId="2492E3BF" w14:textId="77777777" w:rsidR="00CF626A" w:rsidRPr="001531CD" w:rsidRDefault="00CF626A">
      <w:pPr>
        <w:pStyle w:val="A"/>
      </w:pPr>
      <w:r w:rsidRPr="001531CD">
        <w:t>A.</w:t>
      </w:r>
      <w:r w:rsidRPr="001531CD">
        <w:tab/>
        <w:t>The market commission shall not approve a final balloon note payment in excess of 75 percent of the total amount of the original loan.</w:t>
      </w:r>
    </w:p>
    <w:p w14:paraId="3237D7E0" w14:textId="77777777" w:rsidR="00CF626A" w:rsidRPr="001531CD" w:rsidRDefault="00CF626A">
      <w:pPr>
        <w:pStyle w:val="A"/>
      </w:pPr>
      <w:r w:rsidRPr="001531CD">
        <w:t>B.</w:t>
      </w:r>
      <w:r w:rsidRPr="001531CD">
        <w:tab/>
        <w:t>If the State Market Commission votes in open session to approve rescheduling of a balloon note, such re-scheduled payments shall be financed at the interest rate prevailing at the time of renewal.</w:t>
      </w:r>
    </w:p>
    <w:p w14:paraId="23617CC6" w14:textId="77777777" w:rsidR="00CF626A" w:rsidRPr="001531CD" w:rsidRDefault="00CF626A">
      <w:pPr>
        <w:pStyle w:val="A"/>
      </w:pPr>
      <w:r w:rsidRPr="001531CD">
        <w:t>C.</w:t>
      </w:r>
      <w:r w:rsidRPr="001531CD">
        <w:tab/>
        <w:t>No payment schedule shall be extended to more than a total of 15 years from date of the final loan disbursement to date of the final payment under the loan.</w:t>
      </w:r>
    </w:p>
    <w:p w14:paraId="6DFC8DF2" w14:textId="77777777" w:rsidR="00CF626A" w:rsidRPr="001531CD" w:rsidRDefault="00CF626A">
      <w:pPr>
        <w:pStyle w:val="A"/>
      </w:pPr>
      <w:r w:rsidRPr="001531CD">
        <w:t>D.</w:t>
      </w:r>
      <w:r w:rsidRPr="001531CD">
        <w:tab/>
        <w:t>Any balloon note shall be personally endorsed by the individual, by all partners if the note is for a partnership, and/or by all members of the board of directors if the note is for a cooperative association or a corporation.</w:t>
      </w:r>
    </w:p>
    <w:p w14:paraId="0CDE6AD6" w14:textId="77777777" w:rsidR="00CF626A" w:rsidRPr="001531CD" w:rsidRDefault="00CF626A">
      <w:pPr>
        <w:pStyle w:val="A"/>
      </w:pPr>
      <w:r w:rsidRPr="001531CD">
        <w:t>E.</w:t>
      </w:r>
      <w:r w:rsidRPr="001531CD">
        <w:tab/>
        <w:t>Any request for a renewal of a balloon payment shall be accompanied by:</w:t>
      </w:r>
    </w:p>
    <w:p w14:paraId="4BB55933" w14:textId="77777777" w:rsidR="00CF626A" w:rsidRPr="001531CD" w:rsidRDefault="00CF626A">
      <w:pPr>
        <w:pStyle w:val="1"/>
      </w:pPr>
      <w:r w:rsidRPr="001531CD">
        <w:t>1.</w:t>
      </w:r>
      <w:r w:rsidRPr="001531CD">
        <w:tab/>
        <w:t>a statement of current financial condition, including profit and loss statement and balance sheet for the most recent full year of operation, prepared in accordance with generally accepted accounting principles;</w:t>
      </w:r>
    </w:p>
    <w:p w14:paraId="072BE1FB" w14:textId="77777777" w:rsidR="00CF626A" w:rsidRPr="001531CD" w:rsidRDefault="00CF626A">
      <w:pPr>
        <w:pStyle w:val="1"/>
      </w:pPr>
      <w:r w:rsidRPr="001531CD">
        <w:t>2.</w:t>
      </w:r>
      <w:r w:rsidRPr="001531CD">
        <w:tab/>
        <w:t>names and addresses of all stockholders, and the number of shares held by each;</w:t>
      </w:r>
    </w:p>
    <w:p w14:paraId="3989159A" w14:textId="77777777" w:rsidR="00CF626A" w:rsidRPr="001531CD" w:rsidRDefault="00CF626A">
      <w:pPr>
        <w:pStyle w:val="1"/>
      </w:pPr>
      <w:r w:rsidRPr="001531CD">
        <w:t>3.</w:t>
      </w:r>
      <w:r w:rsidRPr="001531CD">
        <w:tab/>
        <w:t>detailed explanation of the reason for the requested renewal.</w:t>
      </w:r>
    </w:p>
    <w:p w14:paraId="5B0E905B" w14:textId="77777777" w:rsidR="00CF626A" w:rsidRPr="001531CD" w:rsidRDefault="00CF626A">
      <w:pPr>
        <w:pStyle w:val="A"/>
      </w:pPr>
      <w:r w:rsidRPr="001531CD">
        <w:t>F.</w:t>
      </w:r>
      <w:r w:rsidRPr="001531CD">
        <w:tab/>
        <w:t>Regularly scheduled payments of principal and/or interest shall not be deferred for more than three months; such unpaid payments shall not be added to an existing balloon note if such increase will result in a balloon payment amounting to more than 75 percent of the original amount of the loan.</w:t>
      </w:r>
    </w:p>
    <w:p w14:paraId="58C4E3F9" w14:textId="77777777" w:rsidR="00CF626A" w:rsidRPr="001531CD" w:rsidRDefault="00CF626A">
      <w:pPr>
        <w:pStyle w:val="AuthorityNote"/>
      </w:pPr>
      <w:r w:rsidRPr="001531CD">
        <w:t>AUTHORITY NOTE:</w:t>
      </w:r>
      <w:r w:rsidRPr="001531CD">
        <w:tab/>
        <w:t>Promulgated in accordance with R.S. 3:407 and R.S. 3:404.</w:t>
      </w:r>
    </w:p>
    <w:p w14:paraId="146ABD66" w14:textId="77777777" w:rsidR="00CF626A" w:rsidRPr="001531CD" w:rsidRDefault="00CF626A">
      <w:pPr>
        <w:pStyle w:val="HistoricalNote"/>
      </w:pPr>
      <w:r w:rsidRPr="001531CD">
        <w:t>HISTORICAL NOTE:</w:t>
      </w:r>
      <w:r w:rsidRPr="001531CD">
        <w:tab/>
        <w:t>Promulgated by the Department of Agriculture, Market Commission, LR 6:256 (June 1980).</w:t>
      </w:r>
    </w:p>
    <w:p w14:paraId="5DF0A1C8" w14:textId="77777777" w:rsidR="00CF626A" w:rsidRPr="001531CD" w:rsidRDefault="00CF626A">
      <w:pPr>
        <w:pStyle w:val="Section"/>
      </w:pPr>
      <w:bookmarkStart w:id="560" w:name="_Toc256754313"/>
      <w:bookmarkStart w:id="561" w:name="_Toc224818547"/>
      <w:r w:rsidRPr="001531CD">
        <w:t>§123.</w:t>
      </w:r>
      <w:r w:rsidRPr="001531CD">
        <w:tab/>
        <w:t>Delinquency and Foreclosure</w:t>
      </w:r>
      <w:bookmarkEnd w:id="560"/>
      <w:bookmarkEnd w:id="561"/>
    </w:p>
    <w:p w14:paraId="737B6A8B" w14:textId="77777777" w:rsidR="00CF626A" w:rsidRPr="001531CD" w:rsidRDefault="00CF626A">
      <w:pPr>
        <w:pStyle w:val="A"/>
      </w:pPr>
      <w:r w:rsidRPr="001531CD">
        <w:t>A.</w:t>
      </w:r>
      <w:r w:rsidRPr="001531CD">
        <w:tab/>
        <w:t>Any unpaid principal and/or interest shall be considered delinquent on the tenth day following the due date.</w:t>
      </w:r>
    </w:p>
    <w:p w14:paraId="60B33E1F" w14:textId="77777777" w:rsidR="00CF626A" w:rsidRPr="001531CD" w:rsidRDefault="00CF626A" w:rsidP="0034445B">
      <w:pPr>
        <w:pStyle w:val="A"/>
        <w:spacing w:after="80"/>
      </w:pPr>
      <w:r w:rsidRPr="001531CD">
        <w:t>B.</w:t>
      </w:r>
      <w:r w:rsidRPr="001531CD">
        <w:tab/>
        <w:t>After the tenth day following the due date, a $15 delinquency fee shall be levied. Interest at the same rate as applied to the loan shall be charged on any unpaid delinquency fee from the date of the assessment until paid. No loan shall be closed out if there are any outstanding unpaid delinquency fees. All moneys collected as delinquency fees shall be deposited into the market commission revolving fund.</w:t>
      </w:r>
    </w:p>
    <w:p w14:paraId="57630D31" w14:textId="77777777" w:rsidR="00CF626A" w:rsidRPr="001531CD" w:rsidRDefault="00CF626A" w:rsidP="0034445B">
      <w:pPr>
        <w:pStyle w:val="A"/>
        <w:spacing w:after="80"/>
      </w:pPr>
      <w:r w:rsidRPr="001531CD">
        <w:t>C.</w:t>
      </w:r>
      <w:r w:rsidRPr="001531CD">
        <w:tab/>
        <w:t>Routine written notification of delinquency shall be sent to the borrower on the thirtieth day following the due date.</w:t>
      </w:r>
    </w:p>
    <w:p w14:paraId="0DFDFA27" w14:textId="77777777" w:rsidR="00CF626A" w:rsidRPr="001531CD" w:rsidRDefault="00CF626A" w:rsidP="0034445B">
      <w:pPr>
        <w:pStyle w:val="A"/>
        <w:spacing w:after="80"/>
      </w:pPr>
      <w:r w:rsidRPr="001531CD">
        <w:t>D.</w:t>
      </w:r>
      <w:r w:rsidRPr="001531CD">
        <w:tab/>
        <w:t>In the absence of response to the 30-day notification, the market commission staff shall send a specific written notification concerning the delinquency on the sixtieth day following the due date, which notification shall be sent by certified mail, return receipt requested.</w:t>
      </w:r>
    </w:p>
    <w:p w14:paraId="63726C7A" w14:textId="77777777" w:rsidR="00CF626A" w:rsidRPr="001531CD" w:rsidRDefault="00CF626A" w:rsidP="0034445B">
      <w:pPr>
        <w:pStyle w:val="A"/>
        <w:spacing w:after="80"/>
      </w:pPr>
      <w:r w:rsidRPr="001531CD">
        <w:t>E.</w:t>
      </w:r>
      <w:r w:rsidRPr="001531CD">
        <w:tab/>
        <w:t>In the absence of response to the 60-day notification, the delinquency shall be reported to the market commission at the next regularly scheduled commission meeting, and the market commission shall officially place the borrower on the list of delinquent loans.</w:t>
      </w:r>
    </w:p>
    <w:p w14:paraId="37B87B02" w14:textId="77777777" w:rsidR="00CF626A" w:rsidRPr="001531CD" w:rsidRDefault="00CF626A" w:rsidP="0034445B">
      <w:pPr>
        <w:pStyle w:val="A"/>
        <w:spacing w:after="80"/>
      </w:pPr>
      <w:r w:rsidRPr="001531CD">
        <w:t>F.</w:t>
      </w:r>
      <w:r w:rsidRPr="001531CD">
        <w:tab/>
        <w:t>Subsequent to notification to the market commission, the staff, unless otherwise directed by the commission, shall forward a demand letter, again by certified mail with return receipt requested, informing the borrower that the remaining balance is advanced, together with all interest accrued, and the full sum of the obligation is due and payable to the market commission.</w:t>
      </w:r>
    </w:p>
    <w:p w14:paraId="3B53CAC7" w14:textId="77777777" w:rsidR="00CF626A" w:rsidRPr="001531CD" w:rsidRDefault="00CF626A" w:rsidP="0034445B">
      <w:pPr>
        <w:pStyle w:val="A"/>
        <w:spacing w:after="80"/>
      </w:pPr>
      <w:r w:rsidRPr="001531CD">
        <w:t>G.</w:t>
      </w:r>
      <w:r w:rsidRPr="001531CD">
        <w:tab/>
        <w:t>In the absence of satisfactory arrangements for repayment of the delinquency thereafter, the market commission shall initiate foreclosure proceedings on the ninetieth day following the due date of the unpaid principal and interest.</w:t>
      </w:r>
    </w:p>
    <w:p w14:paraId="1896FFF9" w14:textId="77777777" w:rsidR="00CF626A" w:rsidRPr="001531CD" w:rsidRDefault="00CF626A" w:rsidP="0034445B">
      <w:pPr>
        <w:pStyle w:val="A"/>
        <w:spacing w:after="80"/>
      </w:pPr>
      <w:r w:rsidRPr="001531CD">
        <w:t>H.</w:t>
      </w:r>
      <w:r w:rsidRPr="001531CD">
        <w:tab/>
        <w:t>The market commission shall secure a judgement and foreclosure on the collateral securing the loan and, if deemed in the best interest of the market commission, the assets of all personal endorsers.</w:t>
      </w:r>
    </w:p>
    <w:p w14:paraId="73E6B877" w14:textId="77777777" w:rsidR="00CF626A" w:rsidRPr="001531CD" w:rsidRDefault="00CF626A" w:rsidP="0034445B">
      <w:pPr>
        <w:pStyle w:val="A"/>
        <w:spacing w:after="80"/>
      </w:pPr>
      <w:r w:rsidRPr="001531CD">
        <w:t>I.</w:t>
      </w:r>
      <w:r w:rsidRPr="001531CD">
        <w:tab/>
        <w:t>The market commission staff shall select an appraiser from the State Market Commission Listing of Approved Appraisers to do any appraisal necessary for foreclosure.</w:t>
      </w:r>
    </w:p>
    <w:p w14:paraId="753F923B" w14:textId="77777777" w:rsidR="00CF626A" w:rsidRPr="001531CD" w:rsidRDefault="00CF626A">
      <w:pPr>
        <w:pStyle w:val="AuthorityNote"/>
      </w:pPr>
      <w:r w:rsidRPr="001531CD">
        <w:t>AUTHORITY NOTE:</w:t>
      </w:r>
      <w:r w:rsidRPr="001531CD">
        <w:tab/>
        <w:t>Promulgated in accordance with R.S. 3:413 and R.S. 3:404.</w:t>
      </w:r>
    </w:p>
    <w:p w14:paraId="22D9DBF2" w14:textId="77777777" w:rsidR="00CF626A" w:rsidRPr="001531CD" w:rsidRDefault="00CF626A">
      <w:pPr>
        <w:pStyle w:val="HistoricalNote"/>
      </w:pPr>
      <w:r w:rsidRPr="001531CD">
        <w:t>HISTORICAL NOTE:</w:t>
      </w:r>
      <w:r w:rsidRPr="001531CD">
        <w:tab/>
        <w:t>Promulgated by the Department of Agriculture, Market Commission, LR 6:256 (June 1980).</w:t>
      </w:r>
    </w:p>
    <w:p w14:paraId="1AD785CB" w14:textId="77777777" w:rsidR="00CF626A" w:rsidRPr="001531CD" w:rsidRDefault="00CF626A">
      <w:pPr>
        <w:pStyle w:val="Section"/>
      </w:pPr>
      <w:bookmarkStart w:id="562" w:name="_Toc256754314"/>
      <w:bookmarkStart w:id="563" w:name="_Toc224818548"/>
      <w:r w:rsidRPr="001531CD">
        <w:t>§125.</w:t>
      </w:r>
      <w:r w:rsidRPr="001531CD">
        <w:tab/>
        <w:t>Prohibitions</w:t>
      </w:r>
      <w:bookmarkEnd w:id="562"/>
      <w:bookmarkEnd w:id="563"/>
    </w:p>
    <w:p w14:paraId="59347D09" w14:textId="77777777" w:rsidR="00CF626A" w:rsidRPr="001531CD" w:rsidRDefault="00CF626A" w:rsidP="0034445B">
      <w:pPr>
        <w:pStyle w:val="A"/>
        <w:spacing w:after="80"/>
      </w:pPr>
      <w:r w:rsidRPr="001531CD">
        <w:t>A.</w:t>
      </w:r>
      <w:r w:rsidRPr="001531CD">
        <w:tab/>
        <w:t>The market commission shall not approve any loan or loan guaranty for any applicant who fails to submit all required information.</w:t>
      </w:r>
    </w:p>
    <w:p w14:paraId="4DAD9643" w14:textId="77777777" w:rsidR="00CF626A" w:rsidRPr="001531CD" w:rsidRDefault="00CF626A" w:rsidP="0034445B">
      <w:pPr>
        <w:pStyle w:val="A"/>
        <w:spacing w:after="80"/>
      </w:pPr>
      <w:r w:rsidRPr="001531CD">
        <w:t>B.</w:t>
      </w:r>
      <w:r w:rsidRPr="001531CD">
        <w:tab/>
        <w:t>The market commission shall not approve any loan or loan guaranty for any person, firm, corporation, partnership, or association which is not domiciled in Louisiana.</w:t>
      </w:r>
    </w:p>
    <w:p w14:paraId="176A79EF" w14:textId="77777777" w:rsidR="00CF626A" w:rsidRPr="001531CD" w:rsidRDefault="00CF626A" w:rsidP="0034445B">
      <w:pPr>
        <w:pStyle w:val="A"/>
        <w:spacing w:after="80"/>
      </w:pPr>
      <w:r w:rsidRPr="001531CD">
        <w:t>C.</w:t>
      </w:r>
      <w:r w:rsidRPr="001531CD">
        <w:tab/>
        <w:t>The market commission shall not approve any loan or loan guaranty if the amount so loaned shall result in the property offered as security thereunder having an indebtedness in excess of 75 percent of the appraised value of such property.</w:t>
      </w:r>
    </w:p>
    <w:p w14:paraId="6AD48762" w14:textId="77777777" w:rsidR="00CF626A" w:rsidRPr="001531CD" w:rsidRDefault="00CF626A">
      <w:pPr>
        <w:pStyle w:val="A"/>
      </w:pPr>
      <w:r w:rsidRPr="001531CD">
        <w:t>D.</w:t>
      </w:r>
      <w:r w:rsidRPr="001531CD">
        <w:tab/>
        <w:t>The market commission shall not approve any loan or loan guaranty for any person, firm, corporation, partnership, or association with any pending or outstanding charge or liability relating to failure or inability to pay promissory notes or other evidence of indebtedness.</w:t>
      </w:r>
    </w:p>
    <w:p w14:paraId="765AB854" w14:textId="77777777" w:rsidR="00CF626A" w:rsidRPr="001531CD" w:rsidRDefault="00CF626A">
      <w:pPr>
        <w:pStyle w:val="A"/>
      </w:pPr>
      <w:r w:rsidRPr="001531CD">
        <w:t>E.</w:t>
      </w:r>
      <w:r w:rsidRPr="001531CD">
        <w:tab/>
        <w:t>The market commission shall not approve any loan or loan guaranty for any person, firm, partnership, corporation, or association, which has presently pending, at the federal, state, or local level, any proceeding concerning the denial or revocation of a necessary license or permit.</w:t>
      </w:r>
    </w:p>
    <w:p w14:paraId="115E66EE" w14:textId="77777777" w:rsidR="00CF626A" w:rsidRPr="001531CD" w:rsidRDefault="00CF626A">
      <w:pPr>
        <w:pStyle w:val="A"/>
      </w:pPr>
      <w:r w:rsidRPr="001531CD">
        <w:t>F.</w:t>
      </w:r>
      <w:r w:rsidRPr="001531CD">
        <w:tab/>
        <w:t>The market commission shall not approve any loan or loan guaranty when the security offered for the loan consists of livestock and/or commodities.</w:t>
      </w:r>
    </w:p>
    <w:p w14:paraId="6D9F680A" w14:textId="77777777" w:rsidR="00CF626A" w:rsidRPr="001531CD" w:rsidRDefault="00CF626A">
      <w:pPr>
        <w:pStyle w:val="A"/>
      </w:pPr>
      <w:r w:rsidRPr="001531CD">
        <w:t>G.</w:t>
      </w:r>
      <w:r w:rsidRPr="001531CD">
        <w:tab/>
        <w:t xml:space="preserve">The market commission shall not approve any loan or loan guaranty the proceeds of which are to be, or may be, used </w:t>
      </w:r>
      <w:r w:rsidRPr="001531CD">
        <w:lastRenderedPageBreak/>
        <w:t>for the consolidation of existing, previous financial obligations.</w:t>
      </w:r>
    </w:p>
    <w:p w14:paraId="17672E96" w14:textId="77777777" w:rsidR="00CF626A" w:rsidRPr="001531CD" w:rsidRDefault="00CF626A">
      <w:pPr>
        <w:pStyle w:val="A"/>
      </w:pPr>
      <w:r w:rsidRPr="001531CD">
        <w:t>H.</w:t>
      </w:r>
      <w:r w:rsidRPr="001531CD">
        <w:tab/>
        <w:t>The market commission shall not approve any loan or combination of loans to a single person, firm, partnership, corporation or association which is in excess of 10 percent of the commission's total assets (net of loan guarantees).</w:t>
      </w:r>
    </w:p>
    <w:p w14:paraId="6C72FA25" w14:textId="77777777" w:rsidR="00CF626A" w:rsidRPr="001531CD" w:rsidRDefault="00CF626A">
      <w:pPr>
        <w:pStyle w:val="A"/>
      </w:pPr>
      <w:r w:rsidRPr="001531CD">
        <w:t>I.</w:t>
      </w:r>
      <w:r w:rsidRPr="001531CD">
        <w:tab/>
        <w:t>The market commission shall not approve any loan or loan guaranty for any facility constructed or to be constructed on leased land except as follows.</w:t>
      </w:r>
    </w:p>
    <w:p w14:paraId="11F34C7D" w14:textId="77777777" w:rsidR="00CF626A" w:rsidRPr="001531CD" w:rsidRDefault="00CF626A">
      <w:pPr>
        <w:pStyle w:val="1"/>
      </w:pPr>
      <w:r w:rsidRPr="001531CD">
        <w:t>1.</w:t>
      </w:r>
      <w:r w:rsidRPr="001531CD">
        <w:tab/>
        <w:t>The lease is for a term extending five years beyond the period of the loan.</w:t>
      </w:r>
    </w:p>
    <w:p w14:paraId="3DCA1261" w14:textId="77777777" w:rsidR="00CF626A" w:rsidRPr="001531CD" w:rsidRDefault="00CF626A">
      <w:pPr>
        <w:pStyle w:val="1"/>
      </w:pPr>
      <w:r w:rsidRPr="001531CD">
        <w:t>2.</w:t>
      </w:r>
      <w:r w:rsidRPr="001531CD">
        <w:tab/>
        <w:t>The market commission receives an assignment on the lease and the right of re-assignment.</w:t>
      </w:r>
    </w:p>
    <w:p w14:paraId="0C2FEB35" w14:textId="77777777" w:rsidR="00CF626A" w:rsidRPr="001531CD" w:rsidRDefault="00CF626A">
      <w:pPr>
        <w:pStyle w:val="1"/>
      </w:pPr>
      <w:r w:rsidRPr="001531CD">
        <w:t>3.</w:t>
      </w:r>
      <w:r w:rsidRPr="001531CD">
        <w:tab/>
        <w:t>If the loan repayment schedule includes a balloon note, the market commission, at its discretion, may require a lease running for 20 years from the date of the approval of the loan.</w:t>
      </w:r>
    </w:p>
    <w:p w14:paraId="255F0D2C" w14:textId="77777777" w:rsidR="00CF626A" w:rsidRPr="001531CD" w:rsidRDefault="00CF626A">
      <w:pPr>
        <w:pStyle w:val="1"/>
      </w:pPr>
      <w:r w:rsidRPr="001531CD">
        <w:t>4.</w:t>
      </w:r>
      <w:r w:rsidRPr="001531CD">
        <w:tab/>
        <w:t>A waiver of landlord's lien and privilege on movables must be provided.</w:t>
      </w:r>
    </w:p>
    <w:p w14:paraId="4A891E4F" w14:textId="77777777" w:rsidR="00CF626A" w:rsidRPr="001531CD" w:rsidRDefault="00CF626A">
      <w:pPr>
        <w:pStyle w:val="A"/>
      </w:pPr>
      <w:r w:rsidRPr="001531CD">
        <w:t>J.</w:t>
      </w:r>
      <w:r w:rsidRPr="001531CD">
        <w:tab/>
        <w:t>The market commission shall not make any loan or loan guarantee on equipment unless the property on which it is located is secured by a first mortgage to the market commission. The market commission shall give a low priority on loans secured by a mortgage on specialized equipment.</w:t>
      </w:r>
    </w:p>
    <w:p w14:paraId="095CA7ED" w14:textId="77777777" w:rsidR="00CF626A" w:rsidRPr="001531CD" w:rsidRDefault="00CF626A">
      <w:pPr>
        <w:pStyle w:val="A"/>
      </w:pPr>
      <w:r w:rsidRPr="001531CD">
        <w:t>K.</w:t>
      </w:r>
      <w:r w:rsidRPr="001531CD">
        <w:tab/>
        <w:t>The terms or conditions imposed and made part of any loan or guaranty agreement authorized by vote of the market commission shall not be amended or altered by any member of the commission or employee of the Department of Agriculture except by subsequent vote of approval by the market commission in open session with full explanation for such action.</w:t>
      </w:r>
    </w:p>
    <w:p w14:paraId="42A2DFCD" w14:textId="77777777" w:rsidR="00CF626A" w:rsidRPr="001531CD" w:rsidRDefault="00CF626A">
      <w:pPr>
        <w:pStyle w:val="A"/>
      </w:pPr>
      <w:r w:rsidRPr="001531CD">
        <w:t>L.</w:t>
      </w:r>
      <w:r w:rsidRPr="001531CD">
        <w:tab/>
        <w:t>The market commission shall not subordinate its interests if such subordination will result in any risk to its security position.</w:t>
      </w:r>
    </w:p>
    <w:p w14:paraId="7D7097DB" w14:textId="77777777" w:rsidR="00CF626A" w:rsidRPr="001531CD" w:rsidRDefault="00CF626A">
      <w:pPr>
        <w:pStyle w:val="AuthorityNote"/>
      </w:pPr>
      <w:r w:rsidRPr="001531CD">
        <w:t>AUTHORITY NOTE:</w:t>
      </w:r>
      <w:r w:rsidRPr="001531CD">
        <w:tab/>
        <w:t>Promulgated in accordance with R.S. 3:408 and R.S. 3:404.</w:t>
      </w:r>
    </w:p>
    <w:p w14:paraId="637EAB56" w14:textId="77777777" w:rsidR="00CF626A" w:rsidRPr="001531CD" w:rsidRDefault="00CF626A">
      <w:pPr>
        <w:pStyle w:val="HistoricalNote"/>
      </w:pPr>
      <w:r w:rsidRPr="001531CD">
        <w:t>HISTORICAL NOTE:</w:t>
      </w:r>
      <w:r w:rsidRPr="001531CD">
        <w:tab/>
        <w:t>Promulgated by the Department of Agriculture, Market Commission, LR 6:257 (June 1980).</w:t>
      </w:r>
    </w:p>
    <w:p w14:paraId="0D7FE8F9" w14:textId="77777777" w:rsidR="00CF626A" w:rsidRPr="001531CD" w:rsidRDefault="00CF626A" w:rsidP="006022F7">
      <w:pPr>
        <w:pStyle w:val="Chapter"/>
      </w:pPr>
      <w:bookmarkStart w:id="564" w:name="TOC_Chap33"/>
      <w:bookmarkStart w:id="565" w:name="_Toc256754315"/>
      <w:bookmarkStart w:id="566" w:name="_Toc224818549"/>
      <w:r w:rsidRPr="001531CD">
        <w:t>Chapter 3.</w:t>
      </w:r>
      <w:bookmarkEnd w:id="564"/>
      <w:r w:rsidR="001413E4">
        <w:tab/>
      </w:r>
      <w:bookmarkStart w:id="567" w:name="TOCT_Chap11"/>
      <w:bookmarkStart w:id="568" w:name="TOCT_Chap32"/>
      <w:bookmarkStart w:id="569" w:name="TOCT_Chap33"/>
      <w:r w:rsidR="006022F7" w:rsidRPr="001531CD">
        <w:t>Market Commission―</w:t>
      </w:r>
      <w:r w:rsidRPr="001531CD">
        <w:t>Agricultural Products Processing Development Law―Loans and Loan Guaranties</w:t>
      </w:r>
      <w:bookmarkEnd w:id="565"/>
      <w:bookmarkEnd w:id="566"/>
      <w:bookmarkEnd w:id="567"/>
      <w:bookmarkEnd w:id="568"/>
      <w:bookmarkEnd w:id="569"/>
    </w:p>
    <w:p w14:paraId="7F194D0E" w14:textId="77777777" w:rsidR="00CF626A" w:rsidRPr="001531CD" w:rsidRDefault="00CF626A" w:rsidP="006022F7">
      <w:pPr>
        <w:pStyle w:val="Chapter"/>
      </w:pPr>
      <w:bookmarkStart w:id="570" w:name="TOC_SubC34"/>
      <w:bookmarkStart w:id="571" w:name="_Toc256754316"/>
      <w:bookmarkStart w:id="572" w:name="_Toc224818550"/>
      <w:r w:rsidRPr="001531CD">
        <w:t>Subchapter A.</w:t>
      </w:r>
      <w:bookmarkEnd w:id="570"/>
      <w:r w:rsidR="001413E4">
        <w:tab/>
      </w:r>
      <w:bookmarkStart w:id="573" w:name="TOCT_SubC33"/>
      <w:bookmarkStart w:id="574" w:name="TOCT_SubC34"/>
      <w:r w:rsidRPr="001531CD">
        <w:t>Authorization and Administration of Market Commission Loans and Loan Guaranties and Cooperative Endeavor Agreements under the Agricultural Products Processing Development Law</w:t>
      </w:r>
      <w:bookmarkEnd w:id="571"/>
      <w:bookmarkEnd w:id="572"/>
      <w:bookmarkEnd w:id="573"/>
      <w:bookmarkEnd w:id="574"/>
    </w:p>
    <w:p w14:paraId="08ADFF8F" w14:textId="77777777" w:rsidR="00CF626A" w:rsidRPr="001531CD" w:rsidRDefault="00CF626A" w:rsidP="00F03863">
      <w:pPr>
        <w:pStyle w:val="Section"/>
        <w:outlineLvl w:val="0"/>
      </w:pPr>
      <w:bookmarkStart w:id="575" w:name="_Toc256754317"/>
      <w:bookmarkStart w:id="576" w:name="_Toc224818551"/>
      <w:r w:rsidRPr="001531CD">
        <w:t>§301.</w:t>
      </w:r>
      <w:r w:rsidRPr="001531CD">
        <w:tab/>
        <w:t>Definitions</w:t>
      </w:r>
      <w:bookmarkEnd w:id="575"/>
      <w:bookmarkEnd w:id="576"/>
    </w:p>
    <w:p w14:paraId="1631D2F7" w14:textId="77777777" w:rsidR="00CF626A" w:rsidRPr="001531CD" w:rsidRDefault="00CF626A">
      <w:pPr>
        <w:pStyle w:val="A"/>
      </w:pPr>
      <w:r w:rsidRPr="001531CD">
        <w:rPr>
          <w:i/>
          <w:iCs/>
        </w:rPr>
        <w:t>Agricultural Plant</w:t>
      </w:r>
      <w:r w:rsidRPr="001531CD">
        <w:t>―any facility which receives raw agricultural products for the purpose of rendering them suitable for wholesale or retail marketing.</w:t>
      </w:r>
    </w:p>
    <w:p w14:paraId="1077022F" w14:textId="77777777" w:rsidR="00CF626A" w:rsidRPr="001531CD" w:rsidRDefault="00CF626A">
      <w:pPr>
        <w:pStyle w:val="A"/>
      </w:pPr>
      <w:r w:rsidRPr="001531CD">
        <w:rPr>
          <w:i/>
          <w:iCs/>
        </w:rPr>
        <w:t>Agricultural Product</w:t>
      </w:r>
      <w:r w:rsidRPr="001531CD">
        <w:t>―any farm product or seafood product.</w:t>
      </w:r>
    </w:p>
    <w:p w14:paraId="409B7E3F" w14:textId="77777777" w:rsidR="00CF626A" w:rsidRPr="001531CD" w:rsidRDefault="00CF626A">
      <w:pPr>
        <w:pStyle w:val="A"/>
      </w:pPr>
      <w:r w:rsidRPr="001531CD">
        <w:rPr>
          <w:i/>
          <w:iCs/>
        </w:rPr>
        <w:t>Aquacultural Crop</w:t>
      </w:r>
      <w:r w:rsidRPr="001531CD">
        <w:t>―catfish, crawfish, crabs, oysters, shrimp, prawns, alligators, turtles and other species of fish that are spawned, grown, managed and harvested as a cultivated crop within artificial reservoirs, tanks, cages or other impoundments so as to prevent at all times the ingress and egress of fish life from public waters including natural streams or lakes.</w:t>
      </w:r>
    </w:p>
    <w:p w14:paraId="28470111" w14:textId="77777777" w:rsidR="00CF626A" w:rsidRPr="001531CD" w:rsidRDefault="00CF626A">
      <w:pPr>
        <w:pStyle w:val="A"/>
      </w:pPr>
      <w:r w:rsidRPr="001531CD">
        <w:rPr>
          <w:i/>
          <w:iCs/>
        </w:rPr>
        <w:t>Cooperative Endeavor Agreements</w:t>
      </w:r>
      <w:r w:rsidRPr="001531CD">
        <w:t>―agreements for a public purpose entered into by the State Market Commission with the United States government or any of its agencies, or with a public or private association, corporation or individual.</w:t>
      </w:r>
    </w:p>
    <w:p w14:paraId="4700BC45" w14:textId="77777777" w:rsidR="00CF626A" w:rsidRPr="001531CD" w:rsidRDefault="00CF626A">
      <w:pPr>
        <w:pStyle w:val="A"/>
      </w:pPr>
      <w:r w:rsidRPr="001531CD">
        <w:rPr>
          <w:i/>
          <w:iCs/>
        </w:rPr>
        <w:t>Farm Product</w:t>
      </w:r>
      <w:r w:rsidRPr="001531CD">
        <w:t>―any agronomic, horticultural, silvacultural or aquacultural crop; any commercially raised livestock or raw product derived therefrom; or any final derivative resulting from a combination or breakdown of raw farm products.</w:t>
      </w:r>
    </w:p>
    <w:p w14:paraId="02438DC5" w14:textId="77777777" w:rsidR="00CF626A" w:rsidRPr="001531CD" w:rsidRDefault="00CF626A">
      <w:pPr>
        <w:pStyle w:val="A"/>
      </w:pPr>
      <w:r w:rsidRPr="001531CD">
        <w:rPr>
          <w:i/>
          <w:iCs/>
        </w:rPr>
        <w:t>Final Derivative</w:t>
      </w:r>
      <w:r w:rsidRPr="001531CD">
        <w:t>―any agricultural product that is ready to be passed on to a marketing level.</w:t>
      </w:r>
    </w:p>
    <w:p w14:paraId="74A264DA" w14:textId="77777777" w:rsidR="00CF626A" w:rsidRPr="001531CD" w:rsidRDefault="00CF626A">
      <w:pPr>
        <w:pStyle w:val="A"/>
      </w:pPr>
      <w:r w:rsidRPr="001531CD">
        <w:rPr>
          <w:i/>
          <w:iCs/>
        </w:rPr>
        <w:t>Lender</w:t>
      </w:r>
      <w:r w:rsidRPr="001531CD">
        <w:t>―any bank, savings bank, mutual savings bank, building and loan association, and savings and loan association organized under the laws of Louisiana or the United States, trust companies acting as fiduciaries, and other financial institutions subject to the supervision of the commissioner of financial institutions.</w:t>
      </w:r>
    </w:p>
    <w:p w14:paraId="1503F86F" w14:textId="77777777" w:rsidR="00CF626A" w:rsidRPr="001531CD" w:rsidRDefault="00CF626A">
      <w:pPr>
        <w:pStyle w:val="A"/>
      </w:pPr>
      <w:r w:rsidRPr="001531CD">
        <w:rPr>
          <w:i/>
          <w:iCs/>
        </w:rPr>
        <w:t>Necessary Improvement</w:t>
      </w:r>
      <w:r w:rsidRPr="001531CD">
        <w:t>―any improvement to an existing agricultural plant mandated by local, state or federal law, or an improvement thereto which will form an economically justifiable basis and, in the judgment of the market commission, improve the quality or quantity of service, or both.</w:t>
      </w:r>
    </w:p>
    <w:p w14:paraId="545E80D5" w14:textId="77777777" w:rsidR="00CF626A" w:rsidRPr="001531CD" w:rsidRDefault="00CF626A" w:rsidP="0034445B">
      <w:pPr>
        <w:pStyle w:val="A"/>
        <w:keepNext/>
      </w:pPr>
      <w:r w:rsidRPr="001531CD">
        <w:rPr>
          <w:i/>
          <w:iCs/>
        </w:rPr>
        <w:lastRenderedPageBreak/>
        <w:t>Person</w:t>
      </w:r>
      <w:r w:rsidRPr="001531CD">
        <w:t>―any individual, firm, corporation, partnership or association domiciled in this state.</w:t>
      </w:r>
    </w:p>
    <w:p w14:paraId="4881424C" w14:textId="77777777" w:rsidR="00CF626A" w:rsidRPr="001531CD" w:rsidRDefault="00CF626A">
      <w:pPr>
        <w:pStyle w:val="A"/>
      </w:pPr>
      <w:r w:rsidRPr="001531CD">
        <w:rPr>
          <w:i/>
          <w:iCs/>
        </w:rPr>
        <w:t>Process</w:t>
      </w:r>
      <w:r w:rsidRPr="001531CD">
        <w:t xml:space="preserve"> or </w:t>
      </w:r>
      <w:r w:rsidRPr="001531CD">
        <w:rPr>
          <w:i/>
          <w:iCs/>
        </w:rPr>
        <w:t>Processing</w:t>
      </w:r>
      <w:r w:rsidRPr="001531CD">
        <w:t>―any action that will enhance any raw agricultural product's value or render a raw agricultural product suitable for further refinement or introduction at a marketing level.</w:t>
      </w:r>
    </w:p>
    <w:p w14:paraId="21D92C10" w14:textId="77777777" w:rsidR="00CF626A" w:rsidRPr="001531CD" w:rsidRDefault="00CF626A">
      <w:pPr>
        <w:pStyle w:val="A"/>
      </w:pPr>
      <w:r w:rsidRPr="001531CD">
        <w:rPr>
          <w:i/>
          <w:iCs/>
        </w:rPr>
        <w:t>Property</w:t>
      </w:r>
      <w:r w:rsidRPr="001531CD">
        <w:t>―in the broad sense, any movable and immovable property, corporeal and incorporeal and includes, but is not limited to, land, buildings, equipment, inventory, accounts receivable, credits, stocks, bonds, notes, patents, copyrights, royalties and other intangibles of value.</w:t>
      </w:r>
    </w:p>
    <w:p w14:paraId="237C1C1C" w14:textId="77777777" w:rsidR="00CF626A" w:rsidRPr="001531CD" w:rsidRDefault="00CF626A">
      <w:pPr>
        <w:pStyle w:val="A"/>
      </w:pPr>
      <w:r w:rsidRPr="001531CD">
        <w:rPr>
          <w:i/>
          <w:iCs/>
        </w:rPr>
        <w:t>Seafood Product</w:t>
      </w:r>
      <w:r w:rsidRPr="001531CD">
        <w:t>―any type of seafood species caught in privately owned waters or public waters, including streams and lakes, or any final derivative resulting from a combination or breakdown of raw seafood products.</w:t>
      </w:r>
    </w:p>
    <w:p w14:paraId="6B4F1DC9" w14:textId="77777777" w:rsidR="00CF626A" w:rsidRPr="001531CD" w:rsidRDefault="00CF626A">
      <w:pPr>
        <w:pStyle w:val="AuthorityNote"/>
      </w:pPr>
      <w:r w:rsidRPr="001531CD">
        <w:t>AUTHORITY NOTE:</w:t>
      </w:r>
      <w:r w:rsidRPr="001531CD">
        <w:tab/>
        <w:t>Promulgated in accordance with R.S. 3:450.2 and R.S. 3:450.3.</w:t>
      </w:r>
    </w:p>
    <w:p w14:paraId="55368A06" w14:textId="77777777" w:rsidR="00CF626A" w:rsidRPr="001531CD" w:rsidRDefault="00CF626A">
      <w:pPr>
        <w:pStyle w:val="HistoricalNote"/>
      </w:pPr>
      <w:r w:rsidRPr="001531CD">
        <w:t>HISTORICAL NOTE:</w:t>
      </w:r>
      <w:r w:rsidRPr="001531CD">
        <w:tab/>
        <w:t>Promulgated by the Department of Agriculture and Forestry, Market Commission, LR 13:78 (February 1987).</w:t>
      </w:r>
    </w:p>
    <w:p w14:paraId="2859F880" w14:textId="77777777" w:rsidR="00CF626A" w:rsidRPr="001531CD" w:rsidRDefault="00CF626A" w:rsidP="0034445B">
      <w:pPr>
        <w:pStyle w:val="Section"/>
        <w:spacing w:after="80"/>
      </w:pPr>
      <w:bookmarkStart w:id="577" w:name="_Toc256754318"/>
      <w:bookmarkStart w:id="578" w:name="_Toc224818552"/>
      <w:r w:rsidRPr="001531CD">
        <w:t>§303.</w:t>
      </w:r>
      <w:r w:rsidRPr="001531CD">
        <w:tab/>
        <w:t>Eligibility of Applicant</w:t>
      </w:r>
      <w:bookmarkEnd w:id="577"/>
      <w:bookmarkEnd w:id="578"/>
    </w:p>
    <w:p w14:paraId="1E9F04B1" w14:textId="77777777" w:rsidR="00CF626A" w:rsidRPr="001531CD" w:rsidRDefault="00CF626A" w:rsidP="0034445B">
      <w:pPr>
        <w:pStyle w:val="A"/>
        <w:spacing w:after="80"/>
      </w:pPr>
      <w:r w:rsidRPr="001531CD">
        <w:t>A.</w:t>
      </w:r>
      <w:r w:rsidRPr="001531CD">
        <w:tab/>
        <w:t>Any person engaged or to be engaged in the processing of agricultural products shall be eligible for a market commission loan or loan guaranty upon proper application and approval, as set forth herein, under the Agricultural Products Processing Development Program.</w:t>
      </w:r>
    </w:p>
    <w:p w14:paraId="5583CAFF" w14:textId="77777777" w:rsidR="00CF626A" w:rsidRPr="001531CD" w:rsidRDefault="00CF626A" w:rsidP="0034445B">
      <w:pPr>
        <w:pStyle w:val="A"/>
        <w:spacing w:after="80"/>
      </w:pPr>
      <w:r w:rsidRPr="001531CD">
        <w:t>B.</w:t>
      </w:r>
      <w:r w:rsidRPr="001531CD">
        <w:tab/>
        <w:t>The market commission shall give priority to those persons who utilize Louisiana agricultural products to the maximum extent possible.</w:t>
      </w:r>
    </w:p>
    <w:p w14:paraId="3C0F8A87" w14:textId="77777777" w:rsidR="00CF626A" w:rsidRPr="001531CD" w:rsidRDefault="00CF626A" w:rsidP="0034445B">
      <w:pPr>
        <w:pStyle w:val="A"/>
        <w:spacing w:after="80"/>
      </w:pPr>
      <w:r w:rsidRPr="001531CD">
        <w:t>C.</w:t>
      </w:r>
      <w:r w:rsidRPr="001531CD">
        <w:tab/>
        <w:t>The market commission shall only participate in cooperative endeavors which involve the creation of a significant number of new jobs in relation to the amount of participation by the commission.</w:t>
      </w:r>
    </w:p>
    <w:p w14:paraId="3B423A7B" w14:textId="77777777" w:rsidR="00CF626A" w:rsidRPr="001531CD" w:rsidRDefault="00CF626A">
      <w:pPr>
        <w:pStyle w:val="AuthorityNote"/>
      </w:pPr>
      <w:r w:rsidRPr="001531CD">
        <w:t>AUTHORITY NOTE:</w:t>
      </w:r>
      <w:r w:rsidRPr="001531CD">
        <w:tab/>
        <w:t>Promulgated in accordance with R.S. 3:450.3 and R.S. 3:450.5.</w:t>
      </w:r>
    </w:p>
    <w:p w14:paraId="76CA4790" w14:textId="77777777" w:rsidR="00CF626A" w:rsidRPr="001531CD" w:rsidRDefault="00CF626A">
      <w:pPr>
        <w:pStyle w:val="HistoricalNote"/>
      </w:pPr>
      <w:r w:rsidRPr="001531CD">
        <w:t>HISTORICAL NOTE:</w:t>
      </w:r>
      <w:r w:rsidRPr="001531CD">
        <w:tab/>
        <w:t>Promulgated by the Department of Agriculture and Forestry, Market Commission, LR 13:78 (February 1987).</w:t>
      </w:r>
    </w:p>
    <w:p w14:paraId="49285912" w14:textId="77777777" w:rsidR="00CF626A" w:rsidRPr="001531CD" w:rsidRDefault="00CF626A" w:rsidP="0034445B">
      <w:pPr>
        <w:pStyle w:val="Section"/>
        <w:spacing w:after="80"/>
      </w:pPr>
      <w:bookmarkStart w:id="579" w:name="_Toc256754319"/>
      <w:bookmarkStart w:id="580" w:name="_Toc224818553"/>
      <w:r w:rsidRPr="001531CD">
        <w:t>§305.</w:t>
      </w:r>
      <w:r w:rsidRPr="001531CD">
        <w:tab/>
        <w:t>Loan and Loan Guaranty Authorization</w:t>
      </w:r>
      <w:bookmarkEnd w:id="579"/>
      <w:bookmarkEnd w:id="580"/>
    </w:p>
    <w:p w14:paraId="2BEDE7D3" w14:textId="77777777" w:rsidR="00CF626A" w:rsidRPr="001531CD" w:rsidRDefault="00CF626A" w:rsidP="0034445B">
      <w:pPr>
        <w:pStyle w:val="A"/>
        <w:spacing w:after="80"/>
      </w:pPr>
      <w:r w:rsidRPr="001531CD">
        <w:t>A.</w:t>
      </w:r>
      <w:r w:rsidRPr="001531CD">
        <w:tab/>
        <w:t>The market commission may loan to any person funds to be actually expended to acquire, construct, furnish, equip, make necessary improvement to or purchase land for any agricultural plant which will be occupied by the person, which loan shall not exceed 75 percent of the value of the property offered as security pursuant to a first mortgage, but requiring at a minimum the execution by the borrower of a note secured by a first mortgage on the property being acquired or constructed and payable to the commission within such time and under such terms and conditions together with such additional endorsements or other security as may be required by the commission.</w:t>
      </w:r>
    </w:p>
    <w:p w14:paraId="60E34CC9" w14:textId="77777777" w:rsidR="00CF626A" w:rsidRPr="001531CD" w:rsidRDefault="00CF626A">
      <w:pPr>
        <w:pStyle w:val="A"/>
      </w:pPr>
      <w:r w:rsidRPr="001531CD">
        <w:t>B.</w:t>
      </w:r>
      <w:r w:rsidRPr="001531CD">
        <w:tab/>
        <w:t xml:space="preserve">The market commission may loan to any person funds for operating capital, market development and product inventories, which loan shall not exceed 75 percent of the value of the property offered as security pursuant to a first mortgage, but requiring as a minimum the execution by the </w:t>
      </w:r>
      <w:r w:rsidRPr="001531CD">
        <w:t>borrower of a note or notes secured by a first mortgage on property, including but not limited to product inventories and accounts receivable from the sale of inventories, under such terms and conditions together with such additional endorsements or other security as may be required by the commission.</w:t>
      </w:r>
    </w:p>
    <w:p w14:paraId="0B05B1A2" w14:textId="77777777" w:rsidR="00CF626A" w:rsidRPr="001531CD" w:rsidRDefault="00CF626A">
      <w:pPr>
        <w:pStyle w:val="A"/>
      </w:pPr>
      <w:r w:rsidRPr="001531CD">
        <w:t>C.</w:t>
      </w:r>
      <w:r w:rsidRPr="001531CD">
        <w:tab/>
        <w:t>The market commission may guarantee, on an interim or long-term basis, all or part of loans for an amount to be actually expended to acquire, construct, furnish, equip, make necessary improvement to or purchase land for any agricultural plant made by any lender to any person approved by the commission, provided that whenever the commission guarantees the payment of such loan, the commission shall make and enter into a guarantee agreement with the lender and the borrower setting forth the terms and conditions under which the commission is obligated and the extent to which repayment of the loan is guaranteed and secured. Each loan which is guaranteed by the commission shall require as a minimum the execution of a note or notes secured by a first mortgage on property. Whenever the commission enters into such a loan guarantee agreement, the commission may impose and collect an origination fee not to exceed 1 percent of the amount of the loan guaranteed.</w:t>
      </w:r>
    </w:p>
    <w:p w14:paraId="747C5BEE" w14:textId="77777777" w:rsidR="00CF626A" w:rsidRPr="001531CD" w:rsidRDefault="00CF626A">
      <w:pPr>
        <w:pStyle w:val="A"/>
      </w:pPr>
      <w:r w:rsidRPr="001531CD">
        <w:t>D.</w:t>
      </w:r>
      <w:r w:rsidRPr="001531CD">
        <w:tab/>
        <w:t>The market commission may guarantee, on an interim or long-term basis, all or part of loans for an amount to be actually expended for operating capital, market development and product inventories made by any lender to any person approved by the commission, provided that whenever the commission guarantees the payment of such loan, the commission shall make and enter into a guarantee agreement with the lender and the borrower setting forth the terms and conditions under which the commission is obligated and the extent to which repayment of the loan is guaranteed and secured. Each loan which is guaranteed by the commission shall require as a minimum the execution by the borrower of a note or notes secured by a first mortgage on property, including product inventories and accounts receivable from the sale of inventories, under such terms and conditions together with such additional endorsements or other security as may be required by the commission.</w:t>
      </w:r>
    </w:p>
    <w:p w14:paraId="61DFAF9F" w14:textId="77777777" w:rsidR="00CF626A" w:rsidRPr="001531CD" w:rsidRDefault="00CF626A">
      <w:pPr>
        <w:pStyle w:val="AuthorityNote"/>
      </w:pPr>
      <w:r w:rsidRPr="001531CD">
        <w:t>AUTHORITY NOTE:</w:t>
      </w:r>
      <w:r w:rsidRPr="001531CD">
        <w:tab/>
        <w:t>Promulgated in accordance with R.S. 3:450.3 and R.S. 3:450.5.</w:t>
      </w:r>
    </w:p>
    <w:p w14:paraId="5D6151D5" w14:textId="77777777" w:rsidR="00CF626A" w:rsidRPr="001531CD" w:rsidRDefault="00CF626A">
      <w:pPr>
        <w:pStyle w:val="HistoricalNote"/>
      </w:pPr>
      <w:r w:rsidRPr="001531CD">
        <w:t>HISTORICAL NOTE:</w:t>
      </w:r>
      <w:r w:rsidRPr="001531CD">
        <w:tab/>
        <w:t>Promulgated by the Department of Agriculture and Forestry, Market Commission, LR 13:78 (February 1987).</w:t>
      </w:r>
    </w:p>
    <w:p w14:paraId="798D47DE" w14:textId="77777777" w:rsidR="00CF626A" w:rsidRPr="001531CD" w:rsidRDefault="00CF626A">
      <w:pPr>
        <w:pStyle w:val="Section"/>
      </w:pPr>
      <w:bookmarkStart w:id="581" w:name="_Toc256754320"/>
      <w:bookmarkStart w:id="582" w:name="_Toc224818554"/>
      <w:r w:rsidRPr="001531CD">
        <w:t>§307.</w:t>
      </w:r>
      <w:r w:rsidRPr="001531CD">
        <w:tab/>
        <w:t>Time for Filing Applications</w:t>
      </w:r>
      <w:bookmarkEnd w:id="581"/>
      <w:bookmarkEnd w:id="582"/>
    </w:p>
    <w:p w14:paraId="3C0B1AA4" w14:textId="77777777" w:rsidR="00CF626A" w:rsidRPr="001531CD" w:rsidRDefault="00CF626A">
      <w:pPr>
        <w:pStyle w:val="A"/>
      </w:pPr>
      <w:r w:rsidRPr="001531CD">
        <w:t>A.</w:t>
      </w:r>
      <w:r w:rsidRPr="001531CD">
        <w:tab/>
        <w:t xml:space="preserve">Applications may be filed at any time throughout the year and may be personally delivered to the </w:t>
      </w:r>
      <w:r w:rsidR="00813255" w:rsidRPr="001531CD">
        <w:t>Market Commission</w:t>
      </w:r>
      <w:r w:rsidRPr="001531CD">
        <w:t xml:space="preserve"> Office in Baton Rouge or forwarded through the United States mail.</w:t>
      </w:r>
    </w:p>
    <w:p w14:paraId="1109DD53" w14:textId="77777777" w:rsidR="00CF626A" w:rsidRPr="001531CD" w:rsidRDefault="00CF626A">
      <w:pPr>
        <w:pStyle w:val="A"/>
      </w:pPr>
      <w:r w:rsidRPr="001531CD">
        <w:t>B.</w:t>
      </w:r>
      <w:r w:rsidRPr="001531CD">
        <w:tab/>
        <w:t>An application will be considered filed only upon provision of all information required in §309.A, B and C.</w:t>
      </w:r>
    </w:p>
    <w:p w14:paraId="427C612A" w14:textId="77777777" w:rsidR="00CF626A" w:rsidRPr="001531CD" w:rsidRDefault="00CF626A">
      <w:pPr>
        <w:pStyle w:val="A"/>
      </w:pPr>
      <w:r w:rsidRPr="001531CD">
        <w:t>C.</w:t>
      </w:r>
      <w:r w:rsidRPr="001531CD">
        <w:tab/>
        <w:t>A complete application, consisting of all information required in §309.A, B and C, must be physically on hand in the market commission office at least 20 working days prior to the commission meeting at which the application will be considered by the commission.</w:t>
      </w:r>
    </w:p>
    <w:p w14:paraId="38A861F3" w14:textId="77777777" w:rsidR="00CF626A" w:rsidRPr="001531CD" w:rsidRDefault="00CF626A">
      <w:pPr>
        <w:pStyle w:val="AuthorityNote"/>
      </w:pPr>
      <w:r w:rsidRPr="001531CD">
        <w:lastRenderedPageBreak/>
        <w:t>AUTHORITY NOTE:</w:t>
      </w:r>
      <w:r w:rsidRPr="001531CD">
        <w:tab/>
        <w:t>Promulgated in accordance with R.S. 3:450.3 and R.S. 3:450.5.</w:t>
      </w:r>
    </w:p>
    <w:p w14:paraId="2EC26B04" w14:textId="77777777" w:rsidR="00CF626A" w:rsidRPr="001531CD" w:rsidRDefault="00CF626A">
      <w:pPr>
        <w:pStyle w:val="HistoricalNote"/>
      </w:pPr>
      <w:r w:rsidRPr="001531CD">
        <w:t>HISTORICAL NOTE:</w:t>
      </w:r>
      <w:r w:rsidRPr="001531CD">
        <w:tab/>
        <w:t>Promulgated by the Department of Agriculture and Forestry, Market Commission, LR 13:78 (February 1987).</w:t>
      </w:r>
    </w:p>
    <w:p w14:paraId="739033B8" w14:textId="77777777" w:rsidR="00CF626A" w:rsidRPr="001531CD" w:rsidRDefault="00CF626A">
      <w:pPr>
        <w:pStyle w:val="Section"/>
      </w:pPr>
      <w:bookmarkStart w:id="583" w:name="_Toc256754321"/>
      <w:bookmarkStart w:id="584" w:name="_Toc224818555"/>
      <w:r w:rsidRPr="001531CD">
        <w:t>§309.</w:t>
      </w:r>
      <w:r w:rsidRPr="001531CD">
        <w:tab/>
        <w:t>Contents of Application</w:t>
      </w:r>
      <w:bookmarkEnd w:id="583"/>
      <w:bookmarkEnd w:id="584"/>
    </w:p>
    <w:p w14:paraId="7E1D0DAE" w14:textId="77777777" w:rsidR="00CF626A" w:rsidRPr="001531CD" w:rsidRDefault="00CF626A">
      <w:pPr>
        <w:pStyle w:val="A"/>
      </w:pPr>
      <w:r w:rsidRPr="001531CD">
        <w:t>A.</w:t>
      </w:r>
      <w:r w:rsidRPr="001531CD">
        <w:tab/>
        <w:t>Every applicant for a market commission loan or for a loan guaranty shall submit the following information to the commission:</w:t>
      </w:r>
    </w:p>
    <w:p w14:paraId="3BA2C585" w14:textId="77777777" w:rsidR="00CF626A" w:rsidRPr="001531CD" w:rsidRDefault="00CF626A">
      <w:pPr>
        <w:pStyle w:val="1"/>
      </w:pPr>
      <w:r w:rsidRPr="001531CD">
        <w:t>1.</w:t>
      </w:r>
      <w:r w:rsidRPr="001531CD">
        <w:tab/>
        <w:t>name and address of applicant including all principals by name and address;</w:t>
      </w:r>
    </w:p>
    <w:p w14:paraId="6E805C26" w14:textId="77777777" w:rsidR="00CF626A" w:rsidRPr="001531CD" w:rsidRDefault="00CF626A">
      <w:pPr>
        <w:pStyle w:val="1"/>
      </w:pPr>
      <w:r w:rsidRPr="001531CD">
        <w:t>2.</w:t>
      </w:r>
      <w:r w:rsidRPr="001531CD">
        <w:tab/>
        <w:t>a statement of the nature and amount of the interest held by each principal;</w:t>
      </w:r>
    </w:p>
    <w:p w14:paraId="4D5C2008" w14:textId="77777777" w:rsidR="00CF626A" w:rsidRPr="001531CD" w:rsidRDefault="00CF626A">
      <w:pPr>
        <w:pStyle w:val="1"/>
      </w:pPr>
      <w:r w:rsidRPr="001531CD">
        <w:t>3.</w:t>
      </w:r>
      <w:r w:rsidRPr="001531CD">
        <w:tab/>
        <w:t>sworn statement of the relationship, if any, of any of the principals with any state official and/or with any employee of the Department of Agriculture and Forestry;</w:t>
      </w:r>
    </w:p>
    <w:p w14:paraId="6245A10E" w14:textId="77777777" w:rsidR="00CF626A" w:rsidRPr="001531CD" w:rsidRDefault="00CF626A">
      <w:pPr>
        <w:pStyle w:val="1"/>
      </w:pPr>
      <w:r w:rsidRPr="001531CD">
        <w:t>4.</w:t>
      </w:r>
      <w:r w:rsidRPr="001531CD">
        <w:tab/>
        <w:t>location and legal description of all property to be offered as security;</w:t>
      </w:r>
    </w:p>
    <w:p w14:paraId="2440813C" w14:textId="77777777" w:rsidR="00CF626A" w:rsidRPr="001531CD" w:rsidRDefault="00CF626A">
      <w:pPr>
        <w:pStyle w:val="1"/>
      </w:pPr>
      <w:r w:rsidRPr="001531CD">
        <w:t>5.</w:t>
      </w:r>
      <w:r w:rsidRPr="001531CD">
        <w:tab/>
        <w:t>evidence that good title is or can be vested in the name of the applicant;</w:t>
      </w:r>
    </w:p>
    <w:p w14:paraId="59AAAAE5" w14:textId="77777777" w:rsidR="00CF626A" w:rsidRPr="001531CD" w:rsidRDefault="00CF626A">
      <w:pPr>
        <w:pStyle w:val="1"/>
      </w:pPr>
      <w:r w:rsidRPr="001531CD">
        <w:t>6.</w:t>
      </w:r>
      <w:r w:rsidRPr="001531CD">
        <w:tab/>
        <w:t>personal financial statements of every principal of the firm, corporation, partnership or association, prepared in accordance with generally accepted accounting principles. In the case of corporations and cooperative associations, every member of the board of directors, by whatever name known, must provide personal financial statements;</w:t>
      </w:r>
    </w:p>
    <w:p w14:paraId="036AF3B4" w14:textId="77777777" w:rsidR="00CF626A" w:rsidRPr="001531CD" w:rsidRDefault="00CF626A">
      <w:pPr>
        <w:pStyle w:val="1"/>
      </w:pPr>
      <w:r w:rsidRPr="001531CD">
        <w:t>7.</w:t>
      </w:r>
      <w:r w:rsidRPr="001531CD">
        <w:tab/>
        <w:t>credit analyses of the principals, to be provided by an independent source, such as a bank or other lending institution;</w:t>
      </w:r>
    </w:p>
    <w:p w14:paraId="3913F212" w14:textId="77777777" w:rsidR="00CF626A" w:rsidRPr="001531CD" w:rsidRDefault="00CF626A">
      <w:pPr>
        <w:pStyle w:val="1"/>
      </w:pPr>
      <w:r w:rsidRPr="001531CD">
        <w:t>8.</w:t>
      </w:r>
      <w:r w:rsidRPr="001531CD">
        <w:tab/>
        <w:t>a property appraisal by a market commission approved appraiser of all property to be offered as security;</w:t>
      </w:r>
    </w:p>
    <w:p w14:paraId="4D3A606C" w14:textId="77777777" w:rsidR="00CF626A" w:rsidRPr="001531CD" w:rsidRDefault="00CF626A">
      <w:pPr>
        <w:pStyle w:val="1"/>
      </w:pPr>
      <w:r w:rsidRPr="001531CD">
        <w:t>9.</w:t>
      </w:r>
      <w:r w:rsidRPr="001531CD">
        <w:tab/>
        <w:t>listing of all equipment and furnishings, both movable and immovable by destination, with amortization tables as appropriate, if equipment and furnishings will be offered as part of the security;</w:t>
      </w:r>
    </w:p>
    <w:p w14:paraId="5391FECD" w14:textId="77777777" w:rsidR="00CF626A" w:rsidRPr="001531CD" w:rsidRDefault="00CF626A">
      <w:pPr>
        <w:pStyle w:val="1"/>
      </w:pPr>
      <w:r w:rsidRPr="001531CD">
        <w:t>10.</w:t>
      </w:r>
      <w:r w:rsidRPr="001531CD">
        <w:tab/>
        <w:t>evidence of satisfactory interim financing, where applicable;</w:t>
      </w:r>
    </w:p>
    <w:p w14:paraId="22E8EA12" w14:textId="77777777" w:rsidR="00CF626A" w:rsidRPr="001531CD" w:rsidRDefault="00CF626A">
      <w:pPr>
        <w:pStyle w:val="1"/>
      </w:pPr>
      <w:r w:rsidRPr="001531CD">
        <w:t>11.</w:t>
      </w:r>
      <w:r w:rsidRPr="001531CD">
        <w:tab/>
        <w:t>a three-year projected cash flow statement;</w:t>
      </w:r>
    </w:p>
    <w:p w14:paraId="5C688815" w14:textId="77777777" w:rsidR="00CF626A" w:rsidRPr="001531CD" w:rsidRDefault="00CF626A">
      <w:pPr>
        <w:pStyle w:val="1"/>
      </w:pPr>
      <w:r w:rsidRPr="001531CD">
        <w:t>12.</w:t>
      </w:r>
      <w:r w:rsidRPr="001531CD">
        <w:tab/>
        <w:t>an evaluation of the professional management capability of the individual(s) primarily responsible for the operation of the processing business to be provided by an independent, reputable source not involved in the firm, partnership, corporation or association;</w:t>
      </w:r>
    </w:p>
    <w:p w14:paraId="31397BC6" w14:textId="77777777" w:rsidR="00CF626A" w:rsidRPr="001531CD" w:rsidRDefault="00CF626A">
      <w:pPr>
        <w:pStyle w:val="1"/>
      </w:pPr>
      <w:r w:rsidRPr="001531CD">
        <w:t>13.</w:t>
      </w:r>
      <w:r w:rsidRPr="001531CD">
        <w:tab/>
        <w:t>an explanation of how the processing business for which the loan or loan guaranty is sought will benefit the community in which the business is located or is to be located including projection of new jobs created by the loan or loan guaranty, if granted;</w:t>
      </w:r>
    </w:p>
    <w:p w14:paraId="054E3539" w14:textId="77777777" w:rsidR="00CF626A" w:rsidRPr="001531CD" w:rsidRDefault="00CF626A">
      <w:pPr>
        <w:pStyle w:val="1"/>
      </w:pPr>
      <w:r w:rsidRPr="001531CD">
        <w:t>14.</w:t>
      </w:r>
      <w:r w:rsidRPr="001531CD">
        <w:tab/>
        <w:t>written authorization for the market commission to perform any credit check(s) which the commission may, in its discretion, deem advisable.</w:t>
      </w:r>
    </w:p>
    <w:p w14:paraId="245C7A77" w14:textId="77777777" w:rsidR="00CF626A" w:rsidRPr="001531CD" w:rsidRDefault="00CF626A">
      <w:pPr>
        <w:pStyle w:val="A"/>
      </w:pPr>
      <w:r w:rsidRPr="001531CD">
        <w:t>B.</w:t>
      </w:r>
      <w:r w:rsidRPr="001531CD">
        <w:tab/>
        <w:t>Every applicant for a loan or loan guaranty for new construction shall provide, in addition to the information required in §309.A, the following information:</w:t>
      </w:r>
    </w:p>
    <w:p w14:paraId="0AD2E7E6" w14:textId="77777777" w:rsidR="00CF626A" w:rsidRPr="001531CD" w:rsidRDefault="00CF626A">
      <w:pPr>
        <w:pStyle w:val="1"/>
      </w:pPr>
      <w:r w:rsidRPr="001531CD">
        <w:t>1.</w:t>
      </w:r>
      <w:r w:rsidRPr="001531CD">
        <w:tab/>
        <w:t>blueprints and construction specifications, if available at date of application. In the absence of blueprints and construction specifications, the applicant shall provide a written description of the planned construction at the time of application, to be followed by blueprints and construction specifications as set forth herein. It is not the intent of the market commission to require unnecessary expenditure of the applicant's funds; however, in the event that blueprints and construction specifications cannot be provided at the time of application, any applicant receiving approval for a loan or loan guaranty shall be required to provide, within 90 days after approval, either (a) copies of blueprints and construction specifications, or (b) a written statement of the reasons for delay in provision of such blueprints and construction specifications. Reasons acceptable to the commission shall include, but not be limited to, failure of the architect to timely provide all drawings and specifications;</w:t>
      </w:r>
    </w:p>
    <w:p w14:paraId="58170CAA" w14:textId="77777777" w:rsidR="00CF626A" w:rsidRPr="001531CD" w:rsidRDefault="00CF626A">
      <w:pPr>
        <w:pStyle w:val="1"/>
      </w:pPr>
      <w:r w:rsidRPr="001531CD">
        <w:t>2.</w:t>
      </w:r>
      <w:r w:rsidRPr="001531CD">
        <w:tab/>
        <w:t>a projected construction schedule, with anticipated completion date;</w:t>
      </w:r>
    </w:p>
    <w:p w14:paraId="074DB2BF" w14:textId="77777777" w:rsidR="00CF626A" w:rsidRPr="001531CD" w:rsidRDefault="00CF626A">
      <w:pPr>
        <w:pStyle w:val="1"/>
      </w:pPr>
      <w:r w:rsidRPr="001531CD">
        <w:t>3.</w:t>
      </w:r>
      <w:r w:rsidRPr="001531CD">
        <w:tab/>
        <w:t>a statement of the number of jobs to be made available upon completion of the agricultural plant;</w:t>
      </w:r>
    </w:p>
    <w:p w14:paraId="4ACF0CD2" w14:textId="77777777" w:rsidR="00CF626A" w:rsidRPr="001531CD" w:rsidRDefault="00CF626A">
      <w:pPr>
        <w:pStyle w:val="1"/>
      </w:pPr>
      <w:r w:rsidRPr="001531CD">
        <w:t>4.</w:t>
      </w:r>
      <w:r w:rsidRPr="001531CD">
        <w:tab/>
        <w:t>evidence of adequate operating funds for a period of at least one year following completion of the plant;</w:t>
      </w:r>
    </w:p>
    <w:p w14:paraId="042BC06A" w14:textId="77777777" w:rsidR="00CF626A" w:rsidRPr="001531CD" w:rsidRDefault="00CF626A">
      <w:pPr>
        <w:pStyle w:val="1"/>
      </w:pPr>
      <w:r w:rsidRPr="001531CD">
        <w:t>5.</w:t>
      </w:r>
      <w:r w:rsidRPr="001531CD">
        <w:tab/>
        <w:t>copies of available construction contracts, including prices and identities of the principals of the contractors.</w:t>
      </w:r>
    </w:p>
    <w:p w14:paraId="1D815A1B" w14:textId="77777777" w:rsidR="00CF626A" w:rsidRPr="001531CD" w:rsidRDefault="00CF626A" w:rsidP="0034445B">
      <w:pPr>
        <w:pStyle w:val="A"/>
        <w:spacing w:after="80"/>
      </w:pPr>
      <w:r w:rsidRPr="001531CD">
        <w:t>C.</w:t>
      </w:r>
      <w:r w:rsidRPr="001531CD">
        <w:tab/>
        <w:t>Every applicant for a loan or loan guaranty for the purchase, improvement to or expansion of an existing agricultural plant shall provide, in addition to the information required in §309.A, the following information:</w:t>
      </w:r>
    </w:p>
    <w:p w14:paraId="066A8F1C" w14:textId="77777777" w:rsidR="00CF626A" w:rsidRPr="001531CD" w:rsidRDefault="00CF626A" w:rsidP="0034445B">
      <w:pPr>
        <w:pStyle w:val="1"/>
        <w:spacing w:after="80"/>
      </w:pPr>
      <w:r w:rsidRPr="001531CD">
        <w:t>1.</w:t>
      </w:r>
      <w:r w:rsidRPr="001531CD">
        <w:tab/>
        <w:t>profit and loss statements for the three fiscal years immediately preceding the date of application;</w:t>
      </w:r>
    </w:p>
    <w:p w14:paraId="4100DBB8" w14:textId="77777777" w:rsidR="00CF626A" w:rsidRPr="001531CD" w:rsidRDefault="00CF626A" w:rsidP="0034445B">
      <w:pPr>
        <w:pStyle w:val="1"/>
        <w:spacing w:after="80"/>
      </w:pPr>
      <w:r w:rsidRPr="001531CD">
        <w:t>2.</w:t>
      </w:r>
      <w:r w:rsidRPr="001531CD">
        <w:tab/>
        <w:t>balance sheets for the three fiscal years immediately preceding the date of application;</w:t>
      </w:r>
    </w:p>
    <w:p w14:paraId="58FA04AC" w14:textId="77777777" w:rsidR="00CF626A" w:rsidRPr="001531CD" w:rsidRDefault="00CF626A" w:rsidP="0034445B">
      <w:pPr>
        <w:pStyle w:val="1"/>
        <w:spacing w:after="80"/>
      </w:pPr>
      <w:r w:rsidRPr="001531CD">
        <w:t>3.</w:t>
      </w:r>
      <w:r w:rsidRPr="001531CD">
        <w:tab/>
        <w:t>statement demonstrating the marketability of the product or process for which the funds are sought;</w:t>
      </w:r>
    </w:p>
    <w:p w14:paraId="0A922ABB" w14:textId="77777777" w:rsidR="00CF626A" w:rsidRPr="001531CD" w:rsidRDefault="00CF626A" w:rsidP="0034445B">
      <w:pPr>
        <w:pStyle w:val="1"/>
        <w:spacing w:after="80"/>
      </w:pPr>
      <w:r w:rsidRPr="001531CD">
        <w:t>4.</w:t>
      </w:r>
      <w:r w:rsidRPr="001531CD">
        <w:tab/>
        <w:t>such additional market data which will enable the market commission to determine the advisability of loan or loan guaranty approval;</w:t>
      </w:r>
    </w:p>
    <w:p w14:paraId="247DFF28" w14:textId="77777777" w:rsidR="00CF626A" w:rsidRPr="001531CD" w:rsidRDefault="00CF626A" w:rsidP="0034445B">
      <w:pPr>
        <w:pStyle w:val="1"/>
        <w:spacing w:after="80"/>
      </w:pPr>
      <w:r w:rsidRPr="001531CD">
        <w:t>5.</w:t>
      </w:r>
      <w:r w:rsidRPr="001531CD">
        <w:tab/>
        <w:t>a statement of the number of jobs existing at the time of the application and the number of additional jobs to be created as a result of the proposed purchase, improvement to or expansion of the plant;</w:t>
      </w:r>
    </w:p>
    <w:p w14:paraId="10B2765A" w14:textId="77777777" w:rsidR="00CF626A" w:rsidRPr="001531CD" w:rsidRDefault="00CF626A">
      <w:pPr>
        <w:pStyle w:val="1"/>
      </w:pPr>
      <w:r w:rsidRPr="001531CD">
        <w:t>6.</w:t>
      </w:r>
      <w:r w:rsidRPr="001531CD">
        <w:tab/>
        <w:t>blueprints of the existing plant, if purchase is contemplated, and, in the case of proposed improvements or expansions, blueprints of the existing and proposed plant. The applicant shall provide a detailed statement of reasons when prints cannot be provided. In the event that blueprints and specifications cannot be provided at the time of the application, any applicant receiving approval for a market commission loan or loan guaranty will be required to provide blueprints and construction specifications within 90 days after approval;</w:t>
      </w:r>
    </w:p>
    <w:p w14:paraId="297325DA" w14:textId="77777777" w:rsidR="00CF626A" w:rsidRPr="001531CD" w:rsidRDefault="00CF626A">
      <w:pPr>
        <w:pStyle w:val="1"/>
      </w:pPr>
      <w:r w:rsidRPr="001531CD">
        <w:lastRenderedPageBreak/>
        <w:t>7.</w:t>
      </w:r>
      <w:r w:rsidRPr="001531CD">
        <w:tab/>
        <w:t>copies of available construction or renovation contracts including prices and identities of the principals of the contractors.</w:t>
      </w:r>
    </w:p>
    <w:p w14:paraId="417FD6CA" w14:textId="77777777" w:rsidR="00CF626A" w:rsidRPr="001531CD" w:rsidRDefault="00CF626A">
      <w:pPr>
        <w:pStyle w:val="A"/>
      </w:pPr>
      <w:r w:rsidRPr="001531CD">
        <w:t>D.</w:t>
      </w:r>
      <w:r w:rsidRPr="001531CD">
        <w:tab/>
        <w:t>Any applicant for a loan guaranty shall provide, in addition to the information required in §309.A, B and C, a letter of commitment from a lender setting forth the terms and conditions upon which the loan sought to be guaranteed will be made.</w:t>
      </w:r>
    </w:p>
    <w:p w14:paraId="605FDEDE" w14:textId="77777777" w:rsidR="00CF626A" w:rsidRPr="001531CD" w:rsidRDefault="00CF626A">
      <w:pPr>
        <w:pStyle w:val="AuthorityNote"/>
      </w:pPr>
      <w:r w:rsidRPr="001531CD">
        <w:t>AUTHORITY NOTE:</w:t>
      </w:r>
      <w:r w:rsidRPr="001531CD">
        <w:tab/>
        <w:t>Promulgated in accordance with R.S. 3:450.3.</w:t>
      </w:r>
    </w:p>
    <w:p w14:paraId="58F5E288" w14:textId="77777777" w:rsidR="00CF626A" w:rsidRPr="001531CD" w:rsidRDefault="00CF626A">
      <w:pPr>
        <w:pStyle w:val="HistoricalNote"/>
      </w:pPr>
      <w:r w:rsidRPr="001531CD">
        <w:t>HISTORICAL NOTE:</w:t>
      </w:r>
      <w:r w:rsidRPr="001531CD">
        <w:tab/>
        <w:t>Promulgated by the Department of Agriculture and Forestry, Market Commission, LR 13:79 (February 1987).</w:t>
      </w:r>
    </w:p>
    <w:p w14:paraId="6C006D38" w14:textId="77777777" w:rsidR="00CF626A" w:rsidRPr="001531CD" w:rsidRDefault="00CF626A">
      <w:pPr>
        <w:pStyle w:val="Section"/>
      </w:pPr>
      <w:bookmarkStart w:id="585" w:name="_Toc256754322"/>
      <w:bookmarkStart w:id="586" w:name="_Toc224818556"/>
      <w:r w:rsidRPr="001531CD">
        <w:t>§311.</w:t>
      </w:r>
      <w:r w:rsidRPr="001531CD">
        <w:tab/>
        <w:t>Approval of Application for a Loan or Loan Guaranty</w:t>
      </w:r>
      <w:bookmarkEnd w:id="585"/>
      <w:bookmarkEnd w:id="586"/>
      <w:r w:rsidRPr="001531CD">
        <w:t xml:space="preserve"> </w:t>
      </w:r>
    </w:p>
    <w:p w14:paraId="676AFA2C" w14:textId="77777777" w:rsidR="00CF626A" w:rsidRPr="001531CD" w:rsidRDefault="00CF626A">
      <w:pPr>
        <w:pStyle w:val="A"/>
      </w:pPr>
      <w:r w:rsidRPr="001531CD">
        <w:t>A.</w:t>
      </w:r>
      <w:r w:rsidRPr="001531CD">
        <w:tab/>
        <w:t>The applicant must provide all required information at least 20 working days prior to the meeting at which the application will be considered. The commission shall not consider any incomplete application.</w:t>
      </w:r>
    </w:p>
    <w:p w14:paraId="0E0C5B81" w14:textId="77777777" w:rsidR="00CF626A" w:rsidRPr="001531CD" w:rsidRDefault="00CF626A">
      <w:pPr>
        <w:pStyle w:val="A"/>
      </w:pPr>
      <w:r w:rsidRPr="001531CD">
        <w:t>B.</w:t>
      </w:r>
      <w:r w:rsidRPr="001531CD">
        <w:tab/>
        <w:t>The applicant or its representative must appear in person at the meeting at which the application will be considered, in order to provide any additional information which may be required by the commission.</w:t>
      </w:r>
    </w:p>
    <w:p w14:paraId="0B1F1E76" w14:textId="77777777" w:rsidR="00CF626A" w:rsidRPr="001531CD" w:rsidRDefault="00CF626A">
      <w:pPr>
        <w:pStyle w:val="A"/>
      </w:pPr>
      <w:r w:rsidRPr="001531CD">
        <w:t>C.</w:t>
      </w:r>
      <w:r w:rsidRPr="001531CD">
        <w:tab/>
        <w:t>Approval of the loan or loan guaranty must not result in encumbrance(s) on the property offered as security in excess of 75 percent of the aggregate appraised value of all property offered as security. Moreover, no loan or loan guaranty may be approved unless the security therefore is at a minimum a first mortgage on all property offered as security. The commission may reject any appraisal which it feels would result in a violation of this limitation.</w:t>
      </w:r>
    </w:p>
    <w:p w14:paraId="43E049FE" w14:textId="77777777" w:rsidR="00CF626A" w:rsidRPr="001531CD" w:rsidRDefault="00CF626A">
      <w:pPr>
        <w:pStyle w:val="A"/>
      </w:pPr>
      <w:r w:rsidRPr="001531CD">
        <w:t>D.</w:t>
      </w:r>
      <w:r w:rsidRPr="001531CD">
        <w:tab/>
        <w:t>The period for which the loan or loan guaranty is requested must not exceed five years, provided, however, that the market commission may, under conditions hereinafter set forth, extend the period of the loan for an additional period not to exceed a total of 20 years from the date of the original loan.</w:t>
      </w:r>
    </w:p>
    <w:p w14:paraId="0E8366CC" w14:textId="77777777" w:rsidR="00CF626A" w:rsidRPr="001531CD" w:rsidRDefault="00CF626A">
      <w:pPr>
        <w:pStyle w:val="A"/>
      </w:pPr>
      <w:r w:rsidRPr="001531CD">
        <w:t>E.</w:t>
      </w:r>
      <w:r w:rsidRPr="001531CD">
        <w:tab/>
        <w:t>A market assessment and/or feasibility study conducted or secured by the applicant or the market commission staff must support the advisability of the loan or loan guaranty.</w:t>
      </w:r>
    </w:p>
    <w:p w14:paraId="620B6B8F" w14:textId="77777777" w:rsidR="00CF626A" w:rsidRPr="001531CD" w:rsidRDefault="00CF626A">
      <w:pPr>
        <w:pStyle w:val="A"/>
      </w:pPr>
      <w:r w:rsidRPr="001531CD">
        <w:t>F.</w:t>
      </w:r>
      <w:r w:rsidRPr="001531CD">
        <w:tab/>
        <w:t>The loan or loan guaranty application must satisfy all legal requirements, as evidenced by the written approval of the department's attorney.</w:t>
      </w:r>
    </w:p>
    <w:p w14:paraId="6B2A49C7" w14:textId="77777777" w:rsidR="00CF626A" w:rsidRPr="001531CD" w:rsidRDefault="00CF626A">
      <w:pPr>
        <w:pStyle w:val="A"/>
      </w:pPr>
      <w:r w:rsidRPr="001531CD">
        <w:t>G.</w:t>
      </w:r>
      <w:r w:rsidRPr="001531CD">
        <w:tab/>
        <w:t xml:space="preserve">In the event of extreme urgency affecting the continuation of existing jobs or the loss of a business opportunity to create new jobs, the market commission may either in open session or by telephone poll suspend the full requirements of the loan or loan guaranty application information and require the immediate submission of information sufficient to demonstrate the urgency, the advisability of the loan or loan guaranty and the adequacy of the security to be provided for the loan. In this event, however, the applicant shall provide the full information within such time as the commission fixes in conjunction with the granting </w:t>
      </w:r>
      <w:r w:rsidRPr="001531CD">
        <w:t>of the suspension. Such suspension may be granted only when the amount of the loan or loan guaranty does not exceed the sum of $100,000 and the loan or loan guaranty is fully secured by first mortgages on immovables and personal liability of sufficient solvent individuals. The granting of and justification for a suspension, as provided herein, shall be documented and made a matter of permanent public record.</w:t>
      </w:r>
    </w:p>
    <w:p w14:paraId="505D48A9" w14:textId="77777777" w:rsidR="00CF626A" w:rsidRPr="001531CD" w:rsidRDefault="00CF626A">
      <w:pPr>
        <w:pStyle w:val="A"/>
      </w:pPr>
      <w:r w:rsidRPr="001531CD">
        <w:t>H.</w:t>
      </w:r>
      <w:r w:rsidRPr="001531CD">
        <w:tab/>
        <w:t xml:space="preserve">In the event the land upon which a new agricultural plant will be constructed or an existing plant which will be expanded is already subject to a lien, mortgage or encumbrance which the applicant proposes to pay off with loan proceeds from the market commission or any other lender, such application can be approved only if the amount of the loan does not exceed 75 percent of the value of all security to be provided, the amount of the loan left after satisfying the encumbrances will finance the construction or improvements proposed and the applicant does not realize any cash from the loan except for operating capital, market development or product inventories. If the amount of the lien, mortgage or encumbrance to be satisfied out of the loan proceeds </w:t>
      </w:r>
      <w:r w:rsidRPr="001531CD">
        <w:rPr>
          <w:sz w:val="16"/>
          <w:szCs w:val="16"/>
        </w:rPr>
        <w:t xml:space="preserve">is </w:t>
      </w:r>
      <w:r w:rsidRPr="001531CD">
        <w:t>disproportionate to the amount to be used for new construction, improvement or expansion, then the commission may reject the application on the grounds that it is a refinancing and is prohibited by the law creating the program. The commission considers disproportionate to be an amount in excess of 25 percent of the loan amount sought in the application.</w:t>
      </w:r>
    </w:p>
    <w:p w14:paraId="25B94E7E" w14:textId="77777777" w:rsidR="00CF626A" w:rsidRPr="001531CD" w:rsidRDefault="00CF626A">
      <w:pPr>
        <w:pStyle w:val="AuthorityNote"/>
      </w:pPr>
      <w:r w:rsidRPr="001531CD">
        <w:t>AUTHORITY NOTE:</w:t>
      </w:r>
      <w:r w:rsidRPr="001531CD">
        <w:tab/>
        <w:t>Promulgated in accordance with R.S. 3:450.3 and R.S. 3:450.5.</w:t>
      </w:r>
    </w:p>
    <w:p w14:paraId="5104FC1B" w14:textId="77777777" w:rsidR="00CF626A" w:rsidRPr="001531CD" w:rsidRDefault="00CF626A">
      <w:pPr>
        <w:pStyle w:val="HistoricalNote"/>
      </w:pPr>
      <w:r w:rsidRPr="001531CD">
        <w:t>HISTORICAL NOTE:</w:t>
      </w:r>
      <w:r w:rsidRPr="001531CD">
        <w:tab/>
        <w:t>Promulgated by the Department of Agriculture and Forestry, Market Commission, LR 13:79 (February 1987).</w:t>
      </w:r>
    </w:p>
    <w:p w14:paraId="47488AD3" w14:textId="77777777" w:rsidR="00CF626A" w:rsidRPr="001531CD" w:rsidRDefault="00CF626A">
      <w:pPr>
        <w:pStyle w:val="Section"/>
      </w:pPr>
      <w:bookmarkStart w:id="587" w:name="_Toc256754323"/>
      <w:bookmarkStart w:id="588" w:name="_Toc224818557"/>
      <w:r w:rsidRPr="001531CD">
        <w:t>§313.</w:t>
      </w:r>
      <w:r w:rsidRPr="001531CD">
        <w:tab/>
        <w:t>Disbursement of Market Commission Loan Proceeds and Commission Concurrence in Loan Guaranties</w:t>
      </w:r>
      <w:bookmarkEnd w:id="587"/>
      <w:bookmarkEnd w:id="588"/>
    </w:p>
    <w:p w14:paraId="45029386" w14:textId="77777777" w:rsidR="00CF626A" w:rsidRPr="001531CD" w:rsidRDefault="00CF626A">
      <w:pPr>
        <w:pStyle w:val="A"/>
      </w:pPr>
      <w:r w:rsidRPr="001531CD">
        <w:t>A.</w:t>
      </w:r>
      <w:r w:rsidRPr="001531CD">
        <w:tab/>
        <w:t>Prior to the setting of a date for the loan closing, the applicant must submit the following:</w:t>
      </w:r>
    </w:p>
    <w:p w14:paraId="0EE2517A" w14:textId="77777777" w:rsidR="00CF626A" w:rsidRPr="001531CD" w:rsidRDefault="00CF626A" w:rsidP="0034445B">
      <w:pPr>
        <w:pStyle w:val="1"/>
        <w:spacing w:after="80"/>
      </w:pPr>
      <w:r w:rsidRPr="001531CD">
        <w:t>1.</w:t>
      </w:r>
      <w:r w:rsidRPr="001531CD">
        <w:tab/>
        <w:t>satisfactory proof that the agricultural plant, if new construction, improvement to or expansion of an existing plant has been completed in accordance with the plans submitted to the market commission for its consideration of the loan or loan guarantee application;</w:t>
      </w:r>
    </w:p>
    <w:p w14:paraId="1B5C67F9" w14:textId="77777777" w:rsidR="00CF626A" w:rsidRPr="001531CD" w:rsidRDefault="00CF626A" w:rsidP="0034445B">
      <w:pPr>
        <w:pStyle w:val="1"/>
        <w:spacing w:after="80"/>
      </w:pPr>
      <w:r w:rsidRPr="001531CD">
        <w:t>2.</w:t>
      </w:r>
      <w:r w:rsidRPr="001531CD">
        <w:tab/>
        <w:t>a copy of the note and the mortgages and/or other security instruments to be executed at the closing for examination and approval by the department's attorney;</w:t>
      </w:r>
    </w:p>
    <w:p w14:paraId="430D8D34" w14:textId="77777777" w:rsidR="00CF626A" w:rsidRPr="001531CD" w:rsidRDefault="00CF626A" w:rsidP="0034445B">
      <w:pPr>
        <w:pStyle w:val="1"/>
        <w:spacing w:after="80"/>
      </w:pPr>
      <w:r w:rsidRPr="001531CD">
        <w:t>3.</w:t>
      </w:r>
      <w:r w:rsidRPr="001531CD">
        <w:tab/>
        <w:t>a copy of a plat survey by a registered surveyor;</w:t>
      </w:r>
    </w:p>
    <w:p w14:paraId="79EEE43F" w14:textId="77777777" w:rsidR="00CF626A" w:rsidRPr="001531CD" w:rsidRDefault="00CF626A" w:rsidP="0034445B">
      <w:pPr>
        <w:pStyle w:val="1"/>
        <w:spacing w:after="80"/>
      </w:pPr>
      <w:r w:rsidRPr="001531CD">
        <w:t>4.</w:t>
      </w:r>
      <w:r w:rsidRPr="001531CD">
        <w:tab/>
        <w:t>evidence of adequate title insurance;</w:t>
      </w:r>
    </w:p>
    <w:p w14:paraId="5CB7355A" w14:textId="77777777" w:rsidR="00CF626A" w:rsidRPr="001531CD" w:rsidRDefault="00CF626A" w:rsidP="0034445B">
      <w:pPr>
        <w:pStyle w:val="1"/>
        <w:spacing w:after="80"/>
      </w:pPr>
      <w:r w:rsidRPr="001531CD">
        <w:t>5.</w:t>
      </w:r>
      <w:r w:rsidRPr="001531CD">
        <w:tab/>
        <w:t>carry and provide evidence of the following insurance coverage:</w:t>
      </w:r>
    </w:p>
    <w:p w14:paraId="7B86B042" w14:textId="77777777" w:rsidR="00CF626A" w:rsidRPr="001531CD" w:rsidRDefault="00CF626A">
      <w:pPr>
        <w:pStyle w:val="a0"/>
      </w:pPr>
      <w:r w:rsidRPr="001531CD">
        <w:t>a.</w:t>
      </w:r>
      <w:r w:rsidRPr="001531CD">
        <w:tab/>
        <w:t>public liability insurance of $500,000, naming the market commission as additional insured. The applicant must also provide a certificate evidencing such insurance, which certificate must provide that the insurance cannot be canceled without 30 days prior notice to the market commission;</w:t>
      </w:r>
    </w:p>
    <w:p w14:paraId="7924C9C3" w14:textId="77777777" w:rsidR="00CF626A" w:rsidRPr="001531CD" w:rsidRDefault="00CF626A">
      <w:pPr>
        <w:pStyle w:val="a0"/>
      </w:pPr>
      <w:r w:rsidRPr="001531CD">
        <w:t>b.</w:t>
      </w:r>
      <w:r w:rsidRPr="001531CD">
        <w:tab/>
        <w:t xml:space="preserve">fire and extended coverage and vandalism insurance to the full extent of the amount loaned or guaranteed </w:t>
      </w:r>
      <w:r w:rsidRPr="001531CD">
        <w:lastRenderedPageBreak/>
        <w:t>by the market commission, naming the commission as a loss payee, the total amount of the insurance to meet the 80 percent co-insurance requirements. The applicant must also provide a certificate evidencing such insurance, which certificate must provide that the insurance cannot be canceled without 30 days prior notice to the commission.</w:t>
      </w:r>
    </w:p>
    <w:p w14:paraId="135D2C5D" w14:textId="77777777" w:rsidR="00CF626A" w:rsidRPr="001531CD" w:rsidRDefault="00CF626A">
      <w:pPr>
        <w:pStyle w:val="1"/>
      </w:pPr>
      <w:r w:rsidRPr="001531CD">
        <w:t>6.</w:t>
      </w:r>
      <w:r w:rsidRPr="001531CD">
        <w:tab/>
        <w:t>Satisfactory proof that all laborers and material men have been fully paid.</w:t>
      </w:r>
    </w:p>
    <w:p w14:paraId="787B9C43" w14:textId="77777777" w:rsidR="00CF626A" w:rsidRPr="001531CD" w:rsidRDefault="00CF626A">
      <w:pPr>
        <w:pStyle w:val="1"/>
      </w:pPr>
      <w:r w:rsidRPr="001531CD">
        <w:t>7.</w:t>
      </w:r>
      <w:r w:rsidRPr="001531CD">
        <w:tab/>
        <w:t>All legal instruments must be examined and approved by the department's attorney.</w:t>
      </w:r>
    </w:p>
    <w:p w14:paraId="3926A42F" w14:textId="77777777" w:rsidR="00CF626A" w:rsidRPr="001531CD" w:rsidRDefault="00CF626A">
      <w:pPr>
        <w:pStyle w:val="A"/>
      </w:pPr>
      <w:r w:rsidRPr="001531CD">
        <w:t>B.</w:t>
      </w:r>
      <w:r w:rsidRPr="001531CD">
        <w:tab/>
        <w:t>On or before the loan closing date, the applicant must:</w:t>
      </w:r>
    </w:p>
    <w:p w14:paraId="1A758401" w14:textId="77777777" w:rsidR="00CF626A" w:rsidRPr="001531CD" w:rsidRDefault="00CF626A">
      <w:pPr>
        <w:pStyle w:val="1"/>
      </w:pPr>
      <w:r w:rsidRPr="001531CD">
        <w:t>1.</w:t>
      </w:r>
      <w:r w:rsidRPr="001531CD">
        <w:tab/>
        <w:t>provide a title opinion by a title attorney approved by the market commission, which title opinion shall provide evidence of clear title and shall include, but not be limited to, the following:</w:t>
      </w:r>
    </w:p>
    <w:p w14:paraId="2955E78B" w14:textId="77777777" w:rsidR="00CF626A" w:rsidRPr="001531CD" w:rsidRDefault="00CF626A">
      <w:pPr>
        <w:pStyle w:val="a0"/>
      </w:pPr>
      <w:r w:rsidRPr="001531CD">
        <w:t>a.</w:t>
      </w:r>
      <w:r w:rsidRPr="001531CD">
        <w:tab/>
        <w:t>a property description;</w:t>
      </w:r>
    </w:p>
    <w:p w14:paraId="5FA0766B" w14:textId="77777777" w:rsidR="00CF626A" w:rsidRPr="001531CD" w:rsidRDefault="00CF626A">
      <w:pPr>
        <w:pStyle w:val="a0"/>
      </w:pPr>
      <w:r w:rsidRPr="001531CD">
        <w:t>b.</w:t>
      </w:r>
      <w:r w:rsidRPr="001531CD">
        <w:tab/>
        <w:t>identification of the property owner, with pertinent recordation data;</w:t>
      </w:r>
    </w:p>
    <w:p w14:paraId="29EBC62E" w14:textId="77777777" w:rsidR="00CF626A" w:rsidRPr="001531CD" w:rsidRDefault="00CF626A">
      <w:pPr>
        <w:pStyle w:val="a0"/>
      </w:pPr>
      <w:r w:rsidRPr="001531CD">
        <w:t>c.</w:t>
      </w:r>
      <w:r w:rsidRPr="001531CD">
        <w:tab/>
        <w:t>satisfactory evidence that all taxes due on the property have been paid;</w:t>
      </w:r>
    </w:p>
    <w:p w14:paraId="551EAE59" w14:textId="77777777" w:rsidR="00CF626A" w:rsidRPr="001531CD" w:rsidRDefault="00CF626A">
      <w:pPr>
        <w:pStyle w:val="a0"/>
      </w:pPr>
      <w:r w:rsidRPr="001531CD">
        <w:t>d.</w:t>
      </w:r>
      <w:r w:rsidRPr="001531CD">
        <w:tab/>
        <w:t>a full and complete list of all mortgages, liens, encumbrances and/or servitudes on the property; and</w:t>
      </w:r>
    </w:p>
    <w:p w14:paraId="15136BCB" w14:textId="77777777" w:rsidR="00CF626A" w:rsidRPr="001531CD" w:rsidRDefault="00CF626A">
      <w:pPr>
        <w:pStyle w:val="a0"/>
      </w:pPr>
      <w:r w:rsidRPr="001531CD">
        <w:t>e.</w:t>
      </w:r>
      <w:r w:rsidRPr="001531CD">
        <w:tab/>
        <w:t>such other information as may be necessary for a full recital of the facts surrounding such property;</w:t>
      </w:r>
    </w:p>
    <w:p w14:paraId="251B0DF5" w14:textId="77777777" w:rsidR="00CF626A" w:rsidRPr="001531CD" w:rsidRDefault="00CF626A">
      <w:pPr>
        <w:pStyle w:val="1"/>
      </w:pPr>
      <w:r w:rsidRPr="001531CD">
        <w:t>2.</w:t>
      </w:r>
      <w:r w:rsidRPr="001531CD">
        <w:tab/>
        <w:t>provide a mortgage certificate from the clerk of court for the parish in which the property is located;</w:t>
      </w:r>
    </w:p>
    <w:p w14:paraId="19F34739" w14:textId="77777777" w:rsidR="00CF626A" w:rsidRPr="001531CD" w:rsidRDefault="00CF626A">
      <w:pPr>
        <w:pStyle w:val="1"/>
      </w:pPr>
      <w:r w:rsidRPr="001531CD">
        <w:t>3.</w:t>
      </w:r>
      <w:r w:rsidRPr="001531CD">
        <w:tab/>
        <w:t>in the case of market commission loans paid directly to the borrower and/or the source of interim financing, the borrower must execute a note secured by a first mortgage payable to the commission setting forth in full the terms and conditions under which the loan will be repaid, and containing such additional endorsements or other security as may be required by the commission;</w:t>
      </w:r>
    </w:p>
    <w:p w14:paraId="250019AB" w14:textId="77777777" w:rsidR="00CF626A" w:rsidRPr="001531CD" w:rsidRDefault="00CF626A">
      <w:pPr>
        <w:pStyle w:val="1"/>
      </w:pPr>
      <w:r w:rsidRPr="001531CD">
        <w:t>4.</w:t>
      </w:r>
      <w:r w:rsidRPr="001531CD">
        <w:tab/>
        <w:t>in the case of market commission loans paid directly to the borrower and/or the source of interim financing, the borrower must execute a first mortgage payable to the commission, which mortgage shall contain, but not necessarily be limited to, the following:</w:t>
      </w:r>
    </w:p>
    <w:p w14:paraId="0FE5854C" w14:textId="77777777" w:rsidR="00CF626A" w:rsidRPr="001531CD" w:rsidRDefault="00CF626A">
      <w:pPr>
        <w:pStyle w:val="a0"/>
      </w:pPr>
      <w:r w:rsidRPr="001531CD">
        <w:t>a.</w:t>
      </w:r>
      <w:r w:rsidRPr="001531CD">
        <w:tab/>
        <w:t>the amount loaned;</w:t>
      </w:r>
    </w:p>
    <w:p w14:paraId="733775B8" w14:textId="77777777" w:rsidR="00CF626A" w:rsidRPr="001531CD" w:rsidRDefault="00CF626A">
      <w:pPr>
        <w:pStyle w:val="a0"/>
      </w:pPr>
      <w:r w:rsidRPr="001531CD">
        <w:t>b.</w:t>
      </w:r>
      <w:r w:rsidRPr="001531CD">
        <w:tab/>
        <w:t>the rate of interest;</w:t>
      </w:r>
    </w:p>
    <w:p w14:paraId="31AC0E21" w14:textId="77777777" w:rsidR="00CF626A" w:rsidRPr="001531CD" w:rsidRDefault="00CF626A">
      <w:pPr>
        <w:pStyle w:val="a0"/>
      </w:pPr>
      <w:r w:rsidRPr="001531CD">
        <w:t>c.</w:t>
      </w:r>
      <w:r w:rsidRPr="001531CD">
        <w:tab/>
        <w:t>the repayment schedule;</w:t>
      </w:r>
    </w:p>
    <w:p w14:paraId="30A6CC40" w14:textId="77777777" w:rsidR="00CF626A" w:rsidRPr="001531CD" w:rsidRDefault="00CF626A">
      <w:pPr>
        <w:pStyle w:val="a0"/>
      </w:pPr>
      <w:r w:rsidRPr="001531CD">
        <w:t>d.</w:t>
      </w:r>
      <w:r w:rsidRPr="001531CD">
        <w:tab/>
        <w:t>description and listing of all property to be included in the security;</w:t>
      </w:r>
    </w:p>
    <w:p w14:paraId="09F678F0" w14:textId="77777777" w:rsidR="00CF626A" w:rsidRPr="001531CD" w:rsidRDefault="00CF626A">
      <w:pPr>
        <w:pStyle w:val="a0"/>
      </w:pPr>
      <w:r w:rsidRPr="001531CD">
        <w:t>e.</w:t>
      </w:r>
      <w:r w:rsidRPr="001531CD">
        <w:tab/>
        <w:t>provision for executory process;</w:t>
      </w:r>
    </w:p>
    <w:p w14:paraId="4F8A3FD1" w14:textId="77777777" w:rsidR="00CF626A" w:rsidRPr="001531CD" w:rsidRDefault="00CF626A">
      <w:pPr>
        <w:pStyle w:val="a0"/>
      </w:pPr>
      <w:r w:rsidRPr="001531CD">
        <w:t>f.</w:t>
      </w:r>
      <w:r w:rsidRPr="001531CD">
        <w:tab/>
        <w:t>provision for payment of all costs of foreclosure, including attorney's fees at 25 percent of the principal balance and interest accrued at foreclosure; and</w:t>
      </w:r>
    </w:p>
    <w:p w14:paraId="05BF0A59" w14:textId="77777777" w:rsidR="00CF626A" w:rsidRPr="001531CD" w:rsidRDefault="00CF626A">
      <w:pPr>
        <w:pStyle w:val="a0"/>
      </w:pPr>
      <w:r w:rsidRPr="001531CD">
        <w:t>g.</w:t>
      </w:r>
      <w:r w:rsidRPr="001531CD">
        <w:tab/>
        <w:t xml:space="preserve">authorization for the addition to the principal balance the amount of any taxes and/or insurance premiums paid by the commission, upon failure of the mortgagee to pay </w:t>
      </w:r>
      <w:r w:rsidRPr="001531CD">
        <w:t>such amounts when due, to protect the security position of the commission.</w:t>
      </w:r>
    </w:p>
    <w:p w14:paraId="0CFCAE82" w14:textId="77777777" w:rsidR="00CF626A" w:rsidRPr="001531CD" w:rsidRDefault="00CF626A">
      <w:pPr>
        <w:pStyle w:val="A"/>
      </w:pPr>
      <w:r w:rsidRPr="001531CD">
        <w:t>C.</w:t>
      </w:r>
      <w:r w:rsidRPr="001531CD">
        <w:tab/>
        <w:t>In the case of all market commission loans paid directly to the borrower, the individual borrower and/or all partners of a partnership may be required personally to endorse the note secured by the first mortgage or shall provide other security at the commission's discretion.</w:t>
      </w:r>
    </w:p>
    <w:p w14:paraId="54BF7137" w14:textId="77777777" w:rsidR="00CF626A" w:rsidRPr="001531CD" w:rsidRDefault="00CF626A">
      <w:pPr>
        <w:pStyle w:val="A"/>
      </w:pPr>
      <w:r w:rsidRPr="001531CD">
        <w:t>D.</w:t>
      </w:r>
      <w:r w:rsidRPr="001531CD">
        <w:tab/>
        <w:t>In the case of all market commission loans paid directly to the borrower, all members of the boards of directors, by whatever name known, of the corporation or cooperative association may be required personally to endorse the note secured by the first mortgage or shall provide other security at the commission's discretion.</w:t>
      </w:r>
    </w:p>
    <w:p w14:paraId="4F672977" w14:textId="77777777" w:rsidR="00CF626A" w:rsidRPr="001531CD" w:rsidRDefault="00CF626A">
      <w:pPr>
        <w:pStyle w:val="A"/>
      </w:pPr>
      <w:r w:rsidRPr="001531CD">
        <w:t>E.</w:t>
      </w:r>
      <w:r w:rsidRPr="001531CD">
        <w:tab/>
        <w:t>In the case of a loan guaranty, the borrower must provide for the market commission to file and record a copy of the note and the mortgage payable to the lender and any other data deemed necessary by the commission or commission staff.</w:t>
      </w:r>
    </w:p>
    <w:p w14:paraId="43AE95F1" w14:textId="77777777" w:rsidR="00CF626A" w:rsidRPr="001531CD" w:rsidRDefault="00CF626A">
      <w:pPr>
        <w:pStyle w:val="A"/>
      </w:pPr>
      <w:r w:rsidRPr="001531CD">
        <w:t>F.</w:t>
      </w:r>
      <w:r w:rsidRPr="001531CD">
        <w:tab/>
        <w:t>The market commission shall authorize the setting of a loan closing date and the disbursement of loan proceeds upon presentation of all information required in §313.A-E.</w:t>
      </w:r>
    </w:p>
    <w:p w14:paraId="1BBB24FB" w14:textId="77777777" w:rsidR="00CF626A" w:rsidRPr="001531CD" w:rsidRDefault="00CF626A">
      <w:pPr>
        <w:pStyle w:val="A"/>
      </w:pPr>
      <w:r w:rsidRPr="001531CD">
        <w:t>G.</w:t>
      </w:r>
      <w:r w:rsidRPr="001531CD">
        <w:tab/>
        <w:t>The commissioner of agriculture and forestry, or his designee, as official representative of the market commission, shall execute all necessary legal instruments at the loan closing.</w:t>
      </w:r>
    </w:p>
    <w:p w14:paraId="75867045" w14:textId="77777777" w:rsidR="00CF626A" w:rsidRPr="001531CD" w:rsidRDefault="00CF626A">
      <w:pPr>
        <w:pStyle w:val="A"/>
      </w:pPr>
      <w:r w:rsidRPr="001531CD">
        <w:t>H.</w:t>
      </w:r>
      <w:r w:rsidRPr="001531CD">
        <w:tab/>
        <w:t>The loan guarantee agreement shall be executed by the borrower, the lender and the commissioner of agriculture and forestry, or his designee, as the official representative of the market commission.</w:t>
      </w:r>
    </w:p>
    <w:p w14:paraId="418E0505" w14:textId="77777777" w:rsidR="00CF626A" w:rsidRPr="001531CD" w:rsidRDefault="00CF626A">
      <w:pPr>
        <w:pStyle w:val="AuthorityNote"/>
      </w:pPr>
      <w:r w:rsidRPr="001531CD">
        <w:t>AUTHORITY NOTE:</w:t>
      </w:r>
      <w:r w:rsidRPr="001531CD">
        <w:tab/>
        <w:t>Promulgated in accordance with R.S. 3:450.3.</w:t>
      </w:r>
    </w:p>
    <w:p w14:paraId="006377B2" w14:textId="77777777" w:rsidR="00CF626A" w:rsidRPr="001531CD" w:rsidRDefault="00CF626A">
      <w:pPr>
        <w:pStyle w:val="HistoricalNote"/>
      </w:pPr>
      <w:r w:rsidRPr="001531CD">
        <w:t>HISTORICAL NOTE:</w:t>
      </w:r>
      <w:r w:rsidRPr="001531CD">
        <w:tab/>
        <w:t>Promulgated by the Department of Agriculture and Forestry, Market Commission, LR 13:80 (February 1987).</w:t>
      </w:r>
    </w:p>
    <w:p w14:paraId="02F3AA34" w14:textId="77777777" w:rsidR="00CF626A" w:rsidRPr="001531CD" w:rsidRDefault="00CF626A">
      <w:pPr>
        <w:pStyle w:val="Section"/>
      </w:pPr>
      <w:bookmarkStart w:id="589" w:name="_Toc256754324"/>
      <w:bookmarkStart w:id="590" w:name="_Toc224818558"/>
      <w:r w:rsidRPr="001531CD">
        <w:t>§315.</w:t>
      </w:r>
      <w:r w:rsidRPr="001531CD">
        <w:tab/>
        <w:t>Interest and Loan Guaranties</w:t>
      </w:r>
      <w:bookmarkEnd w:id="589"/>
      <w:bookmarkEnd w:id="590"/>
    </w:p>
    <w:p w14:paraId="58D54BC1" w14:textId="77777777" w:rsidR="00CF626A" w:rsidRPr="001531CD" w:rsidRDefault="00CF626A">
      <w:pPr>
        <w:pStyle w:val="A"/>
      </w:pPr>
      <w:r w:rsidRPr="001531CD">
        <w:t>A.</w:t>
      </w:r>
      <w:r w:rsidRPr="001531CD">
        <w:tab/>
        <w:t>The market commission shall fix the rate of interest to be charged on every commission loan on a case by case basis, however, in no case shall the rate be less than the base federal reserve discount rate at the time the loan is approved.</w:t>
      </w:r>
    </w:p>
    <w:p w14:paraId="09C8228A" w14:textId="77777777" w:rsidR="00CF626A" w:rsidRPr="001531CD" w:rsidRDefault="00CF626A">
      <w:pPr>
        <w:pStyle w:val="A"/>
      </w:pPr>
      <w:r w:rsidRPr="001531CD">
        <w:t>B.</w:t>
      </w:r>
      <w:r w:rsidRPr="001531CD">
        <w:tab/>
        <w:t>The market commission may approve a fixed or variable rate of interest on commission loans. If a fixed rate is approved, the interest rate in effect at the time of loan approval shall govern the interest to be paid on the loan for the term of the loan. If a variable rate is approved, the interest rate shall not, at any time, be less than the base federal reserve discount rate.</w:t>
      </w:r>
    </w:p>
    <w:p w14:paraId="5DE1D036" w14:textId="77777777" w:rsidR="00CF626A" w:rsidRPr="001531CD" w:rsidRDefault="00CF626A">
      <w:pPr>
        <w:pStyle w:val="A"/>
      </w:pPr>
      <w:r w:rsidRPr="001531CD">
        <w:t>C.</w:t>
      </w:r>
      <w:r w:rsidRPr="001531CD">
        <w:tab/>
        <w:t>The market commission may approve any fixed or variable interest rate on any loan guaranteed by the commission provided the interest rate is a fair market rate as determined by the commission.</w:t>
      </w:r>
    </w:p>
    <w:p w14:paraId="3AFD9DC8" w14:textId="77777777" w:rsidR="00CF626A" w:rsidRPr="001531CD" w:rsidRDefault="00CF626A">
      <w:pPr>
        <w:pStyle w:val="AuthorityNote"/>
      </w:pPr>
      <w:r w:rsidRPr="001531CD">
        <w:rPr>
          <w:szCs w:val="18"/>
        </w:rPr>
        <w:t>AUTHORITY NOTE:</w:t>
      </w:r>
      <w:r w:rsidRPr="001531CD">
        <w:rPr>
          <w:szCs w:val="18"/>
        </w:rPr>
        <w:tab/>
      </w:r>
      <w:r w:rsidRPr="001531CD">
        <w:t>Promulgated in accordance with R.S. 3:450.3 and R.S. 3:450.5.</w:t>
      </w:r>
    </w:p>
    <w:p w14:paraId="2E9AC64B" w14:textId="77777777" w:rsidR="00CF626A" w:rsidRPr="001531CD" w:rsidRDefault="00CF626A">
      <w:pPr>
        <w:pStyle w:val="HistoricalNote"/>
      </w:pPr>
      <w:r w:rsidRPr="001531CD">
        <w:t>HISTORICAL NOTE:</w:t>
      </w:r>
      <w:r w:rsidRPr="001531CD">
        <w:tab/>
        <w:t>Promulgated by the Department of Agriculture and Forestry, Market Commission, LR 13:81 (February 1987).</w:t>
      </w:r>
    </w:p>
    <w:p w14:paraId="02B5ED69" w14:textId="77777777" w:rsidR="00CF626A" w:rsidRPr="001531CD" w:rsidRDefault="00CF626A">
      <w:pPr>
        <w:pStyle w:val="Section"/>
      </w:pPr>
      <w:bookmarkStart w:id="591" w:name="_Toc256754325"/>
      <w:bookmarkStart w:id="592" w:name="_Toc224818559"/>
      <w:r w:rsidRPr="001531CD">
        <w:lastRenderedPageBreak/>
        <w:t>§317.</w:t>
      </w:r>
      <w:r w:rsidRPr="001531CD">
        <w:tab/>
        <w:t>Requirements Subsequent to Disbursement of Loan Proceeds</w:t>
      </w:r>
      <w:bookmarkEnd w:id="591"/>
      <w:bookmarkEnd w:id="592"/>
    </w:p>
    <w:p w14:paraId="18619789" w14:textId="77777777" w:rsidR="00CF626A" w:rsidRPr="001531CD" w:rsidRDefault="00CF626A">
      <w:pPr>
        <w:pStyle w:val="A"/>
      </w:pPr>
      <w:r w:rsidRPr="001531CD">
        <w:t>A.</w:t>
      </w:r>
      <w:r w:rsidRPr="001531CD">
        <w:tab/>
        <w:t>Each year, on the anniversary of the disbursement of loan proceeds, each recipient of a loan or a loan guaranty shall provide the following:</w:t>
      </w:r>
    </w:p>
    <w:p w14:paraId="72FF13B3" w14:textId="77777777" w:rsidR="00CF626A" w:rsidRPr="001531CD" w:rsidRDefault="00CF626A" w:rsidP="0034445B">
      <w:pPr>
        <w:pStyle w:val="1"/>
        <w:spacing w:after="80"/>
      </w:pPr>
      <w:r w:rsidRPr="001531CD">
        <w:t>1.</w:t>
      </w:r>
      <w:r w:rsidRPr="001531CD">
        <w:tab/>
        <w:t>a listing of all stockholders, with the number of shares held by each, at any time during the previous year;</w:t>
      </w:r>
    </w:p>
    <w:p w14:paraId="3EA39BF6" w14:textId="77777777" w:rsidR="00CF626A" w:rsidRPr="001531CD" w:rsidRDefault="00CF626A" w:rsidP="0034445B">
      <w:pPr>
        <w:pStyle w:val="1"/>
        <w:spacing w:after="80"/>
      </w:pPr>
      <w:r w:rsidRPr="001531CD">
        <w:t>2.</w:t>
      </w:r>
      <w:r w:rsidRPr="001531CD">
        <w:tab/>
        <w:t>a current statement of its operations, including an analysis of profits and losses;</w:t>
      </w:r>
    </w:p>
    <w:p w14:paraId="25A2EF6E" w14:textId="77777777" w:rsidR="00CF626A" w:rsidRPr="001531CD" w:rsidRDefault="00CF626A" w:rsidP="0034445B">
      <w:pPr>
        <w:pStyle w:val="1"/>
        <w:spacing w:after="80"/>
      </w:pPr>
      <w:r w:rsidRPr="001531CD">
        <w:t>3.</w:t>
      </w:r>
      <w:r w:rsidRPr="001531CD">
        <w:tab/>
        <w:t>a statement of financial condition, including but not limited to a balance sheet and profit and loss statement for the most recently completed fiscal year;</w:t>
      </w:r>
    </w:p>
    <w:p w14:paraId="76C8183D" w14:textId="77777777" w:rsidR="00CF626A" w:rsidRPr="001531CD" w:rsidRDefault="00CF626A" w:rsidP="0034445B">
      <w:pPr>
        <w:pStyle w:val="1"/>
        <w:spacing w:after="80"/>
      </w:pPr>
      <w:r w:rsidRPr="001531CD">
        <w:t>4.</w:t>
      </w:r>
      <w:r w:rsidRPr="001531CD">
        <w:tab/>
        <w:t>a current personal financial statement of all principals who have endorsed the note or are liable for repayment of the loan or any part thereof.</w:t>
      </w:r>
    </w:p>
    <w:p w14:paraId="7556CEB9" w14:textId="77777777" w:rsidR="00CF626A" w:rsidRPr="001531CD" w:rsidRDefault="00CF626A" w:rsidP="0034445B">
      <w:pPr>
        <w:pStyle w:val="A"/>
        <w:spacing w:after="80"/>
      </w:pPr>
      <w:r w:rsidRPr="001531CD">
        <w:t>B.</w:t>
      </w:r>
      <w:r w:rsidRPr="001531CD">
        <w:tab/>
        <w:t>Each recipient of a loan guaranty shall authorize the lender holding the loan record to file quarterly statements with the market commission showing the principal balance remaining outstanding and any defaults in payment.</w:t>
      </w:r>
    </w:p>
    <w:p w14:paraId="1E458512" w14:textId="77777777" w:rsidR="00CF626A" w:rsidRPr="001531CD" w:rsidRDefault="00CF626A">
      <w:pPr>
        <w:pStyle w:val="AuthorityNote"/>
      </w:pPr>
      <w:r w:rsidRPr="001531CD">
        <w:t>AUTHORITY NOTE:</w:t>
      </w:r>
      <w:r w:rsidRPr="001531CD">
        <w:tab/>
        <w:t>Promulgated in accordance with R.S. 3:450.3.</w:t>
      </w:r>
    </w:p>
    <w:p w14:paraId="6C0ED2BC" w14:textId="77777777" w:rsidR="00CF626A" w:rsidRPr="001531CD" w:rsidRDefault="00CF626A">
      <w:pPr>
        <w:pStyle w:val="HistoricalNote"/>
      </w:pPr>
      <w:r w:rsidRPr="001531CD">
        <w:t>HISTORICAL NOTE:</w:t>
      </w:r>
      <w:r w:rsidRPr="001531CD">
        <w:tab/>
        <w:t>Promulgated by the Department of Agriculture and Forestry, Market Commission, LR 13:81 (February 1987).</w:t>
      </w:r>
    </w:p>
    <w:p w14:paraId="0FB77647" w14:textId="77777777" w:rsidR="00CF626A" w:rsidRPr="001531CD" w:rsidRDefault="00CF626A" w:rsidP="0034445B">
      <w:pPr>
        <w:pStyle w:val="Section"/>
        <w:spacing w:after="80"/>
      </w:pPr>
      <w:bookmarkStart w:id="593" w:name="_Toc256754326"/>
      <w:bookmarkStart w:id="594" w:name="_Toc224818560"/>
      <w:r w:rsidRPr="001531CD">
        <w:t>§319.</w:t>
      </w:r>
      <w:r w:rsidRPr="001531CD">
        <w:tab/>
        <w:t>Balloon Notes and Re-Scheduling of Payments</w:t>
      </w:r>
      <w:bookmarkEnd w:id="593"/>
      <w:bookmarkEnd w:id="594"/>
    </w:p>
    <w:p w14:paraId="0C413E90" w14:textId="77777777" w:rsidR="00CF626A" w:rsidRPr="001531CD" w:rsidRDefault="00CF626A" w:rsidP="0034445B">
      <w:pPr>
        <w:pStyle w:val="A"/>
        <w:spacing w:after="80"/>
      </w:pPr>
      <w:r w:rsidRPr="001531CD">
        <w:t>A.</w:t>
      </w:r>
      <w:r w:rsidRPr="001531CD">
        <w:tab/>
        <w:t>The market commission may approve a note providing for a final balloon payment, but shall not approve a final balloon payment in excess of 75 percent of the total amount of the original loan.</w:t>
      </w:r>
    </w:p>
    <w:p w14:paraId="3E09D9B4" w14:textId="77777777" w:rsidR="00CF626A" w:rsidRPr="001531CD" w:rsidRDefault="00CF626A" w:rsidP="0034445B">
      <w:pPr>
        <w:pStyle w:val="A"/>
        <w:spacing w:after="80"/>
      </w:pPr>
      <w:r w:rsidRPr="001531CD">
        <w:t>B.</w:t>
      </w:r>
      <w:r w:rsidRPr="001531CD">
        <w:tab/>
        <w:t>If the market commission votes in open session to approve rescheduling of a balloon payment, such re-scheduled payments shall be financed at an interest rate determined by the commission at the time of renewal in accordance with §315.A-C.</w:t>
      </w:r>
    </w:p>
    <w:p w14:paraId="1AF19B7F" w14:textId="77777777" w:rsidR="00CF626A" w:rsidRPr="001531CD" w:rsidRDefault="00CF626A" w:rsidP="0034445B">
      <w:pPr>
        <w:pStyle w:val="A"/>
        <w:spacing w:after="80"/>
      </w:pPr>
      <w:r w:rsidRPr="001531CD">
        <w:t>C.</w:t>
      </w:r>
      <w:r w:rsidRPr="001531CD">
        <w:tab/>
        <w:t>No payment schedule shall be extended to more than a total of 20 years from date of the final loan disbursement to date of the final payment under the loan.</w:t>
      </w:r>
    </w:p>
    <w:p w14:paraId="41E70717" w14:textId="77777777" w:rsidR="00CF626A" w:rsidRPr="001531CD" w:rsidRDefault="00CF626A" w:rsidP="0034445B">
      <w:pPr>
        <w:pStyle w:val="A"/>
        <w:spacing w:after="80"/>
      </w:pPr>
      <w:r w:rsidRPr="001531CD">
        <w:t>D.</w:t>
      </w:r>
      <w:r w:rsidRPr="001531CD">
        <w:tab/>
        <w:t>Any request for a renewal of a balloon note shall be accompanied by:</w:t>
      </w:r>
    </w:p>
    <w:p w14:paraId="5707E0C9" w14:textId="77777777" w:rsidR="00CF626A" w:rsidRPr="001531CD" w:rsidRDefault="00CF626A" w:rsidP="0034445B">
      <w:pPr>
        <w:pStyle w:val="1"/>
        <w:spacing w:after="80"/>
      </w:pPr>
      <w:r w:rsidRPr="001531CD">
        <w:t>1.</w:t>
      </w:r>
      <w:r w:rsidRPr="001531CD">
        <w:tab/>
        <w:t>a statement of current financial condition, including balance sheet and profit and loss statement for the most recent fiscal year of operation, prepared in accordance with generally accepted accounting principles;</w:t>
      </w:r>
    </w:p>
    <w:p w14:paraId="64475A48" w14:textId="77777777" w:rsidR="00CF626A" w:rsidRPr="001531CD" w:rsidRDefault="00CF626A" w:rsidP="0034445B">
      <w:pPr>
        <w:pStyle w:val="1"/>
        <w:spacing w:after="80"/>
      </w:pPr>
      <w:r w:rsidRPr="001531CD">
        <w:t>2.</w:t>
      </w:r>
      <w:r w:rsidRPr="001531CD">
        <w:tab/>
        <w:t>names and addresses of all stockholders and the number of shares held by each;</w:t>
      </w:r>
    </w:p>
    <w:p w14:paraId="205F5F24" w14:textId="77777777" w:rsidR="00CF626A" w:rsidRPr="001531CD" w:rsidRDefault="00CF626A" w:rsidP="0034445B">
      <w:pPr>
        <w:pStyle w:val="1"/>
        <w:spacing w:after="80"/>
      </w:pPr>
      <w:r w:rsidRPr="001531CD">
        <w:t>3.</w:t>
      </w:r>
      <w:r w:rsidRPr="001531CD">
        <w:tab/>
        <w:t>detailed explanation of the reason for the requested renewal.</w:t>
      </w:r>
    </w:p>
    <w:p w14:paraId="05D19989" w14:textId="77777777" w:rsidR="00CF626A" w:rsidRPr="001531CD" w:rsidRDefault="00CF626A">
      <w:pPr>
        <w:pStyle w:val="AuthorityNote"/>
      </w:pPr>
      <w:r w:rsidRPr="001531CD">
        <w:t>AUTHORITY NOTE:</w:t>
      </w:r>
      <w:r w:rsidRPr="001531CD">
        <w:tab/>
        <w:t>Promulgated in accordance with R.S. 3:450.3.</w:t>
      </w:r>
    </w:p>
    <w:p w14:paraId="54FBCBC0" w14:textId="77777777" w:rsidR="00CF626A" w:rsidRPr="001531CD" w:rsidRDefault="00CF626A">
      <w:pPr>
        <w:pStyle w:val="HistoricalNote"/>
      </w:pPr>
      <w:r w:rsidRPr="001531CD">
        <w:t>HISTORICAL NOTE:</w:t>
      </w:r>
      <w:r w:rsidRPr="001531CD">
        <w:tab/>
        <w:t>Promulgated by the Department of Agriculture and Forestry, Market Commission, LR 13:81 (February 1987).</w:t>
      </w:r>
    </w:p>
    <w:p w14:paraId="5AC45A51" w14:textId="77777777" w:rsidR="00CF626A" w:rsidRPr="001531CD" w:rsidRDefault="00CF626A">
      <w:pPr>
        <w:pStyle w:val="Section"/>
      </w:pPr>
      <w:bookmarkStart w:id="595" w:name="_Toc256754327"/>
      <w:bookmarkStart w:id="596" w:name="_Toc224818561"/>
      <w:r w:rsidRPr="001531CD">
        <w:t>§321.</w:t>
      </w:r>
      <w:r w:rsidRPr="001531CD">
        <w:tab/>
        <w:t>Cooperative Endeavor Agreements</w:t>
      </w:r>
      <w:bookmarkEnd w:id="595"/>
      <w:bookmarkEnd w:id="596"/>
    </w:p>
    <w:p w14:paraId="39C9BFE6" w14:textId="77777777" w:rsidR="00CF626A" w:rsidRPr="001531CD" w:rsidRDefault="00CF626A" w:rsidP="0034445B">
      <w:pPr>
        <w:pStyle w:val="A"/>
        <w:spacing w:after="80"/>
      </w:pPr>
      <w:r w:rsidRPr="001531CD">
        <w:t>A.</w:t>
      </w:r>
      <w:r w:rsidRPr="001531CD">
        <w:tab/>
        <w:t>The market commission may enter into cooperative endeavor agreements.</w:t>
      </w:r>
    </w:p>
    <w:p w14:paraId="0BD3B8AB" w14:textId="77777777" w:rsidR="00CF626A" w:rsidRPr="001531CD" w:rsidRDefault="00CF626A" w:rsidP="0034445B">
      <w:pPr>
        <w:pStyle w:val="A"/>
        <w:spacing w:after="80"/>
      </w:pPr>
      <w:r w:rsidRPr="001531CD">
        <w:t>B.</w:t>
      </w:r>
      <w:r w:rsidRPr="001531CD">
        <w:tab/>
        <w:t>All cooperative endeavor agreements shall be written and shall be approved by the market commission.</w:t>
      </w:r>
    </w:p>
    <w:p w14:paraId="546030FE" w14:textId="77777777" w:rsidR="00CF626A" w:rsidRPr="001531CD" w:rsidRDefault="00CF626A" w:rsidP="0034445B">
      <w:pPr>
        <w:pStyle w:val="A"/>
        <w:spacing w:after="80"/>
      </w:pPr>
      <w:r w:rsidRPr="001531CD">
        <w:t>C.</w:t>
      </w:r>
      <w:r w:rsidRPr="001531CD">
        <w:tab/>
        <w:t>Cooperative endeavor agreements shall not exceed a term of five years, but may be renewed for any additional term by the market commission.</w:t>
      </w:r>
    </w:p>
    <w:p w14:paraId="094454F2" w14:textId="77777777" w:rsidR="00CF626A" w:rsidRPr="001531CD" w:rsidRDefault="00CF626A" w:rsidP="0034445B">
      <w:pPr>
        <w:pStyle w:val="A"/>
        <w:spacing w:after="80"/>
      </w:pPr>
      <w:r w:rsidRPr="001531CD">
        <w:t>D.</w:t>
      </w:r>
      <w:r w:rsidRPr="001531CD">
        <w:tab/>
        <w:t>Cooperative endeavors may be entered into with persons who have received or are negotiating for loans or loan guarantees from the market commission.</w:t>
      </w:r>
    </w:p>
    <w:p w14:paraId="1D7B8522" w14:textId="77777777" w:rsidR="00CF626A" w:rsidRPr="001531CD" w:rsidRDefault="00CF626A" w:rsidP="0034445B">
      <w:pPr>
        <w:pStyle w:val="A"/>
        <w:spacing w:after="80"/>
      </w:pPr>
      <w:r w:rsidRPr="001531CD">
        <w:t>E.</w:t>
      </w:r>
      <w:r w:rsidRPr="001531CD">
        <w:tab/>
        <w:t>The market commission shall not enter into any cooperative endeavor unless it involves the creation of a significant number of new jobs in relation to the amount of participation by the commission.</w:t>
      </w:r>
    </w:p>
    <w:p w14:paraId="26AF2C31" w14:textId="77777777" w:rsidR="00CF626A" w:rsidRPr="001531CD" w:rsidRDefault="00CF626A">
      <w:pPr>
        <w:pStyle w:val="AuthorityNote"/>
      </w:pPr>
      <w:r w:rsidRPr="001531CD">
        <w:t>AUTHORITY NOTE:</w:t>
      </w:r>
      <w:r w:rsidRPr="001531CD">
        <w:tab/>
        <w:t>Promulgated in accordance with R.S. 3:450.1 and R.S. 3:450.3.</w:t>
      </w:r>
    </w:p>
    <w:p w14:paraId="293F082D" w14:textId="77777777" w:rsidR="00CF626A" w:rsidRPr="001531CD" w:rsidRDefault="00CF626A">
      <w:pPr>
        <w:pStyle w:val="HistoricalNote"/>
      </w:pPr>
      <w:r w:rsidRPr="001531CD">
        <w:t>HISTORICAL NOTE:</w:t>
      </w:r>
      <w:r w:rsidRPr="001531CD">
        <w:tab/>
        <w:t>Promulgated by the Department of Agriculture and Forestry, Market Commission, LR 13:81 (February 1987).</w:t>
      </w:r>
    </w:p>
    <w:p w14:paraId="72297EE9" w14:textId="77777777" w:rsidR="00CF626A" w:rsidRPr="001531CD" w:rsidRDefault="00CF626A">
      <w:pPr>
        <w:pStyle w:val="Section"/>
      </w:pPr>
      <w:bookmarkStart w:id="597" w:name="_Toc256754328"/>
      <w:bookmarkStart w:id="598" w:name="_Toc224818562"/>
      <w:r w:rsidRPr="001531CD">
        <w:t>§323.</w:t>
      </w:r>
      <w:r w:rsidRPr="001531CD">
        <w:tab/>
        <w:t>Delinquency and Foreclosure on Market Commission Loans</w:t>
      </w:r>
      <w:bookmarkEnd w:id="597"/>
      <w:bookmarkEnd w:id="598"/>
      <w:r w:rsidRPr="001531CD">
        <w:t xml:space="preserve"> </w:t>
      </w:r>
    </w:p>
    <w:p w14:paraId="3CF6A54F" w14:textId="77777777" w:rsidR="00CF626A" w:rsidRPr="001531CD" w:rsidRDefault="00CF626A">
      <w:pPr>
        <w:pStyle w:val="A"/>
      </w:pPr>
      <w:r w:rsidRPr="001531CD">
        <w:t>A.</w:t>
      </w:r>
      <w:r w:rsidRPr="001531CD">
        <w:tab/>
        <w:t>Any unpaid principal and/or interest shall be considered delinquent on the tenth day following the due date.</w:t>
      </w:r>
    </w:p>
    <w:p w14:paraId="5D309A7E" w14:textId="77777777" w:rsidR="00CF626A" w:rsidRPr="001531CD" w:rsidRDefault="00CF626A">
      <w:pPr>
        <w:pStyle w:val="A"/>
      </w:pPr>
      <w:r w:rsidRPr="001531CD">
        <w:t>B.</w:t>
      </w:r>
      <w:r w:rsidRPr="001531CD">
        <w:tab/>
        <w:t>Routine written notification of delinquency shall be sent to the borrower on the thirtieth day following the due date.</w:t>
      </w:r>
    </w:p>
    <w:p w14:paraId="2CA3C8F6" w14:textId="77777777" w:rsidR="00CF626A" w:rsidRPr="001531CD" w:rsidRDefault="00CF626A">
      <w:pPr>
        <w:pStyle w:val="A"/>
      </w:pPr>
      <w:r w:rsidRPr="001531CD">
        <w:t>C.</w:t>
      </w:r>
      <w:r w:rsidRPr="001531CD">
        <w:tab/>
        <w:t>In the absence of response to the 30-day notification, the market commission staff shall send a specific written notification concerning the delinquency on the sixtieth day following the due date, which notification shall be sent by certified mail, return receipt requested.</w:t>
      </w:r>
    </w:p>
    <w:p w14:paraId="22616281" w14:textId="77777777" w:rsidR="00CF626A" w:rsidRPr="001531CD" w:rsidRDefault="00CF626A">
      <w:pPr>
        <w:pStyle w:val="A"/>
      </w:pPr>
      <w:r w:rsidRPr="001531CD">
        <w:t>D.</w:t>
      </w:r>
      <w:r w:rsidRPr="001531CD">
        <w:tab/>
        <w:t>In the absence of response to the 60-day notification, the delinquency shall be reported to the market commission.</w:t>
      </w:r>
    </w:p>
    <w:p w14:paraId="0D0CC03D" w14:textId="77777777" w:rsidR="00CF626A" w:rsidRPr="001531CD" w:rsidRDefault="00CF626A">
      <w:pPr>
        <w:pStyle w:val="A"/>
      </w:pPr>
      <w:r w:rsidRPr="001531CD">
        <w:t>E.</w:t>
      </w:r>
      <w:r w:rsidRPr="001531CD">
        <w:tab/>
        <w:t>Subsequent to notification to the market commission, the staff, unless otherwise directed by the commission, shall forward a demand letter, again by certified mail with return receipt requested, informing the borrower that the remaining balance is accelerated, together with all interest accrued, and the full sum of the obligation is due and payable to the commission.</w:t>
      </w:r>
    </w:p>
    <w:p w14:paraId="3D37A1AD" w14:textId="77777777" w:rsidR="00CF626A" w:rsidRPr="001531CD" w:rsidRDefault="00CF626A">
      <w:pPr>
        <w:pStyle w:val="A"/>
      </w:pPr>
      <w:r w:rsidRPr="001531CD">
        <w:t>F.</w:t>
      </w:r>
      <w:r w:rsidRPr="001531CD">
        <w:tab/>
        <w:t>In the absence of satisfactory arrangements for repayment of the delinquency thereafter, the market commission shall initiate foreclosure proceedings no sooner than the ninetieth day following the due date of the unpaid principal and interest.</w:t>
      </w:r>
    </w:p>
    <w:p w14:paraId="1A42488F" w14:textId="77777777" w:rsidR="00CF626A" w:rsidRPr="001531CD" w:rsidRDefault="00CF626A">
      <w:pPr>
        <w:pStyle w:val="A"/>
      </w:pPr>
      <w:r w:rsidRPr="001531CD">
        <w:t>G.</w:t>
      </w:r>
      <w:r w:rsidRPr="001531CD">
        <w:tab/>
        <w:t>The market commission shall secure a judgment and foreclose on the collateral securing the loan and, if deemed in the best interest of the commission, secure deficiency judgments against all personal endorsers or other persons liable on the loan in whole or part.</w:t>
      </w:r>
    </w:p>
    <w:p w14:paraId="7BE66033" w14:textId="77777777" w:rsidR="00CF626A" w:rsidRPr="001531CD" w:rsidRDefault="00CF626A">
      <w:pPr>
        <w:pStyle w:val="A"/>
      </w:pPr>
      <w:r w:rsidRPr="001531CD">
        <w:t>H.</w:t>
      </w:r>
      <w:r w:rsidRPr="001531CD">
        <w:tab/>
        <w:t>The market commission staff shall select an appraiser to do any appra</w:t>
      </w:r>
      <w:r w:rsidR="001E6D46" w:rsidRPr="001531CD">
        <w:t>isal necessary for foreclosure.</w:t>
      </w:r>
    </w:p>
    <w:p w14:paraId="500584F4" w14:textId="77777777" w:rsidR="00CF626A" w:rsidRPr="001531CD" w:rsidRDefault="00CF626A">
      <w:pPr>
        <w:pStyle w:val="AuthorityNote"/>
      </w:pPr>
      <w:r w:rsidRPr="001531CD">
        <w:lastRenderedPageBreak/>
        <w:t>AUTHORITY NOTE:</w:t>
      </w:r>
      <w:r w:rsidRPr="001531CD">
        <w:tab/>
        <w:t>Promulgated in accordance with R.S. 3:450.3.</w:t>
      </w:r>
    </w:p>
    <w:p w14:paraId="7ECA6B5D" w14:textId="77777777" w:rsidR="00CF626A" w:rsidRPr="001531CD" w:rsidRDefault="00CF626A">
      <w:pPr>
        <w:pStyle w:val="HistoricalNote"/>
      </w:pPr>
      <w:r w:rsidRPr="001531CD">
        <w:t>HISTORICAL NOTE:</w:t>
      </w:r>
      <w:r w:rsidRPr="001531CD">
        <w:tab/>
        <w:t>Promulgated by the Department of Agriculture and Forestry, Market Commission, LR 13:81 (February 1987).</w:t>
      </w:r>
    </w:p>
    <w:p w14:paraId="3685D01D" w14:textId="77777777" w:rsidR="00CF626A" w:rsidRPr="001531CD" w:rsidRDefault="00CF626A">
      <w:pPr>
        <w:pStyle w:val="Section"/>
      </w:pPr>
      <w:bookmarkStart w:id="599" w:name="_Toc256754329"/>
      <w:bookmarkStart w:id="600" w:name="_Toc224818563"/>
      <w:r w:rsidRPr="001531CD">
        <w:t>§325.</w:t>
      </w:r>
      <w:r w:rsidRPr="001531CD">
        <w:tab/>
        <w:t>Prohibitions</w:t>
      </w:r>
      <w:bookmarkEnd w:id="599"/>
      <w:bookmarkEnd w:id="600"/>
    </w:p>
    <w:p w14:paraId="468DAFCB" w14:textId="77777777" w:rsidR="00CF626A" w:rsidRPr="001531CD" w:rsidRDefault="00CF626A">
      <w:pPr>
        <w:pStyle w:val="A"/>
      </w:pPr>
      <w:r w:rsidRPr="001531CD">
        <w:t>A.</w:t>
      </w:r>
      <w:r w:rsidRPr="001531CD">
        <w:tab/>
        <w:t>The market commission shall not approve any loan or loan guaranty for any applicant who fails to submit all required information.</w:t>
      </w:r>
    </w:p>
    <w:p w14:paraId="449DCE9F" w14:textId="77777777" w:rsidR="00CF626A" w:rsidRPr="001531CD" w:rsidRDefault="00CF626A">
      <w:pPr>
        <w:pStyle w:val="A"/>
      </w:pPr>
      <w:r w:rsidRPr="001531CD">
        <w:t>B.</w:t>
      </w:r>
      <w:r w:rsidRPr="001531CD">
        <w:tab/>
        <w:t>The market commission shall not approve any loan or loan guaranty for any person which is not domiciled in Louisiana.</w:t>
      </w:r>
    </w:p>
    <w:p w14:paraId="750C755D" w14:textId="77777777" w:rsidR="00CF626A" w:rsidRPr="001531CD" w:rsidRDefault="00CF626A">
      <w:pPr>
        <w:pStyle w:val="A"/>
      </w:pPr>
      <w:r w:rsidRPr="001531CD">
        <w:t>C.</w:t>
      </w:r>
      <w:r w:rsidRPr="001531CD">
        <w:tab/>
        <w:t>The market commission shall not approve any loan or loan guaranty in the amount exceeding 75 percent of the appraised value of all property offered as security for the loan or any loan or loan guaranty not secured by a first mortgage on the property offered as security.</w:t>
      </w:r>
    </w:p>
    <w:p w14:paraId="79FF5530" w14:textId="77777777" w:rsidR="00CF626A" w:rsidRPr="001531CD" w:rsidRDefault="00CF626A">
      <w:pPr>
        <w:pStyle w:val="A"/>
      </w:pPr>
      <w:r w:rsidRPr="001531CD">
        <w:t>D.</w:t>
      </w:r>
      <w:r w:rsidRPr="001531CD">
        <w:tab/>
        <w:t>The market commission shall not approve any loan or loan guaranty for any person with any pending or outstanding charge or liability relating to failure or inability to pay promissory notes or any other evidence of indebtedness.</w:t>
      </w:r>
    </w:p>
    <w:p w14:paraId="5373FB90" w14:textId="77777777" w:rsidR="00CF626A" w:rsidRPr="001531CD" w:rsidRDefault="00CF626A">
      <w:pPr>
        <w:pStyle w:val="A"/>
      </w:pPr>
      <w:r w:rsidRPr="001531CD">
        <w:t>E.</w:t>
      </w:r>
      <w:r w:rsidRPr="001531CD">
        <w:tab/>
        <w:t>The market commission shall not approve any loan or loan guaranty for any person, which has presently pending, at the federal, state or local level, any proceeding concerning the denial or revocation of a necessary license or permit.</w:t>
      </w:r>
    </w:p>
    <w:p w14:paraId="23869729" w14:textId="77777777" w:rsidR="00CF626A" w:rsidRPr="001531CD" w:rsidRDefault="00CF626A">
      <w:pPr>
        <w:pStyle w:val="A"/>
      </w:pPr>
      <w:r w:rsidRPr="001531CD">
        <w:t>F.</w:t>
      </w:r>
      <w:r w:rsidRPr="001531CD">
        <w:tab/>
        <w:t>The market commission shall not approve any loan or loan guaranty the proceeds of which are to be, or may be, used for the consolidation of existing, previous financial obligations.</w:t>
      </w:r>
    </w:p>
    <w:p w14:paraId="7D61BD2F" w14:textId="77777777" w:rsidR="00CF626A" w:rsidRPr="001531CD" w:rsidRDefault="00CF626A">
      <w:pPr>
        <w:pStyle w:val="A"/>
      </w:pPr>
      <w:r w:rsidRPr="001531CD">
        <w:t>G.</w:t>
      </w:r>
      <w:r w:rsidRPr="001531CD">
        <w:tab/>
        <w:t>The market commission shall not approve any loan or combination of loans to a single person, which is in excess of 50 percent of the total funds for loans or guaranties under this program.</w:t>
      </w:r>
    </w:p>
    <w:p w14:paraId="29A3A43E" w14:textId="77777777" w:rsidR="00CF626A" w:rsidRPr="001531CD" w:rsidRDefault="00CF626A">
      <w:pPr>
        <w:pStyle w:val="A"/>
      </w:pPr>
      <w:r w:rsidRPr="001531CD">
        <w:t>H.</w:t>
      </w:r>
      <w:r w:rsidRPr="001531CD">
        <w:tab/>
        <w:t>The market commission shall not approve any loan or loan guaranty for any facility constructed or to be constructed on leased land except as follows:</w:t>
      </w:r>
    </w:p>
    <w:p w14:paraId="05E0B538" w14:textId="77777777" w:rsidR="00CF626A" w:rsidRPr="001531CD" w:rsidRDefault="00CF626A">
      <w:pPr>
        <w:pStyle w:val="1"/>
      </w:pPr>
      <w:r w:rsidRPr="001531CD">
        <w:t>1.</w:t>
      </w:r>
      <w:r w:rsidRPr="001531CD">
        <w:tab/>
        <w:t>the lease is for a term extending at least five years beyond the period of the loan;</w:t>
      </w:r>
    </w:p>
    <w:p w14:paraId="1894DEE4" w14:textId="77777777" w:rsidR="00CF626A" w:rsidRPr="001531CD" w:rsidRDefault="00CF626A">
      <w:pPr>
        <w:pStyle w:val="1"/>
      </w:pPr>
      <w:r w:rsidRPr="001531CD">
        <w:t>2.</w:t>
      </w:r>
      <w:r w:rsidRPr="001531CD">
        <w:tab/>
        <w:t>the market commission receives an assignment on the lease and the right of reassignment;</w:t>
      </w:r>
    </w:p>
    <w:p w14:paraId="2237977D" w14:textId="77777777" w:rsidR="00CF626A" w:rsidRPr="001531CD" w:rsidRDefault="00CF626A">
      <w:pPr>
        <w:pStyle w:val="1"/>
      </w:pPr>
      <w:r w:rsidRPr="001531CD">
        <w:t>3.</w:t>
      </w:r>
      <w:r w:rsidRPr="001531CD">
        <w:tab/>
        <w:t>if the loan repayment schedule includes a balloon note, the market commission, at its discretion, may require a lease running for 20 years from the date of the approval of the loan;</w:t>
      </w:r>
    </w:p>
    <w:p w14:paraId="49BB54E6" w14:textId="77777777" w:rsidR="00CF626A" w:rsidRPr="001531CD" w:rsidRDefault="00CF626A">
      <w:pPr>
        <w:pStyle w:val="1"/>
      </w:pPr>
      <w:r w:rsidRPr="001531CD">
        <w:t>4.</w:t>
      </w:r>
      <w:r w:rsidRPr="001531CD">
        <w:tab/>
        <w:t>a waiver of landlord's lien and privilege on movables must be provided.</w:t>
      </w:r>
    </w:p>
    <w:p w14:paraId="32B4E820" w14:textId="77777777" w:rsidR="00CF626A" w:rsidRPr="001531CD" w:rsidRDefault="00CF626A">
      <w:pPr>
        <w:pStyle w:val="A"/>
      </w:pPr>
      <w:r w:rsidRPr="001531CD">
        <w:t>I.</w:t>
      </w:r>
      <w:r w:rsidRPr="001531CD">
        <w:tab/>
        <w:t>The market commission shall not make any loan or loan guaranty on immovable equipment, building improvements and/or additions unless the property on which it is located is secured by a first mortgage to the commission or other lender.</w:t>
      </w:r>
    </w:p>
    <w:p w14:paraId="6139F508" w14:textId="77777777" w:rsidR="00CF626A" w:rsidRPr="001531CD" w:rsidRDefault="00CF626A">
      <w:pPr>
        <w:pStyle w:val="A"/>
      </w:pPr>
      <w:r w:rsidRPr="001531CD">
        <w:t>J.</w:t>
      </w:r>
      <w:r w:rsidRPr="001531CD">
        <w:tab/>
        <w:t xml:space="preserve">The terms or conditions imposed and made part of any loan or loan guaranty authorized by vote of the market </w:t>
      </w:r>
      <w:r w:rsidRPr="001531CD">
        <w:t>commission shall not be amended or altered by any member of the commission or employee of the Department of Agriculture and Forestry except by subsequent vote of approval by the commission in open session with full explanation for such action.</w:t>
      </w:r>
    </w:p>
    <w:p w14:paraId="077A12D8" w14:textId="77777777" w:rsidR="00CF626A" w:rsidRPr="001531CD" w:rsidRDefault="00CF626A">
      <w:pPr>
        <w:pStyle w:val="A"/>
      </w:pPr>
      <w:r w:rsidRPr="001531CD">
        <w:t>K.</w:t>
      </w:r>
      <w:r w:rsidRPr="001531CD">
        <w:tab/>
        <w:t>The market commission shall not subordinate its interests if such subordination will result in any risk to its security position.</w:t>
      </w:r>
    </w:p>
    <w:p w14:paraId="7131A143" w14:textId="77777777" w:rsidR="00CF626A" w:rsidRPr="001531CD" w:rsidRDefault="00CF626A">
      <w:pPr>
        <w:pStyle w:val="AuthorityNote"/>
      </w:pPr>
      <w:r w:rsidRPr="001531CD">
        <w:t>AUTHORITY NOTE:</w:t>
      </w:r>
      <w:r w:rsidRPr="001531CD">
        <w:tab/>
        <w:t>Promulgated in accordance with R.S. 3:450.2, R.S. 3:450.3 and R.S. 3:450.5.</w:t>
      </w:r>
    </w:p>
    <w:p w14:paraId="18047B68" w14:textId="77777777" w:rsidR="00CF626A" w:rsidRPr="001531CD" w:rsidRDefault="00CF626A">
      <w:pPr>
        <w:pStyle w:val="HistoricalNote"/>
      </w:pPr>
      <w:r w:rsidRPr="001531CD">
        <w:t>HISTORICAL NOTE:</w:t>
      </w:r>
      <w:r w:rsidRPr="001531CD">
        <w:tab/>
        <w:t>Promulgated by the Department of Agriculture and Forestry, Market Commission, LR 13:82 (February 1987).</w:t>
      </w:r>
    </w:p>
    <w:p w14:paraId="7EFF0631" w14:textId="77777777" w:rsidR="00CF626A" w:rsidRPr="001531CD" w:rsidRDefault="00CF626A">
      <w:pPr>
        <w:pStyle w:val="Chapter"/>
      </w:pPr>
      <w:bookmarkStart w:id="601" w:name="TOC_Chap35"/>
      <w:bookmarkStart w:id="602" w:name="_Toc256754330"/>
      <w:bookmarkStart w:id="603" w:name="_Toc224818564"/>
      <w:r w:rsidRPr="001531CD">
        <w:t>Chapter 5.</w:t>
      </w:r>
      <w:bookmarkEnd w:id="601"/>
      <w:r w:rsidR="001413E4">
        <w:tab/>
      </w:r>
      <w:bookmarkStart w:id="604" w:name="TOCT_Chap13"/>
      <w:bookmarkStart w:id="605" w:name="TOCT_Chap34"/>
      <w:bookmarkStart w:id="606" w:name="TOCT_Chap35"/>
      <w:r w:rsidRPr="001531CD">
        <w:t>Market Commission</w:t>
      </w:r>
      <w:r w:rsidR="005B1246" w:rsidRPr="001531CD">
        <w:t>―</w:t>
      </w:r>
      <w:r w:rsidRPr="001531CD">
        <w:t>Meat Grading and Certification</w:t>
      </w:r>
      <w:bookmarkEnd w:id="602"/>
      <w:bookmarkEnd w:id="603"/>
      <w:bookmarkEnd w:id="604"/>
      <w:bookmarkEnd w:id="605"/>
      <w:bookmarkEnd w:id="606"/>
    </w:p>
    <w:p w14:paraId="189D7599" w14:textId="77777777" w:rsidR="00CF626A" w:rsidRPr="001531CD" w:rsidRDefault="00CF626A">
      <w:pPr>
        <w:pStyle w:val="Section"/>
      </w:pPr>
      <w:bookmarkStart w:id="607" w:name="_Toc256754331"/>
      <w:bookmarkStart w:id="608" w:name="_Toc224818565"/>
      <w:r w:rsidRPr="001531CD">
        <w:t>§501.</w:t>
      </w:r>
      <w:r w:rsidRPr="001531CD">
        <w:tab/>
        <w:t>Establishment of Official State Grades for Meat and Meat Products</w:t>
      </w:r>
      <w:bookmarkEnd w:id="607"/>
      <w:bookmarkEnd w:id="608"/>
    </w:p>
    <w:p w14:paraId="6BB5225B" w14:textId="77777777" w:rsidR="00CF626A" w:rsidRPr="001531CD" w:rsidRDefault="00CF626A">
      <w:pPr>
        <w:pStyle w:val="A"/>
      </w:pPr>
      <w:r w:rsidRPr="001531CD">
        <w:t>A.</w:t>
      </w:r>
      <w:r w:rsidRPr="001531CD">
        <w:tab/>
        <w:t xml:space="preserve">Standards established in </w:t>
      </w:r>
      <w:r w:rsidRPr="001531CD">
        <w:rPr>
          <w:i/>
          <w:iCs/>
        </w:rPr>
        <w:t xml:space="preserve">Official United States Standards for Grades of Carcass Beef, </w:t>
      </w:r>
      <w:r w:rsidRPr="001531CD">
        <w:t>U.S. Department of Agriculture, Food Safety and Quality Service (CFR, Title 7, Chapter XXVIII, Pt. 2853, Sec. 2853.102-2853.107) shall apply to all Louisiana grades of beef.</w:t>
      </w:r>
    </w:p>
    <w:p w14:paraId="1EF3EA9B" w14:textId="77777777" w:rsidR="00CF626A" w:rsidRPr="001531CD" w:rsidRDefault="00CF626A">
      <w:pPr>
        <w:pStyle w:val="A"/>
      </w:pPr>
      <w:r w:rsidRPr="001531CD">
        <w:t>B.</w:t>
      </w:r>
      <w:r w:rsidRPr="001531CD">
        <w:tab/>
        <w:t xml:space="preserve">Standards established in </w:t>
      </w:r>
      <w:r w:rsidRPr="001531CD">
        <w:rPr>
          <w:i/>
          <w:iCs/>
        </w:rPr>
        <w:t xml:space="preserve">Official United States Standards for Grades of Carcass Pork, </w:t>
      </w:r>
      <w:r w:rsidRPr="001531CD">
        <w:t>USDA, FSQS (CFR, Title 7, Chapter XXVIII, Pt. 2853, Sec. 2853.132-2853.137) shall apply to all Louisiana grades of pork.</w:t>
      </w:r>
    </w:p>
    <w:p w14:paraId="0E7C055E" w14:textId="77777777" w:rsidR="00CF626A" w:rsidRPr="001531CD" w:rsidRDefault="00CF626A">
      <w:pPr>
        <w:pStyle w:val="A"/>
      </w:pPr>
      <w:r w:rsidRPr="001531CD">
        <w:t>C.</w:t>
      </w:r>
      <w:r w:rsidRPr="001531CD">
        <w:tab/>
        <w:t xml:space="preserve">Standards established in </w:t>
      </w:r>
      <w:r w:rsidRPr="001531CD">
        <w:rPr>
          <w:i/>
          <w:iCs/>
        </w:rPr>
        <w:t xml:space="preserve">Official United States Standards for Grades of Lamb, Yearling Mutton, and Mutton Carcasses, </w:t>
      </w:r>
      <w:r w:rsidRPr="001531CD">
        <w:t>USDA, FSQS (CFR, Title 7, Chapter XXVIII, Pt. 2853, Sec. 2853.122-2853.127) shall apply to all Louisiana grades of mutton and lamb.</w:t>
      </w:r>
    </w:p>
    <w:p w14:paraId="46E69E72" w14:textId="77777777" w:rsidR="00CF626A" w:rsidRPr="001531CD" w:rsidRDefault="00CF626A">
      <w:pPr>
        <w:pStyle w:val="A"/>
      </w:pPr>
      <w:r w:rsidRPr="001531CD">
        <w:t>D.</w:t>
      </w:r>
      <w:r w:rsidRPr="001531CD">
        <w:tab/>
        <w:t xml:space="preserve">Standards established in </w:t>
      </w:r>
      <w:r w:rsidRPr="001531CD">
        <w:rPr>
          <w:i/>
          <w:iCs/>
        </w:rPr>
        <w:t xml:space="preserve">Official United States Standards for Grades of Veal and Calf Carcasses, </w:t>
      </w:r>
      <w:r w:rsidRPr="001531CD">
        <w:t>USDA, Agricultural Marketing Service (CFR, Title 7, Chapter I, Pt. 53, Sec. 53.107-53.111) shall apply to all Louisiana grades of veal and calf.</w:t>
      </w:r>
    </w:p>
    <w:p w14:paraId="18595734" w14:textId="77777777" w:rsidR="00CF626A" w:rsidRPr="001531CD" w:rsidRDefault="00CF626A">
      <w:pPr>
        <w:pStyle w:val="AuthorityNote"/>
      </w:pPr>
      <w:r w:rsidRPr="001531CD">
        <w:t>AUTHORITY NOTE:</w:t>
      </w:r>
      <w:r w:rsidRPr="001531CD">
        <w:tab/>
        <w:t>Promulgated in accordance with R.S. 3:405 and R.S. 3:410.</w:t>
      </w:r>
    </w:p>
    <w:p w14:paraId="36732CEC" w14:textId="77777777" w:rsidR="00CF626A" w:rsidRPr="001531CD" w:rsidRDefault="00CF626A">
      <w:pPr>
        <w:pStyle w:val="HistoricalNote"/>
      </w:pPr>
      <w:r w:rsidRPr="001531CD">
        <w:t>HISTORICAL NOTE:</w:t>
      </w:r>
      <w:r w:rsidRPr="001531CD">
        <w:tab/>
        <w:t>Promulgated by the Department of Agriculture, Market Commission, LR 7:261 (May 1981).</w:t>
      </w:r>
    </w:p>
    <w:p w14:paraId="7B8F3B10" w14:textId="77777777" w:rsidR="00CF626A" w:rsidRPr="001531CD" w:rsidRDefault="00CF626A">
      <w:pPr>
        <w:pStyle w:val="Section"/>
      </w:pPr>
      <w:bookmarkStart w:id="609" w:name="_Toc256754332"/>
      <w:bookmarkStart w:id="610" w:name="_Toc224818566"/>
      <w:r w:rsidRPr="001531CD">
        <w:t>§503.</w:t>
      </w:r>
      <w:r w:rsidRPr="001531CD">
        <w:tab/>
        <w:t>Certification of Meat and Meat Products</w:t>
      </w:r>
      <w:bookmarkEnd w:id="609"/>
      <w:bookmarkEnd w:id="610"/>
    </w:p>
    <w:p w14:paraId="40D9D324" w14:textId="77777777" w:rsidR="00CF626A" w:rsidRPr="001531CD" w:rsidRDefault="00CF626A">
      <w:pPr>
        <w:pStyle w:val="A"/>
      </w:pPr>
      <w:r w:rsidRPr="001531CD">
        <w:t>A.</w:t>
      </w:r>
      <w:r w:rsidRPr="001531CD">
        <w:tab/>
        <w:t>The examination, acceptance and certification of meat, prepared meat, meat food products, and edible meat by-products shall be in accordance with U.S. Department of Agriculture Meat Grading Requirements.</w:t>
      </w:r>
    </w:p>
    <w:p w14:paraId="7F85EF81" w14:textId="77777777" w:rsidR="00CF626A" w:rsidRPr="001531CD" w:rsidRDefault="00CF626A">
      <w:pPr>
        <w:pStyle w:val="A"/>
      </w:pPr>
      <w:r w:rsidRPr="001531CD">
        <w:t>B.</w:t>
      </w:r>
      <w:r w:rsidRPr="001531CD">
        <w:tab/>
        <w:t xml:space="preserve">Packaging, packing, closure, sealing, and marking requirements for Louisiana grades of meat and meat products shall be the same as those established in </w:t>
      </w:r>
      <w:r w:rsidRPr="001531CD">
        <w:rPr>
          <w:i/>
          <w:iCs/>
        </w:rPr>
        <w:t xml:space="preserve">General Requirements for Institutional Meat Purchase Specifications, </w:t>
      </w:r>
      <w:r w:rsidRPr="001531CD">
        <w:t>U.S. Department of Agriculture, Consumer and Marketing Service, Livestock Division.</w:t>
      </w:r>
    </w:p>
    <w:p w14:paraId="5042297D" w14:textId="77777777" w:rsidR="00CF626A" w:rsidRPr="001531CD" w:rsidRDefault="00CF626A">
      <w:pPr>
        <w:pStyle w:val="A"/>
      </w:pPr>
      <w:r w:rsidRPr="001531CD">
        <w:lastRenderedPageBreak/>
        <w:t>C.</w:t>
      </w:r>
      <w:r w:rsidRPr="001531CD">
        <w:tab/>
        <w:t>All meats, prepared meats, meat food products and edible meat by-products must originate from animals which were slaughtered or from product items which were manufactured or processed in establishments regularly operated under the supervision of the USDA, Meat and Poultry Inspection Program, or the Louisiana Department of Agriculture Meat and Poultry Inspection Program.</w:t>
      </w:r>
    </w:p>
    <w:p w14:paraId="153E838B" w14:textId="77777777" w:rsidR="00CF626A" w:rsidRPr="001531CD" w:rsidRDefault="00CF626A">
      <w:pPr>
        <w:pStyle w:val="AuthorityNote"/>
      </w:pPr>
      <w:r w:rsidRPr="001531CD">
        <w:t>AUTHORITY NOTE:</w:t>
      </w:r>
      <w:r w:rsidRPr="001531CD">
        <w:tab/>
        <w:t>Promulgated in accordance with R.S. 3:405.</w:t>
      </w:r>
    </w:p>
    <w:p w14:paraId="1A492AE3" w14:textId="77777777" w:rsidR="00CF626A" w:rsidRPr="001531CD" w:rsidRDefault="00CF626A">
      <w:pPr>
        <w:pStyle w:val="HistoricalNote"/>
      </w:pPr>
      <w:r w:rsidRPr="001531CD">
        <w:t>HISTORICAL NOTE:</w:t>
      </w:r>
      <w:r w:rsidRPr="001531CD">
        <w:tab/>
        <w:t>Promulgated by the Department of Agriculture, Market Commission, LR 7:261 (May 1981).</w:t>
      </w:r>
    </w:p>
    <w:p w14:paraId="03FF1392" w14:textId="77777777" w:rsidR="00CF626A" w:rsidRPr="001531CD" w:rsidRDefault="00CF626A">
      <w:pPr>
        <w:pStyle w:val="Section"/>
      </w:pPr>
      <w:bookmarkStart w:id="611" w:name="_Toc256754333"/>
      <w:bookmarkStart w:id="612" w:name="_Toc224818567"/>
      <w:r w:rsidRPr="001531CD">
        <w:t>§505.</w:t>
      </w:r>
      <w:r w:rsidRPr="001531CD">
        <w:tab/>
        <w:t>Certification of State Grades of Specific Meats and Meat Products</w:t>
      </w:r>
      <w:bookmarkEnd w:id="611"/>
      <w:bookmarkEnd w:id="612"/>
    </w:p>
    <w:p w14:paraId="6B9E77FE" w14:textId="77777777" w:rsidR="00CF626A" w:rsidRPr="001531CD" w:rsidRDefault="00CF626A">
      <w:pPr>
        <w:pStyle w:val="A"/>
      </w:pPr>
      <w:r w:rsidRPr="001531CD">
        <w:t>A.</w:t>
      </w:r>
      <w:r w:rsidRPr="001531CD">
        <w:tab/>
        <w:t xml:space="preserve">All beef products shall be certified in accordance with the standards established in </w:t>
      </w:r>
      <w:r w:rsidRPr="001531CD">
        <w:rPr>
          <w:i/>
          <w:iCs/>
        </w:rPr>
        <w:t xml:space="preserve">Institutional Meat Purchase Specifications for Fresh Beef, </w:t>
      </w:r>
      <w:r w:rsidRPr="001531CD">
        <w:t>U.S. Department of Agriculture, Agricultural Marketing Service, Livestock Division.</w:t>
      </w:r>
    </w:p>
    <w:p w14:paraId="396E2EB4" w14:textId="77777777" w:rsidR="00CF626A" w:rsidRPr="001531CD" w:rsidRDefault="00CF626A">
      <w:pPr>
        <w:pStyle w:val="A"/>
      </w:pPr>
      <w:r w:rsidRPr="001531CD">
        <w:t>B.</w:t>
      </w:r>
      <w:r w:rsidRPr="001531CD">
        <w:tab/>
        <w:t xml:space="preserve">All lamb and mutton products shall be certified in accordance with the standards established in </w:t>
      </w:r>
      <w:r w:rsidRPr="001531CD">
        <w:rPr>
          <w:i/>
          <w:iCs/>
        </w:rPr>
        <w:t xml:space="preserve">Institutional Meat Purchase Specifications for Fresh Lamb and Mutton, </w:t>
      </w:r>
      <w:r w:rsidRPr="001531CD">
        <w:t>USDA, AMS, Livestock Division.</w:t>
      </w:r>
    </w:p>
    <w:p w14:paraId="53028ABA" w14:textId="77777777" w:rsidR="00CF626A" w:rsidRPr="001531CD" w:rsidRDefault="00CF626A">
      <w:pPr>
        <w:pStyle w:val="A"/>
      </w:pPr>
      <w:r w:rsidRPr="001531CD">
        <w:t>C.</w:t>
      </w:r>
      <w:r w:rsidRPr="001531CD">
        <w:tab/>
        <w:t xml:space="preserve">All veal and calf products shall be certified in accordance with the standards established in </w:t>
      </w:r>
      <w:r w:rsidRPr="001531CD">
        <w:rPr>
          <w:i/>
          <w:iCs/>
        </w:rPr>
        <w:t xml:space="preserve">Institutional Meat Purchase Specifications for Fresh Veal and Calf, </w:t>
      </w:r>
      <w:r w:rsidRPr="001531CD">
        <w:t>USDA, AMS, Livestock Division.</w:t>
      </w:r>
    </w:p>
    <w:p w14:paraId="2390EB85" w14:textId="77777777" w:rsidR="00CF626A" w:rsidRPr="001531CD" w:rsidRDefault="00CF626A">
      <w:pPr>
        <w:pStyle w:val="A"/>
      </w:pPr>
      <w:r w:rsidRPr="001531CD">
        <w:t>D.</w:t>
      </w:r>
      <w:r w:rsidRPr="001531CD">
        <w:tab/>
        <w:t xml:space="preserve">All fresh pork products shall be certified in accordance with the standards established in </w:t>
      </w:r>
      <w:r w:rsidRPr="001531CD">
        <w:rPr>
          <w:i/>
          <w:iCs/>
        </w:rPr>
        <w:t xml:space="preserve">Institutional Meat Purchase Specifications for Fresh Pork, </w:t>
      </w:r>
      <w:r w:rsidRPr="001531CD">
        <w:t>USDA, AMS, Livestock Division.</w:t>
      </w:r>
    </w:p>
    <w:p w14:paraId="09A82104" w14:textId="77777777" w:rsidR="00CF626A" w:rsidRPr="001531CD" w:rsidRDefault="00CF626A">
      <w:pPr>
        <w:pStyle w:val="A"/>
      </w:pPr>
      <w:r w:rsidRPr="001531CD">
        <w:t>E.</w:t>
      </w:r>
      <w:r w:rsidRPr="001531CD">
        <w:tab/>
        <w:t xml:space="preserve">All cured, cured and smoked, and fully-cooked pork products shall be certified in accordance with the standards established in </w:t>
      </w:r>
      <w:r w:rsidRPr="001531CD">
        <w:rPr>
          <w:i/>
          <w:iCs/>
        </w:rPr>
        <w:t xml:space="preserve">Institutional Meat Purchase Specifications for Cured, Cured and Smoked, and Full-Cooked Pork Products, </w:t>
      </w:r>
      <w:r w:rsidRPr="001531CD">
        <w:t>USDA, Food Safety and Quality Service, Meat Quality Division.</w:t>
      </w:r>
    </w:p>
    <w:p w14:paraId="120745D0" w14:textId="77777777" w:rsidR="00CF626A" w:rsidRPr="001531CD" w:rsidRDefault="00CF626A">
      <w:pPr>
        <w:pStyle w:val="A"/>
      </w:pPr>
      <w:r w:rsidRPr="001531CD">
        <w:t>F.</w:t>
      </w:r>
      <w:r w:rsidRPr="001531CD">
        <w:tab/>
        <w:t xml:space="preserve">All cured, dried, and smoked beef products shall be certified in accordance with the standards established in </w:t>
      </w:r>
      <w:r w:rsidRPr="001531CD">
        <w:rPr>
          <w:i/>
          <w:iCs/>
        </w:rPr>
        <w:t xml:space="preserve">Institutional Meat Purchase Specifications for Cured, Dried, and Smoked Beef Products, </w:t>
      </w:r>
      <w:r w:rsidRPr="001531CD">
        <w:t>USDA, AMS, Livestock Division.</w:t>
      </w:r>
    </w:p>
    <w:p w14:paraId="3C0DE83F" w14:textId="77777777" w:rsidR="00CF626A" w:rsidRPr="001531CD" w:rsidRDefault="00CF626A">
      <w:pPr>
        <w:pStyle w:val="A"/>
      </w:pPr>
      <w:r w:rsidRPr="001531CD">
        <w:t>G.</w:t>
      </w:r>
      <w:r w:rsidRPr="001531CD">
        <w:tab/>
        <w:t xml:space="preserve">All edible meat by-products shall be certified in accordance with the standards established in </w:t>
      </w:r>
      <w:r w:rsidRPr="001531CD">
        <w:rPr>
          <w:i/>
          <w:iCs/>
        </w:rPr>
        <w:t xml:space="preserve">Institutional Meat Purchase Specifications for Edible By-Products, Series 700, </w:t>
      </w:r>
      <w:r w:rsidRPr="001531CD">
        <w:t>USDA, Consumer and Marketing Service, Livestock Division.</w:t>
      </w:r>
    </w:p>
    <w:p w14:paraId="7C938EC0" w14:textId="77777777" w:rsidR="00CF626A" w:rsidRPr="001531CD" w:rsidRDefault="00CF626A">
      <w:pPr>
        <w:pStyle w:val="A"/>
      </w:pPr>
      <w:r w:rsidRPr="001531CD">
        <w:t>H.</w:t>
      </w:r>
      <w:r w:rsidRPr="001531CD">
        <w:tab/>
        <w:t xml:space="preserve">All sausage products shall be certified in accordance with the standards established in </w:t>
      </w:r>
      <w:r w:rsidRPr="001531CD">
        <w:rPr>
          <w:i/>
          <w:iCs/>
        </w:rPr>
        <w:t xml:space="preserve">Institutional Meat Purchase Specifications for Sausage Products, </w:t>
      </w:r>
      <w:r w:rsidRPr="001531CD">
        <w:t>USDA, Agricultural and Marketing Service, Livestock Division.</w:t>
      </w:r>
    </w:p>
    <w:p w14:paraId="43D86219" w14:textId="77777777" w:rsidR="00CF626A" w:rsidRPr="001531CD" w:rsidRDefault="00CF626A">
      <w:pPr>
        <w:pStyle w:val="AuthorityNote"/>
      </w:pPr>
      <w:r w:rsidRPr="001531CD">
        <w:t>AUTHORITY NOTE:</w:t>
      </w:r>
      <w:r w:rsidRPr="001531CD">
        <w:tab/>
        <w:t>Promulgated in accordance with R.S. 3:405.</w:t>
      </w:r>
    </w:p>
    <w:p w14:paraId="5F3826C8" w14:textId="77777777" w:rsidR="00CF626A" w:rsidRPr="001531CD" w:rsidRDefault="00CF626A">
      <w:pPr>
        <w:pStyle w:val="HistoricalNote"/>
      </w:pPr>
      <w:r w:rsidRPr="001531CD">
        <w:t>HISTORICAL NOTE:</w:t>
      </w:r>
      <w:r w:rsidRPr="001531CD">
        <w:tab/>
        <w:t>Promulgated by the Department of Agriculture, Market Commission, LR 7:261 (May 1981).</w:t>
      </w:r>
    </w:p>
    <w:p w14:paraId="0834AE5C" w14:textId="77777777" w:rsidR="00CF626A" w:rsidRPr="001531CD" w:rsidRDefault="00CF626A">
      <w:pPr>
        <w:pStyle w:val="Section"/>
      </w:pPr>
      <w:bookmarkStart w:id="613" w:name="_Toc256754334"/>
      <w:bookmarkStart w:id="614" w:name="_Toc224818568"/>
      <w:r w:rsidRPr="001531CD">
        <w:t>§507.</w:t>
      </w:r>
      <w:r w:rsidRPr="001531CD">
        <w:tab/>
        <w:t>Time Limitation for Issuance of Certificate</w:t>
      </w:r>
      <w:bookmarkEnd w:id="613"/>
      <w:bookmarkEnd w:id="614"/>
    </w:p>
    <w:p w14:paraId="6811C1E2" w14:textId="77777777" w:rsidR="00CF626A" w:rsidRPr="001531CD" w:rsidRDefault="00CF626A">
      <w:pPr>
        <w:pStyle w:val="A"/>
      </w:pPr>
      <w:r w:rsidRPr="001531CD">
        <w:t>A.</w:t>
      </w:r>
      <w:r w:rsidRPr="001531CD">
        <w:tab/>
        <w:t xml:space="preserve">Products prepared for delivery under a purchase order shall not be offered to the Department of Agriculture and Forestry, Meat Grading and Certification Program, for examination, acceptance and certification more than </w:t>
      </w:r>
      <w:r w:rsidR="001E6D46" w:rsidRPr="001531CD">
        <w:br/>
      </w:r>
      <w:r w:rsidRPr="001531CD">
        <w:t>72 hours before shipment.</w:t>
      </w:r>
    </w:p>
    <w:p w14:paraId="0C47D95D" w14:textId="77777777" w:rsidR="00CF626A" w:rsidRPr="001531CD" w:rsidRDefault="00CF626A">
      <w:pPr>
        <w:pStyle w:val="AuthorityNote"/>
      </w:pPr>
      <w:r w:rsidRPr="001531CD">
        <w:t>AUTHORITY NOTE:</w:t>
      </w:r>
      <w:r w:rsidRPr="001531CD">
        <w:tab/>
        <w:t>Promulgated in accordance with R.S. 3:405.</w:t>
      </w:r>
    </w:p>
    <w:p w14:paraId="3B6A8B98" w14:textId="77777777" w:rsidR="00CF626A" w:rsidRPr="001531CD" w:rsidRDefault="00CF626A">
      <w:pPr>
        <w:pStyle w:val="HistoricalNote"/>
      </w:pPr>
      <w:r w:rsidRPr="001531CD">
        <w:t>HISTORICAL NOTE:</w:t>
      </w:r>
      <w:r w:rsidRPr="001531CD">
        <w:tab/>
        <w:t>Promulgated by the Department of Agriculture, Market Commission, LR 7:262 (May 1981).</w:t>
      </w:r>
    </w:p>
    <w:p w14:paraId="017A12A6" w14:textId="77777777" w:rsidR="00CF626A" w:rsidRPr="001531CD" w:rsidRDefault="00CF626A">
      <w:pPr>
        <w:pStyle w:val="Section"/>
      </w:pPr>
      <w:bookmarkStart w:id="615" w:name="_Toc256754335"/>
      <w:bookmarkStart w:id="616" w:name="_Toc224818569"/>
      <w:r w:rsidRPr="001531CD">
        <w:t>§509.</w:t>
      </w:r>
      <w:r w:rsidRPr="001531CD">
        <w:tab/>
        <w:t>Waiver of Specification Requirements</w:t>
      </w:r>
      <w:bookmarkEnd w:id="615"/>
      <w:bookmarkEnd w:id="616"/>
    </w:p>
    <w:p w14:paraId="432A2845" w14:textId="77777777" w:rsidR="00CF626A" w:rsidRPr="001531CD" w:rsidRDefault="00CF626A">
      <w:pPr>
        <w:pStyle w:val="A"/>
      </w:pPr>
      <w:r w:rsidRPr="001531CD">
        <w:t>A.</w:t>
      </w:r>
      <w:r w:rsidRPr="001531CD">
        <w:tab/>
        <w:t>Waivers and amendments to specification requirements may be made only with concurrence of purchaser and contractor.</w:t>
      </w:r>
    </w:p>
    <w:p w14:paraId="4357C139" w14:textId="77777777" w:rsidR="00CF626A" w:rsidRPr="001531CD" w:rsidRDefault="00CF626A">
      <w:pPr>
        <w:pStyle w:val="A"/>
      </w:pPr>
      <w:r w:rsidRPr="001531CD">
        <w:t>B.</w:t>
      </w:r>
      <w:r w:rsidRPr="001531CD">
        <w:tab/>
        <w:t>A written statement of the precise nature of the changes in the specifications must be provided to the Louisiana Department of Agriculture meat grader prior to grading, examination, acceptance and certification of the product.</w:t>
      </w:r>
    </w:p>
    <w:p w14:paraId="189C8B11" w14:textId="77777777" w:rsidR="00CF626A" w:rsidRPr="001531CD" w:rsidRDefault="00CF626A">
      <w:pPr>
        <w:pStyle w:val="AuthorityNote"/>
      </w:pPr>
      <w:r w:rsidRPr="001531CD">
        <w:t>AUTHORITY NOTE:</w:t>
      </w:r>
      <w:r w:rsidRPr="001531CD">
        <w:tab/>
        <w:t>Promulgated in accordance with R.S. 3:405.</w:t>
      </w:r>
    </w:p>
    <w:p w14:paraId="488FB91B" w14:textId="77777777" w:rsidR="00CF626A" w:rsidRPr="001531CD" w:rsidRDefault="00CF626A">
      <w:pPr>
        <w:pStyle w:val="HistoricalNote"/>
      </w:pPr>
      <w:r w:rsidRPr="001531CD">
        <w:t>HISTORICAL NOTE:</w:t>
      </w:r>
      <w:r w:rsidRPr="001531CD">
        <w:tab/>
        <w:t>Promulgated by the Department of Agriculture, Market Commission, LR 7:262 (May 1981).</w:t>
      </w:r>
    </w:p>
    <w:p w14:paraId="4CBD27E9" w14:textId="77777777" w:rsidR="00CF626A" w:rsidRPr="001531CD" w:rsidRDefault="00CF626A">
      <w:pPr>
        <w:pStyle w:val="Section"/>
      </w:pPr>
      <w:bookmarkStart w:id="617" w:name="_Toc256754336"/>
      <w:bookmarkStart w:id="618" w:name="_Toc224818570"/>
      <w:r w:rsidRPr="001531CD">
        <w:t>§511.</w:t>
      </w:r>
      <w:r w:rsidRPr="001531CD">
        <w:tab/>
        <w:t>Final Delivery of Product</w:t>
      </w:r>
      <w:bookmarkEnd w:id="617"/>
      <w:bookmarkEnd w:id="618"/>
    </w:p>
    <w:p w14:paraId="0FB0ED17" w14:textId="77777777" w:rsidR="00CF626A" w:rsidRPr="001531CD" w:rsidRDefault="00CF626A">
      <w:pPr>
        <w:pStyle w:val="A"/>
      </w:pPr>
      <w:r w:rsidRPr="001531CD">
        <w:t>A.</w:t>
      </w:r>
      <w:r w:rsidRPr="001531CD">
        <w:tab/>
        <w:t>Final acceptance of the product will be the responsibility of the purchaser (consignee).</w:t>
      </w:r>
    </w:p>
    <w:p w14:paraId="11843DDC" w14:textId="77777777" w:rsidR="00CF626A" w:rsidRPr="001531CD" w:rsidRDefault="00CF626A">
      <w:pPr>
        <w:pStyle w:val="A"/>
      </w:pPr>
      <w:r w:rsidRPr="001531CD">
        <w:t>B.</w:t>
      </w:r>
      <w:r w:rsidRPr="001531CD">
        <w:tab/>
        <w:t>Products may be rejected for the following reasons:</w:t>
      </w:r>
    </w:p>
    <w:p w14:paraId="1945E4BC" w14:textId="77777777" w:rsidR="00CF626A" w:rsidRPr="001531CD" w:rsidRDefault="00CF626A">
      <w:pPr>
        <w:pStyle w:val="1"/>
      </w:pPr>
      <w:r w:rsidRPr="001531CD">
        <w:t>1.</w:t>
      </w:r>
      <w:r w:rsidRPr="001531CD">
        <w:tab/>
        <w:t>no certification affixed;</w:t>
      </w:r>
    </w:p>
    <w:p w14:paraId="2964C289" w14:textId="77777777" w:rsidR="00CF626A" w:rsidRPr="001531CD" w:rsidRDefault="00CF626A">
      <w:pPr>
        <w:pStyle w:val="1"/>
      </w:pPr>
      <w:r w:rsidRPr="001531CD">
        <w:t>2.</w:t>
      </w:r>
      <w:r w:rsidRPr="001531CD">
        <w:tab/>
        <w:t>obvious deviations from specification requirements, without appropriate written notice of changes in specification requirements.</w:t>
      </w:r>
    </w:p>
    <w:p w14:paraId="1987CB21" w14:textId="77777777" w:rsidR="00CF626A" w:rsidRPr="001531CD" w:rsidRDefault="00CF626A">
      <w:pPr>
        <w:pStyle w:val="A"/>
      </w:pPr>
      <w:r w:rsidRPr="001531CD">
        <w:t>C.</w:t>
      </w:r>
      <w:r w:rsidRPr="001531CD">
        <w:tab/>
        <w:t>Purchaser (consignee) may accept product with minor deviations from specification requirements without written statement of agreed upon changes, but shall do so at purchaser's risk.</w:t>
      </w:r>
    </w:p>
    <w:p w14:paraId="09885DCD" w14:textId="77777777" w:rsidR="00CF626A" w:rsidRPr="001531CD" w:rsidRDefault="00CF626A">
      <w:pPr>
        <w:pStyle w:val="AuthorityNote"/>
      </w:pPr>
      <w:r w:rsidRPr="001531CD">
        <w:t>AUTHORITY NOTE:</w:t>
      </w:r>
      <w:r w:rsidRPr="001531CD">
        <w:tab/>
        <w:t>Promulgated in accordance with R.S. 3:405.</w:t>
      </w:r>
    </w:p>
    <w:p w14:paraId="4F832669" w14:textId="77777777" w:rsidR="00CF626A" w:rsidRPr="001531CD" w:rsidRDefault="00CF626A">
      <w:pPr>
        <w:pStyle w:val="HistoricalNote"/>
      </w:pPr>
      <w:r w:rsidRPr="001531CD">
        <w:t>HISTORICAL NOTE:</w:t>
      </w:r>
      <w:r w:rsidRPr="001531CD">
        <w:tab/>
        <w:t>Promulgated by the Department of Agriculture, Market Commission, LR 7:262 (May 1981).</w:t>
      </w:r>
    </w:p>
    <w:p w14:paraId="75657909" w14:textId="77777777" w:rsidR="00CF626A" w:rsidRPr="001531CD" w:rsidRDefault="00CF626A">
      <w:pPr>
        <w:pStyle w:val="Section"/>
      </w:pPr>
      <w:bookmarkStart w:id="619" w:name="_Toc256754337"/>
      <w:bookmarkStart w:id="620" w:name="_Toc224818571"/>
      <w:r w:rsidRPr="001531CD">
        <w:t>§513.</w:t>
      </w:r>
      <w:r w:rsidRPr="001531CD">
        <w:tab/>
        <w:t>Contractor's Obligation</w:t>
      </w:r>
      <w:bookmarkEnd w:id="619"/>
      <w:bookmarkEnd w:id="620"/>
    </w:p>
    <w:p w14:paraId="50E147E1" w14:textId="77777777" w:rsidR="005B1246" w:rsidRPr="001531CD" w:rsidRDefault="00CF626A" w:rsidP="005B1246">
      <w:pPr>
        <w:pStyle w:val="A"/>
      </w:pPr>
      <w:r w:rsidRPr="001531CD">
        <w:t>A.</w:t>
      </w:r>
      <w:r w:rsidRPr="001531CD">
        <w:tab/>
      </w:r>
      <w:r w:rsidR="005B1246" w:rsidRPr="001531CD">
        <w:t>Contractors furnishing products under these regulations must furnish such assistance as may be necessary to expedite the grading, examination, and acceptance of products.</w:t>
      </w:r>
    </w:p>
    <w:p w14:paraId="6D8F5515" w14:textId="77777777" w:rsidR="005B1246" w:rsidRPr="001531CD" w:rsidRDefault="005B1246" w:rsidP="005B1246">
      <w:pPr>
        <w:pStyle w:val="A"/>
      </w:pPr>
      <w:r w:rsidRPr="001531CD">
        <w:t>B.</w:t>
      </w:r>
      <w:r w:rsidRPr="001531CD">
        <w:tab/>
        <w:t>Contractors desiring grading/certification services must notify the Department of Agriculture and Forestry at least 24 hours in advance of need. Contractors who fail to give at least 24 hours notice in advance of need will be subject to a penalty of $50, regardless of the time required for the service or the fee assessed on a poundage basis.</w:t>
      </w:r>
    </w:p>
    <w:p w14:paraId="2EBFF85F" w14:textId="77777777" w:rsidR="005B1246" w:rsidRPr="001531CD" w:rsidRDefault="005B1246" w:rsidP="005B1246">
      <w:pPr>
        <w:pStyle w:val="A"/>
      </w:pPr>
      <w:r w:rsidRPr="001531CD">
        <w:t>C.</w:t>
      </w:r>
      <w:r w:rsidRPr="001531CD">
        <w:tab/>
        <w:t xml:space="preserve">The costs of all grading, examination, acceptance, and certification of meat and meat products, poultry and poultry products, and seafood shall be paid by the contractor at the rate of $0.04 per pound of meat or meat products, poultry and </w:t>
      </w:r>
      <w:r w:rsidRPr="001531CD">
        <w:lastRenderedPageBreak/>
        <w:t>poultry products and seafood graded, examined, or certified, which amount shall be due and payable to the Department of Agriculture and Forestry upon presentation of statement(s) for services rendered.</w:t>
      </w:r>
    </w:p>
    <w:p w14:paraId="15A8242A" w14:textId="77777777" w:rsidR="005B1246" w:rsidRPr="001531CD" w:rsidRDefault="005B1246" w:rsidP="005B1246">
      <w:pPr>
        <w:pStyle w:val="AuthorityNote"/>
      </w:pPr>
      <w:r w:rsidRPr="001531CD">
        <w:t>AUTHORITY NOTE:</w:t>
      </w:r>
      <w:r w:rsidRPr="001531CD">
        <w:tab/>
        <w:t>Promulgated in accordance with R.S. 3:405 and R.S. 3:412.</w:t>
      </w:r>
    </w:p>
    <w:p w14:paraId="6E8015F4" w14:textId="77777777" w:rsidR="00CF626A" w:rsidRPr="001531CD" w:rsidRDefault="005B1246" w:rsidP="005B1246">
      <w:pPr>
        <w:pStyle w:val="HistoricalNote"/>
      </w:pPr>
      <w:r w:rsidRPr="001531CD">
        <w:t>HISTORICAL NOTE:</w:t>
      </w:r>
      <w:r w:rsidRPr="001531CD">
        <w:tab/>
        <w:t>Promulgated by the Department of Agriculture, Market Commission, LR 7:262 (May 1981), amended by the Department of Agriculture and Forestry, State Market Commission, LR 31:1227 (June 2005).</w:t>
      </w:r>
    </w:p>
    <w:p w14:paraId="42D72268" w14:textId="77777777" w:rsidR="00CF626A" w:rsidRPr="001531CD" w:rsidRDefault="00CF626A">
      <w:pPr>
        <w:pStyle w:val="Chapter"/>
      </w:pPr>
      <w:bookmarkStart w:id="621" w:name="TOC_Chap40"/>
      <w:bookmarkStart w:id="622" w:name="_Toc256754338"/>
      <w:bookmarkStart w:id="623" w:name="_Toc224818572"/>
      <w:r w:rsidRPr="001531CD">
        <w:t>Chapter 7.</w:t>
      </w:r>
      <w:bookmarkEnd w:id="621"/>
      <w:r w:rsidR="001413E4">
        <w:tab/>
      </w:r>
      <w:bookmarkStart w:id="624" w:name="TOCT_Chap18"/>
      <w:bookmarkStart w:id="625" w:name="TOCT_Chap38"/>
      <w:bookmarkStart w:id="626" w:name="TOCT_Chap39"/>
      <w:bookmarkStart w:id="627" w:name="TOCT_Chap40"/>
      <w:r w:rsidRPr="001531CD">
        <w:t>Market Commission</w:t>
      </w:r>
      <w:r w:rsidR="005B1246" w:rsidRPr="001531CD">
        <w:t>―</w:t>
      </w:r>
      <w:r w:rsidRPr="001531CD">
        <w:t>Agricultural Production Linked Deposit Loan Program</w:t>
      </w:r>
      <w:bookmarkEnd w:id="622"/>
      <w:bookmarkEnd w:id="623"/>
      <w:bookmarkEnd w:id="624"/>
      <w:bookmarkEnd w:id="625"/>
      <w:bookmarkEnd w:id="626"/>
      <w:bookmarkEnd w:id="627"/>
    </w:p>
    <w:p w14:paraId="524FD7DB" w14:textId="77777777" w:rsidR="00CF626A" w:rsidRPr="001531CD" w:rsidRDefault="00CF626A">
      <w:pPr>
        <w:pStyle w:val="Chapter"/>
      </w:pPr>
      <w:bookmarkStart w:id="628" w:name="TOC_SubC41"/>
      <w:bookmarkStart w:id="629" w:name="_Toc256754339"/>
      <w:bookmarkStart w:id="630" w:name="_Toc224818573"/>
      <w:r w:rsidRPr="001531CD">
        <w:t>Subchapter A.</w:t>
      </w:r>
      <w:bookmarkEnd w:id="628"/>
      <w:r w:rsidR="001413E4">
        <w:tab/>
      </w:r>
      <w:bookmarkStart w:id="631" w:name="TOCT_SubC39"/>
      <w:bookmarkStart w:id="632" w:name="TOCT_SubC40"/>
      <w:bookmarkStart w:id="633" w:name="TOCT_SubC41"/>
      <w:r w:rsidRPr="001531CD">
        <w:t>Authorization and Administration of Agricultural Products Processing Linked Deposit Loan Program</w:t>
      </w:r>
      <w:bookmarkEnd w:id="629"/>
      <w:bookmarkEnd w:id="630"/>
      <w:bookmarkEnd w:id="631"/>
      <w:bookmarkEnd w:id="632"/>
      <w:bookmarkEnd w:id="633"/>
    </w:p>
    <w:p w14:paraId="5C18D1DC" w14:textId="77777777" w:rsidR="00B87D7C" w:rsidRPr="001531CD" w:rsidRDefault="00B87D7C" w:rsidP="00B87D7C">
      <w:pPr>
        <w:pStyle w:val="Section"/>
        <w:outlineLvl w:val="0"/>
      </w:pPr>
      <w:bookmarkStart w:id="634" w:name="_Toc256754340"/>
      <w:bookmarkStart w:id="635" w:name="_Toc57884369"/>
      <w:bookmarkStart w:id="636" w:name="_Toc224818574"/>
      <w:bookmarkStart w:id="637" w:name="TOC_SubC45"/>
      <w:bookmarkStart w:id="638" w:name="_Toc256754344"/>
      <w:r w:rsidRPr="001531CD">
        <w:t>§701.</w:t>
      </w:r>
      <w:r w:rsidRPr="001531CD">
        <w:tab/>
        <w:t>Definitions</w:t>
      </w:r>
      <w:bookmarkEnd w:id="634"/>
      <w:bookmarkEnd w:id="635"/>
      <w:bookmarkEnd w:id="636"/>
    </w:p>
    <w:p w14:paraId="3F37D4F1" w14:textId="77777777" w:rsidR="00B87D7C" w:rsidRPr="001531CD" w:rsidRDefault="00B87D7C" w:rsidP="00B87D7C">
      <w:pPr>
        <w:pStyle w:val="A"/>
      </w:pPr>
      <w:r w:rsidRPr="001531CD">
        <w:rPr>
          <w:i/>
          <w:iCs/>
        </w:rPr>
        <w:t>Agricultural Plant</w:t>
      </w:r>
      <w:r w:rsidRPr="001531CD">
        <w:t>―any facility which receives raw agricultural products for the purpose of rendering them suitable for wholesale or retail marketing.</w:t>
      </w:r>
    </w:p>
    <w:p w14:paraId="5BF0EA3B" w14:textId="77777777" w:rsidR="00B87D7C" w:rsidRPr="001531CD" w:rsidRDefault="00B87D7C" w:rsidP="00B87D7C">
      <w:pPr>
        <w:pStyle w:val="A"/>
      </w:pPr>
      <w:r w:rsidRPr="001531CD">
        <w:rPr>
          <w:i/>
          <w:iCs/>
        </w:rPr>
        <w:t>Agricultural Product</w:t>
      </w:r>
      <w:r w:rsidRPr="001531CD">
        <w:t>―any farm product or seafood product.</w:t>
      </w:r>
    </w:p>
    <w:p w14:paraId="4456BA9E" w14:textId="77777777" w:rsidR="00B87D7C" w:rsidRPr="001531CD" w:rsidRDefault="00B87D7C" w:rsidP="00B87D7C">
      <w:pPr>
        <w:pStyle w:val="A"/>
      </w:pPr>
      <w:r w:rsidRPr="001531CD">
        <w:rPr>
          <w:i/>
          <w:iCs/>
        </w:rPr>
        <w:t>Aquacultural Crop</w:t>
      </w:r>
      <w:r w:rsidRPr="001531CD">
        <w:t>―catfish, crawfish, crabs, oysters, shrimp, prawns, alligators, turtles and other species of fish.</w:t>
      </w:r>
    </w:p>
    <w:p w14:paraId="4E42096D" w14:textId="77777777" w:rsidR="00B87D7C" w:rsidRPr="001531CD" w:rsidRDefault="00B87D7C" w:rsidP="00B87D7C">
      <w:pPr>
        <w:pStyle w:val="A"/>
      </w:pPr>
      <w:r w:rsidRPr="001531CD">
        <w:rPr>
          <w:i/>
          <w:iCs/>
        </w:rPr>
        <w:t>Commissioner</w:t>
      </w:r>
      <w:r w:rsidRPr="001531CD">
        <w:t>―the Commissioner of the Louisiana Department of Agriculture and Forestry.</w:t>
      </w:r>
    </w:p>
    <w:p w14:paraId="5670861E" w14:textId="77777777" w:rsidR="00B87D7C" w:rsidRPr="001531CD" w:rsidRDefault="00B87D7C" w:rsidP="00B87D7C">
      <w:pPr>
        <w:pStyle w:val="A"/>
      </w:pPr>
      <w:r w:rsidRPr="001531CD">
        <w:rPr>
          <w:i/>
          <w:iCs/>
        </w:rPr>
        <w:t>Eligible Agricultural Products Processing Business</w:t>
      </w:r>
      <w:r w:rsidRPr="001531CD">
        <w:t>―any person, partnership, corporation, or cooperative which owns, leases or operates or seeks to own, lease or operate and possesses all of the following characteristics:</w:t>
      </w:r>
    </w:p>
    <w:p w14:paraId="35D61FD7" w14:textId="77777777" w:rsidR="00B87D7C" w:rsidRPr="001531CD" w:rsidRDefault="00B87D7C" w:rsidP="00B87D7C">
      <w:pPr>
        <w:pStyle w:val="1"/>
      </w:pPr>
      <w:r w:rsidRPr="001531CD">
        <w:t>1.</w:t>
      </w:r>
      <w:r w:rsidRPr="001531CD">
        <w:tab/>
        <w:t>is headquartered in this state;</w:t>
      </w:r>
    </w:p>
    <w:p w14:paraId="72904701" w14:textId="77777777" w:rsidR="00B87D7C" w:rsidRPr="001531CD" w:rsidRDefault="00B87D7C" w:rsidP="00B87D7C">
      <w:pPr>
        <w:pStyle w:val="1"/>
      </w:pPr>
      <w:r w:rsidRPr="001531CD">
        <w:t>2.</w:t>
      </w:r>
      <w:r w:rsidRPr="001531CD">
        <w:tab/>
        <w:t>maintains offices and operating facilities in this state and transacts business in this state;</w:t>
      </w:r>
    </w:p>
    <w:p w14:paraId="2400F1A4" w14:textId="77777777" w:rsidR="00B87D7C" w:rsidRPr="001531CD" w:rsidRDefault="00B87D7C" w:rsidP="00B87D7C">
      <w:pPr>
        <w:pStyle w:val="1"/>
      </w:pPr>
      <w:r w:rsidRPr="001531CD">
        <w:t>3.</w:t>
      </w:r>
      <w:r w:rsidRPr="001531CD">
        <w:tab/>
        <w:t xml:space="preserve">employs fewer than 150 full-time employees, </w:t>
      </w:r>
      <w:r w:rsidRPr="001531CD">
        <w:br/>
        <w:t>80 percent of whom are residents of this state;</w:t>
      </w:r>
    </w:p>
    <w:p w14:paraId="5342F938" w14:textId="77777777" w:rsidR="00B87D7C" w:rsidRPr="001531CD" w:rsidRDefault="00B87D7C" w:rsidP="00B87D7C">
      <w:pPr>
        <w:pStyle w:val="1"/>
      </w:pPr>
      <w:r w:rsidRPr="001531CD">
        <w:t>4.</w:t>
      </w:r>
      <w:r w:rsidRPr="001531CD">
        <w:tab/>
        <w:t>is organized for profit;</w:t>
      </w:r>
    </w:p>
    <w:p w14:paraId="4B5FAE9D" w14:textId="77777777" w:rsidR="00B87D7C" w:rsidRPr="001531CD" w:rsidRDefault="00B87D7C" w:rsidP="00B87D7C">
      <w:pPr>
        <w:pStyle w:val="1"/>
      </w:pPr>
      <w:r w:rsidRPr="001531CD">
        <w:t>5.</w:t>
      </w:r>
      <w:r w:rsidRPr="001531CD">
        <w:tab/>
        <w:t>is engaged in the processing or marketing of any agricultural, agronomic, horticultural, silvicultural, or aquacultural crop, or raw product derived therefrom, or any final derivative resulting from a combination or breakdown of raw farm materials.</w:t>
      </w:r>
    </w:p>
    <w:p w14:paraId="30BA8BA3" w14:textId="77777777" w:rsidR="00B87D7C" w:rsidRPr="001531CD" w:rsidRDefault="00B87D7C" w:rsidP="00B87D7C">
      <w:pPr>
        <w:pStyle w:val="A"/>
      </w:pPr>
      <w:r w:rsidRPr="001531CD">
        <w:rPr>
          <w:i/>
          <w:iCs/>
        </w:rPr>
        <w:t>Eligible Lending Institution</w:t>
      </w:r>
      <w:r w:rsidRPr="001531CD">
        <w:t>―any bank located in this state and organized under the laws of this state which is authorized to make commercial or agricultural loans and which agrees to participate in the linked deposit program as defined herein.</w:t>
      </w:r>
    </w:p>
    <w:p w14:paraId="7F8BB471" w14:textId="77777777" w:rsidR="00B87D7C" w:rsidRPr="001531CD" w:rsidRDefault="00B87D7C" w:rsidP="00B87D7C">
      <w:pPr>
        <w:pStyle w:val="A"/>
      </w:pPr>
      <w:r w:rsidRPr="001531CD">
        <w:rPr>
          <w:i/>
          <w:iCs/>
        </w:rPr>
        <w:t>Farm Product</w:t>
      </w:r>
      <w:r w:rsidRPr="001531CD">
        <w:t xml:space="preserve">―any agronomic, horticultural, silvicultural or aquacultural crop; any commercially raised livestock or </w:t>
      </w:r>
      <w:r w:rsidRPr="001531CD">
        <w:t>raw product and derived therefrom, or any final derivative resulting from a combination or breakdown of raw farm products.</w:t>
      </w:r>
    </w:p>
    <w:p w14:paraId="2D965727" w14:textId="77777777" w:rsidR="00B87D7C" w:rsidRPr="001531CD" w:rsidRDefault="00B87D7C" w:rsidP="00B87D7C">
      <w:pPr>
        <w:pStyle w:val="A"/>
      </w:pPr>
      <w:r w:rsidRPr="001531CD">
        <w:rPr>
          <w:i/>
          <w:iCs/>
        </w:rPr>
        <w:t>Final Derivative</w:t>
      </w:r>
      <w:r w:rsidRPr="001531CD">
        <w:t>―any agricultural product that is ready to be passed on to a marketing level.</w:t>
      </w:r>
    </w:p>
    <w:p w14:paraId="7B9A2FA2" w14:textId="77777777" w:rsidR="00B87D7C" w:rsidRPr="001531CD" w:rsidRDefault="00B87D7C" w:rsidP="00B87D7C">
      <w:pPr>
        <w:pStyle w:val="A"/>
      </w:pPr>
      <w:r w:rsidRPr="001531CD">
        <w:rPr>
          <w:i/>
          <w:iCs/>
        </w:rPr>
        <w:t>Linked Deposit</w:t>
      </w:r>
      <w:r w:rsidRPr="001531CD">
        <w:t xml:space="preserve">―a certificate of deposit placed by the treasurer (as defined herein) with an eligible lending institution at 3 percent below existing investment rates, as determined and calculated by the treasurer, provided the institution agrees to lend the value of such deposit, according to the deposit agreement required by this Chapter, to eligible agricultural products processing businesses at </w:t>
      </w:r>
      <w:r w:rsidRPr="001531CD">
        <w:br/>
        <w:t>3 percent below the existing borrowing rate applicable to each specific business at the time of the deposit of state funds in the lending institution.</w:t>
      </w:r>
    </w:p>
    <w:p w14:paraId="65224A18" w14:textId="77777777" w:rsidR="00B87D7C" w:rsidRPr="001531CD" w:rsidRDefault="00B87D7C" w:rsidP="00B87D7C">
      <w:pPr>
        <w:pStyle w:val="A"/>
      </w:pPr>
      <w:r w:rsidRPr="001531CD">
        <w:rPr>
          <w:i/>
          <w:iCs/>
        </w:rPr>
        <w:t>Necessary Improvement</w:t>
      </w:r>
      <w:r w:rsidRPr="001531CD">
        <w:t>―any improvement to an existing agricultural plant mandated by local, state or federal law, or an improvement thereto which will form an economically justifiable basis and, in the judgment of the commissioner of agriculture and forestry, improve the quality or quantity of service, or both.</w:t>
      </w:r>
    </w:p>
    <w:p w14:paraId="6F815874" w14:textId="77777777" w:rsidR="00B87D7C" w:rsidRPr="001531CD" w:rsidRDefault="00B87D7C" w:rsidP="00B87D7C">
      <w:pPr>
        <w:pStyle w:val="A"/>
      </w:pPr>
      <w:r w:rsidRPr="001531CD">
        <w:rPr>
          <w:i/>
          <w:iCs/>
        </w:rPr>
        <w:t>Person</w:t>
      </w:r>
      <w:r w:rsidRPr="001531CD">
        <w:t>―any individual, firm, corporation, partnership or association domiciled in this state.</w:t>
      </w:r>
    </w:p>
    <w:p w14:paraId="502B3CE5" w14:textId="77777777" w:rsidR="00B87D7C" w:rsidRPr="001531CD" w:rsidRDefault="00B87D7C" w:rsidP="00B87D7C">
      <w:pPr>
        <w:pStyle w:val="A"/>
      </w:pPr>
      <w:r w:rsidRPr="001531CD">
        <w:rPr>
          <w:i/>
          <w:iCs/>
        </w:rPr>
        <w:t>Process</w:t>
      </w:r>
      <w:r w:rsidRPr="001531CD">
        <w:t xml:space="preserve"> or </w:t>
      </w:r>
      <w:r w:rsidRPr="001531CD">
        <w:rPr>
          <w:i/>
          <w:iCs/>
        </w:rPr>
        <w:t>Processing</w:t>
      </w:r>
      <w:r w:rsidRPr="001531CD">
        <w:t>―any action that will enhance any raw agricultural product's value or render a raw agricultural product suitable for further refinement or introduction at a marketing level.</w:t>
      </w:r>
    </w:p>
    <w:p w14:paraId="25CC069E" w14:textId="77777777" w:rsidR="00B87D7C" w:rsidRPr="001531CD" w:rsidRDefault="00B87D7C" w:rsidP="00B87D7C">
      <w:pPr>
        <w:pStyle w:val="A"/>
      </w:pPr>
      <w:r w:rsidRPr="001531CD">
        <w:rPr>
          <w:i/>
          <w:iCs/>
        </w:rPr>
        <w:t>Substantial Stockholder</w:t>
      </w:r>
      <w:r w:rsidRPr="001531CD">
        <w:t>―any person (as defined herein) who owns more than 20 percent of a business applying for a loan or currently participating in the Linked Deposit Loan Program outlined in this Chapter.</w:t>
      </w:r>
    </w:p>
    <w:p w14:paraId="1F26A4AE" w14:textId="77777777" w:rsidR="00B87D7C" w:rsidRPr="001531CD" w:rsidRDefault="00B87D7C" w:rsidP="00B87D7C">
      <w:pPr>
        <w:pStyle w:val="A"/>
      </w:pPr>
      <w:r w:rsidRPr="001531CD">
        <w:rPr>
          <w:i/>
          <w:iCs/>
        </w:rPr>
        <w:t>Treasurer</w:t>
      </w:r>
      <w:r w:rsidRPr="001531CD">
        <w:t>―the treasurer of the state of Louisiana.</w:t>
      </w:r>
    </w:p>
    <w:p w14:paraId="2888736A" w14:textId="77777777" w:rsidR="00B87D7C" w:rsidRPr="001531CD" w:rsidRDefault="00B87D7C" w:rsidP="00B87D7C">
      <w:pPr>
        <w:pStyle w:val="AuthorityNote"/>
      </w:pPr>
      <w:r w:rsidRPr="001531CD">
        <w:t>AUTHORITY NOTE:</w:t>
      </w:r>
      <w:r w:rsidRPr="001531CD">
        <w:tab/>
        <w:t>Promulgated in accordance with R.S. 3:446.3 and R.S. 49:327.2.</w:t>
      </w:r>
    </w:p>
    <w:p w14:paraId="15C078EF" w14:textId="77777777"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19:1304 (October 1993).</w:t>
      </w:r>
    </w:p>
    <w:p w14:paraId="13EC30FC" w14:textId="77777777" w:rsidR="00B87D7C" w:rsidRPr="001531CD" w:rsidRDefault="00B87D7C" w:rsidP="00B87D7C">
      <w:pPr>
        <w:pStyle w:val="Section"/>
      </w:pPr>
      <w:bookmarkStart w:id="639" w:name="_Toc256754341"/>
      <w:bookmarkStart w:id="640" w:name="_Toc57884370"/>
      <w:bookmarkStart w:id="641" w:name="_Toc224818575"/>
      <w:r w:rsidRPr="001531CD">
        <w:t>§703.</w:t>
      </w:r>
      <w:r w:rsidRPr="001531CD">
        <w:tab/>
        <w:t>Eligibility of Applicant</w:t>
      </w:r>
      <w:bookmarkEnd w:id="639"/>
      <w:bookmarkEnd w:id="640"/>
      <w:bookmarkEnd w:id="641"/>
    </w:p>
    <w:p w14:paraId="671FE3F3" w14:textId="77777777" w:rsidR="00B87D7C" w:rsidRPr="001531CD" w:rsidRDefault="00B87D7C" w:rsidP="00B87D7C">
      <w:pPr>
        <w:pStyle w:val="A"/>
      </w:pPr>
      <w:r w:rsidRPr="001531CD">
        <w:t>A.</w:t>
      </w:r>
      <w:r w:rsidRPr="001531CD">
        <w:tab/>
        <w:t xml:space="preserve">Any person engaged or to be engaged in the processing of agricultural products shall be eligible for a low-interest agricultural loan, under the Louisiana Agricultural Products Processing Linked Deposit Program. However, the applicant must also meet all the required characteristics as outlined under </w:t>
      </w:r>
      <w:r w:rsidRPr="001531CD">
        <w:rPr>
          <w:i/>
          <w:iCs/>
        </w:rPr>
        <w:t>eligible agricultural products processing business,</w:t>
      </w:r>
      <w:r w:rsidRPr="001531CD">
        <w:t xml:space="preserve"> in §701 herein.</w:t>
      </w:r>
    </w:p>
    <w:p w14:paraId="4D78C827" w14:textId="77777777" w:rsidR="00B87D7C" w:rsidRPr="001531CD" w:rsidRDefault="00B87D7C" w:rsidP="00B87D7C">
      <w:pPr>
        <w:pStyle w:val="A"/>
      </w:pPr>
      <w:r w:rsidRPr="001531CD">
        <w:t>B.</w:t>
      </w:r>
      <w:r w:rsidRPr="001531CD">
        <w:tab/>
        <w:t>The commissioner and treasurer shall give priority to those persons who utilize Louisiana agricultural products to the maximum extent possible.</w:t>
      </w:r>
    </w:p>
    <w:p w14:paraId="2DA36912" w14:textId="77777777" w:rsidR="00B87D7C" w:rsidRPr="001531CD" w:rsidRDefault="00B87D7C" w:rsidP="00B87D7C">
      <w:pPr>
        <w:pStyle w:val="A"/>
      </w:pPr>
      <w:r w:rsidRPr="001531CD">
        <w:t>C.</w:t>
      </w:r>
      <w:r w:rsidRPr="001531CD">
        <w:tab/>
        <w:t>The lending institution shall give priority to the:</w:t>
      </w:r>
    </w:p>
    <w:p w14:paraId="71029667" w14:textId="77777777" w:rsidR="00B87D7C" w:rsidRPr="001531CD" w:rsidRDefault="00B87D7C" w:rsidP="00B87D7C">
      <w:pPr>
        <w:pStyle w:val="1"/>
      </w:pPr>
      <w:r w:rsidRPr="001531CD">
        <w:t>1.</w:t>
      </w:r>
      <w:r w:rsidRPr="001531CD">
        <w:tab/>
        <w:t>economic needs of the area of the state in which the business is located;</w:t>
      </w:r>
    </w:p>
    <w:p w14:paraId="0B50D679" w14:textId="77777777" w:rsidR="00B87D7C" w:rsidRPr="001531CD" w:rsidRDefault="00B87D7C" w:rsidP="00B87D7C">
      <w:pPr>
        <w:pStyle w:val="1"/>
      </w:pPr>
      <w:r w:rsidRPr="001531CD">
        <w:t>2.</w:t>
      </w:r>
      <w:r w:rsidRPr="001531CD">
        <w:tab/>
        <w:t>the number of jobs created or preserved in the state;</w:t>
      </w:r>
    </w:p>
    <w:p w14:paraId="3740868C" w14:textId="77777777" w:rsidR="00B87D7C" w:rsidRPr="001531CD" w:rsidRDefault="00B87D7C" w:rsidP="00B87D7C">
      <w:pPr>
        <w:pStyle w:val="1"/>
      </w:pPr>
      <w:r w:rsidRPr="001531CD">
        <w:lastRenderedPageBreak/>
        <w:t>3.</w:t>
      </w:r>
      <w:r w:rsidRPr="001531CD">
        <w:tab/>
        <w:t>the financial need of the agricultural products processing business relative thereto;</w:t>
      </w:r>
    </w:p>
    <w:p w14:paraId="4176713E" w14:textId="77777777" w:rsidR="00B87D7C" w:rsidRPr="001531CD" w:rsidRDefault="00B87D7C" w:rsidP="00B87D7C">
      <w:pPr>
        <w:pStyle w:val="1"/>
      </w:pPr>
      <w:r w:rsidRPr="001531CD">
        <w:t>4.</w:t>
      </w:r>
      <w:r w:rsidRPr="001531CD">
        <w:tab/>
        <w:t>the order in which the linked deposit loan packages were received and whenever possible give priority based on this chronological order.</w:t>
      </w:r>
    </w:p>
    <w:p w14:paraId="77E31CD4" w14:textId="77777777" w:rsidR="00B87D7C" w:rsidRPr="001531CD" w:rsidRDefault="00B87D7C" w:rsidP="00B87D7C">
      <w:pPr>
        <w:pStyle w:val="AuthorityNote"/>
      </w:pPr>
      <w:r w:rsidRPr="001531CD">
        <w:t>AUTHORITY NOTE:</w:t>
      </w:r>
      <w:r w:rsidRPr="001531CD">
        <w:tab/>
        <w:t>Promulgated in accordance with R.S. 3:446.3 and R.S. 49:327.2.</w:t>
      </w:r>
    </w:p>
    <w:p w14:paraId="5ED5F1E4" w14:textId="77777777"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19:1305 (October 1993).</w:t>
      </w:r>
    </w:p>
    <w:p w14:paraId="50ADA1DA" w14:textId="77777777" w:rsidR="00B87D7C" w:rsidRPr="001531CD" w:rsidRDefault="00B87D7C" w:rsidP="00B87D7C">
      <w:pPr>
        <w:pStyle w:val="Section"/>
      </w:pPr>
      <w:bookmarkStart w:id="642" w:name="_Toc256754342"/>
      <w:bookmarkStart w:id="643" w:name="_Toc57884371"/>
      <w:bookmarkStart w:id="644" w:name="_Toc224818576"/>
      <w:r w:rsidRPr="001531CD">
        <w:t>§705.</w:t>
      </w:r>
      <w:r w:rsidRPr="001531CD">
        <w:tab/>
        <w:t>Linked Deposit Loan Program Authorization; Lending Institution Requirements; Applicants Requirements and Conditions for Approval</w:t>
      </w:r>
      <w:bookmarkEnd w:id="642"/>
      <w:bookmarkEnd w:id="643"/>
      <w:bookmarkEnd w:id="644"/>
    </w:p>
    <w:p w14:paraId="302702DC" w14:textId="77777777" w:rsidR="00B87D7C" w:rsidRPr="001531CD" w:rsidRDefault="00B87D7C" w:rsidP="00B87D7C">
      <w:pPr>
        <w:pStyle w:val="A"/>
      </w:pPr>
      <w:r w:rsidRPr="001531CD">
        <w:t>A.</w:t>
      </w:r>
      <w:r w:rsidRPr="001531CD">
        <w:tab/>
        <w:t>The treasurer may invest in linked deposits, as provided and defined by R.S. 49:327.2, and, also defined herein, provided that at the time of placement of any linked deposit the total amount of such investments at any one time shall not exceed, in the aggregate, $10,000,000. When deciding whether to invest in linked deposits, the treasurer shall give priority to the investment, liquidity, and cash flow needs of the state and a determination of the financial soundness of the eligible lending institution.</w:t>
      </w:r>
    </w:p>
    <w:p w14:paraId="63A58384" w14:textId="77777777" w:rsidR="00B87D7C" w:rsidRPr="001531CD" w:rsidRDefault="00B87D7C" w:rsidP="00B87D7C">
      <w:pPr>
        <w:pStyle w:val="A"/>
      </w:pPr>
      <w:r w:rsidRPr="001531CD">
        <w:t>B.</w:t>
      </w:r>
      <w:r w:rsidRPr="001531CD">
        <w:tab/>
        <w:t>An eligible lending institution that desires to receive a linked deposit shall accept and review applications for loans from eligible agricultural products processing businesses. The eligible lending institution shall apply all usual lending standards to determine the credit worthiness of each eligible agricultural products processing business. The eligible lending institution shall not charge, levy or collect any loan application fee, processing fee, or other charges other than its normal loan application fee, processing fee, or other charges when handling a linked deposit application.</w:t>
      </w:r>
    </w:p>
    <w:p w14:paraId="5FB357BC" w14:textId="77777777" w:rsidR="00B87D7C" w:rsidRPr="001531CD" w:rsidRDefault="00B87D7C" w:rsidP="00B87D7C">
      <w:pPr>
        <w:pStyle w:val="A"/>
        <w:tabs>
          <w:tab w:val="clear" w:pos="540"/>
          <w:tab w:val="left" w:pos="720"/>
        </w:tabs>
      </w:pPr>
      <w:r w:rsidRPr="001531CD">
        <w:t>C.1.</w:t>
      </w:r>
      <w:r w:rsidRPr="001531CD">
        <w:tab/>
        <w:t>Only one loan through the linked deposit program shall be made and shall be outstanding at any one time to any eligible agricultural products processing business.</w:t>
      </w:r>
    </w:p>
    <w:p w14:paraId="7E39C001" w14:textId="77777777" w:rsidR="00B87D7C" w:rsidRPr="001531CD" w:rsidRDefault="00B87D7C" w:rsidP="00B87D7C">
      <w:pPr>
        <w:pStyle w:val="1"/>
      </w:pPr>
      <w:r w:rsidRPr="001531CD">
        <w:t>2.</w:t>
      </w:r>
      <w:r w:rsidRPr="001531CD">
        <w:tab/>
        <w:t>The maximum amount available to any eligible agricultural products processing business, under this program, at any one time shall be $200,000.</w:t>
      </w:r>
    </w:p>
    <w:p w14:paraId="0887D81C" w14:textId="77777777" w:rsidR="00B87D7C" w:rsidRPr="001531CD" w:rsidRDefault="00B87D7C" w:rsidP="00B87D7C">
      <w:pPr>
        <w:pStyle w:val="1"/>
      </w:pPr>
      <w:r w:rsidRPr="001531CD">
        <w:t>3.</w:t>
      </w:r>
      <w:r w:rsidRPr="001531CD">
        <w:tab/>
        <w:t>No loan shall be made to any officer or director of the lending institution making the loan.</w:t>
      </w:r>
    </w:p>
    <w:p w14:paraId="5E7A5375" w14:textId="77777777" w:rsidR="00B87D7C" w:rsidRPr="001531CD" w:rsidRDefault="00B87D7C" w:rsidP="00B87D7C">
      <w:pPr>
        <w:pStyle w:val="A"/>
      </w:pPr>
      <w:r w:rsidRPr="001531CD">
        <w:t>D.</w:t>
      </w:r>
      <w:r w:rsidRPr="001531CD">
        <w:tab/>
        <w:t>An eligible agricultural products processing business shall certify on its loan application that the reduced rate loan will be used exclusively to create new jobs or preserve existing jobs and employment opportunities in the state. Whoever knowingly files a false statement concerning such application shall be guilty of the offense of filing false public records and shall be subject to penalty provided for in R.S. 14:133.</w:t>
      </w:r>
    </w:p>
    <w:p w14:paraId="15E08C91" w14:textId="77777777" w:rsidR="00B87D7C" w:rsidRPr="001531CD" w:rsidRDefault="00B87D7C" w:rsidP="00B87D7C">
      <w:pPr>
        <w:pStyle w:val="A"/>
      </w:pPr>
      <w:r w:rsidRPr="001531CD">
        <w:t>E.</w:t>
      </w:r>
      <w:r w:rsidRPr="001531CD">
        <w:tab/>
        <w:t xml:space="preserve">In considering which eligible agricultural products processing business to include in the linked deposit loan package for reduced rate loans, the eligible lending institution shall give priority to the economic needs of the area of the state in which the business is located, the number of jobs to be created or preserved in the state by the receipt of such loans, and such other factors as the eligible lending institution </w:t>
      </w:r>
      <w:r w:rsidRPr="001531CD">
        <w:t>considers appropriate to determine the relative financial need of the eligible agricultural products processing business.</w:t>
      </w:r>
    </w:p>
    <w:p w14:paraId="627D6114" w14:textId="77777777" w:rsidR="00B87D7C" w:rsidRPr="001531CD" w:rsidRDefault="00B87D7C" w:rsidP="00B87D7C">
      <w:pPr>
        <w:pStyle w:val="A"/>
      </w:pPr>
      <w:r w:rsidRPr="001531CD">
        <w:t>F.</w:t>
      </w:r>
      <w:r w:rsidRPr="001531CD">
        <w:tab/>
        <w:t>The eligible lending institution shall forward to the commissioner and the treasurer for review a linked deposit loan package. The package shall include such information as required by the commissioner including the amount of the loan requester, the number of jobs to be created or sustained in the state by each eligible agricultural products processing business, the ratio of state funds to be deposited to jobs sustained or created, and any reports, statements, or plans applicable to the business, the overall financial need of the business, and such other factors as the commissioner considers appropriate. The eligible financial institution shall certify that each applicant is an eligible agricultural products processing business as defined herein and shall, for each eligible agricultural products processing business, certify the present borrowing rate applicable to each specific eligible agricultural products processing business. Within 45 days after receipt, the commissioner shall provide written recommendations to the treasurer on each linked deposit loan package received from eligible financial institutions.</w:t>
      </w:r>
    </w:p>
    <w:p w14:paraId="7F022443" w14:textId="77777777" w:rsidR="00B87D7C" w:rsidRPr="001531CD" w:rsidRDefault="00B87D7C" w:rsidP="00B87D7C">
      <w:pPr>
        <w:pStyle w:val="A"/>
      </w:pPr>
      <w:r w:rsidRPr="001531CD">
        <w:t>G.</w:t>
      </w:r>
      <w:r w:rsidRPr="001531CD">
        <w:tab/>
        <w:t>The treasurer may accept or reject a linked deposit loan package or any portion thereof, based on the treasurer's review of the recommendations of the commissioner, the availability and amount of state funds to be deposited, and a determination of the financial soundness of the financial institution in which the deposit is to be made. The treasurer shall notify the commissioner and the eligible lending institution of acceptance or rejection of a linked deposit loan package within 15 days of receipt of the recommendations of the commissioner.</w:t>
      </w:r>
    </w:p>
    <w:p w14:paraId="1036230B" w14:textId="77777777" w:rsidR="00B87D7C" w:rsidRPr="001531CD" w:rsidRDefault="00B87D7C" w:rsidP="00B87D7C">
      <w:pPr>
        <w:pStyle w:val="A"/>
      </w:pPr>
      <w:r w:rsidRPr="001531CD">
        <w:t>H.</w:t>
      </w:r>
      <w:r w:rsidRPr="001531CD">
        <w:tab/>
        <w:t>Upon acceptance of the linked deposit loan package or any portion thereof, the treasurer may place certificates of deposit with the eligible lending institution at 3 percent below the current investment rates, as determined and calculated by the treasurer. When necessary, the treasurer may place certificates of deposit prior to acceptance of a linked deposit loan package.</w:t>
      </w:r>
    </w:p>
    <w:p w14:paraId="07EB047D" w14:textId="77777777" w:rsidR="00B87D7C" w:rsidRPr="001531CD" w:rsidRDefault="00B87D7C" w:rsidP="00B87D7C">
      <w:pPr>
        <w:pStyle w:val="A"/>
      </w:pPr>
      <w:r w:rsidRPr="001531CD">
        <w:t>I.</w:t>
      </w:r>
      <w:r w:rsidRPr="001531CD">
        <w:tab/>
        <w:t>The eligible lending institution shall enter into a deposit agreement with the treasurer, which shall include the requirements necessary to carry out the purposes of this Chapter. The requirements shall reflect the market conditions prevailing in the eligible lending institution's lending area. The agreement may specify the period of time in which the lending institution is to loan funds upon the placement of a linked deposit, and shall include provisions for the certificates of deposit to mature within a period not to exceed one year. The treasurer may renew a certificate of deposit in one-year increments but in no event shall the total period of time that a certificate of deposit is placed with any lending institution exceed three consecutive years. Interest shall be paid at the times determined by the treasurer. However, upon placement of a linked deposit, the treasurer will give priority to renewal of existing linked deposits prior to placement of new linked deposits. Prior to renewal of linked deposits, the treasurer shall continue to give priority to the investment, liquidity cash flow needs of the state and a determination of the financial soundness of the eligible lending institution.</w:t>
      </w:r>
    </w:p>
    <w:p w14:paraId="5E17D852" w14:textId="77777777" w:rsidR="00B87D7C" w:rsidRPr="001531CD" w:rsidRDefault="00B87D7C" w:rsidP="00B87D7C">
      <w:pPr>
        <w:pStyle w:val="A"/>
      </w:pPr>
      <w:r w:rsidRPr="001531CD">
        <w:lastRenderedPageBreak/>
        <w:t>J.</w:t>
      </w:r>
      <w:r w:rsidRPr="001531CD">
        <w:tab/>
        <w:t>The period of time for which each certificate of deposit is placed with an eligible lending institution shall be neither longer nor shorter than the period of time for which the linked deposit shall be used to provide loans at reduced interest rates. The agreement shall further provide that the state shall receive investment interest rates on any certificate of deposit or any portion thereof for any period of time for which there shall be no corresponding linked deposit loan outstanding to an eligible agricultural products processing business.</w:t>
      </w:r>
    </w:p>
    <w:p w14:paraId="53D2A25F" w14:textId="77777777" w:rsidR="00B87D7C" w:rsidRPr="001531CD" w:rsidRDefault="00B87D7C" w:rsidP="00B87D7C">
      <w:pPr>
        <w:pStyle w:val="A"/>
      </w:pPr>
      <w:r w:rsidRPr="001531CD">
        <w:t>K.</w:t>
      </w:r>
      <w:r w:rsidRPr="001531CD">
        <w:tab/>
        <w:t>Upon placement of a linked deposit with an eligible lending institution, the institution shall lend such funds to each approved eligible agricultural products processing business listed in the linked deposit loan package. Each loan shall be at a fixed rate of interest for a period of one year which shall be 3 percent below the current borrowing rate applicable to each eligible agricultural products processing business. All records and documents pertaining to the linked deposit program shall be segregated by each lending institution for ease of identification and examination. A certification of compliance with this Section in the form and manner prescribed by the treasurer shall be completed by the leading institution and filed with the treasurer and the commissioner.</w:t>
      </w:r>
    </w:p>
    <w:p w14:paraId="52ABF585" w14:textId="77777777" w:rsidR="00B87D7C" w:rsidRPr="001531CD" w:rsidRDefault="00B87D7C" w:rsidP="00B87D7C">
      <w:pPr>
        <w:pStyle w:val="A"/>
        <w:tabs>
          <w:tab w:val="clear" w:pos="540"/>
          <w:tab w:val="left" w:pos="720"/>
        </w:tabs>
      </w:pPr>
      <w:r w:rsidRPr="001531CD">
        <w:t>L.1.</w:t>
      </w:r>
      <w:r w:rsidRPr="001531CD">
        <w:tab/>
        <w:t>If it is discovered that there is a linked deposit made for any purpose not authorized, the certificate may be matured and/or rewritten, if appropriate, without penalty to the state treasurer.</w:t>
      </w:r>
    </w:p>
    <w:p w14:paraId="29F6D572" w14:textId="77777777" w:rsidR="00B87D7C" w:rsidRPr="001531CD" w:rsidRDefault="00B87D7C" w:rsidP="00B87D7C">
      <w:pPr>
        <w:pStyle w:val="1"/>
      </w:pPr>
      <w:r w:rsidRPr="001531CD">
        <w:t>2.</w:t>
      </w:r>
      <w:r w:rsidRPr="001531CD">
        <w:tab/>
        <w:t>If the eligible lending institution fails to pledge securities to the treasurer as required under R.S. 49:321 or if such securities shall be unsatisfactory to secure the deposit, in his sole discretion, the treasurer may declare the deposit and interest earned thereon, or any part thereof, to become immediately due and payable, notwithstanding any agreement or contract to the contrary.</w:t>
      </w:r>
    </w:p>
    <w:p w14:paraId="7D673FFD" w14:textId="77777777" w:rsidR="00B87D7C" w:rsidRPr="001531CD" w:rsidRDefault="00B87D7C" w:rsidP="00B87D7C">
      <w:pPr>
        <w:pStyle w:val="AuthorityNote"/>
      </w:pPr>
      <w:r w:rsidRPr="001531CD">
        <w:t>AUTHORITY NOTE:</w:t>
      </w:r>
      <w:r w:rsidRPr="001531CD">
        <w:tab/>
        <w:t>Promulgated in accordance with R.S. 49:327.2.</w:t>
      </w:r>
    </w:p>
    <w:p w14:paraId="7D0EDB58" w14:textId="77777777"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19:1305 (October 1993).</w:t>
      </w:r>
    </w:p>
    <w:p w14:paraId="3E01CAB6" w14:textId="77777777" w:rsidR="00B87D7C" w:rsidRPr="001531CD" w:rsidRDefault="00B87D7C" w:rsidP="00B87D7C">
      <w:pPr>
        <w:pStyle w:val="Section"/>
      </w:pPr>
      <w:bookmarkStart w:id="645" w:name="_Toc256754343"/>
      <w:bookmarkStart w:id="646" w:name="_Toc57884372"/>
      <w:bookmarkStart w:id="647" w:name="_Toc224818577"/>
      <w:r w:rsidRPr="001531CD">
        <w:t>§707.</w:t>
      </w:r>
      <w:r w:rsidRPr="001531CD">
        <w:tab/>
        <w:t>Prohibitions</w:t>
      </w:r>
      <w:bookmarkEnd w:id="645"/>
      <w:bookmarkEnd w:id="646"/>
      <w:bookmarkEnd w:id="647"/>
    </w:p>
    <w:p w14:paraId="65CA78D0" w14:textId="77777777" w:rsidR="00B87D7C" w:rsidRPr="001531CD" w:rsidRDefault="00B87D7C" w:rsidP="00B87D7C">
      <w:pPr>
        <w:pStyle w:val="A"/>
      </w:pPr>
      <w:r w:rsidRPr="001531CD">
        <w:t>A.</w:t>
      </w:r>
      <w:r w:rsidRPr="001531CD">
        <w:tab/>
        <w:t>No linked deposit loan shall be approved if the agricultural products processing business' headquarters is not located in Louisiana.</w:t>
      </w:r>
    </w:p>
    <w:p w14:paraId="2389B575" w14:textId="77777777" w:rsidR="00B87D7C" w:rsidRPr="001531CD" w:rsidRDefault="00B87D7C" w:rsidP="00B87D7C">
      <w:pPr>
        <w:pStyle w:val="A"/>
      </w:pPr>
      <w:r w:rsidRPr="001531CD">
        <w:t>B.</w:t>
      </w:r>
      <w:r w:rsidRPr="001531CD">
        <w:tab/>
        <w:t>No linked deposit loan shall be approved if the agricultural products processing business' principal officers and operating facilities are not in Louisiana.</w:t>
      </w:r>
    </w:p>
    <w:p w14:paraId="75030093" w14:textId="77777777" w:rsidR="00B87D7C" w:rsidRPr="001531CD" w:rsidRDefault="00B87D7C" w:rsidP="00B87D7C">
      <w:pPr>
        <w:pStyle w:val="A"/>
      </w:pPr>
      <w:r w:rsidRPr="001531CD">
        <w:t>C.</w:t>
      </w:r>
      <w:r w:rsidRPr="001531CD">
        <w:tab/>
        <w:t xml:space="preserve">No linked deposit loan shall be approved if the agricultural products processing business employs over </w:t>
      </w:r>
      <w:r w:rsidRPr="001531CD">
        <w:br/>
        <w:t>150 full-time employees.</w:t>
      </w:r>
    </w:p>
    <w:p w14:paraId="0F39F4A7" w14:textId="77777777" w:rsidR="00B87D7C" w:rsidRPr="001531CD" w:rsidRDefault="00B87D7C" w:rsidP="00B87D7C">
      <w:pPr>
        <w:pStyle w:val="A"/>
      </w:pPr>
      <w:r w:rsidRPr="001531CD">
        <w:t>D.</w:t>
      </w:r>
      <w:r w:rsidRPr="001531CD">
        <w:tab/>
        <w:t>No linked deposit loan shall be approved if the agricultural products processing business employs less than 80 percent Louisiana residents.</w:t>
      </w:r>
    </w:p>
    <w:p w14:paraId="3D6B57DA" w14:textId="77777777" w:rsidR="00B87D7C" w:rsidRPr="001531CD" w:rsidRDefault="00B87D7C" w:rsidP="00B87D7C">
      <w:pPr>
        <w:pStyle w:val="A"/>
      </w:pPr>
      <w:r w:rsidRPr="001531CD">
        <w:t>E.</w:t>
      </w:r>
      <w:r w:rsidRPr="001531CD">
        <w:tab/>
        <w:t>No linked deposit loan shall be approved if the agricultural products processing business is not operated for profit.</w:t>
      </w:r>
    </w:p>
    <w:p w14:paraId="5A160DFA" w14:textId="77777777" w:rsidR="00B87D7C" w:rsidRPr="001531CD" w:rsidRDefault="00B87D7C" w:rsidP="00B87D7C">
      <w:pPr>
        <w:pStyle w:val="A"/>
      </w:pPr>
      <w:r w:rsidRPr="001531CD">
        <w:t>F.</w:t>
      </w:r>
      <w:r w:rsidRPr="001531CD">
        <w:tab/>
        <w:t>No linked deposit shall be approved if the agricultural products processing business does not process agricultural products as defined in these rules.</w:t>
      </w:r>
    </w:p>
    <w:p w14:paraId="1B230A1D" w14:textId="77777777" w:rsidR="00B87D7C" w:rsidRPr="001531CD" w:rsidRDefault="00B87D7C" w:rsidP="00B87D7C">
      <w:pPr>
        <w:pStyle w:val="A"/>
      </w:pPr>
      <w:r w:rsidRPr="001531CD">
        <w:t>G.</w:t>
      </w:r>
      <w:r w:rsidRPr="001531CD">
        <w:tab/>
        <w:t>No linked deposit loan shall be approved if the agricultural products processing business does not either create new jobs or contribute to preserving existing jobs.</w:t>
      </w:r>
    </w:p>
    <w:p w14:paraId="2A47A94B" w14:textId="77777777" w:rsidR="00B87D7C" w:rsidRPr="001531CD" w:rsidRDefault="00B87D7C" w:rsidP="00B87D7C">
      <w:pPr>
        <w:pStyle w:val="A"/>
      </w:pPr>
      <w:r w:rsidRPr="001531CD">
        <w:t>H.</w:t>
      </w:r>
      <w:r w:rsidRPr="001531CD">
        <w:tab/>
        <w:t>No linked deposit loan shall be approved if the agricultural products processing business benefits directly any officer or director of the lending institution making the loan.</w:t>
      </w:r>
    </w:p>
    <w:p w14:paraId="1A3662E9" w14:textId="77777777" w:rsidR="00B87D7C" w:rsidRPr="001531CD" w:rsidRDefault="00B87D7C" w:rsidP="00B87D7C">
      <w:pPr>
        <w:pStyle w:val="A"/>
      </w:pPr>
      <w:r w:rsidRPr="001531CD">
        <w:t>I.</w:t>
      </w:r>
      <w:r w:rsidRPr="001531CD">
        <w:tab/>
        <w:t>No linked deposit loan shall be approved if it involves loan fees by the lending institution other than would be normally charged on this type of application.</w:t>
      </w:r>
    </w:p>
    <w:p w14:paraId="337D551E" w14:textId="77777777" w:rsidR="00B87D7C" w:rsidRPr="001531CD" w:rsidRDefault="00B87D7C" w:rsidP="00B87D7C">
      <w:pPr>
        <w:pStyle w:val="A"/>
      </w:pPr>
      <w:r w:rsidRPr="001531CD">
        <w:t>J.</w:t>
      </w:r>
      <w:r w:rsidRPr="001531CD">
        <w:tab/>
        <w:t>No linked deposit shall be approved if it requires liability, other than the 3 percent interest, by the state, the commissioner or the treasurer.</w:t>
      </w:r>
    </w:p>
    <w:p w14:paraId="6A373CE2" w14:textId="77777777" w:rsidR="00B87D7C" w:rsidRPr="001531CD" w:rsidRDefault="00B87D7C" w:rsidP="00B87D7C">
      <w:pPr>
        <w:pStyle w:val="AuthorityNote"/>
      </w:pPr>
      <w:r w:rsidRPr="001531CD">
        <w:t>AUTHORITY NOTE:</w:t>
      </w:r>
      <w:r w:rsidRPr="001531CD">
        <w:tab/>
        <w:t>Promulgated in accordance with R.S. 49:327.2.</w:t>
      </w:r>
    </w:p>
    <w:p w14:paraId="642793E6" w14:textId="77777777"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19:1306 (October 1993).</w:t>
      </w:r>
    </w:p>
    <w:p w14:paraId="5D61CAAD" w14:textId="77777777" w:rsidR="00CF626A" w:rsidRPr="001531CD" w:rsidRDefault="00CF626A">
      <w:pPr>
        <w:pStyle w:val="Chapter"/>
      </w:pPr>
      <w:bookmarkStart w:id="648" w:name="_Toc224818578"/>
      <w:r w:rsidRPr="001531CD">
        <w:t>Subchapter B.</w:t>
      </w:r>
      <w:bookmarkEnd w:id="637"/>
      <w:r w:rsidR="001413E4">
        <w:tab/>
      </w:r>
      <w:bookmarkStart w:id="649" w:name="TOCT_SubC43"/>
      <w:bookmarkStart w:id="650" w:name="TOCT_SubC44"/>
      <w:bookmarkStart w:id="651" w:name="TOCT_SubC45"/>
      <w:r w:rsidRPr="001531CD">
        <w:t>Authorization and Administration of Agricultural Production Linked Deposit Loan Program</w:t>
      </w:r>
      <w:bookmarkEnd w:id="638"/>
      <w:bookmarkEnd w:id="648"/>
      <w:bookmarkEnd w:id="649"/>
      <w:bookmarkEnd w:id="650"/>
      <w:bookmarkEnd w:id="651"/>
    </w:p>
    <w:p w14:paraId="0BA92CD0" w14:textId="77777777" w:rsidR="00CF626A" w:rsidRPr="001531CD" w:rsidRDefault="00CF626A" w:rsidP="00F03863">
      <w:pPr>
        <w:pStyle w:val="Section"/>
        <w:outlineLvl w:val="0"/>
      </w:pPr>
      <w:bookmarkStart w:id="652" w:name="_Toc256754345"/>
      <w:bookmarkStart w:id="653" w:name="_Toc224818579"/>
      <w:r w:rsidRPr="001531CD">
        <w:t>§711.</w:t>
      </w:r>
      <w:r w:rsidRPr="001531CD">
        <w:tab/>
        <w:t>Definitions</w:t>
      </w:r>
      <w:bookmarkEnd w:id="652"/>
      <w:bookmarkEnd w:id="653"/>
    </w:p>
    <w:p w14:paraId="7428D27E" w14:textId="77777777" w:rsidR="00CF626A" w:rsidRPr="001531CD" w:rsidRDefault="00CF626A">
      <w:pPr>
        <w:pStyle w:val="A"/>
      </w:pPr>
      <w:r w:rsidRPr="001531CD">
        <w:rPr>
          <w:i/>
          <w:iCs/>
        </w:rPr>
        <w:t>Agricultural Production Loan</w:t>
      </w:r>
      <w:r w:rsidRPr="001531CD">
        <w:t>―any loan made by a lending institution to a farmer under the linked deposit program. An agricultural production loan may only be made and used for one or more of the following purposes:</w:t>
      </w:r>
    </w:p>
    <w:p w14:paraId="5D202F0C" w14:textId="77777777" w:rsidR="00CF626A" w:rsidRPr="001531CD" w:rsidRDefault="00CF626A">
      <w:pPr>
        <w:pStyle w:val="1"/>
      </w:pPr>
      <w:r w:rsidRPr="001531CD">
        <w:t>1.</w:t>
      </w:r>
      <w:r w:rsidRPr="001531CD">
        <w:tab/>
        <w:t>if necessary for the continuance of the operation of the farm through the crop or production year, repair of agricultural equipment or machinery, or purchase of used replacement equipment or machinery;</w:t>
      </w:r>
    </w:p>
    <w:p w14:paraId="36B9C231" w14:textId="77777777" w:rsidR="00CF626A" w:rsidRPr="001531CD" w:rsidRDefault="00CF626A">
      <w:pPr>
        <w:pStyle w:val="1"/>
      </w:pPr>
      <w:r w:rsidRPr="001531CD">
        <w:t>2.</w:t>
      </w:r>
      <w:r w:rsidRPr="001531CD">
        <w:tab/>
        <w:t>operating capital including, but not limited to, capital necessary for the rental of equipment or machinery and the purchase of seed, feed, fertilizer, chemical, crop insurance, livestock, and production-related energy, labor, or veterinarian fees;</w:t>
      </w:r>
    </w:p>
    <w:p w14:paraId="0F5B9BAF" w14:textId="77777777" w:rsidR="00CF626A" w:rsidRPr="001531CD" w:rsidRDefault="00CF626A">
      <w:pPr>
        <w:pStyle w:val="1"/>
      </w:pPr>
      <w:r w:rsidRPr="001531CD">
        <w:t>3.</w:t>
      </w:r>
      <w:r w:rsidRPr="001531CD">
        <w:tab/>
        <w:t>refinancing all or a portion of a loan entered into before the effective date of this Section for a purpose set forth in Paragraphs 1 or 2.</w:t>
      </w:r>
    </w:p>
    <w:p w14:paraId="48703FCC" w14:textId="77777777" w:rsidR="00CF626A" w:rsidRPr="001531CD" w:rsidRDefault="00CF626A">
      <w:pPr>
        <w:pStyle w:val="A"/>
      </w:pPr>
      <w:r w:rsidRPr="001531CD">
        <w:rPr>
          <w:i/>
          <w:iCs/>
        </w:rPr>
        <w:t>Commissioner</w:t>
      </w:r>
      <w:r w:rsidRPr="001531CD">
        <w:t>―the Commissioner of the Louisiana Department of Agriculture and Forestry.</w:t>
      </w:r>
    </w:p>
    <w:p w14:paraId="154C49EE" w14:textId="77777777" w:rsidR="00CF626A" w:rsidRPr="001531CD" w:rsidRDefault="00CF626A" w:rsidP="0034445B">
      <w:pPr>
        <w:pStyle w:val="A"/>
        <w:keepNext/>
      </w:pPr>
      <w:r w:rsidRPr="001531CD">
        <w:rPr>
          <w:i/>
          <w:iCs/>
        </w:rPr>
        <w:t>Farmer</w:t>
      </w:r>
      <w:r w:rsidRPr="001531CD">
        <w:t>―any person who:</w:t>
      </w:r>
    </w:p>
    <w:p w14:paraId="2ABCFA9E" w14:textId="77777777" w:rsidR="00CF626A" w:rsidRPr="001531CD" w:rsidRDefault="00CF626A">
      <w:pPr>
        <w:pStyle w:val="1"/>
      </w:pPr>
      <w:r w:rsidRPr="001531CD">
        <w:t>1.</w:t>
      </w:r>
      <w:r w:rsidRPr="001531CD">
        <w:tab/>
        <w:t>is an owner and operator of a farm engaged in the production of agricultural goods, and if incorporated, has all of the stock owned by persons operating the farm for which the loan is sought;</w:t>
      </w:r>
    </w:p>
    <w:p w14:paraId="2EE739FE" w14:textId="77777777" w:rsidR="00CF626A" w:rsidRPr="001531CD" w:rsidRDefault="00CF626A">
      <w:pPr>
        <w:pStyle w:val="1"/>
      </w:pPr>
      <w:r w:rsidRPr="001531CD">
        <w:t>2.</w:t>
      </w:r>
      <w:r w:rsidRPr="001531CD">
        <w:tab/>
        <w:t>is headquartered in this state;</w:t>
      </w:r>
    </w:p>
    <w:p w14:paraId="77A8A0C2" w14:textId="77777777" w:rsidR="00CF626A" w:rsidRPr="001531CD" w:rsidRDefault="00CF626A">
      <w:pPr>
        <w:pStyle w:val="1"/>
      </w:pPr>
      <w:r w:rsidRPr="001531CD">
        <w:lastRenderedPageBreak/>
        <w:t>3.</w:t>
      </w:r>
      <w:r w:rsidRPr="001531CD">
        <w:tab/>
        <w:t>conducts agricultural operations exclusively in this state;</w:t>
      </w:r>
    </w:p>
    <w:p w14:paraId="1B2C2A5D" w14:textId="77777777" w:rsidR="00CF626A" w:rsidRPr="001531CD" w:rsidRDefault="00CF626A">
      <w:pPr>
        <w:pStyle w:val="1"/>
      </w:pPr>
      <w:r w:rsidRPr="001531CD">
        <w:t>4.</w:t>
      </w:r>
      <w:r w:rsidRPr="001531CD">
        <w:tab/>
        <w:t>employs less than ten employees;</w:t>
      </w:r>
    </w:p>
    <w:p w14:paraId="0861FD3E" w14:textId="77777777" w:rsidR="00CF626A" w:rsidRPr="001531CD" w:rsidRDefault="00CF626A">
      <w:pPr>
        <w:pStyle w:val="1"/>
      </w:pPr>
      <w:r w:rsidRPr="001531CD">
        <w:t>5.</w:t>
      </w:r>
      <w:r w:rsidRPr="001531CD">
        <w:tab/>
        <w:t>is a resident of this state, or if a corporation or multi-member entity, the majority of the stockholders or members are residents of this state;</w:t>
      </w:r>
    </w:p>
    <w:p w14:paraId="323CE3A1" w14:textId="77777777" w:rsidR="00CF626A" w:rsidRPr="001531CD" w:rsidRDefault="00CF626A">
      <w:pPr>
        <w:pStyle w:val="1"/>
      </w:pPr>
      <w:r w:rsidRPr="001531CD">
        <w:t>6.</w:t>
      </w:r>
      <w:r w:rsidRPr="001531CD">
        <w:tab/>
        <w:t>is organized for profit;</w:t>
      </w:r>
    </w:p>
    <w:p w14:paraId="64F5627D" w14:textId="77777777" w:rsidR="00CF626A" w:rsidRPr="001531CD" w:rsidRDefault="00CF626A">
      <w:pPr>
        <w:pStyle w:val="1"/>
      </w:pPr>
      <w:r w:rsidRPr="001531CD">
        <w:t>7.</w:t>
      </w:r>
      <w:r w:rsidRPr="001531CD">
        <w:tab/>
        <w:t>has gross income from the agricultural operation which is at least 50 percent of his total income;</w:t>
      </w:r>
    </w:p>
    <w:p w14:paraId="34D04ECC" w14:textId="77777777" w:rsidR="00CF626A" w:rsidRPr="001531CD" w:rsidRDefault="00CF626A">
      <w:pPr>
        <w:pStyle w:val="1"/>
      </w:pPr>
      <w:r w:rsidRPr="001531CD">
        <w:t>8.</w:t>
      </w:r>
      <w:r w:rsidRPr="001531CD">
        <w:tab/>
        <w:t>has a positive net worth.</w:t>
      </w:r>
    </w:p>
    <w:p w14:paraId="366BA57A" w14:textId="77777777" w:rsidR="00CF626A" w:rsidRPr="001531CD" w:rsidRDefault="00CF626A">
      <w:pPr>
        <w:pStyle w:val="A"/>
      </w:pPr>
      <w:r w:rsidRPr="001531CD">
        <w:rPr>
          <w:i/>
          <w:iCs/>
        </w:rPr>
        <w:t>Lending Institution</w:t>
      </w:r>
      <w:r w:rsidRPr="001531CD">
        <w:t>―any state bank organized under the laws of this state and any national bank having its principal office in this state which is authorized to make agricultural production loans and agrees to participate in the linked deposit program.</w:t>
      </w:r>
    </w:p>
    <w:p w14:paraId="5AB80A17" w14:textId="77777777" w:rsidR="00CF626A" w:rsidRPr="001531CD" w:rsidRDefault="00CF626A">
      <w:pPr>
        <w:pStyle w:val="A"/>
      </w:pPr>
      <w:r w:rsidRPr="001531CD">
        <w:rPr>
          <w:i/>
          <w:iCs/>
        </w:rPr>
        <w:t>Linked Deposit</w:t>
      </w:r>
      <w:r w:rsidRPr="001531CD">
        <w:t>―a certificate of deposit placed by the state treasurer with a lending institution at 3 percent below existing market rates, as determined and calculated by the state treasurer, provided the institution agrees to lend the value of such deposit, according to the deposit agreement required by this Section, to farmers at 3 percent below the existing borrowing rate applicable to each specific farmer at the time of the deposit of state funds in the lending institution.</w:t>
      </w:r>
    </w:p>
    <w:p w14:paraId="61680D37" w14:textId="77777777" w:rsidR="00CF626A" w:rsidRPr="001531CD" w:rsidRDefault="00CF626A">
      <w:pPr>
        <w:pStyle w:val="A"/>
      </w:pPr>
      <w:r w:rsidRPr="001531CD">
        <w:rPr>
          <w:i/>
          <w:iCs/>
        </w:rPr>
        <w:t>Treasurer</w:t>
      </w:r>
      <w:r w:rsidRPr="001531CD">
        <w:t>―the treasurer of the state of Louisiana.</w:t>
      </w:r>
    </w:p>
    <w:p w14:paraId="6FCFD04B" w14:textId="77777777" w:rsidR="00CF626A" w:rsidRPr="001531CD" w:rsidRDefault="00CF626A">
      <w:pPr>
        <w:pStyle w:val="AuthorityNote"/>
      </w:pPr>
      <w:r w:rsidRPr="001531CD">
        <w:t>AUTHORITY NOTE:</w:t>
      </w:r>
      <w:r w:rsidRPr="001531CD">
        <w:tab/>
        <w:t>Promulgated in accordance with R.S. 3:446.3 and R.S. 49:327.1.</w:t>
      </w:r>
    </w:p>
    <w:p w14:paraId="1276BADF" w14:textId="77777777" w:rsidR="00CF626A" w:rsidRPr="001531CD" w:rsidRDefault="00CF626A">
      <w:pPr>
        <w:pStyle w:val="HistoricalNote"/>
      </w:pPr>
      <w:r w:rsidRPr="001531CD">
        <w:t>HISTORICAL NOTE:</w:t>
      </w:r>
      <w:r w:rsidRPr="001531CD">
        <w:tab/>
        <w:t>Promulgated by the Department of Agriculture and Forestry, Office of Marketing, Market Commission, LR 19:1306 (October 1993).</w:t>
      </w:r>
    </w:p>
    <w:p w14:paraId="6FEBA698" w14:textId="77777777" w:rsidR="00CF626A" w:rsidRPr="001531CD" w:rsidRDefault="00CF626A">
      <w:pPr>
        <w:pStyle w:val="Section"/>
      </w:pPr>
      <w:bookmarkStart w:id="654" w:name="_Toc256754346"/>
      <w:bookmarkStart w:id="655" w:name="_Toc224818580"/>
      <w:r w:rsidRPr="001531CD">
        <w:t>§713.</w:t>
      </w:r>
      <w:r w:rsidRPr="001531CD">
        <w:tab/>
        <w:t>Eligibility of Applicant</w:t>
      </w:r>
      <w:bookmarkEnd w:id="654"/>
      <w:bookmarkEnd w:id="655"/>
    </w:p>
    <w:p w14:paraId="3E630E27" w14:textId="77777777" w:rsidR="00CF626A" w:rsidRPr="001531CD" w:rsidRDefault="00CF626A">
      <w:pPr>
        <w:pStyle w:val="A"/>
      </w:pPr>
      <w:r w:rsidRPr="001531CD">
        <w:t>A.</w:t>
      </w:r>
      <w:r w:rsidRPr="001531CD">
        <w:tab/>
        <w:t xml:space="preserve">Any person engaged or to be engaged in the agricultural production of products shall be eligible for a low-interest agricultural loan, under the Louisiana Agricultural Production Linked Deposit Program. However, the applicant must also meet all the required characteristics as outlined under </w:t>
      </w:r>
      <w:r w:rsidRPr="001531CD">
        <w:rPr>
          <w:i/>
          <w:iCs/>
        </w:rPr>
        <w:t>farmer</w:t>
      </w:r>
      <w:r w:rsidRPr="001531CD">
        <w:t xml:space="preserve"> in §711.</w:t>
      </w:r>
    </w:p>
    <w:p w14:paraId="7922CE99" w14:textId="77777777" w:rsidR="00CF626A" w:rsidRPr="001531CD" w:rsidRDefault="00CF626A">
      <w:pPr>
        <w:pStyle w:val="A"/>
      </w:pPr>
      <w:r w:rsidRPr="001531CD">
        <w:t>B.</w:t>
      </w:r>
      <w:r w:rsidRPr="001531CD">
        <w:tab/>
        <w:t>The commissioner and treasurer shall consider agricultural conditions prevailing in the lending institution's lending area, in the order in which the linked deposit loan packages were received and whenever possible give priority based on this chronological order.</w:t>
      </w:r>
    </w:p>
    <w:p w14:paraId="475CBB05" w14:textId="77777777" w:rsidR="00CF626A" w:rsidRPr="001531CD" w:rsidRDefault="00CF626A">
      <w:pPr>
        <w:pStyle w:val="AuthorityNote"/>
      </w:pPr>
      <w:r w:rsidRPr="001531CD">
        <w:t>AUTHORITY NOTE:</w:t>
      </w:r>
      <w:r w:rsidRPr="001531CD">
        <w:tab/>
        <w:t>Promulgated in accordance with R.S. 3:446.3 and R.S. 49:327.2.</w:t>
      </w:r>
    </w:p>
    <w:p w14:paraId="4B7F76F9" w14:textId="77777777" w:rsidR="00CF626A" w:rsidRPr="001531CD" w:rsidRDefault="00CF626A">
      <w:pPr>
        <w:pStyle w:val="HistoricalNote"/>
      </w:pPr>
      <w:r w:rsidRPr="001531CD">
        <w:t>HISTORICAL NOTE:</w:t>
      </w:r>
      <w:r w:rsidRPr="001531CD">
        <w:tab/>
        <w:t>Promulgated by the Department of Agriculture and Forestry, Office of Marketing, Market Commission, LR 19:1307 (October 1993).</w:t>
      </w:r>
    </w:p>
    <w:p w14:paraId="74040539" w14:textId="77777777" w:rsidR="00CF626A" w:rsidRPr="001531CD" w:rsidRDefault="00CF626A" w:rsidP="0034445B">
      <w:pPr>
        <w:pStyle w:val="Section"/>
        <w:spacing w:after="80"/>
      </w:pPr>
      <w:bookmarkStart w:id="656" w:name="_Toc256754347"/>
      <w:bookmarkStart w:id="657" w:name="_Toc224818581"/>
      <w:r w:rsidRPr="001531CD">
        <w:t>§715.</w:t>
      </w:r>
      <w:r w:rsidRPr="001531CD">
        <w:tab/>
        <w:t>Linked Deposit Loan Program Authorization; Lending Institution Requirements; Applicants Requirements and Conditions for Approval</w:t>
      </w:r>
      <w:bookmarkEnd w:id="656"/>
      <w:bookmarkEnd w:id="657"/>
    </w:p>
    <w:p w14:paraId="59494295" w14:textId="77777777" w:rsidR="00CF626A" w:rsidRPr="001531CD" w:rsidRDefault="00CF626A" w:rsidP="0034445B">
      <w:pPr>
        <w:pStyle w:val="A"/>
        <w:spacing w:after="80"/>
      </w:pPr>
      <w:r w:rsidRPr="001531CD">
        <w:t>A.</w:t>
      </w:r>
      <w:r w:rsidRPr="001531CD">
        <w:tab/>
        <w:t xml:space="preserve">The treasurer may invest in linked deposits, as provided and defined by R.S. 49:327.1, and, also defined herein, provided that at the time of placement of any linked deposit the total amount of such investments at any one time shall not exceed, in the aggregate, $10,000,000. When </w:t>
      </w:r>
      <w:r w:rsidRPr="001531CD">
        <w:t>deciding whether to invest in linked deposits, the treasurer shall give priority to the investment, liquidity, and cash flow needs of the state and a determination of the financial soundness of the eligible lending institution.</w:t>
      </w:r>
    </w:p>
    <w:p w14:paraId="6A8C371A" w14:textId="77777777" w:rsidR="00CF626A" w:rsidRPr="001531CD" w:rsidRDefault="00CF626A" w:rsidP="0034445B">
      <w:pPr>
        <w:pStyle w:val="A"/>
        <w:spacing w:after="80"/>
      </w:pPr>
      <w:r w:rsidRPr="001531CD">
        <w:t>B.</w:t>
      </w:r>
      <w:r w:rsidRPr="001531CD">
        <w:tab/>
        <w:t>An eligible lending institution that desires to receive a linked deposit shall accept and review applications for loans from eligible farmers. The eligible lending institution shall apply all usual lending standards to determine the credit worthiness of each eligible farmer. The eligible lending institution shall not charge, levy or collect any loan application fee, processing fee, or other charges other than its normal loan application fee, processing fee, or other charges when handling a linked deposit application.</w:t>
      </w:r>
    </w:p>
    <w:p w14:paraId="202ACCA5" w14:textId="77777777" w:rsidR="00CF626A" w:rsidRPr="001531CD" w:rsidRDefault="00CF626A" w:rsidP="0034445B">
      <w:pPr>
        <w:pStyle w:val="A"/>
        <w:tabs>
          <w:tab w:val="clear" w:pos="540"/>
          <w:tab w:val="left" w:pos="720"/>
        </w:tabs>
        <w:spacing w:after="80"/>
      </w:pPr>
      <w:r w:rsidRPr="001531CD">
        <w:t>C.1.</w:t>
      </w:r>
      <w:r w:rsidRPr="001531CD">
        <w:tab/>
        <w:t>Only one loan through the linked deposit program shall be made and shall be outstanding at any one time to any eligible farmer.</w:t>
      </w:r>
    </w:p>
    <w:p w14:paraId="24F99482" w14:textId="77777777" w:rsidR="00CF626A" w:rsidRPr="001531CD" w:rsidRDefault="00CF626A" w:rsidP="0034445B">
      <w:pPr>
        <w:pStyle w:val="1"/>
        <w:spacing w:after="80"/>
      </w:pPr>
      <w:r w:rsidRPr="001531CD">
        <w:t>2.</w:t>
      </w:r>
      <w:r w:rsidRPr="001531CD">
        <w:tab/>
        <w:t>The maximum amount available to any eligible farmer, under this program, at any one time shall be $100,000.</w:t>
      </w:r>
    </w:p>
    <w:p w14:paraId="15C30C68" w14:textId="77777777" w:rsidR="00CF626A" w:rsidRPr="001531CD" w:rsidRDefault="00CF626A" w:rsidP="0034445B">
      <w:pPr>
        <w:pStyle w:val="1"/>
        <w:spacing w:after="80"/>
      </w:pPr>
      <w:r w:rsidRPr="001531CD">
        <w:t>3.</w:t>
      </w:r>
      <w:r w:rsidRPr="001531CD">
        <w:tab/>
        <w:t>No loan shall be made to any officer or director of the lending institution making the loan.</w:t>
      </w:r>
    </w:p>
    <w:p w14:paraId="76BFA8B3" w14:textId="77777777" w:rsidR="00CF626A" w:rsidRPr="001531CD" w:rsidRDefault="00CF626A" w:rsidP="0034445B">
      <w:pPr>
        <w:pStyle w:val="A"/>
        <w:spacing w:after="80"/>
      </w:pPr>
      <w:r w:rsidRPr="001531CD">
        <w:t>D.</w:t>
      </w:r>
      <w:r w:rsidRPr="001531CD">
        <w:tab/>
        <w:t>An eligible farmer shall certify on his loan application that the reduced rate loan will be used exclusively in accordance with §711. Whoever knowingly files a false statement concerning such application shall be guilty of the offense of filing false public records and shall be subject to penalty provided for in R.S. 14:133.</w:t>
      </w:r>
    </w:p>
    <w:p w14:paraId="31B7E0B3" w14:textId="77777777" w:rsidR="00CF626A" w:rsidRPr="001531CD" w:rsidRDefault="00CF626A">
      <w:pPr>
        <w:pStyle w:val="A"/>
      </w:pPr>
      <w:r w:rsidRPr="001531CD">
        <w:t>E.</w:t>
      </w:r>
      <w:r w:rsidRPr="001531CD">
        <w:tab/>
        <w:t>In considering which farmer to include in the linked deposit loan package for reduced rate loans, the eligible lending institution shall give priority to the economic needs of the area of the state in which the business is located, the prevailing agricultural conditions, and such other factors as the eligible lending institution considers appropriate to determine the relative financial need of the eligible farmer.</w:t>
      </w:r>
    </w:p>
    <w:p w14:paraId="76340EA9" w14:textId="77777777" w:rsidR="00CF626A" w:rsidRPr="001531CD" w:rsidRDefault="00CF626A">
      <w:pPr>
        <w:pStyle w:val="A"/>
      </w:pPr>
      <w:r w:rsidRPr="001531CD">
        <w:t>F.</w:t>
      </w:r>
      <w:r w:rsidRPr="001531CD">
        <w:tab/>
        <w:t>The eligible lending institution shall forward to the commissioner and the treasurer for review a linked deposit loan package. The package shall include such information as required by the commissioner including the amount of the loan requested, and any reports, statements, or plans applicable to the business, the overall financial need of the business, and such other factors as the commissioner considers appropriate. The eligible financial institution shall certify that each applicant is an eligible farmer as defined herein and shall, for each eligible farmer, certify the present borrowing rate applicable to each specific eligible farmer. Within 45 days after receipt, the commissioner shall provide written recommendations to the treasurer on each linked deposit loan package received from eligible financial institutions.</w:t>
      </w:r>
    </w:p>
    <w:p w14:paraId="46236F37" w14:textId="77777777" w:rsidR="00CF626A" w:rsidRPr="001531CD" w:rsidRDefault="00CF626A">
      <w:pPr>
        <w:pStyle w:val="A"/>
      </w:pPr>
      <w:r w:rsidRPr="001531CD">
        <w:t>G.</w:t>
      </w:r>
      <w:r w:rsidRPr="001531CD">
        <w:tab/>
        <w:t xml:space="preserve">The treasurer may accept or reject a linked deposit loan package or any portion thereof, based on the treasurer's review of the recommendations of the commissioner, the availability and amount of state funds to be deposited, and a determination of the financial soundness of the financial institution in which the deposit is to be made. The treasurer shall notify the commissioner and the eligible lending institution of acceptance or rejection of a linked deposit loan </w:t>
      </w:r>
      <w:r w:rsidRPr="001531CD">
        <w:lastRenderedPageBreak/>
        <w:t>package within 15 days of receipt of the recommendations of the commissioner.</w:t>
      </w:r>
    </w:p>
    <w:p w14:paraId="586E7AB4" w14:textId="77777777" w:rsidR="00CF626A" w:rsidRPr="001531CD" w:rsidRDefault="00CF626A">
      <w:pPr>
        <w:pStyle w:val="A"/>
      </w:pPr>
      <w:r w:rsidRPr="001531CD">
        <w:t>H.</w:t>
      </w:r>
      <w:r w:rsidRPr="001531CD">
        <w:tab/>
        <w:t>Upon acceptance of the linked deposit loan package or any portion thereof, the treasurer may place certificates of deposit with the eligible lending institution at 3 percent below the current investment rates, as determined and calculated by the treasurer. When necessary, the treasurer may place certificates of deposit prior to acceptance of a linked deposit loan package.</w:t>
      </w:r>
    </w:p>
    <w:p w14:paraId="2166308C" w14:textId="77777777" w:rsidR="00CF626A" w:rsidRPr="001531CD" w:rsidRDefault="00CF626A">
      <w:pPr>
        <w:pStyle w:val="A"/>
      </w:pPr>
      <w:r w:rsidRPr="001531CD">
        <w:t>I.</w:t>
      </w:r>
      <w:r w:rsidRPr="001531CD">
        <w:tab/>
        <w:t>The eligible lending institution shall enter into a deposit agreement with the treasurer, which shall include the requirements necessary to carry out the purposes of this Chapter. The requirements shall reflect the market conditions prevailing in the eligible lending institution's lending area. The agreement may specify the period of time in which the lending institution is to loan funds upon the placement of a linked deposit, and shall include provisions for the certificates of deposit to mature within a period not to exceed one year. The treasurer may renew a certificate of deposit in one-year increments. Interest shall be paid at the times determined by the treasurer. However, upon placement of a linked deposit, the treasurer will give priority for a period of two more years to renewal of existing linked deposits prior to placement of new linked deposits. Prior to renewal of linked deposits, the treasurer shall continue to give priority to the investment, liquidity cash flow needs of the state and a determination of the financial soundness of the eligible lending institution.</w:t>
      </w:r>
    </w:p>
    <w:p w14:paraId="68612693" w14:textId="77777777" w:rsidR="00CF626A" w:rsidRPr="001531CD" w:rsidRDefault="00CF626A">
      <w:pPr>
        <w:pStyle w:val="A"/>
      </w:pPr>
      <w:r w:rsidRPr="001531CD">
        <w:t>J.</w:t>
      </w:r>
      <w:r w:rsidRPr="001531CD">
        <w:tab/>
        <w:t>The period of time for which each certificate of deposit is placed with an eligible lending institution shall be neither longer nor shorter than the period of time for which the linked deposit shall be used to provide loans at reduced interest rates. The agreement shall further provide that the state shall receive investment interest rates on any certificate of deposit or any portion thereof for any period of time for which there shall be no corresponding linked deposit loan outstanding to an eligible agricultural products processing business.</w:t>
      </w:r>
    </w:p>
    <w:p w14:paraId="7211CCAF" w14:textId="77777777" w:rsidR="00CF626A" w:rsidRPr="001531CD" w:rsidRDefault="00CF626A">
      <w:pPr>
        <w:pStyle w:val="A"/>
      </w:pPr>
      <w:r w:rsidRPr="001531CD">
        <w:t>K.</w:t>
      </w:r>
      <w:r w:rsidRPr="001531CD">
        <w:tab/>
        <w:t>Upon placement of a linked deposit with an eligible lending institution, the institution shall lend such funds to each approved eligible farmer listed in the linked deposit loan package. Each loan shall be at a fixed rate of interest for a period of one year which shall be 3 percent below the current borrowing rate applicable to each eligible farmer. All records and documents pertaining to the linked deposit program shall be segregated by each lending institution for ease of identification and examination. A certification of compliance with this Section in the form and manner prescribed by the treasurer shall be completed by the leading institution and filed with the treasurer and the commissioner.</w:t>
      </w:r>
    </w:p>
    <w:p w14:paraId="2FE65C5F" w14:textId="77777777" w:rsidR="00CF626A" w:rsidRPr="001531CD" w:rsidRDefault="00CF626A">
      <w:pPr>
        <w:pStyle w:val="A"/>
        <w:tabs>
          <w:tab w:val="clear" w:pos="540"/>
          <w:tab w:val="left" w:pos="720"/>
        </w:tabs>
      </w:pPr>
      <w:r w:rsidRPr="001531CD">
        <w:t>L.1.</w:t>
      </w:r>
      <w:r w:rsidRPr="001531CD">
        <w:tab/>
        <w:t>If it is discovered that there is a linked deposit made for any purpose not authorized, the certificate may be matured and/or rewritten, if appropriate, without penalty to the state treasurer.</w:t>
      </w:r>
    </w:p>
    <w:p w14:paraId="337279A9" w14:textId="77777777" w:rsidR="00CF626A" w:rsidRPr="001531CD" w:rsidRDefault="00CF626A">
      <w:pPr>
        <w:pStyle w:val="1"/>
      </w:pPr>
      <w:r w:rsidRPr="001531CD">
        <w:t>2.</w:t>
      </w:r>
      <w:r w:rsidRPr="001531CD">
        <w:tab/>
        <w:t xml:space="preserve">If the eligible lending institution fails to pledge securities to the treasurer as required under R.S. 49:321 or if such securities shall be unsatisfactory to secure the deposit, in his sole discretion, the treasurer may declare the deposit and interest earned thereon, or any part thereof, to become </w:t>
      </w:r>
      <w:r w:rsidRPr="001531CD">
        <w:t>immediately due and payable, notwithstanding any agreement or contract to the contrary.</w:t>
      </w:r>
    </w:p>
    <w:p w14:paraId="49B2175E" w14:textId="77777777" w:rsidR="00CF626A" w:rsidRPr="001531CD" w:rsidRDefault="00CF626A">
      <w:pPr>
        <w:pStyle w:val="AuthorityNote"/>
      </w:pPr>
      <w:r w:rsidRPr="001531CD">
        <w:t>AUTHORITY NOTE:</w:t>
      </w:r>
      <w:r w:rsidRPr="001531CD">
        <w:tab/>
        <w:t>Promulgated in accordance with R.S. 49:327.1.</w:t>
      </w:r>
    </w:p>
    <w:p w14:paraId="50375C38" w14:textId="77777777" w:rsidR="00CF626A" w:rsidRPr="001531CD" w:rsidRDefault="00CF626A">
      <w:pPr>
        <w:pStyle w:val="HistoricalNote"/>
      </w:pPr>
      <w:r w:rsidRPr="001531CD">
        <w:t>HISTORICAL NOTE:</w:t>
      </w:r>
      <w:r w:rsidRPr="001531CD">
        <w:tab/>
        <w:t>Promulgated by the Department of Agriculture and Forestry, Office of Marketing, Market Commission, LR 19:1307 (October 1993).</w:t>
      </w:r>
    </w:p>
    <w:p w14:paraId="76D9BFD6" w14:textId="77777777" w:rsidR="00CF626A" w:rsidRPr="001531CD" w:rsidRDefault="00CF626A">
      <w:pPr>
        <w:pStyle w:val="Section"/>
      </w:pPr>
      <w:bookmarkStart w:id="658" w:name="_Toc256754348"/>
      <w:bookmarkStart w:id="659" w:name="_Toc224818582"/>
      <w:r w:rsidRPr="001531CD">
        <w:t>§717.</w:t>
      </w:r>
      <w:r w:rsidRPr="001531CD">
        <w:tab/>
        <w:t>Prohibitions</w:t>
      </w:r>
      <w:bookmarkEnd w:id="658"/>
      <w:bookmarkEnd w:id="659"/>
    </w:p>
    <w:p w14:paraId="1AA15960" w14:textId="77777777" w:rsidR="00CF626A" w:rsidRPr="001531CD" w:rsidRDefault="00CF626A">
      <w:pPr>
        <w:pStyle w:val="A"/>
      </w:pPr>
      <w:r w:rsidRPr="001531CD">
        <w:t>A.</w:t>
      </w:r>
      <w:r w:rsidRPr="001531CD">
        <w:tab/>
        <w:t>No linked deposit loan shall be approved if the farmer's headquarters are not located in Louisiana.</w:t>
      </w:r>
    </w:p>
    <w:p w14:paraId="3AEE6941" w14:textId="77777777" w:rsidR="00CF626A" w:rsidRPr="001531CD" w:rsidRDefault="00CF626A">
      <w:pPr>
        <w:pStyle w:val="A"/>
      </w:pPr>
      <w:r w:rsidRPr="001531CD">
        <w:t>B.</w:t>
      </w:r>
      <w:r w:rsidRPr="001531CD">
        <w:tab/>
        <w:t>No linked deposit loan shall be approved if the farmer's principal officers and operating facilities are not in Louisiana.</w:t>
      </w:r>
    </w:p>
    <w:p w14:paraId="6748B0FC" w14:textId="77777777" w:rsidR="00CF626A" w:rsidRPr="001531CD" w:rsidRDefault="00CF626A">
      <w:pPr>
        <w:pStyle w:val="A"/>
      </w:pPr>
      <w:r w:rsidRPr="001531CD">
        <w:t>C.</w:t>
      </w:r>
      <w:r w:rsidRPr="001531CD">
        <w:tab/>
        <w:t>No linked deposit loan shall be approved if the farmer employs over 10 full-time employees.</w:t>
      </w:r>
    </w:p>
    <w:p w14:paraId="6ABAB399" w14:textId="77777777" w:rsidR="00CF626A" w:rsidRPr="001531CD" w:rsidRDefault="00CF626A">
      <w:pPr>
        <w:pStyle w:val="A"/>
      </w:pPr>
      <w:r w:rsidRPr="001531CD">
        <w:t>D.</w:t>
      </w:r>
      <w:r w:rsidRPr="001531CD">
        <w:tab/>
        <w:t>No linked deposit loan shall be approved if the farmer employs less than 80 percent Louisiana residents.</w:t>
      </w:r>
    </w:p>
    <w:p w14:paraId="1788DEAF" w14:textId="77777777" w:rsidR="00CF626A" w:rsidRPr="001531CD" w:rsidRDefault="00CF626A">
      <w:pPr>
        <w:pStyle w:val="A"/>
      </w:pPr>
      <w:r w:rsidRPr="001531CD">
        <w:t>E.</w:t>
      </w:r>
      <w:r w:rsidRPr="001531CD">
        <w:tab/>
        <w:t>No linked deposit loan shall be approved if the agricultural products processing business is not operated for profit.</w:t>
      </w:r>
    </w:p>
    <w:p w14:paraId="78D39AD7" w14:textId="77777777" w:rsidR="00CF626A" w:rsidRPr="001531CD" w:rsidRDefault="00CF626A">
      <w:pPr>
        <w:pStyle w:val="A"/>
      </w:pPr>
      <w:r w:rsidRPr="001531CD">
        <w:t>F.</w:t>
      </w:r>
      <w:r w:rsidRPr="001531CD">
        <w:tab/>
        <w:t>No linked deposit shall be approved if gross income from the agricultural operation is less than 50 percent of the farmer's income.</w:t>
      </w:r>
    </w:p>
    <w:p w14:paraId="68E81DF1" w14:textId="77777777" w:rsidR="00CF626A" w:rsidRPr="001531CD" w:rsidRDefault="00CF626A">
      <w:pPr>
        <w:pStyle w:val="A"/>
      </w:pPr>
      <w:r w:rsidRPr="001531CD">
        <w:t>G.</w:t>
      </w:r>
      <w:r w:rsidRPr="001531CD">
        <w:tab/>
        <w:t>No linked deposit loan shall be approved if the farmer has a negative net worth.</w:t>
      </w:r>
    </w:p>
    <w:p w14:paraId="2BD19FDC" w14:textId="77777777" w:rsidR="00CF626A" w:rsidRPr="001531CD" w:rsidRDefault="00CF626A">
      <w:pPr>
        <w:pStyle w:val="A"/>
      </w:pPr>
      <w:r w:rsidRPr="001531CD">
        <w:t>H.</w:t>
      </w:r>
      <w:r w:rsidRPr="001531CD">
        <w:tab/>
        <w:t>No linked deposit loan shall be approved if the agricultural products processing business benefits directly any officer or director of the lending institution making the loan.</w:t>
      </w:r>
    </w:p>
    <w:p w14:paraId="23EE97AF" w14:textId="77777777" w:rsidR="00CF626A" w:rsidRPr="001531CD" w:rsidRDefault="00CF626A">
      <w:pPr>
        <w:pStyle w:val="A"/>
      </w:pPr>
      <w:r w:rsidRPr="001531CD">
        <w:t>I.</w:t>
      </w:r>
      <w:r w:rsidRPr="001531CD">
        <w:tab/>
        <w:t>No linked deposit loan shall be approved if it involves loan fees by the lending institution other than would be normally charged on this type of application.</w:t>
      </w:r>
    </w:p>
    <w:p w14:paraId="133DE979" w14:textId="77777777" w:rsidR="00CF626A" w:rsidRPr="001531CD" w:rsidRDefault="00CF626A">
      <w:pPr>
        <w:pStyle w:val="A"/>
      </w:pPr>
      <w:r w:rsidRPr="001531CD">
        <w:t>J.</w:t>
      </w:r>
      <w:r w:rsidRPr="001531CD">
        <w:tab/>
        <w:t>No linked deposit shall be approved if it requires liability, other than the 3 percent interest, by the state, the commissioner or the treasurer.</w:t>
      </w:r>
    </w:p>
    <w:p w14:paraId="493272B7" w14:textId="77777777" w:rsidR="00CF626A" w:rsidRPr="001531CD" w:rsidRDefault="00CF626A">
      <w:pPr>
        <w:pStyle w:val="AuthorityNote"/>
      </w:pPr>
      <w:r w:rsidRPr="001531CD">
        <w:t>AUTHORITY NOTE:</w:t>
      </w:r>
      <w:r w:rsidRPr="001531CD">
        <w:tab/>
        <w:t>Promulgated in accordance with R.S. 49:327.1.</w:t>
      </w:r>
    </w:p>
    <w:p w14:paraId="2F67B351" w14:textId="77777777" w:rsidR="00CF626A" w:rsidRPr="001531CD" w:rsidRDefault="00CF626A">
      <w:pPr>
        <w:pStyle w:val="HistoricalNote"/>
      </w:pPr>
      <w:r w:rsidRPr="001531CD">
        <w:t>HISTORICAL NOTE:</w:t>
      </w:r>
      <w:r w:rsidRPr="001531CD">
        <w:tab/>
        <w:t>Promulgated by the Department of Agriculture and Forestry, Office of Marketing, Market Commission, LR 19:1308 (October 1993).</w:t>
      </w:r>
    </w:p>
    <w:p w14:paraId="3857064A" w14:textId="77777777" w:rsidR="00CF626A" w:rsidRPr="001531CD" w:rsidRDefault="00CF626A">
      <w:pPr>
        <w:pStyle w:val="Chapter"/>
      </w:pPr>
      <w:bookmarkStart w:id="660" w:name="TOC_Chap47"/>
      <w:bookmarkStart w:id="661" w:name="_Toc256754349"/>
      <w:bookmarkStart w:id="662" w:name="_Toc224818583"/>
      <w:r w:rsidRPr="001531CD">
        <w:t>Chapter 9.</w:t>
      </w:r>
      <w:bookmarkEnd w:id="660"/>
      <w:r w:rsidR="001413E4">
        <w:tab/>
      </w:r>
      <w:bookmarkStart w:id="663" w:name="TOCT_Chap45"/>
      <w:bookmarkStart w:id="664" w:name="TOCT_Chap46"/>
      <w:bookmarkStart w:id="665" w:name="TOCT_Chap47"/>
      <w:r w:rsidRPr="001531CD">
        <w:t>Market Commission</w:t>
      </w:r>
      <w:r w:rsidR="005B1246" w:rsidRPr="001531CD">
        <w:t>―</w:t>
      </w:r>
      <w:r w:rsidRPr="001531CD">
        <w:t>Poultry and Eggs</w:t>
      </w:r>
      <w:bookmarkEnd w:id="661"/>
      <w:bookmarkEnd w:id="662"/>
      <w:bookmarkEnd w:id="663"/>
      <w:bookmarkEnd w:id="664"/>
      <w:bookmarkEnd w:id="665"/>
    </w:p>
    <w:p w14:paraId="7D9912E1" w14:textId="77777777" w:rsidR="00CF626A" w:rsidRPr="001531CD" w:rsidRDefault="00CF626A">
      <w:pPr>
        <w:pStyle w:val="Chapter"/>
      </w:pPr>
      <w:bookmarkStart w:id="666" w:name="TOC_SubC48"/>
      <w:bookmarkStart w:id="667" w:name="_Toc256754350"/>
      <w:bookmarkStart w:id="668" w:name="_Toc224818584"/>
      <w:r w:rsidRPr="001531CD">
        <w:t>Subchapter A.</w:t>
      </w:r>
      <w:bookmarkEnd w:id="666"/>
      <w:r w:rsidR="001413E4">
        <w:tab/>
      </w:r>
      <w:bookmarkStart w:id="669" w:name="TOCT_SubC46"/>
      <w:bookmarkStart w:id="670" w:name="TOCT_SubC47"/>
      <w:bookmarkStart w:id="671" w:name="TOCT_SubC48"/>
      <w:r w:rsidRPr="001531CD">
        <w:t>Certification of Official State Grades of Poultry, Poultry Products and Shell Eggs</w:t>
      </w:r>
      <w:bookmarkEnd w:id="667"/>
      <w:bookmarkEnd w:id="668"/>
      <w:bookmarkEnd w:id="669"/>
      <w:bookmarkEnd w:id="670"/>
      <w:bookmarkEnd w:id="671"/>
    </w:p>
    <w:p w14:paraId="7476454F" w14:textId="77777777" w:rsidR="00CF626A" w:rsidRPr="001531CD" w:rsidRDefault="00CF626A">
      <w:pPr>
        <w:pStyle w:val="Section"/>
      </w:pPr>
      <w:bookmarkStart w:id="672" w:name="_Toc256754351"/>
      <w:bookmarkStart w:id="673" w:name="_Toc224818585"/>
      <w:r w:rsidRPr="001531CD">
        <w:t>§901.</w:t>
      </w:r>
      <w:r w:rsidRPr="001531CD">
        <w:tab/>
        <w:t>Establishment of Official State Grades of Poultry, Poultry Products, and Shell Eggs</w:t>
      </w:r>
      <w:bookmarkEnd w:id="672"/>
      <w:bookmarkEnd w:id="673"/>
    </w:p>
    <w:p w14:paraId="784DE666" w14:textId="77777777" w:rsidR="00CF626A" w:rsidRPr="001531CD" w:rsidRDefault="00CF626A">
      <w:pPr>
        <w:pStyle w:val="A"/>
      </w:pPr>
      <w:r w:rsidRPr="001531CD">
        <w:t>A.</w:t>
      </w:r>
      <w:r w:rsidRPr="001531CD">
        <w:tab/>
        <w:t xml:space="preserve">Standards established in Regulations Governing the Voluntary Grading of Poultry Products and Rabbit Products and U.S. Classes, Standards, and Grades with Respect </w:t>
      </w:r>
      <w:r w:rsidRPr="001531CD">
        <w:lastRenderedPageBreak/>
        <w:t>Thereto (7 CFR Part 2870) shall apply to all Louisiana state grades for poultry and poultry products.</w:t>
      </w:r>
    </w:p>
    <w:p w14:paraId="5F8CDD40" w14:textId="77777777" w:rsidR="00CF626A" w:rsidRPr="001531CD" w:rsidRDefault="00CF626A">
      <w:pPr>
        <w:pStyle w:val="A"/>
      </w:pPr>
      <w:r w:rsidRPr="001531CD">
        <w:t>B.</w:t>
      </w:r>
      <w:r w:rsidRPr="001531CD">
        <w:tab/>
        <w:t>Standards established in Regulations Governing the Grading of Shell Eggs and U.S. Standards, Grades, and Weight Classes for Shell Eggs (7 CFR Part 2856) shall apply to all Louisiana grades for shell eggs.</w:t>
      </w:r>
    </w:p>
    <w:p w14:paraId="3A10C661" w14:textId="77777777" w:rsidR="00CF626A" w:rsidRPr="001531CD" w:rsidRDefault="00CF626A">
      <w:pPr>
        <w:pStyle w:val="AuthorityNote"/>
      </w:pPr>
      <w:r w:rsidRPr="001531CD">
        <w:t>AUTHORITY NOTE:</w:t>
      </w:r>
      <w:r w:rsidRPr="001531CD">
        <w:tab/>
        <w:t>Promulgated in accordance with R.S. 3:405 and R.S. 3:410.</w:t>
      </w:r>
    </w:p>
    <w:p w14:paraId="309740D2" w14:textId="77777777" w:rsidR="00CF626A" w:rsidRPr="001531CD" w:rsidRDefault="00CF626A">
      <w:pPr>
        <w:pStyle w:val="HistoricalNote"/>
      </w:pPr>
      <w:r w:rsidRPr="001531CD">
        <w:t>HISTORICAL NOTE:</w:t>
      </w:r>
      <w:r w:rsidRPr="001531CD">
        <w:tab/>
        <w:t>Promulgated by the Department of Agriculture, Market Commission, LR 8:271 (June 1982).</w:t>
      </w:r>
    </w:p>
    <w:p w14:paraId="359E7A01" w14:textId="77777777" w:rsidR="00CF626A" w:rsidRPr="001531CD" w:rsidRDefault="00CF626A">
      <w:pPr>
        <w:pStyle w:val="Section"/>
      </w:pPr>
      <w:bookmarkStart w:id="674" w:name="_Toc256754352"/>
      <w:bookmarkStart w:id="675" w:name="_Toc224818586"/>
      <w:r w:rsidRPr="001531CD">
        <w:t>§903.</w:t>
      </w:r>
      <w:r w:rsidRPr="001531CD">
        <w:tab/>
        <w:t>Certification of Poultry, Poultry Products, and Shell Eggs</w:t>
      </w:r>
      <w:bookmarkEnd w:id="674"/>
      <w:bookmarkEnd w:id="675"/>
    </w:p>
    <w:p w14:paraId="1BBB374E" w14:textId="77777777" w:rsidR="00CF626A" w:rsidRPr="001531CD" w:rsidRDefault="00CF626A">
      <w:pPr>
        <w:pStyle w:val="A"/>
      </w:pPr>
      <w:r w:rsidRPr="001531CD">
        <w:t>A.</w:t>
      </w:r>
      <w:r w:rsidRPr="001531CD">
        <w:tab/>
        <w:t>The examination, acceptance and certification of poultry, poultry products, and shell eggs shall be in accordance with U.S. Department of Agriculture, A.M.S. (Agricultural Marketing Service), Poultry Grading Branch poultry and egg grading and inspection requirements.</w:t>
      </w:r>
    </w:p>
    <w:p w14:paraId="784574FD" w14:textId="77777777" w:rsidR="00CF626A" w:rsidRPr="001531CD" w:rsidRDefault="00CF626A">
      <w:pPr>
        <w:pStyle w:val="A"/>
      </w:pPr>
      <w:r w:rsidRPr="001531CD">
        <w:t>B.</w:t>
      </w:r>
      <w:r w:rsidRPr="001531CD">
        <w:tab/>
        <w:t>Each master or shipping container of poultry and egg products shall be legibly labeled to show the net weight, U.S. grade (if applicable), inspection mark, plant name and address, kind, class, and weight range.</w:t>
      </w:r>
    </w:p>
    <w:p w14:paraId="1BA5FCF5" w14:textId="77777777" w:rsidR="00CF626A" w:rsidRPr="001531CD" w:rsidRDefault="00CF626A" w:rsidP="002D3F23">
      <w:pPr>
        <w:pStyle w:val="A"/>
        <w:spacing w:after="80"/>
      </w:pPr>
      <w:r w:rsidRPr="001531CD">
        <w:t>C.</w:t>
      </w:r>
      <w:r w:rsidRPr="001531CD">
        <w:tab/>
        <w:t>A Louisiana certificate of condition and origin must be issued no more than seven days prior to delivery and must accompany each delivery of product to a state agency or political subdivision of the state. The certificate of condition examination and origin must contain:</w:t>
      </w:r>
    </w:p>
    <w:p w14:paraId="49E5FDF9" w14:textId="77777777" w:rsidR="00CF626A" w:rsidRPr="001531CD" w:rsidRDefault="00CF626A" w:rsidP="002D3F23">
      <w:pPr>
        <w:pStyle w:val="1"/>
        <w:spacing w:after="80"/>
      </w:pPr>
      <w:r w:rsidRPr="001531CD">
        <w:t>1.</w:t>
      </w:r>
      <w:r w:rsidRPr="001531CD">
        <w:tab/>
        <w:t>the origin of the product, except as provided in §903.D;</w:t>
      </w:r>
    </w:p>
    <w:p w14:paraId="174D116D" w14:textId="77777777" w:rsidR="00CF626A" w:rsidRPr="001531CD" w:rsidRDefault="00CF626A" w:rsidP="002D3F23">
      <w:pPr>
        <w:pStyle w:val="1"/>
        <w:spacing w:after="80"/>
      </w:pPr>
      <w:r w:rsidRPr="001531CD">
        <w:t>2.</w:t>
      </w:r>
      <w:r w:rsidRPr="001531CD">
        <w:tab/>
        <w:t>the purchase order number of the purchasing agency;</w:t>
      </w:r>
    </w:p>
    <w:p w14:paraId="02A23F85" w14:textId="77777777" w:rsidR="00CF626A" w:rsidRPr="001531CD" w:rsidRDefault="00CF626A" w:rsidP="002D3F23">
      <w:pPr>
        <w:pStyle w:val="1"/>
        <w:spacing w:after="80"/>
      </w:pPr>
      <w:r w:rsidRPr="001531CD">
        <w:t>3.</w:t>
      </w:r>
      <w:r w:rsidRPr="001531CD">
        <w:tab/>
        <w:t>verification of:</w:t>
      </w:r>
    </w:p>
    <w:p w14:paraId="256B7848" w14:textId="77777777" w:rsidR="00CF626A" w:rsidRPr="001531CD" w:rsidRDefault="00CF626A" w:rsidP="002D3F23">
      <w:pPr>
        <w:pStyle w:val="a0"/>
        <w:spacing w:after="80"/>
      </w:pPr>
      <w:r w:rsidRPr="001531CD">
        <w:t>a.</w:t>
      </w:r>
      <w:r w:rsidRPr="001531CD">
        <w:tab/>
        <w:t>condition of the product, i.e., no change in the product since initial inspection; and</w:t>
      </w:r>
    </w:p>
    <w:p w14:paraId="26F22705" w14:textId="77777777" w:rsidR="00CF626A" w:rsidRPr="001531CD" w:rsidRDefault="00CF626A" w:rsidP="002D3F23">
      <w:pPr>
        <w:pStyle w:val="a0"/>
        <w:spacing w:after="80"/>
      </w:pPr>
      <w:r w:rsidRPr="001531CD">
        <w:t>b.</w:t>
      </w:r>
      <w:r w:rsidRPr="001531CD">
        <w:tab/>
        <w:t>compliance with the specifications of the purchase order.</w:t>
      </w:r>
    </w:p>
    <w:p w14:paraId="32CFB286" w14:textId="77777777" w:rsidR="00CF626A" w:rsidRPr="001531CD" w:rsidRDefault="00CF626A">
      <w:pPr>
        <w:pStyle w:val="A"/>
      </w:pPr>
      <w:r w:rsidRPr="001531CD">
        <w:t>D.</w:t>
      </w:r>
      <w:r w:rsidRPr="001531CD">
        <w:tab/>
        <w:t>The purchase order of the purchasing agency must indicate whether or not a vendor has claimed a preference based on provision of Louisiana agricultural products. When the purchase order of the purchasing agency does not indicate that the vendor has claimed a Louisiana agricultural products preference, no certification as to origin of the product will be made.</w:t>
      </w:r>
    </w:p>
    <w:p w14:paraId="650091FF" w14:textId="77777777" w:rsidR="00CF626A" w:rsidRPr="001531CD" w:rsidRDefault="00CF626A">
      <w:pPr>
        <w:pStyle w:val="A"/>
      </w:pPr>
      <w:r w:rsidRPr="001531CD">
        <w:t>E.</w:t>
      </w:r>
      <w:r w:rsidRPr="001531CD">
        <w:tab/>
        <w:t>Each master or shipping container of poultry, poultry products, and shell eggs meeting the specifications of the purchase order shall be stripped on the outside of the container with non-glossy filament tape or equivalent. All tape used for sealing purposes must be approved by the Department of Agriculture and Forestry. The tape shall be placed so that it must be torn to open the container.</w:t>
      </w:r>
    </w:p>
    <w:p w14:paraId="61EDE33D" w14:textId="77777777" w:rsidR="00CF626A" w:rsidRPr="001531CD" w:rsidRDefault="00CF626A">
      <w:pPr>
        <w:pStyle w:val="A"/>
      </w:pPr>
      <w:r w:rsidRPr="001531CD">
        <w:t>F.</w:t>
      </w:r>
      <w:r w:rsidRPr="001531CD">
        <w:tab/>
        <w:t>Each master or shipping container must be stamped with the U.S.D.A. contract compliance stamp and certificate number or U.S.D.A. Sample Grade stamp and date or bear the U.S.D.A. shield. The stamp imprint must be legible and placed partially on the container and partially on the tape on the end of the container.</w:t>
      </w:r>
    </w:p>
    <w:p w14:paraId="7E3381CF" w14:textId="77777777" w:rsidR="00CF626A" w:rsidRPr="001531CD" w:rsidRDefault="00CF626A">
      <w:pPr>
        <w:pStyle w:val="A"/>
      </w:pPr>
      <w:r w:rsidRPr="001531CD">
        <w:t>G.</w:t>
      </w:r>
      <w:r w:rsidRPr="001531CD">
        <w:tab/>
        <w:t>All containers of Louisiana agricultural products must be stamped with a Louisiana agricultural products stamp.</w:t>
      </w:r>
    </w:p>
    <w:p w14:paraId="1907DC8F" w14:textId="77777777" w:rsidR="00CF626A" w:rsidRPr="001531CD" w:rsidRDefault="00CF626A">
      <w:pPr>
        <w:pStyle w:val="AuthorityNote"/>
      </w:pPr>
      <w:r w:rsidRPr="001531CD">
        <w:t>AUTHORITY NOTE:</w:t>
      </w:r>
      <w:r w:rsidRPr="001531CD">
        <w:tab/>
        <w:t>Promulgated in accordance with R.S. 3:405.</w:t>
      </w:r>
    </w:p>
    <w:p w14:paraId="5DA52540" w14:textId="77777777" w:rsidR="00CF626A" w:rsidRPr="001531CD" w:rsidRDefault="00CF626A">
      <w:pPr>
        <w:pStyle w:val="HistoricalNote"/>
      </w:pPr>
      <w:r w:rsidRPr="001531CD">
        <w:t>HISTORICAL NOTE:</w:t>
      </w:r>
      <w:r w:rsidRPr="001531CD">
        <w:tab/>
        <w:t>Promulgated by the Department of Agriculture, Market Commission, LR 8:271 (June 1982), amended by the Department of Agriculture and Forestry, Market Commission, LR 19:1120 (September 1993).</w:t>
      </w:r>
    </w:p>
    <w:p w14:paraId="2392F725" w14:textId="77777777" w:rsidR="00CF626A" w:rsidRPr="001531CD" w:rsidRDefault="00CF626A">
      <w:pPr>
        <w:pStyle w:val="Section"/>
      </w:pPr>
      <w:bookmarkStart w:id="676" w:name="_Toc256754353"/>
      <w:bookmarkStart w:id="677" w:name="_Toc224818587"/>
      <w:r w:rsidRPr="001531CD">
        <w:t>§905.</w:t>
      </w:r>
      <w:r w:rsidRPr="001531CD">
        <w:tab/>
        <w:t>Time Limitation for Issuance of Certificate</w:t>
      </w:r>
      <w:bookmarkEnd w:id="676"/>
      <w:bookmarkEnd w:id="677"/>
    </w:p>
    <w:p w14:paraId="582019B0" w14:textId="77777777" w:rsidR="00CF626A" w:rsidRPr="001531CD" w:rsidRDefault="00CF626A">
      <w:pPr>
        <w:pStyle w:val="A"/>
      </w:pPr>
      <w:r w:rsidRPr="001531CD">
        <w:t>A.</w:t>
      </w:r>
      <w:r w:rsidRPr="001531CD">
        <w:tab/>
        <w:t>A state of Louisiana condition examination and origin certificate must be issued not more than seven days prior to the scheduled delivery of the product to the purchasing agency.</w:t>
      </w:r>
    </w:p>
    <w:p w14:paraId="62864735" w14:textId="77777777" w:rsidR="00CF626A" w:rsidRPr="001531CD" w:rsidRDefault="00CF626A">
      <w:pPr>
        <w:pStyle w:val="AuthorityNote"/>
      </w:pPr>
      <w:r w:rsidRPr="001531CD">
        <w:t>AUTHORITY NOTE:</w:t>
      </w:r>
      <w:r w:rsidRPr="001531CD">
        <w:tab/>
        <w:t>Promulgated in accordance with R.S. 3:405.</w:t>
      </w:r>
    </w:p>
    <w:p w14:paraId="5466A707" w14:textId="77777777" w:rsidR="00CF626A" w:rsidRPr="001531CD" w:rsidRDefault="00CF626A">
      <w:pPr>
        <w:pStyle w:val="HistoricalNote"/>
      </w:pPr>
      <w:r w:rsidRPr="001531CD">
        <w:t>HISTORICAL NOTE:</w:t>
      </w:r>
      <w:r w:rsidRPr="001531CD">
        <w:tab/>
        <w:t>Promulgated by the Department of Agriculture, Market Commission, LR 8:272 (June 1982), amended by the Department of Agriculture and Forestry, Market Commission, LR 19:1121 (September 1993).</w:t>
      </w:r>
    </w:p>
    <w:p w14:paraId="01228B2B" w14:textId="77777777" w:rsidR="00CF626A" w:rsidRPr="001531CD" w:rsidRDefault="00CF626A">
      <w:pPr>
        <w:pStyle w:val="Section"/>
      </w:pPr>
      <w:bookmarkStart w:id="678" w:name="_Toc256754354"/>
      <w:bookmarkStart w:id="679" w:name="_Toc224818588"/>
      <w:r w:rsidRPr="001531CD">
        <w:t>§907.</w:t>
      </w:r>
      <w:r w:rsidRPr="001531CD">
        <w:tab/>
        <w:t>Waiver of Specification Requirements</w:t>
      </w:r>
      <w:bookmarkEnd w:id="678"/>
      <w:bookmarkEnd w:id="679"/>
    </w:p>
    <w:p w14:paraId="25419902" w14:textId="77777777" w:rsidR="00CF626A" w:rsidRPr="001531CD" w:rsidRDefault="00CF626A">
      <w:pPr>
        <w:pStyle w:val="A"/>
      </w:pPr>
      <w:r w:rsidRPr="001531CD">
        <w:t>A.</w:t>
      </w:r>
      <w:r w:rsidRPr="001531CD">
        <w:tab/>
        <w:t>The purchasing agency may waive the requirements for sealing of the container when the contents are ice-packed rather than frozen, but may do so only at purchasing agency's risk. When the purchasing agency waives the requirement for sealing of the container, a written statement of waiver must be provided to the Department of Agriculture and Forestry.</w:t>
      </w:r>
    </w:p>
    <w:p w14:paraId="6097B7E5" w14:textId="77777777" w:rsidR="00CF626A" w:rsidRPr="001531CD" w:rsidRDefault="00CF626A">
      <w:pPr>
        <w:pStyle w:val="A"/>
      </w:pPr>
      <w:r w:rsidRPr="001531CD">
        <w:t>B.</w:t>
      </w:r>
      <w:r w:rsidRPr="001531CD">
        <w:tab/>
        <w:t>Waivers and amendments to specification requirements may be made only with concurrence of the purchasing agency and the vendor.</w:t>
      </w:r>
    </w:p>
    <w:p w14:paraId="3776AD30" w14:textId="77777777" w:rsidR="00CF626A" w:rsidRPr="001531CD" w:rsidRDefault="00CF626A">
      <w:pPr>
        <w:pStyle w:val="A"/>
      </w:pPr>
      <w:r w:rsidRPr="001531CD">
        <w:t>C.</w:t>
      </w:r>
      <w:r w:rsidRPr="001531CD">
        <w:tab/>
        <w:t>A written statement of the precise nature of the changes in the specifications must be provided to the Department of Agriculture and Forestry representative prior to any examination of the product.</w:t>
      </w:r>
    </w:p>
    <w:p w14:paraId="5EDED643" w14:textId="77777777" w:rsidR="00CF626A" w:rsidRPr="001531CD" w:rsidRDefault="00CF626A">
      <w:pPr>
        <w:pStyle w:val="A"/>
      </w:pPr>
      <w:r w:rsidRPr="001531CD">
        <w:t>D.</w:t>
      </w:r>
      <w:r w:rsidRPr="001531CD">
        <w:tab/>
        <w:t>Failure to include information concerning the Louisiana agricultural products preference of the vendor on the purchase order shall constitute a waiver of the vendor's right for a certificate of origin.</w:t>
      </w:r>
    </w:p>
    <w:p w14:paraId="25CEC1A7" w14:textId="77777777" w:rsidR="00CF626A" w:rsidRPr="001531CD" w:rsidRDefault="00CF626A">
      <w:pPr>
        <w:pStyle w:val="AuthorityNote"/>
      </w:pPr>
      <w:r w:rsidRPr="001531CD">
        <w:t>AUTHORITY NOTE:</w:t>
      </w:r>
      <w:r w:rsidRPr="001531CD">
        <w:tab/>
        <w:t>Promulgated in accordance with R.S. 3:405.</w:t>
      </w:r>
    </w:p>
    <w:p w14:paraId="07E7DA12" w14:textId="77777777" w:rsidR="00CF626A" w:rsidRPr="001531CD" w:rsidRDefault="00CF626A">
      <w:pPr>
        <w:pStyle w:val="HistoricalNote"/>
      </w:pPr>
      <w:r w:rsidRPr="001531CD">
        <w:t>HISTORICAL NOTE:</w:t>
      </w:r>
      <w:r w:rsidRPr="001531CD">
        <w:tab/>
        <w:t>Promulgated by the Department of Agriculture, Market Commission, LR 8:272 (June 1982).</w:t>
      </w:r>
    </w:p>
    <w:p w14:paraId="64A59311" w14:textId="77777777" w:rsidR="00CF626A" w:rsidRPr="001531CD" w:rsidRDefault="00CF626A">
      <w:pPr>
        <w:pStyle w:val="Section"/>
      </w:pPr>
      <w:bookmarkStart w:id="680" w:name="_Toc256754355"/>
      <w:bookmarkStart w:id="681" w:name="_Toc224818589"/>
      <w:r w:rsidRPr="001531CD">
        <w:t>§909.</w:t>
      </w:r>
      <w:r w:rsidRPr="001531CD">
        <w:tab/>
        <w:t>Final Delivery of Product</w:t>
      </w:r>
      <w:bookmarkEnd w:id="680"/>
      <w:bookmarkEnd w:id="681"/>
    </w:p>
    <w:p w14:paraId="3F07EBA9" w14:textId="77777777" w:rsidR="00CF626A" w:rsidRPr="001531CD" w:rsidRDefault="00CF626A">
      <w:pPr>
        <w:pStyle w:val="A"/>
      </w:pPr>
      <w:r w:rsidRPr="001531CD">
        <w:t>A.</w:t>
      </w:r>
      <w:r w:rsidRPr="001531CD">
        <w:tab/>
        <w:t>Final acceptance of the product will be the responsibility of the purchasing agency.</w:t>
      </w:r>
    </w:p>
    <w:p w14:paraId="2DE88F3B" w14:textId="77777777" w:rsidR="00CF626A" w:rsidRPr="001531CD" w:rsidRDefault="00CF626A">
      <w:pPr>
        <w:pStyle w:val="A"/>
      </w:pPr>
      <w:r w:rsidRPr="001531CD">
        <w:t>B.</w:t>
      </w:r>
      <w:r w:rsidRPr="001531CD">
        <w:tab/>
        <w:t>Products may be rejected for the following reasons:</w:t>
      </w:r>
    </w:p>
    <w:p w14:paraId="4DCBA64C" w14:textId="77777777" w:rsidR="00CF626A" w:rsidRPr="001531CD" w:rsidRDefault="00CF626A">
      <w:pPr>
        <w:pStyle w:val="1"/>
      </w:pPr>
      <w:r w:rsidRPr="001531CD">
        <w:t>1.</w:t>
      </w:r>
      <w:r w:rsidRPr="001531CD">
        <w:tab/>
        <w:t>no certificate affixed;</w:t>
      </w:r>
    </w:p>
    <w:p w14:paraId="18B77F9D" w14:textId="77777777" w:rsidR="00CF626A" w:rsidRPr="001531CD" w:rsidRDefault="00CF626A">
      <w:pPr>
        <w:pStyle w:val="1"/>
      </w:pPr>
      <w:r w:rsidRPr="001531CD">
        <w:t>2.</w:t>
      </w:r>
      <w:r w:rsidRPr="001531CD">
        <w:tab/>
        <w:t>sealing tape on container broken;</w:t>
      </w:r>
    </w:p>
    <w:p w14:paraId="52A760E2" w14:textId="77777777" w:rsidR="00CF626A" w:rsidRPr="001531CD" w:rsidRDefault="00CF626A">
      <w:pPr>
        <w:pStyle w:val="1"/>
      </w:pPr>
      <w:r w:rsidRPr="001531CD">
        <w:t>3.</w:t>
      </w:r>
      <w:r w:rsidRPr="001531CD">
        <w:tab/>
        <w:t>no official stamp affixed;</w:t>
      </w:r>
    </w:p>
    <w:p w14:paraId="7A3C9670" w14:textId="77777777" w:rsidR="00CF626A" w:rsidRPr="001531CD" w:rsidRDefault="00CF626A">
      <w:pPr>
        <w:pStyle w:val="1"/>
      </w:pPr>
      <w:r w:rsidRPr="001531CD">
        <w:t>4.</w:t>
      </w:r>
      <w:r w:rsidRPr="001531CD">
        <w:tab/>
        <w:t>obvious deviations from specification requirements without appropriate written notice of changes in specification requirements.</w:t>
      </w:r>
    </w:p>
    <w:p w14:paraId="01644CD0" w14:textId="77777777" w:rsidR="00CF626A" w:rsidRPr="001531CD" w:rsidRDefault="00CF626A">
      <w:pPr>
        <w:pStyle w:val="A"/>
      </w:pPr>
      <w:r w:rsidRPr="001531CD">
        <w:t>C.</w:t>
      </w:r>
      <w:r w:rsidRPr="001531CD">
        <w:tab/>
        <w:t xml:space="preserve">Purchasing agency may accept product with minor deviations from specification requirements without written </w:t>
      </w:r>
      <w:r w:rsidRPr="001531CD">
        <w:lastRenderedPageBreak/>
        <w:t>statement of agreed-upon changes, but shall do so at purchasing agency's risk.</w:t>
      </w:r>
    </w:p>
    <w:p w14:paraId="7FE3806E" w14:textId="77777777" w:rsidR="00CF626A" w:rsidRPr="001531CD" w:rsidRDefault="00CF626A">
      <w:pPr>
        <w:pStyle w:val="AuthorityNote"/>
      </w:pPr>
      <w:r w:rsidRPr="001531CD">
        <w:t>AUTHORITY NOTE:</w:t>
      </w:r>
      <w:r w:rsidRPr="001531CD">
        <w:tab/>
        <w:t>Promulgated in accordance with R.S. 3:405.</w:t>
      </w:r>
    </w:p>
    <w:p w14:paraId="55C2F6FE" w14:textId="77777777" w:rsidR="00CF626A" w:rsidRPr="001531CD" w:rsidRDefault="00CF626A">
      <w:pPr>
        <w:pStyle w:val="HistoricalNote"/>
      </w:pPr>
      <w:r w:rsidRPr="001531CD">
        <w:t>HISTORICAL NOTE:</w:t>
      </w:r>
      <w:r w:rsidRPr="001531CD">
        <w:tab/>
        <w:t>Promulgated by the Department of Agriculture, Market Commission, LR 8:272 (June 1982).</w:t>
      </w:r>
    </w:p>
    <w:p w14:paraId="338A5D65" w14:textId="77777777" w:rsidR="00CF626A" w:rsidRPr="001531CD" w:rsidRDefault="00CF626A">
      <w:pPr>
        <w:pStyle w:val="Section"/>
      </w:pPr>
      <w:bookmarkStart w:id="682" w:name="_Toc256754356"/>
      <w:bookmarkStart w:id="683" w:name="_Toc224818590"/>
      <w:r w:rsidRPr="001531CD">
        <w:t>§911.</w:t>
      </w:r>
      <w:r w:rsidRPr="001531CD">
        <w:tab/>
        <w:t>Contractor's Obligations</w:t>
      </w:r>
      <w:bookmarkEnd w:id="682"/>
      <w:bookmarkEnd w:id="683"/>
    </w:p>
    <w:p w14:paraId="5E2DAD7A" w14:textId="77777777" w:rsidR="00CF626A" w:rsidRPr="001531CD" w:rsidRDefault="00CF626A">
      <w:pPr>
        <w:pStyle w:val="A"/>
      </w:pPr>
      <w:r w:rsidRPr="001531CD">
        <w:t>A.</w:t>
      </w:r>
      <w:r w:rsidRPr="001531CD">
        <w:tab/>
        <w:t>Vendors requesting certification services under these regulations must provide such assistance as may be necessary to expedite the examination and certification of products and the taping of containers, including the provision of the necessary tape.</w:t>
      </w:r>
    </w:p>
    <w:p w14:paraId="19650D98" w14:textId="77777777" w:rsidR="00CF626A" w:rsidRPr="001531CD" w:rsidRDefault="00CF626A">
      <w:pPr>
        <w:pStyle w:val="A"/>
      </w:pPr>
      <w:r w:rsidRPr="001531CD">
        <w:t>B.</w:t>
      </w:r>
      <w:r w:rsidRPr="001531CD">
        <w:tab/>
        <w:t>Vendors desiring certification services must notify the Department of Agriculture and Forestry at least 24 hours in advance of need. Vendors who fail to give at least 24 hours advance notice of need shall be subject to a penalty of $50, regardless of the time required for the services or the fees assessed.</w:t>
      </w:r>
    </w:p>
    <w:p w14:paraId="54C745C0" w14:textId="77777777" w:rsidR="00CF626A" w:rsidRPr="001531CD" w:rsidRDefault="00CF626A">
      <w:pPr>
        <w:pStyle w:val="A"/>
      </w:pPr>
      <w:r w:rsidRPr="001531CD">
        <w:t>C.</w:t>
      </w:r>
      <w:r w:rsidRPr="001531CD">
        <w:tab/>
        <w:t>The cost of all examination and certification services shall be paid by the vendor at the current U.S.D.A. rate for each hour required to conduct the examination, provided that no specific charge shall be made for certification of product when inspection is simultaneously performed. The cost of all examination and certification services on all eggs and poultry that does not require a federal grade certificate to b e written by a Louisiana Department of Agriculture and Forestry employee shall be charged at a rate of $0.025 per pound for each hour required to conduct the examination, provided that no specific charge shall be made for certification of product when inspection is simultaneously performed.</w:t>
      </w:r>
    </w:p>
    <w:p w14:paraId="7BCBC62A" w14:textId="77777777" w:rsidR="00CF626A" w:rsidRPr="001531CD" w:rsidRDefault="00CF626A">
      <w:pPr>
        <w:pStyle w:val="A"/>
      </w:pPr>
      <w:r w:rsidRPr="001531CD">
        <w:t>D.</w:t>
      </w:r>
      <w:r w:rsidRPr="001531CD">
        <w:tab/>
        <w:t>Vendor must reimburse the Department of Agriculture and Forestry for travel expenses of the inspector providing services, at the rate specified in state travel regulations.</w:t>
      </w:r>
    </w:p>
    <w:p w14:paraId="537E3D48" w14:textId="77777777" w:rsidR="00CF626A" w:rsidRPr="001531CD" w:rsidRDefault="00CF626A">
      <w:pPr>
        <w:pStyle w:val="AuthorityNote"/>
      </w:pPr>
      <w:r w:rsidRPr="001531CD">
        <w:t>AUTHORITY NOTE:</w:t>
      </w:r>
      <w:r w:rsidRPr="001531CD">
        <w:tab/>
        <w:t>Promulgated in accordance with R.S. 3:412 and R.S. 3:405.</w:t>
      </w:r>
    </w:p>
    <w:p w14:paraId="2D01CF18" w14:textId="77777777" w:rsidR="00CF626A" w:rsidRPr="001531CD" w:rsidRDefault="00CF626A">
      <w:pPr>
        <w:pStyle w:val="HistoricalNote"/>
      </w:pPr>
      <w:r w:rsidRPr="001531CD">
        <w:t>HISTORICAL NOTE:</w:t>
      </w:r>
      <w:r w:rsidRPr="001531CD">
        <w:tab/>
        <w:t>Promulgated by the Department of Agriculture, Market Commission, LR 8:272 (June 1982), amended LR 9:411 (June 1983), LR 16:393 (May 1990), amended by the Department of Agriculture and Forestry, Market Commission, LR 19:1121 (September 1993), LR 25:236 (February 1999).</w:t>
      </w:r>
    </w:p>
    <w:p w14:paraId="3972A0B0" w14:textId="77777777" w:rsidR="00CF626A" w:rsidRPr="001531CD" w:rsidRDefault="00CF626A">
      <w:pPr>
        <w:pStyle w:val="Chapter"/>
      </w:pPr>
      <w:bookmarkStart w:id="684" w:name="TOC_SubC49"/>
      <w:bookmarkStart w:id="685" w:name="_Toc256754357"/>
      <w:bookmarkStart w:id="686" w:name="_Toc224818591"/>
      <w:r w:rsidRPr="001531CD">
        <w:t>Subchapter B.</w:t>
      </w:r>
      <w:bookmarkEnd w:id="684"/>
      <w:r w:rsidR="001413E4">
        <w:tab/>
      </w:r>
      <w:bookmarkStart w:id="687" w:name="TOCT_SubC49"/>
      <w:r w:rsidRPr="001531CD">
        <w:t>Egg Grading and Marketing</w:t>
      </w:r>
      <w:bookmarkEnd w:id="685"/>
      <w:bookmarkEnd w:id="686"/>
      <w:bookmarkEnd w:id="687"/>
    </w:p>
    <w:p w14:paraId="7D8B5906" w14:textId="77777777" w:rsidR="00CF626A" w:rsidRPr="001531CD" w:rsidRDefault="00CF626A">
      <w:pPr>
        <w:pStyle w:val="Section"/>
      </w:pPr>
      <w:bookmarkStart w:id="688" w:name="_Toc256754358"/>
      <w:bookmarkStart w:id="689" w:name="_Toc224818592"/>
      <w:r w:rsidRPr="001531CD">
        <w:t>§915.</w:t>
      </w:r>
      <w:r w:rsidRPr="001531CD">
        <w:tab/>
        <w:t>Definitions</w:t>
      </w:r>
      <w:bookmarkEnd w:id="688"/>
      <w:bookmarkEnd w:id="689"/>
    </w:p>
    <w:p w14:paraId="65E33A42" w14:textId="77777777" w:rsidR="00CF626A" w:rsidRPr="001531CD" w:rsidRDefault="00CF626A">
      <w:pPr>
        <w:pStyle w:val="A"/>
      </w:pPr>
      <w:r w:rsidRPr="001531CD">
        <w:t>A.</w:t>
      </w:r>
      <w:r w:rsidRPr="001531CD">
        <w:tab/>
        <w:t>For the purpose of these regulations the following words, terms and phrases shall be construed to mean:</w:t>
      </w:r>
    </w:p>
    <w:p w14:paraId="593ED236" w14:textId="77777777" w:rsidR="00CF626A" w:rsidRPr="001531CD" w:rsidRDefault="00CF626A">
      <w:pPr>
        <w:pStyle w:val="1"/>
      </w:pPr>
      <w:r w:rsidRPr="001531CD">
        <w:rPr>
          <w:i/>
          <w:iCs/>
        </w:rPr>
        <w:t>Ambient Temperature</w:t>
      </w:r>
      <w:r w:rsidRPr="001531CD">
        <w:t>―the atmospheric temperature surrounding or encircling shell eggs.</w:t>
      </w:r>
    </w:p>
    <w:p w14:paraId="5A135275" w14:textId="77777777" w:rsidR="00CF626A" w:rsidRPr="001531CD" w:rsidRDefault="00CF626A">
      <w:pPr>
        <w:pStyle w:val="1"/>
      </w:pPr>
      <w:r w:rsidRPr="001531CD">
        <w:rPr>
          <w:i/>
          <w:iCs/>
        </w:rPr>
        <w:t>Boiled Eggs</w:t>
      </w:r>
      <w:r w:rsidRPr="001531CD">
        <w:t>―eggs that are hard or soft boiled, that are pickled, frozen, or by any other means preserved and sold commercially.</w:t>
      </w:r>
    </w:p>
    <w:p w14:paraId="324F4179" w14:textId="77777777" w:rsidR="00CF626A" w:rsidRPr="001531CD" w:rsidRDefault="00CF626A">
      <w:pPr>
        <w:pStyle w:val="1"/>
      </w:pPr>
      <w:r w:rsidRPr="001531CD">
        <w:rPr>
          <w:i/>
          <w:iCs/>
        </w:rPr>
        <w:t>Broker</w:t>
      </w:r>
      <w:r w:rsidRPr="001531CD">
        <w:t xml:space="preserve">―a person who never assumes ownership or possession of eggs, nor changes the grade or pack of eggs, but is engaged in the business of acting as agent, for a fee or commission, in the sale or transfer of eggs between producers, </w:t>
      </w:r>
      <w:r w:rsidRPr="001531CD">
        <w:t>or dealer-wholesalers as sellers and dealer-wholesalers, processors, or retailers as buyers.</w:t>
      </w:r>
    </w:p>
    <w:p w14:paraId="258F992C" w14:textId="77777777" w:rsidR="00CF626A" w:rsidRPr="001531CD" w:rsidRDefault="00CF626A">
      <w:pPr>
        <w:pStyle w:val="1"/>
      </w:pPr>
      <w:r w:rsidRPr="001531CD">
        <w:rPr>
          <w:i/>
          <w:iCs/>
        </w:rPr>
        <w:t>Candling</w:t>
      </w:r>
      <w:r w:rsidRPr="001531CD">
        <w:t>―the practice of examining the interior of an egg by use of transmitted light for determining whether it is inedible, and for determining quality in grading edible eggs.</w:t>
      </w:r>
    </w:p>
    <w:p w14:paraId="10F3FB23" w14:textId="77777777" w:rsidR="00CF626A" w:rsidRPr="001531CD" w:rsidRDefault="00CF626A">
      <w:pPr>
        <w:pStyle w:val="1"/>
      </w:pPr>
      <w:r w:rsidRPr="001531CD">
        <w:rPr>
          <w:i/>
          <w:iCs/>
        </w:rPr>
        <w:t>Case</w:t>
      </w:r>
      <w:r w:rsidRPr="001531CD">
        <w:t>―30 dozen per case of shell eggs.</w:t>
      </w:r>
    </w:p>
    <w:p w14:paraId="7AF6327F" w14:textId="77777777" w:rsidR="00CF626A" w:rsidRPr="001531CD" w:rsidRDefault="00CF626A">
      <w:pPr>
        <w:pStyle w:val="1"/>
      </w:pPr>
      <w:r w:rsidRPr="001531CD">
        <w:rPr>
          <w:i/>
          <w:iCs/>
        </w:rPr>
        <w:t>Commissioner</w:t>
      </w:r>
      <w:r w:rsidRPr="001531CD">
        <w:t>―the Commissioner of Agriculture and Forestry of the State of Louisiana.</w:t>
      </w:r>
    </w:p>
    <w:p w14:paraId="51FC2899" w14:textId="77777777" w:rsidR="00CF626A" w:rsidRPr="001531CD" w:rsidRDefault="00CF626A">
      <w:pPr>
        <w:pStyle w:val="1"/>
      </w:pPr>
      <w:r w:rsidRPr="001531CD">
        <w:rPr>
          <w:i/>
          <w:iCs/>
        </w:rPr>
        <w:t>Consumer</w:t>
      </w:r>
      <w:r w:rsidRPr="001531CD">
        <w:t>―any person using eggs for food, and shall include restaurants, hotels, cafeterias, hospitals, state institutions, schools, other places not specifically named such as bakeries, day care centers, nursing homes, etc. or any other establishment serving food to be consumed or produced on the premises, but shall not include the Armed Forces or any other federal agency or institution.</w:t>
      </w:r>
    </w:p>
    <w:p w14:paraId="51AE562A" w14:textId="77777777" w:rsidR="00CF626A" w:rsidRPr="001531CD" w:rsidRDefault="00CF626A">
      <w:pPr>
        <w:pStyle w:val="1"/>
      </w:pPr>
      <w:r w:rsidRPr="001531CD">
        <w:rPr>
          <w:i/>
          <w:iCs/>
        </w:rPr>
        <w:t>Dealer-Wholesaler</w:t>
      </w:r>
      <w:r w:rsidRPr="001531CD">
        <w:t xml:space="preserve">―any person engaged in the business of buying eggs from producers or other persons on his own account and selling or transferring eggs to other dealer-wholesalers, processors, retailers, or other persons and consumers. A </w:t>
      </w:r>
      <w:r w:rsidRPr="001531CD">
        <w:rPr>
          <w:i/>
          <w:iCs/>
        </w:rPr>
        <w:t>dealer-wholesaler</w:t>
      </w:r>
      <w:r w:rsidRPr="001531CD">
        <w:t xml:space="preserve"> further means a person engaged in producing eggs from his own flock and disposing of any portion of the production on a graded basis.</w:t>
      </w:r>
    </w:p>
    <w:p w14:paraId="282C6845" w14:textId="77777777" w:rsidR="00CF626A" w:rsidRPr="001531CD" w:rsidRDefault="00CF626A">
      <w:pPr>
        <w:pStyle w:val="1"/>
      </w:pPr>
      <w:r w:rsidRPr="001531CD">
        <w:rPr>
          <w:i/>
          <w:iCs/>
        </w:rPr>
        <w:t>Denatured</w:t>
      </w:r>
      <w:r w:rsidRPr="001531CD">
        <w:t>―rendering unfit for human consumption by treatment or the addition of a foreign substance such as lamp black, methylene dye, powdered charcoal or kerosene, in addition to crushing of the egg shells.</w:t>
      </w:r>
    </w:p>
    <w:p w14:paraId="4AA8DED4" w14:textId="77777777" w:rsidR="00CF626A" w:rsidRPr="001531CD" w:rsidRDefault="00CF626A">
      <w:pPr>
        <w:pStyle w:val="1"/>
      </w:pPr>
      <w:r w:rsidRPr="001531CD">
        <w:rPr>
          <w:i/>
          <w:iCs/>
        </w:rPr>
        <w:t>Department</w:t>
      </w:r>
      <w:r w:rsidRPr="001531CD">
        <w:t>―the Louisiana Department of Agriculture and Forestry.</w:t>
      </w:r>
    </w:p>
    <w:p w14:paraId="4B795AF5" w14:textId="77777777" w:rsidR="00CF626A" w:rsidRPr="001531CD" w:rsidRDefault="00CF626A">
      <w:pPr>
        <w:pStyle w:val="1"/>
      </w:pPr>
      <w:r w:rsidRPr="001531CD">
        <w:rPr>
          <w:i/>
          <w:iCs/>
        </w:rPr>
        <w:t>Egg Producer</w:t>
      </w:r>
      <w:r w:rsidRPr="001531CD">
        <w:t>―any person, farm, corporation, or other entity that produces eggs.</w:t>
      </w:r>
    </w:p>
    <w:p w14:paraId="09A35115" w14:textId="77777777" w:rsidR="00CF626A" w:rsidRPr="001531CD" w:rsidRDefault="00CF626A">
      <w:pPr>
        <w:pStyle w:val="1"/>
      </w:pPr>
      <w:r w:rsidRPr="001531CD">
        <w:rPr>
          <w:i/>
          <w:iCs/>
        </w:rPr>
        <w:t>Egg Products</w:t>
      </w:r>
      <w:r w:rsidRPr="001531CD">
        <w:t>―any other products made from whole eggs, egg whites, egg yolks or any combination thereof that is not included in the above definitions.</w:t>
      </w:r>
    </w:p>
    <w:p w14:paraId="596A5191" w14:textId="77777777" w:rsidR="00CF626A" w:rsidRPr="001531CD" w:rsidRDefault="00CF626A">
      <w:pPr>
        <w:pStyle w:val="1"/>
      </w:pPr>
      <w:r w:rsidRPr="001531CD">
        <w:rPr>
          <w:i/>
          <w:iCs/>
        </w:rPr>
        <w:t>Egg Products Inspection Act</w:t>
      </w:r>
      <w:r w:rsidRPr="001531CD">
        <w:t>―Public Law 91-597, Egg Products Inspection Act, dated 12/29/70.</w:t>
      </w:r>
    </w:p>
    <w:p w14:paraId="5EC817B1" w14:textId="77777777" w:rsidR="00CF626A" w:rsidRPr="001531CD" w:rsidRDefault="00CF626A">
      <w:pPr>
        <w:pStyle w:val="1"/>
      </w:pPr>
      <w:r w:rsidRPr="001531CD">
        <w:rPr>
          <w:i/>
          <w:iCs/>
        </w:rPr>
        <w:t>Eggs</w:t>
      </w:r>
      <w:r w:rsidRPr="001531CD">
        <w:t>―the product of the domesticated chicken offered for sale for human consumption.</w:t>
      </w:r>
    </w:p>
    <w:p w14:paraId="3D41D058" w14:textId="77777777" w:rsidR="00CF626A" w:rsidRPr="001531CD" w:rsidRDefault="00CF626A">
      <w:pPr>
        <w:pStyle w:val="1"/>
      </w:pPr>
      <w:r w:rsidRPr="001531CD">
        <w:rPr>
          <w:i/>
          <w:iCs/>
        </w:rPr>
        <w:t>Federal Standards</w:t>
      </w:r>
      <w:r w:rsidRPr="001531CD">
        <w:t>―the quality and weight requirements for grades as defined in the United States Standards for Shell Eggs that are now or may hereafter be established by the United States Department of Agriculture.</w:t>
      </w:r>
    </w:p>
    <w:p w14:paraId="20E2A127" w14:textId="77777777" w:rsidR="00CF626A" w:rsidRPr="001531CD" w:rsidRDefault="00CF626A">
      <w:pPr>
        <w:pStyle w:val="1"/>
      </w:pPr>
      <w:r w:rsidRPr="001531CD">
        <w:rPr>
          <w:i/>
          <w:iCs/>
        </w:rPr>
        <w:t>Frozen Egg Products</w:t>
      </w:r>
      <w:r w:rsidRPr="001531CD">
        <w:t>―frozen whole eggs, frozen whites, or frozen yolks or any combination thereof to which have been added salt, sugar, or other food or noninjurious food additive.</w:t>
      </w:r>
    </w:p>
    <w:p w14:paraId="314D1F33" w14:textId="77777777" w:rsidR="00CF626A" w:rsidRPr="001531CD" w:rsidRDefault="00CF626A">
      <w:pPr>
        <w:pStyle w:val="1"/>
      </w:pPr>
      <w:r w:rsidRPr="001531CD">
        <w:rPr>
          <w:i/>
          <w:iCs/>
        </w:rPr>
        <w:t>Frozen Eggs, Frozen Egg Yolks, or Frozen Mixed Eggs</w:t>
      </w:r>
      <w:r w:rsidRPr="001531CD">
        <w:t>―the food prepared by freezing liquid eggs.</w:t>
      </w:r>
    </w:p>
    <w:p w14:paraId="76B2ACAF" w14:textId="77777777" w:rsidR="00CF626A" w:rsidRPr="001531CD" w:rsidRDefault="00CF626A">
      <w:pPr>
        <w:pStyle w:val="1"/>
      </w:pPr>
      <w:r w:rsidRPr="001531CD">
        <w:rPr>
          <w:i/>
          <w:iCs/>
        </w:rPr>
        <w:t>Inedible and Unfit for Human Consumption</w:t>
      </w:r>
      <w:r w:rsidRPr="001531CD">
        <w:t xml:space="preserve">―for eggs, this shall mean eggs described as black rots, white rots, mixed rots (addled eggs), sour eggs, eggs with green whites, eggs with stuck yolks, moldy eggs, musty eggs, eggs showing blood rings, eggs containing embryo chicks (at or beyond the </w:t>
      </w:r>
      <w:r w:rsidRPr="001531CD">
        <w:lastRenderedPageBreak/>
        <w:t>blood ring stage), leakers, and any eggs that are adulterated as such term is defined pursuant to the Food, Drug and Cosmetic Act.</w:t>
      </w:r>
    </w:p>
    <w:p w14:paraId="3F97A884" w14:textId="77777777" w:rsidR="00CF626A" w:rsidRPr="001531CD" w:rsidRDefault="00CF626A">
      <w:pPr>
        <w:pStyle w:val="1"/>
      </w:pPr>
      <w:r w:rsidRPr="001531CD">
        <w:rPr>
          <w:i/>
          <w:iCs/>
        </w:rPr>
        <w:t>Offered for Sale</w:t>
      </w:r>
      <w:r w:rsidRPr="001531CD">
        <w:t>―eggs that are housed within any wholesale or retail place of business, or on or alongside of any loading or unloading platform in the state of Louisiana, or within a truck or other carrier that has come to rest within the state of Louisiana.</w:t>
      </w:r>
    </w:p>
    <w:p w14:paraId="38289C02" w14:textId="77777777" w:rsidR="00CF626A" w:rsidRPr="001531CD" w:rsidRDefault="00CF626A">
      <w:pPr>
        <w:pStyle w:val="1"/>
      </w:pPr>
      <w:r w:rsidRPr="001531CD">
        <w:rPr>
          <w:i/>
          <w:iCs/>
        </w:rPr>
        <w:t>Packer</w:t>
      </w:r>
      <w:r w:rsidRPr="001531CD">
        <w:t>―any person who grades, sizes, candles, and packs eggs for the purpose of resale.</w:t>
      </w:r>
    </w:p>
    <w:p w14:paraId="08F5BA38" w14:textId="77777777" w:rsidR="00CF626A" w:rsidRPr="001531CD" w:rsidRDefault="00CF626A">
      <w:pPr>
        <w:pStyle w:val="1"/>
      </w:pPr>
      <w:r w:rsidRPr="001531CD">
        <w:rPr>
          <w:i/>
          <w:iCs/>
        </w:rPr>
        <w:t>Person</w:t>
      </w:r>
      <w:r w:rsidRPr="001531CD">
        <w:t>―any individual, partnership, association, business trust, corporation or any organized group of persons, whether incorporated or not.</w:t>
      </w:r>
    </w:p>
    <w:p w14:paraId="55F5A061" w14:textId="77777777" w:rsidR="00CF626A" w:rsidRPr="001531CD" w:rsidRDefault="00CF626A">
      <w:pPr>
        <w:pStyle w:val="1"/>
      </w:pPr>
      <w:r w:rsidRPr="001531CD">
        <w:rPr>
          <w:i/>
          <w:iCs/>
        </w:rPr>
        <w:t>Possession</w:t>
      </w:r>
      <w:r w:rsidRPr="001531CD">
        <w:t>―the fact of possession by any person engaged in the sale of a commodity is prima facie evidence that such commodity is for sale.</w:t>
      </w:r>
    </w:p>
    <w:p w14:paraId="4B167F41" w14:textId="77777777" w:rsidR="00CF626A" w:rsidRPr="001531CD" w:rsidRDefault="00CF626A">
      <w:pPr>
        <w:pStyle w:val="1"/>
      </w:pPr>
      <w:r w:rsidRPr="001531CD">
        <w:rPr>
          <w:i/>
          <w:iCs/>
        </w:rPr>
        <w:t>Processor</w:t>
      </w:r>
      <w:r w:rsidRPr="001531CD">
        <w:t>―a person who operates a plant for the purpose of breaking or boiling eggs for freezing, drying, or commercial food manufacturing.</w:t>
      </w:r>
    </w:p>
    <w:p w14:paraId="391CCE89" w14:textId="77777777" w:rsidR="00CF626A" w:rsidRPr="001531CD" w:rsidRDefault="00CF626A">
      <w:pPr>
        <w:pStyle w:val="1"/>
      </w:pPr>
      <w:r w:rsidRPr="001531CD">
        <w:rPr>
          <w:i/>
          <w:iCs/>
        </w:rPr>
        <w:t>Producer</w:t>
      </w:r>
      <w:r w:rsidRPr="001531CD">
        <w:t>―any person engaged in the business of producing eggs in Louisiana, either as an owner or as an officer or stockholder of a business engaged in producing eggs in Louisiana, or any person deriving a profit from such business</w:t>
      </w:r>
      <w:r w:rsidRPr="001531CD">
        <w:rPr>
          <w:i/>
          <w:iCs/>
        </w:rPr>
        <w:t xml:space="preserve"> </w:t>
      </w:r>
      <w:r w:rsidRPr="001531CD">
        <w:t>or a person who further processes boiled, frozen or other egg products derived from fresh shell eggs.</w:t>
      </w:r>
    </w:p>
    <w:p w14:paraId="212C2328" w14:textId="77777777" w:rsidR="00CF626A" w:rsidRPr="001531CD" w:rsidRDefault="00CF626A">
      <w:pPr>
        <w:pStyle w:val="1"/>
      </w:pPr>
      <w:r w:rsidRPr="001531CD">
        <w:rPr>
          <w:i/>
          <w:iCs/>
        </w:rPr>
        <w:t>Retailer</w:t>
      </w:r>
      <w:r w:rsidRPr="001531CD">
        <w:t>―any person who sells eggs to a consumer.</w:t>
      </w:r>
    </w:p>
    <w:p w14:paraId="354D70A7" w14:textId="77777777" w:rsidR="00CF626A" w:rsidRPr="001531CD" w:rsidRDefault="00CF626A">
      <w:pPr>
        <w:pStyle w:val="1"/>
      </w:pPr>
      <w:r w:rsidRPr="001531CD">
        <w:rPr>
          <w:i/>
          <w:iCs/>
        </w:rPr>
        <w:t>Sell</w:t>
      </w:r>
      <w:r w:rsidRPr="001531CD">
        <w:t>―to "offer for sale," "expose for sale," "have in possession for sale," "exchange," "barter," or "trade."</w:t>
      </w:r>
    </w:p>
    <w:p w14:paraId="76E77634" w14:textId="77777777" w:rsidR="00CF626A" w:rsidRPr="001531CD" w:rsidRDefault="00CF626A">
      <w:pPr>
        <w:pStyle w:val="1"/>
      </w:pPr>
      <w:r w:rsidRPr="001531CD">
        <w:rPr>
          <w:i/>
          <w:iCs/>
        </w:rPr>
        <w:t>Standard</w:t>
      </w:r>
      <w:r w:rsidRPr="001531CD">
        <w:t>―the quality specifications for a single egg, and a group of standards is combined to make a grade.</w:t>
      </w:r>
    </w:p>
    <w:p w14:paraId="28AEAA4B" w14:textId="77777777" w:rsidR="00CF626A" w:rsidRPr="001531CD" w:rsidRDefault="00CF626A">
      <w:pPr>
        <w:pStyle w:val="1"/>
      </w:pPr>
      <w:r w:rsidRPr="001531CD">
        <w:rPr>
          <w:i/>
          <w:iCs/>
        </w:rPr>
        <w:t>U.S.D.A.</w:t>
      </w:r>
      <w:r w:rsidRPr="001531CD">
        <w:t>―the United States Department of Agriculture.</w:t>
      </w:r>
    </w:p>
    <w:p w14:paraId="4FC7CD65" w14:textId="77777777" w:rsidR="00CF626A" w:rsidRPr="001531CD" w:rsidRDefault="00CF626A">
      <w:pPr>
        <w:pStyle w:val="AuthorityNote"/>
      </w:pPr>
      <w:r w:rsidRPr="001531CD">
        <w:t>AUTHORITY NOTE:</w:t>
      </w:r>
      <w:r w:rsidRPr="001531CD">
        <w:tab/>
        <w:t>Adopted in accordance with R.S. 3:405.</w:t>
      </w:r>
    </w:p>
    <w:p w14:paraId="3F1F86D7" w14:textId="77777777"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19:1121 (September 1993), LR 23:293 (March 1997).</w:t>
      </w:r>
    </w:p>
    <w:p w14:paraId="3784B634" w14:textId="77777777" w:rsidR="00CF626A" w:rsidRPr="001531CD" w:rsidRDefault="00CF626A">
      <w:pPr>
        <w:pStyle w:val="Section"/>
      </w:pPr>
      <w:bookmarkStart w:id="690" w:name="_Toc256754359"/>
      <w:bookmarkStart w:id="691" w:name="_Toc224818593"/>
      <w:r w:rsidRPr="001531CD">
        <w:t>§917.</w:t>
      </w:r>
      <w:r w:rsidRPr="001531CD">
        <w:tab/>
        <w:t>Temperature Requirements</w:t>
      </w:r>
      <w:bookmarkEnd w:id="690"/>
      <w:bookmarkEnd w:id="691"/>
    </w:p>
    <w:p w14:paraId="794EC965" w14:textId="77777777" w:rsidR="00CF626A" w:rsidRPr="001531CD" w:rsidRDefault="00CF626A">
      <w:pPr>
        <w:pStyle w:val="A"/>
      </w:pPr>
      <w:r w:rsidRPr="001531CD">
        <w:t>A.</w:t>
      </w:r>
      <w:r w:rsidRPr="001531CD">
        <w:tab/>
        <w:t>The temperature of shell eggs shall be held at an ambient temperature of 45</w:t>
      </w:r>
      <w:r w:rsidRPr="001531CD">
        <w:rPr>
          <w:rFonts w:ascii="Symbol" w:hAnsi="Symbol"/>
        </w:rPr>
        <w:t></w:t>
      </w:r>
      <w:r w:rsidRPr="001531CD">
        <w:rPr>
          <w:rFonts w:ascii="Symbol" w:hAnsi="Symbol"/>
        </w:rPr>
        <w:t></w:t>
      </w:r>
      <w:r w:rsidRPr="001531CD">
        <w:t>F or below at all times when being transported, stored, or displayed for sale except for brief periods of loading or unloading.</w:t>
      </w:r>
    </w:p>
    <w:p w14:paraId="5E912618" w14:textId="77777777" w:rsidR="00CF626A" w:rsidRPr="001531CD" w:rsidRDefault="00CF626A">
      <w:pPr>
        <w:pStyle w:val="1"/>
      </w:pPr>
      <w:r w:rsidRPr="001531CD">
        <w:t>1.</w:t>
      </w:r>
      <w:r w:rsidRPr="001531CD">
        <w:tab/>
        <w:t>No shell egg handler shall possess any shell eggs that are packed into containers for the purpose of resale to the consumer unless they are labeled with the following statement: "keep refrigerated at or below 45</w:t>
      </w:r>
      <w:r w:rsidRPr="001531CD">
        <w:rPr>
          <w:rFonts w:ascii="Symbol" w:hAnsi="Symbol"/>
        </w:rPr>
        <w:t></w:t>
      </w:r>
      <w:r w:rsidRPr="001531CD">
        <w:rPr>
          <w:rFonts w:ascii="Symbol" w:hAnsi="Symbol"/>
        </w:rPr>
        <w:t></w:t>
      </w:r>
      <w:r w:rsidRPr="001531CD">
        <w:t>F."</w:t>
      </w:r>
    </w:p>
    <w:p w14:paraId="016F510C" w14:textId="77777777" w:rsidR="00CF626A" w:rsidRPr="001531CD" w:rsidRDefault="00CF626A">
      <w:pPr>
        <w:pStyle w:val="1"/>
      </w:pPr>
      <w:r w:rsidRPr="001531CD">
        <w:t>2.</w:t>
      </w:r>
      <w:r w:rsidRPr="001531CD">
        <w:tab/>
        <w:t>Every person, firm, or corporation selling shell eggs for the purpose of resale to the consumer must store and transport shell eggs under refrigeration at an ambient temperature no greater than 45</w:t>
      </w:r>
      <w:r w:rsidRPr="001531CD">
        <w:rPr>
          <w:rFonts w:ascii="Symbol" w:hAnsi="Symbol"/>
        </w:rPr>
        <w:t></w:t>
      </w:r>
      <w:r w:rsidRPr="001531CD">
        <w:rPr>
          <w:rFonts w:ascii="Symbol" w:hAnsi="Symbol"/>
        </w:rPr>
        <w:t></w:t>
      </w:r>
      <w:r w:rsidRPr="001531CD">
        <w:t>F, and all containers of eggs must be labeled "Keep refrigerated at or below 45</w:t>
      </w:r>
      <w:r w:rsidRPr="001531CD">
        <w:rPr>
          <w:rFonts w:ascii="Symbol" w:hAnsi="Symbol"/>
        </w:rPr>
        <w:t></w:t>
      </w:r>
      <w:r w:rsidRPr="001531CD">
        <w:rPr>
          <w:rFonts w:ascii="Symbol" w:hAnsi="Symbol"/>
        </w:rPr>
        <w:t></w:t>
      </w:r>
      <w:r w:rsidRPr="001531CD">
        <w:t xml:space="preserve">F." The requirements of this Section include, but are not limited to, retailers, institutional users, restaurants, nursing homes, dealer-wholesalers, food handlers, transportation firms, or </w:t>
      </w:r>
      <w:r w:rsidRPr="001531CD">
        <w:t>any person who delivers to the retail or consuming trade. Eggs found which do not meet refrigeration requirements, either in transit, storage, or display, can be seized and destroyed by Department of Agriculture and Forestry inspectors.</w:t>
      </w:r>
    </w:p>
    <w:p w14:paraId="2684E32C" w14:textId="77777777" w:rsidR="00CF626A" w:rsidRPr="001531CD" w:rsidRDefault="00CF626A">
      <w:pPr>
        <w:pStyle w:val="A"/>
      </w:pPr>
      <w:r w:rsidRPr="001531CD">
        <w:t>B.</w:t>
      </w:r>
      <w:r w:rsidRPr="001531CD">
        <w:tab/>
        <w:t>Packers shall not be responsible for the interior quality of eggs if all recommended handling procedures in this Section are not followed by all parties following point of sale by packer.</w:t>
      </w:r>
    </w:p>
    <w:p w14:paraId="530BD019" w14:textId="77777777" w:rsidR="00CF626A" w:rsidRPr="001531CD" w:rsidRDefault="00CF626A">
      <w:pPr>
        <w:pStyle w:val="AuthorityNote"/>
      </w:pPr>
      <w:r w:rsidRPr="001531CD">
        <w:t>AUTHORITY NOTE:</w:t>
      </w:r>
      <w:r w:rsidRPr="001531CD">
        <w:tab/>
        <w:t>Promulgated in accordance with R.S. 3:405.</w:t>
      </w:r>
    </w:p>
    <w:p w14:paraId="073B2E82" w14:textId="77777777" w:rsidR="00CF626A" w:rsidRPr="001531CD" w:rsidRDefault="00CF626A">
      <w:pPr>
        <w:pStyle w:val="HistoricalNote"/>
      </w:pPr>
      <w:r w:rsidRPr="001531CD">
        <w:t>HISTORICAL NOTE:</w:t>
      </w:r>
      <w:r w:rsidRPr="001531CD">
        <w:tab/>
        <w:t>Promulgated by the Department of Agriculture and Forestry, Market Commission, LR 19:1122 (September 1993), amended LR 23:293 (March 1997).</w:t>
      </w:r>
    </w:p>
    <w:p w14:paraId="0473DDBD" w14:textId="77777777" w:rsidR="00CF626A" w:rsidRPr="001531CD" w:rsidRDefault="00CF626A">
      <w:pPr>
        <w:pStyle w:val="Section"/>
      </w:pPr>
      <w:bookmarkStart w:id="692" w:name="_Toc256754360"/>
      <w:bookmarkStart w:id="693" w:name="_Toc224818594"/>
      <w:r w:rsidRPr="001531CD">
        <w:t>§919.</w:t>
      </w:r>
      <w:r w:rsidRPr="001531CD">
        <w:tab/>
        <w:t>Sale or Offering for Sale of Eggs within Louisiana</w:t>
      </w:r>
      <w:bookmarkEnd w:id="692"/>
      <w:bookmarkEnd w:id="693"/>
    </w:p>
    <w:p w14:paraId="6C0E4B16" w14:textId="77777777" w:rsidR="00313E4D" w:rsidRDefault="00313E4D">
      <w:pPr>
        <w:pStyle w:val="A"/>
      </w:pPr>
      <w:r w:rsidRPr="00313E4D">
        <w:t>A.</w:t>
      </w:r>
      <w:r w:rsidRPr="00313E4D">
        <w:tab/>
        <w:t xml:space="preserve">No person, firm, or corporation shall sell, traffic in, or deliver to the retail or consuming trade, any eggs unfit for human consumption or any eggs that do not meet Grade B requirements. A store may not repackage eggs unless it has an egg consolidation plan approved by USDA and LDAF. </w:t>
      </w:r>
    </w:p>
    <w:p w14:paraId="7B638A5E" w14:textId="77777777" w:rsidR="00CF626A" w:rsidRPr="001531CD" w:rsidRDefault="00CF626A">
      <w:pPr>
        <w:pStyle w:val="A"/>
      </w:pPr>
      <w:r w:rsidRPr="001531CD">
        <w:t>B.</w:t>
      </w:r>
      <w:r w:rsidRPr="001531CD">
        <w:tab/>
        <w:t>All shell eggs and egg products offered for sale in Louisiana are subject to inspection by personnel of the Louisiana Department of Agriculture and Forestry before being placed in retail outlets. If a particular lot of eggs does not meet the Louisiana grade standards the said lot may be seized or be retained for shipment back to the producer. All packer/producers and retailers must maintain records showing the disposition of all eggs retained and returned to the packer/producer.</w:t>
      </w:r>
    </w:p>
    <w:p w14:paraId="34C03042" w14:textId="77777777" w:rsidR="00CF626A" w:rsidRPr="001531CD" w:rsidRDefault="00CF626A">
      <w:pPr>
        <w:pStyle w:val="A"/>
      </w:pPr>
      <w:r w:rsidRPr="001531CD">
        <w:t>C.</w:t>
      </w:r>
      <w:r w:rsidRPr="001531CD">
        <w:tab/>
        <w:t>This Chapter shall be applicable to all retailers of eggs, except that retailers shall be permitted to sell eggs, identified as unclassified, when such eggs are purchased directly from producers who own less than 500 hens; however, eggs sold as unclassified must meet Grade B standards.</w:t>
      </w:r>
    </w:p>
    <w:p w14:paraId="4C083469" w14:textId="77777777" w:rsidR="00CF626A" w:rsidRPr="001531CD" w:rsidRDefault="00CF626A">
      <w:pPr>
        <w:pStyle w:val="A"/>
      </w:pPr>
      <w:r w:rsidRPr="001531CD">
        <w:t>D.</w:t>
      </w:r>
      <w:r w:rsidRPr="001531CD">
        <w:tab/>
        <w:t>Invoices</w:t>
      </w:r>
    </w:p>
    <w:p w14:paraId="71CF7137" w14:textId="77777777" w:rsidR="00CF626A" w:rsidRPr="001531CD" w:rsidRDefault="00CF626A">
      <w:pPr>
        <w:pStyle w:val="1"/>
      </w:pPr>
      <w:r w:rsidRPr="001531CD">
        <w:t>1.</w:t>
      </w:r>
      <w:r w:rsidRPr="001531CD">
        <w:tab/>
        <w:t>Every person, firm, or corporation selling eggs or egg products to a retailer or manufacturer shall furnish an invoice showing the size, quality, and date of transaction of such eggs according to the standards prescribed by this Section together with the name and address of the person by whom the eggs were sold. This invoice shall be retained for two years.</w:t>
      </w:r>
    </w:p>
    <w:p w14:paraId="3E37395A" w14:textId="77777777" w:rsidR="00CF626A" w:rsidRPr="001531CD" w:rsidRDefault="00CF626A">
      <w:pPr>
        <w:pStyle w:val="1"/>
      </w:pPr>
      <w:r w:rsidRPr="001531CD">
        <w:t>2.</w:t>
      </w:r>
      <w:r w:rsidRPr="001531CD">
        <w:tab/>
        <w:t>Retailers shall be required to produce an invoice showing origin of eggs. These invoices must be kept for a period of two years. These invoices shall also show the name and address of the vendor, producer, packer, dealer-wholesaler or broker.</w:t>
      </w:r>
    </w:p>
    <w:p w14:paraId="679FFA99" w14:textId="77777777" w:rsidR="00CF626A" w:rsidRPr="001531CD" w:rsidRDefault="00CF626A">
      <w:pPr>
        <w:pStyle w:val="A"/>
      </w:pPr>
      <w:r w:rsidRPr="001531CD">
        <w:t>E.</w:t>
      </w:r>
      <w:r w:rsidRPr="001531CD">
        <w:tab/>
        <w:t>Containers</w:t>
      </w:r>
    </w:p>
    <w:p w14:paraId="7F5DB5AA" w14:textId="77777777" w:rsidR="00CF626A" w:rsidRPr="001531CD" w:rsidRDefault="00CF626A">
      <w:pPr>
        <w:pStyle w:val="1"/>
      </w:pPr>
      <w:r w:rsidRPr="001531CD">
        <w:t>1.</w:t>
      </w:r>
      <w:r w:rsidRPr="001531CD">
        <w:tab/>
        <w:t>All containers shall show the name and address of the producer.</w:t>
      </w:r>
    </w:p>
    <w:p w14:paraId="490F4526" w14:textId="77777777" w:rsidR="00CF626A" w:rsidRPr="001531CD" w:rsidRDefault="00CF626A">
      <w:pPr>
        <w:pStyle w:val="1"/>
      </w:pPr>
      <w:r w:rsidRPr="001531CD">
        <w:t>2.</w:t>
      </w:r>
      <w:r w:rsidRPr="001531CD">
        <w:tab/>
        <w:t>Any and all shell eggs offered for sale at retail shall be prepackaged, and shall be plainly marked as to grade and size with letters not less than 3/8 inch in height.</w:t>
      </w:r>
    </w:p>
    <w:p w14:paraId="69DCAF86" w14:textId="77777777" w:rsidR="00CF626A" w:rsidRPr="001531CD" w:rsidRDefault="00CF626A">
      <w:pPr>
        <w:pStyle w:val="1"/>
      </w:pPr>
      <w:r w:rsidRPr="001531CD">
        <w:lastRenderedPageBreak/>
        <w:t>3.</w:t>
      </w:r>
      <w:r w:rsidRPr="001531CD">
        <w:tab/>
        <w:t>Containers must contain the phrase "Keep refrigerated at or below 45</w:t>
      </w:r>
      <w:r w:rsidRPr="001531CD">
        <w:rPr>
          <w:rFonts w:ascii="Symbol" w:hAnsi="Symbol"/>
        </w:rPr>
        <w:t></w:t>
      </w:r>
      <w:r w:rsidRPr="001531CD">
        <w:rPr>
          <w:rFonts w:ascii="Symbol" w:hAnsi="Symbol"/>
        </w:rPr>
        <w:t></w:t>
      </w:r>
      <w:r w:rsidRPr="001531CD">
        <w:t>F."</w:t>
      </w:r>
    </w:p>
    <w:p w14:paraId="52469706" w14:textId="77777777" w:rsidR="00CF626A" w:rsidRPr="001531CD" w:rsidRDefault="00CF626A">
      <w:pPr>
        <w:pStyle w:val="A"/>
      </w:pPr>
      <w:r w:rsidRPr="001531CD">
        <w:t>F.</w:t>
      </w:r>
      <w:r w:rsidRPr="001531CD">
        <w:tab/>
        <w:t>Licenses</w:t>
      </w:r>
    </w:p>
    <w:p w14:paraId="791C97DE" w14:textId="77777777" w:rsidR="00CF626A" w:rsidRPr="001531CD" w:rsidRDefault="00CF626A">
      <w:pPr>
        <w:pStyle w:val="1"/>
      </w:pPr>
      <w:r w:rsidRPr="001531CD">
        <w:t>1.</w:t>
      </w:r>
      <w:r w:rsidRPr="001531CD">
        <w:tab/>
        <w:t>Every person, firm, or corporation engaged in selling shell eggs, frozen eggs, liquid eggs, or any egg product to a retailer or manufacturer shall secure a license. The license shall be issued by the commissioner, after application made to and approval granted by the Louisiana Egg Commission.</w:t>
      </w:r>
    </w:p>
    <w:p w14:paraId="58FB25EB" w14:textId="77777777" w:rsidR="00CF626A" w:rsidRPr="001531CD" w:rsidRDefault="00CF626A">
      <w:pPr>
        <w:pStyle w:val="1"/>
      </w:pPr>
      <w:r w:rsidRPr="001531CD">
        <w:t>2.</w:t>
      </w:r>
      <w:r w:rsidRPr="001531CD">
        <w:tab/>
        <w:t>All packers/producers/processors are subject to yearly plant inspections by the department. Travel expenses incurred in conducting such inspections shall be reimbursed to the Department of Agriculture and Forestry by the licensee.</w:t>
      </w:r>
    </w:p>
    <w:p w14:paraId="35EA9565" w14:textId="77777777" w:rsidR="00CF626A" w:rsidRPr="001531CD" w:rsidRDefault="00142546">
      <w:pPr>
        <w:pStyle w:val="1"/>
      </w:pPr>
      <w:r w:rsidRPr="002A4B4B">
        <w:t>3.</w:t>
      </w:r>
      <w:r w:rsidRPr="002A4B4B">
        <w:tab/>
        <w:t>Application forms for license shall be furnished by the Department of Agriculture and Forestry. Each license application shall be accompanied by a fee of $100 payable to the Louisiana Egg Commission. Upon approval of the application, a license will be issued to the applicant. A license will be</w:t>
      </w:r>
      <w:r>
        <w:t xml:space="preserve"> valid for a period of one year, </w:t>
      </w:r>
      <w:r w:rsidRPr="002A4B4B">
        <w:t>September 1 through August 31.</w:t>
      </w:r>
    </w:p>
    <w:p w14:paraId="03720230" w14:textId="77777777" w:rsidR="00CF626A" w:rsidRPr="001531CD" w:rsidRDefault="00CF626A">
      <w:pPr>
        <w:pStyle w:val="1"/>
      </w:pPr>
      <w:r w:rsidRPr="001531CD">
        <w:t>4.</w:t>
      </w:r>
      <w:r w:rsidRPr="001531CD">
        <w:tab/>
        <w:t>Any packer/producer/processor/dealer-wholesaler/ broker that does not apply for a license, after being informed that such business requires a license or having received the necessary applications from the department, shall have all eggs sold by such business put off-sale until such time as the business obtains a license.</w:t>
      </w:r>
    </w:p>
    <w:p w14:paraId="47CA8B48" w14:textId="77777777" w:rsidR="00CF626A" w:rsidRPr="001531CD" w:rsidRDefault="00CF626A">
      <w:pPr>
        <w:pStyle w:val="A"/>
      </w:pPr>
      <w:r w:rsidRPr="001531CD">
        <w:t>G.</w:t>
      </w:r>
      <w:r w:rsidRPr="001531CD">
        <w:tab/>
        <w:t>Inspection Requirements for Packing Plants and Egg Products/Boiling Plants</w:t>
      </w:r>
    </w:p>
    <w:p w14:paraId="404E2A90" w14:textId="77777777" w:rsidR="00CF626A" w:rsidRPr="001531CD" w:rsidRDefault="00CF626A">
      <w:pPr>
        <w:pStyle w:val="1"/>
      </w:pPr>
      <w:r w:rsidRPr="001531CD">
        <w:t>1.</w:t>
      </w:r>
      <w:r w:rsidRPr="001531CD">
        <w:tab/>
        <w:t>Packing plants and egg products/boiling plants shall meet minimum requirements of state health regulations, USDA regulations, and Food and Drug Administration regulations and practice good sanitation practices. If minimum sanitation requirements for food handling are not met, the department has the right to stop operation until such time as the plant is in compliance.</w:t>
      </w:r>
    </w:p>
    <w:p w14:paraId="11C3B540" w14:textId="77777777" w:rsidR="00CF626A" w:rsidRPr="001531CD" w:rsidRDefault="00CF626A">
      <w:pPr>
        <w:pStyle w:val="1"/>
      </w:pPr>
      <w:r w:rsidRPr="001531CD">
        <w:t>2.</w:t>
      </w:r>
      <w:r w:rsidRPr="001531CD">
        <w:tab/>
        <w:t>All eggs used in boiling operations must meet Grade B requirements. Boiling operations will provide the Department of Agriculture and Forestry with a schedule stating the hours of operation. Boiling operations will be checked for sanitation and egg quality on a regular basis. Eggs boiled which do not meet minimum Grade B requirements will be destroyed by the licensee upon request of and in the presence of department personnel.</w:t>
      </w:r>
    </w:p>
    <w:p w14:paraId="1C0D110C" w14:textId="77777777" w:rsidR="00CF626A" w:rsidRPr="001531CD" w:rsidRDefault="00CF626A">
      <w:pPr>
        <w:pStyle w:val="AuthorityNote"/>
      </w:pPr>
      <w:r w:rsidRPr="001531CD">
        <w:t>AUTHORITY NOTE:</w:t>
      </w:r>
      <w:r w:rsidRPr="001531CD">
        <w:tab/>
        <w:t>Adopted in accordance with R.S. 3:405.</w:t>
      </w:r>
    </w:p>
    <w:p w14:paraId="3C53C710" w14:textId="77777777" w:rsidR="00CF626A" w:rsidRPr="001531CD" w:rsidRDefault="00CF626A">
      <w:pPr>
        <w:pStyle w:val="HistoricalNote"/>
      </w:pPr>
      <w:r w:rsidRPr="001531CD">
        <w:t>HISTORICAL NOTE:</w:t>
      </w:r>
      <w:r w:rsidRPr="001531CD">
        <w:tab/>
        <w:t>Adopted by the Department of Agriculture, Market Commission, May 1969, promulgated by the Department of Agriculture and Forestry, Market Commission, LR 19:1122 (September 1993),</w:t>
      </w:r>
      <w:r w:rsidR="00142546">
        <w:t xml:space="preserve"> amended LR 23:293 (March 1997), amended by the </w:t>
      </w:r>
      <w:r w:rsidR="00142546" w:rsidRPr="002A4B4B">
        <w:t>Department of Agriculture and Forestry</w:t>
      </w:r>
      <w:r w:rsidR="00142546">
        <w:t xml:space="preserve">, </w:t>
      </w:r>
      <w:r w:rsidR="00142546" w:rsidRPr="002A4B4B">
        <w:t>Office of Animal Health and Food Safety</w:t>
      </w:r>
      <w:r w:rsidR="00142546">
        <w:t xml:space="preserve">, </w:t>
      </w:r>
      <w:r w:rsidR="00142546" w:rsidRPr="002A4B4B">
        <w:t>Egg Commission</w:t>
      </w:r>
      <w:r w:rsidR="00142546">
        <w:t>, LR</w:t>
      </w:r>
      <w:r w:rsidR="00313E4D">
        <w:t xml:space="preserve"> 42:219 (February 2016),</w:t>
      </w:r>
      <w:r w:rsidR="00313E4D" w:rsidRPr="00313E4D">
        <w:t xml:space="preserve"> </w:t>
      </w:r>
      <w:r w:rsidR="00313E4D" w:rsidRPr="003F4807">
        <w:t xml:space="preserve">LR </w:t>
      </w:r>
      <w:r w:rsidR="00313E4D">
        <w:t>43:1517 (August 2017).</w:t>
      </w:r>
    </w:p>
    <w:p w14:paraId="75087226" w14:textId="77777777" w:rsidR="00CF626A" w:rsidRPr="001531CD" w:rsidRDefault="00CF626A" w:rsidP="00B851DD">
      <w:pPr>
        <w:pStyle w:val="Section"/>
      </w:pPr>
      <w:bookmarkStart w:id="694" w:name="_Toc256754361"/>
      <w:bookmarkStart w:id="695" w:name="_Toc224818595"/>
      <w:r w:rsidRPr="001531CD">
        <w:t>§921.</w:t>
      </w:r>
      <w:r w:rsidRPr="001531CD">
        <w:tab/>
        <w:t>Louisiana Standards, Grades and Weight Classes for Shell Eggs</w:t>
      </w:r>
      <w:bookmarkEnd w:id="694"/>
      <w:bookmarkEnd w:id="695"/>
    </w:p>
    <w:p w14:paraId="601004A1" w14:textId="77777777" w:rsidR="00CF626A" w:rsidRPr="001531CD" w:rsidRDefault="00CF626A" w:rsidP="00B851DD">
      <w:pPr>
        <w:pStyle w:val="A"/>
      </w:pPr>
      <w:r w:rsidRPr="001531CD">
        <w:t>A.</w:t>
      </w:r>
      <w:r w:rsidRPr="001531CD">
        <w:tab/>
        <w:t xml:space="preserve">Louisiana standards, grades and weight classes for shell eggs shall be as defined in the United States Standards </w:t>
      </w:r>
      <w:r w:rsidRPr="001531CD">
        <w:t>that are now or may hereafter be established by the United States Department of Agriculture.</w:t>
      </w:r>
    </w:p>
    <w:p w14:paraId="618E72D2" w14:textId="77777777" w:rsidR="00CF626A" w:rsidRPr="001531CD" w:rsidRDefault="00CF626A" w:rsidP="00B851DD">
      <w:pPr>
        <w:pStyle w:val="A"/>
      </w:pPr>
      <w:r w:rsidRPr="001531CD">
        <w:t>B.</w:t>
      </w:r>
      <w:r w:rsidRPr="001531CD">
        <w:tab/>
        <w:t>Louisiana Consumer Grades. The official Louisiana consumer grades for shell eggs are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77" w:type="dxa"/>
          <w:right w:w="177" w:type="dxa"/>
        </w:tblCellMar>
        <w:tblLook w:val="0000" w:firstRow="0" w:lastRow="0" w:firstColumn="0" w:lastColumn="0" w:noHBand="0" w:noVBand="0"/>
      </w:tblPr>
      <w:tblGrid>
        <w:gridCol w:w="4076"/>
      </w:tblGrid>
      <w:tr w:rsidR="00CF626A" w:rsidRPr="001531CD" w14:paraId="634A0244" w14:textId="77777777">
        <w:trPr>
          <w:cantSplit/>
          <w:trHeight w:val="210"/>
          <w:jc w:val="center"/>
        </w:trPr>
        <w:tc>
          <w:tcPr>
            <w:tcW w:w="4076" w:type="dxa"/>
          </w:tcPr>
          <w:p w14:paraId="30D7D66E"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AA</w:t>
            </w:r>
          </w:p>
        </w:tc>
      </w:tr>
      <w:tr w:rsidR="00CF626A" w:rsidRPr="001531CD" w14:paraId="7632A76A" w14:textId="77777777">
        <w:trPr>
          <w:cantSplit/>
          <w:trHeight w:val="224"/>
          <w:jc w:val="center"/>
        </w:trPr>
        <w:tc>
          <w:tcPr>
            <w:tcW w:w="4076" w:type="dxa"/>
          </w:tcPr>
          <w:p w14:paraId="2945CF69"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A</w:t>
            </w:r>
          </w:p>
        </w:tc>
      </w:tr>
      <w:tr w:rsidR="00CF626A" w:rsidRPr="001531CD" w14:paraId="06E117DF" w14:textId="77777777">
        <w:trPr>
          <w:cantSplit/>
          <w:jc w:val="center"/>
        </w:trPr>
        <w:tc>
          <w:tcPr>
            <w:tcW w:w="4076" w:type="dxa"/>
          </w:tcPr>
          <w:p w14:paraId="104D7729"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B</w:t>
            </w:r>
          </w:p>
        </w:tc>
      </w:tr>
    </w:tbl>
    <w:p w14:paraId="045D6D6E" w14:textId="77777777" w:rsidR="00B851DD" w:rsidRDefault="00B851DD" w:rsidP="00B851DD">
      <w:pPr>
        <w:pStyle w:val="A"/>
        <w:spacing w:after="0"/>
      </w:pPr>
    </w:p>
    <w:p w14:paraId="0F3BB6E8" w14:textId="77777777" w:rsidR="00CF626A" w:rsidRPr="001531CD" w:rsidRDefault="00CF626A" w:rsidP="00B851DD">
      <w:pPr>
        <w:pStyle w:val="A"/>
      </w:pPr>
      <w:r w:rsidRPr="001531CD">
        <w:t>C.</w:t>
      </w:r>
      <w:r w:rsidRPr="001531CD">
        <w:tab/>
        <w:t>Louisiana Weight Classes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2017"/>
        <w:gridCol w:w="2017"/>
      </w:tblGrid>
      <w:tr w:rsidR="00CF626A" w:rsidRPr="001531CD" w14:paraId="477E5657" w14:textId="77777777">
        <w:trPr>
          <w:cantSplit/>
          <w:trHeight w:val="197"/>
          <w:jc w:val="center"/>
        </w:trPr>
        <w:tc>
          <w:tcPr>
            <w:tcW w:w="2017" w:type="dxa"/>
          </w:tcPr>
          <w:p w14:paraId="00E4A0A0"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Jumbo</w:t>
            </w:r>
          </w:p>
        </w:tc>
        <w:tc>
          <w:tcPr>
            <w:tcW w:w="2017" w:type="dxa"/>
          </w:tcPr>
          <w:p w14:paraId="5DF2D265"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Medium</w:t>
            </w:r>
          </w:p>
        </w:tc>
      </w:tr>
      <w:tr w:rsidR="00CF626A" w:rsidRPr="001531CD" w14:paraId="04D24051" w14:textId="77777777">
        <w:trPr>
          <w:cantSplit/>
          <w:trHeight w:val="185"/>
          <w:jc w:val="center"/>
        </w:trPr>
        <w:tc>
          <w:tcPr>
            <w:tcW w:w="2017" w:type="dxa"/>
          </w:tcPr>
          <w:p w14:paraId="54C33141"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Extra Large</w:t>
            </w:r>
          </w:p>
        </w:tc>
        <w:tc>
          <w:tcPr>
            <w:tcW w:w="2017" w:type="dxa"/>
          </w:tcPr>
          <w:p w14:paraId="5F4568CC"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Small</w:t>
            </w:r>
          </w:p>
        </w:tc>
      </w:tr>
      <w:tr w:rsidR="00CF626A" w:rsidRPr="001531CD" w14:paraId="7C56C8CD" w14:textId="77777777">
        <w:trPr>
          <w:cantSplit/>
          <w:jc w:val="center"/>
        </w:trPr>
        <w:tc>
          <w:tcPr>
            <w:tcW w:w="2017" w:type="dxa"/>
          </w:tcPr>
          <w:p w14:paraId="10FA0D9D"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Large</w:t>
            </w:r>
          </w:p>
        </w:tc>
        <w:tc>
          <w:tcPr>
            <w:tcW w:w="2017" w:type="dxa"/>
          </w:tcPr>
          <w:p w14:paraId="63E8FDA0"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Peewee</w:t>
            </w:r>
          </w:p>
        </w:tc>
      </w:tr>
    </w:tbl>
    <w:p w14:paraId="28624CF8" w14:textId="77777777" w:rsidR="00B851DD" w:rsidRDefault="00B851DD" w:rsidP="00B851DD">
      <w:pPr>
        <w:pStyle w:val="A"/>
        <w:spacing w:after="0"/>
      </w:pPr>
    </w:p>
    <w:p w14:paraId="5E2FA088" w14:textId="77777777" w:rsidR="00CF626A" w:rsidRPr="001531CD" w:rsidRDefault="00CF626A" w:rsidP="00B851DD">
      <w:pPr>
        <w:pStyle w:val="A"/>
      </w:pPr>
      <w:r w:rsidRPr="001531CD">
        <w:t>D.</w:t>
      </w:r>
      <w:r w:rsidRPr="001531CD">
        <w:tab/>
        <w:t>These grades are applicable to edible shell eggs in lot quantities rather than on an individual egg basis. A lot may contain any quantity of two or more eggs.</w:t>
      </w:r>
    </w:p>
    <w:p w14:paraId="642E6476" w14:textId="77777777" w:rsidR="00CF626A" w:rsidRPr="001531CD" w:rsidRDefault="00CF626A">
      <w:pPr>
        <w:pStyle w:val="AuthorityNote"/>
      </w:pPr>
      <w:r w:rsidRPr="001531CD">
        <w:t>AUTHORITY NOTE:</w:t>
      </w:r>
      <w:r w:rsidRPr="001531CD">
        <w:tab/>
        <w:t>Adopted in accordance with R.S. 3:405 and R.S. 4:10.</w:t>
      </w:r>
    </w:p>
    <w:p w14:paraId="62D0E1A6" w14:textId="77777777"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19:1122 (September 1993).</w:t>
      </w:r>
    </w:p>
    <w:p w14:paraId="026D94E5" w14:textId="77777777" w:rsidR="00CF626A" w:rsidRPr="001531CD" w:rsidRDefault="00CF626A">
      <w:pPr>
        <w:pStyle w:val="Section"/>
      </w:pPr>
      <w:bookmarkStart w:id="696" w:name="_Toc256754362"/>
      <w:bookmarkStart w:id="697" w:name="_Toc224818596"/>
      <w:r w:rsidRPr="001531CD">
        <w:t>§923.</w:t>
      </w:r>
      <w:r w:rsidRPr="001531CD">
        <w:tab/>
        <w:t>Inspections; Fees; Failure to Meet Standards</w:t>
      </w:r>
      <w:bookmarkEnd w:id="696"/>
      <w:bookmarkEnd w:id="697"/>
    </w:p>
    <w:p w14:paraId="40F5C4C5" w14:textId="77777777" w:rsidR="00CF626A" w:rsidRPr="001531CD" w:rsidRDefault="00CF626A">
      <w:pPr>
        <w:pStyle w:val="A"/>
      </w:pPr>
      <w:r w:rsidRPr="001531CD">
        <w:t>A.</w:t>
      </w:r>
      <w:r w:rsidRPr="001531CD">
        <w:tab/>
        <w:t>All eggs and egg products</w:t>
      </w:r>
      <w:r w:rsidRPr="001531CD">
        <w:rPr>
          <w:i/>
          <w:iCs/>
        </w:rPr>
        <w:t xml:space="preserve"> </w:t>
      </w:r>
      <w:r w:rsidRPr="001531CD">
        <w:t>offered for sale in Louisiana are subject to inspection by personnel of the Louisiana Department of Agriculture and Forestry.</w:t>
      </w:r>
    </w:p>
    <w:p w14:paraId="2F8AA086" w14:textId="77777777" w:rsidR="00CF626A" w:rsidRPr="001531CD" w:rsidRDefault="00CF626A">
      <w:pPr>
        <w:pStyle w:val="A"/>
      </w:pPr>
      <w:r w:rsidRPr="001531CD">
        <w:t>B.</w:t>
      </w:r>
      <w:r w:rsidRPr="001531CD">
        <w:tab/>
        <w:t>There shall be a $0.02 per case assessment for all shell eggs graded or processed in the state of Louisiana. In addition, any plant outside of the state of Louisiana shipping eggs into Louisiana, for wholesale or retail, shall be charged the same assessment. This assessment shall be dedicated to the Louisiana Egg Commission.</w:t>
      </w:r>
    </w:p>
    <w:p w14:paraId="743CEED2" w14:textId="77777777" w:rsidR="00CF626A" w:rsidRPr="001531CD" w:rsidRDefault="00CF626A">
      <w:pPr>
        <w:pStyle w:val="A"/>
      </w:pPr>
      <w:r w:rsidRPr="001531CD">
        <w:t>C.</w:t>
      </w:r>
      <w:r w:rsidRPr="001531CD">
        <w:tab/>
        <w:t>An additional $0.16 per case inspection fee for all graded or processed shell eggs or egg products sold in the state of Louisiana, if the sale is to the consumer or if the purchase by the buyer is for the purpose of resale at the consumer level, or if by the dealer/wholesaler for the purpose of resale.</w:t>
      </w:r>
    </w:p>
    <w:p w14:paraId="60A2ECB1" w14:textId="77777777" w:rsidR="00CF626A" w:rsidRPr="001531CD" w:rsidRDefault="00CF626A">
      <w:pPr>
        <w:pStyle w:val="A"/>
      </w:pPr>
      <w:r w:rsidRPr="001531CD">
        <w:t>D.</w:t>
      </w:r>
      <w:r w:rsidRPr="001531CD">
        <w:tab/>
        <w:t>Producers/brokers selling nest run eggs in Louisiana will not be responsible for the $0.02 assessment nor the $0.16 inspection fee. The assessment or fee shall be paid by the packer packaging the eggs.</w:t>
      </w:r>
    </w:p>
    <w:p w14:paraId="655F2C9F" w14:textId="77777777" w:rsidR="00CF626A" w:rsidRPr="001531CD" w:rsidRDefault="00CF626A">
      <w:pPr>
        <w:pStyle w:val="A"/>
      </w:pPr>
      <w:r w:rsidRPr="001531CD">
        <w:t>E.</w:t>
      </w:r>
      <w:r w:rsidRPr="001531CD">
        <w:tab/>
        <w:t>All egg products will be inspected for condition only. All egg products plants shall be responsible for the fees and assessments due on all products entering Louisiana. Additionally, at the discretion of the department, a dealer/wholesaler selling egg products in Louisiana could be held liable for fees due in lieu of an egg product plant based on the following formula:</w:t>
      </w:r>
    </w:p>
    <w:p w14:paraId="0F3FC64D" w14:textId="77777777" w:rsidR="00CF626A" w:rsidRPr="001531CD" w:rsidRDefault="00CF626A">
      <w:pPr>
        <w:pStyle w:val="1"/>
      </w:pPr>
      <w:r w:rsidRPr="001531CD">
        <w:t>1.</w:t>
      </w:r>
      <w:r w:rsidRPr="001531CD">
        <w:tab/>
        <w:t>36 pounds of frozen or liquid eggs shall represent a 30 dozen case of shell eggs;</w:t>
      </w:r>
    </w:p>
    <w:p w14:paraId="1CA73916" w14:textId="77777777" w:rsidR="00CF626A" w:rsidRPr="001531CD" w:rsidRDefault="00CF626A">
      <w:pPr>
        <w:pStyle w:val="1"/>
      </w:pPr>
      <w:r w:rsidRPr="001531CD">
        <w:t>2.</w:t>
      </w:r>
      <w:r w:rsidRPr="001531CD">
        <w:tab/>
        <w:t xml:space="preserve">nine pounds of dried eggs shall represent a </w:t>
      </w:r>
      <w:r w:rsidR="00C217A6" w:rsidRPr="001531CD">
        <w:br/>
      </w:r>
      <w:r w:rsidRPr="001531CD">
        <w:t>30 dozen case of shell eggs;</w:t>
      </w:r>
    </w:p>
    <w:p w14:paraId="5645D4E9" w14:textId="77777777" w:rsidR="00CF626A" w:rsidRPr="001531CD" w:rsidRDefault="00CF626A">
      <w:pPr>
        <w:pStyle w:val="1"/>
      </w:pPr>
      <w:r w:rsidRPr="001531CD">
        <w:lastRenderedPageBreak/>
        <w:t>3.</w:t>
      </w:r>
      <w:r w:rsidRPr="001531CD">
        <w:tab/>
        <w:t xml:space="preserve">two containers of boiled eggs weighing 20 to </w:t>
      </w:r>
      <w:r w:rsidR="00C217A6" w:rsidRPr="001531CD">
        <w:br/>
      </w:r>
      <w:r w:rsidRPr="001531CD">
        <w:t>25 pounds each shall represent a 30 dozen case of shell eggs;</w:t>
      </w:r>
    </w:p>
    <w:p w14:paraId="5005D944" w14:textId="77777777" w:rsidR="00CF626A" w:rsidRPr="001531CD" w:rsidRDefault="00CF626A">
      <w:pPr>
        <w:pStyle w:val="1"/>
      </w:pPr>
      <w:r w:rsidRPr="001531CD">
        <w:t>4.</w:t>
      </w:r>
      <w:r w:rsidRPr="001531CD">
        <w:tab/>
        <w:t>50 pounds of cooked or diced eggs shall represent a 30 dozen case of shell eggs;</w:t>
      </w:r>
    </w:p>
    <w:p w14:paraId="0B6CF1C1" w14:textId="77777777" w:rsidR="00CF626A" w:rsidRPr="001531CD" w:rsidRDefault="00CF626A">
      <w:pPr>
        <w:pStyle w:val="1"/>
      </w:pPr>
      <w:r w:rsidRPr="001531CD">
        <w:t>5.</w:t>
      </w:r>
      <w:r w:rsidRPr="001531CD">
        <w:tab/>
        <w:t>boiled/pickled eggs: case equivalent shall be determined by dividing the number of eggs in a container by 360.</w:t>
      </w:r>
    </w:p>
    <w:p w14:paraId="6D8329BD" w14:textId="77777777" w:rsidR="00CF626A" w:rsidRPr="001531CD" w:rsidRDefault="00CF626A">
      <w:pPr>
        <w:pStyle w:val="A"/>
      </w:pPr>
      <w:r w:rsidRPr="001531CD">
        <w:t>F.</w:t>
      </w:r>
      <w:r w:rsidRPr="001531CD">
        <w:tab/>
        <w:t>Packers/producers, processors, and wholesalers shall be required to report and pay assessments and inspection fees on reported volume on a monthly basis. Reports are due on a monthly basis from all egg handlers regardless of who is responsible for paying the assessments and fees. The assessments and fees shall be paid/reported no later than the fifteenth of the following month. If a report is not received by the due date, a letter shall be sent to the egg handler reminding them of the past due report. If the handler does not report within 10 days from date of the past due notice, the egg handler's license may be suspended and all eggs or egg products found sold, packaged, or processed shall be put off sale and the packer/producer's eggs shall not be sold in Louisiana until such time when all assessments and fees are paid in full.</w:t>
      </w:r>
    </w:p>
    <w:p w14:paraId="5BE53371" w14:textId="77777777" w:rsidR="00CF626A" w:rsidRPr="001531CD" w:rsidRDefault="00CF626A">
      <w:pPr>
        <w:pStyle w:val="A"/>
      </w:pPr>
      <w:r w:rsidRPr="001531CD">
        <w:t>G.</w:t>
      </w:r>
      <w:r w:rsidRPr="001531CD">
        <w:tab/>
        <w:t>Report forms shall be supplied by the Department of Agriculture and Forestry, Poultry and Egg Division. It shall be the responsibility of the packer to request these forms as they are needed.</w:t>
      </w:r>
    </w:p>
    <w:p w14:paraId="02F35297" w14:textId="77777777" w:rsidR="00313E4D" w:rsidRDefault="00313E4D">
      <w:pPr>
        <w:pStyle w:val="A"/>
      </w:pPr>
      <w:r w:rsidRPr="00313E4D">
        <w:t>H.</w:t>
      </w:r>
      <w:r w:rsidRPr="00313E4D">
        <w:tab/>
        <w:t>Dealers-wholesalers shall be required to furnish evidence of origin by invoice on eggs which they handle. Dealers/wholesalers shall report volume of sales monthly on forms furnished by the department. On sale of eggs and egg products produced out-of-state, the last dealer/ wholesaler/processor that handles the eggs or egg products before they enter the state shall be responsible for paying all fees. In-state producers/packers/processors are responsible for all fees of eggs or egg products they have sold in this state. Fees shall be paid not later than the fifteenth of the following month.</w:t>
      </w:r>
    </w:p>
    <w:p w14:paraId="4BB42AD8" w14:textId="77777777" w:rsidR="00CF626A" w:rsidRPr="001531CD" w:rsidRDefault="00CF626A">
      <w:pPr>
        <w:pStyle w:val="A"/>
      </w:pPr>
      <w:r w:rsidRPr="001531CD">
        <w:t>I.</w:t>
      </w:r>
      <w:r w:rsidRPr="001531CD">
        <w:tab/>
        <w:t>Brokers shall be required to furnish evidence of origin by invoice on eggs and egg products which they handle and sell in Louisiana. If shell eggs are nest run, then the packer buying such eggs shall be responsible for fees. If the eggs have been graded, then the packer who graded the eggs shall be responsible. However, if the state is not able to collect the fees from the out-of-state packer then the in-state packer shall be responsible for all fees. No fees shall be charged to place of origin on nest-run eggs; the packer buying the eggs shall be responsible for all fees.</w:t>
      </w:r>
    </w:p>
    <w:p w14:paraId="59DC7EF4" w14:textId="77777777" w:rsidR="00CF626A" w:rsidRPr="001531CD" w:rsidRDefault="00CF626A">
      <w:pPr>
        <w:pStyle w:val="A"/>
      </w:pPr>
      <w:r w:rsidRPr="001531CD">
        <w:t>J.</w:t>
      </w:r>
      <w:r w:rsidRPr="001531CD">
        <w:tab/>
        <w:t>Underpayment or overpayment found during audits are to be reported on the next monthly egg inspection report to the department.</w:t>
      </w:r>
    </w:p>
    <w:p w14:paraId="7AFF495A" w14:textId="77777777" w:rsidR="00CF626A" w:rsidRPr="001531CD" w:rsidRDefault="00CF626A">
      <w:pPr>
        <w:pStyle w:val="AuthorityNote"/>
      </w:pPr>
      <w:r w:rsidRPr="001531CD">
        <w:t>AUTHORITY NOTE:</w:t>
      </w:r>
      <w:r w:rsidRPr="001531CD">
        <w:tab/>
        <w:t>Promulgated in accordance with R.S. 3:405 and 3:412.</w:t>
      </w:r>
    </w:p>
    <w:p w14:paraId="2EAE056C" w14:textId="77777777" w:rsidR="00CF626A" w:rsidRPr="001531CD" w:rsidRDefault="00CF626A">
      <w:pPr>
        <w:pStyle w:val="HistoricalNote"/>
      </w:pPr>
      <w:r w:rsidRPr="001531CD">
        <w:t>HISTORICAL NOTE:</w:t>
      </w:r>
      <w:r w:rsidRPr="001531CD">
        <w:tab/>
        <w:t>Promulgated by the Department of Agriculture and Forestry, Market Commission, LR 19:1122 (September 1993), amended LR 23:294 (March 1997)</w:t>
      </w:r>
      <w:r w:rsidR="00313E4D">
        <w:t>,</w:t>
      </w:r>
      <w:r w:rsidR="00313E4D" w:rsidRPr="00313E4D">
        <w:t xml:space="preserve"> </w:t>
      </w:r>
      <w:r w:rsidR="00313E4D" w:rsidRPr="003F4807">
        <w:t xml:space="preserve">amended by </w:t>
      </w:r>
      <w:r w:rsidR="00313E4D" w:rsidRPr="003F4807">
        <w:t xml:space="preserve">the Department of Agriculture and Forestry, Office of Animal Health and Food Safety, Egg Commission, LR </w:t>
      </w:r>
      <w:r w:rsidR="00313E4D">
        <w:t>43:1517 (August 2017).</w:t>
      </w:r>
    </w:p>
    <w:p w14:paraId="6512C04C" w14:textId="77777777" w:rsidR="00CF626A" w:rsidRPr="001531CD" w:rsidRDefault="00CF626A">
      <w:pPr>
        <w:pStyle w:val="Section"/>
      </w:pPr>
      <w:bookmarkStart w:id="698" w:name="_Toc256754363"/>
      <w:bookmarkStart w:id="699" w:name="_Toc224818597"/>
      <w:r w:rsidRPr="001531CD">
        <w:t>§925.</w:t>
      </w:r>
      <w:r w:rsidRPr="001531CD">
        <w:tab/>
        <w:t>Ownership</w:t>
      </w:r>
      <w:bookmarkEnd w:id="698"/>
      <w:bookmarkEnd w:id="699"/>
    </w:p>
    <w:p w14:paraId="1B680911" w14:textId="77777777" w:rsidR="00CF626A" w:rsidRPr="001531CD" w:rsidRDefault="00CF626A">
      <w:pPr>
        <w:pStyle w:val="A"/>
      </w:pPr>
      <w:r w:rsidRPr="001531CD">
        <w:t>A.</w:t>
      </w:r>
      <w:r w:rsidRPr="001531CD">
        <w:tab/>
        <w:t>All eggs shall be considered the property of the person in whose possession they are found except those in the custody of common carriers or public warehouses where the owner is identified by record.</w:t>
      </w:r>
    </w:p>
    <w:p w14:paraId="01308268" w14:textId="77777777" w:rsidR="00CF626A" w:rsidRPr="001531CD" w:rsidRDefault="00CF626A">
      <w:pPr>
        <w:pStyle w:val="AuthorityNote"/>
      </w:pPr>
      <w:r w:rsidRPr="001531CD">
        <w:t>AUTHORITY NOTE:</w:t>
      </w:r>
      <w:r w:rsidRPr="001531CD">
        <w:tab/>
        <w:t>Adopted in accordance with R.S. 3:405.</w:t>
      </w:r>
    </w:p>
    <w:p w14:paraId="3D079038" w14:textId="77777777" w:rsidR="00CF626A" w:rsidRPr="001531CD" w:rsidRDefault="00CF626A">
      <w:pPr>
        <w:pStyle w:val="HistoricalNote"/>
      </w:pPr>
      <w:r w:rsidRPr="001531CD">
        <w:t>HISTORICAL NOTE:</w:t>
      </w:r>
      <w:r w:rsidRPr="001531CD">
        <w:tab/>
        <w:t>Adopted by the Department of Agriculture, Market Commission, May 1969.</w:t>
      </w:r>
    </w:p>
    <w:p w14:paraId="66349646" w14:textId="77777777" w:rsidR="00CF626A" w:rsidRPr="001531CD" w:rsidRDefault="00CF626A">
      <w:pPr>
        <w:pStyle w:val="Section"/>
      </w:pPr>
      <w:bookmarkStart w:id="700" w:name="_Toc256754364"/>
      <w:bookmarkStart w:id="701" w:name="_Toc224818598"/>
      <w:r w:rsidRPr="001531CD">
        <w:t>§927.</w:t>
      </w:r>
      <w:r w:rsidRPr="001531CD">
        <w:tab/>
        <w:t>Destination Tolerances; Additional Inspection Fees</w:t>
      </w:r>
      <w:bookmarkEnd w:id="700"/>
      <w:bookmarkEnd w:id="701"/>
    </w:p>
    <w:p w14:paraId="0A75F03F" w14:textId="77777777" w:rsidR="00CF626A" w:rsidRPr="001531CD" w:rsidRDefault="00CF626A">
      <w:pPr>
        <w:pStyle w:val="A"/>
      </w:pPr>
      <w:r w:rsidRPr="001531CD">
        <w:t>A.</w:t>
      </w:r>
      <w:r w:rsidRPr="001531CD">
        <w:tab/>
        <w:t>No eggs shall be sold for resale to the consumers below U.S. Grade B, nor shall any eggs be sold as fresh eggs if the eggs are over 45 days of age. Eggs 45-60 days of age after package date may be returned to the processor or sent to a breaker. Eggs older than 60 days from date of package will be destroyed on the premises in the presence of the inspector/grader.</w:t>
      </w:r>
    </w:p>
    <w:p w14:paraId="698E5B2E" w14:textId="77777777" w:rsidR="00CF626A" w:rsidRPr="001531CD" w:rsidRDefault="00CF626A">
      <w:pPr>
        <w:pStyle w:val="A"/>
      </w:pPr>
      <w:r w:rsidRPr="001531CD">
        <w:t>B.</w:t>
      </w:r>
      <w:r w:rsidRPr="001531CD">
        <w:tab/>
        <w:t>Eggs not meeting destination tolerances of the grade designated on the container shall be subject to an additional inspection fee and shall have a stop sale place on them.</w:t>
      </w:r>
    </w:p>
    <w:p w14:paraId="154CD9B1" w14:textId="77777777" w:rsidR="00CF626A" w:rsidRPr="001531CD" w:rsidRDefault="00CF626A">
      <w:pPr>
        <w:pStyle w:val="A"/>
        <w:spacing w:after="200"/>
      </w:pPr>
      <w:r w:rsidRPr="001531CD">
        <w:t>C.</w:t>
      </w:r>
      <w:r w:rsidRPr="001531CD">
        <w:tab/>
        <w:t>Eggs not meeting Grade B standards shall have a stop sale issued, pay an additional inspection fee as set forth below, and be retained under U.S.D.A. provisions.</w:t>
      </w:r>
    </w:p>
    <w:tbl>
      <w:tblPr>
        <w:tblW w:w="0" w:type="auto"/>
        <w:jc w:val="center"/>
        <w:tblLayout w:type="fixed"/>
        <w:tblCellMar>
          <w:left w:w="145" w:type="dxa"/>
          <w:right w:w="145" w:type="dxa"/>
        </w:tblCellMar>
        <w:tblLook w:val="0000" w:firstRow="0" w:lastRow="0" w:firstColumn="0" w:lastColumn="0" w:noHBand="0" w:noVBand="0"/>
      </w:tblPr>
      <w:tblGrid>
        <w:gridCol w:w="1250"/>
        <w:gridCol w:w="1800"/>
        <w:gridCol w:w="1825"/>
      </w:tblGrid>
      <w:tr w:rsidR="00CF626A" w:rsidRPr="001413E4" w14:paraId="4CA42397" w14:textId="77777777" w:rsidTr="00167E2E">
        <w:trPr>
          <w:cantSplit/>
          <w:tblHeader/>
          <w:jc w:val="center"/>
        </w:trPr>
        <w:tc>
          <w:tcPr>
            <w:tcW w:w="1250" w:type="dxa"/>
            <w:tcBorders>
              <w:top w:val="double" w:sz="6" w:space="0" w:color="000000"/>
              <w:left w:val="double" w:sz="6" w:space="0" w:color="000000"/>
              <w:bottom w:val="single" w:sz="8" w:space="0" w:color="000000"/>
              <w:right w:val="single" w:sz="8" w:space="0" w:color="000000"/>
            </w:tcBorders>
            <w:shd w:val="clear" w:color="000000" w:fill="BFBFBF"/>
            <w:vAlign w:val="bottom"/>
          </w:tcPr>
          <w:p w14:paraId="404816F2" w14:textId="77777777" w:rsidR="00CF626A" w:rsidRPr="001413E4" w:rsidRDefault="001413E4" w:rsidP="001413E4">
            <w:pPr>
              <w:keepNext/>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bCs/>
                <w:kern w:val="2"/>
                <w:sz w:val="16"/>
                <w:szCs w:val="16"/>
              </w:rPr>
            </w:pPr>
            <w:r>
              <w:rPr>
                <w:bCs/>
                <w:kern w:val="2"/>
                <w:sz w:val="16"/>
                <w:szCs w:val="16"/>
              </w:rPr>
              <w:t xml:space="preserve">  </w:t>
            </w:r>
          </w:p>
        </w:tc>
        <w:tc>
          <w:tcPr>
            <w:tcW w:w="1800" w:type="dxa"/>
            <w:tcBorders>
              <w:top w:val="double" w:sz="6" w:space="0" w:color="000000"/>
              <w:left w:val="single" w:sz="8" w:space="0" w:color="000000"/>
              <w:bottom w:val="single" w:sz="8" w:space="0" w:color="000000"/>
              <w:right w:val="single" w:sz="8" w:space="0" w:color="000000"/>
            </w:tcBorders>
            <w:shd w:val="clear" w:color="000000" w:fill="BFBFBF"/>
            <w:vAlign w:val="bottom"/>
          </w:tcPr>
          <w:p w14:paraId="28A50BDF" w14:textId="77777777" w:rsidR="00CF626A" w:rsidRPr="001531CD" w:rsidRDefault="00CF626A" w:rsidP="001413E4">
            <w:pPr>
              <w:keepNext/>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b/>
                <w:bCs/>
                <w:kern w:val="2"/>
                <w:sz w:val="16"/>
              </w:rPr>
            </w:pPr>
            <w:r w:rsidRPr="001531CD">
              <w:rPr>
                <w:b/>
                <w:bCs/>
                <w:kern w:val="2"/>
                <w:sz w:val="16"/>
              </w:rPr>
              <w:t>Grade A</w:t>
            </w:r>
            <w:r w:rsidR="001413E4">
              <w:rPr>
                <w:b/>
                <w:bCs/>
                <w:kern w:val="2"/>
                <w:sz w:val="16"/>
              </w:rPr>
              <w:t xml:space="preserve"> </w:t>
            </w:r>
            <w:r w:rsidRPr="001531CD">
              <w:rPr>
                <w:b/>
                <w:bCs/>
                <w:kern w:val="2"/>
                <w:sz w:val="16"/>
              </w:rPr>
              <w:t>Standards**</w:t>
            </w:r>
          </w:p>
        </w:tc>
        <w:tc>
          <w:tcPr>
            <w:tcW w:w="1825" w:type="dxa"/>
            <w:tcBorders>
              <w:top w:val="double" w:sz="6" w:space="0" w:color="000000"/>
              <w:left w:val="single" w:sz="8" w:space="0" w:color="000000"/>
              <w:bottom w:val="single" w:sz="8" w:space="0" w:color="000000"/>
              <w:right w:val="double" w:sz="6" w:space="0" w:color="000000"/>
            </w:tcBorders>
            <w:shd w:val="clear" w:color="000000" w:fill="BFBFBF"/>
          </w:tcPr>
          <w:p w14:paraId="5EC52833" w14:textId="77777777" w:rsidR="00CF626A" w:rsidRPr="001531CD" w:rsidRDefault="001413E4" w:rsidP="001413E4">
            <w:pPr>
              <w:keepNext/>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b/>
                <w:bCs/>
                <w:kern w:val="2"/>
                <w:sz w:val="16"/>
              </w:rPr>
            </w:pPr>
            <w:r>
              <w:rPr>
                <w:b/>
                <w:bCs/>
                <w:kern w:val="2"/>
                <w:sz w:val="16"/>
              </w:rPr>
              <w:t xml:space="preserve">Grade B </w:t>
            </w:r>
            <w:r w:rsidR="00CF626A" w:rsidRPr="001531CD">
              <w:rPr>
                <w:b/>
                <w:bCs/>
                <w:kern w:val="2"/>
                <w:sz w:val="16"/>
              </w:rPr>
              <w:t>Standards*</w:t>
            </w:r>
          </w:p>
        </w:tc>
      </w:tr>
      <w:tr w:rsidR="00CF626A" w:rsidRPr="001413E4" w14:paraId="14956D5A" w14:textId="77777777" w:rsidTr="00167E2E">
        <w:trPr>
          <w:cantSplit/>
          <w:jc w:val="center"/>
        </w:trPr>
        <w:tc>
          <w:tcPr>
            <w:tcW w:w="1250" w:type="dxa"/>
            <w:tcBorders>
              <w:top w:val="single" w:sz="8" w:space="0" w:color="000000"/>
              <w:left w:val="double" w:sz="6" w:space="0" w:color="000000"/>
              <w:bottom w:val="single" w:sz="6" w:space="0" w:color="FFFFFF"/>
              <w:right w:val="single" w:sz="6" w:space="0" w:color="FFFFFF"/>
            </w:tcBorders>
            <w:vAlign w:val="bottom"/>
          </w:tcPr>
          <w:p w14:paraId="4FF62362" w14:textId="77777777"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1-10 cases</w:t>
            </w:r>
          </w:p>
        </w:tc>
        <w:tc>
          <w:tcPr>
            <w:tcW w:w="1800" w:type="dxa"/>
            <w:tcBorders>
              <w:top w:val="single" w:sz="8" w:space="0" w:color="000000"/>
              <w:left w:val="single" w:sz="7" w:space="0" w:color="000000"/>
              <w:bottom w:val="single" w:sz="6" w:space="0" w:color="FFFFFF"/>
              <w:right w:val="single" w:sz="6" w:space="0" w:color="FFFFFF"/>
            </w:tcBorders>
            <w:vAlign w:val="bottom"/>
          </w:tcPr>
          <w:p w14:paraId="30B8440A" w14:textId="77777777"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  5</w:t>
            </w:r>
          </w:p>
        </w:tc>
        <w:tc>
          <w:tcPr>
            <w:tcW w:w="1825" w:type="dxa"/>
            <w:tcBorders>
              <w:top w:val="single" w:sz="8" w:space="0" w:color="000000"/>
              <w:left w:val="single" w:sz="7" w:space="0" w:color="000000"/>
              <w:bottom w:val="single" w:sz="6" w:space="0" w:color="FFFFFF"/>
              <w:right w:val="double" w:sz="6" w:space="0" w:color="000000"/>
            </w:tcBorders>
          </w:tcPr>
          <w:p w14:paraId="2816FA84" w14:textId="77777777"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$15</w:t>
            </w:r>
          </w:p>
        </w:tc>
      </w:tr>
      <w:tr w:rsidR="00CF626A" w:rsidRPr="001413E4" w14:paraId="3CC62AB2" w14:textId="77777777"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14:paraId="4390CF8A" w14:textId="77777777"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11-30 cases</w:t>
            </w:r>
          </w:p>
        </w:tc>
        <w:tc>
          <w:tcPr>
            <w:tcW w:w="1800" w:type="dxa"/>
            <w:tcBorders>
              <w:top w:val="single" w:sz="7" w:space="0" w:color="000000"/>
              <w:left w:val="single" w:sz="7" w:space="0" w:color="000000"/>
              <w:bottom w:val="single" w:sz="6" w:space="0" w:color="FFFFFF"/>
              <w:right w:val="single" w:sz="6" w:space="0" w:color="FFFFFF"/>
            </w:tcBorders>
            <w:vAlign w:val="bottom"/>
          </w:tcPr>
          <w:p w14:paraId="2576C3AA" w14:textId="77777777"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20</w:t>
            </w:r>
          </w:p>
        </w:tc>
        <w:tc>
          <w:tcPr>
            <w:tcW w:w="1825" w:type="dxa"/>
            <w:tcBorders>
              <w:top w:val="single" w:sz="7" w:space="0" w:color="000000"/>
              <w:left w:val="single" w:sz="7" w:space="0" w:color="000000"/>
              <w:bottom w:val="single" w:sz="6" w:space="0" w:color="FFFFFF"/>
              <w:right w:val="double" w:sz="6" w:space="0" w:color="000000"/>
            </w:tcBorders>
          </w:tcPr>
          <w:p w14:paraId="583D2520" w14:textId="77777777"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30</w:t>
            </w:r>
          </w:p>
        </w:tc>
      </w:tr>
      <w:tr w:rsidR="00CF626A" w:rsidRPr="001413E4" w14:paraId="2119AC7B" w14:textId="77777777"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14:paraId="1960C1FD" w14:textId="77777777"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31-99 cases</w:t>
            </w:r>
          </w:p>
        </w:tc>
        <w:tc>
          <w:tcPr>
            <w:tcW w:w="1800" w:type="dxa"/>
            <w:tcBorders>
              <w:top w:val="single" w:sz="7" w:space="0" w:color="000000"/>
              <w:left w:val="single" w:sz="7" w:space="0" w:color="000000"/>
              <w:bottom w:val="single" w:sz="6" w:space="0" w:color="FFFFFF"/>
              <w:right w:val="single" w:sz="6" w:space="0" w:color="FFFFFF"/>
            </w:tcBorders>
            <w:vAlign w:val="bottom"/>
          </w:tcPr>
          <w:p w14:paraId="2FFEB9CA" w14:textId="77777777"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30</w:t>
            </w:r>
          </w:p>
        </w:tc>
        <w:tc>
          <w:tcPr>
            <w:tcW w:w="1825" w:type="dxa"/>
            <w:tcBorders>
              <w:top w:val="single" w:sz="7" w:space="0" w:color="000000"/>
              <w:left w:val="single" w:sz="7" w:space="0" w:color="000000"/>
              <w:bottom w:val="single" w:sz="6" w:space="0" w:color="FFFFFF"/>
              <w:right w:val="double" w:sz="6" w:space="0" w:color="000000"/>
            </w:tcBorders>
          </w:tcPr>
          <w:p w14:paraId="5A2A3AAC" w14:textId="77777777"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60</w:t>
            </w:r>
          </w:p>
        </w:tc>
      </w:tr>
      <w:tr w:rsidR="00CF626A" w:rsidRPr="001413E4" w14:paraId="33EF8A8D" w14:textId="77777777"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14:paraId="70FAB5E9" w14:textId="77777777"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over 100 cases</w:t>
            </w:r>
          </w:p>
        </w:tc>
        <w:tc>
          <w:tcPr>
            <w:tcW w:w="1800" w:type="dxa"/>
            <w:tcBorders>
              <w:top w:val="single" w:sz="7" w:space="0" w:color="000000"/>
              <w:left w:val="single" w:sz="7" w:space="0" w:color="000000"/>
              <w:bottom w:val="single" w:sz="6" w:space="0" w:color="FFFFFF"/>
              <w:right w:val="single" w:sz="6" w:space="0" w:color="FFFFFF"/>
            </w:tcBorders>
            <w:vAlign w:val="bottom"/>
          </w:tcPr>
          <w:p w14:paraId="5D219392" w14:textId="77777777"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40</w:t>
            </w:r>
          </w:p>
        </w:tc>
        <w:tc>
          <w:tcPr>
            <w:tcW w:w="1825" w:type="dxa"/>
            <w:tcBorders>
              <w:top w:val="single" w:sz="7" w:space="0" w:color="000000"/>
              <w:left w:val="single" w:sz="7" w:space="0" w:color="000000"/>
              <w:bottom w:val="single" w:sz="6" w:space="0" w:color="FFFFFF"/>
              <w:right w:val="double" w:sz="6" w:space="0" w:color="000000"/>
            </w:tcBorders>
          </w:tcPr>
          <w:p w14:paraId="6C271F7A" w14:textId="77777777"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80</w:t>
            </w:r>
          </w:p>
        </w:tc>
      </w:tr>
      <w:tr w:rsidR="00CF626A" w:rsidRPr="001413E4" w14:paraId="14576640" w14:textId="77777777" w:rsidTr="001413E4">
        <w:trPr>
          <w:cantSplit/>
          <w:jc w:val="center"/>
        </w:trPr>
        <w:tc>
          <w:tcPr>
            <w:tcW w:w="4875" w:type="dxa"/>
            <w:gridSpan w:val="3"/>
            <w:tcBorders>
              <w:top w:val="single" w:sz="7" w:space="0" w:color="000000"/>
              <w:left w:val="double" w:sz="6" w:space="0" w:color="000000"/>
              <w:bottom w:val="single" w:sz="6" w:space="0" w:color="FFFFFF"/>
              <w:right w:val="double" w:sz="6" w:space="0" w:color="000000"/>
            </w:tcBorders>
          </w:tcPr>
          <w:p w14:paraId="07A30730" w14:textId="77777777" w:rsidR="00CF626A" w:rsidRPr="001531CD" w:rsidRDefault="00CF626A" w:rsidP="001413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01" w:hanging="101"/>
              <w:rPr>
                <w:kern w:val="2"/>
                <w:sz w:val="16"/>
              </w:rPr>
            </w:pPr>
            <w:r w:rsidRPr="001531CD">
              <w:rPr>
                <w:kern w:val="2"/>
                <w:sz w:val="16"/>
              </w:rPr>
              <w:t>*Eggs failing to meet Grade B standards may be retained with a U.S.D.A. tag and a PY 518 Alleged Violations and Detention Notice.</w:t>
            </w:r>
          </w:p>
        </w:tc>
      </w:tr>
      <w:tr w:rsidR="00CF626A" w:rsidRPr="001413E4" w14:paraId="5C35D1B4" w14:textId="77777777" w:rsidTr="001413E4">
        <w:trPr>
          <w:cantSplit/>
          <w:jc w:val="center"/>
        </w:trPr>
        <w:tc>
          <w:tcPr>
            <w:tcW w:w="4875" w:type="dxa"/>
            <w:gridSpan w:val="3"/>
            <w:tcBorders>
              <w:top w:val="single" w:sz="7" w:space="0" w:color="000000"/>
              <w:left w:val="double" w:sz="6" w:space="0" w:color="000000"/>
              <w:bottom w:val="double" w:sz="6" w:space="0" w:color="000000"/>
              <w:right w:val="double" w:sz="6" w:space="0" w:color="000000"/>
            </w:tcBorders>
            <w:tcMar>
              <w:left w:w="72" w:type="dxa"/>
            </w:tcMar>
          </w:tcPr>
          <w:p w14:paraId="77FA665C" w14:textId="77777777" w:rsidR="00CF626A" w:rsidRPr="001531CD" w:rsidRDefault="00CF626A" w:rsidP="001413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73" w:hanging="173"/>
              <w:rPr>
                <w:kern w:val="2"/>
                <w:sz w:val="16"/>
              </w:rPr>
            </w:pPr>
            <w:r w:rsidRPr="001531CD">
              <w:rPr>
                <w:kern w:val="2"/>
                <w:sz w:val="16"/>
              </w:rPr>
              <w:t>**Eggs failing to meet Grade A standards, but which meet Grade B standards shall be returned under a Louisiana stop sale, and shall be subject to an additional inspection fee.</w:t>
            </w:r>
          </w:p>
        </w:tc>
      </w:tr>
    </w:tbl>
    <w:p w14:paraId="17BAD104" w14:textId="77777777" w:rsidR="00CF626A" w:rsidRPr="001531CD" w:rsidRDefault="00CF626A">
      <w:pPr>
        <w:pStyle w:val="A"/>
        <w:spacing w:before="200"/>
      </w:pPr>
      <w:r w:rsidRPr="001531CD">
        <w:t>D.</w:t>
      </w:r>
      <w:r w:rsidRPr="001531CD">
        <w:tab/>
        <w:t>If an appeal grading is asked for and the inspector's decision is upheld, the party asking for the appeal grading shall pay all expenses incurred at the current federal rate. If the inspector's decision is reversed, the state shall absorb all expenses. Appeal grading shall be performed by the director or assistant director of the Poultry and Egg Division.</w:t>
      </w:r>
    </w:p>
    <w:p w14:paraId="74F14C22" w14:textId="77777777" w:rsidR="00CF626A" w:rsidRPr="001531CD" w:rsidRDefault="00CF626A">
      <w:pPr>
        <w:pStyle w:val="A"/>
      </w:pPr>
      <w:r w:rsidRPr="001531CD">
        <w:t>E.</w:t>
      </w:r>
      <w:r w:rsidRPr="001531CD">
        <w:tab/>
        <w:t>Any egg handler that fails to pay the additional inspection fee shall have a stop sale placed on this product and any other egg or egg product found in the state until such time as all fees are paid.</w:t>
      </w:r>
    </w:p>
    <w:p w14:paraId="6802B1B4" w14:textId="77777777" w:rsidR="00CF626A" w:rsidRPr="001531CD" w:rsidRDefault="00CF626A">
      <w:pPr>
        <w:pStyle w:val="AuthorityNote"/>
      </w:pPr>
      <w:r w:rsidRPr="001531CD">
        <w:t>AUTHORITY NOTE:</w:t>
      </w:r>
      <w:r w:rsidRPr="001531CD">
        <w:tab/>
        <w:t>Promulgated in accordance with R.S. 3:405 and 3:412.</w:t>
      </w:r>
    </w:p>
    <w:p w14:paraId="4A68423F" w14:textId="77777777" w:rsidR="00CF626A" w:rsidRPr="001531CD" w:rsidRDefault="00CF626A">
      <w:pPr>
        <w:pStyle w:val="HistoricalNote"/>
      </w:pPr>
      <w:r w:rsidRPr="001531CD">
        <w:t>HISTORICAL NOTE:</w:t>
      </w:r>
      <w:r w:rsidRPr="001531CD">
        <w:tab/>
        <w:t>Promulgated by the Department of Agriculture and Forestry, Market Commission, LR 19:1123 (September 1993), amended LR 23:295 (March 1997), LR 28:1171 (June 2002).</w:t>
      </w:r>
    </w:p>
    <w:p w14:paraId="1CC24E65" w14:textId="77777777" w:rsidR="00CF626A" w:rsidRPr="001531CD" w:rsidRDefault="00CF626A">
      <w:pPr>
        <w:pStyle w:val="Section"/>
      </w:pPr>
      <w:bookmarkStart w:id="702" w:name="_Toc256754365"/>
      <w:bookmarkStart w:id="703" w:name="_Toc224818599"/>
      <w:r w:rsidRPr="001531CD">
        <w:t>§929.</w:t>
      </w:r>
      <w:r w:rsidRPr="001531CD">
        <w:tab/>
        <w:t>Labeling, Advertising and Displaying of Eggs</w:t>
      </w:r>
      <w:bookmarkEnd w:id="702"/>
      <w:bookmarkEnd w:id="703"/>
    </w:p>
    <w:p w14:paraId="6546348F" w14:textId="77777777" w:rsidR="00CF626A" w:rsidRPr="001531CD" w:rsidRDefault="00CF626A">
      <w:pPr>
        <w:pStyle w:val="A"/>
      </w:pPr>
      <w:r w:rsidRPr="001531CD">
        <w:t>A.</w:t>
      </w:r>
      <w:r w:rsidRPr="001531CD">
        <w:tab/>
        <w:t xml:space="preserve">Terms, words, phrases, symbols, etc. used in the labeling and advertising of eggs such as fresh, newly laid, and yard eggs shall be applied only to eggs having not less than </w:t>
      </w:r>
      <w:r w:rsidRPr="001531CD">
        <w:lastRenderedPageBreak/>
        <w:t>the minimum quality requirements of U.S.D.A. consumer Grade A or better and which have been so labeled as to grade and size.</w:t>
      </w:r>
    </w:p>
    <w:p w14:paraId="515B30CF" w14:textId="77777777" w:rsidR="00CF626A" w:rsidRPr="001531CD" w:rsidRDefault="00CF626A">
      <w:pPr>
        <w:pStyle w:val="A"/>
      </w:pPr>
      <w:r w:rsidRPr="001531CD">
        <w:t>B.</w:t>
      </w:r>
      <w:r w:rsidRPr="001531CD">
        <w:tab/>
        <w:t>Each carton or sleeve shall have on each individual container the following:</w:t>
      </w:r>
    </w:p>
    <w:p w14:paraId="326C4D64" w14:textId="77777777" w:rsidR="00CF626A" w:rsidRPr="001531CD" w:rsidRDefault="00CF626A">
      <w:pPr>
        <w:pStyle w:val="1"/>
      </w:pPr>
      <w:r w:rsidRPr="001531CD">
        <w:t>1.</w:t>
      </w:r>
      <w:r w:rsidRPr="001531CD">
        <w:tab/>
        <w:t>the grade and size;</w:t>
      </w:r>
    </w:p>
    <w:p w14:paraId="7FE1C725" w14:textId="77777777" w:rsidR="00CF626A" w:rsidRPr="001531CD" w:rsidRDefault="00CF626A">
      <w:pPr>
        <w:pStyle w:val="1"/>
      </w:pPr>
      <w:r w:rsidRPr="001531CD">
        <w:t>2.</w:t>
      </w:r>
      <w:r w:rsidRPr="001531CD">
        <w:tab/>
        <w:t>the date when packed;</w:t>
      </w:r>
    </w:p>
    <w:p w14:paraId="13A1E422" w14:textId="77777777" w:rsidR="00CF626A" w:rsidRPr="001531CD" w:rsidRDefault="00CF626A">
      <w:pPr>
        <w:pStyle w:val="1"/>
      </w:pPr>
      <w:r w:rsidRPr="001531CD">
        <w:t>3.</w:t>
      </w:r>
      <w:r w:rsidRPr="001531CD">
        <w:tab/>
        <w:t>the name and address of packer/producer;</w:t>
      </w:r>
    </w:p>
    <w:p w14:paraId="44B9B269" w14:textId="77777777" w:rsidR="00CF626A" w:rsidRPr="001531CD" w:rsidRDefault="00CF626A">
      <w:pPr>
        <w:pStyle w:val="1"/>
      </w:pPr>
      <w:r w:rsidRPr="001531CD">
        <w:t>4.</w:t>
      </w:r>
      <w:r w:rsidRPr="001531CD">
        <w:tab/>
        <w:t>the Louisiana license number issued by the Louisiana Egg Commission (example: La000);</w:t>
      </w:r>
    </w:p>
    <w:p w14:paraId="22FE399E" w14:textId="77777777" w:rsidR="00CF626A" w:rsidRPr="001531CD" w:rsidRDefault="00CF626A">
      <w:pPr>
        <w:pStyle w:val="1"/>
      </w:pPr>
      <w:r w:rsidRPr="001531CD">
        <w:t>5.</w:t>
      </w:r>
      <w:r w:rsidRPr="001531CD">
        <w:tab/>
        <w:t>the phrase "keep refrigerated at 45</w:t>
      </w:r>
      <w:r w:rsidRPr="001531CD">
        <w:rPr>
          <w:rFonts w:ascii="Symbol" w:hAnsi="Symbol"/>
        </w:rPr>
        <w:t></w:t>
      </w:r>
      <w:r w:rsidRPr="001531CD">
        <w:rPr>
          <w:rFonts w:ascii="Symbol" w:hAnsi="Symbol"/>
        </w:rPr>
        <w:t></w:t>
      </w:r>
      <w:r w:rsidRPr="001531CD">
        <w:t>F or below";</w:t>
      </w:r>
    </w:p>
    <w:p w14:paraId="0DF52337" w14:textId="77777777" w:rsidR="00CF626A" w:rsidRPr="001531CD" w:rsidRDefault="00CF626A" w:rsidP="002D3F23">
      <w:pPr>
        <w:pStyle w:val="A"/>
        <w:spacing w:after="80"/>
      </w:pPr>
      <w:r w:rsidRPr="001531CD">
        <w:t>C.</w:t>
      </w:r>
      <w:r w:rsidRPr="001531CD">
        <w:tab/>
        <w:t>Each case, regardless of size, of loose eggs shall have marked on one end:</w:t>
      </w:r>
    </w:p>
    <w:p w14:paraId="1054AD08" w14:textId="77777777" w:rsidR="00CF626A" w:rsidRPr="001531CD" w:rsidRDefault="00CF626A" w:rsidP="002D3F23">
      <w:pPr>
        <w:pStyle w:val="1"/>
        <w:spacing w:after="80"/>
      </w:pPr>
      <w:r w:rsidRPr="001531CD">
        <w:t>1.</w:t>
      </w:r>
      <w:r w:rsidRPr="001531CD">
        <w:tab/>
        <w:t>the grade and size;</w:t>
      </w:r>
    </w:p>
    <w:p w14:paraId="1B7EBA4A" w14:textId="77777777" w:rsidR="00CF626A" w:rsidRPr="001531CD" w:rsidRDefault="00CF626A" w:rsidP="002D3F23">
      <w:pPr>
        <w:pStyle w:val="1"/>
        <w:spacing w:after="80"/>
      </w:pPr>
      <w:r w:rsidRPr="001531CD">
        <w:t>2.</w:t>
      </w:r>
      <w:r w:rsidRPr="001531CD">
        <w:tab/>
        <w:t>the name and address of packer/producer;</w:t>
      </w:r>
    </w:p>
    <w:p w14:paraId="67BD6D11" w14:textId="77777777" w:rsidR="00CF626A" w:rsidRPr="001531CD" w:rsidRDefault="00CF626A" w:rsidP="002D3F23">
      <w:pPr>
        <w:pStyle w:val="1"/>
        <w:spacing w:after="80"/>
      </w:pPr>
      <w:r w:rsidRPr="001531CD">
        <w:t>3.</w:t>
      </w:r>
      <w:r w:rsidRPr="001531CD">
        <w:tab/>
        <w:t>the date when packed;</w:t>
      </w:r>
    </w:p>
    <w:p w14:paraId="690E0A40" w14:textId="77777777" w:rsidR="00CF626A" w:rsidRPr="001531CD" w:rsidRDefault="00CF626A" w:rsidP="002D3F23">
      <w:pPr>
        <w:pStyle w:val="1"/>
        <w:spacing w:after="80"/>
      </w:pPr>
      <w:r w:rsidRPr="001531CD">
        <w:t>4.</w:t>
      </w:r>
      <w:r w:rsidRPr="001531CD">
        <w:tab/>
        <w:t>the Louisiana license number (example: La000);</w:t>
      </w:r>
    </w:p>
    <w:p w14:paraId="5AAC3ABA" w14:textId="77777777" w:rsidR="00CF626A" w:rsidRPr="001531CD" w:rsidRDefault="00CF626A" w:rsidP="002D3F23">
      <w:pPr>
        <w:pStyle w:val="1"/>
        <w:spacing w:after="80"/>
      </w:pPr>
      <w:r w:rsidRPr="001531CD">
        <w:t>5.</w:t>
      </w:r>
      <w:r w:rsidRPr="001531CD">
        <w:tab/>
        <w:t>the phrase "keep refrigerated at 45</w:t>
      </w:r>
      <w:r w:rsidRPr="001531CD">
        <w:rPr>
          <w:rFonts w:ascii="Symbol" w:hAnsi="Symbol"/>
        </w:rPr>
        <w:t></w:t>
      </w:r>
      <w:r w:rsidRPr="001531CD">
        <w:rPr>
          <w:rFonts w:ascii="Symbol" w:hAnsi="Symbol"/>
        </w:rPr>
        <w:t></w:t>
      </w:r>
      <w:r w:rsidRPr="001531CD">
        <w:t>F or below" (this may be placed on the side or top of the case).</w:t>
      </w:r>
    </w:p>
    <w:p w14:paraId="1C55C69E" w14:textId="77777777" w:rsidR="00CF626A" w:rsidRPr="001531CD" w:rsidRDefault="00CF626A" w:rsidP="002D3F23">
      <w:pPr>
        <w:pStyle w:val="A"/>
        <w:spacing w:after="80"/>
      </w:pPr>
      <w:r w:rsidRPr="001531CD">
        <w:t>D.</w:t>
      </w:r>
      <w:r w:rsidRPr="001531CD">
        <w:tab/>
        <w:t>Eggs that are packed on flats (cartons that do not have tops or lids) and are shrink wrapped shall have the above information on a place card no smaller than 5 x 8 inches displayed immediately above the eggs so packed that are being offered for sale to the consumer. It is the responsibility of the retailer to see that such signs are posted.</w:t>
      </w:r>
    </w:p>
    <w:p w14:paraId="21B15518" w14:textId="77777777" w:rsidR="00CF626A" w:rsidRPr="001531CD" w:rsidRDefault="00CF626A">
      <w:pPr>
        <w:pStyle w:val="A"/>
      </w:pPr>
      <w:r w:rsidRPr="001531CD">
        <w:t>E.</w:t>
      </w:r>
      <w:r w:rsidRPr="001531CD">
        <w:tab/>
        <w:t>License numbers shall have "La" preceding the number (example: La001).</w:t>
      </w:r>
    </w:p>
    <w:p w14:paraId="2B1A4E50" w14:textId="77777777" w:rsidR="00CF626A" w:rsidRPr="001531CD" w:rsidRDefault="00CF626A">
      <w:pPr>
        <w:pStyle w:val="A"/>
      </w:pPr>
      <w:r w:rsidRPr="001531CD">
        <w:t>F.</w:t>
      </w:r>
      <w:r w:rsidRPr="001531CD">
        <w:tab/>
        <w:t>All eggs advertised or displayed for sale for human consumption shall designate the correct grade and size, and such designation shall also appear on the exterior of the container in which eggs are offered for sale.</w:t>
      </w:r>
    </w:p>
    <w:p w14:paraId="2B3B2FAD" w14:textId="77777777" w:rsidR="00CF626A" w:rsidRPr="001531CD" w:rsidRDefault="00CF626A">
      <w:pPr>
        <w:pStyle w:val="A"/>
      </w:pPr>
      <w:r w:rsidRPr="001531CD">
        <w:t>G.</w:t>
      </w:r>
      <w:r w:rsidRPr="001531CD">
        <w:tab/>
        <w:t>Restaurants, hotels, and other dining places using eggs below Grade A quality shall be required to display a placard of heavy cardboard of not less than 8 x 11 inches, stating the quality and weight of the eggs used by the establishment, in a location where it can easily be seen by the customers, or in lieu thereof, place this information on the menu. If packers, jobbers, or dealer-wholesalers sell eggs below Grade A quality to restaurants, hotels, and other eating establishments, it shall be their responsibility to inform them to post such notices.</w:t>
      </w:r>
    </w:p>
    <w:p w14:paraId="18A0C6CF" w14:textId="77777777" w:rsidR="00CF626A" w:rsidRPr="001531CD" w:rsidRDefault="00CF626A">
      <w:pPr>
        <w:pStyle w:val="A"/>
      </w:pPr>
      <w:r w:rsidRPr="001531CD">
        <w:t>H.</w:t>
      </w:r>
      <w:r w:rsidRPr="001531CD">
        <w:tab/>
        <w:t>Grade and size of eggs must be identified in ads, papers, circulars, and point-of-sale materials.</w:t>
      </w:r>
    </w:p>
    <w:p w14:paraId="6AF7A732" w14:textId="77777777" w:rsidR="00CF626A" w:rsidRPr="001531CD" w:rsidRDefault="00CF626A">
      <w:pPr>
        <w:pStyle w:val="A"/>
      </w:pPr>
      <w:r w:rsidRPr="001531CD">
        <w:t>I.</w:t>
      </w:r>
      <w:r w:rsidRPr="001531CD">
        <w:tab/>
        <w:t xml:space="preserve">All cartons and containers containing shell eggs that have not been specifically processed to destroy all live </w:t>
      </w:r>
      <w:r w:rsidR="00166EB1" w:rsidRPr="001531CD">
        <w:rPr>
          <w:i/>
        </w:rPr>
        <w:t>Salmonella</w:t>
      </w:r>
      <w:r w:rsidRPr="001531CD">
        <w:rPr>
          <w:i/>
        </w:rPr>
        <w:t>e</w:t>
      </w:r>
      <w:r w:rsidRPr="001531CD">
        <w:t xml:space="preserve"> prior to distribution for sale to the ultimate consumer shall contain the following statement on each such carton or container:</w:t>
      </w:r>
    </w:p>
    <w:p w14:paraId="39D62B9D" w14:textId="77777777" w:rsidR="00CF626A" w:rsidRPr="001531CD" w:rsidRDefault="00CF626A">
      <w:pPr>
        <w:pStyle w:val="RegDoubleIndent"/>
        <w:spacing w:after="120"/>
        <w:rPr>
          <w:sz w:val="16"/>
        </w:rPr>
      </w:pPr>
      <w:r w:rsidRPr="001531CD">
        <w:rPr>
          <w:sz w:val="16"/>
        </w:rPr>
        <w:t>"SAFE HANDLING INSTRUCTIONS: To prevent illness from bacteria: keep eggs refrigerated, cook eggs until yolks are firm and cook foods containing eggs thoroughly."</w:t>
      </w:r>
    </w:p>
    <w:p w14:paraId="68540903" w14:textId="77777777" w:rsidR="00CF626A" w:rsidRPr="001531CD" w:rsidRDefault="00CF626A">
      <w:pPr>
        <w:pStyle w:val="AuthorityNote"/>
      </w:pPr>
      <w:r w:rsidRPr="001531CD">
        <w:t>AUTHORITY NOTE:</w:t>
      </w:r>
      <w:r w:rsidRPr="001531CD">
        <w:tab/>
        <w:t>Adopted in accordance with R.S. 3:405.</w:t>
      </w:r>
    </w:p>
    <w:p w14:paraId="7AEAB644" w14:textId="77777777" w:rsidR="00CF626A" w:rsidRPr="001531CD" w:rsidRDefault="00CF626A">
      <w:pPr>
        <w:pStyle w:val="HistoricalNote"/>
      </w:pPr>
      <w:r w:rsidRPr="001531CD">
        <w:t>HISTORICAL NOTE:</w:t>
      </w:r>
      <w:r w:rsidRPr="001531CD">
        <w:tab/>
        <w:t>Adopted by the Department of Agriculture, State Market Commission, May 1969, amended by the Department of Agriculture and Forestry, Market Commission, LR 19:1123 (September 1993), LR 28:1171 (June 2002).</w:t>
      </w:r>
    </w:p>
    <w:p w14:paraId="195F4A6A" w14:textId="77777777" w:rsidR="00CF626A" w:rsidRPr="001531CD" w:rsidRDefault="00CF626A">
      <w:pPr>
        <w:pStyle w:val="Section"/>
      </w:pPr>
      <w:bookmarkStart w:id="704" w:name="_Toc256754366"/>
      <w:bookmarkStart w:id="705" w:name="_Toc224818600"/>
      <w:r w:rsidRPr="001531CD">
        <w:t>§931.</w:t>
      </w:r>
      <w:r w:rsidRPr="001531CD">
        <w:tab/>
        <w:t>Exemption</w:t>
      </w:r>
      <w:bookmarkEnd w:id="704"/>
      <w:bookmarkEnd w:id="705"/>
    </w:p>
    <w:p w14:paraId="77B673C9" w14:textId="77777777" w:rsidR="00CF626A" w:rsidRPr="001531CD" w:rsidRDefault="00CF626A">
      <w:pPr>
        <w:pStyle w:val="A"/>
      </w:pPr>
      <w:r w:rsidRPr="001531CD">
        <w:t>A.</w:t>
      </w:r>
      <w:r w:rsidRPr="001531CD">
        <w:tab/>
        <w:t>Producers selling eggs of their own production on their own premises to individuals are exempt from the provisions of these regulations. No more than 30 dozen can be sold to one person at one time.</w:t>
      </w:r>
    </w:p>
    <w:p w14:paraId="2D84D776" w14:textId="77777777" w:rsidR="00CF626A" w:rsidRPr="001531CD" w:rsidRDefault="00CF626A">
      <w:pPr>
        <w:pStyle w:val="AuthorityNote"/>
      </w:pPr>
      <w:r w:rsidRPr="001531CD">
        <w:t>AUTHORITY NOTE:</w:t>
      </w:r>
      <w:r w:rsidRPr="001531CD">
        <w:tab/>
        <w:t>Adopted in accordance with R.S. 3:405.</w:t>
      </w:r>
    </w:p>
    <w:p w14:paraId="5C4AA401" w14:textId="77777777"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19:1124 (September 1993).</w:t>
      </w:r>
    </w:p>
    <w:p w14:paraId="3682A7E9" w14:textId="77777777" w:rsidR="00CF626A" w:rsidRPr="001531CD" w:rsidRDefault="00CF626A">
      <w:pPr>
        <w:pStyle w:val="Section"/>
      </w:pPr>
      <w:bookmarkStart w:id="706" w:name="_Toc256754367"/>
      <w:bookmarkStart w:id="707" w:name="_Toc224818601"/>
      <w:r w:rsidRPr="001531CD">
        <w:t>§933.</w:t>
      </w:r>
      <w:r w:rsidRPr="001531CD">
        <w:tab/>
        <w:t>Stop Sale Notices</w:t>
      </w:r>
      <w:bookmarkEnd w:id="706"/>
      <w:bookmarkEnd w:id="707"/>
    </w:p>
    <w:p w14:paraId="4D705E8D" w14:textId="77777777" w:rsidR="00CF626A" w:rsidRPr="001531CD" w:rsidRDefault="00CF626A">
      <w:pPr>
        <w:pStyle w:val="A"/>
      </w:pPr>
      <w:r w:rsidRPr="001531CD">
        <w:t>A.</w:t>
      </w:r>
      <w:r w:rsidRPr="001531CD">
        <w:tab/>
        <w:t xml:space="preserve">Any enforcement officer may, while enforcing the provisions of the regulations, issue and enforce a written, printed or stamped </w:t>
      </w:r>
      <w:r w:rsidRPr="001531CD">
        <w:rPr>
          <w:i/>
          <w:iCs/>
        </w:rPr>
        <w:t>Stop Sale</w:t>
      </w:r>
      <w:r w:rsidRPr="001531CD">
        <w:t xml:space="preserve"> order on any eggs held to be in violation of these regulations which shall prohibit further sales of any such eggs. In case of a dispute the egg vendor shall have the right of prompt re-inspection by a licensed federal or state grader. If upon re-inspection the eggs fail to meet the specifications for grade as advertised they shall be re-marked as to their proper grade and weight classification or they shall be re-packaged.</w:t>
      </w:r>
    </w:p>
    <w:p w14:paraId="6AE816F2" w14:textId="77777777" w:rsidR="00CF626A" w:rsidRPr="001531CD" w:rsidRDefault="00CF626A">
      <w:pPr>
        <w:pStyle w:val="AuthorityNote"/>
      </w:pPr>
      <w:r w:rsidRPr="001531CD">
        <w:t>AUTHORITY NOTE:</w:t>
      </w:r>
      <w:r w:rsidRPr="001531CD">
        <w:tab/>
        <w:t>Adopted in accordance with R.S. 3:405.</w:t>
      </w:r>
    </w:p>
    <w:p w14:paraId="64C525F1" w14:textId="77777777" w:rsidR="00CF626A" w:rsidRPr="001531CD" w:rsidRDefault="00CF626A">
      <w:pPr>
        <w:pStyle w:val="HistoricalNote"/>
      </w:pPr>
      <w:r w:rsidRPr="001531CD">
        <w:t>HISTORICAL NOTE:</w:t>
      </w:r>
      <w:r w:rsidRPr="001531CD">
        <w:tab/>
        <w:t>Adopted by the Department of Agriculture, Market Commission, May 1969.</w:t>
      </w:r>
    </w:p>
    <w:p w14:paraId="7A4D7B45" w14:textId="77777777" w:rsidR="00CF626A" w:rsidRPr="001531CD" w:rsidRDefault="00CF626A">
      <w:pPr>
        <w:pStyle w:val="Section"/>
      </w:pPr>
      <w:bookmarkStart w:id="708" w:name="_Toc256754368"/>
      <w:bookmarkStart w:id="709" w:name="_Toc224818602"/>
      <w:r w:rsidRPr="001531CD">
        <w:t>§935.</w:t>
      </w:r>
      <w:r w:rsidRPr="001531CD">
        <w:tab/>
        <w:t>Audits</w:t>
      </w:r>
      <w:bookmarkEnd w:id="708"/>
      <w:bookmarkEnd w:id="709"/>
    </w:p>
    <w:p w14:paraId="097EF56A" w14:textId="77777777" w:rsidR="00CF626A" w:rsidRPr="001531CD" w:rsidRDefault="00CF626A">
      <w:pPr>
        <w:pStyle w:val="A"/>
      </w:pPr>
      <w:r w:rsidRPr="001531CD">
        <w:t>A.</w:t>
      </w:r>
      <w:r w:rsidRPr="001531CD">
        <w:tab/>
        <w:t>All license holders are subject to yearly audits and must be audited at least once every two years to insure proper reporting of egg and egg product inspection fees and egg assessments to the Louisiana Egg Commission. Audits shall be performed by employees of the Department of Agriculture and Forestry. Travel expenses and per diem incurred in conducting out-of-state audits are to be reimbursed to the Department of Agriculture and Forestry by out-of-state license holders. Failure or refusal to pay travel expenses and/or per diem will result in immediate suspension of license and all products found in the state shall have a "</w:t>
      </w:r>
      <w:r w:rsidRPr="001531CD">
        <w:rPr>
          <w:smallCaps/>
        </w:rPr>
        <w:t>stop sale</w:t>
      </w:r>
      <w:r w:rsidRPr="001531CD">
        <w:t>" placed on the product and no further sales will be allowed in the state until such time as all expenses are paid.</w:t>
      </w:r>
    </w:p>
    <w:p w14:paraId="669993FC" w14:textId="77777777" w:rsidR="00CF626A" w:rsidRPr="001531CD" w:rsidRDefault="00CF626A">
      <w:pPr>
        <w:pStyle w:val="A"/>
      </w:pPr>
      <w:r w:rsidRPr="001531CD">
        <w:t>B.</w:t>
      </w:r>
      <w:r w:rsidRPr="001531CD">
        <w:tab/>
        <w:t>The out-of-state daily allowance for meals and lodging, plus travel expense to and from locations of license holders shall be the maximum amount reimbursable.</w:t>
      </w:r>
    </w:p>
    <w:p w14:paraId="2CCF1865" w14:textId="77777777" w:rsidR="00CF626A" w:rsidRPr="001531CD" w:rsidRDefault="00CF626A">
      <w:pPr>
        <w:pStyle w:val="AuthorityNote"/>
      </w:pPr>
      <w:r w:rsidRPr="001531CD">
        <w:t>AUTHORITY NOTE:</w:t>
      </w:r>
      <w:r w:rsidRPr="001531CD">
        <w:tab/>
        <w:t>Promulgated in accordance with R.S. 3:405.</w:t>
      </w:r>
    </w:p>
    <w:p w14:paraId="1FE7991C" w14:textId="77777777" w:rsidR="00CF626A" w:rsidRPr="001531CD" w:rsidRDefault="00CF626A">
      <w:pPr>
        <w:pStyle w:val="HistoricalNote"/>
      </w:pPr>
      <w:r w:rsidRPr="001531CD">
        <w:t>HISTORICAL NOTE:</w:t>
      </w:r>
      <w:r w:rsidRPr="001531CD">
        <w:tab/>
        <w:t>Promulgated by the Department of Agriculture and Forestry, Market Commission, LR 19:1124 (September 1993), amended LR 23:295 (March 1997).</w:t>
      </w:r>
    </w:p>
    <w:p w14:paraId="12E9866A" w14:textId="77777777" w:rsidR="00CF626A" w:rsidRPr="001531CD" w:rsidRDefault="00CF626A">
      <w:pPr>
        <w:pStyle w:val="Section"/>
      </w:pPr>
      <w:bookmarkStart w:id="710" w:name="_Toc256754369"/>
      <w:bookmarkStart w:id="711" w:name="_Toc224818603"/>
      <w:r w:rsidRPr="001531CD">
        <w:t>§937.</w:t>
      </w:r>
      <w:r w:rsidRPr="001531CD">
        <w:tab/>
        <w:t>Prohibited Acts</w:t>
      </w:r>
      <w:bookmarkEnd w:id="710"/>
      <w:bookmarkEnd w:id="711"/>
    </w:p>
    <w:p w14:paraId="23D64FAD" w14:textId="77777777" w:rsidR="00CF626A" w:rsidRPr="001531CD" w:rsidRDefault="00CF626A">
      <w:pPr>
        <w:pStyle w:val="A"/>
      </w:pPr>
      <w:r w:rsidRPr="001531CD">
        <w:t>A.</w:t>
      </w:r>
      <w:r w:rsidRPr="001531CD">
        <w:tab/>
        <w:t>It is prohibited to:</w:t>
      </w:r>
    </w:p>
    <w:p w14:paraId="6FBB580B" w14:textId="77777777" w:rsidR="00CF626A" w:rsidRPr="001531CD" w:rsidRDefault="00CF626A">
      <w:pPr>
        <w:pStyle w:val="1"/>
      </w:pPr>
      <w:r w:rsidRPr="001531CD">
        <w:t>1.</w:t>
      </w:r>
      <w:r w:rsidRPr="001531CD">
        <w:tab/>
        <w:t xml:space="preserve">prepare, pack, place, deliver for shipment, deliver for sale, load, ship, transport, sale in bulk or containers or advertise by sign, placard or otherwise any eggs for human </w:t>
      </w:r>
      <w:r w:rsidRPr="001531CD">
        <w:lastRenderedPageBreak/>
        <w:t>consumption which are mislabeled, that are, or contain inedible eggs not denatured, or eggs that have been incubated;</w:t>
      </w:r>
    </w:p>
    <w:p w14:paraId="012D80AE" w14:textId="77777777" w:rsidR="00CF626A" w:rsidRPr="001531CD" w:rsidRDefault="00CF626A">
      <w:pPr>
        <w:pStyle w:val="1"/>
      </w:pPr>
      <w:r w:rsidRPr="001531CD">
        <w:t>2.</w:t>
      </w:r>
      <w:r w:rsidRPr="001531CD">
        <w:tab/>
        <w:t>use descriptive terminology for eggs that have not been graded and sized according to the standards set forth by the Louisiana Department of Agriculture and Forestry;</w:t>
      </w:r>
    </w:p>
    <w:p w14:paraId="49AE4F3A" w14:textId="77777777" w:rsidR="00CF626A" w:rsidRPr="001531CD" w:rsidRDefault="00CF626A">
      <w:pPr>
        <w:pStyle w:val="1"/>
      </w:pPr>
      <w:r w:rsidRPr="001531CD">
        <w:t>3.</w:t>
      </w:r>
      <w:r w:rsidRPr="001531CD">
        <w:tab/>
        <w:t>use descriptive terminology such as "fresh," "farm," "country," etc., or to represent the same to be "fresh" any eggs excepting those eggs that meet the minimum requirements of Grade A destination standards and are less than 30 days of age;</w:t>
      </w:r>
    </w:p>
    <w:p w14:paraId="3F2250DE" w14:textId="77777777" w:rsidR="00CF626A" w:rsidRPr="001531CD" w:rsidRDefault="00CF626A">
      <w:pPr>
        <w:pStyle w:val="1"/>
      </w:pPr>
      <w:r w:rsidRPr="001531CD">
        <w:t>4.</w:t>
      </w:r>
      <w:r w:rsidRPr="001531CD">
        <w:tab/>
        <w:t>sell to the consumer eggs that are over 30 days of age.</w:t>
      </w:r>
    </w:p>
    <w:p w14:paraId="22853010" w14:textId="77777777" w:rsidR="00CF626A" w:rsidRPr="001531CD" w:rsidRDefault="00CF626A">
      <w:pPr>
        <w:pStyle w:val="AuthorityNote"/>
      </w:pPr>
      <w:r w:rsidRPr="001531CD">
        <w:t>AUTHORITY NOTE:</w:t>
      </w:r>
      <w:r w:rsidRPr="001531CD">
        <w:tab/>
        <w:t>Adopted in accordance with R.S. 3:405.</w:t>
      </w:r>
    </w:p>
    <w:p w14:paraId="6A91A05D" w14:textId="77777777"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LR 19:1124 (September 1993).</w:t>
      </w:r>
    </w:p>
    <w:p w14:paraId="6FC205B8" w14:textId="77777777" w:rsidR="00CF626A" w:rsidRPr="001531CD" w:rsidRDefault="00CF626A">
      <w:pPr>
        <w:pStyle w:val="SubChapter"/>
        <w:rPr>
          <w:kern w:val="2"/>
        </w:rPr>
      </w:pPr>
      <w:r w:rsidRPr="001531CD">
        <w:rPr>
          <w:kern w:val="2"/>
        </w:rPr>
        <w:t>Subchapter C.</w:t>
      </w:r>
      <w:r w:rsidR="00167E2E">
        <w:rPr>
          <w:kern w:val="2"/>
        </w:rPr>
        <w:tab/>
      </w:r>
      <w:r w:rsidRPr="001531CD">
        <w:rPr>
          <w:kern w:val="2"/>
        </w:rPr>
        <w:t>Identification of Graded Dressed and Drawn (Ready-to-Cook) Poultry</w:t>
      </w:r>
    </w:p>
    <w:p w14:paraId="0162604E" w14:textId="77777777" w:rsidR="00CF626A" w:rsidRPr="001531CD" w:rsidRDefault="00CF626A" w:rsidP="00F03863">
      <w:pPr>
        <w:pStyle w:val="Section"/>
        <w:outlineLvl w:val="0"/>
      </w:pPr>
      <w:bookmarkStart w:id="712" w:name="_Toc256754370"/>
      <w:bookmarkStart w:id="713" w:name="_Toc224818604"/>
      <w:r w:rsidRPr="001531CD">
        <w:t>§939.</w:t>
      </w:r>
      <w:r w:rsidRPr="001531CD">
        <w:tab/>
        <w:t>Definitions</w:t>
      </w:r>
      <w:bookmarkEnd w:id="712"/>
      <w:bookmarkEnd w:id="713"/>
    </w:p>
    <w:p w14:paraId="36153893" w14:textId="77777777" w:rsidR="00CF626A" w:rsidRPr="001531CD" w:rsidRDefault="00CF626A">
      <w:pPr>
        <w:pStyle w:val="A"/>
      </w:pPr>
      <w:r w:rsidRPr="001531CD">
        <w:rPr>
          <w:i/>
          <w:iCs/>
        </w:rPr>
        <w:t>Further Processing</w:t>
      </w:r>
      <w:r w:rsidRPr="001531CD">
        <w:t>―when referring to poultry, a poultry plant engaged in further processing of poultry</w:t>
      </w:r>
      <w:r w:rsidR="00C217A6" w:rsidRPr="001531CD">
        <w:t>―</w:t>
      </w:r>
      <w:r w:rsidRPr="001531CD">
        <w:t>i.e., nuggets, patties, breaded products, etc.</w:t>
      </w:r>
    </w:p>
    <w:p w14:paraId="672827A2" w14:textId="77777777" w:rsidR="00CF626A" w:rsidRPr="001531CD" w:rsidRDefault="00CF626A">
      <w:pPr>
        <w:pStyle w:val="A"/>
      </w:pPr>
      <w:r w:rsidRPr="001531CD">
        <w:rPr>
          <w:i/>
          <w:iCs/>
        </w:rPr>
        <w:t>Poultry</w:t>
      </w:r>
      <w:r w:rsidRPr="001531CD">
        <w:t>―any domesticated fowl, including chickens, turkeys, ducks, and geese.</w:t>
      </w:r>
    </w:p>
    <w:p w14:paraId="0A855B0E" w14:textId="77777777" w:rsidR="00CF626A" w:rsidRPr="001531CD" w:rsidRDefault="00CF626A">
      <w:pPr>
        <w:pStyle w:val="A"/>
      </w:pPr>
      <w:r w:rsidRPr="001531CD">
        <w:rPr>
          <w:i/>
          <w:iCs/>
        </w:rPr>
        <w:t>Poultry Plant</w:t>
      </w:r>
      <w:r w:rsidRPr="001531CD">
        <w:t>―a plant engaged in the business of slaughter or processing poultry for sale, either fresh or frozen.</w:t>
      </w:r>
    </w:p>
    <w:p w14:paraId="3902DC76" w14:textId="77777777" w:rsidR="00CF626A" w:rsidRPr="001531CD" w:rsidRDefault="00CF626A">
      <w:pPr>
        <w:pStyle w:val="A"/>
      </w:pPr>
      <w:r w:rsidRPr="001531CD">
        <w:rPr>
          <w:i/>
          <w:iCs/>
        </w:rPr>
        <w:t>R.T.C.</w:t>
      </w:r>
      <w:r w:rsidRPr="001531CD">
        <w:t xml:space="preserve">―when referring to poultry, </w:t>
      </w:r>
      <w:r w:rsidRPr="001531CD">
        <w:rPr>
          <w:i/>
          <w:iCs/>
        </w:rPr>
        <w:t>ready-to-cook</w:t>
      </w:r>
      <w:r w:rsidRPr="001531CD">
        <w:t>, no further processing is necessary.</w:t>
      </w:r>
    </w:p>
    <w:p w14:paraId="3DD0736F" w14:textId="77777777" w:rsidR="00CF626A" w:rsidRPr="001531CD" w:rsidRDefault="00CF626A">
      <w:pPr>
        <w:pStyle w:val="AuthorityNote"/>
      </w:pPr>
      <w:r w:rsidRPr="001531CD">
        <w:t>AUTHORITY NOTE:</w:t>
      </w:r>
      <w:r w:rsidRPr="001531CD">
        <w:tab/>
        <w:t>Adopted in accordance with R.S. 3:405.</w:t>
      </w:r>
    </w:p>
    <w:p w14:paraId="00E937A1" w14:textId="77777777" w:rsidR="00CF626A" w:rsidRPr="001531CD" w:rsidRDefault="00CF626A">
      <w:pPr>
        <w:pStyle w:val="HistoricalNote"/>
      </w:pPr>
      <w:r w:rsidRPr="001531CD">
        <w:t>HISTORICAL NOTE:</w:t>
      </w:r>
      <w:r w:rsidRPr="001531CD">
        <w:tab/>
        <w:t>Adopted by the Department of Agriculture, Market Commission, June 1954, amended by the Department of Agriculture and Forestry, Market Commission, LR 19:1124 (September 1993).</w:t>
      </w:r>
    </w:p>
    <w:p w14:paraId="0E07C7D9" w14:textId="77777777" w:rsidR="00CF626A" w:rsidRPr="001531CD" w:rsidRDefault="00CF626A">
      <w:pPr>
        <w:pStyle w:val="Section"/>
      </w:pPr>
      <w:bookmarkStart w:id="714" w:name="_Toc256754371"/>
      <w:bookmarkStart w:id="715" w:name="_Toc224818605"/>
      <w:r w:rsidRPr="001531CD">
        <w:t>§941.</w:t>
      </w:r>
      <w:r w:rsidRPr="001531CD">
        <w:tab/>
        <w:t>Application</w:t>
      </w:r>
      <w:bookmarkEnd w:id="714"/>
      <w:bookmarkEnd w:id="715"/>
    </w:p>
    <w:p w14:paraId="5B8A97B0" w14:textId="77777777" w:rsidR="00CF626A" w:rsidRPr="001531CD" w:rsidRDefault="00CF626A">
      <w:pPr>
        <w:pStyle w:val="A"/>
      </w:pPr>
      <w:r w:rsidRPr="001531CD">
        <w:t>A.</w:t>
      </w:r>
      <w:r w:rsidRPr="001531CD">
        <w:tab/>
        <w:t>No poultry may be offered for sale to the consumer unless it was slaughtered in a federally inspected plant or in a Louisiana plant that is state inspected to insure sanitation and to insure that the product is wholesome.</w:t>
      </w:r>
    </w:p>
    <w:p w14:paraId="6EEA27B2" w14:textId="77777777" w:rsidR="00CF626A" w:rsidRPr="001531CD" w:rsidRDefault="00CF626A">
      <w:pPr>
        <w:pStyle w:val="A"/>
      </w:pPr>
      <w:r w:rsidRPr="001531CD">
        <w:t>B.</w:t>
      </w:r>
      <w:r w:rsidRPr="001531CD">
        <w:tab/>
        <w:t xml:space="preserve">The specifications for poultry grade shall, at all times, be based upon </w:t>
      </w:r>
      <w:r w:rsidRPr="001531CD">
        <w:rPr>
          <w:i/>
          <w:iCs/>
          <w:smallCaps/>
          <w:sz w:val="16"/>
          <w:szCs w:val="16"/>
        </w:rPr>
        <w:t>THE UNITED STATES QUALITY STANDARDS FOR POULTRY</w:t>
      </w:r>
      <w:r w:rsidRPr="001531CD">
        <w:t xml:space="preserve"> formulated by the United States Department of Agriculture.</w:t>
      </w:r>
    </w:p>
    <w:p w14:paraId="2801B746" w14:textId="77777777" w:rsidR="00CF626A" w:rsidRPr="001531CD" w:rsidRDefault="00CF626A">
      <w:pPr>
        <w:pStyle w:val="A"/>
      </w:pPr>
      <w:r w:rsidRPr="001531CD">
        <w:t>C.</w:t>
      </w:r>
      <w:r w:rsidRPr="001531CD">
        <w:tab/>
        <w:t>The Department of Agriculture and Forestry shall cooperate with the United States Department of Agriculture and Forestry or any other agency in formulating cooperative programs for the furtherance of these regulations.</w:t>
      </w:r>
    </w:p>
    <w:p w14:paraId="64E0C993" w14:textId="77777777" w:rsidR="00CF626A" w:rsidRPr="001531CD" w:rsidRDefault="00CF626A">
      <w:pPr>
        <w:pStyle w:val="AuthorityNote"/>
      </w:pPr>
      <w:r w:rsidRPr="001531CD">
        <w:t>AUTHORITY NOTE:</w:t>
      </w:r>
      <w:r w:rsidRPr="001531CD">
        <w:tab/>
        <w:t>Adopted in accordance with R.S. 3:405.</w:t>
      </w:r>
    </w:p>
    <w:p w14:paraId="1EA201BE" w14:textId="77777777" w:rsidR="00CF626A" w:rsidRPr="001531CD" w:rsidRDefault="00CF626A">
      <w:pPr>
        <w:pStyle w:val="HistoricalNote"/>
      </w:pPr>
      <w:r w:rsidRPr="001531CD">
        <w:t>HISTORICAL NOTE:</w:t>
      </w:r>
      <w:r w:rsidRPr="001531CD">
        <w:tab/>
        <w:t xml:space="preserve">Adopted by the Department of Agriculture, Market Commission, June 1954, amended by the </w:t>
      </w:r>
      <w:r w:rsidRPr="001531CD">
        <w:t>Department of Agriculture and Forestry, Market Commission, LR 19:1124 (September 1993).</w:t>
      </w:r>
    </w:p>
    <w:p w14:paraId="48299ABC" w14:textId="77777777" w:rsidR="00CF626A" w:rsidRPr="001531CD" w:rsidRDefault="00CF626A">
      <w:pPr>
        <w:pStyle w:val="Section"/>
      </w:pPr>
      <w:bookmarkStart w:id="716" w:name="_Toc256754372"/>
      <w:bookmarkStart w:id="717" w:name="_Toc224818606"/>
      <w:r w:rsidRPr="001531CD">
        <w:t>§943.</w:t>
      </w:r>
      <w:r w:rsidRPr="001531CD">
        <w:tab/>
        <w:t>Labeling, Advertising and Displaying of Poultry</w:t>
      </w:r>
      <w:bookmarkEnd w:id="716"/>
      <w:bookmarkEnd w:id="717"/>
    </w:p>
    <w:p w14:paraId="7F21E76C" w14:textId="77777777" w:rsidR="00CF626A" w:rsidRPr="001531CD" w:rsidRDefault="00CF626A">
      <w:pPr>
        <w:pStyle w:val="A"/>
      </w:pPr>
      <w:r w:rsidRPr="001531CD">
        <w:t>A.</w:t>
      </w:r>
      <w:r w:rsidRPr="001531CD">
        <w:tab/>
        <w:t>No poultry can be advertised for sale in newspapers, radio, store ads, or other means as Grade A, U.S. Grade A, or U.S.D.A. Grade A unless the product bears the U.S.D.A. Grade A shield. A store may advertise "cut-from Grade A poultry" only if it is able to prove that the product was cut from Grade A whole poultry. It may not advertise "cut-from Grade A poultry" if it has in its place of business any like product that is not Grade A. (Example: it cannot advertise "8 piece cut chicken, cut from Grade A birds" if it has invoices, or whole product that was not Grade A.)</w:t>
      </w:r>
    </w:p>
    <w:p w14:paraId="52B8253A" w14:textId="77777777" w:rsidR="00CF626A" w:rsidRPr="001531CD" w:rsidRDefault="00CF626A">
      <w:pPr>
        <w:pStyle w:val="A"/>
      </w:pPr>
      <w:r w:rsidRPr="001531CD">
        <w:t>B.</w:t>
      </w:r>
      <w:r w:rsidRPr="001531CD">
        <w:tab/>
        <w:t>No retailer may mark product as Grade A, A Grade, or U.S. Grade A, either on the product or in placards above the product, or elsewhere in the store unless it has been graded and has a U.S.D.A. Grade Shield on the packaging, if individually wrapped. If the product was bulk packed, then the retailer must have the label from the original master container and sales invoice to prove the product is A Grade.</w:t>
      </w:r>
    </w:p>
    <w:p w14:paraId="7D78F9CF" w14:textId="77777777" w:rsidR="00CF626A" w:rsidRPr="001531CD" w:rsidRDefault="00CF626A">
      <w:pPr>
        <w:pStyle w:val="A"/>
      </w:pPr>
      <w:r w:rsidRPr="001531CD">
        <w:t>C.</w:t>
      </w:r>
      <w:r w:rsidRPr="001531CD">
        <w:tab/>
        <w:t>Wholesale. Whole birds, cut-up, and parts must be labeled or have imprinted or stamped on the individual wrappers the grade (if graded, the U.S.D.A. shield must also be on each container), part name or whole bird statement, name and address of the plant (including plant number except in the case of whole birds, the plant number may be on the clip), and U.S.D.A. legend.</w:t>
      </w:r>
    </w:p>
    <w:p w14:paraId="25146EF1" w14:textId="77777777" w:rsidR="00CF626A" w:rsidRPr="001531CD" w:rsidRDefault="00CF626A">
      <w:pPr>
        <w:pStyle w:val="A"/>
      </w:pPr>
      <w:r w:rsidRPr="001531CD">
        <w:t>D.</w:t>
      </w:r>
      <w:r w:rsidRPr="001531CD">
        <w:tab/>
        <w:t>Retail (not packaged, bulk). In refrigerated cases with open displays of R.T.C. poultry, placards declaring the grade (if any) and part name or whole bird statement must be displayed immediately adjacent thereto. The size of the print used on such placard shall be large enough to be easily read.</w:t>
      </w:r>
    </w:p>
    <w:p w14:paraId="1BF0C707" w14:textId="77777777" w:rsidR="00CF626A" w:rsidRPr="001531CD" w:rsidRDefault="00CF626A">
      <w:pPr>
        <w:pStyle w:val="A"/>
      </w:pPr>
      <w:r w:rsidRPr="001531CD">
        <w:t>E.</w:t>
      </w:r>
      <w:r w:rsidRPr="001531CD">
        <w:tab/>
        <w:t>Retail (packaged). Packaged R.T.C. poultry offered for sale at retail must be labeled to show grade (if graded), part name or whole bird statement, net weight, and name and address of plant where produced. If packaged by the store, package must show store name.</w:t>
      </w:r>
    </w:p>
    <w:p w14:paraId="7F102936" w14:textId="77777777" w:rsidR="00CF626A" w:rsidRPr="001531CD" w:rsidRDefault="00CF626A">
      <w:pPr>
        <w:pStyle w:val="A"/>
      </w:pPr>
      <w:r w:rsidRPr="001531CD">
        <w:t>F.</w:t>
      </w:r>
      <w:r w:rsidRPr="001531CD">
        <w:tab/>
        <w:t>All master containers in which dressed R.T.C. poultry, either loose or in smaller containers or individual wrappers, must also be labeled to show grade if any, part name, or whole bird statement, name and address of plant or dealer, and U.S.D.A. Legend (if from out-of-state).</w:t>
      </w:r>
    </w:p>
    <w:p w14:paraId="2A09FC5F" w14:textId="77777777" w:rsidR="00CF626A" w:rsidRPr="001531CD" w:rsidRDefault="00CF626A">
      <w:pPr>
        <w:pStyle w:val="AuthorityNote"/>
      </w:pPr>
      <w:r w:rsidRPr="001531CD">
        <w:t>AUTHORITY NOTE:</w:t>
      </w:r>
      <w:r w:rsidRPr="001531CD">
        <w:tab/>
        <w:t>Adopted in accordance with R.S. 3:405.</w:t>
      </w:r>
    </w:p>
    <w:p w14:paraId="5C2396CF" w14:textId="77777777" w:rsidR="00CF626A" w:rsidRPr="001531CD" w:rsidRDefault="00CF626A">
      <w:pPr>
        <w:pStyle w:val="HistoricalNote"/>
      </w:pPr>
      <w:r w:rsidRPr="001531CD">
        <w:t>HISTORICAL NOTE:</w:t>
      </w:r>
      <w:r w:rsidRPr="001531CD">
        <w:tab/>
        <w:t>Adopted by the Department of Agriculture, Market Commission, June 1954, amended LR 19:1125 (September 1993).</w:t>
      </w:r>
    </w:p>
    <w:p w14:paraId="5C5D7C48" w14:textId="77777777" w:rsidR="00CF626A" w:rsidRPr="001531CD" w:rsidRDefault="00CF626A">
      <w:pPr>
        <w:pStyle w:val="Section"/>
      </w:pPr>
      <w:bookmarkStart w:id="718" w:name="_Toc256754373"/>
      <w:bookmarkStart w:id="719" w:name="_Toc224818607"/>
      <w:r w:rsidRPr="001531CD">
        <w:t>§945.</w:t>
      </w:r>
      <w:r w:rsidRPr="001531CD">
        <w:tab/>
        <w:t>Penalties</w:t>
      </w:r>
      <w:bookmarkEnd w:id="718"/>
      <w:bookmarkEnd w:id="719"/>
    </w:p>
    <w:p w14:paraId="0975C461" w14:textId="77777777" w:rsidR="00CF626A" w:rsidRPr="001531CD" w:rsidRDefault="00CF626A">
      <w:pPr>
        <w:pStyle w:val="A"/>
      </w:pPr>
      <w:r w:rsidRPr="001531CD">
        <w:t>A.</w:t>
      </w:r>
      <w:r w:rsidRPr="001531CD">
        <w:tab/>
        <w:t>Any person, corporation or other organization violating the provisions of the Chapter may be fined not less than $25 or more than $500, as provided by Louisiana Revised Statutes of 1950, Title 3, Section 3:413.</w:t>
      </w:r>
    </w:p>
    <w:p w14:paraId="05FB7823" w14:textId="77777777" w:rsidR="00CF626A" w:rsidRPr="001531CD" w:rsidRDefault="00CF626A">
      <w:pPr>
        <w:pStyle w:val="A"/>
      </w:pPr>
      <w:r w:rsidRPr="001531CD">
        <w:t>B.</w:t>
      </w:r>
      <w:r w:rsidRPr="001531CD">
        <w:tab/>
        <w:t>Product mislabeled shall have a stop sale placed on it until it is properly labeled, as determined by an employee of the state Poultry and Egg Division.</w:t>
      </w:r>
    </w:p>
    <w:p w14:paraId="1B3C815A" w14:textId="77777777" w:rsidR="00CF626A" w:rsidRPr="001531CD" w:rsidRDefault="00CF626A">
      <w:pPr>
        <w:pStyle w:val="AuthorityNote"/>
      </w:pPr>
      <w:r w:rsidRPr="001531CD">
        <w:lastRenderedPageBreak/>
        <w:t>AUTHORITY NOTE:</w:t>
      </w:r>
      <w:r w:rsidRPr="001531CD">
        <w:tab/>
        <w:t>Adopted in accordance with R.S. 3:405 and R.S. 3:413.</w:t>
      </w:r>
    </w:p>
    <w:p w14:paraId="7B3B1ABB" w14:textId="77777777" w:rsidR="00CF626A" w:rsidRPr="001531CD" w:rsidRDefault="00CF626A">
      <w:pPr>
        <w:pStyle w:val="HistoricalNote"/>
      </w:pPr>
      <w:r w:rsidRPr="001531CD">
        <w:t>HISTORICAL NOTE:</w:t>
      </w:r>
      <w:r w:rsidRPr="001531CD">
        <w:tab/>
        <w:t>Adopted by the Department of Agriculture, Market Commission, June 1954, amended by the Department of Agriculture and Forestry, LR 19:1125 (September 1993).</w:t>
      </w:r>
    </w:p>
    <w:p w14:paraId="257D6B40" w14:textId="77777777" w:rsidR="00CF626A" w:rsidRPr="001531CD" w:rsidRDefault="00CF626A">
      <w:pPr>
        <w:pStyle w:val="Section"/>
      </w:pPr>
      <w:bookmarkStart w:id="720" w:name="_Toc256754374"/>
      <w:bookmarkStart w:id="721" w:name="_Toc224818608"/>
      <w:r w:rsidRPr="001531CD">
        <w:t>§949.</w:t>
      </w:r>
      <w:r w:rsidRPr="001531CD">
        <w:tab/>
        <w:t>Authority to Enter Premises</w:t>
      </w:r>
      <w:bookmarkEnd w:id="720"/>
      <w:bookmarkEnd w:id="721"/>
    </w:p>
    <w:p w14:paraId="57883EB4" w14:textId="77777777" w:rsidR="00CF626A" w:rsidRPr="001531CD" w:rsidRDefault="00CF626A">
      <w:pPr>
        <w:pStyle w:val="A"/>
      </w:pPr>
      <w:r w:rsidRPr="001531CD">
        <w:t>A.</w:t>
      </w:r>
      <w:r w:rsidRPr="001531CD">
        <w:tab/>
        <w:t>Employees or agents of the Department of Agriculture and Forestry are authorized to enter any store, vehicle, market, restaurant, state institution, school, nursing home, or any other business or place where eggs or poultry are bought, stored, sold, offered for sale or processed, or served as food to the public, and to make such inspections as needed of eggs to determine if the grades of such eggs conform to grades as labeled on the exterior of the container. If such inspection determines that the eggs in the container do not conform to the grade as labeled on the exterior of the container, the Department of Agriculture and Forestry employees or agents are authorized to examine the invoices and such other records needed to determine the cause and place of the violation of the regulation of this Chapter. The said agents or employees shall have the power to stop sale, and impound for evidence, any containers of eggs offered for sale which are in conflict with any provisions of this Act. The party having possession of the eggs has the right to ask for an appeal grading.</w:t>
      </w:r>
    </w:p>
    <w:p w14:paraId="20DA7208" w14:textId="77777777" w:rsidR="00CF626A" w:rsidRPr="001531CD" w:rsidRDefault="00CF626A">
      <w:pPr>
        <w:pStyle w:val="AuthorityNote"/>
      </w:pPr>
      <w:r w:rsidRPr="001531CD">
        <w:t>AUTHORITY NOTE:</w:t>
      </w:r>
      <w:r w:rsidRPr="001531CD">
        <w:tab/>
        <w:t>Promulgated in accordance with R.S. 3:405.</w:t>
      </w:r>
    </w:p>
    <w:p w14:paraId="7755734C" w14:textId="77777777" w:rsidR="00CF626A" w:rsidRPr="001531CD" w:rsidRDefault="00CF626A">
      <w:pPr>
        <w:pStyle w:val="HistoricalNote"/>
      </w:pPr>
      <w:r w:rsidRPr="001531CD">
        <w:t>HISTORICAL NOTE:</w:t>
      </w:r>
      <w:r w:rsidRPr="001531CD">
        <w:tab/>
        <w:t>Promulgated by the Department of Agriculture and Forestry, Market Commission, LR 19:1125 (September 1993).</w:t>
      </w:r>
    </w:p>
    <w:p w14:paraId="24351502" w14:textId="77777777" w:rsidR="00CF626A" w:rsidRPr="001531CD" w:rsidRDefault="00CF626A">
      <w:pPr>
        <w:pStyle w:val="Chapter"/>
      </w:pPr>
      <w:bookmarkStart w:id="722" w:name="TOC_Chap54"/>
      <w:bookmarkStart w:id="723" w:name="_Toc256754375"/>
      <w:bookmarkStart w:id="724" w:name="_Toc224818609"/>
      <w:r w:rsidRPr="001531CD">
        <w:t>Chapter 11.</w:t>
      </w:r>
      <w:bookmarkEnd w:id="722"/>
      <w:r w:rsidR="00167E2E">
        <w:tab/>
      </w:r>
      <w:bookmarkStart w:id="725" w:name="TOCT_Chap52"/>
      <w:bookmarkStart w:id="726" w:name="TOCT_Chap53"/>
      <w:bookmarkStart w:id="727" w:name="TOCT_Chap54"/>
      <w:r w:rsidRPr="001531CD">
        <w:t>Market Commission</w:t>
      </w:r>
      <w:r w:rsidR="005B1246" w:rsidRPr="001531CD">
        <w:t>―</w:t>
      </w:r>
      <w:r w:rsidRPr="001531CD">
        <w:t>Fruits and Vegetables</w:t>
      </w:r>
      <w:bookmarkEnd w:id="723"/>
      <w:bookmarkEnd w:id="724"/>
      <w:bookmarkEnd w:id="725"/>
      <w:bookmarkEnd w:id="726"/>
      <w:bookmarkEnd w:id="727"/>
    </w:p>
    <w:p w14:paraId="2373C4DF" w14:textId="77777777" w:rsidR="00CF626A" w:rsidRPr="001531CD" w:rsidRDefault="00CF626A" w:rsidP="00F03863">
      <w:pPr>
        <w:pStyle w:val="Chapter"/>
        <w:outlineLvl w:val="0"/>
      </w:pPr>
      <w:bookmarkStart w:id="728" w:name="TOC_SubC55"/>
      <w:bookmarkStart w:id="729" w:name="_Toc256754376"/>
      <w:bookmarkStart w:id="730" w:name="_Toc224818610"/>
      <w:r w:rsidRPr="001531CD">
        <w:t>Subchapter A.</w:t>
      </w:r>
      <w:bookmarkEnd w:id="728"/>
      <w:r w:rsidR="00167E2E">
        <w:tab/>
      </w:r>
      <w:bookmarkStart w:id="731" w:name="TOCT_SubC53"/>
      <w:bookmarkStart w:id="732" w:name="TOCT_SubC54"/>
      <w:bookmarkStart w:id="733" w:name="TOCT_SubC55"/>
      <w:r w:rsidRPr="001531CD">
        <w:t>Fruits and Vegetables</w:t>
      </w:r>
      <w:bookmarkEnd w:id="729"/>
      <w:bookmarkEnd w:id="730"/>
      <w:bookmarkEnd w:id="731"/>
      <w:bookmarkEnd w:id="732"/>
      <w:bookmarkEnd w:id="733"/>
    </w:p>
    <w:p w14:paraId="2B545C01" w14:textId="77777777" w:rsidR="00CF626A" w:rsidRPr="001531CD" w:rsidRDefault="00CF626A">
      <w:pPr>
        <w:pStyle w:val="Section"/>
      </w:pPr>
      <w:bookmarkStart w:id="734" w:name="_Toc256754377"/>
      <w:bookmarkStart w:id="735" w:name="_Toc224818611"/>
      <w:r w:rsidRPr="001531CD">
        <w:t>§1101.</w:t>
      </w:r>
      <w:r w:rsidRPr="001531CD">
        <w:tab/>
        <w:t>General Authority of Market Commission</w:t>
      </w:r>
      <w:bookmarkEnd w:id="734"/>
      <w:bookmarkEnd w:id="735"/>
    </w:p>
    <w:p w14:paraId="5E5A66A8" w14:textId="77777777" w:rsidR="00CF626A" w:rsidRPr="001531CD" w:rsidRDefault="00CF626A">
      <w:pPr>
        <w:pStyle w:val="A"/>
      </w:pPr>
      <w:r w:rsidRPr="001531CD">
        <w:t>A.</w:t>
      </w:r>
      <w:r w:rsidRPr="001531CD">
        <w:tab/>
        <w:t>The State Market Commission (hereinafter referred to as commission) shall be responsible for enforcing the provisions of these regulations.</w:t>
      </w:r>
    </w:p>
    <w:p w14:paraId="4D212222" w14:textId="77777777" w:rsidR="00CF626A" w:rsidRPr="001531CD" w:rsidRDefault="00CF626A">
      <w:pPr>
        <w:pStyle w:val="AuthorityNote"/>
      </w:pPr>
      <w:r w:rsidRPr="001531CD">
        <w:t>AUTHORITY NOTE:</w:t>
      </w:r>
      <w:r w:rsidRPr="001531CD">
        <w:tab/>
        <w:t>Promulgated in accordance with R.S. 3:404.</w:t>
      </w:r>
    </w:p>
    <w:p w14:paraId="0B2749CC"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7D46C99C" w14:textId="77777777" w:rsidR="00CF626A" w:rsidRPr="001531CD" w:rsidRDefault="00CF626A">
      <w:pPr>
        <w:pStyle w:val="Section"/>
      </w:pPr>
      <w:bookmarkStart w:id="736" w:name="_Toc256754378"/>
      <w:bookmarkStart w:id="737" w:name="_Toc224818612"/>
      <w:r w:rsidRPr="001531CD">
        <w:t>§1103.</w:t>
      </w:r>
      <w:r w:rsidRPr="001531CD">
        <w:tab/>
        <w:t>Establishment of Official State Grades for Fresh Fruits, Vegetables, Nuts and Other Special Products</w:t>
      </w:r>
      <w:bookmarkEnd w:id="736"/>
      <w:bookmarkEnd w:id="737"/>
    </w:p>
    <w:p w14:paraId="1FB14FD9" w14:textId="77777777" w:rsidR="00CF626A" w:rsidRPr="001531CD" w:rsidRDefault="00CF626A">
      <w:pPr>
        <w:pStyle w:val="A"/>
      </w:pPr>
      <w:r w:rsidRPr="001531CD">
        <w:t>A.</w:t>
      </w:r>
      <w:r w:rsidRPr="001531CD">
        <w:tab/>
        <w:t xml:space="preserve">Standards established in </w:t>
      </w:r>
      <w:r w:rsidRPr="001531CD">
        <w:rPr>
          <w:i/>
          <w:iCs/>
        </w:rPr>
        <w:t xml:space="preserve">United States Standards for Fresh Fruits, Vegetables, Nuts and Other Special Products </w:t>
      </w:r>
      <w:r w:rsidRPr="001531CD">
        <w:t>which were promulgated by the U.S. Department of Agriculture in accordance with 7 U.S.C. 1622 and 1624 shall apply to all Louisiana state grades for fresh fruits, vegetables, nuts, and other special products.</w:t>
      </w:r>
    </w:p>
    <w:p w14:paraId="7050FA24" w14:textId="77777777" w:rsidR="00CF626A" w:rsidRPr="001531CD" w:rsidRDefault="00CF626A">
      <w:pPr>
        <w:pStyle w:val="A"/>
      </w:pPr>
      <w:r w:rsidRPr="001531CD">
        <w:t>B.</w:t>
      </w:r>
      <w:r w:rsidRPr="001531CD">
        <w:tab/>
        <w:t xml:space="preserve">All inspections which shall be performed shall be in accordance with </w:t>
      </w:r>
      <w:r w:rsidRPr="001531CD">
        <w:rPr>
          <w:i/>
          <w:iCs/>
        </w:rPr>
        <w:t>Market Inspection Instruction, Combined Market and Shipping Point Inspection Instructions</w:t>
      </w:r>
      <w:r w:rsidRPr="001531CD">
        <w:t xml:space="preserve">, and </w:t>
      </w:r>
      <w:r w:rsidRPr="001531CD">
        <w:rPr>
          <w:i/>
          <w:iCs/>
        </w:rPr>
        <w:t>Shipping Point Inspection Instructions</w:t>
      </w:r>
      <w:r w:rsidRPr="001531CD">
        <w:t xml:space="preserve"> which were </w:t>
      </w:r>
      <w:r w:rsidRPr="001531CD">
        <w:t>promulgated by the U.S. Department of Agriculture in accordance with 7 U.S.C. 1622 and 1624.</w:t>
      </w:r>
    </w:p>
    <w:p w14:paraId="6D992DC3" w14:textId="77777777" w:rsidR="00CF626A" w:rsidRPr="001531CD" w:rsidRDefault="00CF626A">
      <w:pPr>
        <w:pStyle w:val="AuthorityNote"/>
      </w:pPr>
      <w:r w:rsidRPr="001531CD">
        <w:t>AUTHORITY NOTE:</w:t>
      </w:r>
      <w:r w:rsidRPr="001531CD">
        <w:tab/>
        <w:t>Promulgated in accordance with R.S. 3:405 and R.S. 3:410.</w:t>
      </w:r>
    </w:p>
    <w:p w14:paraId="287D8741"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72BA945D" w14:textId="77777777" w:rsidR="00CF626A" w:rsidRPr="001531CD" w:rsidRDefault="00CF626A">
      <w:pPr>
        <w:pStyle w:val="Section"/>
      </w:pPr>
      <w:bookmarkStart w:id="738" w:name="_Toc256754379"/>
      <w:bookmarkStart w:id="739" w:name="_Toc224818613"/>
      <w:r w:rsidRPr="001531CD">
        <w:t>§1105.</w:t>
      </w:r>
      <w:r w:rsidRPr="001531CD">
        <w:tab/>
        <w:t>Certification of Fresh Fruits, Vegetables, Nuts and Other Special Products</w:t>
      </w:r>
      <w:bookmarkEnd w:id="738"/>
      <w:bookmarkEnd w:id="739"/>
    </w:p>
    <w:p w14:paraId="7ADAA61F" w14:textId="77777777" w:rsidR="00CF626A" w:rsidRPr="001531CD" w:rsidRDefault="00CF626A">
      <w:pPr>
        <w:pStyle w:val="A"/>
      </w:pPr>
      <w:r w:rsidRPr="001531CD">
        <w:t>A.</w:t>
      </w:r>
      <w:r w:rsidRPr="001531CD">
        <w:tab/>
        <w:t>The examination, acceptance, and certification of fresh fruits, vegetables, nuts, and other special products shall be in accordance with U.S. Department of Agriculture, Agricultural Marketing Service, Fruit and Vegetable Division grading and inspection requirements.</w:t>
      </w:r>
    </w:p>
    <w:p w14:paraId="3123FAA9" w14:textId="77777777" w:rsidR="00CF626A" w:rsidRPr="001531CD" w:rsidRDefault="00CF626A">
      <w:pPr>
        <w:pStyle w:val="A"/>
      </w:pPr>
      <w:r w:rsidRPr="001531CD">
        <w:t>B.</w:t>
      </w:r>
      <w:r w:rsidRPr="001531CD">
        <w:tab/>
        <w:t>Each container shall be legibly labeled, stamped, or written on the side or end showing the name and address of the grower or the name and address of the packing house or company or contract number, showing the U.S. grade, inspection stamp or tag, and name of produce in container. In the instance of sacks, a tag shall be securely attached to the outside, giving the above information.</w:t>
      </w:r>
    </w:p>
    <w:p w14:paraId="4C53E190" w14:textId="77777777" w:rsidR="00CF626A" w:rsidRPr="001531CD" w:rsidRDefault="00CF626A">
      <w:pPr>
        <w:pStyle w:val="A"/>
      </w:pPr>
      <w:r w:rsidRPr="001531CD">
        <w:t>C.</w:t>
      </w:r>
      <w:r w:rsidRPr="001531CD">
        <w:tab/>
        <w:t>Required Certificates</w:t>
      </w:r>
    </w:p>
    <w:p w14:paraId="490125AE" w14:textId="77777777" w:rsidR="00CF626A" w:rsidRPr="001531CD" w:rsidRDefault="00CF626A">
      <w:pPr>
        <w:pStyle w:val="1"/>
      </w:pPr>
      <w:r w:rsidRPr="001531CD">
        <w:t>1.</w:t>
      </w:r>
      <w:r w:rsidRPr="001531CD">
        <w:tab/>
        <w:t>For inspection of fruits and vegetables entering state institutions, federal Form FVQ 459 and state Form A1 1583 will be required.</w:t>
      </w:r>
    </w:p>
    <w:p w14:paraId="4C0F7248" w14:textId="77777777" w:rsidR="00CF626A" w:rsidRPr="001531CD" w:rsidRDefault="00CF626A">
      <w:pPr>
        <w:pStyle w:val="1"/>
      </w:pPr>
      <w:r w:rsidRPr="001531CD">
        <w:t>2.</w:t>
      </w:r>
      <w:r w:rsidRPr="001531CD">
        <w:tab/>
        <w:t>For shipping point inspections of fruits and vegetables, federal Form FVQ 184 will be required.</w:t>
      </w:r>
    </w:p>
    <w:p w14:paraId="07A0077B" w14:textId="77777777" w:rsidR="00CF626A" w:rsidRPr="001531CD" w:rsidRDefault="00CF626A">
      <w:pPr>
        <w:pStyle w:val="1"/>
      </w:pPr>
      <w:r w:rsidRPr="001531CD">
        <w:t>3.</w:t>
      </w:r>
      <w:r w:rsidRPr="001531CD">
        <w:tab/>
        <w:t>For terminal market inspections of fruits and vegetables by collaborators, Form FVQ 303 will be required.</w:t>
      </w:r>
    </w:p>
    <w:p w14:paraId="214BAC90" w14:textId="77777777" w:rsidR="00CF626A" w:rsidRPr="001531CD" w:rsidRDefault="00CF626A">
      <w:pPr>
        <w:pStyle w:val="AuthorityNote"/>
      </w:pPr>
      <w:r w:rsidRPr="001531CD">
        <w:t>AUTHORITY NOTE:</w:t>
      </w:r>
      <w:r w:rsidRPr="001531CD">
        <w:tab/>
        <w:t>Promulgated in accordance with R.S. 3:405.</w:t>
      </w:r>
    </w:p>
    <w:p w14:paraId="6F27D099"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657A77F0" w14:textId="77777777" w:rsidR="00CF626A" w:rsidRPr="001531CD" w:rsidRDefault="00CF626A">
      <w:pPr>
        <w:pStyle w:val="Section"/>
      </w:pPr>
      <w:bookmarkStart w:id="740" w:name="_Toc256754380"/>
      <w:bookmarkStart w:id="741" w:name="_Toc224818614"/>
      <w:r w:rsidRPr="001531CD">
        <w:t>§1107.</w:t>
      </w:r>
      <w:r w:rsidRPr="001531CD">
        <w:tab/>
        <w:t>Time Limitation for Issuance of Certificate</w:t>
      </w:r>
      <w:bookmarkEnd w:id="740"/>
      <w:bookmarkEnd w:id="741"/>
    </w:p>
    <w:p w14:paraId="265823DB" w14:textId="77777777" w:rsidR="00CF626A" w:rsidRPr="001531CD" w:rsidRDefault="00CF626A">
      <w:pPr>
        <w:pStyle w:val="A"/>
      </w:pPr>
      <w:r w:rsidRPr="001531CD">
        <w:t>A.</w:t>
      </w:r>
      <w:r w:rsidRPr="001531CD">
        <w:tab/>
        <w:t>A state of Louisiana condition examination and origin certificate must be issued not more than 72 hours prior to the scheduled delivery of the product to the purchasing agency.</w:t>
      </w:r>
    </w:p>
    <w:p w14:paraId="1E645117" w14:textId="77777777" w:rsidR="00CF626A" w:rsidRPr="001531CD" w:rsidRDefault="00CF626A">
      <w:pPr>
        <w:pStyle w:val="AuthorityNote"/>
      </w:pPr>
      <w:r w:rsidRPr="001531CD">
        <w:t>AUTHORITY NOTE:</w:t>
      </w:r>
      <w:r w:rsidRPr="001531CD">
        <w:tab/>
        <w:t>Promulgated in accordance with R.S. 3:405.</w:t>
      </w:r>
    </w:p>
    <w:p w14:paraId="0987B29B"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35DB9038" w14:textId="77777777" w:rsidR="00CF626A" w:rsidRPr="001531CD" w:rsidRDefault="00CF626A">
      <w:pPr>
        <w:pStyle w:val="Section"/>
      </w:pPr>
      <w:bookmarkStart w:id="742" w:name="_Toc256754381"/>
      <w:bookmarkStart w:id="743" w:name="_Toc224818615"/>
      <w:r w:rsidRPr="001531CD">
        <w:t>§1109.</w:t>
      </w:r>
      <w:r w:rsidRPr="001531CD">
        <w:tab/>
        <w:t>Waiver of Specification Requirements</w:t>
      </w:r>
      <w:bookmarkEnd w:id="742"/>
      <w:bookmarkEnd w:id="743"/>
    </w:p>
    <w:p w14:paraId="433878C1" w14:textId="77777777" w:rsidR="00CF626A" w:rsidRPr="001531CD" w:rsidRDefault="00CF626A">
      <w:pPr>
        <w:pStyle w:val="A"/>
      </w:pPr>
      <w:r w:rsidRPr="001531CD">
        <w:t>A.</w:t>
      </w:r>
      <w:r w:rsidRPr="001531CD">
        <w:tab/>
        <w:t>Waivers and amendments to specification requirements may be made only with concurrence of purchaser and contractor.</w:t>
      </w:r>
    </w:p>
    <w:p w14:paraId="687D57BB" w14:textId="77777777" w:rsidR="00CF626A" w:rsidRPr="001531CD" w:rsidRDefault="00CF626A">
      <w:pPr>
        <w:pStyle w:val="A"/>
      </w:pPr>
      <w:r w:rsidRPr="001531CD">
        <w:t>B.</w:t>
      </w:r>
      <w:r w:rsidRPr="001531CD">
        <w:tab/>
        <w:t>A written statement of the precise nature of the changes in the specifications must be provided to the Louisiana Department of Agriculture representative prior to any examination of the product.</w:t>
      </w:r>
    </w:p>
    <w:p w14:paraId="2B9B960C" w14:textId="77777777" w:rsidR="00CF626A" w:rsidRPr="001531CD" w:rsidRDefault="00CF626A">
      <w:pPr>
        <w:pStyle w:val="A"/>
      </w:pPr>
      <w:r w:rsidRPr="001531CD">
        <w:t>C.</w:t>
      </w:r>
      <w:r w:rsidRPr="001531CD">
        <w:tab/>
        <w:t>Failure to include information concerning the Louisiana agricultural products preference of the vendor on the purchase order shall constitute a waiver of the vendor's right for a certificate of origin.</w:t>
      </w:r>
    </w:p>
    <w:p w14:paraId="0AD82088" w14:textId="77777777" w:rsidR="00CF626A" w:rsidRPr="001531CD" w:rsidRDefault="00CF626A">
      <w:pPr>
        <w:pStyle w:val="AuthorityNote"/>
      </w:pPr>
      <w:r w:rsidRPr="001531CD">
        <w:lastRenderedPageBreak/>
        <w:t>AUTHORITY NOTE:</w:t>
      </w:r>
      <w:r w:rsidRPr="001531CD">
        <w:tab/>
        <w:t>Promulgated in accordance with R.S. 3:405.</w:t>
      </w:r>
    </w:p>
    <w:p w14:paraId="2064B08A"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51D55B46" w14:textId="77777777" w:rsidR="00CF626A" w:rsidRPr="001531CD" w:rsidRDefault="00CF626A">
      <w:pPr>
        <w:pStyle w:val="Section"/>
      </w:pPr>
      <w:bookmarkStart w:id="744" w:name="_Toc256754382"/>
      <w:bookmarkStart w:id="745" w:name="_Toc224818616"/>
      <w:r w:rsidRPr="001531CD">
        <w:t>§1111.</w:t>
      </w:r>
      <w:r w:rsidRPr="001531CD">
        <w:tab/>
        <w:t>Final Delivery Product</w:t>
      </w:r>
      <w:bookmarkEnd w:id="744"/>
      <w:bookmarkEnd w:id="745"/>
    </w:p>
    <w:p w14:paraId="011B6EAA" w14:textId="77777777" w:rsidR="00CF626A" w:rsidRPr="001531CD" w:rsidRDefault="00CF626A">
      <w:pPr>
        <w:pStyle w:val="A"/>
      </w:pPr>
      <w:r w:rsidRPr="001531CD">
        <w:t>A.</w:t>
      </w:r>
      <w:r w:rsidRPr="001531CD">
        <w:tab/>
        <w:t>Final acceptance of the product will be the responsibility of the purchaser (consignee).</w:t>
      </w:r>
    </w:p>
    <w:p w14:paraId="14712842" w14:textId="77777777" w:rsidR="00CF626A" w:rsidRPr="001531CD" w:rsidRDefault="00CF626A">
      <w:pPr>
        <w:pStyle w:val="A"/>
      </w:pPr>
      <w:r w:rsidRPr="001531CD">
        <w:t>B.</w:t>
      </w:r>
      <w:r w:rsidRPr="001531CD">
        <w:tab/>
        <w:t>Products may be rejected for the following reasons:</w:t>
      </w:r>
    </w:p>
    <w:p w14:paraId="54221DCE" w14:textId="77777777" w:rsidR="00CF626A" w:rsidRPr="001531CD" w:rsidRDefault="00CF626A">
      <w:pPr>
        <w:pStyle w:val="1"/>
      </w:pPr>
      <w:r w:rsidRPr="001531CD">
        <w:t>1.</w:t>
      </w:r>
      <w:r w:rsidRPr="001531CD">
        <w:tab/>
        <w:t>no certificate affixed;</w:t>
      </w:r>
    </w:p>
    <w:p w14:paraId="3BDE4529" w14:textId="77777777" w:rsidR="00CF626A" w:rsidRPr="001531CD" w:rsidRDefault="00CF626A">
      <w:pPr>
        <w:pStyle w:val="1"/>
      </w:pPr>
      <w:r w:rsidRPr="001531CD">
        <w:t>2.</w:t>
      </w:r>
      <w:r w:rsidRPr="001531CD">
        <w:tab/>
        <w:t>sealing tape on container broken; or</w:t>
      </w:r>
    </w:p>
    <w:p w14:paraId="59100578" w14:textId="77777777" w:rsidR="00CF626A" w:rsidRPr="001531CD" w:rsidRDefault="00CF626A">
      <w:pPr>
        <w:pStyle w:val="1"/>
      </w:pPr>
      <w:r w:rsidRPr="001531CD">
        <w:t>3.</w:t>
      </w:r>
      <w:r w:rsidRPr="001531CD">
        <w:tab/>
        <w:t>obvious deviations from specification requirements without appropriate written notice of changes in specification requirements.</w:t>
      </w:r>
    </w:p>
    <w:p w14:paraId="56AEA2AF" w14:textId="77777777" w:rsidR="00CF626A" w:rsidRPr="001531CD" w:rsidRDefault="00CF626A">
      <w:pPr>
        <w:pStyle w:val="A"/>
      </w:pPr>
      <w:r w:rsidRPr="001531CD">
        <w:t>C.</w:t>
      </w:r>
      <w:r w:rsidRPr="001531CD">
        <w:tab/>
        <w:t>Purchaser (consignee) may accept product with minor deviations from specification requirements without written statement of agreed upon changes, but shall do so at purchaser's risk.</w:t>
      </w:r>
    </w:p>
    <w:p w14:paraId="04A40877" w14:textId="77777777" w:rsidR="00CF626A" w:rsidRPr="001531CD" w:rsidRDefault="00CF626A">
      <w:pPr>
        <w:pStyle w:val="AuthorityNote"/>
      </w:pPr>
      <w:r w:rsidRPr="001531CD">
        <w:t>AUTHORITY NOTE:</w:t>
      </w:r>
      <w:r w:rsidRPr="001531CD">
        <w:tab/>
        <w:t>Promulgated in accordance with R.S. 3:405.</w:t>
      </w:r>
    </w:p>
    <w:p w14:paraId="23E57E7F"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363289A1" w14:textId="77777777" w:rsidR="00CF626A" w:rsidRPr="001531CD" w:rsidRDefault="00CF626A">
      <w:pPr>
        <w:pStyle w:val="Section"/>
      </w:pPr>
      <w:bookmarkStart w:id="746" w:name="_Toc256754383"/>
      <w:bookmarkStart w:id="747" w:name="_Toc224818617"/>
      <w:r w:rsidRPr="001531CD">
        <w:t>§1113.</w:t>
      </w:r>
      <w:r w:rsidRPr="001531CD">
        <w:tab/>
        <w:t>Contractor's Obligation</w:t>
      </w:r>
      <w:bookmarkEnd w:id="746"/>
      <w:bookmarkEnd w:id="747"/>
    </w:p>
    <w:p w14:paraId="4BD6C7DE" w14:textId="77777777" w:rsidR="00CF626A" w:rsidRPr="001531CD" w:rsidRDefault="00CF626A">
      <w:pPr>
        <w:pStyle w:val="A"/>
      </w:pPr>
      <w:r w:rsidRPr="001531CD">
        <w:t>A.</w:t>
      </w:r>
      <w:r w:rsidRPr="001531CD">
        <w:tab/>
        <w:t>Contractors furnishing products under these regulations must furnish such assistance as may be necessary to expedite the grading, examination, and acceptance of products.</w:t>
      </w:r>
    </w:p>
    <w:p w14:paraId="09BE7C73" w14:textId="77777777" w:rsidR="00CF626A" w:rsidRPr="001531CD" w:rsidRDefault="00CF626A">
      <w:pPr>
        <w:pStyle w:val="A"/>
      </w:pPr>
      <w:r w:rsidRPr="001531CD">
        <w:t>B.</w:t>
      </w:r>
      <w:r w:rsidRPr="001531CD">
        <w:tab/>
        <w:t>Contractors desiring certification services must notify the Department of Agriculture at least 24 hours in advance of need. Vendors who fail to give at least 24 hours advance notice of need will be subject to a penalty of $50.</w:t>
      </w:r>
    </w:p>
    <w:p w14:paraId="6BB8F15C" w14:textId="77777777" w:rsidR="00CF626A" w:rsidRPr="001531CD" w:rsidRDefault="00CF626A">
      <w:pPr>
        <w:pStyle w:val="AuthorityNote"/>
      </w:pPr>
      <w:r w:rsidRPr="001531CD">
        <w:t>AUTHORITY NOTE:</w:t>
      </w:r>
      <w:r w:rsidRPr="001531CD">
        <w:tab/>
        <w:t>Promulgated in accordance with R.S. 3:405.</w:t>
      </w:r>
    </w:p>
    <w:p w14:paraId="31104F5B" w14:textId="77777777" w:rsidR="00CF626A" w:rsidRPr="001531CD" w:rsidRDefault="00CF626A">
      <w:pPr>
        <w:pStyle w:val="HistoricalNote"/>
      </w:pPr>
      <w:r w:rsidRPr="001531CD">
        <w:t>HISTORICAL NOTE:</w:t>
      </w:r>
      <w:r w:rsidRPr="001531CD">
        <w:tab/>
        <w:t>Promulgated by the Department of Agriculture, Market Commission, LR 11:248 (March 1985).</w:t>
      </w:r>
    </w:p>
    <w:p w14:paraId="59C1367D" w14:textId="77777777" w:rsidR="00CF626A" w:rsidRPr="001531CD" w:rsidRDefault="00CF626A">
      <w:pPr>
        <w:pStyle w:val="Section"/>
      </w:pPr>
      <w:bookmarkStart w:id="748" w:name="_Toc256754384"/>
      <w:bookmarkStart w:id="749" w:name="_Toc224818618"/>
      <w:r w:rsidRPr="001531CD">
        <w:t>§1115.</w:t>
      </w:r>
      <w:r w:rsidRPr="001531CD">
        <w:tab/>
        <w:t>Citrus Regulations</w:t>
      </w:r>
      <w:bookmarkEnd w:id="748"/>
      <w:bookmarkEnd w:id="749"/>
    </w:p>
    <w:p w14:paraId="645450D8" w14:textId="77777777" w:rsidR="00CF626A" w:rsidRPr="001531CD" w:rsidRDefault="00CF626A">
      <w:pPr>
        <w:pStyle w:val="A"/>
      </w:pPr>
      <w:r w:rsidRPr="001531CD">
        <w:t>A.</w:t>
      </w:r>
      <w:r w:rsidRPr="001531CD">
        <w:tab/>
        <w:t>In addition to regulations stipulated in §1103, the following regulations and definitions are prescribed governing the marketing and/or sale of citrus in Louisiana.</w:t>
      </w:r>
    </w:p>
    <w:p w14:paraId="11AE5CD7" w14:textId="77777777" w:rsidR="00CF626A" w:rsidRPr="001531CD" w:rsidRDefault="00CF626A">
      <w:pPr>
        <w:pStyle w:val="1"/>
      </w:pPr>
      <w:r w:rsidRPr="001531CD">
        <w:t>1.</w:t>
      </w:r>
      <w:r w:rsidRPr="001531CD">
        <w:tab/>
        <w:t>Definitions</w:t>
      </w:r>
    </w:p>
    <w:p w14:paraId="692C6CEF" w14:textId="77777777" w:rsidR="00CF626A" w:rsidRPr="001531CD" w:rsidRDefault="00CF626A">
      <w:pPr>
        <w:pStyle w:val="a0"/>
      </w:pPr>
      <w:r w:rsidRPr="001531CD">
        <w:rPr>
          <w:i/>
          <w:iCs/>
        </w:rPr>
        <w:t>Broker</w:t>
      </w:r>
      <w:r w:rsidRPr="001531CD">
        <w:t>―a person who assumes neither ownership nor possession of citrus, nor washes, packs, sizes, or grades citrus, but is engaged in the business of acting as an agent, for a fee or commission, in the sale or transfer of citrus between producers or packers as sellers and other packers, wholesalers, or retailers as buyers.</w:t>
      </w:r>
    </w:p>
    <w:p w14:paraId="685BFBF1" w14:textId="77777777" w:rsidR="00CF626A" w:rsidRPr="001531CD" w:rsidRDefault="00CF626A">
      <w:pPr>
        <w:pStyle w:val="a0"/>
      </w:pPr>
      <w:r w:rsidRPr="001531CD">
        <w:rPr>
          <w:i/>
          <w:iCs/>
        </w:rPr>
        <w:t>Citrus</w:t>
      </w:r>
      <w:r w:rsidRPr="001531CD">
        <w:t>―shall include the following: lemons, satsumas, mandarins, navels, grapefruit, tangerines, and all Valencia varieties of citrus.</w:t>
      </w:r>
    </w:p>
    <w:p w14:paraId="2BDD34B4" w14:textId="77777777" w:rsidR="00CF626A" w:rsidRPr="001531CD" w:rsidRDefault="00CF626A">
      <w:pPr>
        <w:pStyle w:val="a0"/>
      </w:pPr>
      <w:r w:rsidRPr="001531CD">
        <w:rPr>
          <w:i/>
          <w:iCs/>
        </w:rPr>
        <w:t>Citrus Container</w:t>
      </w:r>
      <w:r w:rsidRPr="001531CD">
        <w:t>―any container used to sell field-run citrus. Boxes shall have volume or weight labeled on the side and the name and address of the producer/packer.</w:t>
      </w:r>
    </w:p>
    <w:p w14:paraId="603BA34C" w14:textId="77777777" w:rsidR="00CF626A" w:rsidRPr="001531CD" w:rsidRDefault="00CF626A">
      <w:pPr>
        <w:pStyle w:val="a0"/>
      </w:pPr>
      <w:r w:rsidRPr="001531CD">
        <w:rPr>
          <w:i/>
          <w:iCs/>
        </w:rPr>
        <w:t>Commission</w:t>
      </w:r>
      <w:r w:rsidRPr="001531CD">
        <w:t>―the Louisiana Department of Agriculture and Forestry, Market Commission.</w:t>
      </w:r>
    </w:p>
    <w:p w14:paraId="6AF48681" w14:textId="77777777" w:rsidR="00CF626A" w:rsidRPr="001531CD" w:rsidRDefault="00CF626A">
      <w:pPr>
        <w:pStyle w:val="a0"/>
      </w:pPr>
      <w:r w:rsidRPr="001531CD">
        <w:rPr>
          <w:i/>
          <w:iCs/>
        </w:rPr>
        <w:t>Department</w:t>
      </w:r>
      <w:r w:rsidRPr="001531CD">
        <w:t>―the Louisiana Department of Agriculture and Forestry.</w:t>
      </w:r>
    </w:p>
    <w:p w14:paraId="41D8F248" w14:textId="77777777" w:rsidR="00CF626A" w:rsidRPr="001531CD" w:rsidRDefault="00CF626A">
      <w:pPr>
        <w:pStyle w:val="a0"/>
      </w:pPr>
      <w:r w:rsidRPr="001531CD">
        <w:rPr>
          <w:i/>
          <w:iCs/>
        </w:rPr>
        <w:t>Field-Run Citrus</w:t>
      </w:r>
      <w:r w:rsidRPr="001531CD">
        <w:t>―unwashed and unsized citrus sold by the producer to a packer for further processing.</w:t>
      </w:r>
    </w:p>
    <w:p w14:paraId="3AD391E4" w14:textId="77777777" w:rsidR="00CF626A" w:rsidRPr="001531CD" w:rsidRDefault="00CF626A">
      <w:pPr>
        <w:pStyle w:val="a0"/>
      </w:pPr>
      <w:r w:rsidRPr="001531CD">
        <w:rPr>
          <w:i/>
          <w:iCs/>
        </w:rPr>
        <w:t>Louisiana Citrus Producer</w:t>
      </w:r>
      <w:r w:rsidRPr="001531CD">
        <w:t>―any person engaged in growing citrus in Louisiana for wholesale or retail sale.</w:t>
      </w:r>
    </w:p>
    <w:p w14:paraId="6190BA95" w14:textId="77777777" w:rsidR="00CF626A" w:rsidRPr="001531CD" w:rsidRDefault="00CF626A">
      <w:pPr>
        <w:pStyle w:val="a0"/>
      </w:pPr>
      <w:r w:rsidRPr="001531CD">
        <w:rPr>
          <w:i/>
          <w:iCs/>
        </w:rPr>
        <w:t>Packer</w:t>
      </w:r>
      <w:r w:rsidRPr="001531CD">
        <w:t>―any person who washes, sizes, and packs citrus for wholesale/retail sales.</w:t>
      </w:r>
    </w:p>
    <w:p w14:paraId="0852CF68" w14:textId="77777777" w:rsidR="00CF626A" w:rsidRPr="001531CD" w:rsidRDefault="00CF626A">
      <w:pPr>
        <w:pStyle w:val="a0"/>
      </w:pPr>
      <w:r w:rsidRPr="001531CD">
        <w:rPr>
          <w:i/>
          <w:iCs/>
        </w:rPr>
        <w:t>Producer</w:t>
      </w:r>
      <w:r w:rsidRPr="001531CD">
        <w:t>―any person engaged in growing citrus for the purpose of wholesale or retail sale.</w:t>
      </w:r>
    </w:p>
    <w:p w14:paraId="6BEB841F" w14:textId="77777777" w:rsidR="00CF626A" w:rsidRPr="001531CD" w:rsidRDefault="00CF626A">
      <w:pPr>
        <w:pStyle w:val="a0"/>
      </w:pPr>
      <w:r w:rsidRPr="001531CD">
        <w:rPr>
          <w:i/>
          <w:iCs/>
        </w:rPr>
        <w:t>Retailer</w:t>
      </w:r>
      <w:r w:rsidRPr="001531CD">
        <w:t>―any person who sells citrus to a consumer.</w:t>
      </w:r>
    </w:p>
    <w:p w14:paraId="45389412" w14:textId="77777777" w:rsidR="00CF626A" w:rsidRPr="001531CD" w:rsidRDefault="00CF626A">
      <w:pPr>
        <w:pStyle w:val="a0"/>
      </w:pPr>
      <w:r w:rsidRPr="001531CD">
        <w:rPr>
          <w:i/>
          <w:iCs/>
        </w:rPr>
        <w:t>Small Louisiana Citrus Producer</w:t>
      </w:r>
      <w:r w:rsidRPr="001531CD">
        <w:t>―any person who grows and markets his own citrus, for retail sales only, either at his fruit stand, store, or farm.</w:t>
      </w:r>
    </w:p>
    <w:p w14:paraId="2695454A" w14:textId="77777777" w:rsidR="00CF626A" w:rsidRPr="001531CD" w:rsidRDefault="00CF626A">
      <w:pPr>
        <w:pStyle w:val="a0"/>
      </w:pPr>
      <w:r w:rsidRPr="001531CD">
        <w:rPr>
          <w:i/>
          <w:iCs/>
        </w:rPr>
        <w:t>Standard Citrus Receptacle or Flexible Covering or Binding</w:t>
      </w:r>
      <w:r w:rsidRPr="001531CD">
        <w:t>―any container used for the purpose of packing fruit for wholesale or retail trade.</w:t>
      </w:r>
    </w:p>
    <w:p w14:paraId="478FFE0D" w14:textId="77777777" w:rsidR="00CF626A" w:rsidRPr="001531CD" w:rsidRDefault="00CF626A">
      <w:pPr>
        <w:pStyle w:val="a0"/>
      </w:pPr>
      <w:r w:rsidRPr="001531CD">
        <w:rPr>
          <w:i/>
          <w:iCs/>
        </w:rPr>
        <w:t>Washed Citrus</w:t>
      </w:r>
      <w:r w:rsidRPr="001531CD">
        <w:t>―citrus that is free from dirt, adhering foreign material, or residue that materially detracts from the appearance, the edible or the marketing quality of the fruit.</w:t>
      </w:r>
    </w:p>
    <w:p w14:paraId="7A120E36" w14:textId="77777777" w:rsidR="00CF626A" w:rsidRPr="001531CD" w:rsidRDefault="00CF626A">
      <w:pPr>
        <w:pStyle w:val="a0"/>
      </w:pPr>
      <w:r w:rsidRPr="001531CD">
        <w:rPr>
          <w:i/>
          <w:iCs/>
        </w:rPr>
        <w:t>Wholesaler</w:t>
      </w:r>
      <w:r w:rsidRPr="001531CD">
        <w:t>―any person engaged in the business of buying citrus from producers, packers, brokers, wholesalers, or other persons on his own account, and selling or transferring citrus to other wholesalers, packers, retailers, or other persons and consumers. A wholesaler includes a person engaged in producing citrus from his own farm and disposing of any portion of his production in any manner other than retail sales at his fruit stand, store or on his farm.</w:t>
      </w:r>
    </w:p>
    <w:p w14:paraId="21B8377D" w14:textId="77777777" w:rsidR="00CF626A" w:rsidRPr="001531CD" w:rsidRDefault="00CF626A">
      <w:pPr>
        <w:pStyle w:val="1"/>
      </w:pPr>
      <w:r w:rsidRPr="001531CD">
        <w:t>2.</w:t>
      </w:r>
      <w:r w:rsidRPr="001531CD">
        <w:tab/>
        <w:t>Citrus sold in Louisiana shall be required to meet the minimum maturity test of soluble solids in relation to percentage of anhydrous citric acid. Citrus fruit shall include the following: lemons, satsumas, mandarins, navels, grapefruit, tangerines, and all Valencia varieties of citrus.</w:t>
      </w:r>
    </w:p>
    <w:p w14:paraId="33357247" w14:textId="77777777" w:rsidR="00CF626A" w:rsidRPr="001531CD" w:rsidRDefault="00CF626A">
      <w:pPr>
        <w:pStyle w:val="a0"/>
      </w:pPr>
      <w:r w:rsidRPr="001531CD">
        <w:t>a.</w:t>
      </w:r>
      <w:r w:rsidRPr="001531CD">
        <w:tab/>
        <w:t>Satsumas, mandarins, navels, tangerines, tangelos, Valencia and other round oranges must meet a maturity test of 10 percent soluble solids to 1 percent anhydrous citric acid.</w:t>
      </w:r>
    </w:p>
    <w:p w14:paraId="246DECA7" w14:textId="77777777" w:rsidR="00CF626A" w:rsidRPr="001531CD" w:rsidRDefault="00CF626A">
      <w:pPr>
        <w:pStyle w:val="a0"/>
      </w:pPr>
      <w:r w:rsidRPr="001531CD">
        <w:t>b.</w:t>
      </w:r>
      <w:r w:rsidRPr="001531CD">
        <w:tab/>
        <w:t>Grapefruit must meet a maturity test of 6 percent soluble solids to 1 percent anhydrous citric acid.</w:t>
      </w:r>
    </w:p>
    <w:p w14:paraId="281C9ADC" w14:textId="77777777" w:rsidR="00CF626A" w:rsidRPr="001531CD" w:rsidRDefault="00CF626A">
      <w:pPr>
        <w:pStyle w:val="a0"/>
      </w:pPr>
      <w:r w:rsidRPr="001531CD">
        <w:t>c.</w:t>
      </w:r>
      <w:r w:rsidRPr="001531CD">
        <w:tab/>
        <w:t>Citrus fruit not meeting maturity tests standards will be put off sale, and the product will be seized by the Louisiana Department of Agriculture and Forestry in accordance with provisions in §1115.A.10 to prevent the citrus from again entering the wholesale or retail markets. The packer, or the producer or the wholesaler, or any combination of the three may be charged the costs that are involved in seizing and destroying the product.</w:t>
      </w:r>
    </w:p>
    <w:p w14:paraId="6C6DBBBE" w14:textId="77777777" w:rsidR="00CF626A" w:rsidRPr="001531CD" w:rsidRDefault="00CF626A">
      <w:pPr>
        <w:pStyle w:val="1"/>
      </w:pPr>
      <w:r w:rsidRPr="001531CD">
        <w:t>3.</w:t>
      </w:r>
      <w:r w:rsidRPr="001531CD">
        <w:tab/>
        <w:t>Citrus for wholesale will be marketed only in new standard citrus containers which are sound, clean, and free of weather stains and discolorations. All containers must have the following on the outside of the container:</w:t>
      </w:r>
    </w:p>
    <w:p w14:paraId="48C84F59" w14:textId="77777777" w:rsidR="00CF626A" w:rsidRPr="001531CD" w:rsidRDefault="00CF626A">
      <w:pPr>
        <w:pStyle w:val="a0"/>
      </w:pPr>
      <w:r w:rsidRPr="001531CD">
        <w:lastRenderedPageBreak/>
        <w:t>a.</w:t>
      </w:r>
      <w:r w:rsidRPr="001531CD">
        <w:tab/>
        <w:t>name of fruit, unless the fruit is in a see-through sack or a container that is not covered, such as a 1/2 bushel basket;</w:t>
      </w:r>
    </w:p>
    <w:p w14:paraId="4798F5C1" w14:textId="77777777" w:rsidR="00CF626A" w:rsidRPr="001531CD" w:rsidRDefault="00CF626A">
      <w:pPr>
        <w:pStyle w:val="a0"/>
      </w:pPr>
      <w:r w:rsidRPr="001531CD">
        <w:t>b.</w:t>
      </w:r>
      <w:r w:rsidRPr="001531CD">
        <w:tab/>
        <w:t>volume, net weight or count;</w:t>
      </w:r>
    </w:p>
    <w:p w14:paraId="5218C095" w14:textId="77777777" w:rsidR="00CF626A" w:rsidRPr="001531CD" w:rsidRDefault="00CF626A">
      <w:pPr>
        <w:pStyle w:val="a0"/>
      </w:pPr>
      <w:r w:rsidRPr="001531CD">
        <w:t>c.</w:t>
      </w:r>
      <w:r w:rsidRPr="001531CD">
        <w:tab/>
        <w:t>name of producer and/or packer;</w:t>
      </w:r>
    </w:p>
    <w:p w14:paraId="1AA0FB4F" w14:textId="77777777" w:rsidR="00CF626A" w:rsidRPr="001531CD" w:rsidRDefault="00CF626A">
      <w:pPr>
        <w:pStyle w:val="a0"/>
      </w:pPr>
      <w:r w:rsidRPr="001531CD">
        <w:t>d.</w:t>
      </w:r>
      <w:r w:rsidRPr="001531CD">
        <w:tab/>
        <w:t>if the fruit is being packed for someone other than the packer, then the label can read "Packed For:" and give the person's name and address.</w:t>
      </w:r>
    </w:p>
    <w:p w14:paraId="2CD5BDBF" w14:textId="77777777" w:rsidR="00CF626A" w:rsidRPr="001531CD" w:rsidRDefault="00CF626A">
      <w:pPr>
        <w:pStyle w:val="1"/>
      </w:pPr>
      <w:r w:rsidRPr="001531CD">
        <w:t>4.</w:t>
      </w:r>
      <w:r w:rsidRPr="001531CD">
        <w:tab/>
        <w:t>All citrus sold in Louisiana shall be washed and sold by weight, volume, or count for wholesale marketing purposes with the following exceptions:</w:t>
      </w:r>
    </w:p>
    <w:p w14:paraId="1EDD1D22" w14:textId="77777777" w:rsidR="00CF626A" w:rsidRPr="001531CD" w:rsidRDefault="00CF626A">
      <w:pPr>
        <w:pStyle w:val="a0"/>
      </w:pPr>
      <w:r w:rsidRPr="001531CD">
        <w:t>a.</w:t>
      </w:r>
      <w:r w:rsidRPr="001531CD">
        <w:tab/>
        <w:t>if fruit offered for wholesale is not sized, all fruit within a container shall be of uniform size;</w:t>
      </w:r>
    </w:p>
    <w:p w14:paraId="23B3658A" w14:textId="77777777" w:rsidR="00CF626A" w:rsidRPr="001531CD" w:rsidRDefault="00CF626A">
      <w:pPr>
        <w:pStyle w:val="a0"/>
      </w:pPr>
      <w:r w:rsidRPr="001531CD">
        <w:t>b.</w:t>
      </w:r>
      <w:r w:rsidRPr="001531CD">
        <w:tab/>
        <w:t>producers who sell only their own citrus retail are exempt from washing and sizing fruit; however, the citrus must be clean and sold by either weight, volume, or count;</w:t>
      </w:r>
    </w:p>
    <w:p w14:paraId="344B1DD9" w14:textId="77777777" w:rsidR="00CF626A" w:rsidRPr="001531CD" w:rsidRDefault="00CF626A">
      <w:pPr>
        <w:pStyle w:val="a0"/>
      </w:pPr>
      <w:r w:rsidRPr="001531CD">
        <w:t>c.</w:t>
      </w:r>
      <w:r w:rsidRPr="001531CD">
        <w:tab/>
        <w:t>producers who sell their citrus to a packer for processing and packing. Producers must invoice all such sales as field-run citrus. The packer buying field-run citrus is responsible for washing, sizing, and labeling of the citrus.</w:t>
      </w:r>
    </w:p>
    <w:p w14:paraId="40C4E8F2" w14:textId="77777777" w:rsidR="00CF626A" w:rsidRPr="001531CD" w:rsidRDefault="00CF626A">
      <w:pPr>
        <w:pStyle w:val="1"/>
      </w:pPr>
      <w:r w:rsidRPr="001531CD">
        <w:t>5.</w:t>
      </w:r>
      <w:r w:rsidRPr="001531CD">
        <w:tab/>
        <w:t>Products labeled as Louisiana citrus (Louisiana oranges, tangerines, etc.) shall have proof of origin. If the origin of the product cannot be proven, then all signs referring to the product as Louisiana citrus must be removed.</w:t>
      </w:r>
    </w:p>
    <w:p w14:paraId="5D2960F5" w14:textId="77777777" w:rsidR="00CF626A" w:rsidRPr="001531CD" w:rsidRDefault="00CF626A">
      <w:pPr>
        <w:pStyle w:val="1"/>
      </w:pPr>
      <w:r w:rsidRPr="001531CD">
        <w:t>6.</w:t>
      </w:r>
      <w:r w:rsidRPr="001531CD">
        <w:tab/>
        <w:t>All producers, producer-packers, packers, and wholesalers shall furnish an invoice stating the type of citrus, volume or weight sold, and origin. All retail outlets must have a copy of the invoice showing the origin of the citrus before the citrus can be advertised or sold as "</w:t>
      </w:r>
      <w:r w:rsidRPr="001531CD">
        <w:rPr>
          <w:smallCaps/>
        </w:rPr>
        <w:t>louisiana citrus</w:t>
      </w:r>
      <w:r w:rsidRPr="001531CD">
        <w:t>." If the seller cannot prove the citrus was grown in Louisiana, then all advertising stating such must be removed.</w:t>
      </w:r>
    </w:p>
    <w:p w14:paraId="17797711" w14:textId="77777777" w:rsidR="00CF626A" w:rsidRPr="001531CD" w:rsidRDefault="00CF626A">
      <w:pPr>
        <w:pStyle w:val="1"/>
      </w:pPr>
      <w:r w:rsidRPr="001531CD">
        <w:t>7.</w:t>
      </w:r>
      <w:r w:rsidRPr="001531CD">
        <w:tab/>
        <w:t>All citrus leaving the state must comply with all of the above regulations. No citrus shall be allowed to leave the state that has not been cleaned, properly labeled and packed in standard citrus containers.</w:t>
      </w:r>
    </w:p>
    <w:p w14:paraId="29D97569" w14:textId="77777777" w:rsidR="00CF626A" w:rsidRPr="001531CD" w:rsidRDefault="00CF626A">
      <w:pPr>
        <w:pStyle w:val="1"/>
      </w:pPr>
      <w:r w:rsidRPr="001531CD">
        <w:t>8.</w:t>
      </w:r>
      <w:r w:rsidRPr="001531CD">
        <w:tab/>
        <w:t>Employees or agents of the Louisiana Department of Agriculture and Forestry are authorized to enter any store, vehicle, roadside stand, market, or any other business or place where citrus is packed, processed or sold to determine if the citrus is in compliance with these rules and regulations. In addition, any agent or employee of the Louisiana Department of Agriculture and Forestry may take necessary quantities of citrus fruits to conduct maturity tests. A receipt for such fruit will be issued upon request.</w:t>
      </w:r>
    </w:p>
    <w:p w14:paraId="1679F365" w14:textId="77777777" w:rsidR="00CF626A" w:rsidRPr="001531CD" w:rsidRDefault="00CF626A">
      <w:pPr>
        <w:pStyle w:val="1"/>
      </w:pPr>
      <w:r w:rsidRPr="001531CD">
        <w:t>9.</w:t>
      </w:r>
      <w:r w:rsidRPr="001531CD">
        <w:tab/>
        <w:t xml:space="preserve">Penalties. Any person, corporation or other organization violating the provisions of this Chapter may be levied of civil penalty of not less than $25 or more than $500. In addition, any person, corporation or other organization violating the provisions of this Chapter or part of Chapter 5 of R.S. 3:401-414 shall be fined not less than $25 nor more than $500 or imprisoned for not less than </w:t>
      </w:r>
      <w:r w:rsidR="0086255A" w:rsidRPr="001531CD">
        <w:br/>
      </w:r>
      <w:r w:rsidRPr="001531CD">
        <w:t>10 days nor more than six months, or both.</w:t>
      </w:r>
    </w:p>
    <w:p w14:paraId="5F7B30A6" w14:textId="77777777" w:rsidR="00CF626A" w:rsidRPr="001531CD" w:rsidRDefault="00CF626A">
      <w:pPr>
        <w:pStyle w:val="1"/>
      </w:pPr>
      <w:r w:rsidRPr="001531CD">
        <w:t>10.</w:t>
      </w:r>
      <w:r w:rsidRPr="001531CD">
        <w:tab/>
        <w:t>If any authorized inspector, in the discharge of his duties, has reason to believe that any lot of citrus being sold is not in compliance with these rules and regulations, he shall issue a stop-sale for such lot. If there is a question as to whether or not the lot meets maturity requirements, then the inspector will take a sample of the fruit to run a maturity test. A stop-sale may be issued for up to 24 hours while the maturity tests are being performed. If the citrus does not meet minimum maturity requirements, the lot will have a permanent stop-sale issued and may be removed by the department to a proper cold storage until such time as the wholesaler or the packer can be contacted and inform the department of how he will dispose of the citrus.</w:t>
      </w:r>
    </w:p>
    <w:p w14:paraId="14062AAC" w14:textId="77777777" w:rsidR="00CF626A" w:rsidRPr="001531CD" w:rsidRDefault="00CF626A">
      <w:pPr>
        <w:pStyle w:val="a0"/>
      </w:pPr>
      <w:r w:rsidRPr="001531CD">
        <w:t>a.</w:t>
      </w:r>
      <w:r w:rsidRPr="001531CD">
        <w:tab/>
        <w:t>Citrus that has a stop-sale issued for reasons other than failing to meet maturity requirements may be reworked and offered for reinspection. The inspector who issued the stop-sale shall serve the person in possession of the lot with notice of noncompliance. Such notice shall be served in person before the inspector leaves the premises. The person in possession shall notify the owner of the lot, or every other person that has an interest in it, of the serving of such notice of noncompliance. The notice of noncompliance shall include all of the following:</w:t>
      </w:r>
    </w:p>
    <w:p w14:paraId="4B9FBE35" w14:textId="77777777" w:rsidR="00CF626A" w:rsidRPr="001531CD" w:rsidRDefault="00CF626A">
      <w:pPr>
        <w:pStyle w:val="i0"/>
        <w:outlineLvl w:val="6"/>
      </w:pPr>
      <w:r w:rsidRPr="001531CD">
        <w:tab/>
        <w:t>i.</w:t>
      </w:r>
      <w:r w:rsidRPr="001531CD">
        <w:tab/>
        <w:t>description of the lot;</w:t>
      </w:r>
    </w:p>
    <w:p w14:paraId="4A50DA29" w14:textId="77777777" w:rsidR="00CF626A" w:rsidRPr="001531CD" w:rsidRDefault="00CF626A">
      <w:pPr>
        <w:pStyle w:val="i0"/>
        <w:outlineLvl w:val="6"/>
      </w:pPr>
      <w:r w:rsidRPr="001531CD">
        <w:tab/>
        <w:t>ii.</w:t>
      </w:r>
      <w:r w:rsidRPr="001531CD">
        <w:tab/>
        <w:t>location of the lot;</w:t>
      </w:r>
    </w:p>
    <w:p w14:paraId="1ACE27BF" w14:textId="77777777" w:rsidR="00CF626A" w:rsidRPr="001531CD" w:rsidRDefault="00CF626A">
      <w:pPr>
        <w:pStyle w:val="i0"/>
        <w:outlineLvl w:val="6"/>
      </w:pPr>
      <w:r w:rsidRPr="001531CD">
        <w:tab/>
        <w:t>iii.</w:t>
      </w:r>
      <w:r w:rsidRPr="001531CD">
        <w:tab/>
        <w:t>reasons for which the lot is held.</w:t>
      </w:r>
    </w:p>
    <w:p w14:paraId="71D77D7C" w14:textId="77777777" w:rsidR="00CF626A" w:rsidRPr="001531CD" w:rsidRDefault="00CF626A">
      <w:pPr>
        <w:pStyle w:val="a0"/>
      </w:pPr>
      <w:r w:rsidRPr="001531CD">
        <w:t>b.</w:t>
      </w:r>
      <w:r w:rsidRPr="001531CD">
        <w:tab/>
        <w:t>The owner of the lot shall have 48 hours from the time of serving of such notice of noncompliance for reconditioning or for the correction of the deficiencies which are noted in the notice of noncompliance. If such lot is reconditioned or the deficiencies are corrected, the inspector shall remove the stop-sale tags and release the lot for marketing or may, with the consent of the owner of such, divert the lot to other lawful uses or destroy it.</w:t>
      </w:r>
    </w:p>
    <w:p w14:paraId="72F5F99A" w14:textId="77777777" w:rsidR="00CF626A" w:rsidRPr="001531CD" w:rsidRDefault="00CF626A">
      <w:pPr>
        <w:pStyle w:val="a0"/>
      </w:pPr>
      <w:r w:rsidRPr="001531CD">
        <w:t>c.</w:t>
      </w:r>
      <w:r w:rsidRPr="001531CD">
        <w:tab/>
        <w:t>If the owner of the lot fails or refuses to give such consent, or if the lot has been reconditioned or the deficiencies otherwise corrected so as to bring it into compliance within 48 hours, the inspector shall proceed as provided in Chapter 5 of R.S. 3:3552.</w:t>
      </w:r>
    </w:p>
    <w:p w14:paraId="61757703" w14:textId="77777777" w:rsidR="00CF626A" w:rsidRPr="001531CD" w:rsidRDefault="00CF626A">
      <w:pPr>
        <w:pStyle w:val="AuthorityNote"/>
      </w:pPr>
      <w:r w:rsidRPr="001531CD">
        <w:t>AUTHORITY NOTE:</w:t>
      </w:r>
      <w:r w:rsidRPr="001531CD">
        <w:tab/>
        <w:t>Promulgated in accordance with R.S. 3:405.</w:t>
      </w:r>
    </w:p>
    <w:p w14:paraId="7263A7D8" w14:textId="77777777" w:rsidR="00CF626A" w:rsidRPr="001531CD" w:rsidRDefault="00CF626A">
      <w:pPr>
        <w:pStyle w:val="HistoricalNote"/>
      </w:pPr>
      <w:r w:rsidRPr="001531CD">
        <w:t>HISTORICAL NOTE:</w:t>
      </w:r>
      <w:r w:rsidRPr="001531CD">
        <w:tab/>
        <w:t>Promulgated by the Department of Agriculture, Market Commission, LR 11:248 (March 1985), amended by the Department of Agriculture and Forestry, Office of Marketing, Market Commission, LR 23:1286 (October 1997).</w:t>
      </w:r>
    </w:p>
    <w:p w14:paraId="742B1009" w14:textId="77777777" w:rsidR="00CF626A" w:rsidRPr="001531CD" w:rsidRDefault="00CF626A">
      <w:pPr>
        <w:pStyle w:val="Section"/>
      </w:pPr>
      <w:bookmarkStart w:id="750" w:name="_Toc256754385"/>
      <w:bookmarkStart w:id="751" w:name="_Toc224818619"/>
      <w:r w:rsidRPr="001531CD">
        <w:t>§1117.</w:t>
      </w:r>
      <w:r w:rsidRPr="001531CD">
        <w:tab/>
        <w:t>Sweet Potato Regulations</w:t>
      </w:r>
      <w:bookmarkEnd w:id="750"/>
      <w:bookmarkEnd w:id="751"/>
    </w:p>
    <w:p w14:paraId="3313322A" w14:textId="77777777" w:rsidR="00CF626A" w:rsidRPr="001531CD" w:rsidRDefault="00CF626A">
      <w:pPr>
        <w:pStyle w:val="A"/>
      </w:pPr>
      <w:r w:rsidRPr="001531CD">
        <w:t>A.</w:t>
      </w:r>
      <w:r w:rsidRPr="001531CD">
        <w:tab/>
        <w:t>In addition to regulations stipulated in §1103, the following regulation is prescribed governing the marketing and/or sale of sweet potatoes in Louisiana.</w:t>
      </w:r>
    </w:p>
    <w:p w14:paraId="027849B5" w14:textId="77777777" w:rsidR="00CF626A" w:rsidRPr="001531CD" w:rsidRDefault="00CF626A">
      <w:pPr>
        <w:pStyle w:val="1"/>
      </w:pPr>
      <w:r w:rsidRPr="001531CD">
        <w:t>1.</w:t>
      </w:r>
      <w:r w:rsidRPr="001531CD">
        <w:tab/>
        <w:t>The U.S. Standards for U.S. Number 1 and 2 Grades of Sweet Potatoes as stipulated by the U.S. Department of Agriculture, shall be adopted as official state grades except that not more than 10 percent tolerance will be allowed for each grade.</w:t>
      </w:r>
    </w:p>
    <w:p w14:paraId="5BB04D10" w14:textId="77777777" w:rsidR="00CF626A" w:rsidRPr="001531CD" w:rsidRDefault="00CF626A">
      <w:pPr>
        <w:pStyle w:val="1"/>
      </w:pPr>
      <w:r w:rsidRPr="001531CD">
        <w:lastRenderedPageBreak/>
        <w:t>2.</w:t>
      </w:r>
      <w:r w:rsidRPr="001531CD">
        <w:tab/>
        <w:t xml:space="preserve">The grade </w:t>
      </w:r>
      <w:r w:rsidRPr="001531CD">
        <w:rPr>
          <w:i/>
          <w:iCs/>
        </w:rPr>
        <w:t xml:space="preserve">Louisiana Commercial </w:t>
      </w:r>
      <w:r w:rsidRPr="001531CD">
        <w:t>is hereby established, the standards of which are not less than those of U.S. Number 2, except that not more than 10 percent tolerance for grade defects will be allowed.</w:t>
      </w:r>
    </w:p>
    <w:p w14:paraId="15895461" w14:textId="77777777" w:rsidR="00CF626A" w:rsidRPr="001531CD" w:rsidRDefault="00CF626A">
      <w:pPr>
        <w:pStyle w:val="1"/>
      </w:pPr>
      <w:r w:rsidRPr="001531CD">
        <w:t>3.</w:t>
      </w:r>
      <w:r w:rsidRPr="001531CD">
        <w:tab/>
        <w:t xml:space="preserve">The grade </w:t>
      </w:r>
      <w:r w:rsidRPr="001531CD">
        <w:rPr>
          <w:i/>
          <w:iCs/>
        </w:rPr>
        <w:t xml:space="preserve">Louisiana Jumbo </w:t>
      </w:r>
      <w:r w:rsidRPr="001531CD">
        <w:t xml:space="preserve">is hereby established, the standards of which are the same as U.S. Number 2, except that not more than 10 percent tolerance will be allowed and the minimum weight shall not be less than </w:t>
      </w:r>
      <w:r w:rsidR="0086255A" w:rsidRPr="001531CD">
        <w:br/>
      </w:r>
      <w:r w:rsidRPr="001531CD">
        <w:t>16 ounces. There are no maximum weight requirements.</w:t>
      </w:r>
    </w:p>
    <w:p w14:paraId="5076D77E" w14:textId="77777777" w:rsidR="00CF626A" w:rsidRPr="001531CD" w:rsidRDefault="00CF626A">
      <w:pPr>
        <w:pStyle w:val="1"/>
      </w:pPr>
      <w:r w:rsidRPr="001531CD">
        <w:t>4.</w:t>
      </w:r>
      <w:r w:rsidRPr="001531CD">
        <w:tab/>
        <w:t xml:space="preserve">It shall be unlawful for any person, firm, or corporation to sell, offer for sale, ship, or move any sweet potatoes into the channels of fresh trade except U.S. Number 1, U.S. Number 2, </w:t>
      </w:r>
      <w:r w:rsidRPr="001531CD">
        <w:rPr>
          <w:i/>
          <w:iCs/>
        </w:rPr>
        <w:t xml:space="preserve">Louisiana Commercial, and Louisiana Jumbo </w:t>
      </w:r>
      <w:r w:rsidRPr="001531CD">
        <w:t>grades.</w:t>
      </w:r>
    </w:p>
    <w:p w14:paraId="7A35D6D6" w14:textId="77777777" w:rsidR="00CF626A" w:rsidRPr="001531CD" w:rsidRDefault="00CF626A">
      <w:pPr>
        <w:pStyle w:val="1"/>
      </w:pPr>
      <w:r w:rsidRPr="001531CD">
        <w:t>5.</w:t>
      </w:r>
      <w:r w:rsidRPr="001531CD">
        <w:tab/>
        <w:t>The movement of sweet potatoes into channels of fresh trade is prohibited unless in conformance with this regulation and is accompanied by proper grade certificate.</w:t>
      </w:r>
    </w:p>
    <w:p w14:paraId="7E7FB651" w14:textId="77777777" w:rsidR="00CF626A" w:rsidRPr="001531CD" w:rsidRDefault="00CF626A">
      <w:pPr>
        <w:pStyle w:val="AuthorityNote"/>
      </w:pPr>
      <w:r w:rsidRPr="001531CD">
        <w:t>AUTHORITY NOTE:</w:t>
      </w:r>
      <w:r w:rsidRPr="001531CD">
        <w:tab/>
        <w:t>Promulgated in accordance with R.S. 3:405.</w:t>
      </w:r>
    </w:p>
    <w:p w14:paraId="048234E5"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1233E539" w14:textId="77777777" w:rsidR="00CF626A" w:rsidRPr="001531CD" w:rsidRDefault="00CF626A">
      <w:pPr>
        <w:pStyle w:val="Section"/>
      </w:pPr>
      <w:bookmarkStart w:id="752" w:name="_Toc256754386"/>
      <w:bookmarkStart w:id="753" w:name="_Toc224818620"/>
      <w:r w:rsidRPr="001531CD">
        <w:t>§1119.</w:t>
      </w:r>
      <w:r w:rsidRPr="001531CD">
        <w:tab/>
        <w:t>Cabbage Solidity Regulation</w:t>
      </w:r>
      <w:bookmarkEnd w:id="752"/>
      <w:bookmarkEnd w:id="753"/>
    </w:p>
    <w:p w14:paraId="6BED7FBD" w14:textId="77777777" w:rsidR="00CF626A" w:rsidRPr="001531CD" w:rsidRDefault="00CF626A">
      <w:pPr>
        <w:pStyle w:val="A"/>
      </w:pPr>
      <w:r w:rsidRPr="001531CD">
        <w:t>A.</w:t>
      </w:r>
      <w:r w:rsidRPr="001531CD">
        <w:tab/>
        <w:t>In addition to the regulations stipulated in §1103, the following regulation is prescribed governing the marketing and/or sale of cabbage in Louisiana:</w:t>
      </w:r>
    </w:p>
    <w:p w14:paraId="114A732B" w14:textId="77777777" w:rsidR="00CF626A" w:rsidRPr="001531CD" w:rsidRDefault="00CF626A">
      <w:pPr>
        <w:pStyle w:val="1"/>
      </w:pPr>
      <w:r w:rsidRPr="001531CD">
        <w:t>1.</w:t>
      </w:r>
      <w:r w:rsidRPr="001531CD">
        <w:tab/>
        <w:t>cabbage placed on the market that are soft or immature and fail to meet the requirement of U.S. Number 1 standards as to solidity is undesirable and has a tendency to demoralize the market;</w:t>
      </w:r>
    </w:p>
    <w:p w14:paraId="7030F5AF" w14:textId="77777777" w:rsidR="00CF626A" w:rsidRPr="001531CD" w:rsidRDefault="00CF626A">
      <w:pPr>
        <w:pStyle w:val="1"/>
      </w:pPr>
      <w:r w:rsidRPr="001531CD">
        <w:t>2.</w:t>
      </w:r>
      <w:r w:rsidRPr="001531CD">
        <w:tab/>
        <w:t>all lots of cabbage offered for sale for shipment or movement shall meet the standard requirements of U.S. Number 1 Grade as to solidity.</w:t>
      </w:r>
    </w:p>
    <w:p w14:paraId="214E3C34" w14:textId="77777777" w:rsidR="00CF626A" w:rsidRPr="001531CD" w:rsidRDefault="00CF626A">
      <w:pPr>
        <w:pStyle w:val="AuthorityNote"/>
      </w:pPr>
      <w:r w:rsidRPr="001531CD">
        <w:t>AUTHORITY NOTE:</w:t>
      </w:r>
      <w:r w:rsidRPr="001531CD">
        <w:tab/>
        <w:t>Promulgated in accordance with R.S. 3:405.</w:t>
      </w:r>
    </w:p>
    <w:p w14:paraId="516853A8"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2A5E39C9" w14:textId="77777777" w:rsidR="00CF626A" w:rsidRPr="001531CD" w:rsidRDefault="00CF626A">
      <w:pPr>
        <w:pStyle w:val="Section"/>
      </w:pPr>
      <w:bookmarkStart w:id="754" w:name="_Toc256754387"/>
      <w:bookmarkStart w:id="755" w:name="_Toc224818621"/>
      <w:r w:rsidRPr="001531CD">
        <w:t>§1121.</w:t>
      </w:r>
      <w:r w:rsidRPr="001531CD">
        <w:tab/>
        <w:t>Shallot Regulation</w:t>
      </w:r>
      <w:bookmarkEnd w:id="754"/>
      <w:bookmarkEnd w:id="755"/>
    </w:p>
    <w:p w14:paraId="7BDBA11E" w14:textId="77777777" w:rsidR="00CF626A" w:rsidRPr="001531CD" w:rsidRDefault="00CF626A">
      <w:pPr>
        <w:pStyle w:val="A"/>
      </w:pPr>
      <w:r w:rsidRPr="001531CD">
        <w:t>A.</w:t>
      </w:r>
      <w:r w:rsidRPr="001531CD">
        <w:tab/>
        <w:t>In addition to the regulations stipulated in §1103, the following regulation is prescribed governing the marketing and/or sale of bunched shallots in Louisiana.</w:t>
      </w:r>
    </w:p>
    <w:p w14:paraId="33C0F895" w14:textId="77777777" w:rsidR="00CF626A" w:rsidRPr="001531CD" w:rsidRDefault="00CF626A">
      <w:pPr>
        <w:pStyle w:val="1"/>
      </w:pPr>
      <w:r w:rsidRPr="001531CD">
        <w:t>1.</w:t>
      </w:r>
      <w:r w:rsidRPr="001531CD">
        <w:tab/>
        <w:t xml:space="preserve">The weight of the bunches shall not be less than </w:t>
      </w:r>
      <w:r w:rsidR="0086255A" w:rsidRPr="001531CD">
        <w:br/>
      </w:r>
      <w:r w:rsidRPr="001531CD">
        <w:t>4 pounds per dozen bunches with a tolerance of one bunch per dozen weighing less than 1/3 pound.</w:t>
      </w:r>
    </w:p>
    <w:p w14:paraId="0D0D2933" w14:textId="77777777" w:rsidR="00CF626A" w:rsidRPr="001531CD" w:rsidRDefault="00CF626A">
      <w:pPr>
        <w:pStyle w:val="1"/>
      </w:pPr>
      <w:r w:rsidRPr="001531CD">
        <w:t>2.</w:t>
      </w:r>
      <w:r w:rsidRPr="001531CD">
        <w:tab/>
        <w:t>It shall be unlawful for any person, firm or corporation to offer for sale or shipment bunched shallots unless in conformance with this regulation.</w:t>
      </w:r>
    </w:p>
    <w:p w14:paraId="4CF23E6D" w14:textId="77777777" w:rsidR="00CF626A" w:rsidRPr="001531CD" w:rsidRDefault="00CF626A">
      <w:pPr>
        <w:pStyle w:val="AuthorityNote"/>
      </w:pPr>
      <w:r w:rsidRPr="001531CD">
        <w:t>AUTHORITY NOTE:</w:t>
      </w:r>
      <w:r w:rsidRPr="001531CD">
        <w:tab/>
        <w:t>Promulgated in accordance with R.S. 3:405.</w:t>
      </w:r>
    </w:p>
    <w:p w14:paraId="0451BE95"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4F090B95" w14:textId="77777777" w:rsidR="00CF626A" w:rsidRPr="001531CD" w:rsidRDefault="00CF626A">
      <w:pPr>
        <w:pStyle w:val="Section"/>
      </w:pPr>
      <w:bookmarkStart w:id="756" w:name="_Toc256754388"/>
      <w:bookmarkStart w:id="757" w:name="_Toc224818622"/>
      <w:r w:rsidRPr="001531CD">
        <w:t>§1123.</w:t>
      </w:r>
      <w:r w:rsidRPr="001531CD">
        <w:tab/>
        <w:t>Stemmed Berries for Processing Purposes</w:t>
      </w:r>
      <w:bookmarkEnd w:id="756"/>
      <w:bookmarkEnd w:id="757"/>
    </w:p>
    <w:p w14:paraId="290E2879" w14:textId="77777777" w:rsidR="00CF626A" w:rsidRPr="001531CD" w:rsidRDefault="00CF626A">
      <w:pPr>
        <w:pStyle w:val="A"/>
      </w:pPr>
      <w:r w:rsidRPr="001531CD">
        <w:t>A.</w:t>
      </w:r>
      <w:r w:rsidRPr="001531CD">
        <w:tab/>
        <w:t>In addition to the regulations stipulated in §1103, the following regulation is prescribed governing the inspection and certification of strawberries of processing plants.</w:t>
      </w:r>
    </w:p>
    <w:p w14:paraId="1F337F87" w14:textId="77777777" w:rsidR="00CF626A" w:rsidRPr="001531CD" w:rsidRDefault="00CF626A">
      <w:pPr>
        <w:pStyle w:val="1"/>
      </w:pPr>
      <w:r w:rsidRPr="001531CD">
        <w:t>1.</w:t>
      </w:r>
      <w:r w:rsidRPr="001531CD">
        <w:tab/>
        <w:t>Strawberries shall be submitted for inspection in quart or pint containers that are well filled.</w:t>
      </w:r>
    </w:p>
    <w:p w14:paraId="15B02228" w14:textId="77777777" w:rsidR="00CF626A" w:rsidRPr="001531CD" w:rsidRDefault="00CF626A">
      <w:pPr>
        <w:pStyle w:val="1"/>
      </w:pPr>
      <w:r w:rsidRPr="001531CD">
        <w:t>2.</w:t>
      </w:r>
      <w:r w:rsidRPr="001531CD">
        <w:tab/>
        <w:t xml:space="preserve">In the case of flats and hand carriers, the strawberries shall not overflow from the individual </w:t>
      </w:r>
      <w:r w:rsidRPr="001531CD">
        <w:br/>
        <w:t>well-filled cup containers.</w:t>
      </w:r>
    </w:p>
    <w:p w14:paraId="211B1048" w14:textId="77777777" w:rsidR="00CF626A" w:rsidRPr="001531CD" w:rsidRDefault="00CF626A">
      <w:pPr>
        <w:pStyle w:val="1"/>
      </w:pPr>
      <w:r w:rsidRPr="001531CD">
        <w:t>3.</w:t>
      </w:r>
      <w:r w:rsidRPr="001531CD">
        <w:tab/>
        <w:t>It shall be the responsibility of the seller or the seller's representative to segregate each individual lot, and make each lot accessible for inspection. Strawberries inspected at points of assembly shall be accompanied by a certificate of inspection. Strawberries passing inspection at processing plants shall be considered as being accompanied by a certificate of inspection.</w:t>
      </w:r>
    </w:p>
    <w:p w14:paraId="264C5307" w14:textId="77777777" w:rsidR="00CF626A" w:rsidRPr="001531CD" w:rsidRDefault="00CF626A">
      <w:pPr>
        <w:pStyle w:val="1"/>
      </w:pPr>
      <w:r w:rsidRPr="001531CD">
        <w:t>4.</w:t>
      </w:r>
      <w:r w:rsidRPr="001531CD">
        <w:tab/>
        <w:t>Strawberries shall be well colored and firm with the stem removed without bruising, free from decay and mold or evidence of decay having been removed from the strawberry. Unless otherwise specified, the minimum diameter shall be 1/2 inch. A tolerance of 10 percent for soft, undercolored, badly misshapen, stems, leaking and undersized berries, including 2 percent decay shall be allowed.</w:t>
      </w:r>
    </w:p>
    <w:p w14:paraId="591A0836" w14:textId="77777777" w:rsidR="00CF626A" w:rsidRPr="001531CD" w:rsidRDefault="00CF626A">
      <w:pPr>
        <w:pStyle w:val="1"/>
      </w:pPr>
      <w:r w:rsidRPr="001531CD">
        <w:t>5.</w:t>
      </w:r>
      <w:r w:rsidRPr="001531CD">
        <w:tab/>
        <w:t>Strawberries for processing purposes shall not be held at assembly points for a processing plant more than three hours after having passed inspection and certificate issued.</w:t>
      </w:r>
    </w:p>
    <w:p w14:paraId="56B9E332" w14:textId="77777777" w:rsidR="00CF626A" w:rsidRPr="001531CD" w:rsidRDefault="00CF626A">
      <w:pPr>
        <w:pStyle w:val="AuthorityNote"/>
      </w:pPr>
      <w:r w:rsidRPr="001531CD">
        <w:t>AUTHORITY NOTE:</w:t>
      </w:r>
      <w:r w:rsidRPr="001531CD">
        <w:tab/>
        <w:t>Promulgated in accordance with R.S. 3:405.</w:t>
      </w:r>
    </w:p>
    <w:p w14:paraId="344DDE5D"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2A587086" w14:textId="77777777" w:rsidR="00CF626A" w:rsidRPr="001531CD" w:rsidRDefault="00CF626A">
      <w:pPr>
        <w:pStyle w:val="Section"/>
      </w:pPr>
      <w:bookmarkStart w:id="758" w:name="_Toc256754389"/>
      <w:bookmarkStart w:id="759" w:name="_Toc224818623"/>
      <w:r w:rsidRPr="001531CD">
        <w:t>§1125.</w:t>
      </w:r>
      <w:r w:rsidRPr="001531CD">
        <w:tab/>
        <w:t>Sweet Pepper Maturity Regulation</w:t>
      </w:r>
      <w:bookmarkEnd w:id="758"/>
      <w:bookmarkEnd w:id="759"/>
    </w:p>
    <w:p w14:paraId="1DE19D3F" w14:textId="77777777" w:rsidR="00CF626A" w:rsidRPr="001531CD" w:rsidRDefault="00CF626A">
      <w:pPr>
        <w:pStyle w:val="A"/>
      </w:pPr>
      <w:r w:rsidRPr="001531CD">
        <w:t>A.</w:t>
      </w:r>
      <w:r w:rsidRPr="001531CD">
        <w:tab/>
        <w:t>In addition to the regulations stipulated in §1103, the following regulation is prescribed governing the marketing and/or sale of sweet peppers in Louisiana.</w:t>
      </w:r>
    </w:p>
    <w:p w14:paraId="735A482F" w14:textId="77777777" w:rsidR="00CF626A" w:rsidRPr="001531CD" w:rsidRDefault="00CF626A">
      <w:pPr>
        <w:pStyle w:val="1"/>
      </w:pPr>
      <w:r w:rsidRPr="001531CD">
        <w:t>1.</w:t>
      </w:r>
      <w:r w:rsidRPr="001531CD">
        <w:tab/>
        <w:t>Sweet peppers placed on the market that are not mature and firm causes a demoralization of the market in that immature peppers will not insure a proper completion of the ripening process.</w:t>
      </w:r>
    </w:p>
    <w:p w14:paraId="69902C28" w14:textId="77777777" w:rsidR="00CF626A" w:rsidRPr="001531CD" w:rsidRDefault="00CF626A">
      <w:pPr>
        <w:pStyle w:val="1"/>
      </w:pPr>
      <w:r w:rsidRPr="001531CD">
        <w:t>2.</w:t>
      </w:r>
      <w:r w:rsidRPr="001531CD">
        <w:tab/>
        <w:t>All lots of sweet peppers offered for sale or shipment must meet the standard requirements of the U.S. Number 1 Grade as to maturity and firmness. Immature means that the seeds are not fully developed and that the pepper has not reached the stage of maturity which will insure a proper completion of ripening process. Firm means that the pepper is not soft, shriveled, limp, or pliable.</w:t>
      </w:r>
    </w:p>
    <w:p w14:paraId="5AFAE8C0" w14:textId="77777777" w:rsidR="00CF626A" w:rsidRPr="001531CD" w:rsidRDefault="00CF626A">
      <w:pPr>
        <w:pStyle w:val="AuthorityNote"/>
      </w:pPr>
      <w:bookmarkStart w:id="760" w:name="QuickMark"/>
      <w:bookmarkEnd w:id="760"/>
      <w:r w:rsidRPr="001531CD">
        <w:t>AUTHORITY NOTE:</w:t>
      </w:r>
      <w:r w:rsidRPr="001531CD">
        <w:tab/>
        <w:t>Promulgated in accordance with R.S. 3:405.</w:t>
      </w:r>
    </w:p>
    <w:p w14:paraId="66BFEF01"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6C40F0B9" w14:textId="77777777" w:rsidR="00CF626A" w:rsidRPr="001531CD" w:rsidRDefault="00CF626A">
      <w:pPr>
        <w:pStyle w:val="Section"/>
      </w:pPr>
      <w:bookmarkStart w:id="761" w:name="_Toc256754390"/>
      <w:bookmarkStart w:id="762" w:name="_Toc224818624"/>
      <w:r w:rsidRPr="001531CD">
        <w:t>§1127.</w:t>
      </w:r>
      <w:r w:rsidRPr="001531CD">
        <w:tab/>
        <w:t>Mislabeling of Fresh Fruits and Vegetables Prohibited</w:t>
      </w:r>
      <w:bookmarkEnd w:id="761"/>
      <w:bookmarkEnd w:id="762"/>
    </w:p>
    <w:p w14:paraId="125FD09C" w14:textId="77777777" w:rsidR="00CF626A" w:rsidRPr="001531CD" w:rsidRDefault="00CF626A">
      <w:pPr>
        <w:pStyle w:val="A"/>
      </w:pPr>
      <w:r w:rsidRPr="001531CD">
        <w:t>A.</w:t>
      </w:r>
      <w:r w:rsidRPr="001531CD">
        <w:tab/>
        <w:t xml:space="preserve">No person or firm shall mislabel any fresh fruit or vegetable, or place or have any false or misleading statement or designation of quality, grade, trademarks, trade name, area </w:t>
      </w:r>
      <w:r w:rsidRPr="001531CD">
        <w:lastRenderedPageBreak/>
        <w:t>of production of place of origin on any fruit or vegetable, or on any placard used in connection with or having reference to any fresh fruit or vegetable or container, bulk lot, bulk load, load, arrangement, or display of fresh fruits or vegetables. Any fruits and/or vegetables found mislabeled shall have a stop-sale placed on the product and may be seized by the department.</w:t>
      </w:r>
    </w:p>
    <w:p w14:paraId="00D2BDA1" w14:textId="77777777" w:rsidR="00CF626A" w:rsidRPr="001531CD" w:rsidRDefault="00CF626A">
      <w:pPr>
        <w:pStyle w:val="A"/>
      </w:pPr>
      <w:r w:rsidRPr="001531CD">
        <w:t>B.</w:t>
      </w:r>
      <w:r w:rsidRPr="001531CD">
        <w:tab/>
        <w:t>Fruits or vegetables labeled as a Louisiana-grown or produced product must have proof of origin of that product, such as sale invoices that give the producers or producer-packer's name and address. Any product labeled, "Louisiana Fruit," "Louisiana Vegetables," or has the name of a town (such as "Ruston Peaches," "Hammond Strawberries," etc.) attached to said product, that implies it was produced in that region, must have proof that the product is a Louisiana product and was produced in that region.</w:t>
      </w:r>
    </w:p>
    <w:p w14:paraId="2FC16B82" w14:textId="77777777" w:rsidR="00CF626A" w:rsidRPr="001531CD" w:rsidRDefault="00CF626A">
      <w:pPr>
        <w:pStyle w:val="AuthorityNote"/>
      </w:pPr>
      <w:r w:rsidRPr="001531CD">
        <w:t>AUTHORITY NOTE:</w:t>
      </w:r>
      <w:r w:rsidRPr="001531CD">
        <w:tab/>
        <w:t>Promulgated in accordance with R.S. 3:405.</w:t>
      </w:r>
    </w:p>
    <w:p w14:paraId="2A461F8A" w14:textId="77777777" w:rsidR="00CF626A" w:rsidRPr="001531CD" w:rsidRDefault="00CF626A">
      <w:pPr>
        <w:pStyle w:val="HistoricalNote"/>
      </w:pPr>
      <w:r w:rsidRPr="001531CD">
        <w:t>HISTORICAL NOTE:</w:t>
      </w:r>
      <w:r w:rsidRPr="001531CD">
        <w:tab/>
        <w:t xml:space="preserve">Promulgated by the Department of Agriculture, Market Commission, LR 11:249 (March 1985), amended by the Department of Agriculture and Forestry, Office of Marketing, Market Commission, LR 23:1287 (October 1997). </w:t>
      </w:r>
    </w:p>
    <w:p w14:paraId="5F34B0C8" w14:textId="77777777" w:rsidR="00CF626A" w:rsidRPr="001531CD" w:rsidRDefault="00CF626A">
      <w:pPr>
        <w:pStyle w:val="Section"/>
      </w:pPr>
      <w:bookmarkStart w:id="763" w:name="_Toc256754391"/>
      <w:bookmarkStart w:id="764" w:name="_Toc224818625"/>
      <w:r w:rsidRPr="001531CD">
        <w:t>§1129.</w:t>
      </w:r>
      <w:r w:rsidRPr="001531CD">
        <w:tab/>
        <w:t>Transportation of Fresh Fruits and Vegetables</w:t>
      </w:r>
      <w:bookmarkEnd w:id="763"/>
      <w:bookmarkEnd w:id="764"/>
    </w:p>
    <w:p w14:paraId="036EE155" w14:textId="77777777" w:rsidR="00CF626A" w:rsidRPr="001531CD" w:rsidRDefault="00CF626A">
      <w:pPr>
        <w:pStyle w:val="A"/>
      </w:pPr>
      <w:r w:rsidRPr="001531CD">
        <w:t>A.</w:t>
      </w:r>
      <w:r w:rsidRPr="001531CD">
        <w:tab/>
        <w:t>It shall be unlawful for any common carrier, whether railroad, boat, truck, or any other vehicle to transport, carry, or deliver fresh fruits and vegetables unless accompanied by a proper grade certificate(s), except when being trucked by a farmer of his own product or being assembled for delivery to an assembly or packing shed where a duly authorized inspector is stationed.</w:t>
      </w:r>
    </w:p>
    <w:p w14:paraId="4FC72EA1" w14:textId="77777777" w:rsidR="00CF626A" w:rsidRPr="001531CD" w:rsidRDefault="00CF626A">
      <w:pPr>
        <w:pStyle w:val="AuthorityNote"/>
      </w:pPr>
      <w:r w:rsidRPr="001531CD">
        <w:t>AUTHORITY NOTE:</w:t>
      </w:r>
      <w:r w:rsidRPr="001531CD">
        <w:tab/>
        <w:t>Promulgated in accordance with R.S. 3:405.</w:t>
      </w:r>
    </w:p>
    <w:p w14:paraId="2754AB89"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76456076" w14:textId="77777777" w:rsidR="00CF626A" w:rsidRPr="001531CD" w:rsidRDefault="00CF626A">
      <w:pPr>
        <w:pStyle w:val="Section"/>
      </w:pPr>
      <w:bookmarkStart w:id="765" w:name="_Toc256754392"/>
      <w:bookmarkStart w:id="766" w:name="_Toc224818626"/>
      <w:r w:rsidRPr="001531CD">
        <w:t>§1131.</w:t>
      </w:r>
      <w:r w:rsidRPr="001531CD">
        <w:tab/>
        <w:t>Shipment of Product into Louisiana</w:t>
      </w:r>
      <w:bookmarkEnd w:id="765"/>
      <w:bookmarkEnd w:id="766"/>
    </w:p>
    <w:p w14:paraId="5E9289D3" w14:textId="77777777" w:rsidR="00CF626A" w:rsidRPr="001531CD" w:rsidRDefault="00CF626A">
      <w:pPr>
        <w:pStyle w:val="A"/>
      </w:pPr>
      <w:r w:rsidRPr="001531CD">
        <w:t>A.</w:t>
      </w:r>
      <w:r w:rsidRPr="001531CD">
        <w:tab/>
        <w:t>All fruits and vegetables which are shipped into Louisiana and will be offered for sale in the state will be required to meet the provisions of these regulations with regard to grade, inspection, and marking requirements.</w:t>
      </w:r>
    </w:p>
    <w:p w14:paraId="36BE4057" w14:textId="77777777" w:rsidR="00CF626A" w:rsidRPr="001531CD" w:rsidRDefault="00CF626A">
      <w:pPr>
        <w:pStyle w:val="AuthorityNote"/>
      </w:pPr>
      <w:r w:rsidRPr="001531CD">
        <w:t>AUTHORITY NOTE:</w:t>
      </w:r>
      <w:r w:rsidRPr="001531CD">
        <w:tab/>
        <w:t>Promulgated in accordance with R.S. 3:405.</w:t>
      </w:r>
    </w:p>
    <w:p w14:paraId="3BB71788"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7A0E92A5" w14:textId="77777777" w:rsidR="00CF626A" w:rsidRPr="001531CD" w:rsidRDefault="00CF626A">
      <w:pPr>
        <w:pStyle w:val="Section"/>
      </w:pPr>
      <w:bookmarkStart w:id="767" w:name="_Toc256754393"/>
      <w:bookmarkStart w:id="768" w:name="_Toc224818627"/>
      <w:r w:rsidRPr="001531CD">
        <w:t>§1133.</w:t>
      </w:r>
      <w:r w:rsidRPr="001531CD">
        <w:tab/>
        <w:t>Penalty for Violations; Injunctive Relief; Costs</w:t>
      </w:r>
      <w:bookmarkEnd w:id="767"/>
      <w:bookmarkEnd w:id="768"/>
    </w:p>
    <w:p w14:paraId="1C1CC6C5" w14:textId="77777777" w:rsidR="00CF626A" w:rsidRPr="001531CD" w:rsidRDefault="00CF626A">
      <w:pPr>
        <w:pStyle w:val="A"/>
      </w:pPr>
      <w:r w:rsidRPr="001531CD">
        <w:t>A.</w:t>
      </w:r>
      <w:r w:rsidRPr="001531CD">
        <w:tab/>
        <w:t>Whenever the commission has any reason to believe that a violation of these regulations has occurred, an adjudicatory hearing will be held to make a determination with respect to the suspected violation.</w:t>
      </w:r>
    </w:p>
    <w:p w14:paraId="17022CBD" w14:textId="77777777" w:rsidR="00CF626A" w:rsidRPr="001531CD" w:rsidRDefault="00CF626A">
      <w:pPr>
        <w:pStyle w:val="A"/>
      </w:pPr>
      <w:r w:rsidRPr="001531CD">
        <w:t>B.</w:t>
      </w:r>
      <w:r w:rsidRPr="001531CD">
        <w:tab/>
        <w:t>The commission shall give written notice to the person suspected of the violation, such notice to comply with the requirements of the Administrative Procedure Act, at least five days prior to the date set for such adjudicatory hearing.</w:t>
      </w:r>
    </w:p>
    <w:p w14:paraId="497B18D7" w14:textId="77777777" w:rsidR="00CF626A" w:rsidRPr="001531CD" w:rsidRDefault="00CF626A">
      <w:pPr>
        <w:pStyle w:val="A"/>
      </w:pPr>
      <w:r w:rsidRPr="001531CD">
        <w:t>C.</w:t>
      </w:r>
      <w:r w:rsidRPr="001531CD">
        <w:tab/>
        <w:t>As chairman of the State Market Commission, the commissioner shall designate a hearing officer to preside at all adjudicatory proceedings.</w:t>
      </w:r>
    </w:p>
    <w:p w14:paraId="1274C334" w14:textId="77777777" w:rsidR="00CF626A" w:rsidRPr="001531CD" w:rsidRDefault="00CF626A">
      <w:pPr>
        <w:pStyle w:val="A"/>
      </w:pPr>
      <w:r w:rsidRPr="001531CD">
        <w:t>D.</w:t>
      </w:r>
      <w:r w:rsidRPr="001531CD">
        <w:tab/>
        <w:t>At any such adjudicatory hearing, the person suspected of a violation of these regulations shall be accorded all of the rights set forth in the Administrative Procedure Act.</w:t>
      </w:r>
    </w:p>
    <w:p w14:paraId="2471663A" w14:textId="77777777" w:rsidR="00CF626A" w:rsidRPr="001531CD" w:rsidRDefault="00CF626A">
      <w:pPr>
        <w:pStyle w:val="A"/>
      </w:pPr>
      <w:r w:rsidRPr="001531CD">
        <w:t>E.</w:t>
      </w:r>
      <w:r w:rsidRPr="001531CD">
        <w:tab/>
        <w:t>Whenever the commission makes a determination from the proceedings of the adjudicatory hearing that any violation of these regulations has occurred, the commission may impose a monetary fine.</w:t>
      </w:r>
    </w:p>
    <w:p w14:paraId="2D6B8BB9" w14:textId="77777777" w:rsidR="00CF626A" w:rsidRPr="001531CD" w:rsidRDefault="00CF626A">
      <w:pPr>
        <w:pStyle w:val="A"/>
      </w:pPr>
      <w:r w:rsidRPr="001531CD">
        <w:t>F.</w:t>
      </w:r>
      <w:r w:rsidRPr="001531CD">
        <w:tab/>
        <w:t>The commission may impose a penalty of not less than $25 nor more than $500, or have the person suspected of a violation imprisoned for not less than 10 days nor more than six months, or both for each violation of these rules and regulations which is proven in any adjudicatory hearing.</w:t>
      </w:r>
    </w:p>
    <w:p w14:paraId="11DC0B15" w14:textId="77777777" w:rsidR="00CF626A" w:rsidRPr="001531CD" w:rsidRDefault="00CF626A">
      <w:pPr>
        <w:pStyle w:val="A"/>
      </w:pPr>
      <w:r w:rsidRPr="001531CD">
        <w:t>G.</w:t>
      </w:r>
      <w:r w:rsidRPr="001531CD">
        <w:tab/>
        <w:t>Each separate day on which a violation occurs shall be considered a separate violation.</w:t>
      </w:r>
    </w:p>
    <w:p w14:paraId="41A1D40F" w14:textId="77777777" w:rsidR="00CF626A" w:rsidRPr="001531CD" w:rsidRDefault="00CF626A">
      <w:pPr>
        <w:pStyle w:val="A"/>
      </w:pPr>
      <w:r w:rsidRPr="001531CD">
        <w:t>H.</w:t>
      </w:r>
      <w:r w:rsidRPr="001531CD">
        <w:tab/>
        <w:t>Any person may appeal any action taken by the commissioner to impose a monetary penalty by:</w:t>
      </w:r>
    </w:p>
    <w:p w14:paraId="78511C76" w14:textId="77777777" w:rsidR="00CF626A" w:rsidRPr="001531CD" w:rsidRDefault="00CF626A">
      <w:pPr>
        <w:pStyle w:val="1"/>
      </w:pPr>
      <w:r w:rsidRPr="001531CD">
        <w:t>1.</w:t>
      </w:r>
      <w:r w:rsidRPr="001531CD">
        <w:tab/>
        <w:t>applying for a rehearing under the procedures provided in the Administrative Procedure Act; or</w:t>
      </w:r>
    </w:p>
    <w:p w14:paraId="5ABDD2FA" w14:textId="77777777" w:rsidR="00CF626A" w:rsidRPr="001531CD" w:rsidRDefault="00CF626A">
      <w:pPr>
        <w:pStyle w:val="1"/>
      </w:pPr>
      <w:r w:rsidRPr="001531CD">
        <w:t>2.</w:t>
      </w:r>
      <w:r w:rsidRPr="001531CD">
        <w:tab/>
        <w:t>applying for judicial review of the commissioner's determination, under either the Administrative Procedure Act or other applicable laws.</w:t>
      </w:r>
    </w:p>
    <w:p w14:paraId="3F53A141" w14:textId="77777777" w:rsidR="00CF626A" w:rsidRPr="001531CD" w:rsidRDefault="00CF626A">
      <w:pPr>
        <w:pStyle w:val="A"/>
      </w:pPr>
      <w:r w:rsidRPr="001531CD">
        <w:t>I.</w:t>
      </w:r>
      <w:r w:rsidRPr="001531CD">
        <w:tab/>
        <w:t>In addition to the penalties authorized in this Section, the commission may apply for injunctive relief restraining violations of these regulations. The person condemned in any such proceeding shall be liable for the costs of court and for any additional costs incurred by the commission in gathering the necessary evidence, including reasonable attorney fees and expert witness fees.</w:t>
      </w:r>
    </w:p>
    <w:p w14:paraId="065E0BB1" w14:textId="77777777" w:rsidR="00CF626A" w:rsidRPr="001531CD" w:rsidRDefault="00CF626A">
      <w:pPr>
        <w:pStyle w:val="AuthorityNote"/>
      </w:pPr>
      <w:r w:rsidRPr="001531CD">
        <w:t>AUTHORITY NOTE:</w:t>
      </w:r>
      <w:r w:rsidRPr="001531CD">
        <w:tab/>
        <w:t>Promulgated in accordance with R.S. 3:413 and R.S. 3:405.</w:t>
      </w:r>
    </w:p>
    <w:p w14:paraId="60F326F1" w14:textId="77777777" w:rsidR="00CF626A" w:rsidRPr="001531CD" w:rsidRDefault="00CF626A">
      <w:pPr>
        <w:pStyle w:val="HistoricalNote"/>
      </w:pPr>
      <w:r w:rsidRPr="001531CD">
        <w:t>HISTORICAL NOTE:</w:t>
      </w:r>
      <w:r w:rsidRPr="001531CD">
        <w:tab/>
        <w:t>Promulgated by the Department of Agriculture, Market Commission, LR 11:249 (March 1985).</w:t>
      </w:r>
    </w:p>
    <w:p w14:paraId="6B29DABE" w14:textId="77777777" w:rsidR="00CF626A" w:rsidRPr="001531CD" w:rsidRDefault="00CF626A">
      <w:pPr>
        <w:pStyle w:val="Chapter"/>
      </w:pPr>
      <w:bookmarkStart w:id="769" w:name="TOC_SubC58"/>
      <w:bookmarkStart w:id="770" w:name="_Toc256754394"/>
      <w:bookmarkStart w:id="771" w:name="_Toc224818628"/>
      <w:r w:rsidRPr="001531CD">
        <w:t>Subchapter B.</w:t>
      </w:r>
      <w:bookmarkEnd w:id="769"/>
      <w:r w:rsidR="00167E2E">
        <w:tab/>
      </w:r>
      <w:bookmarkStart w:id="772" w:name="TOCT_SubC56"/>
      <w:bookmarkStart w:id="773" w:name="TOCT_SubC57"/>
      <w:bookmarkStart w:id="774" w:name="TOCT_SubC58"/>
      <w:r w:rsidRPr="001531CD">
        <w:t>Fruits and Vegetables Rules and Regulations</w:t>
      </w:r>
      <w:bookmarkEnd w:id="770"/>
      <w:bookmarkEnd w:id="771"/>
      <w:bookmarkEnd w:id="772"/>
      <w:bookmarkEnd w:id="773"/>
      <w:bookmarkEnd w:id="774"/>
    </w:p>
    <w:p w14:paraId="3FB99A24" w14:textId="77777777" w:rsidR="00CF626A" w:rsidRPr="001531CD" w:rsidRDefault="00CF626A">
      <w:pPr>
        <w:pStyle w:val="Section"/>
      </w:pPr>
      <w:bookmarkStart w:id="775" w:name="_Toc256754395"/>
      <w:bookmarkStart w:id="776" w:name="_Toc224818629"/>
      <w:r w:rsidRPr="001531CD">
        <w:t>§1135.</w:t>
      </w:r>
      <w:r w:rsidRPr="001531CD">
        <w:tab/>
        <w:t>Red River Valley Tomatoes</w:t>
      </w:r>
      <w:bookmarkEnd w:id="775"/>
      <w:bookmarkEnd w:id="776"/>
    </w:p>
    <w:p w14:paraId="4E5B3F4E" w14:textId="77777777" w:rsidR="00CF626A" w:rsidRPr="001531CD" w:rsidRDefault="00CF626A">
      <w:pPr>
        <w:pStyle w:val="A"/>
      </w:pPr>
      <w:r w:rsidRPr="001531CD">
        <w:t>A.</w:t>
      </w:r>
      <w:r w:rsidRPr="001531CD">
        <w:tab/>
        <w:t>Definitions</w:t>
      </w:r>
    </w:p>
    <w:p w14:paraId="1D986037" w14:textId="77777777" w:rsidR="00CF626A" w:rsidRPr="001531CD" w:rsidRDefault="00CF626A">
      <w:pPr>
        <w:pStyle w:val="1"/>
      </w:pPr>
      <w:r w:rsidRPr="001531CD">
        <w:rPr>
          <w:i/>
          <w:iCs/>
        </w:rPr>
        <w:t>Red River Valley Tomatoes</w:t>
      </w:r>
      <w:r w:rsidRPr="001531CD">
        <w:t>―tomatoes that are produced by farms in Louisiana that have been certified by the Red River Valley Research Station of Louisiana State University as being certified Red River Valley Tomato Producers, and which meet all horticulture practices prescribed by the Red River Valley Research station. No tomatoes that have been gassed to achieve ripeness or that do not meet the Louisiana Number 1 Grading Standard can qualify as a Red River Valley Tomato.</w:t>
      </w:r>
    </w:p>
    <w:p w14:paraId="79AFDF64" w14:textId="77777777" w:rsidR="00CF626A" w:rsidRPr="001531CD" w:rsidRDefault="00CF626A">
      <w:pPr>
        <w:pStyle w:val="A"/>
      </w:pPr>
      <w:r w:rsidRPr="001531CD">
        <w:t>B.</w:t>
      </w:r>
      <w:r w:rsidRPr="001531CD">
        <w:tab/>
        <w:t>In addition to the standards referred to in §1103, the following provisions govern the marketing and sale of tomatoes in Louisiana that are labeled as Red River Valley Tomatoes.</w:t>
      </w:r>
    </w:p>
    <w:p w14:paraId="6B19EF1E" w14:textId="77777777" w:rsidR="00CF626A" w:rsidRPr="001531CD" w:rsidRDefault="00CF626A">
      <w:pPr>
        <w:pStyle w:val="1"/>
      </w:pPr>
      <w:r w:rsidRPr="001531CD">
        <w:t>1.</w:t>
      </w:r>
      <w:r w:rsidRPr="001531CD">
        <w:tab/>
        <w:t xml:space="preserve">The U.S. Standards for Combination, 2, and 3 as stipulated by the United States Department of Agriculture </w:t>
      </w:r>
      <w:r w:rsidRPr="001531CD">
        <w:lastRenderedPageBreak/>
        <w:t>(hereinafter "U.S.D.A."), shall be adopted as official State Grades.</w:t>
      </w:r>
    </w:p>
    <w:p w14:paraId="5CF75266" w14:textId="77777777" w:rsidR="00CF626A" w:rsidRPr="001531CD" w:rsidRDefault="00CF626A">
      <w:pPr>
        <w:pStyle w:val="1"/>
      </w:pPr>
      <w:r w:rsidRPr="001531CD">
        <w:t>2.</w:t>
      </w:r>
      <w:r w:rsidRPr="001531CD">
        <w:tab/>
        <w:t>The grade Louisiana Number 1 is hereby established, the standards of which are not less than those of the U.S. combination, except that not more than 15 percent tolerance for grade defects will be allowed.</w:t>
      </w:r>
    </w:p>
    <w:p w14:paraId="172100AD" w14:textId="77777777" w:rsidR="00CF626A" w:rsidRPr="001531CD" w:rsidRDefault="00CF626A">
      <w:pPr>
        <w:pStyle w:val="1"/>
      </w:pPr>
      <w:r w:rsidRPr="001531CD">
        <w:t>3.</w:t>
      </w:r>
      <w:r w:rsidRPr="001531CD">
        <w:tab/>
        <w:t>The grades Louisiana Number 2 and Louisiana Number 3 are hereby established, these standards of which are not less than the U.S. Standards for Number 2 and Number 3.</w:t>
      </w:r>
    </w:p>
    <w:p w14:paraId="6823BCB8" w14:textId="77777777" w:rsidR="00CF626A" w:rsidRPr="001531CD" w:rsidRDefault="00CF626A">
      <w:pPr>
        <w:pStyle w:val="1"/>
      </w:pPr>
      <w:r w:rsidRPr="001531CD">
        <w:t>4.</w:t>
      </w:r>
      <w:r w:rsidRPr="001531CD">
        <w:tab/>
        <w:t>Color classification shall be the same as U.S. Standards.</w:t>
      </w:r>
    </w:p>
    <w:p w14:paraId="3E0BD0CF" w14:textId="77777777" w:rsidR="00CF626A" w:rsidRPr="001531CD" w:rsidRDefault="00CF626A">
      <w:pPr>
        <w:pStyle w:val="1"/>
      </w:pPr>
      <w:r w:rsidRPr="001531CD">
        <w:t>5.</w:t>
      </w:r>
      <w:r w:rsidRPr="001531CD">
        <w:tab/>
        <w:t>Size</w:t>
      </w:r>
    </w:p>
    <w:p w14:paraId="6656799A" w14:textId="77777777" w:rsidR="00CF626A" w:rsidRPr="001531CD" w:rsidRDefault="00CF626A">
      <w:pPr>
        <w:pStyle w:val="a0"/>
      </w:pPr>
      <w:r w:rsidRPr="001531CD">
        <w:t>a.</w:t>
      </w:r>
      <w:r w:rsidRPr="001531CD">
        <w:tab/>
        <w:t>The size of tomatoes packed in any standard type shipping container shall be specified and marked according to one of the size designations set forth in Table 1. Individual containers shall not be marked with more than one size designation. Consumer packages and their master container are exempt; however, if they are marked, the same requirements apply.</w:t>
      </w:r>
    </w:p>
    <w:p w14:paraId="1E83F212" w14:textId="77777777" w:rsidR="00CF626A" w:rsidRPr="001531CD" w:rsidRDefault="00CF626A">
      <w:pPr>
        <w:pStyle w:val="a0"/>
        <w:spacing w:after="200"/>
      </w:pPr>
      <w:r w:rsidRPr="001531CD">
        <w:t>b.</w:t>
      </w:r>
      <w:r w:rsidRPr="001531CD">
        <w:tab/>
        <w:t>Table 1</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45" w:type="dxa"/>
          <w:right w:w="145" w:type="dxa"/>
        </w:tblCellMar>
        <w:tblLook w:val="0000" w:firstRow="0" w:lastRow="0" w:firstColumn="0" w:lastColumn="0" w:noHBand="0" w:noVBand="0"/>
      </w:tblPr>
      <w:tblGrid>
        <w:gridCol w:w="1458"/>
        <w:gridCol w:w="1793"/>
        <w:gridCol w:w="1680"/>
      </w:tblGrid>
      <w:tr w:rsidR="00CF626A" w:rsidRPr="00167E2E" w14:paraId="2AE36363" w14:textId="77777777" w:rsidTr="00167E2E">
        <w:trPr>
          <w:cantSplit/>
          <w:tblHeader/>
          <w:jc w:val="center"/>
        </w:trPr>
        <w:tc>
          <w:tcPr>
            <w:tcW w:w="4931" w:type="dxa"/>
            <w:gridSpan w:val="3"/>
            <w:shd w:val="clear" w:color="000000" w:fill="BFBFBF"/>
          </w:tcPr>
          <w:p w14:paraId="46EA704F" w14:textId="77777777" w:rsidR="00CF626A" w:rsidRPr="001531CD" w:rsidRDefault="00CF626A">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Louisiana Sizes</w:t>
            </w:r>
          </w:p>
        </w:tc>
      </w:tr>
      <w:tr w:rsidR="00CF626A" w:rsidRPr="00167E2E" w14:paraId="61F07D54" w14:textId="77777777" w:rsidTr="00167E2E">
        <w:trPr>
          <w:cantSplit/>
          <w:tblHeader/>
          <w:jc w:val="center"/>
        </w:trPr>
        <w:tc>
          <w:tcPr>
            <w:tcW w:w="1458" w:type="dxa"/>
            <w:shd w:val="clear" w:color="000000" w:fill="BFBFBF"/>
            <w:vAlign w:val="bottom"/>
          </w:tcPr>
          <w:p w14:paraId="70689AE3" w14:textId="77777777"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Size Designations</w:t>
            </w:r>
          </w:p>
        </w:tc>
        <w:tc>
          <w:tcPr>
            <w:tcW w:w="1793" w:type="dxa"/>
            <w:shd w:val="clear" w:color="000000" w:fill="BFBFBF"/>
            <w:vAlign w:val="bottom"/>
          </w:tcPr>
          <w:p w14:paraId="780AF311" w14:textId="77777777"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Minimum</w:t>
            </w:r>
            <w:r w:rsidR="00167E2E">
              <w:rPr>
                <w:b/>
                <w:bCs/>
                <w:kern w:val="2"/>
                <w:sz w:val="16"/>
              </w:rPr>
              <w:t xml:space="preserve"> </w:t>
            </w:r>
            <w:r w:rsidRPr="001531CD">
              <w:rPr>
                <w:b/>
                <w:bCs/>
                <w:kern w:val="2"/>
                <w:sz w:val="16"/>
              </w:rPr>
              <w:t>Diameter</w:t>
            </w:r>
            <w:r w:rsidR="00A74D01" w:rsidRPr="001531CD">
              <w:rPr>
                <w:b/>
                <w:bCs/>
                <w:kern w:val="2"/>
                <w:sz w:val="16"/>
                <w:vertAlign w:val="superscript"/>
              </w:rPr>
              <w:t>*</w:t>
            </w:r>
          </w:p>
        </w:tc>
        <w:tc>
          <w:tcPr>
            <w:tcW w:w="1680" w:type="dxa"/>
            <w:shd w:val="clear" w:color="000000" w:fill="BFBFBF"/>
            <w:vAlign w:val="bottom"/>
          </w:tcPr>
          <w:p w14:paraId="571BD613" w14:textId="77777777"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Maximum</w:t>
            </w:r>
            <w:r w:rsidR="00167E2E">
              <w:rPr>
                <w:b/>
                <w:bCs/>
                <w:kern w:val="2"/>
                <w:sz w:val="16"/>
              </w:rPr>
              <w:t xml:space="preserve"> </w:t>
            </w:r>
            <w:r w:rsidRPr="001531CD">
              <w:rPr>
                <w:b/>
                <w:bCs/>
                <w:kern w:val="2"/>
                <w:sz w:val="16"/>
              </w:rPr>
              <w:t>Diameter</w:t>
            </w:r>
            <w:r w:rsidR="00A74D01" w:rsidRPr="00167E2E">
              <w:rPr>
                <w:b/>
                <w:bCs/>
                <w:kern w:val="2"/>
                <w:sz w:val="16"/>
              </w:rPr>
              <w:t>†</w:t>
            </w:r>
          </w:p>
        </w:tc>
      </w:tr>
      <w:tr w:rsidR="00CF626A" w:rsidRPr="00167E2E" w14:paraId="734A21CE" w14:textId="77777777" w:rsidTr="00167E2E">
        <w:trPr>
          <w:cantSplit/>
          <w:jc w:val="center"/>
        </w:trPr>
        <w:tc>
          <w:tcPr>
            <w:tcW w:w="1458" w:type="dxa"/>
          </w:tcPr>
          <w:p w14:paraId="6204E4F7"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Small</w:t>
            </w:r>
          </w:p>
        </w:tc>
        <w:tc>
          <w:tcPr>
            <w:tcW w:w="1793" w:type="dxa"/>
            <w:vAlign w:val="bottom"/>
          </w:tcPr>
          <w:p w14:paraId="70D0D5AF" w14:textId="77777777"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4/32 in.</w:t>
            </w:r>
          </w:p>
        </w:tc>
        <w:tc>
          <w:tcPr>
            <w:tcW w:w="1680" w:type="dxa"/>
          </w:tcPr>
          <w:p w14:paraId="16A28161"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9/32 in.</w:t>
            </w:r>
          </w:p>
        </w:tc>
      </w:tr>
      <w:tr w:rsidR="00CF626A" w:rsidRPr="00167E2E" w14:paraId="72F67D9A" w14:textId="77777777" w:rsidTr="00167E2E">
        <w:trPr>
          <w:cantSplit/>
          <w:jc w:val="center"/>
        </w:trPr>
        <w:tc>
          <w:tcPr>
            <w:tcW w:w="1458" w:type="dxa"/>
          </w:tcPr>
          <w:p w14:paraId="7DFFC52F"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Medium</w:t>
            </w:r>
          </w:p>
        </w:tc>
        <w:tc>
          <w:tcPr>
            <w:tcW w:w="1793" w:type="dxa"/>
            <w:vAlign w:val="bottom"/>
          </w:tcPr>
          <w:p w14:paraId="583C84E6" w14:textId="77777777"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8/32 in.</w:t>
            </w:r>
          </w:p>
        </w:tc>
        <w:tc>
          <w:tcPr>
            <w:tcW w:w="1680" w:type="dxa"/>
          </w:tcPr>
          <w:p w14:paraId="24C349E4"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17/32 in.</w:t>
            </w:r>
          </w:p>
        </w:tc>
      </w:tr>
      <w:tr w:rsidR="00CF626A" w:rsidRPr="00167E2E" w14:paraId="030057A9" w14:textId="77777777" w:rsidTr="00167E2E">
        <w:trPr>
          <w:cantSplit/>
          <w:jc w:val="center"/>
        </w:trPr>
        <w:tc>
          <w:tcPr>
            <w:tcW w:w="1458" w:type="dxa"/>
          </w:tcPr>
          <w:p w14:paraId="753D6B9D"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Large</w:t>
            </w:r>
          </w:p>
        </w:tc>
        <w:tc>
          <w:tcPr>
            <w:tcW w:w="1793" w:type="dxa"/>
            <w:vAlign w:val="bottom"/>
          </w:tcPr>
          <w:p w14:paraId="50564AD0" w14:textId="77777777"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16/32 in.</w:t>
            </w:r>
          </w:p>
        </w:tc>
        <w:tc>
          <w:tcPr>
            <w:tcW w:w="1680" w:type="dxa"/>
          </w:tcPr>
          <w:p w14:paraId="1980F33E"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25/32 in.</w:t>
            </w:r>
          </w:p>
        </w:tc>
      </w:tr>
      <w:tr w:rsidR="00CF626A" w:rsidRPr="00167E2E" w14:paraId="453396E0" w14:textId="77777777" w:rsidTr="00167E2E">
        <w:trPr>
          <w:cantSplit/>
          <w:jc w:val="center"/>
        </w:trPr>
        <w:tc>
          <w:tcPr>
            <w:tcW w:w="1458" w:type="dxa"/>
          </w:tcPr>
          <w:p w14:paraId="3F2FA278"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Extra Large</w:t>
            </w:r>
          </w:p>
        </w:tc>
        <w:tc>
          <w:tcPr>
            <w:tcW w:w="1793" w:type="dxa"/>
            <w:vAlign w:val="bottom"/>
          </w:tcPr>
          <w:p w14:paraId="2178B8A7" w14:textId="77777777"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24/32 in.</w:t>
            </w:r>
          </w:p>
        </w:tc>
        <w:tc>
          <w:tcPr>
            <w:tcW w:w="1680" w:type="dxa"/>
          </w:tcPr>
          <w:p w14:paraId="2F50AE18" w14:textId="77777777" w:rsidR="00CF626A" w:rsidRPr="001531CD" w:rsidRDefault="00167E2E"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Pr>
                <w:kern w:val="2"/>
                <w:sz w:val="16"/>
              </w:rPr>
              <w:t xml:space="preserve">  </w:t>
            </w:r>
          </w:p>
        </w:tc>
      </w:tr>
      <w:tr w:rsidR="00CF626A" w:rsidRPr="00167E2E" w14:paraId="0D6BE95D" w14:textId="77777777" w:rsidTr="00167E2E">
        <w:trPr>
          <w:cantSplit/>
          <w:jc w:val="center"/>
        </w:trPr>
        <w:tc>
          <w:tcPr>
            <w:tcW w:w="1458" w:type="dxa"/>
          </w:tcPr>
          <w:p w14:paraId="672FE624" w14:textId="77777777"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Colossal</w:t>
            </w:r>
          </w:p>
        </w:tc>
        <w:tc>
          <w:tcPr>
            <w:tcW w:w="1793" w:type="dxa"/>
            <w:vAlign w:val="bottom"/>
          </w:tcPr>
          <w:p w14:paraId="339CD9F5" w14:textId="77777777"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3  9/16 in. or Larger</w:t>
            </w:r>
          </w:p>
        </w:tc>
        <w:tc>
          <w:tcPr>
            <w:tcW w:w="1680" w:type="dxa"/>
          </w:tcPr>
          <w:p w14:paraId="23624E8B" w14:textId="77777777" w:rsidR="00CF626A" w:rsidRPr="001531CD" w:rsidRDefault="00167E2E"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Pr>
                <w:kern w:val="2"/>
                <w:sz w:val="16"/>
              </w:rPr>
              <w:t xml:space="preserve">  </w:t>
            </w:r>
          </w:p>
        </w:tc>
      </w:tr>
      <w:tr w:rsidR="00CF626A" w:rsidRPr="00167E2E" w14:paraId="743DB85B" w14:textId="77777777" w:rsidTr="00167E2E">
        <w:trPr>
          <w:cantSplit/>
          <w:jc w:val="center"/>
        </w:trPr>
        <w:tc>
          <w:tcPr>
            <w:tcW w:w="4931" w:type="dxa"/>
            <w:gridSpan w:val="3"/>
          </w:tcPr>
          <w:p w14:paraId="7FE45778" w14:textId="77777777" w:rsidR="00CF626A" w:rsidRPr="001531CD" w:rsidRDefault="00A74D01"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8" w:hanging="58"/>
              <w:rPr>
                <w:kern w:val="2"/>
                <w:sz w:val="16"/>
              </w:rPr>
            </w:pPr>
            <w:r w:rsidRPr="001531CD">
              <w:rPr>
                <w:kern w:val="2"/>
                <w:sz w:val="16"/>
                <w:vertAlign w:val="superscript"/>
              </w:rPr>
              <w:t>*</w:t>
            </w:r>
            <w:r w:rsidR="00CF626A" w:rsidRPr="001531CD">
              <w:rPr>
                <w:kern w:val="2"/>
                <w:sz w:val="16"/>
              </w:rPr>
              <w:t>Will not pass through a round opening of the designated diameter when tomato is placed with the greatest transverse diameter across the opening.</w:t>
            </w:r>
          </w:p>
          <w:p w14:paraId="75FC89C1" w14:textId="77777777" w:rsidR="00CF626A" w:rsidRPr="001531CD" w:rsidRDefault="00A74D01"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6" w:hanging="86"/>
              <w:rPr>
                <w:kern w:val="2"/>
                <w:sz w:val="16"/>
              </w:rPr>
            </w:pPr>
            <w:r w:rsidRPr="001531CD">
              <w:rPr>
                <w:b/>
                <w:bCs/>
                <w:kern w:val="2"/>
                <w:sz w:val="16"/>
                <w:vertAlign w:val="superscript"/>
              </w:rPr>
              <w:t>†</w:t>
            </w:r>
            <w:r w:rsidR="00CF626A" w:rsidRPr="001531CD">
              <w:rPr>
                <w:kern w:val="2"/>
                <w:sz w:val="16"/>
              </w:rPr>
              <w:t>Will pass through a round opening of the designated diameter in any position.</w:t>
            </w:r>
          </w:p>
        </w:tc>
      </w:tr>
    </w:tbl>
    <w:p w14:paraId="7ED67603" w14:textId="77777777" w:rsidR="00CF626A" w:rsidRPr="001531CD" w:rsidRDefault="00CF626A">
      <w:pPr>
        <w:pStyle w:val="1"/>
        <w:spacing w:before="200"/>
      </w:pPr>
      <w:r w:rsidRPr="001531CD">
        <w:t>6.</w:t>
      </w:r>
      <w:r w:rsidRPr="001531CD">
        <w:tab/>
        <w:t>It shall be unlawful for any person, firm, or corporation to sell, offer for sale, ship, or move any tomato labeled as "Red River Valley Tomatoes" into the channels of fresh trade unless it meets Louisiana Number 1 Grade.</w:t>
      </w:r>
    </w:p>
    <w:p w14:paraId="047A5425" w14:textId="77777777" w:rsidR="00CF626A" w:rsidRPr="001531CD" w:rsidRDefault="00CF626A">
      <w:pPr>
        <w:pStyle w:val="1"/>
      </w:pPr>
      <w:r w:rsidRPr="001531CD">
        <w:t>7.</w:t>
      </w:r>
      <w:r w:rsidRPr="001531CD">
        <w:tab/>
        <w:t>All tomatoes offered for sale as "Red River Valley Tomatoes" are subject to inspection by U.S.D.A. licensed personnel of the Louisiana Department of Agriculture and Forestry. If a particular lot of tomatoes does not meet the Louisiana grade standards, a stop sale order will be issued on the entire lot, and the lot will be removed from retail sales until the lot has been reworked or relabeled.</w:t>
      </w:r>
    </w:p>
    <w:p w14:paraId="63FAB714" w14:textId="77777777" w:rsidR="00CF626A" w:rsidRPr="001531CD" w:rsidRDefault="00CF626A">
      <w:pPr>
        <w:pStyle w:val="1"/>
      </w:pPr>
      <w:r w:rsidRPr="001531CD">
        <w:t>8.</w:t>
      </w:r>
      <w:r w:rsidRPr="001531CD">
        <w:tab/>
        <w:t>The movement of tomatoes labeled as "Red River Valley Tomatoes" into channels of fresh trade is prohibited unless in conformance with this regulation.</w:t>
      </w:r>
    </w:p>
    <w:p w14:paraId="244E577A" w14:textId="77777777" w:rsidR="00CF626A" w:rsidRPr="001531CD" w:rsidRDefault="00CF626A">
      <w:pPr>
        <w:pStyle w:val="1"/>
      </w:pPr>
      <w:r w:rsidRPr="001531CD">
        <w:t>9.</w:t>
      </w:r>
      <w:r w:rsidRPr="001531CD">
        <w:tab/>
        <w:t>The Louisiana Department of Agriculture and Forestry has the option of charging fees in accordance with federal rates for shipping point inspections.</w:t>
      </w:r>
    </w:p>
    <w:p w14:paraId="6C7EBBA9" w14:textId="77777777" w:rsidR="00CF626A" w:rsidRPr="001531CD" w:rsidRDefault="00CF626A">
      <w:pPr>
        <w:pStyle w:val="AuthorityNote"/>
      </w:pPr>
      <w:r w:rsidRPr="001531CD">
        <w:t>AUTHORITY NOTE:</w:t>
      </w:r>
      <w:r w:rsidRPr="001531CD">
        <w:tab/>
        <w:t>Promulgated in accordance with R.S. 3:405, 3:411 and 3:412.</w:t>
      </w:r>
    </w:p>
    <w:p w14:paraId="54F22227" w14:textId="77777777" w:rsidR="00CF626A" w:rsidRDefault="00CF626A">
      <w:pPr>
        <w:pStyle w:val="HistoricalNote"/>
      </w:pPr>
      <w:r w:rsidRPr="001531CD">
        <w:t>HISTORICAL NOTE:</w:t>
      </w:r>
      <w:r w:rsidRPr="001531CD">
        <w:tab/>
        <w:t xml:space="preserve">Adopted by the Department of Agriculture, State Market Commission, September 1949, repealed LR 12:826 (December 1986), promulgated by the Department of </w:t>
      </w:r>
      <w:r w:rsidRPr="001531CD">
        <w:t>Agriculture and Forestry, Office of Marketing, LR 20:782 (July 1994).</w:t>
      </w:r>
    </w:p>
    <w:p w14:paraId="68151166" w14:textId="77777777" w:rsidR="00413980" w:rsidRDefault="00413980" w:rsidP="00413980">
      <w:pPr>
        <w:pStyle w:val="Chapter"/>
      </w:pPr>
      <w:bookmarkStart w:id="777" w:name="_Toc224818630"/>
      <w:r w:rsidRPr="00E904C3">
        <w:t>Chapter 12.</w:t>
      </w:r>
      <w:r>
        <w:tab/>
      </w:r>
      <w:r w:rsidRPr="00E904C3">
        <w:t>Produce Safety</w:t>
      </w:r>
      <w:bookmarkEnd w:id="777"/>
    </w:p>
    <w:p w14:paraId="0B497117" w14:textId="77777777" w:rsidR="00413980" w:rsidRDefault="00413980" w:rsidP="00413980">
      <w:pPr>
        <w:pStyle w:val="Section"/>
      </w:pPr>
      <w:bookmarkStart w:id="778" w:name="_Toc224818631"/>
      <w:r w:rsidRPr="00E904C3">
        <w:t>§1201.</w:t>
      </w:r>
      <w:r>
        <w:tab/>
      </w:r>
      <w:r w:rsidRPr="00E904C3">
        <w:t>Purpose; General Requirements</w:t>
      </w:r>
      <w:bookmarkEnd w:id="778"/>
      <w:r w:rsidRPr="00E904C3">
        <w:t xml:space="preserve"> </w:t>
      </w:r>
    </w:p>
    <w:p w14:paraId="1B843C93" w14:textId="77777777" w:rsidR="00413980" w:rsidRDefault="00413980" w:rsidP="00413980">
      <w:pPr>
        <w:pStyle w:val="A"/>
      </w:pPr>
      <w:r w:rsidRPr="00E904C3">
        <w:t>A.</w:t>
      </w:r>
      <w:r>
        <w:tab/>
      </w:r>
      <w:r w:rsidRPr="00E904C3">
        <w:t xml:space="preserve">Covered produce farms shall take appropriate measures to minimize the risk of serious adverse health consequences or death from the use of, or exposure to, covered produce, including those measures reasonably necessary to prevent the introduction of known or reasonably foreseeable hazards into covered produce, and to provide reasonable assurance that the produce is not adulterated under Section 402 of the Federal Food, Drug, and Cosmetic Act on account of such hazards. </w:t>
      </w:r>
    </w:p>
    <w:p w14:paraId="3B14963D" w14:textId="77777777" w:rsidR="00413980" w:rsidRPr="00E904C3" w:rsidRDefault="00413980" w:rsidP="00413980">
      <w:pPr>
        <w:pStyle w:val="AuthorityNote"/>
      </w:pPr>
      <w:r w:rsidRPr="00E904C3">
        <w:t>AUTHORITY NOTE:</w:t>
      </w:r>
      <w:r w:rsidRPr="00E904C3">
        <w:tab/>
        <w:t>Promulgated in accordance with R.S. 3:922 and 923.</w:t>
      </w:r>
    </w:p>
    <w:p w14:paraId="1FD47CE7"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393 (March 2022).</w:t>
      </w:r>
    </w:p>
    <w:p w14:paraId="35C85C1F" w14:textId="77777777" w:rsidR="00413980" w:rsidRDefault="00413980" w:rsidP="00413980">
      <w:pPr>
        <w:pStyle w:val="Section"/>
      </w:pPr>
      <w:bookmarkStart w:id="779" w:name="_Toc224818632"/>
      <w:r w:rsidRPr="00E904C3">
        <w:t>§1203.</w:t>
      </w:r>
      <w:r>
        <w:tab/>
      </w:r>
      <w:r w:rsidRPr="00E904C3">
        <w:t>Definitions</w:t>
      </w:r>
      <w:bookmarkEnd w:id="779"/>
    </w:p>
    <w:p w14:paraId="6282DF8F" w14:textId="77777777" w:rsidR="00413980" w:rsidRPr="00E904C3" w:rsidRDefault="00413980" w:rsidP="00413980">
      <w:pPr>
        <w:pStyle w:val="A"/>
      </w:pPr>
      <w:r w:rsidRPr="00E904C3">
        <w:t>A.</w:t>
      </w:r>
      <w:r w:rsidRPr="00E904C3">
        <w:tab/>
        <w:t xml:space="preserve">The definitions set forth in R.S. 3:921 are applicable to this Chapter, except where specifically defined herein. </w:t>
      </w:r>
    </w:p>
    <w:p w14:paraId="51C76A08" w14:textId="77777777" w:rsidR="00413980" w:rsidRPr="00E904C3" w:rsidRDefault="00413980" w:rsidP="00413980">
      <w:pPr>
        <w:pStyle w:val="A"/>
      </w:pPr>
      <w:r w:rsidRPr="00E904C3">
        <w:t>B.</w:t>
      </w:r>
      <w:r>
        <w:tab/>
      </w:r>
      <w:r w:rsidRPr="00E904C3">
        <w:t>The following words and terms are defined for the purposes of this Chapter</w:t>
      </w:r>
      <w:r>
        <w:t>.</w:t>
      </w:r>
    </w:p>
    <w:p w14:paraId="6A3BA320" w14:textId="77777777" w:rsidR="00413980" w:rsidRPr="00E904C3" w:rsidRDefault="00413980" w:rsidP="00413980">
      <w:pPr>
        <w:pStyle w:val="1"/>
        <w:rPr>
          <w:i/>
        </w:rPr>
      </w:pPr>
      <w:r>
        <w:rPr>
          <w:i/>
        </w:rPr>
        <w:t>Adequate</w:t>
      </w:r>
      <w:r w:rsidRPr="003F6D7D">
        <w:t>—</w:t>
      </w:r>
      <w:r w:rsidRPr="00E904C3">
        <w:rPr>
          <w:iCs/>
        </w:rPr>
        <w:t>that</w:t>
      </w:r>
      <w:r w:rsidRPr="00E904C3">
        <w:t xml:space="preserve"> which is needed to accomplish the intended purpose consistent with good public health practice.</w:t>
      </w:r>
    </w:p>
    <w:p w14:paraId="0CEDE3E3" w14:textId="77777777" w:rsidR="00413980" w:rsidRPr="00E904C3" w:rsidRDefault="00413980" w:rsidP="00413980">
      <w:pPr>
        <w:pStyle w:val="1"/>
      </w:pPr>
      <w:r w:rsidRPr="00E904C3">
        <w:rPr>
          <w:i/>
        </w:rPr>
        <w:t xml:space="preserve">Adequately </w:t>
      </w:r>
      <w:r>
        <w:rPr>
          <w:i/>
        </w:rPr>
        <w:t>R</w:t>
      </w:r>
      <w:r w:rsidRPr="00E904C3">
        <w:rPr>
          <w:i/>
        </w:rPr>
        <w:t xml:space="preserve">educe </w:t>
      </w:r>
      <w:r>
        <w:rPr>
          <w:i/>
        </w:rPr>
        <w:t>M</w:t>
      </w:r>
      <w:r w:rsidRPr="00E904C3">
        <w:rPr>
          <w:i/>
        </w:rPr>
        <w:t xml:space="preserve">icroorganisms of </w:t>
      </w:r>
      <w:r>
        <w:rPr>
          <w:i/>
        </w:rPr>
        <w:t>P</w:t>
      </w:r>
      <w:r w:rsidRPr="00E904C3">
        <w:rPr>
          <w:i/>
        </w:rPr>
        <w:t xml:space="preserve">ublic </w:t>
      </w:r>
      <w:r>
        <w:rPr>
          <w:i/>
        </w:rPr>
        <w:t>H</w:t>
      </w:r>
      <w:r w:rsidRPr="00E904C3">
        <w:rPr>
          <w:i/>
        </w:rPr>
        <w:t xml:space="preserve">ealth </w:t>
      </w:r>
      <w:r>
        <w:rPr>
          <w:i/>
        </w:rPr>
        <w:t>S</w:t>
      </w:r>
      <w:r w:rsidRPr="00E904C3">
        <w:rPr>
          <w:i/>
        </w:rPr>
        <w:t>ignificance</w:t>
      </w:r>
      <w:r w:rsidRPr="003F6D7D">
        <w:t>—</w:t>
      </w:r>
      <w:r w:rsidRPr="00E904C3">
        <w:t>reduce the presence of such microorganisms to an extent sufficient to prevent illness.</w:t>
      </w:r>
    </w:p>
    <w:p w14:paraId="1D4C261A" w14:textId="77777777" w:rsidR="00413980" w:rsidRPr="00E904C3" w:rsidRDefault="00413980" w:rsidP="00413980">
      <w:pPr>
        <w:pStyle w:val="1"/>
      </w:pPr>
      <w:r w:rsidRPr="00E904C3">
        <w:rPr>
          <w:i/>
        </w:rPr>
        <w:t xml:space="preserve">Agricultural </w:t>
      </w:r>
      <w:r>
        <w:rPr>
          <w:i/>
        </w:rPr>
        <w:t>T</w:t>
      </w:r>
      <w:r w:rsidRPr="00E904C3">
        <w:rPr>
          <w:i/>
        </w:rPr>
        <w:t>ea</w:t>
      </w:r>
      <w:r w:rsidRPr="003F6D7D">
        <w:t>—</w:t>
      </w:r>
      <w:r w:rsidRPr="00E904C3">
        <w:t>a water extract of biological materials (such as stabilized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teas are held for longer than one hour before application. Agricultural teas are soil amendments for the purposes of this rule.</w:t>
      </w:r>
    </w:p>
    <w:p w14:paraId="0D5E747D" w14:textId="77777777" w:rsidR="00413980" w:rsidRPr="00E904C3" w:rsidRDefault="00413980" w:rsidP="00413980">
      <w:pPr>
        <w:pStyle w:val="1"/>
      </w:pPr>
      <w:r w:rsidRPr="00E904C3">
        <w:rPr>
          <w:i/>
        </w:rPr>
        <w:t xml:space="preserve">Agricultural </w:t>
      </w:r>
      <w:r>
        <w:rPr>
          <w:i/>
        </w:rPr>
        <w:t>T</w:t>
      </w:r>
      <w:r w:rsidRPr="00E904C3">
        <w:rPr>
          <w:i/>
        </w:rPr>
        <w:t xml:space="preserve">ea </w:t>
      </w:r>
      <w:r>
        <w:rPr>
          <w:i/>
        </w:rPr>
        <w:t>A</w:t>
      </w:r>
      <w:r w:rsidRPr="00E904C3">
        <w:rPr>
          <w:i/>
        </w:rPr>
        <w:t>dditive</w:t>
      </w:r>
      <w:r w:rsidRPr="003F6D7D">
        <w:t>—</w:t>
      </w:r>
      <w:r w:rsidRPr="00E904C3">
        <w:t>a nutrient source (such as molasses, yeast extract, or algal powder) added to agricultural tea to increase microbial biomass.</w:t>
      </w:r>
    </w:p>
    <w:p w14:paraId="7BA785FF" w14:textId="77777777" w:rsidR="00413980" w:rsidRPr="00E904C3" w:rsidRDefault="00413980" w:rsidP="00413980">
      <w:pPr>
        <w:pStyle w:val="1"/>
      </w:pPr>
      <w:r w:rsidRPr="00E904C3">
        <w:rPr>
          <w:i/>
        </w:rPr>
        <w:t xml:space="preserve">Agricultural </w:t>
      </w:r>
      <w:r>
        <w:rPr>
          <w:i/>
        </w:rPr>
        <w:t>W</w:t>
      </w:r>
      <w:r w:rsidRPr="00E904C3">
        <w:rPr>
          <w:i/>
        </w:rPr>
        <w:t>ater</w:t>
      </w:r>
      <w:r w:rsidRPr="003F6D7D">
        <w:t>—</w:t>
      </w:r>
      <w:r w:rsidRPr="00E904C3">
        <w:t>water used in covered activities on covered produce where water is intended to, or is likely to, contact covered produce or food contact surfaces, including water used in growing activities (including irrigation water applied using direct water application methods, water used for preparing crop sprays, and water used for growing sprouts) and in harvesting, packing, and holding activities (including water used for washing or cooling harvested produce and water used for preventing dehydration of covered produce).</w:t>
      </w:r>
    </w:p>
    <w:p w14:paraId="64CC7661" w14:textId="77777777" w:rsidR="00413980" w:rsidRPr="00E904C3" w:rsidRDefault="00413980" w:rsidP="00413980">
      <w:pPr>
        <w:pStyle w:val="1"/>
      </w:pPr>
      <w:r w:rsidRPr="00E904C3">
        <w:rPr>
          <w:i/>
        </w:rPr>
        <w:t xml:space="preserve">Animal </w:t>
      </w:r>
      <w:r>
        <w:rPr>
          <w:i/>
        </w:rPr>
        <w:t>E</w:t>
      </w:r>
      <w:r w:rsidRPr="00E904C3">
        <w:rPr>
          <w:i/>
        </w:rPr>
        <w:t>xcreta</w:t>
      </w:r>
      <w:r w:rsidRPr="003F6D7D">
        <w:t>—</w:t>
      </w:r>
      <w:r w:rsidRPr="00E904C3">
        <w:t>solid or liquid animal waste.</w:t>
      </w:r>
    </w:p>
    <w:p w14:paraId="12E65310" w14:textId="77777777" w:rsidR="00413980" w:rsidRPr="00E904C3" w:rsidRDefault="00413980" w:rsidP="00413980">
      <w:pPr>
        <w:pStyle w:val="1"/>
      </w:pPr>
      <w:r>
        <w:rPr>
          <w:i/>
        </w:rPr>
        <w:t>Application I</w:t>
      </w:r>
      <w:r w:rsidRPr="00E904C3">
        <w:rPr>
          <w:i/>
        </w:rPr>
        <w:t>nterval</w:t>
      </w:r>
      <w:r w:rsidRPr="003F6D7D">
        <w:t>—</w:t>
      </w:r>
      <w:r w:rsidRPr="00E904C3">
        <w:t xml:space="preserve">the time interval between application of an agricultural input (such as a biological soil amendment of animal origin) to a growing area and harvest of </w:t>
      </w:r>
      <w:r w:rsidRPr="00E904C3">
        <w:lastRenderedPageBreak/>
        <w:t>covered produce from the growing area where the agricultural input was applied.</w:t>
      </w:r>
    </w:p>
    <w:p w14:paraId="290D4EE7" w14:textId="77777777" w:rsidR="00413980" w:rsidRPr="00E904C3" w:rsidRDefault="00413980" w:rsidP="00413980">
      <w:pPr>
        <w:pStyle w:val="1"/>
      </w:pPr>
      <w:r w:rsidRPr="00E904C3">
        <w:rPr>
          <w:i/>
        </w:rPr>
        <w:t xml:space="preserve">Biological </w:t>
      </w:r>
      <w:r>
        <w:rPr>
          <w:i/>
        </w:rPr>
        <w:t>S</w:t>
      </w:r>
      <w:r w:rsidRPr="00E904C3">
        <w:rPr>
          <w:i/>
        </w:rPr>
        <w:t xml:space="preserve">oil </w:t>
      </w:r>
      <w:r>
        <w:rPr>
          <w:i/>
        </w:rPr>
        <w:t>A</w:t>
      </w:r>
      <w:r w:rsidRPr="00E904C3">
        <w:rPr>
          <w:i/>
        </w:rPr>
        <w:t>mendment</w:t>
      </w:r>
      <w:r w:rsidRPr="003F6D7D">
        <w:t>—</w:t>
      </w:r>
      <w:r w:rsidRPr="00E904C3">
        <w:t>any soil amendment containing biological materials such as stabilized compost, manure, non-fecal animal byproducts, peat moss, pre-consumer vegetative waste, sewage sludge biosolids, table waste, agricultural tea, or yard trimmings, alone or in combination.</w:t>
      </w:r>
    </w:p>
    <w:p w14:paraId="7E98AF55" w14:textId="77777777" w:rsidR="00413980" w:rsidRPr="00E904C3" w:rsidRDefault="00413980" w:rsidP="00413980">
      <w:pPr>
        <w:pStyle w:val="1"/>
      </w:pPr>
      <w:r w:rsidRPr="00E904C3">
        <w:rPr>
          <w:i/>
        </w:rPr>
        <w:t xml:space="preserve">Biological </w:t>
      </w:r>
      <w:r>
        <w:rPr>
          <w:i/>
        </w:rPr>
        <w:t>S</w:t>
      </w:r>
      <w:r w:rsidRPr="00E904C3">
        <w:rPr>
          <w:i/>
        </w:rPr>
        <w:t xml:space="preserve">oil </w:t>
      </w:r>
      <w:r>
        <w:rPr>
          <w:i/>
        </w:rPr>
        <w:t>A</w:t>
      </w:r>
      <w:r w:rsidRPr="00E904C3">
        <w:rPr>
          <w:i/>
        </w:rPr>
        <w:t xml:space="preserve">mendment of </w:t>
      </w:r>
      <w:r>
        <w:rPr>
          <w:i/>
        </w:rPr>
        <w:t>A</w:t>
      </w:r>
      <w:r w:rsidRPr="00E904C3">
        <w:rPr>
          <w:i/>
        </w:rPr>
        <w:t xml:space="preserve">nimal </w:t>
      </w:r>
      <w:r>
        <w:rPr>
          <w:i/>
        </w:rPr>
        <w:t>O</w:t>
      </w:r>
      <w:r w:rsidRPr="00E904C3">
        <w:rPr>
          <w:i/>
        </w:rPr>
        <w:t>rigin</w:t>
      </w:r>
      <w:r w:rsidRPr="003F6D7D">
        <w:t>—</w:t>
      </w:r>
      <w:r w:rsidRPr="00E904C3">
        <w:t>a biological soil amendment which consists, in whole or in part, of materials of animal origin, such as manure or non-fecal animal byproducts including animal mortalities, or table waste, alone or in combination. The term “biological soil amendment of animal origin” does not include any form of human waste.</w:t>
      </w:r>
    </w:p>
    <w:p w14:paraId="428B51A8" w14:textId="77777777" w:rsidR="00413980" w:rsidRPr="00E904C3" w:rsidRDefault="00413980" w:rsidP="00413980">
      <w:pPr>
        <w:pStyle w:val="1"/>
      </w:pPr>
      <w:r>
        <w:rPr>
          <w:i/>
        </w:rPr>
        <w:t>Commissioner</w:t>
      </w:r>
      <w:r w:rsidRPr="003F6D7D">
        <w:t>—</w:t>
      </w:r>
      <w:r w:rsidRPr="00E904C3">
        <w:t xml:space="preserve">the Commissioner of Agriculture and Forestry. </w:t>
      </w:r>
    </w:p>
    <w:p w14:paraId="75C86495" w14:textId="77777777" w:rsidR="00413980" w:rsidRPr="00E904C3" w:rsidRDefault="00413980" w:rsidP="00413980">
      <w:pPr>
        <w:pStyle w:val="1"/>
      </w:pPr>
      <w:r w:rsidRPr="00E904C3">
        <w:rPr>
          <w:i/>
        </w:rPr>
        <w:t>Composting</w:t>
      </w:r>
      <w:r w:rsidRPr="003F6D7D">
        <w:t>—</w:t>
      </w:r>
      <w:r w:rsidRPr="00E904C3">
        <w:t>a process to produce stabilized compost in which organic material is decomposed by the actions of microorganisms under thermophilic conditions for a designated period of time at a designated temperature, followed by a curing stage under cooler conditions.</w:t>
      </w:r>
    </w:p>
    <w:p w14:paraId="23C79E11" w14:textId="77777777" w:rsidR="00413980" w:rsidRPr="00E904C3" w:rsidRDefault="00413980" w:rsidP="00413980">
      <w:pPr>
        <w:pStyle w:val="1"/>
      </w:pPr>
      <w:r w:rsidRPr="00E904C3">
        <w:rPr>
          <w:i/>
        </w:rPr>
        <w:t xml:space="preserve">Covered </w:t>
      </w:r>
      <w:r>
        <w:rPr>
          <w:i/>
        </w:rPr>
        <w:t>A</w:t>
      </w:r>
      <w:r w:rsidRPr="00E904C3">
        <w:rPr>
          <w:i/>
        </w:rPr>
        <w:t>ctivity</w:t>
      </w:r>
      <w:r w:rsidRPr="003F6D7D">
        <w:t>—</w:t>
      </w:r>
      <w:r w:rsidRPr="00E904C3">
        <w:t>growing, harvesting, packing, or holding covered produce on a farm. Covered activity includes the manufacturing or processing of covered produce on a farm, but only to the extent that such activities are performed on raw agricultural commodities and such activities are within the meaning of “farm” as defined in this Chapter. Providing, acting consistently with, and documenting actions taken in compliance with written assurances as described in 21 CFR §112.2(b) are also covered activities. This definition does not apply to activities of a facility that are subject to 21 CFR 110.</w:t>
      </w:r>
    </w:p>
    <w:p w14:paraId="3C07C86B" w14:textId="77777777" w:rsidR="00413980" w:rsidRPr="00E904C3" w:rsidRDefault="00413980" w:rsidP="00413980">
      <w:pPr>
        <w:pStyle w:val="1"/>
      </w:pPr>
      <w:r w:rsidRPr="00E904C3">
        <w:rPr>
          <w:i/>
        </w:rPr>
        <w:t xml:space="preserve">Covered </w:t>
      </w:r>
      <w:r>
        <w:rPr>
          <w:i/>
        </w:rPr>
        <w:t>P</w:t>
      </w:r>
      <w:r w:rsidRPr="00E904C3">
        <w:rPr>
          <w:i/>
        </w:rPr>
        <w:t>roduce</w:t>
      </w:r>
      <w:r w:rsidRPr="003F6D7D">
        <w:t>—</w:t>
      </w:r>
      <w:r w:rsidRPr="00E904C3">
        <w:t>produce that is subject to the requirements of this Chapter in accordance with 21 CFR §§112.1 and 112.2. The term “covered produce” refers to the harvestable or harvested part of the crop.</w:t>
      </w:r>
    </w:p>
    <w:p w14:paraId="11A08D56" w14:textId="77777777" w:rsidR="00413980" w:rsidRPr="00E904C3" w:rsidRDefault="00413980" w:rsidP="00413980">
      <w:pPr>
        <w:pStyle w:val="1"/>
      </w:pPr>
      <w:r w:rsidRPr="00E904C3">
        <w:rPr>
          <w:i/>
        </w:rPr>
        <w:t xml:space="preserve">Covered </w:t>
      </w:r>
      <w:r>
        <w:rPr>
          <w:i/>
        </w:rPr>
        <w:t>P</w:t>
      </w:r>
      <w:r w:rsidRPr="00E904C3">
        <w:rPr>
          <w:i/>
        </w:rPr>
        <w:t xml:space="preserve">roduce </w:t>
      </w:r>
      <w:r>
        <w:rPr>
          <w:i/>
        </w:rPr>
        <w:t>Farm</w:t>
      </w:r>
      <w:r w:rsidRPr="003F6D7D">
        <w:t>—</w:t>
      </w:r>
      <w:r w:rsidRPr="00E904C3">
        <w:t>any farm engaged in the growing, harvesting, packing, or holding of produce for human consumption which is subject to the requirements of the FDA Food Safety Modernization Act, 21 CFR §112.4, but shall not include farms that have twenty-five thousand dollars or less of gross income from sales of produce in a year.</w:t>
      </w:r>
    </w:p>
    <w:p w14:paraId="575AD543" w14:textId="77777777" w:rsidR="00413980" w:rsidRPr="00E904C3" w:rsidRDefault="00413980" w:rsidP="00413980">
      <w:pPr>
        <w:pStyle w:val="1"/>
      </w:pPr>
      <w:r w:rsidRPr="00E904C3">
        <w:rPr>
          <w:i/>
        </w:rPr>
        <w:t>Curing</w:t>
      </w:r>
      <w:r w:rsidRPr="003F6D7D">
        <w:t>—</w:t>
      </w:r>
      <w:r w:rsidRPr="00E904C3">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p w14:paraId="52B44DF2" w14:textId="77777777" w:rsidR="00413980" w:rsidRPr="00E904C3" w:rsidRDefault="00413980" w:rsidP="00413980">
      <w:pPr>
        <w:pStyle w:val="1"/>
      </w:pPr>
      <w:r>
        <w:rPr>
          <w:i/>
          <w:iCs/>
        </w:rPr>
        <w:t>Department</w:t>
      </w:r>
      <w:r w:rsidRPr="003F6D7D">
        <w:t>—</w:t>
      </w:r>
      <w:r w:rsidRPr="00E904C3">
        <w:t xml:space="preserve">the Louisiana Department of Agriculture and Forestry. </w:t>
      </w:r>
    </w:p>
    <w:p w14:paraId="6A1F1840" w14:textId="77777777" w:rsidR="00413980" w:rsidRPr="00E904C3" w:rsidRDefault="00413980" w:rsidP="00413980">
      <w:pPr>
        <w:pStyle w:val="1"/>
      </w:pPr>
      <w:r w:rsidRPr="00E904C3">
        <w:rPr>
          <w:i/>
        </w:rPr>
        <w:t>Food</w:t>
      </w:r>
      <w:r w:rsidRPr="003F6D7D">
        <w:t>—</w:t>
      </w:r>
      <w:r w:rsidRPr="00E904C3">
        <w:t>food as defined in section 201(f) of the Federal Food, Drug, and Cosmetic Act, 21 USC 321 et seq., and includes seeds and beans used to grow sprouts.</w:t>
      </w:r>
    </w:p>
    <w:p w14:paraId="45F23933" w14:textId="77777777" w:rsidR="00413980" w:rsidRPr="00E904C3" w:rsidRDefault="00413980" w:rsidP="00413980">
      <w:pPr>
        <w:pStyle w:val="1"/>
      </w:pPr>
      <w:r w:rsidRPr="00E904C3">
        <w:rPr>
          <w:i/>
        </w:rPr>
        <w:t xml:space="preserve">Food </w:t>
      </w:r>
      <w:r>
        <w:rPr>
          <w:i/>
        </w:rPr>
        <w:t>C</w:t>
      </w:r>
      <w:r w:rsidRPr="00E904C3">
        <w:rPr>
          <w:i/>
        </w:rPr>
        <w:t xml:space="preserve">ontact </w:t>
      </w:r>
      <w:r>
        <w:rPr>
          <w:i/>
        </w:rPr>
        <w:t>S</w:t>
      </w:r>
      <w:r w:rsidRPr="00E904C3">
        <w:rPr>
          <w:i/>
        </w:rPr>
        <w:t>urfaces</w:t>
      </w:r>
      <w:r w:rsidRPr="003F6D7D">
        <w:t>—</w:t>
      </w:r>
      <w:r w:rsidRPr="00E904C3">
        <w:t xml:space="preserve">those surfaces that contact human food and those surfaces from which drainage or other transfer onto the food or onto surfaces that contact the food ordinarily occur during the normal course of operations. “Food contact surfaces” includes food contact surfaces of equipment and tools used during the harvest, packing, and holding of food and food products. </w:t>
      </w:r>
    </w:p>
    <w:p w14:paraId="78892D38" w14:textId="77777777" w:rsidR="00413980" w:rsidRPr="00E904C3" w:rsidRDefault="00413980" w:rsidP="00413980">
      <w:pPr>
        <w:pStyle w:val="1"/>
        <w:rPr>
          <w:i/>
        </w:rPr>
      </w:pPr>
      <w:r>
        <w:rPr>
          <w:i/>
        </w:rPr>
        <w:t>Fruit</w:t>
      </w:r>
      <w:r w:rsidRPr="003F6D7D">
        <w:t>—</w:t>
      </w:r>
      <w:r w:rsidRPr="00E904C3">
        <w:t>the edible reproductive body of a seed, plant, or tree nut. “Fruit” means the harvestable or harvested part of a plant developed from a flower.</w:t>
      </w:r>
    </w:p>
    <w:p w14:paraId="4198B96D" w14:textId="77777777" w:rsidR="00413980" w:rsidRPr="00E904C3" w:rsidRDefault="00413980" w:rsidP="00413980">
      <w:pPr>
        <w:pStyle w:val="1"/>
      </w:pPr>
      <w:r w:rsidRPr="00E904C3">
        <w:rPr>
          <w:i/>
        </w:rPr>
        <w:t>Harvesting</w:t>
      </w:r>
      <w:r w:rsidRPr="003F6D7D">
        <w:t>—</w:t>
      </w:r>
      <w:r w:rsidRPr="00E904C3">
        <w:t>activities that are traditionally performed on farms for the purpose of removing raw agricultural commodities from the place they were grown or raised and preparing them for use as food. Harvesting is limited to activities performed on raw agricultural commodities, or on processed foods created by drying/dehydrating a raw agricultural commodity without additional manufacturing or processing, on a farm. “Harvesting” does not include activities that transform a raw agricultural commodity into a processed food as defined in Section 201(gg) of the Federal Food, Drug, and Cosmetic Act, 21 USC §321 et seq. The process of harvesting includes, but is not limited to the following: cutting (or otherwise separating) the edible portion of the raw agricultural commodity from the crop plant and removing or trimming part of the raw agricultural commodity; cooling; field coring; filtering; gathering; hulling; removing stems and husks from; shelling; sifting; threshing; trimming of outer leaves of; and washing raw agricultural commodities grown on a farm.</w:t>
      </w:r>
    </w:p>
    <w:p w14:paraId="1B0E5CA6" w14:textId="77777777" w:rsidR="00413980" w:rsidRPr="00E904C3" w:rsidRDefault="00413980" w:rsidP="00413980">
      <w:pPr>
        <w:pStyle w:val="1"/>
      </w:pPr>
      <w:r w:rsidRPr="00E904C3">
        <w:rPr>
          <w:i/>
        </w:rPr>
        <w:t>Hazard</w:t>
      </w:r>
      <w:r w:rsidRPr="003F6D7D">
        <w:t>—</w:t>
      </w:r>
      <w:r w:rsidRPr="00E904C3">
        <w:t>any biological agent that has the potential to cause illness or injury in the absence of its control.</w:t>
      </w:r>
    </w:p>
    <w:p w14:paraId="1104FBD0" w14:textId="77777777" w:rsidR="00413980" w:rsidRPr="00E904C3" w:rsidRDefault="00413980" w:rsidP="00413980">
      <w:pPr>
        <w:pStyle w:val="1"/>
      </w:pPr>
      <w:r w:rsidRPr="00E904C3">
        <w:rPr>
          <w:i/>
        </w:rPr>
        <w:t>Holding</w:t>
      </w:r>
      <w:r w:rsidRPr="003F6D7D">
        <w:t>—</w:t>
      </w:r>
      <w:r w:rsidRPr="00E904C3">
        <w:t>the storage of food and activities performed incidental to the storage of a food. “Holding” also includes activities performed as a practical necessity for the distribution of food, but does not include activities that transform a raw agricultural commodity into a processed food as defined in Section 201(gg) of the Federal Food, Drug, and Cosmetic Act. Holding facilities could include warehouses, cold storage facilities, storage silos, grain elevators, and liquid storage tanks.</w:t>
      </w:r>
    </w:p>
    <w:p w14:paraId="073D1430" w14:textId="77777777" w:rsidR="00413980" w:rsidRPr="00E904C3" w:rsidRDefault="00413980" w:rsidP="00413980">
      <w:pPr>
        <w:pStyle w:val="1"/>
      </w:pPr>
      <w:r w:rsidRPr="00E904C3">
        <w:rPr>
          <w:i/>
        </w:rPr>
        <w:t xml:space="preserve">Known </w:t>
      </w:r>
      <w:r w:rsidRPr="008F111D">
        <w:t>or</w:t>
      </w:r>
      <w:r w:rsidRPr="00E904C3">
        <w:rPr>
          <w:i/>
        </w:rPr>
        <w:t xml:space="preserve"> </w:t>
      </w:r>
      <w:r>
        <w:rPr>
          <w:i/>
        </w:rPr>
        <w:t>R</w:t>
      </w:r>
      <w:r w:rsidRPr="00E904C3">
        <w:rPr>
          <w:i/>
        </w:rPr>
        <w:t xml:space="preserve">easonably </w:t>
      </w:r>
      <w:r>
        <w:rPr>
          <w:i/>
        </w:rPr>
        <w:t>F</w:t>
      </w:r>
      <w:r w:rsidRPr="00E904C3">
        <w:rPr>
          <w:i/>
        </w:rPr>
        <w:t xml:space="preserve">oreseeable </w:t>
      </w:r>
      <w:r>
        <w:rPr>
          <w:i/>
        </w:rPr>
        <w:t>H</w:t>
      </w:r>
      <w:r w:rsidRPr="00E904C3">
        <w:rPr>
          <w:i/>
        </w:rPr>
        <w:t>azard</w:t>
      </w:r>
      <w:r w:rsidRPr="003F6D7D">
        <w:t>—</w:t>
      </w:r>
      <w:r w:rsidRPr="00E904C3">
        <w:t>a biological hazard that is known to be, or has the potential to be, associated with the farm or the food.</w:t>
      </w:r>
    </w:p>
    <w:p w14:paraId="4D3C1CB3" w14:textId="77777777" w:rsidR="00413980" w:rsidRPr="00E904C3" w:rsidRDefault="00413980" w:rsidP="00413980">
      <w:pPr>
        <w:pStyle w:val="1"/>
        <w:rPr>
          <w:i/>
        </w:rPr>
      </w:pPr>
      <w:r w:rsidRPr="00E904C3">
        <w:rPr>
          <w:i/>
        </w:rPr>
        <w:t xml:space="preserve">Large </w:t>
      </w:r>
      <w:r>
        <w:rPr>
          <w:i/>
        </w:rPr>
        <w:t>Business</w:t>
      </w:r>
      <w:r w:rsidRPr="003F6D7D">
        <w:t>—</w:t>
      </w:r>
      <w:r w:rsidRPr="00E904C3">
        <w:t>For the purpose of this Chapter, a farm is a large business if it is subject to any of the requirements of this Chapter and, on a rolling basis, the average annual monetary value of produce you sold during the previous 3-year period exceeds $500,000; and the farm is not eligible for a qualified exemption.</w:t>
      </w:r>
      <w:r w:rsidRPr="00E904C3">
        <w:rPr>
          <w:i/>
        </w:rPr>
        <w:t xml:space="preserve"> </w:t>
      </w:r>
    </w:p>
    <w:p w14:paraId="1625DFC3" w14:textId="77777777" w:rsidR="00413980" w:rsidRPr="00E904C3" w:rsidRDefault="00413980" w:rsidP="00413980">
      <w:pPr>
        <w:pStyle w:val="1"/>
      </w:pPr>
      <w:r w:rsidRPr="00E904C3">
        <w:rPr>
          <w:i/>
        </w:rPr>
        <w:t>Manufacturing/</w:t>
      </w:r>
      <w:r>
        <w:rPr>
          <w:i/>
        </w:rPr>
        <w:t>P</w:t>
      </w:r>
      <w:r w:rsidRPr="00E904C3">
        <w:rPr>
          <w:i/>
        </w:rPr>
        <w:t>rocessing</w:t>
      </w:r>
      <w:r w:rsidRPr="003F6D7D">
        <w:t>—</w:t>
      </w:r>
      <w:r w:rsidRPr="00E904C3">
        <w:t>making food from one or more ingredients, or synthesizing, preparing, treating, modifying or manipulating food, including food crops or ingredients.</w:t>
      </w:r>
      <w:r>
        <w:t xml:space="preserve"> </w:t>
      </w:r>
      <w:r w:rsidRPr="00E904C3">
        <w:t xml:space="preserve">Manufacturing/processing activities include, but are not limited to the following: baking, boiling, bottling, canning, cooking, cooling, cutting, distilling, drying/dehydrating raw agricultural commodities to create a </w:t>
      </w:r>
      <w:r w:rsidRPr="00E904C3">
        <w:lastRenderedPageBreak/>
        <w:t>distinct commodity, evaporating, eviscerating, extracting juice, formulating, freezing, grinding, homogenizing, labeling, milling, mixing, packaging (including modified atmosphere packaging), pasteurizing, peeling, rendering, treating to manipulate ripening, trimming, washing, or waxing. For farms and farm mixed-type facilities, manufacturing/processing does not include activities that are part of harvesting, packing, or holding.</w:t>
      </w:r>
    </w:p>
    <w:p w14:paraId="4606026C" w14:textId="77777777" w:rsidR="00413980" w:rsidRPr="00E904C3" w:rsidRDefault="00413980" w:rsidP="00413980">
      <w:pPr>
        <w:pStyle w:val="1"/>
      </w:pPr>
      <w:r w:rsidRPr="00E904C3">
        <w:rPr>
          <w:i/>
        </w:rPr>
        <w:t>Manure</w:t>
      </w:r>
      <w:r w:rsidRPr="003F6D7D">
        <w:t>—</w:t>
      </w:r>
      <w:r w:rsidRPr="00E904C3">
        <w:t>animal excreta, alone or in combination with litter for use as a soil amendment.</w:t>
      </w:r>
    </w:p>
    <w:p w14:paraId="6F97C71E" w14:textId="77777777" w:rsidR="00413980" w:rsidRPr="00E904C3" w:rsidRDefault="00413980" w:rsidP="00413980">
      <w:pPr>
        <w:pStyle w:val="1"/>
      </w:pPr>
      <w:r w:rsidRPr="00E904C3">
        <w:rPr>
          <w:i/>
        </w:rPr>
        <w:t>Microorganisms</w:t>
      </w:r>
      <w:r w:rsidRPr="003F6D7D">
        <w:t>—</w:t>
      </w:r>
      <w:r w:rsidRPr="00E904C3">
        <w:t>yeasts, molds, bacteria, viruses, protozoa, and microscopic parasites including species having public health significance. The term “undesirable microorganisms” includes those microorganisms that are of public health significance, that subject food to decomposition, that indicate that food is contaminated with filth, or that otherwise may cause food to be adulterated.</w:t>
      </w:r>
    </w:p>
    <w:p w14:paraId="2CBEBA98" w14:textId="77777777" w:rsidR="00413980" w:rsidRDefault="00413980" w:rsidP="00413980">
      <w:pPr>
        <w:pStyle w:val="1"/>
      </w:pPr>
      <w:r w:rsidRPr="00E904C3">
        <w:rPr>
          <w:i/>
        </w:rPr>
        <w:t>Mixed-</w:t>
      </w:r>
      <w:r>
        <w:rPr>
          <w:i/>
        </w:rPr>
        <w:t>T</w:t>
      </w:r>
      <w:r w:rsidRPr="00E904C3">
        <w:rPr>
          <w:i/>
        </w:rPr>
        <w:t xml:space="preserve">ype </w:t>
      </w:r>
      <w:r>
        <w:rPr>
          <w:i/>
        </w:rPr>
        <w:t>F</w:t>
      </w:r>
      <w:r w:rsidRPr="00E904C3">
        <w:rPr>
          <w:i/>
        </w:rPr>
        <w:t>acility</w:t>
      </w:r>
      <w:r w:rsidRPr="003F6D7D">
        <w:t>—</w:t>
      </w:r>
      <w:r w:rsidRPr="00E904C3">
        <w:t xml:space="preserve">an establishment that engages in both activities that are exempt from registration under Section 415 of the Federal Food, Drug, and Cosmetic Act and activities that require the establishment to be registered. </w:t>
      </w:r>
    </w:p>
    <w:p w14:paraId="2C0913E4" w14:textId="77777777" w:rsidR="00413980" w:rsidRPr="00E904C3" w:rsidRDefault="00413980" w:rsidP="00413980">
      <w:pPr>
        <w:pStyle w:val="1"/>
      </w:pPr>
      <w:r w:rsidRPr="00E904C3">
        <w:rPr>
          <w:i/>
        </w:rPr>
        <w:t>Monitor</w:t>
      </w:r>
      <w:r w:rsidRPr="003F6D7D">
        <w:t>—</w:t>
      </w:r>
      <w:r w:rsidRPr="00E904C3">
        <w:t>to conduct a planned sequence of observations or measurements to assess whether a process, point, or procedure is under control and, when required, to produce an accurate record of the observation or measurement.</w:t>
      </w:r>
    </w:p>
    <w:p w14:paraId="734CCDEB" w14:textId="77777777" w:rsidR="00413980" w:rsidRPr="00E904C3" w:rsidRDefault="00413980" w:rsidP="00413980">
      <w:pPr>
        <w:pStyle w:val="1"/>
      </w:pPr>
      <w:r>
        <w:rPr>
          <w:i/>
        </w:rPr>
        <w:t>Non-F</w:t>
      </w:r>
      <w:r w:rsidRPr="00E904C3">
        <w:rPr>
          <w:i/>
        </w:rPr>
        <w:t xml:space="preserve">ecal </w:t>
      </w:r>
      <w:r>
        <w:rPr>
          <w:i/>
        </w:rPr>
        <w:t>A</w:t>
      </w:r>
      <w:r w:rsidRPr="00E904C3">
        <w:rPr>
          <w:i/>
        </w:rPr>
        <w:t xml:space="preserve">nimal </w:t>
      </w:r>
      <w:r>
        <w:rPr>
          <w:i/>
        </w:rPr>
        <w:t>B</w:t>
      </w:r>
      <w:r w:rsidRPr="00E904C3">
        <w:rPr>
          <w:i/>
        </w:rPr>
        <w:t>yproduct</w:t>
      </w:r>
      <w:r w:rsidRPr="003F6D7D">
        <w:t>—</w:t>
      </w:r>
      <w:r w:rsidRPr="00E904C3">
        <w:t>solid waste (other than manure) that is animal in origin including, but not limited to, meat, fat, dairy products, eggs, carcasses, blood meal, bone meal, fish meal, shellfish waste, fish emulsions, and offal, and is generated by commercial, institutional, or agricultural operations.</w:t>
      </w:r>
    </w:p>
    <w:p w14:paraId="6484A422" w14:textId="77777777" w:rsidR="00413980" w:rsidRPr="00E904C3" w:rsidRDefault="00413980" w:rsidP="00413980">
      <w:pPr>
        <w:pStyle w:val="1"/>
      </w:pPr>
      <w:r w:rsidRPr="00E904C3">
        <w:rPr>
          <w:i/>
        </w:rPr>
        <w:t>Packing</w:t>
      </w:r>
      <w:r w:rsidRPr="003F6D7D">
        <w:t>—</w:t>
      </w:r>
      <w:r w:rsidRPr="00E904C3">
        <w:t>placing food into a container, other than packaging, the food and o includes activities performed incidental to packing a food such as sorting, culling, grading, and weighing or conveying incidental to packing or re-packing, but does not include activities that transform a raw agricultural commodity, as defined in Section 201(r) of the Federal Food, Drug, and Cosmetic Act, into a processed food as defined in Section 201(gg) of the Federal Food, Drug, and Cosmetic Act.</w:t>
      </w:r>
    </w:p>
    <w:p w14:paraId="4F999E9E" w14:textId="77777777" w:rsidR="00413980" w:rsidRPr="00E904C3" w:rsidRDefault="00413980" w:rsidP="00413980">
      <w:pPr>
        <w:pStyle w:val="1"/>
      </w:pPr>
      <w:r w:rsidRPr="00E904C3">
        <w:rPr>
          <w:i/>
        </w:rPr>
        <w:t>Pest</w:t>
      </w:r>
      <w:r w:rsidRPr="003F6D7D">
        <w:t>—</w:t>
      </w:r>
      <w:r w:rsidRPr="00E904C3">
        <w:t>any objectionable animals or insects, including, but not limited to, birds, rodents, flies, and larvae.</w:t>
      </w:r>
    </w:p>
    <w:p w14:paraId="5366ED50" w14:textId="77777777" w:rsidR="00413980" w:rsidRPr="00E904C3" w:rsidRDefault="00413980" w:rsidP="00413980">
      <w:pPr>
        <w:pStyle w:val="1"/>
      </w:pPr>
      <w:r>
        <w:rPr>
          <w:i/>
        </w:rPr>
        <w:t>Pre-C</w:t>
      </w:r>
      <w:r w:rsidRPr="00E904C3">
        <w:rPr>
          <w:i/>
        </w:rPr>
        <w:t xml:space="preserve">onsumer </w:t>
      </w:r>
      <w:r>
        <w:rPr>
          <w:i/>
        </w:rPr>
        <w:t>V</w:t>
      </w:r>
      <w:r w:rsidRPr="00E904C3">
        <w:rPr>
          <w:i/>
        </w:rPr>
        <w:t xml:space="preserve">egetative </w:t>
      </w:r>
      <w:r>
        <w:rPr>
          <w:i/>
        </w:rPr>
        <w:t>W</w:t>
      </w:r>
      <w:r w:rsidRPr="00E904C3">
        <w:rPr>
          <w:i/>
        </w:rPr>
        <w:t>aste</w:t>
      </w:r>
      <w:r w:rsidRPr="003F6D7D">
        <w:t>—</w:t>
      </w:r>
      <w:r w:rsidRPr="00E904C3">
        <w:t xml:space="preserve">solid waste that is purely vegetative in origin, not considered yard trash, and derived from commercial, institutional, or agricultural operations without coming in contact with animal products, byproducts or manure, or with an end user (consumer). “Pre-consumer vegetative waste” includes material generated by farms, packing houses, canning operations, wholesale distribution centers and grocery stores; products that have been removed from their packaging (such as out-of-date juice, vegetables, condiments, and bread); and associated packaging that is vegetative in origin (such as paper or corn-starch based products). “Pre-consumer vegetative waste” does not include table waste, packaging that has come in contact with materials </w:t>
      </w:r>
      <w:r w:rsidRPr="00E904C3">
        <w:t>(such as meat) that are not vegetative in origin, or any waste generated by restaurants.</w:t>
      </w:r>
    </w:p>
    <w:p w14:paraId="2EAAEEB4" w14:textId="77777777" w:rsidR="00413980" w:rsidRPr="00E904C3" w:rsidRDefault="00413980" w:rsidP="00413980">
      <w:pPr>
        <w:pStyle w:val="1"/>
      </w:pPr>
      <w:r>
        <w:rPr>
          <w:i/>
        </w:rPr>
        <w:t>Primary Production Farm</w:t>
      </w:r>
      <w:r w:rsidRPr="003F6D7D">
        <w:t>—</w:t>
      </w:r>
      <w:r w:rsidRPr="00E904C3">
        <w:rPr>
          <w:iCs/>
        </w:rPr>
        <w:t>a</w:t>
      </w:r>
      <w:r w:rsidRPr="00E904C3">
        <w:t>n operation under one management in one general (but not necessarily contiguous) physical location devoted to the growing of crops, the harvesting of crops, the raising of animals including seafood, or any combination of these activities.</w:t>
      </w:r>
      <w:r>
        <w:t xml:space="preserve"> </w:t>
      </w:r>
      <w:r w:rsidRPr="00E904C3">
        <w:t>The term “farm”</w:t>
      </w:r>
      <w:r>
        <w:t xml:space="preserve"> </w:t>
      </w:r>
      <w:r w:rsidRPr="00E904C3">
        <w:t>includes operations that, in addition to the aforementioned activities, also:</w:t>
      </w:r>
    </w:p>
    <w:p w14:paraId="6E9444A8" w14:textId="77777777" w:rsidR="00413980" w:rsidRPr="0051072D" w:rsidRDefault="00413980" w:rsidP="00413980">
      <w:pPr>
        <w:pStyle w:val="a0"/>
      </w:pPr>
      <w:r w:rsidRPr="0051072D">
        <w:t>a.</w:t>
      </w:r>
      <w:r w:rsidRPr="0051072D">
        <w:tab/>
        <w:t>pack or hold raw agricultural commodities;</w:t>
      </w:r>
    </w:p>
    <w:p w14:paraId="491AD5FE" w14:textId="77777777" w:rsidR="00413980" w:rsidRPr="0051072D" w:rsidRDefault="00413980" w:rsidP="00413980">
      <w:pPr>
        <w:pStyle w:val="a0"/>
      </w:pPr>
      <w:r w:rsidRPr="0051072D">
        <w:t>b.</w:t>
      </w:r>
      <w:r w:rsidRPr="0051072D">
        <w:tab/>
        <w:t>pack or hold processed food, provided that all processed food used in such activities is either consumed on that farm or another farm under the same management, or is processed food identified in paragraph (i)(C)(</w:t>
      </w:r>
      <w:r w:rsidRPr="0051072D">
        <w:rPr>
          <w:i/>
        </w:rPr>
        <w:t>2</w:t>
      </w:r>
      <w:r w:rsidRPr="0051072D">
        <w:t>)(</w:t>
      </w:r>
      <w:r w:rsidRPr="0051072D">
        <w:rPr>
          <w:i/>
        </w:rPr>
        <w:t>i</w:t>
      </w:r>
      <w:r w:rsidRPr="0051072D">
        <w:t>) of this definition; and</w:t>
      </w:r>
    </w:p>
    <w:p w14:paraId="25905FF2" w14:textId="77777777" w:rsidR="00413980" w:rsidRPr="0051072D" w:rsidRDefault="00413980" w:rsidP="00413980">
      <w:pPr>
        <w:pStyle w:val="a0"/>
      </w:pPr>
      <w:r w:rsidRPr="0051072D">
        <w:t>c.</w:t>
      </w:r>
      <w:r w:rsidRPr="0051072D">
        <w:tab/>
        <w:t>manufacture/process food, provided that:</w:t>
      </w:r>
    </w:p>
    <w:p w14:paraId="2EBD8541" w14:textId="77777777" w:rsidR="00413980" w:rsidRPr="0051072D" w:rsidRDefault="00413980" w:rsidP="00413980">
      <w:pPr>
        <w:pStyle w:val="i0"/>
      </w:pPr>
      <w:r w:rsidRPr="0051072D">
        <w:tab/>
        <w:t>i.</w:t>
      </w:r>
      <w:r w:rsidRPr="0051072D">
        <w:tab/>
        <w:t>all food used in such activities is consumed on that farm or another farm under the same management; or</w:t>
      </w:r>
    </w:p>
    <w:p w14:paraId="37ADED40" w14:textId="77777777" w:rsidR="00413980" w:rsidRPr="0051072D" w:rsidRDefault="00413980" w:rsidP="00413980">
      <w:pPr>
        <w:pStyle w:val="i0"/>
      </w:pPr>
      <w:r w:rsidRPr="0051072D">
        <w:tab/>
        <w:t>ii.</w:t>
      </w:r>
      <w:r w:rsidRPr="0051072D">
        <w:tab/>
        <w:t>any manufacturing/processing of food that is not consumed on that farm or another farm under the same management consists only of:</w:t>
      </w:r>
    </w:p>
    <w:p w14:paraId="2673738A" w14:textId="77777777" w:rsidR="00413980" w:rsidRPr="0051072D" w:rsidRDefault="00413980" w:rsidP="00413980">
      <w:pPr>
        <w:pStyle w:val="a1"/>
      </w:pPr>
      <w:r w:rsidRPr="0051072D">
        <w:t>(a).</w:t>
      </w:r>
      <w:r w:rsidRPr="0051072D">
        <w:tab/>
        <w:t>drying/dehydrating raw agricultural commodities to create a distinct commodity, and packaging and labeling such commodities, without requiring additional manufacturing/processing;</w:t>
      </w:r>
    </w:p>
    <w:p w14:paraId="36242CF5" w14:textId="77777777" w:rsidR="00413980" w:rsidRPr="0051072D" w:rsidRDefault="00413980" w:rsidP="00413980">
      <w:pPr>
        <w:pStyle w:val="a1"/>
      </w:pPr>
      <w:r w:rsidRPr="0051072D">
        <w:t>(b).</w:t>
      </w:r>
      <w:r w:rsidRPr="0051072D">
        <w:tab/>
        <w:t>treatment to manipulate the ripening of raw agricultural commodities, and packaging and labeling treated raw agricultural commodities, without requiring additional manufacturing/processing; and</w:t>
      </w:r>
    </w:p>
    <w:p w14:paraId="24DD72D8" w14:textId="77777777" w:rsidR="00413980" w:rsidRPr="0051072D" w:rsidRDefault="00413980" w:rsidP="00413980">
      <w:pPr>
        <w:pStyle w:val="a1"/>
      </w:pPr>
      <w:r w:rsidRPr="0051072D">
        <w:t>(c).</w:t>
      </w:r>
      <w:r w:rsidRPr="0051072D">
        <w:tab/>
        <w:t xml:space="preserve">packaging and labeling raw agricultural commodities, when these activities do not involve additional manufacturing/processing. </w:t>
      </w:r>
    </w:p>
    <w:p w14:paraId="5E8B9904" w14:textId="77777777" w:rsidR="00413980" w:rsidRPr="00E904C3" w:rsidRDefault="00413980" w:rsidP="00413980">
      <w:pPr>
        <w:pStyle w:val="1"/>
      </w:pPr>
      <w:r w:rsidRPr="00E904C3">
        <w:rPr>
          <w:i/>
        </w:rPr>
        <w:t>Produce</w:t>
      </w:r>
      <w:r w:rsidRPr="003F6D7D">
        <w:t>—</w:t>
      </w:r>
      <w:r w:rsidRPr="00E904C3">
        <w:t>any fruit or vegetable, which may include mixes of intact fruits and vegetables.</w:t>
      </w:r>
      <w:r>
        <w:t xml:space="preserve"> </w:t>
      </w:r>
      <w:r w:rsidRPr="00E904C3">
        <w:t xml:space="preserve">“Produce” also includes, but not is limited to, mushrooms, sprouts, peanuts, tree nuts, and herbs. Produce does not include food grains meaning the small, hard fruits or seeds of arable crops, or the crops bearing these fruits or seeds, that are primarily grown and processed for use as meal, flour, baked goods, cereals and oils rather than for direct consumption as small, hard fruits or seeds. </w:t>
      </w:r>
    </w:p>
    <w:p w14:paraId="2C7A1269" w14:textId="77777777" w:rsidR="00413980" w:rsidRPr="00E904C3" w:rsidRDefault="00413980" w:rsidP="00413980">
      <w:pPr>
        <w:pStyle w:val="1"/>
      </w:pPr>
      <w:r w:rsidRPr="00E904C3">
        <w:rPr>
          <w:i/>
        </w:rPr>
        <w:t xml:space="preserve">Qualified </w:t>
      </w:r>
      <w:r>
        <w:rPr>
          <w:i/>
        </w:rPr>
        <w:t>E</w:t>
      </w:r>
      <w:r w:rsidRPr="00E904C3">
        <w:rPr>
          <w:i/>
        </w:rPr>
        <w:t>nd-</w:t>
      </w:r>
      <w:r>
        <w:rPr>
          <w:i/>
        </w:rPr>
        <w:t>U</w:t>
      </w:r>
      <w:r w:rsidRPr="00E904C3">
        <w:rPr>
          <w:i/>
        </w:rPr>
        <w:t>ser</w:t>
      </w:r>
      <w:r w:rsidRPr="003F6D7D">
        <w:t>—</w:t>
      </w:r>
      <w:r w:rsidRPr="00E904C3">
        <w:rPr>
          <w:iCs/>
        </w:rPr>
        <w:t xml:space="preserve">a </w:t>
      </w:r>
      <w:r w:rsidRPr="00E904C3">
        <w:t xml:space="preserve">consumer of food (where the term consumer does not include a business); or a restaurant or retail food establishment, as defined in 21 CFR §1.227, that is located: </w:t>
      </w:r>
    </w:p>
    <w:p w14:paraId="62210575" w14:textId="77777777" w:rsidR="00413980" w:rsidRPr="00E904C3" w:rsidRDefault="00413980" w:rsidP="00413980">
      <w:pPr>
        <w:pStyle w:val="a0"/>
      </w:pPr>
      <w:r>
        <w:t>a</w:t>
      </w:r>
      <w:r w:rsidRPr="00E904C3">
        <w:t>.</w:t>
      </w:r>
      <w:r w:rsidRPr="00E904C3">
        <w:tab/>
        <w:t>in the same state or the same Indian reservation as the farm that produced the food; or</w:t>
      </w:r>
    </w:p>
    <w:p w14:paraId="27DB4600" w14:textId="77777777" w:rsidR="00413980" w:rsidRPr="00E904C3" w:rsidRDefault="00413980" w:rsidP="00413980">
      <w:pPr>
        <w:pStyle w:val="a0"/>
      </w:pPr>
      <w:r>
        <w:t>b</w:t>
      </w:r>
      <w:r w:rsidRPr="00E904C3">
        <w:t>.</w:t>
      </w:r>
      <w:r>
        <w:tab/>
      </w:r>
      <w:r w:rsidRPr="00E904C3">
        <w:t>not more than 275 miles from such farm.</w:t>
      </w:r>
    </w:p>
    <w:p w14:paraId="22194871" w14:textId="77777777" w:rsidR="00413980" w:rsidRPr="00E904C3" w:rsidRDefault="00413980" w:rsidP="00413980">
      <w:pPr>
        <w:pStyle w:val="1"/>
      </w:pPr>
      <w:r w:rsidRPr="00E904C3">
        <w:rPr>
          <w:i/>
        </w:rPr>
        <w:t xml:space="preserve">Raw </w:t>
      </w:r>
      <w:r>
        <w:rPr>
          <w:i/>
        </w:rPr>
        <w:t>A</w:t>
      </w:r>
      <w:r w:rsidRPr="00E904C3">
        <w:rPr>
          <w:i/>
        </w:rPr>
        <w:t xml:space="preserve">gricultural </w:t>
      </w:r>
      <w:r>
        <w:rPr>
          <w:i/>
        </w:rPr>
        <w:t>C</w:t>
      </w:r>
      <w:r w:rsidRPr="00E904C3">
        <w:rPr>
          <w:i/>
        </w:rPr>
        <w:t>ommodity (RAC)</w:t>
      </w:r>
      <w:r w:rsidRPr="003F6D7D">
        <w:t>—</w:t>
      </w:r>
      <w:r w:rsidRPr="00E904C3">
        <w:t>“raw agricultural commodity” as defined in Section 201(r) of the Federal Food, Drug, and Cosmetic Act.</w:t>
      </w:r>
    </w:p>
    <w:p w14:paraId="3EFCD3BE" w14:textId="77777777" w:rsidR="00413980" w:rsidRPr="00E904C3" w:rsidRDefault="00413980" w:rsidP="00413980">
      <w:pPr>
        <w:pStyle w:val="1"/>
      </w:pPr>
      <w:r w:rsidRPr="00E904C3">
        <w:rPr>
          <w:i/>
        </w:rPr>
        <w:t>Sanitize</w:t>
      </w:r>
      <w:r w:rsidRPr="003F6D7D">
        <w:t>—</w:t>
      </w:r>
      <w:r w:rsidRPr="00E904C3">
        <w:t xml:space="preserve">to adequately treat cleaned surfaces by a process that is effective in destroying vegetative cells of </w:t>
      </w:r>
      <w:r w:rsidRPr="00E904C3">
        <w:lastRenderedPageBreak/>
        <w:t>microorganisms of public health significance, and in substantially reducing numbers of other undesirable microorganisms, but without adversely affecting the product or its safety for the consumer.</w:t>
      </w:r>
    </w:p>
    <w:p w14:paraId="0453FED0" w14:textId="77777777" w:rsidR="00413980" w:rsidRPr="00E904C3" w:rsidRDefault="00413980" w:rsidP="00413980">
      <w:pPr>
        <w:pStyle w:val="1"/>
      </w:pPr>
      <w:r w:rsidRPr="00E904C3">
        <w:rPr>
          <w:i/>
        </w:rPr>
        <w:t>Secondary Activities Farm</w:t>
      </w:r>
      <w:r w:rsidRPr="003F6D7D">
        <w:t>—</w:t>
      </w:r>
      <w:r w:rsidRPr="00E904C3">
        <w:rPr>
          <w:iCs/>
        </w:rPr>
        <w:t xml:space="preserve">an </w:t>
      </w:r>
      <w:r w:rsidRPr="00E904C3">
        <w:t xml:space="preserve">operation, which is not located on a primary production farm, devoted to harvesting, packing, and/or holding of raw agricultural commodities, provided that the primary production farm(s) that grows, harvests, and/or raises the majority of the raw agricultural commodities harvested, packed, and/or held by the secondary activities farm owns, or jointly owns, a majority interest in the secondary activities farm. A “secondary activities farm” may also conduct those additional activities allowed on a primary production farm as set forth in 21 CFR §1.227. </w:t>
      </w:r>
    </w:p>
    <w:p w14:paraId="25631C6C" w14:textId="77777777" w:rsidR="00413980" w:rsidRPr="00E904C3" w:rsidRDefault="00413980" w:rsidP="00413980">
      <w:pPr>
        <w:pStyle w:val="1"/>
      </w:pPr>
      <w:r w:rsidRPr="00E904C3">
        <w:rPr>
          <w:i/>
        </w:rPr>
        <w:t xml:space="preserve">Sewage </w:t>
      </w:r>
      <w:r>
        <w:rPr>
          <w:i/>
        </w:rPr>
        <w:t>S</w:t>
      </w:r>
      <w:r w:rsidRPr="00E904C3">
        <w:rPr>
          <w:i/>
        </w:rPr>
        <w:t xml:space="preserve">ludge </w:t>
      </w:r>
      <w:r>
        <w:rPr>
          <w:i/>
        </w:rPr>
        <w:t>B</w:t>
      </w:r>
      <w:r w:rsidRPr="00E904C3">
        <w:rPr>
          <w:i/>
        </w:rPr>
        <w:t>iosolids</w:t>
      </w:r>
      <w:r w:rsidRPr="003F6D7D">
        <w:t>—</w:t>
      </w:r>
      <w:r w:rsidRPr="00E904C3">
        <w:t>the solid or semi-solid residue generated during the treatment of domestic sewage in a treatment works within the meaning of the definition of “sewage sludge” set forth in 40 CFR 503.9.</w:t>
      </w:r>
    </w:p>
    <w:p w14:paraId="6646312D" w14:textId="77777777" w:rsidR="00413980" w:rsidRPr="00E904C3" w:rsidRDefault="00413980" w:rsidP="00413980">
      <w:pPr>
        <w:pStyle w:val="1"/>
      </w:pPr>
      <w:r w:rsidRPr="00E904C3">
        <w:rPr>
          <w:i/>
        </w:rPr>
        <w:t xml:space="preserve">Small </w:t>
      </w:r>
      <w:r>
        <w:rPr>
          <w:i/>
        </w:rPr>
        <w:t>B</w:t>
      </w:r>
      <w:r w:rsidRPr="00E904C3">
        <w:rPr>
          <w:i/>
        </w:rPr>
        <w:t>usiness</w:t>
      </w:r>
      <w:r w:rsidRPr="003F6D7D">
        <w:t>—</w:t>
      </w:r>
      <w:r w:rsidRPr="00E904C3">
        <w:t xml:space="preserve">for the purpose of this Chapter, a farm is a small business if it is subject to any of the requirements of this Chapter and, on a rolling basis, the average annual monetary value of produce sold during the previous 3-year period is no more than $500,000, and the farm is not a “very small business” as defined in this Section. </w:t>
      </w:r>
    </w:p>
    <w:p w14:paraId="2DD9724D" w14:textId="77777777" w:rsidR="00413980" w:rsidRPr="00E904C3" w:rsidRDefault="00413980" w:rsidP="00413980">
      <w:pPr>
        <w:pStyle w:val="1"/>
      </w:pPr>
      <w:r w:rsidRPr="00E904C3">
        <w:rPr>
          <w:i/>
        </w:rPr>
        <w:t xml:space="preserve">Soil </w:t>
      </w:r>
      <w:r>
        <w:rPr>
          <w:i/>
        </w:rPr>
        <w:t>A</w:t>
      </w:r>
      <w:r w:rsidRPr="00E904C3">
        <w:rPr>
          <w:i/>
        </w:rPr>
        <w:t>mendment</w:t>
      </w:r>
      <w:r w:rsidRPr="003F6D7D">
        <w:t>—</w:t>
      </w:r>
      <w:r w:rsidRPr="00E904C3">
        <w:t>any chemical, biological, or physical material intentionally added to the soil to improve the chemical or physical condition of soil in relation to plant growth or to improve the capacity of the soil to hold water. The term “soil amendment” also includes growth media that serve as the entire substrate during the growth of covered produce.</w:t>
      </w:r>
    </w:p>
    <w:p w14:paraId="0A02BD7B" w14:textId="77777777" w:rsidR="00413980" w:rsidRPr="00E904C3" w:rsidRDefault="00413980" w:rsidP="00413980">
      <w:pPr>
        <w:pStyle w:val="1"/>
      </w:pPr>
      <w:r w:rsidRPr="00E904C3">
        <w:rPr>
          <w:i/>
        </w:rPr>
        <w:t xml:space="preserve">Stabilized </w:t>
      </w:r>
      <w:r>
        <w:rPr>
          <w:i/>
        </w:rPr>
        <w:t>C</w:t>
      </w:r>
      <w:r w:rsidRPr="00E904C3">
        <w:rPr>
          <w:i/>
        </w:rPr>
        <w:t>ompost</w:t>
      </w:r>
      <w:r w:rsidRPr="003F6D7D">
        <w:t>—</w:t>
      </w:r>
      <w:r w:rsidRPr="00E904C3">
        <w:t>a stabilized (</w:t>
      </w:r>
      <w:r w:rsidRPr="00E904C3">
        <w:rPr>
          <w:i/>
        </w:rPr>
        <w:t>i.e.,</w:t>
      </w:r>
      <w:r w:rsidRPr="00E904C3">
        <w:t xml:space="preserve"> finished) biological soil amendment produced through a controlled composting process.</w:t>
      </w:r>
    </w:p>
    <w:p w14:paraId="262BD26E" w14:textId="77777777" w:rsidR="00413980" w:rsidRPr="00E904C3" w:rsidRDefault="00413980" w:rsidP="00413980">
      <w:pPr>
        <w:pStyle w:val="1"/>
      </w:pPr>
      <w:r w:rsidRPr="00E904C3">
        <w:rPr>
          <w:i/>
        </w:rPr>
        <w:t xml:space="preserve">Static </w:t>
      </w:r>
      <w:r>
        <w:rPr>
          <w:i/>
        </w:rPr>
        <w:t>C</w:t>
      </w:r>
      <w:r w:rsidRPr="00E904C3">
        <w:rPr>
          <w:i/>
        </w:rPr>
        <w:t>omposting</w:t>
      </w:r>
      <w:r w:rsidRPr="003F6D7D">
        <w:t>—</w:t>
      </w:r>
      <w:r w:rsidRPr="00E904C3">
        <w:t xml:space="preserve">a process to produce stabilized compost in which air is introduced into biological material, in a pile or row, that may or may not be covered with insulating material, or in an enclosed vessel by a mechanism that does not include turning. </w:t>
      </w:r>
    </w:p>
    <w:p w14:paraId="7A348905" w14:textId="77777777" w:rsidR="00413980" w:rsidRPr="00E904C3" w:rsidRDefault="00413980" w:rsidP="00413980">
      <w:pPr>
        <w:pStyle w:val="1"/>
      </w:pPr>
      <w:r w:rsidRPr="00E904C3">
        <w:rPr>
          <w:i/>
        </w:rPr>
        <w:t xml:space="preserve">Table </w:t>
      </w:r>
      <w:r>
        <w:rPr>
          <w:i/>
        </w:rPr>
        <w:t>W</w:t>
      </w:r>
      <w:r w:rsidRPr="00E904C3">
        <w:rPr>
          <w:i/>
        </w:rPr>
        <w:t>aste</w:t>
      </w:r>
      <w:r w:rsidRPr="003F6D7D">
        <w:t>—</w:t>
      </w:r>
      <w:r w:rsidRPr="00E904C3">
        <w:t>any post-consumer food waste, irrespective of whether the source material is animal or vegetative in origin, derived from individuals, institutions, restaurants, retail operations, or other sources where the food has been served to a consumer.</w:t>
      </w:r>
    </w:p>
    <w:p w14:paraId="4C797476" w14:textId="77777777" w:rsidR="00413980" w:rsidRPr="00E904C3" w:rsidRDefault="00413980" w:rsidP="00413980">
      <w:pPr>
        <w:pStyle w:val="1"/>
      </w:pPr>
      <w:r w:rsidRPr="00E904C3">
        <w:rPr>
          <w:i/>
        </w:rPr>
        <w:t xml:space="preserve">Turned </w:t>
      </w:r>
      <w:r>
        <w:rPr>
          <w:i/>
        </w:rPr>
        <w:t>C</w:t>
      </w:r>
      <w:r w:rsidRPr="00E904C3">
        <w:rPr>
          <w:i/>
        </w:rPr>
        <w:t>omposting</w:t>
      </w:r>
      <w:r w:rsidRPr="003F6D7D">
        <w:t>—</w:t>
      </w:r>
      <w:r w:rsidRPr="00E904C3">
        <w:t>a process to produce stabilized compost in which air is introduced into biological material, in a pile, row, or enclosed vessel, by turning on a regular basis. Turning is the process of mechanically mixing biological material that is undergoing a composting process with the specific intent of moving the outer, cooler sections of the material being composted to the inner, hotter sections.</w:t>
      </w:r>
    </w:p>
    <w:p w14:paraId="6A759F38" w14:textId="77777777" w:rsidR="00413980" w:rsidRDefault="00413980" w:rsidP="00413980">
      <w:pPr>
        <w:pStyle w:val="1"/>
        <w:rPr>
          <w:i/>
        </w:rPr>
      </w:pPr>
      <w:r>
        <w:rPr>
          <w:i/>
        </w:rPr>
        <w:t>Vegetable</w:t>
      </w:r>
      <w:r w:rsidRPr="003F6D7D">
        <w:t>—</w:t>
      </w:r>
      <w:r w:rsidRPr="00E904C3">
        <w:t>the harvestable or harvested part of any plant or fungus whose fruit, fleshy fruiting bodies, seeds, roots, tubers, bulbs, stems, leaves, or flower parts are used as food and includes mushrooms, sprouts, and herbs.</w:t>
      </w:r>
    </w:p>
    <w:p w14:paraId="3D6A04B4" w14:textId="77777777" w:rsidR="00413980" w:rsidRPr="00E904C3" w:rsidRDefault="00413980" w:rsidP="00413980">
      <w:pPr>
        <w:pStyle w:val="1"/>
      </w:pPr>
      <w:r>
        <w:rPr>
          <w:i/>
        </w:rPr>
        <w:t>Very Small Business</w:t>
      </w:r>
      <w:r w:rsidRPr="003F6D7D">
        <w:t>—</w:t>
      </w:r>
      <w:r w:rsidRPr="00E904C3">
        <w:t>any farm that is subject to any of the requirements of this Chapter and, on a rolling basis, the average annual monetary value of produce sold during the previous 3-year period is no more than $250,000.</w:t>
      </w:r>
    </w:p>
    <w:p w14:paraId="274353AB" w14:textId="77777777" w:rsidR="00413980" w:rsidRPr="00E904C3" w:rsidRDefault="00413980" w:rsidP="00413980">
      <w:pPr>
        <w:pStyle w:val="1"/>
      </w:pPr>
      <w:r w:rsidRPr="00E904C3">
        <w:rPr>
          <w:i/>
        </w:rPr>
        <w:t>Visitor</w:t>
      </w:r>
      <w:r w:rsidRPr="003F6D7D">
        <w:t>—</w:t>
      </w:r>
      <w:r w:rsidRPr="00E904C3">
        <w:t>any person, other than personnel, who enters a covered farm with permission.</w:t>
      </w:r>
    </w:p>
    <w:p w14:paraId="5CED9EA3" w14:textId="77777777" w:rsidR="00413980" w:rsidRPr="00E904C3" w:rsidRDefault="00413980" w:rsidP="00413980">
      <w:pPr>
        <w:pStyle w:val="1"/>
      </w:pPr>
      <w:r w:rsidRPr="00E904C3">
        <w:rPr>
          <w:i/>
        </w:rPr>
        <w:t xml:space="preserve">Water </w:t>
      </w:r>
      <w:r>
        <w:rPr>
          <w:i/>
        </w:rPr>
        <w:t>D</w:t>
      </w:r>
      <w:r w:rsidRPr="00E904C3">
        <w:rPr>
          <w:i/>
        </w:rPr>
        <w:t xml:space="preserve">istribution </w:t>
      </w:r>
      <w:r>
        <w:rPr>
          <w:i/>
        </w:rPr>
        <w:t>S</w:t>
      </w:r>
      <w:r w:rsidRPr="00E904C3">
        <w:rPr>
          <w:i/>
        </w:rPr>
        <w:t>ystem</w:t>
      </w:r>
      <w:r w:rsidRPr="003F6D7D">
        <w:t>—</w:t>
      </w:r>
      <w:r w:rsidRPr="00E904C3">
        <w:t>a system to carry water from its primary source to its point of use.</w:t>
      </w:r>
      <w:r>
        <w:t xml:space="preserve"> </w:t>
      </w:r>
      <w:r w:rsidRPr="00E904C3">
        <w:t>A “water distribution system” may include pipes, sprinklers, irrigation canals, pumps, valves, storage tanks, reservoirs, meters, and fittings.</w:t>
      </w:r>
    </w:p>
    <w:p w14:paraId="22EBB30D" w14:textId="77777777" w:rsidR="00413980" w:rsidRDefault="00413980" w:rsidP="00413980">
      <w:pPr>
        <w:pStyle w:val="1"/>
      </w:pPr>
      <w:r w:rsidRPr="00E904C3">
        <w:rPr>
          <w:i/>
        </w:rPr>
        <w:t xml:space="preserve">Yard </w:t>
      </w:r>
      <w:r>
        <w:rPr>
          <w:i/>
        </w:rPr>
        <w:t>T</w:t>
      </w:r>
      <w:r w:rsidRPr="00E904C3">
        <w:rPr>
          <w:i/>
        </w:rPr>
        <w:t>rimmings</w:t>
      </w:r>
      <w:r w:rsidRPr="003F6D7D">
        <w:t>—</w:t>
      </w:r>
      <w:r w:rsidRPr="00E904C3">
        <w:t>purely vegetative matter resulting from landscaping maintenance or land clearing operations, including materials such as tree and shrub trimmings, grass clippings, palm fronds, trees, tree stumps, untreated lumber, untreated wooden pallets, and associated rocks and soils.</w:t>
      </w:r>
    </w:p>
    <w:p w14:paraId="4740B969" w14:textId="77777777" w:rsidR="00413980" w:rsidRPr="00E904C3" w:rsidRDefault="00413980" w:rsidP="00413980">
      <w:pPr>
        <w:pStyle w:val="AuthorityNote"/>
      </w:pPr>
      <w:r w:rsidRPr="00E904C3">
        <w:t>AUTHORITY NOTE:</w:t>
      </w:r>
      <w:r w:rsidRPr="00E904C3">
        <w:tab/>
        <w:t>Promulgated in accordance with R.S. 3:921, 922, and</w:t>
      </w:r>
      <w:r>
        <w:t xml:space="preserve"> </w:t>
      </w:r>
      <w:r w:rsidRPr="00E904C3">
        <w:t>923.</w:t>
      </w:r>
    </w:p>
    <w:p w14:paraId="1915DA1F"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394</w:t>
      </w:r>
      <w:r w:rsidRPr="00A71556">
        <w:t xml:space="preserve"> (March 2022).</w:t>
      </w:r>
    </w:p>
    <w:p w14:paraId="765D9D18" w14:textId="77777777" w:rsidR="00413980" w:rsidRDefault="00413980" w:rsidP="00413980">
      <w:pPr>
        <w:pStyle w:val="Section"/>
      </w:pPr>
      <w:bookmarkStart w:id="780" w:name="_Toc224818633"/>
      <w:r w:rsidRPr="00E904C3">
        <w:t>§1205.</w:t>
      </w:r>
      <w:r>
        <w:tab/>
      </w:r>
      <w:r w:rsidRPr="00E904C3">
        <w:t>Personnel Qualification and Training</w:t>
      </w:r>
      <w:bookmarkEnd w:id="780"/>
      <w:r w:rsidRPr="00E904C3">
        <w:t xml:space="preserve"> </w:t>
      </w:r>
    </w:p>
    <w:p w14:paraId="006086A7" w14:textId="77777777" w:rsidR="00413980" w:rsidRPr="00E904C3" w:rsidRDefault="00413980" w:rsidP="00413980">
      <w:pPr>
        <w:pStyle w:val="A"/>
      </w:pPr>
      <w:r w:rsidRPr="00E904C3">
        <w:t>A.</w:t>
      </w:r>
      <w:r w:rsidRPr="00E904C3">
        <w:tab/>
        <w:t>All of the following requirements apply regarding qualifications and training for personnel that come into contact with covered produce or food contact surfaces</w:t>
      </w:r>
      <w:r>
        <w:t>.</w:t>
      </w:r>
    </w:p>
    <w:p w14:paraId="121A5B8F" w14:textId="77777777" w:rsidR="00413980" w:rsidRPr="00E904C3" w:rsidRDefault="00413980" w:rsidP="00413980">
      <w:pPr>
        <w:pStyle w:val="1"/>
      </w:pPr>
      <w:r w:rsidRPr="00E904C3">
        <w:t>1.</w:t>
      </w:r>
      <w:r>
        <w:tab/>
      </w:r>
      <w:r w:rsidRPr="00E904C3">
        <w:t xml:space="preserve">All personnel, including temporary, part time, seasonal, and contracted personnel, who handle covered produce or food contact surfaces, or who are engaged in the supervision thereof, shall receive adequate training, as appropriate to the person’s duties, at the time of hire, and at least once annually. </w:t>
      </w:r>
    </w:p>
    <w:p w14:paraId="18373AD8" w14:textId="77777777" w:rsidR="00413980" w:rsidRPr="00E904C3" w:rsidRDefault="00413980" w:rsidP="00413980">
      <w:pPr>
        <w:pStyle w:val="1"/>
      </w:pPr>
      <w:r w:rsidRPr="00E904C3">
        <w:t>2.</w:t>
      </w:r>
      <w:r w:rsidRPr="00E904C3">
        <w:tab/>
        <w:t>All personnel, including temporary, part time, seasonal, and contracted personnel, who handle covered produce or food contact surfaces, or who are engaged in the supervision thereof, shall have a combination of education, training, and experience necessary to perform the person’s assigned duties in a manner that ensures compliance with this Chapter.</w:t>
      </w:r>
    </w:p>
    <w:p w14:paraId="19D933AA" w14:textId="77777777" w:rsidR="00413980" w:rsidRPr="00E904C3" w:rsidRDefault="00413980" w:rsidP="00413980">
      <w:pPr>
        <w:pStyle w:val="1"/>
      </w:pPr>
      <w:r w:rsidRPr="00E904C3">
        <w:t>3.</w:t>
      </w:r>
      <w:r>
        <w:tab/>
      </w:r>
      <w:r w:rsidRPr="00E904C3">
        <w:t xml:space="preserve">Training shall be conducted in a manner that is easily understood by the personnel being trained; and </w:t>
      </w:r>
    </w:p>
    <w:p w14:paraId="3C9FB976" w14:textId="77777777" w:rsidR="00413980" w:rsidRPr="00E904C3" w:rsidRDefault="00413980" w:rsidP="00413980">
      <w:pPr>
        <w:pStyle w:val="1"/>
      </w:pPr>
      <w:r w:rsidRPr="00E904C3">
        <w:t>4.</w:t>
      </w:r>
      <w:r>
        <w:tab/>
      </w:r>
      <w:r w:rsidRPr="00E904C3">
        <w:t xml:space="preserve">Training shall be repeated as necessary and appropriate in light of observations or information indicating that personnel are not meeting standards established by 21 CFR §112.21-167. </w:t>
      </w:r>
    </w:p>
    <w:p w14:paraId="569AB272" w14:textId="77777777" w:rsidR="00413980" w:rsidRPr="00E904C3" w:rsidRDefault="00413980" w:rsidP="00413980">
      <w:pPr>
        <w:pStyle w:val="A"/>
      </w:pPr>
      <w:r w:rsidRPr="00E904C3">
        <w:t>B.</w:t>
      </w:r>
      <w:r>
        <w:tab/>
      </w:r>
      <w:r w:rsidRPr="00E904C3">
        <w:t>At a minimum, all personnel who handle covered produce during covered activities or supervise the conduct of such activities shall receive training that includes all of the following:</w:t>
      </w:r>
    </w:p>
    <w:p w14:paraId="07BCB5E1" w14:textId="77777777" w:rsidR="00413980" w:rsidRPr="00E904C3" w:rsidRDefault="00413980" w:rsidP="00413980">
      <w:pPr>
        <w:pStyle w:val="1"/>
      </w:pPr>
      <w:r w:rsidRPr="00E904C3">
        <w:t>1.</w:t>
      </w:r>
      <w:r>
        <w:tab/>
      </w:r>
      <w:r w:rsidRPr="00E904C3">
        <w:t xml:space="preserve">principles of food hygiene and food safety; </w:t>
      </w:r>
    </w:p>
    <w:p w14:paraId="6D9A32E1" w14:textId="77777777" w:rsidR="00413980" w:rsidRPr="00E904C3" w:rsidRDefault="00413980" w:rsidP="00413980">
      <w:pPr>
        <w:pStyle w:val="1"/>
      </w:pPr>
      <w:r w:rsidRPr="00E904C3">
        <w:t>2.</w:t>
      </w:r>
      <w:r w:rsidRPr="00E904C3">
        <w:tab/>
        <w:t>the importance of health and personal hygiene for all personnel and visitors, including recognizing symptoms of a health condition that is reasonably likely to result in contamination of covered produce of food contact surfaces with microorganisms of public health significance; and</w:t>
      </w:r>
    </w:p>
    <w:p w14:paraId="4F9EE024" w14:textId="77777777" w:rsidR="00413980" w:rsidRPr="00E904C3" w:rsidRDefault="00413980" w:rsidP="00413980">
      <w:pPr>
        <w:pStyle w:val="1"/>
      </w:pPr>
      <w:r w:rsidRPr="00E904C3">
        <w:lastRenderedPageBreak/>
        <w:t>3.</w:t>
      </w:r>
      <w:r>
        <w:tab/>
      </w:r>
      <w:r w:rsidRPr="00E904C3">
        <w:t xml:space="preserve">the standards established by 21 CFR §112.21-167 that are applicable to the employee’s job responsibilities. </w:t>
      </w:r>
    </w:p>
    <w:p w14:paraId="1D09AF67" w14:textId="77777777" w:rsidR="00413980" w:rsidRPr="00E904C3" w:rsidRDefault="00413980" w:rsidP="00413980">
      <w:pPr>
        <w:pStyle w:val="A"/>
      </w:pPr>
      <w:r w:rsidRPr="00E904C3">
        <w:t>C.</w:t>
      </w:r>
      <w:r w:rsidRPr="00E904C3">
        <w:tab/>
        <w:t>Persons who conduct harvest activities for covered produce shall also receive training which includes all of the following:</w:t>
      </w:r>
    </w:p>
    <w:p w14:paraId="179AD298" w14:textId="77777777" w:rsidR="00413980" w:rsidRPr="00E904C3" w:rsidRDefault="00413980" w:rsidP="00413980">
      <w:pPr>
        <w:pStyle w:val="1"/>
      </w:pPr>
      <w:r w:rsidRPr="00E904C3">
        <w:t>1.</w:t>
      </w:r>
      <w:r w:rsidRPr="00E904C3">
        <w:tab/>
        <w:t xml:space="preserve">recognizing covered produce that shall not be harvested, including covered produce that may be contaminated with known or reasonably foreseeable hazards; </w:t>
      </w:r>
    </w:p>
    <w:p w14:paraId="298DD255" w14:textId="77777777" w:rsidR="00413980" w:rsidRPr="00E904C3" w:rsidRDefault="00413980" w:rsidP="00413980">
      <w:pPr>
        <w:pStyle w:val="1"/>
      </w:pPr>
      <w:r w:rsidRPr="00E904C3">
        <w:t>2.</w:t>
      </w:r>
      <w:r>
        <w:tab/>
      </w:r>
      <w:r w:rsidRPr="00E904C3">
        <w:t xml:space="preserve">inspecting harvest containers and equipment to ensure that they are clean, functioning properly, and maintained so as not to become a source of contamination of covered produce with known or reasonably foreseeable hazards; and </w:t>
      </w:r>
    </w:p>
    <w:p w14:paraId="40CADACD" w14:textId="77777777" w:rsidR="00413980" w:rsidRPr="00E904C3" w:rsidRDefault="00413980" w:rsidP="00413980">
      <w:pPr>
        <w:pStyle w:val="1"/>
      </w:pPr>
      <w:r w:rsidRPr="00E904C3">
        <w:t>3.</w:t>
      </w:r>
      <w:r>
        <w:tab/>
      </w:r>
      <w:r w:rsidRPr="00E904C3">
        <w:t xml:space="preserve">correcting problems with harvest containers or equipment, or reporting such problems to the supervisor or other responsible party, as appropriate to the person’s job responsibilities. </w:t>
      </w:r>
    </w:p>
    <w:p w14:paraId="4138AEBC" w14:textId="77777777" w:rsidR="00413980" w:rsidRPr="00E904C3" w:rsidRDefault="00413980" w:rsidP="00413980">
      <w:pPr>
        <w:pStyle w:val="A"/>
      </w:pPr>
      <w:r w:rsidRPr="00E904C3">
        <w:t>D.</w:t>
      </w:r>
      <w:r w:rsidRPr="00E904C3">
        <w:tab/>
        <w:t>At least one supervisor or responsible party for each covered produce farm shall have successfully completed food safety training at least equivalent to that received under the standardized curriculum recognized as adequate by the United State Food and Drug Administration.</w:t>
      </w:r>
    </w:p>
    <w:p w14:paraId="369427FB" w14:textId="77777777" w:rsidR="00413980" w:rsidRDefault="00413980" w:rsidP="00413980">
      <w:pPr>
        <w:pStyle w:val="A"/>
      </w:pPr>
      <w:r w:rsidRPr="00E904C3">
        <w:t>E.</w:t>
      </w:r>
      <w:r w:rsidRPr="00E904C3">
        <w:tab/>
        <w:t>The owner, operator, or agent-in-charge of each covered produce farm shall assign or identify personnel to supervise or otherwise be responsible for operations to ensure compliance with the requirements of this Chapter.</w:t>
      </w:r>
    </w:p>
    <w:p w14:paraId="6CCE9F2C" w14:textId="77777777" w:rsidR="00413980" w:rsidRPr="00E904C3" w:rsidRDefault="00413980" w:rsidP="00413980">
      <w:pPr>
        <w:pStyle w:val="AuthorityNote"/>
      </w:pPr>
      <w:r w:rsidRPr="00E904C3">
        <w:t>AUTHORITY NOTE:</w:t>
      </w:r>
      <w:r w:rsidRPr="00E904C3">
        <w:tab/>
        <w:t>Promulgated in accordance with R.S. 3:922, and 923.</w:t>
      </w:r>
    </w:p>
    <w:p w14:paraId="4DBD56C4"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396</w:t>
      </w:r>
      <w:r w:rsidRPr="00A71556">
        <w:t xml:space="preserve"> (March 2022).</w:t>
      </w:r>
    </w:p>
    <w:p w14:paraId="73B679BD" w14:textId="77777777" w:rsidR="00413980" w:rsidRDefault="00413980" w:rsidP="00413980">
      <w:pPr>
        <w:pStyle w:val="Section"/>
      </w:pPr>
      <w:bookmarkStart w:id="781" w:name="_Toc224818634"/>
      <w:r w:rsidRPr="00E904C3">
        <w:t>§1207.</w:t>
      </w:r>
      <w:r w:rsidRPr="00E904C3">
        <w:tab/>
        <w:t>Health and Hygiene</w:t>
      </w:r>
      <w:bookmarkEnd w:id="781"/>
    </w:p>
    <w:p w14:paraId="3A692E03" w14:textId="77777777" w:rsidR="00413980" w:rsidRPr="00E904C3" w:rsidRDefault="00413980" w:rsidP="00413980">
      <w:pPr>
        <w:pStyle w:val="A"/>
      </w:pPr>
      <w:r w:rsidRPr="00E904C3">
        <w:t>A.</w:t>
      </w:r>
      <w:r>
        <w:tab/>
      </w:r>
      <w:r w:rsidRPr="00E904C3">
        <w:t>Covered produce farms shall take measures to prevent contamination of covered produce and food contact surfaces with microorganisms of public health significance from any person with a communicable health condition. Communicable illnesses are those that present a public health risk in the context of normal work duties, such as</w:t>
      </w:r>
      <w:r>
        <w:t xml:space="preserve"> </w:t>
      </w:r>
      <w:r w:rsidRPr="00E904C3">
        <w:t xml:space="preserve">infection, open lesion, vomiting, or diarrhea. </w:t>
      </w:r>
    </w:p>
    <w:p w14:paraId="701707B9" w14:textId="77777777" w:rsidR="00413980" w:rsidRPr="00E904C3" w:rsidRDefault="00413980" w:rsidP="00413980">
      <w:pPr>
        <w:pStyle w:val="A"/>
      </w:pPr>
      <w:r w:rsidRPr="00E904C3">
        <w:t>B.</w:t>
      </w:r>
      <w:r w:rsidRPr="00E904C3">
        <w:tab/>
        <w:t xml:space="preserve">The measures taken to satisfy the requirements of </w:t>
      </w:r>
      <w:r>
        <w:t>Subsection A</w:t>
      </w:r>
      <w:r w:rsidRPr="00E904C3">
        <w:t xml:space="preserve"> of this Section shall include all of the following:</w:t>
      </w:r>
    </w:p>
    <w:p w14:paraId="3E902DDB" w14:textId="77777777" w:rsidR="00413980" w:rsidRPr="00E904C3" w:rsidRDefault="00413980" w:rsidP="00413980">
      <w:pPr>
        <w:pStyle w:val="1"/>
      </w:pPr>
      <w:r w:rsidRPr="00E904C3">
        <w:t>1.</w:t>
      </w:r>
      <w:r>
        <w:tab/>
      </w:r>
      <w:r w:rsidRPr="00E904C3">
        <w:t xml:space="preserve">excluding any person from working in any operations that may result in contamination of covered produce or food contact surfaces with microorganisms of public health significance when the person, by medical examination, the person’s acknowledgement, or observation, is shown to have, or appears to have, an applicable health condition, until the person’s health condition no longer presents a risk to public health; and </w:t>
      </w:r>
    </w:p>
    <w:p w14:paraId="3C3C08E5" w14:textId="77777777" w:rsidR="00413980" w:rsidRPr="00E904C3" w:rsidRDefault="00413980" w:rsidP="00413980">
      <w:pPr>
        <w:pStyle w:val="1"/>
      </w:pPr>
      <w:r w:rsidRPr="00E904C3">
        <w:t>2.</w:t>
      </w:r>
      <w:r w:rsidRPr="00E904C3">
        <w:tab/>
        <w:t xml:space="preserve">instructing personnel to notify their supervisor(s) or a responsible party if they have, or if there is a reasonable possibility that they have an applicable health condition. </w:t>
      </w:r>
    </w:p>
    <w:p w14:paraId="662E06F7" w14:textId="77777777" w:rsidR="00413980" w:rsidRPr="00E904C3" w:rsidRDefault="00413980" w:rsidP="00413980">
      <w:pPr>
        <w:pStyle w:val="A"/>
      </w:pPr>
      <w:r w:rsidRPr="00E904C3">
        <w:t>C.</w:t>
      </w:r>
      <w:r w:rsidRPr="00E904C3">
        <w:tab/>
        <w:t xml:space="preserve">Personnel who work in an operation in which covered produce or food contact surfaces are at risk of contamination </w:t>
      </w:r>
      <w:r w:rsidRPr="00E904C3">
        <w:t>with known or reasonably foreseeable hazards shall use hygienic practices while on duty to the extent necessary to protect against such contamination.</w:t>
      </w:r>
    </w:p>
    <w:p w14:paraId="0ECE2067" w14:textId="77777777" w:rsidR="00413980" w:rsidRPr="00E904C3" w:rsidRDefault="00413980" w:rsidP="00413980">
      <w:pPr>
        <w:pStyle w:val="A"/>
      </w:pPr>
      <w:r w:rsidRPr="00E904C3">
        <w:t>D.</w:t>
      </w:r>
      <w:r w:rsidRPr="00E904C3">
        <w:tab/>
        <w:t>The hygienic practices that personnel use to satisfy the requirements of paragraph (C) of this Section when handling covered produce or food contact surfaces during a covered activity shall include all of the following:</w:t>
      </w:r>
    </w:p>
    <w:p w14:paraId="14BDCDC3" w14:textId="77777777" w:rsidR="00413980" w:rsidRPr="00E904C3" w:rsidRDefault="00413980" w:rsidP="00413980">
      <w:pPr>
        <w:pStyle w:val="1"/>
      </w:pPr>
      <w:r w:rsidRPr="00E904C3">
        <w:t>1.</w:t>
      </w:r>
      <w:r w:rsidRPr="00E904C3">
        <w:tab/>
        <w:t xml:space="preserve">maintaining adequate personal cleanliness to protect against contamination of covered produce and food contact surfaces; </w:t>
      </w:r>
    </w:p>
    <w:p w14:paraId="508B6A1C" w14:textId="77777777" w:rsidR="00413980" w:rsidRPr="00E904C3" w:rsidRDefault="00413980" w:rsidP="00413980">
      <w:pPr>
        <w:pStyle w:val="1"/>
      </w:pPr>
      <w:r w:rsidRPr="00E904C3">
        <w:t>2.</w:t>
      </w:r>
      <w:r w:rsidRPr="00E904C3">
        <w:tab/>
        <w:t xml:space="preserve">avoiding contact with animals other than working animals, and taking appropriate steps to minimize the likelihood of contamination of covered produce when in direct contact with working animals; </w:t>
      </w:r>
    </w:p>
    <w:p w14:paraId="0F729DD3" w14:textId="77777777" w:rsidR="00413980" w:rsidRPr="00E904C3" w:rsidRDefault="00413980" w:rsidP="00413980">
      <w:pPr>
        <w:pStyle w:val="1"/>
      </w:pPr>
      <w:r w:rsidRPr="00E904C3">
        <w:t>3.</w:t>
      </w:r>
      <w:r>
        <w:tab/>
      </w:r>
      <w:r w:rsidRPr="00E904C3">
        <w:t xml:space="preserve">washing hands thoroughly, including scrubbing with soap (or other effective surfactant), and running water that satisfies the requirements of §21 CFR 112.44(a), for water used to wash hands, and drying hands thoroughly using single-service towels, sanitary towel service, electric hand dryers, or other adequate hand drying devices; </w:t>
      </w:r>
    </w:p>
    <w:p w14:paraId="3B1D5F79" w14:textId="77777777" w:rsidR="00413980" w:rsidRPr="00E904C3" w:rsidRDefault="00413980" w:rsidP="00413980">
      <w:pPr>
        <w:pStyle w:val="a0"/>
      </w:pPr>
      <w:r w:rsidRPr="00E904C3">
        <w:t>a.</w:t>
      </w:r>
      <w:r>
        <w:tab/>
      </w:r>
      <w:r w:rsidRPr="00E904C3">
        <w:t xml:space="preserve">before starting work; </w:t>
      </w:r>
    </w:p>
    <w:p w14:paraId="70E48B28" w14:textId="77777777" w:rsidR="00413980" w:rsidRPr="00E904C3" w:rsidRDefault="00413980" w:rsidP="00413980">
      <w:pPr>
        <w:pStyle w:val="a0"/>
      </w:pPr>
      <w:r w:rsidRPr="00E904C3">
        <w:t>b.</w:t>
      </w:r>
      <w:r>
        <w:tab/>
      </w:r>
      <w:r w:rsidRPr="00E904C3">
        <w:t xml:space="preserve">before putting on gloves; </w:t>
      </w:r>
    </w:p>
    <w:p w14:paraId="0ABB7472" w14:textId="77777777" w:rsidR="00413980" w:rsidRPr="00E904C3" w:rsidRDefault="00413980" w:rsidP="00413980">
      <w:pPr>
        <w:pStyle w:val="a0"/>
      </w:pPr>
      <w:r w:rsidRPr="00E904C3">
        <w:t>c.</w:t>
      </w:r>
      <w:r w:rsidRPr="00E904C3">
        <w:tab/>
        <w:t xml:space="preserve">after using the toilet; </w:t>
      </w:r>
    </w:p>
    <w:p w14:paraId="546EF714" w14:textId="77777777" w:rsidR="00413980" w:rsidRPr="00E904C3" w:rsidRDefault="00413980" w:rsidP="00413980">
      <w:pPr>
        <w:pStyle w:val="a0"/>
      </w:pPr>
      <w:r w:rsidRPr="00E904C3">
        <w:t>d.</w:t>
      </w:r>
      <w:r>
        <w:tab/>
      </w:r>
      <w:r w:rsidRPr="00E904C3">
        <w:t xml:space="preserve">upon return to the work station after any break or other absence from the work station; </w:t>
      </w:r>
    </w:p>
    <w:p w14:paraId="4009A6E9" w14:textId="77777777" w:rsidR="00413980" w:rsidRPr="00E904C3" w:rsidRDefault="00413980" w:rsidP="00413980">
      <w:pPr>
        <w:pStyle w:val="a0"/>
      </w:pPr>
      <w:r w:rsidRPr="00E904C3">
        <w:t>e.</w:t>
      </w:r>
      <w:r w:rsidRPr="00E904C3">
        <w:tab/>
        <w:t xml:space="preserve">as soon as practical after touching animals (including livestock and working animals), or any waste of animal origin; and </w:t>
      </w:r>
    </w:p>
    <w:p w14:paraId="4D552105" w14:textId="77777777" w:rsidR="00413980" w:rsidRPr="00E904C3" w:rsidRDefault="00413980" w:rsidP="00413980">
      <w:pPr>
        <w:pStyle w:val="a0"/>
      </w:pPr>
      <w:r w:rsidRPr="00E904C3">
        <w:t>f.</w:t>
      </w:r>
      <w:r>
        <w:tab/>
      </w:r>
      <w:r w:rsidRPr="00E904C3">
        <w:t xml:space="preserve">at any other time when the hands may have become contaminated in a manner that is reasonably likely to lead to contamination of covered produce with known or reasonably foreseeable hazards; </w:t>
      </w:r>
    </w:p>
    <w:p w14:paraId="55E097A1" w14:textId="77777777" w:rsidR="00413980" w:rsidRPr="00E904C3" w:rsidRDefault="00413980" w:rsidP="00413980">
      <w:pPr>
        <w:pStyle w:val="1"/>
      </w:pPr>
      <w:r w:rsidRPr="00E904C3">
        <w:t>4.</w:t>
      </w:r>
      <w:r>
        <w:tab/>
      </w:r>
      <w:r w:rsidRPr="00E904C3">
        <w:t xml:space="preserve">if using gloves to handle covered produce or food contact surfaces, maintaining gloves in an intact and sanitary condition and replacing such gloves when no longer able to do so; </w:t>
      </w:r>
    </w:p>
    <w:p w14:paraId="2425DB06" w14:textId="77777777" w:rsidR="00413980" w:rsidRPr="00E904C3" w:rsidRDefault="00413980" w:rsidP="00413980">
      <w:pPr>
        <w:pStyle w:val="1"/>
      </w:pPr>
      <w:r w:rsidRPr="00E904C3">
        <w:t>5.</w:t>
      </w:r>
      <w:r>
        <w:tab/>
      </w:r>
      <w:r w:rsidRPr="00E904C3">
        <w:t xml:space="preserve">removing or covering hand jewelry that cannot be adequately cleaned and sanitized during periods in which covered produce is manipulated by hand; and </w:t>
      </w:r>
    </w:p>
    <w:p w14:paraId="5B503F5B" w14:textId="77777777" w:rsidR="00413980" w:rsidRPr="00E904C3" w:rsidRDefault="00413980" w:rsidP="00413980">
      <w:pPr>
        <w:pStyle w:val="1"/>
      </w:pPr>
      <w:r w:rsidRPr="00E904C3">
        <w:t>6.</w:t>
      </w:r>
      <w:r>
        <w:tab/>
      </w:r>
      <w:r w:rsidRPr="00E904C3">
        <w:t>not eating, chewing gum, or using tobacco products in an area used for a covered activity; however, drinking beverages may be permitted in designated areas.</w:t>
      </w:r>
    </w:p>
    <w:p w14:paraId="309B7F85" w14:textId="77777777" w:rsidR="00413980" w:rsidRPr="00E904C3" w:rsidRDefault="00413980" w:rsidP="00413980">
      <w:pPr>
        <w:pStyle w:val="A"/>
      </w:pPr>
      <w:r w:rsidRPr="00E904C3">
        <w:t>E.</w:t>
      </w:r>
      <w:r w:rsidRPr="00E904C3">
        <w:tab/>
        <w:t xml:space="preserve">Visitors shall be made aware of policies and procedures to protect covered produce and food contact surfaces from contamination by people, and all steps reasonably necessary to ensure that visitors comply with such policies and procedures shall be taken. </w:t>
      </w:r>
    </w:p>
    <w:p w14:paraId="5877D5A6" w14:textId="77777777" w:rsidR="00413980" w:rsidRDefault="00413980" w:rsidP="00413980">
      <w:pPr>
        <w:pStyle w:val="A"/>
      </w:pPr>
      <w:r w:rsidRPr="00E904C3">
        <w:t>F.</w:t>
      </w:r>
      <w:r w:rsidRPr="00E904C3">
        <w:tab/>
        <w:t xml:space="preserve">Toilet and hand-washing facilities shall be made accessible to visitors. </w:t>
      </w:r>
    </w:p>
    <w:p w14:paraId="084C3453" w14:textId="77777777" w:rsidR="00413980" w:rsidRPr="00E904C3" w:rsidRDefault="00413980" w:rsidP="00413980">
      <w:pPr>
        <w:pStyle w:val="AuthorityNote"/>
      </w:pPr>
      <w:r w:rsidRPr="00E904C3">
        <w:t>AUTHORITY NOTE:</w:t>
      </w:r>
      <w:r w:rsidRPr="00E904C3">
        <w:tab/>
        <w:t>Promulgated in accordance with R.S. 3:922 and 923.</w:t>
      </w:r>
    </w:p>
    <w:p w14:paraId="6E8000A8" w14:textId="77777777" w:rsidR="00413980" w:rsidRPr="00034C17" w:rsidRDefault="00413980" w:rsidP="00413980">
      <w:pPr>
        <w:pStyle w:val="HistoricalNote"/>
      </w:pPr>
      <w:r w:rsidRPr="00E904C3">
        <w:lastRenderedPageBreak/>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14:paraId="3FA62930" w14:textId="77777777" w:rsidR="00413980" w:rsidRDefault="00413980" w:rsidP="00413980">
      <w:pPr>
        <w:pStyle w:val="Section"/>
      </w:pPr>
      <w:bookmarkStart w:id="782" w:name="_Toc224818635"/>
      <w:r w:rsidRPr="00E904C3">
        <w:t>§1209.</w:t>
      </w:r>
      <w:r w:rsidRPr="00E904C3">
        <w:tab/>
        <w:t>Agricultural Water</w:t>
      </w:r>
      <w:bookmarkEnd w:id="782"/>
    </w:p>
    <w:p w14:paraId="6486EF86" w14:textId="77777777" w:rsidR="00413980" w:rsidRPr="00E904C3" w:rsidRDefault="00413980" w:rsidP="00413980">
      <w:pPr>
        <w:pStyle w:val="A"/>
      </w:pPr>
      <w:r>
        <w:t>A.</w:t>
      </w:r>
      <w:r>
        <w:tab/>
      </w:r>
      <w:r w:rsidRPr="00E904C3">
        <w:t>All agricultural water shall be safe and of adequate sanitary quality for its intended use in compliance with 21 CFR §112(e).</w:t>
      </w:r>
      <w:r>
        <w:t xml:space="preserve"> </w:t>
      </w:r>
    </w:p>
    <w:p w14:paraId="279FE6C3" w14:textId="77777777" w:rsidR="00413980" w:rsidRPr="00E904C3" w:rsidRDefault="00413980" w:rsidP="00413980">
      <w:pPr>
        <w:pStyle w:val="AuthorityNote"/>
      </w:pPr>
      <w:r w:rsidRPr="00E904C3">
        <w:t>AUTHORITY NOTE:</w:t>
      </w:r>
      <w:r w:rsidRPr="00E904C3">
        <w:tab/>
        <w:t>Promulgated in accordance with R.S. 3:922 and 923.</w:t>
      </w:r>
    </w:p>
    <w:p w14:paraId="3C647CB7"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14:paraId="761142F5" w14:textId="77777777" w:rsidR="00413980" w:rsidRDefault="00413980" w:rsidP="00413980">
      <w:pPr>
        <w:pStyle w:val="Section"/>
      </w:pPr>
      <w:bookmarkStart w:id="783" w:name="_Toc224818636"/>
      <w:r w:rsidRPr="00E904C3">
        <w:t>§1211.</w:t>
      </w:r>
      <w:r>
        <w:tab/>
      </w:r>
      <w:r w:rsidRPr="00E904C3">
        <w:t>Biological Soil Amendments of Animal Origin and Human Waste</w:t>
      </w:r>
      <w:bookmarkEnd w:id="783"/>
    </w:p>
    <w:p w14:paraId="0F429FFA" w14:textId="77777777" w:rsidR="00413980" w:rsidRPr="00E904C3" w:rsidRDefault="00413980" w:rsidP="00413980">
      <w:pPr>
        <w:pStyle w:val="A"/>
      </w:pPr>
      <w:r w:rsidRPr="00E904C3">
        <w:t>A.</w:t>
      </w:r>
      <w:r>
        <w:tab/>
      </w:r>
      <w:r w:rsidRPr="00E904C3">
        <w:t xml:space="preserve">A biological soil amendment of animal origin is treated if it has been processed to completion to adequately reduce microorganisms of public health significance in accordance with the requirements of 21 CFR §112.54, or, in the case of an agricultural tea, the biological materials of animal origin used to make the tea have been so processed, the water used to make the tea is not untreated surface water, and the water used to make the tea has no detectable generic </w:t>
      </w:r>
      <w:r w:rsidRPr="00E904C3">
        <w:rPr>
          <w:i/>
        </w:rPr>
        <w:t>Escherichia coli</w:t>
      </w:r>
      <w:r w:rsidRPr="00E904C3">
        <w:t xml:space="preserve"> (</w:t>
      </w:r>
      <w:r w:rsidRPr="00E904C3">
        <w:rPr>
          <w:i/>
        </w:rPr>
        <w:t>E. coli</w:t>
      </w:r>
      <w:r w:rsidRPr="00E904C3">
        <w:t xml:space="preserve">) in 100 milliliters (mL) of water. </w:t>
      </w:r>
    </w:p>
    <w:p w14:paraId="09FFEDC0" w14:textId="77777777" w:rsidR="00413980" w:rsidRPr="00E904C3" w:rsidRDefault="00413980" w:rsidP="00413980">
      <w:pPr>
        <w:pStyle w:val="A"/>
      </w:pPr>
      <w:r w:rsidRPr="00E904C3">
        <w:t>B.</w:t>
      </w:r>
      <w:r w:rsidRPr="00E904C3">
        <w:tab/>
        <w:t>A biological soil amendment of animal origin is untreated if it:</w:t>
      </w:r>
    </w:p>
    <w:p w14:paraId="3A508D82" w14:textId="77777777" w:rsidR="00413980" w:rsidRPr="00E904C3" w:rsidRDefault="00413980" w:rsidP="00413980">
      <w:pPr>
        <w:pStyle w:val="1"/>
      </w:pPr>
      <w:r w:rsidRPr="00E904C3">
        <w:rPr>
          <w:bdr w:val="none" w:sz="0" w:space="0" w:color="auto" w:frame="1"/>
        </w:rPr>
        <w:t>1.</w:t>
      </w:r>
      <w:r>
        <w:rPr>
          <w:bdr w:val="none" w:sz="0" w:space="0" w:color="auto" w:frame="1"/>
        </w:rPr>
        <w:tab/>
      </w:r>
      <w:r w:rsidRPr="00E904C3">
        <w:rPr>
          <w:bdr w:val="none" w:sz="0" w:space="0" w:color="auto" w:frame="1"/>
        </w:rPr>
        <w:t>has not been processed to completion in accordance with the requirements of 21 CFR §112.54, or in the case of an agricultural tea, the biological materials of animal origin used to make the tea have not been so processed, or the water used to make the tea is untreated surface water, or the water used to make the tea has detectable generic </w:t>
      </w:r>
      <w:r w:rsidRPr="00E904C3">
        <w:rPr>
          <w:i/>
          <w:bdr w:val="none" w:sz="0" w:space="0" w:color="auto" w:frame="1"/>
        </w:rPr>
        <w:t>E. coli</w:t>
      </w:r>
      <w:r w:rsidRPr="00E904C3">
        <w:rPr>
          <w:bdr w:val="none" w:sz="0" w:space="0" w:color="auto" w:frame="1"/>
        </w:rPr>
        <w:t> in 100 mL of water;</w:t>
      </w:r>
      <w:r>
        <w:rPr>
          <w:bdr w:val="none" w:sz="0" w:space="0" w:color="auto" w:frame="1"/>
        </w:rPr>
        <w:t xml:space="preserve"> </w:t>
      </w:r>
    </w:p>
    <w:p w14:paraId="3F5174E4" w14:textId="77777777" w:rsidR="00413980" w:rsidRPr="00E904C3" w:rsidRDefault="00413980" w:rsidP="00413980">
      <w:pPr>
        <w:pStyle w:val="1"/>
      </w:pPr>
      <w:r w:rsidRPr="00E904C3">
        <w:rPr>
          <w:bdr w:val="none" w:sz="0" w:space="0" w:color="auto" w:frame="1"/>
        </w:rPr>
        <w:t>2.</w:t>
      </w:r>
      <w:r>
        <w:rPr>
          <w:bdr w:val="none" w:sz="0" w:space="0" w:color="auto" w:frame="1"/>
        </w:rPr>
        <w:tab/>
      </w:r>
      <w:r w:rsidRPr="00E904C3">
        <w:rPr>
          <w:bdr w:val="none" w:sz="0" w:space="0" w:color="auto" w:frame="1"/>
        </w:rPr>
        <w:t>has become contaminated after treatment;</w:t>
      </w:r>
      <w:r>
        <w:rPr>
          <w:bdr w:val="none" w:sz="0" w:space="0" w:color="auto" w:frame="1"/>
        </w:rPr>
        <w:t xml:space="preserve"> </w:t>
      </w:r>
    </w:p>
    <w:p w14:paraId="32FE1F4D" w14:textId="77777777" w:rsidR="00413980" w:rsidRPr="00E904C3" w:rsidRDefault="00413980" w:rsidP="00413980">
      <w:pPr>
        <w:pStyle w:val="1"/>
      </w:pPr>
      <w:r w:rsidRPr="00E904C3">
        <w:rPr>
          <w:bdr w:val="none" w:sz="0" w:space="0" w:color="auto" w:frame="1"/>
        </w:rPr>
        <w:t>3.</w:t>
      </w:r>
      <w:r>
        <w:rPr>
          <w:bdr w:val="none" w:sz="0" w:space="0" w:color="auto" w:frame="1"/>
        </w:rPr>
        <w:tab/>
      </w:r>
      <w:r w:rsidRPr="00E904C3">
        <w:rPr>
          <w:bdr w:val="none" w:sz="0" w:space="0" w:color="auto" w:frame="1"/>
        </w:rPr>
        <w:t>has been recombined with an untreated biological soil amendment of animal origin;</w:t>
      </w:r>
      <w:r>
        <w:rPr>
          <w:bdr w:val="none" w:sz="0" w:space="0" w:color="auto" w:frame="1"/>
        </w:rPr>
        <w:t xml:space="preserve"> </w:t>
      </w:r>
    </w:p>
    <w:p w14:paraId="5A03A9F5" w14:textId="77777777" w:rsidR="00413980" w:rsidRPr="00E904C3" w:rsidRDefault="00413980" w:rsidP="00413980">
      <w:pPr>
        <w:pStyle w:val="1"/>
      </w:pPr>
      <w:r w:rsidRPr="00E904C3">
        <w:rPr>
          <w:bdr w:val="none" w:sz="0" w:space="0" w:color="auto" w:frame="1"/>
        </w:rPr>
        <w:t>4.</w:t>
      </w:r>
      <w:r>
        <w:rPr>
          <w:bdr w:val="none" w:sz="0" w:space="0" w:color="auto" w:frame="1"/>
        </w:rPr>
        <w:tab/>
      </w:r>
      <w:r w:rsidRPr="00E904C3">
        <w:rPr>
          <w:bdr w:val="none" w:sz="0" w:space="0" w:color="auto" w:frame="1"/>
        </w:rPr>
        <w:t>is or contains a component that is untreated waste that you know or have reason to believe is contaminated with a hazard or has been associated with foodborne illness; or</w:t>
      </w:r>
      <w:r>
        <w:rPr>
          <w:bdr w:val="none" w:sz="0" w:space="0" w:color="auto" w:frame="1"/>
        </w:rPr>
        <w:t xml:space="preserve"> </w:t>
      </w:r>
    </w:p>
    <w:p w14:paraId="599C05CD" w14:textId="77777777" w:rsidR="00413980" w:rsidRPr="00E904C3" w:rsidRDefault="00413980" w:rsidP="00413980">
      <w:pPr>
        <w:pStyle w:val="1"/>
      </w:pPr>
      <w:r w:rsidRPr="00E904C3">
        <w:rPr>
          <w:bdr w:val="none" w:sz="0" w:space="0" w:color="auto" w:frame="1"/>
        </w:rPr>
        <w:t>5.</w:t>
      </w:r>
      <w:r>
        <w:rPr>
          <w:bdr w:val="none" w:sz="0" w:space="0" w:color="auto" w:frame="1"/>
        </w:rPr>
        <w:tab/>
      </w:r>
      <w:r w:rsidRPr="00E904C3">
        <w:rPr>
          <w:bdr w:val="none" w:sz="0" w:space="0" w:color="auto" w:frame="1"/>
        </w:rPr>
        <w:t>is an agricultural tea made with biological materials of animal origin that contains an agricultural tea additive. </w:t>
      </w:r>
    </w:p>
    <w:p w14:paraId="51977598" w14:textId="77777777" w:rsidR="00413980" w:rsidRDefault="00413980" w:rsidP="00413980">
      <w:pPr>
        <w:pStyle w:val="A"/>
      </w:pPr>
      <w:r w:rsidRPr="00E904C3">
        <w:t>C.</w:t>
      </w:r>
      <w:r>
        <w:tab/>
      </w:r>
      <w:r w:rsidRPr="00E904C3">
        <w:t xml:space="preserve">Any biological soil amendment of animal origin shall be handled, conveyed, and stored in a manner and location such that it does not become a potential source of contamination to covered produce, food contact surfaces, areas used for a covered activity, water sources, water distribution systems, and other soil amendments. Agricultural teas that are biological soil amendments of animal origin may be used in water distribution systems provided that all other requirements of this rule are met. </w:t>
      </w:r>
    </w:p>
    <w:p w14:paraId="3A87262E" w14:textId="77777777" w:rsidR="00413980" w:rsidRPr="00E904C3" w:rsidRDefault="00413980" w:rsidP="00413980">
      <w:pPr>
        <w:pStyle w:val="A"/>
      </w:pPr>
      <w:r w:rsidRPr="00E904C3">
        <w:t>D.</w:t>
      </w:r>
      <w:r>
        <w:tab/>
      </w:r>
      <w:r w:rsidRPr="00E904C3">
        <w:t>Any treated biological soil amendment of animal origin shall be handled, conveyed, and stored in a manner and location that minimizes the risk of it becoming contaminated by an untreated or in-process biological soil amendment of animal origin.</w:t>
      </w:r>
    </w:p>
    <w:p w14:paraId="6DD08401" w14:textId="77777777" w:rsidR="00413980" w:rsidRPr="00E904C3" w:rsidRDefault="00413980" w:rsidP="00413980">
      <w:pPr>
        <w:pStyle w:val="A"/>
      </w:pPr>
      <w:r w:rsidRPr="00E904C3">
        <w:t>E.</w:t>
      </w:r>
      <w:r>
        <w:tab/>
      </w:r>
      <w:r w:rsidRPr="00E904C3">
        <w:t xml:space="preserve">Any biological soil amendment of animal origin that is known or reasonably believed to have become contaminated shall be handled, conveyed, and stored as if it was untreated. </w:t>
      </w:r>
    </w:p>
    <w:p w14:paraId="73651DA3" w14:textId="77777777" w:rsidR="00413980" w:rsidRPr="00E904C3" w:rsidRDefault="00413980" w:rsidP="00413980">
      <w:pPr>
        <w:pStyle w:val="A"/>
      </w:pPr>
      <w:r w:rsidRPr="00E904C3">
        <w:t>F.</w:t>
      </w:r>
      <w:r w:rsidRPr="00E904C3">
        <w:tab/>
        <w:t xml:space="preserve">Human waste shall not be used for growing covered produce, except sewage sludge biosolids used in accordance with the requirements of 40 CFR §503(D), or equivalent regulatory requirements. </w:t>
      </w:r>
    </w:p>
    <w:p w14:paraId="092ED90D" w14:textId="77777777" w:rsidR="00413980" w:rsidRPr="00E904C3" w:rsidRDefault="00413980" w:rsidP="00413980">
      <w:pPr>
        <w:pStyle w:val="A"/>
      </w:pPr>
      <w:r w:rsidRPr="00E904C3">
        <w:t>G.</w:t>
      </w:r>
      <w:r w:rsidRPr="00E904C3">
        <w:tab/>
        <w:t>Each of the following treatment processes are acceptable for a biological soil amendment of animal origin applied in the growing of covered produce, provided that the resulting biological soil amendments are applied in accordance with the applicable requirements of 21 CFR §112.56:</w:t>
      </w:r>
    </w:p>
    <w:p w14:paraId="65496B50" w14:textId="77777777" w:rsidR="00413980" w:rsidRPr="00E904C3" w:rsidRDefault="00413980" w:rsidP="00413980">
      <w:pPr>
        <w:pStyle w:val="1"/>
      </w:pPr>
      <w:r w:rsidRPr="00E904C3">
        <w:t>1.</w:t>
      </w:r>
      <w:r w:rsidRPr="00E904C3">
        <w:tab/>
        <w:t xml:space="preserve">a scientifically valid controlled physical process, chemical process, biological process, or a combination of scientifically valid controlled physical, chemical and/or biological processes that has been validated to satisfy the microbial standard in 21 CFR §112.55(a) for </w:t>
      </w:r>
      <w:r w:rsidRPr="00E904C3">
        <w:rPr>
          <w:i/>
        </w:rPr>
        <w:t xml:space="preserve">Listeria monocytogenes </w:t>
      </w:r>
      <w:r w:rsidRPr="00E904C3">
        <w:t>(</w:t>
      </w:r>
      <w:r w:rsidRPr="00E904C3">
        <w:rPr>
          <w:i/>
        </w:rPr>
        <w:t>L. monocytogenes</w:t>
      </w:r>
      <w:r w:rsidRPr="00E904C3">
        <w:t xml:space="preserve">), </w:t>
      </w:r>
      <w:r w:rsidRPr="00E904C3">
        <w:rPr>
          <w:i/>
        </w:rPr>
        <w:t>Salmonella</w:t>
      </w:r>
      <w:r w:rsidRPr="00E904C3">
        <w:t xml:space="preserve"> species, and </w:t>
      </w:r>
      <w:r w:rsidRPr="00E904C3">
        <w:rPr>
          <w:i/>
        </w:rPr>
        <w:t>E. coli</w:t>
      </w:r>
      <w:r w:rsidRPr="00E904C3">
        <w:t xml:space="preserve"> O157:H7; or </w:t>
      </w:r>
    </w:p>
    <w:p w14:paraId="4CA6C09E" w14:textId="77777777" w:rsidR="00413980" w:rsidRPr="00E904C3" w:rsidRDefault="00413980" w:rsidP="00413980">
      <w:pPr>
        <w:pStyle w:val="1"/>
      </w:pPr>
      <w:r w:rsidRPr="00E904C3">
        <w:t>2.</w:t>
      </w:r>
      <w:r>
        <w:tab/>
      </w:r>
      <w:r w:rsidRPr="00E904C3">
        <w:t xml:space="preserve">a scientifically valid controlled physical, chemical, or biological process, or a combination of scientifically valid controlled physical, chemical, and/or biological processes, that has been validated to satisfy the microbial standard in 21 CFR §112.55.(b) for </w:t>
      </w:r>
      <w:r w:rsidRPr="00E904C3">
        <w:rPr>
          <w:i/>
        </w:rPr>
        <w:t>Salmonella</w:t>
      </w:r>
      <w:r w:rsidRPr="00E904C3">
        <w:t xml:space="preserve"> species and fecal</w:t>
      </w:r>
      <w:r>
        <w:t xml:space="preserve"> </w:t>
      </w:r>
      <w:r w:rsidRPr="00E904C3">
        <w:t>coliforms. Scientifically valid controlled biological (e.g., composting) processes that meet the microbial standard in 21 CFR §112.55(b) include:</w:t>
      </w:r>
    </w:p>
    <w:p w14:paraId="34383E19" w14:textId="77777777" w:rsidR="00413980" w:rsidRPr="00E904C3" w:rsidRDefault="00413980" w:rsidP="00413980">
      <w:pPr>
        <w:pStyle w:val="a0"/>
      </w:pPr>
      <w:r w:rsidRPr="00E904C3">
        <w:t>a.</w:t>
      </w:r>
      <w:r w:rsidRPr="00E904C3">
        <w:tab/>
        <w:t xml:space="preserve">static composting that maintains aerobic conditions at a minimum of 131ºF (55ºC) for 3 consecutive days and is followed by adequate curing; and </w:t>
      </w:r>
    </w:p>
    <w:p w14:paraId="6CB3109B" w14:textId="77777777" w:rsidR="00413980" w:rsidRPr="00E904C3" w:rsidRDefault="00413980" w:rsidP="00413980">
      <w:pPr>
        <w:pStyle w:val="a0"/>
      </w:pPr>
      <w:r w:rsidRPr="00E904C3">
        <w:t>b.</w:t>
      </w:r>
      <w:r>
        <w:tab/>
      </w:r>
      <w:r w:rsidRPr="00E904C3">
        <w:t xml:space="preserve">turned composting that maintains aerobic conditions at a minimum of 131ºF (55ºC) for 15 days, which do not have to be consecutive, with a minimum of five turnings, and is followed by adequate curing. </w:t>
      </w:r>
    </w:p>
    <w:p w14:paraId="2C910E1C" w14:textId="77777777" w:rsidR="00413980" w:rsidRPr="00E904C3" w:rsidRDefault="00413980" w:rsidP="00413980">
      <w:pPr>
        <w:pStyle w:val="A"/>
      </w:pPr>
      <w:r w:rsidRPr="00E904C3">
        <w:t>H.</w:t>
      </w:r>
      <w:r>
        <w:tab/>
      </w:r>
      <w:r w:rsidRPr="00E904C3">
        <w:t>The following microbial standards apply to the treatment processes in 21 CFR §112.54, as set forth therein:</w:t>
      </w:r>
    </w:p>
    <w:p w14:paraId="53D70F21" w14:textId="77777777" w:rsidR="00413980" w:rsidRDefault="00413980" w:rsidP="00413980">
      <w:pPr>
        <w:pStyle w:val="1"/>
      </w:pPr>
      <w:r w:rsidRPr="00E904C3">
        <w:t>1.</w:t>
      </w:r>
      <w:r>
        <w:tab/>
      </w:r>
      <w:r w:rsidRPr="00E904C3">
        <w:t xml:space="preserve">For </w:t>
      </w:r>
      <w:r w:rsidRPr="00E904C3">
        <w:rPr>
          <w:i/>
        </w:rPr>
        <w:t>L. monocytogenes, Salmonella</w:t>
      </w:r>
      <w:r w:rsidRPr="00E904C3">
        <w:t xml:space="preserve"> species, and </w:t>
      </w:r>
      <w:r w:rsidRPr="00E904C3">
        <w:rPr>
          <w:i/>
        </w:rPr>
        <w:t>E. coli</w:t>
      </w:r>
      <w:r w:rsidRPr="00E904C3">
        <w:t xml:space="preserve"> O157:H7, the relevant standards in the table in this paragraph; or </w:t>
      </w:r>
    </w:p>
    <w:p w14:paraId="7C6C3F59" w14:textId="77777777" w:rsidR="00413980" w:rsidRPr="00E904C3" w:rsidRDefault="00413980" w:rsidP="00413980">
      <w:pPr>
        <w:pStyle w:val="A"/>
      </w:pPr>
    </w:p>
    <w:tbl>
      <w:tblPr>
        <w:tblW w:w="501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4A0" w:firstRow="1" w:lastRow="0" w:firstColumn="1" w:lastColumn="0" w:noHBand="0" w:noVBand="1"/>
      </w:tblPr>
      <w:tblGrid>
        <w:gridCol w:w="2247"/>
        <w:gridCol w:w="2768"/>
      </w:tblGrid>
      <w:tr w:rsidR="00413980" w:rsidRPr="00350C88" w14:paraId="25352708" w14:textId="77777777" w:rsidTr="00634256">
        <w:trPr>
          <w:cantSplit/>
          <w:tblHeader/>
          <w:jc w:val="center"/>
        </w:trPr>
        <w:tc>
          <w:tcPr>
            <w:tcW w:w="2247" w:type="dxa"/>
            <w:tcBorders>
              <w:top w:val="double" w:sz="4" w:space="0" w:color="auto"/>
              <w:left w:val="double" w:sz="4" w:space="0" w:color="auto"/>
            </w:tcBorders>
            <w:shd w:val="clear" w:color="auto" w:fill="BFBFBF"/>
            <w:hideMark/>
          </w:tcPr>
          <w:p w14:paraId="5FC73BC8" w14:textId="77777777"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jc w:val="center"/>
              <w:rPr>
                <w:rFonts w:eastAsia="Arial"/>
                <w:b/>
                <w:sz w:val="16"/>
                <w:szCs w:val="16"/>
              </w:rPr>
            </w:pPr>
            <w:r w:rsidRPr="00A95BB1">
              <w:rPr>
                <w:rFonts w:eastAsia="Arial"/>
                <w:b/>
                <w:sz w:val="16"/>
                <w:szCs w:val="16"/>
              </w:rPr>
              <w:t>For the microorganism -</w:t>
            </w:r>
          </w:p>
        </w:tc>
        <w:tc>
          <w:tcPr>
            <w:tcW w:w="2768" w:type="dxa"/>
            <w:tcBorders>
              <w:top w:val="double" w:sz="4" w:space="0" w:color="auto"/>
              <w:right w:val="double" w:sz="4" w:space="0" w:color="auto"/>
            </w:tcBorders>
            <w:shd w:val="clear" w:color="auto" w:fill="BFBFBF"/>
            <w:hideMark/>
          </w:tcPr>
          <w:p w14:paraId="794D4AA2" w14:textId="77777777"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jc w:val="center"/>
              <w:rPr>
                <w:rFonts w:eastAsia="Arial"/>
                <w:b/>
                <w:sz w:val="16"/>
                <w:szCs w:val="16"/>
              </w:rPr>
            </w:pPr>
            <w:r w:rsidRPr="00A95BB1">
              <w:rPr>
                <w:rFonts w:eastAsia="Arial"/>
                <w:b/>
                <w:sz w:val="16"/>
                <w:szCs w:val="16"/>
              </w:rPr>
              <w:t>The microbial standard is -</w:t>
            </w:r>
          </w:p>
        </w:tc>
      </w:tr>
      <w:tr w:rsidR="00413980" w:rsidRPr="00350C88" w14:paraId="3DC78367" w14:textId="77777777" w:rsidTr="00634256">
        <w:trPr>
          <w:cantSplit/>
          <w:jc w:val="center"/>
        </w:trPr>
        <w:tc>
          <w:tcPr>
            <w:tcW w:w="2247" w:type="dxa"/>
            <w:vAlign w:val="bottom"/>
            <w:hideMark/>
          </w:tcPr>
          <w:p w14:paraId="03273341" w14:textId="77777777" w:rsidR="00413980" w:rsidRPr="00350C88" w:rsidRDefault="00413980" w:rsidP="00634256">
            <w:pPr>
              <w:tabs>
                <w:tab w:val="left" w:pos="-36"/>
                <w:tab w:val="left" w:pos="0"/>
                <w:tab w:val="left" w:pos="234"/>
                <w:tab w:val="left" w:pos="504"/>
                <w:tab w:val="left" w:pos="720"/>
                <w:tab w:val="left" w:pos="774"/>
                <w:tab w:val="left" w:pos="1044"/>
                <w:tab w:val="left" w:pos="1314"/>
                <w:tab w:val="left" w:pos="1440"/>
                <w:tab w:val="left" w:pos="1584"/>
                <w:tab w:val="left" w:pos="1854"/>
                <w:tab w:val="left" w:pos="2124"/>
                <w:tab w:val="left" w:pos="2160"/>
                <w:tab w:val="left" w:pos="2394"/>
                <w:tab w:val="left" w:pos="2664"/>
                <w:tab w:val="left" w:pos="2934"/>
                <w:tab w:val="left" w:pos="3204"/>
                <w:tab w:val="left" w:pos="3474"/>
                <w:tab w:val="left" w:pos="3744"/>
              </w:tabs>
              <w:rPr>
                <w:sz w:val="16"/>
                <w:szCs w:val="16"/>
              </w:rPr>
            </w:pPr>
            <w:r w:rsidRPr="00A95BB1">
              <w:rPr>
                <w:rFonts w:eastAsia="Arial"/>
                <w:sz w:val="16"/>
                <w:szCs w:val="16"/>
              </w:rPr>
              <w:t xml:space="preserve">a. </w:t>
            </w:r>
            <w:r w:rsidRPr="00A95BB1">
              <w:rPr>
                <w:rFonts w:eastAsia="Arial"/>
                <w:i/>
                <w:sz w:val="16"/>
                <w:szCs w:val="16"/>
              </w:rPr>
              <w:t>L. monocy togenes</w:t>
            </w:r>
          </w:p>
        </w:tc>
        <w:tc>
          <w:tcPr>
            <w:tcW w:w="2768" w:type="dxa"/>
            <w:hideMark/>
          </w:tcPr>
          <w:p w14:paraId="11E5F3D2" w14:textId="77777777" w:rsidR="00413980" w:rsidRPr="00350C88" w:rsidRDefault="00413980" w:rsidP="00634256">
            <w:pPr>
              <w:tabs>
                <w:tab w:val="left" w:pos="1188"/>
                <w:tab w:val="left" w:pos="9558"/>
              </w:tabs>
              <w:ind w:left="-56"/>
              <w:rPr>
                <w:sz w:val="16"/>
              </w:rPr>
            </w:pPr>
            <w:r w:rsidRPr="00A95BB1">
              <w:rPr>
                <w:rFonts w:eastAsia="Arial"/>
                <w:sz w:val="16"/>
                <w:szCs w:val="16"/>
              </w:rPr>
              <w:t>Not detected using a method that can detect one colony forming unit (CFU) per 5 gram (or milliliter, if liquid is being sampled) analytical portion.</w:t>
            </w:r>
          </w:p>
        </w:tc>
      </w:tr>
      <w:tr w:rsidR="00413980" w:rsidRPr="00350C88" w14:paraId="3EE622E0" w14:textId="77777777" w:rsidTr="00634256">
        <w:trPr>
          <w:cantSplit/>
          <w:jc w:val="center"/>
        </w:trPr>
        <w:tc>
          <w:tcPr>
            <w:tcW w:w="2247" w:type="dxa"/>
            <w:tcBorders>
              <w:left w:val="double" w:sz="4" w:space="0" w:color="auto"/>
            </w:tcBorders>
            <w:vAlign w:val="bottom"/>
            <w:hideMark/>
          </w:tcPr>
          <w:p w14:paraId="2A08D52B" w14:textId="77777777"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A95BB1">
              <w:rPr>
                <w:rFonts w:eastAsia="Arial"/>
                <w:sz w:val="16"/>
                <w:szCs w:val="16"/>
              </w:rPr>
              <w:t xml:space="preserve">b. </w:t>
            </w:r>
            <w:r w:rsidRPr="00A95BB1">
              <w:rPr>
                <w:rFonts w:eastAsia="Arial"/>
                <w:i/>
                <w:sz w:val="16"/>
                <w:szCs w:val="16"/>
              </w:rPr>
              <w:t>Salmonella</w:t>
            </w:r>
            <w:r w:rsidRPr="00A95BB1">
              <w:rPr>
                <w:rFonts w:eastAsia="Arial"/>
                <w:sz w:val="16"/>
                <w:szCs w:val="16"/>
              </w:rPr>
              <w:t xml:space="preserve"> species</w:t>
            </w:r>
          </w:p>
        </w:tc>
        <w:tc>
          <w:tcPr>
            <w:tcW w:w="2768" w:type="dxa"/>
            <w:tcBorders>
              <w:right w:val="double" w:sz="4" w:space="0" w:color="auto"/>
            </w:tcBorders>
            <w:hideMark/>
          </w:tcPr>
          <w:p w14:paraId="2FE6A8CA" w14:textId="77777777" w:rsidR="00413980" w:rsidRPr="00A95BB1" w:rsidRDefault="00413980" w:rsidP="00634256">
            <w:pPr>
              <w:pBdr>
                <w:top w:val="nil"/>
                <w:left w:val="nil"/>
                <w:bottom w:val="nil"/>
                <w:right w:val="nil"/>
                <w:between w:val="nil"/>
              </w:pBdr>
              <w:tabs>
                <w:tab w:val="left" w:pos="1188"/>
                <w:tab w:val="left" w:pos="9558"/>
              </w:tabs>
              <w:ind w:left="-56"/>
              <w:rPr>
                <w:rFonts w:eastAsia="Arial"/>
                <w:sz w:val="16"/>
                <w:szCs w:val="16"/>
              </w:rPr>
            </w:pPr>
            <w:r w:rsidRPr="00A95BB1">
              <w:rPr>
                <w:rFonts w:eastAsia="Arial"/>
                <w:sz w:val="16"/>
                <w:szCs w:val="16"/>
              </w:rPr>
              <w:t>Not detected using a method that can detect three most probable numbers (MPN) per 4 grams (or milliliter, if liquid is being sampled) of total solids.</w:t>
            </w:r>
          </w:p>
        </w:tc>
      </w:tr>
      <w:tr w:rsidR="00413980" w:rsidRPr="00350C88" w14:paraId="20015BF5" w14:textId="77777777" w:rsidTr="00634256">
        <w:trPr>
          <w:cantSplit/>
          <w:jc w:val="center"/>
        </w:trPr>
        <w:tc>
          <w:tcPr>
            <w:tcW w:w="2247" w:type="dxa"/>
            <w:vAlign w:val="bottom"/>
            <w:hideMark/>
          </w:tcPr>
          <w:p w14:paraId="1DD4CEE2" w14:textId="77777777" w:rsidR="00413980" w:rsidRPr="00350C88" w:rsidRDefault="00413980" w:rsidP="00634256">
            <w:pPr>
              <w:tabs>
                <w:tab w:val="left" w:pos="-36"/>
                <w:tab w:val="left" w:pos="0"/>
                <w:tab w:val="left" w:pos="234"/>
                <w:tab w:val="left" w:pos="504"/>
                <w:tab w:val="left" w:pos="720"/>
                <w:tab w:val="left" w:pos="774"/>
                <w:tab w:val="left" w:pos="1044"/>
                <w:tab w:val="left" w:pos="1314"/>
                <w:tab w:val="left" w:pos="1440"/>
                <w:tab w:val="left" w:pos="1584"/>
                <w:tab w:val="left" w:pos="1854"/>
                <w:tab w:val="left" w:pos="2124"/>
                <w:tab w:val="left" w:pos="2160"/>
                <w:tab w:val="left" w:pos="2394"/>
                <w:tab w:val="left" w:pos="2664"/>
                <w:tab w:val="left" w:pos="2934"/>
                <w:tab w:val="left" w:pos="3204"/>
                <w:tab w:val="left" w:pos="3474"/>
                <w:tab w:val="left" w:pos="3744"/>
              </w:tabs>
              <w:rPr>
                <w:sz w:val="16"/>
                <w:szCs w:val="16"/>
              </w:rPr>
            </w:pPr>
            <w:r w:rsidRPr="00A95BB1">
              <w:rPr>
                <w:rFonts w:eastAsia="Arial"/>
                <w:sz w:val="16"/>
                <w:szCs w:val="16"/>
              </w:rPr>
              <w:t xml:space="preserve">c. </w:t>
            </w:r>
            <w:r w:rsidRPr="00A95BB1">
              <w:rPr>
                <w:rFonts w:eastAsia="Arial"/>
                <w:i/>
                <w:sz w:val="16"/>
                <w:szCs w:val="16"/>
              </w:rPr>
              <w:t>E. coli</w:t>
            </w:r>
            <w:r w:rsidRPr="00A95BB1">
              <w:rPr>
                <w:rFonts w:eastAsia="Arial"/>
                <w:sz w:val="16"/>
                <w:szCs w:val="16"/>
              </w:rPr>
              <w:t xml:space="preserve"> O157:H7</w:t>
            </w:r>
          </w:p>
        </w:tc>
        <w:tc>
          <w:tcPr>
            <w:tcW w:w="2768" w:type="dxa"/>
            <w:tcBorders>
              <w:right w:val="double" w:sz="4" w:space="0" w:color="auto"/>
            </w:tcBorders>
            <w:hideMark/>
          </w:tcPr>
          <w:p w14:paraId="08116FF9" w14:textId="77777777" w:rsidR="00413980" w:rsidRPr="00A95BB1" w:rsidRDefault="00413980" w:rsidP="00634256">
            <w:pPr>
              <w:pBdr>
                <w:top w:val="nil"/>
                <w:left w:val="nil"/>
                <w:bottom w:val="nil"/>
                <w:right w:val="nil"/>
                <w:between w:val="nil"/>
              </w:pBdr>
              <w:tabs>
                <w:tab w:val="left" w:pos="1188"/>
                <w:tab w:val="left" w:pos="9558"/>
              </w:tabs>
              <w:ind w:left="-56"/>
              <w:rPr>
                <w:rFonts w:eastAsia="Arial"/>
                <w:sz w:val="16"/>
                <w:szCs w:val="16"/>
              </w:rPr>
            </w:pPr>
            <w:r w:rsidRPr="00A95BB1">
              <w:rPr>
                <w:rFonts w:eastAsia="Arial"/>
                <w:sz w:val="16"/>
                <w:szCs w:val="16"/>
              </w:rPr>
              <w:t>Not detected using a method that can detect 0.3 MPN per 1 gram (or milliliter, if liquid is being sampled) analytical portion.</w:t>
            </w:r>
          </w:p>
        </w:tc>
      </w:tr>
    </w:tbl>
    <w:p w14:paraId="6F3177D4" w14:textId="77777777" w:rsidR="00413980" w:rsidRDefault="00413980" w:rsidP="00413980">
      <w:pPr>
        <w:pStyle w:val="A"/>
      </w:pPr>
    </w:p>
    <w:p w14:paraId="57CEF833" w14:textId="77777777" w:rsidR="00413980" w:rsidRPr="00E904C3" w:rsidRDefault="00413980" w:rsidP="00413980">
      <w:pPr>
        <w:pStyle w:val="1"/>
      </w:pPr>
      <w:r w:rsidRPr="00E904C3">
        <w:lastRenderedPageBreak/>
        <w:t>2.</w:t>
      </w:r>
      <w:r w:rsidRPr="00E904C3">
        <w:tab/>
      </w:r>
      <w:r w:rsidRPr="00E904C3">
        <w:rPr>
          <w:i/>
        </w:rPr>
        <w:t>Salmonella</w:t>
      </w:r>
      <w:r w:rsidRPr="00E904C3">
        <w:t xml:space="preserve"> species are not detected using a method that can detect three MPN </w:t>
      </w:r>
      <w:r w:rsidRPr="00E904C3">
        <w:rPr>
          <w:i/>
        </w:rPr>
        <w:t>Salmonella</w:t>
      </w:r>
      <w:r w:rsidRPr="00E904C3">
        <w:t xml:space="preserve"> species per 4 grams of total solids (dry weight basis); and less than 1,000 MPN fecal coliforms per gram of total solids (dry weight basis.</w:t>
      </w:r>
    </w:p>
    <w:p w14:paraId="3A14A3DB" w14:textId="77777777" w:rsidR="00413980" w:rsidRPr="00E904C3" w:rsidRDefault="00413980" w:rsidP="00413980">
      <w:pPr>
        <w:pStyle w:val="1"/>
      </w:pPr>
      <w:r w:rsidRPr="00E904C3">
        <w:t>3.</w:t>
      </w:r>
      <w:r>
        <w:tab/>
      </w:r>
      <w:r w:rsidRPr="00E904C3">
        <w:t>Biological soil amendments of animal origin specified in the first column of the table below shall be applied in accordance with the application requirements specified in the second column of the table in this paragraph and the minimum application intervals specified in the third column of the table in this paragraph.</w:t>
      </w:r>
    </w:p>
    <w:p w14:paraId="44DECE8B" w14:textId="77777777" w:rsidR="00413980" w:rsidRDefault="00413980" w:rsidP="00413980">
      <w:pPr>
        <w:keepNext/>
        <w:widowControl w:val="0"/>
        <w:pBdr>
          <w:top w:val="nil"/>
          <w:left w:val="nil"/>
          <w:bottom w:val="nil"/>
          <w:right w:val="nil"/>
          <w:between w:val="nil"/>
        </w:pBdr>
        <w:tabs>
          <w:tab w:val="left" w:pos="540"/>
          <w:tab w:val="left" w:pos="1080"/>
          <w:tab w:val="left" w:pos="1620"/>
          <w:tab w:val="left" w:pos="2160"/>
        </w:tabs>
        <w:rPr>
          <w:rFonts w:eastAsia="Arial"/>
        </w:rPr>
      </w:pPr>
    </w:p>
    <w:tbl>
      <w:tblPr>
        <w:tblW w:w="50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075"/>
        <w:gridCol w:w="1980"/>
        <w:gridCol w:w="1030"/>
      </w:tblGrid>
      <w:tr w:rsidR="00413980" w:rsidRPr="00E904C3" w14:paraId="3AA33D30" w14:textId="77777777" w:rsidTr="00634256">
        <w:trPr>
          <w:cantSplit/>
          <w:trHeight w:val="20"/>
          <w:tblHeader/>
          <w:jc w:val="center"/>
        </w:trPr>
        <w:tc>
          <w:tcPr>
            <w:tcW w:w="2075" w:type="dxa"/>
            <w:shd w:val="clear" w:color="auto" w:fill="BFBFBF"/>
            <w:tcMar>
              <w:top w:w="14" w:type="dxa"/>
              <w:left w:w="100" w:type="dxa"/>
              <w:bottom w:w="14" w:type="dxa"/>
              <w:right w:w="100" w:type="dxa"/>
            </w:tcMar>
            <w:vAlign w:val="bottom"/>
          </w:tcPr>
          <w:p w14:paraId="32A67700" w14:textId="77777777"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5" w:right="-10"/>
              <w:jc w:val="center"/>
              <w:rPr>
                <w:rFonts w:eastAsia="Arial"/>
                <w:b/>
                <w:sz w:val="16"/>
                <w:szCs w:val="16"/>
              </w:rPr>
            </w:pPr>
            <w:r w:rsidRPr="008F111D">
              <w:rPr>
                <w:rFonts w:eastAsia="Arial"/>
                <w:b/>
                <w:sz w:val="16"/>
                <w:szCs w:val="16"/>
              </w:rPr>
              <w:t>If the biological soil amendment of animal origin is -</w:t>
            </w:r>
          </w:p>
        </w:tc>
        <w:tc>
          <w:tcPr>
            <w:tcW w:w="1980" w:type="dxa"/>
            <w:shd w:val="clear" w:color="auto" w:fill="BFBFBF"/>
            <w:tcMar>
              <w:top w:w="14" w:type="dxa"/>
              <w:left w:w="100" w:type="dxa"/>
              <w:bottom w:w="14" w:type="dxa"/>
              <w:right w:w="100" w:type="dxa"/>
            </w:tcMar>
            <w:vAlign w:val="bottom"/>
          </w:tcPr>
          <w:p w14:paraId="372FFFEF" w14:textId="77777777"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95" w:right="-10"/>
              <w:jc w:val="center"/>
              <w:rPr>
                <w:rFonts w:eastAsia="Arial"/>
                <w:b/>
                <w:sz w:val="16"/>
                <w:szCs w:val="16"/>
              </w:rPr>
            </w:pPr>
            <w:r w:rsidRPr="008F111D">
              <w:rPr>
                <w:rFonts w:eastAsia="Arial"/>
                <w:b/>
                <w:sz w:val="16"/>
                <w:szCs w:val="16"/>
              </w:rPr>
              <w:t>Then the biological soil amendment of animal origin shall be applied -</w:t>
            </w:r>
          </w:p>
        </w:tc>
        <w:tc>
          <w:tcPr>
            <w:tcW w:w="1030" w:type="dxa"/>
            <w:shd w:val="clear" w:color="auto" w:fill="BFBFBF"/>
            <w:tcMar>
              <w:top w:w="14" w:type="dxa"/>
              <w:left w:w="100" w:type="dxa"/>
              <w:bottom w:w="14" w:type="dxa"/>
              <w:right w:w="100" w:type="dxa"/>
            </w:tcMar>
            <w:vAlign w:val="bottom"/>
          </w:tcPr>
          <w:p w14:paraId="477A51DC" w14:textId="77777777"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100" w:right="-60"/>
              <w:jc w:val="center"/>
              <w:rPr>
                <w:rFonts w:eastAsia="Arial"/>
                <w:b/>
                <w:sz w:val="16"/>
                <w:szCs w:val="16"/>
              </w:rPr>
            </w:pPr>
            <w:r w:rsidRPr="008F111D">
              <w:rPr>
                <w:rFonts w:eastAsia="Arial"/>
                <w:b/>
                <w:sz w:val="16"/>
                <w:szCs w:val="16"/>
              </w:rPr>
              <w:t>And then the minimum application interval is -</w:t>
            </w:r>
          </w:p>
        </w:tc>
      </w:tr>
      <w:tr w:rsidR="00413980" w:rsidRPr="00E904C3" w14:paraId="2489563A" w14:textId="77777777" w:rsidTr="00634256">
        <w:trPr>
          <w:cantSplit/>
          <w:trHeight w:val="20"/>
          <w:jc w:val="center"/>
        </w:trPr>
        <w:tc>
          <w:tcPr>
            <w:tcW w:w="2075" w:type="dxa"/>
            <w:tcMar>
              <w:top w:w="14" w:type="dxa"/>
              <w:left w:w="144" w:type="dxa"/>
              <w:bottom w:w="14" w:type="dxa"/>
              <w:right w:w="144" w:type="dxa"/>
            </w:tcMar>
            <w:vAlign w:val="bottom"/>
          </w:tcPr>
          <w:p w14:paraId="236F333B"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a. Untreated</w:t>
            </w:r>
          </w:p>
        </w:tc>
        <w:tc>
          <w:tcPr>
            <w:tcW w:w="1980" w:type="dxa"/>
            <w:tcMar>
              <w:top w:w="14" w:type="dxa"/>
              <w:left w:w="100" w:type="dxa"/>
              <w:bottom w:w="14" w:type="dxa"/>
              <w:right w:w="100" w:type="dxa"/>
            </w:tcMar>
            <w:vAlign w:val="bottom"/>
          </w:tcPr>
          <w:p w14:paraId="7C0D1B46"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 xml:space="preserve">In a manner that does not contact covered produce during application and minimizes the potential for contact with covered produce after application. </w:t>
            </w:r>
          </w:p>
        </w:tc>
        <w:tc>
          <w:tcPr>
            <w:tcW w:w="1030" w:type="dxa"/>
            <w:tcMar>
              <w:top w:w="14" w:type="dxa"/>
              <w:left w:w="100" w:type="dxa"/>
              <w:bottom w:w="14" w:type="dxa"/>
              <w:right w:w="100" w:type="dxa"/>
            </w:tcMar>
            <w:vAlign w:val="bottom"/>
          </w:tcPr>
          <w:p w14:paraId="1DDC3927"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[Reserved]</w:t>
            </w:r>
          </w:p>
        </w:tc>
      </w:tr>
      <w:tr w:rsidR="00413980" w:rsidRPr="00E904C3" w14:paraId="0176C2AE" w14:textId="77777777" w:rsidTr="00634256">
        <w:trPr>
          <w:cantSplit/>
          <w:trHeight w:val="20"/>
          <w:jc w:val="center"/>
        </w:trPr>
        <w:tc>
          <w:tcPr>
            <w:tcW w:w="2075" w:type="dxa"/>
            <w:tcMar>
              <w:top w:w="14" w:type="dxa"/>
              <w:left w:w="144" w:type="dxa"/>
              <w:bottom w:w="14" w:type="dxa"/>
              <w:right w:w="144" w:type="dxa"/>
            </w:tcMar>
            <w:vAlign w:val="bottom"/>
          </w:tcPr>
          <w:p w14:paraId="43BDA65E"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b. Untreated</w:t>
            </w:r>
          </w:p>
        </w:tc>
        <w:tc>
          <w:tcPr>
            <w:tcW w:w="1980" w:type="dxa"/>
            <w:tcMar>
              <w:top w:w="14" w:type="dxa"/>
              <w:left w:w="100" w:type="dxa"/>
              <w:bottom w:w="14" w:type="dxa"/>
              <w:right w:w="100" w:type="dxa"/>
            </w:tcMar>
            <w:vAlign w:val="bottom"/>
          </w:tcPr>
          <w:p w14:paraId="5DA43FEF"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 xml:space="preserve">In a manner that does not contact covered produce during or after application. </w:t>
            </w:r>
          </w:p>
        </w:tc>
        <w:tc>
          <w:tcPr>
            <w:tcW w:w="1030" w:type="dxa"/>
            <w:tcMar>
              <w:top w:w="14" w:type="dxa"/>
              <w:left w:w="100" w:type="dxa"/>
              <w:bottom w:w="14" w:type="dxa"/>
              <w:right w:w="100" w:type="dxa"/>
            </w:tcMar>
            <w:vAlign w:val="bottom"/>
          </w:tcPr>
          <w:p w14:paraId="0135A139"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r w:rsidR="00413980" w:rsidRPr="00E904C3" w14:paraId="2F8E9FD3" w14:textId="77777777" w:rsidTr="00634256">
        <w:trPr>
          <w:cantSplit/>
          <w:trHeight w:val="20"/>
          <w:jc w:val="center"/>
        </w:trPr>
        <w:tc>
          <w:tcPr>
            <w:tcW w:w="2075" w:type="dxa"/>
            <w:tcMar>
              <w:top w:w="14" w:type="dxa"/>
              <w:left w:w="144" w:type="dxa"/>
              <w:bottom w:w="14" w:type="dxa"/>
              <w:right w:w="144" w:type="dxa"/>
            </w:tcMar>
            <w:vAlign w:val="bottom"/>
          </w:tcPr>
          <w:p w14:paraId="44173ED1"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c. Treated by a scientifically valid controlled physical, chemical, or biological process, or a combination of scientifically valid controlled physical, chemical, or biological processes, in accordance with the requirements of 21 CFR §112.54(b) to meet the microbial standards in 21 CFR §112.55(b)</w:t>
            </w:r>
          </w:p>
        </w:tc>
        <w:tc>
          <w:tcPr>
            <w:tcW w:w="1980" w:type="dxa"/>
            <w:tcMar>
              <w:top w:w="14" w:type="dxa"/>
              <w:left w:w="100" w:type="dxa"/>
              <w:bottom w:w="14" w:type="dxa"/>
              <w:right w:w="100" w:type="dxa"/>
            </w:tcMar>
            <w:vAlign w:val="bottom"/>
          </w:tcPr>
          <w:p w14:paraId="4AD1A057"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In a manner that minimizes the potential for contact with covered produce during and after application.</w:t>
            </w:r>
          </w:p>
        </w:tc>
        <w:tc>
          <w:tcPr>
            <w:tcW w:w="1030" w:type="dxa"/>
            <w:tcMar>
              <w:top w:w="14" w:type="dxa"/>
              <w:left w:w="100" w:type="dxa"/>
              <w:bottom w:w="14" w:type="dxa"/>
              <w:right w:w="100" w:type="dxa"/>
            </w:tcMar>
            <w:vAlign w:val="bottom"/>
          </w:tcPr>
          <w:p w14:paraId="670114FA"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r w:rsidR="00413980" w:rsidRPr="00E904C3" w14:paraId="6EC905A6" w14:textId="77777777" w:rsidTr="00634256">
        <w:trPr>
          <w:cantSplit/>
          <w:trHeight w:val="20"/>
          <w:jc w:val="center"/>
        </w:trPr>
        <w:tc>
          <w:tcPr>
            <w:tcW w:w="2075" w:type="dxa"/>
            <w:tcMar>
              <w:top w:w="14" w:type="dxa"/>
              <w:left w:w="144" w:type="dxa"/>
              <w:bottom w:w="14" w:type="dxa"/>
              <w:right w:w="144" w:type="dxa"/>
            </w:tcMar>
            <w:vAlign w:val="bottom"/>
          </w:tcPr>
          <w:p w14:paraId="0D9635CD"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d. Treated by a scientifically valid controlled physical, chemical, or biological process, or combination of scientifically valid controlled physical, chemical, or biological processes, in accordance with the requirements of 21 CFR §112.54(a) to meet the microbial standard in 21 CFR §112.55(a)</w:t>
            </w:r>
          </w:p>
        </w:tc>
        <w:tc>
          <w:tcPr>
            <w:tcW w:w="1980" w:type="dxa"/>
            <w:tcMar>
              <w:top w:w="14" w:type="dxa"/>
              <w:left w:w="100" w:type="dxa"/>
              <w:bottom w:w="14" w:type="dxa"/>
              <w:right w:w="100" w:type="dxa"/>
            </w:tcMar>
            <w:vAlign w:val="bottom"/>
          </w:tcPr>
          <w:p w14:paraId="569AAC46"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In any manner (i.e., no restrictions)</w:t>
            </w:r>
          </w:p>
        </w:tc>
        <w:tc>
          <w:tcPr>
            <w:tcW w:w="1030" w:type="dxa"/>
            <w:tcMar>
              <w:top w:w="14" w:type="dxa"/>
              <w:left w:w="100" w:type="dxa"/>
              <w:bottom w:w="14" w:type="dxa"/>
              <w:right w:w="100" w:type="dxa"/>
            </w:tcMar>
            <w:vAlign w:val="bottom"/>
          </w:tcPr>
          <w:p w14:paraId="06CFD91E" w14:textId="77777777"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bl>
    <w:p w14:paraId="30EAA286" w14:textId="77777777" w:rsidR="00413980" w:rsidRPr="00E904C3" w:rsidRDefault="00413980" w:rsidP="00413980">
      <w:pPr>
        <w:pStyle w:val="A"/>
      </w:pPr>
    </w:p>
    <w:p w14:paraId="3469B3D7" w14:textId="77777777" w:rsidR="00413980" w:rsidRPr="00E904C3" w:rsidRDefault="00413980" w:rsidP="00413980">
      <w:pPr>
        <w:pStyle w:val="AuthorityNote"/>
      </w:pPr>
      <w:r w:rsidRPr="00E904C3">
        <w:t>AUTHORITY NOTE:</w:t>
      </w:r>
      <w:r w:rsidRPr="00E904C3">
        <w:tab/>
        <w:t>Promulgated in accordance with R.S. 3:922 and 923.</w:t>
      </w:r>
    </w:p>
    <w:p w14:paraId="56250BAE"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14:paraId="663E0479" w14:textId="77777777" w:rsidR="00413980" w:rsidRDefault="00413980" w:rsidP="00413980">
      <w:pPr>
        <w:pStyle w:val="Section"/>
      </w:pPr>
      <w:bookmarkStart w:id="784" w:name="_Toc224818637"/>
      <w:r w:rsidRPr="00E904C3">
        <w:t>§1213.</w:t>
      </w:r>
      <w:r w:rsidRPr="00E904C3">
        <w:tab/>
        <w:t>Domesticated and Wild Animals, Relative to Covered Produce</w:t>
      </w:r>
      <w:bookmarkEnd w:id="784"/>
      <w:r w:rsidRPr="00E904C3">
        <w:t xml:space="preserve"> </w:t>
      </w:r>
    </w:p>
    <w:p w14:paraId="743E963B" w14:textId="77777777" w:rsidR="00413980" w:rsidRPr="00E904C3" w:rsidRDefault="00413980" w:rsidP="00413980">
      <w:pPr>
        <w:pStyle w:val="A"/>
      </w:pPr>
      <w:r w:rsidRPr="00E904C3">
        <w:t>A.</w:t>
      </w:r>
      <w:r w:rsidRPr="00E904C3">
        <w:tab/>
        <w:t xml:space="preserve">The requirements of this Section apply when a covered activity takes place in an outdoor area or a partially-enclosed building and when, under the circumstances, there is a reasonable probability that animals will contaminate covered produce. </w:t>
      </w:r>
    </w:p>
    <w:p w14:paraId="20165470" w14:textId="77777777" w:rsidR="00413980" w:rsidRPr="00E904C3" w:rsidRDefault="00413980" w:rsidP="00413980">
      <w:pPr>
        <w:pStyle w:val="A"/>
      </w:pPr>
      <w:r w:rsidRPr="00E904C3">
        <w:t>B.</w:t>
      </w:r>
      <w:r>
        <w:tab/>
      </w:r>
      <w:r w:rsidRPr="00E904C3">
        <w:t>The requirements of this Section do not apply:</w:t>
      </w:r>
    </w:p>
    <w:p w14:paraId="13B22209" w14:textId="77777777" w:rsidR="00413980" w:rsidRPr="00E904C3" w:rsidRDefault="00413980" w:rsidP="00413980">
      <w:pPr>
        <w:pStyle w:val="1"/>
      </w:pPr>
      <w:r w:rsidRPr="00E904C3">
        <w:t>1.</w:t>
      </w:r>
      <w:r w:rsidRPr="00E904C3">
        <w:tab/>
        <w:t xml:space="preserve">when a covered activity takes place in a fully-enclosed building; or </w:t>
      </w:r>
    </w:p>
    <w:p w14:paraId="33D0627A" w14:textId="77777777" w:rsidR="00413980" w:rsidRPr="00E904C3" w:rsidRDefault="00413980" w:rsidP="00413980">
      <w:pPr>
        <w:pStyle w:val="1"/>
      </w:pPr>
      <w:r w:rsidRPr="00E904C3">
        <w:t>2.</w:t>
      </w:r>
      <w:r>
        <w:tab/>
      </w:r>
      <w:r w:rsidRPr="00E904C3">
        <w:t>to fish used in aquaculture operations.</w:t>
      </w:r>
    </w:p>
    <w:p w14:paraId="5C5EA66E" w14:textId="77777777" w:rsidR="00413980" w:rsidRPr="00E904C3" w:rsidRDefault="00413980" w:rsidP="00413980">
      <w:pPr>
        <w:pStyle w:val="A"/>
      </w:pPr>
      <w:r w:rsidRPr="00E904C3">
        <w:t>C.</w:t>
      </w:r>
      <w:r>
        <w:tab/>
      </w:r>
      <w:r w:rsidRPr="00E904C3">
        <w:t xml:space="preserve">If there is reasonable probability that grazing animals, working animals, or animal intrusion will contaminate covered produce, then: </w:t>
      </w:r>
    </w:p>
    <w:p w14:paraId="3623A812" w14:textId="77777777" w:rsidR="00413980" w:rsidRPr="00E904C3" w:rsidRDefault="00413980" w:rsidP="00413980">
      <w:pPr>
        <w:pStyle w:val="1"/>
      </w:pPr>
      <w:r w:rsidRPr="00E904C3">
        <w:t>1.</w:t>
      </w:r>
      <w:r>
        <w:tab/>
      </w:r>
      <w:r w:rsidRPr="00E904C3">
        <w:t>the relevant areas used for a covered activity shall be assessed for evidence of potential contamination of covered produce as needed during the growing season; and</w:t>
      </w:r>
    </w:p>
    <w:p w14:paraId="10F399C7" w14:textId="77777777" w:rsidR="00413980" w:rsidRPr="00E904C3" w:rsidRDefault="00413980" w:rsidP="00413980">
      <w:pPr>
        <w:pStyle w:val="1"/>
      </w:pPr>
      <w:r w:rsidRPr="00E904C3">
        <w:t>2.</w:t>
      </w:r>
      <w:r>
        <w:tab/>
      </w:r>
      <w:r w:rsidRPr="00E904C3">
        <w:t xml:space="preserve">if significant evidence of potential contamination is found, such as observation of animals, animal excreta or crop destruction, the covered produce shall be evaluated to determine whether it can be harvested in accordance with the requirements of 21 CFR §112.112, and reasonably necessary measures shall be taken during growing to assist later during harvest when covered produce that is reasonably likely to be contaminated with a known or reasonably foreseeable hazard shall be identified and not harvested. </w:t>
      </w:r>
    </w:p>
    <w:p w14:paraId="6C5F1599" w14:textId="77777777" w:rsidR="00413980" w:rsidRDefault="00413980" w:rsidP="00413980">
      <w:pPr>
        <w:pStyle w:val="A"/>
      </w:pPr>
      <w:r w:rsidRPr="00E904C3">
        <w:t>D.</w:t>
      </w:r>
      <w:r>
        <w:tab/>
      </w:r>
      <w:r w:rsidRPr="00E904C3">
        <w:t>Nothing in this regulation authorizes the “taking” of threatened or endangered species, as that term is defined by the Endangered Species Act (16 U.S.C. 1531-1544) (i.e., to harass, harm, pursue, hunt, shoot, wound, kill, trap, capture, or collect, or to attempt to engage in any such conduct). This regulation does not require covered farms to take measures to exclude animals from outdoor growing areas, or to destroy animal habitat or otherwise clear farm borders around outdoor growing areas or drainages.</w:t>
      </w:r>
    </w:p>
    <w:p w14:paraId="16CC722A" w14:textId="77777777" w:rsidR="00413980" w:rsidRPr="00E904C3" w:rsidRDefault="00413980" w:rsidP="00413980">
      <w:pPr>
        <w:pStyle w:val="AuthorityNote"/>
      </w:pPr>
      <w:r w:rsidRPr="00E904C3">
        <w:t>AUTHORITY NOTE:</w:t>
      </w:r>
      <w:r w:rsidRPr="00E904C3">
        <w:tab/>
        <w:t>Promulgated in accordance with R.S. 3:922, and R.S. 9:923.</w:t>
      </w:r>
    </w:p>
    <w:p w14:paraId="3C44782B"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14:paraId="29C2EB54" w14:textId="77777777" w:rsidR="00413980" w:rsidRDefault="00413980" w:rsidP="00413980">
      <w:pPr>
        <w:pStyle w:val="Section"/>
      </w:pPr>
      <w:bookmarkStart w:id="785" w:name="_Toc224818638"/>
      <w:r w:rsidRPr="00E904C3">
        <w:t>§1215.</w:t>
      </w:r>
      <w:r w:rsidRPr="00E904C3">
        <w:tab/>
        <w:t>Growing, Harvesting, Packing, and Holding Activities</w:t>
      </w:r>
      <w:bookmarkEnd w:id="785"/>
    </w:p>
    <w:p w14:paraId="35CAC9F6" w14:textId="77777777" w:rsidR="00413980" w:rsidRPr="00E904C3" w:rsidRDefault="00413980" w:rsidP="00413980">
      <w:pPr>
        <w:pStyle w:val="A"/>
      </w:pPr>
      <w:r w:rsidRPr="00E904C3">
        <w:t>A.</w:t>
      </w:r>
      <w:r>
        <w:tab/>
      </w:r>
      <w:r w:rsidRPr="00E904C3">
        <w:t>If a covered produce farm grows, harvests, packs, or holds produce that is not covered in this part (i.e., excluded produce in accordance with 21 CFR §112.2) and also conducts such activities on covered produce, and the excluded produce is not grown, harvested, packed or held in accordance with this Chapter, measures shall be taken during these covered activities, as applicable, to:</w:t>
      </w:r>
    </w:p>
    <w:p w14:paraId="3FB2B10B" w14:textId="77777777" w:rsidR="00413980" w:rsidRPr="00E904C3" w:rsidRDefault="00413980" w:rsidP="00413980">
      <w:pPr>
        <w:pStyle w:val="1"/>
      </w:pPr>
      <w:r w:rsidRPr="00E904C3">
        <w:t>1.</w:t>
      </w:r>
      <w:r w:rsidRPr="00E904C3">
        <w:tab/>
        <w:t xml:space="preserve">keep covered produce separate from excluded produce, except when covered produce and excluded produce are placed in the same container for distribution; and </w:t>
      </w:r>
    </w:p>
    <w:p w14:paraId="453EC232" w14:textId="77777777" w:rsidR="00413980" w:rsidRPr="00E904C3" w:rsidRDefault="00413980" w:rsidP="00413980">
      <w:pPr>
        <w:pStyle w:val="1"/>
      </w:pPr>
      <w:r w:rsidRPr="00E904C3">
        <w:t>2.</w:t>
      </w:r>
      <w:r w:rsidRPr="00E904C3">
        <w:tab/>
        <w:t xml:space="preserve">adequately clean and sanitize, as necessary, any food contact surfaces that contact excluded produce before using such food contact surfaces for covered activities on covered produce. </w:t>
      </w:r>
    </w:p>
    <w:p w14:paraId="13ACD1C8" w14:textId="77777777" w:rsidR="00413980" w:rsidRPr="00E904C3" w:rsidRDefault="00413980" w:rsidP="00413980">
      <w:pPr>
        <w:pStyle w:val="A"/>
      </w:pPr>
      <w:r w:rsidRPr="00E904C3">
        <w:t>B.</w:t>
      </w:r>
      <w:r>
        <w:tab/>
      </w:r>
      <w:r w:rsidRPr="00E904C3">
        <w:t xml:space="preserve">All reasonably necessary measures shall be taken to identify, not harvest, covered produce that is reasonably likely to be contaminated with a known or reasonably foreseeable hazard, including steps to identify and not harvest covered produce that is visibly contaminated with animal excreta. At a minimum, identifying and not harvesting covered produce that is reasonably likely to be contaminated with, or that is </w:t>
      </w:r>
      <w:r w:rsidRPr="00E904C3">
        <w:lastRenderedPageBreak/>
        <w:t xml:space="preserve">visibly contaminated with, animal excreta requires a visual assessment of the growing area and all covered produce to be harvested, regardless of the harvest method used. </w:t>
      </w:r>
    </w:p>
    <w:p w14:paraId="67F8A26C" w14:textId="77777777" w:rsidR="00413980" w:rsidRPr="00E904C3" w:rsidRDefault="00413980" w:rsidP="00413980">
      <w:pPr>
        <w:pStyle w:val="A"/>
      </w:pPr>
      <w:r w:rsidRPr="00E904C3">
        <w:t>C.</w:t>
      </w:r>
      <w:r>
        <w:tab/>
      </w:r>
      <w:r w:rsidRPr="00E904C3">
        <w:t xml:space="preserve">Harvested covered produce shall be handled during covered activities in a manner that protects against contamination with known or reasonably foreseeable hazards. </w:t>
      </w:r>
    </w:p>
    <w:p w14:paraId="487BEEFD" w14:textId="77777777" w:rsidR="00413980" w:rsidRPr="00E904C3" w:rsidRDefault="00413980" w:rsidP="00413980">
      <w:pPr>
        <w:pStyle w:val="A"/>
      </w:pPr>
      <w:r w:rsidRPr="00E904C3">
        <w:t>D.</w:t>
      </w:r>
      <w:r>
        <w:tab/>
      </w:r>
      <w:r w:rsidRPr="00E904C3">
        <w:t xml:space="preserve">Dropped covered produce shall not be distributed. Dropped covered produce is covered produce that drops to the ground before harvest. Dropped covered produce does not include root crops that grow underground, crops that grow on the ground, or produce that is intentionally dropped to the ground as part of harvesting. </w:t>
      </w:r>
    </w:p>
    <w:p w14:paraId="558C2D03" w14:textId="77777777" w:rsidR="00413980" w:rsidRPr="00E904C3" w:rsidRDefault="00413980" w:rsidP="00413980">
      <w:pPr>
        <w:pStyle w:val="A"/>
      </w:pPr>
      <w:r w:rsidRPr="00E904C3">
        <w:t>E.</w:t>
      </w:r>
      <w:r>
        <w:tab/>
      </w:r>
      <w:r w:rsidRPr="00E904C3">
        <w:t xml:space="preserve">Covered produce shall be packaged in a manner that prevents the formation of </w:t>
      </w:r>
      <w:r w:rsidRPr="00E904C3">
        <w:rPr>
          <w:i/>
        </w:rPr>
        <w:t>Clostridium botulinum</w:t>
      </w:r>
      <w:r w:rsidRPr="00E904C3">
        <w:t xml:space="preserve"> toxin if such toxin is a known or reasonably foreseeable hazard. </w:t>
      </w:r>
    </w:p>
    <w:p w14:paraId="7DA7A267" w14:textId="77777777" w:rsidR="00413980" w:rsidRPr="00E904C3" w:rsidRDefault="00413980" w:rsidP="00413980">
      <w:pPr>
        <w:pStyle w:val="A"/>
      </w:pPr>
      <w:r w:rsidRPr="00E904C3">
        <w:t>F.</w:t>
      </w:r>
      <w:r>
        <w:tab/>
      </w:r>
      <w:r w:rsidRPr="00E904C3">
        <w:t>Food-packing material that is adequate for its intended use shall be used, which includes being:</w:t>
      </w:r>
    </w:p>
    <w:p w14:paraId="230E5337" w14:textId="77777777" w:rsidR="00413980" w:rsidRPr="00E904C3" w:rsidRDefault="00413980" w:rsidP="00413980">
      <w:pPr>
        <w:pStyle w:val="1"/>
      </w:pPr>
      <w:r w:rsidRPr="00E904C3">
        <w:t>1.</w:t>
      </w:r>
      <w:r>
        <w:tab/>
      </w:r>
      <w:r w:rsidRPr="00E904C3">
        <w:t xml:space="preserve">cleanable or designed for single use; and </w:t>
      </w:r>
    </w:p>
    <w:p w14:paraId="779B19F4" w14:textId="77777777" w:rsidR="00413980" w:rsidRPr="00E904C3" w:rsidRDefault="00413980" w:rsidP="00413980">
      <w:pPr>
        <w:pStyle w:val="1"/>
      </w:pPr>
      <w:r w:rsidRPr="00E904C3">
        <w:t>2.</w:t>
      </w:r>
      <w:r>
        <w:tab/>
      </w:r>
      <w:r w:rsidRPr="00E904C3">
        <w:t>unlikely to support the growth or transfer of bacteria.</w:t>
      </w:r>
    </w:p>
    <w:p w14:paraId="143F8F98" w14:textId="77777777" w:rsidR="00413980" w:rsidRDefault="00413980" w:rsidP="00413980">
      <w:pPr>
        <w:pStyle w:val="A"/>
      </w:pPr>
      <w:r w:rsidRPr="00E904C3">
        <w:t>G.</w:t>
      </w:r>
      <w:r>
        <w:tab/>
      </w:r>
      <w:r w:rsidRPr="00E904C3">
        <w:t xml:space="preserve">If food-packing material is reused, adequate steps shall be taken to ensure that food contact surfaces are clean. </w:t>
      </w:r>
    </w:p>
    <w:p w14:paraId="657467B3" w14:textId="77777777" w:rsidR="00413980" w:rsidRPr="00E904C3" w:rsidRDefault="00413980" w:rsidP="00413980">
      <w:pPr>
        <w:pStyle w:val="AuthorityNote"/>
      </w:pPr>
      <w:r w:rsidRPr="00E904C3">
        <w:t>AUTHORITY NOTE:</w:t>
      </w:r>
      <w:r w:rsidRPr="00E904C3">
        <w:tab/>
        <w:t>Promulgated in accordance with R.S. 3:921, R.S. 3:922, and R.S. 9:923.</w:t>
      </w:r>
    </w:p>
    <w:p w14:paraId="3DBB21AF"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14:paraId="4F080061" w14:textId="77777777" w:rsidR="00413980" w:rsidRDefault="00413980" w:rsidP="00413980">
      <w:pPr>
        <w:pStyle w:val="Section"/>
      </w:pPr>
      <w:bookmarkStart w:id="786" w:name="_Toc224818639"/>
      <w:r w:rsidRPr="00E904C3">
        <w:t>§1217.</w:t>
      </w:r>
      <w:r w:rsidRPr="00E904C3">
        <w:tab/>
        <w:t>Equipment, Tools, Buildings, and Sanitation</w:t>
      </w:r>
      <w:bookmarkEnd w:id="786"/>
    </w:p>
    <w:p w14:paraId="01035FDC" w14:textId="77777777" w:rsidR="00413980" w:rsidRPr="00E904C3" w:rsidRDefault="00413980" w:rsidP="00413980">
      <w:pPr>
        <w:pStyle w:val="A"/>
      </w:pPr>
      <w:r w:rsidRPr="00E904C3">
        <w:t>A.</w:t>
      </w:r>
      <w:r>
        <w:tab/>
      </w:r>
      <w:r w:rsidRPr="00E904C3">
        <w:t xml:space="preserve">Equipment and tools subject to the requirements of this Chapter are those that are intended or likely to contact covered produce, and those instruments or controls used to measure, regulate, or record conditions to control or prevent the growth of microorganisms of public health significance. Equipment and tools used for covered produce include, but are not limited to: </w:t>
      </w:r>
    </w:p>
    <w:p w14:paraId="79812D7F" w14:textId="77777777" w:rsidR="00413980" w:rsidRPr="00E904C3" w:rsidRDefault="00413980" w:rsidP="00413980">
      <w:pPr>
        <w:pStyle w:val="1"/>
      </w:pPr>
      <w:r w:rsidRPr="00E904C3">
        <w:t>1.</w:t>
      </w:r>
      <w:r>
        <w:tab/>
      </w:r>
      <w:r w:rsidRPr="00E904C3">
        <w:t>knives;</w:t>
      </w:r>
    </w:p>
    <w:p w14:paraId="6BBB5247" w14:textId="77777777" w:rsidR="00413980" w:rsidRPr="00E904C3" w:rsidRDefault="00413980" w:rsidP="00413980">
      <w:pPr>
        <w:pStyle w:val="1"/>
      </w:pPr>
      <w:r w:rsidRPr="00E904C3">
        <w:t>2.</w:t>
      </w:r>
      <w:r>
        <w:tab/>
      </w:r>
      <w:r w:rsidRPr="00E904C3">
        <w:t xml:space="preserve">implements; </w:t>
      </w:r>
    </w:p>
    <w:p w14:paraId="0C505DD0" w14:textId="77777777" w:rsidR="00413980" w:rsidRPr="00E904C3" w:rsidRDefault="00413980" w:rsidP="00413980">
      <w:pPr>
        <w:pStyle w:val="1"/>
      </w:pPr>
      <w:r w:rsidRPr="00E904C3">
        <w:t>3.</w:t>
      </w:r>
      <w:r>
        <w:tab/>
      </w:r>
      <w:r w:rsidRPr="00E904C3">
        <w:t xml:space="preserve">mechanical harvesters; </w:t>
      </w:r>
    </w:p>
    <w:p w14:paraId="022BBD52" w14:textId="77777777" w:rsidR="00413980" w:rsidRPr="00E904C3" w:rsidRDefault="00413980" w:rsidP="00413980">
      <w:pPr>
        <w:pStyle w:val="1"/>
      </w:pPr>
      <w:r w:rsidRPr="00E904C3">
        <w:t>4.</w:t>
      </w:r>
      <w:r>
        <w:tab/>
      </w:r>
      <w:r w:rsidRPr="00E904C3">
        <w:t xml:space="preserve">waxing machinery; </w:t>
      </w:r>
    </w:p>
    <w:p w14:paraId="630AB493" w14:textId="77777777" w:rsidR="00413980" w:rsidRPr="00E904C3" w:rsidRDefault="00413980" w:rsidP="00413980">
      <w:pPr>
        <w:pStyle w:val="1"/>
      </w:pPr>
      <w:r w:rsidRPr="00E904C3">
        <w:t>5.</w:t>
      </w:r>
      <w:r>
        <w:tab/>
      </w:r>
      <w:r w:rsidRPr="00E904C3">
        <w:t xml:space="preserve">cooling equipment (including hydrocoolers); </w:t>
      </w:r>
    </w:p>
    <w:p w14:paraId="2CBE57AD" w14:textId="77777777" w:rsidR="00413980" w:rsidRPr="00E904C3" w:rsidRDefault="00413980" w:rsidP="00413980">
      <w:pPr>
        <w:pStyle w:val="1"/>
      </w:pPr>
      <w:r w:rsidRPr="00E904C3">
        <w:t>6.</w:t>
      </w:r>
      <w:r w:rsidRPr="00E904C3">
        <w:tab/>
        <w:t xml:space="preserve">grading belts; </w:t>
      </w:r>
    </w:p>
    <w:p w14:paraId="1D366463" w14:textId="77777777" w:rsidR="00413980" w:rsidRPr="00E904C3" w:rsidRDefault="00413980" w:rsidP="00413980">
      <w:pPr>
        <w:pStyle w:val="1"/>
      </w:pPr>
      <w:r w:rsidRPr="00E904C3">
        <w:t>7.</w:t>
      </w:r>
      <w:r>
        <w:tab/>
      </w:r>
      <w:r w:rsidRPr="00E904C3">
        <w:t>sizing equipment;</w:t>
      </w:r>
      <w:r>
        <w:t xml:space="preserve"> </w:t>
      </w:r>
    </w:p>
    <w:p w14:paraId="4AB5E9F4" w14:textId="77777777" w:rsidR="00413980" w:rsidRPr="00E904C3" w:rsidRDefault="00413980" w:rsidP="00413980">
      <w:pPr>
        <w:pStyle w:val="1"/>
      </w:pPr>
      <w:r w:rsidRPr="00E904C3">
        <w:t>8.</w:t>
      </w:r>
      <w:r w:rsidRPr="00E904C3">
        <w:tab/>
        <w:t xml:space="preserve">palletizing equipment; </w:t>
      </w:r>
    </w:p>
    <w:p w14:paraId="3FDD1420" w14:textId="77777777" w:rsidR="00413980" w:rsidRPr="00E904C3" w:rsidRDefault="00413980" w:rsidP="00413980">
      <w:pPr>
        <w:pStyle w:val="1"/>
      </w:pPr>
      <w:r w:rsidRPr="00E904C3">
        <w:t>9.</w:t>
      </w:r>
      <w:r>
        <w:tab/>
      </w:r>
      <w:r w:rsidRPr="00E904C3">
        <w:t xml:space="preserve">equipment used to store or convey harvested covered produce; </w:t>
      </w:r>
    </w:p>
    <w:p w14:paraId="1F59EB57" w14:textId="77777777" w:rsidR="00413980" w:rsidRPr="00E904C3" w:rsidRDefault="00413980" w:rsidP="00413980">
      <w:pPr>
        <w:pStyle w:val="1"/>
      </w:pPr>
      <w:r w:rsidRPr="00E904C3">
        <w:t>10.</w:t>
      </w:r>
      <w:r>
        <w:tab/>
      </w:r>
      <w:r w:rsidRPr="00E904C3">
        <w:t xml:space="preserve">containers; </w:t>
      </w:r>
    </w:p>
    <w:p w14:paraId="57A628AB" w14:textId="77777777" w:rsidR="00413980" w:rsidRPr="00E904C3" w:rsidRDefault="00413980" w:rsidP="00413980">
      <w:pPr>
        <w:pStyle w:val="1"/>
      </w:pPr>
      <w:r w:rsidRPr="00E904C3">
        <w:t>11.</w:t>
      </w:r>
      <w:r>
        <w:tab/>
      </w:r>
      <w:r w:rsidRPr="00E904C3">
        <w:t>bins;</w:t>
      </w:r>
      <w:r>
        <w:t xml:space="preserve"> </w:t>
      </w:r>
    </w:p>
    <w:p w14:paraId="1C730D94" w14:textId="77777777" w:rsidR="00413980" w:rsidRPr="00E904C3" w:rsidRDefault="00413980" w:rsidP="00413980">
      <w:pPr>
        <w:pStyle w:val="1"/>
      </w:pPr>
      <w:r w:rsidRPr="00E904C3">
        <w:t>12.</w:t>
      </w:r>
      <w:r>
        <w:tab/>
      </w:r>
      <w:r w:rsidRPr="00E904C3">
        <w:t>food-packing material;</w:t>
      </w:r>
    </w:p>
    <w:p w14:paraId="04DC97FF" w14:textId="77777777" w:rsidR="00413980" w:rsidRPr="00E904C3" w:rsidRDefault="00413980" w:rsidP="00413980">
      <w:pPr>
        <w:pStyle w:val="1"/>
      </w:pPr>
      <w:r w:rsidRPr="00E904C3">
        <w:t>13.</w:t>
      </w:r>
      <w:r>
        <w:tab/>
      </w:r>
      <w:r w:rsidRPr="00E904C3">
        <w:t>dump tanks;</w:t>
      </w:r>
    </w:p>
    <w:p w14:paraId="1DBFD214" w14:textId="77777777" w:rsidR="00413980" w:rsidRPr="00E904C3" w:rsidRDefault="00413980" w:rsidP="00413980">
      <w:pPr>
        <w:pStyle w:val="1"/>
      </w:pPr>
      <w:r w:rsidRPr="00E904C3">
        <w:t>14.</w:t>
      </w:r>
      <w:r w:rsidRPr="00E904C3">
        <w:tab/>
        <w:t>flumes;</w:t>
      </w:r>
      <w:r>
        <w:t xml:space="preserve"> </w:t>
      </w:r>
    </w:p>
    <w:p w14:paraId="62EB04D5" w14:textId="77777777" w:rsidR="00413980" w:rsidRPr="00E904C3" w:rsidRDefault="00413980" w:rsidP="00413980">
      <w:pPr>
        <w:pStyle w:val="1"/>
      </w:pPr>
      <w:r w:rsidRPr="00E904C3">
        <w:t>15.</w:t>
      </w:r>
      <w:r>
        <w:tab/>
      </w:r>
      <w:r w:rsidRPr="00E904C3">
        <w:t xml:space="preserve">vehicles; or </w:t>
      </w:r>
    </w:p>
    <w:p w14:paraId="6D2548BA" w14:textId="77777777" w:rsidR="00413980" w:rsidRPr="00E904C3" w:rsidRDefault="00413980" w:rsidP="00413980">
      <w:pPr>
        <w:pStyle w:val="1"/>
      </w:pPr>
      <w:r w:rsidRPr="00E904C3">
        <w:t>16.</w:t>
      </w:r>
      <w:r>
        <w:tab/>
      </w:r>
      <w:r w:rsidRPr="00E904C3">
        <w:t>other equipment used for transport that are intended to, or likely to, contact covered produce.</w:t>
      </w:r>
    </w:p>
    <w:p w14:paraId="4A63F03F" w14:textId="77777777" w:rsidR="00413980" w:rsidRPr="00E904C3" w:rsidRDefault="00413980" w:rsidP="00413980">
      <w:pPr>
        <w:pStyle w:val="A"/>
      </w:pPr>
      <w:r w:rsidRPr="00E904C3">
        <w:t>B.</w:t>
      </w:r>
      <w:r>
        <w:tab/>
      </w:r>
      <w:r w:rsidRPr="00E904C3">
        <w:t>Buildings subject to the requirements of this Chapter include:</w:t>
      </w:r>
    </w:p>
    <w:p w14:paraId="77047148" w14:textId="77777777" w:rsidR="00413980" w:rsidRPr="00E904C3" w:rsidRDefault="00413980" w:rsidP="00413980">
      <w:pPr>
        <w:pStyle w:val="1"/>
      </w:pPr>
      <w:r w:rsidRPr="00E904C3">
        <w:t>1.</w:t>
      </w:r>
      <w:r>
        <w:tab/>
      </w:r>
      <w:r w:rsidRPr="00E904C3">
        <w:t xml:space="preserve">any fully- or partially-enclosed building used for covered activities, including minimal structures that have a roof but do not have any walls; and </w:t>
      </w:r>
    </w:p>
    <w:p w14:paraId="007AD38B" w14:textId="77777777" w:rsidR="00413980" w:rsidRPr="00E904C3" w:rsidRDefault="00413980" w:rsidP="00413980">
      <w:pPr>
        <w:pStyle w:val="1"/>
      </w:pPr>
      <w:r w:rsidRPr="00E904C3">
        <w:t>2.</w:t>
      </w:r>
      <w:r>
        <w:tab/>
      </w:r>
      <w:r w:rsidRPr="00E904C3">
        <w:t>storage sheds, buildings, or other structures used to store food contact surfaces, such as harvest containe</w:t>
      </w:r>
      <w:r>
        <w:t>rs and food-packing materials.</w:t>
      </w:r>
    </w:p>
    <w:p w14:paraId="03121CB2" w14:textId="77777777" w:rsidR="00413980" w:rsidRPr="00E904C3" w:rsidRDefault="00413980" w:rsidP="00413980">
      <w:pPr>
        <w:pStyle w:val="A"/>
      </w:pPr>
      <w:r w:rsidRPr="00E904C3">
        <w:t>C.</w:t>
      </w:r>
      <w:r w:rsidRPr="00E904C3">
        <w:tab/>
        <w:t>Equipment and tools subject to this Chapter shall:</w:t>
      </w:r>
    </w:p>
    <w:p w14:paraId="68E377AF" w14:textId="77777777" w:rsidR="00413980" w:rsidRPr="00E904C3" w:rsidRDefault="00413980" w:rsidP="00413980">
      <w:pPr>
        <w:pStyle w:val="1"/>
      </w:pPr>
      <w:r w:rsidRPr="00E904C3">
        <w:t>1.</w:t>
      </w:r>
      <w:r>
        <w:tab/>
      </w:r>
      <w:r w:rsidRPr="00E904C3">
        <w:t>be of adequate design, construction, and workmanship to enable them to be adequately cleaned and properly maintained;</w:t>
      </w:r>
      <w:r>
        <w:t xml:space="preserve"> </w:t>
      </w:r>
    </w:p>
    <w:p w14:paraId="7973618D" w14:textId="77777777" w:rsidR="00413980" w:rsidRPr="00E904C3" w:rsidRDefault="00413980" w:rsidP="00413980">
      <w:pPr>
        <w:pStyle w:val="1"/>
      </w:pPr>
      <w:r w:rsidRPr="00E904C3">
        <w:t>2.</w:t>
      </w:r>
      <w:r>
        <w:tab/>
      </w:r>
      <w:r w:rsidRPr="00E904C3">
        <w:t xml:space="preserve">be installed and maintained to facilitate cleaning of the equipment and all adjacent spaces; </w:t>
      </w:r>
    </w:p>
    <w:p w14:paraId="5A72622C" w14:textId="77777777" w:rsidR="00413980" w:rsidRPr="00E904C3" w:rsidRDefault="00413980" w:rsidP="00413980">
      <w:pPr>
        <w:pStyle w:val="1"/>
      </w:pPr>
      <w:r w:rsidRPr="00E904C3">
        <w:t>3.</w:t>
      </w:r>
      <w:r>
        <w:tab/>
      </w:r>
      <w:r w:rsidRPr="00E904C3">
        <w:t>be stored and maintained to protect covered produce from being contaminated with known or reasonably foreseeable hazards, and to prevent the equipment and tools from attracting and harboring pests;</w:t>
      </w:r>
    </w:p>
    <w:p w14:paraId="712D06E0" w14:textId="77777777" w:rsidR="00413980" w:rsidRPr="00E904C3" w:rsidRDefault="00413980" w:rsidP="00413980">
      <w:pPr>
        <w:pStyle w:val="1"/>
      </w:pPr>
      <w:r w:rsidRPr="00E904C3">
        <w:t>4.</w:t>
      </w:r>
      <w:r>
        <w:tab/>
      </w:r>
      <w:r w:rsidRPr="00E904C3">
        <w:t>have seams on food contact surfaces that are either smoothly bonded, or maintained to minimize accumulation of dirt, filth, food particles, and organic materials and thus minimize the opportunity for harborage or growth of microorganisms; and</w:t>
      </w:r>
    </w:p>
    <w:p w14:paraId="676DB7DC" w14:textId="77777777" w:rsidR="00413980" w:rsidRPr="00E904C3" w:rsidRDefault="00413980" w:rsidP="00413980">
      <w:pPr>
        <w:pStyle w:val="1"/>
      </w:pPr>
      <w:r w:rsidRPr="00E904C3">
        <w:t>5.</w:t>
      </w:r>
      <w:r>
        <w:tab/>
      </w:r>
      <w:r w:rsidRPr="00E904C3">
        <w:t>be inspected, maintained, cleaned, and, when necessary and appropriate, all food contact surfaces of equipment and tools used in covered activities shall be maintained, cleaned, and sanitized as frequently as reasonably necessary to protect against contamination of covered produce.</w:t>
      </w:r>
    </w:p>
    <w:p w14:paraId="77334FC1" w14:textId="77777777" w:rsidR="00413980" w:rsidRPr="00E904C3" w:rsidRDefault="00413980" w:rsidP="00413980">
      <w:pPr>
        <w:pStyle w:val="A"/>
      </w:pPr>
      <w:r w:rsidRPr="00E904C3">
        <w:t>D.</w:t>
      </w:r>
      <w:r>
        <w:tab/>
      </w:r>
      <w:r w:rsidRPr="00E904C3">
        <w:t xml:space="preserve">If equipment such as pallets, forklifts, tractors, and vehicles are used as intended or likely to contact covered produce, they shall be used in a manner that minimizes the potential for contamination of covered produce or food contact surfaces with known or reasonably foreseeable hazards. </w:t>
      </w:r>
    </w:p>
    <w:p w14:paraId="0687A158" w14:textId="77777777" w:rsidR="00413980" w:rsidRPr="00E904C3" w:rsidRDefault="00413980" w:rsidP="00413980">
      <w:pPr>
        <w:pStyle w:val="A"/>
      </w:pPr>
      <w:r w:rsidRPr="00E904C3">
        <w:t>F.</w:t>
      </w:r>
      <w:r>
        <w:tab/>
      </w:r>
      <w:r w:rsidRPr="00E904C3">
        <w:t>Instruments or controls used to measure, regulate, or record temperatures, hydrogen-ion concentration (pH), sanitizer efficacy or other conditions, in order to control or prevent the growth of microorganisms of public health significance, shall be:</w:t>
      </w:r>
    </w:p>
    <w:p w14:paraId="1C4554C2" w14:textId="77777777" w:rsidR="00413980" w:rsidRPr="00E904C3" w:rsidRDefault="00413980" w:rsidP="00413980">
      <w:pPr>
        <w:pStyle w:val="1"/>
      </w:pPr>
      <w:r w:rsidRPr="00E904C3">
        <w:t>1.</w:t>
      </w:r>
      <w:r>
        <w:tab/>
      </w:r>
      <w:r w:rsidRPr="00E904C3">
        <w:t>accurate and precise as necessary and appropriate in keeping with their purpose;</w:t>
      </w:r>
    </w:p>
    <w:p w14:paraId="2AD15B43" w14:textId="77777777" w:rsidR="00413980" w:rsidRPr="00E904C3" w:rsidRDefault="00413980" w:rsidP="00413980">
      <w:pPr>
        <w:pStyle w:val="1"/>
      </w:pPr>
      <w:r w:rsidRPr="00E904C3">
        <w:t>2.</w:t>
      </w:r>
      <w:r w:rsidRPr="00E904C3">
        <w:tab/>
        <w:t xml:space="preserve">adequately maintained; and </w:t>
      </w:r>
    </w:p>
    <w:p w14:paraId="3CA6E970" w14:textId="77777777" w:rsidR="00413980" w:rsidRPr="00E904C3" w:rsidRDefault="00413980" w:rsidP="00413980">
      <w:pPr>
        <w:pStyle w:val="1"/>
      </w:pPr>
      <w:r w:rsidRPr="00E904C3">
        <w:t>3.</w:t>
      </w:r>
      <w:r>
        <w:tab/>
      </w:r>
      <w:r w:rsidRPr="00E904C3">
        <w:t>adequate in number for their designated uses.</w:t>
      </w:r>
    </w:p>
    <w:p w14:paraId="6A564E31" w14:textId="77777777" w:rsidR="00413980" w:rsidRPr="00E904C3" w:rsidRDefault="00413980" w:rsidP="00413980">
      <w:pPr>
        <w:pStyle w:val="A"/>
      </w:pPr>
      <w:r w:rsidRPr="00E904C3">
        <w:t>E.</w:t>
      </w:r>
      <w:r>
        <w:tab/>
      </w:r>
      <w:r w:rsidRPr="00E904C3">
        <w:t>Equipment that is subject to this Section used to transport covered produce shall be:</w:t>
      </w:r>
    </w:p>
    <w:p w14:paraId="0C02AC35" w14:textId="77777777" w:rsidR="00413980" w:rsidRPr="00E904C3" w:rsidRDefault="00413980" w:rsidP="00413980">
      <w:pPr>
        <w:pStyle w:val="1"/>
      </w:pPr>
      <w:r w:rsidRPr="00E904C3">
        <w:lastRenderedPageBreak/>
        <w:t>1.</w:t>
      </w:r>
      <w:r>
        <w:tab/>
      </w:r>
      <w:r w:rsidRPr="00E904C3">
        <w:t xml:space="preserve">adequately cleaned before use in transporting covered produce; and </w:t>
      </w:r>
    </w:p>
    <w:p w14:paraId="5D953123" w14:textId="77777777" w:rsidR="00413980" w:rsidRPr="00E904C3" w:rsidRDefault="00413980" w:rsidP="00413980">
      <w:pPr>
        <w:pStyle w:val="1"/>
      </w:pPr>
      <w:r w:rsidRPr="00E904C3">
        <w:t>2.</w:t>
      </w:r>
      <w:r>
        <w:tab/>
      </w:r>
      <w:r w:rsidRPr="00E904C3">
        <w:t xml:space="preserve">adequate for use in transporting covered produce. </w:t>
      </w:r>
    </w:p>
    <w:p w14:paraId="3F8AFB49" w14:textId="77777777" w:rsidR="00413980" w:rsidRPr="00E904C3" w:rsidRDefault="00413980" w:rsidP="00413980">
      <w:pPr>
        <w:pStyle w:val="A"/>
      </w:pPr>
      <w:r w:rsidRPr="00E904C3">
        <w:t>F.</w:t>
      </w:r>
      <w:r>
        <w:tab/>
      </w:r>
      <w:r w:rsidRPr="00E904C3">
        <w:t>All of the following requirements apply regarding buildings</w:t>
      </w:r>
      <w:r>
        <w:t>.</w:t>
      </w:r>
    </w:p>
    <w:p w14:paraId="51D6E4C1" w14:textId="77777777" w:rsidR="00413980" w:rsidRPr="00E904C3" w:rsidRDefault="00413980" w:rsidP="00413980">
      <w:pPr>
        <w:pStyle w:val="1"/>
      </w:pPr>
      <w:r w:rsidRPr="00E904C3">
        <w:t>1.</w:t>
      </w:r>
      <w:r>
        <w:tab/>
      </w:r>
      <w:r w:rsidRPr="00E904C3">
        <w:t>Buildings shall be suitable in size, construction, and design to facilitate maintenance and sanitary operations for covered activities to reduce the potential for contamination of covered produce or food contact surfaces with known or reasonably forese</w:t>
      </w:r>
      <w:r>
        <w:t>eable hazards. Buildings shall:</w:t>
      </w:r>
    </w:p>
    <w:p w14:paraId="3C1293A9" w14:textId="77777777" w:rsidR="00413980" w:rsidRPr="00E904C3" w:rsidRDefault="00413980" w:rsidP="00413980">
      <w:pPr>
        <w:pStyle w:val="a0"/>
      </w:pPr>
      <w:r w:rsidRPr="00E904C3">
        <w:t>a.</w:t>
      </w:r>
      <w:r>
        <w:tab/>
      </w:r>
      <w:r w:rsidRPr="00E904C3">
        <w:t>provide sufficient space for placement of equipment and storage of materials;</w:t>
      </w:r>
    </w:p>
    <w:p w14:paraId="2FB7822D" w14:textId="77777777" w:rsidR="00413980" w:rsidRPr="00E904C3" w:rsidRDefault="00413980" w:rsidP="00413980">
      <w:pPr>
        <w:pStyle w:val="a0"/>
      </w:pPr>
      <w:r w:rsidRPr="00E904C3">
        <w:t>b.</w:t>
      </w:r>
      <w:r>
        <w:tab/>
      </w:r>
      <w:r w:rsidRPr="00E904C3">
        <w:t>permit proper precautions to be taken to reduce the potential for contamination of covered produce, food contact surfaces, or packing materials with known or reasonably foreseeable hazards. The potential for contamination shall be reduced by effective design including the separation of operations in which contamination is likely to occur, by one or more of the following means: location, time, partition, enclosed systems, or other effective means; and</w:t>
      </w:r>
    </w:p>
    <w:p w14:paraId="2E09D2A3" w14:textId="77777777" w:rsidR="00413980" w:rsidRPr="00E904C3" w:rsidRDefault="00413980" w:rsidP="00413980">
      <w:pPr>
        <w:pStyle w:val="1"/>
      </w:pPr>
      <w:r w:rsidRPr="00E904C3">
        <w:t>2.</w:t>
      </w:r>
      <w:r>
        <w:tab/>
      </w:r>
      <w:r w:rsidRPr="00E904C3">
        <w:t xml:space="preserve">Adequate drainage shall be provided in all areas where normal operations release or discharge water or other liquid waste on the ground or floor of the building. </w:t>
      </w:r>
    </w:p>
    <w:p w14:paraId="49E28C55" w14:textId="77777777" w:rsidR="00413980" w:rsidRPr="00E904C3" w:rsidRDefault="00413980" w:rsidP="00413980">
      <w:pPr>
        <w:pStyle w:val="A"/>
      </w:pPr>
      <w:r w:rsidRPr="00E904C3">
        <w:t>G.</w:t>
      </w:r>
      <w:r>
        <w:tab/>
      </w:r>
      <w:r w:rsidRPr="00E904C3">
        <w:t>Measures to prevent contamination of covered produce and food contact surfaces in buildings shall be implemented, as appropriate, considering the potential for such contamination.</w:t>
      </w:r>
    </w:p>
    <w:p w14:paraId="132E7FE9" w14:textId="77777777" w:rsidR="00413980" w:rsidRPr="00E904C3" w:rsidRDefault="00413980" w:rsidP="00413980">
      <w:pPr>
        <w:pStyle w:val="A"/>
      </w:pPr>
      <w:r w:rsidRPr="00E904C3">
        <w:t>H.</w:t>
      </w:r>
      <w:r>
        <w:tab/>
      </w:r>
      <w:r w:rsidRPr="00E904C3">
        <w:t>Reasonable precautions shall be taken to prevent contamination of covered produce, food contact surfaces, and food-packing materials in fully-enclosed buildings with known or reasonably foreseeable hazards from domesticated animals by:</w:t>
      </w:r>
    </w:p>
    <w:p w14:paraId="79EDB7C0" w14:textId="77777777" w:rsidR="00413980" w:rsidRPr="00E904C3" w:rsidRDefault="00413980" w:rsidP="00413980">
      <w:pPr>
        <w:pStyle w:val="1"/>
      </w:pPr>
      <w:r w:rsidRPr="00E904C3">
        <w:t>1.</w:t>
      </w:r>
      <w:r>
        <w:tab/>
      </w:r>
      <w:r w:rsidRPr="00E904C3">
        <w:t xml:space="preserve">excluding domesticated animals from fully-enclosed buildings where covered produce, food contact surfaces, or food-packing material is exposed; or </w:t>
      </w:r>
    </w:p>
    <w:p w14:paraId="2FAF441A" w14:textId="77777777" w:rsidR="00413980" w:rsidRPr="00E904C3" w:rsidRDefault="00413980" w:rsidP="00413980">
      <w:pPr>
        <w:pStyle w:val="1"/>
      </w:pPr>
      <w:r w:rsidRPr="00E904C3">
        <w:t>2.</w:t>
      </w:r>
      <w:r>
        <w:tab/>
      </w:r>
      <w:r w:rsidRPr="00E904C3">
        <w:t xml:space="preserve">separating domesticated animals in a fully-enclosed building from an area where a covered activity is conducted on covered produce by location, time, or partition. </w:t>
      </w:r>
    </w:p>
    <w:p w14:paraId="71D45CF4" w14:textId="77777777" w:rsidR="00413980" w:rsidRPr="00E904C3" w:rsidRDefault="00413980" w:rsidP="00413980">
      <w:pPr>
        <w:pStyle w:val="A"/>
      </w:pPr>
      <w:r w:rsidRPr="00E904C3">
        <w:t>I.</w:t>
      </w:r>
      <w:r>
        <w:tab/>
      </w:r>
      <w:r w:rsidRPr="00E904C3">
        <w:t xml:space="preserve">Guard or guide dogs may be allowed in some areas of a fully enclosed building if the presence of the dogs is unlikely to result in contamination of produce, food contact surfaces, or food-packing materials. </w:t>
      </w:r>
    </w:p>
    <w:p w14:paraId="7AFEEFBA" w14:textId="77777777" w:rsidR="00413980" w:rsidRPr="00E904C3" w:rsidRDefault="00413980" w:rsidP="00413980">
      <w:pPr>
        <w:pStyle w:val="A"/>
      </w:pPr>
      <w:r w:rsidRPr="00E904C3">
        <w:t>J.</w:t>
      </w:r>
      <w:r>
        <w:tab/>
      </w:r>
      <w:r w:rsidRPr="00E904C3">
        <w:t xml:space="preserve">Reasonably necessary measures shall be taken to protect covered produce, food contact surfaces, and food-packing materials from contamination by pests in buildings, including routine monitoring for pests as necessary and appropriate. </w:t>
      </w:r>
    </w:p>
    <w:p w14:paraId="213FB2C6" w14:textId="77777777" w:rsidR="00413980" w:rsidRPr="00E904C3" w:rsidRDefault="00413980" w:rsidP="00413980">
      <w:pPr>
        <w:pStyle w:val="A"/>
      </w:pPr>
      <w:r w:rsidRPr="00E904C3">
        <w:t>K.</w:t>
      </w:r>
      <w:r>
        <w:tab/>
      </w:r>
      <w:r w:rsidRPr="00E904C3">
        <w:t>For fully-enclosed buildings, measures shall be taken to exclude pests from buildings.</w:t>
      </w:r>
    </w:p>
    <w:p w14:paraId="23BA27AE" w14:textId="77777777" w:rsidR="00413980" w:rsidRPr="00E904C3" w:rsidRDefault="00413980" w:rsidP="00413980">
      <w:pPr>
        <w:pStyle w:val="A"/>
      </w:pPr>
      <w:r w:rsidRPr="00E904C3">
        <w:t>L.</w:t>
      </w:r>
      <w:r>
        <w:tab/>
      </w:r>
      <w:r w:rsidRPr="00E904C3">
        <w:t>For partially-enclosed buildings, measures shall be taken to prevent pests from becoming established in such buildings, such as by use of screens or by monitoring for the presence of pests and removing them when present.</w:t>
      </w:r>
    </w:p>
    <w:p w14:paraId="3790F835" w14:textId="77777777" w:rsidR="00413980" w:rsidRPr="00E904C3" w:rsidRDefault="00413980" w:rsidP="00413980">
      <w:pPr>
        <w:pStyle w:val="A"/>
      </w:pPr>
      <w:r w:rsidRPr="00E904C3">
        <w:t>M.</w:t>
      </w:r>
      <w:r>
        <w:tab/>
      </w:r>
      <w:r w:rsidRPr="00E904C3">
        <w:t>All of the following requirements apply to toilet facilities:</w:t>
      </w:r>
    </w:p>
    <w:p w14:paraId="4F8ED35B" w14:textId="77777777" w:rsidR="00413980" w:rsidRPr="00E904C3" w:rsidRDefault="00413980" w:rsidP="00413980">
      <w:pPr>
        <w:pStyle w:val="1"/>
      </w:pPr>
      <w:r w:rsidRPr="00E904C3">
        <w:t>1.</w:t>
      </w:r>
      <w:r>
        <w:tab/>
        <w:t>p</w:t>
      </w:r>
      <w:r w:rsidRPr="00E904C3">
        <w:t>ersonnel shall be provided with adequate, readily accessible toilet facilities, including toilet facilities readily accessible to growing areas during harvesting activities;</w:t>
      </w:r>
    </w:p>
    <w:p w14:paraId="354F3C8D" w14:textId="77777777" w:rsidR="00413980" w:rsidRPr="00E904C3" w:rsidRDefault="00413980" w:rsidP="00413980">
      <w:pPr>
        <w:pStyle w:val="1"/>
      </w:pPr>
      <w:r w:rsidRPr="00E904C3">
        <w:t>2.</w:t>
      </w:r>
      <w:r w:rsidRPr="00E904C3">
        <w:tab/>
      </w:r>
      <w:r>
        <w:t>t</w:t>
      </w:r>
      <w:r w:rsidRPr="00E904C3">
        <w:t>oilet facilities shall be designed, located, and maintained to:</w:t>
      </w:r>
    </w:p>
    <w:p w14:paraId="3BD2B5AE" w14:textId="77777777" w:rsidR="00413980" w:rsidRPr="00E904C3" w:rsidRDefault="00413980" w:rsidP="00413980">
      <w:pPr>
        <w:pStyle w:val="a0"/>
      </w:pPr>
      <w:r w:rsidRPr="00E904C3">
        <w:t>a.</w:t>
      </w:r>
      <w:r>
        <w:tab/>
      </w:r>
      <w:r w:rsidRPr="00E904C3">
        <w:t xml:space="preserve">prevent contamination of covered produce, food contact surfaces, areas used for a covered activity, water sources, and water distribution systems with human waste; </w:t>
      </w:r>
    </w:p>
    <w:p w14:paraId="1D90A07E" w14:textId="77777777" w:rsidR="00413980" w:rsidRPr="00E904C3" w:rsidRDefault="00413980" w:rsidP="00413980">
      <w:pPr>
        <w:pStyle w:val="a0"/>
      </w:pPr>
      <w:r w:rsidRPr="00E904C3">
        <w:t>b.</w:t>
      </w:r>
      <w:r>
        <w:tab/>
      </w:r>
      <w:r w:rsidRPr="00E904C3">
        <w:t xml:space="preserve">be directly accessible for servicing, be serviced and cleaned at a frequency sufficient to ensure suitability of use, and be kept supplied with toilet paper; and </w:t>
      </w:r>
    </w:p>
    <w:p w14:paraId="5069B1CD" w14:textId="77777777" w:rsidR="00413980" w:rsidRPr="00E904C3" w:rsidRDefault="00413980" w:rsidP="00413980">
      <w:pPr>
        <w:pStyle w:val="a0"/>
      </w:pPr>
      <w:r w:rsidRPr="00E904C3">
        <w:t>c.</w:t>
      </w:r>
      <w:r>
        <w:tab/>
      </w:r>
      <w:r w:rsidRPr="00E904C3">
        <w:t>provide for the sanitary dis</w:t>
      </w:r>
      <w:r>
        <w:t>posal of waste and toilet paper;</w:t>
      </w:r>
    </w:p>
    <w:p w14:paraId="01D6EFE0" w14:textId="77777777" w:rsidR="00413980" w:rsidRPr="00E904C3" w:rsidRDefault="00413980" w:rsidP="00413980">
      <w:pPr>
        <w:pStyle w:val="1"/>
      </w:pPr>
      <w:r>
        <w:t>3</w:t>
      </w:r>
      <w:r w:rsidRPr="00E904C3">
        <w:t>.</w:t>
      </w:r>
      <w:r>
        <w:tab/>
        <w:t>d</w:t>
      </w:r>
      <w:r w:rsidRPr="00E904C3">
        <w:t xml:space="preserve">uring growing activities that take place in a fully-enclosed building, and during harvesting, packing, or holding activities, a hand-washing station shall be provided in sufficiently close proximity to toilet facilities to make it practical for persons who use the toilet facility to wash their hands. </w:t>
      </w:r>
    </w:p>
    <w:p w14:paraId="2DBD1528" w14:textId="77777777" w:rsidR="00413980" w:rsidRPr="00E904C3" w:rsidRDefault="00413980" w:rsidP="00413980">
      <w:pPr>
        <w:pStyle w:val="A"/>
      </w:pPr>
      <w:r w:rsidRPr="00E904C3">
        <w:t>N.</w:t>
      </w:r>
      <w:r w:rsidRPr="00E904C3">
        <w:tab/>
        <w:t>All of the following requirements apply to hand-washing facilities</w:t>
      </w:r>
      <w:r>
        <w:t>.</w:t>
      </w:r>
    </w:p>
    <w:p w14:paraId="49E15C86" w14:textId="77777777" w:rsidR="00413980" w:rsidRPr="00E904C3" w:rsidRDefault="00413980" w:rsidP="00413980">
      <w:pPr>
        <w:pStyle w:val="1"/>
      </w:pPr>
      <w:r w:rsidRPr="00E904C3">
        <w:t>1.</w:t>
      </w:r>
      <w:r>
        <w:tab/>
      </w:r>
      <w:r w:rsidRPr="00E904C3">
        <w:t xml:space="preserve">Personnel shall be provided with adequate, readily accessible hand-washing facilities during growing activities that take place in a fully-enclosed building, and during covered harvest, packing, or holding activities. </w:t>
      </w:r>
    </w:p>
    <w:p w14:paraId="65A76BFA" w14:textId="77777777" w:rsidR="00413980" w:rsidRPr="00E904C3" w:rsidRDefault="00413980" w:rsidP="00413980">
      <w:pPr>
        <w:pStyle w:val="1"/>
      </w:pPr>
      <w:r w:rsidRPr="00E904C3">
        <w:t>2.</w:t>
      </w:r>
      <w:r>
        <w:tab/>
      </w:r>
      <w:r w:rsidRPr="00E904C3">
        <w:t>Hand-washing facilities shall be furnished with:</w:t>
      </w:r>
    </w:p>
    <w:p w14:paraId="62E633DA" w14:textId="77777777" w:rsidR="00413980" w:rsidRPr="00E904C3" w:rsidRDefault="00413980" w:rsidP="00413980">
      <w:pPr>
        <w:pStyle w:val="a0"/>
      </w:pPr>
      <w:r w:rsidRPr="00E904C3">
        <w:t>a.</w:t>
      </w:r>
      <w:r>
        <w:tab/>
      </w:r>
      <w:r w:rsidRPr="00E904C3">
        <w:t>soap or other effective surfactant,</w:t>
      </w:r>
    </w:p>
    <w:p w14:paraId="346030D3" w14:textId="77777777" w:rsidR="00413980" w:rsidRPr="00E904C3" w:rsidRDefault="00413980" w:rsidP="00413980">
      <w:pPr>
        <w:pStyle w:val="a0"/>
      </w:pPr>
      <w:r w:rsidRPr="00E904C3">
        <w:t>b.</w:t>
      </w:r>
      <w:r>
        <w:tab/>
      </w:r>
      <w:r w:rsidRPr="00E904C3">
        <w:t xml:space="preserve">running water that satisfies the requirements of 21 CFR §112.44(a) for water used to wash hands, and </w:t>
      </w:r>
    </w:p>
    <w:p w14:paraId="693DE771" w14:textId="77777777" w:rsidR="00413980" w:rsidRPr="00E904C3" w:rsidRDefault="00413980" w:rsidP="00413980">
      <w:pPr>
        <w:pStyle w:val="a0"/>
      </w:pPr>
      <w:r w:rsidRPr="00E904C3">
        <w:t>c.</w:t>
      </w:r>
      <w:r>
        <w:tab/>
      </w:r>
      <w:r w:rsidRPr="00E904C3">
        <w:t>adequate drying devices, such as single service towels, sanitary towel service, or electric hand dryers.</w:t>
      </w:r>
    </w:p>
    <w:p w14:paraId="06E4BD42" w14:textId="77777777" w:rsidR="00413980" w:rsidRPr="00E904C3" w:rsidRDefault="00413980" w:rsidP="00413980">
      <w:pPr>
        <w:pStyle w:val="1"/>
      </w:pPr>
      <w:r w:rsidRPr="00E904C3">
        <w:t>3.</w:t>
      </w:r>
      <w:r>
        <w:tab/>
      </w:r>
      <w:r w:rsidRPr="00E904C3">
        <w:t xml:space="preserve">Appropriate disposal of waste associated with a hand-washing facility shall be provided. Appropriate measures shall be taken to prevent waste water from a hand-washing facility from contaminating covered produce, food contact surfaces, areas used for a covered activity, agricultural water sources, and agricultural water distribution systems with known or reasonably foreseeable hazards. </w:t>
      </w:r>
    </w:p>
    <w:p w14:paraId="103D5356" w14:textId="77777777" w:rsidR="00413980" w:rsidRPr="00E904C3" w:rsidRDefault="00413980" w:rsidP="00413980">
      <w:pPr>
        <w:pStyle w:val="1"/>
      </w:pPr>
      <w:r w:rsidRPr="00E904C3">
        <w:t>4.</w:t>
      </w:r>
      <w:r>
        <w:tab/>
      </w:r>
      <w:r w:rsidRPr="00E904C3">
        <w:t xml:space="preserve">Antiseptic hand rubs shall not be used as a substitute for soap (or other effective surfactant) and water. </w:t>
      </w:r>
    </w:p>
    <w:p w14:paraId="1BB2D33A" w14:textId="77777777" w:rsidR="00413980" w:rsidRPr="00E904C3" w:rsidRDefault="00413980" w:rsidP="00413980">
      <w:pPr>
        <w:pStyle w:val="A"/>
      </w:pPr>
      <w:r w:rsidRPr="00E904C3">
        <w:t>O.</w:t>
      </w:r>
      <w:r>
        <w:tab/>
      </w:r>
      <w:r w:rsidRPr="00E904C3">
        <w:t>All of the following requirements shall apply for the control and disposal of sewage:</w:t>
      </w:r>
    </w:p>
    <w:p w14:paraId="365E0866" w14:textId="77777777" w:rsidR="00413980" w:rsidRPr="00E904C3" w:rsidRDefault="00413980" w:rsidP="00413980">
      <w:pPr>
        <w:pStyle w:val="1"/>
      </w:pPr>
      <w:r w:rsidRPr="00E904C3">
        <w:t>1.</w:t>
      </w:r>
      <w:r>
        <w:tab/>
      </w:r>
      <w:r w:rsidRPr="00E904C3">
        <w:t>Sewage shall be disposed into an adequate sewage or septic system or through other adequate means.</w:t>
      </w:r>
    </w:p>
    <w:p w14:paraId="507510F6" w14:textId="77777777" w:rsidR="00413980" w:rsidRPr="00E904C3" w:rsidRDefault="00413980" w:rsidP="00413980">
      <w:pPr>
        <w:pStyle w:val="1"/>
      </w:pPr>
      <w:r w:rsidRPr="00E904C3">
        <w:t>2.</w:t>
      </w:r>
      <w:r>
        <w:tab/>
      </w:r>
      <w:r w:rsidRPr="00E904C3">
        <w:t>Sewage and septic systems shall be maintained in a manner that prevents contamination of covered produce, food contact surfaces, areas used for a covered activity, agricultural water sources, and agricultural water distribution systems with known or reasonably foreseeable hazards; and</w:t>
      </w:r>
    </w:p>
    <w:p w14:paraId="36189A64" w14:textId="77777777" w:rsidR="00413980" w:rsidRPr="00E904C3" w:rsidRDefault="00413980" w:rsidP="00413980">
      <w:pPr>
        <w:pStyle w:val="1"/>
      </w:pPr>
      <w:r w:rsidRPr="00E904C3">
        <w:lastRenderedPageBreak/>
        <w:t>3.</w:t>
      </w:r>
      <w:r>
        <w:tab/>
      </w:r>
      <w:r w:rsidRPr="00E904C3">
        <w:t>Leakages or spills of human waste shall be disposed in a manner that prevents contamination of covered produce, and prevents or minimizes contamination of food contact surfaces, areas used for a covered activity, agricultural water sources, or agricultural water distribution systems.</w:t>
      </w:r>
    </w:p>
    <w:p w14:paraId="68E7ACD1" w14:textId="77777777" w:rsidR="00413980" w:rsidRPr="00E904C3" w:rsidRDefault="00413980" w:rsidP="00413980">
      <w:pPr>
        <w:pStyle w:val="A"/>
      </w:pPr>
      <w:r w:rsidRPr="00E904C3">
        <w:t>P.</w:t>
      </w:r>
      <w:r>
        <w:tab/>
      </w:r>
      <w:r w:rsidRPr="00E904C3">
        <w:t>All of the following requirements apply to the control and disposal of trash, litter, and waste in areas used for covered activities:</w:t>
      </w:r>
    </w:p>
    <w:p w14:paraId="1ADDBA80" w14:textId="77777777" w:rsidR="00413980" w:rsidRPr="00E904C3" w:rsidRDefault="00413980" w:rsidP="00413980">
      <w:pPr>
        <w:pStyle w:val="1"/>
      </w:pPr>
      <w:r w:rsidRPr="00E904C3">
        <w:t>1.</w:t>
      </w:r>
      <w:r>
        <w:tab/>
      </w:r>
      <w:r w:rsidRPr="00E904C3">
        <w:t>Trash, litter, and waste shall be conveyed, stored, and disposed to:</w:t>
      </w:r>
    </w:p>
    <w:p w14:paraId="47487B8B" w14:textId="77777777" w:rsidR="00413980" w:rsidRPr="00E904C3" w:rsidRDefault="00413980" w:rsidP="00413980">
      <w:pPr>
        <w:pStyle w:val="a0"/>
      </w:pPr>
      <w:r w:rsidRPr="00E904C3">
        <w:t>a.</w:t>
      </w:r>
      <w:r>
        <w:tab/>
      </w:r>
      <w:r w:rsidRPr="00E904C3">
        <w:t xml:space="preserve">minimize the potential for trash, litter, or waste to attract or harbor pests; and </w:t>
      </w:r>
    </w:p>
    <w:p w14:paraId="42B8626E" w14:textId="77777777" w:rsidR="00413980" w:rsidRPr="00E904C3" w:rsidRDefault="00413980" w:rsidP="00413980">
      <w:pPr>
        <w:pStyle w:val="a0"/>
      </w:pPr>
      <w:r w:rsidRPr="00E904C3">
        <w:t>b.</w:t>
      </w:r>
      <w:r>
        <w:tab/>
      </w:r>
      <w:r w:rsidRPr="00E904C3">
        <w:t xml:space="preserve">protect against contamination of covered produce, food contact surfaces, areas used for a covered activity, agricultural water sources, and agricultural water distribution systems with known or reasonably foreseeable hazards. </w:t>
      </w:r>
    </w:p>
    <w:p w14:paraId="36A4F51F" w14:textId="77777777" w:rsidR="00413980" w:rsidRPr="00E904C3" w:rsidRDefault="00413980" w:rsidP="00413980">
      <w:pPr>
        <w:pStyle w:val="1"/>
      </w:pPr>
      <w:r w:rsidRPr="00E904C3">
        <w:t>2.</w:t>
      </w:r>
      <w:r w:rsidRPr="00E904C3">
        <w:tab/>
        <w:t>Systems for waste treatment and disposal shall be adequately operated so that they do not constitute a potential source of contamination in areas used for a covered activity.</w:t>
      </w:r>
    </w:p>
    <w:p w14:paraId="715C73F6" w14:textId="77777777" w:rsidR="00413980" w:rsidRPr="00E904C3" w:rsidRDefault="00413980" w:rsidP="00413980">
      <w:pPr>
        <w:pStyle w:val="A"/>
      </w:pPr>
      <w:r w:rsidRPr="00E904C3">
        <w:t>Q.</w:t>
      </w:r>
      <w:r w:rsidRPr="00E904C3">
        <w:tab/>
        <w:t>The plumbing shall be of an adequate size and design and be adequately installed and maintained to:</w:t>
      </w:r>
    </w:p>
    <w:p w14:paraId="02D98C12" w14:textId="77777777" w:rsidR="00413980" w:rsidRPr="00E904C3" w:rsidRDefault="00413980" w:rsidP="00413980">
      <w:pPr>
        <w:pStyle w:val="1"/>
      </w:pPr>
      <w:r w:rsidRPr="00E904C3">
        <w:t>1.</w:t>
      </w:r>
      <w:r>
        <w:tab/>
      </w:r>
      <w:r w:rsidRPr="00E904C3">
        <w:t xml:space="preserve">distribute water under pressure as needed, in sufficient quantities, in all areas where used for covered activities, for sanitary operations, or for hand-washing and toilet facilities; </w:t>
      </w:r>
    </w:p>
    <w:p w14:paraId="6EDF50FF" w14:textId="77777777" w:rsidR="00413980" w:rsidRPr="00E904C3" w:rsidRDefault="00413980" w:rsidP="00413980">
      <w:pPr>
        <w:pStyle w:val="1"/>
      </w:pPr>
      <w:r w:rsidRPr="00E904C3">
        <w:t>2.</w:t>
      </w:r>
      <w:r>
        <w:tab/>
      </w:r>
      <w:r w:rsidRPr="00E904C3">
        <w:t xml:space="preserve">properly convey sewage and liquid disposable waste; </w:t>
      </w:r>
    </w:p>
    <w:p w14:paraId="08334B44" w14:textId="77777777" w:rsidR="00413980" w:rsidRPr="00E904C3" w:rsidRDefault="00413980" w:rsidP="00413980">
      <w:pPr>
        <w:pStyle w:val="1"/>
      </w:pPr>
      <w:r w:rsidRPr="00E904C3">
        <w:t>3.</w:t>
      </w:r>
      <w:r w:rsidRPr="00E904C3">
        <w:tab/>
        <w:t xml:space="preserve">avoid being a source of contamination to covered produce, food contact surfaces, areas used for a covered activity, or agricultural water sources; and </w:t>
      </w:r>
    </w:p>
    <w:p w14:paraId="32DB273A" w14:textId="77777777" w:rsidR="00413980" w:rsidRPr="00E904C3" w:rsidRDefault="00413980" w:rsidP="00413980">
      <w:pPr>
        <w:pStyle w:val="1"/>
      </w:pPr>
      <w:r w:rsidRPr="00E904C3">
        <w:t>4.</w:t>
      </w:r>
      <w:r w:rsidRPr="00E904C3">
        <w:tab/>
        <w:t xml:space="preserve">not allow backflow from, or cross connection between, piping systems that discharge waste water or sewage and piping systems that carry water used for a covered activity, for sanitary operations, or for use in hand-washing facilities. </w:t>
      </w:r>
    </w:p>
    <w:p w14:paraId="1C7CA667" w14:textId="77777777" w:rsidR="00413980" w:rsidRDefault="00413980" w:rsidP="00413980">
      <w:pPr>
        <w:pStyle w:val="A"/>
      </w:pPr>
      <w:r w:rsidRPr="00E904C3">
        <w:t>R.</w:t>
      </w:r>
      <w:r w:rsidRPr="00E904C3">
        <w:tab/>
        <w:t xml:space="preserve">If domesticated animals are present, their excreta and litter shall be adequately controlled and a system for control thereof shall be maintained in order to prevent contamination of covered produce, food contact areas used for a covered activity, agricultural water sources, or agricultural water distribution systems with animal waste. </w:t>
      </w:r>
    </w:p>
    <w:p w14:paraId="75087815" w14:textId="77777777" w:rsidR="00413980" w:rsidRPr="00E904C3" w:rsidRDefault="00413980" w:rsidP="00413980">
      <w:pPr>
        <w:pStyle w:val="AuthorityNote"/>
      </w:pPr>
      <w:r w:rsidRPr="00E904C3">
        <w:t>AUTHORITY NOTE:</w:t>
      </w:r>
      <w:r w:rsidRPr="00E904C3">
        <w:tab/>
        <w:t>Promulgated in accordance with R.S 3:922 and 923.</w:t>
      </w:r>
    </w:p>
    <w:p w14:paraId="60F3C672"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14:paraId="0310F755" w14:textId="77777777" w:rsidR="00413980" w:rsidRDefault="00413980" w:rsidP="00413980">
      <w:pPr>
        <w:pStyle w:val="Section"/>
      </w:pPr>
      <w:bookmarkStart w:id="787" w:name="_Toc224818640"/>
      <w:r w:rsidRPr="00E904C3">
        <w:t>§1219.</w:t>
      </w:r>
      <w:r w:rsidRPr="00E904C3">
        <w:tab/>
        <w:t>Sprouts</w:t>
      </w:r>
      <w:bookmarkEnd w:id="787"/>
      <w:r w:rsidRPr="00E904C3">
        <w:t xml:space="preserve"> </w:t>
      </w:r>
    </w:p>
    <w:p w14:paraId="3CED2B48" w14:textId="77777777" w:rsidR="00413980" w:rsidRDefault="00413980" w:rsidP="00413980">
      <w:pPr>
        <w:pStyle w:val="A"/>
      </w:pPr>
      <w:r>
        <w:t>Reserved.</w:t>
      </w:r>
    </w:p>
    <w:p w14:paraId="71A233DC" w14:textId="77777777" w:rsidR="00413980" w:rsidRPr="00E904C3" w:rsidRDefault="00413980" w:rsidP="00413980">
      <w:pPr>
        <w:pStyle w:val="AuthorityNote"/>
      </w:pPr>
      <w:r w:rsidRPr="00E904C3">
        <w:t>AUTHORITY NOTE:</w:t>
      </w:r>
      <w:r w:rsidRPr="00E904C3">
        <w:tab/>
        <w:t>Promulgated in accordance with R.S 3:922 and 923.</w:t>
      </w:r>
    </w:p>
    <w:p w14:paraId="76AC736F"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14:paraId="50D5548C" w14:textId="77777777" w:rsidR="00413980" w:rsidRDefault="00413980" w:rsidP="00413980">
      <w:pPr>
        <w:pStyle w:val="Section"/>
      </w:pPr>
      <w:bookmarkStart w:id="788" w:name="_Toc224818641"/>
      <w:r w:rsidRPr="00E904C3">
        <w:t>§1221.</w:t>
      </w:r>
      <w:r w:rsidRPr="00E904C3">
        <w:tab/>
        <w:t>Registration of Farms</w:t>
      </w:r>
      <w:bookmarkEnd w:id="788"/>
    </w:p>
    <w:p w14:paraId="23195601" w14:textId="77777777" w:rsidR="00413980" w:rsidRPr="00E904C3" w:rsidRDefault="00413980" w:rsidP="00413980">
      <w:pPr>
        <w:pStyle w:val="A"/>
      </w:pPr>
      <w:r w:rsidRPr="00E904C3">
        <w:t>A.</w:t>
      </w:r>
      <w:r>
        <w:tab/>
      </w:r>
      <w:r w:rsidRPr="00E904C3">
        <w:t>Every covered produce farm, as defined within this Chapter, whose annual gross produce sales is $25,000 or more over a period of three consecutive years shall:</w:t>
      </w:r>
    </w:p>
    <w:p w14:paraId="1E05215B" w14:textId="77777777" w:rsidR="00413980" w:rsidRPr="00E904C3" w:rsidRDefault="00413980" w:rsidP="00413980">
      <w:pPr>
        <w:pStyle w:val="1"/>
      </w:pPr>
      <w:r w:rsidRPr="00E904C3">
        <w:t>1.</w:t>
      </w:r>
      <w:r>
        <w:tab/>
      </w:r>
      <w:r w:rsidRPr="00E904C3">
        <w:t xml:space="preserve"> register with the </w:t>
      </w:r>
      <w:r>
        <w:t>d</w:t>
      </w:r>
      <w:r w:rsidRPr="00E904C3">
        <w:t xml:space="preserve">epartment in accordance with this Chapter on an annual basis no later than July 1 of each year; and </w:t>
      </w:r>
    </w:p>
    <w:p w14:paraId="45DD745A" w14:textId="77777777" w:rsidR="00413980" w:rsidRDefault="00413980" w:rsidP="00413980">
      <w:pPr>
        <w:pStyle w:val="1"/>
      </w:pPr>
      <w:r w:rsidRPr="00E904C3">
        <w:t>2.</w:t>
      </w:r>
      <w:r>
        <w:tab/>
      </w:r>
      <w:r w:rsidRPr="00E904C3">
        <w:t xml:space="preserve">update the registration with the </w:t>
      </w:r>
      <w:r>
        <w:t>d</w:t>
      </w:r>
      <w:r w:rsidRPr="00E904C3">
        <w:t xml:space="preserve">epartment within 90 day of any changes in activity on the covered produce farm. </w:t>
      </w:r>
    </w:p>
    <w:p w14:paraId="5BC587CC" w14:textId="77777777" w:rsidR="00413980" w:rsidRPr="00E904C3" w:rsidRDefault="00413980" w:rsidP="00413980">
      <w:pPr>
        <w:pStyle w:val="AuthorityNote"/>
      </w:pPr>
      <w:r w:rsidRPr="00E904C3">
        <w:t>AUTHORITY NOTE:</w:t>
      </w:r>
      <w:r w:rsidRPr="00E904C3">
        <w:tab/>
        <w:t xml:space="preserve">Promulgated in accordance with R.S. 3:922, 923 and 924. </w:t>
      </w:r>
    </w:p>
    <w:p w14:paraId="43F7748D"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14:paraId="073F1E17" w14:textId="77777777" w:rsidR="00413980" w:rsidRDefault="00413980" w:rsidP="00413980">
      <w:pPr>
        <w:pStyle w:val="Section"/>
      </w:pPr>
      <w:bookmarkStart w:id="789" w:name="_Toc224818642"/>
      <w:r w:rsidRPr="00E904C3">
        <w:t>§1223.</w:t>
      </w:r>
      <w:r w:rsidRPr="00E904C3">
        <w:tab/>
        <w:t>Records</w:t>
      </w:r>
      <w:bookmarkEnd w:id="789"/>
    </w:p>
    <w:p w14:paraId="1B721C2B" w14:textId="77777777" w:rsidR="00413980" w:rsidRPr="00E904C3" w:rsidRDefault="00413980" w:rsidP="00413980">
      <w:pPr>
        <w:pStyle w:val="A"/>
      </w:pPr>
      <w:r w:rsidRPr="00E904C3">
        <w:t>A.</w:t>
      </w:r>
      <w:r>
        <w:tab/>
      </w:r>
      <w:r w:rsidRPr="00E904C3">
        <w:t>Except as otherwise specified herein, all records req</w:t>
      </w:r>
      <w:r>
        <w:t>uired under this Chapter shall:</w:t>
      </w:r>
    </w:p>
    <w:p w14:paraId="03AF5FDD" w14:textId="77777777" w:rsidR="00413980" w:rsidRPr="00E904C3" w:rsidRDefault="00413980" w:rsidP="00413980">
      <w:pPr>
        <w:pStyle w:val="1"/>
      </w:pPr>
      <w:r w:rsidRPr="00E904C3">
        <w:t>1.</w:t>
      </w:r>
      <w:r>
        <w:tab/>
      </w:r>
      <w:r w:rsidRPr="00E904C3">
        <w:t xml:space="preserve">include, as applicable: </w:t>
      </w:r>
    </w:p>
    <w:p w14:paraId="79FD4446" w14:textId="77777777" w:rsidR="00413980" w:rsidRPr="00E904C3" w:rsidRDefault="00413980" w:rsidP="00413980">
      <w:pPr>
        <w:pStyle w:val="a0"/>
      </w:pPr>
      <w:r w:rsidRPr="00E904C3">
        <w:t>a.</w:t>
      </w:r>
      <w:r w:rsidRPr="00E904C3">
        <w:tab/>
        <w:t xml:space="preserve">the name and location of the covered produce farm; </w:t>
      </w:r>
    </w:p>
    <w:p w14:paraId="04312AF8" w14:textId="77777777" w:rsidR="00413980" w:rsidRPr="00E904C3" w:rsidRDefault="00413980" w:rsidP="00413980">
      <w:pPr>
        <w:pStyle w:val="a0"/>
      </w:pPr>
      <w:r w:rsidRPr="00E904C3">
        <w:t>b.</w:t>
      </w:r>
      <w:r>
        <w:tab/>
      </w:r>
      <w:r w:rsidRPr="00E904C3">
        <w:t xml:space="preserve">actual values and observations obtained during monitoring; </w:t>
      </w:r>
    </w:p>
    <w:p w14:paraId="6D4A112E" w14:textId="77777777" w:rsidR="00413980" w:rsidRPr="00E904C3" w:rsidRDefault="00413980" w:rsidP="00413980">
      <w:pPr>
        <w:pStyle w:val="a0"/>
      </w:pPr>
      <w:r w:rsidRPr="00E904C3">
        <w:t>c.</w:t>
      </w:r>
      <w:r>
        <w:tab/>
      </w:r>
      <w:r w:rsidRPr="00E904C3">
        <w:t>an adequate description, such as the commodity name, or the specific variety or brand name of a commodity, and, when available, any lot number or other identifier, of covered produce applicable to the record; and</w:t>
      </w:r>
    </w:p>
    <w:p w14:paraId="4D820E8A" w14:textId="77777777" w:rsidR="00413980" w:rsidRPr="00E904C3" w:rsidRDefault="00413980" w:rsidP="00413980">
      <w:pPr>
        <w:pStyle w:val="a0"/>
      </w:pPr>
      <w:r w:rsidRPr="00E904C3">
        <w:t>d.</w:t>
      </w:r>
      <w:r>
        <w:tab/>
      </w:r>
      <w:r w:rsidRPr="00E904C3">
        <w:t xml:space="preserve">the date and time of the activity documented; </w:t>
      </w:r>
    </w:p>
    <w:p w14:paraId="1174B5A7" w14:textId="77777777" w:rsidR="00413980" w:rsidRPr="00E904C3" w:rsidRDefault="00413980" w:rsidP="00413980">
      <w:pPr>
        <w:pStyle w:val="1"/>
      </w:pPr>
      <w:r w:rsidRPr="00E904C3">
        <w:t>2.</w:t>
      </w:r>
      <w:r>
        <w:tab/>
      </w:r>
      <w:r w:rsidRPr="00E904C3">
        <w:t xml:space="preserve">be created at the time an activity is performed or observed; </w:t>
      </w:r>
    </w:p>
    <w:p w14:paraId="45698243" w14:textId="77777777" w:rsidR="00413980" w:rsidRPr="00E904C3" w:rsidRDefault="00413980" w:rsidP="00413980">
      <w:pPr>
        <w:pStyle w:val="1"/>
      </w:pPr>
      <w:r w:rsidRPr="00E904C3">
        <w:t>3.</w:t>
      </w:r>
      <w:r>
        <w:tab/>
      </w:r>
      <w:r w:rsidRPr="00E904C3">
        <w:t xml:space="preserve">be accurate, legible, and indelible; and </w:t>
      </w:r>
    </w:p>
    <w:p w14:paraId="7BB71FD3" w14:textId="77777777" w:rsidR="00413980" w:rsidRPr="00E904C3" w:rsidRDefault="00413980" w:rsidP="00413980">
      <w:pPr>
        <w:pStyle w:val="1"/>
      </w:pPr>
      <w:r w:rsidRPr="00E904C3">
        <w:t>4.</w:t>
      </w:r>
      <w:r>
        <w:tab/>
      </w:r>
      <w:r w:rsidRPr="00E904C3">
        <w:t xml:space="preserve">be dated, and signed or initialed by the person who performed the activity documented. </w:t>
      </w:r>
    </w:p>
    <w:p w14:paraId="3B4CD98A" w14:textId="77777777" w:rsidR="00413980" w:rsidRPr="00E904C3" w:rsidRDefault="00413980" w:rsidP="00413980">
      <w:pPr>
        <w:pStyle w:val="A"/>
      </w:pPr>
      <w:r w:rsidRPr="00E904C3">
        <w:t>B.</w:t>
      </w:r>
      <w:r>
        <w:tab/>
      </w:r>
      <w:r w:rsidRPr="00E904C3">
        <w:t xml:space="preserve">Records required under this Chapter shall be reviewed, dated, and signed, within a reasonable time after the records are made, by a supervisor or responsible party. </w:t>
      </w:r>
    </w:p>
    <w:p w14:paraId="0E424E97" w14:textId="77777777" w:rsidR="00413980" w:rsidRPr="00E904C3" w:rsidRDefault="00413980" w:rsidP="00413980">
      <w:pPr>
        <w:pStyle w:val="A"/>
      </w:pPr>
      <w:r w:rsidRPr="00E904C3">
        <w:t>C.</w:t>
      </w:r>
      <w:r>
        <w:tab/>
      </w:r>
      <w:r w:rsidRPr="00E904C3">
        <w:t>Offsite storage of records is permitted if such records can be retrieved and provided onsite within 24 hours of request for official review.</w:t>
      </w:r>
    </w:p>
    <w:p w14:paraId="20CDA6F6" w14:textId="77777777" w:rsidR="00413980" w:rsidRPr="00E904C3" w:rsidRDefault="00413980" w:rsidP="00413980">
      <w:pPr>
        <w:pStyle w:val="A"/>
      </w:pPr>
      <w:r w:rsidRPr="00E904C3">
        <w:t>D.</w:t>
      </w:r>
      <w:r>
        <w:tab/>
      </w:r>
      <w:r w:rsidRPr="00E904C3">
        <w:t>Electronic records are considered to be onsite at a covered produce farm if they are accessible from an onsite location at that farm.</w:t>
      </w:r>
    </w:p>
    <w:p w14:paraId="0C8AF660" w14:textId="77777777" w:rsidR="00413980" w:rsidRPr="00E904C3" w:rsidRDefault="00413980" w:rsidP="00413980">
      <w:pPr>
        <w:pStyle w:val="A"/>
      </w:pPr>
      <w:r w:rsidRPr="00E904C3">
        <w:t>E.</w:t>
      </w:r>
      <w:r>
        <w:tab/>
      </w:r>
      <w:r w:rsidRPr="00E904C3">
        <w:t xml:space="preserve">Existing records (e.g., records that are kept to comply with other federal, state, or local regulations, or for any other reason) do not need to be duplicated if they contain all of the required information and satisfy the requirements of this Chapter. Existing records may be supplemented as necessary to include all of the required information and satisfy the requirements of this Chapter. </w:t>
      </w:r>
    </w:p>
    <w:p w14:paraId="4A1A6D88" w14:textId="77777777" w:rsidR="00413980" w:rsidRPr="00E904C3" w:rsidRDefault="00413980" w:rsidP="00413980">
      <w:pPr>
        <w:pStyle w:val="A"/>
      </w:pPr>
      <w:r w:rsidRPr="00E904C3">
        <w:t>F.</w:t>
      </w:r>
      <w:r>
        <w:tab/>
      </w:r>
      <w:r w:rsidRPr="00E904C3">
        <w:t xml:space="preserve">The information required by this Chapter does not need to be kept in one set of records. If existing records contain some of the required information, any new information </w:t>
      </w:r>
      <w:r w:rsidRPr="00E904C3">
        <w:lastRenderedPageBreak/>
        <w:t xml:space="preserve">required by this Chapter may be kept either separately or combined with the existing records. </w:t>
      </w:r>
    </w:p>
    <w:p w14:paraId="72E8DE22" w14:textId="77777777" w:rsidR="00413980" w:rsidRPr="00E904C3" w:rsidRDefault="00413980" w:rsidP="00413980">
      <w:pPr>
        <w:pStyle w:val="A"/>
      </w:pPr>
      <w:r w:rsidRPr="00E904C3">
        <w:t>G.</w:t>
      </w:r>
      <w:r>
        <w:tab/>
      </w:r>
      <w:r w:rsidRPr="00E904C3">
        <w:t>Records required by this Chapter shall be kept for at least two years past the date the record was created.</w:t>
      </w:r>
    </w:p>
    <w:p w14:paraId="6A9EB57C" w14:textId="77777777" w:rsidR="00413980" w:rsidRPr="00E904C3" w:rsidRDefault="00413980" w:rsidP="00413980">
      <w:pPr>
        <w:pStyle w:val="A"/>
      </w:pPr>
      <w:r w:rsidRPr="00E904C3">
        <w:t>H.</w:t>
      </w:r>
      <w:r>
        <w:tab/>
      </w:r>
      <w:r w:rsidRPr="00E904C3">
        <w:t>Records that a farm relies on during the three-year period preceding the applicable calendar year to satisfy the criteria for a qualified exemption, in accordance with 21 CFR §112.5 and §112.7, shall be retained as long as necessary to support the farm’s status during the applicable calendar year.</w:t>
      </w:r>
    </w:p>
    <w:p w14:paraId="65A54F0E" w14:textId="77777777" w:rsidR="00413980" w:rsidRPr="00E904C3" w:rsidRDefault="00413980" w:rsidP="00413980">
      <w:pPr>
        <w:pStyle w:val="A"/>
      </w:pPr>
      <w:r w:rsidRPr="00E904C3">
        <w:t>I.</w:t>
      </w:r>
      <w:r>
        <w:tab/>
      </w:r>
      <w:r w:rsidRPr="00E904C3">
        <w:t xml:space="preserve">Records that relate to the general adequacy of the equipment or processes or records that relate to analyses, sampling, or action plans being used by a farm, including the results of scientific studies, tests, and evaluations, shall be retained at the farm for at least two years after the use of such equipment or processes, or records related to analyses, sampling, or action plans, is discontinued. </w:t>
      </w:r>
    </w:p>
    <w:p w14:paraId="11D6B357" w14:textId="77777777" w:rsidR="00413980" w:rsidRPr="00E904C3" w:rsidRDefault="00413980" w:rsidP="00413980">
      <w:pPr>
        <w:pStyle w:val="A"/>
      </w:pPr>
      <w:r w:rsidRPr="00E904C3">
        <w:t>J.</w:t>
      </w:r>
      <w:r>
        <w:tab/>
      </w:r>
      <w:r w:rsidRPr="00E904C3">
        <w:t>Records shall be kept as:</w:t>
      </w:r>
    </w:p>
    <w:p w14:paraId="74AACF9E" w14:textId="77777777" w:rsidR="00413980" w:rsidRPr="00E904C3" w:rsidRDefault="00413980" w:rsidP="00413980">
      <w:pPr>
        <w:pStyle w:val="1"/>
      </w:pPr>
      <w:r w:rsidRPr="00E904C3">
        <w:t>1.</w:t>
      </w:r>
      <w:r>
        <w:tab/>
      </w:r>
      <w:r w:rsidRPr="00E904C3">
        <w:t xml:space="preserve">original records; </w:t>
      </w:r>
    </w:p>
    <w:p w14:paraId="57EBD762" w14:textId="77777777" w:rsidR="00413980" w:rsidRPr="00E904C3" w:rsidRDefault="00413980" w:rsidP="00413980">
      <w:pPr>
        <w:pStyle w:val="1"/>
      </w:pPr>
      <w:r w:rsidRPr="00E904C3">
        <w:t>2.</w:t>
      </w:r>
      <w:r>
        <w:tab/>
      </w:r>
      <w:r w:rsidRPr="00E904C3">
        <w:t>true copies, such as photocopies, pictures, scanned copies, microfilm, microfiche, or other accurate reproductions of the original records; or</w:t>
      </w:r>
    </w:p>
    <w:p w14:paraId="0DB2B587" w14:textId="77777777" w:rsidR="00413980" w:rsidRPr="00E904C3" w:rsidRDefault="00413980" w:rsidP="00413980">
      <w:pPr>
        <w:pStyle w:val="1"/>
      </w:pPr>
      <w:r w:rsidRPr="00E904C3">
        <w:t>3.</w:t>
      </w:r>
      <w:r>
        <w:tab/>
      </w:r>
      <w:r w:rsidRPr="00E904C3">
        <w:t xml:space="preserve">electronic records. </w:t>
      </w:r>
    </w:p>
    <w:p w14:paraId="1BEAB73D" w14:textId="77777777" w:rsidR="00413980" w:rsidRPr="00E904C3" w:rsidRDefault="00413980" w:rsidP="00413980">
      <w:pPr>
        <w:pStyle w:val="A"/>
      </w:pPr>
      <w:r w:rsidRPr="00E904C3">
        <w:t>K.</w:t>
      </w:r>
      <w:r>
        <w:tab/>
      </w:r>
      <w:r w:rsidRPr="00E904C3">
        <w:t xml:space="preserve">All records required under this Chapter shall be readily available and accessible during the retention period for inspection and copying by the </w:t>
      </w:r>
      <w:r>
        <w:t>department</w:t>
      </w:r>
      <w:r w:rsidRPr="00E904C3">
        <w:t xml:space="preserve"> upon oral or written request, except that records kept offsite shall be maintained so that they are obtainable within 24 hours and shall be made available and accessible to the </w:t>
      </w:r>
      <w:r>
        <w:t>department</w:t>
      </w:r>
      <w:r w:rsidRPr="00E904C3">
        <w:t xml:space="preserve"> for inspection and copying. </w:t>
      </w:r>
    </w:p>
    <w:p w14:paraId="168465AC" w14:textId="77777777" w:rsidR="00413980" w:rsidRPr="00E904C3" w:rsidRDefault="00413980" w:rsidP="00413980">
      <w:pPr>
        <w:pStyle w:val="A"/>
      </w:pPr>
      <w:r w:rsidRPr="00E904C3">
        <w:t>L.</w:t>
      </w:r>
      <w:r>
        <w:tab/>
      </w:r>
      <w:r w:rsidRPr="00E904C3">
        <w:t xml:space="preserve">If electronic techniques are used to keep records, or to keep true copies of records, of if reduction techniques are used, such as microfilm to keep true copies of records, the records shall be provided to the </w:t>
      </w:r>
      <w:r>
        <w:t>d</w:t>
      </w:r>
      <w:r w:rsidRPr="00E904C3">
        <w:t xml:space="preserve">epartment in a format in which they are accessible and legible. </w:t>
      </w:r>
    </w:p>
    <w:p w14:paraId="703D2809" w14:textId="77777777" w:rsidR="00413980" w:rsidRDefault="00413980" w:rsidP="00413980">
      <w:pPr>
        <w:pStyle w:val="A"/>
      </w:pPr>
      <w:r w:rsidRPr="00E904C3">
        <w:t>M.</w:t>
      </w:r>
      <w:r>
        <w:tab/>
      </w:r>
      <w:r w:rsidRPr="00E904C3">
        <w:t xml:space="preserve">If a covered produce farm is closed for a prolonged period, the records may be transferred to some other reasonably accessible location, but shall be returned to that farm within 24 hours for official review upon request. </w:t>
      </w:r>
    </w:p>
    <w:p w14:paraId="7535D614" w14:textId="77777777" w:rsidR="00413980" w:rsidRPr="00E904C3" w:rsidRDefault="00413980" w:rsidP="00413980">
      <w:pPr>
        <w:pStyle w:val="AuthorityNote"/>
      </w:pPr>
      <w:r w:rsidRPr="00E904C3">
        <w:t>AUTHORITY NOTE:</w:t>
      </w:r>
      <w:r w:rsidRPr="00E904C3">
        <w:tab/>
        <w:t>Promulgated in accordance with R.S 3:922, 923, and 924.</w:t>
      </w:r>
    </w:p>
    <w:p w14:paraId="2D62C45D"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14:paraId="4113EA71" w14:textId="77777777" w:rsidR="00413980" w:rsidRPr="00E904C3" w:rsidRDefault="00413980" w:rsidP="00413980">
      <w:pPr>
        <w:pStyle w:val="Section"/>
      </w:pPr>
      <w:bookmarkStart w:id="790" w:name="_Toc224818643"/>
      <w:r w:rsidRPr="00E904C3">
        <w:t>§1225.</w:t>
      </w:r>
      <w:r w:rsidRPr="00E904C3">
        <w:tab/>
        <w:t>Reports</w:t>
      </w:r>
      <w:bookmarkEnd w:id="790"/>
      <w:r w:rsidRPr="00E904C3">
        <w:t xml:space="preserve"> </w:t>
      </w:r>
    </w:p>
    <w:p w14:paraId="3415D5E8" w14:textId="77777777" w:rsidR="00413980" w:rsidRPr="00E904C3" w:rsidRDefault="00413980" w:rsidP="00413980">
      <w:pPr>
        <w:pStyle w:val="A"/>
      </w:pPr>
      <w:r w:rsidRPr="00E904C3">
        <w:rPr>
          <w:color w:val="000000"/>
        </w:rPr>
        <w:t>A.</w:t>
      </w:r>
      <w:r w:rsidRPr="00E904C3">
        <w:rPr>
          <w:color w:val="000000"/>
        </w:rPr>
        <w:tab/>
      </w:r>
      <w:r w:rsidRPr="00E904C3">
        <w:t xml:space="preserve">Every covered produce farm, as defined within this Chapter shall timely file an annual report with the </w:t>
      </w:r>
      <w:r>
        <w:t>department</w:t>
      </w:r>
      <w:r w:rsidRPr="00E904C3">
        <w:t>, by no later than June 1 every year.</w:t>
      </w:r>
      <w:r>
        <w:t xml:space="preserve"> </w:t>
      </w:r>
    </w:p>
    <w:p w14:paraId="44BBEB7D" w14:textId="77777777" w:rsidR="00413980" w:rsidRPr="00E904C3" w:rsidRDefault="00413980" w:rsidP="00413980">
      <w:pPr>
        <w:pStyle w:val="A"/>
      </w:pPr>
      <w:r w:rsidRPr="00E904C3">
        <w:t>B.</w:t>
      </w:r>
      <w:r>
        <w:tab/>
      </w:r>
      <w:r w:rsidRPr="00E904C3">
        <w:t xml:space="preserve">The </w:t>
      </w:r>
      <w:r>
        <w:t>department</w:t>
      </w:r>
      <w:r w:rsidRPr="00E904C3">
        <w:t xml:space="preserve"> will send annual report forms to covered produce farms by U.S. Mail or email, to be completed and returned to the </w:t>
      </w:r>
      <w:r>
        <w:t>department</w:t>
      </w:r>
      <w:r w:rsidRPr="00E904C3">
        <w:t xml:space="preserve">. </w:t>
      </w:r>
    </w:p>
    <w:p w14:paraId="7845FBD0" w14:textId="77777777" w:rsidR="00413980" w:rsidRPr="00E904C3" w:rsidRDefault="00413980" w:rsidP="00413980">
      <w:pPr>
        <w:pStyle w:val="AuthorityNote"/>
      </w:pPr>
      <w:r w:rsidRPr="00E904C3">
        <w:t>AUTHORITY NOTE:</w:t>
      </w:r>
      <w:r w:rsidRPr="00E904C3">
        <w:tab/>
        <w:t>Promulgated in accordance with R.S 3:922 and 923.</w:t>
      </w:r>
    </w:p>
    <w:p w14:paraId="2FDA5FDC"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402</w:t>
      </w:r>
      <w:r w:rsidRPr="00A71556">
        <w:t xml:space="preserve"> (March 2022).</w:t>
      </w:r>
    </w:p>
    <w:p w14:paraId="679C5A27" w14:textId="77777777" w:rsidR="00413980" w:rsidRDefault="00413980" w:rsidP="00413980">
      <w:pPr>
        <w:pStyle w:val="Section"/>
      </w:pPr>
      <w:bookmarkStart w:id="791" w:name="_Toc224818644"/>
      <w:r w:rsidRPr="00E904C3">
        <w:t>§1227.</w:t>
      </w:r>
      <w:r w:rsidRPr="00E904C3">
        <w:tab/>
        <w:t>Stop Orders</w:t>
      </w:r>
      <w:bookmarkEnd w:id="791"/>
    </w:p>
    <w:p w14:paraId="743B8533" w14:textId="77777777" w:rsidR="00413980" w:rsidRPr="00E904C3" w:rsidRDefault="00413980" w:rsidP="00413980">
      <w:pPr>
        <w:pStyle w:val="A"/>
      </w:pPr>
      <w:r w:rsidRPr="00E904C3">
        <w:t>A.</w:t>
      </w:r>
      <w:r>
        <w:tab/>
      </w:r>
      <w:r w:rsidRPr="00E904C3">
        <w:t xml:space="preserve">The </w:t>
      </w:r>
      <w:r>
        <w:t>department</w:t>
      </w:r>
      <w:r w:rsidRPr="00E904C3">
        <w:t xml:space="preserve"> or its authorized representative(s) shall have the right to enter any covered produce farm to inspect that facility and any records pertaining to the growing, harvesting, packing, or holding of covered produce.</w:t>
      </w:r>
    </w:p>
    <w:p w14:paraId="2A71D91C" w14:textId="77777777" w:rsidR="00413980" w:rsidRPr="00E904C3" w:rsidRDefault="00413980" w:rsidP="00413980">
      <w:pPr>
        <w:pStyle w:val="A"/>
      </w:pPr>
      <w:r w:rsidRPr="00E904C3">
        <w:t>B.</w:t>
      </w:r>
      <w:r>
        <w:tab/>
      </w:r>
      <w:r w:rsidRPr="00E904C3">
        <w:t xml:space="preserve">The </w:t>
      </w:r>
      <w:r>
        <w:t>department</w:t>
      </w:r>
      <w:r w:rsidRPr="00E904C3">
        <w:t xml:space="preserve"> or its authorized representative(s) may, while enforcing the provisions of this Chapter, issue and enforce a written, printed or stamped stop order to prevent covered produce from being sold, shipped or removed from the premises where they are found if:</w:t>
      </w:r>
    </w:p>
    <w:p w14:paraId="6CA2CA15" w14:textId="77777777" w:rsidR="00413980" w:rsidRPr="00E904C3" w:rsidRDefault="00413980" w:rsidP="00413980">
      <w:pPr>
        <w:pStyle w:val="1"/>
      </w:pPr>
      <w:r>
        <w:t>1.</w:t>
      </w:r>
      <w:r>
        <w:tab/>
      </w:r>
      <w:r w:rsidRPr="00E904C3">
        <w:t xml:space="preserve">the </w:t>
      </w:r>
      <w:r>
        <w:t>department</w:t>
      </w:r>
      <w:r w:rsidRPr="00E904C3">
        <w:t>’s</w:t>
      </w:r>
      <w:r>
        <w:t xml:space="preserve"> </w:t>
      </w:r>
      <w:r w:rsidRPr="00E904C3">
        <w:t xml:space="preserve">authorized representative has been refused the right to enter the premises where the covered produce has been grown, harvested, packed, or held; or </w:t>
      </w:r>
    </w:p>
    <w:p w14:paraId="3C2F6956" w14:textId="77777777" w:rsidR="00413980" w:rsidRPr="00E904C3" w:rsidRDefault="00413980" w:rsidP="00413980">
      <w:pPr>
        <w:pStyle w:val="1"/>
      </w:pPr>
      <w:r>
        <w:t>2.</w:t>
      </w:r>
      <w:r>
        <w:tab/>
      </w:r>
      <w:r w:rsidRPr="00E904C3">
        <w:t>the covered produce farm is in violation of this Chapter;</w:t>
      </w:r>
    </w:p>
    <w:p w14:paraId="01E8DCB1" w14:textId="77777777" w:rsidR="00413980" w:rsidRPr="00E904C3" w:rsidRDefault="00413980" w:rsidP="00413980">
      <w:pPr>
        <w:pStyle w:val="A"/>
      </w:pPr>
      <w:r w:rsidRPr="00E904C3">
        <w:t>C.</w:t>
      </w:r>
      <w:r>
        <w:tab/>
      </w:r>
      <w:r w:rsidRPr="00E904C3">
        <w:t xml:space="preserve">Upon issuance of a stop order, the </w:t>
      </w:r>
      <w:r>
        <w:t>department</w:t>
      </w:r>
      <w:r w:rsidRPr="00E904C3">
        <w:t xml:space="preserve"> may:</w:t>
      </w:r>
    </w:p>
    <w:p w14:paraId="5D671A9C" w14:textId="77777777" w:rsidR="00413980" w:rsidRPr="00E904C3" w:rsidRDefault="00413980" w:rsidP="00413980">
      <w:pPr>
        <w:pStyle w:val="1"/>
      </w:pPr>
      <w:r>
        <w:t>1.</w:t>
      </w:r>
      <w:r>
        <w:tab/>
      </w:r>
      <w:r w:rsidRPr="00E904C3">
        <w:t>order that the covered produce may not be sold, shipped, or removed from the premises at the time the stop order is issued.</w:t>
      </w:r>
    </w:p>
    <w:p w14:paraId="5774C83C" w14:textId="77777777" w:rsidR="00413980" w:rsidRPr="00E904C3" w:rsidRDefault="00413980" w:rsidP="00413980">
      <w:pPr>
        <w:pStyle w:val="A"/>
      </w:pPr>
      <w:r w:rsidRPr="00E904C3">
        <w:t>D.</w:t>
      </w:r>
      <w:r>
        <w:tab/>
      </w:r>
      <w:r w:rsidRPr="00E904C3">
        <w:t xml:space="preserve">The stop order may be released by the </w:t>
      </w:r>
      <w:r>
        <w:t>department</w:t>
      </w:r>
      <w:r w:rsidRPr="00E904C3">
        <w:t xml:space="preserve"> when:</w:t>
      </w:r>
    </w:p>
    <w:p w14:paraId="3632966A" w14:textId="77777777" w:rsidR="00413980" w:rsidRPr="00E904C3" w:rsidRDefault="00413980" w:rsidP="00413980">
      <w:pPr>
        <w:pStyle w:val="1"/>
      </w:pPr>
      <w:r>
        <w:t>1.</w:t>
      </w:r>
      <w:r>
        <w:tab/>
      </w:r>
      <w:r w:rsidRPr="00E904C3">
        <w:t xml:space="preserve">proof of compliance with this Chapter is furnished to the </w:t>
      </w:r>
      <w:r>
        <w:t>d</w:t>
      </w:r>
      <w:r w:rsidRPr="00E904C3">
        <w:t xml:space="preserve">epartment if the stop order was issued because of a violation of this Section; or </w:t>
      </w:r>
    </w:p>
    <w:p w14:paraId="4DC13A92" w14:textId="77777777" w:rsidR="00413980" w:rsidRPr="00E904C3" w:rsidRDefault="00413980" w:rsidP="00413980">
      <w:pPr>
        <w:pStyle w:val="1"/>
      </w:pPr>
      <w:r>
        <w:t>2.</w:t>
      </w:r>
      <w:r>
        <w:tab/>
      </w:r>
      <w:r w:rsidRPr="00E904C3">
        <w:t xml:space="preserve">a </w:t>
      </w:r>
      <w:r>
        <w:t>d</w:t>
      </w:r>
      <w:r w:rsidRPr="00E904C3">
        <w:t>epartment-authorized representative has been allowed to enter the premises where the covered produce is grown, harvested, packed, or held and inspect the covered produce or inspect records if the stop order was issued based on refusal to allow entry or inspection; or</w:t>
      </w:r>
    </w:p>
    <w:p w14:paraId="08F0D99F" w14:textId="77777777" w:rsidR="00413980" w:rsidRPr="00E904C3" w:rsidRDefault="00413980" w:rsidP="00413980">
      <w:pPr>
        <w:pStyle w:val="1"/>
      </w:pPr>
      <w:r>
        <w:t>3.</w:t>
      </w:r>
      <w:r>
        <w:tab/>
      </w:r>
      <w:r w:rsidRPr="00E904C3">
        <w:t xml:space="preserve">the </w:t>
      </w:r>
      <w:r>
        <w:t>department</w:t>
      </w:r>
      <w:r w:rsidRPr="00E904C3">
        <w:t xml:space="preserve"> determines that circumstances warrant the release of the stop order, upon such terms and conditions that the </w:t>
      </w:r>
      <w:r>
        <w:t>department</w:t>
      </w:r>
      <w:r w:rsidRPr="00E904C3">
        <w:t xml:space="preserve"> deems necessary or proper.</w:t>
      </w:r>
    </w:p>
    <w:p w14:paraId="1AD94F6D" w14:textId="77777777" w:rsidR="00413980" w:rsidRPr="00E904C3" w:rsidRDefault="00413980" w:rsidP="00413980">
      <w:pPr>
        <w:pStyle w:val="A"/>
      </w:pPr>
      <w:r w:rsidRPr="00E904C3">
        <w:t>E.</w:t>
      </w:r>
      <w:r>
        <w:tab/>
      </w:r>
      <w:r w:rsidRPr="00E904C3">
        <w:t xml:space="preserve">Any person aggrieved by the issuance of a stop order by the </w:t>
      </w:r>
      <w:r>
        <w:t>department</w:t>
      </w:r>
      <w:r w:rsidRPr="00E904C3">
        <w:t xml:space="preserve"> may request an administrative adjudicatory hearing to contest the validity of the stop order by making a written request, within five calendar days, to</w:t>
      </w:r>
      <w:r>
        <w:t xml:space="preserve"> </w:t>
      </w:r>
      <w:r w:rsidRPr="00E904C3">
        <w:t xml:space="preserve">the </w:t>
      </w:r>
      <w:r>
        <w:t>department</w:t>
      </w:r>
      <w:r w:rsidRPr="00E904C3">
        <w:t xml:space="preserve"> for such a hearing. Within five business days after the </w:t>
      </w:r>
      <w:r>
        <w:t>department</w:t>
      </w:r>
      <w:r w:rsidRPr="00E904C3">
        <w:t xml:space="preserve"> receives the written request an administrative adjudicatory hearing shall be held by the </w:t>
      </w:r>
      <w:r>
        <w:t>department</w:t>
      </w:r>
      <w:r w:rsidRPr="00E904C3">
        <w:t xml:space="preserve"> in accordance with the Administrative Procedure Act.</w:t>
      </w:r>
    </w:p>
    <w:p w14:paraId="1DC8D7F3" w14:textId="77777777" w:rsidR="00413980" w:rsidRPr="00E904C3" w:rsidRDefault="00413980" w:rsidP="00413980">
      <w:pPr>
        <w:pStyle w:val="AuthorityNote"/>
      </w:pPr>
      <w:r w:rsidRPr="00E904C3">
        <w:t>AUTHORITY NOTE:</w:t>
      </w:r>
      <w:r w:rsidRPr="00E904C3">
        <w:tab/>
        <w:t>Promulgated in accordance with R.S 3:922 and 923.</w:t>
      </w:r>
    </w:p>
    <w:p w14:paraId="3D114677" w14:textId="77777777" w:rsidR="00413980" w:rsidRPr="00E904C3"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402</w:t>
      </w:r>
      <w:r w:rsidRPr="00A71556">
        <w:t xml:space="preserve"> (March 2022).</w:t>
      </w:r>
    </w:p>
    <w:p w14:paraId="5AC91E1E" w14:textId="77777777" w:rsidR="00413980" w:rsidRDefault="00413980" w:rsidP="00413980">
      <w:pPr>
        <w:pStyle w:val="Section"/>
      </w:pPr>
      <w:bookmarkStart w:id="792" w:name="_Toc224818645"/>
      <w:r w:rsidRPr="00E904C3">
        <w:t>§1229.</w:t>
      </w:r>
      <w:r>
        <w:tab/>
      </w:r>
      <w:r w:rsidRPr="00E904C3">
        <w:t>Investigation</w:t>
      </w:r>
      <w:bookmarkEnd w:id="792"/>
    </w:p>
    <w:p w14:paraId="70954B66" w14:textId="77777777" w:rsidR="00413980" w:rsidRPr="00E904C3" w:rsidRDefault="00413980" w:rsidP="00413980">
      <w:pPr>
        <w:pStyle w:val="A"/>
      </w:pPr>
      <w:r w:rsidRPr="00E904C3">
        <w:t>A.</w:t>
      </w:r>
      <w:r w:rsidRPr="00E904C3">
        <w:tab/>
        <w:t xml:space="preserve">When the </w:t>
      </w:r>
      <w:r>
        <w:t>department</w:t>
      </w:r>
      <w:r w:rsidRPr="00E904C3">
        <w:t xml:space="preserve"> has reason to believe that a violation of R.S. 3:921 et seq., or this Chapter has occurred, the </w:t>
      </w:r>
      <w:r>
        <w:t>department</w:t>
      </w:r>
      <w:r w:rsidRPr="00E904C3">
        <w:t xml:space="preserve"> may conduct an investigation to gather information regarding any possible violation. </w:t>
      </w:r>
    </w:p>
    <w:p w14:paraId="2A7A747A" w14:textId="77777777" w:rsidR="00413980" w:rsidRPr="00E904C3" w:rsidRDefault="00413980" w:rsidP="00413980">
      <w:pPr>
        <w:pStyle w:val="A"/>
      </w:pPr>
      <w:r w:rsidRPr="00E904C3">
        <w:lastRenderedPageBreak/>
        <w:t>B.</w:t>
      </w:r>
      <w:r>
        <w:tab/>
      </w:r>
      <w:r w:rsidRPr="00E904C3">
        <w:t xml:space="preserve">The </w:t>
      </w:r>
      <w:r>
        <w:t>department</w:t>
      </w:r>
      <w:r w:rsidRPr="00E904C3">
        <w:t xml:space="preserve"> may initiate an investigation either in response to a complaint or on its own. </w:t>
      </w:r>
    </w:p>
    <w:p w14:paraId="36D33FDE" w14:textId="77777777" w:rsidR="00413980" w:rsidRPr="00E904C3" w:rsidRDefault="00413980" w:rsidP="00413980">
      <w:pPr>
        <w:pStyle w:val="A"/>
      </w:pPr>
      <w:r w:rsidRPr="00E904C3">
        <w:t>C.</w:t>
      </w:r>
      <w:r w:rsidRPr="00E904C3">
        <w:tab/>
        <w:t xml:space="preserve">The </w:t>
      </w:r>
      <w:r>
        <w:t>department</w:t>
      </w:r>
      <w:r w:rsidRPr="00E904C3">
        <w:t xml:space="preserve"> or its authorized representative(s) shall have the right to enter any covered produce farm to investigate any alleged or suspected violations of R.S. 3:921 et seq. or the provisions of this Chapter. </w:t>
      </w:r>
    </w:p>
    <w:p w14:paraId="6145EF6E" w14:textId="77777777" w:rsidR="00413980" w:rsidRPr="00E904C3" w:rsidRDefault="00413980" w:rsidP="00413980">
      <w:pPr>
        <w:pStyle w:val="A"/>
      </w:pPr>
      <w:r w:rsidRPr="00E904C3">
        <w:t>D.</w:t>
      </w:r>
      <w:r>
        <w:tab/>
      </w:r>
      <w:r w:rsidRPr="00E904C3">
        <w:t xml:space="preserve">Covered farms have a duty to cooperate with any investigation conducted by the </w:t>
      </w:r>
      <w:r>
        <w:t>department</w:t>
      </w:r>
      <w:r w:rsidRPr="00E904C3">
        <w:t>.</w:t>
      </w:r>
      <w:r>
        <w:tab/>
      </w:r>
    </w:p>
    <w:p w14:paraId="52FF2940" w14:textId="77777777" w:rsidR="00413980" w:rsidRPr="00E904C3" w:rsidRDefault="00413980" w:rsidP="00413980">
      <w:pPr>
        <w:pStyle w:val="AuthorityNote"/>
      </w:pPr>
      <w:r w:rsidRPr="00E904C3">
        <w:t>AUTHORITY NOTE:</w:t>
      </w:r>
      <w:r w:rsidRPr="00E904C3">
        <w:tab/>
        <w:t>Promulgated in accordance with R.S 3:922 and 923.</w:t>
      </w:r>
    </w:p>
    <w:p w14:paraId="21DE515F"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14:paraId="68E46A2C" w14:textId="77777777" w:rsidR="00413980" w:rsidRPr="00E904C3" w:rsidRDefault="00413980" w:rsidP="00413980">
      <w:pPr>
        <w:pStyle w:val="Section"/>
      </w:pPr>
      <w:bookmarkStart w:id="793" w:name="_Toc224818646"/>
      <w:r w:rsidRPr="00E904C3">
        <w:t>§1231.</w:t>
      </w:r>
      <w:r>
        <w:tab/>
      </w:r>
      <w:r w:rsidRPr="00E904C3">
        <w:t>Violations; Penalties</w:t>
      </w:r>
      <w:bookmarkEnd w:id="793"/>
    </w:p>
    <w:p w14:paraId="1DCA10D3" w14:textId="77777777" w:rsidR="00413980" w:rsidRPr="00E904C3" w:rsidRDefault="00413980" w:rsidP="00413980">
      <w:pPr>
        <w:pStyle w:val="A"/>
      </w:pPr>
      <w:r w:rsidRPr="00E904C3">
        <w:t>A.</w:t>
      </w:r>
      <w:r>
        <w:tab/>
      </w:r>
      <w:r w:rsidRPr="00E904C3">
        <w:t>Each violation of these rules and regulations, any stop order or other orders issued by the Commissioner in the enforcement of these rules and regulations and every day of a continuing violation shall be considered a separate and distinct violation subject to charges and penalties under these rules and regulations.</w:t>
      </w:r>
    </w:p>
    <w:p w14:paraId="6BF42546" w14:textId="77777777" w:rsidR="00413980" w:rsidRPr="00E904C3" w:rsidRDefault="00413980" w:rsidP="00413980">
      <w:pPr>
        <w:pStyle w:val="A"/>
      </w:pPr>
      <w:r w:rsidRPr="00E904C3">
        <w:t>B.</w:t>
      </w:r>
      <w:r>
        <w:tab/>
      </w:r>
      <w:r w:rsidRPr="00E904C3">
        <w:t>Notwithstanding the criminal violations set forth in R.S. 3:925, whoever violates R.S. 3:921-928, or the regulations promulgated herein, shall be fined not less than $25 nor more than $100.</w:t>
      </w:r>
    </w:p>
    <w:p w14:paraId="1046D83B" w14:textId="77777777" w:rsidR="00413980" w:rsidRPr="00E904C3" w:rsidRDefault="00413980" w:rsidP="00413980">
      <w:pPr>
        <w:pStyle w:val="AuthorityNote"/>
      </w:pPr>
      <w:r w:rsidRPr="00E904C3">
        <w:t>AUTHORITY NOTE:</w:t>
      </w:r>
      <w:r w:rsidRPr="00E904C3">
        <w:tab/>
        <w:t>Promulgated in accordance with R.S 3:922 and 923.</w:t>
      </w:r>
    </w:p>
    <w:p w14:paraId="08E21532" w14:textId="77777777"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14:paraId="6453D6C2" w14:textId="77777777" w:rsidR="00413980" w:rsidRDefault="00413980" w:rsidP="00413980">
      <w:pPr>
        <w:pStyle w:val="Section"/>
      </w:pPr>
      <w:bookmarkStart w:id="794" w:name="_Toc224818647"/>
      <w:r w:rsidRPr="00E904C3">
        <w:t>§1233.</w:t>
      </w:r>
      <w:r>
        <w:tab/>
      </w:r>
      <w:r w:rsidRPr="00E904C3">
        <w:t>Adjudicatory Hearings</w:t>
      </w:r>
      <w:bookmarkEnd w:id="794"/>
      <w:r w:rsidRPr="00E904C3">
        <w:t xml:space="preserve"> </w:t>
      </w:r>
    </w:p>
    <w:p w14:paraId="7F62C822" w14:textId="77777777" w:rsidR="00413980" w:rsidRPr="00E904C3" w:rsidRDefault="00413980" w:rsidP="00413980">
      <w:pPr>
        <w:pStyle w:val="A"/>
      </w:pPr>
      <w:r w:rsidRPr="00E904C3">
        <w:t>A.</w:t>
      </w:r>
      <w:r>
        <w:tab/>
      </w:r>
      <w:r w:rsidRPr="00E904C3">
        <w:t xml:space="preserve">If, after an investigation has been conducted, the </w:t>
      </w:r>
      <w:r>
        <w:t>de</w:t>
      </w:r>
      <w:r w:rsidRPr="00E904C3">
        <w:t xml:space="preserve">partment has reason to believe that a covered produce farm has violated any provision of R.S. 3:921-928 or this Chapter, the </w:t>
      </w:r>
      <w:r>
        <w:t>d</w:t>
      </w:r>
      <w:r w:rsidRPr="00E904C3">
        <w:t>epartment may conduct an adjudicatory hearing in accordance with the Administrative Procedure Act (R.S. 49:950 et seq.) in order to determine whether a violation has occurred and whether to impose civil penalties.</w:t>
      </w:r>
    </w:p>
    <w:p w14:paraId="0BA4C3A1" w14:textId="77777777" w:rsidR="00413980" w:rsidRPr="00E904C3" w:rsidRDefault="00413980" w:rsidP="00413980">
      <w:pPr>
        <w:pStyle w:val="A"/>
      </w:pPr>
      <w:r w:rsidRPr="00E904C3">
        <w:t>B.</w:t>
      </w:r>
      <w:r>
        <w:tab/>
      </w:r>
      <w:r w:rsidRPr="00E904C3">
        <w:t xml:space="preserve">All hearings conducted pursuant to this Section shall be heard by a three-person panel appointed by the </w:t>
      </w:r>
      <w:r>
        <w:t>c</w:t>
      </w:r>
      <w:r w:rsidRPr="00E904C3">
        <w:t>ommissioner.</w:t>
      </w:r>
      <w:r>
        <w:t xml:space="preserve"> </w:t>
      </w:r>
      <w:r w:rsidRPr="00E904C3">
        <w:t xml:space="preserve">The </w:t>
      </w:r>
      <w:r>
        <w:t>c</w:t>
      </w:r>
      <w:r w:rsidRPr="00E904C3">
        <w:t xml:space="preserve">ommissioner may appoint a hearing officer to conduct the hearing. </w:t>
      </w:r>
    </w:p>
    <w:p w14:paraId="4AF1B3F4" w14:textId="77777777" w:rsidR="00413980" w:rsidRPr="00E904C3" w:rsidRDefault="00413980" w:rsidP="00413980">
      <w:pPr>
        <w:pStyle w:val="A"/>
      </w:pPr>
      <w:r w:rsidRPr="00E904C3">
        <w:t>C.</w:t>
      </w:r>
      <w:r>
        <w:tab/>
      </w:r>
      <w:r w:rsidRPr="00E904C3">
        <w:t>At the conclusion of the administrative hearing, the hearing panel may recommend that a penalty of not more than $100 per violation be imposed.</w:t>
      </w:r>
      <w:r>
        <w:t xml:space="preserve"> </w:t>
      </w:r>
      <w:r w:rsidRPr="00E904C3">
        <w:t xml:space="preserve">The hearing panel’s recommendation shall be submitted to the </w:t>
      </w:r>
      <w:r>
        <w:t>c</w:t>
      </w:r>
      <w:r w:rsidRPr="00E904C3">
        <w:t xml:space="preserve">ommissioner for his determination. </w:t>
      </w:r>
    </w:p>
    <w:p w14:paraId="359187E2" w14:textId="77777777" w:rsidR="00413980" w:rsidRPr="00E904C3" w:rsidRDefault="00413980" w:rsidP="00413980">
      <w:pPr>
        <w:pStyle w:val="A"/>
      </w:pPr>
      <w:r w:rsidRPr="00E904C3">
        <w:t>D.</w:t>
      </w:r>
      <w:r>
        <w:tab/>
      </w:r>
      <w:r w:rsidRPr="00E904C3">
        <w:t xml:space="preserve">The </w:t>
      </w:r>
      <w:r>
        <w:t>c</w:t>
      </w:r>
      <w:r w:rsidRPr="00E904C3">
        <w:t>ommissioner’s determination in adjudicatory matters shall be final and may be appealable in accordance with the Administrative Procedure Act.</w:t>
      </w:r>
      <w:r>
        <w:t xml:space="preserve"> </w:t>
      </w:r>
    </w:p>
    <w:p w14:paraId="2B16C6B0" w14:textId="77777777" w:rsidR="00413980" w:rsidRPr="00E904C3" w:rsidRDefault="00413980" w:rsidP="00413980">
      <w:pPr>
        <w:pStyle w:val="AuthorityNote"/>
      </w:pPr>
      <w:r w:rsidRPr="00E904C3">
        <w:t>AUTHORITY NOTE:</w:t>
      </w:r>
      <w:r w:rsidRPr="00E904C3">
        <w:tab/>
        <w:t>Promulgated in accordance with R.S. 3:922 and 923.</w:t>
      </w:r>
    </w:p>
    <w:p w14:paraId="23D122C2" w14:textId="77777777" w:rsidR="00413980" w:rsidRPr="001531CD"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14:paraId="292F37A2" w14:textId="77777777" w:rsidR="00CF626A" w:rsidRPr="001531CD" w:rsidRDefault="00CF626A">
      <w:pPr>
        <w:pStyle w:val="Chapter"/>
      </w:pPr>
      <w:bookmarkStart w:id="795" w:name="TOC_Chap59"/>
      <w:bookmarkStart w:id="796" w:name="_Toc256754396"/>
      <w:bookmarkStart w:id="797" w:name="_Toc224818648"/>
      <w:r w:rsidRPr="001531CD">
        <w:t>Chapter 13.</w:t>
      </w:r>
      <w:bookmarkEnd w:id="795"/>
      <w:r w:rsidR="00167E2E">
        <w:tab/>
      </w:r>
      <w:bookmarkStart w:id="798" w:name="TOCT_Chap37"/>
      <w:bookmarkStart w:id="799" w:name="TOCT_Chap57"/>
      <w:bookmarkStart w:id="800" w:name="TOCT_Chap58"/>
      <w:bookmarkStart w:id="801" w:name="TOCT_Chap59"/>
      <w:r w:rsidRPr="001531CD">
        <w:t>Produce Assembly Center</w:t>
      </w:r>
      <w:bookmarkEnd w:id="796"/>
      <w:bookmarkEnd w:id="797"/>
      <w:bookmarkEnd w:id="798"/>
      <w:bookmarkEnd w:id="799"/>
      <w:bookmarkEnd w:id="800"/>
      <w:bookmarkEnd w:id="801"/>
    </w:p>
    <w:p w14:paraId="1375FC73" w14:textId="77777777" w:rsidR="00CF626A" w:rsidRPr="001531CD" w:rsidRDefault="00CF626A">
      <w:pPr>
        <w:pStyle w:val="Section"/>
      </w:pPr>
      <w:bookmarkStart w:id="802" w:name="_Toc256754397"/>
      <w:bookmarkStart w:id="803" w:name="_Toc224818649"/>
      <w:r w:rsidRPr="001531CD">
        <w:t>§1301.</w:t>
      </w:r>
      <w:r w:rsidRPr="001531CD">
        <w:tab/>
        <w:t>Operation of Center</w:t>
      </w:r>
      <w:bookmarkEnd w:id="802"/>
      <w:bookmarkEnd w:id="803"/>
    </w:p>
    <w:p w14:paraId="30627CE7" w14:textId="77777777" w:rsidR="00CF626A" w:rsidRPr="001531CD" w:rsidRDefault="00CF626A">
      <w:pPr>
        <w:pStyle w:val="A"/>
      </w:pPr>
      <w:r w:rsidRPr="001531CD">
        <w:t>A.</w:t>
      </w:r>
      <w:r w:rsidRPr="001531CD">
        <w:tab/>
        <w:t>The produce assembly center will be operated by the Department of Agriculture and Forestry; the center manager will be a state employee.</w:t>
      </w:r>
    </w:p>
    <w:p w14:paraId="4D5E7B71" w14:textId="77777777" w:rsidR="00CF626A" w:rsidRPr="001531CD" w:rsidRDefault="00CF626A">
      <w:pPr>
        <w:pStyle w:val="A"/>
      </w:pPr>
      <w:r w:rsidRPr="001531CD">
        <w:t>B.</w:t>
      </w:r>
      <w:r w:rsidRPr="001531CD">
        <w:tab/>
        <w:t>Only produce for consignment will be marketed through the produce assembly center.</w:t>
      </w:r>
    </w:p>
    <w:p w14:paraId="3CB26981" w14:textId="77777777" w:rsidR="00CF626A" w:rsidRPr="001531CD" w:rsidRDefault="00CF626A">
      <w:pPr>
        <w:pStyle w:val="A"/>
      </w:pPr>
      <w:r w:rsidRPr="001531CD">
        <w:t>C.</w:t>
      </w:r>
      <w:r w:rsidRPr="001531CD">
        <w:tab/>
        <w:t>Official grading services will be available through the produce assembly center.</w:t>
      </w:r>
    </w:p>
    <w:p w14:paraId="23865055" w14:textId="77777777" w:rsidR="00CF626A" w:rsidRPr="001531CD" w:rsidRDefault="00CF626A">
      <w:pPr>
        <w:pStyle w:val="A"/>
      </w:pPr>
      <w:r w:rsidRPr="001531CD">
        <w:t>D.</w:t>
      </w:r>
      <w:r w:rsidRPr="001531CD">
        <w:tab/>
        <w:t>The produce assembly center will arrange for transportation of the produce from the produce assembly center.</w:t>
      </w:r>
    </w:p>
    <w:p w14:paraId="72C497E1" w14:textId="77777777" w:rsidR="00CF626A" w:rsidRPr="001531CD" w:rsidRDefault="00CF626A">
      <w:pPr>
        <w:pStyle w:val="A"/>
      </w:pPr>
      <w:r w:rsidRPr="001531CD">
        <w:t>E.</w:t>
      </w:r>
      <w:r w:rsidRPr="001531CD">
        <w:tab/>
        <w:t>The produce assembly center will not operate during months when no produce is available for consignment. At least 15 days' advance notice of closure of the center will be given by publication in a newspaper of general circulation in the area in which the produce assembly center is located.</w:t>
      </w:r>
    </w:p>
    <w:p w14:paraId="7B038C1E" w14:textId="77777777" w:rsidR="00CF626A" w:rsidRPr="001531CD" w:rsidRDefault="00CF626A">
      <w:pPr>
        <w:pStyle w:val="AuthorityNote"/>
      </w:pPr>
      <w:r w:rsidRPr="001531CD">
        <w:t>AUTHORITY NOTE:</w:t>
      </w:r>
      <w:r w:rsidRPr="001531CD">
        <w:tab/>
        <w:t>Promulgated in accordance with R.S. 3:406 and R.S. 3:404.</w:t>
      </w:r>
    </w:p>
    <w:p w14:paraId="522364FE" w14:textId="77777777"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14:paraId="32E6351F" w14:textId="77777777" w:rsidR="00CF626A" w:rsidRPr="001531CD" w:rsidRDefault="00CF626A">
      <w:pPr>
        <w:pStyle w:val="Section"/>
      </w:pPr>
      <w:bookmarkStart w:id="804" w:name="_Toc256754398"/>
      <w:bookmarkStart w:id="805" w:name="_Toc224818650"/>
      <w:r w:rsidRPr="001531CD">
        <w:t>§1303.</w:t>
      </w:r>
      <w:r w:rsidRPr="001531CD">
        <w:tab/>
        <w:t>Produce to be Marketed through the Produce Assembly Center</w:t>
      </w:r>
      <w:bookmarkEnd w:id="804"/>
      <w:bookmarkEnd w:id="805"/>
    </w:p>
    <w:p w14:paraId="4490BFBA" w14:textId="77777777" w:rsidR="00CF626A" w:rsidRPr="001531CD" w:rsidRDefault="00CF626A">
      <w:pPr>
        <w:pStyle w:val="A"/>
      </w:pPr>
      <w:r w:rsidRPr="001531CD">
        <w:t>A.</w:t>
      </w:r>
      <w:r w:rsidRPr="001531CD">
        <w:tab/>
        <w:t>All produce must be graded by official graders at the produce assembly center.</w:t>
      </w:r>
    </w:p>
    <w:p w14:paraId="001817C5" w14:textId="77777777" w:rsidR="00CF626A" w:rsidRPr="001531CD" w:rsidRDefault="00CF626A">
      <w:pPr>
        <w:pStyle w:val="A"/>
      </w:pPr>
      <w:r w:rsidRPr="001531CD">
        <w:t>B.</w:t>
      </w:r>
      <w:r w:rsidRPr="001531CD">
        <w:tab/>
        <w:t>Only USDA #1 and USDA #2 grades will be accepted for consignment.</w:t>
      </w:r>
    </w:p>
    <w:p w14:paraId="375481D6" w14:textId="77777777" w:rsidR="00CF626A" w:rsidRPr="001531CD" w:rsidRDefault="00CF626A">
      <w:pPr>
        <w:pStyle w:val="A"/>
      </w:pPr>
      <w:r w:rsidRPr="001531CD">
        <w:t>C.</w:t>
      </w:r>
      <w:r w:rsidRPr="001531CD">
        <w:tab/>
        <w:t>All produce must be packaged in containers which are acceptable in the produce trade. Containers will be available at cost at the produce assembly center.</w:t>
      </w:r>
    </w:p>
    <w:p w14:paraId="4005BB19" w14:textId="77777777" w:rsidR="00CF626A" w:rsidRPr="001531CD" w:rsidRDefault="00CF626A">
      <w:pPr>
        <w:pStyle w:val="AuthorityNote"/>
      </w:pPr>
      <w:r w:rsidRPr="001531CD">
        <w:t>AUTHORITY NOTE:</w:t>
      </w:r>
      <w:r w:rsidRPr="001531CD">
        <w:tab/>
        <w:t>Promulgated in accordance with R.S. 3:406 and R.S. 3:404.</w:t>
      </w:r>
    </w:p>
    <w:p w14:paraId="36E772B8" w14:textId="77777777"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14:paraId="6828BF01" w14:textId="77777777" w:rsidR="00CF626A" w:rsidRPr="001531CD" w:rsidRDefault="00CF626A">
      <w:pPr>
        <w:pStyle w:val="Section"/>
      </w:pPr>
      <w:bookmarkStart w:id="806" w:name="_Toc256754399"/>
      <w:bookmarkStart w:id="807" w:name="_Toc224818651"/>
      <w:r w:rsidRPr="001531CD">
        <w:t>§1305.</w:t>
      </w:r>
      <w:r w:rsidRPr="001531CD">
        <w:tab/>
        <w:t>Consignment of Produce and Payment Policy</w:t>
      </w:r>
      <w:bookmarkEnd w:id="806"/>
      <w:bookmarkEnd w:id="807"/>
    </w:p>
    <w:p w14:paraId="7E34721C" w14:textId="77777777" w:rsidR="00CF626A" w:rsidRPr="001531CD" w:rsidRDefault="00CF626A">
      <w:pPr>
        <w:pStyle w:val="A"/>
      </w:pPr>
      <w:r w:rsidRPr="001531CD">
        <w:t>A.</w:t>
      </w:r>
      <w:r w:rsidRPr="001531CD">
        <w:tab/>
        <w:t>A commission of percent of the selling price will be charged on all produce marketed through the produce assembly center. Fees will be used to defray the operating expenses of the center.</w:t>
      </w:r>
    </w:p>
    <w:p w14:paraId="3D0A99D4" w14:textId="77777777" w:rsidR="00CF626A" w:rsidRPr="001531CD" w:rsidRDefault="00CF626A">
      <w:pPr>
        <w:pStyle w:val="A"/>
      </w:pPr>
      <w:r w:rsidRPr="001531CD">
        <w:t>B.</w:t>
      </w:r>
      <w:r w:rsidRPr="001531CD">
        <w:tab/>
        <w:t>The percent commission will be due and payable upon receipt by the seller of the purchase price of the produce.</w:t>
      </w:r>
    </w:p>
    <w:p w14:paraId="5ABC2504" w14:textId="77777777" w:rsidR="00CF626A" w:rsidRPr="001531CD" w:rsidRDefault="00CF626A">
      <w:pPr>
        <w:pStyle w:val="A"/>
      </w:pPr>
      <w:r w:rsidRPr="001531CD">
        <w:t>C.</w:t>
      </w:r>
      <w:r w:rsidRPr="001531CD">
        <w:tab/>
        <w:t>The produce assembly center manager will deduct the commission of percent from the sales revenues received from the buyer and pay over the remainder to the seller.</w:t>
      </w:r>
    </w:p>
    <w:p w14:paraId="7EE503D5" w14:textId="77777777" w:rsidR="00CF626A" w:rsidRPr="001531CD" w:rsidRDefault="00CF626A">
      <w:pPr>
        <w:pStyle w:val="A"/>
      </w:pPr>
      <w:r w:rsidRPr="001531CD">
        <w:t>D.</w:t>
      </w:r>
      <w:r w:rsidRPr="001531CD">
        <w:tab/>
        <w:t>The revenues from sales of produce will be paid over to the seller by the produce assembly center manager immediately upon receipt of the sales revenues from the buyer, but no later than 30 days after delivery of the produce to the produce assembly center.</w:t>
      </w:r>
    </w:p>
    <w:p w14:paraId="32D10C79" w14:textId="77777777" w:rsidR="00CF626A" w:rsidRPr="001531CD" w:rsidRDefault="00CF626A">
      <w:pPr>
        <w:pStyle w:val="A"/>
      </w:pPr>
      <w:r w:rsidRPr="001531CD">
        <w:lastRenderedPageBreak/>
        <w:t>E.</w:t>
      </w:r>
      <w:r w:rsidRPr="001531CD">
        <w:tab/>
        <w:t xml:space="preserve">In any circumstances where the sales revenues are not received by the produce assembly center manager within </w:t>
      </w:r>
      <w:r w:rsidR="002D08BF" w:rsidRPr="001531CD">
        <w:br/>
      </w:r>
      <w:r w:rsidRPr="001531CD">
        <w:t>30 days after delivery of the produce to the center, the produce assembly center reserves the right to pay over only 75 percent of the agreed-upon selling price, subject to correction upon receipt of revenues from the sale of the produce.</w:t>
      </w:r>
    </w:p>
    <w:p w14:paraId="18D84ECF" w14:textId="77777777" w:rsidR="00CF626A" w:rsidRPr="001531CD" w:rsidRDefault="00CF626A">
      <w:pPr>
        <w:pStyle w:val="A"/>
      </w:pPr>
      <w:r w:rsidRPr="001531CD">
        <w:t>F.</w:t>
      </w:r>
      <w:r w:rsidRPr="001531CD">
        <w:tab/>
        <w:t>Separate accounting records will be maintained on transactions for each seller, and any seller may examine the accounting records for his account at any time during regular business hours.</w:t>
      </w:r>
    </w:p>
    <w:p w14:paraId="3D540E4D" w14:textId="77777777" w:rsidR="00CF626A" w:rsidRPr="001531CD" w:rsidRDefault="00CF626A">
      <w:pPr>
        <w:pStyle w:val="AuthorityNote"/>
      </w:pPr>
      <w:r w:rsidRPr="001531CD">
        <w:t>AUTHORITY NOTE:</w:t>
      </w:r>
      <w:r w:rsidRPr="001531CD">
        <w:tab/>
        <w:t>Promulgated in accordance with R.S. 3:406 and R.S. 3:404.</w:t>
      </w:r>
    </w:p>
    <w:p w14:paraId="5CB5752A" w14:textId="77777777"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14:paraId="385CBA41" w14:textId="77777777" w:rsidR="00CF626A" w:rsidRPr="001531CD" w:rsidRDefault="00CF626A">
      <w:pPr>
        <w:pStyle w:val="Section"/>
      </w:pPr>
      <w:bookmarkStart w:id="808" w:name="_Toc256754400"/>
      <w:bookmarkStart w:id="809" w:name="_Toc224818652"/>
      <w:r w:rsidRPr="001531CD">
        <w:t>§1307.</w:t>
      </w:r>
      <w:r w:rsidRPr="001531CD">
        <w:tab/>
        <w:t>Marketing Advisory Service</w:t>
      </w:r>
      <w:bookmarkEnd w:id="808"/>
      <w:bookmarkEnd w:id="809"/>
    </w:p>
    <w:p w14:paraId="58621BF7" w14:textId="77777777" w:rsidR="00CF626A" w:rsidRPr="001531CD" w:rsidRDefault="00CF626A">
      <w:pPr>
        <w:pStyle w:val="A"/>
      </w:pPr>
      <w:r w:rsidRPr="001531CD">
        <w:t>A.</w:t>
      </w:r>
      <w:r w:rsidRPr="001531CD">
        <w:tab/>
        <w:t>The produce assembly center manager will establish and maintain contact with major produce buyers throughout the country to determine the most advantageous crops for marketing.</w:t>
      </w:r>
    </w:p>
    <w:p w14:paraId="46D7B017" w14:textId="77777777" w:rsidR="00CF626A" w:rsidRPr="001531CD" w:rsidRDefault="00CF626A">
      <w:pPr>
        <w:pStyle w:val="A"/>
      </w:pPr>
      <w:r w:rsidRPr="001531CD">
        <w:t>B.</w:t>
      </w:r>
      <w:r w:rsidRPr="001531CD">
        <w:tab/>
        <w:t>Results of the produce assembly center manager's surveys of produce buyers will be posted at the center and will be made available to producers in the area.</w:t>
      </w:r>
    </w:p>
    <w:p w14:paraId="5B8B48A2" w14:textId="77777777" w:rsidR="00CF626A" w:rsidRPr="001531CD" w:rsidRDefault="00CF626A">
      <w:pPr>
        <w:pStyle w:val="A"/>
      </w:pPr>
      <w:r w:rsidRPr="001531CD">
        <w:t>C.</w:t>
      </w:r>
      <w:r w:rsidRPr="001531CD">
        <w:tab/>
        <w:t>At least once each year, prior to planting season, the State Department of Agriculture and the Cooperative Extension Service will conduct an informational forum to disseminate information on potential markets for produce. General information meetings may be held at other times throughout the year as deemed appropriate by the Department of Agriculture and Forestry.</w:t>
      </w:r>
    </w:p>
    <w:p w14:paraId="096E465F" w14:textId="77777777" w:rsidR="00CF626A" w:rsidRPr="001531CD" w:rsidRDefault="00CF626A">
      <w:pPr>
        <w:pStyle w:val="AuthorityNote"/>
      </w:pPr>
      <w:r w:rsidRPr="001531CD">
        <w:t>AUTHORITY NOTE:</w:t>
      </w:r>
      <w:r w:rsidRPr="001531CD">
        <w:tab/>
        <w:t>Promulgated in accordance with R.S. 3:406 and R.S. 3:404.</w:t>
      </w:r>
    </w:p>
    <w:p w14:paraId="668E63FB" w14:textId="77777777" w:rsidR="00CF626A" w:rsidRPr="001531CD" w:rsidRDefault="00CF626A">
      <w:pPr>
        <w:pStyle w:val="HistoricalNote"/>
      </w:pPr>
      <w:r w:rsidRPr="001531CD">
        <w:t>HISTORICAL NOTE:</w:t>
      </w:r>
      <w:r w:rsidRPr="001531CD">
        <w:tab/>
        <w:t>Promulgated by the Department of Agriculture, Market Commission, LR 7:406 (August 1981), repromulgated LR 8:273 (June 1982).</w:t>
      </w:r>
    </w:p>
    <w:p w14:paraId="7F9E7A3B" w14:textId="77777777" w:rsidR="00CF626A" w:rsidRPr="001531CD" w:rsidRDefault="00CF626A" w:rsidP="002D3F23">
      <w:pPr>
        <w:pStyle w:val="Section"/>
        <w:spacing w:after="80"/>
      </w:pPr>
      <w:bookmarkStart w:id="810" w:name="_Toc256754401"/>
      <w:bookmarkStart w:id="811" w:name="_Toc224818653"/>
      <w:r w:rsidRPr="001531CD">
        <w:t>§1309.</w:t>
      </w:r>
      <w:r w:rsidRPr="001531CD">
        <w:tab/>
        <w:t>Right of Refusal</w:t>
      </w:r>
      <w:bookmarkEnd w:id="810"/>
      <w:bookmarkEnd w:id="811"/>
    </w:p>
    <w:p w14:paraId="7DC438C5" w14:textId="77777777" w:rsidR="00CF626A" w:rsidRPr="001531CD" w:rsidRDefault="00CF626A" w:rsidP="002D3F23">
      <w:pPr>
        <w:pStyle w:val="A"/>
        <w:spacing w:after="80"/>
      </w:pPr>
      <w:r w:rsidRPr="001531CD">
        <w:t>A.</w:t>
      </w:r>
      <w:r w:rsidRPr="001531CD">
        <w:tab/>
        <w:t>The produce assembly center will not accept any produce for consignment which does not meet USDA #1 or USDA #2 grade standards, according to the findings of official graders.</w:t>
      </w:r>
    </w:p>
    <w:p w14:paraId="6BC2C9D6" w14:textId="77777777" w:rsidR="00CF626A" w:rsidRPr="001531CD" w:rsidRDefault="00CF626A" w:rsidP="002D3F23">
      <w:pPr>
        <w:pStyle w:val="A"/>
        <w:spacing w:after="80"/>
      </w:pPr>
      <w:r w:rsidRPr="001531CD">
        <w:t>B.</w:t>
      </w:r>
      <w:r w:rsidRPr="001531CD">
        <w:tab/>
        <w:t>The produce assembly center will not accept any produce for which no markets are available.</w:t>
      </w:r>
    </w:p>
    <w:p w14:paraId="2AC602B7" w14:textId="77777777" w:rsidR="00CF626A" w:rsidRPr="001531CD" w:rsidRDefault="00CF626A">
      <w:pPr>
        <w:pStyle w:val="AuthorityNote"/>
      </w:pPr>
      <w:r w:rsidRPr="001531CD">
        <w:t>AUTHORITY NOTE:</w:t>
      </w:r>
      <w:r w:rsidRPr="001531CD">
        <w:tab/>
        <w:t>Promulgated in accordance with R.S. 3:406 and R.S. 3:404.</w:t>
      </w:r>
    </w:p>
    <w:p w14:paraId="0962F695" w14:textId="77777777" w:rsidR="00CF626A" w:rsidRPr="001531CD" w:rsidRDefault="00CF626A">
      <w:pPr>
        <w:pStyle w:val="HistoricalNote"/>
      </w:pPr>
      <w:r w:rsidRPr="001531CD">
        <w:t>HISTORICAL NOTE:</w:t>
      </w:r>
      <w:r w:rsidRPr="001531CD">
        <w:tab/>
        <w:t>Promulgated by the Department of Agriculture, Market Commission, LR 7:406 (August 1981), repromulgated LR 8:273 (June 1982).</w:t>
      </w:r>
    </w:p>
    <w:p w14:paraId="349A6C46" w14:textId="77777777" w:rsidR="00CF626A" w:rsidRPr="001531CD" w:rsidRDefault="00CF626A" w:rsidP="002D3F23">
      <w:pPr>
        <w:pStyle w:val="Chapter"/>
        <w:spacing w:after="80"/>
      </w:pPr>
      <w:bookmarkStart w:id="812" w:name="TOC_Chap60"/>
      <w:bookmarkStart w:id="813" w:name="_Toc256754402"/>
      <w:bookmarkStart w:id="814" w:name="_Toc224818654"/>
      <w:r w:rsidRPr="001531CD">
        <w:t>Chapter 15.</w:t>
      </w:r>
      <w:bookmarkEnd w:id="812"/>
      <w:r w:rsidR="00167E2E">
        <w:tab/>
      </w:r>
      <w:bookmarkStart w:id="815" w:name="TOCT_Chap60"/>
      <w:r w:rsidRPr="001531CD">
        <w:t>Farm Youth Loan Program</w:t>
      </w:r>
      <w:bookmarkEnd w:id="813"/>
      <w:bookmarkEnd w:id="814"/>
      <w:bookmarkEnd w:id="815"/>
    </w:p>
    <w:p w14:paraId="23389179" w14:textId="77777777" w:rsidR="00CF626A" w:rsidRPr="001531CD" w:rsidRDefault="00CF626A" w:rsidP="002D3F23">
      <w:pPr>
        <w:pStyle w:val="Chapter"/>
        <w:spacing w:after="80"/>
      </w:pPr>
      <w:bookmarkStart w:id="816" w:name="TOC_SubC61"/>
      <w:bookmarkStart w:id="817" w:name="_Toc256754403"/>
      <w:bookmarkStart w:id="818" w:name="_Toc224818655"/>
      <w:r w:rsidRPr="001531CD">
        <w:t>Subchapter A.</w:t>
      </w:r>
      <w:bookmarkEnd w:id="816"/>
      <w:r w:rsidR="00167E2E">
        <w:tab/>
      </w:r>
      <w:bookmarkStart w:id="819" w:name="TOCT_SubC59"/>
      <w:bookmarkStart w:id="820" w:name="TOCT_SubC60"/>
      <w:bookmarkStart w:id="821" w:name="TOCT_SubC61"/>
      <w:r w:rsidRPr="001531CD">
        <w:t>Authorization and Administration of Farm Youth Loans and Loan Guarantees</w:t>
      </w:r>
      <w:bookmarkEnd w:id="817"/>
      <w:bookmarkEnd w:id="818"/>
      <w:bookmarkEnd w:id="819"/>
      <w:bookmarkEnd w:id="820"/>
      <w:bookmarkEnd w:id="821"/>
    </w:p>
    <w:p w14:paraId="4C3192D7" w14:textId="77777777" w:rsidR="00CF626A" w:rsidRPr="001531CD" w:rsidRDefault="00CF626A" w:rsidP="002D3F23">
      <w:pPr>
        <w:pStyle w:val="Section"/>
        <w:spacing w:after="80"/>
        <w:outlineLvl w:val="0"/>
      </w:pPr>
      <w:bookmarkStart w:id="822" w:name="_Toc256754404"/>
      <w:bookmarkStart w:id="823" w:name="_Toc224818656"/>
      <w:r w:rsidRPr="001531CD">
        <w:t>§1501.</w:t>
      </w:r>
      <w:r w:rsidRPr="001531CD">
        <w:tab/>
        <w:t>Definitions</w:t>
      </w:r>
      <w:bookmarkEnd w:id="822"/>
      <w:bookmarkEnd w:id="823"/>
    </w:p>
    <w:p w14:paraId="24DB31AD" w14:textId="77777777" w:rsidR="00CF626A" w:rsidRPr="001531CD" w:rsidRDefault="00CF626A" w:rsidP="002D3F23">
      <w:pPr>
        <w:pStyle w:val="A"/>
        <w:spacing w:after="80"/>
      </w:pPr>
      <w:r w:rsidRPr="001531CD">
        <w:rPr>
          <w:i/>
          <w:iCs/>
        </w:rPr>
        <w:t>Applicant</w:t>
      </w:r>
      <w:r w:rsidRPr="001531CD">
        <w:t>―a natural person applying for a farm youth loan or for a farm youth loan guarantee who is a resident of Louisiana and between 10 and 20 years of age.</w:t>
      </w:r>
    </w:p>
    <w:p w14:paraId="080D7F16" w14:textId="77777777" w:rsidR="00CF626A" w:rsidRPr="001531CD" w:rsidRDefault="00CF626A" w:rsidP="002D3F23">
      <w:pPr>
        <w:pStyle w:val="A"/>
        <w:spacing w:after="80"/>
      </w:pPr>
      <w:r w:rsidRPr="001531CD">
        <w:rPr>
          <w:i/>
          <w:iCs/>
        </w:rPr>
        <w:t>Borrower</w:t>
      </w:r>
      <w:r w:rsidRPr="001531CD">
        <w:t>―anyone who is granted a farm youth loan.</w:t>
      </w:r>
    </w:p>
    <w:p w14:paraId="08D11C2D" w14:textId="77777777" w:rsidR="00CF626A" w:rsidRPr="001531CD" w:rsidRDefault="00CF626A" w:rsidP="002D3F23">
      <w:pPr>
        <w:pStyle w:val="A"/>
        <w:spacing w:after="80"/>
      </w:pPr>
      <w:r w:rsidRPr="001531CD">
        <w:rPr>
          <w:i/>
          <w:iCs/>
        </w:rPr>
        <w:t>Commission</w:t>
      </w:r>
      <w:r w:rsidRPr="001531CD">
        <w:t>―the State Market Commission.</w:t>
      </w:r>
    </w:p>
    <w:p w14:paraId="5932B221" w14:textId="77777777" w:rsidR="00CF626A" w:rsidRPr="001531CD" w:rsidRDefault="00CF626A" w:rsidP="002D3F23">
      <w:pPr>
        <w:pStyle w:val="A"/>
        <w:spacing w:after="80"/>
      </w:pPr>
      <w:r w:rsidRPr="001531CD">
        <w:rPr>
          <w:i/>
          <w:iCs/>
        </w:rPr>
        <w:t>Commissioner</w:t>
      </w:r>
      <w:r w:rsidRPr="001531CD">
        <w:t>―the Commissioner of Agriculture.</w:t>
      </w:r>
    </w:p>
    <w:p w14:paraId="08E87648" w14:textId="77777777" w:rsidR="00CF626A" w:rsidRPr="001531CD" w:rsidRDefault="00CF626A">
      <w:pPr>
        <w:pStyle w:val="A"/>
      </w:pPr>
      <w:r w:rsidRPr="001531CD">
        <w:rPr>
          <w:i/>
          <w:iCs/>
        </w:rPr>
        <w:t>Compromise Agreement</w:t>
      </w:r>
      <w:r w:rsidRPr="001531CD">
        <w:t>―any agreement between the borrower and the commission or lender, in the case of a guaranteed loan, to satisfy the loan obligation incurred by the borrower.</w:t>
      </w:r>
    </w:p>
    <w:p w14:paraId="590E56E9" w14:textId="77777777" w:rsidR="00CF626A" w:rsidRPr="001531CD" w:rsidRDefault="00CF626A">
      <w:pPr>
        <w:pStyle w:val="A"/>
      </w:pPr>
      <w:r w:rsidRPr="001531CD">
        <w:rPr>
          <w:i/>
          <w:iCs/>
        </w:rPr>
        <w:t>Department</w:t>
      </w:r>
      <w:r w:rsidRPr="001531CD">
        <w:t>―the Department of Agriculture.</w:t>
      </w:r>
    </w:p>
    <w:p w14:paraId="16290FAC" w14:textId="77777777" w:rsidR="00CF626A" w:rsidRPr="001531CD" w:rsidRDefault="00CF626A">
      <w:pPr>
        <w:pStyle w:val="A"/>
      </w:pPr>
      <w:r w:rsidRPr="001531CD">
        <w:rPr>
          <w:i/>
          <w:iCs/>
        </w:rPr>
        <w:t>Farm Youth Loan</w:t>
      </w:r>
      <w:r w:rsidRPr="001531CD">
        <w:t>―a loan which shall be used for the purpose of raising, growing, and selling of livestock, poultry, eggs, or agronomic, horticultural, silvacultural, or aquacultural crops.</w:t>
      </w:r>
    </w:p>
    <w:p w14:paraId="404B09F5" w14:textId="77777777" w:rsidR="00CF626A" w:rsidRPr="001531CD" w:rsidRDefault="00CF626A">
      <w:pPr>
        <w:pStyle w:val="A"/>
      </w:pPr>
      <w:r w:rsidRPr="001531CD">
        <w:rPr>
          <w:i/>
          <w:iCs/>
        </w:rPr>
        <w:t>Farm Youth Loan Guarantee</w:t>
      </w:r>
      <w:r w:rsidRPr="001531CD">
        <w:t>―an agreement that, in the event of default, the state shall pay the lender 75 percent of the principal and interest due and payable under a farm youth loan secured by a chattel mortgage, crop lien or other security.</w:t>
      </w:r>
    </w:p>
    <w:p w14:paraId="19C9D8FE" w14:textId="77777777" w:rsidR="00CF626A" w:rsidRPr="001531CD" w:rsidRDefault="00CF626A">
      <w:pPr>
        <w:pStyle w:val="A"/>
      </w:pPr>
      <w:r w:rsidRPr="001531CD">
        <w:rPr>
          <w:i/>
          <w:iCs/>
        </w:rPr>
        <w:t>Lender</w:t>
      </w:r>
      <w:r w:rsidRPr="001531CD">
        <w:t>―any bank, financial institution or federal agency making loans to any borrower who is eligible for a farm youth loan guarantee.</w:t>
      </w:r>
    </w:p>
    <w:p w14:paraId="6F964BB5" w14:textId="77777777" w:rsidR="00CF626A" w:rsidRPr="001531CD" w:rsidRDefault="00CF626A">
      <w:pPr>
        <w:pStyle w:val="A"/>
      </w:pPr>
      <w:r w:rsidRPr="001531CD">
        <w:rPr>
          <w:i/>
          <w:iCs/>
        </w:rPr>
        <w:t>Supervisor</w:t>
      </w:r>
      <w:r w:rsidRPr="001531CD">
        <w:t>―any vocational agriculture teacher, home economics teacher, county agent, home demonstration agent or any other person who has responsibility for direct supervision of the project for which the loan funds are used.</w:t>
      </w:r>
    </w:p>
    <w:p w14:paraId="73E34ADF" w14:textId="77777777" w:rsidR="00CF626A" w:rsidRPr="001531CD" w:rsidRDefault="00CF626A">
      <w:pPr>
        <w:pStyle w:val="AuthorityNote"/>
      </w:pPr>
      <w:r w:rsidRPr="001531CD">
        <w:t>AUTHORITY NOTE:</w:t>
      </w:r>
      <w:r w:rsidRPr="001531CD">
        <w:tab/>
        <w:t>Promulgated in accordance with R.S. 3:542 and R.S. 3:543.</w:t>
      </w:r>
    </w:p>
    <w:p w14:paraId="71BC5168" w14:textId="77777777" w:rsidR="00CF626A" w:rsidRPr="001531CD" w:rsidRDefault="00CF626A">
      <w:pPr>
        <w:pStyle w:val="HistoricalNote"/>
      </w:pPr>
      <w:r w:rsidRPr="001531CD">
        <w:t>HISTORICAL NOTE:</w:t>
      </w:r>
      <w:r w:rsidRPr="001531CD">
        <w:tab/>
        <w:t>Promulgated by the Department of Agriculture, Market Commission, LR 8:269 (June 1982).</w:t>
      </w:r>
    </w:p>
    <w:p w14:paraId="608C017C" w14:textId="77777777" w:rsidR="00CF626A" w:rsidRPr="001531CD" w:rsidRDefault="00CF626A">
      <w:pPr>
        <w:pStyle w:val="Section"/>
      </w:pPr>
      <w:bookmarkStart w:id="824" w:name="_Toc256754405"/>
      <w:bookmarkStart w:id="825" w:name="_Toc224818657"/>
      <w:r w:rsidRPr="001531CD">
        <w:t>§1503.</w:t>
      </w:r>
      <w:r w:rsidRPr="001531CD">
        <w:tab/>
        <w:t>Applicant Eligibility Requirements</w:t>
      </w:r>
      <w:bookmarkEnd w:id="824"/>
      <w:bookmarkEnd w:id="825"/>
    </w:p>
    <w:p w14:paraId="7621D1E1" w14:textId="77777777" w:rsidR="00CF626A" w:rsidRPr="001531CD" w:rsidRDefault="00CF626A">
      <w:pPr>
        <w:pStyle w:val="A"/>
      </w:pPr>
      <w:r w:rsidRPr="001531CD">
        <w:t>A.</w:t>
      </w:r>
      <w:r w:rsidRPr="001531CD">
        <w:tab/>
        <w:t xml:space="preserve">The applicant must be a resident of Louisiana and between 10 and 20 years of age, i.e., already having had a </w:t>
      </w:r>
      <w:r w:rsidR="002D08BF" w:rsidRPr="001531CD">
        <w:t>ten</w:t>
      </w:r>
      <w:r w:rsidRPr="001531CD">
        <w:t xml:space="preserve">th birthday but not yet having a </w:t>
      </w:r>
      <w:r w:rsidR="002D08BF" w:rsidRPr="001531CD">
        <w:t>twentie</w:t>
      </w:r>
      <w:r w:rsidRPr="001531CD">
        <w:t>th birthday.</w:t>
      </w:r>
    </w:p>
    <w:p w14:paraId="0A7D8ACB" w14:textId="77777777" w:rsidR="00CF626A" w:rsidRPr="001531CD" w:rsidRDefault="00CF626A">
      <w:pPr>
        <w:pStyle w:val="A"/>
      </w:pPr>
      <w:r w:rsidRPr="001531CD">
        <w:t>B.</w:t>
      </w:r>
      <w:r w:rsidRPr="001531CD">
        <w:tab/>
        <w:t>The applicant must be a member in good standing of any 4-H Club, Future Farmers of America, Future Homemakers of America organization, or any other farm youth organization functioning within the state school system.</w:t>
      </w:r>
    </w:p>
    <w:p w14:paraId="0D425083" w14:textId="77777777" w:rsidR="00CF626A" w:rsidRPr="001531CD" w:rsidRDefault="00CF626A">
      <w:pPr>
        <w:pStyle w:val="A"/>
      </w:pPr>
      <w:r w:rsidRPr="001531CD">
        <w:t>C.</w:t>
      </w:r>
      <w:r w:rsidRPr="001531CD">
        <w:tab/>
        <w:t>The applicant must present a signed statement from the recommending supervisor of the project and/or the school principal, that the applicant's scholastic work is satisfactory.</w:t>
      </w:r>
    </w:p>
    <w:p w14:paraId="44175EFF" w14:textId="77777777" w:rsidR="00CF626A" w:rsidRPr="001531CD" w:rsidRDefault="00CF626A">
      <w:pPr>
        <w:pStyle w:val="A"/>
      </w:pPr>
      <w:r w:rsidRPr="001531CD">
        <w:t>D.</w:t>
      </w:r>
      <w:r w:rsidRPr="001531CD">
        <w:tab/>
        <w:t>The applicant must present a signed statement by the recommending supervisor of the project that in his opinion the applicant has a need for the loan.</w:t>
      </w:r>
    </w:p>
    <w:p w14:paraId="4FA43953" w14:textId="77777777" w:rsidR="00CF626A" w:rsidRPr="001531CD" w:rsidRDefault="00CF626A">
      <w:pPr>
        <w:pStyle w:val="A"/>
      </w:pPr>
      <w:r w:rsidRPr="001531CD">
        <w:lastRenderedPageBreak/>
        <w:t>E.</w:t>
      </w:r>
      <w:r w:rsidRPr="001531CD">
        <w:tab/>
        <w:t>The applicant must present a signed statement by the recommending supervisor that he is a member in good standing of a farm youth organization recognized by the commission and that:</w:t>
      </w:r>
    </w:p>
    <w:p w14:paraId="6A37F313" w14:textId="77777777" w:rsidR="00CF626A" w:rsidRPr="001531CD" w:rsidRDefault="00CF626A">
      <w:pPr>
        <w:pStyle w:val="1"/>
      </w:pPr>
      <w:r w:rsidRPr="001531CD">
        <w:t>1.</w:t>
      </w:r>
      <w:r w:rsidRPr="001531CD">
        <w:tab/>
        <w:t>the project for which the loan will be used will be closely supervised by the recommending supervisor;</w:t>
      </w:r>
    </w:p>
    <w:p w14:paraId="7F751C81" w14:textId="77777777" w:rsidR="00CF626A" w:rsidRPr="001531CD" w:rsidRDefault="00CF626A">
      <w:pPr>
        <w:pStyle w:val="1"/>
      </w:pPr>
      <w:r w:rsidRPr="001531CD">
        <w:t>2.</w:t>
      </w:r>
      <w:r w:rsidRPr="001531CD">
        <w:tab/>
        <w:t>the applicant is eligible for the loan; and</w:t>
      </w:r>
    </w:p>
    <w:p w14:paraId="4AD383B0" w14:textId="77777777" w:rsidR="00CF626A" w:rsidRPr="001531CD" w:rsidRDefault="00CF626A">
      <w:pPr>
        <w:pStyle w:val="1"/>
      </w:pPr>
      <w:r w:rsidRPr="001531CD">
        <w:t>3.</w:t>
      </w:r>
      <w:r w:rsidRPr="001531CD">
        <w:tab/>
        <w:t>the loan is recommended.</w:t>
      </w:r>
    </w:p>
    <w:p w14:paraId="2F6FD679" w14:textId="77777777" w:rsidR="00CF626A" w:rsidRPr="001531CD" w:rsidRDefault="00CF626A">
      <w:pPr>
        <w:pStyle w:val="A"/>
      </w:pPr>
      <w:r w:rsidRPr="001531CD">
        <w:t>F.</w:t>
      </w:r>
      <w:r w:rsidRPr="001531CD">
        <w:tab/>
        <w:t>The applicant must present a signed statement by his parents or guardian that they approve of his participation in the Farm Youth Loan Program and will fully cooperate with the supervisor of the project and the market commission.</w:t>
      </w:r>
    </w:p>
    <w:p w14:paraId="7083AA22" w14:textId="77777777" w:rsidR="00CF626A" w:rsidRPr="001531CD" w:rsidRDefault="00CF626A">
      <w:pPr>
        <w:pStyle w:val="A"/>
      </w:pPr>
      <w:r w:rsidRPr="001531CD">
        <w:t>G.</w:t>
      </w:r>
      <w:r w:rsidRPr="001531CD">
        <w:tab/>
        <w:t>The applicant must clearly demonstrate to the commission that the project for which the loan will be used will generate adequate funds to pay back the loan according to the terms of the loan.</w:t>
      </w:r>
    </w:p>
    <w:p w14:paraId="0622D3D0" w14:textId="77777777" w:rsidR="00CF626A" w:rsidRPr="001531CD" w:rsidRDefault="00CF626A">
      <w:pPr>
        <w:pStyle w:val="A"/>
      </w:pPr>
      <w:r w:rsidRPr="001531CD">
        <w:t>H.</w:t>
      </w:r>
      <w:r w:rsidRPr="001531CD">
        <w:tab/>
        <w:t>The applicant must establish a checking or savings account at a bank of his choice for the purpose of receiving and disbursing loan funds to be used for the purposes of the loan.</w:t>
      </w:r>
    </w:p>
    <w:p w14:paraId="012496FA" w14:textId="77777777" w:rsidR="00CF626A" w:rsidRPr="001531CD" w:rsidRDefault="00CF626A">
      <w:pPr>
        <w:pStyle w:val="A"/>
      </w:pPr>
      <w:r w:rsidRPr="001531CD">
        <w:t>I.</w:t>
      </w:r>
      <w:r w:rsidRPr="001531CD">
        <w:tab/>
        <w:t>The checking or savings account must require joint signatures of the applicant and project supervisor or parent/guardian for the withdrawal of funds to be used to pay expenses incurred by the project.</w:t>
      </w:r>
    </w:p>
    <w:p w14:paraId="73C0A213" w14:textId="77777777" w:rsidR="00CF626A" w:rsidRPr="001531CD" w:rsidRDefault="00CF626A">
      <w:pPr>
        <w:pStyle w:val="AuthorityNote"/>
      </w:pPr>
      <w:r w:rsidRPr="001531CD">
        <w:t>AUTHORITY NOTE:</w:t>
      </w:r>
      <w:r w:rsidRPr="001531CD">
        <w:tab/>
        <w:t>Promulgated in accordance with R.S. 3:545, R.S. 3:546 and R.S. 3:543.</w:t>
      </w:r>
    </w:p>
    <w:p w14:paraId="4016A804"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4038833C" w14:textId="77777777" w:rsidR="00CF626A" w:rsidRPr="001531CD" w:rsidRDefault="00CF626A">
      <w:pPr>
        <w:pStyle w:val="Section"/>
      </w:pPr>
      <w:bookmarkStart w:id="826" w:name="_Toc256754406"/>
      <w:bookmarkStart w:id="827" w:name="_Toc224818658"/>
      <w:r w:rsidRPr="001531CD">
        <w:t>§1505.</w:t>
      </w:r>
      <w:r w:rsidRPr="001531CD">
        <w:tab/>
        <w:t>Time and Manner of Filing Application</w:t>
      </w:r>
      <w:bookmarkEnd w:id="826"/>
      <w:bookmarkEnd w:id="827"/>
    </w:p>
    <w:p w14:paraId="530F7035" w14:textId="77777777" w:rsidR="00CF626A" w:rsidRPr="001531CD" w:rsidRDefault="00CF626A">
      <w:pPr>
        <w:pStyle w:val="A"/>
      </w:pPr>
      <w:r w:rsidRPr="001531CD">
        <w:t>A.</w:t>
      </w:r>
      <w:r w:rsidRPr="001531CD">
        <w:tab/>
        <w:t>Applications may be filed at any time throughout the year and may be personally delivered to the State Market Commission Office in Baton Rouge or forwarded through the U.S. mail.</w:t>
      </w:r>
    </w:p>
    <w:p w14:paraId="1250922D" w14:textId="77777777" w:rsidR="00CF626A" w:rsidRPr="001531CD" w:rsidRDefault="00CF626A">
      <w:pPr>
        <w:pStyle w:val="A"/>
      </w:pPr>
      <w:r w:rsidRPr="001531CD">
        <w:t>B.</w:t>
      </w:r>
      <w:r w:rsidRPr="001531CD">
        <w:tab/>
        <w:t>An application will be considered filed only upon provision of all information required in §1507.</w:t>
      </w:r>
    </w:p>
    <w:p w14:paraId="3804718F" w14:textId="77777777" w:rsidR="00CF626A" w:rsidRPr="001531CD" w:rsidRDefault="00CF626A">
      <w:pPr>
        <w:pStyle w:val="A"/>
      </w:pPr>
      <w:r w:rsidRPr="001531CD">
        <w:t>C.</w:t>
      </w:r>
      <w:r w:rsidRPr="001531CD">
        <w:tab/>
        <w:t>A complete application must be physically on hand in the State Market Commission Office at least 10 working days prior to the meeting at which the application will be considered by the commission.</w:t>
      </w:r>
    </w:p>
    <w:p w14:paraId="1D85510B" w14:textId="77777777" w:rsidR="00CF626A" w:rsidRPr="001531CD" w:rsidRDefault="00CF626A">
      <w:pPr>
        <w:pStyle w:val="A"/>
      </w:pPr>
      <w:r w:rsidRPr="001531CD">
        <w:t>D.</w:t>
      </w:r>
      <w:r w:rsidRPr="001531CD">
        <w:tab/>
        <w:t>In the case of an application for a loan guaranty, the application must be jointly executed by the applicant and the lender on forms provided by the commission.</w:t>
      </w:r>
    </w:p>
    <w:p w14:paraId="1E82E186" w14:textId="77777777" w:rsidR="00CF626A" w:rsidRPr="001531CD" w:rsidRDefault="00CF626A">
      <w:pPr>
        <w:pStyle w:val="AuthorityNote"/>
      </w:pPr>
      <w:r w:rsidRPr="001531CD">
        <w:t>AUTHORITY NOTE:</w:t>
      </w:r>
      <w:r w:rsidRPr="001531CD">
        <w:tab/>
        <w:t>Promulgated in accordance with R.S. 3:547, R.S. 3:549 and R.S. 3:543.</w:t>
      </w:r>
    </w:p>
    <w:p w14:paraId="1E1292F2"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499C0968" w14:textId="77777777" w:rsidR="00CF626A" w:rsidRPr="001531CD" w:rsidRDefault="00CF626A">
      <w:pPr>
        <w:pStyle w:val="Section"/>
      </w:pPr>
      <w:bookmarkStart w:id="828" w:name="_Toc256754407"/>
      <w:bookmarkStart w:id="829" w:name="_Toc224818659"/>
      <w:r w:rsidRPr="001531CD">
        <w:t>§1507.</w:t>
      </w:r>
      <w:r w:rsidRPr="001531CD">
        <w:tab/>
        <w:t>Contents of the Application</w:t>
      </w:r>
      <w:bookmarkEnd w:id="828"/>
      <w:bookmarkEnd w:id="829"/>
    </w:p>
    <w:p w14:paraId="0221BD2B" w14:textId="77777777" w:rsidR="00CF626A" w:rsidRPr="001531CD" w:rsidRDefault="00CF626A">
      <w:pPr>
        <w:pStyle w:val="A"/>
      </w:pPr>
      <w:r w:rsidRPr="001531CD">
        <w:t>A.</w:t>
      </w:r>
      <w:r w:rsidRPr="001531CD">
        <w:tab/>
        <w:t>Name and addresses of the applicant and applicant's parents or guardian.</w:t>
      </w:r>
    </w:p>
    <w:p w14:paraId="6362BAB0" w14:textId="77777777" w:rsidR="00CF626A" w:rsidRPr="001531CD" w:rsidRDefault="00CF626A">
      <w:pPr>
        <w:pStyle w:val="A"/>
      </w:pPr>
      <w:r w:rsidRPr="001531CD">
        <w:t>B.</w:t>
      </w:r>
      <w:r w:rsidRPr="001531CD">
        <w:tab/>
        <w:t>Name and address of recommending supervisor of the project.</w:t>
      </w:r>
    </w:p>
    <w:p w14:paraId="5DA0E840" w14:textId="77777777" w:rsidR="00CF626A" w:rsidRPr="001531CD" w:rsidRDefault="00CF626A">
      <w:pPr>
        <w:pStyle w:val="A"/>
      </w:pPr>
      <w:r w:rsidRPr="001531CD">
        <w:t>C.</w:t>
      </w:r>
      <w:r w:rsidRPr="001531CD">
        <w:tab/>
        <w:t>Personal financial statement of the applicant, signed by the applicant and parents or guardian, on forms provided by the commission.</w:t>
      </w:r>
    </w:p>
    <w:p w14:paraId="00FAC8D4" w14:textId="77777777" w:rsidR="00CF626A" w:rsidRPr="001531CD" w:rsidRDefault="00CF626A">
      <w:pPr>
        <w:pStyle w:val="A"/>
      </w:pPr>
      <w:r w:rsidRPr="001531CD">
        <w:t>D.</w:t>
      </w:r>
      <w:r w:rsidRPr="001531CD">
        <w:tab/>
        <w:t>A budget reflecting estimated expenses, income and repayment of the loan for the term of the loan.</w:t>
      </w:r>
    </w:p>
    <w:p w14:paraId="2FF71DDF" w14:textId="77777777" w:rsidR="00CF626A" w:rsidRPr="001531CD" w:rsidRDefault="00CF626A">
      <w:pPr>
        <w:pStyle w:val="A"/>
      </w:pPr>
      <w:r w:rsidRPr="001531CD">
        <w:t>E.</w:t>
      </w:r>
      <w:r w:rsidRPr="001531CD">
        <w:tab/>
        <w:t>Signed statements requested of the recommending supervisor and parents or guardian as required in §1503.</w:t>
      </w:r>
    </w:p>
    <w:p w14:paraId="3641B7F9" w14:textId="77777777" w:rsidR="00CF626A" w:rsidRPr="001531CD" w:rsidRDefault="00CF626A">
      <w:pPr>
        <w:pStyle w:val="A"/>
      </w:pPr>
      <w:r w:rsidRPr="001531CD">
        <w:t>F.</w:t>
      </w:r>
      <w:r w:rsidRPr="001531CD">
        <w:tab/>
        <w:t>The name of the bank and the account number to which loan funds shall be deposited and authorized signatures for the withdrawal of funds.</w:t>
      </w:r>
    </w:p>
    <w:p w14:paraId="123BA723" w14:textId="77777777" w:rsidR="00CF626A" w:rsidRPr="001531CD" w:rsidRDefault="00CF626A">
      <w:pPr>
        <w:pStyle w:val="AuthorityNote"/>
      </w:pPr>
      <w:r w:rsidRPr="001531CD">
        <w:t>AUTHORITY NOTE:</w:t>
      </w:r>
      <w:r w:rsidRPr="001531CD">
        <w:tab/>
        <w:t>Promulgated in accordance with R.S. 3:547, R.S. 3:549 and R.S. 3:543.</w:t>
      </w:r>
    </w:p>
    <w:p w14:paraId="15879314"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0D2223EF" w14:textId="77777777" w:rsidR="00CF626A" w:rsidRPr="001531CD" w:rsidRDefault="00CF626A">
      <w:pPr>
        <w:pStyle w:val="Section"/>
      </w:pPr>
      <w:bookmarkStart w:id="830" w:name="_Toc256754408"/>
      <w:bookmarkStart w:id="831" w:name="_Toc224818660"/>
      <w:r w:rsidRPr="001531CD">
        <w:t>§1509.</w:t>
      </w:r>
      <w:r w:rsidRPr="001531CD">
        <w:tab/>
        <w:t>Application for Farm Youth Loans and Loan Guarantees</w:t>
      </w:r>
      <w:bookmarkEnd w:id="830"/>
      <w:bookmarkEnd w:id="831"/>
    </w:p>
    <w:p w14:paraId="71C94E1B" w14:textId="77777777" w:rsidR="00CF626A" w:rsidRPr="001531CD" w:rsidRDefault="00CF626A">
      <w:pPr>
        <w:pStyle w:val="A"/>
      </w:pPr>
      <w:r w:rsidRPr="001531CD">
        <w:t>A.</w:t>
      </w:r>
      <w:r w:rsidRPr="001531CD">
        <w:tab/>
        <w:t>The applicant must meet all criteria for eligibility set forth in §1503.</w:t>
      </w:r>
    </w:p>
    <w:p w14:paraId="52C64A2F" w14:textId="77777777" w:rsidR="00CF626A" w:rsidRPr="001531CD" w:rsidRDefault="00CF626A">
      <w:pPr>
        <w:pStyle w:val="A"/>
      </w:pPr>
      <w:r w:rsidRPr="001531CD">
        <w:t>B.</w:t>
      </w:r>
      <w:r w:rsidRPr="001531CD">
        <w:tab/>
        <w:t>The loan shall have a maximum term of five years.</w:t>
      </w:r>
    </w:p>
    <w:p w14:paraId="1C18C7F7" w14:textId="77777777" w:rsidR="00CF626A" w:rsidRPr="001531CD" w:rsidRDefault="00CF626A">
      <w:pPr>
        <w:pStyle w:val="A"/>
      </w:pPr>
      <w:r w:rsidRPr="001531CD">
        <w:t>C.</w:t>
      </w:r>
      <w:r w:rsidRPr="001531CD">
        <w:tab/>
        <w:t>The loan shall not exceed a maximum of $3,000.</w:t>
      </w:r>
    </w:p>
    <w:p w14:paraId="7DBC0EDE" w14:textId="77777777" w:rsidR="00CF626A" w:rsidRPr="001531CD" w:rsidRDefault="00CF626A">
      <w:pPr>
        <w:pStyle w:val="A"/>
      </w:pPr>
      <w:r w:rsidRPr="001531CD">
        <w:t>D.</w:t>
      </w:r>
      <w:r w:rsidRPr="001531CD">
        <w:tab/>
        <w:t>In the case of a guaranteed loan, the guarantee shall not exceed 75 percent of the sums, in principal and interest, due and payable under the mortgage or crop lien securing the loan.</w:t>
      </w:r>
    </w:p>
    <w:p w14:paraId="32934712" w14:textId="77777777" w:rsidR="00CF626A" w:rsidRPr="001531CD" w:rsidRDefault="00CF626A">
      <w:pPr>
        <w:pStyle w:val="A"/>
      </w:pPr>
      <w:r w:rsidRPr="001531CD">
        <w:t>E.</w:t>
      </w:r>
      <w:r w:rsidRPr="001531CD">
        <w:tab/>
        <w:t>The interest rate on any direct loan shall not exceed the interest rate charged by the Farmer's Home Administration on youth project loans.</w:t>
      </w:r>
    </w:p>
    <w:p w14:paraId="571A5115" w14:textId="77777777" w:rsidR="00CF626A" w:rsidRPr="001531CD" w:rsidRDefault="00CF626A">
      <w:pPr>
        <w:pStyle w:val="A"/>
      </w:pPr>
      <w:r w:rsidRPr="001531CD">
        <w:t>F.</w:t>
      </w:r>
      <w:r w:rsidRPr="001531CD">
        <w:tab/>
        <w:t>The interest rate on any guaranteed loan shall not exceed the average prevailing rate of interest on farm loans made by banks, financial institutions or federal agencies in the community where the loan is made.</w:t>
      </w:r>
    </w:p>
    <w:p w14:paraId="27A580C6" w14:textId="77777777" w:rsidR="00CF626A" w:rsidRPr="001531CD" w:rsidRDefault="00CF626A">
      <w:pPr>
        <w:pStyle w:val="AuthorityNote"/>
      </w:pPr>
      <w:r w:rsidRPr="001531CD">
        <w:t>AUTHORITY NOTE:</w:t>
      </w:r>
      <w:r w:rsidRPr="001531CD">
        <w:tab/>
        <w:t>Promulgated in accordance with R.S. 3:548, R.S. 3:549 and R.S. 3:543.</w:t>
      </w:r>
    </w:p>
    <w:p w14:paraId="134A0639"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19DD6777" w14:textId="77777777" w:rsidR="00CF626A" w:rsidRPr="001531CD" w:rsidRDefault="00CF626A">
      <w:pPr>
        <w:pStyle w:val="Section"/>
      </w:pPr>
      <w:bookmarkStart w:id="832" w:name="_Toc256754409"/>
      <w:bookmarkStart w:id="833" w:name="_Toc224818661"/>
      <w:r w:rsidRPr="001531CD">
        <w:t>§1511.</w:t>
      </w:r>
      <w:r w:rsidRPr="001531CD">
        <w:tab/>
        <w:t>Approval or Denial of Loan Applications and Notification of Commission Action</w:t>
      </w:r>
      <w:bookmarkEnd w:id="832"/>
      <w:bookmarkEnd w:id="833"/>
    </w:p>
    <w:p w14:paraId="5DD700E4" w14:textId="77777777" w:rsidR="00CF626A" w:rsidRPr="001531CD" w:rsidRDefault="00CF626A">
      <w:pPr>
        <w:pStyle w:val="A"/>
      </w:pPr>
      <w:r w:rsidRPr="001531CD">
        <w:t>A.</w:t>
      </w:r>
      <w:r w:rsidRPr="001531CD">
        <w:tab/>
        <w:t>An application for a farm youth loan or loan guarantee shall be submitted for market commission consideration at the first commission meeting occurring at least 10 working days following submission of the completed application.</w:t>
      </w:r>
    </w:p>
    <w:p w14:paraId="1C4A21AB" w14:textId="77777777" w:rsidR="00CF626A" w:rsidRPr="001531CD" w:rsidRDefault="00CF626A">
      <w:pPr>
        <w:pStyle w:val="A"/>
      </w:pPr>
      <w:r w:rsidRPr="001531CD">
        <w:t>B.</w:t>
      </w:r>
      <w:r w:rsidRPr="001531CD">
        <w:tab/>
        <w:t>The commission shall approve/deny such application in accordance with the criteria set forth in applicant eligibility requirements, time and manner of filing applications, contents of application, and conditions for approval of applications for loans and loan guarantees.</w:t>
      </w:r>
    </w:p>
    <w:p w14:paraId="62FA53BE" w14:textId="77777777" w:rsidR="00CF626A" w:rsidRPr="001531CD" w:rsidRDefault="00CF626A">
      <w:pPr>
        <w:pStyle w:val="A"/>
      </w:pPr>
      <w:r w:rsidRPr="001531CD">
        <w:t>C.</w:t>
      </w:r>
      <w:r w:rsidRPr="001531CD">
        <w:tab/>
        <w:t>Upon approval of an application for a direct loan, the commission shall immediately notify the applicant by letter of the approval along with procedures for disbursement of funds to the applicant.</w:t>
      </w:r>
    </w:p>
    <w:p w14:paraId="386B89D3" w14:textId="77777777" w:rsidR="00CF626A" w:rsidRPr="001531CD" w:rsidRDefault="00CF626A">
      <w:pPr>
        <w:pStyle w:val="A"/>
      </w:pPr>
      <w:r w:rsidRPr="001531CD">
        <w:t>D.</w:t>
      </w:r>
      <w:r w:rsidRPr="001531CD">
        <w:tab/>
        <w:t xml:space="preserve">Upon approval of an application for a guaranteed loan, the commission shall immediately notify the lender and </w:t>
      </w:r>
      <w:r w:rsidRPr="001531CD">
        <w:lastRenderedPageBreak/>
        <w:t>applicant by letter of the approval along with procedures for execution of the loan guarantee agreement.</w:t>
      </w:r>
    </w:p>
    <w:p w14:paraId="1093296A" w14:textId="77777777" w:rsidR="00CF626A" w:rsidRPr="001531CD" w:rsidRDefault="00CF626A">
      <w:pPr>
        <w:pStyle w:val="A"/>
      </w:pPr>
      <w:r w:rsidRPr="001531CD">
        <w:t>E.</w:t>
      </w:r>
      <w:r w:rsidRPr="001531CD">
        <w:tab/>
        <w:t>Upon denial of an application for a direct loan or loan guarantee the commission shall immediately notify the applicant, and lender if applicable, by letter stating the reason(s) for such disapproval by the commission.</w:t>
      </w:r>
    </w:p>
    <w:p w14:paraId="78A87F1A" w14:textId="77777777" w:rsidR="00CF626A" w:rsidRPr="001531CD" w:rsidRDefault="00CF626A">
      <w:pPr>
        <w:pStyle w:val="AuthorityNote"/>
      </w:pPr>
      <w:r w:rsidRPr="001531CD">
        <w:t>AUTHORITY NOTE:</w:t>
      </w:r>
      <w:r w:rsidRPr="001531CD">
        <w:tab/>
        <w:t>Promulgated in accordance with R.S. 3:547, R.S. 3:549 and R.S. 3:543.</w:t>
      </w:r>
    </w:p>
    <w:p w14:paraId="7321001A"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540DE8CB" w14:textId="77777777" w:rsidR="00CF626A" w:rsidRPr="001531CD" w:rsidRDefault="00CF626A">
      <w:pPr>
        <w:pStyle w:val="Section"/>
      </w:pPr>
      <w:bookmarkStart w:id="834" w:name="_Toc256754410"/>
      <w:bookmarkStart w:id="835" w:name="_Toc224818662"/>
      <w:r w:rsidRPr="001531CD">
        <w:t>§1513.</w:t>
      </w:r>
      <w:r w:rsidRPr="001531CD">
        <w:tab/>
        <w:t>Re-Application; Review of Determination</w:t>
      </w:r>
      <w:bookmarkEnd w:id="834"/>
      <w:bookmarkEnd w:id="835"/>
    </w:p>
    <w:p w14:paraId="34A89D9F" w14:textId="77777777" w:rsidR="00CF626A" w:rsidRPr="001531CD" w:rsidRDefault="00CF626A">
      <w:pPr>
        <w:pStyle w:val="A"/>
      </w:pPr>
      <w:r w:rsidRPr="001531CD">
        <w:t>A.</w:t>
      </w:r>
      <w:r w:rsidRPr="001531CD">
        <w:tab/>
        <w:t>An applicant whose application has been denied by the commission may re-apply at any time whenever his circumstances change whereby the reasons for denial have been corrected.</w:t>
      </w:r>
    </w:p>
    <w:p w14:paraId="43B3A97D" w14:textId="77777777" w:rsidR="00CF626A" w:rsidRPr="001531CD" w:rsidRDefault="00CF626A">
      <w:pPr>
        <w:pStyle w:val="AuthorityNote"/>
      </w:pPr>
      <w:r w:rsidRPr="001531CD">
        <w:t>AUTHORITY NOTE:</w:t>
      </w:r>
      <w:r w:rsidRPr="001531CD">
        <w:tab/>
        <w:t>Promulgated in accordance with R.S. 3:547 and R.S. 3:549.</w:t>
      </w:r>
    </w:p>
    <w:p w14:paraId="5E79FA3F"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08823AED" w14:textId="77777777" w:rsidR="00CF626A" w:rsidRPr="001531CD" w:rsidRDefault="00CF626A">
      <w:pPr>
        <w:pStyle w:val="Section"/>
      </w:pPr>
      <w:bookmarkStart w:id="836" w:name="_Toc256754411"/>
      <w:bookmarkStart w:id="837" w:name="_Toc224818663"/>
      <w:r w:rsidRPr="001531CD">
        <w:t>§1515.</w:t>
      </w:r>
      <w:r w:rsidRPr="001531CD">
        <w:tab/>
        <w:t>Disbursement of Loan Proceeds to the Borrower</w:t>
      </w:r>
      <w:bookmarkEnd w:id="836"/>
      <w:bookmarkEnd w:id="837"/>
    </w:p>
    <w:p w14:paraId="071B4921" w14:textId="77777777" w:rsidR="00CF626A" w:rsidRPr="001531CD" w:rsidRDefault="00CF626A">
      <w:pPr>
        <w:pStyle w:val="A"/>
      </w:pPr>
      <w:r w:rsidRPr="001531CD">
        <w:t>A.</w:t>
      </w:r>
      <w:r w:rsidRPr="001531CD">
        <w:tab/>
        <w:t>Prior to disbursement of loan funds all legal instruments must be examined and approved by the department attorney.</w:t>
      </w:r>
    </w:p>
    <w:p w14:paraId="3CD11EDA" w14:textId="77777777" w:rsidR="00CF626A" w:rsidRPr="001531CD" w:rsidRDefault="00CF626A">
      <w:pPr>
        <w:pStyle w:val="A"/>
      </w:pPr>
      <w:r w:rsidRPr="001531CD">
        <w:t>B.</w:t>
      </w:r>
      <w:r w:rsidRPr="001531CD">
        <w:tab/>
        <w:t>On the date of disbursement of loan proceeds the borrower must execute a note secured by a chattel mortgage or crop lien payable to the market commission setting forth the terms and conditions under which the loan will be repaid.</w:t>
      </w:r>
    </w:p>
    <w:p w14:paraId="3D995CF3" w14:textId="77777777" w:rsidR="00CF626A" w:rsidRPr="001531CD" w:rsidRDefault="00CF626A">
      <w:pPr>
        <w:pStyle w:val="A"/>
      </w:pPr>
      <w:r w:rsidRPr="001531CD">
        <w:t>C.</w:t>
      </w:r>
      <w:r w:rsidRPr="001531CD">
        <w:tab/>
        <w:t>On the date of disbursement of loan proceeds the borrower must execute a chattel mortgage or crop lien payable to the market commission, which instrument shall contain, but not be limited to, the following:</w:t>
      </w:r>
    </w:p>
    <w:p w14:paraId="3F8FA241" w14:textId="77777777" w:rsidR="00CF626A" w:rsidRPr="001531CD" w:rsidRDefault="00CF626A">
      <w:pPr>
        <w:pStyle w:val="1"/>
      </w:pPr>
      <w:r w:rsidRPr="001531CD">
        <w:t>1.</w:t>
      </w:r>
      <w:r w:rsidRPr="001531CD">
        <w:tab/>
        <w:t>the amount loaned;</w:t>
      </w:r>
    </w:p>
    <w:p w14:paraId="04507880" w14:textId="77777777" w:rsidR="00CF626A" w:rsidRPr="001531CD" w:rsidRDefault="00CF626A">
      <w:pPr>
        <w:pStyle w:val="1"/>
      </w:pPr>
      <w:r w:rsidRPr="001531CD">
        <w:t>2.</w:t>
      </w:r>
      <w:r w:rsidRPr="001531CD">
        <w:tab/>
        <w:t>the rate of interest;</w:t>
      </w:r>
    </w:p>
    <w:p w14:paraId="1E2B74A9" w14:textId="77777777" w:rsidR="00CF626A" w:rsidRPr="001531CD" w:rsidRDefault="00CF626A">
      <w:pPr>
        <w:pStyle w:val="1"/>
      </w:pPr>
      <w:r w:rsidRPr="001531CD">
        <w:t>3.</w:t>
      </w:r>
      <w:r w:rsidRPr="001531CD">
        <w:tab/>
        <w:t>the repayment schedule;</w:t>
      </w:r>
    </w:p>
    <w:p w14:paraId="042726AE" w14:textId="77777777" w:rsidR="00CF626A" w:rsidRPr="001531CD" w:rsidRDefault="00CF626A">
      <w:pPr>
        <w:pStyle w:val="1"/>
      </w:pPr>
      <w:r w:rsidRPr="001531CD">
        <w:t>4.</w:t>
      </w:r>
      <w:r w:rsidRPr="001531CD">
        <w:tab/>
        <w:t>description of items offered as security;</w:t>
      </w:r>
    </w:p>
    <w:p w14:paraId="6D0385EC" w14:textId="77777777" w:rsidR="00CF626A" w:rsidRPr="001531CD" w:rsidRDefault="00CF626A">
      <w:pPr>
        <w:pStyle w:val="1"/>
      </w:pPr>
      <w:r w:rsidRPr="001531CD">
        <w:t>5.</w:t>
      </w:r>
      <w:r w:rsidRPr="001531CD">
        <w:tab/>
        <w:t>provision for executory process;</w:t>
      </w:r>
    </w:p>
    <w:p w14:paraId="3B35AF16" w14:textId="77777777" w:rsidR="00CF626A" w:rsidRPr="001531CD" w:rsidRDefault="00CF626A">
      <w:pPr>
        <w:pStyle w:val="1"/>
      </w:pPr>
      <w:r w:rsidRPr="001531CD">
        <w:t>6.</w:t>
      </w:r>
      <w:r w:rsidRPr="001531CD">
        <w:tab/>
        <w:t>provision for payment of all costs of foreclosure, including attorney's fees at 25 percent of the principal balance and interest accrued at foreclosure.</w:t>
      </w:r>
    </w:p>
    <w:p w14:paraId="158ABEAE" w14:textId="77777777" w:rsidR="00CF626A" w:rsidRPr="001531CD" w:rsidRDefault="00CF626A">
      <w:pPr>
        <w:pStyle w:val="A"/>
      </w:pPr>
      <w:r w:rsidRPr="001531CD">
        <w:t>D.</w:t>
      </w:r>
      <w:r w:rsidRPr="001531CD">
        <w:tab/>
        <w:t>The commissioner of agriculture or his designee, as official representative of the State Market Commission, shall execute all necessary legal instruments at the time of the disbursement of loan proceeds.</w:t>
      </w:r>
    </w:p>
    <w:p w14:paraId="06C1CAF8" w14:textId="77777777" w:rsidR="00CF626A" w:rsidRPr="001531CD" w:rsidRDefault="00CF626A">
      <w:pPr>
        <w:pStyle w:val="A"/>
      </w:pPr>
      <w:r w:rsidRPr="001531CD">
        <w:t>E.</w:t>
      </w:r>
      <w:r w:rsidRPr="001531CD">
        <w:tab/>
        <w:t>The disbursement of loan proceeds shall be by check and shall be deposited into the bank account number on behalf of the borrower as designated on the loan application.</w:t>
      </w:r>
    </w:p>
    <w:p w14:paraId="53943095" w14:textId="77777777" w:rsidR="00CF626A" w:rsidRPr="001531CD" w:rsidRDefault="00CF626A">
      <w:pPr>
        <w:pStyle w:val="A"/>
      </w:pPr>
      <w:r w:rsidRPr="001531CD">
        <w:t>F.</w:t>
      </w:r>
      <w:r w:rsidRPr="001531CD">
        <w:tab/>
        <w:t>No loan for the purchase of livestock shall be funded until issuance of a health certificate from a licensed veterinarian certifying that the livestock to be purchased is sound, healthy, and free from all diseases.</w:t>
      </w:r>
    </w:p>
    <w:p w14:paraId="7718AF93" w14:textId="77777777" w:rsidR="00CF626A" w:rsidRPr="001531CD" w:rsidRDefault="00CF626A">
      <w:pPr>
        <w:pStyle w:val="AuthorityNote"/>
      </w:pPr>
      <w:r w:rsidRPr="001531CD">
        <w:t>AUTHORITY NOTE:</w:t>
      </w:r>
      <w:r w:rsidRPr="001531CD">
        <w:tab/>
        <w:t>Promulgated in accordance with R.S. 3:548 and R.S. 3:543.</w:t>
      </w:r>
    </w:p>
    <w:p w14:paraId="09148661" w14:textId="77777777" w:rsidR="00CF626A" w:rsidRPr="001531CD" w:rsidRDefault="00CF626A">
      <w:pPr>
        <w:pStyle w:val="HistoricalNote"/>
      </w:pPr>
      <w:r w:rsidRPr="001531CD">
        <w:t>HISTORICAL NOTE:</w:t>
      </w:r>
      <w:r w:rsidRPr="001531CD">
        <w:tab/>
        <w:t>Promulgated by the Department of Agriculture, Market Commission, LR 8:270 (June 1982).</w:t>
      </w:r>
    </w:p>
    <w:p w14:paraId="7373E0F8" w14:textId="77777777" w:rsidR="00CF626A" w:rsidRPr="001531CD" w:rsidRDefault="00CF626A">
      <w:pPr>
        <w:pStyle w:val="Section"/>
      </w:pPr>
      <w:bookmarkStart w:id="838" w:name="_Toc256754412"/>
      <w:bookmarkStart w:id="839" w:name="_Toc224818664"/>
      <w:r w:rsidRPr="001531CD">
        <w:t>§1517.</w:t>
      </w:r>
      <w:r w:rsidRPr="001531CD">
        <w:tab/>
        <w:t>Concurrence in Loan Guarantees</w:t>
      </w:r>
      <w:bookmarkEnd w:id="838"/>
      <w:bookmarkEnd w:id="839"/>
    </w:p>
    <w:p w14:paraId="3F8A90F7" w14:textId="77777777" w:rsidR="00CF626A" w:rsidRPr="001531CD" w:rsidRDefault="00CF626A">
      <w:pPr>
        <w:pStyle w:val="A"/>
      </w:pPr>
      <w:r w:rsidRPr="001531CD">
        <w:t>A.</w:t>
      </w:r>
      <w:r w:rsidRPr="001531CD">
        <w:tab/>
        <w:t>The borrower must provide for the market commission file record a copy of the note and the chattel mortgage or crop lien payable to the lender and any other data deemed necessary by the market commission staff.</w:t>
      </w:r>
    </w:p>
    <w:p w14:paraId="41E82BC5" w14:textId="77777777" w:rsidR="00CF626A" w:rsidRPr="001531CD" w:rsidRDefault="00CF626A">
      <w:pPr>
        <w:pStyle w:val="A"/>
      </w:pPr>
      <w:r w:rsidRPr="001531CD">
        <w:t>B.</w:t>
      </w:r>
      <w:r w:rsidRPr="001531CD">
        <w:tab/>
        <w:t>The loan guaranty agreement shall be executed by the borrower, the lender, and the commissioner of agriculture, or his designee, as official representative for the State Market Commission.</w:t>
      </w:r>
    </w:p>
    <w:p w14:paraId="02E40ED2" w14:textId="77777777" w:rsidR="00CF626A" w:rsidRPr="001531CD" w:rsidRDefault="00CF626A">
      <w:pPr>
        <w:pStyle w:val="AuthorityNote"/>
      </w:pPr>
      <w:r w:rsidRPr="001531CD">
        <w:t>AUTHORITY NOTE:</w:t>
      </w:r>
      <w:r w:rsidRPr="001531CD">
        <w:tab/>
        <w:t>Promulgated in accordance with R.S. 3:549 and R.S. 3:543.</w:t>
      </w:r>
    </w:p>
    <w:p w14:paraId="02193123" w14:textId="77777777" w:rsidR="00CF626A" w:rsidRPr="001531CD" w:rsidRDefault="00CF626A">
      <w:pPr>
        <w:pStyle w:val="HistoricalNote"/>
      </w:pPr>
      <w:r w:rsidRPr="001531CD">
        <w:t>HISTORICAL NOTE:</w:t>
      </w:r>
      <w:r w:rsidRPr="001531CD">
        <w:tab/>
        <w:t>Promulgated by the Department of Agriculture, Market Commission, LR 8:271 (June 1982).</w:t>
      </w:r>
    </w:p>
    <w:p w14:paraId="1B7EAA97" w14:textId="77777777" w:rsidR="00CF626A" w:rsidRPr="001531CD" w:rsidRDefault="00CF626A">
      <w:pPr>
        <w:pStyle w:val="Section"/>
      </w:pPr>
      <w:bookmarkStart w:id="840" w:name="_Toc256754413"/>
      <w:bookmarkStart w:id="841" w:name="_Toc224818665"/>
      <w:r w:rsidRPr="001531CD">
        <w:t>§1519.</w:t>
      </w:r>
      <w:r w:rsidRPr="001531CD">
        <w:tab/>
        <w:t>Procedure upon Default for Non-Payment</w:t>
      </w:r>
      <w:bookmarkEnd w:id="840"/>
      <w:bookmarkEnd w:id="841"/>
    </w:p>
    <w:p w14:paraId="65632709" w14:textId="77777777" w:rsidR="00CF626A" w:rsidRPr="001531CD" w:rsidRDefault="00CF626A">
      <w:pPr>
        <w:pStyle w:val="A"/>
      </w:pPr>
      <w:r w:rsidRPr="001531CD">
        <w:t>A.</w:t>
      </w:r>
      <w:r w:rsidRPr="001531CD">
        <w:tab/>
        <w:t xml:space="preserve">The commission shall send written notice within </w:t>
      </w:r>
      <w:r w:rsidR="002D08BF" w:rsidRPr="001531CD">
        <w:br/>
      </w:r>
      <w:r w:rsidRPr="001531CD">
        <w:t>30 days to any borrower of a direct loan after any default on any payment of principal and/or interest and shall request an explanation or reason for delinquency of payment.</w:t>
      </w:r>
    </w:p>
    <w:p w14:paraId="27DD61B5" w14:textId="77777777" w:rsidR="00CF626A" w:rsidRPr="001531CD" w:rsidRDefault="00CF626A">
      <w:pPr>
        <w:pStyle w:val="A"/>
      </w:pPr>
      <w:r w:rsidRPr="001531CD">
        <w:t>B.</w:t>
      </w:r>
      <w:r w:rsidRPr="001531CD">
        <w:tab/>
        <w:t>Within 60 days of default to any payment of principal and/or interest on a direct loan the commission shall enter into such compromise agreements as it deems necessary to recover the sums due and payable on the loan unless prior arrangements have been made with the borrower to fulfill his loan obligation.</w:t>
      </w:r>
    </w:p>
    <w:p w14:paraId="72FA23A2" w14:textId="77777777" w:rsidR="00CF626A" w:rsidRPr="001531CD" w:rsidRDefault="00CF626A">
      <w:pPr>
        <w:pStyle w:val="A"/>
      </w:pPr>
      <w:r w:rsidRPr="001531CD">
        <w:t>C.</w:t>
      </w:r>
      <w:r w:rsidRPr="001531CD">
        <w:tab/>
        <w:t>Any lender who receives a loan guarantee from the commission on a farm youth loan shall notify the borrower and the commission by letter within 30 days of any default on any payment of principal and/or interest and shall request of the borrower an explanation or reason for delinquency of payment.</w:t>
      </w:r>
    </w:p>
    <w:p w14:paraId="0135F79D" w14:textId="77777777" w:rsidR="00CF626A" w:rsidRPr="001531CD" w:rsidRDefault="00CF626A">
      <w:pPr>
        <w:pStyle w:val="A"/>
      </w:pPr>
      <w:r w:rsidRPr="001531CD">
        <w:t>D.</w:t>
      </w:r>
      <w:r w:rsidRPr="001531CD">
        <w:tab/>
        <w:t>Within 60 days of default of any payment of principal and/or interest on a guaranteed loan, the lender shall notify the commission by registered letter of any compromise agreement entered into between the borrower and the lender to recover the sums due and payable on the loan or of arrangements made between the borrower and lender to fulfill his loan obligation.</w:t>
      </w:r>
    </w:p>
    <w:p w14:paraId="0E68FBF5" w14:textId="77777777" w:rsidR="00CF626A" w:rsidRPr="001531CD" w:rsidRDefault="00CF626A">
      <w:pPr>
        <w:pStyle w:val="A"/>
      </w:pPr>
      <w:r w:rsidRPr="001531CD">
        <w:t>E.</w:t>
      </w:r>
      <w:r w:rsidRPr="001531CD">
        <w:tab/>
        <w:t>The commission may, by formal vote, offer to pay off the mortgage or the interest of the lender on any defaulted loan covered by a loan guaranty agreement and become subrogated to the interest of the lending agency if the commission determines that this action will protect the interest of the state in any property mortgaged to secure the loan guarantee.</w:t>
      </w:r>
    </w:p>
    <w:p w14:paraId="6C96A923" w14:textId="77777777" w:rsidR="00CF626A" w:rsidRPr="001531CD" w:rsidRDefault="00CF626A">
      <w:pPr>
        <w:pStyle w:val="AuthorityNote"/>
      </w:pPr>
      <w:r w:rsidRPr="001531CD">
        <w:t>AUTHORITY NOTE:</w:t>
      </w:r>
      <w:r w:rsidRPr="001531CD">
        <w:tab/>
        <w:t>Promulgated in accordance with R.S. 3:547, R.S. 3:549 and R.S. 3:543.</w:t>
      </w:r>
    </w:p>
    <w:p w14:paraId="6AE3A5D3" w14:textId="77777777" w:rsidR="00CF626A" w:rsidRPr="001531CD" w:rsidRDefault="00CF626A">
      <w:pPr>
        <w:pStyle w:val="HistoricalNote"/>
      </w:pPr>
      <w:r w:rsidRPr="001531CD">
        <w:t>HISTORICAL NOTE:</w:t>
      </w:r>
      <w:r w:rsidRPr="001531CD">
        <w:tab/>
        <w:t>Promulgated by the Department of Agriculture, Market Commission, LR 8:271 (June 1982).</w:t>
      </w:r>
    </w:p>
    <w:p w14:paraId="3A5D8CDC" w14:textId="77777777" w:rsidR="00CF626A" w:rsidRPr="001531CD" w:rsidRDefault="00CF626A">
      <w:pPr>
        <w:pStyle w:val="Chapter"/>
      </w:pPr>
      <w:bookmarkStart w:id="842" w:name="TOC_Chap62"/>
      <w:bookmarkStart w:id="843" w:name="_Toc256754414"/>
      <w:bookmarkStart w:id="844" w:name="_Toc224818666"/>
      <w:r w:rsidRPr="001531CD">
        <w:lastRenderedPageBreak/>
        <w:t>Chapter 16.</w:t>
      </w:r>
      <w:bookmarkEnd w:id="842"/>
      <w:r w:rsidR="00167E2E">
        <w:tab/>
      </w:r>
      <w:bookmarkStart w:id="845" w:name="TOCT_Chap61"/>
      <w:bookmarkStart w:id="846" w:name="TOCT_Chap62"/>
      <w:r w:rsidRPr="001531CD">
        <w:t>Meat, Poultry and Seafood Grading and Certification Program</w:t>
      </w:r>
      <w:bookmarkEnd w:id="843"/>
      <w:bookmarkEnd w:id="844"/>
      <w:bookmarkEnd w:id="845"/>
      <w:bookmarkEnd w:id="846"/>
    </w:p>
    <w:p w14:paraId="31F19B7B" w14:textId="77777777" w:rsidR="00CF626A" w:rsidRPr="001531CD" w:rsidRDefault="00CF626A">
      <w:pPr>
        <w:pStyle w:val="Section"/>
      </w:pPr>
      <w:bookmarkStart w:id="847" w:name="_Toc256754415"/>
      <w:bookmarkStart w:id="848" w:name="_Toc224818667"/>
      <w:r w:rsidRPr="001531CD">
        <w:t>§1601.</w:t>
      </w:r>
      <w:r w:rsidRPr="001531CD">
        <w:tab/>
        <w:t>Authority</w:t>
      </w:r>
      <w:bookmarkEnd w:id="847"/>
      <w:bookmarkEnd w:id="848"/>
    </w:p>
    <w:p w14:paraId="1CE68312" w14:textId="77777777" w:rsidR="00CF626A" w:rsidRPr="001531CD" w:rsidRDefault="00CF626A">
      <w:pPr>
        <w:pStyle w:val="A"/>
      </w:pPr>
      <w:r w:rsidRPr="001531CD">
        <w:t>A.</w:t>
      </w:r>
      <w:r w:rsidRPr="001531CD">
        <w:tab/>
        <w:t>The market commission adopts the following regulations under the authority of R.S. 3:405 and R.S. 3:410 for the purpose of implementing the provisions of R.S. 39:2101 enacted by Act 749 of the Louisiana Legislature, 1997 Regular Session.</w:t>
      </w:r>
    </w:p>
    <w:p w14:paraId="523F04A8" w14:textId="77777777" w:rsidR="00CF626A" w:rsidRPr="001531CD" w:rsidRDefault="00CF626A">
      <w:pPr>
        <w:pStyle w:val="AuthorityNote"/>
      </w:pPr>
      <w:r w:rsidRPr="001531CD">
        <w:t>AUTHORITY NOTE:</w:t>
      </w:r>
      <w:r w:rsidRPr="001531CD">
        <w:tab/>
        <w:t>Promulgated in accordance with R.S. 3:405, R.S. 3:410 and R.S. 39:2101.</w:t>
      </w:r>
    </w:p>
    <w:p w14:paraId="56A286EF"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24:627 (April 1998).</w:t>
      </w:r>
    </w:p>
    <w:p w14:paraId="341F59DD" w14:textId="77777777" w:rsidR="00CF626A" w:rsidRPr="001531CD" w:rsidRDefault="00CF626A">
      <w:pPr>
        <w:pStyle w:val="Section"/>
      </w:pPr>
      <w:bookmarkStart w:id="849" w:name="_Toc256754416"/>
      <w:bookmarkStart w:id="850" w:name="_Toc224818668"/>
      <w:r w:rsidRPr="001531CD">
        <w:t>§1603.</w:t>
      </w:r>
      <w:r w:rsidRPr="001531CD">
        <w:tab/>
        <w:t>Definitions</w:t>
      </w:r>
      <w:bookmarkEnd w:id="849"/>
      <w:bookmarkEnd w:id="850"/>
    </w:p>
    <w:p w14:paraId="31C7415D" w14:textId="77777777" w:rsidR="00CF626A" w:rsidRPr="001531CD" w:rsidRDefault="00CF626A">
      <w:pPr>
        <w:pStyle w:val="A"/>
      </w:pPr>
      <w:r w:rsidRPr="001531CD">
        <w:t>A.</w:t>
      </w:r>
      <w:r w:rsidRPr="001531CD">
        <w:tab/>
        <w:t>The terms defined in §1603 have the meaning given to them herein, for purposes of these regulations, except where the context expressly indicates otherwise.</w:t>
      </w:r>
    </w:p>
    <w:p w14:paraId="44234A9A" w14:textId="77777777" w:rsidR="00CF626A" w:rsidRPr="001531CD" w:rsidRDefault="00CF626A">
      <w:pPr>
        <w:pStyle w:val="1"/>
      </w:pPr>
      <w:r w:rsidRPr="001531CD">
        <w:rPr>
          <w:i/>
          <w:iCs/>
        </w:rPr>
        <w:t>Certification</w:t>
      </w:r>
      <w:r w:rsidRPr="001531CD">
        <w:t>―a document or a stamp applied to any package containing any meat, poultry or seafood food product, which verifies that the food product meets the specification requirements established by the department.</w:t>
      </w:r>
    </w:p>
    <w:p w14:paraId="18F1CA2B" w14:textId="77777777" w:rsidR="00CF626A" w:rsidRPr="001531CD" w:rsidRDefault="00CF626A">
      <w:pPr>
        <w:pStyle w:val="1"/>
      </w:pPr>
      <w:r w:rsidRPr="001531CD">
        <w:rPr>
          <w:i/>
          <w:iCs/>
        </w:rPr>
        <w:t>Commission</w:t>
      </w:r>
      <w:r w:rsidRPr="001531CD">
        <w:t>―the State Market Commission.</w:t>
      </w:r>
    </w:p>
    <w:p w14:paraId="0EE58D65" w14:textId="77777777" w:rsidR="00CF626A" w:rsidRPr="001531CD" w:rsidRDefault="00CF626A">
      <w:pPr>
        <w:pStyle w:val="1"/>
      </w:pPr>
      <w:r w:rsidRPr="001531CD">
        <w:rPr>
          <w:i/>
          <w:iCs/>
        </w:rPr>
        <w:t>Commissioner</w:t>
      </w:r>
      <w:r w:rsidRPr="001531CD">
        <w:t>―Commissioner of the Department of Agriculture and Forestry.</w:t>
      </w:r>
    </w:p>
    <w:p w14:paraId="176E10E5" w14:textId="77777777" w:rsidR="00CF626A" w:rsidRPr="001531CD" w:rsidRDefault="00CF626A">
      <w:pPr>
        <w:pStyle w:val="1"/>
      </w:pPr>
      <w:r w:rsidRPr="001531CD">
        <w:rPr>
          <w:i/>
          <w:iCs/>
        </w:rPr>
        <w:t>Department</w:t>
      </w:r>
      <w:r w:rsidRPr="001531CD">
        <w:t>―the Department of Agriculture and Forestry.</w:t>
      </w:r>
    </w:p>
    <w:p w14:paraId="748AD351" w14:textId="77777777" w:rsidR="00CF626A" w:rsidRPr="001531CD" w:rsidRDefault="00CF626A">
      <w:pPr>
        <w:pStyle w:val="1"/>
      </w:pPr>
      <w:r w:rsidRPr="001531CD">
        <w:rPr>
          <w:i/>
          <w:iCs/>
        </w:rPr>
        <w:t>Food Product</w:t>
      </w:r>
      <w:r w:rsidRPr="001531CD">
        <w:t xml:space="preserve">―any edible item which includes, </w:t>
      </w:r>
      <w:r w:rsidRPr="001531CD">
        <w:br/>
        <w:t>3 percent or more by weight, meat, poultry or seafood, and, regardless of whether it is raw, precooked or fully cooked, is capable of use as human food.</w:t>
      </w:r>
    </w:p>
    <w:p w14:paraId="0CD9B820" w14:textId="77777777" w:rsidR="00CF626A" w:rsidRPr="001531CD" w:rsidRDefault="00CF626A">
      <w:pPr>
        <w:pStyle w:val="1"/>
      </w:pPr>
      <w:r w:rsidRPr="001531CD">
        <w:rPr>
          <w:i/>
          <w:iCs/>
        </w:rPr>
        <w:t>Food Service Facility</w:t>
      </w:r>
      <w:r w:rsidRPr="001531CD">
        <w:t>―any place where a food product is prepared, packaged or served in portions designed for individual consumption by people. The term includes any such place regardless of whether consumption is on or off the premises and regardless of whether there is a charge for the food.</w:t>
      </w:r>
    </w:p>
    <w:p w14:paraId="1779541B" w14:textId="77777777" w:rsidR="00CF626A" w:rsidRPr="001531CD" w:rsidRDefault="00CF626A" w:rsidP="002D3F23">
      <w:pPr>
        <w:pStyle w:val="1"/>
        <w:spacing w:after="80"/>
      </w:pPr>
      <w:r w:rsidRPr="001531CD">
        <w:rPr>
          <w:i/>
          <w:iCs/>
        </w:rPr>
        <w:t>Grade</w:t>
      </w:r>
      <w:r w:rsidRPr="001531CD">
        <w:t>―the combined group of standards that a food product must meet to be in accordance with the appropriate certification requirements.</w:t>
      </w:r>
    </w:p>
    <w:p w14:paraId="249C574B" w14:textId="77777777" w:rsidR="00CF626A" w:rsidRPr="001531CD" w:rsidRDefault="00CF626A" w:rsidP="002D3F23">
      <w:pPr>
        <w:pStyle w:val="1"/>
        <w:spacing w:after="80"/>
      </w:pPr>
      <w:r w:rsidRPr="001531CD">
        <w:rPr>
          <w:i/>
          <w:iCs/>
        </w:rPr>
        <w:t>Local School District</w:t>
      </w:r>
      <w:r w:rsidRPr="001531CD">
        <w:t>―any elementary or secondary school system operated by any parish, city or other public school board and any public charter school or any other independent public school authorized by the Louisiana Department of Education.</w:t>
      </w:r>
    </w:p>
    <w:p w14:paraId="1CCD96AA" w14:textId="77777777" w:rsidR="00CF626A" w:rsidRPr="001531CD" w:rsidRDefault="00CF626A" w:rsidP="002D3F23">
      <w:pPr>
        <w:pStyle w:val="1"/>
        <w:spacing w:after="80"/>
      </w:pPr>
      <w:r w:rsidRPr="001531CD">
        <w:rPr>
          <w:i/>
          <w:iCs/>
        </w:rPr>
        <w:t>Meat</w:t>
      </w:r>
      <w:r w:rsidRPr="001531CD">
        <w:t>―any part of any cattle or other bovine, swine, sheep, or goat capable of use as human food.</w:t>
      </w:r>
    </w:p>
    <w:p w14:paraId="1619B700" w14:textId="77777777" w:rsidR="00CF626A" w:rsidRPr="001531CD" w:rsidRDefault="00CF626A" w:rsidP="002D3F23">
      <w:pPr>
        <w:pStyle w:val="1"/>
        <w:spacing w:after="80"/>
      </w:pPr>
      <w:r w:rsidRPr="001531CD">
        <w:rPr>
          <w:i/>
          <w:iCs/>
        </w:rPr>
        <w:t>Person</w:t>
      </w:r>
      <w:r w:rsidRPr="001531CD">
        <w:t xml:space="preserve">―any individual, corporation, partnership, association, or any other legal entity, whether for profit or nonprofit, who, through contract with the state of Louisiana, any state agency, any state institution or local school district operates a food service facility that supplies, provides or </w:t>
      </w:r>
      <w:r w:rsidRPr="001531CD">
        <w:t>serves food products available for consumption by any student, resident, patient or inmate of any state agency, state institution or local school district.</w:t>
      </w:r>
    </w:p>
    <w:p w14:paraId="738E3A29" w14:textId="77777777" w:rsidR="00CF626A" w:rsidRPr="001531CD" w:rsidRDefault="00CF626A" w:rsidP="002D3F23">
      <w:pPr>
        <w:pStyle w:val="1"/>
        <w:spacing w:after="80"/>
      </w:pPr>
      <w:r w:rsidRPr="001531CD">
        <w:rPr>
          <w:i/>
          <w:iCs/>
        </w:rPr>
        <w:t>Poultry</w:t>
      </w:r>
      <w:r w:rsidRPr="001531CD">
        <w:t>―any part of any chicken, turkey, duck, goose or other domesticated fowl, quail, pheasant, ostrich, emu, or other ratites, or any other type of bird, eggs and domesticated rabbits capable of use as human food.</w:t>
      </w:r>
    </w:p>
    <w:p w14:paraId="325A3BD2" w14:textId="77777777" w:rsidR="00CF626A" w:rsidRPr="001531CD" w:rsidRDefault="00CF626A" w:rsidP="002D3F23">
      <w:pPr>
        <w:pStyle w:val="1"/>
        <w:spacing w:after="80"/>
      </w:pPr>
      <w:r w:rsidRPr="001531CD">
        <w:rPr>
          <w:i/>
          <w:iCs/>
        </w:rPr>
        <w:t>Public Entity</w:t>
      </w:r>
      <w:r w:rsidRPr="001531CD">
        <w:t>―any state agency, state institution, local school district or person operating one or more food service facility that supplies, provides or serves food products available for consumption by any student, resident, patient or inmate of any state agency, state institution or local school district.</w:t>
      </w:r>
    </w:p>
    <w:p w14:paraId="4AB5A3C2" w14:textId="77777777" w:rsidR="00CF626A" w:rsidRPr="001531CD" w:rsidRDefault="00CF626A">
      <w:pPr>
        <w:pStyle w:val="1"/>
      </w:pPr>
      <w:r w:rsidRPr="001531CD">
        <w:rPr>
          <w:i/>
          <w:iCs/>
        </w:rPr>
        <w:t>Seafood</w:t>
      </w:r>
      <w:r w:rsidRPr="001531CD">
        <w:t>―any fresh or salt water finfish, farm-raised catfish, shrimp, crawfish, lobsters, oysters and all other edible shellfish, crustaceans, and mollusks, alligators, frogs, turtles and any other form of edible aquatic animal life regardless of whether farm raised or caught in privately owned waters or public waters including the sea, streams and lakes.</w:t>
      </w:r>
    </w:p>
    <w:p w14:paraId="3558135B" w14:textId="77777777" w:rsidR="00CF626A" w:rsidRPr="001531CD" w:rsidRDefault="00CF626A">
      <w:pPr>
        <w:pStyle w:val="1"/>
      </w:pPr>
      <w:r w:rsidRPr="001531CD">
        <w:rPr>
          <w:i/>
          <w:iCs/>
        </w:rPr>
        <w:t>State Agency</w:t>
      </w:r>
      <w:r w:rsidRPr="001531CD">
        <w:t>―any board, commission, department, agency, special district, authority or other entity performing a state function.</w:t>
      </w:r>
    </w:p>
    <w:p w14:paraId="0EEB67A6" w14:textId="77777777" w:rsidR="00CF626A" w:rsidRPr="001531CD" w:rsidRDefault="00CF626A">
      <w:pPr>
        <w:pStyle w:val="1"/>
      </w:pPr>
      <w:r w:rsidRPr="001531CD">
        <w:rPr>
          <w:i/>
          <w:iCs/>
        </w:rPr>
        <w:t>State Institution</w:t>
      </w:r>
      <w:r w:rsidRPr="001531CD">
        <w:t>―any university, college or center of higher learning, hospital, clinic, veterans or geriatric home, mental institution, juvenile facility, prison or any other facility operated by a state agency, or through a contract with the state of Louisiana or any state agency, by any private, whether for profit or nonprofit, individual, corporation, association or other legal entity for the purpose of teaching, treating, incarcerating, maintaining or housing students, residents, patients or inmates.</w:t>
      </w:r>
    </w:p>
    <w:p w14:paraId="77F3F9C2" w14:textId="77777777" w:rsidR="00CF626A" w:rsidRPr="001531CD" w:rsidRDefault="00CF626A">
      <w:pPr>
        <w:pStyle w:val="1"/>
      </w:pPr>
      <w:r w:rsidRPr="001531CD">
        <w:rPr>
          <w:i/>
          <w:iCs/>
        </w:rPr>
        <w:t>Vendor</w:t>
      </w:r>
      <w:r w:rsidRPr="001531CD">
        <w:t>―any individual, corporation, partnership, association or other legal entity that sells any type of food product to any state agency, state institution, local school district or person operating a food service facility, as defined herein, that supplies, provides or serves food products available for consumption by any student, resident, patient or inmate of any state agency, state institution or local school district.</w:t>
      </w:r>
    </w:p>
    <w:p w14:paraId="65C178FE" w14:textId="77777777" w:rsidR="00CF626A" w:rsidRPr="001531CD" w:rsidRDefault="00CF626A">
      <w:pPr>
        <w:pStyle w:val="AuthorityNote"/>
      </w:pPr>
      <w:r w:rsidRPr="001531CD">
        <w:t>AUTHORITY NOTE:</w:t>
      </w:r>
      <w:r w:rsidRPr="001531CD">
        <w:tab/>
        <w:t>Promulgated in accordance with R.S. 3:405, R.S. 3:410 and R.S. 39:2101.</w:t>
      </w:r>
    </w:p>
    <w:p w14:paraId="4A4B894E"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24:627 (April 1998).</w:t>
      </w:r>
    </w:p>
    <w:p w14:paraId="4EDF57CB" w14:textId="77777777" w:rsidR="00CF626A" w:rsidRPr="001531CD" w:rsidRDefault="00CF626A">
      <w:pPr>
        <w:pStyle w:val="Section"/>
      </w:pPr>
      <w:bookmarkStart w:id="851" w:name="_Toc256754417"/>
      <w:bookmarkStart w:id="852" w:name="_Toc224818669"/>
      <w:r w:rsidRPr="001531CD">
        <w:t>§1605.</w:t>
      </w:r>
      <w:r w:rsidRPr="001531CD">
        <w:tab/>
        <w:t>Use of Certified Food Products; Issuance of Certification; Exemptions</w:t>
      </w:r>
      <w:bookmarkEnd w:id="851"/>
      <w:bookmarkEnd w:id="852"/>
    </w:p>
    <w:p w14:paraId="6937D425" w14:textId="77777777" w:rsidR="00CF626A" w:rsidRPr="001531CD" w:rsidRDefault="00CF626A">
      <w:pPr>
        <w:pStyle w:val="A"/>
      </w:pPr>
      <w:r w:rsidRPr="001531CD">
        <w:t>A.</w:t>
      </w:r>
      <w:r w:rsidRPr="001531CD">
        <w:tab/>
        <w:t>All public entities shall utilize only the following food products:</w:t>
      </w:r>
    </w:p>
    <w:p w14:paraId="1DD281A2" w14:textId="77777777" w:rsidR="00CF626A" w:rsidRPr="001531CD" w:rsidRDefault="00CF626A">
      <w:pPr>
        <w:pStyle w:val="1"/>
      </w:pPr>
      <w:r w:rsidRPr="001531CD">
        <w:t>1.</w:t>
      </w:r>
      <w:r w:rsidRPr="001531CD">
        <w:tab/>
        <w:t>meat and meat products governed by the grading and certification requirements set out in Chapter 5 of this Part;</w:t>
      </w:r>
    </w:p>
    <w:p w14:paraId="2FC3F6CC" w14:textId="77777777" w:rsidR="00CF626A" w:rsidRPr="001531CD" w:rsidRDefault="00CF626A">
      <w:pPr>
        <w:pStyle w:val="1"/>
      </w:pPr>
      <w:r w:rsidRPr="001531CD">
        <w:t>2.</w:t>
      </w:r>
      <w:r w:rsidRPr="001531CD">
        <w:tab/>
        <w:t>poultry and eggs governed by the grading and certification requirements set out in Chapter 9 of this Part;</w:t>
      </w:r>
    </w:p>
    <w:p w14:paraId="0BDFCCE0" w14:textId="77777777" w:rsidR="00CF626A" w:rsidRPr="001531CD" w:rsidRDefault="00CF626A" w:rsidP="002D3F23">
      <w:pPr>
        <w:pStyle w:val="1"/>
        <w:spacing w:after="80"/>
      </w:pPr>
      <w:r w:rsidRPr="001531CD">
        <w:t>3.</w:t>
      </w:r>
      <w:r w:rsidRPr="001531CD">
        <w:tab/>
        <w:t>all other food products that meet the certification standards set out in these regulations.</w:t>
      </w:r>
    </w:p>
    <w:p w14:paraId="23C35BE8" w14:textId="77777777" w:rsidR="00CF626A" w:rsidRPr="001531CD" w:rsidRDefault="00CF626A" w:rsidP="002D3F23">
      <w:pPr>
        <w:pStyle w:val="A"/>
        <w:spacing w:after="80"/>
      </w:pPr>
      <w:r w:rsidRPr="001531CD">
        <w:lastRenderedPageBreak/>
        <w:t>B.</w:t>
      </w:r>
      <w:r w:rsidRPr="001531CD">
        <w:tab/>
        <w:t>Any public entity may request from the department the authority to conduct the inspection and certification (self-certification) required by these regulations of food products received by that public entity.</w:t>
      </w:r>
    </w:p>
    <w:p w14:paraId="18A9A568" w14:textId="77777777" w:rsidR="00CF626A" w:rsidRPr="001531CD" w:rsidRDefault="00CF626A" w:rsidP="002D3F23">
      <w:pPr>
        <w:pStyle w:val="A"/>
        <w:spacing w:after="80"/>
      </w:pPr>
      <w:r w:rsidRPr="001531CD">
        <w:t>C.</w:t>
      </w:r>
      <w:r w:rsidRPr="001531CD">
        <w:tab/>
        <w:t>The department shall inspect and certify food products subject to these regulations purchased or received by a public entity unless that public entity has authorization from the department to conduct self-certification.</w:t>
      </w:r>
    </w:p>
    <w:p w14:paraId="3F3B3D41" w14:textId="77777777" w:rsidR="00CF626A" w:rsidRPr="001531CD" w:rsidRDefault="00CF626A" w:rsidP="002D3F23">
      <w:pPr>
        <w:pStyle w:val="A"/>
        <w:spacing w:after="80"/>
      </w:pPr>
      <w:r w:rsidRPr="001531CD">
        <w:t>D.</w:t>
      </w:r>
      <w:r w:rsidRPr="001531CD">
        <w:tab/>
        <w:t>Neither the department nor any public entity shall certify any food product unless and until the food product meets all the requirements for certification under these regulations.</w:t>
      </w:r>
    </w:p>
    <w:p w14:paraId="5EA9C279" w14:textId="77777777" w:rsidR="00CF626A" w:rsidRPr="001531CD" w:rsidRDefault="00CF626A">
      <w:pPr>
        <w:pStyle w:val="A"/>
      </w:pPr>
      <w:r w:rsidRPr="001531CD">
        <w:t>E.</w:t>
      </w:r>
      <w:r w:rsidRPr="001531CD">
        <w:tab/>
        <w:t>Meat and meat products governed by the grading and certification requirements set out in Chapter 5 of this Part and poultry and eggs governed by the grading and certification requirements set out in Chapter 9 of this Part</w:t>
      </w:r>
      <w:r w:rsidRPr="001531CD">
        <w:rPr>
          <w:i/>
          <w:iCs/>
        </w:rPr>
        <w:t xml:space="preserve"> </w:t>
      </w:r>
      <w:r w:rsidRPr="001531CD">
        <w:t>are exempt from the provisions of these regulations.</w:t>
      </w:r>
    </w:p>
    <w:p w14:paraId="31969052" w14:textId="77777777" w:rsidR="00CF626A" w:rsidRPr="001531CD" w:rsidRDefault="00CF626A">
      <w:pPr>
        <w:pStyle w:val="A"/>
      </w:pPr>
      <w:r w:rsidRPr="001531CD">
        <w:t>F.</w:t>
      </w:r>
      <w:r w:rsidRPr="001531CD">
        <w:tab/>
        <w:t>These regulations shall not affect or change any other grading or certification program operated by the department under any other provision of law or any other regulations.</w:t>
      </w:r>
    </w:p>
    <w:p w14:paraId="782B76FF" w14:textId="77777777" w:rsidR="00CF626A" w:rsidRPr="001531CD" w:rsidRDefault="00CF626A">
      <w:pPr>
        <w:pStyle w:val="AuthorityNote"/>
      </w:pPr>
      <w:r w:rsidRPr="001531CD">
        <w:t>AUTHORITY NOTE:</w:t>
      </w:r>
      <w:r w:rsidRPr="001531CD">
        <w:tab/>
        <w:t>Promulgated in accordance with R.S. 3:405, R.S. 3:410 and R.S. 39:2101.</w:t>
      </w:r>
    </w:p>
    <w:p w14:paraId="36811357"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24:628 (April 1998).</w:t>
      </w:r>
    </w:p>
    <w:p w14:paraId="10CFD071" w14:textId="77777777" w:rsidR="00CF626A" w:rsidRPr="001531CD" w:rsidRDefault="00CF626A">
      <w:pPr>
        <w:pStyle w:val="Section"/>
      </w:pPr>
      <w:bookmarkStart w:id="853" w:name="_Toc256754418"/>
      <w:bookmarkStart w:id="854" w:name="_Toc224818670"/>
      <w:r w:rsidRPr="001531CD">
        <w:t>§1607.</w:t>
      </w:r>
      <w:r w:rsidRPr="001531CD">
        <w:tab/>
        <w:t>Grading and Certification Standards and Specifications</w:t>
      </w:r>
      <w:bookmarkEnd w:id="853"/>
      <w:bookmarkEnd w:id="854"/>
    </w:p>
    <w:p w14:paraId="0F7C3EBE" w14:textId="77777777" w:rsidR="00CF626A" w:rsidRPr="001531CD" w:rsidRDefault="00CF626A">
      <w:pPr>
        <w:pStyle w:val="A"/>
      </w:pPr>
      <w:r w:rsidRPr="001531CD">
        <w:t>A.</w:t>
      </w:r>
      <w:r w:rsidRPr="001531CD">
        <w:tab/>
        <w:t>Meat and meat food products, other than those governed by the grading and certification requirements set out in Chapter 5 of this Part shall meet the following grading and certification standards and specifications:</w:t>
      </w:r>
    </w:p>
    <w:p w14:paraId="2C7FC1A3" w14:textId="77777777" w:rsidR="00CF626A" w:rsidRPr="001531CD" w:rsidRDefault="00CF626A">
      <w:pPr>
        <w:pStyle w:val="1"/>
      </w:pPr>
      <w:r w:rsidRPr="001531CD">
        <w:t>1.</w:t>
      </w:r>
      <w:r w:rsidRPr="001531CD">
        <w:tab/>
        <w:t>fresh meat should not have any offensive odor or be slick to the touch;</w:t>
      </w:r>
    </w:p>
    <w:p w14:paraId="3C34500C" w14:textId="77777777" w:rsidR="00CF626A" w:rsidRPr="001531CD" w:rsidRDefault="00CF626A">
      <w:pPr>
        <w:pStyle w:val="1"/>
      </w:pPr>
      <w:r w:rsidRPr="001531CD">
        <w:t>2.</w:t>
      </w:r>
      <w:r w:rsidRPr="001531CD">
        <w:tab/>
        <w:t>frozen meat should be hard frozen at the time of delivery; and</w:t>
      </w:r>
    </w:p>
    <w:p w14:paraId="3DEFC14A" w14:textId="77777777" w:rsidR="00CF626A" w:rsidRPr="001531CD" w:rsidRDefault="00CF626A">
      <w:pPr>
        <w:pStyle w:val="1"/>
      </w:pPr>
      <w:r w:rsidRPr="001531CD">
        <w:t>3.</w:t>
      </w:r>
      <w:r w:rsidRPr="001531CD">
        <w:tab/>
        <w:t>the bid specifications or purchase order issued by the public entity.</w:t>
      </w:r>
    </w:p>
    <w:p w14:paraId="31D7010F" w14:textId="77777777" w:rsidR="00CF626A" w:rsidRPr="001531CD" w:rsidRDefault="00CF626A">
      <w:pPr>
        <w:pStyle w:val="A"/>
      </w:pPr>
      <w:r w:rsidRPr="001531CD">
        <w:t>B.</w:t>
      </w:r>
      <w:r w:rsidRPr="001531CD">
        <w:tab/>
        <w:t>Eggs shall meet the following grading and certification standards and specifications.</w:t>
      </w:r>
    </w:p>
    <w:p w14:paraId="205079BD" w14:textId="77777777" w:rsidR="00CF626A" w:rsidRPr="001531CD" w:rsidRDefault="00CF626A">
      <w:pPr>
        <w:pStyle w:val="1"/>
      </w:pPr>
      <w:r w:rsidRPr="001531CD">
        <w:t>1.</w:t>
      </w:r>
      <w:r w:rsidRPr="001531CD">
        <w:tab/>
        <w:t>The following information must be on all egg cases if eggs are packed loose and on all cartons when eggs are packed in cartons:</w:t>
      </w:r>
    </w:p>
    <w:p w14:paraId="4A5B009B" w14:textId="77777777" w:rsidR="00CF626A" w:rsidRPr="001531CD" w:rsidRDefault="00CF626A">
      <w:pPr>
        <w:pStyle w:val="a0"/>
      </w:pPr>
      <w:r w:rsidRPr="001531CD">
        <w:t>a.</w:t>
      </w:r>
      <w:r w:rsidRPr="001531CD">
        <w:tab/>
        <w:t>name of producer or packer;</w:t>
      </w:r>
    </w:p>
    <w:p w14:paraId="203315F3" w14:textId="77777777" w:rsidR="00CF626A" w:rsidRPr="001531CD" w:rsidRDefault="00CF626A">
      <w:pPr>
        <w:pStyle w:val="a0"/>
      </w:pPr>
      <w:r w:rsidRPr="001531CD">
        <w:t>b.</w:t>
      </w:r>
      <w:r w:rsidRPr="001531CD">
        <w:tab/>
        <w:t>grade and size;</w:t>
      </w:r>
    </w:p>
    <w:p w14:paraId="62DDC45F" w14:textId="77777777" w:rsidR="00CF626A" w:rsidRPr="001531CD" w:rsidRDefault="00CF626A">
      <w:pPr>
        <w:pStyle w:val="a0"/>
      </w:pPr>
      <w:r w:rsidRPr="001531CD">
        <w:t>c.</w:t>
      </w:r>
      <w:r w:rsidRPr="001531CD">
        <w:tab/>
        <w:t>date of pack;</w:t>
      </w:r>
    </w:p>
    <w:p w14:paraId="70C35A15" w14:textId="77777777" w:rsidR="00CF626A" w:rsidRPr="001531CD" w:rsidRDefault="00CF626A">
      <w:pPr>
        <w:pStyle w:val="a0"/>
      </w:pPr>
      <w:r w:rsidRPr="001531CD">
        <w:t>e.</w:t>
      </w:r>
      <w:r w:rsidRPr="001531CD">
        <w:tab/>
        <w:t>Louisiana license number [La001];</w:t>
      </w:r>
    </w:p>
    <w:p w14:paraId="1163D536" w14:textId="77777777" w:rsidR="00CF626A" w:rsidRPr="001531CD" w:rsidRDefault="00CF626A">
      <w:pPr>
        <w:pStyle w:val="a0"/>
      </w:pPr>
      <w:r w:rsidRPr="001531CD">
        <w:t>f.</w:t>
      </w:r>
      <w:r w:rsidRPr="001531CD">
        <w:tab/>
        <w:t>keep refrigerated 45</w:t>
      </w:r>
      <w:r w:rsidR="00CD5BAA" w:rsidRPr="001531CD">
        <w:t>°</w:t>
      </w:r>
      <w:r w:rsidRPr="001531CD">
        <w:t xml:space="preserve"> F or below.</w:t>
      </w:r>
    </w:p>
    <w:p w14:paraId="3DF73C94" w14:textId="77777777" w:rsidR="00CF626A" w:rsidRPr="001531CD" w:rsidRDefault="00CF626A">
      <w:pPr>
        <w:pStyle w:val="1"/>
      </w:pPr>
      <w:r w:rsidRPr="001531CD">
        <w:t>2.</w:t>
      </w:r>
      <w:r w:rsidRPr="001531CD">
        <w:tab/>
        <w:t>Eggs cannot be used if more than 30 days of age from pack date. Pack date can be either Julian or calendar date.</w:t>
      </w:r>
    </w:p>
    <w:p w14:paraId="50DBC9F0" w14:textId="77777777" w:rsidR="00CF626A" w:rsidRPr="001531CD" w:rsidRDefault="00CF626A">
      <w:pPr>
        <w:pStyle w:val="1"/>
      </w:pPr>
      <w:r w:rsidRPr="001531CD">
        <w:t>3.</w:t>
      </w:r>
      <w:r w:rsidRPr="001531CD">
        <w:tab/>
        <w:t>Eggs must be delivered in refrigerated trucks capable of maintaining an ambient temperature of 45</w:t>
      </w:r>
      <w:r w:rsidR="00CD5BAA" w:rsidRPr="001531CD">
        <w:t>°</w:t>
      </w:r>
      <w:r w:rsidRPr="001531CD">
        <w:t xml:space="preserve"> F stored in coolers that maintain an ambient temperature of 45</w:t>
      </w:r>
      <w:r w:rsidR="00CD5BAA" w:rsidRPr="001531CD">
        <w:t>°</w:t>
      </w:r>
      <w:r w:rsidRPr="001531CD">
        <w:t xml:space="preserve"> F.</w:t>
      </w:r>
    </w:p>
    <w:p w14:paraId="1ADEE3AB" w14:textId="77777777" w:rsidR="00CF626A" w:rsidRPr="001531CD" w:rsidRDefault="00CF626A" w:rsidP="002D3F23">
      <w:pPr>
        <w:pStyle w:val="1"/>
        <w:spacing w:after="80"/>
      </w:pPr>
      <w:r w:rsidRPr="001531CD">
        <w:t>4.</w:t>
      </w:r>
      <w:r w:rsidRPr="001531CD">
        <w:tab/>
        <w:t>If eggs are not USDA or state graded, or if more than 10 days have elapsed between the time of inspection and delivery, the public entity must ascertain that the eggs meet all requirements set forth Chapter 9 of this Part.</w:t>
      </w:r>
    </w:p>
    <w:p w14:paraId="73D0C4AD" w14:textId="77777777" w:rsidR="00CF626A" w:rsidRPr="001531CD" w:rsidRDefault="00CF626A" w:rsidP="002D3F23">
      <w:pPr>
        <w:pStyle w:val="A"/>
        <w:spacing w:after="80"/>
      </w:pPr>
      <w:r w:rsidRPr="001531CD">
        <w:t>C.</w:t>
      </w:r>
      <w:r w:rsidRPr="001531CD">
        <w:tab/>
        <w:t>Poultry and poultry food products, other than those governed by the grading and certification requirements set in Chapter 9 of this Part shall meet following grading and certification standards and specifications:</w:t>
      </w:r>
    </w:p>
    <w:p w14:paraId="2B160B79" w14:textId="77777777" w:rsidR="00CF626A" w:rsidRPr="001531CD" w:rsidRDefault="00CF626A" w:rsidP="002D3F23">
      <w:pPr>
        <w:pStyle w:val="1"/>
        <w:spacing w:after="80"/>
      </w:pPr>
      <w:r w:rsidRPr="001531CD">
        <w:t>1.</w:t>
      </w:r>
      <w:r w:rsidRPr="001531CD">
        <w:tab/>
        <w:t>frozen poultry must be hard frozen at time of delivery;</w:t>
      </w:r>
    </w:p>
    <w:p w14:paraId="07C2E6B8" w14:textId="77777777" w:rsidR="00CF626A" w:rsidRPr="001531CD" w:rsidRDefault="00CF626A">
      <w:pPr>
        <w:pStyle w:val="1"/>
      </w:pPr>
      <w:r w:rsidRPr="001531CD">
        <w:t>2.</w:t>
      </w:r>
      <w:r w:rsidRPr="001531CD">
        <w:tab/>
        <w:t>fresh poultry should not have any offensive odors and should not be slick to the touch;</w:t>
      </w:r>
    </w:p>
    <w:p w14:paraId="5B19D870" w14:textId="77777777" w:rsidR="00CF626A" w:rsidRPr="001531CD" w:rsidRDefault="00CF626A">
      <w:pPr>
        <w:pStyle w:val="1"/>
      </w:pPr>
      <w:r w:rsidRPr="001531CD">
        <w:t>3.</w:t>
      </w:r>
      <w:r w:rsidRPr="001531CD">
        <w:tab/>
        <w:t>if grade is implied or stated, the USDA shield must be used; and</w:t>
      </w:r>
    </w:p>
    <w:p w14:paraId="0991385A" w14:textId="77777777" w:rsidR="00CF626A" w:rsidRPr="001531CD" w:rsidRDefault="00CF626A">
      <w:pPr>
        <w:pStyle w:val="1"/>
      </w:pPr>
      <w:r w:rsidRPr="001531CD">
        <w:t>4.</w:t>
      </w:r>
      <w:r w:rsidRPr="001531CD">
        <w:tab/>
        <w:t>the bid specifications or purchase order issued by the public entity.</w:t>
      </w:r>
    </w:p>
    <w:p w14:paraId="232B8B3F" w14:textId="77777777" w:rsidR="00CF626A" w:rsidRPr="001531CD" w:rsidRDefault="00CF626A">
      <w:pPr>
        <w:pStyle w:val="A"/>
      </w:pPr>
      <w:r w:rsidRPr="001531CD">
        <w:t>D.</w:t>
      </w:r>
      <w:r w:rsidRPr="001531CD">
        <w:tab/>
        <w:t>Seafood food products shall meet one or more of the following grading and certification standards and specifications:</w:t>
      </w:r>
    </w:p>
    <w:p w14:paraId="5889AC5A" w14:textId="77777777" w:rsidR="00CF626A" w:rsidRPr="001531CD" w:rsidRDefault="00CF626A">
      <w:pPr>
        <w:pStyle w:val="1"/>
      </w:pPr>
      <w:r w:rsidRPr="001531CD">
        <w:t>1.</w:t>
      </w:r>
      <w:r w:rsidRPr="001531CD">
        <w:tab/>
        <w:t>United States Department of Commerce standards for any type of aquatic animal life defined as seafood in these regulations;</w:t>
      </w:r>
    </w:p>
    <w:p w14:paraId="34A5E8F0" w14:textId="77777777" w:rsidR="00CF626A" w:rsidRPr="001531CD" w:rsidRDefault="00CF626A">
      <w:pPr>
        <w:pStyle w:val="1"/>
      </w:pPr>
      <w:r w:rsidRPr="001531CD">
        <w:t>2.</w:t>
      </w:r>
      <w:r w:rsidRPr="001531CD">
        <w:tab/>
        <w:t>State of Louisiana, Division of Administration, State Purchasing general requirements for fish and fishery product;</w:t>
      </w:r>
    </w:p>
    <w:p w14:paraId="5BE61CC6" w14:textId="77777777" w:rsidR="00CF626A" w:rsidRPr="001531CD" w:rsidRDefault="00CF626A">
      <w:pPr>
        <w:pStyle w:val="1"/>
      </w:pPr>
      <w:r w:rsidRPr="001531CD">
        <w:t>3.</w:t>
      </w:r>
      <w:r w:rsidRPr="001531CD">
        <w:tab/>
        <w:t>standards and specifications set by the appropriate division of the department's grading and certification service for the particular seafood product;</w:t>
      </w:r>
    </w:p>
    <w:p w14:paraId="25EAACC0" w14:textId="77777777" w:rsidR="00CF626A" w:rsidRPr="001531CD" w:rsidRDefault="00CF626A">
      <w:pPr>
        <w:pStyle w:val="1"/>
      </w:pPr>
      <w:r w:rsidRPr="001531CD">
        <w:t>4.</w:t>
      </w:r>
      <w:r w:rsidRPr="001531CD">
        <w:tab/>
        <w:t>the bid specifications or purchase order issued by the public entity;</w:t>
      </w:r>
    </w:p>
    <w:p w14:paraId="36F20CE7" w14:textId="77777777" w:rsidR="00CF626A" w:rsidRPr="001531CD" w:rsidRDefault="00CF626A">
      <w:pPr>
        <w:pStyle w:val="1"/>
      </w:pPr>
      <w:r w:rsidRPr="001531CD">
        <w:t>5.</w:t>
      </w:r>
      <w:r w:rsidRPr="001531CD">
        <w:tab/>
        <w:t>fresh seafood shall not have any offensive odors or be slick to the touch.</w:t>
      </w:r>
    </w:p>
    <w:p w14:paraId="7EE5DADF" w14:textId="77777777" w:rsidR="00CF626A" w:rsidRPr="001531CD" w:rsidRDefault="00CF626A">
      <w:pPr>
        <w:pStyle w:val="AuthorityNote"/>
      </w:pPr>
      <w:r w:rsidRPr="001531CD">
        <w:t>AUTHORITY NOTE:</w:t>
      </w:r>
      <w:r w:rsidRPr="001531CD">
        <w:tab/>
        <w:t>Promulgated in accordance with R.S. 3:405, R.S. 3:410 and R.S. 39:2101.</w:t>
      </w:r>
    </w:p>
    <w:p w14:paraId="530A9EDD"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24:628 (April 1998).</w:t>
      </w:r>
    </w:p>
    <w:p w14:paraId="597D55E1" w14:textId="77777777" w:rsidR="00CF626A" w:rsidRPr="001531CD" w:rsidRDefault="00CF626A">
      <w:pPr>
        <w:pStyle w:val="Section"/>
      </w:pPr>
      <w:bookmarkStart w:id="855" w:name="_Toc256754419"/>
      <w:bookmarkStart w:id="856" w:name="_Toc224818671"/>
      <w:r w:rsidRPr="001531CD">
        <w:t>§1609.</w:t>
      </w:r>
      <w:r w:rsidRPr="001531CD">
        <w:tab/>
        <w:t>Procurement of Food Products</w:t>
      </w:r>
      <w:bookmarkEnd w:id="855"/>
      <w:bookmarkEnd w:id="856"/>
    </w:p>
    <w:p w14:paraId="38549186" w14:textId="77777777" w:rsidR="00CF626A" w:rsidRPr="001531CD" w:rsidRDefault="00CF626A">
      <w:pPr>
        <w:pStyle w:val="A"/>
      </w:pPr>
      <w:r w:rsidRPr="001531CD">
        <w:t>A.</w:t>
      </w:r>
      <w:r w:rsidRPr="001531CD">
        <w:tab/>
        <w:t>No public entity shall procure any food products unless and until it has fully complied with the provisions of R.S.</w:t>
      </w:r>
      <w:r w:rsidR="000E6720" w:rsidRPr="001531CD">
        <w:t xml:space="preserve"> </w:t>
      </w:r>
      <w:r w:rsidRPr="001531CD">
        <w:t>38:2184 and R.S. 38:2251-2261.</w:t>
      </w:r>
    </w:p>
    <w:p w14:paraId="1F5F9407" w14:textId="77777777" w:rsidR="00CF626A" w:rsidRPr="001531CD" w:rsidRDefault="00CF626A">
      <w:pPr>
        <w:pStyle w:val="A"/>
      </w:pPr>
      <w:r w:rsidRPr="001531CD">
        <w:t>B.</w:t>
      </w:r>
      <w:r w:rsidRPr="001531CD">
        <w:tab/>
        <w:t>Neither the department nor any public entity shall issue a certification for any food product purchased by such public entity unless and until the public entity provides proof of full compliance with the provisions of R.S. 38:2184 and R.S. 38:2251-2261.</w:t>
      </w:r>
    </w:p>
    <w:p w14:paraId="30BE9BEC" w14:textId="77777777" w:rsidR="00CF626A" w:rsidRPr="001531CD" w:rsidRDefault="00CF626A">
      <w:pPr>
        <w:pStyle w:val="AuthorityNote"/>
      </w:pPr>
      <w:r w:rsidRPr="001531CD">
        <w:t>AUTHORITY NOTE:</w:t>
      </w:r>
      <w:r w:rsidRPr="001531CD">
        <w:tab/>
        <w:t>Promulgated in accordance with R.S. 3:405, R.S. 3:410 and R.S. 39:2101.</w:t>
      </w:r>
    </w:p>
    <w:p w14:paraId="1B707C3C"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14:paraId="455AD8EC" w14:textId="77777777" w:rsidR="00CF626A" w:rsidRPr="001531CD" w:rsidRDefault="00CF626A">
      <w:pPr>
        <w:pStyle w:val="Section"/>
      </w:pPr>
      <w:bookmarkStart w:id="857" w:name="_Toc256754420"/>
      <w:bookmarkStart w:id="858" w:name="_Toc224818672"/>
      <w:r w:rsidRPr="001531CD">
        <w:lastRenderedPageBreak/>
        <w:t>§1611.</w:t>
      </w:r>
      <w:r w:rsidRPr="001531CD">
        <w:tab/>
        <w:t>Inspection and Certification by a Public Entity; Procedures</w:t>
      </w:r>
      <w:bookmarkEnd w:id="857"/>
      <w:bookmarkEnd w:id="858"/>
    </w:p>
    <w:p w14:paraId="4940A861" w14:textId="77777777" w:rsidR="00CF626A" w:rsidRPr="001531CD" w:rsidRDefault="00CF626A">
      <w:pPr>
        <w:pStyle w:val="A"/>
      </w:pPr>
      <w:r w:rsidRPr="001531CD">
        <w:t>A.</w:t>
      </w:r>
      <w:r w:rsidRPr="001531CD">
        <w:tab/>
        <w:t>Any public entity that has authorization from the department to conduct self-certifications under these regulations shall do so in the following manner.</w:t>
      </w:r>
    </w:p>
    <w:p w14:paraId="5088787D" w14:textId="77777777" w:rsidR="00CF626A" w:rsidRPr="001531CD" w:rsidRDefault="00CF626A">
      <w:pPr>
        <w:pStyle w:val="1"/>
      </w:pPr>
      <w:r w:rsidRPr="001531CD">
        <w:t>1.</w:t>
      </w:r>
      <w:r w:rsidRPr="001531CD">
        <w:tab/>
        <w:t>All food products shall be inspected and certified by the public entity at the time of delivery.</w:t>
      </w:r>
    </w:p>
    <w:p w14:paraId="1E8338CA" w14:textId="77777777" w:rsidR="00CF626A" w:rsidRPr="001531CD" w:rsidRDefault="00CF626A">
      <w:pPr>
        <w:pStyle w:val="1"/>
      </w:pPr>
      <w:r w:rsidRPr="001531CD">
        <w:t>2.</w:t>
      </w:r>
      <w:r w:rsidRPr="001531CD">
        <w:tab/>
        <w:t>The public entity shall provide sufficient trained or experienced personnel to ensure that all products are inspected and certified in accordance with these regulations.</w:t>
      </w:r>
    </w:p>
    <w:p w14:paraId="2B266E02" w14:textId="77777777" w:rsidR="00CF626A" w:rsidRPr="001531CD" w:rsidRDefault="00CF626A">
      <w:pPr>
        <w:pStyle w:val="1"/>
      </w:pPr>
      <w:r w:rsidRPr="001531CD">
        <w:t>3.</w:t>
      </w:r>
      <w:r w:rsidRPr="001531CD">
        <w:tab/>
        <w:t xml:space="preserve">The public entity shall maintain certification logs, in a form acceptable to the department, showing the </w:t>
      </w:r>
      <w:r w:rsidRPr="001531CD">
        <w:br/>
        <w:t>self-certification of all food products received by the public entity. Each delivery of a food product shall be logged at the time of self-certification. Each log book shall be made available for inspection when requested by authorized representatives of the department.</w:t>
      </w:r>
    </w:p>
    <w:p w14:paraId="7C570748" w14:textId="77777777" w:rsidR="00CF626A" w:rsidRPr="001531CD" w:rsidRDefault="00CF626A">
      <w:pPr>
        <w:pStyle w:val="AuthorityNote"/>
      </w:pPr>
      <w:r w:rsidRPr="001531CD">
        <w:t>AUTHORITY NOTE:</w:t>
      </w:r>
      <w:r w:rsidRPr="001531CD">
        <w:tab/>
        <w:t>Promulgated in accordance with R.S. 3:405, R.S. 3:410 and R.S. 39:2101.</w:t>
      </w:r>
    </w:p>
    <w:p w14:paraId="31BF5D14"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14:paraId="15628EED" w14:textId="77777777" w:rsidR="00CF626A" w:rsidRPr="001531CD" w:rsidRDefault="00CF626A">
      <w:pPr>
        <w:pStyle w:val="Section"/>
      </w:pPr>
      <w:bookmarkStart w:id="859" w:name="_Toc256754421"/>
      <w:bookmarkStart w:id="860" w:name="_Toc224818673"/>
      <w:r w:rsidRPr="001531CD">
        <w:t>§1613.</w:t>
      </w:r>
      <w:r w:rsidRPr="001531CD">
        <w:tab/>
        <w:t>Inspection and Certification by the Department; Procedures</w:t>
      </w:r>
      <w:bookmarkEnd w:id="859"/>
      <w:bookmarkEnd w:id="860"/>
    </w:p>
    <w:p w14:paraId="0111D898" w14:textId="77777777" w:rsidR="00CF626A" w:rsidRPr="001531CD" w:rsidRDefault="00CF626A">
      <w:pPr>
        <w:pStyle w:val="A"/>
      </w:pPr>
      <w:r w:rsidRPr="001531CD">
        <w:t>A.</w:t>
      </w:r>
      <w:r w:rsidRPr="001531CD">
        <w:tab/>
        <w:t>Inspections and certifications performed by the department under these regulations shall proceed in the following manner.</w:t>
      </w:r>
    </w:p>
    <w:p w14:paraId="24AEDF11" w14:textId="77777777" w:rsidR="00CF626A" w:rsidRPr="001531CD" w:rsidRDefault="00CF626A">
      <w:pPr>
        <w:pStyle w:val="1"/>
      </w:pPr>
      <w:r w:rsidRPr="001531CD">
        <w:t>1.</w:t>
      </w:r>
      <w:r w:rsidRPr="001531CD">
        <w:tab/>
        <w:t xml:space="preserve">Vendors, both in state and out of state, shall make all food products available to the department's grading and certification service in an approved facility for certification prior to shipment to the place of final destination, except for out-of-state shipments made directly to a storage facility owned and operated by a public entity. Such direct </w:t>
      </w:r>
      <w:r w:rsidRPr="001531CD">
        <w:br/>
        <w:t>out-of-state shipments shall be inspected at the receiving storage facility before distribution to any food service facility.</w:t>
      </w:r>
    </w:p>
    <w:p w14:paraId="63B04A38" w14:textId="77777777" w:rsidR="00CF626A" w:rsidRPr="001531CD" w:rsidRDefault="00CF626A">
      <w:pPr>
        <w:pStyle w:val="1"/>
      </w:pPr>
      <w:r w:rsidRPr="001531CD">
        <w:t>2.</w:t>
      </w:r>
      <w:r w:rsidRPr="001531CD">
        <w:tab/>
        <w:t>Any vendor, public entity needing certification services shall notify the department at least 24 hours in advance of need and shall provide such services as necessary to expedite the examination and certification of the food product and the taping of containers, including providing the necessary tape.</w:t>
      </w:r>
    </w:p>
    <w:p w14:paraId="7D1C30C7" w14:textId="77777777" w:rsidR="00CF626A" w:rsidRPr="001531CD" w:rsidRDefault="00CF626A">
      <w:pPr>
        <w:pStyle w:val="1"/>
      </w:pPr>
      <w:r w:rsidRPr="001531CD">
        <w:t>3.</w:t>
      </w:r>
      <w:r w:rsidRPr="001531CD">
        <w:tab/>
        <w:t>The department shall receive a purchase order at least seven working days prior to the department's inspection for the purposes of issuing a final certificate.</w:t>
      </w:r>
    </w:p>
    <w:p w14:paraId="3D883023" w14:textId="77777777" w:rsidR="00CF626A" w:rsidRPr="001531CD" w:rsidRDefault="00CF626A">
      <w:pPr>
        <w:pStyle w:val="AuthorityNote"/>
      </w:pPr>
      <w:r w:rsidRPr="001531CD">
        <w:t>AUTHORITY NOTE:</w:t>
      </w:r>
      <w:r w:rsidRPr="001531CD">
        <w:tab/>
        <w:t>Promulgated in accordance with R.S. 3:405, R.S. 3:410 and R.S. 39:2101.</w:t>
      </w:r>
    </w:p>
    <w:p w14:paraId="2CAB93A5"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14:paraId="4D4BEE1E" w14:textId="77777777" w:rsidR="00CF626A" w:rsidRPr="001531CD" w:rsidRDefault="00CF626A">
      <w:pPr>
        <w:pStyle w:val="Section"/>
      </w:pPr>
      <w:bookmarkStart w:id="861" w:name="_Toc256754422"/>
      <w:bookmarkStart w:id="862" w:name="_Toc224818674"/>
      <w:r w:rsidRPr="001531CD">
        <w:t>§1615.</w:t>
      </w:r>
      <w:r w:rsidRPr="001531CD">
        <w:tab/>
        <w:t>Fees and Costs</w:t>
      </w:r>
      <w:bookmarkEnd w:id="861"/>
      <w:bookmarkEnd w:id="862"/>
    </w:p>
    <w:p w14:paraId="74FAD22E" w14:textId="77777777" w:rsidR="00CF626A" w:rsidRPr="001531CD" w:rsidRDefault="00CF626A">
      <w:pPr>
        <w:pStyle w:val="A"/>
      </w:pPr>
      <w:r w:rsidRPr="001531CD">
        <w:t>A.</w:t>
      </w:r>
      <w:r w:rsidRPr="001531CD">
        <w:tab/>
        <w:t>The commission may collect fees for the inspection and certification of food products. The fees shall not exceed the actual cost necessary to provide for the proper inspection, grading, classification and certification of the food products.</w:t>
      </w:r>
    </w:p>
    <w:p w14:paraId="555E3462" w14:textId="77777777" w:rsidR="00CF626A" w:rsidRPr="001531CD" w:rsidRDefault="00CF626A">
      <w:pPr>
        <w:pStyle w:val="A"/>
      </w:pPr>
      <w:r w:rsidRPr="001531CD">
        <w:t>B.</w:t>
      </w:r>
      <w:r w:rsidRPr="001531CD">
        <w:tab/>
        <w:t>Any vendor delivering a food product inspected and certified by the department, under these regulations, shall pay an inspection fee of $0.025 per pound for each such meat, poultry or seafood product, or in the case of eggs, a fee of $0.025 per dozen. All fees and costs shall be immediately due and payable to the department upon presentation to the vendor by the department of the statement for services rendered.</w:t>
      </w:r>
    </w:p>
    <w:p w14:paraId="1A0C6F3E" w14:textId="77777777" w:rsidR="00CF626A" w:rsidRPr="001531CD" w:rsidRDefault="00CF626A">
      <w:pPr>
        <w:pStyle w:val="A"/>
      </w:pPr>
      <w:r w:rsidRPr="001531CD">
        <w:t>C.</w:t>
      </w:r>
      <w:r w:rsidRPr="001531CD">
        <w:tab/>
        <w:t>If any product received by the public entity is in noncompliance with these regulations or purchase order requirements, but is accepted by the public entity because the product is needed for immediate consumption by either students, residents, patients or inmates then the vendor delivering such products shall pay to the department an inspection fee of $0.025 per pound for each such meat, poultry or seafood product, or in the case of eggs, a fee of $0.025 per dozen. Any public entity accepting a product that is in noncompliance with these regulations or purchase order requirements will immediately notify the department of any such acceptance and will provide the department with all necessary information to allow the department to bill the vendor for payment under this Subsection.</w:t>
      </w:r>
    </w:p>
    <w:p w14:paraId="6A14569E" w14:textId="77777777" w:rsidR="00CF626A" w:rsidRPr="001531CD" w:rsidRDefault="00CF626A">
      <w:pPr>
        <w:pStyle w:val="A"/>
      </w:pPr>
      <w:r w:rsidRPr="001531CD">
        <w:t>D.</w:t>
      </w:r>
      <w:r w:rsidRPr="001531CD">
        <w:tab/>
        <w:t>Any vendor, state agency, state institution, local school district or person needing certification services from the department and failing to notify the department at least 24 hours in advance of need shall be subject to a penalty of $50, regardless of the time required for the services or the fees assessed by the department.</w:t>
      </w:r>
    </w:p>
    <w:p w14:paraId="294BD4F9" w14:textId="77777777" w:rsidR="00CF626A" w:rsidRPr="001531CD" w:rsidRDefault="00CF626A">
      <w:pPr>
        <w:pStyle w:val="A"/>
      </w:pPr>
      <w:r w:rsidRPr="001531CD">
        <w:t>E.</w:t>
      </w:r>
      <w:r w:rsidRPr="001531CD">
        <w:tab/>
        <w:t>Fees charged and collected by the department under any other grading or certification program operated by the department shall not be affected by these regulations.</w:t>
      </w:r>
    </w:p>
    <w:p w14:paraId="5D362BAC" w14:textId="77777777" w:rsidR="00CF626A" w:rsidRPr="001531CD" w:rsidRDefault="00CF626A">
      <w:pPr>
        <w:pStyle w:val="AuthorityNote"/>
      </w:pPr>
      <w:r w:rsidRPr="001531CD">
        <w:t>AUTHORITY NOTE:</w:t>
      </w:r>
      <w:r w:rsidRPr="001531CD">
        <w:tab/>
        <w:t>Promulgated in accordance with R.S. 3:405, R.S. 3:410 and R.S. 39:2101.</w:t>
      </w:r>
    </w:p>
    <w:p w14:paraId="02364FD0"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24:629 (April 1998), amended LR 25:2160 (November 1999).</w:t>
      </w:r>
    </w:p>
    <w:p w14:paraId="78A0885F" w14:textId="77777777" w:rsidR="00CF626A" w:rsidRPr="001531CD" w:rsidRDefault="00CF626A">
      <w:pPr>
        <w:pStyle w:val="Section"/>
      </w:pPr>
      <w:bookmarkStart w:id="863" w:name="_Toc256754423"/>
      <w:bookmarkStart w:id="864" w:name="_Toc224818675"/>
      <w:r w:rsidRPr="001531CD">
        <w:t>§1617.</w:t>
      </w:r>
      <w:r w:rsidRPr="001531CD">
        <w:tab/>
        <w:t>Enforcement</w:t>
      </w:r>
      <w:bookmarkEnd w:id="863"/>
      <w:bookmarkEnd w:id="864"/>
    </w:p>
    <w:p w14:paraId="419C8BFE" w14:textId="77777777" w:rsidR="00CF626A" w:rsidRPr="001531CD" w:rsidRDefault="00CF626A">
      <w:pPr>
        <w:pStyle w:val="A"/>
      </w:pPr>
      <w:r w:rsidRPr="001531CD">
        <w:t>A.</w:t>
      </w:r>
      <w:r w:rsidRPr="001531CD">
        <w:tab/>
        <w:t xml:space="preserve">The department or its authorized representative shall have the right to enter any place where any food product is kept to inspect the food product and to inspect any records pertaining to the sale, procurement, movement, distribution, preparation or serving of any food product subject to </w:t>
      </w:r>
      <w:r w:rsidRPr="001531CD">
        <w:br/>
        <w:t>self-certification under these regulations.</w:t>
      </w:r>
    </w:p>
    <w:p w14:paraId="2DB353D6" w14:textId="77777777" w:rsidR="00CF626A" w:rsidRPr="001531CD" w:rsidRDefault="00CF626A">
      <w:pPr>
        <w:pStyle w:val="A"/>
      </w:pPr>
      <w:r w:rsidRPr="001531CD">
        <w:t>B.</w:t>
      </w:r>
      <w:r w:rsidRPr="001531CD">
        <w:tab/>
        <w:t>If the department finds that a public entity authorized to inspect and certify food products under these regulations is not inspecting and certifying each delivery of food products received by the public entity or if the department finds that the public entity has, on three or more occasions, improperly inspected or certified food products then the department may, by written order, take over inspection and certification duties from the public entity until the department determines that the public entity will properly inspect and certify food products in accordance with these regulations.</w:t>
      </w:r>
    </w:p>
    <w:p w14:paraId="53A3F3EF" w14:textId="77777777" w:rsidR="00CF626A" w:rsidRPr="001531CD" w:rsidRDefault="00CF626A">
      <w:pPr>
        <w:pStyle w:val="A"/>
      </w:pPr>
      <w:r w:rsidRPr="001531CD">
        <w:t>C.</w:t>
      </w:r>
      <w:r w:rsidRPr="001531CD">
        <w:tab/>
        <w:t xml:space="preserve">If a vendor is found to be out-of-compliance more than three times during a given quarter, then that vendor's products must be inspected for compliance by the Louisiana Department of Agriculture before delivery of any product. </w:t>
      </w:r>
      <w:r w:rsidRPr="001531CD">
        <w:lastRenderedPageBreak/>
        <w:t>Once the vendor has proven to the satisfaction of the department that his product will be in compliance, then the vendor may deliver directly to the institution for certification by the institution.</w:t>
      </w:r>
    </w:p>
    <w:p w14:paraId="53D204B2" w14:textId="77777777" w:rsidR="00CF626A" w:rsidRPr="001531CD" w:rsidRDefault="00CF626A">
      <w:pPr>
        <w:pStyle w:val="A"/>
      </w:pPr>
      <w:r w:rsidRPr="001531CD">
        <w:t>D.</w:t>
      </w:r>
      <w:r w:rsidRPr="001531CD">
        <w:tab/>
        <w:t>The department or its authorized representative may, while enforcing the provisions of these regulations, issue and enforce a written, printed or stamped stop order to prevent the purchase, procurement, movement, distribution, preparation or serving of any food product if:</w:t>
      </w:r>
    </w:p>
    <w:p w14:paraId="3B0AF795" w14:textId="77777777" w:rsidR="00CF626A" w:rsidRPr="001531CD" w:rsidRDefault="00CF626A">
      <w:pPr>
        <w:pStyle w:val="1"/>
      </w:pPr>
      <w:r w:rsidRPr="001531CD">
        <w:t>1.</w:t>
      </w:r>
      <w:r w:rsidRPr="001531CD">
        <w:tab/>
        <w:t>authorized representative of the department has been refused the right to enter the premises where the food product is kept or the right to inspect the food product or records;</w:t>
      </w:r>
    </w:p>
    <w:p w14:paraId="2EC8DD95" w14:textId="77777777" w:rsidR="00CF626A" w:rsidRPr="001531CD" w:rsidRDefault="00CF626A">
      <w:pPr>
        <w:pStyle w:val="1"/>
      </w:pPr>
      <w:r w:rsidRPr="001531CD">
        <w:t>2.</w:t>
      </w:r>
      <w:r w:rsidRPr="001531CD">
        <w:tab/>
        <w:t>the food product does not meet the grading and certification standards established by these regulations; or</w:t>
      </w:r>
    </w:p>
    <w:p w14:paraId="6AE9576C" w14:textId="77777777" w:rsidR="00CF626A" w:rsidRPr="001531CD" w:rsidRDefault="00CF626A">
      <w:pPr>
        <w:pStyle w:val="1"/>
      </w:pPr>
      <w:r w:rsidRPr="001531CD">
        <w:t>3.</w:t>
      </w:r>
      <w:r w:rsidRPr="001531CD">
        <w:tab/>
        <w:t>the food product was procured in violation of §1609.A.</w:t>
      </w:r>
    </w:p>
    <w:p w14:paraId="14CBB037" w14:textId="77777777" w:rsidR="00CF626A" w:rsidRPr="001531CD" w:rsidRDefault="00CF626A">
      <w:pPr>
        <w:pStyle w:val="A"/>
      </w:pPr>
      <w:r w:rsidRPr="001531CD">
        <w:t>E.</w:t>
      </w:r>
      <w:r w:rsidRPr="001531CD">
        <w:tab/>
        <w:t>Upon issuance of a stop order the department may cause the food product to:</w:t>
      </w:r>
    </w:p>
    <w:p w14:paraId="6533E9B2" w14:textId="77777777" w:rsidR="00CF626A" w:rsidRPr="001531CD" w:rsidRDefault="00CF626A">
      <w:pPr>
        <w:pStyle w:val="1"/>
      </w:pPr>
      <w:r w:rsidRPr="001531CD">
        <w:t>1.</w:t>
      </w:r>
      <w:r w:rsidRPr="001531CD">
        <w:tab/>
        <w:t>remain where it is located at the time the stop order is issued; or</w:t>
      </w:r>
    </w:p>
    <w:p w14:paraId="139948F4" w14:textId="77777777" w:rsidR="00CF626A" w:rsidRPr="001531CD" w:rsidRDefault="00CF626A">
      <w:pPr>
        <w:pStyle w:val="1"/>
      </w:pPr>
      <w:r w:rsidRPr="001531CD">
        <w:t>2.</w:t>
      </w:r>
      <w:r w:rsidRPr="001531CD">
        <w:tab/>
        <w:t>be returned to the distributor or vendor of the food product.</w:t>
      </w:r>
    </w:p>
    <w:p w14:paraId="7A9072B5" w14:textId="77777777" w:rsidR="00CF626A" w:rsidRPr="001531CD" w:rsidRDefault="00CF626A">
      <w:pPr>
        <w:pStyle w:val="A"/>
      </w:pPr>
      <w:r w:rsidRPr="001531CD">
        <w:t>F.</w:t>
      </w:r>
      <w:r w:rsidRPr="001531CD">
        <w:tab/>
        <w:t>The stop order may be released by the commissioner when:</w:t>
      </w:r>
    </w:p>
    <w:p w14:paraId="128D8131" w14:textId="77777777" w:rsidR="00CF626A" w:rsidRPr="001531CD" w:rsidRDefault="00CF626A">
      <w:pPr>
        <w:pStyle w:val="1"/>
      </w:pPr>
      <w:r w:rsidRPr="001531CD">
        <w:t>1.</w:t>
      </w:r>
      <w:r w:rsidRPr="001531CD">
        <w:tab/>
        <w:t>the food product is found to meet the certification standards set out in these rules if the stop order was issued because the department had not certified the food product;</w:t>
      </w:r>
    </w:p>
    <w:p w14:paraId="59A1FCF5" w14:textId="77777777" w:rsidR="00CF626A" w:rsidRPr="001531CD" w:rsidRDefault="00CF626A" w:rsidP="00BE6F49">
      <w:pPr>
        <w:pStyle w:val="1"/>
        <w:spacing w:after="80"/>
      </w:pPr>
      <w:r w:rsidRPr="001531CD">
        <w:t>2.</w:t>
      </w:r>
      <w:r w:rsidRPr="001531CD">
        <w:tab/>
        <w:t>proof of compliance with §1609.A is furnished to the department if the stop order was issued because of noncompliance or failure to produce proof of compliance;</w:t>
      </w:r>
    </w:p>
    <w:p w14:paraId="367219C6" w14:textId="77777777" w:rsidR="00CF626A" w:rsidRPr="001531CD" w:rsidRDefault="00CF626A" w:rsidP="00BE6F49">
      <w:pPr>
        <w:pStyle w:val="1"/>
        <w:spacing w:after="80"/>
      </w:pPr>
      <w:r w:rsidRPr="001531CD">
        <w:t>3.</w:t>
      </w:r>
      <w:r w:rsidRPr="001531CD">
        <w:tab/>
        <w:t>authorized representative of the department has been allowed to enter the premises where the food product is stored and inspect the food product or the records if the stop order was issued based on refusal to allow entry or inspection;</w:t>
      </w:r>
    </w:p>
    <w:p w14:paraId="52538171" w14:textId="77777777" w:rsidR="00CF626A" w:rsidRPr="001531CD" w:rsidRDefault="00CF626A" w:rsidP="00BE6F49">
      <w:pPr>
        <w:pStyle w:val="1"/>
        <w:spacing w:after="80"/>
      </w:pPr>
      <w:r w:rsidRPr="001531CD">
        <w:t>4.</w:t>
      </w:r>
      <w:r w:rsidRPr="001531CD">
        <w:tab/>
        <w:t>written proof acceptable to the department is supplied showing that the food product has been returned to the distributor or seller and that the full purchase price of the food product has been refunded to the purchaser; or</w:t>
      </w:r>
    </w:p>
    <w:p w14:paraId="6899B4F3" w14:textId="77777777" w:rsidR="00CF626A" w:rsidRPr="001531CD" w:rsidRDefault="00CF626A" w:rsidP="00BE6F49">
      <w:pPr>
        <w:pStyle w:val="1"/>
        <w:spacing w:after="80"/>
      </w:pPr>
      <w:r w:rsidRPr="001531CD">
        <w:t>5.</w:t>
      </w:r>
      <w:r w:rsidRPr="001531CD">
        <w:tab/>
        <w:t>the department determines that circumstances warrant the release of the stop order, upon such terms and conditions that the department deems necessary or proper.</w:t>
      </w:r>
    </w:p>
    <w:p w14:paraId="6BBFB381" w14:textId="77777777" w:rsidR="00CF626A" w:rsidRPr="001531CD" w:rsidRDefault="00CF626A" w:rsidP="00BE6F49">
      <w:pPr>
        <w:pStyle w:val="A"/>
        <w:spacing w:after="80"/>
      </w:pPr>
      <w:r w:rsidRPr="001531CD">
        <w:t>G.</w:t>
      </w:r>
      <w:r w:rsidRPr="001531CD">
        <w:tab/>
        <w:t>Nothing in these regulations shall prevent the commissioner or the department from seizing, selling or destroying the food product if the department finds that the food product violates any other state law or regulation allowing any such action.</w:t>
      </w:r>
    </w:p>
    <w:p w14:paraId="345644EA" w14:textId="77777777" w:rsidR="00CF626A" w:rsidRPr="001531CD" w:rsidRDefault="00CF626A">
      <w:pPr>
        <w:pStyle w:val="AuthorityNote"/>
      </w:pPr>
      <w:r w:rsidRPr="001531CD">
        <w:t>AUTHORITY NOTE:</w:t>
      </w:r>
      <w:r w:rsidRPr="001531CD">
        <w:tab/>
        <w:t>Promulgated in accordance with R.S. 3:405, 410, 413 and R.S. 39:2101.</w:t>
      </w:r>
    </w:p>
    <w:p w14:paraId="6C9E91F5"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24:630 (April 1998).</w:t>
      </w:r>
    </w:p>
    <w:p w14:paraId="1A5252C0" w14:textId="77777777" w:rsidR="00CF626A" w:rsidRPr="001531CD" w:rsidRDefault="00CF626A">
      <w:pPr>
        <w:pStyle w:val="Section"/>
      </w:pPr>
      <w:bookmarkStart w:id="865" w:name="_Toc256754424"/>
      <w:bookmarkStart w:id="866" w:name="_Toc224818676"/>
      <w:r w:rsidRPr="001531CD">
        <w:t>§1619.</w:t>
      </w:r>
      <w:r w:rsidRPr="001531CD">
        <w:tab/>
        <w:t>Penalty for Violations; Injunctive Relief; Costs; Notification</w:t>
      </w:r>
      <w:bookmarkEnd w:id="865"/>
      <w:bookmarkEnd w:id="866"/>
    </w:p>
    <w:p w14:paraId="633D5535" w14:textId="77777777" w:rsidR="00CF626A" w:rsidRPr="001531CD" w:rsidRDefault="00CF626A">
      <w:pPr>
        <w:pStyle w:val="A"/>
      </w:pPr>
      <w:r w:rsidRPr="001531CD">
        <w:t>A.</w:t>
      </w:r>
      <w:r w:rsidRPr="001531CD">
        <w:tab/>
        <w:t>Whoever violates R.S. 39:2101 or the regulations promulgated thereunder shall be fined not less than $25 nor more than $500 or imprisoned for not less than 10 days nor more than six months, or both as provided by R.S. 3:419.</w:t>
      </w:r>
    </w:p>
    <w:p w14:paraId="42FABAB4" w14:textId="77777777" w:rsidR="00CF626A" w:rsidRPr="001531CD" w:rsidRDefault="00CF626A">
      <w:pPr>
        <w:pStyle w:val="A"/>
      </w:pPr>
      <w:r w:rsidRPr="001531CD">
        <w:t>B.</w:t>
      </w:r>
      <w:r w:rsidRPr="001531CD">
        <w:tab/>
        <w:t>Each violation of these rules and regulations, any stop order or other orders issued by the commissioner in the enforcement of these rules and regulations and every day of a continuing violation shall be considered a separate and distinct violation chargeable under these rules and regulations.</w:t>
      </w:r>
    </w:p>
    <w:p w14:paraId="27D96D2D" w14:textId="77777777" w:rsidR="00CF626A" w:rsidRPr="001531CD" w:rsidRDefault="00CF626A">
      <w:pPr>
        <w:pStyle w:val="A"/>
      </w:pPr>
      <w:r w:rsidRPr="001531CD">
        <w:t>C.</w:t>
      </w:r>
      <w:r w:rsidRPr="001531CD">
        <w:tab/>
        <w:t>The commission, through the commissioner, may apply for injunctive relief restraining violations of R.S. 39:2101 or the regulations promulgated thereunder or institute necessary actions for failure to pay accounts due the commission. The person condemned in any such proceeding shall be liable for the costs of court and for any additional costs incurred by the commission in gathering the necessary evidence, including reasonable attorney fees and expert witness fees.</w:t>
      </w:r>
    </w:p>
    <w:p w14:paraId="5B3E0C65" w14:textId="77777777" w:rsidR="00CF626A" w:rsidRPr="001531CD" w:rsidRDefault="00CF626A">
      <w:pPr>
        <w:pStyle w:val="A"/>
      </w:pPr>
      <w:r w:rsidRPr="001531CD">
        <w:t>D.</w:t>
      </w:r>
      <w:r w:rsidRPr="001531CD">
        <w:tab/>
        <w:t xml:space="preserve">In addition to the penalties stated in §1619.A and B the commission may withhold certification services from any vendor, or the right of a public entity to conduct </w:t>
      </w:r>
      <w:r w:rsidRPr="001531CD">
        <w:br/>
        <w:t>self-certification based on an adjudicatory hearing held in accordance with the Administrative Procedure Act and presided over by a hearing officer appointed by the commissioner.</w:t>
      </w:r>
    </w:p>
    <w:p w14:paraId="766E6F9B" w14:textId="77777777" w:rsidR="00CF626A" w:rsidRPr="001531CD" w:rsidRDefault="00CF626A">
      <w:pPr>
        <w:pStyle w:val="A"/>
      </w:pPr>
      <w:r w:rsidRPr="001531CD">
        <w:t>E.</w:t>
      </w:r>
      <w:r w:rsidRPr="001531CD">
        <w:tab/>
        <w:t>If any food product cannot be certified by the department for any reason or if certification services are withheld then notification of the noncertification or withholding of the services and the reasons therefor shall be sent by the department to all appropriate entities including, but not limited to, the affected public entity, the purchasing agent, appointing authority, Division of Administration, inspector general, legislative auditor or district attorney.</w:t>
      </w:r>
    </w:p>
    <w:p w14:paraId="05BC8340" w14:textId="77777777" w:rsidR="00CF626A" w:rsidRPr="001531CD" w:rsidRDefault="00CF626A">
      <w:pPr>
        <w:pStyle w:val="AuthorityNote"/>
      </w:pPr>
      <w:r w:rsidRPr="001531CD">
        <w:t>AUTHORITY NOTE:</w:t>
      </w:r>
      <w:r w:rsidRPr="001531CD">
        <w:tab/>
        <w:t>Promulgated in accordance with R.S. 3:405, 410, 413 and R.S. 39:2101.</w:t>
      </w:r>
    </w:p>
    <w:p w14:paraId="2C03DE21" w14:textId="77777777" w:rsidR="00CF626A" w:rsidRPr="001531CD" w:rsidRDefault="00CF626A">
      <w:pPr>
        <w:pStyle w:val="HistoricalNote"/>
      </w:pPr>
      <w:r w:rsidRPr="001531CD">
        <w:t>HISTORICAL NOTE:</w:t>
      </w:r>
      <w:r w:rsidRPr="001531CD">
        <w:tab/>
        <w:t xml:space="preserve">Promulgated by the Department of Agriculture and Forestry, Office of Marketing, Market Commission, LR 24:630 (April 1998). </w:t>
      </w:r>
    </w:p>
    <w:p w14:paraId="2B6D7474" w14:textId="77777777" w:rsidR="00CF626A" w:rsidRPr="001531CD" w:rsidRDefault="00CF626A">
      <w:pPr>
        <w:pStyle w:val="Chapter"/>
      </w:pPr>
      <w:bookmarkStart w:id="867" w:name="TOC_Chap69"/>
      <w:bookmarkStart w:id="868" w:name="_Toc256754425"/>
      <w:bookmarkStart w:id="869" w:name="_Toc224818677"/>
      <w:r w:rsidRPr="001531CD">
        <w:t>Chapter 17.</w:t>
      </w:r>
      <w:bookmarkEnd w:id="867"/>
      <w:r w:rsidR="00167E2E">
        <w:tab/>
      </w:r>
      <w:bookmarkStart w:id="870" w:name="TOCT_Chap67"/>
      <w:bookmarkStart w:id="871" w:name="TOCT_Chap68"/>
      <w:bookmarkStart w:id="872" w:name="TOCT_Chap69"/>
      <w:r w:rsidRPr="001531CD">
        <w:t>Louisiana Egg Commission</w:t>
      </w:r>
      <w:bookmarkEnd w:id="868"/>
      <w:bookmarkEnd w:id="869"/>
      <w:bookmarkEnd w:id="870"/>
      <w:bookmarkEnd w:id="871"/>
      <w:bookmarkEnd w:id="872"/>
    </w:p>
    <w:p w14:paraId="27BA68E7" w14:textId="77777777" w:rsidR="00BE233F" w:rsidRDefault="00CF626A" w:rsidP="00BE233F">
      <w:pPr>
        <w:pStyle w:val="Section"/>
      </w:pPr>
      <w:bookmarkStart w:id="873" w:name="_Toc256754426"/>
      <w:bookmarkStart w:id="874" w:name="_Toc224818678"/>
      <w:r w:rsidRPr="001531CD">
        <w:t>§1701.</w:t>
      </w:r>
      <w:r w:rsidRPr="001531CD">
        <w:tab/>
      </w:r>
      <w:bookmarkEnd w:id="873"/>
      <w:r w:rsidR="00BE233F" w:rsidRPr="00F20B70">
        <w:t>Definitions</w:t>
      </w:r>
      <w:bookmarkEnd w:id="874"/>
    </w:p>
    <w:p w14:paraId="21193F2A" w14:textId="29D768A2" w:rsidR="00CF626A" w:rsidRPr="001531CD" w:rsidRDefault="00BE233F" w:rsidP="00BE233F">
      <w:pPr>
        <w:pStyle w:val="A"/>
      </w:pPr>
      <w:r w:rsidRPr="00F20B70">
        <w:t>A.</w:t>
      </w:r>
      <w:r w:rsidRPr="00F20B70">
        <w:tab/>
        <w:t xml:space="preserve">The following words and terms, when used in this Subchapter, shall have the following meanings, unless the context expressly indicates otherwise: </w:t>
      </w:r>
    </w:p>
    <w:p w14:paraId="6098EA80" w14:textId="77777777" w:rsidR="00CF626A" w:rsidRPr="001531CD" w:rsidRDefault="00CF626A">
      <w:pPr>
        <w:pStyle w:val="A"/>
      </w:pPr>
      <w:r w:rsidRPr="001531CD">
        <w:rPr>
          <w:i/>
          <w:iCs/>
        </w:rPr>
        <w:t>Act</w:t>
      </w:r>
      <w:r w:rsidRPr="001531CD">
        <w:t>―the Louisiana Egg Commission Act, being Act #441 of 1968 found in R.S. 3:551.1</w:t>
      </w:r>
      <w:r w:rsidR="000E6720" w:rsidRPr="001531CD">
        <w:t>-</w:t>
      </w:r>
      <w:r w:rsidRPr="001531CD">
        <w:t>551.11.</w:t>
      </w:r>
    </w:p>
    <w:p w14:paraId="65690BD6" w14:textId="77777777" w:rsidR="00CF626A" w:rsidRPr="001531CD" w:rsidRDefault="00CF626A">
      <w:pPr>
        <w:pStyle w:val="A"/>
      </w:pPr>
      <w:r w:rsidRPr="001531CD">
        <w:rPr>
          <w:i/>
          <w:iCs/>
        </w:rPr>
        <w:t>Case</w:t>
      </w:r>
      <w:r w:rsidRPr="001531CD">
        <w:t>―a standard 30 dozen egg case.</w:t>
      </w:r>
    </w:p>
    <w:p w14:paraId="09F7FAB2" w14:textId="77777777" w:rsidR="00CF626A" w:rsidRPr="001531CD" w:rsidRDefault="00CF626A">
      <w:pPr>
        <w:pStyle w:val="A"/>
      </w:pPr>
      <w:r w:rsidRPr="001531CD">
        <w:rPr>
          <w:i/>
          <w:iCs/>
        </w:rPr>
        <w:t>Commission</w:t>
      </w:r>
      <w:r w:rsidRPr="001531CD">
        <w:t>―the Louisiana Egg Commission.</w:t>
      </w:r>
    </w:p>
    <w:p w14:paraId="1E47160E" w14:textId="77777777" w:rsidR="00C16E6A" w:rsidRPr="00F20B70" w:rsidRDefault="00C16E6A" w:rsidP="00C16E6A">
      <w:pPr>
        <w:pStyle w:val="A"/>
      </w:pPr>
      <w:r w:rsidRPr="00F20B70">
        <w:rPr>
          <w:i/>
          <w:iCs/>
        </w:rPr>
        <w:t>Commissioner—</w:t>
      </w:r>
      <w:r w:rsidRPr="00F20B70">
        <w:t>Commissioner of Agriculture and Forestry.</w:t>
      </w:r>
    </w:p>
    <w:p w14:paraId="2825CC5D" w14:textId="77777777" w:rsidR="00C16E6A" w:rsidRPr="00F20B70" w:rsidRDefault="00C16E6A" w:rsidP="00C16E6A">
      <w:pPr>
        <w:pStyle w:val="A"/>
      </w:pPr>
      <w:r w:rsidRPr="00F20B70">
        <w:rPr>
          <w:i/>
          <w:iCs/>
        </w:rPr>
        <w:lastRenderedPageBreak/>
        <w:t>Department</w:t>
      </w:r>
      <w:r w:rsidRPr="00F20B70">
        <w:t>—Louisiana Department of Agriculture and Forestry</w:t>
      </w:r>
    </w:p>
    <w:p w14:paraId="4D1DC4E1" w14:textId="77777777" w:rsidR="00C16E6A" w:rsidRPr="00F20B70" w:rsidRDefault="00C16E6A" w:rsidP="00C16E6A">
      <w:pPr>
        <w:pStyle w:val="A"/>
      </w:pPr>
      <w:r w:rsidRPr="00F20B70">
        <w:rPr>
          <w:i/>
          <w:iCs/>
        </w:rPr>
        <w:t>Eggs</w:t>
      </w:r>
      <w:r w:rsidRPr="00F20B70">
        <w:t>—pullet and hen eggs only.</w:t>
      </w:r>
    </w:p>
    <w:p w14:paraId="0A16D551" w14:textId="77777777" w:rsidR="00C16E6A" w:rsidRPr="00F20B70" w:rsidRDefault="00C16E6A" w:rsidP="00C16E6A">
      <w:pPr>
        <w:pStyle w:val="A"/>
      </w:pPr>
      <w:r w:rsidRPr="00F20B70">
        <w:rPr>
          <w:i/>
          <w:iCs/>
        </w:rPr>
        <w:t>Handler and/or Dealer</w:t>
      </w:r>
      <w:r w:rsidRPr="00F20B70">
        <w:t>—any person engaged within the state as a distributor in the business of distributing eggs produced in Louisiana, or distributing in Louisiana eggs which are produced elsewhere.</w:t>
      </w:r>
    </w:p>
    <w:p w14:paraId="573FE9CB" w14:textId="77777777" w:rsidR="00C16E6A" w:rsidRDefault="00C16E6A" w:rsidP="00C16E6A">
      <w:pPr>
        <w:pStyle w:val="A"/>
      </w:pPr>
      <w:r w:rsidRPr="00F20B70">
        <w:rPr>
          <w:i/>
          <w:iCs/>
        </w:rPr>
        <w:t>LDAF</w:t>
      </w:r>
      <w:r w:rsidRPr="00F20B70">
        <w:t>—Department of Agriculture and Forestry</w:t>
      </w:r>
    </w:p>
    <w:p w14:paraId="2951A5AE" w14:textId="6AAF042C" w:rsidR="00CF626A" w:rsidRPr="001531CD" w:rsidRDefault="00CF626A" w:rsidP="00C16E6A">
      <w:pPr>
        <w:pStyle w:val="A"/>
      </w:pPr>
      <w:r w:rsidRPr="001531CD">
        <w:rPr>
          <w:i/>
          <w:iCs/>
        </w:rPr>
        <w:t>Licensee</w:t>
      </w:r>
      <w:r w:rsidRPr="001531CD">
        <w:t>―a person who holds a license issued pursuant to these rules and regulations.</w:t>
      </w:r>
    </w:p>
    <w:p w14:paraId="3C4DBDD5" w14:textId="77777777" w:rsidR="00CF626A" w:rsidRPr="001531CD" w:rsidRDefault="00CF626A">
      <w:pPr>
        <w:pStyle w:val="A"/>
      </w:pPr>
      <w:r w:rsidRPr="001531CD">
        <w:rPr>
          <w:i/>
          <w:iCs/>
        </w:rPr>
        <w:t>Person</w:t>
      </w:r>
      <w:r w:rsidRPr="001531CD">
        <w:t>―every person, partnership, firm, company, association, corporation or legal entity engaged in the production or the sale of eggs in Louisiana.</w:t>
      </w:r>
    </w:p>
    <w:p w14:paraId="0FFFFBCD" w14:textId="77777777" w:rsidR="00C16E6A" w:rsidRPr="00F20B70" w:rsidRDefault="00C16E6A" w:rsidP="00C16E6A">
      <w:pPr>
        <w:pStyle w:val="A"/>
        <w:rPr>
          <w:strike/>
        </w:rPr>
      </w:pPr>
      <w:r w:rsidRPr="00F20B70">
        <w:rPr>
          <w:i/>
          <w:iCs/>
        </w:rPr>
        <w:t>Producer</w:t>
      </w:r>
      <w:r w:rsidRPr="00F20B70">
        <w:t>—</w:t>
      </w:r>
      <w:r w:rsidRPr="00F20B70">
        <w:rPr>
          <w:strike/>
        </w:rPr>
        <w:t>e</w:t>
      </w:r>
      <w:r w:rsidRPr="00F20B70">
        <w:t xml:space="preserve">very person engaged in producing eggs in the state. </w:t>
      </w:r>
    </w:p>
    <w:p w14:paraId="6A6BABBB" w14:textId="77777777" w:rsidR="00C16E6A" w:rsidRPr="00F20B70" w:rsidRDefault="00C16E6A" w:rsidP="00C16E6A">
      <w:pPr>
        <w:pStyle w:val="A"/>
      </w:pPr>
      <w:r w:rsidRPr="00F20B70">
        <w:rPr>
          <w:i/>
          <w:iCs/>
        </w:rPr>
        <w:t>Ship</w:t>
      </w:r>
      <w:r w:rsidRPr="00F20B70">
        <w:t xml:space="preserve"> or </w:t>
      </w:r>
      <w:r w:rsidRPr="00F20B70">
        <w:rPr>
          <w:i/>
          <w:iCs/>
        </w:rPr>
        <w:t>Shipping</w:t>
      </w:r>
      <w:r w:rsidRPr="00F20B70">
        <w:t>—to move or cause to be moved, eggs in intrastate, interstate, or foreign commerce by rail, truck, boat, airplane, or any other means.</w:t>
      </w:r>
    </w:p>
    <w:p w14:paraId="6FB502A9" w14:textId="3FA810FB" w:rsidR="00CF626A" w:rsidRPr="001531CD" w:rsidRDefault="00C16E6A" w:rsidP="00C16E6A">
      <w:pPr>
        <w:pStyle w:val="A"/>
      </w:pPr>
      <w:r w:rsidRPr="00F20B70">
        <w:rPr>
          <w:i/>
          <w:iCs/>
        </w:rPr>
        <w:t>Shipper</w:t>
      </w:r>
      <w:r w:rsidRPr="00F20B70">
        <w:t>—any person engaged in shipping or causing to be shipped, eggs in intrastate, interstate, or foreign commerce, whether owner, agent or otherwise</w:t>
      </w:r>
      <w:r w:rsidR="00CF626A" w:rsidRPr="001531CD">
        <w:t>.</w:t>
      </w:r>
    </w:p>
    <w:p w14:paraId="0E3411A5" w14:textId="5D335D07" w:rsidR="00CF626A" w:rsidRPr="001531CD" w:rsidRDefault="00CF626A">
      <w:pPr>
        <w:pStyle w:val="AuthorityNote"/>
      </w:pPr>
      <w:r w:rsidRPr="001531CD">
        <w:t>AUTHORITY NOTE:</w:t>
      </w:r>
      <w:r w:rsidRPr="001531CD">
        <w:tab/>
        <w:t xml:space="preserve">Adopted in accordance with R.S. </w:t>
      </w:r>
      <w:r w:rsidR="00C16E6A" w:rsidRPr="00F20B70">
        <w:t>3:839</w:t>
      </w:r>
      <w:r w:rsidRPr="001531CD">
        <w:t>.</w:t>
      </w:r>
    </w:p>
    <w:p w14:paraId="7E95B157" w14:textId="06ADC63D" w:rsidR="00CF626A" w:rsidRPr="001531CD" w:rsidRDefault="00CF626A">
      <w:pPr>
        <w:pStyle w:val="HistoricalNote"/>
      </w:pPr>
      <w:r w:rsidRPr="001531CD">
        <w:t>HISTORICAL NOTE:</w:t>
      </w:r>
      <w:r w:rsidRPr="001531CD">
        <w:tab/>
        <w:t>Adopted by the Department of Agriculture, Egg Commission, November 1972</w:t>
      </w:r>
      <w:r w:rsidR="00C16E6A">
        <w:t xml:space="preserve">, </w:t>
      </w:r>
      <w:r w:rsidR="00C16E6A" w:rsidRPr="00F20B70">
        <w:t xml:space="preserve">amended by the Department of Agriculture and Forestry, Office of Animal Health, </w:t>
      </w:r>
      <w:r w:rsidR="00C16E6A">
        <w:t>LR 51:1821 (November 2025).</w:t>
      </w:r>
    </w:p>
    <w:p w14:paraId="4FC164F8" w14:textId="77777777" w:rsidR="00CF626A" w:rsidRPr="001531CD" w:rsidRDefault="00CF626A">
      <w:pPr>
        <w:pStyle w:val="Section"/>
      </w:pPr>
      <w:bookmarkStart w:id="875" w:name="_Toc256754427"/>
      <w:bookmarkStart w:id="876" w:name="_Toc224818679"/>
      <w:r w:rsidRPr="001531CD">
        <w:t>§1703.</w:t>
      </w:r>
      <w:r w:rsidRPr="001531CD">
        <w:tab/>
        <w:t>The Commission</w:t>
      </w:r>
      <w:bookmarkEnd w:id="875"/>
      <w:bookmarkEnd w:id="876"/>
    </w:p>
    <w:p w14:paraId="7A0E83C3" w14:textId="484D415B" w:rsidR="00CF626A" w:rsidRPr="001531CD" w:rsidRDefault="00CF626A" w:rsidP="00C16E6A">
      <w:pPr>
        <w:pStyle w:val="A"/>
        <w:spacing w:after="80"/>
      </w:pPr>
      <w:r w:rsidRPr="001531CD">
        <w:t>A.</w:t>
      </w:r>
      <w:r w:rsidRPr="001531CD">
        <w:tab/>
      </w:r>
      <w:r w:rsidR="00C16E6A" w:rsidRPr="00F20B70">
        <w:t>No member of the commission shall receive a salary, but each member shall receive a per diem of $15 per day.</w:t>
      </w:r>
    </w:p>
    <w:p w14:paraId="19E1D883" w14:textId="2777379A" w:rsidR="00CF626A" w:rsidRPr="001531CD" w:rsidRDefault="00CF626A">
      <w:pPr>
        <w:pStyle w:val="AuthorityNote"/>
      </w:pPr>
      <w:r w:rsidRPr="001531CD">
        <w:t>AUTHORITY NOTE:</w:t>
      </w:r>
      <w:r w:rsidRPr="001531CD">
        <w:tab/>
        <w:t xml:space="preserve">Adopted in accordance with </w:t>
      </w:r>
      <w:r w:rsidR="00C16E6A" w:rsidRPr="00F20B70">
        <w:t>R.S. 3:837 and 839</w:t>
      </w:r>
      <w:r w:rsidRPr="001531CD">
        <w:t>.</w:t>
      </w:r>
    </w:p>
    <w:p w14:paraId="083BD90F" w14:textId="0EC96D6D" w:rsidR="00CF626A" w:rsidRPr="001531CD" w:rsidRDefault="00CF626A">
      <w:pPr>
        <w:pStyle w:val="HistoricalNote"/>
      </w:pPr>
      <w:r w:rsidRPr="001531CD">
        <w:t>HISTORICAL NOTE:</w:t>
      </w:r>
      <w:r w:rsidRPr="001531CD">
        <w:tab/>
        <w:t>Adopted by the Department of Agriculture, Egg Commission, November 1972</w:t>
      </w:r>
      <w:r w:rsidR="00C16E6A">
        <w:t xml:space="preserve">, </w:t>
      </w:r>
      <w:r w:rsidR="00C16E6A" w:rsidRPr="00F20B70">
        <w:t xml:space="preserve">amended by the Department of Agriculture and Forestry, Office of Animal Health and Food Safety, </w:t>
      </w:r>
      <w:r w:rsidR="00C16E6A">
        <w:t>LR 51:1821 (November 2025).</w:t>
      </w:r>
    </w:p>
    <w:p w14:paraId="700EA215" w14:textId="77777777" w:rsidR="00CF626A" w:rsidRPr="001531CD" w:rsidRDefault="00CF626A" w:rsidP="00BE6F49">
      <w:pPr>
        <w:pStyle w:val="Section"/>
        <w:spacing w:after="80"/>
      </w:pPr>
      <w:bookmarkStart w:id="877" w:name="_Toc256754429"/>
      <w:bookmarkStart w:id="878" w:name="_Toc224818680"/>
      <w:r w:rsidRPr="001531CD">
        <w:t>§1707.</w:t>
      </w:r>
      <w:r w:rsidRPr="001531CD">
        <w:tab/>
        <w:t>Officers</w:t>
      </w:r>
      <w:bookmarkEnd w:id="877"/>
      <w:bookmarkEnd w:id="878"/>
    </w:p>
    <w:p w14:paraId="38060195" w14:textId="77777777" w:rsidR="00C16E6A" w:rsidRPr="00F20B70" w:rsidRDefault="00CF626A" w:rsidP="00C16E6A">
      <w:pPr>
        <w:pStyle w:val="A"/>
      </w:pPr>
      <w:r w:rsidRPr="001531CD">
        <w:t>A.</w:t>
      </w:r>
      <w:r w:rsidRPr="001531CD">
        <w:tab/>
      </w:r>
      <w:r w:rsidR="00C16E6A" w:rsidRPr="00F20B70">
        <w:t>The commission shall elect a chairman, vice-chairman, and a secretary/treasurer, and other officers as it deems appropriate, who shall have the following authority and duties:</w:t>
      </w:r>
    </w:p>
    <w:p w14:paraId="59777E4E" w14:textId="77777777" w:rsidR="00C16E6A" w:rsidRPr="00F20B70" w:rsidRDefault="00C16E6A" w:rsidP="00C16E6A">
      <w:pPr>
        <w:pStyle w:val="1"/>
      </w:pPr>
      <w:r w:rsidRPr="00F20B70">
        <w:t>1.</w:t>
      </w:r>
      <w:r w:rsidRPr="00F20B70">
        <w:tab/>
        <w:t>The commission shall elect a chairman, who shall be one of its members, and who shall be elected annually. The chairman shall be the chief executive officer of the commission and shall preside at all meetings thereof. The chairman shall have general and active management of the business of the commission, and shall see that all orders and resolutions of the commission are carried into effect. The chairman shall execute all contracts and other documents on behalf of the commission.</w:t>
      </w:r>
    </w:p>
    <w:p w14:paraId="5835539F" w14:textId="77777777" w:rsidR="00C16E6A" w:rsidRPr="00F20B70" w:rsidRDefault="00C16E6A" w:rsidP="00C16E6A">
      <w:pPr>
        <w:pStyle w:val="1"/>
        <w:rPr>
          <w:strike/>
        </w:rPr>
      </w:pPr>
      <w:r w:rsidRPr="00F20B70">
        <w:t>2.</w:t>
      </w:r>
      <w:r w:rsidRPr="00F20B70">
        <w:tab/>
        <w:t xml:space="preserve">The vice-chairman shall serve in the absence of the chairman, and shall be elected annually. </w:t>
      </w:r>
    </w:p>
    <w:p w14:paraId="10D5DA13" w14:textId="77777777" w:rsidR="00C16E6A" w:rsidRPr="00F20B70" w:rsidRDefault="00C16E6A" w:rsidP="00C16E6A">
      <w:pPr>
        <w:pStyle w:val="1"/>
      </w:pPr>
      <w:r w:rsidRPr="00F20B70">
        <w:t>3.</w:t>
      </w:r>
      <w:r w:rsidRPr="00F20B70">
        <w:tab/>
        <w:t xml:space="preserve">The secretary/treasurer of the commission shall be elected by the commission annually, but he or she need not be </w:t>
      </w:r>
      <w:r w:rsidRPr="00F20B70">
        <w:t xml:space="preserve">a member of the commission. The secretary/treasurer shall attend all meetings of the commission and shall record all votes and the minutes of all proceedings, which recordings shall be permanently preserved. The secretary/treasurer shall give or cause to be given notice of all meetings, and shall perform such other duties ordinarily attendant to a secretary and treasurer of a corporation. The secretary/treasurer shall keep a record of all monies received and disbursed and shall submit a report of all transactions to the commission at each meeting or upon the request of any member. </w:t>
      </w:r>
    </w:p>
    <w:p w14:paraId="771BC02C" w14:textId="77777777" w:rsidR="00C16E6A" w:rsidRPr="00F20B70" w:rsidRDefault="00C16E6A" w:rsidP="00C16E6A">
      <w:pPr>
        <w:pStyle w:val="1"/>
      </w:pPr>
      <w:r w:rsidRPr="00F20B70">
        <w:t>4.</w:t>
      </w:r>
      <w:r w:rsidRPr="00F20B70">
        <w:tab/>
        <w:t>The commission may elect such other officers which may be necessary to carry out the duties of the commission in accordance with the applicable law and this Chapter.</w:t>
      </w:r>
    </w:p>
    <w:p w14:paraId="7EA85DCE" w14:textId="77777777" w:rsidR="00C16E6A" w:rsidRPr="00F20B70" w:rsidRDefault="00C16E6A" w:rsidP="00C16E6A">
      <w:pPr>
        <w:pStyle w:val="AuthorityNote"/>
      </w:pPr>
      <w:r>
        <w:t>AUTHORITY NOTE:</w:t>
      </w:r>
      <w:r>
        <w:tab/>
      </w:r>
      <w:r w:rsidRPr="00F20B70">
        <w:t>Adopted in accordance with R.S. 3:838 and 839.</w:t>
      </w:r>
    </w:p>
    <w:p w14:paraId="1C239190" w14:textId="77777777" w:rsidR="00C16E6A" w:rsidRDefault="00C16E6A" w:rsidP="00C16E6A">
      <w:pPr>
        <w:pStyle w:val="HistoricalNote"/>
      </w:pPr>
      <w:r w:rsidRPr="00F20B70">
        <w:t>HISTORICAL NOTE:</w:t>
      </w:r>
      <w:r w:rsidRPr="00F20B70">
        <w:tab/>
        <w:t xml:space="preserve">Adopted by the Department of Agriculture, Egg Commission, November 1972, amended by the Department of Agriculture and Forestry, Office of Animal Health and Food Safety, </w:t>
      </w:r>
      <w:r>
        <w:t>LR 51:1821 (November 2025).</w:t>
      </w:r>
    </w:p>
    <w:p w14:paraId="4072B693" w14:textId="77777777" w:rsidR="00CF626A" w:rsidRPr="001531CD" w:rsidRDefault="00CF626A">
      <w:pPr>
        <w:pStyle w:val="Section"/>
      </w:pPr>
      <w:bookmarkStart w:id="879" w:name="_Toc256754431"/>
      <w:bookmarkStart w:id="880" w:name="_Toc224818681"/>
      <w:r w:rsidRPr="001531CD">
        <w:t>§1711.</w:t>
      </w:r>
      <w:r w:rsidRPr="001531CD">
        <w:tab/>
        <w:t>Collection and Disbursement of Assessments</w:t>
      </w:r>
      <w:bookmarkEnd w:id="879"/>
      <w:bookmarkEnd w:id="880"/>
    </w:p>
    <w:p w14:paraId="0572F108" w14:textId="77777777" w:rsidR="00316782" w:rsidRPr="00F20B70" w:rsidRDefault="00CF626A" w:rsidP="00316782">
      <w:pPr>
        <w:pStyle w:val="A"/>
      </w:pPr>
      <w:r w:rsidRPr="001531CD">
        <w:t>A.</w:t>
      </w:r>
      <w:r w:rsidRPr="001531CD">
        <w:tab/>
      </w:r>
      <w:r w:rsidR="00316782" w:rsidRPr="00F20B70">
        <w:t>The $0.02 per case assessment on all eggs produced or distributed in Louisiana, as provided for in R.S. 3:841, shall be collected by the commissioner in such manner and method as shall be prescribed herein.</w:t>
      </w:r>
    </w:p>
    <w:p w14:paraId="25957568" w14:textId="77777777" w:rsidR="00316782" w:rsidRPr="00F20B70" w:rsidRDefault="00316782" w:rsidP="00316782">
      <w:pPr>
        <w:pStyle w:val="A"/>
      </w:pPr>
      <w:r w:rsidRPr="00F20B70">
        <w:t>B.</w:t>
      </w:r>
      <w:r w:rsidRPr="00F20B70">
        <w:tab/>
        <w:t xml:space="preserve">Assessments are to be collected and paid in accordance with R.S. 3:841, on or before the fifteenth day of each month for the collections made during the previous month. Assessments may be paid online on the department’s website or by check or money, made payable to the Louisiana Egg Commission and mailed to 5825 Florida Blvd, Suite 1003, Baton Rouge, LA 70806. </w:t>
      </w:r>
    </w:p>
    <w:p w14:paraId="71C5E4C7" w14:textId="77777777" w:rsidR="00316782" w:rsidRPr="00F20B70" w:rsidRDefault="00316782" w:rsidP="00316782">
      <w:pPr>
        <w:pStyle w:val="A"/>
      </w:pPr>
      <w:r w:rsidRPr="00F20B70">
        <w:t>C.</w:t>
      </w:r>
      <w:r w:rsidRPr="00F20B70">
        <w:tab/>
        <w:t>Funds derived from assessments described in Subsection A shall be deposited into a special account in the state treasury which shall be designated a Louisiana Egg Commission account. These funds shall be used by the commission in payment of all costs, expenses and obligations incurred in carrying out the business of the commission.</w:t>
      </w:r>
    </w:p>
    <w:p w14:paraId="4FE6A9DE" w14:textId="77777777" w:rsidR="00316782" w:rsidRPr="00F20B70" w:rsidRDefault="00316782" w:rsidP="00316782">
      <w:pPr>
        <w:pStyle w:val="A"/>
      </w:pPr>
      <w:r w:rsidRPr="00F20B70">
        <w:t>D.</w:t>
      </w:r>
      <w:r w:rsidRPr="00F20B70">
        <w:tab/>
        <w:t>Withdrawals from the special Louisiana Egg Commission account shall be made by check, signed by the chairman, or by the state-approved credit card, by the director of the Egg Commission.</w:t>
      </w:r>
    </w:p>
    <w:p w14:paraId="5F0F81FD" w14:textId="77777777" w:rsidR="00316782" w:rsidRPr="00F20B70" w:rsidRDefault="00316782" w:rsidP="00316782">
      <w:pPr>
        <w:pStyle w:val="AuthorityNote"/>
      </w:pPr>
      <w:r w:rsidRPr="00F20B70">
        <w:t>AUTHORITY NOTE:</w:t>
      </w:r>
      <w:r w:rsidRPr="00F20B70">
        <w:tab/>
        <w:t>Adopted in accordance with R.S. 3:839, 841, and 844.</w:t>
      </w:r>
    </w:p>
    <w:p w14:paraId="43FEA9CD" w14:textId="482814EF" w:rsidR="00CF626A" w:rsidRPr="001531CD" w:rsidRDefault="00CF626A">
      <w:pPr>
        <w:pStyle w:val="HistoricalNote"/>
      </w:pPr>
      <w:r w:rsidRPr="001531CD">
        <w:t>HISTORICAL NOTE:</w:t>
      </w:r>
      <w:r w:rsidRPr="001531CD">
        <w:tab/>
        <w:t>Adopted by the Department of Agriculture, Egg Commission, November 1972</w:t>
      </w:r>
      <w:r w:rsidR="00316782">
        <w:t xml:space="preserve">, </w:t>
      </w:r>
      <w:r w:rsidR="00316782" w:rsidRPr="00F20B70">
        <w:t xml:space="preserve">amended by the Department of Agriculture and Forestry, Office of Animal Health and Food Safety, </w:t>
      </w:r>
      <w:r w:rsidR="00316782">
        <w:t>LR 51:1821 (November 2025).</w:t>
      </w:r>
    </w:p>
    <w:p w14:paraId="1BC4ECC0" w14:textId="77777777" w:rsidR="00CF626A" w:rsidRPr="001531CD" w:rsidRDefault="00CF626A">
      <w:pPr>
        <w:pStyle w:val="Section"/>
      </w:pPr>
      <w:bookmarkStart w:id="881" w:name="_Toc256754432"/>
      <w:bookmarkStart w:id="882" w:name="_Toc224818682"/>
      <w:r w:rsidRPr="001531CD">
        <w:t>§1713.</w:t>
      </w:r>
      <w:r w:rsidRPr="001531CD">
        <w:tab/>
        <w:t>Books and Records</w:t>
      </w:r>
      <w:bookmarkEnd w:id="881"/>
      <w:bookmarkEnd w:id="882"/>
    </w:p>
    <w:p w14:paraId="39EC0F9C" w14:textId="77777777" w:rsidR="00316782" w:rsidRPr="00F20B70" w:rsidRDefault="00CF626A" w:rsidP="00316782">
      <w:pPr>
        <w:pStyle w:val="A"/>
      </w:pPr>
      <w:r w:rsidRPr="001531CD">
        <w:t>A.</w:t>
      </w:r>
      <w:r w:rsidRPr="001531CD">
        <w:tab/>
      </w:r>
      <w:r w:rsidR="00316782" w:rsidRPr="00F20B70">
        <w:t xml:space="preserve">All producers, handlers and dealers shall maintain books and records reflecting their operations, and shall produce to the commissioner, or a duly authorized and designated representative of the commissioner, such information as may be requested, relating to their operations. They shall permit the inspection during normal business hours, by the commissioner or a duly authorized and </w:t>
      </w:r>
      <w:r w:rsidR="00316782" w:rsidRPr="00F20B70">
        <w:lastRenderedPageBreak/>
        <w:t>designated representative of the commissioner, such portions of their books and records as related to operations hereunder.</w:t>
      </w:r>
    </w:p>
    <w:p w14:paraId="301FA220" w14:textId="77777777" w:rsidR="00316782" w:rsidRPr="00F20B70" w:rsidRDefault="00316782" w:rsidP="00316782">
      <w:pPr>
        <w:pStyle w:val="A"/>
      </w:pPr>
      <w:r>
        <w:t>B.</w:t>
      </w:r>
      <w:r>
        <w:tab/>
      </w:r>
      <w:r w:rsidRPr="00F20B70">
        <w:t>Records maintained by the producers, handlers and dealers shall include the number of eggs produced and/or distributed each month.</w:t>
      </w:r>
    </w:p>
    <w:p w14:paraId="4060D042" w14:textId="5926CC0D" w:rsidR="00CF626A" w:rsidRPr="001531CD" w:rsidRDefault="00316782" w:rsidP="00316782">
      <w:pPr>
        <w:pStyle w:val="AuthorityNote"/>
      </w:pPr>
      <w:r w:rsidRPr="00F20B70">
        <w:t>AUTHORITY NOTE:</w:t>
      </w:r>
      <w:r w:rsidRPr="00F20B70">
        <w:tab/>
        <w:t>Adopted in accordance with R.S. 3:839 and 842.</w:t>
      </w:r>
    </w:p>
    <w:p w14:paraId="5D22595A" w14:textId="5D34DD16" w:rsidR="00CF626A" w:rsidRPr="001531CD" w:rsidRDefault="00CF626A">
      <w:pPr>
        <w:pStyle w:val="HistoricalNote"/>
      </w:pPr>
      <w:r w:rsidRPr="001531CD">
        <w:t>HISTORICAL NOTE:</w:t>
      </w:r>
      <w:r w:rsidRPr="001531CD">
        <w:tab/>
        <w:t>Adopted by the Department of Agriculture, Egg Commission, November 1972</w:t>
      </w:r>
      <w:r w:rsidR="00316782">
        <w:t xml:space="preserve">, </w:t>
      </w:r>
      <w:r w:rsidR="00316782" w:rsidRPr="00F20B70">
        <w:t xml:space="preserve">amended by the Department of Agriculture and Forestry, Office of Animal Health, </w:t>
      </w:r>
      <w:r w:rsidR="00316782">
        <w:t>LR 51:1822 (November 2025).</w:t>
      </w:r>
    </w:p>
    <w:p w14:paraId="09CAC8AF" w14:textId="77777777" w:rsidR="00CF626A" w:rsidRPr="001531CD" w:rsidRDefault="00CF626A">
      <w:pPr>
        <w:pStyle w:val="Section"/>
      </w:pPr>
      <w:bookmarkStart w:id="883" w:name="_Toc256754433"/>
      <w:bookmarkStart w:id="884" w:name="_Toc224818683"/>
      <w:r w:rsidRPr="001531CD">
        <w:t>§1715.</w:t>
      </w:r>
      <w:r w:rsidRPr="001531CD">
        <w:tab/>
        <w:t>Licenses</w:t>
      </w:r>
      <w:bookmarkEnd w:id="883"/>
      <w:bookmarkEnd w:id="884"/>
    </w:p>
    <w:p w14:paraId="28C59285" w14:textId="77777777" w:rsidR="00316782" w:rsidRPr="00F20B70" w:rsidRDefault="00CF626A" w:rsidP="00316782">
      <w:pPr>
        <w:pStyle w:val="A"/>
      </w:pPr>
      <w:r w:rsidRPr="001531CD">
        <w:t>A.</w:t>
      </w:r>
      <w:r w:rsidRPr="001531CD">
        <w:tab/>
      </w:r>
      <w:r w:rsidR="00316782" w:rsidRPr="00F20B70">
        <w:t xml:space="preserve">Every person who produces, processes, distributes, or sells eggs or egg products in Louisiana shall obtain a license to do so from the department. </w:t>
      </w:r>
    </w:p>
    <w:p w14:paraId="3E92B11D" w14:textId="77777777" w:rsidR="00316782" w:rsidRPr="00F20B70" w:rsidRDefault="00316782" w:rsidP="00316782">
      <w:pPr>
        <w:pStyle w:val="A"/>
      </w:pPr>
      <w:r w:rsidRPr="00F20B70">
        <w:t>B.</w:t>
      </w:r>
      <w:r w:rsidRPr="00F20B70">
        <w:tab/>
        <w:t>Applications for licenses shall be on forms provided by the department and shall be submitted together with the necessary application fee.</w:t>
      </w:r>
      <w:r>
        <w:t xml:space="preserve"> </w:t>
      </w:r>
      <w:r w:rsidRPr="00F20B70">
        <w:t xml:space="preserve">The commission shall review license applications and make a recommendation for approval or denial to the commissioner, who shall make the final determination to approve or deny the application. </w:t>
      </w:r>
    </w:p>
    <w:p w14:paraId="1CA1733D" w14:textId="77777777" w:rsidR="00316782" w:rsidRPr="00F20B70" w:rsidRDefault="00316782" w:rsidP="00316782">
      <w:pPr>
        <w:pStyle w:val="A"/>
      </w:pPr>
      <w:r w:rsidRPr="00F20B70">
        <w:t>C.</w:t>
      </w:r>
      <w:r>
        <w:tab/>
      </w:r>
      <w:r w:rsidRPr="00F20B70">
        <w:t>All licenses shall be valid from September 1 until August 31 and must be renewed annually.</w:t>
      </w:r>
      <w:r>
        <w:t xml:space="preserve"> </w:t>
      </w:r>
      <w:r w:rsidRPr="00F20B70">
        <w:t xml:space="preserve">Failure to obtain or renew a license, when required, shall be a violation of this Part. </w:t>
      </w:r>
    </w:p>
    <w:p w14:paraId="78CEAC7F" w14:textId="77777777" w:rsidR="00316782" w:rsidRDefault="00316782" w:rsidP="00316782">
      <w:pPr>
        <w:pStyle w:val="A"/>
      </w:pPr>
      <w:r w:rsidRPr="00F20B70">
        <w:t>D.</w:t>
      </w:r>
      <w:r w:rsidRPr="00F20B70">
        <w:tab/>
        <w:t>Every application for a new license and for renewal of an existing license shall be accompanied by a fee of $100 payable to the commission.</w:t>
      </w:r>
    </w:p>
    <w:p w14:paraId="2BBC6CF7" w14:textId="77777777" w:rsidR="00316782" w:rsidRPr="00F20B70" w:rsidRDefault="00316782" w:rsidP="00316782">
      <w:pPr>
        <w:pStyle w:val="A"/>
      </w:pPr>
      <w:r w:rsidRPr="00F20B70">
        <w:t>E.</w:t>
      </w:r>
      <w:r w:rsidRPr="00F20B70">
        <w:tab/>
        <w:t>Proceeds from the license fees collected hereunder shall be transferred to the state treasurer, and credited to the special Louisiana Egg Commission Fund.</w:t>
      </w:r>
    </w:p>
    <w:p w14:paraId="76ACF7B3" w14:textId="77777777" w:rsidR="00316782" w:rsidRPr="00F20B70" w:rsidRDefault="00316782" w:rsidP="00316782">
      <w:pPr>
        <w:pStyle w:val="A"/>
        <w:rPr>
          <w:strike/>
        </w:rPr>
      </w:pPr>
      <w:r w:rsidRPr="00F20B70">
        <w:t>F.</w:t>
      </w:r>
      <w:r w:rsidRPr="00F20B70">
        <w:tab/>
        <w:t>The commissioner shall have authority to suspend or revoke a license issued pursuant hereto for violations of applicable law and this Chapter, and violations of the Louisiana Egg Grading and Marketing Law and Regulations.</w:t>
      </w:r>
    </w:p>
    <w:p w14:paraId="76D149BA" w14:textId="0CECF3E2" w:rsidR="00CF626A" w:rsidRPr="001531CD" w:rsidRDefault="00316782" w:rsidP="00316782">
      <w:pPr>
        <w:pStyle w:val="AuthorityNote"/>
      </w:pPr>
      <w:r w:rsidRPr="00F20B70">
        <w:t>AUTHORITY NOTE:</w:t>
      </w:r>
      <w:r w:rsidRPr="00F20B70">
        <w:tab/>
        <w:t>Adopted in accordance with R.S. 3:839 and 842.</w:t>
      </w:r>
    </w:p>
    <w:p w14:paraId="56066CF0" w14:textId="17CBB7B2" w:rsidR="00CF626A" w:rsidRPr="001531CD" w:rsidRDefault="00CF626A">
      <w:pPr>
        <w:pStyle w:val="HistoricalNote"/>
      </w:pPr>
      <w:r w:rsidRPr="001531CD">
        <w:t>HISTORICAL NOTE:</w:t>
      </w:r>
      <w:r w:rsidRPr="001531CD">
        <w:tab/>
        <w:t>Adopted by the Department of Agriculture, Egg Commission, November 1972</w:t>
      </w:r>
      <w:r w:rsidR="00316782">
        <w:t xml:space="preserve">, </w:t>
      </w:r>
      <w:r w:rsidR="00316782" w:rsidRPr="00F20B70">
        <w:t>amended by the Department of Agriculture and Forestry, Office of Animal Health</w:t>
      </w:r>
      <w:r w:rsidR="00316782">
        <w:t xml:space="preserve"> and Food Safety</w:t>
      </w:r>
      <w:r w:rsidR="00316782" w:rsidRPr="00F20B70">
        <w:t xml:space="preserve">, </w:t>
      </w:r>
      <w:r w:rsidR="00316782">
        <w:t>LR 51:1822 (November 2025).</w:t>
      </w:r>
    </w:p>
    <w:p w14:paraId="260792B0" w14:textId="77777777" w:rsidR="00CF626A" w:rsidRPr="001531CD" w:rsidRDefault="00CF626A">
      <w:pPr>
        <w:pStyle w:val="Chapter"/>
      </w:pPr>
      <w:bookmarkStart w:id="885" w:name="TOC_Chap71"/>
      <w:bookmarkStart w:id="886" w:name="_Toc224818684"/>
      <w:bookmarkStart w:id="887" w:name="_Toc256754436"/>
      <w:r w:rsidRPr="001531CD">
        <w:t>Chapter 19.</w:t>
      </w:r>
      <w:bookmarkEnd w:id="885"/>
      <w:r w:rsidR="00167E2E">
        <w:tab/>
      </w:r>
      <w:bookmarkStart w:id="888" w:name="TOCT_Chap49"/>
      <w:bookmarkStart w:id="889" w:name="TOCT_Chap70"/>
      <w:bookmarkStart w:id="890" w:name="TOCT_Chap71"/>
      <w:r w:rsidR="00EC79E0" w:rsidRPr="001531CD">
        <w:t>Louisiana Strawberries</w:t>
      </w:r>
      <w:bookmarkEnd w:id="886"/>
      <w:r w:rsidRPr="001531CD">
        <w:t xml:space="preserve"> </w:t>
      </w:r>
      <w:bookmarkEnd w:id="887"/>
      <w:bookmarkEnd w:id="888"/>
      <w:bookmarkEnd w:id="889"/>
      <w:bookmarkEnd w:id="890"/>
    </w:p>
    <w:p w14:paraId="0B931E9E" w14:textId="77777777" w:rsidR="00EC79E0" w:rsidRPr="001531CD" w:rsidRDefault="00EC79E0" w:rsidP="00EC79E0">
      <w:pPr>
        <w:pStyle w:val="Chapter"/>
      </w:pPr>
      <w:bookmarkStart w:id="891" w:name="_Toc224818685"/>
      <w:r w:rsidRPr="001531CD">
        <w:t>Subchapter A.</w:t>
      </w:r>
      <w:r w:rsidRPr="001531CD">
        <w:tab/>
        <w:t>General Provisions</w:t>
      </w:r>
      <w:bookmarkEnd w:id="891"/>
    </w:p>
    <w:p w14:paraId="260A3B1D" w14:textId="77777777" w:rsidR="00CF626A" w:rsidRPr="001531CD" w:rsidRDefault="00CF626A">
      <w:pPr>
        <w:pStyle w:val="Section"/>
      </w:pPr>
      <w:bookmarkStart w:id="892" w:name="_Toc256754437"/>
      <w:bookmarkStart w:id="893" w:name="_Toc224818686"/>
      <w:r w:rsidRPr="001531CD">
        <w:t>§1901.</w:t>
      </w:r>
      <w:r w:rsidRPr="001531CD">
        <w:tab/>
        <w:t>Definitions</w:t>
      </w:r>
      <w:bookmarkEnd w:id="892"/>
      <w:bookmarkEnd w:id="893"/>
    </w:p>
    <w:p w14:paraId="718A8559" w14:textId="77777777" w:rsidR="00EC79E0" w:rsidRPr="001531CD" w:rsidRDefault="00EC79E0" w:rsidP="00EC79E0">
      <w:pPr>
        <w:pStyle w:val="A"/>
      </w:pPr>
      <w:r w:rsidRPr="001531CD">
        <w:t>A.</w:t>
      </w:r>
      <w:r w:rsidRPr="001531CD">
        <w:tab/>
        <w:t>The words and terms defined in R.S. 3:730.2 are applicable to this Chapter.</w:t>
      </w:r>
    </w:p>
    <w:p w14:paraId="6A2AA1EA" w14:textId="77777777" w:rsidR="00EC79E0" w:rsidRPr="001531CD" w:rsidRDefault="00EC79E0" w:rsidP="00EC79E0">
      <w:pPr>
        <w:pStyle w:val="A"/>
      </w:pPr>
      <w:r w:rsidRPr="001531CD">
        <w:t>B.</w:t>
      </w:r>
      <w:r w:rsidRPr="001531CD">
        <w:tab/>
        <w:t>The following words and terms are defined for the purposes of this Chapter.</w:t>
      </w:r>
    </w:p>
    <w:p w14:paraId="00926E25" w14:textId="77777777" w:rsidR="00EC79E0" w:rsidRPr="001531CD" w:rsidRDefault="00EC79E0" w:rsidP="00EC79E0">
      <w:pPr>
        <w:pStyle w:val="1"/>
      </w:pPr>
      <w:r w:rsidRPr="001531CD">
        <w:rPr>
          <w:i/>
        </w:rPr>
        <w:t>Container or Package</w:t>
      </w:r>
      <w:r w:rsidRPr="001531CD">
        <w:t>—the receptacle in which strawberries are placed or held for retail sale.</w:t>
      </w:r>
    </w:p>
    <w:p w14:paraId="0C9836A5" w14:textId="77777777" w:rsidR="00EC79E0" w:rsidRPr="001531CD" w:rsidRDefault="00EC79E0" w:rsidP="00EC79E0">
      <w:pPr>
        <w:pStyle w:val="1"/>
      </w:pPr>
      <w:r w:rsidRPr="001531CD">
        <w:rPr>
          <w:i/>
        </w:rPr>
        <w:t>Farm of Origin</w:t>
      </w:r>
      <w:r w:rsidRPr="001531CD">
        <w:t>—the tract of land on which the strawberries in a container were raised.</w:t>
      </w:r>
    </w:p>
    <w:p w14:paraId="46750A12" w14:textId="77777777" w:rsidR="00EC79E0" w:rsidRPr="001531CD" w:rsidRDefault="00EC79E0" w:rsidP="00EC79E0">
      <w:pPr>
        <w:pStyle w:val="1"/>
      </w:pPr>
      <w:r w:rsidRPr="001531CD">
        <w:rPr>
          <w:i/>
        </w:rPr>
        <w:t>Handler of Strawberries</w:t>
      </w:r>
      <w:r w:rsidRPr="001531CD">
        <w:t>—a person, except for a producer and an ultimate purchaser, who, for a profit, processes, packs, distributes, markets, or sells strawberries in this state.</w:t>
      </w:r>
    </w:p>
    <w:p w14:paraId="13102760" w14:textId="77777777" w:rsidR="00EC79E0" w:rsidRPr="001531CD" w:rsidRDefault="00EC79E0" w:rsidP="00EC79E0">
      <w:pPr>
        <w:pStyle w:val="1"/>
      </w:pPr>
      <w:r w:rsidRPr="001531CD">
        <w:rPr>
          <w:i/>
        </w:rPr>
        <w:t>Louisiana Grown Strawberries</w:t>
      </w:r>
      <w:r w:rsidRPr="001531CD">
        <w:t>—strawberries that are raised, processed, and packed entirely in Louisiana.</w:t>
      </w:r>
    </w:p>
    <w:p w14:paraId="6DC34CF6" w14:textId="77777777" w:rsidR="00EC79E0" w:rsidRPr="001531CD" w:rsidRDefault="00EC79E0" w:rsidP="00EC79E0">
      <w:pPr>
        <w:pStyle w:val="1"/>
      </w:pPr>
      <w:r w:rsidRPr="001531CD">
        <w:rPr>
          <w:i/>
        </w:rPr>
        <w:t>Producer</w:t>
      </w:r>
      <w:r w:rsidRPr="001531CD">
        <w:t>—a person who commercially raises and harvests strawberries for sale.</w:t>
      </w:r>
    </w:p>
    <w:p w14:paraId="786C7752" w14:textId="77777777" w:rsidR="00CF626A" w:rsidRPr="001531CD" w:rsidRDefault="00EC79E0" w:rsidP="00EC79E0">
      <w:pPr>
        <w:pStyle w:val="1"/>
      </w:pPr>
      <w:r w:rsidRPr="001531CD">
        <w:rPr>
          <w:i/>
        </w:rPr>
        <w:t>Ultimate Purchaser—</w:t>
      </w:r>
      <w:r w:rsidRPr="001531CD">
        <w:t>the person or consumer who will eat the strawberries and the last person in the chain of distribution who removes the strawberries from the container and prepares them to be eaten by a consumer. A restaurant shall be considered to be an ultimate purchaser.</w:t>
      </w:r>
    </w:p>
    <w:p w14:paraId="742A6BAA" w14:textId="77777777" w:rsidR="007818A5" w:rsidRPr="001531CD" w:rsidRDefault="007818A5" w:rsidP="00AA5738">
      <w:pPr>
        <w:pStyle w:val="AuthorityNote"/>
        <w:tabs>
          <w:tab w:val="clear" w:pos="1800"/>
          <w:tab w:val="left" w:pos="1890"/>
        </w:tabs>
      </w:pPr>
      <w:r w:rsidRPr="001531CD">
        <w:t>AUTHORITY NOTE:</w:t>
      </w:r>
      <w:r w:rsidRPr="001531CD">
        <w:tab/>
        <w:t>Promulgated in accordance with R.S. 3:730.4.</w:t>
      </w:r>
    </w:p>
    <w:p w14:paraId="1A7141BC" w14:textId="77777777" w:rsidR="00CF626A" w:rsidRPr="001531CD" w:rsidRDefault="00CF626A">
      <w:pPr>
        <w:pStyle w:val="HistoricalNote"/>
      </w:pPr>
      <w:r w:rsidRPr="001531CD">
        <w:t>HISTORICAL NOTE:</w:t>
      </w:r>
      <w:r w:rsidRPr="001531CD">
        <w:tab/>
        <w:t>Promulgated by the Department of Agriculture and Forestry, State Market Commission, LR 17:249 (March 1991)</w:t>
      </w:r>
      <w:r w:rsidR="00EC79E0" w:rsidRPr="001531CD">
        <w:t>, amended by the Office of the Commissioner, LR 37:70 (January 2011)</w:t>
      </w:r>
      <w:r w:rsidRPr="001531CD">
        <w:t>.</w:t>
      </w:r>
    </w:p>
    <w:p w14:paraId="05F38F35" w14:textId="77777777" w:rsidR="007818A5" w:rsidRPr="001531CD" w:rsidRDefault="00CF626A" w:rsidP="007818A5">
      <w:pPr>
        <w:pStyle w:val="Section"/>
      </w:pPr>
      <w:bookmarkStart w:id="894" w:name="_Toc256754438"/>
      <w:bookmarkStart w:id="895" w:name="_Toc224818687"/>
      <w:r w:rsidRPr="001531CD">
        <w:t>§1903.</w:t>
      </w:r>
      <w:r w:rsidRPr="001531CD">
        <w:tab/>
      </w:r>
      <w:bookmarkStart w:id="896" w:name="TOC_Chap72"/>
      <w:bookmarkStart w:id="897" w:name="_Toc256754444"/>
      <w:bookmarkEnd w:id="894"/>
      <w:r w:rsidR="007818A5" w:rsidRPr="001531CD">
        <w:t>Records Required; Inspections and Audits</w:t>
      </w:r>
      <w:bookmarkEnd w:id="895"/>
    </w:p>
    <w:p w14:paraId="6BC9A9C9" w14:textId="77777777" w:rsidR="007818A5" w:rsidRPr="001531CD" w:rsidRDefault="007818A5" w:rsidP="007818A5">
      <w:pPr>
        <w:pStyle w:val="A"/>
      </w:pPr>
      <w:r w:rsidRPr="001531CD">
        <w:t>A.</w:t>
      </w:r>
      <w:r w:rsidRPr="001531CD">
        <w:tab/>
        <w:t>Each Louisiana producer and each handler of fresh or frozen strawberries in this state shall maintain complete, separate and correct records and accounts pertaining to all lots of strawberries produced, processed, packed, distributed, marketed or sold in this state, including, but not limited to, bills of lading, warehouse receipts, invoices, sales receipts, the person the strawberries were received from, the person the strawberries were delivered to, the number or amount of strawberries, whether kept by weight, measure, or count, and any Louisiana strawberry assessment paid or collected.</w:t>
      </w:r>
    </w:p>
    <w:p w14:paraId="32837370" w14:textId="77777777" w:rsidR="007818A5" w:rsidRPr="001531CD" w:rsidRDefault="007818A5" w:rsidP="007818A5">
      <w:pPr>
        <w:pStyle w:val="A"/>
      </w:pPr>
      <w:r w:rsidRPr="001531CD">
        <w:t>B.</w:t>
      </w:r>
      <w:r w:rsidRPr="001531CD">
        <w:tab/>
        <w:t>Each producer and handler of strawberries in Louisiana shall permit any authorized officer, employee, or representative of the department or the board to enter and inspect all locations where strawberries or records are kept and to examine and audit all records, books, and accounts relating to the producing and handling of strawberries in this state.</w:t>
      </w:r>
    </w:p>
    <w:p w14:paraId="77F06D6B" w14:textId="77777777" w:rsidR="007818A5" w:rsidRPr="001531CD" w:rsidRDefault="007818A5" w:rsidP="007818A5">
      <w:pPr>
        <w:pStyle w:val="A"/>
      </w:pPr>
      <w:r w:rsidRPr="001531CD">
        <w:t>C.</w:t>
      </w:r>
      <w:r w:rsidRPr="001531CD">
        <w:tab/>
        <w:t xml:space="preserve">Any such inspection, examination or audit may be made on any business day, during normal working hours and the producer or handler shall provide the necessary assistance and cooperation required for the completion of the inspection, examination, or audit. </w:t>
      </w:r>
    </w:p>
    <w:p w14:paraId="5DA2AAFD" w14:textId="77777777" w:rsidR="007818A5" w:rsidRPr="001531CD" w:rsidRDefault="007818A5" w:rsidP="007818A5">
      <w:pPr>
        <w:pStyle w:val="A"/>
      </w:pPr>
      <w:r w:rsidRPr="001531CD">
        <w:t>D.</w:t>
      </w:r>
      <w:r w:rsidRPr="001531CD">
        <w:tab/>
        <w:t>No person shall in any way interfere with an authorized officer, employee, or representative who is entering or inspecting, or attempting to do so, a location where strawberries or records relating to strawberries are kept or is examining or auditing, or attempting to do so, records, books, and accounts relating to the producing and handling of strawberries in this state.</w:t>
      </w:r>
    </w:p>
    <w:p w14:paraId="44869556" w14:textId="77777777" w:rsidR="007818A5" w:rsidRPr="001531CD" w:rsidRDefault="007818A5" w:rsidP="007818A5">
      <w:pPr>
        <w:pStyle w:val="A"/>
      </w:pPr>
      <w:r w:rsidRPr="001531CD">
        <w:t>E.</w:t>
      </w:r>
      <w:r w:rsidRPr="001531CD">
        <w:tab/>
        <w:t>All required records shall be kept for a period of three years.</w:t>
      </w:r>
    </w:p>
    <w:p w14:paraId="7A1BCD85" w14:textId="77777777" w:rsidR="007818A5" w:rsidRPr="001531CD" w:rsidRDefault="007818A5" w:rsidP="007818A5">
      <w:pPr>
        <w:pStyle w:val="AuthorityNote"/>
      </w:pPr>
      <w:r w:rsidRPr="001531CD">
        <w:t>AUTHORITY NOTE:</w:t>
      </w:r>
      <w:r w:rsidRPr="001531CD">
        <w:tab/>
        <w:t>Promulgated in accordance with R.S. 3:730.4.</w:t>
      </w:r>
    </w:p>
    <w:p w14:paraId="17A859E2" w14:textId="77777777" w:rsidR="007818A5" w:rsidRPr="001531CD" w:rsidRDefault="007818A5" w:rsidP="007818A5">
      <w:pPr>
        <w:pStyle w:val="HistoricalNote"/>
      </w:pPr>
      <w:r w:rsidRPr="001531CD">
        <w:t>HISTORICAL NOTE:</w:t>
      </w:r>
      <w:r w:rsidRPr="001531CD">
        <w:tab/>
        <w:t>Promulgated by the Department of Agriculture and Forestry, Office of the Commissioner, LR 37:271 (January 2011).</w:t>
      </w:r>
    </w:p>
    <w:p w14:paraId="308D029A" w14:textId="77777777" w:rsidR="000F04E3" w:rsidRPr="001531CD" w:rsidRDefault="000F04E3" w:rsidP="007818A5">
      <w:pPr>
        <w:pStyle w:val="Chapter"/>
      </w:pPr>
      <w:bookmarkStart w:id="898" w:name="_Toc224818688"/>
      <w:r w:rsidRPr="001531CD">
        <w:lastRenderedPageBreak/>
        <w:t>Subchapter B.</w:t>
      </w:r>
      <w:r w:rsidRPr="001531CD">
        <w:tab/>
        <w:t>The Strawberry Marketing Board</w:t>
      </w:r>
      <w:bookmarkEnd w:id="898"/>
    </w:p>
    <w:p w14:paraId="2CA99D12" w14:textId="77777777" w:rsidR="000F04E3" w:rsidRPr="001531CD" w:rsidRDefault="000F04E3" w:rsidP="000F04E3">
      <w:pPr>
        <w:pStyle w:val="Section"/>
      </w:pPr>
      <w:bookmarkStart w:id="899" w:name="_Toc224818689"/>
      <w:r w:rsidRPr="001531CD">
        <w:t>§1921.</w:t>
      </w:r>
      <w:r w:rsidRPr="001531CD">
        <w:tab/>
        <w:t>Compensation of Board Members</w:t>
      </w:r>
      <w:bookmarkEnd w:id="899"/>
    </w:p>
    <w:p w14:paraId="01FB8E30" w14:textId="77777777" w:rsidR="000F04E3" w:rsidRPr="001531CD" w:rsidRDefault="000F04E3" w:rsidP="000F04E3">
      <w:pPr>
        <w:pStyle w:val="A"/>
      </w:pPr>
      <w:r w:rsidRPr="001531CD">
        <w:t>A.</w:t>
      </w:r>
      <w:r w:rsidRPr="001531CD">
        <w:tab/>
        <w:t>The board may waive the compensation provided by law for members by unanimous consent.</w:t>
      </w:r>
    </w:p>
    <w:p w14:paraId="2A8A8854" w14:textId="77777777" w:rsidR="000F04E3" w:rsidRPr="001531CD" w:rsidRDefault="000F04E3" w:rsidP="000F04E3">
      <w:pPr>
        <w:pStyle w:val="AuthorityNote"/>
      </w:pPr>
      <w:r w:rsidRPr="001531CD">
        <w:t>AUTHORITY NOTE:</w:t>
      </w:r>
      <w:r w:rsidRPr="001531CD">
        <w:tab/>
        <w:t>Promulgated in accordance with R.S. 3:730.4.</w:t>
      </w:r>
    </w:p>
    <w:p w14:paraId="1F9CBD89" w14:textId="77777777" w:rsidR="000F04E3" w:rsidRPr="001531CD" w:rsidRDefault="000F04E3" w:rsidP="000F04E3">
      <w:pPr>
        <w:pStyle w:val="HistoricalNote"/>
      </w:pPr>
      <w:r w:rsidRPr="001531CD">
        <w:t>HISTORICAL NOTE:</w:t>
      </w:r>
      <w:r w:rsidRPr="001531CD">
        <w:tab/>
        <w:t>Promulgated by the Department of Agriculture and Forestry, Office of the Commissioner, LR 37:271 (January 2011).</w:t>
      </w:r>
    </w:p>
    <w:p w14:paraId="5B1FF208" w14:textId="77777777" w:rsidR="000F04E3" w:rsidRPr="001531CD" w:rsidRDefault="000F04E3" w:rsidP="000F04E3">
      <w:pPr>
        <w:pStyle w:val="Section"/>
      </w:pPr>
      <w:bookmarkStart w:id="900" w:name="_Toc224818690"/>
      <w:r w:rsidRPr="001531CD">
        <w:t>§1923.</w:t>
      </w:r>
      <w:r w:rsidRPr="001531CD">
        <w:tab/>
        <w:t>Board Meetings</w:t>
      </w:r>
      <w:bookmarkEnd w:id="900"/>
      <w:r w:rsidRPr="001531CD">
        <w:t xml:space="preserve"> </w:t>
      </w:r>
    </w:p>
    <w:p w14:paraId="7394FEC3" w14:textId="77777777" w:rsidR="000F04E3" w:rsidRPr="001531CD" w:rsidRDefault="000F04E3" w:rsidP="000F04E3">
      <w:pPr>
        <w:pStyle w:val="A"/>
      </w:pPr>
      <w:r w:rsidRPr="001531CD">
        <w:t>A.</w:t>
      </w:r>
      <w:r w:rsidRPr="001531CD">
        <w:tab/>
        <w:t>The board shall meet at least once in every quarter of the year, but a meeting may be cancelled by the chairman if there is no business to consider at the meeting.</w:t>
      </w:r>
    </w:p>
    <w:p w14:paraId="35FE6139" w14:textId="77777777" w:rsidR="000F04E3" w:rsidRPr="001531CD" w:rsidRDefault="000F04E3" w:rsidP="000F04E3">
      <w:pPr>
        <w:pStyle w:val="A"/>
      </w:pPr>
      <w:r w:rsidRPr="001531CD">
        <w:t>B.</w:t>
      </w:r>
      <w:r w:rsidRPr="001531CD">
        <w:tab/>
        <w:t>The board shall meet upon the call of the chairman or the commissioner or upon the written request of at least three board members.</w:t>
      </w:r>
    </w:p>
    <w:p w14:paraId="7AE48E36" w14:textId="77777777" w:rsidR="000F04E3" w:rsidRPr="001531CD" w:rsidRDefault="000F04E3" w:rsidP="000F04E3">
      <w:pPr>
        <w:pStyle w:val="A"/>
      </w:pPr>
      <w:r w:rsidRPr="001531CD">
        <w:t>C.</w:t>
      </w:r>
      <w:r w:rsidRPr="001531CD">
        <w:tab/>
        <w:t>The board shall not meet more than 12 times in any one year.</w:t>
      </w:r>
    </w:p>
    <w:p w14:paraId="2D30AAE6" w14:textId="77777777" w:rsidR="000F04E3" w:rsidRPr="001531CD" w:rsidRDefault="000F04E3" w:rsidP="000F04E3">
      <w:pPr>
        <w:pStyle w:val="A"/>
      </w:pPr>
      <w:r w:rsidRPr="001531CD">
        <w:t>D.</w:t>
      </w:r>
      <w:r w:rsidRPr="001531CD">
        <w:tab/>
        <w:t>The meetings shall be conducted in accordance with Roberts R</w:t>
      </w:r>
      <w:r w:rsidR="00DE2424" w:rsidRPr="001531CD">
        <w:t>ules of Order, Newly Revised, Tenth</w:t>
      </w:r>
      <w:r w:rsidRPr="001531CD">
        <w:t xml:space="preserve"> Edition.</w:t>
      </w:r>
    </w:p>
    <w:p w14:paraId="3F190801" w14:textId="77777777" w:rsidR="000F04E3" w:rsidRPr="001531CD" w:rsidRDefault="000F04E3" w:rsidP="000F04E3">
      <w:pPr>
        <w:pStyle w:val="AuthorityNote"/>
      </w:pPr>
      <w:r w:rsidRPr="001531CD">
        <w:t>AUTHORITY NOTE:</w:t>
      </w:r>
      <w:r w:rsidRPr="001531CD">
        <w:tab/>
        <w:t>Promulgated in accordance with R.S. 3:730.4.</w:t>
      </w:r>
    </w:p>
    <w:p w14:paraId="3E54EF05" w14:textId="77777777" w:rsidR="000F04E3" w:rsidRPr="001531CD" w:rsidRDefault="000F04E3" w:rsidP="000F04E3">
      <w:pPr>
        <w:pStyle w:val="HistoricalNote"/>
      </w:pPr>
      <w:r w:rsidRPr="001531CD">
        <w:t>HISTORICAL NOTE:</w:t>
      </w:r>
      <w:r w:rsidRPr="001531CD">
        <w:tab/>
        <w:t>Promulgated by the Department of Agriculture and Forestry, Office of the Commissioner, LR 37:271 (January 2011).</w:t>
      </w:r>
    </w:p>
    <w:p w14:paraId="5B6278CB" w14:textId="77777777" w:rsidR="000F04E3" w:rsidRPr="001531CD" w:rsidRDefault="000F04E3" w:rsidP="007818A5">
      <w:pPr>
        <w:pStyle w:val="Chapter"/>
      </w:pPr>
      <w:bookmarkStart w:id="901" w:name="_Toc224818691"/>
      <w:r w:rsidRPr="001531CD">
        <w:t>Subchapter C.</w:t>
      </w:r>
      <w:r w:rsidRPr="001531CD">
        <w:tab/>
        <w:t>Farm of Origin Labeling</w:t>
      </w:r>
      <w:bookmarkEnd w:id="901"/>
    </w:p>
    <w:p w14:paraId="6BC0E5C0" w14:textId="77777777" w:rsidR="000F04E3" w:rsidRPr="001531CD" w:rsidRDefault="000F04E3" w:rsidP="000F04E3">
      <w:pPr>
        <w:pStyle w:val="Section"/>
      </w:pPr>
      <w:bookmarkStart w:id="902" w:name="_Toc224818692"/>
      <w:r w:rsidRPr="001531CD">
        <w:t>§1931.</w:t>
      </w:r>
      <w:r w:rsidRPr="001531CD">
        <w:tab/>
        <w:t>Labeling of Strawberries</w:t>
      </w:r>
      <w:bookmarkEnd w:id="902"/>
      <w:r w:rsidRPr="001531CD">
        <w:t xml:space="preserve"> </w:t>
      </w:r>
    </w:p>
    <w:p w14:paraId="623AE711" w14:textId="77777777" w:rsidR="000F04E3" w:rsidRPr="001531CD" w:rsidRDefault="000F04E3" w:rsidP="000F04E3">
      <w:pPr>
        <w:pStyle w:val="A"/>
      </w:pPr>
      <w:r w:rsidRPr="001531CD">
        <w:t>A.</w:t>
      </w:r>
      <w:r w:rsidRPr="001531CD">
        <w:tab/>
        <w:t>Each container of fresh or frozen strawberries sold or offered for sale in this state to the ultimate purchaser shall have a stamp or label containing sufficient information from which the farm of origin may be identified, except as otherwise provided by these regulations.</w:t>
      </w:r>
    </w:p>
    <w:p w14:paraId="08BF5BCF" w14:textId="77777777" w:rsidR="000F04E3" w:rsidRPr="001531CD" w:rsidRDefault="000F04E3" w:rsidP="000F04E3">
      <w:pPr>
        <w:pStyle w:val="A"/>
      </w:pPr>
      <w:r w:rsidRPr="001531CD">
        <w:t>B.</w:t>
      </w:r>
      <w:r w:rsidRPr="001531CD">
        <w:tab/>
        <w:t>The identifying information may be provided by one of the following methods.</w:t>
      </w:r>
    </w:p>
    <w:p w14:paraId="3031C581" w14:textId="77777777" w:rsidR="000F04E3" w:rsidRPr="001531CD" w:rsidRDefault="000F04E3" w:rsidP="000F04E3">
      <w:pPr>
        <w:pStyle w:val="1"/>
      </w:pPr>
      <w:r w:rsidRPr="001531CD">
        <w:t>1.</w:t>
      </w:r>
      <w:r w:rsidRPr="001531CD">
        <w:tab/>
        <w:t>Identification of the name and address of the producer, processor, or distributor</w:t>
      </w:r>
      <w:r w:rsidRPr="001531CD">
        <w:rPr>
          <w:rFonts w:ascii="Calibri" w:hAnsi="Calibri"/>
        </w:rPr>
        <w:t xml:space="preserve"> </w:t>
      </w:r>
      <w:r w:rsidRPr="001531CD">
        <w:t>pursuant to Section 101.5 of Title 21 the Code of Federal Regulations.</w:t>
      </w:r>
    </w:p>
    <w:p w14:paraId="0072AD46" w14:textId="77777777" w:rsidR="000F04E3" w:rsidRPr="001531CD" w:rsidRDefault="000F04E3" w:rsidP="000F04E3">
      <w:pPr>
        <w:pStyle w:val="1"/>
      </w:pPr>
      <w:r w:rsidRPr="001531CD">
        <w:t>2.</w:t>
      </w:r>
      <w:r w:rsidRPr="001531CD">
        <w:tab/>
        <w:t>Placement of the name and address of the farm of origin on a stamp or label on the top or side of the container.</w:t>
      </w:r>
    </w:p>
    <w:p w14:paraId="4A6E0DE0" w14:textId="77777777" w:rsidR="000F04E3" w:rsidRPr="001531CD" w:rsidRDefault="000F04E3" w:rsidP="000F04E3">
      <w:pPr>
        <w:pStyle w:val="1"/>
      </w:pPr>
      <w:r w:rsidRPr="001531CD">
        <w:t>3.</w:t>
      </w:r>
      <w:r w:rsidRPr="001531CD">
        <w:tab/>
        <w:t>Use of a brand name along with a recordkeeping or traceability system that permits the identification of the farm of origin.</w:t>
      </w:r>
    </w:p>
    <w:p w14:paraId="7B173419" w14:textId="77777777" w:rsidR="000F04E3" w:rsidRPr="001531CD" w:rsidRDefault="000F04E3" w:rsidP="000F04E3">
      <w:pPr>
        <w:pStyle w:val="1"/>
      </w:pPr>
      <w:r w:rsidRPr="001531CD">
        <w:t>4.</w:t>
      </w:r>
      <w:r w:rsidRPr="001531CD">
        <w:tab/>
        <w:t>Providing a bar code on the stamp or label that permits the strawberries to be traced back to the farm of origin.</w:t>
      </w:r>
    </w:p>
    <w:p w14:paraId="443693B3" w14:textId="77777777" w:rsidR="000F04E3" w:rsidRPr="001531CD" w:rsidRDefault="000F04E3" w:rsidP="000F04E3">
      <w:pPr>
        <w:pStyle w:val="1"/>
      </w:pPr>
      <w:r w:rsidRPr="001531CD">
        <w:t>5.</w:t>
      </w:r>
      <w:r w:rsidRPr="001531CD">
        <w:tab/>
        <w:t>Any other method that provides a reasonable means of tracing the strawberries back to the farm of origin.</w:t>
      </w:r>
    </w:p>
    <w:p w14:paraId="7CCD142A" w14:textId="77777777" w:rsidR="000F04E3" w:rsidRPr="001531CD" w:rsidRDefault="000F04E3" w:rsidP="000F04E3">
      <w:pPr>
        <w:pStyle w:val="A"/>
      </w:pPr>
      <w:r w:rsidRPr="001531CD">
        <w:t>C.</w:t>
      </w:r>
      <w:r w:rsidRPr="001531CD">
        <w:tab/>
        <w:t>The identifying information shall be provided in indelible ink or print and in a form that is legible to a reasonable person and that will remain affixed to the container or covering until removed by the ultimate purchaser.</w:t>
      </w:r>
    </w:p>
    <w:p w14:paraId="628B7CCD" w14:textId="77777777" w:rsidR="000F04E3" w:rsidRPr="001531CD" w:rsidRDefault="000F04E3" w:rsidP="000F04E3">
      <w:pPr>
        <w:pStyle w:val="A"/>
      </w:pPr>
      <w:r w:rsidRPr="001531CD">
        <w:t>D.</w:t>
      </w:r>
      <w:r w:rsidRPr="001531CD">
        <w:tab/>
        <w:t>The stamp or label may also state “Louisiana Strawberries,” “Product of Louisiana” or other words or phrases that indicate that the strawberries are Louisiana grown strawberries unless the use of the name or phrase would constitute a prohibited use of a logo of the department, or use a logo provided by the department if such use is authorized by these regulations.</w:t>
      </w:r>
    </w:p>
    <w:p w14:paraId="1C3FB3E5" w14:textId="77777777" w:rsidR="000F04E3" w:rsidRPr="001531CD" w:rsidRDefault="000F04E3" w:rsidP="000F04E3">
      <w:pPr>
        <w:pStyle w:val="A"/>
      </w:pPr>
      <w:r w:rsidRPr="001531CD">
        <w:t>E.</w:t>
      </w:r>
      <w:r w:rsidRPr="001531CD">
        <w:tab/>
        <w:t>Strawberries may be sold in open or unwrapped containers at a roadside stand, farmer’s market, fair or festival, or other similar location without the identifying information being on each container only if:</w:t>
      </w:r>
    </w:p>
    <w:p w14:paraId="52E50F7D" w14:textId="77777777" w:rsidR="000F04E3" w:rsidRPr="001531CD" w:rsidRDefault="000F04E3" w:rsidP="000F04E3">
      <w:pPr>
        <w:pStyle w:val="1"/>
      </w:pPr>
      <w:r w:rsidRPr="001531CD">
        <w:t>1.</w:t>
      </w:r>
      <w:r w:rsidRPr="001531CD">
        <w:tab/>
        <w:t>a sign that is readable by a reasonable person, without strain, is posted with the strawberries stating the name and address of the farm of origin; and</w:t>
      </w:r>
    </w:p>
    <w:p w14:paraId="38900A33" w14:textId="77777777" w:rsidR="000F04E3" w:rsidRPr="001531CD" w:rsidRDefault="000F04E3" w:rsidP="000F04E3">
      <w:pPr>
        <w:pStyle w:val="1"/>
      </w:pPr>
      <w:r w:rsidRPr="001531CD">
        <w:t>2.</w:t>
      </w:r>
      <w:r w:rsidRPr="001531CD">
        <w:tab/>
        <w:t xml:space="preserve">a bill of sale, invoice, or some other document that would allow the strawberries to be traced back to the farm of origin is at the location and available for inspection by an authorized office, employee, or representative of the board or the department. </w:t>
      </w:r>
    </w:p>
    <w:p w14:paraId="08E40D90" w14:textId="77777777" w:rsidR="000F04E3" w:rsidRPr="001531CD" w:rsidRDefault="000F04E3" w:rsidP="000F04E3">
      <w:pPr>
        <w:pStyle w:val="AuthorityNote"/>
      </w:pPr>
      <w:r w:rsidRPr="001531CD">
        <w:t>AUTHORITY NOTE:</w:t>
      </w:r>
      <w:r w:rsidRPr="001531CD">
        <w:tab/>
        <w:t>Promulgated in accordance with R.S. 3:730.4 and 3:730.8.</w:t>
      </w:r>
    </w:p>
    <w:p w14:paraId="2FE90848" w14:textId="77777777" w:rsidR="000F04E3" w:rsidRPr="001531CD" w:rsidRDefault="000F04E3" w:rsidP="000F04E3">
      <w:pPr>
        <w:pStyle w:val="HistoricalNote"/>
      </w:pPr>
      <w:r w:rsidRPr="001531CD">
        <w:t>HISTORICAL NOTE:</w:t>
      </w:r>
      <w:r w:rsidRPr="001531CD">
        <w:tab/>
        <w:t>Promulgated by the Department of Agriculture and Forestry, Office of the Commissioner, LR 37:271 (January 2011).</w:t>
      </w:r>
    </w:p>
    <w:p w14:paraId="19EF8A20" w14:textId="77777777" w:rsidR="000F04E3" w:rsidRPr="001531CD" w:rsidRDefault="000F04E3" w:rsidP="000F04E3">
      <w:pPr>
        <w:pStyle w:val="Section"/>
      </w:pPr>
      <w:bookmarkStart w:id="903" w:name="_Toc224818693"/>
      <w:r w:rsidRPr="001531CD">
        <w:t>§1933.</w:t>
      </w:r>
      <w:r w:rsidRPr="001531CD">
        <w:tab/>
        <w:t>Louisiana Grown Strawberries; Use of Department Logos</w:t>
      </w:r>
      <w:bookmarkEnd w:id="903"/>
    </w:p>
    <w:p w14:paraId="1592AA8B" w14:textId="77777777" w:rsidR="000F04E3" w:rsidRPr="001531CD" w:rsidRDefault="000F04E3" w:rsidP="000F04E3">
      <w:pPr>
        <w:pStyle w:val="A"/>
      </w:pPr>
      <w:r w:rsidRPr="001531CD">
        <w:t>A.</w:t>
      </w:r>
      <w:r w:rsidRPr="001531CD">
        <w:tab/>
        <w:t>Louisiana grown strawberries may be eligible for labeling with a logo developed by the department for use on strawberries or other agricultural products raised, processed, and packed in this state.</w:t>
      </w:r>
    </w:p>
    <w:p w14:paraId="36A563D3" w14:textId="77777777" w:rsidR="000F04E3" w:rsidRPr="001531CD" w:rsidRDefault="000F04E3" w:rsidP="000F04E3">
      <w:pPr>
        <w:pStyle w:val="A"/>
      </w:pPr>
      <w:r w:rsidRPr="001531CD">
        <w:t>B.</w:t>
      </w:r>
      <w:r w:rsidRPr="001531CD">
        <w:tab/>
        <w:t>Any producer, processor, packer, wholesaler, or distributor who desires to have a logo of the department placed on containers of Louisiana grown strawberries may register with the department for participation in a logo use program.</w:t>
      </w:r>
    </w:p>
    <w:p w14:paraId="01F35A84" w14:textId="77777777" w:rsidR="000F04E3" w:rsidRPr="001531CD" w:rsidRDefault="000F04E3" w:rsidP="000F04E3">
      <w:pPr>
        <w:pStyle w:val="A"/>
      </w:pPr>
      <w:r w:rsidRPr="001531CD">
        <w:t>C.</w:t>
      </w:r>
      <w:r w:rsidRPr="001531CD">
        <w:tab/>
        <w:t>All farms of origin that provide the strawberries sold or offered for sale by the participating producer, processor, packer, wholesaler, or distributor shall be registered with the department before approval to use the logo is given by the department.</w:t>
      </w:r>
    </w:p>
    <w:p w14:paraId="6FE42AA7" w14:textId="77777777" w:rsidR="000F04E3" w:rsidRPr="001531CD" w:rsidRDefault="000F04E3" w:rsidP="000F04E3">
      <w:pPr>
        <w:pStyle w:val="A"/>
      </w:pPr>
      <w:r w:rsidRPr="001531CD">
        <w:t>D.</w:t>
      </w:r>
      <w:r w:rsidRPr="001531CD">
        <w:tab/>
        <w:t>The application for participation shall be submitted in writing to the department on a form approved by the department.</w:t>
      </w:r>
    </w:p>
    <w:p w14:paraId="1F454B6C" w14:textId="77777777" w:rsidR="000F04E3" w:rsidRPr="001531CD" w:rsidRDefault="000F04E3" w:rsidP="000F04E3">
      <w:pPr>
        <w:pStyle w:val="A"/>
      </w:pPr>
      <w:r w:rsidRPr="001531CD">
        <w:t>E.</w:t>
      </w:r>
      <w:r w:rsidRPr="001531CD">
        <w:tab/>
        <w:t>Upon approval, the applicant shall have the right to affix a logo of the department on all containers of strawberries.</w:t>
      </w:r>
    </w:p>
    <w:p w14:paraId="406B374A" w14:textId="77777777" w:rsidR="000F04E3" w:rsidRPr="001531CD" w:rsidRDefault="000F04E3" w:rsidP="000F04E3">
      <w:pPr>
        <w:pStyle w:val="A"/>
      </w:pPr>
      <w:r w:rsidRPr="001531CD">
        <w:t>F.</w:t>
      </w:r>
      <w:r w:rsidRPr="001531CD">
        <w:tab/>
        <w:t>A logo of the department may not be placed on any container of strawberries that holds any strawberries that are raised, processed, or packed in another country or another state.</w:t>
      </w:r>
    </w:p>
    <w:p w14:paraId="6C34EF8A" w14:textId="77777777" w:rsidR="000F04E3" w:rsidRPr="001531CD" w:rsidRDefault="000F04E3" w:rsidP="000F04E3">
      <w:pPr>
        <w:pStyle w:val="AuthorityNote"/>
      </w:pPr>
      <w:r w:rsidRPr="001531CD">
        <w:lastRenderedPageBreak/>
        <w:t>AUTHORITY NOTE:</w:t>
      </w:r>
      <w:r w:rsidRPr="001531CD">
        <w:tab/>
        <w:t>Promulgated in accordance with R.S. 3:730.4 and 3:730.8.</w:t>
      </w:r>
    </w:p>
    <w:p w14:paraId="45D68349" w14:textId="77777777" w:rsidR="000F04E3" w:rsidRPr="001531CD" w:rsidRDefault="000F04E3" w:rsidP="000F04E3">
      <w:pPr>
        <w:pStyle w:val="HistoricalNote"/>
      </w:pPr>
      <w:r w:rsidRPr="001531CD">
        <w:t>HISTORICAL NOTE:</w:t>
      </w:r>
      <w:r w:rsidRPr="001531CD">
        <w:tab/>
        <w:t>Promulgated by the Department of Agriculture and Forestry, Office of the Commissioner, LR 37:272 (January 2011).</w:t>
      </w:r>
    </w:p>
    <w:p w14:paraId="51774EA0" w14:textId="77777777" w:rsidR="000F04E3" w:rsidRPr="001531CD" w:rsidRDefault="000F04E3" w:rsidP="000F04E3">
      <w:pPr>
        <w:pStyle w:val="Section"/>
      </w:pPr>
      <w:bookmarkStart w:id="904" w:name="_Toc224818694"/>
      <w:r w:rsidRPr="001531CD">
        <w:t>§1935.</w:t>
      </w:r>
      <w:r w:rsidRPr="001531CD">
        <w:tab/>
        <w:t>Use of Containers Ordered Prior to the Effective Date of these Regulations</w:t>
      </w:r>
      <w:bookmarkEnd w:id="904"/>
    </w:p>
    <w:p w14:paraId="6910386C" w14:textId="77777777" w:rsidR="000F04E3" w:rsidRPr="001531CD" w:rsidRDefault="000F04E3" w:rsidP="000F04E3">
      <w:pPr>
        <w:pStyle w:val="A"/>
      </w:pPr>
      <w:r w:rsidRPr="001531CD">
        <w:t>A.</w:t>
      </w:r>
      <w:r w:rsidRPr="001531CD">
        <w:tab/>
        <w:t>Any person who prior to the effective date of these regulations ordered strawberry containers that do not meet the requirements of these regulations may use those containers for the 2011 strawberry season up to July 1, 2011 if documentation allowing the farm of origin to be determined is available for inspection by an authorized officer, employee, or representative of the board or the department.</w:t>
      </w:r>
    </w:p>
    <w:p w14:paraId="2E518172" w14:textId="77777777" w:rsidR="000F04E3" w:rsidRPr="001531CD" w:rsidRDefault="000F04E3" w:rsidP="000F04E3">
      <w:pPr>
        <w:pStyle w:val="A"/>
      </w:pPr>
      <w:r w:rsidRPr="001531CD">
        <w:t>B.</w:t>
      </w:r>
      <w:r w:rsidRPr="001531CD">
        <w:tab/>
        <w:t>In no event shall any container that does not comply with the labeling requirements of this Subchapter be used after July 1, 2011, except as allowed by §1931.E of this Part.</w:t>
      </w:r>
    </w:p>
    <w:p w14:paraId="07DFAFB6" w14:textId="77777777" w:rsidR="000F04E3" w:rsidRPr="001531CD" w:rsidRDefault="000F04E3" w:rsidP="000F04E3">
      <w:pPr>
        <w:pStyle w:val="AuthorityNote"/>
      </w:pPr>
      <w:r w:rsidRPr="001531CD">
        <w:t>AUTHORITY NOTE:</w:t>
      </w:r>
      <w:r w:rsidRPr="001531CD">
        <w:tab/>
        <w:t>Promulgated in accordance with R.S. 3:730.4 and 3:730.8.</w:t>
      </w:r>
    </w:p>
    <w:p w14:paraId="2B647C8F" w14:textId="77777777" w:rsidR="000F04E3" w:rsidRPr="001531CD" w:rsidRDefault="000F04E3" w:rsidP="000F04E3">
      <w:pPr>
        <w:pStyle w:val="HistoricalNote"/>
      </w:pPr>
      <w:r w:rsidRPr="001531CD">
        <w:t>HISTORICAL NOTE:</w:t>
      </w:r>
      <w:r w:rsidRPr="001531CD">
        <w:tab/>
        <w:t>Promulgated by the Department of Agriculture and Forestry, Office of the Commissioner, LR 37:272 (January 2011).</w:t>
      </w:r>
    </w:p>
    <w:p w14:paraId="490B5091" w14:textId="77777777" w:rsidR="00CF626A" w:rsidRPr="001531CD" w:rsidRDefault="00CF626A">
      <w:pPr>
        <w:pStyle w:val="Chapter"/>
      </w:pPr>
      <w:bookmarkStart w:id="905" w:name="_Toc224818695"/>
      <w:r w:rsidRPr="001531CD">
        <w:t>Chapter 21.</w:t>
      </w:r>
      <w:bookmarkEnd w:id="896"/>
      <w:r w:rsidR="00167E2E">
        <w:tab/>
      </w:r>
      <w:bookmarkStart w:id="906" w:name="TOCT_Chap50"/>
      <w:bookmarkStart w:id="907" w:name="TOCT_Chap72"/>
      <w:r w:rsidRPr="001531CD">
        <w:t>Louisiana Sweet Potato Logo</w:t>
      </w:r>
      <w:bookmarkEnd w:id="897"/>
      <w:bookmarkEnd w:id="905"/>
      <w:bookmarkEnd w:id="906"/>
      <w:bookmarkEnd w:id="907"/>
    </w:p>
    <w:p w14:paraId="521EA39D" w14:textId="77777777" w:rsidR="00CF626A" w:rsidRPr="001531CD" w:rsidRDefault="00CF626A">
      <w:pPr>
        <w:pStyle w:val="Section"/>
      </w:pPr>
      <w:bookmarkStart w:id="908" w:name="_Toc256754445"/>
      <w:bookmarkStart w:id="909" w:name="_Toc224818696"/>
      <w:r w:rsidRPr="001531CD">
        <w:t>§2101.</w:t>
      </w:r>
      <w:r w:rsidRPr="001531CD">
        <w:tab/>
        <w:t>Statement of Authority and Purpose</w:t>
      </w:r>
      <w:bookmarkEnd w:id="908"/>
      <w:bookmarkEnd w:id="909"/>
    </w:p>
    <w:p w14:paraId="7C77AF2C" w14:textId="77777777" w:rsidR="00CF626A" w:rsidRPr="001531CD" w:rsidRDefault="00CF626A">
      <w:pPr>
        <w:pStyle w:val="A"/>
      </w:pPr>
      <w:r w:rsidRPr="001531CD">
        <w:t>A.</w:t>
      </w:r>
      <w:r w:rsidRPr="001531CD">
        <w:tab/>
        <w:t xml:space="preserve">The State Market Commission hereby adopts </w:t>
      </w:r>
      <w:r w:rsidRPr="001531CD">
        <w:br/>
        <w:t>LAC 7:V.Chapter 21 under the authority of R.S. 3:415 for the purpose of advertising, publicizing and promoting the increased production and packaging of Louisiana sweet potatoes, in the state of Louisiana, through the creation, licensing and use of a Louisiana sweet potato logo.</w:t>
      </w:r>
    </w:p>
    <w:p w14:paraId="168835D4" w14:textId="77777777" w:rsidR="00CF626A" w:rsidRPr="001531CD" w:rsidRDefault="00CF626A">
      <w:pPr>
        <w:pStyle w:val="AuthorityNote"/>
      </w:pPr>
      <w:r w:rsidRPr="001531CD">
        <w:t>AUTHORITY NOTE:</w:t>
      </w:r>
      <w:r w:rsidRPr="001531CD">
        <w:tab/>
        <w:t>Promulgated in accordance with R.S. 3:415.</w:t>
      </w:r>
    </w:p>
    <w:p w14:paraId="0285CFD3"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24:1081 (June 1998).</w:t>
      </w:r>
    </w:p>
    <w:p w14:paraId="628281E8" w14:textId="77777777" w:rsidR="00CF626A" w:rsidRPr="001531CD" w:rsidRDefault="00CF626A">
      <w:pPr>
        <w:pStyle w:val="Section"/>
      </w:pPr>
      <w:bookmarkStart w:id="910" w:name="_Toc256754446"/>
      <w:bookmarkStart w:id="911" w:name="_Toc224818697"/>
      <w:r w:rsidRPr="001531CD">
        <w:t>§2103.</w:t>
      </w:r>
      <w:r w:rsidRPr="001531CD">
        <w:tab/>
        <w:t>Definitions</w:t>
      </w:r>
      <w:bookmarkEnd w:id="910"/>
      <w:bookmarkEnd w:id="911"/>
    </w:p>
    <w:p w14:paraId="43BE7A39" w14:textId="77777777" w:rsidR="00CF626A" w:rsidRPr="001531CD" w:rsidRDefault="00CF626A">
      <w:pPr>
        <w:pStyle w:val="A"/>
      </w:pPr>
      <w:r w:rsidRPr="001531CD">
        <w:t>A.</w:t>
      </w:r>
      <w:r w:rsidRPr="001531CD">
        <w:tab/>
        <w:t>The terms defined in this Section have the meaning given to them herein, for purposes of this Chapter, except where the context expressly indicates otherwise.</w:t>
      </w:r>
    </w:p>
    <w:p w14:paraId="7D63BE7C" w14:textId="77777777" w:rsidR="00CF626A" w:rsidRPr="001531CD" w:rsidRDefault="00CF626A">
      <w:pPr>
        <w:pStyle w:val="1"/>
      </w:pPr>
      <w:r w:rsidRPr="001531CD">
        <w:rPr>
          <w:i/>
          <w:iCs/>
        </w:rPr>
        <w:t>Commission</w:t>
      </w:r>
      <w:r w:rsidRPr="001531CD">
        <w:t>―the Louisiana State Market Commission.</w:t>
      </w:r>
    </w:p>
    <w:p w14:paraId="768F9CD2" w14:textId="77777777" w:rsidR="00CF626A" w:rsidRPr="001531CD" w:rsidRDefault="00CF626A">
      <w:pPr>
        <w:pStyle w:val="1"/>
      </w:pPr>
      <w:r w:rsidRPr="001531CD">
        <w:rPr>
          <w:i/>
          <w:iCs/>
        </w:rPr>
        <w:t>Commissioner</w:t>
      </w:r>
      <w:r w:rsidRPr="001531CD">
        <w:t>―Commissioner of the Louisiana Department of Agriculture and Forestry.</w:t>
      </w:r>
    </w:p>
    <w:p w14:paraId="7E801534" w14:textId="77777777" w:rsidR="00CF626A" w:rsidRPr="001531CD" w:rsidRDefault="00CF626A">
      <w:pPr>
        <w:pStyle w:val="1"/>
      </w:pPr>
      <w:r w:rsidRPr="001531CD">
        <w:rPr>
          <w:i/>
          <w:iCs/>
        </w:rPr>
        <w:t>Department</w:t>
      </w:r>
      <w:r w:rsidRPr="001531CD">
        <w:t>―the Louisiana Department of Agriculture and Forestry.</w:t>
      </w:r>
    </w:p>
    <w:p w14:paraId="12BA61E8" w14:textId="77777777" w:rsidR="00CF626A" w:rsidRPr="001531CD" w:rsidRDefault="00CF626A">
      <w:pPr>
        <w:pStyle w:val="1"/>
      </w:pPr>
      <w:r w:rsidRPr="001531CD">
        <w:rPr>
          <w:i/>
          <w:iCs/>
        </w:rPr>
        <w:t>Farm</w:t>
      </w:r>
      <w:r w:rsidRPr="001531CD">
        <w:t>―any area of land used to grow and package Louisiana sweet potatoes.</w:t>
      </w:r>
    </w:p>
    <w:p w14:paraId="134AB80F" w14:textId="77777777" w:rsidR="00CF626A" w:rsidRPr="001531CD" w:rsidRDefault="00CF626A">
      <w:pPr>
        <w:pStyle w:val="1"/>
      </w:pPr>
      <w:r w:rsidRPr="001531CD">
        <w:rPr>
          <w:i/>
          <w:iCs/>
        </w:rPr>
        <w:t>Louisiana Sweet Potato</w:t>
      </w:r>
      <w:r w:rsidRPr="001531CD">
        <w:t>―any sweet potato grown and packaged in the state of Louisiana.</w:t>
      </w:r>
    </w:p>
    <w:p w14:paraId="3483C276" w14:textId="77777777" w:rsidR="00CF626A" w:rsidRPr="001531CD" w:rsidRDefault="00CF626A">
      <w:pPr>
        <w:pStyle w:val="1"/>
      </w:pPr>
      <w:r w:rsidRPr="001531CD">
        <w:rPr>
          <w:i/>
          <w:iCs/>
        </w:rPr>
        <w:t>Louisiana Sweet Potato Logo</w:t>
      </w:r>
      <w:r w:rsidRPr="001531CD">
        <w:t xml:space="preserve">―a distinctive mark, motto, device, symbol or emblem which may be affixed to Louisiana sweet potatoes or the shipping crates, boxes or other packaging containing the Louisiana sweet potatoes so that </w:t>
      </w:r>
      <w:r w:rsidRPr="001531CD">
        <w:t>Louisiana sweet potatoes may be identified as such in the market, and their origin vouched for.</w:t>
      </w:r>
    </w:p>
    <w:p w14:paraId="3DC7E662" w14:textId="77777777" w:rsidR="00CF626A" w:rsidRPr="001531CD" w:rsidRDefault="00CF626A">
      <w:pPr>
        <w:pStyle w:val="1"/>
      </w:pPr>
      <w:r w:rsidRPr="001531CD">
        <w:rPr>
          <w:i/>
          <w:iCs/>
        </w:rPr>
        <w:t>Person</w:t>
      </w:r>
      <w:r w:rsidRPr="001531CD">
        <w:t>―any individual, corporation, partnership, association or other legal entity.</w:t>
      </w:r>
    </w:p>
    <w:p w14:paraId="38DE1C50" w14:textId="77777777" w:rsidR="00CF626A" w:rsidRPr="001531CD" w:rsidRDefault="00CF626A">
      <w:pPr>
        <w:pStyle w:val="1"/>
      </w:pPr>
      <w:r w:rsidRPr="001531CD">
        <w:rPr>
          <w:i/>
          <w:iCs/>
        </w:rPr>
        <w:t>Producer</w:t>
      </w:r>
      <w:r w:rsidRPr="001531CD">
        <w:t>―any person who grows or packs Louisiana sweet potatoes.</w:t>
      </w:r>
    </w:p>
    <w:p w14:paraId="3BF0F351" w14:textId="77777777" w:rsidR="00CF626A" w:rsidRPr="001531CD" w:rsidRDefault="00CF626A">
      <w:pPr>
        <w:pStyle w:val="1"/>
      </w:pPr>
      <w:r w:rsidRPr="001531CD">
        <w:rPr>
          <w:i/>
          <w:iCs/>
        </w:rPr>
        <w:t>Promote</w:t>
      </w:r>
      <w:r w:rsidRPr="001531CD">
        <w:t>―includes the use of the Louisiana sweet potato logo on packages, documents, promotional materials and business correspondence to further enhance the marketability of Louisiana sweet potatoes.</w:t>
      </w:r>
    </w:p>
    <w:p w14:paraId="25B3447E" w14:textId="77777777" w:rsidR="00CF626A" w:rsidRPr="001531CD" w:rsidRDefault="00CF626A">
      <w:pPr>
        <w:pStyle w:val="1"/>
      </w:pPr>
      <w:r w:rsidRPr="001531CD">
        <w:rPr>
          <w:i/>
          <w:iCs/>
        </w:rPr>
        <w:t>Stop Order</w:t>
      </w:r>
      <w:r w:rsidRPr="001531CD">
        <w:t>―a written, printed or stamped order issued by the department preventing a person from shipping or selling sweet potatoes under the Louisiana sweet potato logo or removing them from the premises where they are found in crates, boxes or other packaging marked with the Louisiana sweet potato logo.</w:t>
      </w:r>
    </w:p>
    <w:p w14:paraId="695755FC" w14:textId="77777777" w:rsidR="00CF626A" w:rsidRPr="001531CD" w:rsidRDefault="00CF626A">
      <w:pPr>
        <w:pStyle w:val="AuthorityNote"/>
      </w:pPr>
      <w:r w:rsidRPr="001531CD">
        <w:t>AUTHORITY NOTE:</w:t>
      </w:r>
      <w:r w:rsidRPr="001531CD">
        <w:tab/>
        <w:t>Promulgated in accordance with R.S. 3:415.</w:t>
      </w:r>
    </w:p>
    <w:p w14:paraId="568A97EF"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24:1081 (June 1998).</w:t>
      </w:r>
    </w:p>
    <w:p w14:paraId="1DF3A18A" w14:textId="77777777" w:rsidR="00CF626A" w:rsidRPr="001531CD" w:rsidRDefault="00CF626A">
      <w:pPr>
        <w:pStyle w:val="Section"/>
      </w:pPr>
      <w:bookmarkStart w:id="912" w:name="_Toc256754447"/>
      <w:bookmarkStart w:id="913" w:name="_Toc224818698"/>
      <w:r w:rsidRPr="001531CD">
        <w:t>§2105.</w:t>
      </w:r>
      <w:r w:rsidRPr="001531CD">
        <w:tab/>
        <w:t>Development, Adoption and Registration of an Official Logo for Louisiana Sweet Potatoes</w:t>
      </w:r>
      <w:bookmarkEnd w:id="912"/>
      <w:bookmarkEnd w:id="913"/>
    </w:p>
    <w:p w14:paraId="2688EC53" w14:textId="77777777" w:rsidR="00CF626A" w:rsidRPr="001531CD" w:rsidRDefault="00CF626A">
      <w:pPr>
        <w:pStyle w:val="A"/>
      </w:pPr>
      <w:r w:rsidRPr="001531CD">
        <w:t>A.</w:t>
      </w:r>
      <w:r w:rsidRPr="001531CD">
        <w:tab/>
        <w:t>The commission may develop and adopt a Louisiana sweet potato logo to be placed on boxes, crates, or other packages to certify that the sweet potatoes in the boxes, crates or other packages are Louisiana sweet potatoes.</w:t>
      </w:r>
    </w:p>
    <w:p w14:paraId="6DDEE0AD" w14:textId="77777777" w:rsidR="00CF626A" w:rsidRPr="001531CD" w:rsidRDefault="00CF626A">
      <w:pPr>
        <w:pStyle w:val="A"/>
      </w:pPr>
      <w:r w:rsidRPr="001531CD">
        <w:t>B.</w:t>
      </w:r>
      <w:r w:rsidRPr="001531CD">
        <w:tab/>
        <w:t>Upon adoption of a Louisiana sweet potato logo the commission may register the logo as a trademark or a certification mark with the state of Louisiana, U.S. Government or any other governmental or private entity where necessary or proper to protect the logo's status as a trademark or as a certification mark.</w:t>
      </w:r>
    </w:p>
    <w:p w14:paraId="1A5E335A" w14:textId="77777777" w:rsidR="00CF626A" w:rsidRPr="001531CD" w:rsidRDefault="00CF626A">
      <w:pPr>
        <w:pStyle w:val="AuthorityNote"/>
      </w:pPr>
      <w:r w:rsidRPr="001531CD">
        <w:t>AUTHORITY NOTE:</w:t>
      </w:r>
      <w:r w:rsidRPr="001531CD">
        <w:tab/>
        <w:t>Promulgated in accordance with R.S. 3:415.</w:t>
      </w:r>
    </w:p>
    <w:p w14:paraId="2AE4C9C1"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14:paraId="261CC496" w14:textId="77777777" w:rsidR="00CF626A" w:rsidRPr="001531CD" w:rsidRDefault="00CF626A">
      <w:pPr>
        <w:pStyle w:val="Section"/>
      </w:pPr>
      <w:bookmarkStart w:id="914" w:name="_Toc256754448"/>
      <w:bookmarkStart w:id="915" w:name="_Toc224818699"/>
      <w:r w:rsidRPr="001531CD">
        <w:t>§2107.</w:t>
      </w:r>
      <w:r w:rsidRPr="001531CD">
        <w:tab/>
        <w:t>Licensing Eligibility for Use of Logo</w:t>
      </w:r>
      <w:bookmarkEnd w:id="914"/>
      <w:bookmarkEnd w:id="915"/>
    </w:p>
    <w:p w14:paraId="38AE6F4E" w14:textId="77777777" w:rsidR="00CF626A" w:rsidRPr="001531CD" w:rsidRDefault="00CF626A">
      <w:pPr>
        <w:pStyle w:val="A"/>
      </w:pPr>
      <w:r w:rsidRPr="001531CD">
        <w:t>A.</w:t>
      </w:r>
      <w:r w:rsidRPr="001531CD">
        <w:tab/>
        <w:t>The commission may license a producer to use the Louisiana sweet potato logo if the producer meets the following requirements:</w:t>
      </w:r>
    </w:p>
    <w:p w14:paraId="16F0E1C0" w14:textId="77777777" w:rsidR="00CF626A" w:rsidRPr="001531CD" w:rsidRDefault="00CF626A">
      <w:pPr>
        <w:pStyle w:val="1"/>
      </w:pPr>
      <w:r w:rsidRPr="001531CD">
        <w:t>1.</w:t>
      </w:r>
      <w:r w:rsidRPr="001531CD">
        <w:tab/>
        <w:t>the producer makes written application to the commission for a license, on a form provided by the department;</w:t>
      </w:r>
    </w:p>
    <w:p w14:paraId="32113122" w14:textId="77777777" w:rsidR="00CF626A" w:rsidRPr="001531CD" w:rsidRDefault="00CF626A">
      <w:pPr>
        <w:pStyle w:val="1"/>
      </w:pPr>
      <w:r w:rsidRPr="001531CD">
        <w:t>2.</w:t>
      </w:r>
      <w:r w:rsidRPr="001531CD">
        <w:tab/>
        <w:t>the producer pays the license fee;</w:t>
      </w:r>
    </w:p>
    <w:p w14:paraId="5896A989" w14:textId="77777777" w:rsidR="00CF626A" w:rsidRPr="001531CD" w:rsidRDefault="00CF626A">
      <w:pPr>
        <w:pStyle w:val="1"/>
      </w:pPr>
      <w:r w:rsidRPr="001531CD">
        <w:t>3.</w:t>
      </w:r>
      <w:r w:rsidRPr="001531CD">
        <w:tab/>
        <w:t>the producer agrees in writing to abide by this Chapter regarding the use of the Louisiana sweet potato logo;</w:t>
      </w:r>
    </w:p>
    <w:p w14:paraId="26F2D1DA" w14:textId="77777777" w:rsidR="00CF626A" w:rsidRPr="001531CD" w:rsidRDefault="00CF626A">
      <w:pPr>
        <w:pStyle w:val="1"/>
      </w:pPr>
      <w:r w:rsidRPr="001531CD">
        <w:t>4.</w:t>
      </w:r>
      <w:r w:rsidRPr="001531CD">
        <w:tab/>
        <w:t>the producer agrees in writing to apply the Louisiana sweet potato logo only on crates, cartons or other forms of packaging containing sweet potatoes grown and packed entirely in the state of Louisiana.</w:t>
      </w:r>
    </w:p>
    <w:p w14:paraId="4C694CF2" w14:textId="77777777" w:rsidR="00CF626A" w:rsidRPr="001531CD" w:rsidRDefault="00CF626A">
      <w:pPr>
        <w:pStyle w:val="A"/>
      </w:pPr>
      <w:r w:rsidRPr="001531CD">
        <w:lastRenderedPageBreak/>
        <w:t>B.</w:t>
      </w:r>
      <w:r w:rsidRPr="001531CD">
        <w:tab/>
        <w:t>No sweet potatoes grown in any other state shall qualify for packing and shipping under the Louisiana sweet potato logo.</w:t>
      </w:r>
    </w:p>
    <w:p w14:paraId="7EB9B4F4" w14:textId="77777777" w:rsidR="00CF626A" w:rsidRPr="001531CD" w:rsidRDefault="00CF626A">
      <w:pPr>
        <w:pStyle w:val="AuthorityNote"/>
      </w:pPr>
      <w:r w:rsidRPr="001531CD">
        <w:t>AUTHORITY NOTE:</w:t>
      </w:r>
      <w:r w:rsidRPr="001531CD">
        <w:tab/>
        <w:t>Promulgated in accordance with R.S. 3:415.</w:t>
      </w:r>
    </w:p>
    <w:p w14:paraId="355FFB10"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14:paraId="3E2F698F" w14:textId="77777777" w:rsidR="00CF626A" w:rsidRPr="001531CD" w:rsidRDefault="00CF626A">
      <w:pPr>
        <w:pStyle w:val="Section"/>
      </w:pPr>
      <w:bookmarkStart w:id="916" w:name="_Toc256754449"/>
      <w:bookmarkStart w:id="917" w:name="_Toc224818700"/>
      <w:r w:rsidRPr="001531CD">
        <w:t>§2109.</w:t>
      </w:r>
      <w:r w:rsidRPr="001531CD">
        <w:tab/>
        <w:t>Use and Transferability of Logo</w:t>
      </w:r>
      <w:bookmarkEnd w:id="916"/>
      <w:bookmarkEnd w:id="917"/>
    </w:p>
    <w:p w14:paraId="3BF15722" w14:textId="77777777" w:rsidR="00CF626A" w:rsidRPr="001531CD" w:rsidRDefault="00CF626A">
      <w:pPr>
        <w:pStyle w:val="A"/>
      </w:pPr>
      <w:r w:rsidRPr="001531CD">
        <w:t>A.</w:t>
      </w:r>
      <w:r w:rsidRPr="001531CD">
        <w:tab/>
        <w:t>The Louisiana sweet potato logo shall be reserved for the exclusive use of the department in promoting, advertising and marketing Louisiana sweet potatoes and for each producer licensed to use the logo.</w:t>
      </w:r>
    </w:p>
    <w:p w14:paraId="34A8986E" w14:textId="77777777" w:rsidR="00CF626A" w:rsidRPr="001531CD" w:rsidRDefault="00CF626A">
      <w:pPr>
        <w:pStyle w:val="A"/>
      </w:pPr>
      <w:r w:rsidRPr="001531CD">
        <w:t>B.</w:t>
      </w:r>
      <w:r w:rsidRPr="001531CD">
        <w:tab/>
        <w:t>The Louisiana sweet potato logo shall not be placed on any box, crate or other package containing sweet potatoes unless the box, crate or other package contains only Louisiana sweet potatoes.</w:t>
      </w:r>
    </w:p>
    <w:p w14:paraId="42EC8F13" w14:textId="77777777" w:rsidR="00CF626A" w:rsidRPr="001531CD" w:rsidRDefault="00CF626A">
      <w:pPr>
        <w:pStyle w:val="A"/>
      </w:pPr>
      <w:r w:rsidRPr="001531CD">
        <w:t>C.</w:t>
      </w:r>
      <w:r w:rsidRPr="001531CD">
        <w:tab/>
        <w:t>No producer licensed to use the Louisiana sweet potato logo shall sell, assign or transfer the use of the Louisiana sweet potato logo to any other person without the specific written permission of the commission.</w:t>
      </w:r>
    </w:p>
    <w:p w14:paraId="0839A0F3" w14:textId="77777777" w:rsidR="00CF626A" w:rsidRPr="001531CD" w:rsidRDefault="00CF626A">
      <w:pPr>
        <w:pStyle w:val="A"/>
      </w:pPr>
      <w:r w:rsidRPr="001531CD">
        <w:t>D.</w:t>
      </w:r>
      <w:r w:rsidRPr="001531CD">
        <w:tab/>
        <w:t>No person shall use the Louisiana sweet potato logo for any purpose unless that person is authorized in writing by the commission to do so or unless that person is a producer licensed by the commission to use the logo.</w:t>
      </w:r>
    </w:p>
    <w:p w14:paraId="25E043F9" w14:textId="77777777" w:rsidR="00CF626A" w:rsidRPr="001531CD" w:rsidRDefault="00CF626A">
      <w:pPr>
        <w:pStyle w:val="AuthorityNote"/>
      </w:pPr>
      <w:r w:rsidRPr="001531CD">
        <w:t>AUTHORITY NOTE:</w:t>
      </w:r>
      <w:r w:rsidRPr="001531CD">
        <w:tab/>
        <w:t>Promulgated in accordance with R.S. 3:415.</w:t>
      </w:r>
    </w:p>
    <w:p w14:paraId="279C7C0E"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14:paraId="394FDB56" w14:textId="77777777" w:rsidR="00CF626A" w:rsidRPr="001531CD" w:rsidRDefault="00CF626A">
      <w:pPr>
        <w:pStyle w:val="Section"/>
      </w:pPr>
      <w:bookmarkStart w:id="918" w:name="_Toc256754450"/>
      <w:bookmarkStart w:id="919" w:name="_Toc224818701"/>
      <w:r w:rsidRPr="001531CD">
        <w:t>§2111.</w:t>
      </w:r>
      <w:r w:rsidRPr="001531CD">
        <w:tab/>
        <w:t>Fees and Costs</w:t>
      </w:r>
      <w:bookmarkEnd w:id="918"/>
      <w:bookmarkEnd w:id="919"/>
    </w:p>
    <w:p w14:paraId="479E3933" w14:textId="77777777" w:rsidR="00CF626A" w:rsidRPr="001531CD" w:rsidRDefault="00CF626A">
      <w:pPr>
        <w:pStyle w:val="A"/>
      </w:pPr>
      <w:r w:rsidRPr="001531CD">
        <w:t>A.</w:t>
      </w:r>
      <w:r w:rsidRPr="001531CD">
        <w:tab/>
        <w:t>Each producer applying for and receiving an initial license to use the logo shall pay a fee of $25 before being licensed.</w:t>
      </w:r>
    </w:p>
    <w:p w14:paraId="1C0533E5" w14:textId="77777777" w:rsidR="00CF626A" w:rsidRPr="001531CD" w:rsidRDefault="00CF626A">
      <w:pPr>
        <w:pStyle w:val="A"/>
      </w:pPr>
      <w:r w:rsidRPr="001531CD">
        <w:t>B.</w:t>
      </w:r>
      <w:r w:rsidRPr="001531CD">
        <w:tab/>
        <w:t>Each producer, thereafter, shall pay an annual renewal fee of $25 on or before June 30 of each year.</w:t>
      </w:r>
    </w:p>
    <w:p w14:paraId="0EA48DEB" w14:textId="77777777" w:rsidR="00CF626A" w:rsidRPr="001531CD" w:rsidRDefault="00CF626A">
      <w:pPr>
        <w:pStyle w:val="AuthorityNote"/>
      </w:pPr>
      <w:r w:rsidRPr="001531CD">
        <w:t>AUTHORITY NOTE:</w:t>
      </w:r>
      <w:r w:rsidRPr="001531CD">
        <w:tab/>
        <w:t>Promulgated in accordance with R.S. 3:415.</w:t>
      </w:r>
    </w:p>
    <w:p w14:paraId="59E52CE9"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14:paraId="47F8DDDB" w14:textId="77777777" w:rsidR="00CF626A" w:rsidRPr="001531CD" w:rsidRDefault="00CF626A">
      <w:pPr>
        <w:pStyle w:val="Section"/>
      </w:pPr>
      <w:bookmarkStart w:id="920" w:name="_Toc256754451"/>
      <w:bookmarkStart w:id="921" w:name="_Toc224818702"/>
      <w:r w:rsidRPr="001531CD">
        <w:t>§2113.</w:t>
      </w:r>
      <w:r w:rsidRPr="001531CD">
        <w:tab/>
        <w:t>Enforcement</w:t>
      </w:r>
      <w:bookmarkEnd w:id="920"/>
      <w:bookmarkEnd w:id="921"/>
    </w:p>
    <w:p w14:paraId="3163F406" w14:textId="77777777" w:rsidR="00CF626A" w:rsidRPr="001531CD" w:rsidRDefault="00CF626A">
      <w:pPr>
        <w:pStyle w:val="A"/>
      </w:pPr>
      <w:r w:rsidRPr="001531CD">
        <w:t>A.</w:t>
      </w:r>
      <w:r w:rsidRPr="001531CD">
        <w:tab/>
        <w:t>The department or its authorized representative shall have the right to enter any Louisiana sweet potato farm and any packaging plant to inspect that facility and any records pertaining to the growing, packaging or sale of any Louisiana sweet potato by any producer licensed under this Chapter.</w:t>
      </w:r>
    </w:p>
    <w:p w14:paraId="62955F5F" w14:textId="77777777" w:rsidR="00CF626A" w:rsidRPr="001531CD" w:rsidRDefault="00CF626A">
      <w:pPr>
        <w:pStyle w:val="A"/>
      </w:pPr>
      <w:r w:rsidRPr="001531CD">
        <w:t>B.</w:t>
      </w:r>
      <w:r w:rsidRPr="001531CD">
        <w:tab/>
        <w:t>The department or its authorized representative may, while enforcing the provisions of this Chapter, issue and enforce a written, printed or stamped stop order to prevent the use of the Louisiana sweet potato logo on any sweet potatoes to be sold, shipped or removed from the premises where they are found if:</w:t>
      </w:r>
    </w:p>
    <w:p w14:paraId="1778AD82" w14:textId="77777777" w:rsidR="00CF626A" w:rsidRPr="001531CD" w:rsidRDefault="00CF626A">
      <w:pPr>
        <w:pStyle w:val="1"/>
      </w:pPr>
      <w:r w:rsidRPr="001531CD">
        <w:t>1.</w:t>
      </w:r>
      <w:r w:rsidRPr="001531CD">
        <w:tab/>
        <w:t>the authorized representative of the department has been refused the right to enter the premises where the sweet potatoes are being grown and packaged;</w:t>
      </w:r>
    </w:p>
    <w:p w14:paraId="0BA52095" w14:textId="77777777" w:rsidR="00CF626A" w:rsidRPr="001531CD" w:rsidRDefault="00CF626A">
      <w:pPr>
        <w:pStyle w:val="1"/>
      </w:pPr>
      <w:r w:rsidRPr="001531CD">
        <w:t>2.</w:t>
      </w:r>
      <w:r w:rsidRPr="001531CD">
        <w:tab/>
        <w:t>the sweet potatoes do not meet the department's inspection and grading standards;</w:t>
      </w:r>
    </w:p>
    <w:p w14:paraId="58DFAB20" w14:textId="77777777" w:rsidR="00CF626A" w:rsidRPr="001531CD" w:rsidRDefault="00CF626A">
      <w:pPr>
        <w:pStyle w:val="1"/>
      </w:pPr>
      <w:r w:rsidRPr="001531CD">
        <w:t>3.</w:t>
      </w:r>
      <w:r w:rsidRPr="001531CD">
        <w:tab/>
        <w:t>the licensed sweet potato producer is in violation of this Chapter;</w:t>
      </w:r>
    </w:p>
    <w:p w14:paraId="17B4D0E8" w14:textId="77777777" w:rsidR="00CF626A" w:rsidRPr="001531CD" w:rsidRDefault="00CF626A">
      <w:pPr>
        <w:pStyle w:val="1"/>
      </w:pPr>
      <w:r w:rsidRPr="001531CD">
        <w:t>4.</w:t>
      </w:r>
      <w:r w:rsidRPr="001531CD">
        <w:tab/>
        <w:t>the sweet potatoes in any box, crate or package carrying the Louisiana sweet potato logo are not entirely Louisiana sweet potatoes; or</w:t>
      </w:r>
    </w:p>
    <w:p w14:paraId="0EBF0570" w14:textId="77777777" w:rsidR="00CF626A" w:rsidRPr="001531CD" w:rsidRDefault="00CF626A">
      <w:pPr>
        <w:pStyle w:val="1"/>
      </w:pPr>
      <w:r w:rsidRPr="001531CD">
        <w:t>5.</w:t>
      </w:r>
      <w:r w:rsidRPr="001531CD">
        <w:tab/>
        <w:t>any person is found to be using the Louisiana sweet potato logo either without being a licensed producer or without written authorization from the commission to use the logo.</w:t>
      </w:r>
    </w:p>
    <w:p w14:paraId="51405328" w14:textId="77777777" w:rsidR="00CF626A" w:rsidRPr="001531CD" w:rsidRDefault="00CF626A">
      <w:pPr>
        <w:pStyle w:val="A"/>
      </w:pPr>
      <w:r w:rsidRPr="001531CD">
        <w:t>C.</w:t>
      </w:r>
      <w:r w:rsidRPr="001531CD">
        <w:tab/>
        <w:t>Upon issuance of a stop order the department may:</w:t>
      </w:r>
    </w:p>
    <w:p w14:paraId="2BC30B96" w14:textId="77777777" w:rsidR="00CF626A" w:rsidRPr="001531CD" w:rsidRDefault="00CF626A">
      <w:pPr>
        <w:pStyle w:val="1"/>
      </w:pPr>
      <w:r w:rsidRPr="001531CD">
        <w:t>1.</w:t>
      </w:r>
      <w:r w:rsidRPr="001531CD">
        <w:tab/>
        <w:t>order that the sweet potatoes may not be sold, shipped or removed from the premises at the time the stop order is issued; or</w:t>
      </w:r>
    </w:p>
    <w:p w14:paraId="74A03C1A" w14:textId="77777777" w:rsidR="00CF626A" w:rsidRPr="001531CD" w:rsidRDefault="00CF626A">
      <w:pPr>
        <w:pStyle w:val="1"/>
      </w:pPr>
      <w:r w:rsidRPr="001531CD">
        <w:t>2.</w:t>
      </w:r>
      <w:r w:rsidRPr="001531CD">
        <w:tab/>
        <w:t>prohibit the use of the Louisiana sweet potato logo on any sweet potato subject to the stop order, or on any crate, box or package containing such sweet potatoes when the sweet potatoes are sold, shipped or moved from the premises.</w:t>
      </w:r>
    </w:p>
    <w:p w14:paraId="422E9DA4" w14:textId="77777777" w:rsidR="00CF626A" w:rsidRPr="001531CD" w:rsidRDefault="00CF626A">
      <w:pPr>
        <w:pStyle w:val="A"/>
      </w:pPr>
      <w:r w:rsidRPr="001531CD">
        <w:t>D.</w:t>
      </w:r>
      <w:r w:rsidRPr="001531CD">
        <w:tab/>
        <w:t>The stop order may be released by the department when:</w:t>
      </w:r>
    </w:p>
    <w:p w14:paraId="11628182" w14:textId="77777777" w:rsidR="00CF626A" w:rsidRPr="001531CD" w:rsidRDefault="00CF626A">
      <w:pPr>
        <w:pStyle w:val="1"/>
      </w:pPr>
      <w:r w:rsidRPr="001531CD">
        <w:t>1.</w:t>
      </w:r>
      <w:r w:rsidRPr="001531CD">
        <w:tab/>
        <w:t>proof of compliance with this Chapter is furnished to the department if the stop order was issued because of a violation of this Chapter;</w:t>
      </w:r>
    </w:p>
    <w:p w14:paraId="0B0F2568" w14:textId="77777777" w:rsidR="00CF626A" w:rsidRPr="001531CD" w:rsidRDefault="00CF626A">
      <w:pPr>
        <w:pStyle w:val="1"/>
      </w:pPr>
      <w:r w:rsidRPr="001531CD">
        <w:t>2.</w:t>
      </w:r>
      <w:r w:rsidRPr="001531CD">
        <w:tab/>
        <w:t>the authorized representative of the department has been allowed to enter the premises where the sweet potatoes are grown or packaged and inspect those sweet potatoes or the records if the stop order was issued based on refusal to allow entry or inspection;</w:t>
      </w:r>
    </w:p>
    <w:p w14:paraId="5F1ABDB4" w14:textId="77777777" w:rsidR="00CF626A" w:rsidRPr="001531CD" w:rsidRDefault="00CF626A" w:rsidP="00BE6F49">
      <w:pPr>
        <w:pStyle w:val="1"/>
        <w:spacing w:after="80"/>
      </w:pPr>
      <w:r w:rsidRPr="001531CD">
        <w:t>3.</w:t>
      </w:r>
      <w:r w:rsidRPr="001531CD">
        <w:tab/>
        <w:t>the department determines that circumstances warrant the release of the stop order, upon such terms and conditions that the department deems necessary or proper.</w:t>
      </w:r>
    </w:p>
    <w:p w14:paraId="1FEC81B4" w14:textId="77777777" w:rsidR="00CF626A" w:rsidRPr="001531CD" w:rsidRDefault="00CF626A" w:rsidP="00BE6F49">
      <w:pPr>
        <w:pStyle w:val="A"/>
        <w:spacing w:after="80"/>
      </w:pPr>
      <w:r w:rsidRPr="001531CD">
        <w:t>E.</w:t>
      </w:r>
      <w:r w:rsidRPr="001531CD">
        <w:tab/>
        <w:t>Any person aggrieved by the issuance of a stop order by the department may request an administrative adjudicatory hearing to contest the validity of the stop order by making a written request, within five calendar days, to the department for such a hearing. Within 10 calendar days after the department receives the written request an administrative adjudicatory hearing shall be held by the department in accordance with the Administrative Procedure Act.</w:t>
      </w:r>
    </w:p>
    <w:p w14:paraId="4F388BAA" w14:textId="77777777" w:rsidR="00CF626A" w:rsidRPr="001531CD" w:rsidRDefault="00CF626A">
      <w:pPr>
        <w:pStyle w:val="AuthorityNote"/>
      </w:pPr>
      <w:r w:rsidRPr="001531CD">
        <w:t>AUTHORITY NOTE:</w:t>
      </w:r>
      <w:r w:rsidRPr="001531CD">
        <w:tab/>
        <w:t>Promulgated in accordance with R.S. 3:415.</w:t>
      </w:r>
    </w:p>
    <w:p w14:paraId="4752D837"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14:paraId="503D9F8E" w14:textId="77777777" w:rsidR="00CF626A" w:rsidRPr="001531CD" w:rsidRDefault="00CF626A" w:rsidP="00BE6F49">
      <w:pPr>
        <w:pStyle w:val="Section"/>
        <w:spacing w:after="80"/>
      </w:pPr>
      <w:bookmarkStart w:id="922" w:name="_Toc256754452"/>
      <w:bookmarkStart w:id="923" w:name="_Toc224818703"/>
      <w:r w:rsidRPr="001531CD">
        <w:t>§2115.</w:t>
      </w:r>
      <w:r w:rsidRPr="001531CD">
        <w:tab/>
        <w:t>Penalty for Violations; Injunctive Relief; Costs; Notification</w:t>
      </w:r>
      <w:bookmarkEnd w:id="922"/>
      <w:bookmarkEnd w:id="923"/>
    </w:p>
    <w:p w14:paraId="671EE1CD" w14:textId="77777777" w:rsidR="00CF626A" w:rsidRPr="001531CD" w:rsidRDefault="00CF626A" w:rsidP="00BE6F49">
      <w:pPr>
        <w:pStyle w:val="A"/>
        <w:spacing w:after="80"/>
      </w:pPr>
      <w:r w:rsidRPr="001531CD">
        <w:t>A.</w:t>
      </w:r>
      <w:r w:rsidRPr="001531CD">
        <w:tab/>
        <w:t xml:space="preserve">Whoever violates the use of the Louisiana sweet potato logo adopted pursuant to R.S. 3:415 or this Chapter may be fined not less than $25 nor more than $500 for each violation </w:t>
      </w:r>
      <w:r w:rsidRPr="001531CD">
        <w:lastRenderedPageBreak/>
        <w:t>or may have his license to use the Louisiana sweet potato logo suspended, revoked or placed on probation or both.</w:t>
      </w:r>
    </w:p>
    <w:p w14:paraId="26C95FCC" w14:textId="77777777" w:rsidR="00CF626A" w:rsidRPr="001531CD" w:rsidRDefault="00CF626A" w:rsidP="00BE6F49">
      <w:pPr>
        <w:pStyle w:val="A"/>
        <w:spacing w:after="80"/>
      </w:pPr>
      <w:r w:rsidRPr="001531CD">
        <w:t>B.</w:t>
      </w:r>
      <w:r w:rsidRPr="001531CD">
        <w:tab/>
        <w:t>Each violation of this Chapter, any stop order or other orders issued by the department or the commission in the enforcement of this Chapter and every day of a continuing violation shall be considered a separate and distinct violation chargeable under this Chapter.</w:t>
      </w:r>
    </w:p>
    <w:p w14:paraId="166CE549" w14:textId="77777777" w:rsidR="00CF626A" w:rsidRPr="001531CD" w:rsidRDefault="00CF626A" w:rsidP="00BE6F49">
      <w:pPr>
        <w:pStyle w:val="A"/>
        <w:spacing w:after="80"/>
      </w:pPr>
      <w:r w:rsidRPr="001531CD">
        <w:t>C.</w:t>
      </w:r>
      <w:r w:rsidRPr="001531CD">
        <w:tab/>
        <w:t>The commission may impose any or all of the penalties stated in §2115.A and B after an adjudicatory hearing held in accordance with the Louisiana Administrative Procedure Act. Any such adjudicatory hearing may be presided over by a hearing officer appointed by the commissioner. The commission may delegate to the Louisiana Sweet Potato Advertising and Development Commission the authority to conduct any such adjudicatory hearing, to make findings of fact and conclusions of law and to impose penalties for any violation.</w:t>
      </w:r>
    </w:p>
    <w:p w14:paraId="6AA4E2A1" w14:textId="77777777" w:rsidR="00CF626A" w:rsidRPr="001531CD" w:rsidRDefault="00CF626A" w:rsidP="00BE6F49">
      <w:pPr>
        <w:pStyle w:val="A"/>
        <w:spacing w:after="80"/>
      </w:pPr>
      <w:r w:rsidRPr="001531CD">
        <w:t>D.</w:t>
      </w:r>
      <w:r w:rsidRPr="001531CD">
        <w:tab/>
        <w:t>The commission, through the commissioner, may apply for injunctive relief restraining violations of the Louisiana sweet potato logo or violations of this Chapter or institute necessary actions for failure to pay accounts due the commission. The person condemned in any such proceeding shall be liable for the costs of court and for any additional costs incurred by the department or the commission in gathering the necessary evidence, including reasonable attorney fees and expert witness fees.</w:t>
      </w:r>
    </w:p>
    <w:p w14:paraId="529734C5" w14:textId="77777777" w:rsidR="00CF626A" w:rsidRPr="001531CD" w:rsidRDefault="00CF626A">
      <w:pPr>
        <w:pStyle w:val="A"/>
      </w:pPr>
      <w:r w:rsidRPr="001531CD">
        <w:t>E.</w:t>
      </w:r>
      <w:r w:rsidRPr="001531CD">
        <w:tab/>
        <w:t>If any Louisiana sweet potatoes inspected by the department are the subject of a stop order or if any producer's license to use the Louisiana sweet potato logo has been suspended, revoked or placed on probation then notification of such action and the reasons therefore shall be sent, by the department, to any and all appropriate public entities or agencies who may be affected by the stop order or by the suspension, revocation or probation of the producer's license.</w:t>
      </w:r>
    </w:p>
    <w:p w14:paraId="0DD05431" w14:textId="77777777" w:rsidR="00CF626A" w:rsidRPr="001531CD" w:rsidRDefault="00CF626A">
      <w:pPr>
        <w:pStyle w:val="AuthorityNote"/>
      </w:pPr>
      <w:r w:rsidRPr="001531CD">
        <w:t>AUTHORITY NOTE:</w:t>
      </w:r>
      <w:r w:rsidRPr="001531CD">
        <w:tab/>
        <w:t>Promulgated in accordance with R.S. 3:413 and 415.</w:t>
      </w:r>
    </w:p>
    <w:p w14:paraId="0C3AA17D" w14:textId="77777777" w:rsidR="00CF626A" w:rsidRPr="001531CD" w:rsidRDefault="00CF626A">
      <w:pPr>
        <w:pStyle w:val="HistoricalNote"/>
      </w:pPr>
      <w:r w:rsidRPr="001531CD">
        <w:t>HISTORICAL NOTE:</w:t>
      </w:r>
      <w:r w:rsidRPr="001531CD">
        <w:tab/>
        <w:t>Promulgated by the Department of Agriculture and Forestry, Office of Marketing, Market Commission, LR 24:1083 (June 1998).</w:t>
      </w:r>
    </w:p>
    <w:p w14:paraId="4051E90A" w14:textId="77777777" w:rsidR="005B1246" w:rsidRPr="001531CD" w:rsidRDefault="005B1246" w:rsidP="005B1246">
      <w:pPr>
        <w:pStyle w:val="Chapter"/>
      </w:pPr>
      <w:bookmarkStart w:id="924" w:name="TOC_Chap83"/>
      <w:bookmarkStart w:id="925" w:name="_Toc256754453"/>
      <w:bookmarkStart w:id="926" w:name="_Toc224818704"/>
      <w:r w:rsidRPr="001531CD">
        <w:t>Chapter 23.</w:t>
      </w:r>
      <w:bookmarkEnd w:id="924"/>
      <w:r w:rsidR="00167E2E">
        <w:tab/>
      </w:r>
      <w:bookmarkStart w:id="927" w:name="TOCT_Chap82"/>
      <w:bookmarkStart w:id="928" w:name="TOCT_Chap83"/>
      <w:r w:rsidRPr="001531CD">
        <w:t>Market Commission</w:t>
      </w:r>
      <w:r w:rsidRPr="001531CD">
        <w:rPr>
          <w:iCs/>
        </w:rPr>
        <w:t>―</w:t>
      </w:r>
      <w:r w:rsidRPr="001531CD">
        <w:t>Acquisition of Facilities</w:t>
      </w:r>
      <w:bookmarkEnd w:id="925"/>
      <w:bookmarkEnd w:id="926"/>
      <w:bookmarkEnd w:id="927"/>
      <w:bookmarkEnd w:id="928"/>
    </w:p>
    <w:p w14:paraId="2165FA0E" w14:textId="77777777" w:rsidR="005B1246" w:rsidRPr="001531CD" w:rsidRDefault="005B1246" w:rsidP="00F03863">
      <w:pPr>
        <w:pStyle w:val="Section"/>
        <w:outlineLvl w:val="0"/>
      </w:pPr>
      <w:bookmarkStart w:id="929" w:name="_Toc256754454"/>
      <w:bookmarkStart w:id="930" w:name="_Toc224818705"/>
      <w:r w:rsidRPr="001531CD">
        <w:t>§2301.</w:t>
      </w:r>
      <w:r w:rsidRPr="001531CD">
        <w:tab/>
        <w:t>Definitions</w:t>
      </w:r>
      <w:bookmarkEnd w:id="929"/>
      <w:bookmarkEnd w:id="930"/>
    </w:p>
    <w:p w14:paraId="6036A142" w14:textId="77777777" w:rsidR="005B1246" w:rsidRPr="001531CD" w:rsidRDefault="005B1246" w:rsidP="005B1246">
      <w:pPr>
        <w:pStyle w:val="A"/>
      </w:pPr>
      <w:r w:rsidRPr="001531CD">
        <w:rPr>
          <w:i/>
        </w:rPr>
        <w:t>Acquire</w:t>
      </w:r>
      <w:r w:rsidRPr="001531CD">
        <w:rPr>
          <w:iCs/>
        </w:rPr>
        <w:t>―</w:t>
      </w:r>
      <w:r w:rsidRPr="001531CD">
        <w:t>to gain possession or control of land, buildings, machinery, equipments, and other property by purchase, donation, rent, lease, sub-lease, or by any other lawful manner.</w:t>
      </w:r>
    </w:p>
    <w:p w14:paraId="2AD54755" w14:textId="77777777" w:rsidR="005B1246" w:rsidRPr="001531CD" w:rsidRDefault="005B1246" w:rsidP="005B1246">
      <w:pPr>
        <w:pStyle w:val="A"/>
      </w:pPr>
      <w:r w:rsidRPr="001531CD">
        <w:rPr>
          <w:i/>
        </w:rPr>
        <w:t>Commission</w:t>
      </w:r>
      <w:r w:rsidRPr="001531CD">
        <w:rPr>
          <w:iCs/>
        </w:rPr>
        <w:t>―</w:t>
      </w:r>
      <w:r w:rsidRPr="001531CD">
        <w:t>State Market Commission.</w:t>
      </w:r>
    </w:p>
    <w:p w14:paraId="531E4000" w14:textId="77777777" w:rsidR="005B1246" w:rsidRPr="001531CD" w:rsidRDefault="005B1246" w:rsidP="005B1246">
      <w:pPr>
        <w:pStyle w:val="A"/>
      </w:pPr>
      <w:r w:rsidRPr="001531CD">
        <w:rPr>
          <w:i/>
        </w:rPr>
        <w:t>Commissioner</w:t>
      </w:r>
      <w:r w:rsidRPr="001531CD">
        <w:rPr>
          <w:iCs/>
        </w:rPr>
        <w:t>―</w:t>
      </w:r>
      <w:r w:rsidRPr="001531CD">
        <w:t>Commissioner of Agriculture and Forestry.</w:t>
      </w:r>
    </w:p>
    <w:p w14:paraId="4A8A1BB6" w14:textId="77777777" w:rsidR="005B1246" w:rsidRPr="001531CD" w:rsidRDefault="005B1246" w:rsidP="005B1246">
      <w:pPr>
        <w:pStyle w:val="A"/>
      </w:pPr>
      <w:r w:rsidRPr="001531CD">
        <w:rPr>
          <w:i/>
        </w:rPr>
        <w:t>Department</w:t>
      </w:r>
      <w:r w:rsidRPr="001531CD">
        <w:rPr>
          <w:iCs/>
        </w:rPr>
        <w:t>―</w:t>
      </w:r>
      <w:r w:rsidRPr="001531CD">
        <w:t>Louisiana Department of Agriculture and Forestry.</w:t>
      </w:r>
    </w:p>
    <w:p w14:paraId="2F55FB8C" w14:textId="77777777" w:rsidR="005B1246" w:rsidRPr="001531CD" w:rsidRDefault="005B1246" w:rsidP="005B1246">
      <w:pPr>
        <w:pStyle w:val="A"/>
      </w:pPr>
      <w:r w:rsidRPr="001531CD">
        <w:rPr>
          <w:i/>
        </w:rPr>
        <w:t>Facility</w:t>
      </w:r>
      <w:r w:rsidRPr="001531CD">
        <w:rPr>
          <w:iCs/>
        </w:rPr>
        <w:t>―</w:t>
      </w:r>
      <w:r w:rsidRPr="001531CD">
        <w:t>land, buildings, or other structures and any combination thereof.</w:t>
      </w:r>
    </w:p>
    <w:p w14:paraId="109FE8F4" w14:textId="77777777" w:rsidR="005B1246" w:rsidRPr="001531CD" w:rsidRDefault="005B1246" w:rsidP="005B1246">
      <w:pPr>
        <w:pStyle w:val="A"/>
      </w:pPr>
      <w:r w:rsidRPr="001531CD">
        <w:rPr>
          <w:i/>
        </w:rPr>
        <w:t>Farm Product</w:t>
      </w:r>
      <w:r w:rsidRPr="001531CD">
        <w:rPr>
          <w:iCs/>
        </w:rPr>
        <w:t>―</w:t>
      </w:r>
      <w:r w:rsidRPr="001531CD">
        <w:t>any agronomic, horticultural, silvicultural, or aquacultural crop; livestock; any raw product derived from any crop or livestock; and any item produced from the further processing of the crop, livestock, or raw agricultural product.</w:t>
      </w:r>
    </w:p>
    <w:p w14:paraId="61B889DE" w14:textId="77777777" w:rsidR="005B1246" w:rsidRPr="001531CD" w:rsidRDefault="005B1246" w:rsidP="005B1246">
      <w:pPr>
        <w:pStyle w:val="A"/>
      </w:pPr>
      <w:r w:rsidRPr="001531CD">
        <w:rPr>
          <w:i/>
        </w:rPr>
        <w:t>Livestock</w:t>
      </w:r>
      <w:r w:rsidRPr="001531CD">
        <w:rPr>
          <w:iCs/>
        </w:rPr>
        <w:t>―</w:t>
      </w:r>
      <w:r w:rsidRPr="001531CD">
        <w:t>any animal except dogs and cats, bred, kept, maintained, raised, or used for profit, used in agriculture, aquaculture, or silviculture, or for other related purposes or used in the production of crops, animals, or plant or animal products for market. This definition includes but is not limited to cattle, buffalo, bison, oxen, and other bovine; horses, mules, donkeys, and other equine; goats; sheep; swine; chickens, turkeys, and other poultry; domestic rabbits; imported exotic deer and antelope, elk, farm-raised white-tailed deer, farm-raised ratites, and other farm-raised exotic animals; fish, pet turtles, and other animals identified with aquaculture which are located in artificial reservoirs or enclosures that are both on privately owned property and constructed so as to prevent, at all times, the ingress and egress of fish life from public waters; any commercial crawfish from any crawfish pond; and any hybrid, mixture, or mutation of any such animal.</w:t>
      </w:r>
    </w:p>
    <w:p w14:paraId="7F8DF072" w14:textId="77777777" w:rsidR="005B1246" w:rsidRPr="001531CD" w:rsidRDefault="005B1246" w:rsidP="005B1246">
      <w:pPr>
        <w:pStyle w:val="A"/>
      </w:pPr>
      <w:r w:rsidRPr="001531CD">
        <w:rPr>
          <w:i/>
        </w:rPr>
        <w:t>Person</w:t>
      </w:r>
      <w:r w:rsidRPr="001531CD">
        <w:rPr>
          <w:iCs/>
        </w:rPr>
        <w:t>―</w:t>
      </w:r>
      <w:r w:rsidRPr="001531CD">
        <w:t>any association, business, corporation, firm, individual, joint venture, limited liability company, partnership, and any body of persons, whether incorporated or not.</w:t>
      </w:r>
    </w:p>
    <w:p w14:paraId="034E4DB6" w14:textId="77777777" w:rsidR="005B1246" w:rsidRPr="001531CD" w:rsidRDefault="005B1246" w:rsidP="005B1246">
      <w:pPr>
        <w:pStyle w:val="A"/>
      </w:pPr>
      <w:r w:rsidRPr="001531CD">
        <w:rPr>
          <w:i/>
        </w:rPr>
        <w:t>Rent</w:t>
      </w:r>
      <w:r w:rsidRPr="001531CD">
        <w:rPr>
          <w:iCs/>
        </w:rPr>
        <w:t>―</w:t>
      </w:r>
      <w:r w:rsidRPr="001531CD">
        <w:t>an agreement or contract, including a lease or sub-lease, whereby a person acquires the right to use and occupy the machinery, equipment, or facility acquired by the commission.</w:t>
      </w:r>
    </w:p>
    <w:p w14:paraId="6E08022D" w14:textId="77777777" w:rsidR="005B1246" w:rsidRPr="001531CD" w:rsidRDefault="005B1246" w:rsidP="005B1246">
      <w:pPr>
        <w:pStyle w:val="AuthorityNote"/>
      </w:pPr>
      <w:r w:rsidRPr="001531CD">
        <w:t>AUTHORITY NOTE:</w:t>
      </w:r>
      <w:r w:rsidRPr="001531CD">
        <w:tab/>
        <w:t>Promulgated in accordance with R.S. 3:405.</w:t>
      </w:r>
    </w:p>
    <w:p w14:paraId="444867FE" w14:textId="77777777"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14:paraId="28CA5E8E" w14:textId="77777777" w:rsidR="005B1246" w:rsidRPr="001531CD" w:rsidRDefault="005B1246" w:rsidP="005B1246">
      <w:pPr>
        <w:pStyle w:val="Section"/>
      </w:pPr>
      <w:bookmarkStart w:id="931" w:name="_Toc256754455"/>
      <w:bookmarkStart w:id="932" w:name="_Toc224818706"/>
      <w:r w:rsidRPr="001531CD">
        <w:t>§2303.</w:t>
      </w:r>
      <w:r w:rsidRPr="001531CD">
        <w:tab/>
        <w:t>Criteria for Acquiring Machinery, Equipment, and Facilities</w:t>
      </w:r>
      <w:bookmarkEnd w:id="931"/>
      <w:bookmarkEnd w:id="932"/>
    </w:p>
    <w:p w14:paraId="769A3AE9" w14:textId="77777777" w:rsidR="005B1246" w:rsidRPr="001531CD" w:rsidRDefault="005B1246" w:rsidP="005B1246">
      <w:pPr>
        <w:pStyle w:val="A"/>
      </w:pPr>
      <w:r w:rsidRPr="001531CD">
        <w:t>A.</w:t>
      </w:r>
      <w:r w:rsidRPr="001531CD">
        <w:tab/>
        <w:t>The commission shall determine whether the acquisition of any machinery, equipment, or facility is necessary to aid in the proper and efficient assembling, processing, storing, grading, distributing, or marketing of farm products.</w:t>
      </w:r>
    </w:p>
    <w:p w14:paraId="15D2E7DF" w14:textId="77777777" w:rsidR="005B1246" w:rsidRPr="001531CD" w:rsidRDefault="005B1246" w:rsidP="005B1246">
      <w:pPr>
        <w:pStyle w:val="A"/>
      </w:pPr>
      <w:r w:rsidRPr="001531CD">
        <w:t>B.</w:t>
      </w:r>
      <w:r w:rsidRPr="001531CD">
        <w:tab/>
        <w:t>The commission shall also consider the following criteria in determining whether to acquire any machinery, equipment, or facility:</w:t>
      </w:r>
    </w:p>
    <w:p w14:paraId="571606CA" w14:textId="77777777" w:rsidR="005B1246" w:rsidRPr="001531CD" w:rsidRDefault="005B1246" w:rsidP="005B1246">
      <w:pPr>
        <w:pStyle w:val="1"/>
      </w:pPr>
      <w:r w:rsidRPr="001531CD">
        <w:t>1.</w:t>
      </w:r>
      <w:r w:rsidRPr="001531CD">
        <w:tab/>
        <w:t>the economic needs of the areas of the state in which the machinery, equipment, or facility will be located;</w:t>
      </w:r>
    </w:p>
    <w:p w14:paraId="030F56BE" w14:textId="77777777" w:rsidR="005B1246" w:rsidRPr="001531CD" w:rsidRDefault="005B1246" w:rsidP="005B1246">
      <w:pPr>
        <w:pStyle w:val="1"/>
      </w:pPr>
      <w:r w:rsidRPr="001531CD">
        <w:t>2.</w:t>
      </w:r>
      <w:r w:rsidRPr="001531CD">
        <w:tab/>
        <w:t>the number of jobs created or preserved in the state;</w:t>
      </w:r>
    </w:p>
    <w:p w14:paraId="7E7F64F3" w14:textId="77777777" w:rsidR="005B1246" w:rsidRPr="001531CD" w:rsidRDefault="005B1246" w:rsidP="005B1246">
      <w:pPr>
        <w:pStyle w:val="1"/>
      </w:pPr>
      <w:r w:rsidRPr="001531CD">
        <w:t>3.</w:t>
      </w:r>
      <w:r w:rsidRPr="001531CD">
        <w:tab/>
        <w:t>the amount of farm products produced in the state that will be utilized;</w:t>
      </w:r>
    </w:p>
    <w:p w14:paraId="7850CBBE" w14:textId="77777777" w:rsidR="005B1246" w:rsidRPr="001531CD" w:rsidRDefault="005B1246" w:rsidP="005B1246">
      <w:pPr>
        <w:pStyle w:val="1"/>
      </w:pPr>
      <w:r w:rsidRPr="001531CD">
        <w:t>4.</w:t>
      </w:r>
      <w:r w:rsidRPr="001531CD">
        <w:tab/>
        <w:t>the degree of diversification that the machinery, equipment, or facility will bring to the state's agricultural economy;</w:t>
      </w:r>
    </w:p>
    <w:p w14:paraId="4EA5268B" w14:textId="77777777" w:rsidR="005B1246" w:rsidRPr="001531CD" w:rsidRDefault="005B1246" w:rsidP="005B1246">
      <w:pPr>
        <w:pStyle w:val="1"/>
      </w:pPr>
      <w:r w:rsidRPr="001531CD">
        <w:lastRenderedPageBreak/>
        <w:t>5.</w:t>
      </w:r>
      <w:r w:rsidRPr="001531CD">
        <w:tab/>
        <w:t>the economic stimulus that the use of the machinery, equipment, or facility will provide to the local economy or to the state's agricultural economy as a whole.</w:t>
      </w:r>
    </w:p>
    <w:p w14:paraId="30C47957" w14:textId="77777777" w:rsidR="005B1246" w:rsidRPr="001531CD" w:rsidRDefault="005B1246" w:rsidP="005B1246">
      <w:pPr>
        <w:pStyle w:val="AuthorityNote"/>
      </w:pPr>
      <w:r w:rsidRPr="001531CD">
        <w:t>AUTHORITY NOTE:</w:t>
      </w:r>
      <w:r w:rsidRPr="001531CD">
        <w:tab/>
        <w:t>Promulgated in accordance with R.S. 3:405.</w:t>
      </w:r>
    </w:p>
    <w:p w14:paraId="7C6FC615" w14:textId="77777777"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14:paraId="670F1EC5" w14:textId="77777777" w:rsidR="005B1246" w:rsidRPr="001531CD" w:rsidRDefault="005B1246" w:rsidP="005B1246">
      <w:pPr>
        <w:pStyle w:val="Section"/>
      </w:pPr>
      <w:bookmarkStart w:id="933" w:name="_Toc256754456"/>
      <w:bookmarkStart w:id="934" w:name="_Toc224818707"/>
      <w:r w:rsidRPr="001531CD">
        <w:t>§2305.</w:t>
      </w:r>
      <w:r w:rsidRPr="001531CD">
        <w:tab/>
        <w:t>Persons Eligible to Use, Rent, or Purchase Acquired Machinery, Equipment, or Facility</w:t>
      </w:r>
      <w:bookmarkEnd w:id="933"/>
      <w:bookmarkEnd w:id="934"/>
    </w:p>
    <w:p w14:paraId="4A1C513E" w14:textId="77777777" w:rsidR="005B1246" w:rsidRPr="001531CD" w:rsidRDefault="005B1246" w:rsidP="005B1246">
      <w:pPr>
        <w:pStyle w:val="A"/>
      </w:pPr>
      <w:r w:rsidRPr="001531CD">
        <w:t>A.</w:t>
      </w:r>
      <w:r w:rsidRPr="001531CD">
        <w:tab/>
        <w:t>Any person who meets the criteria in this Section is eligible to apply to rent or purchase machinery, equipment, or facilities acquired by the commission.</w:t>
      </w:r>
    </w:p>
    <w:p w14:paraId="3B65A405" w14:textId="77777777" w:rsidR="005B1246" w:rsidRPr="001531CD" w:rsidRDefault="005B1246" w:rsidP="005B1246">
      <w:pPr>
        <w:pStyle w:val="A"/>
      </w:pPr>
      <w:r w:rsidRPr="001531CD">
        <w:t>B.</w:t>
      </w:r>
      <w:r w:rsidRPr="001531CD">
        <w:tab/>
        <w:t>The criteria for eligibility are as follows:</w:t>
      </w:r>
    </w:p>
    <w:p w14:paraId="45522E41" w14:textId="77777777" w:rsidR="005B1246" w:rsidRPr="001531CD" w:rsidRDefault="005B1246" w:rsidP="005B1246">
      <w:pPr>
        <w:pStyle w:val="1"/>
      </w:pPr>
      <w:r w:rsidRPr="001531CD">
        <w:t>1.</w:t>
      </w:r>
      <w:r w:rsidRPr="001531CD">
        <w:tab/>
        <w:t>be authorized to do business in this state;</w:t>
      </w:r>
    </w:p>
    <w:p w14:paraId="7CC556AA" w14:textId="77777777" w:rsidR="005B1246" w:rsidRPr="001531CD" w:rsidRDefault="005B1246" w:rsidP="005B1246">
      <w:pPr>
        <w:pStyle w:val="1"/>
      </w:pPr>
      <w:r w:rsidRPr="001531CD">
        <w:t>2.</w:t>
      </w:r>
      <w:r w:rsidRPr="001531CD">
        <w:tab/>
        <w:t>maintain or agree to maintain an operating facility in this state;</w:t>
      </w:r>
    </w:p>
    <w:p w14:paraId="399ABCE8" w14:textId="77777777" w:rsidR="005B1246" w:rsidRPr="001531CD" w:rsidRDefault="005B1246" w:rsidP="005B1246">
      <w:pPr>
        <w:pStyle w:val="1"/>
      </w:pPr>
      <w:r w:rsidRPr="001531CD">
        <w:t>3.</w:t>
      </w:r>
      <w:r w:rsidRPr="001531CD">
        <w:tab/>
        <w:t>employ at least 20 full time employees or the equivalent thereof;</w:t>
      </w:r>
    </w:p>
    <w:p w14:paraId="004DE195" w14:textId="77777777" w:rsidR="005B1246" w:rsidRPr="001531CD" w:rsidRDefault="005B1246" w:rsidP="005B1246">
      <w:pPr>
        <w:pStyle w:val="1"/>
      </w:pPr>
      <w:r w:rsidRPr="001531CD">
        <w:t>4.</w:t>
      </w:r>
      <w:r w:rsidRPr="001531CD">
        <w:tab/>
        <w:t>be engaged in the assembling, processing, storing, grading, distributing, or marketing of farm products of this state;</w:t>
      </w:r>
    </w:p>
    <w:p w14:paraId="46D3C7AD" w14:textId="77777777" w:rsidR="005B1246" w:rsidRPr="001531CD" w:rsidRDefault="005B1246" w:rsidP="005B1246">
      <w:pPr>
        <w:pStyle w:val="1"/>
      </w:pPr>
      <w:r w:rsidRPr="001531CD">
        <w:t>5.</w:t>
      </w:r>
      <w:r w:rsidRPr="001531CD">
        <w:tab/>
        <w:t>have, or be able to obtain, financial resources including operating capital sufficient to show an ability to operate under normal condition for a period of at least one year;</w:t>
      </w:r>
    </w:p>
    <w:p w14:paraId="45A01AAE" w14:textId="77777777" w:rsidR="005B1246" w:rsidRPr="001531CD" w:rsidRDefault="005B1246" w:rsidP="005B1246">
      <w:pPr>
        <w:pStyle w:val="1"/>
      </w:pPr>
      <w:r w:rsidRPr="001531CD">
        <w:t>6.</w:t>
      </w:r>
      <w:r w:rsidRPr="001531CD">
        <w:tab/>
        <w:t>be able to provide the commission with a first mortgage, primary lien, or other first or primary security for the rent or purchase of the machinery, equipment or facility.</w:t>
      </w:r>
    </w:p>
    <w:p w14:paraId="2A2C5D7A" w14:textId="77777777" w:rsidR="005B1246" w:rsidRPr="001531CD" w:rsidRDefault="005B1246" w:rsidP="005B1246">
      <w:pPr>
        <w:pStyle w:val="AuthorityNote"/>
      </w:pPr>
      <w:r w:rsidRPr="001531CD">
        <w:t>AUTHORITY NOTE:</w:t>
      </w:r>
      <w:r w:rsidRPr="001531CD">
        <w:tab/>
        <w:t xml:space="preserve">Promulgated in accordance with R.S. 3:405. </w:t>
      </w:r>
    </w:p>
    <w:p w14:paraId="030AEA1D" w14:textId="77777777"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14:paraId="54C41760" w14:textId="77777777" w:rsidR="005B1246" w:rsidRPr="001531CD" w:rsidRDefault="005B1246" w:rsidP="005B1246">
      <w:pPr>
        <w:pStyle w:val="Section"/>
      </w:pPr>
      <w:bookmarkStart w:id="935" w:name="_Toc256754457"/>
      <w:bookmarkStart w:id="936" w:name="_Toc224818708"/>
      <w:r w:rsidRPr="001531CD">
        <w:t>§2307.</w:t>
      </w:r>
      <w:r w:rsidRPr="001531CD">
        <w:tab/>
        <w:t>Contents of Application</w:t>
      </w:r>
      <w:bookmarkEnd w:id="935"/>
      <w:bookmarkEnd w:id="936"/>
    </w:p>
    <w:p w14:paraId="01C1AA9A" w14:textId="77777777" w:rsidR="005B1246" w:rsidRPr="001531CD" w:rsidRDefault="005B1246" w:rsidP="001F1889">
      <w:pPr>
        <w:pStyle w:val="A"/>
        <w:spacing w:after="80"/>
      </w:pPr>
      <w:r w:rsidRPr="001531CD">
        <w:t>A.</w:t>
      </w:r>
      <w:r w:rsidRPr="001531CD">
        <w:tab/>
        <w:t>Every applicant seeking to rent or purchase machinery, equipment or a facility from the commission shall submit the following information to the commission:</w:t>
      </w:r>
    </w:p>
    <w:p w14:paraId="7DBA8F90" w14:textId="77777777" w:rsidR="005B1246" w:rsidRPr="001531CD" w:rsidRDefault="005B1246" w:rsidP="001F1889">
      <w:pPr>
        <w:pStyle w:val="1"/>
        <w:spacing w:after="80"/>
      </w:pPr>
      <w:r w:rsidRPr="001531CD">
        <w:t>1.</w:t>
      </w:r>
      <w:r w:rsidRPr="001531CD">
        <w:tab/>
        <w:t>name and address of applicant including all principals by name and address;</w:t>
      </w:r>
    </w:p>
    <w:p w14:paraId="79227B4D" w14:textId="77777777" w:rsidR="005B1246" w:rsidRPr="001531CD" w:rsidRDefault="005B1246" w:rsidP="001F1889">
      <w:pPr>
        <w:pStyle w:val="1"/>
        <w:spacing w:after="80"/>
      </w:pPr>
      <w:r w:rsidRPr="001531CD">
        <w:t>2.</w:t>
      </w:r>
      <w:r w:rsidRPr="001531CD">
        <w:tab/>
        <w:t>a statement of the nature and amount of the interest held by each principal;</w:t>
      </w:r>
    </w:p>
    <w:p w14:paraId="3AE130C9" w14:textId="77777777" w:rsidR="005B1246" w:rsidRPr="001531CD" w:rsidRDefault="005B1246" w:rsidP="001F1889">
      <w:pPr>
        <w:pStyle w:val="1"/>
        <w:spacing w:after="80"/>
      </w:pPr>
      <w:r w:rsidRPr="001531CD">
        <w:t>3.</w:t>
      </w:r>
      <w:r w:rsidRPr="001531CD">
        <w:tab/>
        <w:t>sworn statement of the relationship, if any, of any of the principals with any state official and/or with any employee of the Department of Agriculture and Forestry;</w:t>
      </w:r>
    </w:p>
    <w:p w14:paraId="6C195394" w14:textId="77777777" w:rsidR="005B1246" w:rsidRPr="001531CD" w:rsidRDefault="005B1246" w:rsidP="001F1889">
      <w:pPr>
        <w:pStyle w:val="1"/>
        <w:spacing w:after="80"/>
      </w:pPr>
      <w:r w:rsidRPr="001531CD">
        <w:t>4.</w:t>
      </w:r>
      <w:r w:rsidRPr="001531CD">
        <w:tab/>
        <w:t>location and legal description of all property to be offered as security;</w:t>
      </w:r>
    </w:p>
    <w:p w14:paraId="22A83653" w14:textId="77777777" w:rsidR="005B1246" w:rsidRPr="001531CD" w:rsidRDefault="005B1246" w:rsidP="001F1889">
      <w:pPr>
        <w:pStyle w:val="1"/>
        <w:spacing w:after="80"/>
      </w:pPr>
      <w:r w:rsidRPr="001531CD">
        <w:t>5.</w:t>
      </w:r>
      <w:r w:rsidRPr="001531CD">
        <w:tab/>
        <w:t>personal financial statements of every principal of the applicant unless the commission's staff finds that the applicant is a publicly traded company or other business enterprise whose financial statements are sufficient to show the solvency of the applicant;</w:t>
      </w:r>
    </w:p>
    <w:p w14:paraId="2A38D4D0" w14:textId="77777777" w:rsidR="005B1246" w:rsidRPr="001531CD" w:rsidRDefault="005B1246" w:rsidP="001F1889">
      <w:pPr>
        <w:pStyle w:val="1"/>
        <w:spacing w:after="80"/>
      </w:pPr>
      <w:r w:rsidRPr="001531CD">
        <w:t>6.</w:t>
      </w:r>
      <w:r w:rsidRPr="001531CD">
        <w:tab/>
        <w:t>an appraisal by a qualified appraiser of the property being offered as security or information sufficient to show the approximate value of the property;</w:t>
      </w:r>
    </w:p>
    <w:p w14:paraId="6148EE0D" w14:textId="77777777" w:rsidR="005B1246" w:rsidRPr="001531CD" w:rsidRDefault="005B1246" w:rsidP="001F1889">
      <w:pPr>
        <w:pStyle w:val="1"/>
        <w:spacing w:after="80"/>
      </w:pPr>
      <w:r w:rsidRPr="001531CD">
        <w:t>7.</w:t>
      </w:r>
      <w:r w:rsidRPr="001531CD">
        <w:tab/>
        <w:t>a listing of all equipment and furnishings, both movable and immovable by destination, with the expected life of the equipment and furnishings, if equipment and furnishings will be offered as part of the security;</w:t>
      </w:r>
    </w:p>
    <w:p w14:paraId="45E1554B" w14:textId="77777777" w:rsidR="005B1246" w:rsidRPr="001531CD" w:rsidRDefault="005B1246" w:rsidP="001F1889">
      <w:pPr>
        <w:pStyle w:val="1"/>
        <w:spacing w:after="80"/>
      </w:pPr>
      <w:r w:rsidRPr="001531CD">
        <w:t>8.</w:t>
      </w:r>
      <w:r w:rsidRPr="001531CD">
        <w:tab/>
        <w:t>evidence of satisfactory interim and long term financing, where applicable;</w:t>
      </w:r>
    </w:p>
    <w:p w14:paraId="7091FFA6" w14:textId="77777777" w:rsidR="005B1246" w:rsidRPr="001531CD" w:rsidRDefault="005B1246" w:rsidP="001F1889">
      <w:pPr>
        <w:pStyle w:val="1"/>
        <w:spacing w:after="80"/>
      </w:pPr>
      <w:r w:rsidRPr="001531CD">
        <w:t>9.</w:t>
      </w:r>
      <w:r w:rsidRPr="001531CD">
        <w:tab/>
        <w:t>a business plan/feasibility sturdy for the proposed enterprise which includes a three year projected cash flow statement, together with an explanation of how the enterprise meets the criteria set out in 2303.B and 2305.B;</w:t>
      </w:r>
    </w:p>
    <w:p w14:paraId="2C09889B" w14:textId="77777777" w:rsidR="005B1246" w:rsidRPr="001531CD" w:rsidRDefault="005B1246" w:rsidP="001F1889">
      <w:pPr>
        <w:pStyle w:val="1"/>
        <w:spacing w:after="80"/>
      </w:pPr>
      <w:r w:rsidRPr="001531CD">
        <w:t>10.</w:t>
      </w:r>
      <w:r w:rsidRPr="001531CD">
        <w:tab/>
        <w:t>written authorization for the commission or its staff to perform any credit check(s) which the commission or staff may deem advisable;</w:t>
      </w:r>
    </w:p>
    <w:p w14:paraId="04CA5B2F" w14:textId="77777777" w:rsidR="005B1246" w:rsidRPr="001531CD" w:rsidRDefault="005B1246" w:rsidP="001F1889">
      <w:pPr>
        <w:pStyle w:val="1"/>
        <w:spacing w:after="80"/>
      </w:pPr>
      <w:r w:rsidRPr="001531CD">
        <w:t>11.</w:t>
      </w:r>
      <w:r w:rsidRPr="001531CD">
        <w:tab/>
        <w:t>a designation by the applicant, if any, of what records, writings, accounts, or other documents and information that pertain to the business of the applicant and are in their nature confidential;</w:t>
      </w:r>
    </w:p>
    <w:p w14:paraId="6218C861" w14:textId="77777777" w:rsidR="005B1246" w:rsidRPr="001531CD" w:rsidRDefault="005B1246" w:rsidP="001F1889">
      <w:pPr>
        <w:pStyle w:val="1"/>
        <w:spacing w:after="80"/>
      </w:pPr>
      <w:r w:rsidRPr="001531CD">
        <w:t>12.</w:t>
      </w:r>
      <w:r w:rsidRPr="001531CD">
        <w:tab/>
        <w:t>any other documentation or information the commission or its staff deems necessary for a determination as to whether to approve or deny the application.</w:t>
      </w:r>
    </w:p>
    <w:p w14:paraId="6BCC14D1" w14:textId="77777777" w:rsidR="005B1246" w:rsidRPr="001531CD" w:rsidRDefault="005B1246" w:rsidP="005B1246">
      <w:pPr>
        <w:pStyle w:val="AuthorityNote"/>
      </w:pPr>
      <w:r w:rsidRPr="001531CD">
        <w:t>AUTHORITY NOTE:</w:t>
      </w:r>
      <w:r w:rsidRPr="001531CD">
        <w:tab/>
        <w:t xml:space="preserve">Promulgated in accordance with R.S. 3:405. </w:t>
      </w:r>
    </w:p>
    <w:p w14:paraId="0F477F21" w14:textId="77777777" w:rsidR="005B1246" w:rsidRPr="001531CD" w:rsidRDefault="005B1246" w:rsidP="005B1246">
      <w:pPr>
        <w:pStyle w:val="HistoricalNote"/>
      </w:pPr>
      <w:r w:rsidRPr="001531CD">
        <w:t>HISTORICAL NOTE:</w:t>
      </w:r>
      <w:r w:rsidRPr="001531CD">
        <w:tab/>
        <w:t>Promulgated by the Department of Agriculture and Forestry, State Market Commission, LR 33:423 (March 2007).</w:t>
      </w:r>
    </w:p>
    <w:p w14:paraId="44E4C95D" w14:textId="77777777" w:rsidR="005B1246" w:rsidRPr="001531CD" w:rsidRDefault="005B1246" w:rsidP="005B1246">
      <w:pPr>
        <w:pStyle w:val="Section"/>
      </w:pPr>
      <w:bookmarkStart w:id="937" w:name="_Toc256754458"/>
      <w:bookmarkStart w:id="938" w:name="_Toc224818709"/>
      <w:r w:rsidRPr="001531CD">
        <w:t>§2309.</w:t>
      </w:r>
      <w:r w:rsidRPr="001531CD">
        <w:tab/>
        <w:t>Approval of Application</w:t>
      </w:r>
      <w:bookmarkEnd w:id="937"/>
      <w:bookmarkEnd w:id="938"/>
    </w:p>
    <w:p w14:paraId="180DCD5A" w14:textId="77777777" w:rsidR="005B1246" w:rsidRPr="001531CD" w:rsidRDefault="005B1246" w:rsidP="005B1246">
      <w:pPr>
        <w:pStyle w:val="A"/>
      </w:pPr>
      <w:r w:rsidRPr="001531CD">
        <w:t>A.</w:t>
      </w:r>
      <w:r w:rsidRPr="001531CD">
        <w:tab/>
        <w:t>The applicant must provide all required information at least 10 working days prior to the meeting at which the applications will be considered, unless partial submission is allowed by the commission's staff or by the commission.</w:t>
      </w:r>
    </w:p>
    <w:p w14:paraId="648BC3FE" w14:textId="77777777" w:rsidR="005B1246" w:rsidRPr="001531CD" w:rsidRDefault="005B1246" w:rsidP="005B1246">
      <w:pPr>
        <w:pStyle w:val="A"/>
      </w:pPr>
      <w:r w:rsidRPr="001531CD">
        <w:t>B.</w:t>
      </w:r>
      <w:r w:rsidRPr="001531CD">
        <w:tab/>
        <w:t>The applicant or its representative must appear in person at the meeting at which the applications will be considered.</w:t>
      </w:r>
    </w:p>
    <w:p w14:paraId="60EAE05B" w14:textId="77777777" w:rsidR="005B1246" w:rsidRPr="001531CD" w:rsidRDefault="005B1246" w:rsidP="005B1246">
      <w:pPr>
        <w:pStyle w:val="A"/>
      </w:pPr>
      <w:r w:rsidRPr="001531CD">
        <w:t>C.</w:t>
      </w:r>
      <w:r w:rsidRPr="001531CD">
        <w:tab/>
        <w:t>The commission may approve an application even if all the criteria set out in this Chapter have not been met by an applicant if the commission determines that under the circumstances the applicant's rent or purchase of the machinery, equipment, or facility is necessary to aid in the proper and efficient assembling, processing, storing, grading, distributing, or marketing of farm products of the state. The commission may refuse to approve an application even if all the criteria set out in this Chapter have been met by an applicant if the commission determines that under the circumstances the applicant's rent or purchase of the machinery, equipment, or facility is not necessary to aid in the proper and efficient assembling, processing, storing, grading, distributing, or marketing of farm products of the state.</w:t>
      </w:r>
    </w:p>
    <w:p w14:paraId="2DADF148" w14:textId="77777777" w:rsidR="005B1246" w:rsidRPr="001531CD" w:rsidRDefault="005B1246" w:rsidP="005B1246">
      <w:pPr>
        <w:pStyle w:val="A"/>
      </w:pPr>
      <w:r w:rsidRPr="001531CD">
        <w:t>D.</w:t>
      </w:r>
      <w:r w:rsidRPr="001531CD">
        <w:tab/>
        <w:t>If there is more than one applicant for the rent or purchase of machinery, equipment, or facilities acquired by the commission then the commission maintains the discretion to decide which, if any, applicant will be approved.</w:t>
      </w:r>
    </w:p>
    <w:p w14:paraId="050E120E" w14:textId="77777777" w:rsidR="005B1246" w:rsidRPr="001531CD" w:rsidRDefault="005B1246" w:rsidP="005B1246">
      <w:pPr>
        <w:pStyle w:val="A"/>
      </w:pPr>
      <w:r w:rsidRPr="001531CD">
        <w:lastRenderedPageBreak/>
        <w:t>E.</w:t>
      </w:r>
      <w:r w:rsidRPr="001531CD">
        <w:tab/>
        <w:t>The commission may establish terms and provisions to be included in any written rental or purchase agreement or act of sale in addition to the terms and provisions submitted to the commission, or authorize the commissioner or the commission's staff to negotiate additional terms and conditions within the parameters established by the commission.</w:t>
      </w:r>
    </w:p>
    <w:p w14:paraId="07D74DB9" w14:textId="77777777" w:rsidR="005B1246" w:rsidRPr="001531CD" w:rsidRDefault="005B1246" w:rsidP="005B1246">
      <w:pPr>
        <w:pStyle w:val="AuthorityNote"/>
      </w:pPr>
      <w:r w:rsidRPr="001531CD">
        <w:t>AUTHORITY NOTE:</w:t>
      </w:r>
      <w:r w:rsidRPr="001531CD">
        <w:tab/>
        <w:t xml:space="preserve">Promulgated in accordance with R.S. 3:405. </w:t>
      </w:r>
    </w:p>
    <w:p w14:paraId="69CD733E" w14:textId="77777777" w:rsidR="005B1246" w:rsidRPr="001531CD" w:rsidRDefault="005B1246" w:rsidP="005B1246">
      <w:pPr>
        <w:pStyle w:val="HistoricalNote"/>
      </w:pPr>
      <w:r w:rsidRPr="001531CD">
        <w:t>HISTORICAL NOTE:</w:t>
      </w:r>
      <w:r w:rsidRPr="001531CD">
        <w:tab/>
        <w:t>Promulgated by the Department of Agriculture and Forestry, State Market Commission, LR 33:423 (March 2007).</w:t>
      </w:r>
    </w:p>
    <w:p w14:paraId="09CB04D7" w14:textId="77777777" w:rsidR="00EC5E1D" w:rsidRPr="001531CD" w:rsidRDefault="00EC5E1D" w:rsidP="00EC5E1D">
      <w:pPr>
        <w:pStyle w:val="Chapter"/>
      </w:pPr>
      <w:bookmarkStart w:id="939" w:name="TOC_Chap85"/>
      <w:bookmarkStart w:id="940" w:name="_Toc256754459"/>
      <w:bookmarkStart w:id="941" w:name="_Toc224818710"/>
      <w:r w:rsidRPr="001531CD">
        <w:t>Chapter 25.</w:t>
      </w:r>
      <w:bookmarkEnd w:id="939"/>
      <w:r w:rsidR="00167E2E">
        <w:tab/>
      </w:r>
      <w:bookmarkStart w:id="942" w:name="TOCT_Chap85"/>
      <w:r w:rsidRPr="001531CD">
        <w:t>Louisiana Crawfish Promotion and Research Program</w:t>
      </w:r>
      <w:bookmarkEnd w:id="940"/>
      <w:bookmarkEnd w:id="941"/>
      <w:bookmarkEnd w:id="942"/>
    </w:p>
    <w:p w14:paraId="4C85747C" w14:textId="77777777" w:rsidR="00EC5E1D" w:rsidRPr="001531CD" w:rsidRDefault="00EC5E1D" w:rsidP="00EC5E1D">
      <w:pPr>
        <w:pStyle w:val="Section"/>
      </w:pPr>
      <w:bookmarkStart w:id="943" w:name="_Toc256754460"/>
      <w:bookmarkStart w:id="944" w:name="_Toc224818711"/>
      <w:r w:rsidRPr="001531CD">
        <w:t>§2501.</w:t>
      </w:r>
      <w:r w:rsidRPr="001531CD">
        <w:tab/>
        <w:t>Administration of the Crawfish Promotion and Research Board</w:t>
      </w:r>
      <w:bookmarkEnd w:id="943"/>
      <w:bookmarkEnd w:id="944"/>
    </w:p>
    <w:p w14:paraId="36D2A4B8" w14:textId="77777777" w:rsidR="00EC5E1D" w:rsidRPr="001531CD" w:rsidRDefault="00EC5E1D" w:rsidP="00EC5E1D">
      <w:pPr>
        <w:pStyle w:val="A"/>
      </w:pPr>
      <w:r w:rsidRPr="001531CD">
        <w:t>A.</w:t>
      </w:r>
      <w:r w:rsidRPr="001531CD">
        <w:tab/>
        <w:t>The officers of the board shall be the chairman, vice-chairman, and secretary treasurer.</w:t>
      </w:r>
    </w:p>
    <w:p w14:paraId="4A06015B" w14:textId="77777777" w:rsidR="00EC5E1D" w:rsidRPr="001531CD" w:rsidRDefault="00EC5E1D" w:rsidP="00EC5E1D">
      <w:pPr>
        <w:pStyle w:val="A"/>
      </w:pPr>
      <w:r w:rsidRPr="001531CD">
        <w:t>B.</w:t>
      </w:r>
      <w:r w:rsidRPr="001531CD">
        <w:tab/>
        <w:t>The officers shall be elected at the board's regular meeting in the first quarter of each year.</w:t>
      </w:r>
    </w:p>
    <w:p w14:paraId="636EEA15" w14:textId="77777777" w:rsidR="00EC5E1D" w:rsidRPr="001531CD" w:rsidRDefault="00EC5E1D" w:rsidP="00EC5E1D">
      <w:pPr>
        <w:pStyle w:val="A"/>
      </w:pPr>
      <w:r w:rsidRPr="001531CD">
        <w:t>C.</w:t>
      </w:r>
      <w:r w:rsidRPr="001531CD">
        <w:tab/>
        <w:t>In the absence of the chairman at any meeting of the board, the vice-chairman shall preside.</w:t>
      </w:r>
    </w:p>
    <w:p w14:paraId="3117024B" w14:textId="77777777" w:rsidR="00EC5E1D" w:rsidRPr="001531CD" w:rsidRDefault="00EC5E1D" w:rsidP="00EC5E1D">
      <w:pPr>
        <w:pStyle w:val="A"/>
      </w:pPr>
      <w:r w:rsidRPr="001531CD">
        <w:t>D.</w:t>
      </w:r>
      <w:r w:rsidRPr="001531CD">
        <w:tab/>
        <w:t>Members shall not receive a per diem for attending a meeting, but shall receive a mileage allowance equal to the mileage rate for state employees.</w:t>
      </w:r>
    </w:p>
    <w:p w14:paraId="5ABFC8D7" w14:textId="77777777" w:rsidR="00EC5E1D" w:rsidRPr="001531CD" w:rsidRDefault="00EC5E1D" w:rsidP="00EC5E1D">
      <w:pPr>
        <w:pStyle w:val="A"/>
      </w:pPr>
      <w:r w:rsidRPr="001531CD">
        <w:t>E.</w:t>
      </w:r>
      <w:r w:rsidRPr="001531CD">
        <w:tab/>
        <w:t>Meeting of the board shall normally be held at the place of its domicile, but may be held at other locations within the state as determined by the chairman or the board.</w:t>
      </w:r>
    </w:p>
    <w:p w14:paraId="0A88D8E5" w14:textId="77777777" w:rsidR="00EC5E1D" w:rsidRPr="001531CD" w:rsidRDefault="00EC5E1D" w:rsidP="00EC5E1D">
      <w:pPr>
        <w:pStyle w:val="A"/>
      </w:pPr>
      <w:r w:rsidRPr="001531CD">
        <w:t>F.</w:t>
      </w:r>
      <w:r w:rsidRPr="001531CD">
        <w:tab/>
        <w:t>An affirmative vote of a majority of the members present and constituting a quorum shall be required for the adoption of any motion or resolution involving the disbursement or withdrawal of funds or the granting of any contract or grant.</w:t>
      </w:r>
    </w:p>
    <w:p w14:paraId="3EF5752D" w14:textId="77777777" w:rsidR="00EC5E1D" w:rsidRPr="001531CD" w:rsidRDefault="00EC5E1D" w:rsidP="00EC5E1D">
      <w:pPr>
        <w:pStyle w:val="AuthorityNote"/>
      </w:pPr>
      <w:r w:rsidRPr="001531CD">
        <w:t>AUTHORITY NOTE:</w:t>
      </w:r>
      <w:r w:rsidRPr="001531CD">
        <w:tab/>
        <w:t>Promulgated in accordance with R.S. 3:556.5.</w:t>
      </w:r>
    </w:p>
    <w:p w14:paraId="699D0AB9" w14:textId="77777777" w:rsidR="00EC5E1D" w:rsidRPr="001531CD" w:rsidRDefault="00EC5E1D" w:rsidP="00EC5E1D">
      <w:pPr>
        <w:pStyle w:val="HistoricalNote"/>
      </w:pPr>
      <w:r w:rsidRPr="001531CD">
        <w:t>HISTORICAL NOTE:</w:t>
      </w:r>
      <w:r w:rsidRPr="001531CD">
        <w:tab/>
        <w:t>Promulgated by the Department of Agriculture and Forestry, Crawfish Promotion and Research Board, LR 35:406 (March 2009).</w:t>
      </w:r>
    </w:p>
    <w:p w14:paraId="48B15112" w14:textId="77777777" w:rsidR="00EC5E1D" w:rsidRPr="001531CD" w:rsidRDefault="00EC5E1D" w:rsidP="001F1889">
      <w:pPr>
        <w:pStyle w:val="Section"/>
      </w:pPr>
      <w:bookmarkStart w:id="945" w:name="_Toc256754461"/>
      <w:bookmarkStart w:id="946" w:name="_Toc224818712"/>
      <w:r w:rsidRPr="001531CD">
        <w:t>§2503.</w:t>
      </w:r>
      <w:r w:rsidRPr="001531CD">
        <w:tab/>
        <w:t>Disbursement and Withdrawal of Funds</w:t>
      </w:r>
      <w:bookmarkEnd w:id="945"/>
      <w:bookmarkEnd w:id="946"/>
    </w:p>
    <w:p w14:paraId="557FEEAA" w14:textId="77777777" w:rsidR="00EC5E1D" w:rsidRPr="001531CD" w:rsidRDefault="00EC5E1D" w:rsidP="001F1889">
      <w:pPr>
        <w:pStyle w:val="A"/>
        <w:spacing w:after="80"/>
      </w:pPr>
      <w:r w:rsidRPr="001531CD">
        <w:t>A.</w:t>
      </w:r>
      <w:r w:rsidRPr="001531CD">
        <w:tab/>
        <w:t>Disposition of Funds. The proceeds of assessments delivered by the department to the board shall be deposited in a special account which shall be designated as the Louisiana Crawfish Promotion and Research Board account.</w:t>
      </w:r>
    </w:p>
    <w:p w14:paraId="27F3C268" w14:textId="77777777" w:rsidR="00EC5E1D" w:rsidRPr="001531CD" w:rsidRDefault="00EC5E1D" w:rsidP="001F1889">
      <w:pPr>
        <w:pStyle w:val="A"/>
        <w:spacing w:after="80"/>
      </w:pPr>
      <w:r w:rsidRPr="001531CD">
        <w:t>B.</w:t>
      </w:r>
      <w:r w:rsidRPr="001531CD">
        <w:tab/>
        <w:t>Funds that are in the account shall be authorized by the board to be used only for the purposes stated in R.S. 3:556.12.</w:t>
      </w:r>
    </w:p>
    <w:p w14:paraId="4D75D0AB" w14:textId="77777777" w:rsidR="00EC5E1D" w:rsidRPr="001531CD" w:rsidRDefault="00EC5E1D" w:rsidP="00EC5E1D">
      <w:pPr>
        <w:pStyle w:val="A"/>
      </w:pPr>
      <w:r w:rsidRPr="001531CD">
        <w:t>C.</w:t>
      </w:r>
      <w:r w:rsidRPr="001531CD">
        <w:tab/>
        <w:t>Withdrawals from the Louisiana Crawfish Promotion and Research Board account shall be made by check, signed by any two of the following officers, the chairman, the vice-chairman, or the secretary-treasurer.</w:t>
      </w:r>
    </w:p>
    <w:p w14:paraId="3BD31580" w14:textId="77777777" w:rsidR="00EC5E1D" w:rsidRPr="001531CD" w:rsidRDefault="00EC5E1D" w:rsidP="00EC5E1D">
      <w:pPr>
        <w:pStyle w:val="AuthorityNote"/>
      </w:pPr>
      <w:r w:rsidRPr="001531CD">
        <w:t>AUTHORITY NOTE:</w:t>
      </w:r>
      <w:r w:rsidRPr="001531CD">
        <w:tab/>
        <w:t>Promulgated in accordance with R.S. 3:556.5.</w:t>
      </w:r>
    </w:p>
    <w:p w14:paraId="2BECA020" w14:textId="77777777" w:rsidR="00EC5E1D" w:rsidRPr="001531CD" w:rsidRDefault="00EC5E1D" w:rsidP="00EC5E1D">
      <w:pPr>
        <w:pStyle w:val="HistoricalNote"/>
      </w:pPr>
      <w:r w:rsidRPr="001531CD">
        <w:t>HISTORICAL NOTE:</w:t>
      </w:r>
      <w:r w:rsidRPr="001531CD">
        <w:tab/>
        <w:t>Promulgated by the Department of Agriculture and Forestry, Crawfish Promotion and Research Board, LR 35:</w:t>
      </w:r>
      <w:r w:rsidR="006314C2" w:rsidRPr="001531CD">
        <w:t>4</w:t>
      </w:r>
      <w:r w:rsidRPr="001531CD">
        <w:t>0</w:t>
      </w:r>
      <w:r w:rsidR="006314C2" w:rsidRPr="001531CD">
        <w:t>7</w:t>
      </w:r>
      <w:r w:rsidRPr="001531CD">
        <w:t xml:space="preserve"> (March 2009).</w:t>
      </w:r>
    </w:p>
    <w:p w14:paraId="2FC7B030" w14:textId="77777777" w:rsidR="00EC5E1D" w:rsidRPr="001531CD" w:rsidRDefault="00EC5E1D" w:rsidP="00EC5E1D">
      <w:pPr>
        <w:pStyle w:val="Section"/>
      </w:pPr>
      <w:bookmarkStart w:id="947" w:name="_Toc256754462"/>
      <w:bookmarkStart w:id="948" w:name="_Toc224818713"/>
      <w:r w:rsidRPr="001531CD">
        <w:t>§2505.</w:t>
      </w:r>
      <w:r w:rsidRPr="001531CD">
        <w:tab/>
        <w:t>Contracts and Grants</w:t>
      </w:r>
      <w:bookmarkEnd w:id="947"/>
      <w:bookmarkEnd w:id="948"/>
    </w:p>
    <w:p w14:paraId="1ABEDCA2" w14:textId="77777777" w:rsidR="00EC5E1D" w:rsidRPr="001531CD" w:rsidRDefault="00EC5E1D" w:rsidP="00EC5E1D">
      <w:pPr>
        <w:pStyle w:val="A"/>
      </w:pPr>
      <w:r w:rsidRPr="001531CD">
        <w:t>A.</w:t>
      </w:r>
      <w:r w:rsidRPr="001531CD">
        <w:tab/>
        <w:t>The award of contracts and grants shall be made by the board in accordance with state law.</w:t>
      </w:r>
    </w:p>
    <w:p w14:paraId="2722F95C" w14:textId="77777777" w:rsidR="00EC5E1D" w:rsidRPr="001531CD" w:rsidRDefault="00EC5E1D" w:rsidP="00EC5E1D">
      <w:pPr>
        <w:pStyle w:val="AuthorityNote"/>
      </w:pPr>
      <w:r w:rsidRPr="001531CD">
        <w:t>AUTHORITY NOTE:</w:t>
      </w:r>
      <w:r w:rsidRPr="001531CD">
        <w:tab/>
        <w:t>Promulgated in accordance with R.S. 3:556.5.</w:t>
      </w:r>
    </w:p>
    <w:p w14:paraId="03C51558" w14:textId="77777777" w:rsidR="00EC5E1D" w:rsidRDefault="00EC5E1D" w:rsidP="00EC5E1D">
      <w:pPr>
        <w:pStyle w:val="HistoricalNote"/>
      </w:pPr>
      <w:r w:rsidRPr="001531CD">
        <w:t>HISTORICAL NOTE:</w:t>
      </w:r>
      <w:r w:rsidRPr="001531CD">
        <w:tab/>
        <w:t>Promulgated by the Department of Agriculture and Forestry, Crawfish Promotion and Research Board, LR 35:</w:t>
      </w:r>
      <w:r w:rsidR="006314C2" w:rsidRPr="001531CD">
        <w:t>4</w:t>
      </w:r>
      <w:r w:rsidRPr="001531CD">
        <w:t>0</w:t>
      </w:r>
      <w:r w:rsidR="006314C2" w:rsidRPr="001531CD">
        <w:t>7</w:t>
      </w:r>
      <w:r w:rsidRPr="001531CD">
        <w:t xml:space="preserve"> (March 2009).</w:t>
      </w:r>
    </w:p>
    <w:p w14:paraId="3AD0790E" w14:textId="77777777" w:rsidR="00C70AD4" w:rsidRPr="007A051B" w:rsidRDefault="00C70AD4" w:rsidP="00C70AD4">
      <w:pPr>
        <w:pStyle w:val="Chapter"/>
        <w:tabs>
          <w:tab w:val="left" w:pos="1170"/>
        </w:tabs>
      </w:pPr>
      <w:bookmarkStart w:id="949" w:name="_Toc438546636"/>
      <w:bookmarkStart w:id="950" w:name="_Toc224818714"/>
      <w:r w:rsidRPr="007A051B">
        <w:t>Chapter 27.</w:t>
      </w:r>
      <w:r w:rsidRPr="007A051B">
        <w:tab/>
        <w:t>Beef Promotion and Research Program</w:t>
      </w:r>
      <w:bookmarkEnd w:id="949"/>
      <w:bookmarkEnd w:id="950"/>
    </w:p>
    <w:p w14:paraId="6AC0EEBE" w14:textId="77777777" w:rsidR="00C70AD4" w:rsidRPr="007A051B" w:rsidRDefault="00C70AD4" w:rsidP="00C70AD4">
      <w:pPr>
        <w:pStyle w:val="Section"/>
      </w:pPr>
      <w:bookmarkStart w:id="951" w:name="_Toc438546637"/>
      <w:bookmarkStart w:id="952" w:name="_Toc224818715"/>
      <w:r w:rsidRPr="007A051B">
        <w:t>§2701.</w:t>
      </w:r>
      <w:r w:rsidRPr="007A051B">
        <w:tab/>
        <w:t>Purpose</w:t>
      </w:r>
      <w:bookmarkEnd w:id="951"/>
      <w:bookmarkEnd w:id="952"/>
    </w:p>
    <w:p w14:paraId="0693D501" w14:textId="77777777" w:rsidR="00C70AD4" w:rsidRPr="007A051B" w:rsidRDefault="00C70AD4" w:rsidP="00C70AD4">
      <w:pPr>
        <w:pStyle w:val="A"/>
      </w:pPr>
      <w:r w:rsidRPr="007A051B">
        <w:t>A.</w:t>
      </w:r>
      <w:r w:rsidRPr="007A051B">
        <w:tab/>
        <w:t>The purpose of this Chapter is to provide for the government and for the administration of the affairs of the Louisiana Beef Industry Council.</w:t>
      </w:r>
    </w:p>
    <w:p w14:paraId="705F4301" w14:textId="77777777" w:rsidR="00C70AD4" w:rsidRPr="007A051B" w:rsidRDefault="00C70AD4" w:rsidP="00C70AD4">
      <w:pPr>
        <w:pStyle w:val="AuthorityNote"/>
      </w:pPr>
      <w:r w:rsidRPr="007A051B">
        <w:t>AUTHORITY NOTE:</w:t>
      </w:r>
      <w:r w:rsidRPr="007A051B">
        <w:tab/>
        <w:t>Promulgated in accordance with R.S. 3:2051, 2052, and 2054.</w:t>
      </w:r>
    </w:p>
    <w:p w14:paraId="119A6DAF" w14:textId="77777777"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41:332 (February 2015).</w:t>
      </w:r>
    </w:p>
    <w:p w14:paraId="6C6E90D6" w14:textId="77777777" w:rsidR="00C70AD4" w:rsidRPr="007A051B" w:rsidRDefault="00C70AD4" w:rsidP="00C70AD4">
      <w:pPr>
        <w:pStyle w:val="Section"/>
      </w:pPr>
      <w:bookmarkStart w:id="953" w:name="_Toc438546638"/>
      <w:bookmarkStart w:id="954" w:name="_Toc224818716"/>
      <w:r w:rsidRPr="007A051B">
        <w:t>§2703.</w:t>
      </w:r>
      <w:r w:rsidRPr="007A051B">
        <w:tab/>
        <w:t>Powers and Duties of the Council; Quorum</w:t>
      </w:r>
      <w:bookmarkEnd w:id="953"/>
      <w:bookmarkEnd w:id="954"/>
    </w:p>
    <w:p w14:paraId="68B75FC5" w14:textId="77777777" w:rsidR="00C70AD4" w:rsidRPr="007A051B" w:rsidRDefault="00C70AD4" w:rsidP="00C70AD4">
      <w:pPr>
        <w:pStyle w:val="A"/>
      </w:pPr>
      <w:r w:rsidRPr="007A051B">
        <w:t>A.</w:t>
      </w:r>
      <w:r w:rsidRPr="007A051B">
        <w:tab/>
        <w:t>The council shall:</w:t>
      </w:r>
    </w:p>
    <w:p w14:paraId="5DE1F67C" w14:textId="77777777" w:rsidR="00C70AD4" w:rsidRPr="007A051B" w:rsidRDefault="00C70AD4" w:rsidP="00C70AD4">
      <w:pPr>
        <w:pStyle w:val="1"/>
      </w:pPr>
      <w:r w:rsidRPr="007A051B">
        <w:t>1.</w:t>
      </w:r>
      <w:r w:rsidRPr="007A051B">
        <w:tab/>
        <w:t>receive and disburse funds, as prescribed elsewhere in this Chapter, to be used in administering and implementing the provis</w:t>
      </w:r>
      <w:r>
        <w:t>ions and intent of this Chapter;</w:t>
      </w:r>
    </w:p>
    <w:p w14:paraId="40B9DECB" w14:textId="77777777" w:rsidR="00C70AD4" w:rsidRPr="007A051B" w:rsidRDefault="00C70AD4" w:rsidP="00C70AD4">
      <w:pPr>
        <w:pStyle w:val="1"/>
      </w:pPr>
      <w:r w:rsidRPr="007A051B">
        <w:t>2.</w:t>
      </w:r>
      <w:r w:rsidRPr="007A051B">
        <w:tab/>
        <w:t>meet regularly, not less often than once in each calendar quarter or at such other times as called by the chairman, or when requested by six</w:t>
      </w:r>
      <w:r>
        <w:t xml:space="preserve"> or more members of the council;</w:t>
      </w:r>
    </w:p>
    <w:p w14:paraId="35A4F33B" w14:textId="77777777" w:rsidR="00C70AD4" w:rsidRPr="007A051B" w:rsidRDefault="00C70AD4" w:rsidP="00C70AD4">
      <w:pPr>
        <w:pStyle w:val="1"/>
      </w:pPr>
      <w:r w:rsidRPr="007A051B">
        <w:t>3.</w:t>
      </w:r>
      <w:r w:rsidRPr="007A051B">
        <w:tab/>
        <w:t>maintain a record of its business proceedings in accordance with R.S. 44:36 and the Louisiana Beef Indu</w:t>
      </w:r>
      <w:r>
        <w:t>stry Council retention schedule;</w:t>
      </w:r>
    </w:p>
    <w:p w14:paraId="1413DDFA" w14:textId="77777777" w:rsidR="00C70AD4" w:rsidRPr="007A051B" w:rsidRDefault="00C70AD4" w:rsidP="00C70AD4">
      <w:pPr>
        <w:pStyle w:val="1"/>
      </w:pPr>
      <w:r w:rsidRPr="007A051B">
        <w:t>4.</w:t>
      </w:r>
      <w:r w:rsidRPr="007A051B">
        <w:tab/>
        <w:t>maintain a detailed record of its financial accounts in accordance with R.S. 44:36 and the Louisiana Beef Industry Council retentio</w:t>
      </w:r>
      <w:r>
        <w:t>n schedule;</w:t>
      </w:r>
    </w:p>
    <w:p w14:paraId="5937747E" w14:textId="77777777" w:rsidR="00C70AD4" w:rsidRPr="007A051B" w:rsidRDefault="00C70AD4" w:rsidP="00C70AD4">
      <w:pPr>
        <w:pStyle w:val="1"/>
      </w:pPr>
      <w:r w:rsidRPr="007A051B">
        <w:t>5.</w:t>
      </w:r>
      <w:r w:rsidRPr="007A051B">
        <w:tab/>
        <w:t>prepare periodic reports and an annual report of its</w:t>
      </w:r>
      <w:r>
        <w:t xml:space="preserve"> activities for the fiscal year;</w:t>
      </w:r>
    </w:p>
    <w:p w14:paraId="3F7CFA36" w14:textId="77777777" w:rsidR="00C70AD4" w:rsidRPr="007A051B" w:rsidRDefault="00C70AD4" w:rsidP="00C70AD4">
      <w:pPr>
        <w:pStyle w:val="1"/>
      </w:pPr>
      <w:r w:rsidRPr="007A051B">
        <w:t>6.</w:t>
      </w:r>
      <w:r w:rsidRPr="007A051B">
        <w:tab/>
        <w:t>prepare periodic reports and an annual accounting for the fiscal year of all receipts and expenditures of the council and shall retain a certified public</w:t>
      </w:r>
      <w:r>
        <w:t xml:space="preserve"> accountant for this purpose;</w:t>
      </w:r>
    </w:p>
    <w:p w14:paraId="3897CDCC" w14:textId="77777777" w:rsidR="00C70AD4" w:rsidRPr="007A051B" w:rsidRDefault="00C70AD4" w:rsidP="00C70AD4">
      <w:pPr>
        <w:pStyle w:val="1"/>
      </w:pPr>
      <w:r w:rsidRPr="007A051B">
        <w:t>7.</w:t>
      </w:r>
      <w:r w:rsidRPr="007A051B">
        <w:tab/>
        <w:t xml:space="preserve">appoint a licensed banking institution as the depository for </w:t>
      </w:r>
      <w:r>
        <w:t>program funds and disbursements;</w:t>
      </w:r>
    </w:p>
    <w:p w14:paraId="32BEDF54" w14:textId="77777777" w:rsidR="00C70AD4" w:rsidRPr="007A051B" w:rsidRDefault="00C70AD4" w:rsidP="00C70AD4">
      <w:pPr>
        <w:pStyle w:val="1"/>
      </w:pPr>
      <w:r w:rsidRPr="007A051B">
        <w:t>8.</w:t>
      </w:r>
      <w:r w:rsidRPr="007A051B">
        <w:tab/>
        <w:t>maintain frequent communications with officers and industry representatives of the Cattlemen’s Beef Promotion and Research Board.</w:t>
      </w:r>
    </w:p>
    <w:p w14:paraId="5F8A79A6" w14:textId="77777777" w:rsidR="00C70AD4" w:rsidRPr="007A051B" w:rsidRDefault="00C70AD4" w:rsidP="00C70AD4">
      <w:pPr>
        <w:pStyle w:val="A"/>
      </w:pPr>
      <w:r w:rsidRPr="007A051B">
        <w:t>B.</w:t>
      </w:r>
      <w:r w:rsidRPr="007A051B">
        <w:tab/>
        <w:t>Six members of the council shall constitute a quorum for the purpose of conducting business.</w:t>
      </w:r>
    </w:p>
    <w:p w14:paraId="5E69B0DE" w14:textId="77777777" w:rsidR="00C70AD4" w:rsidRPr="007A051B" w:rsidRDefault="00C70AD4" w:rsidP="00C70AD4">
      <w:pPr>
        <w:pStyle w:val="AuthorityNote"/>
      </w:pPr>
      <w:r w:rsidRPr="007A051B">
        <w:t>AUTHORITY NOTE:</w:t>
      </w:r>
      <w:r w:rsidRPr="007A051B">
        <w:tab/>
        <w:t>Promulgated in accordance with R.S. 3:2051, 2052, and 2054.</w:t>
      </w:r>
    </w:p>
    <w:p w14:paraId="17B30D24" w14:textId="77777777"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41:332 (February 2015).</w:t>
      </w:r>
    </w:p>
    <w:p w14:paraId="4B0BE569" w14:textId="77777777" w:rsidR="00C70AD4" w:rsidRPr="007A051B" w:rsidRDefault="00C70AD4" w:rsidP="00C70AD4">
      <w:pPr>
        <w:pStyle w:val="Section"/>
      </w:pPr>
      <w:bookmarkStart w:id="955" w:name="_Toc438546639"/>
      <w:bookmarkStart w:id="956" w:name="_Toc224818717"/>
      <w:r w:rsidRPr="007A051B">
        <w:lastRenderedPageBreak/>
        <w:t>§2705.</w:t>
      </w:r>
      <w:r w:rsidRPr="007A051B">
        <w:tab/>
        <w:t>Use of Funds</w:t>
      </w:r>
      <w:bookmarkEnd w:id="955"/>
      <w:bookmarkEnd w:id="956"/>
    </w:p>
    <w:p w14:paraId="226CC3FD" w14:textId="77777777" w:rsidR="00C70AD4" w:rsidRPr="007A051B" w:rsidRDefault="00C70AD4" w:rsidP="00C70AD4">
      <w:pPr>
        <w:pStyle w:val="A"/>
      </w:pPr>
      <w:r w:rsidRPr="007A051B">
        <w:t>A.</w:t>
      </w:r>
      <w:r w:rsidRPr="007A051B">
        <w:tab/>
        <w:t>The council may expend the funds available to it to:</w:t>
      </w:r>
    </w:p>
    <w:p w14:paraId="41A78864" w14:textId="77777777" w:rsidR="00C70AD4" w:rsidRPr="007A051B" w:rsidRDefault="00C70AD4" w:rsidP="00C70AD4">
      <w:pPr>
        <w:pStyle w:val="1"/>
      </w:pPr>
      <w:r w:rsidRPr="007A051B">
        <w:t>1.</w:t>
      </w:r>
      <w:r w:rsidRPr="007A051B">
        <w:tab/>
        <w:t>contract for scientific research with any accredited university, college, or similar institution and enter into other contracts or agreements which will aid in carrying out the purposes of the program, including cattle and beef promotion, consumer market development, research advertising and, including contracts for the purpose of acquisition of facilities or equipment necessary to ca</w:t>
      </w:r>
      <w:r>
        <w:t>rry out purposes of the program;</w:t>
      </w:r>
    </w:p>
    <w:p w14:paraId="5328491B" w14:textId="77777777" w:rsidR="00C70AD4" w:rsidRPr="007A051B" w:rsidRDefault="00C70AD4" w:rsidP="00C70AD4">
      <w:pPr>
        <w:pStyle w:val="1"/>
      </w:pPr>
      <w:r w:rsidRPr="007A051B">
        <w:t>2.</w:t>
      </w:r>
      <w:r w:rsidRPr="007A051B">
        <w:tab/>
        <w:t xml:space="preserve">disseminate reliable information benefiting the consumer and the cattle and beef industry on such subjects as, but not limited to, purchase, identification, care, storage, handling, cookery, preparation, serving, and the nutritive </w:t>
      </w:r>
      <w:r>
        <w:t>value of beef and beef products;</w:t>
      </w:r>
    </w:p>
    <w:p w14:paraId="4B897669" w14:textId="77777777" w:rsidR="00C70AD4" w:rsidRPr="007A051B" w:rsidRDefault="00C70AD4" w:rsidP="00C70AD4">
      <w:pPr>
        <w:pStyle w:val="1"/>
      </w:pPr>
      <w:r w:rsidRPr="007A051B">
        <w:t>3.</w:t>
      </w:r>
      <w:r w:rsidRPr="007A051B">
        <w:tab/>
        <w:t>provide information to such government bodies as requested on subjects of concern to the cattle and beef industry and act jointly or in cooperation with the state or federal government and agencies thereof in the development or administration of programs deemed by the council to be consistent wit</w:t>
      </w:r>
      <w:r>
        <w:t>h the objectives of the program;</w:t>
      </w:r>
    </w:p>
    <w:p w14:paraId="73907FAB" w14:textId="77777777" w:rsidR="00C70AD4" w:rsidRPr="007A051B" w:rsidRDefault="00C70AD4" w:rsidP="00C70AD4">
      <w:pPr>
        <w:pStyle w:val="1"/>
      </w:pPr>
      <w:r w:rsidRPr="007A051B">
        <w:t>4.</w:t>
      </w:r>
      <w:r w:rsidRPr="007A051B">
        <w:tab/>
        <w:t>cooperate with any local, state, regional, or nationwide organization or agency engaged in work or activities consistent wit</w:t>
      </w:r>
      <w:r>
        <w:t>h the objectives of the program;</w:t>
      </w:r>
    </w:p>
    <w:p w14:paraId="097EC80C" w14:textId="77777777" w:rsidR="00C70AD4" w:rsidRPr="007A051B" w:rsidRDefault="00C70AD4" w:rsidP="00C70AD4">
      <w:pPr>
        <w:pStyle w:val="1"/>
      </w:pPr>
      <w:r w:rsidRPr="007A051B">
        <w:t>5.</w:t>
      </w:r>
      <w:r w:rsidRPr="007A051B">
        <w:tab/>
        <w:t>pay funds to other organizations for work or services performed which are consistent with the objectives of the program.</w:t>
      </w:r>
    </w:p>
    <w:p w14:paraId="5FCD30D3" w14:textId="77777777" w:rsidR="00C70AD4" w:rsidRPr="007A051B" w:rsidRDefault="00C70AD4" w:rsidP="00C70AD4">
      <w:pPr>
        <w:pStyle w:val="A"/>
      </w:pPr>
      <w:r w:rsidRPr="007A051B">
        <w:t>B.</w:t>
      </w:r>
      <w:r w:rsidRPr="007A051B">
        <w:tab/>
        <w:t>All funds available to the council shall be expended only to effectuate the purposes of this Chapter and shall not be used for political purposes in any manner.</w:t>
      </w:r>
      <w:r>
        <w:t xml:space="preserve"> </w:t>
      </w:r>
      <w:r w:rsidRPr="007A051B">
        <w:t>A fiscal year-end audited report shall be made available annually to the state conventions of the Louisiana Cattlemen's Association and the Louisiana Farm Bureau Federation, and shall be posted on the Division of Administration website in accordance with R.S. 49:1301 et seq.</w:t>
      </w:r>
    </w:p>
    <w:p w14:paraId="5DD6FEE5" w14:textId="77777777" w:rsidR="00C70AD4" w:rsidRPr="007A051B" w:rsidRDefault="00C70AD4" w:rsidP="00C70AD4">
      <w:pPr>
        <w:pStyle w:val="AuthorityNote"/>
      </w:pPr>
      <w:r w:rsidRPr="007A051B">
        <w:t>AUTHORITY NOTE:</w:t>
      </w:r>
      <w:r w:rsidRPr="007A051B">
        <w:tab/>
        <w:t>Promulgated in accordance with R.S. 3:2051, 2052, and 2054.</w:t>
      </w:r>
    </w:p>
    <w:p w14:paraId="1BFD74C8" w14:textId="77777777"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41:333 (February 2015).</w:t>
      </w:r>
    </w:p>
    <w:p w14:paraId="6575CB1C" w14:textId="77777777" w:rsidR="00C70AD4" w:rsidRPr="007A051B" w:rsidRDefault="00C70AD4" w:rsidP="00C70AD4">
      <w:pPr>
        <w:pStyle w:val="Section"/>
      </w:pPr>
      <w:bookmarkStart w:id="957" w:name="_Toc438546640"/>
      <w:bookmarkStart w:id="958" w:name="_Toc224818718"/>
      <w:r w:rsidRPr="007A051B">
        <w:t>§2707.</w:t>
      </w:r>
      <w:r w:rsidRPr="007A051B">
        <w:tab/>
        <w:t>Additional Powers of Council</w:t>
      </w:r>
      <w:bookmarkEnd w:id="957"/>
      <w:bookmarkEnd w:id="958"/>
    </w:p>
    <w:p w14:paraId="72FDE2AF" w14:textId="77777777" w:rsidR="00C70AD4" w:rsidRPr="007A051B" w:rsidRDefault="00C70AD4" w:rsidP="00C70AD4">
      <w:pPr>
        <w:pStyle w:val="A"/>
      </w:pPr>
      <w:r w:rsidRPr="007A051B">
        <w:t>A.</w:t>
      </w:r>
      <w:r w:rsidRPr="007A051B">
        <w:tab/>
        <w:t>The council may:</w:t>
      </w:r>
    </w:p>
    <w:p w14:paraId="10EE5AE6" w14:textId="77777777" w:rsidR="00C70AD4" w:rsidRPr="007A051B" w:rsidRDefault="00C70AD4" w:rsidP="00C70AD4">
      <w:pPr>
        <w:pStyle w:val="1"/>
      </w:pPr>
      <w:r w:rsidRPr="007A051B">
        <w:t>1.</w:t>
      </w:r>
      <w:r w:rsidRPr="007A051B">
        <w:tab/>
        <w:t>sue and be sued as a council, without individual liability of the members for acts of the council when acting within the scope of the powers of this Chapter, and in the manner presc</w:t>
      </w:r>
      <w:r>
        <w:t>ribed by the laws of this state;</w:t>
      </w:r>
    </w:p>
    <w:p w14:paraId="2321DED5" w14:textId="77777777" w:rsidR="00C70AD4" w:rsidRPr="007A051B" w:rsidRDefault="00C70AD4" w:rsidP="00C70AD4">
      <w:pPr>
        <w:pStyle w:val="1"/>
      </w:pPr>
      <w:r w:rsidRPr="007A051B">
        <w:t>2.</w:t>
      </w:r>
      <w:r w:rsidRPr="007A051B">
        <w:tab/>
        <w:t xml:space="preserve">appoint advisory groups composed of representatives from organizations, institutions, governments, or business related to or interested in the welfare of the cattle </w:t>
      </w:r>
      <w:r>
        <w:t>and beef industry and consumers;</w:t>
      </w:r>
    </w:p>
    <w:p w14:paraId="656E4A79" w14:textId="77777777" w:rsidR="00C70AD4" w:rsidRPr="007A051B" w:rsidRDefault="00C70AD4" w:rsidP="00C70AD4">
      <w:pPr>
        <w:pStyle w:val="1"/>
      </w:pPr>
      <w:r w:rsidRPr="007A051B">
        <w:t>3.</w:t>
      </w:r>
      <w:r w:rsidRPr="007A051B">
        <w:tab/>
        <w:t>employ subordinate officers and employees of the council and prescribe their duties and fix their compensation a</w:t>
      </w:r>
      <w:r>
        <w:t>nd terms of employment;</w:t>
      </w:r>
    </w:p>
    <w:p w14:paraId="532BED88" w14:textId="77777777" w:rsidR="00C70AD4" w:rsidRPr="007A051B" w:rsidRDefault="00C70AD4" w:rsidP="00C70AD4">
      <w:pPr>
        <w:pStyle w:val="1"/>
      </w:pPr>
      <w:r w:rsidRPr="007A051B">
        <w:t>4.</w:t>
      </w:r>
      <w:r w:rsidRPr="007A051B">
        <w:tab/>
        <w:t>accept grants, donations, contributions, or gifts from any source, but only if the use of such resources is not restricted in any manner which is deemed inconsistent with the objectives of the program.</w:t>
      </w:r>
    </w:p>
    <w:p w14:paraId="5744519F" w14:textId="77777777" w:rsidR="00C70AD4" w:rsidRPr="007A051B" w:rsidRDefault="00C70AD4" w:rsidP="00C70AD4">
      <w:pPr>
        <w:pStyle w:val="AuthorityNote"/>
      </w:pPr>
      <w:r w:rsidRPr="007A051B">
        <w:t>AUTHORITY NOTE:</w:t>
      </w:r>
      <w:r w:rsidRPr="007A051B">
        <w:tab/>
        <w:t>Promulgated in accordance with R.S. 3:2051, 2052, and 2054.</w:t>
      </w:r>
    </w:p>
    <w:p w14:paraId="72FC2B15" w14:textId="77777777" w:rsidR="00C70AD4" w:rsidRDefault="00C70AD4" w:rsidP="00C70AD4">
      <w:pPr>
        <w:pStyle w:val="HistoricalNote"/>
      </w:pPr>
      <w:r w:rsidRPr="007A051B">
        <w:t>HISTORICAL NOTE:</w:t>
      </w:r>
      <w:r w:rsidRPr="007A051B">
        <w:tab/>
        <w:t xml:space="preserve">Promulgated by the </w:t>
      </w:r>
      <w:r>
        <w:t>Department of Agriculture and Forestry, Beef Industry Council, LR 41:333 (February 2015).</w:t>
      </w:r>
    </w:p>
    <w:p w14:paraId="4F0DBB2A" w14:textId="77777777" w:rsidR="001A01C2" w:rsidRPr="00D22FCA" w:rsidRDefault="001A01C2" w:rsidP="001A01C2">
      <w:pPr>
        <w:pStyle w:val="Chapter"/>
      </w:pPr>
      <w:bookmarkStart w:id="959" w:name="_Toc224818719"/>
      <w:r w:rsidRPr="00D22FCA">
        <w:t>Chapter 2</w:t>
      </w:r>
      <w:r>
        <w:t>9</w:t>
      </w:r>
      <w:r w:rsidRPr="00D22FCA">
        <w:t>.</w:t>
      </w:r>
      <w:r w:rsidRPr="00D22FCA">
        <w:tab/>
        <w:t>Logos for State Products</w:t>
      </w:r>
      <w:bookmarkEnd w:id="959"/>
    </w:p>
    <w:p w14:paraId="5CD221E2" w14:textId="77777777" w:rsidR="001A01C2" w:rsidRPr="00D22FCA" w:rsidRDefault="001A01C2" w:rsidP="001A01C2">
      <w:pPr>
        <w:pStyle w:val="Section"/>
      </w:pPr>
      <w:bookmarkStart w:id="960" w:name="_Toc224818720"/>
      <w:r w:rsidRPr="00D22FCA">
        <w:t>§2</w:t>
      </w:r>
      <w:r>
        <w:t>9</w:t>
      </w:r>
      <w:r w:rsidRPr="00D22FCA">
        <w:t>01.</w:t>
      </w:r>
      <w:r w:rsidRPr="00D22FCA">
        <w:tab/>
        <w:t>Purpose; Definitions</w:t>
      </w:r>
      <w:bookmarkEnd w:id="960"/>
    </w:p>
    <w:p w14:paraId="046ABCF6" w14:textId="77777777" w:rsidR="003E2396" w:rsidRPr="007B0E02" w:rsidRDefault="003E2396" w:rsidP="003E2396">
      <w:pPr>
        <w:pStyle w:val="A"/>
      </w:pPr>
      <w:r w:rsidRPr="00A67F25">
        <w:t>A.</w:t>
      </w:r>
      <w:r w:rsidRPr="00A67F25">
        <w:tab/>
        <w:t>This Chapter is adopted pursuant to R.S. 3:4721</w:t>
      </w:r>
      <w:r w:rsidRPr="00097078">
        <w:t xml:space="preserve"> </w:t>
      </w:r>
      <w:r w:rsidRPr="00097078">
        <w:rPr>
          <w:iCs/>
        </w:rPr>
        <w:t>et seq</w:t>
      </w:r>
      <w:r w:rsidRPr="00C20849">
        <w:rPr>
          <w:iCs/>
        </w:rPr>
        <w:t>.,</w:t>
      </w:r>
      <w:r w:rsidRPr="00C20849">
        <w:t xml:space="preserve"> a</w:t>
      </w:r>
      <w:r w:rsidRPr="00A67F25">
        <w:t>nd shall govern</w:t>
      </w:r>
      <w:r>
        <w:t xml:space="preserve"> the department’s logo program.</w:t>
      </w:r>
    </w:p>
    <w:p w14:paraId="0DDFE563" w14:textId="77777777" w:rsidR="003E2396" w:rsidRPr="007B0E02" w:rsidRDefault="003E2396" w:rsidP="003E2396">
      <w:pPr>
        <w:pStyle w:val="A"/>
      </w:pPr>
      <w:r w:rsidRPr="00A67F25">
        <w:t>B.</w:t>
      </w:r>
      <w:r w:rsidRPr="00A67F25">
        <w:tab/>
        <w:t>For purposes of this Chapter, the following terms shall have the meaning hereafter ascribed to them, unless the context clearly indicates otherwise.</w:t>
      </w:r>
    </w:p>
    <w:p w14:paraId="616FCD65" w14:textId="77777777" w:rsidR="003E2396" w:rsidRPr="00A67F25" w:rsidRDefault="003E2396" w:rsidP="003E2396">
      <w:pPr>
        <w:pStyle w:val="1"/>
        <w:rPr>
          <w:sz w:val="24"/>
          <w:szCs w:val="24"/>
        </w:rPr>
      </w:pPr>
      <w:r w:rsidRPr="00A67F25">
        <w:rPr>
          <w:i/>
          <w:iCs/>
        </w:rPr>
        <w:t>Commissioner</w:t>
      </w:r>
      <w:r w:rsidRPr="00A67F25">
        <w:t>―the commissioner of the Louisiana Department of Agriculture and Forestry.</w:t>
      </w:r>
    </w:p>
    <w:p w14:paraId="19279202" w14:textId="77777777" w:rsidR="003E2396" w:rsidRPr="007B0E02" w:rsidRDefault="003E2396" w:rsidP="003E2396">
      <w:pPr>
        <w:pStyle w:val="1"/>
      </w:pPr>
      <w:r w:rsidRPr="00A67F25">
        <w:rPr>
          <w:i/>
          <w:iCs/>
        </w:rPr>
        <w:t>Department</w:t>
      </w:r>
      <w:r w:rsidRPr="00A67F25">
        <w:t>―the Louisiana Department of Agriculture and Forestry.</w:t>
      </w:r>
    </w:p>
    <w:p w14:paraId="1E1902F0" w14:textId="77777777" w:rsidR="003E2396" w:rsidRPr="007B0E02" w:rsidRDefault="003E2396" w:rsidP="003E2396">
      <w:pPr>
        <w:pStyle w:val="1"/>
      </w:pPr>
      <w:r w:rsidRPr="00A67F25">
        <w:rPr>
          <w:i/>
          <w:iCs/>
        </w:rPr>
        <w:t>License—</w:t>
      </w:r>
      <w:r w:rsidRPr="00A67F25">
        <w:t>written authorization from the Louisiana Department of Agriculture and Forestry for the non-exclusive use of the logo.</w:t>
      </w:r>
    </w:p>
    <w:p w14:paraId="40926B1B" w14:textId="77777777" w:rsidR="003E2396" w:rsidRPr="007B0E02" w:rsidRDefault="003E2396" w:rsidP="003E2396">
      <w:pPr>
        <w:pStyle w:val="1"/>
      </w:pPr>
      <w:r w:rsidRPr="00A67F25">
        <w:rPr>
          <w:i/>
          <w:iCs/>
        </w:rPr>
        <w:t>Licensee</w:t>
      </w:r>
      <w:r w:rsidRPr="00A67F25">
        <w:t>—applicant who applied to the department for a license to use the logo(s) and whose application was approved</w:t>
      </w:r>
      <w:r>
        <w:t>.</w:t>
      </w:r>
    </w:p>
    <w:p w14:paraId="4C23D44F" w14:textId="77777777" w:rsidR="003E2396" w:rsidRDefault="003E2396" w:rsidP="003E2396">
      <w:pPr>
        <w:pStyle w:val="1"/>
      </w:pPr>
      <w:r w:rsidRPr="00A67F25">
        <w:rPr>
          <w:i/>
          <w:iCs/>
        </w:rPr>
        <w:t>Logo</w:t>
      </w:r>
      <w:r w:rsidRPr="00A67F25">
        <w:t>—the logos adopted by the department pursuant to R.S. 3:4721 to promote products made, grown, manufactured, processed, produced or substantially transformed in the state of Louisiana.</w:t>
      </w:r>
      <w:r>
        <w:t xml:space="preserve"> </w:t>
      </w:r>
      <w:r w:rsidRPr="00A67F25">
        <w:t>The logos include:</w:t>
      </w:r>
    </w:p>
    <w:p w14:paraId="1594AAF3" w14:textId="77777777" w:rsidR="00CF5D3B" w:rsidRPr="00CF5D3B" w:rsidRDefault="00CF5D3B" w:rsidP="00CF5D3B">
      <w:pPr>
        <w:pStyle w:val="a0"/>
      </w:pPr>
      <w:r w:rsidRPr="00CF5D3B">
        <w:t>a.</w:t>
      </w:r>
      <w:r w:rsidRPr="00CF5D3B">
        <w:tab/>
        <w:t>certified Louisiana;</w:t>
      </w:r>
    </w:p>
    <w:p w14:paraId="036EF45D" w14:textId="77777777" w:rsidR="00CF5D3B" w:rsidRPr="00CF5D3B" w:rsidRDefault="00CF5D3B" w:rsidP="00CF5D3B">
      <w:pPr>
        <w:pStyle w:val="a0"/>
      </w:pPr>
      <w:r w:rsidRPr="00CF5D3B">
        <w:t>b.</w:t>
      </w:r>
      <w:r w:rsidRPr="00CF5D3B">
        <w:tab/>
        <w:t>certified Louisiana Cajun;</w:t>
      </w:r>
    </w:p>
    <w:p w14:paraId="52A13D38" w14:textId="77777777" w:rsidR="00CF5D3B" w:rsidRPr="00CF5D3B" w:rsidRDefault="00CF5D3B" w:rsidP="00CF5D3B">
      <w:pPr>
        <w:pStyle w:val="a0"/>
      </w:pPr>
      <w:r w:rsidRPr="00CF5D3B">
        <w:t>c.</w:t>
      </w:r>
      <w:r w:rsidRPr="00CF5D3B">
        <w:tab/>
        <w:t xml:space="preserve">certified Louisiana Creole; </w:t>
      </w:r>
    </w:p>
    <w:p w14:paraId="0EB67858" w14:textId="77777777" w:rsidR="00CF5D3B" w:rsidRPr="00CF5D3B" w:rsidRDefault="00CF5D3B" w:rsidP="00CF5D3B">
      <w:pPr>
        <w:pStyle w:val="a0"/>
      </w:pPr>
      <w:r w:rsidRPr="00CF5D3B">
        <w:t>d.</w:t>
      </w:r>
      <w:r w:rsidRPr="00CF5D3B">
        <w:tab/>
        <w:t>certified Louisiana Farm to Table; and</w:t>
      </w:r>
    </w:p>
    <w:p w14:paraId="09338A22" w14:textId="77777777" w:rsidR="00CF5D3B" w:rsidRPr="00CF5D3B" w:rsidRDefault="00CF5D3B" w:rsidP="00CF5D3B">
      <w:pPr>
        <w:pStyle w:val="a0"/>
      </w:pPr>
      <w:r w:rsidRPr="00CF5D3B">
        <w:t>e.</w:t>
      </w:r>
      <w:r w:rsidRPr="00CF5D3B">
        <w:tab/>
        <w:t xml:space="preserve">certified Louisiana Craft Beverage. </w:t>
      </w:r>
    </w:p>
    <w:p w14:paraId="1946FCBE" w14:textId="77777777" w:rsidR="001A01C2" w:rsidRPr="00D22FCA" w:rsidRDefault="003E2396" w:rsidP="003E2396">
      <w:pPr>
        <w:pStyle w:val="AuthorityNote"/>
      </w:pPr>
      <w:r w:rsidRPr="00A67F25">
        <w:t>AUTHORITY NOTE:</w:t>
      </w:r>
      <w:r w:rsidRPr="00A67F25">
        <w:tab/>
        <w:t>Promulgated in accordance with R.S. 3:4721.</w:t>
      </w:r>
    </w:p>
    <w:p w14:paraId="535AB5F3"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bookmarkStart w:id="961" w:name="_Toc396115039"/>
      <w:r w:rsidR="007B0E02">
        <w:t>mulgated LR 42:540 (April 2016), amended</w:t>
      </w:r>
      <w:r w:rsidR="007B0E02" w:rsidRPr="00A67F25">
        <w:t xml:space="preserve"> </w:t>
      </w:r>
      <w:r w:rsidR="00CF5D3B">
        <w:t>LR 44:440 (March 2018), LR 46</w:t>
      </w:r>
      <w:r w:rsidR="00CF5D3B" w:rsidRPr="00C85C7C">
        <w:t>:</w:t>
      </w:r>
      <w:r w:rsidR="00CF5D3B">
        <w:t>10 (January 2020).</w:t>
      </w:r>
    </w:p>
    <w:p w14:paraId="5A031C91" w14:textId="77777777" w:rsidR="001A01C2" w:rsidRPr="00D22FCA" w:rsidRDefault="001A01C2" w:rsidP="001A01C2">
      <w:pPr>
        <w:pStyle w:val="Section"/>
      </w:pPr>
      <w:bookmarkStart w:id="962" w:name="_Toc224818721"/>
      <w:r w:rsidRPr="00D22FCA">
        <w:t>§2</w:t>
      </w:r>
      <w:r>
        <w:t>9</w:t>
      </w:r>
      <w:r w:rsidRPr="00D22FCA">
        <w:t>03.</w:t>
      </w:r>
      <w:r w:rsidRPr="00D22FCA">
        <w:tab/>
        <w:t>Eligibility</w:t>
      </w:r>
      <w:bookmarkEnd w:id="962"/>
    </w:p>
    <w:p w14:paraId="446BD917" w14:textId="77777777" w:rsidR="007B0E02" w:rsidRPr="007B0E02" w:rsidRDefault="007B0E02" w:rsidP="007B0E02">
      <w:pPr>
        <w:pStyle w:val="A"/>
      </w:pPr>
      <w:r w:rsidRPr="00A67F25">
        <w:t>A.</w:t>
      </w:r>
      <w:r w:rsidRPr="00A67F25">
        <w:tab/>
        <w:t>The department shall have sole discretion to determine whether an agricultural product, restaurant or agritourism activity is eligible to be labeled with one of the certified logos. To be eligible, a company must possess and be in compliance with all applicable state and federal permits, licenses and laws.</w:t>
      </w:r>
    </w:p>
    <w:p w14:paraId="78742F34" w14:textId="77777777" w:rsidR="007B0E02" w:rsidRPr="007B0E02" w:rsidRDefault="007B0E02" w:rsidP="007B0E02">
      <w:pPr>
        <w:pStyle w:val="A"/>
      </w:pPr>
      <w:r w:rsidRPr="00A67F25">
        <w:t>B.</w:t>
      </w:r>
      <w:r w:rsidRPr="00A67F25">
        <w:tab/>
        <w:t xml:space="preserve">In order </w:t>
      </w:r>
      <w:r w:rsidR="00CF5D3B" w:rsidRPr="00CF5D3B">
        <w:t xml:space="preserve">for an agricultural product to be eligible for inclusion in the logo program, it must be made, grown, </w:t>
      </w:r>
      <w:r w:rsidR="00CF5D3B" w:rsidRPr="00CF5D3B">
        <w:lastRenderedPageBreak/>
        <w:t>manufactured, processed, produced or substantially transformed in the state of Louisiana.</w:t>
      </w:r>
    </w:p>
    <w:p w14:paraId="1C43D4A8" w14:textId="77777777" w:rsidR="007B0E02" w:rsidRPr="007B0E02" w:rsidRDefault="007B0E02" w:rsidP="007B0E02">
      <w:pPr>
        <w:pStyle w:val="A"/>
      </w:pPr>
      <w:r w:rsidRPr="00A67F25">
        <w:t>C.</w:t>
      </w:r>
      <w:r w:rsidRPr="00A67F25">
        <w:tab/>
        <w:t xml:space="preserve">In order </w:t>
      </w:r>
      <w:r w:rsidR="00CF5D3B" w:rsidRPr="00CF5D3B">
        <w:t>for an agricultural product to be eligible to use the certified Louisiana Creole logo, at least 50 percent of the product must be made, grown, produced, manufactured, processed or packed in Louisiana.</w:t>
      </w:r>
    </w:p>
    <w:p w14:paraId="7141E0C2" w14:textId="77777777" w:rsidR="007B0E02" w:rsidRPr="007B0E02" w:rsidRDefault="007B0E02" w:rsidP="007B0E02">
      <w:pPr>
        <w:pStyle w:val="A"/>
      </w:pPr>
      <w:r w:rsidRPr="00A67F25">
        <w:t>D.</w:t>
      </w:r>
      <w:r w:rsidRPr="00A67F25">
        <w:tab/>
        <w:t>In order for an agricultural product to be eligible to use the certified Louisiana Cajun logo, the product must be representative of the culture that is generally of Acadian descent and be at least 50 percent of the product must be made, grown, produced, manufactured, processed or packed in Louisiana.</w:t>
      </w:r>
    </w:p>
    <w:p w14:paraId="0758675E" w14:textId="77777777" w:rsidR="007B0E02" w:rsidRDefault="007B0E02" w:rsidP="007B0E02">
      <w:pPr>
        <w:pStyle w:val="A"/>
      </w:pPr>
      <w:r w:rsidRPr="00A67F25">
        <w:t>E.</w:t>
      </w:r>
      <w:r w:rsidRPr="00A67F25">
        <w:tab/>
        <w:t xml:space="preserve">In order for </w:t>
      </w:r>
      <w:r w:rsidR="001D6F94" w:rsidRPr="001D6F94">
        <w:t>an agricultural product to be eligible to use certified Louisiana Farm to Table logo, the product must be produced and sourced as locally as possible, within Louisiana and or less than 200 miles from its origin, which means going directly from the farm to the table.</w:t>
      </w:r>
    </w:p>
    <w:p w14:paraId="65824269" w14:textId="77777777" w:rsidR="001D6F94" w:rsidRPr="001D6F94" w:rsidRDefault="001D6F94" w:rsidP="001D6F94">
      <w:pPr>
        <w:pStyle w:val="A"/>
      </w:pPr>
      <w:r w:rsidRPr="001D6F94">
        <w:t>F.</w:t>
      </w:r>
      <w:r w:rsidRPr="001D6F94">
        <w:tab/>
        <w:t xml:space="preserve">In order for a craft beverage product to be eligible to use the certified Louisiana Craft Beverage logo, the product must be crafted, bottled, brewed, vinified and/or distilled in the state of Louisiana. The use of this logo shall be applicable to beer, wine, spirits, and craft beverages. </w:t>
      </w:r>
    </w:p>
    <w:p w14:paraId="513A9800" w14:textId="77777777" w:rsidR="001D6F94" w:rsidRPr="001D6F94" w:rsidRDefault="001D6F94" w:rsidP="001D6F94">
      <w:pPr>
        <w:pStyle w:val="A"/>
      </w:pPr>
      <w:r w:rsidRPr="001D6F94">
        <w:t>G.</w:t>
      </w:r>
      <w:r w:rsidRPr="001D6F94">
        <w:tab/>
        <w:t xml:space="preserve">In order for a restaurant to be eligible to use the certified Louisiana Farm to Table logo, a majority of the restaurant’s raw and value added products shall be produced and sourced as locally as possible, within Louisiana and or less than 200 miles from its origin, which means going directly from the farm to the table. </w:t>
      </w:r>
    </w:p>
    <w:p w14:paraId="4FE61A61" w14:textId="77777777" w:rsidR="001D6F94" w:rsidRPr="001D6F94" w:rsidRDefault="001D6F94" w:rsidP="001D6F94">
      <w:pPr>
        <w:pStyle w:val="A"/>
      </w:pPr>
      <w:r w:rsidRPr="001D6F94">
        <w:t>H.</w:t>
      </w:r>
      <w:r w:rsidRPr="001D6F94">
        <w:tab/>
        <w:t xml:space="preserve">In order for an establishment that serves alcoholic beverages to be eligible to use the certified Louisiana Craft Beverage logo, the establishment must serve at least one certified Louisiana Craft Beverage beer, wine, and spirit on a regular basis. If an establishment that serves alcoholic beverages does not serve all three categories (beer, wine, and spirits), it must serve at least three certified Louisiana Craft Beverages from the categories that it does serve in order to be eligible to use the Louisiana Craft Beverage logo. </w:t>
      </w:r>
    </w:p>
    <w:p w14:paraId="498EE809" w14:textId="77777777" w:rsidR="001A01C2" w:rsidRPr="00D22FCA" w:rsidRDefault="007B0E02" w:rsidP="007B0E02">
      <w:pPr>
        <w:pStyle w:val="AuthorityNote"/>
      </w:pPr>
      <w:r w:rsidRPr="00A67F25">
        <w:t>AUTHORITY NOTE:</w:t>
      </w:r>
      <w:r w:rsidRPr="00A67F25">
        <w:tab/>
        <w:t>Promulgated in accordance with R.S. 3:4721.</w:t>
      </w:r>
    </w:p>
    <w:p w14:paraId="0A687139"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mulgated LR 42:540 (April 2016), amen</w:t>
      </w:r>
      <w:r w:rsidR="001D6F94">
        <w:t>ded LR 44:440 (March 2018), LR 46:10 (January 2020).</w:t>
      </w:r>
    </w:p>
    <w:p w14:paraId="63CC43EA" w14:textId="77777777" w:rsidR="001A01C2" w:rsidRPr="00D22FCA" w:rsidRDefault="001A01C2" w:rsidP="001A01C2">
      <w:pPr>
        <w:pStyle w:val="Section"/>
      </w:pPr>
      <w:bookmarkStart w:id="963" w:name="_Toc224818722"/>
      <w:r w:rsidRPr="00D22FCA">
        <w:t>§2</w:t>
      </w:r>
      <w:r>
        <w:t>9</w:t>
      </w:r>
      <w:r w:rsidRPr="00D22FCA">
        <w:t>05.</w:t>
      </w:r>
      <w:r w:rsidRPr="00D22FCA">
        <w:tab/>
      </w:r>
      <w:bookmarkEnd w:id="961"/>
      <w:r w:rsidRPr="00D22FCA">
        <w:t>Application Process and Product Verification</w:t>
      </w:r>
      <w:bookmarkEnd w:id="963"/>
    </w:p>
    <w:p w14:paraId="2E56484B" w14:textId="77777777" w:rsidR="001D6F94" w:rsidRDefault="007B0E02" w:rsidP="007B0E02">
      <w:pPr>
        <w:pStyle w:val="A"/>
      </w:pPr>
      <w:r w:rsidRPr="00A67F25">
        <w:t>A.</w:t>
      </w:r>
      <w:r w:rsidRPr="00A67F25">
        <w:tab/>
        <w:t>Applications for use of the logos shall be made in writing on a form prescribed by the department</w:t>
      </w:r>
      <w:r w:rsidR="001D6F94" w:rsidRPr="001D6F94">
        <w:rPr>
          <w:kern w:val="0"/>
        </w:rPr>
        <w:t xml:space="preserve"> </w:t>
      </w:r>
      <w:r w:rsidR="001D6F94" w:rsidRPr="001D6F94">
        <w:t xml:space="preserve">or by completing an online application on the department’s website. </w:t>
      </w:r>
    </w:p>
    <w:p w14:paraId="3F202862" w14:textId="77777777" w:rsidR="001D6F94" w:rsidRPr="001D6F94" w:rsidRDefault="001D6F94" w:rsidP="001D6F94">
      <w:pPr>
        <w:pStyle w:val="A"/>
      </w:pPr>
      <w:r w:rsidRPr="001D6F94">
        <w:t>B.</w:t>
      </w:r>
      <w:r w:rsidRPr="001D6F94">
        <w:tab/>
        <w:t>In order for a product to be eligible for inclusion in the logo program, it must be made, grown, manufactured, processed, produced or substantially transformed in the state of Louisiana.</w:t>
      </w:r>
    </w:p>
    <w:p w14:paraId="4FBA07D9" w14:textId="77777777" w:rsidR="001D6F94" w:rsidRPr="001D6F94" w:rsidRDefault="001D6F94" w:rsidP="001D6F94">
      <w:pPr>
        <w:pStyle w:val="A"/>
      </w:pPr>
      <w:r w:rsidRPr="001D6F94">
        <w:t>C.</w:t>
      </w:r>
      <w:r w:rsidRPr="001D6F94">
        <w:tab/>
        <w:t>In order for a product to be eligible to use the certified Louisiana Creole logo, at least 50 percent of the product must be made, grown, produced, manufactured, processed or packed in Louisiana.</w:t>
      </w:r>
    </w:p>
    <w:p w14:paraId="2ECBFE47" w14:textId="77777777" w:rsidR="001D6F94" w:rsidRPr="001D6F94" w:rsidRDefault="001D6F94" w:rsidP="001D6F94">
      <w:pPr>
        <w:pStyle w:val="A"/>
      </w:pPr>
      <w:r w:rsidRPr="001D6F94">
        <w:t>D.</w:t>
      </w:r>
      <w:r w:rsidRPr="001D6F94">
        <w:tab/>
        <w:t>In order for an agricultural product to be eligible to use the certified Louisiana Cajun logo, the product must be representative of the culture that is generally of Acadian descent and be at least 50 percent of the product must be made, grown, produced, manufactured, processed or packed in Louisiana.</w:t>
      </w:r>
    </w:p>
    <w:p w14:paraId="62E6B997" w14:textId="77777777" w:rsidR="001D6F94" w:rsidRPr="001D6F94" w:rsidRDefault="001D6F94" w:rsidP="001D6F94">
      <w:pPr>
        <w:pStyle w:val="A"/>
      </w:pPr>
      <w:r w:rsidRPr="001D6F94">
        <w:t>E.</w:t>
      </w:r>
      <w:r w:rsidRPr="001D6F94">
        <w:tab/>
        <w:t>In order for a restaurant to be eligible to use the certified farm to table logo, a majority of the restaurant’s raw and value added products shall be produced and sourced as locally as possible, within Louisiana and or less than 200 miles from its origin, which means going directly from the farm to the table.</w:t>
      </w:r>
    </w:p>
    <w:p w14:paraId="486AC0DA" w14:textId="77777777" w:rsidR="001A01C2" w:rsidRPr="00D22FCA" w:rsidRDefault="007B0E02" w:rsidP="007B0E02">
      <w:pPr>
        <w:pStyle w:val="AuthorityNote"/>
      </w:pPr>
      <w:r w:rsidRPr="00A67F25">
        <w:t>AUTHORITY NOTE:</w:t>
      </w:r>
      <w:r w:rsidRPr="00A67F25">
        <w:tab/>
        <w:t>Promulgated in accordance with R.S. 3:4721.</w:t>
      </w:r>
    </w:p>
    <w:p w14:paraId="427553B8"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 xml:space="preserve">mulgated LR 42:540 (April 2016), </w:t>
      </w:r>
      <w:r w:rsidR="007B0E02" w:rsidRPr="00A67F25">
        <w:t xml:space="preserve">amended </w:t>
      </w:r>
      <w:r w:rsidR="001D6F94">
        <w:t>LR 44:441 (March 2018), LR 46:10 (January 2020).</w:t>
      </w:r>
    </w:p>
    <w:p w14:paraId="2A19A298" w14:textId="77777777" w:rsidR="001A01C2" w:rsidRPr="00D22FCA" w:rsidRDefault="001A01C2" w:rsidP="001A01C2">
      <w:pPr>
        <w:pStyle w:val="Section"/>
      </w:pPr>
      <w:bookmarkStart w:id="964" w:name="_Toc224818723"/>
      <w:r w:rsidRPr="00D22FCA">
        <w:t>§2</w:t>
      </w:r>
      <w:r>
        <w:t>9</w:t>
      </w:r>
      <w:r w:rsidRPr="00D22FCA">
        <w:t>07.</w:t>
      </w:r>
      <w:r w:rsidRPr="00D22FCA">
        <w:tab/>
        <w:t>Denial of Registration</w:t>
      </w:r>
      <w:bookmarkEnd w:id="964"/>
    </w:p>
    <w:p w14:paraId="347F7883" w14:textId="77777777" w:rsidR="007B0E02" w:rsidRPr="002F779C" w:rsidRDefault="007B0E02" w:rsidP="007B0E02">
      <w:pPr>
        <w:pStyle w:val="A"/>
      </w:pPr>
      <w:r w:rsidRPr="00A67F25">
        <w:t>A.</w:t>
      </w:r>
      <w:r w:rsidRPr="00A67F25">
        <w:tab/>
        <w:t xml:space="preserve">Applications for use of the logo(s) </w:t>
      </w:r>
      <w:r w:rsidRPr="002F779C">
        <w:t>may be denied if:</w:t>
      </w:r>
    </w:p>
    <w:p w14:paraId="193F0485" w14:textId="77777777" w:rsidR="007B0E02" w:rsidRPr="002F779C" w:rsidRDefault="007B0E02" w:rsidP="007B0E02">
      <w:pPr>
        <w:pStyle w:val="1"/>
      </w:pPr>
      <w:r w:rsidRPr="002F779C">
        <w:t>1.</w:t>
      </w:r>
      <w:r w:rsidRPr="002F779C">
        <w:tab/>
        <w:t>the product or activity falls outside of the definition as prescribed by law;</w:t>
      </w:r>
    </w:p>
    <w:p w14:paraId="219D2E5F" w14:textId="77777777" w:rsidR="007B0E02" w:rsidRPr="002F779C" w:rsidRDefault="007B0E02" w:rsidP="007B0E02">
      <w:pPr>
        <w:pStyle w:val="1"/>
      </w:pPr>
      <w:r w:rsidRPr="002F779C">
        <w:t>2.</w:t>
      </w:r>
      <w:r w:rsidRPr="002F779C">
        <w:tab/>
        <w:t>the product is of a quality markedly inferior to that representative of similar products produced in Louisiana;</w:t>
      </w:r>
    </w:p>
    <w:p w14:paraId="2608B400" w14:textId="77777777" w:rsidR="007B0E02" w:rsidRPr="002F779C" w:rsidRDefault="007B0E02" w:rsidP="007B0E02">
      <w:pPr>
        <w:pStyle w:val="1"/>
      </w:pPr>
      <w:r w:rsidRPr="002F779C">
        <w:t>3.</w:t>
      </w:r>
      <w:r w:rsidRPr="002F779C">
        <w:tab/>
        <w:t>the applicant has misused the logo(s) prior to the date of application; or the applicant has used the logo(s) without permission of the department;</w:t>
      </w:r>
    </w:p>
    <w:p w14:paraId="36EE3466" w14:textId="77777777" w:rsidR="007B0E02" w:rsidRPr="002F779C" w:rsidRDefault="007B0E02" w:rsidP="007B0E02">
      <w:pPr>
        <w:pStyle w:val="1"/>
      </w:pPr>
      <w:r w:rsidRPr="002F779C">
        <w:t>4.</w:t>
      </w:r>
      <w:r w:rsidRPr="002F779C">
        <w:tab/>
        <w:t>the applicant's use of the</w:t>
      </w:r>
      <w:r w:rsidRPr="002F779C">
        <w:rPr>
          <w:bCs/>
        </w:rPr>
        <w:t xml:space="preserve"> </w:t>
      </w:r>
      <w:r w:rsidRPr="002F779C">
        <w:t>logos</w:t>
      </w:r>
      <w:r w:rsidRPr="002F779C">
        <w:rPr>
          <w:bCs/>
        </w:rPr>
        <w:t xml:space="preserve"> </w:t>
      </w:r>
      <w:r w:rsidRPr="002F779C">
        <w:t>would, in the department’s opinion, either:</w:t>
      </w:r>
    </w:p>
    <w:p w14:paraId="6B5D0312" w14:textId="77777777" w:rsidR="007B0E02" w:rsidRPr="002F779C" w:rsidRDefault="007B0E02" w:rsidP="007B0E02">
      <w:pPr>
        <w:pStyle w:val="a0"/>
      </w:pPr>
      <w:r w:rsidRPr="002F779C">
        <w:t>a.</w:t>
      </w:r>
      <w:r w:rsidRPr="002F779C">
        <w:tab/>
        <w:t>impair or frustrate the department's efforts to expand or encourage development of the markets for Louisiana agricultural and other products; or</w:t>
      </w:r>
    </w:p>
    <w:p w14:paraId="6A4BB775" w14:textId="77777777" w:rsidR="007B0E02" w:rsidRPr="002F779C" w:rsidRDefault="007B0E02" w:rsidP="007B0E02">
      <w:pPr>
        <w:pStyle w:val="a0"/>
      </w:pPr>
      <w:r w:rsidRPr="002F779C">
        <w:t>b.</w:t>
      </w:r>
      <w:r w:rsidRPr="002F779C">
        <w:tab/>
        <w:t>fail to enhance the integrity and image of the program.</w:t>
      </w:r>
    </w:p>
    <w:p w14:paraId="75C9EF53" w14:textId="77777777" w:rsidR="007B0E02" w:rsidRPr="002F779C" w:rsidRDefault="007B0E02" w:rsidP="007B0E02">
      <w:pPr>
        <w:pStyle w:val="A"/>
      </w:pPr>
      <w:r w:rsidRPr="002F779C">
        <w:t>B.</w:t>
      </w:r>
      <w:r w:rsidRPr="002F779C">
        <w:tab/>
        <w:t>Any applicant whose request to use the logo(s) is denied may protest the department’s decision by filing a notice of protest with the department within 15 days of receipt by the applicant of notice of denial. A notice of protest which has been timely filed shall be administered as a contested case as provided for in the Administrative Procedure Act. If notice of protest has not been filed with the department within 15 days of receipt by the applicant of notice of denial, such denial shall become final.</w:t>
      </w:r>
    </w:p>
    <w:p w14:paraId="5EEF2B9A" w14:textId="77777777" w:rsidR="001A01C2" w:rsidRPr="00D22FCA" w:rsidRDefault="007B0E02" w:rsidP="007B0E02">
      <w:pPr>
        <w:pStyle w:val="AuthorityNote"/>
      </w:pPr>
      <w:r w:rsidRPr="002F779C">
        <w:rPr>
          <w:szCs w:val="18"/>
        </w:rPr>
        <w:t>AUTHORITY NOTE:</w:t>
      </w:r>
      <w:r w:rsidRPr="002F779C">
        <w:rPr>
          <w:szCs w:val="18"/>
        </w:rPr>
        <w:tab/>
        <w:t>Promulgated in accordance with R.S. 3:4721.</w:t>
      </w:r>
    </w:p>
    <w:p w14:paraId="186894E1"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 xml:space="preserve">mulgated LR 42:541 (April 2016), </w:t>
      </w:r>
      <w:r w:rsidR="007B0E02" w:rsidRPr="002F779C">
        <w:rPr>
          <w:szCs w:val="18"/>
        </w:rPr>
        <w:t>amended LR 44:441 (March 2018).</w:t>
      </w:r>
    </w:p>
    <w:p w14:paraId="7F243EB8" w14:textId="77777777" w:rsidR="001A01C2" w:rsidRPr="00D22FCA" w:rsidRDefault="001A01C2" w:rsidP="001A01C2">
      <w:pPr>
        <w:pStyle w:val="Section"/>
      </w:pPr>
      <w:bookmarkStart w:id="965" w:name="_Toc224818724"/>
      <w:r w:rsidRPr="00D22FCA">
        <w:t>§2</w:t>
      </w:r>
      <w:r>
        <w:t>9</w:t>
      </w:r>
      <w:r w:rsidRPr="00D22FCA">
        <w:t>09.</w:t>
      </w:r>
      <w:r w:rsidRPr="00D22FCA">
        <w:tab/>
        <w:t>Renewal of Registration</w:t>
      </w:r>
      <w:bookmarkEnd w:id="965"/>
    </w:p>
    <w:p w14:paraId="2C8727E2" w14:textId="77777777" w:rsidR="007B0E02" w:rsidRPr="007B0E02" w:rsidRDefault="007B0E02" w:rsidP="007B0E02">
      <w:pPr>
        <w:pStyle w:val="A"/>
        <w:rPr>
          <w:strike/>
        </w:rPr>
      </w:pPr>
      <w:r w:rsidRPr="00A67F25">
        <w:t>A.</w:t>
      </w:r>
      <w:r w:rsidRPr="00A67F25">
        <w:tab/>
        <w:t>All licenses shall expire on December 31 of the third calendar year after issuance.</w:t>
      </w:r>
      <w:r>
        <w:t xml:space="preserve"> </w:t>
      </w:r>
      <w:r w:rsidRPr="00A67F25">
        <w:t>For example, if a license is issued on July 1, 2017, it will expire on December 31, 2019</w:t>
      </w:r>
      <w:r w:rsidRPr="007B0E02">
        <w:t xml:space="preserve">. </w:t>
      </w:r>
    </w:p>
    <w:p w14:paraId="5811D980" w14:textId="77777777" w:rsidR="007B0E02" w:rsidRPr="007B0E02" w:rsidRDefault="007B0E02" w:rsidP="007B0E02">
      <w:pPr>
        <w:pStyle w:val="A"/>
      </w:pPr>
      <w:r w:rsidRPr="00A67F25">
        <w:lastRenderedPageBreak/>
        <w:t>B.</w:t>
      </w:r>
      <w:r w:rsidRPr="00A67F25">
        <w:tab/>
        <w:t>Applications for renewal of registration shall be made in writing on a form prescribed by the department.</w:t>
      </w:r>
      <w:r>
        <w:t xml:space="preserve"> </w:t>
      </w:r>
      <w:r w:rsidRPr="00A67F25">
        <w:t>The fee for renewal of registration is $30</w:t>
      </w:r>
      <w:r w:rsidRPr="007B0E02">
        <w:t>.</w:t>
      </w:r>
    </w:p>
    <w:p w14:paraId="3FD1D985" w14:textId="77777777" w:rsidR="007B0E02" w:rsidRPr="007B0E02" w:rsidRDefault="007B0E02" w:rsidP="007B0E02">
      <w:pPr>
        <w:pStyle w:val="A"/>
      </w:pPr>
      <w:r w:rsidRPr="00A67F25">
        <w:t>C.</w:t>
      </w:r>
      <w:r w:rsidRPr="00A67F25">
        <w:tab/>
        <w:t>Applicant’s application for renewal of registration and $30 renewal fee must be received on or before 5</w:t>
      </w:r>
      <w:r>
        <w:t xml:space="preserve"> </w:t>
      </w:r>
      <w:r w:rsidRPr="00A67F25">
        <w:t>p.m. CST on December 31 in the year in which the license expires.</w:t>
      </w:r>
      <w:r>
        <w:t xml:space="preserve"> </w:t>
      </w:r>
      <w:r w:rsidRPr="00A67F25">
        <w:t>Upon receipt of the renewal application and renewal fee, the department will send the approved registrant</w:t>
      </w:r>
      <w:r>
        <w:t xml:space="preserve"> a certificate of registration.</w:t>
      </w:r>
    </w:p>
    <w:p w14:paraId="70928ADF" w14:textId="77777777" w:rsidR="001A01C2" w:rsidRPr="00D22FCA" w:rsidRDefault="007B0E02" w:rsidP="007B0E02">
      <w:pPr>
        <w:pStyle w:val="AuthorityNote"/>
      </w:pPr>
      <w:r w:rsidRPr="00A67F25">
        <w:t>AUTHORITY NOTE:</w:t>
      </w:r>
      <w:r w:rsidRPr="00A67F25">
        <w:tab/>
        <w:t>Promulgated in accordance with R.S. 3:4721.</w:t>
      </w:r>
    </w:p>
    <w:p w14:paraId="40E678C2"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42:394 (March 2016), repro</w:t>
      </w:r>
      <w:r w:rsidR="007B0E02">
        <w:t xml:space="preserve">mulgated LR 42:541 (April 2016), </w:t>
      </w:r>
      <w:r w:rsidR="007B0E02" w:rsidRPr="00A67F25">
        <w:t xml:space="preserve">amended </w:t>
      </w:r>
      <w:r w:rsidR="007B0E02">
        <w:t>LR 44:441 (March 2018).</w:t>
      </w:r>
    </w:p>
    <w:p w14:paraId="64B38C1B" w14:textId="77777777" w:rsidR="001A01C2" w:rsidRPr="00D22FCA" w:rsidRDefault="001A01C2" w:rsidP="001A01C2">
      <w:pPr>
        <w:pStyle w:val="Section"/>
      </w:pPr>
      <w:bookmarkStart w:id="966" w:name="_Toc224818725"/>
      <w:r w:rsidRPr="00D22FCA">
        <w:t>§2</w:t>
      </w:r>
      <w:r>
        <w:t>9</w:t>
      </w:r>
      <w:r w:rsidRPr="00D22FCA">
        <w:t>11.</w:t>
      </w:r>
      <w:r>
        <w:tab/>
      </w:r>
      <w:r w:rsidRPr="00D22FCA">
        <w:t>Use of Logo</w:t>
      </w:r>
      <w:bookmarkEnd w:id="966"/>
    </w:p>
    <w:p w14:paraId="5712DBA6" w14:textId="77777777" w:rsidR="007B0E02" w:rsidRPr="007B0E02" w:rsidRDefault="007B0E02" w:rsidP="007B0E02">
      <w:pPr>
        <w:pStyle w:val="A"/>
      </w:pPr>
      <w:r w:rsidRPr="007B0E02">
        <w:t>A.</w:t>
      </w:r>
      <w:r w:rsidRPr="007B0E02">
        <w:tab/>
        <w:t>No person shall, in commerce, advertise, sell, offer or expose for sale, distribute, package or in any other manner identify any services or goods with the logo affixed to such service or good, unless the logo use has been previously approved by the department.</w:t>
      </w:r>
    </w:p>
    <w:p w14:paraId="0981421B" w14:textId="77777777" w:rsidR="007B0E02" w:rsidRPr="007B0E02" w:rsidRDefault="007B0E02" w:rsidP="007B0E02">
      <w:pPr>
        <w:pStyle w:val="A"/>
      </w:pPr>
      <w:r w:rsidRPr="007B0E02">
        <w:t>B.</w:t>
      </w:r>
      <w:r w:rsidRPr="007B0E02">
        <w:tab/>
        <w:t>Any permission granted by the department to licensee for use of the logo shall be nonexclusive and nontransferable to another person or another product. The logo may only be used on the product(s) set forth in the application and listed on the registration certificate.</w:t>
      </w:r>
    </w:p>
    <w:p w14:paraId="3ED1AE45" w14:textId="77777777" w:rsidR="007B0E02" w:rsidRPr="007B0E02" w:rsidRDefault="007B0E02" w:rsidP="007B0E02">
      <w:pPr>
        <w:pStyle w:val="A"/>
      </w:pPr>
      <w:r w:rsidRPr="007B0E02">
        <w:t>C.</w:t>
      </w:r>
      <w:r w:rsidRPr="007B0E02">
        <w:tab/>
        <w:t>Licensee’s authorization to use the logo(s)</w:t>
      </w:r>
      <w:r w:rsidRPr="007B0E02">
        <w:rPr>
          <w:bCs/>
        </w:rPr>
        <w:t xml:space="preserve"> </w:t>
      </w:r>
      <w:r w:rsidRPr="007B0E02">
        <w:t xml:space="preserve">shall not be construed to grant or assign any right, title or interest in or to the logo(s) or the goodwill attached thereto. </w:t>
      </w:r>
    </w:p>
    <w:p w14:paraId="0D176A35" w14:textId="77777777" w:rsidR="007B0E02" w:rsidRPr="007B0E02" w:rsidRDefault="007B0E02" w:rsidP="007B0E02">
      <w:pPr>
        <w:pStyle w:val="A"/>
      </w:pPr>
      <w:r w:rsidRPr="007B0E02">
        <w:t>D.</w:t>
      </w:r>
      <w:r w:rsidRPr="007B0E02">
        <w:tab/>
        <w:t>Licensee shall not alter the appearance of the logo(s) in any manner. Licensee may use the logo in any color he desires, but logo wording may not be altered.</w:t>
      </w:r>
    </w:p>
    <w:p w14:paraId="56521E43" w14:textId="77777777" w:rsidR="007B0E02" w:rsidRPr="007B0E02" w:rsidRDefault="007B0E02" w:rsidP="007B0E02">
      <w:pPr>
        <w:pStyle w:val="A"/>
      </w:pPr>
      <w:r w:rsidRPr="007B0E02">
        <w:t>E.</w:t>
      </w:r>
      <w:r w:rsidRPr="007B0E02">
        <w:tab/>
        <w:t>Other than the authorized use of the logo(s), no licensee shall use any statement of affiliation or endorsement by the state of Louisiana or the department in the selling, advertising, marketing, packaging, or other commercial handling of products and services, or r</w:t>
      </w:r>
      <w:r>
        <w:t>estaurants.</w:t>
      </w:r>
    </w:p>
    <w:p w14:paraId="275FD439" w14:textId="77777777" w:rsidR="007B0E02" w:rsidRPr="007B0E02" w:rsidRDefault="007B0E02" w:rsidP="007B0E02">
      <w:pPr>
        <w:pStyle w:val="A"/>
      </w:pPr>
      <w:r w:rsidRPr="007B0E02">
        <w:t>F.</w:t>
      </w:r>
      <w:r w:rsidRPr="007B0E02">
        <w:tab/>
        <w:t>The following shall constitute misuse of the logo:</w:t>
      </w:r>
    </w:p>
    <w:p w14:paraId="225D470E" w14:textId="77777777" w:rsidR="007B0E02" w:rsidRPr="007B0E02" w:rsidRDefault="007B0E02" w:rsidP="007B0E02">
      <w:pPr>
        <w:pStyle w:val="1"/>
      </w:pPr>
      <w:r w:rsidRPr="007B0E02">
        <w:t>1.</w:t>
      </w:r>
      <w:r w:rsidRPr="007B0E02">
        <w:tab/>
        <w:t>using the logo(s) on any product for which use has not been granted by the department;</w:t>
      </w:r>
    </w:p>
    <w:p w14:paraId="6F7BAE56" w14:textId="77777777" w:rsidR="007B0E02" w:rsidRPr="007B0E02" w:rsidRDefault="007B0E02" w:rsidP="007B0E02">
      <w:pPr>
        <w:pStyle w:val="1"/>
      </w:pPr>
      <w:r w:rsidRPr="007B0E02">
        <w:t>2.</w:t>
      </w:r>
      <w:r w:rsidRPr="007B0E02">
        <w:tab/>
        <w:t>using the logo(s) on a product that is not in compliance with state or federal law;</w:t>
      </w:r>
    </w:p>
    <w:p w14:paraId="76DC19AB" w14:textId="77777777" w:rsidR="007B0E02" w:rsidRPr="007B0E02" w:rsidRDefault="007B0E02" w:rsidP="007B0E02">
      <w:pPr>
        <w:pStyle w:val="1"/>
      </w:pPr>
      <w:r w:rsidRPr="007B0E02">
        <w:t>3.</w:t>
      </w:r>
      <w:r w:rsidRPr="007B0E02">
        <w:tab/>
        <w:t>using the logo(s) in a manner that is disparaging to the department;</w:t>
      </w:r>
    </w:p>
    <w:p w14:paraId="74D19BD8" w14:textId="77777777" w:rsidR="007B0E02" w:rsidRPr="007B0E02" w:rsidRDefault="007B0E02" w:rsidP="007B0E02">
      <w:pPr>
        <w:pStyle w:val="1"/>
      </w:pPr>
      <w:r w:rsidRPr="007B0E02">
        <w:t>4.</w:t>
      </w:r>
      <w:r w:rsidRPr="007B0E02">
        <w:tab/>
        <w:t>using the logo(s) in violation of any rule promulgated by the department;</w:t>
      </w:r>
    </w:p>
    <w:p w14:paraId="2854AEDF" w14:textId="77777777" w:rsidR="007B0E02" w:rsidRPr="007B0E02" w:rsidRDefault="007B0E02" w:rsidP="007B0E02">
      <w:pPr>
        <w:pStyle w:val="1"/>
      </w:pPr>
      <w:r w:rsidRPr="007B0E02">
        <w:t>5.</w:t>
      </w:r>
      <w:r w:rsidRPr="007B0E02">
        <w:tab/>
        <w:t>using the logo(s) without a valid registration.</w:t>
      </w:r>
    </w:p>
    <w:p w14:paraId="53C56F29" w14:textId="77777777" w:rsidR="001A01C2" w:rsidRPr="00D22FCA" w:rsidRDefault="007B0E02" w:rsidP="007B0E02">
      <w:pPr>
        <w:pStyle w:val="AuthorityNote"/>
      </w:pPr>
      <w:r w:rsidRPr="00A67F25">
        <w:t>AUTHORITY NOTE:</w:t>
      </w:r>
      <w:r w:rsidRPr="00A67F25">
        <w:tab/>
        <w:t>Promulgated in accordance with R.S. 3:4721.</w:t>
      </w:r>
    </w:p>
    <w:p w14:paraId="5846630A" w14:textId="77777777"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42:394 (March 2016), repro</w:t>
      </w:r>
      <w:r w:rsidR="007B0E02">
        <w:t xml:space="preserve">mulgated LR 42:541 (April 2016), </w:t>
      </w:r>
      <w:r w:rsidR="007B0E02" w:rsidRPr="00A67F25">
        <w:t xml:space="preserve">amended </w:t>
      </w:r>
      <w:r w:rsidR="007B0E02">
        <w:t>LR 44:441 (March 2018).</w:t>
      </w:r>
    </w:p>
    <w:p w14:paraId="1F526D19" w14:textId="77777777" w:rsidR="001A01C2" w:rsidRPr="00D22FCA" w:rsidRDefault="001A01C2" w:rsidP="001A01C2">
      <w:pPr>
        <w:pStyle w:val="Section"/>
      </w:pPr>
      <w:bookmarkStart w:id="967" w:name="_Toc224818726"/>
      <w:r w:rsidRPr="00D22FCA">
        <w:t>§2</w:t>
      </w:r>
      <w:r>
        <w:t>9</w:t>
      </w:r>
      <w:r w:rsidRPr="00D22FCA">
        <w:t>13.</w:t>
      </w:r>
      <w:r w:rsidRPr="00D22FCA">
        <w:tab/>
        <w:t>Enforcement</w:t>
      </w:r>
      <w:bookmarkEnd w:id="967"/>
    </w:p>
    <w:p w14:paraId="3830123A" w14:textId="77777777" w:rsidR="007B0E02" w:rsidRPr="002F779C" w:rsidRDefault="007B0E02" w:rsidP="007B0E02">
      <w:pPr>
        <w:pStyle w:val="A"/>
      </w:pPr>
      <w:r w:rsidRPr="002F779C">
        <w:t>A.</w:t>
      </w:r>
      <w:r w:rsidRPr="002F779C">
        <w:tab/>
        <w:t>In the event that the department determines that a licensee has misused the logo(s), the department shall conduct an adjudicatory hearing in accordance with the Administrative Procedure Act in order to determine whether to suspend or revoke the licensee’s permission to use the logo(s).</w:t>
      </w:r>
    </w:p>
    <w:p w14:paraId="2738131D" w14:textId="77777777" w:rsidR="007B0E02" w:rsidRPr="002F779C" w:rsidRDefault="007B0E02" w:rsidP="007B0E02">
      <w:pPr>
        <w:pStyle w:val="A"/>
      </w:pPr>
      <w:r w:rsidRPr="002F779C">
        <w:t>B.</w:t>
      </w:r>
      <w:r w:rsidRPr="002F779C">
        <w:tab/>
        <w:t>All hearings conducted pursuant to this section shall be heard by a three-person hearing panel appointed by the commissioner. The commissioner may appoint a hearing officer to conduct the hearing.</w:t>
      </w:r>
    </w:p>
    <w:p w14:paraId="2D42036C" w14:textId="77777777" w:rsidR="007B0E02" w:rsidRPr="002F779C" w:rsidRDefault="007B0E02" w:rsidP="007B0E02">
      <w:pPr>
        <w:pStyle w:val="A"/>
      </w:pPr>
      <w:r w:rsidRPr="002F779C">
        <w:t>C.</w:t>
      </w:r>
      <w:r w:rsidRPr="002F779C">
        <w:tab/>
        <w:t>At the conclusion of the administrative hearing, the hearing panel may recommend that the licensee’s permission to use the logo(s) be suspended or revoked. The hearing panel’s recommendation shall be submitted to the commissioner for his determination.</w:t>
      </w:r>
    </w:p>
    <w:p w14:paraId="588A0F70" w14:textId="77777777" w:rsidR="007B0E02" w:rsidRPr="002F779C" w:rsidRDefault="007B0E02" w:rsidP="007B0E02">
      <w:pPr>
        <w:pStyle w:val="A"/>
      </w:pPr>
      <w:r w:rsidRPr="002F779C">
        <w:t>D.</w:t>
      </w:r>
      <w:r w:rsidRPr="002F779C">
        <w:tab/>
        <w:t>The commissioner may institute civil proceedings to enforce his rulings in the district court for the parish where the violation occurred.</w:t>
      </w:r>
    </w:p>
    <w:p w14:paraId="437F2749" w14:textId="77777777" w:rsidR="001A01C2" w:rsidRPr="00D22FCA" w:rsidRDefault="007B0E02" w:rsidP="007B0E02">
      <w:pPr>
        <w:pStyle w:val="AuthorityNote"/>
      </w:pPr>
      <w:r w:rsidRPr="00A67F25">
        <w:t>AUTHORITY NOTE:</w:t>
      </w:r>
      <w:r w:rsidRPr="00A67F25">
        <w:tab/>
        <w:t>Promulgated in accordance with R.S. 3:4721.</w:t>
      </w:r>
    </w:p>
    <w:p w14:paraId="0012EF12" w14:textId="77777777" w:rsidR="001A01C2" w:rsidRDefault="001A01C2" w:rsidP="001A01C2">
      <w:pPr>
        <w:pStyle w:val="HistoricalNote"/>
      </w:pPr>
      <w:r w:rsidRPr="00D22FCA">
        <w:t>HISTORICAL NOTE:</w:t>
      </w:r>
      <w:r w:rsidRPr="00D22FCA">
        <w:tab/>
        <w:t xml:space="preserve">Promulgated by the Department of Agriculture and Forestry, Office of Forestry, </w:t>
      </w:r>
      <w:r>
        <w:t>LR 42:394 (March 2016), repro</w:t>
      </w:r>
      <w:r w:rsidR="007B0E02">
        <w:t xml:space="preserve">mulgated LR 42:541 (April 2016), </w:t>
      </w:r>
      <w:r w:rsidR="007B0E02" w:rsidRPr="00A67F25">
        <w:t xml:space="preserve">amended </w:t>
      </w:r>
      <w:r w:rsidR="007B0E02">
        <w:t>LR 44:442 (March 2018).</w:t>
      </w:r>
    </w:p>
    <w:p w14:paraId="716A26F4" w14:textId="77777777" w:rsidR="00A20515" w:rsidRPr="00DC47AC" w:rsidRDefault="00A20515" w:rsidP="00A20515">
      <w:pPr>
        <w:pStyle w:val="Chapter"/>
      </w:pPr>
      <w:bookmarkStart w:id="968" w:name="_Toc224818727"/>
      <w:r>
        <w:t>Chapter 31.</w:t>
      </w:r>
      <w:r>
        <w:tab/>
      </w:r>
      <w:r w:rsidRPr="00DC47AC">
        <w:t>Placing of Advertising or Sponsorship Signs on Department Assets</w:t>
      </w:r>
      <w:bookmarkEnd w:id="968"/>
    </w:p>
    <w:p w14:paraId="10655F4C" w14:textId="77777777" w:rsidR="00A20515" w:rsidRPr="00DC47AC" w:rsidRDefault="00A20515" w:rsidP="00A20515">
      <w:pPr>
        <w:pStyle w:val="Section"/>
      </w:pPr>
      <w:bookmarkStart w:id="969" w:name="_Toc456693572"/>
      <w:bookmarkStart w:id="970" w:name="_Toc224818728"/>
      <w:r w:rsidRPr="00DC47AC">
        <w:t>§3101.</w:t>
      </w:r>
      <w:r w:rsidRPr="00DC47AC">
        <w:tab/>
        <w:t>Advertising or Sponsorship Signs on Department Assets</w:t>
      </w:r>
      <w:bookmarkEnd w:id="969"/>
      <w:bookmarkEnd w:id="970"/>
    </w:p>
    <w:p w14:paraId="1C05A314" w14:textId="77777777" w:rsidR="00A20515" w:rsidRPr="00DC47AC" w:rsidRDefault="00A20515" w:rsidP="00A20515">
      <w:pPr>
        <w:pStyle w:val="A"/>
      </w:pPr>
      <w:r w:rsidRPr="00DC47AC">
        <w:t>A.</w:t>
      </w:r>
      <w:r w:rsidRPr="00DC47AC">
        <w:tab/>
        <w:t>Purpose</w:t>
      </w:r>
    </w:p>
    <w:p w14:paraId="1F4E0026" w14:textId="77777777" w:rsidR="00A20515" w:rsidRPr="00DC47AC" w:rsidRDefault="00A20515" w:rsidP="00A20515">
      <w:pPr>
        <w:pStyle w:val="1"/>
        <w:rPr>
          <w:bCs/>
        </w:rPr>
      </w:pPr>
      <w:r w:rsidRPr="00DC47AC">
        <w:t>1.</w:t>
      </w:r>
      <w:r w:rsidRPr="00DC47AC">
        <w:tab/>
        <w:t>The purpose of this Rule is to establish procedures and guidelines within the department for allowing certain limited types of advertising and sponsorship signs on high-visibility assets owned or controlled by the department to raise revenue to defray costs of departmental services.</w:t>
      </w:r>
    </w:p>
    <w:p w14:paraId="0E686908" w14:textId="77777777" w:rsidR="00A20515" w:rsidRPr="00DC47AC" w:rsidRDefault="00A20515" w:rsidP="00A20515">
      <w:pPr>
        <w:pStyle w:val="1"/>
        <w:rPr>
          <w:bCs/>
        </w:rPr>
      </w:pPr>
      <w:r w:rsidRPr="00DC47AC">
        <w:t>2.</w:t>
      </w:r>
      <w:r w:rsidRPr="00DC47AC">
        <w:tab/>
        <w:t>The display of advertising or sponsorship signs on departmental assets shall not constitute an endorsement by the department of any of the products, services or messages of the advertiser or sponsor.</w:t>
      </w:r>
    </w:p>
    <w:p w14:paraId="5692065C" w14:textId="77777777" w:rsidR="00A20515" w:rsidRPr="00DC47AC" w:rsidRDefault="00A20515" w:rsidP="00A20515">
      <w:pPr>
        <w:pStyle w:val="1"/>
        <w:rPr>
          <w:bCs/>
        </w:rPr>
      </w:pPr>
      <w:r w:rsidRPr="00DC47AC">
        <w:t>3.</w:t>
      </w:r>
      <w:r w:rsidRPr="00DC47AC">
        <w:tab/>
        <w:t>Advertisement or sponsorship signs may be placed on immovable property, improvements on immovable property, vehicles, vessels, airplanes, and assets of the department, including but not limited to websites, pamphlets, brochures, and other outreach, communications, and educational materials.</w:t>
      </w:r>
    </w:p>
    <w:p w14:paraId="3B0AE8F0" w14:textId="77777777" w:rsidR="00A20515" w:rsidRPr="00DC47AC" w:rsidRDefault="00A20515" w:rsidP="00A20515">
      <w:pPr>
        <w:pStyle w:val="A"/>
      </w:pPr>
      <w:r w:rsidRPr="00DC47AC">
        <w:t>B.</w:t>
      </w:r>
      <w:r w:rsidRPr="00DC47AC">
        <w:tab/>
        <w:t>Solicitation, Selection and Contracting</w:t>
      </w:r>
    </w:p>
    <w:p w14:paraId="2C972025" w14:textId="77777777" w:rsidR="00A20515" w:rsidRPr="00DC47AC" w:rsidRDefault="00A20515" w:rsidP="00A20515">
      <w:pPr>
        <w:pStyle w:val="1"/>
      </w:pPr>
      <w:r w:rsidRPr="00DC47AC">
        <w:rPr>
          <w:bCs/>
        </w:rPr>
        <w:t>1.</w:t>
      </w:r>
      <w:r w:rsidRPr="00DC47AC">
        <w:rPr>
          <w:bCs/>
        </w:rPr>
        <w:tab/>
      </w:r>
      <w:r w:rsidRPr="00DC47AC">
        <w:t>The department may issue solicitations to secure contracts to determine the market potential for advertisements or sponsorships or to place advertisements or sponsorship signs on department assets.</w:t>
      </w:r>
    </w:p>
    <w:p w14:paraId="3CB906EE" w14:textId="77777777" w:rsidR="00A20515" w:rsidRPr="00DC47AC" w:rsidRDefault="00A20515" w:rsidP="00A20515">
      <w:pPr>
        <w:pStyle w:val="1"/>
      </w:pPr>
      <w:r w:rsidRPr="00DC47AC">
        <w:lastRenderedPageBreak/>
        <w:t>2.</w:t>
      </w:r>
      <w:r w:rsidRPr="00DC47AC">
        <w:tab/>
        <w:t>The solicitation responses will be reviewed by a three person committee appointed by the commissioner, and the most suitable proposals, as determined by the committee, may be selected.</w:t>
      </w:r>
    </w:p>
    <w:p w14:paraId="214BA9FC" w14:textId="77777777" w:rsidR="00A20515" w:rsidRPr="00DC47AC" w:rsidRDefault="00A20515" w:rsidP="00A20515">
      <w:pPr>
        <w:pStyle w:val="1"/>
      </w:pPr>
      <w:r w:rsidRPr="00DC47AC">
        <w:t>3.</w:t>
      </w:r>
      <w:r w:rsidRPr="00DC47AC">
        <w:tab/>
        <w:t xml:space="preserve">The committee shall consider the following criteria before entering into a sponsorship agreement: </w:t>
      </w:r>
    </w:p>
    <w:p w14:paraId="6EC4F3FF" w14:textId="77777777" w:rsidR="00A20515" w:rsidRPr="00DC47AC" w:rsidRDefault="00A20515" w:rsidP="00A20515">
      <w:pPr>
        <w:pStyle w:val="a0"/>
      </w:pPr>
      <w:r w:rsidRPr="00DC47AC">
        <w:t>a.</w:t>
      </w:r>
      <w:r w:rsidRPr="00DC47AC">
        <w:tab/>
        <w:t>whether the sponsorship is consistent with the goals, objectives, and mission of the department and the current priorities that support these goals, objectives, and mission; and</w:t>
      </w:r>
    </w:p>
    <w:p w14:paraId="14D17A78" w14:textId="77777777" w:rsidR="00A20515" w:rsidRPr="00DC47AC" w:rsidRDefault="00A20515" w:rsidP="00A20515">
      <w:pPr>
        <w:pStyle w:val="a0"/>
      </w:pPr>
      <w:r w:rsidRPr="00DC47AC">
        <w:t>b.</w:t>
      </w:r>
      <w:r w:rsidRPr="00DC47AC">
        <w:tab/>
        <w:t>the importance of the sponsorship to the mission of the department; and</w:t>
      </w:r>
    </w:p>
    <w:p w14:paraId="435418BF" w14:textId="77777777" w:rsidR="00A20515" w:rsidRPr="00DC47AC" w:rsidRDefault="00A20515" w:rsidP="00A20515">
      <w:pPr>
        <w:pStyle w:val="a0"/>
      </w:pPr>
      <w:r w:rsidRPr="00DC47AC">
        <w:t>c.</w:t>
      </w:r>
      <w:r w:rsidRPr="00DC47AC">
        <w:tab/>
        <w:t>the extent and prominence of the public display of sponsorship; and</w:t>
      </w:r>
    </w:p>
    <w:p w14:paraId="0C463859" w14:textId="77777777" w:rsidR="00A20515" w:rsidRPr="00DC47AC" w:rsidRDefault="00A20515" w:rsidP="00A20515">
      <w:pPr>
        <w:pStyle w:val="a0"/>
      </w:pPr>
      <w:r w:rsidRPr="00DC47AC">
        <w:t>d.</w:t>
      </w:r>
      <w:r w:rsidRPr="00DC47AC">
        <w:tab/>
        <w:t>aesthetic characteristics of the public display of sponsorship; and</w:t>
      </w:r>
    </w:p>
    <w:p w14:paraId="7CEC6374" w14:textId="77777777" w:rsidR="00A20515" w:rsidRPr="00DC47AC" w:rsidRDefault="00A20515" w:rsidP="00A20515">
      <w:pPr>
        <w:pStyle w:val="a0"/>
      </w:pPr>
      <w:r w:rsidRPr="00DC47AC">
        <w:t>e.</w:t>
      </w:r>
      <w:r w:rsidRPr="00DC47AC">
        <w:tab/>
        <w:t>the level of support provided by the sponsor; and</w:t>
      </w:r>
    </w:p>
    <w:p w14:paraId="13B05107" w14:textId="77777777" w:rsidR="00A20515" w:rsidRPr="00DC47AC" w:rsidRDefault="00A20515" w:rsidP="00A20515">
      <w:pPr>
        <w:pStyle w:val="a0"/>
      </w:pPr>
      <w:r w:rsidRPr="00DC47AC">
        <w:t>f.</w:t>
      </w:r>
      <w:r w:rsidRPr="00DC47AC">
        <w:tab/>
        <w:t>the cooperation necessary from the department to implement the sponsorship; and</w:t>
      </w:r>
    </w:p>
    <w:p w14:paraId="6E2144FE" w14:textId="77777777" w:rsidR="00A20515" w:rsidRPr="00DC47AC" w:rsidRDefault="00A20515" w:rsidP="00A20515">
      <w:pPr>
        <w:pStyle w:val="a0"/>
      </w:pPr>
      <w:r w:rsidRPr="00DC47AC">
        <w:t>g.</w:t>
      </w:r>
      <w:r w:rsidRPr="00DC47AC">
        <w:tab/>
        <w:t>any inconsistencies between the department’s policies and the known policies of the potential sponsor; and</w:t>
      </w:r>
    </w:p>
    <w:p w14:paraId="0D60C11B" w14:textId="77777777" w:rsidR="00A20515" w:rsidRPr="00DC47AC" w:rsidRDefault="00A20515" w:rsidP="00A20515">
      <w:pPr>
        <w:pStyle w:val="a0"/>
      </w:pPr>
      <w:r w:rsidRPr="00DC47AC">
        <w:t>h.</w:t>
      </w:r>
      <w:r w:rsidRPr="00DC47AC">
        <w:tab/>
        <w:t>other factors that might undermine public confidence in the department’s impartiality or interfere with the efficient delivery of department services or operations, including, but not limited to, current or potential conflicts of interest, or perception of a conflict of interest, between the sponsor and department employees, officials, or affiliates; and the potential for the sponsorship to tarnish the state’s standing among its citizens or otherwise impair the ability of the state to govern its citizens.</w:t>
      </w:r>
    </w:p>
    <w:p w14:paraId="53DCF3F6" w14:textId="77777777" w:rsidR="00A20515" w:rsidRPr="00DC47AC" w:rsidRDefault="00A20515" w:rsidP="00A20515">
      <w:pPr>
        <w:pStyle w:val="1"/>
      </w:pPr>
      <w:r w:rsidRPr="00DC47AC">
        <w:t>4.</w:t>
      </w:r>
      <w:r w:rsidRPr="00DC47AC">
        <w:tab/>
        <w:t>The committee has the discretion to make reasonable recommendations to the commissioner concerning the types of advertising or sponsorship signs that may be displayed utilizing the criteria established herein.</w:t>
      </w:r>
    </w:p>
    <w:p w14:paraId="5E880553" w14:textId="77777777" w:rsidR="00A20515" w:rsidRPr="00DC47AC" w:rsidRDefault="00A20515" w:rsidP="00A20515">
      <w:pPr>
        <w:pStyle w:val="1"/>
      </w:pPr>
      <w:r w:rsidRPr="00DC47AC">
        <w:t>5.</w:t>
      </w:r>
      <w:r w:rsidRPr="00DC47AC">
        <w:tab/>
        <w:t>The commissioner shall have final discretion regarding which recommendations and solicitations are selected. Selections shall be made for those advertisements or sponsorships that do not impact or infringe upon the image or reputation of the department.</w:t>
      </w:r>
    </w:p>
    <w:p w14:paraId="23411CA4" w14:textId="77777777" w:rsidR="00A20515" w:rsidRPr="00DC47AC" w:rsidRDefault="00A20515" w:rsidP="00A20515">
      <w:pPr>
        <w:pStyle w:val="1"/>
      </w:pPr>
      <w:r w:rsidRPr="00DC47AC">
        <w:t>6.</w:t>
      </w:r>
      <w:r w:rsidRPr="00DC47AC">
        <w:tab/>
        <w:t>The amount of the approved financial or in-kind support is at the discretion of the department.</w:t>
      </w:r>
    </w:p>
    <w:p w14:paraId="13F4911A" w14:textId="77777777" w:rsidR="00A20515" w:rsidRPr="00DC47AC" w:rsidRDefault="00A20515" w:rsidP="00A20515">
      <w:pPr>
        <w:pStyle w:val="1"/>
      </w:pPr>
      <w:r w:rsidRPr="00DC47AC">
        <w:t>7.</w:t>
      </w:r>
      <w:r w:rsidRPr="00DC47AC">
        <w:tab/>
        <w:t>The department may limit the number and type of assets available for advertising or sponsorship displays.</w:t>
      </w:r>
    </w:p>
    <w:p w14:paraId="286F5DE6" w14:textId="77777777" w:rsidR="00A20515" w:rsidRPr="00DC47AC" w:rsidRDefault="00A20515" w:rsidP="00A20515">
      <w:pPr>
        <w:pStyle w:val="1"/>
      </w:pPr>
      <w:r w:rsidRPr="00DC47AC">
        <w:t>8.</w:t>
      </w:r>
      <w:r w:rsidRPr="00DC47AC">
        <w:tab/>
        <w:t>The department may limit the authorization to advertise or place sponsorship signs among the department’s divisions, sections, programs and initiatives.</w:t>
      </w:r>
    </w:p>
    <w:p w14:paraId="53721705" w14:textId="77777777" w:rsidR="00A20515" w:rsidRPr="00DC47AC" w:rsidRDefault="00A20515" w:rsidP="00A20515">
      <w:pPr>
        <w:pStyle w:val="1"/>
      </w:pPr>
      <w:r w:rsidRPr="00DC47AC">
        <w:t>9.</w:t>
      </w:r>
      <w:r w:rsidRPr="00DC47AC">
        <w:tab/>
        <w:t>The department may limit the terms and conditions of the contract with an advertiser or sponsor.</w:t>
      </w:r>
    </w:p>
    <w:p w14:paraId="5AEA0C2E" w14:textId="77777777" w:rsidR="00A20515" w:rsidRPr="00DC47AC" w:rsidRDefault="00A20515" w:rsidP="00A20515">
      <w:pPr>
        <w:pStyle w:val="1"/>
      </w:pPr>
      <w:r w:rsidRPr="00DC47AC">
        <w:t>10.</w:t>
      </w:r>
      <w:r w:rsidRPr="00DC47AC">
        <w:tab/>
        <w:t>Sponsorship agreements shall include a termination clause giving the department the right to tend such agreement at any time based on any of the following:</w:t>
      </w:r>
    </w:p>
    <w:p w14:paraId="5FE23A18" w14:textId="77777777" w:rsidR="00A20515" w:rsidRPr="00DC47AC" w:rsidRDefault="00A20515" w:rsidP="00A20515">
      <w:pPr>
        <w:pStyle w:val="a0"/>
      </w:pPr>
      <w:r w:rsidRPr="00DC47AC">
        <w:t>a.</w:t>
      </w:r>
      <w:r w:rsidRPr="00DC47AC">
        <w:tab/>
        <w:t>safety concerns;</w:t>
      </w:r>
    </w:p>
    <w:p w14:paraId="04DB8E74" w14:textId="77777777" w:rsidR="00A20515" w:rsidRPr="00DC47AC" w:rsidRDefault="00A20515" w:rsidP="00A20515">
      <w:pPr>
        <w:pStyle w:val="a0"/>
      </w:pPr>
      <w:r w:rsidRPr="00DC47AC">
        <w:t>b.</w:t>
      </w:r>
      <w:r w:rsidRPr="00DC47AC">
        <w:tab/>
        <w:t>a determination that the sponsorship agreement or acknowledgement is not in the public interest; or</w:t>
      </w:r>
    </w:p>
    <w:p w14:paraId="75F4A28C" w14:textId="77777777" w:rsidR="00A20515" w:rsidRPr="00DC47AC" w:rsidRDefault="00A20515" w:rsidP="00A20515">
      <w:pPr>
        <w:pStyle w:val="a0"/>
      </w:pPr>
      <w:r w:rsidRPr="00DC47AC">
        <w:t>c.</w:t>
      </w:r>
      <w:r w:rsidRPr="00DC47AC">
        <w:tab/>
        <w:t>for the convenience of the department.</w:t>
      </w:r>
    </w:p>
    <w:p w14:paraId="450CCDB8" w14:textId="77777777" w:rsidR="00A20515" w:rsidRPr="00DC47AC" w:rsidRDefault="00A20515" w:rsidP="00A20515">
      <w:pPr>
        <w:pStyle w:val="A"/>
      </w:pPr>
      <w:r w:rsidRPr="00DC47AC">
        <w:t>C.</w:t>
      </w:r>
      <w:r w:rsidRPr="00DC47AC">
        <w:tab/>
        <w:t>Guidelines for Content for Advertising and Sponsorship Signs</w:t>
      </w:r>
    </w:p>
    <w:p w14:paraId="173CE53C" w14:textId="77777777" w:rsidR="00A20515" w:rsidRPr="00DC47AC" w:rsidRDefault="00A20515" w:rsidP="00A20515">
      <w:pPr>
        <w:pStyle w:val="1"/>
      </w:pPr>
      <w:r w:rsidRPr="00DC47AC">
        <w:t>1.</w:t>
      </w:r>
      <w:r w:rsidRPr="00DC47AC">
        <w:tab/>
        <w:t>Only commercial advertising or sponsorships will be accepted. The advertisement or sponsorship content shall only include content that promotes or informs a commercial transaction.</w:t>
      </w:r>
    </w:p>
    <w:p w14:paraId="1632FD06" w14:textId="77777777" w:rsidR="00A20515" w:rsidRPr="00DC47AC" w:rsidRDefault="00A20515" w:rsidP="00A20515">
      <w:pPr>
        <w:pStyle w:val="1"/>
      </w:pPr>
      <w:r w:rsidRPr="00DC47AC">
        <w:t>2.</w:t>
      </w:r>
      <w:r w:rsidRPr="00DC47AC">
        <w:tab/>
        <w:t>No content promoting illegal activity or obscene, vulgar or offensive conduct shall be allowed.</w:t>
      </w:r>
    </w:p>
    <w:p w14:paraId="3D219AEF" w14:textId="77777777" w:rsidR="00A20515" w:rsidRPr="00DC47AC" w:rsidRDefault="00A20515" w:rsidP="00A20515">
      <w:pPr>
        <w:pStyle w:val="1"/>
      </w:pPr>
      <w:r w:rsidRPr="00DC47AC">
        <w:t>3.</w:t>
      </w:r>
      <w:r w:rsidRPr="00DC47AC">
        <w:tab/>
        <w:t>No content that demeans or disparages individuals or groups shall be allowed.</w:t>
      </w:r>
    </w:p>
    <w:p w14:paraId="4D418ECD" w14:textId="77777777" w:rsidR="00A20515" w:rsidRPr="00DC47AC" w:rsidRDefault="00A20515" w:rsidP="00A20515">
      <w:pPr>
        <w:pStyle w:val="1"/>
      </w:pPr>
      <w:r w:rsidRPr="00DC47AC">
        <w:t>4.</w:t>
      </w:r>
      <w:r w:rsidRPr="00DC47AC">
        <w:tab/>
        <w:t>No political or religious advertising or sponsorships shall be allowed.</w:t>
      </w:r>
    </w:p>
    <w:p w14:paraId="67102F5A" w14:textId="77777777" w:rsidR="00A20515" w:rsidRPr="00DC47AC" w:rsidRDefault="00A20515" w:rsidP="00A20515">
      <w:pPr>
        <w:pStyle w:val="1"/>
      </w:pPr>
      <w:r w:rsidRPr="00DC47AC">
        <w:t>5.</w:t>
      </w:r>
      <w:r w:rsidRPr="00DC47AC">
        <w:tab/>
        <w:t xml:space="preserve">No advertising or sponsorship signs of adult oriented products shall be allowed. </w:t>
      </w:r>
    </w:p>
    <w:p w14:paraId="72F58A93" w14:textId="77777777" w:rsidR="00A20515" w:rsidRPr="00DC47AC" w:rsidRDefault="00A20515" w:rsidP="00A20515">
      <w:pPr>
        <w:pStyle w:val="1"/>
      </w:pPr>
      <w:r w:rsidRPr="00DC47AC">
        <w:t>6.</w:t>
      </w:r>
      <w:r w:rsidRPr="00DC47AC">
        <w:tab/>
        <w:t>Advertising or sponsorship signs of firearms and other means authorized in the lawful taking of game in Louisiana may be allowed.</w:t>
      </w:r>
    </w:p>
    <w:p w14:paraId="50D22568" w14:textId="77777777" w:rsidR="00A20515" w:rsidRPr="00DC47AC" w:rsidRDefault="00A20515" w:rsidP="00A20515">
      <w:pPr>
        <w:pStyle w:val="1"/>
      </w:pPr>
      <w:r w:rsidRPr="00DC47AC">
        <w:t>7.</w:t>
      </w:r>
      <w:r w:rsidRPr="00DC47AC">
        <w:tab/>
        <w:t>The advertising or sponsorships should not be so controversial that it can promote vandalism of advertising or sponsorship materials and associated departmental property.</w:t>
      </w:r>
    </w:p>
    <w:p w14:paraId="28F1F84D" w14:textId="77777777" w:rsidR="00A20515" w:rsidRPr="00DC47AC" w:rsidRDefault="00A20515" w:rsidP="00A20515">
      <w:pPr>
        <w:pStyle w:val="A"/>
      </w:pPr>
      <w:r w:rsidRPr="00DC47AC">
        <w:t>D.</w:t>
      </w:r>
      <w:r w:rsidRPr="00DC47AC">
        <w:tab/>
        <w:t>Guidelines for Placement of Advertising or Sponsorship Signs on Assets</w:t>
      </w:r>
    </w:p>
    <w:p w14:paraId="65CF5C91" w14:textId="77777777" w:rsidR="00A20515" w:rsidRPr="00DC47AC" w:rsidRDefault="00A20515" w:rsidP="00A20515">
      <w:pPr>
        <w:pStyle w:val="1"/>
      </w:pPr>
      <w:r w:rsidRPr="00DC47AC">
        <w:t>1.</w:t>
      </w:r>
      <w:r w:rsidRPr="00DC47AC">
        <w:tab/>
        <w:t xml:space="preserve">Advertising or sponsorship signs shall not be placed in a manner that could interfere or confuse as to the identification of department’s ownership or control of the asset. </w:t>
      </w:r>
    </w:p>
    <w:p w14:paraId="5F1F0229" w14:textId="77777777" w:rsidR="00A20515" w:rsidRPr="00DC47AC" w:rsidRDefault="00A20515" w:rsidP="00A20515">
      <w:pPr>
        <w:pStyle w:val="1"/>
      </w:pPr>
      <w:r w:rsidRPr="00DC47AC">
        <w:t>2.</w:t>
      </w:r>
      <w:r w:rsidRPr="00DC47AC">
        <w:tab/>
        <w:t>On vehicles and other assets of the department traditionally utilized in the transport of personnel or equipment, advertising or sponsorships signs may be placed on the inside or the outside of equipment. However, the signage shall not be erected in such a manner that it impedes the asset’s safe utilization and operation.</w:t>
      </w:r>
    </w:p>
    <w:p w14:paraId="43A2D6C8" w14:textId="77777777" w:rsidR="00A20515" w:rsidRPr="00DC47AC" w:rsidRDefault="00A20515" w:rsidP="00A20515">
      <w:pPr>
        <w:pStyle w:val="1"/>
      </w:pPr>
      <w:r w:rsidRPr="00DC47AC">
        <w:t>3.</w:t>
      </w:r>
      <w:r w:rsidRPr="00DC47AC">
        <w:tab/>
        <w:t>For advertising or sponsorship signs which require a power source, such as electronics or LED lighting, the advertiser or sponsor will be required by the department to submit and maintain detailed plans and provisions. The use of the powered advertising or sponsorship devices shall not have any adverse effect on the safety and functionality of the asset. If the safety and functionality of the asset is compromised after installation, the signage shall be removed.</w:t>
      </w:r>
    </w:p>
    <w:p w14:paraId="5916821C" w14:textId="77777777" w:rsidR="00A20515" w:rsidRPr="00DC47AC" w:rsidRDefault="00A20515" w:rsidP="00A20515">
      <w:pPr>
        <w:pStyle w:val="1"/>
      </w:pPr>
      <w:r w:rsidRPr="00DC47AC">
        <w:t>4.</w:t>
      </w:r>
      <w:r w:rsidRPr="00DC47AC">
        <w:tab/>
        <w:t>The department will maintain full ownership of any sponsored product, event and asset.</w:t>
      </w:r>
    </w:p>
    <w:p w14:paraId="4F8A42A3" w14:textId="77777777" w:rsidR="00A20515" w:rsidRPr="00DC47AC" w:rsidRDefault="00A20515" w:rsidP="00A20515">
      <w:pPr>
        <w:pStyle w:val="AuthorityNote"/>
      </w:pPr>
      <w:r w:rsidRPr="00DC47AC">
        <w:t>AUTHORITY NOTE:</w:t>
      </w:r>
      <w:r w:rsidRPr="00DC47AC">
        <w:tab/>
        <w:t>Promulgated in accordance R.S. 3:6</w:t>
      </w:r>
    </w:p>
    <w:p w14:paraId="062B5896" w14:textId="77777777" w:rsidR="001A01C2" w:rsidRDefault="00A20515" w:rsidP="00A20515">
      <w:pPr>
        <w:pStyle w:val="HistoricalNote"/>
      </w:pPr>
      <w:r w:rsidRPr="00DC47AC">
        <w:t>HISTORICAL NOTE:</w:t>
      </w:r>
      <w:r w:rsidRPr="00DC47AC">
        <w:tab/>
        <w:t xml:space="preserve">Promulgated by the Department of Agriculture and Forestry, </w:t>
      </w:r>
      <w:r>
        <w:t xml:space="preserve">Office of the Commissioner, </w:t>
      </w:r>
      <w:r w:rsidRPr="00DC47AC">
        <w:t>LR 43:</w:t>
      </w:r>
      <w:r>
        <w:t>515 (March 2017).</w:t>
      </w:r>
    </w:p>
    <w:p w14:paraId="47F21F26" w14:textId="77777777" w:rsidR="00C70AD4" w:rsidRDefault="00C70AD4" w:rsidP="00EC5E1D">
      <w:pPr>
        <w:pStyle w:val="HistoricalNote"/>
        <w:sectPr w:rsidR="00C70AD4" w:rsidSect="00167E2E">
          <w:headerReference w:type="even" r:id="rId25"/>
          <w:headerReference w:type="default" r:id="rId26"/>
          <w:type w:val="continuous"/>
          <w:pgSz w:w="12240" w:h="15840" w:code="1"/>
          <w:pgMar w:top="1080" w:right="864" w:bottom="864" w:left="864" w:header="576" w:footer="432" w:gutter="0"/>
          <w:cols w:num="2" w:space="720"/>
        </w:sectPr>
      </w:pPr>
    </w:p>
    <w:p w14:paraId="2EA1D889" w14:textId="77777777" w:rsidR="00A06CA6" w:rsidRPr="001531CD" w:rsidRDefault="00A06CA6" w:rsidP="00EC5E1D">
      <w:pPr>
        <w:pStyle w:val="HistoricalNote"/>
      </w:pPr>
    </w:p>
    <w:p w14:paraId="11FCD08C"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2AD936FE" w14:textId="77777777" w:rsidR="00CF626A" w:rsidRPr="001531CD" w:rsidRDefault="00CF626A" w:rsidP="00F03863">
      <w:pPr>
        <w:pStyle w:val="Title1"/>
        <w:outlineLvl w:val="0"/>
      </w:pPr>
      <w:r w:rsidRPr="001531CD">
        <w:lastRenderedPageBreak/>
        <w:t>Title 7</w:t>
      </w:r>
    </w:p>
    <w:p w14:paraId="6A1F8796" w14:textId="77777777" w:rsidR="00CF626A" w:rsidRPr="001531CD" w:rsidRDefault="00CF626A">
      <w:pPr>
        <w:pStyle w:val="Title2"/>
      </w:pPr>
      <w:r w:rsidRPr="001531CD">
        <w:t>AGRICULTURE AND ANIMALS</w:t>
      </w:r>
    </w:p>
    <w:p w14:paraId="56A1731C" w14:textId="77777777" w:rsidR="00CF626A" w:rsidRPr="001531CD" w:rsidRDefault="00CF626A">
      <w:pPr>
        <w:pStyle w:val="Part"/>
      </w:pPr>
      <w:bookmarkStart w:id="971" w:name="TOC_Part3"/>
      <w:bookmarkStart w:id="972" w:name="_Toc77839700"/>
      <w:bookmarkStart w:id="973" w:name="_Toc224818729"/>
      <w:r w:rsidRPr="001531CD">
        <w:t>Part VII.  Dealers in Farm Products</w:t>
      </w:r>
      <w:bookmarkEnd w:id="971"/>
      <w:bookmarkEnd w:id="972"/>
      <w:bookmarkEnd w:id="973"/>
    </w:p>
    <w:p w14:paraId="0AC9EF6A" w14:textId="77777777" w:rsidR="00CF626A" w:rsidRPr="001531CD" w:rsidRDefault="00CF626A">
      <w:pPr>
        <w:pStyle w:val="Part"/>
      </w:pPr>
    </w:p>
    <w:p w14:paraId="7FF25ABE" w14:textId="77777777" w:rsidR="00CF626A" w:rsidRPr="001531CD" w:rsidRDefault="00CF626A">
      <w:pPr>
        <w:pStyle w:val="Part"/>
        <w:sectPr w:rsidR="00CF626A" w:rsidRPr="001531CD" w:rsidSect="00167E2E">
          <w:headerReference w:type="default" r:id="rId27"/>
          <w:type w:val="oddPage"/>
          <w:pgSz w:w="12240" w:h="15840" w:code="1"/>
          <w:pgMar w:top="1080" w:right="864" w:bottom="864" w:left="864" w:header="576" w:footer="432" w:gutter="0"/>
          <w:cols w:space="720"/>
          <w:docGrid w:linePitch="326"/>
        </w:sectPr>
      </w:pPr>
    </w:p>
    <w:p w14:paraId="0F9035CB" w14:textId="77777777" w:rsidR="00CF626A" w:rsidRPr="001531CD" w:rsidRDefault="00CF626A" w:rsidP="00F03863">
      <w:pPr>
        <w:pStyle w:val="Chapter"/>
        <w:outlineLvl w:val="0"/>
      </w:pPr>
      <w:bookmarkStart w:id="974" w:name="TOC_Chap86"/>
      <w:bookmarkStart w:id="975" w:name="_Toc256754463"/>
      <w:bookmarkStart w:id="976" w:name="_Toc30580177"/>
      <w:bookmarkStart w:id="977" w:name="_Toc224818730"/>
      <w:r w:rsidRPr="001531CD">
        <w:t>Chapter 1.</w:t>
      </w:r>
      <w:bookmarkEnd w:id="974"/>
      <w:r w:rsidR="00167E2E">
        <w:tab/>
      </w:r>
      <w:bookmarkStart w:id="978" w:name="TOCT_Chap81"/>
      <w:bookmarkStart w:id="979" w:name="TOCT_Chap84"/>
      <w:bookmarkStart w:id="980" w:name="TOCT_Chap86"/>
      <w:r w:rsidRPr="001531CD">
        <w:t>Milk Buyers</w:t>
      </w:r>
      <w:bookmarkEnd w:id="975"/>
      <w:bookmarkEnd w:id="976"/>
      <w:bookmarkEnd w:id="977"/>
      <w:bookmarkEnd w:id="978"/>
      <w:bookmarkEnd w:id="979"/>
      <w:bookmarkEnd w:id="980"/>
    </w:p>
    <w:p w14:paraId="2A6C6F82" w14:textId="77777777" w:rsidR="00CF626A" w:rsidRPr="001531CD" w:rsidRDefault="00CF626A">
      <w:pPr>
        <w:pStyle w:val="Section"/>
      </w:pPr>
      <w:bookmarkStart w:id="981" w:name="_Toc256754464"/>
      <w:bookmarkStart w:id="982" w:name="_Toc30580178"/>
      <w:bookmarkStart w:id="983" w:name="_Toc224818731"/>
      <w:r w:rsidRPr="001531CD">
        <w:t>§101.</w:t>
      </w:r>
      <w:r w:rsidRPr="001531CD">
        <w:tab/>
        <w:t>Authority</w:t>
      </w:r>
      <w:bookmarkEnd w:id="981"/>
      <w:bookmarkEnd w:id="982"/>
      <w:bookmarkEnd w:id="983"/>
    </w:p>
    <w:p w14:paraId="1CFEA200" w14:textId="77777777" w:rsidR="00CF626A" w:rsidRPr="001531CD" w:rsidRDefault="00CF626A">
      <w:pPr>
        <w:pStyle w:val="A"/>
      </w:pPr>
      <w:r w:rsidRPr="001531CD">
        <w:t>A.</w:t>
      </w:r>
      <w:r w:rsidRPr="001531CD">
        <w:tab/>
        <w:t xml:space="preserve">In accordance with the provisions of Section </w:t>
      </w:r>
      <w:r w:rsidR="00274551" w:rsidRPr="001531CD">
        <w:t>641</w:t>
      </w:r>
      <w:r w:rsidRPr="001531CD">
        <w:t xml:space="preserve"> et seq.</w:t>
      </w:r>
      <w:r w:rsidR="00274551" w:rsidRPr="001531CD">
        <w:t>,</w:t>
      </w:r>
      <w:r w:rsidRPr="001531CD">
        <w:t xml:space="preserve"> of Chapter 6, Title 3 of the Louisiana Revised Statutes of 1950 as amended by Act 128 of 1954, the following regulation is promulgated governing the posting of bonds or other security required of milk buyers.</w:t>
      </w:r>
    </w:p>
    <w:p w14:paraId="6F999052" w14:textId="77777777" w:rsidR="00CF626A" w:rsidRPr="001531CD" w:rsidRDefault="00CF626A">
      <w:pPr>
        <w:pStyle w:val="AuthorityNote"/>
      </w:pPr>
      <w:r w:rsidRPr="001531CD">
        <w:t>AUTHORITY NOTE:</w:t>
      </w:r>
      <w:r w:rsidRPr="001531CD">
        <w:tab/>
        <w:t>Adopted in accordance with R.S. 3:642.</w:t>
      </w:r>
    </w:p>
    <w:p w14:paraId="71428E13" w14:textId="77777777" w:rsidR="00CF626A" w:rsidRPr="001531CD" w:rsidRDefault="00CF626A">
      <w:pPr>
        <w:pStyle w:val="HistoricalNote"/>
      </w:pPr>
      <w:r w:rsidRPr="001531CD">
        <w:t>HISTORICAL NOTE:</w:t>
      </w:r>
      <w:r w:rsidRPr="001531CD">
        <w:tab/>
        <w:t>Adopted by the Department of Agriculture, October 1964.</w:t>
      </w:r>
    </w:p>
    <w:p w14:paraId="21516B83" w14:textId="77777777" w:rsidR="00CF626A" w:rsidRPr="001531CD" w:rsidRDefault="00CF626A">
      <w:pPr>
        <w:pStyle w:val="Section"/>
      </w:pPr>
      <w:bookmarkStart w:id="984" w:name="_Toc256754465"/>
      <w:bookmarkStart w:id="985" w:name="_Toc224818732"/>
      <w:r w:rsidRPr="001531CD">
        <w:t>§103.</w:t>
      </w:r>
      <w:r w:rsidRPr="001531CD">
        <w:tab/>
        <w:t>Bonds and Other Securities</w:t>
      </w:r>
      <w:bookmarkEnd w:id="984"/>
      <w:bookmarkEnd w:id="985"/>
    </w:p>
    <w:p w14:paraId="4B9636C3" w14:textId="77777777" w:rsidR="00CF626A" w:rsidRPr="001531CD" w:rsidRDefault="00CF626A">
      <w:pPr>
        <w:pStyle w:val="A"/>
      </w:pPr>
      <w:r w:rsidRPr="001531CD">
        <w:t>A.</w:t>
      </w:r>
      <w:r w:rsidRPr="001531CD">
        <w:tab/>
        <w:t>Any person, firm or corporation, who shall engage in the business of purchasing milk from producers or cooperative associations for the purpose of manufacturing, pasteurizing or distributing milk or milk products shall post, with the commissioner, a surety bond signed by a surety company authorized to do business in Louisiana, or other security, in a form and substance acceptable to and approved by the commissioner. Said other security may include, but not limited to, the following:</w:t>
      </w:r>
    </w:p>
    <w:p w14:paraId="5CBFBD31" w14:textId="77777777" w:rsidR="00CF626A" w:rsidRPr="001531CD" w:rsidRDefault="00CF626A">
      <w:pPr>
        <w:pStyle w:val="1"/>
      </w:pPr>
      <w:r w:rsidRPr="001531CD">
        <w:t>1.</w:t>
      </w:r>
      <w:r w:rsidRPr="001531CD">
        <w:tab/>
        <w:t>a certified check; or</w:t>
      </w:r>
    </w:p>
    <w:p w14:paraId="42C9DF49" w14:textId="77777777" w:rsidR="00CF626A" w:rsidRPr="001531CD" w:rsidRDefault="00CF626A">
      <w:pPr>
        <w:pStyle w:val="1"/>
      </w:pPr>
      <w:r w:rsidRPr="001531CD">
        <w:t>2.</w:t>
      </w:r>
      <w:r w:rsidRPr="001531CD">
        <w:tab/>
        <w:t>negotiable bonds or securities; or</w:t>
      </w:r>
    </w:p>
    <w:p w14:paraId="5587CF3B" w14:textId="77777777" w:rsidR="00CF626A" w:rsidRPr="001531CD" w:rsidRDefault="00CF626A">
      <w:pPr>
        <w:pStyle w:val="1"/>
      </w:pPr>
      <w:r w:rsidRPr="001531CD">
        <w:t>3.</w:t>
      </w:r>
      <w:r w:rsidRPr="001531CD">
        <w:tab/>
        <w:t>a first mortgage on real estate and/or plant equipment; or</w:t>
      </w:r>
    </w:p>
    <w:p w14:paraId="5625F0DC" w14:textId="77777777" w:rsidR="00CF626A" w:rsidRPr="001531CD" w:rsidRDefault="00CF626A">
      <w:pPr>
        <w:pStyle w:val="1"/>
      </w:pPr>
      <w:r w:rsidRPr="001531CD">
        <w:t>4.</w:t>
      </w:r>
      <w:r w:rsidRPr="001531CD">
        <w:tab/>
        <w:t>irrevocable letter of credit; or</w:t>
      </w:r>
    </w:p>
    <w:p w14:paraId="08960D61" w14:textId="77777777" w:rsidR="00CF626A" w:rsidRPr="001531CD" w:rsidRDefault="00CF626A">
      <w:pPr>
        <w:pStyle w:val="1"/>
      </w:pPr>
      <w:r w:rsidRPr="001531CD">
        <w:t>5.</w:t>
      </w:r>
      <w:r w:rsidRPr="001531CD">
        <w:tab/>
        <w:t>certificate of deposit.</w:t>
      </w:r>
    </w:p>
    <w:p w14:paraId="7F8BF376" w14:textId="77777777" w:rsidR="00CF626A" w:rsidRPr="001531CD" w:rsidRDefault="00CF626A">
      <w:pPr>
        <w:pStyle w:val="A"/>
      </w:pPr>
      <w:r w:rsidRPr="001531CD">
        <w:t>B.</w:t>
      </w:r>
      <w:r w:rsidRPr="001531CD">
        <w:tab/>
        <w:t xml:space="preserve">The amount of such bond or other security shall be computed by adding the total payments made to producers and cooperative associations for milk during the preceding six months, dividing by the number of days in the period and then multiplying the results by twice the number of days in the normal or customary day period. The bond or other securities shall be sufficient to cover a minimum of seven days' purchases from producers and cooperative associations and </w:t>
      </w:r>
      <w:r w:rsidRPr="001531CD">
        <w:t>the maximum amount required shall not be more than an amount sufficient to cover 25 days' purchases from producers and cooperative associations. The correct amount of bond or other security shall be computed semi-annually or annually, at the discretion of the commissioner, and the amount shall be adjusted accordingly.</w:t>
      </w:r>
    </w:p>
    <w:p w14:paraId="37080308" w14:textId="77777777" w:rsidR="00CF626A" w:rsidRPr="001531CD" w:rsidRDefault="00CF626A">
      <w:pPr>
        <w:pStyle w:val="AuthorityNote"/>
      </w:pPr>
      <w:r w:rsidRPr="001531CD">
        <w:t>AUTHORITY NOTE:</w:t>
      </w:r>
      <w:r w:rsidRPr="001531CD">
        <w:tab/>
        <w:t>Adopted in accordance with R.S. 3:641 and R.S. 3:642.</w:t>
      </w:r>
    </w:p>
    <w:p w14:paraId="49692BD6" w14:textId="77777777" w:rsidR="00CF626A" w:rsidRPr="001531CD" w:rsidRDefault="00CF626A">
      <w:pPr>
        <w:pStyle w:val="HistoricalNote"/>
      </w:pPr>
      <w:r w:rsidRPr="001531CD">
        <w:t>HISTORICAL NOTE:</w:t>
      </w:r>
      <w:r w:rsidRPr="001531CD">
        <w:tab/>
        <w:t>Adopted by the Department of Agriculture, August 1967, amended by the Department of Agriculture and Forestry, Dairy Division, LR 13:739 (December 1987).</w:t>
      </w:r>
    </w:p>
    <w:p w14:paraId="62C39A17" w14:textId="77777777" w:rsidR="00CF626A" w:rsidRPr="001531CD" w:rsidRDefault="00CF626A">
      <w:pPr>
        <w:pStyle w:val="Section"/>
      </w:pPr>
      <w:bookmarkStart w:id="986" w:name="_Toc256754466"/>
      <w:bookmarkStart w:id="987" w:name="_Toc224818733"/>
      <w:r w:rsidRPr="001531CD">
        <w:t>§107.</w:t>
      </w:r>
      <w:r w:rsidRPr="001531CD">
        <w:tab/>
        <w:t>Injunctive Procedures</w:t>
      </w:r>
      <w:bookmarkEnd w:id="986"/>
      <w:bookmarkEnd w:id="987"/>
    </w:p>
    <w:p w14:paraId="04FB4D09" w14:textId="77777777" w:rsidR="00CF626A" w:rsidRPr="001531CD" w:rsidRDefault="00CF626A">
      <w:pPr>
        <w:pStyle w:val="A"/>
      </w:pPr>
      <w:r w:rsidRPr="001531CD">
        <w:t>A.</w:t>
      </w:r>
      <w:r w:rsidRPr="001531CD">
        <w:tab/>
        <w:t>Upon the failure of any person, firm or corporation, engaged in the business of purchasing milk from producers and cooperative associations for the purpose of manufacturing, pasteurizing or distributing milk or milk products, to post the bond as required herein, the commissioner of agriculture may file injunctive proceedings in any court of competent jurisdiction to restrain and enjoin such person, firm or corporation from purchasing milk from producers and cooperative associations until such time as the bond required herein is posted. The injunctive relief as provided for herein shall be in addition to the penalty provided by R.S. 3:643.</w:t>
      </w:r>
    </w:p>
    <w:p w14:paraId="37C6FC3B" w14:textId="77777777" w:rsidR="00CF626A" w:rsidRPr="001531CD" w:rsidRDefault="00CF626A">
      <w:pPr>
        <w:pStyle w:val="AuthorityNote"/>
      </w:pPr>
      <w:r w:rsidRPr="001531CD">
        <w:t>AUTHORITY NOTE:</w:t>
      </w:r>
      <w:r w:rsidRPr="001531CD">
        <w:tab/>
        <w:t>Adopted in accordance with R.S. 3:642 and R.S. 3:643.</w:t>
      </w:r>
    </w:p>
    <w:p w14:paraId="67C7327B" w14:textId="77777777" w:rsidR="00CF626A" w:rsidRPr="001531CD" w:rsidRDefault="00CF626A">
      <w:pPr>
        <w:pStyle w:val="HistoricalNote"/>
      </w:pPr>
      <w:r w:rsidRPr="001531CD">
        <w:t>HISTORICAL NOTE:</w:t>
      </w:r>
      <w:r w:rsidRPr="001531CD">
        <w:tab/>
        <w:t>Adopted by the Department of Agriculture, August 1967.</w:t>
      </w:r>
    </w:p>
    <w:p w14:paraId="5FE88AB9" w14:textId="77777777" w:rsidR="00CF626A" w:rsidRPr="001531CD" w:rsidRDefault="00CF626A">
      <w:pPr>
        <w:pStyle w:val="Section"/>
      </w:pPr>
      <w:bookmarkStart w:id="988" w:name="_Toc256754467"/>
      <w:bookmarkStart w:id="989" w:name="_Toc224818734"/>
      <w:r w:rsidRPr="001531CD">
        <w:t>§109.</w:t>
      </w:r>
      <w:r w:rsidRPr="001531CD">
        <w:tab/>
        <w:t>Authority to Promulgate Regulations and Effective Date</w:t>
      </w:r>
      <w:bookmarkEnd w:id="988"/>
      <w:bookmarkEnd w:id="989"/>
    </w:p>
    <w:p w14:paraId="771EC694" w14:textId="77777777" w:rsidR="00CF626A" w:rsidRPr="001531CD" w:rsidRDefault="00CF626A">
      <w:pPr>
        <w:pStyle w:val="A"/>
      </w:pPr>
      <w:r w:rsidRPr="001531CD">
        <w:t>A.</w:t>
      </w:r>
      <w:r w:rsidRPr="001531CD">
        <w:tab/>
        <w:t>The above regulation is hereby promulgated by the commissioner of agriculture under authority of R.S. 3:641 et seq.</w:t>
      </w:r>
      <w:r w:rsidR="00274551" w:rsidRPr="001531CD">
        <w:t>,</w:t>
      </w:r>
      <w:r w:rsidRPr="001531CD">
        <w:t xml:space="preserve"> and shall be effective on and after October 1, 1964.</w:t>
      </w:r>
    </w:p>
    <w:p w14:paraId="72B500C4" w14:textId="77777777" w:rsidR="00CF626A" w:rsidRPr="001531CD" w:rsidRDefault="00CF626A">
      <w:pPr>
        <w:pStyle w:val="AuthorityNote"/>
      </w:pPr>
      <w:r w:rsidRPr="001531CD">
        <w:t>AUTHORITY NOTE:</w:t>
      </w:r>
      <w:r w:rsidRPr="001531CD">
        <w:tab/>
        <w:t>Adopted in accordance with R.S. 3:642.</w:t>
      </w:r>
    </w:p>
    <w:p w14:paraId="24EB59B6" w14:textId="77777777" w:rsidR="00110333" w:rsidRPr="001531CD" w:rsidRDefault="00CF626A">
      <w:pPr>
        <w:pStyle w:val="HistoricalNote"/>
      </w:pPr>
      <w:r w:rsidRPr="001531CD">
        <w:t>HISTORICAL NOTE:</w:t>
      </w:r>
      <w:r w:rsidRPr="001531CD">
        <w:tab/>
        <w:t>Adopted by the Department of Agriculture, August 1967.</w:t>
      </w:r>
    </w:p>
    <w:p w14:paraId="73DD745B" w14:textId="77777777" w:rsidR="005B018F" w:rsidRPr="001531CD" w:rsidRDefault="005B018F">
      <w:pPr>
        <w:pStyle w:val="HistoricalNote"/>
        <w:sectPr w:rsidR="005B018F" w:rsidRPr="001531CD" w:rsidSect="00167E2E">
          <w:headerReference w:type="even" r:id="rId28"/>
          <w:headerReference w:type="default" r:id="rId29"/>
          <w:type w:val="continuous"/>
          <w:pgSz w:w="12240" w:h="15840" w:code="1"/>
          <w:pgMar w:top="1080" w:right="864" w:bottom="864" w:left="864" w:header="576" w:footer="432" w:gutter="0"/>
          <w:cols w:num="2" w:space="720"/>
        </w:sectPr>
      </w:pPr>
    </w:p>
    <w:p w14:paraId="11C5ADB7" w14:textId="77777777" w:rsidR="005B018F" w:rsidRPr="001531CD" w:rsidRDefault="005B018F">
      <w:pPr>
        <w:pStyle w:val="HistoricalNote"/>
      </w:pPr>
    </w:p>
    <w:p w14:paraId="67A5F342" w14:textId="77777777" w:rsidR="00110333" w:rsidRPr="001531CD" w:rsidRDefault="00110333">
      <w:pPr>
        <w:pStyle w:val="HistoricalNote"/>
        <w:sectPr w:rsidR="00110333" w:rsidRPr="001531CD" w:rsidSect="00167E2E">
          <w:type w:val="continuous"/>
          <w:pgSz w:w="12240" w:h="15840" w:code="1"/>
          <w:pgMar w:top="1080" w:right="864" w:bottom="864" w:left="864" w:header="576" w:footer="432" w:gutter="0"/>
          <w:cols w:num="2" w:space="720"/>
        </w:sectPr>
      </w:pPr>
    </w:p>
    <w:p w14:paraId="64722A81" w14:textId="77777777" w:rsidR="00CF626A" w:rsidRPr="001531CD" w:rsidRDefault="00CF626A" w:rsidP="00F03863">
      <w:pPr>
        <w:pStyle w:val="Title1"/>
        <w:outlineLvl w:val="0"/>
      </w:pPr>
      <w:r w:rsidRPr="001531CD">
        <w:lastRenderedPageBreak/>
        <w:t>Title 7</w:t>
      </w:r>
    </w:p>
    <w:p w14:paraId="0AD5768D" w14:textId="77777777" w:rsidR="00CF626A" w:rsidRPr="001531CD" w:rsidRDefault="00CF626A">
      <w:pPr>
        <w:pStyle w:val="Title2"/>
      </w:pPr>
      <w:r w:rsidRPr="001531CD">
        <w:t>AGRICULTURE AND ANIMALS</w:t>
      </w:r>
    </w:p>
    <w:p w14:paraId="3A31B0FA" w14:textId="77777777" w:rsidR="00D730E5" w:rsidRPr="001531CD" w:rsidRDefault="00D730E5" w:rsidP="00D730E5">
      <w:pPr>
        <w:pStyle w:val="Part"/>
      </w:pPr>
      <w:bookmarkStart w:id="990" w:name="TOC_Part4"/>
      <w:bookmarkStart w:id="991" w:name="_Toc77839835"/>
      <w:bookmarkStart w:id="992" w:name="_Toc224818735"/>
      <w:r w:rsidRPr="001531CD">
        <w:t>Part IX.  Brands, Grades and Inspections―Reserved.</w:t>
      </w:r>
      <w:bookmarkEnd w:id="990"/>
      <w:bookmarkEnd w:id="991"/>
      <w:bookmarkEnd w:id="992"/>
    </w:p>
    <w:p w14:paraId="1F5F31AD" w14:textId="77777777" w:rsidR="00CF626A" w:rsidRPr="001531CD" w:rsidRDefault="00CF626A">
      <w:pPr>
        <w:pStyle w:val="Part"/>
      </w:pPr>
      <w:bookmarkStart w:id="993" w:name="TOC_Part5"/>
      <w:bookmarkStart w:id="994" w:name="_Toc30580183"/>
      <w:bookmarkStart w:id="995" w:name="_Toc77839836"/>
      <w:bookmarkStart w:id="996" w:name="_Toc224818736"/>
      <w:r w:rsidRPr="001531CD">
        <w:t>Part XI.  Fertilizers</w:t>
      </w:r>
      <w:bookmarkEnd w:id="993"/>
      <w:bookmarkEnd w:id="994"/>
      <w:bookmarkEnd w:id="995"/>
      <w:bookmarkEnd w:id="996"/>
    </w:p>
    <w:p w14:paraId="22017EEF" w14:textId="77777777" w:rsidR="005E261E" w:rsidRPr="004F1D0D" w:rsidRDefault="00167E2E" w:rsidP="005E261E">
      <w:pPr>
        <w:keepNext/>
        <w:keepLines/>
        <w:tabs>
          <w:tab w:val="left" w:pos="1080"/>
        </w:tabs>
        <w:spacing w:after="120"/>
        <w:ind w:left="432" w:right="432"/>
        <w:jc w:val="both"/>
        <w:outlineLvl w:val="1"/>
        <w:rPr>
          <w:bCs/>
          <w:sz w:val="16"/>
          <w:szCs w:val="16"/>
        </w:rPr>
      </w:pPr>
      <w:r>
        <w:rPr>
          <w:bCs/>
          <w:sz w:val="16"/>
          <w:szCs w:val="16"/>
        </w:rPr>
        <w:t xml:space="preserve">Editor’s Note: </w:t>
      </w:r>
      <w:r w:rsidR="005E261E" w:rsidRPr="004F1D0D">
        <w:rPr>
          <w:bCs/>
          <w:sz w:val="16"/>
          <w:szCs w:val="16"/>
        </w:rPr>
        <w:t xml:space="preserve"> Please note that Act No. 26 </w:t>
      </w:r>
      <w:r>
        <w:rPr>
          <w:bCs/>
          <w:sz w:val="16"/>
          <w:szCs w:val="16"/>
        </w:rPr>
        <w:t xml:space="preserve">of the 2013 Legislative Session </w:t>
      </w:r>
      <w:r w:rsidR="005E261E" w:rsidRPr="004F1D0D">
        <w:rPr>
          <w:bCs/>
          <w:sz w:val="16"/>
          <w:szCs w:val="16"/>
        </w:rPr>
        <w:t>merged the Feed, Fertilizer and Agricultural Liming Commission and the Seed Commission to form the Agricultural</w:t>
      </w:r>
      <w:r>
        <w:rPr>
          <w:bCs/>
          <w:sz w:val="16"/>
          <w:szCs w:val="16"/>
        </w:rPr>
        <w:t xml:space="preserve"> Chemistry and Seed Commission.</w:t>
      </w:r>
    </w:p>
    <w:p w14:paraId="2E6F5C6F" w14:textId="77777777" w:rsidR="00D730E5" w:rsidRPr="001531CD" w:rsidRDefault="00D730E5">
      <w:pPr>
        <w:pStyle w:val="Part"/>
        <w:sectPr w:rsidR="00D730E5" w:rsidRPr="001531CD" w:rsidSect="00CD0355">
          <w:headerReference w:type="default" r:id="rId30"/>
          <w:headerReference w:type="first" r:id="rId31"/>
          <w:type w:val="oddPage"/>
          <w:pgSz w:w="12240" w:h="15840" w:code="1"/>
          <w:pgMar w:top="1080" w:right="864" w:bottom="864" w:left="864" w:header="576" w:footer="432" w:gutter="0"/>
          <w:cols w:space="720"/>
          <w:titlePg/>
          <w:docGrid w:linePitch="326"/>
        </w:sectPr>
      </w:pPr>
    </w:p>
    <w:p w14:paraId="0139DE5A" w14:textId="77777777" w:rsidR="00CF626A" w:rsidRPr="001531CD" w:rsidRDefault="00CF626A" w:rsidP="00F03863">
      <w:pPr>
        <w:pStyle w:val="Chapter"/>
        <w:outlineLvl w:val="0"/>
      </w:pPr>
      <w:bookmarkStart w:id="997" w:name="TOC_Chap89"/>
      <w:bookmarkStart w:id="998" w:name="_Toc256754476"/>
      <w:bookmarkStart w:id="999" w:name="_Toc30580184"/>
      <w:bookmarkStart w:id="1000" w:name="_Toc224818737"/>
      <w:r w:rsidRPr="001531CD">
        <w:t>Chapter 1.</w:t>
      </w:r>
      <w:bookmarkEnd w:id="997"/>
      <w:r w:rsidR="00167E2E">
        <w:tab/>
      </w:r>
      <w:bookmarkStart w:id="1001" w:name="TOCT_Chap66"/>
      <w:bookmarkStart w:id="1002" w:name="TOCT_Chap89"/>
      <w:r w:rsidRPr="001531CD">
        <w:t>Sale of Fertilizers</w:t>
      </w:r>
      <w:bookmarkEnd w:id="998"/>
      <w:bookmarkEnd w:id="999"/>
      <w:bookmarkEnd w:id="1000"/>
      <w:bookmarkEnd w:id="1001"/>
      <w:bookmarkEnd w:id="1002"/>
    </w:p>
    <w:p w14:paraId="2413D5E0" w14:textId="77777777" w:rsidR="00CF626A" w:rsidRPr="001531CD" w:rsidRDefault="00CF626A">
      <w:pPr>
        <w:pStyle w:val="Section"/>
      </w:pPr>
      <w:bookmarkStart w:id="1003" w:name="_Toc256754477"/>
      <w:bookmarkStart w:id="1004" w:name="_Toc30580185"/>
      <w:bookmarkStart w:id="1005" w:name="_Toc224818738"/>
      <w:r w:rsidRPr="001531CD">
        <w:t>§101.</w:t>
      </w:r>
      <w:r w:rsidRPr="001531CD">
        <w:tab/>
        <w:t>Definitions</w:t>
      </w:r>
      <w:bookmarkEnd w:id="1003"/>
      <w:bookmarkEnd w:id="1004"/>
      <w:bookmarkEnd w:id="1005"/>
    </w:p>
    <w:p w14:paraId="2800A82D" w14:textId="77777777" w:rsidR="00CF626A" w:rsidRPr="001531CD" w:rsidRDefault="00CF626A">
      <w:pPr>
        <w:pStyle w:val="A"/>
      </w:pPr>
      <w:r w:rsidRPr="001531CD">
        <w:rPr>
          <w:i/>
          <w:iCs/>
        </w:rPr>
        <w:t>Additive</w:t>
      </w:r>
      <w:r w:rsidRPr="001531CD">
        <w:t>―any substance added to fertilizer in small amounts.</w:t>
      </w:r>
    </w:p>
    <w:p w14:paraId="3C40955C" w14:textId="77777777" w:rsidR="00CF626A" w:rsidRPr="001531CD" w:rsidRDefault="00CF626A">
      <w:pPr>
        <w:pStyle w:val="A"/>
      </w:pPr>
      <w:r w:rsidRPr="001531CD">
        <w:rPr>
          <w:i/>
          <w:iCs/>
        </w:rPr>
        <w:t>Adulteration</w:t>
      </w:r>
      <w:r w:rsidRPr="001531CD">
        <w:t>―any situation:</w:t>
      </w:r>
    </w:p>
    <w:p w14:paraId="14AEC5CD" w14:textId="77777777" w:rsidR="00CF626A" w:rsidRPr="001531CD" w:rsidRDefault="00CF626A">
      <w:pPr>
        <w:pStyle w:val="1"/>
      </w:pPr>
      <w:r w:rsidRPr="001531CD">
        <w:t>1.</w:t>
      </w:r>
      <w:r w:rsidRPr="001531CD">
        <w:tab/>
        <w:t>where a commercial fertilizer contains any material which is not specifically declared to be a component of the fertilizer;</w:t>
      </w:r>
    </w:p>
    <w:p w14:paraId="0FE6FD54" w14:textId="77777777" w:rsidR="00CF626A" w:rsidRPr="001531CD" w:rsidRDefault="00CF626A">
      <w:pPr>
        <w:pStyle w:val="1"/>
      </w:pPr>
      <w:r w:rsidRPr="001531CD">
        <w:t>2.</w:t>
      </w:r>
      <w:r w:rsidRPr="001531CD">
        <w:tab/>
        <w:t>where materials which are likely to cause injury or damage to crop plants are present;</w:t>
      </w:r>
    </w:p>
    <w:p w14:paraId="2B91274E" w14:textId="77777777" w:rsidR="00CF626A" w:rsidRPr="001531CD" w:rsidRDefault="00CF626A">
      <w:pPr>
        <w:pStyle w:val="1"/>
      </w:pPr>
      <w:r w:rsidRPr="001531CD">
        <w:t>3.</w:t>
      </w:r>
      <w:r w:rsidRPr="001531CD">
        <w:tab/>
        <w:t>where materials containing nitrogen in a form which is but slightly available to plants is added to make up a part of the required nitrogen content; or</w:t>
      </w:r>
    </w:p>
    <w:p w14:paraId="7A9DA01E" w14:textId="77777777" w:rsidR="00CF626A" w:rsidRPr="001531CD" w:rsidRDefault="00CF626A">
      <w:pPr>
        <w:pStyle w:val="1"/>
      </w:pPr>
      <w:r w:rsidRPr="001531CD">
        <w:t>4.</w:t>
      </w:r>
      <w:r w:rsidRPr="001531CD">
        <w:tab/>
        <w:t>where the actual analysis is lower than the guaranteed analysis.</w:t>
      </w:r>
    </w:p>
    <w:p w14:paraId="0C14955D" w14:textId="77777777" w:rsidR="00CF626A" w:rsidRPr="001531CD" w:rsidRDefault="00CF626A">
      <w:pPr>
        <w:pStyle w:val="A"/>
      </w:pPr>
      <w:r w:rsidRPr="001531CD">
        <w:rPr>
          <w:i/>
          <w:iCs/>
        </w:rPr>
        <w:t>Basic Slag</w:t>
      </w:r>
      <w:r w:rsidRPr="001531CD">
        <w:t>―a by-product from the manufacturing of steel by the Bessemer or open-hearth process.</w:t>
      </w:r>
    </w:p>
    <w:p w14:paraId="0CB2CB02" w14:textId="77777777" w:rsidR="00350212" w:rsidRPr="001531CD" w:rsidRDefault="00350212" w:rsidP="00350212">
      <w:pPr>
        <w:pStyle w:val="A"/>
      </w:pPr>
      <w:r w:rsidRPr="001531CD">
        <w:rPr>
          <w:i/>
        </w:rPr>
        <w:t>Commission</w:t>
      </w:r>
      <w:r w:rsidRPr="001531CD">
        <w:t>―the Feed, Fertilizer, and Agricultural Liming Commission.</w:t>
      </w:r>
    </w:p>
    <w:p w14:paraId="4222C45F" w14:textId="77777777" w:rsidR="00CF626A" w:rsidRPr="001531CD" w:rsidRDefault="00350212">
      <w:pPr>
        <w:pStyle w:val="A"/>
      </w:pPr>
      <w:r w:rsidRPr="001531CD">
        <w:rPr>
          <w:i/>
          <w:iCs/>
        </w:rPr>
        <w:t>Co</w:t>
      </w:r>
      <w:r w:rsidR="00CF626A" w:rsidRPr="001531CD">
        <w:rPr>
          <w:i/>
          <w:iCs/>
        </w:rPr>
        <w:t>mmissioner</w:t>
      </w:r>
      <w:r w:rsidR="00CF626A" w:rsidRPr="001531CD">
        <w:t>―the Commissioner of the Department of Agriculture and Forestry or his duly authorized representatives acting at his discretion.</w:t>
      </w:r>
    </w:p>
    <w:p w14:paraId="4AD456A3" w14:textId="77777777" w:rsidR="00CF626A" w:rsidRPr="001531CD" w:rsidRDefault="00CF626A">
      <w:pPr>
        <w:pStyle w:val="A"/>
      </w:pPr>
      <w:r w:rsidRPr="001531CD">
        <w:rPr>
          <w:i/>
          <w:iCs/>
        </w:rPr>
        <w:t>Composite Sample</w:t>
      </w:r>
      <w:r w:rsidRPr="001531CD">
        <w:t>―a collection of samples taken from a given lot or load of fertilizer, and these aggregated samples are treated as one representative sample of the total lot or load.</w:t>
      </w:r>
    </w:p>
    <w:p w14:paraId="4F0C9B28" w14:textId="77777777" w:rsidR="00CF626A" w:rsidRPr="001531CD" w:rsidRDefault="00CF626A">
      <w:pPr>
        <w:pStyle w:val="A"/>
      </w:pPr>
      <w:r w:rsidRPr="001531CD">
        <w:rPr>
          <w:i/>
          <w:iCs/>
        </w:rPr>
        <w:t>Custom-Mixed Fertilizer</w:t>
      </w:r>
      <w:r w:rsidRPr="001531CD">
        <w:t>―a fertilizer product which has been produced to the customer's specifications and promotes plant growth or exerts beneficial action on the soil.</w:t>
      </w:r>
    </w:p>
    <w:p w14:paraId="31A9359C" w14:textId="77777777" w:rsidR="00CF626A" w:rsidRPr="001531CD" w:rsidRDefault="00CF626A">
      <w:pPr>
        <w:pStyle w:val="A"/>
      </w:pPr>
      <w:r w:rsidRPr="001531CD">
        <w:rPr>
          <w:i/>
          <w:iCs/>
        </w:rPr>
        <w:t>Deficiency</w:t>
      </w:r>
      <w:r w:rsidRPr="001531CD">
        <w:t>―any condition where the required primary plant nutrients constitute less than the percent, by weight, guaranteed.</w:t>
      </w:r>
    </w:p>
    <w:p w14:paraId="437A609D" w14:textId="77777777" w:rsidR="00CF626A" w:rsidRPr="001531CD" w:rsidRDefault="00CF626A">
      <w:pPr>
        <w:pStyle w:val="A"/>
      </w:pPr>
      <w:r w:rsidRPr="001531CD">
        <w:rPr>
          <w:i/>
          <w:iCs/>
        </w:rPr>
        <w:t>Fertilizer</w:t>
      </w:r>
      <w:r w:rsidRPr="001531CD">
        <w:t xml:space="preserve">―all materials sold for the purpose of promoting the growth of plants or exerting beneficial action on the soil. </w:t>
      </w:r>
      <w:r w:rsidRPr="001531CD">
        <w:rPr>
          <w:i/>
          <w:iCs/>
        </w:rPr>
        <w:t>Fertilizer</w:t>
      </w:r>
      <w:r w:rsidRPr="001531CD">
        <w:t xml:space="preserve"> does not include: lime, limestone, marl, gypsum, sulphur, unground bones when not mixed with any other substances, and manure or excrement from any domestic animal which has not been dried or otherwise treated.</w:t>
      </w:r>
    </w:p>
    <w:p w14:paraId="48D930B1" w14:textId="77777777" w:rsidR="00CF626A" w:rsidRPr="001531CD" w:rsidRDefault="00CF626A">
      <w:pPr>
        <w:pStyle w:val="A"/>
      </w:pPr>
      <w:r w:rsidRPr="001531CD">
        <w:rPr>
          <w:i/>
          <w:iCs/>
        </w:rPr>
        <w:t>Fertilizer Blend</w:t>
      </w:r>
      <w:r w:rsidRPr="001531CD">
        <w:t>―a mixture of two or more components containing different plant nutrients and mixed together to give a predetermined percentage of each of the nutrients in the final product.</w:t>
      </w:r>
    </w:p>
    <w:p w14:paraId="4F2DBEFB" w14:textId="77777777" w:rsidR="00CF626A" w:rsidRPr="001531CD" w:rsidRDefault="00CF626A">
      <w:pPr>
        <w:pStyle w:val="A"/>
      </w:pPr>
      <w:r w:rsidRPr="001531CD">
        <w:rPr>
          <w:i/>
          <w:iCs/>
        </w:rPr>
        <w:t>Fertilizer Grade</w:t>
      </w:r>
      <w:r w:rsidRPr="001531CD">
        <w:t>―the specific percentage of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or any two of these components.</w:t>
      </w:r>
    </w:p>
    <w:p w14:paraId="2904845E" w14:textId="77777777" w:rsidR="00380237" w:rsidRPr="001531CD" w:rsidRDefault="00380237" w:rsidP="00380237">
      <w:pPr>
        <w:pStyle w:val="A"/>
      </w:pPr>
      <w:r w:rsidRPr="001531CD">
        <w:rPr>
          <w:i/>
        </w:rPr>
        <w:t>Guarantor</w:t>
      </w:r>
      <w:r w:rsidRPr="001531CD">
        <w:t xml:space="preserve">―a person who manufactures, sells or offers fertilizer for sale under his name or brand. </w:t>
      </w:r>
    </w:p>
    <w:p w14:paraId="2D56D42E" w14:textId="77777777" w:rsidR="00CF626A" w:rsidRPr="001531CD" w:rsidRDefault="00CF626A">
      <w:pPr>
        <w:pStyle w:val="A"/>
      </w:pPr>
      <w:r w:rsidRPr="001531CD">
        <w:rPr>
          <w:i/>
          <w:iCs/>
        </w:rPr>
        <w:t>Micronutrients</w:t>
      </w:r>
      <w:r w:rsidRPr="001531CD">
        <w:t>―those listed in §107.E herein.</w:t>
      </w:r>
    </w:p>
    <w:p w14:paraId="7716ADDE" w14:textId="77777777" w:rsidR="00CF626A" w:rsidRPr="001531CD" w:rsidRDefault="00CF626A">
      <w:pPr>
        <w:pStyle w:val="A"/>
      </w:pPr>
      <w:r w:rsidRPr="001531CD">
        <w:rPr>
          <w:i/>
          <w:iCs/>
        </w:rPr>
        <w:t>Mixed Fertilizer</w:t>
      </w:r>
      <w:r w:rsidRPr="001531CD">
        <w:t>―a fertilizer product that contains a minimum of 20 percent by weight of the primary nutrients which promotes plant growth or exerts beneficial action on the soil.</w:t>
      </w:r>
    </w:p>
    <w:p w14:paraId="3C191097" w14:textId="77777777" w:rsidR="00CF626A" w:rsidRPr="001531CD" w:rsidRDefault="00CF626A">
      <w:pPr>
        <w:pStyle w:val="A"/>
      </w:pPr>
      <w:r w:rsidRPr="001531CD">
        <w:rPr>
          <w:i/>
          <w:iCs/>
        </w:rPr>
        <w:t>Package</w:t>
      </w:r>
      <w:r w:rsidRPr="001531CD">
        <w:t>―any parcel, bag, or other container in which fertilizer is stored and/or offered for sale.</w:t>
      </w:r>
    </w:p>
    <w:p w14:paraId="289E3CE9" w14:textId="77777777" w:rsidR="00CF626A" w:rsidRPr="001531CD" w:rsidRDefault="00CF626A">
      <w:pPr>
        <w:pStyle w:val="A"/>
      </w:pPr>
      <w:r w:rsidRPr="001531CD">
        <w:rPr>
          <w:i/>
          <w:iCs/>
        </w:rPr>
        <w:t>Pesticide</w:t>
      </w:r>
      <w:r w:rsidRPr="001531CD">
        <w:t>―any substance or mixture of substances intended to be used for defoliating or desiccating plants, for destroying or repelling pests, or preventing or mitigating the effects of pests.</w:t>
      </w:r>
    </w:p>
    <w:p w14:paraId="59937821" w14:textId="77777777" w:rsidR="00CF626A" w:rsidRPr="001531CD" w:rsidRDefault="00CF626A">
      <w:pPr>
        <w:pStyle w:val="A"/>
      </w:pPr>
      <w:r w:rsidRPr="001531CD">
        <w:rPr>
          <w:i/>
          <w:iCs/>
        </w:rPr>
        <w:t>Premise</w:t>
      </w:r>
      <w:r w:rsidRPr="001531CD">
        <w:t>―any place, warehouse, store, truck, railroad car, boat, etc., where fertilizer may be kept by a guarantor.</w:t>
      </w:r>
    </w:p>
    <w:p w14:paraId="097480C1" w14:textId="77777777" w:rsidR="00CF626A" w:rsidRPr="001531CD" w:rsidRDefault="00CF626A">
      <w:pPr>
        <w:pStyle w:val="A"/>
      </w:pPr>
      <w:r w:rsidRPr="001531CD">
        <w:rPr>
          <w:i/>
          <w:iCs/>
        </w:rPr>
        <w:t>Primary Plant Nutrients</w:t>
      </w:r>
      <w:r w:rsidRPr="001531CD">
        <w:t>―nitrogen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w:t>
      </w:r>
    </w:p>
    <w:p w14:paraId="557C1BC4" w14:textId="77777777" w:rsidR="00CF626A" w:rsidRPr="001531CD" w:rsidRDefault="00CF626A">
      <w:pPr>
        <w:pStyle w:val="A"/>
      </w:pPr>
      <w:r w:rsidRPr="001531CD">
        <w:rPr>
          <w:i/>
          <w:iCs/>
        </w:rPr>
        <w:t>Purchase Invoice</w:t>
      </w:r>
      <w:r w:rsidRPr="001531CD">
        <w:t>―delivery, scale or meter ticket to identify the fertilizer in the trade channel.</w:t>
      </w:r>
    </w:p>
    <w:p w14:paraId="15421C20" w14:textId="77777777" w:rsidR="00380237" w:rsidRPr="001531CD" w:rsidRDefault="00380237">
      <w:pPr>
        <w:pStyle w:val="A"/>
      </w:pPr>
      <w:r w:rsidRPr="001531CD">
        <w:rPr>
          <w:i/>
        </w:rPr>
        <w:t>Registrant</w:t>
      </w:r>
      <w:r w:rsidRPr="001531CD">
        <w:t>―a person who has been registered by the commission as required by R.S. 3:1413(A).</w:t>
      </w:r>
    </w:p>
    <w:p w14:paraId="243DBD03" w14:textId="77777777" w:rsidR="00CF626A" w:rsidRPr="001531CD" w:rsidRDefault="00CF626A">
      <w:pPr>
        <w:pStyle w:val="A"/>
      </w:pPr>
      <w:r w:rsidRPr="001531CD">
        <w:rPr>
          <w:i/>
          <w:iCs/>
        </w:rPr>
        <w:t>Sampling</w:t>
      </w:r>
      <w:r w:rsidRPr="001531CD">
        <w:t>―the process of taking a portion or a specimen of fertilizer.</w:t>
      </w:r>
    </w:p>
    <w:p w14:paraId="6F88D735" w14:textId="77777777" w:rsidR="00B12DA4" w:rsidRPr="001531CD" w:rsidRDefault="00B12DA4" w:rsidP="00B12DA4">
      <w:pPr>
        <w:pStyle w:val="A"/>
      </w:pPr>
      <w:r w:rsidRPr="001531CD">
        <w:rPr>
          <w:i/>
          <w:iCs/>
        </w:rPr>
        <w:t>Small Packages</w:t>
      </w:r>
      <w:r w:rsidRPr="001531CD">
        <w:t>―less than 5 gallons of liquid fertilizer and less than 50 pounds of dry material.</w:t>
      </w:r>
    </w:p>
    <w:p w14:paraId="6FB4F227" w14:textId="77777777" w:rsidR="00CF626A" w:rsidRPr="001531CD" w:rsidRDefault="00CF626A">
      <w:pPr>
        <w:pStyle w:val="A"/>
      </w:pPr>
      <w:r w:rsidRPr="001531CD">
        <w:rPr>
          <w:i/>
          <w:iCs/>
        </w:rPr>
        <w:t>Specialty Fertilizer</w:t>
      </w:r>
      <w:r w:rsidRPr="001531CD">
        <w:t>―any commercial fertilizer distributed in packages containing 16 fluid ounces or less and designed primarily for use on household plants grown for noncommercial purposes.</w:t>
      </w:r>
    </w:p>
    <w:p w14:paraId="0BBAC393" w14:textId="77777777" w:rsidR="00380237" w:rsidRPr="001531CD" w:rsidRDefault="00380237" w:rsidP="00380237">
      <w:pPr>
        <w:pStyle w:val="A"/>
      </w:pPr>
      <w:r w:rsidRPr="001531CD">
        <w:rPr>
          <w:i/>
        </w:rPr>
        <w:t>State Chemist</w:t>
      </w:r>
      <w:r w:rsidRPr="001531CD">
        <w:t>―the director of the Louisiana Agricultural Experiment Station of the Louisiana State University Agricultural Center, or his designee.</w:t>
      </w:r>
    </w:p>
    <w:p w14:paraId="16ED8631" w14:textId="77777777" w:rsidR="00CF626A" w:rsidRPr="001531CD" w:rsidRDefault="00CF626A">
      <w:pPr>
        <w:pStyle w:val="A"/>
      </w:pPr>
      <w:r w:rsidRPr="001531CD">
        <w:rPr>
          <w:i/>
          <w:iCs/>
        </w:rPr>
        <w:t>Superphosphate</w:t>
      </w:r>
      <w:r w:rsidRPr="001531CD">
        <w:t>―the product obtained when ground bones or phosphate rock is treated with sulfuric acid. The available phosphoric acid (P</w:t>
      </w:r>
      <w:r w:rsidRPr="001531CD">
        <w:rPr>
          <w:vertAlign w:val="subscript"/>
        </w:rPr>
        <w:t>2</w:t>
      </w:r>
      <w:r w:rsidRPr="001531CD">
        <w:t>O</w:t>
      </w:r>
      <w:r w:rsidRPr="001531CD">
        <w:rPr>
          <w:vertAlign w:val="subscript"/>
        </w:rPr>
        <w:t>5</w:t>
      </w:r>
      <w:r w:rsidRPr="001531CD">
        <w:t>) will be 18 to 20 percent.</w:t>
      </w:r>
    </w:p>
    <w:p w14:paraId="3141CA96" w14:textId="77777777" w:rsidR="00CF626A" w:rsidRPr="001531CD" w:rsidRDefault="00CF626A">
      <w:pPr>
        <w:pStyle w:val="A"/>
      </w:pPr>
      <w:r w:rsidRPr="001531CD">
        <w:rPr>
          <w:i/>
          <w:iCs/>
        </w:rPr>
        <w:t>Value of Deficiency</w:t>
      </w:r>
      <w:r w:rsidRPr="001531CD">
        <w:t>―the dollar value attributable to a penalty calculated in accordance with these rules.</w:t>
      </w:r>
    </w:p>
    <w:p w14:paraId="4405AC97" w14:textId="77777777" w:rsidR="00CF626A" w:rsidRPr="001531CD" w:rsidRDefault="006335DF">
      <w:pPr>
        <w:pStyle w:val="AuthorityNote"/>
      </w:pPr>
      <w:r w:rsidRPr="001531CD">
        <w:t>AUTHORITY NOTE:</w:t>
      </w:r>
      <w:r w:rsidRPr="001531CD">
        <w:tab/>
        <w:t>Promulgat</w:t>
      </w:r>
      <w:r w:rsidR="001D403C">
        <w:t>ed in accordance with R.S. 3:138</w:t>
      </w:r>
      <w:r w:rsidRPr="001531CD">
        <w:t>2.</w:t>
      </w:r>
    </w:p>
    <w:p w14:paraId="28BAFD5D" w14:textId="77777777" w:rsidR="00187A82" w:rsidRPr="001531CD" w:rsidRDefault="00CF626A" w:rsidP="00187A82">
      <w:pPr>
        <w:pStyle w:val="HistoricalNote"/>
      </w:pPr>
      <w:r w:rsidRPr="001531CD">
        <w:lastRenderedPageBreak/>
        <w:t>HISTORICAL NOTE:</w:t>
      </w:r>
      <w:r w:rsidRPr="001531CD">
        <w:tab/>
        <w:t xml:space="preserve">Promulgated by the Department of Agriculture, Fertilizer Commission, LR 7:164 (April 1981), </w:t>
      </w:r>
      <w:r w:rsidR="00187A82" w:rsidRPr="001531CD">
        <w:t xml:space="preserve">amended LR 12:493 (August 1986), amended by the </w:t>
      </w:r>
      <w:r w:rsidR="006335DF" w:rsidRPr="001531CD">
        <w:t xml:space="preserve">Department of Agriculture and Forestry, </w:t>
      </w:r>
      <w:r w:rsidR="00187A82" w:rsidRPr="001531CD">
        <w:t>Feed, Fertilizer, and Agricultural Liming Commission, LR 37:</w:t>
      </w:r>
      <w:r w:rsidR="006335DF" w:rsidRPr="001531CD">
        <w:t>809 (March 2011), LR 38:2521 (October 2012).</w:t>
      </w:r>
    </w:p>
    <w:p w14:paraId="2896B0D4" w14:textId="77777777" w:rsidR="00CF626A" w:rsidRPr="001531CD" w:rsidRDefault="00CF626A">
      <w:pPr>
        <w:pStyle w:val="Section"/>
      </w:pPr>
      <w:bookmarkStart w:id="1006" w:name="_Toc256754478"/>
      <w:bookmarkStart w:id="1007" w:name="_Toc224818739"/>
      <w:r w:rsidRPr="001531CD">
        <w:t>§103.</w:t>
      </w:r>
      <w:r w:rsidRPr="001531CD">
        <w:tab/>
        <w:t>Registration Requirements</w:t>
      </w:r>
      <w:bookmarkEnd w:id="1006"/>
      <w:bookmarkEnd w:id="1007"/>
    </w:p>
    <w:p w14:paraId="380A78E7" w14:textId="77777777" w:rsidR="006335DF" w:rsidRPr="001531CD" w:rsidRDefault="006335DF" w:rsidP="006335DF">
      <w:pPr>
        <w:pStyle w:val="A"/>
      </w:pPr>
      <w:r w:rsidRPr="001531CD">
        <w:t>A.</w:t>
      </w:r>
      <w:r w:rsidRPr="001531CD">
        <w:tab/>
        <w:t>Every guarantor who manufactures, sells, or offers fertilizer for sale under his brand or company name within the state of Louisiana shall be registered with the commission. Fertilizer processed or manufactured in Louisiana and offered for sale or distributed solely outside the state of Louisiana is not required to be registered.</w:t>
      </w:r>
    </w:p>
    <w:p w14:paraId="04CCFF20" w14:textId="77777777" w:rsidR="006335DF" w:rsidRPr="001531CD" w:rsidRDefault="006335DF" w:rsidP="006335DF">
      <w:pPr>
        <w:pStyle w:val="A"/>
      </w:pPr>
      <w:r w:rsidRPr="001531CD">
        <w:t>B.</w:t>
      </w:r>
      <w:r w:rsidRPr="001531CD">
        <w:tab/>
        <w:t>Applicants for registration may request application forms, verbally or in writing, from the commission.</w:t>
      </w:r>
    </w:p>
    <w:p w14:paraId="476433DC" w14:textId="77777777" w:rsidR="006335DF" w:rsidRPr="001531CD" w:rsidRDefault="006335DF" w:rsidP="006335DF">
      <w:pPr>
        <w:pStyle w:val="A"/>
      </w:pPr>
      <w:r w:rsidRPr="001531CD">
        <w:t>C.</w:t>
      </w:r>
      <w:r w:rsidRPr="001531CD">
        <w:tab/>
        <w:t>Each registration shall be valid until December 31 of each year. To remain valid, each registration shall be renewed on or before January 1 of each year.</w:t>
      </w:r>
    </w:p>
    <w:p w14:paraId="6A265277" w14:textId="77777777" w:rsidR="006335DF" w:rsidRPr="001531CD" w:rsidRDefault="006335DF" w:rsidP="006335DF">
      <w:pPr>
        <w:pStyle w:val="A"/>
      </w:pPr>
      <w:r w:rsidRPr="001531CD">
        <w:t>D.</w:t>
      </w:r>
      <w:r w:rsidRPr="001531CD">
        <w:tab/>
        <w:t>Applications for annual renewal of registration shall be mailed by the commission to all registrants, at the last address provided by the registrant, on or before November 15 of each year and shall be returned on or before January 1 of each year.</w:t>
      </w:r>
    </w:p>
    <w:p w14:paraId="5B368D60" w14:textId="77777777" w:rsidR="006335DF" w:rsidRPr="001531CD" w:rsidRDefault="006335DF" w:rsidP="006335DF">
      <w:pPr>
        <w:pStyle w:val="A"/>
      </w:pPr>
      <w:r w:rsidRPr="001531CD">
        <w:t>E.</w:t>
      </w:r>
      <w:r w:rsidRPr="001531CD">
        <w:tab/>
        <w:t>The record of all registrations shall be maintained by the commission and the director of Agricultural Chemistry Programs in the Agricultural Chemistry Building, Louisiana State University in Baton Rouge.</w:t>
      </w:r>
    </w:p>
    <w:p w14:paraId="56DA762A" w14:textId="77777777" w:rsidR="00CF626A" w:rsidRPr="001531CD" w:rsidRDefault="006335DF" w:rsidP="006335DF">
      <w:pPr>
        <w:pStyle w:val="AuthorityNote"/>
      </w:pPr>
      <w:r w:rsidRPr="001531CD">
        <w:t>AUTHORITY NOTE:</w:t>
      </w:r>
      <w:r w:rsidRPr="001531CD">
        <w:tab/>
        <w:t>Promulgat</w:t>
      </w:r>
      <w:r w:rsidR="001D403C">
        <w:t>ed in accordance with R.S. 3:138</w:t>
      </w:r>
      <w:r w:rsidRPr="001531CD">
        <w:t>2.</w:t>
      </w:r>
    </w:p>
    <w:p w14:paraId="15F3FE61"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6335DF" w:rsidRPr="001531CD">
        <w:t>amended LR 12:494 (August 1986), amended by the Department of Agriculture and Forestry, Feed, Fertilizer, and Agricultural Liming Commission, LR 38:2521 (October 2012).</w:t>
      </w:r>
    </w:p>
    <w:p w14:paraId="4C728FE7" w14:textId="77777777" w:rsidR="00CF626A" w:rsidRPr="001531CD" w:rsidRDefault="00CF626A">
      <w:pPr>
        <w:pStyle w:val="Section"/>
      </w:pPr>
      <w:bookmarkStart w:id="1008" w:name="_Toc256754479"/>
      <w:bookmarkStart w:id="1009" w:name="_Toc224818740"/>
      <w:r w:rsidRPr="001531CD">
        <w:t>§105.</w:t>
      </w:r>
      <w:r w:rsidRPr="001531CD">
        <w:tab/>
        <w:t>Labeling Requirements</w:t>
      </w:r>
      <w:bookmarkEnd w:id="1008"/>
      <w:bookmarkEnd w:id="1009"/>
    </w:p>
    <w:p w14:paraId="62076164" w14:textId="77777777" w:rsidR="006335DF" w:rsidRPr="001531CD" w:rsidRDefault="006335DF" w:rsidP="006335DF">
      <w:pPr>
        <w:pStyle w:val="A"/>
      </w:pPr>
      <w:r w:rsidRPr="001531CD">
        <w:t>A.</w:t>
      </w:r>
      <w:r w:rsidRPr="001531CD">
        <w:tab/>
        <w:t>When minor elements, pesticides, and/or seeds are added, the label, tag, or printed invoice shall contain the following:</w:t>
      </w:r>
    </w:p>
    <w:p w14:paraId="50301650" w14:textId="77777777" w:rsidR="006335DF" w:rsidRPr="001531CD" w:rsidRDefault="006335DF" w:rsidP="006335DF">
      <w:pPr>
        <w:pStyle w:val="1"/>
      </w:pPr>
      <w:r w:rsidRPr="001531CD">
        <w:t>1.</w:t>
      </w:r>
      <w:r w:rsidRPr="001531CD">
        <w:tab/>
        <w:t>guarantee of the fertilizer (percent by weight) before the addition of minor elements, pesticides and/or seeds;</w:t>
      </w:r>
    </w:p>
    <w:p w14:paraId="5FD4E4DC" w14:textId="77777777" w:rsidR="006335DF" w:rsidRPr="001531CD" w:rsidRDefault="006335DF" w:rsidP="006335DF">
      <w:pPr>
        <w:pStyle w:val="1"/>
      </w:pPr>
      <w:r w:rsidRPr="001531CD">
        <w:t>2.</w:t>
      </w:r>
      <w:r w:rsidRPr="001531CD">
        <w:tab/>
        <w:t>amount per ton of minor elements, pesticides and/or seeds added; and</w:t>
      </w:r>
    </w:p>
    <w:p w14:paraId="055CB80C" w14:textId="77777777" w:rsidR="006335DF" w:rsidRPr="001531CD" w:rsidRDefault="006335DF" w:rsidP="006335DF">
      <w:pPr>
        <w:pStyle w:val="1"/>
      </w:pPr>
      <w:r w:rsidRPr="001531CD">
        <w:t>3.</w:t>
      </w:r>
      <w:r w:rsidRPr="001531CD">
        <w:tab/>
        <w:t>percent by weight of the active ingredients added.</w:t>
      </w:r>
    </w:p>
    <w:p w14:paraId="510D5BF5" w14:textId="77777777" w:rsidR="006335DF" w:rsidRPr="001531CD" w:rsidRDefault="006335DF" w:rsidP="006335DF">
      <w:pPr>
        <w:pStyle w:val="A"/>
      </w:pPr>
      <w:r w:rsidRPr="001531CD">
        <w:t>B.</w:t>
      </w:r>
      <w:r w:rsidRPr="001531CD">
        <w:tab/>
        <w:t>All additives shall be clearly labeled as such.</w:t>
      </w:r>
    </w:p>
    <w:p w14:paraId="088D974E" w14:textId="77777777" w:rsidR="006335DF" w:rsidRPr="001531CD" w:rsidRDefault="006335DF" w:rsidP="006335DF">
      <w:pPr>
        <w:pStyle w:val="A"/>
      </w:pPr>
      <w:r w:rsidRPr="001531CD">
        <w:t>C.</w:t>
      </w:r>
      <w:r w:rsidRPr="001531CD">
        <w:tab/>
        <w:t>The validity of claims on the label, tag or printed invoice will be verified by the director of Agricultural Chemistry Programs. No false or misleading statements indicating that additives possess fertilizer properties will be permitted.</w:t>
      </w:r>
    </w:p>
    <w:p w14:paraId="3AF241E2" w14:textId="77777777" w:rsidR="006335DF" w:rsidRPr="001531CD" w:rsidRDefault="006335DF" w:rsidP="006335DF">
      <w:pPr>
        <w:pStyle w:val="A"/>
      </w:pPr>
      <w:r w:rsidRPr="001531CD">
        <w:t>D.</w:t>
      </w:r>
      <w:r w:rsidRPr="001531CD">
        <w:tab/>
        <w:t>When two or more fertilizer materials are mixed or blended together, the guarantor shall indicate on the label, tag, or printed invoice, the percent by weight of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in the final mixture.</w:t>
      </w:r>
    </w:p>
    <w:p w14:paraId="7AD65DEE" w14:textId="77777777" w:rsidR="00CF626A" w:rsidRPr="001531CD" w:rsidRDefault="006335DF" w:rsidP="006335DF">
      <w:pPr>
        <w:pStyle w:val="AuthorityNote"/>
      </w:pPr>
      <w:r w:rsidRPr="001531CD">
        <w:t>AUTHORITY NOTE:</w:t>
      </w:r>
      <w:r w:rsidRPr="001531CD">
        <w:tab/>
        <w:t>Promulgat</w:t>
      </w:r>
      <w:r w:rsidR="001D403C">
        <w:t>ed in accordance with R.S. 3:138</w:t>
      </w:r>
      <w:r w:rsidRPr="001531CD">
        <w:t>2.</w:t>
      </w:r>
    </w:p>
    <w:p w14:paraId="0CDE63B5"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6335DF" w:rsidRPr="001531CD">
        <w:t>amended LR 12:494 (August 1986), amended by the amended by the Department of Agriculture and Forestry, Feed, Fertilizer, and Agricultural Liming Commission, LR 38:2521 (October 2012).</w:t>
      </w:r>
    </w:p>
    <w:p w14:paraId="4AA3CE20" w14:textId="77777777" w:rsidR="00CF626A" w:rsidRPr="001531CD" w:rsidRDefault="00CF626A" w:rsidP="005967BF">
      <w:pPr>
        <w:pStyle w:val="Section"/>
      </w:pPr>
      <w:bookmarkStart w:id="1010" w:name="_Toc256754480"/>
      <w:bookmarkStart w:id="1011" w:name="_Toc224818741"/>
      <w:r w:rsidRPr="001531CD">
        <w:t>§107.</w:t>
      </w:r>
      <w:r w:rsidRPr="001531CD">
        <w:tab/>
        <w:t>Required Guarantees</w:t>
      </w:r>
      <w:bookmarkEnd w:id="1010"/>
      <w:bookmarkEnd w:id="1011"/>
    </w:p>
    <w:p w14:paraId="09278462" w14:textId="77777777" w:rsidR="00CF626A" w:rsidRPr="001531CD" w:rsidRDefault="006335DF" w:rsidP="005C070F">
      <w:pPr>
        <w:pStyle w:val="A"/>
        <w:spacing w:after="80"/>
      </w:pPr>
      <w:r w:rsidRPr="001531CD">
        <w:t>A.</w:t>
      </w:r>
      <w:r w:rsidRPr="001531CD">
        <w:tab/>
        <w:t>Guarantees of the plant nutrients shall be expressed as percent by weight.</w:t>
      </w:r>
    </w:p>
    <w:p w14:paraId="4C0E6683" w14:textId="77777777" w:rsidR="00CF626A" w:rsidRPr="001531CD" w:rsidRDefault="00CF626A" w:rsidP="005C070F">
      <w:pPr>
        <w:pStyle w:val="A"/>
        <w:spacing w:after="80"/>
      </w:pPr>
      <w:r w:rsidRPr="001531CD">
        <w:t>B.</w:t>
      </w:r>
      <w:r w:rsidRPr="001531CD">
        <w:tab/>
        <w:t>Guarantees on the basis of weight per unit of area (i.e., units/acres) will not be permitted.</w:t>
      </w:r>
    </w:p>
    <w:p w14:paraId="5F7F914B" w14:textId="77777777" w:rsidR="006335DF" w:rsidRPr="001531CD" w:rsidRDefault="006335DF" w:rsidP="006335DF">
      <w:pPr>
        <w:pStyle w:val="A"/>
      </w:pPr>
      <w:r w:rsidRPr="001531CD">
        <w:t>C.</w:t>
      </w:r>
      <w:r w:rsidRPr="001531CD">
        <w:tab/>
        <w:t>Every mixed fertilizer shall contain a minimum of</w:t>
      </w:r>
      <w:r w:rsidRPr="001531CD">
        <w:br/>
        <w:t>20 percent by weight of the primary nutrients,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except those products whose primary purpose is to supply minor nutrients.</w:t>
      </w:r>
    </w:p>
    <w:p w14:paraId="3BF5E50E" w14:textId="77777777" w:rsidR="00CF626A" w:rsidRPr="001531CD" w:rsidRDefault="006335DF" w:rsidP="006335DF">
      <w:pPr>
        <w:pStyle w:val="A"/>
        <w:spacing w:after="80"/>
      </w:pPr>
      <w:r w:rsidRPr="001531CD">
        <w:t>D.</w:t>
      </w:r>
      <w:r w:rsidRPr="001531CD">
        <w:tab/>
        <w:t>All plant nutrients other than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if listed on the label or invoice, shall be guaranteed on an elemental basis.</w:t>
      </w:r>
    </w:p>
    <w:p w14:paraId="636118C2" w14:textId="77777777" w:rsidR="00CF626A" w:rsidRPr="001531CD" w:rsidRDefault="00CF626A" w:rsidP="005C070F">
      <w:pPr>
        <w:pStyle w:val="A"/>
        <w:spacing w:after="80"/>
      </w:pPr>
      <w:r w:rsidRPr="001531CD">
        <w:t>E.</w:t>
      </w:r>
      <w:r w:rsidRPr="001531CD">
        <w:tab/>
        <w:t>Other plant nutrients when mentioned in any form or manner shall be registered and shall be guaranteed. Guarantees shall be made on the elemental basis. Sources of the elements guaranteed and proof of availability shall be provided the commissioner upon request. The minimum percentages which will be accepted for registration are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12"/>
        <w:gridCol w:w="1592"/>
      </w:tblGrid>
      <w:tr w:rsidR="00CF626A" w:rsidRPr="00167E2E" w14:paraId="78106904" w14:textId="77777777" w:rsidTr="00167E2E">
        <w:trPr>
          <w:cantSplit/>
          <w:trHeight w:val="20"/>
          <w:tblHeader/>
          <w:jc w:val="center"/>
        </w:trPr>
        <w:tc>
          <w:tcPr>
            <w:tcW w:w="1912" w:type="dxa"/>
            <w:tcBorders>
              <w:top w:val="double" w:sz="6" w:space="0" w:color="000000"/>
              <w:bottom w:val="single" w:sz="6" w:space="0" w:color="auto"/>
            </w:tcBorders>
            <w:shd w:val="clear" w:color="000000" w:fill="BFBFBF"/>
            <w:vAlign w:val="center"/>
          </w:tcPr>
          <w:p w14:paraId="1EFFC00B" w14:textId="77777777"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Element</w:t>
            </w:r>
          </w:p>
        </w:tc>
        <w:tc>
          <w:tcPr>
            <w:tcW w:w="1592" w:type="dxa"/>
            <w:tcBorders>
              <w:top w:val="double" w:sz="6" w:space="0" w:color="000000"/>
              <w:bottom w:val="single" w:sz="6" w:space="0" w:color="auto"/>
            </w:tcBorders>
            <w:shd w:val="clear" w:color="000000" w:fill="BFBFBF"/>
            <w:vAlign w:val="center"/>
          </w:tcPr>
          <w:p w14:paraId="5477193F" w14:textId="77777777"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w:t>
            </w:r>
          </w:p>
        </w:tc>
      </w:tr>
      <w:tr w:rsidR="00CF626A" w:rsidRPr="00167E2E" w14:paraId="3093031E" w14:textId="77777777" w:rsidTr="00167E2E">
        <w:trPr>
          <w:cantSplit/>
          <w:trHeight w:val="20"/>
          <w:jc w:val="center"/>
        </w:trPr>
        <w:tc>
          <w:tcPr>
            <w:tcW w:w="1912" w:type="dxa"/>
            <w:tcBorders>
              <w:top w:val="single" w:sz="6" w:space="0" w:color="auto"/>
            </w:tcBorders>
            <w:vAlign w:val="center"/>
          </w:tcPr>
          <w:p w14:paraId="2899A435"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Calcium (Ca)</w:t>
            </w:r>
          </w:p>
        </w:tc>
        <w:tc>
          <w:tcPr>
            <w:tcW w:w="1592" w:type="dxa"/>
            <w:tcBorders>
              <w:top w:val="single" w:sz="6" w:space="0" w:color="auto"/>
            </w:tcBorders>
            <w:vAlign w:val="center"/>
          </w:tcPr>
          <w:p w14:paraId="293D528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w:t>
            </w:r>
          </w:p>
        </w:tc>
      </w:tr>
      <w:tr w:rsidR="00CF626A" w:rsidRPr="00167E2E" w14:paraId="5224434D" w14:textId="77777777" w:rsidTr="00167E2E">
        <w:trPr>
          <w:cantSplit/>
          <w:trHeight w:val="20"/>
          <w:jc w:val="center"/>
        </w:trPr>
        <w:tc>
          <w:tcPr>
            <w:tcW w:w="1912" w:type="dxa"/>
            <w:vAlign w:val="center"/>
          </w:tcPr>
          <w:p w14:paraId="12EB7117"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Magnesium (Mg)</w:t>
            </w:r>
          </w:p>
        </w:tc>
        <w:tc>
          <w:tcPr>
            <w:tcW w:w="1592" w:type="dxa"/>
            <w:vAlign w:val="center"/>
          </w:tcPr>
          <w:p w14:paraId="6D5E350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0.50</w:t>
            </w:r>
          </w:p>
        </w:tc>
      </w:tr>
      <w:tr w:rsidR="00CF626A" w:rsidRPr="00167E2E" w14:paraId="3C4E512F" w14:textId="77777777" w:rsidTr="00167E2E">
        <w:trPr>
          <w:cantSplit/>
          <w:trHeight w:val="20"/>
          <w:jc w:val="center"/>
        </w:trPr>
        <w:tc>
          <w:tcPr>
            <w:tcW w:w="1912" w:type="dxa"/>
            <w:vAlign w:val="center"/>
          </w:tcPr>
          <w:p w14:paraId="5436B604"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Sulphur (S)</w:t>
            </w:r>
          </w:p>
        </w:tc>
        <w:tc>
          <w:tcPr>
            <w:tcW w:w="1592" w:type="dxa"/>
            <w:vAlign w:val="center"/>
          </w:tcPr>
          <w:p w14:paraId="51F19783"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w:t>
            </w:r>
          </w:p>
        </w:tc>
      </w:tr>
      <w:tr w:rsidR="00CF626A" w:rsidRPr="00167E2E" w14:paraId="3506ED8E" w14:textId="77777777" w:rsidTr="00167E2E">
        <w:trPr>
          <w:cantSplit/>
          <w:trHeight w:val="20"/>
          <w:jc w:val="center"/>
        </w:trPr>
        <w:tc>
          <w:tcPr>
            <w:tcW w:w="1912" w:type="dxa"/>
            <w:vAlign w:val="center"/>
          </w:tcPr>
          <w:p w14:paraId="238D54B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Boron (B)</w:t>
            </w:r>
          </w:p>
        </w:tc>
        <w:tc>
          <w:tcPr>
            <w:tcW w:w="1592" w:type="dxa"/>
            <w:vAlign w:val="center"/>
          </w:tcPr>
          <w:p w14:paraId="7FF6AAE4"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0.02</w:t>
            </w:r>
          </w:p>
        </w:tc>
      </w:tr>
      <w:tr w:rsidR="00CF626A" w:rsidRPr="00167E2E" w14:paraId="79B921F4" w14:textId="77777777" w:rsidTr="00167E2E">
        <w:trPr>
          <w:cantSplit/>
          <w:trHeight w:val="20"/>
          <w:jc w:val="center"/>
        </w:trPr>
        <w:tc>
          <w:tcPr>
            <w:tcW w:w="1912" w:type="dxa"/>
            <w:vAlign w:val="center"/>
          </w:tcPr>
          <w:p w14:paraId="65D43CD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Chlorine (Cl)</w:t>
            </w:r>
          </w:p>
        </w:tc>
        <w:tc>
          <w:tcPr>
            <w:tcW w:w="1592" w:type="dxa"/>
            <w:vAlign w:val="center"/>
          </w:tcPr>
          <w:p w14:paraId="1A2E352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14:paraId="6D9C74EB" w14:textId="77777777" w:rsidTr="00167E2E">
        <w:trPr>
          <w:cantSplit/>
          <w:trHeight w:val="20"/>
          <w:jc w:val="center"/>
        </w:trPr>
        <w:tc>
          <w:tcPr>
            <w:tcW w:w="1912" w:type="dxa"/>
            <w:vAlign w:val="center"/>
          </w:tcPr>
          <w:p w14:paraId="4E588E38"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Cobalt (Co)</w:t>
            </w:r>
          </w:p>
        </w:tc>
        <w:tc>
          <w:tcPr>
            <w:tcW w:w="1592" w:type="dxa"/>
            <w:vAlign w:val="center"/>
          </w:tcPr>
          <w:p w14:paraId="3654C87F"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0.0005</w:t>
            </w:r>
          </w:p>
        </w:tc>
      </w:tr>
      <w:tr w:rsidR="00CF626A" w:rsidRPr="00167E2E" w14:paraId="18541461" w14:textId="77777777" w:rsidTr="00167E2E">
        <w:trPr>
          <w:cantSplit/>
          <w:trHeight w:val="20"/>
          <w:jc w:val="center"/>
        </w:trPr>
        <w:tc>
          <w:tcPr>
            <w:tcW w:w="1912" w:type="dxa"/>
            <w:tcBorders>
              <w:bottom w:val="single" w:sz="6" w:space="0" w:color="auto"/>
            </w:tcBorders>
            <w:vAlign w:val="center"/>
          </w:tcPr>
          <w:p w14:paraId="263E51D6"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Copper (Cu)</w:t>
            </w:r>
          </w:p>
        </w:tc>
        <w:tc>
          <w:tcPr>
            <w:tcW w:w="1592" w:type="dxa"/>
            <w:tcBorders>
              <w:bottom w:val="single" w:sz="6" w:space="0" w:color="auto"/>
            </w:tcBorders>
            <w:vAlign w:val="center"/>
          </w:tcPr>
          <w:p w14:paraId="3FD638F6"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r w:rsidR="00CF626A" w:rsidRPr="00167E2E" w14:paraId="63F38DC6" w14:textId="77777777" w:rsidTr="00167E2E">
        <w:trPr>
          <w:cantSplit/>
          <w:trHeight w:val="20"/>
          <w:jc w:val="center"/>
        </w:trPr>
        <w:tc>
          <w:tcPr>
            <w:tcW w:w="1912" w:type="dxa"/>
            <w:tcBorders>
              <w:top w:val="single" w:sz="6" w:space="0" w:color="auto"/>
              <w:bottom w:val="single" w:sz="6" w:space="0" w:color="auto"/>
            </w:tcBorders>
            <w:vAlign w:val="center"/>
          </w:tcPr>
          <w:p w14:paraId="6C9E8D0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Iron (Fe)</w:t>
            </w:r>
          </w:p>
        </w:tc>
        <w:tc>
          <w:tcPr>
            <w:tcW w:w="1592" w:type="dxa"/>
            <w:tcBorders>
              <w:top w:val="single" w:sz="6" w:space="0" w:color="auto"/>
              <w:bottom w:val="single" w:sz="6" w:space="0" w:color="auto"/>
            </w:tcBorders>
            <w:vAlign w:val="center"/>
          </w:tcPr>
          <w:p w14:paraId="199428F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14:paraId="2E1CFF7C" w14:textId="77777777" w:rsidTr="00167E2E">
        <w:trPr>
          <w:cantSplit/>
          <w:trHeight w:val="20"/>
          <w:jc w:val="center"/>
        </w:trPr>
        <w:tc>
          <w:tcPr>
            <w:tcW w:w="1912" w:type="dxa"/>
            <w:tcBorders>
              <w:top w:val="single" w:sz="6" w:space="0" w:color="auto"/>
            </w:tcBorders>
            <w:vAlign w:val="center"/>
          </w:tcPr>
          <w:p w14:paraId="1192D82C"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Manganese (Mn)</w:t>
            </w:r>
          </w:p>
        </w:tc>
        <w:tc>
          <w:tcPr>
            <w:tcW w:w="1592" w:type="dxa"/>
            <w:tcBorders>
              <w:top w:val="single" w:sz="6" w:space="0" w:color="auto"/>
            </w:tcBorders>
            <w:vAlign w:val="center"/>
          </w:tcPr>
          <w:p w14:paraId="497BD166"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r w:rsidR="00CF626A" w:rsidRPr="00167E2E" w14:paraId="749FD6AA" w14:textId="77777777" w:rsidTr="00167E2E">
        <w:trPr>
          <w:cantSplit/>
          <w:trHeight w:val="20"/>
          <w:jc w:val="center"/>
        </w:trPr>
        <w:tc>
          <w:tcPr>
            <w:tcW w:w="1912" w:type="dxa"/>
            <w:vAlign w:val="center"/>
          </w:tcPr>
          <w:p w14:paraId="2982123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Molybdenum (Mo)</w:t>
            </w:r>
          </w:p>
        </w:tc>
        <w:tc>
          <w:tcPr>
            <w:tcW w:w="1592" w:type="dxa"/>
            <w:vAlign w:val="center"/>
          </w:tcPr>
          <w:p w14:paraId="7E00829E"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0.0005</w:t>
            </w:r>
          </w:p>
        </w:tc>
      </w:tr>
      <w:tr w:rsidR="00CF626A" w:rsidRPr="00167E2E" w14:paraId="2B158D8C" w14:textId="77777777" w:rsidTr="00167E2E">
        <w:trPr>
          <w:cantSplit/>
          <w:trHeight w:val="20"/>
          <w:jc w:val="center"/>
        </w:trPr>
        <w:tc>
          <w:tcPr>
            <w:tcW w:w="1912" w:type="dxa"/>
            <w:vAlign w:val="center"/>
          </w:tcPr>
          <w:p w14:paraId="32FB2DEC"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Sodium (Na)</w:t>
            </w:r>
          </w:p>
        </w:tc>
        <w:tc>
          <w:tcPr>
            <w:tcW w:w="1592" w:type="dxa"/>
            <w:vAlign w:val="center"/>
          </w:tcPr>
          <w:p w14:paraId="691D7B71"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14:paraId="2D553DCE" w14:textId="77777777" w:rsidTr="00167E2E">
        <w:trPr>
          <w:cantSplit/>
          <w:trHeight w:val="20"/>
          <w:jc w:val="center"/>
        </w:trPr>
        <w:tc>
          <w:tcPr>
            <w:tcW w:w="1912" w:type="dxa"/>
            <w:vAlign w:val="center"/>
          </w:tcPr>
          <w:p w14:paraId="74E3F21F"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Zinc (Zn)</w:t>
            </w:r>
          </w:p>
        </w:tc>
        <w:tc>
          <w:tcPr>
            <w:tcW w:w="1592" w:type="dxa"/>
            <w:vAlign w:val="center"/>
          </w:tcPr>
          <w:p w14:paraId="67CC8D4A"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bl>
    <w:p w14:paraId="3A30CD38" w14:textId="77777777" w:rsidR="00CF626A" w:rsidRPr="001531CD" w:rsidRDefault="00CF626A">
      <w:pPr>
        <w:pStyle w:val="A"/>
        <w:spacing w:before="200"/>
      </w:pPr>
      <w:r w:rsidRPr="001531CD">
        <w:t>F.</w:t>
      </w:r>
      <w:r w:rsidRPr="001531CD">
        <w:tab/>
        <w:t>Guarantees will be based on primary plant nutrients and will be calculated on the basis of primary plant nutrients before the addition, if any, of any minor elements, pesticides, and/or seeds.</w:t>
      </w:r>
    </w:p>
    <w:p w14:paraId="7D3DBED2" w14:textId="77777777" w:rsidR="00CF626A" w:rsidRPr="001531CD" w:rsidRDefault="001151CB">
      <w:pPr>
        <w:pStyle w:val="AuthorityNote"/>
      </w:pPr>
      <w:r w:rsidRPr="001531CD">
        <w:t>AUTHORITY NOTE:</w:t>
      </w:r>
      <w:r w:rsidRPr="001531CD">
        <w:tab/>
        <w:t>Promulgat</w:t>
      </w:r>
      <w:r w:rsidR="006E28BB">
        <w:t>ed in accordance with R.S. 3:138</w:t>
      </w:r>
      <w:r w:rsidRPr="001531CD">
        <w:t>2.</w:t>
      </w:r>
    </w:p>
    <w:p w14:paraId="44CE8A8E"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12:494 (August 1986), amended by the Department of Agriculture and Forestry, Feed, Fertilizer, and Agricultural Liming Commission, LR 38:2521 (October 2012).</w:t>
      </w:r>
    </w:p>
    <w:p w14:paraId="42A644A0" w14:textId="77777777" w:rsidR="00CF626A" w:rsidRPr="001531CD" w:rsidRDefault="00CF626A">
      <w:pPr>
        <w:pStyle w:val="Section"/>
      </w:pPr>
      <w:bookmarkStart w:id="1012" w:name="_Toc256754481"/>
      <w:bookmarkStart w:id="1013" w:name="_Toc224818742"/>
      <w:r w:rsidRPr="001531CD">
        <w:t>§109.</w:t>
      </w:r>
      <w:r w:rsidRPr="001531CD">
        <w:tab/>
        <w:t>Custom Mixed Fertilizers and Fertilizer Blends</w:t>
      </w:r>
      <w:bookmarkEnd w:id="1012"/>
      <w:bookmarkEnd w:id="1013"/>
    </w:p>
    <w:p w14:paraId="7FA37C32" w14:textId="77777777" w:rsidR="00CF626A" w:rsidRPr="001531CD" w:rsidRDefault="00CF626A">
      <w:pPr>
        <w:pStyle w:val="A"/>
      </w:pPr>
      <w:r w:rsidRPr="001531CD">
        <w:t>A.</w:t>
      </w:r>
      <w:r w:rsidRPr="001531CD">
        <w:tab/>
        <w:t xml:space="preserve">The guarantor may add minor elements, pesticides, and/or seeds at the request of the purchaser. When such additions are made, the guarantor shall provide information to the Department of Agriculture and Forestry on the types and amounts of materials added. This information is to appear on </w:t>
      </w:r>
      <w:r w:rsidRPr="001531CD">
        <w:lastRenderedPageBreak/>
        <w:t>the purchase invoice and the inspection report which accompanies the sample to the laboratory.</w:t>
      </w:r>
    </w:p>
    <w:p w14:paraId="3DE094B5" w14:textId="77777777" w:rsidR="00CF626A" w:rsidRPr="001531CD" w:rsidRDefault="00CF626A">
      <w:pPr>
        <w:pStyle w:val="A"/>
      </w:pPr>
      <w:r w:rsidRPr="001531CD">
        <w:t>B.</w:t>
      </w:r>
      <w:r w:rsidRPr="001531CD">
        <w:tab/>
        <w:t>Whenever two or more fertilizer materials are blended, the composition of the final product shall be expressed as the percentage by weight of nitrogen (N), available phosphoric acid (P</w:t>
      </w:r>
      <w:r w:rsidRPr="001531CD">
        <w:rPr>
          <w:vertAlign w:val="subscript"/>
        </w:rPr>
        <w:t>2</w:t>
      </w:r>
      <w:r w:rsidRPr="001531CD">
        <w:t>O</w:t>
      </w:r>
      <w:r w:rsidRPr="001531CD">
        <w:rPr>
          <w:vertAlign w:val="subscript"/>
        </w:rPr>
        <w:t>5</w:t>
      </w:r>
      <w:r w:rsidRPr="001531CD">
        <w:t>), soluble potash (K</w:t>
      </w:r>
      <w:r w:rsidRPr="001531CD">
        <w:rPr>
          <w:vertAlign w:val="subscript"/>
        </w:rPr>
        <w:t>2</w:t>
      </w:r>
      <w:r w:rsidRPr="001531CD">
        <w:t>O), and micronutrients, when guaranteed. This information shall appear on the purchase invoice to identify the fertilizer, the guarantor, and the consumer.</w:t>
      </w:r>
    </w:p>
    <w:p w14:paraId="6BB5B80C" w14:textId="77777777" w:rsidR="00CF626A" w:rsidRPr="001531CD" w:rsidRDefault="00CF626A">
      <w:pPr>
        <w:pStyle w:val="A"/>
      </w:pPr>
      <w:r w:rsidRPr="001531CD">
        <w:t>C.</w:t>
      </w:r>
      <w:r w:rsidRPr="001531CD">
        <w:tab/>
        <w:t>When fertilizer blends contain pesticides, the final product shall be treated as two separate products. Fertilizer shall be registered in accordance with these regulations and pesticides shall be registered in accordance with the Louisiana Pesticide Law.</w:t>
      </w:r>
    </w:p>
    <w:p w14:paraId="35628B76" w14:textId="77777777" w:rsidR="00CF626A" w:rsidRPr="001531CD" w:rsidRDefault="00CF626A">
      <w:pPr>
        <w:pStyle w:val="A"/>
      </w:pPr>
      <w:r w:rsidRPr="001531CD">
        <w:t>D.</w:t>
      </w:r>
      <w:r w:rsidRPr="001531CD">
        <w:tab/>
        <w:t>When fertilizer blends contain seeds, the final product shall be treated as two separate products. Fertilizer shall be registered in accordance with these regulations and seeds shall be subject to the regulations of the Louisiana Seed Law.</w:t>
      </w:r>
    </w:p>
    <w:p w14:paraId="208D0550" w14:textId="77777777" w:rsidR="00CF626A" w:rsidRPr="001531CD" w:rsidRDefault="00CF626A">
      <w:pPr>
        <w:pStyle w:val="AuthorityNote"/>
      </w:pPr>
      <w:r w:rsidRPr="001531CD">
        <w:t>AUTHORITY NOTE:</w:t>
      </w:r>
      <w:r w:rsidRPr="001531CD">
        <w:tab/>
        <w:t>Promulgated in accordance with R.</w:t>
      </w:r>
      <w:r w:rsidR="009C5B2A" w:rsidRPr="001531CD">
        <w:t>S. 3:1</w:t>
      </w:r>
      <w:r w:rsidR="006E28BB">
        <w:t>382</w:t>
      </w:r>
      <w:r w:rsidRPr="001531CD">
        <w:t>.</w:t>
      </w:r>
    </w:p>
    <w:p w14:paraId="5D118090" w14:textId="77777777" w:rsidR="00CF626A" w:rsidRPr="001531CD" w:rsidRDefault="00CF626A">
      <w:pPr>
        <w:pStyle w:val="HistoricalNote"/>
      </w:pPr>
      <w:r w:rsidRPr="001531CD">
        <w:t>HISTORICAL NOTE:</w:t>
      </w:r>
      <w:r w:rsidRPr="001531CD">
        <w:tab/>
        <w:t>Promulgated by the Department of Agriculture, Fertilizer Commission, LR 7:164 (April 1981), amended LR 12:495 (August 1986).</w:t>
      </w:r>
    </w:p>
    <w:p w14:paraId="037DFE7D" w14:textId="77777777" w:rsidR="00CF626A" w:rsidRPr="001531CD" w:rsidRDefault="00CF626A">
      <w:pPr>
        <w:pStyle w:val="Section"/>
      </w:pPr>
      <w:bookmarkStart w:id="1014" w:name="_Toc256754482"/>
      <w:bookmarkStart w:id="1015" w:name="_Toc224818743"/>
      <w:r w:rsidRPr="001531CD">
        <w:t>§111.</w:t>
      </w:r>
      <w:r w:rsidRPr="001531CD">
        <w:tab/>
        <w:t>Sampling Procedures</w:t>
      </w:r>
      <w:bookmarkEnd w:id="1014"/>
      <w:bookmarkEnd w:id="1015"/>
    </w:p>
    <w:p w14:paraId="1398C3A6" w14:textId="77777777" w:rsidR="00CF626A" w:rsidRPr="001531CD" w:rsidRDefault="00CF626A">
      <w:pPr>
        <w:pStyle w:val="A"/>
      </w:pPr>
      <w:r w:rsidRPr="001531CD">
        <w:t>A.</w:t>
      </w:r>
      <w:r w:rsidRPr="001531CD">
        <w:tab/>
        <w:t>Sampling of fertilizer is the responsibility of the director of Agricultural Chemistry Programs of the Department of Agriculture and Forestry.</w:t>
      </w:r>
    </w:p>
    <w:p w14:paraId="669680A8" w14:textId="77777777" w:rsidR="00CF626A" w:rsidRPr="001531CD" w:rsidRDefault="00CF626A">
      <w:pPr>
        <w:pStyle w:val="A"/>
      </w:pPr>
      <w:r w:rsidRPr="001531CD">
        <w:t>B.</w:t>
      </w:r>
      <w:r w:rsidRPr="001531CD">
        <w:tab/>
        <w:t>All samples of fertilizer that are shipped or stored in bulk shall be composite samples.</w:t>
      </w:r>
    </w:p>
    <w:p w14:paraId="36D2A691" w14:textId="77777777" w:rsidR="00CF626A" w:rsidRPr="001531CD" w:rsidRDefault="00CF626A">
      <w:pPr>
        <w:pStyle w:val="A"/>
      </w:pPr>
      <w:r w:rsidRPr="001531CD">
        <w:t>C.</w:t>
      </w:r>
      <w:r w:rsidRPr="001531CD">
        <w:tab/>
        <w:t>When taking a composite sample, the inspector will follow the procedures accepted by the Association of Official Analytical Chemists (A.O.A.C.) and/or American Association of Plant Food Control Officials (A.A.P.F.C.O.). No less than 10 probe samples shall constitute a composite sample from any killebrew, truck or pull type trailer. No less than 10 probe samples shall be taken to secure a composite sample in bulk warehouse storage area. When a composite sample is taken directly from a blender, prior to loading or storage, then the inspector shall cut the stream of flow according to A.O.A.C./A.A.P.F.C.O. standards and guidelines. If no sample splitter is provided by the guarantor, the inspector shall take a sample of approximately five pounds. This entire sample will be transported to the laboratory for analysis. A fertilizer blender may request a sample of not less than 20 pounds, nor more than 50 pounds provided the fertilizer company furnishes the inspector with a sample splitter and containers. The inspector will then split the sample to approximately five pounds. This portion will be properly labeled and transported to the laboratory for analysis. The remainder of the sample will be returned to the original lot from which the sample was taken.</w:t>
      </w:r>
    </w:p>
    <w:p w14:paraId="4A4CD3FA" w14:textId="77777777" w:rsidR="00CF626A" w:rsidRPr="001531CD" w:rsidRDefault="00CF626A">
      <w:pPr>
        <w:pStyle w:val="A"/>
      </w:pPr>
      <w:r w:rsidRPr="001531CD">
        <w:t>D.</w:t>
      </w:r>
      <w:r w:rsidRPr="001531CD">
        <w:tab/>
        <w:t>When prepackaged fertilizer is sampled, the composite sample shall be taken in the following amounts:</w:t>
      </w:r>
    </w:p>
    <w:p w14:paraId="006D0CB8" w14:textId="77777777" w:rsidR="00CF626A" w:rsidRPr="001531CD" w:rsidRDefault="00CF626A">
      <w:pPr>
        <w:pStyle w:val="1"/>
      </w:pPr>
      <w:r w:rsidRPr="001531CD">
        <w:t>1.</w:t>
      </w:r>
      <w:r w:rsidRPr="001531CD">
        <w:tab/>
        <w:t>lots containing 10 packages or less, every package shall be sampled;</w:t>
      </w:r>
    </w:p>
    <w:p w14:paraId="728D9BB9" w14:textId="77777777" w:rsidR="00CF626A" w:rsidRPr="001531CD" w:rsidRDefault="00CF626A">
      <w:pPr>
        <w:pStyle w:val="1"/>
      </w:pPr>
      <w:r w:rsidRPr="001531CD">
        <w:t>2.</w:t>
      </w:r>
      <w:r w:rsidRPr="001531CD">
        <w:tab/>
        <w:t xml:space="preserve">lots containing less than 1,000 packages, 5 percent of the packages shall be sampled, but not less than </w:t>
      </w:r>
      <w:r w:rsidR="00274551" w:rsidRPr="001531CD">
        <w:br/>
      </w:r>
      <w:r w:rsidRPr="001531CD">
        <w:t>10 packages will be sampled from the lot; and</w:t>
      </w:r>
    </w:p>
    <w:p w14:paraId="3D9C00D8" w14:textId="77777777" w:rsidR="00CF626A" w:rsidRPr="001531CD" w:rsidRDefault="00CF626A">
      <w:pPr>
        <w:pStyle w:val="1"/>
      </w:pPr>
      <w:r w:rsidRPr="001531CD">
        <w:t>3.</w:t>
      </w:r>
      <w:r w:rsidRPr="001531CD">
        <w:tab/>
        <w:t xml:space="preserve">lots containing 1,000 or more packages, </w:t>
      </w:r>
      <w:r w:rsidR="00274551" w:rsidRPr="001531CD">
        <w:br/>
      </w:r>
      <w:r w:rsidRPr="001531CD">
        <w:t>50 different packages shall be sampled.</w:t>
      </w:r>
    </w:p>
    <w:p w14:paraId="24D92E6B" w14:textId="77777777" w:rsidR="00CF626A" w:rsidRPr="001531CD" w:rsidRDefault="00CF626A">
      <w:pPr>
        <w:pStyle w:val="A"/>
      </w:pPr>
      <w:r w:rsidRPr="001531CD">
        <w:t>E.</w:t>
      </w:r>
      <w:r w:rsidRPr="001531CD">
        <w:tab/>
        <w:t>When the fertilizer is in liquid form, and stored in quantities other than small packages, one sample is to be taken from each storage container in accordance with the procedures accepted by the A.O.A.C. and/or A.A.P.F.C.O. When the fertilizer is in liquid form and prepackaged for sale in small containers, a single package may be taken.</w:t>
      </w:r>
    </w:p>
    <w:p w14:paraId="3AD69171" w14:textId="77777777" w:rsidR="00CF626A" w:rsidRPr="001531CD" w:rsidRDefault="00CF626A">
      <w:pPr>
        <w:pStyle w:val="A"/>
      </w:pPr>
      <w:r w:rsidRPr="001531CD">
        <w:t>F.</w:t>
      </w:r>
      <w:r w:rsidRPr="001531CD">
        <w:tab/>
        <w:t>Each official sample shall be placed in a suitable container and clearly marked for identification while the inspector taking the sample is still on the premises of the guarantor, and the guarantor or his agent shall be permitted to examine the marking. The identification so affixed to the sample shall contain all information called for on the official fertilizer inspection form of the Department of Agriculture and Forestry.</w:t>
      </w:r>
    </w:p>
    <w:p w14:paraId="54967C55" w14:textId="77777777" w:rsidR="00CF626A" w:rsidRPr="001531CD" w:rsidRDefault="00CF626A">
      <w:pPr>
        <w:pStyle w:val="A"/>
      </w:pPr>
      <w:r w:rsidRPr="001531CD">
        <w:t>G.</w:t>
      </w:r>
      <w:r w:rsidRPr="001531CD">
        <w:tab/>
        <w:t>All samples shall be forwarded by the inspector to the state chemist within two working days, and the inspector shall record the date of mailing or delivering of said sample.</w:t>
      </w:r>
    </w:p>
    <w:p w14:paraId="2C2CB261" w14:textId="77777777" w:rsidR="00CF626A" w:rsidRPr="001531CD" w:rsidRDefault="009C5B2A">
      <w:pPr>
        <w:pStyle w:val="AuthorityNote"/>
      </w:pPr>
      <w:r w:rsidRPr="001531CD">
        <w:t>AUTHORITY NOTE:</w:t>
      </w:r>
      <w:r w:rsidRPr="001531CD">
        <w:tab/>
        <w:t>Promulgated in accordance with R.S. 3:1</w:t>
      </w:r>
      <w:r w:rsidR="006E28BB">
        <w:t>38</w:t>
      </w:r>
      <w:r w:rsidRPr="001531CD">
        <w:t>2.</w:t>
      </w:r>
    </w:p>
    <w:p w14:paraId="49C4037C" w14:textId="77777777" w:rsidR="00CF626A" w:rsidRPr="001531CD" w:rsidRDefault="00CF626A">
      <w:pPr>
        <w:pStyle w:val="HistoricalNote"/>
      </w:pPr>
      <w:r w:rsidRPr="001531CD">
        <w:t>HISTORICAL NOTE:</w:t>
      </w:r>
      <w:r w:rsidRPr="001531CD">
        <w:tab/>
        <w:t>Promulgated by the Department of Agriculture, Fertilizer Commission, LR 7:164 (April 1981), amended LR 12:495 (August 1986).</w:t>
      </w:r>
    </w:p>
    <w:p w14:paraId="7FC69A7D" w14:textId="77777777" w:rsidR="00CF626A" w:rsidRPr="001531CD" w:rsidRDefault="00CF626A" w:rsidP="00026176">
      <w:pPr>
        <w:pStyle w:val="Section"/>
        <w:spacing w:after="80"/>
      </w:pPr>
      <w:bookmarkStart w:id="1016" w:name="_Toc256754483"/>
      <w:bookmarkStart w:id="1017" w:name="_Toc224818744"/>
      <w:r w:rsidRPr="001531CD">
        <w:t>§113.</w:t>
      </w:r>
      <w:r w:rsidRPr="001531CD">
        <w:tab/>
        <w:t>Chemical Analysis of Fertilizer</w:t>
      </w:r>
      <w:bookmarkEnd w:id="1016"/>
      <w:bookmarkEnd w:id="1017"/>
    </w:p>
    <w:p w14:paraId="0121A394" w14:textId="77777777" w:rsidR="00CF626A" w:rsidRPr="001531CD" w:rsidRDefault="00CF626A" w:rsidP="00026176">
      <w:pPr>
        <w:pStyle w:val="A"/>
        <w:spacing w:after="80"/>
      </w:pPr>
      <w:r w:rsidRPr="001531CD">
        <w:t>A.</w:t>
      </w:r>
      <w:r w:rsidRPr="001531CD">
        <w:tab/>
        <w:t>The state chemist is responsible for chemical analysis of all samples of fertilizer.</w:t>
      </w:r>
    </w:p>
    <w:p w14:paraId="028D031E" w14:textId="77777777" w:rsidR="00CF626A" w:rsidRPr="001531CD" w:rsidRDefault="00CF626A" w:rsidP="00026176">
      <w:pPr>
        <w:pStyle w:val="A"/>
        <w:spacing w:after="80"/>
      </w:pPr>
      <w:r w:rsidRPr="001531CD">
        <w:t>B.</w:t>
      </w:r>
      <w:r w:rsidRPr="001531CD">
        <w:tab/>
        <w:t>All samples received in the laboratory shall be reduced to approximately 0.5 pounds for chemical analysis by splitting the sample in accordance with A.O.A.C. procedures.</w:t>
      </w:r>
    </w:p>
    <w:p w14:paraId="76BD38AA" w14:textId="77777777" w:rsidR="00CF626A" w:rsidRPr="001531CD" w:rsidRDefault="00CF626A" w:rsidP="00026176">
      <w:pPr>
        <w:pStyle w:val="A"/>
        <w:spacing w:after="80"/>
      </w:pPr>
      <w:r w:rsidRPr="001531CD">
        <w:t>C.</w:t>
      </w:r>
      <w:r w:rsidRPr="001531CD">
        <w:tab/>
        <w:t>In analysis of fertilizers, the state chemist shall follow the procedures set forth in the current edition of Official Methods of Analysis of the Association of Official Analytical Chemists (A.O.A.C.) or the procedures recognized by the American Association of Plant Food Control Officials (A.A.P.F.C.O.).</w:t>
      </w:r>
    </w:p>
    <w:p w14:paraId="5433C1E2" w14:textId="77777777" w:rsidR="00CF626A" w:rsidRPr="001531CD" w:rsidRDefault="00CF626A" w:rsidP="00026176">
      <w:pPr>
        <w:pStyle w:val="A"/>
        <w:spacing w:after="80"/>
      </w:pPr>
      <w:r w:rsidRPr="001531CD">
        <w:t>D.</w:t>
      </w:r>
      <w:r w:rsidRPr="001531CD">
        <w:tab/>
        <w:t>In any situation which is not expressly covered by the authorities cited in §113.B above, the state chemist shall select the method of analysis to be followed and shall document the rationale for his selection.</w:t>
      </w:r>
    </w:p>
    <w:p w14:paraId="60A1F0D0" w14:textId="77777777" w:rsidR="00CF626A" w:rsidRPr="001531CD" w:rsidRDefault="001151CB" w:rsidP="00026176">
      <w:pPr>
        <w:pStyle w:val="A"/>
        <w:spacing w:after="80"/>
      </w:pPr>
      <w:r w:rsidRPr="001531CD">
        <w:t>E.</w:t>
      </w:r>
      <w:r w:rsidRPr="001531CD">
        <w:tab/>
        <w:t>Results of the fertilizer analysis shall be mailed to the guarantor within 30 days after the sample is taken. If the test results are not mailed to the guarantor within 30 days after the sample was taken, the guarantor may request in writing, within 10 days of receipt of notice of deficiency, a hearing before the commission for a determination of the validity of any penalties assessed.</w:t>
      </w:r>
    </w:p>
    <w:p w14:paraId="3FA0431D" w14:textId="77777777" w:rsidR="00CF626A" w:rsidRPr="001531CD" w:rsidRDefault="00CF626A" w:rsidP="00026176">
      <w:pPr>
        <w:pStyle w:val="A"/>
        <w:spacing w:after="80"/>
      </w:pPr>
      <w:r w:rsidRPr="001531CD">
        <w:t>F.</w:t>
      </w:r>
      <w:r w:rsidRPr="001531CD">
        <w:tab/>
        <w:t>When analysis indicates a deficiency, then an additional analysis shall be made from the unground portion of that sample being held in the laboratory. If the results of the two analyses differ, then the official results shall be the analysis that indicates the higher percentage of plant nutrients.</w:t>
      </w:r>
    </w:p>
    <w:p w14:paraId="023B8A6D" w14:textId="77777777" w:rsidR="00CF626A" w:rsidRPr="001531CD" w:rsidRDefault="001151CB">
      <w:pPr>
        <w:pStyle w:val="AuthorityNote"/>
      </w:pPr>
      <w:r w:rsidRPr="001531CD">
        <w:lastRenderedPageBreak/>
        <w:t>AUTHORITY NOTE:</w:t>
      </w:r>
      <w:r w:rsidRPr="001531CD">
        <w:tab/>
        <w:t>Promulgat</w:t>
      </w:r>
      <w:r w:rsidR="006E28BB">
        <w:t>ed in accordance with R.S. 3:138</w:t>
      </w:r>
      <w:r w:rsidRPr="001531CD">
        <w:t>2.</w:t>
      </w:r>
    </w:p>
    <w:p w14:paraId="413A37BD"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12:495 (August 1986), amended by the Department of Agriculture and Forestry, Feed, Fertilizer, and Agricultural Liming Commission, LR 38:2522 (October 2012).</w:t>
      </w:r>
    </w:p>
    <w:p w14:paraId="717913B8" w14:textId="77777777" w:rsidR="00CF626A" w:rsidRPr="001531CD" w:rsidRDefault="00CF626A">
      <w:pPr>
        <w:pStyle w:val="Section"/>
      </w:pPr>
      <w:bookmarkStart w:id="1018" w:name="_Toc256754485"/>
      <w:bookmarkStart w:id="1019" w:name="_Toc224818745"/>
      <w:r w:rsidRPr="001531CD">
        <w:t>§117.</w:t>
      </w:r>
      <w:r w:rsidRPr="001531CD">
        <w:tab/>
        <w:t>Penalties; Deficiencies; Curing of Deficiencies</w:t>
      </w:r>
      <w:bookmarkEnd w:id="1018"/>
      <w:bookmarkEnd w:id="1019"/>
    </w:p>
    <w:p w14:paraId="4CF66451" w14:textId="77777777" w:rsidR="001151CB" w:rsidRPr="001531CD" w:rsidRDefault="001151CB" w:rsidP="001151CB">
      <w:pPr>
        <w:pStyle w:val="A"/>
      </w:pPr>
      <w:r w:rsidRPr="001531CD">
        <w:t>A.</w:t>
      </w:r>
      <w:r w:rsidRPr="001531CD">
        <w:tab/>
        <w:t>The commission shall levy penalties as set forth in R.S. 3:1419, against the guarantor of any lot or package of fertilizer found by chemical analysis to be deficient in the primary plant nutrients,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104"/>
        <w:gridCol w:w="1350"/>
        <w:gridCol w:w="1170"/>
        <w:gridCol w:w="1170"/>
      </w:tblGrid>
      <w:tr w:rsidR="001151CB" w:rsidRPr="001531CD" w14:paraId="221CCE9E" w14:textId="77777777" w:rsidTr="00CD0355">
        <w:trPr>
          <w:cantSplit/>
          <w:jc w:val="center"/>
        </w:trPr>
        <w:tc>
          <w:tcPr>
            <w:tcW w:w="1104" w:type="dxa"/>
            <w:tcBorders>
              <w:top w:val="double" w:sz="6" w:space="0" w:color="000000"/>
              <w:bottom w:val="single" w:sz="6" w:space="0" w:color="000000"/>
            </w:tcBorders>
            <w:shd w:val="clear" w:color="000000" w:fill="BFBFBF"/>
            <w:vAlign w:val="center"/>
          </w:tcPr>
          <w:p w14:paraId="2373559D" w14:textId="77777777"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Element</w:t>
            </w:r>
          </w:p>
        </w:tc>
        <w:tc>
          <w:tcPr>
            <w:tcW w:w="1350" w:type="dxa"/>
            <w:tcBorders>
              <w:top w:val="double" w:sz="6" w:space="0" w:color="000000"/>
              <w:bottom w:val="single" w:sz="6" w:space="0" w:color="000000"/>
            </w:tcBorders>
            <w:shd w:val="clear" w:color="000000" w:fill="BFBFBF"/>
            <w:vAlign w:val="center"/>
          </w:tcPr>
          <w:p w14:paraId="1AA827E0" w14:textId="77777777"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 by Weight Guaranteed</w:t>
            </w:r>
          </w:p>
        </w:tc>
        <w:tc>
          <w:tcPr>
            <w:tcW w:w="1170" w:type="dxa"/>
            <w:tcBorders>
              <w:top w:val="double" w:sz="6" w:space="0" w:color="000000"/>
              <w:bottom w:val="single" w:sz="6" w:space="0" w:color="000000"/>
            </w:tcBorders>
            <w:shd w:val="clear" w:color="000000" w:fill="BFBFBF"/>
            <w:vAlign w:val="center"/>
          </w:tcPr>
          <w:p w14:paraId="400E8CEC" w14:textId="77777777"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Deficiency </w:t>
            </w:r>
          </w:p>
        </w:tc>
        <w:tc>
          <w:tcPr>
            <w:tcW w:w="1170" w:type="dxa"/>
            <w:tcBorders>
              <w:top w:val="double" w:sz="6" w:space="0" w:color="000000"/>
              <w:bottom w:val="single" w:sz="6" w:space="0" w:color="000000"/>
            </w:tcBorders>
            <w:shd w:val="clear" w:color="000000" w:fill="BFBFBF"/>
            <w:vAlign w:val="center"/>
          </w:tcPr>
          <w:p w14:paraId="09411DB1" w14:textId="77777777"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Penalty</w:t>
            </w:r>
          </w:p>
        </w:tc>
      </w:tr>
      <w:tr w:rsidR="001151CB" w:rsidRPr="001531CD" w14:paraId="2A65B674" w14:textId="77777777" w:rsidTr="00CD0355">
        <w:trPr>
          <w:cantSplit/>
          <w:jc w:val="center"/>
        </w:trPr>
        <w:tc>
          <w:tcPr>
            <w:tcW w:w="1104" w:type="dxa"/>
            <w:tcBorders>
              <w:top w:val="single" w:sz="6" w:space="0" w:color="000000"/>
            </w:tcBorders>
          </w:tcPr>
          <w:p w14:paraId="462F4988"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Nitrogen</w:t>
            </w:r>
          </w:p>
        </w:tc>
        <w:tc>
          <w:tcPr>
            <w:tcW w:w="1350" w:type="dxa"/>
            <w:tcBorders>
              <w:top w:val="single" w:sz="6" w:space="0" w:color="000000"/>
            </w:tcBorders>
          </w:tcPr>
          <w:p w14:paraId="1F24C0D9"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percent-8.0 percent</w:t>
            </w:r>
          </w:p>
        </w:tc>
        <w:tc>
          <w:tcPr>
            <w:tcW w:w="1170" w:type="dxa"/>
            <w:tcBorders>
              <w:top w:val="single" w:sz="6" w:space="0" w:color="000000"/>
            </w:tcBorders>
          </w:tcPr>
          <w:p w14:paraId="60070186"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0.4 percent</w:t>
            </w:r>
          </w:p>
        </w:tc>
        <w:tc>
          <w:tcPr>
            <w:tcW w:w="1170" w:type="dxa"/>
            <w:tcBorders>
              <w:top w:val="single" w:sz="6" w:space="0" w:color="000000"/>
            </w:tcBorders>
            <w:vAlign w:val="center"/>
          </w:tcPr>
          <w:p w14:paraId="07D25078"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 x Value of Deficiency</w:t>
            </w:r>
          </w:p>
        </w:tc>
      </w:tr>
      <w:tr w:rsidR="001151CB" w:rsidRPr="001531CD" w14:paraId="402B026E" w14:textId="77777777" w:rsidTr="00CD0355">
        <w:trPr>
          <w:cantSplit/>
          <w:jc w:val="center"/>
        </w:trPr>
        <w:tc>
          <w:tcPr>
            <w:tcW w:w="1104" w:type="dxa"/>
            <w:vAlign w:val="center"/>
          </w:tcPr>
          <w:p w14:paraId="1B155616"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1C944A9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8.1 percent-20.9 percent</w:t>
            </w:r>
          </w:p>
        </w:tc>
        <w:tc>
          <w:tcPr>
            <w:tcW w:w="1170" w:type="dxa"/>
            <w:vAlign w:val="center"/>
          </w:tcPr>
          <w:p w14:paraId="7FFDFFA1"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14:paraId="4E44CAF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095BC384" w14:textId="77777777" w:rsidTr="00CD0355">
        <w:trPr>
          <w:cantSplit/>
          <w:jc w:val="center"/>
        </w:trPr>
        <w:tc>
          <w:tcPr>
            <w:tcW w:w="1104" w:type="dxa"/>
            <w:vAlign w:val="center"/>
          </w:tcPr>
          <w:p w14:paraId="4D08FF3E"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6D34B9B9"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21.0 percent and above</w:t>
            </w:r>
          </w:p>
        </w:tc>
        <w:tc>
          <w:tcPr>
            <w:tcW w:w="1170" w:type="dxa"/>
            <w:vAlign w:val="center"/>
          </w:tcPr>
          <w:p w14:paraId="1AC5E3FF"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0.8 percent</w:t>
            </w:r>
          </w:p>
        </w:tc>
        <w:tc>
          <w:tcPr>
            <w:tcW w:w="1170" w:type="dxa"/>
            <w:vAlign w:val="center"/>
          </w:tcPr>
          <w:p w14:paraId="34C875CB"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64BC3EB5" w14:textId="77777777" w:rsidTr="00CD0355">
        <w:trPr>
          <w:cantSplit/>
          <w:jc w:val="center"/>
        </w:trPr>
        <w:tc>
          <w:tcPr>
            <w:tcW w:w="1104" w:type="dxa"/>
            <w:vAlign w:val="center"/>
          </w:tcPr>
          <w:p w14:paraId="20685F78"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Phosphorus</w:t>
            </w:r>
          </w:p>
        </w:tc>
        <w:tc>
          <w:tcPr>
            <w:tcW w:w="1350" w:type="dxa"/>
            <w:vAlign w:val="center"/>
          </w:tcPr>
          <w:p w14:paraId="5F234121"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percent-10.0 percent</w:t>
            </w:r>
          </w:p>
        </w:tc>
        <w:tc>
          <w:tcPr>
            <w:tcW w:w="1170" w:type="dxa"/>
            <w:vAlign w:val="center"/>
          </w:tcPr>
          <w:p w14:paraId="66867437"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0.4 percent</w:t>
            </w:r>
          </w:p>
        </w:tc>
        <w:tc>
          <w:tcPr>
            <w:tcW w:w="1170" w:type="dxa"/>
            <w:vAlign w:val="center"/>
          </w:tcPr>
          <w:p w14:paraId="4F254B08"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2C9EDF1C" w14:textId="77777777" w:rsidTr="00CD0355">
        <w:trPr>
          <w:cantSplit/>
          <w:jc w:val="center"/>
        </w:trPr>
        <w:tc>
          <w:tcPr>
            <w:tcW w:w="1104" w:type="dxa"/>
            <w:vAlign w:val="center"/>
          </w:tcPr>
          <w:p w14:paraId="24BE8690"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3C3D0FDD"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10.1 percent-25.9 percent</w:t>
            </w:r>
          </w:p>
        </w:tc>
        <w:tc>
          <w:tcPr>
            <w:tcW w:w="1170" w:type="dxa"/>
            <w:vAlign w:val="center"/>
          </w:tcPr>
          <w:p w14:paraId="0D966B0D"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14:paraId="5E959C6D"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47462A1C" w14:textId="77777777" w:rsidTr="00CD0355">
        <w:trPr>
          <w:cantSplit/>
          <w:jc w:val="center"/>
        </w:trPr>
        <w:tc>
          <w:tcPr>
            <w:tcW w:w="1104" w:type="dxa"/>
            <w:vAlign w:val="center"/>
          </w:tcPr>
          <w:p w14:paraId="65E2030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2A9ACC7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26.0 percent and above</w:t>
            </w:r>
          </w:p>
        </w:tc>
        <w:tc>
          <w:tcPr>
            <w:tcW w:w="1170" w:type="dxa"/>
            <w:vAlign w:val="center"/>
          </w:tcPr>
          <w:p w14:paraId="0FA25EBA"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0.8 percent</w:t>
            </w:r>
          </w:p>
        </w:tc>
        <w:tc>
          <w:tcPr>
            <w:tcW w:w="1170" w:type="dxa"/>
            <w:vAlign w:val="center"/>
          </w:tcPr>
          <w:p w14:paraId="6318BE37"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4F6AA513" w14:textId="77777777" w:rsidTr="00CD0355">
        <w:trPr>
          <w:cantSplit/>
          <w:jc w:val="center"/>
        </w:trPr>
        <w:tc>
          <w:tcPr>
            <w:tcW w:w="1104" w:type="dxa"/>
            <w:vAlign w:val="center"/>
          </w:tcPr>
          <w:p w14:paraId="69CA3DC0"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Potassium</w:t>
            </w:r>
          </w:p>
        </w:tc>
        <w:tc>
          <w:tcPr>
            <w:tcW w:w="1350" w:type="dxa"/>
            <w:vAlign w:val="center"/>
          </w:tcPr>
          <w:p w14:paraId="0EAFD6D4"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percent-8.0 percent</w:t>
            </w:r>
          </w:p>
        </w:tc>
        <w:tc>
          <w:tcPr>
            <w:tcW w:w="1170" w:type="dxa"/>
            <w:vAlign w:val="center"/>
          </w:tcPr>
          <w:p w14:paraId="0AD141F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14:paraId="18DC1DA9"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164BC0DA" w14:textId="77777777" w:rsidTr="00CD0355">
        <w:trPr>
          <w:cantSplit/>
          <w:jc w:val="center"/>
        </w:trPr>
        <w:tc>
          <w:tcPr>
            <w:tcW w:w="1104" w:type="dxa"/>
            <w:vAlign w:val="center"/>
          </w:tcPr>
          <w:p w14:paraId="494BAB16"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76EF3505"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8.1 percent-20.9 percent</w:t>
            </w:r>
          </w:p>
        </w:tc>
        <w:tc>
          <w:tcPr>
            <w:tcW w:w="1170" w:type="dxa"/>
            <w:vAlign w:val="center"/>
          </w:tcPr>
          <w:p w14:paraId="51D1EC56"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0.6 percent</w:t>
            </w:r>
          </w:p>
        </w:tc>
        <w:tc>
          <w:tcPr>
            <w:tcW w:w="1170" w:type="dxa"/>
            <w:vAlign w:val="center"/>
          </w:tcPr>
          <w:p w14:paraId="7D649241"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14:paraId="25F7A1B7" w14:textId="77777777" w:rsidTr="00CD0355">
        <w:trPr>
          <w:cantSplit/>
          <w:jc w:val="center"/>
        </w:trPr>
        <w:tc>
          <w:tcPr>
            <w:tcW w:w="1104" w:type="dxa"/>
            <w:vAlign w:val="center"/>
          </w:tcPr>
          <w:p w14:paraId="73321AC6"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14:paraId="643A04E1"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21.0 percent and above</w:t>
            </w:r>
          </w:p>
        </w:tc>
        <w:tc>
          <w:tcPr>
            <w:tcW w:w="1170" w:type="dxa"/>
            <w:vAlign w:val="center"/>
          </w:tcPr>
          <w:p w14:paraId="20DA1BC2"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 percent</w:t>
            </w:r>
          </w:p>
        </w:tc>
        <w:tc>
          <w:tcPr>
            <w:tcW w:w="1170" w:type="dxa"/>
            <w:vAlign w:val="center"/>
          </w:tcPr>
          <w:p w14:paraId="6A67AA28" w14:textId="77777777"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bl>
    <w:p w14:paraId="2803B383" w14:textId="77777777" w:rsidR="001151CB" w:rsidRPr="001531CD" w:rsidRDefault="001151CB" w:rsidP="001151CB">
      <w:pPr>
        <w:pStyle w:val="A"/>
      </w:pPr>
    </w:p>
    <w:p w14:paraId="310A6DC0" w14:textId="77777777" w:rsidR="001151CB" w:rsidRPr="001531CD" w:rsidRDefault="001151CB" w:rsidP="001151CB">
      <w:pPr>
        <w:pStyle w:val="A"/>
      </w:pPr>
      <w:r w:rsidRPr="001531CD">
        <w:t>B.</w:t>
      </w:r>
      <w:r w:rsidRPr="001531CD">
        <w:tab/>
        <w:t>The value of the deficiency shall be calculated as follows:</w:t>
      </w:r>
    </w:p>
    <w:p w14:paraId="78212B53" w14:textId="77777777" w:rsidR="001151CB" w:rsidRPr="001531CD" w:rsidRDefault="001151CB" w:rsidP="001151CB">
      <w:pPr>
        <w:pStyle w:val="Text"/>
        <w:ind w:firstLine="0"/>
        <w:jc w:val="center"/>
        <w:rPr>
          <w:sz w:val="16"/>
          <w:szCs w:val="16"/>
        </w:rPr>
      </w:pPr>
      <w:r w:rsidRPr="001531CD">
        <w:rPr>
          <w:sz w:val="16"/>
          <w:szCs w:val="16"/>
        </w:rPr>
        <w:t>(Guaranteed Analysis - Actual Analysis) x</w:t>
      </w:r>
      <w:r w:rsidRPr="001531CD">
        <w:rPr>
          <w:sz w:val="16"/>
          <w:szCs w:val="16"/>
        </w:rPr>
        <w:br/>
        <w:t>Value of Element/Unit x Tons in Shipment x 4</w:t>
      </w:r>
    </w:p>
    <w:p w14:paraId="2B88016B" w14:textId="77777777" w:rsidR="00CF626A" w:rsidRPr="001531CD" w:rsidRDefault="001151CB" w:rsidP="001151CB">
      <w:pPr>
        <w:pStyle w:val="AuthorityNote"/>
      </w:pPr>
      <w:r w:rsidRPr="001531CD">
        <w:t>AUTHORITY NOTE:</w:t>
      </w:r>
      <w:r w:rsidRPr="001531CD">
        <w:tab/>
        <w:t>Promulgat</w:t>
      </w:r>
      <w:r w:rsidR="006E28BB">
        <w:t>ed in accordance with R.S. 3:138</w:t>
      </w:r>
      <w:r w:rsidRPr="001531CD">
        <w:t>2.</w:t>
      </w:r>
    </w:p>
    <w:p w14:paraId="1BAB3FDD"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12:496 (August 1986), amended by the Department of Agriculture and Forestry, Feed, Fertilizer, and Agricultural Liming Commission, LR 38:2522 (October 2012).</w:t>
      </w:r>
    </w:p>
    <w:p w14:paraId="13BDBA89" w14:textId="77777777" w:rsidR="00CF626A" w:rsidRPr="001531CD" w:rsidRDefault="00CF626A">
      <w:pPr>
        <w:pStyle w:val="Section"/>
      </w:pPr>
      <w:bookmarkStart w:id="1020" w:name="_Toc256754487"/>
      <w:bookmarkStart w:id="1021" w:name="_Toc224818746"/>
      <w:r w:rsidRPr="001531CD">
        <w:t>§121.</w:t>
      </w:r>
      <w:r w:rsidRPr="001531CD">
        <w:tab/>
        <w:t>Payment of Penalties</w:t>
      </w:r>
      <w:bookmarkEnd w:id="1020"/>
      <w:bookmarkEnd w:id="1021"/>
    </w:p>
    <w:p w14:paraId="70A9C48D" w14:textId="77777777" w:rsidR="007A38BA" w:rsidRPr="001531CD" w:rsidRDefault="007A38BA" w:rsidP="007A38BA">
      <w:pPr>
        <w:pStyle w:val="A"/>
      </w:pPr>
      <w:r w:rsidRPr="001531CD">
        <w:t>A.</w:t>
      </w:r>
      <w:r w:rsidRPr="001531CD">
        <w:tab/>
        <w:t>When the penalty is paid by the guarantor to the purchaser, the guarantor shall provide proof of such payment to the commission within 30 days of the date on which the notice of the penalty is mailed to the guarantor. A copy of the check payable to the purchaser shall constitute proof.</w:t>
      </w:r>
    </w:p>
    <w:p w14:paraId="3BE64A90" w14:textId="77777777" w:rsidR="007A38BA" w:rsidRPr="001531CD" w:rsidRDefault="007A38BA" w:rsidP="007A38BA">
      <w:pPr>
        <w:pStyle w:val="A"/>
      </w:pPr>
      <w:r w:rsidRPr="001531CD">
        <w:t>B.</w:t>
      </w:r>
      <w:r w:rsidRPr="001531CD">
        <w:tab/>
        <w:t>The face and/or the stub of all checks for penalty payments shall contain the laboratory number which appears on the report of the analysis.</w:t>
      </w:r>
    </w:p>
    <w:p w14:paraId="0CC73B2D" w14:textId="77777777" w:rsidR="007A38BA" w:rsidRPr="001531CD" w:rsidRDefault="007A38BA" w:rsidP="007A38BA">
      <w:pPr>
        <w:pStyle w:val="A"/>
      </w:pPr>
      <w:r w:rsidRPr="001531CD">
        <w:t>C.</w:t>
      </w:r>
      <w:r w:rsidRPr="001531CD">
        <w:tab/>
        <w:t>Penalties paid to the commission shall be deposited into the Feed and Fertilizer Fund as provided for in R.S. 3:1421.</w:t>
      </w:r>
    </w:p>
    <w:p w14:paraId="5235DE0D" w14:textId="77777777" w:rsidR="00CF626A" w:rsidRPr="001531CD" w:rsidRDefault="007A38BA" w:rsidP="007A38BA">
      <w:pPr>
        <w:pStyle w:val="AuthorityNote"/>
      </w:pPr>
      <w:r w:rsidRPr="001531CD">
        <w:t>AUTHORITY NOTE:</w:t>
      </w:r>
      <w:r w:rsidRPr="001531CD">
        <w:tab/>
        <w:t>Promulgat</w:t>
      </w:r>
      <w:r w:rsidR="006E28BB">
        <w:t>ed in accordance with R.S. 3:138</w:t>
      </w:r>
      <w:r w:rsidRPr="001531CD">
        <w:t>2.</w:t>
      </w:r>
    </w:p>
    <w:p w14:paraId="7794751B"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7A38BA" w:rsidRPr="001531CD">
        <w:t>amended LR 12:496 (August 1986), amended by the Department of Agriculture and Forestry, Feed, Fertilizer, and Agricultural Liming Commission, LR 38:2522 (October 2012).</w:t>
      </w:r>
    </w:p>
    <w:p w14:paraId="155D8B97" w14:textId="77777777" w:rsidR="00CF626A" w:rsidRPr="001531CD" w:rsidRDefault="00CF626A">
      <w:pPr>
        <w:pStyle w:val="Section"/>
      </w:pPr>
      <w:bookmarkStart w:id="1022" w:name="_Toc256754488"/>
      <w:bookmarkStart w:id="1023" w:name="_Toc224818747"/>
      <w:r w:rsidRPr="001531CD">
        <w:t>§123.</w:t>
      </w:r>
      <w:r w:rsidRPr="001531CD">
        <w:tab/>
        <w:t>Recall of Deficient Fertilizer; Cancellation of Penalties upon Proof of Recall</w:t>
      </w:r>
      <w:bookmarkEnd w:id="1022"/>
      <w:bookmarkEnd w:id="1023"/>
    </w:p>
    <w:p w14:paraId="40C0E038" w14:textId="77777777" w:rsidR="00CF626A" w:rsidRPr="001531CD" w:rsidRDefault="00CF626A">
      <w:pPr>
        <w:pStyle w:val="A"/>
      </w:pPr>
      <w:r w:rsidRPr="001531CD">
        <w:t>A.</w:t>
      </w:r>
      <w:r w:rsidRPr="001531CD">
        <w:tab/>
        <w:t>Fertilizers which are found to be deficient may be recalled from the stream of commerce by the guarantor subject to the following provisions.</w:t>
      </w:r>
    </w:p>
    <w:p w14:paraId="42669F4F" w14:textId="77777777" w:rsidR="007A38BA" w:rsidRPr="001531CD" w:rsidRDefault="007A38BA" w:rsidP="007A38BA">
      <w:pPr>
        <w:pStyle w:val="1"/>
      </w:pPr>
      <w:r w:rsidRPr="001531CD">
        <w:t>1.</w:t>
      </w:r>
      <w:r w:rsidRPr="001531CD">
        <w:tab/>
        <w:t>Prior to action to retrieve the deficient product, the guarantor shall notify the director of Agricultural Chemistry Programs and secure his approval for the recall.</w:t>
      </w:r>
    </w:p>
    <w:p w14:paraId="75FA60CE" w14:textId="77777777" w:rsidR="007A38BA" w:rsidRPr="001531CD" w:rsidRDefault="007A38BA" w:rsidP="007A38BA">
      <w:pPr>
        <w:pStyle w:val="1"/>
      </w:pPr>
      <w:r w:rsidRPr="001531CD">
        <w:t>2.</w:t>
      </w:r>
      <w:r w:rsidRPr="001531CD">
        <w:tab/>
        <w:t>Prior to action to retrieve the deficient product, the purchaser shall agree to the recall.</w:t>
      </w:r>
    </w:p>
    <w:p w14:paraId="2160A723" w14:textId="77777777" w:rsidR="007A38BA" w:rsidRPr="001531CD" w:rsidRDefault="007A38BA" w:rsidP="007A38BA">
      <w:pPr>
        <w:pStyle w:val="1"/>
      </w:pPr>
      <w:r w:rsidRPr="001531CD">
        <w:t>3.</w:t>
      </w:r>
      <w:r w:rsidRPr="001531CD">
        <w:tab/>
        <w:t>An agricultural inspector shall be present when the product is picked up from the purchaser.</w:t>
      </w:r>
    </w:p>
    <w:p w14:paraId="13F8BD90" w14:textId="77777777" w:rsidR="007A38BA" w:rsidRPr="001531CD" w:rsidRDefault="007A38BA" w:rsidP="007A38BA">
      <w:pPr>
        <w:pStyle w:val="1"/>
      </w:pPr>
      <w:r w:rsidRPr="001531CD">
        <w:t>4.</w:t>
      </w:r>
      <w:r w:rsidRPr="001531CD">
        <w:tab/>
        <w:t>The guarantor shall reimburse the purchaser the full purchase price of the product.</w:t>
      </w:r>
    </w:p>
    <w:p w14:paraId="488CFA9B" w14:textId="77777777" w:rsidR="007A38BA" w:rsidRPr="001531CD" w:rsidRDefault="007A38BA" w:rsidP="007A38BA">
      <w:pPr>
        <w:pStyle w:val="1"/>
      </w:pPr>
      <w:r w:rsidRPr="001531CD">
        <w:t>5.</w:t>
      </w:r>
      <w:r w:rsidRPr="001531CD">
        <w:tab/>
        <w:t>The guarantor shall furnish the director of Agricultural Chemistry Programs with a copy of the refund check and/or credit memo covering the full purchase price of the product. The purchaser and inspector shall certify in writing to the commissioner that the deficient fertilizer was returned to the guarantor and that a refund check or credit memo was issued.</w:t>
      </w:r>
    </w:p>
    <w:p w14:paraId="6376D61C" w14:textId="77777777" w:rsidR="00CF626A" w:rsidRPr="001531CD" w:rsidRDefault="007A38BA" w:rsidP="007A38BA">
      <w:pPr>
        <w:pStyle w:val="A"/>
      </w:pPr>
      <w:r w:rsidRPr="001531CD">
        <w:t>B.</w:t>
      </w:r>
      <w:r w:rsidRPr="001531CD">
        <w:tab/>
        <w:t>When some, but not all, of a product which is found to be deficient is recalled as provided in §123.A, the guarantor shall pay the required penalty on any portion which cannot be recalled. In this circumstance, the penalty shall be paid to the purchaser, if known, subject to the requirements of §121, or to the commission, within 30 days of the date of the notice of the penalty.</w:t>
      </w:r>
    </w:p>
    <w:p w14:paraId="6100ED27" w14:textId="77777777" w:rsidR="00CF626A" w:rsidRPr="001531CD" w:rsidRDefault="00CF626A">
      <w:pPr>
        <w:pStyle w:val="A"/>
      </w:pPr>
      <w:r w:rsidRPr="001531CD">
        <w:t>C.</w:t>
      </w:r>
      <w:r w:rsidRPr="001531CD">
        <w:tab/>
        <w:t>Penalties levied for deficient products may be canceled by the commissioner upon acceptable proof of the recall, as required by §123. The commissioner is authorized, but not required, to waive the requirement for the physical presence of the agricultural inspector upon provision of proof satisfactory to the commissioner that the deficient product has in fact been taken out of the stream of commerce and the purchaser properly recompensed for the purchase of the deficient product.</w:t>
      </w:r>
    </w:p>
    <w:p w14:paraId="7B96CA1B" w14:textId="77777777" w:rsidR="00CF626A" w:rsidRPr="001531CD" w:rsidRDefault="007A38BA">
      <w:pPr>
        <w:pStyle w:val="AuthorityNote"/>
      </w:pPr>
      <w:r w:rsidRPr="001531CD">
        <w:t>AUTHORITY NOTE:</w:t>
      </w:r>
      <w:r w:rsidRPr="001531CD">
        <w:tab/>
        <w:t>Promulgat</w:t>
      </w:r>
      <w:r w:rsidR="006E28BB">
        <w:t>ed in accordance with R.S. 3:138</w:t>
      </w:r>
      <w:r w:rsidRPr="001531CD">
        <w:t>2.</w:t>
      </w:r>
    </w:p>
    <w:p w14:paraId="62D45EF3"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7A38BA" w:rsidRPr="001531CD">
        <w:t>amended LR 12:496 (August 1986), amended by the Department of Agriculture and Forestry, Feed, Fertilizer, and Agricultural Liming Commission, LR 38:2522 (October 2012).</w:t>
      </w:r>
    </w:p>
    <w:p w14:paraId="084B74E9" w14:textId="77777777" w:rsidR="00CF626A" w:rsidRPr="001531CD" w:rsidRDefault="00CF626A">
      <w:pPr>
        <w:pStyle w:val="Section"/>
      </w:pPr>
      <w:bookmarkStart w:id="1024" w:name="_Toc256754489"/>
      <w:bookmarkStart w:id="1025" w:name="_Toc224818748"/>
      <w:r w:rsidRPr="001531CD">
        <w:t>§125.</w:t>
      </w:r>
      <w:r w:rsidRPr="001531CD">
        <w:tab/>
        <w:t>Stop Sale Orders</w:t>
      </w:r>
      <w:bookmarkEnd w:id="1024"/>
      <w:bookmarkEnd w:id="1025"/>
    </w:p>
    <w:p w14:paraId="51D0BFF2" w14:textId="77777777" w:rsidR="00CF626A" w:rsidRPr="001531CD" w:rsidRDefault="00CF626A">
      <w:pPr>
        <w:pStyle w:val="A"/>
      </w:pPr>
      <w:r w:rsidRPr="001531CD">
        <w:t>A.</w:t>
      </w:r>
      <w:r w:rsidRPr="001531CD">
        <w:tab/>
        <w:t>The commissioner shall issue a stop sale order to prevent the sale of any fertilizer which is not registered as required herein.</w:t>
      </w:r>
    </w:p>
    <w:p w14:paraId="506094AF" w14:textId="77777777" w:rsidR="00CF626A" w:rsidRPr="001531CD" w:rsidRDefault="00CF626A">
      <w:pPr>
        <w:pStyle w:val="A"/>
      </w:pPr>
      <w:r w:rsidRPr="001531CD">
        <w:t>B.</w:t>
      </w:r>
      <w:r w:rsidRPr="001531CD">
        <w:tab/>
        <w:t xml:space="preserve">In case of a violation of these rules, the commissioner shall issue a stop sale order to prevent any further sale, </w:t>
      </w:r>
      <w:r w:rsidRPr="001531CD">
        <w:lastRenderedPageBreak/>
        <w:t>movement or disturbance of the lot of fertilizer involved until settlement of all actions.</w:t>
      </w:r>
    </w:p>
    <w:p w14:paraId="2434DB63" w14:textId="77777777" w:rsidR="00CF626A" w:rsidRPr="001531CD" w:rsidRDefault="00CF626A">
      <w:pPr>
        <w:pStyle w:val="A"/>
      </w:pPr>
      <w:r w:rsidRPr="001531CD">
        <w:t>C.</w:t>
      </w:r>
      <w:r w:rsidRPr="001531CD">
        <w:tab/>
        <w:t>The commissioner shall issue a stop sale order to prevent any further sale or movement of any fertilizer manufactured or sold by a guarantor whose registration has been revoked, after an adjudicatory hearing, or whose application for renewal of registration has been denied.</w:t>
      </w:r>
    </w:p>
    <w:p w14:paraId="1AD12854" w14:textId="77777777" w:rsidR="00CF626A" w:rsidRPr="001531CD" w:rsidRDefault="00CF626A">
      <w:pPr>
        <w:pStyle w:val="A"/>
      </w:pPr>
      <w:r w:rsidRPr="001531CD">
        <w:t>D.</w:t>
      </w:r>
      <w:r w:rsidRPr="001531CD">
        <w:tab/>
        <w:t>Upon the termination of a stop sale order, the commissioner may exercise any of the following options:</w:t>
      </w:r>
    </w:p>
    <w:p w14:paraId="6504DD4E" w14:textId="77777777" w:rsidR="00CF626A" w:rsidRPr="001531CD" w:rsidRDefault="00CF626A">
      <w:pPr>
        <w:pStyle w:val="1"/>
      </w:pPr>
      <w:r w:rsidRPr="001531CD">
        <w:t>1.</w:t>
      </w:r>
      <w:r w:rsidRPr="001531CD">
        <w:tab/>
        <w:t>release the fertilizer for sale;</w:t>
      </w:r>
    </w:p>
    <w:p w14:paraId="06AADB6C" w14:textId="77777777" w:rsidR="00CF626A" w:rsidRPr="001531CD" w:rsidRDefault="00CF626A">
      <w:pPr>
        <w:pStyle w:val="1"/>
      </w:pPr>
      <w:r w:rsidRPr="001531CD">
        <w:t>2.</w:t>
      </w:r>
      <w:r w:rsidRPr="001531CD">
        <w:tab/>
        <w:t>require the guarantor to take up the fertilizer and reimburse the purchaser;</w:t>
      </w:r>
    </w:p>
    <w:p w14:paraId="63B068CB" w14:textId="77777777" w:rsidR="00CF626A" w:rsidRPr="001531CD" w:rsidRDefault="00CF626A">
      <w:pPr>
        <w:pStyle w:val="1"/>
      </w:pPr>
      <w:r w:rsidRPr="001531CD">
        <w:t>3.</w:t>
      </w:r>
      <w:r w:rsidRPr="001531CD">
        <w:tab/>
        <w:t>sell the fertilizer at public auction; and</w:t>
      </w:r>
    </w:p>
    <w:p w14:paraId="01B1142F" w14:textId="77777777" w:rsidR="00CF626A" w:rsidRPr="001531CD" w:rsidRDefault="00CF626A">
      <w:pPr>
        <w:pStyle w:val="1"/>
      </w:pPr>
      <w:r w:rsidRPr="001531CD">
        <w:t>4.</w:t>
      </w:r>
      <w:r w:rsidRPr="001531CD">
        <w:tab/>
        <w:t>destroy the fertilizer.</w:t>
      </w:r>
    </w:p>
    <w:p w14:paraId="015FF9CA" w14:textId="77777777" w:rsidR="009C5B2A" w:rsidRPr="001531CD" w:rsidRDefault="009C5B2A" w:rsidP="009C5B2A">
      <w:pPr>
        <w:pStyle w:val="AuthorityNote"/>
      </w:pPr>
      <w:r w:rsidRPr="001531CD">
        <w:t>AUTHORITY NOTE:</w:t>
      </w:r>
      <w:r w:rsidRPr="001531CD">
        <w:tab/>
        <w:t>Promulgated in accordance with R.S. 3:1</w:t>
      </w:r>
      <w:r w:rsidR="006E28BB">
        <w:t>382</w:t>
      </w:r>
      <w:r w:rsidRPr="001531CD">
        <w:t>.</w:t>
      </w:r>
    </w:p>
    <w:p w14:paraId="59FE5C07" w14:textId="77777777" w:rsidR="00CF626A" w:rsidRPr="001531CD" w:rsidRDefault="00CF626A">
      <w:pPr>
        <w:pStyle w:val="HistoricalNote"/>
      </w:pPr>
      <w:r w:rsidRPr="001531CD">
        <w:t>HISTORICAL NOTE:</w:t>
      </w:r>
      <w:r w:rsidRPr="001531CD">
        <w:tab/>
        <w:t>Promulgated by the Department of Agriculture, Fertilizer Commission, LR 7:164 (April 1981), amended LR 12:496 (August 1986).</w:t>
      </w:r>
    </w:p>
    <w:p w14:paraId="0E1D5860" w14:textId="77777777" w:rsidR="00CF626A" w:rsidRPr="001531CD" w:rsidRDefault="00CF626A">
      <w:pPr>
        <w:pStyle w:val="Section"/>
      </w:pPr>
      <w:bookmarkStart w:id="1026" w:name="_Toc256754490"/>
      <w:bookmarkStart w:id="1027" w:name="_Toc224818749"/>
      <w:r w:rsidRPr="001531CD">
        <w:t>§127.</w:t>
      </w:r>
      <w:r w:rsidRPr="001531CD">
        <w:tab/>
        <w:t>Probationary Status of Registrants</w:t>
      </w:r>
      <w:bookmarkEnd w:id="1026"/>
      <w:bookmarkEnd w:id="1027"/>
    </w:p>
    <w:p w14:paraId="16D40776" w14:textId="77777777" w:rsidR="007A38BA" w:rsidRPr="001531CD" w:rsidRDefault="007A38BA" w:rsidP="007A38BA">
      <w:pPr>
        <w:pStyle w:val="A"/>
      </w:pPr>
      <w:r w:rsidRPr="001531CD">
        <w:t>A.</w:t>
      </w:r>
      <w:r w:rsidRPr="001531CD">
        <w:tab/>
        <w:t>A registrant shall be placed on probation by the commission when 25 percent of the official samples taken from a single registrant during one year are found to be deficient; provided that a minimum of four samples and at least 2 percent of the total tonnage sold during that year is sampled.</w:t>
      </w:r>
    </w:p>
    <w:p w14:paraId="5F2EF043" w14:textId="77777777" w:rsidR="00CF626A" w:rsidRPr="001531CD" w:rsidRDefault="007A38BA" w:rsidP="007A38BA">
      <w:pPr>
        <w:pStyle w:val="A"/>
      </w:pPr>
      <w:r w:rsidRPr="001531CD">
        <w:t>B.</w:t>
      </w:r>
      <w:r w:rsidRPr="001531CD">
        <w:tab/>
        <w:t>A registrant located within the state of Louisiana who is placed on probation shall be subject to an increase of sampling up to 20 percent of the total product offered for sale until the probation is terminated by the commission.</w:t>
      </w:r>
    </w:p>
    <w:p w14:paraId="26C43599" w14:textId="77777777" w:rsidR="00CF626A" w:rsidRPr="001531CD" w:rsidRDefault="00CF626A">
      <w:pPr>
        <w:pStyle w:val="A"/>
      </w:pPr>
      <w:r w:rsidRPr="001531CD">
        <w:t>C.</w:t>
      </w:r>
      <w:r w:rsidRPr="001531CD">
        <w:tab/>
        <w:t>A registrant located outside the state of Louisiana who is placed on probation shall not unload any shipment of fertilizer until the lot has been sampled by a department inspector.</w:t>
      </w:r>
    </w:p>
    <w:p w14:paraId="504900B4" w14:textId="77777777" w:rsidR="00CF626A" w:rsidRPr="001531CD" w:rsidRDefault="00FE0EEA">
      <w:pPr>
        <w:pStyle w:val="A"/>
      </w:pPr>
      <w:r w:rsidRPr="001531CD">
        <w:t>D.</w:t>
      </w:r>
      <w:r w:rsidRPr="001531CD">
        <w:tab/>
        <w:t>Notification shall be given, in writing, to any registrant placed on probation within 30 days of the date on which the commission took action to place the registrant on probationary status. Notification shall not be required for any registrant already on probation at the effective date of these regulations.</w:t>
      </w:r>
    </w:p>
    <w:p w14:paraId="1BACD63B" w14:textId="77777777" w:rsidR="00CF626A" w:rsidRPr="001531CD" w:rsidRDefault="00CF626A">
      <w:pPr>
        <w:pStyle w:val="A"/>
      </w:pPr>
      <w:r w:rsidRPr="001531CD">
        <w:t>E.</w:t>
      </w:r>
      <w:r w:rsidRPr="001531CD">
        <w:tab/>
        <w:t>After the first year of probationary status, the probation may be terminated by the commission when chemical analysis of samples representing up to 20 percent of the registrant's total sales reflects an overall deficiency rate of less than 20 percent.</w:t>
      </w:r>
    </w:p>
    <w:p w14:paraId="50A34AEF" w14:textId="77777777" w:rsidR="00CF626A" w:rsidRPr="001531CD" w:rsidRDefault="00FE0EEA">
      <w:pPr>
        <w:pStyle w:val="A"/>
      </w:pPr>
      <w:r w:rsidRPr="001531CD">
        <w:t>F.</w:t>
      </w:r>
      <w:r w:rsidRPr="001531CD">
        <w:tab/>
        <w:t>If a registrant continues to introduce products of which the official samples' deficiency exceeds 25 percent into the stream of commerce for one year, the registrant shall be summoned before the commission at its next meeting after the end of the year of probationary status, to determine whether registration shall be canceled or renewal of registration shall be denied for cause.</w:t>
      </w:r>
    </w:p>
    <w:p w14:paraId="237E80D4" w14:textId="77777777" w:rsidR="00CF626A" w:rsidRPr="001531CD" w:rsidRDefault="00CF626A">
      <w:pPr>
        <w:pStyle w:val="A"/>
      </w:pPr>
      <w:r w:rsidRPr="001531CD">
        <w:t>G.</w:t>
      </w:r>
      <w:r w:rsidRPr="001531CD">
        <w:tab/>
        <w:t>The registrant shall be notified, in writing, by the commissioner when probationary status is terminated.</w:t>
      </w:r>
    </w:p>
    <w:p w14:paraId="4720FBDD" w14:textId="77777777" w:rsidR="00CF626A" w:rsidRPr="001531CD" w:rsidRDefault="00FE0EEA">
      <w:pPr>
        <w:pStyle w:val="AuthorityNote"/>
      </w:pPr>
      <w:r w:rsidRPr="001531CD">
        <w:t>AUTHORITY NOTE:</w:t>
      </w:r>
      <w:r w:rsidRPr="001531CD">
        <w:tab/>
        <w:t>Promulgat</w:t>
      </w:r>
      <w:r w:rsidR="006E28BB">
        <w:t>ed in accordance with R.S. 3:138</w:t>
      </w:r>
      <w:r w:rsidRPr="001531CD">
        <w:t>2.</w:t>
      </w:r>
    </w:p>
    <w:p w14:paraId="576B25A0" w14:textId="77777777" w:rsidR="00CF626A" w:rsidRPr="001531CD" w:rsidRDefault="00CF626A">
      <w:pPr>
        <w:pStyle w:val="HistoricalNote"/>
      </w:pPr>
      <w:r w:rsidRPr="001531CD">
        <w:t>HISTORICAL NOTE:</w:t>
      </w:r>
      <w:r w:rsidRPr="001531CD">
        <w:tab/>
        <w:t>Promulgated by the Department of Agriculture, Fertilizer Commission, LR 7:164 (April 1981), amended</w:t>
      </w:r>
      <w:r w:rsidR="00FE0EEA" w:rsidRPr="001531CD">
        <w:t xml:space="preserve"> LR 12:496 (August 1986), amended by the Department of Agriculture and Forestry, Feed, Fertilizer, and Agricultural Liming Commission, LR 38:2523 (October 2012).</w:t>
      </w:r>
    </w:p>
    <w:p w14:paraId="448F4AE2" w14:textId="77777777" w:rsidR="00CF626A" w:rsidRPr="001531CD" w:rsidRDefault="00CF626A">
      <w:pPr>
        <w:pStyle w:val="Section"/>
      </w:pPr>
      <w:bookmarkStart w:id="1028" w:name="_Toc256754491"/>
      <w:bookmarkStart w:id="1029" w:name="_Toc224818750"/>
      <w:r w:rsidRPr="001531CD">
        <w:t>§129.</w:t>
      </w:r>
      <w:r w:rsidRPr="001531CD">
        <w:tab/>
        <w:t>Cancellation of Registration and/or Denial of Application for Renewal of Registration</w:t>
      </w:r>
      <w:bookmarkEnd w:id="1028"/>
      <w:bookmarkEnd w:id="1029"/>
    </w:p>
    <w:p w14:paraId="48389F2F" w14:textId="77777777" w:rsidR="00CF626A" w:rsidRPr="001531CD" w:rsidRDefault="00CF626A">
      <w:pPr>
        <w:pStyle w:val="A"/>
      </w:pPr>
      <w:r w:rsidRPr="001531CD">
        <w:t>A.</w:t>
      </w:r>
      <w:r w:rsidRPr="001531CD">
        <w:tab/>
        <w:t xml:space="preserve">Subject to an adjudicatory hearing, the commission may cancel the registration of any guarantor who fails to reduce the overall deficiency of his product to less than </w:t>
      </w:r>
      <w:r w:rsidR="00274551" w:rsidRPr="001531CD">
        <w:br/>
      </w:r>
      <w:r w:rsidRPr="001531CD">
        <w:t>20 percent by the end of the year of probation.</w:t>
      </w:r>
    </w:p>
    <w:p w14:paraId="3F3FBB2C" w14:textId="77777777" w:rsidR="00CF626A" w:rsidRPr="001531CD" w:rsidRDefault="00CF626A">
      <w:pPr>
        <w:pStyle w:val="A"/>
      </w:pPr>
      <w:r w:rsidRPr="001531CD">
        <w:t>B.</w:t>
      </w:r>
      <w:r w:rsidRPr="001531CD">
        <w:tab/>
        <w:t>Upon proper hearing, the commission may cancel the registration and/or deny the registrant's application for renewal of registration for repeated failure of a registrant to meet the guaranteed weight or analysis of a fertilizer, or failure to make payment of the inspection fee, or failure to pay penalties assessed.</w:t>
      </w:r>
    </w:p>
    <w:p w14:paraId="0AFC4C72" w14:textId="77777777" w:rsidR="00CF626A" w:rsidRPr="001531CD" w:rsidRDefault="00CF626A">
      <w:pPr>
        <w:pStyle w:val="A"/>
      </w:pPr>
      <w:r w:rsidRPr="001531CD">
        <w:t>C.</w:t>
      </w:r>
      <w:r w:rsidRPr="001531CD">
        <w:tab/>
        <w:t>No registration will be canceled nor application for renewal of registration denied until the guarantor has been afforded the right of an adjudicatory hearing.</w:t>
      </w:r>
    </w:p>
    <w:p w14:paraId="0C0D7381" w14:textId="77777777" w:rsidR="009C5B2A" w:rsidRPr="001531CD" w:rsidRDefault="009C5B2A" w:rsidP="009C5B2A">
      <w:pPr>
        <w:pStyle w:val="AuthorityNote"/>
      </w:pPr>
      <w:r w:rsidRPr="001531CD">
        <w:t>AUTHORITY NOTE:</w:t>
      </w:r>
      <w:r w:rsidRPr="001531CD">
        <w:tab/>
        <w:t>Promulga</w:t>
      </w:r>
      <w:r w:rsidR="006E28BB">
        <w:t>ted in accordance with R.S. 3:138</w:t>
      </w:r>
      <w:r w:rsidRPr="001531CD">
        <w:t>2.</w:t>
      </w:r>
    </w:p>
    <w:p w14:paraId="7B14D747" w14:textId="77777777" w:rsidR="00CF626A" w:rsidRPr="001531CD" w:rsidRDefault="00CF626A">
      <w:pPr>
        <w:pStyle w:val="HistoricalNote"/>
      </w:pPr>
      <w:r w:rsidRPr="001531CD">
        <w:t>HISTORICAL NOTE:</w:t>
      </w:r>
      <w:r w:rsidRPr="001531CD">
        <w:tab/>
        <w:t>Promulgated by the Department of Agriculture, Fertilizer Commission, LR 7:164 (April 1981), amended LR 12:497 (August 1986).</w:t>
      </w:r>
    </w:p>
    <w:p w14:paraId="6993C091" w14:textId="77777777" w:rsidR="00CF626A" w:rsidRPr="001531CD" w:rsidRDefault="00CF626A">
      <w:pPr>
        <w:pStyle w:val="Section"/>
      </w:pPr>
      <w:bookmarkStart w:id="1030" w:name="_Toc256754492"/>
      <w:bookmarkStart w:id="1031" w:name="_Toc224818751"/>
      <w:r w:rsidRPr="001531CD">
        <w:t>§131.</w:t>
      </w:r>
      <w:r w:rsidRPr="001531CD">
        <w:tab/>
      </w:r>
      <w:bookmarkEnd w:id="1030"/>
      <w:r w:rsidR="00FE0EEA" w:rsidRPr="001531CD">
        <w:t>Appeals from Action of the Commission/Department of Agriculture and Forestry</w:t>
      </w:r>
      <w:bookmarkEnd w:id="1031"/>
    </w:p>
    <w:p w14:paraId="644F6B97" w14:textId="77777777" w:rsidR="00CF626A" w:rsidRPr="001531CD" w:rsidRDefault="00CF626A">
      <w:pPr>
        <w:pStyle w:val="A"/>
      </w:pPr>
      <w:r w:rsidRPr="001531CD">
        <w:t>A.</w:t>
      </w:r>
      <w:r w:rsidRPr="001531CD">
        <w:tab/>
        <w:t>Appeals Concerning Method of Taking Samples</w:t>
      </w:r>
    </w:p>
    <w:p w14:paraId="55DF75CB" w14:textId="77777777" w:rsidR="00CF626A" w:rsidRPr="001531CD" w:rsidRDefault="00CF626A">
      <w:pPr>
        <w:pStyle w:val="1"/>
      </w:pPr>
      <w:r w:rsidRPr="001531CD">
        <w:t>1.</w:t>
      </w:r>
      <w:r w:rsidRPr="001531CD">
        <w:tab/>
        <w:t>If the guarantor, or his agent, objects to the manner in which an agricultural inspector takes a sample, the guarantor or his agent shall make his objections known immediately to the inspector.</w:t>
      </w:r>
    </w:p>
    <w:p w14:paraId="78B6C2D6" w14:textId="77777777" w:rsidR="00CF626A" w:rsidRPr="001531CD" w:rsidRDefault="00CF626A">
      <w:pPr>
        <w:pStyle w:val="1"/>
      </w:pPr>
      <w:r w:rsidRPr="001531CD">
        <w:t>2.</w:t>
      </w:r>
      <w:r w:rsidRPr="001531CD">
        <w:tab/>
        <w:t>If the guarantor, or his agent, and the agricultural inspector who is taking the sample cannot resolve their differences, the guarantor shall immediately telephone his complaint to the director of Agricultural Chemistry Programs. The guarantor or his agent shall confirm the telephone complaint in writing to the same official.</w:t>
      </w:r>
    </w:p>
    <w:p w14:paraId="165D80A2" w14:textId="77777777" w:rsidR="00FE0EEA" w:rsidRPr="001531CD" w:rsidRDefault="00FE0EEA" w:rsidP="00FE0EEA">
      <w:pPr>
        <w:pStyle w:val="1"/>
      </w:pPr>
      <w:r w:rsidRPr="001531CD">
        <w:t>3.</w:t>
      </w:r>
      <w:r w:rsidRPr="001531CD">
        <w:tab/>
        <w:t>If the difference concerning the manner of taking the sample cannot thus be resolved, the guarantor may place his complaint on the agenda at the next meeting of the commission. Routine procedures for submission and analysis of the sample shall be followed pending the resolution of the differences at such hearing.</w:t>
      </w:r>
    </w:p>
    <w:p w14:paraId="1C1C881E" w14:textId="77777777" w:rsidR="00FE0EEA" w:rsidRPr="001531CD" w:rsidRDefault="00FE0EEA" w:rsidP="00FE0EEA">
      <w:pPr>
        <w:pStyle w:val="A"/>
      </w:pPr>
      <w:r w:rsidRPr="001531CD">
        <w:t>B.</w:t>
      </w:r>
      <w:r w:rsidRPr="001531CD">
        <w:tab/>
        <w:t>Appeals Concerning Results of Chemical Analysis</w:t>
      </w:r>
    </w:p>
    <w:p w14:paraId="0D9EA265" w14:textId="77777777" w:rsidR="00FE0EEA" w:rsidRPr="001531CD" w:rsidRDefault="00FE0EEA" w:rsidP="00FE0EEA">
      <w:pPr>
        <w:pStyle w:val="1"/>
      </w:pPr>
      <w:r w:rsidRPr="001531CD">
        <w:t>1.</w:t>
      </w:r>
      <w:r w:rsidRPr="001531CD">
        <w:tab/>
        <w:t xml:space="preserve">When a guarantor, or his agent, disagrees with a finding of deficiency or a calculation of a penalty resulting from a finding of deficiency, he shall register his complaint, in writing, with the director of Agricultural Chemistry </w:t>
      </w:r>
      <w:r w:rsidRPr="001531CD">
        <w:lastRenderedPageBreak/>
        <w:t>Programs within 10 days of the date of the report of chemical analysis.</w:t>
      </w:r>
    </w:p>
    <w:p w14:paraId="19C8B8B6" w14:textId="77777777" w:rsidR="00FE0EEA" w:rsidRPr="001531CD" w:rsidRDefault="00FE0EEA" w:rsidP="00FE0EEA">
      <w:pPr>
        <w:pStyle w:val="1"/>
      </w:pPr>
      <w:r w:rsidRPr="001531CD">
        <w:t>2.</w:t>
      </w:r>
      <w:r w:rsidRPr="001531CD">
        <w:tab/>
        <w:t>When questions concerning the accuracy of the analysis made by the director of Agricultural Chemistry Program cannot be amicably resolved, the guarantor may place his complaint on the agenda at the next meeting of the commission for a final determination.</w:t>
      </w:r>
    </w:p>
    <w:p w14:paraId="4462E48D" w14:textId="77777777" w:rsidR="00FE0EEA" w:rsidRPr="001531CD" w:rsidRDefault="00FE0EEA" w:rsidP="00FE0EEA">
      <w:pPr>
        <w:pStyle w:val="1"/>
      </w:pPr>
      <w:r w:rsidRPr="001531CD">
        <w:t>3.</w:t>
      </w:r>
      <w:r w:rsidRPr="001531CD">
        <w:tab/>
        <w:t>When a disagreement on a fertilizer deficiency arises, the sample may be analyzed by an independent laboratory agreeable to the commissioner.</w:t>
      </w:r>
    </w:p>
    <w:p w14:paraId="20E6C52C" w14:textId="77777777" w:rsidR="00FE0EEA" w:rsidRPr="001531CD" w:rsidRDefault="00FE0EEA" w:rsidP="00FE0EEA">
      <w:pPr>
        <w:pStyle w:val="A"/>
      </w:pPr>
      <w:r w:rsidRPr="001531CD">
        <w:t>C.</w:t>
      </w:r>
      <w:r w:rsidRPr="001531CD">
        <w:tab/>
        <w:t>Appeals Concerning Probationary Status</w:t>
      </w:r>
    </w:p>
    <w:p w14:paraId="5026FB8E" w14:textId="77777777" w:rsidR="00CF626A" w:rsidRPr="001531CD" w:rsidRDefault="00FE0EEA" w:rsidP="00FE0EEA">
      <w:pPr>
        <w:pStyle w:val="1"/>
        <w:spacing w:after="80"/>
      </w:pPr>
      <w:r w:rsidRPr="001531CD">
        <w:t>1.</w:t>
      </w:r>
      <w:r w:rsidRPr="001531CD">
        <w:tab/>
        <w:t>Any guarantor who is placed on probationary status may appeal his probation at any time by submitting to the commission a written statement on the basis of his appeal and a written request for a hearing on the matter. A request for a hearing on appeal from probationary status shall not be delayed but shall be placed on the agenda for the next meeting of the commission following receipt of the request for a hearing.</w:t>
      </w:r>
    </w:p>
    <w:p w14:paraId="028D56DF" w14:textId="77777777" w:rsidR="00CF626A" w:rsidRPr="001531CD" w:rsidRDefault="00CF626A" w:rsidP="00026176">
      <w:pPr>
        <w:pStyle w:val="A"/>
        <w:spacing w:after="80"/>
      </w:pPr>
      <w:r w:rsidRPr="001531CD">
        <w:t>D.</w:t>
      </w:r>
      <w:r w:rsidRPr="001531CD">
        <w:tab/>
        <w:t>Public Hearing on Cancellation of Registration/Denial of Application for Renewal of Registration</w:t>
      </w:r>
    </w:p>
    <w:p w14:paraId="034A6C27" w14:textId="77777777" w:rsidR="00CF626A" w:rsidRPr="001531CD" w:rsidRDefault="00CF626A" w:rsidP="00026176">
      <w:pPr>
        <w:pStyle w:val="1"/>
        <w:spacing w:after="80"/>
      </w:pPr>
      <w:r w:rsidRPr="001531CD">
        <w:t>1.</w:t>
      </w:r>
      <w:r w:rsidRPr="001531CD">
        <w:tab/>
        <w:t>The commission shall not cancel a registrant nor deny a renewal of registration without an adjudicatory hearing.</w:t>
      </w:r>
    </w:p>
    <w:p w14:paraId="5923BE0E" w14:textId="77777777" w:rsidR="00CF626A" w:rsidRPr="001531CD" w:rsidRDefault="00FE0EEA" w:rsidP="00026176">
      <w:pPr>
        <w:pStyle w:val="1"/>
        <w:spacing w:after="80"/>
      </w:pPr>
      <w:r w:rsidRPr="001531CD">
        <w:t>2.</w:t>
      </w:r>
      <w:r w:rsidRPr="001531CD">
        <w:tab/>
        <w:t>When the commission determines that just cause may exist to cancel or deny renewal of registration, the commission shall give written notice to the registrant of intent to conduct adjudicatory hearing on the matter. The notice shall be given at least 15 days prior to the date on which the hearing shall be held and shall contain all of the facts required under R.S. 49:950 et seq. The notice shall be sent by certified mail, return receipt requested, to the registrant at the last address provided by the registrant.</w:t>
      </w:r>
    </w:p>
    <w:p w14:paraId="4B3EFE2A" w14:textId="77777777" w:rsidR="00CF626A" w:rsidRPr="001531CD" w:rsidRDefault="00CF626A">
      <w:pPr>
        <w:pStyle w:val="1"/>
      </w:pPr>
      <w:r w:rsidRPr="001531CD">
        <w:t>3.</w:t>
      </w:r>
      <w:r w:rsidRPr="001531CD">
        <w:tab/>
        <w:t xml:space="preserve">An adjudicatory hearing on the cancellation of a registration and/or denial of renewal of a registration shall be conducted in accordance with </w:t>
      </w:r>
      <w:r w:rsidR="00274551" w:rsidRPr="001531CD">
        <w:t>the requirements of R.S. 49:950</w:t>
      </w:r>
      <w:r w:rsidRPr="001531CD">
        <w:t xml:space="preserve"> et seq., specifically the rules of evidence set forth in R.S. 49:956. The guarantor shall have the right to counsel of his own choosing at any such public hearing.</w:t>
      </w:r>
    </w:p>
    <w:p w14:paraId="4AA976B6" w14:textId="77777777" w:rsidR="00E47D7C" w:rsidRPr="001531CD" w:rsidRDefault="00E47D7C" w:rsidP="00E47D7C">
      <w:pPr>
        <w:pStyle w:val="1"/>
      </w:pPr>
      <w:r w:rsidRPr="001531CD">
        <w:t>4.</w:t>
      </w:r>
      <w:r w:rsidRPr="001531CD">
        <w:tab/>
        <w:t>If a controversy still exists at the conclusion of any such adjudicatory hearing called for cancellation of registration and/or denial of renewal of registration, the guarantor may appeal the matter in accordance with the Administrative Procedure Act, provided that all such matters shall be lodged in the parish in which the commission is domiciled.</w:t>
      </w:r>
    </w:p>
    <w:p w14:paraId="623BFBB5" w14:textId="77777777" w:rsidR="00CF626A" w:rsidRPr="001531CD" w:rsidRDefault="00E47D7C" w:rsidP="00E47D7C">
      <w:pPr>
        <w:pStyle w:val="AuthorityNote"/>
      </w:pPr>
      <w:r w:rsidRPr="001531CD">
        <w:t>AUTHORITY NOTE:</w:t>
      </w:r>
      <w:r w:rsidRPr="001531CD">
        <w:tab/>
        <w:t>Promulgat</w:t>
      </w:r>
      <w:r w:rsidR="006E28BB">
        <w:t>ed in accordance with R.S. 3:138</w:t>
      </w:r>
      <w:r w:rsidRPr="001531CD">
        <w:t>2.</w:t>
      </w:r>
    </w:p>
    <w:p w14:paraId="3234358F" w14:textId="77777777"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E47D7C" w:rsidRPr="001531CD">
        <w:t>amended LR 12:497 (August 1986), amended by the Department of Agriculture and Forestry, Feed, Fertilizer, and Agricultural Liming Commission, LR 38:2523 (October 2012).</w:t>
      </w:r>
    </w:p>
    <w:p w14:paraId="17F76A85" w14:textId="77777777" w:rsidR="00E47D7C" w:rsidRPr="001531CD" w:rsidRDefault="00CF626A" w:rsidP="00E47D7C">
      <w:pPr>
        <w:pStyle w:val="Section"/>
      </w:pPr>
      <w:bookmarkStart w:id="1032" w:name="_Toc256754493"/>
      <w:bookmarkStart w:id="1033" w:name="_Toc224818752"/>
      <w:r w:rsidRPr="001531CD">
        <w:t>§133.</w:t>
      </w:r>
      <w:r w:rsidRPr="001531CD">
        <w:tab/>
      </w:r>
      <w:bookmarkEnd w:id="1032"/>
      <w:r w:rsidR="00E47D7C" w:rsidRPr="001531CD">
        <w:t>Confidentiality of Records</w:t>
      </w:r>
      <w:bookmarkEnd w:id="1033"/>
    </w:p>
    <w:p w14:paraId="09BE334E" w14:textId="77777777" w:rsidR="00E47D7C" w:rsidRPr="001531CD" w:rsidRDefault="00E47D7C" w:rsidP="00E47D7C">
      <w:pPr>
        <w:pStyle w:val="A"/>
      </w:pPr>
      <w:r w:rsidRPr="001531CD">
        <w:t>A.</w:t>
      </w:r>
      <w:r w:rsidRPr="001531CD">
        <w:tab/>
        <w:t>Information concerning the amount of fertilizer sold and the business practices of registrants which is obtained from tonnage reports shall be kept confidential and shall not be revealed to the public or to other registrants by the commission, the commissioner, nor any employee of the Department of Agriculture and Forestry.</w:t>
      </w:r>
    </w:p>
    <w:p w14:paraId="60C2F9A5" w14:textId="77777777" w:rsidR="00CF626A" w:rsidRPr="001531CD" w:rsidRDefault="00E47D7C" w:rsidP="00E47D7C">
      <w:pPr>
        <w:pStyle w:val="AuthorityNote"/>
      </w:pPr>
      <w:r w:rsidRPr="001531CD">
        <w:t>AUTHORITY NOTE:</w:t>
      </w:r>
      <w:r w:rsidRPr="001531CD">
        <w:tab/>
        <w:t>Promulgat</w:t>
      </w:r>
      <w:r w:rsidR="006E28BB">
        <w:t>ed in accordance with R.S. 3:138</w:t>
      </w:r>
      <w:r w:rsidRPr="001531CD">
        <w:t>2.</w:t>
      </w:r>
    </w:p>
    <w:p w14:paraId="32F025A1" w14:textId="77777777" w:rsidR="00CF626A" w:rsidRDefault="00CF626A">
      <w:pPr>
        <w:pStyle w:val="HistoricalNote"/>
      </w:pPr>
      <w:r w:rsidRPr="001531CD">
        <w:t>HISTORICAL NOTE:</w:t>
      </w:r>
      <w:r w:rsidRPr="001531CD">
        <w:tab/>
        <w:t xml:space="preserve">Promulgated by the Department of Agriculture, Fertilizer Commission, LR 7:164 (April 1981), </w:t>
      </w:r>
      <w:r w:rsidR="00E47D7C" w:rsidRPr="001531CD">
        <w:t>amended LR 12:497 (August 1986), amended by the Department of Agriculture and Forestry, Feed, Fertilizer, and Agricultural Liming Commission, LR 38:2523 (October 2012).</w:t>
      </w:r>
    </w:p>
    <w:p w14:paraId="4A5207D1" w14:textId="77777777" w:rsidR="002C2520" w:rsidRPr="00C96387" w:rsidRDefault="002C2520" w:rsidP="002C2520">
      <w:pPr>
        <w:pStyle w:val="Chapter"/>
      </w:pPr>
      <w:bookmarkStart w:id="1034" w:name="_Toc224818753"/>
      <w:r w:rsidRPr="00C96387">
        <w:t>Chapter 2.</w:t>
      </w:r>
      <w:r w:rsidRPr="00C96387">
        <w:tab/>
        <w:t>Gypsum</w:t>
      </w:r>
      <w:bookmarkEnd w:id="1034"/>
    </w:p>
    <w:p w14:paraId="34A611E8" w14:textId="77777777" w:rsidR="002C2520" w:rsidRPr="00C96387" w:rsidRDefault="002C2520" w:rsidP="002C2520">
      <w:pPr>
        <w:pStyle w:val="Section"/>
      </w:pPr>
      <w:bookmarkStart w:id="1035" w:name="_Toc224818754"/>
      <w:r w:rsidRPr="00C96387">
        <w:t>§141.</w:t>
      </w:r>
      <w:r w:rsidRPr="00C96387">
        <w:tab/>
        <w:t>Definitions</w:t>
      </w:r>
      <w:bookmarkEnd w:id="1035"/>
    </w:p>
    <w:p w14:paraId="7BE2DD99" w14:textId="77777777" w:rsidR="002C2520" w:rsidRPr="00C96387" w:rsidRDefault="002C2520" w:rsidP="002C2520">
      <w:pPr>
        <w:pStyle w:val="A"/>
      </w:pPr>
      <w:r w:rsidRPr="00C96387">
        <w:t>A.</w:t>
      </w:r>
      <w:r w:rsidRPr="00C96387">
        <w:tab/>
        <w:t xml:space="preserve">The following words and terms shall have the following meanings: </w:t>
      </w:r>
    </w:p>
    <w:p w14:paraId="495C228E" w14:textId="77777777" w:rsidR="002C2520" w:rsidRPr="00C96387" w:rsidRDefault="002C2520" w:rsidP="002C2520">
      <w:pPr>
        <w:pStyle w:val="1"/>
      </w:pPr>
      <w:r w:rsidRPr="00C96387">
        <w:rPr>
          <w:i/>
          <w:iCs/>
        </w:rPr>
        <w:t>Flue Gas Desulfurization Gypsum</w:t>
      </w:r>
      <w:r w:rsidRPr="00C96387">
        <w:t xml:space="preserve">—gypsum that is produced when sulfur-containing compounds are removed from exhaust gases during the combustion of fossil fuels. </w:t>
      </w:r>
    </w:p>
    <w:p w14:paraId="6EA671AF" w14:textId="77777777" w:rsidR="002C2520" w:rsidRPr="00C96387" w:rsidRDefault="002C2520" w:rsidP="002C2520">
      <w:pPr>
        <w:pStyle w:val="1"/>
      </w:pPr>
      <w:r w:rsidRPr="00C96387">
        <w:rPr>
          <w:i/>
          <w:iCs/>
        </w:rPr>
        <w:t>Gypsum</w:t>
      </w:r>
      <w:r w:rsidRPr="00C96387">
        <w:t>—calcium sulfate dihydrate.</w:t>
      </w:r>
    </w:p>
    <w:p w14:paraId="02642716" w14:textId="77777777" w:rsidR="002C2520" w:rsidRPr="00C96387" w:rsidRDefault="002C2520" w:rsidP="002C2520">
      <w:pPr>
        <w:pStyle w:val="1"/>
      </w:pPr>
      <w:r w:rsidRPr="00C96387">
        <w:rPr>
          <w:i/>
          <w:iCs/>
        </w:rPr>
        <w:t>Phosphogypsum</w:t>
      </w:r>
      <w:r w:rsidRPr="00C96387">
        <w:t xml:space="preserve">—solid waste by-product which results from the process of phosphoric acid production. </w:t>
      </w:r>
    </w:p>
    <w:p w14:paraId="573C28AB" w14:textId="77777777" w:rsidR="002C2520" w:rsidRPr="00C96387" w:rsidRDefault="002C2520" w:rsidP="002C2520">
      <w:pPr>
        <w:pStyle w:val="AuthorityNote"/>
        <w:rPr>
          <w:bCs/>
        </w:rPr>
      </w:pPr>
      <w:r w:rsidRPr="00C96387">
        <w:t>AUTHORITY NOTE:</w:t>
      </w:r>
      <w:r w:rsidRPr="00C96387">
        <w:tab/>
        <w:t>Promulgated in accordance with R.S. 3:1424.</w:t>
      </w:r>
    </w:p>
    <w:p w14:paraId="39F1125F" w14:textId="77777777" w:rsidR="002C2520" w:rsidRPr="00C96387" w:rsidRDefault="002C2520" w:rsidP="002C2520">
      <w:pPr>
        <w:pStyle w:val="HistoricalNote"/>
      </w:pPr>
      <w:r w:rsidRPr="00C96387">
        <w:t>HISTORICAL NOTE:</w:t>
      </w:r>
      <w:r w:rsidRPr="00C96387">
        <w:tab/>
        <w:t>Promulgated by the Department of Agriculture and Forestry, Office of the Commissioner, LR 52:24 (January 2026).</w:t>
      </w:r>
    </w:p>
    <w:p w14:paraId="705AA6B8" w14:textId="77777777" w:rsidR="002C2520" w:rsidRPr="00C96387" w:rsidRDefault="002C2520" w:rsidP="002C2520">
      <w:pPr>
        <w:pStyle w:val="Section"/>
      </w:pPr>
      <w:bookmarkStart w:id="1036" w:name="_Toc224818755"/>
      <w:r w:rsidRPr="00C96387">
        <w:t>§143.</w:t>
      </w:r>
      <w:r w:rsidRPr="00C96387">
        <w:tab/>
        <w:t>Gypsum; Requirements for Agricultural Use; Analytical Tolerances</w:t>
      </w:r>
      <w:bookmarkEnd w:id="1036"/>
    </w:p>
    <w:p w14:paraId="60BAC35F" w14:textId="77777777" w:rsidR="002C2520" w:rsidRPr="00C96387" w:rsidRDefault="002C2520" w:rsidP="002C2520">
      <w:pPr>
        <w:pStyle w:val="A"/>
      </w:pPr>
      <w:r w:rsidRPr="00C96387">
        <w:t>A.</w:t>
      </w:r>
      <w:r w:rsidRPr="00C96387">
        <w:tab/>
        <w:t>To use by-product gypsum (phosphogypsum and flue gas desulfurization gypsum) in accordance with R.S. 3:1424, the following shall apply:</w:t>
      </w:r>
    </w:p>
    <w:p w14:paraId="77E60E51" w14:textId="77777777" w:rsidR="002C2520" w:rsidRPr="00C96387" w:rsidRDefault="002C2520" w:rsidP="002C2520">
      <w:pPr>
        <w:pStyle w:val="1"/>
      </w:pPr>
      <w:r w:rsidRPr="00C96387">
        <w:t>1.</w:t>
      </w:r>
      <w:r w:rsidRPr="00C96387">
        <w:tab/>
        <w:t xml:space="preserve">The provider of the gypsum shall furnish chemical analysis documentation, from an accredited laboratory, for the product to the producer. </w:t>
      </w:r>
    </w:p>
    <w:p w14:paraId="4FC02E77" w14:textId="77777777" w:rsidR="002C2520" w:rsidRPr="00C96387" w:rsidRDefault="002C2520" w:rsidP="002C2520">
      <w:pPr>
        <w:pStyle w:val="1"/>
      </w:pPr>
      <w:r w:rsidRPr="00C96387">
        <w:t>2.</w:t>
      </w:r>
      <w:r w:rsidRPr="00C96387">
        <w:tab/>
        <w:t xml:space="preserve">The chemical analysis documentation shall include the calcium and sulfur content and content of elements listed in Table 1 of the most recent version of the </w:t>
      </w:r>
      <w:r w:rsidRPr="00C96387">
        <w:rPr>
          <w:i/>
          <w:iCs/>
        </w:rPr>
        <w:t>Conservation Practice Standard, Amending Soil Properties with Gypsum Products, Code 333</w:t>
      </w:r>
      <w:r w:rsidRPr="00C96387">
        <w:t xml:space="preserve"> as published by the Natural Resources Conservation Service of the United States Department of Agriculture. Concentrations of these elements shall not exceed maximum allowable concentrations listed in Table 1 of that publication. In addition, the radium-226 concentration in the gypsum-containing product shall not exceed 10 picocuries per gram (pCi/g) and chloride content shall not exceed one-half of one percent (0.5 percent). </w:t>
      </w:r>
    </w:p>
    <w:p w14:paraId="1AC35A95" w14:textId="77777777" w:rsidR="002C2520" w:rsidRPr="00C96387" w:rsidRDefault="002C2520" w:rsidP="002C2520">
      <w:pPr>
        <w:pStyle w:val="A"/>
      </w:pPr>
      <w:r w:rsidRPr="00C96387">
        <w:t>B.</w:t>
      </w:r>
      <w:r w:rsidRPr="00C96387">
        <w:tab/>
        <w:t>The agricultural producer shall use gypsum only on his land or with written authorization from the landowner once the gypsum is analyzed and passes all analytical tolerances established by the department.</w:t>
      </w:r>
    </w:p>
    <w:p w14:paraId="5376C751" w14:textId="77777777" w:rsidR="002C2520" w:rsidRPr="00C96387" w:rsidRDefault="002C2520" w:rsidP="002C2520">
      <w:pPr>
        <w:pStyle w:val="AuthorityNote"/>
        <w:rPr>
          <w:bCs/>
        </w:rPr>
      </w:pPr>
      <w:r w:rsidRPr="00C96387">
        <w:lastRenderedPageBreak/>
        <w:t>AUTHORITY NOTE:</w:t>
      </w:r>
      <w:r w:rsidRPr="00C96387">
        <w:tab/>
        <w:t>Promulgated in accordance with R.S. 3:1424.</w:t>
      </w:r>
    </w:p>
    <w:p w14:paraId="64FE6E87" w14:textId="0EC94951" w:rsidR="002C2520" w:rsidRDefault="002C2520" w:rsidP="002C2520">
      <w:pPr>
        <w:pStyle w:val="HistoricalNote"/>
      </w:pPr>
      <w:r w:rsidRPr="00C96387">
        <w:t>HISTORICAL NOTE:</w:t>
      </w:r>
      <w:r w:rsidRPr="00C96387">
        <w:tab/>
        <w:t>Promulgated by the Department of Agriculture and Forestry, Office of the Commissioner, LR 52:24 (January 2026).</w:t>
      </w:r>
    </w:p>
    <w:p w14:paraId="41E0608A"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57E459CF"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6E564592" w14:textId="77777777" w:rsidR="00CD0355" w:rsidRDefault="00CD0355" w:rsidP="00CD0355">
      <w:pPr>
        <w:pStyle w:val="Title1"/>
      </w:pPr>
      <w:r>
        <w:lastRenderedPageBreak/>
        <w:t>Title 7</w:t>
      </w:r>
    </w:p>
    <w:p w14:paraId="7EB7D70A" w14:textId="77777777" w:rsidR="00CD0355" w:rsidRDefault="00CD0355" w:rsidP="00CD0355">
      <w:pPr>
        <w:pStyle w:val="Title2"/>
      </w:pPr>
      <w:r>
        <w:t>AGRICULTURE AND ANIMALS</w:t>
      </w:r>
    </w:p>
    <w:p w14:paraId="6DC19523" w14:textId="77777777" w:rsidR="00CD0355" w:rsidRDefault="00CD0355" w:rsidP="00CD0355">
      <w:pPr>
        <w:pStyle w:val="Part"/>
      </w:pPr>
      <w:bookmarkStart w:id="1037" w:name="_Toc77839706"/>
      <w:bookmarkStart w:id="1038" w:name="_Toc224818756"/>
      <w:r>
        <w:t>Part XIII.  Seeds</w:t>
      </w:r>
      <w:bookmarkStart w:id="1039" w:name="BackHeeah"/>
      <w:bookmarkEnd w:id="1037"/>
      <w:bookmarkEnd w:id="1038"/>
    </w:p>
    <w:bookmarkEnd w:id="1039"/>
    <w:p w14:paraId="36835F52" w14:textId="77777777" w:rsidR="00CD0355" w:rsidRDefault="00CD0355" w:rsidP="00CD0355">
      <w:pPr>
        <w:pStyle w:val="Chapter"/>
      </w:pPr>
    </w:p>
    <w:p w14:paraId="68EC8D26" w14:textId="77777777" w:rsidR="00CD0355" w:rsidRDefault="00CD0355" w:rsidP="00CD0355">
      <w:pPr>
        <w:pStyle w:val="Chapter"/>
        <w:sectPr w:rsidR="00CD0355" w:rsidSect="00CD0355">
          <w:headerReference w:type="default" r:id="rId32"/>
          <w:type w:val="continuous"/>
          <w:pgSz w:w="12240" w:h="15840" w:code="1"/>
          <w:pgMar w:top="1080" w:right="864" w:bottom="864" w:left="864" w:header="576" w:footer="432" w:gutter="0"/>
          <w:cols w:space="720"/>
          <w:titlePg/>
          <w:docGrid w:linePitch="326"/>
        </w:sectPr>
      </w:pPr>
    </w:p>
    <w:p w14:paraId="55EFEC21" w14:textId="77777777" w:rsidR="00CD0355" w:rsidRPr="001531CD" w:rsidRDefault="00CD0355" w:rsidP="00CD0355">
      <w:pPr>
        <w:pStyle w:val="Chapter"/>
      </w:pPr>
      <w:bookmarkStart w:id="1040" w:name="_Toc224818757"/>
      <w:r w:rsidRPr="001531CD">
        <w:t>Chapter 1.</w:t>
      </w:r>
      <w:r w:rsidRPr="001531CD">
        <w:tab/>
        <w:t>General Provisions</w:t>
      </w:r>
      <w:bookmarkEnd w:id="1040"/>
    </w:p>
    <w:p w14:paraId="70429B75" w14:textId="77777777" w:rsidR="00CD0355" w:rsidRPr="001531CD" w:rsidRDefault="00CD0355" w:rsidP="00CD0355">
      <w:pPr>
        <w:pStyle w:val="Chapter"/>
      </w:pPr>
      <w:bookmarkStart w:id="1041" w:name="_Toc224818758"/>
      <w:r>
        <w:t>Subchapter A.</w:t>
      </w:r>
      <w:r>
        <w:tab/>
      </w:r>
      <w:r w:rsidRPr="001531CD">
        <w:t>Definitions; Administrative Matters</w:t>
      </w:r>
      <w:bookmarkEnd w:id="1041"/>
    </w:p>
    <w:p w14:paraId="4652BFCE" w14:textId="77777777" w:rsidR="00CD0355" w:rsidRPr="001531CD" w:rsidRDefault="00CD0355" w:rsidP="00CD0355">
      <w:pPr>
        <w:pStyle w:val="Section"/>
      </w:pPr>
      <w:bookmarkStart w:id="1042" w:name="_Toc224818759"/>
      <w:r w:rsidRPr="001531CD">
        <w:t>§101.</w:t>
      </w:r>
      <w:r w:rsidRPr="001531CD">
        <w:tab/>
        <w:t>Definitions</w:t>
      </w:r>
      <w:bookmarkEnd w:id="1042"/>
    </w:p>
    <w:p w14:paraId="6F9515AE" w14:textId="77777777" w:rsidR="00CD0355" w:rsidRPr="001531CD" w:rsidRDefault="00CD0355" w:rsidP="00CD0355">
      <w:pPr>
        <w:pStyle w:val="A"/>
      </w:pPr>
      <w:r w:rsidRPr="00D55B14">
        <w:t>A.</w:t>
      </w:r>
      <w:r w:rsidRPr="00D55B14">
        <w:tab/>
      </w:r>
      <w:r w:rsidRPr="00B94C6F">
        <w:t>The definitions in R.S. 3:1431 and the following definitions are applicable to this Part.</w:t>
      </w:r>
    </w:p>
    <w:p w14:paraId="456D97DE" w14:textId="77777777" w:rsidR="00CD0355" w:rsidRPr="001531CD" w:rsidRDefault="00CD0355" w:rsidP="00CD0355">
      <w:pPr>
        <w:pStyle w:val="1"/>
      </w:pPr>
      <w:r w:rsidRPr="001531CD">
        <w:rPr>
          <w:i/>
          <w:iCs/>
        </w:rPr>
        <w:t>Coated Seed</w:t>
      </w:r>
      <w:r w:rsidRPr="001531CD">
        <w:t>―any seed unit covered with any substance that changes the size, shape, or weight of the original seed. Seeds coated with ingredients such as, but not limited to, rhizobia, dyes, and pesticides that do not significantly change the size, shape, or weight of the original seed are excluded.</w:t>
      </w:r>
    </w:p>
    <w:p w14:paraId="1867E99B" w14:textId="77777777" w:rsidR="00CD0355" w:rsidRDefault="00CD0355" w:rsidP="00CD0355">
      <w:pPr>
        <w:pStyle w:val="1"/>
      </w:pPr>
      <w:r w:rsidRPr="001531CD">
        <w:rPr>
          <w:i/>
          <w:iCs/>
        </w:rPr>
        <w:t>Declaration</w:t>
      </w:r>
      <w:r w:rsidRPr="001531CD">
        <w:t>―a written statement</w:t>
      </w:r>
      <w:r>
        <w:t xml:space="preserve"> </w:t>
      </w:r>
      <w:r w:rsidRPr="001531CD">
        <w:t>of a grower, shipper, processor, dealer, or importer, given for any lot of seed the kind, variety, type, origin, or the use for which the seed is intended.</w:t>
      </w:r>
    </w:p>
    <w:p w14:paraId="65799D7F" w14:textId="77777777" w:rsidR="00CD0355" w:rsidRPr="001531CD" w:rsidRDefault="00CD0355" w:rsidP="00CD0355">
      <w:pPr>
        <w:pStyle w:val="1"/>
      </w:pPr>
      <w:r w:rsidRPr="00B94C6F">
        <w:rPr>
          <w:i/>
        </w:rPr>
        <w:t>Hermetically Sealed Container</w:t>
      </w:r>
      <w:r w:rsidRPr="00B94C6F">
        <w:t>—seed containers that meet the requirements of Part 201; §201.36c of the USDA Federal Seed Act Regulations. See 7 CFR 201.36c.</w:t>
      </w:r>
    </w:p>
    <w:p w14:paraId="059C0834" w14:textId="77777777" w:rsidR="00CD0355" w:rsidRPr="001531CD" w:rsidRDefault="00CD0355" w:rsidP="00CD0355">
      <w:pPr>
        <w:pStyle w:val="1"/>
      </w:pPr>
      <w:r w:rsidRPr="001531CD">
        <w:rPr>
          <w:i/>
          <w:iCs/>
        </w:rPr>
        <w:t>Hybrid Seed Corn</w:t>
      </w:r>
      <w:r w:rsidRPr="001531CD">
        <w:t xml:space="preserve"> (as applied to field corn, sweet corn, or popcorn)</w:t>
      </w:r>
      <w:r w:rsidRPr="001531CD">
        <w:rPr>
          <w:iCs/>
        </w:rPr>
        <w:t>―</w:t>
      </w:r>
      <w:r w:rsidRPr="001531CD">
        <w:t>the first generation seed of a cross produced by controlling the pollination, and by combining two, three, or four inbred lines, or by combining one inbred or a single cross with an open pollinated variety. Hybrid designations shall be treated as variety names.</w:t>
      </w:r>
    </w:p>
    <w:p w14:paraId="4DF3580E" w14:textId="77777777" w:rsidR="00CD0355" w:rsidRPr="001531CD" w:rsidRDefault="00CD0355" w:rsidP="00CD0355">
      <w:pPr>
        <w:pStyle w:val="1"/>
      </w:pPr>
      <w:r w:rsidRPr="001531CD">
        <w:rPr>
          <w:i/>
        </w:rPr>
        <w:t>LAES</w:t>
      </w:r>
      <w:r w:rsidRPr="001531CD">
        <w:t>―Louisiana Agricultural Experiment Station.</w:t>
      </w:r>
    </w:p>
    <w:p w14:paraId="0B85EE86" w14:textId="77777777" w:rsidR="00CD0355" w:rsidRPr="001531CD" w:rsidRDefault="00CD0355" w:rsidP="00CD0355">
      <w:pPr>
        <w:pStyle w:val="1"/>
        <w:rPr>
          <w:i/>
          <w:iCs/>
        </w:rPr>
      </w:pPr>
      <w:r w:rsidRPr="001531CD">
        <w:rPr>
          <w:i/>
        </w:rPr>
        <w:t>LDAF</w:t>
      </w:r>
      <w:r w:rsidRPr="001531CD">
        <w:t>―Louisiana Department of Agriculture and Forestry.</w:t>
      </w:r>
    </w:p>
    <w:p w14:paraId="2C1C5190" w14:textId="77777777" w:rsidR="00CD0355" w:rsidRPr="001531CD" w:rsidRDefault="00CD0355" w:rsidP="00CD0355">
      <w:pPr>
        <w:pStyle w:val="1"/>
      </w:pPr>
      <w:r w:rsidRPr="001531CD">
        <w:rPr>
          <w:i/>
          <w:iCs/>
        </w:rPr>
        <w:t>Processing</w:t>
      </w:r>
      <w:r w:rsidRPr="001531CD">
        <w:t>―cleaning, scarifying or blending to obtain uniform quality and other operations which would change the purity or germination of the seed and, therefore require retesting to determine the quality of the seed, but does not include operations such as packaging, labeling, blending together of uniform lots of the same kind or variety without cleaning, any of which would not require retesting to determine the quality of the seed.</w:t>
      </w:r>
    </w:p>
    <w:p w14:paraId="5571D4B5" w14:textId="77777777" w:rsidR="00CD0355" w:rsidRPr="001531CD" w:rsidRDefault="00CD0355" w:rsidP="00CD0355">
      <w:pPr>
        <w:pStyle w:val="1"/>
      </w:pPr>
      <w:r w:rsidRPr="001531CD">
        <w:rPr>
          <w:i/>
          <w:iCs/>
        </w:rPr>
        <w:t>Prohibited Noxious Weed Seed</w:t>
      </w:r>
      <w:r w:rsidRPr="001531CD">
        <w:t>―</w:t>
      </w:r>
      <w:r w:rsidRPr="008F0382">
        <w:t>the seeds of weeds that not only reproduce by seed, but also spread underground roots or stems, and which, when established, are highly destructive and difficult to control in the state by ordinary good cultural practices. These seeds are prohibited from being present in agricultural, vegetable, flower, tree, or shrub seed, or from being sold as a labeled seed kind.</w:t>
      </w:r>
    </w:p>
    <w:p w14:paraId="0AFA03F7" w14:textId="77777777" w:rsidR="00CD0355" w:rsidRPr="001531CD" w:rsidRDefault="00CD0355" w:rsidP="00CD0355">
      <w:pPr>
        <w:pStyle w:val="1"/>
        <w:rPr>
          <w:i/>
          <w:iCs/>
        </w:rPr>
      </w:pPr>
      <w:r w:rsidRPr="001531CD">
        <w:rPr>
          <w:bCs/>
          <w:i/>
        </w:rPr>
        <w:t>Registered Seed Technologist</w:t>
      </w:r>
      <w:r w:rsidRPr="001531CD">
        <w:t xml:space="preserve">―as applied in these regulations, means a seed technologist who has attained registered membership in the Society of Commercial Seed </w:t>
      </w:r>
      <w:r w:rsidRPr="001531CD">
        <w:t>Technologists (society) through qualifying tests and experiences as required by the society.</w:t>
      </w:r>
    </w:p>
    <w:p w14:paraId="3476D6E6" w14:textId="77777777" w:rsidR="00CD0355" w:rsidRPr="001531CD" w:rsidRDefault="00CD0355" w:rsidP="00CD0355">
      <w:pPr>
        <w:pStyle w:val="1"/>
      </w:pPr>
      <w:r w:rsidRPr="001531CD">
        <w:rPr>
          <w:i/>
          <w:iCs/>
        </w:rPr>
        <w:t>Restricted Noxious Weed Seed</w:t>
      </w:r>
      <w:r w:rsidRPr="001531CD">
        <w:t>―seeds of such weeds as are very objectionable in fields, lawns or gardens of this state, but can be controlled by good cultural practices.</w:t>
      </w:r>
    </w:p>
    <w:p w14:paraId="4E1F09EC" w14:textId="77777777" w:rsidR="00CD0355" w:rsidRPr="00D55B14" w:rsidRDefault="00CD0355" w:rsidP="00CD0355">
      <w:pPr>
        <w:pStyle w:val="1"/>
      </w:pPr>
      <w:r w:rsidRPr="00D55B14">
        <w:rPr>
          <w:i/>
          <w:iCs/>
        </w:rPr>
        <w:t>Seed Gathered in Elevators</w:t>
      </w:r>
      <w:r w:rsidRPr="00D55B14">
        <w:t>―seed gathered in elevators or other establishments to be sold for planting purposes by farmers or other persons who are subject to the provisions of the Seed Law or the rules and regulations in this Part.</w:t>
      </w:r>
    </w:p>
    <w:p w14:paraId="17CC90CF" w14:textId="77777777" w:rsidR="00CD0355" w:rsidRPr="001531CD" w:rsidRDefault="00CD0355" w:rsidP="00CD0355">
      <w:pPr>
        <w:pStyle w:val="1"/>
      </w:pPr>
      <w:r w:rsidRPr="00D55B14">
        <w:rPr>
          <w:i/>
        </w:rPr>
        <w:t>Seed Law</w:t>
      </w:r>
      <w:r w:rsidRPr="00D55B14">
        <w:sym w:font="Symbol" w:char="F0BE"/>
      </w:r>
      <w:r w:rsidRPr="00D55B14">
        <w:t>R.S. 3:1431et seq.</w:t>
      </w:r>
    </w:p>
    <w:p w14:paraId="1DDC0229" w14:textId="77777777" w:rsidR="00CD0355" w:rsidRDefault="00CD0355" w:rsidP="00CD0355">
      <w:pPr>
        <w:pStyle w:val="1"/>
      </w:pPr>
      <w:r w:rsidRPr="001531CD">
        <w:rPr>
          <w:i/>
          <w:iCs/>
        </w:rPr>
        <w:t>Treated</w:t>
      </w:r>
      <w:r w:rsidRPr="001531CD">
        <w:t>―given an application of a substance or subjected to a process designed to reduce, control or repel disease organisms, insects or other pests which attack seeds or seedlings growing therefrom.</w:t>
      </w:r>
    </w:p>
    <w:p w14:paraId="1C4B91C6" w14:textId="77777777" w:rsidR="00CD0355" w:rsidRPr="00D55B14" w:rsidRDefault="00CD0355" w:rsidP="00CD0355">
      <w:pPr>
        <w:pStyle w:val="A"/>
      </w:pPr>
      <w:r w:rsidRPr="00D55B14">
        <w:t>B.</w:t>
      </w:r>
      <w:r w:rsidRPr="00D55B14">
        <w:tab/>
      </w:r>
      <w:r w:rsidRPr="008F0382">
        <w:t>The terms defined in R.S. 3:1431 and in this Section have the meaning herein given to them, except where a rule or regulation or the context expressly indicates otherwise.</w:t>
      </w:r>
    </w:p>
    <w:p w14:paraId="1A241939" w14:textId="77777777" w:rsidR="00CD0355" w:rsidRPr="001531CD" w:rsidRDefault="00CD0355" w:rsidP="00CD0355">
      <w:pPr>
        <w:pStyle w:val="AuthorityNote"/>
      </w:pPr>
      <w:r w:rsidRPr="00D55B14">
        <w:t>AUTHORITY NOTE:</w:t>
      </w:r>
      <w:r w:rsidRPr="00D55B14">
        <w:tab/>
        <w:t>Promulgated in accordance with R.S. 3:1431 and R.S. 3:1433.</w:t>
      </w:r>
    </w:p>
    <w:p w14:paraId="75E84D56" w14:textId="77777777"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LR 36:1220 (June 2010), LR 37:270 (January 2011), LR 39:1757 (July 2013), repromulgated by the Department of Agriculture and Forestry, Office of Agricultural and Environmental Sciences, Agricultural Chemistry and Seed Commis</w:t>
      </w:r>
      <w:r>
        <w:t>sion, LR 39:2702 (October 2013), a</w:t>
      </w:r>
      <w:r w:rsidRPr="00D55B14">
        <w:t xml:space="preserve">mended </w:t>
      </w:r>
      <w:r>
        <w:t xml:space="preserve">LR 40:744 (April 2014), </w:t>
      </w:r>
      <w:r w:rsidRPr="00B94C6F">
        <w:t>amended LR 44:1851 (October 2018).</w:t>
      </w:r>
    </w:p>
    <w:p w14:paraId="6BEBCDD5" w14:textId="77777777" w:rsidR="00CD0355" w:rsidRPr="001531CD" w:rsidRDefault="00CD0355" w:rsidP="00CD0355">
      <w:pPr>
        <w:pStyle w:val="Section"/>
      </w:pPr>
      <w:bookmarkStart w:id="1043" w:name="_Toc224818760"/>
      <w:bookmarkStart w:id="1044" w:name="_Toc256754511"/>
      <w:r w:rsidRPr="001531CD">
        <w:t>§103.</w:t>
      </w:r>
      <w:r w:rsidRPr="001531CD">
        <w:tab/>
        <w:t>Request for Adoption, Amendment, or Repeal of a Rule</w:t>
      </w:r>
      <w:bookmarkEnd w:id="1043"/>
    </w:p>
    <w:p w14:paraId="50444C4E" w14:textId="77777777" w:rsidR="00CD0355" w:rsidRPr="001531CD" w:rsidRDefault="00CD0355" w:rsidP="00CD0355">
      <w:pPr>
        <w:pStyle w:val="A"/>
      </w:pPr>
      <w:r w:rsidRPr="001531CD">
        <w:t>A.</w:t>
      </w:r>
      <w:r w:rsidRPr="001531CD">
        <w:tab/>
        <w:t>Any interested person may, pursuant to R.S. 49:953(C), request the commission to adopt, amend, or repeal a rule (rule change) that the commission has the authority to make.</w:t>
      </w:r>
    </w:p>
    <w:p w14:paraId="673023C6" w14:textId="77777777" w:rsidR="00CD0355" w:rsidRPr="001531CD" w:rsidRDefault="00CD0355" w:rsidP="00CD0355">
      <w:pPr>
        <w:pStyle w:val="A"/>
      </w:pPr>
      <w:r w:rsidRPr="001531CD">
        <w:t>B.</w:t>
      </w:r>
      <w:r w:rsidRPr="001531CD">
        <w:tab/>
        <w:t>A request for a rule change shall be in writing and shall contain the following information:</w:t>
      </w:r>
    </w:p>
    <w:p w14:paraId="3CD96229" w14:textId="77777777" w:rsidR="00CD0355" w:rsidRPr="001531CD" w:rsidRDefault="00CD0355" w:rsidP="00CD0355">
      <w:pPr>
        <w:pStyle w:val="1"/>
      </w:pPr>
      <w:r w:rsidRPr="001531CD">
        <w:t>1.</w:t>
      </w:r>
      <w:r w:rsidRPr="001531CD">
        <w:tab/>
        <w:t>a draft of the proposed wording of the requested rule change or a statement detailing the content of the requested rule change;</w:t>
      </w:r>
    </w:p>
    <w:p w14:paraId="7A9782B4" w14:textId="77777777" w:rsidR="00CD0355" w:rsidRPr="001531CD" w:rsidRDefault="00CD0355" w:rsidP="00CD0355">
      <w:pPr>
        <w:pStyle w:val="1"/>
        <w:rPr>
          <w:strike/>
        </w:rPr>
      </w:pPr>
      <w:r w:rsidRPr="001531CD">
        <w:t>2.</w:t>
      </w:r>
      <w:r w:rsidRPr="001531CD">
        <w:tab/>
        <w:t>the name, address, telephone number, fax number and e-mail address of the requesting party.</w:t>
      </w:r>
    </w:p>
    <w:p w14:paraId="217E1BFE" w14:textId="77777777" w:rsidR="00CD0355" w:rsidRPr="001531CD" w:rsidRDefault="00CD0355" w:rsidP="00CD0355">
      <w:pPr>
        <w:pStyle w:val="A"/>
      </w:pPr>
      <w:r w:rsidRPr="001531CD">
        <w:t>C.</w:t>
      </w:r>
      <w:r w:rsidRPr="001531CD">
        <w:tab/>
        <w:t>The request for a rule change shall be addressed to the commission and shall be mailed or delivered to 5825 Florida Boulevard, Baton Rouge, LA 70806.</w:t>
      </w:r>
    </w:p>
    <w:p w14:paraId="7E04A8A0" w14:textId="77777777" w:rsidR="00CD0355" w:rsidRPr="00D55B14" w:rsidRDefault="00CD0355" w:rsidP="00CD0355">
      <w:pPr>
        <w:pStyle w:val="A"/>
      </w:pPr>
      <w:r w:rsidRPr="00D55B14">
        <w:t>D.</w:t>
      </w:r>
      <w:r w:rsidRPr="00D55B14">
        <w:tab/>
        <w:t>The commission shall consider the request as follows:</w:t>
      </w:r>
    </w:p>
    <w:p w14:paraId="13C5FBA9" w14:textId="77777777" w:rsidR="00CD0355" w:rsidRPr="00D55B14" w:rsidRDefault="00CD0355" w:rsidP="00CD0355">
      <w:pPr>
        <w:pStyle w:val="1"/>
      </w:pPr>
      <w:r w:rsidRPr="00D55B14">
        <w:lastRenderedPageBreak/>
        <w:t>1.</w:t>
      </w:r>
      <w:r w:rsidRPr="00D55B14">
        <w:tab/>
        <w:t xml:space="preserve">A request for rule change shall be considered by the commission within a reasonable time, not to exceed 90 days, unless the requesting party consents to the matter being deferred for a longer period of time. </w:t>
      </w:r>
    </w:p>
    <w:p w14:paraId="2D544DD9" w14:textId="77777777" w:rsidR="00CD0355" w:rsidRPr="00D55B14" w:rsidRDefault="00CD0355" w:rsidP="00CD0355">
      <w:pPr>
        <w:pStyle w:val="1"/>
      </w:pPr>
      <w:r w:rsidRPr="00D55B14">
        <w:t>2.</w:t>
      </w:r>
      <w:r w:rsidRPr="00D55B14">
        <w:tab/>
        <w:t xml:space="preserve">Notice of the meeting at which the request is to be considered shall be provided to the person submitting the request. </w:t>
      </w:r>
    </w:p>
    <w:p w14:paraId="163B544D" w14:textId="77777777" w:rsidR="00CD0355" w:rsidRPr="00D55B14" w:rsidRDefault="00CD0355" w:rsidP="00CD0355">
      <w:pPr>
        <w:pStyle w:val="1"/>
      </w:pPr>
      <w:r w:rsidRPr="00D55B14">
        <w:t>3.</w:t>
      </w:r>
      <w:r w:rsidRPr="00D55B14">
        <w:tab/>
        <w:t>Failure of the requesting party to attend the meeting for purposes of discussing the proposed rule change may be cause for the request to be denied by the commission</w:t>
      </w:r>
      <w:r w:rsidRPr="00D55B14">
        <w:rPr>
          <w:color w:val="00B050"/>
        </w:rPr>
        <w:t>.</w:t>
      </w:r>
    </w:p>
    <w:p w14:paraId="7D1DD8F9" w14:textId="77777777" w:rsidR="00CD0355" w:rsidRDefault="00CD0355" w:rsidP="00CD0355">
      <w:pPr>
        <w:pStyle w:val="1"/>
      </w:pPr>
      <w:r w:rsidRPr="00D55B14">
        <w:t>4.</w:t>
      </w:r>
      <w:r>
        <w:tab/>
      </w:r>
      <w:r w:rsidRPr="00D55B14">
        <w:t>The request, with the consent of the requesting party, may be taken under consideration or action deferred.</w:t>
      </w:r>
    </w:p>
    <w:p w14:paraId="7D19C1D6" w14:textId="77777777" w:rsidR="00CD0355" w:rsidRPr="00D55B14" w:rsidRDefault="00CD0355" w:rsidP="00CD0355">
      <w:pPr>
        <w:pStyle w:val="a0"/>
      </w:pPr>
      <w:r>
        <w:t>a.</w:t>
      </w:r>
      <w:r>
        <w:tab/>
      </w:r>
      <w:r w:rsidRPr="00D55B14">
        <w:t>If the matter is taken under consideration or action is deferred then it will be taken up and acted upon at the next regularly scheduled meeting of the commission or at a special meeting of the commission to be held before the next regularly scheduled meeting, as agreed upon between the requesting party and the commission.</w:t>
      </w:r>
    </w:p>
    <w:p w14:paraId="602E38D5" w14:textId="77777777" w:rsidR="00CD0355" w:rsidRPr="00D55B14" w:rsidRDefault="00CD0355" w:rsidP="00CD0355">
      <w:pPr>
        <w:pStyle w:val="A"/>
      </w:pPr>
      <w:r>
        <w:t>E.</w:t>
      </w:r>
      <w:r>
        <w:tab/>
      </w:r>
      <w:r w:rsidRPr="00D55B14">
        <w:t>Any decision by the commission shall be in writing and shall state the reasons for the denial or action being taken. Such notice may be delivered by hand, mail, electronically or by any other means reasonably assured to provide notice to the requesting party.</w:t>
      </w:r>
    </w:p>
    <w:p w14:paraId="68473A96" w14:textId="77777777" w:rsidR="00CD0355" w:rsidRPr="001531CD" w:rsidRDefault="00CD0355" w:rsidP="00CD0355">
      <w:pPr>
        <w:pStyle w:val="AuthorityNote"/>
      </w:pPr>
      <w:r w:rsidRPr="00D55B14">
        <w:t>AUTHORITY NOTE:</w:t>
      </w:r>
      <w:r w:rsidRPr="00D55B14">
        <w:tab/>
        <w:t>Promulgated in accordance with R.S. 3:1433 and R.S. 49:953(C).</w:t>
      </w:r>
    </w:p>
    <w:p w14:paraId="0F9F8C53"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39:1763 (July 2013), repromulgated by the Department of Agriculture and Forestry, Office of Agricultural and Environmental Sciences, Agricultural Chemistry and Seed Commis</w:t>
      </w:r>
      <w:r>
        <w:t>sion, LR 39:2703 (October 2013), amended</w:t>
      </w:r>
      <w:r w:rsidRPr="00D55B14">
        <w:t xml:space="preserve"> </w:t>
      </w:r>
      <w:r>
        <w:t>LR 40:744 (April 2014).</w:t>
      </w:r>
    </w:p>
    <w:p w14:paraId="76D6FAFB" w14:textId="77777777" w:rsidR="00CD0355" w:rsidRPr="001531CD" w:rsidRDefault="00CD0355" w:rsidP="00CD0355">
      <w:pPr>
        <w:pStyle w:val="Section"/>
      </w:pPr>
      <w:bookmarkStart w:id="1045" w:name="_Toc224818761"/>
      <w:r w:rsidRPr="001531CD">
        <w:t>§105.</w:t>
      </w:r>
      <w:r w:rsidRPr="001531CD">
        <w:tab/>
        <w:t>Procedure for Declaratory Orders and Rulings</w:t>
      </w:r>
      <w:bookmarkEnd w:id="1045"/>
      <w:r w:rsidRPr="001531CD">
        <w:t xml:space="preserve"> </w:t>
      </w:r>
    </w:p>
    <w:p w14:paraId="30675D2E" w14:textId="77777777" w:rsidR="00CD0355" w:rsidRPr="001531CD" w:rsidRDefault="00CD0355" w:rsidP="00CD0355">
      <w:pPr>
        <w:pStyle w:val="A"/>
      </w:pPr>
      <w:r w:rsidRPr="001531CD">
        <w:t>A.</w:t>
      </w:r>
      <w:r w:rsidRPr="001531CD">
        <w:tab/>
        <w:t>This rule provides for the filing and prompt disposition of requests for declaratory orders and rulings as to the applicability of any statutory provision or as to the applicability of any rule or order of the commission, as required by R.S. 49:962 and 49:963(D).</w:t>
      </w:r>
    </w:p>
    <w:p w14:paraId="086E7A11" w14:textId="77777777" w:rsidR="00CD0355" w:rsidRPr="001531CD" w:rsidRDefault="00CD0355" w:rsidP="00CD0355">
      <w:pPr>
        <w:pStyle w:val="A"/>
      </w:pPr>
      <w:r w:rsidRPr="001531CD">
        <w:t>B.</w:t>
      </w:r>
      <w:r w:rsidRPr="001531CD">
        <w:tab/>
        <w:t>A request for a declaratory order or ruling shall be in writing and shall contain the following information:</w:t>
      </w:r>
    </w:p>
    <w:p w14:paraId="114D952D" w14:textId="77777777" w:rsidR="00CD0355" w:rsidRPr="001531CD" w:rsidRDefault="00CD0355" w:rsidP="00CD0355">
      <w:pPr>
        <w:pStyle w:val="1"/>
      </w:pPr>
      <w:r w:rsidRPr="001531CD">
        <w:t>1.</w:t>
      </w:r>
      <w:r w:rsidRPr="001531CD">
        <w:tab/>
        <w:t>a citation to the specific statutory provision, rule or order that will be the subject of the declaratory order or ruling;</w:t>
      </w:r>
    </w:p>
    <w:p w14:paraId="68609F42" w14:textId="77777777" w:rsidR="00CD0355" w:rsidRPr="001531CD" w:rsidRDefault="00CD0355" w:rsidP="00CD0355">
      <w:pPr>
        <w:pStyle w:val="1"/>
      </w:pPr>
      <w:r w:rsidRPr="001531CD">
        <w:t>2.</w:t>
      </w:r>
      <w:r w:rsidRPr="001531CD">
        <w:tab/>
        <w:t>a concise statement of why the declaratory order or ruling is being requested;</w:t>
      </w:r>
    </w:p>
    <w:p w14:paraId="5DCAA4DB" w14:textId="77777777" w:rsidR="00CD0355" w:rsidRPr="001531CD" w:rsidRDefault="00CD0355" w:rsidP="00CD0355">
      <w:pPr>
        <w:pStyle w:val="1"/>
      </w:pPr>
      <w:r w:rsidRPr="001531CD">
        <w:t>3.</w:t>
      </w:r>
      <w:r w:rsidRPr="001531CD">
        <w:tab/>
        <w:t>a list of all persons that the requesting party may call to testify and a list of all documents that may be submitted as evidence, if a hearing is called to take evidence;</w:t>
      </w:r>
    </w:p>
    <w:p w14:paraId="42234564" w14:textId="77777777" w:rsidR="00CD0355" w:rsidRPr="001531CD" w:rsidRDefault="00CD0355" w:rsidP="00CD0355">
      <w:pPr>
        <w:pStyle w:val="1"/>
      </w:pPr>
      <w:r w:rsidRPr="001531CD">
        <w:t>4.</w:t>
      </w:r>
      <w:r w:rsidRPr="001531CD">
        <w:tab/>
        <w:t>the name, address, telephone number, fax number and e-mail address of the requesting party, either printed or written in legible form.</w:t>
      </w:r>
    </w:p>
    <w:p w14:paraId="5E29F361" w14:textId="77777777" w:rsidR="00CD0355" w:rsidRPr="001531CD" w:rsidRDefault="00CD0355" w:rsidP="00CD0355">
      <w:pPr>
        <w:pStyle w:val="A"/>
      </w:pPr>
      <w:r w:rsidRPr="001531CD">
        <w:t>C.</w:t>
      </w:r>
      <w:r w:rsidRPr="001531CD">
        <w:tab/>
        <w:t>The request for a declaratory order or ruling shall be addressed to the commission and shall be mailed or delivered to 5825 Florida Boulevard, Baton Rouge, LA 70806.</w:t>
      </w:r>
    </w:p>
    <w:p w14:paraId="0A6AB937" w14:textId="77777777" w:rsidR="00CD0355" w:rsidRPr="00D55B14" w:rsidRDefault="00CD0355" w:rsidP="00CD0355">
      <w:pPr>
        <w:pStyle w:val="A"/>
      </w:pPr>
      <w:r>
        <w:t>D.</w:t>
      </w:r>
      <w:r>
        <w:tab/>
      </w:r>
      <w:r w:rsidRPr="00D55B14">
        <w:t>The commission shall consider the request as follows.</w:t>
      </w:r>
    </w:p>
    <w:p w14:paraId="3B5038D0" w14:textId="77777777" w:rsidR="00CD0355" w:rsidRPr="001531CD" w:rsidRDefault="00CD0355" w:rsidP="00CD0355">
      <w:pPr>
        <w:pStyle w:val="1"/>
      </w:pPr>
      <w:r w:rsidRPr="00D55B14">
        <w:t>1.</w:t>
      </w:r>
      <w:r w:rsidRPr="00D55B14">
        <w:tab/>
        <w:t>The request shall be considered by the commission within a reasonable time, not to exceed 90 days, unless the requesting party consents to the matter being deferred for a longer period of time.</w:t>
      </w:r>
    </w:p>
    <w:p w14:paraId="0FA0687F" w14:textId="77777777" w:rsidR="00CD0355" w:rsidRDefault="00CD0355" w:rsidP="00CD0355">
      <w:pPr>
        <w:pStyle w:val="1"/>
      </w:pPr>
      <w:r w:rsidRPr="001531CD">
        <w:t>2.</w:t>
      </w:r>
      <w:r w:rsidRPr="001531CD">
        <w:tab/>
        <w:t>Notice of the meeting at which the request is to be considered shall be provided to the person submitting the request.</w:t>
      </w:r>
    </w:p>
    <w:p w14:paraId="17D576F4" w14:textId="77777777" w:rsidR="00CD0355" w:rsidRPr="00D55B14" w:rsidRDefault="00CD0355" w:rsidP="00CD0355">
      <w:pPr>
        <w:pStyle w:val="1"/>
      </w:pPr>
      <w:r w:rsidRPr="00D55B14">
        <w:t>3.</w:t>
      </w:r>
      <w:r w:rsidRPr="00D55B14">
        <w:tab/>
        <w:t xml:space="preserve">Failure of the requesting party, after notice, to attend any hearing or meeting regarding the request may be cause for the request to be denied. </w:t>
      </w:r>
    </w:p>
    <w:p w14:paraId="7341258F" w14:textId="77777777" w:rsidR="00CD0355" w:rsidRPr="001531CD" w:rsidRDefault="00CD0355" w:rsidP="00CD0355">
      <w:pPr>
        <w:pStyle w:val="1"/>
      </w:pPr>
      <w:r>
        <w:t>4.</w:t>
      </w:r>
      <w:r>
        <w:tab/>
      </w:r>
      <w:r w:rsidRPr="00D55B14">
        <w:t>The request, with the consent of the requesting party, may be taken under consideration or action deferre</w:t>
      </w:r>
      <w:r>
        <w:t xml:space="preserve">d by the commission. </w:t>
      </w:r>
      <w:r w:rsidRPr="00D55B14">
        <w:t>If the matter is taken under consideration or action is deferred then it will be taken up and acted upon at the next regularly scheduled meeting of the commission or at a special meeting of the commission to be held before the next regularly scheduled meeting, as agreed upon between the requesting party and the commission.</w:t>
      </w:r>
    </w:p>
    <w:p w14:paraId="254AE4A0" w14:textId="77777777" w:rsidR="00CD0355" w:rsidRPr="001531CD" w:rsidRDefault="00CD0355" w:rsidP="00CD0355">
      <w:pPr>
        <w:pStyle w:val="A"/>
      </w:pPr>
      <w:r w:rsidRPr="001531CD">
        <w:t>E.</w:t>
      </w:r>
      <w:r w:rsidRPr="001531CD">
        <w:tab/>
        <w:t>The commission’s decision shall be sent to the requesting party either by certified mail, return receipt requested; hand delivery; or commercial courier.</w:t>
      </w:r>
    </w:p>
    <w:p w14:paraId="45318366" w14:textId="77777777" w:rsidR="00CD0355" w:rsidRPr="001531CD" w:rsidRDefault="00CD0355" w:rsidP="00CD0355">
      <w:pPr>
        <w:pStyle w:val="A"/>
      </w:pPr>
      <w:r w:rsidRPr="001531CD">
        <w:t>F.</w:t>
      </w:r>
      <w:r w:rsidRPr="001531CD">
        <w:tab/>
        <w:t>Failure of the requesting party, after notice, to attend any hearing or meeting regarding the request may be cause for the request to be denied.</w:t>
      </w:r>
    </w:p>
    <w:p w14:paraId="178ABF84" w14:textId="77777777" w:rsidR="00CD0355" w:rsidRPr="001531CD" w:rsidRDefault="00CD0355" w:rsidP="00CD0355">
      <w:pPr>
        <w:pStyle w:val="AuthorityNote"/>
        <w:tabs>
          <w:tab w:val="clear" w:pos="1800"/>
        </w:tabs>
      </w:pPr>
      <w:r w:rsidRPr="00D55B14">
        <w:t>AUTHORITY NOTE:</w:t>
      </w:r>
      <w:r w:rsidRPr="00D55B14">
        <w:tab/>
        <w:t>Promulgated in accordance with R.S. 3:1433, R.S. 49:962 and R.S. 49:963(D).</w:t>
      </w:r>
    </w:p>
    <w:p w14:paraId="40E1EE2A"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39:1763 (July 2013), repromulgated by the Department of Agriculture and Forestry, Office of Agricultural and Environmental Sciences, Agricultural Chemistry and Seed Commis</w:t>
      </w:r>
      <w:r>
        <w:t>sion, LR 39:2703 (October 2013), amended</w:t>
      </w:r>
      <w:r w:rsidRPr="00D55B14">
        <w:t xml:space="preserve"> </w:t>
      </w:r>
      <w:r>
        <w:t>LR 40:744 (April 2014).</w:t>
      </w:r>
    </w:p>
    <w:p w14:paraId="367A987A" w14:textId="77777777" w:rsidR="00CD0355" w:rsidRPr="001531CD" w:rsidRDefault="00CD0355" w:rsidP="00CD0355">
      <w:pPr>
        <w:pStyle w:val="Section"/>
      </w:pPr>
      <w:bookmarkStart w:id="1046" w:name="_Toc256754502"/>
      <w:bookmarkStart w:id="1047" w:name="_Toc224818762"/>
      <w:r w:rsidRPr="001531CD">
        <w:t>§109.</w:t>
      </w:r>
      <w:r w:rsidRPr="001531CD">
        <w:tab/>
      </w:r>
      <w:bookmarkEnd w:id="1046"/>
      <w:r w:rsidRPr="00D55B14">
        <w:t>List of Noxious Weeds and Limitations on Noxious Weed Seed</w:t>
      </w:r>
      <w:bookmarkEnd w:id="1047"/>
    </w:p>
    <w:p w14:paraId="18384448" w14:textId="77777777" w:rsidR="00CD0355" w:rsidRDefault="00CD0355" w:rsidP="00CD0355">
      <w:pPr>
        <w:pStyle w:val="A"/>
      </w:pPr>
      <w:r w:rsidRPr="00CA2490">
        <w:t>A.</w:t>
      </w:r>
      <w:r w:rsidRPr="00CA2490">
        <w:tab/>
      </w:r>
      <w:r w:rsidRPr="008F0382">
        <w:t>The weeds listed in the following table are designated as noxious weeds. The seed of any noxious weed is permitted to be in seed sold, distributed, or offered or handled for sale only as provided in the limitation column of the table, except as otherwise provided in Subsection B. There is no tolerance applied to noxious weeds listed as prohibited.</w:t>
      </w:r>
    </w:p>
    <w:tbl>
      <w:tblPr>
        <w:tblW w:w="4626" w:type="dxa"/>
        <w:jc w:val="center"/>
        <w:tblLook w:val="04A0" w:firstRow="1" w:lastRow="0" w:firstColumn="1" w:lastColumn="0" w:noHBand="0" w:noVBand="1"/>
      </w:tblPr>
      <w:tblGrid>
        <w:gridCol w:w="3618"/>
        <w:gridCol w:w="1008"/>
      </w:tblGrid>
      <w:tr w:rsidR="00CD0355" w:rsidRPr="00773CDF" w14:paraId="3DE9D3FE" w14:textId="77777777" w:rsidTr="00CD0355">
        <w:trPr>
          <w:cantSplit/>
          <w:trHeight w:val="187"/>
          <w:tblHeader/>
          <w:jc w:val="center"/>
        </w:trPr>
        <w:tc>
          <w:tcPr>
            <w:tcW w:w="4626" w:type="dxa"/>
            <w:gridSpan w:val="2"/>
            <w:tcBorders>
              <w:top w:val="double" w:sz="6" w:space="0" w:color="000000"/>
              <w:left w:val="double" w:sz="6" w:space="0" w:color="000000"/>
              <w:bottom w:val="single" w:sz="4" w:space="0" w:color="auto"/>
              <w:right w:val="double" w:sz="6" w:space="0" w:color="000000"/>
            </w:tcBorders>
            <w:shd w:val="clear" w:color="000000" w:fill="BFBFBF"/>
            <w:vAlign w:val="center"/>
            <w:hideMark/>
          </w:tcPr>
          <w:p w14:paraId="41A04E54" w14:textId="77777777"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List of Noxious Weeds and Seed Limitations</w:t>
            </w:r>
          </w:p>
        </w:tc>
      </w:tr>
      <w:tr w:rsidR="00CD0355" w:rsidRPr="00773CDF" w14:paraId="47F73848" w14:textId="77777777" w:rsidTr="00CD0355">
        <w:trPr>
          <w:cantSplit/>
          <w:trHeight w:val="187"/>
          <w:tblHeader/>
          <w:jc w:val="center"/>
        </w:trPr>
        <w:tc>
          <w:tcPr>
            <w:tcW w:w="3618" w:type="dxa"/>
            <w:tcBorders>
              <w:top w:val="single" w:sz="4" w:space="0" w:color="auto"/>
              <w:left w:val="double" w:sz="6" w:space="0" w:color="000000"/>
              <w:bottom w:val="single" w:sz="4" w:space="0" w:color="auto"/>
              <w:right w:val="single" w:sz="6" w:space="0" w:color="auto"/>
            </w:tcBorders>
            <w:shd w:val="clear" w:color="000000" w:fill="BFBFBF"/>
            <w:vAlign w:val="center"/>
            <w:hideMark/>
          </w:tcPr>
          <w:p w14:paraId="4E768B31" w14:textId="77777777"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Name</w:t>
            </w:r>
          </w:p>
        </w:tc>
        <w:tc>
          <w:tcPr>
            <w:tcW w:w="1008" w:type="dxa"/>
            <w:tcBorders>
              <w:top w:val="single" w:sz="4" w:space="0" w:color="auto"/>
              <w:left w:val="single" w:sz="6" w:space="0" w:color="auto"/>
              <w:bottom w:val="single" w:sz="4" w:space="0" w:color="auto"/>
              <w:right w:val="double" w:sz="6" w:space="0" w:color="000000"/>
            </w:tcBorders>
            <w:shd w:val="clear" w:color="000000" w:fill="BFBFBF"/>
            <w:vAlign w:val="center"/>
            <w:hideMark/>
          </w:tcPr>
          <w:p w14:paraId="34C6C16D" w14:textId="77777777"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Limitations</w:t>
            </w:r>
          </w:p>
        </w:tc>
      </w:tr>
      <w:tr w:rsidR="00CD0355" w:rsidRPr="00773CDF" w14:paraId="3AD8F33E"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7236F92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 Balloon Vine (Cardiospermum halicacabum)</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200FC39"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427695A2"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2FF877E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 Field Bindweed (Convolvulus arvensis)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6A1BAADB"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061B4B7B"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A574E4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 Hedge Bindweed (Calystegia sepium)</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6262DF3E"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2ECBAA27"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02B6E1F"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4. Itchgrass (Rottboellia cochinchinersis)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7D2C7D31"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7D650E8E"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64B5CA1"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Yellow Nutsedge (Cyperus esculentus)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242D6AC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4922480C"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28EC5061"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6. Purple Nutsedge (Cyperus rotundus)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0CD4573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3EDA58C3"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tcPr>
          <w:p w14:paraId="4332CC4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7. Tropical Soda Apple (Solanum viarum)</w:t>
            </w:r>
          </w:p>
        </w:tc>
        <w:tc>
          <w:tcPr>
            <w:tcW w:w="1008" w:type="dxa"/>
            <w:tcBorders>
              <w:top w:val="single" w:sz="4" w:space="0" w:color="auto"/>
              <w:left w:val="single" w:sz="6" w:space="0" w:color="auto"/>
              <w:bottom w:val="single" w:sz="4" w:space="0" w:color="auto"/>
              <w:right w:val="double" w:sz="6" w:space="0" w:color="000000"/>
            </w:tcBorders>
            <w:vAlign w:val="center"/>
          </w:tcPr>
          <w:p w14:paraId="0ED28F91"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14:paraId="221982A7"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98BF553"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8. Cocklebur (Xanthium spp.)</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694F4BBD"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per lb.</w:t>
            </w:r>
          </w:p>
        </w:tc>
      </w:tr>
      <w:tr w:rsidR="00CD0355" w:rsidRPr="00773CDF" w14:paraId="724523C1"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47B61736"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Spearhead; Beaksedge (Rhynchospora spp.)</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2FA5449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per lb.</w:t>
            </w:r>
          </w:p>
        </w:tc>
      </w:tr>
      <w:tr w:rsidR="00CD0355" w:rsidRPr="00773CDF" w14:paraId="1132777A"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179873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 Purple Moonflower (Ipomoea turbinata)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0E453C99"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14:paraId="7329A113"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81E382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11. Red Rice (Oryza sativa)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1A5CBF7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14:paraId="4370F3EC"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1F15513D"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12. Wild Onion and/or Wild Garlic (Allium spp.)</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0FDA440A"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14:paraId="5BFD31D2"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F4A78BA"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13. Morning Glory (Ipomoea spp.)</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7066929"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per lb.</w:t>
            </w:r>
          </w:p>
        </w:tc>
      </w:tr>
      <w:tr w:rsidR="00CD0355" w:rsidRPr="00773CDF" w14:paraId="1608B465"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1B6D1CA8"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 xml:space="preserve">14. Wild Poinsettia (Euphorbia davidii) </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3F12AEE"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per lb.</w:t>
            </w:r>
          </w:p>
        </w:tc>
      </w:tr>
      <w:tr w:rsidR="00CD0355" w:rsidRPr="00773CDF" w14:paraId="187D62A5"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6FD488D"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15. Canada Thistle (Cirsium arvense)</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1DD53C7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6D6E90D9"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1D3E1D6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16. Dock (Rumex spp.)</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72F99FA6"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6C8FAE4D"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45B7C44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17. Dodder (Cuscuta spp.)</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35F0A8FC"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2B45F689"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noWrap/>
            <w:vAlign w:val="center"/>
            <w:hideMark/>
          </w:tcPr>
          <w:p w14:paraId="5F1EA93F"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Horsenettle (Solanum carolinense)</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364FB7AB"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09EFC8AB"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360FB053"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lastRenderedPageBreak/>
              <w:t>19. Johnsongrass (Sorghum halepense)</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12EC2FBB"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21319784"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4EF1F048"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20. Quackgrass (Elymus repens)</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329BE1C9"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4ED2C6C7"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068E5EF9"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21. Russian Knapweed (Rhaponticum repens)</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1EDE3CE4"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60E88C2C"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072092DE"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22. Sheep Sorrel (Rumex acetosella)</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07AF0892"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5E18448E"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noWrap/>
            <w:vAlign w:val="center"/>
            <w:hideMark/>
          </w:tcPr>
          <w:p w14:paraId="54566A98"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23. Silverleaf Nightshade (Solanum elaeagnifolium)</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124437AB"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6437516A"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40AE69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24. Wild Mustard and Wild Turnips (Brassica spp. and Sinapis spp.)</w:t>
            </w:r>
          </w:p>
        </w:tc>
        <w:tc>
          <w:tcPr>
            <w:tcW w:w="1008" w:type="dxa"/>
            <w:tcBorders>
              <w:top w:val="single" w:sz="4" w:space="0" w:color="auto"/>
              <w:left w:val="single" w:sz="6" w:space="0" w:color="auto"/>
              <w:bottom w:val="single" w:sz="4" w:space="0" w:color="auto"/>
              <w:right w:val="double" w:sz="6" w:space="0" w:color="000000"/>
            </w:tcBorders>
            <w:noWrap/>
            <w:vAlign w:val="center"/>
            <w:hideMark/>
          </w:tcPr>
          <w:p w14:paraId="113CCAA8"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14:paraId="70AF707D"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393B4D2A"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25. Blueweed, Texas (Helianthus ciliaris)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330C0F3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200 per lb.</w:t>
            </w:r>
          </w:p>
        </w:tc>
      </w:tr>
      <w:tr w:rsidR="00CD0355" w:rsidRPr="00773CDF" w14:paraId="2DF3456C"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157B5344"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26. Bermudagrass (Cynodon dactylon)</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373601E3"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08CA9F80"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8BAFF8C"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27. Buckhorn Plantain (Plantago lanceolata)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68EA8A5A"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283A87B7"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055AE31"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28. Cheat (Bromus secalinus)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52086C96"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56DB6DF1"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68754D6C"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29. Corncockle (Agrostemma githago)</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77280F2F"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0AED48AE"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3B1597BC"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 Darnel; Poison Ryegrass (Lolium temulentum)</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66AD153"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2579AE6A"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4C09E16D"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31. Hairy Chess (Bromus commutatus)</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3219DE8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6AC2EB80"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4824F126"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32. Hemp Sesbania, Coffeebean, Tall Indigo (Sesbania exaltata)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C441413"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14A37EE6"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2D17C18"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33. Indian Jointvetch (Aeschynomene indica)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49928274"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7BE4E9A1"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5F48007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34. Mexicanweed (Caperonia castaneifolia)</w:t>
            </w:r>
          </w:p>
        </w:tc>
        <w:tc>
          <w:tcPr>
            <w:tcW w:w="1008" w:type="dxa"/>
            <w:tcBorders>
              <w:top w:val="single" w:sz="4" w:space="0" w:color="auto"/>
              <w:left w:val="single" w:sz="6" w:space="0" w:color="auto"/>
              <w:bottom w:val="single" w:sz="4" w:space="0" w:color="auto"/>
              <w:right w:val="double" w:sz="6" w:space="0" w:color="000000"/>
            </w:tcBorders>
            <w:vAlign w:val="center"/>
            <w:hideMark/>
          </w:tcPr>
          <w:p w14:paraId="6846B6EF"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14:paraId="05B78FE2" w14:textId="77777777"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vAlign w:val="center"/>
            <w:hideMark/>
          </w:tcPr>
          <w:p w14:paraId="17E3BA87"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Sum of Total Noxious Weed</w:t>
            </w:r>
          </w:p>
        </w:tc>
        <w:tc>
          <w:tcPr>
            <w:tcW w:w="1008" w:type="dxa"/>
            <w:tcBorders>
              <w:top w:val="single" w:sz="4" w:space="0" w:color="auto"/>
              <w:left w:val="single" w:sz="6" w:space="0" w:color="auto"/>
              <w:bottom w:val="single" w:sz="4" w:space="0" w:color="auto"/>
              <w:right w:val="double" w:sz="6" w:space="0" w:color="000000"/>
            </w:tcBorders>
            <w:hideMark/>
          </w:tcPr>
          <w:p w14:paraId="16779C65"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500 per lb.</w:t>
            </w:r>
          </w:p>
        </w:tc>
      </w:tr>
      <w:tr w:rsidR="00CD0355" w:rsidRPr="00773CDF" w14:paraId="7972B38B" w14:textId="77777777" w:rsidTr="00CD0355">
        <w:trPr>
          <w:cantSplit/>
          <w:trHeight w:val="187"/>
          <w:jc w:val="center"/>
        </w:trPr>
        <w:tc>
          <w:tcPr>
            <w:tcW w:w="3618" w:type="dxa"/>
            <w:tcBorders>
              <w:top w:val="single" w:sz="4" w:space="0" w:color="auto"/>
              <w:left w:val="double" w:sz="6" w:space="0" w:color="000000"/>
              <w:bottom w:val="double" w:sz="4" w:space="0" w:color="auto"/>
            </w:tcBorders>
            <w:vAlign w:val="center"/>
            <w:hideMark/>
          </w:tcPr>
          <w:p w14:paraId="6E1785A0" w14:textId="77777777"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(Subject to limitations above)</w:t>
            </w:r>
          </w:p>
        </w:tc>
        <w:tc>
          <w:tcPr>
            <w:tcW w:w="1008" w:type="dxa"/>
            <w:tcBorders>
              <w:top w:val="single" w:sz="4" w:space="0" w:color="auto"/>
              <w:bottom w:val="double" w:sz="4" w:space="0" w:color="auto"/>
              <w:right w:val="double" w:sz="6" w:space="0" w:color="000000"/>
            </w:tcBorders>
            <w:vAlign w:val="center"/>
            <w:hideMark/>
          </w:tcPr>
          <w:p w14:paraId="176E31A1" w14:textId="77777777" w:rsidR="00CD0355" w:rsidRPr="00824C43" w:rsidRDefault="00CD0355" w:rsidP="00CD0355">
            <w:pPr>
              <w:pStyle w:val="Text"/>
              <w:tabs>
                <w:tab w:val="clear" w:pos="180"/>
              </w:tabs>
              <w:spacing w:after="0" w:line="240" w:lineRule="auto"/>
              <w:ind w:firstLine="0"/>
              <w:outlineLvl w:val="9"/>
              <w:rPr>
                <w:kern w:val="0"/>
                <w:sz w:val="16"/>
                <w:szCs w:val="16"/>
              </w:rPr>
            </w:pPr>
          </w:p>
        </w:tc>
      </w:tr>
    </w:tbl>
    <w:p w14:paraId="405ED554" w14:textId="77777777" w:rsidR="00CD0355" w:rsidRPr="00ED0F4C" w:rsidRDefault="00CD0355" w:rsidP="00CD0355">
      <w:pPr>
        <w:pStyle w:val="Text"/>
        <w:tabs>
          <w:tab w:val="clear" w:pos="180"/>
        </w:tabs>
        <w:spacing w:after="0" w:line="240" w:lineRule="auto"/>
        <w:ind w:firstLine="0"/>
        <w:outlineLvl w:val="9"/>
      </w:pPr>
    </w:p>
    <w:p w14:paraId="112ADED8" w14:textId="77777777" w:rsidR="00CD0355" w:rsidRPr="00D55B14" w:rsidRDefault="00CD0355" w:rsidP="00CD0355">
      <w:pPr>
        <w:pStyle w:val="A"/>
      </w:pPr>
      <w:r w:rsidRPr="00D55B14">
        <w:t>B.</w:t>
      </w:r>
      <w:r w:rsidRPr="00D55B14">
        <w:tab/>
        <w:t>If the noxious weed or weed seed restrictions set out in Chapter 7 of this Part for a field or seed being certified is more restrictive than the limitations in the table in Section A or if any of those rules and regulations provides for limitations on weeds not listed in the table then the rules and regulations in Chapter 7 for that specific crop kind or variety supersedes the limitations listed in the table.</w:t>
      </w:r>
    </w:p>
    <w:p w14:paraId="34B3CA74" w14:textId="77777777" w:rsidR="00CD0355" w:rsidRDefault="00CD0355" w:rsidP="00CD0355">
      <w:pPr>
        <w:pStyle w:val="AuthorityNote"/>
        <w:tabs>
          <w:tab w:val="clear" w:pos="1800"/>
          <w:tab w:val="left" w:pos="1890"/>
        </w:tabs>
        <w:rPr>
          <w:rFonts w:eastAsia="PMingLiU"/>
        </w:rPr>
      </w:pPr>
      <w:r w:rsidRPr="00D55B14">
        <w:t>AUTHORITY NOTE:</w:t>
      </w:r>
      <w:r w:rsidRPr="00D55B14">
        <w:tab/>
        <w:t>Promulgated in accordance with R.S. 3:1431 and R.S. 3:1433</w:t>
      </w:r>
      <w:r w:rsidRPr="00D55B14">
        <w:rPr>
          <w:rFonts w:eastAsia="PMingLiU"/>
        </w:rPr>
        <w:t>.</w:t>
      </w:r>
    </w:p>
    <w:p w14:paraId="706A90A4" w14:textId="77777777" w:rsidR="00CD0355" w:rsidRPr="001531CD" w:rsidRDefault="00CD0355" w:rsidP="00CD0355">
      <w:pPr>
        <w:pStyle w:val="HistoricalNote"/>
      </w:pPr>
      <w:r w:rsidRPr="001531CD">
        <w:rPr>
          <w:rFonts w:eastAsia="PMingLiU"/>
        </w:rPr>
        <w:t>HISTORICAL NOTE:</w:t>
      </w:r>
      <w:r w:rsidRPr="001531CD">
        <w:rPr>
          <w:rFonts w:eastAsia="PMingLiU"/>
        </w:rPr>
        <w:tab/>
        <w:t xml:space="preserve">Promulgated by the Department of Agriculture, Seed Commission, LR 4:105 (April 1978), amended LR 5:96 (May 1979), LR 7:285 (June 1981), LR 8:563 (November 1982), LR 9:197, 206 (April 1983), amended </w:t>
      </w:r>
      <w:r w:rsidRPr="001531CD">
        <w:t xml:space="preserve">by the Department of Agriculture and Forestry, Office of Agricultural and Environmental Sciences, Seed Commission, </w:t>
      </w:r>
      <w:r w:rsidRPr="001531CD">
        <w:rPr>
          <w:rFonts w:eastAsia="PMingLiU"/>
        </w:rPr>
        <w:t xml:space="preserve">LR 12:825 (December 1986), LR 14:605 (September 1988), LR 23:1282 (October 1997), amended by the Department of Agriculture and Forestry, Office of the Commissioner, Seed Commission, LR 30:199 (February 2004), </w:t>
      </w:r>
      <w:r w:rsidRPr="001531CD">
        <w:t>repromulgated by the Department of Agriculture and Forestry, Office of Agricultural and Environmental Sciences, Agricultural Chemistry and Seed Commis</w:t>
      </w:r>
      <w:r>
        <w:t>sion, LR 39:2704 (October 2013), amended</w:t>
      </w:r>
      <w:r w:rsidRPr="00D55B14">
        <w:t xml:space="preserve"> </w:t>
      </w:r>
      <w:r>
        <w:t xml:space="preserve">LR 40:744 (April 2014), </w:t>
      </w:r>
      <w:r w:rsidRPr="00CA2490">
        <w:t>LR 43:</w:t>
      </w:r>
      <w:r>
        <w:t>1895 (October 2017)</w:t>
      </w:r>
      <w:r w:rsidRPr="008F0382">
        <w:t>, LR 44:1851 (October 2018).</w:t>
      </w:r>
    </w:p>
    <w:p w14:paraId="433BCEE0" w14:textId="77777777" w:rsidR="00CD0355" w:rsidRPr="001531CD" w:rsidRDefault="00CD0355" w:rsidP="00CD0355">
      <w:pPr>
        <w:pStyle w:val="Section"/>
      </w:pPr>
      <w:bookmarkStart w:id="1048" w:name="_Toc370127203"/>
      <w:bookmarkStart w:id="1049" w:name="_Toc372623971"/>
      <w:bookmarkStart w:id="1050" w:name="_Toc375025270"/>
      <w:bookmarkStart w:id="1051" w:name="_Toc386110155"/>
      <w:bookmarkStart w:id="1052" w:name="_Toc388357988"/>
      <w:bookmarkStart w:id="1053" w:name="_Toc396114892"/>
      <w:bookmarkStart w:id="1054" w:name="_Toc411855283"/>
      <w:bookmarkStart w:id="1055" w:name="_Toc419795484"/>
      <w:bookmarkStart w:id="1056" w:name="_Toc427736872"/>
      <w:bookmarkStart w:id="1057" w:name="_Toc438546672"/>
      <w:bookmarkStart w:id="1058" w:name="_Toc446326659"/>
      <w:bookmarkStart w:id="1059" w:name="_Toc448824849"/>
      <w:bookmarkStart w:id="1060" w:name="_Toc451505893"/>
      <w:bookmarkStart w:id="1061" w:name="_Toc462212316"/>
      <w:bookmarkStart w:id="1062" w:name="_Toc468096236"/>
      <w:bookmarkStart w:id="1063" w:name="_Toc477853716"/>
      <w:bookmarkStart w:id="1064" w:name="_Toc488735660"/>
      <w:bookmarkStart w:id="1065" w:name="_Toc491176477"/>
      <w:bookmarkStart w:id="1066" w:name="_Toc509393400"/>
      <w:bookmarkStart w:id="1067" w:name="_Toc525114567"/>
      <w:bookmarkStart w:id="1068" w:name="_Toc535996964"/>
      <w:bookmarkStart w:id="1069" w:name="_Toc224818763"/>
      <w:r w:rsidRPr="001531CD">
        <w:t>§§111-119.</w:t>
      </w:r>
      <w:r w:rsidRPr="001531CD">
        <w:tab/>
        <w:t>Reserved</w:t>
      </w:r>
      <w:bookmarkEnd w:id="1048"/>
      <w:r w:rsidRPr="001531CD">
        <w:t>.</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87C4568" w14:textId="77777777" w:rsidR="00CD0355" w:rsidRPr="001531CD" w:rsidRDefault="00CD0355" w:rsidP="00CD0355">
      <w:pPr>
        <w:pStyle w:val="Chapter"/>
      </w:pPr>
      <w:bookmarkStart w:id="1070" w:name="_Toc224818764"/>
      <w:r w:rsidRPr="001531CD">
        <w:t>Subchapter B.</w:t>
      </w:r>
      <w:r w:rsidRPr="001531CD">
        <w:tab/>
        <w:t>Fees</w:t>
      </w:r>
      <w:bookmarkEnd w:id="1070"/>
    </w:p>
    <w:p w14:paraId="027FA56A" w14:textId="77777777" w:rsidR="00CD0355" w:rsidRPr="00B265BE" w:rsidRDefault="00CD0355" w:rsidP="00CD0355">
      <w:pPr>
        <w:pStyle w:val="Section"/>
      </w:pPr>
      <w:bookmarkStart w:id="1071" w:name="_Toc224818765"/>
      <w:bookmarkStart w:id="1072" w:name="TOC_SubC92"/>
      <w:bookmarkStart w:id="1073" w:name="_Toc256754509"/>
      <w:r w:rsidRPr="00B265BE">
        <w:t>§121.</w:t>
      </w:r>
      <w:r w:rsidRPr="00B265BE">
        <w:tab/>
        <w:t>License Fee; Laboratory and Sampling Fees</w:t>
      </w:r>
      <w:bookmarkEnd w:id="1071"/>
    </w:p>
    <w:p w14:paraId="75F985EE" w14:textId="77777777" w:rsidR="00CD0355" w:rsidRPr="00B265BE" w:rsidRDefault="00CD0355" w:rsidP="00CD0355">
      <w:pPr>
        <w:pStyle w:val="A"/>
      </w:pPr>
      <w:r w:rsidRPr="00BB51B8">
        <w:t>A.</w:t>
      </w:r>
      <w:r w:rsidRPr="00BB51B8">
        <w:tab/>
        <w:t>Seed Dealer's License. The annual fee for a seed dealer’s license shall be $150. The seed dealer’s license shall be renewed annually, and is based on the fiscal year July 1 through June 30.</w:t>
      </w:r>
    </w:p>
    <w:p w14:paraId="00940509" w14:textId="77777777" w:rsidR="00CD0355" w:rsidRPr="00CA2490" w:rsidRDefault="00CD0355" w:rsidP="00CD0355">
      <w:pPr>
        <w:pStyle w:val="A"/>
      </w:pPr>
      <w:r w:rsidRPr="00CA2490">
        <w:t>B.</w:t>
      </w:r>
      <w:r w:rsidRPr="00CA2490">
        <w:tab/>
        <w:t>Laboratory and Sampling Fees. The following laboratory and sampling fees shall be applicable to all seed testing conducted by LDAF.</w:t>
      </w:r>
    </w:p>
    <w:p w14:paraId="4991E157" w14:textId="77777777" w:rsidR="00CD0355" w:rsidRDefault="00CD0355" w:rsidP="00CD0355">
      <w:pPr>
        <w:pStyle w:val="1"/>
      </w:pPr>
      <w:r w:rsidRPr="00CA2490">
        <w:t>1.</w:t>
      </w:r>
      <w:r w:rsidRPr="00CA2490">
        <w:tab/>
        <w:t>Purity and Germination Examinations Using Association of Official Seed Analysts (AOSA), Canadian, International Seed Testing Association (ISTA) or Federal Seed Act (FSA) Testing Procedures</w:t>
      </w:r>
    </w:p>
    <w:tbl>
      <w:tblPr>
        <w:tblW w:w="496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229"/>
        <w:gridCol w:w="900"/>
        <w:gridCol w:w="1260"/>
        <w:gridCol w:w="1573"/>
      </w:tblGrid>
      <w:tr w:rsidR="00CD0355" w:rsidRPr="00FD217D" w14:paraId="3765D125" w14:textId="77777777" w:rsidTr="00CD0355">
        <w:trPr>
          <w:tblHeader/>
          <w:jc w:val="center"/>
        </w:trPr>
        <w:tc>
          <w:tcPr>
            <w:tcW w:w="1229" w:type="dxa"/>
            <w:shd w:val="pct25" w:color="auto" w:fill="auto"/>
            <w:noWrap/>
            <w:vAlign w:val="bottom"/>
            <w:hideMark/>
          </w:tcPr>
          <w:p w14:paraId="7C7EB3D9" w14:textId="77777777" w:rsidR="00CD0355" w:rsidRPr="002F0632" w:rsidRDefault="00CD0355" w:rsidP="00CD0355">
            <w:pPr>
              <w:ind w:left="-139" w:right="-108"/>
              <w:jc w:val="center"/>
              <w:rPr>
                <w:b/>
                <w:bCs/>
                <w:sz w:val="16"/>
                <w:szCs w:val="16"/>
              </w:rPr>
            </w:pPr>
            <w:r w:rsidRPr="002F0632">
              <w:rPr>
                <w:b/>
                <w:bCs/>
                <w:sz w:val="16"/>
                <w:szCs w:val="16"/>
              </w:rPr>
              <w:t>Seed Kind (1,2)</w:t>
            </w:r>
          </w:p>
        </w:tc>
        <w:tc>
          <w:tcPr>
            <w:tcW w:w="900" w:type="dxa"/>
            <w:shd w:val="pct25" w:color="auto" w:fill="auto"/>
            <w:vAlign w:val="bottom"/>
            <w:hideMark/>
          </w:tcPr>
          <w:p w14:paraId="23C6910E" w14:textId="77777777" w:rsidR="00CD0355" w:rsidRPr="002F0632" w:rsidRDefault="00CD0355" w:rsidP="00CD0355">
            <w:pPr>
              <w:ind w:left="-108" w:right="-108"/>
              <w:jc w:val="center"/>
              <w:rPr>
                <w:b/>
                <w:bCs/>
                <w:sz w:val="16"/>
                <w:szCs w:val="16"/>
              </w:rPr>
            </w:pPr>
            <w:r w:rsidRPr="002F0632">
              <w:rPr>
                <w:b/>
                <w:bCs/>
                <w:sz w:val="16"/>
                <w:szCs w:val="16"/>
              </w:rPr>
              <w:t>Purity (3,4)</w:t>
            </w:r>
          </w:p>
        </w:tc>
        <w:tc>
          <w:tcPr>
            <w:tcW w:w="1260" w:type="dxa"/>
            <w:shd w:val="pct25" w:color="auto" w:fill="auto"/>
            <w:vAlign w:val="bottom"/>
            <w:hideMark/>
          </w:tcPr>
          <w:p w14:paraId="13B79E6E" w14:textId="77777777" w:rsidR="00CD0355" w:rsidRPr="002F0632" w:rsidRDefault="00CD0355" w:rsidP="00CD0355">
            <w:pPr>
              <w:ind w:left="-160" w:right="-134"/>
              <w:jc w:val="center"/>
              <w:rPr>
                <w:b/>
                <w:bCs/>
                <w:sz w:val="16"/>
                <w:szCs w:val="16"/>
              </w:rPr>
            </w:pPr>
            <w:r w:rsidRPr="002F0632">
              <w:rPr>
                <w:b/>
                <w:bCs/>
                <w:sz w:val="16"/>
                <w:szCs w:val="16"/>
              </w:rPr>
              <w:t>Germination (4)</w:t>
            </w:r>
          </w:p>
        </w:tc>
        <w:tc>
          <w:tcPr>
            <w:tcW w:w="1573" w:type="dxa"/>
            <w:shd w:val="pct25" w:color="auto" w:fill="auto"/>
            <w:vAlign w:val="bottom"/>
            <w:hideMark/>
          </w:tcPr>
          <w:p w14:paraId="06459B5C" w14:textId="77777777" w:rsidR="00CD0355" w:rsidRPr="002F0632" w:rsidRDefault="00CD0355" w:rsidP="00CD0355">
            <w:pPr>
              <w:ind w:left="-172" w:right="-134"/>
              <w:jc w:val="center"/>
              <w:rPr>
                <w:b/>
                <w:bCs/>
                <w:sz w:val="16"/>
                <w:szCs w:val="16"/>
              </w:rPr>
            </w:pPr>
            <w:r w:rsidRPr="002F0632">
              <w:rPr>
                <w:b/>
                <w:bCs/>
                <w:sz w:val="16"/>
                <w:szCs w:val="16"/>
              </w:rPr>
              <w:t>Tetrazolium Viability</w:t>
            </w:r>
          </w:p>
        </w:tc>
      </w:tr>
      <w:tr w:rsidR="00CD0355" w:rsidRPr="00FD217D" w14:paraId="30A0EC63" w14:textId="77777777" w:rsidTr="00CD0355">
        <w:trPr>
          <w:jc w:val="center"/>
        </w:trPr>
        <w:tc>
          <w:tcPr>
            <w:tcW w:w="1229" w:type="dxa"/>
            <w:noWrap/>
            <w:vAlign w:val="bottom"/>
            <w:hideMark/>
          </w:tcPr>
          <w:p w14:paraId="58153F2C" w14:textId="77777777" w:rsidR="00CD0355" w:rsidRPr="0037762C" w:rsidRDefault="00CD0355" w:rsidP="00CD0355">
            <w:pPr>
              <w:rPr>
                <w:bCs/>
                <w:sz w:val="16"/>
                <w:szCs w:val="16"/>
              </w:rPr>
            </w:pPr>
            <w:r w:rsidRPr="0037762C">
              <w:rPr>
                <w:bCs/>
                <w:sz w:val="16"/>
                <w:szCs w:val="16"/>
              </w:rPr>
              <w:t>Alfalfa</w:t>
            </w:r>
          </w:p>
        </w:tc>
        <w:tc>
          <w:tcPr>
            <w:tcW w:w="900" w:type="dxa"/>
            <w:noWrap/>
            <w:vAlign w:val="center"/>
            <w:hideMark/>
          </w:tcPr>
          <w:p w14:paraId="422566CE"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2FE5D54A"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1F34334E" w14:textId="77777777" w:rsidR="00CD0355" w:rsidRPr="0037762C" w:rsidRDefault="00CD0355" w:rsidP="00CD0355">
            <w:pPr>
              <w:jc w:val="center"/>
              <w:rPr>
                <w:sz w:val="16"/>
                <w:szCs w:val="16"/>
              </w:rPr>
            </w:pPr>
            <w:r w:rsidRPr="0037762C">
              <w:rPr>
                <w:sz w:val="16"/>
                <w:szCs w:val="16"/>
              </w:rPr>
              <w:t>$25.00</w:t>
            </w:r>
          </w:p>
        </w:tc>
      </w:tr>
      <w:tr w:rsidR="00CD0355" w:rsidRPr="00FD217D" w14:paraId="6889949A" w14:textId="77777777" w:rsidTr="00CD0355">
        <w:trPr>
          <w:jc w:val="center"/>
        </w:trPr>
        <w:tc>
          <w:tcPr>
            <w:tcW w:w="1229" w:type="dxa"/>
            <w:noWrap/>
            <w:vAlign w:val="bottom"/>
            <w:hideMark/>
          </w:tcPr>
          <w:p w14:paraId="28995C85" w14:textId="77777777" w:rsidR="00CD0355" w:rsidRPr="0037762C" w:rsidRDefault="00CD0355" w:rsidP="00CD0355">
            <w:pPr>
              <w:rPr>
                <w:bCs/>
                <w:sz w:val="16"/>
                <w:szCs w:val="16"/>
              </w:rPr>
            </w:pPr>
            <w:r w:rsidRPr="0037762C">
              <w:rPr>
                <w:bCs/>
                <w:sz w:val="16"/>
                <w:szCs w:val="16"/>
              </w:rPr>
              <w:t>Arugula</w:t>
            </w:r>
          </w:p>
        </w:tc>
        <w:tc>
          <w:tcPr>
            <w:tcW w:w="900" w:type="dxa"/>
            <w:noWrap/>
            <w:vAlign w:val="center"/>
            <w:hideMark/>
          </w:tcPr>
          <w:p w14:paraId="1E7F29E5"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F76E5E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5F5F5D42" w14:textId="77777777" w:rsidR="00CD0355" w:rsidRPr="0037762C" w:rsidRDefault="00CD0355" w:rsidP="00CD0355">
            <w:pPr>
              <w:jc w:val="center"/>
              <w:rPr>
                <w:sz w:val="16"/>
                <w:szCs w:val="16"/>
              </w:rPr>
            </w:pPr>
            <w:r w:rsidRPr="0037762C">
              <w:rPr>
                <w:sz w:val="16"/>
                <w:szCs w:val="16"/>
              </w:rPr>
              <w:t>$25.00</w:t>
            </w:r>
          </w:p>
        </w:tc>
      </w:tr>
      <w:tr w:rsidR="00CD0355" w:rsidRPr="00FD217D" w14:paraId="61F5237D" w14:textId="77777777" w:rsidTr="00CD0355">
        <w:trPr>
          <w:jc w:val="center"/>
        </w:trPr>
        <w:tc>
          <w:tcPr>
            <w:tcW w:w="1229" w:type="dxa"/>
            <w:noWrap/>
            <w:vAlign w:val="bottom"/>
            <w:hideMark/>
          </w:tcPr>
          <w:p w14:paraId="0116B9CE" w14:textId="77777777" w:rsidR="00CD0355" w:rsidRPr="0037762C" w:rsidRDefault="00CD0355" w:rsidP="00CD0355">
            <w:pPr>
              <w:rPr>
                <w:bCs/>
                <w:sz w:val="16"/>
                <w:szCs w:val="16"/>
              </w:rPr>
            </w:pPr>
            <w:r w:rsidRPr="0037762C">
              <w:rPr>
                <w:bCs/>
                <w:sz w:val="16"/>
                <w:szCs w:val="16"/>
              </w:rPr>
              <w:t>Asparagus</w:t>
            </w:r>
          </w:p>
        </w:tc>
        <w:tc>
          <w:tcPr>
            <w:tcW w:w="900" w:type="dxa"/>
            <w:noWrap/>
            <w:vAlign w:val="center"/>
            <w:hideMark/>
          </w:tcPr>
          <w:p w14:paraId="5FE2CFDA"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1B4CCAFF"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6C144DAF" w14:textId="77777777" w:rsidR="00CD0355" w:rsidRPr="0037762C" w:rsidRDefault="00CD0355" w:rsidP="00CD0355">
            <w:pPr>
              <w:jc w:val="center"/>
              <w:rPr>
                <w:sz w:val="16"/>
                <w:szCs w:val="16"/>
              </w:rPr>
            </w:pPr>
            <w:r w:rsidRPr="0037762C">
              <w:rPr>
                <w:sz w:val="16"/>
                <w:szCs w:val="16"/>
              </w:rPr>
              <w:t>$25.00</w:t>
            </w:r>
          </w:p>
        </w:tc>
      </w:tr>
      <w:tr w:rsidR="00CD0355" w:rsidRPr="00FD217D" w14:paraId="7E0BA1B0" w14:textId="77777777" w:rsidTr="00CD0355">
        <w:trPr>
          <w:jc w:val="center"/>
        </w:trPr>
        <w:tc>
          <w:tcPr>
            <w:tcW w:w="1229" w:type="dxa"/>
            <w:noWrap/>
            <w:vAlign w:val="bottom"/>
            <w:hideMark/>
          </w:tcPr>
          <w:p w14:paraId="145F686D" w14:textId="77777777" w:rsidR="00CD0355" w:rsidRPr="0037762C" w:rsidRDefault="00CD0355" w:rsidP="00CD0355">
            <w:pPr>
              <w:rPr>
                <w:bCs/>
                <w:sz w:val="16"/>
                <w:szCs w:val="16"/>
              </w:rPr>
            </w:pPr>
            <w:r w:rsidRPr="0037762C">
              <w:rPr>
                <w:bCs/>
                <w:sz w:val="16"/>
                <w:szCs w:val="16"/>
              </w:rPr>
              <w:t>Bahiagrass</w:t>
            </w:r>
          </w:p>
        </w:tc>
        <w:tc>
          <w:tcPr>
            <w:tcW w:w="900" w:type="dxa"/>
            <w:noWrap/>
            <w:vAlign w:val="center"/>
            <w:hideMark/>
          </w:tcPr>
          <w:p w14:paraId="2B35D44C"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4B1E3203"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60718517" w14:textId="77777777" w:rsidR="00CD0355" w:rsidRPr="0037762C" w:rsidRDefault="00CD0355" w:rsidP="00CD0355">
            <w:pPr>
              <w:jc w:val="center"/>
              <w:rPr>
                <w:sz w:val="16"/>
                <w:szCs w:val="16"/>
              </w:rPr>
            </w:pPr>
            <w:r w:rsidRPr="0037762C">
              <w:rPr>
                <w:sz w:val="16"/>
                <w:szCs w:val="16"/>
              </w:rPr>
              <w:t>$25.00</w:t>
            </w:r>
          </w:p>
        </w:tc>
      </w:tr>
      <w:tr w:rsidR="00CD0355" w:rsidRPr="00FD217D" w14:paraId="1E1F42D4" w14:textId="77777777" w:rsidTr="00CD0355">
        <w:trPr>
          <w:jc w:val="center"/>
        </w:trPr>
        <w:tc>
          <w:tcPr>
            <w:tcW w:w="1229" w:type="dxa"/>
            <w:noWrap/>
            <w:vAlign w:val="bottom"/>
            <w:hideMark/>
          </w:tcPr>
          <w:p w14:paraId="1F46D114" w14:textId="77777777" w:rsidR="00CD0355" w:rsidRPr="0037762C" w:rsidRDefault="00CD0355" w:rsidP="00CD0355">
            <w:pPr>
              <w:rPr>
                <w:bCs/>
                <w:sz w:val="16"/>
                <w:szCs w:val="16"/>
              </w:rPr>
            </w:pPr>
            <w:r w:rsidRPr="0037762C">
              <w:rPr>
                <w:bCs/>
                <w:sz w:val="16"/>
                <w:szCs w:val="16"/>
              </w:rPr>
              <w:t>Basil, Sweet</w:t>
            </w:r>
          </w:p>
        </w:tc>
        <w:tc>
          <w:tcPr>
            <w:tcW w:w="900" w:type="dxa"/>
            <w:noWrap/>
            <w:vAlign w:val="center"/>
            <w:hideMark/>
          </w:tcPr>
          <w:p w14:paraId="7ACFB4B8"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D54E97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D8E1098" w14:textId="77777777" w:rsidR="00CD0355" w:rsidRPr="0037762C" w:rsidRDefault="00CD0355" w:rsidP="00CD0355">
            <w:pPr>
              <w:jc w:val="center"/>
              <w:rPr>
                <w:sz w:val="16"/>
                <w:szCs w:val="16"/>
              </w:rPr>
            </w:pPr>
            <w:r w:rsidRPr="0037762C">
              <w:rPr>
                <w:sz w:val="16"/>
                <w:szCs w:val="16"/>
              </w:rPr>
              <w:t>$25.00</w:t>
            </w:r>
          </w:p>
        </w:tc>
      </w:tr>
      <w:tr w:rsidR="00CD0355" w:rsidRPr="00FD217D" w14:paraId="003962C6" w14:textId="77777777" w:rsidTr="00CD0355">
        <w:trPr>
          <w:jc w:val="center"/>
        </w:trPr>
        <w:tc>
          <w:tcPr>
            <w:tcW w:w="1229" w:type="dxa"/>
            <w:noWrap/>
            <w:vAlign w:val="bottom"/>
            <w:hideMark/>
          </w:tcPr>
          <w:p w14:paraId="30538DEB" w14:textId="77777777" w:rsidR="00CD0355" w:rsidRPr="0037762C" w:rsidRDefault="00CD0355" w:rsidP="00CD0355">
            <w:pPr>
              <w:rPr>
                <w:bCs/>
                <w:sz w:val="16"/>
                <w:szCs w:val="16"/>
              </w:rPr>
            </w:pPr>
            <w:r w:rsidRPr="0037762C">
              <w:rPr>
                <w:bCs/>
                <w:sz w:val="16"/>
                <w:szCs w:val="16"/>
              </w:rPr>
              <w:t>Bean</w:t>
            </w:r>
          </w:p>
        </w:tc>
        <w:tc>
          <w:tcPr>
            <w:tcW w:w="900" w:type="dxa"/>
            <w:noWrap/>
            <w:vAlign w:val="center"/>
            <w:hideMark/>
          </w:tcPr>
          <w:p w14:paraId="10782E1E"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6D8DDBC9"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6359245" w14:textId="77777777" w:rsidR="00CD0355" w:rsidRPr="0037762C" w:rsidRDefault="00CD0355" w:rsidP="00CD0355">
            <w:pPr>
              <w:jc w:val="center"/>
              <w:rPr>
                <w:sz w:val="16"/>
                <w:szCs w:val="16"/>
              </w:rPr>
            </w:pPr>
            <w:r w:rsidRPr="0037762C">
              <w:rPr>
                <w:sz w:val="16"/>
                <w:szCs w:val="16"/>
              </w:rPr>
              <w:t>$25.00</w:t>
            </w:r>
          </w:p>
        </w:tc>
      </w:tr>
      <w:tr w:rsidR="00CD0355" w:rsidRPr="00FD217D" w14:paraId="3B3D2A64" w14:textId="77777777" w:rsidTr="00CD0355">
        <w:trPr>
          <w:jc w:val="center"/>
        </w:trPr>
        <w:tc>
          <w:tcPr>
            <w:tcW w:w="1229" w:type="dxa"/>
            <w:noWrap/>
            <w:vAlign w:val="bottom"/>
            <w:hideMark/>
          </w:tcPr>
          <w:p w14:paraId="348EE33A" w14:textId="77777777" w:rsidR="00CD0355" w:rsidRPr="0037762C" w:rsidRDefault="00CD0355" w:rsidP="00CD0355">
            <w:pPr>
              <w:rPr>
                <w:bCs/>
                <w:sz w:val="16"/>
                <w:szCs w:val="16"/>
              </w:rPr>
            </w:pPr>
            <w:r w:rsidRPr="0037762C">
              <w:rPr>
                <w:bCs/>
                <w:sz w:val="16"/>
                <w:szCs w:val="16"/>
              </w:rPr>
              <w:t>Beet</w:t>
            </w:r>
          </w:p>
        </w:tc>
        <w:tc>
          <w:tcPr>
            <w:tcW w:w="900" w:type="dxa"/>
            <w:noWrap/>
            <w:vAlign w:val="center"/>
            <w:hideMark/>
          </w:tcPr>
          <w:p w14:paraId="68B002BC"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4365C648"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327485C8" w14:textId="77777777" w:rsidR="00CD0355" w:rsidRPr="0037762C" w:rsidRDefault="00CD0355" w:rsidP="00CD0355">
            <w:pPr>
              <w:jc w:val="center"/>
              <w:rPr>
                <w:sz w:val="16"/>
                <w:szCs w:val="16"/>
              </w:rPr>
            </w:pPr>
            <w:r w:rsidRPr="0037762C">
              <w:rPr>
                <w:sz w:val="16"/>
                <w:szCs w:val="16"/>
              </w:rPr>
              <w:t>$25.00</w:t>
            </w:r>
          </w:p>
        </w:tc>
      </w:tr>
      <w:tr w:rsidR="00CD0355" w:rsidRPr="00FD217D" w14:paraId="7F1920F8" w14:textId="77777777" w:rsidTr="00CD0355">
        <w:trPr>
          <w:jc w:val="center"/>
        </w:trPr>
        <w:tc>
          <w:tcPr>
            <w:tcW w:w="1229" w:type="dxa"/>
            <w:noWrap/>
            <w:vAlign w:val="bottom"/>
            <w:hideMark/>
          </w:tcPr>
          <w:p w14:paraId="349004E9" w14:textId="77777777" w:rsidR="00CD0355" w:rsidRPr="0037762C" w:rsidRDefault="00CD0355" w:rsidP="00CD0355">
            <w:pPr>
              <w:rPr>
                <w:bCs/>
                <w:sz w:val="16"/>
                <w:szCs w:val="16"/>
              </w:rPr>
            </w:pPr>
            <w:r w:rsidRPr="0037762C">
              <w:rPr>
                <w:bCs/>
                <w:sz w:val="16"/>
                <w:szCs w:val="16"/>
              </w:rPr>
              <w:t>Bentgrass</w:t>
            </w:r>
          </w:p>
        </w:tc>
        <w:tc>
          <w:tcPr>
            <w:tcW w:w="900" w:type="dxa"/>
            <w:noWrap/>
            <w:vAlign w:val="center"/>
            <w:hideMark/>
          </w:tcPr>
          <w:p w14:paraId="14193C88"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2733F7BD"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0FB3C855" w14:textId="77777777" w:rsidR="00CD0355" w:rsidRPr="0037762C" w:rsidRDefault="00CD0355" w:rsidP="00CD0355">
            <w:pPr>
              <w:jc w:val="center"/>
              <w:rPr>
                <w:sz w:val="16"/>
                <w:szCs w:val="16"/>
              </w:rPr>
            </w:pPr>
            <w:r w:rsidRPr="0037762C">
              <w:rPr>
                <w:sz w:val="16"/>
                <w:szCs w:val="16"/>
              </w:rPr>
              <w:t>$25.00</w:t>
            </w:r>
          </w:p>
        </w:tc>
      </w:tr>
      <w:tr w:rsidR="00CD0355" w:rsidRPr="00FD217D" w14:paraId="2B032BFE" w14:textId="77777777" w:rsidTr="00CD0355">
        <w:trPr>
          <w:jc w:val="center"/>
        </w:trPr>
        <w:tc>
          <w:tcPr>
            <w:tcW w:w="1229" w:type="dxa"/>
            <w:noWrap/>
            <w:vAlign w:val="bottom"/>
            <w:hideMark/>
          </w:tcPr>
          <w:p w14:paraId="0212BDDD" w14:textId="77777777" w:rsidR="00CD0355" w:rsidRPr="0037762C" w:rsidRDefault="00CD0355" w:rsidP="00CD0355">
            <w:pPr>
              <w:rPr>
                <w:bCs/>
                <w:sz w:val="16"/>
                <w:szCs w:val="16"/>
              </w:rPr>
            </w:pPr>
            <w:r w:rsidRPr="0037762C">
              <w:rPr>
                <w:bCs/>
                <w:sz w:val="16"/>
                <w:szCs w:val="16"/>
              </w:rPr>
              <w:t>Bermudagrass</w:t>
            </w:r>
          </w:p>
        </w:tc>
        <w:tc>
          <w:tcPr>
            <w:tcW w:w="900" w:type="dxa"/>
            <w:noWrap/>
            <w:vAlign w:val="center"/>
            <w:hideMark/>
          </w:tcPr>
          <w:p w14:paraId="240A6CD4"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3EFDB492"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26050E52" w14:textId="77777777" w:rsidR="00CD0355" w:rsidRPr="0037762C" w:rsidRDefault="00CD0355" w:rsidP="00CD0355">
            <w:pPr>
              <w:jc w:val="center"/>
              <w:rPr>
                <w:sz w:val="16"/>
                <w:szCs w:val="16"/>
              </w:rPr>
            </w:pPr>
            <w:r w:rsidRPr="0037762C">
              <w:rPr>
                <w:sz w:val="16"/>
                <w:szCs w:val="16"/>
              </w:rPr>
              <w:t>$25.00</w:t>
            </w:r>
          </w:p>
        </w:tc>
      </w:tr>
      <w:tr w:rsidR="00CD0355" w:rsidRPr="00FD217D" w14:paraId="2164FA16" w14:textId="77777777" w:rsidTr="00CD0355">
        <w:trPr>
          <w:jc w:val="center"/>
        </w:trPr>
        <w:tc>
          <w:tcPr>
            <w:tcW w:w="1229" w:type="dxa"/>
            <w:noWrap/>
            <w:vAlign w:val="bottom"/>
            <w:hideMark/>
          </w:tcPr>
          <w:p w14:paraId="33BB7EB3" w14:textId="77777777" w:rsidR="00CD0355" w:rsidRPr="0037762C" w:rsidRDefault="00CD0355" w:rsidP="00CD0355">
            <w:pPr>
              <w:rPr>
                <w:bCs/>
                <w:sz w:val="16"/>
                <w:szCs w:val="16"/>
              </w:rPr>
            </w:pPr>
            <w:r w:rsidRPr="0037762C">
              <w:rPr>
                <w:bCs/>
                <w:sz w:val="16"/>
                <w:szCs w:val="16"/>
              </w:rPr>
              <w:t>Bluegrass</w:t>
            </w:r>
          </w:p>
        </w:tc>
        <w:tc>
          <w:tcPr>
            <w:tcW w:w="900" w:type="dxa"/>
            <w:noWrap/>
            <w:vAlign w:val="center"/>
            <w:hideMark/>
          </w:tcPr>
          <w:p w14:paraId="3AF8612F"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65B51ED7"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706D04FB" w14:textId="77777777" w:rsidR="00CD0355" w:rsidRPr="0037762C" w:rsidRDefault="00CD0355" w:rsidP="00CD0355">
            <w:pPr>
              <w:jc w:val="center"/>
              <w:rPr>
                <w:sz w:val="16"/>
                <w:szCs w:val="16"/>
              </w:rPr>
            </w:pPr>
            <w:r w:rsidRPr="0037762C">
              <w:rPr>
                <w:sz w:val="16"/>
                <w:szCs w:val="16"/>
              </w:rPr>
              <w:t>$25.00</w:t>
            </w:r>
          </w:p>
        </w:tc>
      </w:tr>
      <w:tr w:rsidR="00CD0355" w:rsidRPr="00FD217D" w14:paraId="00C079C2" w14:textId="77777777" w:rsidTr="00CD0355">
        <w:trPr>
          <w:jc w:val="center"/>
        </w:trPr>
        <w:tc>
          <w:tcPr>
            <w:tcW w:w="1229" w:type="dxa"/>
            <w:noWrap/>
            <w:vAlign w:val="bottom"/>
            <w:hideMark/>
          </w:tcPr>
          <w:p w14:paraId="39DADCDC" w14:textId="77777777" w:rsidR="00CD0355" w:rsidRPr="0037762C" w:rsidRDefault="00CD0355" w:rsidP="00CD0355">
            <w:pPr>
              <w:rPr>
                <w:bCs/>
                <w:sz w:val="16"/>
                <w:szCs w:val="16"/>
              </w:rPr>
            </w:pPr>
            <w:r w:rsidRPr="0037762C">
              <w:rPr>
                <w:bCs/>
                <w:sz w:val="16"/>
                <w:szCs w:val="16"/>
              </w:rPr>
              <w:t>Broccoli</w:t>
            </w:r>
          </w:p>
        </w:tc>
        <w:tc>
          <w:tcPr>
            <w:tcW w:w="900" w:type="dxa"/>
            <w:noWrap/>
            <w:vAlign w:val="center"/>
            <w:hideMark/>
          </w:tcPr>
          <w:p w14:paraId="1C57A69C"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699F7B79"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2650B1C4" w14:textId="77777777" w:rsidR="00CD0355" w:rsidRPr="0037762C" w:rsidRDefault="00CD0355" w:rsidP="00CD0355">
            <w:pPr>
              <w:jc w:val="center"/>
              <w:rPr>
                <w:sz w:val="16"/>
                <w:szCs w:val="16"/>
              </w:rPr>
            </w:pPr>
            <w:r w:rsidRPr="0037762C">
              <w:rPr>
                <w:sz w:val="16"/>
                <w:szCs w:val="16"/>
              </w:rPr>
              <w:t>$25.00</w:t>
            </w:r>
          </w:p>
        </w:tc>
      </w:tr>
      <w:tr w:rsidR="00CD0355" w:rsidRPr="00FD217D" w14:paraId="3BA16196" w14:textId="77777777" w:rsidTr="00CD0355">
        <w:trPr>
          <w:jc w:val="center"/>
        </w:trPr>
        <w:tc>
          <w:tcPr>
            <w:tcW w:w="1229" w:type="dxa"/>
            <w:noWrap/>
            <w:vAlign w:val="bottom"/>
            <w:hideMark/>
          </w:tcPr>
          <w:p w14:paraId="730BBAE0" w14:textId="77777777" w:rsidR="00CD0355" w:rsidRPr="0037762C" w:rsidRDefault="00CD0355" w:rsidP="00CD0355">
            <w:pPr>
              <w:ind w:right="-108"/>
              <w:rPr>
                <w:bCs/>
                <w:sz w:val="16"/>
                <w:szCs w:val="16"/>
              </w:rPr>
            </w:pPr>
            <w:r w:rsidRPr="0037762C">
              <w:rPr>
                <w:bCs/>
                <w:sz w:val="16"/>
                <w:szCs w:val="16"/>
              </w:rPr>
              <w:t>Brussels Sprouts</w:t>
            </w:r>
          </w:p>
        </w:tc>
        <w:tc>
          <w:tcPr>
            <w:tcW w:w="900" w:type="dxa"/>
            <w:noWrap/>
            <w:vAlign w:val="center"/>
            <w:hideMark/>
          </w:tcPr>
          <w:p w14:paraId="240D1472"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24D61C2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4503BE1E" w14:textId="77777777" w:rsidR="00CD0355" w:rsidRPr="0037762C" w:rsidRDefault="00CD0355" w:rsidP="00CD0355">
            <w:pPr>
              <w:jc w:val="center"/>
              <w:rPr>
                <w:sz w:val="16"/>
                <w:szCs w:val="16"/>
              </w:rPr>
            </w:pPr>
            <w:r w:rsidRPr="0037762C">
              <w:rPr>
                <w:sz w:val="16"/>
                <w:szCs w:val="16"/>
              </w:rPr>
              <w:t>$25.00</w:t>
            </w:r>
          </w:p>
        </w:tc>
      </w:tr>
      <w:tr w:rsidR="00CD0355" w:rsidRPr="00FD217D" w14:paraId="33F7646D" w14:textId="77777777" w:rsidTr="00CD0355">
        <w:trPr>
          <w:jc w:val="center"/>
        </w:trPr>
        <w:tc>
          <w:tcPr>
            <w:tcW w:w="1229" w:type="dxa"/>
            <w:noWrap/>
            <w:vAlign w:val="bottom"/>
            <w:hideMark/>
          </w:tcPr>
          <w:p w14:paraId="3929856B" w14:textId="77777777" w:rsidR="00CD0355" w:rsidRPr="0037762C" w:rsidRDefault="00CD0355" w:rsidP="00CD0355">
            <w:pPr>
              <w:rPr>
                <w:bCs/>
                <w:sz w:val="16"/>
                <w:szCs w:val="16"/>
              </w:rPr>
            </w:pPr>
            <w:r w:rsidRPr="0037762C">
              <w:rPr>
                <w:bCs/>
                <w:sz w:val="16"/>
                <w:szCs w:val="16"/>
              </w:rPr>
              <w:t>Buckwheat</w:t>
            </w:r>
          </w:p>
        </w:tc>
        <w:tc>
          <w:tcPr>
            <w:tcW w:w="900" w:type="dxa"/>
            <w:noWrap/>
            <w:vAlign w:val="center"/>
            <w:hideMark/>
          </w:tcPr>
          <w:p w14:paraId="08F0301E"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172A500"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2630AA06" w14:textId="77777777" w:rsidR="00CD0355" w:rsidRPr="0037762C" w:rsidRDefault="00CD0355" w:rsidP="00CD0355">
            <w:pPr>
              <w:jc w:val="center"/>
              <w:rPr>
                <w:sz w:val="16"/>
                <w:szCs w:val="16"/>
              </w:rPr>
            </w:pPr>
            <w:r w:rsidRPr="0037762C">
              <w:rPr>
                <w:sz w:val="16"/>
                <w:szCs w:val="16"/>
              </w:rPr>
              <w:t>$25.00</w:t>
            </w:r>
          </w:p>
        </w:tc>
      </w:tr>
      <w:tr w:rsidR="00CD0355" w:rsidRPr="00FD217D" w14:paraId="250A56AB" w14:textId="77777777" w:rsidTr="00CD0355">
        <w:trPr>
          <w:jc w:val="center"/>
        </w:trPr>
        <w:tc>
          <w:tcPr>
            <w:tcW w:w="1229" w:type="dxa"/>
            <w:noWrap/>
            <w:vAlign w:val="bottom"/>
            <w:hideMark/>
          </w:tcPr>
          <w:p w14:paraId="34D46A13" w14:textId="77777777" w:rsidR="00CD0355" w:rsidRPr="0037762C" w:rsidRDefault="00CD0355" w:rsidP="00CD0355">
            <w:pPr>
              <w:rPr>
                <w:bCs/>
                <w:sz w:val="16"/>
                <w:szCs w:val="16"/>
              </w:rPr>
            </w:pPr>
            <w:r w:rsidRPr="0037762C">
              <w:rPr>
                <w:bCs/>
                <w:sz w:val="16"/>
                <w:szCs w:val="16"/>
              </w:rPr>
              <w:t>Cabbage</w:t>
            </w:r>
          </w:p>
        </w:tc>
        <w:tc>
          <w:tcPr>
            <w:tcW w:w="900" w:type="dxa"/>
            <w:noWrap/>
            <w:vAlign w:val="center"/>
            <w:hideMark/>
          </w:tcPr>
          <w:p w14:paraId="53F62D23"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262E6BD3"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5DEB4030" w14:textId="77777777" w:rsidR="00CD0355" w:rsidRPr="0037762C" w:rsidRDefault="00CD0355" w:rsidP="00CD0355">
            <w:pPr>
              <w:jc w:val="center"/>
              <w:rPr>
                <w:sz w:val="16"/>
                <w:szCs w:val="16"/>
              </w:rPr>
            </w:pPr>
            <w:r w:rsidRPr="0037762C">
              <w:rPr>
                <w:sz w:val="16"/>
                <w:szCs w:val="16"/>
              </w:rPr>
              <w:t>$25.00</w:t>
            </w:r>
          </w:p>
        </w:tc>
      </w:tr>
      <w:tr w:rsidR="00CD0355" w:rsidRPr="00FD217D" w14:paraId="65258396" w14:textId="77777777" w:rsidTr="00CD0355">
        <w:trPr>
          <w:jc w:val="center"/>
        </w:trPr>
        <w:tc>
          <w:tcPr>
            <w:tcW w:w="1229" w:type="dxa"/>
            <w:noWrap/>
            <w:vAlign w:val="bottom"/>
            <w:hideMark/>
          </w:tcPr>
          <w:p w14:paraId="18ABA0CF" w14:textId="77777777" w:rsidR="00CD0355" w:rsidRPr="0037762C" w:rsidRDefault="00CD0355" w:rsidP="00CD0355">
            <w:pPr>
              <w:rPr>
                <w:bCs/>
                <w:sz w:val="16"/>
                <w:szCs w:val="16"/>
              </w:rPr>
            </w:pPr>
            <w:r w:rsidRPr="0037762C">
              <w:rPr>
                <w:bCs/>
                <w:sz w:val="16"/>
                <w:szCs w:val="16"/>
              </w:rPr>
              <w:t>Cantaloupe</w:t>
            </w:r>
          </w:p>
        </w:tc>
        <w:tc>
          <w:tcPr>
            <w:tcW w:w="900" w:type="dxa"/>
            <w:noWrap/>
            <w:vAlign w:val="center"/>
            <w:hideMark/>
          </w:tcPr>
          <w:p w14:paraId="0B44F201"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6F04CACE"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25E534C0" w14:textId="77777777" w:rsidR="00CD0355" w:rsidRPr="0037762C" w:rsidRDefault="00CD0355" w:rsidP="00CD0355">
            <w:pPr>
              <w:jc w:val="center"/>
              <w:rPr>
                <w:sz w:val="16"/>
                <w:szCs w:val="16"/>
              </w:rPr>
            </w:pPr>
            <w:r w:rsidRPr="0037762C">
              <w:rPr>
                <w:sz w:val="16"/>
                <w:szCs w:val="16"/>
              </w:rPr>
              <w:t>$25.00</w:t>
            </w:r>
          </w:p>
        </w:tc>
      </w:tr>
      <w:tr w:rsidR="00CD0355" w:rsidRPr="00FD217D" w14:paraId="43A215B0" w14:textId="77777777" w:rsidTr="00CD0355">
        <w:trPr>
          <w:jc w:val="center"/>
        </w:trPr>
        <w:tc>
          <w:tcPr>
            <w:tcW w:w="1229" w:type="dxa"/>
            <w:noWrap/>
            <w:vAlign w:val="bottom"/>
            <w:hideMark/>
          </w:tcPr>
          <w:p w14:paraId="6B360986" w14:textId="77777777" w:rsidR="00CD0355" w:rsidRPr="0037762C" w:rsidRDefault="00CD0355" w:rsidP="00CD0355">
            <w:pPr>
              <w:rPr>
                <w:bCs/>
                <w:sz w:val="16"/>
                <w:szCs w:val="16"/>
              </w:rPr>
            </w:pPr>
            <w:r w:rsidRPr="0037762C">
              <w:rPr>
                <w:bCs/>
                <w:sz w:val="16"/>
                <w:szCs w:val="16"/>
              </w:rPr>
              <w:t>Carpetgrass</w:t>
            </w:r>
          </w:p>
        </w:tc>
        <w:tc>
          <w:tcPr>
            <w:tcW w:w="900" w:type="dxa"/>
            <w:noWrap/>
            <w:vAlign w:val="center"/>
            <w:hideMark/>
          </w:tcPr>
          <w:p w14:paraId="1318596F"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282BC5A0"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32495DD9" w14:textId="77777777" w:rsidR="00CD0355" w:rsidRPr="0037762C" w:rsidRDefault="00CD0355" w:rsidP="00CD0355">
            <w:pPr>
              <w:jc w:val="center"/>
              <w:rPr>
                <w:sz w:val="16"/>
                <w:szCs w:val="16"/>
              </w:rPr>
            </w:pPr>
            <w:r w:rsidRPr="0037762C">
              <w:rPr>
                <w:sz w:val="16"/>
                <w:szCs w:val="16"/>
              </w:rPr>
              <w:t>$25.00</w:t>
            </w:r>
          </w:p>
        </w:tc>
      </w:tr>
      <w:tr w:rsidR="00CD0355" w:rsidRPr="00FD217D" w14:paraId="52A645B2" w14:textId="77777777" w:rsidTr="00CD0355">
        <w:trPr>
          <w:jc w:val="center"/>
        </w:trPr>
        <w:tc>
          <w:tcPr>
            <w:tcW w:w="1229" w:type="dxa"/>
            <w:noWrap/>
            <w:vAlign w:val="bottom"/>
            <w:hideMark/>
          </w:tcPr>
          <w:p w14:paraId="3C26E232" w14:textId="77777777" w:rsidR="00CD0355" w:rsidRPr="0037762C" w:rsidRDefault="00CD0355" w:rsidP="00CD0355">
            <w:pPr>
              <w:rPr>
                <w:bCs/>
                <w:sz w:val="16"/>
                <w:szCs w:val="16"/>
              </w:rPr>
            </w:pPr>
            <w:r w:rsidRPr="0037762C">
              <w:rPr>
                <w:bCs/>
                <w:sz w:val="16"/>
                <w:szCs w:val="16"/>
              </w:rPr>
              <w:t>Carrot</w:t>
            </w:r>
          </w:p>
        </w:tc>
        <w:tc>
          <w:tcPr>
            <w:tcW w:w="900" w:type="dxa"/>
            <w:noWrap/>
            <w:vAlign w:val="center"/>
            <w:hideMark/>
          </w:tcPr>
          <w:p w14:paraId="3AC0692A"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28F314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4A62FD8F" w14:textId="77777777" w:rsidR="00CD0355" w:rsidRPr="0037762C" w:rsidRDefault="00CD0355" w:rsidP="00CD0355">
            <w:pPr>
              <w:jc w:val="center"/>
              <w:rPr>
                <w:sz w:val="16"/>
                <w:szCs w:val="16"/>
              </w:rPr>
            </w:pPr>
            <w:r w:rsidRPr="0037762C">
              <w:rPr>
                <w:sz w:val="16"/>
                <w:szCs w:val="16"/>
              </w:rPr>
              <w:t>$25.00</w:t>
            </w:r>
          </w:p>
        </w:tc>
      </w:tr>
      <w:tr w:rsidR="00CD0355" w:rsidRPr="00FD217D" w14:paraId="3AB268EF" w14:textId="77777777" w:rsidTr="00CD0355">
        <w:trPr>
          <w:jc w:val="center"/>
        </w:trPr>
        <w:tc>
          <w:tcPr>
            <w:tcW w:w="1229" w:type="dxa"/>
            <w:noWrap/>
            <w:vAlign w:val="bottom"/>
            <w:hideMark/>
          </w:tcPr>
          <w:p w14:paraId="4FCC99FA" w14:textId="77777777" w:rsidR="00CD0355" w:rsidRPr="0037762C" w:rsidRDefault="00CD0355" w:rsidP="00CD0355">
            <w:pPr>
              <w:rPr>
                <w:bCs/>
                <w:sz w:val="16"/>
                <w:szCs w:val="16"/>
              </w:rPr>
            </w:pPr>
            <w:r w:rsidRPr="0037762C">
              <w:rPr>
                <w:bCs/>
                <w:sz w:val="16"/>
                <w:szCs w:val="16"/>
              </w:rPr>
              <w:t>Cauliflower</w:t>
            </w:r>
          </w:p>
        </w:tc>
        <w:tc>
          <w:tcPr>
            <w:tcW w:w="900" w:type="dxa"/>
            <w:noWrap/>
            <w:vAlign w:val="center"/>
            <w:hideMark/>
          </w:tcPr>
          <w:p w14:paraId="773BDD44"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4EA4648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13B24FF7" w14:textId="77777777" w:rsidR="00CD0355" w:rsidRPr="0037762C" w:rsidRDefault="00CD0355" w:rsidP="00CD0355">
            <w:pPr>
              <w:jc w:val="center"/>
              <w:rPr>
                <w:sz w:val="16"/>
                <w:szCs w:val="16"/>
              </w:rPr>
            </w:pPr>
            <w:r w:rsidRPr="0037762C">
              <w:rPr>
                <w:sz w:val="16"/>
                <w:szCs w:val="16"/>
              </w:rPr>
              <w:t>$25.00</w:t>
            </w:r>
          </w:p>
        </w:tc>
      </w:tr>
      <w:tr w:rsidR="00CD0355" w:rsidRPr="00FD217D" w14:paraId="10C2C2AA" w14:textId="77777777" w:rsidTr="00CD0355">
        <w:trPr>
          <w:jc w:val="center"/>
        </w:trPr>
        <w:tc>
          <w:tcPr>
            <w:tcW w:w="1229" w:type="dxa"/>
            <w:noWrap/>
            <w:vAlign w:val="bottom"/>
            <w:hideMark/>
          </w:tcPr>
          <w:p w14:paraId="6970671F" w14:textId="77777777" w:rsidR="00CD0355" w:rsidRPr="0037762C" w:rsidRDefault="00CD0355" w:rsidP="00CD0355">
            <w:pPr>
              <w:rPr>
                <w:bCs/>
                <w:sz w:val="16"/>
                <w:szCs w:val="16"/>
              </w:rPr>
            </w:pPr>
            <w:r w:rsidRPr="0037762C">
              <w:rPr>
                <w:bCs/>
                <w:sz w:val="16"/>
                <w:szCs w:val="16"/>
              </w:rPr>
              <w:t>Celery</w:t>
            </w:r>
          </w:p>
        </w:tc>
        <w:tc>
          <w:tcPr>
            <w:tcW w:w="900" w:type="dxa"/>
            <w:noWrap/>
            <w:vAlign w:val="center"/>
            <w:hideMark/>
          </w:tcPr>
          <w:p w14:paraId="18310959"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2C406331"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3D2A09B2" w14:textId="77777777" w:rsidR="00CD0355" w:rsidRPr="0037762C" w:rsidRDefault="00CD0355" w:rsidP="00CD0355">
            <w:pPr>
              <w:jc w:val="center"/>
              <w:rPr>
                <w:sz w:val="16"/>
                <w:szCs w:val="16"/>
              </w:rPr>
            </w:pPr>
            <w:r w:rsidRPr="0037762C">
              <w:rPr>
                <w:sz w:val="16"/>
                <w:szCs w:val="16"/>
              </w:rPr>
              <w:t>$25.00</w:t>
            </w:r>
          </w:p>
        </w:tc>
      </w:tr>
      <w:tr w:rsidR="00CD0355" w:rsidRPr="00FD217D" w14:paraId="22B04079" w14:textId="77777777" w:rsidTr="00CD0355">
        <w:trPr>
          <w:jc w:val="center"/>
        </w:trPr>
        <w:tc>
          <w:tcPr>
            <w:tcW w:w="1229" w:type="dxa"/>
            <w:noWrap/>
            <w:vAlign w:val="bottom"/>
            <w:hideMark/>
          </w:tcPr>
          <w:p w14:paraId="1AB2B4CC" w14:textId="77777777" w:rsidR="00CD0355" w:rsidRPr="0037762C" w:rsidRDefault="00CD0355" w:rsidP="00CD0355">
            <w:pPr>
              <w:rPr>
                <w:bCs/>
                <w:sz w:val="16"/>
                <w:szCs w:val="16"/>
              </w:rPr>
            </w:pPr>
            <w:r w:rsidRPr="0037762C">
              <w:rPr>
                <w:bCs/>
                <w:sz w:val="16"/>
                <w:szCs w:val="16"/>
              </w:rPr>
              <w:t>Centipedegrass</w:t>
            </w:r>
          </w:p>
        </w:tc>
        <w:tc>
          <w:tcPr>
            <w:tcW w:w="900" w:type="dxa"/>
            <w:noWrap/>
            <w:vAlign w:val="center"/>
            <w:hideMark/>
          </w:tcPr>
          <w:p w14:paraId="54CEC30F"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1B1E0532"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69BA1478" w14:textId="77777777" w:rsidR="00CD0355" w:rsidRPr="0037762C" w:rsidRDefault="00CD0355" w:rsidP="00CD0355">
            <w:pPr>
              <w:jc w:val="center"/>
              <w:rPr>
                <w:sz w:val="16"/>
                <w:szCs w:val="16"/>
              </w:rPr>
            </w:pPr>
            <w:r w:rsidRPr="0037762C">
              <w:rPr>
                <w:sz w:val="16"/>
                <w:szCs w:val="16"/>
              </w:rPr>
              <w:t>$25.00</w:t>
            </w:r>
          </w:p>
        </w:tc>
      </w:tr>
      <w:tr w:rsidR="00CD0355" w:rsidRPr="00FD217D" w14:paraId="1DA12F06" w14:textId="77777777" w:rsidTr="00CD0355">
        <w:trPr>
          <w:jc w:val="center"/>
        </w:trPr>
        <w:tc>
          <w:tcPr>
            <w:tcW w:w="1229" w:type="dxa"/>
            <w:noWrap/>
            <w:vAlign w:val="bottom"/>
            <w:hideMark/>
          </w:tcPr>
          <w:p w14:paraId="5EA6259E" w14:textId="77777777" w:rsidR="00CD0355" w:rsidRPr="0037762C" w:rsidRDefault="00CD0355" w:rsidP="00CD0355">
            <w:pPr>
              <w:rPr>
                <w:bCs/>
                <w:sz w:val="16"/>
                <w:szCs w:val="16"/>
              </w:rPr>
            </w:pPr>
            <w:r w:rsidRPr="0037762C">
              <w:rPr>
                <w:bCs/>
                <w:sz w:val="16"/>
                <w:szCs w:val="16"/>
              </w:rPr>
              <w:t>Chicory</w:t>
            </w:r>
          </w:p>
        </w:tc>
        <w:tc>
          <w:tcPr>
            <w:tcW w:w="900" w:type="dxa"/>
            <w:noWrap/>
            <w:vAlign w:val="center"/>
            <w:hideMark/>
          </w:tcPr>
          <w:p w14:paraId="26FDF910"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7848AC68"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170B0A92" w14:textId="77777777" w:rsidR="00CD0355" w:rsidRPr="0037762C" w:rsidRDefault="00CD0355" w:rsidP="00CD0355">
            <w:pPr>
              <w:jc w:val="center"/>
              <w:rPr>
                <w:sz w:val="16"/>
                <w:szCs w:val="16"/>
              </w:rPr>
            </w:pPr>
            <w:r w:rsidRPr="0037762C">
              <w:rPr>
                <w:sz w:val="16"/>
                <w:szCs w:val="16"/>
              </w:rPr>
              <w:t>$25.00</w:t>
            </w:r>
          </w:p>
        </w:tc>
      </w:tr>
      <w:tr w:rsidR="00CD0355" w:rsidRPr="00FD217D" w14:paraId="796A3A8F" w14:textId="77777777" w:rsidTr="00CD0355">
        <w:trPr>
          <w:jc w:val="center"/>
        </w:trPr>
        <w:tc>
          <w:tcPr>
            <w:tcW w:w="1229" w:type="dxa"/>
            <w:noWrap/>
            <w:vAlign w:val="bottom"/>
            <w:hideMark/>
          </w:tcPr>
          <w:p w14:paraId="4B95C48F" w14:textId="77777777" w:rsidR="00CD0355" w:rsidRPr="0037762C" w:rsidRDefault="00CD0355" w:rsidP="00CD0355">
            <w:pPr>
              <w:rPr>
                <w:bCs/>
                <w:sz w:val="16"/>
                <w:szCs w:val="16"/>
              </w:rPr>
            </w:pPr>
            <w:r w:rsidRPr="0037762C">
              <w:rPr>
                <w:bCs/>
                <w:sz w:val="16"/>
                <w:szCs w:val="16"/>
              </w:rPr>
              <w:t>Chives</w:t>
            </w:r>
          </w:p>
        </w:tc>
        <w:tc>
          <w:tcPr>
            <w:tcW w:w="900" w:type="dxa"/>
            <w:noWrap/>
            <w:vAlign w:val="center"/>
            <w:hideMark/>
          </w:tcPr>
          <w:p w14:paraId="4BA27173"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31E717E7"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98CCB91" w14:textId="77777777" w:rsidR="00CD0355" w:rsidRPr="0037762C" w:rsidRDefault="00CD0355" w:rsidP="00CD0355">
            <w:pPr>
              <w:jc w:val="center"/>
              <w:rPr>
                <w:sz w:val="16"/>
                <w:szCs w:val="16"/>
              </w:rPr>
            </w:pPr>
            <w:r w:rsidRPr="0037762C">
              <w:rPr>
                <w:sz w:val="16"/>
                <w:szCs w:val="16"/>
              </w:rPr>
              <w:t>$25.00</w:t>
            </w:r>
          </w:p>
        </w:tc>
      </w:tr>
      <w:tr w:rsidR="00CD0355" w:rsidRPr="00FD217D" w14:paraId="6665E875" w14:textId="77777777" w:rsidTr="00CD0355">
        <w:trPr>
          <w:jc w:val="center"/>
        </w:trPr>
        <w:tc>
          <w:tcPr>
            <w:tcW w:w="1229" w:type="dxa"/>
            <w:noWrap/>
            <w:vAlign w:val="bottom"/>
            <w:hideMark/>
          </w:tcPr>
          <w:p w14:paraId="7B558BB0" w14:textId="77777777" w:rsidR="00CD0355" w:rsidRPr="0037762C" w:rsidRDefault="00CD0355" w:rsidP="00CD0355">
            <w:pPr>
              <w:rPr>
                <w:bCs/>
                <w:sz w:val="16"/>
                <w:szCs w:val="16"/>
              </w:rPr>
            </w:pPr>
            <w:r w:rsidRPr="0037762C">
              <w:rPr>
                <w:bCs/>
                <w:sz w:val="16"/>
                <w:szCs w:val="16"/>
              </w:rPr>
              <w:t>Chufa</w:t>
            </w:r>
          </w:p>
        </w:tc>
        <w:tc>
          <w:tcPr>
            <w:tcW w:w="900" w:type="dxa"/>
            <w:noWrap/>
            <w:vAlign w:val="center"/>
            <w:hideMark/>
          </w:tcPr>
          <w:p w14:paraId="1BDCD600"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20A899B"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694DBD59" w14:textId="77777777" w:rsidR="00CD0355" w:rsidRPr="0037762C" w:rsidRDefault="00CD0355" w:rsidP="00CD0355">
            <w:pPr>
              <w:jc w:val="center"/>
              <w:rPr>
                <w:sz w:val="16"/>
                <w:szCs w:val="16"/>
              </w:rPr>
            </w:pPr>
            <w:r w:rsidRPr="0037762C">
              <w:rPr>
                <w:sz w:val="16"/>
                <w:szCs w:val="16"/>
              </w:rPr>
              <w:t>$25.00</w:t>
            </w:r>
          </w:p>
        </w:tc>
      </w:tr>
      <w:tr w:rsidR="00CD0355" w:rsidRPr="00FD217D" w14:paraId="6169E9EF" w14:textId="77777777" w:rsidTr="00CD0355">
        <w:trPr>
          <w:jc w:val="center"/>
        </w:trPr>
        <w:tc>
          <w:tcPr>
            <w:tcW w:w="1229" w:type="dxa"/>
            <w:noWrap/>
            <w:vAlign w:val="bottom"/>
            <w:hideMark/>
          </w:tcPr>
          <w:p w14:paraId="6E93BB46" w14:textId="77777777" w:rsidR="00CD0355" w:rsidRPr="0037762C" w:rsidRDefault="00CD0355" w:rsidP="00CD0355">
            <w:pPr>
              <w:rPr>
                <w:bCs/>
                <w:sz w:val="16"/>
                <w:szCs w:val="16"/>
              </w:rPr>
            </w:pPr>
            <w:r w:rsidRPr="0037762C">
              <w:rPr>
                <w:bCs/>
                <w:sz w:val="16"/>
                <w:szCs w:val="16"/>
              </w:rPr>
              <w:t>Clover</w:t>
            </w:r>
          </w:p>
        </w:tc>
        <w:tc>
          <w:tcPr>
            <w:tcW w:w="900" w:type="dxa"/>
            <w:noWrap/>
            <w:vAlign w:val="center"/>
            <w:hideMark/>
          </w:tcPr>
          <w:p w14:paraId="3484666A"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5659BF42"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4C0B1D25" w14:textId="77777777" w:rsidR="00CD0355" w:rsidRPr="0037762C" w:rsidRDefault="00CD0355" w:rsidP="00CD0355">
            <w:pPr>
              <w:jc w:val="center"/>
              <w:rPr>
                <w:sz w:val="16"/>
                <w:szCs w:val="16"/>
              </w:rPr>
            </w:pPr>
            <w:r w:rsidRPr="0037762C">
              <w:rPr>
                <w:sz w:val="16"/>
                <w:szCs w:val="16"/>
              </w:rPr>
              <w:t>$25.00</w:t>
            </w:r>
          </w:p>
        </w:tc>
      </w:tr>
      <w:tr w:rsidR="00CD0355" w:rsidRPr="00FD217D" w14:paraId="2D2F4517" w14:textId="77777777" w:rsidTr="00CD0355">
        <w:trPr>
          <w:jc w:val="center"/>
        </w:trPr>
        <w:tc>
          <w:tcPr>
            <w:tcW w:w="1229" w:type="dxa"/>
            <w:noWrap/>
            <w:vAlign w:val="bottom"/>
            <w:hideMark/>
          </w:tcPr>
          <w:p w14:paraId="37405954" w14:textId="77777777" w:rsidR="00CD0355" w:rsidRPr="0037762C" w:rsidRDefault="00CD0355" w:rsidP="00CD0355">
            <w:pPr>
              <w:rPr>
                <w:bCs/>
                <w:sz w:val="16"/>
                <w:szCs w:val="16"/>
              </w:rPr>
            </w:pPr>
            <w:r w:rsidRPr="0037762C">
              <w:rPr>
                <w:bCs/>
                <w:sz w:val="16"/>
                <w:szCs w:val="16"/>
              </w:rPr>
              <w:t>Collards</w:t>
            </w:r>
          </w:p>
        </w:tc>
        <w:tc>
          <w:tcPr>
            <w:tcW w:w="900" w:type="dxa"/>
            <w:noWrap/>
            <w:vAlign w:val="center"/>
            <w:hideMark/>
          </w:tcPr>
          <w:p w14:paraId="3AAFCDBF"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574F740"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33E0413" w14:textId="77777777" w:rsidR="00CD0355" w:rsidRPr="0037762C" w:rsidRDefault="00CD0355" w:rsidP="00CD0355">
            <w:pPr>
              <w:jc w:val="center"/>
              <w:rPr>
                <w:sz w:val="16"/>
                <w:szCs w:val="16"/>
              </w:rPr>
            </w:pPr>
            <w:r w:rsidRPr="0037762C">
              <w:rPr>
                <w:sz w:val="16"/>
                <w:szCs w:val="16"/>
              </w:rPr>
              <w:t>$25.00</w:t>
            </w:r>
          </w:p>
        </w:tc>
      </w:tr>
      <w:tr w:rsidR="00CD0355" w:rsidRPr="00FD217D" w14:paraId="6F623402" w14:textId="77777777" w:rsidTr="00CD0355">
        <w:trPr>
          <w:jc w:val="center"/>
        </w:trPr>
        <w:tc>
          <w:tcPr>
            <w:tcW w:w="1229" w:type="dxa"/>
            <w:noWrap/>
            <w:vAlign w:val="bottom"/>
            <w:hideMark/>
          </w:tcPr>
          <w:p w14:paraId="097A4452" w14:textId="77777777" w:rsidR="00CD0355" w:rsidRPr="0037762C" w:rsidRDefault="00CD0355" w:rsidP="00CD0355">
            <w:pPr>
              <w:rPr>
                <w:bCs/>
                <w:sz w:val="16"/>
                <w:szCs w:val="16"/>
              </w:rPr>
            </w:pPr>
            <w:r w:rsidRPr="0037762C">
              <w:rPr>
                <w:bCs/>
                <w:sz w:val="16"/>
                <w:szCs w:val="16"/>
              </w:rPr>
              <w:t>Coriander</w:t>
            </w:r>
          </w:p>
        </w:tc>
        <w:tc>
          <w:tcPr>
            <w:tcW w:w="900" w:type="dxa"/>
            <w:noWrap/>
            <w:vAlign w:val="center"/>
            <w:hideMark/>
          </w:tcPr>
          <w:p w14:paraId="329BC3C6"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1CB24F6F"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F9E1A41" w14:textId="77777777" w:rsidR="00CD0355" w:rsidRPr="0037762C" w:rsidRDefault="00CD0355" w:rsidP="00CD0355">
            <w:pPr>
              <w:jc w:val="center"/>
              <w:rPr>
                <w:sz w:val="16"/>
                <w:szCs w:val="16"/>
              </w:rPr>
            </w:pPr>
            <w:r w:rsidRPr="0037762C">
              <w:rPr>
                <w:sz w:val="16"/>
                <w:szCs w:val="16"/>
              </w:rPr>
              <w:t>$25.00</w:t>
            </w:r>
          </w:p>
        </w:tc>
      </w:tr>
      <w:tr w:rsidR="00CD0355" w:rsidRPr="00FD217D" w14:paraId="07B97FD4" w14:textId="77777777" w:rsidTr="00CD0355">
        <w:trPr>
          <w:jc w:val="center"/>
        </w:trPr>
        <w:tc>
          <w:tcPr>
            <w:tcW w:w="1229" w:type="dxa"/>
            <w:noWrap/>
            <w:vAlign w:val="bottom"/>
            <w:hideMark/>
          </w:tcPr>
          <w:p w14:paraId="25722F6F" w14:textId="77777777" w:rsidR="00CD0355" w:rsidRPr="0037762C" w:rsidRDefault="00CD0355" w:rsidP="00CD0355">
            <w:pPr>
              <w:rPr>
                <w:bCs/>
                <w:sz w:val="16"/>
                <w:szCs w:val="16"/>
              </w:rPr>
            </w:pPr>
            <w:r w:rsidRPr="0037762C">
              <w:rPr>
                <w:bCs/>
                <w:sz w:val="16"/>
                <w:szCs w:val="16"/>
              </w:rPr>
              <w:t>Corn</w:t>
            </w:r>
          </w:p>
        </w:tc>
        <w:tc>
          <w:tcPr>
            <w:tcW w:w="900" w:type="dxa"/>
            <w:noWrap/>
            <w:vAlign w:val="center"/>
            <w:hideMark/>
          </w:tcPr>
          <w:p w14:paraId="28926ECC"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14B147C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01C4615" w14:textId="77777777" w:rsidR="00CD0355" w:rsidRPr="0037762C" w:rsidRDefault="00CD0355" w:rsidP="00CD0355">
            <w:pPr>
              <w:jc w:val="center"/>
              <w:rPr>
                <w:sz w:val="16"/>
                <w:szCs w:val="16"/>
              </w:rPr>
            </w:pPr>
            <w:r w:rsidRPr="0037762C">
              <w:rPr>
                <w:sz w:val="16"/>
                <w:szCs w:val="16"/>
              </w:rPr>
              <w:t>$25.00</w:t>
            </w:r>
          </w:p>
        </w:tc>
      </w:tr>
      <w:tr w:rsidR="00CD0355" w:rsidRPr="00FD217D" w14:paraId="366548F5" w14:textId="77777777" w:rsidTr="00CD0355">
        <w:trPr>
          <w:jc w:val="center"/>
        </w:trPr>
        <w:tc>
          <w:tcPr>
            <w:tcW w:w="1229" w:type="dxa"/>
            <w:noWrap/>
            <w:vAlign w:val="bottom"/>
            <w:hideMark/>
          </w:tcPr>
          <w:p w14:paraId="7269A694" w14:textId="77777777" w:rsidR="00CD0355" w:rsidRPr="0037762C" w:rsidRDefault="00CD0355" w:rsidP="00CD0355">
            <w:pPr>
              <w:rPr>
                <w:bCs/>
                <w:sz w:val="16"/>
                <w:szCs w:val="16"/>
              </w:rPr>
            </w:pPr>
            <w:r w:rsidRPr="0037762C">
              <w:rPr>
                <w:bCs/>
                <w:sz w:val="16"/>
                <w:szCs w:val="16"/>
              </w:rPr>
              <w:t>Cornsalad</w:t>
            </w:r>
          </w:p>
        </w:tc>
        <w:tc>
          <w:tcPr>
            <w:tcW w:w="900" w:type="dxa"/>
            <w:noWrap/>
            <w:vAlign w:val="center"/>
            <w:hideMark/>
          </w:tcPr>
          <w:p w14:paraId="5A286F4E"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5C42E0C5"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CB5D2D1" w14:textId="77777777" w:rsidR="00CD0355" w:rsidRPr="0037762C" w:rsidRDefault="00CD0355" w:rsidP="00CD0355">
            <w:pPr>
              <w:jc w:val="center"/>
              <w:rPr>
                <w:sz w:val="16"/>
                <w:szCs w:val="16"/>
              </w:rPr>
            </w:pPr>
            <w:r w:rsidRPr="0037762C">
              <w:rPr>
                <w:sz w:val="16"/>
                <w:szCs w:val="16"/>
              </w:rPr>
              <w:t>$25.00</w:t>
            </w:r>
          </w:p>
        </w:tc>
      </w:tr>
      <w:tr w:rsidR="00CD0355" w:rsidRPr="00FD217D" w14:paraId="6C1DA167" w14:textId="77777777" w:rsidTr="00CD0355">
        <w:trPr>
          <w:jc w:val="center"/>
        </w:trPr>
        <w:tc>
          <w:tcPr>
            <w:tcW w:w="1229" w:type="dxa"/>
            <w:noWrap/>
            <w:vAlign w:val="bottom"/>
            <w:hideMark/>
          </w:tcPr>
          <w:p w14:paraId="66ACBF36" w14:textId="77777777" w:rsidR="00CD0355" w:rsidRPr="0037762C" w:rsidRDefault="00CD0355" w:rsidP="00CD0355">
            <w:pPr>
              <w:rPr>
                <w:bCs/>
                <w:sz w:val="16"/>
                <w:szCs w:val="16"/>
              </w:rPr>
            </w:pPr>
            <w:r w:rsidRPr="0037762C">
              <w:rPr>
                <w:bCs/>
                <w:sz w:val="16"/>
                <w:szCs w:val="16"/>
              </w:rPr>
              <w:t>Cotton</w:t>
            </w:r>
          </w:p>
        </w:tc>
        <w:tc>
          <w:tcPr>
            <w:tcW w:w="900" w:type="dxa"/>
            <w:noWrap/>
            <w:vAlign w:val="center"/>
            <w:hideMark/>
          </w:tcPr>
          <w:p w14:paraId="0C305D27"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36724F2D"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5A54390E" w14:textId="77777777" w:rsidR="00CD0355" w:rsidRPr="0037762C" w:rsidRDefault="00CD0355" w:rsidP="00CD0355">
            <w:pPr>
              <w:jc w:val="center"/>
              <w:rPr>
                <w:sz w:val="16"/>
                <w:szCs w:val="16"/>
              </w:rPr>
            </w:pPr>
            <w:r w:rsidRPr="0037762C">
              <w:rPr>
                <w:sz w:val="16"/>
                <w:szCs w:val="16"/>
              </w:rPr>
              <w:t>$25.00</w:t>
            </w:r>
          </w:p>
        </w:tc>
      </w:tr>
      <w:tr w:rsidR="00CD0355" w:rsidRPr="00FD217D" w14:paraId="74C40AC1" w14:textId="77777777" w:rsidTr="00CD0355">
        <w:trPr>
          <w:jc w:val="center"/>
        </w:trPr>
        <w:tc>
          <w:tcPr>
            <w:tcW w:w="1229" w:type="dxa"/>
            <w:noWrap/>
            <w:vAlign w:val="bottom"/>
            <w:hideMark/>
          </w:tcPr>
          <w:p w14:paraId="47C5EC05" w14:textId="77777777" w:rsidR="00CD0355" w:rsidRPr="0037762C" w:rsidRDefault="00CD0355" w:rsidP="00CD0355">
            <w:pPr>
              <w:rPr>
                <w:bCs/>
                <w:sz w:val="16"/>
                <w:szCs w:val="16"/>
              </w:rPr>
            </w:pPr>
            <w:r w:rsidRPr="0037762C">
              <w:rPr>
                <w:bCs/>
                <w:sz w:val="16"/>
                <w:szCs w:val="16"/>
              </w:rPr>
              <w:t>Cucumber</w:t>
            </w:r>
          </w:p>
        </w:tc>
        <w:tc>
          <w:tcPr>
            <w:tcW w:w="900" w:type="dxa"/>
            <w:noWrap/>
            <w:vAlign w:val="center"/>
            <w:hideMark/>
          </w:tcPr>
          <w:p w14:paraId="0EFC628C"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35D4977"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2CD7FAFA" w14:textId="77777777" w:rsidR="00CD0355" w:rsidRPr="0037762C" w:rsidRDefault="00CD0355" w:rsidP="00CD0355">
            <w:pPr>
              <w:jc w:val="center"/>
              <w:rPr>
                <w:sz w:val="16"/>
                <w:szCs w:val="16"/>
              </w:rPr>
            </w:pPr>
            <w:r w:rsidRPr="0037762C">
              <w:rPr>
                <w:sz w:val="16"/>
                <w:szCs w:val="16"/>
              </w:rPr>
              <w:t>$25.00</w:t>
            </w:r>
          </w:p>
        </w:tc>
      </w:tr>
      <w:tr w:rsidR="00CD0355" w:rsidRPr="00FD217D" w14:paraId="44211883" w14:textId="77777777" w:rsidTr="00CD0355">
        <w:trPr>
          <w:jc w:val="center"/>
        </w:trPr>
        <w:tc>
          <w:tcPr>
            <w:tcW w:w="1229" w:type="dxa"/>
            <w:noWrap/>
            <w:vAlign w:val="bottom"/>
            <w:hideMark/>
          </w:tcPr>
          <w:p w14:paraId="1FDD8853" w14:textId="77777777" w:rsidR="00CD0355" w:rsidRPr="0037762C" w:rsidRDefault="00CD0355" w:rsidP="00CD0355">
            <w:pPr>
              <w:rPr>
                <w:bCs/>
                <w:sz w:val="16"/>
                <w:szCs w:val="16"/>
              </w:rPr>
            </w:pPr>
            <w:r w:rsidRPr="0037762C">
              <w:rPr>
                <w:bCs/>
                <w:sz w:val="16"/>
                <w:szCs w:val="16"/>
              </w:rPr>
              <w:t>Dill</w:t>
            </w:r>
          </w:p>
        </w:tc>
        <w:tc>
          <w:tcPr>
            <w:tcW w:w="900" w:type="dxa"/>
            <w:noWrap/>
            <w:vAlign w:val="center"/>
            <w:hideMark/>
          </w:tcPr>
          <w:p w14:paraId="10C39586"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3A4BE017"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BE0A4DB" w14:textId="77777777" w:rsidR="00CD0355" w:rsidRPr="0037762C" w:rsidRDefault="00CD0355" w:rsidP="00CD0355">
            <w:pPr>
              <w:jc w:val="center"/>
              <w:rPr>
                <w:sz w:val="16"/>
                <w:szCs w:val="16"/>
              </w:rPr>
            </w:pPr>
            <w:r w:rsidRPr="0037762C">
              <w:rPr>
                <w:sz w:val="16"/>
                <w:szCs w:val="16"/>
              </w:rPr>
              <w:t>$25.00</w:t>
            </w:r>
          </w:p>
        </w:tc>
      </w:tr>
      <w:tr w:rsidR="00CD0355" w:rsidRPr="00FD217D" w14:paraId="10B4E9FF" w14:textId="77777777" w:rsidTr="00CD0355">
        <w:trPr>
          <w:jc w:val="center"/>
        </w:trPr>
        <w:tc>
          <w:tcPr>
            <w:tcW w:w="1229" w:type="dxa"/>
            <w:noWrap/>
            <w:vAlign w:val="bottom"/>
            <w:hideMark/>
          </w:tcPr>
          <w:p w14:paraId="44B620D9" w14:textId="77777777" w:rsidR="00CD0355" w:rsidRPr="0037762C" w:rsidRDefault="00CD0355" w:rsidP="00CD0355">
            <w:pPr>
              <w:rPr>
                <w:bCs/>
                <w:sz w:val="16"/>
                <w:szCs w:val="16"/>
              </w:rPr>
            </w:pPr>
            <w:r w:rsidRPr="0037762C">
              <w:rPr>
                <w:bCs/>
                <w:sz w:val="16"/>
                <w:szCs w:val="16"/>
              </w:rPr>
              <w:t>Eggplant</w:t>
            </w:r>
          </w:p>
        </w:tc>
        <w:tc>
          <w:tcPr>
            <w:tcW w:w="900" w:type="dxa"/>
            <w:noWrap/>
            <w:vAlign w:val="center"/>
            <w:hideMark/>
          </w:tcPr>
          <w:p w14:paraId="1A16F4B5"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7DB68F5A"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5FA67A76" w14:textId="77777777" w:rsidR="00CD0355" w:rsidRPr="0037762C" w:rsidRDefault="00CD0355" w:rsidP="00CD0355">
            <w:pPr>
              <w:jc w:val="center"/>
              <w:rPr>
                <w:sz w:val="16"/>
                <w:szCs w:val="16"/>
              </w:rPr>
            </w:pPr>
            <w:r w:rsidRPr="0037762C">
              <w:rPr>
                <w:sz w:val="16"/>
                <w:szCs w:val="16"/>
              </w:rPr>
              <w:t>$25.00</w:t>
            </w:r>
          </w:p>
        </w:tc>
      </w:tr>
      <w:tr w:rsidR="00CD0355" w:rsidRPr="00FD217D" w14:paraId="72EAAB7B" w14:textId="77777777" w:rsidTr="00CD0355">
        <w:trPr>
          <w:jc w:val="center"/>
        </w:trPr>
        <w:tc>
          <w:tcPr>
            <w:tcW w:w="1229" w:type="dxa"/>
            <w:noWrap/>
            <w:vAlign w:val="bottom"/>
            <w:hideMark/>
          </w:tcPr>
          <w:p w14:paraId="0781890C" w14:textId="77777777" w:rsidR="00CD0355" w:rsidRPr="0037762C" w:rsidRDefault="00CD0355" w:rsidP="00CD0355">
            <w:pPr>
              <w:rPr>
                <w:bCs/>
                <w:sz w:val="16"/>
                <w:szCs w:val="16"/>
              </w:rPr>
            </w:pPr>
            <w:r w:rsidRPr="0037762C">
              <w:rPr>
                <w:bCs/>
                <w:sz w:val="16"/>
                <w:szCs w:val="16"/>
              </w:rPr>
              <w:t>Endive</w:t>
            </w:r>
          </w:p>
        </w:tc>
        <w:tc>
          <w:tcPr>
            <w:tcW w:w="900" w:type="dxa"/>
            <w:noWrap/>
            <w:vAlign w:val="center"/>
            <w:hideMark/>
          </w:tcPr>
          <w:p w14:paraId="0F7347B0"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5491D280"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9454EBD" w14:textId="77777777" w:rsidR="00CD0355" w:rsidRPr="0037762C" w:rsidRDefault="00CD0355" w:rsidP="00CD0355">
            <w:pPr>
              <w:jc w:val="center"/>
              <w:rPr>
                <w:sz w:val="16"/>
                <w:szCs w:val="16"/>
              </w:rPr>
            </w:pPr>
            <w:r w:rsidRPr="0037762C">
              <w:rPr>
                <w:sz w:val="16"/>
                <w:szCs w:val="16"/>
              </w:rPr>
              <w:t>$25.00</w:t>
            </w:r>
          </w:p>
        </w:tc>
      </w:tr>
      <w:tr w:rsidR="00CD0355" w:rsidRPr="00FD217D" w14:paraId="6E5BBA44" w14:textId="77777777" w:rsidTr="00CD0355">
        <w:trPr>
          <w:jc w:val="center"/>
        </w:trPr>
        <w:tc>
          <w:tcPr>
            <w:tcW w:w="1229" w:type="dxa"/>
            <w:noWrap/>
            <w:vAlign w:val="bottom"/>
            <w:hideMark/>
          </w:tcPr>
          <w:p w14:paraId="2FC19395" w14:textId="77777777" w:rsidR="00CD0355" w:rsidRPr="0037762C" w:rsidRDefault="00CD0355" w:rsidP="00CD0355">
            <w:pPr>
              <w:rPr>
                <w:bCs/>
                <w:sz w:val="16"/>
                <w:szCs w:val="16"/>
              </w:rPr>
            </w:pPr>
            <w:r w:rsidRPr="0037762C">
              <w:rPr>
                <w:bCs/>
                <w:sz w:val="16"/>
                <w:szCs w:val="16"/>
              </w:rPr>
              <w:t>Fescue</w:t>
            </w:r>
          </w:p>
        </w:tc>
        <w:tc>
          <w:tcPr>
            <w:tcW w:w="900" w:type="dxa"/>
            <w:noWrap/>
            <w:vAlign w:val="center"/>
            <w:hideMark/>
          </w:tcPr>
          <w:p w14:paraId="30478562" w14:textId="77777777" w:rsidR="00CD0355" w:rsidRPr="0037762C" w:rsidRDefault="00CD0355" w:rsidP="00CD0355">
            <w:pPr>
              <w:jc w:val="center"/>
              <w:rPr>
                <w:sz w:val="16"/>
                <w:szCs w:val="16"/>
              </w:rPr>
            </w:pPr>
            <w:r w:rsidRPr="0037762C">
              <w:rPr>
                <w:bCs/>
                <w:sz w:val="16"/>
                <w:szCs w:val="16"/>
              </w:rPr>
              <w:t>$20.00</w:t>
            </w:r>
          </w:p>
        </w:tc>
        <w:tc>
          <w:tcPr>
            <w:tcW w:w="1260" w:type="dxa"/>
            <w:vAlign w:val="center"/>
            <w:hideMark/>
          </w:tcPr>
          <w:p w14:paraId="42D4DAAA" w14:textId="77777777" w:rsidR="00CD0355" w:rsidRPr="0037762C" w:rsidRDefault="00CD0355" w:rsidP="00CD0355">
            <w:pPr>
              <w:jc w:val="center"/>
              <w:rPr>
                <w:sz w:val="16"/>
                <w:szCs w:val="16"/>
              </w:rPr>
            </w:pPr>
            <w:r w:rsidRPr="0037762C">
              <w:rPr>
                <w:bCs/>
                <w:sz w:val="16"/>
                <w:szCs w:val="16"/>
              </w:rPr>
              <w:t>$20.00</w:t>
            </w:r>
          </w:p>
        </w:tc>
        <w:tc>
          <w:tcPr>
            <w:tcW w:w="1573" w:type="dxa"/>
            <w:vAlign w:val="center"/>
            <w:hideMark/>
          </w:tcPr>
          <w:p w14:paraId="7AD59255" w14:textId="77777777" w:rsidR="00CD0355" w:rsidRPr="0037762C" w:rsidRDefault="00CD0355" w:rsidP="00CD0355">
            <w:pPr>
              <w:jc w:val="center"/>
              <w:rPr>
                <w:sz w:val="16"/>
                <w:szCs w:val="16"/>
              </w:rPr>
            </w:pPr>
            <w:r w:rsidRPr="0037762C">
              <w:rPr>
                <w:sz w:val="16"/>
                <w:szCs w:val="16"/>
              </w:rPr>
              <w:t>$25.00</w:t>
            </w:r>
          </w:p>
        </w:tc>
      </w:tr>
      <w:tr w:rsidR="00CD0355" w:rsidRPr="00FD217D" w14:paraId="3ACA4EA6" w14:textId="77777777" w:rsidTr="00CD0355">
        <w:trPr>
          <w:jc w:val="center"/>
        </w:trPr>
        <w:tc>
          <w:tcPr>
            <w:tcW w:w="1229" w:type="dxa"/>
            <w:noWrap/>
            <w:vAlign w:val="bottom"/>
            <w:hideMark/>
          </w:tcPr>
          <w:p w14:paraId="5005B86A" w14:textId="77777777" w:rsidR="00CD0355" w:rsidRPr="0037762C" w:rsidRDefault="00CD0355" w:rsidP="00CD0355">
            <w:pPr>
              <w:rPr>
                <w:bCs/>
                <w:sz w:val="16"/>
                <w:szCs w:val="16"/>
              </w:rPr>
            </w:pPr>
            <w:r w:rsidRPr="0037762C">
              <w:rPr>
                <w:bCs/>
                <w:sz w:val="16"/>
                <w:szCs w:val="16"/>
              </w:rPr>
              <w:t>Gourd</w:t>
            </w:r>
          </w:p>
        </w:tc>
        <w:tc>
          <w:tcPr>
            <w:tcW w:w="900" w:type="dxa"/>
            <w:noWrap/>
            <w:vAlign w:val="center"/>
            <w:hideMark/>
          </w:tcPr>
          <w:p w14:paraId="0680A223"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FD8D436"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C51D7A3" w14:textId="77777777" w:rsidR="00CD0355" w:rsidRPr="0037762C" w:rsidRDefault="00CD0355" w:rsidP="00CD0355">
            <w:pPr>
              <w:jc w:val="center"/>
              <w:rPr>
                <w:sz w:val="16"/>
                <w:szCs w:val="16"/>
              </w:rPr>
            </w:pPr>
            <w:r w:rsidRPr="0037762C">
              <w:rPr>
                <w:sz w:val="16"/>
                <w:szCs w:val="16"/>
              </w:rPr>
              <w:t>$25.00</w:t>
            </w:r>
          </w:p>
        </w:tc>
      </w:tr>
      <w:tr w:rsidR="00CD0355" w:rsidRPr="00FD217D" w14:paraId="3B5626FB" w14:textId="77777777" w:rsidTr="00CD0355">
        <w:trPr>
          <w:jc w:val="center"/>
        </w:trPr>
        <w:tc>
          <w:tcPr>
            <w:tcW w:w="1229" w:type="dxa"/>
            <w:noWrap/>
            <w:vAlign w:val="bottom"/>
            <w:hideMark/>
          </w:tcPr>
          <w:p w14:paraId="7E380640" w14:textId="77777777" w:rsidR="00CD0355" w:rsidRPr="0037762C" w:rsidRDefault="00CD0355" w:rsidP="00CD0355">
            <w:pPr>
              <w:rPr>
                <w:bCs/>
                <w:sz w:val="16"/>
                <w:szCs w:val="16"/>
              </w:rPr>
            </w:pPr>
            <w:r w:rsidRPr="0037762C">
              <w:rPr>
                <w:bCs/>
                <w:sz w:val="16"/>
                <w:szCs w:val="16"/>
              </w:rPr>
              <w:t>Greens</w:t>
            </w:r>
          </w:p>
        </w:tc>
        <w:tc>
          <w:tcPr>
            <w:tcW w:w="900" w:type="dxa"/>
            <w:noWrap/>
            <w:vAlign w:val="center"/>
            <w:hideMark/>
          </w:tcPr>
          <w:p w14:paraId="4654BE2F"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3C10F182"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710DD94C" w14:textId="77777777" w:rsidR="00CD0355" w:rsidRPr="0037762C" w:rsidRDefault="00CD0355" w:rsidP="00CD0355">
            <w:pPr>
              <w:jc w:val="center"/>
              <w:rPr>
                <w:sz w:val="16"/>
                <w:szCs w:val="16"/>
              </w:rPr>
            </w:pPr>
            <w:r w:rsidRPr="0037762C">
              <w:rPr>
                <w:sz w:val="16"/>
                <w:szCs w:val="16"/>
              </w:rPr>
              <w:t>$25.00</w:t>
            </w:r>
          </w:p>
        </w:tc>
      </w:tr>
      <w:tr w:rsidR="00CD0355" w:rsidRPr="00FD217D" w14:paraId="42D60835" w14:textId="77777777" w:rsidTr="00CD0355">
        <w:trPr>
          <w:jc w:val="center"/>
        </w:trPr>
        <w:tc>
          <w:tcPr>
            <w:tcW w:w="1229" w:type="dxa"/>
            <w:noWrap/>
            <w:vAlign w:val="bottom"/>
            <w:hideMark/>
          </w:tcPr>
          <w:p w14:paraId="73223416" w14:textId="77777777" w:rsidR="00CD0355" w:rsidRPr="0037762C" w:rsidRDefault="00CD0355" w:rsidP="00CD0355">
            <w:pPr>
              <w:rPr>
                <w:bCs/>
                <w:sz w:val="16"/>
                <w:szCs w:val="16"/>
              </w:rPr>
            </w:pPr>
            <w:r w:rsidRPr="0037762C">
              <w:rPr>
                <w:bCs/>
                <w:sz w:val="16"/>
                <w:szCs w:val="16"/>
              </w:rPr>
              <w:t>Herb</w:t>
            </w:r>
          </w:p>
        </w:tc>
        <w:tc>
          <w:tcPr>
            <w:tcW w:w="900" w:type="dxa"/>
            <w:noWrap/>
            <w:vAlign w:val="center"/>
            <w:hideMark/>
          </w:tcPr>
          <w:p w14:paraId="02352615"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4C02B14B"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1E5876E6" w14:textId="77777777" w:rsidR="00CD0355" w:rsidRPr="0037762C" w:rsidRDefault="00CD0355" w:rsidP="00CD0355">
            <w:pPr>
              <w:jc w:val="center"/>
              <w:rPr>
                <w:sz w:val="16"/>
                <w:szCs w:val="16"/>
              </w:rPr>
            </w:pPr>
            <w:r w:rsidRPr="0037762C">
              <w:rPr>
                <w:sz w:val="16"/>
                <w:szCs w:val="16"/>
              </w:rPr>
              <w:t>$25.00</w:t>
            </w:r>
          </w:p>
        </w:tc>
      </w:tr>
      <w:tr w:rsidR="00CD0355" w:rsidRPr="00FD217D" w14:paraId="7B32314F" w14:textId="77777777" w:rsidTr="00CD0355">
        <w:trPr>
          <w:jc w:val="center"/>
        </w:trPr>
        <w:tc>
          <w:tcPr>
            <w:tcW w:w="1229" w:type="dxa"/>
            <w:noWrap/>
            <w:vAlign w:val="bottom"/>
            <w:hideMark/>
          </w:tcPr>
          <w:p w14:paraId="2805AB01" w14:textId="77777777" w:rsidR="00CD0355" w:rsidRPr="0037762C" w:rsidRDefault="00CD0355" w:rsidP="00CD0355">
            <w:pPr>
              <w:rPr>
                <w:bCs/>
                <w:sz w:val="16"/>
                <w:szCs w:val="16"/>
              </w:rPr>
            </w:pPr>
            <w:r w:rsidRPr="0037762C">
              <w:rPr>
                <w:bCs/>
                <w:sz w:val="16"/>
                <w:szCs w:val="16"/>
              </w:rPr>
              <w:t>Kale</w:t>
            </w:r>
          </w:p>
        </w:tc>
        <w:tc>
          <w:tcPr>
            <w:tcW w:w="900" w:type="dxa"/>
            <w:noWrap/>
            <w:vAlign w:val="center"/>
            <w:hideMark/>
          </w:tcPr>
          <w:p w14:paraId="7C7DFF5B"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08BA3688"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6ACAA53E" w14:textId="77777777" w:rsidR="00CD0355" w:rsidRPr="0037762C" w:rsidRDefault="00CD0355" w:rsidP="00CD0355">
            <w:pPr>
              <w:jc w:val="center"/>
              <w:rPr>
                <w:sz w:val="16"/>
                <w:szCs w:val="16"/>
              </w:rPr>
            </w:pPr>
            <w:r w:rsidRPr="0037762C">
              <w:rPr>
                <w:sz w:val="16"/>
                <w:szCs w:val="16"/>
              </w:rPr>
              <w:t>$25.00</w:t>
            </w:r>
          </w:p>
        </w:tc>
      </w:tr>
      <w:tr w:rsidR="00CD0355" w:rsidRPr="00FD217D" w14:paraId="54F19426" w14:textId="77777777" w:rsidTr="00CD0355">
        <w:trPr>
          <w:jc w:val="center"/>
        </w:trPr>
        <w:tc>
          <w:tcPr>
            <w:tcW w:w="1229" w:type="dxa"/>
            <w:noWrap/>
            <w:vAlign w:val="bottom"/>
            <w:hideMark/>
          </w:tcPr>
          <w:p w14:paraId="4F9A9238" w14:textId="77777777" w:rsidR="00CD0355" w:rsidRPr="0037762C" w:rsidRDefault="00CD0355" w:rsidP="00CD0355">
            <w:pPr>
              <w:rPr>
                <w:bCs/>
                <w:sz w:val="16"/>
                <w:szCs w:val="16"/>
              </w:rPr>
            </w:pPr>
            <w:r w:rsidRPr="0037762C">
              <w:rPr>
                <w:bCs/>
                <w:sz w:val="16"/>
                <w:szCs w:val="16"/>
              </w:rPr>
              <w:t>Kohlrabi</w:t>
            </w:r>
          </w:p>
        </w:tc>
        <w:tc>
          <w:tcPr>
            <w:tcW w:w="900" w:type="dxa"/>
            <w:noWrap/>
            <w:vAlign w:val="center"/>
            <w:hideMark/>
          </w:tcPr>
          <w:p w14:paraId="77E8452F" w14:textId="77777777" w:rsidR="00CD0355" w:rsidRPr="0037762C" w:rsidRDefault="00CD0355" w:rsidP="00CD0355">
            <w:pPr>
              <w:jc w:val="center"/>
              <w:rPr>
                <w:sz w:val="16"/>
                <w:szCs w:val="16"/>
              </w:rPr>
            </w:pPr>
            <w:r w:rsidRPr="0037762C">
              <w:rPr>
                <w:bCs/>
                <w:sz w:val="16"/>
                <w:szCs w:val="16"/>
              </w:rPr>
              <w:t>$10.00</w:t>
            </w:r>
          </w:p>
        </w:tc>
        <w:tc>
          <w:tcPr>
            <w:tcW w:w="1260" w:type="dxa"/>
            <w:vAlign w:val="center"/>
            <w:hideMark/>
          </w:tcPr>
          <w:p w14:paraId="24B309EC" w14:textId="77777777" w:rsidR="00CD0355" w:rsidRPr="0037762C" w:rsidRDefault="00CD0355" w:rsidP="00CD0355">
            <w:pPr>
              <w:jc w:val="center"/>
              <w:rPr>
                <w:sz w:val="16"/>
                <w:szCs w:val="16"/>
              </w:rPr>
            </w:pPr>
            <w:r w:rsidRPr="0037762C">
              <w:rPr>
                <w:bCs/>
                <w:sz w:val="16"/>
                <w:szCs w:val="16"/>
              </w:rPr>
              <w:t>$10.00</w:t>
            </w:r>
          </w:p>
        </w:tc>
        <w:tc>
          <w:tcPr>
            <w:tcW w:w="1573" w:type="dxa"/>
            <w:vAlign w:val="center"/>
            <w:hideMark/>
          </w:tcPr>
          <w:p w14:paraId="0390614E" w14:textId="77777777" w:rsidR="00CD0355" w:rsidRPr="0037762C" w:rsidRDefault="00CD0355" w:rsidP="00CD0355">
            <w:pPr>
              <w:jc w:val="center"/>
              <w:rPr>
                <w:sz w:val="16"/>
                <w:szCs w:val="16"/>
              </w:rPr>
            </w:pPr>
            <w:r w:rsidRPr="0037762C">
              <w:rPr>
                <w:sz w:val="16"/>
                <w:szCs w:val="16"/>
              </w:rPr>
              <w:t>$25.00</w:t>
            </w:r>
          </w:p>
        </w:tc>
      </w:tr>
      <w:tr w:rsidR="00CD0355" w:rsidRPr="00FD217D" w14:paraId="45046A61" w14:textId="77777777" w:rsidTr="00CD0355">
        <w:trPr>
          <w:jc w:val="center"/>
        </w:trPr>
        <w:tc>
          <w:tcPr>
            <w:tcW w:w="1229" w:type="dxa"/>
            <w:noWrap/>
            <w:vAlign w:val="bottom"/>
            <w:hideMark/>
          </w:tcPr>
          <w:p w14:paraId="52CD5317" w14:textId="77777777" w:rsidR="00CD0355" w:rsidRPr="0037762C" w:rsidRDefault="00CD0355" w:rsidP="00CD0355">
            <w:pPr>
              <w:rPr>
                <w:bCs/>
                <w:sz w:val="16"/>
                <w:szCs w:val="16"/>
              </w:rPr>
            </w:pPr>
            <w:r w:rsidRPr="0037762C">
              <w:rPr>
                <w:bCs/>
                <w:sz w:val="16"/>
                <w:szCs w:val="16"/>
              </w:rPr>
              <w:t>Lab Lab</w:t>
            </w:r>
          </w:p>
        </w:tc>
        <w:tc>
          <w:tcPr>
            <w:tcW w:w="900" w:type="dxa"/>
            <w:noWrap/>
            <w:vAlign w:val="center"/>
            <w:hideMark/>
          </w:tcPr>
          <w:p w14:paraId="29F978AA" w14:textId="77777777" w:rsidR="00CD0355" w:rsidRPr="0037762C" w:rsidRDefault="00CD0355" w:rsidP="00CD0355">
            <w:pPr>
              <w:jc w:val="center"/>
              <w:rPr>
                <w:bCs/>
                <w:sz w:val="16"/>
                <w:szCs w:val="16"/>
              </w:rPr>
            </w:pPr>
            <w:r w:rsidRPr="0037762C">
              <w:rPr>
                <w:bCs/>
                <w:sz w:val="16"/>
                <w:szCs w:val="16"/>
              </w:rPr>
              <w:t>$10.00</w:t>
            </w:r>
          </w:p>
        </w:tc>
        <w:tc>
          <w:tcPr>
            <w:tcW w:w="1260" w:type="dxa"/>
            <w:vAlign w:val="center"/>
            <w:hideMark/>
          </w:tcPr>
          <w:p w14:paraId="6296ED65" w14:textId="77777777" w:rsidR="00CD0355" w:rsidRPr="0037762C" w:rsidRDefault="00CD0355" w:rsidP="00CD0355">
            <w:pPr>
              <w:jc w:val="center"/>
              <w:rPr>
                <w:bCs/>
                <w:sz w:val="16"/>
                <w:szCs w:val="16"/>
              </w:rPr>
            </w:pPr>
            <w:r w:rsidRPr="0037762C">
              <w:rPr>
                <w:bCs/>
                <w:sz w:val="16"/>
                <w:szCs w:val="16"/>
              </w:rPr>
              <w:t>$10.00</w:t>
            </w:r>
          </w:p>
        </w:tc>
        <w:tc>
          <w:tcPr>
            <w:tcW w:w="1573" w:type="dxa"/>
            <w:vAlign w:val="center"/>
            <w:hideMark/>
          </w:tcPr>
          <w:p w14:paraId="531E1B26" w14:textId="77777777" w:rsidR="00CD0355" w:rsidRPr="0037762C" w:rsidRDefault="00CD0355" w:rsidP="00CD0355">
            <w:pPr>
              <w:jc w:val="center"/>
              <w:rPr>
                <w:sz w:val="16"/>
                <w:szCs w:val="16"/>
              </w:rPr>
            </w:pPr>
            <w:r w:rsidRPr="0037762C">
              <w:rPr>
                <w:sz w:val="16"/>
                <w:szCs w:val="16"/>
              </w:rPr>
              <w:t>$25.00</w:t>
            </w:r>
          </w:p>
        </w:tc>
      </w:tr>
      <w:tr w:rsidR="00CD0355" w:rsidRPr="00FD217D" w14:paraId="59FDEE1C" w14:textId="77777777" w:rsidTr="00CD0355">
        <w:trPr>
          <w:jc w:val="center"/>
        </w:trPr>
        <w:tc>
          <w:tcPr>
            <w:tcW w:w="1229" w:type="dxa"/>
            <w:noWrap/>
            <w:vAlign w:val="bottom"/>
          </w:tcPr>
          <w:p w14:paraId="5571E274" w14:textId="77777777" w:rsidR="00CD0355" w:rsidRPr="0037762C" w:rsidRDefault="00CD0355" w:rsidP="00CD0355">
            <w:pPr>
              <w:rPr>
                <w:bCs/>
                <w:sz w:val="16"/>
                <w:szCs w:val="16"/>
              </w:rPr>
            </w:pPr>
            <w:r w:rsidRPr="0037762C">
              <w:rPr>
                <w:bCs/>
                <w:sz w:val="16"/>
                <w:szCs w:val="16"/>
              </w:rPr>
              <w:t>Leek</w:t>
            </w:r>
          </w:p>
        </w:tc>
        <w:tc>
          <w:tcPr>
            <w:tcW w:w="900" w:type="dxa"/>
            <w:noWrap/>
            <w:vAlign w:val="center"/>
          </w:tcPr>
          <w:p w14:paraId="0D096678"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3CACB367"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486B5DE5" w14:textId="77777777" w:rsidR="00CD0355" w:rsidRPr="0037762C" w:rsidRDefault="00CD0355" w:rsidP="00CD0355">
            <w:pPr>
              <w:jc w:val="center"/>
              <w:rPr>
                <w:sz w:val="16"/>
                <w:szCs w:val="16"/>
              </w:rPr>
            </w:pPr>
            <w:r w:rsidRPr="0037762C">
              <w:rPr>
                <w:sz w:val="16"/>
                <w:szCs w:val="16"/>
              </w:rPr>
              <w:t>$25.00</w:t>
            </w:r>
          </w:p>
        </w:tc>
      </w:tr>
      <w:tr w:rsidR="00CD0355" w:rsidRPr="00FD217D" w14:paraId="171AEEBC" w14:textId="77777777" w:rsidTr="00CD0355">
        <w:trPr>
          <w:jc w:val="center"/>
        </w:trPr>
        <w:tc>
          <w:tcPr>
            <w:tcW w:w="1229" w:type="dxa"/>
            <w:noWrap/>
            <w:vAlign w:val="bottom"/>
          </w:tcPr>
          <w:p w14:paraId="7DA492CB" w14:textId="77777777" w:rsidR="00CD0355" w:rsidRPr="0037762C" w:rsidRDefault="00CD0355" w:rsidP="00CD0355">
            <w:pPr>
              <w:rPr>
                <w:bCs/>
                <w:sz w:val="16"/>
                <w:szCs w:val="16"/>
              </w:rPr>
            </w:pPr>
            <w:r w:rsidRPr="0037762C">
              <w:rPr>
                <w:bCs/>
                <w:sz w:val="16"/>
                <w:szCs w:val="16"/>
              </w:rPr>
              <w:t>Lespedeza</w:t>
            </w:r>
          </w:p>
        </w:tc>
        <w:tc>
          <w:tcPr>
            <w:tcW w:w="900" w:type="dxa"/>
            <w:noWrap/>
            <w:vAlign w:val="center"/>
          </w:tcPr>
          <w:p w14:paraId="2DA061CB"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CD47FE2"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7F3B0AD1" w14:textId="77777777" w:rsidR="00CD0355" w:rsidRPr="0037762C" w:rsidRDefault="00CD0355" w:rsidP="00CD0355">
            <w:pPr>
              <w:jc w:val="center"/>
              <w:rPr>
                <w:sz w:val="16"/>
                <w:szCs w:val="16"/>
              </w:rPr>
            </w:pPr>
            <w:r w:rsidRPr="0037762C">
              <w:rPr>
                <w:sz w:val="16"/>
                <w:szCs w:val="16"/>
              </w:rPr>
              <w:t>$25.00</w:t>
            </w:r>
          </w:p>
        </w:tc>
      </w:tr>
      <w:tr w:rsidR="00CD0355" w:rsidRPr="00FD217D" w14:paraId="62710D71" w14:textId="77777777" w:rsidTr="00CD0355">
        <w:trPr>
          <w:jc w:val="center"/>
        </w:trPr>
        <w:tc>
          <w:tcPr>
            <w:tcW w:w="1229" w:type="dxa"/>
            <w:noWrap/>
            <w:vAlign w:val="bottom"/>
          </w:tcPr>
          <w:p w14:paraId="7F45710B" w14:textId="77777777" w:rsidR="00CD0355" w:rsidRPr="0037762C" w:rsidRDefault="00CD0355" w:rsidP="00CD0355">
            <w:pPr>
              <w:rPr>
                <w:bCs/>
                <w:sz w:val="16"/>
                <w:szCs w:val="16"/>
              </w:rPr>
            </w:pPr>
            <w:r w:rsidRPr="0037762C">
              <w:rPr>
                <w:bCs/>
                <w:sz w:val="16"/>
                <w:szCs w:val="16"/>
              </w:rPr>
              <w:t>Lettuce</w:t>
            </w:r>
          </w:p>
        </w:tc>
        <w:tc>
          <w:tcPr>
            <w:tcW w:w="900" w:type="dxa"/>
            <w:noWrap/>
            <w:vAlign w:val="center"/>
          </w:tcPr>
          <w:p w14:paraId="260EAF87"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C70A3B0"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8446204" w14:textId="77777777" w:rsidR="00CD0355" w:rsidRPr="0037762C" w:rsidRDefault="00CD0355" w:rsidP="00CD0355">
            <w:pPr>
              <w:jc w:val="center"/>
              <w:rPr>
                <w:sz w:val="16"/>
                <w:szCs w:val="16"/>
              </w:rPr>
            </w:pPr>
            <w:r w:rsidRPr="0037762C">
              <w:rPr>
                <w:sz w:val="16"/>
                <w:szCs w:val="16"/>
              </w:rPr>
              <w:t>$25.00</w:t>
            </w:r>
          </w:p>
        </w:tc>
      </w:tr>
      <w:tr w:rsidR="00CD0355" w:rsidRPr="00FD217D" w14:paraId="2A8EDD41" w14:textId="77777777" w:rsidTr="00CD0355">
        <w:trPr>
          <w:jc w:val="center"/>
        </w:trPr>
        <w:tc>
          <w:tcPr>
            <w:tcW w:w="1229" w:type="dxa"/>
            <w:noWrap/>
            <w:vAlign w:val="bottom"/>
          </w:tcPr>
          <w:p w14:paraId="261D87A9" w14:textId="77777777" w:rsidR="00CD0355" w:rsidRPr="0037762C" w:rsidRDefault="00CD0355" w:rsidP="00CD0355">
            <w:pPr>
              <w:rPr>
                <w:bCs/>
                <w:sz w:val="16"/>
                <w:szCs w:val="16"/>
              </w:rPr>
            </w:pPr>
            <w:r w:rsidRPr="0037762C">
              <w:rPr>
                <w:bCs/>
                <w:sz w:val="16"/>
                <w:szCs w:val="16"/>
              </w:rPr>
              <w:t>Melon</w:t>
            </w:r>
          </w:p>
        </w:tc>
        <w:tc>
          <w:tcPr>
            <w:tcW w:w="900" w:type="dxa"/>
            <w:noWrap/>
            <w:vAlign w:val="center"/>
          </w:tcPr>
          <w:p w14:paraId="55EA2F8A"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42EB679"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5F1B04AA" w14:textId="77777777" w:rsidR="00CD0355" w:rsidRPr="0037762C" w:rsidRDefault="00CD0355" w:rsidP="00CD0355">
            <w:pPr>
              <w:jc w:val="center"/>
              <w:rPr>
                <w:sz w:val="16"/>
                <w:szCs w:val="16"/>
              </w:rPr>
            </w:pPr>
            <w:r w:rsidRPr="0037762C">
              <w:rPr>
                <w:sz w:val="16"/>
                <w:szCs w:val="16"/>
              </w:rPr>
              <w:t>$25.00</w:t>
            </w:r>
          </w:p>
        </w:tc>
      </w:tr>
      <w:tr w:rsidR="00CD0355" w:rsidRPr="00FD217D" w14:paraId="5C8EA19C" w14:textId="77777777" w:rsidTr="00CD0355">
        <w:trPr>
          <w:jc w:val="center"/>
        </w:trPr>
        <w:tc>
          <w:tcPr>
            <w:tcW w:w="1229" w:type="dxa"/>
            <w:noWrap/>
            <w:vAlign w:val="bottom"/>
          </w:tcPr>
          <w:p w14:paraId="45CAC4E1" w14:textId="77777777" w:rsidR="00CD0355" w:rsidRPr="0037762C" w:rsidRDefault="00CD0355" w:rsidP="00CD0355">
            <w:pPr>
              <w:rPr>
                <w:bCs/>
                <w:sz w:val="16"/>
                <w:szCs w:val="16"/>
              </w:rPr>
            </w:pPr>
            <w:r w:rsidRPr="0037762C">
              <w:rPr>
                <w:bCs/>
                <w:sz w:val="16"/>
                <w:szCs w:val="16"/>
              </w:rPr>
              <w:t>Millet</w:t>
            </w:r>
          </w:p>
        </w:tc>
        <w:tc>
          <w:tcPr>
            <w:tcW w:w="900" w:type="dxa"/>
            <w:noWrap/>
            <w:vAlign w:val="center"/>
          </w:tcPr>
          <w:p w14:paraId="0EEFC368"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F283431"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466F33F" w14:textId="77777777" w:rsidR="00CD0355" w:rsidRPr="0037762C" w:rsidRDefault="00CD0355" w:rsidP="00CD0355">
            <w:pPr>
              <w:jc w:val="center"/>
              <w:rPr>
                <w:sz w:val="16"/>
                <w:szCs w:val="16"/>
              </w:rPr>
            </w:pPr>
            <w:r w:rsidRPr="0037762C">
              <w:rPr>
                <w:sz w:val="16"/>
                <w:szCs w:val="16"/>
              </w:rPr>
              <w:t>$25.00</w:t>
            </w:r>
          </w:p>
        </w:tc>
      </w:tr>
      <w:tr w:rsidR="00CD0355" w:rsidRPr="00FD217D" w14:paraId="7B78DE5D" w14:textId="77777777" w:rsidTr="00CD0355">
        <w:trPr>
          <w:jc w:val="center"/>
        </w:trPr>
        <w:tc>
          <w:tcPr>
            <w:tcW w:w="1229" w:type="dxa"/>
            <w:noWrap/>
            <w:vAlign w:val="bottom"/>
          </w:tcPr>
          <w:p w14:paraId="66DAC2D3" w14:textId="77777777" w:rsidR="00CD0355" w:rsidRPr="0037762C" w:rsidRDefault="00CD0355" w:rsidP="00CD0355">
            <w:pPr>
              <w:rPr>
                <w:bCs/>
                <w:sz w:val="16"/>
                <w:szCs w:val="16"/>
              </w:rPr>
            </w:pPr>
            <w:r w:rsidRPr="0037762C">
              <w:rPr>
                <w:bCs/>
                <w:sz w:val="16"/>
                <w:szCs w:val="16"/>
              </w:rPr>
              <w:t>Mustard</w:t>
            </w:r>
          </w:p>
        </w:tc>
        <w:tc>
          <w:tcPr>
            <w:tcW w:w="900" w:type="dxa"/>
            <w:noWrap/>
            <w:vAlign w:val="center"/>
          </w:tcPr>
          <w:p w14:paraId="7170FABB"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64FCF39"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0ECD77C8" w14:textId="77777777" w:rsidR="00CD0355" w:rsidRPr="0037762C" w:rsidRDefault="00CD0355" w:rsidP="00CD0355">
            <w:pPr>
              <w:jc w:val="center"/>
              <w:rPr>
                <w:sz w:val="16"/>
                <w:szCs w:val="16"/>
              </w:rPr>
            </w:pPr>
            <w:r w:rsidRPr="0037762C">
              <w:rPr>
                <w:sz w:val="16"/>
                <w:szCs w:val="16"/>
              </w:rPr>
              <w:t>$25.00</w:t>
            </w:r>
          </w:p>
        </w:tc>
      </w:tr>
      <w:tr w:rsidR="00CD0355" w:rsidRPr="00FD217D" w14:paraId="1DB2A3A2" w14:textId="77777777" w:rsidTr="00CD0355">
        <w:trPr>
          <w:jc w:val="center"/>
        </w:trPr>
        <w:tc>
          <w:tcPr>
            <w:tcW w:w="1229" w:type="dxa"/>
            <w:noWrap/>
            <w:vAlign w:val="bottom"/>
          </w:tcPr>
          <w:p w14:paraId="66F78427" w14:textId="77777777" w:rsidR="00CD0355" w:rsidRPr="0037762C" w:rsidRDefault="00CD0355" w:rsidP="00CD0355">
            <w:pPr>
              <w:rPr>
                <w:bCs/>
                <w:sz w:val="16"/>
                <w:szCs w:val="16"/>
              </w:rPr>
            </w:pPr>
            <w:r w:rsidRPr="0037762C">
              <w:rPr>
                <w:bCs/>
                <w:sz w:val="16"/>
                <w:szCs w:val="16"/>
              </w:rPr>
              <w:t>Oats</w:t>
            </w:r>
          </w:p>
        </w:tc>
        <w:tc>
          <w:tcPr>
            <w:tcW w:w="900" w:type="dxa"/>
            <w:noWrap/>
            <w:vAlign w:val="center"/>
          </w:tcPr>
          <w:p w14:paraId="4095BB70"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4B448769"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1F0BAB2D" w14:textId="77777777" w:rsidR="00CD0355" w:rsidRPr="0037762C" w:rsidRDefault="00CD0355" w:rsidP="00CD0355">
            <w:pPr>
              <w:jc w:val="center"/>
              <w:rPr>
                <w:sz w:val="16"/>
                <w:szCs w:val="16"/>
              </w:rPr>
            </w:pPr>
            <w:r w:rsidRPr="0037762C">
              <w:rPr>
                <w:sz w:val="16"/>
                <w:szCs w:val="16"/>
              </w:rPr>
              <w:t>$25.00</w:t>
            </w:r>
          </w:p>
        </w:tc>
      </w:tr>
      <w:tr w:rsidR="00CD0355" w:rsidRPr="00FD217D" w14:paraId="7CB495DC" w14:textId="77777777" w:rsidTr="00CD0355">
        <w:trPr>
          <w:jc w:val="center"/>
        </w:trPr>
        <w:tc>
          <w:tcPr>
            <w:tcW w:w="1229" w:type="dxa"/>
            <w:noWrap/>
            <w:vAlign w:val="bottom"/>
          </w:tcPr>
          <w:p w14:paraId="693C3FDC" w14:textId="77777777" w:rsidR="00CD0355" w:rsidRPr="0037762C" w:rsidRDefault="00CD0355" w:rsidP="00CD0355">
            <w:pPr>
              <w:rPr>
                <w:bCs/>
                <w:sz w:val="16"/>
                <w:szCs w:val="16"/>
              </w:rPr>
            </w:pPr>
            <w:r w:rsidRPr="0037762C">
              <w:rPr>
                <w:bCs/>
                <w:sz w:val="16"/>
                <w:szCs w:val="16"/>
              </w:rPr>
              <w:t>Onion</w:t>
            </w:r>
          </w:p>
        </w:tc>
        <w:tc>
          <w:tcPr>
            <w:tcW w:w="900" w:type="dxa"/>
            <w:noWrap/>
            <w:vAlign w:val="center"/>
          </w:tcPr>
          <w:p w14:paraId="476ADC19"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698A8A9D"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02F49995" w14:textId="77777777" w:rsidR="00CD0355" w:rsidRPr="0037762C" w:rsidRDefault="00CD0355" w:rsidP="00CD0355">
            <w:pPr>
              <w:jc w:val="center"/>
              <w:rPr>
                <w:sz w:val="16"/>
                <w:szCs w:val="16"/>
              </w:rPr>
            </w:pPr>
            <w:r w:rsidRPr="0037762C">
              <w:rPr>
                <w:sz w:val="16"/>
                <w:szCs w:val="16"/>
              </w:rPr>
              <w:t>$25.00</w:t>
            </w:r>
          </w:p>
        </w:tc>
      </w:tr>
      <w:tr w:rsidR="00CD0355" w:rsidRPr="00FD217D" w14:paraId="43C9BD60" w14:textId="77777777" w:rsidTr="00CD0355">
        <w:trPr>
          <w:jc w:val="center"/>
        </w:trPr>
        <w:tc>
          <w:tcPr>
            <w:tcW w:w="1229" w:type="dxa"/>
            <w:noWrap/>
            <w:vAlign w:val="bottom"/>
          </w:tcPr>
          <w:p w14:paraId="36E6039F" w14:textId="77777777" w:rsidR="00CD0355" w:rsidRPr="0037762C" w:rsidRDefault="00CD0355" w:rsidP="00CD0355">
            <w:pPr>
              <w:rPr>
                <w:bCs/>
                <w:sz w:val="16"/>
                <w:szCs w:val="16"/>
              </w:rPr>
            </w:pPr>
            <w:r w:rsidRPr="0037762C">
              <w:rPr>
                <w:bCs/>
                <w:sz w:val="16"/>
                <w:szCs w:val="16"/>
              </w:rPr>
              <w:t>Orchardgrass</w:t>
            </w:r>
          </w:p>
        </w:tc>
        <w:tc>
          <w:tcPr>
            <w:tcW w:w="900" w:type="dxa"/>
            <w:noWrap/>
            <w:vAlign w:val="center"/>
          </w:tcPr>
          <w:p w14:paraId="3125CE7E" w14:textId="77777777" w:rsidR="00CD0355" w:rsidRPr="0037762C" w:rsidRDefault="00CD0355" w:rsidP="00CD0355">
            <w:pPr>
              <w:jc w:val="center"/>
              <w:rPr>
                <w:sz w:val="16"/>
                <w:szCs w:val="16"/>
              </w:rPr>
            </w:pPr>
            <w:r w:rsidRPr="0037762C">
              <w:rPr>
                <w:bCs/>
                <w:sz w:val="16"/>
                <w:szCs w:val="16"/>
              </w:rPr>
              <w:t>$20.00</w:t>
            </w:r>
          </w:p>
        </w:tc>
        <w:tc>
          <w:tcPr>
            <w:tcW w:w="1260" w:type="dxa"/>
            <w:vAlign w:val="center"/>
          </w:tcPr>
          <w:p w14:paraId="126F888D" w14:textId="77777777" w:rsidR="00CD0355" w:rsidRPr="0037762C" w:rsidRDefault="00CD0355" w:rsidP="00CD0355">
            <w:pPr>
              <w:jc w:val="center"/>
              <w:rPr>
                <w:sz w:val="16"/>
                <w:szCs w:val="16"/>
              </w:rPr>
            </w:pPr>
            <w:r w:rsidRPr="0037762C">
              <w:rPr>
                <w:bCs/>
                <w:sz w:val="16"/>
                <w:szCs w:val="16"/>
              </w:rPr>
              <w:t>$20.00</w:t>
            </w:r>
          </w:p>
        </w:tc>
        <w:tc>
          <w:tcPr>
            <w:tcW w:w="1573" w:type="dxa"/>
            <w:vAlign w:val="center"/>
          </w:tcPr>
          <w:p w14:paraId="5BD6355B" w14:textId="77777777" w:rsidR="00CD0355" w:rsidRPr="0037762C" w:rsidRDefault="00CD0355" w:rsidP="00CD0355">
            <w:pPr>
              <w:jc w:val="center"/>
              <w:rPr>
                <w:sz w:val="16"/>
                <w:szCs w:val="16"/>
              </w:rPr>
            </w:pPr>
            <w:r w:rsidRPr="0037762C">
              <w:rPr>
                <w:sz w:val="16"/>
                <w:szCs w:val="16"/>
              </w:rPr>
              <w:t>$25.00</w:t>
            </w:r>
          </w:p>
        </w:tc>
      </w:tr>
      <w:tr w:rsidR="00CD0355" w:rsidRPr="00FD217D" w14:paraId="441DD697" w14:textId="77777777" w:rsidTr="00CD0355">
        <w:trPr>
          <w:jc w:val="center"/>
        </w:trPr>
        <w:tc>
          <w:tcPr>
            <w:tcW w:w="1229" w:type="dxa"/>
            <w:noWrap/>
            <w:vAlign w:val="bottom"/>
          </w:tcPr>
          <w:p w14:paraId="2D72D322" w14:textId="77777777" w:rsidR="00CD0355" w:rsidRPr="0037762C" w:rsidRDefault="00CD0355" w:rsidP="00CD0355">
            <w:pPr>
              <w:rPr>
                <w:bCs/>
                <w:sz w:val="16"/>
                <w:szCs w:val="16"/>
              </w:rPr>
            </w:pPr>
            <w:r w:rsidRPr="0037762C">
              <w:rPr>
                <w:bCs/>
                <w:sz w:val="16"/>
                <w:szCs w:val="16"/>
              </w:rPr>
              <w:t>Pak-choi</w:t>
            </w:r>
          </w:p>
        </w:tc>
        <w:tc>
          <w:tcPr>
            <w:tcW w:w="900" w:type="dxa"/>
            <w:noWrap/>
            <w:vAlign w:val="center"/>
          </w:tcPr>
          <w:p w14:paraId="291A8F3A"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AF56FAB"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4C9FDE4" w14:textId="77777777" w:rsidR="00CD0355" w:rsidRPr="0037762C" w:rsidRDefault="00CD0355" w:rsidP="00CD0355">
            <w:pPr>
              <w:jc w:val="center"/>
              <w:rPr>
                <w:sz w:val="16"/>
                <w:szCs w:val="16"/>
              </w:rPr>
            </w:pPr>
            <w:r w:rsidRPr="0037762C">
              <w:rPr>
                <w:sz w:val="16"/>
                <w:szCs w:val="16"/>
              </w:rPr>
              <w:t>$25.00</w:t>
            </w:r>
          </w:p>
        </w:tc>
      </w:tr>
      <w:tr w:rsidR="00CD0355" w:rsidRPr="00FD217D" w14:paraId="41CC1134" w14:textId="77777777" w:rsidTr="00CD0355">
        <w:trPr>
          <w:jc w:val="center"/>
        </w:trPr>
        <w:tc>
          <w:tcPr>
            <w:tcW w:w="1229" w:type="dxa"/>
            <w:noWrap/>
            <w:vAlign w:val="bottom"/>
          </w:tcPr>
          <w:p w14:paraId="47BE32A0" w14:textId="77777777" w:rsidR="00CD0355" w:rsidRPr="0037762C" w:rsidRDefault="00CD0355" w:rsidP="00CD0355">
            <w:pPr>
              <w:rPr>
                <w:bCs/>
                <w:sz w:val="16"/>
                <w:szCs w:val="16"/>
              </w:rPr>
            </w:pPr>
            <w:r w:rsidRPr="0037762C">
              <w:rPr>
                <w:bCs/>
                <w:sz w:val="16"/>
                <w:szCs w:val="16"/>
              </w:rPr>
              <w:t>Parsley</w:t>
            </w:r>
          </w:p>
        </w:tc>
        <w:tc>
          <w:tcPr>
            <w:tcW w:w="900" w:type="dxa"/>
            <w:noWrap/>
            <w:vAlign w:val="center"/>
          </w:tcPr>
          <w:p w14:paraId="66A900CF"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C90F97C"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0C006A7" w14:textId="77777777" w:rsidR="00CD0355" w:rsidRPr="0037762C" w:rsidRDefault="00CD0355" w:rsidP="00CD0355">
            <w:pPr>
              <w:jc w:val="center"/>
              <w:rPr>
                <w:sz w:val="16"/>
                <w:szCs w:val="16"/>
              </w:rPr>
            </w:pPr>
            <w:r w:rsidRPr="0037762C">
              <w:rPr>
                <w:sz w:val="16"/>
                <w:szCs w:val="16"/>
              </w:rPr>
              <w:t>$25.00</w:t>
            </w:r>
          </w:p>
        </w:tc>
      </w:tr>
      <w:tr w:rsidR="00CD0355" w:rsidRPr="00FD217D" w14:paraId="2EAA43FD" w14:textId="77777777" w:rsidTr="00CD0355">
        <w:trPr>
          <w:jc w:val="center"/>
        </w:trPr>
        <w:tc>
          <w:tcPr>
            <w:tcW w:w="1229" w:type="dxa"/>
            <w:noWrap/>
            <w:vAlign w:val="bottom"/>
          </w:tcPr>
          <w:p w14:paraId="4CBCDE3E" w14:textId="77777777" w:rsidR="00CD0355" w:rsidRPr="0037762C" w:rsidRDefault="00CD0355" w:rsidP="00CD0355">
            <w:pPr>
              <w:rPr>
                <w:bCs/>
                <w:sz w:val="16"/>
                <w:szCs w:val="16"/>
              </w:rPr>
            </w:pPr>
            <w:r w:rsidRPr="0037762C">
              <w:rPr>
                <w:bCs/>
                <w:sz w:val="16"/>
                <w:szCs w:val="16"/>
              </w:rPr>
              <w:t>Peanut</w:t>
            </w:r>
          </w:p>
        </w:tc>
        <w:tc>
          <w:tcPr>
            <w:tcW w:w="900" w:type="dxa"/>
            <w:noWrap/>
            <w:vAlign w:val="center"/>
          </w:tcPr>
          <w:p w14:paraId="04A6CF03"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0E605B71"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1A0BE1E" w14:textId="77777777" w:rsidR="00CD0355" w:rsidRPr="0037762C" w:rsidRDefault="00CD0355" w:rsidP="00CD0355">
            <w:pPr>
              <w:jc w:val="center"/>
              <w:rPr>
                <w:sz w:val="16"/>
                <w:szCs w:val="16"/>
              </w:rPr>
            </w:pPr>
            <w:r w:rsidRPr="0037762C">
              <w:rPr>
                <w:sz w:val="16"/>
                <w:szCs w:val="16"/>
              </w:rPr>
              <w:t>$25.00</w:t>
            </w:r>
          </w:p>
        </w:tc>
      </w:tr>
      <w:tr w:rsidR="00CD0355" w:rsidRPr="00FD217D" w14:paraId="19832861" w14:textId="77777777" w:rsidTr="00CD0355">
        <w:trPr>
          <w:jc w:val="center"/>
        </w:trPr>
        <w:tc>
          <w:tcPr>
            <w:tcW w:w="1229" w:type="dxa"/>
            <w:noWrap/>
            <w:vAlign w:val="bottom"/>
          </w:tcPr>
          <w:p w14:paraId="54FF1880" w14:textId="77777777" w:rsidR="00CD0355" w:rsidRPr="0037762C" w:rsidRDefault="00CD0355" w:rsidP="00CD0355">
            <w:pPr>
              <w:rPr>
                <w:bCs/>
                <w:sz w:val="16"/>
                <w:szCs w:val="16"/>
              </w:rPr>
            </w:pPr>
            <w:r w:rsidRPr="0037762C">
              <w:rPr>
                <w:bCs/>
                <w:sz w:val="16"/>
                <w:szCs w:val="16"/>
              </w:rPr>
              <w:t>Peas</w:t>
            </w:r>
          </w:p>
        </w:tc>
        <w:tc>
          <w:tcPr>
            <w:tcW w:w="900" w:type="dxa"/>
            <w:noWrap/>
            <w:vAlign w:val="center"/>
          </w:tcPr>
          <w:p w14:paraId="595BCD4D"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31DFE4E8"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755D5B44" w14:textId="77777777" w:rsidR="00CD0355" w:rsidRPr="0037762C" w:rsidRDefault="00CD0355" w:rsidP="00CD0355">
            <w:pPr>
              <w:jc w:val="center"/>
              <w:rPr>
                <w:sz w:val="16"/>
                <w:szCs w:val="16"/>
              </w:rPr>
            </w:pPr>
            <w:r w:rsidRPr="0037762C">
              <w:rPr>
                <w:sz w:val="16"/>
                <w:szCs w:val="16"/>
              </w:rPr>
              <w:t>$25.00</w:t>
            </w:r>
          </w:p>
        </w:tc>
      </w:tr>
      <w:tr w:rsidR="00CD0355" w:rsidRPr="00FD217D" w14:paraId="6FAF4588" w14:textId="77777777" w:rsidTr="00CD0355">
        <w:trPr>
          <w:jc w:val="center"/>
        </w:trPr>
        <w:tc>
          <w:tcPr>
            <w:tcW w:w="1229" w:type="dxa"/>
            <w:noWrap/>
            <w:vAlign w:val="bottom"/>
          </w:tcPr>
          <w:p w14:paraId="57B0E1A3" w14:textId="77777777" w:rsidR="00CD0355" w:rsidRPr="0037762C" w:rsidRDefault="00CD0355" w:rsidP="00CD0355">
            <w:pPr>
              <w:rPr>
                <w:bCs/>
                <w:sz w:val="16"/>
                <w:szCs w:val="16"/>
              </w:rPr>
            </w:pPr>
            <w:r w:rsidRPr="0037762C">
              <w:rPr>
                <w:bCs/>
                <w:sz w:val="16"/>
                <w:szCs w:val="16"/>
              </w:rPr>
              <w:t>Pepper</w:t>
            </w:r>
          </w:p>
        </w:tc>
        <w:tc>
          <w:tcPr>
            <w:tcW w:w="900" w:type="dxa"/>
            <w:noWrap/>
            <w:vAlign w:val="center"/>
          </w:tcPr>
          <w:p w14:paraId="37CD003C"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4E8EC55A"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5635F971" w14:textId="77777777" w:rsidR="00CD0355" w:rsidRPr="0037762C" w:rsidRDefault="00CD0355" w:rsidP="00CD0355">
            <w:pPr>
              <w:jc w:val="center"/>
              <w:rPr>
                <w:sz w:val="16"/>
                <w:szCs w:val="16"/>
              </w:rPr>
            </w:pPr>
            <w:r w:rsidRPr="0037762C">
              <w:rPr>
                <w:sz w:val="16"/>
                <w:szCs w:val="16"/>
              </w:rPr>
              <w:t>$25.00</w:t>
            </w:r>
          </w:p>
        </w:tc>
      </w:tr>
      <w:tr w:rsidR="00CD0355" w:rsidRPr="00FD217D" w14:paraId="41C8195B" w14:textId="77777777" w:rsidTr="00CD0355">
        <w:trPr>
          <w:jc w:val="center"/>
        </w:trPr>
        <w:tc>
          <w:tcPr>
            <w:tcW w:w="1229" w:type="dxa"/>
            <w:noWrap/>
            <w:vAlign w:val="bottom"/>
          </w:tcPr>
          <w:p w14:paraId="320B584F" w14:textId="77777777" w:rsidR="00CD0355" w:rsidRPr="0037762C" w:rsidRDefault="00CD0355" w:rsidP="00CD0355">
            <w:pPr>
              <w:rPr>
                <w:bCs/>
                <w:sz w:val="16"/>
                <w:szCs w:val="16"/>
              </w:rPr>
            </w:pPr>
            <w:r w:rsidRPr="0037762C">
              <w:rPr>
                <w:bCs/>
                <w:sz w:val="16"/>
                <w:szCs w:val="16"/>
              </w:rPr>
              <w:t>Pine</w:t>
            </w:r>
          </w:p>
        </w:tc>
        <w:tc>
          <w:tcPr>
            <w:tcW w:w="900" w:type="dxa"/>
            <w:noWrap/>
            <w:vAlign w:val="center"/>
          </w:tcPr>
          <w:p w14:paraId="7847A9BC"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04785BC"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02E261A1" w14:textId="77777777" w:rsidR="00CD0355" w:rsidRPr="0037762C" w:rsidRDefault="00CD0355" w:rsidP="00CD0355">
            <w:pPr>
              <w:jc w:val="center"/>
              <w:rPr>
                <w:sz w:val="16"/>
                <w:szCs w:val="16"/>
              </w:rPr>
            </w:pPr>
            <w:r w:rsidRPr="0037762C">
              <w:rPr>
                <w:sz w:val="16"/>
                <w:szCs w:val="16"/>
              </w:rPr>
              <w:t>$25.00</w:t>
            </w:r>
          </w:p>
        </w:tc>
      </w:tr>
      <w:tr w:rsidR="00CD0355" w:rsidRPr="00FD217D" w14:paraId="102C8199" w14:textId="77777777" w:rsidTr="00CD0355">
        <w:trPr>
          <w:jc w:val="center"/>
        </w:trPr>
        <w:tc>
          <w:tcPr>
            <w:tcW w:w="1229" w:type="dxa"/>
            <w:noWrap/>
            <w:vAlign w:val="bottom"/>
          </w:tcPr>
          <w:p w14:paraId="348196EC" w14:textId="77777777" w:rsidR="00CD0355" w:rsidRPr="0037762C" w:rsidRDefault="00CD0355" w:rsidP="00CD0355">
            <w:pPr>
              <w:rPr>
                <w:bCs/>
                <w:sz w:val="16"/>
                <w:szCs w:val="16"/>
              </w:rPr>
            </w:pPr>
            <w:r w:rsidRPr="0037762C">
              <w:rPr>
                <w:bCs/>
                <w:sz w:val="16"/>
                <w:szCs w:val="16"/>
              </w:rPr>
              <w:t xml:space="preserve">Plantain </w:t>
            </w:r>
          </w:p>
        </w:tc>
        <w:tc>
          <w:tcPr>
            <w:tcW w:w="900" w:type="dxa"/>
            <w:noWrap/>
            <w:vAlign w:val="center"/>
          </w:tcPr>
          <w:p w14:paraId="6A87A490"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0C1176E"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AACBF1D" w14:textId="77777777" w:rsidR="00CD0355" w:rsidRPr="0037762C" w:rsidRDefault="00CD0355" w:rsidP="00CD0355">
            <w:pPr>
              <w:jc w:val="center"/>
              <w:rPr>
                <w:sz w:val="16"/>
                <w:szCs w:val="16"/>
              </w:rPr>
            </w:pPr>
            <w:r w:rsidRPr="0037762C">
              <w:rPr>
                <w:sz w:val="16"/>
                <w:szCs w:val="16"/>
              </w:rPr>
              <w:t>$25.00</w:t>
            </w:r>
          </w:p>
        </w:tc>
      </w:tr>
      <w:tr w:rsidR="00CD0355" w:rsidRPr="00FD217D" w14:paraId="521FBF94" w14:textId="77777777" w:rsidTr="00CD0355">
        <w:trPr>
          <w:jc w:val="center"/>
        </w:trPr>
        <w:tc>
          <w:tcPr>
            <w:tcW w:w="1229" w:type="dxa"/>
            <w:noWrap/>
            <w:vAlign w:val="bottom"/>
          </w:tcPr>
          <w:p w14:paraId="167477B1" w14:textId="77777777" w:rsidR="00CD0355" w:rsidRPr="0037762C" w:rsidRDefault="00CD0355" w:rsidP="00CD0355">
            <w:pPr>
              <w:rPr>
                <w:bCs/>
                <w:sz w:val="16"/>
                <w:szCs w:val="16"/>
              </w:rPr>
            </w:pPr>
            <w:r w:rsidRPr="0037762C">
              <w:rPr>
                <w:bCs/>
                <w:sz w:val="16"/>
                <w:szCs w:val="16"/>
              </w:rPr>
              <w:t>Pumpkin</w:t>
            </w:r>
          </w:p>
        </w:tc>
        <w:tc>
          <w:tcPr>
            <w:tcW w:w="900" w:type="dxa"/>
            <w:noWrap/>
            <w:vAlign w:val="center"/>
          </w:tcPr>
          <w:p w14:paraId="0D20821E"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332C70F2"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4AF5C8A8" w14:textId="77777777" w:rsidR="00CD0355" w:rsidRPr="0037762C" w:rsidRDefault="00CD0355" w:rsidP="00CD0355">
            <w:pPr>
              <w:jc w:val="center"/>
              <w:rPr>
                <w:sz w:val="16"/>
                <w:szCs w:val="16"/>
              </w:rPr>
            </w:pPr>
            <w:r w:rsidRPr="0037762C">
              <w:rPr>
                <w:sz w:val="16"/>
                <w:szCs w:val="16"/>
              </w:rPr>
              <w:t>$25.00</w:t>
            </w:r>
          </w:p>
        </w:tc>
      </w:tr>
      <w:tr w:rsidR="00CD0355" w:rsidRPr="00FD217D" w14:paraId="34C2E597" w14:textId="77777777" w:rsidTr="00CD0355">
        <w:trPr>
          <w:jc w:val="center"/>
        </w:trPr>
        <w:tc>
          <w:tcPr>
            <w:tcW w:w="1229" w:type="dxa"/>
            <w:noWrap/>
            <w:vAlign w:val="bottom"/>
          </w:tcPr>
          <w:p w14:paraId="270575D9" w14:textId="77777777" w:rsidR="00CD0355" w:rsidRPr="0037762C" w:rsidRDefault="00CD0355" w:rsidP="00CD0355">
            <w:pPr>
              <w:rPr>
                <w:bCs/>
                <w:sz w:val="16"/>
                <w:szCs w:val="16"/>
              </w:rPr>
            </w:pPr>
            <w:r w:rsidRPr="0037762C">
              <w:rPr>
                <w:bCs/>
                <w:sz w:val="16"/>
                <w:szCs w:val="16"/>
              </w:rPr>
              <w:t>Radish</w:t>
            </w:r>
          </w:p>
        </w:tc>
        <w:tc>
          <w:tcPr>
            <w:tcW w:w="900" w:type="dxa"/>
            <w:noWrap/>
            <w:vAlign w:val="center"/>
          </w:tcPr>
          <w:p w14:paraId="1786BA96"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26B0BB2D"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509670A" w14:textId="77777777" w:rsidR="00CD0355" w:rsidRPr="0037762C" w:rsidRDefault="00CD0355" w:rsidP="00CD0355">
            <w:pPr>
              <w:jc w:val="center"/>
              <w:rPr>
                <w:sz w:val="16"/>
                <w:szCs w:val="16"/>
              </w:rPr>
            </w:pPr>
            <w:r w:rsidRPr="0037762C">
              <w:rPr>
                <w:sz w:val="16"/>
                <w:szCs w:val="16"/>
              </w:rPr>
              <w:t>$25.00</w:t>
            </w:r>
          </w:p>
        </w:tc>
      </w:tr>
      <w:tr w:rsidR="00CD0355" w:rsidRPr="00FD217D" w14:paraId="01C239AD" w14:textId="77777777" w:rsidTr="00CD0355">
        <w:trPr>
          <w:jc w:val="center"/>
        </w:trPr>
        <w:tc>
          <w:tcPr>
            <w:tcW w:w="1229" w:type="dxa"/>
            <w:noWrap/>
            <w:vAlign w:val="bottom"/>
          </w:tcPr>
          <w:p w14:paraId="33EEAE78" w14:textId="77777777" w:rsidR="00CD0355" w:rsidRPr="0037762C" w:rsidRDefault="00CD0355" w:rsidP="00CD0355">
            <w:pPr>
              <w:rPr>
                <w:bCs/>
                <w:sz w:val="16"/>
                <w:szCs w:val="16"/>
              </w:rPr>
            </w:pPr>
            <w:r w:rsidRPr="0037762C">
              <w:rPr>
                <w:bCs/>
                <w:sz w:val="16"/>
                <w:szCs w:val="16"/>
              </w:rPr>
              <w:t>Rape</w:t>
            </w:r>
          </w:p>
        </w:tc>
        <w:tc>
          <w:tcPr>
            <w:tcW w:w="900" w:type="dxa"/>
            <w:noWrap/>
            <w:vAlign w:val="center"/>
          </w:tcPr>
          <w:p w14:paraId="66A7F88C"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54F71396"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5B73D95" w14:textId="77777777" w:rsidR="00CD0355" w:rsidRPr="0037762C" w:rsidRDefault="00CD0355" w:rsidP="00CD0355">
            <w:pPr>
              <w:jc w:val="center"/>
              <w:rPr>
                <w:sz w:val="16"/>
                <w:szCs w:val="16"/>
              </w:rPr>
            </w:pPr>
            <w:r w:rsidRPr="0037762C">
              <w:rPr>
                <w:sz w:val="16"/>
                <w:szCs w:val="16"/>
              </w:rPr>
              <w:t>$25.00</w:t>
            </w:r>
          </w:p>
        </w:tc>
      </w:tr>
      <w:tr w:rsidR="00CD0355" w:rsidRPr="00FD217D" w14:paraId="74F564B0" w14:textId="77777777" w:rsidTr="00CD0355">
        <w:trPr>
          <w:jc w:val="center"/>
        </w:trPr>
        <w:tc>
          <w:tcPr>
            <w:tcW w:w="1229" w:type="dxa"/>
            <w:noWrap/>
            <w:vAlign w:val="bottom"/>
          </w:tcPr>
          <w:p w14:paraId="132B4C56" w14:textId="77777777" w:rsidR="00CD0355" w:rsidRPr="0037762C" w:rsidRDefault="00CD0355" w:rsidP="00CD0355">
            <w:pPr>
              <w:rPr>
                <w:bCs/>
                <w:sz w:val="16"/>
                <w:szCs w:val="16"/>
              </w:rPr>
            </w:pPr>
            <w:r w:rsidRPr="0037762C">
              <w:rPr>
                <w:bCs/>
                <w:sz w:val="16"/>
                <w:szCs w:val="16"/>
              </w:rPr>
              <w:t>Rice</w:t>
            </w:r>
          </w:p>
        </w:tc>
        <w:tc>
          <w:tcPr>
            <w:tcW w:w="900" w:type="dxa"/>
            <w:noWrap/>
            <w:vAlign w:val="center"/>
          </w:tcPr>
          <w:p w14:paraId="7F1C3258"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77C4462A"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FC49E30" w14:textId="77777777" w:rsidR="00CD0355" w:rsidRPr="0037762C" w:rsidRDefault="00CD0355" w:rsidP="00CD0355">
            <w:pPr>
              <w:jc w:val="center"/>
              <w:rPr>
                <w:sz w:val="16"/>
                <w:szCs w:val="16"/>
              </w:rPr>
            </w:pPr>
            <w:r w:rsidRPr="0037762C">
              <w:rPr>
                <w:sz w:val="16"/>
                <w:szCs w:val="16"/>
              </w:rPr>
              <w:t>$25.00</w:t>
            </w:r>
          </w:p>
        </w:tc>
      </w:tr>
      <w:tr w:rsidR="00CD0355" w:rsidRPr="00FD217D" w14:paraId="6C84AFDB" w14:textId="77777777" w:rsidTr="00CD0355">
        <w:trPr>
          <w:jc w:val="center"/>
        </w:trPr>
        <w:tc>
          <w:tcPr>
            <w:tcW w:w="1229" w:type="dxa"/>
            <w:noWrap/>
            <w:vAlign w:val="bottom"/>
          </w:tcPr>
          <w:p w14:paraId="05249832" w14:textId="77777777" w:rsidR="00CD0355" w:rsidRPr="0037762C" w:rsidRDefault="00CD0355" w:rsidP="00CD0355">
            <w:pPr>
              <w:rPr>
                <w:bCs/>
                <w:sz w:val="16"/>
                <w:szCs w:val="16"/>
              </w:rPr>
            </w:pPr>
            <w:r w:rsidRPr="0037762C">
              <w:rPr>
                <w:bCs/>
                <w:sz w:val="16"/>
                <w:szCs w:val="16"/>
              </w:rPr>
              <w:t>Rutabaga</w:t>
            </w:r>
          </w:p>
        </w:tc>
        <w:tc>
          <w:tcPr>
            <w:tcW w:w="900" w:type="dxa"/>
            <w:noWrap/>
            <w:vAlign w:val="center"/>
          </w:tcPr>
          <w:p w14:paraId="67EF6B23"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66EE07A9"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54A8D874" w14:textId="77777777" w:rsidR="00CD0355" w:rsidRPr="0037762C" w:rsidRDefault="00CD0355" w:rsidP="00CD0355">
            <w:pPr>
              <w:jc w:val="center"/>
              <w:rPr>
                <w:sz w:val="16"/>
                <w:szCs w:val="16"/>
              </w:rPr>
            </w:pPr>
            <w:r w:rsidRPr="0037762C">
              <w:rPr>
                <w:sz w:val="16"/>
                <w:szCs w:val="16"/>
              </w:rPr>
              <w:t>$25.00</w:t>
            </w:r>
          </w:p>
        </w:tc>
      </w:tr>
      <w:tr w:rsidR="00CD0355" w:rsidRPr="00FD217D" w14:paraId="4D50E43A" w14:textId="77777777" w:rsidTr="00CD0355">
        <w:trPr>
          <w:jc w:val="center"/>
        </w:trPr>
        <w:tc>
          <w:tcPr>
            <w:tcW w:w="1229" w:type="dxa"/>
            <w:noWrap/>
            <w:vAlign w:val="bottom"/>
          </w:tcPr>
          <w:p w14:paraId="395B5CF8" w14:textId="77777777" w:rsidR="00CD0355" w:rsidRPr="0037762C" w:rsidRDefault="00CD0355" w:rsidP="00CD0355">
            <w:pPr>
              <w:rPr>
                <w:bCs/>
                <w:sz w:val="16"/>
                <w:szCs w:val="16"/>
              </w:rPr>
            </w:pPr>
            <w:r w:rsidRPr="0037762C">
              <w:rPr>
                <w:bCs/>
                <w:sz w:val="16"/>
                <w:szCs w:val="16"/>
              </w:rPr>
              <w:t>Rye</w:t>
            </w:r>
          </w:p>
        </w:tc>
        <w:tc>
          <w:tcPr>
            <w:tcW w:w="900" w:type="dxa"/>
            <w:noWrap/>
            <w:vAlign w:val="center"/>
          </w:tcPr>
          <w:p w14:paraId="010A6C0A"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07DF7C3A"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3AD6037" w14:textId="77777777" w:rsidR="00CD0355" w:rsidRPr="0037762C" w:rsidRDefault="00CD0355" w:rsidP="00CD0355">
            <w:pPr>
              <w:jc w:val="center"/>
              <w:rPr>
                <w:sz w:val="16"/>
                <w:szCs w:val="16"/>
              </w:rPr>
            </w:pPr>
            <w:r w:rsidRPr="0037762C">
              <w:rPr>
                <w:sz w:val="16"/>
                <w:szCs w:val="16"/>
              </w:rPr>
              <w:t>$25.00</w:t>
            </w:r>
          </w:p>
        </w:tc>
      </w:tr>
      <w:tr w:rsidR="00CD0355" w:rsidRPr="00FD217D" w14:paraId="773C6A7C" w14:textId="77777777" w:rsidTr="00CD0355">
        <w:trPr>
          <w:jc w:val="center"/>
        </w:trPr>
        <w:tc>
          <w:tcPr>
            <w:tcW w:w="1229" w:type="dxa"/>
            <w:noWrap/>
            <w:vAlign w:val="bottom"/>
          </w:tcPr>
          <w:p w14:paraId="335056C8" w14:textId="77777777" w:rsidR="00CD0355" w:rsidRPr="0037762C" w:rsidRDefault="00CD0355" w:rsidP="00CD0355">
            <w:pPr>
              <w:rPr>
                <w:bCs/>
                <w:sz w:val="16"/>
                <w:szCs w:val="16"/>
              </w:rPr>
            </w:pPr>
            <w:r w:rsidRPr="0037762C">
              <w:rPr>
                <w:bCs/>
                <w:sz w:val="16"/>
                <w:szCs w:val="16"/>
              </w:rPr>
              <w:t>Ryegrass</w:t>
            </w:r>
          </w:p>
        </w:tc>
        <w:tc>
          <w:tcPr>
            <w:tcW w:w="900" w:type="dxa"/>
            <w:noWrap/>
            <w:vAlign w:val="center"/>
          </w:tcPr>
          <w:p w14:paraId="2C1E0063" w14:textId="77777777" w:rsidR="00CD0355" w:rsidRPr="0037762C" w:rsidRDefault="00CD0355" w:rsidP="00CD0355">
            <w:pPr>
              <w:jc w:val="center"/>
              <w:rPr>
                <w:sz w:val="16"/>
                <w:szCs w:val="16"/>
              </w:rPr>
            </w:pPr>
            <w:r w:rsidRPr="0037762C">
              <w:rPr>
                <w:bCs/>
                <w:sz w:val="16"/>
                <w:szCs w:val="16"/>
              </w:rPr>
              <w:t>$20.00</w:t>
            </w:r>
          </w:p>
        </w:tc>
        <w:tc>
          <w:tcPr>
            <w:tcW w:w="1260" w:type="dxa"/>
            <w:vAlign w:val="center"/>
          </w:tcPr>
          <w:p w14:paraId="1601A59E" w14:textId="77777777" w:rsidR="00CD0355" w:rsidRPr="0037762C" w:rsidRDefault="00CD0355" w:rsidP="00CD0355">
            <w:pPr>
              <w:jc w:val="center"/>
              <w:rPr>
                <w:sz w:val="16"/>
                <w:szCs w:val="16"/>
              </w:rPr>
            </w:pPr>
            <w:r w:rsidRPr="0037762C">
              <w:rPr>
                <w:bCs/>
                <w:sz w:val="16"/>
                <w:szCs w:val="16"/>
              </w:rPr>
              <w:t>$20.00</w:t>
            </w:r>
          </w:p>
        </w:tc>
        <w:tc>
          <w:tcPr>
            <w:tcW w:w="1573" w:type="dxa"/>
            <w:vAlign w:val="center"/>
          </w:tcPr>
          <w:p w14:paraId="583B5518" w14:textId="77777777" w:rsidR="00CD0355" w:rsidRPr="0037762C" w:rsidRDefault="00CD0355" w:rsidP="00CD0355">
            <w:pPr>
              <w:jc w:val="center"/>
              <w:rPr>
                <w:sz w:val="16"/>
                <w:szCs w:val="16"/>
              </w:rPr>
            </w:pPr>
            <w:r w:rsidRPr="0037762C">
              <w:rPr>
                <w:sz w:val="16"/>
                <w:szCs w:val="16"/>
              </w:rPr>
              <w:t>$25.00</w:t>
            </w:r>
          </w:p>
        </w:tc>
      </w:tr>
      <w:tr w:rsidR="00CD0355" w:rsidRPr="00FD217D" w14:paraId="32060D81" w14:textId="77777777" w:rsidTr="00CD0355">
        <w:trPr>
          <w:jc w:val="center"/>
        </w:trPr>
        <w:tc>
          <w:tcPr>
            <w:tcW w:w="1229" w:type="dxa"/>
            <w:noWrap/>
            <w:vAlign w:val="bottom"/>
          </w:tcPr>
          <w:p w14:paraId="63CDFF0C" w14:textId="77777777" w:rsidR="00CD0355" w:rsidRPr="0037762C" w:rsidRDefault="00CD0355" w:rsidP="00CD0355">
            <w:pPr>
              <w:rPr>
                <w:bCs/>
                <w:sz w:val="16"/>
                <w:szCs w:val="16"/>
              </w:rPr>
            </w:pPr>
            <w:r w:rsidRPr="0037762C">
              <w:rPr>
                <w:bCs/>
                <w:sz w:val="16"/>
                <w:szCs w:val="16"/>
              </w:rPr>
              <w:t>Sage</w:t>
            </w:r>
          </w:p>
        </w:tc>
        <w:tc>
          <w:tcPr>
            <w:tcW w:w="900" w:type="dxa"/>
            <w:noWrap/>
            <w:vAlign w:val="center"/>
          </w:tcPr>
          <w:p w14:paraId="70BE4DB1" w14:textId="77777777" w:rsidR="00CD0355" w:rsidRPr="0037762C" w:rsidRDefault="00CD0355" w:rsidP="00CD0355">
            <w:pPr>
              <w:jc w:val="center"/>
              <w:rPr>
                <w:sz w:val="16"/>
                <w:szCs w:val="16"/>
              </w:rPr>
            </w:pPr>
            <w:r w:rsidRPr="0037762C">
              <w:rPr>
                <w:sz w:val="16"/>
                <w:szCs w:val="16"/>
              </w:rPr>
              <w:t>$10.00</w:t>
            </w:r>
          </w:p>
        </w:tc>
        <w:tc>
          <w:tcPr>
            <w:tcW w:w="1260" w:type="dxa"/>
            <w:vAlign w:val="center"/>
          </w:tcPr>
          <w:p w14:paraId="4FB77370"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4BD47E82" w14:textId="77777777" w:rsidR="00CD0355" w:rsidRPr="0037762C" w:rsidRDefault="00CD0355" w:rsidP="00CD0355">
            <w:pPr>
              <w:jc w:val="center"/>
              <w:rPr>
                <w:sz w:val="16"/>
                <w:szCs w:val="16"/>
              </w:rPr>
            </w:pPr>
            <w:r w:rsidRPr="0037762C">
              <w:rPr>
                <w:sz w:val="16"/>
                <w:szCs w:val="16"/>
              </w:rPr>
              <w:t>$25.00</w:t>
            </w:r>
          </w:p>
        </w:tc>
      </w:tr>
      <w:tr w:rsidR="00CD0355" w:rsidRPr="00FD217D" w14:paraId="2F2431AE" w14:textId="77777777" w:rsidTr="00CD0355">
        <w:trPr>
          <w:jc w:val="center"/>
        </w:trPr>
        <w:tc>
          <w:tcPr>
            <w:tcW w:w="1229" w:type="dxa"/>
            <w:noWrap/>
            <w:vAlign w:val="bottom"/>
          </w:tcPr>
          <w:p w14:paraId="2D40E442" w14:textId="77777777" w:rsidR="00CD0355" w:rsidRPr="0037762C" w:rsidRDefault="00CD0355" w:rsidP="00CD0355">
            <w:pPr>
              <w:rPr>
                <w:bCs/>
                <w:sz w:val="16"/>
                <w:szCs w:val="16"/>
              </w:rPr>
            </w:pPr>
            <w:r w:rsidRPr="0037762C">
              <w:rPr>
                <w:bCs/>
                <w:sz w:val="16"/>
                <w:szCs w:val="16"/>
              </w:rPr>
              <w:t>Sorghum</w:t>
            </w:r>
          </w:p>
        </w:tc>
        <w:tc>
          <w:tcPr>
            <w:tcW w:w="900" w:type="dxa"/>
            <w:noWrap/>
            <w:vAlign w:val="center"/>
          </w:tcPr>
          <w:p w14:paraId="2D817C03"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5B7F563B"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F1BF8CA" w14:textId="77777777" w:rsidR="00CD0355" w:rsidRPr="0037762C" w:rsidRDefault="00CD0355" w:rsidP="00CD0355">
            <w:pPr>
              <w:jc w:val="center"/>
              <w:rPr>
                <w:sz w:val="16"/>
                <w:szCs w:val="16"/>
              </w:rPr>
            </w:pPr>
            <w:r w:rsidRPr="0037762C">
              <w:rPr>
                <w:sz w:val="16"/>
                <w:szCs w:val="16"/>
              </w:rPr>
              <w:t>$25.00</w:t>
            </w:r>
          </w:p>
        </w:tc>
      </w:tr>
      <w:tr w:rsidR="00CD0355" w:rsidRPr="00FD217D" w14:paraId="2E9F99B3" w14:textId="77777777" w:rsidTr="00CD0355">
        <w:trPr>
          <w:jc w:val="center"/>
        </w:trPr>
        <w:tc>
          <w:tcPr>
            <w:tcW w:w="1229" w:type="dxa"/>
            <w:noWrap/>
            <w:vAlign w:val="bottom"/>
          </w:tcPr>
          <w:p w14:paraId="1A92A0F4" w14:textId="77777777" w:rsidR="00CD0355" w:rsidRPr="0037762C" w:rsidRDefault="00CD0355" w:rsidP="00CD0355">
            <w:pPr>
              <w:rPr>
                <w:bCs/>
                <w:sz w:val="16"/>
                <w:szCs w:val="16"/>
              </w:rPr>
            </w:pPr>
            <w:r w:rsidRPr="0037762C">
              <w:rPr>
                <w:bCs/>
                <w:sz w:val="16"/>
                <w:szCs w:val="16"/>
              </w:rPr>
              <w:t>Soybeans</w:t>
            </w:r>
          </w:p>
        </w:tc>
        <w:tc>
          <w:tcPr>
            <w:tcW w:w="900" w:type="dxa"/>
            <w:noWrap/>
            <w:vAlign w:val="center"/>
          </w:tcPr>
          <w:p w14:paraId="063561B9"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48F2A8B5"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03F11EE" w14:textId="77777777" w:rsidR="00CD0355" w:rsidRPr="0037762C" w:rsidRDefault="00CD0355" w:rsidP="00CD0355">
            <w:pPr>
              <w:jc w:val="center"/>
              <w:rPr>
                <w:sz w:val="16"/>
                <w:szCs w:val="16"/>
              </w:rPr>
            </w:pPr>
            <w:r w:rsidRPr="0037762C">
              <w:rPr>
                <w:sz w:val="16"/>
                <w:szCs w:val="16"/>
              </w:rPr>
              <w:t>$25.00</w:t>
            </w:r>
          </w:p>
        </w:tc>
      </w:tr>
      <w:tr w:rsidR="00CD0355" w:rsidRPr="00FD217D" w14:paraId="46EC31A2" w14:textId="77777777" w:rsidTr="00CD0355">
        <w:trPr>
          <w:jc w:val="center"/>
        </w:trPr>
        <w:tc>
          <w:tcPr>
            <w:tcW w:w="1229" w:type="dxa"/>
            <w:noWrap/>
            <w:vAlign w:val="bottom"/>
          </w:tcPr>
          <w:p w14:paraId="3BD83162" w14:textId="77777777" w:rsidR="00CD0355" w:rsidRPr="0037762C" w:rsidRDefault="00CD0355" w:rsidP="00CD0355">
            <w:pPr>
              <w:rPr>
                <w:bCs/>
                <w:sz w:val="16"/>
                <w:szCs w:val="16"/>
              </w:rPr>
            </w:pPr>
            <w:r w:rsidRPr="0037762C">
              <w:rPr>
                <w:bCs/>
                <w:sz w:val="16"/>
                <w:szCs w:val="16"/>
              </w:rPr>
              <w:t>Spinach</w:t>
            </w:r>
          </w:p>
        </w:tc>
        <w:tc>
          <w:tcPr>
            <w:tcW w:w="900" w:type="dxa"/>
            <w:noWrap/>
            <w:vAlign w:val="center"/>
          </w:tcPr>
          <w:p w14:paraId="6FEB4FC5"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31602A3C"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51410867" w14:textId="77777777" w:rsidR="00CD0355" w:rsidRPr="0037762C" w:rsidRDefault="00CD0355" w:rsidP="00CD0355">
            <w:pPr>
              <w:jc w:val="center"/>
              <w:rPr>
                <w:sz w:val="16"/>
                <w:szCs w:val="16"/>
              </w:rPr>
            </w:pPr>
            <w:r w:rsidRPr="0037762C">
              <w:rPr>
                <w:sz w:val="16"/>
                <w:szCs w:val="16"/>
              </w:rPr>
              <w:t>$25.00</w:t>
            </w:r>
          </w:p>
        </w:tc>
      </w:tr>
      <w:tr w:rsidR="00CD0355" w:rsidRPr="00FD217D" w14:paraId="7D9A296B" w14:textId="77777777" w:rsidTr="00CD0355">
        <w:trPr>
          <w:jc w:val="center"/>
        </w:trPr>
        <w:tc>
          <w:tcPr>
            <w:tcW w:w="1229" w:type="dxa"/>
            <w:noWrap/>
            <w:vAlign w:val="bottom"/>
          </w:tcPr>
          <w:p w14:paraId="6E38E200" w14:textId="77777777" w:rsidR="00CD0355" w:rsidRPr="0037762C" w:rsidRDefault="00CD0355" w:rsidP="00CD0355">
            <w:pPr>
              <w:rPr>
                <w:bCs/>
                <w:sz w:val="16"/>
                <w:szCs w:val="16"/>
              </w:rPr>
            </w:pPr>
            <w:r w:rsidRPr="0037762C">
              <w:rPr>
                <w:bCs/>
                <w:sz w:val="16"/>
                <w:szCs w:val="16"/>
              </w:rPr>
              <w:t>Squash</w:t>
            </w:r>
          </w:p>
        </w:tc>
        <w:tc>
          <w:tcPr>
            <w:tcW w:w="900" w:type="dxa"/>
            <w:noWrap/>
            <w:vAlign w:val="center"/>
          </w:tcPr>
          <w:p w14:paraId="17430526"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0129530F"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964082B" w14:textId="77777777" w:rsidR="00CD0355" w:rsidRPr="0037762C" w:rsidRDefault="00CD0355" w:rsidP="00CD0355">
            <w:pPr>
              <w:jc w:val="center"/>
              <w:rPr>
                <w:sz w:val="16"/>
                <w:szCs w:val="16"/>
              </w:rPr>
            </w:pPr>
            <w:r w:rsidRPr="0037762C">
              <w:rPr>
                <w:sz w:val="16"/>
                <w:szCs w:val="16"/>
              </w:rPr>
              <w:t>$25.00</w:t>
            </w:r>
          </w:p>
        </w:tc>
      </w:tr>
      <w:tr w:rsidR="00CD0355" w:rsidRPr="00FD217D" w14:paraId="28AC8707" w14:textId="77777777" w:rsidTr="00CD0355">
        <w:trPr>
          <w:jc w:val="center"/>
        </w:trPr>
        <w:tc>
          <w:tcPr>
            <w:tcW w:w="1229" w:type="dxa"/>
            <w:noWrap/>
            <w:vAlign w:val="bottom"/>
          </w:tcPr>
          <w:p w14:paraId="1E33E45F" w14:textId="77777777" w:rsidR="00CD0355" w:rsidRPr="0037762C" w:rsidRDefault="00CD0355" w:rsidP="00CD0355">
            <w:pPr>
              <w:rPr>
                <w:bCs/>
                <w:sz w:val="16"/>
                <w:szCs w:val="16"/>
              </w:rPr>
            </w:pPr>
            <w:r w:rsidRPr="0037762C">
              <w:rPr>
                <w:bCs/>
                <w:sz w:val="16"/>
                <w:szCs w:val="16"/>
              </w:rPr>
              <w:t>Sunflower</w:t>
            </w:r>
          </w:p>
        </w:tc>
        <w:tc>
          <w:tcPr>
            <w:tcW w:w="900" w:type="dxa"/>
            <w:noWrap/>
            <w:vAlign w:val="center"/>
          </w:tcPr>
          <w:p w14:paraId="47CCE15C"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9EE5FE4"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8E15CA8" w14:textId="77777777" w:rsidR="00CD0355" w:rsidRPr="0037762C" w:rsidRDefault="00CD0355" w:rsidP="00CD0355">
            <w:pPr>
              <w:jc w:val="center"/>
              <w:rPr>
                <w:sz w:val="16"/>
                <w:szCs w:val="16"/>
              </w:rPr>
            </w:pPr>
            <w:r w:rsidRPr="0037762C">
              <w:rPr>
                <w:sz w:val="16"/>
                <w:szCs w:val="16"/>
              </w:rPr>
              <w:t>$25.00</w:t>
            </w:r>
          </w:p>
        </w:tc>
      </w:tr>
      <w:tr w:rsidR="00CD0355" w:rsidRPr="00FD217D" w14:paraId="4BF13338" w14:textId="77777777" w:rsidTr="00CD0355">
        <w:trPr>
          <w:jc w:val="center"/>
        </w:trPr>
        <w:tc>
          <w:tcPr>
            <w:tcW w:w="1229" w:type="dxa"/>
            <w:noWrap/>
            <w:vAlign w:val="bottom"/>
          </w:tcPr>
          <w:p w14:paraId="7DC4E3E4" w14:textId="77777777" w:rsidR="00CD0355" w:rsidRPr="0037762C" w:rsidRDefault="00CD0355" w:rsidP="00CD0355">
            <w:pPr>
              <w:rPr>
                <w:bCs/>
                <w:sz w:val="16"/>
                <w:szCs w:val="16"/>
              </w:rPr>
            </w:pPr>
            <w:r w:rsidRPr="0037762C">
              <w:rPr>
                <w:bCs/>
                <w:sz w:val="16"/>
                <w:szCs w:val="16"/>
              </w:rPr>
              <w:t>Thyme</w:t>
            </w:r>
          </w:p>
        </w:tc>
        <w:tc>
          <w:tcPr>
            <w:tcW w:w="900" w:type="dxa"/>
            <w:noWrap/>
            <w:vAlign w:val="center"/>
          </w:tcPr>
          <w:p w14:paraId="0567A58E" w14:textId="77777777" w:rsidR="00CD0355" w:rsidRPr="0037762C" w:rsidRDefault="00CD0355" w:rsidP="00CD0355">
            <w:pPr>
              <w:jc w:val="center"/>
              <w:rPr>
                <w:sz w:val="16"/>
                <w:szCs w:val="16"/>
              </w:rPr>
            </w:pPr>
            <w:r w:rsidRPr="0037762C">
              <w:rPr>
                <w:sz w:val="16"/>
                <w:szCs w:val="16"/>
              </w:rPr>
              <w:t>$10.00</w:t>
            </w:r>
          </w:p>
        </w:tc>
        <w:tc>
          <w:tcPr>
            <w:tcW w:w="1260" w:type="dxa"/>
            <w:vAlign w:val="center"/>
          </w:tcPr>
          <w:p w14:paraId="7446F8A6"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1BDDDC2" w14:textId="77777777" w:rsidR="00CD0355" w:rsidRPr="0037762C" w:rsidRDefault="00CD0355" w:rsidP="00CD0355">
            <w:pPr>
              <w:jc w:val="center"/>
              <w:rPr>
                <w:sz w:val="16"/>
                <w:szCs w:val="16"/>
              </w:rPr>
            </w:pPr>
            <w:r w:rsidRPr="0037762C">
              <w:rPr>
                <w:sz w:val="16"/>
                <w:szCs w:val="16"/>
              </w:rPr>
              <w:t>$25.00</w:t>
            </w:r>
          </w:p>
        </w:tc>
      </w:tr>
      <w:tr w:rsidR="00CD0355" w:rsidRPr="00FD217D" w14:paraId="1FF6E581" w14:textId="77777777" w:rsidTr="00CD0355">
        <w:trPr>
          <w:jc w:val="center"/>
        </w:trPr>
        <w:tc>
          <w:tcPr>
            <w:tcW w:w="1229" w:type="dxa"/>
            <w:noWrap/>
            <w:vAlign w:val="bottom"/>
          </w:tcPr>
          <w:p w14:paraId="7F46B9B7" w14:textId="77777777" w:rsidR="00CD0355" w:rsidRPr="0037762C" w:rsidRDefault="00CD0355" w:rsidP="00CD0355">
            <w:pPr>
              <w:rPr>
                <w:bCs/>
                <w:sz w:val="16"/>
                <w:szCs w:val="16"/>
              </w:rPr>
            </w:pPr>
            <w:r w:rsidRPr="0037762C">
              <w:rPr>
                <w:bCs/>
                <w:sz w:val="16"/>
                <w:szCs w:val="16"/>
              </w:rPr>
              <w:t>Timothy</w:t>
            </w:r>
          </w:p>
        </w:tc>
        <w:tc>
          <w:tcPr>
            <w:tcW w:w="900" w:type="dxa"/>
            <w:noWrap/>
            <w:vAlign w:val="center"/>
          </w:tcPr>
          <w:p w14:paraId="574FA188" w14:textId="77777777" w:rsidR="00CD0355" w:rsidRPr="0037762C" w:rsidRDefault="00CD0355" w:rsidP="00CD0355">
            <w:pPr>
              <w:jc w:val="center"/>
              <w:rPr>
                <w:sz w:val="16"/>
                <w:szCs w:val="16"/>
              </w:rPr>
            </w:pPr>
            <w:r w:rsidRPr="0037762C">
              <w:rPr>
                <w:bCs/>
                <w:sz w:val="16"/>
                <w:szCs w:val="16"/>
              </w:rPr>
              <w:t>$20.00</w:t>
            </w:r>
          </w:p>
        </w:tc>
        <w:tc>
          <w:tcPr>
            <w:tcW w:w="1260" w:type="dxa"/>
            <w:vAlign w:val="center"/>
          </w:tcPr>
          <w:p w14:paraId="24F4C895" w14:textId="77777777" w:rsidR="00CD0355" w:rsidRPr="0037762C" w:rsidRDefault="00CD0355" w:rsidP="00CD0355">
            <w:pPr>
              <w:jc w:val="center"/>
              <w:rPr>
                <w:sz w:val="16"/>
                <w:szCs w:val="16"/>
              </w:rPr>
            </w:pPr>
            <w:r w:rsidRPr="0037762C">
              <w:rPr>
                <w:bCs/>
                <w:sz w:val="16"/>
                <w:szCs w:val="16"/>
              </w:rPr>
              <w:t>$20.00</w:t>
            </w:r>
          </w:p>
        </w:tc>
        <w:tc>
          <w:tcPr>
            <w:tcW w:w="1573" w:type="dxa"/>
            <w:vAlign w:val="center"/>
          </w:tcPr>
          <w:p w14:paraId="5DBFBE5D" w14:textId="77777777" w:rsidR="00CD0355" w:rsidRPr="0037762C" w:rsidRDefault="00CD0355" w:rsidP="00CD0355">
            <w:pPr>
              <w:jc w:val="center"/>
              <w:rPr>
                <w:sz w:val="16"/>
                <w:szCs w:val="16"/>
              </w:rPr>
            </w:pPr>
            <w:r w:rsidRPr="0037762C">
              <w:rPr>
                <w:sz w:val="16"/>
                <w:szCs w:val="16"/>
              </w:rPr>
              <w:t>$25.00</w:t>
            </w:r>
          </w:p>
        </w:tc>
      </w:tr>
      <w:tr w:rsidR="00CD0355" w:rsidRPr="00FD217D" w14:paraId="08B7FCD0" w14:textId="77777777" w:rsidTr="00CD0355">
        <w:trPr>
          <w:jc w:val="center"/>
        </w:trPr>
        <w:tc>
          <w:tcPr>
            <w:tcW w:w="1229" w:type="dxa"/>
            <w:noWrap/>
            <w:vAlign w:val="bottom"/>
          </w:tcPr>
          <w:p w14:paraId="5DCF5908" w14:textId="77777777" w:rsidR="00CD0355" w:rsidRPr="0037762C" w:rsidRDefault="00CD0355" w:rsidP="00CD0355">
            <w:pPr>
              <w:rPr>
                <w:bCs/>
                <w:sz w:val="16"/>
                <w:szCs w:val="16"/>
              </w:rPr>
            </w:pPr>
            <w:r w:rsidRPr="0037762C">
              <w:rPr>
                <w:bCs/>
                <w:sz w:val="16"/>
                <w:szCs w:val="16"/>
              </w:rPr>
              <w:lastRenderedPageBreak/>
              <w:t>Tomato</w:t>
            </w:r>
          </w:p>
        </w:tc>
        <w:tc>
          <w:tcPr>
            <w:tcW w:w="900" w:type="dxa"/>
            <w:noWrap/>
            <w:vAlign w:val="center"/>
          </w:tcPr>
          <w:p w14:paraId="76977992" w14:textId="77777777" w:rsidR="00CD0355" w:rsidRPr="0037762C" w:rsidRDefault="00CD0355" w:rsidP="00CD0355">
            <w:pPr>
              <w:jc w:val="center"/>
              <w:rPr>
                <w:sz w:val="16"/>
                <w:szCs w:val="16"/>
              </w:rPr>
            </w:pPr>
            <w:r w:rsidRPr="0037762C">
              <w:rPr>
                <w:sz w:val="16"/>
                <w:szCs w:val="16"/>
              </w:rPr>
              <w:t>$10.00</w:t>
            </w:r>
          </w:p>
        </w:tc>
        <w:tc>
          <w:tcPr>
            <w:tcW w:w="1260" w:type="dxa"/>
            <w:vAlign w:val="center"/>
          </w:tcPr>
          <w:p w14:paraId="2C1FC4EF"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59D2D811" w14:textId="77777777" w:rsidR="00CD0355" w:rsidRPr="0037762C" w:rsidRDefault="00CD0355" w:rsidP="00CD0355">
            <w:pPr>
              <w:jc w:val="center"/>
              <w:rPr>
                <w:sz w:val="16"/>
                <w:szCs w:val="16"/>
              </w:rPr>
            </w:pPr>
            <w:r w:rsidRPr="0037762C">
              <w:rPr>
                <w:sz w:val="16"/>
                <w:szCs w:val="16"/>
              </w:rPr>
              <w:t>$25.00</w:t>
            </w:r>
          </w:p>
        </w:tc>
      </w:tr>
      <w:tr w:rsidR="00CD0355" w:rsidRPr="00FD217D" w14:paraId="1D84D942" w14:textId="77777777" w:rsidTr="00CD0355">
        <w:trPr>
          <w:jc w:val="center"/>
        </w:trPr>
        <w:tc>
          <w:tcPr>
            <w:tcW w:w="1229" w:type="dxa"/>
            <w:noWrap/>
            <w:vAlign w:val="bottom"/>
          </w:tcPr>
          <w:p w14:paraId="156A7BFA" w14:textId="77777777" w:rsidR="00CD0355" w:rsidRPr="0037762C" w:rsidRDefault="00CD0355" w:rsidP="00CD0355">
            <w:pPr>
              <w:rPr>
                <w:bCs/>
                <w:sz w:val="16"/>
                <w:szCs w:val="16"/>
              </w:rPr>
            </w:pPr>
            <w:r w:rsidRPr="0037762C">
              <w:rPr>
                <w:bCs/>
                <w:sz w:val="16"/>
                <w:szCs w:val="16"/>
              </w:rPr>
              <w:t>Triticale</w:t>
            </w:r>
          </w:p>
        </w:tc>
        <w:tc>
          <w:tcPr>
            <w:tcW w:w="900" w:type="dxa"/>
            <w:noWrap/>
            <w:vAlign w:val="center"/>
          </w:tcPr>
          <w:p w14:paraId="3122D314"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20087504"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7F7DF09E" w14:textId="77777777" w:rsidR="00CD0355" w:rsidRPr="0037762C" w:rsidRDefault="00CD0355" w:rsidP="00CD0355">
            <w:pPr>
              <w:jc w:val="center"/>
              <w:rPr>
                <w:sz w:val="16"/>
                <w:szCs w:val="16"/>
              </w:rPr>
            </w:pPr>
            <w:r w:rsidRPr="0037762C">
              <w:rPr>
                <w:sz w:val="16"/>
                <w:szCs w:val="16"/>
              </w:rPr>
              <w:t>$25.00</w:t>
            </w:r>
          </w:p>
        </w:tc>
      </w:tr>
      <w:tr w:rsidR="00CD0355" w:rsidRPr="00FD217D" w14:paraId="1C3EC33E" w14:textId="77777777" w:rsidTr="00CD0355">
        <w:trPr>
          <w:jc w:val="center"/>
        </w:trPr>
        <w:tc>
          <w:tcPr>
            <w:tcW w:w="1229" w:type="dxa"/>
            <w:noWrap/>
            <w:vAlign w:val="bottom"/>
          </w:tcPr>
          <w:p w14:paraId="0C8F7632" w14:textId="77777777" w:rsidR="00CD0355" w:rsidRPr="0037762C" w:rsidRDefault="00CD0355" w:rsidP="00CD0355">
            <w:pPr>
              <w:rPr>
                <w:bCs/>
                <w:sz w:val="16"/>
                <w:szCs w:val="16"/>
              </w:rPr>
            </w:pPr>
            <w:r w:rsidRPr="0037762C">
              <w:rPr>
                <w:bCs/>
                <w:sz w:val="16"/>
                <w:szCs w:val="16"/>
              </w:rPr>
              <w:t>Turnip</w:t>
            </w:r>
          </w:p>
        </w:tc>
        <w:tc>
          <w:tcPr>
            <w:tcW w:w="900" w:type="dxa"/>
            <w:noWrap/>
            <w:vAlign w:val="center"/>
          </w:tcPr>
          <w:p w14:paraId="76B61EFF" w14:textId="77777777" w:rsidR="00CD0355" w:rsidRPr="0037762C" w:rsidRDefault="00CD0355" w:rsidP="00CD0355">
            <w:pPr>
              <w:jc w:val="center"/>
              <w:rPr>
                <w:sz w:val="16"/>
                <w:szCs w:val="16"/>
              </w:rPr>
            </w:pPr>
            <w:r w:rsidRPr="0037762C">
              <w:rPr>
                <w:sz w:val="16"/>
                <w:szCs w:val="16"/>
              </w:rPr>
              <w:t>$10.00</w:t>
            </w:r>
          </w:p>
        </w:tc>
        <w:tc>
          <w:tcPr>
            <w:tcW w:w="1260" w:type="dxa"/>
            <w:vAlign w:val="center"/>
          </w:tcPr>
          <w:p w14:paraId="43D01DBD"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2211B44D" w14:textId="77777777" w:rsidR="00CD0355" w:rsidRPr="0037762C" w:rsidRDefault="00CD0355" w:rsidP="00CD0355">
            <w:pPr>
              <w:jc w:val="center"/>
              <w:rPr>
                <w:sz w:val="16"/>
                <w:szCs w:val="16"/>
              </w:rPr>
            </w:pPr>
            <w:r w:rsidRPr="0037762C">
              <w:rPr>
                <w:sz w:val="16"/>
                <w:szCs w:val="16"/>
              </w:rPr>
              <w:t>$25.00</w:t>
            </w:r>
          </w:p>
        </w:tc>
      </w:tr>
      <w:tr w:rsidR="00CD0355" w:rsidRPr="00FD217D" w14:paraId="7D39BF45" w14:textId="77777777" w:rsidTr="00CD0355">
        <w:trPr>
          <w:jc w:val="center"/>
        </w:trPr>
        <w:tc>
          <w:tcPr>
            <w:tcW w:w="1229" w:type="dxa"/>
            <w:noWrap/>
            <w:vAlign w:val="bottom"/>
          </w:tcPr>
          <w:p w14:paraId="2ED4F020" w14:textId="77777777" w:rsidR="00CD0355" w:rsidRPr="0037762C" w:rsidRDefault="00CD0355" w:rsidP="00CD0355">
            <w:pPr>
              <w:rPr>
                <w:bCs/>
                <w:sz w:val="16"/>
                <w:szCs w:val="16"/>
              </w:rPr>
            </w:pPr>
            <w:r w:rsidRPr="0037762C">
              <w:rPr>
                <w:bCs/>
                <w:sz w:val="16"/>
                <w:szCs w:val="16"/>
              </w:rPr>
              <w:t>Vetch</w:t>
            </w:r>
          </w:p>
        </w:tc>
        <w:tc>
          <w:tcPr>
            <w:tcW w:w="900" w:type="dxa"/>
            <w:noWrap/>
            <w:vAlign w:val="center"/>
          </w:tcPr>
          <w:p w14:paraId="3A0CC3DB"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6C2864C"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FA6CE00" w14:textId="77777777" w:rsidR="00CD0355" w:rsidRPr="0037762C" w:rsidRDefault="00CD0355" w:rsidP="00CD0355">
            <w:pPr>
              <w:jc w:val="center"/>
              <w:rPr>
                <w:sz w:val="16"/>
                <w:szCs w:val="16"/>
              </w:rPr>
            </w:pPr>
            <w:r w:rsidRPr="0037762C">
              <w:rPr>
                <w:sz w:val="16"/>
                <w:szCs w:val="16"/>
              </w:rPr>
              <w:t>$25.00</w:t>
            </w:r>
          </w:p>
        </w:tc>
      </w:tr>
      <w:tr w:rsidR="00CD0355" w:rsidRPr="00FD217D" w14:paraId="065179C8" w14:textId="77777777" w:rsidTr="00CD0355">
        <w:trPr>
          <w:jc w:val="center"/>
        </w:trPr>
        <w:tc>
          <w:tcPr>
            <w:tcW w:w="1229" w:type="dxa"/>
            <w:noWrap/>
            <w:vAlign w:val="bottom"/>
          </w:tcPr>
          <w:p w14:paraId="2B6BC223" w14:textId="77777777" w:rsidR="00CD0355" w:rsidRPr="0037762C" w:rsidRDefault="00CD0355" w:rsidP="00CD0355">
            <w:pPr>
              <w:rPr>
                <w:bCs/>
                <w:sz w:val="16"/>
                <w:szCs w:val="16"/>
              </w:rPr>
            </w:pPr>
            <w:r w:rsidRPr="0037762C">
              <w:rPr>
                <w:bCs/>
                <w:sz w:val="16"/>
                <w:szCs w:val="16"/>
              </w:rPr>
              <w:t>Watermelon</w:t>
            </w:r>
          </w:p>
        </w:tc>
        <w:tc>
          <w:tcPr>
            <w:tcW w:w="900" w:type="dxa"/>
            <w:noWrap/>
            <w:vAlign w:val="center"/>
          </w:tcPr>
          <w:p w14:paraId="60038D28"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034B2C93"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75F9AC3C" w14:textId="77777777" w:rsidR="00CD0355" w:rsidRPr="0037762C" w:rsidRDefault="00CD0355" w:rsidP="00CD0355">
            <w:pPr>
              <w:jc w:val="center"/>
              <w:rPr>
                <w:sz w:val="16"/>
                <w:szCs w:val="16"/>
              </w:rPr>
            </w:pPr>
            <w:r w:rsidRPr="0037762C">
              <w:rPr>
                <w:sz w:val="16"/>
                <w:szCs w:val="16"/>
              </w:rPr>
              <w:t>$25.00</w:t>
            </w:r>
          </w:p>
        </w:tc>
      </w:tr>
      <w:tr w:rsidR="00CD0355" w:rsidRPr="00FD217D" w14:paraId="753F0FB7" w14:textId="77777777" w:rsidTr="00CD0355">
        <w:trPr>
          <w:jc w:val="center"/>
        </w:trPr>
        <w:tc>
          <w:tcPr>
            <w:tcW w:w="1229" w:type="dxa"/>
            <w:noWrap/>
            <w:vAlign w:val="bottom"/>
          </w:tcPr>
          <w:p w14:paraId="7EB99B22" w14:textId="77777777" w:rsidR="00CD0355" w:rsidRPr="0037762C" w:rsidRDefault="00CD0355" w:rsidP="00CD0355">
            <w:pPr>
              <w:rPr>
                <w:bCs/>
                <w:sz w:val="16"/>
                <w:szCs w:val="16"/>
              </w:rPr>
            </w:pPr>
            <w:r w:rsidRPr="0037762C">
              <w:rPr>
                <w:bCs/>
                <w:sz w:val="16"/>
                <w:szCs w:val="16"/>
              </w:rPr>
              <w:t>Wheat</w:t>
            </w:r>
          </w:p>
        </w:tc>
        <w:tc>
          <w:tcPr>
            <w:tcW w:w="900" w:type="dxa"/>
            <w:noWrap/>
            <w:vAlign w:val="center"/>
          </w:tcPr>
          <w:p w14:paraId="3181715F"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4DE71377"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34E2A0C9" w14:textId="77777777" w:rsidR="00CD0355" w:rsidRPr="0037762C" w:rsidRDefault="00CD0355" w:rsidP="00CD0355">
            <w:pPr>
              <w:jc w:val="center"/>
              <w:rPr>
                <w:sz w:val="16"/>
                <w:szCs w:val="16"/>
              </w:rPr>
            </w:pPr>
            <w:r w:rsidRPr="0037762C">
              <w:rPr>
                <w:sz w:val="16"/>
                <w:szCs w:val="16"/>
              </w:rPr>
              <w:t>$25.00</w:t>
            </w:r>
          </w:p>
        </w:tc>
      </w:tr>
      <w:tr w:rsidR="00CD0355" w:rsidRPr="00FD217D" w14:paraId="7FD3A616" w14:textId="77777777" w:rsidTr="00CD0355">
        <w:trPr>
          <w:jc w:val="center"/>
        </w:trPr>
        <w:tc>
          <w:tcPr>
            <w:tcW w:w="1229" w:type="dxa"/>
            <w:noWrap/>
            <w:vAlign w:val="bottom"/>
          </w:tcPr>
          <w:p w14:paraId="0F4AD160" w14:textId="77777777" w:rsidR="00CD0355" w:rsidRPr="0037762C" w:rsidRDefault="00CD0355" w:rsidP="00CD0355">
            <w:pPr>
              <w:rPr>
                <w:bCs/>
                <w:sz w:val="16"/>
                <w:szCs w:val="16"/>
              </w:rPr>
            </w:pPr>
            <w:r w:rsidRPr="0037762C">
              <w:rPr>
                <w:bCs/>
                <w:sz w:val="16"/>
                <w:szCs w:val="16"/>
              </w:rPr>
              <w:t>Zoysiagrass</w:t>
            </w:r>
          </w:p>
        </w:tc>
        <w:tc>
          <w:tcPr>
            <w:tcW w:w="900" w:type="dxa"/>
            <w:noWrap/>
            <w:vAlign w:val="center"/>
          </w:tcPr>
          <w:p w14:paraId="444F06F3" w14:textId="77777777" w:rsidR="00CD0355" w:rsidRPr="0037762C" w:rsidRDefault="00CD0355" w:rsidP="00CD0355">
            <w:pPr>
              <w:jc w:val="center"/>
              <w:rPr>
                <w:sz w:val="16"/>
                <w:szCs w:val="16"/>
              </w:rPr>
            </w:pPr>
            <w:r w:rsidRPr="0037762C">
              <w:rPr>
                <w:bCs/>
                <w:sz w:val="16"/>
                <w:szCs w:val="16"/>
              </w:rPr>
              <w:t>$20.00</w:t>
            </w:r>
          </w:p>
        </w:tc>
        <w:tc>
          <w:tcPr>
            <w:tcW w:w="1260" w:type="dxa"/>
            <w:vAlign w:val="center"/>
          </w:tcPr>
          <w:p w14:paraId="26CA5F29" w14:textId="77777777" w:rsidR="00CD0355" w:rsidRPr="0037762C" w:rsidRDefault="00CD0355" w:rsidP="00CD0355">
            <w:pPr>
              <w:jc w:val="center"/>
              <w:rPr>
                <w:sz w:val="16"/>
                <w:szCs w:val="16"/>
              </w:rPr>
            </w:pPr>
            <w:r w:rsidRPr="0037762C">
              <w:rPr>
                <w:bCs/>
                <w:sz w:val="16"/>
                <w:szCs w:val="16"/>
              </w:rPr>
              <w:t>$20.00</w:t>
            </w:r>
          </w:p>
        </w:tc>
        <w:tc>
          <w:tcPr>
            <w:tcW w:w="1573" w:type="dxa"/>
            <w:vAlign w:val="center"/>
          </w:tcPr>
          <w:p w14:paraId="3CB17B4A" w14:textId="77777777" w:rsidR="00CD0355" w:rsidRPr="0037762C" w:rsidRDefault="00CD0355" w:rsidP="00CD0355">
            <w:pPr>
              <w:jc w:val="center"/>
              <w:rPr>
                <w:sz w:val="16"/>
                <w:szCs w:val="16"/>
              </w:rPr>
            </w:pPr>
            <w:r w:rsidRPr="0037762C">
              <w:rPr>
                <w:sz w:val="16"/>
                <w:szCs w:val="16"/>
              </w:rPr>
              <w:t>$25.00</w:t>
            </w:r>
          </w:p>
        </w:tc>
      </w:tr>
      <w:tr w:rsidR="00CD0355" w:rsidRPr="00FD217D" w14:paraId="21D7A06B" w14:textId="77777777" w:rsidTr="00CD0355">
        <w:trPr>
          <w:jc w:val="center"/>
        </w:trPr>
        <w:tc>
          <w:tcPr>
            <w:tcW w:w="1229" w:type="dxa"/>
            <w:noWrap/>
            <w:vAlign w:val="bottom"/>
          </w:tcPr>
          <w:p w14:paraId="7597A2E2" w14:textId="77777777" w:rsidR="00CD0355" w:rsidRPr="0037762C" w:rsidRDefault="00CD0355" w:rsidP="00CD0355">
            <w:pPr>
              <w:rPr>
                <w:bCs/>
                <w:sz w:val="16"/>
                <w:szCs w:val="16"/>
              </w:rPr>
            </w:pPr>
            <w:r w:rsidRPr="0037762C">
              <w:rPr>
                <w:bCs/>
                <w:sz w:val="16"/>
                <w:szCs w:val="16"/>
              </w:rPr>
              <w:t>Zucchini</w:t>
            </w:r>
          </w:p>
        </w:tc>
        <w:tc>
          <w:tcPr>
            <w:tcW w:w="900" w:type="dxa"/>
            <w:noWrap/>
            <w:vAlign w:val="center"/>
          </w:tcPr>
          <w:p w14:paraId="5550B2E8" w14:textId="77777777" w:rsidR="00CD0355" w:rsidRPr="0037762C" w:rsidRDefault="00CD0355" w:rsidP="00CD0355">
            <w:pPr>
              <w:jc w:val="center"/>
              <w:rPr>
                <w:sz w:val="16"/>
                <w:szCs w:val="16"/>
              </w:rPr>
            </w:pPr>
            <w:r w:rsidRPr="0037762C">
              <w:rPr>
                <w:bCs/>
                <w:sz w:val="16"/>
                <w:szCs w:val="16"/>
              </w:rPr>
              <w:t>$10.00</w:t>
            </w:r>
          </w:p>
        </w:tc>
        <w:tc>
          <w:tcPr>
            <w:tcW w:w="1260" w:type="dxa"/>
            <w:vAlign w:val="center"/>
          </w:tcPr>
          <w:p w14:paraId="13EC6366" w14:textId="77777777" w:rsidR="00CD0355" w:rsidRPr="0037762C" w:rsidRDefault="00CD0355" w:rsidP="00CD0355">
            <w:pPr>
              <w:jc w:val="center"/>
              <w:rPr>
                <w:sz w:val="16"/>
                <w:szCs w:val="16"/>
              </w:rPr>
            </w:pPr>
            <w:r w:rsidRPr="0037762C">
              <w:rPr>
                <w:bCs/>
                <w:sz w:val="16"/>
                <w:szCs w:val="16"/>
              </w:rPr>
              <w:t>$10.00</w:t>
            </w:r>
          </w:p>
        </w:tc>
        <w:tc>
          <w:tcPr>
            <w:tcW w:w="1573" w:type="dxa"/>
            <w:vAlign w:val="center"/>
          </w:tcPr>
          <w:p w14:paraId="6EADEFDB" w14:textId="77777777" w:rsidR="00CD0355" w:rsidRPr="0037762C" w:rsidRDefault="00CD0355" w:rsidP="00CD0355">
            <w:pPr>
              <w:jc w:val="center"/>
              <w:rPr>
                <w:sz w:val="16"/>
                <w:szCs w:val="16"/>
              </w:rPr>
            </w:pPr>
            <w:r w:rsidRPr="0037762C">
              <w:rPr>
                <w:sz w:val="16"/>
                <w:szCs w:val="16"/>
              </w:rPr>
              <w:t>$25.00</w:t>
            </w:r>
          </w:p>
        </w:tc>
      </w:tr>
    </w:tbl>
    <w:p w14:paraId="6831E616" w14:textId="77777777" w:rsidR="00CD0355" w:rsidRPr="00C15D8A" w:rsidRDefault="00CD0355" w:rsidP="00CD0355">
      <w:pPr>
        <w:pStyle w:val="RegDoubleIndent"/>
        <w:rPr>
          <w:sz w:val="16"/>
          <w:szCs w:val="16"/>
        </w:rPr>
      </w:pPr>
      <w:r w:rsidRPr="00C15D8A">
        <w:rPr>
          <w:sz w:val="16"/>
          <w:szCs w:val="16"/>
        </w:rPr>
        <w:t>(1) Samples of seeds that are unclean, field run or containing high inert matter shall be charged an additional $10.00 per sample.</w:t>
      </w:r>
    </w:p>
    <w:p w14:paraId="5D54C331" w14:textId="77777777" w:rsidR="00CD0355" w:rsidRPr="00C15D8A" w:rsidRDefault="00CD0355" w:rsidP="00CD0355">
      <w:pPr>
        <w:pStyle w:val="RegDoubleIndent"/>
        <w:rPr>
          <w:sz w:val="16"/>
          <w:szCs w:val="16"/>
        </w:rPr>
      </w:pPr>
      <w:r w:rsidRPr="00C15D8A">
        <w:rPr>
          <w:sz w:val="16"/>
          <w:szCs w:val="16"/>
        </w:rPr>
        <w:t>(2) Fees for tests on seed kinds not listed shall be based on the cost of a kind with a similar test.</w:t>
      </w:r>
    </w:p>
    <w:p w14:paraId="17D1098B" w14:textId="77777777" w:rsidR="00CD0355" w:rsidRPr="00C15D8A" w:rsidRDefault="00CD0355" w:rsidP="00CD0355">
      <w:pPr>
        <w:pStyle w:val="RegDoubleIndent"/>
        <w:rPr>
          <w:sz w:val="16"/>
          <w:szCs w:val="16"/>
        </w:rPr>
      </w:pPr>
      <w:r w:rsidRPr="00C15D8A">
        <w:rPr>
          <w:sz w:val="16"/>
          <w:szCs w:val="16"/>
        </w:rPr>
        <w:t>(3) Louisiana Noxious Weed Seed Examination included in Purity Exam.</w:t>
      </w:r>
    </w:p>
    <w:p w14:paraId="4967CBB3" w14:textId="77777777" w:rsidR="00CD0355" w:rsidRPr="00C15D8A" w:rsidRDefault="00CD0355" w:rsidP="00CD0355">
      <w:pPr>
        <w:pStyle w:val="RegDoubleIndent"/>
        <w:rPr>
          <w:sz w:val="16"/>
          <w:szCs w:val="16"/>
        </w:rPr>
      </w:pPr>
      <w:r w:rsidRPr="00C15D8A">
        <w:rPr>
          <w:sz w:val="16"/>
          <w:szCs w:val="16"/>
        </w:rPr>
        <w:t>(4) For germination tests of mixtures of two or more kinds of seed, the fee is the sum of the fees established for germination tests for the components of the mixture. For a purity analysis performed in conjunction with a germination analysis of seed mixtures, the fee is the same as for that component of the mixture for which the highest charge would be made if separately analyzed. For purity analysis not performed in conjunction with a germination analysis the fee is the sum of the fees established for the purity tests for the components of the mixture if separately analyzed.</w:t>
      </w:r>
    </w:p>
    <w:p w14:paraId="2DFE6054" w14:textId="77777777" w:rsidR="00CD0355" w:rsidRPr="009106CF" w:rsidRDefault="00CD0355" w:rsidP="00CD0355">
      <w:pPr>
        <w:pStyle w:val="RegDoubleIndent"/>
      </w:pPr>
    </w:p>
    <w:p w14:paraId="12C2493D" w14:textId="77777777" w:rsidR="00CD0355" w:rsidRDefault="00CD0355" w:rsidP="00CD0355">
      <w:pPr>
        <w:pStyle w:val="1"/>
      </w:pPr>
      <w:r w:rsidRPr="00CA2490">
        <w:t>2.</w:t>
      </w:r>
      <w:r w:rsidRPr="00CA2490">
        <w:tab/>
        <w:t>All State Noxious Weed Seed Examination—$20. Species appearing on the USDA state noxious</w:t>
      </w:r>
      <w:r w:rsidRPr="00CA2490">
        <w:rPr>
          <w:rFonts w:ascii="Cambria Math" w:hAnsi="Cambria Math" w:cs="Cambria Math"/>
        </w:rPr>
        <w:t>‐</w:t>
      </w:r>
      <w:r w:rsidRPr="00CA2490">
        <w:t xml:space="preserve">weed seed requirements recognized in the administration of the FSA, reported as number </w:t>
      </w:r>
      <w:r>
        <w:t>found and rate per unit weight.</w:t>
      </w:r>
    </w:p>
    <w:p w14:paraId="42807104" w14:textId="77777777" w:rsidR="00CD0355" w:rsidRDefault="00CD0355" w:rsidP="00CD0355">
      <w:pPr>
        <w:pStyle w:val="LACNote"/>
        <w:ind w:left="187" w:right="490" w:firstLine="0"/>
      </w:pPr>
      <w:r>
        <w:t xml:space="preserve">NOTE:  </w:t>
      </w:r>
      <w:r w:rsidRPr="003159A0">
        <w:t xml:space="preserve">Excludes AK and HI noxious weed seeds, Orbanche spp., Phelipanche spp., and Striga spp., which can be determined by request for an additional hourly fee. </w:t>
      </w:r>
    </w:p>
    <w:p w14:paraId="547C87B6" w14:textId="77777777" w:rsidR="00CD0355" w:rsidRPr="00CA2490" w:rsidRDefault="00CD0355" w:rsidP="00CD0355">
      <w:pPr>
        <w:pStyle w:val="1"/>
      </w:pPr>
      <w:r w:rsidRPr="00CA2490">
        <w:t>3.</w:t>
      </w:r>
      <w:r w:rsidRPr="00CA2490">
        <w:tab/>
        <w:t>Seed Count—$10. Used to determine the number of seed per lb. or kg.</w:t>
      </w:r>
    </w:p>
    <w:p w14:paraId="486F221D" w14:textId="77777777" w:rsidR="00CD0355" w:rsidRPr="00CA2490" w:rsidRDefault="00CD0355" w:rsidP="00CD0355">
      <w:pPr>
        <w:pStyle w:val="1"/>
      </w:pPr>
      <w:r w:rsidRPr="00CA2490">
        <w:t>4.</w:t>
      </w:r>
      <w:r w:rsidRPr="00CA2490">
        <w:tab/>
        <w:t>Seed Vigor Test—$20. Including, but not limited to, accelerated aging and cool germination tests.</w:t>
      </w:r>
    </w:p>
    <w:p w14:paraId="6A7C99EF" w14:textId="77777777" w:rsidR="00CD0355" w:rsidRPr="00CA2490" w:rsidRDefault="00CD0355" w:rsidP="00CD0355">
      <w:pPr>
        <w:pStyle w:val="1"/>
      </w:pPr>
      <w:r w:rsidRPr="00CA2490">
        <w:t>5.</w:t>
      </w:r>
      <w:r w:rsidRPr="00CA2490">
        <w:tab/>
        <w:t>Varietal Purity—$20. Including, but not limited to, seed and seedling morphology and fluorescence tests.</w:t>
      </w:r>
    </w:p>
    <w:p w14:paraId="492A5923" w14:textId="77777777" w:rsidR="00CD0355" w:rsidRPr="00CA2490" w:rsidRDefault="00CD0355" w:rsidP="00CD0355">
      <w:pPr>
        <w:pStyle w:val="1"/>
      </w:pPr>
      <w:r w:rsidRPr="00CA2490">
        <w:t>6.</w:t>
      </w:r>
      <w:r w:rsidRPr="00CA2490">
        <w:tab/>
        <w:t>Red Rice Examination, 4 lb.—$10; 8 lb.—$20. Examination of rice sample for the presence of red rice.</w:t>
      </w:r>
    </w:p>
    <w:p w14:paraId="78AA8275" w14:textId="77777777" w:rsidR="00CD0355" w:rsidRPr="00CA2490" w:rsidRDefault="00CD0355" w:rsidP="00CD0355">
      <w:pPr>
        <w:pStyle w:val="1"/>
      </w:pPr>
      <w:r>
        <w:t>7.</w:t>
      </w:r>
      <w:r>
        <w:tab/>
        <w:t>Herbicide Bioassay—$25.</w:t>
      </w:r>
    </w:p>
    <w:p w14:paraId="405BAE2D" w14:textId="77777777" w:rsidR="00CD0355" w:rsidRPr="00CA2490" w:rsidRDefault="00CD0355" w:rsidP="00CD0355">
      <w:pPr>
        <w:pStyle w:val="1"/>
      </w:pPr>
      <w:r>
        <w:t>8. Bulk Examination—</w:t>
      </w:r>
      <w:r w:rsidRPr="00CA2490">
        <w:t>Hourly Fee. Based on complexity of required examination. Examination conducted to determine the occurrence of particular components, including seeds of individual species or particles of specific inert matter (e.g. soil, ergot, sclerotia) in the sample.</w:t>
      </w:r>
    </w:p>
    <w:p w14:paraId="1835CEF0" w14:textId="77777777" w:rsidR="00CD0355" w:rsidRPr="00CA2490" w:rsidRDefault="00CD0355" w:rsidP="00CD0355">
      <w:pPr>
        <w:pStyle w:val="1"/>
      </w:pPr>
      <w:r w:rsidRPr="00CA2490">
        <w:t>9.</w:t>
      </w:r>
      <w:r w:rsidRPr="00CA2490">
        <w:tab/>
        <w:t>Service Sample taken by LDAF Inspector—$15. Sample taken in accordance with the AOSA or FSA seed sampling procedures.</w:t>
      </w:r>
    </w:p>
    <w:p w14:paraId="635097D0" w14:textId="77777777" w:rsidR="00CD0355" w:rsidRPr="00CA2490" w:rsidRDefault="00CD0355" w:rsidP="00CD0355">
      <w:pPr>
        <w:pStyle w:val="1"/>
      </w:pPr>
      <w:r w:rsidRPr="00CA2490">
        <w:t>10.</w:t>
      </w:r>
      <w:r w:rsidRPr="00CA2490">
        <w:tab/>
        <w:t>Priority Rush Sample—$25. A priority rush may be requested by the person submitting a sample for testing. Priority rush samples will be processed immediately upon receipt of sample; however, availability of sample results will depend upon the seed kind and the type of tests requested.</w:t>
      </w:r>
    </w:p>
    <w:p w14:paraId="25DD0378" w14:textId="77777777" w:rsidR="00CD0355" w:rsidRPr="00CA2490" w:rsidRDefault="00CD0355" w:rsidP="00CD0355">
      <w:pPr>
        <w:pStyle w:val="1"/>
      </w:pPr>
      <w:r w:rsidRPr="00CA2490">
        <w:t>11.</w:t>
      </w:r>
      <w:r w:rsidRPr="00CA2490">
        <w:tab/>
        <w:t xml:space="preserve">Hourly Fee—$50. Applies to especially contaminated or extraordinary samples; also used for custom work such as sample preparation and special bulk samples. Total final cost to be negotiated and agreed upon by both parties prior to work being performed. </w:t>
      </w:r>
    </w:p>
    <w:p w14:paraId="2ADAE491" w14:textId="77777777" w:rsidR="00CD0355" w:rsidRPr="00CA2490" w:rsidRDefault="00CD0355" w:rsidP="00CD0355">
      <w:pPr>
        <w:pStyle w:val="AuthorityNote"/>
      </w:pPr>
      <w:r w:rsidRPr="00CA2490">
        <w:t>AUTHORITY NOTE:</w:t>
      </w:r>
      <w:r w:rsidRPr="00CA2490">
        <w:tab/>
        <w:t>Promulgated in accordance with R.S. 3:1433.</w:t>
      </w:r>
    </w:p>
    <w:p w14:paraId="2A7F5D94" w14:textId="77777777" w:rsidR="00CD0355" w:rsidRPr="00CA2490" w:rsidRDefault="00CD0355" w:rsidP="00CD0355">
      <w:pPr>
        <w:pStyle w:val="HistoricalNote"/>
      </w:pPr>
      <w:r w:rsidRPr="001531CD">
        <w:rPr>
          <w:rFonts w:eastAsia="PMingLiU"/>
        </w:rPr>
        <w:t>HISTORICAL NOTE:</w:t>
      </w:r>
      <w:r w:rsidRPr="001531CD">
        <w:rPr>
          <w:rFonts w:eastAsia="PMingLiU"/>
        </w:rPr>
        <w:tab/>
        <w:t xml:space="preserve">Promulgated by the Department of Agriculture, Seed Commission, LR 4:105 (April 1978), amended LR 7:164 (April 1981), amended </w:t>
      </w:r>
      <w:r w:rsidRPr="001531CD">
        <w:t xml:space="preserve">by the Department of Agriculture and Forestry, Office of Agricultural and Environmental Sciences, Seed Commission, </w:t>
      </w:r>
      <w:r w:rsidRPr="001531CD">
        <w:rPr>
          <w:rFonts w:eastAsia="PMingLiU"/>
        </w:rPr>
        <w:t xml:space="preserve">LR 12:825 (December 1986), LR 14:603 (September 1988), LR 29:2632 (December 2003), LR 36:1220 (June 2010), LR 37:1373 (May 2011), </w:t>
      </w:r>
      <w:r w:rsidRPr="001531CD">
        <w:t>repromulgated by the Department of Agriculture and Forestry, Office of Agricultural and Environmental Sciences, Agricultural Chemistry and Seed Commis</w:t>
      </w:r>
      <w:r>
        <w:t>sion, LR 39:2704 (October 2013), amended LR 40:745 (April 2014), LR 41:911 (May 2015), LR 42</w:t>
      </w:r>
      <w:r w:rsidRPr="00BB51B8">
        <w:t>:</w:t>
      </w:r>
      <w:r>
        <w:t xml:space="preserve">211 (February 2016), </w:t>
      </w:r>
      <w:r w:rsidRPr="00CA2490">
        <w:t>LR 43:</w:t>
      </w:r>
      <w:r>
        <w:t>1896 (October 2017).</w:t>
      </w:r>
    </w:p>
    <w:p w14:paraId="7335B481" w14:textId="77777777" w:rsidR="00CD0355" w:rsidRPr="001531CD" w:rsidRDefault="00CD0355" w:rsidP="00CD0355">
      <w:pPr>
        <w:pStyle w:val="Section"/>
      </w:pPr>
      <w:bookmarkStart w:id="1074" w:name="_Toc224818766"/>
      <w:bookmarkEnd w:id="1072"/>
      <w:bookmarkEnd w:id="1073"/>
      <w:r w:rsidRPr="001531CD">
        <w:t>§123.</w:t>
      </w:r>
      <w:r w:rsidRPr="001531CD">
        <w:tab/>
      </w:r>
      <w:r w:rsidRPr="00D55B14">
        <w:t>Regulatory Fee on Seeds</w:t>
      </w:r>
      <w:bookmarkEnd w:id="1074"/>
    </w:p>
    <w:p w14:paraId="6E5AAC7A" w14:textId="23F17F96" w:rsidR="00CD0355" w:rsidRPr="00D55B14" w:rsidRDefault="00CD0355" w:rsidP="00CD0355">
      <w:pPr>
        <w:pStyle w:val="A"/>
      </w:pPr>
      <w:r w:rsidRPr="00BB51B8">
        <w:t>A.</w:t>
      </w:r>
      <w:r w:rsidRPr="00BB51B8">
        <w:tab/>
      </w:r>
      <w:r w:rsidR="00BE2B75" w:rsidRPr="00B7246F">
        <w:t>A regulatory fee of $0.30 for each 100 pounds of agricultural and vegetable seed sold, within this state shall be paid to the commission. The regulatory fee shall be due at the first point of sale in this state. However, the payment of a regulatory fee is not required upon the sale of Louisiana certified tagged seed upon which the regulatory fee has already been paid</w:t>
      </w:r>
      <w:r w:rsidRPr="00BB51B8">
        <w:t>.</w:t>
      </w:r>
    </w:p>
    <w:p w14:paraId="2797A8A7" w14:textId="77777777" w:rsidR="00CD0355" w:rsidRPr="00D55B14" w:rsidRDefault="00CD0355" w:rsidP="00CD0355">
      <w:pPr>
        <w:pStyle w:val="A"/>
      </w:pPr>
      <w:r w:rsidRPr="00D55B14">
        <w:t>B.</w:t>
      </w:r>
      <w:r w:rsidRPr="00D55B14">
        <w:tab/>
        <w:t>All seed dealers shall maintain accurate and legible records for all seeds sold, distributed, or offered or handled for sale in this state. These records shall include the following information for each lot of seed:</w:t>
      </w:r>
    </w:p>
    <w:p w14:paraId="002DCA8A" w14:textId="77777777" w:rsidR="00CD0355" w:rsidRPr="00D55B14" w:rsidRDefault="00CD0355" w:rsidP="00CD0355">
      <w:pPr>
        <w:pStyle w:val="1"/>
      </w:pPr>
      <w:r w:rsidRPr="00D55B14">
        <w:t>1.</w:t>
      </w:r>
      <w:r w:rsidRPr="00D55B14">
        <w:tab/>
        <w:t>any identification of each lot;</w:t>
      </w:r>
    </w:p>
    <w:p w14:paraId="77BFC8A0" w14:textId="77777777" w:rsidR="00CD0355" w:rsidRPr="00D55B14" w:rsidRDefault="00CD0355" w:rsidP="00CD0355">
      <w:pPr>
        <w:pStyle w:val="1"/>
      </w:pPr>
      <w:r w:rsidRPr="00D55B14">
        <w:t>2.</w:t>
      </w:r>
      <w:r w:rsidRPr="00D55B14">
        <w:tab/>
        <w:t>the kind and variety of seed in the lot;</w:t>
      </w:r>
    </w:p>
    <w:p w14:paraId="1380A0AF" w14:textId="77777777" w:rsidR="00CD0355" w:rsidRPr="00D55B14" w:rsidRDefault="00CD0355" w:rsidP="00CD0355">
      <w:pPr>
        <w:pStyle w:val="1"/>
      </w:pPr>
      <w:r w:rsidRPr="00D55B14">
        <w:t>3.</w:t>
      </w:r>
      <w:r w:rsidRPr="00D55B14">
        <w:tab/>
        <w:t>the number of pounds of seed in the lot; and</w:t>
      </w:r>
    </w:p>
    <w:p w14:paraId="48A1137E" w14:textId="77777777" w:rsidR="00CD0355" w:rsidRPr="00D55B14" w:rsidRDefault="00CD0355" w:rsidP="00CD0355">
      <w:pPr>
        <w:pStyle w:val="1"/>
      </w:pPr>
      <w:r w:rsidRPr="00D55B14">
        <w:t>4.</w:t>
      </w:r>
      <w:r w:rsidRPr="00D55B14">
        <w:tab/>
        <w:t>for each lot sold or distributed, the invoice number, weight, lot number, number of containers, and name of the person receiving the seed.</w:t>
      </w:r>
    </w:p>
    <w:p w14:paraId="6675B245" w14:textId="77777777" w:rsidR="00CD0355" w:rsidRPr="00BB51B8" w:rsidRDefault="00CD0355" w:rsidP="00CD0355">
      <w:pPr>
        <w:pStyle w:val="A"/>
      </w:pPr>
      <w:r w:rsidRPr="00BB51B8">
        <w:t>C.</w:t>
      </w:r>
      <w:r w:rsidRPr="00BB51B8">
        <w:tab/>
        <w:t>Each seed dealer shall file a quarterly report with LDAF on a form approved by the commission and submit the regulatory fees collected during that quarter.</w:t>
      </w:r>
    </w:p>
    <w:p w14:paraId="4C44F7AD" w14:textId="77777777" w:rsidR="00CD0355" w:rsidRDefault="00CD0355" w:rsidP="00CD0355">
      <w:pPr>
        <w:pStyle w:val="1"/>
      </w:pPr>
      <w:r w:rsidRPr="00BB51B8">
        <w:t>1.</w:t>
      </w:r>
      <w:r w:rsidRPr="00BB51B8">
        <w:tab/>
        <w:t>The reports sha</w:t>
      </w:r>
      <w:r>
        <w:t>ll cover the following periods:</w:t>
      </w:r>
    </w:p>
    <w:p w14:paraId="0CDE964C" w14:textId="77777777" w:rsidR="00CD0355" w:rsidRDefault="00CD0355" w:rsidP="00CD0355">
      <w:pPr>
        <w:pStyle w:val="a0"/>
      </w:pPr>
      <w:r>
        <w:t>a.</w:t>
      </w:r>
      <w:r>
        <w:tab/>
      </w:r>
      <w:r w:rsidRPr="00BB51B8">
        <w:t>1st q</w:t>
      </w:r>
      <w:r>
        <w:t>uarter―July, August, September;</w:t>
      </w:r>
    </w:p>
    <w:p w14:paraId="52388B0B" w14:textId="77777777" w:rsidR="00CD0355" w:rsidRDefault="00CD0355" w:rsidP="00CD0355">
      <w:pPr>
        <w:pStyle w:val="a0"/>
      </w:pPr>
      <w:r>
        <w:t>b.</w:t>
      </w:r>
      <w:r>
        <w:tab/>
      </w:r>
      <w:r w:rsidRPr="00BB51B8">
        <w:t>2nd quart</w:t>
      </w:r>
      <w:r>
        <w:t>er―October, November, December;</w:t>
      </w:r>
    </w:p>
    <w:p w14:paraId="5E3B0FFE" w14:textId="77777777" w:rsidR="00CD0355" w:rsidRDefault="00CD0355" w:rsidP="00CD0355">
      <w:pPr>
        <w:pStyle w:val="a0"/>
      </w:pPr>
      <w:r>
        <w:t>c.</w:t>
      </w:r>
      <w:r>
        <w:tab/>
        <w:t>3rd quarter―January, February,</w:t>
      </w:r>
      <w:r w:rsidRPr="005B7738">
        <w:t xml:space="preserve"> </w:t>
      </w:r>
      <w:r w:rsidRPr="00BB51B8">
        <w:t>March;</w:t>
      </w:r>
    </w:p>
    <w:p w14:paraId="1AE16BCD" w14:textId="77777777" w:rsidR="00CD0355" w:rsidRPr="00BB51B8" w:rsidRDefault="00CD0355" w:rsidP="00CD0355">
      <w:pPr>
        <w:pStyle w:val="a0"/>
      </w:pPr>
      <w:r>
        <w:t>d.</w:t>
      </w:r>
      <w:r>
        <w:tab/>
      </w:r>
      <w:r w:rsidRPr="00BB51B8">
        <w:t xml:space="preserve">4th quarter―April, May, June. </w:t>
      </w:r>
    </w:p>
    <w:p w14:paraId="54F159DC" w14:textId="77777777" w:rsidR="00CD0355" w:rsidRPr="00BB51B8" w:rsidRDefault="00CD0355" w:rsidP="00CD0355">
      <w:pPr>
        <w:pStyle w:val="1"/>
      </w:pPr>
      <w:r w:rsidRPr="00BB51B8">
        <w:t>2.</w:t>
      </w:r>
      <w:r w:rsidRPr="00BB51B8">
        <w:tab/>
        <w:t>Reports and fees shall be filed with LDAF no later than 30 days following the end of each quarter. If a seed dealer has no sales during the quarterly reporting period the LDAF must be notified accordingly.</w:t>
      </w:r>
    </w:p>
    <w:p w14:paraId="4A112437" w14:textId="77777777" w:rsidR="00CD0355" w:rsidRPr="00BB51B8" w:rsidRDefault="00CD0355" w:rsidP="00CD0355">
      <w:pPr>
        <w:pStyle w:val="A"/>
      </w:pPr>
      <w:r w:rsidRPr="00BB51B8">
        <w:t>D.</w:t>
      </w:r>
      <w:r w:rsidRPr="00BB51B8">
        <w:tab/>
        <w:t>LDAF may assess a 10 percent additional charge as a late payment for failure to timely pay any regulatory fee.</w:t>
      </w:r>
    </w:p>
    <w:p w14:paraId="0EA71CE9" w14:textId="77777777" w:rsidR="00CD0355" w:rsidRPr="001531CD" w:rsidRDefault="00CD0355" w:rsidP="00CD0355">
      <w:pPr>
        <w:pStyle w:val="AuthorityNote"/>
      </w:pPr>
      <w:r w:rsidRPr="00BB51B8">
        <w:t>AUTHORITY NOTE:</w:t>
      </w:r>
      <w:r w:rsidRPr="00BB51B8">
        <w:tab/>
        <w:t>Promulgated in accordance with R.S. 3:1433.</w:t>
      </w:r>
    </w:p>
    <w:p w14:paraId="3C0CE2B3" w14:textId="72111C64" w:rsidR="00CD0355" w:rsidRPr="001531CD" w:rsidRDefault="00CD0355" w:rsidP="00CD0355">
      <w:pPr>
        <w:pStyle w:val="HistoricalNote"/>
        <w:rPr>
          <w:rFonts w:eastAsia="PMingLiU"/>
        </w:rPr>
      </w:pPr>
      <w:r w:rsidRPr="001531CD">
        <w:rPr>
          <w:rFonts w:eastAsia="PMingLiU"/>
        </w:rPr>
        <w:t>HISTORICAL NOTE:</w:t>
      </w:r>
      <w:r w:rsidRPr="001531CD">
        <w:rPr>
          <w:rFonts w:eastAsia="PMingLiU"/>
        </w:rPr>
        <w:tab/>
        <w:t xml:space="preserve">Promulgated by the Department of Agriculture and Forestry, Seed Commission, LR 14:603 (September 1988), amended LR 29:2632 (December 2003), LR 38:1558 (July 2012), </w:t>
      </w:r>
      <w:r w:rsidRPr="001531CD">
        <w:t>repromulgated by the Department of Agriculture and Forestry, Office of Agricultural and Environmental Sciences, Agricultural Chemistry and Seed Commission, LR 39:2704 (October 2</w:t>
      </w:r>
      <w:r>
        <w:t xml:space="preserve">013), </w:t>
      </w:r>
      <w:r w:rsidRPr="00D55B14">
        <w:t xml:space="preserve">amended </w:t>
      </w:r>
      <w:r>
        <w:t>LR 40:745 (April 2014), LR 42</w:t>
      </w:r>
      <w:r w:rsidRPr="00BB51B8">
        <w:t>:</w:t>
      </w:r>
      <w:r>
        <w:t>211 (February 2016)</w:t>
      </w:r>
      <w:r w:rsidR="00BE2B75">
        <w:t xml:space="preserve">, </w:t>
      </w:r>
      <w:r w:rsidR="00BE2B75" w:rsidRPr="00B7246F">
        <w:t>LR 52:347 (March 2026).</w:t>
      </w:r>
    </w:p>
    <w:p w14:paraId="5561AE84" w14:textId="77777777" w:rsidR="00CD0355" w:rsidRPr="001531CD" w:rsidRDefault="00CD0355" w:rsidP="00CD0355">
      <w:pPr>
        <w:pStyle w:val="Section"/>
      </w:pPr>
      <w:bookmarkStart w:id="1075" w:name="_Toc224818767"/>
      <w:bookmarkEnd w:id="1044"/>
      <w:r w:rsidRPr="001531CD">
        <w:lastRenderedPageBreak/>
        <w:t>§125.</w:t>
      </w:r>
      <w:r w:rsidRPr="001531CD">
        <w:tab/>
      </w:r>
      <w:r w:rsidRPr="00D55B14">
        <w:t>Certification, Field Inspection, and Sampling Fees</w:t>
      </w:r>
      <w:bookmarkEnd w:id="1075"/>
    </w:p>
    <w:p w14:paraId="1F70CE5A" w14:textId="77777777" w:rsidR="00CD0355" w:rsidRPr="00D55B14" w:rsidRDefault="00CD0355" w:rsidP="00CD0355">
      <w:pPr>
        <w:pStyle w:val="A"/>
      </w:pPr>
      <w:r w:rsidRPr="00D55B14">
        <w:t>A.</w:t>
      </w:r>
      <w:r w:rsidRPr="00D55B14">
        <w:tab/>
        <w:t>All fees shall be paid before the requested work is performed, as follows.</w:t>
      </w:r>
    </w:p>
    <w:p w14:paraId="45A928B7" w14:textId="77777777" w:rsidR="00CD0355" w:rsidRPr="001531CD" w:rsidRDefault="00CD0355" w:rsidP="00CD0355">
      <w:pPr>
        <w:pStyle w:val="1"/>
      </w:pPr>
      <w:r w:rsidRPr="00D55B14">
        <w:t>1.</w:t>
      </w:r>
      <w:r w:rsidRPr="00D55B14">
        <w:tab/>
        <w:t>All application fees and fees for inspections, re-inspections, sampling and re-sampling shall be paid at the time the application or request for work is submitted to LDAF, except for those crop kinds where the fee is based on an hourly rate and mileage.</w:t>
      </w:r>
    </w:p>
    <w:p w14:paraId="058BBC0A" w14:textId="77777777" w:rsidR="00CD0355" w:rsidRPr="001531CD" w:rsidRDefault="00CD0355" w:rsidP="00CD0355">
      <w:pPr>
        <w:pStyle w:val="1"/>
      </w:pPr>
      <w:r w:rsidRPr="001531CD">
        <w:t>2.</w:t>
      </w:r>
      <w:r w:rsidRPr="001531CD">
        <w:tab/>
        <w:t xml:space="preserve">Fees for certification of seeds by laboratory analysis shall be paid prior to submission of the certified sample to the State Seed Testing Laboratory. </w:t>
      </w:r>
    </w:p>
    <w:p w14:paraId="5CB99104" w14:textId="77777777" w:rsidR="00CD0355" w:rsidRPr="001531CD" w:rsidRDefault="00CD0355" w:rsidP="00CD0355">
      <w:pPr>
        <w:pStyle w:val="1"/>
      </w:pPr>
      <w:r w:rsidRPr="001531CD">
        <w:t>3.</w:t>
      </w:r>
      <w:r w:rsidRPr="001531CD">
        <w:tab/>
        <w:t>Requests for different payment arrangements shall be made to and must be approved by the director or assistant director.</w:t>
      </w:r>
    </w:p>
    <w:p w14:paraId="55FD27EF" w14:textId="77777777" w:rsidR="00CD0355" w:rsidRPr="001531CD" w:rsidRDefault="00CD0355" w:rsidP="00CD0355">
      <w:pPr>
        <w:pStyle w:val="A"/>
      </w:pPr>
      <w:r w:rsidRPr="001531CD">
        <w:t>B.</w:t>
      </w:r>
      <w:r w:rsidRPr="001531CD">
        <w:tab/>
        <w:t>Application Fees</w:t>
      </w:r>
    </w:p>
    <w:p w14:paraId="6BF1E1B9" w14:textId="77777777" w:rsidR="00CD0355" w:rsidRPr="001531CD" w:rsidRDefault="00CD0355" w:rsidP="00CD0355">
      <w:pPr>
        <w:pStyle w:val="1"/>
      </w:pPr>
      <w:r w:rsidRPr="001531CD">
        <w:t>1.</w:t>
      </w:r>
      <w:r w:rsidRPr="001531CD">
        <w:tab/>
        <w:t xml:space="preserve">The application fee for certification for each producer shall be $28 for each variety with only one variety per application if the application is timely submitted. </w:t>
      </w:r>
    </w:p>
    <w:p w14:paraId="396D779C" w14:textId="77777777" w:rsidR="00CD0355" w:rsidRPr="001531CD" w:rsidRDefault="00CD0355" w:rsidP="00CD0355">
      <w:pPr>
        <w:pStyle w:val="1"/>
      </w:pPr>
      <w:r w:rsidRPr="001531CD">
        <w:t>2.</w:t>
      </w:r>
      <w:r w:rsidRPr="001531CD">
        <w:tab/>
        <w:t xml:space="preserve">The application fee for certification shall be $100 for each application submitted after the deadline shown in §509 of this Part. </w:t>
      </w:r>
    </w:p>
    <w:p w14:paraId="379269D3" w14:textId="77777777" w:rsidR="00CD0355" w:rsidRPr="001531CD" w:rsidRDefault="00CD0355" w:rsidP="00CD0355">
      <w:pPr>
        <w:pStyle w:val="A"/>
      </w:pPr>
      <w:r w:rsidRPr="001531CD">
        <w:t>C.</w:t>
      </w:r>
      <w:r w:rsidRPr="001531CD">
        <w:tab/>
        <w:t>Field inspection fees shall be charged as follows:</w:t>
      </w:r>
    </w:p>
    <w:p w14:paraId="06F28871" w14:textId="77777777" w:rsidR="00CD0355" w:rsidRPr="001531CD" w:rsidRDefault="00CD0355" w:rsidP="00CD0355">
      <w:pPr>
        <w:pStyle w:val="1"/>
      </w:pPr>
      <w:r w:rsidRPr="001531CD">
        <w:t>1.</w:t>
      </w:r>
      <w:r w:rsidRPr="001531CD">
        <w:tab/>
        <w:t>all crop, grass, and other seeds not listed in this Section</w:t>
      </w:r>
      <w:r w:rsidRPr="001531CD">
        <w:sym w:font="Symbol" w:char="F0BE"/>
      </w:r>
      <w:r w:rsidRPr="001531CD">
        <w:t>$1.15 per acre;</w:t>
      </w:r>
    </w:p>
    <w:p w14:paraId="216900CA" w14:textId="77777777" w:rsidR="00CD0355" w:rsidRPr="00D55B14" w:rsidRDefault="00CD0355" w:rsidP="00CD0355">
      <w:pPr>
        <w:pStyle w:val="1"/>
      </w:pPr>
      <w:r w:rsidRPr="00D55B14">
        <w:t>2.</w:t>
      </w:r>
      <w:r w:rsidRPr="00D55B14">
        <w:tab/>
        <w:t>for the following species, California bulrush, sea oats, and smooth cordgrass:</w:t>
      </w:r>
    </w:p>
    <w:p w14:paraId="544FFF87" w14:textId="77777777" w:rsidR="00CD0355" w:rsidRPr="00D55B14" w:rsidRDefault="00CD0355" w:rsidP="00CD0355">
      <w:pPr>
        <w:pStyle w:val="a0"/>
      </w:pPr>
      <w:r w:rsidRPr="00D55B14">
        <w:t>a.</w:t>
      </w:r>
      <w:r w:rsidRPr="00D55B14">
        <w:tab/>
        <w:t>an hourly fee of $25 per hour per inspector for each inspection</w:t>
      </w:r>
      <w:r>
        <w:t>;</w:t>
      </w:r>
      <w:r w:rsidRPr="00D55B14">
        <w:t xml:space="preserve"> and </w:t>
      </w:r>
    </w:p>
    <w:p w14:paraId="1C0AB616" w14:textId="77777777" w:rsidR="00CD0355" w:rsidRPr="001531CD" w:rsidRDefault="00CD0355" w:rsidP="00CD0355">
      <w:pPr>
        <w:pStyle w:val="a0"/>
      </w:pPr>
      <w:r w:rsidRPr="00D55B14">
        <w:t>b.</w:t>
      </w:r>
      <w:r w:rsidRPr="00D55B14">
        <w:tab/>
        <w:t>mileage for travel to and from inspection location at the mileage reimbursement rate established by the Division of Administration’s state travel regulations;</w:t>
      </w:r>
    </w:p>
    <w:p w14:paraId="61F82DE0" w14:textId="77777777" w:rsidR="00CD0355" w:rsidRPr="001531CD" w:rsidRDefault="00CD0355" w:rsidP="00CD0355">
      <w:pPr>
        <w:pStyle w:val="1"/>
      </w:pPr>
      <w:r w:rsidRPr="001531CD">
        <w:t>3.</w:t>
      </w:r>
      <w:r w:rsidRPr="001531CD">
        <w:tab/>
        <w:t>rice—$1.15 per acre;</w:t>
      </w:r>
    </w:p>
    <w:p w14:paraId="0904D9F2" w14:textId="77777777" w:rsidR="00CD0355" w:rsidRPr="001531CD" w:rsidRDefault="00CD0355" w:rsidP="00CD0355">
      <w:pPr>
        <w:pStyle w:val="1"/>
      </w:pPr>
      <w:r w:rsidRPr="001531CD">
        <w:t>4.</w:t>
      </w:r>
      <w:r w:rsidRPr="001531CD">
        <w:tab/>
        <w:t>small grains—$1.15 per acre;</w:t>
      </w:r>
    </w:p>
    <w:p w14:paraId="1A29DE27" w14:textId="77777777" w:rsidR="00CD0355" w:rsidRPr="001531CD" w:rsidRDefault="00CD0355" w:rsidP="00CD0355">
      <w:pPr>
        <w:pStyle w:val="1"/>
      </w:pPr>
      <w:r w:rsidRPr="001531CD">
        <w:t>5.</w:t>
      </w:r>
      <w:r w:rsidRPr="001531CD">
        <w:tab/>
        <w:t>sugarcane—$3 per acre;</w:t>
      </w:r>
    </w:p>
    <w:p w14:paraId="533C2B59" w14:textId="77777777" w:rsidR="00CD0355" w:rsidRPr="001531CD" w:rsidRDefault="00CD0355" w:rsidP="00CD0355">
      <w:pPr>
        <w:pStyle w:val="1"/>
      </w:pPr>
      <w:r w:rsidRPr="001531CD">
        <w:t>6.</w:t>
      </w:r>
      <w:r w:rsidRPr="001531CD">
        <w:tab/>
        <w:t>sweet potato:</w:t>
      </w:r>
    </w:p>
    <w:p w14:paraId="4657E37A" w14:textId="77777777" w:rsidR="00CD0355" w:rsidRPr="001531CD" w:rsidRDefault="00CD0355" w:rsidP="00CD0355">
      <w:pPr>
        <w:pStyle w:val="a0"/>
      </w:pPr>
      <w:r w:rsidRPr="001531CD">
        <w:t>a.</w:t>
      </w:r>
      <w:r w:rsidRPr="001531CD">
        <w:tab/>
        <w:t>field inspection—$2.25 per acre;</w:t>
      </w:r>
    </w:p>
    <w:p w14:paraId="34BE999C" w14:textId="77777777" w:rsidR="00CD0355" w:rsidRPr="001531CD" w:rsidRDefault="00CD0355" w:rsidP="00CD0355">
      <w:pPr>
        <w:pStyle w:val="a0"/>
      </w:pPr>
      <w:r w:rsidRPr="001531CD">
        <w:t>b.</w:t>
      </w:r>
      <w:r w:rsidRPr="001531CD">
        <w:tab/>
        <w:t>greenhouse and seedbed inspections—$62.50 per crop year;</w:t>
      </w:r>
    </w:p>
    <w:p w14:paraId="0F17CACB" w14:textId="77777777" w:rsidR="00CD0355" w:rsidRPr="00D55B14" w:rsidRDefault="00CD0355" w:rsidP="00CD0355">
      <w:pPr>
        <w:pStyle w:val="a0"/>
      </w:pPr>
      <w:r w:rsidRPr="00D55B14">
        <w:t>c.</w:t>
      </w:r>
      <w:r w:rsidRPr="00D55B14">
        <w:tab/>
        <w:t>seed storage inspection:</w:t>
      </w:r>
    </w:p>
    <w:p w14:paraId="1ECB8E69" w14:textId="77777777" w:rsidR="00CD0355" w:rsidRPr="00D55B14" w:rsidRDefault="00CD0355" w:rsidP="00CD0355">
      <w:pPr>
        <w:pStyle w:val="i0"/>
      </w:pPr>
      <w:r>
        <w:tab/>
      </w:r>
      <w:r w:rsidRPr="00D55B14">
        <w:t>i.</w:t>
      </w:r>
      <w:r w:rsidRPr="00D55B14">
        <w:tab/>
        <w:t>a fee of $25 per hour, per inspector for each seed sweet potato storage inspection, and</w:t>
      </w:r>
    </w:p>
    <w:p w14:paraId="0223229F" w14:textId="77777777" w:rsidR="00CD0355" w:rsidRPr="001531CD" w:rsidRDefault="00CD0355" w:rsidP="00CD0355">
      <w:pPr>
        <w:pStyle w:val="i0"/>
      </w:pPr>
      <w:r>
        <w:tab/>
      </w:r>
      <w:r w:rsidRPr="00D55B14">
        <w:t>ii.</w:t>
      </w:r>
      <w:r w:rsidRPr="00D55B14">
        <w:tab/>
        <w:t>mileage for travel to and from the inspection location mileage reimbursement rate established by the Division of Administration’s state travel regulations.</w:t>
      </w:r>
    </w:p>
    <w:p w14:paraId="18F3E463" w14:textId="77777777" w:rsidR="00CD0355" w:rsidRPr="001531CD" w:rsidRDefault="00CD0355" w:rsidP="00CD0355">
      <w:pPr>
        <w:pStyle w:val="1"/>
      </w:pPr>
      <w:r w:rsidRPr="001531CD">
        <w:t>7.</w:t>
      </w:r>
      <w:r w:rsidRPr="001531CD">
        <w:tab/>
        <w:t>turf and pasture grass—$31.25 per acre.</w:t>
      </w:r>
    </w:p>
    <w:p w14:paraId="5F8D6D67" w14:textId="77777777" w:rsidR="00CD0355" w:rsidRPr="001531CD" w:rsidRDefault="00CD0355" w:rsidP="00CD0355">
      <w:pPr>
        <w:pStyle w:val="A"/>
      </w:pPr>
      <w:r w:rsidRPr="001531CD">
        <w:t>D.</w:t>
      </w:r>
      <w:r w:rsidRPr="001531CD">
        <w:tab/>
        <w:t xml:space="preserve">Reinspection fees—$50 for each re-inspection. </w:t>
      </w:r>
    </w:p>
    <w:p w14:paraId="4FAAE52E" w14:textId="77777777" w:rsidR="00CD0355" w:rsidRPr="001531CD" w:rsidRDefault="00CD0355" w:rsidP="00CD0355">
      <w:pPr>
        <w:pStyle w:val="A"/>
      </w:pPr>
      <w:r w:rsidRPr="001531CD">
        <w:t>E.</w:t>
      </w:r>
      <w:r w:rsidRPr="001531CD">
        <w:tab/>
        <w:t xml:space="preserve">Fees for phytosanitary inspections—$1.15 per acre. </w:t>
      </w:r>
    </w:p>
    <w:p w14:paraId="6A26EA9A" w14:textId="77777777" w:rsidR="00CD0355" w:rsidRPr="001531CD" w:rsidRDefault="00CD0355" w:rsidP="00CD0355">
      <w:pPr>
        <w:pStyle w:val="A"/>
      </w:pPr>
      <w:r w:rsidRPr="001531CD">
        <w:t>F.</w:t>
      </w:r>
      <w:r w:rsidRPr="001531CD">
        <w:tab/>
        <w:t>Fees for resampling certified seed—$30 for each re-sample.</w:t>
      </w:r>
    </w:p>
    <w:p w14:paraId="72030E6D" w14:textId="77777777" w:rsidR="00CD0355" w:rsidRPr="001531CD" w:rsidRDefault="00CD0355" w:rsidP="00CD0355">
      <w:pPr>
        <w:pStyle w:val="A"/>
      </w:pPr>
      <w:r w:rsidRPr="001531CD">
        <w:t>G.</w:t>
      </w:r>
      <w:r w:rsidRPr="001531CD">
        <w:tab/>
        <w:t>Fees for bulk sampling—$30 for each bulk sample by vacuum probe.</w:t>
      </w:r>
    </w:p>
    <w:p w14:paraId="7A4D6ECB" w14:textId="77777777" w:rsidR="00CD0355" w:rsidRPr="001531CD" w:rsidRDefault="00CD0355" w:rsidP="00CD0355">
      <w:pPr>
        <w:pStyle w:val="A"/>
      </w:pPr>
      <w:r w:rsidRPr="001531CD">
        <w:t>H.</w:t>
      </w:r>
      <w:r w:rsidRPr="001531CD">
        <w:tab/>
        <w:t>Seed Certification Fees</w:t>
      </w:r>
    </w:p>
    <w:p w14:paraId="07A0640D" w14:textId="77777777" w:rsidR="00CD0355" w:rsidRPr="001531CD" w:rsidRDefault="00CD0355" w:rsidP="00CD0355">
      <w:pPr>
        <w:pStyle w:val="1"/>
      </w:pPr>
      <w:r w:rsidRPr="001531CD">
        <w:t>1.</w:t>
      </w:r>
      <w:r w:rsidRPr="001531CD">
        <w:tab/>
        <w:t>Fees for certified seed shall be 16 cents per weight unit and be calculated on the total weight units in the certifiable lot. The number of weight units for a particular lot of seed shall be reported when the certified sample is taken.</w:t>
      </w:r>
    </w:p>
    <w:p w14:paraId="2F2AF568" w14:textId="77777777" w:rsidR="00CD0355" w:rsidRPr="001531CD" w:rsidRDefault="00CD0355" w:rsidP="00CD0355">
      <w:pPr>
        <w:pStyle w:val="a0"/>
      </w:pPr>
      <w:r w:rsidRPr="001531CD">
        <w:t>a.</w:t>
      </w:r>
      <w:r w:rsidRPr="001531CD">
        <w:tab/>
        <w:t>The weight unit for all seeds is 50 pounds except for rice which has a weight unit of 100 pounds.</w:t>
      </w:r>
    </w:p>
    <w:p w14:paraId="1E15507A" w14:textId="77777777" w:rsidR="00CD0355" w:rsidRPr="001531CD" w:rsidRDefault="00CD0355" w:rsidP="00CD0355">
      <w:pPr>
        <w:pStyle w:val="a0"/>
      </w:pPr>
      <w:r w:rsidRPr="001531CD">
        <w:t>b.</w:t>
      </w:r>
      <w:r w:rsidRPr="001531CD">
        <w:tab/>
        <w:t>A person who sells, distributes, or offers for sale certified seed in Louisiana and who has paid certification fees for a particular lot of seed may request a partial refund, not to exceed 70 percent on the unsold portion of the certified lot.</w:t>
      </w:r>
    </w:p>
    <w:p w14:paraId="32BD2CEA" w14:textId="77777777" w:rsidR="00CD0355" w:rsidRPr="001531CD" w:rsidRDefault="00CD0355" w:rsidP="00CD0355">
      <w:pPr>
        <w:pStyle w:val="a0"/>
      </w:pPr>
      <w:r w:rsidRPr="001531CD">
        <w:t>c.</w:t>
      </w:r>
      <w:r w:rsidRPr="001531CD">
        <w:tab/>
        <w:t>A person requesting a refund must submit a written request, along with all unused tags from the certified lot, within nine months of the certified test date, stating:</w:t>
      </w:r>
    </w:p>
    <w:p w14:paraId="1E70E99F" w14:textId="77777777" w:rsidR="00CD0355" w:rsidRPr="001531CD" w:rsidRDefault="00CD0355" w:rsidP="00CD0355">
      <w:pPr>
        <w:pStyle w:val="i0"/>
      </w:pPr>
      <w:r w:rsidRPr="001531CD">
        <w:tab/>
        <w:t>i.</w:t>
      </w:r>
      <w:r w:rsidRPr="001531CD">
        <w:tab/>
        <w:t>the lot number for the seed that the request is being made;</w:t>
      </w:r>
    </w:p>
    <w:p w14:paraId="6CBF3FB7" w14:textId="77777777" w:rsidR="00CD0355" w:rsidRPr="001531CD" w:rsidRDefault="00CD0355" w:rsidP="00CD0355">
      <w:pPr>
        <w:pStyle w:val="i0"/>
      </w:pPr>
      <w:r w:rsidRPr="001531CD">
        <w:tab/>
        <w:t>ii.</w:t>
      </w:r>
      <w:r w:rsidRPr="001531CD">
        <w:tab/>
        <w:t>the number of weight units sold from the certified lot; and</w:t>
      </w:r>
    </w:p>
    <w:p w14:paraId="7FFC5034" w14:textId="77777777" w:rsidR="00CD0355" w:rsidRPr="001531CD" w:rsidRDefault="00CD0355" w:rsidP="00CD0355">
      <w:pPr>
        <w:pStyle w:val="i0"/>
      </w:pPr>
      <w:r w:rsidRPr="001531CD">
        <w:tab/>
        <w:t>iii.</w:t>
      </w:r>
      <w:r w:rsidRPr="001531CD">
        <w:tab/>
        <w:t>the number of weight units partitioned for refund from the certified lot.</w:t>
      </w:r>
    </w:p>
    <w:p w14:paraId="0D9DDD7E" w14:textId="77777777" w:rsidR="00CD0355" w:rsidRPr="001531CD" w:rsidRDefault="00CD0355" w:rsidP="00CD0355">
      <w:pPr>
        <w:pStyle w:val="a0"/>
      </w:pPr>
      <w:r w:rsidRPr="001531CD">
        <w:t>d.</w:t>
      </w:r>
      <w:r w:rsidRPr="001531CD">
        <w:tab/>
        <w:t>A request for a refund shall be approved upon verification of the unused tags and information submitted with the request.</w:t>
      </w:r>
    </w:p>
    <w:p w14:paraId="7C46F553" w14:textId="77777777" w:rsidR="00CD0355" w:rsidRPr="001531CD" w:rsidRDefault="00CD0355" w:rsidP="00CD0355">
      <w:pPr>
        <w:pStyle w:val="AuthorityNote"/>
        <w:tabs>
          <w:tab w:val="clear" w:pos="1800"/>
          <w:tab w:val="left" w:pos="1890"/>
        </w:tabs>
      </w:pPr>
      <w:r>
        <w:t>AUTHORITY NOTE:</w:t>
      </w:r>
      <w:r>
        <w:tab/>
      </w:r>
      <w:r w:rsidRPr="001531CD">
        <w:t>Promulgated in accordance with R.S. 3:1433.</w:t>
      </w:r>
    </w:p>
    <w:p w14:paraId="493E6717" w14:textId="77777777" w:rsidR="00CD0355" w:rsidRPr="001531CD" w:rsidRDefault="00CD0355" w:rsidP="00CD0355">
      <w:pPr>
        <w:pStyle w:val="HistoricalNote"/>
      </w:pPr>
      <w:r w:rsidRPr="001531CD">
        <w:t>HISTORICAL NOTE:</w:t>
      </w:r>
      <w:r w:rsidRPr="001531CD">
        <w:tab/>
        <w:t>Promulgated by the Department of Agriculture, Seed Commission, LR 8:566 (November 1982), amended LR 10:495 (July, 1984), amended by the Department of Agriculture and Forestry, Seed Commission, LR 12:825 (December 1986), LR 14:604 (September 1988), LR 16:847 (October 1990), LR 25:1617 (September 1999), LR 26:235 (February 2000), LR 29:2632 (December 2003), LR 31:420 (February 2005), LR 31:1511 (July 2005), LR 34:2339 (November 2008), LR 37:2979 (October 2011), LR 38:1558 (July 2012), repromulgated by the Department of Agriculture and Forestry, Office of Agricultural and Environmental Sciences, Agricultural Chemistry and Seed Commis</w:t>
      </w:r>
      <w:r>
        <w:t>sion, LR 39:2705 (October 2013), amended LR 40:745 (April 2014).</w:t>
      </w:r>
    </w:p>
    <w:p w14:paraId="7A05B398" w14:textId="77777777" w:rsidR="00CD0355" w:rsidRPr="00E52181" w:rsidRDefault="00CD0355" w:rsidP="00CD0355">
      <w:pPr>
        <w:pStyle w:val="Section"/>
      </w:pPr>
      <w:bookmarkStart w:id="1076" w:name="_Toc370127208"/>
      <w:bookmarkStart w:id="1077" w:name="_Toc375025275"/>
      <w:bookmarkStart w:id="1078" w:name="_Toc386110160"/>
      <w:bookmarkStart w:id="1079" w:name="_Toc388357993"/>
      <w:bookmarkStart w:id="1080" w:name="_Toc396114897"/>
      <w:bookmarkStart w:id="1081" w:name="_Toc411855288"/>
      <w:bookmarkStart w:id="1082" w:name="_Toc419795489"/>
      <w:bookmarkStart w:id="1083" w:name="_Toc427736877"/>
      <w:bookmarkStart w:id="1084" w:name="_Toc438546677"/>
      <w:bookmarkStart w:id="1085" w:name="_Toc446326664"/>
      <w:bookmarkStart w:id="1086" w:name="_Toc448824854"/>
      <w:bookmarkStart w:id="1087" w:name="_Toc451505898"/>
      <w:bookmarkStart w:id="1088" w:name="_Toc462212321"/>
      <w:bookmarkStart w:id="1089" w:name="_Toc468096241"/>
      <w:bookmarkStart w:id="1090" w:name="_Toc477853721"/>
      <w:bookmarkStart w:id="1091" w:name="_Toc488735665"/>
      <w:bookmarkStart w:id="1092" w:name="_Toc491176482"/>
      <w:bookmarkStart w:id="1093" w:name="_Toc509393405"/>
      <w:bookmarkStart w:id="1094" w:name="_Toc525114572"/>
      <w:bookmarkStart w:id="1095" w:name="_Toc535996969"/>
      <w:bookmarkStart w:id="1096" w:name="_Toc224818768"/>
      <w:r w:rsidRPr="00E52181">
        <w:t>§§127-129.</w:t>
      </w:r>
      <w:r w:rsidRPr="00E52181">
        <w:tab/>
        <w:t>Reserved</w:t>
      </w:r>
      <w:bookmarkEnd w:id="1076"/>
      <w:r w:rsidRPr="00E52181">
        <w:t>.</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47C7D10B" w14:textId="77777777" w:rsidR="00CD0355" w:rsidRPr="00E52181" w:rsidRDefault="00CD0355" w:rsidP="00CD0355">
      <w:pPr>
        <w:pStyle w:val="Chapter"/>
      </w:pPr>
      <w:bookmarkStart w:id="1097" w:name="_Toc224818769"/>
      <w:r w:rsidRPr="00E52181">
        <w:t>Subchapter C.</w:t>
      </w:r>
      <w:r w:rsidRPr="00E52181">
        <w:tab/>
        <w:t>Labels; Records; Samples; Tolerances; Standards; Noxious Weed Seed</w:t>
      </w:r>
      <w:bookmarkEnd w:id="1097"/>
    </w:p>
    <w:p w14:paraId="57AB7287" w14:textId="77777777" w:rsidR="00CD0355" w:rsidRPr="00E52181" w:rsidRDefault="00CD0355" w:rsidP="00CD0355">
      <w:pPr>
        <w:pStyle w:val="Section"/>
      </w:pPr>
      <w:bookmarkStart w:id="1098" w:name="_Toc224818770"/>
      <w:r w:rsidRPr="00E52181">
        <w:t>§131.</w:t>
      </w:r>
      <w:r w:rsidRPr="00E52181">
        <w:tab/>
        <w:t>Analysis Test; Labeling of Seed</w:t>
      </w:r>
      <w:bookmarkEnd w:id="1098"/>
      <w:r w:rsidRPr="00E52181">
        <w:t xml:space="preserve"> </w:t>
      </w:r>
    </w:p>
    <w:p w14:paraId="67559595" w14:textId="77777777" w:rsidR="00CD0355" w:rsidRPr="00E52181" w:rsidRDefault="00CD0355" w:rsidP="00CD0355">
      <w:pPr>
        <w:pStyle w:val="A"/>
      </w:pPr>
      <w:r w:rsidRPr="00E52181">
        <w:t>A.</w:t>
      </w:r>
      <w:r w:rsidRPr="00E52181">
        <w:tab/>
        <w:t>Every person whose name appears on the label of seed, except persons exempt pursuant to the authority of R.S. 3:1445, and who sells, transports, distributes, or offers or handles for sale agricultural</w:t>
      </w:r>
      <w:r w:rsidRPr="00E52181">
        <w:rPr>
          <w:strike/>
        </w:rPr>
        <w:t>,</w:t>
      </w:r>
      <w:r w:rsidRPr="00E52181">
        <w:t xml:space="preserve"> or vegetable, shall have a complete analysis test performed on the seed by a registered seed technologist or an official state seed analyst prior to the seed being sold, distributed or offered or handled for sale in Louisiana.</w:t>
      </w:r>
    </w:p>
    <w:p w14:paraId="59586E96" w14:textId="77777777" w:rsidR="00CD0355" w:rsidRPr="00E52181" w:rsidRDefault="00CD0355" w:rsidP="00CD0355">
      <w:pPr>
        <w:pStyle w:val="A"/>
      </w:pPr>
      <w:r w:rsidRPr="00E52181">
        <w:lastRenderedPageBreak/>
        <w:t>B.</w:t>
      </w:r>
      <w:r w:rsidRPr="00E52181">
        <w:tab/>
        <w:t>Information required to be shown on the label by R.S. 3:1436 or this Part shall be in the English language and in type that is no smaller than eight point.</w:t>
      </w:r>
    </w:p>
    <w:p w14:paraId="30975B31" w14:textId="77777777" w:rsidR="00CD0355" w:rsidRPr="00D55B14" w:rsidRDefault="00CD0355" w:rsidP="00CD0355">
      <w:pPr>
        <w:pStyle w:val="A"/>
      </w:pPr>
      <w:r w:rsidRPr="00E52181">
        <w:t>C.</w:t>
      </w:r>
      <w:r w:rsidRPr="00E52181">
        <w:tab/>
        <w:t>Seed treated with a mercurial or similarly toxic substance that is harmful to humans or other vertebrate animals, if any residue remains in or on the seed, shall be labeled in type no smaller than eight points and shall be in red letters on</w:t>
      </w:r>
      <w:r w:rsidRPr="00D55B14">
        <w:t xml:space="preserve"> a distinctly contrasting background. In addition, the label shall show a representation of a skull and crossbones using at least 16 point type. </w:t>
      </w:r>
    </w:p>
    <w:p w14:paraId="39923374" w14:textId="77777777" w:rsidR="00CD0355" w:rsidRPr="00D55B14" w:rsidRDefault="00CD0355" w:rsidP="00CD0355">
      <w:pPr>
        <w:pStyle w:val="A"/>
      </w:pPr>
      <w:r w:rsidRPr="00D55B14">
        <w:t>D.</w:t>
      </w:r>
      <w:r w:rsidRPr="00D55B14">
        <w:tab/>
        <w:t>Seed treated with a substance harmful to humans or other vertebrate animals, other than a mercurial or similarly toxic substance, and which is in containers of four ounces or less does not need to contain a cautionary statement on the label.</w:t>
      </w:r>
    </w:p>
    <w:p w14:paraId="38CCBC03" w14:textId="77777777" w:rsidR="00CD0355" w:rsidRPr="00D55B14" w:rsidRDefault="00CD0355" w:rsidP="00CD0355">
      <w:pPr>
        <w:pStyle w:val="A"/>
      </w:pPr>
      <w:r w:rsidRPr="00D55B14">
        <w:t>E.</w:t>
      </w:r>
      <w:r>
        <w:tab/>
      </w:r>
      <w:r w:rsidRPr="00D55B14">
        <w:t>The following substances shall not be deemed harmful if present at a rate less than the number of parts per million (ppm) indicated:</w:t>
      </w:r>
    </w:p>
    <w:p w14:paraId="215594E3" w14:textId="77777777" w:rsidR="00CD0355" w:rsidRPr="00D55B14" w:rsidRDefault="00CD0355" w:rsidP="00CD0355">
      <w:pPr>
        <w:pStyle w:val="1"/>
      </w:pPr>
      <w:r w:rsidRPr="00D55B14">
        <w:t>1.</w:t>
      </w:r>
      <w:r w:rsidRPr="00D55B14">
        <w:tab/>
        <w:t xml:space="preserve">allethrin, 2ppm; </w:t>
      </w:r>
    </w:p>
    <w:p w14:paraId="6B3D7B1D" w14:textId="77777777" w:rsidR="00CD0355" w:rsidRPr="00D55B14" w:rsidRDefault="00CD0355" w:rsidP="00CD0355">
      <w:pPr>
        <w:pStyle w:val="1"/>
      </w:pPr>
      <w:r w:rsidRPr="00D55B14">
        <w:t>2.</w:t>
      </w:r>
      <w:r w:rsidRPr="00D55B14">
        <w:tab/>
        <w:t xml:space="preserve">malathion, 8ppm; </w:t>
      </w:r>
    </w:p>
    <w:p w14:paraId="30A8FFA5" w14:textId="77777777" w:rsidR="00CD0355" w:rsidRPr="00D55B14" w:rsidRDefault="00CD0355" w:rsidP="00CD0355">
      <w:pPr>
        <w:pStyle w:val="1"/>
      </w:pPr>
      <w:r w:rsidRPr="00D55B14">
        <w:t>3.</w:t>
      </w:r>
      <w:r w:rsidRPr="00D55B14">
        <w:tab/>
        <w:t xml:space="preserve">methoxychlor, 2ppm: piperonyl butoxide, 8ppm on oat and sorghum and 20ppm on all other seeds; and </w:t>
      </w:r>
    </w:p>
    <w:p w14:paraId="5E643D5F" w14:textId="77777777" w:rsidR="00CD0355" w:rsidRPr="00D55B14" w:rsidRDefault="00CD0355" w:rsidP="00CD0355">
      <w:pPr>
        <w:pStyle w:val="1"/>
      </w:pPr>
      <w:r w:rsidRPr="00D55B14">
        <w:t>4.</w:t>
      </w:r>
      <w:r w:rsidRPr="00D55B14">
        <w:tab/>
        <w:t>pyrethrins, 1ppm on oat and sorghum and 3ppm on all other seeds.</w:t>
      </w:r>
    </w:p>
    <w:p w14:paraId="46935CF3" w14:textId="77777777" w:rsidR="00CD0355" w:rsidRPr="00D55B14" w:rsidRDefault="00CD0355" w:rsidP="00CD0355">
      <w:pPr>
        <w:pStyle w:val="A"/>
      </w:pPr>
      <w:r>
        <w:t>F</w:t>
      </w:r>
      <w:r w:rsidRPr="00D55B14">
        <w:t>.</w:t>
      </w:r>
      <w:r w:rsidRPr="00D55B14">
        <w:tab/>
        <w:t xml:space="preserve">Seeds labeled "foundation seed," "registered seed" or "certified seed," shall not be sold, distributed, or offered or handled for sale in this state unless </w:t>
      </w:r>
      <w:r w:rsidRPr="00D55B14">
        <w:rPr>
          <w:strike/>
        </w:rPr>
        <w:t>it</w:t>
      </w:r>
      <w:r w:rsidRPr="00D55B14">
        <w:t xml:space="preserve"> the seed has been produced and labeled in compliance with this Part and the procedures and protocols of a seed certifying agency approved by the commissioner.</w:t>
      </w:r>
    </w:p>
    <w:p w14:paraId="1E619E49" w14:textId="77777777" w:rsidR="00CD0355" w:rsidRPr="00D55B14" w:rsidRDefault="00CD0355" w:rsidP="00CD0355">
      <w:pPr>
        <w:pStyle w:val="A"/>
      </w:pPr>
      <w:r>
        <w:t>G</w:t>
      </w:r>
      <w:r w:rsidRPr="00D55B14">
        <w:t>.</w:t>
      </w:r>
      <w:r w:rsidRPr="00D55B14">
        <w:tab/>
        <w:t>When more than one component is required to be named on the label, the word "mixture" or the word "mixed" shall be shown conspicuously on the label.</w:t>
      </w:r>
    </w:p>
    <w:p w14:paraId="22021F5A" w14:textId="77777777" w:rsidR="00CD0355" w:rsidRPr="00D55B14" w:rsidRDefault="00CD0355" w:rsidP="00CD0355">
      <w:pPr>
        <w:pStyle w:val="A"/>
      </w:pPr>
      <w:r>
        <w:t>H</w:t>
      </w:r>
      <w:r w:rsidRPr="00D55B14">
        <w:t>.</w:t>
      </w:r>
      <w:r w:rsidRPr="00D55B14">
        <w:tab/>
        <w:t>The label on hybrid corn shall show the state where grown.</w:t>
      </w:r>
    </w:p>
    <w:p w14:paraId="46798873" w14:textId="77777777" w:rsidR="00CD0355" w:rsidRPr="00CA2490" w:rsidRDefault="00CD0355" w:rsidP="00CD0355">
      <w:pPr>
        <w:pStyle w:val="A"/>
      </w:pPr>
      <w:r w:rsidRPr="00CA2490">
        <w:t>I.</w:t>
      </w:r>
      <w:r w:rsidRPr="00CA2490">
        <w:tab/>
        <w:t>The name and kind of variety of seed shall not be abbreviated on the label, but shall be written out in full</w:t>
      </w:r>
      <w:r>
        <w:t>, except in the case of annual and</w:t>
      </w:r>
      <w:r w:rsidRPr="00CA2490">
        <w:t xml:space="preserve"> perennial ryegrass where “ann.” or “per.” may be used for the terms “annual” and “perennial”.</w:t>
      </w:r>
    </w:p>
    <w:p w14:paraId="3F748BEE" w14:textId="77777777" w:rsidR="00CD0355" w:rsidRPr="008F0382" w:rsidRDefault="00CD0355" w:rsidP="00CD0355">
      <w:pPr>
        <w:pStyle w:val="A"/>
      </w:pPr>
      <w:r w:rsidRPr="00CA2490">
        <w:t>J.</w:t>
      </w:r>
      <w:r w:rsidRPr="00CA2490">
        <w:tab/>
      </w:r>
      <w:r w:rsidRPr="008F0382">
        <w:t>Germination Test Date Period</w:t>
      </w:r>
    </w:p>
    <w:p w14:paraId="7528EF5E" w14:textId="77777777" w:rsidR="00CD0355" w:rsidRPr="008F0382" w:rsidRDefault="00CD0355" w:rsidP="00CD0355">
      <w:pPr>
        <w:pStyle w:val="1"/>
      </w:pPr>
      <w:r w:rsidRPr="008F0382">
        <w:t>1.</w:t>
      </w:r>
      <w:r w:rsidRPr="008F0382">
        <w:tab/>
        <w:t xml:space="preserve">No seed shall be sold or offered for sale more than nine months, exclusive of the month of testing, after the date on any germination label applicable to the seed or seed lot. </w:t>
      </w:r>
    </w:p>
    <w:p w14:paraId="3E73D50C" w14:textId="77777777" w:rsidR="00CD0355" w:rsidRPr="008F0382" w:rsidRDefault="00CD0355" w:rsidP="00CD0355">
      <w:pPr>
        <w:pStyle w:val="1"/>
      </w:pPr>
      <w:r w:rsidRPr="008F0382">
        <w:t>2.</w:t>
      </w:r>
      <w:r w:rsidRPr="008F0382">
        <w:tab/>
        <w:t xml:space="preserve">For all vegetable seed packaged in hermetically sealed containers, this period shall be extended to 24 months, exclusive of the month of testing. </w:t>
      </w:r>
    </w:p>
    <w:p w14:paraId="7CC0F669" w14:textId="77777777" w:rsidR="00CD0355" w:rsidRPr="00D55B14" w:rsidRDefault="00CD0355" w:rsidP="00CD0355">
      <w:pPr>
        <w:pStyle w:val="1"/>
      </w:pPr>
      <w:r w:rsidRPr="008F0382">
        <w:t>3.</w:t>
      </w:r>
      <w:r w:rsidRPr="008F0382">
        <w:tab/>
        <w:t>For all vegetable seed containers of one pound or less that are labeled with “packed for year”, the period shall not exceed the calendar year stated on the package for which the seed was packed for sale. Seed packages labeled in this manner shall not be sold or offered for sale prior to the year for which they were packaged.</w:t>
      </w:r>
    </w:p>
    <w:p w14:paraId="11BA1E2C" w14:textId="77777777" w:rsidR="00CD0355" w:rsidRPr="008F0382" w:rsidRDefault="00CD0355" w:rsidP="00CD0355">
      <w:pPr>
        <w:pStyle w:val="A"/>
      </w:pPr>
      <w:r w:rsidRPr="008F0382">
        <w:t>K.</w:t>
      </w:r>
      <w:r w:rsidRPr="008F0382">
        <w:tab/>
        <w:t xml:space="preserve">Relabeling of Seed Lots with Expired Test Dates </w:t>
      </w:r>
    </w:p>
    <w:p w14:paraId="2C24338F" w14:textId="77777777" w:rsidR="00CD0355" w:rsidRPr="008F0382" w:rsidRDefault="00CD0355" w:rsidP="00CD0355">
      <w:pPr>
        <w:pStyle w:val="1"/>
      </w:pPr>
      <w:r w:rsidRPr="008F0382">
        <w:t>1.</w:t>
      </w:r>
      <w:r w:rsidRPr="008F0382">
        <w:tab/>
        <w:t>The owner or distributor of the seed shall be responsible for relabeling the seed after expiration of the germination test date period to state the new germination percentage, if applicable and germination test date after the seed has been retested.</w:t>
      </w:r>
    </w:p>
    <w:p w14:paraId="03DAC9EC" w14:textId="77777777" w:rsidR="00CD0355" w:rsidRPr="008F0382" w:rsidRDefault="00CD0355" w:rsidP="00CD0355">
      <w:pPr>
        <w:pStyle w:val="1"/>
      </w:pPr>
      <w:r w:rsidRPr="008F0382">
        <w:t>2.</w:t>
      </w:r>
      <w:r w:rsidRPr="008F0382">
        <w:tab/>
        <w:t xml:space="preserve">A new tag, label, relabeling sticker, or supplemental label shall be used to state the new germination test date. </w:t>
      </w:r>
    </w:p>
    <w:p w14:paraId="7B811575" w14:textId="77777777" w:rsidR="00CD0355" w:rsidRPr="008F0382" w:rsidRDefault="00CD0355" w:rsidP="00CD0355">
      <w:pPr>
        <w:pStyle w:val="1"/>
      </w:pPr>
      <w:r w:rsidRPr="008F0382">
        <w:t>3.</w:t>
      </w:r>
      <w:r w:rsidRPr="008F0382">
        <w:tab/>
        <w:t xml:space="preserve">If relabeling stickers or supplemental labels are used to update the germination information, the month and year of the new germination test date must be stated, as well as the lot number that matches the existing original lot number. </w:t>
      </w:r>
    </w:p>
    <w:p w14:paraId="22212896" w14:textId="77777777" w:rsidR="00CD0355" w:rsidRPr="008F0382" w:rsidRDefault="00CD0355" w:rsidP="00CD0355">
      <w:pPr>
        <w:pStyle w:val="1"/>
      </w:pPr>
      <w:r w:rsidRPr="008F0382">
        <w:t>4.</w:t>
      </w:r>
      <w:r w:rsidRPr="008F0382">
        <w:tab/>
        <w:t xml:space="preserve">Supplemental labels shall be attached to, or in the immediate vicinity of the original label. </w:t>
      </w:r>
    </w:p>
    <w:p w14:paraId="6D1EB85D" w14:textId="77777777" w:rsidR="00CD0355" w:rsidRPr="008F0382" w:rsidRDefault="00CD0355" w:rsidP="00CD0355">
      <w:pPr>
        <w:pStyle w:val="1"/>
      </w:pPr>
      <w:r w:rsidRPr="008F0382">
        <w:t>5.</w:t>
      </w:r>
      <w:r w:rsidRPr="008F0382">
        <w:tab/>
        <w:t xml:space="preserve">If the seed lot fails to meet label guarantees, the new germination percentage shall also be stated on the new tag, label, relabeling sticker, or supplemental label. </w:t>
      </w:r>
    </w:p>
    <w:p w14:paraId="4E93B8A0" w14:textId="77777777" w:rsidR="00904526" w:rsidRPr="004341AC" w:rsidRDefault="00CD0355" w:rsidP="00904526">
      <w:pPr>
        <w:pStyle w:val="A"/>
      </w:pPr>
      <w:r w:rsidRPr="008F0382">
        <w:t>L.</w:t>
      </w:r>
      <w:r w:rsidRPr="008F0382">
        <w:tab/>
      </w:r>
      <w:r w:rsidR="00904526" w:rsidRPr="004341AC">
        <w:t xml:space="preserve">Coated Seed. Each package of coated seed shall have the following additional information stated on the front of each package using a minimum of eight point type. The following required information shall be set forth in a clear and conspicuous manner: </w:t>
      </w:r>
    </w:p>
    <w:p w14:paraId="141EC13F" w14:textId="77777777" w:rsidR="00904526" w:rsidRPr="004341AC" w:rsidRDefault="00904526" w:rsidP="00904526">
      <w:pPr>
        <w:pStyle w:val="1"/>
      </w:pPr>
      <w:r w:rsidRPr="004341AC">
        <w:t>1.</w:t>
      </w:r>
      <w:r w:rsidRPr="004341AC">
        <w:tab/>
        <w:t xml:space="preserve">the words “coated seed;” </w:t>
      </w:r>
    </w:p>
    <w:p w14:paraId="7AE84FAC" w14:textId="77777777" w:rsidR="00904526" w:rsidRPr="004341AC" w:rsidRDefault="00904526" w:rsidP="00904526">
      <w:pPr>
        <w:pStyle w:val="1"/>
      </w:pPr>
      <w:r w:rsidRPr="004341AC">
        <w:t>2.</w:t>
      </w:r>
      <w:r w:rsidRPr="004341AC">
        <w:tab/>
        <w:t xml:space="preserve">a statement giving the maximum amount of coating material contained within the package; </w:t>
      </w:r>
    </w:p>
    <w:p w14:paraId="3D4565C2" w14:textId="77777777" w:rsidR="00CD0355" w:rsidRPr="00D55B14" w:rsidRDefault="00904526" w:rsidP="00904526">
      <w:pPr>
        <w:pStyle w:val="A"/>
      </w:pPr>
      <w:r w:rsidRPr="004341AC">
        <w:t>3.</w:t>
      </w:r>
      <w:r w:rsidRPr="004341AC">
        <w:tab/>
        <w:t>a statement referring purchaser to the product label for additional information.</w:t>
      </w:r>
    </w:p>
    <w:p w14:paraId="2A5D8916" w14:textId="77777777" w:rsidR="00CD0355" w:rsidRPr="001531CD" w:rsidRDefault="00CD0355" w:rsidP="00CD0355">
      <w:pPr>
        <w:pStyle w:val="AuthorityNote"/>
        <w:tabs>
          <w:tab w:val="clear" w:pos="1800"/>
          <w:tab w:val="left" w:pos="1890"/>
        </w:tabs>
      </w:pPr>
      <w:r>
        <w:t>AUTHORITY NOTE:</w:t>
      </w:r>
      <w:r>
        <w:tab/>
      </w:r>
      <w:r w:rsidRPr="00D55B14">
        <w:t>Promulgated in accordance with R.S. 3:1433 and 3:1436.</w:t>
      </w:r>
    </w:p>
    <w:p w14:paraId="6160E104" w14:textId="77777777" w:rsidR="00CD0355" w:rsidRPr="001531CD" w:rsidRDefault="00CD0355" w:rsidP="00CD0355">
      <w:pPr>
        <w:pStyle w:val="HistoricalNote"/>
      </w:pPr>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LR 16:492 (June 1990), LR 37:270 (January 2011), LR 37:2979 (October 2011), repromulgated by the Department of Agriculture and Forestry, Office of Agricultural and Environmental Sciences, Agricultural Chemistry and Seed Commis</w:t>
      </w:r>
      <w:r>
        <w:t xml:space="preserve">sion, LR 39:2705 (October 2013), amended LR 40:746 (April 2014), </w:t>
      </w:r>
      <w:r w:rsidRPr="00CA2490">
        <w:t>LR 43:</w:t>
      </w:r>
      <w:r>
        <w:t>1897 (October 2017)</w:t>
      </w:r>
      <w:r w:rsidRPr="007E0841">
        <w:t>, LR 44:1852 (October 2018</w:t>
      </w:r>
      <w:r w:rsidR="00904526" w:rsidRPr="004341AC">
        <w:t>), LR 48:</w:t>
      </w:r>
      <w:r w:rsidR="00904526">
        <w:t>1745 (July 2022),</w:t>
      </w:r>
      <w:r w:rsidR="00904526" w:rsidRPr="00A3530E">
        <w:t xml:space="preserve"> </w:t>
      </w:r>
      <w:r w:rsidR="00904526" w:rsidRPr="004341AC">
        <w:t>effective January 1, 2023</w:t>
      </w:r>
      <w:r w:rsidR="00904526">
        <w:t>.</w:t>
      </w:r>
    </w:p>
    <w:p w14:paraId="5CA52FFE" w14:textId="77777777" w:rsidR="00CD0355" w:rsidRPr="001531CD" w:rsidRDefault="00CD0355" w:rsidP="00CD0355">
      <w:pPr>
        <w:pStyle w:val="Section"/>
      </w:pPr>
      <w:bookmarkStart w:id="1099" w:name="_Toc224818771"/>
      <w:r w:rsidRPr="001531CD">
        <w:t>§133.</w:t>
      </w:r>
      <w:r w:rsidRPr="001531CD">
        <w:tab/>
        <w:t>Tag Requirements</w:t>
      </w:r>
      <w:bookmarkEnd w:id="1099"/>
    </w:p>
    <w:p w14:paraId="482EFF6F" w14:textId="77777777" w:rsidR="00CD0355" w:rsidRDefault="00CD0355" w:rsidP="00CD0355">
      <w:pPr>
        <w:pStyle w:val="A"/>
      </w:pPr>
      <w:r w:rsidRPr="00D55B14">
        <w:t>A.</w:t>
      </w:r>
      <w:r w:rsidRPr="00D55B14">
        <w:tab/>
      </w:r>
      <w:r w:rsidRPr="007E0841">
        <w:t>The analysis tag shall carry the information required by the Louisiana Seed Law, R.S. 3:1431 et seq. using the example below as a labeling guideline.</w:t>
      </w:r>
    </w:p>
    <w:p w14:paraId="4E0A2F33" w14:textId="77777777" w:rsidR="00CD0355" w:rsidRPr="007E0841" w:rsidRDefault="00CD0355" w:rsidP="00CD0355">
      <w:pPr>
        <w:pStyle w:val="Text"/>
        <w:rPr>
          <w:sz w:val="16"/>
          <w:szCs w:val="16"/>
          <w:lang w:val="x-none"/>
        </w:rPr>
      </w:pPr>
      <w:r w:rsidRPr="007E0841">
        <w:rPr>
          <w:sz w:val="16"/>
          <w:szCs w:val="16"/>
          <w:lang w:val="x-none"/>
        </w:rPr>
        <w:t>Kind and Variety</w:t>
      </w:r>
    </w:p>
    <w:p w14:paraId="77C18440" w14:textId="77777777" w:rsidR="00CD0355" w:rsidRPr="007E0841" w:rsidRDefault="00CD0355" w:rsidP="00CD0355">
      <w:pPr>
        <w:pStyle w:val="Text"/>
        <w:rPr>
          <w:sz w:val="16"/>
          <w:szCs w:val="16"/>
          <w:lang w:val="x-none"/>
        </w:rPr>
      </w:pPr>
      <w:r w:rsidRPr="007E0841">
        <w:rPr>
          <w:sz w:val="16"/>
          <w:szCs w:val="16"/>
        </w:rPr>
        <w:t>Origin</w:t>
      </w:r>
      <w:r w:rsidRPr="007E0841">
        <w:rPr>
          <w:sz w:val="16"/>
          <w:szCs w:val="16"/>
          <w:lang w:val="x-none"/>
        </w:rPr>
        <w:t>________Net Wt. ______Lot No. ________</w:t>
      </w:r>
    </w:p>
    <w:p w14:paraId="55FB8B74" w14:textId="77777777" w:rsidR="00CD0355" w:rsidRPr="007E0841" w:rsidRDefault="00CD0355" w:rsidP="00CD0355">
      <w:pPr>
        <w:pStyle w:val="Text"/>
        <w:rPr>
          <w:sz w:val="16"/>
          <w:szCs w:val="16"/>
        </w:rPr>
      </w:pPr>
      <w:r w:rsidRPr="007E0841">
        <w:rPr>
          <w:sz w:val="16"/>
          <w:szCs w:val="16"/>
          <w:lang w:val="x-none"/>
        </w:rPr>
        <w:t>Pure Seed _______Percent</w:t>
      </w:r>
      <w:r w:rsidRPr="007E0841">
        <w:rPr>
          <w:sz w:val="16"/>
          <w:szCs w:val="16"/>
          <w:lang w:val="x-none"/>
        </w:rPr>
        <w:tab/>
        <w:t xml:space="preserve"> Germination____</w:t>
      </w:r>
      <w:r w:rsidRPr="007E0841">
        <w:rPr>
          <w:sz w:val="16"/>
          <w:szCs w:val="16"/>
        </w:rPr>
        <w:t>____</w:t>
      </w:r>
      <w:r w:rsidRPr="007E0841">
        <w:rPr>
          <w:sz w:val="16"/>
          <w:szCs w:val="16"/>
          <w:lang w:val="x-none"/>
        </w:rPr>
        <w:t>_Percent</w:t>
      </w:r>
      <w:r>
        <w:rPr>
          <w:sz w:val="16"/>
          <w:szCs w:val="16"/>
        </w:rPr>
        <w:t xml:space="preserve"> ________</w:t>
      </w:r>
    </w:p>
    <w:p w14:paraId="2E21B2E4" w14:textId="77777777" w:rsidR="00CD0355" w:rsidRPr="007E0841" w:rsidRDefault="00CD0355" w:rsidP="00CD0355">
      <w:pPr>
        <w:pStyle w:val="Text"/>
        <w:rPr>
          <w:sz w:val="16"/>
          <w:szCs w:val="16"/>
        </w:rPr>
      </w:pPr>
      <w:r w:rsidRPr="007E0841">
        <w:rPr>
          <w:sz w:val="16"/>
          <w:szCs w:val="16"/>
          <w:lang w:val="x-none"/>
        </w:rPr>
        <w:t>Inert Matter ______Percent</w:t>
      </w:r>
      <w:r w:rsidRPr="007E0841">
        <w:rPr>
          <w:sz w:val="16"/>
          <w:szCs w:val="16"/>
          <w:lang w:val="x-none"/>
        </w:rPr>
        <w:tab/>
      </w:r>
      <w:r w:rsidRPr="007E0841">
        <w:rPr>
          <w:sz w:val="16"/>
          <w:szCs w:val="16"/>
        </w:rPr>
        <w:t xml:space="preserve"> </w:t>
      </w:r>
      <w:r w:rsidRPr="007E0841">
        <w:rPr>
          <w:sz w:val="16"/>
          <w:szCs w:val="16"/>
          <w:lang w:val="x-none"/>
        </w:rPr>
        <w:t>Hard Seed _____</w:t>
      </w:r>
      <w:r w:rsidRPr="007E0841">
        <w:rPr>
          <w:sz w:val="16"/>
          <w:szCs w:val="16"/>
        </w:rPr>
        <w:t>_____</w:t>
      </w:r>
      <w:r w:rsidRPr="007E0841">
        <w:rPr>
          <w:sz w:val="16"/>
          <w:szCs w:val="16"/>
          <w:lang w:val="x-none"/>
        </w:rPr>
        <w:t>Percent</w:t>
      </w:r>
      <w:r>
        <w:rPr>
          <w:sz w:val="16"/>
          <w:szCs w:val="16"/>
        </w:rPr>
        <w:t xml:space="preserve"> ________</w:t>
      </w:r>
    </w:p>
    <w:p w14:paraId="5DD88ED2" w14:textId="77777777" w:rsidR="00CD0355" w:rsidRPr="007E0841" w:rsidRDefault="00CD0355" w:rsidP="00CD0355">
      <w:pPr>
        <w:pStyle w:val="Text"/>
        <w:rPr>
          <w:sz w:val="16"/>
          <w:szCs w:val="16"/>
          <w:lang w:val="x-none"/>
        </w:rPr>
      </w:pPr>
      <w:r w:rsidRPr="007E0841">
        <w:rPr>
          <w:sz w:val="16"/>
          <w:szCs w:val="16"/>
          <w:lang w:val="x-none"/>
        </w:rPr>
        <w:t>Crop Seed ____</w:t>
      </w:r>
      <w:r>
        <w:rPr>
          <w:sz w:val="16"/>
          <w:szCs w:val="16"/>
        </w:rPr>
        <w:t>__</w:t>
      </w:r>
      <w:r w:rsidRPr="007E0841">
        <w:rPr>
          <w:sz w:val="16"/>
          <w:szCs w:val="16"/>
          <w:lang w:val="x-none"/>
        </w:rPr>
        <w:t>Percent</w:t>
      </w:r>
      <w:r w:rsidRPr="007E0841">
        <w:rPr>
          <w:sz w:val="16"/>
          <w:szCs w:val="16"/>
          <w:lang w:val="x-none"/>
        </w:rPr>
        <w:tab/>
        <w:t xml:space="preserve"> Total Germ and Hard Seed ____Percent</w:t>
      </w:r>
    </w:p>
    <w:p w14:paraId="57EBFEC1" w14:textId="77777777" w:rsidR="00CD0355" w:rsidRPr="007E0841" w:rsidRDefault="00CD0355" w:rsidP="00CD0355">
      <w:pPr>
        <w:pStyle w:val="Text"/>
        <w:tabs>
          <w:tab w:val="clear" w:pos="0"/>
        </w:tabs>
        <w:ind w:left="180" w:firstLine="7"/>
        <w:rPr>
          <w:sz w:val="16"/>
          <w:szCs w:val="16"/>
        </w:rPr>
      </w:pPr>
      <w:r>
        <w:rPr>
          <w:sz w:val="16"/>
          <w:szCs w:val="16"/>
          <w:lang w:val="x-none"/>
        </w:rPr>
        <w:t>Weed Seed _____</w:t>
      </w:r>
      <w:r>
        <w:rPr>
          <w:sz w:val="16"/>
          <w:szCs w:val="16"/>
          <w:lang w:val="x-none"/>
        </w:rPr>
        <w:tab/>
        <w:t xml:space="preserve"> Percent</w:t>
      </w:r>
      <w:r>
        <w:rPr>
          <w:sz w:val="16"/>
          <w:szCs w:val="16"/>
          <w:lang w:val="x-none"/>
        </w:rPr>
        <w:tab/>
      </w:r>
      <w:r w:rsidRPr="007E0841">
        <w:rPr>
          <w:sz w:val="16"/>
          <w:szCs w:val="16"/>
          <w:lang w:val="x-none"/>
        </w:rPr>
        <w:t>____</w:t>
      </w:r>
      <w:r>
        <w:rPr>
          <w:sz w:val="16"/>
          <w:szCs w:val="16"/>
        </w:rPr>
        <w:t xml:space="preserve"> </w:t>
      </w:r>
      <w:r w:rsidRPr="007E0841">
        <w:rPr>
          <w:sz w:val="16"/>
          <w:szCs w:val="16"/>
          <w:lang w:val="x-none"/>
        </w:rPr>
        <w:t>Date of Test</w:t>
      </w:r>
      <w:r>
        <w:rPr>
          <w:sz w:val="16"/>
          <w:szCs w:val="16"/>
        </w:rPr>
        <w:t xml:space="preserve"> </w:t>
      </w:r>
      <w:r w:rsidRPr="007E0841">
        <w:rPr>
          <w:sz w:val="16"/>
          <w:szCs w:val="16"/>
        </w:rPr>
        <w:t>_</w:t>
      </w:r>
      <w:r>
        <w:rPr>
          <w:sz w:val="16"/>
          <w:szCs w:val="16"/>
          <w:lang w:val="x-none"/>
        </w:rPr>
        <w:t>__________</w:t>
      </w:r>
      <w:r>
        <w:rPr>
          <w:sz w:val="16"/>
          <w:szCs w:val="16"/>
        </w:rPr>
        <w:t>_________</w:t>
      </w:r>
    </w:p>
    <w:p w14:paraId="1399249B" w14:textId="77777777" w:rsidR="00CD0355" w:rsidRDefault="00CD0355" w:rsidP="00CD0355">
      <w:pPr>
        <w:pStyle w:val="Text"/>
        <w:tabs>
          <w:tab w:val="clear" w:pos="4500"/>
        </w:tabs>
        <w:rPr>
          <w:sz w:val="16"/>
          <w:szCs w:val="16"/>
        </w:rPr>
      </w:pPr>
      <w:r w:rsidRPr="007E0841">
        <w:rPr>
          <w:sz w:val="16"/>
          <w:szCs w:val="16"/>
          <w:lang w:val="x-none"/>
        </w:rPr>
        <w:t>Name and No. of Noxious Weed Seed per lb.</w:t>
      </w:r>
      <w:r w:rsidRPr="007E0841">
        <w:rPr>
          <w:sz w:val="16"/>
          <w:szCs w:val="16"/>
          <w:lang w:val="x-none"/>
        </w:rPr>
        <w:tab/>
      </w:r>
      <w:r>
        <w:rPr>
          <w:sz w:val="16"/>
          <w:szCs w:val="16"/>
        </w:rPr>
        <w:t>___________________</w:t>
      </w:r>
    </w:p>
    <w:p w14:paraId="751E16C3" w14:textId="77777777" w:rsidR="00CD0355" w:rsidRPr="007E0841" w:rsidRDefault="00CD0355" w:rsidP="00CD0355">
      <w:pPr>
        <w:pStyle w:val="Text"/>
        <w:tabs>
          <w:tab w:val="clear" w:pos="4500"/>
        </w:tabs>
        <w:rPr>
          <w:sz w:val="16"/>
          <w:szCs w:val="16"/>
        </w:rPr>
      </w:pPr>
      <w:r>
        <w:rPr>
          <w:sz w:val="16"/>
          <w:szCs w:val="16"/>
        </w:rPr>
        <w:t>_________________________________________________________</w:t>
      </w:r>
    </w:p>
    <w:p w14:paraId="1E5C297C" w14:textId="77777777" w:rsidR="00CD0355" w:rsidRPr="007E0841" w:rsidRDefault="00CD0355" w:rsidP="00CD0355">
      <w:pPr>
        <w:pStyle w:val="Text"/>
        <w:tabs>
          <w:tab w:val="clear" w:pos="4500"/>
        </w:tabs>
        <w:rPr>
          <w:sz w:val="16"/>
          <w:szCs w:val="16"/>
        </w:rPr>
      </w:pPr>
      <w:r w:rsidRPr="007E0841">
        <w:rPr>
          <w:sz w:val="16"/>
          <w:szCs w:val="16"/>
          <w:lang w:val="x-none"/>
        </w:rPr>
        <w:t>Name</w:t>
      </w:r>
      <w:r w:rsidRPr="007E0841">
        <w:rPr>
          <w:sz w:val="16"/>
          <w:szCs w:val="16"/>
          <w:lang w:val="x-none"/>
        </w:rPr>
        <w:tab/>
      </w:r>
      <w:r>
        <w:rPr>
          <w:sz w:val="16"/>
          <w:szCs w:val="16"/>
        </w:rPr>
        <w:t xml:space="preserve">  _________________________________________________</w:t>
      </w:r>
    </w:p>
    <w:p w14:paraId="50B02A3A" w14:textId="77777777" w:rsidR="00CD0355" w:rsidRPr="007E0841" w:rsidRDefault="00CD0355" w:rsidP="00CD0355">
      <w:pPr>
        <w:pStyle w:val="Text"/>
        <w:rPr>
          <w:sz w:val="16"/>
          <w:szCs w:val="16"/>
          <w:lang w:val="x-none"/>
        </w:rPr>
      </w:pPr>
      <w:r w:rsidRPr="007E0841">
        <w:rPr>
          <w:sz w:val="16"/>
          <w:szCs w:val="16"/>
          <w:lang w:val="x-none"/>
        </w:rPr>
        <w:lastRenderedPageBreak/>
        <w:t>Address</w:t>
      </w:r>
      <w:r w:rsidRPr="007E0841">
        <w:rPr>
          <w:sz w:val="16"/>
          <w:szCs w:val="16"/>
          <w:lang w:val="x-none"/>
        </w:rPr>
        <w:tab/>
      </w:r>
      <w:r>
        <w:rPr>
          <w:sz w:val="16"/>
          <w:szCs w:val="16"/>
        </w:rPr>
        <w:t xml:space="preserve"> </w:t>
      </w:r>
      <w:r w:rsidRPr="007E0841">
        <w:rPr>
          <w:sz w:val="16"/>
          <w:szCs w:val="16"/>
        </w:rPr>
        <w:t xml:space="preserve"> ______________</w:t>
      </w:r>
      <w:r>
        <w:rPr>
          <w:sz w:val="16"/>
          <w:szCs w:val="16"/>
        </w:rPr>
        <w:t>___________________________________</w:t>
      </w:r>
    </w:p>
    <w:p w14:paraId="1150C50C" w14:textId="77777777" w:rsidR="00CD0355" w:rsidRPr="001531CD" w:rsidRDefault="00CD0355" w:rsidP="00CD0355">
      <w:pPr>
        <w:pStyle w:val="Text"/>
      </w:pPr>
      <w:r w:rsidRPr="001531CD">
        <w:t>B.</w:t>
      </w:r>
      <w:r w:rsidRPr="001531CD">
        <w:tab/>
        <w:t>Tags for certified seed, foundation seed or registered seed shall be adopted by the certifying agency, approved by the commissioner and meet the requirements of the Louisiana Seed Law.</w:t>
      </w:r>
    </w:p>
    <w:p w14:paraId="62A405E5" w14:textId="77777777" w:rsidR="00CD0355" w:rsidRPr="001531CD" w:rsidRDefault="00CD0355" w:rsidP="00CD0355">
      <w:pPr>
        <w:pStyle w:val="A"/>
      </w:pPr>
      <w:r w:rsidRPr="001531CD">
        <w:t>C.</w:t>
      </w:r>
      <w:r w:rsidRPr="001531CD">
        <w:tab/>
        <w:t>All information required on the seed analysis tag or label shall be placed on one side of the tag or label without intervening matter.</w:t>
      </w:r>
    </w:p>
    <w:p w14:paraId="4983064C" w14:textId="77777777" w:rsidR="00CD0355" w:rsidRPr="001531CD" w:rsidRDefault="00CD0355" w:rsidP="00CD0355">
      <w:pPr>
        <w:pStyle w:val="AuthorityNote"/>
        <w:tabs>
          <w:tab w:val="clear" w:pos="1800"/>
          <w:tab w:val="left" w:pos="1890"/>
        </w:tabs>
      </w:pPr>
      <w:r w:rsidRPr="00D55B14">
        <w:t>AUTHORITY NOTE:</w:t>
      </w:r>
      <w:r w:rsidRPr="00D55B14">
        <w:tab/>
        <w:t>Promulgated in accordance with R.S. 3:1436 and R.S. 3:1433.</w:t>
      </w:r>
    </w:p>
    <w:p w14:paraId="42955EDC" w14:textId="77777777" w:rsidR="00CD0355" w:rsidRPr="001531CD" w:rsidRDefault="00CD0355" w:rsidP="00CD0355">
      <w:pPr>
        <w:pStyle w:val="HistoricalNote"/>
      </w:pPr>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39:2706 (October 2013), amended LR 40:746 (April 2014)</w:t>
      </w:r>
      <w:r w:rsidRPr="007E0841">
        <w:t>, LR 44:1852 (October 2018).</w:t>
      </w:r>
    </w:p>
    <w:p w14:paraId="7765022C" w14:textId="77777777" w:rsidR="00CD0355" w:rsidRPr="00D55B14" w:rsidRDefault="00CD0355" w:rsidP="00CD0355">
      <w:pPr>
        <w:pStyle w:val="Section"/>
      </w:pPr>
      <w:bookmarkStart w:id="1100" w:name="_Toc224818772"/>
      <w:r w:rsidRPr="00D55B14">
        <w:t>§135.</w:t>
      </w:r>
      <w:r w:rsidRPr="00D55B14">
        <w:tab/>
        <w:t>Invoices and Records; Inspection of Records</w:t>
      </w:r>
      <w:bookmarkEnd w:id="1100"/>
      <w:r w:rsidRPr="00D55B14">
        <w:t xml:space="preserve"> </w:t>
      </w:r>
    </w:p>
    <w:p w14:paraId="79115388" w14:textId="77777777" w:rsidR="00CD0355" w:rsidRPr="00D55B14" w:rsidRDefault="00CD0355" w:rsidP="00CD0355">
      <w:pPr>
        <w:pStyle w:val="A"/>
      </w:pPr>
      <w:r w:rsidRPr="00D55B14">
        <w:t>A.</w:t>
      </w:r>
      <w:r w:rsidRPr="00D55B14">
        <w:tab/>
        <w:t>Each person selling, distributing, or offering or handling for sale agricultural or vegetable seed shall keep for a period of three years complete records of each container or lot of seed sold, distributed, or offered or handled for sale by that person. Complete records shall, at a minimum, include the information required in §123.A.2 of this Part.</w:t>
      </w:r>
    </w:p>
    <w:p w14:paraId="28BE8ADC" w14:textId="77777777" w:rsidR="00CD0355" w:rsidRPr="00D55B14" w:rsidRDefault="00CD0355" w:rsidP="00CD0355">
      <w:pPr>
        <w:pStyle w:val="A"/>
      </w:pPr>
      <w:r w:rsidRPr="00D55B14">
        <w:t>B.</w:t>
      </w:r>
      <w:r w:rsidRPr="00D55B14">
        <w:tab/>
        <w:t>These records shall be accessible for inspection by the commissioner, commissioner, or LDAF or their authorized agent at any time during customary business hours.</w:t>
      </w:r>
    </w:p>
    <w:p w14:paraId="30E1D68A" w14:textId="77777777" w:rsidR="00CD0355" w:rsidRPr="00D55B14" w:rsidRDefault="00CD0355" w:rsidP="00CD0355">
      <w:pPr>
        <w:pStyle w:val="A"/>
      </w:pPr>
      <w:r w:rsidRPr="00D55B14">
        <w:t>C.</w:t>
      </w:r>
      <w:r w:rsidRPr="00D55B14">
        <w:tab/>
        <w:t>Trucks and other carriers transporting seed for delivery in this state shall have available for examination at any time a bill of lading, waybill or a delivery receipt showing:</w:t>
      </w:r>
    </w:p>
    <w:p w14:paraId="62F043F2" w14:textId="77777777" w:rsidR="00CD0355" w:rsidRPr="00D55B14" w:rsidRDefault="00CD0355" w:rsidP="00CD0355">
      <w:pPr>
        <w:pStyle w:val="1"/>
      </w:pPr>
      <w:r w:rsidRPr="00D55B14">
        <w:t>1.</w:t>
      </w:r>
      <w:r w:rsidRPr="00D55B14">
        <w:tab/>
        <w:t>the name of the shipper or party from whom purchased;</w:t>
      </w:r>
    </w:p>
    <w:p w14:paraId="366B969F" w14:textId="77777777" w:rsidR="00CD0355" w:rsidRPr="00D55B14" w:rsidRDefault="00CD0355" w:rsidP="00CD0355">
      <w:pPr>
        <w:pStyle w:val="1"/>
      </w:pPr>
      <w:r w:rsidRPr="00D55B14">
        <w:t>2.</w:t>
      </w:r>
      <w:r w:rsidRPr="00D55B14">
        <w:tab/>
        <w:t>the name and address of the party to whom the seed is to be delivered;</w:t>
      </w:r>
    </w:p>
    <w:p w14:paraId="587E2754" w14:textId="77777777" w:rsidR="00CD0355" w:rsidRPr="00D55B14" w:rsidRDefault="00CD0355" w:rsidP="00CD0355">
      <w:pPr>
        <w:pStyle w:val="1"/>
      </w:pPr>
      <w:r w:rsidRPr="00D55B14">
        <w:t>3.</w:t>
      </w:r>
      <w:r w:rsidRPr="00D55B14">
        <w:tab/>
        <w:t>the kind and amount of each separate lot of seed; and</w:t>
      </w:r>
    </w:p>
    <w:p w14:paraId="7AB7ABFC" w14:textId="77777777" w:rsidR="00CD0355" w:rsidRPr="00D55B14" w:rsidRDefault="00CD0355" w:rsidP="00CD0355">
      <w:pPr>
        <w:pStyle w:val="1"/>
      </w:pPr>
      <w:r w:rsidRPr="00D55B14">
        <w:t>4.</w:t>
      </w:r>
      <w:r w:rsidRPr="00D55B14">
        <w:tab/>
        <w:t>the name of the truck line or owner and driver of the truck or other carrier transporting the seed.</w:t>
      </w:r>
    </w:p>
    <w:p w14:paraId="734DE704" w14:textId="77777777" w:rsidR="00CD0355" w:rsidRPr="001531CD" w:rsidRDefault="00CD0355" w:rsidP="00CD0355">
      <w:pPr>
        <w:pStyle w:val="AuthorityNote"/>
      </w:pPr>
      <w:r w:rsidRPr="00D55B14">
        <w:t>AUTHORITY NOTE:</w:t>
      </w:r>
      <w:r w:rsidRPr="00D55B14">
        <w:tab/>
        <w:t>Promulgated in accordance with R.S. 3:1435 and R.S. 3:1433.</w:t>
      </w:r>
    </w:p>
    <w:p w14:paraId="0EA48A0E" w14:textId="77777777" w:rsidR="00CD0355" w:rsidRPr="001531CD" w:rsidRDefault="00CD0355" w:rsidP="00CD0355">
      <w:pPr>
        <w:pStyle w:val="HistoricalNote"/>
      </w:pPr>
      <w:bookmarkStart w:id="1101" w:name="_Toc256754517"/>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39:2707 (October 2013), amended LR 40:747 (April 2014).</w:t>
      </w:r>
    </w:p>
    <w:p w14:paraId="5950E977" w14:textId="77777777" w:rsidR="00CD0355" w:rsidRPr="001531CD" w:rsidRDefault="00CD0355" w:rsidP="00CD0355">
      <w:pPr>
        <w:pStyle w:val="Section"/>
      </w:pPr>
      <w:bookmarkStart w:id="1102" w:name="_Toc224818773"/>
      <w:bookmarkEnd w:id="1101"/>
      <w:r w:rsidRPr="001531CD">
        <w:t>§137.</w:t>
      </w:r>
      <w:r w:rsidRPr="001531CD">
        <w:tab/>
        <w:t>Sampling</w:t>
      </w:r>
      <w:bookmarkEnd w:id="1102"/>
      <w:r w:rsidRPr="001531CD">
        <w:t xml:space="preserve"> </w:t>
      </w:r>
    </w:p>
    <w:p w14:paraId="101964C8" w14:textId="77777777" w:rsidR="00CD0355" w:rsidRPr="001531CD" w:rsidRDefault="00CD0355" w:rsidP="00CD0355">
      <w:pPr>
        <w:pStyle w:val="A"/>
      </w:pPr>
      <w:r w:rsidRPr="001531CD">
        <w:t>A.</w:t>
      </w:r>
      <w:r w:rsidRPr="001531CD">
        <w:tab/>
        <w:t>The manner of sampling and handling seed in the field and analyzing and testing seed in the laboratory, greenhouse and trial plots shall be the same as that recommended in the latest rules for testing seed adopted by the Association of Official Seed Analysts.</w:t>
      </w:r>
    </w:p>
    <w:p w14:paraId="393C0B5F" w14:textId="77777777" w:rsidR="00CD0355" w:rsidRPr="001531CD" w:rsidRDefault="00CD0355" w:rsidP="00CD0355">
      <w:pPr>
        <w:pStyle w:val="AuthorityNote"/>
      </w:pPr>
      <w:r w:rsidRPr="001531CD">
        <w:t>AUTHORITY NOTE:</w:t>
      </w:r>
      <w:r w:rsidRPr="001531CD">
        <w:tab/>
        <w:t>Promulgated in accordance with R.S. 3:1434 and R.S. 3:1433.</w:t>
      </w:r>
    </w:p>
    <w:p w14:paraId="4F8D16A0" w14:textId="77777777"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39:2707 (October 2013).</w:t>
      </w:r>
    </w:p>
    <w:p w14:paraId="72A9CD2A" w14:textId="77777777" w:rsidR="00CD0355" w:rsidRPr="001531CD" w:rsidRDefault="00CD0355" w:rsidP="00CD0355">
      <w:pPr>
        <w:pStyle w:val="Section"/>
      </w:pPr>
      <w:bookmarkStart w:id="1103" w:name="_Toc224818774"/>
      <w:r w:rsidRPr="001531CD">
        <w:t>§139.</w:t>
      </w:r>
      <w:r w:rsidRPr="001531CD">
        <w:tab/>
        <w:t>Tolerances</w:t>
      </w:r>
      <w:bookmarkEnd w:id="1103"/>
      <w:r w:rsidRPr="001531CD">
        <w:t xml:space="preserve"> </w:t>
      </w:r>
    </w:p>
    <w:p w14:paraId="7730CAAD" w14:textId="77777777" w:rsidR="00CD0355" w:rsidRPr="001531CD" w:rsidRDefault="00CD0355" w:rsidP="00CD0355">
      <w:pPr>
        <w:pStyle w:val="A"/>
      </w:pPr>
      <w:r w:rsidRPr="001531CD">
        <w:t>A.</w:t>
      </w:r>
      <w:r w:rsidRPr="001531CD">
        <w:tab/>
        <w:t>Except as otherwise provided in this Section, the tolerances published in the latest rules and regulations for testing seed by the Association of Official Seed Analysts shall be applicable in the administration of the Louisiana Seed Law.</w:t>
      </w:r>
    </w:p>
    <w:p w14:paraId="25DC49F5" w14:textId="77777777" w:rsidR="00CD0355" w:rsidRPr="001531CD" w:rsidRDefault="00CD0355" w:rsidP="00CD0355">
      <w:pPr>
        <w:pStyle w:val="A"/>
      </w:pPr>
      <w:r w:rsidRPr="001531CD">
        <w:t>B.</w:t>
      </w:r>
      <w:r w:rsidRPr="001531CD">
        <w:tab/>
        <w:t>Germination Tolerances. The following tolerances, which are recognized by the Federal Seed Act, 7 USC 1551-1611, are adopted and are applicable to the percentage of germination and also to the sum of the germination plus the hard seed. Maximum tolerance values for comparing two 400-seed germination tests of the same or different submitted samples tested in the same or different laboratories.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060"/>
        <w:gridCol w:w="1316"/>
        <w:gridCol w:w="1474"/>
      </w:tblGrid>
      <w:tr w:rsidR="00CD0355" w:rsidRPr="001531CD" w14:paraId="02F50AF6" w14:textId="77777777" w:rsidTr="00CD0355">
        <w:trPr>
          <w:cantSplit/>
          <w:trHeight w:val="188"/>
          <w:jc w:val="center"/>
        </w:trPr>
        <w:tc>
          <w:tcPr>
            <w:tcW w:w="3415" w:type="dxa"/>
            <w:gridSpan w:val="2"/>
            <w:tcBorders>
              <w:top w:val="double" w:sz="6" w:space="0" w:color="auto"/>
            </w:tcBorders>
            <w:shd w:val="clear" w:color="auto" w:fill="A6A6A6"/>
          </w:tcPr>
          <w:p w14:paraId="0F0E0044" w14:textId="77777777"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Average Percent Germination</w:t>
            </w:r>
          </w:p>
        </w:tc>
        <w:tc>
          <w:tcPr>
            <w:tcW w:w="1483" w:type="dxa"/>
            <w:tcBorders>
              <w:top w:val="double" w:sz="6" w:space="0" w:color="auto"/>
            </w:tcBorders>
            <w:shd w:val="clear" w:color="auto" w:fill="A6A6A6"/>
          </w:tcPr>
          <w:p w14:paraId="272CF663" w14:textId="77777777"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Tolerance*</w:t>
            </w:r>
          </w:p>
        </w:tc>
      </w:tr>
      <w:tr w:rsidR="00CD0355" w:rsidRPr="001531CD" w14:paraId="1B44F628" w14:textId="77777777" w:rsidTr="00CD0355">
        <w:trPr>
          <w:cantSplit/>
          <w:trHeight w:val="187"/>
          <w:jc w:val="center"/>
        </w:trPr>
        <w:tc>
          <w:tcPr>
            <w:tcW w:w="2084" w:type="dxa"/>
            <w:shd w:val="clear" w:color="auto" w:fill="A6A6A6"/>
          </w:tcPr>
          <w:p w14:paraId="0DB22E6D" w14:textId="77777777"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A</w:t>
            </w:r>
          </w:p>
        </w:tc>
        <w:tc>
          <w:tcPr>
            <w:tcW w:w="1331" w:type="dxa"/>
            <w:shd w:val="clear" w:color="auto" w:fill="A6A6A6"/>
          </w:tcPr>
          <w:p w14:paraId="07ABC1C7" w14:textId="77777777"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B</w:t>
            </w:r>
          </w:p>
        </w:tc>
        <w:tc>
          <w:tcPr>
            <w:tcW w:w="1483" w:type="dxa"/>
            <w:shd w:val="clear" w:color="auto" w:fill="A6A6A6"/>
          </w:tcPr>
          <w:p w14:paraId="63359FEB" w14:textId="77777777"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C</w:t>
            </w:r>
          </w:p>
        </w:tc>
      </w:tr>
      <w:tr w:rsidR="00CD0355" w:rsidRPr="001531CD" w14:paraId="014462F1" w14:textId="77777777" w:rsidTr="00CD0355">
        <w:trPr>
          <w:cantSplit/>
          <w:jc w:val="center"/>
        </w:trPr>
        <w:tc>
          <w:tcPr>
            <w:tcW w:w="2084" w:type="dxa"/>
          </w:tcPr>
          <w:p w14:paraId="3FA412B4"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99</w:t>
            </w:r>
          </w:p>
        </w:tc>
        <w:tc>
          <w:tcPr>
            <w:tcW w:w="1331" w:type="dxa"/>
          </w:tcPr>
          <w:p w14:paraId="146E69BF"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2</w:t>
            </w:r>
          </w:p>
        </w:tc>
        <w:tc>
          <w:tcPr>
            <w:tcW w:w="1483" w:type="dxa"/>
          </w:tcPr>
          <w:p w14:paraId="6ADB7C81"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2</w:t>
            </w:r>
          </w:p>
        </w:tc>
      </w:tr>
      <w:tr w:rsidR="00CD0355" w:rsidRPr="001531CD" w14:paraId="16423905" w14:textId="77777777" w:rsidTr="00CD0355">
        <w:trPr>
          <w:cantSplit/>
          <w:trHeight w:val="206"/>
          <w:jc w:val="center"/>
        </w:trPr>
        <w:tc>
          <w:tcPr>
            <w:tcW w:w="2084" w:type="dxa"/>
          </w:tcPr>
          <w:p w14:paraId="3794779E"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97 - 98</w:t>
            </w:r>
          </w:p>
        </w:tc>
        <w:tc>
          <w:tcPr>
            <w:tcW w:w="1331" w:type="dxa"/>
          </w:tcPr>
          <w:p w14:paraId="55BDA77D"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3 - 4</w:t>
            </w:r>
          </w:p>
        </w:tc>
        <w:tc>
          <w:tcPr>
            <w:tcW w:w="1483" w:type="dxa"/>
          </w:tcPr>
          <w:p w14:paraId="67CF4977"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3</w:t>
            </w:r>
          </w:p>
        </w:tc>
      </w:tr>
      <w:tr w:rsidR="00CD0355" w:rsidRPr="001531CD" w14:paraId="600B95BF" w14:textId="77777777" w:rsidTr="00CD0355">
        <w:trPr>
          <w:cantSplit/>
          <w:jc w:val="center"/>
        </w:trPr>
        <w:tc>
          <w:tcPr>
            <w:tcW w:w="2084" w:type="dxa"/>
          </w:tcPr>
          <w:p w14:paraId="05921FAE"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94 - 96</w:t>
            </w:r>
          </w:p>
        </w:tc>
        <w:tc>
          <w:tcPr>
            <w:tcW w:w="1331" w:type="dxa"/>
          </w:tcPr>
          <w:p w14:paraId="51D605CA"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5 - 7</w:t>
            </w:r>
          </w:p>
        </w:tc>
        <w:tc>
          <w:tcPr>
            <w:tcW w:w="1483" w:type="dxa"/>
          </w:tcPr>
          <w:p w14:paraId="1AA8FD56"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4</w:t>
            </w:r>
          </w:p>
        </w:tc>
      </w:tr>
      <w:tr w:rsidR="00CD0355" w:rsidRPr="001531CD" w14:paraId="59D1F266" w14:textId="77777777" w:rsidTr="00CD0355">
        <w:trPr>
          <w:cantSplit/>
          <w:jc w:val="center"/>
        </w:trPr>
        <w:tc>
          <w:tcPr>
            <w:tcW w:w="2084" w:type="dxa"/>
          </w:tcPr>
          <w:p w14:paraId="377CA17F"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91 - 93</w:t>
            </w:r>
          </w:p>
        </w:tc>
        <w:tc>
          <w:tcPr>
            <w:tcW w:w="1331" w:type="dxa"/>
          </w:tcPr>
          <w:p w14:paraId="434C4833"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8 - 10</w:t>
            </w:r>
          </w:p>
        </w:tc>
        <w:tc>
          <w:tcPr>
            <w:tcW w:w="1483" w:type="dxa"/>
          </w:tcPr>
          <w:p w14:paraId="607A95CE"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5</w:t>
            </w:r>
          </w:p>
        </w:tc>
      </w:tr>
      <w:tr w:rsidR="00CD0355" w:rsidRPr="001531CD" w14:paraId="32B13FB5" w14:textId="77777777" w:rsidTr="00CD0355">
        <w:trPr>
          <w:cantSplit/>
          <w:jc w:val="center"/>
        </w:trPr>
        <w:tc>
          <w:tcPr>
            <w:tcW w:w="2084" w:type="dxa"/>
          </w:tcPr>
          <w:p w14:paraId="664D28D7"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87 - 90</w:t>
            </w:r>
          </w:p>
        </w:tc>
        <w:tc>
          <w:tcPr>
            <w:tcW w:w="1331" w:type="dxa"/>
          </w:tcPr>
          <w:p w14:paraId="3924AEA0"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11 - 14</w:t>
            </w:r>
          </w:p>
        </w:tc>
        <w:tc>
          <w:tcPr>
            <w:tcW w:w="1483" w:type="dxa"/>
          </w:tcPr>
          <w:p w14:paraId="4F4C06E4"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6</w:t>
            </w:r>
          </w:p>
        </w:tc>
      </w:tr>
      <w:tr w:rsidR="00CD0355" w:rsidRPr="001531CD" w14:paraId="0293DB83" w14:textId="77777777" w:rsidTr="00CD0355">
        <w:trPr>
          <w:cantSplit/>
          <w:jc w:val="center"/>
        </w:trPr>
        <w:tc>
          <w:tcPr>
            <w:tcW w:w="2084" w:type="dxa"/>
          </w:tcPr>
          <w:p w14:paraId="54E5C54A"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82 - 86</w:t>
            </w:r>
          </w:p>
        </w:tc>
        <w:tc>
          <w:tcPr>
            <w:tcW w:w="1331" w:type="dxa"/>
          </w:tcPr>
          <w:p w14:paraId="0DCE8D1D"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15 - 19</w:t>
            </w:r>
          </w:p>
        </w:tc>
        <w:tc>
          <w:tcPr>
            <w:tcW w:w="1483" w:type="dxa"/>
          </w:tcPr>
          <w:p w14:paraId="48085439"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7</w:t>
            </w:r>
          </w:p>
        </w:tc>
      </w:tr>
      <w:tr w:rsidR="00CD0355" w:rsidRPr="001531CD" w14:paraId="37459316" w14:textId="77777777" w:rsidTr="00CD0355">
        <w:trPr>
          <w:cantSplit/>
          <w:jc w:val="center"/>
        </w:trPr>
        <w:tc>
          <w:tcPr>
            <w:tcW w:w="2084" w:type="dxa"/>
          </w:tcPr>
          <w:p w14:paraId="7D58EB08"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76 - 81</w:t>
            </w:r>
          </w:p>
        </w:tc>
        <w:tc>
          <w:tcPr>
            <w:tcW w:w="1331" w:type="dxa"/>
          </w:tcPr>
          <w:p w14:paraId="573D85D2"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20 - 25</w:t>
            </w:r>
          </w:p>
        </w:tc>
        <w:tc>
          <w:tcPr>
            <w:tcW w:w="1483" w:type="dxa"/>
          </w:tcPr>
          <w:p w14:paraId="6E43BA0E"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8</w:t>
            </w:r>
          </w:p>
        </w:tc>
      </w:tr>
      <w:tr w:rsidR="00CD0355" w:rsidRPr="001531CD" w14:paraId="697046ED" w14:textId="77777777" w:rsidTr="00CD0355">
        <w:trPr>
          <w:cantSplit/>
          <w:jc w:val="center"/>
        </w:trPr>
        <w:tc>
          <w:tcPr>
            <w:tcW w:w="2084" w:type="dxa"/>
          </w:tcPr>
          <w:p w14:paraId="03289155"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70 - 75</w:t>
            </w:r>
          </w:p>
        </w:tc>
        <w:tc>
          <w:tcPr>
            <w:tcW w:w="1331" w:type="dxa"/>
          </w:tcPr>
          <w:p w14:paraId="465C114B"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26 - 31</w:t>
            </w:r>
          </w:p>
        </w:tc>
        <w:tc>
          <w:tcPr>
            <w:tcW w:w="1483" w:type="dxa"/>
          </w:tcPr>
          <w:p w14:paraId="5510328E"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9</w:t>
            </w:r>
          </w:p>
        </w:tc>
      </w:tr>
      <w:tr w:rsidR="00CD0355" w:rsidRPr="001531CD" w14:paraId="31C8438C" w14:textId="77777777" w:rsidTr="00CD0355">
        <w:trPr>
          <w:cantSplit/>
          <w:jc w:val="center"/>
        </w:trPr>
        <w:tc>
          <w:tcPr>
            <w:tcW w:w="2084" w:type="dxa"/>
          </w:tcPr>
          <w:p w14:paraId="135DEE08"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60 - 69</w:t>
            </w:r>
          </w:p>
        </w:tc>
        <w:tc>
          <w:tcPr>
            <w:tcW w:w="1331" w:type="dxa"/>
          </w:tcPr>
          <w:p w14:paraId="15816D05"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32 - 41</w:t>
            </w:r>
          </w:p>
        </w:tc>
        <w:tc>
          <w:tcPr>
            <w:tcW w:w="1483" w:type="dxa"/>
          </w:tcPr>
          <w:p w14:paraId="21401091"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10</w:t>
            </w:r>
          </w:p>
        </w:tc>
      </w:tr>
      <w:tr w:rsidR="00CD0355" w:rsidRPr="001531CD" w14:paraId="33702FFA" w14:textId="77777777" w:rsidTr="00CD0355">
        <w:trPr>
          <w:cantSplit/>
          <w:jc w:val="center"/>
        </w:trPr>
        <w:tc>
          <w:tcPr>
            <w:tcW w:w="2084" w:type="dxa"/>
            <w:tcBorders>
              <w:bottom w:val="double" w:sz="6" w:space="0" w:color="auto"/>
            </w:tcBorders>
          </w:tcPr>
          <w:p w14:paraId="6AD42687"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51 - 59</w:t>
            </w:r>
          </w:p>
        </w:tc>
        <w:tc>
          <w:tcPr>
            <w:tcW w:w="1331" w:type="dxa"/>
            <w:tcBorders>
              <w:bottom w:val="double" w:sz="6" w:space="0" w:color="auto"/>
            </w:tcBorders>
          </w:tcPr>
          <w:p w14:paraId="67D6EC9F"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42 - 50</w:t>
            </w:r>
          </w:p>
        </w:tc>
        <w:tc>
          <w:tcPr>
            <w:tcW w:w="1483" w:type="dxa"/>
            <w:tcBorders>
              <w:bottom w:val="double" w:sz="6" w:space="0" w:color="auto"/>
            </w:tcBorders>
          </w:tcPr>
          <w:p w14:paraId="3B407909" w14:textId="77777777" w:rsidR="00CD0355" w:rsidRPr="001531CD" w:rsidRDefault="00CD0355" w:rsidP="00CD0355">
            <w:pPr>
              <w:tabs>
                <w:tab w:val="left" w:pos="180"/>
                <w:tab w:val="left" w:pos="360"/>
                <w:tab w:val="left" w:pos="5940"/>
              </w:tabs>
              <w:jc w:val="center"/>
              <w:rPr>
                <w:sz w:val="16"/>
                <w:szCs w:val="16"/>
              </w:rPr>
            </w:pPr>
            <w:r w:rsidRPr="001531CD">
              <w:rPr>
                <w:sz w:val="16"/>
                <w:szCs w:val="16"/>
              </w:rPr>
              <w:t>11</w:t>
            </w:r>
          </w:p>
        </w:tc>
      </w:tr>
    </w:tbl>
    <w:p w14:paraId="71ED5E43" w14:textId="77777777" w:rsidR="00CD0355" w:rsidRPr="001531CD" w:rsidRDefault="00CD0355" w:rsidP="00CD0355">
      <w:pPr>
        <w:pStyle w:val="RegDoubleIndent"/>
        <w:spacing w:after="120"/>
        <w:rPr>
          <w:sz w:val="16"/>
          <w:szCs w:val="16"/>
        </w:rPr>
      </w:pPr>
      <w:r w:rsidRPr="001531CD">
        <w:rPr>
          <w:sz w:val="16"/>
          <w:szCs w:val="16"/>
        </w:rPr>
        <w:t>*When only 200 seeds of mixtures are tested, 2 percent shall be added to the above germination tolerances.</w:t>
      </w:r>
    </w:p>
    <w:p w14:paraId="3A462561" w14:textId="77777777" w:rsidR="00CD0355" w:rsidRPr="001531CD" w:rsidRDefault="00CD0355" w:rsidP="00CD0355">
      <w:pPr>
        <w:pStyle w:val="AuthorityNote"/>
      </w:pPr>
      <w:r w:rsidRPr="001531CD">
        <w:t>AUTHORITY NOTE:</w:t>
      </w:r>
      <w:r w:rsidRPr="001531CD">
        <w:tab/>
        <w:t>Promulgated in accordance with R.S. 3:1433.</w:t>
      </w:r>
    </w:p>
    <w:p w14:paraId="3014C997" w14:textId="77777777"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LR 33:1609 (August 2007), LR 34:2338 (November 2008), repromulgated by the Department of Agriculture and Forestry, Office of Agricultural and Environmental Sciences, Agricultural Chemistry and Seed Commission, LR 39:2707 (October 2013).</w:t>
      </w:r>
    </w:p>
    <w:p w14:paraId="2886670B" w14:textId="77777777" w:rsidR="00CD0355" w:rsidRPr="001531CD" w:rsidRDefault="00CD0355" w:rsidP="00CD0355">
      <w:pPr>
        <w:pStyle w:val="Section"/>
      </w:pPr>
      <w:bookmarkStart w:id="1104" w:name="_Toc224818775"/>
      <w:r w:rsidRPr="001531CD">
        <w:t>§141.</w:t>
      </w:r>
      <w:r w:rsidRPr="001531CD">
        <w:tab/>
        <w:t>Germination Standards for Vegetable Seed</w:t>
      </w:r>
      <w:bookmarkEnd w:id="1104"/>
      <w:r w:rsidRPr="001531CD">
        <w:t xml:space="preserve"> </w:t>
      </w:r>
    </w:p>
    <w:p w14:paraId="472BEBE2" w14:textId="77777777" w:rsidR="00CD0355" w:rsidRDefault="00CD0355" w:rsidP="00CD0355">
      <w:pPr>
        <w:pStyle w:val="A"/>
      </w:pPr>
      <w:r w:rsidRPr="00CA2490">
        <w:t>A.</w:t>
      </w:r>
      <w:r w:rsidRPr="00CA2490">
        <w:tab/>
      </w:r>
      <w:r w:rsidRPr="007E0841">
        <w:t>Germination standards for vegetable seed shall be the same as those published under USDA Agricultural Marketing Service Federal Seed Act Regulations Part 201. Minimum germination, which shall also include hard seed, of vegetable or garden seed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386"/>
        <w:gridCol w:w="1464"/>
      </w:tblGrid>
      <w:tr w:rsidR="00CD0355" w:rsidRPr="009106CF" w14:paraId="4E0E64B1" w14:textId="77777777" w:rsidTr="00CD0355">
        <w:trPr>
          <w:cantSplit/>
          <w:trHeight w:val="144"/>
          <w:tblHeader/>
          <w:jc w:val="center"/>
        </w:trPr>
        <w:tc>
          <w:tcPr>
            <w:tcW w:w="3418" w:type="dxa"/>
            <w:tcBorders>
              <w:top w:val="double" w:sz="6" w:space="0" w:color="000000"/>
              <w:bottom w:val="single" w:sz="6" w:space="0" w:color="000000"/>
            </w:tcBorders>
            <w:shd w:val="clear" w:color="auto" w:fill="BFBFBF"/>
          </w:tcPr>
          <w:p w14:paraId="7B05239A" w14:textId="77777777" w:rsidR="00CD0355" w:rsidRPr="002F0632" w:rsidRDefault="00CD0355" w:rsidP="00CD0355">
            <w:pPr>
              <w:keepNext/>
              <w:jc w:val="center"/>
              <w:rPr>
                <w:b/>
                <w:sz w:val="16"/>
                <w:szCs w:val="16"/>
              </w:rPr>
            </w:pPr>
            <w:r w:rsidRPr="002F0632">
              <w:rPr>
                <w:b/>
                <w:sz w:val="16"/>
                <w:szCs w:val="16"/>
              </w:rPr>
              <w:t>Seed Kind</w:t>
            </w:r>
          </w:p>
        </w:tc>
        <w:tc>
          <w:tcPr>
            <w:tcW w:w="1473" w:type="dxa"/>
            <w:tcBorders>
              <w:top w:val="double" w:sz="6" w:space="0" w:color="000000"/>
              <w:bottom w:val="single" w:sz="6" w:space="0" w:color="000000"/>
            </w:tcBorders>
            <w:shd w:val="clear" w:color="auto" w:fill="BFBFBF"/>
          </w:tcPr>
          <w:p w14:paraId="0F33B75F" w14:textId="77777777" w:rsidR="00CD0355" w:rsidRPr="002F0632" w:rsidRDefault="00CD0355" w:rsidP="00CD0355">
            <w:pPr>
              <w:keepNext/>
              <w:jc w:val="center"/>
              <w:rPr>
                <w:b/>
                <w:sz w:val="16"/>
                <w:szCs w:val="16"/>
              </w:rPr>
            </w:pPr>
            <w:r w:rsidRPr="002F0632">
              <w:rPr>
                <w:b/>
                <w:sz w:val="16"/>
                <w:szCs w:val="16"/>
              </w:rPr>
              <w:t>Percent</w:t>
            </w:r>
          </w:p>
        </w:tc>
      </w:tr>
      <w:tr w:rsidR="00CD0355" w:rsidRPr="009106CF" w14:paraId="1587A983" w14:textId="77777777" w:rsidTr="00CD0355">
        <w:trPr>
          <w:cantSplit/>
          <w:trHeight w:val="144"/>
          <w:jc w:val="center"/>
        </w:trPr>
        <w:tc>
          <w:tcPr>
            <w:tcW w:w="3418" w:type="dxa"/>
            <w:tcBorders>
              <w:top w:val="single" w:sz="6" w:space="0" w:color="000000"/>
            </w:tcBorders>
          </w:tcPr>
          <w:p w14:paraId="1939C873" w14:textId="77777777" w:rsidR="00CD0355" w:rsidRPr="00B94C6F" w:rsidRDefault="00CD0355" w:rsidP="00CD0355">
            <w:pPr>
              <w:tabs>
                <w:tab w:val="left" w:pos="720"/>
              </w:tabs>
              <w:rPr>
                <w:sz w:val="16"/>
                <w:szCs w:val="16"/>
              </w:rPr>
            </w:pPr>
            <w:r w:rsidRPr="00B94C6F">
              <w:rPr>
                <w:sz w:val="16"/>
                <w:szCs w:val="16"/>
              </w:rPr>
              <w:t>Artichoke</w:t>
            </w:r>
          </w:p>
        </w:tc>
        <w:tc>
          <w:tcPr>
            <w:tcW w:w="1473" w:type="dxa"/>
            <w:tcBorders>
              <w:top w:val="single" w:sz="6" w:space="0" w:color="000000"/>
            </w:tcBorders>
          </w:tcPr>
          <w:p w14:paraId="58CB97B4"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50CAFDFA" w14:textId="77777777" w:rsidTr="00CD0355">
        <w:trPr>
          <w:cantSplit/>
          <w:trHeight w:val="144"/>
          <w:jc w:val="center"/>
        </w:trPr>
        <w:tc>
          <w:tcPr>
            <w:tcW w:w="3418" w:type="dxa"/>
          </w:tcPr>
          <w:p w14:paraId="107EC742" w14:textId="77777777" w:rsidR="00CD0355" w:rsidRPr="00B94C6F" w:rsidRDefault="00CD0355" w:rsidP="00CD0355">
            <w:pPr>
              <w:tabs>
                <w:tab w:val="left" w:pos="720"/>
              </w:tabs>
              <w:rPr>
                <w:sz w:val="16"/>
                <w:szCs w:val="16"/>
              </w:rPr>
            </w:pPr>
            <w:r w:rsidRPr="00B94C6F">
              <w:rPr>
                <w:sz w:val="16"/>
                <w:szCs w:val="16"/>
              </w:rPr>
              <w:t>Asparagus</w:t>
            </w:r>
          </w:p>
        </w:tc>
        <w:tc>
          <w:tcPr>
            <w:tcW w:w="1473" w:type="dxa"/>
          </w:tcPr>
          <w:p w14:paraId="6AAED916"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422EB247" w14:textId="77777777" w:rsidTr="00CD0355">
        <w:trPr>
          <w:cantSplit/>
          <w:trHeight w:val="144"/>
          <w:jc w:val="center"/>
        </w:trPr>
        <w:tc>
          <w:tcPr>
            <w:tcW w:w="3418" w:type="dxa"/>
          </w:tcPr>
          <w:p w14:paraId="167E499F" w14:textId="77777777" w:rsidR="00CD0355" w:rsidRPr="00B94C6F" w:rsidRDefault="00CD0355" w:rsidP="00CD0355">
            <w:pPr>
              <w:tabs>
                <w:tab w:val="left" w:pos="720"/>
              </w:tabs>
              <w:rPr>
                <w:sz w:val="16"/>
                <w:szCs w:val="16"/>
              </w:rPr>
            </w:pPr>
            <w:r w:rsidRPr="00B94C6F">
              <w:rPr>
                <w:sz w:val="16"/>
                <w:szCs w:val="16"/>
              </w:rPr>
              <w:t>Asparagus bean</w:t>
            </w:r>
          </w:p>
        </w:tc>
        <w:tc>
          <w:tcPr>
            <w:tcW w:w="1473" w:type="dxa"/>
          </w:tcPr>
          <w:p w14:paraId="05DB1E86"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39831D89" w14:textId="77777777" w:rsidTr="00CD0355">
        <w:trPr>
          <w:cantSplit/>
          <w:trHeight w:val="144"/>
          <w:jc w:val="center"/>
        </w:trPr>
        <w:tc>
          <w:tcPr>
            <w:tcW w:w="3418" w:type="dxa"/>
          </w:tcPr>
          <w:p w14:paraId="147A1F18" w14:textId="77777777" w:rsidR="00CD0355" w:rsidRPr="00B94C6F" w:rsidRDefault="00CD0355" w:rsidP="00CD0355">
            <w:pPr>
              <w:tabs>
                <w:tab w:val="left" w:pos="720"/>
              </w:tabs>
              <w:rPr>
                <w:sz w:val="16"/>
                <w:szCs w:val="16"/>
              </w:rPr>
            </w:pPr>
            <w:r w:rsidRPr="00B94C6F">
              <w:rPr>
                <w:sz w:val="16"/>
                <w:szCs w:val="16"/>
              </w:rPr>
              <w:t>Bean, garden</w:t>
            </w:r>
          </w:p>
        </w:tc>
        <w:tc>
          <w:tcPr>
            <w:tcW w:w="1473" w:type="dxa"/>
          </w:tcPr>
          <w:p w14:paraId="2C079245"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5C1FD2B8" w14:textId="77777777" w:rsidTr="00CD0355">
        <w:trPr>
          <w:cantSplit/>
          <w:trHeight w:val="144"/>
          <w:jc w:val="center"/>
        </w:trPr>
        <w:tc>
          <w:tcPr>
            <w:tcW w:w="3418" w:type="dxa"/>
          </w:tcPr>
          <w:p w14:paraId="7610DAA5" w14:textId="77777777" w:rsidR="00CD0355" w:rsidRPr="00B94C6F" w:rsidRDefault="00CD0355" w:rsidP="00CD0355">
            <w:pPr>
              <w:tabs>
                <w:tab w:val="left" w:pos="720"/>
              </w:tabs>
              <w:rPr>
                <w:sz w:val="16"/>
                <w:szCs w:val="16"/>
              </w:rPr>
            </w:pPr>
            <w:r w:rsidRPr="00B94C6F">
              <w:rPr>
                <w:sz w:val="16"/>
                <w:szCs w:val="16"/>
              </w:rPr>
              <w:t>Bean, lima</w:t>
            </w:r>
          </w:p>
        </w:tc>
        <w:tc>
          <w:tcPr>
            <w:tcW w:w="1473" w:type="dxa"/>
          </w:tcPr>
          <w:p w14:paraId="7FA0EFE3"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5DD4C672" w14:textId="77777777" w:rsidTr="00CD0355">
        <w:trPr>
          <w:cantSplit/>
          <w:trHeight w:val="144"/>
          <w:jc w:val="center"/>
        </w:trPr>
        <w:tc>
          <w:tcPr>
            <w:tcW w:w="3418" w:type="dxa"/>
          </w:tcPr>
          <w:p w14:paraId="4BE3D567" w14:textId="77777777" w:rsidR="00CD0355" w:rsidRPr="00B94C6F" w:rsidRDefault="00CD0355" w:rsidP="00CD0355">
            <w:pPr>
              <w:tabs>
                <w:tab w:val="left" w:pos="720"/>
              </w:tabs>
              <w:rPr>
                <w:sz w:val="16"/>
                <w:szCs w:val="16"/>
              </w:rPr>
            </w:pPr>
            <w:r w:rsidRPr="00B94C6F">
              <w:rPr>
                <w:sz w:val="16"/>
                <w:szCs w:val="16"/>
              </w:rPr>
              <w:t>Bean, runner</w:t>
            </w:r>
          </w:p>
        </w:tc>
        <w:tc>
          <w:tcPr>
            <w:tcW w:w="1473" w:type="dxa"/>
          </w:tcPr>
          <w:p w14:paraId="7E7EB438"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55542A8C" w14:textId="77777777" w:rsidTr="00CD0355">
        <w:trPr>
          <w:cantSplit/>
          <w:trHeight w:val="144"/>
          <w:jc w:val="center"/>
        </w:trPr>
        <w:tc>
          <w:tcPr>
            <w:tcW w:w="3418" w:type="dxa"/>
          </w:tcPr>
          <w:p w14:paraId="46CDF83A" w14:textId="77777777" w:rsidR="00CD0355" w:rsidRPr="00B94C6F" w:rsidRDefault="00CD0355" w:rsidP="00CD0355">
            <w:pPr>
              <w:tabs>
                <w:tab w:val="left" w:pos="720"/>
              </w:tabs>
              <w:rPr>
                <w:sz w:val="16"/>
                <w:szCs w:val="16"/>
              </w:rPr>
            </w:pPr>
            <w:r w:rsidRPr="00B94C6F">
              <w:rPr>
                <w:sz w:val="16"/>
                <w:szCs w:val="16"/>
              </w:rPr>
              <w:t>Beet</w:t>
            </w:r>
          </w:p>
        </w:tc>
        <w:tc>
          <w:tcPr>
            <w:tcW w:w="1473" w:type="dxa"/>
          </w:tcPr>
          <w:p w14:paraId="66B8A9BA" w14:textId="77777777" w:rsidR="00CD0355" w:rsidRPr="00B94C6F" w:rsidRDefault="00CD0355" w:rsidP="00CD0355">
            <w:pPr>
              <w:tabs>
                <w:tab w:val="left" w:pos="720"/>
              </w:tabs>
              <w:jc w:val="center"/>
              <w:rPr>
                <w:sz w:val="16"/>
                <w:szCs w:val="16"/>
              </w:rPr>
            </w:pPr>
            <w:r w:rsidRPr="00B94C6F">
              <w:rPr>
                <w:sz w:val="16"/>
                <w:szCs w:val="16"/>
              </w:rPr>
              <w:t>65</w:t>
            </w:r>
          </w:p>
        </w:tc>
      </w:tr>
      <w:tr w:rsidR="00CD0355" w:rsidRPr="009106CF" w14:paraId="4B699C80" w14:textId="77777777" w:rsidTr="00CD0355">
        <w:trPr>
          <w:cantSplit/>
          <w:trHeight w:val="144"/>
          <w:jc w:val="center"/>
        </w:trPr>
        <w:tc>
          <w:tcPr>
            <w:tcW w:w="3418" w:type="dxa"/>
          </w:tcPr>
          <w:p w14:paraId="18F11EDE" w14:textId="77777777" w:rsidR="00CD0355" w:rsidRPr="00B94C6F" w:rsidRDefault="00CD0355" w:rsidP="00CD0355">
            <w:pPr>
              <w:tabs>
                <w:tab w:val="left" w:pos="720"/>
              </w:tabs>
              <w:rPr>
                <w:sz w:val="16"/>
                <w:szCs w:val="16"/>
              </w:rPr>
            </w:pPr>
            <w:r w:rsidRPr="00B94C6F">
              <w:rPr>
                <w:sz w:val="16"/>
                <w:szCs w:val="16"/>
              </w:rPr>
              <w:t>Broadbean</w:t>
            </w:r>
          </w:p>
        </w:tc>
        <w:tc>
          <w:tcPr>
            <w:tcW w:w="1473" w:type="dxa"/>
          </w:tcPr>
          <w:p w14:paraId="7539F49A"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11FABD4E" w14:textId="77777777" w:rsidTr="00CD0355">
        <w:trPr>
          <w:cantSplit/>
          <w:trHeight w:val="144"/>
          <w:jc w:val="center"/>
        </w:trPr>
        <w:tc>
          <w:tcPr>
            <w:tcW w:w="3418" w:type="dxa"/>
          </w:tcPr>
          <w:p w14:paraId="2DA5AB59" w14:textId="77777777" w:rsidR="00CD0355" w:rsidRPr="00B94C6F" w:rsidRDefault="00CD0355" w:rsidP="00CD0355">
            <w:pPr>
              <w:tabs>
                <w:tab w:val="left" w:pos="720"/>
              </w:tabs>
              <w:rPr>
                <w:sz w:val="16"/>
                <w:szCs w:val="16"/>
              </w:rPr>
            </w:pPr>
            <w:r w:rsidRPr="00B94C6F">
              <w:rPr>
                <w:sz w:val="16"/>
                <w:szCs w:val="16"/>
              </w:rPr>
              <w:t>Broccoli</w:t>
            </w:r>
          </w:p>
        </w:tc>
        <w:tc>
          <w:tcPr>
            <w:tcW w:w="1473" w:type="dxa"/>
          </w:tcPr>
          <w:p w14:paraId="47AB4ECC"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0A6670C7" w14:textId="77777777" w:rsidTr="00CD0355">
        <w:trPr>
          <w:cantSplit/>
          <w:trHeight w:val="144"/>
          <w:jc w:val="center"/>
        </w:trPr>
        <w:tc>
          <w:tcPr>
            <w:tcW w:w="3418" w:type="dxa"/>
          </w:tcPr>
          <w:p w14:paraId="5B3D20F7" w14:textId="77777777" w:rsidR="00CD0355" w:rsidRPr="00B94C6F" w:rsidRDefault="00CD0355" w:rsidP="00CD0355">
            <w:pPr>
              <w:tabs>
                <w:tab w:val="left" w:pos="720"/>
              </w:tabs>
              <w:rPr>
                <w:sz w:val="16"/>
                <w:szCs w:val="16"/>
              </w:rPr>
            </w:pPr>
            <w:r w:rsidRPr="00B94C6F">
              <w:rPr>
                <w:sz w:val="16"/>
                <w:szCs w:val="16"/>
              </w:rPr>
              <w:t>Brussels sprouts</w:t>
            </w:r>
          </w:p>
        </w:tc>
        <w:tc>
          <w:tcPr>
            <w:tcW w:w="1473" w:type="dxa"/>
          </w:tcPr>
          <w:p w14:paraId="53269672"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431DDF66" w14:textId="77777777" w:rsidTr="00CD0355">
        <w:trPr>
          <w:cantSplit/>
          <w:trHeight w:val="144"/>
          <w:jc w:val="center"/>
        </w:trPr>
        <w:tc>
          <w:tcPr>
            <w:tcW w:w="3418" w:type="dxa"/>
          </w:tcPr>
          <w:p w14:paraId="17014236" w14:textId="77777777" w:rsidR="00CD0355" w:rsidRPr="00B94C6F" w:rsidRDefault="00CD0355" w:rsidP="00CD0355">
            <w:pPr>
              <w:tabs>
                <w:tab w:val="left" w:pos="720"/>
              </w:tabs>
              <w:rPr>
                <w:sz w:val="16"/>
                <w:szCs w:val="16"/>
              </w:rPr>
            </w:pPr>
            <w:r w:rsidRPr="00B94C6F">
              <w:rPr>
                <w:sz w:val="16"/>
                <w:szCs w:val="16"/>
              </w:rPr>
              <w:t>Burdock, great</w:t>
            </w:r>
          </w:p>
        </w:tc>
        <w:tc>
          <w:tcPr>
            <w:tcW w:w="1473" w:type="dxa"/>
          </w:tcPr>
          <w:p w14:paraId="2655C2C6"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102CCAEE" w14:textId="77777777" w:rsidTr="00CD0355">
        <w:trPr>
          <w:cantSplit/>
          <w:trHeight w:val="144"/>
          <w:jc w:val="center"/>
        </w:trPr>
        <w:tc>
          <w:tcPr>
            <w:tcW w:w="3418" w:type="dxa"/>
          </w:tcPr>
          <w:p w14:paraId="6C10321B" w14:textId="77777777" w:rsidR="00CD0355" w:rsidRPr="00B94C6F" w:rsidRDefault="00CD0355" w:rsidP="00CD0355">
            <w:pPr>
              <w:tabs>
                <w:tab w:val="left" w:pos="720"/>
              </w:tabs>
              <w:rPr>
                <w:sz w:val="16"/>
                <w:szCs w:val="16"/>
              </w:rPr>
            </w:pPr>
            <w:r w:rsidRPr="00B94C6F">
              <w:rPr>
                <w:sz w:val="16"/>
                <w:szCs w:val="16"/>
              </w:rPr>
              <w:lastRenderedPageBreak/>
              <w:t>Cabbage</w:t>
            </w:r>
          </w:p>
        </w:tc>
        <w:tc>
          <w:tcPr>
            <w:tcW w:w="1473" w:type="dxa"/>
          </w:tcPr>
          <w:p w14:paraId="445F1EC8"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7321FF6" w14:textId="77777777" w:rsidTr="00CD0355">
        <w:trPr>
          <w:cantSplit/>
          <w:trHeight w:val="144"/>
          <w:jc w:val="center"/>
        </w:trPr>
        <w:tc>
          <w:tcPr>
            <w:tcW w:w="3418" w:type="dxa"/>
          </w:tcPr>
          <w:p w14:paraId="2171D1FF" w14:textId="77777777" w:rsidR="00CD0355" w:rsidRPr="00B94C6F" w:rsidRDefault="00CD0355" w:rsidP="00CD0355">
            <w:pPr>
              <w:tabs>
                <w:tab w:val="left" w:pos="720"/>
              </w:tabs>
              <w:rPr>
                <w:sz w:val="16"/>
                <w:szCs w:val="16"/>
              </w:rPr>
            </w:pPr>
            <w:r w:rsidRPr="00B94C6F">
              <w:rPr>
                <w:sz w:val="16"/>
                <w:szCs w:val="16"/>
              </w:rPr>
              <w:t>Cabbage, tronchuda</w:t>
            </w:r>
          </w:p>
        </w:tc>
        <w:tc>
          <w:tcPr>
            <w:tcW w:w="1473" w:type="dxa"/>
          </w:tcPr>
          <w:p w14:paraId="2691ECB2"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6A03E2A4" w14:textId="77777777" w:rsidTr="00CD0355">
        <w:trPr>
          <w:cantSplit/>
          <w:trHeight w:val="144"/>
          <w:jc w:val="center"/>
        </w:trPr>
        <w:tc>
          <w:tcPr>
            <w:tcW w:w="3418" w:type="dxa"/>
          </w:tcPr>
          <w:p w14:paraId="6900FC27" w14:textId="77777777" w:rsidR="00CD0355" w:rsidRPr="00B94C6F" w:rsidRDefault="00CD0355" w:rsidP="00CD0355">
            <w:pPr>
              <w:tabs>
                <w:tab w:val="left" w:pos="720"/>
              </w:tabs>
              <w:rPr>
                <w:sz w:val="16"/>
                <w:szCs w:val="16"/>
              </w:rPr>
            </w:pPr>
            <w:r w:rsidRPr="00B94C6F">
              <w:rPr>
                <w:sz w:val="16"/>
                <w:szCs w:val="16"/>
              </w:rPr>
              <w:t>Cardoon</w:t>
            </w:r>
          </w:p>
        </w:tc>
        <w:tc>
          <w:tcPr>
            <w:tcW w:w="1473" w:type="dxa"/>
          </w:tcPr>
          <w:p w14:paraId="65D65190"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2A6B4FA4" w14:textId="77777777" w:rsidTr="00CD0355">
        <w:trPr>
          <w:cantSplit/>
          <w:trHeight w:val="144"/>
          <w:jc w:val="center"/>
        </w:trPr>
        <w:tc>
          <w:tcPr>
            <w:tcW w:w="3418" w:type="dxa"/>
          </w:tcPr>
          <w:p w14:paraId="321AABE9" w14:textId="77777777" w:rsidR="00CD0355" w:rsidRPr="00B94C6F" w:rsidRDefault="00CD0355" w:rsidP="00CD0355">
            <w:pPr>
              <w:tabs>
                <w:tab w:val="left" w:pos="720"/>
              </w:tabs>
              <w:rPr>
                <w:sz w:val="16"/>
                <w:szCs w:val="16"/>
              </w:rPr>
            </w:pPr>
            <w:r w:rsidRPr="00B94C6F">
              <w:rPr>
                <w:sz w:val="16"/>
                <w:szCs w:val="16"/>
              </w:rPr>
              <w:t>Carrot</w:t>
            </w:r>
          </w:p>
        </w:tc>
        <w:tc>
          <w:tcPr>
            <w:tcW w:w="1473" w:type="dxa"/>
          </w:tcPr>
          <w:p w14:paraId="4441C690" w14:textId="77777777" w:rsidR="00CD0355" w:rsidRPr="00B94C6F" w:rsidRDefault="00CD0355" w:rsidP="00CD0355">
            <w:pPr>
              <w:tabs>
                <w:tab w:val="left" w:pos="720"/>
              </w:tabs>
              <w:jc w:val="center"/>
              <w:rPr>
                <w:sz w:val="16"/>
                <w:szCs w:val="16"/>
              </w:rPr>
            </w:pPr>
            <w:r w:rsidRPr="00B94C6F">
              <w:rPr>
                <w:sz w:val="16"/>
                <w:szCs w:val="16"/>
              </w:rPr>
              <w:t>55</w:t>
            </w:r>
          </w:p>
        </w:tc>
      </w:tr>
      <w:tr w:rsidR="00CD0355" w:rsidRPr="009106CF" w14:paraId="2BA12EA7" w14:textId="77777777" w:rsidTr="00CD0355">
        <w:trPr>
          <w:cantSplit/>
          <w:trHeight w:val="144"/>
          <w:jc w:val="center"/>
        </w:trPr>
        <w:tc>
          <w:tcPr>
            <w:tcW w:w="3418" w:type="dxa"/>
          </w:tcPr>
          <w:p w14:paraId="71DB0B6F" w14:textId="77777777" w:rsidR="00CD0355" w:rsidRPr="00B94C6F" w:rsidRDefault="00CD0355" w:rsidP="00CD0355">
            <w:pPr>
              <w:tabs>
                <w:tab w:val="left" w:pos="720"/>
              </w:tabs>
              <w:rPr>
                <w:sz w:val="16"/>
                <w:szCs w:val="16"/>
              </w:rPr>
            </w:pPr>
            <w:r w:rsidRPr="00B94C6F">
              <w:rPr>
                <w:sz w:val="16"/>
                <w:szCs w:val="16"/>
              </w:rPr>
              <w:t>Cauliflower</w:t>
            </w:r>
          </w:p>
        </w:tc>
        <w:tc>
          <w:tcPr>
            <w:tcW w:w="1473" w:type="dxa"/>
          </w:tcPr>
          <w:p w14:paraId="7B529EC0"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29C7688F" w14:textId="77777777" w:rsidTr="00CD0355">
        <w:trPr>
          <w:cantSplit/>
          <w:trHeight w:val="144"/>
          <w:jc w:val="center"/>
        </w:trPr>
        <w:tc>
          <w:tcPr>
            <w:tcW w:w="3418" w:type="dxa"/>
          </w:tcPr>
          <w:p w14:paraId="61877CBB" w14:textId="77777777" w:rsidR="00CD0355" w:rsidRPr="00B94C6F" w:rsidRDefault="00CD0355" w:rsidP="00CD0355">
            <w:pPr>
              <w:tabs>
                <w:tab w:val="left" w:pos="720"/>
              </w:tabs>
              <w:rPr>
                <w:sz w:val="16"/>
                <w:szCs w:val="16"/>
              </w:rPr>
            </w:pPr>
            <w:r w:rsidRPr="00B94C6F">
              <w:rPr>
                <w:sz w:val="16"/>
                <w:szCs w:val="16"/>
              </w:rPr>
              <w:t>Celeriac</w:t>
            </w:r>
          </w:p>
        </w:tc>
        <w:tc>
          <w:tcPr>
            <w:tcW w:w="1473" w:type="dxa"/>
          </w:tcPr>
          <w:p w14:paraId="25C8F763" w14:textId="77777777" w:rsidR="00CD0355" w:rsidRPr="00B94C6F" w:rsidRDefault="00CD0355" w:rsidP="00CD0355">
            <w:pPr>
              <w:tabs>
                <w:tab w:val="left" w:pos="720"/>
              </w:tabs>
              <w:jc w:val="center"/>
              <w:rPr>
                <w:sz w:val="16"/>
                <w:szCs w:val="16"/>
              </w:rPr>
            </w:pPr>
            <w:r w:rsidRPr="00B94C6F">
              <w:rPr>
                <w:sz w:val="16"/>
                <w:szCs w:val="16"/>
              </w:rPr>
              <w:t>55</w:t>
            </w:r>
          </w:p>
        </w:tc>
      </w:tr>
      <w:tr w:rsidR="00CD0355" w:rsidRPr="009106CF" w14:paraId="3F5BDB8A" w14:textId="77777777" w:rsidTr="00CD0355">
        <w:trPr>
          <w:cantSplit/>
          <w:trHeight w:val="144"/>
          <w:jc w:val="center"/>
        </w:trPr>
        <w:tc>
          <w:tcPr>
            <w:tcW w:w="3418" w:type="dxa"/>
          </w:tcPr>
          <w:p w14:paraId="6202F663" w14:textId="77777777" w:rsidR="00CD0355" w:rsidRPr="00B94C6F" w:rsidRDefault="00CD0355" w:rsidP="00CD0355">
            <w:pPr>
              <w:tabs>
                <w:tab w:val="left" w:pos="720"/>
              </w:tabs>
              <w:rPr>
                <w:sz w:val="16"/>
                <w:szCs w:val="16"/>
              </w:rPr>
            </w:pPr>
            <w:r w:rsidRPr="00B94C6F">
              <w:rPr>
                <w:sz w:val="16"/>
                <w:szCs w:val="16"/>
              </w:rPr>
              <w:t>Celery</w:t>
            </w:r>
          </w:p>
        </w:tc>
        <w:tc>
          <w:tcPr>
            <w:tcW w:w="1473" w:type="dxa"/>
          </w:tcPr>
          <w:p w14:paraId="26B315E6" w14:textId="77777777" w:rsidR="00CD0355" w:rsidRPr="00B94C6F" w:rsidRDefault="00CD0355" w:rsidP="00CD0355">
            <w:pPr>
              <w:tabs>
                <w:tab w:val="left" w:pos="720"/>
              </w:tabs>
              <w:jc w:val="center"/>
              <w:rPr>
                <w:sz w:val="16"/>
                <w:szCs w:val="16"/>
              </w:rPr>
            </w:pPr>
            <w:r w:rsidRPr="00B94C6F">
              <w:rPr>
                <w:sz w:val="16"/>
                <w:szCs w:val="16"/>
              </w:rPr>
              <w:t>55</w:t>
            </w:r>
          </w:p>
        </w:tc>
      </w:tr>
      <w:tr w:rsidR="00CD0355" w:rsidRPr="009106CF" w14:paraId="7FAB51BA" w14:textId="77777777" w:rsidTr="00CD0355">
        <w:trPr>
          <w:cantSplit/>
          <w:trHeight w:val="144"/>
          <w:jc w:val="center"/>
        </w:trPr>
        <w:tc>
          <w:tcPr>
            <w:tcW w:w="3418" w:type="dxa"/>
          </w:tcPr>
          <w:p w14:paraId="420225CF" w14:textId="77777777" w:rsidR="00CD0355" w:rsidRPr="00B94C6F" w:rsidRDefault="00CD0355" w:rsidP="00CD0355">
            <w:pPr>
              <w:tabs>
                <w:tab w:val="left" w:pos="720"/>
              </w:tabs>
              <w:rPr>
                <w:sz w:val="16"/>
                <w:szCs w:val="16"/>
              </w:rPr>
            </w:pPr>
            <w:r w:rsidRPr="00B94C6F">
              <w:rPr>
                <w:sz w:val="16"/>
                <w:szCs w:val="16"/>
              </w:rPr>
              <w:t>Chard, Swiss</w:t>
            </w:r>
          </w:p>
        </w:tc>
        <w:tc>
          <w:tcPr>
            <w:tcW w:w="1473" w:type="dxa"/>
          </w:tcPr>
          <w:p w14:paraId="67714685" w14:textId="77777777" w:rsidR="00CD0355" w:rsidRPr="00B94C6F" w:rsidRDefault="00CD0355" w:rsidP="00CD0355">
            <w:pPr>
              <w:tabs>
                <w:tab w:val="left" w:pos="720"/>
              </w:tabs>
              <w:jc w:val="center"/>
              <w:rPr>
                <w:sz w:val="16"/>
                <w:szCs w:val="16"/>
              </w:rPr>
            </w:pPr>
            <w:r w:rsidRPr="00B94C6F">
              <w:rPr>
                <w:sz w:val="16"/>
                <w:szCs w:val="16"/>
              </w:rPr>
              <w:t>65</w:t>
            </w:r>
          </w:p>
        </w:tc>
      </w:tr>
      <w:tr w:rsidR="00CD0355" w:rsidRPr="009106CF" w14:paraId="578594BD" w14:textId="77777777" w:rsidTr="00CD0355">
        <w:trPr>
          <w:cantSplit/>
          <w:trHeight w:val="144"/>
          <w:jc w:val="center"/>
        </w:trPr>
        <w:tc>
          <w:tcPr>
            <w:tcW w:w="3418" w:type="dxa"/>
          </w:tcPr>
          <w:p w14:paraId="6A6B3E9C" w14:textId="77777777" w:rsidR="00CD0355" w:rsidRPr="00B94C6F" w:rsidRDefault="00CD0355" w:rsidP="00CD0355">
            <w:pPr>
              <w:tabs>
                <w:tab w:val="left" w:pos="720"/>
              </w:tabs>
              <w:rPr>
                <w:sz w:val="16"/>
                <w:szCs w:val="16"/>
              </w:rPr>
            </w:pPr>
            <w:r w:rsidRPr="00B94C6F">
              <w:rPr>
                <w:sz w:val="16"/>
                <w:szCs w:val="16"/>
              </w:rPr>
              <w:t>Chicory</w:t>
            </w:r>
          </w:p>
        </w:tc>
        <w:tc>
          <w:tcPr>
            <w:tcW w:w="1473" w:type="dxa"/>
          </w:tcPr>
          <w:p w14:paraId="2F4DD232" w14:textId="77777777" w:rsidR="00CD0355" w:rsidRPr="00B94C6F" w:rsidRDefault="00CD0355" w:rsidP="00CD0355">
            <w:pPr>
              <w:tabs>
                <w:tab w:val="left" w:pos="720"/>
              </w:tabs>
              <w:jc w:val="center"/>
              <w:rPr>
                <w:sz w:val="16"/>
                <w:szCs w:val="16"/>
              </w:rPr>
            </w:pPr>
            <w:r w:rsidRPr="00B94C6F">
              <w:rPr>
                <w:sz w:val="16"/>
                <w:szCs w:val="16"/>
              </w:rPr>
              <w:t>65</w:t>
            </w:r>
          </w:p>
        </w:tc>
      </w:tr>
      <w:tr w:rsidR="00CD0355" w:rsidRPr="009106CF" w14:paraId="3D69B9BB" w14:textId="77777777" w:rsidTr="00CD0355">
        <w:trPr>
          <w:cantSplit/>
          <w:trHeight w:val="144"/>
          <w:jc w:val="center"/>
        </w:trPr>
        <w:tc>
          <w:tcPr>
            <w:tcW w:w="3418" w:type="dxa"/>
          </w:tcPr>
          <w:p w14:paraId="3AA808ED" w14:textId="77777777" w:rsidR="00CD0355" w:rsidRPr="00B94C6F" w:rsidRDefault="00CD0355" w:rsidP="00CD0355">
            <w:pPr>
              <w:tabs>
                <w:tab w:val="left" w:pos="720"/>
              </w:tabs>
              <w:rPr>
                <w:sz w:val="16"/>
                <w:szCs w:val="16"/>
              </w:rPr>
            </w:pPr>
            <w:r w:rsidRPr="00B94C6F">
              <w:rPr>
                <w:sz w:val="16"/>
                <w:szCs w:val="16"/>
              </w:rPr>
              <w:t>Chinese cabbage</w:t>
            </w:r>
          </w:p>
        </w:tc>
        <w:tc>
          <w:tcPr>
            <w:tcW w:w="1473" w:type="dxa"/>
          </w:tcPr>
          <w:p w14:paraId="5B6B4603"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28ACCF02" w14:textId="77777777" w:rsidTr="00CD0355">
        <w:trPr>
          <w:cantSplit/>
          <w:trHeight w:val="144"/>
          <w:jc w:val="center"/>
        </w:trPr>
        <w:tc>
          <w:tcPr>
            <w:tcW w:w="3418" w:type="dxa"/>
          </w:tcPr>
          <w:p w14:paraId="1C071034" w14:textId="77777777" w:rsidR="00CD0355" w:rsidRPr="00B94C6F" w:rsidRDefault="00CD0355" w:rsidP="00CD0355">
            <w:pPr>
              <w:tabs>
                <w:tab w:val="left" w:pos="720"/>
              </w:tabs>
              <w:rPr>
                <w:sz w:val="16"/>
                <w:szCs w:val="16"/>
              </w:rPr>
            </w:pPr>
            <w:r w:rsidRPr="00B94C6F">
              <w:rPr>
                <w:sz w:val="16"/>
                <w:szCs w:val="16"/>
              </w:rPr>
              <w:t>Chives</w:t>
            </w:r>
          </w:p>
        </w:tc>
        <w:tc>
          <w:tcPr>
            <w:tcW w:w="1473" w:type="dxa"/>
          </w:tcPr>
          <w:p w14:paraId="5605697D" w14:textId="77777777" w:rsidR="00CD0355" w:rsidRPr="00B94C6F" w:rsidRDefault="00CD0355" w:rsidP="00CD0355">
            <w:pPr>
              <w:tabs>
                <w:tab w:val="left" w:pos="720"/>
              </w:tabs>
              <w:jc w:val="center"/>
              <w:rPr>
                <w:sz w:val="16"/>
                <w:szCs w:val="16"/>
              </w:rPr>
            </w:pPr>
            <w:r w:rsidRPr="00B94C6F">
              <w:rPr>
                <w:sz w:val="16"/>
                <w:szCs w:val="16"/>
              </w:rPr>
              <w:t>50</w:t>
            </w:r>
          </w:p>
        </w:tc>
      </w:tr>
      <w:tr w:rsidR="00CD0355" w:rsidRPr="009106CF" w14:paraId="2761A705" w14:textId="77777777" w:rsidTr="00CD0355">
        <w:trPr>
          <w:cantSplit/>
          <w:trHeight w:val="144"/>
          <w:jc w:val="center"/>
        </w:trPr>
        <w:tc>
          <w:tcPr>
            <w:tcW w:w="3418" w:type="dxa"/>
          </w:tcPr>
          <w:p w14:paraId="088E371A" w14:textId="77777777" w:rsidR="00CD0355" w:rsidRPr="00B94C6F" w:rsidRDefault="00CD0355" w:rsidP="00CD0355">
            <w:pPr>
              <w:tabs>
                <w:tab w:val="left" w:pos="720"/>
              </w:tabs>
              <w:rPr>
                <w:sz w:val="16"/>
                <w:szCs w:val="16"/>
              </w:rPr>
            </w:pPr>
            <w:r w:rsidRPr="00B94C6F">
              <w:rPr>
                <w:sz w:val="16"/>
                <w:szCs w:val="16"/>
              </w:rPr>
              <w:t>Citron</w:t>
            </w:r>
          </w:p>
        </w:tc>
        <w:tc>
          <w:tcPr>
            <w:tcW w:w="1473" w:type="dxa"/>
          </w:tcPr>
          <w:p w14:paraId="52E49CD6" w14:textId="77777777" w:rsidR="00CD0355" w:rsidRPr="00B94C6F" w:rsidRDefault="00CD0355" w:rsidP="00CD0355">
            <w:pPr>
              <w:tabs>
                <w:tab w:val="left" w:pos="720"/>
              </w:tabs>
              <w:jc w:val="center"/>
              <w:rPr>
                <w:sz w:val="16"/>
                <w:szCs w:val="16"/>
              </w:rPr>
            </w:pPr>
            <w:r w:rsidRPr="00B94C6F">
              <w:rPr>
                <w:sz w:val="16"/>
                <w:szCs w:val="16"/>
              </w:rPr>
              <w:t>65</w:t>
            </w:r>
          </w:p>
        </w:tc>
      </w:tr>
      <w:tr w:rsidR="00CD0355" w:rsidRPr="009106CF" w14:paraId="6CB92347" w14:textId="77777777" w:rsidTr="00CD0355">
        <w:trPr>
          <w:cantSplit/>
          <w:trHeight w:val="144"/>
          <w:jc w:val="center"/>
        </w:trPr>
        <w:tc>
          <w:tcPr>
            <w:tcW w:w="3418" w:type="dxa"/>
          </w:tcPr>
          <w:p w14:paraId="68512628" w14:textId="77777777" w:rsidR="00CD0355" w:rsidRPr="00B94C6F" w:rsidRDefault="00CD0355" w:rsidP="00CD0355">
            <w:pPr>
              <w:tabs>
                <w:tab w:val="left" w:pos="720"/>
              </w:tabs>
              <w:rPr>
                <w:sz w:val="16"/>
                <w:szCs w:val="16"/>
              </w:rPr>
            </w:pPr>
            <w:r w:rsidRPr="00B94C6F">
              <w:rPr>
                <w:sz w:val="16"/>
                <w:szCs w:val="16"/>
              </w:rPr>
              <w:t>Collards</w:t>
            </w:r>
          </w:p>
        </w:tc>
        <w:tc>
          <w:tcPr>
            <w:tcW w:w="1473" w:type="dxa"/>
          </w:tcPr>
          <w:p w14:paraId="0C31C758" w14:textId="77777777" w:rsidR="00CD0355" w:rsidRPr="00B94C6F" w:rsidRDefault="00CD0355" w:rsidP="00CD0355">
            <w:pPr>
              <w:tabs>
                <w:tab w:val="left" w:pos="720"/>
              </w:tabs>
              <w:jc w:val="center"/>
              <w:rPr>
                <w:sz w:val="16"/>
                <w:szCs w:val="16"/>
              </w:rPr>
            </w:pPr>
            <w:r w:rsidRPr="00B94C6F">
              <w:rPr>
                <w:sz w:val="16"/>
                <w:szCs w:val="16"/>
              </w:rPr>
              <w:t>80</w:t>
            </w:r>
          </w:p>
        </w:tc>
      </w:tr>
      <w:tr w:rsidR="00CD0355" w:rsidRPr="009106CF" w14:paraId="56A2657C" w14:textId="77777777" w:rsidTr="00CD0355">
        <w:trPr>
          <w:cantSplit/>
          <w:trHeight w:val="144"/>
          <w:jc w:val="center"/>
        </w:trPr>
        <w:tc>
          <w:tcPr>
            <w:tcW w:w="3418" w:type="dxa"/>
          </w:tcPr>
          <w:p w14:paraId="158B505C" w14:textId="77777777" w:rsidR="00CD0355" w:rsidRPr="00B94C6F" w:rsidRDefault="00CD0355" w:rsidP="00CD0355">
            <w:pPr>
              <w:tabs>
                <w:tab w:val="left" w:pos="720"/>
              </w:tabs>
              <w:rPr>
                <w:sz w:val="16"/>
                <w:szCs w:val="16"/>
              </w:rPr>
            </w:pPr>
            <w:r w:rsidRPr="00B94C6F">
              <w:rPr>
                <w:sz w:val="16"/>
                <w:szCs w:val="16"/>
              </w:rPr>
              <w:t>Corn, sweet</w:t>
            </w:r>
          </w:p>
        </w:tc>
        <w:tc>
          <w:tcPr>
            <w:tcW w:w="1473" w:type="dxa"/>
          </w:tcPr>
          <w:p w14:paraId="1C968CC0"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1C6C31BC" w14:textId="77777777" w:rsidTr="00CD0355">
        <w:trPr>
          <w:cantSplit/>
          <w:trHeight w:val="144"/>
          <w:jc w:val="center"/>
        </w:trPr>
        <w:tc>
          <w:tcPr>
            <w:tcW w:w="3418" w:type="dxa"/>
          </w:tcPr>
          <w:p w14:paraId="2F1C27AE" w14:textId="77777777" w:rsidR="00CD0355" w:rsidRPr="00B94C6F" w:rsidRDefault="00CD0355" w:rsidP="00CD0355">
            <w:pPr>
              <w:tabs>
                <w:tab w:val="left" w:pos="720"/>
              </w:tabs>
              <w:rPr>
                <w:sz w:val="16"/>
                <w:szCs w:val="16"/>
              </w:rPr>
            </w:pPr>
            <w:r w:rsidRPr="00B94C6F">
              <w:rPr>
                <w:sz w:val="16"/>
                <w:szCs w:val="16"/>
              </w:rPr>
              <w:t>Cornsalad</w:t>
            </w:r>
          </w:p>
        </w:tc>
        <w:tc>
          <w:tcPr>
            <w:tcW w:w="1473" w:type="dxa"/>
          </w:tcPr>
          <w:p w14:paraId="662B0BAF"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5AA55C80" w14:textId="77777777" w:rsidTr="00CD0355">
        <w:trPr>
          <w:cantSplit/>
          <w:trHeight w:val="144"/>
          <w:jc w:val="center"/>
        </w:trPr>
        <w:tc>
          <w:tcPr>
            <w:tcW w:w="3418" w:type="dxa"/>
          </w:tcPr>
          <w:p w14:paraId="7DBCC81E" w14:textId="77777777" w:rsidR="00CD0355" w:rsidRPr="00B94C6F" w:rsidRDefault="00CD0355" w:rsidP="00CD0355">
            <w:pPr>
              <w:tabs>
                <w:tab w:val="left" w:pos="720"/>
              </w:tabs>
              <w:rPr>
                <w:sz w:val="16"/>
                <w:szCs w:val="16"/>
              </w:rPr>
            </w:pPr>
            <w:r w:rsidRPr="00B94C6F">
              <w:rPr>
                <w:sz w:val="16"/>
                <w:szCs w:val="16"/>
              </w:rPr>
              <w:t>Cowpea</w:t>
            </w:r>
          </w:p>
        </w:tc>
        <w:tc>
          <w:tcPr>
            <w:tcW w:w="1473" w:type="dxa"/>
          </w:tcPr>
          <w:p w14:paraId="4E562A66"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597055D" w14:textId="77777777" w:rsidTr="00CD0355">
        <w:trPr>
          <w:cantSplit/>
          <w:trHeight w:val="144"/>
          <w:jc w:val="center"/>
        </w:trPr>
        <w:tc>
          <w:tcPr>
            <w:tcW w:w="3418" w:type="dxa"/>
          </w:tcPr>
          <w:p w14:paraId="14DA855A" w14:textId="77777777" w:rsidR="00CD0355" w:rsidRPr="00B94C6F" w:rsidRDefault="00CD0355" w:rsidP="00CD0355">
            <w:pPr>
              <w:tabs>
                <w:tab w:val="left" w:pos="720"/>
              </w:tabs>
              <w:rPr>
                <w:sz w:val="16"/>
                <w:szCs w:val="16"/>
              </w:rPr>
            </w:pPr>
            <w:r w:rsidRPr="00B94C6F">
              <w:rPr>
                <w:sz w:val="16"/>
                <w:szCs w:val="16"/>
              </w:rPr>
              <w:t>Cress, garden</w:t>
            </w:r>
          </w:p>
        </w:tc>
        <w:tc>
          <w:tcPr>
            <w:tcW w:w="1473" w:type="dxa"/>
          </w:tcPr>
          <w:p w14:paraId="1E3A81EC"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75D8E14F" w14:textId="77777777" w:rsidTr="00CD0355">
        <w:trPr>
          <w:cantSplit/>
          <w:trHeight w:val="144"/>
          <w:jc w:val="center"/>
        </w:trPr>
        <w:tc>
          <w:tcPr>
            <w:tcW w:w="3418" w:type="dxa"/>
          </w:tcPr>
          <w:p w14:paraId="4DB59754" w14:textId="77777777" w:rsidR="00CD0355" w:rsidRPr="00B94C6F" w:rsidRDefault="00CD0355" w:rsidP="00CD0355">
            <w:pPr>
              <w:tabs>
                <w:tab w:val="left" w:pos="720"/>
              </w:tabs>
              <w:rPr>
                <w:sz w:val="16"/>
                <w:szCs w:val="16"/>
              </w:rPr>
            </w:pPr>
            <w:r w:rsidRPr="00B94C6F">
              <w:rPr>
                <w:sz w:val="16"/>
                <w:szCs w:val="16"/>
              </w:rPr>
              <w:t>Cress, upland</w:t>
            </w:r>
          </w:p>
        </w:tc>
        <w:tc>
          <w:tcPr>
            <w:tcW w:w="1473" w:type="dxa"/>
          </w:tcPr>
          <w:p w14:paraId="4A7B437D"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73361B3E" w14:textId="77777777" w:rsidTr="00CD0355">
        <w:trPr>
          <w:cantSplit/>
          <w:trHeight w:val="144"/>
          <w:jc w:val="center"/>
        </w:trPr>
        <w:tc>
          <w:tcPr>
            <w:tcW w:w="3418" w:type="dxa"/>
          </w:tcPr>
          <w:p w14:paraId="1C4877CE" w14:textId="77777777" w:rsidR="00CD0355" w:rsidRPr="00B94C6F" w:rsidRDefault="00CD0355" w:rsidP="00CD0355">
            <w:pPr>
              <w:tabs>
                <w:tab w:val="left" w:pos="720"/>
              </w:tabs>
              <w:rPr>
                <w:sz w:val="16"/>
                <w:szCs w:val="16"/>
              </w:rPr>
            </w:pPr>
            <w:r w:rsidRPr="00B94C6F">
              <w:rPr>
                <w:sz w:val="16"/>
                <w:szCs w:val="16"/>
              </w:rPr>
              <w:t>Cress, water</w:t>
            </w:r>
          </w:p>
        </w:tc>
        <w:tc>
          <w:tcPr>
            <w:tcW w:w="1473" w:type="dxa"/>
          </w:tcPr>
          <w:p w14:paraId="2328E717" w14:textId="77777777" w:rsidR="00CD0355" w:rsidRPr="00B94C6F" w:rsidRDefault="00CD0355" w:rsidP="00CD0355">
            <w:pPr>
              <w:tabs>
                <w:tab w:val="left" w:pos="720"/>
              </w:tabs>
              <w:jc w:val="center"/>
              <w:rPr>
                <w:sz w:val="16"/>
                <w:szCs w:val="16"/>
              </w:rPr>
            </w:pPr>
            <w:r w:rsidRPr="00B94C6F">
              <w:rPr>
                <w:sz w:val="16"/>
                <w:szCs w:val="16"/>
              </w:rPr>
              <w:t>40</w:t>
            </w:r>
          </w:p>
        </w:tc>
      </w:tr>
      <w:tr w:rsidR="00CD0355" w:rsidRPr="009106CF" w14:paraId="796363E3" w14:textId="77777777" w:rsidTr="00CD0355">
        <w:trPr>
          <w:cantSplit/>
          <w:trHeight w:val="144"/>
          <w:jc w:val="center"/>
        </w:trPr>
        <w:tc>
          <w:tcPr>
            <w:tcW w:w="3418" w:type="dxa"/>
          </w:tcPr>
          <w:p w14:paraId="7DC01B12" w14:textId="77777777" w:rsidR="00CD0355" w:rsidRPr="00B94C6F" w:rsidRDefault="00CD0355" w:rsidP="00CD0355">
            <w:pPr>
              <w:tabs>
                <w:tab w:val="left" w:pos="720"/>
              </w:tabs>
              <w:rPr>
                <w:sz w:val="16"/>
                <w:szCs w:val="16"/>
              </w:rPr>
            </w:pPr>
            <w:r w:rsidRPr="00B94C6F">
              <w:rPr>
                <w:sz w:val="16"/>
                <w:szCs w:val="16"/>
              </w:rPr>
              <w:t>Cucumber</w:t>
            </w:r>
          </w:p>
        </w:tc>
        <w:tc>
          <w:tcPr>
            <w:tcW w:w="1473" w:type="dxa"/>
          </w:tcPr>
          <w:p w14:paraId="4DDB83FD" w14:textId="77777777" w:rsidR="00CD0355" w:rsidRPr="00B94C6F" w:rsidRDefault="00CD0355" w:rsidP="00CD0355">
            <w:pPr>
              <w:tabs>
                <w:tab w:val="left" w:pos="720"/>
              </w:tabs>
              <w:jc w:val="center"/>
              <w:rPr>
                <w:sz w:val="16"/>
                <w:szCs w:val="16"/>
              </w:rPr>
            </w:pPr>
            <w:r w:rsidRPr="00B94C6F">
              <w:rPr>
                <w:sz w:val="16"/>
                <w:szCs w:val="16"/>
              </w:rPr>
              <w:t>80</w:t>
            </w:r>
          </w:p>
        </w:tc>
      </w:tr>
      <w:tr w:rsidR="00CD0355" w:rsidRPr="009106CF" w14:paraId="32A23A2A" w14:textId="77777777" w:rsidTr="00CD0355">
        <w:trPr>
          <w:cantSplit/>
          <w:trHeight w:val="144"/>
          <w:jc w:val="center"/>
        </w:trPr>
        <w:tc>
          <w:tcPr>
            <w:tcW w:w="3418" w:type="dxa"/>
          </w:tcPr>
          <w:p w14:paraId="74FBF9A4" w14:textId="77777777" w:rsidR="00CD0355" w:rsidRPr="00B94C6F" w:rsidRDefault="00CD0355" w:rsidP="00CD0355">
            <w:pPr>
              <w:tabs>
                <w:tab w:val="left" w:pos="720"/>
              </w:tabs>
              <w:rPr>
                <w:sz w:val="16"/>
                <w:szCs w:val="16"/>
              </w:rPr>
            </w:pPr>
            <w:r w:rsidRPr="00B94C6F">
              <w:rPr>
                <w:sz w:val="16"/>
                <w:szCs w:val="16"/>
              </w:rPr>
              <w:t>Dandelion</w:t>
            </w:r>
          </w:p>
        </w:tc>
        <w:tc>
          <w:tcPr>
            <w:tcW w:w="1473" w:type="dxa"/>
          </w:tcPr>
          <w:p w14:paraId="01A5044A"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12EC0432" w14:textId="77777777" w:rsidTr="00CD0355">
        <w:trPr>
          <w:cantSplit/>
          <w:trHeight w:val="144"/>
          <w:jc w:val="center"/>
        </w:trPr>
        <w:tc>
          <w:tcPr>
            <w:tcW w:w="3418" w:type="dxa"/>
          </w:tcPr>
          <w:p w14:paraId="149E2857" w14:textId="77777777" w:rsidR="00CD0355" w:rsidRPr="00B94C6F" w:rsidRDefault="00CD0355" w:rsidP="00CD0355">
            <w:pPr>
              <w:tabs>
                <w:tab w:val="left" w:pos="720"/>
              </w:tabs>
              <w:rPr>
                <w:sz w:val="16"/>
                <w:szCs w:val="16"/>
              </w:rPr>
            </w:pPr>
            <w:r w:rsidRPr="00B94C6F">
              <w:rPr>
                <w:sz w:val="16"/>
                <w:szCs w:val="16"/>
              </w:rPr>
              <w:t>Dill</w:t>
            </w:r>
          </w:p>
        </w:tc>
        <w:tc>
          <w:tcPr>
            <w:tcW w:w="1473" w:type="dxa"/>
          </w:tcPr>
          <w:p w14:paraId="127E50BC"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3308F9B9" w14:textId="77777777" w:rsidTr="00CD0355">
        <w:trPr>
          <w:cantSplit/>
          <w:trHeight w:val="144"/>
          <w:jc w:val="center"/>
        </w:trPr>
        <w:tc>
          <w:tcPr>
            <w:tcW w:w="3418" w:type="dxa"/>
          </w:tcPr>
          <w:p w14:paraId="03699D5D" w14:textId="77777777" w:rsidR="00CD0355" w:rsidRPr="00B94C6F" w:rsidRDefault="00CD0355" w:rsidP="00CD0355">
            <w:pPr>
              <w:tabs>
                <w:tab w:val="left" w:pos="720"/>
              </w:tabs>
              <w:rPr>
                <w:sz w:val="16"/>
                <w:szCs w:val="16"/>
              </w:rPr>
            </w:pPr>
            <w:r w:rsidRPr="00B94C6F">
              <w:rPr>
                <w:sz w:val="16"/>
                <w:szCs w:val="16"/>
              </w:rPr>
              <w:t>Eggplant</w:t>
            </w:r>
          </w:p>
        </w:tc>
        <w:tc>
          <w:tcPr>
            <w:tcW w:w="1473" w:type="dxa"/>
          </w:tcPr>
          <w:p w14:paraId="05C6B48B"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1522DCC9" w14:textId="77777777" w:rsidTr="00CD0355">
        <w:trPr>
          <w:cantSplit/>
          <w:trHeight w:val="144"/>
          <w:jc w:val="center"/>
        </w:trPr>
        <w:tc>
          <w:tcPr>
            <w:tcW w:w="3418" w:type="dxa"/>
          </w:tcPr>
          <w:p w14:paraId="7A60F965" w14:textId="77777777" w:rsidR="00CD0355" w:rsidRPr="00B94C6F" w:rsidRDefault="00CD0355" w:rsidP="00CD0355">
            <w:pPr>
              <w:tabs>
                <w:tab w:val="left" w:pos="720"/>
              </w:tabs>
              <w:rPr>
                <w:sz w:val="16"/>
                <w:szCs w:val="16"/>
              </w:rPr>
            </w:pPr>
            <w:r w:rsidRPr="00B94C6F">
              <w:rPr>
                <w:sz w:val="16"/>
                <w:szCs w:val="16"/>
              </w:rPr>
              <w:t>Endive</w:t>
            </w:r>
          </w:p>
        </w:tc>
        <w:tc>
          <w:tcPr>
            <w:tcW w:w="1473" w:type="dxa"/>
          </w:tcPr>
          <w:p w14:paraId="754C8F50"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58620240" w14:textId="77777777" w:rsidTr="00CD0355">
        <w:trPr>
          <w:cantSplit/>
          <w:trHeight w:val="144"/>
          <w:jc w:val="center"/>
        </w:trPr>
        <w:tc>
          <w:tcPr>
            <w:tcW w:w="3418" w:type="dxa"/>
          </w:tcPr>
          <w:p w14:paraId="757CD412" w14:textId="77777777" w:rsidR="00CD0355" w:rsidRPr="00B94C6F" w:rsidRDefault="00CD0355" w:rsidP="00CD0355">
            <w:pPr>
              <w:tabs>
                <w:tab w:val="left" w:pos="720"/>
              </w:tabs>
              <w:rPr>
                <w:sz w:val="16"/>
                <w:szCs w:val="16"/>
              </w:rPr>
            </w:pPr>
            <w:r w:rsidRPr="00B94C6F">
              <w:rPr>
                <w:sz w:val="16"/>
                <w:szCs w:val="16"/>
              </w:rPr>
              <w:t>Kale</w:t>
            </w:r>
          </w:p>
        </w:tc>
        <w:tc>
          <w:tcPr>
            <w:tcW w:w="1473" w:type="dxa"/>
          </w:tcPr>
          <w:p w14:paraId="50E0BA90"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70B37A09" w14:textId="77777777" w:rsidTr="00CD0355">
        <w:trPr>
          <w:cantSplit/>
          <w:trHeight w:val="144"/>
          <w:jc w:val="center"/>
        </w:trPr>
        <w:tc>
          <w:tcPr>
            <w:tcW w:w="3418" w:type="dxa"/>
          </w:tcPr>
          <w:p w14:paraId="42FD2638" w14:textId="77777777" w:rsidR="00CD0355" w:rsidRPr="00B94C6F" w:rsidRDefault="00CD0355" w:rsidP="00CD0355">
            <w:pPr>
              <w:tabs>
                <w:tab w:val="left" w:pos="720"/>
              </w:tabs>
              <w:rPr>
                <w:sz w:val="16"/>
                <w:szCs w:val="16"/>
              </w:rPr>
            </w:pPr>
            <w:r w:rsidRPr="00B94C6F">
              <w:rPr>
                <w:sz w:val="16"/>
                <w:szCs w:val="16"/>
              </w:rPr>
              <w:t>Kale, Chinese</w:t>
            </w:r>
          </w:p>
        </w:tc>
        <w:tc>
          <w:tcPr>
            <w:tcW w:w="1473" w:type="dxa"/>
          </w:tcPr>
          <w:p w14:paraId="04B00B70"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0C0FA041" w14:textId="77777777" w:rsidTr="00CD0355">
        <w:trPr>
          <w:cantSplit/>
          <w:trHeight w:val="144"/>
          <w:jc w:val="center"/>
        </w:trPr>
        <w:tc>
          <w:tcPr>
            <w:tcW w:w="3418" w:type="dxa"/>
          </w:tcPr>
          <w:p w14:paraId="305DADDF" w14:textId="77777777" w:rsidR="00CD0355" w:rsidRPr="00B94C6F" w:rsidRDefault="00CD0355" w:rsidP="00CD0355">
            <w:pPr>
              <w:tabs>
                <w:tab w:val="left" w:pos="720"/>
              </w:tabs>
              <w:rPr>
                <w:sz w:val="16"/>
                <w:szCs w:val="16"/>
              </w:rPr>
            </w:pPr>
            <w:r w:rsidRPr="00B94C6F">
              <w:rPr>
                <w:sz w:val="16"/>
                <w:szCs w:val="16"/>
              </w:rPr>
              <w:t>Kale, Siberian</w:t>
            </w:r>
          </w:p>
        </w:tc>
        <w:tc>
          <w:tcPr>
            <w:tcW w:w="1473" w:type="dxa"/>
          </w:tcPr>
          <w:p w14:paraId="14E40E91"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6A7C466" w14:textId="77777777" w:rsidTr="00CD0355">
        <w:trPr>
          <w:cantSplit/>
          <w:trHeight w:val="144"/>
          <w:jc w:val="center"/>
        </w:trPr>
        <w:tc>
          <w:tcPr>
            <w:tcW w:w="3418" w:type="dxa"/>
          </w:tcPr>
          <w:p w14:paraId="4E838D58" w14:textId="77777777" w:rsidR="00CD0355" w:rsidRPr="00B94C6F" w:rsidRDefault="00CD0355" w:rsidP="00CD0355">
            <w:pPr>
              <w:tabs>
                <w:tab w:val="left" w:pos="720"/>
              </w:tabs>
              <w:rPr>
                <w:sz w:val="16"/>
                <w:szCs w:val="16"/>
              </w:rPr>
            </w:pPr>
            <w:r w:rsidRPr="00B94C6F">
              <w:rPr>
                <w:sz w:val="16"/>
                <w:szCs w:val="16"/>
              </w:rPr>
              <w:t>Kohlrabi</w:t>
            </w:r>
          </w:p>
        </w:tc>
        <w:tc>
          <w:tcPr>
            <w:tcW w:w="1473" w:type="dxa"/>
          </w:tcPr>
          <w:p w14:paraId="27D2377F"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7C5F19F9" w14:textId="77777777" w:rsidTr="00CD0355">
        <w:trPr>
          <w:cantSplit/>
          <w:trHeight w:val="144"/>
          <w:jc w:val="center"/>
        </w:trPr>
        <w:tc>
          <w:tcPr>
            <w:tcW w:w="3418" w:type="dxa"/>
          </w:tcPr>
          <w:p w14:paraId="2D265EEA" w14:textId="77777777" w:rsidR="00CD0355" w:rsidRPr="00B94C6F" w:rsidRDefault="00CD0355" w:rsidP="00CD0355">
            <w:pPr>
              <w:tabs>
                <w:tab w:val="left" w:pos="720"/>
              </w:tabs>
              <w:rPr>
                <w:sz w:val="16"/>
                <w:szCs w:val="16"/>
              </w:rPr>
            </w:pPr>
            <w:r w:rsidRPr="00B94C6F">
              <w:rPr>
                <w:sz w:val="16"/>
                <w:szCs w:val="16"/>
              </w:rPr>
              <w:t>Leek</w:t>
            </w:r>
          </w:p>
        </w:tc>
        <w:tc>
          <w:tcPr>
            <w:tcW w:w="1473" w:type="dxa"/>
          </w:tcPr>
          <w:p w14:paraId="3413F307"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491169DE" w14:textId="77777777" w:rsidTr="00CD0355">
        <w:trPr>
          <w:cantSplit/>
          <w:trHeight w:val="144"/>
          <w:jc w:val="center"/>
        </w:trPr>
        <w:tc>
          <w:tcPr>
            <w:tcW w:w="3418" w:type="dxa"/>
          </w:tcPr>
          <w:p w14:paraId="67745BC4" w14:textId="77777777" w:rsidR="00CD0355" w:rsidRPr="00B94C6F" w:rsidRDefault="00CD0355" w:rsidP="00CD0355">
            <w:pPr>
              <w:tabs>
                <w:tab w:val="left" w:pos="720"/>
              </w:tabs>
              <w:rPr>
                <w:sz w:val="16"/>
                <w:szCs w:val="16"/>
              </w:rPr>
            </w:pPr>
            <w:r w:rsidRPr="00B94C6F">
              <w:rPr>
                <w:sz w:val="16"/>
                <w:szCs w:val="16"/>
              </w:rPr>
              <w:t>Lettuce</w:t>
            </w:r>
          </w:p>
        </w:tc>
        <w:tc>
          <w:tcPr>
            <w:tcW w:w="1473" w:type="dxa"/>
          </w:tcPr>
          <w:p w14:paraId="75F16736" w14:textId="77777777" w:rsidR="00CD0355" w:rsidRPr="00B94C6F" w:rsidRDefault="00CD0355" w:rsidP="00CD0355">
            <w:pPr>
              <w:tabs>
                <w:tab w:val="left" w:pos="720"/>
              </w:tabs>
              <w:jc w:val="center"/>
              <w:rPr>
                <w:sz w:val="16"/>
                <w:szCs w:val="16"/>
              </w:rPr>
            </w:pPr>
            <w:r w:rsidRPr="00B94C6F">
              <w:rPr>
                <w:sz w:val="16"/>
                <w:szCs w:val="16"/>
              </w:rPr>
              <w:t>80</w:t>
            </w:r>
          </w:p>
        </w:tc>
      </w:tr>
      <w:tr w:rsidR="00CD0355" w:rsidRPr="009106CF" w14:paraId="2F1759F7" w14:textId="77777777" w:rsidTr="00CD0355">
        <w:trPr>
          <w:cantSplit/>
          <w:trHeight w:val="144"/>
          <w:jc w:val="center"/>
        </w:trPr>
        <w:tc>
          <w:tcPr>
            <w:tcW w:w="3418" w:type="dxa"/>
          </w:tcPr>
          <w:p w14:paraId="3C174F2D" w14:textId="77777777" w:rsidR="00CD0355" w:rsidRPr="00B94C6F" w:rsidRDefault="00CD0355" w:rsidP="00CD0355">
            <w:pPr>
              <w:tabs>
                <w:tab w:val="left" w:pos="720"/>
              </w:tabs>
              <w:rPr>
                <w:sz w:val="16"/>
                <w:szCs w:val="16"/>
              </w:rPr>
            </w:pPr>
            <w:r w:rsidRPr="00B94C6F">
              <w:rPr>
                <w:sz w:val="16"/>
                <w:szCs w:val="16"/>
              </w:rPr>
              <w:t>Melon</w:t>
            </w:r>
          </w:p>
        </w:tc>
        <w:tc>
          <w:tcPr>
            <w:tcW w:w="1473" w:type="dxa"/>
          </w:tcPr>
          <w:p w14:paraId="65454FE8"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EBC0122" w14:textId="77777777" w:rsidTr="00CD0355">
        <w:trPr>
          <w:cantSplit/>
          <w:trHeight w:val="144"/>
          <w:jc w:val="center"/>
        </w:trPr>
        <w:tc>
          <w:tcPr>
            <w:tcW w:w="3418" w:type="dxa"/>
          </w:tcPr>
          <w:p w14:paraId="2DE314AD" w14:textId="77777777" w:rsidR="00CD0355" w:rsidRPr="00B94C6F" w:rsidRDefault="00CD0355" w:rsidP="00CD0355">
            <w:pPr>
              <w:tabs>
                <w:tab w:val="left" w:pos="720"/>
              </w:tabs>
              <w:rPr>
                <w:sz w:val="16"/>
                <w:szCs w:val="16"/>
              </w:rPr>
            </w:pPr>
            <w:r w:rsidRPr="00B94C6F">
              <w:rPr>
                <w:sz w:val="16"/>
                <w:szCs w:val="16"/>
              </w:rPr>
              <w:t>Mustard, India</w:t>
            </w:r>
          </w:p>
        </w:tc>
        <w:tc>
          <w:tcPr>
            <w:tcW w:w="1473" w:type="dxa"/>
          </w:tcPr>
          <w:p w14:paraId="7B9CF04F"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283B8A48" w14:textId="77777777" w:rsidTr="00CD0355">
        <w:trPr>
          <w:cantSplit/>
          <w:trHeight w:val="144"/>
          <w:jc w:val="center"/>
        </w:trPr>
        <w:tc>
          <w:tcPr>
            <w:tcW w:w="3418" w:type="dxa"/>
          </w:tcPr>
          <w:p w14:paraId="1D8447B3" w14:textId="77777777" w:rsidR="00CD0355" w:rsidRPr="00B94C6F" w:rsidRDefault="00CD0355" w:rsidP="00CD0355">
            <w:pPr>
              <w:tabs>
                <w:tab w:val="left" w:pos="720"/>
              </w:tabs>
              <w:rPr>
                <w:sz w:val="16"/>
                <w:szCs w:val="16"/>
              </w:rPr>
            </w:pPr>
            <w:r w:rsidRPr="00B94C6F">
              <w:rPr>
                <w:sz w:val="16"/>
                <w:szCs w:val="16"/>
              </w:rPr>
              <w:t>Mustard, spinach</w:t>
            </w:r>
          </w:p>
        </w:tc>
        <w:tc>
          <w:tcPr>
            <w:tcW w:w="1473" w:type="dxa"/>
          </w:tcPr>
          <w:p w14:paraId="76BF6967"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5A3889D" w14:textId="77777777" w:rsidTr="00CD0355">
        <w:trPr>
          <w:cantSplit/>
          <w:trHeight w:val="144"/>
          <w:jc w:val="center"/>
        </w:trPr>
        <w:tc>
          <w:tcPr>
            <w:tcW w:w="3418" w:type="dxa"/>
          </w:tcPr>
          <w:p w14:paraId="0F34BB5C" w14:textId="77777777" w:rsidR="00CD0355" w:rsidRPr="00B94C6F" w:rsidRDefault="00CD0355" w:rsidP="00CD0355">
            <w:pPr>
              <w:tabs>
                <w:tab w:val="left" w:pos="720"/>
              </w:tabs>
              <w:rPr>
                <w:sz w:val="16"/>
                <w:szCs w:val="16"/>
              </w:rPr>
            </w:pPr>
            <w:r w:rsidRPr="00B94C6F">
              <w:rPr>
                <w:sz w:val="16"/>
                <w:szCs w:val="16"/>
              </w:rPr>
              <w:t>Okra</w:t>
            </w:r>
          </w:p>
        </w:tc>
        <w:tc>
          <w:tcPr>
            <w:tcW w:w="1473" w:type="dxa"/>
          </w:tcPr>
          <w:p w14:paraId="75046BAB" w14:textId="77777777" w:rsidR="00CD0355" w:rsidRPr="00B94C6F" w:rsidRDefault="00CD0355" w:rsidP="00CD0355">
            <w:pPr>
              <w:tabs>
                <w:tab w:val="left" w:pos="720"/>
              </w:tabs>
              <w:jc w:val="center"/>
              <w:rPr>
                <w:sz w:val="16"/>
                <w:szCs w:val="16"/>
              </w:rPr>
            </w:pPr>
            <w:r w:rsidRPr="00B94C6F">
              <w:rPr>
                <w:sz w:val="16"/>
                <w:szCs w:val="16"/>
              </w:rPr>
              <w:t>50</w:t>
            </w:r>
          </w:p>
        </w:tc>
      </w:tr>
      <w:tr w:rsidR="00CD0355" w:rsidRPr="009106CF" w14:paraId="4A7DD341" w14:textId="77777777" w:rsidTr="00CD0355">
        <w:trPr>
          <w:cantSplit/>
          <w:trHeight w:val="144"/>
          <w:jc w:val="center"/>
        </w:trPr>
        <w:tc>
          <w:tcPr>
            <w:tcW w:w="3418" w:type="dxa"/>
          </w:tcPr>
          <w:p w14:paraId="2DBCD4DD" w14:textId="77777777" w:rsidR="00CD0355" w:rsidRPr="00B94C6F" w:rsidRDefault="00CD0355" w:rsidP="00CD0355">
            <w:pPr>
              <w:tabs>
                <w:tab w:val="left" w:pos="720"/>
              </w:tabs>
              <w:rPr>
                <w:sz w:val="16"/>
                <w:szCs w:val="16"/>
              </w:rPr>
            </w:pPr>
            <w:r w:rsidRPr="00B94C6F">
              <w:rPr>
                <w:sz w:val="16"/>
                <w:szCs w:val="16"/>
              </w:rPr>
              <w:t>Onion</w:t>
            </w:r>
          </w:p>
        </w:tc>
        <w:tc>
          <w:tcPr>
            <w:tcW w:w="1473" w:type="dxa"/>
          </w:tcPr>
          <w:p w14:paraId="403EF65B"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00D03D6A" w14:textId="77777777" w:rsidTr="00CD0355">
        <w:trPr>
          <w:cantSplit/>
          <w:trHeight w:val="144"/>
          <w:jc w:val="center"/>
        </w:trPr>
        <w:tc>
          <w:tcPr>
            <w:tcW w:w="3418" w:type="dxa"/>
          </w:tcPr>
          <w:p w14:paraId="581E486B" w14:textId="77777777" w:rsidR="00CD0355" w:rsidRPr="00B94C6F" w:rsidRDefault="00CD0355" w:rsidP="00CD0355">
            <w:pPr>
              <w:tabs>
                <w:tab w:val="left" w:pos="720"/>
              </w:tabs>
              <w:rPr>
                <w:sz w:val="16"/>
                <w:szCs w:val="16"/>
              </w:rPr>
            </w:pPr>
            <w:r w:rsidRPr="00B94C6F">
              <w:rPr>
                <w:sz w:val="16"/>
                <w:szCs w:val="16"/>
              </w:rPr>
              <w:t>Onion, Welsh</w:t>
            </w:r>
          </w:p>
        </w:tc>
        <w:tc>
          <w:tcPr>
            <w:tcW w:w="1473" w:type="dxa"/>
          </w:tcPr>
          <w:p w14:paraId="1CCD089D" w14:textId="77777777" w:rsidR="00CD0355" w:rsidRPr="00B94C6F" w:rsidRDefault="00CD0355" w:rsidP="00CD0355">
            <w:pPr>
              <w:tabs>
                <w:tab w:val="left" w:pos="720"/>
              </w:tabs>
              <w:jc w:val="center"/>
              <w:rPr>
                <w:sz w:val="16"/>
                <w:szCs w:val="16"/>
              </w:rPr>
            </w:pPr>
            <w:r w:rsidRPr="00B94C6F">
              <w:rPr>
                <w:sz w:val="16"/>
                <w:szCs w:val="16"/>
              </w:rPr>
              <w:t>70</w:t>
            </w:r>
          </w:p>
        </w:tc>
      </w:tr>
      <w:tr w:rsidR="00CD0355" w:rsidRPr="009106CF" w14:paraId="2B31C46B" w14:textId="77777777" w:rsidTr="00CD0355">
        <w:trPr>
          <w:cantSplit/>
          <w:trHeight w:val="144"/>
          <w:jc w:val="center"/>
        </w:trPr>
        <w:tc>
          <w:tcPr>
            <w:tcW w:w="3418" w:type="dxa"/>
          </w:tcPr>
          <w:p w14:paraId="4FD0BED5" w14:textId="77777777" w:rsidR="00CD0355" w:rsidRPr="00B94C6F" w:rsidRDefault="00CD0355" w:rsidP="00CD0355">
            <w:pPr>
              <w:tabs>
                <w:tab w:val="left" w:pos="720"/>
              </w:tabs>
              <w:rPr>
                <w:sz w:val="16"/>
                <w:szCs w:val="16"/>
              </w:rPr>
            </w:pPr>
            <w:r w:rsidRPr="00B94C6F">
              <w:rPr>
                <w:sz w:val="16"/>
                <w:szCs w:val="16"/>
              </w:rPr>
              <w:t>Pak-choi</w:t>
            </w:r>
          </w:p>
        </w:tc>
        <w:tc>
          <w:tcPr>
            <w:tcW w:w="1473" w:type="dxa"/>
          </w:tcPr>
          <w:p w14:paraId="1635DB7B"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40F53D83" w14:textId="77777777" w:rsidTr="00CD0355">
        <w:trPr>
          <w:cantSplit/>
          <w:trHeight w:val="144"/>
          <w:jc w:val="center"/>
        </w:trPr>
        <w:tc>
          <w:tcPr>
            <w:tcW w:w="3418" w:type="dxa"/>
          </w:tcPr>
          <w:p w14:paraId="2F490255" w14:textId="77777777" w:rsidR="00CD0355" w:rsidRPr="00B94C6F" w:rsidRDefault="00CD0355" w:rsidP="00CD0355">
            <w:pPr>
              <w:tabs>
                <w:tab w:val="left" w:pos="720"/>
              </w:tabs>
              <w:rPr>
                <w:sz w:val="16"/>
                <w:szCs w:val="16"/>
              </w:rPr>
            </w:pPr>
            <w:r w:rsidRPr="00B94C6F">
              <w:rPr>
                <w:sz w:val="16"/>
                <w:szCs w:val="16"/>
              </w:rPr>
              <w:t>Parsley</w:t>
            </w:r>
          </w:p>
        </w:tc>
        <w:tc>
          <w:tcPr>
            <w:tcW w:w="1473" w:type="dxa"/>
          </w:tcPr>
          <w:p w14:paraId="1EEB38F8"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09C08CF3" w14:textId="77777777" w:rsidTr="00CD0355">
        <w:trPr>
          <w:cantSplit/>
          <w:trHeight w:val="144"/>
          <w:jc w:val="center"/>
        </w:trPr>
        <w:tc>
          <w:tcPr>
            <w:tcW w:w="3418" w:type="dxa"/>
          </w:tcPr>
          <w:p w14:paraId="1B45A601" w14:textId="77777777" w:rsidR="00CD0355" w:rsidRPr="00B94C6F" w:rsidRDefault="00CD0355" w:rsidP="00CD0355">
            <w:pPr>
              <w:tabs>
                <w:tab w:val="left" w:pos="720"/>
              </w:tabs>
              <w:rPr>
                <w:sz w:val="16"/>
                <w:szCs w:val="16"/>
              </w:rPr>
            </w:pPr>
            <w:r w:rsidRPr="00B94C6F">
              <w:rPr>
                <w:sz w:val="16"/>
                <w:szCs w:val="16"/>
              </w:rPr>
              <w:t>Parsnip</w:t>
            </w:r>
          </w:p>
        </w:tc>
        <w:tc>
          <w:tcPr>
            <w:tcW w:w="1473" w:type="dxa"/>
          </w:tcPr>
          <w:p w14:paraId="59FE3EEA"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62BD73E0" w14:textId="77777777" w:rsidTr="00CD0355">
        <w:trPr>
          <w:cantSplit/>
          <w:trHeight w:val="144"/>
          <w:jc w:val="center"/>
        </w:trPr>
        <w:tc>
          <w:tcPr>
            <w:tcW w:w="3418" w:type="dxa"/>
          </w:tcPr>
          <w:p w14:paraId="3AEBF602" w14:textId="77777777" w:rsidR="00CD0355" w:rsidRPr="00B94C6F" w:rsidRDefault="00CD0355" w:rsidP="00CD0355">
            <w:pPr>
              <w:tabs>
                <w:tab w:val="left" w:pos="720"/>
              </w:tabs>
              <w:rPr>
                <w:sz w:val="16"/>
                <w:szCs w:val="16"/>
              </w:rPr>
            </w:pPr>
            <w:r w:rsidRPr="00B94C6F">
              <w:rPr>
                <w:sz w:val="16"/>
                <w:szCs w:val="16"/>
              </w:rPr>
              <w:t>Pea</w:t>
            </w:r>
          </w:p>
        </w:tc>
        <w:tc>
          <w:tcPr>
            <w:tcW w:w="1473" w:type="dxa"/>
          </w:tcPr>
          <w:p w14:paraId="09497941" w14:textId="77777777" w:rsidR="00CD0355" w:rsidRPr="00B94C6F" w:rsidRDefault="00CD0355" w:rsidP="00CD0355">
            <w:pPr>
              <w:tabs>
                <w:tab w:val="left" w:pos="720"/>
              </w:tabs>
              <w:jc w:val="center"/>
              <w:rPr>
                <w:sz w:val="16"/>
                <w:szCs w:val="16"/>
              </w:rPr>
            </w:pPr>
            <w:r w:rsidRPr="00B94C6F">
              <w:rPr>
                <w:sz w:val="16"/>
                <w:szCs w:val="16"/>
              </w:rPr>
              <w:t>80</w:t>
            </w:r>
          </w:p>
        </w:tc>
      </w:tr>
      <w:tr w:rsidR="00CD0355" w:rsidRPr="009106CF" w14:paraId="5370D75C" w14:textId="77777777" w:rsidTr="00CD0355">
        <w:trPr>
          <w:cantSplit/>
          <w:trHeight w:val="144"/>
          <w:jc w:val="center"/>
        </w:trPr>
        <w:tc>
          <w:tcPr>
            <w:tcW w:w="3418" w:type="dxa"/>
          </w:tcPr>
          <w:p w14:paraId="19133A3C" w14:textId="77777777" w:rsidR="00CD0355" w:rsidRPr="00B94C6F" w:rsidRDefault="00CD0355" w:rsidP="00CD0355">
            <w:pPr>
              <w:tabs>
                <w:tab w:val="left" w:pos="720"/>
              </w:tabs>
              <w:rPr>
                <w:sz w:val="16"/>
                <w:szCs w:val="16"/>
              </w:rPr>
            </w:pPr>
            <w:r w:rsidRPr="00B94C6F">
              <w:rPr>
                <w:sz w:val="16"/>
                <w:szCs w:val="16"/>
              </w:rPr>
              <w:t>Pepper</w:t>
            </w:r>
          </w:p>
        </w:tc>
        <w:tc>
          <w:tcPr>
            <w:tcW w:w="1473" w:type="dxa"/>
          </w:tcPr>
          <w:p w14:paraId="11ADCBD1" w14:textId="77777777" w:rsidR="00CD0355" w:rsidRPr="00B94C6F" w:rsidRDefault="00CD0355" w:rsidP="00CD0355">
            <w:pPr>
              <w:tabs>
                <w:tab w:val="left" w:pos="720"/>
              </w:tabs>
              <w:jc w:val="center"/>
              <w:rPr>
                <w:sz w:val="16"/>
                <w:szCs w:val="16"/>
              </w:rPr>
            </w:pPr>
            <w:r w:rsidRPr="00B94C6F">
              <w:rPr>
                <w:sz w:val="16"/>
                <w:szCs w:val="16"/>
              </w:rPr>
              <w:t>55</w:t>
            </w:r>
          </w:p>
        </w:tc>
      </w:tr>
      <w:tr w:rsidR="00CD0355" w:rsidRPr="009106CF" w14:paraId="0821CCEA" w14:textId="77777777" w:rsidTr="00CD0355">
        <w:trPr>
          <w:cantSplit/>
          <w:trHeight w:val="144"/>
          <w:jc w:val="center"/>
        </w:trPr>
        <w:tc>
          <w:tcPr>
            <w:tcW w:w="3418" w:type="dxa"/>
          </w:tcPr>
          <w:p w14:paraId="2B02B45F" w14:textId="77777777" w:rsidR="00CD0355" w:rsidRPr="00B94C6F" w:rsidRDefault="00CD0355" w:rsidP="00CD0355">
            <w:pPr>
              <w:tabs>
                <w:tab w:val="left" w:pos="720"/>
              </w:tabs>
              <w:rPr>
                <w:sz w:val="16"/>
                <w:szCs w:val="16"/>
              </w:rPr>
            </w:pPr>
            <w:r w:rsidRPr="00B94C6F">
              <w:rPr>
                <w:sz w:val="16"/>
                <w:szCs w:val="16"/>
              </w:rPr>
              <w:t>Pumpkin</w:t>
            </w:r>
          </w:p>
        </w:tc>
        <w:tc>
          <w:tcPr>
            <w:tcW w:w="1473" w:type="dxa"/>
          </w:tcPr>
          <w:p w14:paraId="21CE7316"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326ECD62" w14:textId="77777777" w:rsidTr="00CD0355">
        <w:trPr>
          <w:cantSplit/>
          <w:trHeight w:val="144"/>
          <w:jc w:val="center"/>
        </w:trPr>
        <w:tc>
          <w:tcPr>
            <w:tcW w:w="3418" w:type="dxa"/>
          </w:tcPr>
          <w:p w14:paraId="13BEF026" w14:textId="77777777" w:rsidR="00CD0355" w:rsidRPr="00B94C6F" w:rsidRDefault="00CD0355" w:rsidP="00CD0355">
            <w:pPr>
              <w:tabs>
                <w:tab w:val="left" w:pos="720"/>
              </w:tabs>
              <w:rPr>
                <w:sz w:val="16"/>
                <w:szCs w:val="16"/>
              </w:rPr>
            </w:pPr>
            <w:r w:rsidRPr="00B94C6F">
              <w:rPr>
                <w:sz w:val="16"/>
                <w:szCs w:val="16"/>
              </w:rPr>
              <w:t>Radish</w:t>
            </w:r>
          </w:p>
        </w:tc>
        <w:tc>
          <w:tcPr>
            <w:tcW w:w="1473" w:type="dxa"/>
          </w:tcPr>
          <w:p w14:paraId="1F0F8BB1"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7DB1773F" w14:textId="77777777" w:rsidTr="00CD0355">
        <w:trPr>
          <w:cantSplit/>
          <w:trHeight w:val="144"/>
          <w:jc w:val="center"/>
        </w:trPr>
        <w:tc>
          <w:tcPr>
            <w:tcW w:w="3418" w:type="dxa"/>
          </w:tcPr>
          <w:p w14:paraId="5FC9F866" w14:textId="77777777" w:rsidR="00CD0355" w:rsidRPr="00B94C6F" w:rsidRDefault="00CD0355" w:rsidP="00CD0355">
            <w:pPr>
              <w:tabs>
                <w:tab w:val="left" w:pos="720"/>
              </w:tabs>
              <w:rPr>
                <w:sz w:val="16"/>
                <w:szCs w:val="16"/>
              </w:rPr>
            </w:pPr>
            <w:r w:rsidRPr="00B94C6F">
              <w:rPr>
                <w:sz w:val="16"/>
                <w:szCs w:val="16"/>
              </w:rPr>
              <w:t>Rhubarb</w:t>
            </w:r>
          </w:p>
        </w:tc>
        <w:tc>
          <w:tcPr>
            <w:tcW w:w="1473" w:type="dxa"/>
          </w:tcPr>
          <w:p w14:paraId="624B4C0D"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5977EDE5" w14:textId="77777777" w:rsidTr="00CD0355">
        <w:trPr>
          <w:cantSplit/>
          <w:trHeight w:val="144"/>
          <w:jc w:val="center"/>
        </w:trPr>
        <w:tc>
          <w:tcPr>
            <w:tcW w:w="3418" w:type="dxa"/>
          </w:tcPr>
          <w:p w14:paraId="1C3894A4" w14:textId="77777777" w:rsidR="00CD0355" w:rsidRPr="00B94C6F" w:rsidRDefault="00CD0355" w:rsidP="00CD0355">
            <w:pPr>
              <w:tabs>
                <w:tab w:val="left" w:pos="720"/>
              </w:tabs>
              <w:rPr>
                <w:sz w:val="16"/>
                <w:szCs w:val="16"/>
              </w:rPr>
            </w:pPr>
            <w:r w:rsidRPr="00B94C6F">
              <w:rPr>
                <w:sz w:val="16"/>
                <w:szCs w:val="16"/>
              </w:rPr>
              <w:t>Rutabaga</w:t>
            </w:r>
          </w:p>
        </w:tc>
        <w:tc>
          <w:tcPr>
            <w:tcW w:w="1473" w:type="dxa"/>
          </w:tcPr>
          <w:p w14:paraId="41AB08A8"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73100B51" w14:textId="77777777" w:rsidTr="00CD0355">
        <w:trPr>
          <w:cantSplit/>
          <w:trHeight w:val="144"/>
          <w:jc w:val="center"/>
        </w:trPr>
        <w:tc>
          <w:tcPr>
            <w:tcW w:w="3418" w:type="dxa"/>
          </w:tcPr>
          <w:p w14:paraId="68EE545D" w14:textId="77777777" w:rsidR="00CD0355" w:rsidRPr="00B94C6F" w:rsidRDefault="00CD0355" w:rsidP="00CD0355">
            <w:pPr>
              <w:tabs>
                <w:tab w:val="left" w:pos="720"/>
              </w:tabs>
              <w:rPr>
                <w:sz w:val="16"/>
                <w:szCs w:val="16"/>
              </w:rPr>
            </w:pPr>
            <w:r w:rsidRPr="00B94C6F">
              <w:rPr>
                <w:sz w:val="16"/>
                <w:szCs w:val="16"/>
              </w:rPr>
              <w:t>Sage</w:t>
            </w:r>
          </w:p>
        </w:tc>
        <w:tc>
          <w:tcPr>
            <w:tcW w:w="1473" w:type="dxa"/>
          </w:tcPr>
          <w:p w14:paraId="1A275C63"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687189C1" w14:textId="77777777" w:rsidTr="00CD0355">
        <w:trPr>
          <w:cantSplit/>
          <w:trHeight w:val="144"/>
          <w:jc w:val="center"/>
        </w:trPr>
        <w:tc>
          <w:tcPr>
            <w:tcW w:w="3418" w:type="dxa"/>
          </w:tcPr>
          <w:p w14:paraId="498F1BF6" w14:textId="77777777" w:rsidR="00CD0355" w:rsidRPr="00B94C6F" w:rsidRDefault="00CD0355" w:rsidP="00CD0355">
            <w:pPr>
              <w:tabs>
                <w:tab w:val="left" w:pos="720"/>
              </w:tabs>
              <w:rPr>
                <w:sz w:val="16"/>
                <w:szCs w:val="16"/>
              </w:rPr>
            </w:pPr>
            <w:r w:rsidRPr="00B94C6F">
              <w:rPr>
                <w:sz w:val="16"/>
                <w:szCs w:val="16"/>
              </w:rPr>
              <w:t>Salsify</w:t>
            </w:r>
          </w:p>
        </w:tc>
        <w:tc>
          <w:tcPr>
            <w:tcW w:w="1473" w:type="dxa"/>
          </w:tcPr>
          <w:p w14:paraId="123077D3"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606FAC1E" w14:textId="77777777" w:rsidTr="00CD0355">
        <w:trPr>
          <w:cantSplit/>
          <w:trHeight w:val="144"/>
          <w:jc w:val="center"/>
        </w:trPr>
        <w:tc>
          <w:tcPr>
            <w:tcW w:w="3418" w:type="dxa"/>
          </w:tcPr>
          <w:p w14:paraId="66BEA27A" w14:textId="77777777" w:rsidR="00CD0355" w:rsidRPr="00B94C6F" w:rsidRDefault="00CD0355" w:rsidP="00CD0355">
            <w:pPr>
              <w:tabs>
                <w:tab w:val="left" w:pos="720"/>
              </w:tabs>
              <w:rPr>
                <w:sz w:val="16"/>
                <w:szCs w:val="16"/>
              </w:rPr>
            </w:pPr>
            <w:r w:rsidRPr="00B94C6F">
              <w:rPr>
                <w:sz w:val="16"/>
                <w:szCs w:val="16"/>
              </w:rPr>
              <w:t>Savory, summer</w:t>
            </w:r>
          </w:p>
        </w:tc>
        <w:tc>
          <w:tcPr>
            <w:tcW w:w="1473" w:type="dxa"/>
          </w:tcPr>
          <w:p w14:paraId="3A6C1BB4" w14:textId="77777777" w:rsidR="00CD0355" w:rsidRPr="00B94C6F" w:rsidRDefault="00CD0355" w:rsidP="00CD0355">
            <w:pPr>
              <w:tabs>
                <w:tab w:val="left" w:pos="720"/>
              </w:tabs>
              <w:jc w:val="center"/>
              <w:rPr>
                <w:sz w:val="16"/>
                <w:szCs w:val="16"/>
              </w:rPr>
            </w:pPr>
            <w:r w:rsidRPr="00B94C6F">
              <w:rPr>
                <w:sz w:val="16"/>
                <w:szCs w:val="16"/>
              </w:rPr>
              <w:t>55</w:t>
            </w:r>
          </w:p>
        </w:tc>
      </w:tr>
      <w:tr w:rsidR="00CD0355" w:rsidRPr="009106CF" w14:paraId="1D13D985" w14:textId="77777777" w:rsidTr="00CD0355">
        <w:trPr>
          <w:cantSplit/>
          <w:trHeight w:val="144"/>
          <w:jc w:val="center"/>
        </w:trPr>
        <w:tc>
          <w:tcPr>
            <w:tcW w:w="3418" w:type="dxa"/>
          </w:tcPr>
          <w:p w14:paraId="372AF209" w14:textId="77777777" w:rsidR="00CD0355" w:rsidRPr="00B94C6F" w:rsidRDefault="00CD0355" w:rsidP="00CD0355">
            <w:pPr>
              <w:tabs>
                <w:tab w:val="left" w:pos="720"/>
              </w:tabs>
              <w:rPr>
                <w:sz w:val="16"/>
                <w:szCs w:val="16"/>
              </w:rPr>
            </w:pPr>
            <w:r w:rsidRPr="00B94C6F">
              <w:rPr>
                <w:sz w:val="16"/>
                <w:szCs w:val="16"/>
              </w:rPr>
              <w:t>Sorrel</w:t>
            </w:r>
          </w:p>
        </w:tc>
        <w:tc>
          <w:tcPr>
            <w:tcW w:w="1473" w:type="dxa"/>
          </w:tcPr>
          <w:p w14:paraId="059415C5" w14:textId="77777777" w:rsidR="00CD0355" w:rsidRPr="00B94C6F" w:rsidRDefault="00CD0355" w:rsidP="00CD0355">
            <w:pPr>
              <w:tabs>
                <w:tab w:val="left" w:pos="720"/>
              </w:tabs>
              <w:jc w:val="center"/>
              <w:rPr>
                <w:sz w:val="16"/>
                <w:szCs w:val="16"/>
              </w:rPr>
            </w:pPr>
            <w:r w:rsidRPr="00B94C6F">
              <w:rPr>
                <w:sz w:val="16"/>
                <w:szCs w:val="16"/>
              </w:rPr>
              <w:t>65</w:t>
            </w:r>
          </w:p>
        </w:tc>
      </w:tr>
      <w:tr w:rsidR="00CD0355" w:rsidRPr="009106CF" w14:paraId="0DE3E466" w14:textId="77777777" w:rsidTr="00CD0355">
        <w:trPr>
          <w:cantSplit/>
          <w:trHeight w:val="144"/>
          <w:jc w:val="center"/>
        </w:trPr>
        <w:tc>
          <w:tcPr>
            <w:tcW w:w="3418" w:type="dxa"/>
          </w:tcPr>
          <w:p w14:paraId="1D8C8A93" w14:textId="77777777" w:rsidR="00CD0355" w:rsidRPr="00B94C6F" w:rsidRDefault="00CD0355" w:rsidP="00CD0355">
            <w:pPr>
              <w:tabs>
                <w:tab w:val="left" w:pos="720"/>
              </w:tabs>
              <w:rPr>
                <w:sz w:val="16"/>
                <w:szCs w:val="16"/>
              </w:rPr>
            </w:pPr>
            <w:r w:rsidRPr="00B94C6F">
              <w:rPr>
                <w:sz w:val="16"/>
                <w:szCs w:val="16"/>
              </w:rPr>
              <w:t>Soybean</w:t>
            </w:r>
          </w:p>
        </w:tc>
        <w:tc>
          <w:tcPr>
            <w:tcW w:w="1473" w:type="dxa"/>
          </w:tcPr>
          <w:p w14:paraId="33ACF947"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52120250" w14:textId="77777777" w:rsidTr="00CD0355">
        <w:trPr>
          <w:cantSplit/>
          <w:trHeight w:val="144"/>
          <w:jc w:val="center"/>
        </w:trPr>
        <w:tc>
          <w:tcPr>
            <w:tcW w:w="3418" w:type="dxa"/>
          </w:tcPr>
          <w:p w14:paraId="7ABDDB18" w14:textId="77777777" w:rsidR="00CD0355" w:rsidRPr="00B94C6F" w:rsidRDefault="00CD0355" w:rsidP="00CD0355">
            <w:pPr>
              <w:tabs>
                <w:tab w:val="left" w:pos="720"/>
              </w:tabs>
              <w:rPr>
                <w:sz w:val="16"/>
                <w:szCs w:val="16"/>
              </w:rPr>
            </w:pPr>
            <w:r w:rsidRPr="00B94C6F">
              <w:rPr>
                <w:sz w:val="16"/>
                <w:szCs w:val="16"/>
              </w:rPr>
              <w:t>Spinach</w:t>
            </w:r>
          </w:p>
        </w:tc>
        <w:tc>
          <w:tcPr>
            <w:tcW w:w="1473" w:type="dxa"/>
          </w:tcPr>
          <w:p w14:paraId="608B10D7" w14:textId="77777777" w:rsidR="00CD0355" w:rsidRPr="00B94C6F" w:rsidRDefault="00CD0355" w:rsidP="00CD0355">
            <w:pPr>
              <w:tabs>
                <w:tab w:val="left" w:pos="720"/>
              </w:tabs>
              <w:jc w:val="center"/>
              <w:rPr>
                <w:sz w:val="16"/>
                <w:szCs w:val="16"/>
              </w:rPr>
            </w:pPr>
            <w:r w:rsidRPr="00B94C6F">
              <w:rPr>
                <w:sz w:val="16"/>
                <w:szCs w:val="16"/>
              </w:rPr>
              <w:t>60</w:t>
            </w:r>
          </w:p>
        </w:tc>
      </w:tr>
      <w:tr w:rsidR="00CD0355" w:rsidRPr="009106CF" w14:paraId="0C490CED" w14:textId="77777777" w:rsidTr="00CD0355">
        <w:trPr>
          <w:cantSplit/>
          <w:trHeight w:val="144"/>
          <w:jc w:val="center"/>
        </w:trPr>
        <w:tc>
          <w:tcPr>
            <w:tcW w:w="3418" w:type="dxa"/>
          </w:tcPr>
          <w:p w14:paraId="17EF9AB8" w14:textId="77777777" w:rsidR="00CD0355" w:rsidRPr="00B94C6F" w:rsidRDefault="00CD0355" w:rsidP="00CD0355">
            <w:pPr>
              <w:tabs>
                <w:tab w:val="left" w:pos="720"/>
              </w:tabs>
              <w:rPr>
                <w:sz w:val="16"/>
                <w:szCs w:val="16"/>
              </w:rPr>
            </w:pPr>
            <w:r w:rsidRPr="00B94C6F">
              <w:rPr>
                <w:sz w:val="16"/>
                <w:szCs w:val="16"/>
              </w:rPr>
              <w:t>Spinach, New Zealand</w:t>
            </w:r>
          </w:p>
        </w:tc>
        <w:tc>
          <w:tcPr>
            <w:tcW w:w="1473" w:type="dxa"/>
          </w:tcPr>
          <w:p w14:paraId="5E0F4EA6" w14:textId="77777777" w:rsidR="00CD0355" w:rsidRPr="00B94C6F" w:rsidRDefault="00CD0355" w:rsidP="00CD0355">
            <w:pPr>
              <w:tabs>
                <w:tab w:val="left" w:pos="720"/>
              </w:tabs>
              <w:jc w:val="center"/>
              <w:rPr>
                <w:sz w:val="16"/>
                <w:szCs w:val="16"/>
              </w:rPr>
            </w:pPr>
            <w:r w:rsidRPr="00B94C6F">
              <w:rPr>
                <w:sz w:val="16"/>
                <w:szCs w:val="16"/>
              </w:rPr>
              <w:t>40</w:t>
            </w:r>
          </w:p>
        </w:tc>
      </w:tr>
      <w:tr w:rsidR="00CD0355" w:rsidRPr="009106CF" w14:paraId="24E4FB9B" w14:textId="77777777" w:rsidTr="00CD0355">
        <w:trPr>
          <w:cantSplit/>
          <w:trHeight w:val="144"/>
          <w:jc w:val="center"/>
        </w:trPr>
        <w:tc>
          <w:tcPr>
            <w:tcW w:w="3418" w:type="dxa"/>
          </w:tcPr>
          <w:p w14:paraId="698192AC" w14:textId="77777777" w:rsidR="00CD0355" w:rsidRPr="00B94C6F" w:rsidRDefault="00CD0355" w:rsidP="00CD0355">
            <w:pPr>
              <w:tabs>
                <w:tab w:val="left" w:pos="720"/>
              </w:tabs>
              <w:rPr>
                <w:sz w:val="16"/>
                <w:szCs w:val="16"/>
              </w:rPr>
            </w:pPr>
            <w:r w:rsidRPr="00B94C6F">
              <w:rPr>
                <w:sz w:val="16"/>
                <w:szCs w:val="16"/>
              </w:rPr>
              <w:t>Squash</w:t>
            </w:r>
          </w:p>
        </w:tc>
        <w:tc>
          <w:tcPr>
            <w:tcW w:w="1473" w:type="dxa"/>
          </w:tcPr>
          <w:p w14:paraId="2AE4C1A1"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6ED0654A" w14:textId="77777777" w:rsidTr="00CD0355">
        <w:trPr>
          <w:cantSplit/>
          <w:trHeight w:val="144"/>
          <w:jc w:val="center"/>
        </w:trPr>
        <w:tc>
          <w:tcPr>
            <w:tcW w:w="3418" w:type="dxa"/>
          </w:tcPr>
          <w:p w14:paraId="7F953309" w14:textId="77777777" w:rsidR="00CD0355" w:rsidRPr="00B94C6F" w:rsidRDefault="00CD0355" w:rsidP="00CD0355">
            <w:pPr>
              <w:tabs>
                <w:tab w:val="left" w:pos="720"/>
              </w:tabs>
              <w:rPr>
                <w:sz w:val="16"/>
                <w:szCs w:val="16"/>
              </w:rPr>
            </w:pPr>
            <w:r w:rsidRPr="00B94C6F">
              <w:rPr>
                <w:sz w:val="16"/>
                <w:szCs w:val="16"/>
              </w:rPr>
              <w:t>Tomato</w:t>
            </w:r>
          </w:p>
        </w:tc>
        <w:tc>
          <w:tcPr>
            <w:tcW w:w="1473" w:type="dxa"/>
          </w:tcPr>
          <w:p w14:paraId="19D3D649" w14:textId="77777777" w:rsidR="00CD0355" w:rsidRPr="00B94C6F" w:rsidRDefault="00CD0355" w:rsidP="00CD0355">
            <w:pPr>
              <w:tabs>
                <w:tab w:val="left" w:pos="720"/>
              </w:tabs>
              <w:jc w:val="center"/>
              <w:rPr>
                <w:sz w:val="16"/>
                <w:szCs w:val="16"/>
              </w:rPr>
            </w:pPr>
            <w:r w:rsidRPr="00B94C6F">
              <w:rPr>
                <w:sz w:val="16"/>
                <w:szCs w:val="16"/>
              </w:rPr>
              <w:t>75</w:t>
            </w:r>
          </w:p>
        </w:tc>
      </w:tr>
      <w:tr w:rsidR="00CD0355" w:rsidRPr="009106CF" w14:paraId="171EE63F" w14:textId="77777777" w:rsidTr="00CD0355">
        <w:trPr>
          <w:cantSplit/>
          <w:trHeight w:val="144"/>
          <w:jc w:val="center"/>
        </w:trPr>
        <w:tc>
          <w:tcPr>
            <w:tcW w:w="3418" w:type="dxa"/>
          </w:tcPr>
          <w:p w14:paraId="4BCABF9E" w14:textId="77777777" w:rsidR="00CD0355" w:rsidRPr="00B94C6F" w:rsidRDefault="00CD0355" w:rsidP="00CD0355">
            <w:pPr>
              <w:tabs>
                <w:tab w:val="left" w:pos="720"/>
              </w:tabs>
              <w:rPr>
                <w:sz w:val="16"/>
                <w:szCs w:val="16"/>
              </w:rPr>
            </w:pPr>
            <w:r w:rsidRPr="00B94C6F">
              <w:rPr>
                <w:sz w:val="16"/>
                <w:szCs w:val="16"/>
              </w:rPr>
              <w:t>Tomato, husk</w:t>
            </w:r>
          </w:p>
        </w:tc>
        <w:tc>
          <w:tcPr>
            <w:tcW w:w="1473" w:type="dxa"/>
          </w:tcPr>
          <w:p w14:paraId="3C25F46E" w14:textId="77777777" w:rsidR="00CD0355" w:rsidRPr="00B94C6F" w:rsidRDefault="00CD0355" w:rsidP="00CD0355">
            <w:pPr>
              <w:tabs>
                <w:tab w:val="left" w:pos="720"/>
              </w:tabs>
              <w:jc w:val="center"/>
              <w:rPr>
                <w:sz w:val="16"/>
                <w:szCs w:val="16"/>
              </w:rPr>
            </w:pPr>
            <w:r w:rsidRPr="00B94C6F">
              <w:rPr>
                <w:sz w:val="16"/>
                <w:szCs w:val="16"/>
              </w:rPr>
              <w:t>50</w:t>
            </w:r>
          </w:p>
        </w:tc>
      </w:tr>
      <w:tr w:rsidR="00CD0355" w:rsidRPr="009106CF" w14:paraId="20197FAF" w14:textId="77777777" w:rsidTr="00CD0355">
        <w:trPr>
          <w:cantSplit/>
          <w:trHeight w:val="144"/>
          <w:jc w:val="center"/>
        </w:trPr>
        <w:tc>
          <w:tcPr>
            <w:tcW w:w="3418" w:type="dxa"/>
          </w:tcPr>
          <w:p w14:paraId="1773C0E7" w14:textId="77777777" w:rsidR="00CD0355" w:rsidRPr="00B94C6F" w:rsidRDefault="00CD0355" w:rsidP="00CD0355">
            <w:pPr>
              <w:tabs>
                <w:tab w:val="left" w:pos="720"/>
              </w:tabs>
              <w:rPr>
                <w:sz w:val="16"/>
                <w:szCs w:val="16"/>
              </w:rPr>
            </w:pPr>
            <w:r w:rsidRPr="00B94C6F">
              <w:rPr>
                <w:sz w:val="16"/>
                <w:szCs w:val="16"/>
              </w:rPr>
              <w:t>Turnip</w:t>
            </w:r>
          </w:p>
        </w:tc>
        <w:tc>
          <w:tcPr>
            <w:tcW w:w="1473" w:type="dxa"/>
          </w:tcPr>
          <w:p w14:paraId="4EBC125E" w14:textId="77777777" w:rsidR="00CD0355" w:rsidRPr="00B94C6F" w:rsidRDefault="00CD0355" w:rsidP="00CD0355">
            <w:pPr>
              <w:tabs>
                <w:tab w:val="left" w:pos="720"/>
              </w:tabs>
              <w:jc w:val="center"/>
              <w:rPr>
                <w:sz w:val="16"/>
                <w:szCs w:val="16"/>
              </w:rPr>
            </w:pPr>
            <w:r w:rsidRPr="00B94C6F">
              <w:rPr>
                <w:sz w:val="16"/>
                <w:szCs w:val="16"/>
              </w:rPr>
              <w:t>80</w:t>
            </w:r>
          </w:p>
        </w:tc>
      </w:tr>
      <w:tr w:rsidR="00CD0355" w:rsidRPr="009106CF" w14:paraId="402914F4" w14:textId="77777777" w:rsidTr="00CD0355">
        <w:trPr>
          <w:cantSplit/>
          <w:trHeight w:val="144"/>
          <w:jc w:val="center"/>
        </w:trPr>
        <w:tc>
          <w:tcPr>
            <w:tcW w:w="3418" w:type="dxa"/>
          </w:tcPr>
          <w:p w14:paraId="0D4426C2" w14:textId="77777777" w:rsidR="00CD0355" w:rsidRPr="00B94C6F" w:rsidRDefault="00CD0355" w:rsidP="00CD0355">
            <w:pPr>
              <w:tabs>
                <w:tab w:val="left" w:pos="720"/>
              </w:tabs>
              <w:rPr>
                <w:sz w:val="16"/>
                <w:szCs w:val="16"/>
              </w:rPr>
            </w:pPr>
            <w:r w:rsidRPr="00B94C6F">
              <w:rPr>
                <w:sz w:val="16"/>
                <w:szCs w:val="16"/>
              </w:rPr>
              <w:t>Watermelon</w:t>
            </w:r>
          </w:p>
        </w:tc>
        <w:tc>
          <w:tcPr>
            <w:tcW w:w="1473" w:type="dxa"/>
          </w:tcPr>
          <w:p w14:paraId="0A8F8D36" w14:textId="77777777" w:rsidR="00CD0355" w:rsidRPr="00B94C6F" w:rsidRDefault="00CD0355" w:rsidP="00CD0355">
            <w:pPr>
              <w:tabs>
                <w:tab w:val="left" w:pos="720"/>
              </w:tabs>
              <w:jc w:val="center"/>
              <w:rPr>
                <w:sz w:val="16"/>
                <w:szCs w:val="16"/>
              </w:rPr>
            </w:pPr>
            <w:r w:rsidRPr="00B94C6F">
              <w:rPr>
                <w:sz w:val="16"/>
                <w:szCs w:val="16"/>
              </w:rPr>
              <w:t>70</w:t>
            </w:r>
          </w:p>
        </w:tc>
      </w:tr>
    </w:tbl>
    <w:p w14:paraId="0315A14C" w14:textId="77777777" w:rsidR="00CD0355" w:rsidRDefault="00CD0355" w:rsidP="00CD0355">
      <w:pPr>
        <w:pStyle w:val="A"/>
        <w:spacing w:after="0"/>
      </w:pPr>
    </w:p>
    <w:p w14:paraId="6FD98D1D" w14:textId="77777777" w:rsidR="00CD0355" w:rsidRPr="00CA2490" w:rsidRDefault="00CD0355" w:rsidP="00CD0355">
      <w:pPr>
        <w:pStyle w:val="A"/>
      </w:pPr>
      <w:r w:rsidRPr="00CA2490">
        <w:t>B.</w:t>
      </w:r>
      <w:r w:rsidRPr="00CA2490">
        <w:tab/>
        <w:t>The minimum germination standard for all other vegetable and garden seed, for which a standard has not been established, shall be 50</w:t>
      </w:r>
      <w:r>
        <w:t xml:space="preserve"> percent.</w:t>
      </w:r>
    </w:p>
    <w:p w14:paraId="08078DB3" w14:textId="77777777" w:rsidR="00CD0355" w:rsidRDefault="00CD0355" w:rsidP="00CD0355">
      <w:pPr>
        <w:pStyle w:val="AuthorityNote"/>
        <w:tabs>
          <w:tab w:val="clear" w:pos="1800"/>
        </w:tabs>
      </w:pPr>
      <w:r w:rsidRPr="00CA2490">
        <w:t>AUTHORITY NOTE:</w:t>
      </w:r>
      <w:r w:rsidRPr="00CA2490">
        <w:tab/>
        <w:t>Promulgated in accordance with R.S. 3:1433.</w:t>
      </w:r>
    </w:p>
    <w:p w14:paraId="24D3AF52" w14:textId="77777777" w:rsidR="00CD0355" w:rsidRPr="001531CD" w:rsidRDefault="00CD0355" w:rsidP="00CD0355">
      <w:pPr>
        <w:pStyle w:val="HistoricalNote"/>
      </w:pPr>
      <w:r w:rsidRPr="001531CD">
        <w:t>HISTORICAL NOTE:</w:t>
      </w:r>
      <w:r w:rsidRPr="001531CD">
        <w:tab/>
        <w:t xml:space="preserve">Promulgated by the Department of Agriculture, Seed Commission, LR 4:104 (April 1978), amended by the Department of Agriculture and Forestry, Office of Agricultural and Environmental Sciences, Seed Commission, LR 12:825 (December 1986), repromulgated by the Department of Agriculture and Forestry, Office of Agricultural and Environmental Sciences, </w:t>
      </w:r>
      <w:r w:rsidRPr="001531CD">
        <w:t>Agricultural Chemistry and Seed Commis</w:t>
      </w:r>
      <w:r>
        <w:t xml:space="preserve">sion, LR 39:2707 (October 2013), </w:t>
      </w:r>
      <w:r w:rsidRPr="00CA2490">
        <w:t>LR 43:</w:t>
      </w:r>
      <w:r>
        <w:t>1897 (October 2017)</w:t>
      </w:r>
      <w:r w:rsidRPr="00B94C6F">
        <w:t>, LR 44:1852 (October 2018).</w:t>
      </w:r>
    </w:p>
    <w:p w14:paraId="67F9A578" w14:textId="77777777" w:rsidR="00CD0355" w:rsidRPr="001531CD" w:rsidRDefault="00CD0355" w:rsidP="00CD0355">
      <w:pPr>
        <w:pStyle w:val="Section"/>
      </w:pPr>
      <w:bookmarkStart w:id="1105" w:name="_Toc224818776"/>
      <w:r w:rsidRPr="001531CD">
        <w:t>§143.</w:t>
      </w:r>
      <w:r w:rsidRPr="001531CD">
        <w:tab/>
        <w:t>Standards for Agricultural Seed</w:t>
      </w:r>
      <w:bookmarkEnd w:id="1105"/>
      <w:r w:rsidRPr="001531CD">
        <w:t xml:space="preserve"> </w:t>
      </w:r>
    </w:p>
    <w:p w14:paraId="6F4DCDC6" w14:textId="77777777" w:rsidR="00CD0355" w:rsidRPr="001531CD" w:rsidRDefault="00CD0355" w:rsidP="00CD0355">
      <w:pPr>
        <w:pStyle w:val="A"/>
      </w:pPr>
      <w:r w:rsidRPr="001531CD">
        <w:t>A.</w:t>
      </w:r>
      <w:r w:rsidRPr="001531CD">
        <w:tab/>
        <w:t>No agricultural seed shall be offered for sale if the germination percentage, including hard seed, is below 60 percent, except Dallisgrass. Dallisgrass shall not be offered for sale if the pure live seed percentage (purity times germination) is below 10 percent.</w:t>
      </w:r>
    </w:p>
    <w:p w14:paraId="16DC1553" w14:textId="77777777" w:rsidR="00CD0355" w:rsidRPr="00CA2490" w:rsidRDefault="00CD0355" w:rsidP="00CD0355">
      <w:pPr>
        <w:pStyle w:val="A"/>
      </w:pPr>
      <w:r w:rsidRPr="00CA2490">
        <w:t>B.</w:t>
      </w:r>
      <w:r w:rsidRPr="00CA2490">
        <w:tab/>
        <w:t>No agricultural and vegetable seed shall be sold, offered for sale or exposed for sale containing in excess of one percent of total weed seed.</w:t>
      </w:r>
    </w:p>
    <w:p w14:paraId="142AD650" w14:textId="77777777" w:rsidR="00CD0355" w:rsidRPr="00CA2490" w:rsidRDefault="00CD0355" w:rsidP="00CD0355">
      <w:pPr>
        <w:pStyle w:val="AuthorityNote"/>
        <w:tabs>
          <w:tab w:val="clear" w:pos="1800"/>
        </w:tabs>
      </w:pPr>
      <w:r w:rsidRPr="00CA2490">
        <w:t>AUTHORITY NOTE:</w:t>
      </w:r>
      <w:r w:rsidRPr="00CA2490">
        <w:tab/>
        <w:t>Promulgated in accordance with R.S. 3:1444 and R.S. 3:1433.</w:t>
      </w:r>
    </w:p>
    <w:p w14:paraId="4A6C87A4" w14:textId="77777777" w:rsidR="00CD0355" w:rsidRPr="001531CD" w:rsidRDefault="00CD0355" w:rsidP="00CD0355">
      <w:pPr>
        <w:pStyle w:val="HistoricalNote"/>
      </w:pPr>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 xml:space="preserve">sion, LR 39:2708 (October 2013), </w:t>
      </w:r>
      <w:r w:rsidRPr="00CA2490">
        <w:t>LR 43:</w:t>
      </w:r>
      <w:r>
        <w:t>1898 (October 2017).</w:t>
      </w:r>
    </w:p>
    <w:p w14:paraId="409C6A7B" w14:textId="77777777" w:rsidR="00CD0355" w:rsidRPr="001531CD" w:rsidRDefault="00CD0355" w:rsidP="00CD0355">
      <w:pPr>
        <w:pStyle w:val="Chapter"/>
      </w:pPr>
      <w:bookmarkStart w:id="1106" w:name="_Toc224818777"/>
      <w:bookmarkStart w:id="1107" w:name="_Toc256754576"/>
      <w:r w:rsidRPr="001531CD">
        <w:t>Chapter 3.</w:t>
      </w:r>
      <w:r w:rsidRPr="001531CD">
        <w:tab/>
        <w:t>Enforcement of Law and Regulations</w:t>
      </w:r>
      <w:bookmarkEnd w:id="1106"/>
    </w:p>
    <w:p w14:paraId="4BADCA99" w14:textId="77777777" w:rsidR="00CD0355" w:rsidRPr="001531CD" w:rsidRDefault="00CD0355" w:rsidP="00CD0355">
      <w:pPr>
        <w:pStyle w:val="Section"/>
      </w:pPr>
      <w:bookmarkStart w:id="1108" w:name="_Toc224818778"/>
      <w:r w:rsidRPr="001531CD">
        <w:t>§301.</w:t>
      </w:r>
      <w:r w:rsidRPr="001531CD">
        <w:tab/>
        <w:t>Acts which Constitute Violations</w:t>
      </w:r>
      <w:bookmarkEnd w:id="1108"/>
      <w:r w:rsidRPr="001531CD">
        <w:t xml:space="preserve"> </w:t>
      </w:r>
    </w:p>
    <w:p w14:paraId="65422838" w14:textId="77777777" w:rsidR="00CD0355" w:rsidRPr="00D55B14" w:rsidRDefault="00CD0355" w:rsidP="00CD0355">
      <w:pPr>
        <w:pStyle w:val="A"/>
      </w:pPr>
      <w:r w:rsidRPr="00D55B14">
        <w:t>A.</w:t>
      </w:r>
      <w:r w:rsidRPr="00D55B14">
        <w:tab/>
        <w:t>The following acts shall be considered a</w:t>
      </w:r>
      <w:r>
        <w:t xml:space="preserve">s violations under the Seed Law </w:t>
      </w:r>
      <w:r w:rsidRPr="00D55B14">
        <w:t>or this Part:</w:t>
      </w:r>
    </w:p>
    <w:p w14:paraId="360DE7FA" w14:textId="77777777" w:rsidR="00CD0355" w:rsidRPr="00D55B14" w:rsidRDefault="00CD0355" w:rsidP="00CD0355">
      <w:pPr>
        <w:pStyle w:val="1"/>
      </w:pPr>
      <w:r w:rsidRPr="00D55B14">
        <w:t>1.</w:t>
      </w:r>
      <w:r w:rsidRPr="00D55B14">
        <w:tab/>
      </w:r>
      <w:r>
        <w:t>s</w:t>
      </w:r>
      <w:r w:rsidRPr="00D55B14">
        <w:t>elling, distributing, or offering or handling for sale any agricultural or vegetable seed without registering with the commissioner as a seed dealer or main</w:t>
      </w:r>
      <w:r>
        <w:t>taining a seed dealer’s license;</w:t>
      </w:r>
    </w:p>
    <w:p w14:paraId="4E89306B" w14:textId="77777777" w:rsidR="00CD0355" w:rsidRPr="00D55B14" w:rsidRDefault="00CD0355" w:rsidP="00CD0355">
      <w:pPr>
        <w:pStyle w:val="1"/>
      </w:pPr>
      <w:r w:rsidRPr="00D55B14">
        <w:t>2.</w:t>
      </w:r>
      <w:r w:rsidRPr="00D55B14">
        <w:tab/>
      </w:r>
      <w:r>
        <w:t>f</w:t>
      </w:r>
      <w:r w:rsidRPr="00D55B14">
        <w:t>ailing to timely file any required report or pay any required regulatory fee on agricultural or vegetable seed sold within or into Louisiana;</w:t>
      </w:r>
    </w:p>
    <w:p w14:paraId="00136778" w14:textId="77777777" w:rsidR="00CD0355" w:rsidRPr="00D55B14" w:rsidRDefault="00CD0355" w:rsidP="00CD0355">
      <w:pPr>
        <w:pStyle w:val="1"/>
      </w:pPr>
      <w:r w:rsidRPr="00D55B14">
        <w:t>3.</w:t>
      </w:r>
      <w:r w:rsidRPr="00D55B14">
        <w:tab/>
      </w:r>
      <w:r>
        <w:t>s</w:t>
      </w:r>
      <w:r w:rsidRPr="00D55B14">
        <w:t>elling, distributing, offering or handling for sale, or transporting, unless exempted under R.S. 3</w:t>
      </w:r>
      <w:r>
        <w:t>:</w:t>
      </w:r>
      <w:r w:rsidRPr="00D55B14">
        <w:t>1445, any agricultural or vegetable seed within or into this state which is not labeled in accordance</w:t>
      </w:r>
      <w:r>
        <w:t xml:space="preserve"> with the Seed Law or this Part;</w:t>
      </w:r>
    </w:p>
    <w:p w14:paraId="03751DF8" w14:textId="77777777" w:rsidR="00CD0355" w:rsidRPr="00D55B14" w:rsidRDefault="00CD0355" w:rsidP="00CD0355">
      <w:pPr>
        <w:pStyle w:val="1"/>
      </w:pPr>
      <w:r w:rsidRPr="00D55B14">
        <w:t>4.</w:t>
      </w:r>
      <w:r w:rsidRPr="00D55B14">
        <w:tab/>
      </w:r>
      <w:r>
        <w:t>s</w:t>
      </w:r>
      <w:r w:rsidRPr="00D55B14">
        <w:t>elling, distributing, offering or handling for sale, or transporting except for common carriers exempted under R.S. 3:1445, within or into this state, any agricultural or vegetable seed that is</w:t>
      </w:r>
      <w:r>
        <w:t>:</w:t>
      </w:r>
    </w:p>
    <w:p w14:paraId="3F0B6F7D" w14:textId="77777777" w:rsidR="00CD0355" w:rsidRPr="00D55B14" w:rsidRDefault="00CD0355" w:rsidP="00CD0355">
      <w:pPr>
        <w:pStyle w:val="a0"/>
      </w:pPr>
      <w:r w:rsidRPr="00D55B14">
        <w:t>a.</w:t>
      </w:r>
      <w:r w:rsidRPr="00D55B14">
        <w:tab/>
        <w:t xml:space="preserve">labeled </w:t>
      </w:r>
      <w:r>
        <w:t>in a false or misleading manner;</w:t>
      </w:r>
      <w:r w:rsidRPr="00D55B14">
        <w:t xml:space="preserve"> or that is</w:t>
      </w:r>
    </w:p>
    <w:p w14:paraId="34C0DEFA" w14:textId="77777777" w:rsidR="00CD0355" w:rsidRPr="00D55B14" w:rsidRDefault="00CD0355" w:rsidP="00CD0355">
      <w:pPr>
        <w:pStyle w:val="a0"/>
      </w:pPr>
      <w:r w:rsidRPr="00D55B14">
        <w:t>b.</w:t>
      </w:r>
      <w:r w:rsidRPr="00D55B14">
        <w:tab/>
        <w:t xml:space="preserve">advertised </w:t>
      </w:r>
      <w:r>
        <w:t>in a false or misleading manner;</w:t>
      </w:r>
      <w:r w:rsidRPr="00D55B14">
        <w:t xml:space="preserve"> or that</w:t>
      </w:r>
    </w:p>
    <w:p w14:paraId="6636F8E8" w14:textId="77777777" w:rsidR="00CD0355" w:rsidRPr="00D55B14" w:rsidRDefault="00CD0355" w:rsidP="00CD0355">
      <w:pPr>
        <w:pStyle w:val="a0"/>
      </w:pPr>
      <w:r w:rsidRPr="00D55B14">
        <w:t>c.</w:t>
      </w:r>
      <w:r w:rsidRPr="00D55B14">
        <w:tab/>
        <w:t>contain conflictin</w:t>
      </w:r>
      <w:r>
        <w:t>g labeling or label information;</w:t>
      </w:r>
    </w:p>
    <w:p w14:paraId="65F7BF2F" w14:textId="77777777" w:rsidR="00CD0355" w:rsidRPr="00D55B14" w:rsidRDefault="00CD0355" w:rsidP="00CD0355">
      <w:pPr>
        <w:pStyle w:val="1"/>
      </w:pPr>
      <w:r>
        <w:t>5.</w:t>
      </w:r>
      <w:r>
        <w:tab/>
        <w:t>f</w:t>
      </w:r>
      <w:r w:rsidRPr="00D55B14">
        <w:t>ailing to comply with a written stop order issued by an authorized agent of the commissioner, comm</w:t>
      </w:r>
      <w:r>
        <w:t>ission or LDAF;</w:t>
      </w:r>
    </w:p>
    <w:p w14:paraId="6C6E6548" w14:textId="77777777" w:rsidR="00CD0355" w:rsidRPr="00D55B14" w:rsidRDefault="00CD0355" w:rsidP="00CD0355">
      <w:pPr>
        <w:pStyle w:val="1"/>
      </w:pPr>
      <w:r>
        <w:t>6.</w:t>
      </w:r>
      <w:r>
        <w:tab/>
        <w:t>f</w:t>
      </w:r>
      <w:r w:rsidRPr="00D55B14">
        <w:t>ailing to comply with labeling requirements when selling, distributing, or offering or handling for sale “treated</w:t>
      </w:r>
      <w:r>
        <w:t>” seed;</w:t>
      </w:r>
    </w:p>
    <w:p w14:paraId="62307AFB" w14:textId="77777777" w:rsidR="00CD0355" w:rsidRPr="00D55B14" w:rsidRDefault="00CD0355" w:rsidP="00CD0355">
      <w:pPr>
        <w:pStyle w:val="1"/>
      </w:pPr>
      <w:r>
        <w:t>7.</w:t>
      </w:r>
      <w:r>
        <w:tab/>
        <w:t>d</w:t>
      </w:r>
      <w:r w:rsidRPr="00D55B14">
        <w:t xml:space="preserve">etaching, defacing, damaging, falsifying, altering or destroying any required label, certificate, seal, tape, test data, records or other documents provided for in the Seed Law or this Part unless any such action is performed by the </w:t>
      </w:r>
      <w:r w:rsidRPr="00D55B14">
        <w:lastRenderedPageBreak/>
        <w:t>ultimate consumer or end user of the see</w:t>
      </w:r>
      <w:r>
        <w:t>d after purchase by that person;</w:t>
      </w:r>
    </w:p>
    <w:p w14:paraId="78EAEAE3" w14:textId="77777777" w:rsidR="00CD0355" w:rsidRPr="00D55B14" w:rsidRDefault="00CD0355" w:rsidP="00CD0355">
      <w:pPr>
        <w:pStyle w:val="1"/>
      </w:pPr>
      <w:r>
        <w:t>8.</w:t>
      </w:r>
      <w:r>
        <w:tab/>
        <w:t>f</w:t>
      </w:r>
      <w:r w:rsidRPr="00D55B14">
        <w:t>ailing to keep accurate records or to make any such records available for inspection, as requir</w:t>
      </w:r>
      <w:r>
        <w:t>ed by the Seed Law or this Part;</w:t>
      </w:r>
    </w:p>
    <w:p w14:paraId="67420265" w14:textId="77777777" w:rsidR="00CD0355" w:rsidRPr="00D55B14" w:rsidRDefault="00CD0355" w:rsidP="00CD0355">
      <w:pPr>
        <w:pStyle w:val="1"/>
      </w:pPr>
      <w:r>
        <w:t>9.</w:t>
      </w:r>
      <w:r>
        <w:tab/>
        <w:t>s</w:t>
      </w:r>
      <w:r w:rsidRPr="00D55B14">
        <w:t xml:space="preserve">elling, distributing, or offering or handling for sale agricultural or vegetable seed as certified, registered or foundation class without being produced and labeled in compliance </w:t>
      </w:r>
      <w:r>
        <w:t>with the Seed Law or this Part;</w:t>
      </w:r>
    </w:p>
    <w:p w14:paraId="6A62C750" w14:textId="77777777" w:rsidR="00CD0355" w:rsidRPr="00D55B14" w:rsidRDefault="00CD0355" w:rsidP="00CD0355">
      <w:pPr>
        <w:pStyle w:val="1"/>
      </w:pPr>
      <w:r>
        <w:t>10.</w:t>
      </w:r>
      <w:r>
        <w:tab/>
        <w:t>r</w:t>
      </w:r>
      <w:r w:rsidRPr="00D55B14">
        <w:t>epresenting a lot as “certified seed” without an official seed certifying agency label, tape, certificate or other approved documentation attached to or accompan</w:t>
      </w:r>
      <w:r>
        <w:t>ying each container or shipment;</w:t>
      </w:r>
    </w:p>
    <w:p w14:paraId="6A85341B" w14:textId="77777777" w:rsidR="00CD0355" w:rsidRPr="00D55B14" w:rsidRDefault="00CD0355" w:rsidP="00CD0355">
      <w:pPr>
        <w:pStyle w:val="1"/>
      </w:pPr>
      <w:r>
        <w:t>11.</w:t>
      </w:r>
      <w:r>
        <w:tab/>
        <w:t>o</w:t>
      </w:r>
      <w:r w:rsidRPr="00D55B14">
        <w:t xml:space="preserve">bstruct in any way the commissioner, the commission, LDAF or any of their authorized agents in </w:t>
      </w:r>
      <w:r>
        <w:t>the performance of their duties;</w:t>
      </w:r>
    </w:p>
    <w:p w14:paraId="132CED2B" w14:textId="77777777" w:rsidR="00CD0355" w:rsidRPr="00D55B14" w:rsidRDefault="00CD0355" w:rsidP="00CD0355">
      <w:pPr>
        <w:pStyle w:val="1"/>
      </w:pPr>
      <w:r>
        <w:t>12.</w:t>
      </w:r>
      <w:r>
        <w:tab/>
        <w:t>s</w:t>
      </w:r>
      <w:r w:rsidRPr="00D55B14">
        <w:t>elling, distributing, offering or handling for sale, or transporting except for common carriers exempted under R.S. 3:1445, any agricultural or vegetable seed that has not been tested in accordance</w:t>
      </w:r>
      <w:r>
        <w:t xml:space="preserve"> with the Seed Law or this Part;</w:t>
      </w:r>
    </w:p>
    <w:p w14:paraId="3D9339AD" w14:textId="77777777" w:rsidR="00CD0355" w:rsidRPr="00D55B14" w:rsidRDefault="00CD0355" w:rsidP="00CD0355">
      <w:pPr>
        <w:pStyle w:val="1"/>
      </w:pPr>
      <w:r>
        <w:t>13.</w:t>
      </w:r>
      <w:r>
        <w:tab/>
      </w:r>
      <w:r w:rsidRPr="002D6D42">
        <w:t>using relabeling stickers or supplemental labels without having both the calendar month and year that the germination test was completed, and the lot number that exactly matches the original lot number;</w:t>
      </w:r>
    </w:p>
    <w:p w14:paraId="54187E62" w14:textId="77777777" w:rsidR="00CD0355" w:rsidRPr="00D55B14" w:rsidRDefault="00CD0355" w:rsidP="00CD0355">
      <w:pPr>
        <w:pStyle w:val="1"/>
      </w:pPr>
      <w:r>
        <w:t>14.</w:t>
      </w:r>
      <w:r>
        <w:tab/>
        <w:t>f</w:t>
      </w:r>
      <w:r w:rsidRPr="00D55B14">
        <w:t>ailure of labeled seed to be within the limitations allowed or recognized tolerances of analysis on label;</w:t>
      </w:r>
    </w:p>
    <w:p w14:paraId="4AB55BF4" w14:textId="77777777" w:rsidR="00CD0355" w:rsidRPr="00D55B14" w:rsidRDefault="00CD0355" w:rsidP="00CD0355">
      <w:pPr>
        <w:pStyle w:val="1"/>
      </w:pPr>
      <w:r>
        <w:t>15.</w:t>
      </w:r>
      <w:r>
        <w:tab/>
        <w:t>f</w:t>
      </w:r>
      <w:r w:rsidRPr="00D55B14">
        <w:t xml:space="preserve">ailure to comply and obtain a written release of a stop order within the </w:t>
      </w:r>
      <w:r>
        <w:t>30-</w:t>
      </w:r>
      <w:r w:rsidRPr="00D55B14">
        <w:t xml:space="preserve">day period required by R.S. 3:1440. </w:t>
      </w:r>
    </w:p>
    <w:p w14:paraId="2A957E20" w14:textId="77777777" w:rsidR="00CD0355" w:rsidRPr="001531CD" w:rsidRDefault="00CD0355" w:rsidP="00CD0355">
      <w:pPr>
        <w:pStyle w:val="AuthorityNote"/>
        <w:tabs>
          <w:tab w:val="clear" w:pos="1800"/>
        </w:tabs>
      </w:pPr>
      <w:r w:rsidRPr="00D55B14">
        <w:t>AUTHORITY NOTE:</w:t>
      </w:r>
      <w:r w:rsidRPr="00D55B14">
        <w:tab/>
        <w:t>Promulgated in accordance with R.S. 3:1444 and R.S. 3:1433.</w:t>
      </w:r>
    </w:p>
    <w:p w14:paraId="44146D56" w14:textId="77777777" w:rsidR="00CD0355" w:rsidRPr="001531CD" w:rsidRDefault="00CD0355" w:rsidP="00CD0355">
      <w:pPr>
        <w:pStyle w:val="HistoricalNote"/>
      </w:pPr>
      <w:r w:rsidRPr="001531CD">
        <w:t>HISTORICAL NOTE:</w:t>
      </w:r>
      <w:r w:rsidRPr="001531CD">
        <w:tab/>
        <w:t>Promulgated by the Department of Agriculture, Seed Commission, LR 8:567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39:2708 (October 2013), amended LR 40:747 (April 2014)</w:t>
      </w:r>
      <w:r w:rsidRPr="002D6D42">
        <w:t>, LR 44:1853</w:t>
      </w:r>
      <w:r>
        <w:t xml:space="preserve"> (October 2018).</w:t>
      </w:r>
    </w:p>
    <w:p w14:paraId="5EB362AB" w14:textId="77777777" w:rsidR="00CD0355" w:rsidRPr="001531CD" w:rsidRDefault="00CD0355" w:rsidP="00CD0355">
      <w:pPr>
        <w:pStyle w:val="Chapter"/>
      </w:pPr>
      <w:bookmarkStart w:id="1109" w:name="_Toc224818779"/>
      <w:bookmarkEnd w:id="1107"/>
      <w:r w:rsidRPr="001531CD">
        <w:t>Chapter 5.</w:t>
      </w:r>
      <w:r w:rsidRPr="001531CD">
        <w:tab/>
        <w:t>General Seed Certification Requirements</w:t>
      </w:r>
      <w:bookmarkEnd w:id="1109"/>
    </w:p>
    <w:p w14:paraId="22DD1F93" w14:textId="77777777" w:rsidR="00CD0355" w:rsidRPr="001531CD" w:rsidRDefault="00CD0355" w:rsidP="00CD0355">
      <w:pPr>
        <w:pStyle w:val="Section"/>
      </w:pPr>
      <w:bookmarkStart w:id="1110" w:name="_Toc224818780"/>
      <w:r w:rsidRPr="001531CD">
        <w:t>§501.</w:t>
      </w:r>
      <w:r w:rsidRPr="001531CD">
        <w:tab/>
        <w:t xml:space="preserve">Definitions </w:t>
      </w:r>
      <w:r w:rsidRPr="00D55B14">
        <w:t>also Applicable to this Chapter</w:t>
      </w:r>
      <w:bookmarkEnd w:id="1110"/>
      <w:r>
        <w:t xml:space="preserve"> </w:t>
      </w:r>
    </w:p>
    <w:p w14:paraId="181121FF" w14:textId="77777777" w:rsidR="00CD0355" w:rsidRPr="001531CD" w:rsidRDefault="00CD0355" w:rsidP="00CD0355">
      <w:pPr>
        <w:pStyle w:val="A"/>
      </w:pPr>
      <w:r w:rsidRPr="001531CD">
        <w:rPr>
          <w:i/>
        </w:rPr>
        <w:t>Certification</w:t>
      </w:r>
      <w:r w:rsidRPr="001531CD">
        <w:t>―the process by which official recognition is given to seeds produced under a limited generation system which ensures genetic purity and identity and a given minimum level of quality.</w:t>
      </w:r>
    </w:p>
    <w:p w14:paraId="6451F413" w14:textId="77777777" w:rsidR="00CD0355" w:rsidRPr="001531CD" w:rsidRDefault="00CD0355" w:rsidP="00CD0355">
      <w:pPr>
        <w:pStyle w:val="A"/>
      </w:pPr>
      <w:r w:rsidRPr="001531CD">
        <w:rPr>
          <w:i/>
        </w:rPr>
        <w:t>Clonally Propagated Plant</w:t>
      </w:r>
      <w:r w:rsidRPr="001531CD">
        <w:t>—a plant that is duplicated or propagated as a plant clone from vegetative cuttings or plant divisions using one or more of an aerial stem, rhizome, stolon, leave, or root.</w:t>
      </w:r>
    </w:p>
    <w:p w14:paraId="370D5ED6" w14:textId="77777777" w:rsidR="00CD0355" w:rsidRPr="001531CD" w:rsidRDefault="00CD0355" w:rsidP="00CD0355">
      <w:pPr>
        <w:pStyle w:val="A"/>
      </w:pPr>
      <w:r w:rsidRPr="001531CD">
        <w:rPr>
          <w:i/>
        </w:rPr>
        <w:t>Germination</w:t>
      </w:r>
      <w:r w:rsidRPr="001531CD">
        <w:t>―the percentage of seeds capable of producing normal seedlings under ordinarily favorable growing conditions.</w:t>
      </w:r>
    </w:p>
    <w:p w14:paraId="16FBFABB" w14:textId="77777777" w:rsidR="00CD0355" w:rsidRPr="001531CD" w:rsidRDefault="00CD0355" w:rsidP="00CD0355">
      <w:pPr>
        <w:pStyle w:val="A"/>
      </w:pPr>
      <w:r w:rsidRPr="001531CD">
        <w:rPr>
          <w:i/>
        </w:rPr>
        <w:t>Hybrid</w:t>
      </w:r>
      <w:r w:rsidRPr="001531CD">
        <w:t>―one or more crosses of inbred lines of the same kind of seed.</w:t>
      </w:r>
    </w:p>
    <w:p w14:paraId="5BCE9A3E" w14:textId="77777777" w:rsidR="00CD0355" w:rsidRPr="001531CD" w:rsidRDefault="00CD0355" w:rsidP="00CD0355">
      <w:pPr>
        <w:pStyle w:val="A"/>
      </w:pPr>
      <w:r w:rsidRPr="001531CD">
        <w:rPr>
          <w:i/>
        </w:rPr>
        <w:t>Inbred Line</w:t>
      </w:r>
      <w:r w:rsidRPr="001531CD">
        <w:t>―a relatively true-breeding strain resulting from at least five successive generations of controlled self-fertilization or of backcrossing to a recurrent parent with selection, or its equivalent for specific characteristics.</w:t>
      </w:r>
    </w:p>
    <w:p w14:paraId="20003336" w14:textId="77777777" w:rsidR="00CD0355" w:rsidRPr="001531CD" w:rsidRDefault="00CD0355" w:rsidP="00CD0355">
      <w:pPr>
        <w:pStyle w:val="A"/>
      </w:pPr>
      <w:r w:rsidRPr="001531CD">
        <w:rPr>
          <w:i/>
        </w:rPr>
        <w:t>Inert Matter</w:t>
      </w:r>
      <w:r w:rsidRPr="001531CD">
        <w:t>―all matter not seeds, including pieces of broken and damaged seeds one-half or less than the original size, sterile florets, fungus bodies, stones and all matter considered as inert by the Association of Official Seed Analysts Rules for Testing Seeds.</w:t>
      </w:r>
    </w:p>
    <w:p w14:paraId="42B96DAB" w14:textId="77777777" w:rsidR="00CD0355" w:rsidRPr="001531CD" w:rsidRDefault="00CD0355" w:rsidP="00CD0355">
      <w:pPr>
        <w:pStyle w:val="A"/>
      </w:pPr>
      <w:r w:rsidRPr="001531CD">
        <w:rPr>
          <w:i/>
        </w:rPr>
        <w:t>Inseparable Seeds</w:t>
      </w:r>
      <w:r w:rsidRPr="001531CD">
        <w:t>―seeds that are similar in size, shape and weight to the seed offered for certification, which are difficult to remove.</w:t>
      </w:r>
    </w:p>
    <w:p w14:paraId="5EB104CC" w14:textId="77777777" w:rsidR="00CD0355" w:rsidRPr="001531CD" w:rsidRDefault="00CD0355" w:rsidP="00CD0355">
      <w:pPr>
        <w:pStyle w:val="A"/>
      </w:pPr>
      <w:r w:rsidRPr="001531CD">
        <w:rPr>
          <w:i/>
        </w:rPr>
        <w:t>Isolation</w:t>
      </w:r>
      <w:r w:rsidRPr="001531CD">
        <w:t>―the distance required between a crop or variety entered for certification and other plantings of the same crop or variety, not entered for certification, which are pollinating at the same time.</w:t>
      </w:r>
    </w:p>
    <w:p w14:paraId="4811F17B" w14:textId="77777777" w:rsidR="00CD0355" w:rsidRPr="001531CD" w:rsidRDefault="00CD0355" w:rsidP="00CD0355">
      <w:pPr>
        <w:pStyle w:val="A"/>
      </w:pPr>
      <w:r w:rsidRPr="001531CD">
        <w:rPr>
          <w:i/>
        </w:rPr>
        <w:t>Kind</w:t>
      </w:r>
      <w:r w:rsidRPr="001531CD">
        <w:t>―one or more related species singly or collectively known by one common name (examples: corn, beans, wheat).</w:t>
      </w:r>
    </w:p>
    <w:p w14:paraId="7369E0AF" w14:textId="77777777" w:rsidR="00CD0355" w:rsidRPr="001531CD" w:rsidRDefault="00CD0355" w:rsidP="00CD0355">
      <w:pPr>
        <w:pStyle w:val="A"/>
      </w:pPr>
      <w:r w:rsidRPr="001531CD">
        <w:rPr>
          <w:i/>
        </w:rPr>
        <w:t>Land Requirement</w:t>
      </w:r>
      <w:r w:rsidRPr="001531CD">
        <w:t>―the period of time during which a field entered for certification cannot have grown or been seeded to the same species or variety except a certified class of the same species or variety which was equal to or superior to that of the species or variety entered for certification. If a field(s) is(are) entered for certification in the foundation class, only the foundation class of seeds could have been grown in that field during the time period specified.</w:t>
      </w:r>
    </w:p>
    <w:p w14:paraId="3FDD9415" w14:textId="77777777" w:rsidR="00CD0355" w:rsidRPr="001531CD" w:rsidRDefault="00CD0355" w:rsidP="00CD0355">
      <w:pPr>
        <w:pStyle w:val="A"/>
      </w:pPr>
      <w:r w:rsidRPr="001531CD">
        <w:rPr>
          <w:i/>
        </w:rPr>
        <w:t>Lot of Seed</w:t>
      </w:r>
      <w:r w:rsidRPr="001531CD">
        <w:t>―a definite quantity of seeds identified by a lot number or mark, every portion or bag of which is uniform, within permitted tolerances, relative to the factors which appear in the labeling.</w:t>
      </w:r>
    </w:p>
    <w:p w14:paraId="3286C2DF" w14:textId="77777777" w:rsidR="00CD0355" w:rsidRPr="00D55B14" w:rsidRDefault="00CD0355" w:rsidP="00CD0355">
      <w:pPr>
        <w:pStyle w:val="A"/>
      </w:pPr>
      <w:r w:rsidRPr="00D55B14">
        <w:rPr>
          <w:i/>
        </w:rPr>
        <w:t>Noxious or Prohibited Weeds</w:t>
      </w:r>
      <w:r w:rsidRPr="00D55B14">
        <w:t>―all weeds designated as noxious or prohibited weeds under §109.</w:t>
      </w:r>
    </w:p>
    <w:p w14:paraId="76EEA54C" w14:textId="77777777" w:rsidR="00CD0355" w:rsidRPr="001531CD" w:rsidRDefault="00CD0355" w:rsidP="00CD0355">
      <w:pPr>
        <w:pStyle w:val="A"/>
      </w:pPr>
      <w:r w:rsidRPr="00D55B14">
        <w:rPr>
          <w:i/>
        </w:rPr>
        <w:t>Off-Type (Mutations)</w:t>
      </w:r>
      <w:r w:rsidRPr="00D55B14">
        <w:t>―plants or seeds which deviate in one or more characteristics from the breeder description filed with LDAF.</w:t>
      </w:r>
    </w:p>
    <w:p w14:paraId="3C484EF8" w14:textId="77777777" w:rsidR="00CD0355" w:rsidRPr="001531CD" w:rsidRDefault="00CD0355" w:rsidP="00CD0355">
      <w:pPr>
        <w:pStyle w:val="A"/>
      </w:pPr>
      <w:r w:rsidRPr="001531CD">
        <w:rPr>
          <w:i/>
        </w:rPr>
        <w:t>Open-Pollination</w:t>
      </w:r>
      <w:r w:rsidRPr="001531CD">
        <w:t>―pollination that occurs naturally as opposed to controlled pollination such as by detasseling cytoplasmic male sterility, self-incompatibility or similar processes.</w:t>
      </w:r>
    </w:p>
    <w:p w14:paraId="3D0A4B66" w14:textId="77777777" w:rsidR="00CD0355" w:rsidRPr="001531CD" w:rsidRDefault="00CD0355" w:rsidP="00CD0355">
      <w:pPr>
        <w:pStyle w:val="A"/>
      </w:pPr>
      <w:r w:rsidRPr="001531CD">
        <w:rPr>
          <w:i/>
        </w:rPr>
        <w:t>Originator</w:t>
      </w:r>
      <w:r w:rsidRPr="001531CD">
        <w:t>―a person, company, agent or institution developing a new variety of seed.</w:t>
      </w:r>
    </w:p>
    <w:p w14:paraId="4EFB5096" w14:textId="77777777" w:rsidR="00CD0355" w:rsidRPr="001531CD" w:rsidRDefault="00CD0355" w:rsidP="00CD0355">
      <w:pPr>
        <w:pStyle w:val="A"/>
      </w:pPr>
      <w:r w:rsidRPr="00D55B14">
        <w:rPr>
          <w:i/>
        </w:rPr>
        <w:t>Other Weeds/Weed Seeds</w:t>
      </w:r>
      <w:r w:rsidRPr="00D55B14">
        <w:t>―all weeds and/or weed seeds which have not been designated as noxious weeds by the Commission.</w:t>
      </w:r>
    </w:p>
    <w:p w14:paraId="1A4F5DBD" w14:textId="77777777" w:rsidR="00CD0355" w:rsidRPr="001531CD" w:rsidRDefault="00CD0355" w:rsidP="00CD0355">
      <w:pPr>
        <w:pStyle w:val="A"/>
      </w:pPr>
      <w:r w:rsidRPr="001531CD">
        <w:rPr>
          <w:i/>
        </w:rPr>
        <w:t>Plant Clone</w:t>
      </w:r>
      <w:r w:rsidRPr="001531CD">
        <w:t>—a genetically identical plant or plant material derived originally from a single ancestor individual over one or more vegetative generations.</w:t>
      </w:r>
    </w:p>
    <w:p w14:paraId="71CBEDEE" w14:textId="77777777" w:rsidR="00CD0355" w:rsidRPr="001531CD" w:rsidRDefault="00CD0355" w:rsidP="00CD0355">
      <w:pPr>
        <w:pStyle w:val="A"/>
      </w:pPr>
      <w:r w:rsidRPr="001531CD">
        <w:rPr>
          <w:i/>
        </w:rPr>
        <w:t>Recertification</w:t>
      </w:r>
      <w:r w:rsidRPr="001531CD">
        <w:t>―the official approval of a second or subsequent generation of a certified class of seed.</w:t>
      </w:r>
    </w:p>
    <w:p w14:paraId="3773AE3C" w14:textId="77777777" w:rsidR="00CD0355" w:rsidRPr="001531CD" w:rsidRDefault="00CD0355" w:rsidP="00CD0355">
      <w:pPr>
        <w:pStyle w:val="A"/>
      </w:pPr>
      <w:r w:rsidRPr="001531CD">
        <w:rPr>
          <w:i/>
        </w:rPr>
        <w:t>Roguing</w:t>
      </w:r>
      <w:r w:rsidRPr="001531CD">
        <w:t>―the removal from the field of noxious weeds, off-type plants, varietal mixtures and any other plants producing seeds which are inseparable from seeds of the crop to be certified.</w:t>
      </w:r>
    </w:p>
    <w:p w14:paraId="6BF0077D" w14:textId="77777777" w:rsidR="00CD0355" w:rsidRPr="001531CD" w:rsidRDefault="00CD0355" w:rsidP="00CD0355">
      <w:pPr>
        <w:pStyle w:val="A"/>
      </w:pPr>
      <w:r w:rsidRPr="001531CD">
        <w:rPr>
          <w:i/>
        </w:rPr>
        <w:lastRenderedPageBreak/>
        <w:t>Species</w:t>
      </w:r>
      <w:r w:rsidRPr="001531CD">
        <w:t>―plants designated by a common name and having common characteristics.</w:t>
      </w:r>
    </w:p>
    <w:p w14:paraId="725C427D" w14:textId="77777777" w:rsidR="00CD0355" w:rsidRPr="001531CD" w:rsidRDefault="00CD0355" w:rsidP="00CD0355">
      <w:pPr>
        <w:pStyle w:val="A"/>
      </w:pPr>
      <w:r w:rsidRPr="001531CD">
        <w:rPr>
          <w:i/>
        </w:rPr>
        <w:t>Unit of Certification</w:t>
      </w:r>
      <w:r w:rsidRPr="001531CD">
        <w:t>―any clearly defined field(s) or portion(s) of a field entered for certification.</w:t>
      </w:r>
    </w:p>
    <w:p w14:paraId="586FADD2" w14:textId="77777777" w:rsidR="00CD0355" w:rsidRPr="001531CD" w:rsidRDefault="00CD0355" w:rsidP="00CD0355">
      <w:pPr>
        <w:pStyle w:val="A"/>
      </w:pPr>
      <w:r w:rsidRPr="001531CD">
        <w:rPr>
          <w:i/>
        </w:rPr>
        <w:t>Variety</w:t>
      </w:r>
      <w:r w:rsidRPr="001531CD">
        <w:t>―a subdivision of a kind, characterized by growth, plant, fruit, seed or other characteristics by which it can be differentiated from other seeds of the same kind.</w:t>
      </w:r>
    </w:p>
    <w:p w14:paraId="4F6C273B" w14:textId="77777777" w:rsidR="00CD0355" w:rsidRPr="001531CD" w:rsidRDefault="00CD0355" w:rsidP="00CD0355">
      <w:pPr>
        <w:pStyle w:val="A"/>
      </w:pPr>
      <w:r w:rsidRPr="001531CD">
        <w:rPr>
          <w:i/>
        </w:rPr>
        <w:t>Volunteer Plants</w:t>
      </w:r>
      <w:r w:rsidRPr="001531CD">
        <w:t>―plants of a crop kind or species other than the crop being certified that are present in a field.</w:t>
      </w:r>
    </w:p>
    <w:p w14:paraId="0329E964" w14:textId="77777777" w:rsidR="00CD0355" w:rsidRPr="001531CD" w:rsidRDefault="00CD0355" w:rsidP="00CD0355">
      <w:pPr>
        <w:pStyle w:val="A"/>
      </w:pPr>
      <w:r w:rsidRPr="00D55B14">
        <w:rPr>
          <w:i/>
        </w:rPr>
        <w:t>Weight Unit</w:t>
      </w:r>
      <w:r w:rsidRPr="00D55B14">
        <w:t>―unit of measure, designated by the Commission, based on the most common industry accepted packaging weight in pounds for a specific commodity.</w:t>
      </w:r>
    </w:p>
    <w:p w14:paraId="79EB4477" w14:textId="77777777" w:rsidR="00CD0355" w:rsidRPr="001531CD" w:rsidRDefault="00CD0355" w:rsidP="00CD0355">
      <w:pPr>
        <w:pStyle w:val="AuthorityNote"/>
      </w:pPr>
      <w:r w:rsidRPr="00D55B14">
        <w:t>AUTHORITY NOTE:</w:t>
      </w:r>
      <w:r w:rsidRPr="00D55B14">
        <w:tab/>
        <w:t>Promulgated in accordance with R.S. 3:1433 and 3:1436.</w:t>
      </w:r>
    </w:p>
    <w:p w14:paraId="51AE90B4" w14:textId="77777777" w:rsidR="00CD0355" w:rsidRPr="001531CD" w:rsidRDefault="00CD0355" w:rsidP="00CD0355">
      <w:pPr>
        <w:pStyle w:val="HistoricalNote"/>
      </w:pPr>
      <w:r w:rsidRPr="001531CD">
        <w:t>HISTORICAL NOTE:</w:t>
      </w:r>
      <w:r w:rsidRPr="001531CD">
        <w:tab/>
        <w:t>Promulgated by the Department of Agriculture, Seed Commission, LR 8:564 (November 1982), amended by the Department of Agriculture and Forestry, Office of Agricultural and Environmental Sciences, Seed Commission, LR 12:825 (December 1986), LR 20:642 (June 1994), LR 31:420 (February 2005), LR 37:2979 (October 2011), repromulgated by the Department of Agriculture and Forestry, Office of Agricultural and Environmental Sciences, Agricultural Chemistry and Seed Commis</w:t>
      </w:r>
      <w:r>
        <w:t>sion, LR 39:2709 (October 2013), amended LR 40:748 (April 2014).</w:t>
      </w:r>
    </w:p>
    <w:p w14:paraId="30F22388" w14:textId="77777777" w:rsidR="00CD0355" w:rsidRPr="001531CD" w:rsidRDefault="00CD0355" w:rsidP="00CD0355">
      <w:pPr>
        <w:pStyle w:val="Section"/>
      </w:pPr>
      <w:bookmarkStart w:id="1111" w:name="_Toc224818781"/>
      <w:r w:rsidRPr="001531CD">
        <w:t>§503.</w:t>
      </w:r>
      <w:r w:rsidRPr="001531CD">
        <w:tab/>
        <w:t>Classes of Seed</w:t>
      </w:r>
      <w:bookmarkEnd w:id="1111"/>
      <w:r w:rsidRPr="001531CD">
        <w:t xml:space="preserve"> </w:t>
      </w:r>
    </w:p>
    <w:p w14:paraId="5449DF96" w14:textId="77777777" w:rsidR="00CD0355" w:rsidRPr="00D55B14" w:rsidRDefault="00CD0355" w:rsidP="00CD0355">
      <w:pPr>
        <w:pStyle w:val="A"/>
      </w:pPr>
      <w:r w:rsidRPr="00D55B14">
        <w:t>A.</w:t>
      </w:r>
      <w:r w:rsidRPr="00D55B14">
        <w:tab/>
        <w:t xml:space="preserve">The following classes of seed are recognized for purposes of this Chapter. </w:t>
      </w:r>
    </w:p>
    <w:p w14:paraId="31136CC3" w14:textId="77777777" w:rsidR="00CD0355" w:rsidRPr="00D55B14" w:rsidRDefault="00CD0355" w:rsidP="00CD0355">
      <w:pPr>
        <w:pStyle w:val="1"/>
      </w:pPr>
      <w:r w:rsidRPr="00D55B14">
        <w:t>1.</w:t>
      </w:r>
      <w:r w:rsidRPr="00D55B14">
        <w:tab/>
      </w:r>
      <w:r w:rsidRPr="00D55B14">
        <w:rPr>
          <w:i/>
        </w:rPr>
        <w:t>Breeder Seed (White Tag)</w:t>
      </w:r>
      <w:r w:rsidRPr="00D55B14">
        <w:t>―seed directly controlled by the originating or sponsoring plant breeding institution, firm or individual which is the source for the production of seed of the certified classes.</w:t>
      </w:r>
    </w:p>
    <w:p w14:paraId="51404490" w14:textId="77777777" w:rsidR="00CD0355" w:rsidRPr="00D55B14" w:rsidRDefault="00CD0355" w:rsidP="00CD0355">
      <w:pPr>
        <w:pStyle w:val="1"/>
      </w:pPr>
      <w:r w:rsidRPr="00D55B14">
        <w:t>2.</w:t>
      </w:r>
      <w:r w:rsidRPr="00D55B14">
        <w:tab/>
      </w:r>
      <w:r w:rsidRPr="00D55B14">
        <w:rPr>
          <w:i/>
        </w:rPr>
        <w:t>Foundation Seed (White Tag)</w:t>
      </w:r>
      <w:r w:rsidRPr="00D55B14">
        <w:t>―progeny of breeder or foundation seed, handled so as to maintain specific genetic purity and identity, production of which must be acceptable to LDAF.</w:t>
      </w:r>
    </w:p>
    <w:p w14:paraId="29932C58" w14:textId="77777777" w:rsidR="00CD0355" w:rsidRPr="00D55B14" w:rsidRDefault="00CD0355" w:rsidP="00CD0355">
      <w:pPr>
        <w:pStyle w:val="1"/>
      </w:pPr>
      <w:r w:rsidRPr="00D55B14">
        <w:t>3.</w:t>
      </w:r>
      <w:r w:rsidRPr="00D55B14">
        <w:tab/>
      </w:r>
      <w:r w:rsidRPr="00D55B14">
        <w:rPr>
          <w:i/>
        </w:rPr>
        <w:t>Registered Seed (Purple Tag)</w:t>
      </w:r>
      <w:r w:rsidRPr="00D55B14">
        <w:t>―progeny of breeder or foundation seed, handled under procedures acceptable to LDAF to maintain satisfactory genetic purity and identity.</w:t>
      </w:r>
    </w:p>
    <w:p w14:paraId="0E18F241" w14:textId="77777777" w:rsidR="00CD0355" w:rsidRPr="00D55B14" w:rsidRDefault="00CD0355" w:rsidP="00CD0355">
      <w:pPr>
        <w:pStyle w:val="1"/>
      </w:pPr>
      <w:r w:rsidRPr="00D55B14">
        <w:t>4.</w:t>
      </w:r>
      <w:r w:rsidRPr="00D55B14">
        <w:tab/>
      </w:r>
      <w:r w:rsidRPr="00D55B14">
        <w:rPr>
          <w:i/>
        </w:rPr>
        <w:t>Certified Seed (Blue Tag)</w:t>
      </w:r>
      <w:r w:rsidRPr="00D55B14">
        <w:t>―progeny of breeder, foundation or registered seed, handled under procedures acceptable to LDAF to maintain satisfactory genetic purity and identity.</w:t>
      </w:r>
    </w:p>
    <w:p w14:paraId="6E12699F" w14:textId="77777777" w:rsidR="00CD0355" w:rsidRPr="00D55B14" w:rsidRDefault="00CD0355" w:rsidP="00CD0355">
      <w:pPr>
        <w:pStyle w:val="1"/>
      </w:pPr>
      <w:r>
        <w:t>5.</w:t>
      </w:r>
      <w:r>
        <w:tab/>
      </w:r>
      <w:r w:rsidRPr="00172E0F">
        <w:rPr>
          <w:i/>
        </w:rPr>
        <w:t>Tree Seed</w:t>
      </w:r>
      <w:r w:rsidRPr="00D55B14">
        <w:t>―</w:t>
      </w:r>
    </w:p>
    <w:p w14:paraId="536AF9F0" w14:textId="77777777" w:rsidR="00CD0355" w:rsidRPr="00D55B14" w:rsidRDefault="00CD0355" w:rsidP="00CD0355">
      <w:pPr>
        <w:pStyle w:val="a0"/>
      </w:pPr>
      <w:r w:rsidRPr="00D55B14">
        <w:t>a.</w:t>
      </w:r>
      <w:r>
        <w:tab/>
      </w:r>
      <w:r w:rsidRPr="00D55B14">
        <w:rPr>
          <w:i/>
        </w:rPr>
        <w:t>Certified Tree Seed (Blue Tag)</w:t>
      </w:r>
      <w:r w:rsidRPr="00D55B14">
        <w:t>―seed from trees of proven genetic superiority, produced so as to assure genetic identity. Seeds from interspecific hybrids of forest trees may be included.</w:t>
      </w:r>
    </w:p>
    <w:p w14:paraId="4A034BB9" w14:textId="77777777" w:rsidR="00CD0355" w:rsidRPr="00D55B14" w:rsidRDefault="00CD0355" w:rsidP="00CD0355">
      <w:pPr>
        <w:pStyle w:val="a0"/>
      </w:pPr>
      <w:r w:rsidRPr="00D55B14">
        <w:t>b.</w:t>
      </w:r>
      <w:r w:rsidRPr="00D55B14">
        <w:tab/>
      </w:r>
      <w:r w:rsidRPr="00D55B14">
        <w:rPr>
          <w:i/>
        </w:rPr>
        <w:t>Selected Tree Seed (Green Tag)</w:t>
      </w:r>
      <w:r w:rsidRPr="00D55B14">
        <w:t>―progeny of rigidly selected trees or stands of untested parentage that have promise but not proof of genetic superiority and for which geographic source and elevation is stated on the label.</w:t>
      </w:r>
    </w:p>
    <w:p w14:paraId="7B7CC262" w14:textId="77777777" w:rsidR="00CD0355" w:rsidRPr="00D55B14" w:rsidRDefault="00CD0355" w:rsidP="00CD0355">
      <w:pPr>
        <w:pStyle w:val="a0"/>
      </w:pPr>
      <w:r w:rsidRPr="00D55B14">
        <w:t>c.</w:t>
      </w:r>
      <w:r>
        <w:tab/>
      </w:r>
      <w:r w:rsidRPr="00D55B14">
        <w:rPr>
          <w:i/>
        </w:rPr>
        <w:t>Source-Identified Tree Seed (Yellow Tag)</w:t>
      </w:r>
      <w:r w:rsidRPr="00D55B14">
        <w:t>―seed from a natural stands with known geographic source and elevation, or plantations of known geographic origin and which is acceptable to LDAF.</w:t>
      </w:r>
    </w:p>
    <w:p w14:paraId="7C3A230F" w14:textId="77777777" w:rsidR="00CD0355" w:rsidRPr="001531CD" w:rsidRDefault="00CD0355" w:rsidP="00CD0355">
      <w:pPr>
        <w:pStyle w:val="AuthorityNote"/>
      </w:pPr>
      <w:r w:rsidRPr="00D55B14">
        <w:t>AUTHORITY NOTE:</w:t>
      </w:r>
      <w:r w:rsidRPr="00D55B14">
        <w:tab/>
        <w:t>Promulgated in accordance with R.S. 3:1433.</w:t>
      </w:r>
    </w:p>
    <w:p w14:paraId="5D5FE138" w14:textId="77777777" w:rsidR="00CD0355" w:rsidRPr="001531CD" w:rsidRDefault="00CD0355" w:rsidP="00CD0355">
      <w:pPr>
        <w:pStyle w:val="HistoricalNote"/>
      </w:pPr>
      <w:r w:rsidRPr="001531CD">
        <w:t>HISTORICAL NOTE:</w:t>
      </w:r>
      <w:r w:rsidRPr="001531CD">
        <w:tab/>
        <w:t>Promulgated by the Department of Agriculture, Seed Commission, LR 8:564 (November 1982), amended by the Department of Agriculture and Forestry, Seed Commission, LR 12:825 (December 1986), LR 31:1510 (July 2005), repromulgated by the Department of Agriculture and Forestry, Office of Agricultural and Environmental Sciences, Agricultural Chemistry and Seed Commis</w:t>
      </w:r>
      <w:r>
        <w:t>sion, LR 39:2710 (October 2013), amended LR 40:748 (April 2014).</w:t>
      </w:r>
    </w:p>
    <w:p w14:paraId="42501B67" w14:textId="77777777" w:rsidR="00CD0355" w:rsidRPr="001531CD" w:rsidRDefault="00CD0355" w:rsidP="00CD0355">
      <w:pPr>
        <w:pStyle w:val="Section"/>
      </w:pPr>
      <w:bookmarkStart w:id="1112" w:name="_Toc224818782"/>
      <w:r w:rsidRPr="001531CD">
        <w:t>§505.</w:t>
      </w:r>
      <w:r w:rsidRPr="001531CD">
        <w:tab/>
        <w:t>General Requirements for Certification</w:t>
      </w:r>
      <w:bookmarkEnd w:id="1112"/>
      <w:r w:rsidRPr="001531CD">
        <w:t xml:space="preserve"> </w:t>
      </w:r>
    </w:p>
    <w:p w14:paraId="16381424" w14:textId="77777777" w:rsidR="00CD0355" w:rsidRPr="00D55B14" w:rsidRDefault="00CD0355" w:rsidP="00CD0355">
      <w:pPr>
        <w:pStyle w:val="A"/>
      </w:pPr>
      <w:r w:rsidRPr="00D55B14">
        <w:t>A.</w:t>
      </w:r>
      <w:r w:rsidRPr="00D55B14">
        <w:tab/>
        <w:t xml:space="preserve">The crop or variety to be certified must have been approved for certification by LDAF. </w:t>
      </w:r>
    </w:p>
    <w:p w14:paraId="006954C4" w14:textId="77777777" w:rsidR="00CD0355" w:rsidRPr="00D55B14" w:rsidRDefault="00CD0355" w:rsidP="00CD0355">
      <w:pPr>
        <w:pStyle w:val="A"/>
      </w:pPr>
      <w:r w:rsidRPr="00D55B14">
        <w:t>B.</w:t>
      </w:r>
      <w:r w:rsidRPr="00D55B14">
        <w:tab/>
        <w:t>The originator, developer, owner, or agent seeking to have the crop or variety of seed certified shall provide the following information to LDAF.</w:t>
      </w:r>
    </w:p>
    <w:p w14:paraId="63E592B5" w14:textId="77777777" w:rsidR="00CD0355" w:rsidRPr="00D55B14" w:rsidRDefault="00CD0355" w:rsidP="00CD0355">
      <w:pPr>
        <w:pStyle w:val="1"/>
      </w:pPr>
      <w:r w:rsidRPr="00D55B14">
        <w:t>1.</w:t>
      </w:r>
      <w:r w:rsidRPr="00D55B14">
        <w:tab/>
        <w:t>the name of the variety;</w:t>
      </w:r>
    </w:p>
    <w:p w14:paraId="793A09BC" w14:textId="77777777" w:rsidR="00CD0355" w:rsidRPr="00D55B14" w:rsidRDefault="00CD0355" w:rsidP="00CD0355">
      <w:pPr>
        <w:pStyle w:val="1"/>
      </w:pPr>
      <w:r w:rsidRPr="00D55B14">
        <w:t>2.</w:t>
      </w:r>
      <w:r w:rsidRPr="00D55B14">
        <w:tab/>
        <w:t>a statement concerning the variety's origin and the breeding procedure used in its development;</w:t>
      </w:r>
    </w:p>
    <w:p w14:paraId="429473AC" w14:textId="77777777" w:rsidR="00CD0355" w:rsidRPr="00D55B14" w:rsidRDefault="00CD0355" w:rsidP="00CD0355">
      <w:pPr>
        <w:pStyle w:val="1"/>
      </w:pPr>
      <w:r w:rsidRPr="00D55B14">
        <w:t>3.</w:t>
      </w:r>
      <w:r w:rsidRPr="00D55B14">
        <w:tab/>
        <w:t>a detailed description of the morphological, physiological and other characteristics of the plants and seed that distinguish it from other varieties;</w:t>
      </w:r>
    </w:p>
    <w:p w14:paraId="5426696C" w14:textId="77777777" w:rsidR="00CD0355" w:rsidRPr="00D55B14" w:rsidRDefault="00CD0355" w:rsidP="00CD0355">
      <w:pPr>
        <w:pStyle w:val="1"/>
      </w:pPr>
      <w:r w:rsidRPr="00D55B14">
        <w:t>4.</w:t>
      </w:r>
      <w:r w:rsidRPr="00D55B14">
        <w:tab/>
        <w:t>evidence supporting the identity of the variety, such as comparative yield data, insect and disease resistance, or other factors supporting the identity of the variety;</w:t>
      </w:r>
    </w:p>
    <w:p w14:paraId="60A72934" w14:textId="77777777" w:rsidR="00CD0355" w:rsidRPr="00D55B14" w:rsidRDefault="00CD0355" w:rsidP="00CD0355">
      <w:pPr>
        <w:pStyle w:val="1"/>
      </w:pPr>
      <w:r w:rsidRPr="00D55B14">
        <w:t>5.</w:t>
      </w:r>
      <w:r w:rsidRPr="00D55B14">
        <w:tab/>
        <w:t>a statement delineating the geographic area or areas of adaptation of the variety;</w:t>
      </w:r>
    </w:p>
    <w:p w14:paraId="07E488FC" w14:textId="77777777" w:rsidR="00CD0355" w:rsidRPr="00D55B14" w:rsidRDefault="00CD0355" w:rsidP="00CD0355">
      <w:pPr>
        <w:pStyle w:val="1"/>
      </w:pPr>
      <w:r w:rsidRPr="00D55B14">
        <w:t>6.</w:t>
      </w:r>
      <w:r w:rsidRPr="00D55B14">
        <w:tab/>
        <w:t>a statement on the plans and procedures for the maintenance of seed classes, including the number of generations through which the variety may be multiplied;</w:t>
      </w:r>
    </w:p>
    <w:p w14:paraId="6567DDE6" w14:textId="77777777" w:rsidR="00CD0355" w:rsidRPr="00D55B14" w:rsidRDefault="00CD0355" w:rsidP="00CD0355">
      <w:pPr>
        <w:pStyle w:val="1"/>
      </w:pPr>
      <w:r w:rsidRPr="00D55B14">
        <w:t>7.</w:t>
      </w:r>
      <w:r w:rsidRPr="00D55B14">
        <w:tab/>
        <w:t>a description of the manner in which the variety is constituted when a particular cycle of reproduction or multiplication is specified;</w:t>
      </w:r>
    </w:p>
    <w:p w14:paraId="5CB89CCA" w14:textId="77777777" w:rsidR="00CD0355" w:rsidRPr="00D55B14" w:rsidRDefault="00CD0355" w:rsidP="00CD0355">
      <w:pPr>
        <w:pStyle w:val="1"/>
      </w:pPr>
      <w:r w:rsidRPr="00D55B14">
        <w:t>8.</w:t>
      </w:r>
      <w:r w:rsidRPr="00D55B14">
        <w:tab/>
        <w:t>any additional restrictions on the variety specified by the breeder, with respect to geographic area of seed production, age of stand or other factors affecting genetic purity;</w:t>
      </w:r>
    </w:p>
    <w:p w14:paraId="3163E23A" w14:textId="77777777" w:rsidR="00CD0355" w:rsidRPr="00D55B14" w:rsidRDefault="00CD0355" w:rsidP="00CD0355">
      <w:pPr>
        <w:pStyle w:val="1"/>
      </w:pPr>
      <w:r w:rsidRPr="00D55B14">
        <w:t>9.</w:t>
      </w:r>
      <w:r w:rsidRPr="00D55B14">
        <w:tab/>
        <w:t>a sample of seed representative of the variety as marketed.</w:t>
      </w:r>
    </w:p>
    <w:p w14:paraId="5FEA93AD" w14:textId="77777777" w:rsidR="00CD0355" w:rsidRPr="00D55B14" w:rsidRDefault="00CD0355" w:rsidP="00CD0355">
      <w:pPr>
        <w:pStyle w:val="A"/>
      </w:pPr>
      <w:r w:rsidRPr="00D55B14">
        <w:t>C.</w:t>
      </w:r>
      <w:r w:rsidRPr="00D55B14">
        <w:tab/>
        <w:t>To be certified, all crops and/or varieties must conform to:</w:t>
      </w:r>
    </w:p>
    <w:p w14:paraId="45302E10" w14:textId="77777777" w:rsidR="00CD0355" w:rsidRPr="00D55B14" w:rsidRDefault="00CD0355" w:rsidP="00CD0355">
      <w:pPr>
        <w:pStyle w:val="1"/>
      </w:pPr>
      <w:r w:rsidRPr="00D55B14">
        <w:t>1.</w:t>
      </w:r>
      <w:r w:rsidRPr="00D55B14">
        <w:tab/>
        <w:t>all general requirements for certification; and</w:t>
      </w:r>
    </w:p>
    <w:p w14:paraId="6463E9F6" w14:textId="77777777" w:rsidR="00CD0355" w:rsidRPr="00D55B14" w:rsidRDefault="00CD0355" w:rsidP="00CD0355">
      <w:pPr>
        <w:pStyle w:val="1"/>
      </w:pPr>
      <w:r w:rsidRPr="00D55B14">
        <w:t>2.</w:t>
      </w:r>
      <w:r w:rsidRPr="00D55B14">
        <w:tab/>
        <w:t xml:space="preserve">all specific requirements for certification of a particular crop or variety. (See §§701-811 for specific requirements. In §§701-811, the percentages shown for pure seed and germination are the minimum acceptable levels of performance required for certification; the percentages shown for all other factors are </w:t>
      </w:r>
      <w:r>
        <w:t>maximum allowable percentages.)</w:t>
      </w:r>
    </w:p>
    <w:p w14:paraId="68136D83" w14:textId="77777777" w:rsidR="00CD0355" w:rsidRPr="00D55B14" w:rsidRDefault="00CD0355" w:rsidP="00CD0355">
      <w:pPr>
        <w:pStyle w:val="A"/>
      </w:pPr>
      <w:r w:rsidRPr="00D55B14">
        <w:t>D.</w:t>
      </w:r>
      <w:r w:rsidRPr="00D55B14">
        <w:tab/>
        <w:t>The grower must submit the application described in §507 on or before the date specified in §509 for the crop or variety to be certified. (See §507.B and §125.B for provisions concerning late applications.)</w:t>
      </w:r>
    </w:p>
    <w:p w14:paraId="4C5D310D" w14:textId="77777777" w:rsidR="00CD0355" w:rsidRPr="00D55B14" w:rsidRDefault="00CD0355" w:rsidP="00CD0355">
      <w:pPr>
        <w:pStyle w:val="A"/>
      </w:pPr>
      <w:r w:rsidRPr="00D55B14">
        <w:lastRenderedPageBreak/>
        <w:t>E.</w:t>
      </w:r>
      <w:r w:rsidRPr="00D55B14">
        <w:tab/>
        <w:t>The crop or variety to be certified must be of breeder, foundation or registered seed, or seed approved by the commission.</w:t>
      </w:r>
    </w:p>
    <w:p w14:paraId="2E2FA03B" w14:textId="77777777" w:rsidR="00CD0355" w:rsidRPr="00D55B14" w:rsidRDefault="00CD0355" w:rsidP="00CD0355">
      <w:pPr>
        <w:pStyle w:val="A"/>
      </w:pPr>
      <w:r w:rsidRPr="00D55B14">
        <w:t>F.</w:t>
      </w:r>
      <w:r w:rsidRPr="00D55B14">
        <w:tab/>
        <w:t>The grower must maintain genetic purity during seeding, production, harvesting, storage, conditioning and labeling.</w:t>
      </w:r>
    </w:p>
    <w:p w14:paraId="7422CF79" w14:textId="77777777" w:rsidR="00CD0355" w:rsidRPr="00D55B14" w:rsidRDefault="00CD0355" w:rsidP="00CD0355">
      <w:pPr>
        <w:pStyle w:val="A"/>
      </w:pPr>
      <w:r w:rsidRPr="00D55B14">
        <w:t>G.</w:t>
      </w:r>
      <w:r w:rsidRPr="00D55B14">
        <w:tab/>
        <w:t>The grower must hand-rogue all off-type plants, varietal mixtures, noxious weeds or any other plants producing seed that are inseparable from seed of the crop or variety to be certified.</w:t>
      </w:r>
    </w:p>
    <w:p w14:paraId="767E3F34" w14:textId="77777777" w:rsidR="00CD0355" w:rsidRPr="00D55B14" w:rsidRDefault="00CD0355" w:rsidP="00CD0355">
      <w:pPr>
        <w:pStyle w:val="A"/>
      </w:pPr>
      <w:r w:rsidRPr="00D55B14">
        <w:t>H.</w:t>
      </w:r>
      <w:r w:rsidRPr="00D55B14">
        <w:tab/>
        <w:t xml:space="preserve">Other varieties or crops, volunteer plants and/or off-type plants cannot be present in the field, and seeds thereof cannot be present in seed to be certified, unless permitted under the specific certification standards for the crop or variety entered for certification. Noxious weeds are permitted in the field and seed thereof are permitted in seed to be certified, within the limitations specified in §109, unless a specific limitation on noxious weeds is contained in the specific requirements for the crop or variety entered for certification. (See §§701-811 for specific requirements.) </w:t>
      </w:r>
    </w:p>
    <w:p w14:paraId="644B9D9B" w14:textId="77777777" w:rsidR="00CD0355" w:rsidRPr="00D55B14" w:rsidRDefault="00CD0355" w:rsidP="00CD0355">
      <w:pPr>
        <w:pStyle w:val="A"/>
      </w:pPr>
      <w:r w:rsidRPr="00D55B14">
        <w:t>I.</w:t>
      </w:r>
      <w:r w:rsidRPr="00D55B14">
        <w:tab/>
        <w:t>One or more field inspections will be made to determine genetic identity and purity. The crop or variety to be certified must be standing, reasonably free of weeds and of relatively uniform maturity at the time of field inspection(s). A copy of the field inspection report will be furnished to the grower.</w:t>
      </w:r>
    </w:p>
    <w:p w14:paraId="43EA3CEB" w14:textId="77777777" w:rsidR="00CD0355" w:rsidRPr="00D55B14" w:rsidRDefault="00CD0355" w:rsidP="00CD0355">
      <w:pPr>
        <w:pStyle w:val="A"/>
      </w:pPr>
      <w:r w:rsidRPr="00D55B14">
        <w:t>J.</w:t>
      </w:r>
      <w:r w:rsidRPr="00D55B14">
        <w:tab/>
        <w:t>All planting, harvesting, bin storage and cleaning equipment must be free of contamination by other seeds, insects, or plant diseases.</w:t>
      </w:r>
    </w:p>
    <w:p w14:paraId="0C2FD5A5" w14:textId="77777777" w:rsidR="00CD0355" w:rsidRPr="00D55B14" w:rsidRDefault="00CD0355" w:rsidP="00CD0355">
      <w:pPr>
        <w:pStyle w:val="A"/>
      </w:pPr>
      <w:r w:rsidRPr="00D55B14">
        <w:t>K.</w:t>
      </w:r>
      <w:r w:rsidRPr="00D55B14">
        <w:tab/>
        <w:t>Storage facilities must be:</w:t>
      </w:r>
    </w:p>
    <w:p w14:paraId="2223DF5A" w14:textId="77777777" w:rsidR="00CD0355" w:rsidRPr="00D55B14" w:rsidRDefault="00CD0355" w:rsidP="00CD0355">
      <w:pPr>
        <w:pStyle w:val="1"/>
      </w:pPr>
      <w:r w:rsidRPr="00D55B14">
        <w:t>1.</w:t>
      </w:r>
      <w:r w:rsidRPr="00D55B14">
        <w:tab/>
        <w:t>suitable for maintaining germination and varietal purity;</w:t>
      </w:r>
    </w:p>
    <w:p w14:paraId="553C5350" w14:textId="77777777" w:rsidR="00CD0355" w:rsidRPr="00D55B14" w:rsidRDefault="00CD0355" w:rsidP="00CD0355">
      <w:pPr>
        <w:pStyle w:val="1"/>
      </w:pPr>
      <w:r w:rsidRPr="00D55B14">
        <w:t>2.</w:t>
      </w:r>
      <w:r w:rsidRPr="00D55B14">
        <w:tab/>
        <w:t>constructed so that a representative sample can be drawn; and</w:t>
      </w:r>
    </w:p>
    <w:p w14:paraId="0655192E" w14:textId="77777777" w:rsidR="00CD0355" w:rsidRPr="00D55B14" w:rsidRDefault="00CD0355" w:rsidP="00CD0355">
      <w:pPr>
        <w:pStyle w:val="1"/>
      </w:pPr>
      <w:r w:rsidRPr="00D55B14">
        <w:t>3.</w:t>
      </w:r>
      <w:r w:rsidRPr="00D55B14">
        <w:tab/>
        <w:t>all such facilities are subject to approval by LDAF.</w:t>
      </w:r>
    </w:p>
    <w:p w14:paraId="09B3A985" w14:textId="77777777" w:rsidR="00CD0355" w:rsidRPr="00D55B14" w:rsidRDefault="00CD0355" w:rsidP="00CD0355">
      <w:pPr>
        <w:pStyle w:val="A"/>
      </w:pPr>
      <w:r w:rsidRPr="00D55B14">
        <w:t>L.</w:t>
      </w:r>
      <w:r w:rsidRPr="00D55B14">
        <w:tab/>
        <w:t>The grower must maintain complete records accounting for all production and final disposition of all certified seeds.</w:t>
      </w:r>
    </w:p>
    <w:p w14:paraId="4C7B0272" w14:textId="77777777" w:rsidR="00CD0355" w:rsidRPr="001531CD" w:rsidRDefault="00CD0355" w:rsidP="00CD0355">
      <w:pPr>
        <w:pStyle w:val="AuthorityNote"/>
      </w:pPr>
      <w:r w:rsidRPr="00D55B14">
        <w:t>AUTHORITY NOTE:</w:t>
      </w:r>
      <w:r w:rsidRPr="00D55B14">
        <w:tab/>
        <w:t>Promulgated in accordance with R.S. 3:1433.</w:t>
      </w:r>
    </w:p>
    <w:p w14:paraId="2619B2EC" w14:textId="77777777" w:rsidR="00CD0355" w:rsidRPr="001531CD" w:rsidRDefault="00CD0355" w:rsidP="00CD0355">
      <w:pPr>
        <w:pStyle w:val="HistoricalNote"/>
      </w:pPr>
      <w:r w:rsidRPr="001531CD">
        <w:t>HISTORICAL NOTE:</w:t>
      </w:r>
      <w:r w:rsidRPr="001531CD">
        <w:tab/>
        <w:t>Promulgated by the Department of Agriculture, Seed Commission, LR 8:565 (November 1982), amended LR 9:197 (April 1983), amended by the Department of Agriculture and Forestry, Office of Agricultural and Environmental Sciences, Seed Commission, LR 12:825 (December 1986), LR 20:642 (June 1994), LR 20:1257 (November 1994), repromulgated by the Department of Agriculture and Forestry, Office of Agricultural and Environmental Sciences, Agricultural Chemistry and Seed Commis</w:t>
      </w:r>
      <w:r>
        <w:t>sion, LR 39:2710 (October 2013), amended LR 40:748 (April 2014).</w:t>
      </w:r>
    </w:p>
    <w:p w14:paraId="42F1C39A" w14:textId="77777777" w:rsidR="00CD0355" w:rsidRPr="001531CD" w:rsidRDefault="00CD0355" w:rsidP="00CD0355">
      <w:pPr>
        <w:pStyle w:val="Section"/>
      </w:pPr>
      <w:bookmarkStart w:id="1113" w:name="_Toc224818783"/>
      <w:r w:rsidRPr="001531CD">
        <w:t>§507.</w:t>
      </w:r>
      <w:r w:rsidRPr="001531CD">
        <w:tab/>
        <w:t>Application for Field Certification</w:t>
      </w:r>
      <w:bookmarkEnd w:id="1113"/>
      <w:r w:rsidRPr="001531CD">
        <w:t xml:space="preserve"> </w:t>
      </w:r>
    </w:p>
    <w:p w14:paraId="4FE9C9CE" w14:textId="77777777" w:rsidR="00CD0355" w:rsidRPr="001531CD" w:rsidRDefault="00CD0355" w:rsidP="00CD0355">
      <w:pPr>
        <w:pStyle w:val="A"/>
      </w:pPr>
      <w:r w:rsidRPr="00D55B14">
        <w:t>A.</w:t>
      </w:r>
      <w:r w:rsidRPr="00D55B14">
        <w:tab/>
        <w:t>The grower must apply for certification on or before the application deadline shown in §509 for seed stock to be certified by LDAF. The grower must submit a completed application on the form provided by LDAF.</w:t>
      </w:r>
      <w:r w:rsidRPr="001531CD">
        <w:t xml:space="preserve"> </w:t>
      </w:r>
    </w:p>
    <w:p w14:paraId="56EFBC07" w14:textId="77777777" w:rsidR="00CD0355" w:rsidRPr="001531CD" w:rsidRDefault="00CD0355" w:rsidP="00CD0355">
      <w:pPr>
        <w:pStyle w:val="A"/>
      </w:pPr>
      <w:r w:rsidRPr="001531CD">
        <w:t>B.</w:t>
      </w:r>
      <w:r w:rsidRPr="001531CD">
        <w:tab/>
        <w:t>Applications for certification of seed stock for a crop or variety listed in §509 which are submitted after the deadline specified in §509 will not be approved unless field inspection(s) can be completed prior to harvest.</w:t>
      </w:r>
    </w:p>
    <w:p w14:paraId="460D2A5D" w14:textId="77777777" w:rsidR="00CD0355" w:rsidRPr="001531CD" w:rsidRDefault="00CD0355" w:rsidP="00CD0355">
      <w:pPr>
        <w:pStyle w:val="A"/>
      </w:pPr>
      <w:r w:rsidRPr="001531CD">
        <w:t>C.</w:t>
      </w:r>
      <w:r w:rsidRPr="001531CD">
        <w:tab/>
        <w:t>Information to accompany application:</w:t>
      </w:r>
    </w:p>
    <w:p w14:paraId="021F191E" w14:textId="77777777" w:rsidR="00CD0355" w:rsidRPr="001531CD" w:rsidRDefault="00CD0355" w:rsidP="00CD0355">
      <w:pPr>
        <w:pStyle w:val="1"/>
      </w:pPr>
      <w:r w:rsidRPr="001531CD">
        <w:t>1.</w:t>
      </w:r>
      <w:r w:rsidRPr="001531CD">
        <w:tab/>
        <w:t>name of variety;</w:t>
      </w:r>
    </w:p>
    <w:p w14:paraId="7E133384" w14:textId="77777777" w:rsidR="00CD0355" w:rsidRPr="001531CD" w:rsidRDefault="00CD0355" w:rsidP="00CD0355">
      <w:pPr>
        <w:pStyle w:val="1"/>
      </w:pPr>
      <w:r w:rsidRPr="001531CD">
        <w:t>2.</w:t>
      </w:r>
      <w:r w:rsidRPr="001531CD">
        <w:tab/>
        <w:t>GPS coordinates at or about the center point of each field presented for certification;</w:t>
      </w:r>
    </w:p>
    <w:p w14:paraId="41AC41D2" w14:textId="77777777" w:rsidR="00CD0355" w:rsidRPr="001531CD" w:rsidRDefault="00CD0355" w:rsidP="00CD0355">
      <w:pPr>
        <w:pStyle w:val="1"/>
      </w:pPr>
      <w:r w:rsidRPr="001531CD">
        <w:t>3.</w:t>
      </w:r>
      <w:r w:rsidRPr="001531CD">
        <w:tab/>
        <w:t>copy of the purchase invoice, or statement showing class of seed purchased;</w:t>
      </w:r>
    </w:p>
    <w:p w14:paraId="0865F13B" w14:textId="77777777" w:rsidR="00CD0355" w:rsidRPr="001531CD" w:rsidRDefault="00CD0355" w:rsidP="00CD0355">
      <w:pPr>
        <w:pStyle w:val="1"/>
      </w:pPr>
      <w:r w:rsidRPr="00D55B14">
        <w:t>4.</w:t>
      </w:r>
      <w:r w:rsidRPr="00D55B14">
        <w:tab/>
        <w:t>one sample tag from each lot number (If the grower plants seed of his own production, the class of seed and lot number shall be identified by documentation acceptable to LDAF); and</w:t>
      </w:r>
    </w:p>
    <w:p w14:paraId="49E4130A" w14:textId="77777777" w:rsidR="00CD0355" w:rsidRPr="001531CD" w:rsidRDefault="00CD0355" w:rsidP="00CD0355">
      <w:pPr>
        <w:pStyle w:val="1"/>
      </w:pPr>
      <w:r w:rsidRPr="001531CD">
        <w:t>5.</w:t>
      </w:r>
      <w:r w:rsidRPr="001531CD">
        <w:tab/>
        <w:t>a map of each field presented for certification.</w:t>
      </w:r>
    </w:p>
    <w:p w14:paraId="4DBB3FB9" w14:textId="77777777" w:rsidR="00CD0355" w:rsidRPr="00D55B14" w:rsidRDefault="00CD0355" w:rsidP="00CD0355">
      <w:pPr>
        <w:pStyle w:val="A"/>
      </w:pPr>
      <w:r w:rsidRPr="00D55B14">
        <w:t>D.</w:t>
      </w:r>
      <w:r w:rsidRPr="00D55B14">
        <w:tab/>
        <w:t>It is the duty of the grower to notify LDAF at least two weeks prior to harvest of the anticipated harvest date for each fie</w:t>
      </w:r>
      <w:r>
        <w:t>ld presented for certification.</w:t>
      </w:r>
    </w:p>
    <w:p w14:paraId="238874ED" w14:textId="77777777" w:rsidR="00CD0355" w:rsidRPr="001531CD" w:rsidRDefault="00CD0355" w:rsidP="00CD0355">
      <w:pPr>
        <w:pStyle w:val="AuthorityNote"/>
      </w:pPr>
      <w:r w:rsidRPr="00D55B14">
        <w:t>AUTHORITY NOTE:</w:t>
      </w:r>
      <w:r w:rsidRPr="00D55B14">
        <w:tab/>
        <w:t>Promulgated in accordance with R.S. 3:1433 and R.S. 3:1434.</w:t>
      </w:r>
    </w:p>
    <w:p w14:paraId="44FA5DF9" w14:textId="77777777" w:rsidR="00CD0355" w:rsidRPr="001531CD" w:rsidRDefault="00CD0355" w:rsidP="00CD0355">
      <w:pPr>
        <w:pStyle w:val="HistoricalNote"/>
      </w:pPr>
      <w:r w:rsidRPr="001531CD">
        <w:t>HISTORICAL NOTE: Promulgated by the Department of Agriculture, Seed Commission, LR 8:565 (November 1982), amended by the Department of Agriculture and Forestry, Office of Agricultural and Environmental Sciences, Seed Commission, LR 12:825 (December 1986), LR 34:863 (May 2008), repromulgated by the Department of Agriculture and Forestry, Office of Agricultural and Environmental Sciences, Agricultural Chemistry and Seed Commis</w:t>
      </w:r>
      <w:r>
        <w:t>sion, LR 39:2711 (October 2013), amended LR 40:749 (April 2014).</w:t>
      </w:r>
    </w:p>
    <w:p w14:paraId="53F3E3EF" w14:textId="77777777" w:rsidR="00CD0355" w:rsidRPr="001531CD" w:rsidRDefault="00CD0355" w:rsidP="00CD0355">
      <w:pPr>
        <w:pStyle w:val="Section"/>
      </w:pPr>
      <w:bookmarkStart w:id="1114" w:name="_Toc224818784"/>
      <w:r w:rsidRPr="001531CD">
        <w:t>§509.</w:t>
      </w:r>
      <w:r w:rsidRPr="001531CD">
        <w:tab/>
        <w:t>Application Deadlines</w:t>
      </w:r>
      <w:bookmarkEnd w:id="1114"/>
      <w:r w:rsidRPr="001531CD">
        <w:t xml:space="preserve"> </w:t>
      </w:r>
    </w:p>
    <w:p w14:paraId="4E7C36CB" w14:textId="77777777" w:rsidR="00CD0355" w:rsidRPr="001531CD" w:rsidRDefault="00CD0355" w:rsidP="00CD0355">
      <w:pPr>
        <w:pStyle w:val="A"/>
      </w:pPr>
      <w:r w:rsidRPr="001531CD">
        <w:t>A.</w:t>
      </w:r>
      <w:r w:rsidRPr="001531CD">
        <w:tab/>
        <w:t>Onion bulbs and seed, and shallots—March 1.</w:t>
      </w:r>
    </w:p>
    <w:p w14:paraId="0E4EE3F7" w14:textId="77777777" w:rsidR="00CD0355" w:rsidRPr="001531CD" w:rsidRDefault="00CD0355" w:rsidP="00CD0355">
      <w:pPr>
        <w:pStyle w:val="A"/>
      </w:pPr>
      <w:r w:rsidRPr="001531CD">
        <w:t>B.</w:t>
      </w:r>
      <w:r w:rsidRPr="001531CD">
        <w:tab/>
        <w:t>Tissue Culture Sugarcane—April 1.</w:t>
      </w:r>
    </w:p>
    <w:p w14:paraId="038C2285" w14:textId="77777777" w:rsidR="00CD0355" w:rsidRPr="001531CD" w:rsidRDefault="00CD0355" w:rsidP="00CD0355">
      <w:pPr>
        <w:pStyle w:val="A"/>
      </w:pPr>
      <w:r w:rsidRPr="001531CD">
        <w:t>C.</w:t>
      </w:r>
      <w:r w:rsidRPr="001531CD">
        <w:tab/>
        <w:t>Clover (crimson, red, white), rescue grass, harding grass, vetch, and Irish potatoes—April 1.</w:t>
      </w:r>
    </w:p>
    <w:p w14:paraId="32150D1A" w14:textId="77777777" w:rsidR="00CD0355" w:rsidRPr="001531CD" w:rsidRDefault="00CD0355" w:rsidP="00CD0355">
      <w:pPr>
        <w:pStyle w:val="A"/>
      </w:pPr>
      <w:r w:rsidRPr="001531CD">
        <w:t>D.</w:t>
      </w:r>
      <w:r w:rsidRPr="001531CD">
        <w:tab/>
        <w:t>Oats, wheat, ryegrass, singletary peas—April 15.</w:t>
      </w:r>
    </w:p>
    <w:p w14:paraId="6CA46E8B" w14:textId="77777777" w:rsidR="00CD0355" w:rsidRPr="001531CD" w:rsidRDefault="00CD0355" w:rsidP="00CD0355">
      <w:pPr>
        <w:pStyle w:val="A"/>
      </w:pPr>
      <w:r w:rsidRPr="001531CD">
        <w:t>E.</w:t>
      </w:r>
      <w:r w:rsidRPr="001531CD">
        <w:tab/>
        <w:t>Watermelon—May 1.</w:t>
      </w:r>
    </w:p>
    <w:p w14:paraId="7B31AB00" w14:textId="77777777" w:rsidR="00CD0355" w:rsidRPr="001531CD" w:rsidRDefault="00CD0355" w:rsidP="00CD0355">
      <w:pPr>
        <w:pStyle w:val="A"/>
      </w:pPr>
      <w:r w:rsidRPr="001531CD">
        <w:t>F.</w:t>
      </w:r>
      <w:r w:rsidRPr="001531CD">
        <w:tab/>
        <w:t>Sweet potatoes and sweet potato plants:</w:t>
      </w:r>
    </w:p>
    <w:p w14:paraId="3B7A1D68" w14:textId="77777777" w:rsidR="00CD0355" w:rsidRPr="001531CD" w:rsidRDefault="00CD0355" w:rsidP="00CD0355">
      <w:pPr>
        <w:pStyle w:val="1"/>
      </w:pPr>
      <w:r w:rsidRPr="001531CD">
        <w:t>1.</w:t>
      </w:r>
      <w:r w:rsidRPr="001531CD">
        <w:tab/>
        <w:t>greenhouse plantings (virus-tested)—45 days prior to planting;</w:t>
      </w:r>
    </w:p>
    <w:p w14:paraId="56C6E2BD" w14:textId="77777777" w:rsidR="00CD0355" w:rsidRPr="001531CD" w:rsidRDefault="00CD0355" w:rsidP="00CD0355">
      <w:pPr>
        <w:pStyle w:val="1"/>
      </w:pPr>
      <w:r w:rsidRPr="001531CD">
        <w:t>2.</w:t>
      </w:r>
      <w:r w:rsidRPr="001531CD">
        <w:tab/>
        <w:t>field plantings—June 1.</w:t>
      </w:r>
    </w:p>
    <w:p w14:paraId="26F56333" w14:textId="77777777" w:rsidR="00CD0355" w:rsidRPr="001531CD" w:rsidRDefault="00CD0355" w:rsidP="00CD0355">
      <w:pPr>
        <w:pStyle w:val="A"/>
      </w:pPr>
      <w:r w:rsidRPr="001531CD">
        <w:t>G.</w:t>
      </w:r>
      <w:r w:rsidRPr="001531CD">
        <w:tab/>
        <w:t>Okra—June 15.</w:t>
      </w:r>
    </w:p>
    <w:p w14:paraId="2EEB5CA4" w14:textId="77777777" w:rsidR="00CD0355" w:rsidRPr="001531CD" w:rsidRDefault="00CD0355" w:rsidP="00CD0355">
      <w:pPr>
        <w:pStyle w:val="A"/>
      </w:pPr>
      <w:r w:rsidRPr="001531CD">
        <w:t>H.</w:t>
      </w:r>
      <w:r w:rsidRPr="001531CD">
        <w:tab/>
        <w:t>Rice—July 1.</w:t>
      </w:r>
    </w:p>
    <w:p w14:paraId="164DD380" w14:textId="77777777" w:rsidR="00CD0355" w:rsidRPr="001531CD" w:rsidRDefault="00CD0355" w:rsidP="00CD0355">
      <w:pPr>
        <w:pStyle w:val="A"/>
      </w:pPr>
      <w:r w:rsidRPr="001531CD">
        <w:t>I.</w:t>
      </w:r>
      <w:r w:rsidRPr="001531CD">
        <w:tab/>
        <w:t xml:space="preserve">Cotton, millet, sesame, sunflower, tree—July 15. </w:t>
      </w:r>
    </w:p>
    <w:p w14:paraId="42B799C3" w14:textId="77777777" w:rsidR="00CD0355" w:rsidRPr="001531CD" w:rsidRDefault="00CD0355" w:rsidP="00CD0355">
      <w:pPr>
        <w:pStyle w:val="A"/>
      </w:pPr>
      <w:r w:rsidRPr="001531CD">
        <w:t>J.</w:t>
      </w:r>
      <w:r w:rsidRPr="001531CD">
        <w:tab/>
        <w:t>Tomatoes (Spring)—June 1, (Fall)—July 15.</w:t>
      </w:r>
    </w:p>
    <w:p w14:paraId="18929387" w14:textId="77777777" w:rsidR="00CD0355" w:rsidRPr="001531CD" w:rsidRDefault="00CD0355" w:rsidP="00CD0355">
      <w:pPr>
        <w:pStyle w:val="A"/>
      </w:pPr>
      <w:r w:rsidRPr="001531CD">
        <w:t>K.</w:t>
      </w:r>
      <w:r w:rsidRPr="001531CD">
        <w:tab/>
        <w:t xml:space="preserve"> Soybeans—August 1.</w:t>
      </w:r>
    </w:p>
    <w:p w14:paraId="4A3252AC" w14:textId="77777777" w:rsidR="00CD0355" w:rsidRPr="001531CD" w:rsidRDefault="00CD0355" w:rsidP="00CD0355">
      <w:pPr>
        <w:pStyle w:val="A"/>
      </w:pPr>
      <w:r w:rsidRPr="001531CD">
        <w:t>L.</w:t>
      </w:r>
      <w:r w:rsidRPr="001531CD">
        <w:tab/>
        <w:t>Corn—a minimum of 30 days prior to pollination.</w:t>
      </w:r>
    </w:p>
    <w:p w14:paraId="079A65E8" w14:textId="77777777" w:rsidR="00CD0355" w:rsidRPr="001531CD" w:rsidRDefault="00CD0355" w:rsidP="00CD0355">
      <w:pPr>
        <w:pStyle w:val="A"/>
      </w:pPr>
      <w:r w:rsidRPr="001531CD">
        <w:t>M.</w:t>
      </w:r>
      <w:r w:rsidRPr="001531CD">
        <w:tab/>
        <w:t>Cowpeas—a minimum of 30 days prior to harvest.</w:t>
      </w:r>
    </w:p>
    <w:p w14:paraId="49442B74" w14:textId="77777777" w:rsidR="00CD0355" w:rsidRPr="001531CD" w:rsidRDefault="00CD0355" w:rsidP="00CD0355">
      <w:pPr>
        <w:pStyle w:val="A"/>
      </w:pPr>
      <w:r w:rsidRPr="001531CD">
        <w:t>N.</w:t>
      </w:r>
      <w:r w:rsidRPr="001531CD">
        <w:tab/>
        <w:t>Grasses:</w:t>
      </w:r>
    </w:p>
    <w:p w14:paraId="5743E77E" w14:textId="77777777" w:rsidR="00CD0355" w:rsidRPr="001531CD" w:rsidRDefault="00CD0355" w:rsidP="00CD0355">
      <w:pPr>
        <w:pStyle w:val="1"/>
      </w:pPr>
      <w:r w:rsidRPr="001531CD">
        <w:t>1.</w:t>
      </w:r>
      <w:r w:rsidRPr="001531CD">
        <w:tab/>
        <w:t>Bermuda grasses:</w:t>
      </w:r>
    </w:p>
    <w:p w14:paraId="6314AB42" w14:textId="77777777" w:rsidR="00CD0355" w:rsidRPr="001531CD" w:rsidRDefault="00CD0355" w:rsidP="00CD0355">
      <w:pPr>
        <w:pStyle w:val="a0"/>
      </w:pPr>
      <w:r w:rsidRPr="001531CD">
        <w:lastRenderedPageBreak/>
        <w:t>a.</w:t>
      </w:r>
      <w:r w:rsidRPr="001531CD">
        <w:tab/>
        <w:t>new plantings—minimum of 30 days prior to harvest;</w:t>
      </w:r>
    </w:p>
    <w:p w14:paraId="2AFADEB1" w14:textId="77777777" w:rsidR="00CD0355" w:rsidRPr="001531CD" w:rsidRDefault="00CD0355" w:rsidP="00CD0355">
      <w:pPr>
        <w:pStyle w:val="a0"/>
      </w:pPr>
      <w:r w:rsidRPr="001531CD">
        <w:t>b.</w:t>
      </w:r>
      <w:r w:rsidRPr="001531CD">
        <w:tab/>
        <w:t>established stands (fields certified the previous year)—June 1. Renewal application must be submitted;</w:t>
      </w:r>
    </w:p>
    <w:p w14:paraId="753DEC5D" w14:textId="77777777" w:rsidR="00CD0355" w:rsidRPr="001531CD" w:rsidRDefault="00CD0355" w:rsidP="00CD0355">
      <w:pPr>
        <w:pStyle w:val="1"/>
      </w:pPr>
      <w:r w:rsidRPr="001531CD">
        <w:t>2.</w:t>
      </w:r>
      <w:r w:rsidRPr="001531CD">
        <w:tab/>
        <w:t>turf and pasture grass:</w:t>
      </w:r>
    </w:p>
    <w:p w14:paraId="63A1913C" w14:textId="77777777" w:rsidR="00CD0355" w:rsidRPr="001531CD" w:rsidRDefault="00CD0355" w:rsidP="00CD0355">
      <w:pPr>
        <w:pStyle w:val="a0"/>
      </w:pPr>
      <w:r w:rsidRPr="001531CD">
        <w:t>a.</w:t>
      </w:r>
      <w:r w:rsidRPr="001531CD">
        <w:tab/>
        <w:t>new plantings—at least 15 days prior to land preparation for planting;</w:t>
      </w:r>
    </w:p>
    <w:p w14:paraId="484DA8E7" w14:textId="77777777" w:rsidR="00CD0355" w:rsidRPr="001531CD" w:rsidRDefault="00CD0355" w:rsidP="00CD0355">
      <w:pPr>
        <w:pStyle w:val="a0"/>
      </w:pPr>
      <w:r w:rsidRPr="001531CD">
        <w:t>b.</w:t>
      </w:r>
      <w:r w:rsidRPr="001531CD">
        <w:tab/>
        <w:t>established stands (fields certified the previous year)—June 1. Renewal application must be submitted.</w:t>
      </w:r>
    </w:p>
    <w:p w14:paraId="6655744A" w14:textId="77777777" w:rsidR="00CD0355" w:rsidRPr="001531CD" w:rsidRDefault="00CD0355" w:rsidP="00CD0355">
      <w:pPr>
        <w:pStyle w:val="A"/>
      </w:pPr>
      <w:r w:rsidRPr="001531CD">
        <w:t>O.</w:t>
      </w:r>
      <w:r w:rsidRPr="001531CD">
        <w:tab/>
        <w:t>Clonally propagated plant species, except for plant species for which a deadline is specifically provided in this Section:</w:t>
      </w:r>
    </w:p>
    <w:p w14:paraId="775B3AEF" w14:textId="77777777" w:rsidR="00CD0355" w:rsidRPr="001531CD" w:rsidRDefault="00CD0355" w:rsidP="00CD0355">
      <w:pPr>
        <w:pStyle w:val="1"/>
      </w:pPr>
      <w:r w:rsidRPr="001531CD">
        <w:t>1.</w:t>
      </w:r>
      <w:r w:rsidRPr="001531CD">
        <w:tab/>
        <w:t>new plantings-submit application at least 15 days prior to land preparation for planting;</w:t>
      </w:r>
    </w:p>
    <w:p w14:paraId="01F0CCED" w14:textId="77777777" w:rsidR="00CD0355" w:rsidRPr="001531CD" w:rsidRDefault="00CD0355" w:rsidP="00CD0355">
      <w:pPr>
        <w:pStyle w:val="1"/>
      </w:pPr>
      <w:r w:rsidRPr="001531CD">
        <w:t>2.</w:t>
      </w:r>
      <w:r w:rsidRPr="001531CD">
        <w:tab/>
        <w:t>established stands (fields certified the previous year)- submit renewal application by April 15.</w:t>
      </w:r>
    </w:p>
    <w:p w14:paraId="0DF25B5F" w14:textId="77777777" w:rsidR="00CD0355" w:rsidRPr="001531CD" w:rsidRDefault="00CD0355" w:rsidP="00CD0355">
      <w:pPr>
        <w:pStyle w:val="AuthorityNote"/>
      </w:pPr>
      <w:r w:rsidRPr="001531CD">
        <w:t>AUTHORITY NOTE:</w:t>
      </w:r>
      <w:r w:rsidRPr="001531CD">
        <w:tab/>
        <w:t>Promulgated in accordance with R.S. 3:1433.</w:t>
      </w:r>
    </w:p>
    <w:p w14:paraId="25A7F2A1" w14:textId="77777777" w:rsidR="00CD0355" w:rsidRPr="001531CD" w:rsidRDefault="00CD0355" w:rsidP="00CD0355">
      <w:pPr>
        <w:pStyle w:val="HistoricalNote"/>
      </w:pPr>
      <w:r w:rsidRPr="001531CD">
        <w:t>HISTORICAL NOTE:</w:t>
      </w:r>
      <w:r w:rsidRPr="001531CD">
        <w:tab/>
        <w:t>Promulgated by the Department of Agriculture, Seed Commission, LR 8:565 (November 1982), amended LR 9:195 (April 1983), amended by the Department of Agriculture and Forestry, Seed Commission, LR 12:825 (December 1986), LR 13:155 (March 1987), LR 13:232 (April 1987), LR 14:603 (September 1988), LR 23:1283 (October 1997), LR 25:1617 (September 1999), LR 34:863 (May 2008), LR 37:2979 (October 2011), repromulgated by the Department of Agriculture and Forestry, Office of Agricultural and Environmental Sciences, Agricultural Chemistry and Seed Commission, LR 39:2711 (October 2013).</w:t>
      </w:r>
    </w:p>
    <w:p w14:paraId="3713CDED" w14:textId="77777777" w:rsidR="00CD0355" w:rsidRPr="001531CD" w:rsidRDefault="00CD0355" w:rsidP="00CD0355">
      <w:pPr>
        <w:pStyle w:val="Section"/>
      </w:pPr>
      <w:bookmarkStart w:id="1115" w:name="_Toc224818785"/>
      <w:r w:rsidRPr="001531CD">
        <w:t>§511.</w:t>
      </w:r>
      <w:r w:rsidRPr="001531CD">
        <w:tab/>
        <w:t>Limitations on Generations</w:t>
      </w:r>
      <w:bookmarkEnd w:id="1115"/>
      <w:r w:rsidRPr="001531CD">
        <w:t xml:space="preserve"> </w:t>
      </w:r>
    </w:p>
    <w:p w14:paraId="0DCFC2DC" w14:textId="77777777" w:rsidR="00CD0355" w:rsidRPr="001531CD" w:rsidRDefault="00CD0355" w:rsidP="00CD0355">
      <w:pPr>
        <w:pStyle w:val="A"/>
      </w:pPr>
      <w:r w:rsidRPr="001531CD">
        <w:t>A.</w:t>
      </w:r>
      <w:r w:rsidRPr="001531CD">
        <w:tab/>
        <w:t>The originator of the variety may specify the number of generations through which a variety may be multiplied.</w:t>
      </w:r>
    </w:p>
    <w:p w14:paraId="76732984" w14:textId="77777777" w:rsidR="00CD0355" w:rsidRPr="001531CD" w:rsidRDefault="00CD0355" w:rsidP="00CD0355">
      <w:pPr>
        <w:pStyle w:val="A"/>
      </w:pPr>
      <w:r w:rsidRPr="001531CD">
        <w:t>B.</w:t>
      </w:r>
      <w:r w:rsidRPr="001531CD">
        <w:tab/>
        <w:t>No variety may be multiplied more than two generations beyond the foundation class, except as follows:</w:t>
      </w:r>
    </w:p>
    <w:p w14:paraId="3B0CA49D" w14:textId="77777777" w:rsidR="00CD0355" w:rsidRPr="001531CD" w:rsidRDefault="00CD0355" w:rsidP="00CD0355">
      <w:pPr>
        <w:pStyle w:val="1"/>
      </w:pPr>
      <w:r w:rsidRPr="001531CD">
        <w:t>1.</w:t>
      </w:r>
      <w:r w:rsidRPr="001531CD">
        <w:tab/>
        <w:t>older varieties of certified seed may be recertified when foundation seed is not being maintained;</w:t>
      </w:r>
    </w:p>
    <w:p w14:paraId="6F13F805" w14:textId="77777777" w:rsidR="00CD0355" w:rsidRPr="00D55B14" w:rsidRDefault="00CD0355" w:rsidP="00CD0355">
      <w:pPr>
        <w:pStyle w:val="1"/>
      </w:pPr>
      <w:r w:rsidRPr="00D55B14">
        <w:t>2.</w:t>
      </w:r>
      <w:r w:rsidRPr="00D55B14">
        <w:tab/>
        <w:t>one additional generation of certified seed may be permitted on a one-year basis when, prior to planting season, the Commission declares that there are insufficient supplies of foundation and registered seed to plant the needed acreage of the certified variety. Permission of the variety's originator, if existent, must be obtained. In this situation, the additional generation will not be eligible for recertification.</w:t>
      </w:r>
    </w:p>
    <w:p w14:paraId="6C1EC19D" w14:textId="77777777" w:rsidR="00CD0355" w:rsidRPr="001531CD" w:rsidRDefault="00CD0355" w:rsidP="00CD0355">
      <w:pPr>
        <w:pStyle w:val="AuthorityNote"/>
      </w:pPr>
      <w:r w:rsidRPr="00D55B14">
        <w:t>AUTHORITY NOTE:</w:t>
      </w:r>
      <w:r w:rsidRPr="00D55B14">
        <w:tab/>
        <w:t>Promulgated in accordance with R.S. 3:1433.</w:t>
      </w:r>
    </w:p>
    <w:p w14:paraId="72F69027" w14:textId="77777777" w:rsidR="00CD0355" w:rsidRPr="001531CD" w:rsidRDefault="00CD0355" w:rsidP="00CD0355">
      <w:pPr>
        <w:pStyle w:val="HistoricalNote"/>
      </w:pPr>
      <w:r w:rsidRPr="001531CD">
        <w:t>HISTORICAL NOTE:</w:t>
      </w:r>
      <w:r w:rsidRPr="001531CD">
        <w:tab/>
        <w:t>Promulgated by the Department of Agriculture, Seed Commission, LR 8:565 (November 1982),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39:2712 (October 2013), amended LR 40:749 (April 2014).</w:t>
      </w:r>
    </w:p>
    <w:p w14:paraId="78052C90" w14:textId="77777777" w:rsidR="00CD0355" w:rsidRPr="001531CD" w:rsidRDefault="00CD0355" w:rsidP="00CD0355">
      <w:pPr>
        <w:pStyle w:val="Section"/>
      </w:pPr>
      <w:bookmarkStart w:id="1116" w:name="_Toc224818786"/>
      <w:r w:rsidRPr="001531CD">
        <w:t>§513.</w:t>
      </w:r>
      <w:r w:rsidRPr="001531CD">
        <w:tab/>
        <w:t>Lot of Seed</w:t>
      </w:r>
      <w:bookmarkEnd w:id="1116"/>
      <w:r w:rsidRPr="001531CD">
        <w:t xml:space="preserve"> </w:t>
      </w:r>
    </w:p>
    <w:p w14:paraId="798B8F03" w14:textId="77777777" w:rsidR="00CD0355" w:rsidRPr="001531CD" w:rsidRDefault="00CD0355" w:rsidP="00CD0355">
      <w:pPr>
        <w:pStyle w:val="A"/>
      </w:pPr>
      <w:r w:rsidRPr="001531CD">
        <w:t>A.</w:t>
      </w:r>
      <w:r w:rsidRPr="001531CD">
        <w:tab/>
        <w:t>The applicant shall assign a specific, unique number or other mark when the seed is conditioned and bagged.</w:t>
      </w:r>
    </w:p>
    <w:p w14:paraId="79FA6C49" w14:textId="77777777" w:rsidR="00CD0355" w:rsidRPr="001531CD" w:rsidRDefault="00CD0355" w:rsidP="00CD0355">
      <w:pPr>
        <w:pStyle w:val="A"/>
      </w:pPr>
      <w:r w:rsidRPr="001531CD">
        <w:t>B.</w:t>
      </w:r>
      <w:r w:rsidRPr="001531CD">
        <w:tab/>
        <w:t>Each container in a given lot of seed shall be marked with the number or other mark assigned to that lot.</w:t>
      </w:r>
    </w:p>
    <w:p w14:paraId="171912A6" w14:textId="77777777" w:rsidR="00CD0355" w:rsidRPr="001531CD" w:rsidRDefault="00CD0355" w:rsidP="00CD0355">
      <w:pPr>
        <w:pStyle w:val="A"/>
      </w:pPr>
      <w:r w:rsidRPr="001531CD">
        <w:t>C.</w:t>
      </w:r>
      <w:r w:rsidRPr="001531CD">
        <w:tab/>
        <w:t>Seed lots may be blended if the variety and class are the same.</w:t>
      </w:r>
    </w:p>
    <w:p w14:paraId="37ED33F6" w14:textId="77777777" w:rsidR="00CD0355" w:rsidRPr="00D55B14" w:rsidRDefault="00CD0355" w:rsidP="00CD0355">
      <w:pPr>
        <w:pStyle w:val="A"/>
      </w:pPr>
      <w:r w:rsidRPr="00D55B14">
        <w:t>D.</w:t>
      </w:r>
      <w:r w:rsidRPr="00D55B14">
        <w:tab/>
        <w:t>All seed must be bagged in new bags, unless other types of containers are approved by LDAF prior to bagging.</w:t>
      </w:r>
    </w:p>
    <w:p w14:paraId="21EF2D0D" w14:textId="77777777" w:rsidR="00CD0355" w:rsidRPr="001531CD" w:rsidRDefault="00CD0355" w:rsidP="00CD0355">
      <w:pPr>
        <w:pStyle w:val="AuthorityNote"/>
      </w:pPr>
      <w:r w:rsidRPr="00D55B14">
        <w:t>AUTHORITY NOTE:</w:t>
      </w:r>
      <w:r w:rsidRPr="00D55B14">
        <w:tab/>
        <w:t>Promulgated in accordance with R.S. 3:1431 and R.S. 3:1433.</w:t>
      </w:r>
    </w:p>
    <w:p w14:paraId="6FA0068A" w14:textId="77777777" w:rsidR="00CD0355" w:rsidRPr="001531CD" w:rsidRDefault="00CD0355" w:rsidP="00CD0355">
      <w:pPr>
        <w:pStyle w:val="HistoricalNote"/>
      </w:pPr>
      <w:r w:rsidRPr="001531CD">
        <w:t>HISTORICAL NOTE:</w:t>
      </w:r>
      <w:r w:rsidRPr="001531CD">
        <w:tab/>
        <w:t>Promulgated by the Department of Agriculture, Seed Commission, LR 8:565 (November 1982), amended LR 9:195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39:2712 (October 2013), amended LR 40:749 (April 2014).</w:t>
      </w:r>
    </w:p>
    <w:p w14:paraId="6927CC86" w14:textId="77777777" w:rsidR="00CD0355" w:rsidRPr="001531CD" w:rsidRDefault="00CD0355" w:rsidP="00CD0355">
      <w:pPr>
        <w:pStyle w:val="Section"/>
      </w:pPr>
      <w:bookmarkStart w:id="1117" w:name="_Toc224818787"/>
      <w:r w:rsidRPr="001531CD">
        <w:t>§515.</w:t>
      </w:r>
      <w:r w:rsidRPr="001531CD">
        <w:tab/>
        <w:t>Seed Sampling</w:t>
      </w:r>
      <w:bookmarkEnd w:id="1117"/>
      <w:r w:rsidRPr="001531CD">
        <w:t xml:space="preserve"> </w:t>
      </w:r>
    </w:p>
    <w:p w14:paraId="36DE1C34" w14:textId="77777777" w:rsidR="00CD0355" w:rsidRPr="001531CD" w:rsidRDefault="00CD0355" w:rsidP="00CD0355">
      <w:pPr>
        <w:pStyle w:val="A"/>
      </w:pPr>
      <w:r w:rsidRPr="001531CD">
        <w:t>A.</w:t>
      </w:r>
      <w:r w:rsidRPr="001531CD">
        <w:tab/>
        <w:t>Seed sampling will be performed at the request of the grower.</w:t>
      </w:r>
    </w:p>
    <w:p w14:paraId="01ECC379" w14:textId="77777777" w:rsidR="00CD0355" w:rsidRPr="001531CD" w:rsidRDefault="00CD0355" w:rsidP="00CD0355">
      <w:pPr>
        <w:pStyle w:val="A"/>
      </w:pPr>
      <w:r w:rsidRPr="001531CD">
        <w:t>B.</w:t>
      </w:r>
      <w:r w:rsidRPr="001531CD">
        <w:tab/>
        <w:t>Except as provided by §515.D.2, official samples to determine eligibility for certification shall be drawn only after the seed is conditioned.</w:t>
      </w:r>
    </w:p>
    <w:p w14:paraId="73139E7E" w14:textId="77777777" w:rsidR="00CD0355" w:rsidRPr="001531CD" w:rsidRDefault="00CD0355" w:rsidP="00CD0355">
      <w:pPr>
        <w:pStyle w:val="A"/>
      </w:pPr>
      <w:r w:rsidRPr="001531CD">
        <w:t>C.</w:t>
      </w:r>
      <w:r w:rsidRPr="001531CD">
        <w:tab/>
        <w:t>Sampling of Bagged Seed</w:t>
      </w:r>
    </w:p>
    <w:p w14:paraId="52B4480D" w14:textId="77777777" w:rsidR="00CD0355" w:rsidRPr="001531CD" w:rsidRDefault="00CD0355" w:rsidP="00CD0355">
      <w:pPr>
        <w:pStyle w:val="1"/>
      </w:pPr>
      <w:r w:rsidRPr="001531CD">
        <w:t>1.</w:t>
      </w:r>
      <w:r w:rsidRPr="001531CD">
        <w:tab/>
        <w:t>Each lot of seed must be stacked so as to facilitate sampling.</w:t>
      </w:r>
    </w:p>
    <w:p w14:paraId="693D0A70" w14:textId="77777777" w:rsidR="00CD0355" w:rsidRPr="00D55B14" w:rsidRDefault="00CD0355" w:rsidP="00CD0355">
      <w:pPr>
        <w:pStyle w:val="1"/>
      </w:pPr>
      <w:r w:rsidRPr="00D55B14">
        <w:t>2.</w:t>
      </w:r>
      <w:r w:rsidRPr="00D55B14">
        <w:tab/>
        <w:t>A LDAF inspector will sample at random, by probing, a specific number of bags from each lot. The number of bags to be sampled from each lot is as follows: five bags, plus 10 percent of the total number, not to exceed 30 bags per lot. In lots containing six bags or less, every bag will be sampled.</w:t>
      </w:r>
    </w:p>
    <w:p w14:paraId="65C66438" w14:textId="77777777" w:rsidR="00CD0355" w:rsidRPr="00D55B14" w:rsidRDefault="00CD0355" w:rsidP="00CD0355">
      <w:pPr>
        <w:pStyle w:val="A"/>
      </w:pPr>
      <w:r w:rsidRPr="00D55B14">
        <w:t>D.</w:t>
      </w:r>
      <w:r w:rsidRPr="00D55B14">
        <w:tab/>
        <w:t>Sampling of Bulk Seed</w:t>
      </w:r>
    </w:p>
    <w:p w14:paraId="06FFAA04" w14:textId="77777777" w:rsidR="00CD0355" w:rsidRPr="00D55B14" w:rsidRDefault="00CD0355" w:rsidP="00CD0355">
      <w:pPr>
        <w:pStyle w:val="1"/>
      </w:pPr>
      <w:r>
        <w:t>1.</w:t>
      </w:r>
      <w:r>
        <w:tab/>
        <w:t>Cleaned Seed in Bulk</w:t>
      </w:r>
    </w:p>
    <w:p w14:paraId="1929FDA0" w14:textId="77777777" w:rsidR="00CD0355" w:rsidRPr="00D55B14" w:rsidRDefault="00CD0355" w:rsidP="00CD0355">
      <w:pPr>
        <w:pStyle w:val="a0"/>
      </w:pPr>
      <w:r w:rsidRPr="00D55B14">
        <w:t>a.</w:t>
      </w:r>
      <w:r w:rsidRPr="00D55B14">
        <w:tab/>
        <w:t xml:space="preserve">A LDAF inspector will collect a minimum of four samples, at intervals of 4 feet, by probing the entire depth of the bin or storage area. </w:t>
      </w:r>
    </w:p>
    <w:p w14:paraId="7AF39001" w14:textId="77777777" w:rsidR="00CD0355" w:rsidRPr="00D55B14" w:rsidRDefault="00CD0355" w:rsidP="00CD0355">
      <w:pPr>
        <w:pStyle w:val="a0"/>
      </w:pPr>
      <w:r w:rsidRPr="00D55B14">
        <w:t>b.</w:t>
      </w:r>
      <w:r w:rsidRPr="00D55B14">
        <w:tab/>
        <w:t xml:space="preserve">All samples will be blended into one representative sample for each bin or storage area. </w:t>
      </w:r>
    </w:p>
    <w:p w14:paraId="6CE86EFF" w14:textId="77777777" w:rsidR="00CD0355" w:rsidRPr="00D55B14" w:rsidRDefault="00CD0355" w:rsidP="00CD0355">
      <w:pPr>
        <w:pStyle w:val="1"/>
      </w:pPr>
      <w:r w:rsidRPr="00D55B14">
        <w:t>2.</w:t>
      </w:r>
      <w:r w:rsidRPr="00D55B14">
        <w:tab/>
        <w:t>Uncleaned Seed in Bulk</w:t>
      </w:r>
    </w:p>
    <w:p w14:paraId="2BF71790" w14:textId="77777777" w:rsidR="00CD0355" w:rsidRPr="001531CD" w:rsidRDefault="00CD0355" w:rsidP="00CD0355">
      <w:pPr>
        <w:pStyle w:val="a0"/>
      </w:pPr>
      <w:r w:rsidRPr="00D55B14">
        <w:t>a.</w:t>
      </w:r>
      <w:r w:rsidRPr="00D55B14">
        <w:tab/>
        <w:t>A LDAF inspector will collect a minimum of four samples, at intervals of 4 feet, by probing the entire depth of the bin or storage area. All samples will be blended into one representative sample for each bin or storage area.</w:t>
      </w:r>
    </w:p>
    <w:p w14:paraId="414FAA95" w14:textId="77777777" w:rsidR="00CD0355" w:rsidRPr="001531CD" w:rsidRDefault="00CD0355" w:rsidP="00CD0355">
      <w:pPr>
        <w:pStyle w:val="a0"/>
      </w:pPr>
      <w:r w:rsidRPr="001531CD">
        <w:t>b.</w:t>
      </w:r>
      <w:r w:rsidRPr="001531CD">
        <w:tab/>
        <w:t>A second representative sample will be drawn within 60 days after the first sample, after conditioning, for determining purity.</w:t>
      </w:r>
    </w:p>
    <w:p w14:paraId="284FE39B" w14:textId="77777777" w:rsidR="00CD0355" w:rsidRPr="001531CD" w:rsidRDefault="00CD0355" w:rsidP="00CD0355">
      <w:pPr>
        <w:pStyle w:val="A"/>
      </w:pPr>
      <w:r w:rsidRPr="001531CD">
        <w:t>E.</w:t>
      </w:r>
      <w:r w:rsidRPr="001531CD">
        <w:tab/>
        <w:t>Analysis of samples shall be performed according to the current rules of the Association of Official Seed Analysts.</w:t>
      </w:r>
    </w:p>
    <w:p w14:paraId="1BDB841B" w14:textId="77777777" w:rsidR="00CD0355" w:rsidRPr="001531CD" w:rsidRDefault="00CD0355" w:rsidP="00CD0355">
      <w:pPr>
        <w:pStyle w:val="A"/>
      </w:pPr>
      <w:r w:rsidRPr="001531CD">
        <w:t>F.</w:t>
      </w:r>
      <w:r w:rsidRPr="001531CD">
        <w:tab/>
        <w:t>Resampling Policy</w:t>
      </w:r>
    </w:p>
    <w:p w14:paraId="4F67CEA2" w14:textId="77777777" w:rsidR="00CD0355" w:rsidRPr="001531CD" w:rsidRDefault="00CD0355" w:rsidP="00CD0355">
      <w:pPr>
        <w:pStyle w:val="1"/>
      </w:pPr>
      <w:r w:rsidRPr="001531CD">
        <w:t>1.</w:t>
      </w:r>
      <w:r w:rsidRPr="001531CD">
        <w:tab/>
        <w:t>Except in special instances, as described below, only one sample shall be obtained from each certified lot.</w:t>
      </w:r>
    </w:p>
    <w:p w14:paraId="5C6EF9FC" w14:textId="77777777" w:rsidR="00CD0355" w:rsidRPr="001531CD" w:rsidRDefault="00CD0355" w:rsidP="00CD0355">
      <w:pPr>
        <w:pStyle w:val="a0"/>
      </w:pPr>
      <w:r w:rsidRPr="001531CD">
        <w:lastRenderedPageBreak/>
        <w:t>a.</w:t>
      </w:r>
      <w:r w:rsidRPr="001531CD">
        <w:tab/>
        <w:t>When a certified seed lot fails certification requirements due to physical or mechanical purity factors, such as excess inert matter or weed seed, the seed may be reconditioned if the contaminants are separable. A complete purity analysis and germination test will be required on the reconditioned lot of seed. Certified seed rice which fails certification due to the presence of red rice seed in the sample shall be subject to the terms of Subparagraph e below.</w:t>
      </w:r>
    </w:p>
    <w:p w14:paraId="28793049" w14:textId="77777777" w:rsidR="00CD0355" w:rsidRPr="001531CD" w:rsidRDefault="00CD0355" w:rsidP="00CD0355">
      <w:pPr>
        <w:pStyle w:val="a0"/>
      </w:pPr>
      <w:r w:rsidRPr="001531CD">
        <w:t>b.</w:t>
      </w:r>
      <w:r w:rsidRPr="001531CD">
        <w:tab/>
        <w:t>Should a seed lot fail certified seed germination standards on the first laboratory test, a re-sample for germination test only for that seed lot will be permitted. Only one re-sample per seed lot will be permitted.</w:t>
      </w:r>
    </w:p>
    <w:p w14:paraId="4C3E1E09" w14:textId="77777777" w:rsidR="00CD0355" w:rsidRPr="001531CD" w:rsidRDefault="00CD0355" w:rsidP="00CD0355">
      <w:pPr>
        <w:pStyle w:val="a0"/>
      </w:pPr>
      <w:r w:rsidRPr="001531CD">
        <w:t>c.</w:t>
      </w:r>
      <w:r w:rsidRPr="001531CD">
        <w:tab/>
        <w:t>Whenever a certified seed lot is divided into sub-lots, both a purity and a germination test will be required for all sub-lots.</w:t>
      </w:r>
    </w:p>
    <w:p w14:paraId="06131DFC" w14:textId="77777777" w:rsidR="00CD0355" w:rsidRPr="001531CD" w:rsidRDefault="00CD0355" w:rsidP="00CD0355">
      <w:pPr>
        <w:pStyle w:val="a0"/>
      </w:pPr>
      <w:r w:rsidRPr="001531CD">
        <w:t>d.</w:t>
      </w:r>
      <w:r w:rsidRPr="001531CD">
        <w:tab/>
        <w:t>The last and most recent laboratory test report for a seed lot shall be the final analysis used to establish the eligibility for certification and will determine the information to be placed on the tag.</w:t>
      </w:r>
    </w:p>
    <w:p w14:paraId="2671F070" w14:textId="77777777" w:rsidR="00CD0355" w:rsidRPr="001531CD" w:rsidRDefault="00CD0355" w:rsidP="00CD0355">
      <w:pPr>
        <w:pStyle w:val="a0"/>
      </w:pPr>
      <w:r w:rsidRPr="001531CD">
        <w:t>e.</w:t>
      </w:r>
      <w:r w:rsidRPr="001531CD">
        <w:tab/>
        <w:t>When a certified seed rice lot fails certification requirements due to the presence of one red rice seed in the original four pound sample, then a second 8 pound sample may be drawn from the lot. If one or more red rice seeds are found in the second sample, the lot will be disqualified on the basis of red rice content. If no red rice seed is found in the second sample, the lot would meet certification requirements. Certified seed rice whose original sample contains the presence of more than one red rice seed may not be re-sampled.</w:t>
      </w:r>
    </w:p>
    <w:p w14:paraId="7C21D2BF" w14:textId="77777777" w:rsidR="00CD0355" w:rsidRPr="001531CD" w:rsidRDefault="00CD0355" w:rsidP="00CD0355">
      <w:pPr>
        <w:pStyle w:val="AuthorityNote"/>
      </w:pPr>
      <w:r w:rsidRPr="00D55B14">
        <w:t>AUTHORITY NOTE:</w:t>
      </w:r>
      <w:r w:rsidRPr="00D55B14">
        <w:tab/>
        <w:t>Promulgated in accordance with R.S. 3:1433 and R.S. 3:1434.</w:t>
      </w:r>
    </w:p>
    <w:p w14:paraId="389EF654" w14:textId="77777777" w:rsidR="00CD0355" w:rsidRPr="001531CD" w:rsidRDefault="00CD0355" w:rsidP="00CD0355">
      <w:pPr>
        <w:pStyle w:val="HistoricalNote"/>
      </w:pPr>
      <w:r w:rsidRPr="001531CD">
        <w:t>HISTORICAL NOTE:</w:t>
      </w:r>
      <w:r w:rsidRPr="001531CD">
        <w:tab/>
        <w:t>Promulgated by the Department of Agriculture, Seed Commission, LR 8:565 (November 1982), amended LR 9:195 (April 1983), amended by the Department of Agriculture and Forestry, Office of Agricultural and Environmental Sciences, Seed Commission, LR 12:825 (December 1986), LR 19:888 (July 1993), repromulgated by the Department of Agriculture and Forestry, Office of Agricultural and Environmental Sciences, Agricultural Chemistry and Seed Commis</w:t>
      </w:r>
      <w:r>
        <w:t>sion, LR 39:2712 (October 2013), amended LR 40:750 (April 2014).</w:t>
      </w:r>
    </w:p>
    <w:p w14:paraId="455CC19E" w14:textId="77777777" w:rsidR="00CD0355" w:rsidRPr="001531CD" w:rsidRDefault="00CD0355" w:rsidP="00CD0355">
      <w:pPr>
        <w:pStyle w:val="Section"/>
      </w:pPr>
      <w:bookmarkStart w:id="1118" w:name="_Toc224818788"/>
      <w:r w:rsidRPr="001531CD">
        <w:t>§517.</w:t>
      </w:r>
      <w:r w:rsidRPr="001531CD">
        <w:tab/>
        <w:t>Listing of Certified Seed Conditioning Plants</w:t>
      </w:r>
      <w:bookmarkEnd w:id="1118"/>
      <w:r w:rsidRPr="001531CD">
        <w:t xml:space="preserve"> </w:t>
      </w:r>
    </w:p>
    <w:p w14:paraId="127CA0B8" w14:textId="77777777" w:rsidR="00CD0355" w:rsidRPr="00D55B14" w:rsidRDefault="00CD0355" w:rsidP="00CD0355">
      <w:pPr>
        <w:pStyle w:val="A"/>
      </w:pPr>
      <w:r w:rsidRPr="00D55B14">
        <w:t>A.</w:t>
      </w:r>
      <w:r w:rsidRPr="00D55B14">
        <w:tab/>
        <w:t>Seed conditioning plants desiring to be listed in LDAF roster of seed conditioning plants must make a written application for inclusion on the list.</w:t>
      </w:r>
    </w:p>
    <w:p w14:paraId="522E6FE9" w14:textId="77777777" w:rsidR="00CD0355" w:rsidRPr="001531CD" w:rsidRDefault="00CD0355" w:rsidP="00CD0355">
      <w:pPr>
        <w:pStyle w:val="A"/>
      </w:pPr>
      <w:r w:rsidRPr="00D55B14">
        <w:t>B.</w:t>
      </w:r>
      <w:r w:rsidRPr="00D55B14">
        <w:tab/>
        <w:t>LDAF will issue certificates to all seed conditioning plants making application for inclusion on the listing, on an annual basis, each such certificate to expire on June 30 following date of issue.</w:t>
      </w:r>
    </w:p>
    <w:p w14:paraId="5A8818E8" w14:textId="77777777" w:rsidR="00CD0355" w:rsidRPr="001531CD" w:rsidRDefault="00CD0355" w:rsidP="00CD0355">
      <w:pPr>
        <w:pStyle w:val="A"/>
      </w:pPr>
      <w:r w:rsidRPr="001531CD">
        <w:t>C.</w:t>
      </w:r>
      <w:r w:rsidRPr="001531CD">
        <w:tab/>
        <w:t>The following requirements must be met by processors of all classes of certified seed.</w:t>
      </w:r>
    </w:p>
    <w:p w14:paraId="32305F43" w14:textId="77777777" w:rsidR="00CD0355" w:rsidRPr="001531CD" w:rsidRDefault="00CD0355" w:rsidP="00CD0355">
      <w:pPr>
        <w:pStyle w:val="1"/>
      </w:pPr>
      <w:r w:rsidRPr="001531CD">
        <w:t>1.</w:t>
      </w:r>
      <w:r w:rsidRPr="001531CD">
        <w:tab/>
        <w:t>Facilities shall be available to perform processing without introducing admixtures.</w:t>
      </w:r>
    </w:p>
    <w:p w14:paraId="04C36529" w14:textId="77777777" w:rsidR="00CD0355" w:rsidRPr="001531CD" w:rsidRDefault="00CD0355" w:rsidP="00CD0355">
      <w:pPr>
        <w:pStyle w:val="1"/>
      </w:pPr>
      <w:r w:rsidRPr="001531CD">
        <w:t>2.</w:t>
      </w:r>
      <w:r w:rsidRPr="001531CD">
        <w:tab/>
        <w:t>Identity of the seed must be maintained at all times.</w:t>
      </w:r>
    </w:p>
    <w:p w14:paraId="570C84E0" w14:textId="77777777" w:rsidR="00CD0355" w:rsidRPr="001531CD" w:rsidRDefault="00CD0355" w:rsidP="00CD0355">
      <w:pPr>
        <w:pStyle w:val="1"/>
      </w:pPr>
      <w:r w:rsidRPr="001531CD">
        <w:t>3.</w:t>
      </w:r>
      <w:r w:rsidRPr="001531CD">
        <w:tab/>
        <w:t>Records of all operations relating to certification shall be completed and adequate to account for all incoming seed and final disposition of seed.</w:t>
      </w:r>
    </w:p>
    <w:p w14:paraId="16525AF2" w14:textId="77777777" w:rsidR="00CD0355" w:rsidRPr="001531CD" w:rsidRDefault="00CD0355" w:rsidP="00CD0355">
      <w:pPr>
        <w:pStyle w:val="1"/>
      </w:pPr>
      <w:r w:rsidRPr="001531CD">
        <w:t>4.</w:t>
      </w:r>
      <w:r w:rsidRPr="001531CD">
        <w:tab/>
        <w:t>Processors shall permit inspection by the certifying agency of all records, equipment, storage and processing facilities pertaining to all classes of certified seed.</w:t>
      </w:r>
    </w:p>
    <w:p w14:paraId="7077BA05" w14:textId="77777777" w:rsidR="00CD0355" w:rsidRPr="001531CD" w:rsidRDefault="00CD0355" w:rsidP="00CD0355">
      <w:pPr>
        <w:pStyle w:val="1"/>
      </w:pPr>
      <w:r w:rsidRPr="001531CD">
        <w:t>5.</w:t>
      </w:r>
      <w:r w:rsidRPr="001531CD">
        <w:tab/>
        <w:t>Processors shall designate an individual who shall be responsible to the certifying agency for performing such duties as may be required by the certifying agency.</w:t>
      </w:r>
    </w:p>
    <w:p w14:paraId="3C28564A" w14:textId="77777777" w:rsidR="00CD0355" w:rsidRPr="001531CD" w:rsidRDefault="00CD0355" w:rsidP="00CD0355">
      <w:pPr>
        <w:pStyle w:val="1"/>
      </w:pPr>
      <w:r w:rsidRPr="001531CD">
        <w:t>6.</w:t>
      </w:r>
      <w:r w:rsidRPr="001531CD">
        <w:tab/>
        <w:t>Seed lots of the same variety and class may be blended and the class retained. If lots of different classes are blended, the lowest class shall be applied to the resultant blend. Such blending can only be done when authorized by the certifying agency.</w:t>
      </w:r>
    </w:p>
    <w:p w14:paraId="7283341D" w14:textId="77777777" w:rsidR="00CD0355" w:rsidRPr="001531CD" w:rsidRDefault="00CD0355" w:rsidP="00CD0355">
      <w:pPr>
        <w:pStyle w:val="AuthorityNote"/>
      </w:pPr>
      <w:r w:rsidRPr="00D55B14">
        <w:t>AUTHORITY NOTE:</w:t>
      </w:r>
      <w:r w:rsidRPr="00D55B14">
        <w:tab/>
        <w:t>Promulgated in accordance with R.S. 3:1433 and R.S. 3:1434.</w:t>
      </w:r>
    </w:p>
    <w:p w14:paraId="2E733792" w14:textId="77777777" w:rsidR="00CD0355" w:rsidRPr="001531CD" w:rsidRDefault="00CD0355" w:rsidP="00CD0355">
      <w:pPr>
        <w:pStyle w:val="HistoricalNote"/>
      </w:pPr>
      <w:r w:rsidRPr="001531CD">
        <w:t>HISTORICAL NOTE:</w:t>
      </w:r>
      <w:r w:rsidRPr="001531CD">
        <w:tab/>
        <w:t>Promulgated by the Department of Agriculture, Seed Commission, LR 8:566 (November 1982), amended LR 9:196 (April 1983), amended by the Department of Agriculture and Forestry, Office of Agricultural and Environmental Sciences, Seed Commission, LR 12:825 (December 1986), LR 20:642 (June 1994), LR 31:35 (January 2005), repromulgated by the Department of Agriculture and Forestry, Office of Agricultural and Environmental Sciences, Agricultural Chemistry and Seed Commis</w:t>
      </w:r>
      <w:r>
        <w:t>sion, LR 39:2713 (October 2013), amended LR 40:750 (April 2014).</w:t>
      </w:r>
    </w:p>
    <w:p w14:paraId="15279969" w14:textId="77777777" w:rsidR="00CD0355" w:rsidRPr="001531CD" w:rsidRDefault="00CD0355" w:rsidP="00CD0355">
      <w:pPr>
        <w:pStyle w:val="Section"/>
      </w:pPr>
      <w:bookmarkStart w:id="1119" w:name="_Toc224818789"/>
      <w:r w:rsidRPr="001531CD">
        <w:t>§519.</w:t>
      </w:r>
      <w:r w:rsidRPr="001531CD">
        <w:tab/>
        <w:t>Processing of Certified Seed</w:t>
      </w:r>
      <w:bookmarkEnd w:id="1119"/>
      <w:r w:rsidRPr="001531CD">
        <w:t xml:space="preserve"> </w:t>
      </w:r>
    </w:p>
    <w:p w14:paraId="2B34FB8E" w14:textId="77777777" w:rsidR="00CD0355" w:rsidRPr="00BB51B8" w:rsidRDefault="00CD0355" w:rsidP="00CD0355">
      <w:pPr>
        <w:pStyle w:val="A"/>
      </w:pPr>
      <w:r w:rsidRPr="00BB51B8">
        <w:t>A.</w:t>
      </w:r>
      <w:r w:rsidRPr="00BB51B8">
        <w:tab/>
        <w:t>Bagging</w:t>
      </w:r>
    </w:p>
    <w:p w14:paraId="2AA34915" w14:textId="77777777" w:rsidR="00CD0355" w:rsidRPr="00BB51B8" w:rsidRDefault="00CD0355" w:rsidP="00CD0355">
      <w:pPr>
        <w:pStyle w:val="1"/>
      </w:pPr>
      <w:r w:rsidRPr="00BB51B8">
        <w:t>1.</w:t>
      </w:r>
      <w:r w:rsidRPr="00BB51B8">
        <w:tab/>
        <w:t>All seed approved for certification must be packaged in new 100 pound containers or less, except as provided by this Subsection.</w:t>
      </w:r>
    </w:p>
    <w:p w14:paraId="553783F1" w14:textId="77777777" w:rsidR="00CD0355" w:rsidRPr="00BB51B8" w:rsidRDefault="00CD0355" w:rsidP="00CD0355">
      <w:pPr>
        <w:pStyle w:val="1"/>
      </w:pPr>
      <w:r w:rsidRPr="00BB51B8">
        <w:t>2.</w:t>
      </w:r>
      <w:r w:rsidRPr="00BB51B8">
        <w:tab/>
        <w:t>Registered class of rice and small grains (wheat and oats):</w:t>
      </w:r>
    </w:p>
    <w:p w14:paraId="4DCDA22C" w14:textId="77777777" w:rsidR="00CD0355" w:rsidRPr="00BB51B8" w:rsidRDefault="00CD0355" w:rsidP="00CD0355">
      <w:pPr>
        <w:pStyle w:val="a0"/>
      </w:pPr>
      <w:r w:rsidRPr="00BB51B8">
        <w:t>a.</w:t>
      </w:r>
      <w:r w:rsidRPr="00BB51B8">
        <w:tab/>
        <w:t>new super-bags or Q-bit bulk containers (or its e</w:t>
      </w:r>
      <w:r>
        <w:t>quivalent as determined by LDAF.</w:t>
      </w:r>
    </w:p>
    <w:p w14:paraId="64D341DB" w14:textId="77777777" w:rsidR="00CD0355" w:rsidRPr="00BB51B8" w:rsidRDefault="00CD0355" w:rsidP="00CD0355">
      <w:pPr>
        <w:pStyle w:val="1"/>
      </w:pPr>
      <w:r w:rsidRPr="00BB51B8">
        <w:t>3.</w:t>
      </w:r>
      <w:r w:rsidRPr="00BB51B8">
        <w:tab/>
        <w:t>Certified class of rice and small grains (wheat and oats):</w:t>
      </w:r>
    </w:p>
    <w:p w14:paraId="17926087" w14:textId="77777777" w:rsidR="00CD0355" w:rsidRPr="00D55B14" w:rsidRDefault="00CD0355" w:rsidP="00CD0355">
      <w:pPr>
        <w:pStyle w:val="a0"/>
      </w:pPr>
      <w:r w:rsidRPr="00BB51B8">
        <w:t>a.</w:t>
      </w:r>
      <w:r w:rsidRPr="00BB51B8">
        <w:tab/>
        <w:t>new or reusable super-bags or Q-bit bulk containers (or its equivalent as determined by LDAF). Reusable containers shall be cleaned in a manner approved by LDAF.</w:t>
      </w:r>
    </w:p>
    <w:p w14:paraId="658DD915" w14:textId="77777777" w:rsidR="00CD0355" w:rsidRPr="00D55B14" w:rsidRDefault="00CD0355" w:rsidP="00CD0355">
      <w:pPr>
        <w:pStyle w:val="A"/>
      </w:pPr>
      <w:r w:rsidRPr="00D55B14">
        <w:t>B.</w:t>
      </w:r>
      <w:r w:rsidRPr="00D55B14">
        <w:tab/>
        <w:t>General Labeling Requirements</w:t>
      </w:r>
    </w:p>
    <w:p w14:paraId="0DCDE3C2" w14:textId="77777777" w:rsidR="00CD0355" w:rsidRPr="001531CD" w:rsidRDefault="00CD0355" w:rsidP="00CD0355">
      <w:pPr>
        <w:pStyle w:val="1"/>
      </w:pPr>
      <w:r w:rsidRPr="00D55B14">
        <w:t>1.</w:t>
      </w:r>
      <w:r w:rsidRPr="00D55B14">
        <w:tab/>
        <w:t>Each container, regardless of size, of all classes of certified seed offered for sale must bear an official certification label issued by the LDAF.</w:t>
      </w:r>
    </w:p>
    <w:p w14:paraId="2EA736E2" w14:textId="77777777" w:rsidR="00CD0355" w:rsidRPr="001531CD" w:rsidRDefault="00CD0355" w:rsidP="00CD0355">
      <w:pPr>
        <w:pStyle w:val="1"/>
      </w:pPr>
      <w:r w:rsidRPr="001531CD">
        <w:t>2.</w:t>
      </w:r>
      <w:r w:rsidRPr="001531CD">
        <w:tab/>
        <w:t>Labeling requirements may vary with the crop and methods of handling, but, in all instances, labels shall be attached to the containers in a secure manner.</w:t>
      </w:r>
    </w:p>
    <w:p w14:paraId="5FF158C9" w14:textId="77777777" w:rsidR="00CD0355" w:rsidRPr="001531CD" w:rsidRDefault="00CD0355" w:rsidP="00CD0355">
      <w:pPr>
        <w:pStyle w:val="1"/>
      </w:pPr>
      <w:r w:rsidRPr="001531CD">
        <w:t>3.</w:t>
      </w:r>
      <w:r w:rsidRPr="001531CD">
        <w:tab/>
        <w:t>The lot number of the label attached to each container must be the same as the lot number marked on the container.</w:t>
      </w:r>
    </w:p>
    <w:p w14:paraId="48E80B4F" w14:textId="77777777" w:rsidR="00CD0355" w:rsidRPr="001531CD" w:rsidRDefault="00CD0355" w:rsidP="00CD0355">
      <w:pPr>
        <w:pStyle w:val="1"/>
      </w:pPr>
      <w:r w:rsidRPr="001531CD">
        <w:t>4.</w:t>
      </w:r>
      <w:r w:rsidRPr="001531CD">
        <w:tab/>
        <w:t>The label shall contain the following information:</w:t>
      </w:r>
    </w:p>
    <w:p w14:paraId="0906ABF2" w14:textId="77777777" w:rsidR="00CD0355" w:rsidRPr="001531CD" w:rsidRDefault="00CD0355" w:rsidP="00CD0355">
      <w:pPr>
        <w:pStyle w:val="a0"/>
      </w:pPr>
      <w:r w:rsidRPr="001531CD">
        <w:t>a.</w:t>
      </w:r>
      <w:r w:rsidRPr="001531CD">
        <w:tab/>
        <w:t>kind and variety;</w:t>
      </w:r>
    </w:p>
    <w:p w14:paraId="5FFF1903" w14:textId="77777777" w:rsidR="00CD0355" w:rsidRPr="001531CD" w:rsidRDefault="00CD0355" w:rsidP="00CD0355">
      <w:pPr>
        <w:pStyle w:val="a0"/>
      </w:pPr>
      <w:r w:rsidRPr="001531CD">
        <w:t>b.</w:t>
      </w:r>
      <w:r w:rsidRPr="001531CD">
        <w:tab/>
        <w:t>where grown;</w:t>
      </w:r>
    </w:p>
    <w:p w14:paraId="586F6779" w14:textId="77777777" w:rsidR="00CD0355" w:rsidRPr="001531CD" w:rsidRDefault="00CD0355" w:rsidP="00CD0355">
      <w:pPr>
        <w:pStyle w:val="a0"/>
      </w:pPr>
      <w:r w:rsidRPr="001531CD">
        <w:t>c.</w:t>
      </w:r>
      <w:r w:rsidRPr="001531CD">
        <w:tab/>
        <w:t>percentage of pure seed, crop seed, weed seed and inert matter;</w:t>
      </w:r>
    </w:p>
    <w:p w14:paraId="44E16F90" w14:textId="77777777" w:rsidR="00CD0355" w:rsidRPr="001531CD" w:rsidRDefault="00CD0355" w:rsidP="00CD0355">
      <w:pPr>
        <w:pStyle w:val="a0"/>
      </w:pPr>
      <w:r w:rsidRPr="001531CD">
        <w:lastRenderedPageBreak/>
        <w:t>d.</w:t>
      </w:r>
      <w:r w:rsidRPr="001531CD">
        <w:tab/>
        <w:t>name and number of noxious weed seeds per pound;</w:t>
      </w:r>
    </w:p>
    <w:p w14:paraId="1781C2A7" w14:textId="77777777" w:rsidR="00CD0355" w:rsidRPr="001531CD" w:rsidRDefault="00CD0355" w:rsidP="00CD0355">
      <w:pPr>
        <w:pStyle w:val="a0"/>
      </w:pPr>
      <w:r w:rsidRPr="001531CD">
        <w:t>e.</w:t>
      </w:r>
      <w:r w:rsidRPr="001531CD">
        <w:tab/>
        <w:t>grower's name and address or code number;</w:t>
      </w:r>
    </w:p>
    <w:p w14:paraId="68154440" w14:textId="77777777" w:rsidR="00CD0355" w:rsidRPr="001531CD" w:rsidRDefault="00CD0355" w:rsidP="00CD0355">
      <w:pPr>
        <w:pStyle w:val="a0"/>
      </w:pPr>
      <w:r w:rsidRPr="001531CD">
        <w:t>f.</w:t>
      </w:r>
      <w:r w:rsidRPr="001531CD">
        <w:tab/>
        <w:t>germination percentage;</w:t>
      </w:r>
    </w:p>
    <w:p w14:paraId="12E84550" w14:textId="77777777" w:rsidR="00CD0355" w:rsidRPr="001531CD" w:rsidRDefault="00CD0355" w:rsidP="00CD0355">
      <w:pPr>
        <w:pStyle w:val="a0"/>
      </w:pPr>
      <w:r w:rsidRPr="001531CD">
        <w:t>g.</w:t>
      </w:r>
      <w:r w:rsidRPr="001531CD">
        <w:tab/>
        <w:t>hard seed;</w:t>
      </w:r>
    </w:p>
    <w:p w14:paraId="73B7BD6A" w14:textId="77777777" w:rsidR="00CD0355" w:rsidRPr="001531CD" w:rsidRDefault="00CD0355" w:rsidP="00CD0355">
      <w:pPr>
        <w:pStyle w:val="a0"/>
      </w:pPr>
      <w:r w:rsidRPr="001531CD">
        <w:t>h.</w:t>
      </w:r>
      <w:r w:rsidRPr="001531CD">
        <w:tab/>
        <w:t>total germination and hard seed percentage;</w:t>
      </w:r>
    </w:p>
    <w:p w14:paraId="6AEA83EA" w14:textId="77777777" w:rsidR="00CD0355" w:rsidRPr="001531CD" w:rsidRDefault="00CD0355" w:rsidP="00CD0355">
      <w:pPr>
        <w:pStyle w:val="a0"/>
      </w:pPr>
      <w:r w:rsidRPr="001531CD">
        <w:t>i.</w:t>
      </w:r>
      <w:r w:rsidRPr="001531CD">
        <w:tab/>
        <w:t>net weight;</w:t>
      </w:r>
    </w:p>
    <w:p w14:paraId="41D3A450" w14:textId="77777777" w:rsidR="00CD0355" w:rsidRPr="001531CD" w:rsidRDefault="00CD0355" w:rsidP="00CD0355">
      <w:pPr>
        <w:pStyle w:val="a0"/>
      </w:pPr>
      <w:r w:rsidRPr="001531CD">
        <w:t>j.</w:t>
      </w:r>
      <w:r w:rsidRPr="001531CD">
        <w:tab/>
        <w:t>lot number; and</w:t>
      </w:r>
    </w:p>
    <w:p w14:paraId="6F537816" w14:textId="77777777" w:rsidR="00CD0355" w:rsidRPr="001531CD" w:rsidRDefault="00CD0355" w:rsidP="00CD0355">
      <w:pPr>
        <w:pStyle w:val="a0"/>
      </w:pPr>
      <w:r w:rsidRPr="001531CD">
        <w:t>k.</w:t>
      </w:r>
      <w:r w:rsidRPr="001531CD">
        <w:tab/>
        <w:t>date of test.</w:t>
      </w:r>
    </w:p>
    <w:p w14:paraId="7032DAD3" w14:textId="77777777" w:rsidR="00CD0355" w:rsidRPr="002D6D42" w:rsidRDefault="00CD0355" w:rsidP="00CD0355">
      <w:pPr>
        <w:pStyle w:val="1"/>
      </w:pPr>
      <w:r w:rsidRPr="001531CD">
        <w:t>5.</w:t>
      </w:r>
      <w:r w:rsidRPr="001531CD">
        <w:tab/>
      </w:r>
      <w:r w:rsidRPr="002D6D42">
        <w:t>Certified seed lots carried over from a previous crop year that fail to meet the minimum required germination percentage for the specific commodity shall have a new certified label affixed to the container. The label shall state the new germination percentage, month and year of test, the wording “Substandard Germination” and all other required label information. These seed lots shall meet the standards set forth in §143. Standards for Agricultural Seed.</w:t>
      </w:r>
    </w:p>
    <w:p w14:paraId="6A01D426" w14:textId="77777777" w:rsidR="00CD0355" w:rsidRPr="002D6D42" w:rsidRDefault="00CD0355" w:rsidP="00CD0355">
      <w:pPr>
        <w:pStyle w:val="1"/>
      </w:pPr>
      <w:r w:rsidRPr="002D6D42">
        <w:t>6.</w:t>
      </w:r>
      <w:r w:rsidRPr="002D6D42">
        <w:tab/>
        <w:t>Labels will be issued only for seed proven by laboratory analysis to meet required germination and purity standards.</w:t>
      </w:r>
    </w:p>
    <w:p w14:paraId="6334AD9D" w14:textId="77777777" w:rsidR="00CD0355" w:rsidRPr="002D6D42" w:rsidRDefault="00CD0355" w:rsidP="00CD0355">
      <w:pPr>
        <w:pStyle w:val="1"/>
      </w:pPr>
      <w:r w:rsidRPr="002D6D42">
        <w:t>7.</w:t>
      </w:r>
      <w:r w:rsidRPr="002D6D42">
        <w:tab/>
        <w:t>The number of labels issued will be determined by the inspector's estimate of the quantity of seed at the time of sampling. All unused labels must be returned to LDAF.</w:t>
      </w:r>
    </w:p>
    <w:p w14:paraId="76F54AE1" w14:textId="77777777" w:rsidR="00CD0355" w:rsidRPr="002D6D42" w:rsidRDefault="00CD0355" w:rsidP="00CD0355">
      <w:pPr>
        <w:pStyle w:val="1"/>
      </w:pPr>
      <w:r w:rsidRPr="002D6D42">
        <w:t>8.</w:t>
      </w:r>
      <w:r w:rsidRPr="002D6D42">
        <w:tab/>
        <w:t>Prelabeling</w:t>
      </w:r>
    </w:p>
    <w:p w14:paraId="3B469AB1" w14:textId="77777777" w:rsidR="00CD0355" w:rsidRPr="002D6D42" w:rsidRDefault="00CD0355" w:rsidP="00CD0355">
      <w:pPr>
        <w:pStyle w:val="a0"/>
      </w:pPr>
      <w:r w:rsidRPr="002D6D42">
        <w:t>a.</w:t>
      </w:r>
      <w:r w:rsidRPr="002D6D42">
        <w:tab/>
        <w:t xml:space="preserve">In order to permit owners or certifiers of seed to bag and label seed in advance of final laboratory reports, certification labels may be issued in advance. Such labels can be pre-issued upon receipt of completed field inspection reports showing that field production standards have been met. The state may grant a waiver on the movement of seed if an acceptable preliminary test is made on the seed lot. If prelabeled lots fail laboratory analysis standards, all labels shall be destroyed or returned to the LDAF. Failure to comply with this regulation will result in suspension of future prelabeling privileges. </w:t>
      </w:r>
    </w:p>
    <w:p w14:paraId="1EA94302" w14:textId="77777777" w:rsidR="00CD0355" w:rsidRPr="002D6D42" w:rsidRDefault="00CD0355" w:rsidP="00CD0355">
      <w:pPr>
        <w:pStyle w:val="1"/>
      </w:pPr>
      <w:r w:rsidRPr="002D6D42">
        <w:t>9.</w:t>
      </w:r>
      <w:r w:rsidRPr="002D6D42">
        <w:tab/>
        <w:t>The official certification label may be printed directly on the container with prior approval of LDAF.</w:t>
      </w:r>
    </w:p>
    <w:p w14:paraId="5E7C5ADF" w14:textId="77777777" w:rsidR="00CD0355" w:rsidRPr="001531CD" w:rsidRDefault="00CD0355" w:rsidP="00CD0355">
      <w:pPr>
        <w:pStyle w:val="1"/>
      </w:pPr>
      <w:r w:rsidRPr="002D6D42">
        <w:t>10.</w:t>
      </w:r>
      <w:r w:rsidRPr="002D6D42">
        <w:tab/>
        <w:t>When separate seed analysis labels containing warranties, treatment information, etc., are attached to containers they shall be positioned so as not to obscure certification labels.</w:t>
      </w:r>
    </w:p>
    <w:p w14:paraId="63B71139" w14:textId="77777777" w:rsidR="00CD0355" w:rsidRPr="001531CD" w:rsidRDefault="00CD0355" w:rsidP="00CD0355">
      <w:pPr>
        <w:pStyle w:val="AuthorityNote"/>
        <w:tabs>
          <w:tab w:val="clear" w:pos="1800"/>
        </w:tabs>
      </w:pPr>
      <w:r w:rsidRPr="00BB51B8">
        <w:t>AUTHORITY NOTE:</w:t>
      </w:r>
      <w:r w:rsidRPr="00BB51B8">
        <w:tab/>
        <w:t>Promulgated in accordance with R.S. 3:1433 and R.S. 3:1434.</w:t>
      </w:r>
    </w:p>
    <w:p w14:paraId="011CAD59" w14:textId="77777777" w:rsidR="00CD0355" w:rsidRPr="001531CD" w:rsidRDefault="00CD0355" w:rsidP="00CD0355">
      <w:pPr>
        <w:pStyle w:val="HistoricalNote"/>
      </w:pPr>
      <w:r w:rsidRPr="001531CD">
        <w:t>HISTORICAL NOTE:</w:t>
      </w:r>
      <w:r w:rsidRPr="001531CD">
        <w:tab/>
        <w:t>Promulgated by the Department of Agriculture, Seed Commission, LR 8:566 (November l982), amended LR 9:196 (April l983), amended by the Department of Agriculture and Forestry, Office of Agricultural and Environmental Sciences, Seed Commission, LR 12:825 (December l986), LR 20:643 (June 1994), LR 31:35 (January 2005), LR 31:1510 (July 2005), LR 39:1758 (July 2013), repromulgated by the Department of Agriculture and Forestry, Office of Agricultural and Environmental Sciences, Agricultural Chemistry and Seed Commis</w:t>
      </w:r>
      <w:r>
        <w:t>sion, LR 39:2713 (October 2013), amended LR 40:750 (April 2014), LR 42</w:t>
      </w:r>
      <w:r w:rsidRPr="00BB51B8">
        <w:t>:</w:t>
      </w:r>
      <w:r>
        <w:t>211 (February 2016)</w:t>
      </w:r>
      <w:r w:rsidRPr="002D6D42">
        <w:t>, LR 44:1853 (October 2018).</w:t>
      </w:r>
    </w:p>
    <w:p w14:paraId="4432E98D" w14:textId="77777777" w:rsidR="00CD0355" w:rsidRPr="001531CD" w:rsidRDefault="00CD0355" w:rsidP="00CD0355">
      <w:pPr>
        <w:pStyle w:val="Section"/>
      </w:pPr>
      <w:bookmarkStart w:id="1120" w:name="_Toc224818790"/>
      <w:r w:rsidRPr="001531CD">
        <w:t>§521.</w:t>
      </w:r>
      <w:r w:rsidRPr="001531CD">
        <w:tab/>
        <w:t>Bulk Certification Requirements</w:t>
      </w:r>
      <w:bookmarkEnd w:id="1120"/>
      <w:r w:rsidRPr="001531CD">
        <w:t xml:space="preserve"> </w:t>
      </w:r>
    </w:p>
    <w:p w14:paraId="7036A53B" w14:textId="77777777" w:rsidR="00CD0355" w:rsidRPr="00D55B14" w:rsidRDefault="00CD0355" w:rsidP="00CD0355">
      <w:pPr>
        <w:pStyle w:val="A"/>
      </w:pPr>
      <w:r w:rsidRPr="00D55B14">
        <w:t>A.</w:t>
      </w:r>
      <w:r w:rsidRPr="00D55B14">
        <w:tab/>
        <w:t>Bulk certification shall be limited to the certified class of the following commodities:</w:t>
      </w:r>
    </w:p>
    <w:p w14:paraId="7B6DBA06" w14:textId="77777777" w:rsidR="00CD0355" w:rsidRPr="00D55B14" w:rsidRDefault="00CD0355" w:rsidP="00CD0355">
      <w:pPr>
        <w:pStyle w:val="1"/>
      </w:pPr>
      <w:r w:rsidRPr="00D55B14">
        <w:t>1.</w:t>
      </w:r>
      <w:r w:rsidRPr="00D55B14">
        <w:tab/>
        <w:t>small grains (wheat and oats);</w:t>
      </w:r>
    </w:p>
    <w:p w14:paraId="3B86601B" w14:textId="77777777" w:rsidR="00CD0355" w:rsidRPr="00D55B14" w:rsidRDefault="00CD0355" w:rsidP="00CD0355">
      <w:pPr>
        <w:pStyle w:val="1"/>
      </w:pPr>
      <w:r w:rsidRPr="00D55B14">
        <w:t>2.</w:t>
      </w:r>
      <w:r w:rsidRPr="00D55B14">
        <w:tab/>
        <w:t>rice.</w:t>
      </w:r>
    </w:p>
    <w:p w14:paraId="2D21C340" w14:textId="77777777" w:rsidR="00CD0355" w:rsidRPr="00D55B14" w:rsidRDefault="00CD0355" w:rsidP="00CD0355">
      <w:pPr>
        <w:pStyle w:val="A"/>
      </w:pPr>
      <w:r w:rsidRPr="00D55B14">
        <w:t>B.</w:t>
      </w:r>
      <w:r w:rsidRPr="00D55B14">
        <w:tab/>
        <w:t>Seed eligible for bulk certification shall meet all field and laboratory standards established for certified seed as specified in these regulations.</w:t>
      </w:r>
    </w:p>
    <w:p w14:paraId="034C471E" w14:textId="77777777" w:rsidR="00CD0355" w:rsidRPr="00D55B14" w:rsidRDefault="00CD0355" w:rsidP="00CD0355">
      <w:pPr>
        <w:pStyle w:val="A"/>
      </w:pPr>
      <w:r w:rsidRPr="00D55B14">
        <w:t>C.</w:t>
      </w:r>
      <w:r w:rsidRPr="00D55B14">
        <w:tab/>
        <w:t>Seed certified in bulk shall not be eligible for recertification.</w:t>
      </w:r>
    </w:p>
    <w:p w14:paraId="20510DB6" w14:textId="77777777" w:rsidR="00CD0355" w:rsidRPr="00D55B14" w:rsidRDefault="00CD0355" w:rsidP="00CD0355">
      <w:pPr>
        <w:pStyle w:val="A"/>
      </w:pPr>
      <w:r w:rsidRPr="00D55B14">
        <w:t>D.</w:t>
      </w:r>
      <w:r w:rsidRPr="00D55B14">
        <w:tab/>
        <w:t xml:space="preserve">Seed certified in bulk shall only be sold by the applicant producer or by a retail facility approved by LDAF. </w:t>
      </w:r>
    </w:p>
    <w:p w14:paraId="6087C15B" w14:textId="77777777" w:rsidR="00CD0355" w:rsidRPr="00D55B14" w:rsidRDefault="00CD0355" w:rsidP="00CD0355">
      <w:pPr>
        <w:pStyle w:val="1"/>
      </w:pPr>
      <w:r w:rsidRPr="00D55B14">
        <w:t>1.</w:t>
      </w:r>
      <w:r w:rsidRPr="00D55B14">
        <w:tab/>
        <w:t>Each retail outlet shall have a procedure for handling bulk certified seed that is acceptable to LDAF for the purpose of assuring genetic purity and that the identity of the seed is maintained.</w:t>
      </w:r>
    </w:p>
    <w:p w14:paraId="5311A06A" w14:textId="77777777" w:rsidR="00CD0355" w:rsidRPr="00D55B14" w:rsidRDefault="00CD0355" w:rsidP="00CD0355">
      <w:pPr>
        <w:pStyle w:val="A"/>
      </w:pPr>
      <w:r w:rsidRPr="00D55B14">
        <w:t>E.</w:t>
      </w:r>
      <w:r w:rsidRPr="00D55B14">
        <w:tab/>
        <w:t>The seed owner is responsible for making application for bulk certification to LDAF and for securing LDAF’s approval to use the facility in which the seed will be stored prior to storage of the seed at the facility.</w:t>
      </w:r>
    </w:p>
    <w:p w14:paraId="6643F2F9" w14:textId="77777777" w:rsidR="00CD0355" w:rsidRPr="00D55B14" w:rsidRDefault="00CD0355" w:rsidP="00CD0355">
      <w:pPr>
        <w:pStyle w:val="A"/>
      </w:pPr>
      <w:r w:rsidRPr="00D55B14">
        <w:t>F.</w:t>
      </w:r>
      <w:r w:rsidRPr="00D55B14">
        <w:tab/>
        <w:t>Storage Requirements</w:t>
      </w:r>
    </w:p>
    <w:p w14:paraId="57CD2CF2" w14:textId="77777777" w:rsidR="00CD0355" w:rsidRPr="00D55B14" w:rsidRDefault="00CD0355" w:rsidP="00CD0355">
      <w:pPr>
        <w:pStyle w:val="1"/>
      </w:pPr>
      <w:r w:rsidRPr="00D55B14">
        <w:t>1.</w:t>
      </w:r>
      <w:r w:rsidRPr="00D55B14">
        <w:tab/>
        <w:t>A separate storage bin shall be available for each variety that will be sold in bulk.</w:t>
      </w:r>
    </w:p>
    <w:p w14:paraId="75422EBB" w14:textId="77777777" w:rsidR="00CD0355" w:rsidRPr="00D55B14" w:rsidRDefault="00CD0355" w:rsidP="00CD0355">
      <w:pPr>
        <w:pStyle w:val="1"/>
      </w:pPr>
      <w:r w:rsidRPr="00D55B14">
        <w:t>2.</w:t>
      </w:r>
      <w:r w:rsidRPr="00D55B14">
        <w:tab/>
        <w:t>Storage bins shall be constructed so that all bin openings can be sealed to prevent contamination and maintain genetic purity.</w:t>
      </w:r>
    </w:p>
    <w:p w14:paraId="0707AE94" w14:textId="77777777" w:rsidR="00CD0355" w:rsidRPr="00D55B14" w:rsidRDefault="00CD0355" w:rsidP="00CD0355">
      <w:pPr>
        <w:pStyle w:val="1"/>
      </w:pPr>
      <w:r w:rsidRPr="00D55B14">
        <w:t>3.</w:t>
      </w:r>
      <w:r w:rsidRPr="00D55B14">
        <w:tab/>
        <w:t>All bins shall be clearly and prominently marked to show crop and variety, until disposal of the entire lot is completed and the bin is properly cleaned to remove all remaining seeds or seed residue.</w:t>
      </w:r>
    </w:p>
    <w:p w14:paraId="4CC113F2" w14:textId="77777777" w:rsidR="00CD0355" w:rsidRPr="00D55B14" w:rsidRDefault="00CD0355" w:rsidP="00CD0355">
      <w:pPr>
        <w:pStyle w:val="A"/>
      </w:pPr>
      <w:r w:rsidRPr="00D55B14">
        <w:t>G.</w:t>
      </w:r>
      <w:r w:rsidRPr="00D55B14">
        <w:tab/>
        <w:t>Seed sampling shall be conducted as provided in §515.D.</w:t>
      </w:r>
    </w:p>
    <w:p w14:paraId="2626FCE3" w14:textId="77777777" w:rsidR="00CD0355" w:rsidRPr="00D55B14" w:rsidRDefault="00CD0355" w:rsidP="00CD0355">
      <w:pPr>
        <w:pStyle w:val="A"/>
      </w:pPr>
      <w:r w:rsidRPr="00D55B14">
        <w:t>H.</w:t>
      </w:r>
      <w:r w:rsidRPr="00D55B14">
        <w:tab/>
        <w:t>Certification</w:t>
      </w:r>
    </w:p>
    <w:p w14:paraId="40C05F5D" w14:textId="77777777" w:rsidR="00CD0355" w:rsidRPr="00D55B14" w:rsidRDefault="00CD0355" w:rsidP="00CD0355">
      <w:pPr>
        <w:pStyle w:val="1"/>
      </w:pPr>
      <w:r w:rsidRPr="00D55B14">
        <w:t>1.</w:t>
      </w:r>
      <w:r w:rsidRPr="00D55B14">
        <w:tab/>
        <w:t>No certified seed tags will be issued for seed certified in bulk, except as provided by subsection I of this Section.</w:t>
      </w:r>
    </w:p>
    <w:p w14:paraId="2F1756E4" w14:textId="77777777" w:rsidR="00CD0355" w:rsidRPr="00D55B14" w:rsidRDefault="00CD0355" w:rsidP="00CD0355">
      <w:pPr>
        <w:pStyle w:val="1"/>
      </w:pPr>
      <w:r w:rsidRPr="00D55B14">
        <w:t>2.</w:t>
      </w:r>
      <w:r w:rsidRPr="00D55B14">
        <w:tab/>
        <w:t>For sales to an approved retail facility within the state, a bulk certified seed transfer form shall be issued to cover all bulk certified seed which meets the general requirements for seed certification and the specific requirements for the crop/variety being certified.</w:t>
      </w:r>
    </w:p>
    <w:p w14:paraId="2D6D3615" w14:textId="77777777" w:rsidR="00CD0355" w:rsidRPr="00D55B14" w:rsidRDefault="00CD0355" w:rsidP="00CD0355">
      <w:pPr>
        <w:pStyle w:val="a0"/>
      </w:pPr>
      <w:r w:rsidRPr="00D55B14">
        <w:t>a.</w:t>
      </w:r>
      <w:r w:rsidRPr="00D55B14">
        <w:tab/>
        <w:t>The seller shall provide a copy of the bulk certified seed transfer form to each purchaser at time of delivery.</w:t>
      </w:r>
    </w:p>
    <w:p w14:paraId="51C08185" w14:textId="77777777" w:rsidR="00CD0355" w:rsidRPr="00D55B14" w:rsidRDefault="00CD0355" w:rsidP="00CD0355">
      <w:pPr>
        <w:pStyle w:val="a0"/>
      </w:pPr>
      <w:r w:rsidRPr="00D55B14">
        <w:t>b.</w:t>
      </w:r>
      <w:r w:rsidRPr="00D55B14">
        <w:tab/>
        <w:t>The seller shall provide a copy of each issued Bulk Certified Seed Transfer Form to LDAF at the time the form is completed.</w:t>
      </w:r>
    </w:p>
    <w:p w14:paraId="6135A681" w14:textId="77777777" w:rsidR="00CD0355" w:rsidRPr="00D55B14" w:rsidRDefault="00CD0355" w:rsidP="00CD0355">
      <w:pPr>
        <w:pStyle w:val="a0"/>
      </w:pPr>
      <w:r w:rsidRPr="00D55B14">
        <w:t>c.</w:t>
      </w:r>
      <w:r w:rsidRPr="00D55B14">
        <w:tab/>
        <w:t>The seller shall maintain a copy of each issued bulk certified seed transfer form in his file, which shall be available for examination by LDAF upon reasonable request.</w:t>
      </w:r>
    </w:p>
    <w:p w14:paraId="62417EE0" w14:textId="77777777" w:rsidR="00CD0355" w:rsidRPr="00D55B14" w:rsidRDefault="00CD0355" w:rsidP="00CD0355">
      <w:pPr>
        <w:pStyle w:val="1"/>
      </w:pPr>
      <w:r w:rsidRPr="00D55B14">
        <w:t>3.</w:t>
      </w:r>
      <w:r w:rsidRPr="00D55B14">
        <w:tab/>
        <w:t xml:space="preserve">For sales to the end user, a bulk certified seed sales certificate shall be issued to cover all bulk certified seed </w:t>
      </w:r>
      <w:r w:rsidRPr="00D55B14">
        <w:lastRenderedPageBreak/>
        <w:t>which meets the general requirements for seed certification and the requirements for the crop/variety being certified.</w:t>
      </w:r>
      <w:r w:rsidRPr="00D55B14">
        <w:tab/>
      </w:r>
    </w:p>
    <w:p w14:paraId="05AD3351" w14:textId="77777777" w:rsidR="00CD0355" w:rsidRPr="00D55B14" w:rsidRDefault="00CD0355" w:rsidP="00CD0355">
      <w:pPr>
        <w:pStyle w:val="a0"/>
      </w:pPr>
      <w:r w:rsidRPr="00D55B14">
        <w:t>a.</w:t>
      </w:r>
      <w:r w:rsidRPr="00D55B14">
        <w:tab/>
        <w:t>The seller shall provide a copy of the bulk certified seed sales certificate to each purchaser at the time of delivery.</w:t>
      </w:r>
    </w:p>
    <w:p w14:paraId="60965908" w14:textId="77777777" w:rsidR="00CD0355" w:rsidRPr="00D55B14" w:rsidRDefault="00CD0355" w:rsidP="00CD0355">
      <w:pPr>
        <w:pStyle w:val="a0"/>
      </w:pPr>
      <w:r w:rsidRPr="00D55B14">
        <w:t>b.</w:t>
      </w:r>
      <w:r w:rsidRPr="00D55B14">
        <w:tab/>
        <w:t>The seller shall provide a copy of each issued bulk certified seed sales certificate to LDAF at the time the form is completed.</w:t>
      </w:r>
    </w:p>
    <w:p w14:paraId="02E26100" w14:textId="77777777" w:rsidR="00CD0355" w:rsidRPr="00D55B14" w:rsidRDefault="00CD0355" w:rsidP="00CD0355">
      <w:pPr>
        <w:pStyle w:val="a0"/>
      </w:pPr>
      <w:r w:rsidRPr="00D55B14">
        <w:t>c.</w:t>
      </w:r>
      <w:r w:rsidRPr="00D55B14">
        <w:tab/>
        <w:t>The seller shall maintain a copy of each issued bulk certified seed sales certificate in his file, which shall be available for examination by LDAF upon reasonable request.</w:t>
      </w:r>
    </w:p>
    <w:p w14:paraId="41AFEF5A" w14:textId="77777777" w:rsidR="00CD0355" w:rsidRPr="00D55B14" w:rsidRDefault="00CD0355" w:rsidP="00CD0355">
      <w:pPr>
        <w:pStyle w:val="A"/>
      </w:pPr>
      <w:r w:rsidRPr="00D55B14">
        <w:t>I.</w:t>
      </w:r>
      <w:r w:rsidRPr="00D55B14">
        <w:tab/>
        <w:t>If the owner of seed certified in bulk elects to package any portion of the lot, the owner shall give prior notification of his intention to package the seed to LDAF.</w:t>
      </w:r>
    </w:p>
    <w:p w14:paraId="157E2BF0" w14:textId="77777777" w:rsidR="00CD0355" w:rsidRPr="001531CD" w:rsidRDefault="00CD0355" w:rsidP="00CD0355">
      <w:pPr>
        <w:pStyle w:val="AuthorityNote"/>
      </w:pPr>
      <w:r w:rsidRPr="00D55B14">
        <w:t>AUTHORITY NOTE:</w:t>
      </w:r>
      <w:r w:rsidRPr="00D55B14">
        <w:tab/>
        <w:t>Promulgated in accordance with R.S. 3:1433 and R.S. 3:1434.</w:t>
      </w:r>
    </w:p>
    <w:p w14:paraId="2468514F" w14:textId="77777777" w:rsidR="00CD0355" w:rsidRPr="001531CD" w:rsidRDefault="00CD0355" w:rsidP="00CD0355">
      <w:pPr>
        <w:pStyle w:val="HistoricalNote"/>
      </w:pPr>
      <w:r w:rsidRPr="001531CD">
        <w:t>HISTORICAL NOTE:</w:t>
      </w:r>
      <w:r w:rsidRPr="001531CD">
        <w:tab/>
        <w:t>Promulgated by the Department of Agriculture, Seed Commission, LR 8:567 (November 1982), amended by the Department of Agriculture and Forestry, Office of Agricultural and Environmental Sciences, Seed Commission, LR 12:825 (December 1986), LR 23:1283 (October 1997), LR 26:235 (February 2000), repromulgated by the Department of Agriculture and Forestry, Office of Agricultural and Environmental Sciences, Agricultural Chemistry and Seed Commis</w:t>
      </w:r>
      <w:r>
        <w:t>sion, LR 39:2714 (October 2013), amended LR 40:750 (April 2014).</w:t>
      </w:r>
    </w:p>
    <w:p w14:paraId="5104033D" w14:textId="77777777" w:rsidR="00CD0355" w:rsidRPr="001531CD" w:rsidRDefault="00CD0355" w:rsidP="00CD0355">
      <w:pPr>
        <w:pStyle w:val="Section"/>
      </w:pPr>
      <w:bookmarkStart w:id="1121" w:name="_Toc224818791"/>
      <w:r w:rsidRPr="001531CD">
        <w:t>§523.</w:t>
      </w:r>
      <w:r w:rsidRPr="001531CD">
        <w:tab/>
        <w:t>Interagency Certification (Out-of-State Seed)</w:t>
      </w:r>
      <w:bookmarkEnd w:id="1121"/>
      <w:r w:rsidRPr="001531CD">
        <w:t xml:space="preserve"> </w:t>
      </w:r>
    </w:p>
    <w:p w14:paraId="21FD1633" w14:textId="77777777" w:rsidR="00CD0355" w:rsidRPr="001531CD" w:rsidRDefault="00CD0355" w:rsidP="00CD0355">
      <w:pPr>
        <w:pStyle w:val="A"/>
      </w:pPr>
      <w:r w:rsidRPr="00D55B14">
        <w:t>A.</w:t>
      </w:r>
      <w:r w:rsidRPr="00D55B14">
        <w:tab/>
        <w:t>Seed to be certified by interagency action must meet the seed certification standards established by the Seed Law and this Part or comparable standards of a seed certifying agency recognized by the commissioner.</w:t>
      </w:r>
    </w:p>
    <w:p w14:paraId="0549709B" w14:textId="77777777" w:rsidR="00CD0355" w:rsidRPr="001531CD" w:rsidRDefault="00CD0355" w:rsidP="00CD0355">
      <w:pPr>
        <w:pStyle w:val="A"/>
      </w:pPr>
      <w:r w:rsidRPr="001531CD">
        <w:t>B.</w:t>
      </w:r>
      <w:r w:rsidRPr="001531CD">
        <w:tab/>
        <w:t>Seed to be certified by interagency action must contain, on the package, evidence from another recognized certifying agency that the seed is eligible for certification.</w:t>
      </w:r>
    </w:p>
    <w:p w14:paraId="6D71A81F" w14:textId="77777777" w:rsidR="00CD0355" w:rsidRPr="001531CD" w:rsidRDefault="00CD0355" w:rsidP="00CD0355">
      <w:pPr>
        <w:pStyle w:val="A"/>
      </w:pPr>
      <w:r w:rsidRPr="001531CD">
        <w:t>C.</w:t>
      </w:r>
      <w:r w:rsidRPr="001531CD">
        <w:tab/>
        <w:t>The following information must accompany each lot of seed:</w:t>
      </w:r>
    </w:p>
    <w:p w14:paraId="3C4BA7D8" w14:textId="77777777" w:rsidR="00CD0355" w:rsidRPr="001531CD" w:rsidRDefault="00CD0355" w:rsidP="00CD0355">
      <w:pPr>
        <w:pStyle w:val="1"/>
      </w:pPr>
      <w:r w:rsidRPr="001531CD">
        <w:t>1.</w:t>
      </w:r>
      <w:r w:rsidRPr="001531CD">
        <w:tab/>
        <w:t>kind and variety;</w:t>
      </w:r>
    </w:p>
    <w:p w14:paraId="3D72E99A" w14:textId="77777777" w:rsidR="00CD0355" w:rsidRPr="001531CD" w:rsidRDefault="00CD0355" w:rsidP="00CD0355">
      <w:pPr>
        <w:pStyle w:val="1"/>
      </w:pPr>
      <w:r w:rsidRPr="001531CD">
        <w:t>2.</w:t>
      </w:r>
      <w:r w:rsidRPr="001531CD">
        <w:tab/>
        <w:t>quantity (pounds);</w:t>
      </w:r>
    </w:p>
    <w:p w14:paraId="7C789481" w14:textId="77777777" w:rsidR="00CD0355" w:rsidRPr="001531CD" w:rsidRDefault="00CD0355" w:rsidP="00CD0355">
      <w:pPr>
        <w:pStyle w:val="1"/>
      </w:pPr>
      <w:r w:rsidRPr="001531CD">
        <w:t>3.</w:t>
      </w:r>
      <w:r w:rsidRPr="001531CD">
        <w:tab/>
        <w:t>class; and</w:t>
      </w:r>
    </w:p>
    <w:p w14:paraId="38E617B8" w14:textId="77777777" w:rsidR="00CD0355" w:rsidRPr="001531CD" w:rsidRDefault="00CD0355" w:rsidP="00CD0355">
      <w:pPr>
        <w:pStyle w:val="1"/>
      </w:pPr>
      <w:r w:rsidRPr="001531CD">
        <w:t>4.</w:t>
      </w:r>
      <w:r w:rsidRPr="001531CD">
        <w:tab/>
        <w:t>lot number issued by previous certifying agency.</w:t>
      </w:r>
    </w:p>
    <w:p w14:paraId="6E28B53F" w14:textId="77777777" w:rsidR="00CD0355" w:rsidRPr="001531CD" w:rsidRDefault="00CD0355" w:rsidP="00CD0355">
      <w:pPr>
        <w:pStyle w:val="A"/>
      </w:pPr>
      <w:r w:rsidRPr="001531CD">
        <w:t>D.</w:t>
      </w:r>
      <w:r w:rsidRPr="001531CD">
        <w:tab/>
        <w:t>Seed to be certified by interagency action must be sequentially numbered.</w:t>
      </w:r>
    </w:p>
    <w:p w14:paraId="2ABE3610" w14:textId="77777777" w:rsidR="00CD0355" w:rsidRPr="001531CD" w:rsidRDefault="00CD0355" w:rsidP="00CD0355">
      <w:pPr>
        <w:pStyle w:val="A"/>
      </w:pPr>
      <w:r w:rsidRPr="001531CD">
        <w:t>E.</w:t>
      </w:r>
      <w:r w:rsidRPr="001531CD">
        <w:tab/>
        <w:t>A Louisiana tag for the appropriate class of seed must be attached to all seed to be certified by interagency action.</w:t>
      </w:r>
    </w:p>
    <w:p w14:paraId="5E2CC72C" w14:textId="77777777" w:rsidR="00CD0355" w:rsidRPr="001531CD" w:rsidRDefault="00CD0355" w:rsidP="00CD0355">
      <w:pPr>
        <w:pStyle w:val="AuthorityNote"/>
      </w:pPr>
      <w:r w:rsidRPr="00D55B14">
        <w:t>AUTHORITY NOTE:</w:t>
      </w:r>
      <w:r w:rsidRPr="00D55B14">
        <w:tab/>
        <w:t>Promulgated in accordance with R.S. 3:1433.</w:t>
      </w:r>
    </w:p>
    <w:p w14:paraId="76E1C822" w14:textId="77777777" w:rsidR="00CD0355" w:rsidRPr="001531CD" w:rsidRDefault="00CD0355" w:rsidP="00CD0355">
      <w:pPr>
        <w:pStyle w:val="HistoricalNote"/>
      </w:pPr>
      <w:r w:rsidRPr="001531CD">
        <w:t>HISTORICAL NOTE:</w:t>
      </w:r>
      <w:r w:rsidRPr="001531CD">
        <w:tab/>
        <w:t>Promulgated by the Department of Agriculture, Seed Commission, LR 8:566 (November 1982), amended LR 9:196 (April 1983), amended by the Department of Agriculture and Forestry, Office of Agricultural and Environmental Sciences, Seed Commission, LR 12:825 (December 1986), LR 23:1283 (October 1997), repromulgated by the Department of Agriculture and Forestry, Office of Agricultural and Environmental Sciences, Agricultural Chemistry and Seed Commis</w:t>
      </w:r>
      <w:r>
        <w:t>sion, LR 39:2714 (October 2013), amended LR 40:751 (April 2014).</w:t>
      </w:r>
    </w:p>
    <w:p w14:paraId="4EC7C8CC" w14:textId="77777777" w:rsidR="00CD0355" w:rsidRPr="001531CD" w:rsidRDefault="00CD0355" w:rsidP="00CD0355">
      <w:pPr>
        <w:pStyle w:val="Chapter"/>
      </w:pPr>
      <w:bookmarkStart w:id="1122" w:name="_Toc224818792"/>
      <w:r w:rsidRPr="001531CD">
        <w:t>Chapter 7.</w:t>
      </w:r>
      <w:r w:rsidRPr="001531CD">
        <w:tab/>
        <w:t>Certification of Specific Crops/Varieties</w:t>
      </w:r>
      <w:bookmarkEnd w:id="1122"/>
    </w:p>
    <w:p w14:paraId="616F0B1B" w14:textId="77777777" w:rsidR="00CD0355" w:rsidRPr="001531CD" w:rsidRDefault="00CD0355" w:rsidP="00CD0355">
      <w:pPr>
        <w:pStyle w:val="Chapter"/>
      </w:pPr>
      <w:bookmarkStart w:id="1123" w:name="_Toc224818793"/>
      <w:r w:rsidRPr="001531CD">
        <w:t>Subchapter A.</w:t>
      </w:r>
      <w:r w:rsidRPr="001531CD">
        <w:tab/>
        <w:t>Grasses and Clovers</w:t>
      </w:r>
      <w:bookmarkEnd w:id="1123"/>
    </w:p>
    <w:p w14:paraId="7C09F235" w14:textId="77777777" w:rsidR="00CD0355" w:rsidRPr="001531CD" w:rsidRDefault="00CD0355" w:rsidP="00CD0355">
      <w:pPr>
        <w:pStyle w:val="Section"/>
      </w:pPr>
      <w:bookmarkStart w:id="1124" w:name="_Toc224818794"/>
      <w:r w:rsidRPr="001531CD">
        <w:t>§701.</w:t>
      </w:r>
      <w:r w:rsidRPr="001531CD">
        <w:tab/>
        <w:t>Crimson Clover Seed Certification Standards</w:t>
      </w:r>
      <w:bookmarkEnd w:id="1124"/>
      <w:r w:rsidRPr="001531CD">
        <w:t xml:space="preserve"> </w:t>
      </w:r>
    </w:p>
    <w:p w14:paraId="249DCE92" w14:textId="77777777" w:rsidR="00CD0355" w:rsidRPr="001531CD" w:rsidRDefault="00CD0355" w:rsidP="00CD0355">
      <w:pPr>
        <w:pStyle w:val="A"/>
      </w:pPr>
      <w:r w:rsidRPr="001531CD">
        <w:t>A.</w:t>
      </w:r>
      <w:r w:rsidRPr="001531CD">
        <w:tab/>
        <w:t>Field Standards</w:t>
      </w:r>
    </w:p>
    <w:tbl>
      <w:tblPr>
        <w:tblW w:w="5107"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Look w:val="0000" w:firstRow="0" w:lastRow="0" w:firstColumn="0" w:lastColumn="0" w:noHBand="0" w:noVBand="0"/>
      </w:tblPr>
      <w:tblGrid>
        <w:gridCol w:w="1462"/>
        <w:gridCol w:w="809"/>
        <w:gridCol w:w="1080"/>
        <w:gridCol w:w="900"/>
        <w:gridCol w:w="856"/>
      </w:tblGrid>
      <w:tr w:rsidR="00CD0355" w:rsidRPr="001531CD" w14:paraId="57CAAF03" w14:textId="77777777" w:rsidTr="00CD0355">
        <w:trPr>
          <w:jc w:val="center"/>
        </w:trPr>
        <w:tc>
          <w:tcPr>
            <w:tcW w:w="1462" w:type="dxa"/>
            <w:tcBorders>
              <w:top w:val="double" w:sz="6" w:space="0" w:color="000000"/>
              <w:bottom w:val="single" w:sz="6" w:space="0" w:color="auto"/>
            </w:tcBorders>
            <w:shd w:val="clear" w:color="auto" w:fill="BFBFBF"/>
          </w:tcPr>
          <w:p w14:paraId="550A7F7E"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809" w:type="dxa"/>
            <w:tcBorders>
              <w:top w:val="double" w:sz="6" w:space="0" w:color="000000"/>
              <w:bottom w:val="single" w:sz="6" w:space="0" w:color="auto"/>
            </w:tcBorders>
            <w:shd w:val="clear" w:color="auto" w:fill="BFBFBF"/>
          </w:tcPr>
          <w:p w14:paraId="0EC9F76B"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auto"/>
            </w:tcBorders>
            <w:shd w:val="clear" w:color="auto" w:fill="BFBFBF"/>
          </w:tcPr>
          <w:p w14:paraId="752573E6"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auto"/>
            </w:tcBorders>
            <w:shd w:val="clear" w:color="auto" w:fill="BFBFBF"/>
          </w:tcPr>
          <w:p w14:paraId="38DC28F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Required</w:t>
            </w:r>
          </w:p>
        </w:tc>
        <w:tc>
          <w:tcPr>
            <w:tcW w:w="856" w:type="dxa"/>
            <w:tcBorders>
              <w:top w:val="double" w:sz="6" w:space="0" w:color="000000"/>
              <w:bottom w:val="single" w:sz="6" w:space="0" w:color="auto"/>
            </w:tcBorders>
            <w:shd w:val="clear" w:color="auto" w:fill="BFBFBF"/>
          </w:tcPr>
          <w:p w14:paraId="711BEFC8"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34273B27" w14:textId="77777777" w:rsidTr="00CD0355">
        <w:trPr>
          <w:jc w:val="center"/>
        </w:trPr>
        <w:tc>
          <w:tcPr>
            <w:tcW w:w="1462" w:type="dxa"/>
            <w:tcBorders>
              <w:top w:val="single" w:sz="6" w:space="0" w:color="auto"/>
            </w:tcBorders>
            <w:vAlign w:val="bottom"/>
          </w:tcPr>
          <w:p w14:paraId="15A8DA89"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809" w:type="dxa"/>
            <w:tcBorders>
              <w:top w:val="single" w:sz="6" w:space="0" w:color="auto"/>
            </w:tcBorders>
            <w:vAlign w:val="bottom"/>
          </w:tcPr>
          <w:p w14:paraId="09D4887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auto"/>
            </w:tcBorders>
            <w:vAlign w:val="bottom"/>
          </w:tcPr>
          <w:p w14:paraId="39834C9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00" w:type="dxa"/>
            <w:tcBorders>
              <w:top w:val="single" w:sz="6" w:space="0" w:color="auto"/>
            </w:tcBorders>
            <w:vAlign w:val="bottom"/>
          </w:tcPr>
          <w:p w14:paraId="7D1EFCA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856" w:type="dxa"/>
            <w:tcBorders>
              <w:top w:val="single" w:sz="6" w:space="0" w:color="auto"/>
            </w:tcBorders>
            <w:vAlign w:val="bottom"/>
          </w:tcPr>
          <w:p w14:paraId="28CF4F7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14:paraId="7FC2DC0F" w14:textId="77777777" w:rsidTr="00CD0355">
        <w:trPr>
          <w:trHeight w:val="70"/>
          <w:jc w:val="center"/>
        </w:trPr>
        <w:tc>
          <w:tcPr>
            <w:tcW w:w="1462" w:type="dxa"/>
          </w:tcPr>
          <w:p w14:paraId="60151B3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809" w:type="dxa"/>
          </w:tcPr>
          <w:p w14:paraId="24C2C55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1080" w:type="dxa"/>
          </w:tcPr>
          <w:p w14:paraId="5F1A17D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900" w:type="dxa"/>
          </w:tcPr>
          <w:p w14:paraId="0712510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856" w:type="dxa"/>
          </w:tcPr>
          <w:p w14:paraId="64BB47E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 ft.</w:t>
            </w:r>
          </w:p>
        </w:tc>
      </w:tr>
      <w:tr w:rsidR="00CD0355" w:rsidRPr="001531CD" w14:paraId="781E68A1" w14:textId="77777777" w:rsidTr="00CD0355">
        <w:trPr>
          <w:trHeight w:val="151"/>
          <w:jc w:val="center"/>
        </w:trPr>
        <w:tc>
          <w:tcPr>
            <w:tcW w:w="1462" w:type="dxa"/>
          </w:tcPr>
          <w:p w14:paraId="7181158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809" w:type="dxa"/>
          </w:tcPr>
          <w:p w14:paraId="00247D7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Pr>
          <w:p w14:paraId="12EF185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tcPr>
          <w:p w14:paraId="798501E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856" w:type="dxa"/>
          </w:tcPr>
          <w:p w14:paraId="7EA76D7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1531CD" w14:paraId="361A7FB0" w14:textId="77777777" w:rsidTr="00CD0355">
        <w:trPr>
          <w:trHeight w:val="107"/>
          <w:jc w:val="center"/>
        </w:trPr>
        <w:tc>
          <w:tcPr>
            <w:tcW w:w="1462" w:type="dxa"/>
            <w:tcBorders>
              <w:bottom w:val="double" w:sz="6" w:space="0" w:color="000000"/>
            </w:tcBorders>
          </w:tcPr>
          <w:p w14:paraId="41A0EDF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809" w:type="dxa"/>
            <w:tcBorders>
              <w:bottom w:val="double" w:sz="6" w:space="0" w:color="000000"/>
            </w:tcBorders>
          </w:tcPr>
          <w:p w14:paraId="55D4D6F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tcPr>
          <w:p w14:paraId="6148C11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tcBorders>
              <w:bottom w:val="double" w:sz="6" w:space="0" w:color="000000"/>
            </w:tcBorders>
          </w:tcPr>
          <w:p w14:paraId="3F23672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6" w:type="dxa"/>
            <w:tcBorders>
              <w:bottom w:val="double" w:sz="6" w:space="0" w:color="000000"/>
            </w:tcBorders>
          </w:tcPr>
          <w:p w14:paraId="4C38B23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14:paraId="31A15F40" w14:textId="77777777" w:rsidR="00CD0355" w:rsidRPr="001531CD" w:rsidRDefault="00CD0355" w:rsidP="00CD0355">
      <w:pPr>
        <w:pStyle w:val="A"/>
        <w:spacing w:after="0"/>
      </w:pPr>
    </w:p>
    <w:p w14:paraId="16CFEBB3" w14:textId="77777777" w:rsidR="00CD0355" w:rsidRPr="001531CD" w:rsidRDefault="00CD0355" w:rsidP="00CD0355">
      <w:pPr>
        <w:pStyle w:val="A"/>
      </w:pPr>
      <w:r w:rsidRPr="001531CD">
        <w:t>B.</w:t>
      </w:r>
      <w:r w:rsidRPr="001531CD">
        <w:tab/>
        <w:t>Seed Standards</w:t>
      </w:r>
    </w:p>
    <w:tbl>
      <w:tblPr>
        <w:tblW w:w="51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84"/>
        <w:gridCol w:w="966"/>
        <w:gridCol w:w="1080"/>
        <w:gridCol w:w="900"/>
        <w:gridCol w:w="894"/>
      </w:tblGrid>
      <w:tr w:rsidR="00CD0355" w:rsidRPr="001531CD" w14:paraId="27537D32" w14:textId="77777777" w:rsidTr="00CD0355">
        <w:trPr>
          <w:cantSplit/>
          <w:tblHeader/>
          <w:jc w:val="center"/>
        </w:trPr>
        <w:tc>
          <w:tcPr>
            <w:tcW w:w="1284" w:type="dxa"/>
            <w:tcBorders>
              <w:top w:val="double" w:sz="6" w:space="0" w:color="000000"/>
              <w:bottom w:val="single" w:sz="6" w:space="0" w:color="000000"/>
            </w:tcBorders>
            <w:shd w:val="clear" w:color="auto" w:fill="BFBFBF"/>
          </w:tcPr>
          <w:p w14:paraId="4191F683"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966" w:type="dxa"/>
            <w:tcBorders>
              <w:top w:val="double" w:sz="6" w:space="0" w:color="000000"/>
              <w:bottom w:val="single" w:sz="6" w:space="0" w:color="000000"/>
            </w:tcBorders>
            <w:shd w:val="clear" w:color="auto" w:fill="BFBFBF"/>
            <w:vAlign w:val="center"/>
          </w:tcPr>
          <w:p w14:paraId="17AADA2E"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000000"/>
            </w:tcBorders>
            <w:shd w:val="clear" w:color="auto" w:fill="BFBFBF"/>
            <w:vAlign w:val="center"/>
          </w:tcPr>
          <w:p w14:paraId="1080E158"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000000"/>
            </w:tcBorders>
            <w:shd w:val="clear" w:color="auto" w:fill="BFBFBF"/>
            <w:vAlign w:val="center"/>
          </w:tcPr>
          <w:p w14:paraId="3B519D26"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94" w:type="dxa"/>
            <w:tcBorders>
              <w:top w:val="double" w:sz="6" w:space="0" w:color="000000"/>
              <w:bottom w:val="single" w:sz="6" w:space="0" w:color="000000"/>
            </w:tcBorders>
            <w:shd w:val="clear" w:color="auto" w:fill="BFBFBF"/>
            <w:vAlign w:val="center"/>
          </w:tcPr>
          <w:p w14:paraId="45068CC7"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016B5D05" w14:textId="77777777" w:rsidTr="00CD0355">
        <w:trPr>
          <w:cantSplit/>
          <w:jc w:val="center"/>
        </w:trPr>
        <w:tc>
          <w:tcPr>
            <w:tcW w:w="1284" w:type="dxa"/>
            <w:tcBorders>
              <w:top w:val="single" w:sz="6" w:space="0" w:color="000000"/>
            </w:tcBorders>
          </w:tcPr>
          <w:p w14:paraId="48F6A4E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966" w:type="dxa"/>
            <w:tcBorders>
              <w:top w:val="single" w:sz="6" w:space="0" w:color="000000"/>
            </w:tcBorders>
            <w:vAlign w:val="center"/>
          </w:tcPr>
          <w:p w14:paraId="3921258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80" w:type="dxa"/>
            <w:tcBorders>
              <w:top w:val="single" w:sz="6" w:space="0" w:color="000000"/>
            </w:tcBorders>
            <w:vAlign w:val="center"/>
          </w:tcPr>
          <w:p w14:paraId="47A9B6A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00" w:type="dxa"/>
            <w:tcBorders>
              <w:top w:val="single" w:sz="6" w:space="0" w:color="000000"/>
            </w:tcBorders>
            <w:vAlign w:val="center"/>
          </w:tcPr>
          <w:p w14:paraId="54D14C9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894" w:type="dxa"/>
            <w:tcBorders>
              <w:top w:val="single" w:sz="6" w:space="0" w:color="000000"/>
            </w:tcBorders>
            <w:vAlign w:val="center"/>
          </w:tcPr>
          <w:p w14:paraId="7C73CC2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14:paraId="0233A77D" w14:textId="77777777" w:rsidTr="00CD0355">
        <w:trPr>
          <w:cantSplit/>
          <w:jc w:val="center"/>
        </w:trPr>
        <w:tc>
          <w:tcPr>
            <w:tcW w:w="1284" w:type="dxa"/>
          </w:tcPr>
          <w:p w14:paraId="0EDC378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966" w:type="dxa"/>
            <w:vAlign w:val="center"/>
          </w:tcPr>
          <w:p w14:paraId="3149E33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80" w:type="dxa"/>
            <w:vAlign w:val="center"/>
          </w:tcPr>
          <w:p w14:paraId="7A9DD54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00" w:type="dxa"/>
            <w:vAlign w:val="center"/>
          </w:tcPr>
          <w:p w14:paraId="140B303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94" w:type="dxa"/>
            <w:vAlign w:val="center"/>
          </w:tcPr>
          <w:p w14:paraId="0C465B9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6B1D3692" w14:textId="77777777" w:rsidTr="00CD0355">
        <w:trPr>
          <w:cantSplit/>
          <w:jc w:val="center"/>
        </w:trPr>
        <w:tc>
          <w:tcPr>
            <w:tcW w:w="1284" w:type="dxa"/>
          </w:tcPr>
          <w:p w14:paraId="12AD29C6"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966" w:type="dxa"/>
            <w:vAlign w:val="center"/>
          </w:tcPr>
          <w:p w14:paraId="18284FB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14:paraId="5D873EE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00" w:type="dxa"/>
            <w:vAlign w:val="center"/>
          </w:tcPr>
          <w:p w14:paraId="2885F85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94" w:type="dxa"/>
            <w:vAlign w:val="center"/>
          </w:tcPr>
          <w:p w14:paraId="36941CA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14:paraId="13B8A73F" w14:textId="77777777" w:rsidTr="00CD0355">
        <w:trPr>
          <w:cantSplit/>
          <w:jc w:val="center"/>
        </w:trPr>
        <w:tc>
          <w:tcPr>
            <w:tcW w:w="1284" w:type="dxa"/>
          </w:tcPr>
          <w:p w14:paraId="5AC3667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966" w:type="dxa"/>
            <w:vAlign w:val="center"/>
          </w:tcPr>
          <w:p w14:paraId="153DCA0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14:paraId="7E7B50B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center"/>
          </w:tcPr>
          <w:p w14:paraId="5BD574B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45 seed/lb.</w:t>
            </w:r>
          </w:p>
        </w:tc>
        <w:tc>
          <w:tcPr>
            <w:tcW w:w="894" w:type="dxa"/>
            <w:vAlign w:val="center"/>
          </w:tcPr>
          <w:p w14:paraId="26EAAB4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r>
      <w:tr w:rsidR="00CD0355" w:rsidRPr="001531CD" w14:paraId="4DEABA38" w14:textId="77777777" w:rsidTr="00CD0355">
        <w:trPr>
          <w:cantSplit/>
          <w:jc w:val="center"/>
        </w:trPr>
        <w:tc>
          <w:tcPr>
            <w:tcW w:w="1284" w:type="dxa"/>
          </w:tcPr>
          <w:p w14:paraId="2DF4CC11"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966" w:type="dxa"/>
            <w:vAlign w:val="center"/>
          </w:tcPr>
          <w:p w14:paraId="23457A2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14:paraId="3B6BD2B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center"/>
          </w:tcPr>
          <w:p w14:paraId="327F277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94" w:type="dxa"/>
            <w:vAlign w:val="center"/>
          </w:tcPr>
          <w:p w14:paraId="531B006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48DFE8E8" w14:textId="77777777" w:rsidTr="00CD0355">
        <w:trPr>
          <w:cantSplit/>
          <w:jc w:val="center"/>
        </w:trPr>
        <w:tc>
          <w:tcPr>
            <w:tcW w:w="1284" w:type="dxa"/>
          </w:tcPr>
          <w:p w14:paraId="40F6D18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966" w:type="dxa"/>
            <w:vAlign w:val="center"/>
          </w:tcPr>
          <w:p w14:paraId="57D12A6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25 seed/lb.</w:t>
            </w:r>
          </w:p>
        </w:tc>
        <w:tc>
          <w:tcPr>
            <w:tcW w:w="1080" w:type="dxa"/>
            <w:vAlign w:val="center"/>
          </w:tcPr>
          <w:p w14:paraId="0E5526D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900" w:type="dxa"/>
            <w:vAlign w:val="center"/>
          </w:tcPr>
          <w:p w14:paraId="73BEA82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180 seed/lb.</w:t>
            </w:r>
          </w:p>
        </w:tc>
        <w:tc>
          <w:tcPr>
            <w:tcW w:w="894" w:type="dxa"/>
            <w:vAlign w:val="center"/>
          </w:tcPr>
          <w:p w14:paraId="744652B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360 seed/lb</w:t>
            </w:r>
          </w:p>
        </w:tc>
      </w:tr>
      <w:tr w:rsidR="00CD0355" w:rsidRPr="001531CD" w14:paraId="0D54B1EB" w14:textId="77777777" w:rsidTr="00CD0355">
        <w:trPr>
          <w:cantSplit/>
          <w:jc w:val="center"/>
        </w:trPr>
        <w:tc>
          <w:tcPr>
            <w:tcW w:w="1284" w:type="dxa"/>
            <w:tcBorders>
              <w:bottom w:val="double" w:sz="6" w:space="0" w:color="000000"/>
            </w:tcBorders>
          </w:tcPr>
          <w:p w14:paraId="50F6EF8F"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966" w:type="dxa"/>
            <w:tcBorders>
              <w:bottom w:val="double" w:sz="6" w:space="0" w:color="000000"/>
            </w:tcBorders>
            <w:vAlign w:val="center"/>
          </w:tcPr>
          <w:p w14:paraId="2C5134A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vAlign w:val="center"/>
          </w:tcPr>
          <w:p w14:paraId="425D3C7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00" w:type="dxa"/>
            <w:tcBorders>
              <w:bottom w:val="double" w:sz="6" w:space="0" w:color="000000"/>
            </w:tcBorders>
            <w:vAlign w:val="center"/>
          </w:tcPr>
          <w:p w14:paraId="0DE46BC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894" w:type="dxa"/>
            <w:tcBorders>
              <w:bottom w:val="double" w:sz="6" w:space="0" w:color="000000"/>
            </w:tcBorders>
            <w:vAlign w:val="center"/>
          </w:tcPr>
          <w:p w14:paraId="0F06A78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14:paraId="053A44BD" w14:textId="77777777" w:rsidR="00CD0355" w:rsidRPr="001531CD" w:rsidRDefault="00CD0355" w:rsidP="00CD0355">
      <w:pPr>
        <w:pStyle w:val="A"/>
        <w:spacing w:after="0"/>
      </w:pPr>
    </w:p>
    <w:p w14:paraId="276BBB43" w14:textId="77777777" w:rsidR="00CD0355" w:rsidRPr="001531CD" w:rsidRDefault="00CD0355" w:rsidP="00CD0355">
      <w:pPr>
        <w:pStyle w:val="AuthorityNote"/>
      </w:pPr>
      <w:r w:rsidRPr="001531CD">
        <w:t>AUTHORITY NOTE:</w:t>
      </w:r>
      <w:r w:rsidRPr="001531CD">
        <w:tab/>
        <w:t>Promulgated in accordance with R.S. 3:1433.</w:t>
      </w:r>
    </w:p>
    <w:p w14:paraId="6AFBC072" w14:textId="77777777" w:rsidR="00CD0355" w:rsidRPr="001531CD" w:rsidRDefault="00CD0355" w:rsidP="00CD0355">
      <w:pPr>
        <w:pStyle w:val="HistoricalNote"/>
      </w:pPr>
      <w:r w:rsidRPr="001531CD">
        <w:t>HISTORICAL NOTE:</w:t>
      </w:r>
      <w:r w:rsidRPr="001531CD">
        <w:tab/>
        <w:t>Promulgated by the Department of Agriculture, Seed Commission, LR 8:569 (November 1982), amended LR 9:198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39:2715 (October 2013).</w:t>
      </w:r>
    </w:p>
    <w:p w14:paraId="5712BDB7" w14:textId="77777777" w:rsidR="00CD0355" w:rsidRPr="001531CD" w:rsidRDefault="00CD0355" w:rsidP="00CD0355">
      <w:pPr>
        <w:pStyle w:val="Section"/>
      </w:pPr>
      <w:bookmarkStart w:id="1125" w:name="_Toc224818795"/>
      <w:r w:rsidRPr="001531CD">
        <w:t>§703.</w:t>
      </w:r>
      <w:r w:rsidRPr="001531CD">
        <w:tab/>
        <w:t>Louisiana White; Louisiana White S 1, Ladino and Other White Clover Seed Certification Standards</w:t>
      </w:r>
      <w:bookmarkEnd w:id="1125"/>
    </w:p>
    <w:p w14:paraId="0504E954" w14:textId="77777777" w:rsidR="00CD0355" w:rsidRPr="001531CD" w:rsidRDefault="00CD0355" w:rsidP="00CD0355">
      <w:pPr>
        <w:pStyle w:val="A"/>
      </w:pPr>
      <w:r w:rsidRPr="001531CD">
        <w:t>A.</w:t>
      </w:r>
      <w:r w:rsidRPr="001531CD">
        <w:tab/>
        <w:t>Field Standards</w:t>
      </w:r>
    </w:p>
    <w:tbl>
      <w:tblPr>
        <w:tblW w:w="4878"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47"/>
        <w:gridCol w:w="768"/>
        <w:gridCol w:w="1025"/>
        <w:gridCol w:w="938"/>
        <w:gridCol w:w="854"/>
      </w:tblGrid>
      <w:tr w:rsidR="00CD0355" w:rsidRPr="001531CD" w14:paraId="62DEFAE5" w14:textId="77777777" w:rsidTr="00CD0355">
        <w:trPr>
          <w:cantSplit/>
          <w:tblHeader/>
          <w:jc w:val="center"/>
        </w:trPr>
        <w:tc>
          <w:tcPr>
            <w:tcW w:w="1212" w:type="pct"/>
            <w:tcBorders>
              <w:top w:val="double" w:sz="6" w:space="0" w:color="000000"/>
              <w:bottom w:val="single" w:sz="6" w:space="0" w:color="000000"/>
            </w:tcBorders>
            <w:shd w:val="clear" w:color="auto" w:fill="BFBFBF"/>
            <w:vAlign w:val="center"/>
          </w:tcPr>
          <w:p w14:paraId="2877F8CF"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812" w:type="pct"/>
            <w:tcBorders>
              <w:top w:val="double" w:sz="6" w:space="0" w:color="000000"/>
              <w:bottom w:val="single" w:sz="6" w:space="0" w:color="000000"/>
            </w:tcBorders>
            <w:shd w:val="clear" w:color="auto" w:fill="BFBFBF"/>
            <w:vAlign w:val="center"/>
          </w:tcPr>
          <w:p w14:paraId="1D90E702"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Breeder</w:t>
            </w:r>
          </w:p>
        </w:tc>
        <w:tc>
          <w:tcPr>
            <w:tcW w:w="1083" w:type="pct"/>
            <w:tcBorders>
              <w:top w:val="double" w:sz="6" w:space="0" w:color="000000"/>
              <w:bottom w:val="single" w:sz="6" w:space="0" w:color="000000"/>
            </w:tcBorders>
            <w:shd w:val="clear" w:color="auto" w:fill="BFBFBF"/>
            <w:vAlign w:val="center"/>
          </w:tcPr>
          <w:p w14:paraId="5AFAE7FB"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Foundation</w:t>
            </w:r>
          </w:p>
        </w:tc>
        <w:tc>
          <w:tcPr>
            <w:tcW w:w="991" w:type="pct"/>
            <w:tcBorders>
              <w:top w:val="double" w:sz="6" w:space="0" w:color="000000"/>
              <w:bottom w:val="single" w:sz="6" w:space="0" w:color="000000"/>
            </w:tcBorders>
            <w:shd w:val="clear" w:color="auto" w:fill="BFBFBF"/>
            <w:vAlign w:val="center"/>
          </w:tcPr>
          <w:p w14:paraId="66A2611F" w14:textId="77777777" w:rsidR="00CD0355" w:rsidRPr="00622FBB" w:rsidRDefault="00CD0355" w:rsidP="00CD0355">
            <w:pPr>
              <w:tabs>
                <w:tab w:val="left" w:pos="180"/>
                <w:tab w:val="left" w:pos="360"/>
                <w:tab w:val="left" w:pos="1080"/>
                <w:tab w:val="left" w:pos="5940"/>
                <w:tab w:val="left" w:pos="8640"/>
              </w:tabs>
              <w:jc w:val="center"/>
              <w:rPr>
                <w:rFonts w:ascii="Times New Roman Bold" w:hAnsi="Times New Roman Bold"/>
                <w:b/>
                <w:bCs/>
                <w:spacing w:val="-10"/>
                <w:sz w:val="16"/>
                <w:szCs w:val="16"/>
              </w:rPr>
            </w:pPr>
            <w:r w:rsidRPr="00622FBB">
              <w:rPr>
                <w:rFonts w:ascii="Times New Roman Bold" w:hAnsi="Times New Roman Bold"/>
                <w:b/>
                <w:bCs/>
                <w:spacing w:val="-10"/>
                <w:sz w:val="16"/>
                <w:szCs w:val="16"/>
              </w:rPr>
              <w:t>Registered</w:t>
            </w:r>
          </w:p>
        </w:tc>
        <w:tc>
          <w:tcPr>
            <w:tcW w:w="902" w:type="pct"/>
            <w:tcBorders>
              <w:top w:val="double" w:sz="6" w:space="0" w:color="000000"/>
              <w:bottom w:val="single" w:sz="6" w:space="0" w:color="000000"/>
            </w:tcBorders>
            <w:shd w:val="clear" w:color="auto" w:fill="BFBFBF"/>
            <w:vAlign w:val="center"/>
          </w:tcPr>
          <w:p w14:paraId="7E74D366"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Certified</w:t>
            </w:r>
          </w:p>
        </w:tc>
      </w:tr>
      <w:tr w:rsidR="00CD0355" w:rsidRPr="001531CD" w14:paraId="6F00F787" w14:textId="77777777" w:rsidTr="00CD0355">
        <w:trPr>
          <w:cantSplit/>
          <w:trHeight w:val="275"/>
          <w:jc w:val="center"/>
        </w:trPr>
        <w:tc>
          <w:tcPr>
            <w:tcW w:w="1212" w:type="pct"/>
            <w:tcBorders>
              <w:top w:val="single" w:sz="6" w:space="0" w:color="000000"/>
            </w:tcBorders>
          </w:tcPr>
          <w:p w14:paraId="1F4C135D"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Land Requirement</w:t>
            </w:r>
          </w:p>
        </w:tc>
        <w:tc>
          <w:tcPr>
            <w:tcW w:w="812" w:type="pct"/>
            <w:tcBorders>
              <w:top w:val="single" w:sz="6" w:space="0" w:color="000000"/>
            </w:tcBorders>
            <w:vAlign w:val="bottom"/>
          </w:tcPr>
          <w:p w14:paraId="448F870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 yrs.</w:t>
            </w:r>
            <w:r w:rsidRPr="001531CD">
              <w:rPr>
                <w:sz w:val="16"/>
                <w:szCs w:val="16"/>
                <w:vertAlign w:val="superscript"/>
              </w:rPr>
              <w:t>1</w:t>
            </w:r>
          </w:p>
        </w:tc>
        <w:tc>
          <w:tcPr>
            <w:tcW w:w="1083" w:type="pct"/>
            <w:tcBorders>
              <w:top w:val="single" w:sz="6" w:space="0" w:color="000000"/>
            </w:tcBorders>
            <w:vAlign w:val="bottom"/>
          </w:tcPr>
          <w:p w14:paraId="513C639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 yrs.</w:t>
            </w:r>
            <w:r w:rsidRPr="001531CD">
              <w:rPr>
                <w:sz w:val="16"/>
                <w:szCs w:val="16"/>
                <w:vertAlign w:val="superscript"/>
              </w:rPr>
              <w:t>1</w:t>
            </w:r>
          </w:p>
        </w:tc>
        <w:tc>
          <w:tcPr>
            <w:tcW w:w="991" w:type="pct"/>
            <w:tcBorders>
              <w:top w:val="single" w:sz="6" w:space="0" w:color="000000"/>
            </w:tcBorders>
            <w:vAlign w:val="bottom"/>
          </w:tcPr>
          <w:p w14:paraId="14C4C92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3 yrs.</w:t>
            </w:r>
            <w:r w:rsidRPr="001531CD">
              <w:rPr>
                <w:sz w:val="16"/>
                <w:szCs w:val="16"/>
                <w:vertAlign w:val="superscript"/>
              </w:rPr>
              <w:t>1</w:t>
            </w:r>
          </w:p>
        </w:tc>
        <w:tc>
          <w:tcPr>
            <w:tcW w:w="902" w:type="pct"/>
            <w:tcBorders>
              <w:top w:val="single" w:sz="6" w:space="0" w:color="000000"/>
            </w:tcBorders>
            <w:vAlign w:val="bottom"/>
          </w:tcPr>
          <w:p w14:paraId="5C66CE3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 yrs.</w:t>
            </w:r>
            <w:r w:rsidRPr="001531CD">
              <w:rPr>
                <w:sz w:val="16"/>
                <w:szCs w:val="16"/>
                <w:vertAlign w:val="superscript"/>
              </w:rPr>
              <w:t>2</w:t>
            </w:r>
          </w:p>
        </w:tc>
      </w:tr>
      <w:tr w:rsidR="00CD0355" w:rsidRPr="001531CD" w14:paraId="29897D6C" w14:textId="77777777" w:rsidTr="00CD0355">
        <w:trPr>
          <w:cantSplit/>
          <w:jc w:val="center"/>
        </w:trPr>
        <w:tc>
          <w:tcPr>
            <w:tcW w:w="1212" w:type="pct"/>
          </w:tcPr>
          <w:p w14:paraId="1324EC0F"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Isolation</w:t>
            </w:r>
          </w:p>
        </w:tc>
        <w:tc>
          <w:tcPr>
            <w:tcW w:w="812" w:type="pct"/>
            <w:vAlign w:val="bottom"/>
          </w:tcPr>
          <w:p w14:paraId="0A80B23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1,320 ft.</w:t>
            </w:r>
          </w:p>
        </w:tc>
        <w:tc>
          <w:tcPr>
            <w:tcW w:w="1083" w:type="pct"/>
            <w:vAlign w:val="bottom"/>
          </w:tcPr>
          <w:p w14:paraId="06420615"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1,320 ft.</w:t>
            </w:r>
          </w:p>
        </w:tc>
        <w:tc>
          <w:tcPr>
            <w:tcW w:w="991" w:type="pct"/>
            <w:vAlign w:val="bottom"/>
          </w:tcPr>
          <w:p w14:paraId="2DF01125"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660 ft.</w:t>
            </w:r>
          </w:p>
        </w:tc>
        <w:tc>
          <w:tcPr>
            <w:tcW w:w="902" w:type="pct"/>
            <w:vAlign w:val="bottom"/>
          </w:tcPr>
          <w:p w14:paraId="6DCE9726"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330 ft.</w:t>
            </w:r>
          </w:p>
        </w:tc>
      </w:tr>
      <w:tr w:rsidR="00CD0355" w:rsidRPr="001531CD" w14:paraId="1E679039" w14:textId="77777777" w:rsidTr="00CD0355">
        <w:trPr>
          <w:cantSplit/>
          <w:trHeight w:val="939"/>
          <w:jc w:val="center"/>
        </w:trPr>
        <w:tc>
          <w:tcPr>
            <w:tcW w:w="1212" w:type="pct"/>
          </w:tcPr>
          <w:p w14:paraId="1A9D7260"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Varieties and/or Species that can be differentiated from the variety being certified</w:t>
            </w:r>
          </w:p>
        </w:tc>
        <w:tc>
          <w:tcPr>
            <w:tcW w:w="812" w:type="pct"/>
            <w:vAlign w:val="bottom"/>
          </w:tcPr>
          <w:p w14:paraId="2539940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3" w:type="pct"/>
            <w:vAlign w:val="bottom"/>
          </w:tcPr>
          <w:p w14:paraId="2CF1CC5B"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1" w:type="pct"/>
            <w:vAlign w:val="bottom"/>
          </w:tcPr>
          <w:p w14:paraId="53398EC8"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02" w:type="pct"/>
            <w:vAlign w:val="bottom"/>
          </w:tcPr>
          <w:p w14:paraId="622772A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14:paraId="073ECE5F" w14:textId="77777777" w:rsidTr="00CD0355">
        <w:trPr>
          <w:cantSplit/>
          <w:jc w:val="center"/>
        </w:trPr>
        <w:tc>
          <w:tcPr>
            <w:tcW w:w="1212" w:type="pct"/>
            <w:vAlign w:val="center"/>
          </w:tcPr>
          <w:p w14:paraId="06149CB9"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Crops (inseparable)</w:t>
            </w:r>
          </w:p>
        </w:tc>
        <w:tc>
          <w:tcPr>
            <w:tcW w:w="812" w:type="pct"/>
            <w:vAlign w:val="bottom"/>
          </w:tcPr>
          <w:p w14:paraId="5FCD19A8"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Plants per Acre</w:t>
            </w:r>
          </w:p>
        </w:tc>
        <w:tc>
          <w:tcPr>
            <w:tcW w:w="1083" w:type="pct"/>
            <w:vAlign w:val="bottom"/>
          </w:tcPr>
          <w:p w14:paraId="5A5E219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Plants per Acre</w:t>
            </w:r>
          </w:p>
        </w:tc>
        <w:tc>
          <w:tcPr>
            <w:tcW w:w="991" w:type="pct"/>
            <w:vAlign w:val="bottom"/>
          </w:tcPr>
          <w:p w14:paraId="683A81D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50 Plants per Acre</w:t>
            </w:r>
          </w:p>
        </w:tc>
        <w:tc>
          <w:tcPr>
            <w:tcW w:w="902" w:type="pct"/>
            <w:vAlign w:val="bottom"/>
          </w:tcPr>
          <w:p w14:paraId="279481A8"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 Plants per Acre</w:t>
            </w:r>
          </w:p>
        </w:tc>
      </w:tr>
      <w:tr w:rsidR="00CD0355" w:rsidRPr="001531CD" w14:paraId="2EACFCC3" w14:textId="77777777" w:rsidTr="00CD0355">
        <w:trPr>
          <w:cantSplit/>
          <w:trHeight w:val="1218"/>
          <w:jc w:val="center"/>
        </w:trPr>
        <w:tc>
          <w:tcPr>
            <w:tcW w:w="5000" w:type="pct"/>
            <w:gridSpan w:val="5"/>
            <w:tcBorders>
              <w:bottom w:val="double" w:sz="6" w:space="0" w:color="000000"/>
            </w:tcBorders>
          </w:tcPr>
          <w:p w14:paraId="0F7FB8CE"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vertAlign w:val="superscript"/>
              </w:rPr>
              <w:tab/>
              <w:t>1</w:t>
            </w:r>
            <w:r w:rsidRPr="001531CD">
              <w:rPr>
                <w:sz w:val="16"/>
                <w:szCs w:val="16"/>
              </w:rPr>
              <w:t>A foundation and/or registered field may produce only two successive seed crops following seeding except that each may be reclassified to the next lower class after being harvested for seed for two years. A stand will not be eligible to produce any class of seed after four successive seed crops.</w:t>
            </w:r>
          </w:p>
          <w:p w14:paraId="31E16358"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vertAlign w:val="superscript"/>
              </w:rPr>
              <w:tab/>
              <w:t>2</w:t>
            </w:r>
            <w:r w:rsidRPr="001531CD">
              <w:rPr>
                <w:sz w:val="16"/>
                <w:szCs w:val="16"/>
              </w:rPr>
              <w:t xml:space="preserve">A certified field on which a stand of perennial plants is maintained may produce a maximum of four successive seed crops following seeding. </w:t>
            </w:r>
          </w:p>
        </w:tc>
      </w:tr>
    </w:tbl>
    <w:p w14:paraId="3D699DDB" w14:textId="77777777" w:rsidR="00CD0355" w:rsidRPr="001531CD" w:rsidRDefault="00CD0355" w:rsidP="00CD0355">
      <w:pPr>
        <w:pStyle w:val="A"/>
        <w:spacing w:after="0"/>
      </w:pPr>
    </w:p>
    <w:p w14:paraId="17D9AC4F" w14:textId="77777777" w:rsidR="00CD0355" w:rsidRPr="001531CD" w:rsidRDefault="00CD0355" w:rsidP="00CD0355">
      <w:pPr>
        <w:pStyle w:val="A"/>
      </w:pPr>
      <w:r w:rsidRPr="001531CD">
        <w:t>B.</w:t>
      </w:r>
      <w:r w:rsidRPr="001531CD">
        <w:tab/>
        <w:t>Seed Standards</w:t>
      </w:r>
    </w:p>
    <w:tbl>
      <w:tblPr>
        <w:tblW w:w="503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238"/>
        <w:gridCol w:w="810"/>
        <w:gridCol w:w="1080"/>
        <w:gridCol w:w="990"/>
        <w:gridCol w:w="913"/>
      </w:tblGrid>
      <w:tr w:rsidR="00CD0355" w:rsidRPr="001531CD" w14:paraId="76E85565" w14:textId="77777777" w:rsidTr="00CD0355">
        <w:trPr>
          <w:cantSplit/>
          <w:tblHeader/>
          <w:jc w:val="center"/>
        </w:trPr>
        <w:tc>
          <w:tcPr>
            <w:tcW w:w="1238" w:type="dxa"/>
            <w:tcBorders>
              <w:top w:val="double" w:sz="6" w:space="0" w:color="000000"/>
              <w:bottom w:val="single" w:sz="6" w:space="0" w:color="000000"/>
            </w:tcBorders>
            <w:shd w:val="clear" w:color="auto" w:fill="BFBFBF"/>
            <w:vAlign w:val="center"/>
          </w:tcPr>
          <w:p w14:paraId="14B40CB2"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lastRenderedPageBreak/>
              <w:t>Factor</w:t>
            </w:r>
          </w:p>
        </w:tc>
        <w:tc>
          <w:tcPr>
            <w:tcW w:w="810" w:type="dxa"/>
            <w:tcBorders>
              <w:top w:val="double" w:sz="6" w:space="0" w:color="000000"/>
              <w:bottom w:val="single" w:sz="6" w:space="0" w:color="000000"/>
            </w:tcBorders>
            <w:shd w:val="clear" w:color="auto" w:fill="BFBFBF"/>
            <w:vAlign w:val="center"/>
          </w:tcPr>
          <w:p w14:paraId="5A57D2C4"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000000"/>
            </w:tcBorders>
            <w:shd w:val="clear" w:color="auto" w:fill="BFBFBF"/>
            <w:vAlign w:val="center"/>
          </w:tcPr>
          <w:p w14:paraId="763D9BB1"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Foundation</w:t>
            </w:r>
          </w:p>
        </w:tc>
        <w:tc>
          <w:tcPr>
            <w:tcW w:w="990" w:type="dxa"/>
            <w:tcBorders>
              <w:top w:val="double" w:sz="6" w:space="0" w:color="000000"/>
              <w:bottom w:val="single" w:sz="6" w:space="0" w:color="000000"/>
            </w:tcBorders>
            <w:shd w:val="clear" w:color="auto" w:fill="BFBFBF"/>
            <w:vAlign w:val="center"/>
          </w:tcPr>
          <w:p w14:paraId="348AC41F"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Registered</w:t>
            </w:r>
          </w:p>
        </w:tc>
        <w:tc>
          <w:tcPr>
            <w:tcW w:w="913" w:type="dxa"/>
            <w:tcBorders>
              <w:top w:val="double" w:sz="6" w:space="0" w:color="000000"/>
              <w:bottom w:val="single" w:sz="6" w:space="0" w:color="000000"/>
            </w:tcBorders>
            <w:shd w:val="clear" w:color="auto" w:fill="BFBFBF"/>
            <w:vAlign w:val="center"/>
          </w:tcPr>
          <w:p w14:paraId="4A92A59D"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Certified</w:t>
            </w:r>
          </w:p>
        </w:tc>
      </w:tr>
      <w:tr w:rsidR="00CD0355" w:rsidRPr="001531CD" w14:paraId="33D925E6" w14:textId="77777777" w:rsidTr="00CD0355">
        <w:trPr>
          <w:cantSplit/>
          <w:jc w:val="center"/>
        </w:trPr>
        <w:tc>
          <w:tcPr>
            <w:tcW w:w="1238" w:type="dxa"/>
            <w:tcBorders>
              <w:top w:val="single" w:sz="6" w:space="0" w:color="000000"/>
            </w:tcBorders>
          </w:tcPr>
          <w:p w14:paraId="4A20E9F8"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Pure Seed</w:t>
            </w:r>
          </w:p>
        </w:tc>
        <w:tc>
          <w:tcPr>
            <w:tcW w:w="810" w:type="dxa"/>
            <w:tcBorders>
              <w:top w:val="single" w:sz="6" w:space="0" w:color="000000"/>
            </w:tcBorders>
            <w:vAlign w:val="bottom"/>
          </w:tcPr>
          <w:p w14:paraId="6BBCA6A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99.00%</w:t>
            </w:r>
          </w:p>
        </w:tc>
        <w:tc>
          <w:tcPr>
            <w:tcW w:w="1080" w:type="dxa"/>
            <w:tcBorders>
              <w:top w:val="single" w:sz="6" w:space="0" w:color="000000"/>
            </w:tcBorders>
            <w:vAlign w:val="bottom"/>
          </w:tcPr>
          <w:p w14:paraId="3F536E6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c>
          <w:tcPr>
            <w:tcW w:w="990" w:type="dxa"/>
            <w:tcBorders>
              <w:top w:val="single" w:sz="6" w:space="0" w:color="000000"/>
            </w:tcBorders>
            <w:vAlign w:val="bottom"/>
          </w:tcPr>
          <w:p w14:paraId="7EBE3ACE"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c>
          <w:tcPr>
            <w:tcW w:w="913" w:type="dxa"/>
            <w:tcBorders>
              <w:top w:val="single" w:sz="6" w:space="0" w:color="000000"/>
            </w:tcBorders>
            <w:vAlign w:val="bottom"/>
          </w:tcPr>
          <w:p w14:paraId="62E2DA2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r>
      <w:tr w:rsidR="00CD0355" w:rsidRPr="001531CD" w14:paraId="266C83FE" w14:textId="77777777" w:rsidTr="00CD0355">
        <w:trPr>
          <w:cantSplit/>
          <w:jc w:val="center"/>
        </w:trPr>
        <w:tc>
          <w:tcPr>
            <w:tcW w:w="1238" w:type="dxa"/>
          </w:tcPr>
          <w:p w14:paraId="2C8FC6D1"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Inert Matter</w:t>
            </w:r>
          </w:p>
        </w:tc>
        <w:tc>
          <w:tcPr>
            <w:tcW w:w="810" w:type="dxa"/>
            <w:vAlign w:val="bottom"/>
          </w:tcPr>
          <w:p w14:paraId="22CB06BC"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w:t>
            </w:r>
          </w:p>
        </w:tc>
        <w:tc>
          <w:tcPr>
            <w:tcW w:w="1080" w:type="dxa"/>
            <w:vAlign w:val="bottom"/>
          </w:tcPr>
          <w:p w14:paraId="61CE26B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c>
          <w:tcPr>
            <w:tcW w:w="990" w:type="dxa"/>
            <w:vAlign w:val="bottom"/>
          </w:tcPr>
          <w:p w14:paraId="3CB06B8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c>
          <w:tcPr>
            <w:tcW w:w="913" w:type="dxa"/>
            <w:vAlign w:val="bottom"/>
          </w:tcPr>
          <w:p w14:paraId="571A48ED"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r>
      <w:tr w:rsidR="00CD0355" w:rsidRPr="001531CD" w14:paraId="6ED398AA" w14:textId="77777777" w:rsidTr="00CD0355">
        <w:trPr>
          <w:cantSplit/>
          <w:jc w:val="center"/>
        </w:trPr>
        <w:tc>
          <w:tcPr>
            <w:tcW w:w="1238" w:type="dxa"/>
          </w:tcPr>
          <w:p w14:paraId="2C105D39"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Crops</w:t>
            </w:r>
          </w:p>
        </w:tc>
        <w:tc>
          <w:tcPr>
            <w:tcW w:w="810" w:type="dxa"/>
            <w:vAlign w:val="bottom"/>
          </w:tcPr>
          <w:p w14:paraId="0AD52528"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2DFF3404"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327B580B"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14:paraId="40ED68A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 seed/lb.</w:t>
            </w:r>
          </w:p>
        </w:tc>
      </w:tr>
      <w:tr w:rsidR="00CD0355" w:rsidRPr="001531CD" w14:paraId="2E399B4F" w14:textId="77777777" w:rsidTr="00CD0355">
        <w:trPr>
          <w:cantSplit/>
          <w:jc w:val="center"/>
        </w:trPr>
        <w:tc>
          <w:tcPr>
            <w:tcW w:w="1238" w:type="dxa"/>
          </w:tcPr>
          <w:p w14:paraId="4694AA18"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Varieties</w:t>
            </w:r>
          </w:p>
        </w:tc>
        <w:tc>
          <w:tcPr>
            <w:tcW w:w="810" w:type="dxa"/>
            <w:vAlign w:val="bottom"/>
          </w:tcPr>
          <w:p w14:paraId="504E29C4"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61A5363E"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1A1ED3E6"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14:paraId="2BB3DD3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seed/lb.</w:t>
            </w:r>
          </w:p>
        </w:tc>
      </w:tr>
      <w:tr w:rsidR="00CD0355" w:rsidRPr="001531CD" w14:paraId="6CECD5CE" w14:textId="77777777" w:rsidTr="00CD0355">
        <w:trPr>
          <w:cantSplit/>
          <w:jc w:val="center"/>
        </w:trPr>
        <w:tc>
          <w:tcPr>
            <w:tcW w:w="1238" w:type="dxa"/>
          </w:tcPr>
          <w:p w14:paraId="7307FEDC"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Kinds</w:t>
            </w:r>
          </w:p>
        </w:tc>
        <w:tc>
          <w:tcPr>
            <w:tcW w:w="810" w:type="dxa"/>
            <w:vAlign w:val="bottom"/>
          </w:tcPr>
          <w:p w14:paraId="14C943F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0841594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4E0B175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14:paraId="1A8B4BE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90 seed/lb.</w:t>
            </w:r>
          </w:p>
        </w:tc>
      </w:tr>
      <w:tr w:rsidR="00CD0355" w:rsidRPr="001531CD" w14:paraId="4847E86F" w14:textId="77777777" w:rsidTr="00CD0355">
        <w:trPr>
          <w:cantSplit/>
          <w:jc w:val="center"/>
        </w:trPr>
        <w:tc>
          <w:tcPr>
            <w:tcW w:w="1238" w:type="dxa"/>
          </w:tcPr>
          <w:p w14:paraId="54D332B3"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Sweet Clover</w:t>
            </w:r>
          </w:p>
        </w:tc>
        <w:tc>
          <w:tcPr>
            <w:tcW w:w="810" w:type="dxa"/>
            <w:vAlign w:val="bottom"/>
          </w:tcPr>
          <w:p w14:paraId="454CE866"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327C760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6BC9F19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14:paraId="3D462D6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80 seed/lb.</w:t>
            </w:r>
          </w:p>
        </w:tc>
      </w:tr>
      <w:tr w:rsidR="00CD0355" w:rsidRPr="001531CD" w14:paraId="4A0501A3" w14:textId="77777777" w:rsidTr="00CD0355">
        <w:trPr>
          <w:cantSplit/>
          <w:jc w:val="center"/>
        </w:trPr>
        <w:tc>
          <w:tcPr>
            <w:tcW w:w="1238" w:type="dxa"/>
          </w:tcPr>
          <w:p w14:paraId="09ACD061"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Clovers</w:t>
            </w:r>
          </w:p>
        </w:tc>
        <w:tc>
          <w:tcPr>
            <w:tcW w:w="810" w:type="dxa"/>
            <w:vAlign w:val="bottom"/>
          </w:tcPr>
          <w:p w14:paraId="45C2DBD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5F79000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4002F17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14:paraId="4BF67C2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14:paraId="2E073223" w14:textId="77777777" w:rsidTr="00CD0355">
        <w:trPr>
          <w:cantSplit/>
          <w:jc w:val="center"/>
        </w:trPr>
        <w:tc>
          <w:tcPr>
            <w:tcW w:w="1238" w:type="dxa"/>
          </w:tcPr>
          <w:p w14:paraId="3D1CA986"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Noxious Weeds: Bracted plantain Buckhorn plantain</w:t>
            </w:r>
          </w:p>
        </w:tc>
        <w:tc>
          <w:tcPr>
            <w:tcW w:w="810" w:type="dxa"/>
            <w:vAlign w:val="center"/>
          </w:tcPr>
          <w:p w14:paraId="0FA0555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center"/>
          </w:tcPr>
          <w:p w14:paraId="14F5E3E3"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center"/>
          </w:tcPr>
          <w:p w14:paraId="38343EAD"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center"/>
          </w:tcPr>
          <w:p w14:paraId="47554A1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14:paraId="4B7523AF" w14:textId="77777777" w:rsidTr="00CD0355">
        <w:trPr>
          <w:cantSplit/>
          <w:jc w:val="center"/>
        </w:trPr>
        <w:tc>
          <w:tcPr>
            <w:tcW w:w="1238" w:type="dxa"/>
          </w:tcPr>
          <w:p w14:paraId="651B38E3"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Weeds</w:t>
            </w:r>
          </w:p>
        </w:tc>
        <w:tc>
          <w:tcPr>
            <w:tcW w:w="810" w:type="dxa"/>
            <w:vAlign w:val="bottom"/>
          </w:tcPr>
          <w:p w14:paraId="606243F0"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0.04%</w:t>
            </w:r>
          </w:p>
        </w:tc>
        <w:tc>
          <w:tcPr>
            <w:tcW w:w="1080" w:type="dxa"/>
            <w:vAlign w:val="bottom"/>
          </w:tcPr>
          <w:p w14:paraId="34D54879"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0.04%</w:t>
            </w:r>
          </w:p>
        </w:tc>
        <w:tc>
          <w:tcPr>
            <w:tcW w:w="990" w:type="dxa"/>
            <w:vAlign w:val="bottom"/>
          </w:tcPr>
          <w:p w14:paraId="754A0E3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0.07%</w:t>
            </w:r>
          </w:p>
        </w:tc>
        <w:tc>
          <w:tcPr>
            <w:tcW w:w="913" w:type="dxa"/>
            <w:vAlign w:val="bottom"/>
          </w:tcPr>
          <w:p w14:paraId="3510400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0.14%</w:t>
            </w:r>
          </w:p>
        </w:tc>
      </w:tr>
      <w:tr w:rsidR="00CD0355" w:rsidRPr="001531CD" w14:paraId="73726241" w14:textId="77777777" w:rsidTr="00CD0355">
        <w:trPr>
          <w:cantSplit/>
          <w:jc w:val="center"/>
        </w:trPr>
        <w:tc>
          <w:tcPr>
            <w:tcW w:w="1238" w:type="dxa"/>
          </w:tcPr>
          <w:p w14:paraId="67E6D3ED"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Wild Carrot</w:t>
            </w:r>
          </w:p>
        </w:tc>
        <w:tc>
          <w:tcPr>
            <w:tcW w:w="810" w:type="dxa"/>
            <w:vAlign w:val="bottom"/>
          </w:tcPr>
          <w:p w14:paraId="1D5D25C2"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14:paraId="197E4438"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14:paraId="1C0BC96D"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14:paraId="0B3B0D1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14:paraId="43D469F7" w14:textId="77777777" w:rsidTr="00CD0355">
        <w:trPr>
          <w:cantSplit/>
          <w:jc w:val="center"/>
        </w:trPr>
        <w:tc>
          <w:tcPr>
            <w:tcW w:w="1238" w:type="dxa"/>
            <w:tcBorders>
              <w:bottom w:val="double" w:sz="6" w:space="0" w:color="000000"/>
            </w:tcBorders>
          </w:tcPr>
          <w:p w14:paraId="06304038" w14:textId="77777777"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Germination</w:t>
            </w:r>
          </w:p>
        </w:tc>
        <w:tc>
          <w:tcPr>
            <w:tcW w:w="810" w:type="dxa"/>
            <w:tcBorders>
              <w:bottom w:val="double" w:sz="6" w:space="0" w:color="000000"/>
            </w:tcBorders>
            <w:vAlign w:val="bottom"/>
          </w:tcPr>
          <w:p w14:paraId="041C475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vAlign w:val="bottom"/>
          </w:tcPr>
          <w:p w14:paraId="4BE9816A"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c>
          <w:tcPr>
            <w:tcW w:w="990" w:type="dxa"/>
            <w:tcBorders>
              <w:bottom w:val="double" w:sz="6" w:space="0" w:color="000000"/>
            </w:tcBorders>
            <w:vAlign w:val="bottom"/>
          </w:tcPr>
          <w:p w14:paraId="58168ACF"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c>
          <w:tcPr>
            <w:tcW w:w="913" w:type="dxa"/>
            <w:tcBorders>
              <w:bottom w:val="double" w:sz="6" w:space="0" w:color="000000"/>
            </w:tcBorders>
            <w:vAlign w:val="bottom"/>
          </w:tcPr>
          <w:p w14:paraId="73D81617" w14:textId="77777777"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r>
    </w:tbl>
    <w:p w14:paraId="46F1FB14" w14:textId="77777777" w:rsidR="00CD0355" w:rsidRPr="001531CD" w:rsidRDefault="00CD0355" w:rsidP="00CD0355">
      <w:pPr>
        <w:pStyle w:val="A"/>
        <w:spacing w:after="0"/>
      </w:pPr>
    </w:p>
    <w:p w14:paraId="4C39F9A5" w14:textId="77777777" w:rsidR="00CD0355" w:rsidRPr="001531CD" w:rsidRDefault="00CD0355" w:rsidP="00CD0355">
      <w:pPr>
        <w:pStyle w:val="AuthorityNote"/>
      </w:pPr>
      <w:r w:rsidRPr="001531CD">
        <w:t>AUTHORITY NOTE:</w:t>
      </w:r>
      <w:r w:rsidRPr="001531CD">
        <w:tab/>
        <w:t>Promulgated in accordance with R.S. 3:1433.</w:t>
      </w:r>
    </w:p>
    <w:p w14:paraId="672AFE70" w14:textId="77777777" w:rsidR="00CD0355" w:rsidRPr="001531CD" w:rsidRDefault="00CD0355" w:rsidP="00CD0355">
      <w:pPr>
        <w:pStyle w:val="HistoricalNote"/>
      </w:pPr>
      <w:r w:rsidRPr="001531CD">
        <w:t>HISTORICAL NOTE:</w:t>
      </w:r>
      <w:r w:rsidRPr="001531CD">
        <w:tab/>
        <w:t>Promulgated by the Department of Agriculture, Seed Commission, LR 8:569 (November 1982), amended LR 9:198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39:2715 (October 2013).</w:t>
      </w:r>
    </w:p>
    <w:p w14:paraId="7770042C" w14:textId="77777777" w:rsidR="00CD0355" w:rsidRPr="001531CD" w:rsidRDefault="00CD0355" w:rsidP="00CD0355">
      <w:pPr>
        <w:pStyle w:val="Section"/>
      </w:pPr>
      <w:bookmarkStart w:id="1126" w:name="_Toc224818796"/>
      <w:r w:rsidRPr="001531CD">
        <w:t>§705.</w:t>
      </w:r>
      <w:r w:rsidRPr="001531CD">
        <w:tab/>
        <w:t>Red Clover Seed Certification Standards</w:t>
      </w:r>
      <w:bookmarkEnd w:id="1126"/>
      <w:r w:rsidRPr="001531CD">
        <w:t xml:space="preserve"> </w:t>
      </w:r>
    </w:p>
    <w:p w14:paraId="1F5D04FF" w14:textId="77777777" w:rsidR="00CD0355" w:rsidRPr="001531CD" w:rsidRDefault="00CD0355" w:rsidP="00CD0355">
      <w:pPr>
        <w:pStyle w:val="A"/>
      </w:pPr>
      <w:r w:rsidRPr="001531CD">
        <w:t>A.</w:t>
      </w:r>
      <w:r w:rsidRPr="001531CD">
        <w:tab/>
        <w:t>Field Standards</w:t>
      </w:r>
    </w:p>
    <w:tbl>
      <w:tblPr>
        <w:tblW w:w="49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727"/>
        <w:gridCol w:w="1080"/>
        <w:gridCol w:w="1080"/>
        <w:gridCol w:w="1043"/>
      </w:tblGrid>
      <w:tr w:rsidR="00CD0355" w:rsidRPr="001531CD" w14:paraId="145B3DCC" w14:textId="77777777" w:rsidTr="00CD0355">
        <w:trPr>
          <w:cantSplit/>
          <w:jc w:val="center"/>
        </w:trPr>
        <w:tc>
          <w:tcPr>
            <w:tcW w:w="1727" w:type="dxa"/>
            <w:tcBorders>
              <w:top w:val="double" w:sz="6" w:space="0" w:color="000000"/>
              <w:bottom w:val="single" w:sz="6" w:space="0" w:color="000000"/>
            </w:tcBorders>
            <w:shd w:val="clear" w:color="auto" w:fill="BFBFBF"/>
          </w:tcPr>
          <w:p w14:paraId="4E956B9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vAlign w:val="center"/>
          </w:tcPr>
          <w:p w14:paraId="554DB8ED"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vAlign w:val="center"/>
          </w:tcPr>
          <w:p w14:paraId="21BC4EF7"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43" w:type="dxa"/>
            <w:tcBorders>
              <w:top w:val="double" w:sz="6" w:space="0" w:color="000000"/>
              <w:bottom w:val="single" w:sz="6" w:space="0" w:color="000000"/>
            </w:tcBorders>
            <w:shd w:val="clear" w:color="auto" w:fill="BFBFBF"/>
            <w:vAlign w:val="center"/>
          </w:tcPr>
          <w:p w14:paraId="502E1EA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0979466A" w14:textId="77777777" w:rsidTr="00CD0355">
        <w:trPr>
          <w:cantSplit/>
          <w:jc w:val="center"/>
        </w:trPr>
        <w:tc>
          <w:tcPr>
            <w:tcW w:w="1727" w:type="dxa"/>
            <w:tcBorders>
              <w:top w:val="single" w:sz="6" w:space="0" w:color="000000"/>
            </w:tcBorders>
          </w:tcPr>
          <w:p w14:paraId="0B5E6D04"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vAlign w:val="center"/>
          </w:tcPr>
          <w:p w14:paraId="4088E4E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000000"/>
            </w:tcBorders>
            <w:vAlign w:val="center"/>
          </w:tcPr>
          <w:p w14:paraId="5EC16EF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1043" w:type="dxa"/>
            <w:tcBorders>
              <w:top w:val="single" w:sz="6" w:space="0" w:color="000000"/>
            </w:tcBorders>
            <w:vAlign w:val="center"/>
          </w:tcPr>
          <w:p w14:paraId="3DCA004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14:paraId="72CD9DEE" w14:textId="77777777" w:rsidTr="00CD0355">
        <w:trPr>
          <w:cantSplit/>
          <w:jc w:val="center"/>
        </w:trPr>
        <w:tc>
          <w:tcPr>
            <w:tcW w:w="1727" w:type="dxa"/>
          </w:tcPr>
          <w:p w14:paraId="0C8F00D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vAlign w:val="center"/>
          </w:tcPr>
          <w:p w14:paraId="651FF1A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1,320 ft.</w:t>
            </w:r>
          </w:p>
        </w:tc>
        <w:tc>
          <w:tcPr>
            <w:tcW w:w="1080" w:type="dxa"/>
            <w:vAlign w:val="center"/>
          </w:tcPr>
          <w:p w14:paraId="15865A5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660 ft.</w:t>
            </w:r>
          </w:p>
        </w:tc>
        <w:tc>
          <w:tcPr>
            <w:tcW w:w="1043" w:type="dxa"/>
            <w:vAlign w:val="center"/>
          </w:tcPr>
          <w:p w14:paraId="5E44070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r>
      <w:tr w:rsidR="00CD0355" w:rsidRPr="001531CD" w14:paraId="1D155AC2" w14:textId="77777777" w:rsidTr="00CD0355">
        <w:trPr>
          <w:cantSplit/>
          <w:jc w:val="center"/>
        </w:trPr>
        <w:tc>
          <w:tcPr>
            <w:tcW w:w="1727" w:type="dxa"/>
          </w:tcPr>
          <w:p w14:paraId="5530BB3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vAlign w:val="center"/>
          </w:tcPr>
          <w:p w14:paraId="498BA55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14:paraId="0D53E65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1043" w:type="dxa"/>
            <w:vAlign w:val="center"/>
          </w:tcPr>
          <w:p w14:paraId="66B7326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1531CD" w14:paraId="6E108372" w14:textId="77777777" w:rsidTr="00CD0355">
        <w:trPr>
          <w:cantSplit/>
          <w:jc w:val="center"/>
        </w:trPr>
        <w:tc>
          <w:tcPr>
            <w:tcW w:w="4930" w:type="dxa"/>
            <w:gridSpan w:val="4"/>
            <w:tcBorders>
              <w:bottom w:val="double" w:sz="6" w:space="0" w:color="000000"/>
            </w:tcBorders>
          </w:tcPr>
          <w:p w14:paraId="574786F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 stand of red clover will be eligible to produce any class of certified seed after two successive seed crops. These seed crops may be produced in the same or consecutive years.</w:t>
            </w:r>
          </w:p>
        </w:tc>
      </w:tr>
    </w:tbl>
    <w:p w14:paraId="0A8F9997" w14:textId="77777777" w:rsidR="00CD0355" w:rsidRPr="001531CD" w:rsidRDefault="00CD0355" w:rsidP="00CD0355">
      <w:pPr>
        <w:pStyle w:val="A"/>
        <w:spacing w:after="0"/>
      </w:pPr>
    </w:p>
    <w:p w14:paraId="4203DBFF" w14:textId="77777777" w:rsidR="00CD0355" w:rsidRPr="001531CD" w:rsidRDefault="00CD0355" w:rsidP="00CD0355">
      <w:pPr>
        <w:pStyle w:val="A"/>
      </w:pPr>
      <w:r w:rsidRPr="001531CD">
        <w:t>B.</w:t>
      </w:r>
      <w:r w:rsidRPr="001531CD">
        <w:tab/>
        <w:t>Seed Standards</w:t>
      </w:r>
    </w:p>
    <w:tbl>
      <w:tblPr>
        <w:tblW w:w="497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390"/>
        <w:gridCol w:w="720"/>
        <w:gridCol w:w="990"/>
        <w:gridCol w:w="900"/>
        <w:gridCol w:w="975"/>
      </w:tblGrid>
      <w:tr w:rsidR="00CD0355" w:rsidRPr="001531CD" w14:paraId="2C85460E" w14:textId="77777777" w:rsidTr="00CD0355">
        <w:trPr>
          <w:cantSplit/>
          <w:tblHeader/>
          <w:jc w:val="center"/>
        </w:trPr>
        <w:tc>
          <w:tcPr>
            <w:tcW w:w="1390" w:type="dxa"/>
            <w:tcBorders>
              <w:top w:val="double" w:sz="6" w:space="0" w:color="000000"/>
              <w:bottom w:val="single" w:sz="6" w:space="0" w:color="000000"/>
            </w:tcBorders>
            <w:shd w:val="clear" w:color="auto" w:fill="BFBFBF"/>
          </w:tcPr>
          <w:p w14:paraId="291B8A93"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Factor</w:t>
            </w:r>
          </w:p>
        </w:tc>
        <w:tc>
          <w:tcPr>
            <w:tcW w:w="720" w:type="dxa"/>
            <w:tcBorders>
              <w:top w:val="double" w:sz="6" w:space="0" w:color="000000"/>
              <w:bottom w:val="single" w:sz="6" w:space="0" w:color="000000"/>
            </w:tcBorders>
            <w:shd w:val="clear" w:color="auto" w:fill="BFBFBF"/>
          </w:tcPr>
          <w:p w14:paraId="209FE11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990" w:type="dxa"/>
            <w:tcBorders>
              <w:top w:val="double" w:sz="6" w:space="0" w:color="000000"/>
              <w:bottom w:val="single" w:sz="6" w:space="0" w:color="000000"/>
            </w:tcBorders>
            <w:shd w:val="clear" w:color="auto" w:fill="BFBFBF"/>
          </w:tcPr>
          <w:p w14:paraId="308A6E2B"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000000"/>
            </w:tcBorders>
            <w:shd w:val="clear" w:color="auto" w:fill="BFBFBF"/>
          </w:tcPr>
          <w:p w14:paraId="49B1406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75" w:type="dxa"/>
            <w:tcBorders>
              <w:top w:val="double" w:sz="6" w:space="0" w:color="000000"/>
              <w:bottom w:val="single" w:sz="6" w:space="0" w:color="000000"/>
            </w:tcBorders>
            <w:shd w:val="clear" w:color="auto" w:fill="BFBFBF"/>
          </w:tcPr>
          <w:p w14:paraId="3000DF5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0CB1EE78" w14:textId="77777777" w:rsidTr="00CD0355">
        <w:trPr>
          <w:cantSplit/>
          <w:jc w:val="center"/>
        </w:trPr>
        <w:tc>
          <w:tcPr>
            <w:tcW w:w="1390" w:type="dxa"/>
            <w:tcBorders>
              <w:top w:val="single" w:sz="6" w:space="0" w:color="000000"/>
            </w:tcBorders>
          </w:tcPr>
          <w:p w14:paraId="0FDD5012"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720" w:type="dxa"/>
            <w:tcBorders>
              <w:top w:val="single" w:sz="6" w:space="0" w:color="000000"/>
            </w:tcBorders>
            <w:vAlign w:val="bottom"/>
          </w:tcPr>
          <w:p w14:paraId="385572D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90" w:type="dxa"/>
            <w:tcBorders>
              <w:top w:val="single" w:sz="6" w:space="0" w:color="000000"/>
            </w:tcBorders>
            <w:vAlign w:val="bottom"/>
          </w:tcPr>
          <w:p w14:paraId="41248E8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00" w:type="dxa"/>
            <w:tcBorders>
              <w:top w:val="single" w:sz="6" w:space="0" w:color="000000"/>
            </w:tcBorders>
            <w:vAlign w:val="bottom"/>
          </w:tcPr>
          <w:p w14:paraId="327DCA9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75" w:type="dxa"/>
            <w:tcBorders>
              <w:top w:val="single" w:sz="6" w:space="0" w:color="000000"/>
            </w:tcBorders>
            <w:vAlign w:val="bottom"/>
          </w:tcPr>
          <w:p w14:paraId="1ED2812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r>
      <w:tr w:rsidR="00CD0355" w:rsidRPr="001531CD" w14:paraId="16A9E439" w14:textId="77777777" w:rsidTr="00CD0355">
        <w:trPr>
          <w:cantSplit/>
          <w:jc w:val="center"/>
        </w:trPr>
        <w:tc>
          <w:tcPr>
            <w:tcW w:w="1390" w:type="dxa"/>
          </w:tcPr>
          <w:p w14:paraId="21162CA4"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720" w:type="dxa"/>
            <w:vAlign w:val="bottom"/>
          </w:tcPr>
          <w:p w14:paraId="6ABB482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90" w:type="dxa"/>
            <w:vAlign w:val="bottom"/>
          </w:tcPr>
          <w:p w14:paraId="2DCBB8F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00" w:type="dxa"/>
            <w:vAlign w:val="bottom"/>
          </w:tcPr>
          <w:p w14:paraId="7B83A96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75" w:type="dxa"/>
            <w:vAlign w:val="bottom"/>
          </w:tcPr>
          <w:p w14:paraId="0507C8A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14:paraId="200BBA00" w14:textId="77777777" w:rsidTr="00CD0355">
        <w:trPr>
          <w:cantSplit/>
          <w:jc w:val="center"/>
        </w:trPr>
        <w:tc>
          <w:tcPr>
            <w:tcW w:w="1390" w:type="dxa"/>
          </w:tcPr>
          <w:p w14:paraId="0EA5169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720" w:type="dxa"/>
            <w:vAlign w:val="bottom"/>
          </w:tcPr>
          <w:p w14:paraId="6E60FF1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14:paraId="1A27EE5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00" w:type="dxa"/>
            <w:vAlign w:val="bottom"/>
          </w:tcPr>
          <w:p w14:paraId="08EECA7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975" w:type="dxa"/>
            <w:vAlign w:val="bottom"/>
          </w:tcPr>
          <w:p w14:paraId="4BDAB2D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14:paraId="5597CF24" w14:textId="77777777" w:rsidTr="00CD0355">
        <w:trPr>
          <w:cantSplit/>
          <w:jc w:val="center"/>
        </w:trPr>
        <w:tc>
          <w:tcPr>
            <w:tcW w:w="1390" w:type="dxa"/>
            <w:vAlign w:val="bottom"/>
          </w:tcPr>
          <w:p w14:paraId="7CEB47F2"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720" w:type="dxa"/>
            <w:vAlign w:val="bottom"/>
          </w:tcPr>
          <w:p w14:paraId="693406B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14:paraId="0BF2D22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 seed/lb.</w:t>
            </w:r>
          </w:p>
        </w:tc>
        <w:tc>
          <w:tcPr>
            <w:tcW w:w="900" w:type="dxa"/>
            <w:vAlign w:val="bottom"/>
          </w:tcPr>
          <w:p w14:paraId="7D741D8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c>
          <w:tcPr>
            <w:tcW w:w="975" w:type="dxa"/>
            <w:vAlign w:val="bottom"/>
          </w:tcPr>
          <w:p w14:paraId="6A9E4A5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180 seed/lb.</w:t>
            </w:r>
          </w:p>
        </w:tc>
      </w:tr>
      <w:tr w:rsidR="00CD0355" w:rsidRPr="001531CD" w14:paraId="185DCF16" w14:textId="77777777" w:rsidTr="00CD0355">
        <w:trPr>
          <w:cantSplit/>
          <w:jc w:val="center"/>
        </w:trPr>
        <w:tc>
          <w:tcPr>
            <w:tcW w:w="1390" w:type="dxa"/>
          </w:tcPr>
          <w:p w14:paraId="3BF26D7F"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p w14:paraId="5E5F7DAC" w14:textId="77777777" w:rsidR="00CD0355" w:rsidRPr="001531CD" w:rsidRDefault="00CD0355" w:rsidP="00CD0355">
            <w:pPr>
              <w:tabs>
                <w:tab w:val="left" w:pos="360"/>
                <w:tab w:val="left" w:pos="5940"/>
                <w:tab w:val="left" w:pos="8640"/>
              </w:tabs>
              <w:ind w:left="72"/>
              <w:rPr>
                <w:sz w:val="16"/>
                <w:szCs w:val="16"/>
              </w:rPr>
            </w:pPr>
            <w:r w:rsidRPr="001531CD">
              <w:rPr>
                <w:sz w:val="16"/>
                <w:szCs w:val="16"/>
              </w:rPr>
              <w:t>Dock, Cheat, Darnel, Johnsongrass, Wild Mustard</w:t>
            </w:r>
          </w:p>
        </w:tc>
        <w:tc>
          <w:tcPr>
            <w:tcW w:w="720" w:type="dxa"/>
            <w:vAlign w:val="bottom"/>
          </w:tcPr>
          <w:p w14:paraId="106515D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14:paraId="1103913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45 seed/lb.</w:t>
            </w:r>
          </w:p>
        </w:tc>
        <w:tc>
          <w:tcPr>
            <w:tcW w:w="900" w:type="dxa"/>
            <w:vAlign w:val="bottom"/>
          </w:tcPr>
          <w:p w14:paraId="50E739C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c>
          <w:tcPr>
            <w:tcW w:w="975" w:type="dxa"/>
            <w:vAlign w:val="bottom"/>
          </w:tcPr>
          <w:p w14:paraId="51A0941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seed/lb.</w:t>
            </w:r>
          </w:p>
        </w:tc>
      </w:tr>
      <w:tr w:rsidR="00CD0355" w:rsidRPr="001531CD" w14:paraId="6EB4F6E7" w14:textId="77777777" w:rsidTr="00CD0355">
        <w:trPr>
          <w:cantSplit/>
          <w:jc w:val="center"/>
        </w:trPr>
        <w:tc>
          <w:tcPr>
            <w:tcW w:w="1390" w:type="dxa"/>
          </w:tcPr>
          <w:p w14:paraId="61DE303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Dodder</w:t>
            </w:r>
          </w:p>
        </w:tc>
        <w:tc>
          <w:tcPr>
            <w:tcW w:w="720" w:type="dxa"/>
            <w:vAlign w:val="bottom"/>
          </w:tcPr>
          <w:p w14:paraId="23ECBB2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14:paraId="4BD45C5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bottom"/>
          </w:tcPr>
          <w:p w14:paraId="2CE891D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75" w:type="dxa"/>
            <w:vAlign w:val="bottom"/>
          </w:tcPr>
          <w:p w14:paraId="71308D9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4B49568C" w14:textId="77777777" w:rsidTr="00CD0355">
        <w:trPr>
          <w:cantSplit/>
          <w:jc w:val="center"/>
        </w:trPr>
        <w:tc>
          <w:tcPr>
            <w:tcW w:w="1390" w:type="dxa"/>
          </w:tcPr>
          <w:p w14:paraId="2F70F15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720" w:type="dxa"/>
            <w:vAlign w:val="bottom"/>
          </w:tcPr>
          <w:p w14:paraId="1AE715A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c>
          <w:tcPr>
            <w:tcW w:w="990" w:type="dxa"/>
            <w:vAlign w:val="bottom"/>
          </w:tcPr>
          <w:p w14:paraId="2E35B3D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0.15%</w:t>
            </w:r>
          </w:p>
        </w:tc>
        <w:tc>
          <w:tcPr>
            <w:tcW w:w="900" w:type="dxa"/>
            <w:vAlign w:val="bottom"/>
          </w:tcPr>
          <w:p w14:paraId="5D40ACE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0.15%</w:t>
            </w:r>
          </w:p>
        </w:tc>
        <w:tc>
          <w:tcPr>
            <w:tcW w:w="975" w:type="dxa"/>
            <w:vAlign w:val="bottom"/>
          </w:tcPr>
          <w:p w14:paraId="1535C81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14:paraId="3FE33C27" w14:textId="77777777" w:rsidTr="00CD0355">
        <w:trPr>
          <w:cantSplit/>
          <w:jc w:val="center"/>
        </w:trPr>
        <w:tc>
          <w:tcPr>
            <w:tcW w:w="1390" w:type="dxa"/>
            <w:tcBorders>
              <w:bottom w:val="double" w:sz="6" w:space="0" w:color="000000"/>
            </w:tcBorders>
          </w:tcPr>
          <w:p w14:paraId="578A03F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720" w:type="dxa"/>
            <w:tcBorders>
              <w:bottom w:val="double" w:sz="6" w:space="0" w:color="000000"/>
            </w:tcBorders>
            <w:vAlign w:val="bottom"/>
          </w:tcPr>
          <w:p w14:paraId="64C5E82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tcBorders>
              <w:bottom w:val="double" w:sz="6" w:space="0" w:color="000000"/>
            </w:tcBorders>
            <w:vAlign w:val="bottom"/>
          </w:tcPr>
          <w:p w14:paraId="1768E5F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00" w:type="dxa"/>
            <w:tcBorders>
              <w:bottom w:val="double" w:sz="6" w:space="0" w:color="000000"/>
            </w:tcBorders>
            <w:vAlign w:val="bottom"/>
          </w:tcPr>
          <w:p w14:paraId="2E4AB92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75" w:type="dxa"/>
            <w:tcBorders>
              <w:bottom w:val="double" w:sz="6" w:space="0" w:color="000000"/>
            </w:tcBorders>
            <w:vAlign w:val="bottom"/>
          </w:tcPr>
          <w:p w14:paraId="03ADDC2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14:paraId="0B876D4D" w14:textId="77777777" w:rsidR="00CD0355" w:rsidRPr="001531CD" w:rsidRDefault="00CD0355" w:rsidP="00CD0355">
      <w:pPr>
        <w:tabs>
          <w:tab w:val="left" w:pos="180"/>
          <w:tab w:val="left" w:pos="360"/>
          <w:tab w:val="left" w:pos="5940"/>
          <w:tab w:val="left" w:pos="8640"/>
        </w:tabs>
        <w:rPr>
          <w:sz w:val="20"/>
        </w:rPr>
      </w:pPr>
    </w:p>
    <w:p w14:paraId="6578E13C" w14:textId="77777777" w:rsidR="00CD0355" w:rsidRPr="001531CD" w:rsidRDefault="00CD0355" w:rsidP="00CD0355">
      <w:pPr>
        <w:pStyle w:val="AuthorityNote"/>
      </w:pPr>
      <w:r w:rsidRPr="001531CD">
        <w:t>AUTHORITY NOTE:</w:t>
      </w:r>
      <w:r w:rsidRPr="001531CD">
        <w:tab/>
        <w:t>Promulgated in accordance with R.S. 3:1433.</w:t>
      </w:r>
    </w:p>
    <w:p w14:paraId="6965B8D3" w14:textId="77777777" w:rsidR="00CD0355" w:rsidRPr="001531CD" w:rsidRDefault="00CD0355" w:rsidP="00CD0355">
      <w:pPr>
        <w:pStyle w:val="HistoricalNote"/>
      </w:pPr>
      <w:r w:rsidRPr="001531CD">
        <w:t>HISTORICAL NOTE:</w:t>
      </w:r>
      <w:r w:rsidRPr="001531CD">
        <w:tab/>
        <w:t>Promulgated by the Department of Agriculture, Seed Commission, LR 8:570 (November 1982), amended LR 9:199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39:2715 (October 2013).</w:t>
      </w:r>
    </w:p>
    <w:p w14:paraId="7E70646B" w14:textId="77777777" w:rsidR="00CD0355" w:rsidRPr="001531CD" w:rsidRDefault="00CD0355" w:rsidP="00CD0355">
      <w:pPr>
        <w:pStyle w:val="Section"/>
      </w:pPr>
      <w:bookmarkStart w:id="1127" w:name="_Toc224818797"/>
      <w:r w:rsidRPr="001531CD">
        <w:t>§707.</w:t>
      </w:r>
      <w:r w:rsidRPr="001531CD">
        <w:tab/>
        <w:t>Bahia Grass Seed Certification Standards</w:t>
      </w:r>
      <w:bookmarkEnd w:id="1127"/>
      <w:r w:rsidRPr="001531CD">
        <w:t xml:space="preserve"> </w:t>
      </w:r>
    </w:p>
    <w:p w14:paraId="38C9610C" w14:textId="77777777" w:rsidR="00CD0355" w:rsidRPr="001531CD" w:rsidRDefault="00CD0355" w:rsidP="00CD0355">
      <w:pPr>
        <w:pStyle w:val="A"/>
      </w:pPr>
      <w:r w:rsidRPr="001531CD">
        <w:t>A.</w:t>
      </w:r>
      <w:r w:rsidRPr="001531CD">
        <w:tab/>
        <w:t>Field Standards</w:t>
      </w:r>
    </w:p>
    <w:tbl>
      <w:tblPr>
        <w:tblW w:w="4989"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127"/>
        <w:gridCol w:w="1033"/>
        <w:gridCol w:w="1389"/>
      </w:tblGrid>
      <w:tr w:rsidR="00CD0355" w:rsidRPr="001531CD" w14:paraId="6336EDA2" w14:textId="77777777" w:rsidTr="00CD0355">
        <w:trPr>
          <w:cantSplit/>
          <w:jc w:val="center"/>
        </w:trPr>
        <w:tc>
          <w:tcPr>
            <w:tcW w:w="1440" w:type="dxa"/>
            <w:tcBorders>
              <w:top w:val="double" w:sz="6" w:space="0" w:color="000000"/>
              <w:bottom w:val="single" w:sz="6" w:space="0" w:color="auto"/>
            </w:tcBorders>
            <w:shd w:val="clear" w:color="auto" w:fill="BFBFBF"/>
          </w:tcPr>
          <w:p w14:paraId="209CCCB9"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Factor</w:t>
            </w:r>
          </w:p>
        </w:tc>
        <w:tc>
          <w:tcPr>
            <w:tcW w:w="1127" w:type="dxa"/>
            <w:tcBorders>
              <w:top w:val="double" w:sz="6" w:space="0" w:color="000000"/>
              <w:bottom w:val="single" w:sz="6" w:space="0" w:color="auto"/>
            </w:tcBorders>
            <w:shd w:val="clear" w:color="auto" w:fill="BFBFBF"/>
          </w:tcPr>
          <w:p w14:paraId="3A6693FF"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33" w:type="dxa"/>
            <w:tcBorders>
              <w:top w:val="double" w:sz="6" w:space="0" w:color="000000"/>
              <w:bottom w:val="single" w:sz="6" w:space="0" w:color="auto"/>
            </w:tcBorders>
            <w:shd w:val="clear" w:color="auto" w:fill="BFBFBF"/>
          </w:tcPr>
          <w:p w14:paraId="0C487FB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389" w:type="dxa"/>
            <w:tcBorders>
              <w:top w:val="double" w:sz="6" w:space="0" w:color="000000"/>
              <w:bottom w:val="single" w:sz="6" w:space="0" w:color="auto"/>
            </w:tcBorders>
            <w:shd w:val="clear" w:color="auto" w:fill="BFBFBF"/>
          </w:tcPr>
          <w:p w14:paraId="545886C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3F6197" w:rsidRPr="001531CD" w14:paraId="407CEDF5" w14:textId="77777777" w:rsidTr="003F6197">
        <w:trPr>
          <w:cantSplit/>
          <w:jc w:val="center"/>
        </w:trPr>
        <w:tc>
          <w:tcPr>
            <w:tcW w:w="1440" w:type="dxa"/>
            <w:tcBorders>
              <w:top w:val="single" w:sz="6" w:space="0" w:color="auto"/>
            </w:tcBorders>
            <w:vAlign w:val="center"/>
          </w:tcPr>
          <w:p w14:paraId="4D475749" w14:textId="77777777" w:rsidR="003F6197" w:rsidRPr="009D185D" w:rsidRDefault="003F6197" w:rsidP="003F6197">
            <w:pPr>
              <w:keepNext/>
              <w:rPr>
                <w:rFonts w:eastAsia="Aptos"/>
                <w:sz w:val="16"/>
                <w:szCs w:val="16"/>
              </w:rPr>
            </w:pPr>
            <w:r w:rsidRPr="009D185D">
              <w:rPr>
                <w:rFonts w:eastAsia="Aptos"/>
                <w:sz w:val="16"/>
                <w:szCs w:val="16"/>
              </w:rPr>
              <w:t>Land Requirement</w:t>
            </w:r>
          </w:p>
        </w:tc>
        <w:tc>
          <w:tcPr>
            <w:tcW w:w="1127" w:type="dxa"/>
            <w:tcBorders>
              <w:top w:val="single" w:sz="6" w:space="0" w:color="auto"/>
            </w:tcBorders>
          </w:tcPr>
          <w:p w14:paraId="44EC79E4" w14:textId="77777777" w:rsidR="003F6197" w:rsidRPr="009D185D" w:rsidRDefault="003F6197" w:rsidP="003F6197">
            <w:pPr>
              <w:keepNext/>
              <w:jc w:val="center"/>
              <w:rPr>
                <w:rFonts w:eastAsia="Aptos"/>
                <w:sz w:val="16"/>
                <w:szCs w:val="16"/>
              </w:rPr>
            </w:pPr>
            <w:r w:rsidRPr="009D185D">
              <w:rPr>
                <w:rFonts w:eastAsia="Aptos"/>
                <w:sz w:val="16"/>
                <w:szCs w:val="16"/>
              </w:rPr>
              <w:t>5 yrs.</w:t>
            </w:r>
          </w:p>
        </w:tc>
        <w:tc>
          <w:tcPr>
            <w:tcW w:w="1033" w:type="dxa"/>
            <w:tcBorders>
              <w:top w:val="single" w:sz="6" w:space="0" w:color="auto"/>
            </w:tcBorders>
          </w:tcPr>
          <w:p w14:paraId="3F0CE8A9" w14:textId="77777777" w:rsidR="003F6197" w:rsidRPr="009D185D" w:rsidRDefault="003F6197" w:rsidP="003F6197">
            <w:pPr>
              <w:keepNext/>
              <w:jc w:val="center"/>
              <w:rPr>
                <w:rFonts w:eastAsia="Aptos"/>
                <w:sz w:val="16"/>
                <w:szCs w:val="16"/>
              </w:rPr>
            </w:pPr>
            <w:r w:rsidRPr="009D185D">
              <w:rPr>
                <w:rFonts w:eastAsia="Aptos"/>
                <w:sz w:val="16"/>
                <w:szCs w:val="16"/>
              </w:rPr>
              <w:t>1 yr.</w:t>
            </w:r>
          </w:p>
        </w:tc>
        <w:tc>
          <w:tcPr>
            <w:tcW w:w="1389" w:type="dxa"/>
            <w:tcBorders>
              <w:top w:val="single" w:sz="6" w:space="0" w:color="auto"/>
            </w:tcBorders>
          </w:tcPr>
          <w:p w14:paraId="6D466426" w14:textId="77777777" w:rsidR="003F6197" w:rsidRPr="009D185D" w:rsidRDefault="003F6197" w:rsidP="003F6197">
            <w:pPr>
              <w:keepNext/>
              <w:jc w:val="center"/>
              <w:rPr>
                <w:rFonts w:eastAsia="Aptos"/>
                <w:sz w:val="16"/>
                <w:szCs w:val="16"/>
              </w:rPr>
            </w:pPr>
            <w:r w:rsidRPr="009D185D">
              <w:rPr>
                <w:rFonts w:eastAsia="Aptos"/>
                <w:sz w:val="16"/>
                <w:szCs w:val="16"/>
              </w:rPr>
              <w:t>1 yr.</w:t>
            </w:r>
          </w:p>
        </w:tc>
      </w:tr>
      <w:tr w:rsidR="003F6197" w:rsidRPr="001531CD" w14:paraId="3DE7C6A1" w14:textId="77777777" w:rsidTr="003F6197">
        <w:trPr>
          <w:cantSplit/>
          <w:trHeight w:val="137"/>
          <w:jc w:val="center"/>
        </w:trPr>
        <w:tc>
          <w:tcPr>
            <w:tcW w:w="1440" w:type="dxa"/>
            <w:vAlign w:val="center"/>
          </w:tcPr>
          <w:p w14:paraId="13C19611" w14:textId="77777777" w:rsidR="003F6197" w:rsidRPr="009D185D" w:rsidRDefault="003F6197" w:rsidP="003F6197">
            <w:pPr>
              <w:keepNext/>
              <w:rPr>
                <w:rFonts w:eastAsia="Aptos"/>
                <w:sz w:val="16"/>
                <w:szCs w:val="16"/>
              </w:rPr>
            </w:pPr>
            <w:r w:rsidRPr="009D185D">
              <w:rPr>
                <w:rFonts w:eastAsia="Aptos"/>
                <w:sz w:val="16"/>
                <w:szCs w:val="16"/>
              </w:rPr>
              <w:t>Isolation</w:t>
            </w:r>
          </w:p>
        </w:tc>
        <w:tc>
          <w:tcPr>
            <w:tcW w:w="1127" w:type="dxa"/>
          </w:tcPr>
          <w:p w14:paraId="04A6B749" w14:textId="77777777" w:rsidR="003F6197" w:rsidRPr="009D185D" w:rsidRDefault="003F6197" w:rsidP="003F6197">
            <w:pPr>
              <w:keepNext/>
              <w:jc w:val="center"/>
              <w:rPr>
                <w:rFonts w:eastAsia="Aptos"/>
                <w:sz w:val="16"/>
                <w:szCs w:val="16"/>
              </w:rPr>
            </w:pPr>
            <w:r w:rsidRPr="009D185D">
              <w:rPr>
                <w:rFonts w:eastAsia="Aptos"/>
                <w:sz w:val="16"/>
                <w:szCs w:val="16"/>
              </w:rPr>
              <w:t>1,320 ft.</w:t>
            </w:r>
          </w:p>
        </w:tc>
        <w:tc>
          <w:tcPr>
            <w:tcW w:w="1033" w:type="dxa"/>
          </w:tcPr>
          <w:p w14:paraId="0AD22C56" w14:textId="77777777" w:rsidR="003F6197" w:rsidRPr="009D185D" w:rsidRDefault="003F6197" w:rsidP="003F6197">
            <w:pPr>
              <w:keepNext/>
              <w:jc w:val="center"/>
              <w:rPr>
                <w:rFonts w:eastAsia="Aptos"/>
                <w:sz w:val="16"/>
                <w:szCs w:val="16"/>
              </w:rPr>
            </w:pPr>
            <w:r w:rsidRPr="009D185D">
              <w:rPr>
                <w:rFonts w:eastAsia="Aptos"/>
                <w:sz w:val="16"/>
                <w:szCs w:val="16"/>
              </w:rPr>
              <w:t>660 ft.</w:t>
            </w:r>
          </w:p>
        </w:tc>
        <w:tc>
          <w:tcPr>
            <w:tcW w:w="1389" w:type="dxa"/>
          </w:tcPr>
          <w:p w14:paraId="3BFB974A" w14:textId="77777777" w:rsidR="003F6197" w:rsidRPr="009D185D" w:rsidRDefault="003F6197" w:rsidP="003F6197">
            <w:pPr>
              <w:keepNext/>
              <w:jc w:val="center"/>
              <w:rPr>
                <w:rFonts w:eastAsia="Aptos"/>
                <w:sz w:val="16"/>
                <w:szCs w:val="16"/>
              </w:rPr>
            </w:pPr>
            <w:r w:rsidRPr="009D185D">
              <w:rPr>
                <w:rFonts w:eastAsia="Aptos"/>
                <w:sz w:val="16"/>
                <w:szCs w:val="16"/>
              </w:rPr>
              <w:t>330 ft.</w:t>
            </w:r>
          </w:p>
        </w:tc>
      </w:tr>
      <w:tr w:rsidR="003F6197" w:rsidRPr="001531CD" w14:paraId="0A6A0F88" w14:textId="77777777" w:rsidTr="003F6197">
        <w:trPr>
          <w:cantSplit/>
          <w:trHeight w:val="102"/>
          <w:jc w:val="center"/>
        </w:trPr>
        <w:tc>
          <w:tcPr>
            <w:tcW w:w="1440" w:type="dxa"/>
            <w:vAlign w:val="center"/>
          </w:tcPr>
          <w:p w14:paraId="7FBBD2AB" w14:textId="77777777" w:rsidR="003F6197" w:rsidRPr="009D185D" w:rsidRDefault="003F6197" w:rsidP="003F6197">
            <w:pPr>
              <w:keepNext/>
              <w:rPr>
                <w:rFonts w:eastAsia="Aptos"/>
                <w:sz w:val="16"/>
                <w:szCs w:val="16"/>
              </w:rPr>
            </w:pPr>
            <w:r w:rsidRPr="009D185D">
              <w:rPr>
                <w:rFonts w:eastAsia="Aptos"/>
                <w:sz w:val="16"/>
                <w:szCs w:val="16"/>
              </w:rPr>
              <w:t>Other Varieties*</w:t>
            </w:r>
          </w:p>
        </w:tc>
        <w:tc>
          <w:tcPr>
            <w:tcW w:w="1127" w:type="dxa"/>
          </w:tcPr>
          <w:p w14:paraId="638DF590" w14:textId="77777777" w:rsidR="003F6197" w:rsidRPr="009D185D" w:rsidRDefault="003F6197" w:rsidP="003F6197">
            <w:pPr>
              <w:keepNext/>
              <w:jc w:val="center"/>
              <w:rPr>
                <w:rFonts w:eastAsia="Aptos"/>
                <w:strike/>
                <w:sz w:val="16"/>
                <w:szCs w:val="16"/>
              </w:rPr>
            </w:pPr>
            <w:r w:rsidRPr="009D185D">
              <w:rPr>
                <w:rFonts w:eastAsia="Aptos"/>
                <w:sz w:val="16"/>
                <w:szCs w:val="16"/>
              </w:rPr>
              <w:t>1:1,000</w:t>
            </w:r>
          </w:p>
        </w:tc>
        <w:tc>
          <w:tcPr>
            <w:tcW w:w="1033" w:type="dxa"/>
          </w:tcPr>
          <w:p w14:paraId="58127080" w14:textId="77777777" w:rsidR="003F6197" w:rsidRPr="009D185D" w:rsidRDefault="003F6197" w:rsidP="003F6197">
            <w:pPr>
              <w:keepNext/>
              <w:jc w:val="center"/>
              <w:rPr>
                <w:rFonts w:eastAsia="Aptos"/>
                <w:sz w:val="16"/>
                <w:szCs w:val="16"/>
              </w:rPr>
            </w:pPr>
            <w:r w:rsidRPr="009D185D">
              <w:rPr>
                <w:rFonts w:eastAsia="Aptos"/>
                <w:sz w:val="16"/>
                <w:szCs w:val="16"/>
              </w:rPr>
              <w:t>1:100</w:t>
            </w:r>
          </w:p>
        </w:tc>
        <w:tc>
          <w:tcPr>
            <w:tcW w:w="1389" w:type="dxa"/>
          </w:tcPr>
          <w:p w14:paraId="5672BA83" w14:textId="77777777" w:rsidR="003F6197" w:rsidRPr="009D185D" w:rsidRDefault="003F6197" w:rsidP="003F6197">
            <w:pPr>
              <w:keepNext/>
              <w:jc w:val="center"/>
              <w:rPr>
                <w:rFonts w:eastAsia="Aptos"/>
                <w:sz w:val="16"/>
                <w:szCs w:val="16"/>
              </w:rPr>
            </w:pPr>
            <w:r w:rsidRPr="009D185D">
              <w:rPr>
                <w:rFonts w:eastAsia="Aptos"/>
                <w:sz w:val="16"/>
                <w:szCs w:val="16"/>
              </w:rPr>
              <w:t>1:50</w:t>
            </w:r>
          </w:p>
        </w:tc>
      </w:tr>
      <w:tr w:rsidR="003F6197" w:rsidRPr="001531CD" w14:paraId="5D5A7D4B" w14:textId="77777777" w:rsidTr="003F6197">
        <w:trPr>
          <w:cantSplit/>
          <w:trHeight w:val="308"/>
          <w:jc w:val="center"/>
        </w:trPr>
        <w:tc>
          <w:tcPr>
            <w:tcW w:w="1440" w:type="dxa"/>
            <w:vAlign w:val="center"/>
          </w:tcPr>
          <w:p w14:paraId="21E28304" w14:textId="77777777" w:rsidR="003F6197" w:rsidRPr="009D185D" w:rsidRDefault="003F6197" w:rsidP="003F6197">
            <w:pPr>
              <w:keepNext/>
              <w:rPr>
                <w:rFonts w:eastAsia="Aptos"/>
                <w:sz w:val="16"/>
                <w:szCs w:val="16"/>
              </w:rPr>
            </w:pPr>
            <w:r w:rsidRPr="009D185D">
              <w:rPr>
                <w:rFonts w:eastAsia="Aptos"/>
                <w:sz w:val="16"/>
                <w:szCs w:val="16"/>
              </w:rPr>
              <w:t>Other Grass with Inseparable Seed</w:t>
            </w:r>
          </w:p>
        </w:tc>
        <w:tc>
          <w:tcPr>
            <w:tcW w:w="1127" w:type="dxa"/>
          </w:tcPr>
          <w:p w14:paraId="09C8E32F" w14:textId="77777777" w:rsidR="003F6197" w:rsidRPr="009D185D" w:rsidRDefault="003F6197" w:rsidP="003F6197">
            <w:pPr>
              <w:keepNext/>
              <w:jc w:val="center"/>
              <w:rPr>
                <w:rFonts w:eastAsia="Aptos"/>
                <w:sz w:val="16"/>
                <w:szCs w:val="16"/>
              </w:rPr>
            </w:pPr>
            <w:r w:rsidRPr="009D185D">
              <w:rPr>
                <w:rFonts w:eastAsia="Aptos"/>
                <w:sz w:val="16"/>
                <w:szCs w:val="16"/>
              </w:rPr>
              <w:t>10 Plants per Acre</w:t>
            </w:r>
          </w:p>
        </w:tc>
        <w:tc>
          <w:tcPr>
            <w:tcW w:w="1033" w:type="dxa"/>
          </w:tcPr>
          <w:p w14:paraId="7AC0346C" w14:textId="77777777" w:rsidR="003F6197" w:rsidRPr="009D185D" w:rsidRDefault="003F6197" w:rsidP="003F6197">
            <w:pPr>
              <w:keepNext/>
              <w:jc w:val="center"/>
              <w:rPr>
                <w:rFonts w:eastAsia="Aptos"/>
                <w:sz w:val="16"/>
                <w:szCs w:val="16"/>
              </w:rPr>
            </w:pPr>
            <w:r w:rsidRPr="009D185D">
              <w:rPr>
                <w:rFonts w:eastAsia="Aptos"/>
                <w:sz w:val="16"/>
                <w:szCs w:val="16"/>
              </w:rPr>
              <w:t>10 Plants per Acre</w:t>
            </w:r>
          </w:p>
        </w:tc>
        <w:tc>
          <w:tcPr>
            <w:tcW w:w="1389" w:type="dxa"/>
          </w:tcPr>
          <w:p w14:paraId="3AA815D6" w14:textId="77777777" w:rsidR="003F6197" w:rsidRPr="009D185D" w:rsidRDefault="003F6197" w:rsidP="003F6197">
            <w:pPr>
              <w:keepNext/>
              <w:jc w:val="center"/>
              <w:rPr>
                <w:rFonts w:eastAsia="Aptos"/>
                <w:sz w:val="16"/>
                <w:szCs w:val="16"/>
              </w:rPr>
            </w:pPr>
            <w:r w:rsidRPr="009D185D">
              <w:rPr>
                <w:rFonts w:eastAsia="Aptos"/>
                <w:sz w:val="16"/>
                <w:szCs w:val="16"/>
              </w:rPr>
              <w:t>25 Plants per Acre</w:t>
            </w:r>
          </w:p>
        </w:tc>
      </w:tr>
      <w:tr w:rsidR="003F6197" w:rsidRPr="001531CD" w14:paraId="20C57939" w14:textId="77777777" w:rsidTr="003F6197">
        <w:trPr>
          <w:cantSplit/>
          <w:trHeight w:val="308"/>
          <w:jc w:val="center"/>
        </w:trPr>
        <w:tc>
          <w:tcPr>
            <w:tcW w:w="1440" w:type="dxa"/>
            <w:tcBorders>
              <w:bottom w:val="double" w:sz="6" w:space="0" w:color="000000"/>
            </w:tcBorders>
            <w:vAlign w:val="center"/>
          </w:tcPr>
          <w:p w14:paraId="73859C2E" w14:textId="77777777" w:rsidR="003F6197" w:rsidRPr="009D185D" w:rsidRDefault="003F6197" w:rsidP="003F6197">
            <w:pPr>
              <w:keepNext/>
              <w:rPr>
                <w:rFonts w:eastAsia="Aptos"/>
                <w:sz w:val="16"/>
                <w:szCs w:val="16"/>
              </w:rPr>
            </w:pPr>
            <w:r w:rsidRPr="009D185D">
              <w:rPr>
                <w:rFonts w:eastAsia="Aptos"/>
                <w:sz w:val="16"/>
                <w:szCs w:val="16"/>
              </w:rPr>
              <w:t>Other Crops</w:t>
            </w:r>
          </w:p>
        </w:tc>
        <w:tc>
          <w:tcPr>
            <w:tcW w:w="3549" w:type="dxa"/>
            <w:gridSpan w:val="3"/>
            <w:tcBorders>
              <w:bottom w:val="double" w:sz="6" w:space="0" w:color="000000"/>
            </w:tcBorders>
            <w:tcMar>
              <w:top w:w="0" w:type="dxa"/>
              <w:left w:w="115" w:type="dxa"/>
              <w:right w:w="115" w:type="dxa"/>
            </w:tcMar>
            <w:vAlign w:val="center"/>
          </w:tcPr>
          <w:p w14:paraId="67C58D2A" w14:textId="77777777" w:rsidR="003F6197" w:rsidRPr="009D185D" w:rsidRDefault="003F6197" w:rsidP="003F6197">
            <w:pPr>
              <w:rPr>
                <w:rFonts w:eastAsia="Aptos"/>
                <w:sz w:val="16"/>
                <w:szCs w:val="16"/>
              </w:rPr>
            </w:pPr>
            <w:r w:rsidRPr="009D185D">
              <w:rPr>
                <w:rFonts w:eastAsia="Aptos"/>
                <w:sz w:val="16"/>
                <w:szCs w:val="16"/>
              </w:rPr>
              <w:t>Other crops with seed that can be separated will be permitted in the field.</w:t>
            </w:r>
          </w:p>
        </w:tc>
      </w:tr>
    </w:tbl>
    <w:p w14:paraId="52C847F0" w14:textId="77777777" w:rsidR="003F6197" w:rsidRDefault="003F6197" w:rsidP="003F6197">
      <w:pPr>
        <w:pStyle w:val="RegDoubleIndent"/>
        <w:rPr>
          <w:sz w:val="16"/>
          <w:szCs w:val="16"/>
        </w:rPr>
      </w:pPr>
      <w:r w:rsidRPr="009D185D">
        <w:rPr>
          <w:sz w:val="16"/>
          <w:szCs w:val="16"/>
        </w:rPr>
        <w:t>*Maximum permitted ratio</w:t>
      </w:r>
    </w:p>
    <w:p w14:paraId="687C9FEC" w14:textId="77777777" w:rsidR="00CD0355" w:rsidRPr="001531CD" w:rsidRDefault="00CD0355" w:rsidP="00CD0355">
      <w:pPr>
        <w:pStyle w:val="A"/>
        <w:spacing w:before="120"/>
      </w:pPr>
      <w:r w:rsidRPr="001531CD">
        <w:t>B.</w:t>
      </w:r>
      <w:r w:rsidRPr="001531CD">
        <w:tab/>
        <w:t>Seed Standards</w:t>
      </w:r>
    </w:p>
    <w:tbl>
      <w:tblPr>
        <w:tblW w:w="4992"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Look w:val="0000" w:firstRow="0" w:lastRow="0" w:firstColumn="0" w:lastColumn="0" w:noHBand="0" w:noVBand="0"/>
      </w:tblPr>
      <w:tblGrid>
        <w:gridCol w:w="1344"/>
        <w:gridCol w:w="1170"/>
        <w:gridCol w:w="990"/>
        <w:gridCol w:w="1488"/>
      </w:tblGrid>
      <w:tr w:rsidR="00CD0355" w:rsidRPr="001531CD" w14:paraId="23D5229F" w14:textId="77777777" w:rsidTr="00CD0355">
        <w:trPr>
          <w:trHeight w:val="23"/>
          <w:tblHeader/>
          <w:jc w:val="center"/>
        </w:trPr>
        <w:tc>
          <w:tcPr>
            <w:tcW w:w="1344" w:type="dxa"/>
            <w:tcBorders>
              <w:top w:val="double" w:sz="6" w:space="0" w:color="000000"/>
              <w:bottom w:val="single" w:sz="6" w:space="0" w:color="auto"/>
            </w:tcBorders>
            <w:shd w:val="clear" w:color="auto" w:fill="BFBFBF"/>
          </w:tcPr>
          <w:p w14:paraId="1010037E" w14:textId="77777777"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170" w:type="dxa"/>
            <w:tcBorders>
              <w:top w:val="double" w:sz="6" w:space="0" w:color="000000"/>
              <w:bottom w:val="single" w:sz="6" w:space="0" w:color="auto"/>
            </w:tcBorders>
            <w:shd w:val="clear" w:color="auto" w:fill="BFBFBF"/>
          </w:tcPr>
          <w:p w14:paraId="5162BBAF" w14:textId="77777777"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sz w:val="16"/>
                <w:szCs w:val="16"/>
              </w:rPr>
              <w:t>Foundation</w:t>
            </w:r>
          </w:p>
        </w:tc>
        <w:tc>
          <w:tcPr>
            <w:tcW w:w="990" w:type="dxa"/>
            <w:tcBorders>
              <w:top w:val="double" w:sz="6" w:space="0" w:color="000000"/>
              <w:bottom w:val="single" w:sz="6" w:space="0" w:color="auto"/>
            </w:tcBorders>
            <w:shd w:val="clear" w:color="auto" w:fill="BFBFBF"/>
          </w:tcPr>
          <w:p w14:paraId="53C70A48"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488" w:type="dxa"/>
            <w:tcBorders>
              <w:top w:val="double" w:sz="6" w:space="0" w:color="000000"/>
              <w:bottom w:val="single" w:sz="6" w:space="0" w:color="auto"/>
            </w:tcBorders>
            <w:shd w:val="clear" w:color="auto" w:fill="BFBFBF"/>
          </w:tcPr>
          <w:p w14:paraId="15E2409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3F6197" w:rsidRPr="001531CD" w14:paraId="1B700308" w14:textId="77777777" w:rsidTr="003F6197">
        <w:trPr>
          <w:trHeight w:val="23"/>
          <w:jc w:val="center"/>
        </w:trPr>
        <w:tc>
          <w:tcPr>
            <w:tcW w:w="1344" w:type="dxa"/>
            <w:tcBorders>
              <w:top w:val="single" w:sz="6" w:space="0" w:color="auto"/>
            </w:tcBorders>
            <w:vAlign w:val="center"/>
          </w:tcPr>
          <w:p w14:paraId="429DFCF6" w14:textId="77777777" w:rsidR="003F6197" w:rsidRPr="009D185D" w:rsidRDefault="003F6197" w:rsidP="003F6197">
            <w:pPr>
              <w:rPr>
                <w:rFonts w:eastAsia="Aptos"/>
                <w:sz w:val="16"/>
                <w:szCs w:val="16"/>
              </w:rPr>
            </w:pPr>
            <w:r w:rsidRPr="009D185D">
              <w:rPr>
                <w:rFonts w:eastAsia="Aptos"/>
                <w:sz w:val="16"/>
                <w:szCs w:val="16"/>
              </w:rPr>
              <w:t>Pure Seed</w:t>
            </w:r>
          </w:p>
        </w:tc>
        <w:tc>
          <w:tcPr>
            <w:tcW w:w="1170" w:type="dxa"/>
            <w:tcBorders>
              <w:top w:val="single" w:sz="6" w:space="0" w:color="auto"/>
            </w:tcBorders>
            <w:vAlign w:val="center"/>
          </w:tcPr>
          <w:p w14:paraId="41FE42FB" w14:textId="77777777" w:rsidR="003F6197" w:rsidRPr="009D185D" w:rsidRDefault="003F6197" w:rsidP="003F6197">
            <w:pPr>
              <w:jc w:val="center"/>
              <w:rPr>
                <w:rFonts w:eastAsia="Aptos"/>
                <w:sz w:val="16"/>
                <w:szCs w:val="16"/>
              </w:rPr>
            </w:pPr>
            <w:r w:rsidRPr="009D185D">
              <w:rPr>
                <w:rFonts w:eastAsia="Aptos"/>
                <w:sz w:val="16"/>
                <w:szCs w:val="16"/>
              </w:rPr>
              <w:t>65.00%</w:t>
            </w:r>
          </w:p>
        </w:tc>
        <w:tc>
          <w:tcPr>
            <w:tcW w:w="990" w:type="dxa"/>
            <w:tcBorders>
              <w:top w:val="single" w:sz="6" w:space="0" w:color="auto"/>
            </w:tcBorders>
            <w:vAlign w:val="center"/>
          </w:tcPr>
          <w:p w14:paraId="525C7A50" w14:textId="77777777" w:rsidR="003F6197" w:rsidRPr="009D185D" w:rsidRDefault="003F6197" w:rsidP="003F6197">
            <w:pPr>
              <w:jc w:val="center"/>
              <w:rPr>
                <w:rFonts w:eastAsia="Aptos"/>
                <w:sz w:val="16"/>
                <w:szCs w:val="16"/>
              </w:rPr>
            </w:pPr>
            <w:r w:rsidRPr="009D185D">
              <w:rPr>
                <w:rFonts w:eastAsia="Aptos"/>
                <w:sz w:val="16"/>
                <w:szCs w:val="16"/>
              </w:rPr>
              <w:t>65.00%</w:t>
            </w:r>
          </w:p>
        </w:tc>
        <w:tc>
          <w:tcPr>
            <w:tcW w:w="1488" w:type="dxa"/>
            <w:tcBorders>
              <w:top w:val="single" w:sz="6" w:space="0" w:color="auto"/>
            </w:tcBorders>
            <w:vAlign w:val="center"/>
          </w:tcPr>
          <w:p w14:paraId="40CD34D1" w14:textId="77777777" w:rsidR="003F6197" w:rsidRPr="009D185D" w:rsidRDefault="003F6197" w:rsidP="003F6197">
            <w:pPr>
              <w:jc w:val="center"/>
              <w:rPr>
                <w:rFonts w:eastAsia="Aptos"/>
                <w:sz w:val="16"/>
                <w:szCs w:val="16"/>
              </w:rPr>
            </w:pPr>
            <w:r w:rsidRPr="009D185D">
              <w:rPr>
                <w:rFonts w:eastAsia="Aptos"/>
                <w:sz w:val="16"/>
                <w:szCs w:val="16"/>
              </w:rPr>
              <w:t>65.00%</w:t>
            </w:r>
          </w:p>
        </w:tc>
      </w:tr>
      <w:tr w:rsidR="003F6197" w:rsidRPr="001531CD" w14:paraId="7703CF1A" w14:textId="77777777" w:rsidTr="003F6197">
        <w:trPr>
          <w:trHeight w:val="23"/>
          <w:jc w:val="center"/>
        </w:trPr>
        <w:tc>
          <w:tcPr>
            <w:tcW w:w="1344" w:type="dxa"/>
            <w:vAlign w:val="center"/>
          </w:tcPr>
          <w:p w14:paraId="3330F9DD" w14:textId="77777777" w:rsidR="003F6197" w:rsidRPr="009D185D" w:rsidRDefault="003F6197" w:rsidP="003F6197">
            <w:pPr>
              <w:rPr>
                <w:rFonts w:eastAsia="Aptos"/>
                <w:sz w:val="16"/>
                <w:szCs w:val="16"/>
              </w:rPr>
            </w:pPr>
            <w:r w:rsidRPr="009D185D">
              <w:rPr>
                <w:rFonts w:eastAsia="Aptos"/>
                <w:sz w:val="16"/>
                <w:szCs w:val="16"/>
              </w:rPr>
              <w:t>Inert Matter</w:t>
            </w:r>
          </w:p>
        </w:tc>
        <w:tc>
          <w:tcPr>
            <w:tcW w:w="1170" w:type="dxa"/>
            <w:vAlign w:val="center"/>
          </w:tcPr>
          <w:p w14:paraId="78EE5059" w14:textId="77777777" w:rsidR="003F6197" w:rsidRPr="009D185D" w:rsidRDefault="003F6197" w:rsidP="003F6197">
            <w:pPr>
              <w:jc w:val="center"/>
              <w:rPr>
                <w:rFonts w:eastAsia="Aptos"/>
                <w:sz w:val="16"/>
                <w:szCs w:val="16"/>
              </w:rPr>
            </w:pPr>
            <w:r w:rsidRPr="009D185D">
              <w:rPr>
                <w:rFonts w:eastAsia="Aptos"/>
                <w:sz w:val="16"/>
                <w:szCs w:val="16"/>
              </w:rPr>
              <w:t>35.00%</w:t>
            </w:r>
          </w:p>
        </w:tc>
        <w:tc>
          <w:tcPr>
            <w:tcW w:w="990" w:type="dxa"/>
            <w:vAlign w:val="center"/>
          </w:tcPr>
          <w:p w14:paraId="698D67F5" w14:textId="77777777" w:rsidR="003F6197" w:rsidRPr="009D185D" w:rsidRDefault="003F6197" w:rsidP="003F6197">
            <w:pPr>
              <w:jc w:val="center"/>
              <w:rPr>
                <w:rFonts w:eastAsia="Aptos"/>
                <w:sz w:val="16"/>
                <w:szCs w:val="16"/>
              </w:rPr>
            </w:pPr>
            <w:r w:rsidRPr="009D185D">
              <w:rPr>
                <w:rFonts w:eastAsia="Aptos"/>
                <w:sz w:val="16"/>
                <w:szCs w:val="16"/>
              </w:rPr>
              <w:t>35.00%</w:t>
            </w:r>
          </w:p>
        </w:tc>
        <w:tc>
          <w:tcPr>
            <w:tcW w:w="1488" w:type="dxa"/>
            <w:vAlign w:val="center"/>
          </w:tcPr>
          <w:p w14:paraId="70DA0522" w14:textId="77777777" w:rsidR="003F6197" w:rsidRPr="009D185D" w:rsidRDefault="003F6197" w:rsidP="003F6197">
            <w:pPr>
              <w:jc w:val="center"/>
              <w:rPr>
                <w:rFonts w:eastAsia="Aptos"/>
                <w:sz w:val="16"/>
                <w:szCs w:val="16"/>
              </w:rPr>
            </w:pPr>
            <w:r w:rsidRPr="009D185D">
              <w:rPr>
                <w:rFonts w:eastAsia="Aptos"/>
                <w:sz w:val="16"/>
                <w:szCs w:val="16"/>
              </w:rPr>
              <w:t>35.00%</w:t>
            </w:r>
          </w:p>
        </w:tc>
      </w:tr>
      <w:tr w:rsidR="003F6197" w:rsidRPr="001531CD" w14:paraId="04702DD3" w14:textId="77777777" w:rsidTr="003F6197">
        <w:trPr>
          <w:trHeight w:val="23"/>
          <w:jc w:val="center"/>
        </w:trPr>
        <w:tc>
          <w:tcPr>
            <w:tcW w:w="1344" w:type="dxa"/>
            <w:vAlign w:val="center"/>
          </w:tcPr>
          <w:p w14:paraId="682D0C0F" w14:textId="77777777" w:rsidR="003F6197" w:rsidRPr="009D185D" w:rsidRDefault="003F6197" w:rsidP="003F6197">
            <w:pPr>
              <w:rPr>
                <w:rFonts w:eastAsia="Aptos"/>
                <w:sz w:val="16"/>
                <w:szCs w:val="16"/>
              </w:rPr>
            </w:pPr>
            <w:r w:rsidRPr="009D185D">
              <w:rPr>
                <w:rFonts w:eastAsia="Aptos"/>
                <w:sz w:val="16"/>
                <w:szCs w:val="16"/>
              </w:rPr>
              <w:t>Total Other Crop Seed</w:t>
            </w:r>
          </w:p>
          <w:p w14:paraId="23347FC8" w14:textId="77777777" w:rsidR="003F6197" w:rsidRPr="009D185D" w:rsidRDefault="003F6197" w:rsidP="003F6197">
            <w:pPr>
              <w:rPr>
                <w:rFonts w:eastAsia="Aptos"/>
                <w:sz w:val="16"/>
                <w:szCs w:val="16"/>
              </w:rPr>
            </w:pPr>
            <w:r w:rsidRPr="009D185D">
              <w:rPr>
                <w:rFonts w:eastAsia="Aptos"/>
                <w:bCs/>
                <w:sz w:val="16"/>
                <w:szCs w:val="16"/>
              </w:rPr>
              <w:t xml:space="preserve"> </w:t>
            </w:r>
            <w:r w:rsidRPr="009D185D">
              <w:rPr>
                <w:rFonts w:eastAsia="Aptos"/>
                <w:sz w:val="16"/>
                <w:szCs w:val="16"/>
              </w:rPr>
              <w:t>Other Kinds</w:t>
            </w:r>
          </w:p>
          <w:p w14:paraId="3016D773" w14:textId="77777777" w:rsidR="003F6197" w:rsidRPr="009D185D" w:rsidRDefault="003F6197" w:rsidP="003F6197">
            <w:pPr>
              <w:rPr>
                <w:rFonts w:eastAsia="Aptos"/>
                <w:sz w:val="16"/>
                <w:szCs w:val="16"/>
              </w:rPr>
            </w:pPr>
            <w:r w:rsidRPr="009D185D">
              <w:rPr>
                <w:rFonts w:eastAsia="Aptos"/>
                <w:sz w:val="16"/>
                <w:szCs w:val="16"/>
              </w:rPr>
              <w:t xml:space="preserve"> Other</w:t>
            </w:r>
            <w:r w:rsidRPr="009D185D">
              <w:rPr>
                <w:rFonts w:eastAsia="Aptos"/>
                <w:bCs/>
                <w:sz w:val="16"/>
                <w:szCs w:val="16"/>
              </w:rPr>
              <w:t xml:space="preserve"> </w:t>
            </w:r>
            <w:r w:rsidRPr="009D185D">
              <w:rPr>
                <w:rFonts w:eastAsia="Aptos"/>
                <w:sz w:val="16"/>
                <w:szCs w:val="16"/>
              </w:rPr>
              <w:t>Varieties</w:t>
            </w:r>
          </w:p>
        </w:tc>
        <w:tc>
          <w:tcPr>
            <w:tcW w:w="1170" w:type="dxa"/>
            <w:vAlign w:val="center"/>
          </w:tcPr>
          <w:p w14:paraId="77542EAA" w14:textId="77777777" w:rsidR="003F6197" w:rsidRPr="009D185D" w:rsidRDefault="003F6197" w:rsidP="003F6197">
            <w:pPr>
              <w:jc w:val="center"/>
              <w:rPr>
                <w:rFonts w:eastAsia="Aptos"/>
                <w:sz w:val="16"/>
                <w:szCs w:val="16"/>
              </w:rPr>
            </w:pPr>
            <w:r w:rsidRPr="009D185D">
              <w:rPr>
                <w:rFonts w:eastAsia="Aptos"/>
                <w:sz w:val="16"/>
                <w:szCs w:val="16"/>
              </w:rPr>
              <w:t>0.20%</w:t>
            </w:r>
          </w:p>
          <w:p w14:paraId="738F326E" w14:textId="77777777" w:rsidR="003F6197" w:rsidRPr="009D185D" w:rsidRDefault="003F6197" w:rsidP="003F6197">
            <w:pPr>
              <w:jc w:val="center"/>
              <w:rPr>
                <w:rFonts w:eastAsia="Aptos"/>
                <w:sz w:val="16"/>
                <w:szCs w:val="16"/>
              </w:rPr>
            </w:pPr>
            <w:r w:rsidRPr="009D185D">
              <w:rPr>
                <w:rFonts w:eastAsia="Aptos"/>
                <w:sz w:val="16"/>
                <w:szCs w:val="16"/>
              </w:rPr>
              <w:t>0.10%</w:t>
            </w:r>
          </w:p>
          <w:p w14:paraId="578E9DC5" w14:textId="77777777" w:rsidR="003F6197" w:rsidRPr="009D185D" w:rsidRDefault="003F6197" w:rsidP="003F6197">
            <w:pPr>
              <w:jc w:val="center"/>
              <w:rPr>
                <w:rFonts w:eastAsia="Aptos"/>
                <w:sz w:val="16"/>
                <w:szCs w:val="16"/>
              </w:rPr>
            </w:pPr>
            <w:r w:rsidRPr="009D185D">
              <w:rPr>
                <w:rFonts w:eastAsia="Aptos"/>
                <w:sz w:val="16"/>
                <w:szCs w:val="16"/>
              </w:rPr>
              <w:t>0.10%</w:t>
            </w:r>
          </w:p>
        </w:tc>
        <w:tc>
          <w:tcPr>
            <w:tcW w:w="990" w:type="dxa"/>
            <w:vAlign w:val="center"/>
          </w:tcPr>
          <w:p w14:paraId="1547797E" w14:textId="77777777" w:rsidR="003F6197" w:rsidRPr="009D185D" w:rsidRDefault="003F6197" w:rsidP="003F6197">
            <w:pPr>
              <w:jc w:val="center"/>
              <w:rPr>
                <w:rFonts w:eastAsia="Aptos"/>
                <w:sz w:val="16"/>
                <w:szCs w:val="16"/>
              </w:rPr>
            </w:pPr>
            <w:r w:rsidRPr="009D185D">
              <w:rPr>
                <w:rFonts w:eastAsia="Aptos"/>
                <w:sz w:val="16"/>
                <w:szCs w:val="16"/>
              </w:rPr>
              <w:t>1.00%</w:t>
            </w:r>
          </w:p>
          <w:p w14:paraId="720C91F7" w14:textId="77777777" w:rsidR="003F6197" w:rsidRPr="009D185D" w:rsidRDefault="003F6197" w:rsidP="003F6197">
            <w:pPr>
              <w:jc w:val="center"/>
              <w:rPr>
                <w:rFonts w:eastAsia="Aptos"/>
                <w:sz w:val="16"/>
                <w:szCs w:val="16"/>
              </w:rPr>
            </w:pPr>
            <w:r w:rsidRPr="009D185D">
              <w:rPr>
                <w:rFonts w:eastAsia="Aptos"/>
                <w:sz w:val="16"/>
                <w:szCs w:val="16"/>
              </w:rPr>
              <w:t>0.25%</w:t>
            </w:r>
          </w:p>
          <w:p w14:paraId="67489D99" w14:textId="77777777" w:rsidR="003F6197" w:rsidRPr="009D185D" w:rsidRDefault="003F6197" w:rsidP="003F6197">
            <w:pPr>
              <w:jc w:val="center"/>
              <w:rPr>
                <w:rFonts w:eastAsia="Aptos"/>
                <w:sz w:val="16"/>
                <w:szCs w:val="16"/>
              </w:rPr>
            </w:pPr>
            <w:r w:rsidRPr="009D185D">
              <w:rPr>
                <w:rFonts w:eastAsia="Aptos"/>
                <w:sz w:val="16"/>
                <w:szCs w:val="16"/>
              </w:rPr>
              <w:t>1.00%</w:t>
            </w:r>
          </w:p>
        </w:tc>
        <w:tc>
          <w:tcPr>
            <w:tcW w:w="1488" w:type="dxa"/>
            <w:vAlign w:val="center"/>
          </w:tcPr>
          <w:p w14:paraId="67D2F3EF" w14:textId="77777777" w:rsidR="003F6197" w:rsidRPr="009D185D" w:rsidRDefault="003F6197" w:rsidP="003F6197">
            <w:pPr>
              <w:jc w:val="center"/>
              <w:rPr>
                <w:rFonts w:eastAsia="Aptos"/>
                <w:sz w:val="16"/>
                <w:szCs w:val="16"/>
              </w:rPr>
            </w:pPr>
            <w:r w:rsidRPr="009D185D">
              <w:rPr>
                <w:rFonts w:eastAsia="Aptos"/>
                <w:sz w:val="16"/>
                <w:szCs w:val="16"/>
              </w:rPr>
              <w:t>2.00%</w:t>
            </w:r>
          </w:p>
          <w:p w14:paraId="22E5139C" w14:textId="77777777" w:rsidR="003F6197" w:rsidRPr="009D185D" w:rsidRDefault="003F6197" w:rsidP="003F6197">
            <w:pPr>
              <w:jc w:val="center"/>
              <w:rPr>
                <w:rFonts w:eastAsia="Aptos"/>
                <w:sz w:val="16"/>
                <w:szCs w:val="16"/>
              </w:rPr>
            </w:pPr>
            <w:r w:rsidRPr="009D185D">
              <w:rPr>
                <w:rFonts w:eastAsia="Aptos"/>
                <w:sz w:val="16"/>
                <w:szCs w:val="16"/>
              </w:rPr>
              <w:t>0.50%</w:t>
            </w:r>
          </w:p>
          <w:p w14:paraId="492DFDD8" w14:textId="77777777" w:rsidR="003F6197" w:rsidRPr="009D185D" w:rsidRDefault="003F6197" w:rsidP="003F6197">
            <w:pPr>
              <w:jc w:val="center"/>
              <w:rPr>
                <w:rFonts w:eastAsia="Aptos"/>
                <w:sz w:val="16"/>
                <w:szCs w:val="16"/>
              </w:rPr>
            </w:pPr>
            <w:r w:rsidRPr="009D185D">
              <w:rPr>
                <w:rFonts w:eastAsia="Aptos"/>
                <w:sz w:val="16"/>
                <w:szCs w:val="16"/>
              </w:rPr>
              <w:t>2.00%</w:t>
            </w:r>
          </w:p>
        </w:tc>
      </w:tr>
      <w:tr w:rsidR="003F6197" w:rsidRPr="001531CD" w14:paraId="3F0B5463" w14:textId="77777777" w:rsidTr="003F6197">
        <w:trPr>
          <w:trHeight w:val="23"/>
          <w:jc w:val="center"/>
        </w:trPr>
        <w:tc>
          <w:tcPr>
            <w:tcW w:w="1344" w:type="dxa"/>
            <w:vAlign w:val="center"/>
          </w:tcPr>
          <w:p w14:paraId="5E9AAFC6" w14:textId="77777777" w:rsidR="003F6197" w:rsidRPr="009D185D" w:rsidRDefault="003F6197" w:rsidP="003F6197">
            <w:pPr>
              <w:rPr>
                <w:rFonts w:eastAsia="Aptos"/>
                <w:sz w:val="16"/>
                <w:szCs w:val="16"/>
              </w:rPr>
            </w:pPr>
            <w:r w:rsidRPr="009D185D">
              <w:rPr>
                <w:rFonts w:eastAsia="Aptos"/>
                <w:sz w:val="16"/>
                <w:szCs w:val="16"/>
              </w:rPr>
              <w:t>Noxious Weed Seed</w:t>
            </w:r>
          </w:p>
        </w:tc>
        <w:tc>
          <w:tcPr>
            <w:tcW w:w="1170" w:type="dxa"/>
            <w:vAlign w:val="center"/>
          </w:tcPr>
          <w:p w14:paraId="6F561AA4" w14:textId="77777777" w:rsidR="003F6197" w:rsidRPr="009D185D" w:rsidRDefault="003F6197" w:rsidP="003F6197">
            <w:pPr>
              <w:jc w:val="center"/>
              <w:rPr>
                <w:rFonts w:eastAsia="Aptos"/>
                <w:sz w:val="16"/>
                <w:szCs w:val="16"/>
              </w:rPr>
            </w:pPr>
            <w:r w:rsidRPr="009D185D">
              <w:rPr>
                <w:rFonts w:eastAsia="Aptos"/>
                <w:sz w:val="16"/>
                <w:szCs w:val="16"/>
              </w:rPr>
              <w:t>None</w:t>
            </w:r>
          </w:p>
        </w:tc>
        <w:tc>
          <w:tcPr>
            <w:tcW w:w="990" w:type="dxa"/>
            <w:vAlign w:val="center"/>
          </w:tcPr>
          <w:p w14:paraId="5548EC01" w14:textId="77777777" w:rsidR="003F6197" w:rsidRPr="009D185D" w:rsidRDefault="003F6197" w:rsidP="003F6197">
            <w:pPr>
              <w:jc w:val="center"/>
              <w:rPr>
                <w:rFonts w:eastAsia="Aptos"/>
                <w:sz w:val="16"/>
                <w:szCs w:val="16"/>
              </w:rPr>
            </w:pPr>
            <w:r w:rsidRPr="009D185D">
              <w:rPr>
                <w:rFonts w:eastAsia="Aptos"/>
                <w:sz w:val="16"/>
                <w:szCs w:val="16"/>
              </w:rPr>
              <w:t>None</w:t>
            </w:r>
          </w:p>
        </w:tc>
        <w:tc>
          <w:tcPr>
            <w:tcW w:w="1488" w:type="dxa"/>
            <w:vAlign w:val="center"/>
          </w:tcPr>
          <w:p w14:paraId="6992C7E4" w14:textId="77777777" w:rsidR="003F6197" w:rsidRPr="009D185D" w:rsidRDefault="003F6197" w:rsidP="003F6197">
            <w:pPr>
              <w:jc w:val="center"/>
              <w:rPr>
                <w:rFonts w:eastAsia="Aptos"/>
                <w:sz w:val="16"/>
                <w:szCs w:val="16"/>
              </w:rPr>
            </w:pPr>
            <w:r w:rsidRPr="009D185D">
              <w:rPr>
                <w:rFonts w:eastAsia="Aptos"/>
                <w:sz w:val="16"/>
                <w:szCs w:val="16"/>
              </w:rPr>
              <w:t>None</w:t>
            </w:r>
          </w:p>
        </w:tc>
      </w:tr>
      <w:tr w:rsidR="003F6197" w:rsidRPr="001531CD" w14:paraId="6BBAC16B" w14:textId="77777777" w:rsidTr="003F6197">
        <w:trPr>
          <w:trHeight w:val="23"/>
          <w:jc w:val="center"/>
        </w:trPr>
        <w:tc>
          <w:tcPr>
            <w:tcW w:w="1344" w:type="dxa"/>
            <w:vAlign w:val="center"/>
          </w:tcPr>
          <w:p w14:paraId="30B13CA6" w14:textId="77777777" w:rsidR="003F6197" w:rsidRPr="009D185D" w:rsidRDefault="003F6197" w:rsidP="003F6197">
            <w:pPr>
              <w:rPr>
                <w:rFonts w:eastAsia="Aptos"/>
                <w:sz w:val="16"/>
                <w:szCs w:val="16"/>
              </w:rPr>
            </w:pPr>
            <w:r w:rsidRPr="009D185D">
              <w:rPr>
                <w:rFonts w:eastAsia="Aptos"/>
                <w:sz w:val="16"/>
                <w:szCs w:val="16"/>
              </w:rPr>
              <w:t>Other Weed Seed</w:t>
            </w:r>
          </w:p>
        </w:tc>
        <w:tc>
          <w:tcPr>
            <w:tcW w:w="1170" w:type="dxa"/>
            <w:vAlign w:val="center"/>
          </w:tcPr>
          <w:p w14:paraId="1A706840" w14:textId="77777777" w:rsidR="003F6197" w:rsidRPr="009D185D" w:rsidRDefault="003F6197" w:rsidP="003F6197">
            <w:pPr>
              <w:jc w:val="center"/>
              <w:rPr>
                <w:rFonts w:eastAsia="Aptos"/>
                <w:sz w:val="16"/>
                <w:szCs w:val="16"/>
              </w:rPr>
            </w:pPr>
            <w:r w:rsidRPr="009D185D">
              <w:rPr>
                <w:rFonts w:eastAsia="Aptos"/>
                <w:sz w:val="16"/>
                <w:szCs w:val="16"/>
              </w:rPr>
              <w:t>0.50%</w:t>
            </w:r>
          </w:p>
        </w:tc>
        <w:tc>
          <w:tcPr>
            <w:tcW w:w="990" w:type="dxa"/>
            <w:vAlign w:val="center"/>
          </w:tcPr>
          <w:p w14:paraId="655C1EB6" w14:textId="77777777" w:rsidR="003F6197" w:rsidRPr="009D185D" w:rsidRDefault="003F6197" w:rsidP="003F6197">
            <w:pPr>
              <w:jc w:val="center"/>
              <w:rPr>
                <w:rFonts w:eastAsia="Aptos"/>
                <w:sz w:val="16"/>
                <w:szCs w:val="16"/>
              </w:rPr>
            </w:pPr>
            <w:r w:rsidRPr="009D185D">
              <w:rPr>
                <w:rFonts w:eastAsia="Aptos"/>
                <w:sz w:val="16"/>
                <w:szCs w:val="16"/>
              </w:rPr>
              <w:t>0.50%</w:t>
            </w:r>
          </w:p>
        </w:tc>
        <w:tc>
          <w:tcPr>
            <w:tcW w:w="1488" w:type="dxa"/>
            <w:vAlign w:val="center"/>
          </w:tcPr>
          <w:p w14:paraId="1A13268D" w14:textId="77777777" w:rsidR="003F6197" w:rsidRPr="009D185D" w:rsidRDefault="003F6197" w:rsidP="003F6197">
            <w:pPr>
              <w:jc w:val="center"/>
              <w:rPr>
                <w:rFonts w:eastAsia="Aptos"/>
                <w:sz w:val="16"/>
                <w:szCs w:val="16"/>
              </w:rPr>
            </w:pPr>
            <w:r w:rsidRPr="009D185D">
              <w:rPr>
                <w:rFonts w:eastAsia="Aptos"/>
                <w:sz w:val="16"/>
                <w:szCs w:val="16"/>
              </w:rPr>
              <w:t>1.00%</w:t>
            </w:r>
          </w:p>
        </w:tc>
      </w:tr>
      <w:tr w:rsidR="003F6197" w:rsidRPr="001531CD" w14:paraId="13579A41" w14:textId="77777777" w:rsidTr="003F6197">
        <w:trPr>
          <w:trHeight w:val="23"/>
          <w:jc w:val="center"/>
        </w:trPr>
        <w:tc>
          <w:tcPr>
            <w:tcW w:w="1344" w:type="dxa"/>
            <w:tcBorders>
              <w:bottom w:val="double" w:sz="6" w:space="0" w:color="000000"/>
            </w:tcBorders>
            <w:vAlign w:val="center"/>
          </w:tcPr>
          <w:p w14:paraId="769B09AC" w14:textId="77777777" w:rsidR="003F6197" w:rsidRPr="009D185D" w:rsidRDefault="003F6197" w:rsidP="003F6197">
            <w:pPr>
              <w:rPr>
                <w:rFonts w:eastAsia="Aptos"/>
                <w:sz w:val="16"/>
                <w:szCs w:val="16"/>
              </w:rPr>
            </w:pPr>
            <w:r w:rsidRPr="009D185D">
              <w:rPr>
                <w:rFonts w:eastAsia="Aptos"/>
                <w:sz w:val="16"/>
                <w:szCs w:val="16"/>
              </w:rPr>
              <w:t>Percent Total Viability*</w:t>
            </w:r>
          </w:p>
        </w:tc>
        <w:tc>
          <w:tcPr>
            <w:tcW w:w="1170" w:type="dxa"/>
            <w:tcBorders>
              <w:bottom w:val="double" w:sz="6" w:space="0" w:color="000000"/>
            </w:tcBorders>
            <w:vAlign w:val="center"/>
          </w:tcPr>
          <w:p w14:paraId="34CF0997" w14:textId="77777777" w:rsidR="003F6197" w:rsidRPr="009D185D" w:rsidRDefault="003F6197" w:rsidP="003F6197">
            <w:pPr>
              <w:jc w:val="center"/>
              <w:rPr>
                <w:rFonts w:eastAsia="Aptos"/>
                <w:sz w:val="16"/>
                <w:szCs w:val="16"/>
              </w:rPr>
            </w:pPr>
            <w:r w:rsidRPr="009D185D">
              <w:rPr>
                <w:rFonts w:eastAsia="Aptos"/>
                <w:sz w:val="16"/>
                <w:szCs w:val="16"/>
              </w:rPr>
              <w:t>70.00%</w:t>
            </w:r>
          </w:p>
        </w:tc>
        <w:tc>
          <w:tcPr>
            <w:tcW w:w="990" w:type="dxa"/>
            <w:tcBorders>
              <w:bottom w:val="double" w:sz="6" w:space="0" w:color="000000"/>
            </w:tcBorders>
            <w:vAlign w:val="center"/>
          </w:tcPr>
          <w:p w14:paraId="05AFB44F" w14:textId="77777777" w:rsidR="003F6197" w:rsidRPr="009D185D" w:rsidRDefault="003F6197" w:rsidP="003F6197">
            <w:pPr>
              <w:jc w:val="center"/>
              <w:rPr>
                <w:rFonts w:eastAsia="Aptos"/>
                <w:sz w:val="16"/>
                <w:szCs w:val="16"/>
              </w:rPr>
            </w:pPr>
            <w:r w:rsidRPr="009D185D">
              <w:rPr>
                <w:rFonts w:eastAsia="Aptos"/>
                <w:sz w:val="16"/>
                <w:szCs w:val="16"/>
              </w:rPr>
              <w:t>70.00%</w:t>
            </w:r>
          </w:p>
        </w:tc>
        <w:tc>
          <w:tcPr>
            <w:tcW w:w="1488" w:type="dxa"/>
            <w:tcBorders>
              <w:bottom w:val="double" w:sz="6" w:space="0" w:color="000000"/>
            </w:tcBorders>
            <w:vAlign w:val="center"/>
          </w:tcPr>
          <w:p w14:paraId="40A4F4FE" w14:textId="77777777" w:rsidR="003F6197" w:rsidRPr="009D185D" w:rsidRDefault="003F6197" w:rsidP="003F6197">
            <w:pPr>
              <w:jc w:val="center"/>
              <w:rPr>
                <w:rFonts w:eastAsia="Aptos"/>
                <w:sz w:val="16"/>
                <w:szCs w:val="16"/>
              </w:rPr>
            </w:pPr>
            <w:r w:rsidRPr="009D185D">
              <w:rPr>
                <w:rFonts w:eastAsia="Aptos"/>
                <w:sz w:val="16"/>
                <w:szCs w:val="16"/>
              </w:rPr>
              <w:t>70.00%</w:t>
            </w:r>
          </w:p>
        </w:tc>
      </w:tr>
    </w:tbl>
    <w:p w14:paraId="22C56B42" w14:textId="77777777" w:rsidR="003F6197" w:rsidRPr="003F6197" w:rsidRDefault="003F6197" w:rsidP="003F6197">
      <w:pPr>
        <w:pStyle w:val="RegDoubleIndent"/>
        <w:ind w:left="0" w:firstLine="187"/>
        <w:rPr>
          <w:sz w:val="16"/>
          <w:szCs w:val="16"/>
        </w:rPr>
      </w:pPr>
      <w:r w:rsidRPr="009D185D">
        <w:rPr>
          <w:sz w:val="16"/>
          <w:szCs w:val="16"/>
        </w:rPr>
        <w:t>*Percent germination plus percent dormant seed.</w:t>
      </w:r>
    </w:p>
    <w:p w14:paraId="0AB08CEF" w14:textId="77777777" w:rsidR="003F6197" w:rsidRPr="001531CD" w:rsidRDefault="003F6197" w:rsidP="00CD0355">
      <w:pPr>
        <w:tabs>
          <w:tab w:val="left" w:pos="180"/>
          <w:tab w:val="left" w:pos="360"/>
          <w:tab w:val="left" w:pos="5940"/>
          <w:tab w:val="left" w:pos="8640"/>
        </w:tabs>
        <w:rPr>
          <w:sz w:val="20"/>
        </w:rPr>
      </w:pPr>
    </w:p>
    <w:p w14:paraId="321B6B04" w14:textId="77777777" w:rsidR="00CD0355" w:rsidRPr="001531CD" w:rsidRDefault="00CD0355" w:rsidP="00CD0355">
      <w:pPr>
        <w:pStyle w:val="AuthorityNote"/>
      </w:pPr>
      <w:r w:rsidRPr="001531CD">
        <w:t>AUTHORITY NOTE:</w:t>
      </w:r>
      <w:r w:rsidRPr="001531CD">
        <w:tab/>
        <w:t>Promulgated in accordance with R.S. 3:1433.</w:t>
      </w:r>
    </w:p>
    <w:p w14:paraId="60E54926" w14:textId="77777777" w:rsidR="003F6197" w:rsidRDefault="00CD0355" w:rsidP="003F6197">
      <w:pPr>
        <w:pStyle w:val="HistoricalNote"/>
      </w:pPr>
      <w:r w:rsidRPr="001531CD">
        <w:t>HISTORICAL NOTE:</w:t>
      </w:r>
      <w:r w:rsidRPr="001531CD">
        <w:tab/>
        <w:t>Promulgated by the Department of Agriculture, Seed Commission, LR 8:568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rsidR="003F6197">
        <w:t>sion, LR 39:2716 (October 2013), amended LR 51:1568 (October 2025).</w:t>
      </w:r>
    </w:p>
    <w:p w14:paraId="573428B2" w14:textId="77777777" w:rsidR="00CD0355" w:rsidRPr="001531CD" w:rsidRDefault="00CD0355" w:rsidP="003F6197">
      <w:pPr>
        <w:pStyle w:val="Section"/>
      </w:pPr>
      <w:bookmarkStart w:id="1128" w:name="_Toc224818798"/>
      <w:r w:rsidRPr="001531CD">
        <w:t>§709.</w:t>
      </w:r>
      <w:r w:rsidRPr="001531CD">
        <w:tab/>
        <w:t>Bermuda and Zoysia Grass Seed Certification Standards</w:t>
      </w:r>
      <w:bookmarkEnd w:id="1128"/>
      <w:r w:rsidRPr="001531CD">
        <w:t xml:space="preserve"> </w:t>
      </w:r>
    </w:p>
    <w:p w14:paraId="070A121A" w14:textId="77777777" w:rsidR="00CD0355" w:rsidRPr="001531CD" w:rsidRDefault="00CD0355" w:rsidP="00CD0355">
      <w:pPr>
        <w:pStyle w:val="A"/>
      </w:pPr>
      <w:r w:rsidRPr="001531CD">
        <w:t>A.</w:t>
      </w:r>
      <w:r w:rsidRPr="001531CD">
        <w:tab/>
        <w:t>Field Standards</w:t>
      </w:r>
    </w:p>
    <w:tbl>
      <w:tblPr>
        <w:tblW w:w="497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89"/>
        <w:gridCol w:w="1080"/>
        <w:gridCol w:w="990"/>
        <w:gridCol w:w="918"/>
      </w:tblGrid>
      <w:tr w:rsidR="00CD0355" w:rsidRPr="002D6D42" w14:paraId="742CAA03" w14:textId="77777777" w:rsidTr="00CD0355">
        <w:trPr>
          <w:cantSplit/>
          <w:tblHeader/>
          <w:jc w:val="center"/>
        </w:trPr>
        <w:tc>
          <w:tcPr>
            <w:tcW w:w="1989" w:type="dxa"/>
            <w:tcBorders>
              <w:top w:val="double" w:sz="6" w:space="0" w:color="000000"/>
              <w:bottom w:val="single" w:sz="6" w:space="0" w:color="000000"/>
            </w:tcBorders>
            <w:shd w:val="clear" w:color="auto" w:fill="BFBFBF"/>
            <w:vAlign w:val="center"/>
          </w:tcPr>
          <w:p w14:paraId="28653654"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Factor</w:t>
            </w:r>
          </w:p>
        </w:tc>
        <w:tc>
          <w:tcPr>
            <w:tcW w:w="1080" w:type="dxa"/>
            <w:tcBorders>
              <w:top w:val="double" w:sz="6" w:space="0" w:color="000000"/>
              <w:bottom w:val="single" w:sz="6" w:space="0" w:color="000000"/>
            </w:tcBorders>
            <w:shd w:val="clear" w:color="auto" w:fill="BFBFBF"/>
            <w:vAlign w:val="center"/>
          </w:tcPr>
          <w:p w14:paraId="4DE207E9"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90" w:type="dxa"/>
            <w:tcBorders>
              <w:top w:val="double" w:sz="6" w:space="0" w:color="000000"/>
              <w:bottom w:val="single" w:sz="6" w:space="0" w:color="000000"/>
            </w:tcBorders>
            <w:shd w:val="clear" w:color="auto" w:fill="BFBFBF"/>
            <w:vAlign w:val="center"/>
          </w:tcPr>
          <w:p w14:paraId="735655DA"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918" w:type="dxa"/>
            <w:tcBorders>
              <w:top w:val="double" w:sz="6" w:space="0" w:color="000000"/>
              <w:bottom w:val="single" w:sz="6" w:space="0" w:color="000000"/>
            </w:tcBorders>
            <w:shd w:val="clear" w:color="auto" w:fill="BFBFBF"/>
            <w:vAlign w:val="center"/>
          </w:tcPr>
          <w:p w14:paraId="52286EBA"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2D6D42" w14:paraId="36088E1E" w14:textId="77777777" w:rsidTr="00CD0355">
        <w:trPr>
          <w:cantSplit/>
          <w:trHeight w:val="184"/>
          <w:jc w:val="center"/>
        </w:trPr>
        <w:tc>
          <w:tcPr>
            <w:tcW w:w="1989" w:type="dxa"/>
            <w:tcBorders>
              <w:top w:val="single" w:sz="6" w:space="0" w:color="000000"/>
            </w:tcBorders>
          </w:tcPr>
          <w:p w14:paraId="70832A20"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Land Requirement</w:t>
            </w:r>
          </w:p>
        </w:tc>
        <w:tc>
          <w:tcPr>
            <w:tcW w:w="1080" w:type="dxa"/>
            <w:tcBorders>
              <w:top w:val="single" w:sz="6" w:space="0" w:color="000000"/>
            </w:tcBorders>
            <w:vAlign w:val="bottom"/>
          </w:tcPr>
          <w:p w14:paraId="72F40356"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5 yrs.</w:t>
            </w:r>
          </w:p>
        </w:tc>
        <w:tc>
          <w:tcPr>
            <w:tcW w:w="990" w:type="dxa"/>
            <w:tcBorders>
              <w:top w:val="single" w:sz="6" w:space="0" w:color="000000"/>
            </w:tcBorders>
            <w:vAlign w:val="bottom"/>
          </w:tcPr>
          <w:p w14:paraId="1630E1DF"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yr.</w:t>
            </w:r>
          </w:p>
        </w:tc>
        <w:tc>
          <w:tcPr>
            <w:tcW w:w="918" w:type="dxa"/>
            <w:tcBorders>
              <w:top w:val="single" w:sz="6" w:space="0" w:color="000000"/>
            </w:tcBorders>
            <w:vAlign w:val="bottom"/>
          </w:tcPr>
          <w:p w14:paraId="6C55E394"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yr.</w:t>
            </w:r>
          </w:p>
        </w:tc>
      </w:tr>
      <w:tr w:rsidR="00CD0355" w:rsidRPr="002D6D42" w14:paraId="22380306" w14:textId="77777777" w:rsidTr="00CD0355">
        <w:trPr>
          <w:cantSplit/>
          <w:trHeight w:val="152"/>
          <w:jc w:val="center"/>
        </w:trPr>
        <w:tc>
          <w:tcPr>
            <w:tcW w:w="1989" w:type="dxa"/>
          </w:tcPr>
          <w:p w14:paraId="0140D75D"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Isolation</w:t>
            </w:r>
          </w:p>
        </w:tc>
        <w:tc>
          <w:tcPr>
            <w:tcW w:w="1080" w:type="dxa"/>
            <w:vAlign w:val="bottom"/>
          </w:tcPr>
          <w:p w14:paraId="2F92C2AF"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c>
          <w:tcPr>
            <w:tcW w:w="990" w:type="dxa"/>
            <w:vAlign w:val="bottom"/>
          </w:tcPr>
          <w:p w14:paraId="2C437A62"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c>
          <w:tcPr>
            <w:tcW w:w="918" w:type="dxa"/>
            <w:vAlign w:val="bottom"/>
          </w:tcPr>
          <w:p w14:paraId="33BAD988"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r>
      <w:tr w:rsidR="00CD0355" w:rsidRPr="002D6D42" w14:paraId="0DA5574A" w14:textId="77777777" w:rsidTr="00CD0355">
        <w:trPr>
          <w:cantSplit/>
          <w:trHeight w:val="292"/>
          <w:jc w:val="center"/>
        </w:trPr>
        <w:tc>
          <w:tcPr>
            <w:tcW w:w="1989" w:type="dxa"/>
          </w:tcPr>
          <w:p w14:paraId="59D8B962"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 xml:space="preserve">*Other Varieties </w:t>
            </w:r>
            <w:r w:rsidRPr="004F24F8">
              <w:rPr>
                <w:sz w:val="16"/>
                <w:szCs w:val="16"/>
              </w:rPr>
              <w:br/>
              <w:t xml:space="preserve"> (per 1,000 plants)</w:t>
            </w:r>
          </w:p>
        </w:tc>
        <w:tc>
          <w:tcPr>
            <w:tcW w:w="1080" w:type="dxa"/>
            <w:vAlign w:val="bottom"/>
          </w:tcPr>
          <w:p w14:paraId="6A4CCFA2"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vAlign w:val="bottom"/>
          </w:tcPr>
          <w:p w14:paraId="1FC67915"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plant</w:t>
            </w:r>
          </w:p>
        </w:tc>
        <w:tc>
          <w:tcPr>
            <w:tcW w:w="918" w:type="dxa"/>
            <w:vAlign w:val="bottom"/>
          </w:tcPr>
          <w:p w14:paraId="1C1FDE71"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 plants</w:t>
            </w:r>
          </w:p>
        </w:tc>
      </w:tr>
      <w:tr w:rsidR="00CD0355" w:rsidRPr="002D6D42" w14:paraId="44FFABDB" w14:textId="77777777" w:rsidTr="00CD0355">
        <w:trPr>
          <w:cantSplit/>
          <w:trHeight w:val="292"/>
          <w:jc w:val="center"/>
        </w:trPr>
        <w:tc>
          <w:tcPr>
            <w:tcW w:w="1989" w:type="dxa"/>
          </w:tcPr>
          <w:p w14:paraId="1B127B3D"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p w14:paraId="2F0EA655" w14:textId="77777777" w:rsidR="00CD0355" w:rsidRPr="004F24F8" w:rsidRDefault="00CD0355" w:rsidP="00CD0355">
            <w:pPr>
              <w:tabs>
                <w:tab w:val="left" w:pos="180"/>
                <w:tab w:val="left" w:pos="360"/>
                <w:tab w:val="left" w:pos="720"/>
                <w:tab w:val="left" w:pos="5940"/>
                <w:tab w:val="left" w:pos="8640"/>
              </w:tabs>
              <w:ind w:left="79" w:hanging="16"/>
              <w:rPr>
                <w:sz w:val="16"/>
                <w:szCs w:val="16"/>
              </w:rPr>
            </w:pPr>
            <w:r w:rsidRPr="004F24F8">
              <w:rPr>
                <w:sz w:val="16"/>
                <w:szCs w:val="16"/>
              </w:rPr>
              <w:t>Johnsongrass, Cheat</w:t>
            </w:r>
            <w:r w:rsidRPr="004F24F8">
              <w:rPr>
                <w:sz w:val="16"/>
                <w:szCs w:val="16"/>
              </w:rPr>
              <w:br/>
              <w:t>Yellow Nutsedge and Purple Nutsedge</w:t>
            </w:r>
          </w:p>
        </w:tc>
        <w:tc>
          <w:tcPr>
            <w:tcW w:w="1080" w:type="dxa"/>
            <w:vAlign w:val="bottom"/>
          </w:tcPr>
          <w:p w14:paraId="600FD62E"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vAlign w:val="bottom"/>
          </w:tcPr>
          <w:p w14:paraId="5A98919A"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18" w:type="dxa"/>
            <w:vAlign w:val="bottom"/>
          </w:tcPr>
          <w:p w14:paraId="2A16BA8E"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r w:rsidR="00CD0355" w:rsidRPr="002D6D42" w14:paraId="479B1F80" w14:textId="77777777" w:rsidTr="00CD0355">
        <w:trPr>
          <w:cantSplit/>
          <w:trHeight w:val="292"/>
          <w:jc w:val="center"/>
        </w:trPr>
        <w:tc>
          <w:tcPr>
            <w:tcW w:w="4977" w:type="dxa"/>
            <w:gridSpan w:val="4"/>
            <w:tcBorders>
              <w:bottom w:val="double" w:sz="6" w:space="0" w:color="000000"/>
            </w:tcBorders>
          </w:tcPr>
          <w:p w14:paraId="1F70DB55"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ab/>
              <w:t>*Including all other Bermuda and Zoysia grass that can be differentiated from the variety to be certified</w:t>
            </w:r>
          </w:p>
        </w:tc>
      </w:tr>
    </w:tbl>
    <w:p w14:paraId="25144040" w14:textId="77777777" w:rsidR="00CD0355" w:rsidRPr="001531CD" w:rsidRDefault="00CD0355" w:rsidP="00CD0355">
      <w:pPr>
        <w:pStyle w:val="A"/>
        <w:spacing w:after="0"/>
      </w:pPr>
    </w:p>
    <w:p w14:paraId="14F1AD6C" w14:textId="77777777" w:rsidR="00CD0355" w:rsidRPr="001531CD" w:rsidRDefault="00CD0355" w:rsidP="00CD0355">
      <w:pPr>
        <w:pStyle w:val="A"/>
      </w:pPr>
      <w:r w:rsidRPr="001531CD">
        <w:t>B.</w:t>
      </w:r>
      <w:r w:rsidRPr="001531CD">
        <w:tab/>
        <w:t>Planting Stock Standards</w:t>
      </w:r>
    </w:p>
    <w:tbl>
      <w:tblPr>
        <w:tblW w:w="49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80"/>
        <w:gridCol w:w="1080"/>
        <w:gridCol w:w="990"/>
        <w:gridCol w:w="921"/>
      </w:tblGrid>
      <w:tr w:rsidR="00CD0355" w:rsidRPr="004F24F8" w14:paraId="1838FD09" w14:textId="77777777" w:rsidTr="00CD0355">
        <w:trPr>
          <w:cantSplit/>
          <w:jc w:val="center"/>
        </w:trPr>
        <w:tc>
          <w:tcPr>
            <w:tcW w:w="1980" w:type="dxa"/>
            <w:tcBorders>
              <w:top w:val="double" w:sz="6" w:space="0" w:color="000000"/>
              <w:bottom w:val="single" w:sz="6" w:space="0" w:color="000000"/>
            </w:tcBorders>
            <w:shd w:val="clear" w:color="auto" w:fill="BFBFBF"/>
            <w:vAlign w:val="center"/>
          </w:tcPr>
          <w:p w14:paraId="1696B75E"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Factor</w:t>
            </w:r>
          </w:p>
        </w:tc>
        <w:tc>
          <w:tcPr>
            <w:tcW w:w="1080" w:type="dxa"/>
            <w:tcBorders>
              <w:top w:val="double" w:sz="6" w:space="0" w:color="000000"/>
              <w:bottom w:val="single" w:sz="6" w:space="0" w:color="000000"/>
            </w:tcBorders>
            <w:shd w:val="clear" w:color="auto" w:fill="BFBFBF"/>
            <w:vAlign w:val="center"/>
          </w:tcPr>
          <w:p w14:paraId="2F054E4B"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90" w:type="dxa"/>
            <w:tcBorders>
              <w:top w:val="double" w:sz="6" w:space="0" w:color="000000"/>
              <w:bottom w:val="single" w:sz="6" w:space="0" w:color="000000"/>
            </w:tcBorders>
            <w:shd w:val="clear" w:color="auto" w:fill="BFBFBF"/>
            <w:vAlign w:val="center"/>
          </w:tcPr>
          <w:p w14:paraId="79994F1C"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921" w:type="dxa"/>
            <w:tcBorders>
              <w:top w:val="double" w:sz="6" w:space="0" w:color="000000"/>
              <w:bottom w:val="single" w:sz="6" w:space="0" w:color="000000"/>
            </w:tcBorders>
            <w:shd w:val="clear" w:color="auto" w:fill="BFBFBF"/>
            <w:vAlign w:val="center"/>
          </w:tcPr>
          <w:p w14:paraId="097CEA66"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4F24F8" w14:paraId="057E3EC9" w14:textId="77777777" w:rsidTr="00CD0355">
        <w:trPr>
          <w:cantSplit/>
          <w:trHeight w:val="258"/>
          <w:jc w:val="center"/>
        </w:trPr>
        <w:tc>
          <w:tcPr>
            <w:tcW w:w="1980" w:type="dxa"/>
            <w:tcBorders>
              <w:top w:val="single" w:sz="6" w:space="0" w:color="000000"/>
            </w:tcBorders>
          </w:tcPr>
          <w:p w14:paraId="5D4FFBAA"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Pure Live Sprigs containing roots (minimum by count)</w:t>
            </w:r>
          </w:p>
        </w:tc>
        <w:tc>
          <w:tcPr>
            <w:tcW w:w="1080" w:type="dxa"/>
            <w:tcBorders>
              <w:top w:val="single" w:sz="6" w:space="0" w:color="000000"/>
            </w:tcBorders>
            <w:vAlign w:val="bottom"/>
          </w:tcPr>
          <w:p w14:paraId="607687D7"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c>
          <w:tcPr>
            <w:tcW w:w="990" w:type="dxa"/>
            <w:tcBorders>
              <w:top w:val="single" w:sz="6" w:space="0" w:color="000000"/>
            </w:tcBorders>
            <w:vAlign w:val="bottom"/>
          </w:tcPr>
          <w:p w14:paraId="3E463034"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c>
          <w:tcPr>
            <w:tcW w:w="921" w:type="dxa"/>
            <w:tcBorders>
              <w:top w:val="single" w:sz="6" w:space="0" w:color="000000"/>
            </w:tcBorders>
            <w:vAlign w:val="bottom"/>
          </w:tcPr>
          <w:p w14:paraId="25B4005A"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r>
      <w:tr w:rsidR="00CD0355" w:rsidRPr="004F24F8" w14:paraId="2E5BD47F" w14:textId="77777777" w:rsidTr="00CD0355">
        <w:trPr>
          <w:cantSplit/>
          <w:trHeight w:val="272"/>
          <w:jc w:val="center"/>
        </w:trPr>
        <w:tc>
          <w:tcPr>
            <w:tcW w:w="1980" w:type="dxa"/>
          </w:tcPr>
          <w:p w14:paraId="573B6070"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Other Living Plants (maximum by count)</w:t>
            </w:r>
          </w:p>
        </w:tc>
        <w:tc>
          <w:tcPr>
            <w:tcW w:w="1080" w:type="dxa"/>
            <w:vAlign w:val="bottom"/>
          </w:tcPr>
          <w:p w14:paraId="1BEF841A"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90" w:type="dxa"/>
            <w:vAlign w:val="bottom"/>
          </w:tcPr>
          <w:p w14:paraId="4EABA400"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21" w:type="dxa"/>
            <w:vAlign w:val="bottom"/>
          </w:tcPr>
          <w:p w14:paraId="29BF6393"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r>
      <w:tr w:rsidR="00CD0355" w:rsidRPr="004F24F8" w14:paraId="08A8DE74" w14:textId="77777777" w:rsidTr="00CD0355">
        <w:trPr>
          <w:cantSplit/>
          <w:trHeight w:val="284"/>
          <w:jc w:val="center"/>
        </w:trPr>
        <w:tc>
          <w:tcPr>
            <w:tcW w:w="1980" w:type="dxa"/>
            <w:tcBorders>
              <w:bottom w:val="double" w:sz="6" w:space="0" w:color="000000"/>
            </w:tcBorders>
          </w:tcPr>
          <w:p w14:paraId="13F3DAAA"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p w14:paraId="0D186D06" w14:textId="77777777" w:rsidR="00CD0355" w:rsidRPr="004F24F8" w:rsidRDefault="00CD0355" w:rsidP="00CD0355">
            <w:pPr>
              <w:tabs>
                <w:tab w:val="left" w:pos="180"/>
                <w:tab w:val="left" w:pos="360"/>
                <w:tab w:val="left" w:pos="720"/>
                <w:tab w:val="left" w:pos="5940"/>
                <w:tab w:val="left" w:pos="8640"/>
              </w:tabs>
              <w:ind w:left="79" w:hanging="16"/>
              <w:rPr>
                <w:sz w:val="16"/>
                <w:szCs w:val="16"/>
              </w:rPr>
            </w:pPr>
            <w:r w:rsidRPr="004F24F8">
              <w:rPr>
                <w:sz w:val="16"/>
                <w:szCs w:val="16"/>
              </w:rPr>
              <w:t>Johnsongrass, Cheat</w:t>
            </w:r>
            <w:r w:rsidRPr="004F24F8">
              <w:rPr>
                <w:sz w:val="16"/>
                <w:szCs w:val="16"/>
              </w:rPr>
              <w:br/>
              <w:t>Yellow Nutsedge and Purple Nutsedge</w:t>
            </w:r>
          </w:p>
        </w:tc>
        <w:tc>
          <w:tcPr>
            <w:tcW w:w="1080" w:type="dxa"/>
            <w:tcBorders>
              <w:bottom w:val="double" w:sz="6" w:space="0" w:color="000000"/>
            </w:tcBorders>
            <w:vAlign w:val="bottom"/>
          </w:tcPr>
          <w:p w14:paraId="7D1B3AAB"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tcBorders>
              <w:bottom w:val="double" w:sz="6" w:space="0" w:color="000000"/>
            </w:tcBorders>
            <w:vAlign w:val="bottom"/>
          </w:tcPr>
          <w:p w14:paraId="18A6BADE"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21" w:type="dxa"/>
            <w:tcBorders>
              <w:bottom w:val="double" w:sz="6" w:space="0" w:color="000000"/>
            </w:tcBorders>
            <w:vAlign w:val="bottom"/>
          </w:tcPr>
          <w:p w14:paraId="4F5B9D28"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bl>
    <w:p w14:paraId="516AB03A" w14:textId="77777777" w:rsidR="00CD0355" w:rsidRPr="001531CD" w:rsidRDefault="00CD0355" w:rsidP="00CD0355">
      <w:pPr>
        <w:pStyle w:val="A"/>
        <w:spacing w:after="0"/>
      </w:pPr>
    </w:p>
    <w:p w14:paraId="04F781BB" w14:textId="77777777" w:rsidR="00CD0355" w:rsidRPr="001531CD" w:rsidRDefault="00CD0355" w:rsidP="00CD0355">
      <w:pPr>
        <w:pStyle w:val="A"/>
      </w:pPr>
      <w:r w:rsidRPr="001531CD">
        <w:t>C.</w:t>
      </w:r>
      <w:r w:rsidRPr="001531CD">
        <w:tab/>
        <w:t>Seed Standards</w:t>
      </w:r>
    </w:p>
    <w:tbl>
      <w:tblPr>
        <w:tblW w:w="4973"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70"/>
        <w:gridCol w:w="900"/>
        <w:gridCol w:w="1080"/>
        <w:gridCol w:w="969"/>
        <w:gridCol w:w="854"/>
      </w:tblGrid>
      <w:tr w:rsidR="00CD0355" w:rsidRPr="004F24F8" w14:paraId="0348A70F" w14:textId="77777777" w:rsidTr="00CD0355">
        <w:trPr>
          <w:tblHeader/>
          <w:jc w:val="center"/>
        </w:trPr>
        <w:tc>
          <w:tcPr>
            <w:tcW w:w="1170" w:type="dxa"/>
            <w:tcBorders>
              <w:top w:val="double" w:sz="6" w:space="0" w:color="000000"/>
              <w:bottom w:val="single" w:sz="6" w:space="0" w:color="auto"/>
            </w:tcBorders>
            <w:shd w:val="clear" w:color="auto" w:fill="BFBFBF"/>
            <w:vAlign w:val="center"/>
          </w:tcPr>
          <w:p w14:paraId="2638A28D"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lastRenderedPageBreak/>
              <w:t>Factor</w:t>
            </w:r>
          </w:p>
        </w:tc>
        <w:tc>
          <w:tcPr>
            <w:tcW w:w="900" w:type="dxa"/>
            <w:tcBorders>
              <w:top w:val="double" w:sz="6" w:space="0" w:color="000000"/>
              <w:bottom w:val="single" w:sz="6" w:space="0" w:color="auto"/>
            </w:tcBorders>
            <w:shd w:val="clear" w:color="auto" w:fill="BFBFBF"/>
            <w:vAlign w:val="center"/>
          </w:tcPr>
          <w:p w14:paraId="65C0B6DD"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Breeder</w:t>
            </w:r>
          </w:p>
        </w:tc>
        <w:tc>
          <w:tcPr>
            <w:tcW w:w="1080" w:type="dxa"/>
            <w:tcBorders>
              <w:top w:val="double" w:sz="6" w:space="0" w:color="000000"/>
              <w:bottom w:val="single" w:sz="6" w:space="0" w:color="auto"/>
            </w:tcBorders>
            <w:shd w:val="clear" w:color="auto" w:fill="BFBFBF"/>
            <w:vAlign w:val="center"/>
          </w:tcPr>
          <w:p w14:paraId="2D342C9B"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69" w:type="dxa"/>
            <w:tcBorders>
              <w:top w:val="double" w:sz="6" w:space="0" w:color="000000"/>
              <w:bottom w:val="single" w:sz="6" w:space="0" w:color="auto"/>
            </w:tcBorders>
            <w:shd w:val="clear" w:color="auto" w:fill="BFBFBF"/>
            <w:vAlign w:val="center"/>
          </w:tcPr>
          <w:p w14:paraId="459FF480"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854" w:type="dxa"/>
            <w:tcBorders>
              <w:top w:val="double" w:sz="6" w:space="0" w:color="000000"/>
              <w:bottom w:val="single" w:sz="6" w:space="0" w:color="auto"/>
            </w:tcBorders>
            <w:shd w:val="clear" w:color="auto" w:fill="BFBFBF"/>
            <w:vAlign w:val="center"/>
          </w:tcPr>
          <w:p w14:paraId="2473A333" w14:textId="77777777"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4F24F8" w14:paraId="5327EF2C" w14:textId="77777777" w:rsidTr="00CD0355">
        <w:trPr>
          <w:jc w:val="center"/>
        </w:trPr>
        <w:tc>
          <w:tcPr>
            <w:tcW w:w="1170" w:type="dxa"/>
            <w:tcBorders>
              <w:top w:val="single" w:sz="6" w:space="0" w:color="auto"/>
            </w:tcBorders>
          </w:tcPr>
          <w:p w14:paraId="153DA186"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Pure Seed</w:t>
            </w:r>
          </w:p>
        </w:tc>
        <w:tc>
          <w:tcPr>
            <w:tcW w:w="900" w:type="dxa"/>
            <w:tcBorders>
              <w:top w:val="single" w:sz="6" w:space="0" w:color="auto"/>
            </w:tcBorders>
          </w:tcPr>
          <w:p w14:paraId="786A5890"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Borders>
              <w:top w:val="single" w:sz="6" w:space="0" w:color="auto"/>
            </w:tcBorders>
          </w:tcPr>
          <w:p w14:paraId="22D476B6"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c>
          <w:tcPr>
            <w:tcW w:w="969" w:type="dxa"/>
            <w:tcBorders>
              <w:top w:val="single" w:sz="6" w:space="0" w:color="auto"/>
            </w:tcBorders>
          </w:tcPr>
          <w:p w14:paraId="4BDAFB42"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c>
          <w:tcPr>
            <w:tcW w:w="854" w:type="dxa"/>
            <w:tcBorders>
              <w:top w:val="single" w:sz="6" w:space="0" w:color="auto"/>
            </w:tcBorders>
          </w:tcPr>
          <w:p w14:paraId="2AE5F655"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r>
      <w:tr w:rsidR="00CD0355" w:rsidRPr="004F24F8" w14:paraId="4DB4B691" w14:textId="77777777" w:rsidTr="00CD0355">
        <w:trPr>
          <w:jc w:val="center"/>
        </w:trPr>
        <w:tc>
          <w:tcPr>
            <w:tcW w:w="1170" w:type="dxa"/>
          </w:tcPr>
          <w:p w14:paraId="3E0F5216"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Inert Matter</w:t>
            </w:r>
          </w:p>
        </w:tc>
        <w:tc>
          <w:tcPr>
            <w:tcW w:w="900" w:type="dxa"/>
          </w:tcPr>
          <w:p w14:paraId="6CCCED6E"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14:paraId="0CBD9431"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69" w:type="dxa"/>
          </w:tcPr>
          <w:p w14:paraId="5FEADFC2"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854" w:type="dxa"/>
          </w:tcPr>
          <w:p w14:paraId="50970C03"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r>
      <w:tr w:rsidR="00CD0355" w:rsidRPr="004F24F8" w14:paraId="781F8399" w14:textId="77777777" w:rsidTr="00CD0355">
        <w:trPr>
          <w:jc w:val="center"/>
        </w:trPr>
        <w:tc>
          <w:tcPr>
            <w:tcW w:w="1170" w:type="dxa"/>
          </w:tcPr>
          <w:p w14:paraId="28CCAC99"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Other Crops</w:t>
            </w:r>
          </w:p>
        </w:tc>
        <w:tc>
          <w:tcPr>
            <w:tcW w:w="900" w:type="dxa"/>
          </w:tcPr>
          <w:p w14:paraId="4F062DD7"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14:paraId="3B197D27"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969" w:type="dxa"/>
          </w:tcPr>
          <w:p w14:paraId="5BE31829"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854" w:type="dxa"/>
          </w:tcPr>
          <w:p w14:paraId="3222B250"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0.25%</w:t>
            </w:r>
          </w:p>
        </w:tc>
      </w:tr>
      <w:tr w:rsidR="00CD0355" w:rsidRPr="004F24F8" w14:paraId="6B1E534E" w14:textId="77777777" w:rsidTr="00CD0355">
        <w:trPr>
          <w:jc w:val="center"/>
        </w:trPr>
        <w:tc>
          <w:tcPr>
            <w:tcW w:w="1170" w:type="dxa"/>
          </w:tcPr>
          <w:p w14:paraId="6C086AEF"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tc>
        <w:tc>
          <w:tcPr>
            <w:tcW w:w="900" w:type="dxa"/>
            <w:vAlign w:val="bottom"/>
          </w:tcPr>
          <w:p w14:paraId="19FB3176"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vAlign w:val="bottom"/>
          </w:tcPr>
          <w:p w14:paraId="54A53F3A"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69" w:type="dxa"/>
            <w:vAlign w:val="bottom"/>
          </w:tcPr>
          <w:p w14:paraId="62777939"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854" w:type="dxa"/>
            <w:vAlign w:val="bottom"/>
          </w:tcPr>
          <w:p w14:paraId="1C7261CA"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r w:rsidR="00CD0355" w:rsidRPr="004F24F8" w14:paraId="7250DECC" w14:textId="77777777" w:rsidTr="00CD0355">
        <w:trPr>
          <w:jc w:val="center"/>
        </w:trPr>
        <w:tc>
          <w:tcPr>
            <w:tcW w:w="1170" w:type="dxa"/>
          </w:tcPr>
          <w:p w14:paraId="056EB7C6"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Other Weeds</w:t>
            </w:r>
          </w:p>
        </w:tc>
        <w:tc>
          <w:tcPr>
            <w:tcW w:w="900" w:type="dxa"/>
          </w:tcPr>
          <w:p w14:paraId="038CD1B8"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14:paraId="4C562874"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969" w:type="dxa"/>
          </w:tcPr>
          <w:p w14:paraId="205AD537"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854" w:type="dxa"/>
          </w:tcPr>
          <w:p w14:paraId="57B2681C"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0.05%</w:t>
            </w:r>
          </w:p>
        </w:tc>
      </w:tr>
      <w:tr w:rsidR="00CD0355" w:rsidRPr="004F24F8" w14:paraId="5479D163" w14:textId="77777777" w:rsidTr="00CD0355">
        <w:trPr>
          <w:jc w:val="center"/>
        </w:trPr>
        <w:tc>
          <w:tcPr>
            <w:tcW w:w="1170" w:type="dxa"/>
            <w:tcBorders>
              <w:bottom w:val="double" w:sz="6" w:space="0" w:color="000000"/>
            </w:tcBorders>
          </w:tcPr>
          <w:p w14:paraId="23803624" w14:textId="77777777" w:rsidR="00CD0355" w:rsidRPr="004F24F8" w:rsidRDefault="00CD0355" w:rsidP="00CD0355">
            <w:pPr>
              <w:tabs>
                <w:tab w:val="left" w:pos="180"/>
                <w:tab w:val="left" w:pos="360"/>
                <w:tab w:val="left" w:pos="5940"/>
                <w:tab w:val="left" w:pos="8640"/>
              </w:tabs>
              <w:rPr>
                <w:sz w:val="16"/>
                <w:szCs w:val="16"/>
              </w:rPr>
            </w:pPr>
            <w:r w:rsidRPr="004F24F8">
              <w:rPr>
                <w:sz w:val="16"/>
                <w:szCs w:val="16"/>
              </w:rPr>
              <w:t>Germination</w:t>
            </w:r>
          </w:p>
        </w:tc>
        <w:tc>
          <w:tcPr>
            <w:tcW w:w="900" w:type="dxa"/>
            <w:tcBorders>
              <w:bottom w:val="double" w:sz="6" w:space="0" w:color="000000"/>
            </w:tcBorders>
          </w:tcPr>
          <w:p w14:paraId="08A9CAA3"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Borders>
              <w:bottom w:val="double" w:sz="6" w:space="0" w:color="000000"/>
            </w:tcBorders>
          </w:tcPr>
          <w:p w14:paraId="74CF9498"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c>
          <w:tcPr>
            <w:tcW w:w="969" w:type="dxa"/>
            <w:tcBorders>
              <w:bottom w:val="double" w:sz="6" w:space="0" w:color="000000"/>
            </w:tcBorders>
          </w:tcPr>
          <w:p w14:paraId="5A849310"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c>
          <w:tcPr>
            <w:tcW w:w="854" w:type="dxa"/>
            <w:tcBorders>
              <w:bottom w:val="double" w:sz="6" w:space="0" w:color="000000"/>
            </w:tcBorders>
          </w:tcPr>
          <w:p w14:paraId="2B0AB2CB" w14:textId="77777777"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r>
    </w:tbl>
    <w:p w14:paraId="6062B348" w14:textId="77777777" w:rsidR="00CD0355" w:rsidRPr="001531CD" w:rsidRDefault="00CD0355" w:rsidP="00CD0355">
      <w:pPr>
        <w:pStyle w:val="A"/>
        <w:spacing w:after="0"/>
      </w:pPr>
    </w:p>
    <w:p w14:paraId="4584B5B6" w14:textId="77777777" w:rsidR="00CD0355" w:rsidRPr="001531CD" w:rsidRDefault="00CD0355" w:rsidP="00CD0355">
      <w:pPr>
        <w:pStyle w:val="AuthorityNote"/>
        <w:tabs>
          <w:tab w:val="clear" w:pos="1800"/>
        </w:tabs>
      </w:pPr>
      <w:r w:rsidRPr="001531CD">
        <w:t>AUTHORITY NOTE:</w:t>
      </w:r>
      <w:r w:rsidRPr="001531CD">
        <w:tab/>
        <w:t>Promulgated in accordance with R.S. 3:1433.</w:t>
      </w:r>
    </w:p>
    <w:p w14:paraId="0F3BD7D1" w14:textId="77777777" w:rsidR="00CD0355" w:rsidRPr="001531CD" w:rsidRDefault="00CD0355" w:rsidP="00CD0355">
      <w:pPr>
        <w:pStyle w:val="HistoricalNote"/>
      </w:pPr>
      <w:r w:rsidRPr="001531CD">
        <w:t>HISTORICAL NOTE:</w:t>
      </w:r>
      <w:r w:rsidRPr="001531CD">
        <w:tab/>
        <w:t>Promulgated by the Department of Agriculture, Seed Commission, LR 8:568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39:2716 (October 2013)</w:t>
      </w:r>
      <w:r w:rsidRPr="004F24F8">
        <w:t>, LR 44:1853 (October 2018).</w:t>
      </w:r>
    </w:p>
    <w:p w14:paraId="05D33875" w14:textId="77777777" w:rsidR="00CD0355" w:rsidRPr="001531CD" w:rsidRDefault="00CD0355" w:rsidP="00CD0355">
      <w:pPr>
        <w:pStyle w:val="Section"/>
      </w:pPr>
      <w:bookmarkStart w:id="1129" w:name="_Toc224818799"/>
      <w:r w:rsidRPr="001531CD">
        <w:t>§711.</w:t>
      </w:r>
      <w:r w:rsidRPr="001531CD">
        <w:tab/>
        <w:t>Dallis Grass Seed Certification Standards</w:t>
      </w:r>
      <w:bookmarkEnd w:id="1129"/>
    </w:p>
    <w:p w14:paraId="13299794" w14:textId="77777777" w:rsidR="00CD0355" w:rsidRPr="001531CD" w:rsidRDefault="00CD0355" w:rsidP="00CD0355">
      <w:pPr>
        <w:pStyle w:val="A"/>
      </w:pPr>
      <w:r w:rsidRPr="001531CD">
        <w:t>A.</w:t>
      </w:r>
      <w:r w:rsidRPr="001531CD">
        <w:tab/>
        <w:t>Field Standards</w:t>
      </w:r>
    </w:p>
    <w:tbl>
      <w:tblPr>
        <w:tblW w:w="502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62"/>
        <w:gridCol w:w="1080"/>
        <w:gridCol w:w="990"/>
        <w:gridCol w:w="1088"/>
      </w:tblGrid>
      <w:tr w:rsidR="00CD0355" w:rsidRPr="001531CD" w14:paraId="064CD3E4" w14:textId="77777777" w:rsidTr="00CD0355">
        <w:trPr>
          <w:cantSplit/>
          <w:jc w:val="center"/>
        </w:trPr>
        <w:tc>
          <w:tcPr>
            <w:tcW w:w="1862" w:type="dxa"/>
            <w:tcBorders>
              <w:top w:val="double" w:sz="6" w:space="0" w:color="000000"/>
              <w:bottom w:val="single" w:sz="6" w:space="0" w:color="000000"/>
            </w:tcBorders>
            <w:shd w:val="clear" w:color="auto" w:fill="BFBFBF"/>
            <w:vAlign w:val="center"/>
          </w:tcPr>
          <w:p w14:paraId="3DA8CFA6" w14:textId="77777777"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14:paraId="1032E6B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90" w:type="dxa"/>
            <w:tcBorders>
              <w:top w:val="double" w:sz="6" w:space="0" w:color="000000"/>
              <w:bottom w:val="single" w:sz="6" w:space="0" w:color="000000"/>
            </w:tcBorders>
            <w:shd w:val="clear" w:color="auto" w:fill="BFBFBF"/>
            <w:vAlign w:val="center"/>
          </w:tcPr>
          <w:p w14:paraId="0BC9413D"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88" w:type="dxa"/>
            <w:tcBorders>
              <w:top w:val="double" w:sz="6" w:space="0" w:color="000000"/>
              <w:bottom w:val="single" w:sz="6" w:space="0" w:color="000000"/>
            </w:tcBorders>
            <w:shd w:val="clear" w:color="auto" w:fill="BFBFBF"/>
            <w:vAlign w:val="center"/>
          </w:tcPr>
          <w:p w14:paraId="42D87D5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53D0EE3B" w14:textId="77777777" w:rsidTr="00CD0355">
        <w:trPr>
          <w:cantSplit/>
          <w:jc w:val="center"/>
        </w:trPr>
        <w:tc>
          <w:tcPr>
            <w:tcW w:w="1862" w:type="dxa"/>
            <w:tcBorders>
              <w:top w:val="single" w:sz="6" w:space="0" w:color="000000"/>
            </w:tcBorders>
            <w:vAlign w:val="bottom"/>
          </w:tcPr>
          <w:p w14:paraId="4C69732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vAlign w:val="bottom"/>
          </w:tcPr>
          <w:p w14:paraId="0474324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90" w:type="dxa"/>
            <w:tcBorders>
              <w:top w:val="single" w:sz="6" w:space="0" w:color="000000"/>
            </w:tcBorders>
            <w:vAlign w:val="bottom"/>
          </w:tcPr>
          <w:p w14:paraId="78BAB39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1088" w:type="dxa"/>
            <w:tcBorders>
              <w:top w:val="single" w:sz="6" w:space="0" w:color="000000"/>
            </w:tcBorders>
            <w:vAlign w:val="bottom"/>
          </w:tcPr>
          <w:p w14:paraId="2D87F50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r>
      <w:tr w:rsidR="00CD0355" w:rsidRPr="001531CD" w14:paraId="62A9F686" w14:textId="77777777" w:rsidTr="00CD0355">
        <w:trPr>
          <w:cantSplit/>
          <w:jc w:val="center"/>
        </w:trPr>
        <w:tc>
          <w:tcPr>
            <w:tcW w:w="1862" w:type="dxa"/>
            <w:vAlign w:val="bottom"/>
          </w:tcPr>
          <w:p w14:paraId="1150269A"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14:paraId="4AE59B4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 ft.</w:t>
            </w:r>
          </w:p>
        </w:tc>
        <w:tc>
          <w:tcPr>
            <w:tcW w:w="990" w:type="dxa"/>
          </w:tcPr>
          <w:p w14:paraId="658257D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ft.</w:t>
            </w:r>
          </w:p>
        </w:tc>
        <w:tc>
          <w:tcPr>
            <w:tcW w:w="1088" w:type="dxa"/>
          </w:tcPr>
          <w:p w14:paraId="546FDE2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ft.</w:t>
            </w:r>
          </w:p>
        </w:tc>
      </w:tr>
      <w:tr w:rsidR="00CD0355" w:rsidRPr="001531CD" w14:paraId="068CB77F" w14:textId="77777777" w:rsidTr="00CD0355">
        <w:trPr>
          <w:cantSplit/>
          <w:jc w:val="center"/>
        </w:trPr>
        <w:tc>
          <w:tcPr>
            <w:tcW w:w="1862" w:type="dxa"/>
            <w:tcBorders>
              <w:bottom w:val="double" w:sz="6" w:space="0" w:color="000000"/>
            </w:tcBorders>
            <w:vAlign w:val="bottom"/>
          </w:tcPr>
          <w:p w14:paraId="2D635EA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80" w:type="dxa"/>
            <w:tcBorders>
              <w:bottom w:val="double" w:sz="6" w:space="0" w:color="000000"/>
            </w:tcBorders>
          </w:tcPr>
          <w:p w14:paraId="5832FCB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p>
          <w:p w14:paraId="3714EBD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per Acre</w:t>
            </w:r>
          </w:p>
        </w:tc>
        <w:tc>
          <w:tcPr>
            <w:tcW w:w="990" w:type="dxa"/>
            <w:tcBorders>
              <w:bottom w:val="double" w:sz="6" w:space="0" w:color="000000"/>
            </w:tcBorders>
          </w:tcPr>
          <w:p w14:paraId="38A8734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 per Acre</w:t>
            </w:r>
          </w:p>
        </w:tc>
        <w:tc>
          <w:tcPr>
            <w:tcW w:w="1088" w:type="dxa"/>
            <w:tcBorders>
              <w:bottom w:val="double" w:sz="6" w:space="0" w:color="000000"/>
            </w:tcBorders>
          </w:tcPr>
          <w:p w14:paraId="315AE19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Plants per Acre</w:t>
            </w:r>
          </w:p>
        </w:tc>
      </w:tr>
    </w:tbl>
    <w:p w14:paraId="5F68369C" w14:textId="77777777" w:rsidR="00CD0355" w:rsidRPr="001531CD" w:rsidRDefault="00CD0355" w:rsidP="00CD0355">
      <w:pPr>
        <w:pStyle w:val="A"/>
        <w:spacing w:after="0"/>
      </w:pPr>
    </w:p>
    <w:p w14:paraId="3C03F6B5" w14:textId="77777777" w:rsidR="00CD0355" w:rsidRPr="001531CD" w:rsidRDefault="00CD0355" w:rsidP="00CD0355">
      <w:pPr>
        <w:pStyle w:val="A"/>
      </w:pPr>
      <w:r w:rsidRPr="001531CD">
        <w:t>B.</w:t>
      </w:r>
      <w:r w:rsidRPr="001531CD">
        <w:tab/>
        <w:t>Seed Standards</w:t>
      </w:r>
    </w:p>
    <w:tbl>
      <w:tblPr>
        <w:tblW w:w="505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366"/>
        <w:gridCol w:w="1144"/>
        <w:gridCol w:w="1170"/>
        <w:gridCol w:w="1376"/>
      </w:tblGrid>
      <w:tr w:rsidR="00CD0355" w:rsidRPr="001531CD" w14:paraId="24F3CD73" w14:textId="77777777" w:rsidTr="00CD0355">
        <w:trPr>
          <w:tblHeader/>
          <w:jc w:val="center"/>
        </w:trPr>
        <w:tc>
          <w:tcPr>
            <w:tcW w:w="1366" w:type="dxa"/>
            <w:tcBorders>
              <w:top w:val="double" w:sz="6" w:space="0" w:color="000000"/>
              <w:bottom w:val="single" w:sz="6" w:space="0" w:color="000000"/>
            </w:tcBorders>
            <w:shd w:val="clear" w:color="auto" w:fill="BFBFBF"/>
            <w:vAlign w:val="center"/>
          </w:tcPr>
          <w:p w14:paraId="7F1C5724" w14:textId="77777777" w:rsidR="00CD0355" w:rsidRPr="001531CD" w:rsidRDefault="00CD0355" w:rsidP="00CD0355">
            <w:pPr>
              <w:keepNext/>
              <w:tabs>
                <w:tab w:val="left" w:pos="180"/>
                <w:tab w:val="left" w:pos="360"/>
                <w:tab w:val="left" w:pos="1080"/>
                <w:tab w:val="left" w:pos="5940"/>
                <w:tab w:val="left" w:pos="8640"/>
              </w:tabs>
              <w:jc w:val="center"/>
              <w:rPr>
                <w:b/>
                <w:sz w:val="16"/>
                <w:szCs w:val="16"/>
              </w:rPr>
            </w:pPr>
            <w:r w:rsidRPr="001531CD">
              <w:rPr>
                <w:b/>
                <w:sz w:val="16"/>
                <w:szCs w:val="16"/>
              </w:rPr>
              <w:t>Factor</w:t>
            </w:r>
          </w:p>
        </w:tc>
        <w:tc>
          <w:tcPr>
            <w:tcW w:w="1144" w:type="dxa"/>
            <w:tcBorders>
              <w:top w:val="double" w:sz="6" w:space="0" w:color="000000"/>
              <w:bottom w:val="single" w:sz="6" w:space="0" w:color="000000"/>
            </w:tcBorders>
            <w:shd w:val="clear" w:color="auto" w:fill="BFBFBF"/>
            <w:vAlign w:val="center"/>
          </w:tcPr>
          <w:p w14:paraId="7D47F4AA" w14:textId="77777777"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Foundation</w:t>
            </w:r>
          </w:p>
        </w:tc>
        <w:tc>
          <w:tcPr>
            <w:tcW w:w="1170" w:type="dxa"/>
            <w:tcBorders>
              <w:top w:val="double" w:sz="6" w:space="0" w:color="000000"/>
              <w:bottom w:val="single" w:sz="6" w:space="0" w:color="000000"/>
            </w:tcBorders>
            <w:shd w:val="clear" w:color="auto" w:fill="BFBFBF"/>
            <w:vAlign w:val="center"/>
          </w:tcPr>
          <w:p w14:paraId="4C820FE0" w14:textId="77777777"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Registered</w:t>
            </w:r>
          </w:p>
        </w:tc>
        <w:tc>
          <w:tcPr>
            <w:tcW w:w="1376" w:type="dxa"/>
            <w:tcBorders>
              <w:top w:val="double" w:sz="6" w:space="0" w:color="000000"/>
              <w:bottom w:val="single" w:sz="6" w:space="0" w:color="000000"/>
            </w:tcBorders>
            <w:shd w:val="clear" w:color="auto" w:fill="BFBFBF"/>
            <w:vAlign w:val="center"/>
          </w:tcPr>
          <w:p w14:paraId="34A7D06E" w14:textId="77777777"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Certified</w:t>
            </w:r>
          </w:p>
        </w:tc>
      </w:tr>
      <w:tr w:rsidR="00CD0355" w:rsidRPr="001531CD" w14:paraId="046D4F5A" w14:textId="77777777" w:rsidTr="00CD0355">
        <w:trPr>
          <w:cantSplit/>
          <w:jc w:val="center"/>
        </w:trPr>
        <w:tc>
          <w:tcPr>
            <w:tcW w:w="1366" w:type="dxa"/>
            <w:tcBorders>
              <w:top w:val="single" w:sz="6" w:space="0" w:color="000000"/>
            </w:tcBorders>
          </w:tcPr>
          <w:p w14:paraId="381D852D"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44" w:type="dxa"/>
            <w:tcBorders>
              <w:top w:val="single" w:sz="6" w:space="0" w:color="000000"/>
            </w:tcBorders>
          </w:tcPr>
          <w:p w14:paraId="5F8AE55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c>
          <w:tcPr>
            <w:tcW w:w="1170" w:type="dxa"/>
            <w:tcBorders>
              <w:top w:val="single" w:sz="6" w:space="0" w:color="000000"/>
            </w:tcBorders>
          </w:tcPr>
          <w:p w14:paraId="6E8E0EB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c>
          <w:tcPr>
            <w:tcW w:w="1376" w:type="dxa"/>
            <w:tcBorders>
              <w:top w:val="single" w:sz="6" w:space="0" w:color="000000"/>
            </w:tcBorders>
          </w:tcPr>
          <w:p w14:paraId="5AD6FB2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r>
      <w:tr w:rsidR="00CD0355" w:rsidRPr="001531CD" w14:paraId="3F6BF37F" w14:textId="77777777" w:rsidTr="00CD0355">
        <w:trPr>
          <w:cantSplit/>
          <w:jc w:val="center"/>
        </w:trPr>
        <w:tc>
          <w:tcPr>
            <w:tcW w:w="1366" w:type="dxa"/>
          </w:tcPr>
          <w:p w14:paraId="7089D6CE"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44" w:type="dxa"/>
          </w:tcPr>
          <w:p w14:paraId="730295F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c>
          <w:tcPr>
            <w:tcW w:w="1170" w:type="dxa"/>
          </w:tcPr>
          <w:p w14:paraId="4541268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c>
          <w:tcPr>
            <w:tcW w:w="1376" w:type="dxa"/>
          </w:tcPr>
          <w:p w14:paraId="6F7039F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r>
      <w:tr w:rsidR="00CD0355" w:rsidRPr="001531CD" w14:paraId="19B4E3AB" w14:textId="77777777" w:rsidTr="00CD0355">
        <w:trPr>
          <w:cantSplit/>
          <w:jc w:val="center"/>
        </w:trPr>
        <w:tc>
          <w:tcPr>
            <w:tcW w:w="1366" w:type="dxa"/>
          </w:tcPr>
          <w:p w14:paraId="2B692F4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44" w:type="dxa"/>
          </w:tcPr>
          <w:p w14:paraId="7D4745A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170" w:type="dxa"/>
          </w:tcPr>
          <w:p w14:paraId="324709F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376" w:type="dxa"/>
          </w:tcPr>
          <w:p w14:paraId="6A56A99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383D9ED6" w14:textId="77777777" w:rsidTr="00CD0355">
        <w:trPr>
          <w:cantSplit/>
          <w:jc w:val="center"/>
        </w:trPr>
        <w:tc>
          <w:tcPr>
            <w:tcW w:w="1366" w:type="dxa"/>
          </w:tcPr>
          <w:p w14:paraId="4B8EDA7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44" w:type="dxa"/>
          </w:tcPr>
          <w:p w14:paraId="426085D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70" w:type="dxa"/>
          </w:tcPr>
          <w:p w14:paraId="0BFB44D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76" w:type="dxa"/>
          </w:tcPr>
          <w:p w14:paraId="418C239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14:paraId="457A6E2B" w14:textId="77777777" w:rsidTr="00CD0355">
        <w:trPr>
          <w:cantSplit/>
          <w:jc w:val="center"/>
        </w:trPr>
        <w:tc>
          <w:tcPr>
            <w:tcW w:w="1366" w:type="dxa"/>
          </w:tcPr>
          <w:p w14:paraId="2F0348D1"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144" w:type="dxa"/>
          </w:tcPr>
          <w:p w14:paraId="2C0D41E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70" w:type="dxa"/>
          </w:tcPr>
          <w:p w14:paraId="13A736A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76" w:type="dxa"/>
          </w:tcPr>
          <w:p w14:paraId="10E893C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15E02ECF" w14:textId="77777777" w:rsidTr="00CD0355">
        <w:trPr>
          <w:cantSplit/>
          <w:jc w:val="center"/>
        </w:trPr>
        <w:tc>
          <w:tcPr>
            <w:tcW w:w="1366" w:type="dxa"/>
            <w:tcBorders>
              <w:bottom w:val="double" w:sz="6" w:space="0" w:color="000000"/>
            </w:tcBorders>
          </w:tcPr>
          <w:p w14:paraId="04E153E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44" w:type="dxa"/>
            <w:tcBorders>
              <w:bottom w:val="double" w:sz="6" w:space="0" w:color="000000"/>
            </w:tcBorders>
          </w:tcPr>
          <w:p w14:paraId="535C3DB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50.00%</w:t>
            </w:r>
          </w:p>
        </w:tc>
        <w:tc>
          <w:tcPr>
            <w:tcW w:w="1170" w:type="dxa"/>
            <w:tcBorders>
              <w:bottom w:val="double" w:sz="6" w:space="0" w:color="000000"/>
            </w:tcBorders>
          </w:tcPr>
          <w:p w14:paraId="14B8D1A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w:t>
            </w:r>
          </w:p>
        </w:tc>
        <w:tc>
          <w:tcPr>
            <w:tcW w:w="1376" w:type="dxa"/>
            <w:tcBorders>
              <w:bottom w:val="double" w:sz="6" w:space="0" w:color="000000"/>
            </w:tcBorders>
          </w:tcPr>
          <w:p w14:paraId="114EC4C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50.00%</w:t>
            </w:r>
          </w:p>
        </w:tc>
      </w:tr>
    </w:tbl>
    <w:p w14:paraId="5470823B" w14:textId="77777777" w:rsidR="00CD0355" w:rsidRPr="001531CD" w:rsidRDefault="00CD0355" w:rsidP="00CD0355">
      <w:pPr>
        <w:tabs>
          <w:tab w:val="left" w:pos="180"/>
          <w:tab w:val="left" w:pos="360"/>
          <w:tab w:val="left" w:pos="5940"/>
          <w:tab w:val="left" w:pos="8640"/>
        </w:tabs>
        <w:rPr>
          <w:sz w:val="20"/>
        </w:rPr>
      </w:pPr>
    </w:p>
    <w:p w14:paraId="7B40F2C3" w14:textId="77777777" w:rsidR="00CD0355" w:rsidRPr="001531CD" w:rsidRDefault="00CD0355" w:rsidP="00CD0355">
      <w:pPr>
        <w:pStyle w:val="AuthorityNote"/>
      </w:pPr>
      <w:r w:rsidRPr="001531CD">
        <w:t>AUTHORITY NOTE:</w:t>
      </w:r>
      <w:r w:rsidRPr="001531CD">
        <w:tab/>
        <w:t>Promulgated in accordance with R.S. 3:1433.</w:t>
      </w:r>
    </w:p>
    <w:p w14:paraId="05AE212C" w14:textId="77777777" w:rsidR="00CD0355" w:rsidRPr="001531CD" w:rsidRDefault="00CD0355" w:rsidP="00CD0355">
      <w:pPr>
        <w:pStyle w:val="HistoricalNote"/>
      </w:pPr>
      <w:r w:rsidRPr="001531CD">
        <w:t>HISTORICAL NOTE:</w:t>
      </w:r>
      <w:r w:rsidRPr="001531CD">
        <w:tab/>
        <w:t>Promulgated by the Department of Agriculture and Forestry, LR 8:571 (November 1982), amended LR 9:200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39:2716 (October 2013).</w:t>
      </w:r>
    </w:p>
    <w:p w14:paraId="043B520E" w14:textId="77777777" w:rsidR="00CD0355" w:rsidRPr="001531CD" w:rsidRDefault="00CD0355" w:rsidP="00CD0355">
      <w:pPr>
        <w:pStyle w:val="Section"/>
      </w:pPr>
      <w:bookmarkStart w:id="1130" w:name="_Toc224818800"/>
      <w:r w:rsidRPr="001531CD">
        <w:t>§713.</w:t>
      </w:r>
      <w:r w:rsidRPr="001531CD">
        <w:tab/>
        <w:t>Annual Ryegrass Seed Certification Standards</w:t>
      </w:r>
      <w:bookmarkEnd w:id="1130"/>
      <w:r w:rsidRPr="001531CD">
        <w:t xml:space="preserve"> </w:t>
      </w:r>
    </w:p>
    <w:p w14:paraId="72C797FC" w14:textId="77777777"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463"/>
        <w:gridCol w:w="1242"/>
        <w:gridCol w:w="1142"/>
        <w:gridCol w:w="1003"/>
      </w:tblGrid>
      <w:tr w:rsidR="00CD0355" w:rsidRPr="001531CD" w14:paraId="69BDC9A1" w14:textId="77777777" w:rsidTr="00CD0355">
        <w:trPr>
          <w:cantSplit/>
          <w:jc w:val="center"/>
        </w:trPr>
        <w:tc>
          <w:tcPr>
            <w:tcW w:w="1667" w:type="dxa"/>
            <w:tcBorders>
              <w:top w:val="double" w:sz="6" w:space="0" w:color="000000"/>
              <w:bottom w:val="single" w:sz="6" w:space="0" w:color="000000"/>
            </w:tcBorders>
            <w:shd w:val="clear" w:color="auto" w:fill="BFBFBF"/>
            <w:vAlign w:val="center"/>
          </w:tcPr>
          <w:p w14:paraId="6E1E8186" w14:textId="77777777"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356" w:type="dxa"/>
            <w:tcBorders>
              <w:top w:val="double" w:sz="6" w:space="0" w:color="000000"/>
              <w:bottom w:val="single" w:sz="6" w:space="0" w:color="000000"/>
            </w:tcBorders>
            <w:shd w:val="clear" w:color="auto" w:fill="BFBFBF"/>
            <w:vAlign w:val="center"/>
          </w:tcPr>
          <w:p w14:paraId="235BEFF0"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238" w:type="dxa"/>
            <w:tcBorders>
              <w:top w:val="double" w:sz="6" w:space="0" w:color="000000"/>
              <w:bottom w:val="single" w:sz="6" w:space="0" w:color="000000"/>
            </w:tcBorders>
            <w:shd w:val="clear" w:color="auto" w:fill="BFBFBF"/>
            <w:vAlign w:val="center"/>
          </w:tcPr>
          <w:p w14:paraId="19108037"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88" w:type="dxa"/>
            <w:tcBorders>
              <w:top w:val="double" w:sz="6" w:space="0" w:color="000000"/>
              <w:bottom w:val="single" w:sz="6" w:space="0" w:color="000000"/>
            </w:tcBorders>
            <w:shd w:val="clear" w:color="auto" w:fill="BFBFBF"/>
            <w:vAlign w:val="center"/>
          </w:tcPr>
          <w:p w14:paraId="2913700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0626E9BE" w14:textId="77777777" w:rsidTr="00CD0355">
        <w:trPr>
          <w:cantSplit/>
          <w:jc w:val="center"/>
        </w:trPr>
        <w:tc>
          <w:tcPr>
            <w:tcW w:w="1667" w:type="dxa"/>
            <w:tcBorders>
              <w:top w:val="single" w:sz="6" w:space="0" w:color="000000"/>
            </w:tcBorders>
          </w:tcPr>
          <w:p w14:paraId="30ED26D1"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356" w:type="dxa"/>
            <w:tcBorders>
              <w:top w:val="single" w:sz="6" w:space="0" w:color="000000"/>
            </w:tcBorders>
          </w:tcPr>
          <w:p w14:paraId="14F6E70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238" w:type="dxa"/>
            <w:tcBorders>
              <w:top w:val="single" w:sz="6" w:space="0" w:color="000000"/>
            </w:tcBorders>
          </w:tcPr>
          <w:p w14:paraId="5F0A063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c>
          <w:tcPr>
            <w:tcW w:w="1088" w:type="dxa"/>
            <w:tcBorders>
              <w:top w:val="single" w:sz="6" w:space="0" w:color="000000"/>
            </w:tcBorders>
          </w:tcPr>
          <w:p w14:paraId="1E9CF31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r>
      <w:tr w:rsidR="00CD0355" w:rsidRPr="001531CD" w14:paraId="4689AF1A" w14:textId="77777777" w:rsidTr="00CD0355">
        <w:trPr>
          <w:cantSplit/>
          <w:jc w:val="center"/>
        </w:trPr>
        <w:tc>
          <w:tcPr>
            <w:tcW w:w="1667" w:type="dxa"/>
          </w:tcPr>
          <w:p w14:paraId="1DE1C17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356" w:type="dxa"/>
          </w:tcPr>
          <w:p w14:paraId="78C7C8D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238" w:type="dxa"/>
          </w:tcPr>
          <w:p w14:paraId="237105C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088" w:type="dxa"/>
          </w:tcPr>
          <w:p w14:paraId="41F747C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350 ft.</w:t>
            </w:r>
          </w:p>
        </w:tc>
      </w:tr>
      <w:tr w:rsidR="00CD0355" w:rsidRPr="001531CD" w14:paraId="7B9D7297" w14:textId="77777777" w:rsidTr="00CD0355">
        <w:trPr>
          <w:cantSplit/>
          <w:jc w:val="center"/>
        </w:trPr>
        <w:tc>
          <w:tcPr>
            <w:tcW w:w="1667" w:type="dxa"/>
          </w:tcPr>
          <w:p w14:paraId="2B0F646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356" w:type="dxa"/>
          </w:tcPr>
          <w:p w14:paraId="088C2CE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238" w:type="dxa"/>
          </w:tcPr>
          <w:p w14:paraId="04A326B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88" w:type="dxa"/>
          </w:tcPr>
          <w:p w14:paraId="0211B01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2BEFA3D3" w14:textId="77777777" w:rsidTr="00CD0355">
        <w:trPr>
          <w:cantSplit/>
          <w:jc w:val="center"/>
        </w:trPr>
        <w:tc>
          <w:tcPr>
            <w:tcW w:w="1667" w:type="dxa"/>
            <w:tcBorders>
              <w:bottom w:val="double" w:sz="6" w:space="0" w:color="000000"/>
            </w:tcBorders>
          </w:tcPr>
          <w:p w14:paraId="6241FDF2"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356" w:type="dxa"/>
            <w:tcBorders>
              <w:bottom w:val="double" w:sz="6" w:space="0" w:color="000000"/>
            </w:tcBorders>
          </w:tcPr>
          <w:p w14:paraId="18B81DD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38" w:type="dxa"/>
            <w:tcBorders>
              <w:bottom w:val="double" w:sz="6" w:space="0" w:color="000000"/>
            </w:tcBorders>
          </w:tcPr>
          <w:p w14:paraId="6A5D43F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1088" w:type="dxa"/>
            <w:tcBorders>
              <w:bottom w:val="double" w:sz="6" w:space="0" w:color="000000"/>
            </w:tcBorders>
          </w:tcPr>
          <w:p w14:paraId="1704BDB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0.30%</w:t>
            </w:r>
          </w:p>
        </w:tc>
      </w:tr>
    </w:tbl>
    <w:p w14:paraId="236C96EB" w14:textId="77777777" w:rsidR="00CD0355" w:rsidRPr="001531CD" w:rsidRDefault="00CD0355" w:rsidP="00CD0355">
      <w:pPr>
        <w:pStyle w:val="A"/>
        <w:spacing w:after="0"/>
      </w:pPr>
    </w:p>
    <w:p w14:paraId="17E670DE" w14:textId="77777777" w:rsidR="00CD0355" w:rsidRPr="001531CD" w:rsidRDefault="00CD0355" w:rsidP="00CD0355">
      <w:pPr>
        <w:pStyle w:val="A"/>
      </w:pPr>
      <w:r w:rsidRPr="001531CD">
        <w:t>B.</w:t>
      </w:r>
      <w:r w:rsidRPr="001531CD">
        <w:tab/>
        <w:t>Seed Standards</w:t>
      </w:r>
    </w:p>
    <w:tbl>
      <w:tblPr>
        <w:tblW w:w="53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55"/>
        <w:gridCol w:w="1350"/>
        <w:gridCol w:w="1260"/>
        <w:gridCol w:w="1060"/>
      </w:tblGrid>
      <w:tr w:rsidR="00CD0355" w:rsidRPr="001531CD" w14:paraId="51E658E3" w14:textId="77777777" w:rsidTr="00CD0355">
        <w:trPr>
          <w:cantSplit/>
          <w:jc w:val="center"/>
        </w:trPr>
        <w:tc>
          <w:tcPr>
            <w:tcW w:w="1655" w:type="dxa"/>
            <w:tcBorders>
              <w:top w:val="double" w:sz="6" w:space="0" w:color="000000"/>
              <w:bottom w:val="single" w:sz="6" w:space="0" w:color="000000"/>
            </w:tcBorders>
            <w:shd w:val="clear" w:color="auto" w:fill="BFBFBF"/>
            <w:vAlign w:val="center"/>
          </w:tcPr>
          <w:p w14:paraId="7E84B0AA" w14:textId="77777777"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350" w:type="dxa"/>
            <w:tcBorders>
              <w:top w:val="double" w:sz="6" w:space="0" w:color="000000"/>
              <w:bottom w:val="single" w:sz="6" w:space="0" w:color="000000"/>
            </w:tcBorders>
            <w:shd w:val="clear" w:color="auto" w:fill="BFBFBF"/>
            <w:vAlign w:val="center"/>
          </w:tcPr>
          <w:p w14:paraId="437A568E"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260" w:type="dxa"/>
            <w:tcBorders>
              <w:top w:val="double" w:sz="6" w:space="0" w:color="000000"/>
              <w:bottom w:val="single" w:sz="6" w:space="0" w:color="000000"/>
            </w:tcBorders>
            <w:shd w:val="clear" w:color="auto" w:fill="BFBFBF"/>
            <w:vAlign w:val="center"/>
          </w:tcPr>
          <w:p w14:paraId="4757558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0" w:type="dxa"/>
            <w:tcBorders>
              <w:top w:val="double" w:sz="6" w:space="0" w:color="000000"/>
              <w:bottom w:val="single" w:sz="6" w:space="0" w:color="000000"/>
            </w:tcBorders>
            <w:shd w:val="clear" w:color="auto" w:fill="BFBFBF"/>
            <w:vAlign w:val="center"/>
          </w:tcPr>
          <w:p w14:paraId="7C793B56"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289C31BD" w14:textId="77777777" w:rsidTr="00CD0355">
        <w:trPr>
          <w:cantSplit/>
          <w:jc w:val="center"/>
        </w:trPr>
        <w:tc>
          <w:tcPr>
            <w:tcW w:w="1655" w:type="dxa"/>
            <w:tcBorders>
              <w:top w:val="single" w:sz="6" w:space="0" w:color="000000"/>
            </w:tcBorders>
          </w:tcPr>
          <w:p w14:paraId="0CECE60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350" w:type="dxa"/>
            <w:tcBorders>
              <w:top w:val="single" w:sz="6" w:space="0" w:color="000000"/>
            </w:tcBorders>
          </w:tcPr>
          <w:p w14:paraId="7741E4D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97.00%</w:t>
            </w:r>
          </w:p>
        </w:tc>
        <w:tc>
          <w:tcPr>
            <w:tcW w:w="1260" w:type="dxa"/>
            <w:tcBorders>
              <w:top w:val="single" w:sz="6" w:space="0" w:color="000000"/>
            </w:tcBorders>
          </w:tcPr>
          <w:p w14:paraId="35F5432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97.00%</w:t>
            </w:r>
          </w:p>
        </w:tc>
        <w:tc>
          <w:tcPr>
            <w:tcW w:w="1060" w:type="dxa"/>
            <w:tcBorders>
              <w:top w:val="single" w:sz="6" w:space="0" w:color="000000"/>
            </w:tcBorders>
          </w:tcPr>
          <w:p w14:paraId="1D1E25C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96.00%</w:t>
            </w:r>
          </w:p>
        </w:tc>
      </w:tr>
      <w:tr w:rsidR="00CD0355" w:rsidRPr="001531CD" w14:paraId="503DC4C0" w14:textId="77777777" w:rsidTr="00CD0355">
        <w:trPr>
          <w:cantSplit/>
          <w:jc w:val="center"/>
        </w:trPr>
        <w:tc>
          <w:tcPr>
            <w:tcW w:w="1655" w:type="dxa"/>
          </w:tcPr>
          <w:p w14:paraId="0B2CEF76"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350" w:type="dxa"/>
          </w:tcPr>
          <w:p w14:paraId="55EB468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3.00%</w:t>
            </w:r>
          </w:p>
        </w:tc>
        <w:tc>
          <w:tcPr>
            <w:tcW w:w="1260" w:type="dxa"/>
          </w:tcPr>
          <w:p w14:paraId="3DFC850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3.00%</w:t>
            </w:r>
          </w:p>
        </w:tc>
        <w:tc>
          <w:tcPr>
            <w:tcW w:w="1060" w:type="dxa"/>
          </w:tcPr>
          <w:p w14:paraId="1B881FE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w:t>
            </w:r>
          </w:p>
        </w:tc>
      </w:tr>
      <w:tr w:rsidR="00CD0355" w:rsidRPr="001531CD" w14:paraId="58F195DD" w14:textId="77777777" w:rsidTr="00CD0355">
        <w:trPr>
          <w:cantSplit/>
          <w:jc w:val="center"/>
        </w:trPr>
        <w:tc>
          <w:tcPr>
            <w:tcW w:w="1655" w:type="dxa"/>
          </w:tcPr>
          <w:p w14:paraId="6CB1EB0A"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350" w:type="dxa"/>
          </w:tcPr>
          <w:p w14:paraId="0092D10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60" w:type="dxa"/>
          </w:tcPr>
          <w:p w14:paraId="1B6AA14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60" w:type="dxa"/>
          </w:tcPr>
          <w:p w14:paraId="64BA44E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4DBF84F5" w14:textId="77777777" w:rsidTr="00CD0355">
        <w:trPr>
          <w:cantSplit/>
          <w:jc w:val="center"/>
        </w:trPr>
        <w:tc>
          <w:tcPr>
            <w:tcW w:w="1655" w:type="dxa"/>
          </w:tcPr>
          <w:p w14:paraId="470F15E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350" w:type="dxa"/>
          </w:tcPr>
          <w:p w14:paraId="28C817D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60" w:type="dxa"/>
          </w:tcPr>
          <w:p w14:paraId="1F481DB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060" w:type="dxa"/>
          </w:tcPr>
          <w:p w14:paraId="2CA8408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14:paraId="5DDD40DB" w14:textId="77777777" w:rsidTr="00CD0355">
        <w:trPr>
          <w:cantSplit/>
          <w:jc w:val="center"/>
        </w:trPr>
        <w:tc>
          <w:tcPr>
            <w:tcW w:w="1655" w:type="dxa"/>
          </w:tcPr>
          <w:p w14:paraId="475C7AA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350" w:type="dxa"/>
          </w:tcPr>
          <w:p w14:paraId="41DA35B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260" w:type="dxa"/>
          </w:tcPr>
          <w:p w14:paraId="6B4C115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0" w:type="dxa"/>
          </w:tcPr>
          <w:p w14:paraId="6041F83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57AED17D" w14:textId="77777777" w:rsidTr="00CD0355">
        <w:trPr>
          <w:cantSplit/>
          <w:jc w:val="center"/>
        </w:trPr>
        <w:tc>
          <w:tcPr>
            <w:tcW w:w="1655" w:type="dxa"/>
          </w:tcPr>
          <w:p w14:paraId="0C0E05B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350" w:type="dxa"/>
          </w:tcPr>
          <w:p w14:paraId="10FD6C5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260" w:type="dxa"/>
          </w:tcPr>
          <w:p w14:paraId="6531DD9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060" w:type="dxa"/>
          </w:tcPr>
          <w:p w14:paraId="450E7BC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14:paraId="5EF11038" w14:textId="77777777" w:rsidTr="00CD0355">
        <w:trPr>
          <w:cantSplit/>
          <w:jc w:val="center"/>
        </w:trPr>
        <w:tc>
          <w:tcPr>
            <w:tcW w:w="1655" w:type="dxa"/>
            <w:tcBorders>
              <w:bottom w:val="double" w:sz="6" w:space="0" w:color="000000"/>
            </w:tcBorders>
          </w:tcPr>
          <w:p w14:paraId="68A7869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350" w:type="dxa"/>
            <w:tcBorders>
              <w:bottom w:val="double" w:sz="6" w:space="0" w:color="000000"/>
            </w:tcBorders>
          </w:tcPr>
          <w:p w14:paraId="7DE35B6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1260" w:type="dxa"/>
            <w:tcBorders>
              <w:bottom w:val="double" w:sz="6" w:space="0" w:color="000000"/>
            </w:tcBorders>
          </w:tcPr>
          <w:p w14:paraId="16370EC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1060" w:type="dxa"/>
            <w:tcBorders>
              <w:bottom w:val="double" w:sz="6" w:space="0" w:color="000000"/>
            </w:tcBorders>
          </w:tcPr>
          <w:p w14:paraId="593EF2A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14:paraId="61081CB8" w14:textId="77777777" w:rsidR="00CD0355" w:rsidRPr="001531CD" w:rsidRDefault="00CD0355" w:rsidP="00CD0355">
      <w:pPr>
        <w:tabs>
          <w:tab w:val="left" w:pos="180"/>
          <w:tab w:val="left" w:pos="360"/>
          <w:tab w:val="left" w:pos="5940"/>
          <w:tab w:val="left" w:pos="8640"/>
        </w:tabs>
        <w:rPr>
          <w:sz w:val="20"/>
        </w:rPr>
      </w:pPr>
    </w:p>
    <w:p w14:paraId="0F4299A9" w14:textId="77777777" w:rsidR="00CD0355" w:rsidRPr="001531CD" w:rsidRDefault="00CD0355" w:rsidP="00CD0355">
      <w:pPr>
        <w:pStyle w:val="AuthorityNote"/>
      </w:pPr>
      <w:r w:rsidRPr="001531CD">
        <w:t>AUTHORITY NOTE:</w:t>
      </w:r>
      <w:r w:rsidRPr="001531CD">
        <w:tab/>
        <w:t>Promulgated in accordance with R.S. 3:1433.</w:t>
      </w:r>
    </w:p>
    <w:p w14:paraId="090DA192" w14:textId="77777777" w:rsidR="00CD0355" w:rsidRPr="001531CD" w:rsidRDefault="00CD0355" w:rsidP="00CD0355">
      <w:pPr>
        <w:pStyle w:val="HistoricalNote"/>
      </w:pPr>
      <w:r w:rsidRPr="001531CD">
        <w:t>HISTORICAL NOTE:</w:t>
      </w:r>
      <w:r w:rsidRPr="001531CD">
        <w:tab/>
        <w:t>Promulgated by the Department of Agriculture and Forestry, LR 8:572 (November 1982), amended LR 9:197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39:2717 (October 2013).</w:t>
      </w:r>
    </w:p>
    <w:p w14:paraId="6AFC01DA" w14:textId="77777777" w:rsidR="00CD0355" w:rsidRPr="001531CD" w:rsidRDefault="00CD0355" w:rsidP="00CD0355">
      <w:pPr>
        <w:pStyle w:val="Section"/>
      </w:pPr>
      <w:bookmarkStart w:id="1131" w:name="_Toc224818801"/>
      <w:r w:rsidRPr="001531CD">
        <w:t>§715.</w:t>
      </w:r>
      <w:r w:rsidRPr="001531CD">
        <w:tab/>
        <w:t>California Bulrush (</w:t>
      </w:r>
      <w:r w:rsidRPr="001531CD">
        <w:rPr>
          <w:i/>
        </w:rPr>
        <w:t>Schoenoplectus californicus</w:t>
      </w:r>
      <w:r w:rsidRPr="001531CD">
        <w:t>) Clonally Propagate</w:t>
      </w:r>
      <w:r>
        <w:t>d Plant Certification Standards</w:t>
      </w:r>
      <w:bookmarkEnd w:id="1131"/>
    </w:p>
    <w:p w14:paraId="60E001A7" w14:textId="77777777" w:rsidR="00CD0355" w:rsidRPr="00D55B14" w:rsidRDefault="00CD0355" w:rsidP="00CD0355">
      <w:pPr>
        <w:pStyle w:val="A"/>
      </w:pPr>
      <w:r w:rsidRPr="00D55B14">
        <w:t>A.</w:t>
      </w:r>
      <w:r w:rsidRPr="00D55B14">
        <w:tab/>
        <w:t>LDAF shall issue numbered certified bulk sales certificates or tags when requested to do so by a grower who has met the requirements and standards set forth in this Section. The numbered certified certificates or tags shall accompany each shipment of certified</w:t>
      </w:r>
      <w:r>
        <w:t xml:space="preserve"> vegetatively propagated stock.</w:t>
      </w:r>
    </w:p>
    <w:p w14:paraId="0CAC4E72" w14:textId="77777777" w:rsidR="00CD0355" w:rsidRPr="00D55B14" w:rsidRDefault="00CD0355" w:rsidP="00CD0355">
      <w:pPr>
        <w:pStyle w:val="A"/>
      </w:pPr>
      <w:r w:rsidRPr="00D55B14">
        <w:t>B.</w:t>
      </w:r>
      <w:r w:rsidRPr="00D55B14">
        <w:tab/>
        <w:t>DNA Fingerprinting Requirements</w:t>
      </w:r>
    </w:p>
    <w:p w14:paraId="494A18AC" w14:textId="77777777" w:rsidR="00CD0355" w:rsidRPr="00D55B14" w:rsidRDefault="00CD0355" w:rsidP="00CD0355">
      <w:pPr>
        <w:pStyle w:val="1"/>
      </w:pPr>
      <w:r w:rsidRPr="00D55B14">
        <w:t>1.</w:t>
      </w:r>
      <w:r w:rsidRPr="00D55B14">
        <w:tab/>
        <w:t xml:space="preserve">DNA fingerprinting samples shall be taken by LDAF and submitted to an LDAF approved laboratory for testing in accordance with the following guidelines: </w:t>
      </w:r>
    </w:p>
    <w:p w14:paraId="3AA14D3C" w14:textId="77777777" w:rsidR="00CD0355" w:rsidRPr="00D55B14" w:rsidRDefault="00CD0355" w:rsidP="00CD0355">
      <w:pPr>
        <w:pStyle w:val="a0"/>
      </w:pPr>
      <w:r>
        <w:t>a.</w:t>
      </w:r>
      <w:r>
        <w:tab/>
      </w:r>
      <w:r w:rsidRPr="00D55B14">
        <w:t>Foundation Class</w:t>
      </w:r>
    </w:p>
    <w:p w14:paraId="591CCCF7" w14:textId="77777777" w:rsidR="00CD0355" w:rsidRPr="00D55B14" w:rsidRDefault="00CD0355" w:rsidP="00CD0355">
      <w:pPr>
        <w:pStyle w:val="i0"/>
      </w:pPr>
      <w:r>
        <w:tab/>
      </w:r>
      <w:r w:rsidRPr="00D55B14">
        <w:t>i.</w:t>
      </w:r>
      <w:r>
        <w:tab/>
      </w:r>
      <w:r w:rsidRPr="00D55B14">
        <w:t>Fingerprinting is required within one year of transplant and every other year thereafter.</w:t>
      </w:r>
    </w:p>
    <w:p w14:paraId="40EFF539" w14:textId="77777777" w:rsidR="00CD0355" w:rsidRPr="00D55B14" w:rsidRDefault="00CD0355" w:rsidP="00CD0355">
      <w:pPr>
        <w:pStyle w:val="i0"/>
      </w:pPr>
      <w:r>
        <w:tab/>
      </w:r>
      <w:r w:rsidRPr="00D55B14">
        <w:t>ii.</w:t>
      </w:r>
      <w:r>
        <w:tab/>
      </w:r>
      <w:r w:rsidRPr="00D55B14">
        <w:t>Ponds</w:t>
      </w:r>
      <w:r w:rsidRPr="00D55B14">
        <w:sym w:font="Symbol" w:char="F0BE"/>
      </w:r>
      <w:r w:rsidRPr="00D55B14">
        <w:t>one sample/1000 sq. ft., with a minimum of five samples per pond.</w:t>
      </w:r>
    </w:p>
    <w:p w14:paraId="509F6F36" w14:textId="77777777" w:rsidR="00CD0355" w:rsidRPr="00D55B14" w:rsidRDefault="00CD0355" w:rsidP="00CD0355">
      <w:pPr>
        <w:pStyle w:val="i0"/>
      </w:pPr>
      <w:r>
        <w:tab/>
      </w:r>
      <w:r w:rsidRPr="00D55B14">
        <w:t>iii.</w:t>
      </w:r>
      <w:r>
        <w:tab/>
      </w:r>
      <w:r w:rsidRPr="00D55B14">
        <w:t>Containers</w:t>
      </w:r>
      <w:r w:rsidRPr="00D55B14">
        <w:sym w:font="Symbol" w:char="F0BE"/>
      </w:r>
      <w:r w:rsidRPr="00D55B14">
        <w:t>10 percent, with a minimum of five samples.</w:t>
      </w:r>
    </w:p>
    <w:p w14:paraId="0F7A4CDA" w14:textId="77777777" w:rsidR="00CD0355" w:rsidRPr="00D55B14" w:rsidRDefault="00CD0355" w:rsidP="00CD0355">
      <w:pPr>
        <w:pStyle w:val="a0"/>
      </w:pPr>
      <w:r w:rsidRPr="00D55B14">
        <w:t>b.</w:t>
      </w:r>
      <w:r w:rsidRPr="00D55B14">
        <w:tab/>
        <w:t>Registered Class</w:t>
      </w:r>
    </w:p>
    <w:p w14:paraId="61E2FFB1" w14:textId="77777777" w:rsidR="00CD0355" w:rsidRPr="00D55B14" w:rsidRDefault="00CD0355" w:rsidP="00CD0355">
      <w:pPr>
        <w:pStyle w:val="i0"/>
      </w:pPr>
      <w:r>
        <w:tab/>
      </w:r>
      <w:r w:rsidRPr="00D55B14">
        <w:t>i.</w:t>
      </w:r>
      <w:r>
        <w:tab/>
      </w:r>
      <w:r w:rsidRPr="00D55B14">
        <w:t>Fingerprinting is required within one year of transplant an</w:t>
      </w:r>
      <w:r>
        <w:t>d every three years thereafter.</w:t>
      </w:r>
    </w:p>
    <w:p w14:paraId="5C78017D" w14:textId="77777777" w:rsidR="00CD0355" w:rsidRPr="00D55B14" w:rsidRDefault="00CD0355" w:rsidP="00CD0355">
      <w:pPr>
        <w:pStyle w:val="i0"/>
      </w:pPr>
      <w:r>
        <w:tab/>
      </w:r>
      <w:r w:rsidRPr="00D55B14">
        <w:t>ii.</w:t>
      </w:r>
      <w:r>
        <w:tab/>
      </w:r>
      <w:r w:rsidRPr="00D55B14">
        <w:t>Ponds</w:t>
      </w:r>
      <w:r w:rsidRPr="00D55B14">
        <w:sym w:font="Symbol" w:char="F0BE"/>
      </w:r>
      <w:r w:rsidRPr="00D55B14">
        <w:t>one sample/1000 sq. ft., with a minimum of five samples per pond.</w:t>
      </w:r>
    </w:p>
    <w:p w14:paraId="02DE1099" w14:textId="77777777" w:rsidR="00CD0355" w:rsidRPr="00D55B14" w:rsidRDefault="00CD0355" w:rsidP="00CD0355">
      <w:pPr>
        <w:pStyle w:val="i0"/>
      </w:pPr>
      <w:r>
        <w:tab/>
      </w:r>
      <w:r w:rsidRPr="00D55B14">
        <w:t>iii.</w:t>
      </w:r>
      <w:r>
        <w:tab/>
      </w:r>
      <w:r w:rsidRPr="00D55B14">
        <w:t>Containers</w:t>
      </w:r>
      <w:r w:rsidRPr="00D55B14">
        <w:sym w:font="Symbol" w:char="F0BE"/>
      </w:r>
      <w:r w:rsidRPr="00D55B14">
        <w:t>5 percent, with a minimum of five samples.</w:t>
      </w:r>
    </w:p>
    <w:p w14:paraId="1C2F7E8C" w14:textId="77777777" w:rsidR="00CD0355" w:rsidRPr="00D55B14" w:rsidRDefault="00CD0355" w:rsidP="00CD0355">
      <w:pPr>
        <w:pStyle w:val="a0"/>
      </w:pPr>
      <w:r w:rsidRPr="00D55B14">
        <w:t>c.</w:t>
      </w:r>
      <w:r w:rsidRPr="00D55B14">
        <w:tab/>
        <w:t>Certified Class</w:t>
      </w:r>
      <w:r w:rsidRPr="00D55B14">
        <w:sym w:font="Symbol" w:char="F0BE"/>
      </w:r>
      <w:r w:rsidRPr="00D55B14">
        <w:t>certified class is not required to be DNA fingerprinted.</w:t>
      </w:r>
    </w:p>
    <w:p w14:paraId="651686D8" w14:textId="77777777" w:rsidR="00CD0355" w:rsidRPr="00D55B14" w:rsidRDefault="00CD0355" w:rsidP="00CD0355">
      <w:pPr>
        <w:pStyle w:val="1"/>
      </w:pPr>
      <w:r w:rsidRPr="00D55B14">
        <w:t>2.</w:t>
      </w:r>
      <w:r w:rsidRPr="00D55B14">
        <w:tab/>
        <w:t>LDAF shall have the right to re-inspect, re-sample and re-test production ponds or containers/tanks that are out-of-tolerance for DNA fingerprinting prior to final certification. Resampling of plots or containers/tanks that are out-of-tolerance for DNA fingerprinting shall be at the request of the producer.</w:t>
      </w:r>
    </w:p>
    <w:p w14:paraId="2C3FEFFA" w14:textId="77777777" w:rsidR="00CD0355" w:rsidRPr="00D55B14" w:rsidRDefault="00CD0355" w:rsidP="00CD0355">
      <w:pPr>
        <w:pStyle w:val="1"/>
      </w:pPr>
      <w:r w:rsidRPr="00D55B14">
        <w:t>3.</w:t>
      </w:r>
      <w:r w:rsidRPr="00D55B14">
        <w:tab/>
        <w:t xml:space="preserve">Additional DNA fingerprinting samples shall be required of a certified grower when the integrity of the genetic purity of a production plot or container/tank has been jeopardized by any means prior to final certification. </w:t>
      </w:r>
    </w:p>
    <w:p w14:paraId="2BE605B1" w14:textId="77777777" w:rsidR="00CD0355" w:rsidRPr="00D55B14" w:rsidRDefault="00CD0355" w:rsidP="00CD0355">
      <w:pPr>
        <w:pStyle w:val="A"/>
      </w:pPr>
      <w:r w:rsidRPr="00D55B14">
        <w:t>C.</w:t>
      </w:r>
      <w:r w:rsidRPr="00D55B14">
        <w:tab/>
        <w:t xml:space="preserve">Production Requirements. To be eligible for the production of all certified classes, production ponds and </w:t>
      </w:r>
      <w:r w:rsidRPr="00D55B14">
        <w:lastRenderedPageBreak/>
        <w:t>containers/tanks shall be left undisturbed for a minimum of four weeks prior to planting, and found to be free of California bulrush and noxious and objectionable weeds.</w:t>
      </w:r>
    </w:p>
    <w:p w14:paraId="32750FCC" w14:textId="77777777" w:rsidR="00CD0355" w:rsidRPr="00D55B14" w:rsidRDefault="00CD0355" w:rsidP="00CD0355">
      <w:pPr>
        <w:pStyle w:val="1"/>
      </w:pPr>
      <w:r>
        <w:t>1.</w:t>
      </w:r>
      <w:r>
        <w:tab/>
      </w:r>
      <w:r w:rsidRPr="00D55B14">
        <w:t>Pond Requirements</w:t>
      </w:r>
    </w:p>
    <w:p w14:paraId="4FEBDD4D" w14:textId="77777777" w:rsidR="00CD0355" w:rsidRPr="00D55B14" w:rsidRDefault="00CD0355" w:rsidP="00CD0355">
      <w:pPr>
        <w:pStyle w:val="a0"/>
        <w:rPr>
          <w:color w:val="000000"/>
        </w:rPr>
      </w:pPr>
      <w:r>
        <w:t>a.</w:t>
      </w:r>
      <w:r>
        <w:tab/>
      </w:r>
      <w:r w:rsidRPr="00D55B14">
        <w:t xml:space="preserve">Ponds shall be contained by levees. </w:t>
      </w:r>
    </w:p>
    <w:p w14:paraId="2695A4CC" w14:textId="77777777" w:rsidR="00CD0355" w:rsidRPr="00D55B14" w:rsidRDefault="00CD0355" w:rsidP="00CD0355">
      <w:pPr>
        <w:pStyle w:val="a0"/>
        <w:rPr>
          <w:color w:val="000000"/>
        </w:rPr>
      </w:pPr>
      <w:r>
        <w:t>b.</w:t>
      </w:r>
      <w:r>
        <w:tab/>
      </w:r>
      <w:r w:rsidRPr="00D55B14">
        <w:t>Only one variety shall be grown per pond.</w:t>
      </w:r>
    </w:p>
    <w:p w14:paraId="55DFE712" w14:textId="77777777" w:rsidR="00CD0355" w:rsidRPr="00D55B14" w:rsidRDefault="00CD0355" w:rsidP="00CD0355">
      <w:pPr>
        <w:pStyle w:val="a0"/>
        <w:rPr>
          <w:color w:val="000000"/>
        </w:rPr>
      </w:pPr>
      <w:r>
        <w:t>c.</w:t>
      </w:r>
      <w:r>
        <w:tab/>
      </w:r>
      <w:r w:rsidRPr="00D55B14">
        <w:t>Ponds of different varieties must be separated by the minimum isolation distance at all points.</w:t>
      </w:r>
    </w:p>
    <w:p w14:paraId="09B089E4" w14:textId="77777777" w:rsidR="00CD0355" w:rsidRPr="00D55B14" w:rsidRDefault="00CD0355" w:rsidP="00CD0355">
      <w:pPr>
        <w:pStyle w:val="a0"/>
        <w:rPr>
          <w:color w:val="000000"/>
        </w:rPr>
      </w:pPr>
      <w:r>
        <w:t>d.</w:t>
      </w:r>
      <w:r>
        <w:tab/>
      </w:r>
      <w:r w:rsidRPr="00D55B14">
        <w:t>Ponds must have individual water supplies and water drainage capabilities for each produced variety.</w:t>
      </w:r>
    </w:p>
    <w:p w14:paraId="54A695F7" w14:textId="77777777" w:rsidR="00CD0355" w:rsidRPr="00D55B14" w:rsidRDefault="00CD0355" w:rsidP="00CD0355">
      <w:pPr>
        <w:pStyle w:val="a0"/>
        <w:rPr>
          <w:color w:val="000000"/>
        </w:rPr>
      </w:pPr>
      <w:r>
        <w:t>e.</w:t>
      </w:r>
      <w:r>
        <w:tab/>
      </w:r>
      <w:r w:rsidRPr="00D55B14">
        <w:t>All seed heads shall be routinely removed from plants after flowering begins to ensure viable seed are not produced.</w:t>
      </w:r>
      <w:r w:rsidRPr="00D55B14">
        <w:rPr>
          <w:color w:val="000000"/>
        </w:rPr>
        <w:t xml:space="preserve"> </w:t>
      </w:r>
    </w:p>
    <w:p w14:paraId="15D41008" w14:textId="77777777" w:rsidR="00CD0355" w:rsidRPr="00D55B14" w:rsidRDefault="00CD0355" w:rsidP="00CD0355">
      <w:pPr>
        <w:pStyle w:val="1"/>
      </w:pPr>
      <w:r>
        <w:t>2.</w:t>
      </w:r>
      <w:r>
        <w:tab/>
      </w:r>
      <w:r w:rsidRPr="00D55B14">
        <w:t>Container/Tank Requirements</w:t>
      </w:r>
    </w:p>
    <w:p w14:paraId="0377BA95" w14:textId="77777777" w:rsidR="00CD0355" w:rsidRPr="00D55B14" w:rsidRDefault="00CD0355" w:rsidP="00CD0355">
      <w:pPr>
        <w:pStyle w:val="a0"/>
      </w:pPr>
      <w:r>
        <w:t>a.</w:t>
      </w:r>
      <w:r>
        <w:tab/>
      </w:r>
      <w:r w:rsidRPr="00D55B14">
        <w:t xml:space="preserve">Soil used for container/tank production shall: </w:t>
      </w:r>
    </w:p>
    <w:p w14:paraId="233D9809" w14:textId="77777777" w:rsidR="00CD0355" w:rsidRPr="00D55B14" w:rsidRDefault="00CD0355" w:rsidP="00CD0355">
      <w:pPr>
        <w:pStyle w:val="i0"/>
      </w:pPr>
      <w:r>
        <w:tab/>
      </w:r>
      <w:r w:rsidRPr="00D55B14">
        <w:t>i.</w:t>
      </w:r>
      <w:r w:rsidRPr="00D55B14">
        <w:tab/>
        <w:t xml:space="preserve">come from an area that has not produced california bulrush for a minimum of one year; and </w:t>
      </w:r>
    </w:p>
    <w:p w14:paraId="0CFE43B3" w14:textId="77777777" w:rsidR="00CD0355" w:rsidRPr="00D55B14" w:rsidRDefault="00CD0355" w:rsidP="00CD0355">
      <w:pPr>
        <w:pStyle w:val="i0"/>
      </w:pPr>
      <w:r>
        <w:tab/>
      </w:r>
      <w:r w:rsidRPr="00D55B14">
        <w:t>ii.</w:t>
      </w:r>
      <w:r w:rsidRPr="00D55B14">
        <w:tab/>
        <w:t>be free of visible california bulrush rhizomes and stems prior to transplanting.</w:t>
      </w:r>
    </w:p>
    <w:p w14:paraId="1177E6DF" w14:textId="77777777" w:rsidR="00CD0355" w:rsidRPr="00D55B14" w:rsidRDefault="00CD0355" w:rsidP="00CD0355">
      <w:pPr>
        <w:pStyle w:val="a0"/>
      </w:pPr>
      <w:r>
        <w:t>b.</w:t>
      </w:r>
      <w:r>
        <w:tab/>
      </w:r>
      <w:r w:rsidRPr="00D55B14">
        <w:t>Only one variety sha</w:t>
      </w:r>
      <w:r>
        <w:t>ll be grown per container/tank.</w:t>
      </w:r>
    </w:p>
    <w:p w14:paraId="3FE0BF5F" w14:textId="77777777" w:rsidR="00CD0355" w:rsidRPr="00D55B14" w:rsidRDefault="00CD0355" w:rsidP="00CD0355">
      <w:pPr>
        <w:pStyle w:val="a0"/>
        <w:rPr>
          <w:color w:val="000000"/>
        </w:rPr>
      </w:pPr>
      <w:r>
        <w:t>c.</w:t>
      </w:r>
      <w:r>
        <w:tab/>
      </w:r>
      <w:r w:rsidRPr="00D55B14">
        <w:t>Different</w:t>
      </w:r>
      <w:r w:rsidRPr="00D55B14">
        <w:rPr>
          <w:color w:val="000000"/>
        </w:rPr>
        <w:t xml:space="preserve"> varieties shall be grown in separate tanks </w:t>
      </w:r>
      <w:r w:rsidRPr="00D55B14">
        <w:t>and shall have individual water supplies and drainage capabilities</w:t>
      </w:r>
      <w:r w:rsidRPr="00D55B14">
        <w:rPr>
          <w:color w:val="000000"/>
        </w:rPr>
        <w:t>.</w:t>
      </w:r>
    </w:p>
    <w:p w14:paraId="2C1A687E" w14:textId="77777777" w:rsidR="00CD0355" w:rsidRPr="00D55B14" w:rsidRDefault="00CD0355" w:rsidP="00CD0355">
      <w:pPr>
        <w:pStyle w:val="a0"/>
      </w:pPr>
      <w:r>
        <w:t>d.</w:t>
      </w:r>
      <w:r>
        <w:tab/>
      </w:r>
      <w:r w:rsidRPr="00D55B14">
        <w:t xml:space="preserve">All seed heads shall be routinely removed from plants after flowering begins to ensure viable seed are not produced. </w:t>
      </w:r>
    </w:p>
    <w:p w14:paraId="0C278078" w14:textId="77777777" w:rsidR="00CD0355" w:rsidRPr="00D55B14" w:rsidRDefault="00CD0355" w:rsidP="00CD0355">
      <w:pPr>
        <w:pStyle w:val="A"/>
        <w:keepNext/>
      </w:pPr>
      <w:r w:rsidRPr="00D55B14">
        <w:t>D.</w:t>
      </w:r>
      <w:r w:rsidRPr="00D55B14">
        <w:tab/>
        <w:t>Grower Inspections</w:t>
      </w:r>
    </w:p>
    <w:p w14:paraId="62783523" w14:textId="77777777" w:rsidR="00CD0355" w:rsidRPr="00D55B14" w:rsidRDefault="00CD0355" w:rsidP="00CD0355">
      <w:pPr>
        <w:pStyle w:val="1"/>
        <w:keepNext/>
        <w:rPr>
          <w:dstrike/>
        </w:rPr>
      </w:pPr>
      <w:r w:rsidRPr="00D55B14">
        <w:t>1.</w:t>
      </w:r>
      <w:r w:rsidRPr="00D55B14">
        <w:tab/>
        <w:t>Ponds and containers shall be inspected by grower to ensure that all requirements of this Section are being met.</w:t>
      </w:r>
    </w:p>
    <w:p w14:paraId="389B6CBC" w14:textId="77777777" w:rsidR="00CD0355" w:rsidRDefault="00CD0355" w:rsidP="00CD0355">
      <w:pPr>
        <w:pStyle w:val="A"/>
        <w:rPr>
          <w:color w:val="000000"/>
        </w:rPr>
      </w:pPr>
      <w:r w:rsidRPr="00D55B14">
        <w:rPr>
          <w:color w:val="000000"/>
        </w:rPr>
        <w:t>E.</w:t>
      </w:r>
      <w:r w:rsidRPr="00D55B14">
        <w:rPr>
          <w:color w:val="000000"/>
        </w:rPr>
        <w:tab/>
        <w:t xml:space="preserve">LDAF </w:t>
      </w:r>
      <w:r w:rsidRPr="00D55B14">
        <w:t>Inspections.</w:t>
      </w:r>
      <w:r w:rsidRPr="00D55B14">
        <w:rPr>
          <w:color w:val="000000"/>
        </w:rPr>
        <w:t xml:space="preserve"> Production ponds and containers/tanks shall be made accessible for inspection by the grower. </w:t>
      </w:r>
    </w:p>
    <w:p w14:paraId="3DA74D27" w14:textId="77777777" w:rsidR="00CD0355" w:rsidRPr="00D55B14" w:rsidRDefault="00CD0355" w:rsidP="00CD0355">
      <w:pPr>
        <w:pStyle w:val="1"/>
      </w:pPr>
      <w:r>
        <w:rPr>
          <w:color w:val="000000"/>
        </w:rPr>
        <w:t>1.</w:t>
      </w:r>
      <w:r>
        <w:rPr>
          <w:color w:val="000000"/>
        </w:rPr>
        <w:tab/>
      </w:r>
      <w:r w:rsidRPr="00D55B14">
        <w:t>Ponds and containers/tanks shall be inspected by LDAF within four weeks prior to transplanting to ensure ponds and containers/tanks are free of</w:t>
      </w:r>
      <w:r w:rsidRPr="00D55B14">
        <w:rPr>
          <w:color w:val="000000"/>
        </w:rPr>
        <w:t xml:space="preserve"> volunteer california bulrush plants and noxious and objectionable weeds. All ponds and containers/tanks shall be non-flooded at time of pre-plant inspection.</w:t>
      </w:r>
    </w:p>
    <w:p w14:paraId="56479760" w14:textId="77777777" w:rsidR="00CD0355" w:rsidRPr="00D55B14" w:rsidRDefault="00CD0355" w:rsidP="00CD0355">
      <w:pPr>
        <w:pStyle w:val="1"/>
      </w:pPr>
      <w:r>
        <w:t>2.</w:t>
      </w:r>
      <w:r>
        <w:tab/>
      </w:r>
      <w:r w:rsidRPr="00D55B14">
        <w:t>Ponds and containers/tanks shall be inspected by LDAF a minimum of once a year, after transplanting, to ensure that all requirements of this Section are being met.</w:t>
      </w:r>
    </w:p>
    <w:p w14:paraId="13871F49" w14:textId="77777777" w:rsidR="00CD0355" w:rsidRPr="00D55B14" w:rsidRDefault="00CD0355" w:rsidP="00CD0355">
      <w:pPr>
        <w:pStyle w:val="1"/>
      </w:pPr>
      <w:r w:rsidRPr="00D55B14">
        <w:rPr>
          <w:color w:val="000000"/>
        </w:rPr>
        <w:t>3.</w:t>
      </w:r>
      <w:r w:rsidRPr="00D55B14">
        <w:rPr>
          <w:color w:val="000000"/>
        </w:rPr>
        <w:tab/>
      </w:r>
      <w:r w:rsidRPr="00D55B14">
        <w:t xml:space="preserve">Additional inspections may be performed at the discretion of LDAF at any time without prior notice. </w:t>
      </w:r>
    </w:p>
    <w:p w14:paraId="41C7EC17" w14:textId="77777777" w:rsidR="00CD0355" w:rsidRDefault="00CD0355" w:rsidP="00CD0355">
      <w:pPr>
        <w:pStyle w:val="A"/>
      </w:pPr>
      <w:r w:rsidRPr="00D55B14">
        <w:t>F.</w:t>
      </w:r>
      <w:r w:rsidRPr="00D55B14">
        <w:tab/>
        <w:t>Field Standards Production Ponds/Containers/Tanks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367"/>
        <w:gridCol w:w="1206"/>
        <w:gridCol w:w="1150"/>
        <w:gridCol w:w="1127"/>
      </w:tblGrid>
      <w:tr w:rsidR="00CD0355" w:rsidRPr="00DB3AA3" w14:paraId="0C8BD8B8" w14:textId="77777777" w:rsidTr="00CD0355">
        <w:trPr>
          <w:cantSplit/>
          <w:tblHeader/>
          <w:jc w:val="center"/>
        </w:trPr>
        <w:tc>
          <w:tcPr>
            <w:tcW w:w="1413" w:type="dxa"/>
            <w:tcBorders>
              <w:top w:val="double" w:sz="6" w:space="0" w:color="auto"/>
              <w:bottom w:val="single" w:sz="6" w:space="0" w:color="auto"/>
            </w:tcBorders>
            <w:shd w:val="clear" w:color="auto" w:fill="BFBFBF"/>
            <w:vAlign w:val="bottom"/>
          </w:tcPr>
          <w:p w14:paraId="2DB90D84" w14:textId="77777777" w:rsidR="00CD0355" w:rsidRPr="00172E0F" w:rsidRDefault="00CD0355" w:rsidP="00CD0355">
            <w:pPr>
              <w:keepNext/>
              <w:jc w:val="both"/>
              <w:rPr>
                <w:b/>
                <w:sz w:val="16"/>
                <w:szCs w:val="16"/>
              </w:rPr>
            </w:pPr>
            <w:r w:rsidRPr="00172E0F">
              <w:rPr>
                <w:b/>
                <w:sz w:val="16"/>
                <w:szCs w:val="16"/>
              </w:rPr>
              <w:t>Factor</w:t>
            </w:r>
          </w:p>
        </w:tc>
        <w:tc>
          <w:tcPr>
            <w:tcW w:w="1241" w:type="dxa"/>
            <w:tcBorders>
              <w:top w:val="double" w:sz="6" w:space="0" w:color="auto"/>
              <w:bottom w:val="single" w:sz="6" w:space="0" w:color="auto"/>
            </w:tcBorders>
            <w:shd w:val="clear" w:color="auto" w:fill="BFBFBF"/>
            <w:vAlign w:val="bottom"/>
          </w:tcPr>
          <w:p w14:paraId="2F484EA8" w14:textId="77777777" w:rsidR="00CD0355" w:rsidRPr="00172E0F" w:rsidRDefault="00CD0355" w:rsidP="00CD0355">
            <w:pPr>
              <w:keepNext/>
              <w:jc w:val="both"/>
              <w:rPr>
                <w:b/>
                <w:sz w:val="16"/>
                <w:szCs w:val="16"/>
              </w:rPr>
            </w:pPr>
            <w:r w:rsidRPr="00172E0F">
              <w:rPr>
                <w:b/>
                <w:sz w:val="16"/>
                <w:szCs w:val="16"/>
              </w:rPr>
              <w:t>Foundation</w:t>
            </w:r>
          </w:p>
        </w:tc>
        <w:tc>
          <w:tcPr>
            <w:tcW w:w="1186" w:type="dxa"/>
            <w:tcBorders>
              <w:top w:val="double" w:sz="6" w:space="0" w:color="auto"/>
              <w:bottom w:val="single" w:sz="6" w:space="0" w:color="auto"/>
            </w:tcBorders>
            <w:shd w:val="clear" w:color="auto" w:fill="BFBFBF"/>
            <w:vAlign w:val="bottom"/>
          </w:tcPr>
          <w:p w14:paraId="03FE445F" w14:textId="77777777" w:rsidR="00CD0355" w:rsidRPr="00172E0F" w:rsidRDefault="00CD0355" w:rsidP="00CD0355">
            <w:pPr>
              <w:keepNext/>
              <w:jc w:val="both"/>
              <w:rPr>
                <w:b/>
                <w:sz w:val="16"/>
                <w:szCs w:val="16"/>
              </w:rPr>
            </w:pPr>
            <w:r w:rsidRPr="00172E0F">
              <w:rPr>
                <w:b/>
                <w:sz w:val="16"/>
                <w:szCs w:val="16"/>
              </w:rPr>
              <w:t>Registered</w:t>
            </w:r>
          </w:p>
        </w:tc>
        <w:tc>
          <w:tcPr>
            <w:tcW w:w="1164" w:type="dxa"/>
            <w:tcBorders>
              <w:top w:val="double" w:sz="6" w:space="0" w:color="auto"/>
              <w:bottom w:val="single" w:sz="6" w:space="0" w:color="auto"/>
            </w:tcBorders>
            <w:shd w:val="clear" w:color="auto" w:fill="BFBFBF"/>
            <w:vAlign w:val="bottom"/>
          </w:tcPr>
          <w:p w14:paraId="4C91B2F9" w14:textId="77777777" w:rsidR="00CD0355" w:rsidRPr="00172E0F" w:rsidRDefault="00CD0355" w:rsidP="00CD0355">
            <w:pPr>
              <w:keepNext/>
              <w:jc w:val="both"/>
              <w:rPr>
                <w:b/>
                <w:sz w:val="16"/>
                <w:szCs w:val="16"/>
              </w:rPr>
            </w:pPr>
            <w:r w:rsidRPr="00172E0F">
              <w:rPr>
                <w:b/>
                <w:sz w:val="16"/>
                <w:szCs w:val="16"/>
              </w:rPr>
              <w:t>Certified</w:t>
            </w:r>
          </w:p>
        </w:tc>
      </w:tr>
      <w:tr w:rsidR="00CD0355" w:rsidRPr="00DB3AA3" w14:paraId="71F0BAD7" w14:textId="77777777" w:rsidTr="00CD0355">
        <w:trPr>
          <w:cantSplit/>
          <w:jc w:val="center"/>
        </w:trPr>
        <w:tc>
          <w:tcPr>
            <w:tcW w:w="1413" w:type="dxa"/>
            <w:tcBorders>
              <w:top w:val="single" w:sz="6" w:space="0" w:color="auto"/>
            </w:tcBorders>
          </w:tcPr>
          <w:p w14:paraId="6C05D1A6" w14:textId="77777777" w:rsidR="00CD0355" w:rsidRPr="00172E0F" w:rsidRDefault="00CD0355" w:rsidP="00CD0355">
            <w:pPr>
              <w:jc w:val="both"/>
              <w:rPr>
                <w:sz w:val="16"/>
                <w:szCs w:val="16"/>
              </w:rPr>
            </w:pPr>
            <w:r w:rsidRPr="00172E0F">
              <w:rPr>
                <w:sz w:val="16"/>
                <w:szCs w:val="16"/>
              </w:rPr>
              <w:t>Maximum Unit Life</w:t>
            </w:r>
            <w:r w:rsidRPr="00172E0F">
              <w:rPr>
                <w:sz w:val="16"/>
                <w:szCs w:val="16"/>
                <w:vertAlign w:val="superscript"/>
              </w:rPr>
              <w:t>(1)</w:t>
            </w:r>
          </w:p>
        </w:tc>
        <w:tc>
          <w:tcPr>
            <w:tcW w:w="1241" w:type="dxa"/>
            <w:tcBorders>
              <w:top w:val="single" w:sz="6" w:space="0" w:color="auto"/>
            </w:tcBorders>
            <w:vAlign w:val="center"/>
          </w:tcPr>
          <w:p w14:paraId="3648C019" w14:textId="77777777" w:rsidR="00CD0355" w:rsidRPr="00172E0F" w:rsidRDefault="00CD0355" w:rsidP="00CD0355">
            <w:pPr>
              <w:jc w:val="both"/>
              <w:rPr>
                <w:sz w:val="16"/>
                <w:szCs w:val="16"/>
              </w:rPr>
            </w:pPr>
            <w:r w:rsidRPr="00172E0F">
              <w:rPr>
                <w:sz w:val="16"/>
                <w:szCs w:val="16"/>
              </w:rPr>
              <w:t>4 years</w:t>
            </w:r>
          </w:p>
        </w:tc>
        <w:tc>
          <w:tcPr>
            <w:tcW w:w="1186" w:type="dxa"/>
            <w:tcBorders>
              <w:top w:val="single" w:sz="6" w:space="0" w:color="auto"/>
            </w:tcBorders>
            <w:vAlign w:val="center"/>
          </w:tcPr>
          <w:p w14:paraId="1FFE3D0D" w14:textId="77777777" w:rsidR="00CD0355" w:rsidRPr="00172E0F" w:rsidRDefault="00CD0355" w:rsidP="00CD0355">
            <w:pPr>
              <w:jc w:val="both"/>
              <w:rPr>
                <w:sz w:val="16"/>
                <w:szCs w:val="16"/>
              </w:rPr>
            </w:pPr>
            <w:r w:rsidRPr="00172E0F">
              <w:rPr>
                <w:sz w:val="16"/>
                <w:szCs w:val="16"/>
              </w:rPr>
              <w:t>6 years</w:t>
            </w:r>
          </w:p>
        </w:tc>
        <w:tc>
          <w:tcPr>
            <w:tcW w:w="1164" w:type="dxa"/>
            <w:tcBorders>
              <w:top w:val="single" w:sz="6" w:space="0" w:color="auto"/>
            </w:tcBorders>
            <w:vAlign w:val="center"/>
          </w:tcPr>
          <w:p w14:paraId="7778D783" w14:textId="77777777" w:rsidR="00CD0355" w:rsidRPr="00172E0F" w:rsidRDefault="00CD0355" w:rsidP="00CD0355">
            <w:pPr>
              <w:jc w:val="both"/>
              <w:rPr>
                <w:sz w:val="16"/>
                <w:szCs w:val="16"/>
              </w:rPr>
            </w:pPr>
            <w:r w:rsidRPr="00172E0F">
              <w:rPr>
                <w:sz w:val="16"/>
                <w:szCs w:val="16"/>
              </w:rPr>
              <w:t>Unlimited</w:t>
            </w:r>
          </w:p>
        </w:tc>
      </w:tr>
      <w:tr w:rsidR="00CD0355" w:rsidRPr="00DB3AA3" w14:paraId="30642CF2" w14:textId="77777777" w:rsidTr="00CD0355">
        <w:trPr>
          <w:cantSplit/>
          <w:jc w:val="center"/>
        </w:trPr>
        <w:tc>
          <w:tcPr>
            <w:tcW w:w="1413" w:type="dxa"/>
            <w:vAlign w:val="center"/>
          </w:tcPr>
          <w:p w14:paraId="3B3CCCDB" w14:textId="77777777" w:rsidR="00CD0355" w:rsidRPr="00172E0F" w:rsidRDefault="00CD0355" w:rsidP="00CD0355">
            <w:pPr>
              <w:jc w:val="both"/>
              <w:rPr>
                <w:sz w:val="16"/>
                <w:szCs w:val="16"/>
              </w:rPr>
            </w:pPr>
            <w:r w:rsidRPr="00172E0F">
              <w:rPr>
                <w:sz w:val="16"/>
                <w:szCs w:val="16"/>
              </w:rPr>
              <w:t>Land Requirements</w:t>
            </w:r>
          </w:p>
        </w:tc>
        <w:tc>
          <w:tcPr>
            <w:tcW w:w="1241" w:type="dxa"/>
            <w:vAlign w:val="center"/>
          </w:tcPr>
          <w:p w14:paraId="268BC60D" w14:textId="77777777" w:rsidR="00CD0355" w:rsidRPr="00172E0F" w:rsidRDefault="00CD0355" w:rsidP="00CD0355">
            <w:pPr>
              <w:jc w:val="both"/>
              <w:rPr>
                <w:sz w:val="16"/>
                <w:szCs w:val="16"/>
              </w:rPr>
            </w:pPr>
            <w:r w:rsidRPr="00172E0F">
              <w:rPr>
                <w:sz w:val="16"/>
                <w:szCs w:val="16"/>
              </w:rPr>
              <w:t>1 year</w:t>
            </w:r>
          </w:p>
        </w:tc>
        <w:tc>
          <w:tcPr>
            <w:tcW w:w="1186" w:type="dxa"/>
            <w:vAlign w:val="center"/>
          </w:tcPr>
          <w:p w14:paraId="5B39A80E" w14:textId="77777777" w:rsidR="00CD0355" w:rsidRPr="00172E0F" w:rsidRDefault="00CD0355" w:rsidP="00CD0355">
            <w:pPr>
              <w:jc w:val="both"/>
              <w:rPr>
                <w:sz w:val="16"/>
                <w:szCs w:val="16"/>
              </w:rPr>
            </w:pPr>
            <w:r w:rsidRPr="00172E0F">
              <w:rPr>
                <w:sz w:val="16"/>
                <w:szCs w:val="16"/>
              </w:rPr>
              <w:t>1 year</w:t>
            </w:r>
          </w:p>
        </w:tc>
        <w:tc>
          <w:tcPr>
            <w:tcW w:w="1164" w:type="dxa"/>
            <w:vAlign w:val="center"/>
          </w:tcPr>
          <w:p w14:paraId="4DF0F7ED" w14:textId="77777777" w:rsidR="00CD0355" w:rsidRPr="00172E0F" w:rsidRDefault="00CD0355" w:rsidP="00CD0355">
            <w:pPr>
              <w:jc w:val="both"/>
              <w:rPr>
                <w:sz w:val="16"/>
                <w:szCs w:val="16"/>
              </w:rPr>
            </w:pPr>
            <w:r w:rsidRPr="00172E0F">
              <w:rPr>
                <w:sz w:val="16"/>
                <w:szCs w:val="16"/>
              </w:rPr>
              <w:t>1 year</w:t>
            </w:r>
          </w:p>
        </w:tc>
      </w:tr>
      <w:tr w:rsidR="00CD0355" w:rsidRPr="00DB3AA3" w14:paraId="0955C21F" w14:textId="77777777" w:rsidTr="00CD0355">
        <w:trPr>
          <w:cantSplit/>
          <w:jc w:val="center"/>
        </w:trPr>
        <w:tc>
          <w:tcPr>
            <w:tcW w:w="5004" w:type="dxa"/>
            <w:gridSpan w:val="4"/>
            <w:shd w:val="clear" w:color="auto" w:fill="FFFFFF"/>
          </w:tcPr>
          <w:p w14:paraId="0E1CFE55" w14:textId="77777777" w:rsidR="00CD0355" w:rsidRPr="00EB1DC6" w:rsidRDefault="00CD0355" w:rsidP="00CD0355">
            <w:pPr>
              <w:jc w:val="both"/>
              <w:rPr>
                <w:b/>
                <w:sz w:val="16"/>
                <w:szCs w:val="16"/>
              </w:rPr>
            </w:pPr>
            <w:r w:rsidRPr="00EB1DC6">
              <w:rPr>
                <w:b/>
                <w:sz w:val="16"/>
                <w:szCs w:val="16"/>
              </w:rPr>
              <w:t xml:space="preserve">Isolation: </w:t>
            </w:r>
          </w:p>
        </w:tc>
      </w:tr>
      <w:tr w:rsidR="00CD0355" w:rsidRPr="00DB3AA3" w14:paraId="6731A38F" w14:textId="77777777" w:rsidTr="00CD0355">
        <w:trPr>
          <w:cantSplit/>
          <w:jc w:val="center"/>
        </w:trPr>
        <w:tc>
          <w:tcPr>
            <w:tcW w:w="1413" w:type="dxa"/>
          </w:tcPr>
          <w:p w14:paraId="3A04DE6D" w14:textId="77777777" w:rsidR="00CD0355" w:rsidRPr="00172E0F" w:rsidRDefault="00CD0355" w:rsidP="00CD0355">
            <w:pPr>
              <w:jc w:val="both"/>
              <w:rPr>
                <w:sz w:val="16"/>
                <w:szCs w:val="16"/>
              </w:rPr>
            </w:pPr>
            <w:r w:rsidRPr="00172E0F">
              <w:rPr>
                <w:sz w:val="16"/>
                <w:szCs w:val="16"/>
              </w:rPr>
              <w:t>Pond Production</w:t>
            </w:r>
          </w:p>
        </w:tc>
        <w:tc>
          <w:tcPr>
            <w:tcW w:w="1241" w:type="dxa"/>
            <w:vAlign w:val="center"/>
          </w:tcPr>
          <w:p w14:paraId="67D5DA28" w14:textId="77777777" w:rsidR="00CD0355" w:rsidRPr="00172E0F" w:rsidRDefault="00CD0355" w:rsidP="00CD0355">
            <w:pPr>
              <w:jc w:val="both"/>
              <w:rPr>
                <w:sz w:val="16"/>
                <w:szCs w:val="16"/>
              </w:rPr>
            </w:pPr>
            <w:r w:rsidRPr="00172E0F">
              <w:rPr>
                <w:sz w:val="16"/>
                <w:szCs w:val="16"/>
              </w:rPr>
              <w:t>20 ft.</w:t>
            </w:r>
          </w:p>
        </w:tc>
        <w:tc>
          <w:tcPr>
            <w:tcW w:w="1186" w:type="dxa"/>
            <w:vAlign w:val="center"/>
          </w:tcPr>
          <w:p w14:paraId="121F1337" w14:textId="77777777" w:rsidR="00CD0355" w:rsidRPr="00172E0F" w:rsidRDefault="00CD0355" w:rsidP="00CD0355">
            <w:pPr>
              <w:jc w:val="both"/>
              <w:rPr>
                <w:sz w:val="16"/>
                <w:szCs w:val="16"/>
              </w:rPr>
            </w:pPr>
            <w:r w:rsidRPr="00172E0F">
              <w:rPr>
                <w:sz w:val="16"/>
                <w:szCs w:val="16"/>
              </w:rPr>
              <w:t>20 ft.</w:t>
            </w:r>
          </w:p>
        </w:tc>
        <w:tc>
          <w:tcPr>
            <w:tcW w:w="1164" w:type="dxa"/>
            <w:vAlign w:val="center"/>
          </w:tcPr>
          <w:p w14:paraId="4D30E0EC" w14:textId="77777777" w:rsidR="00CD0355" w:rsidRPr="00172E0F" w:rsidRDefault="00CD0355" w:rsidP="00CD0355">
            <w:pPr>
              <w:jc w:val="both"/>
              <w:rPr>
                <w:sz w:val="16"/>
                <w:szCs w:val="16"/>
              </w:rPr>
            </w:pPr>
            <w:r w:rsidRPr="00172E0F">
              <w:rPr>
                <w:sz w:val="16"/>
                <w:szCs w:val="16"/>
              </w:rPr>
              <w:t>20 ft.</w:t>
            </w:r>
          </w:p>
        </w:tc>
      </w:tr>
      <w:tr w:rsidR="00CD0355" w:rsidRPr="00DB3AA3" w14:paraId="58AF7704" w14:textId="77777777" w:rsidTr="00CD0355">
        <w:trPr>
          <w:cantSplit/>
          <w:jc w:val="center"/>
        </w:trPr>
        <w:tc>
          <w:tcPr>
            <w:tcW w:w="1413" w:type="dxa"/>
          </w:tcPr>
          <w:p w14:paraId="765C9F61" w14:textId="77777777" w:rsidR="00CD0355" w:rsidRPr="00172E0F" w:rsidRDefault="00CD0355" w:rsidP="00CD0355">
            <w:pPr>
              <w:jc w:val="both"/>
              <w:rPr>
                <w:sz w:val="16"/>
                <w:szCs w:val="16"/>
              </w:rPr>
            </w:pPr>
            <w:r w:rsidRPr="00172E0F">
              <w:rPr>
                <w:sz w:val="16"/>
                <w:szCs w:val="16"/>
              </w:rPr>
              <w:t>Tank Production</w:t>
            </w:r>
          </w:p>
        </w:tc>
        <w:tc>
          <w:tcPr>
            <w:tcW w:w="1241" w:type="dxa"/>
            <w:vAlign w:val="center"/>
          </w:tcPr>
          <w:p w14:paraId="5A5B44CC" w14:textId="77777777" w:rsidR="00CD0355" w:rsidRPr="00172E0F" w:rsidRDefault="00CD0355" w:rsidP="00CD0355">
            <w:pPr>
              <w:jc w:val="both"/>
              <w:rPr>
                <w:sz w:val="16"/>
                <w:szCs w:val="16"/>
              </w:rPr>
            </w:pPr>
            <w:r w:rsidRPr="00172E0F">
              <w:rPr>
                <w:sz w:val="16"/>
                <w:szCs w:val="16"/>
              </w:rPr>
              <w:t>One variety per tank</w:t>
            </w:r>
          </w:p>
        </w:tc>
        <w:tc>
          <w:tcPr>
            <w:tcW w:w="1186" w:type="dxa"/>
            <w:vAlign w:val="center"/>
          </w:tcPr>
          <w:p w14:paraId="7A6B29FC" w14:textId="77777777" w:rsidR="00CD0355" w:rsidRPr="00172E0F" w:rsidRDefault="00CD0355" w:rsidP="00CD0355">
            <w:pPr>
              <w:jc w:val="both"/>
              <w:rPr>
                <w:sz w:val="16"/>
                <w:szCs w:val="16"/>
              </w:rPr>
            </w:pPr>
            <w:r w:rsidRPr="00172E0F">
              <w:rPr>
                <w:sz w:val="16"/>
                <w:szCs w:val="16"/>
              </w:rPr>
              <w:t>One variety per tank</w:t>
            </w:r>
          </w:p>
        </w:tc>
        <w:tc>
          <w:tcPr>
            <w:tcW w:w="1164" w:type="dxa"/>
            <w:vAlign w:val="center"/>
          </w:tcPr>
          <w:p w14:paraId="7C36AD9E" w14:textId="77777777" w:rsidR="00CD0355" w:rsidRPr="00172E0F" w:rsidRDefault="00CD0355" w:rsidP="00CD0355">
            <w:pPr>
              <w:jc w:val="both"/>
              <w:rPr>
                <w:sz w:val="16"/>
                <w:szCs w:val="16"/>
              </w:rPr>
            </w:pPr>
            <w:r w:rsidRPr="00172E0F">
              <w:rPr>
                <w:sz w:val="16"/>
                <w:szCs w:val="16"/>
              </w:rPr>
              <w:t>One variety per tank</w:t>
            </w:r>
          </w:p>
        </w:tc>
      </w:tr>
      <w:tr w:rsidR="00CD0355" w:rsidRPr="00DB3AA3" w14:paraId="28EB2468" w14:textId="77777777" w:rsidTr="00CD0355">
        <w:trPr>
          <w:cantSplit/>
          <w:jc w:val="center"/>
        </w:trPr>
        <w:tc>
          <w:tcPr>
            <w:tcW w:w="1413" w:type="dxa"/>
            <w:vAlign w:val="center"/>
          </w:tcPr>
          <w:p w14:paraId="5E75AE97" w14:textId="77777777" w:rsidR="00CD0355" w:rsidRPr="00172E0F" w:rsidRDefault="00CD0355" w:rsidP="00CD0355">
            <w:pPr>
              <w:jc w:val="both"/>
              <w:rPr>
                <w:sz w:val="16"/>
                <w:szCs w:val="16"/>
              </w:rPr>
            </w:pPr>
            <w:r w:rsidRPr="00172E0F">
              <w:rPr>
                <w:sz w:val="16"/>
                <w:szCs w:val="16"/>
              </w:rPr>
              <w:t>Container Production</w:t>
            </w:r>
          </w:p>
        </w:tc>
        <w:tc>
          <w:tcPr>
            <w:tcW w:w="1241" w:type="dxa"/>
            <w:vAlign w:val="center"/>
          </w:tcPr>
          <w:p w14:paraId="63B7C466" w14:textId="77777777" w:rsidR="00CD0355" w:rsidRPr="00172E0F" w:rsidRDefault="00CD0355" w:rsidP="00CD0355">
            <w:pPr>
              <w:rPr>
                <w:sz w:val="16"/>
                <w:szCs w:val="16"/>
              </w:rPr>
            </w:pPr>
            <w:r w:rsidRPr="00172E0F">
              <w:rPr>
                <w:sz w:val="16"/>
                <w:szCs w:val="16"/>
              </w:rPr>
              <w:t>Different varieties must be separated and clearly identified</w:t>
            </w:r>
          </w:p>
        </w:tc>
        <w:tc>
          <w:tcPr>
            <w:tcW w:w="1186" w:type="dxa"/>
            <w:vAlign w:val="center"/>
          </w:tcPr>
          <w:p w14:paraId="1BF66C53" w14:textId="77777777" w:rsidR="00CD0355" w:rsidRPr="00172E0F" w:rsidRDefault="00CD0355" w:rsidP="00CD0355">
            <w:pPr>
              <w:rPr>
                <w:sz w:val="16"/>
                <w:szCs w:val="16"/>
              </w:rPr>
            </w:pPr>
            <w:r w:rsidRPr="00172E0F">
              <w:rPr>
                <w:sz w:val="16"/>
                <w:szCs w:val="16"/>
              </w:rPr>
              <w:t>Different varieties must be separated and clearly identified</w:t>
            </w:r>
          </w:p>
        </w:tc>
        <w:tc>
          <w:tcPr>
            <w:tcW w:w="1164" w:type="dxa"/>
            <w:vAlign w:val="center"/>
          </w:tcPr>
          <w:p w14:paraId="57A67BE0" w14:textId="77777777" w:rsidR="00CD0355" w:rsidRPr="00172E0F" w:rsidRDefault="00CD0355" w:rsidP="00CD0355">
            <w:pPr>
              <w:rPr>
                <w:sz w:val="16"/>
                <w:szCs w:val="16"/>
              </w:rPr>
            </w:pPr>
            <w:r w:rsidRPr="00172E0F">
              <w:rPr>
                <w:sz w:val="16"/>
                <w:szCs w:val="16"/>
              </w:rPr>
              <w:t>Different varieties must be separated and clearly identified</w:t>
            </w:r>
          </w:p>
        </w:tc>
      </w:tr>
      <w:tr w:rsidR="00CD0355" w:rsidRPr="00DB3AA3" w14:paraId="4037FE30" w14:textId="77777777" w:rsidTr="00CD0355">
        <w:trPr>
          <w:cantSplit/>
          <w:jc w:val="center"/>
        </w:trPr>
        <w:tc>
          <w:tcPr>
            <w:tcW w:w="5004" w:type="dxa"/>
            <w:gridSpan w:val="4"/>
            <w:vAlign w:val="center"/>
          </w:tcPr>
          <w:p w14:paraId="5FE07010" w14:textId="77777777" w:rsidR="00CD0355" w:rsidRPr="00EB1DC6" w:rsidRDefault="00CD0355" w:rsidP="00CD0355">
            <w:pPr>
              <w:jc w:val="both"/>
              <w:rPr>
                <w:b/>
                <w:sz w:val="16"/>
                <w:szCs w:val="16"/>
              </w:rPr>
            </w:pPr>
            <w:r w:rsidRPr="00EB1DC6">
              <w:rPr>
                <w:b/>
                <w:sz w:val="16"/>
                <w:szCs w:val="16"/>
              </w:rPr>
              <w:t>Plant Variants:</w:t>
            </w:r>
          </w:p>
        </w:tc>
      </w:tr>
      <w:tr w:rsidR="00CD0355" w:rsidRPr="00DB3AA3" w14:paraId="0D242A77" w14:textId="77777777" w:rsidTr="00CD0355">
        <w:trPr>
          <w:cantSplit/>
          <w:jc w:val="center"/>
        </w:trPr>
        <w:tc>
          <w:tcPr>
            <w:tcW w:w="1413" w:type="dxa"/>
          </w:tcPr>
          <w:p w14:paraId="3F1F5240" w14:textId="77777777" w:rsidR="00CD0355" w:rsidRPr="00172E0F" w:rsidRDefault="00CD0355" w:rsidP="00CD0355">
            <w:pPr>
              <w:jc w:val="both"/>
              <w:rPr>
                <w:sz w:val="16"/>
                <w:szCs w:val="16"/>
              </w:rPr>
            </w:pPr>
            <w:r w:rsidRPr="00172E0F">
              <w:rPr>
                <w:sz w:val="16"/>
                <w:szCs w:val="16"/>
              </w:rPr>
              <w:t xml:space="preserve">Fingerprints </w:t>
            </w:r>
          </w:p>
        </w:tc>
        <w:tc>
          <w:tcPr>
            <w:tcW w:w="1241" w:type="dxa"/>
            <w:vAlign w:val="center"/>
          </w:tcPr>
          <w:p w14:paraId="2FA340C9" w14:textId="77777777" w:rsidR="00CD0355" w:rsidRPr="00172E0F" w:rsidRDefault="00CD0355" w:rsidP="00CD0355">
            <w:pPr>
              <w:jc w:val="both"/>
              <w:rPr>
                <w:sz w:val="16"/>
                <w:szCs w:val="16"/>
              </w:rPr>
            </w:pPr>
            <w:r w:rsidRPr="00172E0F">
              <w:rPr>
                <w:sz w:val="16"/>
                <w:szCs w:val="16"/>
              </w:rPr>
              <w:t>1%</w:t>
            </w:r>
          </w:p>
        </w:tc>
        <w:tc>
          <w:tcPr>
            <w:tcW w:w="1186" w:type="dxa"/>
            <w:vAlign w:val="center"/>
          </w:tcPr>
          <w:p w14:paraId="24F92933" w14:textId="77777777" w:rsidR="00CD0355" w:rsidRPr="00172E0F" w:rsidRDefault="00CD0355" w:rsidP="00CD0355">
            <w:pPr>
              <w:jc w:val="both"/>
              <w:rPr>
                <w:sz w:val="16"/>
                <w:szCs w:val="16"/>
              </w:rPr>
            </w:pPr>
            <w:r w:rsidRPr="00172E0F">
              <w:rPr>
                <w:sz w:val="16"/>
                <w:szCs w:val="16"/>
              </w:rPr>
              <w:t>2%</w:t>
            </w:r>
          </w:p>
        </w:tc>
        <w:tc>
          <w:tcPr>
            <w:tcW w:w="1164" w:type="dxa"/>
            <w:vAlign w:val="center"/>
          </w:tcPr>
          <w:p w14:paraId="05AE5CA0" w14:textId="77777777" w:rsidR="00CD0355" w:rsidRPr="00172E0F" w:rsidRDefault="00CD0355" w:rsidP="00CD0355">
            <w:pPr>
              <w:jc w:val="both"/>
              <w:rPr>
                <w:sz w:val="16"/>
                <w:szCs w:val="16"/>
              </w:rPr>
            </w:pPr>
            <w:r w:rsidRPr="00172E0F">
              <w:rPr>
                <w:sz w:val="16"/>
                <w:szCs w:val="16"/>
              </w:rPr>
              <w:t>Not Applicable</w:t>
            </w:r>
          </w:p>
        </w:tc>
      </w:tr>
      <w:tr w:rsidR="00CD0355" w:rsidRPr="00DB3AA3" w14:paraId="2D218E87" w14:textId="77777777" w:rsidTr="00CD0355">
        <w:trPr>
          <w:cantSplit/>
          <w:jc w:val="center"/>
        </w:trPr>
        <w:tc>
          <w:tcPr>
            <w:tcW w:w="1413" w:type="dxa"/>
          </w:tcPr>
          <w:p w14:paraId="3F7DBD85" w14:textId="77777777" w:rsidR="00CD0355" w:rsidRPr="00172E0F" w:rsidRDefault="00CD0355" w:rsidP="00CD0355">
            <w:pPr>
              <w:jc w:val="both"/>
              <w:rPr>
                <w:sz w:val="16"/>
                <w:szCs w:val="16"/>
              </w:rPr>
            </w:pPr>
            <w:r w:rsidRPr="00172E0F">
              <w:rPr>
                <w:sz w:val="16"/>
                <w:szCs w:val="16"/>
              </w:rPr>
              <w:t>Visual Inspections</w:t>
            </w:r>
          </w:p>
        </w:tc>
        <w:tc>
          <w:tcPr>
            <w:tcW w:w="1241" w:type="dxa"/>
            <w:vAlign w:val="center"/>
          </w:tcPr>
          <w:p w14:paraId="55DC6A30" w14:textId="77777777" w:rsidR="00CD0355" w:rsidRPr="00172E0F" w:rsidRDefault="00CD0355" w:rsidP="00CD0355">
            <w:pPr>
              <w:jc w:val="both"/>
              <w:rPr>
                <w:sz w:val="16"/>
                <w:szCs w:val="16"/>
                <w:vertAlign w:val="superscript"/>
              </w:rPr>
            </w:pPr>
            <w:r w:rsidRPr="00172E0F">
              <w:rPr>
                <w:sz w:val="16"/>
                <w:szCs w:val="16"/>
              </w:rPr>
              <w:t>3 plants per 5,400 ft</w:t>
            </w:r>
            <w:r w:rsidRPr="00172E0F">
              <w:rPr>
                <w:sz w:val="16"/>
                <w:szCs w:val="16"/>
                <w:vertAlign w:val="superscript"/>
              </w:rPr>
              <w:t>2</w:t>
            </w:r>
          </w:p>
        </w:tc>
        <w:tc>
          <w:tcPr>
            <w:tcW w:w="1186" w:type="dxa"/>
            <w:vAlign w:val="center"/>
          </w:tcPr>
          <w:p w14:paraId="03E2893C" w14:textId="77777777" w:rsidR="00CD0355" w:rsidRPr="00172E0F" w:rsidRDefault="00CD0355" w:rsidP="00CD0355">
            <w:pPr>
              <w:jc w:val="both"/>
              <w:rPr>
                <w:sz w:val="16"/>
                <w:szCs w:val="16"/>
                <w:vertAlign w:val="superscript"/>
              </w:rPr>
            </w:pPr>
            <w:r w:rsidRPr="00172E0F">
              <w:rPr>
                <w:sz w:val="16"/>
                <w:szCs w:val="16"/>
              </w:rPr>
              <w:t>5 plants per 5,400 ft</w:t>
            </w:r>
            <w:r w:rsidRPr="00172E0F">
              <w:rPr>
                <w:sz w:val="16"/>
                <w:szCs w:val="16"/>
                <w:vertAlign w:val="superscript"/>
              </w:rPr>
              <w:t>2</w:t>
            </w:r>
          </w:p>
        </w:tc>
        <w:tc>
          <w:tcPr>
            <w:tcW w:w="1164" w:type="dxa"/>
            <w:vAlign w:val="center"/>
          </w:tcPr>
          <w:p w14:paraId="24B77573" w14:textId="77777777" w:rsidR="00CD0355" w:rsidRPr="00172E0F" w:rsidRDefault="00CD0355" w:rsidP="00CD0355">
            <w:pPr>
              <w:jc w:val="both"/>
              <w:rPr>
                <w:sz w:val="16"/>
                <w:szCs w:val="16"/>
                <w:vertAlign w:val="superscript"/>
              </w:rPr>
            </w:pPr>
            <w:r w:rsidRPr="00172E0F">
              <w:rPr>
                <w:sz w:val="16"/>
                <w:szCs w:val="16"/>
              </w:rPr>
              <w:t>10 plants per 5,400ft</w:t>
            </w:r>
            <w:r w:rsidRPr="00172E0F">
              <w:rPr>
                <w:sz w:val="16"/>
                <w:szCs w:val="16"/>
                <w:vertAlign w:val="superscript"/>
              </w:rPr>
              <w:t>2</w:t>
            </w:r>
          </w:p>
        </w:tc>
      </w:tr>
      <w:tr w:rsidR="00CD0355" w:rsidRPr="00DB3AA3" w14:paraId="3096A8C7" w14:textId="77777777" w:rsidTr="00CD0355">
        <w:trPr>
          <w:cantSplit/>
          <w:jc w:val="center"/>
        </w:trPr>
        <w:tc>
          <w:tcPr>
            <w:tcW w:w="1413" w:type="dxa"/>
            <w:vAlign w:val="center"/>
          </w:tcPr>
          <w:p w14:paraId="7B658B09" w14:textId="77777777" w:rsidR="00CD0355" w:rsidRPr="00172E0F" w:rsidRDefault="00CD0355" w:rsidP="00CD0355">
            <w:pPr>
              <w:jc w:val="both"/>
              <w:rPr>
                <w:sz w:val="16"/>
                <w:szCs w:val="16"/>
              </w:rPr>
            </w:pPr>
            <w:r w:rsidRPr="00172E0F">
              <w:rPr>
                <w:sz w:val="16"/>
                <w:szCs w:val="16"/>
              </w:rPr>
              <w:t>Harmful Diseases</w:t>
            </w:r>
            <w:r w:rsidRPr="00172E0F">
              <w:rPr>
                <w:sz w:val="16"/>
                <w:szCs w:val="16"/>
                <w:vertAlign w:val="superscript"/>
              </w:rPr>
              <w:t>(2)</w:t>
            </w:r>
          </w:p>
        </w:tc>
        <w:tc>
          <w:tcPr>
            <w:tcW w:w="1241" w:type="dxa"/>
            <w:vAlign w:val="center"/>
          </w:tcPr>
          <w:p w14:paraId="0193C8BE" w14:textId="77777777" w:rsidR="00CD0355" w:rsidRPr="00172E0F" w:rsidRDefault="00CD0355" w:rsidP="00CD0355">
            <w:pPr>
              <w:jc w:val="both"/>
              <w:rPr>
                <w:sz w:val="16"/>
                <w:szCs w:val="16"/>
              </w:rPr>
            </w:pPr>
            <w:r w:rsidRPr="00172E0F">
              <w:rPr>
                <w:sz w:val="16"/>
                <w:szCs w:val="16"/>
              </w:rPr>
              <w:t>None</w:t>
            </w:r>
          </w:p>
        </w:tc>
        <w:tc>
          <w:tcPr>
            <w:tcW w:w="1186" w:type="dxa"/>
            <w:vAlign w:val="center"/>
          </w:tcPr>
          <w:p w14:paraId="1D88C6DD" w14:textId="77777777" w:rsidR="00CD0355" w:rsidRPr="00172E0F" w:rsidRDefault="00CD0355" w:rsidP="00CD0355">
            <w:pPr>
              <w:jc w:val="both"/>
              <w:rPr>
                <w:sz w:val="16"/>
                <w:szCs w:val="16"/>
              </w:rPr>
            </w:pPr>
            <w:r w:rsidRPr="00172E0F">
              <w:rPr>
                <w:sz w:val="16"/>
                <w:szCs w:val="16"/>
              </w:rPr>
              <w:t>None</w:t>
            </w:r>
          </w:p>
        </w:tc>
        <w:tc>
          <w:tcPr>
            <w:tcW w:w="1164" w:type="dxa"/>
            <w:vAlign w:val="center"/>
          </w:tcPr>
          <w:p w14:paraId="2341DBB6" w14:textId="77777777" w:rsidR="00CD0355" w:rsidRPr="00172E0F" w:rsidRDefault="00CD0355" w:rsidP="00CD0355">
            <w:pPr>
              <w:jc w:val="both"/>
              <w:rPr>
                <w:sz w:val="16"/>
                <w:szCs w:val="16"/>
              </w:rPr>
            </w:pPr>
            <w:r w:rsidRPr="00172E0F">
              <w:rPr>
                <w:sz w:val="16"/>
                <w:szCs w:val="16"/>
              </w:rPr>
              <w:t>None</w:t>
            </w:r>
          </w:p>
        </w:tc>
      </w:tr>
      <w:tr w:rsidR="00CD0355" w:rsidRPr="00DB3AA3" w14:paraId="4BE94A14" w14:textId="77777777" w:rsidTr="00CD0355">
        <w:trPr>
          <w:cantSplit/>
          <w:jc w:val="center"/>
        </w:trPr>
        <w:tc>
          <w:tcPr>
            <w:tcW w:w="1413" w:type="dxa"/>
            <w:vAlign w:val="center"/>
          </w:tcPr>
          <w:p w14:paraId="1ED59959" w14:textId="77777777" w:rsidR="00CD0355" w:rsidRPr="00172E0F" w:rsidRDefault="00CD0355" w:rsidP="00CD0355">
            <w:pPr>
              <w:jc w:val="both"/>
              <w:rPr>
                <w:sz w:val="16"/>
                <w:szCs w:val="16"/>
              </w:rPr>
            </w:pPr>
            <w:r w:rsidRPr="00172E0F">
              <w:rPr>
                <w:sz w:val="16"/>
                <w:szCs w:val="16"/>
              </w:rPr>
              <w:t>Noxious or Objectionable Weeds</w:t>
            </w:r>
            <w:r w:rsidRPr="00172E0F">
              <w:rPr>
                <w:sz w:val="16"/>
                <w:szCs w:val="16"/>
                <w:vertAlign w:val="superscript"/>
              </w:rPr>
              <w:t>(3)</w:t>
            </w:r>
          </w:p>
        </w:tc>
        <w:tc>
          <w:tcPr>
            <w:tcW w:w="1241" w:type="dxa"/>
            <w:vAlign w:val="center"/>
          </w:tcPr>
          <w:p w14:paraId="0368AC43" w14:textId="77777777" w:rsidR="00CD0355" w:rsidRPr="00172E0F" w:rsidRDefault="00CD0355" w:rsidP="00CD0355">
            <w:pPr>
              <w:jc w:val="both"/>
              <w:rPr>
                <w:sz w:val="16"/>
                <w:szCs w:val="16"/>
              </w:rPr>
            </w:pPr>
            <w:r w:rsidRPr="00172E0F">
              <w:rPr>
                <w:sz w:val="16"/>
                <w:szCs w:val="16"/>
              </w:rPr>
              <w:t>None</w:t>
            </w:r>
          </w:p>
        </w:tc>
        <w:tc>
          <w:tcPr>
            <w:tcW w:w="1186" w:type="dxa"/>
            <w:vAlign w:val="center"/>
          </w:tcPr>
          <w:p w14:paraId="61A535A8" w14:textId="77777777" w:rsidR="00CD0355" w:rsidRPr="00172E0F" w:rsidRDefault="00CD0355" w:rsidP="00CD0355">
            <w:pPr>
              <w:jc w:val="both"/>
              <w:rPr>
                <w:sz w:val="16"/>
                <w:szCs w:val="16"/>
              </w:rPr>
            </w:pPr>
            <w:r w:rsidRPr="00172E0F">
              <w:rPr>
                <w:sz w:val="16"/>
                <w:szCs w:val="16"/>
              </w:rPr>
              <w:t>None</w:t>
            </w:r>
          </w:p>
        </w:tc>
        <w:tc>
          <w:tcPr>
            <w:tcW w:w="1164" w:type="dxa"/>
            <w:vAlign w:val="center"/>
          </w:tcPr>
          <w:p w14:paraId="1A084FC7" w14:textId="77777777" w:rsidR="00CD0355" w:rsidRPr="00172E0F" w:rsidRDefault="00CD0355" w:rsidP="00CD0355">
            <w:pPr>
              <w:jc w:val="both"/>
              <w:rPr>
                <w:sz w:val="16"/>
                <w:szCs w:val="16"/>
              </w:rPr>
            </w:pPr>
            <w:r w:rsidRPr="00172E0F">
              <w:rPr>
                <w:sz w:val="16"/>
                <w:szCs w:val="16"/>
              </w:rPr>
              <w:t>≤ 5 plants per 5,400 ft</w:t>
            </w:r>
            <w:r w:rsidRPr="00172E0F">
              <w:rPr>
                <w:sz w:val="16"/>
                <w:szCs w:val="16"/>
                <w:vertAlign w:val="superscript"/>
              </w:rPr>
              <w:t>2</w:t>
            </w:r>
          </w:p>
        </w:tc>
      </w:tr>
      <w:tr w:rsidR="00CD0355" w:rsidRPr="00DB3AA3" w14:paraId="59228EC5" w14:textId="77777777" w:rsidTr="00CD0355">
        <w:trPr>
          <w:cantSplit/>
          <w:jc w:val="center"/>
        </w:trPr>
        <w:tc>
          <w:tcPr>
            <w:tcW w:w="1413" w:type="dxa"/>
            <w:vAlign w:val="center"/>
          </w:tcPr>
          <w:p w14:paraId="4FCBB15D" w14:textId="77777777" w:rsidR="00CD0355" w:rsidRPr="00172E0F" w:rsidRDefault="00CD0355" w:rsidP="00CD0355">
            <w:pPr>
              <w:jc w:val="both"/>
              <w:rPr>
                <w:sz w:val="16"/>
                <w:szCs w:val="16"/>
              </w:rPr>
            </w:pPr>
            <w:r w:rsidRPr="00172E0F">
              <w:rPr>
                <w:sz w:val="16"/>
                <w:szCs w:val="16"/>
              </w:rPr>
              <w:t>Other Crops</w:t>
            </w:r>
            <w:r w:rsidRPr="00172E0F">
              <w:rPr>
                <w:sz w:val="16"/>
                <w:szCs w:val="16"/>
                <w:vertAlign w:val="superscript"/>
              </w:rPr>
              <w:t>(4)</w:t>
            </w:r>
            <w:r w:rsidRPr="00172E0F">
              <w:rPr>
                <w:sz w:val="16"/>
                <w:szCs w:val="16"/>
              </w:rPr>
              <w:t xml:space="preserve"> </w:t>
            </w:r>
          </w:p>
        </w:tc>
        <w:tc>
          <w:tcPr>
            <w:tcW w:w="1241" w:type="dxa"/>
            <w:vAlign w:val="center"/>
          </w:tcPr>
          <w:p w14:paraId="54601D4B" w14:textId="77777777" w:rsidR="00CD0355" w:rsidRPr="00172E0F" w:rsidRDefault="00CD0355" w:rsidP="00CD0355">
            <w:pPr>
              <w:jc w:val="both"/>
              <w:rPr>
                <w:sz w:val="16"/>
                <w:szCs w:val="16"/>
              </w:rPr>
            </w:pPr>
            <w:r w:rsidRPr="00172E0F">
              <w:rPr>
                <w:sz w:val="16"/>
                <w:szCs w:val="16"/>
              </w:rPr>
              <w:t>None</w:t>
            </w:r>
          </w:p>
        </w:tc>
        <w:tc>
          <w:tcPr>
            <w:tcW w:w="1186" w:type="dxa"/>
            <w:vAlign w:val="center"/>
          </w:tcPr>
          <w:p w14:paraId="06509E4A" w14:textId="77777777" w:rsidR="00CD0355" w:rsidRPr="00172E0F" w:rsidRDefault="00CD0355" w:rsidP="00CD0355">
            <w:pPr>
              <w:jc w:val="both"/>
              <w:rPr>
                <w:sz w:val="16"/>
                <w:szCs w:val="16"/>
              </w:rPr>
            </w:pPr>
            <w:r w:rsidRPr="00172E0F">
              <w:rPr>
                <w:sz w:val="16"/>
                <w:szCs w:val="16"/>
              </w:rPr>
              <w:t>None</w:t>
            </w:r>
          </w:p>
        </w:tc>
        <w:tc>
          <w:tcPr>
            <w:tcW w:w="1164" w:type="dxa"/>
            <w:vAlign w:val="center"/>
          </w:tcPr>
          <w:p w14:paraId="5DD540C4" w14:textId="77777777" w:rsidR="00CD0355" w:rsidRPr="00172E0F" w:rsidRDefault="00CD0355" w:rsidP="00CD0355">
            <w:pPr>
              <w:jc w:val="both"/>
              <w:rPr>
                <w:sz w:val="16"/>
                <w:szCs w:val="16"/>
              </w:rPr>
            </w:pPr>
            <w:r w:rsidRPr="00172E0F">
              <w:rPr>
                <w:sz w:val="16"/>
                <w:szCs w:val="16"/>
              </w:rPr>
              <w:t>≤ 5 plants per 5,400 ft</w:t>
            </w:r>
            <w:r w:rsidRPr="00172E0F">
              <w:rPr>
                <w:sz w:val="16"/>
                <w:szCs w:val="16"/>
                <w:vertAlign w:val="superscript"/>
              </w:rPr>
              <w:t>2</w:t>
            </w:r>
          </w:p>
        </w:tc>
      </w:tr>
    </w:tbl>
    <w:p w14:paraId="1DCC072A" w14:textId="77777777" w:rsidR="00CD0355" w:rsidRPr="00EB1DC6" w:rsidRDefault="00CD0355" w:rsidP="00CD0355">
      <w:pPr>
        <w:pStyle w:val="RegDoubleIndent"/>
        <w:rPr>
          <w:rFonts w:ascii="Times New Roman Bold" w:hAnsi="Times New Roman Bold"/>
          <w:sz w:val="16"/>
          <w:szCs w:val="16"/>
        </w:rPr>
      </w:pPr>
      <w:r w:rsidRPr="00EB1DC6">
        <w:rPr>
          <w:sz w:val="16"/>
          <w:szCs w:val="16"/>
        </w:rPr>
        <w:t>(1)</w:t>
      </w:r>
      <w:r w:rsidRPr="00EB1DC6">
        <w:rPr>
          <w:rFonts w:ascii="Times New Roman Bold" w:hAnsi="Times New Roman Bold"/>
          <w:sz w:val="16"/>
          <w:szCs w:val="16"/>
        </w:rPr>
        <w:t xml:space="preserve"> </w:t>
      </w:r>
      <w:r w:rsidRPr="00EB1DC6">
        <w:rPr>
          <w:sz w:val="16"/>
          <w:szCs w:val="16"/>
        </w:rPr>
        <w:t xml:space="preserve">Production unit life from date of transplant. No maximum age for a certified class production unit so long as the unit continues to meet all requirements of this Section. </w:t>
      </w:r>
    </w:p>
    <w:p w14:paraId="373BA9CE" w14:textId="77777777" w:rsidR="00CD0355" w:rsidRPr="00EB1DC6" w:rsidRDefault="00CD0355" w:rsidP="00CD0355">
      <w:pPr>
        <w:pStyle w:val="RegDoubleIndent"/>
        <w:rPr>
          <w:sz w:val="16"/>
          <w:szCs w:val="16"/>
        </w:rPr>
      </w:pPr>
      <w:r w:rsidRPr="00EB1DC6">
        <w:rPr>
          <w:sz w:val="16"/>
          <w:szCs w:val="16"/>
        </w:rPr>
        <w:t>(2) Diseases determined in accordance with the Louisiana Ag Experimental Station and LDAF to seriously affect the quality of seed or vegetatively propagated stock.</w:t>
      </w:r>
    </w:p>
    <w:p w14:paraId="06EE0B9F" w14:textId="77777777" w:rsidR="00CD0355" w:rsidRPr="00EB1DC6" w:rsidRDefault="00CD0355" w:rsidP="00CD0355">
      <w:pPr>
        <w:pStyle w:val="RegDoubleIndent"/>
        <w:rPr>
          <w:sz w:val="16"/>
          <w:szCs w:val="16"/>
        </w:rPr>
      </w:pPr>
      <w:r w:rsidRPr="00EB1DC6">
        <w:rPr>
          <w:sz w:val="16"/>
          <w:szCs w:val="16"/>
        </w:rPr>
        <w:t xml:space="preserve">(3) Including, but not limited to following weed species: </w:t>
      </w:r>
      <w:r w:rsidRPr="00EB1DC6">
        <w:rPr>
          <w:i/>
          <w:sz w:val="16"/>
          <w:szCs w:val="16"/>
        </w:rPr>
        <w:t>Cyperus spp.</w:t>
      </w:r>
      <w:r w:rsidRPr="00EB1DC6">
        <w:rPr>
          <w:sz w:val="16"/>
          <w:szCs w:val="16"/>
        </w:rPr>
        <w:t xml:space="preserve"> (Sedge), </w:t>
      </w:r>
      <w:r w:rsidRPr="00EB1DC6">
        <w:rPr>
          <w:i/>
          <w:sz w:val="16"/>
          <w:szCs w:val="16"/>
        </w:rPr>
        <w:t>Eleocharis</w:t>
      </w:r>
      <w:r w:rsidRPr="00EB1DC6">
        <w:rPr>
          <w:sz w:val="16"/>
          <w:szCs w:val="16"/>
        </w:rPr>
        <w:t xml:space="preserve"> </w:t>
      </w:r>
      <w:r w:rsidRPr="00EB1DC6">
        <w:rPr>
          <w:i/>
          <w:sz w:val="16"/>
          <w:szCs w:val="16"/>
        </w:rPr>
        <w:t>spp</w:t>
      </w:r>
      <w:r w:rsidRPr="00EB1DC6">
        <w:rPr>
          <w:sz w:val="16"/>
          <w:szCs w:val="16"/>
        </w:rPr>
        <w:t>. (Spikerush),</w:t>
      </w:r>
      <w:r>
        <w:rPr>
          <w:sz w:val="16"/>
          <w:szCs w:val="16"/>
        </w:rPr>
        <w:t xml:space="preserve"> </w:t>
      </w:r>
      <w:r w:rsidRPr="00EB1DC6">
        <w:rPr>
          <w:i/>
          <w:sz w:val="16"/>
          <w:szCs w:val="16"/>
        </w:rPr>
        <w:t>Phragmites</w:t>
      </w:r>
      <w:r w:rsidRPr="00EB1DC6">
        <w:rPr>
          <w:sz w:val="16"/>
          <w:szCs w:val="16"/>
        </w:rPr>
        <w:t xml:space="preserve"> </w:t>
      </w:r>
      <w:r w:rsidRPr="00EB1DC6">
        <w:rPr>
          <w:i/>
          <w:sz w:val="16"/>
          <w:szCs w:val="16"/>
        </w:rPr>
        <w:t>australis</w:t>
      </w:r>
      <w:r w:rsidRPr="00EB1DC6">
        <w:rPr>
          <w:sz w:val="16"/>
          <w:szCs w:val="16"/>
        </w:rPr>
        <w:t xml:space="preserve"> (Roseau cane), </w:t>
      </w:r>
      <w:r w:rsidRPr="00EB1DC6">
        <w:rPr>
          <w:i/>
          <w:sz w:val="16"/>
          <w:szCs w:val="16"/>
        </w:rPr>
        <w:t>Typha</w:t>
      </w:r>
      <w:r w:rsidRPr="00EB1DC6">
        <w:rPr>
          <w:sz w:val="16"/>
          <w:szCs w:val="16"/>
        </w:rPr>
        <w:t xml:space="preserve"> </w:t>
      </w:r>
      <w:r w:rsidRPr="00EB1DC6">
        <w:rPr>
          <w:i/>
          <w:sz w:val="16"/>
          <w:szCs w:val="16"/>
        </w:rPr>
        <w:t>spp</w:t>
      </w:r>
      <w:r w:rsidRPr="00EB1DC6">
        <w:rPr>
          <w:sz w:val="16"/>
          <w:szCs w:val="16"/>
        </w:rPr>
        <w:t>. (Cattail).</w:t>
      </w:r>
    </w:p>
    <w:p w14:paraId="754086AF" w14:textId="77777777" w:rsidR="00CD0355" w:rsidRDefault="00CD0355" w:rsidP="00CD0355">
      <w:pPr>
        <w:pStyle w:val="RegDoubleIndent"/>
        <w:rPr>
          <w:sz w:val="16"/>
          <w:szCs w:val="16"/>
        </w:rPr>
      </w:pPr>
      <w:r w:rsidRPr="00EB1DC6">
        <w:rPr>
          <w:sz w:val="16"/>
          <w:szCs w:val="16"/>
        </w:rPr>
        <w:t xml:space="preserve">(4) Including, but not limited to the following crop species: </w:t>
      </w:r>
      <w:r w:rsidRPr="00EB1DC6">
        <w:rPr>
          <w:i/>
          <w:sz w:val="16"/>
          <w:szCs w:val="16"/>
        </w:rPr>
        <w:t>Spartina</w:t>
      </w:r>
      <w:r w:rsidRPr="00EB1DC6">
        <w:rPr>
          <w:sz w:val="16"/>
          <w:szCs w:val="16"/>
        </w:rPr>
        <w:t xml:space="preserve"> </w:t>
      </w:r>
      <w:r w:rsidRPr="00EB1DC6">
        <w:rPr>
          <w:i/>
          <w:sz w:val="16"/>
          <w:szCs w:val="16"/>
        </w:rPr>
        <w:t>alterniflora</w:t>
      </w:r>
      <w:r w:rsidRPr="00EB1DC6">
        <w:rPr>
          <w:sz w:val="16"/>
          <w:szCs w:val="16"/>
        </w:rPr>
        <w:t xml:space="preserve"> (Smooth cordgrass), </w:t>
      </w:r>
      <w:r w:rsidRPr="00EB1DC6">
        <w:rPr>
          <w:i/>
          <w:sz w:val="16"/>
          <w:szCs w:val="16"/>
        </w:rPr>
        <w:t>Spartina</w:t>
      </w:r>
      <w:r w:rsidRPr="00EB1DC6">
        <w:rPr>
          <w:sz w:val="16"/>
          <w:szCs w:val="16"/>
        </w:rPr>
        <w:t xml:space="preserve"> </w:t>
      </w:r>
      <w:r w:rsidRPr="00EB1DC6">
        <w:rPr>
          <w:i/>
          <w:sz w:val="16"/>
          <w:szCs w:val="16"/>
        </w:rPr>
        <w:t>patens</w:t>
      </w:r>
      <w:r w:rsidRPr="00EB1DC6">
        <w:rPr>
          <w:sz w:val="16"/>
          <w:szCs w:val="16"/>
        </w:rPr>
        <w:t xml:space="preserve"> (Marshhay cordgrass), </w:t>
      </w:r>
      <w:r w:rsidRPr="00EB1DC6">
        <w:rPr>
          <w:i/>
          <w:sz w:val="16"/>
          <w:szCs w:val="16"/>
        </w:rPr>
        <w:t>Spartina</w:t>
      </w:r>
      <w:r w:rsidRPr="00EB1DC6">
        <w:rPr>
          <w:sz w:val="16"/>
          <w:szCs w:val="16"/>
        </w:rPr>
        <w:t xml:space="preserve"> </w:t>
      </w:r>
      <w:r w:rsidRPr="00EB1DC6">
        <w:rPr>
          <w:i/>
          <w:sz w:val="16"/>
          <w:szCs w:val="16"/>
        </w:rPr>
        <w:t>cynosuroides</w:t>
      </w:r>
      <w:r w:rsidRPr="00EB1DC6">
        <w:rPr>
          <w:sz w:val="16"/>
          <w:szCs w:val="16"/>
        </w:rPr>
        <w:t xml:space="preserve"> (Big cordgrass), </w:t>
      </w:r>
      <w:r w:rsidRPr="00EB1DC6">
        <w:rPr>
          <w:i/>
          <w:sz w:val="16"/>
          <w:szCs w:val="16"/>
        </w:rPr>
        <w:t>Spartina</w:t>
      </w:r>
      <w:r w:rsidRPr="00EB1DC6">
        <w:rPr>
          <w:sz w:val="16"/>
          <w:szCs w:val="16"/>
        </w:rPr>
        <w:t xml:space="preserve"> </w:t>
      </w:r>
      <w:r w:rsidRPr="00EB1DC6">
        <w:rPr>
          <w:i/>
          <w:sz w:val="16"/>
          <w:szCs w:val="16"/>
        </w:rPr>
        <w:t>spartinae</w:t>
      </w:r>
      <w:r w:rsidRPr="00EB1DC6">
        <w:rPr>
          <w:sz w:val="16"/>
          <w:szCs w:val="16"/>
        </w:rPr>
        <w:t xml:space="preserve"> (Gulf cordgrass), </w:t>
      </w:r>
      <w:r w:rsidRPr="00EB1DC6">
        <w:rPr>
          <w:i/>
          <w:sz w:val="16"/>
          <w:szCs w:val="16"/>
        </w:rPr>
        <w:t>Distichlis</w:t>
      </w:r>
      <w:r w:rsidRPr="00EB1DC6">
        <w:rPr>
          <w:sz w:val="16"/>
          <w:szCs w:val="16"/>
        </w:rPr>
        <w:t xml:space="preserve"> </w:t>
      </w:r>
      <w:r w:rsidRPr="00EB1DC6">
        <w:rPr>
          <w:i/>
          <w:sz w:val="16"/>
          <w:szCs w:val="16"/>
        </w:rPr>
        <w:t>spicata</w:t>
      </w:r>
      <w:r w:rsidRPr="00EB1DC6">
        <w:rPr>
          <w:sz w:val="16"/>
          <w:szCs w:val="16"/>
        </w:rPr>
        <w:t xml:space="preserve"> (Saltgrass), </w:t>
      </w:r>
      <w:r w:rsidRPr="00EB1DC6">
        <w:rPr>
          <w:i/>
          <w:sz w:val="16"/>
          <w:szCs w:val="16"/>
        </w:rPr>
        <w:t>Paspalum</w:t>
      </w:r>
      <w:r w:rsidRPr="00EB1DC6">
        <w:rPr>
          <w:sz w:val="16"/>
          <w:szCs w:val="16"/>
        </w:rPr>
        <w:t xml:space="preserve"> </w:t>
      </w:r>
      <w:r w:rsidRPr="00EB1DC6">
        <w:rPr>
          <w:i/>
          <w:sz w:val="16"/>
          <w:szCs w:val="16"/>
        </w:rPr>
        <w:t>vaginatum</w:t>
      </w:r>
      <w:r w:rsidRPr="00EB1DC6">
        <w:rPr>
          <w:sz w:val="16"/>
          <w:szCs w:val="16"/>
        </w:rPr>
        <w:t xml:space="preserve"> (Seashore paspalum).</w:t>
      </w:r>
    </w:p>
    <w:p w14:paraId="477BE30E" w14:textId="77777777" w:rsidR="00CD0355" w:rsidRPr="00EB1DC6" w:rsidRDefault="00CD0355" w:rsidP="00CD0355">
      <w:pPr>
        <w:pStyle w:val="A"/>
        <w:spacing w:after="0"/>
      </w:pPr>
    </w:p>
    <w:p w14:paraId="76C2771C" w14:textId="77777777" w:rsidR="00CD0355" w:rsidRPr="001531CD" w:rsidRDefault="00CD0355" w:rsidP="00CD0355">
      <w:pPr>
        <w:pStyle w:val="AuthorityNote"/>
      </w:pPr>
      <w:r w:rsidRPr="00D55B14">
        <w:t>AUTHORITY NOTE:</w:t>
      </w:r>
      <w:r w:rsidRPr="00D55B14">
        <w:tab/>
        <w:t>Promulgated in accordance with R.S. 3:1433.</w:t>
      </w:r>
    </w:p>
    <w:p w14:paraId="1D606403"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37:2980 (October 2011), LR 39:1759 (July 2013), repromulgated by the Department of Agriculture and Forestry, Office of Agricultural and Environmental Sciences, Agricultural Chemistry and Seed Commis</w:t>
      </w:r>
      <w:r>
        <w:t>sion, LR 39:2717 (October 2013), amended LR 40:751 (April 2014).</w:t>
      </w:r>
    </w:p>
    <w:p w14:paraId="15E97DDE" w14:textId="77777777" w:rsidR="00CD0355" w:rsidRPr="001531CD" w:rsidRDefault="00CD0355" w:rsidP="00CD0355">
      <w:pPr>
        <w:pStyle w:val="Section"/>
      </w:pPr>
      <w:bookmarkStart w:id="1132" w:name="_Toc224818802"/>
      <w:r w:rsidRPr="001531CD">
        <w:t>§717.</w:t>
      </w:r>
      <w:r w:rsidRPr="001531CD">
        <w:tab/>
        <w:t>Sea Oats (</w:t>
      </w:r>
      <w:r w:rsidRPr="001531CD">
        <w:rPr>
          <w:i/>
        </w:rPr>
        <w:t>Uniola paniculata</w:t>
      </w:r>
      <w:r w:rsidRPr="001531CD">
        <w:t>) Clonally Propagate</w:t>
      </w:r>
      <w:r>
        <w:t>d Plant Certification Standards</w:t>
      </w:r>
      <w:bookmarkEnd w:id="1132"/>
      <w:r>
        <w:t xml:space="preserve"> </w:t>
      </w:r>
    </w:p>
    <w:p w14:paraId="398E58A8" w14:textId="77777777" w:rsidR="00CD0355" w:rsidRPr="00D55B14" w:rsidRDefault="00CD0355" w:rsidP="00CD0355">
      <w:pPr>
        <w:pStyle w:val="A"/>
      </w:pPr>
      <w:r w:rsidRPr="00D55B14">
        <w:t>A.</w:t>
      </w:r>
      <w:r w:rsidRPr="00D55B14">
        <w:tab/>
        <w:t xml:space="preserve">LDAF shall issue numbered certified bulk sales certificates or tags when requested to do so by a grower who has met the requirements and standards set forth in this Section. The numbered certified certificates shall accompany each shipment of certified vegetatively propagated stock. </w:t>
      </w:r>
    </w:p>
    <w:p w14:paraId="24EC08EA" w14:textId="77777777" w:rsidR="00CD0355" w:rsidRPr="00D55B14" w:rsidRDefault="00CD0355" w:rsidP="00CD0355">
      <w:pPr>
        <w:pStyle w:val="A"/>
      </w:pPr>
      <w:r w:rsidRPr="00D55B14">
        <w:t>B.</w:t>
      </w:r>
      <w:r w:rsidRPr="00D55B14">
        <w:tab/>
        <w:t xml:space="preserve">Production Requirements. To be eligible for the production of all certified classes, plots and containers/tanks shall be left undisturbed for a minimum of </w:t>
      </w:r>
      <w:r>
        <w:t>four</w:t>
      </w:r>
      <w:r w:rsidRPr="00D55B14">
        <w:t xml:space="preserve"> weeks prior to planting, and found to be free of sea oats and noxious and objectionable weeds.</w:t>
      </w:r>
    </w:p>
    <w:p w14:paraId="0E1EB15B" w14:textId="77777777" w:rsidR="00CD0355" w:rsidRPr="00D55B14" w:rsidRDefault="00CD0355" w:rsidP="00CD0355">
      <w:pPr>
        <w:pStyle w:val="1"/>
      </w:pPr>
      <w:r>
        <w:t>1.</w:t>
      </w:r>
      <w:r>
        <w:tab/>
      </w:r>
      <w:r w:rsidRPr="00D55B14">
        <w:t>Plot Requirements</w:t>
      </w:r>
    </w:p>
    <w:p w14:paraId="4A86BA50" w14:textId="77777777" w:rsidR="00CD0355" w:rsidRPr="00D55B14" w:rsidRDefault="00CD0355" w:rsidP="00CD0355">
      <w:pPr>
        <w:pStyle w:val="a0"/>
      </w:pPr>
      <w:r>
        <w:t>a.</w:t>
      </w:r>
      <w:r>
        <w:tab/>
      </w:r>
      <w:r w:rsidRPr="00D55B14">
        <w:t>Only one variety of sea oats shall be grown per plot.</w:t>
      </w:r>
    </w:p>
    <w:p w14:paraId="2DA66921" w14:textId="77777777" w:rsidR="00CD0355" w:rsidRPr="00D55B14" w:rsidRDefault="00CD0355" w:rsidP="00CD0355">
      <w:pPr>
        <w:pStyle w:val="a0"/>
        <w:rPr>
          <w:strike/>
        </w:rPr>
      </w:pPr>
      <w:r>
        <w:t>b.</w:t>
      </w:r>
      <w:r>
        <w:tab/>
      </w:r>
      <w:r w:rsidRPr="00D55B14">
        <w:t xml:space="preserve">Plots of different varieties must meet the minimum isolation distance at all points. </w:t>
      </w:r>
    </w:p>
    <w:p w14:paraId="641BD733" w14:textId="77777777" w:rsidR="00CD0355" w:rsidRPr="00D55B14" w:rsidRDefault="00CD0355" w:rsidP="00CD0355">
      <w:pPr>
        <w:pStyle w:val="a0"/>
      </w:pPr>
      <w:r>
        <w:t>c.</w:t>
      </w:r>
      <w:r>
        <w:tab/>
      </w:r>
      <w:r w:rsidRPr="00D55B14">
        <w:t xml:space="preserve">All seed heads shall be routinely removed from plants after flowering begins to ensure viable seed are not produced. </w:t>
      </w:r>
    </w:p>
    <w:p w14:paraId="1B1BB2EB" w14:textId="77777777" w:rsidR="00CD0355" w:rsidRPr="00D55B14" w:rsidRDefault="00CD0355" w:rsidP="00CD0355">
      <w:pPr>
        <w:pStyle w:val="1"/>
      </w:pPr>
      <w:r>
        <w:t>2.</w:t>
      </w:r>
      <w:r>
        <w:tab/>
      </w:r>
      <w:r w:rsidRPr="00D55B14">
        <w:t>Container/Tank Requirements</w:t>
      </w:r>
    </w:p>
    <w:p w14:paraId="10ABB0B9" w14:textId="77777777" w:rsidR="00CD0355" w:rsidRPr="00D55B14" w:rsidRDefault="00CD0355" w:rsidP="00CD0355">
      <w:pPr>
        <w:pStyle w:val="a0"/>
      </w:pPr>
      <w:r>
        <w:lastRenderedPageBreak/>
        <w:t>a.</w:t>
      </w:r>
      <w:r>
        <w:tab/>
      </w:r>
      <w:r w:rsidRPr="00D55B14">
        <w:t xml:space="preserve">Soil used for container/ tank production shall: </w:t>
      </w:r>
    </w:p>
    <w:p w14:paraId="25A76A66" w14:textId="77777777" w:rsidR="00CD0355" w:rsidRPr="00D55B14" w:rsidRDefault="00CD0355" w:rsidP="00CD0355">
      <w:pPr>
        <w:pStyle w:val="i0"/>
      </w:pPr>
      <w:r>
        <w:tab/>
        <w:t>i.</w:t>
      </w:r>
      <w:r>
        <w:tab/>
      </w:r>
      <w:r w:rsidRPr="00D55B14">
        <w:t>come from an area that has not produced sea oats for</w:t>
      </w:r>
      <w:r w:rsidRPr="00D55B14">
        <w:tab/>
        <w:t>a minimum of one year</w:t>
      </w:r>
    </w:p>
    <w:p w14:paraId="22A97F95" w14:textId="77777777" w:rsidR="00CD0355" w:rsidRPr="00D55B14" w:rsidRDefault="00CD0355" w:rsidP="00CD0355">
      <w:pPr>
        <w:pStyle w:val="i0"/>
      </w:pPr>
      <w:r>
        <w:tab/>
        <w:t>ii.</w:t>
      </w:r>
      <w:r>
        <w:tab/>
      </w:r>
      <w:r w:rsidRPr="00D55B14">
        <w:t>be free of visible sea oats rhizomes and stems prior to transplanting.</w:t>
      </w:r>
    </w:p>
    <w:p w14:paraId="5B903744" w14:textId="77777777" w:rsidR="00CD0355" w:rsidRPr="00D55B14" w:rsidRDefault="00CD0355" w:rsidP="00CD0355">
      <w:pPr>
        <w:pStyle w:val="a0"/>
      </w:pPr>
      <w:r>
        <w:t>b.</w:t>
      </w:r>
      <w:r>
        <w:tab/>
      </w:r>
      <w:r w:rsidRPr="00D55B14">
        <w:t>Only one variety of sea oats shal</w:t>
      </w:r>
      <w:r>
        <w:t>l be grown per production tank.</w:t>
      </w:r>
    </w:p>
    <w:p w14:paraId="46A51820" w14:textId="77777777" w:rsidR="00CD0355" w:rsidRPr="00D55B14" w:rsidRDefault="00CD0355" w:rsidP="00CD0355">
      <w:pPr>
        <w:pStyle w:val="a0"/>
      </w:pPr>
      <w:r>
        <w:t>c.</w:t>
      </w:r>
      <w:r>
        <w:tab/>
      </w:r>
      <w:r w:rsidRPr="00D55B14">
        <w:t xml:space="preserve">Different varieties shall be grown in separate tanks units unless individual varieties are separated by solid sided partition that will not allow rhizomes or stem material to spread between or within tank units. </w:t>
      </w:r>
    </w:p>
    <w:p w14:paraId="469B5718" w14:textId="77777777" w:rsidR="00CD0355" w:rsidRPr="00D55B14" w:rsidRDefault="00CD0355" w:rsidP="00CD0355">
      <w:pPr>
        <w:pStyle w:val="a0"/>
      </w:pPr>
      <w:r>
        <w:t>d.</w:t>
      </w:r>
      <w:r>
        <w:tab/>
      </w:r>
      <w:r w:rsidRPr="00D55B14">
        <w:t>All seed heads shall be routinely</w:t>
      </w:r>
      <w:r w:rsidRPr="00D55B14">
        <w:rPr>
          <w:color w:val="FF0000"/>
        </w:rPr>
        <w:t xml:space="preserve"> </w:t>
      </w:r>
      <w:r w:rsidRPr="00D55B14">
        <w:t xml:space="preserve">removed from plants after flowering begin to ensure viable seed are not produced. </w:t>
      </w:r>
    </w:p>
    <w:p w14:paraId="50691AE5" w14:textId="77777777" w:rsidR="00CD0355" w:rsidRPr="00D55B14" w:rsidRDefault="00CD0355" w:rsidP="00CD0355">
      <w:pPr>
        <w:pStyle w:val="A"/>
        <w:rPr>
          <w:sz w:val="16"/>
          <w:szCs w:val="16"/>
        </w:rPr>
      </w:pPr>
      <w:r w:rsidRPr="00D55B14">
        <w:t>C.</w:t>
      </w:r>
      <w:r w:rsidRPr="00D55B14">
        <w:tab/>
        <w:t>Grower Inspections</w:t>
      </w:r>
      <w:r>
        <w:t xml:space="preserve">. </w:t>
      </w:r>
      <w:r w:rsidRPr="00D55B14">
        <w:t xml:space="preserve">Plots and containers shall be routinely inspected by grower to ensure that all requirements of this Section are being met. </w:t>
      </w:r>
    </w:p>
    <w:p w14:paraId="6B39A199" w14:textId="77777777" w:rsidR="00CD0355" w:rsidRPr="00D55B14" w:rsidRDefault="00CD0355" w:rsidP="00CD0355">
      <w:pPr>
        <w:pStyle w:val="A"/>
      </w:pPr>
      <w:r>
        <w:t>D.</w:t>
      </w:r>
      <w:r>
        <w:tab/>
        <w:t xml:space="preserve">LDAF Inspections. </w:t>
      </w:r>
      <w:r w:rsidRPr="00D55B14">
        <w:t>Production plots and containers/tanks shall be made accessible for inspection by the grower.</w:t>
      </w:r>
    </w:p>
    <w:p w14:paraId="1CF965B1" w14:textId="77777777" w:rsidR="00CD0355" w:rsidRPr="00D55B14" w:rsidRDefault="00CD0355" w:rsidP="00CD0355">
      <w:pPr>
        <w:pStyle w:val="1"/>
      </w:pPr>
      <w:r w:rsidRPr="00D55B14">
        <w:t>1.</w:t>
      </w:r>
      <w:r w:rsidRPr="00D55B14">
        <w:tab/>
        <w:t>Plots and containers/tanks shall be inspected by LDAF within four weeks prior to transplanting to ensure they are free of volunteer sea oat plants and n</w:t>
      </w:r>
      <w:r>
        <w:t>oxious and objectionable weeds.</w:t>
      </w:r>
    </w:p>
    <w:p w14:paraId="26BEFB90" w14:textId="77777777" w:rsidR="00CD0355" w:rsidRPr="00D55B14" w:rsidRDefault="00CD0355" w:rsidP="00CD0355">
      <w:pPr>
        <w:pStyle w:val="1"/>
      </w:pPr>
      <w:r>
        <w:t>2.</w:t>
      </w:r>
      <w:r>
        <w:tab/>
      </w:r>
      <w:r w:rsidRPr="00D55B14">
        <w:t>Plots and containers shall be inspected by LDAF inspectors a minimum of once a year, after transplanting, to ensure that all requirements of this Section are being met.</w:t>
      </w:r>
    </w:p>
    <w:p w14:paraId="07C58900" w14:textId="77777777" w:rsidR="00CD0355" w:rsidRPr="00D55B14" w:rsidRDefault="00CD0355" w:rsidP="00CD0355">
      <w:pPr>
        <w:pStyle w:val="1"/>
        <w:rPr>
          <w:sz w:val="12"/>
          <w:szCs w:val="12"/>
        </w:rPr>
      </w:pPr>
      <w:r>
        <w:t>3.</w:t>
      </w:r>
      <w:r>
        <w:tab/>
      </w:r>
      <w:r w:rsidRPr="00D55B14">
        <w:t xml:space="preserve">Additional inspections may be performed at the discretion of LDAF at any time without prior notice. </w:t>
      </w:r>
    </w:p>
    <w:p w14:paraId="402575A1" w14:textId="77777777" w:rsidR="00CD0355" w:rsidRDefault="00CD0355" w:rsidP="00CD0355">
      <w:pPr>
        <w:pStyle w:val="A"/>
      </w:pPr>
      <w:r w:rsidRPr="00D55B14">
        <w:t>E.</w:t>
      </w:r>
      <w:r w:rsidRPr="00D55B14">
        <w:tab/>
        <w:t>Field Standards</w:t>
      </w:r>
      <w:r>
        <w:sym w:font="Symbol" w:char="F0BE"/>
      </w:r>
      <w:r w:rsidRPr="00D55B14">
        <w:t>Production Plots/Containers/Tanks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418"/>
        <w:gridCol w:w="1206"/>
        <w:gridCol w:w="1108"/>
        <w:gridCol w:w="1118"/>
      </w:tblGrid>
      <w:tr w:rsidR="00CD0355" w:rsidRPr="00DB3AA3" w14:paraId="508A9165" w14:textId="77777777" w:rsidTr="00CD0355">
        <w:trPr>
          <w:cantSplit/>
          <w:jc w:val="center"/>
        </w:trPr>
        <w:tc>
          <w:tcPr>
            <w:tcW w:w="1469" w:type="dxa"/>
            <w:tcBorders>
              <w:top w:val="double" w:sz="6" w:space="0" w:color="auto"/>
              <w:bottom w:val="single" w:sz="6" w:space="0" w:color="auto"/>
            </w:tcBorders>
            <w:shd w:val="clear" w:color="auto" w:fill="BFBFBF"/>
          </w:tcPr>
          <w:p w14:paraId="781E76E7" w14:textId="77777777" w:rsidR="00CD0355" w:rsidRPr="00EB1DC6" w:rsidRDefault="00CD0355" w:rsidP="00CD0355">
            <w:pPr>
              <w:keepNext/>
              <w:jc w:val="both"/>
              <w:rPr>
                <w:b/>
                <w:sz w:val="16"/>
                <w:szCs w:val="16"/>
              </w:rPr>
            </w:pPr>
            <w:r w:rsidRPr="00EB1DC6">
              <w:rPr>
                <w:b/>
                <w:sz w:val="16"/>
                <w:szCs w:val="16"/>
              </w:rPr>
              <w:t>Factor</w:t>
            </w:r>
          </w:p>
        </w:tc>
        <w:tc>
          <w:tcPr>
            <w:tcW w:w="1239" w:type="dxa"/>
            <w:tcBorders>
              <w:top w:val="double" w:sz="6" w:space="0" w:color="auto"/>
              <w:bottom w:val="single" w:sz="6" w:space="0" w:color="auto"/>
            </w:tcBorders>
            <w:shd w:val="clear" w:color="auto" w:fill="BFBFBF"/>
            <w:vAlign w:val="bottom"/>
          </w:tcPr>
          <w:p w14:paraId="43C47ED1" w14:textId="77777777" w:rsidR="00CD0355" w:rsidRPr="00EB1DC6" w:rsidRDefault="00CD0355" w:rsidP="00CD0355">
            <w:pPr>
              <w:keepNext/>
              <w:jc w:val="both"/>
              <w:rPr>
                <w:b/>
                <w:sz w:val="16"/>
                <w:szCs w:val="16"/>
              </w:rPr>
            </w:pPr>
            <w:r w:rsidRPr="00EB1DC6">
              <w:rPr>
                <w:b/>
                <w:sz w:val="16"/>
                <w:szCs w:val="16"/>
              </w:rPr>
              <w:t>Foundation</w:t>
            </w:r>
          </w:p>
        </w:tc>
        <w:tc>
          <w:tcPr>
            <w:tcW w:w="1135" w:type="dxa"/>
            <w:tcBorders>
              <w:top w:val="double" w:sz="6" w:space="0" w:color="auto"/>
              <w:bottom w:val="single" w:sz="6" w:space="0" w:color="auto"/>
            </w:tcBorders>
            <w:shd w:val="clear" w:color="auto" w:fill="BFBFBF"/>
            <w:vAlign w:val="bottom"/>
          </w:tcPr>
          <w:p w14:paraId="6441FE5A" w14:textId="77777777" w:rsidR="00CD0355" w:rsidRPr="00EB1DC6" w:rsidRDefault="00CD0355" w:rsidP="00CD0355">
            <w:pPr>
              <w:keepNext/>
              <w:jc w:val="both"/>
              <w:rPr>
                <w:b/>
                <w:sz w:val="16"/>
                <w:szCs w:val="16"/>
              </w:rPr>
            </w:pPr>
            <w:r w:rsidRPr="00EB1DC6">
              <w:rPr>
                <w:b/>
                <w:sz w:val="16"/>
                <w:szCs w:val="16"/>
              </w:rPr>
              <w:t>Registered</w:t>
            </w:r>
          </w:p>
        </w:tc>
        <w:tc>
          <w:tcPr>
            <w:tcW w:w="1161" w:type="dxa"/>
            <w:tcBorders>
              <w:top w:val="double" w:sz="6" w:space="0" w:color="auto"/>
              <w:bottom w:val="single" w:sz="6" w:space="0" w:color="auto"/>
            </w:tcBorders>
            <w:shd w:val="clear" w:color="auto" w:fill="BFBFBF"/>
            <w:vAlign w:val="bottom"/>
          </w:tcPr>
          <w:p w14:paraId="52C7A826" w14:textId="77777777" w:rsidR="00CD0355" w:rsidRPr="00EB1DC6" w:rsidRDefault="00CD0355" w:rsidP="00CD0355">
            <w:pPr>
              <w:keepNext/>
              <w:jc w:val="both"/>
              <w:rPr>
                <w:b/>
                <w:sz w:val="16"/>
                <w:szCs w:val="16"/>
              </w:rPr>
            </w:pPr>
            <w:r w:rsidRPr="00EB1DC6">
              <w:rPr>
                <w:b/>
                <w:sz w:val="16"/>
                <w:szCs w:val="16"/>
              </w:rPr>
              <w:t>Certified</w:t>
            </w:r>
          </w:p>
        </w:tc>
      </w:tr>
      <w:tr w:rsidR="00CD0355" w:rsidRPr="00DB3AA3" w14:paraId="63846374" w14:textId="77777777" w:rsidTr="00CD0355">
        <w:trPr>
          <w:cantSplit/>
          <w:jc w:val="center"/>
        </w:trPr>
        <w:tc>
          <w:tcPr>
            <w:tcW w:w="1469" w:type="dxa"/>
            <w:tcBorders>
              <w:top w:val="single" w:sz="6" w:space="0" w:color="auto"/>
            </w:tcBorders>
          </w:tcPr>
          <w:p w14:paraId="6EF8B67E" w14:textId="77777777" w:rsidR="00CD0355" w:rsidRPr="00EB1DC6" w:rsidRDefault="00CD0355" w:rsidP="00CD0355">
            <w:pPr>
              <w:jc w:val="both"/>
              <w:rPr>
                <w:sz w:val="16"/>
                <w:szCs w:val="16"/>
              </w:rPr>
            </w:pPr>
            <w:r w:rsidRPr="00EB1DC6">
              <w:rPr>
                <w:sz w:val="16"/>
                <w:szCs w:val="16"/>
              </w:rPr>
              <w:t>Maximum Unit Life</w:t>
            </w:r>
            <w:r w:rsidRPr="00EB1DC6">
              <w:rPr>
                <w:sz w:val="16"/>
                <w:szCs w:val="16"/>
                <w:vertAlign w:val="superscript"/>
              </w:rPr>
              <w:t>(1)</w:t>
            </w:r>
            <w:r w:rsidRPr="00EB1DC6">
              <w:rPr>
                <w:sz w:val="16"/>
                <w:szCs w:val="16"/>
              </w:rPr>
              <w:t xml:space="preserve"> </w:t>
            </w:r>
          </w:p>
        </w:tc>
        <w:tc>
          <w:tcPr>
            <w:tcW w:w="1239" w:type="dxa"/>
            <w:tcBorders>
              <w:top w:val="single" w:sz="6" w:space="0" w:color="auto"/>
            </w:tcBorders>
            <w:vAlign w:val="bottom"/>
          </w:tcPr>
          <w:p w14:paraId="567DE1B4" w14:textId="77777777" w:rsidR="00CD0355" w:rsidRPr="00EB1DC6" w:rsidRDefault="00CD0355" w:rsidP="00CD0355">
            <w:pPr>
              <w:jc w:val="both"/>
              <w:rPr>
                <w:sz w:val="16"/>
                <w:szCs w:val="16"/>
              </w:rPr>
            </w:pPr>
            <w:r w:rsidRPr="00EB1DC6">
              <w:rPr>
                <w:sz w:val="16"/>
                <w:szCs w:val="16"/>
              </w:rPr>
              <w:t>4 years</w:t>
            </w:r>
          </w:p>
        </w:tc>
        <w:tc>
          <w:tcPr>
            <w:tcW w:w="1135" w:type="dxa"/>
            <w:tcBorders>
              <w:top w:val="single" w:sz="6" w:space="0" w:color="auto"/>
            </w:tcBorders>
            <w:vAlign w:val="bottom"/>
          </w:tcPr>
          <w:p w14:paraId="36489FD1" w14:textId="77777777" w:rsidR="00CD0355" w:rsidRPr="00EB1DC6" w:rsidRDefault="00CD0355" w:rsidP="00CD0355">
            <w:pPr>
              <w:jc w:val="both"/>
              <w:rPr>
                <w:sz w:val="16"/>
                <w:szCs w:val="16"/>
              </w:rPr>
            </w:pPr>
            <w:r w:rsidRPr="00EB1DC6">
              <w:rPr>
                <w:sz w:val="16"/>
                <w:szCs w:val="16"/>
              </w:rPr>
              <w:t>6 years</w:t>
            </w:r>
          </w:p>
        </w:tc>
        <w:tc>
          <w:tcPr>
            <w:tcW w:w="1161" w:type="dxa"/>
            <w:tcBorders>
              <w:top w:val="single" w:sz="6" w:space="0" w:color="auto"/>
            </w:tcBorders>
            <w:vAlign w:val="bottom"/>
          </w:tcPr>
          <w:p w14:paraId="1B27DE35" w14:textId="77777777" w:rsidR="00CD0355" w:rsidRPr="00EB1DC6" w:rsidRDefault="00CD0355" w:rsidP="00CD0355">
            <w:pPr>
              <w:jc w:val="both"/>
              <w:rPr>
                <w:sz w:val="16"/>
                <w:szCs w:val="16"/>
              </w:rPr>
            </w:pPr>
            <w:r w:rsidRPr="00EB1DC6">
              <w:rPr>
                <w:sz w:val="16"/>
                <w:szCs w:val="16"/>
              </w:rPr>
              <w:t>Unlimited</w:t>
            </w:r>
          </w:p>
        </w:tc>
      </w:tr>
      <w:tr w:rsidR="00CD0355" w:rsidRPr="00DB3AA3" w14:paraId="3FA2B740" w14:textId="77777777" w:rsidTr="00CD0355">
        <w:trPr>
          <w:cantSplit/>
          <w:jc w:val="center"/>
        </w:trPr>
        <w:tc>
          <w:tcPr>
            <w:tcW w:w="1469" w:type="dxa"/>
          </w:tcPr>
          <w:p w14:paraId="68E84EED" w14:textId="77777777" w:rsidR="00CD0355" w:rsidRPr="00EB1DC6" w:rsidRDefault="00CD0355" w:rsidP="00CD0355">
            <w:pPr>
              <w:jc w:val="both"/>
              <w:rPr>
                <w:sz w:val="16"/>
                <w:szCs w:val="16"/>
              </w:rPr>
            </w:pPr>
            <w:r w:rsidRPr="00EB1DC6">
              <w:rPr>
                <w:sz w:val="16"/>
                <w:szCs w:val="16"/>
              </w:rPr>
              <w:t>Land Requirements</w:t>
            </w:r>
          </w:p>
        </w:tc>
        <w:tc>
          <w:tcPr>
            <w:tcW w:w="1239" w:type="dxa"/>
            <w:vAlign w:val="bottom"/>
          </w:tcPr>
          <w:p w14:paraId="3328C89E" w14:textId="77777777" w:rsidR="00CD0355" w:rsidRPr="00EB1DC6" w:rsidRDefault="00CD0355" w:rsidP="00CD0355">
            <w:pPr>
              <w:jc w:val="both"/>
              <w:rPr>
                <w:sz w:val="16"/>
                <w:szCs w:val="16"/>
              </w:rPr>
            </w:pPr>
            <w:r w:rsidRPr="00EB1DC6">
              <w:rPr>
                <w:sz w:val="16"/>
                <w:szCs w:val="16"/>
              </w:rPr>
              <w:t>1 year</w:t>
            </w:r>
          </w:p>
        </w:tc>
        <w:tc>
          <w:tcPr>
            <w:tcW w:w="1135" w:type="dxa"/>
            <w:vAlign w:val="bottom"/>
          </w:tcPr>
          <w:p w14:paraId="3EA52C2A" w14:textId="77777777" w:rsidR="00CD0355" w:rsidRPr="00EB1DC6" w:rsidRDefault="00CD0355" w:rsidP="00CD0355">
            <w:pPr>
              <w:jc w:val="both"/>
              <w:rPr>
                <w:sz w:val="16"/>
                <w:szCs w:val="16"/>
              </w:rPr>
            </w:pPr>
            <w:r w:rsidRPr="00EB1DC6">
              <w:rPr>
                <w:sz w:val="16"/>
                <w:szCs w:val="16"/>
              </w:rPr>
              <w:t>1 year</w:t>
            </w:r>
          </w:p>
        </w:tc>
        <w:tc>
          <w:tcPr>
            <w:tcW w:w="1161" w:type="dxa"/>
            <w:vAlign w:val="bottom"/>
          </w:tcPr>
          <w:p w14:paraId="619C2E22" w14:textId="77777777" w:rsidR="00CD0355" w:rsidRPr="00EB1DC6" w:rsidRDefault="00CD0355" w:rsidP="00CD0355">
            <w:pPr>
              <w:jc w:val="both"/>
              <w:rPr>
                <w:sz w:val="16"/>
                <w:szCs w:val="16"/>
              </w:rPr>
            </w:pPr>
            <w:r w:rsidRPr="00EB1DC6">
              <w:rPr>
                <w:sz w:val="16"/>
                <w:szCs w:val="16"/>
              </w:rPr>
              <w:t>1 year</w:t>
            </w:r>
          </w:p>
        </w:tc>
      </w:tr>
      <w:tr w:rsidR="00CD0355" w:rsidRPr="00DB3AA3" w14:paraId="698EEC5E" w14:textId="77777777" w:rsidTr="00CD0355">
        <w:trPr>
          <w:cantSplit/>
          <w:jc w:val="center"/>
        </w:trPr>
        <w:tc>
          <w:tcPr>
            <w:tcW w:w="5004" w:type="dxa"/>
            <w:gridSpan w:val="4"/>
          </w:tcPr>
          <w:p w14:paraId="605CF77A" w14:textId="77777777" w:rsidR="00CD0355" w:rsidRPr="00EB1DC6" w:rsidRDefault="00CD0355" w:rsidP="00CD0355">
            <w:pPr>
              <w:jc w:val="both"/>
              <w:rPr>
                <w:b/>
                <w:sz w:val="16"/>
                <w:szCs w:val="16"/>
              </w:rPr>
            </w:pPr>
            <w:r w:rsidRPr="00EB1DC6">
              <w:rPr>
                <w:b/>
                <w:sz w:val="16"/>
                <w:szCs w:val="16"/>
              </w:rPr>
              <w:t xml:space="preserve">Isolation: </w:t>
            </w:r>
          </w:p>
        </w:tc>
      </w:tr>
      <w:tr w:rsidR="00CD0355" w:rsidRPr="00DB3AA3" w14:paraId="2500BDD7" w14:textId="77777777" w:rsidTr="00CD0355">
        <w:trPr>
          <w:cantSplit/>
          <w:jc w:val="center"/>
        </w:trPr>
        <w:tc>
          <w:tcPr>
            <w:tcW w:w="1469" w:type="dxa"/>
            <w:vAlign w:val="bottom"/>
          </w:tcPr>
          <w:p w14:paraId="2B0EC551" w14:textId="77777777" w:rsidR="00CD0355" w:rsidRPr="00EB1DC6" w:rsidRDefault="00CD0355" w:rsidP="00CD0355">
            <w:pPr>
              <w:rPr>
                <w:sz w:val="16"/>
                <w:szCs w:val="16"/>
              </w:rPr>
            </w:pPr>
            <w:r w:rsidRPr="00EB1DC6">
              <w:rPr>
                <w:sz w:val="16"/>
                <w:szCs w:val="16"/>
              </w:rPr>
              <w:t>Plot Production</w:t>
            </w:r>
          </w:p>
        </w:tc>
        <w:tc>
          <w:tcPr>
            <w:tcW w:w="1239" w:type="dxa"/>
            <w:vAlign w:val="bottom"/>
          </w:tcPr>
          <w:p w14:paraId="70B46EDE" w14:textId="77777777" w:rsidR="00CD0355" w:rsidRPr="00EB1DC6" w:rsidRDefault="00CD0355" w:rsidP="00CD0355">
            <w:pPr>
              <w:jc w:val="both"/>
              <w:rPr>
                <w:sz w:val="16"/>
                <w:szCs w:val="16"/>
              </w:rPr>
            </w:pPr>
            <w:r w:rsidRPr="00EB1DC6">
              <w:rPr>
                <w:sz w:val="16"/>
                <w:szCs w:val="16"/>
              </w:rPr>
              <w:t>30 ft.</w:t>
            </w:r>
          </w:p>
        </w:tc>
        <w:tc>
          <w:tcPr>
            <w:tcW w:w="1135" w:type="dxa"/>
            <w:vAlign w:val="bottom"/>
          </w:tcPr>
          <w:p w14:paraId="550E2E90" w14:textId="77777777" w:rsidR="00CD0355" w:rsidRPr="00EB1DC6" w:rsidRDefault="00CD0355" w:rsidP="00CD0355">
            <w:pPr>
              <w:jc w:val="both"/>
              <w:rPr>
                <w:sz w:val="16"/>
                <w:szCs w:val="16"/>
              </w:rPr>
            </w:pPr>
            <w:r w:rsidRPr="00EB1DC6">
              <w:rPr>
                <w:sz w:val="16"/>
                <w:szCs w:val="16"/>
              </w:rPr>
              <w:t>30 ft.</w:t>
            </w:r>
          </w:p>
        </w:tc>
        <w:tc>
          <w:tcPr>
            <w:tcW w:w="1161" w:type="dxa"/>
            <w:vAlign w:val="bottom"/>
          </w:tcPr>
          <w:p w14:paraId="1C1D2427" w14:textId="77777777" w:rsidR="00CD0355" w:rsidRPr="00EB1DC6" w:rsidRDefault="00CD0355" w:rsidP="00CD0355">
            <w:pPr>
              <w:jc w:val="both"/>
              <w:rPr>
                <w:sz w:val="16"/>
                <w:szCs w:val="16"/>
              </w:rPr>
            </w:pPr>
            <w:r w:rsidRPr="00EB1DC6">
              <w:rPr>
                <w:sz w:val="16"/>
                <w:szCs w:val="16"/>
              </w:rPr>
              <w:t>30 ft.</w:t>
            </w:r>
          </w:p>
        </w:tc>
      </w:tr>
      <w:tr w:rsidR="00CD0355" w:rsidRPr="00DB3AA3" w14:paraId="744E400D" w14:textId="77777777" w:rsidTr="00CD0355">
        <w:trPr>
          <w:cantSplit/>
          <w:jc w:val="center"/>
        </w:trPr>
        <w:tc>
          <w:tcPr>
            <w:tcW w:w="1469" w:type="dxa"/>
            <w:vAlign w:val="bottom"/>
          </w:tcPr>
          <w:p w14:paraId="287FBA7F" w14:textId="77777777" w:rsidR="00CD0355" w:rsidRPr="00EB1DC6" w:rsidRDefault="00CD0355" w:rsidP="00CD0355">
            <w:pPr>
              <w:rPr>
                <w:sz w:val="16"/>
                <w:szCs w:val="16"/>
              </w:rPr>
            </w:pPr>
            <w:r w:rsidRPr="00EB1DC6">
              <w:rPr>
                <w:sz w:val="16"/>
                <w:szCs w:val="16"/>
              </w:rPr>
              <w:t>Tank Production</w:t>
            </w:r>
          </w:p>
        </w:tc>
        <w:tc>
          <w:tcPr>
            <w:tcW w:w="1239" w:type="dxa"/>
            <w:vAlign w:val="bottom"/>
          </w:tcPr>
          <w:p w14:paraId="4722685D" w14:textId="77777777" w:rsidR="00CD0355" w:rsidRPr="00EB1DC6" w:rsidRDefault="00CD0355" w:rsidP="00CD0355">
            <w:pPr>
              <w:jc w:val="both"/>
              <w:rPr>
                <w:sz w:val="16"/>
                <w:szCs w:val="16"/>
              </w:rPr>
            </w:pPr>
            <w:r w:rsidRPr="00EB1DC6">
              <w:rPr>
                <w:sz w:val="16"/>
                <w:szCs w:val="16"/>
              </w:rPr>
              <w:t>One variety per tank</w:t>
            </w:r>
          </w:p>
        </w:tc>
        <w:tc>
          <w:tcPr>
            <w:tcW w:w="1135" w:type="dxa"/>
            <w:vAlign w:val="bottom"/>
          </w:tcPr>
          <w:p w14:paraId="0E0A838B" w14:textId="77777777" w:rsidR="00CD0355" w:rsidRPr="00EB1DC6" w:rsidRDefault="00CD0355" w:rsidP="00CD0355">
            <w:pPr>
              <w:jc w:val="both"/>
              <w:rPr>
                <w:sz w:val="16"/>
                <w:szCs w:val="16"/>
              </w:rPr>
            </w:pPr>
            <w:r w:rsidRPr="00EB1DC6">
              <w:rPr>
                <w:sz w:val="16"/>
                <w:szCs w:val="16"/>
              </w:rPr>
              <w:t>One variety per tank</w:t>
            </w:r>
          </w:p>
        </w:tc>
        <w:tc>
          <w:tcPr>
            <w:tcW w:w="1161" w:type="dxa"/>
            <w:vAlign w:val="bottom"/>
          </w:tcPr>
          <w:p w14:paraId="4465111C" w14:textId="77777777" w:rsidR="00CD0355" w:rsidRPr="00EB1DC6" w:rsidRDefault="00CD0355" w:rsidP="00CD0355">
            <w:pPr>
              <w:jc w:val="both"/>
              <w:rPr>
                <w:sz w:val="16"/>
                <w:szCs w:val="16"/>
              </w:rPr>
            </w:pPr>
            <w:r w:rsidRPr="00EB1DC6">
              <w:rPr>
                <w:sz w:val="16"/>
                <w:szCs w:val="16"/>
              </w:rPr>
              <w:t>One variety per tank</w:t>
            </w:r>
          </w:p>
        </w:tc>
      </w:tr>
      <w:tr w:rsidR="00CD0355" w:rsidRPr="00DB3AA3" w14:paraId="0284CBC1" w14:textId="77777777" w:rsidTr="00CD0355">
        <w:trPr>
          <w:cantSplit/>
          <w:jc w:val="center"/>
        </w:trPr>
        <w:tc>
          <w:tcPr>
            <w:tcW w:w="1469" w:type="dxa"/>
            <w:vAlign w:val="bottom"/>
          </w:tcPr>
          <w:p w14:paraId="78FC2D9A" w14:textId="77777777" w:rsidR="00CD0355" w:rsidRPr="00EB1DC6" w:rsidRDefault="00CD0355" w:rsidP="00CD0355">
            <w:pPr>
              <w:rPr>
                <w:sz w:val="16"/>
                <w:szCs w:val="16"/>
              </w:rPr>
            </w:pPr>
            <w:r w:rsidRPr="00EB1DC6">
              <w:rPr>
                <w:sz w:val="16"/>
                <w:szCs w:val="16"/>
              </w:rPr>
              <w:t>Container Production</w:t>
            </w:r>
          </w:p>
        </w:tc>
        <w:tc>
          <w:tcPr>
            <w:tcW w:w="1239" w:type="dxa"/>
            <w:vAlign w:val="bottom"/>
          </w:tcPr>
          <w:p w14:paraId="7D6E68F3" w14:textId="77777777" w:rsidR="00CD0355" w:rsidRPr="00EB1DC6" w:rsidRDefault="00CD0355" w:rsidP="00CD0355">
            <w:pPr>
              <w:rPr>
                <w:sz w:val="16"/>
                <w:szCs w:val="16"/>
              </w:rPr>
            </w:pPr>
            <w:r w:rsidRPr="00EB1DC6">
              <w:rPr>
                <w:sz w:val="16"/>
                <w:szCs w:val="16"/>
              </w:rPr>
              <w:t>Different varieties must be separated and clearly identified</w:t>
            </w:r>
          </w:p>
        </w:tc>
        <w:tc>
          <w:tcPr>
            <w:tcW w:w="1135" w:type="dxa"/>
            <w:vAlign w:val="bottom"/>
          </w:tcPr>
          <w:p w14:paraId="0FBD23CC" w14:textId="77777777" w:rsidR="00CD0355" w:rsidRPr="00EB1DC6" w:rsidRDefault="00CD0355" w:rsidP="00CD0355">
            <w:pPr>
              <w:rPr>
                <w:sz w:val="16"/>
                <w:szCs w:val="16"/>
              </w:rPr>
            </w:pPr>
            <w:r w:rsidRPr="00EB1DC6">
              <w:rPr>
                <w:sz w:val="16"/>
                <w:szCs w:val="16"/>
              </w:rPr>
              <w:t>Different varieties must be separated and clearly identified</w:t>
            </w:r>
          </w:p>
        </w:tc>
        <w:tc>
          <w:tcPr>
            <w:tcW w:w="1161" w:type="dxa"/>
            <w:vAlign w:val="bottom"/>
          </w:tcPr>
          <w:p w14:paraId="661303C7" w14:textId="77777777" w:rsidR="00CD0355" w:rsidRPr="00EB1DC6" w:rsidRDefault="00CD0355" w:rsidP="00CD0355">
            <w:pPr>
              <w:rPr>
                <w:sz w:val="16"/>
                <w:szCs w:val="16"/>
              </w:rPr>
            </w:pPr>
            <w:r w:rsidRPr="00EB1DC6">
              <w:rPr>
                <w:sz w:val="16"/>
                <w:szCs w:val="16"/>
              </w:rPr>
              <w:t>Different varieties must be separated and clearly identified</w:t>
            </w:r>
          </w:p>
        </w:tc>
      </w:tr>
      <w:tr w:rsidR="00CD0355" w:rsidRPr="00DB3AA3" w14:paraId="390E9E28" w14:textId="77777777" w:rsidTr="00CD0355">
        <w:trPr>
          <w:cantSplit/>
          <w:jc w:val="center"/>
        </w:trPr>
        <w:tc>
          <w:tcPr>
            <w:tcW w:w="1469" w:type="dxa"/>
            <w:vAlign w:val="bottom"/>
          </w:tcPr>
          <w:p w14:paraId="3B895227" w14:textId="77777777" w:rsidR="00CD0355" w:rsidRPr="00EB1DC6" w:rsidRDefault="00CD0355" w:rsidP="00CD0355">
            <w:pPr>
              <w:rPr>
                <w:sz w:val="16"/>
                <w:szCs w:val="16"/>
              </w:rPr>
            </w:pPr>
            <w:r w:rsidRPr="00EB1DC6">
              <w:rPr>
                <w:sz w:val="16"/>
                <w:szCs w:val="16"/>
              </w:rPr>
              <w:t>Plant Variants</w:t>
            </w:r>
          </w:p>
        </w:tc>
        <w:tc>
          <w:tcPr>
            <w:tcW w:w="1239" w:type="dxa"/>
            <w:vAlign w:val="center"/>
          </w:tcPr>
          <w:p w14:paraId="1E216E00" w14:textId="77777777" w:rsidR="00CD0355" w:rsidRPr="00EB1DC6" w:rsidRDefault="00CD0355" w:rsidP="00CD0355">
            <w:pPr>
              <w:jc w:val="both"/>
              <w:rPr>
                <w:sz w:val="16"/>
                <w:szCs w:val="16"/>
                <w:vertAlign w:val="superscript"/>
              </w:rPr>
            </w:pPr>
            <w:r w:rsidRPr="00EB1DC6">
              <w:rPr>
                <w:sz w:val="16"/>
                <w:szCs w:val="16"/>
              </w:rPr>
              <w:t>3 plants per 5,400 ft</w:t>
            </w:r>
            <w:r w:rsidRPr="00EB1DC6">
              <w:rPr>
                <w:sz w:val="16"/>
                <w:szCs w:val="16"/>
                <w:vertAlign w:val="superscript"/>
              </w:rPr>
              <w:t>2</w:t>
            </w:r>
          </w:p>
        </w:tc>
        <w:tc>
          <w:tcPr>
            <w:tcW w:w="1135" w:type="dxa"/>
            <w:vAlign w:val="center"/>
          </w:tcPr>
          <w:p w14:paraId="0385B997" w14:textId="77777777" w:rsidR="00CD0355" w:rsidRPr="00EB1DC6" w:rsidRDefault="00CD0355" w:rsidP="00CD0355">
            <w:pPr>
              <w:jc w:val="both"/>
              <w:rPr>
                <w:sz w:val="16"/>
                <w:szCs w:val="16"/>
                <w:vertAlign w:val="superscript"/>
              </w:rPr>
            </w:pPr>
            <w:r w:rsidRPr="00EB1DC6">
              <w:rPr>
                <w:sz w:val="16"/>
                <w:szCs w:val="16"/>
              </w:rPr>
              <w:t>5 plants per 5,400 ft</w:t>
            </w:r>
            <w:r w:rsidRPr="00EB1DC6">
              <w:rPr>
                <w:sz w:val="16"/>
                <w:szCs w:val="16"/>
                <w:vertAlign w:val="superscript"/>
              </w:rPr>
              <w:t>2</w:t>
            </w:r>
          </w:p>
        </w:tc>
        <w:tc>
          <w:tcPr>
            <w:tcW w:w="1161" w:type="dxa"/>
            <w:vAlign w:val="center"/>
          </w:tcPr>
          <w:p w14:paraId="3C2D8330" w14:textId="77777777" w:rsidR="00CD0355" w:rsidRPr="00EB1DC6" w:rsidRDefault="00CD0355" w:rsidP="00CD0355">
            <w:pPr>
              <w:jc w:val="both"/>
              <w:rPr>
                <w:sz w:val="16"/>
                <w:szCs w:val="16"/>
                <w:vertAlign w:val="superscript"/>
              </w:rPr>
            </w:pPr>
            <w:r w:rsidRPr="00EB1DC6">
              <w:rPr>
                <w:sz w:val="16"/>
                <w:szCs w:val="16"/>
              </w:rPr>
              <w:t>10 plants per 5,400 ft</w:t>
            </w:r>
            <w:r w:rsidRPr="00EB1DC6">
              <w:rPr>
                <w:sz w:val="16"/>
                <w:szCs w:val="16"/>
                <w:vertAlign w:val="superscript"/>
              </w:rPr>
              <w:t>2</w:t>
            </w:r>
          </w:p>
        </w:tc>
      </w:tr>
      <w:tr w:rsidR="00CD0355" w:rsidRPr="00DB3AA3" w14:paraId="361730FE" w14:textId="77777777" w:rsidTr="00CD0355">
        <w:trPr>
          <w:cantSplit/>
          <w:jc w:val="center"/>
        </w:trPr>
        <w:tc>
          <w:tcPr>
            <w:tcW w:w="1469" w:type="dxa"/>
            <w:vAlign w:val="bottom"/>
          </w:tcPr>
          <w:p w14:paraId="00D63695" w14:textId="77777777" w:rsidR="00CD0355" w:rsidRPr="00EB1DC6" w:rsidRDefault="00CD0355" w:rsidP="00CD0355">
            <w:pPr>
              <w:rPr>
                <w:sz w:val="16"/>
                <w:szCs w:val="16"/>
              </w:rPr>
            </w:pPr>
            <w:r w:rsidRPr="00EB1DC6">
              <w:rPr>
                <w:sz w:val="16"/>
                <w:szCs w:val="16"/>
              </w:rPr>
              <w:t>Harmful Diseases</w:t>
            </w:r>
            <w:r w:rsidRPr="00EB1DC6">
              <w:rPr>
                <w:sz w:val="16"/>
                <w:szCs w:val="16"/>
                <w:vertAlign w:val="superscript"/>
              </w:rPr>
              <w:t>(2)</w:t>
            </w:r>
          </w:p>
        </w:tc>
        <w:tc>
          <w:tcPr>
            <w:tcW w:w="1239" w:type="dxa"/>
            <w:vAlign w:val="bottom"/>
          </w:tcPr>
          <w:p w14:paraId="34F8A1A2" w14:textId="77777777" w:rsidR="00CD0355" w:rsidRPr="00EB1DC6" w:rsidRDefault="00CD0355" w:rsidP="00CD0355">
            <w:pPr>
              <w:jc w:val="both"/>
              <w:rPr>
                <w:sz w:val="16"/>
                <w:szCs w:val="16"/>
              </w:rPr>
            </w:pPr>
            <w:r w:rsidRPr="00EB1DC6">
              <w:rPr>
                <w:sz w:val="16"/>
                <w:szCs w:val="16"/>
              </w:rPr>
              <w:t>None</w:t>
            </w:r>
          </w:p>
        </w:tc>
        <w:tc>
          <w:tcPr>
            <w:tcW w:w="1135" w:type="dxa"/>
            <w:vAlign w:val="bottom"/>
          </w:tcPr>
          <w:p w14:paraId="415DA3D6" w14:textId="77777777" w:rsidR="00CD0355" w:rsidRPr="00EB1DC6" w:rsidRDefault="00CD0355" w:rsidP="00CD0355">
            <w:pPr>
              <w:jc w:val="both"/>
              <w:rPr>
                <w:sz w:val="16"/>
                <w:szCs w:val="16"/>
              </w:rPr>
            </w:pPr>
            <w:r w:rsidRPr="00EB1DC6">
              <w:rPr>
                <w:sz w:val="16"/>
                <w:szCs w:val="16"/>
              </w:rPr>
              <w:t>None</w:t>
            </w:r>
          </w:p>
        </w:tc>
        <w:tc>
          <w:tcPr>
            <w:tcW w:w="1161" w:type="dxa"/>
            <w:vAlign w:val="bottom"/>
          </w:tcPr>
          <w:p w14:paraId="406321DF" w14:textId="77777777" w:rsidR="00CD0355" w:rsidRPr="00EB1DC6" w:rsidRDefault="00CD0355" w:rsidP="00CD0355">
            <w:pPr>
              <w:jc w:val="both"/>
              <w:rPr>
                <w:sz w:val="16"/>
                <w:szCs w:val="16"/>
              </w:rPr>
            </w:pPr>
            <w:r w:rsidRPr="00EB1DC6">
              <w:rPr>
                <w:sz w:val="16"/>
                <w:szCs w:val="16"/>
              </w:rPr>
              <w:t>None</w:t>
            </w:r>
          </w:p>
        </w:tc>
      </w:tr>
      <w:tr w:rsidR="00CD0355" w:rsidRPr="00DB3AA3" w14:paraId="7F8E15BE" w14:textId="77777777" w:rsidTr="00CD0355">
        <w:trPr>
          <w:cantSplit/>
          <w:jc w:val="center"/>
        </w:trPr>
        <w:tc>
          <w:tcPr>
            <w:tcW w:w="1469" w:type="dxa"/>
            <w:vAlign w:val="bottom"/>
          </w:tcPr>
          <w:p w14:paraId="32BF56F7" w14:textId="77777777" w:rsidR="00CD0355" w:rsidRPr="00EB1DC6" w:rsidRDefault="00CD0355" w:rsidP="00CD0355">
            <w:pPr>
              <w:rPr>
                <w:sz w:val="16"/>
                <w:szCs w:val="16"/>
              </w:rPr>
            </w:pPr>
            <w:r w:rsidRPr="00EB1DC6">
              <w:rPr>
                <w:sz w:val="16"/>
                <w:szCs w:val="16"/>
              </w:rPr>
              <w:t>Noxious or Objectionable Weeds</w:t>
            </w:r>
            <w:r w:rsidRPr="00EB1DC6">
              <w:rPr>
                <w:sz w:val="16"/>
                <w:szCs w:val="16"/>
                <w:vertAlign w:val="superscript"/>
              </w:rPr>
              <w:t>(3)</w:t>
            </w:r>
          </w:p>
        </w:tc>
        <w:tc>
          <w:tcPr>
            <w:tcW w:w="1239" w:type="dxa"/>
            <w:vAlign w:val="bottom"/>
          </w:tcPr>
          <w:p w14:paraId="717821A3" w14:textId="77777777" w:rsidR="00CD0355" w:rsidRPr="00EB1DC6" w:rsidRDefault="00CD0355" w:rsidP="00CD0355">
            <w:pPr>
              <w:jc w:val="both"/>
              <w:rPr>
                <w:sz w:val="16"/>
                <w:szCs w:val="16"/>
              </w:rPr>
            </w:pPr>
            <w:r w:rsidRPr="00EB1DC6">
              <w:rPr>
                <w:sz w:val="16"/>
                <w:szCs w:val="16"/>
              </w:rPr>
              <w:t>None</w:t>
            </w:r>
          </w:p>
        </w:tc>
        <w:tc>
          <w:tcPr>
            <w:tcW w:w="1135" w:type="dxa"/>
            <w:vAlign w:val="bottom"/>
          </w:tcPr>
          <w:p w14:paraId="28AF573D" w14:textId="77777777" w:rsidR="00CD0355" w:rsidRPr="00EB1DC6" w:rsidRDefault="00CD0355" w:rsidP="00CD0355">
            <w:pPr>
              <w:jc w:val="both"/>
              <w:rPr>
                <w:sz w:val="16"/>
                <w:szCs w:val="16"/>
              </w:rPr>
            </w:pPr>
            <w:r w:rsidRPr="00EB1DC6">
              <w:rPr>
                <w:sz w:val="16"/>
                <w:szCs w:val="16"/>
              </w:rPr>
              <w:t>None</w:t>
            </w:r>
          </w:p>
        </w:tc>
        <w:tc>
          <w:tcPr>
            <w:tcW w:w="1161" w:type="dxa"/>
            <w:vAlign w:val="bottom"/>
          </w:tcPr>
          <w:p w14:paraId="69B27DB9" w14:textId="77777777" w:rsidR="00CD0355" w:rsidRPr="00EB1DC6" w:rsidRDefault="00CD0355" w:rsidP="00CD0355">
            <w:pPr>
              <w:jc w:val="both"/>
              <w:rPr>
                <w:sz w:val="16"/>
                <w:szCs w:val="16"/>
              </w:rPr>
            </w:pPr>
            <w:r w:rsidRPr="00EB1DC6">
              <w:rPr>
                <w:sz w:val="16"/>
                <w:szCs w:val="16"/>
              </w:rPr>
              <w:t>≤ 5 plants per 5,400 ft</w:t>
            </w:r>
            <w:r w:rsidRPr="00EB1DC6">
              <w:rPr>
                <w:sz w:val="16"/>
                <w:szCs w:val="16"/>
                <w:vertAlign w:val="superscript"/>
              </w:rPr>
              <w:t>2</w:t>
            </w:r>
            <w:r w:rsidRPr="00EB1DC6">
              <w:rPr>
                <w:sz w:val="16"/>
                <w:szCs w:val="16"/>
              </w:rPr>
              <w:t xml:space="preserve"> </w:t>
            </w:r>
          </w:p>
        </w:tc>
      </w:tr>
      <w:tr w:rsidR="00CD0355" w:rsidRPr="00DB3AA3" w14:paraId="195F114E" w14:textId="77777777" w:rsidTr="00CD0355">
        <w:trPr>
          <w:cantSplit/>
          <w:jc w:val="center"/>
        </w:trPr>
        <w:tc>
          <w:tcPr>
            <w:tcW w:w="1469" w:type="dxa"/>
            <w:vAlign w:val="bottom"/>
          </w:tcPr>
          <w:p w14:paraId="08E51DAD" w14:textId="77777777" w:rsidR="00CD0355" w:rsidRPr="00EB1DC6" w:rsidRDefault="00CD0355" w:rsidP="00CD0355">
            <w:pPr>
              <w:rPr>
                <w:sz w:val="16"/>
                <w:szCs w:val="16"/>
              </w:rPr>
            </w:pPr>
            <w:r w:rsidRPr="00EB1DC6">
              <w:rPr>
                <w:sz w:val="16"/>
                <w:szCs w:val="16"/>
              </w:rPr>
              <w:t>Other Crops</w:t>
            </w:r>
            <w:r w:rsidRPr="00EB1DC6">
              <w:rPr>
                <w:sz w:val="16"/>
                <w:szCs w:val="16"/>
                <w:vertAlign w:val="superscript"/>
              </w:rPr>
              <w:t>(4)</w:t>
            </w:r>
            <w:r w:rsidRPr="00EB1DC6">
              <w:rPr>
                <w:sz w:val="16"/>
                <w:szCs w:val="16"/>
              </w:rPr>
              <w:t xml:space="preserve"> </w:t>
            </w:r>
          </w:p>
        </w:tc>
        <w:tc>
          <w:tcPr>
            <w:tcW w:w="1239" w:type="dxa"/>
            <w:vAlign w:val="center"/>
          </w:tcPr>
          <w:p w14:paraId="58B02EDE" w14:textId="77777777" w:rsidR="00CD0355" w:rsidRPr="00EB1DC6" w:rsidRDefault="00CD0355" w:rsidP="00CD0355">
            <w:pPr>
              <w:jc w:val="both"/>
              <w:rPr>
                <w:sz w:val="16"/>
                <w:szCs w:val="16"/>
              </w:rPr>
            </w:pPr>
            <w:r w:rsidRPr="00EB1DC6">
              <w:rPr>
                <w:sz w:val="16"/>
                <w:szCs w:val="16"/>
              </w:rPr>
              <w:t>None</w:t>
            </w:r>
          </w:p>
        </w:tc>
        <w:tc>
          <w:tcPr>
            <w:tcW w:w="1135" w:type="dxa"/>
            <w:vAlign w:val="center"/>
          </w:tcPr>
          <w:p w14:paraId="7A02DD40" w14:textId="77777777" w:rsidR="00CD0355" w:rsidRPr="00EB1DC6" w:rsidRDefault="00CD0355" w:rsidP="00CD0355">
            <w:pPr>
              <w:jc w:val="both"/>
              <w:rPr>
                <w:sz w:val="16"/>
                <w:szCs w:val="16"/>
              </w:rPr>
            </w:pPr>
            <w:r w:rsidRPr="00EB1DC6">
              <w:rPr>
                <w:sz w:val="16"/>
                <w:szCs w:val="16"/>
              </w:rPr>
              <w:t>None</w:t>
            </w:r>
          </w:p>
        </w:tc>
        <w:tc>
          <w:tcPr>
            <w:tcW w:w="1161" w:type="dxa"/>
            <w:vAlign w:val="center"/>
          </w:tcPr>
          <w:p w14:paraId="5AEEE1F3" w14:textId="77777777" w:rsidR="00CD0355" w:rsidRPr="00EB1DC6" w:rsidRDefault="00CD0355" w:rsidP="00CD0355">
            <w:pPr>
              <w:jc w:val="both"/>
              <w:rPr>
                <w:sz w:val="16"/>
                <w:szCs w:val="16"/>
              </w:rPr>
            </w:pPr>
            <w:r w:rsidRPr="00EB1DC6">
              <w:rPr>
                <w:sz w:val="16"/>
                <w:szCs w:val="16"/>
              </w:rPr>
              <w:t>≤ 5 plants per 5,400 ft</w:t>
            </w:r>
            <w:r w:rsidRPr="00EB1DC6">
              <w:rPr>
                <w:sz w:val="16"/>
                <w:szCs w:val="16"/>
                <w:vertAlign w:val="superscript"/>
              </w:rPr>
              <w:t>2</w:t>
            </w:r>
          </w:p>
        </w:tc>
      </w:tr>
    </w:tbl>
    <w:p w14:paraId="6F2791A2" w14:textId="77777777" w:rsidR="00CD0355" w:rsidRPr="00EB1DC6" w:rsidRDefault="00CD0355" w:rsidP="00CD0355">
      <w:pPr>
        <w:pStyle w:val="RegDoubleIndent"/>
        <w:rPr>
          <w:sz w:val="16"/>
          <w:szCs w:val="16"/>
        </w:rPr>
      </w:pPr>
      <w:r w:rsidRPr="00EB1DC6">
        <w:rPr>
          <w:sz w:val="16"/>
          <w:szCs w:val="16"/>
        </w:rPr>
        <w:t xml:space="preserve">(1) Maximum production unit life from transplant date. No maximum age for a certified production unit so long as the unit continues to meet all requirements of this Section. </w:t>
      </w:r>
    </w:p>
    <w:p w14:paraId="5C0AEBCF" w14:textId="77777777" w:rsidR="00CD0355" w:rsidRPr="00EB1DC6" w:rsidRDefault="00CD0355" w:rsidP="00CD0355">
      <w:pPr>
        <w:pStyle w:val="RegDoubleIndent"/>
        <w:rPr>
          <w:sz w:val="16"/>
          <w:szCs w:val="16"/>
        </w:rPr>
      </w:pPr>
      <w:r w:rsidRPr="00EB1DC6">
        <w:rPr>
          <w:sz w:val="16"/>
          <w:szCs w:val="16"/>
        </w:rPr>
        <w:t>(2) Diseases determined in accordance with the Louisiana Ag Experiment Station and the LDAF to seriously affect the quality of seed or vegetatively propagated stock.</w:t>
      </w:r>
    </w:p>
    <w:p w14:paraId="2A055D0F" w14:textId="77777777" w:rsidR="00CD0355" w:rsidRPr="00EB1DC6" w:rsidRDefault="00CD0355" w:rsidP="00CD0355">
      <w:pPr>
        <w:pStyle w:val="RegDoubleIndent"/>
        <w:rPr>
          <w:sz w:val="16"/>
          <w:szCs w:val="16"/>
        </w:rPr>
      </w:pPr>
      <w:r w:rsidRPr="00EB1DC6">
        <w:rPr>
          <w:sz w:val="16"/>
          <w:szCs w:val="16"/>
        </w:rPr>
        <w:t xml:space="preserve">(3) Including but not limited to the following weed species: Cyperus spp. (Sedges), Panicum repens (Torpedograss), Phragmites australis (Roseau cane), </w:t>
      </w:r>
      <w:r w:rsidRPr="00EB1DC6">
        <w:rPr>
          <w:i/>
          <w:sz w:val="16"/>
          <w:szCs w:val="16"/>
        </w:rPr>
        <w:t>Fimbristylis spp</w:t>
      </w:r>
      <w:r w:rsidRPr="00EB1DC6">
        <w:rPr>
          <w:sz w:val="16"/>
          <w:szCs w:val="16"/>
        </w:rPr>
        <w:t xml:space="preserve">. (Fimbristylis), </w:t>
      </w:r>
      <w:r w:rsidRPr="00EB1DC6">
        <w:rPr>
          <w:i/>
          <w:sz w:val="16"/>
          <w:szCs w:val="16"/>
        </w:rPr>
        <w:t>Tamarix</w:t>
      </w:r>
      <w:r w:rsidRPr="00EB1DC6">
        <w:rPr>
          <w:sz w:val="16"/>
          <w:szCs w:val="16"/>
        </w:rPr>
        <w:t xml:space="preserve"> </w:t>
      </w:r>
      <w:r w:rsidRPr="00EB1DC6">
        <w:rPr>
          <w:i/>
          <w:sz w:val="16"/>
          <w:szCs w:val="16"/>
        </w:rPr>
        <w:t>spp</w:t>
      </w:r>
      <w:r w:rsidRPr="00EB1DC6">
        <w:rPr>
          <w:sz w:val="16"/>
          <w:szCs w:val="16"/>
        </w:rPr>
        <w:t xml:space="preserve">. (Salt cedar), </w:t>
      </w:r>
      <w:r w:rsidRPr="00EB1DC6">
        <w:rPr>
          <w:i/>
          <w:sz w:val="16"/>
          <w:szCs w:val="16"/>
        </w:rPr>
        <w:t>Cenchrus</w:t>
      </w:r>
      <w:r w:rsidRPr="00EB1DC6">
        <w:rPr>
          <w:sz w:val="16"/>
          <w:szCs w:val="16"/>
        </w:rPr>
        <w:t xml:space="preserve"> </w:t>
      </w:r>
      <w:r w:rsidRPr="00EB1DC6">
        <w:rPr>
          <w:i/>
          <w:sz w:val="16"/>
          <w:szCs w:val="16"/>
        </w:rPr>
        <w:t>spp</w:t>
      </w:r>
      <w:r w:rsidRPr="00EB1DC6">
        <w:rPr>
          <w:sz w:val="16"/>
          <w:szCs w:val="16"/>
        </w:rPr>
        <w:t xml:space="preserve">. (Sandbur), </w:t>
      </w:r>
      <w:r w:rsidRPr="00EB1DC6">
        <w:rPr>
          <w:i/>
          <w:sz w:val="16"/>
          <w:szCs w:val="16"/>
        </w:rPr>
        <w:t>Suaeda</w:t>
      </w:r>
      <w:r w:rsidRPr="00EB1DC6">
        <w:rPr>
          <w:sz w:val="16"/>
          <w:szCs w:val="16"/>
        </w:rPr>
        <w:t xml:space="preserve"> </w:t>
      </w:r>
      <w:r w:rsidRPr="00EB1DC6">
        <w:rPr>
          <w:i/>
          <w:sz w:val="16"/>
          <w:szCs w:val="16"/>
        </w:rPr>
        <w:t>linearis</w:t>
      </w:r>
      <w:r w:rsidRPr="00EB1DC6">
        <w:rPr>
          <w:sz w:val="16"/>
          <w:szCs w:val="16"/>
        </w:rPr>
        <w:t xml:space="preserve"> (Sea-blite), </w:t>
      </w:r>
      <w:r w:rsidRPr="00EB1DC6">
        <w:rPr>
          <w:i/>
          <w:sz w:val="16"/>
          <w:szCs w:val="16"/>
        </w:rPr>
        <w:t>Acacia</w:t>
      </w:r>
      <w:r w:rsidRPr="00EB1DC6">
        <w:rPr>
          <w:sz w:val="16"/>
          <w:szCs w:val="16"/>
        </w:rPr>
        <w:t xml:space="preserve"> </w:t>
      </w:r>
      <w:r w:rsidRPr="00EB1DC6">
        <w:rPr>
          <w:i/>
          <w:sz w:val="16"/>
          <w:szCs w:val="16"/>
        </w:rPr>
        <w:t>farnesiana</w:t>
      </w:r>
      <w:r w:rsidRPr="00EB1DC6">
        <w:rPr>
          <w:sz w:val="16"/>
          <w:szCs w:val="16"/>
        </w:rPr>
        <w:t xml:space="preserve"> (Sweet acacia). </w:t>
      </w:r>
    </w:p>
    <w:p w14:paraId="2ACFE1C4" w14:textId="77777777" w:rsidR="00CD0355" w:rsidRDefault="00CD0355" w:rsidP="00CD0355">
      <w:pPr>
        <w:pStyle w:val="RegDoubleIndent"/>
        <w:rPr>
          <w:sz w:val="16"/>
          <w:szCs w:val="16"/>
        </w:rPr>
      </w:pPr>
      <w:r w:rsidRPr="00EB1DC6">
        <w:rPr>
          <w:sz w:val="16"/>
          <w:szCs w:val="16"/>
        </w:rPr>
        <w:t xml:space="preserve">(4) Including but not limited to the following crop species: </w:t>
      </w:r>
      <w:r w:rsidRPr="00EB1DC6">
        <w:rPr>
          <w:i/>
          <w:sz w:val="16"/>
          <w:szCs w:val="16"/>
        </w:rPr>
        <w:t>Spartina</w:t>
      </w:r>
      <w:r w:rsidRPr="00EB1DC6">
        <w:rPr>
          <w:sz w:val="16"/>
          <w:szCs w:val="16"/>
        </w:rPr>
        <w:t xml:space="preserve"> </w:t>
      </w:r>
      <w:r w:rsidRPr="00EB1DC6">
        <w:rPr>
          <w:i/>
          <w:sz w:val="16"/>
          <w:szCs w:val="16"/>
        </w:rPr>
        <w:t>patens</w:t>
      </w:r>
      <w:r w:rsidRPr="00EB1DC6">
        <w:rPr>
          <w:sz w:val="16"/>
          <w:szCs w:val="16"/>
        </w:rPr>
        <w:t xml:space="preserve"> (Marshhay cordgrass), </w:t>
      </w:r>
      <w:r w:rsidRPr="00EB1DC6">
        <w:rPr>
          <w:i/>
          <w:sz w:val="16"/>
          <w:szCs w:val="16"/>
        </w:rPr>
        <w:t>Spartina</w:t>
      </w:r>
      <w:r w:rsidRPr="00EB1DC6">
        <w:rPr>
          <w:sz w:val="16"/>
          <w:szCs w:val="16"/>
        </w:rPr>
        <w:t xml:space="preserve"> </w:t>
      </w:r>
      <w:r w:rsidRPr="00EB1DC6">
        <w:rPr>
          <w:i/>
          <w:sz w:val="16"/>
          <w:szCs w:val="16"/>
        </w:rPr>
        <w:t xml:space="preserve">Spartinae </w:t>
      </w:r>
      <w:r w:rsidRPr="00EB1DC6">
        <w:rPr>
          <w:sz w:val="16"/>
          <w:szCs w:val="16"/>
        </w:rPr>
        <w:t xml:space="preserve">(Gulf cordgrass), </w:t>
      </w:r>
      <w:r w:rsidRPr="00EB1DC6">
        <w:rPr>
          <w:i/>
          <w:sz w:val="16"/>
          <w:szCs w:val="16"/>
        </w:rPr>
        <w:t>Sporobolus</w:t>
      </w:r>
      <w:r w:rsidRPr="00EB1DC6">
        <w:rPr>
          <w:sz w:val="16"/>
          <w:szCs w:val="16"/>
        </w:rPr>
        <w:t xml:space="preserve"> </w:t>
      </w:r>
      <w:r w:rsidRPr="00EB1DC6">
        <w:rPr>
          <w:i/>
          <w:sz w:val="16"/>
          <w:szCs w:val="16"/>
        </w:rPr>
        <w:t>virginicus</w:t>
      </w:r>
      <w:r w:rsidRPr="00EB1DC6">
        <w:rPr>
          <w:sz w:val="16"/>
          <w:szCs w:val="16"/>
        </w:rPr>
        <w:t xml:space="preserve"> (Dropseed), </w:t>
      </w:r>
      <w:r w:rsidRPr="00EB1DC6">
        <w:rPr>
          <w:i/>
          <w:sz w:val="16"/>
          <w:szCs w:val="16"/>
        </w:rPr>
        <w:t>Distichlis</w:t>
      </w:r>
      <w:r w:rsidRPr="00EB1DC6">
        <w:rPr>
          <w:sz w:val="16"/>
          <w:szCs w:val="16"/>
        </w:rPr>
        <w:t xml:space="preserve"> </w:t>
      </w:r>
      <w:r w:rsidRPr="00EB1DC6">
        <w:rPr>
          <w:i/>
          <w:sz w:val="16"/>
          <w:szCs w:val="16"/>
        </w:rPr>
        <w:t>spicata</w:t>
      </w:r>
      <w:r w:rsidRPr="00EB1DC6">
        <w:rPr>
          <w:sz w:val="16"/>
          <w:szCs w:val="16"/>
        </w:rPr>
        <w:t xml:space="preserve"> (Saltgrass), </w:t>
      </w:r>
      <w:r w:rsidRPr="00EB1DC6">
        <w:rPr>
          <w:i/>
          <w:sz w:val="16"/>
          <w:szCs w:val="16"/>
        </w:rPr>
        <w:t>Schizachyrium</w:t>
      </w:r>
      <w:r w:rsidRPr="00EB1DC6">
        <w:rPr>
          <w:sz w:val="16"/>
          <w:szCs w:val="16"/>
        </w:rPr>
        <w:t xml:space="preserve"> </w:t>
      </w:r>
      <w:r w:rsidRPr="00EB1DC6">
        <w:rPr>
          <w:i/>
          <w:sz w:val="16"/>
          <w:szCs w:val="16"/>
        </w:rPr>
        <w:t>maritimum</w:t>
      </w:r>
      <w:r w:rsidRPr="00EB1DC6">
        <w:rPr>
          <w:sz w:val="16"/>
          <w:szCs w:val="16"/>
        </w:rPr>
        <w:t xml:space="preserve"> (Seacoast bluestem), </w:t>
      </w:r>
      <w:r w:rsidRPr="00EB1DC6">
        <w:rPr>
          <w:i/>
          <w:sz w:val="16"/>
          <w:szCs w:val="16"/>
        </w:rPr>
        <w:t>Paspalum</w:t>
      </w:r>
      <w:r w:rsidRPr="00EB1DC6">
        <w:rPr>
          <w:sz w:val="16"/>
          <w:szCs w:val="16"/>
        </w:rPr>
        <w:t xml:space="preserve"> </w:t>
      </w:r>
      <w:r w:rsidRPr="00EB1DC6">
        <w:rPr>
          <w:i/>
          <w:sz w:val="16"/>
          <w:szCs w:val="16"/>
        </w:rPr>
        <w:t>vaginatum</w:t>
      </w:r>
      <w:r w:rsidRPr="00EB1DC6">
        <w:rPr>
          <w:sz w:val="16"/>
          <w:szCs w:val="16"/>
        </w:rPr>
        <w:t xml:space="preserve"> (Seashore paspalum), </w:t>
      </w:r>
      <w:r w:rsidRPr="00EB1DC6">
        <w:rPr>
          <w:i/>
          <w:sz w:val="16"/>
          <w:szCs w:val="16"/>
        </w:rPr>
        <w:t>Panicum</w:t>
      </w:r>
      <w:r w:rsidRPr="00EB1DC6">
        <w:rPr>
          <w:sz w:val="16"/>
          <w:szCs w:val="16"/>
        </w:rPr>
        <w:t xml:space="preserve"> </w:t>
      </w:r>
      <w:r w:rsidRPr="00EB1DC6">
        <w:rPr>
          <w:i/>
          <w:sz w:val="16"/>
          <w:szCs w:val="16"/>
        </w:rPr>
        <w:t>amarum</w:t>
      </w:r>
      <w:r w:rsidRPr="00EB1DC6">
        <w:rPr>
          <w:sz w:val="16"/>
          <w:szCs w:val="16"/>
        </w:rPr>
        <w:t xml:space="preserve"> (Beach panicgrass). </w:t>
      </w:r>
    </w:p>
    <w:p w14:paraId="0414E377" w14:textId="77777777" w:rsidR="00CD0355" w:rsidRPr="00EB1DC6" w:rsidRDefault="00CD0355" w:rsidP="00CD0355">
      <w:pPr>
        <w:pStyle w:val="A"/>
        <w:spacing w:after="0"/>
      </w:pPr>
    </w:p>
    <w:p w14:paraId="3066F5BE" w14:textId="77777777" w:rsidR="00CD0355" w:rsidRPr="001531CD" w:rsidRDefault="00CD0355" w:rsidP="00CD0355">
      <w:pPr>
        <w:pStyle w:val="AuthorityNote"/>
      </w:pPr>
      <w:r w:rsidRPr="00D55B14">
        <w:t>AUTHORITY NOTE:</w:t>
      </w:r>
      <w:r w:rsidRPr="00D55B14">
        <w:tab/>
        <w:t>Promulgated in accordance with R.S. 3:1433.</w:t>
      </w:r>
    </w:p>
    <w:p w14:paraId="78EE459F" w14:textId="77777777" w:rsidR="00CD0355" w:rsidRPr="00DB3AA3" w:rsidRDefault="00CD0355" w:rsidP="00CD0355">
      <w:pPr>
        <w:pStyle w:val="HistoricalNote"/>
      </w:pPr>
      <w:r w:rsidRPr="001531CD">
        <w:t>HISTORICAL NOTE:</w:t>
      </w:r>
      <w:r w:rsidRPr="001531CD">
        <w:tab/>
        <w:t xml:space="preserve">Promulgated by the Department of Agriculture and Forestry, Office of Agricultural and Environmental Sciences, Seed Commission, LR 37:2982 (October 2011), LR 39:1760 (July 2013), repromulgated by the Department of Agriculture and Forestry, Office of Agricultural and Environmental Sciences, Agricultural Chemistry and Seed Commission, LR 39:2718 (October </w:t>
      </w:r>
      <w:r w:rsidRPr="00DB3AA3">
        <w:t>2013), amended LR 40:752 (April 2014).</w:t>
      </w:r>
    </w:p>
    <w:p w14:paraId="67F1EF87" w14:textId="77777777" w:rsidR="00CD0355" w:rsidRPr="001531CD" w:rsidRDefault="00CD0355" w:rsidP="00CD0355">
      <w:pPr>
        <w:pStyle w:val="Section"/>
      </w:pPr>
      <w:bookmarkStart w:id="1133" w:name="_Toc224818803"/>
      <w:r w:rsidRPr="00DB3AA3">
        <w:t>§719.</w:t>
      </w:r>
      <w:r w:rsidRPr="00DB3AA3">
        <w:tab/>
        <w:t>Smooth Cordgrass (</w:t>
      </w:r>
      <w:r w:rsidRPr="00DB3AA3">
        <w:rPr>
          <w:i/>
        </w:rPr>
        <w:t>Spartina alterniflora</w:t>
      </w:r>
      <w:r w:rsidRPr="00DB3AA3">
        <w:t>)</w:t>
      </w:r>
      <w:r w:rsidRPr="001531CD">
        <w:t xml:space="preserve"> Certification Standards</w:t>
      </w:r>
      <w:bookmarkEnd w:id="1133"/>
      <w:r w:rsidRPr="001531CD">
        <w:t xml:space="preserve"> </w:t>
      </w:r>
    </w:p>
    <w:p w14:paraId="477EF72B" w14:textId="77777777" w:rsidR="00CD0355" w:rsidRPr="00D55B14" w:rsidRDefault="00CD0355" w:rsidP="00CD0355">
      <w:pPr>
        <w:pStyle w:val="A"/>
      </w:pPr>
      <w:r w:rsidRPr="00D55B14">
        <w:t>A.</w:t>
      </w:r>
      <w:r w:rsidRPr="00D55B14">
        <w:tab/>
        <w:t xml:space="preserve">LDAF shall issue numbered certified bulk sales certificates or tags when requested to do so by a grower who has met the requirements and standards set forth in this Section. The numbered certified certificates or tags shall accompany each shipment of certified seed or vegetatively propagated material. </w:t>
      </w:r>
    </w:p>
    <w:p w14:paraId="6CDD0063" w14:textId="77777777" w:rsidR="00CD0355" w:rsidRPr="00D55B14" w:rsidRDefault="00CD0355" w:rsidP="00CD0355">
      <w:pPr>
        <w:pStyle w:val="A"/>
        <w:rPr>
          <w:dstrike/>
        </w:rPr>
      </w:pPr>
      <w:r w:rsidRPr="00D55B14">
        <w:t>B.</w:t>
      </w:r>
      <w:r w:rsidRPr="00D55B14">
        <w:tab/>
        <w:t>Definitions. The following words and terms when used in this Section, shall have the following meanings, unless the context clearly indicates otherwise.</w:t>
      </w:r>
    </w:p>
    <w:p w14:paraId="7564D903" w14:textId="77777777" w:rsidR="00CD0355" w:rsidRPr="00D55B14" w:rsidRDefault="00CD0355" w:rsidP="00CD0355">
      <w:pPr>
        <w:pStyle w:val="1"/>
      </w:pPr>
      <w:r w:rsidRPr="00D55B14">
        <w:rPr>
          <w:i/>
        </w:rPr>
        <w:t>Generation 1 (G1)</w:t>
      </w:r>
      <w:r w:rsidRPr="00D55B14">
        <w:sym w:font="Symbol" w:char="F0BE"/>
      </w:r>
      <w:r w:rsidRPr="00D55B14">
        <w:t>the vegetative increase of tested class G0.</w:t>
      </w:r>
    </w:p>
    <w:p w14:paraId="38E63C74" w14:textId="77777777" w:rsidR="00CD0355" w:rsidRPr="00D55B14" w:rsidRDefault="00CD0355" w:rsidP="00CD0355">
      <w:pPr>
        <w:pStyle w:val="1"/>
      </w:pPr>
      <w:r w:rsidRPr="00D55B14">
        <w:rPr>
          <w:i/>
        </w:rPr>
        <w:t>Generation 2 (G2)</w:t>
      </w:r>
      <w:r w:rsidRPr="00D55B14">
        <w:sym w:font="Symbol" w:char="F0BE"/>
      </w:r>
      <w:r w:rsidRPr="00D55B14">
        <w:t>the seed production or vegetative increase of tested class G1.</w:t>
      </w:r>
    </w:p>
    <w:p w14:paraId="73AA0B6C" w14:textId="77777777" w:rsidR="00CD0355" w:rsidRPr="00D55B14" w:rsidRDefault="00CD0355" w:rsidP="00CD0355">
      <w:pPr>
        <w:pStyle w:val="1"/>
      </w:pPr>
      <w:r w:rsidRPr="00D55B14">
        <w:rPr>
          <w:i/>
        </w:rPr>
        <w:t>Generation 3 (G3)</w:t>
      </w:r>
      <w:r w:rsidRPr="00D55B14">
        <w:sym w:font="Symbol" w:char="F0BE"/>
      </w:r>
      <w:r w:rsidRPr="00D55B14">
        <w:t xml:space="preserve">the seed production of tested class G1 or G2. </w:t>
      </w:r>
    </w:p>
    <w:p w14:paraId="5D8533E8" w14:textId="77777777" w:rsidR="00CD0355" w:rsidRPr="00D55B14" w:rsidRDefault="00CD0355" w:rsidP="00CD0355">
      <w:pPr>
        <w:pStyle w:val="1"/>
      </w:pPr>
      <w:r w:rsidRPr="00D55B14">
        <w:rPr>
          <w:i/>
        </w:rPr>
        <w:t>Tested Germplasm</w:t>
      </w:r>
      <w:r w:rsidRPr="00D55B14">
        <w:sym w:font="Symbol" w:char="F0BE"/>
      </w:r>
      <w:r w:rsidRPr="00D55B14">
        <w:t xml:space="preserve">the progeny of plants whose parentage has been tested and has proven genetic superiority or possess distinctive traits for which the heritability is stable. </w:t>
      </w:r>
    </w:p>
    <w:p w14:paraId="5A2526EB" w14:textId="77777777" w:rsidR="00CD0355" w:rsidRPr="00B265BE" w:rsidRDefault="00CD0355" w:rsidP="00CD0355">
      <w:pPr>
        <w:pStyle w:val="A"/>
      </w:pPr>
      <w:r w:rsidRPr="00B265BE">
        <w:t>C.</w:t>
      </w:r>
      <w:r w:rsidRPr="00B265BE">
        <w:tab/>
        <w:t xml:space="preserve">Production Requirements. To be eligible for the production of all certified classes, production ponds and containers/tanks shall be left undisturbed for a minimum of four weeks prior to planting, and found to be free of smooth cordgrass and noxious and objectionable weeds. </w:t>
      </w:r>
    </w:p>
    <w:p w14:paraId="5E52E4D4" w14:textId="77777777" w:rsidR="00CD0355" w:rsidRPr="00B265BE" w:rsidRDefault="00CD0355" w:rsidP="00CD0355">
      <w:pPr>
        <w:pStyle w:val="1"/>
      </w:pPr>
      <w:r>
        <w:t>1.</w:t>
      </w:r>
      <w:r>
        <w:tab/>
      </w:r>
      <w:r w:rsidRPr="00B265BE">
        <w:t>Pond Requirements of Vegetatively Propagated Stock</w:t>
      </w:r>
    </w:p>
    <w:p w14:paraId="2D218297" w14:textId="77777777" w:rsidR="00CD0355" w:rsidRPr="00B265BE" w:rsidRDefault="00CD0355" w:rsidP="00CD0355">
      <w:pPr>
        <w:pStyle w:val="a0"/>
        <w:rPr>
          <w:color w:val="000000"/>
        </w:rPr>
      </w:pPr>
      <w:r>
        <w:t>a.</w:t>
      </w:r>
      <w:r>
        <w:tab/>
      </w:r>
      <w:r w:rsidRPr="00B265BE">
        <w:t xml:space="preserve">Ponds shall be contained by levees. </w:t>
      </w:r>
    </w:p>
    <w:p w14:paraId="799BB212" w14:textId="77777777" w:rsidR="00CD0355" w:rsidRPr="00B265BE" w:rsidRDefault="00CD0355" w:rsidP="00CD0355">
      <w:pPr>
        <w:pStyle w:val="a0"/>
        <w:rPr>
          <w:color w:val="000000"/>
        </w:rPr>
      </w:pPr>
      <w:r>
        <w:t>b.</w:t>
      </w:r>
      <w:r>
        <w:tab/>
      </w:r>
      <w:r w:rsidRPr="00B265BE">
        <w:t>Only one variety shall be grown per pond.</w:t>
      </w:r>
    </w:p>
    <w:p w14:paraId="650B46DC" w14:textId="77777777" w:rsidR="00CD0355" w:rsidRPr="00B265BE" w:rsidRDefault="00CD0355" w:rsidP="00CD0355">
      <w:pPr>
        <w:pStyle w:val="a0"/>
        <w:rPr>
          <w:color w:val="000000"/>
        </w:rPr>
      </w:pPr>
      <w:r>
        <w:t>c.</w:t>
      </w:r>
      <w:r>
        <w:tab/>
      </w:r>
      <w:r w:rsidRPr="00B265BE">
        <w:t>Ponds of different varieties must be separated by the minimum isolation distance at all points.</w:t>
      </w:r>
    </w:p>
    <w:p w14:paraId="7CAA5C88" w14:textId="77777777" w:rsidR="00CD0355" w:rsidRPr="00B265BE" w:rsidRDefault="00CD0355" w:rsidP="00CD0355">
      <w:pPr>
        <w:pStyle w:val="a0"/>
        <w:rPr>
          <w:color w:val="000000"/>
        </w:rPr>
      </w:pPr>
      <w:r>
        <w:t>d.</w:t>
      </w:r>
      <w:r>
        <w:tab/>
      </w:r>
      <w:r w:rsidRPr="00B265BE">
        <w:t>Ponds must have individual water supplies and water drainage capabilities for each produced variety.</w:t>
      </w:r>
      <w:r>
        <w:t xml:space="preserve"> </w:t>
      </w:r>
    </w:p>
    <w:p w14:paraId="2EACBBDA" w14:textId="77777777" w:rsidR="00CD0355" w:rsidRPr="00B265BE" w:rsidRDefault="00CD0355" w:rsidP="00CD0355">
      <w:pPr>
        <w:pStyle w:val="a0"/>
        <w:rPr>
          <w:color w:val="000000"/>
        </w:rPr>
      </w:pPr>
      <w:r>
        <w:t>e.</w:t>
      </w:r>
      <w:r>
        <w:tab/>
      </w:r>
      <w:r w:rsidRPr="00B265BE">
        <w:t>All seed heads shall be routinely removed from plants after flowering begins to ensure viable seed are not produced.</w:t>
      </w:r>
    </w:p>
    <w:p w14:paraId="33AF6A25" w14:textId="77777777" w:rsidR="00CD0355" w:rsidRPr="00B265BE" w:rsidRDefault="00CD0355" w:rsidP="00CD0355">
      <w:pPr>
        <w:pStyle w:val="a0"/>
        <w:rPr>
          <w:color w:val="000000"/>
        </w:rPr>
      </w:pPr>
      <w:r>
        <w:lastRenderedPageBreak/>
        <w:t>f.</w:t>
      </w:r>
      <w:r>
        <w:tab/>
      </w:r>
      <w:r w:rsidRPr="00B265BE">
        <w:t>Vegetative production ponds of the “certified class” only may be located within natural tidal influenced areas.</w:t>
      </w:r>
    </w:p>
    <w:p w14:paraId="6B87E003" w14:textId="77777777" w:rsidR="00CD0355" w:rsidRPr="00B265BE" w:rsidRDefault="00CD0355" w:rsidP="00CD0355">
      <w:pPr>
        <w:pStyle w:val="1"/>
      </w:pPr>
      <w:r>
        <w:t>2.</w:t>
      </w:r>
      <w:r>
        <w:tab/>
      </w:r>
      <w:r w:rsidRPr="00B265BE">
        <w:t>Container/Tank</w:t>
      </w:r>
      <w:r>
        <w:t xml:space="preserve"> </w:t>
      </w:r>
      <w:r w:rsidRPr="00B265BE">
        <w:t>Requirements of Vegetatively Propagated Plant Stock</w:t>
      </w:r>
    </w:p>
    <w:p w14:paraId="56A9B35F" w14:textId="77777777" w:rsidR="00CD0355" w:rsidRPr="00B265BE" w:rsidRDefault="00CD0355" w:rsidP="00CD0355">
      <w:pPr>
        <w:pStyle w:val="a0"/>
      </w:pPr>
      <w:r>
        <w:t>a.</w:t>
      </w:r>
      <w:r>
        <w:tab/>
      </w:r>
      <w:r w:rsidRPr="00B265BE">
        <w:t xml:space="preserve">Soil used for container/tank production shall: </w:t>
      </w:r>
    </w:p>
    <w:p w14:paraId="47532D16" w14:textId="77777777" w:rsidR="00CD0355" w:rsidRPr="00B265BE" w:rsidRDefault="00CD0355" w:rsidP="00CD0355">
      <w:pPr>
        <w:pStyle w:val="i0"/>
      </w:pPr>
      <w:r>
        <w:tab/>
      </w:r>
      <w:r w:rsidRPr="00B265BE">
        <w:t>i.</w:t>
      </w:r>
      <w:r w:rsidRPr="00B265BE">
        <w:tab/>
        <w:t xml:space="preserve">come from an area that has not produced smooth cordgrass for a minimum of one year; and </w:t>
      </w:r>
    </w:p>
    <w:p w14:paraId="5CF57C35" w14:textId="77777777" w:rsidR="00CD0355" w:rsidRPr="00B265BE" w:rsidRDefault="00CD0355" w:rsidP="00CD0355">
      <w:pPr>
        <w:pStyle w:val="i0"/>
      </w:pPr>
      <w:r>
        <w:tab/>
      </w:r>
      <w:r w:rsidRPr="00B265BE">
        <w:t>ii.</w:t>
      </w:r>
      <w:r w:rsidRPr="00B265BE">
        <w:tab/>
        <w:t>be free of visible smooth cordgrass rhizomes and stems prior to transplanting.</w:t>
      </w:r>
    </w:p>
    <w:p w14:paraId="50AAE794" w14:textId="77777777" w:rsidR="00CD0355" w:rsidRPr="00B265BE" w:rsidRDefault="00CD0355" w:rsidP="00CD0355">
      <w:pPr>
        <w:pStyle w:val="a0"/>
      </w:pPr>
      <w:r>
        <w:t>b.</w:t>
      </w:r>
      <w:r>
        <w:tab/>
      </w:r>
      <w:r w:rsidRPr="00B265BE">
        <w:t>Only one variety shall be grown per container/tank.</w:t>
      </w:r>
      <w:r>
        <w:t xml:space="preserve"> </w:t>
      </w:r>
    </w:p>
    <w:p w14:paraId="4782E8F0" w14:textId="77777777" w:rsidR="00CD0355" w:rsidRPr="00B265BE" w:rsidRDefault="00CD0355" w:rsidP="00CD0355">
      <w:pPr>
        <w:pStyle w:val="a0"/>
        <w:rPr>
          <w:color w:val="000000"/>
        </w:rPr>
      </w:pPr>
      <w:r>
        <w:t>c.</w:t>
      </w:r>
      <w:r>
        <w:tab/>
      </w:r>
      <w:r w:rsidRPr="00B265BE">
        <w:t>Different</w:t>
      </w:r>
      <w:r w:rsidRPr="00B265BE">
        <w:rPr>
          <w:color w:val="000000"/>
        </w:rPr>
        <w:t xml:space="preserve"> varieties shall be grown in separate tanks </w:t>
      </w:r>
      <w:r w:rsidRPr="00B265BE">
        <w:t>and shall have individual water supplies and drainage capabilities</w:t>
      </w:r>
      <w:r w:rsidRPr="00B265BE">
        <w:rPr>
          <w:color w:val="000000"/>
        </w:rPr>
        <w:t>.</w:t>
      </w:r>
    </w:p>
    <w:p w14:paraId="042F26AB" w14:textId="77777777" w:rsidR="00CD0355" w:rsidRPr="00B265BE" w:rsidRDefault="00CD0355" w:rsidP="00CD0355">
      <w:pPr>
        <w:pStyle w:val="a0"/>
      </w:pPr>
      <w:r>
        <w:t>d.</w:t>
      </w:r>
      <w:r>
        <w:tab/>
      </w:r>
      <w:r w:rsidRPr="00B265BE">
        <w:t xml:space="preserve">All seed heads shall be routinely removed from plants after flowering begins to ensure viable seed are not produced. </w:t>
      </w:r>
    </w:p>
    <w:p w14:paraId="1FEB1BAE" w14:textId="77777777" w:rsidR="00CD0355" w:rsidRPr="00B265BE" w:rsidRDefault="00CD0355" w:rsidP="00CD0355">
      <w:pPr>
        <w:pStyle w:val="1"/>
      </w:pPr>
      <w:r>
        <w:t>3.</w:t>
      </w:r>
      <w:r>
        <w:tab/>
      </w:r>
      <w:r w:rsidRPr="00B265BE">
        <w:t>Seed Production Pond Requirements</w:t>
      </w:r>
    </w:p>
    <w:p w14:paraId="1991A679" w14:textId="77777777" w:rsidR="00CD0355" w:rsidRPr="00B265BE" w:rsidRDefault="00CD0355" w:rsidP="00CD0355">
      <w:pPr>
        <w:pStyle w:val="a0"/>
      </w:pPr>
      <w:r>
        <w:t>a.</w:t>
      </w:r>
      <w:r>
        <w:tab/>
      </w:r>
      <w:r w:rsidRPr="00B265BE">
        <w:t>Ponds shall be contained by levees.</w:t>
      </w:r>
    </w:p>
    <w:p w14:paraId="03AC35A5" w14:textId="77777777" w:rsidR="00CD0355" w:rsidRPr="00B265BE" w:rsidRDefault="00CD0355" w:rsidP="00CD0355">
      <w:pPr>
        <w:pStyle w:val="a0"/>
      </w:pPr>
      <w:r>
        <w:t>b.</w:t>
      </w:r>
      <w:r>
        <w:tab/>
      </w:r>
      <w:r w:rsidRPr="00B265BE">
        <w:t>Ponds containing different varieties must be separated by the minimum isolation distance at all points.</w:t>
      </w:r>
    </w:p>
    <w:p w14:paraId="0092AB93" w14:textId="77777777" w:rsidR="00CD0355" w:rsidRPr="00B265BE" w:rsidRDefault="00CD0355" w:rsidP="00CD0355">
      <w:pPr>
        <w:pStyle w:val="A"/>
      </w:pPr>
      <w:r w:rsidRPr="00B265BE">
        <w:t>D.</w:t>
      </w:r>
      <w:r w:rsidRPr="00B265BE">
        <w:tab/>
        <w:t>Grower Inspections</w:t>
      </w:r>
    </w:p>
    <w:p w14:paraId="15CCD576" w14:textId="77777777" w:rsidR="00CD0355" w:rsidRPr="00B265BE" w:rsidRDefault="00CD0355" w:rsidP="00CD0355">
      <w:pPr>
        <w:pStyle w:val="1"/>
      </w:pPr>
      <w:r w:rsidRPr="00B265BE">
        <w:t>1.</w:t>
      </w:r>
      <w:r w:rsidRPr="00B265BE">
        <w:tab/>
        <w:t>Production ponds, tanks, and containers shall be routinely inspected by the grower to ensure that all requirements of this Section are being met.</w:t>
      </w:r>
    </w:p>
    <w:p w14:paraId="6E25C60A" w14:textId="77777777" w:rsidR="00CD0355" w:rsidRPr="00B265BE" w:rsidRDefault="00CD0355" w:rsidP="00CD0355">
      <w:pPr>
        <w:pStyle w:val="A"/>
      </w:pPr>
      <w:r w:rsidRPr="00B265BE">
        <w:t>E.</w:t>
      </w:r>
      <w:r w:rsidRPr="00B265BE">
        <w:tab/>
        <w:t>LDAF Inspections. Production ponds and containers/tanks shall be made accessible for inspection by the grower.</w:t>
      </w:r>
      <w:r>
        <w:t xml:space="preserve"> </w:t>
      </w:r>
    </w:p>
    <w:p w14:paraId="3A2B5F7D" w14:textId="77777777" w:rsidR="00CD0355" w:rsidRPr="00B265BE" w:rsidRDefault="00CD0355" w:rsidP="00CD0355">
      <w:pPr>
        <w:pStyle w:val="1"/>
      </w:pPr>
      <w:r>
        <w:t>1.</w:t>
      </w:r>
      <w:r>
        <w:tab/>
      </w:r>
      <w:r w:rsidRPr="00B265BE">
        <w:t xml:space="preserve">Production ponds and containers/tanks shall be inspected by LDAF within four weeks prior to transplanting to ensure production ponds and containers/tanks are free of volunteer smooth cordgrass plants and noxious and objectionable weeds. All ponds and containers/tanks shall be non-flooded at time of pre-plant inspection. </w:t>
      </w:r>
    </w:p>
    <w:p w14:paraId="2CFB0538" w14:textId="77777777" w:rsidR="00CD0355" w:rsidRPr="00B265BE" w:rsidRDefault="00CD0355" w:rsidP="00CD0355">
      <w:pPr>
        <w:pStyle w:val="1"/>
      </w:pPr>
      <w:r>
        <w:t>2.</w:t>
      </w:r>
      <w:r>
        <w:tab/>
      </w:r>
      <w:r w:rsidRPr="00B265BE">
        <w:t xml:space="preserve">Shall be inspected by LDAF a minimum of once a year, after transplanting, to ensure that all requirements of this Section are being met. </w:t>
      </w:r>
    </w:p>
    <w:p w14:paraId="350401C6" w14:textId="77777777" w:rsidR="00CD0355" w:rsidRPr="00B265BE" w:rsidRDefault="00CD0355" w:rsidP="00CD0355">
      <w:pPr>
        <w:pStyle w:val="1"/>
      </w:pPr>
      <w:r>
        <w:t>3.</w:t>
      </w:r>
      <w:r>
        <w:tab/>
      </w:r>
      <w:r w:rsidRPr="00B265BE">
        <w:t xml:space="preserve">Additional inspections may be performed at the discretion of LDAF at any time without prior notice. </w:t>
      </w:r>
    </w:p>
    <w:p w14:paraId="75C4C6E4" w14:textId="77777777" w:rsidR="00CD0355" w:rsidRDefault="00CD0355" w:rsidP="00CD0355">
      <w:pPr>
        <w:pStyle w:val="A"/>
      </w:pPr>
      <w:r w:rsidRPr="00B265BE">
        <w:t>F.</w:t>
      </w:r>
      <w:r w:rsidRPr="00B265BE">
        <w:tab/>
        <w:t>Field Standards Production Ponds/Containers/Tanks</w:t>
      </w:r>
    </w:p>
    <w:tbl>
      <w:tblPr>
        <w:tblW w:w="52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114"/>
        <w:gridCol w:w="1025"/>
        <w:gridCol w:w="1025"/>
        <w:gridCol w:w="1025"/>
        <w:gridCol w:w="1105"/>
      </w:tblGrid>
      <w:tr w:rsidR="00CD0355" w:rsidRPr="009945D1" w14:paraId="004D86B3" w14:textId="77777777" w:rsidTr="00CD0355">
        <w:trPr>
          <w:cantSplit/>
          <w:tblHeader/>
          <w:jc w:val="center"/>
        </w:trPr>
        <w:tc>
          <w:tcPr>
            <w:tcW w:w="1279" w:type="dxa"/>
            <w:tcBorders>
              <w:top w:val="double" w:sz="6" w:space="0" w:color="auto"/>
              <w:bottom w:val="single" w:sz="6" w:space="0" w:color="auto"/>
            </w:tcBorders>
            <w:shd w:val="pct25" w:color="auto" w:fill="auto"/>
            <w:vAlign w:val="bottom"/>
          </w:tcPr>
          <w:p w14:paraId="190F215A" w14:textId="77777777" w:rsidR="00CD0355" w:rsidRPr="00043914" w:rsidRDefault="00CD0355" w:rsidP="00CD0355">
            <w:pPr>
              <w:keepNext/>
              <w:jc w:val="center"/>
              <w:rPr>
                <w:b/>
                <w:sz w:val="16"/>
                <w:szCs w:val="16"/>
              </w:rPr>
            </w:pPr>
            <w:r w:rsidRPr="00043914">
              <w:rPr>
                <w:b/>
                <w:sz w:val="16"/>
                <w:szCs w:val="16"/>
              </w:rPr>
              <w:t>Factor</w:t>
            </w:r>
          </w:p>
        </w:tc>
        <w:tc>
          <w:tcPr>
            <w:tcW w:w="860" w:type="dxa"/>
            <w:tcBorders>
              <w:top w:val="double" w:sz="6" w:space="0" w:color="auto"/>
              <w:bottom w:val="single" w:sz="6" w:space="0" w:color="auto"/>
            </w:tcBorders>
            <w:shd w:val="pct25" w:color="auto" w:fill="auto"/>
            <w:vAlign w:val="bottom"/>
          </w:tcPr>
          <w:p w14:paraId="747F2B5F" w14:textId="77777777" w:rsidR="00CD0355" w:rsidRPr="00043914" w:rsidRDefault="00CD0355" w:rsidP="00CD0355">
            <w:pPr>
              <w:keepNext/>
              <w:jc w:val="center"/>
              <w:rPr>
                <w:b/>
                <w:sz w:val="16"/>
                <w:szCs w:val="16"/>
              </w:rPr>
            </w:pPr>
            <w:r w:rsidRPr="00043914">
              <w:rPr>
                <w:b/>
                <w:sz w:val="16"/>
                <w:szCs w:val="16"/>
              </w:rPr>
              <w:t>Foundation and Tested G1 Germplasm</w:t>
            </w:r>
          </w:p>
        </w:tc>
        <w:tc>
          <w:tcPr>
            <w:tcW w:w="1025" w:type="dxa"/>
            <w:tcBorders>
              <w:top w:val="double" w:sz="6" w:space="0" w:color="auto"/>
              <w:bottom w:val="single" w:sz="6" w:space="0" w:color="auto"/>
            </w:tcBorders>
            <w:shd w:val="pct25" w:color="auto" w:fill="auto"/>
            <w:vAlign w:val="bottom"/>
          </w:tcPr>
          <w:p w14:paraId="4DAFC5C2" w14:textId="77777777" w:rsidR="00CD0355" w:rsidRPr="00043914" w:rsidRDefault="00CD0355" w:rsidP="00CD0355">
            <w:pPr>
              <w:keepNext/>
              <w:jc w:val="center"/>
              <w:rPr>
                <w:b/>
                <w:sz w:val="16"/>
                <w:szCs w:val="16"/>
              </w:rPr>
            </w:pPr>
            <w:r w:rsidRPr="00043914">
              <w:rPr>
                <w:b/>
                <w:sz w:val="16"/>
                <w:szCs w:val="16"/>
              </w:rPr>
              <w:t>Registered and Tested G2 Germplasm</w:t>
            </w:r>
          </w:p>
        </w:tc>
        <w:tc>
          <w:tcPr>
            <w:tcW w:w="1025" w:type="dxa"/>
            <w:tcBorders>
              <w:top w:val="double" w:sz="6" w:space="0" w:color="auto"/>
              <w:bottom w:val="single" w:sz="6" w:space="0" w:color="auto"/>
            </w:tcBorders>
            <w:shd w:val="pct25" w:color="auto" w:fill="auto"/>
            <w:vAlign w:val="bottom"/>
          </w:tcPr>
          <w:p w14:paraId="6B429331" w14:textId="77777777" w:rsidR="00CD0355" w:rsidRPr="00043914" w:rsidRDefault="00CD0355" w:rsidP="00CD0355">
            <w:pPr>
              <w:keepNext/>
              <w:jc w:val="center"/>
              <w:rPr>
                <w:b/>
                <w:sz w:val="16"/>
                <w:szCs w:val="16"/>
              </w:rPr>
            </w:pPr>
            <w:r w:rsidRPr="00043914">
              <w:rPr>
                <w:b/>
                <w:sz w:val="16"/>
                <w:szCs w:val="16"/>
              </w:rPr>
              <w:t>Certified and Tested G3 Germplasm</w:t>
            </w:r>
          </w:p>
        </w:tc>
        <w:tc>
          <w:tcPr>
            <w:tcW w:w="1105" w:type="dxa"/>
            <w:tcBorders>
              <w:top w:val="double" w:sz="6" w:space="0" w:color="auto"/>
              <w:bottom w:val="single" w:sz="6" w:space="0" w:color="auto"/>
            </w:tcBorders>
            <w:shd w:val="pct25" w:color="auto" w:fill="auto"/>
            <w:vAlign w:val="bottom"/>
          </w:tcPr>
          <w:p w14:paraId="7415B855" w14:textId="77777777" w:rsidR="00CD0355" w:rsidRPr="00043914" w:rsidRDefault="00CD0355" w:rsidP="00CD0355">
            <w:pPr>
              <w:keepNext/>
              <w:jc w:val="center"/>
              <w:rPr>
                <w:b/>
                <w:sz w:val="16"/>
                <w:szCs w:val="16"/>
              </w:rPr>
            </w:pPr>
            <w:r w:rsidRPr="00043914">
              <w:rPr>
                <w:b/>
                <w:sz w:val="16"/>
                <w:szCs w:val="16"/>
              </w:rPr>
              <w:t>Seed Production Fields (All Generations)</w:t>
            </w:r>
          </w:p>
        </w:tc>
      </w:tr>
      <w:tr w:rsidR="00CD0355" w:rsidRPr="009945D1" w14:paraId="5E82F37A" w14:textId="77777777" w:rsidTr="00CD0355">
        <w:trPr>
          <w:cantSplit/>
          <w:jc w:val="center"/>
        </w:trPr>
        <w:tc>
          <w:tcPr>
            <w:tcW w:w="1279" w:type="dxa"/>
            <w:tcBorders>
              <w:top w:val="single" w:sz="6" w:space="0" w:color="auto"/>
            </w:tcBorders>
            <w:vAlign w:val="bottom"/>
          </w:tcPr>
          <w:p w14:paraId="39353135" w14:textId="77777777" w:rsidR="00CD0355" w:rsidRPr="00043914" w:rsidRDefault="00CD0355" w:rsidP="00CD0355">
            <w:pPr>
              <w:jc w:val="both"/>
              <w:rPr>
                <w:sz w:val="16"/>
                <w:szCs w:val="16"/>
              </w:rPr>
            </w:pPr>
            <w:r w:rsidRPr="00043914">
              <w:rPr>
                <w:sz w:val="16"/>
                <w:szCs w:val="16"/>
              </w:rPr>
              <w:t>Maximum Unit Life</w:t>
            </w:r>
            <w:r>
              <w:rPr>
                <w:sz w:val="16"/>
                <w:szCs w:val="16"/>
              </w:rPr>
              <w:t xml:space="preserve"> (1)</w:t>
            </w:r>
          </w:p>
        </w:tc>
        <w:tc>
          <w:tcPr>
            <w:tcW w:w="860" w:type="dxa"/>
            <w:tcBorders>
              <w:top w:val="single" w:sz="6" w:space="0" w:color="auto"/>
            </w:tcBorders>
            <w:vAlign w:val="bottom"/>
          </w:tcPr>
          <w:p w14:paraId="48AD903A" w14:textId="77777777" w:rsidR="00CD0355" w:rsidRPr="00043914" w:rsidRDefault="00CD0355" w:rsidP="00CD0355">
            <w:pPr>
              <w:rPr>
                <w:sz w:val="16"/>
                <w:szCs w:val="16"/>
              </w:rPr>
            </w:pPr>
            <w:r w:rsidRPr="00043914">
              <w:rPr>
                <w:sz w:val="16"/>
                <w:szCs w:val="16"/>
              </w:rPr>
              <w:t>4 years</w:t>
            </w:r>
          </w:p>
        </w:tc>
        <w:tc>
          <w:tcPr>
            <w:tcW w:w="1025" w:type="dxa"/>
            <w:tcBorders>
              <w:top w:val="single" w:sz="6" w:space="0" w:color="auto"/>
            </w:tcBorders>
            <w:vAlign w:val="bottom"/>
          </w:tcPr>
          <w:p w14:paraId="4582DE5B" w14:textId="77777777" w:rsidR="00CD0355" w:rsidRPr="00043914" w:rsidRDefault="00CD0355" w:rsidP="00CD0355">
            <w:pPr>
              <w:rPr>
                <w:sz w:val="16"/>
                <w:szCs w:val="16"/>
              </w:rPr>
            </w:pPr>
            <w:r w:rsidRPr="00043914">
              <w:rPr>
                <w:sz w:val="16"/>
                <w:szCs w:val="16"/>
              </w:rPr>
              <w:t>6 years</w:t>
            </w:r>
          </w:p>
        </w:tc>
        <w:tc>
          <w:tcPr>
            <w:tcW w:w="1025" w:type="dxa"/>
            <w:tcBorders>
              <w:top w:val="single" w:sz="6" w:space="0" w:color="auto"/>
            </w:tcBorders>
            <w:vAlign w:val="bottom"/>
          </w:tcPr>
          <w:p w14:paraId="4899285E" w14:textId="77777777" w:rsidR="00CD0355" w:rsidRPr="00043914" w:rsidRDefault="00CD0355" w:rsidP="00CD0355">
            <w:pPr>
              <w:rPr>
                <w:sz w:val="16"/>
                <w:szCs w:val="16"/>
              </w:rPr>
            </w:pPr>
            <w:r w:rsidRPr="00043914">
              <w:rPr>
                <w:sz w:val="16"/>
                <w:szCs w:val="16"/>
              </w:rPr>
              <w:t>Unlimited</w:t>
            </w:r>
          </w:p>
        </w:tc>
        <w:tc>
          <w:tcPr>
            <w:tcW w:w="1105" w:type="dxa"/>
            <w:tcBorders>
              <w:top w:val="single" w:sz="6" w:space="0" w:color="auto"/>
            </w:tcBorders>
            <w:vAlign w:val="bottom"/>
          </w:tcPr>
          <w:p w14:paraId="36AE79C9" w14:textId="77777777" w:rsidR="00CD0355" w:rsidRPr="00043914" w:rsidRDefault="00CD0355" w:rsidP="00CD0355">
            <w:pPr>
              <w:rPr>
                <w:sz w:val="16"/>
                <w:szCs w:val="16"/>
              </w:rPr>
            </w:pPr>
            <w:r w:rsidRPr="00043914">
              <w:rPr>
                <w:sz w:val="16"/>
                <w:szCs w:val="16"/>
              </w:rPr>
              <w:t>5 years</w:t>
            </w:r>
          </w:p>
        </w:tc>
      </w:tr>
      <w:tr w:rsidR="00CD0355" w:rsidRPr="009945D1" w14:paraId="3A3F4E51" w14:textId="77777777" w:rsidTr="00CD0355">
        <w:trPr>
          <w:cantSplit/>
          <w:jc w:val="center"/>
        </w:trPr>
        <w:tc>
          <w:tcPr>
            <w:tcW w:w="1279" w:type="dxa"/>
            <w:vAlign w:val="center"/>
          </w:tcPr>
          <w:p w14:paraId="60C378E5" w14:textId="77777777" w:rsidR="00CD0355" w:rsidRPr="00043914" w:rsidRDefault="00CD0355" w:rsidP="00CD0355">
            <w:pPr>
              <w:jc w:val="both"/>
              <w:rPr>
                <w:strike/>
                <w:sz w:val="16"/>
                <w:szCs w:val="16"/>
              </w:rPr>
            </w:pPr>
            <w:r w:rsidRPr="00043914">
              <w:rPr>
                <w:sz w:val="16"/>
                <w:szCs w:val="16"/>
              </w:rPr>
              <w:t>Land Requirements</w:t>
            </w:r>
          </w:p>
        </w:tc>
        <w:tc>
          <w:tcPr>
            <w:tcW w:w="860" w:type="dxa"/>
            <w:vAlign w:val="bottom"/>
          </w:tcPr>
          <w:p w14:paraId="4601C068" w14:textId="77777777" w:rsidR="00CD0355" w:rsidRPr="00043914" w:rsidRDefault="00CD0355" w:rsidP="00CD0355">
            <w:pPr>
              <w:rPr>
                <w:sz w:val="16"/>
                <w:szCs w:val="16"/>
              </w:rPr>
            </w:pPr>
            <w:r w:rsidRPr="00043914">
              <w:rPr>
                <w:sz w:val="16"/>
                <w:szCs w:val="16"/>
              </w:rPr>
              <w:t>1 year</w:t>
            </w:r>
          </w:p>
        </w:tc>
        <w:tc>
          <w:tcPr>
            <w:tcW w:w="1025" w:type="dxa"/>
            <w:vAlign w:val="bottom"/>
          </w:tcPr>
          <w:p w14:paraId="4C3F401B" w14:textId="77777777" w:rsidR="00CD0355" w:rsidRPr="00043914" w:rsidRDefault="00CD0355" w:rsidP="00CD0355">
            <w:pPr>
              <w:rPr>
                <w:sz w:val="16"/>
                <w:szCs w:val="16"/>
              </w:rPr>
            </w:pPr>
            <w:r w:rsidRPr="00043914">
              <w:rPr>
                <w:sz w:val="16"/>
                <w:szCs w:val="16"/>
              </w:rPr>
              <w:t>1 year</w:t>
            </w:r>
          </w:p>
        </w:tc>
        <w:tc>
          <w:tcPr>
            <w:tcW w:w="1025" w:type="dxa"/>
            <w:vAlign w:val="bottom"/>
          </w:tcPr>
          <w:p w14:paraId="318B1BFC" w14:textId="77777777" w:rsidR="00CD0355" w:rsidRPr="00043914" w:rsidRDefault="00CD0355" w:rsidP="00CD0355">
            <w:pPr>
              <w:rPr>
                <w:sz w:val="16"/>
                <w:szCs w:val="16"/>
              </w:rPr>
            </w:pPr>
            <w:r w:rsidRPr="00043914">
              <w:rPr>
                <w:sz w:val="16"/>
                <w:szCs w:val="16"/>
              </w:rPr>
              <w:t>1 year</w:t>
            </w:r>
          </w:p>
        </w:tc>
        <w:tc>
          <w:tcPr>
            <w:tcW w:w="1105" w:type="dxa"/>
            <w:vAlign w:val="bottom"/>
          </w:tcPr>
          <w:p w14:paraId="40BD53A9" w14:textId="77777777" w:rsidR="00CD0355" w:rsidRPr="00043914" w:rsidRDefault="00CD0355" w:rsidP="00CD0355">
            <w:pPr>
              <w:rPr>
                <w:sz w:val="16"/>
                <w:szCs w:val="16"/>
              </w:rPr>
            </w:pPr>
            <w:r w:rsidRPr="00043914">
              <w:rPr>
                <w:sz w:val="16"/>
                <w:szCs w:val="16"/>
              </w:rPr>
              <w:t>1 year</w:t>
            </w:r>
          </w:p>
        </w:tc>
      </w:tr>
      <w:tr w:rsidR="00CD0355" w:rsidRPr="009945D1" w14:paraId="4FC74E9F" w14:textId="77777777" w:rsidTr="00CD0355">
        <w:trPr>
          <w:cantSplit/>
          <w:jc w:val="center"/>
        </w:trPr>
        <w:tc>
          <w:tcPr>
            <w:tcW w:w="5294" w:type="dxa"/>
            <w:gridSpan w:val="5"/>
            <w:vAlign w:val="center"/>
          </w:tcPr>
          <w:p w14:paraId="29AC3DB0" w14:textId="77777777" w:rsidR="00CD0355" w:rsidRPr="00043914" w:rsidRDefault="00CD0355" w:rsidP="00CD0355">
            <w:pPr>
              <w:jc w:val="both"/>
              <w:rPr>
                <w:b/>
                <w:sz w:val="16"/>
                <w:szCs w:val="16"/>
              </w:rPr>
            </w:pPr>
            <w:r w:rsidRPr="00043914">
              <w:rPr>
                <w:b/>
                <w:sz w:val="16"/>
                <w:szCs w:val="16"/>
              </w:rPr>
              <w:t xml:space="preserve">Isolation: </w:t>
            </w:r>
          </w:p>
        </w:tc>
      </w:tr>
      <w:tr w:rsidR="00CD0355" w:rsidRPr="009945D1" w14:paraId="072833E0" w14:textId="77777777" w:rsidTr="00CD0355">
        <w:trPr>
          <w:cantSplit/>
          <w:jc w:val="center"/>
        </w:trPr>
        <w:tc>
          <w:tcPr>
            <w:tcW w:w="1279" w:type="dxa"/>
            <w:vAlign w:val="center"/>
          </w:tcPr>
          <w:p w14:paraId="2C2000C1" w14:textId="77777777" w:rsidR="00CD0355" w:rsidRPr="00043914" w:rsidRDefault="00CD0355" w:rsidP="00CD0355">
            <w:pPr>
              <w:ind w:right="-98"/>
              <w:jc w:val="both"/>
              <w:rPr>
                <w:sz w:val="16"/>
                <w:szCs w:val="16"/>
              </w:rPr>
            </w:pPr>
            <w:r w:rsidRPr="00043914">
              <w:rPr>
                <w:sz w:val="16"/>
                <w:szCs w:val="16"/>
              </w:rPr>
              <w:t>Pond Production</w:t>
            </w:r>
          </w:p>
        </w:tc>
        <w:tc>
          <w:tcPr>
            <w:tcW w:w="860" w:type="dxa"/>
            <w:vAlign w:val="bottom"/>
          </w:tcPr>
          <w:p w14:paraId="62C9C188" w14:textId="77777777" w:rsidR="00CD0355" w:rsidRPr="00043914" w:rsidRDefault="00CD0355" w:rsidP="00CD0355">
            <w:pPr>
              <w:rPr>
                <w:sz w:val="16"/>
                <w:szCs w:val="16"/>
              </w:rPr>
            </w:pPr>
            <w:r w:rsidRPr="00043914">
              <w:rPr>
                <w:sz w:val="16"/>
                <w:szCs w:val="16"/>
              </w:rPr>
              <w:t>20 ft.</w:t>
            </w:r>
          </w:p>
        </w:tc>
        <w:tc>
          <w:tcPr>
            <w:tcW w:w="1025" w:type="dxa"/>
            <w:vAlign w:val="bottom"/>
          </w:tcPr>
          <w:p w14:paraId="71125AF1" w14:textId="77777777" w:rsidR="00CD0355" w:rsidRPr="00043914" w:rsidRDefault="00CD0355" w:rsidP="00CD0355">
            <w:pPr>
              <w:rPr>
                <w:sz w:val="16"/>
                <w:szCs w:val="16"/>
              </w:rPr>
            </w:pPr>
            <w:r w:rsidRPr="00043914">
              <w:rPr>
                <w:sz w:val="16"/>
                <w:szCs w:val="16"/>
              </w:rPr>
              <w:t>20 ft.</w:t>
            </w:r>
          </w:p>
        </w:tc>
        <w:tc>
          <w:tcPr>
            <w:tcW w:w="1025" w:type="dxa"/>
            <w:vAlign w:val="bottom"/>
          </w:tcPr>
          <w:p w14:paraId="6837B5E7" w14:textId="77777777" w:rsidR="00CD0355" w:rsidRPr="00043914" w:rsidRDefault="00CD0355" w:rsidP="00CD0355">
            <w:pPr>
              <w:rPr>
                <w:sz w:val="16"/>
                <w:szCs w:val="16"/>
              </w:rPr>
            </w:pPr>
            <w:r w:rsidRPr="00043914">
              <w:rPr>
                <w:sz w:val="16"/>
                <w:szCs w:val="16"/>
              </w:rPr>
              <w:t>20 ft.</w:t>
            </w:r>
          </w:p>
        </w:tc>
        <w:tc>
          <w:tcPr>
            <w:tcW w:w="1105" w:type="dxa"/>
            <w:vAlign w:val="bottom"/>
          </w:tcPr>
          <w:p w14:paraId="3C4A3D8E" w14:textId="77777777" w:rsidR="00CD0355" w:rsidRPr="00043914" w:rsidRDefault="00CD0355" w:rsidP="00CD0355">
            <w:pPr>
              <w:rPr>
                <w:sz w:val="16"/>
                <w:szCs w:val="16"/>
              </w:rPr>
            </w:pPr>
            <w:r w:rsidRPr="00043914">
              <w:rPr>
                <w:sz w:val="16"/>
                <w:szCs w:val="16"/>
              </w:rPr>
              <w:t>1200 ft.</w:t>
            </w:r>
          </w:p>
        </w:tc>
      </w:tr>
      <w:tr w:rsidR="00CD0355" w:rsidRPr="009945D1" w14:paraId="6A75EE65" w14:textId="77777777" w:rsidTr="00CD0355">
        <w:trPr>
          <w:cantSplit/>
          <w:jc w:val="center"/>
        </w:trPr>
        <w:tc>
          <w:tcPr>
            <w:tcW w:w="1279" w:type="dxa"/>
            <w:vAlign w:val="center"/>
          </w:tcPr>
          <w:p w14:paraId="2C5AD033" w14:textId="77777777" w:rsidR="00CD0355" w:rsidRPr="00043914" w:rsidRDefault="00CD0355" w:rsidP="00CD0355">
            <w:pPr>
              <w:ind w:right="-98"/>
              <w:jc w:val="both"/>
              <w:rPr>
                <w:sz w:val="16"/>
                <w:szCs w:val="16"/>
              </w:rPr>
            </w:pPr>
            <w:r w:rsidRPr="00043914">
              <w:rPr>
                <w:sz w:val="16"/>
                <w:szCs w:val="16"/>
              </w:rPr>
              <w:t>Tank Production</w:t>
            </w:r>
          </w:p>
        </w:tc>
        <w:tc>
          <w:tcPr>
            <w:tcW w:w="860" w:type="dxa"/>
            <w:vAlign w:val="center"/>
          </w:tcPr>
          <w:p w14:paraId="32F1F45E" w14:textId="77777777" w:rsidR="00CD0355" w:rsidRPr="00043914" w:rsidRDefault="00CD0355" w:rsidP="00CD0355">
            <w:pPr>
              <w:jc w:val="both"/>
              <w:rPr>
                <w:sz w:val="16"/>
                <w:szCs w:val="16"/>
              </w:rPr>
            </w:pPr>
            <w:r w:rsidRPr="00043914">
              <w:rPr>
                <w:sz w:val="16"/>
                <w:szCs w:val="16"/>
              </w:rPr>
              <w:t>One variety per tank</w:t>
            </w:r>
          </w:p>
        </w:tc>
        <w:tc>
          <w:tcPr>
            <w:tcW w:w="1025" w:type="dxa"/>
            <w:vAlign w:val="center"/>
          </w:tcPr>
          <w:p w14:paraId="07388AB3" w14:textId="77777777" w:rsidR="00CD0355" w:rsidRPr="00043914" w:rsidRDefault="00CD0355" w:rsidP="00CD0355">
            <w:pPr>
              <w:jc w:val="both"/>
              <w:rPr>
                <w:sz w:val="16"/>
                <w:szCs w:val="16"/>
              </w:rPr>
            </w:pPr>
            <w:r w:rsidRPr="00043914">
              <w:rPr>
                <w:sz w:val="16"/>
                <w:szCs w:val="16"/>
              </w:rPr>
              <w:t>One variety per tank</w:t>
            </w:r>
          </w:p>
        </w:tc>
        <w:tc>
          <w:tcPr>
            <w:tcW w:w="1025" w:type="dxa"/>
            <w:vAlign w:val="center"/>
          </w:tcPr>
          <w:p w14:paraId="1F2DB29F" w14:textId="77777777" w:rsidR="00CD0355" w:rsidRPr="00043914" w:rsidRDefault="00CD0355" w:rsidP="00CD0355">
            <w:pPr>
              <w:jc w:val="both"/>
              <w:rPr>
                <w:sz w:val="16"/>
                <w:szCs w:val="16"/>
              </w:rPr>
            </w:pPr>
            <w:r w:rsidRPr="00043914">
              <w:rPr>
                <w:sz w:val="16"/>
                <w:szCs w:val="16"/>
              </w:rPr>
              <w:t>One variety per tank</w:t>
            </w:r>
          </w:p>
        </w:tc>
        <w:tc>
          <w:tcPr>
            <w:tcW w:w="1105" w:type="dxa"/>
            <w:vAlign w:val="bottom"/>
          </w:tcPr>
          <w:p w14:paraId="372A3D14" w14:textId="77777777" w:rsidR="00CD0355" w:rsidRPr="00043914" w:rsidRDefault="00CD0355" w:rsidP="00CD0355">
            <w:pPr>
              <w:rPr>
                <w:sz w:val="16"/>
                <w:szCs w:val="16"/>
              </w:rPr>
            </w:pPr>
            <w:r w:rsidRPr="00043914">
              <w:rPr>
                <w:sz w:val="16"/>
                <w:szCs w:val="16"/>
              </w:rPr>
              <w:t>N/A</w:t>
            </w:r>
          </w:p>
        </w:tc>
      </w:tr>
      <w:tr w:rsidR="00CD0355" w:rsidRPr="009945D1" w14:paraId="1CC4C443" w14:textId="77777777" w:rsidTr="00CD0355">
        <w:trPr>
          <w:cantSplit/>
          <w:jc w:val="center"/>
        </w:trPr>
        <w:tc>
          <w:tcPr>
            <w:tcW w:w="1279" w:type="dxa"/>
            <w:vAlign w:val="bottom"/>
          </w:tcPr>
          <w:p w14:paraId="4947997E" w14:textId="77777777" w:rsidR="00CD0355" w:rsidRPr="00043914" w:rsidRDefault="00CD0355" w:rsidP="00CD0355">
            <w:pPr>
              <w:ind w:right="-98"/>
              <w:rPr>
                <w:sz w:val="16"/>
                <w:szCs w:val="16"/>
              </w:rPr>
            </w:pPr>
            <w:r w:rsidRPr="00043914">
              <w:rPr>
                <w:sz w:val="16"/>
                <w:szCs w:val="16"/>
              </w:rPr>
              <w:t>Container Production</w:t>
            </w:r>
          </w:p>
        </w:tc>
        <w:tc>
          <w:tcPr>
            <w:tcW w:w="860" w:type="dxa"/>
            <w:vAlign w:val="bottom"/>
          </w:tcPr>
          <w:p w14:paraId="5AD859D4" w14:textId="77777777" w:rsidR="00CD0355" w:rsidRPr="00043914" w:rsidRDefault="00CD0355" w:rsidP="00CD0355">
            <w:pPr>
              <w:rPr>
                <w:sz w:val="16"/>
                <w:szCs w:val="16"/>
              </w:rPr>
            </w:pPr>
            <w:r w:rsidRPr="00043914">
              <w:rPr>
                <w:sz w:val="16"/>
                <w:szCs w:val="16"/>
              </w:rPr>
              <w:t>Different varieties must be separated and clearly identified</w:t>
            </w:r>
          </w:p>
        </w:tc>
        <w:tc>
          <w:tcPr>
            <w:tcW w:w="1025" w:type="dxa"/>
            <w:vAlign w:val="bottom"/>
          </w:tcPr>
          <w:p w14:paraId="38FAF8CD" w14:textId="77777777" w:rsidR="00CD0355" w:rsidRPr="00043914" w:rsidRDefault="00CD0355" w:rsidP="00CD0355">
            <w:pPr>
              <w:rPr>
                <w:sz w:val="16"/>
                <w:szCs w:val="16"/>
              </w:rPr>
            </w:pPr>
            <w:r w:rsidRPr="00043914">
              <w:rPr>
                <w:sz w:val="16"/>
                <w:szCs w:val="16"/>
              </w:rPr>
              <w:t>Different varieties must be separated and clearly identified</w:t>
            </w:r>
          </w:p>
        </w:tc>
        <w:tc>
          <w:tcPr>
            <w:tcW w:w="1025" w:type="dxa"/>
            <w:vAlign w:val="bottom"/>
          </w:tcPr>
          <w:p w14:paraId="0F27A1B3" w14:textId="77777777" w:rsidR="00CD0355" w:rsidRPr="00043914" w:rsidRDefault="00CD0355" w:rsidP="00CD0355">
            <w:pPr>
              <w:rPr>
                <w:sz w:val="16"/>
                <w:szCs w:val="16"/>
              </w:rPr>
            </w:pPr>
            <w:r w:rsidRPr="00043914">
              <w:rPr>
                <w:sz w:val="16"/>
                <w:szCs w:val="16"/>
              </w:rPr>
              <w:t>Different varieties must be separated and clearly identified</w:t>
            </w:r>
          </w:p>
        </w:tc>
        <w:tc>
          <w:tcPr>
            <w:tcW w:w="1105" w:type="dxa"/>
            <w:vAlign w:val="bottom"/>
          </w:tcPr>
          <w:p w14:paraId="7E72FF9A" w14:textId="77777777" w:rsidR="00CD0355" w:rsidRPr="00043914" w:rsidRDefault="00CD0355" w:rsidP="00CD0355">
            <w:pPr>
              <w:rPr>
                <w:sz w:val="16"/>
                <w:szCs w:val="16"/>
              </w:rPr>
            </w:pPr>
            <w:r w:rsidRPr="00043914">
              <w:rPr>
                <w:sz w:val="16"/>
                <w:szCs w:val="16"/>
              </w:rPr>
              <w:t>N/A</w:t>
            </w:r>
          </w:p>
        </w:tc>
      </w:tr>
      <w:tr w:rsidR="00CD0355" w:rsidRPr="009945D1" w14:paraId="6D018A51" w14:textId="77777777" w:rsidTr="00CD0355">
        <w:trPr>
          <w:cantSplit/>
          <w:jc w:val="center"/>
        </w:trPr>
        <w:tc>
          <w:tcPr>
            <w:tcW w:w="5294" w:type="dxa"/>
            <w:gridSpan w:val="5"/>
            <w:vAlign w:val="bottom"/>
          </w:tcPr>
          <w:p w14:paraId="43AA07FF" w14:textId="77777777" w:rsidR="00CD0355" w:rsidRPr="00043914" w:rsidRDefault="00CD0355" w:rsidP="00CD0355">
            <w:pPr>
              <w:ind w:right="-98"/>
              <w:jc w:val="both"/>
              <w:rPr>
                <w:b/>
                <w:strike/>
                <w:sz w:val="16"/>
                <w:szCs w:val="16"/>
              </w:rPr>
            </w:pPr>
            <w:r w:rsidRPr="00043914">
              <w:rPr>
                <w:b/>
                <w:sz w:val="16"/>
                <w:szCs w:val="16"/>
              </w:rPr>
              <w:t>Plant Variants:</w:t>
            </w:r>
          </w:p>
        </w:tc>
      </w:tr>
      <w:tr w:rsidR="00CD0355" w:rsidRPr="009945D1" w14:paraId="0E0D9B5D" w14:textId="77777777" w:rsidTr="00CD0355">
        <w:trPr>
          <w:cantSplit/>
          <w:jc w:val="center"/>
        </w:trPr>
        <w:tc>
          <w:tcPr>
            <w:tcW w:w="1279" w:type="dxa"/>
            <w:vAlign w:val="center"/>
          </w:tcPr>
          <w:p w14:paraId="6F24269B" w14:textId="77777777" w:rsidR="00CD0355" w:rsidRPr="00043914" w:rsidRDefault="00CD0355" w:rsidP="00CD0355">
            <w:pPr>
              <w:ind w:right="-98"/>
              <w:jc w:val="both"/>
              <w:rPr>
                <w:sz w:val="16"/>
                <w:szCs w:val="16"/>
              </w:rPr>
            </w:pPr>
            <w:r w:rsidRPr="00043914">
              <w:rPr>
                <w:sz w:val="16"/>
                <w:szCs w:val="16"/>
              </w:rPr>
              <w:t>Visual Inspections</w:t>
            </w:r>
          </w:p>
        </w:tc>
        <w:tc>
          <w:tcPr>
            <w:tcW w:w="860" w:type="dxa"/>
            <w:vAlign w:val="center"/>
          </w:tcPr>
          <w:p w14:paraId="58E9F8C6" w14:textId="77777777" w:rsidR="00CD0355" w:rsidRPr="00043914" w:rsidRDefault="00CD0355" w:rsidP="00CD0355">
            <w:pPr>
              <w:jc w:val="both"/>
              <w:rPr>
                <w:sz w:val="16"/>
                <w:szCs w:val="16"/>
              </w:rPr>
            </w:pPr>
            <w:r>
              <w:rPr>
                <w:sz w:val="16"/>
                <w:szCs w:val="16"/>
              </w:rPr>
              <w:t xml:space="preserve">3 </w:t>
            </w:r>
            <w:r w:rsidRPr="00043914">
              <w:rPr>
                <w:sz w:val="16"/>
                <w:szCs w:val="16"/>
              </w:rPr>
              <w:t>plants per 5,400 ft</w:t>
            </w:r>
            <w:r w:rsidRPr="00043914">
              <w:rPr>
                <w:sz w:val="16"/>
                <w:szCs w:val="16"/>
                <w:vertAlign w:val="superscript"/>
              </w:rPr>
              <w:t>2</w:t>
            </w:r>
          </w:p>
        </w:tc>
        <w:tc>
          <w:tcPr>
            <w:tcW w:w="1025" w:type="dxa"/>
            <w:vAlign w:val="center"/>
          </w:tcPr>
          <w:p w14:paraId="22F9B67F" w14:textId="77777777" w:rsidR="00CD0355" w:rsidRPr="00043914" w:rsidRDefault="00CD0355" w:rsidP="00CD0355">
            <w:pPr>
              <w:jc w:val="both"/>
              <w:rPr>
                <w:sz w:val="16"/>
                <w:szCs w:val="16"/>
              </w:rPr>
            </w:pPr>
            <w:r>
              <w:rPr>
                <w:sz w:val="16"/>
                <w:szCs w:val="16"/>
              </w:rPr>
              <w:t xml:space="preserve">5 plants per 5,400 </w:t>
            </w:r>
            <w:r w:rsidRPr="00043914">
              <w:rPr>
                <w:sz w:val="16"/>
                <w:szCs w:val="16"/>
              </w:rPr>
              <w:t>ft</w:t>
            </w:r>
            <w:r w:rsidRPr="00043914">
              <w:rPr>
                <w:sz w:val="16"/>
                <w:szCs w:val="16"/>
                <w:vertAlign w:val="superscript"/>
              </w:rPr>
              <w:t>2</w:t>
            </w:r>
          </w:p>
        </w:tc>
        <w:tc>
          <w:tcPr>
            <w:tcW w:w="1025" w:type="dxa"/>
            <w:vAlign w:val="center"/>
          </w:tcPr>
          <w:p w14:paraId="60DAF58F" w14:textId="77777777" w:rsidR="00CD0355" w:rsidRPr="00043914" w:rsidRDefault="00CD0355" w:rsidP="00CD0355">
            <w:pPr>
              <w:jc w:val="both"/>
              <w:rPr>
                <w:sz w:val="16"/>
                <w:szCs w:val="16"/>
              </w:rPr>
            </w:pPr>
            <w:r>
              <w:rPr>
                <w:sz w:val="16"/>
                <w:szCs w:val="16"/>
              </w:rPr>
              <w:t xml:space="preserve">10 plants per 5,400 </w:t>
            </w:r>
            <w:r w:rsidRPr="00043914">
              <w:rPr>
                <w:sz w:val="16"/>
                <w:szCs w:val="16"/>
              </w:rPr>
              <w:t>ft</w:t>
            </w:r>
            <w:r w:rsidRPr="00043914">
              <w:rPr>
                <w:sz w:val="16"/>
                <w:szCs w:val="16"/>
                <w:vertAlign w:val="superscript"/>
              </w:rPr>
              <w:t>2</w:t>
            </w:r>
          </w:p>
        </w:tc>
        <w:tc>
          <w:tcPr>
            <w:tcW w:w="1105" w:type="dxa"/>
            <w:vAlign w:val="bottom"/>
          </w:tcPr>
          <w:p w14:paraId="4B0B5D78" w14:textId="77777777" w:rsidR="00CD0355" w:rsidRPr="00043914" w:rsidRDefault="00CD0355" w:rsidP="00CD0355">
            <w:pPr>
              <w:jc w:val="both"/>
              <w:rPr>
                <w:sz w:val="16"/>
                <w:szCs w:val="16"/>
              </w:rPr>
            </w:pPr>
            <w:r>
              <w:rPr>
                <w:sz w:val="16"/>
                <w:szCs w:val="16"/>
              </w:rPr>
              <w:t xml:space="preserve">10 plants per 5,400 </w:t>
            </w:r>
            <w:r w:rsidRPr="00043914">
              <w:rPr>
                <w:sz w:val="16"/>
                <w:szCs w:val="16"/>
              </w:rPr>
              <w:t>ft</w:t>
            </w:r>
            <w:r w:rsidRPr="00043914">
              <w:rPr>
                <w:sz w:val="16"/>
                <w:szCs w:val="16"/>
                <w:vertAlign w:val="superscript"/>
              </w:rPr>
              <w:t>2</w:t>
            </w:r>
          </w:p>
        </w:tc>
      </w:tr>
      <w:tr w:rsidR="00CD0355" w:rsidRPr="009945D1" w14:paraId="293A01C2" w14:textId="77777777" w:rsidTr="00CD0355">
        <w:trPr>
          <w:cantSplit/>
          <w:jc w:val="center"/>
        </w:trPr>
        <w:tc>
          <w:tcPr>
            <w:tcW w:w="1279" w:type="dxa"/>
            <w:vAlign w:val="center"/>
          </w:tcPr>
          <w:p w14:paraId="3B0DFF4D" w14:textId="77777777" w:rsidR="00CD0355" w:rsidRPr="00043914" w:rsidRDefault="00CD0355" w:rsidP="00CD0355">
            <w:pPr>
              <w:ind w:right="-98"/>
              <w:jc w:val="both"/>
              <w:rPr>
                <w:sz w:val="16"/>
                <w:szCs w:val="16"/>
              </w:rPr>
            </w:pPr>
            <w:r w:rsidRPr="00043914">
              <w:rPr>
                <w:sz w:val="16"/>
                <w:szCs w:val="16"/>
              </w:rPr>
              <w:t xml:space="preserve">Harmful Diseases </w:t>
            </w:r>
            <w:r w:rsidRPr="00593998">
              <w:rPr>
                <w:sz w:val="16"/>
                <w:szCs w:val="16"/>
              </w:rPr>
              <w:t>(2)</w:t>
            </w:r>
          </w:p>
        </w:tc>
        <w:tc>
          <w:tcPr>
            <w:tcW w:w="860" w:type="dxa"/>
            <w:vAlign w:val="bottom"/>
          </w:tcPr>
          <w:p w14:paraId="2307EF83" w14:textId="77777777" w:rsidR="00CD0355" w:rsidRPr="00043914" w:rsidRDefault="00CD0355" w:rsidP="00CD0355">
            <w:pPr>
              <w:jc w:val="both"/>
              <w:rPr>
                <w:sz w:val="16"/>
                <w:szCs w:val="16"/>
                <w:vertAlign w:val="superscript"/>
              </w:rPr>
            </w:pPr>
            <w:r w:rsidRPr="00043914">
              <w:rPr>
                <w:sz w:val="16"/>
                <w:szCs w:val="16"/>
              </w:rPr>
              <w:t>None</w:t>
            </w:r>
          </w:p>
        </w:tc>
        <w:tc>
          <w:tcPr>
            <w:tcW w:w="1025" w:type="dxa"/>
            <w:vAlign w:val="bottom"/>
          </w:tcPr>
          <w:p w14:paraId="027C3375" w14:textId="77777777" w:rsidR="00CD0355" w:rsidRPr="00043914" w:rsidRDefault="00CD0355" w:rsidP="00CD0355">
            <w:pPr>
              <w:jc w:val="both"/>
              <w:rPr>
                <w:sz w:val="16"/>
                <w:szCs w:val="16"/>
                <w:vertAlign w:val="superscript"/>
              </w:rPr>
            </w:pPr>
            <w:r w:rsidRPr="00043914">
              <w:rPr>
                <w:sz w:val="16"/>
                <w:szCs w:val="16"/>
              </w:rPr>
              <w:t>None</w:t>
            </w:r>
          </w:p>
        </w:tc>
        <w:tc>
          <w:tcPr>
            <w:tcW w:w="1025" w:type="dxa"/>
            <w:vAlign w:val="bottom"/>
          </w:tcPr>
          <w:p w14:paraId="71CED230" w14:textId="77777777" w:rsidR="00CD0355" w:rsidRPr="00043914" w:rsidRDefault="00CD0355" w:rsidP="00CD0355">
            <w:pPr>
              <w:jc w:val="both"/>
              <w:rPr>
                <w:sz w:val="16"/>
                <w:szCs w:val="16"/>
                <w:vertAlign w:val="superscript"/>
              </w:rPr>
            </w:pPr>
            <w:r w:rsidRPr="00043914">
              <w:rPr>
                <w:sz w:val="16"/>
                <w:szCs w:val="16"/>
              </w:rPr>
              <w:t>None</w:t>
            </w:r>
          </w:p>
        </w:tc>
        <w:tc>
          <w:tcPr>
            <w:tcW w:w="1105" w:type="dxa"/>
          </w:tcPr>
          <w:p w14:paraId="26626E9B" w14:textId="77777777" w:rsidR="00CD0355" w:rsidRPr="00043914" w:rsidRDefault="00CD0355" w:rsidP="00CD0355">
            <w:pPr>
              <w:jc w:val="both"/>
              <w:rPr>
                <w:sz w:val="16"/>
                <w:szCs w:val="16"/>
              </w:rPr>
            </w:pPr>
            <w:r w:rsidRPr="00043914">
              <w:rPr>
                <w:sz w:val="16"/>
                <w:szCs w:val="16"/>
              </w:rPr>
              <w:t>None</w:t>
            </w:r>
          </w:p>
        </w:tc>
      </w:tr>
      <w:tr w:rsidR="00CD0355" w:rsidRPr="009945D1" w14:paraId="76F91522" w14:textId="77777777" w:rsidTr="00CD0355">
        <w:trPr>
          <w:cantSplit/>
          <w:jc w:val="center"/>
        </w:trPr>
        <w:tc>
          <w:tcPr>
            <w:tcW w:w="1279" w:type="dxa"/>
            <w:vAlign w:val="center"/>
          </w:tcPr>
          <w:p w14:paraId="316233F6" w14:textId="77777777" w:rsidR="00CD0355" w:rsidRDefault="00CD0355" w:rsidP="00CD0355">
            <w:pPr>
              <w:jc w:val="both"/>
              <w:rPr>
                <w:sz w:val="16"/>
                <w:szCs w:val="16"/>
              </w:rPr>
            </w:pPr>
            <w:r>
              <w:rPr>
                <w:sz w:val="16"/>
                <w:szCs w:val="16"/>
              </w:rPr>
              <w:t>Noxious or Objectionable</w:t>
            </w:r>
          </w:p>
          <w:p w14:paraId="1F703EF5" w14:textId="77777777" w:rsidR="00CD0355" w:rsidRPr="00043914" w:rsidRDefault="00CD0355" w:rsidP="00CD0355">
            <w:pPr>
              <w:jc w:val="both"/>
              <w:rPr>
                <w:sz w:val="16"/>
                <w:szCs w:val="16"/>
              </w:rPr>
            </w:pPr>
            <w:r w:rsidRPr="00043914">
              <w:rPr>
                <w:sz w:val="16"/>
                <w:szCs w:val="16"/>
              </w:rPr>
              <w:t xml:space="preserve">Weeds </w:t>
            </w:r>
            <w:r w:rsidRPr="00593998">
              <w:rPr>
                <w:sz w:val="16"/>
                <w:szCs w:val="16"/>
              </w:rPr>
              <w:t>(3)</w:t>
            </w:r>
          </w:p>
        </w:tc>
        <w:tc>
          <w:tcPr>
            <w:tcW w:w="860" w:type="dxa"/>
            <w:vAlign w:val="bottom"/>
          </w:tcPr>
          <w:p w14:paraId="302C07A2" w14:textId="77777777" w:rsidR="00CD0355" w:rsidRPr="00043914" w:rsidRDefault="00CD0355" w:rsidP="00CD0355">
            <w:pPr>
              <w:rPr>
                <w:sz w:val="16"/>
                <w:szCs w:val="16"/>
              </w:rPr>
            </w:pPr>
            <w:r w:rsidRPr="00043914">
              <w:rPr>
                <w:sz w:val="16"/>
                <w:szCs w:val="16"/>
              </w:rPr>
              <w:t>None</w:t>
            </w:r>
          </w:p>
        </w:tc>
        <w:tc>
          <w:tcPr>
            <w:tcW w:w="1025" w:type="dxa"/>
            <w:vAlign w:val="bottom"/>
          </w:tcPr>
          <w:p w14:paraId="242DA865" w14:textId="77777777" w:rsidR="00CD0355" w:rsidRPr="00043914" w:rsidRDefault="00CD0355" w:rsidP="00CD0355">
            <w:pPr>
              <w:rPr>
                <w:sz w:val="16"/>
                <w:szCs w:val="16"/>
              </w:rPr>
            </w:pPr>
            <w:r w:rsidRPr="00043914">
              <w:rPr>
                <w:sz w:val="16"/>
                <w:szCs w:val="16"/>
              </w:rPr>
              <w:t>None</w:t>
            </w:r>
          </w:p>
        </w:tc>
        <w:tc>
          <w:tcPr>
            <w:tcW w:w="1025" w:type="dxa"/>
            <w:vAlign w:val="center"/>
          </w:tcPr>
          <w:p w14:paraId="06A1FCAB" w14:textId="77777777" w:rsidR="00CD0355" w:rsidRPr="00043914" w:rsidRDefault="00CD0355" w:rsidP="00CD0355">
            <w:pPr>
              <w:jc w:val="both"/>
              <w:rPr>
                <w:sz w:val="16"/>
                <w:szCs w:val="16"/>
              </w:rPr>
            </w:pPr>
            <w:r w:rsidRPr="00043914">
              <w:rPr>
                <w:sz w:val="16"/>
                <w:szCs w:val="16"/>
              </w:rPr>
              <w:t>≤ 5 plants per 5,400 ft</w:t>
            </w:r>
            <w:r w:rsidRPr="00043914">
              <w:rPr>
                <w:sz w:val="16"/>
                <w:szCs w:val="16"/>
                <w:vertAlign w:val="superscript"/>
              </w:rPr>
              <w:t>2</w:t>
            </w:r>
          </w:p>
        </w:tc>
        <w:tc>
          <w:tcPr>
            <w:tcW w:w="1105" w:type="dxa"/>
            <w:vAlign w:val="bottom"/>
          </w:tcPr>
          <w:p w14:paraId="0F66D4A9" w14:textId="77777777" w:rsidR="00CD0355" w:rsidRPr="00043914" w:rsidRDefault="00CD0355" w:rsidP="00CD0355">
            <w:pPr>
              <w:rPr>
                <w:sz w:val="16"/>
                <w:szCs w:val="16"/>
              </w:rPr>
            </w:pPr>
            <w:r w:rsidRPr="00043914">
              <w:rPr>
                <w:sz w:val="16"/>
                <w:szCs w:val="16"/>
              </w:rPr>
              <w:t>≤ 5 plants per 5,400 ft</w:t>
            </w:r>
            <w:r w:rsidRPr="00043914">
              <w:rPr>
                <w:sz w:val="16"/>
                <w:szCs w:val="16"/>
                <w:vertAlign w:val="superscript"/>
              </w:rPr>
              <w:t>2</w:t>
            </w:r>
          </w:p>
        </w:tc>
      </w:tr>
      <w:tr w:rsidR="00CD0355" w:rsidRPr="009945D1" w14:paraId="6190F48D" w14:textId="77777777" w:rsidTr="00CD0355">
        <w:trPr>
          <w:cantSplit/>
          <w:jc w:val="center"/>
        </w:trPr>
        <w:tc>
          <w:tcPr>
            <w:tcW w:w="1279" w:type="dxa"/>
            <w:vAlign w:val="bottom"/>
          </w:tcPr>
          <w:p w14:paraId="4CACACF7" w14:textId="77777777" w:rsidR="00CD0355" w:rsidRPr="00043914" w:rsidRDefault="00CD0355" w:rsidP="00CD0355">
            <w:pPr>
              <w:ind w:right="-98"/>
              <w:rPr>
                <w:sz w:val="16"/>
                <w:szCs w:val="16"/>
              </w:rPr>
            </w:pPr>
            <w:r w:rsidRPr="00043914">
              <w:rPr>
                <w:sz w:val="16"/>
                <w:szCs w:val="16"/>
              </w:rPr>
              <w:t xml:space="preserve">Other crops </w:t>
            </w:r>
            <w:r w:rsidRPr="00593998">
              <w:rPr>
                <w:sz w:val="16"/>
                <w:szCs w:val="16"/>
              </w:rPr>
              <w:t>(4)</w:t>
            </w:r>
          </w:p>
        </w:tc>
        <w:tc>
          <w:tcPr>
            <w:tcW w:w="860" w:type="dxa"/>
            <w:vAlign w:val="bottom"/>
          </w:tcPr>
          <w:p w14:paraId="17746410" w14:textId="77777777" w:rsidR="00CD0355" w:rsidRPr="00043914" w:rsidRDefault="00CD0355" w:rsidP="00CD0355">
            <w:pPr>
              <w:jc w:val="both"/>
              <w:rPr>
                <w:sz w:val="16"/>
                <w:szCs w:val="16"/>
              </w:rPr>
            </w:pPr>
            <w:r w:rsidRPr="00043914">
              <w:rPr>
                <w:sz w:val="16"/>
                <w:szCs w:val="16"/>
              </w:rPr>
              <w:t>None</w:t>
            </w:r>
          </w:p>
        </w:tc>
        <w:tc>
          <w:tcPr>
            <w:tcW w:w="1025" w:type="dxa"/>
            <w:vAlign w:val="bottom"/>
          </w:tcPr>
          <w:p w14:paraId="672F759A" w14:textId="77777777" w:rsidR="00CD0355" w:rsidRPr="00043914" w:rsidRDefault="00CD0355" w:rsidP="00CD0355">
            <w:pPr>
              <w:rPr>
                <w:sz w:val="16"/>
                <w:szCs w:val="16"/>
              </w:rPr>
            </w:pPr>
            <w:r w:rsidRPr="00043914">
              <w:rPr>
                <w:sz w:val="16"/>
                <w:szCs w:val="16"/>
              </w:rPr>
              <w:t>None</w:t>
            </w:r>
          </w:p>
        </w:tc>
        <w:tc>
          <w:tcPr>
            <w:tcW w:w="1025" w:type="dxa"/>
            <w:vAlign w:val="bottom"/>
          </w:tcPr>
          <w:p w14:paraId="22BF9334" w14:textId="77777777" w:rsidR="00CD0355" w:rsidRPr="00043914" w:rsidRDefault="00CD0355" w:rsidP="00CD0355">
            <w:pPr>
              <w:jc w:val="both"/>
              <w:rPr>
                <w:sz w:val="16"/>
                <w:szCs w:val="16"/>
              </w:rPr>
            </w:pPr>
            <w:r w:rsidRPr="00043914">
              <w:rPr>
                <w:sz w:val="16"/>
                <w:szCs w:val="16"/>
              </w:rPr>
              <w:t>≤ 5 plants per 5,400 ft</w:t>
            </w:r>
            <w:r w:rsidRPr="00043914">
              <w:rPr>
                <w:sz w:val="16"/>
                <w:szCs w:val="16"/>
                <w:vertAlign w:val="superscript"/>
              </w:rPr>
              <w:t xml:space="preserve">2 </w:t>
            </w:r>
          </w:p>
        </w:tc>
        <w:tc>
          <w:tcPr>
            <w:tcW w:w="1105" w:type="dxa"/>
            <w:vAlign w:val="bottom"/>
          </w:tcPr>
          <w:p w14:paraId="2A7EE7D7" w14:textId="77777777" w:rsidR="00CD0355" w:rsidRPr="00043914" w:rsidRDefault="00CD0355" w:rsidP="00CD0355">
            <w:pPr>
              <w:rPr>
                <w:sz w:val="16"/>
                <w:szCs w:val="16"/>
              </w:rPr>
            </w:pPr>
            <w:r w:rsidRPr="00043914">
              <w:rPr>
                <w:sz w:val="16"/>
                <w:szCs w:val="16"/>
              </w:rPr>
              <w:t>≤ 5 plants per 5,400 ft</w:t>
            </w:r>
            <w:r w:rsidRPr="00043914">
              <w:rPr>
                <w:sz w:val="16"/>
                <w:szCs w:val="16"/>
                <w:vertAlign w:val="superscript"/>
              </w:rPr>
              <w:t xml:space="preserve">2 </w:t>
            </w:r>
          </w:p>
        </w:tc>
      </w:tr>
    </w:tbl>
    <w:p w14:paraId="1102B013" w14:textId="77777777" w:rsidR="00CD0355" w:rsidRPr="00273045" w:rsidRDefault="00CD0355" w:rsidP="00CD0355">
      <w:pPr>
        <w:pStyle w:val="RegDoubleIndent"/>
        <w:tabs>
          <w:tab w:val="left" w:pos="630"/>
        </w:tabs>
        <w:rPr>
          <w:sz w:val="16"/>
          <w:szCs w:val="16"/>
        </w:rPr>
      </w:pPr>
      <w:r>
        <w:rPr>
          <w:sz w:val="16"/>
          <w:szCs w:val="16"/>
        </w:rPr>
        <w:tab/>
      </w:r>
      <w:r w:rsidRPr="00273045">
        <w:rPr>
          <w:sz w:val="16"/>
          <w:szCs w:val="16"/>
        </w:rPr>
        <w:t xml:space="preserve">(1) Production unit life from date of transplant. No maximum age for a certified class production unit so long as the unit continues to meet all requirements of this Section. </w:t>
      </w:r>
    </w:p>
    <w:p w14:paraId="2F297D21" w14:textId="77777777" w:rsidR="00CD0355" w:rsidRPr="00273045" w:rsidRDefault="00CD0355" w:rsidP="00CD0355">
      <w:pPr>
        <w:pStyle w:val="RegDoubleIndent"/>
        <w:tabs>
          <w:tab w:val="left" w:pos="630"/>
        </w:tabs>
        <w:rPr>
          <w:sz w:val="16"/>
          <w:szCs w:val="16"/>
        </w:rPr>
      </w:pPr>
      <w:r>
        <w:rPr>
          <w:sz w:val="16"/>
          <w:szCs w:val="16"/>
        </w:rPr>
        <w:tab/>
      </w:r>
      <w:r w:rsidRPr="00273045">
        <w:rPr>
          <w:sz w:val="16"/>
          <w:szCs w:val="16"/>
        </w:rPr>
        <w:t>(2) Diseases determined in accordance with the Louisiana Ag Experiment Station and LDAF to seriously affect the quality of seed or</w:t>
      </w:r>
      <w:r>
        <w:rPr>
          <w:sz w:val="16"/>
          <w:szCs w:val="16"/>
        </w:rPr>
        <w:t xml:space="preserve"> vegetatively propagated stock</w:t>
      </w:r>
    </w:p>
    <w:p w14:paraId="65B2259D" w14:textId="77777777" w:rsidR="00CD0355" w:rsidRDefault="00CD0355" w:rsidP="00CD0355">
      <w:pPr>
        <w:pStyle w:val="RegDoubleIndent"/>
        <w:tabs>
          <w:tab w:val="left" w:pos="630"/>
        </w:tabs>
        <w:rPr>
          <w:sz w:val="16"/>
          <w:szCs w:val="16"/>
        </w:rPr>
      </w:pPr>
      <w:r>
        <w:rPr>
          <w:sz w:val="16"/>
          <w:szCs w:val="16"/>
        </w:rPr>
        <w:tab/>
      </w:r>
      <w:r w:rsidRPr="00273045">
        <w:rPr>
          <w:sz w:val="16"/>
          <w:szCs w:val="16"/>
        </w:rPr>
        <w:t>(3) Including, but not limited to the following weed species: Salvinia spp. (Salvinia), Cyperus spp. (Sedge), Eleocharis spp. (Spike rush), Phragmites australis (Ros</w:t>
      </w:r>
      <w:r>
        <w:rPr>
          <w:sz w:val="16"/>
          <w:szCs w:val="16"/>
        </w:rPr>
        <w:t>eau cane), Typha spp. (Cattail)</w:t>
      </w:r>
    </w:p>
    <w:p w14:paraId="7E59F4F0" w14:textId="77777777" w:rsidR="00CD0355" w:rsidRDefault="00CD0355" w:rsidP="00CD0355">
      <w:pPr>
        <w:pStyle w:val="RegDoubleIndent"/>
        <w:tabs>
          <w:tab w:val="left" w:pos="630"/>
        </w:tabs>
        <w:spacing w:after="100" w:afterAutospacing="1"/>
        <w:rPr>
          <w:sz w:val="16"/>
          <w:szCs w:val="16"/>
        </w:rPr>
      </w:pPr>
      <w:r w:rsidRPr="00273045">
        <w:rPr>
          <w:sz w:val="16"/>
          <w:szCs w:val="16"/>
        </w:rPr>
        <w:t>(4) Including, but not limited to the following crop species: Spartina patens (Marshhay cordgrass), Spartina cynosuroides (Big cordgrass), Spartina spartinae (Gulf cordgrass), Distichlis spicata (Saltgrass), Schoenoplectus californicus (California bulrush), Paspalum vagin</w:t>
      </w:r>
      <w:r>
        <w:rPr>
          <w:sz w:val="16"/>
          <w:szCs w:val="16"/>
        </w:rPr>
        <w:t>atum (Seashore paspalum)</w:t>
      </w:r>
    </w:p>
    <w:p w14:paraId="5C169385" w14:textId="77777777" w:rsidR="00CD0355" w:rsidRPr="00B265BE" w:rsidRDefault="00CD0355" w:rsidP="00CD0355">
      <w:pPr>
        <w:pStyle w:val="A"/>
        <w:keepNext/>
      </w:pPr>
      <w:r w:rsidRPr="00B265BE">
        <w:t>G.</w:t>
      </w:r>
      <w:r w:rsidRPr="00B265BE">
        <w:tab/>
        <w:t>Seed Standards</w:t>
      </w:r>
    </w:p>
    <w:p w14:paraId="69264ABA" w14:textId="77777777" w:rsidR="00CD0355" w:rsidRPr="00B265BE" w:rsidRDefault="00CD0355" w:rsidP="00CD0355">
      <w:pPr>
        <w:pStyle w:val="1"/>
        <w:keepNext/>
      </w:pPr>
      <w:r w:rsidRPr="00B265BE">
        <w:t>1.</w:t>
      </w:r>
      <w:r w:rsidRPr="00B265BE">
        <w:tab/>
        <w:t>All generations of seed shall contain a pure seed content, excluding coating material, of not less than 90 percent.</w:t>
      </w:r>
    </w:p>
    <w:p w14:paraId="7D0DB39C" w14:textId="77777777" w:rsidR="00CD0355" w:rsidRPr="00B265BE" w:rsidRDefault="00CD0355" w:rsidP="00CD0355">
      <w:pPr>
        <w:pStyle w:val="1"/>
      </w:pPr>
      <w:r w:rsidRPr="00B265BE">
        <w:t>2.</w:t>
      </w:r>
      <w:r w:rsidRPr="00B265BE">
        <w:tab/>
        <w:t>All seed packages shall be labeled in such a manner as to meet the minimum seed labeling requirement of the seed law, this Part, and the Federal Seed Act and accompanying rules and regulations.</w:t>
      </w:r>
    </w:p>
    <w:p w14:paraId="11B0530C" w14:textId="77777777" w:rsidR="00CD0355" w:rsidRPr="001531CD" w:rsidRDefault="00CD0355" w:rsidP="00CD0355">
      <w:pPr>
        <w:pStyle w:val="AuthorityNote"/>
      </w:pPr>
      <w:r w:rsidRPr="00B265BE">
        <w:t>AUTHORITY NOTE:</w:t>
      </w:r>
      <w:r w:rsidRPr="00B265BE">
        <w:tab/>
        <w:t>Promulgated in accordance with R.S. 3:1433.</w:t>
      </w:r>
    </w:p>
    <w:p w14:paraId="346EB213"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37:2983 (October 2011), LR 39:1761 (July 2013), repromulgated by the Department of Agriculture and Forestry, Office of Agricultural and Environmental Sciences, Agricultural Chemistry and Seed Commis</w:t>
      </w:r>
      <w:r>
        <w:t>sion, LR 39:2720 (October 2013), amended LR 40:753 (April 2014), LR 41</w:t>
      </w:r>
      <w:r w:rsidRPr="00B265BE">
        <w:t>:</w:t>
      </w:r>
      <w:r>
        <w:t>912 (May 2015).</w:t>
      </w:r>
    </w:p>
    <w:p w14:paraId="15B25E05" w14:textId="77777777" w:rsidR="00CD0355" w:rsidRPr="001531CD" w:rsidRDefault="00CD0355" w:rsidP="00CD0355">
      <w:pPr>
        <w:pStyle w:val="Section"/>
      </w:pPr>
      <w:bookmarkStart w:id="1134" w:name="_Toc224818804"/>
      <w:r w:rsidRPr="001531CD">
        <w:t>§721.</w:t>
      </w:r>
      <w:r w:rsidRPr="001531CD">
        <w:tab/>
        <w:t xml:space="preserve">Tall and Meadow Fescue Seed </w:t>
      </w:r>
      <w:r w:rsidRPr="001531CD">
        <w:br/>
        <w:t>Certification Standards</w:t>
      </w:r>
      <w:bookmarkEnd w:id="1134"/>
      <w:r w:rsidRPr="001531CD">
        <w:t xml:space="preserve"> </w:t>
      </w:r>
    </w:p>
    <w:p w14:paraId="76CD947E" w14:textId="77777777" w:rsidR="00CD0355" w:rsidRPr="001531CD" w:rsidRDefault="00CD0355" w:rsidP="00CD0355">
      <w:pPr>
        <w:pStyle w:val="A"/>
      </w:pPr>
      <w:r w:rsidRPr="001531CD">
        <w:t>A.</w:t>
      </w:r>
      <w:r w:rsidRPr="001531CD">
        <w:tab/>
        <w:t>Field Standards</w:t>
      </w:r>
    </w:p>
    <w:tbl>
      <w:tblPr>
        <w:tblW w:w="49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47"/>
        <w:gridCol w:w="1080"/>
        <w:gridCol w:w="1080"/>
        <w:gridCol w:w="1062"/>
      </w:tblGrid>
      <w:tr w:rsidR="00CD0355" w:rsidRPr="001531CD" w14:paraId="7F47D9D4" w14:textId="77777777" w:rsidTr="00CD0355">
        <w:trPr>
          <w:cantSplit/>
          <w:jc w:val="center"/>
        </w:trPr>
        <w:tc>
          <w:tcPr>
            <w:tcW w:w="1747" w:type="dxa"/>
            <w:tcBorders>
              <w:top w:val="double" w:sz="6" w:space="0" w:color="000000"/>
              <w:bottom w:val="single" w:sz="6" w:space="0" w:color="000000"/>
            </w:tcBorders>
            <w:shd w:val="clear" w:color="auto" w:fill="BFBFBF"/>
            <w:vAlign w:val="center"/>
          </w:tcPr>
          <w:p w14:paraId="47C6AC32"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14:paraId="2BC8CEE9" w14:textId="77777777"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vAlign w:val="center"/>
          </w:tcPr>
          <w:p w14:paraId="51B684D4" w14:textId="77777777"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Registered</w:t>
            </w:r>
          </w:p>
        </w:tc>
        <w:tc>
          <w:tcPr>
            <w:tcW w:w="1062" w:type="dxa"/>
            <w:tcBorders>
              <w:top w:val="double" w:sz="6" w:space="0" w:color="000000"/>
              <w:bottom w:val="single" w:sz="6" w:space="0" w:color="000000"/>
            </w:tcBorders>
            <w:shd w:val="clear" w:color="auto" w:fill="BFBFBF"/>
            <w:vAlign w:val="center"/>
          </w:tcPr>
          <w:p w14:paraId="62129E18" w14:textId="77777777"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Certified</w:t>
            </w:r>
          </w:p>
        </w:tc>
      </w:tr>
      <w:tr w:rsidR="00CD0355" w:rsidRPr="001531CD" w14:paraId="4BA375D5" w14:textId="77777777" w:rsidTr="00CD0355">
        <w:trPr>
          <w:cantSplit/>
          <w:jc w:val="center"/>
        </w:trPr>
        <w:tc>
          <w:tcPr>
            <w:tcW w:w="1747" w:type="dxa"/>
            <w:tcBorders>
              <w:top w:val="single" w:sz="6" w:space="0" w:color="000000"/>
            </w:tcBorders>
            <w:vAlign w:val="bottom"/>
          </w:tcPr>
          <w:p w14:paraId="027C956D"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tcPr>
          <w:p w14:paraId="007D305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000000"/>
            </w:tcBorders>
          </w:tcPr>
          <w:p w14:paraId="5DB561B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c>
          <w:tcPr>
            <w:tcW w:w="1062" w:type="dxa"/>
            <w:tcBorders>
              <w:top w:val="single" w:sz="6" w:space="0" w:color="000000"/>
            </w:tcBorders>
          </w:tcPr>
          <w:p w14:paraId="1272729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14:paraId="73DB8370" w14:textId="77777777" w:rsidTr="00CD0355">
        <w:trPr>
          <w:cantSplit/>
          <w:jc w:val="center"/>
        </w:trPr>
        <w:tc>
          <w:tcPr>
            <w:tcW w:w="1747" w:type="dxa"/>
            <w:vAlign w:val="bottom"/>
          </w:tcPr>
          <w:p w14:paraId="58EC37D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14:paraId="7926BCD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080" w:type="dxa"/>
          </w:tcPr>
          <w:p w14:paraId="5E279BD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c>
          <w:tcPr>
            <w:tcW w:w="1062" w:type="dxa"/>
          </w:tcPr>
          <w:p w14:paraId="309233D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r>
      <w:tr w:rsidR="00CD0355" w:rsidRPr="001531CD" w14:paraId="231D931A" w14:textId="77777777" w:rsidTr="00CD0355">
        <w:trPr>
          <w:cantSplit/>
          <w:jc w:val="center"/>
        </w:trPr>
        <w:tc>
          <w:tcPr>
            <w:tcW w:w="1747" w:type="dxa"/>
            <w:tcBorders>
              <w:bottom w:val="double" w:sz="6" w:space="0" w:color="000000"/>
            </w:tcBorders>
            <w:vAlign w:val="bottom"/>
          </w:tcPr>
          <w:p w14:paraId="474E52B4"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tcBorders>
              <w:bottom w:val="double" w:sz="6" w:space="0" w:color="000000"/>
            </w:tcBorders>
          </w:tcPr>
          <w:p w14:paraId="22C7965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r w:rsidRPr="001531CD">
              <w:rPr>
                <w:sz w:val="16"/>
                <w:szCs w:val="16"/>
              </w:rPr>
              <w:br/>
              <w:t>per Acre</w:t>
            </w:r>
          </w:p>
        </w:tc>
        <w:tc>
          <w:tcPr>
            <w:tcW w:w="1080" w:type="dxa"/>
            <w:tcBorders>
              <w:bottom w:val="double" w:sz="6" w:space="0" w:color="000000"/>
            </w:tcBorders>
          </w:tcPr>
          <w:p w14:paraId="5DDF3E0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r w:rsidRPr="001531CD">
              <w:rPr>
                <w:sz w:val="16"/>
                <w:szCs w:val="16"/>
              </w:rPr>
              <w:br/>
              <w:t>per Acre</w:t>
            </w:r>
          </w:p>
        </w:tc>
        <w:tc>
          <w:tcPr>
            <w:tcW w:w="1062" w:type="dxa"/>
            <w:tcBorders>
              <w:bottom w:val="double" w:sz="6" w:space="0" w:color="000000"/>
            </w:tcBorders>
          </w:tcPr>
          <w:p w14:paraId="585A814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Plants</w:t>
            </w:r>
            <w:r w:rsidRPr="001531CD">
              <w:rPr>
                <w:sz w:val="16"/>
                <w:szCs w:val="16"/>
              </w:rPr>
              <w:br/>
              <w:t>per Acre</w:t>
            </w:r>
          </w:p>
        </w:tc>
      </w:tr>
    </w:tbl>
    <w:p w14:paraId="40A102EB" w14:textId="77777777" w:rsidR="00CD0355" w:rsidRPr="001531CD" w:rsidRDefault="00CD0355" w:rsidP="00CD0355">
      <w:pPr>
        <w:pStyle w:val="A"/>
        <w:spacing w:after="0"/>
      </w:pPr>
    </w:p>
    <w:p w14:paraId="7BF9CD3B" w14:textId="77777777" w:rsidR="00CD0355" w:rsidRPr="001531CD" w:rsidRDefault="00CD0355" w:rsidP="00CD0355">
      <w:pPr>
        <w:pStyle w:val="A"/>
      </w:pPr>
      <w:r w:rsidRPr="001531CD">
        <w:t>B.</w:t>
      </w:r>
      <w:r w:rsidRPr="001531CD">
        <w:tab/>
        <w:t>Seed Standards</w:t>
      </w:r>
    </w:p>
    <w:tbl>
      <w:tblPr>
        <w:tblW w:w="49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48"/>
        <w:gridCol w:w="1115"/>
        <w:gridCol w:w="1045"/>
        <w:gridCol w:w="1063"/>
      </w:tblGrid>
      <w:tr w:rsidR="00CD0355" w:rsidRPr="001531CD" w14:paraId="0FA21CAD" w14:textId="77777777" w:rsidTr="00CD0355">
        <w:trPr>
          <w:cantSplit/>
          <w:jc w:val="center"/>
        </w:trPr>
        <w:tc>
          <w:tcPr>
            <w:tcW w:w="1748" w:type="dxa"/>
            <w:tcBorders>
              <w:top w:val="double" w:sz="6" w:space="0" w:color="000000"/>
              <w:bottom w:val="single" w:sz="6" w:space="0" w:color="000000"/>
            </w:tcBorders>
            <w:shd w:val="clear" w:color="auto" w:fill="BFBFBF"/>
            <w:vAlign w:val="center"/>
          </w:tcPr>
          <w:p w14:paraId="394344CC"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115" w:type="dxa"/>
            <w:tcBorders>
              <w:top w:val="double" w:sz="6" w:space="0" w:color="000000"/>
              <w:bottom w:val="single" w:sz="6" w:space="0" w:color="000000"/>
            </w:tcBorders>
            <w:shd w:val="clear" w:color="auto" w:fill="BFBFBF"/>
            <w:vAlign w:val="center"/>
          </w:tcPr>
          <w:p w14:paraId="64B32365"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45" w:type="dxa"/>
            <w:tcBorders>
              <w:top w:val="double" w:sz="6" w:space="0" w:color="000000"/>
              <w:bottom w:val="single" w:sz="6" w:space="0" w:color="000000"/>
            </w:tcBorders>
            <w:shd w:val="clear" w:color="auto" w:fill="BFBFBF"/>
            <w:vAlign w:val="center"/>
          </w:tcPr>
          <w:p w14:paraId="4761B900"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3" w:type="dxa"/>
            <w:tcBorders>
              <w:top w:val="double" w:sz="6" w:space="0" w:color="000000"/>
              <w:bottom w:val="single" w:sz="6" w:space="0" w:color="000000"/>
            </w:tcBorders>
            <w:shd w:val="clear" w:color="auto" w:fill="BFBFBF"/>
            <w:vAlign w:val="center"/>
          </w:tcPr>
          <w:p w14:paraId="0B0310A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4ED32EF3" w14:textId="77777777" w:rsidTr="00CD0355">
        <w:trPr>
          <w:cantSplit/>
          <w:jc w:val="center"/>
        </w:trPr>
        <w:tc>
          <w:tcPr>
            <w:tcW w:w="1748" w:type="dxa"/>
            <w:tcBorders>
              <w:top w:val="single" w:sz="6" w:space="0" w:color="000000"/>
            </w:tcBorders>
          </w:tcPr>
          <w:p w14:paraId="5932DC0F"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15" w:type="dxa"/>
            <w:tcBorders>
              <w:top w:val="single" w:sz="6" w:space="0" w:color="000000"/>
            </w:tcBorders>
          </w:tcPr>
          <w:p w14:paraId="0F3102A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45" w:type="dxa"/>
            <w:tcBorders>
              <w:top w:val="single" w:sz="6" w:space="0" w:color="000000"/>
            </w:tcBorders>
          </w:tcPr>
          <w:p w14:paraId="66401E1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63" w:type="dxa"/>
            <w:tcBorders>
              <w:top w:val="single" w:sz="6" w:space="0" w:color="000000"/>
            </w:tcBorders>
          </w:tcPr>
          <w:p w14:paraId="44CEDBC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95.00%</w:t>
            </w:r>
          </w:p>
        </w:tc>
      </w:tr>
      <w:tr w:rsidR="00CD0355" w:rsidRPr="001531CD" w14:paraId="505C1D0A" w14:textId="77777777" w:rsidTr="00CD0355">
        <w:trPr>
          <w:cantSplit/>
          <w:jc w:val="center"/>
        </w:trPr>
        <w:tc>
          <w:tcPr>
            <w:tcW w:w="1748" w:type="dxa"/>
          </w:tcPr>
          <w:p w14:paraId="16BCF43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15" w:type="dxa"/>
          </w:tcPr>
          <w:p w14:paraId="69F10CC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45" w:type="dxa"/>
          </w:tcPr>
          <w:p w14:paraId="5F84671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63" w:type="dxa"/>
          </w:tcPr>
          <w:p w14:paraId="7572CE2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w:t>
            </w:r>
          </w:p>
        </w:tc>
      </w:tr>
      <w:tr w:rsidR="00CD0355" w:rsidRPr="001531CD" w14:paraId="4C68FF8C" w14:textId="77777777" w:rsidTr="00CD0355">
        <w:trPr>
          <w:cantSplit/>
          <w:jc w:val="center"/>
        </w:trPr>
        <w:tc>
          <w:tcPr>
            <w:tcW w:w="1748" w:type="dxa"/>
          </w:tcPr>
          <w:p w14:paraId="78D2E52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lastRenderedPageBreak/>
              <w:t>Other Varieties</w:t>
            </w:r>
          </w:p>
        </w:tc>
        <w:tc>
          <w:tcPr>
            <w:tcW w:w="1115" w:type="dxa"/>
          </w:tcPr>
          <w:p w14:paraId="4DAE88F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0.01%</w:t>
            </w:r>
          </w:p>
        </w:tc>
        <w:tc>
          <w:tcPr>
            <w:tcW w:w="1045" w:type="dxa"/>
          </w:tcPr>
          <w:p w14:paraId="3BC9971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63" w:type="dxa"/>
          </w:tcPr>
          <w:p w14:paraId="3FB6370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79D0469B" w14:textId="77777777" w:rsidTr="00CD0355">
        <w:trPr>
          <w:cantSplit/>
          <w:jc w:val="center"/>
        </w:trPr>
        <w:tc>
          <w:tcPr>
            <w:tcW w:w="1748" w:type="dxa"/>
          </w:tcPr>
          <w:p w14:paraId="7320840F"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15" w:type="dxa"/>
          </w:tcPr>
          <w:p w14:paraId="41772A5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45" w:type="dxa"/>
          </w:tcPr>
          <w:p w14:paraId="13A0EF7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3" w:type="dxa"/>
          </w:tcPr>
          <w:p w14:paraId="200EFB6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14:paraId="59BC4642" w14:textId="77777777" w:rsidTr="00CD0355">
        <w:trPr>
          <w:cantSplit/>
          <w:jc w:val="center"/>
        </w:trPr>
        <w:tc>
          <w:tcPr>
            <w:tcW w:w="1748" w:type="dxa"/>
          </w:tcPr>
          <w:p w14:paraId="4631A97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115" w:type="dxa"/>
          </w:tcPr>
          <w:p w14:paraId="7A3FD99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45" w:type="dxa"/>
          </w:tcPr>
          <w:p w14:paraId="7E8AF34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3" w:type="dxa"/>
          </w:tcPr>
          <w:p w14:paraId="33A4F0F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4C058A09" w14:textId="77777777" w:rsidTr="00CD0355">
        <w:trPr>
          <w:cantSplit/>
          <w:jc w:val="center"/>
        </w:trPr>
        <w:tc>
          <w:tcPr>
            <w:tcW w:w="1748" w:type="dxa"/>
          </w:tcPr>
          <w:p w14:paraId="26E043B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115" w:type="dxa"/>
          </w:tcPr>
          <w:p w14:paraId="0492B95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1045" w:type="dxa"/>
          </w:tcPr>
          <w:p w14:paraId="0BDD341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1063" w:type="dxa"/>
          </w:tcPr>
          <w:p w14:paraId="40244F5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360 seed/lb.</w:t>
            </w:r>
          </w:p>
        </w:tc>
      </w:tr>
      <w:tr w:rsidR="00CD0355" w:rsidRPr="001531CD" w14:paraId="3A369D62" w14:textId="77777777" w:rsidTr="00CD0355">
        <w:trPr>
          <w:cantSplit/>
          <w:jc w:val="center"/>
        </w:trPr>
        <w:tc>
          <w:tcPr>
            <w:tcW w:w="1748" w:type="dxa"/>
            <w:tcBorders>
              <w:bottom w:val="double" w:sz="6" w:space="0" w:color="000000"/>
            </w:tcBorders>
          </w:tcPr>
          <w:p w14:paraId="0B8D60A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15" w:type="dxa"/>
            <w:tcBorders>
              <w:bottom w:val="double" w:sz="6" w:space="0" w:color="000000"/>
            </w:tcBorders>
          </w:tcPr>
          <w:p w14:paraId="49C190E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1045" w:type="dxa"/>
            <w:tcBorders>
              <w:bottom w:val="double" w:sz="6" w:space="0" w:color="000000"/>
            </w:tcBorders>
          </w:tcPr>
          <w:p w14:paraId="21E1BF0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1063" w:type="dxa"/>
            <w:tcBorders>
              <w:bottom w:val="double" w:sz="6" w:space="0" w:color="000000"/>
            </w:tcBorders>
          </w:tcPr>
          <w:p w14:paraId="6C6A045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14:paraId="5C408F98" w14:textId="77777777" w:rsidR="00CD0355" w:rsidRPr="001531CD" w:rsidRDefault="00CD0355" w:rsidP="00CD0355">
      <w:pPr>
        <w:tabs>
          <w:tab w:val="left" w:pos="180"/>
          <w:tab w:val="left" w:pos="360"/>
          <w:tab w:val="left" w:pos="5940"/>
          <w:tab w:val="left" w:pos="8640"/>
        </w:tabs>
        <w:rPr>
          <w:sz w:val="20"/>
        </w:rPr>
      </w:pPr>
    </w:p>
    <w:p w14:paraId="33D18FA3" w14:textId="77777777" w:rsidR="00CD0355" w:rsidRPr="001531CD" w:rsidRDefault="00CD0355" w:rsidP="00CD0355">
      <w:pPr>
        <w:pStyle w:val="AuthorityNote"/>
      </w:pPr>
      <w:r w:rsidRPr="001531CD">
        <w:t>AUTHORITY NOTE:</w:t>
      </w:r>
      <w:r w:rsidRPr="001531CD">
        <w:tab/>
        <w:t xml:space="preserve">Promulgated in accordance with R.S. 3:1433. </w:t>
      </w:r>
    </w:p>
    <w:p w14:paraId="09803CC1" w14:textId="77777777" w:rsidR="00CD0355" w:rsidRPr="001531CD" w:rsidRDefault="00CD0355" w:rsidP="00CD0355">
      <w:pPr>
        <w:pStyle w:val="HistoricalNote"/>
      </w:pPr>
      <w:r w:rsidRPr="001531CD">
        <w:t>HISTORICAL NOTE:</w:t>
      </w:r>
      <w:r w:rsidRPr="001531CD">
        <w:tab/>
        <w:t>Promulgated by the Department of Agriculture, Seed Commission, LR 8:586 (November 1982) amended LR 9:197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39:2721 (October 2013).</w:t>
      </w:r>
    </w:p>
    <w:p w14:paraId="17A7781B" w14:textId="77777777" w:rsidR="00CD0355" w:rsidRPr="001531CD" w:rsidRDefault="00CD0355" w:rsidP="00CD0355">
      <w:pPr>
        <w:pStyle w:val="Section"/>
      </w:pPr>
      <w:bookmarkStart w:id="1135" w:name="_Toc224818805"/>
      <w:r w:rsidRPr="001531CD">
        <w:t>§723.</w:t>
      </w:r>
      <w:r w:rsidRPr="001531CD">
        <w:tab/>
        <w:t>Turf and Pasture Grass Certification Standards</w:t>
      </w:r>
      <w:bookmarkEnd w:id="1135"/>
      <w:r w:rsidRPr="001531CD">
        <w:t xml:space="preserve"> </w:t>
      </w:r>
    </w:p>
    <w:p w14:paraId="0EB75BEF" w14:textId="77777777" w:rsidR="00CD0355" w:rsidRPr="001531CD" w:rsidRDefault="00CD0355" w:rsidP="00CD0355">
      <w:pPr>
        <w:pStyle w:val="A"/>
      </w:pPr>
      <w:r w:rsidRPr="001531CD">
        <w:t>A.</w:t>
      </w:r>
      <w:r w:rsidRPr="001531CD">
        <w:tab/>
        <w:t xml:space="preserve">Classes of Seed. The word </w:t>
      </w:r>
      <w:r w:rsidRPr="001531CD">
        <w:rPr>
          <w:i/>
          <w:iCs/>
        </w:rPr>
        <w:t>seed</w:t>
      </w:r>
      <w:r w:rsidRPr="001531CD">
        <w:t xml:space="preserve"> shall be understood to include all propagated materials in this Section.</w:t>
      </w:r>
    </w:p>
    <w:p w14:paraId="2B4E952D" w14:textId="77777777" w:rsidR="00CD0355" w:rsidRPr="001531CD" w:rsidRDefault="00CD0355" w:rsidP="00CD0355">
      <w:pPr>
        <w:pStyle w:val="1"/>
      </w:pPr>
      <w:r w:rsidRPr="001531CD">
        <w:t>1.</w:t>
      </w:r>
      <w:r w:rsidRPr="001531CD">
        <w:tab/>
        <w:t>Foundation shall be the vegetative increase of Breeder seed.</w:t>
      </w:r>
    </w:p>
    <w:p w14:paraId="00BD9F6A" w14:textId="77777777" w:rsidR="00CD0355" w:rsidRPr="001531CD" w:rsidRDefault="00CD0355" w:rsidP="00CD0355">
      <w:pPr>
        <w:pStyle w:val="1"/>
      </w:pPr>
      <w:r w:rsidRPr="001531CD">
        <w:t>2.</w:t>
      </w:r>
      <w:r w:rsidRPr="001531CD">
        <w:tab/>
      </w:r>
      <w:r w:rsidRPr="004F24F8">
        <w:t>Registered shall be the vegetative increase of Foundation seed.</w:t>
      </w:r>
    </w:p>
    <w:p w14:paraId="0599649A" w14:textId="77777777" w:rsidR="00CD0355" w:rsidRPr="001531CD" w:rsidRDefault="00CD0355" w:rsidP="00CD0355">
      <w:pPr>
        <w:pStyle w:val="1"/>
      </w:pPr>
      <w:r w:rsidRPr="001531CD">
        <w:t>3.</w:t>
      </w:r>
      <w:r w:rsidRPr="001531CD">
        <w:tab/>
        <w:t>Certified shall be the vegetative increase of Registered seed.</w:t>
      </w:r>
    </w:p>
    <w:p w14:paraId="68B5192C" w14:textId="77777777" w:rsidR="00CD0355" w:rsidRDefault="00CD0355" w:rsidP="00CD0355">
      <w:pPr>
        <w:pStyle w:val="A"/>
      </w:pPr>
      <w:r w:rsidRPr="001531CD">
        <w:t>B.</w:t>
      </w:r>
      <w:r w:rsidRPr="001531CD">
        <w:tab/>
      </w:r>
      <w:r w:rsidRPr="004F24F8">
        <w:t>A grower may increase their acreage of Registered class of seed on their own farm on a limited basis with the approval of LDAF.</w:t>
      </w:r>
    </w:p>
    <w:p w14:paraId="06939F49" w14:textId="77777777" w:rsidR="00CD0355" w:rsidRPr="004F24F8" w:rsidRDefault="00CD0355" w:rsidP="00CD0355">
      <w:pPr>
        <w:pStyle w:val="A"/>
      </w:pPr>
      <w:r w:rsidRPr="004F24F8">
        <w:t>C.</w:t>
      </w:r>
      <w:r w:rsidRPr="004F24F8">
        <w:tab/>
        <w:t>Land Requirements</w:t>
      </w:r>
    </w:p>
    <w:p w14:paraId="68527621" w14:textId="77777777" w:rsidR="00CD0355" w:rsidRPr="004F24F8" w:rsidRDefault="00CD0355" w:rsidP="00CD0355">
      <w:pPr>
        <w:pStyle w:val="1"/>
      </w:pPr>
      <w:r w:rsidRPr="004F24F8">
        <w:t>1.</w:t>
      </w:r>
      <w:r w:rsidRPr="004F24F8">
        <w:tab/>
        <w:t>Sod and Sprigs (pre-planting inspections)</w:t>
      </w:r>
    </w:p>
    <w:p w14:paraId="3E8ABC2F" w14:textId="77777777" w:rsidR="00CD0355" w:rsidRPr="004F24F8" w:rsidRDefault="00CD0355" w:rsidP="00CD0355">
      <w:pPr>
        <w:pStyle w:val="a0"/>
      </w:pPr>
      <w:r w:rsidRPr="004F24F8">
        <w:t>a.</w:t>
      </w:r>
      <w:r w:rsidRPr="004F24F8">
        <w:tab/>
        <w:t>A field to be eligible for the production of all certified classes of sod shall be left undisturbed for a minimum of four weeks prior to planting and found to be free of noxious and objectionable weeds.</w:t>
      </w:r>
    </w:p>
    <w:p w14:paraId="6B623C00" w14:textId="77777777" w:rsidR="00CD0355" w:rsidRPr="001531CD" w:rsidRDefault="00CD0355" w:rsidP="00CD0355">
      <w:pPr>
        <w:pStyle w:val="a0"/>
      </w:pPr>
      <w:r w:rsidRPr="004F24F8">
        <w:t>b.</w:t>
      </w:r>
      <w:r w:rsidRPr="004F24F8">
        <w:tab/>
        <w:t>A recommended soil fumigation may be applied by a licensed applicator, followed by an inspection by LDAF a minimum of four weeks after the application, to ensure no emergence of noxious and objectionable weeds prior to planting.</w:t>
      </w:r>
    </w:p>
    <w:p w14:paraId="32A4BF8A" w14:textId="77777777" w:rsidR="00CD0355" w:rsidRPr="0072604C" w:rsidRDefault="00CD0355" w:rsidP="00CD0355">
      <w:pPr>
        <w:pStyle w:val="A"/>
      </w:pPr>
      <w:r w:rsidRPr="001531CD">
        <w:t>D.</w:t>
      </w:r>
      <w:r w:rsidRPr="001531CD">
        <w:tab/>
      </w:r>
      <w:r w:rsidRPr="0072604C">
        <w:t>Field Inspections. Turf Grasses and Pasture Grasses entered into the certification program shall be inspected at least three times a year: first (April-May); second (August-September); third (December-January) to ensure the quality of the grasses has met or exceeded the minimum standards set forth in these regulations. If a field is found to be deficient in meeting the standards then the producer has the option of spot roguing the undesirable, if LDAF deems possible, and call for a re-inspection of the crop.</w:t>
      </w:r>
    </w:p>
    <w:p w14:paraId="7554EE91" w14:textId="77777777" w:rsidR="00CD0355" w:rsidRPr="001531CD" w:rsidRDefault="00CD0355" w:rsidP="00CD0355">
      <w:pPr>
        <w:pStyle w:val="A"/>
      </w:pPr>
      <w:r w:rsidRPr="0072604C">
        <w:t>E.</w:t>
      </w:r>
      <w:r w:rsidRPr="0072604C">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33"/>
        <w:gridCol w:w="1092"/>
        <w:gridCol w:w="1143"/>
        <w:gridCol w:w="1062"/>
      </w:tblGrid>
      <w:tr w:rsidR="00CD0355" w:rsidRPr="001531CD" w14:paraId="618B910D" w14:textId="77777777" w:rsidTr="00CD0355">
        <w:trPr>
          <w:cantSplit/>
          <w:tblHeader/>
          <w:jc w:val="center"/>
        </w:trPr>
        <w:tc>
          <w:tcPr>
            <w:tcW w:w="1533" w:type="dxa"/>
            <w:tcBorders>
              <w:top w:val="double" w:sz="6" w:space="0" w:color="000000"/>
              <w:bottom w:val="single" w:sz="6" w:space="0" w:color="000000"/>
            </w:tcBorders>
            <w:shd w:val="clear" w:color="auto" w:fill="BFBFBF"/>
            <w:vAlign w:val="center"/>
          </w:tcPr>
          <w:p w14:paraId="56511DEC"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1092" w:type="dxa"/>
            <w:tcBorders>
              <w:top w:val="double" w:sz="6" w:space="0" w:color="000000"/>
              <w:bottom w:val="single" w:sz="6" w:space="0" w:color="000000"/>
            </w:tcBorders>
            <w:shd w:val="clear" w:color="auto" w:fill="BFBFBF"/>
          </w:tcPr>
          <w:p w14:paraId="00F5BA4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143" w:type="dxa"/>
            <w:tcBorders>
              <w:top w:val="double" w:sz="6" w:space="0" w:color="000000"/>
              <w:bottom w:val="single" w:sz="6" w:space="0" w:color="000000"/>
            </w:tcBorders>
            <w:shd w:val="clear" w:color="auto" w:fill="BFBFBF"/>
          </w:tcPr>
          <w:p w14:paraId="6DF823EF"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2" w:type="dxa"/>
            <w:tcBorders>
              <w:top w:val="double" w:sz="6" w:space="0" w:color="000000"/>
              <w:bottom w:val="single" w:sz="6" w:space="0" w:color="000000"/>
            </w:tcBorders>
            <w:shd w:val="clear" w:color="auto" w:fill="BFBFBF"/>
          </w:tcPr>
          <w:p w14:paraId="6387887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74495A01" w14:textId="77777777" w:rsidTr="00CD0355">
        <w:trPr>
          <w:cantSplit/>
          <w:jc w:val="center"/>
        </w:trPr>
        <w:tc>
          <w:tcPr>
            <w:tcW w:w="4830" w:type="dxa"/>
            <w:gridSpan w:val="4"/>
            <w:tcBorders>
              <w:top w:val="single" w:sz="6" w:space="0" w:color="000000"/>
              <w:bottom w:val="single" w:sz="6" w:space="0" w:color="000000"/>
            </w:tcBorders>
            <w:shd w:val="clear" w:color="auto" w:fill="BFBFBF"/>
          </w:tcPr>
          <w:p w14:paraId="42488CAB"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Turf Grasses (Sprigs and Sod)</w:t>
            </w:r>
          </w:p>
        </w:tc>
      </w:tr>
      <w:tr w:rsidR="00CD0355" w:rsidRPr="001531CD" w14:paraId="092D0E84" w14:textId="77777777" w:rsidTr="00CD0355">
        <w:trPr>
          <w:cantSplit/>
          <w:jc w:val="center"/>
        </w:trPr>
        <w:tc>
          <w:tcPr>
            <w:tcW w:w="1533" w:type="dxa"/>
            <w:tcBorders>
              <w:top w:val="single" w:sz="6" w:space="0" w:color="000000"/>
            </w:tcBorders>
            <w:vAlign w:val="bottom"/>
          </w:tcPr>
          <w:p w14:paraId="3D0EC90E"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2" w:type="dxa"/>
            <w:tcBorders>
              <w:top w:val="single" w:sz="6" w:space="0" w:color="000000"/>
            </w:tcBorders>
            <w:vAlign w:val="bottom"/>
          </w:tcPr>
          <w:p w14:paraId="7B43FF1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tcBorders>
              <w:top w:val="single" w:sz="6" w:space="0" w:color="000000"/>
            </w:tcBorders>
            <w:vAlign w:val="bottom"/>
          </w:tcPr>
          <w:p w14:paraId="7A9F045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tcBorders>
              <w:top w:val="single" w:sz="6" w:space="0" w:color="000000"/>
            </w:tcBorders>
            <w:vAlign w:val="bottom"/>
          </w:tcPr>
          <w:p w14:paraId="4176E49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 ft.</w:t>
            </w:r>
          </w:p>
        </w:tc>
      </w:tr>
      <w:tr w:rsidR="00CD0355" w:rsidRPr="001531CD" w14:paraId="12C49849" w14:textId="77777777" w:rsidTr="00CD0355">
        <w:trPr>
          <w:cantSplit/>
          <w:jc w:val="center"/>
        </w:trPr>
        <w:tc>
          <w:tcPr>
            <w:tcW w:w="1533" w:type="dxa"/>
            <w:vAlign w:val="bottom"/>
          </w:tcPr>
          <w:p w14:paraId="20928944"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2" w:type="dxa"/>
            <w:vAlign w:val="bottom"/>
          </w:tcPr>
          <w:p w14:paraId="30A8A8B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14:paraId="515DDC2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14:paraId="18D3DCA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 ft.</w:t>
            </w:r>
          </w:p>
        </w:tc>
      </w:tr>
      <w:tr w:rsidR="00CD0355" w:rsidRPr="001531CD" w14:paraId="27AC9792" w14:textId="77777777" w:rsidTr="00CD0355">
        <w:trPr>
          <w:cantSplit/>
          <w:jc w:val="center"/>
        </w:trPr>
        <w:tc>
          <w:tcPr>
            <w:tcW w:w="1533" w:type="dxa"/>
            <w:vAlign w:val="bottom"/>
          </w:tcPr>
          <w:p w14:paraId="1B12E30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92" w:type="dxa"/>
            <w:vAlign w:val="center"/>
          </w:tcPr>
          <w:p w14:paraId="3E9CCB2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center"/>
          </w:tcPr>
          <w:p w14:paraId="202A6CD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center"/>
          </w:tcPr>
          <w:p w14:paraId="169D32A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7DDD3CDF" w14:textId="77777777" w:rsidTr="00CD0355">
        <w:trPr>
          <w:cantSplit/>
          <w:jc w:val="center"/>
        </w:trPr>
        <w:tc>
          <w:tcPr>
            <w:tcW w:w="1533" w:type="dxa"/>
            <w:vAlign w:val="bottom"/>
          </w:tcPr>
          <w:p w14:paraId="233F7549"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92" w:type="dxa"/>
            <w:vAlign w:val="bottom"/>
          </w:tcPr>
          <w:p w14:paraId="548342A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14:paraId="4AA1691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14:paraId="2D49A8C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2C62F8F1" w14:textId="77777777" w:rsidTr="00CD0355">
        <w:trPr>
          <w:cantSplit/>
          <w:jc w:val="center"/>
        </w:trPr>
        <w:tc>
          <w:tcPr>
            <w:tcW w:w="1533" w:type="dxa"/>
            <w:tcBorders>
              <w:bottom w:val="single" w:sz="6" w:space="0" w:color="000000"/>
            </w:tcBorders>
            <w:vAlign w:val="bottom"/>
          </w:tcPr>
          <w:p w14:paraId="2B754201"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92" w:type="dxa"/>
            <w:tcBorders>
              <w:bottom w:val="single" w:sz="6" w:space="0" w:color="000000"/>
            </w:tcBorders>
            <w:vAlign w:val="bottom"/>
          </w:tcPr>
          <w:p w14:paraId="4C71F81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c>
          <w:tcPr>
            <w:tcW w:w="1143" w:type="dxa"/>
            <w:tcBorders>
              <w:bottom w:val="single" w:sz="6" w:space="0" w:color="000000"/>
            </w:tcBorders>
            <w:vAlign w:val="bottom"/>
          </w:tcPr>
          <w:p w14:paraId="4B47F22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c>
          <w:tcPr>
            <w:tcW w:w="1062" w:type="dxa"/>
            <w:tcBorders>
              <w:bottom w:val="single" w:sz="6" w:space="0" w:color="000000"/>
            </w:tcBorders>
            <w:vAlign w:val="bottom"/>
          </w:tcPr>
          <w:p w14:paraId="2222CEC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r>
      <w:tr w:rsidR="00CD0355" w:rsidRPr="001531CD" w14:paraId="2EC775C4" w14:textId="77777777" w:rsidTr="00CD0355">
        <w:trPr>
          <w:cantSplit/>
          <w:jc w:val="center"/>
        </w:trPr>
        <w:tc>
          <w:tcPr>
            <w:tcW w:w="4830" w:type="dxa"/>
            <w:gridSpan w:val="4"/>
            <w:tcBorders>
              <w:top w:val="single" w:sz="6" w:space="0" w:color="000000"/>
              <w:bottom w:val="single" w:sz="6" w:space="0" w:color="000000"/>
            </w:tcBorders>
            <w:shd w:val="clear" w:color="auto" w:fill="BFBFBF"/>
            <w:vAlign w:val="bottom"/>
          </w:tcPr>
          <w:p w14:paraId="6BF4F0D1" w14:textId="77777777" w:rsidR="00CD0355" w:rsidRPr="001531CD" w:rsidRDefault="00CD0355" w:rsidP="00CD0355">
            <w:pPr>
              <w:keepNext/>
              <w:tabs>
                <w:tab w:val="left" w:pos="180"/>
                <w:tab w:val="left" w:pos="360"/>
                <w:tab w:val="left" w:pos="5940"/>
                <w:tab w:val="left" w:pos="8640"/>
              </w:tabs>
              <w:jc w:val="center"/>
              <w:rPr>
                <w:b/>
                <w:sz w:val="16"/>
                <w:szCs w:val="16"/>
              </w:rPr>
            </w:pPr>
            <w:r w:rsidRPr="001531CD">
              <w:rPr>
                <w:b/>
                <w:bCs/>
                <w:sz w:val="16"/>
                <w:szCs w:val="16"/>
              </w:rPr>
              <w:t>Pasture Grass (Sprigs)</w:t>
            </w:r>
          </w:p>
        </w:tc>
      </w:tr>
      <w:tr w:rsidR="00CD0355" w:rsidRPr="001531CD" w14:paraId="666638BB" w14:textId="77777777" w:rsidTr="00CD0355">
        <w:trPr>
          <w:cantSplit/>
          <w:jc w:val="center"/>
        </w:trPr>
        <w:tc>
          <w:tcPr>
            <w:tcW w:w="1533" w:type="dxa"/>
            <w:tcBorders>
              <w:top w:val="single" w:sz="6" w:space="0" w:color="000000"/>
            </w:tcBorders>
            <w:vAlign w:val="bottom"/>
          </w:tcPr>
          <w:p w14:paraId="34FDB326"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2" w:type="dxa"/>
            <w:tcBorders>
              <w:top w:val="single" w:sz="6" w:space="0" w:color="000000"/>
            </w:tcBorders>
            <w:vAlign w:val="bottom"/>
          </w:tcPr>
          <w:p w14:paraId="03CE959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tcBorders>
              <w:top w:val="single" w:sz="6" w:space="0" w:color="000000"/>
            </w:tcBorders>
            <w:vAlign w:val="bottom"/>
          </w:tcPr>
          <w:p w14:paraId="274CB09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sq.ft.</w:t>
            </w:r>
          </w:p>
        </w:tc>
        <w:tc>
          <w:tcPr>
            <w:tcW w:w="1062" w:type="dxa"/>
            <w:tcBorders>
              <w:top w:val="single" w:sz="6" w:space="0" w:color="000000"/>
            </w:tcBorders>
            <w:vAlign w:val="bottom"/>
          </w:tcPr>
          <w:p w14:paraId="441EA32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Plants/ 1000 sq.ft.</w:t>
            </w:r>
          </w:p>
        </w:tc>
      </w:tr>
      <w:tr w:rsidR="00CD0355" w:rsidRPr="001531CD" w14:paraId="397AA233" w14:textId="77777777" w:rsidTr="00CD0355">
        <w:trPr>
          <w:cantSplit/>
          <w:jc w:val="center"/>
        </w:trPr>
        <w:tc>
          <w:tcPr>
            <w:tcW w:w="1533" w:type="dxa"/>
            <w:vAlign w:val="bottom"/>
          </w:tcPr>
          <w:p w14:paraId="7A9B39C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2" w:type="dxa"/>
            <w:vAlign w:val="bottom"/>
          </w:tcPr>
          <w:p w14:paraId="3005151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14:paraId="4E07B07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14:paraId="180957D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Plants/ 1000 sq. ft.</w:t>
            </w:r>
          </w:p>
        </w:tc>
      </w:tr>
      <w:tr w:rsidR="00CD0355" w:rsidRPr="001531CD" w14:paraId="18465E1E" w14:textId="77777777" w:rsidTr="00CD0355">
        <w:trPr>
          <w:cantSplit/>
          <w:jc w:val="center"/>
        </w:trPr>
        <w:tc>
          <w:tcPr>
            <w:tcW w:w="1533" w:type="dxa"/>
            <w:vAlign w:val="bottom"/>
          </w:tcPr>
          <w:p w14:paraId="30AD5DFD"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92" w:type="dxa"/>
            <w:vAlign w:val="center"/>
          </w:tcPr>
          <w:p w14:paraId="05FB762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center"/>
          </w:tcPr>
          <w:p w14:paraId="1AEF5A7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center"/>
          </w:tcPr>
          <w:p w14:paraId="6B6EE4A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6E6AE0F7" w14:textId="77777777" w:rsidTr="00CD0355">
        <w:trPr>
          <w:cantSplit/>
          <w:jc w:val="center"/>
        </w:trPr>
        <w:tc>
          <w:tcPr>
            <w:tcW w:w="1533" w:type="dxa"/>
            <w:vAlign w:val="bottom"/>
          </w:tcPr>
          <w:p w14:paraId="5E956629"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92" w:type="dxa"/>
            <w:vAlign w:val="bottom"/>
          </w:tcPr>
          <w:p w14:paraId="247D14C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14:paraId="6D91EC2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14:paraId="121C9AC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4A37136E" w14:textId="77777777" w:rsidTr="00CD0355">
        <w:trPr>
          <w:cantSplit/>
          <w:jc w:val="center"/>
        </w:trPr>
        <w:tc>
          <w:tcPr>
            <w:tcW w:w="1533" w:type="dxa"/>
            <w:tcBorders>
              <w:bottom w:val="double" w:sz="6" w:space="0" w:color="000000"/>
            </w:tcBorders>
            <w:vAlign w:val="bottom"/>
          </w:tcPr>
          <w:p w14:paraId="15455CA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92" w:type="dxa"/>
            <w:tcBorders>
              <w:bottom w:val="double" w:sz="6" w:space="0" w:color="000000"/>
            </w:tcBorders>
            <w:vAlign w:val="bottom"/>
          </w:tcPr>
          <w:p w14:paraId="2100C63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c>
          <w:tcPr>
            <w:tcW w:w="1143" w:type="dxa"/>
            <w:tcBorders>
              <w:bottom w:val="double" w:sz="6" w:space="0" w:color="000000"/>
            </w:tcBorders>
            <w:vAlign w:val="bottom"/>
          </w:tcPr>
          <w:p w14:paraId="35C016E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c>
          <w:tcPr>
            <w:tcW w:w="1062" w:type="dxa"/>
            <w:tcBorders>
              <w:bottom w:val="double" w:sz="6" w:space="0" w:color="000000"/>
            </w:tcBorders>
            <w:vAlign w:val="bottom"/>
          </w:tcPr>
          <w:p w14:paraId="253A576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r>
    </w:tbl>
    <w:p w14:paraId="3DF15214" w14:textId="77777777" w:rsidR="00CD0355" w:rsidRPr="001531CD" w:rsidRDefault="00CD0355" w:rsidP="00CD0355">
      <w:pPr>
        <w:tabs>
          <w:tab w:val="left" w:pos="450"/>
          <w:tab w:val="left" w:pos="4500"/>
          <w:tab w:val="left" w:pos="4680"/>
          <w:tab w:val="left" w:pos="4860"/>
          <w:tab w:val="left" w:pos="5040"/>
          <w:tab w:val="left" w:pos="7200"/>
        </w:tabs>
        <w:ind w:firstLine="180"/>
        <w:jc w:val="both"/>
        <w:outlineLvl w:val="4"/>
        <w:rPr>
          <w:sz w:val="20"/>
        </w:rPr>
      </w:pPr>
    </w:p>
    <w:p w14:paraId="6DE6B16A" w14:textId="77777777" w:rsidR="00CD0355" w:rsidRPr="001531CD" w:rsidRDefault="00CD0355" w:rsidP="00CD0355">
      <w:pPr>
        <w:pStyle w:val="1"/>
      </w:pPr>
      <w:r w:rsidRPr="001531CD">
        <w:t>1.</w:t>
      </w:r>
      <w:r w:rsidRPr="001531CD">
        <w:tab/>
      </w:r>
      <w:r w:rsidRPr="0072604C">
        <w:t>Other varieties consist of other strains of the species that can be differentiated from the variety or varieties that are being inspected.</w:t>
      </w:r>
    </w:p>
    <w:p w14:paraId="46311BC7" w14:textId="77777777" w:rsidR="00CD0355" w:rsidRPr="001531CD" w:rsidRDefault="00CD0355" w:rsidP="00CD0355">
      <w:pPr>
        <w:pStyle w:val="1"/>
      </w:pPr>
      <w:r w:rsidRPr="001531CD">
        <w:t>2.</w:t>
      </w:r>
      <w:r w:rsidRPr="001531CD">
        <w:tab/>
      </w:r>
      <w:r w:rsidRPr="0072604C">
        <w:t>Noxious and objectionable weeds. Noxious and objectionable weeds are with the inclusions of, but not limited to, the following plants: Virginia button weed (Diodia virginiana); dallisgrass (Paspalum dilatatum); crabgrass (Digitaria spp.); goosegrass (Eleusine indica); bahiagrass (Paspalum notatum); torpedograss (Panicum repens); Nutsedge (Cyperus esculentus, C. rotundus).</w:t>
      </w:r>
    </w:p>
    <w:p w14:paraId="65038D43" w14:textId="77777777" w:rsidR="00CD0355" w:rsidRPr="001531CD" w:rsidRDefault="00CD0355" w:rsidP="00CD0355">
      <w:pPr>
        <w:pStyle w:val="1"/>
      </w:pPr>
      <w:r w:rsidRPr="001531CD">
        <w:t>3.</w:t>
      </w:r>
      <w:r w:rsidRPr="001531CD">
        <w:tab/>
      </w:r>
      <w:r w:rsidRPr="0072604C">
        <w:t>Harmful Diseases. Harmful diseases are diseases that seriously affect the quality of grasses and are transmitted by planting stock.</w:t>
      </w:r>
    </w:p>
    <w:p w14:paraId="544F39BA" w14:textId="77777777" w:rsidR="00CD0355" w:rsidRPr="001531CD" w:rsidRDefault="00CD0355" w:rsidP="00CD0355">
      <w:pPr>
        <w:pStyle w:val="1"/>
      </w:pPr>
      <w:r w:rsidRPr="001531CD">
        <w:t>4.</w:t>
      </w:r>
      <w:r w:rsidRPr="001531CD">
        <w:tab/>
      </w:r>
      <w:r w:rsidRPr="00B94C6F">
        <w:t>Isolation. Isolation shall be a barren strip or an approved crop to maintain purity without the risk of contamination.</w:t>
      </w:r>
    </w:p>
    <w:p w14:paraId="7E666E1B" w14:textId="77777777" w:rsidR="00CD0355" w:rsidRPr="001531CD" w:rsidRDefault="00CD0355" w:rsidP="00CD0355">
      <w:pPr>
        <w:pStyle w:val="A"/>
      </w:pPr>
      <w:r>
        <w:t>F</w:t>
      </w:r>
      <w:r w:rsidRPr="001531CD">
        <w:t>.</w:t>
      </w:r>
      <w:r w:rsidRPr="001531CD">
        <w:tab/>
        <w:t>Planting Stock Standards</w:t>
      </w:r>
    </w:p>
    <w:tbl>
      <w:tblPr>
        <w:tblW w:w="49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105"/>
        <w:gridCol w:w="1074"/>
        <w:gridCol w:w="945"/>
        <w:gridCol w:w="855"/>
      </w:tblGrid>
      <w:tr w:rsidR="00CD0355" w:rsidRPr="001531CD" w14:paraId="34A2DCFE" w14:textId="77777777" w:rsidTr="00CD0355">
        <w:trPr>
          <w:cantSplit/>
          <w:tblHeader/>
          <w:jc w:val="center"/>
        </w:trPr>
        <w:tc>
          <w:tcPr>
            <w:tcW w:w="2105" w:type="dxa"/>
            <w:shd w:val="clear" w:color="auto" w:fill="BFBFBF"/>
          </w:tcPr>
          <w:p w14:paraId="3A9B0456" w14:textId="77777777"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74" w:type="dxa"/>
            <w:shd w:val="clear" w:color="auto" w:fill="BFBFBF"/>
          </w:tcPr>
          <w:p w14:paraId="68021AE6"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shd w:val="clear" w:color="auto" w:fill="BFBFBF"/>
          </w:tcPr>
          <w:p w14:paraId="33CEEA95"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55" w:type="dxa"/>
            <w:shd w:val="clear" w:color="auto" w:fill="BFBFBF"/>
          </w:tcPr>
          <w:p w14:paraId="240A27B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3E777524" w14:textId="77777777" w:rsidTr="00CD0355">
        <w:trPr>
          <w:cantSplit/>
          <w:jc w:val="center"/>
        </w:trPr>
        <w:tc>
          <w:tcPr>
            <w:tcW w:w="4979" w:type="dxa"/>
            <w:gridSpan w:val="4"/>
            <w:shd w:val="clear" w:color="auto" w:fill="BFBFBF"/>
          </w:tcPr>
          <w:p w14:paraId="6704CE9E"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Turf Grass</w:t>
            </w:r>
          </w:p>
        </w:tc>
      </w:tr>
      <w:tr w:rsidR="00CD0355" w:rsidRPr="001531CD" w14:paraId="6E3971A1" w14:textId="77777777" w:rsidTr="00CD0355">
        <w:trPr>
          <w:cantSplit/>
          <w:jc w:val="center"/>
        </w:trPr>
        <w:tc>
          <w:tcPr>
            <w:tcW w:w="2105" w:type="dxa"/>
          </w:tcPr>
          <w:p w14:paraId="07D5B59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Live Plants</w:t>
            </w:r>
          </w:p>
        </w:tc>
        <w:tc>
          <w:tcPr>
            <w:tcW w:w="1074" w:type="dxa"/>
          </w:tcPr>
          <w:p w14:paraId="2CA3BDE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c>
          <w:tcPr>
            <w:tcW w:w="945" w:type="dxa"/>
          </w:tcPr>
          <w:p w14:paraId="20B8A67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c>
          <w:tcPr>
            <w:tcW w:w="855" w:type="dxa"/>
          </w:tcPr>
          <w:p w14:paraId="66D7573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r>
      <w:tr w:rsidR="00CD0355" w:rsidRPr="001531CD" w14:paraId="194D58D1" w14:textId="77777777" w:rsidTr="00CD0355">
        <w:trPr>
          <w:cantSplit/>
          <w:jc w:val="center"/>
        </w:trPr>
        <w:tc>
          <w:tcPr>
            <w:tcW w:w="2105" w:type="dxa"/>
          </w:tcPr>
          <w:p w14:paraId="2CC9247A"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74" w:type="dxa"/>
            <w:vAlign w:val="bottom"/>
          </w:tcPr>
          <w:p w14:paraId="3B8920E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14:paraId="16BF394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14:paraId="4105DF1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693A7DA0" w14:textId="77777777" w:rsidTr="00CD0355">
        <w:trPr>
          <w:cantSplit/>
          <w:jc w:val="center"/>
        </w:trPr>
        <w:tc>
          <w:tcPr>
            <w:tcW w:w="2105" w:type="dxa"/>
          </w:tcPr>
          <w:p w14:paraId="4755186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74" w:type="dxa"/>
            <w:vAlign w:val="bottom"/>
          </w:tcPr>
          <w:p w14:paraId="2694FB8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14:paraId="3C82766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c>
          <w:tcPr>
            <w:tcW w:w="855" w:type="dxa"/>
            <w:vAlign w:val="bottom"/>
          </w:tcPr>
          <w:p w14:paraId="74046F9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r>
      <w:tr w:rsidR="00CD0355" w:rsidRPr="001531CD" w14:paraId="4C78A5FD" w14:textId="77777777" w:rsidTr="00CD0355">
        <w:trPr>
          <w:cantSplit/>
          <w:jc w:val="center"/>
        </w:trPr>
        <w:tc>
          <w:tcPr>
            <w:tcW w:w="2105" w:type="dxa"/>
          </w:tcPr>
          <w:p w14:paraId="03F247C2"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w:t>
            </w:r>
          </w:p>
        </w:tc>
        <w:tc>
          <w:tcPr>
            <w:tcW w:w="1074" w:type="dxa"/>
            <w:vAlign w:val="bottom"/>
          </w:tcPr>
          <w:p w14:paraId="00B78EC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14:paraId="1CED561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14:paraId="580B819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r>
      <w:tr w:rsidR="00CD0355" w:rsidRPr="001531CD" w14:paraId="5EBA4F90" w14:textId="77777777" w:rsidTr="00CD0355">
        <w:trPr>
          <w:cantSplit/>
          <w:jc w:val="center"/>
        </w:trPr>
        <w:tc>
          <w:tcPr>
            <w:tcW w:w="2105" w:type="dxa"/>
          </w:tcPr>
          <w:p w14:paraId="4B84A86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74" w:type="dxa"/>
            <w:vAlign w:val="bottom"/>
          </w:tcPr>
          <w:p w14:paraId="3B3CB0C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14:paraId="2255F7A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14:paraId="570B11E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7204D582" w14:textId="77777777" w:rsidTr="00CD0355">
        <w:trPr>
          <w:cantSplit/>
          <w:jc w:val="center"/>
        </w:trPr>
        <w:tc>
          <w:tcPr>
            <w:tcW w:w="4979" w:type="dxa"/>
            <w:gridSpan w:val="4"/>
            <w:shd w:val="clear" w:color="auto" w:fill="BFBFBF"/>
            <w:vAlign w:val="bottom"/>
          </w:tcPr>
          <w:p w14:paraId="2C8B2B32"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Pasture Grass</w:t>
            </w:r>
          </w:p>
        </w:tc>
      </w:tr>
      <w:tr w:rsidR="00CD0355" w:rsidRPr="001531CD" w14:paraId="4DC4D9F4" w14:textId="77777777" w:rsidTr="00CD0355">
        <w:trPr>
          <w:cantSplit/>
          <w:jc w:val="center"/>
        </w:trPr>
        <w:tc>
          <w:tcPr>
            <w:tcW w:w="2105" w:type="dxa"/>
          </w:tcPr>
          <w:p w14:paraId="3E7FCCD8" w14:textId="77777777" w:rsidR="00CD0355" w:rsidRPr="001531CD" w:rsidRDefault="00CD0355" w:rsidP="00CD0355">
            <w:pPr>
              <w:keepNext/>
              <w:tabs>
                <w:tab w:val="left" w:pos="180"/>
                <w:tab w:val="left" w:pos="360"/>
                <w:tab w:val="left" w:pos="5940"/>
                <w:tab w:val="left" w:pos="8640"/>
              </w:tabs>
              <w:rPr>
                <w:sz w:val="16"/>
                <w:szCs w:val="16"/>
              </w:rPr>
            </w:pPr>
            <w:r w:rsidRPr="001531CD">
              <w:rPr>
                <w:sz w:val="16"/>
                <w:szCs w:val="16"/>
              </w:rPr>
              <w:t>Pure Live Sprigs containing roots (minimum by count)</w:t>
            </w:r>
          </w:p>
        </w:tc>
        <w:tc>
          <w:tcPr>
            <w:tcW w:w="1074" w:type="dxa"/>
            <w:vAlign w:val="bottom"/>
          </w:tcPr>
          <w:p w14:paraId="47E2549B" w14:textId="77777777"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c>
          <w:tcPr>
            <w:tcW w:w="945" w:type="dxa"/>
            <w:vAlign w:val="bottom"/>
          </w:tcPr>
          <w:p w14:paraId="50D4ABDA" w14:textId="77777777"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c>
          <w:tcPr>
            <w:tcW w:w="855" w:type="dxa"/>
            <w:vAlign w:val="bottom"/>
          </w:tcPr>
          <w:p w14:paraId="09D1B978" w14:textId="77777777"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r>
      <w:tr w:rsidR="00CD0355" w:rsidRPr="001531CD" w14:paraId="5C6F094C" w14:textId="77777777" w:rsidTr="00CD0355">
        <w:trPr>
          <w:cantSplit/>
          <w:jc w:val="center"/>
        </w:trPr>
        <w:tc>
          <w:tcPr>
            <w:tcW w:w="2105" w:type="dxa"/>
          </w:tcPr>
          <w:p w14:paraId="13EA49A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Live Plants (maximum by count)</w:t>
            </w:r>
          </w:p>
        </w:tc>
        <w:tc>
          <w:tcPr>
            <w:tcW w:w="1074" w:type="dxa"/>
            <w:vAlign w:val="bottom"/>
          </w:tcPr>
          <w:p w14:paraId="1E1911C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5" w:type="dxa"/>
            <w:vAlign w:val="bottom"/>
          </w:tcPr>
          <w:p w14:paraId="42CB749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55" w:type="dxa"/>
            <w:vAlign w:val="bottom"/>
          </w:tcPr>
          <w:p w14:paraId="12442C9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437DFC64" w14:textId="77777777" w:rsidTr="00CD0355">
        <w:trPr>
          <w:cantSplit/>
          <w:jc w:val="center"/>
        </w:trPr>
        <w:tc>
          <w:tcPr>
            <w:tcW w:w="2105" w:type="dxa"/>
          </w:tcPr>
          <w:p w14:paraId="2AC49927"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074" w:type="dxa"/>
            <w:vAlign w:val="bottom"/>
          </w:tcPr>
          <w:p w14:paraId="5334404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14:paraId="1692350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14:paraId="02098D4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14:paraId="53485E1F" w14:textId="77777777" w:rsidR="00CD0355" w:rsidRPr="001531CD" w:rsidRDefault="00CD0355" w:rsidP="00CD0355">
      <w:pPr>
        <w:pStyle w:val="A"/>
        <w:spacing w:after="0"/>
      </w:pPr>
    </w:p>
    <w:p w14:paraId="1A4FBB48" w14:textId="77777777" w:rsidR="00CD0355" w:rsidRPr="00D55B14" w:rsidRDefault="00CD0355" w:rsidP="00CD0355">
      <w:pPr>
        <w:pStyle w:val="A"/>
      </w:pPr>
      <w:r>
        <w:t>G</w:t>
      </w:r>
      <w:r w:rsidRPr="00D55B14">
        <w:t>.</w:t>
      </w:r>
      <w:r w:rsidRPr="00D55B14">
        <w:tab/>
        <w:t>Reporting System</w:t>
      </w:r>
    </w:p>
    <w:p w14:paraId="7FD081D5" w14:textId="77777777" w:rsidR="00CD0355" w:rsidRPr="00D55B14" w:rsidRDefault="00CD0355" w:rsidP="00CD0355">
      <w:pPr>
        <w:pStyle w:val="1"/>
      </w:pPr>
      <w:r w:rsidRPr="00D55B14">
        <w:t>1.</w:t>
      </w:r>
      <w:r w:rsidRPr="00D55B14">
        <w:tab/>
        <w:t>Issuing Certificates</w:t>
      </w:r>
    </w:p>
    <w:p w14:paraId="7D11CFEC" w14:textId="77777777" w:rsidR="00CD0355" w:rsidRPr="00D55B14" w:rsidRDefault="00CD0355" w:rsidP="00CD0355">
      <w:pPr>
        <w:pStyle w:val="a0"/>
      </w:pPr>
      <w:r w:rsidRPr="00D55B14">
        <w:t>a.</w:t>
      </w:r>
      <w:r w:rsidRPr="00D55B14">
        <w:tab/>
      </w:r>
      <w:r w:rsidRPr="0072604C">
        <w:t>The grower will be issued numbered certificates of certification and tags by LDAF upon request that must accompany each load of certified grass sold.</w:t>
      </w:r>
    </w:p>
    <w:p w14:paraId="2F628134" w14:textId="77777777" w:rsidR="00CD0355" w:rsidRPr="00D55B14" w:rsidRDefault="00CD0355" w:rsidP="00CD0355">
      <w:pPr>
        <w:pStyle w:val="a0"/>
      </w:pPr>
      <w:r w:rsidRPr="00D55B14">
        <w:t>b.</w:t>
      </w:r>
      <w:r w:rsidRPr="00D55B14">
        <w:tab/>
      </w:r>
      <w:r w:rsidRPr="0072604C">
        <w:t>The grower is responsible for completing the forms and returning the appropriate copies to LDAF within 10 working days of issuance.</w:t>
      </w:r>
    </w:p>
    <w:p w14:paraId="71037417" w14:textId="77777777" w:rsidR="00CD0355" w:rsidRPr="00D55B14" w:rsidRDefault="00CD0355" w:rsidP="00CD0355">
      <w:pPr>
        <w:pStyle w:val="1"/>
      </w:pPr>
      <w:r w:rsidRPr="00D55B14">
        <w:t>2.</w:t>
      </w:r>
      <w:r w:rsidRPr="00D55B14">
        <w:tab/>
        <w:t>Tagging System</w:t>
      </w:r>
    </w:p>
    <w:p w14:paraId="2C898C25" w14:textId="77777777" w:rsidR="00CD0355" w:rsidRDefault="00CD0355" w:rsidP="00CD0355">
      <w:pPr>
        <w:pStyle w:val="a0"/>
      </w:pPr>
      <w:r w:rsidRPr="00D55B14">
        <w:t>a.</w:t>
      </w:r>
      <w:r w:rsidRPr="00D55B14">
        <w:tab/>
      </w:r>
      <w:r w:rsidRPr="0072604C">
        <w:t>Upon meeting the standards set forth in these regulations the certified crop must have attached to the invoice two tags:</w:t>
      </w:r>
    </w:p>
    <w:p w14:paraId="33D22F99" w14:textId="77777777" w:rsidR="00CD0355" w:rsidRDefault="00CD0355" w:rsidP="00CD0355">
      <w:pPr>
        <w:pStyle w:val="i0"/>
      </w:pPr>
      <w:r>
        <w:lastRenderedPageBreak/>
        <w:tab/>
        <w:t>i.</w:t>
      </w:r>
      <w:r>
        <w:tab/>
      </w:r>
      <w:r w:rsidRPr="0072604C">
        <w:t>one from the seed certification division; and</w:t>
      </w:r>
      <w:r w:rsidRPr="00D55B14">
        <w:t xml:space="preserve"> </w:t>
      </w:r>
    </w:p>
    <w:p w14:paraId="2178D75A" w14:textId="77777777" w:rsidR="00CD0355" w:rsidRPr="00D55B14" w:rsidRDefault="00CD0355" w:rsidP="00CD0355">
      <w:pPr>
        <w:pStyle w:val="i0"/>
      </w:pPr>
      <w:r>
        <w:tab/>
        <w:t>ii.</w:t>
      </w:r>
      <w:r>
        <w:tab/>
      </w:r>
      <w:r w:rsidRPr="00D55B14">
        <w:t>one from the horticulture division of LDAF.</w:t>
      </w:r>
    </w:p>
    <w:p w14:paraId="33EA5836" w14:textId="77777777" w:rsidR="00CD0355" w:rsidRPr="00D55B14" w:rsidRDefault="00CD0355" w:rsidP="00CD0355">
      <w:pPr>
        <w:pStyle w:val="a0"/>
      </w:pPr>
      <w:r w:rsidRPr="00D55B14">
        <w:t>b.</w:t>
      </w:r>
      <w:r w:rsidRPr="00D55B14">
        <w:tab/>
      </w:r>
      <w:r w:rsidRPr="0072604C">
        <w:t>This two-tag system shall distinguish the crop to have met or exceeded the requirements set by both divisions of LDAF.</w:t>
      </w:r>
    </w:p>
    <w:p w14:paraId="4046D227" w14:textId="77777777" w:rsidR="00CD0355" w:rsidRPr="00FC56EE" w:rsidRDefault="00CD0355" w:rsidP="00CD0355">
      <w:pPr>
        <w:pStyle w:val="AuthorityNote"/>
        <w:tabs>
          <w:tab w:val="clear" w:pos="1800"/>
          <w:tab w:val="left" w:pos="1710"/>
        </w:tabs>
      </w:pPr>
      <w:r w:rsidRPr="00D55B14">
        <w:t>AUTHORITY NOTE:</w:t>
      </w:r>
      <w:r w:rsidRPr="00D55B14">
        <w:tab/>
        <w:t>Promulgated in accordance with R.S. 3:1433.</w:t>
      </w:r>
    </w:p>
    <w:p w14:paraId="77F90765" w14:textId="77777777" w:rsidR="00CD0355" w:rsidRPr="00FC56EE" w:rsidRDefault="00CD0355" w:rsidP="00CD0355">
      <w:pPr>
        <w:pStyle w:val="HistoricalNote"/>
      </w:pPr>
      <w:r w:rsidRPr="00FC56EE">
        <w:t>HISTORICAL NOTE:</w:t>
      </w:r>
      <w:r w:rsidRPr="00FC56EE">
        <w:tab/>
        <w:t>Promulgated by the Department of Agriculture, Seed Commission,</w:t>
      </w:r>
      <w:r w:rsidRPr="001531CD">
        <w:t xml:space="preserve"> LR 9:204 (April 1983), amended by the Department of Agriculture and Forestry, Office of Agricultural and Environmental Sciences, Seed Commission, LR 12:825 (December 1986), LR 16:847 (October 1990), repromulgated by the Department of Agriculture and Forestry, </w:t>
      </w:r>
      <w:r w:rsidRPr="00FC56EE">
        <w:t>Office of Agricultural and Environmental Sciences, Agricultural Chemistry and Seed Commission, LR 39:2721 (October 2013),</w:t>
      </w:r>
      <w:r>
        <w:t xml:space="preserve"> amended LR 40:755 (April 2014), repromulgated LR 40:992 (May 2014)</w:t>
      </w:r>
      <w:r w:rsidRPr="0072604C">
        <w:t>, LR 44:1854 (October 2018).</w:t>
      </w:r>
    </w:p>
    <w:p w14:paraId="279D96BE" w14:textId="77777777" w:rsidR="00CD0355" w:rsidRPr="001531CD" w:rsidRDefault="00CD0355" w:rsidP="00CD0355">
      <w:pPr>
        <w:pStyle w:val="Section"/>
      </w:pPr>
      <w:bookmarkStart w:id="1136" w:name="_Toc224818806"/>
      <w:r w:rsidRPr="00FC56EE">
        <w:t>§725.</w:t>
      </w:r>
      <w:r w:rsidRPr="00FC56EE">
        <w:tab/>
        <w:t>Vetch</w:t>
      </w:r>
      <w:r w:rsidRPr="001531CD">
        <w:t xml:space="preserve"> Seed Certification Standards</w:t>
      </w:r>
      <w:bookmarkEnd w:id="1136"/>
      <w:r w:rsidRPr="001531CD">
        <w:t xml:space="preserve"> </w:t>
      </w:r>
    </w:p>
    <w:p w14:paraId="63ACC3F9" w14:textId="77777777" w:rsidR="00CD0355" w:rsidRPr="001531CD" w:rsidRDefault="00CD0355" w:rsidP="00CD0355">
      <w:pPr>
        <w:pStyle w:val="A"/>
      </w:pPr>
      <w:r w:rsidRPr="001531CD">
        <w:t>A.</w:t>
      </w:r>
      <w:r w:rsidRPr="001531CD">
        <w:tab/>
        <w:t>Classes of Vetch Seed</w:t>
      </w:r>
    </w:p>
    <w:p w14:paraId="75E71633" w14:textId="77777777" w:rsidR="00CD0355" w:rsidRPr="001531CD" w:rsidRDefault="00CD0355" w:rsidP="00CD0355">
      <w:pPr>
        <w:pStyle w:val="1"/>
      </w:pPr>
      <w:r w:rsidRPr="001531CD">
        <w:t>1.</w:t>
      </w:r>
      <w:r w:rsidRPr="001531CD">
        <w:tab/>
        <w:t>Non-Reseeding Varieties. Recognized certified seed classes shall be breeder, foundation, registered and certified vetch seed.</w:t>
      </w:r>
    </w:p>
    <w:p w14:paraId="3D4B8E33" w14:textId="77777777" w:rsidR="00CD0355" w:rsidRPr="001531CD" w:rsidRDefault="00CD0355" w:rsidP="00CD0355">
      <w:pPr>
        <w:pStyle w:val="1"/>
      </w:pPr>
      <w:r w:rsidRPr="001531CD">
        <w:t>2.</w:t>
      </w:r>
      <w:r w:rsidRPr="001531CD">
        <w:tab/>
        <w:t>Hard-Seeded Varieties. Whenever a field of hard-seeded vetch has been established to produce either breeder, foundation, registered or certified seed, the same certified seed class can be produced from that field as long as it remains in production and meets minimum seed certification standards.</w:t>
      </w:r>
    </w:p>
    <w:p w14:paraId="169B151E" w14:textId="77777777" w:rsidR="00CD0355" w:rsidRPr="001531CD" w:rsidRDefault="00CD0355" w:rsidP="00CD0355">
      <w:pPr>
        <w:pStyle w:val="A"/>
      </w:pPr>
      <w:r w:rsidRPr="001531CD">
        <w:t>B.</w:t>
      </w:r>
      <w:r w:rsidRPr="001531CD">
        <w:tab/>
        <w:t>Field Inspection. Field inspection shall be made at flowering time or before harvest when off-types and varietal mixtures can best be identified.</w:t>
      </w:r>
    </w:p>
    <w:p w14:paraId="5685EA87" w14:textId="77777777" w:rsidR="00CD0355" w:rsidRPr="001531CD" w:rsidRDefault="00CD0355" w:rsidP="00CD0355">
      <w:pPr>
        <w:pStyle w:val="A"/>
      </w:pPr>
      <w:r w:rsidRPr="001531CD">
        <w:t>C.</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23"/>
        <w:gridCol w:w="1027"/>
        <w:gridCol w:w="976"/>
        <w:gridCol w:w="830"/>
      </w:tblGrid>
      <w:tr w:rsidR="00CD0355" w:rsidRPr="001531CD" w14:paraId="2D29E6F9" w14:textId="77777777" w:rsidTr="00CD0355">
        <w:trPr>
          <w:cantSplit/>
          <w:tblHeader/>
          <w:jc w:val="center"/>
        </w:trPr>
        <w:tc>
          <w:tcPr>
            <w:tcW w:w="2123" w:type="dxa"/>
            <w:tcBorders>
              <w:top w:val="double" w:sz="6" w:space="0" w:color="000000"/>
              <w:bottom w:val="single" w:sz="6" w:space="0" w:color="000000"/>
            </w:tcBorders>
            <w:shd w:val="clear" w:color="auto" w:fill="BFBFBF"/>
            <w:vAlign w:val="bottom"/>
          </w:tcPr>
          <w:p w14:paraId="6A831395" w14:textId="77777777" w:rsidR="00CD0355" w:rsidRPr="00824C43" w:rsidRDefault="00CD0355" w:rsidP="00CD0355">
            <w:pPr>
              <w:pStyle w:val="Text"/>
              <w:keepNext/>
              <w:spacing w:after="0" w:line="240" w:lineRule="auto"/>
              <w:ind w:firstLine="0"/>
              <w:jc w:val="center"/>
              <w:rPr>
                <w:b/>
                <w:sz w:val="16"/>
                <w:szCs w:val="16"/>
              </w:rPr>
            </w:pPr>
            <w:r w:rsidRPr="00824C43">
              <w:rPr>
                <w:b/>
                <w:sz w:val="16"/>
                <w:szCs w:val="16"/>
              </w:rPr>
              <w:t>Factor</w:t>
            </w:r>
          </w:p>
        </w:tc>
        <w:tc>
          <w:tcPr>
            <w:tcW w:w="1027" w:type="dxa"/>
            <w:tcBorders>
              <w:top w:val="double" w:sz="6" w:space="0" w:color="000000"/>
              <w:bottom w:val="single" w:sz="6" w:space="0" w:color="000000"/>
            </w:tcBorders>
            <w:shd w:val="clear" w:color="auto" w:fill="BFBFBF"/>
            <w:vAlign w:val="bottom"/>
          </w:tcPr>
          <w:p w14:paraId="41933377"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Foundation</w:t>
            </w:r>
          </w:p>
        </w:tc>
        <w:tc>
          <w:tcPr>
            <w:tcW w:w="976" w:type="dxa"/>
            <w:tcBorders>
              <w:top w:val="double" w:sz="6" w:space="0" w:color="000000"/>
              <w:bottom w:val="single" w:sz="6" w:space="0" w:color="000000"/>
            </w:tcBorders>
            <w:shd w:val="clear" w:color="auto" w:fill="BFBFBF"/>
            <w:vAlign w:val="bottom"/>
          </w:tcPr>
          <w:p w14:paraId="472A2B21"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Registered</w:t>
            </w:r>
          </w:p>
        </w:tc>
        <w:tc>
          <w:tcPr>
            <w:tcW w:w="830" w:type="dxa"/>
            <w:tcBorders>
              <w:top w:val="double" w:sz="6" w:space="0" w:color="000000"/>
              <w:bottom w:val="single" w:sz="6" w:space="0" w:color="000000"/>
            </w:tcBorders>
            <w:shd w:val="clear" w:color="auto" w:fill="BFBFBF"/>
            <w:vAlign w:val="bottom"/>
          </w:tcPr>
          <w:p w14:paraId="37C57518"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53258C1C" w14:textId="77777777" w:rsidTr="00CD0355">
        <w:trPr>
          <w:jc w:val="center"/>
        </w:trPr>
        <w:tc>
          <w:tcPr>
            <w:tcW w:w="2123" w:type="dxa"/>
            <w:tcBorders>
              <w:top w:val="single" w:sz="6" w:space="0" w:color="000000"/>
            </w:tcBorders>
          </w:tcPr>
          <w:p w14:paraId="3B8E9C59" w14:textId="77777777" w:rsidR="00CD0355" w:rsidRPr="001531CD" w:rsidRDefault="00CD0355" w:rsidP="00CD0355">
            <w:pPr>
              <w:tabs>
                <w:tab w:val="left" w:pos="180"/>
                <w:tab w:val="left" w:pos="360"/>
                <w:tab w:val="left" w:pos="5940"/>
                <w:tab w:val="left" w:pos="8640"/>
              </w:tabs>
              <w:ind w:hanging="62"/>
              <w:rPr>
                <w:sz w:val="16"/>
                <w:szCs w:val="16"/>
              </w:rPr>
            </w:pPr>
            <w:r w:rsidRPr="001531CD">
              <w:rPr>
                <w:sz w:val="16"/>
                <w:szCs w:val="16"/>
              </w:rPr>
              <w:t>Land Requirement</w:t>
            </w:r>
          </w:p>
        </w:tc>
        <w:tc>
          <w:tcPr>
            <w:tcW w:w="1027" w:type="dxa"/>
            <w:tcBorders>
              <w:top w:val="single" w:sz="6" w:space="0" w:color="000000"/>
            </w:tcBorders>
            <w:vAlign w:val="bottom"/>
          </w:tcPr>
          <w:p w14:paraId="6910DD8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76" w:type="dxa"/>
            <w:tcBorders>
              <w:top w:val="single" w:sz="6" w:space="0" w:color="000000"/>
            </w:tcBorders>
            <w:vAlign w:val="bottom"/>
          </w:tcPr>
          <w:p w14:paraId="470F135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830" w:type="dxa"/>
            <w:tcBorders>
              <w:top w:val="single" w:sz="6" w:space="0" w:color="000000"/>
            </w:tcBorders>
            <w:vAlign w:val="bottom"/>
          </w:tcPr>
          <w:p w14:paraId="2865597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14:paraId="51416454" w14:textId="77777777" w:rsidTr="00CD0355">
        <w:trPr>
          <w:jc w:val="center"/>
        </w:trPr>
        <w:tc>
          <w:tcPr>
            <w:tcW w:w="2123" w:type="dxa"/>
            <w:vMerge w:val="restart"/>
          </w:tcPr>
          <w:p w14:paraId="627CE743"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Isolation</w:t>
            </w:r>
            <w:r w:rsidRPr="001531CD">
              <w:rPr>
                <w:sz w:val="16"/>
                <w:szCs w:val="16"/>
              </w:rPr>
              <w:br/>
              <w:t>Self-Pollinating Varieties</w:t>
            </w:r>
            <w:r w:rsidRPr="001531CD">
              <w:rPr>
                <w:sz w:val="16"/>
                <w:szCs w:val="16"/>
              </w:rPr>
              <w:br/>
              <w:t>Cross-Pollinating Varieties</w:t>
            </w:r>
          </w:p>
        </w:tc>
        <w:tc>
          <w:tcPr>
            <w:tcW w:w="1027" w:type="dxa"/>
            <w:vAlign w:val="bottom"/>
          </w:tcPr>
          <w:p w14:paraId="6CC0CE0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c>
          <w:tcPr>
            <w:tcW w:w="976" w:type="dxa"/>
            <w:vAlign w:val="bottom"/>
          </w:tcPr>
          <w:p w14:paraId="3BADCB5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c>
          <w:tcPr>
            <w:tcW w:w="830" w:type="dxa"/>
            <w:vAlign w:val="bottom"/>
          </w:tcPr>
          <w:p w14:paraId="155DF9B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r>
      <w:tr w:rsidR="00CD0355" w:rsidRPr="001531CD" w14:paraId="28BD298B" w14:textId="77777777" w:rsidTr="00CD0355">
        <w:trPr>
          <w:jc w:val="center"/>
        </w:trPr>
        <w:tc>
          <w:tcPr>
            <w:tcW w:w="2123" w:type="dxa"/>
            <w:vMerge/>
          </w:tcPr>
          <w:p w14:paraId="54B2C09B" w14:textId="77777777" w:rsidR="00CD0355" w:rsidRPr="001531CD" w:rsidRDefault="00CD0355" w:rsidP="00CD0355">
            <w:pPr>
              <w:tabs>
                <w:tab w:val="left" w:pos="180"/>
                <w:tab w:val="left" w:pos="360"/>
                <w:tab w:val="left" w:pos="5940"/>
                <w:tab w:val="left" w:pos="8640"/>
              </w:tabs>
              <w:rPr>
                <w:sz w:val="16"/>
                <w:szCs w:val="16"/>
              </w:rPr>
            </w:pPr>
          </w:p>
        </w:tc>
        <w:tc>
          <w:tcPr>
            <w:tcW w:w="1027" w:type="dxa"/>
            <w:vAlign w:val="bottom"/>
          </w:tcPr>
          <w:p w14:paraId="6893EF3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c>
          <w:tcPr>
            <w:tcW w:w="976" w:type="dxa"/>
            <w:vAlign w:val="bottom"/>
          </w:tcPr>
          <w:p w14:paraId="0E4C38C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c>
          <w:tcPr>
            <w:tcW w:w="830" w:type="dxa"/>
            <w:vAlign w:val="bottom"/>
          </w:tcPr>
          <w:p w14:paraId="1D2B7F3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r>
      <w:tr w:rsidR="00CD0355" w:rsidRPr="001531CD" w14:paraId="127FB73C" w14:textId="77777777" w:rsidTr="00CD0355">
        <w:trPr>
          <w:jc w:val="center"/>
        </w:trPr>
        <w:tc>
          <w:tcPr>
            <w:tcW w:w="2123" w:type="dxa"/>
          </w:tcPr>
          <w:p w14:paraId="7BEF7FED"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Varieties and Off-Types</w:t>
            </w:r>
          </w:p>
        </w:tc>
        <w:tc>
          <w:tcPr>
            <w:tcW w:w="1027" w:type="dxa"/>
            <w:vAlign w:val="bottom"/>
          </w:tcPr>
          <w:p w14:paraId="2E0B9D6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1,000</w:t>
            </w:r>
          </w:p>
        </w:tc>
        <w:tc>
          <w:tcPr>
            <w:tcW w:w="976" w:type="dxa"/>
            <w:vAlign w:val="bottom"/>
          </w:tcPr>
          <w:p w14:paraId="0EA297C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w:t>
            </w:r>
          </w:p>
        </w:tc>
        <w:tc>
          <w:tcPr>
            <w:tcW w:w="830" w:type="dxa"/>
            <w:vAlign w:val="bottom"/>
          </w:tcPr>
          <w:p w14:paraId="0EA607A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100</w:t>
            </w:r>
          </w:p>
        </w:tc>
      </w:tr>
      <w:tr w:rsidR="00CD0355" w:rsidRPr="001531CD" w14:paraId="70763A76" w14:textId="77777777" w:rsidTr="00CD0355">
        <w:trPr>
          <w:jc w:val="center"/>
        </w:trPr>
        <w:tc>
          <w:tcPr>
            <w:tcW w:w="2123" w:type="dxa"/>
            <w:vAlign w:val="bottom"/>
          </w:tcPr>
          <w:p w14:paraId="48A5230E"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Crops</w:t>
            </w:r>
          </w:p>
        </w:tc>
        <w:tc>
          <w:tcPr>
            <w:tcW w:w="1027" w:type="dxa"/>
            <w:vAlign w:val="bottom"/>
          </w:tcPr>
          <w:p w14:paraId="023EBB0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4,000</w:t>
            </w:r>
          </w:p>
        </w:tc>
        <w:tc>
          <w:tcPr>
            <w:tcW w:w="976" w:type="dxa"/>
            <w:vAlign w:val="bottom"/>
          </w:tcPr>
          <w:p w14:paraId="3B991D4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2,000</w:t>
            </w:r>
          </w:p>
        </w:tc>
        <w:tc>
          <w:tcPr>
            <w:tcW w:w="830" w:type="dxa"/>
            <w:vAlign w:val="bottom"/>
          </w:tcPr>
          <w:p w14:paraId="7C05400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w:t>
            </w:r>
          </w:p>
        </w:tc>
      </w:tr>
      <w:tr w:rsidR="00CD0355" w:rsidRPr="001531CD" w14:paraId="0FF72087" w14:textId="77777777" w:rsidTr="00CD0355">
        <w:trPr>
          <w:jc w:val="center"/>
        </w:trPr>
        <w:tc>
          <w:tcPr>
            <w:tcW w:w="2123" w:type="dxa"/>
            <w:tcBorders>
              <w:bottom w:val="double" w:sz="6" w:space="0" w:color="000000"/>
            </w:tcBorders>
          </w:tcPr>
          <w:p w14:paraId="02ADACB1"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Noxious Weeds (inseparable)</w:t>
            </w:r>
          </w:p>
        </w:tc>
        <w:tc>
          <w:tcPr>
            <w:tcW w:w="1027" w:type="dxa"/>
            <w:tcBorders>
              <w:bottom w:val="double" w:sz="6" w:space="0" w:color="000000"/>
            </w:tcBorders>
            <w:vAlign w:val="bottom"/>
          </w:tcPr>
          <w:p w14:paraId="5BC6C47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76" w:type="dxa"/>
            <w:tcBorders>
              <w:bottom w:val="double" w:sz="6" w:space="0" w:color="000000"/>
            </w:tcBorders>
            <w:vAlign w:val="bottom"/>
          </w:tcPr>
          <w:p w14:paraId="736BCB9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30" w:type="dxa"/>
            <w:tcBorders>
              <w:bottom w:val="double" w:sz="6" w:space="0" w:color="000000"/>
            </w:tcBorders>
            <w:vAlign w:val="bottom"/>
          </w:tcPr>
          <w:p w14:paraId="096F5AB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14:paraId="16A7A7EC" w14:textId="77777777" w:rsidR="00CD0355" w:rsidRPr="001531CD" w:rsidRDefault="00CD0355" w:rsidP="00CD0355">
      <w:pPr>
        <w:pStyle w:val="A"/>
        <w:spacing w:after="0"/>
      </w:pPr>
    </w:p>
    <w:p w14:paraId="38E1CA26" w14:textId="77777777" w:rsidR="00CD0355" w:rsidRPr="001531CD" w:rsidRDefault="00CD0355" w:rsidP="00CD0355">
      <w:pPr>
        <w:pStyle w:val="A"/>
      </w:pPr>
      <w:r w:rsidRPr="001531CD">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995"/>
        <w:gridCol w:w="1080"/>
        <w:gridCol w:w="945"/>
        <w:gridCol w:w="830"/>
      </w:tblGrid>
      <w:tr w:rsidR="00CD0355" w:rsidRPr="001531CD" w14:paraId="098F7799" w14:textId="77777777" w:rsidTr="00CD0355">
        <w:trPr>
          <w:cantSplit/>
          <w:jc w:val="center"/>
        </w:trPr>
        <w:tc>
          <w:tcPr>
            <w:tcW w:w="2073" w:type="dxa"/>
            <w:tcBorders>
              <w:top w:val="double" w:sz="6" w:space="0" w:color="000000"/>
              <w:bottom w:val="single" w:sz="6" w:space="0" w:color="000000"/>
            </w:tcBorders>
            <w:shd w:val="clear" w:color="auto" w:fill="BFBFBF"/>
          </w:tcPr>
          <w:p w14:paraId="4914DD3C" w14:textId="77777777"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85" w:type="dxa"/>
            <w:tcBorders>
              <w:top w:val="double" w:sz="6" w:space="0" w:color="000000"/>
              <w:bottom w:val="single" w:sz="6" w:space="0" w:color="000000"/>
            </w:tcBorders>
            <w:shd w:val="clear" w:color="auto" w:fill="BFBFBF"/>
          </w:tcPr>
          <w:p w14:paraId="407820F0"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23" w:type="dxa"/>
            <w:tcBorders>
              <w:top w:val="double" w:sz="6" w:space="0" w:color="000000"/>
              <w:bottom w:val="single" w:sz="6" w:space="0" w:color="000000"/>
            </w:tcBorders>
            <w:shd w:val="clear" w:color="auto" w:fill="BFBFBF"/>
          </w:tcPr>
          <w:p w14:paraId="5B945E5E"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30" w:type="dxa"/>
            <w:tcBorders>
              <w:top w:val="double" w:sz="6" w:space="0" w:color="000000"/>
              <w:bottom w:val="single" w:sz="6" w:space="0" w:color="000000"/>
            </w:tcBorders>
            <w:shd w:val="clear" w:color="auto" w:fill="BFBFBF"/>
          </w:tcPr>
          <w:p w14:paraId="65F52B6A"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14:paraId="4C4249FF" w14:textId="77777777" w:rsidTr="00CD0355">
        <w:trPr>
          <w:cantSplit/>
          <w:jc w:val="center"/>
        </w:trPr>
        <w:tc>
          <w:tcPr>
            <w:tcW w:w="2073" w:type="dxa"/>
            <w:tcBorders>
              <w:top w:val="single" w:sz="6" w:space="0" w:color="000000"/>
            </w:tcBorders>
          </w:tcPr>
          <w:p w14:paraId="5FEBE63F"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Pure Seed</w:t>
            </w:r>
          </w:p>
        </w:tc>
        <w:tc>
          <w:tcPr>
            <w:tcW w:w="1085" w:type="dxa"/>
            <w:tcBorders>
              <w:top w:val="single" w:sz="6" w:space="0" w:color="000000"/>
            </w:tcBorders>
            <w:vAlign w:val="bottom"/>
          </w:tcPr>
          <w:p w14:paraId="77ECEB8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23" w:type="dxa"/>
            <w:tcBorders>
              <w:top w:val="single" w:sz="6" w:space="0" w:color="000000"/>
            </w:tcBorders>
            <w:vAlign w:val="bottom"/>
          </w:tcPr>
          <w:p w14:paraId="5714A8C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830" w:type="dxa"/>
            <w:tcBorders>
              <w:top w:val="single" w:sz="6" w:space="0" w:color="000000"/>
            </w:tcBorders>
            <w:vAlign w:val="bottom"/>
          </w:tcPr>
          <w:p w14:paraId="4E9BDB8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14:paraId="6DB010CF" w14:textId="77777777" w:rsidTr="00CD0355">
        <w:trPr>
          <w:cantSplit/>
          <w:jc w:val="center"/>
        </w:trPr>
        <w:tc>
          <w:tcPr>
            <w:tcW w:w="2073" w:type="dxa"/>
          </w:tcPr>
          <w:p w14:paraId="261DA80F"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Inert Matter</w:t>
            </w:r>
          </w:p>
        </w:tc>
        <w:tc>
          <w:tcPr>
            <w:tcW w:w="1085" w:type="dxa"/>
            <w:vAlign w:val="bottom"/>
          </w:tcPr>
          <w:p w14:paraId="5AC51AE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23" w:type="dxa"/>
            <w:vAlign w:val="bottom"/>
          </w:tcPr>
          <w:p w14:paraId="56A6908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30" w:type="dxa"/>
            <w:vAlign w:val="bottom"/>
          </w:tcPr>
          <w:p w14:paraId="4F04294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5095778E" w14:textId="77777777" w:rsidTr="00CD0355">
        <w:trPr>
          <w:cantSplit/>
          <w:jc w:val="center"/>
        </w:trPr>
        <w:tc>
          <w:tcPr>
            <w:tcW w:w="2073" w:type="dxa"/>
          </w:tcPr>
          <w:p w14:paraId="1681BFC0"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Total Other Crops</w:t>
            </w:r>
          </w:p>
        </w:tc>
        <w:tc>
          <w:tcPr>
            <w:tcW w:w="1085" w:type="dxa"/>
            <w:vAlign w:val="bottom"/>
          </w:tcPr>
          <w:p w14:paraId="0AA5E79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0.35%</w:t>
            </w:r>
          </w:p>
        </w:tc>
        <w:tc>
          <w:tcPr>
            <w:tcW w:w="923" w:type="dxa"/>
            <w:vAlign w:val="bottom"/>
          </w:tcPr>
          <w:p w14:paraId="19B35B1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0.75%</w:t>
            </w:r>
          </w:p>
        </w:tc>
        <w:tc>
          <w:tcPr>
            <w:tcW w:w="830" w:type="dxa"/>
            <w:vAlign w:val="bottom"/>
          </w:tcPr>
          <w:p w14:paraId="10BA27C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1.50%</w:t>
            </w:r>
          </w:p>
        </w:tc>
      </w:tr>
      <w:tr w:rsidR="00CD0355" w:rsidRPr="001531CD" w14:paraId="1F80860B" w14:textId="77777777" w:rsidTr="00CD0355">
        <w:trPr>
          <w:cantSplit/>
          <w:jc w:val="center"/>
        </w:trPr>
        <w:tc>
          <w:tcPr>
            <w:tcW w:w="2073" w:type="dxa"/>
          </w:tcPr>
          <w:p w14:paraId="11185024"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Varieties</w:t>
            </w:r>
          </w:p>
        </w:tc>
        <w:tc>
          <w:tcPr>
            <w:tcW w:w="1085" w:type="dxa"/>
            <w:vAlign w:val="bottom"/>
          </w:tcPr>
          <w:p w14:paraId="6CC7287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23" w:type="dxa"/>
            <w:vAlign w:val="bottom"/>
          </w:tcPr>
          <w:p w14:paraId="2F68C16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30" w:type="dxa"/>
            <w:vAlign w:val="bottom"/>
          </w:tcPr>
          <w:p w14:paraId="60CFD08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14:paraId="0F98F017" w14:textId="77777777" w:rsidTr="00CD0355">
        <w:trPr>
          <w:cantSplit/>
          <w:jc w:val="center"/>
        </w:trPr>
        <w:tc>
          <w:tcPr>
            <w:tcW w:w="2073" w:type="dxa"/>
          </w:tcPr>
          <w:p w14:paraId="20A31F27"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Noxious Weeds</w:t>
            </w:r>
          </w:p>
        </w:tc>
        <w:tc>
          <w:tcPr>
            <w:tcW w:w="1085" w:type="dxa"/>
            <w:vAlign w:val="bottom"/>
          </w:tcPr>
          <w:p w14:paraId="2CEED5C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23" w:type="dxa"/>
            <w:vAlign w:val="bottom"/>
          </w:tcPr>
          <w:p w14:paraId="618B755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30" w:type="dxa"/>
            <w:vAlign w:val="bottom"/>
          </w:tcPr>
          <w:p w14:paraId="3E20E90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79B2A2E0" w14:textId="77777777" w:rsidTr="00CD0355">
        <w:trPr>
          <w:cantSplit/>
          <w:jc w:val="center"/>
        </w:trPr>
        <w:tc>
          <w:tcPr>
            <w:tcW w:w="2073" w:type="dxa"/>
          </w:tcPr>
          <w:p w14:paraId="793F5275"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Weeds</w:t>
            </w:r>
          </w:p>
        </w:tc>
        <w:tc>
          <w:tcPr>
            <w:tcW w:w="1085" w:type="dxa"/>
            <w:vAlign w:val="bottom"/>
          </w:tcPr>
          <w:p w14:paraId="0D4B43E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23" w:type="dxa"/>
            <w:vAlign w:val="bottom"/>
          </w:tcPr>
          <w:p w14:paraId="1B77951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30" w:type="dxa"/>
            <w:vAlign w:val="bottom"/>
          </w:tcPr>
          <w:p w14:paraId="55A0178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14:paraId="7DEE11B0" w14:textId="77777777" w:rsidTr="00CD0355">
        <w:trPr>
          <w:cantSplit/>
          <w:jc w:val="center"/>
        </w:trPr>
        <w:tc>
          <w:tcPr>
            <w:tcW w:w="2073" w:type="dxa"/>
            <w:tcBorders>
              <w:bottom w:val="double" w:sz="6" w:space="0" w:color="000000"/>
            </w:tcBorders>
          </w:tcPr>
          <w:p w14:paraId="551F649C" w14:textId="77777777"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Germination</w:t>
            </w:r>
          </w:p>
        </w:tc>
        <w:tc>
          <w:tcPr>
            <w:tcW w:w="1085" w:type="dxa"/>
            <w:tcBorders>
              <w:bottom w:val="double" w:sz="6" w:space="0" w:color="000000"/>
            </w:tcBorders>
            <w:vAlign w:val="bottom"/>
          </w:tcPr>
          <w:p w14:paraId="30638A9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23" w:type="dxa"/>
            <w:tcBorders>
              <w:bottom w:val="double" w:sz="6" w:space="0" w:color="000000"/>
            </w:tcBorders>
            <w:vAlign w:val="bottom"/>
          </w:tcPr>
          <w:p w14:paraId="75C98FF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830" w:type="dxa"/>
            <w:tcBorders>
              <w:bottom w:val="double" w:sz="6" w:space="0" w:color="000000"/>
            </w:tcBorders>
            <w:vAlign w:val="bottom"/>
          </w:tcPr>
          <w:p w14:paraId="50A5A66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14:paraId="31297D55" w14:textId="77777777" w:rsidR="00CD0355" w:rsidRPr="001531CD" w:rsidRDefault="00CD0355" w:rsidP="00CD0355">
      <w:pPr>
        <w:tabs>
          <w:tab w:val="left" w:pos="180"/>
          <w:tab w:val="left" w:pos="360"/>
          <w:tab w:val="left" w:pos="5940"/>
          <w:tab w:val="left" w:pos="8640"/>
        </w:tabs>
        <w:rPr>
          <w:sz w:val="20"/>
        </w:rPr>
      </w:pPr>
    </w:p>
    <w:p w14:paraId="1FB9EB0A" w14:textId="77777777" w:rsidR="00CD0355" w:rsidRPr="001531CD" w:rsidRDefault="00CD0355" w:rsidP="00CD0355">
      <w:pPr>
        <w:pStyle w:val="AuthorityNote"/>
      </w:pPr>
      <w:r w:rsidRPr="001531CD">
        <w:t>AUTHORITY NOTE:</w:t>
      </w:r>
      <w:r w:rsidRPr="001531CD">
        <w:tab/>
        <w:t>Promulgated in accordance with R.S. 3:1433.</w:t>
      </w:r>
    </w:p>
    <w:p w14:paraId="3A7AAB36" w14:textId="77777777" w:rsidR="00CD0355" w:rsidRPr="001531CD" w:rsidRDefault="00CD0355" w:rsidP="00CD0355">
      <w:pPr>
        <w:pStyle w:val="HistoricalNote"/>
      </w:pPr>
      <w:r w:rsidRPr="001531CD">
        <w:t>HISTORICAL NOTE:</w:t>
      </w:r>
      <w:r w:rsidRPr="001531CD">
        <w:tab/>
        <w:t xml:space="preserve">Promulgated by the Department of Agriculture, Seed Commission, LR 9:205 (April 1983), amended LR 10:737 (October 1984), amended by the Department of Agriculture and Forestry, Office of Agricultural and Environmental Sciences, Seed Commission, LR 12:825 (December 1986, repromulgated by the Department of Agriculture and Forestry, Office of Agricultural </w:t>
      </w:r>
      <w:r w:rsidRPr="001531CD">
        <w:t>and Environmental Sciences, Agricultural Chemistry and Seed Commission, LR 39:2722 (October 2013).</w:t>
      </w:r>
    </w:p>
    <w:p w14:paraId="0F070286" w14:textId="77777777" w:rsidR="00CD0355" w:rsidRPr="001531CD" w:rsidRDefault="00CD0355" w:rsidP="00CD0355">
      <w:pPr>
        <w:pStyle w:val="Section"/>
      </w:pPr>
      <w:bookmarkStart w:id="1137" w:name="_Toc370127305"/>
      <w:bookmarkStart w:id="1138" w:name="_Toc372624017"/>
      <w:bookmarkStart w:id="1139" w:name="_Toc375025316"/>
      <w:bookmarkStart w:id="1140" w:name="_Toc386110199"/>
      <w:bookmarkStart w:id="1141" w:name="_Toc388358032"/>
      <w:bookmarkStart w:id="1142" w:name="_Toc396114936"/>
      <w:bookmarkStart w:id="1143" w:name="_Toc411855327"/>
      <w:bookmarkStart w:id="1144" w:name="_Toc419795528"/>
      <w:bookmarkStart w:id="1145" w:name="_Toc427736916"/>
      <w:bookmarkStart w:id="1146" w:name="_Toc438546716"/>
      <w:bookmarkStart w:id="1147" w:name="_Toc446326703"/>
      <w:bookmarkStart w:id="1148" w:name="_Toc448824893"/>
      <w:bookmarkStart w:id="1149" w:name="_Toc451505937"/>
      <w:bookmarkStart w:id="1150" w:name="_Toc462212360"/>
      <w:bookmarkStart w:id="1151" w:name="_Toc468096280"/>
      <w:bookmarkStart w:id="1152" w:name="_Toc477853760"/>
      <w:bookmarkStart w:id="1153" w:name="_Toc488735704"/>
      <w:bookmarkStart w:id="1154" w:name="_Toc491176521"/>
      <w:bookmarkStart w:id="1155" w:name="_Toc509393444"/>
      <w:bookmarkStart w:id="1156" w:name="_Toc525114611"/>
      <w:bookmarkStart w:id="1157" w:name="_Toc535997008"/>
      <w:bookmarkStart w:id="1158" w:name="_Toc224818807"/>
      <w:r w:rsidRPr="001531CD">
        <w:t>§§727.-739.</w:t>
      </w:r>
      <w:r w:rsidRPr="001531CD">
        <w:tab/>
        <w:t>Reserved</w:t>
      </w:r>
      <w:bookmarkEnd w:id="1137"/>
      <w:r w:rsidRPr="001531CD">
        <w: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1AF8823C" w14:textId="77777777" w:rsidR="00CD0355" w:rsidRPr="001531CD" w:rsidRDefault="00CD0355" w:rsidP="00CD0355">
      <w:pPr>
        <w:pStyle w:val="Chapter"/>
      </w:pPr>
      <w:bookmarkStart w:id="1159" w:name="_Toc224818808"/>
      <w:r w:rsidRPr="001531CD">
        <w:t>Subchapter B.</w:t>
      </w:r>
      <w:r w:rsidRPr="001531CD">
        <w:tab/>
        <w:t>Grain and Row Crop Seeds</w:t>
      </w:r>
      <w:bookmarkEnd w:id="1159"/>
    </w:p>
    <w:p w14:paraId="4AA8EA13" w14:textId="77777777" w:rsidR="00CD0355" w:rsidRPr="00642ED9" w:rsidRDefault="00CD0355" w:rsidP="00CD0355">
      <w:pPr>
        <w:pStyle w:val="Section"/>
      </w:pPr>
      <w:bookmarkStart w:id="1160" w:name="_Toc224818809"/>
      <w:r w:rsidRPr="00642ED9">
        <w:t>§741.</w:t>
      </w:r>
      <w:r w:rsidRPr="00642ED9">
        <w:tab/>
        <w:t>Cottonsee</w:t>
      </w:r>
      <w:r>
        <w:t>d Seed Certification Standards</w:t>
      </w:r>
      <w:bookmarkEnd w:id="1160"/>
    </w:p>
    <w:p w14:paraId="4D28B02C" w14:textId="77777777" w:rsidR="00CD0355" w:rsidRDefault="00CD0355" w:rsidP="00CD0355">
      <w:pPr>
        <w:pStyle w:val="A"/>
      </w:pPr>
      <w:r w:rsidRPr="00642ED9">
        <w:t>A.</w:t>
      </w:r>
      <w:r w:rsidRPr="00642ED9">
        <w:tab/>
        <w:t>Field Standards</w:t>
      </w:r>
    </w:p>
    <w:tbl>
      <w:tblPr>
        <w:tblW w:w="49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440"/>
        <w:gridCol w:w="736"/>
        <w:gridCol w:w="990"/>
        <w:gridCol w:w="900"/>
        <w:gridCol w:w="862"/>
      </w:tblGrid>
      <w:tr w:rsidR="00CD0355" w:rsidRPr="00B902FE" w14:paraId="426B4561" w14:textId="77777777" w:rsidTr="00CD0355">
        <w:trPr>
          <w:cantSplit/>
          <w:jc w:val="center"/>
        </w:trPr>
        <w:tc>
          <w:tcPr>
            <w:tcW w:w="1440" w:type="dxa"/>
            <w:tcBorders>
              <w:top w:val="double" w:sz="6" w:space="0" w:color="000000"/>
              <w:bottom w:val="single" w:sz="6" w:space="0" w:color="000000"/>
            </w:tcBorders>
            <w:shd w:val="clear" w:color="auto" w:fill="BFBFBF"/>
          </w:tcPr>
          <w:p w14:paraId="2CFB5696" w14:textId="77777777"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r w:rsidRPr="00B902FE">
              <w:rPr>
                <w:b/>
                <w:kern w:val="2"/>
                <w:sz w:val="16"/>
              </w:rPr>
              <w:t>Factor</w:t>
            </w:r>
          </w:p>
        </w:tc>
        <w:tc>
          <w:tcPr>
            <w:tcW w:w="736" w:type="dxa"/>
            <w:tcBorders>
              <w:top w:val="double" w:sz="6" w:space="0" w:color="000000"/>
              <w:bottom w:val="single" w:sz="6" w:space="0" w:color="000000"/>
            </w:tcBorders>
            <w:shd w:val="clear" w:color="auto" w:fill="BFBFBF"/>
            <w:vAlign w:val="bottom"/>
          </w:tcPr>
          <w:p w14:paraId="413580B9" w14:textId="77777777"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Breeder</w:t>
            </w:r>
          </w:p>
        </w:tc>
        <w:tc>
          <w:tcPr>
            <w:tcW w:w="990" w:type="dxa"/>
            <w:tcBorders>
              <w:top w:val="double" w:sz="6" w:space="0" w:color="000000"/>
              <w:bottom w:val="single" w:sz="6" w:space="0" w:color="000000"/>
            </w:tcBorders>
            <w:shd w:val="clear" w:color="auto" w:fill="BFBFBF"/>
            <w:vAlign w:val="bottom"/>
          </w:tcPr>
          <w:p w14:paraId="3C9816F1" w14:textId="77777777"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Foundation</w:t>
            </w:r>
          </w:p>
        </w:tc>
        <w:tc>
          <w:tcPr>
            <w:tcW w:w="900" w:type="dxa"/>
            <w:tcBorders>
              <w:top w:val="double" w:sz="6" w:space="0" w:color="000000"/>
              <w:bottom w:val="single" w:sz="6" w:space="0" w:color="000000"/>
            </w:tcBorders>
            <w:shd w:val="clear" w:color="auto" w:fill="BFBFBF"/>
            <w:vAlign w:val="bottom"/>
          </w:tcPr>
          <w:p w14:paraId="31B4FE4F" w14:textId="77777777" w:rsidR="00CD0355" w:rsidRPr="00B902FE" w:rsidRDefault="00CD0355" w:rsidP="00CD0355">
            <w:pPr>
              <w:tabs>
                <w:tab w:val="left" w:pos="0"/>
                <w:tab w:val="left" w:pos="180"/>
                <w:tab w:val="left" w:pos="360"/>
                <w:tab w:val="left" w:pos="540"/>
                <w:tab w:val="left" w:pos="76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Registered</w:t>
            </w:r>
          </w:p>
        </w:tc>
        <w:tc>
          <w:tcPr>
            <w:tcW w:w="862" w:type="dxa"/>
            <w:tcBorders>
              <w:top w:val="double" w:sz="6" w:space="0" w:color="000000"/>
              <w:bottom w:val="single" w:sz="6" w:space="0" w:color="000000"/>
            </w:tcBorders>
            <w:shd w:val="clear" w:color="auto" w:fill="BFBFBF"/>
            <w:vAlign w:val="bottom"/>
          </w:tcPr>
          <w:p w14:paraId="078CDF9D" w14:textId="77777777"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Certified</w:t>
            </w:r>
          </w:p>
        </w:tc>
      </w:tr>
      <w:tr w:rsidR="00CD0355" w:rsidRPr="00642ED9" w14:paraId="1ED84A55" w14:textId="77777777" w:rsidTr="00CD0355">
        <w:trPr>
          <w:cantSplit/>
          <w:jc w:val="center"/>
        </w:trPr>
        <w:tc>
          <w:tcPr>
            <w:tcW w:w="1440" w:type="dxa"/>
            <w:tcBorders>
              <w:top w:val="single" w:sz="6" w:space="0" w:color="000000"/>
            </w:tcBorders>
          </w:tcPr>
          <w:p w14:paraId="28516EAF"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Isolation**</w:t>
            </w:r>
          </w:p>
        </w:tc>
        <w:tc>
          <w:tcPr>
            <w:tcW w:w="736" w:type="dxa"/>
            <w:tcBorders>
              <w:top w:val="single" w:sz="6" w:space="0" w:color="000000"/>
            </w:tcBorders>
            <w:vAlign w:val="bottom"/>
          </w:tcPr>
          <w:p w14:paraId="570FFE3F"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w:t>
            </w:r>
            <w:r w:rsidRPr="00642ED9">
              <w:rPr>
                <w:kern w:val="2"/>
                <w:sz w:val="16"/>
              </w:rPr>
              <w:t xml:space="preserve"> </w:t>
            </w:r>
          </w:p>
        </w:tc>
        <w:tc>
          <w:tcPr>
            <w:tcW w:w="990" w:type="dxa"/>
            <w:tcBorders>
              <w:top w:val="single" w:sz="6" w:space="0" w:color="000000"/>
            </w:tcBorders>
            <w:vAlign w:val="bottom"/>
          </w:tcPr>
          <w:p w14:paraId="1B99AC74"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c>
          <w:tcPr>
            <w:tcW w:w="900" w:type="dxa"/>
            <w:tcBorders>
              <w:top w:val="single" w:sz="6" w:space="0" w:color="000000"/>
            </w:tcBorders>
            <w:vAlign w:val="bottom"/>
          </w:tcPr>
          <w:p w14:paraId="71799164"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c>
          <w:tcPr>
            <w:tcW w:w="862" w:type="dxa"/>
            <w:tcBorders>
              <w:top w:val="single" w:sz="6" w:space="0" w:color="000000"/>
            </w:tcBorders>
            <w:vAlign w:val="bottom"/>
          </w:tcPr>
          <w:p w14:paraId="5FCB8C75"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r>
      <w:tr w:rsidR="00CD0355" w:rsidRPr="00642ED9" w14:paraId="524B976C" w14:textId="77777777" w:rsidTr="00CD0355">
        <w:trPr>
          <w:cantSplit/>
          <w:jc w:val="center"/>
        </w:trPr>
        <w:tc>
          <w:tcPr>
            <w:tcW w:w="1440" w:type="dxa"/>
          </w:tcPr>
          <w:p w14:paraId="6AA872F2"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Varieties and</w:t>
            </w:r>
            <w:r>
              <w:rPr>
                <w:kern w:val="2"/>
                <w:sz w:val="16"/>
              </w:rPr>
              <w:br/>
            </w:r>
            <w:r w:rsidRPr="00642ED9">
              <w:rPr>
                <w:kern w:val="2"/>
                <w:sz w:val="16"/>
              </w:rPr>
              <w:t>Off-Type Plants</w:t>
            </w:r>
          </w:p>
        </w:tc>
        <w:tc>
          <w:tcPr>
            <w:tcW w:w="736" w:type="dxa"/>
            <w:vAlign w:val="bottom"/>
          </w:tcPr>
          <w:p w14:paraId="5B4EA679"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vAlign w:val="bottom"/>
          </w:tcPr>
          <w:p w14:paraId="735553C2"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00" w:type="dxa"/>
            <w:vAlign w:val="bottom"/>
          </w:tcPr>
          <w:p w14:paraId="2B7B3795"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Plant</w:t>
            </w:r>
            <w:r>
              <w:rPr>
                <w:kern w:val="2"/>
                <w:sz w:val="16"/>
              </w:rPr>
              <w:br/>
            </w:r>
            <w:r w:rsidRPr="00642ED9">
              <w:rPr>
                <w:kern w:val="2"/>
                <w:sz w:val="16"/>
              </w:rPr>
              <w:t>per Acre</w:t>
            </w:r>
          </w:p>
        </w:tc>
        <w:tc>
          <w:tcPr>
            <w:tcW w:w="862" w:type="dxa"/>
            <w:vAlign w:val="bottom"/>
          </w:tcPr>
          <w:p w14:paraId="31101D94"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Plants per Acre</w:t>
            </w:r>
          </w:p>
        </w:tc>
      </w:tr>
      <w:tr w:rsidR="00CD0355" w:rsidRPr="00642ED9" w14:paraId="3AD83712" w14:textId="77777777" w:rsidTr="00CD0355">
        <w:trPr>
          <w:cantSplit/>
          <w:jc w:val="center"/>
        </w:trPr>
        <w:tc>
          <w:tcPr>
            <w:tcW w:w="1440" w:type="dxa"/>
          </w:tcPr>
          <w:p w14:paraId="38FCF036" w14:textId="77777777" w:rsidR="00CD0355" w:rsidRDefault="00CD0355" w:rsidP="00CD035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Noxious Weeds:</w:t>
            </w:r>
          </w:p>
          <w:p w14:paraId="5A98299F" w14:textId="77777777" w:rsidR="00CD0355" w:rsidRPr="00642ED9" w:rsidRDefault="00CD0355" w:rsidP="00CD035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5" w:hanging="55"/>
              <w:rPr>
                <w:kern w:val="2"/>
                <w:sz w:val="16"/>
              </w:rPr>
            </w:pPr>
            <w:r w:rsidRPr="00642ED9">
              <w:tab/>
            </w:r>
            <w:r w:rsidRPr="00642ED9">
              <w:rPr>
                <w:kern w:val="2"/>
                <w:sz w:val="16"/>
              </w:rPr>
              <w:t>Cocklebur</w:t>
            </w:r>
          </w:p>
        </w:tc>
        <w:tc>
          <w:tcPr>
            <w:tcW w:w="736" w:type="dxa"/>
            <w:vAlign w:val="bottom"/>
          </w:tcPr>
          <w:p w14:paraId="1A81A915"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vAlign w:val="bottom"/>
          </w:tcPr>
          <w:p w14:paraId="7B4048D1"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Plants</w:t>
            </w:r>
            <w:r>
              <w:rPr>
                <w:kern w:val="2"/>
                <w:sz w:val="16"/>
              </w:rPr>
              <w:br/>
            </w:r>
            <w:r w:rsidRPr="00642ED9">
              <w:rPr>
                <w:kern w:val="2"/>
                <w:sz w:val="16"/>
              </w:rPr>
              <w:t>per Acre</w:t>
            </w:r>
          </w:p>
        </w:tc>
        <w:tc>
          <w:tcPr>
            <w:tcW w:w="900" w:type="dxa"/>
            <w:vAlign w:val="bottom"/>
          </w:tcPr>
          <w:p w14:paraId="6C3670FC"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Plants</w:t>
            </w:r>
            <w:r>
              <w:rPr>
                <w:kern w:val="2"/>
                <w:sz w:val="16"/>
              </w:rPr>
              <w:br/>
            </w:r>
            <w:r w:rsidRPr="00642ED9">
              <w:rPr>
                <w:kern w:val="2"/>
                <w:sz w:val="16"/>
              </w:rPr>
              <w:t>per Acre</w:t>
            </w:r>
          </w:p>
        </w:tc>
        <w:tc>
          <w:tcPr>
            <w:tcW w:w="862" w:type="dxa"/>
            <w:vAlign w:val="bottom"/>
          </w:tcPr>
          <w:p w14:paraId="7F996582"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 Plants per Acre</w:t>
            </w:r>
          </w:p>
        </w:tc>
      </w:tr>
    </w:tbl>
    <w:p w14:paraId="13C57759" w14:textId="77777777" w:rsidR="00CD0355" w:rsidRPr="00B902FE" w:rsidRDefault="00CD0355" w:rsidP="00CD0355">
      <w:pPr>
        <w:pStyle w:val="RegDoubleIndent"/>
        <w:rPr>
          <w:sz w:val="16"/>
          <w:szCs w:val="16"/>
        </w:rPr>
      </w:pPr>
      <w:r w:rsidRPr="00B902FE">
        <w:rPr>
          <w:sz w:val="16"/>
          <w:szCs w:val="16"/>
        </w:rPr>
        <w:t>**Fields entered for certification must be isolated at least 600 feet from Sea Island cotton, red leaf cotton, or other cottons which vary greatly in plant characteristics from the variety entered for certification, and at least one-half mile from G. barbadense and interspecific hybrids involving G. barbadense.</w:t>
      </w:r>
    </w:p>
    <w:p w14:paraId="19804197" w14:textId="77777777" w:rsidR="00CD0355" w:rsidRPr="00642ED9" w:rsidRDefault="00CD0355" w:rsidP="00CD0355">
      <w:pPr>
        <w:pStyle w:val="A"/>
        <w:spacing w:after="0"/>
      </w:pPr>
    </w:p>
    <w:p w14:paraId="6860F06E" w14:textId="77777777" w:rsidR="00CD0355" w:rsidRPr="00D55B14" w:rsidRDefault="00CD0355" w:rsidP="00CD0355">
      <w:pPr>
        <w:pStyle w:val="A"/>
      </w:pPr>
      <w:r w:rsidRPr="00D55B14">
        <w:t>B.</w:t>
      </w:r>
      <w:r w:rsidRPr="00D55B14">
        <w:tab/>
        <w:t>Handling and Storage Requirements</w:t>
      </w:r>
    </w:p>
    <w:p w14:paraId="69F49D1A" w14:textId="77777777" w:rsidR="00CD0355" w:rsidRPr="00D55B14" w:rsidRDefault="00CD0355" w:rsidP="00CD0355">
      <w:pPr>
        <w:pStyle w:val="1"/>
      </w:pPr>
      <w:r w:rsidRPr="00D55B14">
        <w:t>1.</w:t>
      </w:r>
      <w:r w:rsidRPr="00D55B14">
        <w:tab/>
        <w:t>Ginning. Cottonseed in all classes of certification, to be certified, shall be ginned on a thoroughly cleaned, one-variety gin approved by LDAF prior to ginning. With special permission of the Department of Agriculture and Forestry:</w:t>
      </w:r>
    </w:p>
    <w:p w14:paraId="683BD2EC" w14:textId="77777777" w:rsidR="00CD0355" w:rsidRPr="00D55B14" w:rsidRDefault="00CD0355" w:rsidP="00CD0355">
      <w:pPr>
        <w:pStyle w:val="a0"/>
      </w:pPr>
      <w:r w:rsidRPr="00D55B14">
        <w:t>a.</w:t>
      </w:r>
      <w:r w:rsidRPr="00D55B14">
        <w:tab/>
        <w:t>cottonseed for all classes of certification may be ginned on thoroughly cleaned, mixed variety gins either with:</w:t>
      </w:r>
    </w:p>
    <w:p w14:paraId="5A1797D3" w14:textId="77777777" w:rsidR="00CD0355" w:rsidRPr="00D55B14" w:rsidRDefault="00CD0355" w:rsidP="00CD0355">
      <w:pPr>
        <w:pStyle w:val="i0"/>
      </w:pPr>
      <w:r>
        <w:tab/>
      </w:r>
      <w:r w:rsidRPr="00D55B14">
        <w:t>i.</w:t>
      </w:r>
      <w:r w:rsidRPr="00D55B14">
        <w:tab/>
        <w:t xml:space="preserve">a notarized ginner's agreement previously approved by LDAF, or </w:t>
      </w:r>
    </w:p>
    <w:p w14:paraId="56286FAA" w14:textId="77777777" w:rsidR="00CD0355" w:rsidRPr="00D55B14" w:rsidRDefault="00CD0355" w:rsidP="00CD0355">
      <w:pPr>
        <w:pStyle w:val="i0"/>
      </w:pPr>
      <w:r>
        <w:tab/>
      </w:r>
      <w:r w:rsidRPr="00D55B14">
        <w:t>ii.</w:t>
      </w:r>
      <w:r w:rsidRPr="00D55B14">
        <w:tab/>
        <w:t xml:space="preserve">in the presence of a LDAF inspector. </w:t>
      </w:r>
    </w:p>
    <w:p w14:paraId="6850A9D1" w14:textId="77777777" w:rsidR="00CD0355" w:rsidRPr="00D55B14" w:rsidRDefault="00CD0355" w:rsidP="00CD0355">
      <w:pPr>
        <w:pStyle w:val="a0"/>
      </w:pPr>
      <w:r w:rsidRPr="00D55B14">
        <w:t>b.</w:t>
      </w:r>
      <w:r w:rsidRPr="00D55B14">
        <w:tab/>
        <w:t>cottonseed produced for only the certified class may be ginned on a mixed-variety gin if a minimum of three bales are "blown" through the gin prior to catching of the cottonseed to be certified. An inspector of LDAF may be present if cottonseed for certification is ginned under special permission.</w:t>
      </w:r>
    </w:p>
    <w:p w14:paraId="798FA7B1" w14:textId="77777777" w:rsidR="00CD0355" w:rsidRPr="00642ED9" w:rsidRDefault="00CD0355" w:rsidP="00CD0355">
      <w:pPr>
        <w:pStyle w:val="1"/>
      </w:pPr>
      <w:r w:rsidRPr="00D55B14">
        <w:t>2.</w:t>
      </w:r>
      <w:r w:rsidRPr="00D55B14">
        <w:tab/>
        <w:t>Delinting. Delinters must conform to the same requirements set forth for ginners. No cottonseed entered for certification may be delinted outside the state of Louisiana except by special permission of LDAF.</w:t>
      </w:r>
    </w:p>
    <w:p w14:paraId="1721194E" w14:textId="77777777" w:rsidR="00CD0355" w:rsidRDefault="00CD0355" w:rsidP="00CD0355">
      <w:pPr>
        <w:pStyle w:val="A"/>
      </w:pPr>
      <w:r w:rsidRPr="00642ED9">
        <w:t>C.</w:t>
      </w:r>
      <w:r w:rsidRPr="00642ED9">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02"/>
        <w:gridCol w:w="810"/>
        <w:gridCol w:w="990"/>
        <w:gridCol w:w="990"/>
        <w:gridCol w:w="968"/>
      </w:tblGrid>
      <w:tr w:rsidR="00CD0355" w:rsidRPr="00DA314E" w14:paraId="25B8DC5C" w14:textId="77777777" w:rsidTr="00CD0355">
        <w:trPr>
          <w:cantSplit/>
          <w:tblHeader/>
          <w:jc w:val="center"/>
        </w:trPr>
        <w:tc>
          <w:tcPr>
            <w:tcW w:w="1202" w:type="dxa"/>
            <w:tcBorders>
              <w:top w:val="double" w:sz="6" w:space="0" w:color="000000"/>
              <w:bottom w:val="single" w:sz="6" w:space="0" w:color="000000"/>
            </w:tcBorders>
            <w:shd w:val="clear" w:color="auto" w:fill="BFBFBF"/>
          </w:tcPr>
          <w:p w14:paraId="6BD47D4E" w14:textId="77777777" w:rsidR="00CD0355" w:rsidRPr="00730761"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730761">
              <w:rPr>
                <w:b/>
                <w:bCs/>
                <w:kern w:val="2"/>
                <w:sz w:val="16"/>
              </w:rPr>
              <w:t>Factor</w:t>
            </w:r>
          </w:p>
        </w:tc>
        <w:tc>
          <w:tcPr>
            <w:tcW w:w="810" w:type="dxa"/>
            <w:tcBorders>
              <w:top w:val="double" w:sz="6" w:space="0" w:color="000000"/>
              <w:bottom w:val="single" w:sz="6" w:space="0" w:color="000000"/>
            </w:tcBorders>
            <w:shd w:val="clear" w:color="auto" w:fill="BFBFBF"/>
          </w:tcPr>
          <w:p w14:paraId="51D80D79" w14:textId="77777777"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Breeder</w:t>
            </w:r>
          </w:p>
        </w:tc>
        <w:tc>
          <w:tcPr>
            <w:tcW w:w="990" w:type="dxa"/>
            <w:tcBorders>
              <w:top w:val="double" w:sz="6" w:space="0" w:color="000000"/>
              <w:bottom w:val="single" w:sz="6" w:space="0" w:color="000000"/>
            </w:tcBorders>
            <w:shd w:val="clear" w:color="auto" w:fill="BFBFBF"/>
          </w:tcPr>
          <w:p w14:paraId="6889C9C6" w14:textId="77777777"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Foundation</w:t>
            </w:r>
          </w:p>
        </w:tc>
        <w:tc>
          <w:tcPr>
            <w:tcW w:w="990" w:type="dxa"/>
            <w:tcBorders>
              <w:top w:val="double" w:sz="6" w:space="0" w:color="000000"/>
              <w:bottom w:val="single" w:sz="6" w:space="0" w:color="000000"/>
            </w:tcBorders>
            <w:shd w:val="clear" w:color="auto" w:fill="BFBFBF"/>
          </w:tcPr>
          <w:p w14:paraId="090EA393" w14:textId="77777777"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Registered</w:t>
            </w:r>
          </w:p>
        </w:tc>
        <w:tc>
          <w:tcPr>
            <w:tcW w:w="968" w:type="dxa"/>
            <w:tcBorders>
              <w:top w:val="double" w:sz="6" w:space="0" w:color="000000"/>
              <w:bottom w:val="single" w:sz="6" w:space="0" w:color="000000"/>
            </w:tcBorders>
            <w:shd w:val="clear" w:color="auto" w:fill="BFBFBF"/>
          </w:tcPr>
          <w:p w14:paraId="11A5EE6F" w14:textId="77777777"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Certified</w:t>
            </w:r>
          </w:p>
        </w:tc>
      </w:tr>
      <w:tr w:rsidR="00CD0355" w:rsidRPr="00DA314E" w14:paraId="7EE06166" w14:textId="77777777" w:rsidTr="00CD0355">
        <w:trPr>
          <w:cantSplit/>
          <w:jc w:val="center"/>
        </w:trPr>
        <w:tc>
          <w:tcPr>
            <w:tcW w:w="1202" w:type="dxa"/>
            <w:tcBorders>
              <w:top w:val="single" w:sz="6" w:space="0" w:color="000000"/>
              <w:bottom w:val="single" w:sz="6" w:space="0" w:color="000000"/>
            </w:tcBorders>
          </w:tcPr>
          <w:p w14:paraId="3FEA8C90"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Pure Seed</w:t>
            </w:r>
          </w:p>
        </w:tc>
        <w:tc>
          <w:tcPr>
            <w:tcW w:w="810" w:type="dxa"/>
            <w:tcBorders>
              <w:top w:val="single" w:sz="6" w:space="0" w:color="000000"/>
              <w:bottom w:val="single" w:sz="6" w:space="0" w:color="000000"/>
            </w:tcBorders>
          </w:tcPr>
          <w:p w14:paraId="241F53AB"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90" w:type="dxa"/>
            <w:tcBorders>
              <w:top w:val="single" w:sz="6" w:space="0" w:color="000000"/>
              <w:bottom w:val="single" w:sz="6" w:space="0" w:color="000000"/>
            </w:tcBorders>
          </w:tcPr>
          <w:p w14:paraId="60D99B6A"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90" w:type="dxa"/>
            <w:tcBorders>
              <w:top w:val="single" w:sz="6" w:space="0" w:color="000000"/>
              <w:bottom w:val="single" w:sz="6" w:space="0" w:color="000000"/>
            </w:tcBorders>
          </w:tcPr>
          <w:p w14:paraId="172C189D"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68" w:type="dxa"/>
            <w:tcBorders>
              <w:top w:val="single" w:sz="6" w:space="0" w:color="000000"/>
              <w:bottom w:val="single" w:sz="6" w:space="0" w:color="000000"/>
            </w:tcBorders>
          </w:tcPr>
          <w:p w14:paraId="11B8F01E"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r>
      <w:tr w:rsidR="00CD0355" w:rsidRPr="00DA314E" w14:paraId="2A330241" w14:textId="77777777" w:rsidTr="00CD0355">
        <w:trPr>
          <w:cantSplit/>
          <w:jc w:val="center"/>
        </w:trPr>
        <w:tc>
          <w:tcPr>
            <w:tcW w:w="1202" w:type="dxa"/>
            <w:tcBorders>
              <w:top w:val="single" w:sz="6" w:space="0" w:color="000000"/>
            </w:tcBorders>
          </w:tcPr>
          <w:p w14:paraId="0105703B"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Inert Matter</w:t>
            </w:r>
          </w:p>
        </w:tc>
        <w:tc>
          <w:tcPr>
            <w:tcW w:w="810" w:type="dxa"/>
            <w:tcBorders>
              <w:top w:val="single" w:sz="6" w:space="0" w:color="000000"/>
            </w:tcBorders>
          </w:tcPr>
          <w:p w14:paraId="48AF49BF"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90" w:type="dxa"/>
            <w:tcBorders>
              <w:top w:val="single" w:sz="6" w:space="0" w:color="000000"/>
            </w:tcBorders>
          </w:tcPr>
          <w:p w14:paraId="07ACF4B7"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90" w:type="dxa"/>
            <w:tcBorders>
              <w:top w:val="single" w:sz="6" w:space="0" w:color="000000"/>
            </w:tcBorders>
          </w:tcPr>
          <w:p w14:paraId="1134C4A2"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68" w:type="dxa"/>
            <w:tcBorders>
              <w:top w:val="single" w:sz="6" w:space="0" w:color="000000"/>
            </w:tcBorders>
          </w:tcPr>
          <w:p w14:paraId="30683E83"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r>
      <w:tr w:rsidR="00CD0355" w:rsidRPr="00DA314E" w14:paraId="2A75A9FE" w14:textId="77777777" w:rsidTr="00CD0355">
        <w:trPr>
          <w:cantSplit/>
          <w:jc w:val="center"/>
        </w:trPr>
        <w:tc>
          <w:tcPr>
            <w:tcW w:w="1202" w:type="dxa"/>
            <w:tcBorders>
              <w:bottom w:val="single" w:sz="6" w:space="0" w:color="000000"/>
            </w:tcBorders>
          </w:tcPr>
          <w:p w14:paraId="01EA4937"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Varieties</w:t>
            </w:r>
          </w:p>
        </w:tc>
        <w:tc>
          <w:tcPr>
            <w:tcW w:w="810" w:type="dxa"/>
            <w:tcBorders>
              <w:bottom w:val="single" w:sz="6" w:space="0" w:color="000000"/>
            </w:tcBorders>
            <w:vAlign w:val="bottom"/>
          </w:tcPr>
          <w:p w14:paraId="14076F0B"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bottom w:val="single" w:sz="6" w:space="0" w:color="000000"/>
            </w:tcBorders>
            <w:vAlign w:val="bottom"/>
          </w:tcPr>
          <w:p w14:paraId="7C3BA4FA"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0.03%</w:t>
            </w:r>
          </w:p>
        </w:tc>
        <w:tc>
          <w:tcPr>
            <w:tcW w:w="990" w:type="dxa"/>
            <w:tcBorders>
              <w:bottom w:val="single" w:sz="6" w:space="0" w:color="000000"/>
            </w:tcBorders>
            <w:vAlign w:val="bottom"/>
          </w:tcPr>
          <w:p w14:paraId="17351391"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0.05%</w:t>
            </w:r>
          </w:p>
        </w:tc>
        <w:tc>
          <w:tcPr>
            <w:tcW w:w="968" w:type="dxa"/>
            <w:tcBorders>
              <w:bottom w:val="single" w:sz="6" w:space="0" w:color="000000"/>
            </w:tcBorders>
            <w:vAlign w:val="bottom"/>
          </w:tcPr>
          <w:p w14:paraId="6A3C682E"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0.10%</w:t>
            </w:r>
          </w:p>
        </w:tc>
      </w:tr>
      <w:tr w:rsidR="00CD0355" w:rsidRPr="00DA314E" w14:paraId="01D0657C" w14:textId="77777777" w:rsidTr="00CD0355">
        <w:trPr>
          <w:cantSplit/>
          <w:jc w:val="center"/>
        </w:trPr>
        <w:tc>
          <w:tcPr>
            <w:tcW w:w="1202" w:type="dxa"/>
            <w:tcBorders>
              <w:top w:val="single" w:sz="6" w:space="0" w:color="000000"/>
              <w:bottom w:val="single" w:sz="6" w:space="0" w:color="000000"/>
            </w:tcBorders>
          </w:tcPr>
          <w:p w14:paraId="7F0743B8"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Crops</w:t>
            </w:r>
          </w:p>
        </w:tc>
        <w:tc>
          <w:tcPr>
            <w:tcW w:w="810" w:type="dxa"/>
            <w:tcBorders>
              <w:top w:val="single" w:sz="6" w:space="0" w:color="000000"/>
              <w:bottom w:val="single" w:sz="6" w:space="0" w:color="000000"/>
            </w:tcBorders>
          </w:tcPr>
          <w:p w14:paraId="54BDF0DD"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bottom w:val="single" w:sz="6" w:space="0" w:color="000000"/>
            </w:tcBorders>
          </w:tcPr>
          <w:p w14:paraId="15CE346A"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bottom w:val="single" w:sz="6" w:space="0" w:color="000000"/>
            </w:tcBorders>
          </w:tcPr>
          <w:p w14:paraId="22BD9017"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3 seed/lb.</w:t>
            </w:r>
          </w:p>
        </w:tc>
        <w:tc>
          <w:tcPr>
            <w:tcW w:w="968" w:type="dxa"/>
            <w:tcBorders>
              <w:top w:val="single" w:sz="6" w:space="0" w:color="000000"/>
              <w:bottom w:val="single" w:sz="6" w:space="0" w:color="000000"/>
            </w:tcBorders>
          </w:tcPr>
          <w:p w14:paraId="5D4D8411"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seed/lb.</w:t>
            </w:r>
          </w:p>
        </w:tc>
      </w:tr>
      <w:tr w:rsidR="00CD0355" w:rsidRPr="00DA314E" w14:paraId="2F55D524" w14:textId="77777777" w:rsidTr="00CD0355">
        <w:trPr>
          <w:cantSplit/>
          <w:jc w:val="center"/>
        </w:trPr>
        <w:tc>
          <w:tcPr>
            <w:tcW w:w="1202" w:type="dxa"/>
            <w:tcBorders>
              <w:top w:val="single" w:sz="6" w:space="0" w:color="000000"/>
            </w:tcBorders>
          </w:tcPr>
          <w:p w14:paraId="32D1E957" w14:textId="77777777" w:rsidR="00CD0355" w:rsidRDefault="00CD0355" w:rsidP="00CD0355">
            <w:pPr>
              <w:tabs>
                <w:tab w:val="left" w:pos="42"/>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Noxious Weeds:</w:t>
            </w:r>
          </w:p>
          <w:p w14:paraId="39F1774A" w14:textId="77777777" w:rsidR="00CD0355" w:rsidRPr="00642ED9" w:rsidRDefault="00CD0355" w:rsidP="00CD0355">
            <w:pPr>
              <w:tabs>
                <w:tab w:val="left" w:pos="42"/>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Cocklebur</w:t>
            </w:r>
          </w:p>
        </w:tc>
        <w:tc>
          <w:tcPr>
            <w:tcW w:w="810" w:type="dxa"/>
            <w:tcBorders>
              <w:top w:val="single" w:sz="6" w:space="0" w:color="000000"/>
            </w:tcBorders>
            <w:vAlign w:val="bottom"/>
          </w:tcPr>
          <w:p w14:paraId="7F7A23B3"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tcBorders>
            <w:vAlign w:val="bottom"/>
          </w:tcPr>
          <w:p w14:paraId="0BB897B8"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tcBorders>
            <w:vAlign w:val="bottom"/>
          </w:tcPr>
          <w:p w14:paraId="43A133E7"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 seed/2 lbs.</w:t>
            </w:r>
          </w:p>
        </w:tc>
        <w:tc>
          <w:tcPr>
            <w:tcW w:w="968" w:type="dxa"/>
            <w:tcBorders>
              <w:top w:val="single" w:sz="6" w:space="0" w:color="000000"/>
            </w:tcBorders>
            <w:vAlign w:val="bottom"/>
          </w:tcPr>
          <w:p w14:paraId="1A50F864"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 seed/2 lbs.</w:t>
            </w:r>
          </w:p>
        </w:tc>
      </w:tr>
      <w:tr w:rsidR="00CD0355" w:rsidRPr="00DA314E" w14:paraId="07FE86DC" w14:textId="77777777" w:rsidTr="00CD0355">
        <w:trPr>
          <w:cantSplit/>
          <w:jc w:val="center"/>
        </w:trPr>
        <w:tc>
          <w:tcPr>
            <w:tcW w:w="1202" w:type="dxa"/>
          </w:tcPr>
          <w:p w14:paraId="0ADEA47E"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Germination</w:t>
            </w:r>
          </w:p>
        </w:tc>
        <w:tc>
          <w:tcPr>
            <w:tcW w:w="810" w:type="dxa"/>
          </w:tcPr>
          <w:p w14:paraId="1A592428"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Pr>
          <w:p w14:paraId="68CCD6B7"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70.00%</w:t>
            </w:r>
          </w:p>
        </w:tc>
        <w:tc>
          <w:tcPr>
            <w:tcW w:w="990" w:type="dxa"/>
          </w:tcPr>
          <w:p w14:paraId="15560F90"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70.00%</w:t>
            </w:r>
          </w:p>
        </w:tc>
        <w:tc>
          <w:tcPr>
            <w:tcW w:w="968" w:type="dxa"/>
          </w:tcPr>
          <w:p w14:paraId="219FBC10" w14:textId="77777777"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bookmarkStart w:id="1161" w:name="End"/>
            <w:r w:rsidRPr="00642ED9">
              <w:rPr>
                <w:kern w:val="2"/>
                <w:sz w:val="16"/>
              </w:rPr>
              <w:t>70.00%</w:t>
            </w:r>
            <w:bookmarkEnd w:id="1161"/>
          </w:p>
        </w:tc>
      </w:tr>
    </w:tbl>
    <w:p w14:paraId="4A885F9E" w14:textId="77777777" w:rsidR="00CD0355" w:rsidRPr="00642ED9" w:rsidRDefault="00CD0355" w:rsidP="00CD0355">
      <w:pPr>
        <w:pStyle w:val="A"/>
        <w:spacing w:after="0"/>
      </w:pPr>
    </w:p>
    <w:p w14:paraId="6CC904FD" w14:textId="77777777" w:rsidR="00CD0355" w:rsidRPr="001531CD" w:rsidRDefault="00CD0355" w:rsidP="00CD0355">
      <w:pPr>
        <w:pStyle w:val="AuthorityNote"/>
      </w:pPr>
      <w:r w:rsidRPr="00642ED9">
        <w:t>AUTHORITY NOTE:</w:t>
      </w:r>
      <w:r w:rsidRPr="00642ED9">
        <w:tab/>
        <w:t>Promulgated in accordance with R.S. 3:1433.</w:t>
      </w:r>
    </w:p>
    <w:p w14:paraId="76D160E2" w14:textId="77777777" w:rsidR="00CD0355" w:rsidRPr="001531CD" w:rsidRDefault="00CD0355" w:rsidP="00CD0355">
      <w:pPr>
        <w:pStyle w:val="HistoricalNote"/>
      </w:pPr>
      <w:r w:rsidRPr="001531CD">
        <w:t>HISTORICAL NOTE:</w:t>
      </w:r>
      <w:r w:rsidRPr="001531CD">
        <w:tab/>
        <w:t xml:space="preserve">Promulgated by the Department of Agriculture and Forestry, LR 8:570 (November 1982), amended LR 9:199 (April 1983), LR 10:737 (October 1984), amended by the Department of Agriculture and Forestry, Office of Agricultural and Environmental Sciences, Seed Commission, LR 12:825 (December 1986), LR 13:156 (March 1987), repromulgated LR 13:232 (April 1987), amended LR 18:954 (September 1992), repromulgated by the </w:t>
      </w:r>
      <w:r w:rsidRPr="001531CD">
        <w:lastRenderedPageBreak/>
        <w:t xml:space="preserve">Department of Agriculture and Forestry, Office of Agricultural and Environmental Sciences, Agricultural Chemistry and Seed Commission, </w:t>
      </w:r>
      <w:r>
        <w:t xml:space="preserve">LR </w:t>
      </w:r>
      <w:r>
        <w:rPr>
          <w:rFonts w:eastAsia="PMingLiU"/>
        </w:rPr>
        <w:t>39</w:t>
      </w:r>
      <w:r w:rsidRPr="00642ED9">
        <w:rPr>
          <w:rFonts w:eastAsia="PMingLiU"/>
        </w:rPr>
        <w:t>:</w:t>
      </w:r>
      <w:r>
        <w:rPr>
          <w:rFonts w:eastAsia="PMingLiU"/>
        </w:rPr>
        <w:t xml:space="preserve">3060 (November 2013), </w:t>
      </w:r>
      <w:r>
        <w:t>amended LR 40:755 (April 2014), repromulgated LR 40:993 (May 2014).</w:t>
      </w:r>
    </w:p>
    <w:p w14:paraId="597EAB6C" w14:textId="77777777" w:rsidR="00CD0355" w:rsidRPr="001531CD" w:rsidRDefault="00CD0355" w:rsidP="00CD0355">
      <w:pPr>
        <w:pStyle w:val="Section"/>
      </w:pPr>
      <w:bookmarkStart w:id="1162" w:name="_Toc224818810"/>
      <w:r w:rsidRPr="001531CD">
        <w:t>§743.</w:t>
      </w:r>
      <w:r w:rsidRPr="001531CD">
        <w:tab/>
        <w:t>Hybrid Seed Corn</w:t>
      </w:r>
      <w:r>
        <w:t xml:space="preserve"> Certification Standards</w:t>
      </w:r>
      <w:bookmarkEnd w:id="1162"/>
    </w:p>
    <w:p w14:paraId="6B8328AC" w14:textId="77777777" w:rsidR="00CD0355" w:rsidRPr="001531CD" w:rsidRDefault="00CD0355" w:rsidP="00CD0355">
      <w:pPr>
        <w:pStyle w:val="A"/>
      </w:pPr>
      <w:r w:rsidRPr="001531CD">
        <w:t>A.</w:t>
      </w:r>
      <w:r w:rsidRPr="001531CD">
        <w:tab/>
        <w:t>Eligibility Requirements. Hybrid corn may be one of the following.</w:t>
      </w:r>
    </w:p>
    <w:p w14:paraId="21BC318B" w14:textId="77777777" w:rsidR="00CD0355" w:rsidRPr="001531CD" w:rsidRDefault="00CD0355" w:rsidP="00CD0355">
      <w:pPr>
        <w:pStyle w:val="1"/>
      </w:pPr>
      <w:r w:rsidRPr="001531CD">
        <w:t>1.</w:t>
      </w:r>
      <w:r w:rsidRPr="001531CD">
        <w:tab/>
      </w:r>
      <w:r w:rsidRPr="001531CD">
        <w:rPr>
          <w:i/>
          <w:iCs/>
        </w:rPr>
        <w:t xml:space="preserve">Single </w:t>
      </w:r>
      <w:r w:rsidRPr="001531CD">
        <w:rPr>
          <w:i/>
        </w:rPr>
        <w:t>Cross</w:t>
      </w:r>
      <w:r w:rsidRPr="001531CD">
        <w:t>―the first generation hybrid between two inbred lines.</w:t>
      </w:r>
    </w:p>
    <w:p w14:paraId="4BC55A11" w14:textId="77777777" w:rsidR="00CD0355" w:rsidRPr="001531CD" w:rsidRDefault="00CD0355" w:rsidP="00CD0355">
      <w:pPr>
        <w:pStyle w:val="1"/>
      </w:pPr>
      <w:r w:rsidRPr="001531CD">
        <w:t>2.</w:t>
      </w:r>
      <w:r w:rsidRPr="001531CD">
        <w:tab/>
      </w:r>
      <w:r w:rsidRPr="001531CD">
        <w:rPr>
          <w:i/>
          <w:iCs/>
        </w:rPr>
        <w:t>Double Cross</w:t>
      </w:r>
      <w:r w:rsidRPr="001531CD">
        <w:t>―the first generation hybrid between two single crosses.</w:t>
      </w:r>
    </w:p>
    <w:p w14:paraId="6D1D1D55" w14:textId="77777777" w:rsidR="00CD0355" w:rsidRPr="001531CD" w:rsidRDefault="00CD0355" w:rsidP="00CD0355">
      <w:pPr>
        <w:pStyle w:val="1"/>
      </w:pPr>
      <w:r w:rsidRPr="001531CD">
        <w:t>3.</w:t>
      </w:r>
      <w:r w:rsidRPr="001531CD">
        <w:tab/>
      </w:r>
      <w:r w:rsidRPr="001531CD">
        <w:rPr>
          <w:i/>
          <w:iCs/>
        </w:rPr>
        <w:t>Three-</w:t>
      </w:r>
      <w:r w:rsidRPr="00B37DF3">
        <w:rPr>
          <w:i/>
        </w:rPr>
        <w:t>Way</w:t>
      </w:r>
      <w:r w:rsidRPr="001531CD">
        <w:rPr>
          <w:i/>
          <w:iCs/>
        </w:rPr>
        <w:t xml:space="preserve"> Cross</w:t>
      </w:r>
      <w:r w:rsidRPr="001531CD">
        <w:t>―a first generation hybrid between a single cross and an inbred line.</w:t>
      </w:r>
    </w:p>
    <w:p w14:paraId="10FB39F2" w14:textId="77777777" w:rsidR="00CD0355" w:rsidRPr="001531CD" w:rsidRDefault="00CD0355" w:rsidP="00CD0355">
      <w:pPr>
        <w:pStyle w:val="1"/>
      </w:pPr>
      <w:r w:rsidRPr="001531CD">
        <w:t>4.</w:t>
      </w:r>
      <w:r w:rsidRPr="001531CD">
        <w:tab/>
      </w:r>
      <w:r w:rsidRPr="001531CD">
        <w:rPr>
          <w:i/>
          <w:iCs/>
        </w:rPr>
        <w:t xml:space="preserve">Top </w:t>
      </w:r>
      <w:r w:rsidRPr="001531CD">
        <w:rPr>
          <w:i/>
        </w:rPr>
        <w:t>Cross</w:t>
      </w:r>
      <w:r w:rsidRPr="001531CD">
        <w:t>―the first generation hybrid of a cross between an inbred line and an open-pollinated variety or the first generation hybrid between a single cross and an open-pollinated variety.</w:t>
      </w:r>
    </w:p>
    <w:p w14:paraId="10EABA54" w14:textId="77777777" w:rsidR="00CD0355" w:rsidRPr="001531CD" w:rsidRDefault="00CD0355" w:rsidP="00CD0355">
      <w:pPr>
        <w:pStyle w:val="1"/>
      </w:pPr>
      <w:r w:rsidRPr="001531CD">
        <w:t>5.</w:t>
      </w:r>
      <w:r w:rsidRPr="001531CD">
        <w:tab/>
      </w:r>
      <w:r w:rsidRPr="001531CD">
        <w:rPr>
          <w:i/>
        </w:rPr>
        <w:t>Foundation</w:t>
      </w:r>
      <w:r w:rsidRPr="001531CD">
        <w:rPr>
          <w:i/>
          <w:iCs/>
        </w:rPr>
        <w:t xml:space="preserve"> Single Cross</w:t>
      </w:r>
      <w:r w:rsidRPr="001531CD">
        <w:t>―a single cross used in the production of a double cross, a three-way, or a top cross.</w:t>
      </w:r>
    </w:p>
    <w:p w14:paraId="17FAF1F3" w14:textId="77777777" w:rsidR="00CD0355" w:rsidRPr="001531CD" w:rsidRDefault="00CD0355" w:rsidP="00CD0355">
      <w:pPr>
        <w:pStyle w:val="A"/>
      </w:pPr>
      <w:r w:rsidRPr="001531CD">
        <w:t>B.</w:t>
      </w:r>
      <w:r w:rsidRPr="001531CD">
        <w:tab/>
        <w:t>Field Inspection</w:t>
      </w:r>
    </w:p>
    <w:p w14:paraId="1120AB0E" w14:textId="77777777" w:rsidR="00CD0355" w:rsidRPr="001531CD" w:rsidRDefault="00CD0355" w:rsidP="00CD0355">
      <w:pPr>
        <w:pStyle w:val="1"/>
      </w:pPr>
      <w:r w:rsidRPr="001531CD">
        <w:t>1.</w:t>
      </w:r>
      <w:r w:rsidRPr="001531CD">
        <w:tab/>
        <w:t>Seed fields shall be inspected at least once prior to the pollination period for purity as to plant type. Any off-type or doubtful plants must be destroyed before they shed pollen.</w:t>
      </w:r>
    </w:p>
    <w:p w14:paraId="2D4EFF45" w14:textId="77777777" w:rsidR="00CD0355" w:rsidRPr="001531CD" w:rsidRDefault="00CD0355" w:rsidP="00CD0355">
      <w:pPr>
        <w:pStyle w:val="1"/>
      </w:pPr>
      <w:r w:rsidRPr="001531CD">
        <w:t>2.</w:t>
      </w:r>
      <w:r w:rsidRPr="001531CD">
        <w:tab/>
        <w:t>At least three field inspections shall be made during the pollinating period, said inspections to be made without previous notification to the grower.</w:t>
      </w:r>
    </w:p>
    <w:p w14:paraId="4AA3C2F9" w14:textId="77777777" w:rsidR="00CD0355" w:rsidRPr="001531CD" w:rsidRDefault="00CD0355" w:rsidP="00CD0355">
      <w:pPr>
        <w:pStyle w:val="A"/>
      </w:pPr>
      <w:r w:rsidRPr="001531CD">
        <w:t>C.</w:t>
      </w:r>
      <w:r w:rsidRPr="001531CD">
        <w:tab/>
        <w:t>Field Standards</w:t>
      </w:r>
    </w:p>
    <w:p w14:paraId="077B9A2F" w14:textId="77777777" w:rsidR="00CD0355" w:rsidRPr="001531CD" w:rsidRDefault="00CD0355" w:rsidP="00CD0355">
      <w:pPr>
        <w:pStyle w:val="1"/>
      </w:pPr>
      <w:r w:rsidRPr="001531CD">
        <w:t>1.</w:t>
      </w:r>
      <w:r w:rsidRPr="001531CD">
        <w:tab/>
        <w:t>Unit of Certification. The entire acreage of any one specific commercial hybrid must be entered for certification.</w:t>
      </w:r>
    </w:p>
    <w:p w14:paraId="2BD6BABE" w14:textId="77777777" w:rsidR="00CD0355" w:rsidRPr="001531CD" w:rsidRDefault="00CD0355" w:rsidP="00CD0355">
      <w:pPr>
        <w:pStyle w:val="1"/>
      </w:pPr>
      <w:r w:rsidRPr="001531CD">
        <w:t>2.</w:t>
      </w:r>
      <w:r w:rsidRPr="001531CD">
        <w:tab/>
        <w:t>Isolation Requirements. Fields in which commercial hybrid corn is being produced must be so located that the female parent is not less than 660 feet in all directions from other corn of a different kernel color or type (sweet, pop, flint, white, red, etc.).</w:t>
      </w:r>
    </w:p>
    <w:p w14:paraId="67C6D14E" w14:textId="77777777" w:rsidR="00CD0355" w:rsidRPr="001531CD" w:rsidRDefault="00CD0355" w:rsidP="00CD0355">
      <w:pPr>
        <w:pStyle w:val="1"/>
      </w:pPr>
      <w:r w:rsidRPr="001531CD">
        <w:t>3.</w:t>
      </w:r>
      <w:r w:rsidRPr="001531CD">
        <w:tab/>
        <w:t>Border Rows. When the kernel type and color of the corn in the contaminating field are the same as those of the parent in the crossing field, the isolation distance may be modified by the planting of border rows of the pollen parent. The following table indicates the minimum number of border rows required for fields of various sizes when located at different distances from other corn.</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1793"/>
        <w:gridCol w:w="1504"/>
        <w:gridCol w:w="1553"/>
      </w:tblGrid>
      <w:tr w:rsidR="00CD0355" w:rsidRPr="001531CD" w14:paraId="613596FE" w14:textId="77777777" w:rsidTr="00CD0355">
        <w:trPr>
          <w:cantSplit/>
          <w:jc w:val="center"/>
        </w:trPr>
        <w:tc>
          <w:tcPr>
            <w:tcW w:w="1821" w:type="dxa"/>
            <w:vMerge w:val="restart"/>
            <w:tcBorders>
              <w:top w:val="double" w:sz="6" w:space="0" w:color="000000"/>
            </w:tcBorders>
            <w:shd w:val="clear" w:color="auto" w:fill="BFBFBF"/>
            <w:vAlign w:val="bottom"/>
          </w:tcPr>
          <w:p w14:paraId="515885B6"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Minimum Distance from Other Corn</w:t>
            </w:r>
          </w:p>
        </w:tc>
        <w:tc>
          <w:tcPr>
            <w:tcW w:w="3116" w:type="dxa"/>
            <w:gridSpan w:val="2"/>
            <w:tcBorders>
              <w:top w:val="double" w:sz="6" w:space="0" w:color="000000"/>
              <w:bottom w:val="single" w:sz="6" w:space="0" w:color="auto"/>
            </w:tcBorders>
            <w:shd w:val="clear" w:color="auto" w:fill="BFBFBF"/>
            <w:vAlign w:val="bottom"/>
          </w:tcPr>
          <w:p w14:paraId="4C0E71EE"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Field Size</w:t>
            </w:r>
          </w:p>
        </w:tc>
      </w:tr>
      <w:tr w:rsidR="00CD0355" w:rsidRPr="001531CD" w14:paraId="0A65D99C" w14:textId="77777777" w:rsidTr="00CD0355">
        <w:trPr>
          <w:cantSplit/>
          <w:jc w:val="center"/>
        </w:trPr>
        <w:tc>
          <w:tcPr>
            <w:tcW w:w="1821" w:type="dxa"/>
            <w:vMerge/>
            <w:tcBorders>
              <w:bottom w:val="single" w:sz="6" w:space="0" w:color="auto"/>
            </w:tcBorders>
            <w:shd w:val="clear" w:color="auto" w:fill="BFBFBF"/>
            <w:vAlign w:val="bottom"/>
          </w:tcPr>
          <w:p w14:paraId="5FEE7ED0" w14:textId="77777777" w:rsidR="00CD0355" w:rsidRPr="001531CD" w:rsidRDefault="00CD0355" w:rsidP="00CD0355">
            <w:pPr>
              <w:tabs>
                <w:tab w:val="left" w:pos="180"/>
                <w:tab w:val="left" w:pos="360"/>
                <w:tab w:val="left" w:pos="5940"/>
                <w:tab w:val="left" w:pos="8640"/>
              </w:tabs>
              <w:jc w:val="center"/>
              <w:rPr>
                <w:b/>
                <w:sz w:val="16"/>
                <w:szCs w:val="16"/>
              </w:rPr>
            </w:pPr>
          </w:p>
        </w:tc>
        <w:tc>
          <w:tcPr>
            <w:tcW w:w="1533" w:type="dxa"/>
            <w:tcBorders>
              <w:top w:val="single" w:sz="6" w:space="0" w:color="auto"/>
              <w:bottom w:val="single" w:sz="6" w:space="0" w:color="auto"/>
            </w:tcBorders>
            <w:shd w:val="clear" w:color="auto" w:fill="BFBFBF"/>
            <w:vAlign w:val="bottom"/>
          </w:tcPr>
          <w:p w14:paraId="5B83EB05"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1 to 20 acres</w:t>
            </w:r>
          </w:p>
        </w:tc>
        <w:tc>
          <w:tcPr>
            <w:tcW w:w="1583" w:type="dxa"/>
            <w:tcBorders>
              <w:top w:val="single" w:sz="6" w:space="0" w:color="auto"/>
              <w:bottom w:val="single" w:sz="6" w:space="0" w:color="auto"/>
            </w:tcBorders>
            <w:shd w:val="clear" w:color="auto" w:fill="BFBFBF"/>
            <w:vAlign w:val="bottom"/>
          </w:tcPr>
          <w:p w14:paraId="6EDC0983"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20 acres or more</w:t>
            </w:r>
          </w:p>
        </w:tc>
      </w:tr>
      <w:tr w:rsidR="00CD0355" w:rsidRPr="001531CD" w14:paraId="0D999BC6" w14:textId="77777777" w:rsidTr="00CD0355">
        <w:trPr>
          <w:cantSplit/>
          <w:jc w:val="center"/>
        </w:trPr>
        <w:tc>
          <w:tcPr>
            <w:tcW w:w="1821" w:type="dxa"/>
            <w:tcBorders>
              <w:top w:val="single" w:sz="6" w:space="0" w:color="auto"/>
              <w:bottom w:val="single" w:sz="6" w:space="0" w:color="auto"/>
            </w:tcBorders>
            <w:shd w:val="clear" w:color="auto" w:fill="BFBFBF"/>
            <w:vAlign w:val="bottom"/>
          </w:tcPr>
          <w:p w14:paraId="0059E242"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Feet</w:t>
            </w:r>
          </w:p>
        </w:tc>
        <w:tc>
          <w:tcPr>
            <w:tcW w:w="3116" w:type="dxa"/>
            <w:gridSpan w:val="2"/>
            <w:tcBorders>
              <w:top w:val="single" w:sz="6" w:space="0" w:color="auto"/>
              <w:bottom w:val="single" w:sz="6" w:space="0" w:color="auto"/>
            </w:tcBorders>
            <w:shd w:val="clear" w:color="auto" w:fill="BFBFBF"/>
            <w:vAlign w:val="bottom"/>
          </w:tcPr>
          <w:p w14:paraId="1349B461"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(Minimum) Border Rows</w:t>
            </w:r>
          </w:p>
        </w:tc>
      </w:tr>
      <w:tr w:rsidR="00CD0355" w:rsidRPr="001531CD" w14:paraId="47BC6998" w14:textId="77777777" w:rsidTr="00CD0355">
        <w:trPr>
          <w:cantSplit/>
          <w:jc w:val="center"/>
        </w:trPr>
        <w:tc>
          <w:tcPr>
            <w:tcW w:w="1821" w:type="dxa"/>
            <w:tcBorders>
              <w:top w:val="single" w:sz="6" w:space="0" w:color="auto"/>
              <w:bottom w:val="single" w:sz="6" w:space="0" w:color="auto"/>
            </w:tcBorders>
          </w:tcPr>
          <w:p w14:paraId="58F9B50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410</w:t>
            </w:r>
          </w:p>
        </w:tc>
        <w:tc>
          <w:tcPr>
            <w:tcW w:w="1533" w:type="dxa"/>
            <w:tcBorders>
              <w:top w:val="single" w:sz="6" w:space="0" w:color="auto"/>
              <w:bottom w:val="single" w:sz="6" w:space="0" w:color="auto"/>
            </w:tcBorders>
          </w:tcPr>
          <w:p w14:paraId="7EA3B9F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c>
          <w:tcPr>
            <w:tcW w:w="1583" w:type="dxa"/>
            <w:tcBorders>
              <w:top w:val="single" w:sz="6" w:space="0" w:color="auto"/>
              <w:bottom w:val="single" w:sz="6" w:space="0" w:color="auto"/>
            </w:tcBorders>
          </w:tcPr>
          <w:p w14:paraId="6A227A5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r>
      <w:tr w:rsidR="00CD0355" w:rsidRPr="001531CD" w14:paraId="07065798" w14:textId="77777777" w:rsidTr="00CD0355">
        <w:trPr>
          <w:cantSplit/>
          <w:jc w:val="center"/>
        </w:trPr>
        <w:tc>
          <w:tcPr>
            <w:tcW w:w="1821" w:type="dxa"/>
            <w:tcBorders>
              <w:top w:val="single" w:sz="6" w:space="0" w:color="auto"/>
              <w:bottom w:val="single" w:sz="6" w:space="0" w:color="auto"/>
            </w:tcBorders>
          </w:tcPr>
          <w:p w14:paraId="222BCE1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370</w:t>
            </w:r>
          </w:p>
        </w:tc>
        <w:tc>
          <w:tcPr>
            <w:tcW w:w="1533" w:type="dxa"/>
            <w:tcBorders>
              <w:top w:val="single" w:sz="6" w:space="0" w:color="auto"/>
              <w:bottom w:val="single" w:sz="6" w:space="0" w:color="auto"/>
            </w:tcBorders>
          </w:tcPr>
          <w:p w14:paraId="058D914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w:t>
            </w:r>
          </w:p>
        </w:tc>
        <w:tc>
          <w:tcPr>
            <w:tcW w:w="1583" w:type="dxa"/>
            <w:tcBorders>
              <w:top w:val="single" w:sz="6" w:space="0" w:color="auto"/>
              <w:bottom w:val="single" w:sz="6" w:space="0" w:color="auto"/>
            </w:tcBorders>
          </w:tcPr>
          <w:p w14:paraId="230B63F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w:t>
            </w:r>
          </w:p>
        </w:tc>
      </w:tr>
      <w:tr w:rsidR="00CD0355" w:rsidRPr="001531CD" w14:paraId="77B35468" w14:textId="77777777" w:rsidTr="00CD0355">
        <w:trPr>
          <w:cantSplit/>
          <w:jc w:val="center"/>
        </w:trPr>
        <w:tc>
          <w:tcPr>
            <w:tcW w:w="1821" w:type="dxa"/>
            <w:tcBorders>
              <w:top w:val="single" w:sz="6" w:space="0" w:color="auto"/>
              <w:bottom w:val="single" w:sz="6" w:space="0" w:color="auto"/>
            </w:tcBorders>
          </w:tcPr>
          <w:p w14:paraId="195B0E6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w:t>
            </w:r>
          </w:p>
        </w:tc>
        <w:tc>
          <w:tcPr>
            <w:tcW w:w="1533" w:type="dxa"/>
            <w:tcBorders>
              <w:top w:val="single" w:sz="6" w:space="0" w:color="auto"/>
              <w:bottom w:val="single" w:sz="6" w:space="0" w:color="auto"/>
            </w:tcBorders>
          </w:tcPr>
          <w:p w14:paraId="55454BE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w:t>
            </w:r>
          </w:p>
        </w:tc>
        <w:tc>
          <w:tcPr>
            <w:tcW w:w="1583" w:type="dxa"/>
            <w:tcBorders>
              <w:top w:val="single" w:sz="6" w:space="0" w:color="auto"/>
              <w:bottom w:val="single" w:sz="6" w:space="0" w:color="auto"/>
            </w:tcBorders>
          </w:tcPr>
          <w:p w14:paraId="5E7CE03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w:t>
            </w:r>
          </w:p>
        </w:tc>
      </w:tr>
      <w:tr w:rsidR="00CD0355" w:rsidRPr="001531CD" w14:paraId="50B7313F" w14:textId="77777777" w:rsidTr="00CD0355">
        <w:trPr>
          <w:cantSplit/>
          <w:jc w:val="center"/>
        </w:trPr>
        <w:tc>
          <w:tcPr>
            <w:tcW w:w="1821" w:type="dxa"/>
            <w:tcBorders>
              <w:top w:val="single" w:sz="6" w:space="0" w:color="auto"/>
              <w:bottom w:val="single" w:sz="6" w:space="0" w:color="auto"/>
            </w:tcBorders>
          </w:tcPr>
          <w:p w14:paraId="35BA083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290</w:t>
            </w:r>
          </w:p>
        </w:tc>
        <w:tc>
          <w:tcPr>
            <w:tcW w:w="1533" w:type="dxa"/>
            <w:tcBorders>
              <w:top w:val="single" w:sz="6" w:space="0" w:color="auto"/>
              <w:bottom w:val="single" w:sz="6" w:space="0" w:color="auto"/>
            </w:tcBorders>
          </w:tcPr>
          <w:p w14:paraId="3CDA690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w:t>
            </w:r>
          </w:p>
        </w:tc>
        <w:tc>
          <w:tcPr>
            <w:tcW w:w="1583" w:type="dxa"/>
            <w:tcBorders>
              <w:top w:val="single" w:sz="6" w:space="0" w:color="auto"/>
              <w:bottom w:val="single" w:sz="6" w:space="0" w:color="auto"/>
            </w:tcBorders>
          </w:tcPr>
          <w:p w14:paraId="21FBB76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w:t>
            </w:r>
          </w:p>
        </w:tc>
      </w:tr>
      <w:tr w:rsidR="00CD0355" w:rsidRPr="001531CD" w14:paraId="02DF7CC4" w14:textId="77777777" w:rsidTr="00CD0355">
        <w:trPr>
          <w:cantSplit/>
          <w:jc w:val="center"/>
        </w:trPr>
        <w:tc>
          <w:tcPr>
            <w:tcW w:w="1821" w:type="dxa"/>
            <w:tcBorders>
              <w:top w:val="single" w:sz="6" w:space="0" w:color="auto"/>
              <w:bottom w:val="single" w:sz="6" w:space="0" w:color="auto"/>
            </w:tcBorders>
          </w:tcPr>
          <w:p w14:paraId="1EE9276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245</w:t>
            </w:r>
          </w:p>
        </w:tc>
        <w:tc>
          <w:tcPr>
            <w:tcW w:w="1533" w:type="dxa"/>
            <w:tcBorders>
              <w:top w:val="single" w:sz="6" w:space="0" w:color="auto"/>
              <w:bottom w:val="single" w:sz="6" w:space="0" w:color="auto"/>
            </w:tcBorders>
          </w:tcPr>
          <w:p w14:paraId="7198D13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w:t>
            </w:r>
          </w:p>
        </w:tc>
        <w:tc>
          <w:tcPr>
            <w:tcW w:w="1583" w:type="dxa"/>
            <w:tcBorders>
              <w:top w:val="single" w:sz="6" w:space="0" w:color="auto"/>
              <w:bottom w:val="single" w:sz="6" w:space="0" w:color="auto"/>
            </w:tcBorders>
          </w:tcPr>
          <w:p w14:paraId="0E9EF31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w:t>
            </w:r>
          </w:p>
        </w:tc>
      </w:tr>
      <w:tr w:rsidR="00CD0355" w:rsidRPr="001531CD" w14:paraId="50E1D9B4" w14:textId="77777777" w:rsidTr="00CD0355">
        <w:trPr>
          <w:cantSplit/>
          <w:jc w:val="center"/>
        </w:trPr>
        <w:tc>
          <w:tcPr>
            <w:tcW w:w="1821" w:type="dxa"/>
            <w:tcBorders>
              <w:top w:val="single" w:sz="6" w:space="0" w:color="auto"/>
              <w:bottom w:val="single" w:sz="6" w:space="0" w:color="auto"/>
            </w:tcBorders>
          </w:tcPr>
          <w:p w14:paraId="52C2176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205</w:t>
            </w:r>
          </w:p>
        </w:tc>
        <w:tc>
          <w:tcPr>
            <w:tcW w:w="1533" w:type="dxa"/>
            <w:tcBorders>
              <w:top w:val="single" w:sz="6" w:space="0" w:color="auto"/>
              <w:bottom w:val="single" w:sz="6" w:space="0" w:color="auto"/>
            </w:tcBorders>
          </w:tcPr>
          <w:p w14:paraId="7B08F76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w:t>
            </w:r>
          </w:p>
        </w:tc>
        <w:tc>
          <w:tcPr>
            <w:tcW w:w="1583" w:type="dxa"/>
            <w:tcBorders>
              <w:top w:val="single" w:sz="6" w:space="0" w:color="auto"/>
              <w:bottom w:val="single" w:sz="6" w:space="0" w:color="auto"/>
            </w:tcBorders>
          </w:tcPr>
          <w:p w14:paraId="2209111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w:t>
            </w:r>
          </w:p>
        </w:tc>
      </w:tr>
      <w:tr w:rsidR="00CD0355" w:rsidRPr="001531CD" w14:paraId="28A6F1C9" w14:textId="77777777" w:rsidTr="00CD0355">
        <w:trPr>
          <w:cantSplit/>
          <w:jc w:val="center"/>
        </w:trPr>
        <w:tc>
          <w:tcPr>
            <w:tcW w:w="1821" w:type="dxa"/>
            <w:tcBorders>
              <w:top w:val="single" w:sz="6" w:space="0" w:color="auto"/>
              <w:bottom w:val="single" w:sz="6" w:space="0" w:color="auto"/>
            </w:tcBorders>
          </w:tcPr>
          <w:p w14:paraId="03699E4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165</w:t>
            </w:r>
          </w:p>
        </w:tc>
        <w:tc>
          <w:tcPr>
            <w:tcW w:w="1533" w:type="dxa"/>
            <w:tcBorders>
              <w:top w:val="single" w:sz="6" w:space="0" w:color="auto"/>
              <w:bottom w:val="single" w:sz="6" w:space="0" w:color="auto"/>
            </w:tcBorders>
          </w:tcPr>
          <w:p w14:paraId="05E9624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w:t>
            </w:r>
          </w:p>
        </w:tc>
        <w:tc>
          <w:tcPr>
            <w:tcW w:w="1583" w:type="dxa"/>
            <w:tcBorders>
              <w:top w:val="single" w:sz="6" w:space="0" w:color="auto"/>
              <w:bottom w:val="single" w:sz="6" w:space="0" w:color="auto"/>
            </w:tcBorders>
          </w:tcPr>
          <w:p w14:paraId="656D2EB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w:t>
            </w:r>
          </w:p>
        </w:tc>
      </w:tr>
      <w:tr w:rsidR="00CD0355" w:rsidRPr="001531CD" w14:paraId="4DE05879" w14:textId="77777777" w:rsidTr="00CD0355">
        <w:trPr>
          <w:cantSplit/>
          <w:jc w:val="center"/>
        </w:trPr>
        <w:tc>
          <w:tcPr>
            <w:tcW w:w="1821" w:type="dxa"/>
            <w:tcBorders>
              <w:top w:val="single" w:sz="6" w:space="0" w:color="auto"/>
              <w:bottom w:val="single" w:sz="6" w:space="0" w:color="auto"/>
            </w:tcBorders>
          </w:tcPr>
          <w:p w14:paraId="27967FC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125</w:t>
            </w:r>
          </w:p>
        </w:tc>
        <w:tc>
          <w:tcPr>
            <w:tcW w:w="1533" w:type="dxa"/>
            <w:tcBorders>
              <w:top w:val="single" w:sz="6" w:space="0" w:color="auto"/>
              <w:bottom w:val="single" w:sz="6" w:space="0" w:color="auto"/>
            </w:tcBorders>
          </w:tcPr>
          <w:p w14:paraId="53B1451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14</w:t>
            </w:r>
          </w:p>
        </w:tc>
        <w:tc>
          <w:tcPr>
            <w:tcW w:w="1583" w:type="dxa"/>
            <w:tcBorders>
              <w:top w:val="single" w:sz="6" w:space="0" w:color="auto"/>
              <w:bottom w:val="single" w:sz="6" w:space="0" w:color="auto"/>
            </w:tcBorders>
          </w:tcPr>
          <w:p w14:paraId="52B3917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w:t>
            </w:r>
          </w:p>
        </w:tc>
      </w:tr>
      <w:tr w:rsidR="00CD0355" w:rsidRPr="001531CD" w14:paraId="76A255AE" w14:textId="77777777" w:rsidTr="00CD0355">
        <w:trPr>
          <w:cantSplit/>
          <w:jc w:val="center"/>
        </w:trPr>
        <w:tc>
          <w:tcPr>
            <w:tcW w:w="1821" w:type="dxa"/>
            <w:tcBorders>
              <w:top w:val="single" w:sz="6" w:space="0" w:color="auto"/>
              <w:bottom w:val="single" w:sz="6" w:space="0" w:color="auto"/>
            </w:tcBorders>
          </w:tcPr>
          <w:p w14:paraId="32AEF66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w:t>
            </w:r>
          </w:p>
        </w:tc>
        <w:tc>
          <w:tcPr>
            <w:tcW w:w="1533" w:type="dxa"/>
            <w:tcBorders>
              <w:top w:val="single" w:sz="6" w:space="0" w:color="auto"/>
              <w:bottom w:val="single" w:sz="6" w:space="0" w:color="auto"/>
            </w:tcBorders>
          </w:tcPr>
          <w:p w14:paraId="7D30464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16</w:t>
            </w:r>
          </w:p>
        </w:tc>
        <w:tc>
          <w:tcPr>
            <w:tcW w:w="1583" w:type="dxa"/>
            <w:tcBorders>
              <w:top w:val="single" w:sz="6" w:space="0" w:color="auto"/>
              <w:bottom w:val="single" w:sz="6" w:space="0" w:color="auto"/>
            </w:tcBorders>
          </w:tcPr>
          <w:p w14:paraId="40040E3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w:t>
            </w:r>
          </w:p>
        </w:tc>
      </w:tr>
      <w:tr w:rsidR="00CD0355" w:rsidRPr="001531CD" w14:paraId="3137993B" w14:textId="77777777" w:rsidTr="00CD0355">
        <w:trPr>
          <w:cantSplit/>
          <w:jc w:val="center"/>
        </w:trPr>
        <w:tc>
          <w:tcPr>
            <w:tcW w:w="1821" w:type="dxa"/>
            <w:tcBorders>
              <w:top w:val="single" w:sz="6" w:space="0" w:color="auto"/>
              <w:bottom w:val="double" w:sz="6" w:space="0" w:color="000000"/>
            </w:tcBorders>
          </w:tcPr>
          <w:p w14:paraId="4CBDDE2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c>
          <w:tcPr>
            <w:tcW w:w="1533" w:type="dxa"/>
            <w:tcBorders>
              <w:top w:val="single" w:sz="6" w:space="0" w:color="auto"/>
              <w:bottom w:val="double" w:sz="6" w:space="0" w:color="000000"/>
            </w:tcBorders>
          </w:tcPr>
          <w:p w14:paraId="2B009EB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 xml:space="preserve">  </w:t>
            </w:r>
          </w:p>
        </w:tc>
        <w:tc>
          <w:tcPr>
            <w:tcW w:w="1583" w:type="dxa"/>
            <w:tcBorders>
              <w:top w:val="single" w:sz="6" w:space="0" w:color="auto"/>
              <w:bottom w:val="double" w:sz="6" w:space="0" w:color="000000"/>
            </w:tcBorders>
          </w:tcPr>
          <w:p w14:paraId="51D69C50"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w:t>
            </w:r>
          </w:p>
        </w:tc>
      </w:tr>
    </w:tbl>
    <w:p w14:paraId="3CFE430D" w14:textId="77777777" w:rsidR="00CD0355" w:rsidRPr="001531CD" w:rsidRDefault="00CD0355" w:rsidP="00CD0355">
      <w:pPr>
        <w:tabs>
          <w:tab w:val="left" w:pos="907"/>
          <w:tab w:val="left" w:pos="4500"/>
          <w:tab w:val="left" w:pos="4680"/>
          <w:tab w:val="left" w:pos="4860"/>
          <w:tab w:val="left" w:pos="5040"/>
          <w:tab w:val="left" w:pos="7200"/>
        </w:tabs>
        <w:ind w:firstLine="547"/>
        <w:jc w:val="both"/>
        <w:outlineLvl w:val="5"/>
        <w:rPr>
          <w:sz w:val="20"/>
        </w:rPr>
      </w:pPr>
    </w:p>
    <w:p w14:paraId="015F22AB" w14:textId="77777777" w:rsidR="00CD0355" w:rsidRPr="001531CD" w:rsidRDefault="00CD0355" w:rsidP="00CD0355">
      <w:pPr>
        <w:pStyle w:val="a0"/>
      </w:pPr>
      <w:r w:rsidRPr="001531CD">
        <w:t>a.</w:t>
      </w:r>
      <w:r w:rsidRPr="001531CD">
        <w:tab/>
        <w:t>The above isolation requirements do not apply to crossing fields when the same male or pollen parent is used in each. In such cases the two fields must be clearly divided by use of an area not less than 14 feet or a natural boundary which is permanent and distinctive (e.g., ditch, road, headland, etc.).</w:t>
      </w:r>
    </w:p>
    <w:p w14:paraId="39C19E89" w14:textId="77777777" w:rsidR="00CD0355" w:rsidRPr="001531CD" w:rsidRDefault="00CD0355" w:rsidP="00CD0355">
      <w:pPr>
        <w:pStyle w:val="1"/>
      </w:pPr>
      <w:r w:rsidRPr="001531CD">
        <w:t>4.</w:t>
      </w:r>
      <w:r w:rsidRPr="001531CD">
        <w:tab/>
        <w:t>Detasseling</w:t>
      </w:r>
    </w:p>
    <w:p w14:paraId="53EBD240" w14:textId="77777777" w:rsidR="00CD0355" w:rsidRPr="001531CD" w:rsidRDefault="00CD0355" w:rsidP="00CD0355">
      <w:pPr>
        <w:pStyle w:val="a0"/>
      </w:pPr>
      <w:r w:rsidRPr="001531CD">
        <w:t>a.</w:t>
      </w:r>
      <w:r w:rsidRPr="001531CD">
        <w:tab/>
        <w:t>A commercial hybrid will be disqualified for certification when 5 percent or more of the female seed parent plants have receptive silk:</w:t>
      </w:r>
    </w:p>
    <w:p w14:paraId="18EDB672" w14:textId="77777777" w:rsidR="00CD0355" w:rsidRPr="001531CD" w:rsidRDefault="00CD0355" w:rsidP="00CD0355">
      <w:pPr>
        <w:pStyle w:val="i0"/>
      </w:pPr>
      <w:r w:rsidRPr="001531CD">
        <w:tab/>
        <w:t>i.</w:t>
      </w:r>
      <w:r w:rsidRPr="001531CD">
        <w:tab/>
        <w:t>if more than 1 percent of the female seed parent plants have shed pollen on one inspection; or</w:t>
      </w:r>
    </w:p>
    <w:p w14:paraId="727CFB0B" w14:textId="77777777" w:rsidR="00CD0355" w:rsidRPr="001531CD" w:rsidRDefault="00CD0355" w:rsidP="00CD0355">
      <w:pPr>
        <w:pStyle w:val="i0"/>
      </w:pPr>
      <w:r w:rsidRPr="001531CD">
        <w:tab/>
        <w:t>ii.</w:t>
      </w:r>
      <w:r w:rsidRPr="001531CD">
        <w:tab/>
        <w:t>if a total of 2 percent of the female seed parent plants have shed pollen on three inspections.</w:t>
      </w:r>
    </w:p>
    <w:p w14:paraId="3FB7C7B6" w14:textId="77777777" w:rsidR="00CD0355" w:rsidRPr="001531CD" w:rsidRDefault="00CD0355" w:rsidP="00CD0355">
      <w:pPr>
        <w:pStyle w:val="a0"/>
      </w:pPr>
      <w:r w:rsidRPr="00D55B14">
        <w:t>b.</w:t>
      </w:r>
      <w:r w:rsidRPr="00D55B14">
        <w:tab/>
        <w:t>Sucker tassels, portions of tassels or tassels on main plants will be counted as shedding pollen when 2 inches or more of the central stem, the side branches, or a combination of the two have anthers extended from the glumes. In cases where a few silks are out and tassels of the seed parent have begun to shed pollen, the field can be approved by immediate and complete detasseling of the seed parent and removal of the ear shoots with exposed silks, if done to the satisfaction of LDAF.</w:t>
      </w:r>
    </w:p>
    <w:p w14:paraId="08756E8E" w14:textId="77777777" w:rsidR="00CD0355" w:rsidRPr="001531CD" w:rsidRDefault="00CD0355" w:rsidP="00CD0355">
      <w:pPr>
        <w:pStyle w:val="A"/>
      </w:pPr>
      <w:r w:rsidRPr="001531CD">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658"/>
        <w:gridCol w:w="2192"/>
      </w:tblGrid>
      <w:tr w:rsidR="00CD0355" w:rsidRPr="00DA314E" w14:paraId="7E45C41D" w14:textId="77777777" w:rsidTr="00CD0355">
        <w:trPr>
          <w:cantSplit/>
          <w:jc w:val="center"/>
        </w:trPr>
        <w:tc>
          <w:tcPr>
            <w:tcW w:w="2704" w:type="dxa"/>
            <w:tcBorders>
              <w:top w:val="double" w:sz="6" w:space="0" w:color="000000"/>
              <w:bottom w:val="single" w:sz="6" w:space="0" w:color="auto"/>
            </w:tcBorders>
            <w:shd w:val="clear" w:color="auto" w:fill="BFBFBF"/>
          </w:tcPr>
          <w:p w14:paraId="1C1F0478" w14:textId="77777777"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2230" w:type="dxa"/>
            <w:tcBorders>
              <w:top w:val="double" w:sz="6" w:space="0" w:color="000000"/>
              <w:bottom w:val="single" w:sz="6" w:space="0" w:color="auto"/>
            </w:tcBorders>
            <w:shd w:val="clear" w:color="auto" w:fill="BFBFBF"/>
          </w:tcPr>
          <w:p w14:paraId="6CFB42FD"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 Class</w:t>
            </w:r>
          </w:p>
        </w:tc>
      </w:tr>
      <w:tr w:rsidR="00CD0355" w:rsidRPr="00DA314E" w14:paraId="47617175" w14:textId="77777777" w:rsidTr="00CD0355">
        <w:trPr>
          <w:cantSplit/>
          <w:jc w:val="center"/>
        </w:trPr>
        <w:tc>
          <w:tcPr>
            <w:tcW w:w="2704" w:type="dxa"/>
            <w:tcBorders>
              <w:top w:val="single" w:sz="6" w:space="0" w:color="auto"/>
            </w:tcBorders>
          </w:tcPr>
          <w:p w14:paraId="5581956E"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2230" w:type="dxa"/>
            <w:tcBorders>
              <w:top w:val="single" w:sz="6" w:space="0" w:color="auto"/>
            </w:tcBorders>
          </w:tcPr>
          <w:p w14:paraId="674E716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DA314E" w14:paraId="2413347F" w14:textId="77777777" w:rsidTr="00CD0355">
        <w:trPr>
          <w:cantSplit/>
          <w:jc w:val="center"/>
        </w:trPr>
        <w:tc>
          <w:tcPr>
            <w:tcW w:w="2704" w:type="dxa"/>
          </w:tcPr>
          <w:p w14:paraId="004A64B5"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2230" w:type="dxa"/>
          </w:tcPr>
          <w:p w14:paraId="4106270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DA314E" w14:paraId="5DEFF7C4" w14:textId="77777777" w:rsidTr="00CD0355">
        <w:trPr>
          <w:cantSplit/>
          <w:jc w:val="center"/>
        </w:trPr>
        <w:tc>
          <w:tcPr>
            <w:tcW w:w="2704" w:type="dxa"/>
          </w:tcPr>
          <w:p w14:paraId="0FD1B9EA"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2230" w:type="dxa"/>
          </w:tcPr>
          <w:p w14:paraId="7BD60E4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14:paraId="118FC184" w14:textId="77777777" w:rsidTr="00CD0355">
        <w:trPr>
          <w:cantSplit/>
          <w:jc w:val="center"/>
        </w:trPr>
        <w:tc>
          <w:tcPr>
            <w:tcW w:w="2704" w:type="dxa"/>
          </w:tcPr>
          <w:p w14:paraId="5A00F8D6"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Other Weeds</w:t>
            </w:r>
          </w:p>
        </w:tc>
        <w:tc>
          <w:tcPr>
            <w:tcW w:w="2230" w:type="dxa"/>
          </w:tcPr>
          <w:p w14:paraId="7257136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DA314E" w14:paraId="15C71B18" w14:textId="77777777" w:rsidTr="00CD0355">
        <w:trPr>
          <w:cantSplit/>
          <w:jc w:val="center"/>
        </w:trPr>
        <w:tc>
          <w:tcPr>
            <w:tcW w:w="2704" w:type="dxa"/>
          </w:tcPr>
          <w:p w14:paraId="52FFA4DE"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Off-Color, Off-Type Kernels</w:t>
            </w:r>
          </w:p>
        </w:tc>
        <w:tc>
          <w:tcPr>
            <w:tcW w:w="2230" w:type="dxa"/>
          </w:tcPr>
          <w:p w14:paraId="3464B02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r>
      <w:tr w:rsidR="00CD0355" w:rsidRPr="00DA314E" w14:paraId="63003D4F" w14:textId="77777777" w:rsidTr="00CD0355">
        <w:trPr>
          <w:cantSplit/>
          <w:jc w:val="center"/>
        </w:trPr>
        <w:tc>
          <w:tcPr>
            <w:tcW w:w="2704" w:type="dxa"/>
            <w:tcBorders>
              <w:bottom w:val="double" w:sz="6" w:space="0" w:color="000000"/>
            </w:tcBorders>
          </w:tcPr>
          <w:p w14:paraId="12672769"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2230" w:type="dxa"/>
            <w:tcBorders>
              <w:bottom w:val="double" w:sz="6" w:space="0" w:color="000000"/>
            </w:tcBorders>
          </w:tcPr>
          <w:p w14:paraId="1A5FA9C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r>
    </w:tbl>
    <w:p w14:paraId="1B3CE4A1" w14:textId="77777777" w:rsidR="00CD0355" w:rsidRPr="001531CD" w:rsidRDefault="00CD0355" w:rsidP="00CD0355">
      <w:pPr>
        <w:pStyle w:val="A"/>
        <w:spacing w:after="0"/>
      </w:pPr>
    </w:p>
    <w:p w14:paraId="0A1BC1AB" w14:textId="77777777" w:rsidR="00CD0355" w:rsidRPr="001531CD" w:rsidRDefault="00CD0355" w:rsidP="00CD0355">
      <w:pPr>
        <w:pStyle w:val="AuthorityNote"/>
      </w:pPr>
      <w:r w:rsidRPr="001531CD">
        <w:t>AUTHORITY NOTE:</w:t>
      </w:r>
      <w:r w:rsidRPr="001531CD">
        <w:tab/>
        <w:t>Promulgated in accordance with R.S. 3:1433.</w:t>
      </w:r>
    </w:p>
    <w:p w14:paraId="65E1740B" w14:textId="77777777" w:rsidR="00CD0355" w:rsidRPr="001531CD" w:rsidRDefault="00CD0355" w:rsidP="00CD0355">
      <w:pPr>
        <w:pStyle w:val="HistoricalNote"/>
      </w:pPr>
      <w:r w:rsidRPr="001531CD">
        <w:t>HISTORICAL NOTE:</w:t>
      </w:r>
      <w:r w:rsidRPr="001531CD">
        <w:tab/>
        <w:t>Promulgated by the Department of Agriculture, Seed Commission, LR 8:572 (November l982), amended LR 9:197 (April l983), amended by the Department of Agriculture and Forestry, Office of Agricultural and Environmental Sciences, Seed Commission, LR 12:825 (December l986), LR 13:156 (March 1987), repromulgated LR 13:232 (April l987), amended LR 15:613 (August 1989), LR 20:643 (June 1994), repromulgated by the Department of Agriculture and Forestry, Office of Agricultural and Environmental Sciences, Agricultural Chemistry and Seed Commis</w:t>
      </w:r>
      <w:r>
        <w:t>sion, LR 39:2723 (October 2013), amended LR 40:755 (April 2014), repromulgated LR 40:993 (May 2014).</w:t>
      </w:r>
    </w:p>
    <w:p w14:paraId="152DA94F" w14:textId="77777777" w:rsidR="00CD0355" w:rsidRPr="001531CD" w:rsidRDefault="00CD0355" w:rsidP="00CD0355">
      <w:pPr>
        <w:pStyle w:val="Section"/>
      </w:pPr>
      <w:bookmarkStart w:id="1163" w:name="_Toc224818811"/>
      <w:r w:rsidRPr="001531CD">
        <w:t>§745.</w:t>
      </w:r>
      <w:r w:rsidRPr="001531CD">
        <w:tab/>
        <w:t>Seed Corn (Open-Pollinated) Seed Certification Standards</w:t>
      </w:r>
      <w:bookmarkEnd w:id="1163"/>
      <w:r w:rsidRPr="001531CD">
        <w:t xml:space="preserve"> </w:t>
      </w:r>
    </w:p>
    <w:p w14:paraId="13C4F0FA" w14:textId="77777777" w:rsidR="00CD0355" w:rsidRPr="001531CD" w:rsidRDefault="00CD0355" w:rsidP="00CD0355">
      <w:pPr>
        <w:pStyle w:val="A"/>
      </w:pPr>
      <w:r w:rsidRPr="001531CD">
        <w:t>A.</w:t>
      </w:r>
      <w:r w:rsidRPr="001531CD">
        <w:tab/>
        <w:t>Field Standards</w:t>
      </w:r>
    </w:p>
    <w:tbl>
      <w:tblPr>
        <w:tblW w:w="5029"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059"/>
        <w:gridCol w:w="1041"/>
        <w:gridCol w:w="945"/>
        <w:gridCol w:w="984"/>
      </w:tblGrid>
      <w:tr w:rsidR="00CD0355" w:rsidRPr="00DA314E" w14:paraId="117EB36C" w14:textId="77777777" w:rsidTr="00CD0355">
        <w:trPr>
          <w:cantSplit/>
          <w:jc w:val="center"/>
        </w:trPr>
        <w:tc>
          <w:tcPr>
            <w:tcW w:w="2059" w:type="dxa"/>
            <w:tcBorders>
              <w:top w:val="double" w:sz="6" w:space="0" w:color="000000"/>
              <w:bottom w:val="single" w:sz="6" w:space="0" w:color="auto"/>
            </w:tcBorders>
            <w:shd w:val="clear" w:color="auto" w:fill="BFBFBF"/>
          </w:tcPr>
          <w:p w14:paraId="055D5FEB"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41" w:type="dxa"/>
            <w:tcBorders>
              <w:top w:val="double" w:sz="6" w:space="0" w:color="000000"/>
              <w:bottom w:val="single" w:sz="6" w:space="0" w:color="auto"/>
            </w:tcBorders>
            <w:shd w:val="clear" w:color="auto" w:fill="BFBFBF"/>
          </w:tcPr>
          <w:p w14:paraId="6A357D9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tcBorders>
              <w:top w:val="double" w:sz="6" w:space="0" w:color="000000"/>
              <w:bottom w:val="single" w:sz="6" w:space="0" w:color="auto"/>
            </w:tcBorders>
            <w:shd w:val="clear" w:color="auto" w:fill="BFBFBF"/>
          </w:tcPr>
          <w:p w14:paraId="211F9459"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84" w:type="dxa"/>
            <w:tcBorders>
              <w:top w:val="double" w:sz="6" w:space="0" w:color="000000"/>
              <w:bottom w:val="single" w:sz="6" w:space="0" w:color="auto"/>
            </w:tcBorders>
            <w:shd w:val="clear" w:color="auto" w:fill="BFBFBF"/>
          </w:tcPr>
          <w:p w14:paraId="538ADE4B"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DA314E" w14:paraId="41F97371" w14:textId="77777777" w:rsidTr="00CD0355">
        <w:trPr>
          <w:cantSplit/>
          <w:jc w:val="center"/>
        </w:trPr>
        <w:tc>
          <w:tcPr>
            <w:tcW w:w="2059" w:type="dxa"/>
            <w:tcBorders>
              <w:top w:val="single" w:sz="6" w:space="0" w:color="auto"/>
            </w:tcBorders>
          </w:tcPr>
          <w:p w14:paraId="44B5F759" w14:textId="77777777" w:rsidR="00CD0355" w:rsidRPr="001531CD" w:rsidRDefault="00CD0355" w:rsidP="00CD0355">
            <w:pPr>
              <w:tabs>
                <w:tab w:val="left" w:pos="180"/>
                <w:tab w:val="left" w:pos="360"/>
                <w:tab w:val="left" w:pos="5940"/>
                <w:tab w:val="left" w:pos="8640"/>
              </w:tabs>
              <w:rPr>
                <w:sz w:val="16"/>
                <w:szCs w:val="16"/>
              </w:rPr>
            </w:pPr>
            <w:r w:rsidRPr="00DA314E">
              <w:rPr>
                <w:sz w:val="16"/>
                <w:szCs w:val="16"/>
                <w:vertAlign w:val="superscript"/>
              </w:rPr>
              <w:t>*</w:t>
            </w:r>
            <w:r w:rsidRPr="001531CD">
              <w:rPr>
                <w:sz w:val="16"/>
                <w:szCs w:val="16"/>
              </w:rPr>
              <w:t>Isolation</w:t>
            </w:r>
          </w:p>
        </w:tc>
        <w:tc>
          <w:tcPr>
            <w:tcW w:w="1041" w:type="dxa"/>
            <w:tcBorders>
              <w:top w:val="single" w:sz="6" w:space="0" w:color="auto"/>
            </w:tcBorders>
          </w:tcPr>
          <w:p w14:paraId="13DEE54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c>
          <w:tcPr>
            <w:tcW w:w="945" w:type="dxa"/>
            <w:tcBorders>
              <w:top w:val="single" w:sz="6" w:space="0" w:color="auto"/>
            </w:tcBorders>
          </w:tcPr>
          <w:p w14:paraId="690DB2D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c>
          <w:tcPr>
            <w:tcW w:w="984" w:type="dxa"/>
            <w:tcBorders>
              <w:top w:val="single" w:sz="6" w:space="0" w:color="auto"/>
            </w:tcBorders>
          </w:tcPr>
          <w:p w14:paraId="4D94010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r>
      <w:tr w:rsidR="00CD0355" w:rsidRPr="00DA314E" w14:paraId="154AE125" w14:textId="77777777" w:rsidTr="00CD0355">
        <w:trPr>
          <w:cantSplit/>
          <w:jc w:val="center"/>
        </w:trPr>
        <w:tc>
          <w:tcPr>
            <w:tcW w:w="2059" w:type="dxa"/>
          </w:tcPr>
          <w:p w14:paraId="19CE8B79"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41" w:type="dxa"/>
          </w:tcPr>
          <w:p w14:paraId="23C9572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14:paraId="7E20735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84" w:type="dxa"/>
          </w:tcPr>
          <w:p w14:paraId="3DF5AF1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14:paraId="3E3A83C1" w14:textId="77777777" w:rsidTr="00CD0355">
        <w:trPr>
          <w:cantSplit/>
          <w:jc w:val="center"/>
        </w:trPr>
        <w:tc>
          <w:tcPr>
            <w:tcW w:w="2059" w:type="dxa"/>
          </w:tcPr>
          <w:p w14:paraId="74AC0F7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Off-type Plants</w:t>
            </w:r>
          </w:p>
        </w:tc>
        <w:tc>
          <w:tcPr>
            <w:tcW w:w="1041" w:type="dxa"/>
          </w:tcPr>
          <w:p w14:paraId="07DA764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945" w:type="dxa"/>
          </w:tcPr>
          <w:p w14:paraId="62F8CCE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984" w:type="dxa"/>
          </w:tcPr>
          <w:p w14:paraId="7DDA63F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14:paraId="753031BF" w14:textId="77777777" w:rsidTr="00CD0355">
        <w:trPr>
          <w:cantSplit/>
          <w:jc w:val="center"/>
        </w:trPr>
        <w:tc>
          <w:tcPr>
            <w:tcW w:w="5029" w:type="dxa"/>
            <w:gridSpan w:val="4"/>
            <w:tcBorders>
              <w:bottom w:val="double" w:sz="6" w:space="0" w:color="000000"/>
            </w:tcBorders>
          </w:tcPr>
          <w:p w14:paraId="65DD486C" w14:textId="77777777" w:rsidR="00CD0355" w:rsidRPr="001531CD" w:rsidRDefault="00CD0355" w:rsidP="00CD0355">
            <w:pPr>
              <w:tabs>
                <w:tab w:val="left" w:pos="180"/>
                <w:tab w:val="left" w:pos="360"/>
                <w:tab w:val="left" w:pos="5940"/>
                <w:tab w:val="left" w:pos="8640"/>
              </w:tabs>
              <w:rPr>
                <w:sz w:val="16"/>
                <w:szCs w:val="16"/>
              </w:rPr>
            </w:pPr>
            <w:r w:rsidRPr="00DA314E">
              <w:rPr>
                <w:sz w:val="16"/>
                <w:szCs w:val="16"/>
                <w:vertAlign w:val="superscript"/>
              </w:rPr>
              <w:t>*</w:t>
            </w:r>
            <w:r w:rsidRPr="001531CD">
              <w:rPr>
                <w:sz w:val="16"/>
                <w:szCs w:val="16"/>
              </w:rPr>
              <w:t>Does not apply to other corn with different maturity dates.</w:t>
            </w:r>
          </w:p>
        </w:tc>
      </w:tr>
    </w:tbl>
    <w:p w14:paraId="54F15669" w14:textId="77777777" w:rsidR="00CD0355" w:rsidRPr="001531CD" w:rsidRDefault="00CD0355" w:rsidP="00CD0355">
      <w:pPr>
        <w:pStyle w:val="A"/>
        <w:spacing w:after="0"/>
      </w:pPr>
    </w:p>
    <w:p w14:paraId="498CD4E2" w14:textId="77777777" w:rsidR="00CD0355" w:rsidRPr="001531CD" w:rsidRDefault="00CD0355" w:rsidP="00CD0355">
      <w:pPr>
        <w:pStyle w:val="A"/>
      </w:pPr>
      <w:r w:rsidRPr="001531CD">
        <w:t>B.</w:t>
      </w:r>
      <w:r w:rsidRPr="001531CD">
        <w:tab/>
        <w:t>Seed Standards</w:t>
      </w:r>
    </w:p>
    <w:tbl>
      <w:tblPr>
        <w:tblW w:w="5013"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021"/>
        <w:gridCol w:w="1103"/>
        <w:gridCol w:w="945"/>
        <w:gridCol w:w="944"/>
      </w:tblGrid>
      <w:tr w:rsidR="00CD0355" w:rsidRPr="00DA314E" w14:paraId="567C6841" w14:textId="77777777" w:rsidTr="00CD0355">
        <w:trPr>
          <w:cantSplit/>
          <w:tblHeader/>
          <w:jc w:val="center"/>
        </w:trPr>
        <w:tc>
          <w:tcPr>
            <w:tcW w:w="2021" w:type="dxa"/>
            <w:tcBorders>
              <w:top w:val="double" w:sz="6" w:space="0" w:color="000000"/>
              <w:bottom w:val="single" w:sz="6" w:space="0" w:color="auto"/>
            </w:tcBorders>
            <w:shd w:val="clear" w:color="auto" w:fill="BFBFBF"/>
          </w:tcPr>
          <w:p w14:paraId="3ACFBAAB"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103" w:type="dxa"/>
            <w:tcBorders>
              <w:top w:val="double" w:sz="6" w:space="0" w:color="000000"/>
              <w:bottom w:val="single" w:sz="6" w:space="0" w:color="auto"/>
            </w:tcBorders>
            <w:shd w:val="clear" w:color="auto" w:fill="BFBFBF"/>
          </w:tcPr>
          <w:p w14:paraId="4E39006C"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tcBorders>
              <w:top w:val="double" w:sz="6" w:space="0" w:color="000000"/>
              <w:bottom w:val="single" w:sz="6" w:space="0" w:color="auto"/>
            </w:tcBorders>
            <w:shd w:val="clear" w:color="auto" w:fill="BFBFBF"/>
          </w:tcPr>
          <w:p w14:paraId="7BD201F4"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44" w:type="dxa"/>
            <w:tcBorders>
              <w:top w:val="double" w:sz="6" w:space="0" w:color="000000"/>
              <w:bottom w:val="single" w:sz="6" w:space="0" w:color="auto"/>
            </w:tcBorders>
            <w:shd w:val="clear" w:color="auto" w:fill="BFBFBF"/>
          </w:tcPr>
          <w:p w14:paraId="42A1DBDC"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DA314E" w14:paraId="43534A11" w14:textId="77777777" w:rsidTr="00CD0355">
        <w:trPr>
          <w:cantSplit/>
          <w:jc w:val="center"/>
        </w:trPr>
        <w:tc>
          <w:tcPr>
            <w:tcW w:w="2021" w:type="dxa"/>
            <w:tcBorders>
              <w:top w:val="single" w:sz="6" w:space="0" w:color="auto"/>
            </w:tcBorders>
          </w:tcPr>
          <w:p w14:paraId="7DB85D9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03" w:type="dxa"/>
            <w:tcBorders>
              <w:top w:val="single" w:sz="6" w:space="0" w:color="auto"/>
            </w:tcBorders>
          </w:tcPr>
          <w:p w14:paraId="24EADA0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45" w:type="dxa"/>
            <w:tcBorders>
              <w:top w:val="single" w:sz="6" w:space="0" w:color="auto"/>
            </w:tcBorders>
          </w:tcPr>
          <w:p w14:paraId="60BBCBC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44" w:type="dxa"/>
            <w:tcBorders>
              <w:top w:val="single" w:sz="6" w:space="0" w:color="auto"/>
            </w:tcBorders>
          </w:tcPr>
          <w:p w14:paraId="1F84C3A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DA314E" w14:paraId="47ACEF3F" w14:textId="77777777" w:rsidTr="00CD0355">
        <w:trPr>
          <w:cantSplit/>
          <w:jc w:val="center"/>
        </w:trPr>
        <w:tc>
          <w:tcPr>
            <w:tcW w:w="2021" w:type="dxa"/>
          </w:tcPr>
          <w:p w14:paraId="6D4D4AEF"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03" w:type="dxa"/>
          </w:tcPr>
          <w:p w14:paraId="4940AE1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5" w:type="dxa"/>
          </w:tcPr>
          <w:p w14:paraId="51632DD3"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4" w:type="dxa"/>
          </w:tcPr>
          <w:p w14:paraId="64E1DB7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DA314E" w14:paraId="3054B218" w14:textId="77777777" w:rsidTr="00CD0355">
        <w:trPr>
          <w:cantSplit/>
          <w:jc w:val="center"/>
        </w:trPr>
        <w:tc>
          <w:tcPr>
            <w:tcW w:w="2021" w:type="dxa"/>
          </w:tcPr>
          <w:p w14:paraId="5063124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03" w:type="dxa"/>
          </w:tcPr>
          <w:p w14:paraId="03C06E0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14:paraId="0849ECA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14:paraId="17083136"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r>
      <w:tr w:rsidR="00CD0355" w:rsidRPr="00DA314E" w14:paraId="564B13C2" w14:textId="77777777" w:rsidTr="00CD0355">
        <w:trPr>
          <w:cantSplit/>
          <w:jc w:val="center"/>
        </w:trPr>
        <w:tc>
          <w:tcPr>
            <w:tcW w:w="2021" w:type="dxa"/>
          </w:tcPr>
          <w:p w14:paraId="3C411584"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lastRenderedPageBreak/>
              <w:t>Other Varieties</w:t>
            </w:r>
          </w:p>
        </w:tc>
        <w:tc>
          <w:tcPr>
            <w:tcW w:w="1103" w:type="dxa"/>
          </w:tcPr>
          <w:p w14:paraId="27E337C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14:paraId="52DFAA6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14:paraId="699A0F55"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seed/lb.</w:t>
            </w:r>
          </w:p>
        </w:tc>
      </w:tr>
      <w:tr w:rsidR="00CD0355" w:rsidRPr="00DA314E" w14:paraId="148E19D1" w14:textId="77777777" w:rsidTr="00CD0355">
        <w:trPr>
          <w:cantSplit/>
          <w:jc w:val="center"/>
        </w:trPr>
        <w:tc>
          <w:tcPr>
            <w:tcW w:w="2021" w:type="dxa"/>
          </w:tcPr>
          <w:p w14:paraId="1941D83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Other Weeds</w:t>
            </w:r>
          </w:p>
        </w:tc>
        <w:tc>
          <w:tcPr>
            <w:tcW w:w="1103" w:type="dxa"/>
          </w:tcPr>
          <w:p w14:paraId="0E0F73B2"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14:paraId="01D6275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14:paraId="0FB1015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DA314E" w14:paraId="40A6CC69" w14:textId="77777777" w:rsidTr="00CD0355">
        <w:trPr>
          <w:cantSplit/>
          <w:jc w:val="center"/>
        </w:trPr>
        <w:tc>
          <w:tcPr>
            <w:tcW w:w="2021" w:type="dxa"/>
            <w:tcBorders>
              <w:bottom w:val="double" w:sz="6" w:space="0" w:color="000000"/>
            </w:tcBorders>
          </w:tcPr>
          <w:p w14:paraId="2A8126E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03" w:type="dxa"/>
            <w:tcBorders>
              <w:bottom w:val="double" w:sz="6" w:space="0" w:color="000000"/>
            </w:tcBorders>
          </w:tcPr>
          <w:p w14:paraId="37BEBD7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45" w:type="dxa"/>
            <w:tcBorders>
              <w:bottom w:val="double" w:sz="6" w:space="0" w:color="000000"/>
            </w:tcBorders>
          </w:tcPr>
          <w:p w14:paraId="2B78667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44" w:type="dxa"/>
            <w:tcBorders>
              <w:bottom w:val="double" w:sz="6" w:space="0" w:color="000000"/>
            </w:tcBorders>
          </w:tcPr>
          <w:p w14:paraId="4500897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14:paraId="59FCAFBC" w14:textId="77777777" w:rsidR="00CD0355" w:rsidRPr="001531CD" w:rsidRDefault="00CD0355" w:rsidP="00CD0355">
      <w:pPr>
        <w:tabs>
          <w:tab w:val="left" w:pos="180"/>
          <w:tab w:val="left" w:pos="360"/>
          <w:tab w:val="left" w:pos="5940"/>
          <w:tab w:val="left" w:pos="8640"/>
        </w:tabs>
        <w:rPr>
          <w:sz w:val="20"/>
        </w:rPr>
      </w:pPr>
    </w:p>
    <w:p w14:paraId="4DEEA619" w14:textId="77777777" w:rsidR="00CD0355" w:rsidRPr="001531CD" w:rsidRDefault="00CD0355" w:rsidP="00CD0355">
      <w:pPr>
        <w:pStyle w:val="AuthorityNote"/>
      </w:pPr>
      <w:r w:rsidRPr="001531CD">
        <w:t>AUTHORITY NOTE:</w:t>
      </w:r>
      <w:r w:rsidRPr="001531CD">
        <w:tab/>
        <w:t>Promulgated in accordance with R.S. 3:1433.</w:t>
      </w:r>
    </w:p>
    <w:p w14:paraId="5766EF03" w14:textId="77777777" w:rsidR="00CD0355" w:rsidRPr="001531CD" w:rsidRDefault="00CD0355" w:rsidP="00CD0355">
      <w:pPr>
        <w:pStyle w:val="HistoricalNote"/>
      </w:pPr>
      <w:r w:rsidRPr="001531CD">
        <w:t>HISTORICAL NOTE:</w:t>
      </w:r>
      <w:r w:rsidRPr="001531CD">
        <w:tab/>
        <w:t>Promulgated by the Department of Agriculture, Seed Commission, LR 8:574 (November l982), amended LR 9:197 (April l983), amended by the Department of Agriculture and Forestry, Office of Agricultural and Environmental Sciences, Seed Commission, LR 12:200 (December l986), LR 23:1284 (October 1997), repromulgated by the Department of Agriculture and Forestry, Office of Agricultural and Environmental Sciences, Agricultural Chemistry and Seed Commission, LR 39:2724 (October 2013).</w:t>
      </w:r>
    </w:p>
    <w:p w14:paraId="22EC2F71" w14:textId="77777777" w:rsidR="00CD0355" w:rsidRPr="001531CD" w:rsidRDefault="00CD0355" w:rsidP="00CD0355">
      <w:pPr>
        <w:pStyle w:val="Section"/>
      </w:pPr>
      <w:bookmarkStart w:id="1164" w:name="_Toc224818812"/>
      <w:r w:rsidRPr="001531CD">
        <w:t>§747.</w:t>
      </w:r>
      <w:r w:rsidRPr="001531CD">
        <w:tab/>
        <w:t>Millet Seed Certification Standards</w:t>
      </w:r>
      <w:bookmarkEnd w:id="1164"/>
      <w:r w:rsidRPr="001531CD">
        <w:t xml:space="preserve"> </w:t>
      </w:r>
    </w:p>
    <w:p w14:paraId="59E4C45C" w14:textId="77777777" w:rsidR="00CD0355" w:rsidRPr="001531CD" w:rsidRDefault="00CD0355" w:rsidP="00CD0355">
      <w:pPr>
        <w:pStyle w:val="A"/>
      </w:pPr>
      <w:r w:rsidRPr="001531CD">
        <w:t>A.</w:t>
      </w:r>
      <w:r w:rsidRPr="001531CD">
        <w:tab/>
        <w:t>Field Standards</w:t>
      </w:r>
    </w:p>
    <w:tbl>
      <w:tblPr>
        <w:tblW w:w="5120"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1282"/>
        <w:gridCol w:w="1080"/>
        <w:gridCol w:w="1328"/>
        <w:gridCol w:w="1430"/>
      </w:tblGrid>
      <w:tr w:rsidR="00CD0355" w:rsidRPr="001531CD" w14:paraId="3340E676" w14:textId="77777777" w:rsidTr="00CD0355">
        <w:trPr>
          <w:cantSplit/>
          <w:jc w:val="center"/>
        </w:trPr>
        <w:tc>
          <w:tcPr>
            <w:tcW w:w="1282" w:type="dxa"/>
            <w:tcBorders>
              <w:top w:val="double" w:sz="6" w:space="0" w:color="000000"/>
              <w:bottom w:val="single" w:sz="6" w:space="0" w:color="auto"/>
            </w:tcBorders>
            <w:shd w:val="clear" w:color="auto" w:fill="BFBFBF"/>
          </w:tcPr>
          <w:p w14:paraId="384DF41C" w14:textId="77777777" w:rsidR="00CD0355" w:rsidRPr="001531CD" w:rsidRDefault="00CD0355" w:rsidP="00CD0355">
            <w:pPr>
              <w:tabs>
                <w:tab w:val="left" w:pos="180"/>
                <w:tab w:val="left" w:pos="360"/>
                <w:tab w:val="left" w:pos="5940"/>
                <w:tab w:val="left" w:pos="8640"/>
              </w:tabs>
              <w:ind w:left="-129" w:firstLine="90"/>
              <w:jc w:val="center"/>
              <w:rPr>
                <w:b/>
                <w:sz w:val="16"/>
                <w:szCs w:val="16"/>
              </w:rPr>
            </w:pPr>
            <w:r w:rsidRPr="001531CD">
              <w:rPr>
                <w:b/>
                <w:sz w:val="16"/>
                <w:szCs w:val="16"/>
              </w:rPr>
              <w:t>Factor</w:t>
            </w:r>
          </w:p>
        </w:tc>
        <w:tc>
          <w:tcPr>
            <w:tcW w:w="1080" w:type="dxa"/>
            <w:tcBorders>
              <w:top w:val="double" w:sz="6" w:space="0" w:color="000000"/>
              <w:bottom w:val="single" w:sz="6" w:space="0" w:color="auto"/>
            </w:tcBorders>
            <w:shd w:val="clear" w:color="auto" w:fill="BFBFBF"/>
          </w:tcPr>
          <w:p w14:paraId="219AA539" w14:textId="77777777"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Foundation</w:t>
            </w:r>
          </w:p>
        </w:tc>
        <w:tc>
          <w:tcPr>
            <w:tcW w:w="1328" w:type="dxa"/>
            <w:tcBorders>
              <w:top w:val="double" w:sz="6" w:space="0" w:color="000000"/>
              <w:bottom w:val="single" w:sz="6" w:space="0" w:color="auto"/>
            </w:tcBorders>
            <w:shd w:val="clear" w:color="auto" w:fill="BFBFBF"/>
          </w:tcPr>
          <w:p w14:paraId="44C14762" w14:textId="77777777"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Registered</w:t>
            </w:r>
          </w:p>
        </w:tc>
        <w:tc>
          <w:tcPr>
            <w:tcW w:w="1430" w:type="dxa"/>
            <w:tcBorders>
              <w:top w:val="double" w:sz="6" w:space="0" w:color="000000"/>
              <w:bottom w:val="single" w:sz="6" w:space="0" w:color="auto"/>
            </w:tcBorders>
            <w:shd w:val="clear" w:color="auto" w:fill="BFBFBF"/>
          </w:tcPr>
          <w:p w14:paraId="45DC65F9" w14:textId="77777777"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Certified</w:t>
            </w:r>
          </w:p>
        </w:tc>
      </w:tr>
      <w:tr w:rsidR="00CD0355" w:rsidRPr="001531CD" w14:paraId="6E9FBB6C" w14:textId="77777777" w:rsidTr="00CD0355">
        <w:trPr>
          <w:cantSplit/>
          <w:jc w:val="center"/>
        </w:trPr>
        <w:tc>
          <w:tcPr>
            <w:tcW w:w="1282" w:type="dxa"/>
            <w:tcBorders>
              <w:top w:val="single" w:sz="6" w:space="0" w:color="auto"/>
            </w:tcBorders>
            <w:tcMar>
              <w:left w:w="58" w:type="dxa"/>
              <w:right w:w="58" w:type="dxa"/>
            </w:tcMar>
          </w:tcPr>
          <w:p w14:paraId="5BD6110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auto"/>
            </w:tcBorders>
          </w:tcPr>
          <w:p w14:paraId="3E577941" w14:textId="77777777"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1 yr.</w:t>
            </w:r>
          </w:p>
        </w:tc>
        <w:tc>
          <w:tcPr>
            <w:tcW w:w="1328" w:type="dxa"/>
            <w:tcBorders>
              <w:top w:val="single" w:sz="6" w:space="0" w:color="auto"/>
            </w:tcBorders>
          </w:tcPr>
          <w:p w14:paraId="3CD3924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c>
          <w:tcPr>
            <w:tcW w:w="1430" w:type="dxa"/>
            <w:tcBorders>
              <w:top w:val="single" w:sz="6" w:space="0" w:color="auto"/>
            </w:tcBorders>
          </w:tcPr>
          <w:p w14:paraId="1BA045B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r>
      <w:tr w:rsidR="00CD0355" w:rsidRPr="001531CD" w14:paraId="54BB0B7B" w14:textId="77777777" w:rsidTr="00CD0355">
        <w:trPr>
          <w:cantSplit/>
          <w:jc w:val="center"/>
        </w:trPr>
        <w:tc>
          <w:tcPr>
            <w:tcW w:w="1282" w:type="dxa"/>
            <w:tcMar>
              <w:left w:w="58" w:type="dxa"/>
              <w:right w:w="58" w:type="dxa"/>
            </w:tcMar>
          </w:tcPr>
          <w:p w14:paraId="00E609B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14:paraId="140E4456" w14:textId="77777777"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1,320 ft.</w:t>
            </w:r>
          </w:p>
        </w:tc>
        <w:tc>
          <w:tcPr>
            <w:tcW w:w="1328" w:type="dxa"/>
          </w:tcPr>
          <w:p w14:paraId="02604ED8"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1,320 ft.</w:t>
            </w:r>
          </w:p>
        </w:tc>
        <w:tc>
          <w:tcPr>
            <w:tcW w:w="1430" w:type="dxa"/>
          </w:tcPr>
          <w:p w14:paraId="43BD6AE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825 ft.</w:t>
            </w:r>
          </w:p>
        </w:tc>
      </w:tr>
      <w:tr w:rsidR="00CD0355" w:rsidRPr="001531CD" w14:paraId="73C92F72" w14:textId="77777777" w:rsidTr="00CD0355">
        <w:trPr>
          <w:cantSplit/>
          <w:jc w:val="center"/>
        </w:trPr>
        <w:tc>
          <w:tcPr>
            <w:tcW w:w="1282" w:type="dxa"/>
            <w:tcBorders>
              <w:bottom w:val="double" w:sz="6" w:space="0" w:color="000000"/>
            </w:tcBorders>
            <w:tcMar>
              <w:left w:w="58" w:type="dxa"/>
              <w:right w:w="58" w:type="dxa"/>
            </w:tcMar>
            <w:vAlign w:val="bottom"/>
          </w:tcPr>
          <w:p w14:paraId="26B44188"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tcBorders>
              <w:bottom w:val="double" w:sz="6" w:space="0" w:color="000000"/>
            </w:tcBorders>
            <w:vAlign w:val="bottom"/>
          </w:tcPr>
          <w:p w14:paraId="6C42BBB2" w14:textId="77777777"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None</w:t>
            </w:r>
          </w:p>
        </w:tc>
        <w:tc>
          <w:tcPr>
            <w:tcW w:w="1328" w:type="dxa"/>
            <w:tcBorders>
              <w:bottom w:val="double" w:sz="6" w:space="0" w:color="000000"/>
            </w:tcBorders>
            <w:vAlign w:val="bottom"/>
          </w:tcPr>
          <w:p w14:paraId="57278BD5" w14:textId="77777777" w:rsidR="00CD0355" w:rsidRPr="001531CD" w:rsidRDefault="00CD0355" w:rsidP="00CD0355">
            <w:pPr>
              <w:tabs>
                <w:tab w:val="left" w:pos="180"/>
                <w:tab w:val="left" w:pos="360"/>
                <w:tab w:val="left" w:pos="5940"/>
                <w:tab w:val="left" w:pos="8640"/>
              </w:tabs>
              <w:ind w:left="-102"/>
              <w:jc w:val="center"/>
              <w:rPr>
                <w:sz w:val="16"/>
                <w:szCs w:val="16"/>
              </w:rPr>
            </w:pPr>
            <w:r w:rsidRPr="001531CD">
              <w:rPr>
                <w:sz w:val="16"/>
                <w:szCs w:val="16"/>
              </w:rPr>
              <w:t>1 Plant per Acre</w:t>
            </w:r>
          </w:p>
        </w:tc>
        <w:tc>
          <w:tcPr>
            <w:tcW w:w="1430" w:type="dxa"/>
            <w:tcBorders>
              <w:bottom w:val="double" w:sz="6" w:space="0" w:color="000000"/>
            </w:tcBorders>
            <w:vAlign w:val="bottom"/>
          </w:tcPr>
          <w:p w14:paraId="232C4113" w14:textId="77777777" w:rsidR="00CD0355" w:rsidRPr="001531CD" w:rsidRDefault="00CD0355" w:rsidP="00CD0355">
            <w:pPr>
              <w:tabs>
                <w:tab w:val="left" w:pos="180"/>
                <w:tab w:val="left" w:pos="360"/>
                <w:tab w:val="left" w:pos="5940"/>
                <w:tab w:val="left" w:pos="8640"/>
              </w:tabs>
              <w:ind w:left="-102"/>
              <w:jc w:val="center"/>
              <w:rPr>
                <w:sz w:val="16"/>
                <w:szCs w:val="16"/>
              </w:rPr>
            </w:pPr>
            <w:r w:rsidRPr="001531CD">
              <w:rPr>
                <w:sz w:val="16"/>
                <w:szCs w:val="16"/>
              </w:rPr>
              <w:t>10 Plants per Acre</w:t>
            </w:r>
          </w:p>
        </w:tc>
      </w:tr>
    </w:tbl>
    <w:p w14:paraId="082E1570" w14:textId="77777777" w:rsidR="00CD0355" w:rsidRPr="001531CD" w:rsidRDefault="00CD0355" w:rsidP="00CD0355">
      <w:pPr>
        <w:pStyle w:val="A"/>
        <w:spacing w:after="0"/>
      </w:pPr>
    </w:p>
    <w:p w14:paraId="6AF92840" w14:textId="77777777" w:rsidR="00CD0355" w:rsidRPr="001531CD" w:rsidRDefault="00CD0355" w:rsidP="00CD0355">
      <w:pPr>
        <w:pStyle w:val="A"/>
      </w:pPr>
      <w:r w:rsidRPr="001531CD">
        <w:t>B.</w:t>
      </w:r>
      <w:r w:rsidRPr="001531CD">
        <w:tab/>
        <w:t>Seed Standards</w:t>
      </w:r>
    </w:p>
    <w:tbl>
      <w:tblPr>
        <w:tblW w:w="51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60"/>
        <w:gridCol w:w="1097"/>
        <w:gridCol w:w="1313"/>
        <w:gridCol w:w="1440"/>
      </w:tblGrid>
      <w:tr w:rsidR="00CD0355" w:rsidRPr="001531CD" w14:paraId="23F0857D" w14:textId="77777777" w:rsidTr="00CD0355">
        <w:trPr>
          <w:cantSplit/>
          <w:tblHeader/>
          <w:jc w:val="center"/>
        </w:trPr>
        <w:tc>
          <w:tcPr>
            <w:tcW w:w="1260" w:type="dxa"/>
            <w:tcBorders>
              <w:top w:val="double" w:sz="6" w:space="0" w:color="000000"/>
              <w:bottom w:val="single" w:sz="6" w:space="0" w:color="000000"/>
            </w:tcBorders>
            <w:shd w:val="clear" w:color="auto" w:fill="BFBFBF"/>
          </w:tcPr>
          <w:p w14:paraId="738A12C9"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97" w:type="dxa"/>
            <w:tcBorders>
              <w:top w:val="double" w:sz="6" w:space="0" w:color="000000"/>
              <w:bottom w:val="single" w:sz="6" w:space="0" w:color="000000"/>
            </w:tcBorders>
            <w:shd w:val="clear" w:color="auto" w:fill="BFBFBF"/>
          </w:tcPr>
          <w:p w14:paraId="12FFACD2" w14:textId="77777777"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Foundation</w:t>
            </w:r>
          </w:p>
        </w:tc>
        <w:tc>
          <w:tcPr>
            <w:tcW w:w="1313" w:type="dxa"/>
            <w:tcBorders>
              <w:top w:val="double" w:sz="6" w:space="0" w:color="000000"/>
              <w:bottom w:val="single" w:sz="6" w:space="0" w:color="000000"/>
            </w:tcBorders>
            <w:shd w:val="clear" w:color="auto" w:fill="BFBFBF"/>
          </w:tcPr>
          <w:p w14:paraId="7595BB3E" w14:textId="77777777"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Registered</w:t>
            </w:r>
          </w:p>
        </w:tc>
        <w:tc>
          <w:tcPr>
            <w:tcW w:w="1440" w:type="dxa"/>
            <w:tcBorders>
              <w:top w:val="double" w:sz="6" w:space="0" w:color="000000"/>
              <w:bottom w:val="single" w:sz="6" w:space="0" w:color="000000"/>
            </w:tcBorders>
            <w:shd w:val="clear" w:color="auto" w:fill="BFBFBF"/>
          </w:tcPr>
          <w:p w14:paraId="0C3D3A41" w14:textId="77777777"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Certified</w:t>
            </w:r>
          </w:p>
        </w:tc>
      </w:tr>
      <w:tr w:rsidR="00CD0355" w:rsidRPr="001531CD" w14:paraId="40B49261" w14:textId="77777777" w:rsidTr="00CD0355">
        <w:trPr>
          <w:cantSplit/>
          <w:jc w:val="center"/>
        </w:trPr>
        <w:tc>
          <w:tcPr>
            <w:tcW w:w="1260" w:type="dxa"/>
            <w:tcBorders>
              <w:top w:val="single" w:sz="6" w:space="0" w:color="000000"/>
            </w:tcBorders>
          </w:tcPr>
          <w:p w14:paraId="5D3DD6E3"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097" w:type="dxa"/>
            <w:tcBorders>
              <w:top w:val="single" w:sz="6" w:space="0" w:color="000000"/>
            </w:tcBorders>
          </w:tcPr>
          <w:p w14:paraId="2869B16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313" w:type="dxa"/>
            <w:tcBorders>
              <w:top w:val="single" w:sz="6" w:space="0" w:color="000000"/>
            </w:tcBorders>
          </w:tcPr>
          <w:p w14:paraId="79C8C98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440" w:type="dxa"/>
            <w:tcBorders>
              <w:top w:val="single" w:sz="6" w:space="0" w:color="000000"/>
            </w:tcBorders>
          </w:tcPr>
          <w:p w14:paraId="26E8814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14:paraId="5C31475F" w14:textId="77777777" w:rsidTr="00CD0355">
        <w:trPr>
          <w:cantSplit/>
          <w:jc w:val="center"/>
        </w:trPr>
        <w:tc>
          <w:tcPr>
            <w:tcW w:w="1260" w:type="dxa"/>
          </w:tcPr>
          <w:p w14:paraId="6A606A4D"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097" w:type="dxa"/>
          </w:tcPr>
          <w:p w14:paraId="0FDB0EB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313" w:type="dxa"/>
          </w:tcPr>
          <w:p w14:paraId="61D0A79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440" w:type="dxa"/>
          </w:tcPr>
          <w:p w14:paraId="1CBB657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14:paraId="240EE9DA" w14:textId="77777777" w:rsidTr="00CD0355">
        <w:trPr>
          <w:cantSplit/>
          <w:jc w:val="center"/>
        </w:trPr>
        <w:tc>
          <w:tcPr>
            <w:tcW w:w="1260" w:type="dxa"/>
          </w:tcPr>
          <w:p w14:paraId="698BF4F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7" w:type="dxa"/>
          </w:tcPr>
          <w:p w14:paraId="3942297C"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tcPr>
          <w:p w14:paraId="3A3E4DE4"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440" w:type="dxa"/>
          </w:tcPr>
          <w:p w14:paraId="033F077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059B1437" w14:textId="77777777" w:rsidTr="00CD0355">
        <w:trPr>
          <w:cantSplit/>
          <w:jc w:val="center"/>
        </w:trPr>
        <w:tc>
          <w:tcPr>
            <w:tcW w:w="1260" w:type="dxa"/>
            <w:vAlign w:val="bottom"/>
          </w:tcPr>
          <w:p w14:paraId="6B2E26D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7" w:type="dxa"/>
            <w:vAlign w:val="bottom"/>
          </w:tcPr>
          <w:p w14:paraId="6493E981"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vAlign w:val="bottom"/>
          </w:tcPr>
          <w:p w14:paraId="1971E21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440" w:type="dxa"/>
          </w:tcPr>
          <w:p w14:paraId="40FB593B"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14:paraId="0A5CC869" w14:textId="77777777" w:rsidTr="00CD0355">
        <w:trPr>
          <w:cantSplit/>
          <w:jc w:val="center"/>
        </w:trPr>
        <w:tc>
          <w:tcPr>
            <w:tcW w:w="1260" w:type="dxa"/>
          </w:tcPr>
          <w:p w14:paraId="2963250C"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097" w:type="dxa"/>
          </w:tcPr>
          <w:p w14:paraId="5B91177F"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tcPr>
          <w:p w14:paraId="683F50AE"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440" w:type="dxa"/>
          </w:tcPr>
          <w:p w14:paraId="6007127A"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14:paraId="0F0BFAB1" w14:textId="77777777" w:rsidTr="00CD0355">
        <w:trPr>
          <w:cantSplit/>
          <w:jc w:val="center"/>
        </w:trPr>
        <w:tc>
          <w:tcPr>
            <w:tcW w:w="1260" w:type="dxa"/>
          </w:tcPr>
          <w:p w14:paraId="248121D0"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097" w:type="dxa"/>
          </w:tcPr>
          <w:p w14:paraId="08FAEED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313" w:type="dxa"/>
          </w:tcPr>
          <w:p w14:paraId="1DA9BCD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440" w:type="dxa"/>
          </w:tcPr>
          <w:p w14:paraId="13BE8549"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r>
      <w:tr w:rsidR="00CD0355" w:rsidRPr="001531CD" w14:paraId="5606E5F8" w14:textId="77777777" w:rsidTr="00CD0355">
        <w:trPr>
          <w:cantSplit/>
          <w:jc w:val="center"/>
        </w:trPr>
        <w:tc>
          <w:tcPr>
            <w:tcW w:w="1260" w:type="dxa"/>
            <w:tcBorders>
              <w:bottom w:val="double" w:sz="6" w:space="0" w:color="000000"/>
            </w:tcBorders>
          </w:tcPr>
          <w:p w14:paraId="599D227B" w14:textId="77777777"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097" w:type="dxa"/>
            <w:tcBorders>
              <w:bottom w:val="double" w:sz="6" w:space="0" w:color="000000"/>
            </w:tcBorders>
          </w:tcPr>
          <w:p w14:paraId="7C409BC7"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c>
          <w:tcPr>
            <w:tcW w:w="1313" w:type="dxa"/>
            <w:tcBorders>
              <w:bottom w:val="double" w:sz="6" w:space="0" w:color="000000"/>
            </w:tcBorders>
          </w:tcPr>
          <w:p w14:paraId="55A50BF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c>
          <w:tcPr>
            <w:tcW w:w="1440" w:type="dxa"/>
            <w:tcBorders>
              <w:bottom w:val="double" w:sz="6" w:space="0" w:color="000000"/>
            </w:tcBorders>
          </w:tcPr>
          <w:p w14:paraId="37C9DBED" w14:textId="77777777"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r>
    </w:tbl>
    <w:p w14:paraId="61B130E3" w14:textId="77777777" w:rsidR="00CD0355" w:rsidRPr="001531CD" w:rsidRDefault="00CD0355" w:rsidP="00CD0355">
      <w:pPr>
        <w:pStyle w:val="A"/>
        <w:spacing w:after="0"/>
      </w:pPr>
    </w:p>
    <w:p w14:paraId="65AD4D7A" w14:textId="77777777" w:rsidR="00CD0355" w:rsidRPr="001531CD" w:rsidRDefault="00CD0355" w:rsidP="00CD0355">
      <w:pPr>
        <w:pStyle w:val="AuthorityNote"/>
      </w:pPr>
      <w:r w:rsidRPr="001531CD">
        <w:t>AUTHORITY NOTE:</w:t>
      </w:r>
      <w:r w:rsidRPr="001531CD">
        <w:tab/>
        <w:t>Promulgated in accordance with R.S. 3:1433.</w:t>
      </w:r>
    </w:p>
    <w:p w14:paraId="4482396E" w14:textId="77777777" w:rsidR="00CD0355" w:rsidRPr="001531CD" w:rsidRDefault="00CD0355" w:rsidP="00CD0355">
      <w:pPr>
        <w:pStyle w:val="HistoricalNote"/>
      </w:pPr>
      <w:r w:rsidRPr="001531CD">
        <w:t>HISTORICAL NOTE:</w:t>
      </w:r>
      <w:r w:rsidRPr="001531CD">
        <w:tab/>
        <w:t>Promulgated by the Department of Agriculture, Seed Commission, LR 8:575 (November l982), amended LR 9:197 (April l983), amended by the Department of Agriculture and Forestry, Office of Agricultural and Environmental Sciences, Seed Commission, LR 12:825 (December l986), LR 23:1284 (October 1997), repromulgated by the Department of Agriculture and Forestry, Office of Agricultural and Environmental Sciences, Agricultural Chemistry and Seed Commission, LR 39:2724 (October 2013).</w:t>
      </w:r>
    </w:p>
    <w:p w14:paraId="52E21151" w14:textId="77777777" w:rsidR="00CD0355" w:rsidRPr="001531CD" w:rsidRDefault="00CD0355" w:rsidP="00CD0355">
      <w:pPr>
        <w:pStyle w:val="Section"/>
      </w:pPr>
      <w:bookmarkStart w:id="1165" w:name="_Toc224818813"/>
      <w:r w:rsidRPr="001531CD">
        <w:t>§749.</w:t>
      </w:r>
      <w:r w:rsidRPr="001531CD">
        <w:tab/>
        <w:t>Rice Seed Certification Standards</w:t>
      </w:r>
      <w:bookmarkEnd w:id="1165"/>
      <w:r w:rsidRPr="001531CD">
        <w:t xml:space="preserve"> </w:t>
      </w:r>
    </w:p>
    <w:p w14:paraId="45BF40E5" w14:textId="77777777" w:rsidR="00CD0355" w:rsidRPr="001531CD" w:rsidRDefault="00CD0355" w:rsidP="00CD0355">
      <w:pPr>
        <w:pStyle w:val="A"/>
      </w:pPr>
      <w:r w:rsidRPr="001531CD">
        <w:t>A.</w:t>
      </w:r>
      <w:r w:rsidRPr="001531CD">
        <w:tab/>
        <w:t>Isolation Requirements</w:t>
      </w:r>
    </w:p>
    <w:p w14:paraId="55295D51" w14:textId="77777777" w:rsidR="00CD0355" w:rsidRPr="001531CD" w:rsidRDefault="00CD0355" w:rsidP="00CD0355">
      <w:pPr>
        <w:pStyle w:val="1"/>
      </w:pPr>
      <w:r w:rsidRPr="001531CD">
        <w:t>1.</w:t>
      </w:r>
      <w:r w:rsidRPr="001531CD">
        <w:tab/>
        <w:t>Fields offered for certification must be clearly separated from other fields by a ditch, levee, roadway, fence, or barren strip a minimum of 10 feet if the adjoining crop is the same variety and class.</w:t>
      </w:r>
    </w:p>
    <w:p w14:paraId="2EEDDB3F" w14:textId="77777777" w:rsidR="00CD0355" w:rsidRPr="001531CD" w:rsidRDefault="00CD0355" w:rsidP="00CD0355">
      <w:pPr>
        <w:pStyle w:val="1"/>
      </w:pPr>
      <w:r w:rsidRPr="001531CD">
        <w:t>2.</w:t>
      </w:r>
      <w:r w:rsidRPr="001531CD">
        <w:tab/>
        <w:t>In addition to the preceding regulations, the following isolation distances will pertain if the adjoining crop is a different class or different variety.</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152"/>
        <w:gridCol w:w="1167"/>
        <w:gridCol w:w="1253"/>
        <w:gridCol w:w="1278"/>
      </w:tblGrid>
      <w:tr w:rsidR="00CD0355" w:rsidRPr="001531CD" w14:paraId="17A53DA7" w14:textId="77777777" w:rsidTr="00CD0355">
        <w:trPr>
          <w:cantSplit/>
          <w:jc w:val="center"/>
        </w:trPr>
        <w:tc>
          <w:tcPr>
            <w:tcW w:w="4873" w:type="dxa"/>
            <w:gridSpan w:val="4"/>
            <w:shd w:val="clear" w:color="auto" w:fill="BFBFBF"/>
          </w:tcPr>
          <w:p w14:paraId="7600CC29" w14:textId="77777777" w:rsidR="00CD0355" w:rsidRPr="00824C43" w:rsidRDefault="00CD0355" w:rsidP="00CD0355">
            <w:pPr>
              <w:pStyle w:val="Text"/>
              <w:spacing w:after="0" w:line="240" w:lineRule="auto"/>
              <w:rPr>
                <w:b/>
                <w:sz w:val="16"/>
                <w:szCs w:val="16"/>
              </w:rPr>
            </w:pPr>
            <w:r w:rsidRPr="00824C43">
              <w:rPr>
                <w:b/>
                <w:sz w:val="16"/>
                <w:szCs w:val="16"/>
              </w:rPr>
              <w:t>Number of Feet from Same Variety/Different Class Planted by</w:t>
            </w:r>
          </w:p>
        </w:tc>
      </w:tr>
      <w:tr w:rsidR="00CD0355" w:rsidRPr="001531CD" w14:paraId="116E09A8" w14:textId="77777777" w:rsidTr="00CD0355">
        <w:trPr>
          <w:cantSplit/>
          <w:jc w:val="center"/>
        </w:trPr>
        <w:tc>
          <w:tcPr>
            <w:tcW w:w="2329" w:type="dxa"/>
            <w:gridSpan w:val="2"/>
            <w:shd w:val="clear" w:color="auto" w:fill="BFBFBF"/>
          </w:tcPr>
          <w:p w14:paraId="393AF3C7" w14:textId="77777777" w:rsidR="00CD0355" w:rsidRPr="001531CD" w:rsidRDefault="00CD0355" w:rsidP="00CD0355">
            <w:pPr>
              <w:tabs>
                <w:tab w:val="left" w:pos="180"/>
                <w:tab w:val="left" w:pos="360"/>
                <w:tab w:val="left" w:pos="8640"/>
              </w:tabs>
              <w:jc w:val="center"/>
              <w:rPr>
                <w:b/>
                <w:sz w:val="16"/>
                <w:szCs w:val="16"/>
              </w:rPr>
            </w:pPr>
            <w:r w:rsidRPr="001531CD">
              <w:rPr>
                <w:b/>
                <w:sz w:val="16"/>
                <w:szCs w:val="16"/>
              </w:rPr>
              <w:t>Ground</w:t>
            </w:r>
          </w:p>
        </w:tc>
        <w:tc>
          <w:tcPr>
            <w:tcW w:w="2544" w:type="dxa"/>
            <w:gridSpan w:val="2"/>
            <w:shd w:val="clear" w:color="auto" w:fill="BFBFBF"/>
          </w:tcPr>
          <w:p w14:paraId="25A6F768" w14:textId="77777777" w:rsidR="00CD0355" w:rsidRPr="001531CD" w:rsidRDefault="00CD0355" w:rsidP="00CD0355">
            <w:pPr>
              <w:tabs>
                <w:tab w:val="left" w:pos="180"/>
                <w:tab w:val="left" w:pos="360"/>
                <w:tab w:val="left" w:pos="8640"/>
              </w:tabs>
              <w:jc w:val="center"/>
              <w:rPr>
                <w:b/>
                <w:sz w:val="16"/>
                <w:szCs w:val="16"/>
              </w:rPr>
            </w:pPr>
            <w:r w:rsidRPr="001531CD">
              <w:rPr>
                <w:b/>
                <w:sz w:val="16"/>
                <w:szCs w:val="16"/>
              </w:rPr>
              <w:t>Air</w:t>
            </w:r>
          </w:p>
        </w:tc>
      </w:tr>
      <w:tr w:rsidR="00CD0355" w:rsidRPr="001531CD" w14:paraId="4EF52F5F" w14:textId="77777777" w:rsidTr="00CD0355">
        <w:trPr>
          <w:cantSplit/>
          <w:jc w:val="center"/>
        </w:trPr>
        <w:tc>
          <w:tcPr>
            <w:tcW w:w="1159" w:type="dxa"/>
          </w:tcPr>
          <w:p w14:paraId="45752056"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Drill</w:t>
            </w:r>
          </w:p>
        </w:tc>
        <w:tc>
          <w:tcPr>
            <w:tcW w:w="1170" w:type="dxa"/>
          </w:tcPr>
          <w:p w14:paraId="396666D3"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Broadcast</w:t>
            </w:r>
          </w:p>
        </w:tc>
        <w:tc>
          <w:tcPr>
            <w:tcW w:w="1260" w:type="dxa"/>
          </w:tcPr>
          <w:p w14:paraId="28836F7D"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Right Angle</w:t>
            </w:r>
          </w:p>
        </w:tc>
        <w:tc>
          <w:tcPr>
            <w:tcW w:w="1284" w:type="dxa"/>
          </w:tcPr>
          <w:p w14:paraId="5558E926"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Parallel</w:t>
            </w:r>
          </w:p>
        </w:tc>
      </w:tr>
      <w:tr w:rsidR="00CD0355" w:rsidRPr="001531CD" w14:paraId="2C6EB85A" w14:textId="77777777" w:rsidTr="00CD0355">
        <w:trPr>
          <w:cantSplit/>
          <w:jc w:val="center"/>
        </w:trPr>
        <w:tc>
          <w:tcPr>
            <w:tcW w:w="1159" w:type="dxa"/>
          </w:tcPr>
          <w:p w14:paraId="2F271DD0"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c>
          <w:tcPr>
            <w:tcW w:w="1170" w:type="dxa"/>
          </w:tcPr>
          <w:p w14:paraId="0AAF8749"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c>
          <w:tcPr>
            <w:tcW w:w="1260" w:type="dxa"/>
          </w:tcPr>
          <w:p w14:paraId="0AE5C361"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1,320</w:t>
            </w:r>
          </w:p>
        </w:tc>
        <w:tc>
          <w:tcPr>
            <w:tcW w:w="1284" w:type="dxa"/>
          </w:tcPr>
          <w:p w14:paraId="2B851B22"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r>
      <w:tr w:rsidR="00CD0355" w:rsidRPr="001531CD" w14:paraId="41859A40" w14:textId="77777777" w:rsidTr="00CD0355">
        <w:trPr>
          <w:cantSplit/>
          <w:jc w:val="center"/>
        </w:trPr>
        <w:tc>
          <w:tcPr>
            <w:tcW w:w="4873" w:type="dxa"/>
            <w:gridSpan w:val="4"/>
            <w:shd w:val="clear" w:color="auto" w:fill="BFBFBF"/>
          </w:tcPr>
          <w:p w14:paraId="2EA315BC" w14:textId="77777777" w:rsidR="00CD0355" w:rsidRPr="001531CD" w:rsidRDefault="00CD0355" w:rsidP="00CD0355">
            <w:pPr>
              <w:tabs>
                <w:tab w:val="left" w:pos="180"/>
                <w:tab w:val="left" w:pos="360"/>
                <w:tab w:val="left" w:pos="8640"/>
              </w:tabs>
              <w:jc w:val="center"/>
              <w:rPr>
                <w:b/>
                <w:bCs/>
                <w:sz w:val="16"/>
                <w:szCs w:val="16"/>
              </w:rPr>
            </w:pPr>
            <w:r w:rsidRPr="001531CD">
              <w:rPr>
                <w:b/>
                <w:bCs/>
                <w:sz w:val="16"/>
                <w:szCs w:val="16"/>
              </w:rPr>
              <w:t>Number of Feet from Other Varieties/All Classes Planted by</w:t>
            </w:r>
          </w:p>
        </w:tc>
      </w:tr>
      <w:tr w:rsidR="00CD0355" w:rsidRPr="001531CD" w14:paraId="36EFF469" w14:textId="77777777" w:rsidTr="00CD0355">
        <w:trPr>
          <w:cantSplit/>
          <w:jc w:val="center"/>
        </w:trPr>
        <w:tc>
          <w:tcPr>
            <w:tcW w:w="2329" w:type="dxa"/>
            <w:gridSpan w:val="2"/>
            <w:shd w:val="clear" w:color="auto" w:fill="BFBFBF"/>
          </w:tcPr>
          <w:p w14:paraId="3D7B51A2" w14:textId="77777777" w:rsidR="00CD0355" w:rsidRPr="001531CD" w:rsidRDefault="00CD0355" w:rsidP="00CD0355">
            <w:pPr>
              <w:tabs>
                <w:tab w:val="left" w:pos="180"/>
                <w:tab w:val="left" w:pos="360"/>
                <w:tab w:val="left" w:pos="8640"/>
              </w:tabs>
              <w:jc w:val="center"/>
              <w:rPr>
                <w:b/>
                <w:sz w:val="16"/>
                <w:szCs w:val="16"/>
              </w:rPr>
            </w:pPr>
            <w:r w:rsidRPr="001531CD">
              <w:rPr>
                <w:b/>
                <w:sz w:val="16"/>
                <w:szCs w:val="16"/>
              </w:rPr>
              <w:t>Ground</w:t>
            </w:r>
          </w:p>
        </w:tc>
        <w:tc>
          <w:tcPr>
            <w:tcW w:w="2544" w:type="dxa"/>
            <w:gridSpan w:val="2"/>
            <w:shd w:val="clear" w:color="auto" w:fill="BFBFBF"/>
          </w:tcPr>
          <w:p w14:paraId="3EF77929" w14:textId="77777777" w:rsidR="00CD0355" w:rsidRPr="001531CD" w:rsidRDefault="00CD0355" w:rsidP="00CD0355">
            <w:pPr>
              <w:tabs>
                <w:tab w:val="left" w:pos="180"/>
                <w:tab w:val="left" w:pos="360"/>
                <w:tab w:val="left" w:pos="8640"/>
              </w:tabs>
              <w:jc w:val="center"/>
              <w:rPr>
                <w:b/>
                <w:sz w:val="16"/>
                <w:szCs w:val="16"/>
              </w:rPr>
            </w:pPr>
            <w:r w:rsidRPr="001531CD">
              <w:rPr>
                <w:b/>
                <w:sz w:val="16"/>
                <w:szCs w:val="16"/>
              </w:rPr>
              <w:t>Air</w:t>
            </w:r>
          </w:p>
        </w:tc>
      </w:tr>
      <w:tr w:rsidR="00CD0355" w:rsidRPr="001531CD" w14:paraId="61DF0435" w14:textId="77777777" w:rsidTr="00CD0355">
        <w:trPr>
          <w:cantSplit/>
          <w:jc w:val="center"/>
        </w:trPr>
        <w:tc>
          <w:tcPr>
            <w:tcW w:w="1159" w:type="dxa"/>
          </w:tcPr>
          <w:p w14:paraId="2E8023CE"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Drill</w:t>
            </w:r>
          </w:p>
        </w:tc>
        <w:tc>
          <w:tcPr>
            <w:tcW w:w="1170" w:type="dxa"/>
          </w:tcPr>
          <w:p w14:paraId="04EA7081"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Broadcast</w:t>
            </w:r>
          </w:p>
        </w:tc>
        <w:tc>
          <w:tcPr>
            <w:tcW w:w="1260" w:type="dxa"/>
          </w:tcPr>
          <w:p w14:paraId="30EAB019"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Right Angle</w:t>
            </w:r>
          </w:p>
        </w:tc>
        <w:tc>
          <w:tcPr>
            <w:tcW w:w="1284" w:type="dxa"/>
          </w:tcPr>
          <w:p w14:paraId="36728181"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Parallel</w:t>
            </w:r>
          </w:p>
        </w:tc>
      </w:tr>
      <w:tr w:rsidR="00CD0355" w:rsidRPr="001531CD" w14:paraId="25D7D801" w14:textId="77777777" w:rsidTr="00CD0355">
        <w:trPr>
          <w:cantSplit/>
          <w:jc w:val="center"/>
        </w:trPr>
        <w:tc>
          <w:tcPr>
            <w:tcW w:w="1159" w:type="dxa"/>
          </w:tcPr>
          <w:p w14:paraId="43B156FF"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w:t>
            </w:r>
          </w:p>
        </w:tc>
        <w:tc>
          <w:tcPr>
            <w:tcW w:w="1170" w:type="dxa"/>
          </w:tcPr>
          <w:p w14:paraId="05634424"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100</w:t>
            </w:r>
          </w:p>
        </w:tc>
        <w:tc>
          <w:tcPr>
            <w:tcW w:w="1260" w:type="dxa"/>
          </w:tcPr>
          <w:p w14:paraId="4C39C1D7"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1,320</w:t>
            </w:r>
          </w:p>
        </w:tc>
        <w:tc>
          <w:tcPr>
            <w:tcW w:w="1284" w:type="dxa"/>
          </w:tcPr>
          <w:p w14:paraId="5ECE27C0"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100</w:t>
            </w:r>
          </w:p>
        </w:tc>
      </w:tr>
    </w:tbl>
    <w:p w14:paraId="64865D60" w14:textId="77777777" w:rsidR="00CD0355" w:rsidRPr="001531CD" w:rsidRDefault="00CD0355" w:rsidP="00CD0355">
      <w:pPr>
        <w:tabs>
          <w:tab w:val="left" w:pos="720"/>
          <w:tab w:val="left" w:pos="979"/>
          <w:tab w:val="left" w:pos="1152"/>
          <w:tab w:val="left" w:pos="4500"/>
          <w:tab w:val="left" w:pos="4680"/>
          <w:tab w:val="left" w:pos="4860"/>
          <w:tab w:val="left" w:pos="5040"/>
          <w:tab w:val="left" w:pos="7200"/>
        </w:tabs>
        <w:ind w:firstLine="360"/>
        <w:jc w:val="both"/>
        <w:outlineLvl w:val="4"/>
        <w:rPr>
          <w:sz w:val="20"/>
        </w:rPr>
      </w:pPr>
    </w:p>
    <w:p w14:paraId="11B922DD" w14:textId="77777777" w:rsidR="00CD0355" w:rsidRPr="001531CD" w:rsidRDefault="00CD0355" w:rsidP="00CD0355">
      <w:pPr>
        <w:pStyle w:val="1"/>
      </w:pPr>
      <w:r w:rsidRPr="001531CD">
        <w:t>3.</w:t>
      </w:r>
      <w:r w:rsidRPr="001531CD">
        <w:tab/>
        <w:t>Any part of the applicant's field or fields which are closer than these distances must be harvested prior to final inspection or plowed up. Failure to comply with this requirement will disqualify the entire field.</w:t>
      </w:r>
    </w:p>
    <w:p w14:paraId="067B3CD9" w14:textId="77777777" w:rsidR="00CD0355" w:rsidRDefault="00CD0355" w:rsidP="00CD0355">
      <w:pPr>
        <w:pStyle w:val="A"/>
        <w:keepNext/>
      </w:pPr>
      <w:r w:rsidRPr="00BB51B8">
        <w:t>B.</w:t>
      </w:r>
      <w:r w:rsidRPr="00BB51B8">
        <w:tab/>
        <w:t>Field Standards</w:t>
      </w:r>
    </w:p>
    <w:tbl>
      <w:tblPr>
        <w:tblW w:w="505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74"/>
        <w:gridCol w:w="810"/>
        <w:gridCol w:w="1025"/>
        <w:gridCol w:w="984"/>
        <w:gridCol w:w="961"/>
      </w:tblGrid>
      <w:tr w:rsidR="00CD0355" w:rsidRPr="0072604C" w14:paraId="2032E182" w14:textId="77777777" w:rsidTr="00CD0355">
        <w:trPr>
          <w:cantSplit/>
          <w:jc w:val="center"/>
        </w:trPr>
        <w:tc>
          <w:tcPr>
            <w:tcW w:w="1274" w:type="dxa"/>
            <w:tcBorders>
              <w:top w:val="double" w:sz="6" w:space="0" w:color="000000"/>
              <w:bottom w:val="single" w:sz="6" w:space="0" w:color="000000"/>
            </w:tcBorders>
            <w:shd w:val="clear" w:color="auto" w:fill="BFBFBF"/>
            <w:vAlign w:val="bottom"/>
          </w:tcPr>
          <w:p w14:paraId="40DA0C07" w14:textId="77777777"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vAlign w:val="bottom"/>
          </w:tcPr>
          <w:p w14:paraId="080C2F0E" w14:textId="77777777"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Breeder</w:t>
            </w:r>
          </w:p>
        </w:tc>
        <w:tc>
          <w:tcPr>
            <w:tcW w:w="1025" w:type="dxa"/>
            <w:tcBorders>
              <w:top w:val="double" w:sz="6" w:space="0" w:color="000000"/>
              <w:bottom w:val="single" w:sz="6" w:space="0" w:color="000000"/>
            </w:tcBorders>
            <w:shd w:val="clear" w:color="auto" w:fill="BFBFBF"/>
            <w:vAlign w:val="bottom"/>
          </w:tcPr>
          <w:p w14:paraId="5675DCA3" w14:textId="77777777"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Foundation</w:t>
            </w:r>
          </w:p>
        </w:tc>
        <w:tc>
          <w:tcPr>
            <w:tcW w:w="984" w:type="dxa"/>
            <w:tcBorders>
              <w:top w:val="double" w:sz="6" w:space="0" w:color="000000"/>
              <w:bottom w:val="single" w:sz="6" w:space="0" w:color="000000"/>
            </w:tcBorders>
            <w:shd w:val="clear" w:color="auto" w:fill="BFBFBF"/>
            <w:vAlign w:val="bottom"/>
          </w:tcPr>
          <w:p w14:paraId="029E4E08" w14:textId="77777777"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Registered</w:t>
            </w:r>
          </w:p>
        </w:tc>
        <w:tc>
          <w:tcPr>
            <w:tcW w:w="961" w:type="dxa"/>
            <w:tcBorders>
              <w:top w:val="double" w:sz="6" w:space="0" w:color="000000"/>
              <w:bottom w:val="single" w:sz="6" w:space="0" w:color="000000"/>
            </w:tcBorders>
            <w:shd w:val="clear" w:color="auto" w:fill="BFBFBF"/>
            <w:vAlign w:val="bottom"/>
          </w:tcPr>
          <w:p w14:paraId="0E244334" w14:textId="77777777"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Certified</w:t>
            </w:r>
          </w:p>
        </w:tc>
      </w:tr>
      <w:tr w:rsidR="00CD0355" w:rsidRPr="0072604C" w14:paraId="04067D9F" w14:textId="77777777" w:rsidTr="00CD0355">
        <w:trPr>
          <w:cantSplit/>
          <w:jc w:val="center"/>
        </w:trPr>
        <w:tc>
          <w:tcPr>
            <w:tcW w:w="1274" w:type="dxa"/>
            <w:tcBorders>
              <w:top w:val="single" w:sz="6" w:space="0" w:color="000000"/>
            </w:tcBorders>
            <w:vAlign w:val="bottom"/>
          </w:tcPr>
          <w:p w14:paraId="5B020ADF" w14:textId="77777777" w:rsidR="00CD0355" w:rsidRPr="0072604C" w:rsidRDefault="00CD0355" w:rsidP="00CD0355">
            <w:pPr>
              <w:keepNext/>
              <w:tabs>
                <w:tab w:val="left" w:pos="180"/>
                <w:tab w:val="left" w:pos="360"/>
                <w:tab w:val="left" w:pos="8640"/>
              </w:tabs>
              <w:rPr>
                <w:sz w:val="16"/>
                <w:szCs w:val="16"/>
              </w:rPr>
            </w:pPr>
            <w:r w:rsidRPr="0072604C">
              <w:rPr>
                <w:sz w:val="16"/>
                <w:szCs w:val="16"/>
              </w:rPr>
              <w:t>Land Requirement</w:t>
            </w:r>
          </w:p>
        </w:tc>
        <w:tc>
          <w:tcPr>
            <w:tcW w:w="810" w:type="dxa"/>
            <w:tcBorders>
              <w:top w:val="single" w:sz="6" w:space="0" w:color="000000"/>
            </w:tcBorders>
            <w:vAlign w:val="bottom"/>
          </w:tcPr>
          <w:p w14:paraId="7867F443"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1025" w:type="dxa"/>
            <w:tcBorders>
              <w:top w:val="single" w:sz="6" w:space="0" w:color="000000"/>
            </w:tcBorders>
            <w:vAlign w:val="bottom"/>
          </w:tcPr>
          <w:p w14:paraId="471293B8"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984" w:type="dxa"/>
            <w:tcBorders>
              <w:top w:val="single" w:sz="6" w:space="0" w:color="000000"/>
            </w:tcBorders>
            <w:vAlign w:val="bottom"/>
          </w:tcPr>
          <w:p w14:paraId="2EB9CA8B"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961" w:type="dxa"/>
            <w:tcBorders>
              <w:top w:val="single" w:sz="6" w:space="0" w:color="000000"/>
            </w:tcBorders>
            <w:vAlign w:val="bottom"/>
          </w:tcPr>
          <w:p w14:paraId="289C0207"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r>
      <w:tr w:rsidR="00CD0355" w:rsidRPr="0072604C" w14:paraId="48160A4C" w14:textId="77777777" w:rsidTr="00CD0355">
        <w:trPr>
          <w:cantSplit/>
          <w:jc w:val="center"/>
        </w:trPr>
        <w:tc>
          <w:tcPr>
            <w:tcW w:w="1274" w:type="dxa"/>
            <w:tcBorders>
              <w:top w:val="single" w:sz="6" w:space="0" w:color="000000"/>
            </w:tcBorders>
            <w:vAlign w:val="bottom"/>
          </w:tcPr>
          <w:p w14:paraId="080DDD49" w14:textId="77777777" w:rsidR="00CD0355" w:rsidRPr="0072604C" w:rsidRDefault="00CD0355" w:rsidP="00CD0355">
            <w:pPr>
              <w:keepNext/>
              <w:tabs>
                <w:tab w:val="left" w:pos="180"/>
                <w:tab w:val="left" w:pos="360"/>
                <w:tab w:val="left" w:pos="8640"/>
              </w:tabs>
              <w:rPr>
                <w:sz w:val="16"/>
                <w:szCs w:val="16"/>
              </w:rPr>
            </w:pPr>
            <w:r w:rsidRPr="0072604C">
              <w:rPr>
                <w:sz w:val="16"/>
                <w:szCs w:val="16"/>
              </w:rPr>
              <w:t>Conventional Varieties</w:t>
            </w:r>
          </w:p>
        </w:tc>
        <w:tc>
          <w:tcPr>
            <w:tcW w:w="810" w:type="dxa"/>
            <w:tcBorders>
              <w:top w:val="single" w:sz="6" w:space="0" w:color="000000"/>
            </w:tcBorders>
            <w:vAlign w:val="bottom"/>
          </w:tcPr>
          <w:p w14:paraId="16EEE68E"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1025" w:type="dxa"/>
            <w:tcBorders>
              <w:top w:val="single" w:sz="6" w:space="0" w:color="000000"/>
            </w:tcBorders>
            <w:vAlign w:val="bottom"/>
          </w:tcPr>
          <w:p w14:paraId="660F8F6E"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984" w:type="dxa"/>
            <w:tcBorders>
              <w:top w:val="single" w:sz="6" w:space="0" w:color="000000"/>
            </w:tcBorders>
            <w:vAlign w:val="bottom"/>
          </w:tcPr>
          <w:p w14:paraId="7DFE517D"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961" w:type="dxa"/>
            <w:tcBorders>
              <w:top w:val="single" w:sz="6" w:space="0" w:color="000000"/>
            </w:tcBorders>
            <w:vAlign w:val="bottom"/>
          </w:tcPr>
          <w:p w14:paraId="20892325"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r>
      <w:tr w:rsidR="00CD0355" w:rsidRPr="0072604C" w14:paraId="5AEA2635" w14:textId="77777777" w:rsidTr="00CD0355">
        <w:trPr>
          <w:cantSplit/>
          <w:jc w:val="center"/>
        </w:trPr>
        <w:tc>
          <w:tcPr>
            <w:tcW w:w="1274" w:type="dxa"/>
            <w:tcBorders>
              <w:top w:val="single" w:sz="6" w:space="0" w:color="000000"/>
            </w:tcBorders>
            <w:vAlign w:val="bottom"/>
          </w:tcPr>
          <w:p w14:paraId="1095E6DF" w14:textId="77777777" w:rsidR="00CD0355" w:rsidRPr="0072604C" w:rsidRDefault="00CD0355" w:rsidP="00CD0355">
            <w:pPr>
              <w:keepNext/>
              <w:tabs>
                <w:tab w:val="left" w:pos="180"/>
                <w:tab w:val="left" w:pos="360"/>
                <w:tab w:val="left" w:pos="8640"/>
              </w:tabs>
              <w:rPr>
                <w:sz w:val="16"/>
                <w:szCs w:val="16"/>
              </w:rPr>
            </w:pPr>
            <w:r w:rsidRPr="0072604C">
              <w:rPr>
                <w:sz w:val="16"/>
                <w:szCs w:val="16"/>
              </w:rPr>
              <w:t>Hybrid Varieties</w:t>
            </w:r>
          </w:p>
        </w:tc>
        <w:tc>
          <w:tcPr>
            <w:tcW w:w="810" w:type="dxa"/>
            <w:tcBorders>
              <w:top w:val="single" w:sz="6" w:space="0" w:color="000000"/>
            </w:tcBorders>
            <w:vAlign w:val="bottom"/>
          </w:tcPr>
          <w:p w14:paraId="61C6A3A5"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1025" w:type="dxa"/>
            <w:tcBorders>
              <w:top w:val="single" w:sz="6" w:space="0" w:color="000000"/>
            </w:tcBorders>
            <w:vAlign w:val="bottom"/>
          </w:tcPr>
          <w:p w14:paraId="1C80D858"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984" w:type="dxa"/>
            <w:tcBorders>
              <w:top w:val="single" w:sz="6" w:space="0" w:color="000000"/>
            </w:tcBorders>
            <w:vAlign w:val="bottom"/>
          </w:tcPr>
          <w:p w14:paraId="15F874EC"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961" w:type="dxa"/>
            <w:tcBorders>
              <w:top w:val="single" w:sz="6" w:space="0" w:color="000000"/>
            </w:tcBorders>
            <w:vAlign w:val="bottom"/>
          </w:tcPr>
          <w:p w14:paraId="77AA4A1D"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r>
      <w:tr w:rsidR="00CD0355" w:rsidRPr="0072604C" w14:paraId="08CDED5E" w14:textId="77777777" w:rsidTr="00CD0355">
        <w:trPr>
          <w:cantSplit/>
          <w:jc w:val="center"/>
        </w:trPr>
        <w:tc>
          <w:tcPr>
            <w:tcW w:w="1274" w:type="dxa"/>
            <w:vAlign w:val="bottom"/>
          </w:tcPr>
          <w:p w14:paraId="63C899D7" w14:textId="77777777" w:rsidR="00CD0355" w:rsidRPr="0072604C" w:rsidRDefault="00CD0355" w:rsidP="00CD0355">
            <w:pPr>
              <w:keepNext/>
              <w:tabs>
                <w:tab w:val="left" w:pos="180"/>
                <w:tab w:val="left" w:pos="360"/>
                <w:tab w:val="left" w:pos="8640"/>
              </w:tabs>
              <w:rPr>
                <w:sz w:val="16"/>
                <w:szCs w:val="16"/>
              </w:rPr>
            </w:pPr>
            <w:r w:rsidRPr="0072604C">
              <w:rPr>
                <w:sz w:val="16"/>
                <w:szCs w:val="16"/>
              </w:rPr>
              <w:t>Other Varieties</w:t>
            </w:r>
          </w:p>
        </w:tc>
        <w:tc>
          <w:tcPr>
            <w:tcW w:w="810" w:type="dxa"/>
            <w:vAlign w:val="bottom"/>
          </w:tcPr>
          <w:p w14:paraId="21C2BE19"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None</w:t>
            </w:r>
          </w:p>
        </w:tc>
        <w:tc>
          <w:tcPr>
            <w:tcW w:w="1025" w:type="dxa"/>
            <w:vAlign w:val="bottom"/>
          </w:tcPr>
          <w:p w14:paraId="47039BA0"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None</w:t>
            </w:r>
          </w:p>
        </w:tc>
        <w:tc>
          <w:tcPr>
            <w:tcW w:w="984" w:type="dxa"/>
            <w:vAlign w:val="bottom"/>
          </w:tcPr>
          <w:p w14:paraId="70761B18"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10 Plants per Acre</w:t>
            </w:r>
          </w:p>
        </w:tc>
        <w:tc>
          <w:tcPr>
            <w:tcW w:w="961" w:type="dxa"/>
            <w:vAlign w:val="bottom"/>
          </w:tcPr>
          <w:p w14:paraId="7DFA5CFA" w14:textId="77777777" w:rsidR="00CD0355" w:rsidRPr="0072604C" w:rsidRDefault="00CD0355" w:rsidP="00CD0355">
            <w:pPr>
              <w:keepNext/>
              <w:tabs>
                <w:tab w:val="left" w:pos="180"/>
                <w:tab w:val="left" w:pos="360"/>
                <w:tab w:val="left" w:pos="8640"/>
              </w:tabs>
              <w:jc w:val="center"/>
              <w:rPr>
                <w:sz w:val="16"/>
                <w:szCs w:val="16"/>
              </w:rPr>
            </w:pPr>
            <w:r w:rsidRPr="0072604C">
              <w:rPr>
                <w:sz w:val="16"/>
                <w:szCs w:val="16"/>
              </w:rPr>
              <w:t>25 Plants per Acre</w:t>
            </w:r>
          </w:p>
        </w:tc>
      </w:tr>
      <w:tr w:rsidR="00CD0355" w:rsidRPr="0072604C" w14:paraId="2C1CABCC" w14:textId="77777777" w:rsidTr="00CD0355">
        <w:trPr>
          <w:cantSplit/>
          <w:jc w:val="center"/>
        </w:trPr>
        <w:tc>
          <w:tcPr>
            <w:tcW w:w="1274" w:type="dxa"/>
            <w:vAlign w:val="bottom"/>
          </w:tcPr>
          <w:p w14:paraId="5F17DD14" w14:textId="77777777" w:rsidR="00CD0355" w:rsidRPr="0072604C" w:rsidRDefault="00CD0355" w:rsidP="00CD0355">
            <w:pPr>
              <w:tabs>
                <w:tab w:val="left" w:pos="180"/>
                <w:tab w:val="left" w:pos="360"/>
                <w:tab w:val="left" w:pos="8640"/>
              </w:tabs>
              <w:rPr>
                <w:sz w:val="16"/>
                <w:szCs w:val="16"/>
              </w:rPr>
            </w:pPr>
            <w:r w:rsidRPr="0072604C">
              <w:rPr>
                <w:sz w:val="16"/>
                <w:szCs w:val="16"/>
              </w:rPr>
              <w:t>*Harmful Diseases</w:t>
            </w:r>
          </w:p>
        </w:tc>
        <w:tc>
          <w:tcPr>
            <w:tcW w:w="810" w:type="dxa"/>
            <w:vAlign w:val="bottom"/>
          </w:tcPr>
          <w:p w14:paraId="31892F5E"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14:paraId="76EB0096"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14:paraId="308279B9"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14:paraId="1884722B"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r>
      <w:tr w:rsidR="00CD0355" w:rsidRPr="0072604C" w14:paraId="22645702" w14:textId="77777777" w:rsidTr="00CD0355">
        <w:trPr>
          <w:cantSplit/>
          <w:jc w:val="center"/>
        </w:trPr>
        <w:tc>
          <w:tcPr>
            <w:tcW w:w="1274" w:type="dxa"/>
            <w:vAlign w:val="bottom"/>
          </w:tcPr>
          <w:p w14:paraId="62F77238" w14:textId="77777777" w:rsidR="00CD0355" w:rsidRPr="0072604C" w:rsidRDefault="00CD0355" w:rsidP="00CD0355">
            <w:pPr>
              <w:tabs>
                <w:tab w:val="left" w:pos="180"/>
                <w:tab w:val="left" w:pos="360"/>
                <w:tab w:val="left" w:pos="8640"/>
              </w:tabs>
              <w:rPr>
                <w:sz w:val="16"/>
                <w:szCs w:val="16"/>
              </w:rPr>
            </w:pPr>
            <w:r w:rsidRPr="0072604C">
              <w:rPr>
                <w:sz w:val="16"/>
                <w:szCs w:val="16"/>
              </w:rPr>
              <w:t>Noxious Weeds:</w:t>
            </w:r>
          </w:p>
          <w:p w14:paraId="49E5C8A0" w14:textId="77777777" w:rsidR="00CD0355" w:rsidRPr="0072604C" w:rsidRDefault="00CD0355" w:rsidP="00CD0355">
            <w:pPr>
              <w:tabs>
                <w:tab w:val="left" w:pos="187"/>
                <w:tab w:val="left" w:pos="360"/>
                <w:tab w:val="left" w:pos="8640"/>
              </w:tabs>
              <w:ind w:left="70"/>
              <w:rPr>
                <w:sz w:val="16"/>
                <w:szCs w:val="16"/>
              </w:rPr>
            </w:pPr>
            <w:r w:rsidRPr="0072604C">
              <w:rPr>
                <w:sz w:val="16"/>
                <w:szCs w:val="16"/>
              </w:rPr>
              <w:t>Red Rice (including Black Hull Rice)</w:t>
            </w:r>
          </w:p>
        </w:tc>
        <w:tc>
          <w:tcPr>
            <w:tcW w:w="810" w:type="dxa"/>
            <w:vAlign w:val="bottom"/>
          </w:tcPr>
          <w:p w14:paraId="0F4E8CC0"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14:paraId="537A676F"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14:paraId="19DEE452"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14:paraId="16E9CCD9"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1 Plant per 10 Acres</w:t>
            </w:r>
          </w:p>
        </w:tc>
      </w:tr>
      <w:tr w:rsidR="00CD0355" w:rsidRPr="0072604C" w14:paraId="1F61C9BA" w14:textId="77777777" w:rsidTr="00CD0355">
        <w:trPr>
          <w:cantSplit/>
          <w:jc w:val="center"/>
        </w:trPr>
        <w:tc>
          <w:tcPr>
            <w:tcW w:w="1274" w:type="dxa"/>
          </w:tcPr>
          <w:p w14:paraId="7E6AA7B6" w14:textId="77777777" w:rsidR="00CD0355" w:rsidRPr="0072604C" w:rsidRDefault="00CD0355" w:rsidP="00CD0355">
            <w:pPr>
              <w:tabs>
                <w:tab w:val="left" w:pos="180"/>
                <w:tab w:val="left" w:pos="360"/>
                <w:tab w:val="left" w:pos="8640"/>
              </w:tabs>
              <w:rPr>
                <w:sz w:val="16"/>
                <w:szCs w:val="16"/>
              </w:rPr>
            </w:pPr>
            <w:r w:rsidRPr="0072604C">
              <w:rPr>
                <w:sz w:val="16"/>
                <w:szCs w:val="16"/>
              </w:rPr>
              <w:t>Spearhead</w:t>
            </w:r>
          </w:p>
        </w:tc>
        <w:tc>
          <w:tcPr>
            <w:tcW w:w="810" w:type="dxa"/>
            <w:vAlign w:val="bottom"/>
          </w:tcPr>
          <w:p w14:paraId="5CB0F5F7"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14:paraId="0BD8E085"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14:paraId="1A2A155A"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14:paraId="5B81D8AA"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2 Plants per Acre</w:t>
            </w:r>
          </w:p>
        </w:tc>
      </w:tr>
      <w:tr w:rsidR="00CD0355" w:rsidRPr="0072604C" w14:paraId="5F428D51" w14:textId="77777777" w:rsidTr="00CD0355">
        <w:trPr>
          <w:cantSplit/>
          <w:jc w:val="center"/>
        </w:trPr>
        <w:tc>
          <w:tcPr>
            <w:tcW w:w="1274" w:type="dxa"/>
          </w:tcPr>
          <w:p w14:paraId="0584A17E" w14:textId="77777777" w:rsidR="00CD0355" w:rsidRPr="0072604C" w:rsidRDefault="00CD0355" w:rsidP="00CD0355">
            <w:pPr>
              <w:tabs>
                <w:tab w:val="left" w:pos="180"/>
                <w:tab w:val="left" w:pos="360"/>
                <w:tab w:val="left" w:pos="8640"/>
              </w:tabs>
              <w:rPr>
                <w:sz w:val="16"/>
                <w:szCs w:val="16"/>
              </w:rPr>
            </w:pPr>
            <w:r w:rsidRPr="0072604C">
              <w:rPr>
                <w:sz w:val="16"/>
                <w:szCs w:val="16"/>
              </w:rPr>
              <w:t>Indian Jointvetch</w:t>
            </w:r>
          </w:p>
        </w:tc>
        <w:tc>
          <w:tcPr>
            <w:tcW w:w="810" w:type="dxa"/>
            <w:vAlign w:val="bottom"/>
          </w:tcPr>
          <w:p w14:paraId="4C3405BC"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14:paraId="02CCE886"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14:paraId="0A010D63"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4 Plants per Acre</w:t>
            </w:r>
          </w:p>
        </w:tc>
        <w:tc>
          <w:tcPr>
            <w:tcW w:w="961" w:type="dxa"/>
            <w:vAlign w:val="bottom"/>
          </w:tcPr>
          <w:p w14:paraId="656B44FD" w14:textId="77777777" w:rsidR="00CD0355" w:rsidRPr="0072604C" w:rsidRDefault="00CD0355" w:rsidP="00CD0355">
            <w:pPr>
              <w:tabs>
                <w:tab w:val="left" w:pos="180"/>
                <w:tab w:val="left" w:pos="360"/>
                <w:tab w:val="left" w:pos="8640"/>
              </w:tabs>
              <w:jc w:val="center"/>
              <w:rPr>
                <w:sz w:val="16"/>
                <w:szCs w:val="16"/>
              </w:rPr>
            </w:pPr>
            <w:r w:rsidRPr="0072604C">
              <w:rPr>
                <w:sz w:val="16"/>
                <w:szCs w:val="16"/>
              </w:rPr>
              <w:t>4 Plants per Acre</w:t>
            </w:r>
          </w:p>
        </w:tc>
      </w:tr>
      <w:tr w:rsidR="00CD0355" w:rsidRPr="0072604C" w14:paraId="4D1A91F2" w14:textId="77777777" w:rsidTr="00CD0355">
        <w:trPr>
          <w:cantSplit/>
          <w:jc w:val="center"/>
        </w:trPr>
        <w:tc>
          <w:tcPr>
            <w:tcW w:w="5054" w:type="dxa"/>
            <w:gridSpan w:val="5"/>
            <w:tcBorders>
              <w:bottom w:val="double" w:sz="6" w:space="0" w:color="000000"/>
            </w:tcBorders>
            <w:vAlign w:val="bottom"/>
          </w:tcPr>
          <w:p w14:paraId="1734512B" w14:textId="77777777" w:rsidR="00CD0355" w:rsidRPr="0072604C" w:rsidRDefault="00CD0355" w:rsidP="00CD0355">
            <w:pPr>
              <w:tabs>
                <w:tab w:val="left" w:pos="180"/>
                <w:tab w:val="left" w:pos="360"/>
                <w:tab w:val="left" w:pos="8640"/>
              </w:tabs>
              <w:rPr>
                <w:sz w:val="16"/>
                <w:szCs w:val="16"/>
              </w:rPr>
            </w:pPr>
            <w:r w:rsidRPr="0072604C">
              <w:rPr>
                <w:sz w:val="16"/>
                <w:szCs w:val="16"/>
              </w:rPr>
              <w:t>*Diseases seriously affecting quality of seed and transmissible by planting stock.</w:t>
            </w:r>
          </w:p>
        </w:tc>
      </w:tr>
    </w:tbl>
    <w:p w14:paraId="0F5DDB04" w14:textId="77777777" w:rsidR="00CD0355" w:rsidRPr="008700FC" w:rsidRDefault="00CD0355" w:rsidP="00CD0355">
      <w:pPr>
        <w:tabs>
          <w:tab w:val="left" w:pos="187"/>
          <w:tab w:val="left" w:pos="540"/>
          <w:tab w:val="left" w:pos="4500"/>
          <w:tab w:val="left" w:pos="4680"/>
          <w:tab w:val="left" w:pos="4860"/>
          <w:tab w:val="left" w:pos="5040"/>
          <w:tab w:val="left" w:pos="7200"/>
        </w:tabs>
        <w:ind w:firstLine="187"/>
        <w:jc w:val="both"/>
        <w:outlineLvl w:val="3"/>
        <w:rPr>
          <w:kern w:val="2"/>
          <w:sz w:val="20"/>
        </w:rPr>
      </w:pPr>
    </w:p>
    <w:p w14:paraId="1EA7E3B9" w14:textId="77777777" w:rsidR="00CD0355" w:rsidRPr="001531CD" w:rsidRDefault="00CD0355" w:rsidP="00CD0355">
      <w:pPr>
        <w:pStyle w:val="A"/>
      </w:pPr>
      <w:r w:rsidRPr="001531CD">
        <w:t>C.</w:t>
      </w:r>
      <w:r w:rsidRPr="001531CD">
        <w:tab/>
        <w:t>Seed Standards</w:t>
      </w:r>
    </w:p>
    <w:tbl>
      <w:tblPr>
        <w:tblW w:w="50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11"/>
        <w:gridCol w:w="764"/>
        <w:gridCol w:w="1058"/>
        <w:gridCol w:w="942"/>
        <w:gridCol w:w="953"/>
      </w:tblGrid>
      <w:tr w:rsidR="00CD0355" w:rsidRPr="001531CD" w14:paraId="77FCF28C" w14:textId="77777777" w:rsidTr="00CD0355">
        <w:trPr>
          <w:cantSplit/>
          <w:tblHeader/>
          <w:jc w:val="center"/>
        </w:trPr>
        <w:tc>
          <w:tcPr>
            <w:tcW w:w="1311" w:type="dxa"/>
            <w:tcBorders>
              <w:top w:val="double" w:sz="6" w:space="0" w:color="000000"/>
              <w:bottom w:val="single" w:sz="6" w:space="0" w:color="000000"/>
            </w:tcBorders>
            <w:shd w:val="clear" w:color="auto" w:fill="BFBFBF"/>
          </w:tcPr>
          <w:p w14:paraId="29D7FDAF" w14:textId="77777777"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764" w:type="dxa"/>
            <w:tcBorders>
              <w:top w:val="double" w:sz="6" w:space="0" w:color="000000"/>
              <w:bottom w:val="single" w:sz="6" w:space="0" w:color="000000"/>
            </w:tcBorders>
            <w:shd w:val="clear" w:color="auto" w:fill="BFBFBF"/>
            <w:vAlign w:val="center"/>
          </w:tcPr>
          <w:p w14:paraId="5E2BF55E" w14:textId="77777777"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Breeder</w:t>
            </w:r>
          </w:p>
        </w:tc>
        <w:tc>
          <w:tcPr>
            <w:tcW w:w="1058" w:type="dxa"/>
            <w:tcBorders>
              <w:top w:val="double" w:sz="6" w:space="0" w:color="000000"/>
              <w:bottom w:val="single" w:sz="6" w:space="0" w:color="000000"/>
            </w:tcBorders>
            <w:shd w:val="clear" w:color="auto" w:fill="BFBFBF"/>
            <w:vAlign w:val="center"/>
          </w:tcPr>
          <w:p w14:paraId="57710C56" w14:textId="77777777"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Foundation</w:t>
            </w:r>
          </w:p>
        </w:tc>
        <w:tc>
          <w:tcPr>
            <w:tcW w:w="942" w:type="dxa"/>
            <w:tcBorders>
              <w:top w:val="double" w:sz="6" w:space="0" w:color="000000"/>
              <w:bottom w:val="single" w:sz="6" w:space="0" w:color="000000"/>
            </w:tcBorders>
            <w:shd w:val="clear" w:color="auto" w:fill="BFBFBF"/>
            <w:vAlign w:val="center"/>
          </w:tcPr>
          <w:p w14:paraId="26F31C61" w14:textId="77777777"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Registered</w:t>
            </w:r>
          </w:p>
        </w:tc>
        <w:tc>
          <w:tcPr>
            <w:tcW w:w="953" w:type="dxa"/>
            <w:tcBorders>
              <w:top w:val="double" w:sz="6" w:space="0" w:color="000000"/>
              <w:bottom w:val="single" w:sz="6" w:space="0" w:color="000000"/>
            </w:tcBorders>
            <w:shd w:val="clear" w:color="auto" w:fill="BFBFBF"/>
            <w:vAlign w:val="center"/>
          </w:tcPr>
          <w:p w14:paraId="5794869C" w14:textId="77777777"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Certified</w:t>
            </w:r>
          </w:p>
        </w:tc>
      </w:tr>
      <w:tr w:rsidR="00CD0355" w:rsidRPr="001531CD" w14:paraId="7D5BC1BB" w14:textId="77777777" w:rsidTr="00CD0355">
        <w:trPr>
          <w:cantSplit/>
          <w:jc w:val="center"/>
        </w:trPr>
        <w:tc>
          <w:tcPr>
            <w:tcW w:w="1311" w:type="dxa"/>
            <w:tcBorders>
              <w:top w:val="single" w:sz="6" w:space="0" w:color="000000"/>
            </w:tcBorders>
          </w:tcPr>
          <w:p w14:paraId="3DF1E9EF" w14:textId="77777777" w:rsidR="00CD0355" w:rsidRPr="001531CD" w:rsidRDefault="00CD0355" w:rsidP="00CD0355">
            <w:pPr>
              <w:tabs>
                <w:tab w:val="left" w:pos="180"/>
                <w:tab w:val="left" w:pos="360"/>
                <w:tab w:val="left" w:pos="8640"/>
              </w:tabs>
              <w:rPr>
                <w:sz w:val="16"/>
                <w:szCs w:val="16"/>
              </w:rPr>
            </w:pPr>
            <w:r w:rsidRPr="001531CD">
              <w:rPr>
                <w:sz w:val="16"/>
                <w:szCs w:val="16"/>
              </w:rPr>
              <w:t>Pure Seed</w:t>
            </w:r>
          </w:p>
        </w:tc>
        <w:tc>
          <w:tcPr>
            <w:tcW w:w="764" w:type="dxa"/>
            <w:tcBorders>
              <w:top w:val="single" w:sz="6" w:space="0" w:color="000000"/>
            </w:tcBorders>
            <w:vAlign w:val="center"/>
          </w:tcPr>
          <w:p w14:paraId="04A84015"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1058" w:type="dxa"/>
            <w:tcBorders>
              <w:top w:val="single" w:sz="6" w:space="0" w:color="000000"/>
            </w:tcBorders>
            <w:vAlign w:val="center"/>
          </w:tcPr>
          <w:p w14:paraId="45AF1954"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942" w:type="dxa"/>
            <w:tcBorders>
              <w:top w:val="single" w:sz="6" w:space="0" w:color="000000"/>
            </w:tcBorders>
            <w:vAlign w:val="center"/>
          </w:tcPr>
          <w:p w14:paraId="696B9217"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953" w:type="dxa"/>
            <w:tcBorders>
              <w:top w:val="single" w:sz="6" w:space="0" w:color="000000"/>
            </w:tcBorders>
            <w:vAlign w:val="center"/>
          </w:tcPr>
          <w:p w14:paraId="5ED06FBE"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r>
      <w:tr w:rsidR="00CD0355" w:rsidRPr="001531CD" w14:paraId="0FC3B307" w14:textId="77777777" w:rsidTr="00CD0355">
        <w:trPr>
          <w:cantSplit/>
          <w:jc w:val="center"/>
        </w:trPr>
        <w:tc>
          <w:tcPr>
            <w:tcW w:w="1311" w:type="dxa"/>
          </w:tcPr>
          <w:p w14:paraId="442430D9" w14:textId="77777777" w:rsidR="00CD0355" w:rsidRPr="001531CD" w:rsidRDefault="00CD0355" w:rsidP="00CD0355">
            <w:pPr>
              <w:tabs>
                <w:tab w:val="left" w:pos="180"/>
                <w:tab w:val="left" w:pos="360"/>
                <w:tab w:val="left" w:pos="8640"/>
              </w:tabs>
              <w:rPr>
                <w:sz w:val="16"/>
                <w:szCs w:val="16"/>
              </w:rPr>
            </w:pPr>
            <w:r w:rsidRPr="001531CD">
              <w:rPr>
                <w:sz w:val="16"/>
                <w:szCs w:val="16"/>
              </w:rPr>
              <w:t>Inert Matter</w:t>
            </w:r>
          </w:p>
        </w:tc>
        <w:tc>
          <w:tcPr>
            <w:tcW w:w="764" w:type="dxa"/>
            <w:vAlign w:val="center"/>
          </w:tcPr>
          <w:p w14:paraId="3B72CFDF"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1058" w:type="dxa"/>
            <w:vAlign w:val="center"/>
          </w:tcPr>
          <w:p w14:paraId="3E9D6C16"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942" w:type="dxa"/>
            <w:vAlign w:val="center"/>
          </w:tcPr>
          <w:p w14:paraId="38486C2C"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953" w:type="dxa"/>
            <w:vAlign w:val="center"/>
          </w:tcPr>
          <w:p w14:paraId="4D6AA834"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r>
      <w:tr w:rsidR="00CD0355" w:rsidRPr="001531CD" w14:paraId="563CE37B" w14:textId="77777777" w:rsidTr="00CD0355">
        <w:trPr>
          <w:cantSplit/>
          <w:jc w:val="center"/>
        </w:trPr>
        <w:tc>
          <w:tcPr>
            <w:tcW w:w="1311" w:type="dxa"/>
          </w:tcPr>
          <w:p w14:paraId="61B7C8BE" w14:textId="77777777" w:rsidR="00CD0355" w:rsidRPr="001531CD" w:rsidRDefault="00CD0355" w:rsidP="00CD0355">
            <w:pPr>
              <w:tabs>
                <w:tab w:val="left" w:pos="180"/>
                <w:tab w:val="left" w:pos="360"/>
                <w:tab w:val="left" w:pos="8640"/>
              </w:tabs>
              <w:rPr>
                <w:sz w:val="16"/>
                <w:szCs w:val="16"/>
              </w:rPr>
            </w:pPr>
            <w:r w:rsidRPr="001531CD">
              <w:rPr>
                <w:sz w:val="16"/>
                <w:szCs w:val="16"/>
              </w:rPr>
              <w:t>Other Crops, including Other Varieties</w:t>
            </w:r>
          </w:p>
        </w:tc>
        <w:tc>
          <w:tcPr>
            <w:tcW w:w="764" w:type="dxa"/>
            <w:vAlign w:val="center"/>
          </w:tcPr>
          <w:p w14:paraId="629CF983"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14:paraId="3B1D0449"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14:paraId="633A3B5C"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14:paraId="4C042644"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 seed/lb.</w:t>
            </w:r>
          </w:p>
        </w:tc>
      </w:tr>
      <w:tr w:rsidR="00CD0355" w:rsidRPr="001531CD" w14:paraId="0113C452" w14:textId="77777777" w:rsidTr="00CD0355">
        <w:trPr>
          <w:cantSplit/>
          <w:jc w:val="center"/>
        </w:trPr>
        <w:tc>
          <w:tcPr>
            <w:tcW w:w="1311" w:type="dxa"/>
          </w:tcPr>
          <w:p w14:paraId="78EFCB49" w14:textId="77777777" w:rsidR="00CD0355" w:rsidRPr="001531CD" w:rsidRDefault="00CD0355" w:rsidP="00CD0355">
            <w:pPr>
              <w:tabs>
                <w:tab w:val="left" w:pos="180"/>
                <w:tab w:val="left" w:pos="360"/>
                <w:tab w:val="left" w:pos="8640"/>
              </w:tabs>
              <w:rPr>
                <w:sz w:val="16"/>
                <w:szCs w:val="16"/>
              </w:rPr>
            </w:pPr>
            <w:r w:rsidRPr="001531CD">
              <w:rPr>
                <w:sz w:val="16"/>
                <w:szCs w:val="16"/>
              </w:rPr>
              <w:t>Off-Color Grains, if of similar size, quality and maturity</w:t>
            </w:r>
          </w:p>
        </w:tc>
        <w:tc>
          <w:tcPr>
            <w:tcW w:w="764" w:type="dxa"/>
            <w:vAlign w:val="center"/>
          </w:tcPr>
          <w:p w14:paraId="2256950D"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14:paraId="6EA0CBFE"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5 seed/lb.</w:t>
            </w:r>
          </w:p>
        </w:tc>
        <w:tc>
          <w:tcPr>
            <w:tcW w:w="942" w:type="dxa"/>
            <w:vAlign w:val="center"/>
          </w:tcPr>
          <w:p w14:paraId="29BEB8ED"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10 seed/lb.</w:t>
            </w:r>
          </w:p>
        </w:tc>
        <w:tc>
          <w:tcPr>
            <w:tcW w:w="953" w:type="dxa"/>
            <w:vAlign w:val="center"/>
          </w:tcPr>
          <w:p w14:paraId="14C91412"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20 seed/lb.</w:t>
            </w:r>
          </w:p>
        </w:tc>
      </w:tr>
      <w:tr w:rsidR="00CD0355" w:rsidRPr="001531CD" w14:paraId="02519815" w14:textId="77777777" w:rsidTr="00CD0355">
        <w:trPr>
          <w:cantSplit/>
          <w:jc w:val="center"/>
        </w:trPr>
        <w:tc>
          <w:tcPr>
            <w:tcW w:w="1311" w:type="dxa"/>
          </w:tcPr>
          <w:p w14:paraId="6E5F1FBB" w14:textId="77777777" w:rsidR="00CD0355" w:rsidRPr="001531CD" w:rsidRDefault="00CD0355" w:rsidP="00CD0355">
            <w:pPr>
              <w:tabs>
                <w:tab w:val="left" w:pos="180"/>
                <w:tab w:val="left" w:pos="360"/>
                <w:tab w:val="left" w:pos="8640"/>
              </w:tabs>
              <w:rPr>
                <w:sz w:val="16"/>
                <w:szCs w:val="16"/>
              </w:rPr>
            </w:pPr>
            <w:r w:rsidRPr="001531CD">
              <w:rPr>
                <w:sz w:val="16"/>
                <w:szCs w:val="16"/>
              </w:rPr>
              <w:t>Noxious Weeds: Red Rice (including Black Hull Rice)</w:t>
            </w:r>
          </w:p>
        </w:tc>
        <w:tc>
          <w:tcPr>
            <w:tcW w:w="764" w:type="dxa"/>
            <w:vAlign w:val="center"/>
          </w:tcPr>
          <w:p w14:paraId="52512DA3"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14:paraId="0F50B064"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14:paraId="258BAE91"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14:paraId="7AB4BA07"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r>
      <w:tr w:rsidR="00CD0355" w:rsidRPr="001531CD" w14:paraId="1F1B9F37" w14:textId="77777777" w:rsidTr="00CD0355">
        <w:trPr>
          <w:cantSplit/>
          <w:jc w:val="center"/>
        </w:trPr>
        <w:tc>
          <w:tcPr>
            <w:tcW w:w="1311" w:type="dxa"/>
          </w:tcPr>
          <w:p w14:paraId="0F4402B9" w14:textId="77777777" w:rsidR="00CD0355" w:rsidRPr="001531CD" w:rsidRDefault="00CD0355" w:rsidP="00CD0355">
            <w:pPr>
              <w:tabs>
                <w:tab w:val="left" w:pos="180"/>
                <w:tab w:val="left" w:pos="360"/>
                <w:tab w:val="left" w:pos="8640"/>
              </w:tabs>
              <w:rPr>
                <w:sz w:val="16"/>
                <w:szCs w:val="16"/>
              </w:rPr>
            </w:pPr>
            <w:r w:rsidRPr="00CC62CC">
              <w:rPr>
                <w:sz w:val="16"/>
                <w:szCs w:val="16"/>
              </w:rPr>
              <w:t>Spearhead, Indian Jointvetch and Mexican Weed</w:t>
            </w:r>
          </w:p>
        </w:tc>
        <w:tc>
          <w:tcPr>
            <w:tcW w:w="764" w:type="dxa"/>
            <w:vAlign w:val="center"/>
          </w:tcPr>
          <w:p w14:paraId="3F292350"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14:paraId="283C9612"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14:paraId="3755FA7F"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14:paraId="78779853"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r>
      <w:tr w:rsidR="00CD0355" w:rsidRPr="001531CD" w14:paraId="01A904E9" w14:textId="77777777" w:rsidTr="00CD0355">
        <w:trPr>
          <w:cantSplit/>
          <w:jc w:val="center"/>
        </w:trPr>
        <w:tc>
          <w:tcPr>
            <w:tcW w:w="1311" w:type="dxa"/>
          </w:tcPr>
          <w:p w14:paraId="01B7CC96" w14:textId="77777777" w:rsidR="00CD0355" w:rsidRPr="001531CD" w:rsidRDefault="00CD0355" w:rsidP="00CD0355">
            <w:pPr>
              <w:tabs>
                <w:tab w:val="left" w:pos="180"/>
                <w:tab w:val="left" w:pos="360"/>
                <w:tab w:val="left" w:pos="8640"/>
              </w:tabs>
              <w:rPr>
                <w:sz w:val="16"/>
                <w:szCs w:val="16"/>
              </w:rPr>
            </w:pPr>
            <w:r w:rsidRPr="001531CD">
              <w:rPr>
                <w:sz w:val="16"/>
                <w:szCs w:val="16"/>
              </w:rPr>
              <w:t>Other Weeds</w:t>
            </w:r>
          </w:p>
        </w:tc>
        <w:tc>
          <w:tcPr>
            <w:tcW w:w="764" w:type="dxa"/>
            <w:vAlign w:val="center"/>
          </w:tcPr>
          <w:p w14:paraId="03305489"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1058" w:type="dxa"/>
            <w:vAlign w:val="center"/>
          </w:tcPr>
          <w:p w14:paraId="7027CE88"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942" w:type="dxa"/>
            <w:vAlign w:val="center"/>
          </w:tcPr>
          <w:p w14:paraId="422B222D"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953" w:type="dxa"/>
            <w:vAlign w:val="center"/>
          </w:tcPr>
          <w:p w14:paraId="0BCAE467"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0.10%</w:t>
            </w:r>
          </w:p>
        </w:tc>
      </w:tr>
      <w:tr w:rsidR="00CD0355" w:rsidRPr="001531CD" w14:paraId="3FAA9785" w14:textId="77777777" w:rsidTr="00CD0355">
        <w:trPr>
          <w:cantSplit/>
          <w:jc w:val="center"/>
        </w:trPr>
        <w:tc>
          <w:tcPr>
            <w:tcW w:w="1311" w:type="dxa"/>
          </w:tcPr>
          <w:p w14:paraId="4C2E08AE" w14:textId="77777777" w:rsidR="00CD0355" w:rsidRPr="001531CD" w:rsidRDefault="00CD0355" w:rsidP="00CD0355">
            <w:pPr>
              <w:tabs>
                <w:tab w:val="left" w:pos="180"/>
                <w:tab w:val="left" w:pos="360"/>
                <w:tab w:val="left" w:pos="8640"/>
              </w:tabs>
              <w:rPr>
                <w:sz w:val="16"/>
                <w:szCs w:val="16"/>
              </w:rPr>
            </w:pPr>
            <w:r w:rsidRPr="001531CD">
              <w:rPr>
                <w:sz w:val="16"/>
                <w:szCs w:val="16"/>
              </w:rPr>
              <w:t>Germination</w:t>
            </w:r>
          </w:p>
        </w:tc>
        <w:tc>
          <w:tcPr>
            <w:tcW w:w="764" w:type="dxa"/>
            <w:vAlign w:val="center"/>
          </w:tcPr>
          <w:p w14:paraId="1D0FD13B" w14:textId="77777777" w:rsidR="00CD0355" w:rsidRPr="001531CD" w:rsidRDefault="00CD0355" w:rsidP="00CD0355">
            <w:pPr>
              <w:tabs>
                <w:tab w:val="left" w:pos="180"/>
                <w:tab w:val="left" w:pos="360"/>
                <w:tab w:val="left" w:pos="8640"/>
              </w:tabs>
              <w:jc w:val="center"/>
              <w:rPr>
                <w:sz w:val="16"/>
                <w:szCs w:val="16"/>
              </w:rPr>
            </w:pPr>
          </w:p>
        </w:tc>
        <w:tc>
          <w:tcPr>
            <w:tcW w:w="1058" w:type="dxa"/>
            <w:vAlign w:val="center"/>
          </w:tcPr>
          <w:p w14:paraId="02DA9775"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c>
          <w:tcPr>
            <w:tcW w:w="942" w:type="dxa"/>
            <w:vAlign w:val="center"/>
          </w:tcPr>
          <w:p w14:paraId="16F120DF"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c>
          <w:tcPr>
            <w:tcW w:w="953" w:type="dxa"/>
            <w:vAlign w:val="center"/>
          </w:tcPr>
          <w:p w14:paraId="3B86DBCA" w14:textId="77777777"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r>
      <w:tr w:rsidR="00CD0355" w:rsidRPr="001531CD" w14:paraId="69A717C1" w14:textId="77777777" w:rsidTr="00CD0355">
        <w:trPr>
          <w:cantSplit/>
          <w:jc w:val="center"/>
        </w:trPr>
        <w:tc>
          <w:tcPr>
            <w:tcW w:w="5028" w:type="dxa"/>
            <w:gridSpan w:val="5"/>
            <w:tcBorders>
              <w:bottom w:val="double" w:sz="6" w:space="0" w:color="000000"/>
            </w:tcBorders>
          </w:tcPr>
          <w:p w14:paraId="0E839991" w14:textId="77777777" w:rsidR="00CD0355" w:rsidRPr="001531CD" w:rsidRDefault="00CD0355" w:rsidP="00CD0355">
            <w:pPr>
              <w:tabs>
                <w:tab w:val="left" w:pos="180"/>
                <w:tab w:val="left" w:pos="360"/>
                <w:tab w:val="left" w:pos="8640"/>
              </w:tabs>
              <w:rPr>
                <w:sz w:val="16"/>
                <w:szCs w:val="16"/>
              </w:rPr>
            </w:pPr>
            <w:r w:rsidRPr="00C853DA">
              <w:rPr>
                <w:sz w:val="16"/>
                <w:szCs w:val="16"/>
                <w:vertAlign w:val="superscript"/>
              </w:rPr>
              <w:t>**</w:t>
            </w:r>
            <w:r w:rsidRPr="001531CD">
              <w:rPr>
                <w:sz w:val="16"/>
                <w:szCs w:val="16"/>
              </w:rPr>
              <w:t>Four pounds shall be hulled from each lot to determine red rice content.</w:t>
            </w:r>
          </w:p>
        </w:tc>
      </w:tr>
    </w:tbl>
    <w:p w14:paraId="4A473D46" w14:textId="77777777" w:rsidR="00CD0355" w:rsidRPr="001531CD" w:rsidRDefault="00CD0355" w:rsidP="00CD0355">
      <w:pPr>
        <w:tabs>
          <w:tab w:val="left" w:pos="180"/>
          <w:tab w:val="left" w:pos="360"/>
          <w:tab w:val="left" w:pos="8640"/>
        </w:tabs>
        <w:rPr>
          <w:sz w:val="20"/>
        </w:rPr>
      </w:pPr>
    </w:p>
    <w:p w14:paraId="2A06916E" w14:textId="77777777" w:rsidR="00CD0355" w:rsidRPr="001531CD" w:rsidRDefault="00CD0355" w:rsidP="00CD0355">
      <w:pPr>
        <w:pStyle w:val="AuthorityNote"/>
        <w:tabs>
          <w:tab w:val="clear" w:pos="1800"/>
        </w:tabs>
      </w:pPr>
      <w:r w:rsidRPr="001531CD">
        <w:t>AUTHORITY NOTE:</w:t>
      </w:r>
      <w:r w:rsidRPr="001531CD">
        <w:tab/>
        <w:t>Promulgated in accordance with R.S. 3:1433.</w:t>
      </w:r>
    </w:p>
    <w:p w14:paraId="5905EB1F" w14:textId="77777777" w:rsidR="00CD0355" w:rsidRPr="001531CD" w:rsidRDefault="00CD0355" w:rsidP="00CD0355">
      <w:pPr>
        <w:pStyle w:val="HistoricalNote"/>
      </w:pPr>
      <w:r w:rsidRPr="001531CD">
        <w:t>HISTORICAL NOTE:</w:t>
      </w:r>
      <w:r w:rsidRPr="001531CD">
        <w:tab/>
        <w:t>Promulgated by the Department of Agriculture, Seed Commission, LR 8:576 (November 1982), amended LR 9:201 (April 1983), LR 9:754 (November 1983), LR 10:495 (July 1984), amended by the Department of Agriculture and Forestry, Office of Agricultural and Environmental Sciences, Seed Commission, LR 12:825 (December 1986), LR 13:157 (March 1987), LR 13:233 (April 1987), LR 14:606 (September 1988), LR 14:694 (October 1988), LR 15:613 (August 1989), LR 19:888 (July 1993), repromulgated by the Department of Agriculture and Forestry, Office of Agricultural and Environmental Sciences</w:t>
      </w:r>
      <w:r>
        <w:t xml:space="preserve"> and </w:t>
      </w:r>
      <w:r w:rsidRPr="001531CD">
        <w:t>Agricultural Chemistry and Seed Commis</w:t>
      </w:r>
      <w:r>
        <w:t>sion, LR 39:2724 (October 2013), amended LR 42</w:t>
      </w:r>
      <w:r w:rsidRPr="00BB51B8">
        <w:t>:</w:t>
      </w:r>
      <w:r>
        <w:t>212 (February 2016)</w:t>
      </w:r>
      <w:r w:rsidRPr="00CC62CC">
        <w:t>, LR 44:1855 (October 2018).</w:t>
      </w:r>
    </w:p>
    <w:p w14:paraId="5319ED03" w14:textId="77777777" w:rsidR="00CD0355" w:rsidRPr="001531CD" w:rsidRDefault="00CD0355" w:rsidP="00CD0355">
      <w:pPr>
        <w:pStyle w:val="Section"/>
      </w:pPr>
      <w:bookmarkStart w:id="1166" w:name="_Toc224818814"/>
      <w:r w:rsidRPr="001531CD">
        <w:lastRenderedPageBreak/>
        <w:t>§751.</w:t>
      </w:r>
      <w:r w:rsidRPr="001531CD">
        <w:tab/>
        <w:t>Seed Irish Potato Certification Standards</w:t>
      </w:r>
      <w:bookmarkEnd w:id="1166"/>
    </w:p>
    <w:p w14:paraId="24A66362" w14:textId="77777777" w:rsidR="00CD0355" w:rsidRPr="001531CD" w:rsidRDefault="00CD0355" w:rsidP="00CD0355">
      <w:pPr>
        <w:pStyle w:val="A"/>
        <w:keepNext/>
      </w:pPr>
      <w:r w:rsidRPr="001531CD">
        <w:t>A.</w:t>
      </w:r>
      <w:r w:rsidRPr="001531CD">
        <w:tab/>
        <w:t>Inspections</w:t>
      </w:r>
    </w:p>
    <w:p w14:paraId="1E3F7188" w14:textId="77777777" w:rsidR="00CD0355" w:rsidRPr="001531CD" w:rsidRDefault="00CD0355" w:rsidP="00CD0355">
      <w:pPr>
        <w:pStyle w:val="1"/>
        <w:keepNext/>
      </w:pPr>
      <w:r w:rsidRPr="001531CD">
        <w:t>1.</w:t>
      </w:r>
      <w:r w:rsidRPr="001531CD">
        <w:tab/>
        <w:t>At least two field inspections shall be made.</w:t>
      </w:r>
    </w:p>
    <w:p w14:paraId="02F33A76" w14:textId="77777777" w:rsidR="00CD0355" w:rsidRPr="001531CD" w:rsidRDefault="00CD0355" w:rsidP="00CD0355">
      <w:pPr>
        <w:pStyle w:val="1"/>
      </w:pPr>
      <w:r w:rsidRPr="001531CD">
        <w:t>2.</w:t>
      </w:r>
      <w:r w:rsidRPr="001531CD">
        <w:tab/>
        <w:t>An inspection shall be made of the tubers at the time of shipment.</w:t>
      </w:r>
    </w:p>
    <w:p w14:paraId="4816825B" w14:textId="77777777" w:rsidR="00CD0355" w:rsidRPr="001531CD" w:rsidRDefault="00CD0355" w:rsidP="00CD0355">
      <w:pPr>
        <w:pStyle w:val="A"/>
      </w:pPr>
      <w:r w:rsidRPr="001531CD">
        <w:t>B.</w:t>
      </w:r>
      <w:r w:rsidRPr="001531CD">
        <w:tab/>
        <w:t>Field Standards</w:t>
      </w:r>
    </w:p>
    <w:tbl>
      <w:tblPr>
        <w:tblW w:w="491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989"/>
        <w:gridCol w:w="1080"/>
        <w:gridCol w:w="982"/>
        <w:gridCol w:w="862"/>
      </w:tblGrid>
      <w:tr w:rsidR="00CD0355" w:rsidRPr="001531CD" w14:paraId="5A9D583A" w14:textId="77777777" w:rsidTr="00CD0355">
        <w:trPr>
          <w:cantSplit/>
          <w:jc w:val="center"/>
        </w:trPr>
        <w:tc>
          <w:tcPr>
            <w:tcW w:w="1989" w:type="dxa"/>
            <w:tcBorders>
              <w:top w:val="double" w:sz="6" w:space="0" w:color="000000"/>
              <w:bottom w:val="single" w:sz="6" w:space="0" w:color="000000"/>
            </w:tcBorders>
            <w:shd w:val="clear" w:color="auto" w:fill="BFBFBF"/>
            <w:vAlign w:val="bottom"/>
          </w:tcPr>
          <w:p w14:paraId="2293AD76" w14:textId="77777777" w:rsidR="00CD0355" w:rsidRPr="001531CD" w:rsidRDefault="00CD0355" w:rsidP="00CD0355">
            <w:pPr>
              <w:ind w:left="-86"/>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14:paraId="16724E87" w14:textId="77777777" w:rsidR="00CD0355" w:rsidRPr="001531CD" w:rsidRDefault="00CD0355" w:rsidP="00CD0355">
            <w:pPr>
              <w:jc w:val="center"/>
              <w:rPr>
                <w:b/>
                <w:bCs/>
                <w:sz w:val="16"/>
                <w:szCs w:val="16"/>
              </w:rPr>
            </w:pPr>
            <w:r w:rsidRPr="001531CD">
              <w:rPr>
                <w:b/>
                <w:bCs/>
                <w:sz w:val="16"/>
                <w:szCs w:val="16"/>
              </w:rPr>
              <w:t>Foundation</w:t>
            </w:r>
          </w:p>
        </w:tc>
        <w:tc>
          <w:tcPr>
            <w:tcW w:w="982" w:type="dxa"/>
            <w:tcBorders>
              <w:top w:val="double" w:sz="6" w:space="0" w:color="000000"/>
              <w:bottom w:val="single" w:sz="6" w:space="0" w:color="000000"/>
            </w:tcBorders>
            <w:shd w:val="clear" w:color="auto" w:fill="BFBFBF"/>
            <w:vAlign w:val="center"/>
          </w:tcPr>
          <w:p w14:paraId="3A3B4F89" w14:textId="77777777" w:rsidR="00CD0355" w:rsidRPr="001531CD" w:rsidRDefault="00CD0355" w:rsidP="00CD0355">
            <w:pPr>
              <w:tabs>
                <w:tab w:val="left" w:pos="180"/>
                <w:tab w:val="left" w:pos="360"/>
              </w:tabs>
              <w:ind w:hanging="18"/>
              <w:jc w:val="center"/>
              <w:rPr>
                <w:b/>
                <w:bCs/>
                <w:sz w:val="16"/>
                <w:szCs w:val="16"/>
              </w:rPr>
            </w:pPr>
            <w:r w:rsidRPr="001531CD">
              <w:rPr>
                <w:b/>
                <w:bCs/>
                <w:sz w:val="16"/>
                <w:szCs w:val="16"/>
              </w:rPr>
              <w:t>Registered</w:t>
            </w:r>
          </w:p>
        </w:tc>
        <w:tc>
          <w:tcPr>
            <w:tcW w:w="862" w:type="dxa"/>
            <w:tcBorders>
              <w:top w:val="double" w:sz="6" w:space="0" w:color="000000"/>
              <w:bottom w:val="single" w:sz="6" w:space="0" w:color="000000"/>
            </w:tcBorders>
            <w:shd w:val="clear" w:color="auto" w:fill="BFBFBF"/>
            <w:vAlign w:val="center"/>
          </w:tcPr>
          <w:p w14:paraId="106700FB" w14:textId="77777777" w:rsidR="00CD0355" w:rsidRPr="001531CD" w:rsidRDefault="00CD0355" w:rsidP="00CD0355">
            <w:pPr>
              <w:tabs>
                <w:tab w:val="left" w:pos="180"/>
                <w:tab w:val="left" w:pos="360"/>
              </w:tabs>
              <w:ind w:hanging="18"/>
              <w:jc w:val="center"/>
              <w:rPr>
                <w:b/>
                <w:bCs/>
                <w:sz w:val="16"/>
                <w:szCs w:val="16"/>
              </w:rPr>
            </w:pPr>
            <w:r w:rsidRPr="001531CD">
              <w:rPr>
                <w:b/>
                <w:bCs/>
                <w:sz w:val="16"/>
                <w:szCs w:val="16"/>
              </w:rPr>
              <w:t>Certified</w:t>
            </w:r>
          </w:p>
        </w:tc>
      </w:tr>
      <w:tr w:rsidR="00CD0355" w:rsidRPr="001531CD" w14:paraId="14722304" w14:textId="77777777" w:rsidTr="00CD0355">
        <w:trPr>
          <w:cantSplit/>
          <w:jc w:val="center"/>
        </w:trPr>
        <w:tc>
          <w:tcPr>
            <w:tcW w:w="1989" w:type="dxa"/>
            <w:tcBorders>
              <w:top w:val="single" w:sz="6" w:space="0" w:color="000000"/>
            </w:tcBorders>
          </w:tcPr>
          <w:p w14:paraId="614E8801" w14:textId="77777777" w:rsidR="00CD0355" w:rsidRPr="001531CD" w:rsidRDefault="00CD0355" w:rsidP="00CD0355">
            <w:pPr>
              <w:rPr>
                <w:sz w:val="16"/>
                <w:szCs w:val="16"/>
              </w:rPr>
            </w:pPr>
            <w:r w:rsidRPr="001531CD">
              <w:rPr>
                <w:sz w:val="16"/>
                <w:szCs w:val="16"/>
              </w:rPr>
              <w:t>Land Requirement</w:t>
            </w:r>
          </w:p>
        </w:tc>
        <w:tc>
          <w:tcPr>
            <w:tcW w:w="1080" w:type="dxa"/>
            <w:tcBorders>
              <w:top w:val="single" w:sz="6" w:space="0" w:color="000000"/>
            </w:tcBorders>
            <w:vAlign w:val="bottom"/>
          </w:tcPr>
          <w:p w14:paraId="1CC46D86" w14:textId="77777777" w:rsidR="00CD0355" w:rsidRPr="001531CD" w:rsidRDefault="00CD0355" w:rsidP="00CD0355">
            <w:pPr>
              <w:jc w:val="center"/>
              <w:rPr>
                <w:sz w:val="16"/>
                <w:szCs w:val="16"/>
              </w:rPr>
            </w:pPr>
            <w:r w:rsidRPr="001531CD">
              <w:rPr>
                <w:sz w:val="16"/>
                <w:szCs w:val="16"/>
              </w:rPr>
              <w:t>1 yr.</w:t>
            </w:r>
          </w:p>
        </w:tc>
        <w:tc>
          <w:tcPr>
            <w:tcW w:w="982" w:type="dxa"/>
            <w:tcBorders>
              <w:top w:val="single" w:sz="6" w:space="0" w:color="000000"/>
            </w:tcBorders>
            <w:vAlign w:val="bottom"/>
          </w:tcPr>
          <w:p w14:paraId="36AA7B62" w14:textId="77777777" w:rsidR="00CD0355" w:rsidRPr="001531CD" w:rsidRDefault="00CD0355" w:rsidP="00CD0355">
            <w:pPr>
              <w:jc w:val="center"/>
              <w:rPr>
                <w:sz w:val="16"/>
                <w:szCs w:val="16"/>
              </w:rPr>
            </w:pPr>
            <w:r w:rsidRPr="001531CD">
              <w:rPr>
                <w:sz w:val="16"/>
                <w:szCs w:val="16"/>
              </w:rPr>
              <w:t>1 yr.</w:t>
            </w:r>
          </w:p>
        </w:tc>
        <w:tc>
          <w:tcPr>
            <w:tcW w:w="862" w:type="dxa"/>
            <w:tcBorders>
              <w:top w:val="single" w:sz="6" w:space="0" w:color="000000"/>
            </w:tcBorders>
            <w:vAlign w:val="bottom"/>
          </w:tcPr>
          <w:p w14:paraId="454C1FF0" w14:textId="77777777" w:rsidR="00CD0355" w:rsidRPr="001531CD" w:rsidRDefault="00CD0355" w:rsidP="00CD0355">
            <w:pPr>
              <w:jc w:val="center"/>
              <w:rPr>
                <w:sz w:val="16"/>
                <w:szCs w:val="16"/>
              </w:rPr>
            </w:pPr>
            <w:r w:rsidRPr="001531CD">
              <w:rPr>
                <w:sz w:val="16"/>
                <w:szCs w:val="16"/>
              </w:rPr>
              <w:t>1 yr.</w:t>
            </w:r>
          </w:p>
        </w:tc>
      </w:tr>
      <w:tr w:rsidR="00CD0355" w:rsidRPr="001531CD" w14:paraId="739A52A9" w14:textId="77777777" w:rsidTr="00CD0355">
        <w:trPr>
          <w:cantSplit/>
          <w:jc w:val="center"/>
        </w:trPr>
        <w:tc>
          <w:tcPr>
            <w:tcW w:w="1989" w:type="dxa"/>
          </w:tcPr>
          <w:p w14:paraId="79B60859" w14:textId="77777777" w:rsidR="00CD0355" w:rsidRPr="001531CD" w:rsidRDefault="00CD0355" w:rsidP="00CD0355">
            <w:pPr>
              <w:rPr>
                <w:sz w:val="16"/>
                <w:szCs w:val="16"/>
              </w:rPr>
            </w:pPr>
            <w:r w:rsidRPr="001531CD">
              <w:rPr>
                <w:sz w:val="16"/>
                <w:szCs w:val="16"/>
              </w:rPr>
              <w:t>Isolation</w:t>
            </w:r>
          </w:p>
        </w:tc>
        <w:tc>
          <w:tcPr>
            <w:tcW w:w="1080" w:type="dxa"/>
            <w:vAlign w:val="bottom"/>
          </w:tcPr>
          <w:p w14:paraId="576B2B80" w14:textId="77777777" w:rsidR="00CD0355" w:rsidRPr="001531CD" w:rsidRDefault="00CD0355" w:rsidP="00CD0355">
            <w:pPr>
              <w:jc w:val="center"/>
              <w:rPr>
                <w:sz w:val="16"/>
                <w:szCs w:val="16"/>
              </w:rPr>
            </w:pPr>
            <w:r w:rsidRPr="001531CD">
              <w:rPr>
                <w:sz w:val="16"/>
                <w:szCs w:val="16"/>
              </w:rPr>
              <w:t>10 ft.</w:t>
            </w:r>
          </w:p>
        </w:tc>
        <w:tc>
          <w:tcPr>
            <w:tcW w:w="982" w:type="dxa"/>
            <w:vAlign w:val="bottom"/>
          </w:tcPr>
          <w:p w14:paraId="4570C05D" w14:textId="77777777" w:rsidR="00CD0355" w:rsidRPr="001531CD" w:rsidRDefault="00CD0355" w:rsidP="00CD0355">
            <w:pPr>
              <w:jc w:val="center"/>
              <w:rPr>
                <w:sz w:val="16"/>
                <w:szCs w:val="16"/>
              </w:rPr>
            </w:pPr>
            <w:r w:rsidRPr="001531CD">
              <w:rPr>
                <w:sz w:val="16"/>
                <w:szCs w:val="16"/>
              </w:rPr>
              <w:t>10 ft.</w:t>
            </w:r>
          </w:p>
        </w:tc>
        <w:tc>
          <w:tcPr>
            <w:tcW w:w="862" w:type="dxa"/>
            <w:vAlign w:val="bottom"/>
          </w:tcPr>
          <w:p w14:paraId="11909B16" w14:textId="77777777" w:rsidR="00CD0355" w:rsidRPr="001531CD" w:rsidRDefault="00CD0355" w:rsidP="00CD0355">
            <w:pPr>
              <w:jc w:val="center"/>
              <w:rPr>
                <w:sz w:val="16"/>
                <w:szCs w:val="16"/>
              </w:rPr>
            </w:pPr>
            <w:r w:rsidRPr="001531CD">
              <w:rPr>
                <w:sz w:val="16"/>
                <w:szCs w:val="16"/>
              </w:rPr>
              <w:t>10 ft.</w:t>
            </w:r>
          </w:p>
        </w:tc>
      </w:tr>
      <w:tr w:rsidR="00CD0355" w:rsidRPr="001531CD" w14:paraId="62D01996" w14:textId="77777777" w:rsidTr="00CD0355">
        <w:trPr>
          <w:cantSplit/>
          <w:jc w:val="center"/>
        </w:trPr>
        <w:tc>
          <w:tcPr>
            <w:tcW w:w="1989" w:type="dxa"/>
          </w:tcPr>
          <w:p w14:paraId="02621C07" w14:textId="77777777" w:rsidR="00CD0355" w:rsidRPr="001531CD" w:rsidRDefault="00CD0355" w:rsidP="00CD0355">
            <w:pPr>
              <w:rPr>
                <w:sz w:val="16"/>
                <w:szCs w:val="16"/>
              </w:rPr>
            </w:pPr>
            <w:r w:rsidRPr="001531CD">
              <w:rPr>
                <w:sz w:val="16"/>
                <w:szCs w:val="16"/>
              </w:rPr>
              <w:t>Other V</w:t>
            </w:r>
            <w:r>
              <w:rPr>
                <w:sz w:val="16"/>
                <w:szCs w:val="16"/>
              </w:rPr>
              <w:t>arieties and</w:t>
            </w:r>
            <w:r>
              <w:rPr>
                <w:sz w:val="16"/>
                <w:szCs w:val="16"/>
              </w:rPr>
              <w:br/>
            </w:r>
            <w:r w:rsidRPr="001531CD">
              <w:rPr>
                <w:sz w:val="16"/>
                <w:szCs w:val="16"/>
              </w:rPr>
              <w:t>Off-type Plants</w:t>
            </w:r>
          </w:p>
        </w:tc>
        <w:tc>
          <w:tcPr>
            <w:tcW w:w="1080" w:type="dxa"/>
            <w:vAlign w:val="bottom"/>
          </w:tcPr>
          <w:p w14:paraId="08D9EB20" w14:textId="77777777" w:rsidR="00CD0355" w:rsidRPr="001531CD" w:rsidRDefault="00CD0355" w:rsidP="00CD0355">
            <w:pPr>
              <w:jc w:val="center"/>
              <w:rPr>
                <w:sz w:val="16"/>
                <w:szCs w:val="16"/>
              </w:rPr>
            </w:pPr>
            <w:r w:rsidRPr="001531CD">
              <w:rPr>
                <w:sz w:val="16"/>
                <w:szCs w:val="16"/>
              </w:rPr>
              <w:t>None</w:t>
            </w:r>
          </w:p>
        </w:tc>
        <w:tc>
          <w:tcPr>
            <w:tcW w:w="982" w:type="dxa"/>
            <w:vAlign w:val="bottom"/>
          </w:tcPr>
          <w:p w14:paraId="2B1DCF0B" w14:textId="77777777" w:rsidR="00CD0355" w:rsidRPr="001531CD" w:rsidRDefault="00CD0355" w:rsidP="00CD0355">
            <w:pPr>
              <w:jc w:val="center"/>
              <w:rPr>
                <w:sz w:val="16"/>
                <w:szCs w:val="16"/>
              </w:rPr>
            </w:pPr>
            <w:r w:rsidRPr="001531CD">
              <w:rPr>
                <w:sz w:val="16"/>
                <w:szCs w:val="16"/>
              </w:rPr>
              <w:t>None</w:t>
            </w:r>
          </w:p>
        </w:tc>
        <w:tc>
          <w:tcPr>
            <w:tcW w:w="862" w:type="dxa"/>
            <w:vAlign w:val="bottom"/>
          </w:tcPr>
          <w:p w14:paraId="319CAE1B" w14:textId="77777777" w:rsidR="00CD0355" w:rsidRPr="001531CD" w:rsidRDefault="00CD0355" w:rsidP="00CD0355">
            <w:pPr>
              <w:jc w:val="center"/>
              <w:rPr>
                <w:sz w:val="16"/>
                <w:szCs w:val="16"/>
              </w:rPr>
            </w:pPr>
            <w:r w:rsidRPr="001531CD">
              <w:rPr>
                <w:sz w:val="16"/>
                <w:szCs w:val="16"/>
              </w:rPr>
              <w:t>0.10%</w:t>
            </w:r>
          </w:p>
        </w:tc>
      </w:tr>
      <w:tr w:rsidR="00CD0355" w:rsidRPr="001531CD" w14:paraId="17D16DDD" w14:textId="77777777" w:rsidTr="00CD0355">
        <w:trPr>
          <w:cantSplit/>
          <w:jc w:val="center"/>
        </w:trPr>
        <w:tc>
          <w:tcPr>
            <w:tcW w:w="1989" w:type="dxa"/>
          </w:tcPr>
          <w:p w14:paraId="64727488" w14:textId="77777777" w:rsidR="00CD0355" w:rsidRPr="001531CD" w:rsidRDefault="00CD0355" w:rsidP="00CD0355">
            <w:pPr>
              <w:rPr>
                <w:sz w:val="16"/>
                <w:szCs w:val="16"/>
              </w:rPr>
            </w:pPr>
            <w:r w:rsidRPr="001531CD">
              <w:rPr>
                <w:sz w:val="16"/>
                <w:szCs w:val="16"/>
              </w:rPr>
              <w:t>Diseases*</w:t>
            </w:r>
          </w:p>
        </w:tc>
        <w:tc>
          <w:tcPr>
            <w:tcW w:w="1080" w:type="dxa"/>
            <w:vAlign w:val="bottom"/>
          </w:tcPr>
          <w:p w14:paraId="15ED7042" w14:textId="77777777" w:rsidR="00CD0355" w:rsidRPr="001531CD" w:rsidRDefault="00CD0355" w:rsidP="00CD0355">
            <w:pPr>
              <w:jc w:val="center"/>
              <w:rPr>
                <w:sz w:val="16"/>
                <w:szCs w:val="16"/>
              </w:rPr>
            </w:pPr>
            <w:r w:rsidRPr="001531CD">
              <w:rPr>
                <w:sz w:val="16"/>
                <w:szCs w:val="16"/>
              </w:rPr>
              <w:t>0.20%</w:t>
            </w:r>
          </w:p>
        </w:tc>
        <w:tc>
          <w:tcPr>
            <w:tcW w:w="982" w:type="dxa"/>
            <w:vAlign w:val="bottom"/>
          </w:tcPr>
          <w:p w14:paraId="50F84833" w14:textId="77777777" w:rsidR="00CD0355" w:rsidRPr="001531CD" w:rsidRDefault="00CD0355" w:rsidP="00CD0355">
            <w:pPr>
              <w:jc w:val="center"/>
              <w:rPr>
                <w:sz w:val="16"/>
                <w:szCs w:val="16"/>
              </w:rPr>
            </w:pPr>
            <w:r w:rsidRPr="001531CD">
              <w:rPr>
                <w:sz w:val="16"/>
                <w:szCs w:val="16"/>
              </w:rPr>
              <w:t>0.20%</w:t>
            </w:r>
          </w:p>
        </w:tc>
        <w:tc>
          <w:tcPr>
            <w:tcW w:w="862" w:type="dxa"/>
            <w:vAlign w:val="bottom"/>
          </w:tcPr>
          <w:p w14:paraId="5FF6BD85" w14:textId="77777777" w:rsidR="00CD0355" w:rsidRPr="001531CD" w:rsidRDefault="00CD0355" w:rsidP="00CD0355">
            <w:pPr>
              <w:jc w:val="center"/>
              <w:rPr>
                <w:sz w:val="16"/>
                <w:szCs w:val="16"/>
              </w:rPr>
            </w:pPr>
            <w:r w:rsidRPr="001531CD">
              <w:rPr>
                <w:sz w:val="16"/>
                <w:szCs w:val="16"/>
              </w:rPr>
              <w:t>0.20%</w:t>
            </w:r>
          </w:p>
        </w:tc>
      </w:tr>
      <w:tr w:rsidR="00CD0355" w:rsidRPr="001531CD" w14:paraId="58F79727" w14:textId="77777777" w:rsidTr="00CD0355">
        <w:trPr>
          <w:cantSplit/>
          <w:jc w:val="center"/>
        </w:trPr>
        <w:tc>
          <w:tcPr>
            <w:tcW w:w="1989" w:type="dxa"/>
          </w:tcPr>
          <w:p w14:paraId="587062E4" w14:textId="77777777" w:rsidR="00CD0355" w:rsidRPr="001531CD" w:rsidRDefault="00CD0355" w:rsidP="00CD0355">
            <w:pPr>
              <w:rPr>
                <w:sz w:val="16"/>
                <w:szCs w:val="16"/>
              </w:rPr>
            </w:pPr>
            <w:r w:rsidRPr="001531CD">
              <w:rPr>
                <w:sz w:val="16"/>
                <w:szCs w:val="16"/>
              </w:rPr>
              <w:t>Mild Mosaic</w:t>
            </w:r>
          </w:p>
        </w:tc>
        <w:tc>
          <w:tcPr>
            <w:tcW w:w="1080" w:type="dxa"/>
            <w:vAlign w:val="bottom"/>
          </w:tcPr>
          <w:p w14:paraId="6A8EBA17" w14:textId="77777777" w:rsidR="00CD0355" w:rsidRPr="001531CD" w:rsidRDefault="00CD0355" w:rsidP="00CD0355">
            <w:pPr>
              <w:jc w:val="center"/>
              <w:rPr>
                <w:sz w:val="16"/>
                <w:szCs w:val="16"/>
              </w:rPr>
            </w:pPr>
            <w:r w:rsidRPr="001531CD">
              <w:rPr>
                <w:sz w:val="16"/>
                <w:szCs w:val="16"/>
              </w:rPr>
              <w:t>0.50%</w:t>
            </w:r>
          </w:p>
        </w:tc>
        <w:tc>
          <w:tcPr>
            <w:tcW w:w="982" w:type="dxa"/>
            <w:vAlign w:val="bottom"/>
          </w:tcPr>
          <w:p w14:paraId="0085E877" w14:textId="77777777" w:rsidR="00CD0355" w:rsidRPr="001531CD" w:rsidRDefault="00CD0355" w:rsidP="00CD0355">
            <w:pPr>
              <w:jc w:val="center"/>
              <w:rPr>
                <w:sz w:val="16"/>
                <w:szCs w:val="16"/>
              </w:rPr>
            </w:pPr>
            <w:r w:rsidRPr="001531CD">
              <w:rPr>
                <w:sz w:val="16"/>
                <w:szCs w:val="16"/>
              </w:rPr>
              <w:t>0.50%</w:t>
            </w:r>
          </w:p>
        </w:tc>
        <w:tc>
          <w:tcPr>
            <w:tcW w:w="862" w:type="dxa"/>
            <w:vAlign w:val="bottom"/>
          </w:tcPr>
          <w:p w14:paraId="2C33C41F" w14:textId="77777777" w:rsidR="00CD0355" w:rsidRPr="001531CD" w:rsidRDefault="00CD0355" w:rsidP="00CD0355">
            <w:pPr>
              <w:jc w:val="center"/>
              <w:rPr>
                <w:sz w:val="16"/>
                <w:szCs w:val="16"/>
              </w:rPr>
            </w:pPr>
            <w:r w:rsidRPr="001531CD">
              <w:rPr>
                <w:sz w:val="16"/>
                <w:szCs w:val="16"/>
              </w:rPr>
              <w:t>5.00%</w:t>
            </w:r>
          </w:p>
        </w:tc>
      </w:tr>
      <w:tr w:rsidR="00CD0355" w:rsidRPr="001531CD" w14:paraId="35F7AB37" w14:textId="77777777" w:rsidTr="00CD0355">
        <w:trPr>
          <w:cantSplit/>
          <w:jc w:val="center"/>
        </w:trPr>
        <w:tc>
          <w:tcPr>
            <w:tcW w:w="1989" w:type="dxa"/>
          </w:tcPr>
          <w:p w14:paraId="2D6E99DC" w14:textId="77777777" w:rsidR="00CD0355" w:rsidRPr="001531CD" w:rsidRDefault="00CD0355" w:rsidP="00CD0355">
            <w:pPr>
              <w:rPr>
                <w:sz w:val="16"/>
                <w:szCs w:val="16"/>
              </w:rPr>
            </w:pPr>
            <w:r w:rsidRPr="001531CD">
              <w:rPr>
                <w:sz w:val="16"/>
                <w:szCs w:val="16"/>
              </w:rPr>
              <w:t>Sclerotium Rolfsii Wilt</w:t>
            </w:r>
          </w:p>
        </w:tc>
        <w:tc>
          <w:tcPr>
            <w:tcW w:w="1080" w:type="dxa"/>
            <w:vAlign w:val="bottom"/>
          </w:tcPr>
          <w:p w14:paraId="07115143" w14:textId="77777777" w:rsidR="00CD0355" w:rsidRPr="001531CD" w:rsidRDefault="00CD0355" w:rsidP="00CD0355">
            <w:pPr>
              <w:jc w:val="center"/>
              <w:rPr>
                <w:sz w:val="16"/>
                <w:szCs w:val="16"/>
              </w:rPr>
            </w:pPr>
            <w:r w:rsidRPr="001531CD">
              <w:rPr>
                <w:sz w:val="16"/>
                <w:szCs w:val="16"/>
              </w:rPr>
              <w:t>0.50%</w:t>
            </w:r>
          </w:p>
        </w:tc>
        <w:tc>
          <w:tcPr>
            <w:tcW w:w="982" w:type="dxa"/>
            <w:vAlign w:val="bottom"/>
          </w:tcPr>
          <w:p w14:paraId="3E671DA1" w14:textId="77777777" w:rsidR="00CD0355" w:rsidRPr="001531CD" w:rsidRDefault="00CD0355" w:rsidP="00CD0355">
            <w:pPr>
              <w:jc w:val="center"/>
              <w:rPr>
                <w:sz w:val="16"/>
                <w:szCs w:val="16"/>
              </w:rPr>
            </w:pPr>
            <w:r w:rsidRPr="001531CD">
              <w:rPr>
                <w:sz w:val="16"/>
                <w:szCs w:val="16"/>
              </w:rPr>
              <w:t>0.50%</w:t>
            </w:r>
          </w:p>
        </w:tc>
        <w:tc>
          <w:tcPr>
            <w:tcW w:w="862" w:type="dxa"/>
            <w:vAlign w:val="bottom"/>
          </w:tcPr>
          <w:p w14:paraId="14E87C5D" w14:textId="77777777" w:rsidR="00CD0355" w:rsidRPr="001531CD" w:rsidRDefault="00CD0355" w:rsidP="00CD0355">
            <w:pPr>
              <w:jc w:val="center"/>
              <w:rPr>
                <w:sz w:val="16"/>
                <w:szCs w:val="16"/>
              </w:rPr>
            </w:pPr>
            <w:r w:rsidRPr="001531CD">
              <w:rPr>
                <w:sz w:val="16"/>
                <w:szCs w:val="16"/>
              </w:rPr>
              <w:t>1.00%</w:t>
            </w:r>
          </w:p>
        </w:tc>
      </w:tr>
      <w:tr w:rsidR="00CD0355" w:rsidRPr="001531CD" w14:paraId="039CB6FB" w14:textId="77777777" w:rsidTr="00CD0355">
        <w:trPr>
          <w:cantSplit/>
          <w:jc w:val="center"/>
        </w:trPr>
        <w:tc>
          <w:tcPr>
            <w:tcW w:w="1989" w:type="dxa"/>
          </w:tcPr>
          <w:p w14:paraId="797035FE" w14:textId="77777777" w:rsidR="00CD0355" w:rsidRPr="001531CD" w:rsidRDefault="00CD0355" w:rsidP="00CD0355">
            <w:pPr>
              <w:rPr>
                <w:sz w:val="16"/>
                <w:szCs w:val="16"/>
              </w:rPr>
            </w:pPr>
            <w:r w:rsidRPr="001531CD">
              <w:rPr>
                <w:sz w:val="16"/>
                <w:szCs w:val="16"/>
              </w:rPr>
              <w:t>Potato Wart, Ring Rot, Late Blight</w:t>
            </w:r>
          </w:p>
        </w:tc>
        <w:tc>
          <w:tcPr>
            <w:tcW w:w="1080" w:type="dxa"/>
            <w:vAlign w:val="bottom"/>
          </w:tcPr>
          <w:p w14:paraId="60D44962" w14:textId="77777777" w:rsidR="00CD0355" w:rsidRPr="001531CD" w:rsidRDefault="00CD0355" w:rsidP="00CD0355">
            <w:pPr>
              <w:jc w:val="center"/>
              <w:rPr>
                <w:sz w:val="16"/>
                <w:szCs w:val="16"/>
              </w:rPr>
            </w:pPr>
            <w:r w:rsidRPr="001531CD">
              <w:rPr>
                <w:sz w:val="16"/>
                <w:szCs w:val="16"/>
              </w:rPr>
              <w:t>1.00%</w:t>
            </w:r>
          </w:p>
        </w:tc>
        <w:tc>
          <w:tcPr>
            <w:tcW w:w="982" w:type="dxa"/>
            <w:vAlign w:val="bottom"/>
          </w:tcPr>
          <w:p w14:paraId="4B101509" w14:textId="77777777" w:rsidR="00CD0355" w:rsidRPr="001531CD" w:rsidRDefault="00CD0355" w:rsidP="00CD0355">
            <w:pPr>
              <w:jc w:val="center"/>
              <w:rPr>
                <w:sz w:val="16"/>
                <w:szCs w:val="16"/>
              </w:rPr>
            </w:pPr>
            <w:r w:rsidRPr="001531CD">
              <w:rPr>
                <w:sz w:val="16"/>
                <w:szCs w:val="16"/>
              </w:rPr>
              <w:t>1.00%</w:t>
            </w:r>
          </w:p>
        </w:tc>
        <w:tc>
          <w:tcPr>
            <w:tcW w:w="862" w:type="dxa"/>
            <w:vAlign w:val="bottom"/>
          </w:tcPr>
          <w:p w14:paraId="4303CB58" w14:textId="77777777" w:rsidR="00CD0355" w:rsidRPr="001531CD" w:rsidRDefault="00CD0355" w:rsidP="00CD0355">
            <w:pPr>
              <w:jc w:val="center"/>
              <w:rPr>
                <w:sz w:val="16"/>
                <w:szCs w:val="16"/>
              </w:rPr>
            </w:pPr>
            <w:r w:rsidRPr="001531CD">
              <w:rPr>
                <w:sz w:val="16"/>
                <w:szCs w:val="16"/>
              </w:rPr>
              <w:t>1.00%</w:t>
            </w:r>
          </w:p>
        </w:tc>
      </w:tr>
      <w:tr w:rsidR="00CD0355" w:rsidRPr="001531CD" w14:paraId="1599ACE9" w14:textId="77777777" w:rsidTr="00CD0355">
        <w:trPr>
          <w:cantSplit/>
          <w:jc w:val="center"/>
        </w:trPr>
        <w:tc>
          <w:tcPr>
            <w:tcW w:w="1989" w:type="dxa"/>
          </w:tcPr>
          <w:p w14:paraId="2E245DA7" w14:textId="77777777" w:rsidR="00CD0355" w:rsidRPr="001531CD" w:rsidRDefault="00CD0355" w:rsidP="00CD0355">
            <w:pPr>
              <w:rPr>
                <w:sz w:val="16"/>
                <w:szCs w:val="16"/>
              </w:rPr>
            </w:pPr>
            <w:r w:rsidRPr="001531CD">
              <w:rPr>
                <w:sz w:val="16"/>
                <w:szCs w:val="16"/>
              </w:rPr>
              <w:t>Total Diseases</w:t>
            </w:r>
          </w:p>
        </w:tc>
        <w:tc>
          <w:tcPr>
            <w:tcW w:w="1080" w:type="dxa"/>
            <w:vAlign w:val="bottom"/>
          </w:tcPr>
          <w:p w14:paraId="4429986C" w14:textId="77777777" w:rsidR="00CD0355" w:rsidRPr="001531CD" w:rsidRDefault="00CD0355" w:rsidP="00CD0355">
            <w:pPr>
              <w:jc w:val="center"/>
              <w:rPr>
                <w:sz w:val="16"/>
                <w:szCs w:val="16"/>
              </w:rPr>
            </w:pPr>
            <w:r w:rsidRPr="001531CD">
              <w:rPr>
                <w:sz w:val="16"/>
                <w:szCs w:val="16"/>
              </w:rPr>
              <w:t>0.30%</w:t>
            </w:r>
          </w:p>
        </w:tc>
        <w:tc>
          <w:tcPr>
            <w:tcW w:w="982" w:type="dxa"/>
            <w:vAlign w:val="bottom"/>
          </w:tcPr>
          <w:p w14:paraId="0AC94F63" w14:textId="77777777" w:rsidR="00CD0355" w:rsidRPr="001531CD" w:rsidRDefault="00CD0355" w:rsidP="00CD0355">
            <w:pPr>
              <w:jc w:val="center"/>
              <w:rPr>
                <w:sz w:val="16"/>
                <w:szCs w:val="16"/>
              </w:rPr>
            </w:pPr>
            <w:r w:rsidRPr="001531CD">
              <w:rPr>
                <w:sz w:val="16"/>
                <w:szCs w:val="16"/>
              </w:rPr>
              <w:t>0.30%</w:t>
            </w:r>
          </w:p>
        </w:tc>
        <w:tc>
          <w:tcPr>
            <w:tcW w:w="862" w:type="dxa"/>
            <w:vAlign w:val="bottom"/>
          </w:tcPr>
          <w:p w14:paraId="67F74EDF" w14:textId="77777777" w:rsidR="00CD0355" w:rsidRPr="001531CD" w:rsidRDefault="00CD0355" w:rsidP="00CD0355">
            <w:pPr>
              <w:jc w:val="center"/>
              <w:rPr>
                <w:sz w:val="16"/>
                <w:szCs w:val="16"/>
              </w:rPr>
            </w:pPr>
            <w:r w:rsidRPr="001531CD">
              <w:rPr>
                <w:sz w:val="16"/>
                <w:szCs w:val="16"/>
              </w:rPr>
              <w:t>0.30%</w:t>
            </w:r>
          </w:p>
        </w:tc>
      </w:tr>
      <w:tr w:rsidR="00CD0355" w:rsidRPr="001531CD" w14:paraId="6CB96546" w14:textId="77777777" w:rsidTr="00CD0355">
        <w:trPr>
          <w:cantSplit/>
          <w:jc w:val="center"/>
        </w:trPr>
        <w:tc>
          <w:tcPr>
            <w:tcW w:w="1989" w:type="dxa"/>
          </w:tcPr>
          <w:p w14:paraId="438B2FB3" w14:textId="77777777" w:rsidR="00CD0355" w:rsidRPr="001531CD" w:rsidRDefault="00CD0355" w:rsidP="00CD0355">
            <w:pPr>
              <w:rPr>
                <w:sz w:val="16"/>
                <w:szCs w:val="16"/>
              </w:rPr>
            </w:pPr>
            <w:r w:rsidRPr="001531CD">
              <w:rPr>
                <w:sz w:val="16"/>
                <w:szCs w:val="16"/>
              </w:rPr>
              <w:t>Harmful Insects:</w:t>
            </w:r>
            <w:r w:rsidRPr="001531CD">
              <w:rPr>
                <w:sz w:val="16"/>
                <w:szCs w:val="16"/>
              </w:rPr>
              <w:br/>
              <w:t>Tuber Moth</w:t>
            </w:r>
          </w:p>
        </w:tc>
        <w:tc>
          <w:tcPr>
            <w:tcW w:w="1080" w:type="dxa"/>
            <w:vAlign w:val="bottom"/>
          </w:tcPr>
          <w:p w14:paraId="4DB1C3B0" w14:textId="77777777" w:rsidR="00CD0355" w:rsidRPr="001531CD" w:rsidRDefault="00CD0355" w:rsidP="00CD0355">
            <w:pPr>
              <w:jc w:val="center"/>
              <w:rPr>
                <w:sz w:val="16"/>
                <w:szCs w:val="16"/>
              </w:rPr>
            </w:pPr>
            <w:r w:rsidRPr="001531CD">
              <w:rPr>
                <w:sz w:val="16"/>
                <w:szCs w:val="16"/>
              </w:rPr>
              <w:t>None</w:t>
            </w:r>
          </w:p>
        </w:tc>
        <w:tc>
          <w:tcPr>
            <w:tcW w:w="982" w:type="dxa"/>
            <w:vAlign w:val="bottom"/>
          </w:tcPr>
          <w:p w14:paraId="37AD12BA" w14:textId="77777777" w:rsidR="00CD0355" w:rsidRPr="001531CD" w:rsidRDefault="00CD0355" w:rsidP="00CD0355">
            <w:pPr>
              <w:jc w:val="center"/>
              <w:rPr>
                <w:sz w:val="16"/>
                <w:szCs w:val="16"/>
              </w:rPr>
            </w:pPr>
            <w:r w:rsidRPr="001531CD">
              <w:rPr>
                <w:sz w:val="16"/>
                <w:szCs w:val="16"/>
              </w:rPr>
              <w:t>None</w:t>
            </w:r>
          </w:p>
        </w:tc>
        <w:tc>
          <w:tcPr>
            <w:tcW w:w="862" w:type="dxa"/>
            <w:vAlign w:val="bottom"/>
          </w:tcPr>
          <w:p w14:paraId="05B4309B" w14:textId="77777777" w:rsidR="00CD0355" w:rsidRPr="001531CD" w:rsidRDefault="00CD0355" w:rsidP="00CD0355">
            <w:pPr>
              <w:jc w:val="center"/>
              <w:rPr>
                <w:sz w:val="16"/>
                <w:szCs w:val="16"/>
              </w:rPr>
            </w:pPr>
            <w:r w:rsidRPr="001531CD">
              <w:rPr>
                <w:sz w:val="16"/>
                <w:szCs w:val="16"/>
              </w:rPr>
              <w:t>None</w:t>
            </w:r>
          </w:p>
        </w:tc>
      </w:tr>
      <w:tr w:rsidR="00CD0355" w:rsidRPr="001531CD" w14:paraId="0714F1E9" w14:textId="77777777" w:rsidTr="00CD0355">
        <w:trPr>
          <w:cantSplit/>
          <w:jc w:val="center"/>
        </w:trPr>
        <w:tc>
          <w:tcPr>
            <w:tcW w:w="4913" w:type="dxa"/>
            <w:gridSpan w:val="4"/>
          </w:tcPr>
          <w:p w14:paraId="1F6F2CC3" w14:textId="77777777" w:rsidR="00CD0355" w:rsidRPr="001531CD" w:rsidRDefault="00CD0355" w:rsidP="00CD0355">
            <w:pPr>
              <w:tabs>
                <w:tab w:val="left" w:pos="180"/>
                <w:tab w:val="left" w:pos="360"/>
              </w:tabs>
              <w:ind w:firstLine="2"/>
              <w:rPr>
                <w:sz w:val="16"/>
                <w:szCs w:val="16"/>
              </w:rPr>
            </w:pPr>
            <w:r w:rsidRPr="00C853DA">
              <w:rPr>
                <w:sz w:val="16"/>
                <w:szCs w:val="16"/>
                <w:vertAlign w:val="superscript"/>
              </w:rPr>
              <w:t>*</w:t>
            </w:r>
            <w:r w:rsidRPr="001531CD">
              <w:rPr>
                <w:sz w:val="16"/>
                <w:szCs w:val="16"/>
              </w:rPr>
              <w:t>Rugose mosaic, leafroll, spindle tuber, yellow dwarf, witches' broom, haywire, giant hill, rosette, spinach leaf, curly dwarf.</w:t>
            </w:r>
          </w:p>
        </w:tc>
      </w:tr>
    </w:tbl>
    <w:p w14:paraId="49912C8B" w14:textId="77777777" w:rsidR="00CD0355" w:rsidRPr="001531CD" w:rsidRDefault="00CD0355" w:rsidP="00CD0355">
      <w:pPr>
        <w:pStyle w:val="A"/>
        <w:spacing w:after="0"/>
      </w:pPr>
    </w:p>
    <w:p w14:paraId="6166B37A" w14:textId="77777777" w:rsidR="00CD0355" w:rsidRPr="001531CD" w:rsidRDefault="00CD0355" w:rsidP="00CD0355">
      <w:pPr>
        <w:pStyle w:val="A"/>
      </w:pPr>
      <w:r w:rsidRPr="001531CD">
        <w:t>C.</w:t>
      </w:r>
      <w:r w:rsidRPr="001531CD">
        <w:tab/>
        <w:t>Tuber Standards</w:t>
      </w:r>
    </w:p>
    <w:tbl>
      <w:tblPr>
        <w:tblW w:w="49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01"/>
        <w:gridCol w:w="1080"/>
        <w:gridCol w:w="990"/>
        <w:gridCol w:w="866"/>
      </w:tblGrid>
      <w:tr w:rsidR="00CD0355" w:rsidRPr="001531CD" w14:paraId="0BB47107" w14:textId="77777777" w:rsidTr="00CD0355">
        <w:trPr>
          <w:cantSplit/>
          <w:tblHeader/>
          <w:jc w:val="center"/>
        </w:trPr>
        <w:tc>
          <w:tcPr>
            <w:tcW w:w="2001" w:type="dxa"/>
            <w:tcBorders>
              <w:top w:val="double" w:sz="6" w:space="0" w:color="000000"/>
              <w:bottom w:val="single" w:sz="6" w:space="0" w:color="000000"/>
            </w:tcBorders>
            <w:shd w:val="clear" w:color="auto" w:fill="BFBFBF"/>
            <w:vAlign w:val="center"/>
          </w:tcPr>
          <w:p w14:paraId="3C002723" w14:textId="77777777"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14:paraId="6CEA3F0E" w14:textId="77777777" w:rsidR="00CD0355" w:rsidRPr="001531CD" w:rsidRDefault="00CD0355" w:rsidP="00CD0355">
            <w:pPr>
              <w:tabs>
                <w:tab w:val="left" w:pos="180"/>
                <w:tab w:val="left" w:pos="360"/>
              </w:tabs>
              <w:jc w:val="center"/>
              <w:rPr>
                <w:b/>
                <w:kern w:val="2"/>
                <w:sz w:val="16"/>
                <w:szCs w:val="16"/>
              </w:rPr>
            </w:pPr>
            <w:r w:rsidRPr="001531CD">
              <w:rPr>
                <w:b/>
                <w:kern w:val="2"/>
                <w:sz w:val="16"/>
                <w:szCs w:val="16"/>
              </w:rPr>
              <w:t>Foundation</w:t>
            </w:r>
          </w:p>
        </w:tc>
        <w:tc>
          <w:tcPr>
            <w:tcW w:w="990" w:type="dxa"/>
            <w:tcBorders>
              <w:top w:val="double" w:sz="6" w:space="0" w:color="000000"/>
              <w:bottom w:val="single" w:sz="6" w:space="0" w:color="000000"/>
            </w:tcBorders>
            <w:shd w:val="clear" w:color="auto" w:fill="BFBFBF"/>
            <w:vAlign w:val="center"/>
          </w:tcPr>
          <w:p w14:paraId="7181F804" w14:textId="77777777" w:rsidR="00CD0355" w:rsidRPr="001531CD" w:rsidRDefault="00CD0355" w:rsidP="00CD0355">
            <w:pPr>
              <w:tabs>
                <w:tab w:val="left" w:pos="180"/>
                <w:tab w:val="left" w:pos="360"/>
              </w:tabs>
              <w:jc w:val="center"/>
              <w:rPr>
                <w:b/>
                <w:kern w:val="2"/>
                <w:sz w:val="16"/>
                <w:szCs w:val="16"/>
              </w:rPr>
            </w:pPr>
            <w:r w:rsidRPr="001531CD">
              <w:rPr>
                <w:b/>
                <w:kern w:val="2"/>
                <w:sz w:val="16"/>
                <w:szCs w:val="16"/>
              </w:rPr>
              <w:t>Registered</w:t>
            </w:r>
          </w:p>
        </w:tc>
        <w:tc>
          <w:tcPr>
            <w:tcW w:w="866" w:type="dxa"/>
            <w:tcBorders>
              <w:top w:val="double" w:sz="6" w:space="0" w:color="000000"/>
              <w:bottom w:val="single" w:sz="6" w:space="0" w:color="000000"/>
            </w:tcBorders>
            <w:shd w:val="clear" w:color="auto" w:fill="BFBFBF"/>
            <w:vAlign w:val="center"/>
          </w:tcPr>
          <w:p w14:paraId="22149C14" w14:textId="77777777" w:rsidR="00CD0355" w:rsidRPr="001531CD" w:rsidRDefault="00CD0355" w:rsidP="00CD0355">
            <w:pPr>
              <w:tabs>
                <w:tab w:val="left" w:pos="180"/>
                <w:tab w:val="left" w:pos="360"/>
              </w:tabs>
              <w:ind w:hanging="18"/>
              <w:jc w:val="center"/>
              <w:rPr>
                <w:b/>
                <w:kern w:val="2"/>
                <w:sz w:val="16"/>
                <w:szCs w:val="16"/>
              </w:rPr>
            </w:pPr>
            <w:r w:rsidRPr="001531CD">
              <w:rPr>
                <w:b/>
                <w:kern w:val="2"/>
                <w:sz w:val="16"/>
                <w:szCs w:val="16"/>
              </w:rPr>
              <w:t>Certified</w:t>
            </w:r>
          </w:p>
        </w:tc>
      </w:tr>
      <w:tr w:rsidR="00CD0355" w:rsidRPr="001531CD" w14:paraId="4D86F813" w14:textId="77777777" w:rsidTr="00CD0355">
        <w:trPr>
          <w:cantSplit/>
          <w:jc w:val="center"/>
        </w:trPr>
        <w:tc>
          <w:tcPr>
            <w:tcW w:w="2001" w:type="dxa"/>
            <w:tcBorders>
              <w:top w:val="single" w:sz="6" w:space="0" w:color="000000"/>
            </w:tcBorders>
          </w:tcPr>
          <w:p w14:paraId="2460D124" w14:textId="77777777" w:rsidR="00CD0355" w:rsidRPr="001531CD" w:rsidRDefault="00CD0355" w:rsidP="00CD0355">
            <w:pPr>
              <w:tabs>
                <w:tab w:val="left" w:pos="180"/>
                <w:tab w:val="left" w:pos="360"/>
              </w:tabs>
              <w:rPr>
                <w:sz w:val="16"/>
                <w:szCs w:val="16"/>
              </w:rPr>
            </w:pPr>
            <w:r w:rsidRPr="001531CD">
              <w:rPr>
                <w:sz w:val="16"/>
                <w:szCs w:val="16"/>
              </w:rPr>
              <w:t>Stem End Discoloration</w:t>
            </w:r>
          </w:p>
        </w:tc>
        <w:tc>
          <w:tcPr>
            <w:tcW w:w="1080" w:type="dxa"/>
            <w:tcBorders>
              <w:top w:val="single" w:sz="6" w:space="0" w:color="000000"/>
            </w:tcBorders>
            <w:vAlign w:val="bottom"/>
          </w:tcPr>
          <w:p w14:paraId="31442360" w14:textId="77777777" w:rsidR="00CD0355" w:rsidRPr="001531CD" w:rsidRDefault="00CD0355" w:rsidP="00CD0355">
            <w:pPr>
              <w:tabs>
                <w:tab w:val="left" w:pos="180"/>
                <w:tab w:val="left" w:pos="360"/>
              </w:tabs>
              <w:jc w:val="center"/>
              <w:rPr>
                <w:sz w:val="16"/>
                <w:szCs w:val="16"/>
              </w:rPr>
            </w:pPr>
            <w:r w:rsidRPr="001531CD">
              <w:rPr>
                <w:sz w:val="16"/>
                <w:szCs w:val="16"/>
              </w:rPr>
              <w:t>2.50%</w:t>
            </w:r>
          </w:p>
        </w:tc>
        <w:tc>
          <w:tcPr>
            <w:tcW w:w="990" w:type="dxa"/>
            <w:tcBorders>
              <w:top w:val="single" w:sz="6" w:space="0" w:color="000000"/>
            </w:tcBorders>
            <w:vAlign w:val="bottom"/>
          </w:tcPr>
          <w:p w14:paraId="1E0DF6CA" w14:textId="77777777" w:rsidR="00CD0355" w:rsidRPr="001531CD" w:rsidRDefault="00CD0355" w:rsidP="00CD0355">
            <w:pPr>
              <w:tabs>
                <w:tab w:val="left" w:pos="180"/>
                <w:tab w:val="left" w:pos="360"/>
              </w:tabs>
              <w:jc w:val="center"/>
              <w:rPr>
                <w:sz w:val="16"/>
                <w:szCs w:val="16"/>
              </w:rPr>
            </w:pPr>
            <w:r w:rsidRPr="001531CD">
              <w:rPr>
                <w:sz w:val="16"/>
                <w:szCs w:val="16"/>
              </w:rPr>
              <w:t>2.50%</w:t>
            </w:r>
          </w:p>
        </w:tc>
        <w:tc>
          <w:tcPr>
            <w:tcW w:w="866" w:type="dxa"/>
            <w:tcBorders>
              <w:top w:val="single" w:sz="6" w:space="0" w:color="000000"/>
            </w:tcBorders>
            <w:vAlign w:val="bottom"/>
          </w:tcPr>
          <w:p w14:paraId="18C15FDA" w14:textId="77777777"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14:paraId="4F4D5644" w14:textId="77777777" w:rsidTr="00CD0355">
        <w:trPr>
          <w:cantSplit/>
          <w:jc w:val="center"/>
        </w:trPr>
        <w:tc>
          <w:tcPr>
            <w:tcW w:w="2001" w:type="dxa"/>
          </w:tcPr>
          <w:p w14:paraId="4DE7CE7D" w14:textId="77777777" w:rsidR="00CD0355" w:rsidRPr="001531CD" w:rsidRDefault="00CD0355" w:rsidP="00CD0355">
            <w:pPr>
              <w:tabs>
                <w:tab w:val="left" w:pos="180"/>
                <w:tab w:val="left" w:pos="360"/>
              </w:tabs>
              <w:rPr>
                <w:sz w:val="16"/>
                <w:szCs w:val="16"/>
              </w:rPr>
            </w:pPr>
            <w:r w:rsidRPr="001531CD">
              <w:rPr>
                <w:sz w:val="16"/>
                <w:szCs w:val="16"/>
              </w:rPr>
              <w:t>Hair Sprout</w:t>
            </w:r>
          </w:p>
        </w:tc>
        <w:tc>
          <w:tcPr>
            <w:tcW w:w="1080" w:type="dxa"/>
            <w:vAlign w:val="bottom"/>
          </w:tcPr>
          <w:p w14:paraId="50E9663A"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14:paraId="2503B097"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14:paraId="199A4B74" w14:textId="77777777" w:rsidR="00CD0355" w:rsidRPr="001531CD" w:rsidRDefault="00CD0355" w:rsidP="00CD0355">
            <w:pPr>
              <w:tabs>
                <w:tab w:val="left" w:pos="180"/>
                <w:tab w:val="left" w:pos="360"/>
              </w:tabs>
              <w:jc w:val="center"/>
              <w:rPr>
                <w:sz w:val="16"/>
                <w:szCs w:val="16"/>
              </w:rPr>
            </w:pPr>
            <w:r w:rsidRPr="001531CD">
              <w:rPr>
                <w:sz w:val="16"/>
                <w:szCs w:val="16"/>
              </w:rPr>
              <w:t>5.00 %</w:t>
            </w:r>
          </w:p>
        </w:tc>
      </w:tr>
      <w:tr w:rsidR="00CD0355" w:rsidRPr="001531CD" w14:paraId="6C451338" w14:textId="77777777" w:rsidTr="00CD0355">
        <w:trPr>
          <w:cantSplit/>
          <w:jc w:val="center"/>
        </w:trPr>
        <w:tc>
          <w:tcPr>
            <w:tcW w:w="2001" w:type="dxa"/>
          </w:tcPr>
          <w:p w14:paraId="64F34039" w14:textId="77777777" w:rsidR="00CD0355" w:rsidRPr="001531CD" w:rsidRDefault="00CD0355" w:rsidP="00CD0355">
            <w:pPr>
              <w:tabs>
                <w:tab w:val="left" w:pos="180"/>
                <w:tab w:val="left" w:pos="360"/>
              </w:tabs>
              <w:rPr>
                <w:sz w:val="16"/>
                <w:szCs w:val="16"/>
              </w:rPr>
            </w:pPr>
            <w:r w:rsidRPr="001531CD">
              <w:rPr>
                <w:sz w:val="16"/>
                <w:szCs w:val="16"/>
              </w:rPr>
              <w:t>Spindle Tuber</w:t>
            </w:r>
          </w:p>
        </w:tc>
        <w:tc>
          <w:tcPr>
            <w:tcW w:w="1080" w:type="dxa"/>
            <w:vAlign w:val="bottom"/>
          </w:tcPr>
          <w:p w14:paraId="62F3BC85" w14:textId="77777777" w:rsidR="00CD0355" w:rsidRPr="001531CD" w:rsidRDefault="00CD0355" w:rsidP="00CD0355">
            <w:pPr>
              <w:tabs>
                <w:tab w:val="left" w:pos="180"/>
                <w:tab w:val="left" w:pos="360"/>
              </w:tabs>
              <w:jc w:val="center"/>
              <w:rPr>
                <w:sz w:val="16"/>
                <w:szCs w:val="16"/>
              </w:rPr>
            </w:pPr>
            <w:r w:rsidRPr="001531CD">
              <w:rPr>
                <w:sz w:val="16"/>
                <w:szCs w:val="16"/>
              </w:rPr>
              <w:t>0.20%</w:t>
            </w:r>
          </w:p>
        </w:tc>
        <w:tc>
          <w:tcPr>
            <w:tcW w:w="990" w:type="dxa"/>
            <w:vAlign w:val="bottom"/>
          </w:tcPr>
          <w:p w14:paraId="3B943726" w14:textId="77777777" w:rsidR="00CD0355" w:rsidRPr="001531CD" w:rsidRDefault="00CD0355" w:rsidP="00CD0355">
            <w:pPr>
              <w:tabs>
                <w:tab w:val="left" w:pos="180"/>
                <w:tab w:val="left" w:pos="360"/>
              </w:tabs>
              <w:jc w:val="center"/>
              <w:rPr>
                <w:sz w:val="16"/>
                <w:szCs w:val="16"/>
              </w:rPr>
            </w:pPr>
            <w:r w:rsidRPr="001531CD">
              <w:rPr>
                <w:sz w:val="16"/>
                <w:szCs w:val="16"/>
              </w:rPr>
              <w:t>0.20%</w:t>
            </w:r>
          </w:p>
        </w:tc>
        <w:tc>
          <w:tcPr>
            <w:tcW w:w="866" w:type="dxa"/>
            <w:vAlign w:val="bottom"/>
          </w:tcPr>
          <w:p w14:paraId="401477CF"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14:paraId="5C32EFFA" w14:textId="77777777" w:rsidTr="00CD0355">
        <w:trPr>
          <w:cantSplit/>
          <w:jc w:val="center"/>
        </w:trPr>
        <w:tc>
          <w:tcPr>
            <w:tcW w:w="2001" w:type="dxa"/>
          </w:tcPr>
          <w:p w14:paraId="30FF2F13" w14:textId="77777777" w:rsidR="00CD0355" w:rsidRPr="001531CD" w:rsidRDefault="00CD0355" w:rsidP="00CD0355">
            <w:pPr>
              <w:tabs>
                <w:tab w:val="left" w:pos="180"/>
                <w:tab w:val="left" w:pos="360"/>
              </w:tabs>
              <w:rPr>
                <w:sz w:val="16"/>
                <w:szCs w:val="16"/>
              </w:rPr>
            </w:pPr>
            <w:r w:rsidRPr="001531CD">
              <w:rPr>
                <w:sz w:val="16"/>
                <w:szCs w:val="16"/>
              </w:rPr>
              <w:t>Scab and Rhizoctonia</w:t>
            </w:r>
            <w:r w:rsidRPr="0078038A">
              <w:rPr>
                <w:sz w:val="16"/>
                <w:szCs w:val="16"/>
                <w:vertAlign w:val="superscript"/>
              </w:rPr>
              <w:t>*</w:t>
            </w:r>
          </w:p>
        </w:tc>
        <w:tc>
          <w:tcPr>
            <w:tcW w:w="1080" w:type="dxa"/>
            <w:vAlign w:val="bottom"/>
          </w:tcPr>
          <w:p w14:paraId="48BDBCC0" w14:textId="77777777" w:rsidR="00CD0355" w:rsidRPr="001531CD" w:rsidRDefault="00CD0355" w:rsidP="00CD0355">
            <w:pPr>
              <w:tabs>
                <w:tab w:val="left" w:pos="180"/>
                <w:tab w:val="left" w:pos="360"/>
              </w:tabs>
              <w:jc w:val="center"/>
              <w:rPr>
                <w:sz w:val="16"/>
                <w:szCs w:val="16"/>
              </w:rPr>
            </w:pPr>
            <w:r w:rsidRPr="001531CD">
              <w:rPr>
                <w:sz w:val="16"/>
                <w:szCs w:val="16"/>
              </w:rPr>
              <w:t>6.00%</w:t>
            </w:r>
          </w:p>
        </w:tc>
        <w:tc>
          <w:tcPr>
            <w:tcW w:w="990" w:type="dxa"/>
            <w:vAlign w:val="bottom"/>
          </w:tcPr>
          <w:p w14:paraId="31FEEB37" w14:textId="77777777" w:rsidR="00CD0355" w:rsidRPr="001531CD" w:rsidRDefault="00CD0355" w:rsidP="00CD0355">
            <w:pPr>
              <w:tabs>
                <w:tab w:val="left" w:pos="180"/>
                <w:tab w:val="left" w:pos="360"/>
              </w:tabs>
              <w:jc w:val="center"/>
              <w:rPr>
                <w:sz w:val="16"/>
                <w:szCs w:val="16"/>
              </w:rPr>
            </w:pPr>
            <w:r w:rsidRPr="001531CD">
              <w:rPr>
                <w:sz w:val="16"/>
                <w:szCs w:val="16"/>
              </w:rPr>
              <w:t>6.00%</w:t>
            </w:r>
          </w:p>
        </w:tc>
        <w:tc>
          <w:tcPr>
            <w:tcW w:w="866" w:type="dxa"/>
            <w:vAlign w:val="bottom"/>
          </w:tcPr>
          <w:p w14:paraId="1B92722D" w14:textId="77777777" w:rsidR="00CD0355" w:rsidRPr="001531CD" w:rsidRDefault="00CD0355" w:rsidP="00CD0355">
            <w:pPr>
              <w:tabs>
                <w:tab w:val="left" w:pos="180"/>
                <w:tab w:val="left" w:pos="360"/>
              </w:tabs>
              <w:jc w:val="center"/>
              <w:rPr>
                <w:sz w:val="16"/>
                <w:szCs w:val="16"/>
              </w:rPr>
            </w:pPr>
            <w:r w:rsidRPr="001531CD">
              <w:rPr>
                <w:sz w:val="16"/>
                <w:szCs w:val="16"/>
              </w:rPr>
              <w:t>6.00%</w:t>
            </w:r>
          </w:p>
        </w:tc>
      </w:tr>
      <w:tr w:rsidR="00CD0355" w:rsidRPr="001531CD" w14:paraId="21BEB92E" w14:textId="77777777" w:rsidTr="00CD0355">
        <w:trPr>
          <w:cantSplit/>
          <w:jc w:val="center"/>
        </w:trPr>
        <w:tc>
          <w:tcPr>
            <w:tcW w:w="2001" w:type="dxa"/>
          </w:tcPr>
          <w:p w14:paraId="292D3C8A" w14:textId="77777777" w:rsidR="00CD0355" w:rsidRPr="001531CD" w:rsidRDefault="00CD0355" w:rsidP="00CD0355">
            <w:pPr>
              <w:tabs>
                <w:tab w:val="left" w:pos="180"/>
                <w:tab w:val="left" w:pos="360"/>
              </w:tabs>
              <w:rPr>
                <w:sz w:val="16"/>
                <w:szCs w:val="16"/>
              </w:rPr>
            </w:pPr>
            <w:r w:rsidRPr="001531CD">
              <w:rPr>
                <w:sz w:val="16"/>
                <w:szCs w:val="16"/>
              </w:rPr>
              <w:t>Net Necrosis</w:t>
            </w:r>
          </w:p>
        </w:tc>
        <w:tc>
          <w:tcPr>
            <w:tcW w:w="1080" w:type="dxa"/>
            <w:vAlign w:val="bottom"/>
          </w:tcPr>
          <w:p w14:paraId="47783121"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14:paraId="6901A543"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14:paraId="7F2DF937" w14:textId="77777777"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14:paraId="06061B68" w14:textId="77777777" w:rsidTr="00CD0355">
        <w:trPr>
          <w:cantSplit/>
          <w:jc w:val="center"/>
        </w:trPr>
        <w:tc>
          <w:tcPr>
            <w:tcW w:w="2001" w:type="dxa"/>
          </w:tcPr>
          <w:p w14:paraId="2CD2D97A" w14:textId="77777777" w:rsidR="00CD0355" w:rsidRPr="001531CD" w:rsidRDefault="00CD0355" w:rsidP="00CD0355">
            <w:pPr>
              <w:tabs>
                <w:tab w:val="left" w:pos="180"/>
                <w:tab w:val="left" w:pos="360"/>
              </w:tabs>
              <w:rPr>
                <w:sz w:val="16"/>
                <w:szCs w:val="16"/>
              </w:rPr>
            </w:pPr>
            <w:r w:rsidRPr="001531CD">
              <w:rPr>
                <w:sz w:val="16"/>
                <w:szCs w:val="16"/>
              </w:rPr>
              <w:t>Late Blight, Golden and Potato Rot, Potato Wart and Ring Rot</w:t>
            </w:r>
          </w:p>
        </w:tc>
        <w:tc>
          <w:tcPr>
            <w:tcW w:w="1080" w:type="dxa"/>
            <w:vAlign w:val="bottom"/>
          </w:tcPr>
          <w:p w14:paraId="2FEDE6E7"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990" w:type="dxa"/>
            <w:vAlign w:val="bottom"/>
          </w:tcPr>
          <w:p w14:paraId="54BFEDA1"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866" w:type="dxa"/>
            <w:vAlign w:val="bottom"/>
          </w:tcPr>
          <w:p w14:paraId="620C1ECA"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14:paraId="18C00329" w14:textId="77777777" w:rsidTr="00CD0355">
        <w:trPr>
          <w:cantSplit/>
          <w:jc w:val="center"/>
        </w:trPr>
        <w:tc>
          <w:tcPr>
            <w:tcW w:w="2001" w:type="dxa"/>
          </w:tcPr>
          <w:p w14:paraId="33560719" w14:textId="77777777" w:rsidR="00CD0355" w:rsidRPr="001531CD" w:rsidRDefault="00CD0355" w:rsidP="00CD0355">
            <w:pPr>
              <w:tabs>
                <w:tab w:val="left" w:pos="180"/>
                <w:tab w:val="left" w:pos="360"/>
              </w:tabs>
              <w:rPr>
                <w:sz w:val="16"/>
                <w:szCs w:val="16"/>
              </w:rPr>
            </w:pPr>
            <w:r w:rsidRPr="001531CD">
              <w:rPr>
                <w:sz w:val="16"/>
                <w:szCs w:val="16"/>
              </w:rPr>
              <w:t>Tuber Moth</w:t>
            </w:r>
          </w:p>
        </w:tc>
        <w:tc>
          <w:tcPr>
            <w:tcW w:w="1080" w:type="dxa"/>
            <w:vAlign w:val="bottom"/>
          </w:tcPr>
          <w:p w14:paraId="065B2B4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vAlign w:val="bottom"/>
          </w:tcPr>
          <w:p w14:paraId="729799BB"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66" w:type="dxa"/>
            <w:vAlign w:val="bottom"/>
          </w:tcPr>
          <w:p w14:paraId="3CF18675"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00ADB6F2" w14:textId="77777777" w:rsidTr="00CD0355">
        <w:trPr>
          <w:cantSplit/>
          <w:jc w:val="center"/>
        </w:trPr>
        <w:tc>
          <w:tcPr>
            <w:tcW w:w="2001" w:type="dxa"/>
          </w:tcPr>
          <w:p w14:paraId="1945E868" w14:textId="77777777" w:rsidR="00CD0355" w:rsidRPr="001531CD" w:rsidRDefault="00CD0355" w:rsidP="00CD0355">
            <w:pPr>
              <w:tabs>
                <w:tab w:val="left" w:pos="180"/>
                <w:tab w:val="left" w:pos="360"/>
              </w:tabs>
              <w:rPr>
                <w:sz w:val="16"/>
                <w:szCs w:val="16"/>
              </w:rPr>
            </w:pPr>
            <w:r w:rsidRPr="001531CD">
              <w:rPr>
                <w:sz w:val="16"/>
                <w:szCs w:val="16"/>
              </w:rPr>
              <w:t>Sclerotium Rolfsii Wilt</w:t>
            </w:r>
          </w:p>
        </w:tc>
        <w:tc>
          <w:tcPr>
            <w:tcW w:w="1080" w:type="dxa"/>
            <w:vAlign w:val="bottom"/>
          </w:tcPr>
          <w:p w14:paraId="29F18D36"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14:paraId="32C329A2"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14:paraId="0420FD9A"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14:paraId="1B1A4401" w14:textId="77777777" w:rsidTr="00CD0355">
        <w:trPr>
          <w:cantSplit/>
          <w:jc w:val="center"/>
        </w:trPr>
        <w:tc>
          <w:tcPr>
            <w:tcW w:w="2001" w:type="dxa"/>
          </w:tcPr>
          <w:p w14:paraId="235005A8" w14:textId="77777777" w:rsidR="00CD0355" w:rsidRPr="001531CD" w:rsidRDefault="00CD0355" w:rsidP="00CD0355">
            <w:pPr>
              <w:tabs>
                <w:tab w:val="left" w:pos="180"/>
                <w:tab w:val="left" w:pos="360"/>
              </w:tabs>
              <w:rPr>
                <w:sz w:val="16"/>
                <w:szCs w:val="16"/>
              </w:rPr>
            </w:pPr>
            <w:r w:rsidRPr="001531CD">
              <w:rPr>
                <w:sz w:val="16"/>
                <w:szCs w:val="16"/>
              </w:rPr>
              <w:t>Nematodes</w:t>
            </w:r>
            <w:r>
              <w:rPr>
                <w:sz w:val="16"/>
                <w:szCs w:val="16"/>
              </w:rPr>
              <w:t xml:space="preserve"> </w:t>
            </w:r>
            <w:r w:rsidRPr="001531CD">
              <w:rPr>
                <w:sz w:val="16"/>
                <w:szCs w:val="16"/>
              </w:rPr>
              <w:t>(Root-Knot)</w:t>
            </w:r>
            <w:r w:rsidRPr="0078038A">
              <w:rPr>
                <w:sz w:val="16"/>
                <w:szCs w:val="16"/>
                <w:vertAlign w:val="superscript"/>
              </w:rPr>
              <w:t>**</w:t>
            </w:r>
          </w:p>
        </w:tc>
        <w:tc>
          <w:tcPr>
            <w:tcW w:w="1080" w:type="dxa"/>
            <w:vAlign w:val="bottom"/>
          </w:tcPr>
          <w:p w14:paraId="4FF5CA29"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990" w:type="dxa"/>
            <w:vAlign w:val="bottom"/>
          </w:tcPr>
          <w:p w14:paraId="23595ADB"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866" w:type="dxa"/>
            <w:vAlign w:val="bottom"/>
          </w:tcPr>
          <w:p w14:paraId="35FF3829"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14:paraId="05E17A96" w14:textId="77777777" w:rsidTr="00CD0355">
        <w:trPr>
          <w:cantSplit/>
          <w:trHeight w:val="624"/>
          <w:jc w:val="center"/>
        </w:trPr>
        <w:tc>
          <w:tcPr>
            <w:tcW w:w="4937" w:type="dxa"/>
            <w:gridSpan w:val="4"/>
          </w:tcPr>
          <w:p w14:paraId="59AF9C4D" w14:textId="77777777" w:rsidR="00CD0355" w:rsidRPr="001531CD" w:rsidRDefault="00CD0355" w:rsidP="00CD0355">
            <w:pPr>
              <w:tabs>
                <w:tab w:val="left" w:pos="180"/>
                <w:tab w:val="left" w:pos="360"/>
              </w:tabs>
              <w:rPr>
                <w:sz w:val="16"/>
                <w:szCs w:val="16"/>
              </w:rPr>
            </w:pPr>
            <w:r w:rsidRPr="0078038A">
              <w:rPr>
                <w:sz w:val="16"/>
                <w:szCs w:val="16"/>
                <w:vertAlign w:val="superscript"/>
              </w:rPr>
              <w:t>*</w:t>
            </w:r>
            <w:r w:rsidRPr="001531CD">
              <w:rPr>
                <w:sz w:val="16"/>
                <w:szCs w:val="16"/>
              </w:rPr>
              <w:t>6 percent of tubers by weight have more than 5 percent of the surface covered by scab or rhizoctonia.</w:t>
            </w:r>
          </w:p>
          <w:p w14:paraId="410C09D1" w14:textId="77777777" w:rsidR="00CD0355" w:rsidRPr="001531CD" w:rsidRDefault="00CD0355" w:rsidP="00CD0355">
            <w:pPr>
              <w:tabs>
                <w:tab w:val="left" w:pos="180"/>
                <w:tab w:val="left" w:pos="360"/>
              </w:tabs>
              <w:rPr>
                <w:sz w:val="16"/>
                <w:szCs w:val="16"/>
              </w:rPr>
            </w:pPr>
            <w:r w:rsidRPr="0078038A">
              <w:rPr>
                <w:sz w:val="16"/>
                <w:szCs w:val="16"/>
                <w:vertAlign w:val="superscript"/>
              </w:rPr>
              <w:t>**</w:t>
            </w:r>
            <w:r w:rsidRPr="001531CD">
              <w:rPr>
                <w:sz w:val="16"/>
                <w:szCs w:val="16"/>
              </w:rPr>
              <w:t>1 percent of tubers by weight showing nematode (root-knot) infection.</w:t>
            </w:r>
          </w:p>
        </w:tc>
      </w:tr>
    </w:tbl>
    <w:p w14:paraId="36286FEF" w14:textId="77777777" w:rsidR="00CD0355" w:rsidRPr="001531CD" w:rsidRDefault="00CD0355" w:rsidP="00CD0355">
      <w:pPr>
        <w:pStyle w:val="A"/>
        <w:spacing w:after="0"/>
      </w:pPr>
    </w:p>
    <w:p w14:paraId="485AFA71" w14:textId="77777777" w:rsidR="00CD0355" w:rsidRPr="001531CD" w:rsidRDefault="00CD0355" w:rsidP="00CD0355">
      <w:pPr>
        <w:pStyle w:val="AuthorityNote"/>
      </w:pPr>
      <w:r w:rsidRPr="001531CD">
        <w:t>AUTHORITY NOTE:</w:t>
      </w:r>
      <w:r w:rsidRPr="001531CD">
        <w:tab/>
        <w:t>Promulgated in accordance with R.S. 3:1433.</w:t>
      </w:r>
    </w:p>
    <w:p w14:paraId="654699FD" w14:textId="77777777" w:rsidR="00CD0355" w:rsidRPr="001531CD" w:rsidRDefault="00CD0355" w:rsidP="00CD0355">
      <w:pPr>
        <w:pStyle w:val="HistoricalNote"/>
      </w:pPr>
      <w:r w:rsidRPr="001531CD">
        <w:t>HISTORICAL NOTE:</w:t>
      </w:r>
      <w:r w:rsidRPr="001531CD">
        <w:tab/>
        <w:t>Promulgated by the Department of Agriculture, Seed Commission, LR 8:577 (November l982), amended by the Department of Agriculture and Forestry, Office of Agricultural and Environmental Sciences, Seed Commission, LR 12:825 (December l986), LR 20:643 (June 1994), repromulgated by the Department of Agriculture and Forestry, Office of Agricultural and Environmental Sciences, Agricultural Chemistry and Seed Commission, LR 39:2725 (October 2013).</w:t>
      </w:r>
    </w:p>
    <w:p w14:paraId="608E700D" w14:textId="77777777" w:rsidR="00CD0355" w:rsidRPr="001531CD" w:rsidRDefault="00CD0355" w:rsidP="00CD0355">
      <w:pPr>
        <w:pStyle w:val="Section"/>
      </w:pPr>
      <w:bookmarkStart w:id="1167" w:name="_Toc224818815"/>
      <w:r w:rsidRPr="001531CD">
        <w:t>§753.</w:t>
      </w:r>
      <w:r w:rsidRPr="001531CD">
        <w:tab/>
        <w:t>Seed Irish Potato Certification Standards</w:t>
      </w:r>
      <w:r>
        <w:br/>
      </w:r>
      <w:r w:rsidRPr="001531CD">
        <w:t>(Out-of-State)</w:t>
      </w:r>
      <w:bookmarkEnd w:id="1167"/>
    </w:p>
    <w:p w14:paraId="536D8733" w14:textId="77777777" w:rsidR="00CD0355" w:rsidRPr="001531CD" w:rsidRDefault="00CD0355" w:rsidP="00CD0355">
      <w:pPr>
        <w:pStyle w:val="A"/>
      </w:pPr>
      <w:r w:rsidRPr="001531CD">
        <w:t>A.</w:t>
      </w:r>
      <w:r w:rsidRPr="001531CD">
        <w:tab/>
        <w:t>Conditions governing shipment or movement of seed Irish potatoes into Louisiana shall conform to the following.</w:t>
      </w:r>
    </w:p>
    <w:p w14:paraId="2BE89F9F" w14:textId="77777777" w:rsidR="00CD0355" w:rsidRPr="001531CD" w:rsidRDefault="00CD0355" w:rsidP="00CD0355">
      <w:pPr>
        <w:pStyle w:val="1"/>
      </w:pPr>
      <w:r w:rsidRPr="001531CD">
        <w:t>1.</w:t>
      </w:r>
      <w:r w:rsidRPr="001531CD">
        <w:tab/>
        <w:t>Seed Irish potatoes must have passed field and storage seed certification requirements of the proper certifying agency. The tolerances for insects and diseases shall be the same as those set forth in the certified seed regulation for seed Irish potatoes (§751).</w:t>
      </w:r>
    </w:p>
    <w:p w14:paraId="1640666A" w14:textId="77777777" w:rsidR="00CD0355" w:rsidRPr="001531CD" w:rsidRDefault="00CD0355" w:rsidP="00CD0355">
      <w:pPr>
        <w:pStyle w:val="1"/>
      </w:pPr>
      <w:r w:rsidRPr="001531CD">
        <w:t>2.</w:t>
      </w:r>
      <w:r w:rsidRPr="001531CD">
        <w:tab/>
        <w:t xml:space="preserve">Each container of seed moved into, offered for sale, or sold in Louisiana shall have attached thereto an official </w:t>
      </w:r>
      <w:r w:rsidRPr="001531CD">
        <w:t>foundation, registered, or certified seed tag issued by the proper certifying agency in the state of origin.</w:t>
      </w:r>
    </w:p>
    <w:p w14:paraId="3FA5A735" w14:textId="77777777" w:rsidR="00CD0355" w:rsidRPr="001531CD" w:rsidRDefault="00CD0355" w:rsidP="00CD0355">
      <w:pPr>
        <w:pStyle w:val="AuthorityNote"/>
      </w:pPr>
      <w:r w:rsidRPr="001531CD">
        <w:t>AUTHORITY NOTE:</w:t>
      </w:r>
      <w:r w:rsidRPr="001531CD">
        <w:tab/>
        <w:t>Promulgated in accordance with R.S. 3:1433.</w:t>
      </w:r>
    </w:p>
    <w:p w14:paraId="510C66A8" w14:textId="77777777" w:rsidR="00CD0355" w:rsidRPr="001531CD" w:rsidRDefault="00CD0355" w:rsidP="00CD0355">
      <w:pPr>
        <w:pStyle w:val="HistoricalNote"/>
      </w:pPr>
      <w:r w:rsidRPr="001531CD">
        <w:t>HISTORICAL NOTE:</w:t>
      </w:r>
      <w:r w:rsidRPr="001531CD">
        <w:tab/>
        <w:t>Promulgated by the Department of Agriculture, Seed Commission, LR 8:578 (November 1982, amended LR 9:201 (April 1983), amended by the Department of Agriculture and Forestry, Office of Agricultural and Environmental Sciences, Seed Commission, LR 12:825 (December l986), LR 14:606 (September 1988), LR 15:78 (February 1989), LR 20:644 (June 1994), repromulgated by the Department of Agriculture and Forestry, Office of Agricultural and Environmental Sciences, Agricultural Chemistry and Seed Commission, LR 39:2725 (October 2013).</w:t>
      </w:r>
    </w:p>
    <w:p w14:paraId="63CB2308" w14:textId="77777777" w:rsidR="00CD0355" w:rsidRPr="001531CD" w:rsidRDefault="00CD0355" w:rsidP="00CD0355">
      <w:pPr>
        <w:pStyle w:val="Section"/>
      </w:pPr>
      <w:bookmarkStart w:id="1168" w:name="_Toc224818816"/>
      <w:r w:rsidRPr="001531CD">
        <w:t>§755.</w:t>
      </w:r>
      <w:r w:rsidRPr="001531CD">
        <w:tab/>
      </w:r>
      <w:r w:rsidR="003F6197" w:rsidRPr="008D1E1B">
        <w:t>Sweet Potato (Ipomoea batatas) Certification Standards</w:t>
      </w:r>
      <w:bookmarkEnd w:id="1168"/>
    </w:p>
    <w:p w14:paraId="030BC83F" w14:textId="77777777" w:rsidR="003F6197" w:rsidRPr="008D1E1B" w:rsidRDefault="00CD0355" w:rsidP="003F6197">
      <w:pPr>
        <w:pStyle w:val="A"/>
      </w:pPr>
      <w:r w:rsidRPr="001531CD">
        <w:t>A.</w:t>
      </w:r>
      <w:r w:rsidRPr="001531CD">
        <w:tab/>
      </w:r>
      <w:r w:rsidR="003F6197" w:rsidRPr="008D1E1B">
        <w:t>The General Seed Certification Requirements provided in this Part apply to all crops, and together with the following specific standards constitute the certified Sweet Potato seed standards.</w:t>
      </w:r>
    </w:p>
    <w:p w14:paraId="760DC04C" w14:textId="77777777" w:rsidR="003F6197" w:rsidRDefault="003F6197" w:rsidP="003F6197">
      <w:pPr>
        <w:pStyle w:val="A"/>
        <w:rPr>
          <w:strike/>
        </w:rPr>
      </w:pPr>
      <w:r w:rsidRPr="008D1E1B">
        <w:t>B.</w:t>
      </w:r>
      <w:r w:rsidRPr="008D1E1B">
        <w:tab/>
        <w:t>Requests for exemptions to any requirement set forth in this Section shall be submitted to LDAF in writing. In the case that LDAF approves an exemption, the grower may be required to implement additional LDAF approved safeguards to insure the health and integrity of the certified plants or roots.</w:t>
      </w:r>
    </w:p>
    <w:p w14:paraId="08971249" w14:textId="77777777" w:rsidR="003F6197" w:rsidRDefault="003F6197" w:rsidP="003F6197">
      <w:pPr>
        <w:pStyle w:val="A"/>
      </w:pPr>
      <w:r w:rsidRPr="008D1E1B">
        <w:t>C.</w:t>
      </w:r>
      <w:r w:rsidRPr="008D1E1B">
        <w:tab/>
        <w:t>Breeder Seed Stock entering the certification program shall be sourced from an LDAF approved virus elimination program, maintained in tissue culture, and tested for known pathogens proven to be detrimental to the health of the seed stock.</w:t>
      </w:r>
    </w:p>
    <w:p w14:paraId="26A52980" w14:textId="77777777" w:rsidR="003F6197" w:rsidRDefault="003F6197" w:rsidP="003F6197">
      <w:pPr>
        <w:pStyle w:val="A"/>
      </w:pPr>
      <w:r w:rsidRPr="008D1E1B">
        <w:t>D.</w:t>
      </w:r>
      <w:r w:rsidRPr="008D1E1B">
        <w:tab/>
        <w:t>Definitions. The following definitions apply to this Section only.</w:t>
      </w:r>
    </w:p>
    <w:p w14:paraId="2935E912" w14:textId="77777777" w:rsidR="003F6197" w:rsidRDefault="003F6197" w:rsidP="003F6197">
      <w:pPr>
        <w:pStyle w:val="1"/>
      </w:pPr>
      <w:r w:rsidRPr="008D1E1B">
        <w:rPr>
          <w:i/>
          <w:iCs/>
        </w:rPr>
        <w:t>Clean Plant Center</w:t>
      </w:r>
      <w:r w:rsidRPr="008D1E1B">
        <w:t>—sweet potato plant propagation facility approved by state certifying agencies that provide micropropagated, virus-tested, and apparently pest-free nuclear plant stock.</w:t>
      </w:r>
    </w:p>
    <w:p w14:paraId="3AA08D6A" w14:textId="77777777" w:rsidR="003F6197" w:rsidRDefault="003F6197" w:rsidP="003F6197">
      <w:pPr>
        <w:pStyle w:val="1"/>
      </w:pPr>
      <w:r w:rsidRPr="008D1E1B">
        <w:rPr>
          <w:i/>
          <w:iCs/>
        </w:rPr>
        <w:t>Field</w:t>
      </w:r>
      <w:r w:rsidRPr="008D1E1B">
        <w:t>—a clearly defined contiguous area containing sweet potato production of the same variety throughout the area.</w:t>
      </w:r>
    </w:p>
    <w:p w14:paraId="3C5DFABE" w14:textId="77777777" w:rsidR="003F6197" w:rsidRDefault="003F6197" w:rsidP="003F6197">
      <w:pPr>
        <w:pStyle w:val="1"/>
      </w:pPr>
      <w:r w:rsidRPr="008D1E1B">
        <w:rPr>
          <w:i/>
          <w:iCs/>
        </w:rPr>
        <w:t>Generation</w:t>
      </w:r>
      <w:r w:rsidRPr="008D1E1B">
        <w:t>—age of material; generation number advances upon exposure to subsequent unprotected environments (growing seasons).</w:t>
      </w:r>
    </w:p>
    <w:p w14:paraId="7C691FB0" w14:textId="77777777" w:rsidR="003F6197" w:rsidRDefault="003F6197" w:rsidP="003F6197">
      <w:pPr>
        <w:pStyle w:val="1"/>
      </w:pPr>
      <w:r w:rsidRPr="008D1E1B">
        <w:rPr>
          <w:i/>
          <w:iCs/>
        </w:rPr>
        <w:t>LDAF</w:t>
      </w:r>
      <w:r w:rsidRPr="008D1E1B">
        <w:t>—the Louisiana Department of Agriculture and Forestry.</w:t>
      </w:r>
    </w:p>
    <w:p w14:paraId="67F1ACE1" w14:textId="77777777" w:rsidR="003F6197" w:rsidRDefault="003F6197" w:rsidP="003F6197">
      <w:pPr>
        <w:pStyle w:val="1"/>
      </w:pPr>
      <w:r w:rsidRPr="008D1E1B">
        <w:rPr>
          <w:i/>
          <w:iCs/>
        </w:rPr>
        <w:t>Mericlone</w:t>
      </w:r>
      <w:r w:rsidRPr="008D1E1B">
        <w:t>—is a plant clonally propagated from a single apical meristem.</w:t>
      </w:r>
    </w:p>
    <w:p w14:paraId="3D821D03" w14:textId="77777777" w:rsidR="003F6197" w:rsidRDefault="003F6197" w:rsidP="003F6197">
      <w:pPr>
        <w:pStyle w:val="1"/>
      </w:pPr>
      <w:r w:rsidRPr="008D1E1B">
        <w:rPr>
          <w:i/>
          <w:iCs/>
        </w:rPr>
        <w:t>Micropropagation</w:t>
      </w:r>
      <w:r w:rsidRPr="008D1E1B">
        <w:t>—is the art and science of plant multiplication in-vitro. Sweet potato is most commonly micropropagated in tissue culture by aseptic transfer of stem segments containing one to three nodes placed in sterile medium to produce nuclear plants.</w:t>
      </w:r>
    </w:p>
    <w:p w14:paraId="439FDDCC" w14:textId="77777777" w:rsidR="003F6197" w:rsidRDefault="003F6197" w:rsidP="003F6197">
      <w:pPr>
        <w:pStyle w:val="1"/>
      </w:pPr>
      <w:r w:rsidRPr="008D1E1B">
        <w:rPr>
          <w:i/>
          <w:iCs/>
        </w:rPr>
        <w:t xml:space="preserve">Symptomatic Plant - </w:t>
      </w:r>
      <w:r w:rsidRPr="008D1E1B">
        <w:t xml:space="preserve">a plant that exhibits an indication or symptom of a disease, mutation, pest, virus, or other </w:t>
      </w:r>
      <w:bookmarkStart w:id="1169" w:name="II._GREENHOUSE_AND_LAND_REQUIREMENTS"/>
      <w:bookmarkEnd w:id="1169"/>
      <w:r w:rsidRPr="008D1E1B">
        <w:t>problem that may affect sweet potato production.</w:t>
      </w:r>
    </w:p>
    <w:p w14:paraId="670CAF8D" w14:textId="77777777" w:rsidR="003F6197" w:rsidRDefault="003F6197" w:rsidP="003F6197">
      <w:pPr>
        <w:pStyle w:val="1"/>
      </w:pPr>
      <w:r w:rsidRPr="008D1E1B">
        <w:rPr>
          <w:i/>
          <w:iCs/>
        </w:rPr>
        <w:lastRenderedPageBreak/>
        <w:t>Vine cutting or Slip</w:t>
      </w:r>
      <w:r w:rsidRPr="008D1E1B">
        <w:t>—a stem section of suitable length with at least 2 - 3 nodes for transplanting in the greenhouse or field.</w:t>
      </w:r>
    </w:p>
    <w:p w14:paraId="6CB7A942" w14:textId="77777777" w:rsidR="003F6197" w:rsidRDefault="003F6197" w:rsidP="003F6197">
      <w:pPr>
        <w:pStyle w:val="1"/>
      </w:pPr>
      <w:r w:rsidRPr="008D1E1B">
        <w:rPr>
          <w:i/>
          <w:iCs/>
        </w:rPr>
        <w:t>Virus-</w:t>
      </w:r>
      <w:r>
        <w:rPr>
          <w:i/>
          <w:iCs/>
        </w:rPr>
        <w:t>T</w:t>
      </w:r>
      <w:r w:rsidRPr="008D1E1B">
        <w:rPr>
          <w:i/>
          <w:iCs/>
        </w:rPr>
        <w:t>ested</w:t>
      </w:r>
      <w:r w:rsidRPr="008D1E1B">
        <w:t>—a plant that has been tested for the presence of viruses by grafting a sweet potato shoot to the Brazilian morning glory (</w:t>
      </w:r>
      <w:r w:rsidRPr="008D1E1B">
        <w:rPr>
          <w:i/>
          <w:iCs/>
        </w:rPr>
        <w:t>Ipomoea setosa</w:t>
      </w:r>
      <w:r w:rsidRPr="008D1E1B">
        <w:t>), by negative PCR assay for destructive sweet potato viruses, or by other standards established by the National Clean Plant Network - Sweet Potato.</w:t>
      </w:r>
    </w:p>
    <w:p w14:paraId="5CE53E8A" w14:textId="77777777" w:rsidR="003F6197" w:rsidRDefault="003F6197" w:rsidP="003F6197">
      <w:pPr>
        <w:pStyle w:val="A"/>
        <w:rPr>
          <w:strike/>
        </w:rPr>
      </w:pPr>
      <w:r w:rsidRPr="008D1E1B">
        <w:t>E.</w:t>
      </w:r>
      <w:r w:rsidRPr="008D1E1B">
        <w:tab/>
        <w:t>Classes and sources of certified planting stock</w:t>
      </w:r>
    </w:p>
    <w:p w14:paraId="619D0DD2" w14:textId="77777777" w:rsidR="003F6197" w:rsidRDefault="003F6197" w:rsidP="003F6197">
      <w:pPr>
        <w:pStyle w:val="1"/>
      </w:pPr>
      <w:r w:rsidRPr="008D1E1B">
        <w:t>1.</w:t>
      </w:r>
      <w:r w:rsidRPr="008D1E1B">
        <w:tab/>
        <w:t>Breeder Seed Stock is sweet potato propagation material identified and described by the breeder or developer and is entered into and maintained by a Clean Plant Center. This material is obtained through methods approved by LDAF.</w:t>
      </w:r>
    </w:p>
    <w:p w14:paraId="61281B63" w14:textId="77777777" w:rsidR="003F6197" w:rsidRDefault="003F6197" w:rsidP="003F6197">
      <w:pPr>
        <w:pStyle w:val="1"/>
      </w:pPr>
      <w:r w:rsidRPr="008D1E1B">
        <w:t>2.</w:t>
      </w:r>
      <w:r w:rsidRPr="008D1E1B">
        <w:tab/>
        <w:t>Nuclear Plant is a plant derived from Breeder Seed Stock. It is virus-indexed, apparently free of other pests, and evaluated in field test for trueness-to-type. This material is maintained under strict isolation by Clean Plant Centers. Nuclear Plants may exist as in-vitro tissue culture plantlets, or plants grown in an approved greenhouse. LDAF inspections begin with the inspection of Nuclear Plants located at Clean Plant Centers.</w:t>
      </w:r>
    </w:p>
    <w:p w14:paraId="5AAF8698" w14:textId="77777777" w:rsidR="003F6197" w:rsidRDefault="003F6197" w:rsidP="003F6197">
      <w:pPr>
        <w:pStyle w:val="1"/>
      </w:pPr>
      <w:r w:rsidRPr="008D1E1B">
        <w:t>3.</w:t>
      </w:r>
      <w:r w:rsidRPr="008D1E1B">
        <w:tab/>
        <w:t>G0 Plants are greenhouse plants produced by certified growers from Nuclear Plants. G0 plants may be used to produce G0 plants when located within a greenhouse unexposed to a field environment. When exposed to a field environment, G0 plants become G1 plants.</w:t>
      </w:r>
    </w:p>
    <w:p w14:paraId="1ACB690F" w14:textId="77777777" w:rsidR="003F6197" w:rsidRDefault="003F6197" w:rsidP="003F6197">
      <w:pPr>
        <w:pStyle w:val="1"/>
      </w:pPr>
      <w:r w:rsidRPr="008D1E1B">
        <w:t>4.</w:t>
      </w:r>
      <w:r w:rsidRPr="008D1E1B">
        <w:tab/>
        <w:t>G1 Seed are produced from G0 and G1 plants. Vine cuttings may be taken repeatedly from this original G1 planting to establish subsequent G1 plantings. All subsequent cuttings must occur within the same year. Vines and roots produced during this first year in the field are designated as G1.</w:t>
      </w:r>
    </w:p>
    <w:p w14:paraId="088A3740" w14:textId="77777777" w:rsidR="003F6197" w:rsidRDefault="003F6197" w:rsidP="003F6197">
      <w:pPr>
        <w:pStyle w:val="1"/>
      </w:pPr>
      <w:r w:rsidRPr="008D1E1B">
        <w:t>5.</w:t>
      </w:r>
      <w:r w:rsidRPr="008D1E1B">
        <w:tab/>
        <w:t>G2 Seed (second field generation) is established from G2 plants grown from G1 roots. Vine cuttings may be taken repeatedly from this original G2 planting to establish subsequent G2 plantings. All subsequent cuttings must occur within the same year. Vines and roots produced during this second year of field production are designated as G2.</w:t>
      </w:r>
    </w:p>
    <w:p w14:paraId="39763AB6" w14:textId="77777777" w:rsidR="003F6197" w:rsidRDefault="003F6197" w:rsidP="003F6197">
      <w:pPr>
        <w:pStyle w:val="1"/>
      </w:pPr>
      <w:r w:rsidRPr="008D1E1B">
        <w:t>6.</w:t>
      </w:r>
      <w:r w:rsidRPr="008D1E1B">
        <w:tab/>
        <w:t>G3 Seed (third field generation) is established from G3 plants grown from G2 roots. Vine cuttings may be taken repeatedly from this original G3 planting to establish subsequent G3 plantings. All subsequent cuttings must occur within the same year. Vines and roots produced during this third year of field production are designated as G3.</w:t>
      </w:r>
    </w:p>
    <w:p w14:paraId="07B73542" w14:textId="77777777" w:rsidR="003F6197" w:rsidRDefault="003F6197" w:rsidP="003F6197">
      <w:pPr>
        <w:pStyle w:val="1"/>
      </w:pPr>
      <w:r w:rsidRPr="008D1E1B">
        <w:t>7.</w:t>
      </w:r>
      <w:r w:rsidRPr="008D1E1B">
        <w:tab/>
        <w:t>Certified Plant Cutting Designations</w:t>
      </w:r>
    </w:p>
    <w:p w14:paraId="1A82CFFD" w14:textId="77777777" w:rsidR="003F6197" w:rsidRDefault="003F6197" w:rsidP="003F6197">
      <w:pPr>
        <w:pStyle w:val="a0"/>
      </w:pPr>
      <w:r w:rsidRPr="008D1E1B">
        <w:t>a.</w:t>
      </w:r>
      <w:r w:rsidRPr="008D1E1B">
        <w:tab/>
      </w:r>
      <w:r w:rsidRPr="008D1E1B">
        <w:rPr>
          <w:i/>
          <w:iCs/>
        </w:rPr>
        <w:t>G0 Cuttings</w:t>
      </w:r>
      <w:r>
        <w:t>—</w:t>
      </w:r>
      <w:r w:rsidRPr="008D1E1B">
        <w:t>vine cuttings from G0 plants grown in a certified greenhouse.</w:t>
      </w:r>
    </w:p>
    <w:p w14:paraId="2771DA6E" w14:textId="77777777" w:rsidR="003F6197" w:rsidRPr="008D1E1B" w:rsidRDefault="003F6197" w:rsidP="003F6197">
      <w:pPr>
        <w:pStyle w:val="a0"/>
      </w:pPr>
      <w:r w:rsidRPr="008D1E1B">
        <w:t>b.</w:t>
      </w:r>
      <w:r w:rsidRPr="008D1E1B">
        <w:tab/>
      </w:r>
      <w:r w:rsidRPr="008D1E1B">
        <w:rPr>
          <w:i/>
          <w:iCs/>
        </w:rPr>
        <w:t>G1 Cuttings</w:t>
      </w:r>
      <w:r>
        <w:t>—</w:t>
      </w:r>
      <w:r w:rsidRPr="008D1E1B">
        <w:t>vine cuttings from G1 plants that are established in the field from G0 cuttings which become G1 cuttings once they leave the greenhouse or from vine cuttings from G1 plants. G1 cuttings produce G1 roots.</w:t>
      </w:r>
    </w:p>
    <w:p w14:paraId="55D5664E" w14:textId="77777777" w:rsidR="003F6197" w:rsidRDefault="003F6197" w:rsidP="003F6197">
      <w:pPr>
        <w:pStyle w:val="a0"/>
      </w:pPr>
      <w:r w:rsidRPr="008D1E1B">
        <w:t>c.</w:t>
      </w:r>
      <w:r w:rsidRPr="008D1E1B">
        <w:tab/>
      </w:r>
      <w:r w:rsidRPr="008D1E1B">
        <w:rPr>
          <w:i/>
          <w:iCs/>
        </w:rPr>
        <w:t>G2 Cuttings</w:t>
      </w:r>
      <w:r>
        <w:t>—</w:t>
      </w:r>
      <w:r w:rsidRPr="008D1E1B">
        <w:t>vine cuttings from sprouts from bedded G1 roots or from vine cuttings from G2 plants. G2 cuttings produce G2 roots.</w:t>
      </w:r>
    </w:p>
    <w:p w14:paraId="76C2AEF3" w14:textId="77777777" w:rsidR="003F6197" w:rsidRDefault="003F6197" w:rsidP="003F6197">
      <w:pPr>
        <w:pStyle w:val="a0"/>
      </w:pPr>
      <w:r w:rsidRPr="008D1E1B">
        <w:t>d.</w:t>
      </w:r>
      <w:r w:rsidRPr="008D1E1B">
        <w:tab/>
      </w:r>
      <w:r w:rsidRPr="008D1E1B">
        <w:rPr>
          <w:i/>
          <w:iCs/>
        </w:rPr>
        <w:t>G3 Cuttings</w:t>
      </w:r>
      <w:r>
        <w:t>—</w:t>
      </w:r>
      <w:r w:rsidRPr="008D1E1B">
        <w:t>vine cuttings from sprouts from bedded G2 roots or from vine cuttings from G3 plants. G3 cuttings produce G3 roots.</w:t>
      </w:r>
    </w:p>
    <w:p w14:paraId="25BEA0B5" w14:textId="77777777" w:rsidR="003F6197" w:rsidRDefault="003F6197" w:rsidP="003F6197">
      <w:pPr>
        <w:pStyle w:val="A"/>
      </w:pPr>
      <w:r w:rsidRPr="008D1E1B">
        <w:t>F.</w:t>
      </w:r>
      <w:r w:rsidRPr="008D1E1B">
        <w:tab/>
        <w:t>Greenhouse Requirements</w:t>
      </w:r>
    </w:p>
    <w:p w14:paraId="1D28001F" w14:textId="77777777" w:rsidR="003F6197" w:rsidRDefault="003F6197" w:rsidP="003F6197">
      <w:pPr>
        <w:pStyle w:val="1"/>
      </w:pPr>
      <w:r w:rsidRPr="008D1E1B">
        <w:t>1.</w:t>
      </w:r>
      <w:r w:rsidRPr="008D1E1B">
        <w:tab/>
        <w:t>Greenhouses containing certified sweet potato plants or roots of any generation are subject to these requirements.</w:t>
      </w:r>
    </w:p>
    <w:p w14:paraId="229959DD" w14:textId="77777777" w:rsidR="003F6197" w:rsidRDefault="003F6197" w:rsidP="003F6197">
      <w:pPr>
        <w:pStyle w:val="1"/>
      </w:pPr>
      <w:r w:rsidRPr="008D1E1B">
        <w:t>2.</w:t>
      </w:r>
      <w:r w:rsidRPr="008D1E1B">
        <w:tab/>
        <w:t>LDAF must approve greenhouses before Nuclear Plants are released to the grower for the production of G0 stock.</w:t>
      </w:r>
    </w:p>
    <w:p w14:paraId="70193A64" w14:textId="77777777" w:rsidR="003F6197" w:rsidRDefault="003F6197" w:rsidP="003F6197">
      <w:pPr>
        <w:pStyle w:val="1"/>
      </w:pPr>
      <w:r w:rsidRPr="008D1E1B">
        <w:t>3.</w:t>
      </w:r>
      <w:r w:rsidRPr="008D1E1B">
        <w:tab/>
        <w:t>Grower shall provide a copy of the LDAF greenhouse inspection report to the Clean Plant Center before plants are released to the grower.</w:t>
      </w:r>
    </w:p>
    <w:p w14:paraId="12E1F6A2" w14:textId="77777777" w:rsidR="003F6197" w:rsidRDefault="003F6197" w:rsidP="003F6197">
      <w:pPr>
        <w:pStyle w:val="1"/>
      </w:pPr>
      <w:r w:rsidRPr="008D1E1B">
        <w:t>4.</w:t>
      </w:r>
      <w:r w:rsidRPr="008D1E1B">
        <w:tab/>
        <w:t>Greenhouses shall meet the following requirements:</w:t>
      </w:r>
    </w:p>
    <w:p w14:paraId="01BF5256" w14:textId="77777777" w:rsidR="003F6197" w:rsidRDefault="003F6197" w:rsidP="003F6197">
      <w:pPr>
        <w:pStyle w:val="a0"/>
      </w:pPr>
      <w:r w:rsidRPr="008D1E1B">
        <w:t>a.</w:t>
      </w:r>
      <w:r w:rsidRPr="008D1E1B">
        <w:tab/>
        <w:t>Greenhouses shall be sanitized or maintained free of all plants a minimum of six weeks prior to receiving plants at the beginning of the crop year.</w:t>
      </w:r>
    </w:p>
    <w:p w14:paraId="23C66A89" w14:textId="77777777" w:rsidR="003F6197" w:rsidRDefault="003F6197" w:rsidP="003F6197">
      <w:pPr>
        <w:pStyle w:val="a0"/>
      </w:pPr>
      <w:r w:rsidRPr="008D1E1B">
        <w:t>b.</w:t>
      </w:r>
      <w:r w:rsidRPr="008D1E1B">
        <w:tab/>
        <w:t>Greenhouses shall only contain nuclear stock or G0 plants that originated from nuclear stock; no other plants allowed in the greenhouse except for approved indicator plants.</w:t>
      </w:r>
    </w:p>
    <w:p w14:paraId="0DF1D394" w14:textId="77777777" w:rsidR="003F6197" w:rsidRDefault="003F6197" w:rsidP="003F6197">
      <w:pPr>
        <w:pStyle w:val="a0"/>
      </w:pPr>
      <w:r w:rsidRPr="008D1E1B">
        <w:t>c.</w:t>
      </w:r>
      <w:r w:rsidRPr="008D1E1B">
        <w:tab/>
        <w:t>Entry points shall be double doors or single door with air curtain to prevent aphid, whitefly or other injurious pest entry, and designed to restrict entry by unauthorized personnel.</w:t>
      </w:r>
    </w:p>
    <w:p w14:paraId="114E9C07" w14:textId="77777777" w:rsidR="003F6197" w:rsidRDefault="003F6197" w:rsidP="003F6197">
      <w:pPr>
        <w:pStyle w:val="a0"/>
      </w:pPr>
      <w:r w:rsidRPr="008D1E1B">
        <w:t>d.</w:t>
      </w:r>
      <w:r w:rsidRPr="008D1E1B">
        <w:tab/>
        <w:t>A system for sanitizing hands and feet prior to entry into the growing areas of the greenhouse shall be maintained and proper signage relaying that information posted at entries.</w:t>
      </w:r>
    </w:p>
    <w:p w14:paraId="0FC4620E" w14:textId="77777777" w:rsidR="003F6197" w:rsidRDefault="003F6197" w:rsidP="003F6197">
      <w:pPr>
        <w:pStyle w:val="a0"/>
      </w:pPr>
      <w:r w:rsidRPr="008D1E1B">
        <w:t>e.</w:t>
      </w:r>
      <w:r w:rsidRPr="008D1E1B">
        <w:tab/>
        <w:t>Yellow sticky traps shall be used in an amount to adequately monitor aphids, whiteflies and other injurious insects.</w:t>
      </w:r>
    </w:p>
    <w:p w14:paraId="7BF27EAF" w14:textId="77777777" w:rsidR="003F6197" w:rsidRDefault="003F6197" w:rsidP="003F6197">
      <w:pPr>
        <w:pStyle w:val="a0"/>
      </w:pPr>
      <w:r w:rsidRPr="008D1E1B">
        <w:t>f.</w:t>
      </w:r>
      <w:r w:rsidRPr="008D1E1B">
        <w:tab/>
        <w:t>Any openings such as vents, and windows shall be covered with insect-proof screens to prevent entry of aphids, whiteflies and other injurious insects.</w:t>
      </w:r>
    </w:p>
    <w:p w14:paraId="20F30A58" w14:textId="77777777" w:rsidR="003F6197" w:rsidRDefault="003F6197" w:rsidP="003F6197">
      <w:pPr>
        <w:pStyle w:val="a0"/>
      </w:pPr>
      <w:r w:rsidRPr="008D1E1B">
        <w:t>g.</w:t>
      </w:r>
      <w:r w:rsidRPr="008D1E1B">
        <w:tab/>
        <w:t>An integrated pest management program shall remain in place to control aphids, whiteflies and other injurious insects.</w:t>
      </w:r>
    </w:p>
    <w:p w14:paraId="26E094BB" w14:textId="77777777" w:rsidR="003F6197" w:rsidRDefault="003F6197" w:rsidP="003F6197">
      <w:pPr>
        <w:pStyle w:val="a0"/>
      </w:pPr>
      <w:r w:rsidRPr="008D1E1B">
        <w:t>h.</w:t>
      </w:r>
      <w:r w:rsidRPr="008D1E1B">
        <w:tab/>
        <w:t>Cutting tools shall be decontaminated on a regular basis and always decontaminated prior to being used between groups of plants.</w:t>
      </w:r>
    </w:p>
    <w:p w14:paraId="10B69DB5" w14:textId="77777777" w:rsidR="003F6197" w:rsidRDefault="003F6197" w:rsidP="003F6197">
      <w:pPr>
        <w:pStyle w:val="a0"/>
      </w:pPr>
      <w:r w:rsidRPr="008D1E1B">
        <w:t>i.</w:t>
      </w:r>
      <w:r w:rsidRPr="008D1E1B">
        <w:tab/>
        <w:t>All growing media and containers must be new, or sanitized by a method approved by LDAF.</w:t>
      </w:r>
    </w:p>
    <w:p w14:paraId="48CCDF14" w14:textId="77777777" w:rsidR="003F6197" w:rsidRDefault="003F6197" w:rsidP="003F6197">
      <w:pPr>
        <w:pStyle w:val="a0"/>
      </w:pPr>
      <w:r w:rsidRPr="008D1E1B">
        <w:t>j.</w:t>
      </w:r>
      <w:r w:rsidRPr="008D1E1B">
        <w:tab/>
        <w:t>Isolation</w:t>
      </w:r>
    </w:p>
    <w:p w14:paraId="7696D030" w14:textId="77777777" w:rsidR="003F6197" w:rsidRDefault="003F6197" w:rsidP="003F6197">
      <w:pPr>
        <w:pStyle w:val="i0"/>
      </w:pPr>
      <w:r>
        <w:tab/>
      </w:r>
      <w:r w:rsidRPr="008D1E1B">
        <w:t>i.</w:t>
      </w:r>
      <w:r w:rsidRPr="008D1E1B">
        <w:tab/>
        <w:t>No plants are allowed to grow within 10 feet of the greenhouse, except for turf grass used for stabilization of the soil. Weeds shall be controlled by grower.</w:t>
      </w:r>
    </w:p>
    <w:p w14:paraId="12BDBE0C" w14:textId="77777777" w:rsidR="003F6197" w:rsidRDefault="003F6197" w:rsidP="003F6197">
      <w:pPr>
        <w:pStyle w:val="i0"/>
      </w:pPr>
      <w:r>
        <w:tab/>
      </w:r>
      <w:r w:rsidRPr="008D1E1B">
        <w:t>ii.</w:t>
      </w:r>
      <w:r w:rsidRPr="008D1E1B">
        <w:tab/>
        <w:t>The perimeter of the greenhouse shall be a minimum of 250 feet away from any non-certified sweet potatoes, greenhouses containing non-certified plants, sweet potato storage sheds, cull piles or other potential sources of sweet potato viruses. Upon written request of the grower, LDAF may allow an isolation distance of less than 250 feet.</w:t>
      </w:r>
    </w:p>
    <w:p w14:paraId="14308889" w14:textId="77777777" w:rsidR="003F6197" w:rsidRDefault="003F6197" w:rsidP="003F6197">
      <w:pPr>
        <w:pStyle w:val="i0"/>
      </w:pPr>
      <w:r>
        <w:lastRenderedPageBreak/>
        <w:tab/>
      </w:r>
      <w:r w:rsidRPr="008D1E1B">
        <w:t>iii.</w:t>
      </w:r>
      <w:r w:rsidRPr="008D1E1B">
        <w:tab/>
        <w:t>Different varieties/cultivars shall be clearly identified and separated within the greenhouse.</w:t>
      </w:r>
    </w:p>
    <w:p w14:paraId="24F2AFC3" w14:textId="77777777" w:rsidR="003F6197" w:rsidRDefault="003F6197" w:rsidP="003F6197">
      <w:pPr>
        <w:pStyle w:val="1"/>
      </w:pPr>
      <w:r w:rsidRPr="008D1E1B">
        <w:t>5.</w:t>
      </w:r>
      <w:r w:rsidRPr="008D1E1B">
        <w:tab/>
        <w:t>Producer Inspections</w:t>
      </w:r>
    </w:p>
    <w:p w14:paraId="0D4D83F7" w14:textId="77777777" w:rsidR="003F6197" w:rsidRDefault="003F6197" w:rsidP="003F6197">
      <w:pPr>
        <w:pStyle w:val="a0"/>
      </w:pPr>
      <w:r w:rsidRPr="008D1E1B">
        <w:t>a.</w:t>
      </w:r>
      <w:r w:rsidRPr="008D1E1B">
        <w:tab/>
        <w:t>Producer shall inspect plants routinely. If symptomatic plants are found, they shall be removed and destroyed.</w:t>
      </w:r>
    </w:p>
    <w:p w14:paraId="71CC5014" w14:textId="77777777" w:rsidR="003F6197" w:rsidRDefault="003F6197" w:rsidP="003F6197">
      <w:pPr>
        <w:pStyle w:val="a0"/>
      </w:pPr>
      <w:r w:rsidRPr="008D1E1B">
        <w:t>b.</w:t>
      </w:r>
      <w:r w:rsidRPr="008D1E1B">
        <w:tab/>
        <w:t>The grower shall keep a log book documenting routine inspections and the variety and number of plants that were removed. The log book shall be made available to LDAF upon request.</w:t>
      </w:r>
    </w:p>
    <w:p w14:paraId="4628F5B1" w14:textId="77777777" w:rsidR="003F6197" w:rsidRDefault="003F6197" w:rsidP="003F6197">
      <w:pPr>
        <w:pStyle w:val="a0"/>
      </w:pPr>
      <w:r w:rsidRPr="008D1E1B">
        <w:t>c.</w:t>
      </w:r>
      <w:r w:rsidRPr="008D1E1B">
        <w:tab/>
        <w:t>Grower shall inspect each greenhouse and its perimeter routinely to ensure that the greenhouse isolation requirements are being met.</w:t>
      </w:r>
    </w:p>
    <w:p w14:paraId="2C666CD5" w14:textId="77777777" w:rsidR="003F6197" w:rsidRDefault="003F6197" w:rsidP="003F6197">
      <w:pPr>
        <w:pStyle w:val="1"/>
      </w:pPr>
      <w:r w:rsidRPr="008D1E1B">
        <w:t>6.</w:t>
      </w:r>
      <w:r w:rsidRPr="008D1E1B">
        <w:tab/>
        <w:t>LDAF Inspections</w:t>
      </w:r>
    </w:p>
    <w:p w14:paraId="7069DF93" w14:textId="77777777" w:rsidR="003F6197" w:rsidRDefault="003F6197" w:rsidP="003F6197">
      <w:pPr>
        <w:pStyle w:val="a0"/>
      </w:pPr>
      <w:r w:rsidRPr="008D1E1B">
        <w:t>a.</w:t>
      </w:r>
      <w:r w:rsidRPr="008D1E1B">
        <w:tab/>
        <w:t>LDAF will inspect certified greenhouses monthly and at other times as needed if problems are observed. If symptomatic plants are found during these inspections the grower shall rogue and dispose of these plants properly in order to maintain certification status.</w:t>
      </w:r>
    </w:p>
    <w:p w14:paraId="28B2ED16" w14:textId="77777777" w:rsidR="003F6197" w:rsidRDefault="003F6197" w:rsidP="003F6197">
      <w:pPr>
        <w:pStyle w:val="a0"/>
      </w:pPr>
      <w:r w:rsidRPr="008D1E1B">
        <w:t>b.</w:t>
      </w:r>
      <w:r w:rsidRPr="008D1E1B">
        <w:tab/>
        <w:t>A unit of certification shall be the entire greenhouse and such unit cannot be subdivided for the purpose for certification.</w:t>
      </w:r>
    </w:p>
    <w:p w14:paraId="733E2102" w14:textId="77777777" w:rsidR="003F6197" w:rsidRDefault="003F6197" w:rsidP="003F6197">
      <w:pPr>
        <w:pStyle w:val="1"/>
      </w:pPr>
      <w:r w:rsidRPr="008D1E1B">
        <w:t>7.</w:t>
      </w:r>
      <w:r w:rsidRPr="008D1E1B">
        <w:tab/>
        <w:t>Specific Greenhouse Requirements</w:t>
      </w:r>
    </w:p>
    <w:p w14:paraId="31853686" w14:textId="77777777" w:rsidR="003F6197" w:rsidRPr="008D1E1B" w:rsidRDefault="003F6197" w:rsidP="003F6197">
      <w:pPr>
        <w:pStyle w:val="1"/>
      </w:pPr>
    </w:p>
    <w:tbl>
      <w:tblPr>
        <w:tblW w:w="499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1E0" w:firstRow="1" w:lastRow="1" w:firstColumn="1" w:lastColumn="1" w:noHBand="0" w:noVBand="0"/>
      </w:tblPr>
      <w:tblGrid>
        <w:gridCol w:w="3368"/>
        <w:gridCol w:w="900"/>
        <w:gridCol w:w="728"/>
      </w:tblGrid>
      <w:tr w:rsidR="003F6197" w:rsidRPr="008D1E1B" w14:paraId="5C652D0F" w14:textId="77777777" w:rsidTr="003F6197">
        <w:trPr>
          <w:cantSplit/>
          <w:trHeight w:val="153"/>
          <w:tblHeader/>
          <w:jc w:val="center"/>
        </w:trPr>
        <w:tc>
          <w:tcPr>
            <w:tcW w:w="4996" w:type="dxa"/>
            <w:gridSpan w:val="3"/>
            <w:tcBorders>
              <w:top w:val="double" w:sz="6" w:space="0" w:color="auto"/>
              <w:bottom w:val="single" w:sz="6" w:space="0" w:color="auto"/>
            </w:tcBorders>
            <w:shd w:val="clear" w:color="auto" w:fill="BFBFBF"/>
            <w:vAlign w:val="bottom"/>
          </w:tcPr>
          <w:p w14:paraId="5E8982A0" w14:textId="77777777" w:rsidR="003F6197" w:rsidRPr="00953245" w:rsidRDefault="003F6197" w:rsidP="003F6197">
            <w:pPr>
              <w:pStyle w:val="NoSpacing"/>
              <w:jc w:val="center"/>
              <w:rPr>
                <w:b/>
                <w:sz w:val="16"/>
                <w:szCs w:val="16"/>
              </w:rPr>
            </w:pPr>
            <w:r w:rsidRPr="00953245">
              <w:rPr>
                <w:b/>
                <w:sz w:val="16"/>
                <w:szCs w:val="16"/>
              </w:rPr>
              <w:t>Maximum Tolerance Allowed</w:t>
            </w:r>
          </w:p>
        </w:tc>
      </w:tr>
      <w:tr w:rsidR="003F6197" w:rsidRPr="008D1E1B" w14:paraId="5890388F" w14:textId="77777777" w:rsidTr="003F6197">
        <w:trPr>
          <w:cantSplit/>
          <w:trHeight w:val="288"/>
          <w:tblHeader/>
          <w:jc w:val="center"/>
        </w:trPr>
        <w:tc>
          <w:tcPr>
            <w:tcW w:w="3368" w:type="dxa"/>
            <w:tcBorders>
              <w:top w:val="single" w:sz="6" w:space="0" w:color="auto"/>
              <w:bottom w:val="single" w:sz="6" w:space="0" w:color="auto"/>
            </w:tcBorders>
            <w:shd w:val="clear" w:color="auto" w:fill="BFBFBF"/>
            <w:vAlign w:val="bottom"/>
          </w:tcPr>
          <w:p w14:paraId="307E78BC" w14:textId="77777777" w:rsidR="003F6197" w:rsidRPr="00953245" w:rsidRDefault="003F6197" w:rsidP="003F6197">
            <w:pPr>
              <w:pStyle w:val="NoSpacing"/>
              <w:jc w:val="center"/>
              <w:rPr>
                <w:b/>
                <w:sz w:val="16"/>
                <w:szCs w:val="16"/>
              </w:rPr>
            </w:pPr>
            <w:r w:rsidRPr="00953245">
              <w:rPr>
                <w:b/>
                <w:sz w:val="16"/>
                <w:szCs w:val="16"/>
              </w:rPr>
              <w:t>Factor</w:t>
            </w:r>
          </w:p>
        </w:tc>
        <w:tc>
          <w:tcPr>
            <w:tcW w:w="900" w:type="dxa"/>
            <w:tcBorders>
              <w:top w:val="single" w:sz="6" w:space="0" w:color="auto"/>
              <w:bottom w:val="single" w:sz="6" w:space="0" w:color="auto"/>
            </w:tcBorders>
            <w:shd w:val="clear" w:color="auto" w:fill="BFBFBF"/>
            <w:vAlign w:val="bottom"/>
          </w:tcPr>
          <w:p w14:paraId="7EEA876E" w14:textId="77777777" w:rsidR="003F6197" w:rsidRPr="00953245" w:rsidRDefault="003F6197" w:rsidP="003F6197">
            <w:pPr>
              <w:pStyle w:val="NoSpacing"/>
              <w:jc w:val="center"/>
              <w:rPr>
                <w:b/>
                <w:sz w:val="16"/>
                <w:szCs w:val="16"/>
              </w:rPr>
            </w:pPr>
            <w:r w:rsidRPr="00953245">
              <w:rPr>
                <w:b/>
                <w:sz w:val="16"/>
                <w:szCs w:val="16"/>
              </w:rPr>
              <w:t>Nuclear Plants</w:t>
            </w:r>
          </w:p>
        </w:tc>
        <w:tc>
          <w:tcPr>
            <w:tcW w:w="728" w:type="dxa"/>
            <w:tcBorders>
              <w:top w:val="single" w:sz="6" w:space="0" w:color="auto"/>
              <w:bottom w:val="single" w:sz="6" w:space="0" w:color="auto"/>
            </w:tcBorders>
            <w:shd w:val="clear" w:color="auto" w:fill="BFBFBF"/>
            <w:vAlign w:val="bottom"/>
          </w:tcPr>
          <w:p w14:paraId="065A7D94" w14:textId="77777777" w:rsidR="003F6197" w:rsidRPr="00953245" w:rsidRDefault="003F6197" w:rsidP="003F6197">
            <w:pPr>
              <w:pStyle w:val="NoSpacing"/>
              <w:jc w:val="center"/>
              <w:rPr>
                <w:b/>
                <w:sz w:val="16"/>
                <w:szCs w:val="16"/>
              </w:rPr>
            </w:pPr>
            <w:r w:rsidRPr="00953245">
              <w:rPr>
                <w:b/>
                <w:sz w:val="16"/>
                <w:szCs w:val="16"/>
              </w:rPr>
              <w:t>G0 Plants</w:t>
            </w:r>
          </w:p>
        </w:tc>
      </w:tr>
      <w:tr w:rsidR="003F6197" w:rsidRPr="008D1E1B" w14:paraId="1679523C" w14:textId="77777777" w:rsidTr="003F6197">
        <w:trPr>
          <w:cantSplit/>
          <w:jc w:val="center"/>
        </w:trPr>
        <w:tc>
          <w:tcPr>
            <w:tcW w:w="3368" w:type="dxa"/>
            <w:tcBorders>
              <w:top w:val="single" w:sz="6" w:space="0" w:color="auto"/>
              <w:bottom w:val="single" w:sz="6" w:space="0" w:color="auto"/>
            </w:tcBorders>
          </w:tcPr>
          <w:p w14:paraId="2FD69CB8" w14:textId="77777777" w:rsidR="003F6197" w:rsidRPr="00953245" w:rsidRDefault="003F6197" w:rsidP="003F6197">
            <w:pPr>
              <w:pStyle w:val="NoSpacing"/>
              <w:rPr>
                <w:sz w:val="16"/>
                <w:szCs w:val="16"/>
              </w:rPr>
            </w:pPr>
            <w:r w:rsidRPr="00953245">
              <w:rPr>
                <w:sz w:val="16"/>
                <w:szCs w:val="16"/>
              </w:rPr>
              <w:t>Bacterial Stem Rot (</w:t>
            </w:r>
            <w:r w:rsidRPr="00953245">
              <w:rPr>
                <w:i/>
                <w:sz w:val="16"/>
                <w:szCs w:val="16"/>
              </w:rPr>
              <w:t>Erwinia chrysanthemi</w:t>
            </w:r>
            <w:r w:rsidRPr="00953245">
              <w:rPr>
                <w:sz w:val="16"/>
                <w:szCs w:val="16"/>
              </w:rPr>
              <w:t>)*</w:t>
            </w:r>
          </w:p>
        </w:tc>
        <w:tc>
          <w:tcPr>
            <w:tcW w:w="900" w:type="dxa"/>
            <w:tcBorders>
              <w:top w:val="single" w:sz="6" w:space="0" w:color="auto"/>
              <w:bottom w:val="single" w:sz="6" w:space="0" w:color="auto"/>
            </w:tcBorders>
            <w:vAlign w:val="bottom"/>
          </w:tcPr>
          <w:p w14:paraId="5746FF5B"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59BF2EF5" w14:textId="77777777" w:rsidR="003F6197" w:rsidRPr="00953245" w:rsidRDefault="003F6197" w:rsidP="003F6197">
            <w:pPr>
              <w:pStyle w:val="NoSpacing"/>
              <w:rPr>
                <w:sz w:val="16"/>
                <w:szCs w:val="16"/>
              </w:rPr>
            </w:pPr>
            <w:r w:rsidRPr="00953245">
              <w:rPr>
                <w:sz w:val="16"/>
                <w:szCs w:val="16"/>
              </w:rPr>
              <w:t>0</w:t>
            </w:r>
          </w:p>
        </w:tc>
      </w:tr>
      <w:tr w:rsidR="003F6197" w:rsidRPr="008D1E1B" w14:paraId="3B57ED21" w14:textId="77777777" w:rsidTr="003F6197">
        <w:trPr>
          <w:cantSplit/>
          <w:jc w:val="center"/>
        </w:trPr>
        <w:tc>
          <w:tcPr>
            <w:tcW w:w="3368" w:type="dxa"/>
            <w:tcBorders>
              <w:top w:val="single" w:sz="6" w:space="0" w:color="auto"/>
              <w:bottom w:val="single" w:sz="6" w:space="0" w:color="auto"/>
            </w:tcBorders>
          </w:tcPr>
          <w:p w14:paraId="47548A7C" w14:textId="77777777" w:rsidR="003F6197" w:rsidRPr="00953245" w:rsidRDefault="003F6197" w:rsidP="003F6197">
            <w:pPr>
              <w:pStyle w:val="NoSpacing"/>
              <w:rPr>
                <w:sz w:val="16"/>
                <w:szCs w:val="16"/>
              </w:rPr>
            </w:pPr>
            <w:r w:rsidRPr="00953245">
              <w:rPr>
                <w:sz w:val="16"/>
                <w:szCs w:val="16"/>
              </w:rPr>
              <w:t xml:space="preserve">Black Rot </w:t>
            </w:r>
            <w:r w:rsidRPr="00953245">
              <w:rPr>
                <w:i/>
                <w:iCs/>
                <w:sz w:val="16"/>
                <w:szCs w:val="16"/>
              </w:rPr>
              <w:t>(Ceratocystis fimbriata)</w:t>
            </w:r>
            <w:r w:rsidRPr="00953245">
              <w:rPr>
                <w:sz w:val="16"/>
                <w:szCs w:val="16"/>
              </w:rPr>
              <w:t>*</w:t>
            </w:r>
          </w:p>
        </w:tc>
        <w:tc>
          <w:tcPr>
            <w:tcW w:w="900" w:type="dxa"/>
            <w:tcBorders>
              <w:top w:val="single" w:sz="6" w:space="0" w:color="auto"/>
              <w:bottom w:val="single" w:sz="6" w:space="0" w:color="auto"/>
            </w:tcBorders>
            <w:vAlign w:val="bottom"/>
          </w:tcPr>
          <w:p w14:paraId="115183DA"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7F3BFCA3" w14:textId="77777777" w:rsidR="003F6197" w:rsidRPr="00953245" w:rsidRDefault="003F6197" w:rsidP="003F6197">
            <w:pPr>
              <w:pStyle w:val="NoSpacing"/>
              <w:rPr>
                <w:sz w:val="16"/>
                <w:szCs w:val="16"/>
              </w:rPr>
            </w:pPr>
            <w:r w:rsidRPr="00953245">
              <w:rPr>
                <w:sz w:val="16"/>
                <w:szCs w:val="16"/>
              </w:rPr>
              <w:t>0</w:t>
            </w:r>
          </w:p>
        </w:tc>
      </w:tr>
      <w:tr w:rsidR="003F6197" w:rsidRPr="008D1E1B" w14:paraId="27A353BE" w14:textId="77777777" w:rsidTr="003F6197">
        <w:trPr>
          <w:cantSplit/>
          <w:jc w:val="center"/>
        </w:trPr>
        <w:tc>
          <w:tcPr>
            <w:tcW w:w="3368" w:type="dxa"/>
            <w:tcBorders>
              <w:top w:val="single" w:sz="6" w:space="0" w:color="auto"/>
              <w:bottom w:val="single" w:sz="6" w:space="0" w:color="auto"/>
            </w:tcBorders>
          </w:tcPr>
          <w:p w14:paraId="3730E4D4" w14:textId="77777777" w:rsidR="003F6197" w:rsidRPr="00953245" w:rsidRDefault="003F6197" w:rsidP="003F6197">
            <w:pPr>
              <w:pStyle w:val="NoSpacing"/>
              <w:rPr>
                <w:sz w:val="16"/>
                <w:szCs w:val="16"/>
              </w:rPr>
            </w:pPr>
            <w:r w:rsidRPr="00953245">
              <w:rPr>
                <w:sz w:val="16"/>
                <w:szCs w:val="16"/>
              </w:rPr>
              <w:t>Scurf (</w:t>
            </w:r>
            <w:r w:rsidRPr="00953245">
              <w:rPr>
                <w:i/>
                <w:sz w:val="16"/>
                <w:szCs w:val="16"/>
              </w:rPr>
              <w:t>Monilochaetes infuscans</w:t>
            </w:r>
            <w:r w:rsidRPr="00953245">
              <w:rPr>
                <w:sz w:val="16"/>
                <w:szCs w:val="16"/>
              </w:rPr>
              <w:t>)*</w:t>
            </w:r>
          </w:p>
        </w:tc>
        <w:tc>
          <w:tcPr>
            <w:tcW w:w="900" w:type="dxa"/>
            <w:tcBorders>
              <w:top w:val="single" w:sz="6" w:space="0" w:color="auto"/>
              <w:bottom w:val="single" w:sz="6" w:space="0" w:color="auto"/>
            </w:tcBorders>
            <w:vAlign w:val="bottom"/>
          </w:tcPr>
          <w:p w14:paraId="69C76AAF"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2254BB54" w14:textId="77777777" w:rsidR="003F6197" w:rsidRPr="00953245" w:rsidRDefault="003F6197" w:rsidP="003F6197">
            <w:pPr>
              <w:pStyle w:val="NoSpacing"/>
              <w:rPr>
                <w:sz w:val="16"/>
                <w:szCs w:val="16"/>
              </w:rPr>
            </w:pPr>
            <w:r w:rsidRPr="00953245">
              <w:rPr>
                <w:sz w:val="16"/>
                <w:szCs w:val="16"/>
              </w:rPr>
              <w:t>0</w:t>
            </w:r>
          </w:p>
        </w:tc>
      </w:tr>
      <w:tr w:rsidR="003F6197" w:rsidRPr="008D1E1B" w14:paraId="55905ECC" w14:textId="77777777" w:rsidTr="003F6197">
        <w:trPr>
          <w:cantSplit/>
          <w:jc w:val="center"/>
        </w:trPr>
        <w:tc>
          <w:tcPr>
            <w:tcW w:w="3368" w:type="dxa"/>
            <w:tcBorders>
              <w:top w:val="single" w:sz="6" w:space="0" w:color="auto"/>
              <w:bottom w:val="single" w:sz="6" w:space="0" w:color="auto"/>
            </w:tcBorders>
          </w:tcPr>
          <w:p w14:paraId="3FD06BC7" w14:textId="77777777" w:rsidR="003F6197" w:rsidRPr="00953245" w:rsidRDefault="003F6197" w:rsidP="003F6197">
            <w:pPr>
              <w:pStyle w:val="NoSpacing"/>
              <w:rPr>
                <w:sz w:val="16"/>
                <w:szCs w:val="16"/>
              </w:rPr>
            </w:pPr>
            <w:r w:rsidRPr="00953245">
              <w:rPr>
                <w:sz w:val="16"/>
                <w:szCs w:val="16"/>
              </w:rPr>
              <w:t>Root-Knot Nematode (</w:t>
            </w:r>
            <w:r w:rsidRPr="00953245">
              <w:rPr>
                <w:i/>
                <w:sz w:val="16"/>
                <w:szCs w:val="16"/>
              </w:rPr>
              <w:t>Meloidogyne spp.)</w:t>
            </w:r>
          </w:p>
        </w:tc>
        <w:tc>
          <w:tcPr>
            <w:tcW w:w="900" w:type="dxa"/>
            <w:tcBorders>
              <w:top w:val="single" w:sz="6" w:space="0" w:color="auto"/>
              <w:bottom w:val="single" w:sz="6" w:space="0" w:color="auto"/>
            </w:tcBorders>
            <w:vAlign w:val="bottom"/>
          </w:tcPr>
          <w:p w14:paraId="39C37D45"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1BA9A0F4" w14:textId="77777777" w:rsidR="003F6197" w:rsidRPr="00953245" w:rsidRDefault="003F6197" w:rsidP="003F6197">
            <w:pPr>
              <w:pStyle w:val="NoSpacing"/>
              <w:rPr>
                <w:sz w:val="16"/>
                <w:szCs w:val="16"/>
              </w:rPr>
            </w:pPr>
            <w:r w:rsidRPr="00953245">
              <w:rPr>
                <w:sz w:val="16"/>
                <w:szCs w:val="16"/>
              </w:rPr>
              <w:t>0</w:t>
            </w:r>
          </w:p>
        </w:tc>
      </w:tr>
      <w:tr w:rsidR="003F6197" w:rsidRPr="008D1E1B" w14:paraId="1FA261FE" w14:textId="77777777" w:rsidTr="003F6197">
        <w:trPr>
          <w:cantSplit/>
          <w:jc w:val="center"/>
        </w:trPr>
        <w:tc>
          <w:tcPr>
            <w:tcW w:w="3368" w:type="dxa"/>
            <w:tcBorders>
              <w:top w:val="single" w:sz="6" w:space="0" w:color="auto"/>
              <w:bottom w:val="single" w:sz="6" w:space="0" w:color="auto"/>
            </w:tcBorders>
          </w:tcPr>
          <w:p w14:paraId="1E918DC1" w14:textId="77777777" w:rsidR="003F6197" w:rsidRPr="00953245" w:rsidRDefault="003F6197" w:rsidP="003F6197">
            <w:pPr>
              <w:pStyle w:val="NoSpacing"/>
              <w:rPr>
                <w:sz w:val="16"/>
                <w:szCs w:val="16"/>
              </w:rPr>
            </w:pPr>
            <w:r w:rsidRPr="00953245">
              <w:rPr>
                <w:sz w:val="16"/>
                <w:szCs w:val="16"/>
              </w:rPr>
              <w:t>Feathery Mottle (sweet potato feathery mottle virus [SPFMV])*</w:t>
            </w:r>
          </w:p>
        </w:tc>
        <w:tc>
          <w:tcPr>
            <w:tcW w:w="900" w:type="dxa"/>
            <w:tcBorders>
              <w:top w:val="single" w:sz="6" w:space="0" w:color="auto"/>
              <w:bottom w:val="single" w:sz="6" w:space="0" w:color="auto"/>
            </w:tcBorders>
            <w:vAlign w:val="bottom"/>
          </w:tcPr>
          <w:p w14:paraId="50F7F031"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52C661CA" w14:textId="77777777" w:rsidR="003F6197" w:rsidRPr="00953245" w:rsidRDefault="003F6197" w:rsidP="003F6197">
            <w:pPr>
              <w:pStyle w:val="NoSpacing"/>
              <w:rPr>
                <w:sz w:val="16"/>
                <w:szCs w:val="16"/>
              </w:rPr>
            </w:pPr>
            <w:r w:rsidRPr="00953245">
              <w:rPr>
                <w:sz w:val="16"/>
                <w:szCs w:val="16"/>
              </w:rPr>
              <w:t>0</w:t>
            </w:r>
          </w:p>
        </w:tc>
      </w:tr>
      <w:tr w:rsidR="003F6197" w:rsidRPr="008D1E1B" w14:paraId="40FD4FA5" w14:textId="77777777" w:rsidTr="003F6197">
        <w:trPr>
          <w:cantSplit/>
          <w:jc w:val="center"/>
        </w:trPr>
        <w:tc>
          <w:tcPr>
            <w:tcW w:w="3368" w:type="dxa"/>
            <w:tcBorders>
              <w:top w:val="single" w:sz="6" w:space="0" w:color="auto"/>
              <w:bottom w:val="single" w:sz="6" w:space="0" w:color="auto"/>
            </w:tcBorders>
          </w:tcPr>
          <w:p w14:paraId="33961E6C" w14:textId="77777777" w:rsidR="003F6197" w:rsidRPr="00953245" w:rsidRDefault="003F6197" w:rsidP="003F6197">
            <w:pPr>
              <w:pStyle w:val="NoSpacing"/>
              <w:rPr>
                <w:sz w:val="16"/>
                <w:szCs w:val="16"/>
              </w:rPr>
            </w:pPr>
            <w:r w:rsidRPr="00953245">
              <w:rPr>
                <w:sz w:val="16"/>
                <w:szCs w:val="16"/>
              </w:rPr>
              <w:t>Russet Crack (a strain of SPFMV)*</w:t>
            </w:r>
          </w:p>
        </w:tc>
        <w:tc>
          <w:tcPr>
            <w:tcW w:w="900" w:type="dxa"/>
            <w:tcBorders>
              <w:top w:val="single" w:sz="6" w:space="0" w:color="auto"/>
              <w:bottom w:val="single" w:sz="6" w:space="0" w:color="auto"/>
            </w:tcBorders>
            <w:vAlign w:val="bottom"/>
          </w:tcPr>
          <w:p w14:paraId="2119E436"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7954B053" w14:textId="77777777" w:rsidR="003F6197" w:rsidRPr="00953245" w:rsidRDefault="003F6197" w:rsidP="003F6197">
            <w:pPr>
              <w:pStyle w:val="NoSpacing"/>
              <w:rPr>
                <w:sz w:val="16"/>
                <w:szCs w:val="16"/>
              </w:rPr>
            </w:pPr>
            <w:r w:rsidRPr="00953245">
              <w:rPr>
                <w:sz w:val="16"/>
                <w:szCs w:val="16"/>
              </w:rPr>
              <w:t>0</w:t>
            </w:r>
          </w:p>
        </w:tc>
      </w:tr>
      <w:tr w:rsidR="003F6197" w:rsidRPr="008D1E1B" w14:paraId="1BB8FAB5" w14:textId="77777777" w:rsidTr="003F6197">
        <w:trPr>
          <w:cantSplit/>
          <w:jc w:val="center"/>
        </w:trPr>
        <w:tc>
          <w:tcPr>
            <w:tcW w:w="3368" w:type="dxa"/>
            <w:tcBorders>
              <w:top w:val="single" w:sz="6" w:space="0" w:color="auto"/>
              <w:bottom w:val="single" w:sz="6" w:space="0" w:color="auto"/>
            </w:tcBorders>
          </w:tcPr>
          <w:p w14:paraId="50E55192" w14:textId="77777777" w:rsidR="003F6197" w:rsidRPr="00953245" w:rsidRDefault="003F6197" w:rsidP="003F6197">
            <w:pPr>
              <w:pStyle w:val="NoSpacing"/>
              <w:rPr>
                <w:sz w:val="16"/>
                <w:szCs w:val="16"/>
              </w:rPr>
            </w:pPr>
            <w:r w:rsidRPr="00953245">
              <w:rPr>
                <w:sz w:val="16"/>
                <w:szCs w:val="16"/>
              </w:rPr>
              <w:t>Internal Cork*</w:t>
            </w:r>
          </w:p>
        </w:tc>
        <w:tc>
          <w:tcPr>
            <w:tcW w:w="900" w:type="dxa"/>
            <w:tcBorders>
              <w:top w:val="single" w:sz="6" w:space="0" w:color="auto"/>
              <w:bottom w:val="single" w:sz="6" w:space="0" w:color="auto"/>
            </w:tcBorders>
            <w:vAlign w:val="bottom"/>
          </w:tcPr>
          <w:p w14:paraId="087725B5"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5DEE5829" w14:textId="77777777" w:rsidR="003F6197" w:rsidRPr="00953245" w:rsidRDefault="003F6197" w:rsidP="003F6197">
            <w:pPr>
              <w:pStyle w:val="NoSpacing"/>
              <w:rPr>
                <w:sz w:val="16"/>
                <w:szCs w:val="16"/>
              </w:rPr>
            </w:pPr>
            <w:r w:rsidRPr="00953245">
              <w:rPr>
                <w:sz w:val="16"/>
                <w:szCs w:val="16"/>
              </w:rPr>
              <w:t>0</w:t>
            </w:r>
          </w:p>
        </w:tc>
      </w:tr>
      <w:tr w:rsidR="003F6197" w:rsidRPr="008D1E1B" w14:paraId="6267F8BD" w14:textId="77777777" w:rsidTr="003F6197">
        <w:trPr>
          <w:cantSplit/>
          <w:jc w:val="center"/>
        </w:trPr>
        <w:tc>
          <w:tcPr>
            <w:tcW w:w="3368" w:type="dxa"/>
            <w:tcBorders>
              <w:top w:val="single" w:sz="6" w:space="0" w:color="auto"/>
              <w:bottom w:val="single" w:sz="6" w:space="0" w:color="auto"/>
            </w:tcBorders>
          </w:tcPr>
          <w:p w14:paraId="2276B51E" w14:textId="77777777" w:rsidR="003F6197" w:rsidRPr="00953245" w:rsidRDefault="003F6197" w:rsidP="003F6197">
            <w:pPr>
              <w:pStyle w:val="NoSpacing"/>
              <w:rPr>
                <w:sz w:val="16"/>
                <w:szCs w:val="16"/>
              </w:rPr>
            </w:pPr>
            <w:r w:rsidRPr="00953245">
              <w:rPr>
                <w:sz w:val="16"/>
                <w:szCs w:val="16"/>
              </w:rPr>
              <w:t>Wilt (</w:t>
            </w:r>
            <w:r w:rsidRPr="00953245">
              <w:rPr>
                <w:i/>
                <w:sz w:val="16"/>
                <w:szCs w:val="16"/>
              </w:rPr>
              <w:t>Fusarium oxysporum f. sp. batatas</w:t>
            </w:r>
            <w:r w:rsidRPr="00953245">
              <w:rPr>
                <w:sz w:val="16"/>
                <w:szCs w:val="16"/>
              </w:rPr>
              <w:t>)*</w:t>
            </w:r>
          </w:p>
        </w:tc>
        <w:tc>
          <w:tcPr>
            <w:tcW w:w="900" w:type="dxa"/>
            <w:tcBorders>
              <w:top w:val="single" w:sz="6" w:space="0" w:color="auto"/>
              <w:bottom w:val="single" w:sz="6" w:space="0" w:color="auto"/>
            </w:tcBorders>
            <w:vAlign w:val="bottom"/>
          </w:tcPr>
          <w:p w14:paraId="3F0EFEB0"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3D4D8805" w14:textId="77777777" w:rsidR="003F6197" w:rsidRPr="00953245" w:rsidRDefault="003F6197" w:rsidP="003F6197">
            <w:pPr>
              <w:pStyle w:val="NoSpacing"/>
              <w:rPr>
                <w:sz w:val="16"/>
                <w:szCs w:val="16"/>
              </w:rPr>
            </w:pPr>
            <w:r w:rsidRPr="00953245">
              <w:rPr>
                <w:sz w:val="16"/>
                <w:szCs w:val="16"/>
              </w:rPr>
              <w:t>0</w:t>
            </w:r>
          </w:p>
        </w:tc>
      </w:tr>
      <w:tr w:rsidR="003F6197" w:rsidRPr="008D1E1B" w14:paraId="042423F3" w14:textId="77777777" w:rsidTr="003F6197">
        <w:trPr>
          <w:cantSplit/>
          <w:jc w:val="center"/>
        </w:trPr>
        <w:tc>
          <w:tcPr>
            <w:tcW w:w="3368" w:type="dxa"/>
            <w:tcBorders>
              <w:top w:val="single" w:sz="6" w:space="0" w:color="auto"/>
              <w:bottom w:val="single" w:sz="6" w:space="0" w:color="auto"/>
            </w:tcBorders>
          </w:tcPr>
          <w:p w14:paraId="49BE4B18" w14:textId="77777777" w:rsidR="003F6197" w:rsidRPr="00953245" w:rsidRDefault="003F6197" w:rsidP="003F6197">
            <w:pPr>
              <w:pStyle w:val="NoSpacing"/>
              <w:rPr>
                <w:sz w:val="16"/>
                <w:szCs w:val="16"/>
              </w:rPr>
            </w:pPr>
            <w:r w:rsidRPr="00953245">
              <w:rPr>
                <w:sz w:val="16"/>
                <w:szCs w:val="16"/>
              </w:rPr>
              <w:t>Sweetpotato Weevil (</w:t>
            </w:r>
            <w:r w:rsidRPr="00953245">
              <w:rPr>
                <w:i/>
                <w:sz w:val="16"/>
                <w:szCs w:val="16"/>
              </w:rPr>
              <w:t>Cylas formicarius</w:t>
            </w:r>
            <w:r w:rsidRPr="00953245">
              <w:rPr>
                <w:sz w:val="16"/>
                <w:szCs w:val="16"/>
              </w:rPr>
              <w:t>)</w:t>
            </w:r>
          </w:p>
        </w:tc>
        <w:tc>
          <w:tcPr>
            <w:tcW w:w="900" w:type="dxa"/>
            <w:tcBorders>
              <w:top w:val="single" w:sz="6" w:space="0" w:color="auto"/>
              <w:bottom w:val="single" w:sz="6" w:space="0" w:color="auto"/>
            </w:tcBorders>
            <w:vAlign w:val="bottom"/>
          </w:tcPr>
          <w:p w14:paraId="2453A8CB"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387F3BC1" w14:textId="77777777" w:rsidR="003F6197" w:rsidRPr="00953245" w:rsidRDefault="003F6197" w:rsidP="003F6197">
            <w:pPr>
              <w:pStyle w:val="NoSpacing"/>
              <w:rPr>
                <w:sz w:val="16"/>
                <w:szCs w:val="16"/>
              </w:rPr>
            </w:pPr>
            <w:r w:rsidRPr="00953245">
              <w:rPr>
                <w:sz w:val="16"/>
                <w:szCs w:val="16"/>
              </w:rPr>
              <w:t>0</w:t>
            </w:r>
          </w:p>
        </w:tc>
      </w:tr>
      <w:tr w:rsidR="003F6197" w:rsidRPr="008D1E1B" w14:paraId="2B187CE2" w14:textId="77777777" w:rsidTr="003F6197">
        <w:trPr>
          <w:cantSplit/>
          <w:jc w:val="center"/>
        </w:trPr>
        <w:tc>
          <w:tcPr>
            <w:tcW w:w="3368" w:type="dxa"/>
            <w:tcBorders>
              <w:top w:val="single" w:sz="6" w:space="0" w:color="auto"/>
              <w:bottom w:val="single" w:sz="6" w:space="0" w:color="auto"/>
            </w:tcBorders>
          </w:tcPr>
          <w:p w14:paraId="7983C3AB" w14:textId="77777777" w:rsidR="003F6197" w:rsidRPr="00953245" w:rsidRDefault="003F6197" w:rsidP="003F6197">
            <w:pPr>
              <w:pStyle w:val="NoSpacing"/>
              <w:rPr>
                <w:sz w:val="16"/>
                <w:szCs w:val="16"/>
              </w:rPr>
            </w:pPr>
            <w:r w:rsidRPr="00953245">
              <w:rPr>
                <w:sz w:val="16"/>
                <w:szCs w:val="16"/>
              </w:rPr>
              <w:t>Exotic or hazardous pests</w:t>
            </w:r>
          </w:p>
        </w:tc>
        <w:tc>
          <w:tcPr>
            <w:tcW w:w="900" w:type="dxa"/>
            <w:tcBorders>
              <w:top w:val="single" w:sz="6" w:space="0" w:color="auto"/>
              <w:bottom w:val="single" w:sz="6" w:space="0" w:color="auto"/>
            </w:tcBorders>
            <w:vAlign w:val="bottom"/>
          </w:tcPr>
          <w:p w14:paraId="4EF65F45"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5CB1C67C" w14:textId="77777777" w:rsidR="003F6197" w:rsidRPr="00953245" w:rsidRDefault="003F6197" w:rsidP="003F6197">
            <w:pPr>
              <w:pStyle w:val="NoSpacing"/>
              <w:rPr>
                <w:sz w:val="16"/>
                <w:szCs w:val="16"/>
              </w:rPr>
            </w:pPr>
            <w:r w:rsidRPr="00953245">
              <w:rPr>
                <w:sz w:val="16"/>
                <w:szCs w:val="16"/>
              </w:rPr>
              <w:t>0</w:t>
            </w:r>
          </w:p>
        </w:tc>
      </w:tr>
      <w:tr w:rsidR="003F6197" w:rsidRPr="008D1E1B" w14:paraId="00BEB396" w14:textId="77777777" w:rsidTr="003F6197">
        <w:trPr>
          <w:cantSplit/>
          <w:jc w:val="center"/>
        </w:trPr>
        <w:tc>
          <w:tcPr>
            <w:tcW w:w="3368" w:type="dxa"/>
            <w:tcBorders>
              <w:top w:val="single" w:sz="6" w:space="0" w:color="auto"/>
              <w:bottom w:val="single" w:sz="6" w:space="0" w:color="auto"/>
            </w:tcBorders>
          </w:tcPr>
          <w:p w14:paraId="657BAAEA" w14:textId="77777777" w:rsidR="003F6197" w:rsidRPr="00953245" w:rsidRDefault="003F6197" w:rsidP="003F6197">
            <w:pPr>
              <w:pStyle w:val="NoSpacing"/>
              <w:rPr>
                <w:sz w:val="16"/>
                <w:szCs w:val="16"/>
              </w:rPr>
            </w:pPr>
            <w:r w:rsidRPr="00953245">
              <w:rPr>
                <w:sz w:val="16"/>
                <w:szCs w:val="16"/>
              </w:rPr>
              <w:t>Variety mixture</w:t>
            </w:r>
          </w:p>
        </w:tc>
        <w:tc>
          <w:tcPr>
            <w:tcW w:w="900" w:type="dxa"/>
            <w:tcBorders>
              <w:top w:val="single" w:sz="6" w:space="0" w:color="auto"/>
              <w:bottom w:val="single" w:sz="6" w:space="0" w:color="auto"/>
            </w:tcBorders>
            <w:vAlign w:val="bottom"/>
          </w:tcPr>
          <w:p w14:paraId="5458B16B"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single" w:sz="6" w:space="0" w:color="auto"/>
            </w:tcBorders>
            <w:vAlign w:val="bottom"/>
          </w:tcPr>
          <w:p w14:paraId="699B2A9D" w14:textId="77777777" w:rsidR="003F6197" w:rsidRPr="00953245" w:rsidRDefault="003F6197" w:rsidP="003F6197">
            <w:pPr>
              <w:pStyle w:val="NoSpacing"/>
              <w:rPr>
                <w:sz w:val="16"/>
                <w:szCs w:val="16"/>
              </w:rPr>
            </w:pPr>
            <w:r w:rsidRPr="00953245">
              <w:rPr>
                <w:sz w:val="16"/>
                <w:szCs w:val="16"/>
              </w:rPr>
              <w:t>0</w:t>
            </w:r>
          </w:p>
        </w:tc>
      </w:tr>
      <w:tr w:rsidR="003F6197" w:rsidRPr="008D1E1B" w14:paraId="03543F03" w14:textId="77777777" w:rsidTr="003F6197">
        <w:trPr>
          <w:cantSplit/>
          <w:trHeight w:val="125"/>
          <w:jc w:val="center"/>
        </w:trPr>
        <w:tc>
          <w:tcPr>
            <w:tcW w:w="3368" w:type="dxa"/>
            <w:tcBorders>
              <w:top w:val="single" w:sz="6" w:space="0" w:color="auto"/>
              <w:bottom w:val="double" w:sz="6" w:space="0" w:color="auto"/>
            </w:tcBorders>
          </w:tcPr>
          <w:p w14:paraId="2EFC4035" w14:textId="77777777" w:rsidR="003F6197" w:rsidRPr="00953245" w:rsidRDefault="003F6197" w:rsidP="003F6197">
            <w:pPr>
              <w:pStyle w:val="NoSpacing"/>
              <w:rPr>
                <w:sz w:val="16"/>
                <w:szCs w:val="16"/>
              </w:rPr>
            </w:pPr>
            <w:r w:rsidRPr="00953245">
              <w:rPr>
                <w:sz w:val="16"/>
                <w:szCs w:val="16"/>
              </w:rPr>
              <w:t>Off-types (mutations)</w:t>
            </w:r>
          </w:p>
        </w:tc>
        <w:tc>
          <w:tcPr>
            <w:tcW w:w="900" w:type="dxa"/>
            <w:tcBorders>
              <w:top w:val="single" w:sz="6" w:space="0" w:color="auto"/>
              <w:bottom w:val="double" w:sz="6" w:space="0" w:color="auto"/>
            </w:tcBorders>
            <w:vAlign w:val="bottom"/>
          </w:tcPr>
          <w:p w14:paraId="1E380C5F" w14:textId="77777777" w:rsidR="003F6197" w:rsidRPr="00953245" w:rsidRDefault="003F6197" w:rsidP="003F6197">
            <w:pPr>
              <w:pStyle w:val="NoSpacing"/>
              <w:rPr>
                <w:sz w:val="16"/>
                <w:szCs w:val="16"/>
              </w:rPr>
            </w:pPr>
            <w:r w:rsidRPr="00953245">
              <w:rPr>
                <w:sz w:val="16"/>
                <w:szCs w:val="16"/>
              </w:rPr>
              <w:t>0</w:t>
            </w:r>
          </w:p>
        </w:tc>
        <w:tc>
          <w:tcPr>
            <w:tcW w:w="728" w:type="dxa"/>
            <w:tcBorders>
              <w:top w:val="single" w:sz="6" w:space="0" w:color="auto"/>
              <w:bottom w:val="double" w:sz="6" w:space="0" w:color="auto"/>
            </w:tcBorders>
            <w:vAlign w:val="bottom"/>
          </w:tcPr>
          <w:p w14:paraId="673F52B1" w14:textId="77777777" w:rsidR="003F6197" w:rsidRPr="00953245" w:rsidRDefault="003F6197" w:rsidP="003F6197">
            <w:pPr>
              <w:pStyle w:val="NoSpacing"/>
              <w:rPr>
                <w:sz w:val="16"/>
                <w:szCs w:val="16"/>
              </w:rPr>
            </w:pPr>
            <w:r w:rsidRPr="00953245">
              <w:rPr>
                <w:sz w:val="16"/>
                <w:szCs w:val="16"/>
              </w:rPr>
              <w:t>0</w:t>
            </w:r>
          </w:p>
        </w:tc>
      </w:tr>
    </w:tbl>
    <w:p w14:paraId="520204B2" w14:textId="77777777" w:rsidR="003F6197" w:rsidRDefault="003F6197" w:rsidP="003F6197">
      <w:pPr>
        <w:pStyle w:val="RegDoubleIndent"/>
        <w:rPr>
          <w:sz w:val="16"/>
          <w:szCs w:val="16"/>
        </w:rPr>
      </w:pPr>
      <w:r w:rsidRPr="00953245">
        <w:rPr>
          <w:sz w:val="16"/>
          <w:szCs w:val="16"/>
        </w:rPr>
        <w:t>*Plants or mini-roots exhibiting symptoms</w:t>
      </w:r>
    </w:p>
    <w:p w14:paraId="327AF9C2" w14:textId="77777777" w:rsidR="003F6197" w:rsidRPr="00953245" w:rsidRDefault="003F6197" w:rsidP="003F6197">
      <w:pPr>
        <w:pStyle w:val="A"/>
      </w:pPr>
    </w:p>
    <w:p w14:paraId="32CC50D5" w14:textId="77777777" w:rsidR="003F6197" w:rsidRDefault="003F6197" w:rsidP="003F6197">
      <w:pPr>
        <w:pStyle w:val="A"/>
      </w:pPr>
      <w:r w:rsidRPr="008D1E1B">
        <w:t>G.</w:t>
      </w:r>
      <w:r w:rsidRPr="008D1E1B">
        <w:tab/>
        <w:t>Field Requirements</w:t>
      </w:r>
    </w:p>
    <w:p w14:paraId="6345CE8C" w14:textId="2BFD4398" w:rsidR="003F6197" w:rsidRDefault="003F6197" w:rsidP="003F6197">
      <w:pPr>
        <w:pStyle w:val="1"/>
      </w:pPr>
      <w:r w:rsidRPr="008D1E1B">
        <w:t>1.</w:t>
      </w:r>
      <w:r w:rsidRPr="008D1E1B">
        <w:tab/>
      </w:r>
      <w:r w:rsidR="00686E64" w:rsidRPr="00686E64">
        <w:t>Individual certified fields shall only contain certified sweet potato plants. Upon written request of the grower, LDAF may allow non-certified G0 plants, that originated from nuclear stock, to be produced in certified fields.</w:t>
      </w:r>
    </w:p>
    <w:p w14:paraId="0811C288" w14:textId="77777777" w:rsidR="003F6197" w:rsidRDefault="003F6197" w:rsidP="003F6197">
      <w:pPr>
        <w:pStyle w:val="1"/>
      </w:pPr>
      <w:r w:rsidRPr="008D1E1B">
        <w:t>2.</w:t>
      </w:r>
      <w:r w:rsidRPr="008D1E1B">
        <w:tab/>
        <w:t>Sweet potato seed shall not be eligible for certification if produced on land which:</w:t>
      </w:r>
    </w:p>
    <w:p w14:paraId="2C607D93" w14:textId="77777777" w:rsidR="003F6197" w:rsidRDefault="003F6197" w:rsidP="003F6197">
      <w:pPr>
        <w:pStyle w:val="a0"/>
      </w:pPr>
      <w:r w:rsidRPr="008D1E1B">
        <w:t>a.</w:t>
      </w:r>
      <w:r w:rsidRPr="008D1E1B">
        <w:tab/>
        <w:t>has produced sweet potatoes, received manure or sweet potato residue in the previous two years;</w:t>
      </w:r>
    </w:p>
    <w:p w14:paraId="0CBE43A7" w14:textId="77777777" w:rsidR="003F6197" w:rsidRDefault="003F6197" w:rsidP="003F6197">
      <w:pPr>
        <w:pStyle w:val="a0"/>
      </w:pPr>
      <w:r w:rsidRPr="008D1E1B">
        <w:t>b.</w:t>
      </w:r>
      <w:r w:rsidRPr="008D1E1B">
        <w:tab/>
        <w:t>is subject to drainage from fields in which sweet potatoes are currently growing or have been grown in the previous three years.</w:t>
      </w:r>
    </w:p>
    <w:p w14:paraId="7A360993" w14:textId="77777777" w:rsidR="003F6197" w:rsidRDefault="003F6197" w:rsidP="003F6197">
      <w:pPr>
        <w:pStyle w:val="1"/>
      </w:pPr>
      <w:r w:rsidRPr="008D1E1B">
        <w:t>3.</w:t>
      </w:r>
      <w:r w:rsidRPr="008D1E1B">
        <w:tab/>
        <w:t xml:space="preserve">Production fields shall be a minimum of 750 feet from any non-certified sweet potato plants. LDAF may allow </w:t>
      </w:r>
      <w:r w:rsidRPr="008D1E1B">
        <w:t>an isolation distance of less than 750 feet upon written request of the grower.</w:t>
      </w:r>
    </w:p>
    <w:p w14:paraId="061A372E" w14:textId="77777777" w:rsidR="003F6197" w:rsidRDefault="003F6197" w:rsidP="003F6197">
      <w:pPr>
        <w:pStyle w:val="1"/>
      </w:pPr>
      <w:r w:rsidRPr="008D1E1B">
        <w:t>4.</w:t>
      </w:r>
      <w:r w:rsidRPr="008D1E1B">
        <w:tab/>
        <w:t>Different generations and varieties must be clearly identified and separated by a minimum of five feet clean and tilled break.</w:t>
      </w:r>
    </w:p>
    <w:p w14:paraId="36C38D0B" w14:textId="77777777" w:rsidR="003F6197" w:rsidRDefault="003F6197" w:rsidP="003F6197">
      <w:pPr>
        <w:pStyle w:val="1"/>
      </w:pPr>
      <w:r w:rsidRPr="008D1E1B">
        <w:t>5.</w:t>
      </w:r>
      <w:r w:rsidRPr="008D1E1B">
        <w:tab/>
        <w:t>An LDAF approved program shall be in place to control perennial morning glory species and volunteer sweet potato plants.</w:t>
      </w:r>
    </w:p>
    <w:p w14:paraId="0706B4B8" w14:textId="77777777" w:rsidR="003F6197" w:rsidRDefault="003F6197" w:rsidP="003F6197">
      <w:pPr>
        <w:pStyle w:val="1"/>
      </w:pPr>
      <w:r w:rsidRPr="008D1E1B">
        <w:t>6.</w:t>
      </w:r>
      <w:r w:rsidRPr="008D1E1B">
        <w:tab/>
        <w:t>Inspections</w:t>
      </w:r>
    </w:p>
    <w:p w14:paraId="274FA287" w14:textId="77777777" w:rsidR="003F6197" w:rsidRDefault="003F6197" w:rsidP="003F6197">
      <w:pPr>
        <w:pStyle w:val="a0"/>
      </w:pPr>
      <w:r w:rsidRPr="008D1E1B">
        <w:t>a.</w:t>
      </w:r>
      <w:r w:rsidRPr="008D1E1B">
        <w:tab/>
        <w:t>Grower shall inspect fields weekly during the growing season and rogue any symptomatic plants found. LDAF shall be informed if any problems concerning certification requirements are found.</w:t>
      </w:r>
    </w:p>
    <w:p w14:paraId="351AEAE9" w14:textId="77777777" w:rsidR="003F6197" w:rsidRDefault="003F6197" w:rsidP="003F6197">
      <w:pPr>
        <w:pStyle w:val="a0"/>
      </w:pPr>
      <w:r w:rsidRPr="008D1E1B">
        <w:t>b.</w:t>
      </w:r>
      <w:r w:rsidRPr="008D1E1B">
        <w:tab/>
        <w:t>LDAF will perform a minimum of one seed bed inspection to determine that quality plants are being produced and that plants are apparently free of injurious insects and harmful diseases. LDAF may perform additional seed bed inspections as required to confirm standards are being met.</w:t>
      </w:r>
    </w:p>
    <w:p w14:paraId="64B2CCA0" w14:textId="77777777" w:rsidR="003F6197" w:rsidRDefault="003F6197" w:rsidP="003F6197">
      <w:pPr>
        <w:pStyle w:val="a0"/>
      </w:pPr>
      <w:r w:rsidRPr="008D1E1B">
        <w:t>c.</w:t>
      </w:r>
      <w:r w:rsidRPr="008D1E1B">
        <w:tab/>
        <w:t>LDAF will perform a minimum of two inspections on each production field during the growing season. The first field inspection shall be made before vines have covered the ground so that symptomatic plants may be easily identified. The second inspection shall be made within two weeks prior to harvest or no earlier than ninety days after planting.</w:t>
      </w:r>
    </w:p>
    <w:p w14:paraId="3A610A1D" w14:textId="77777777" w:rsidR="003F6197" w:rsidRDefault="003F6197" w:rsidP="003F6197">
      <w:pPr>
        <w:pStyle w:val="a0"/>
      </w:pPr>
      <w:r w:rsidRPr="008D1E1B">
        <w:t>d.</w:t>
      </w:r>
      <w:r w:rsidRPr="008D1E1B">
        <w:tab/>
        <w:t>The unit of certification for production is a field and cannot be subdivided for the purpose for certification.</w:t>
      </w:r>
    </w:p>
    <w:p w14:paraId="37CDDB45" w14:textId="77777777" w:rsidR="003F6197" w:rsidRPr="008D1E1B" w:rsidRDefault="003F6197" w:rsidP="003F6197">
      <w:pPr>
        <w:pStyle w:val="1"/>
      </w:pPr>
      <w:r w:rsidRPr="008D1E1B">
        <w:t>7.</w:t>
      </w:r>
      <w:r w:rsidRPr="008D1E1B">
        <w:tab/>
        <w:t>Specific Field Plant Requirements (Vine inspection standard)</w:t>
      </w:r>
    </w:p>
    <w:p w14:paraId="6F61ACA5" w14:textId="77777777" w:rsidR="003F6197" w:rsidRDefault="003F6197" w:rsidP="003F6197">
      <w:pPr>
        <w:pStyle w:val="NoSpacing"/>
        <w:rPr>
          <w:sz w:val="20"/>
          <w:szCs w:val="20"/>
        </w:rPr>
      </w:pPr>
    </w:p>
    <w:tbl>
      <w:tblPr>
        <w:tblW w:w="488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7"/>
        <w:gridCol w:w="1110"/>
        <w:gridCol w:w="990"/>
        <w:gridCol w:w="1080"/>
      </w:tblGrid>
      <w:tr w:rsidR="003F6197" w:rsidRPr="008D1E1B" w14:paraId="75AA3434" w14:textId="77777777" w:rsidTr="003F6197">
        <w:trPr>
          <w:cantSplit/>
          <w:tblHeader/>
          <w:jc w:val="center"/>
        </w:trPr>
        <w:tc>
          <w:tcPr>
            <w:tcW w:w="4887" w:type="dxa"/>
            <w:gridSpan w:val="4"/>
            <w:tcBorders>
              <w:top w:val="double" w:sz="6" w:space="0" w:color="auto"/>
              <w:bottom w:val="single" w:sz="6" w:space="0" w:color="auto"/>
            </w:tcBorders>
            <w:shd w:val="clear" w:color="auto" w:fill="BFBFBF"/>
            <w:vAlign w:val="bottom"/>
          </w:tcPr>
          <w:p w14:paraId="11293A31" w14:textId="77777777" w:rsidR="003F6197" w:rsidRPr="0079669D" w:rsidRDefault="003F6197" w:rsidP="003F6197">
            <w:pPr>
              <w:pStyle w:val="NoSpacing"/>
              <w:keepNext/>
              <w:jc w:val="center"/>
              <w:rPr>
                <w:b/>
                <w:sz w:val="16"/>
                <w:szCs w:val="16"/>
              </w:rPr>
            </w:pPr>
            <w:r w:rsidRPr="0079669D">
              <w:rPr>
                <w:b/>
                <w:sz w:val="16"/>
                <w:szCs w:val="16"/>
              </w:rPr>
              <w:t>Maximum Tolerance Allowed</w:t>
            </w:r>
          </w:p>
        </w:tc>
      </w:tr>
      <w:tr w:rsidR="003F6197" w:rsidRPr="008D1E1B" w14:paraId="30D72D2F" w14:textId="77777777" w:rsidTr="003F6197">
        <w:trPr>
          <w:cantSplit/>
          <w:trHeight w:val="255"/>
          <w:tblHeader/>
          <w:jc w:val="center"/>
        </w:trPr>
        <w:tc>
          <w:tcPr>
            <w:tcW w:w="1707" w:type="dxa"/>
            <w:tcBorders>
              <w:top w:val="single" w:sz="6" w:space="0" w:color="auto"/>
              <w:bottom w:val="single" w:sz="6" w:space="0" w:color="auto"/>
              <w:right w:val="single" w:sz="6" w:space="0" w:color="auto"/>
            </w:tcBorders>
            <w:shd w:val="clear" w:color="auto" w:fill="BFBFBF"/>
            <w:vAlign w:val="bottom"/>
          </w:tcPr>
          <w:p w14:paraId="1DA196E5" w14:textId="77777777" w:rsidR="003F6197" w:rsidRPr="0079669D" w:rsidRDefault="003F6197" w:rsidP="003F6197">
            <w:pPr>
              <w:pStyle w:val="NoSpacing"/>
              <w:keepNext/>
              <w:jc w:val="center"/>
              <w:rPr>
                <w:b/>
                <w:sz w:val="16"/>
                <w:szCs w:val="16"/>
              </w:rPr>
            </w:pPr>
            <w:r w:rsidRPr="0079669D">
              <w:rPr>
                <w:b/>
                <w:bCs/>
                <w:iCs/>
                <w:sz w:val="16"/>
                <w:szCs w:val="16"/>
              </w:rPr>
              <w:t>Factor*</w:t>
            </w:r>
          </w:p>
        </w:tc>
        <w:tc>
          <w:tcPr>
            <w:tcW w:w="1110" w:type="dxa"/>
            <w:tcBorders>
              <w:top w:val="single" w:sz="6" w:space="0" w:color="auto"/>
              <w:left w:val="single" w:sz="6" w:space="0" w:color="auto"/>
              <w:bottom w:val="single" w:sz="6" w:space="0" w:color="auto"/>
              <w:right w:val="single" w:sz="6" w:space="0" w:color="auto"/>
            </w:tcBorders>
            <w:shd w:val="clear" w:color="auto" w:fill="BFBFBF"/>
            <w:vAlign w:val="bottom"/>
          </w:tcPr>
          <w:p w14:paraId="5B268729" w14:textId="77777777" w:rsidR="003F6197" w:rsidRPr="0079669D" w:rsidRDefault="003F6197" w:rsidP="003F6197">
            <w:pPr>
              <w:pStyle w:val="NoSpacing"/>
              <w:keepNext/>
              <w:jc w:val="center"/>
              <w:rPr>
                <w:b/>
                <w:sz w:val="16"/>
                <w:szCs w:val="16"/>
              </w:rPr>
            </w:pPr>
            <w:r w:rsidRPr="0079669D">
              <w:rPr>
                <w:b/>
                <w:bCs/>
                <w:sz w:val="16"/>
                <w:szCs w:val="16"/>
              </w:rPr>
              <w:t>G1 Plants</w:t>
            </w:r>
          </w:p>
        </w:tc>
        <w:tc>
          <w:tcPr>
            <w:tcW w:w="990" w:type="dxa"/>
            <w:tcBorders>
              <w:top w:val="single" w:sz="6" w:space="0" w:color="auto"/>
              <w:left w:val="single" w:sz="6" w:space="0" w:color="auto"/>
              <w:bottom w:val="single" w:sz="6" w:space="0" w:color="auto"/>
              <w:right w:val="single" w:sz="6" w:space="0" w:color="auto"/>
            </w:tcBorders>
            <w:shd w:val="clear" w:color="auto" w:fill="BFBFBF"/>
            <w:vAlign w:val="bottom"/>
          </w:tcPr>
          <w:p w14:paraId="701C2408" w14:textId="77777777" w:rsidR="003F6197" w:rsidRPr="0079669D" w:rsidRDefault="003F6197" w:rsidP="003F6197">
            <w:pPr>
              <w:pStyle w:val="NoSpacing"/>
              <w:keepNext/>
              <w:jc w:val="center"/>
              <w:rPr>
                <w:b/>
                <w:sz w:val="16"/>
                <w:szCs w:val="16"/>
              </w:rPr>
            </w:pPr>
            <w:r w:rsidRPr="0079669D">
              <w:rPr>
                <w:b/>
                <w:bCs/>
                <w:sz w:val="16"/>
                <w:szCs w:val="16"/>
              </w:rPr>
              <w:t>G2 Plants</w:t>
            </w:r>
          </w:p>
        </w:tc>
        <w:tc>
          <w:tcPr>
            <w:tcW w:w="1080" w:type="dxa"/>
            <w:tcBorders>
              <w:top w:val="single" w:sz="6" w:space="0" w:color="auto"/>
              <w:left w:val="single" w:sz="6" w:space="0" w:color="auto"/>
              <w:bottom w:val="single" w:sz="6" w:space="0" w:color="auto"/>
            </w:tcBorders>
            <w:shd w:val="clear" w:color="auto" w:fill="BFBFBF"/>
            <w:vAlign w:val="bottom"/>
          </w:tcPr>
          <w:p w14:paraId="029F3594" w14:textId="77777777" w:rsidR="003F6197" w:rsidRPr="0079669D" w:rsidRDefault="003F6197" w:rsidP="003F6197">
            <w:pPr>
              <w:pStyle w:val="NoSpacing"/>
              <w:keepNext/>
              <w:jc w:val="center"/>
              <w:rPr>
                <w:b/>
                <w:sz w:val="16"/>
                <w:szCs w:val="16"/>
              </w:rPr>
            </w:pPr>
            <w:r w:rsidRPr="0079669D">
              <w:rPr>
                <w:b/>
                <w:bCs/>
                <w:sz w:val="16"/>
                <w:szCs w:val="16"/>
              </w:rPr>
              <w:t>G3 Plants</w:t>
            </w:r>
          </w:p>
        </w:tc>
      </w:tr>
      <w:tr w:rsidR="003F6197" w:rsidRPr="008D1E1B" w14:paraId="54A686FE" w14:textId="77777777" w:rsidTr="003F6197">
        <w:trPr>
          <w:cantSplit/>
          <w:tblHeader/>
          <w:jc w:val="center"/>
        </w:trPr>
        <w:tc>
          <w:tcPr>
            <w:tcW w:w="1707" w:type="dxa"/>
            <w:tcBorders>
              <w:top w:val="single" w:sz="6" w:space="0" w:color="auto"/>
              <w:bottom w:val="single" w:sz="6" w:space="0" w:color="auto"/>
              <w:right w:val="single" w:sz="6" w:space="0" w:color="auto"/>
            </w:tcBorders>
            <w:vAlign w:val="bottom"/>
          </w:tcPr>
          <w:p w14:paraId="49ED2351" w14:textId="77777777" w:rsidR="003F6197" w:rsidRPr="00953245" w:rsidRDefault="003F6197" w:rsidP="003F6197">
            <w:pPr>
              <w:pStyle w:val="NoSpacing"/>
              <w:keepNext/>
              <w:rPr>
                <w:sz w:val="16"/>
                <w:szCs w:val="16"/>
              </w:rPr>
            </w:pPr>
            <w:r w:rsidRPr="00953245">
              <w:rPr>
                <w:sz w:val="16"/>
                <w:szCs w:val="16"/>
              </w:rPr>
              <w:t xml:space="preserve">Bacterial Stem Rot </w:t>
            </w:r>
            <w:r w:rsidRPr="00953245">
              <w:rPr>
                <w:i/>
                <w:iCs/>
                <w:sz w:val="16"/>
                <w:szCs w:val="16"/>
              </w:rPr>
              <w:t>(Erwinia Chrysanthemi)</w:t>
            </w:r>
          </w:p>
        </w:tc>
        <w:tc>
          <w:tcPr>
            <w:tcW w:w="1110" w:type="dxa"/>
            <w:tcBorders>
              <w:top w:val="single" w:sz="6" w:space="0" w:color="auto"/>
              <w:left w:val="single" w:sz="6" w:space="0" w:color="auto"/>
              <w:bottom w:val="single" w:sz="6" w:space="0" w:color="auto"/>
              <w:right w:val="single" w:sz="6" w:space="0" w:color="auto"/>
            </w:tcBorders>
            <w:vAlign w:val="center"/>
          </w:tcPr>
          <w:p w14:paraId="2970B098" w14:textId="77777777" w:rsidR="003F6197" w:rsidRPr="00953245" w:rsidRDefault="003F6197" w:rsidP="003F6197">
            <w:pPr>
              <w:pStyle w:val="NoSpacing"/>
              <w:keepNext/>
              <w:jc w:val="center"/>
              <w:rPr>
                <w:sz w:val="16"/>
                <w:szCs w:val="16"/>
              </w:rPr>
            </w:pPr>
            <w:r w:rsidRPr="00953245">
              <w:rPr>
                <w:sz w:val="16"/>
                <w:szCs w:val="16"/>
              </w:rPr>
              <w:t>None</w:t>
            </w:r>
          </w:p>
        </w:tc>
        <w:tc>
          <w:tcPr>
            <w:tcW w:w="990" w:type="dxa"/>
            <w:tcBorders>
              <w:top w:val="single" w:sz="6" w:space="0" w:color="auto"/>
              <w:left w:val="single" w:sz="6" w:space="0" w:color="auto"/>
              <w:bottom w:val="single" w:sz="6" w:space="0" w:color="auto"/>
              <w:right w:val="single" w:sz="6" w:space="0" w:color="auto"/>
            </w:tcBorders>
            <w:vAlign w:val="center"/>
          </w:tcPr>
          <w:p w14:paraId="63338CB6" w14:textId="77777777" w:rsidR="003F6197" w:rsidRPr="00953245" w:rsidRDefault="003F6197" w:rsidP="003F6197">
            <w:pPr>
              <w:pStyle w:val="NoSpacing"/>
              <w:keepNext/>
              <w:jc w:val="center"/>
              <w:rPr>
                <w:sz w:val="16"/>
                <w:szCs w:val="16"/>
              </w:rPr>
            </w:pPr>
            <w:r w:rsidRPr="00953245">
              <w:rPr>
                <w:sz w:val="16"/>
                <w:szCs w:val="16"/>
              </w:rPr>
              <w:t>None</w:t>
            </w:r>
          </w:p>
        </w:tc>
        <w:tc>
          <w:tcPr>
            <w:tcW w:w="1080" w:type="dxa"/>
            <w:tcBorders>
              <w:top w:val="single" w:sz="6" w:space="0" w:color="auto"/>
              <w:left w:val="single" w:sz="6" w:space="0" w:color="auto"/>
              <w:bottom w:val="single" w:sz="6" w:space="0" w:color="auto"/>
            </w:tcBorders>
            <w:vAlign w:val="center"/>
          </w:tcPr>
          <w:p w14:paraId="4BAA059F" w14:textId="77777777" w:rsidR="003F6197" w:rsidRPr="00953245" w:rsidRDefault="003F6197" w:rsidP="003F6197">
            <w:pPr>
              <w:pStyle w:val="NoSpacing"/>
              <w:keepNext/>
              <w:jc w:val="center"/>
              <w:rPr>
                <w:sz w:val="16"/>
                <w:szCs w:val="16"/>
              </w:rPr>
            </w:pPr>
            <w:r w:rsidRPr="00953245">
              <w:rPr>
                <w:sz w:val="16"/>
                <w:szCs w:val="16"/>
              </w:rPr>
              <w:t>None</w:t>
            </w:r>
          </w:p>
        </w:tc>
      </w:tr>
      <w:tr w:rsidR="003F6197" w:rsidRPr="008D1E1B" w14:paraId="53E18718" w14:textId="77777777" w:rsidTr="003F6197">
        <w:trPr>
          <w:cantSplit/>
          <w:tblHeader/>
          <w:jc w:val="center"/>
        </w:trPr>
        <w:tc>
          <w:tcPr>
            <w:tcW w:w="1707" w:type="dxa"/>
            <w:tcBorders>
              <w:top w:val="single" w:sz="6" w:space="0" w:color="auto"/>
              <w:bottom w:val="single" w:sz="6" w:space="0" w:color="auto"/>
              <w:right w:val="single" w:sz="6" w:space="0" w:color="auto"/>
            </w:tcBorders>
            <w:vAlign w:val="bottom"/>
          </w:tcPr>
          <w:p w14:paraId="13959D23" w14:textId="77777777" w:rsidR="003F6197" w:rsidRPr="00953245" w:rsidRDefault="003F6197" w:rsidP="003F6197">
            <w:pPr>
              <w:pStyle w:val="NoSpacing"/>
              <w:keepNext/>
              <w:rPr>
                <w:i/>
                <w:iCs/>
                <w:sz w:val="16"/>
                <w:szCs w:val="16"/>
              </w:rPr>
            </w:pPr>
            <w:r w:rsidRPr="00953245">
              <w:rPr>
                <w:i/>
                <w:iCs/>
                <w:sz w:val="16"/>
                <w:szCs w:val="16"/>
              </w:rPr>
              <w:t>Fusarium Wilt (Fusarium oxysporum f. sp. Batatas)</w:t>
            </w:r>
          </w:p>
        </w:tc>
        <w:tc>
          <w:tcPr>
            <w:tcW w:w="1110" w:type="dxa"/>
            <w:tcBorders>
              <w:top w:val="single" w:sz="6" w:space="0" w:color="auto"/>
              <w:left w:val="single" w:sz="6" w:space="0" w:color="auto"/>
              <w:bottom w:val="single" w:sz="6" w:space="0" w:color="auto"/>
              <w:right w:val="single" w:sz="6" w:space="0" w:color="auto"/>
            </w:tcBorders>
            <w:vAlign w:val="center"/>
          </w:tcPr>
          <w:p w14:paraId="6DB9F98A" w14:textId="77777777" w:rsidR="003F6197" w:rsidRPr="00953245" w:rsidRDefault="003F6197" w:rsidP="003F6197">
            <w:pPr>
              <w:pStyle w:val="NoSpacing"/>
              <w:keepNext/>
              <w:jc w:val="center"/>
              <w:rPr>
                <w:sz w:val="16"/>
                <w:szCs w:val="16"/>
              </w:rPr>
            </w:pPr>
            <w:r w:rsidRPr="00953245">
              <w:rPr>
                <w:sz w:val="16"/>
                <w:szCs w:val="16"/>
              </w:rPr>
              <w:t>None</w:t>
            </w:r>
          </w:p>
        </w:tc>
        <w:tc>
          <w:tcPr>
            <w:tcW w:w="990" w:type="dxa"/>
            <w:tcBorders>
              <w:top w:val="single" w:sz="6" w:space="0" w:color="auto"/>
              <w:left w:val="single" w:sz="6" w:space="0" w:color="auto"/>
              <w:bottom w:val="single" w:sz="6" w:space="0" w:color="auto"/>
              <w:right w:val="single" w:sz="6" w:space="0" w:color="auto"/>
            </w:tcBorders>
            <w:vAlign w:val="center"/>
          </w:tcPr>
          <w:p w14:paraId="12A71B52" w14:textId="77777777" w:rsidR="003F6197" w:rsidRPr="00953245" w:rsidRDefault="003F6197" w:rsidP="003F6197">
            <w:pPr>
              <w:pStyle w:val="NoSpacing"/>
              <w:keepNext/>
              <w:jc w:val="center"/>
              <w:rPr>
                <w:sz w:val="16"/>
                <w:szCs w:val="16"/>
              </w:rPr>
            </w:pPr>
            <w:r w:rsidRPr="00953245">
              <w:rPr>
                <w:sz w:val="16"/>
                <w:szCs w:val="16"/>
              </w:rPr>
              <w:t>None</w:t>
            </w:r>
          </w:p>
        </w:tc>
        <w:tc>
          <w:tcPr>
            <w:tcW w:w="1080" w:type="dxa"/>
            <w:tcBorders>
              <w:top w:val="single" w:sz="6" w:space="0" w:color="auto"/>
              <w:left w:val="single" w:sz="6" w:space="0" w:color="auto"/>
              <w:bottom w:val="single" w:sz="6" w:space="0" w:color="auto"/>
            </w:tcBorders>
            <w:vAlign w:val="center"/>
          </w:tcPr>
          <w:p w14:paraId="2FCFD9C1" w14:textId="77777777" w:rsidR="003F6197" w:rsidRPr="00953245" w:rsidRDefault="003F6197" w:rsidP="003F6197">
            <w:pPr>
              <w:pStyle w:val="NoSpacing"/>
              <w:keepNext/>
              <w:jc w:val="center"/>
              <w:rPr>
                <w:sz w:val="16"/>
                <w:szCs w:val="16"/>
              </w:rPr>
            </w:pPr>
            <w:r w:rsidRPr="00953245">
              <w:rPr>
                <w:sz w:val="16"/>
                <w:szCs w:val="16"/>
              </w:rPr>
              <w:t>None</w:t>
            </w:r>
          </w:p>
        </w:tc>
      </w:tr>
      <w:tr w:rsidR="003F6197" w:rsidRPr="008D1E1B" w14:paraId="070336A3" w14:textId="77777777" w:rsidTr="003F6197">
        <w:trPr>
          <w:cantSplit/>
          <w:tblHeader/>
          <w:jc w:val="center"/>
        </w:trPr>
        <w:tc>
          <w:tcPr>
            <w:tcW w:w="1707" w:type="dxa"/>
            <w:tcBorders>
              <w:top w:val="single" w:sz="6" w:space="0" w:color="auto"/>
              <w:bottom w:val="single" w:sz="6" w:space="0" w:color="auto"/>
              <w:right w:val="single" w:sz="6" w:space="0" w:color="auto"/>
            </w:tcBorders>
            <w:vAlign w:val="bottom"/>
          </w:tcPr>
          <w:p w14:paraId="0E089696" w14:textId="77777777" w:rsidR="003F6197" w:rsidRPr="00953245" w:rsidRDefault="003F6197" w:rsidP="003F6197">
            <w:pPr>
              <w:pStyle w:val="NoSpacing"/>
              <w:keepNext/>
              <w:rPr>
                <w:sz w:val="16"/>
                <w:szCs w:val="16"/>
              </w:rPr>
            </w:pPr>
            <w:r w:rsidRPr="00953245">
              <w:rPr>
                <w:sz w:val="16"/>
                <w:szCs w:val="16"/>
              </w:rPr>
              <w:t xml:space="preserve">Sweetpotato Weevil </w:t>
            </w:r>
            <w:r w:rsidRPr="00953245">
              <w:rPr>
                <w:i/>
                <w:iCs/>
                <w:sz w:val="16"/>
                <w:szCs w:val="16"/>
              </w:rPr>
              <w:t>(Cylas Formicarius)</w:t>
            </w:r>
          </w:p>
        </w:tc>
        <w:tc>
          <w:tcPr>
            <w:tcW w:w="1110" w:type="dxa"/>
            <w:tcBorders>
              <w:top w:val="single" w:sz="6" w:space="0" w:color="auto"/>
              <w:left w:val="single" w:sz="6" w:space="0" w:color="auto"/>
              <w:bottom w:val="single" w:sz="6" w:space="0" w:color="auto"/>
              <w:right w:val="single" w:sz="6" w:space="0" w:color="auto"/>
            </w:tcBorders>
            <w:vAlign w:val="center"/>
          </w:tcPr>
          <w:p w14:paraId="7A85BD6C" w14:textId="77777777" w:rsidR="003F6197" w:rsidRPr="00953245" w:rsidRDefault="003F6197" w:rsidP="003F6197">
            <w:pPr>
              <w:pStyle w:val="NoSpacing"/>
              <w:keepNext/>
              <w:jc w:val="center"/>
              <w:rPr>
                <w:sz w:val="16"/>
                <w:szCs w:val="16"/>
              </w:rPr>
            </w:pPr>
            <w:r w:rsidRPr="00953245">
              <w:rPr>
                <w:sz w:val="16"/>
                <w:szCs w:val="16"/>
              </w:rPr>
              <w:t>None</w:t>
            </w:r>
          </w:p>
        </w:tc>
        <w:tc>
          <w:tcPr>
            <w:tcW w:w="990" w:type="dxa"/>
            <w:tcBorders>
              <w:top w:val="single" w:sz="6" w:space="0" w:color="auto"/>
              <w:left w:val="single" w:sz="6" w:space="0" w:color="auto"/>
              <w:bottom w:val="single" w:sz="6" w:space="0" w:color="auto"/>
              <w:right w:val="single" w:sz="6" w:space="0" w:color="auto"/>
            </w:tcBorders>
            <w:vAlign w:val="center"/>
          </w:tcPr>
          <w:p w14:paraId="77C0DCA1" w14:textId="77777777" w:rsidR="003F6197" w:rsidRPr="00953245" w:rsidRDefault="003F6197" w:rsidP="003F6197">
            <w:pPr>
              <w:pStyle w:val="NoSpacing"/>
              <w:keepNext/>
              <w:jc w:val="center"/>
              <w:rPr>
                <w:sz w:val="16"/>
                <w:szCs w:val="16"/>
              </w:rPr>
            </w:pPr>
            <w:r w:rsidRPr="00953245">
              <w:rPr>
                <w:sz w:val="16"/>
                <w:szCs w:val="16"/>
              </w:rPr>
              <w:t>None</w:t>
            </w:r>
          </w:p>
        </w:tc>
        <w:tc>
          <w:tcPr>
            <w:tcW w:w="1080" w:type="dxa"/>
            <w:tcBorders>
              <w:top w:val="single" w:sz="6" w:space="0" w:color="auto"/>
              <w:left w:val="single" w:sz="6" w:space="0" w:color="auto"/>
              <w:bottom w:val="single" w:sz="6" w:space="0" w:color="auto"/>
            </w:tcBorders>
            <w:vAlign w:val="center"/>
          </w:tcPr>
          <w:p w14:paraId="3CDD0B31" w14:textId="77777777" w:rsidR="003F6197" w:rsidRPr="00953245" w:rsidRDefault="003F6197" w:rsidP="003F6197">
            <w:pPr>
              <w:pStyle w:val="NoSpacing"/>
              <w:keepNext/>
              <w:jc w:val="center"/>
              <w:rPr>
                <w:sz w:val="16"/>
                <w:szCs w:val="16"/>
              </w:rPr>
            </w:pPr>
            <w:r w:rsidRPr="00953245">
              <w:rPr>
                <w:sz w:val="16"/>
                <w:szCs w:val="16"/>
              </w:rPr>
              <w:t>None</w:t>
            </w:r>
          </w:p>
        </w:tc>
      </w:tr>
      <w:tr w:rsidR="003F6197" w:rsidRPr="008D1E1B" w14:paraId="0675555A" w14:textId="77777777" w:rsidTr="003F6197">
        <w:trPr>
          <w:cantSplit/>
          <w:tblHeader/>
          <w:jc w:val="center"/>
        </w:trPr>
        <w:tc>
          <w:tcPr>
            <w:tcW w:w="1707" w:type="dxa"/>
            <w:tcBorders>
              <w:top w:val="single" w:sz="6" w:space="0" w:color="auto"/>
              <w:bottom w:val="single" w:sz="6" w:space="0" w:color="auto"/>
              <w:right w:val="single" w:sz="6" w:space="0" w:color="auto"/>
            </w:tcBorders>
            <w:vAlign w:val="bottom"/>
          </w:tcPr>
          <w:p w14:paraId="2153CAE8" w14:textId="77777777" w:rsidR="003F6197" w:rsidRPr="00953245" w:rsidRDefault="003F6197" w:rsidP="003F6197">
            <w:pPr>
              <w:pStyle w:val="NoSpacing"/>
              <w:keepNext/>
              <w:rPr>
                <w:sz w:val="16"/>
                <w:szCs w:val="16"/>
              </w:rPr>
            </w:pPr>
            <w:r w:rsidRPr="00953245">
              <w:rPr>
                <w:sz w:val="16"/>
                <w:szCs w:val="16"/>
              </w:rPr>
              <w:t>Exotic or hazardous pests**</w:t>
            </w:r>
          </w:p>
        </w:tc>
        <w:tc>
          <w:tcPr>
            <w:tcW w:w="1110" w:type="dxa"/>
            <w:tcBorders>
              <w:top w:val="single" w:sz="6" w:space="0" w:color="auto"/>
              <w:left w:val="single" w:sz="6" w:space="0" w:color="auto"/>
              <w:bottom w:val="single" w:sz="6" w:space="0" w:color="auto"/>
              <w:right w:val="single" w:sz="6" w:space="0" w:color="auto"/>
            </w:tcBorders>
            <w:vAlign w:val="center"/>
          </w:tcPr>
          <w:p w14:paraId="269BE8E5" w14:textId="77777777" w:rsidR="003F6197" w:rsidRPr="00953245" w:rsidRDefault="003F6197" w:rsidP="003F6197">
            <w:pPr>
              <w:pStyle w:val="NoSpacing"/>
              <w:keepNext/>
              <w:jc w:val="center"/>
              <w:rPr>
                <w:sz w:val="16"/>
                <w:szCs w:val="16"/>
              </w:rPr>
            </w:pPr>
            <w:r w:rsidRPr="00953245">
              <w:rPr>
                <w:sz w:val="16"/>
                <w:szCs w:val="16"/>
              </w:rPr>
              <w:t>None</w:t>
            </w:r>
          </w:p>
        </w:tc>
        <w:tc>
          <w:tcPr>
            <w:tcW w:w="990" w:type="dxa"/>
            <w:tcBorders>
              <w:top w:val="single" w:sz="6" w:space="0" w:color="auto"/>
              <w:left w:val="single" w:sz="6" w:space="0" w:color="auto"/>
              <w:bottom w:val="single" w:sz="6" w:space="0" w:color="auto"/>
              <w:right w:val="single" w:sz="6" w:space="0" w:color="auto"/>
            </w:tcBorders>
            <w:vAlign w:val="center"/>
          </w:tcPr>
          <w:p w14:paraId="46425F06" w14:textId="77777777" w:rsidR="003F6197" w:rsidRPr="00953245" w:rsidRDefault="003F6197" w:rsidP="003F6197">
            <w:pPr>
              <w:pStyle w:val="NoSpacing"/>
              <w:keepNext/>
              <w:jc w:val="center"/>
              <w:rPr>
                <w:sz w:val="16"/>
                <w:szCs w:val="16"/>
              </w:rPr>
            </w:pPr>
            <w:r w:rsidRPr="00953245">
              <w:rPr>
                <w:sz w:val="16"/>
                <w:szCs w:val="16"/>
              </w:rPr>
              <w:t>None</w:t>
            </w:r>
          </w:p>
        </w:tc>
        <w:tc>
          <w:tcPr>
            <w:tcW w:w="1080" w:type="dxa"/>
            <w:tcBorders>
              <w:top w:val="single" w:sz="6" w:space="0" w:color="auto"/>
              <w:left w:val="single" w:sz="6" w:space="0" w:color="auto"/>
              <w:bottom w:val="single" w:sz="6" w:space="0" w:color="auto"/>
            </w:tcBorders>
            <w:vAlign w:val="center"/>
          </w:tcPr>
          <w:p w14:paraId="7B444E1B" w14:textId="77777777" w:rsidR="003F6197" w:rsidRPr="00953245" w:rsidRDefault="003F6197" w:rsidP="003F6197">
            <w:pPr>
              <w:pStyle w:val="NoSpacing"/>
              <w:keepNext/>
              <w:jc w:val="center"/>
              <w:rPr>
                <w:sz w:val="16"/>
                <w:szCs w:val="16"/>
              </w:rPr>
            </w:pPr>
            <w:r w:rsidRPr="00953245">
              <w:rPr>
                <w:sz w:val="16"/>
                <w:szCs w:val="16"/>
              </w:rPr>
              <w:t>None</w:t>
            </w:r>
          </w:p>
        </w:tc>
      </w:tr>
      <w:tr w:rsidR="003F6197" w:rsidRPr="008D1E1B" w14:paraId="2ECE4934" w14:textId="77777777" w:rsidTr="003F6197">
        <w:trPr>
          <w:cantSplit/>
          <w:trHeight w:val="219"/>
          <w:tblHeader/>
          <w:jc w:val="center"/>
        </w:trPr>
        <w:tc>
          <w:tcPr>
            <w:tcW w:w="1707" w:type="dxa"/>
            <w:tcBorders>
              <w:top w:val="single" w:sz="6" w:space="0" w:color="auto"/>
              <w:bottom w:val="single" w:sz="6" w:space="0" w:color="auto"/>
              <w:right w:val="single" w:sz="6" w:space="0" w:color="auto"/>
            </w:tcBorders>
            <w:vAlign w:val="bottom"/>
          </w:tcPr>
          <w:p w14:paraId="5E5814C4" w14:textId="77777777" w:rsidR="003F6197" w:rsidRPr="00953245" w:rsidRDefault="003F6197" w:rsidP="003F6197">
            <w:pPr>
              <w:pStyle w:val="NoSpacing"/>
              <w:keepNext/>
              <w:rPr>
                <w:sz w:val="16"/>
                <w:szCs w:val="16"/>
              </w:rPr>
            </w:pPr>
            <w:r w:rsidRPr="00953245">
              <w:rPr>
                <w:sz w:val="16"/>
                <w:szCs w:val="16"/>
              </w:rPr>
              <w:t>Off-types (Mutations)</w:t>
            </w:r>
          </w:p>
        </w:tc>
        <w:tc>
          <w:tcPr>
            <w:tcW w:w="1110" w:type="dxa"/>
            <w:tcBorders>
              <w:top w:val="single" w:sz="6" w:space="0" w:color="auto"/>
              <w:left w:val="single" w:sz="6" w:space="0" w:color="auto"/>
              <w:bottom w:val="single" w:sz="6" w:space="0" w:color="auto"/>
              <w:right w:val="single" w:sz="6" w:space="0" w:color="auto"/>
            </w:tcBorders>
            <w:vAlign w:val="center"/>
          </w:tcPr>
          <w:p w14:paraId="74219072" w14:textId="77777777" w:rsidR="003F6197" w:rsidRPr="00953245" w:rsidRDefault="003F6197" w:rsidP="003F6197">
            <w:pPr>
              <w:pStyle w:val="NoSpacing"/>
              <w:keepNext/>
              <w:jc w:val="center"/>
              <w:rPr>
                <w:sz w:val="16"/>
                <w:szCs w:val="16"/>
              </w:rPr>
            </w:pPr>
            <w:r w:rsidRPr="00953245">
              <w:rPr>
                <w:sz w:val="16"/>
                <w:szCs w:val="16"/>
              </w:rPr>
              <w:t>0.05%</w:t>
            </w:r>
          </w:p>
        </w:tc>
        <w:tc>
          <w:tcPr>
            <w:tcW w:w="990" w:type="dxa"/>
            <w:tcBorders>
              <w:top w:val="single" w:sz="6" w:space="0" w:color="auto"/>
              <w:left w:val="single" w:sz="6" w:space="0" w:color="auto"/>
              <w:bottom w:val="single" w:sz="6" w:space="0" w:color="auto"/>
              <w:right w:val="single" w:sz="6" w:space="0" w:color="auto"/>
            </w:tcBorders>
            <w:vAlign w:val="center"/>
          </w:tcPr>
          <w:p w14:paraId="46AF5F2C" w14:textId="77777777" w:rsidR="003F6197" w:rsidRPr="00953245" w:rsidRDefault="003F6197" w:rsidP="003F6197">
            <w:pPr>
              <w:pStyle w:val="NoSpacing"/>
              <w:keepNext/>
              <w:jc w:val="center"/>
              <w:rPr>
                <w:sz w:val="16"/>
                <w:szCs w:val="16"/>
              </w:rPr>
            </w:pPr>
            <w:r w:rsidRPr="00953245">
              <w:rPr>
                <w:sz w:val="16"/>
                <w:szCs w:val="16"/>
              </w:rPr>
              <w:t>0.05%</w:t>
            </w:r>
          </w:p>
        </w:tc>
        <w:tc>
          <w:tcPr>
            <w:tcW w:w="1080" w:type="dxa"/>
            <w:tcBorders>
              <w:top w:val="single" w:sz="6" w:space="0" w:color="auto"/>
              <w:left w:val="single" w:sz="6" w:space="0" w:color="auto"/>
              <w:bottom w:val="single" w:sz="6" w:space="0" w:color="auto"/>
            </w:tcBorders>
            <w:vAlign w:val="center"/>
          </w:tcPr>
          <w:p w14:paraId="50E2FB44" w14:textId="77777777" w:rsidR="003F6197" w:rsidRPr="00953245" w:rsidRDefault="003F6197" w:rsidP="003F6197">
            <w:pPr>
              <w:pStyle w:val="NoSpacing"/>
              <w:keepNext/>
              <w:jc w:val="center"/>
              <w:rPr>
                <w:sz w:val="16"/>
                <w:szCs w:val="16"/>
              </w:rPr>
            </w:pPr>
            <w:r w:rsidRPr="00953245">
              <w:rPr>
                <w:sz w:val="16"/>
                <w:szCs w:val="16"/>
              </w:rPr>
              <w:t>0.10%</w:t>
            </w:r>
          </w:p>
        </w:tc>
      </w:tr>
      <w:tr w:rsidR="003F6197" w:rsidRPr="008D1E1B" w14:paraId="277FEE23" w14:textId="77777777" w:rsidTr="003F6197">
        <w:trPr>
          <w:cantSplit/>
          <w:tblHeader/>
          <w:jc w:val="center"/>
        </w:trPr>
        <w:tc>
          <w:tcPr>
            <w:tcW w:w="1707" w:type="dxa"/>
            <w:tcBorders>
              <w:top w:val="single" w:sz="6" w:space="0" w:color="auto"/>
              <w:bottom w:val="double" w:sz="6" w:space="0" w:color="auto"/>
              <w:right w:val="single" w:sz="6" w:space="0" w:color="auto"/>
            </w:tcBorders>
            <w:vAlign w:val="bottom"/>
          </w:tcPr>
          <w:p w14:paraId="3ADB2024" w14:textId="77777777" w:rsidR="003F6197" w:rsidRPr="00953245" w:rsidRDefault="003F6197" w:rsidP="003F6197">
            <w:pPr>
              <w:pStyle w:val="NoSpacing"/>
              <w:keepNext/>
              <w:rPr>
                <w:sz w:val="16"/>
                <w:szCs w:val="16"/>
              </w:rPr>
            </w:pPr>
            <w:r w:rsidRPr="00953245">
              <w:rPr>
                <w:sz w:val="16"/>
                <w:szCs w:val="16"/>
              </w:rPr>
              <w:t>Variety or cultivar mixture</w:t>
            </w:r>
          </w:p>
        </w:tc>
        <w:tc>
          <w:tcPr>
            <w:tcW w:w="1110" w:type="dxa"/>
            <w:tcBorders>
              <w:top w:val="single" w:sz="6" w:space="0" w:color="auto"/>
              <w:left w:val="single" w:sz="6" w:space="0" w:color="auto"/>
              <w:bottom w:val="double" w:sz="6" w:space="0" w:color="auto"/>
              <w:right w:val="single" w:sz="6" w:space="0" w:color="auto"/>
            </w:tcBorders>
            <w:vAlign w:val="center"/>
          </w:tcPr>
          <w:p w14:paraId="036CCD2A" w14:textId="77777777" w:rsidR="003F6197" w:rsidRPr="00953245" w:rsidRDefault="003F6197" w:rsidP="003F6197">
            <w:pPr>
              <w:pStyle w:val="NoSpacing"/>
              <w:keepNext/>
              <w:jc w:val="center"/>
              <w:rPr>
                <w:sz w:val="16"/>
                <w:szCs w:val="16"/>
              </w:rPr>
            </w:pPr>
            <w:r w:rsidRPr="00953245">
              <w:rPr>
                <w:sz w:val="16"/>
                <w:szCs w:val="16"/>
              </w:rPr>
              <w:t>0.3%</w:t>
            </w:r>
          </w:p>
        </w:tc>
        <w:tc>
          <w:tcPr>
            <w:tcW w:w="990" w:type="dxa"/>
            <w:tcBorders>
              <w:top w:val="single" w:sz="6" w:space="0" w:color="auto"/>
              <w:left w:val="single" w:sz="6" w:space="0" w:color="auto"/>
              <w:bottom w:val="double" w:sz="6" w:space="0" w:color="auto"/>
              <w:right w:val="single" w:sz="6" w:space="0" w:color="auto"/>
            </w:tcBorders>
            <w:vAlign w:val="center"/>
          </w:tcPr>
          <w:p w14:paraId="00076DB3" w14:textId="77777777" w:rsidR="003F6197" w:rsidRPr="00953245" w:rsidRDefault="003F6197" w:rsidP="003F6197">
            <w:pPr>
              <w:pStyle w:val="NoSpacing"/>
              <w:keepNext/>
              <w:jc w:val="center"/>
              <w:rPr>
                <w:sz w:val="16"/>
                <w:szCs w:val="16"/>
              </w:rPr>
            </w:pPr>
            <w:r w:rsidRPr="00953245">
              <w:rPr>
                <w:sz w:val="16"/>
                <w:szCs w:val="16"/>
              </w:rPr>
              <w:t>0.5%</w:t>
            </w:r>
          </w:p>
        </w:tc>
        <w:tc>
          <w:tcPr>
            <w:tcW w:w="1080" w:type="dxa"/>
            <w:tcBorders>
              <w:top w:val="single" w:sz="6" w:space="0" w:color="auto"/>
              <w:left w:val="single" w:sz="6" w:space="0" w:color="auto"/>
              <w:bottom w:val="double" w:sz="6" w:space="0" w:color="auto"/>
            </w:tcBorders>
            <w:vAlign w:val="center"/>
          </w:tcPr>
          <w:p w14:paraId="38080A4D" w14:textId="77777777" w:rsidR="003F6197" w:rsidRPr="00953245" w:rsidRDefault="003F6197" w:rsidP="003F6197">
            <w:pPr>
              <w:pStyle w:val="NoSpacing"/>
              <w:keepNext/>
              <w:jc w:val="center"/>
              <w:rPr>
                <w:sz w:val="16"/>
                <w:szCs w:val="16"/>
              </w:rPr>
            </w:pPr>
            <w:r w:rsidRPr="00953245">
              <w:rPr>
                <w:sz w:val="16"/>
                <w:szCs w:val="16"/>
              </w:rPr>
              <w:t>0.5%</w:t>
            </w:r>
          </w:p>
        </w:tc>
      </w:tr>
    </w:tbl>
    <w:p w14:paraId="71DF84BC" w14:textId="77777777" w:rsidR="003F6197" w:rsidRPr="00DD7255" w:rsidRDefault="003F6197" w:rsidP="003F6197">
      <w:pPr>
        <w:pStyle w:val="RegDoubleIndent"/>
        <w:rPr>
          <w:sz w:val="16"/>
          <w:szCs w:val="16"/>
        </w:rPr>
      </w:pPr>
      <w:r w:rsidRPr="00DD7255">
        <w:rPr>
          <w:sz w:val="16"/>
          <w:szCs w:val="16"/>
        </w:rPr>
        <w:t>*If other severe factors are observed at time of inspection, rejection of all or a portion of a field may occur.</w:t>
      </w:r>
    </w:p>
    <w:p w14:paraId="26F42034" w14:textId="77777777" w:rsidR="003F6197" w:rsidRDefault="003F6197" w:rsidP="003F6197">
      <w:pPr>
        <w:pStyle w:val="RegDoubleIndent"/>
        <w:rPr>
          <w:sz w:val="16"/>
          <w:szCs w:val="16"/>
        </w:rPr>
      </w:pPr>
      <w:r w:rsidRPr="0079669D">
        <w:rPr>
          <w:sz w:val="16"/>
          <w:szCs w:val="16"/>
        </w:rPr>
        <w:t>**If sampled roots report presence of guava root-knot nematode (</w:t>
      </w:r>
      <w:r w:rsidRPr="00DD7255">
        <w:rPr>
          <w:sz w:val="16"/>
          <w:szCs w:val="16"/>
        </w:rPr>
        <w:t>Meloidogyne enterolobii</w:t>
      </w:r>
      <w:r w:rsidRPr="0079669D">
        <w:rPr>
          <w:sz w:val="16"/>
          <w:szCs w:val="16"/>
        </w:rPr>
        <w:t>), the entire field will not be eligible for certification.</w:t>
      </w:r>
    </w:p>
    <w:p w14:paraId="7E8420C3" w14:textId="77777777" w:rsidR="003F6197" w:rsidRPr="0079669D" w:rsidRDefault="003F6197" w:rsidP="003F6197">
      <w:pPr>
        <w:pStyle w:val="A"/>
      </w:pPr>
    </w:p>
    <w:p w14:paraId="2DE9C9AF" w14:textId="77777777" w:rsidR="003F6197" w:rsidRDefault="003F6197" w:rsidP="003F6197">
      <w:pPr>
        <w:pStyle w:val="A"/>
        <w:rPr>
          <w:strike/>
        </w:rPr>
      </w:pPr>
      <w:r w:rsidRPr="008D1E1B">
        <w:t>H.</w:t>
      </w:r>
      <w:r w:rsidRPr="008D1E1B">
        <w:tab/>
        <w:t>Seed Root Storage Requirements</w:t>
      </w:r>
    </w:p>
    <w:p w14:paraId="7CEB0754" w14:textId="77777777" w:rsidR="003F6197" w:rsidRDefault="003F6197" w:rsidP="003F6197">
      <w:pPr>
        <w:pStyle w:val="1"/>
        <w:rPr>
          <w:strike/>
        </w:rPr>
      </w:pPr>
      <w:r w:rsidRPr="008D1E1B">
        <w:t>1.</w:t>
      </w:r>
      <w:r w:rsidRPr="008D1E1B">
        <w:tab/>
        <w:t>The procedures for cleaning and sanitizing the structure where certified sweet potatoes are stored shall be in accordance with recommendations from the Louisiana Agricultural Experiment Station and approved by LDAF prior to any sweet potatoes being stored in the structure.</w:t>
      </w:r>
    </w:p>
    <w:p w14:paraId="5F8509AA" w14:textId="77777777" w:rsidR="003F6197" w:rsidRDefault="003F6197" w:rsidP="003F6197">
      <w:pPr>
        <w:pStyle w:val="1"/>
        <w:rPr>
          <w:strike/>
        </w:rPr>
      </w:pPr>
      <w:r w:rsidRPr="008D1E1B">
        <w:t>2.</w:t>
      </w:r>
      <w:r w:rsidRPr="008D1E1B">
        <w:tab/>
        <w:t>LDAF will perform one seed root storage inspection after harvest and before shipment. A minimum of twenty percent of sweet potatoes entered for certification shall be inspected during the storage inspection.</w:t>
      </w:r>
    </w:p>
    <w:p w14:paraId="0DD0AB2F" w14:textId="77777777" w:rsidR="003F6197" w:rsidRDefault="003F6197" w:rsidP="003F6197">
      <w:pPr>
        <w:pStyle w:val="1"/>
      </w:pPr>
      <w:r w:rsidRPr="008D1E1B">
        <w:lastRenderedPageBreak/>
        <w:t>3.</w:t>
      </w:r>
      <w:r w:rsidRPr="008D1E1B">
        <w:tab/>
        <w:t>Sweet potatoes grown for certification shall be stored in new containers (crates, pallet boxes, etc.) or used containers that have been sanitized by a method approved by LDAF.</w:t>
      </w:r>
    </w:p>
    <w:p w14:paraId="1943D72F" w14:textId="77777777" w:rsidR="003F6197" w:rsidRDefault="003F6197" w:rsidP="003F6197">
      <w:pPr>
        <w:pStyle w:val="1"/>
        <w:rPr>
          <w:strike/>
        </w:rPr>
      </w:pPr>
      <w:r w:rsidRPr="008D1E1B">
        <w:t>4.</w:t>
      </w:r>
      <w:r w:rsidRPr="008D1E1B">
        <w:tab/>
        <w:t>Certified seed roots shall be stored in a separate room from any non-certified roots, properly identified, separated by a minimum of two feet wide aisles between crates, and shall not be exposed to dust from grading and packing lines.</w:t>
      </w:r>
    </w:p>
    <w:p w14:paraId="5AA2E6E3" w14:textId="77777777" w:rsidR="003F6197" w:rsidRDefault="003F6197" w:rsidP="003F6197">
      <w:pPr>
        <w:pStyle w:val="1"/>
      </w:pPr>
      <w:r w:rsidRPr="008D1E1B">
        <w:t>5.</w:t>
      </w:r>
      <w:r w:rsidRPr="008D1E1B">
        <w:tab/>
        <w:t>Specific Seed Root Tolerance Standards</w:t>
      </w:r>
    </w:p>
    <w:p w14:paraId="455EFB5D" w14:textId="77777777" w:rsidR="00BE669C" w:rsidRPr="00B7246F" w:rsidRDefault="00BE669C" w:rsidP="00BE669C">
      <w:pPr>
        <w:pStyle w:val="A"/>
      </w:pPr>
    </w:p>
    <w:tbl>
      <w:tblPr>
        <w:tblW w:w="4922"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1E0" w:firstRow="1" w:lastRow="1" w:firstColumn="1" w:lastColumn="1" w:noHBand="0" w:noVBand="0"/>
      </w:tblPr>
      <w:tblGrid>
        <w:gridCol w:w="4140"/>
        <w:gridCol w:w="782"/>
      </w:tblGrid>
      <w:tr w:rsidR="00BE669C" w:rsidRPr="00B7246F" w14:paraId="4BE80928" w14:textId="77777777" w:rsidTr="00CC0925">
        <w:trPr>
          <w:cantSplit/>
          <w:trHeight w:val="288"/>
          <w:tblHeader/>
          <w:jc w:val="center"/>
        </w:trPr>
        <w:tc>
          <w:tcPr>
            <w:tcW w:w="4922" w:type="dxa"/>
            <w:gridSpan w:val="2"/>
            <w:tcBorders>
              <w:top w:val="double" w:sz="6" w:space="0" w:color="auto"/>
              <w:left w:val="double" w:sz="6" w:space="0" w:color="auto"/>
              <w:bottom w:val="single" w:sz="6" w:space="0" w:color="auto"/>
              <w:right w:val="double" w:sz="6" w:space="0" w:color="auto"/>
            </w:tcBorders>
            <w:shd w:val="clear" w:color="auto" w:fill="BFBFBF"/>
            <w:vAlign w:val="center"/>
          </w:tcPr>
          <w:p w14:paraId="67DE080F" w14:textId="77777777" w:rsidR="00BE669C" w:rsidRPr="00B7246F" w:rsidRDefault="00BE669C" w:rsidP="00CC0925">
            <w:pPr>
              <w:pStyle w:val="NoSpacing"/>
              <w:keepNext/>
              <w:jc w:val="center"/>
              <w:rPr>
                <w:b/>
                <w:bCs/>
                <w:sz w:val="16"/>
                <w:szCs w:val="16"/>
              </w:rPr>
            </w:pPr>
            <w:r w:rsidRPr="00B7246F">
              <w:rPr>
                <w:b/>
                <w:bCs/>
                <w:sz w:val="16"/>
                <w:szCs w:val="16"/>
              </w:rPr>
              <w:t>Maximum Tolerance Allowed</w:t>
            </w:r>
          </w:p>
        </w:tc>
      </w:tr>
      <w:tr w:rsidR="00BE669C" w:rsidRPr="00B7246F" w14:paraId="7501F755" w14:textId="77777777" w:rsidTr="00CC0925">
        <w:trPr>
          <w:cantSplit/>
          <w:trHeight w:val="332"/>
          <w:tblHeader/>
          <w:jc w:val="center"/>
        </w:trPr>
        <w:tc>
          <w:tcPr>
            <w:tcW w:w="4140" w:type="dxa"/>
            <w:tcBorders>
              <w:top w:val="single" w:sz="6" w:space="0" w:color="auto"/>
              <w:left w:val="double" w:sz="6" w:space="0" w:color="auto"/>
              <w:bottom w:val="single" w:sz="6" w:space="0" w:color="auto"/>
              <w:right w:val="single" w:sz="6" w:space="0" w:color="auto"/>
            </w:tcBorders>
            <w:shd w:val="clear" w:color="auto" w:fill="BFBFBF"/>
            <w:vAlign w:val="bottom"/>
          </w:tcPr>
          <w:p w14:paraId="1FB417FA" w14:textId="77777777" w:rsidR="00BE669C" w:rsidRPr="00B7246F" w:rsidRDefault="00BE669C" w:rsidP="00CC0925">
            <w:pPr>
              <w:pStyle w:val="NoSpacing"/>
              <w:keepNext/>
              <w:jc w:val="center"/>
              <w:rPr>
                <w:b/>
                <w:bCs/>
                <w:sz w:val="16"/>
                <w:szCs w:val="16"/>
              </w:rPr>
            </w:pPr>
            <w:r w:rsidRPr="00B7246F">
              <w:rPr>
                <w:b/>
                <w:bCs/>
                <w:sz w:val="16"/>
                <w:szCs w:val="16"/>
              </w:rPr>
              <w:t>Factor</w:t>
            </w:r>
          </w:p>
        </w:tc>
        <w:tc>
          <w:tcPr>
            <w:tcW w:w="782" w:type="dxa"/>
            <w:tcBorders>
              <w:top w:val="single" w:sz="6" w:space="0" w:color="auto"/>
              <w:left w:val="single" w:sz="6" w:space="0" w:color="auto"/>
              <w:bottom w:val="single" w:sz="6" w:space="0" w:color="auto"/>
              <w:right w:val="double" w:sz="6" w:space="0" w:color="auto"/>
            </w:tcBorders>
            <w:shd w:val="clear" w:color="auto" w:fill="BFBFBF"/>
            <w:vAlign w:val="bottom"/>
          </w:tcPr>
          <w:p w14:paraId="5B08A07E" w14:textId="77777777" w:rsidR="00BE669C" w:rsidRPr="00B7246F" w:rsidRDefault="00BE669C" w:rsidP="00CC0925">
            <w:pPr>
              <w:pStyle w:val="NoSpacing"/>
              <w:keepNext/>
              <w:jc w:val="center"/>
              <w:rPr>
                <w:b/>
                <w:bCs/>
                <w:sz w:val="16"/>
                <w:szCs w:val="16"/>
              </w:rPr>
            </w:pPr>
            <w:r w:rsidRPr="00B7246F">
              <w:rPr>
                <w:b/>
                <w:bCs/>
                <w:sz w:val="16"/>
                <w:szCs w:val="16"/>
              </w:rPr>
              <w:t>G1, G2, G3 Seed Roots</w:t>
            </w:r>
          </w:p>
        </w:tc>
      </w:tr>
      <w:tr w:rsidR="00BE669C" w:rsidRPr="00B7246F" w14:paraId="357C18B1"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677A77DB" w14:textId="77777777" w:rsidR="00BE669C" w:rsidRPr="00B7246F" w:rsidRDefault="00BE669C" w:rsidP="00CC0925">
            <w:pPr>
              <w:pStyle w:val="NoSpacing"/>
              <w:keepNext/>
              <w:rPr>
                <w:sz w:val="16"/>
                <w:szCs w:val="16"/>
              </w:rPr>
            </w:pPr>
            <w:r w:rsidRPr="00B7246F">
              <w:rPr>
                <w:sz w:val="16"/>
                <w:szCs w:val="16"/>
              </w:rPr>
              <w:t>Surface rots (</w:t>
            </w:r>
            <w:r w:rsidRPr="00B7246F">
              <w:rPr>
                <w:i/>
                <w:sz w:val="16"/>
                <w:szCs w:val="16"/>
              </w:rPr>
              <w:t>Fusarium spp</w:t>
            </w:r>
            <w:r w:rsidRPr="00B7246F">
              <w:rPr>
                <w:sz w:val="16"/>
                <w:szCs w:val="16"/>
              </w:rPr>
              <w:t>.) &amp; Soft Rots (</w:t>
            </w:r>
            <w:r w:rsidRPr="00B7246F">
              <w:rPr>
                <w:i/>
                <w:sz w:val="16"/>
                <w:szCs w:val="16"/>
              </w:rPr>
              <w:t>Rhizopus spp</w:t>
            </w:r>
            <w:r w:rsidRPr="00B7246F">
              <w:rPr>
                <w:iCs/>
                <w:sz w:val="16"/>
                <w:szCs w:val="16"/>
              </w:rPr>
              <w:t>.)</w:t>
            </w:r>
          </w:p>
        </w:tc>
        <w:tc>
          <w:tcPr>
            <w:tcW w:w="782" w:type="dxa"/>
            <w:tcBorders>
              <w:top w:val="single" w:sz="6" w:space="0" w:color="auto"/>
              <w:left w:val="single" w:sz="6" w:space="0" w:color="auto"/>
              <w:bottom w:val="single" w:sz="6" w:space="0" w:color="auto"/>
              <w:right w:val="double" w:sz="6" w:space="0" w:color="auto"/>
            </w:tcBorders>
            <w:vAlign w:val="center"/>
          </w:tcPr>
          <w:p w14:paraId="6054EFB0" w14:textId="77777777" w:rsidR="00BE669C" w:rsidRPr="00B7246F" w:rsidRDefault="00BE669C" w:rsidP="00CC0925">
            <w:pPr>
              <w:pStyle w:val="NoSpacing"/>
              <w:keepNext/>
              <w:rPr>
                <w:sz w:val="16"/>
                <w:szCs w:val="16"/>
              </w:rPr>
            </w:pPr>
            <w:r w:rsidRPr="00B7246F">
              <w:rPr>
                <w:sz w:val="16"/>
                <w:szCs w:val="16"/>
              </w:rPr>
              <w:t>5.0%</w:t>
            </w:r>
          </w:p>
        </w:tc>
      </w:tr>
      <w:tr w:rsidR="00BE669C" w:rsidRPr="00B7246F" w14:paraId="33FFC3BA"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74CC0B66" w14:textId="77777777" w:rsidR="00BE669C" w:rsidRPr="00B7246F" w:rsidRDefault="00BE669C" w:rsidP="00CC0925">
            <w:pPr>
              <w:pStyle w:val="NoSpacing"/>
              <w:keepNext/>
              <w:rPr>
                <w:sz w:val="16"/>
                <w:szCs w:val="16"/>
              </w:rPr>
            </w:pPr>
            <w:r w:rsidRPr="00B7246F">
              <w:rPr>
                <w:sz w:val="16"/>
                <w:szCs w:val="16"/>
              </w:rPr>
              <w:t xml:space="preserve">Bacterial Root Rot </w:t>
            </w:r>
            <w:r w:rsidRPr="00B7246F">
              <w:rPr>
                <w:i/>
                <w:iCs/>
                <w:sz w:val="16"/>
                <w:szCs w:val="16"/>
              </w:rPr>
              <w:t>(Erwinia spp.)</w:t>
            </w:r>
          </w:p>
        </w:tc>
        <w:tc>
          <w:tcPr>
            <w:tcW w:w="782" w:type="dxa"/>
            <w:tcBorders>
              <w:top w:val="single" w:sz="6" w:space="0" w:color="auto"/>
              <w:left w:val="single" w:sz="6" w:space="0" w:color="auto"/>
              <w:bottom w:val="single" w:sz="6" w:space="0" w:color="auto"/>
              <w:right w:val="double" w:sz="6" w:space="0" w:color="auto"/>
            </w:tcBorders>
            <w:vAlign w:val="center"/>
          </w:tcPr>
          <w:p w14:paraId="52DE44BC"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58985050"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760491D4" w14:textId="77777777" w:rsidR="00BE669C" w:rsidRPr="00B7246F" w:rsidRDefault="00BE669C" w:rsidP="00CC0925">
            <w:pPr>
              <w:pStyle w:val="NoSpacing"/>
              <w:keepNext/>
              <w:rPr>
                <w:sz w:val="16"/>
                <w:szCs w:val="16"/>
              </w:rPr>
            </w:pPr>
            <w:r w:rsidRPr="00B7246F">
              <w:rPr>
                <w:sz w:val="16"/>
                <w:szCs w:val="16"/>
              </w:rPr>
              <w:t xml:space="preserve">Black Rot </w:t>
            </w:r>
            <w:r w:rsidRPr="00B7246F">
              <w:rPr>
                <w:i/>
                <w:iCs/>
                <w:sz w:val="16"/>
                <w:szCs w:val="16"/>
              </w:rPr>
              <w:t>(Ceratocystis fimbriata)</w:t>
            </w:r>
          </w:p>
        </w:tc>
        <w:tc>
          <w:tcPr>
            <w:tcW w:w="782" w:type="dxa"/>
            <w:tcBorders>
              <w:top w:val="single" w:sz="6" w:space="0" w:color="auto"/>
              <w:left w:val="single" w:sz="6" w:space="0" w:color="auto"/>
              <w:bottom w:val="single" w:sz="6" w:space="0" w:color="auto"/>
              <w:right w:val="double" w:sz="6" w:space="0" w:color="auto"/>
            </w:tcBorders>
            <w:vAlign w:val="center"/>
          </w:tcPr>
          <w:p w14:paraId="285B7B5C"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2CE409A3"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664DE95F" w14:textId="77777777" w:rsidR="00BE669C" w:rsidRPr="00B7246F" w:rsidRDefault="00BE669C" w:rsidP="00CC0925">
            <w:pPr>
              <w:pStyle w:val="NoSpacing"/>
              <w:keepNext/>
              <w:rPr>
                <w:sz w:val="16"/>
                <w:szCs w:val="16"/>
              </w:rPr>
            </w:pPr>
            <w:r w:rsidRPr="00B7246F">
              <w:rPr>
                <w:sz w:val="16"/>
                <w:szCs w:val="16"/>
              </w:rPr>
              <w:t xml:space="preserve">Scurf </w:t>
            </w:r>
            <w:r w:rsidRPr="00B7246F">
              <w:rPr>
                <w:i/>
                <w:iCs/>
                <w:sz w:val="16"/>
                <w:szCs w:val="16"/>
              </w:rPr>
              <w:t>(Monilochaetes infuscans)</w:t>
            </w:r>
          </w:p>
        </w:tc>
        <w:tc>
          <w:tcPr>
            <w:tcW w:w="782" w:type="dxa"/>
            <w:tcBorders>
              <w:top w:val="single" w:sz="6" w:space="0" w:color="auto"/>
              <w:left w:val="single" w:sz="6" w:space="0" w:color="auto"/>
              <w:bottom w:val="single" w:sz="6" w:space="0" w:color="auto"/>
              <w:right w:val="double" w:sz="6" w:space="0" w:color="auto"/>
            </w:tcBorders>
            <w:vAlign w:val="center"/>
          </w:tcPr>
          <w:p w14:paraId="55FED952"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363CFCC6"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43528CCE" w14:textId="77777777" w:rsidR="00BE669C" w:rsidRPr="00B7246F" w:rsidRDefault="00BE669C" w:rsidP="00CC0925">
            <w:pPr>
              <w:pStyle w:val="NoSpacing"/>
              <w:keepNext/>
              <w:rPr>
                <w:sz w:val="16"/>
                <w:szCs w:val="16"/>
              </w:rPr>
            </w:pPr>
            <w:r w:rsidRPr="00B7246F">
              <w:rPr>
                <w:sz w:val="16"/>
                <w:szCs w:val="16"/>
              </w:rPr>
              <w:t xml:space="preserve">Streptomyces soil rot </w:t>
            </w:r>
            <w:r w:rsidRPr="00B7246F">
              <w:rPr>
                <w:i/>
                <w:iCs/>
                <w:sz w:val="16"/>
                <w:szCs w:val="16"/>
              </w:rPr>
              <w:t>(Streptomyces ipomoeae)</w:t>
            </w:r>
          </w:p>
        </w:tc>
        <w:tc>
          <w:tcPr>
            <w:tcW w:w="782" w:type="dxa"/>
            <w:tcBorders>
              <w:top w:val="single" w:sz="6" w:space="0" w:color="auto"/>
              <w:left w:val="single" w:sz="6" w:space="0" w:color="auto"/>
              <w:bottom w:val="single" w:sz="6" w:space="0" w:color="auto"/>
              <w:right w:val="double" w:sz="6" w:space="0" w:color="auto"/>
            </w:tcBorders>
            <w:vAlign w:val="center"/>
          </w:tcPr>
          <w:p w14:paraId="50F08577" w14:textId="77777777" w:rsidR="00BE669C" w:rsidRPr="00B7246F" w:rsidRDefault="00BE669C" w:rsidP="00CC0925">
            <w:pPr>
              <w:pStyle w:val="NoSpacing"/>
              <w:keepNext/>
              <w:rPr>
                <w:sz w:val="16"/>
                <w:szCs w:val="16"/>
              </w:rPr>
            </w:pPr>
            <w:r w:rsidRPr="00B7246F">
              <w:rPr>
                <w:sz w:val="16"/>
                <w:szCs w:val="16"/>
              </w:rPr>
              <w:t>0.5%</w:t>
            </w:r>
          </w:p>
        </w:tc>
      </w:tr>
      <w:tr w:rsidR="00BE669C" w:rsidRPr="00B7246F" w14:paraId="63248307"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5CBA09E6" w14:textId="77777777" w:rsidR="00BE669C" w:rsidRPr="00B7246F" w:rsidRDefault="00BE669C" w:rsidP="00CC0925">
            <w:pPr>
              <w:pStyle w:val="NoSpacing"/>
              <w:keepNext/>
              <w:rPr>
                <w:sz w:val="16"/>
                <w:szCs w:val="16"/>
              </w:rPr>
            </w:pPr>
            <w:r w:rsidRPr="00B7246F">
              <w:rPr>
                <w:sz w:val="16"/>
                <w:szCs w:val="16"/>
              </w:rPr>
              <w:t xml:space="preserve">Root-Knot Nematode </w:t>
            </w:r>
            <w:r w:rsidRPr="00B7246F">
              <w:rPr>
                <w:i/>
                <w:iCs/>
                <w:sz w:val="16"/>
                <w:szCs w:val="16"/>
              </w:rPr>
              <w:t>(Meloidogyne spp.)</w:t>
            </w:r>
          </w:p>
        </w:tc>
        <w:tc>
          <w:tcPr>
            <w:tcW w:w="782" w:type="dxa"/>
            <w:tcBorders>
              <w:top w:val="single" w:sz="6" w:space="0" w:color="auto"/>
              <w:left w:val="single" w:sz="6" w:space="0" w:color="auto"/>
              <w:bottom w:val="single" w:sz="6" w:space="0" w:color="auto"/>
              <w:right w:val="double" w:sz="6" w:space="0" w:color="auto"/>
            </w:tcBorders>
            <w:vAlign w:val="center"/>
          </w:tcPr>
          <w:p w14:paraId="681AB1D1" w14:textId="77777777" w:rsidR="00BE669C" w:rsidRPr="00B7246F" w:rsidRDefault="00BE669C" w:rsidP="00CC0925">
            <w:pPr>
              <w:pStyle w:val="NoSpacing"/>
              <w:keepNext/>
              <w:rPr>
                <w:sz w:val="16"/>
                <w:szCs w:val="16"/>
              </w:rPr>
            </w:pPr>
            <w:r w:rsidRPr="00B7246F">
              <w:rPr>
                <w:sz w:val="16"/>
                <w:szCs w:val="16"/>
              </w:rPr>
              <w:t>5.0%</w:t>
            </w:r>
          </w:p>
        </w:tc>
      </w:tr>
      <w:tr w:rsidR="00BE669C" w:rsidRPr="00B7246F" w14:paraId="419FA335"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0AC39729" w14:textId="77777777" w:rsidR="00BE669C" w:rsidRPr="00B7246F" w:rsidRDefault="00BE669C" w:rsidP="00CC0925">
            <w:pPr>
              <w:pStyle w:val="NoSpacing"/>
              <w:keepNext/>
              <w:rPr>
                <w:sz w:val="16"/>
                <w:szCs w:val="16"/>
              </w:rPr>
            </w:pPr>
            <w:r w:rsidRPr="00B7246F">
              <w:rPr>
                <w:sz w:val="16"/>
                <w:szCs w:val="16"/>
              </w:rPr>
              <w:t xml:space="preserve">Guava Rooot-Knot Nematode </w:t>
            </w:r>
            <w:r w:rsidRPr="00B7246F">
              <w:rPr>
                <w:i/>
                <w:iCs/>
                <w:sz w:val="16"/>
                <w:szCs w:val="16"/>
              </w:rPr>
              <w:t>(Meloidogyne enterolobii)</w:t>
            </w:r>
          </w:p>
        </w:tc>
        <w:tc>
          <w:tcPr>
            <w:tcW w:w="782" w:type="dxa"/>
            <w:tcBorders>
              <w:top w:val="single" w:sz="6" w:space="0" w:color="auto"/>
              <w:left w:val="single" w:sz="6" w:space="0" w:color="auto"/>
              <w:bottom w:val="single" w:sz="6" w:space="0" w:color="auto"/>
              <w:right w:val="double" w:sz="6" w:space="0" w:color="auto"/>
            </w:tcBorders>
            <w:vAlign w:val="center"/>
          </w:tcPr>
          <w:p w14:paraId="0C8ABDCA"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4870E88C"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24450445" w14:textId="77777777" w:rsidR="00BE669C" w:rsidRPr="00B7246F" w:rsidRDefault="00BE669C" w:rsidP="00CC0925">
            <w:pPr>
              <w:pStyle w:val="NoSpacing"/>
              <w:keepNext/>
              <w:rPr>
                <w:sz w:val="16"/>
                <w:szCs w:val="16"/>
              </w:rPr>
            </w:pPr>
            <w:r w:rsidRPr="00B7246F">
              <w:rPr>
                <w:sz w:val="16"/>
                <w:szCs w:val="16"/>
              </w:rPr>
              <w:t>Russet Crack (a strain of SPFMV)</w:t>
            </w:r>
          </w:p>
        </w:tc>
        <w:tc>
          <w:tcPr>
            <w:tcW w:w="782" w:type="dxa"/>
            <w:tcBorders>
              <w:top w:val="single" w:sz="6" w:space="0" w:color="auto"/>
              <w:left w:val="single" w:sz="6" w:space="0" w:color="auto"/>
              <w:bottom w:val="single" w:sz="6" w:space="0" w:color="auto"/>
              <w:right w:val="double" w:sz="6" w:space="0" w:color="auto"/>
            </w:tcBorders>
            <w:vAlign w:val="center"/>
          </w:tcPr>
          <w:p w14:paraId="06C180A5"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56AE1982"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2E961BF3" w14:textId="77777777" w:rsidR="00BE669C" w:rsidRPr="00B7246F" w:rsidRDefault="00BE669C" w:rsidP="00CC0925">
            <w:pPr>
              <w:pStyle w:val="NoSpacing"/>
              <w:keepNext/>
              <w:rPr>
                <w:sz w:val="16"/>
                <w:szCs w:val="16"/>
              </w:rPr>
            </w:pPr>
            <w:r w:rsidRPr="00B7246F">
              <w:rPr>
                <w:sz w:val="16"/>
                <w:szCs w:val="16"/>
              </w:rPr>
              <w:t xml:space="preserve">Wilt </w:t>
            </w:r>
            <w:r w:rsidRPr="00B7246F">
              <w:rPr>
                <w:i/>
                <w:iCs/>
                <w:sz w:val="16"/>
                <w:szCs w:val="16"/>
              </w:rPr>
              <w:t>(Fusarium oxysporum f. sp. batatas)</w:t>
            </w:r>
          </w:p>
        </w:tc>
        <w:tc>
          <w:tcPr>
            <w:tcW w:w="782" w:type="dxa"/>
            <w:tcBorders>
              <w:top w:val="single" w:sz="6" w:space="0" w:color="auto"/>
              <w:left w:val="single" w:sz="6" w:space="0" w:color="auto"/>
              <w:bottom w:val="single" w:sz="6" w:space="0" w:color="auto"/>
              <w:right w:val="double" w:sz="6" w:space="0" w:color="auto"/>
            </w:tcBorders>
            <w:vAlign w:val="center"/>
          </w:tcPr>
          <w:p w14:paraId="4FBB11FE"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5C135DBB"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70158111" w14:textId="77777777" w:rsidR="00BE669C" w:rsidRPr="00B7246F" w:rsidRDefault="00BE669C" w:rsidP="00CC0925">
            <w:pPr>
              <w:pStyle w:val="NoSpacing"/>
              <w:keepNext/>
              <w:rPr>
                <w:sz w:val="16"/>
                <w:szCs w:val="16"/>
              </w:rPr>
            </w:pPr>
            <w:r w:rsidRPr="00B7246F">
              <w:rPr>
                <w:sz w:val="16"/>
                <w:szCs w:val="16"/>
              </w:rPr>
              <w:t>Internal Cork</w:t>
            </w:r>
          </w:p>
        </w:tc>
        <w:tc>
          <w:tcPr>
            <w:tcW w:w="782" w:type="dxa"/>
            <w:tcBorders>
              <w:top w:val="single" w:sz="6" w:space="0" w:color="auto"/>
              <w:left w:val="single" w:sz="6" w:space="0" w:color="auto"/>
              <w:bottom w:val="single" w:sz="6" w:space="0" w:color="auto"/>
              <w:right w:val="double" w:sz="6" w:space="0" w:color="auto"/>
            </w:tcBorders>
            <w:vAlign w:val="center"/>
          </w:tcPr>
          <w:p w14:paraId="04055826"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19902F4D"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6DFFA40D" w14:textId="77777777" w:rsidR="00BE669C" w:rsidRPr="00B7246F" w:rsidRDefault="00BE669C" w:rsidP="00CC0925">
            <w:pPr>
              <w:pStyle w:val="NoSpacing"/>
              <w:keepNext/>
              <w:rPr>
                <w:sz w:val="16"/>
                <w:szCs w:val="16"/>
              </w:rPr>
            </w:pPr>
            <w:r w:rsidRPr="00B7246F">
              <w:rPr>
                <w:sz w:val="16"/>
                <w:szCs w:val="16"/>
              </w:rPr>
              <w:t xml:space="preserve">Wireworm </w:t>
            </w:r>
            <w:r w:rsidRPr="00B7246F">
              <w:rPr>
                <w:i/>
                <w:iCs/>
                <w:sz w:val="16"/>
                <w:szCs w:val="16"/>
              </w:rPr>
              <w:t>(Condoderus spp.)</w:t>
            </w:r>
          </w:p>
        </w:tc>
        <w:tc>
          <w:tcPr>
            <w:tcW w:w="782" w:type="dxa"/>
            <w:tcBorders>
              <w:top w:val="single" w:sz="6" w:space="0" w:color="auto"/>
              <w:left w:val="single" w:sz="6" w:space="0" w:color="auto"/>
              <w:bottom w:val="single" w:sz="6" w:space="0" w:color="auto"/>
              <w:right w:val="double" w:sz="6" w:space="0" w:color="auto"/>
            </w:tcBorders>
            <w:vAlign w:val="center"/>
          </w:tcPr>
          <w:p w14:paraId="03456DC1" w14:textId="77777777" w:rsidR="00BE669C" w:rsidRPr="00B7246F" w:rsidRDefault="00BE669C" w:rsidP="00CC0925">
            <w:pPr>
              <w:pStyle w:val="NoSpacing"/>
              <w:keepNext/>
              <w:rPr>
                <w:sz w:val="16"/>
                <w:szCs w:val="16"/>
              </w:rPr>
            </w:pPr>
            <w:r w:rsidRPr="00B7246F">
              <w:rPr>
                <w:sz w:val="16"/>
                <w:szCs w:val="16"/>
              </w:rPr>
              <w:t>*</w:t>
            </w:r>
          </w:p>
        </w:tc>
      </w:tr>
      <w:tr w:rsidR="00BE669C" w:rsidRPr="00B7246F" w14:paraId="2524EDB5"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4B735A91" w14:textId="77777777" w:rsidR="00BE669C" w:rsidRPr="00B7246F" w:rsidRDefault="00BE669C" w:rsidP="00CC0925">
            <w:pPr>
              <w:pStyle w:val="NoSpacing"/>
              <w:keepNext/>
              <w:rPr>
                <w:sz w:val="16"/>
                <w:szCs w:val="16"/>
              </w:rPr>
            </w:pPr>
            <w:r w:rsidRPr="00B7246F">
              <w:rPr>
                <w:sz w:val="16"/>
                <w:szCs w:val="16"/>
              </w:rPr>
              <w:t xml:space="preserve">Sweetpotato Weevil </w:t>
            </w:r>
            <w:r w:rsidRPr="00B7246F">
              <w:rPr>
                <w:i/>
                <w:iCs/>
                <w:sz w:val="16"/>
                <w:szCs w:val="16"/>
              </w:rPr>
              <w:t>(Cylas formicarius)</w:t>
            </w:r>
          </w:p>
        </w:tc>
        <w:tc>
          <w:tcPr>
            <w:tcW w:w="782" w:type="dxa"/>
            <w:tcBorders>
              <w:top w:val="single" w:sz="6" w:space="0" w:color="auto"/>
              <w:left w:val="single" w:sz="6" w:space="0" w:color="auto"/>
              <w:bottom w:val="single" w:sz="6" w:space="0" w:color="auto"/>
              <w:right w:val="double" w:sz="6" w:space="0" w:color="auto"/>
            </w:tcBorders>
            <w:vAlign w:val="center"/>
          </w:tcPr>
          <w:p w14:paraId="236642FF"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682B721E" w14:textId="77777777" w:rsidTr="00CC0925">
        <w:trPr>
          <w:cantSplit/>
          <w:tblHeader/>
          <w:jc w:val="center"/>
        </w:trPr>
        <w:tc>
          <w:tcPr>
            <w:tcW w:w="4140" w:type="dxa"/>
            <w:tcBorders>
              <w:top w:val="single" w:sz="6" w:space="0" w:color="auto"/>
              <w:left w:val="double" w:sz="6" w:space="0" w:color="auto"/>
              <w:bottom w:val="single" w:sz="6" w:space="0" w:color="auto"/>
              <w:right w:val="single" w:sz="6" w:space="0" w:color="auto"/>
            </w:tcBorders>
          </w:tcPr>
          <w:p w14:paraId="14BFEDA8" w14:textId="77777777" w:rsidR="00BE669C" w:rsidRPr="00B7246F" w:rsidRDefault="00BE669C" w:rsidP="00CC0925">
            <w:pPr>
              <w:pStyle w:val="NoSpacing"/>
              <w:keepNext/>
              <w:rPr>
                <w:sz w:val="16"/>
                <w:szCs w:val="16"/>
              </w:rPr>
            </w:pPr>
            <w:r w:rsidRPr="00B7246F">
              <w:rPr>
                <w:sz w:val="16"/>
                <w:szCs w:val="16"/>
              </w:rPr>
              <w:t>Exotic or hazardous pests</w:t>
            </w:r>
          </w:p>
        </w:tc>
        <w:tc>
          <w:tcPr>
            <w:tcW w:w="782" w:type="dxa"/>
            <w:tcBorders>
              <w:top w:val="single" w:sz="6" w:space="0" w:color="auto"/>
              <w:left w:val="single" w:sz="6" w:space="0" w:color="auto"/>
              <w:bottom w:val="single" w:sz="6" w:space="0" w:color="auto"/>
              <w:right w:val="double" w:sz="6" w:space="0" w:color="auto"/>
            </w:tcBorders>
            <w:vAlign w:val="center"/>
          </w:tcPr>
          <w:p w14:paraId="220D02A7"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6F35F2D8" w14:textId="77777777" w:rsidTr="00CC0925">
        <w:trPr>
          <w:cantSplit/>
          <w:trHeight w:val="183"/>
          <w:tblHeader/>
          <w:jc w:val="center"/>
        </w:trPr>
        <w:tc>
          <w:tcPr>
            <w:tcW w:w="4140" w:type="dxa"/>
            <w:tcBorders>
              <w:top w:val="single" w:sz="6" w:space="0" w:color="auto"/>
              <w:left w:val="double" w:sz="6" w:space="0" w:color="auto"/>
              <w:bottom w:val="single" w:sz="6" w:space="0" w:color="auto"/>
              <w:right w:val="single" w:sz="6" w:space="0" w:color="auto"/>
            </w:tcBorders>
          </w:tcPr>
          <w:p w14:paraId="65C5E49A" w14:textId="77777777" w:rsidR="00BE669C" w:rsidRPr="00B7246F" w:rsidRDefault="00BE669C" w:rsidP="00CC0925">
            <w:pPr>
              <w:pStyle w:val="NoSpacing"/>
              <w:keepNext/>
              <w:rPr>
                <w:sz w:val="16"/>
                <w:szCs w:val="16"/>
              </w:rPr>
            </w:pPr>
            <w:r w:rsidRPr="00B7246F">
              <w:rPr>
                <w:sz w:val="16"/>
                <w:szCs w:val="16"/>
              </w:rPr>
              <w:t>Variety mixture</w:t>
            </w:r>
          </w:p>
        </w:tc>
        <w:tc>
          <w:tcPr>
            <w:tcW w:w="782" w:type="dxa"/>
            <w:tcBorders>
              <w:top w:val="single" w:sz="6" w:space="0" w:color="auto"/>
              <w:left w:val="single" w:sz="6" w:space="0" w:color="auto"/>
              <w:bottom w:val="single" w:sz="6" w:space="0" w:color="auto"/>
              <w:right w:val="double" w:sz="6" w:space="0" w:color="auto"/>
            </w:tcBorders>
            <w:vAlign w:val="center"/>
          </w:tcPr>
          <w:p w14:paraId="73DFE3E0" w14:textId="77777777" w:rsidR="00BE669C" w:rsidRPr="00B7246F" w:rsidRDefault="00BE669C" w:rsidP="00CC0925">
            <w:pPr>
              <w:pStyle w:val="NoSpacing"/>
              <w:keepNext/>
              <w:rPr>
                <w:sz w:val="16"/>
                <w:szCs w:val="16"/>
              </w:rPr>
            </w:pPr>
            <w:r w:rsidRPr="00B7246F">
              <w:rPr>
                <w:sz w:val="16"/>
                <w:szCs w:val="16"/>
              </w:rPr>
              <w:t>None</w:t>
            </w:r>
          </w:p>
        </w:tc>
      </w:tr>
      <w:tr w:rsidR="00BE669C" w:rsidRPr="00B7246F" w14:paraId="6CC17573" w14:textId="77777777" w:rsidTr="00CC0925">
        <w:trPr>
          <w:cantSplit/>
          <w:trHeight w:val="183"/>
          <w:tblHeader/>
          <w:jc w:val="center"/>
        </w:trPr>
        <w:tc>
          <w:tcPr>
            <w:tcW w:w="4140" w:type="dxa"/>
            <w:tcBorders>
              <w:top w:val="single" w:sz="6" w:space="0" w:color="auto"/>
              <w:left w:val="double" w:sz="6" w:space="0" w:color="auto"/>
              <w:bottom w:val="double" w:sz="6" w:space="0" w:color="auto"/>
              <w:right w:val="single" w:sz="6" w:space="0" w:color="auto"/>
            </w:tcBorders>
          </w:tcPr>
          <w:p w14:paraId="03B24D05" w14:textId="77777777" w:rsidR="00BE669C" w:rsidRPr="00B7246F" w:rsidRDefault="00BE669C" w:rsidP="00CC0925">
            <w:pPr>
              <w:pStyle w:val="NoSpacing"/>
              <w:rPr>
                <w:sz w:val="16"/>
                <w:szCs w:val="16"/>
              </w:rPr>
            </w:pPr>
            <w:r w:rsidRPr="00B7246F">
              <w:rPr>
                <w:sz w:val="16"/>
                <w:szCs w:val="16"/>
              </w:rPr>
              <w:t>Off-types (mutations)</w:t>
            </w:r>
          </w:p>
        </w:tc>
        <w:tc>
          <w:tcPr>
            <w:tcW w:w="782" w:type="dxa"/>
            <w:tcBorders>
              <w:top w:val="single" w:sz="6" w:space="0" w:color="auto"/>
              <w:left w:val="single" w:sz="6" w:space="0" w:color="auto"/>
              <w:bottom w:val="double" w:sz="6" w:space="0" w:color="auto"/>
              <w:right w:val="double" w:sz="6" w:space="0" w:color="auto"/>
            </w:tcBorders>
            <w:vAlign w:val="center"/>
          </w:tcPr>
          <w:p w14:paraId="6A4178BA" w14:textId="77777777" w:rsidR="00BE669C" w:rsidRPr="00B7246F" w:rsidRDefault="00BE669C" w:rsidP="00CC0925">
            <w:pPr>
              <w:pStyle w:val="NoSpacing"/>
              <w:rPr>
                <w:sz w:val="16"/>
                <w:szCs w:val="16"/>
              </w:rPr>
            </w:pPr>
            <w:r w:rsidRPr="00B7246F">
              <w:rPr>
                <w:sz w:val="16"/>
                <w:szCs w:val="16"/>
              </w:rPr>
              <w:t>0.50%</w:t>
            </w:r>
          </w:p>
        </w:tc>
      </w:tr>
    </w:tbl>
    <w:p w14:paraId="289096A0" w14:textId="2591407B" w:rsidR="003F6197" w:rsidRPr="00DD7255" w:rsidRDefault="00BE669C" w:rsidP="003F6197">
      <w:pPr>
        <w:pStyle w:val="RegDoubleIndent"/>
        <w:rPr>
          <w:sz w:val="16"/>
          <w:szCs w:val="16"/>
        </w:rPr>
      </w:pPr>
      <w:r w:rsidRPr="00B7246F">
        <w:rPr>
          <w:sz w:val="16"/>
          <w:szCs w:val="16"/>
        </w:rPr>
        <w:t>*Severe damage shall be reason for rejection of certified status.</w:t>
      </w:r>
    </w:p>
    <w:p w14:paraId="6F3418E7" w14:textId="77777777" w:rsidR="003F6197" w:rsidRDefault="003F6197" w:rsidP="003F6197">
      <w:pPr>
        <w:pStyle w:val="A"/>
        <w:rPr>
          <w:strike/>
        </w:rPr>
      </w:pPr>
      <w:r w:rsidRPr="008D1E1B">
        <w:t>I.</w:t>
      </w:r>
      <w:r w:rsidRPr="008D1E1B">
        <w:tab/>
        <w:t>General Standards for Plants and Seed Roots</w:t>
      </w:r>
    </w:p>
    <w:p w14:paraId="3CAC49D5" w14:textId="77777777" w:rsidR="003F6197" w:rsidRDefault="003F6197" w:rsidP="003F6197">
      <w:pPr>
        <w:pStyle w:val="1"/>
        <w:rPr>
          <w:strike/>
        </w:rPr>
      </w:pPr>
      <w:r w:rsidRPr="008D1E1B">
        <w:t>1.</w:t>
      </w:r>
      <w:r w:rsidRPr="008D1E1B">
        <w:tab/>
        <w:t>Plants and roots shall be apparently free of harmful diseases, injurious insects, and other harmful pests and true to variety characteristics.</w:t>
      </w:r>
    </w:p>
    <w:p w14:paraId="38994A38" w14:textId="77777777" w:rsidR="003F6197" w:rsidRDefault="003F6197" w:rsidP="003F6197">
      <w:pPr>
        <w:pStyle w:val="1"/>
        <w:rPr>
          <w:strike/>
        </w:rPr>
      </w:pPr>
      <w:r w:rsidRPr="008D1E1B">
        <w:t>2.</w:t>
      </w:r>
      <w:r w:rsidRPr="008D1E1B">
        <w:tab/>
        <w:t>All cuttings shall be made at least one inch above the surface of the soil or growing medium.</w:t>
      </w:r>
    </w:p>
    <w:p w14:paraId="6BC11803" w14:textId="77777777" w:rsidR="003F6197" w:rsidRDefault="003F6197" w:rsidP="003F6197">
      <w:pPr>
        <w:pStyle w:val="1"/>
        <w:rPr>
          <w:strike/>
        </w:rPr>
      </w:pPr>
      <w:r w:rsidRPr="008D1E1B">
        <w:t>3.</w:t>
      </w:r>
      <w:r w:rsidRPr="008D1E1B">
        <w:tab/>
        <w:t>Cuttings shall be of satisfactory size for commercial planting, approximately 5”-12” in length.</w:t>
      </w:r>
    </w:p>
    <w:p w14:paraId="69C32AD7" w14:textId="77777777" w:rsidR="003F6197" w:rsidRDefault="003F6197" w:rsidP="003F6197">
      <w:pPr>
        <w:pStyle w:val="1"/>
        <w:rPr>
          <w:strike/>
        </w:rPr>
      </w:pPr>
      <w:r w:rsidRPr="008D1E1B">
        <w:t>4.</w:t>
      </w:r>
      <w:r w:rsidRPr="008D1E1B">
        <w:tab/>
        <w:t>Cuttings shall be loosely packed and shipped in boxes and shall not be shipped with non-certified plants.</w:t>
      </w:r>
    </w:p>
    <w:p w14:paraId="7F4F6EC4" w14:textId="77777777" w:rsidR="003F6197" w:rsidRDefault="003F6197" w:rsidP="003F6197">
      <w:pPr>
        <w:pStyle w:val="1"/>
        <w:rPr>
          <w:strike/>
        </w:rPr>
      </w:pPr>
      <w:r w:rsidRPr="008D1E1B">
        <w:t>5.</w:t>
      </w:r>
      <w:r w:rsidRPr="008D1E1B">
        <w:tab/>
        <w:t>Roots shall be the correct color, fresh, firm, and a minimum of one inch in diameter, four inches in length and 30 ounces maximum weight.</w:t>
      </w:r>
    </w:p>
    <w:p w14:paraId="25594E4A" w14:textId="77777777" w:rsidR="003F6197" w:rsidRDefault="003F6197" w:rsidP="003F6197">
      <w:pPr>
        <w:pStyle w:val="A"/>
        <w:rPr>
          <w:strike/>
        </w:rPr>
      </w:pPr>
      <w:r w:rsidRPr="008D1E1B">
        <w:t>J.</w:t>
      </w:r>
      <w:r w:rsidRPr="008D1E1B">
        <w:tab/>
        <w:t>Tagging and Certificate Reporting System</w:t>
      </w:r>
    </w:p>
    <w:p w14:paraId="6E1D34BD" w14:textId="77777777" w:rsidR="003F6197" w:rsidRDefault="003F6197" w:rsidP="003F6197">
      <w:pPr>
        <w:pStyle w:val="1"/>
        <w:rPr>
          <w:strike/>
        </w:rPr>
      </w:pPr>
      <w:r w:rsidRPr="008D1E1B">
        <w:t>1.</w:t>
      </w:r>
      <w:r w:rsidRPr="008D1E1B">
        <w:tab/>
        <w:t>An official, LDAF issued Bulk Retail Sale Certificate shall accompany each sale of certified sweet potato cuttings/slips. An official, LDAF issued certified tag shall accompany each sale of certified seed roots.</w:t>
      </w:r>
    </w:p>
    <w:p w14:paraId="717D17EA" w14:textId="77777777" w:rsidR="003F6197" w:rsidRDefault="003F6197" w:rsidP="003F6197">
      <w:pPr>
        <w:pStyle w:val="1"/>
        <w:rPr>
          <w:strike/>
        </w:rPr>
      </w:pPr>
      <w:r w:rsidRPr="008D1E1B">
        <w:t>2.</w:t>
      </w:r>
      <w:r w:rsidRPr="008D1E1B">
        <w:tab/>
        <w:t>The grower shall send a copy of each completed Bulk Retail Sales Certificate to LDAF at the end of each quarter (March 31, June 30, September 30, December 31), or upon request by LDAF. Grower shall maintain a copy of each issued certificate for their records.</w:t>
      </w:r>
    </w:p>
    <w:p w14:paraId="670B6384" w14:textId="77777777" w:rsidR="003F6197" w:rsidRPr="002C3F56" w:rsidRDefault="003F6197" w:rsidP="003F6197">
      <w:pPr>
        <w:pStyle w:val="1"/>
      </w:pPr>
      <w:r w:rsidRPr="002C3F56">
        <w:t>3.</w:t>
      </w:r>
      <w:r w:rsidRPr="002C3F56">
        <w:tab/>
        <w:t xml:space="preserve">A complete record of certified sweet potato cuttings/slips and seed roots sales shall be maintained and </w:t>
      </w:r>
      <w:r w:rsidRPr="002C3F56">
        <w:t>made available to LDAF upon request. The record shall include, but not limited to:</w:t>
      </w:r>
    </w:p>
    <w:p w14:paraId="3AF5B45E" w14:textId="77777777" w:rsidR="003F6197" w:rsidRPr="002C3F56" w:rsidRDefault="003F6197" w:rsidP="003F6197">
      <w:pPr>
        <w:pStyle w:val="a0"/>
      </w:pPr>
      <w:r w:rsidRPr="002C3F56">
        <w:t>a.</w:t>
      </w:r>
      <w:r w:rsidRPr="002C3F56">
        <w:tab/>
        <w:t xml:space="preserve">purchaser’s name, </w:t>
      </w:r>
    </w:p>
    <w:p w14:paraId="7F1545D3" w14:textId="77777777" w:rsidR="003F6197" w:rsidRPr="002C3F56" w:rsidRDefault="003F6197" w:rsidP="003F6197">
      <w:pPr>
        <w:pStyle w:val="a0"/>
      </w:pPr>
      <w:r w:rsidRPr="002C3F56">
        <w:t>b.</w:t>
      </w:r>
      <w:r w:rsidRPr="002C3F56">
        <w:tab/>
        <w:t xml:space="preserve">kind and variety/cultivar, </w:t>
      </w:r>
    </w:p>
    <w:p w14:paraId="6E249B06" w14:textId="77777777" w:rsidR="003F6197" w:rsidRPr="002C3F56" w:rsidRDefault="003F6197" w:rsidP="003F6197">
      <w:pPr>
        <w:pStyle w:val="a0"/>
      </w:pPr>
      <w:r w:rsidRPr="002C3F56">
        <w:t>c.</w:t>
      </w:r>
      <w:r w:rsidRPr="002C3F56">
        <w:tab/>
        <w:t xml:space="preserve">class, </w:t>
      </w:r>
    </w:p>
    <w:p w14:paraId="0D5C1A43" w14:textId="77777777" w:rsidR="003F6197" w:rsidRPr="002C3F56" w:rsidRDefault="003F6197" w:rsidP="003F6197">
      <w:pPr>
        <w:pStyle w:val="a0"/>
      </w:pPr>
      <w:r w:rsidRPr="002C3F56">
        <w:t>d.</w:t>
      </w:r>
      <w:r w:rsidRPr="002C3F56">
        <w:tab/>
        <w:t xml:space="preserve">date of shipment; and </w:t>
      </w:r>
    </w:p>
    <w:p w14:paraId="2168312B" w14:textId="77777777" w:rsidR="003F6197" w:rsidRDefault="003F6197" w:rsidP="003F6197">
      <w:pPr>
        <w:pStyle w:val="a0"/>
        <w:rPr>
          <w:strike/>
        </w:rPr>
      </w:pPr>
      <w:r w:rsidRPr="002C3F56">
        <w:t>e.</w:t>
      </w:r>
      <w:r w:rsidRPr="002C3F56">
        <w:tab/>
        <w:t>number of cuttings/slips or bushels shipped.</w:t>
      </w:r>
    </w:p>
    <w:p w14:paraId="3532F445" w14:textId="77777777" w:rsidR="003F6197" w:rsidRDefault="003F6197" w:rsidP="003F6197">
      <w:pPr>
        <w:pStyle w:val="A"/>
        <w:rPr>
          <w:strike/>
        </w:rPr>
      </w:pPr>
      <w:r w:rsidRPr="008D1E1B">
        <w:t>K.</w:t>
      </w:r>
      <w:r w:rsidRPr="008D1E1B">
        <w:tab/>
        <w:t>Quarantine of Certification Area</w:t>
      </w:r>
    </w:p>
    <w:p w14:paraId="7ED1D700" w14:textId="77777777" w:rsidR="003F6197" w:rsidRDefault="003F6197" w:rsidP="003F6197">
      <w:pPr>
        <w:pStyle w:val="1"/>
        <w:rPr>
          <w:strike/>
        </w:rPr>
      </w:pPr>
      <w:r w:rsidRPr="008D1E1B">
        <w:t>1.</w:t>
      </w:r>
      <w:r w:rsidRPr="008D1E1B">
        <w:tab/>
        <w:t>If sweetpotato weevil (</w:t>
      </w:r>
      <w:r w:rsidRPr="008D1E1B">
        <w:rPr>
          <w:i/>
        </w:rPr>
        <w:t>Cylas formicarius</w:t>
      </w:r>
      <w:r w:rsidRPr="008D1E1B">
        <w:rPr>
          <w:iCs/>
        </w:rPr>
        <w:t>)</w:t>
      </w:r>
      <w:r w:rsidRPr="008D1E1B">
        <w:t xml:space="preserve"> is found in any field, greenhouse, storage, packing shed, or other structure or area affiliated with the production of certified sweet potatoes plants or roots, or within 300 yards of any such structure or area, then the entire area and all structures affiliated with the certification process shall be immediately quarantined in accordance with the sweetpotato weevil quarantine regulations found in Subchapter C of Part XV of Title 7 of the Louisiana Administrative Code (LAC 7:XV.133 et seq.).</w:t>
      </w:r>
    </w:p>
    <w:p w14:paraId="53321655" w14:textId="77777777" w:rsidR="003F6197" w:rsidRDefault="003F6197" w:rsidP="003F6197">
      <w:pPr>
        <w:pStyle w:val="1"/>
        <w:rPr>
          <w:strike/>
        </w:rPr>
      </w:pPr>
      <w:r w:rsidRPr="008D1E1B">
        <w:t>2.</w:t>
      </w:r>
      <w:r w:rsidRPr="008D1E1B">
        <w:tab/>
        <w:t>If any plant pest or disease subject to regulation or quarantine under Part II or Part III of Chapter 12 of Title 3 of the Louisiana Revised Statutes of 1950, (R.S. 3:1651 et seq.) that may affect sweet potato production is found in any field, greenhouse, storage or packing shed, other structure, or area affiliated with the production of certified sweet potatoes plants or roots, then the entire area and all structures affiliated with the certification process may be subject to quarantine in accordance with applicable law and regulations.</w:t>
      </w:r>
    </w:p>
    <w:p w14:paraId="438F941E" w14:textId="77777777" w:rsidR="003F6197" w:rsidRDefault="003F6197" w:rsidP="003F6197">
      <w:pPr>
        <w:pStyle w:val="1"/>
        <w:rPr>
          <w:strike/>
        </w:rPr>
      </w:pPr>
      <w:r w:rsidRPr="008D1E1B">
        <w:t>3.</w:t>
      </w:r>
      <w:r w:rsidRPr="008D1E1B">
        <w:tab/>
        <w:t>Any sweet potato plants or roots produced or stored in a field, greenhouse, storage shed, packing shed, or other structure located within an area quarantined as a result of the detection of sweetpotato weevil shall be ineligible for final certification.</w:t>
      </w:r>
    </w:p>
    <w:p w14:paraId="7632298C" w14:textId="77777777" w:rsidR="00CD0355" w:rsidRPr="001531CD" w:rsidRDefault="00CD0355" w:rsidP="003F6197">
      <w:pPr>
        <w:pStyle w:val="AuthorityNote"/>
      </w:pPr>
      <w:r w:rsidRPr="001531CD">
        <w:t>AUTHORITY NOTE:</w:t>
      </w:r>
      <w:r w:rsidRPr="001531CD">
        <w:tab/>
        <w:t xml:space="preserve">Promulgated in accordance with R.S. 3:1433. </w:t>
      </w:r>
    </w:p>
    <w:p w14:paraId="7D70DA37" w14:textId="3EA29485" w:rsidR="00CD0355" w:rsidRPr="001531CD" w:rsidRDefault="00CD0355" w:rsidP="00CD0355">
      <w:pPr>
        <w:pStyle w:val="HistoricalNote"/>
      </w:pPr>
      <w:r w:rsidRPr="001531CD">
        <w:t>HISTORICAL NOTE:</w:t>
      </w:r>
      <w:r w:rsidRPr="001531CD">
        <w:tab/>
        <w:t>Promulgated by the Department of Agriculture, Seed Commission, LR 8:579 (November 1982), amended LR 9:202 (April 1983), amended by the Department of Agriculture and Forestry, Office of Agricultural and Environmental Sciences, Seed Commission, LR 12:825 (December 1986), LR 22:1210 (December 1996), LR 36:1220 (June 2010), repromulgated by the Department of Agriculture and Forestry, Office of Agricultural and Environmental Sciences, Agricultural Chemistry and Seed Commission</w:t>
      </w:r>
      <w:r>
        <w:t>, LR 39:2725 (October 2013), amended LR 40:755 (April 2014)</w:t>
      </w:r>
      <w:r w:rsidRPr="00CC62CC">
        <w:t>, LR 44:1855 (October 2018)</w:t>
      </w:r>
      <w:r w:rsidRPr="00BC776C">
        <w:rPr>
          <w:color w:val="0D0D0D"/>
        </w:rPr>
        <w:t>, LR 45:</w:t>
      </w:r>
      <w:r>
        <w:rPr>
          <w:color w:val="0D0D0D"/>
        </w:rPr>
        <w:t>1168 (September 2019), repromulgated LR 45:1438 (October 2019)</w:t>
      </w:r>
      <w:r w:rsidR="003F6197">
        <w:rPr>
          <w:color w:val="0D0D0D"/>
        </w:rPr>
        <w:t xml:space="preserve">, </w:t>
      </w:r>
      <w:r w:rsidR="003F6197">
        <w:t>amended LR 51:1568 (October 2025)</w:t>
      </w:r>
      <w:r w:rsidR="00805115">
        <w:t xml:space="preserve">, </w:t>
      </w:r>
      <w:r w:rsidR="00805115" w:rsidRPr="00B7246F">
        <w:t>LR 52:347 (March 2026).</w:t>
      </w:r>
    </w:p>
    <w:p w14:paraId="6D7061A5" w14:textId="77777777" w:rsidR="00CD0355" w:rsidRPr="001531CD" w:rsidRDefault="00CD0355" w:rsidP="00CD0355">
      <w:pPr>
        <w:pStyle w:val="Section"/>
      </w:pPr>
      <w:bookmarkStart w:id="1170" w:name="_Toc224818817"/>
      <w:r w:rsidRPr="001531CD">
        <w:t>§757.</w:t>
      </w:r>
      <w:r w:rsidRPr="001531CD">
        <w:tab/>
        <w:t>Small Grain (Oats, Wheat, Rye) Seed Certification Standards</w:t>
      </w:r>
      <w:bookmarkEnd w:id="1170"/>
      <w:r w:rsidRPr="001531CD">
        <w:t xml:space="preserve"> </w:t>
      </w:r>
    </w:p>
    <w:p w14:paraId="0B5EE5EA" w14:textId="77777777" w:rsidR="00CD0355" w:rsidRPr="001531CD" w:rsidRDefault="00CD0355" w:rsidP="00CD0355">
      <w:pPr>
        <w:pStyle w:val="A"/>
      </w:pPr>
      <w:r w:rsidRPr="001531CD">
        <w:t>A.</w:t>
      </w:r>
      <w:r w:rsidRPr="001531CD">
        <w:tab/>
        <w:t>Field Standards</w:t>
      </w:r>
    </w:p>
    <w:tbl>
      <w:tblPr>
        <w:tblW w:w="502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498"/>
        <w:gridCol w:w="722"/>
        <w:gridCol w:w="1000"/>
        <w:gridCol w:w="900"/>
        <w:gridCol w:w="902"/>
      </w:tblGrid>
      <w:tr w:rsidR="00CD0355" w:rsidRPr="001531CD" w14:paraId="06E1DA3E" w14:textId="77777777" w:rsidTr="00CD0355">
        <w:trPr>
          <w:cantSplit/>
          <w:jc w:val="center"/>
        </w:trPr>
        <w:tc>
          <w:tcPr>
            <w:tcW w:w="1527" w:type="dxa"/>
            <w:tcBorders>
              <w:top w:val="double" w:sz="6" w:space="0" w:color="000000"/>
              <w:bottom w:val="single" w:sz="6" w:space="0" w:color="000000"/>
            </w:tcBorders>
            <w:shd w:val="clear" w:color="auto" w:fill="BFBFBF"/>
            <w:vAlign w:val="bottom"/>
          </w:tcPr>
          <w:p w14:paraId="52A6F5EF" w14:textId="77777777" w:rsidR="00CD0355" w:rsidRPr="001531CD" w:rsidRDefault="00CD0355" w:rsidP="00CD0355">
            <w:pPr>
              <w:tabs>
                <w:tab w:val="left" w:pos="180"/>
                <w:tab w:val="left" w:pos="360"/>
              </w:tabs>
              <w:ind w:left="-45" w:right="-84"/>
              <w:jc w:val="center"/>
              <w:rPr>
                <w:b/>
                <w:sz w:val="16"/>
                <w:szCs w:val="16"/>
              </w:rPr>
            </w:pPr>
            <w:r w:rsidRPr="001531CD">
              <w:rPr>
                <w:b/>
                <w:bCs/>
                <w:sz w:val="16"/>
                <w:szCs w:val="16"/>
              </w:rPr>
              <w:t>Factor</w:t>
            </w:r>
          </w:p>
        </w:tc>
        <w:tc>
          <w:tcPr>
            <w:tcW w:w="722" w:type="dxa"/>
            <w:tcBorders>
              <w:top w:val="double" w:sz="6" w:space="0" w:color="000000"/>
              <w:bottom w:val="single" w:sz="6" w:space="0" w:color="000000"/>
            </w:tcBorders>
            <w:shd w:val="clear" w:color="auto" w:fill="BFBFBF"/>
            <w:vAlign w:val="bottom"/>
          </w:tcPr>
          <w:p w14:paraId="6A35A6F1" w14:textId="77777777" w:rsidR="00CD0355" w:rsidRPr="001531CD" w:rsidRDefault="00CD0355" w:rsidP="00CD0355">
            <w:pPr>
              <w:tabs>
                <w:tab w:val="left" w:pos="180"/>
                <w:tab w:val="left" w:pos="360"/>
              </w:tabs>
              <w:ind w:left="-45"/>
              <w:jc w:val="center"/>
              <w:rPr>
                <w:b/>
                <w:bCs/>
                <w:sz w:val="16"/>
                <w:szCs w:val="16"/>
              </w:rPr>
            </w:pPr>
            <w:r w:rsidRPr="001531CD">
              <w:rPr>
                <w:b/>
                <w:bCs/>
                <w:sz w:val="16"/>
                <w:szCs w:val="16"/>
              </w:rPr>
              <w:t>Breeder</w:t>
            </w:r>
          </w:p>
        </w:tc>
        <w:tc>
          <w:tcPr>
            <w:tcW w:w="1002" w:type="dxa"/>
            <w:tcBorders>
              <w:top w:val="double" w:sz="6" w:space="0" w:color="000000"/>
              <w:bottom w:val="single" w:sz="6" w:space="0" w:color="000000"/>
            </w:tcBorders>
            <w:shd w:val="clear" w:color="auto" w:fill="BFBFBF"/>
            <w:vAlign w:val="bottom"/>
          </w:tcPr>
          <w:p w14:paraId="27525294" w14:textId="77777777" w:rsidR="00CD0355" w:rsidRPr="001531CD" w:rsidRDefault="00CD0355" w:rsidP="00CD0355">
            <w:pPr>
              <w:tabs>
                <w:tab w:val="left" w:pos="180"/>
                <w:tab w:val="left" w:pos="360"/>
              </w:tabs>
              <w:ind w:left="-45" w:right="-74"/>
              <w:jc w:val="center"/>
              <w:rPr>
                <w:b/>
                <w:bCs/>
                <w:sz w:val="16"/>
                <w:szCs w:val="16"/>
              </w:rPr>
            </w:pPr>
            <w:r w:rsidRPr="001531CD">
              <w:rPr>
                <w:b/>
                <w:bCs/>
                <w:sz w:val="16"/>
                <w:szCs w:val="16"/>
              </w:rPr>
              <w:t>Foundation</w:t>
            </w:r>
          </w:p>
        </w:tc>
        <w:tc>
          <w:tcPr>
            <w:tcW w:w="862" w:type="dxa"/>
            <w:tcBorders>
              <w:top w:val="double" w:sz="6" w:space="0" w:color="000000"/>
              <w:bottom w:val="single" w:sz="6" w:space="0" w:color="000000"/>
            </w:tcBorders>
            <w:shd w:val="clear" w:color="auto" w:fill="BFBFBF"/>
            <w:vAlign w:val="bottom"/>
          </w:tcPr>
          <w:p w14:paraId="1C36C83E" w14:textId="77777777" w:rsidR="00CD0355" w:rsidRPr="001531CD" w:rsidRDefault="00CD0355" w:rsidP="00CD0355">
            <w:pPr>
              <w:tabs>
                <w:tab w:val="left" w:pos="180"/>
                <w:tab w:val="left" w:pos="360"/>
              </w:tabs>
              <w:ind w:left="-45"/>
              <w:jc w:val="center"/>
              <w:rPr>
                <w:b/>
                <w:bCs/>
                <w:sz w:val="16"/>
                <w:szCs w:val="16"/>
              </w:rPr>
            </w:pPr>
            <w:r w:rsidRPr="001531CD">
              <w:rPr>
                <w:b/>
                <w:bCs/>
                <w:sz w:val="16"/>
                <w:szCs w:val="16"/>
              </w:rPr>
              <w:t>Registered</w:t>
            </w:r>
          </w:p>
        </w:tc>
        <w:tc>
          <w:tcPr>
            <w:tcW w:w="909" w:type="dxa"/>
            <w:tcBorders>
              <w:top w:val="double" w:sz="6" w:space="0" w:color="000000"/>
              <w:bottom w:val="single" w:sz="6" w:space="0" w:color="000000"/>
            </w:tcBorders>
            <w:shd w:val="clear" w:color="auto" w:fill="BFBFBF"/>
            <w:vAlign w:val="bottom"/>
          </w:tcPr>
          <w:p w14:paraId="7CACA925" w14:textId="77777777" w:rsidR="00CD0355" w:rsidRPr="001531CD" w:rsidRDefault="00CD0355" w:rsidP="00CD0355">
            <w:pPr>
              <w:tabs>
                <w:tab w:val="left" w:pos="180"/>
                <w:tab w:val="left" w:pos="360"/>
              </w:tabs>
              <w:ind w:left="-45"/>
              <w:jc w:val="center"/>
              <w:rPr>
                <w:b/>
                <w:bCs/>
                <w:sz w:val="16"/>
                <w:szCs w:val="16"/>
              </w:rPr>
            </w:pPr>
            <w:r w:rsidRPr="001531CD">
              <w:rPr>
                <w:b/>
                <w:bCs/>
                <w:sz w:val="16"/>
                <w:szCs w:val="16"/>
              </w:rPr>
              <w:t>Certified</w:t>
            </w:r>
          </w:p>
        </w:tc>
      </w:tr>
      <w:tr w:rsidR="00CD0355" w:rsidRPr="001531CD" w14:paraId="2BE62A2D" w14:textId="77777777" w:rsidTr="00CD0355">
        <w:trPr>
          <w:cantSplit/>
          <w:jc w:val="center"/>
        </w:trPr>
        <w:tc>
          <w:tcPr>
            <w:tcW w:w="1527" w:type="dxa"/>
            <w:tcBorders>
              <w:top w:val="single" w:sz="6" w:space="0" w:color="000000"/>
            </w:tcBorders>
            <w:vAlign w:val="bottom"/>
          </w:tcPr>
          <w:p w14:paraId="217E4249" w14:textId="77777777" w:rsidR="00CD0355" w:rsidRPr="001531CD" w:rsidRDefault="00CD0355" w:rsidP="00CD0355">
            <w:pPr>
              <w:tabs>
                <w:tab w:val="left" w:pos="180"/>
                <w:tab w:val="left" w:pos="360"/>
              </w:tabs>
              <w:rPr>
                <w:sz w:val="16"/>
                <w:szCs w:val="16"/>
              </w:rPr>
            </w:pPr>
            <w:r w:rsidRPr="001531CD">
              <w:rPr>
                <w:sz w:val="16"/>
                <w:szCs w:val="16"/>
              </w:rPr>
              <w:t>Land Requirement</w:t>
            </w:r>
          </w:p>
        </w:tc>
        <w:tc>
          <w:tcPr>
            <w:tcW w:w="722" w:type="dxa"/>
            <w:tcBorders>
              <w:top w:val="single" w:sz="6" w:space="0" w:color="000000"/>
            </w:tcBorders>
            <w:vAlign w:val="bottom"/>
          </w:tcPr>
          <w:p w14:paraId="03C1A21F"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002" w:type="dxa"/>
            <w:tcBorders>
              <w:top w:val="single" w:sz="6" w:space="0" w:color="000000"/>
            </w:tcBorders>
            <w:vAlign w:val="bottom"/>
          </w:tcPr>
          <w:p w14:paraId="36752A32"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862" w:type="dxa"/>
            <w:tcBorders>
              <w:top w:val="single" w:sz="6" w:space="0" w:color="000000"/>
            </w:tcBorders>
            <w:vAlign w:val="bottom"/>
          </w:tcPr>
          <w:p w14:paraId="47E09D13"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909" w:type="dxa"/>
            <w:tcBorders>
              <w:top w:val="single" w:sz="6" w:space="0" w:color="000000"/>
            </w:tcBorders>
            <w:vAlign w:val="bottom"/>
          </w:tcPr>
          <w:p w14:paraId="0EF6C4BC"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14:paraId="347644C4" w14:textId="77777777" w:rsidTr="00CD0355">
        <w:trPr>
          <w:cantSplit/>
          <w:jc w:val="center"/>
        </w:trPr>
        <w:tc>
          <w:tcPr>
            <w:tcW w:w="1527" w:type="dxa"/>
            <w:vAlign w:val="bottom"/>
          </w:tcPr>
          <w:p w14:paraId="37ECDDEF" w14:textId="77777777" w:rsidR="00CD0355" w:rsidRPr="001531CD" w:rsidRDefault="00CD0355" w:rsidP="00CD0355">
            <w:pPr>
              <w:tabs>
                <w:tab w:val="left" w:pos="180"/>
                <w:tab w:val="left" w:pos="360"/>
              </w:tabs>
              <w:rPr>
                <w:sz w:val="16"/>
                <w:szCs w:val="16"/>
              </w:rPr>
            </w:pPr>
            <w:r w:rsidRPr="001531CD">
              <w:rPr>
                <w:sz w:val="16"/>
                <w:szCs w:val="16"/>
              </w:rPr>
              <w:t>Isolation</w:t>
            </w:r>
          </w:p>
        </w:tc>
        <w:tc>
          <w:tcPr>
            <w:tcW w:w="722" w:type="dxa"/>
            <w:vAlign w:val="bottom"/>
          </w:tcPr>
          <w:p w14:paraId="150AEEA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14:paraId="5F71FB18" w14:textId="77777777" w:rsidR="00CD0355" w:rsidRPr="001531CD" w:rsidRDefault="00CD0355" w:rsidP="00CD0355">
            <w:pPr>
              <w:tabs>
                <w:tab w:val="left" w:pos="180"/>
                <w:tab w:val="left" w:pos="360"/>
              </w:tabs>
              <w:jc w:val="center"/>
              <w:rPr>
                <w:sz w:val="16"/>
                <w:szCs w:val="16"/>
              </w:rPr>
            </w:pPr>
            <w:r w:rsidRPr="001531CD">
              <w:rPr>
                <w:sz w:val="16"/>
                <w:szCs w:val="16"/>
              </w:rPr>
              <w:t>10 ft.</w:t>
            </w:r>
          </w:p>
        </w:tc>
        <w:tc>
          <w:tcPr>
            <w:tcW w:w="862" w:type="dxa"/>
            <w:vAlign w:val="bottom"/>
          </w:tcPr>
          <w:p w14:paraId="32BAA8AD" w14:textId="77777777" w:rsidR="00CD0355" w:rsidRPr="001531CD" w:rsidRDefault="00CD0355" w:rsidP="00CD0355">
            <w:pPr>
              <w:tabs>
                <w:tab w:val="left" w:pos="180"/>
                <w:tab w:val="left" w:pos="360"/>
              </w:tabs>
              <w:jc w:val="center"/>
              <w:rPr>
                <w:sz w:val="16"/>
                <w:szCs w:val="16"/>
              </w:rPr>
            </w:pPr>
            <w:r w:rsidRPr="001531CD">
              <w:rPr>
                <w:sz w:val="16"/>
                <w:szCs w:val="16"/>
              </w:rPr>
              <w:t>10 ft.</w:t>
            </w:r>
          </w:p>
        </w:tc>
        <w:tc>
          <w:tcPr>
            <w:tcW w:w="909" w:type="dxa"/>
            <w:vAlign w:val="bottom"/>
          </w:tcPr>
          <w:p w14:paraId="3DE5D056" w14:textId="77777777" w:rsidR="00CD0355" w:rsidRPr="001531CD" w:rsidRDefault="00CD0355" w:rsidP="00CD0355">
            <w:pPr>
              <w:tabs>
                <w:tab w:val="left" w:pos="180"/>
                <w:tab w:val="left" w:pos="360"/>
              </w:tabs>
              <w:jc w:val="center"/>
              <w:rPr>
                <w:sz w:val="16"/>
                <w:szCs w:val="16"/>
              </w:rPr>
            </w:pPr>
            <w:r w:rsidRPr="001531CD">
              <w:rPr>
                <w:sz w:val="16"/>
                <w:szCs w:val="16"/>
              </w:rPr>
              <w:t>10 ft.</w:t>
            </w:r>
          </w:p>
        </w:tc>
      </w:tr>
      <w:tr w:rsidR="00CD0355" w:rsidRPr="001531CD" w14:paraId="4231B80B" w14:textId="77777777" w:rsidTr="00CD0355">
        <w:trPr>
          <w:cantSplit/>
          <w:jc w:val="center"/>
        </w:trPr>
        <w:tc>
          <w:tcPr>
            <w:tcW w:w="1527" w:type="dxa"/>
            <w:vAlign w:val="bottom"/>
          </w:tcPr>
          <w:p w14:paraId="3838DEA8" w14:textId="77777777" w:rsidR="00CD0355" w:rsidRPr="001531CD" w:rsidRDefault="00CD0355" w:rsidP="00CD0355">
            <w:pPr>
              <w:tabs>
                <w:tab w:val="left" w:pos="180"/>
                <w:tab w:val="left" w:pos="360"/>
              </w:tabs>
              <w:rPr>
                <w:sz w:val="16"/>
                <w:szCs w:val="16"/>
              </w:rPr>
            </w:pPr>
            <w:r w:rsidRPr="001531CD">
              <w:rPr>
                <w:sz w:val="16"/>
                <w:szCs w:val="16"/>
              </w:rPr>
              <w:t>Rye</w:t>
            </w:r>
          </w:p>
        </w:tc>
        <w:tc>
          <w:tcPr>
            <w:tcW w:w="722" w:type="dxa"/>
            <w:vAlign w:val="bottom"/>
          </w:tcPr>
          <w:p w14:paraId="78C2A97F" w14:textId="77777777" w:rsidR="00CD0355" w:rsidRPr="001531CD" w:rsidRDefault="00CD0355" w:rsidP="00CD0355">
            <w:pPr>
              <w:tabs>
                <w:tab w:val="left" w:pos="180"/>
                <w:tab w:val="left" w:pos="360"/>
              </w:tabs>
              <w:jc w:val="center"/>
              <w:rPr>
                <w:sz w:val="16"/>
                <w:szCs w:val="16"/>
              </w:rPr>
            </w:pPr>
            <w:r w:rsidRPr="001531CD">
              <w:rPr>
                <w:sz w:val="16"/>
                <w:szCs w:val="16"/>
              </w:rPr>
              <w:t>660 ft.</w:t>
            </w:r>
          </w:p>
        </w:tc>
        <w:tc>
          <w:tcPr>
            <w:tcW w:w="1002" w:type="dxa"/>
            <w:vAlign w:val="bottom"/>
          </w:tcPr>
          <w:p w14:paraId="5EED5E80" w14:textId="77777777" w:rsidR="00CD0355" w:rsidRPr="001531CD" w:rsidRDefault="00CD0355" w:rsidP="00CD0355">
            <w:pPr>
              <w:tabs>
                <w:tab w:val="left" w:pos="180"/>
                <w:tab w:val="left" w:pos="360"/>
              </w:tabs>
              <w:jc w:val="center"/>
              <w:rPr>
                <w:sz w:val="16"/>
                <w:szCs w:val="16"/>
              </w:rPr>
            </w:pPr>
            <w:r w:rsidRPr="001531CD">
              <w:rPr>
                <w:sz w:val="16"/>
                <w:szCs w:val="16"/>
              </w:rPr>
              <w:t>660 ft.</w:t>
            </w:r>
          </w:p>
        </w:tc>
        <w:tc>
          <w:tcPr>
            <w:tcW w:w="862" w:type="dxa"/>
            <w:vAlign w:val="bottom"/>
          </w:tcPr>
          <w:p w14:paraId="534F4DF5" w14:textId="77777777" w:rsidR="00CD0355" w:rsidRPr="001531CD" w:rsidRDefault="00CD0355" w:rsidP="00CD0355">
            <w:pPr>
              <w:tabs>
                <w:tab w:val="left" w:pos="180"/>
                <w:tab w:val="left" w:pos="360"/>
              </w:tabs>
              <w:jc w:val="center"/>
              <w:rPr>
                <w:sz w:val="16"/>
                <w:szCs w:val="16"/>
              </w:rPr>
            </w:pPr>
            <w:r w:rsidRPr="001531CD">
              <w:rPr>
                <w:sz w:val="16"/>
                <w:szCs w:val="16"/>
              </w:rPr>
              <w:t>660 ft.</w:t>
            </w:r>
          </w:p>
        </w:tc>
        <w:tc>
          <w:tcPr>
            <w:tcW w:w="909" w:type="dxa"/>
            <w:vAlign w:val="bottom"/>
          </w:tcPr>
          <w:p w14:paraId="246E9AB4" w14:textId="77777777" w:rsidR="00CD0355" w:rsidRPr="001531CD" w:rsidRDefault="00CD0355" w:rsidP="00CD0355">
            <w:pPr>
              <w:tabs>
                <w:tab w:val="left" w:pos="180"/>
                <w:tab w:val="left" w:pos="360"/>
              </w:tabs>
              <w:jc w:val="center"/>
              <w:rPr>
                <w:sz w:val="16"/>
                <w:szCs w:val="16"/>
              </w:rPr>
            </w:pPr>
            <w:r w:rsidRPr="001531CD">
              <w:rPr>
                <w:sz w:val="16"/>
                <w:szCs w:val="16"/>
              </w:rPr>
              <w:t>660 ft.</w:t>
            </w:r>
          </w:p>
        </w:tc>
      </w:tr>
      <w:tr w:rsidR="00CD0355" w:rsidRPr="001531CD" w14:paraId="70521FF8" w14:textId="77777777" w:rsidTr="00CD0355">
        <w:trPr>
          <w:cantSplit/>
          <w:jc w:val="center"/>
        </w:trPr>
        <w:tc>
          <w:tcPr>
            <w:tcW w:w="1527" w:type="dxa"/>
            <w:vAlign w:val="bottom"/>
          </w:tcPr>
          <w:p w14:paraId="086E50DF"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722" w:type="dxa"/>
            <w:vAlign w:val="bottom"/>
          </w:tcPr>
          <w:p w14:paraId="0B212A7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14:paraId="12660A1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62" w:type="dxa"/>
            <w:vAlign w:val="bottom"/>
          </w:tcPr>
          <w:p w14:paraId="6F9CFFEC" w14:textId="77777777" w:rsidR="00CD0355" w:rsidRPr="001531CD" w:rsidRDefault="00CD0355" w:rsidP="00CD0355">
            <w:pPr>
              <w:tabs>
                <w:tab w:val="left" w:pos="180"/>
                <w:tab w:val="left" w:pos="360"/>
              </w:tabs>
              <w:jc w:val="center"/>
              <w:rPr>
                <w:sz w:val="16"/>
                <w:szCs w:val="16"/>
              </w:rPr>
            </w:pPr>
            <w:r w:rsidRPr="001531CD">
              <w:rPr>
                <w:sz w:val="16"/>
                <w:szCs w:val="16"/>
              </w:rPr>
              <w:t>10 Plants per Acre</w:t>
            </w:r>
          </w:p>
        </w:tc>
        <w:tc>
          <w:tcPr>
            <w:tcW w:w="909" w:type="dxa"/>
            <w:vAlign w:val="bottom"/>
          </w:tcPr>
          <w:p w14:paraId="7512E117" w14:textId="77777777" w:rsidR="00CD0355" w:rsidRPr="001531CD" w:rsidRDefault="00CD0355" w:rsidP="00CD0355">
            <w:pPr>
              <w:tabs>
                <w:tab w:val="left" w:pos="180"/>
                <w:tab w:val="left" w:pos="360"/>
              </w:tabs>
              <w:jc w:val="center"/>
              <w:rPr>
                <w:sz w:val="16"/>
                <w:szCs w:val="16"/>
              </w:rPr>
            </w:pPr>
            <w:r w:rsidRPr="001531CD">
              <w:rPr>
                <w:sz w:val="16"/>
                <w:szCs w:val="16"/>
              </w:rPr>
              <w:t>30 Plants per Acre</w:t>
            </w:r>
          </w:p>
        </w:tc>
      </w:tr>
      <w:tr w:rsidR="00CD0355" w:rsidRPr="001531CD" w14:paraId="61F3D75B" w14:textId="77777777" w:rsidTr="00CD0355">
        <w:trPr>
          <w:cantSplit/>
          <w:jc w:val="center"/>
        </w:trPr>
        <w:tc>
          <w:tcPr>
            <w:tcW w:w="1527" w:type="dxa"/>
            <w:vAlign w:val="bottom"/>
          </w:tcPr>
          <w:p w14:paraId="19A16D99"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722" w:type="dxa"/>
            <w:vAlign w:val="bottom"/>
          </w:tcPr>
          <w:p w14:paraId="60F64DD6"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14:paraId="641500FA"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62" w:type="dxa"/>
            <w:vAlign w:val="bottom"/>
          </w:tcPr>
          <w:p w14:paraId="14D368CA" w14:textId="77777777" w:rsidR="00CD0355" w:rsidRPr="001531CD" w:rsidRDefault="00CD0355" w:rsidP="00CD0355">
            <w:pPr>
              <w:tabs>
                <w:tab w:val="left" w:pos="180"/>
                <w:tab w:val="left" w:pos="360"/>
              </w:tabs>
              <w:jc w:val="center"/>
              <w:rPr>
                <w:sz w:val="16"/>
                <w:szCs w:val="16"/>
              </w:rPr>
            </w:pPr>
            <w:r w:rsidRPr="001531CD">
              <w:rPr>
                <w:sz w:val="16"/>
                <w:szCs w:val="16"/>
              </w:rPr>
              <w:t>10 Plants per Acre</w:t>
            </w:r>
          </w:p>
        </w:tc>
        <w:tc>
          <w:tcPr>
            <w:tcW w:w="909" w:type="dxa"/>
            <w:vAlign w:val="bottom"/>
          </w:tcPr>
          <w:p w14:paraId="0D67CB6D" w14:textId="77777777" w:rsidR="00CD0355" w:rsidRPr="001531CD" w:rsidRDefault="00CD0355" w:rsidP="00CD0355">
            <w:pPr>
              <w:tabs>
                <w:tab w:val="left" w:pos="180"/>
                <w:tab w:val="left" w:pos="360"/>
              </w:tabs>
              <w:jc w:val="center"/>
              <w:rPr>
                <w:sz w:val="16"/>
                <w:szCs w:val="16"/>
              </w:rPr>
            </w:pPr>
            <w:r w:rsidRPr="001531CD">
              <w:rPr>
                <w:sz w:val="16"/>
                <w:szCs w:val="16"/>
              </w:rPr>
              <w:t>30 Plants per Acre</w:t>
            </w:r>
          </w:p>
        </w:tc>
      </w:tr>
      <w:tr w:rsidR="00CD0355" w:rsidRPr="001531CD" w14:paraId="7999219B" w14:textId="77777777" w:rsidTr="00CD0355">
        <w:trPr>
          <w:cantSplit/>
          <w:jc w:val="center"/>
        </w:trPr>
        <w:tc>
          <w:tcPr>
            <w:tcW w:w="1527" w:type="dxa"/>
            <w:tcBorders>
              <w:bottom w:val="double" w:sz="6" w:space="0" w:color="000000"/>
            </w:tcBorders>
            <w:vAlign w:val="bottom"/>
          </w:tcPr>
          <w:p w14:paraId="6299B831" w14:textId="77777777" w:rsidR="00CD0355" w:rsidRPr="001531CD" w:rsidRDefault="00CD0355" w:rsidP="00CD0355">
            <w:pPr>
              <w:tabs>
                <w:tab w:val="left" w:pos="180"/>
                <w:tab w:val="left" w:pos="360"/>
              </w:tabs>
              <w:rPr>
                <w:sz w:val="16"/>
                <w:szCs w:val="16"/>
              </w:rPr>
            </w:pPr>
            <w:r w:rsidRPr="001531CD">
              <w:rPr>
                <w:sz w:val="16"/>
                <w:szCs w:val="16"/>
              </w:rPr>
              <w:lastRenderedPageBreak/>
              <w:t>Diseases:</w:t>
            </w:r>
            <w:r w:rsidRPr="001531CD">
              <w:rPr>
                <w:sz w:val="16"/>
                <w:szCs w:val="16"/>
              </w:rPr>
              <w:br/>
              <w:t>Loose Smut</w:t>
            </w:r>
          </w:p>
        </w:tc>
        <w:tc>
          <w:tcPr>
            <w:tcW w:w="722" w:type="dxa"/>
            <w:tcBorders>
              <w:bottom w:val="double" w:sz="6" w:space="0" w:color="000000"/>
            </w:tcBorders>
            <w:vAlign w:val="bottom"/>
          </w:tcPr>
          <w:p w14:paraId="3E3C0C7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tcBorders>
              <w:bottom w:val="double" w:sz="6" w:space="0" w:color="000000"/>
            </w:tcBorders>
            <w:vAlign w:val="bottom"/>
          </w:tcPr>
          <w:p w14:paraId="20B7E556"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862" w:type="dxa"/>
            <w:tcBorders>
              <w:bottom w:val="double" w:sz="6" w:space="0" w:color="000000"/>
            </w:tcBorders>
            <w:vAlign w:val="bottom"/>
          </w:tcPr>
          <w:p w14:paraId="49E5EA7C"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909" w:type="dxa"/>
            <w:tcBorders>
              <w:bottom w:val="double" w:sz="6" w:space="0" w:color="000000"/>
            </w:tcBorders>
            <w:vAlign w:val="bottom"/>
          </w:tcPr>
          <w:p w14:paraId="14617383"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bl>
    <w:p w14:paraId="02AB4048" w14:textId="77777777" w:rsidR="00CD0355" w:rsidRPr="001531CD" w:rsidRDefault="00CD0355" w:rsidP="00CD0355">
      <w:pPr>
        <w:pStyle w:val="A"/>
        <w:spacing w:after="0"/>
      </w:pPr>
    </w:p>
    <w:p w14:paraId="7ECDBF21" w14:textId="77777777" w:rsidR="00CD0355" w:rsidRPr="001531CD" w:rsidRDefault="00CD0355" w:rsidP="00CD0355">
      <w:pPr>
        <w:pStyle w:val="A"/>
      </w:pPr>
      <w:r w:rsidRPr="001531CD">
        <w:t>B.</w:t>
      </w:r>
      <w:r w:rsidRPr="001531CD">
        <w:tab/>
        <w:t>Seed Standards</w:t>
      </w:r>
    </w:p>
    <w:tbl>
      <w:tblPr>
        <w:tblW w:w="503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95"/>
        <w:gridCol w:w="767"/>
        <w:gridCol w:w="989"/>
        <w:gridCol w:w="945"/>
        <w:gridCol w:w="939"/>
      </w:tblGrid>
      <w:tr w:rsidR="00CD0355" w:rsidRPr="001531CD" w14:paraId="6C4A4DCE" w14:textId="77777777" w:rsidTr="00CD0355">
        <w:trPr>
          <w:cantSplit/>
          <w:jc w:val="center"/>
        </w:trPr>
        <w:tc>
          <w:tcPr>
            <w:tcW w:w="1420" w:type="dxa"/>
            <w:tcBorders>
              <w:top w:val="double" w:sz="6" w:space="0" w:color="000000"/>
              <w:bottom w:val="single" w:sz="6" w:space="0" w:color="000000"/>
            </w:tcBorders>
            <w:shd w:val="clear" w:color="auto" w:fill="BFBFBF"/>
          </w:tcPr>
          <w:p w14:paraId="362A3EF1"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726" w:type="dxa"/>
            <w:tcBorders>
              <w:top w:val="double" w:sz="6" w:space="0" w:color="000000"/>
              <w:bottom w:val="single" w:sz="6" w:space="0" w:color="000000"/>
            </w:tcBorders>
            <w:shd w:val="clear" w:color="auto" w:fill="BFBFBF"/>
            <w:vAlign w:val="center"/>
          </w:tcPr>
          <w:p w14:paraId="0DBD67F7" w14:textId="77777777"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96" w:type="dxa"/>
            <w:tcBorders>
              <w:top w:val="double" w:sz="6" w:space="0" w:color="000000"/>
              <w:bottom w:val="single" w:sz="6" w:space="0" w:color="000000"/>
            </w:tcBorders>
            <w:shd w:val="clear" w:color="auto" w:fill="BFBFBF"/>
            <w:vAlign w:val="center"/>
          </w:tcPr>
          <w:p w14:paraId="364A1BFD" w14:textId="77777777" w:rsidR="00CD0355" w:rsidRPr="001531CD" w:rsidRDefault="00CD0355" w:rsidP="00CD0355">
            <w:pPr>
              <w:tabs>
                <w:tab w:val="left" w:pos="180"/>
                <w:tab w:val="left" w:pos="360"/>
              </w:tabs>
              <w:ind w:left="-111" w:right="-93"/>
              <w:jc w:val="center"/>
              <w:rPr>
                <w:b/>
                <w:bCs/>
                <w:sz w:val="16"/>
                <w:szCs w:val="16"/>
              </w:rPr>
            </w:pPr>
            <w:r w:rsidRPr="001531CD">
              <w:rPr>
                <w:b/>
                <w:bCs/>
                <w:sz w:val="16"/>
                <w:szCs w:val="16"/>
              </w:rPr>
              <w:t>Foundation</w:t>
            </w:r>
          </w:p>
        </w:tc>
        <w:tc>
          <w:tcPr>
            <w:tcW w:w="945" w:type="dxa"/>
            <w:tcBorders>
              <w:top w:val="double" w:sz="6" w:space="0" w:color="000000"/>
              <w:bottom w:val="single" w:sz="6" w:space="0" w:color="000000"/>
            </w:tcBorders>
            <w:shd w:val="clear" w:color="auto" w:fill="BFBFBF"/>
            <w:vAlign w:val="center"/>
          </w:tcPr>
          <w:p w14:paraId="542087A9"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48" w:type="dxa"/>
            <w:tcBorders>
              <w:top w:val="double" w:sz="6" w:space="0" w:color="000000"/>
              <w:bottom w:val="single" w:sz="6" w:space="0" w:color="000000"/>
            </w:tcBorders>
            <w:shd w:val="clear" w:color="auto" w:fill="BFBFBF"/>
            <w:vAlign w:val="center"/>
          </w:tcPr>
          <w:p w14:paraId="7F01348F"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53B79F93" w14:textId="77777777" w:rsidTr="00CD0355">
        <w:trPr>
          <w:cantSplit/>
          <w:jc w:val="center"/>
        </w:trPr>
        <w:tc>
          <w:tcPr>
            <w:tcW w:w="1420" w:type="dxa"/>
            <w:tcBorders>
              <w:top w:val="single" w:sz="6" w:space="0" w:color="000000"/>
            </w:tcBorders>
            <w:vAlign w:val="bottom"/>
          </w:tcPr>
          <w:p w14:paraId="7997BB6A"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726" w:type="dxa"/>
            <w:tcBorders>
              <w:top w:val="single" w:sz="6" w:space="0" w:color="000000"/>
            </w:tcBorders>
            <w:vAlign w:val="bottom"/>
          </w:tcPr>
          <w:p w14:paraId="4CFDBAC8"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996" w:type="dxa"/>
            <w:tcBorders>
              <w:top w:val="single" w:sz="6" w:space="0" w:color="000000"/>
            </w:tcBorders>
            <w:vAlign w:val="bottom"/>
          </w:tcPr>
          <w:p w14:paraId="3CF36C70"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945" w:type="dxa"/>
            <w:tcBorders>
              <w:top w:val="single" w:sz="6" w:space="0" w:color="000000"/>
            </w:tcBorders>
            <w:vAlign w:val="bottom"/>
          </w:tcPr>
          <w:p w14:paraId="6193E019"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948" w:type="dxa"/>
            <w:tcBorders>
              <w:top w:val="single" w:sz="6" w:space="0" w:color="000000"/>
            </w:tcBorders>
            <w:vAlign w:val="bottom"/>
          </w:tcPr>
          <w:p w14:paraId="01091001" w14:textId="77777777" w:rsidR="00CD0355" w:rsidRPr="001531CD" w:rsidRDefault="00CD0355" w:rsidP="00CD0355">
            <w:pPr>
              <w:tabs>
                <w:tab w:val="left" w:pos="180"/>
                <w:tab w:val="left" w:pos="360"/>
              </w:tabs>
              <w:jc w:val="center"/>
              <w:rPr>
                <w:sz w:val="16"/>
                <w:szCs w:val="16"/>
              </w:rPr>
            </w:pPr>
            <w:r w:rsidRPr="001531CD">
              <w:rPr>
                <w:sz w:val="16"/>
                <w:szCs w:val="16"/>
              </w:rPr>
              <w:t>97.00%</w:t>
            </w:r>
          </w:p>
        </w:tc>
      </w:tr>
      <w:tr w:rsidR="00CD0355" w:rsidRPr="001531CD" w14:paraId="3B7A308A" w14:textId="77777777" w:rsidTr="00CD0355">
        <w:trPr>
          <w:cantSplit/>
          <w:jc w:val="center"/>
        </w:trPr>
        <w:tc>
          <w:tcPr>
            <w:tcW w:w="1420" w:type="dxa"/>
            <w:vAlign w:val="bottom"/>
          </w:tcPr>
          <w:p w14:paraId="4671A07F"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726" w:type="dxa"/>
            <w:vAlign w:val="bottom"/>
          </w:tcPr>
          <w:p w14:paraId="10270221"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96" w:type="dxa"/>
            <w:vAlign w:val="bottom"/>
          </w:tcPr>
          <w:p w14:paraId="4389653C"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45" w:type="dxa"/>
            <w:vAlign w:val="bottom"/>
          </w:tcPr>
          <w:p w14:paraId="08FD7FF3"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48" w:type="dxa"/>
            <w:vAlign w:val="bottom"/>
          </w:tcPr>
          <w:p w14:paraId="002235E5" w14:textId="77777777" w:rsidR="00CD0355" w:rsidRPr="001531CD" w:rsidRDefault="00CD0355" w:rsidP="00CD0355">
            <w:pPr>
              <w:tabs>
                <w:tab w:val="left" w:pos="180"/>
                <w:tab w:val="left" w:pos="360"/>
              </w:tabs>
              <w:jc w:val="center"/>
              <w:rPr>
                <w:sz w:val="16"/>
                <w:szCs w:val="16"/>
              </w:rPr>
            </w:pPr>
            <w:r w:rsidRPr="001531CD">
              <w:rPr>
                <w:sz w:val="16"/>
                <w:szCs w:val="16"/>
              </w:rPr>
              <w:t>3.00%</w:t>
            </w:r>
          </w:p>
        </w:tc>
      </w:tr>
      <w:tr w:rsidR="00CD0355" w:rsidRPr="001531CD" w14:paraId="2CFBA13D" w14:textId="77777777" w:rsidTr="00CD0355">
        <w:trPr>
          <w:cantSplit/>
          <w:jc w:val="center"/>
        </w:trPr>
        <w:tc>
          <w:tcPr>
            <w:tcW w:w="1420" w:type="dxa"/>
            <w:vAlign w:val="bottom"/>
          </w:tcPr>
          <w:p w14:paraId="59A4E743"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726" w:type="dxa"/>
            <w:vAlign w:val="bottom"/>
          </w:tcPr>
          <w:p w14:paraId="2648E85B"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5606BDEE"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5" w:type="dxa"/>
            <w:vAlign w:val="bottom"/>
          </w:tcPr>
          <w:p w14:paraId="5BB12941"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8" w:type="dxa"/>
            <w:vAlign w:val="bottom"/>
          </w:tcPr>
          <w:p w14:paraId="36887BA1"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14:paraId="05E0A0A4" w14:textId="77777777" w:rsidTr="00CD0355">
        <w:trPr>
          <w:cantSplit/>
          <w:jc w:val="center"/>
        </w:trPr>
        <w:tc>
          <w:tcPr>
            <w:tcW w:w="1420" w:type="dxa"/>
            <w:vAlign w:val="bottom"/>
          </w:tcPr>
          <w:p w14:paraId="4C655B27"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726" w:type="dxa"/>
            <w:vAlign w:val="bottom"/>
          </w:tcPr>
          <w:p w14:paraId="6766D7A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6F6B5457"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c>
          <w:tcPr>
            <w:tcW w:w="945" w:type="dxa"/>
            <w:vAlign w:val="bottom"/>
          </w:tcPr>
          <w:p w14:paraId="038F7C6E"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8" w:type="dxa"/>
            <w:vAlign w:val="bottom"/>
          </w:tcPr>
          <w:p w14:paraId="32A52DF3"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14:paraId="710C76B7" w14:textId="77777777" w:rsidTr="00CD0355">
        <w:trPr>
          <w:cantSplit/>
          <w:jc w:val="center"/>
        </w:trPr>
        <w:tc>
          <w:tcPr>
            <w:tcW w:w="1420" w:type="dxa"/>
            <w:vAlign w:val="bottom"/>
          </w:tcPr>
          <w:p w14:paraId="157F737F"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3615" w:type="dxa"/>
            <w:gridSpan w:val="4"/>
            <w:vAlign w:val="bottom"/>
          </w:tcPr>
          <w:p w14:paraId="557E804A" w14:textId="77777777" w:rsidR="00CD0355" w:rsidRPr="001531CD" w:rsidRDefault="00CD0355" w:rsidP="00CD0355">
            <w:pPr>
              <w:tabs>
                <w:tab w:val="left" w:pos="180"/>
                <w:tab w:val="left" w:pos="360"/>
              </w:tabs>
              <w:jc w:val="center"/>
              <w:rPr>
                <w:sz w:val="16"/>
                <w:szCs w:val="16"/>
              </w:rPr>
            </w:pPr>
            <w:r>
              <w:rPr>
                <w:sz w:val="16"/>
                <w:szCs w:val="16"/>
              </w:rPr>
              <w:t xml:space="preserve">  </w:t>
            </w:r>
          </w:p>
        </w:tc>
      </w:tr>
      <w:tr w:rsidR="00CD0355" w:rsidRPr="001531CD" w14:paraId="2E07E930" w14:textId="77777777" w:rsidTr="00CD0355">
        <w:trPr>
          <w:cantSplit/>
          <w:jc w:val="center"/>
        </w:trPr>
        <w:tc>
          <w:tcPr>
            <w:tcW w:w="1420" w:type="dxa"/>
            <w:vAlign w:val="bottom"/>
          </w:tcPr>
          <w:p w14:paraId="06333089" w14:textId="77777777" w:rsidR="00CD0355" w:rsidRPr="001531CD" w:rsidRDefault="00CD0355" w:rsidP="00CD0355">
            <w:pPr>
              <w:tabs>
                <w:tab w:val="left" w:pos="180"/>
                <w:tab w:val="left" w:pos="360"/>
              </w:tabs>
              <w:rPr>
                <w:sz w:val="16"/>
                <w:szCs w:val="16"/>
              </w:rPr>
            </w:pPr>
            <w:r w:rsidRPr="001531CD">
              <w:rPr>
                <w:sz w:val="16"/>
                <w:szCs w:val="16"/>
              </w:rPr>
              <w:t>Johnsongrass</w:t>
            </w:r>
          </w:p>
        </w:tc>
        <w:tc>
          <w:tcPr>
            <w:tcW w:w="726" w:type="dxa"/>
            <w:vAlign w:val="bottom"/>
          </w:tcPr>
          <w:p w14:paraId="74D9BA87"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5FD5C72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45" w:type="dxa"/>
            <w:vAlign w:val="bottom"/>
          </w:tcPr>
          <w:p w14:paraId="2746E630"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48" w:type="dxa"/>
            <w:vAlign w:val="bottom"/>
          </w:tcPr>
          <w:p w14:paraId="65F974EF"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739956CB" w14:textId="77777777" w:rsidTr="00CD0355">
        <w:trPr>
          <w:cantSplit/>
          <w:jc w:val="center"/>
        </w:trPr>
        <w:tc>
          <w:tcPr>
            <w:tcW w:w="1420" w:type="dxa"/>
            <w:vAlign w:val="bottom"/>
          </w:tcPr>
          <w:p w14:paraId="0089B3A7" w14:textId="77777777" w:rsidR="00CD0355" w:rsidRPr="001531CD" w:rsidRDefault="00CD0355" w:rsidP="00CD0355">
            <w:pPr>
              <w:tabs>
                <w:tab w:val="left" w:pos="180"/>
                <w:tab w:val="left" w:pos="360"/>
              </w:tabs>
              <w:rPr>
                <w:sz w:val="16"/>
                <w:szCs w:val="16"/>
              </w:rPr>
            </w:pPr>
            <w:r w:rsidRPr="001531CD">
              <w:rPr>
                <w:sz w:val="16"/>
                <w:szCs w:val="16"/>
              </w:rPr>
              <w:t>Cheat and Darnel</w:t>
            </w:r>
          </w:p>
        </w:tc>
        <w:tc>
          <w:tcPr>
            <w:tcW w:w="726" w:type="dxa"/>
            <w:vAlign w:val="bottom"/>
          </w:tcPr>
          <w:p w14:paraId="3DBDBFA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336DFCB4" w14:textId="77777777" w:rsidR="00CD0355" w:rsidRPr="001531CD" w:rsidRDefault="00CD0355" w:rsidP="00CD0355">
            <w:pPr>
              <w:tabs>
                <w:tab w:val="left" w:pos="180"/>
                <w:tab w:val="left" w:pos="360"/>
              </w:tabs>
              <w:jc w:val="center"/>
              <w:rPr>
                <w:sz w:val="16"/>
                <w:szCs w:val="16"/>
              </w:rPr>
            </w:pPr>
            <w:r w:rsidRPr="001531CD">
              <w:rPr>
                <w:sz w:val="16"/>
                <w:szCs w:val="16"/>
              </w:rPr>
              <w:t>6 seed/lb.</w:t>
            </w:r>
          </w:p>
        </w:tc>
        <w:tc>
          <w:tcPr>
            <w:tcW w:w="945" w:type="dxa"/>
            <w:vAlign w:val="bottom"/>
          </w:tcPr>
          <w:p w14:paraId="1D844994" w14:textId="77777777" w:rsidR="00CD0355" w:rsidRPr="001531CD" w:rsidRDefault="00CD0355" w:rsidP="00CD0355">
            <w:pPr>
              <w:tabs>
                <w:tab w:val="left" w:pos="180"/>
                <w:tab w:val="left" w:pos="360"/>
              </w:tabs>
              <w:jc w:val="center"/>
              <w:rPr>
                <w:sz w:val="16"/>
                <w:szCs w:val="16"/>
              </w:rPr>
            </w:pPr>
            <w:r w:rsidRPr="001531CD">
              <w:rPr>
                <w:sz w:val="16"/>
                <w:szCs w:val="16"/>
              </w:rPr>
              <w:t>6 seed/lb.</w:t>
            </w:r>
          </w:p>
        </w:tc>
        <w:tc>
          <w:tcPr>
            <w:tcW w:w="948" w:type="dxa"/>
            <w:vAlign w:val="bottom"/>
          </w:tcPr>
          <w:p w14:paraId="7707717A" w14:textId="77777777" w:rsidR="00CD0355" w:rsidRPr="001531CD" w:rsidRDefault="00CD0355" w:rsidP="00CD0355">
            <w:pPr>
              <w:tabs>
                <w:tab w:val="left" w:pos="180"/>
                <w:tab w:val="left" w:pos="360"/>
              </w:tabs>
              <w:jc w:val="center"/>
              <w:rPr>
                <w:sz w:val="16"/>
                <w:szCs w:val="16"/>
              </w:rPr>
            </w:pPr>
            <w:r w:rsidRPr="001531CD">
              <w:rPr>
                <w:sz w:val="16"/>
                <w:szCs w:val="16"/>
              </w:rPr>
              <w:t>12 seed/lb.</w:t>
            </w:r>
          </w:p>
        </w:tc>
      </w:tr>
      <w:tr w:rsidR="00CD0355" w:rsidRPr="001531CD" w14:paraId="74E8DC53" w14:textId="77777777" w:rsidTr="00CD0355">
        <w:trPr>
          <w:cantSplit/>
          <w:jc w:val="center"/>
        </w:trPr>
        <w:tc>
          <w:tcPr>
            <w:tcW w:w="1420" w:type="dxa"/>
            <w:vAlign w:val="bottom"/>
          </w:tcPr>
          <w:p w14:paraId="5CA3A527" w14:textId="77777777" w:rsidR="00CD0355" w:rsidRPr="001531CD" w:rsidRDefault="00CD0355" w:rsidP="00CD0355">
            <w:pPr>
              <w:tabs>
                <w:tab w:val="left" w:pos="180"/>
                <w:tab w:val="left" w:pos="360"/>
              </w:tabs>
              <w:rPr>
                <w:sz w:val="16"/>
                <w:szCs w:val="16"/>
              </w:rPr>
            </w:pPr>
            <w:r w:rsidRPr="001531CD">
              <w:rPr>
                <w:sz w:val="16"/>
                <w:szCs w:val="16"/>
              </w:rPr>
              <w:t>Other Weeds</w:t>
            </w:r>
          </w:p>
        </w:tc>
        <w:tc>
          <w:tcPr>
            <w:tcW w:w="726" w:type="dxa"/>
            <w:vAlign w:val="bottom"/>
          </w:tcPr>
          <w:p w14:paraId="0D03A94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6082CA89" w14:textId="77777777" w:rsidR="00CD0355" w:rsidRPr="001531CD" w:rsidRDefault="00CD0355" w:rsidP="00CD0355">
            <w:pPr>
              <w:tabs>
                <w:tab w:val="left" w:pos="180"/>
                <w:tab w:val="left" w:pos="360"/>
              </w:tabs>
              <w:jc w:val="center"/>
              <w:rPr>
                <w:sz w:val="16"/>
                <w:szCs w:val="16"/>
              </w:rPr>
            </w:pPr>
            <w:r w:rsidRPr="001531CD">
              <w:rPr>
                <w:sz w:val="16"/>
                <w:szCs w:val="16"/>
              </w:rPr>
              <w:t>0.01%</w:t>
            </w:r>
          </w:p>
        </w:tc>
        <w:tc>
          <w:tcPr>
            <w:tcW w:w="945" w:type="dxa"/>
            <w:vAlign w:val="bottom"/>
          </w:tcPr>
          <w:p w14:paraId="14A0C243" w14:textId="77777777" w:rsidR="00CD0355" w:rsidRPr="001531CD" w:rsidRDefault="00CD0355" w:rsidP="00CD0355">
            <w:pPr>
              <w:tabs>
                <w:tab w:val="left" w:pos="180"/>
                <w:tab w:val="left" w:pos="360"/>
              </w:tabs>
              <w:jc w:val="center"/>
              <w:rPr>
                <w:sz w:val="16"/>
                <w:szCs w:val="16"/>
              </w:rPr>
            </w:pPr>
            <w:r w:rsidRPr="001531CD">
              <w:rPr>
                <w:sz w:val="16"/>
                <w:szCs w:val="16"/>
              </w:rPr>
              <w:t>0.02%</w:t>
            </w:r>
          </w:p>
        </w:tc>
        <w:tc>
          <w:tcPr>
            <w:tcW w:w="948" w:type="dxa"/>
            <w:vAlign w:val="bottom"/>
          </w:tcPr>
          <w:p w14:paraId="76494BAB" w14:textId="77777777" w:rsidR="00CD0355" w:rsidRPr="001531CD" w:rsidRDefault="00CD0355" w:rsidP="00CD0355">
            <w:pPr>
              <w:tabs>
                <w:tab w:val="left" w:pos="180"/>
                <w:tab w:val="left" w:pos="360"/>
              </w:tabs>
              <w:jc w:val="center"/>
              <w:rPr>
                <w:sz w:val="16"/>
                <w:szCs w:val="16"/>
              </w:rPr>
            </w:pPr>
            <w:r w:rsidRPr="001531CD">
              <w:rPr>
                <w:sz w:val="16"/>
                <w:szCs w:val="16"/>
              </w:rPr>
              <w:t>0.03%</w:t>
            </w:r>
          </w:p>
        </w:tc>
      </w:tr>
      <w:tr w:rsidR="00CD0355" w:rsidRPr="001531CD" w14:paraId="09EF3B53" w14:textId="77777777" w:rsidTr="00CD0355">
        <w:trPr>
          <w:cantSplit/>
          <w:jc w:val="center"/>
        </w:trPr>
        <w:tc>
          <w:tcPr>
            <w:tcW w:w="1420" w:type="dxa"/>
            <w:vAlign w:val="bottom"/>
          </w:tcPr>
          <w:p w14:paraId="24594A13" w14:textId="77777777" w:rsidR="00CD0355" w:rsidRPr="001531CD" w:rsidRDefault="00CD0355" w:rsidP="00CD0355">
            <w:pPr>
              <w:tabs>
                <w:tab w:val="left" w:pos="180"/>
                <w:tab w:val="left" w:pos="360"/>
              </w:tabs>
              <w:rPr>
                <w:sz w:val="16"/>
                <w:szCs w:val="16"/>
              </w:rPr>
            </w:pPr>
            <w:r w:rsidRPr="001531CD">
              <w:rPr>
                <w:sz w:val="16"/>
                <w:szCs w:val="16"/>
              </w:rPr>
              <w:t>Oats</w:t>
            </w:r>
          </w:p>
        </w:tc>
        <w:tc>
          <w:tcPr>
            <w:tcW w:w="726" w:type="dxa"/>
            <w:vAlign w:val="bottom"/>
          </w:tcPr>
          <w:p w14:paraId="107B805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14:paraId="6CF831DF" w14:textId="77777777" w:rsidR="00CD0355" w:rsidRPr="001531CD" w:rsidRDefault="00CD0355" w:rsidP="00CD0355">
            <w:pPr>
              <w:tabs>
                <w:tab w:val="left" w:pos="180"/>
                <w:tab w:val="left" w:pos="360"/>
              </w:tabs>
              <w:jc w:val="center"/>
              <w:rPr>
                <w:sz w:val="16"/>
                <w:szCs w:val="16"/>
              </w:rPr>
            </w:pPr>
            <w:r w:rsidRPr="001531CD">
              <w:rPr>
                <w:sz w:val="16"/>
                <w:szCs w:val="16"/>
              </w:rPr>
              <w:t>0.02%</w:t>
            </w:r>
          </w:p>
        </w:tc>
        <w:tc>
          <w:tcPr>
            <w:tcW w:w="945" w:type="dxa"/>
            <w:vAlign w:val="bottom"/>
          </w:tcPr>
          <w:p w14:paraId="089E19CC" w14:textId="77777777" w:rsidR="00CD0355" w:rsidRPr="001531CD" w:rsidRDefault="00CD0355" w:rsidP="00CD0355">
            <w:pPr>
              <w:tabs>
                <w:tab w:val="left" w:pos="180"/>
                <w:tab w:val="left" w:pos="360"/>
              </w:tabs>
              <w:jc w:val="center"/>
              <w:rPr>
                <w:sz w:val="16"/>
                <w:szCs w:val="16"/>
              </w:rPr>
            </w:pPr>
            <w:r w:rsidRPr="001531CD">
              <w:rPr>
                <w:sz w:val="16"/>
                <w:szCs w:val="16"/>
              </w:rPr>
              <w:t>0.05%</w:t>
            </w:r>
          </w:p>
        </w:tc>
        <w:tc>
          <w:tcPr>
            <w:tcW w:w="948" w:type="dxa"/>
            <w:vAlign w:val="bottom"/>
          </w:tcPr>
          <w:p w14:paraId="34505C3C" w14:textId="77777777" w:rsidR="00CD0355" w:rsidRPr="001531CD" w:rsidRDefault="00CD0355" w:rsidP="00CD0355">
            <w:pPr>
              <w:tabs>
                <w:tab w:val="left" w:pos="180"/>
                <w:tab w:val="left" w:pos="360"/>
              </w:tabs>
              <w:jc w:val="center"/>
              <w:rPr>
                <w:sz w:val="16"/>
                <w:szCs w:val="16"/>
              </w:rPr>
            </w:pPr>
            <w:r w:rsidRPr="001531CD">
              <w:rPr>
                <w:sz w:val="16"/>
                <w:szCs w:val="16"/>
              </w:rPr>
              <w:t>0.10%</w:t>
            </w:r>
          </w:p>
        </w:tc>
      </w:tr>
      <w:tr w:rsidR="00CD0355" w:rsidRPr="001531CD" w14:paraId="34D4C205" w14:textId="77777777" w:rsidTr="00CD0355">
        <w:trPr>
          <w:cantSplit/>
          <w:jc w:val="center"/>
        </w:trPr>
        <w:tc>
          <w:tcPr>
            <w:tcW w:w="1420" w:type="dxa"/>
            <w:tcBorders>
              <w:bottom w:val="double" w:sz="6" w:space="0" w:color="000000"/>
            </w:tcBorders>
            <w:vAlign w:val="bottom"/>
          </w:tcPr>
          <w:p w14:paraId="39C3843E"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726" w:type="dxa"/>
            <w:tcBorders>
              <w:bottom w:val="double" w:sz="6" w:space="0" w:color="000000"/>
            </w:tcBorders>
            <w:vAlign w:val="bottom"/>
          </w:tcPr>
          <w:p w14:paraId="1CB514F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tcBorders>
              <w:bottom w:val="double" w:sz="6" w:space="0" w:color="000000"/>
            </w:tcBorders>
            <w:vAlign w:val="bottom"/>
          </w:tcPr>
          <w:p w14:paraId="69F31F46" w14:textId="77777777" w:rsidR="00CD0355" w:rsidRPr="001531CD" w:rsidRDefault="00CD0355" w:rsidP="00CD0355">
            <w:pPr>
              <w:tabs>
                <w:tab w:val="left" w:pos="180"/>
                <w:tab w:val="left" w:pos="360"/>
              </w:tabs>
              <w:jc w:val="center"/>
              <w:rPr>
                <w:sz w:val="16"/>
                <w:szCs w:val="16"/>
              </w:rPr>
            </w:pPr>
            <w:r w:rsidRPr="001531CD">
              <w:rPr>
                <w:sz w:val="16"/>
                <w:szCs w:val="16"/>
              </w:rPr>
              <w:t>85.00%</w:t>
            </w:r>
          </w:p>
        </w:tc>
        <w:tc>
          <w:tcPr>
            <w:tcW w:w="945" w:type="dxa"/>
            <w:tcBorders>
              <w:bottom w:val="double" w:sz="6" w:space="0" w:color="000000"/>
            </w:tcBorders>
            <w:vAlign w:val="bottom"/>
          </w:tcPr>
          <w:p w14:paraId="2F03B9D1" w14:textId="77777777" w:rsidR="00CD0355" w:rsidRPr="001531CD" w:rsidRDefault="00CD0355" w:rsidP="00CD0355">
            <w:pPr>
              <w:tabs>
                <w:tab w:val="left" w:pos="180"/>
                <w:tab w:val="left" w:pos="360"/>
              </w:tabs>
              <w:jc w:val="center"/>
              <w:rPr>
                <w:sz w:val="16"/>
                <w:szCs w:val="16"/>
              </w:rPr>
            </w:pPr>
            <w:r w:rsidRPr="001531CD">
              <w:rPr>
                <w:sz w:val="16"/>
                <w:szCs w:val="16"/>
              </w:rPr>
              <w:t>85.00%</w:t>
            </w:r>
          </w:p>
        </w:tc>
        <w:tc>
          <w:tcPr>
            <w:tcW w:w="948" w:type="dxa"/>
            <w:tcBorders>
              <w:bottom w:val="double" w:sz="6" w:space="0" w:color="000000"/>
            </w:tcBorders>
            <w:vAlign w:val="bottom"/>
          </w:tcPr>
          <w:p w14:paraId="3CFC444B" w14:textId="77777777" w:rsidR="00CD0355" w:rsidRPr="001531CD" w:rsidRDefault="00CD0355" w:rsidP="00CD0355">
            <w:pPr>
              <w:tabs>
                <w:tab w:val="left" w:pos="180"/>
                <w:tab w:val="left" w:pos="360"/>
              </w:tabs>
              <w:jc w:val="center"/>
              <w:rPr>
                <w:sz w:val="16"/>
                <w:szCs w:val="16"/>
              </w:rPr>
            </w:pPr>
            <w:r w:rsidRPr="001531CD">
              <w:rPr>
                <w:sz w:val="16"/>
                <w:szCs w:val="16"/>
              </w:rPr>
              <w:t>85.00%</w:t>
            </w:r>
          </w:p>
        </w:tc>
      </w:tr>
    </w:tbl>
    <w:p w14:paraId="61240C50" w14:textId="77777777" w:rsidR="00CD0355" w:rsidRPr="001531CD" w:rsidRDefault="00CD0355" w:rsidP="00CD0355">
      <w:pPr>
        <w:tabs>
          <w:tab w:val="left" w:pos="180"/>
          <w:tab w:val="left" w:pos="360"/>
        </w:tabs>
        <w:rPr>
          <w:sz w:val="20"/>
        </w:rPr>
      </w:pPr>
    </w:p>
    <w:p w14:paraId="3EF93261" w14:textId="77777777" w:rsidR="00CD0355" w:rsidRPr="001531CD" w:rsidRDefault="00CD0355" w:rsidP="00CD0355">
      <w:pPr>
        <w:pStyle w:val="AuthorityNote"/>
      </w:pPr>
      <w:r w:rsidRPr="001531CD">
        <w:t>AUTHORITY NOTE:</w:t>
      </w:r>
      <w:r w:rsidRPr="001531CD">
        <w:tab/>
        <w:t>Promulgated in accordance with R.S. 3:1433.</w:t>
      </w:r>
    </w:p>
    <w:p w14:paraId="790E7A7E" w14:textId="77777777" w:rsidR="00CD0355" w:rsidRPr="001531CD" w:rsidRDefault="00CD0355" w:rsidP="00CD0355">
      <w:pPr>
        <w:pStyle w:val="HistoricalNote"/>
      </w:pPr>
      <w:r w:rsidRPr="001531CD">
        <w:t>HISTORICAL NOTE:</w:t>
      </w:r>
      <w:r w:rsidRPr="001531CD">
        <w:tab/>
        <w:t>Promulgated by the Department of Agriculture, Seed Commission, LR 8:582 (November 1982), amended LR 9:203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39:2728 (October 2013).</w:t>
      </w:r>
    </w:p>
    <w:p w14:paraId="3B7E2A03" w14:textId="77777777" w:rsidR="00CD0355" w:rsidRPr="001531CD" w:rsidRDefault="00CD0355" w:rsidP="00CD0355">
      <w:pPr>
        <w:pStyle w:val="Section"/>
      </w:pPr>
      <w:bookmarkStart w:id="1171" w:name="_Toc224818818"/>
      <w:r w:rsidRPr="001531CD">
        <w:t>§759.</w:t>
      </w:r>
      <w:r w:rsidRPr="001531CD">
        <w:tab/>
        <w:t>Sorghum Seed Certification Standards</w:t>
      </w:r>
      <w:bookmarkEnd w:id="1171"/>
      <w:r w:rsidRPr="001531CD">
        <w:t xml:space="preserve"> </w:t>
      </w:r>
    </w:p>
    <w:p w14:paraId="721E80D7" w14:textId="77777777" w:rsidR="00CD0355" w:rsidRPr="001531CD" w:rsidRDefault="00CD0355" w:rsidP="00CD0355">
      <w:pPr>
        <w:pStyle w:val="A"/>
      </w:pPr>
      <w:r w:rsidRPr="001531CD">
        <w:t>A.</w:t>
      </w:r>
      <w:r w:rsidRPr="001531CD">
        <w:tab/>
        <w:t>Field Standards</w:t>
      </w:r>
    </w:p>
    <w:tbl>
      <w:tblPr>
        <w:tblW w:w="47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66"/>
        <w:gridCol w:w="1066"/>
        <w:gridCol w:w="967"/>
        <w:gridCol w:w="1080"/>
      </w:tblGrid>
      <w:tr w:rsidR="00CD0355" w:rsidRPr="001531CD" w14:paraId="63E08D69" w14:textId="77777777" w:rsidTr="00CD0355">
        <w:trPr>
          <w:cantSplit/>
          <w:jc w:val="center"/>
        </w:trPr>
        <w:tc>
          <w:tcPr>
            <w:tcW w:w="1666" w:type="dxa"/>
            <w:tcBorders>
              <w:top w:val="double" w:sz="6" w:space="0" w:color="000000"/>
              <w:bottom w:val="single" w:sz="6" w:space="0" w:color="000000"/>
            </w:tcBorders>
            <w:shd w:val="clear" w:color="auto" w:fill="BFBFBF"/>
          </w:tcPr>
          <w:p w14:paraId="1741AA73" w14:textId="77777777"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1066" w:type="dxa"/>
            <w:tcBorders>
              <w:top w:val="double" w:sz="6" w:space="0" w:color="000000"/>
              <w:bottom w:val="single" w:sz="6" w:space="0" w:color="000000"/>
            </w:tcBorders>
            <w:shd w:val="clear" w:color="auto" w:fill="BFBFBF"/>
          </w:tcPr>
          <w:p w14:paraId="4D34B872"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967" w:type="dxa"/>
            <w:tcBorders>
              <w:top w:val="double" w:sz="6" w:space="0" w:color="000000"/>
              <w:bottom w:val="single" w:sz="6" w:space="0" w:color="000000"/>
            </w:tcBorders>
            <w:shd w:val="clear" w:color="auto" w:fill="BFBFBF"/>
          </w:tcPr>
          <w:p w14:paraId="7A94CFDE"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80" w:type="dxa"/>
            <w:tcBorders>
              <w:top w:val="double" w:sz="6" w:space="0" w:color="000000"/>
              <w:bottom w:val="single" w:sz="6" w:space="0" w:color="000000"/>
            </w:tcBorders>
            <w:shd w:val="clear" w:color="auto" w:fill="BFBFBF"/>
          </w:tcPr>
          <w:p w14:paraId="39F76B6A"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5B9285CD" w14:textId="77777777" w:rsidTr="00CD0355">
        <w:trPr>
          <w:cantSplit/>
          <w:jc w:val="center"/>
        </w:trPr>
        <w:tc>
          <w:tcPr>
            <w:tcW w:w="1666" w:type="dxa"/>
            <w:tcBorders>
              <w:top w:val="single" w:sz="6" w:space="0" w:color="000000"/>
            </w:tcBorders>
            <w:tcMar>
              <w:left w:w="29" w:type="dxa"/>
              <w:right w:w="115" w:type="dxa"/>
            </w:tcMar>
          </w:tcPr>
          <w:p w14:paraId="389DCF0F" w14:textId="77777777" w:rsidR="00CD0355" w:rsidRPr="001531CD" w:rsidRDefault="00CD0355" w:rsidP="00CD0355">
            <w:pPr>
              <w:tabs>
                <w:tab w:val="left" w:pos="180"/>
                <w:tab w:val="left" w:pos="360"/>
              </w:tabs>
              <w:rPr>
                <w:sz w:val="16"/>
                <w:szCs w:val="16"/>
              </w:rPr>
            </w:pPr>
            <w:r w:rsidRPr="001531CD">
              <w:rPr>
                <w:sz w:val="16"/>
                <w:szCs w:val="16"/>
              </w:rPr>
              <w:t>*Land Requirement</w:t>
            </w:r>
          </w:p>
        </w:tc>
        <w:tc>
          <w:tcPr>
            <w:tcW w:w="1066" w:type="dxa"/>
            <w:tcBorders>
              <w:top w:val="single" w:sz="6" w:space="0" w:color="000000"/>
            </w:tcBorders>
          </w:tcPr>
          <w:p w14:paraId="191D4B18"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967" w:type="dxa"/>
            <w:tcBorders>
              <w:top w:val="single" w:sz="6" w:space="0" w:color="000000"/>
            </w:tcBorders>
          </w:tcPr>
          <w:p w14:paraId="13D686A0"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080" w:type="dxa"/>
            <w:tcBorders>
              <w:top w:val="single" w:sz="6" w:space="0" w:color="000000"/>
            </w:tcBorders>
          </w:tcPr>
          <w:p w14:paraId="27F776BA"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14:paraId="67C1D232" w14:textId="77777777" w:rsidTr="00CD0355">
        <w:trPr>
          <w:cantSplit/>
          <w:jc w:val="center"/>
        </w:trPr>
        <w:tc>
          <w:tcPr>
            <w:tcW w:w="1666" w:type="dxa"/>
          </w:tcPr>
          <w:p w14:paraId="1F23E736" w14:textId="77777777" w:rsidR="00CD0355" w:rsidRPr="001531CD" w:rsidRDefault="00CD0355" w:rsidP="00CD0355">
            <w:pPr>
              <w:tabs>
                <w:tab w:val="left" w:pos="180"/>
                <w:tab w:val="left" w:pos="360"/>
              </w:tabs>
              <w:rPr>
                <w:sz w:val="16"/>
                <w:szCs w:val="16"/>
              </w:rPr>
            </w:pPr>
            <w:r w:rsidRPr="001531CD">
              <w:rPr>
                <w:sz w:val="16"/>
                <w:szCs w:val="16"/>
              </w:rPr>
              <w:t>Isolation</w:t>
            </w:r>
          </w:p>
        </w:tc>
        <w:tc>
          <w:tcPr>
            <w:tcW w:w="1066" w:type="dxa"/>
          </w:tcPr>
          <w:p w14:paraId="3F69BF02" w14:textId="77777777" w:rsidR="00CD0355" w:rsidRPr="001531CD" w:rsidRDefault="00CD0355" w:rsidP="00CD0355">
            <w:pPr>
              <w:tabs>
                <w:tab w:val="left" w:pos="180"/>
                <w:tab w:val="left" w:pos="360"/>
              </w:tabs>
              <w:jc w:val="center"/>
              <w:rPr>
                <w:sz w:val="16"/>
                <w:szCs w:val="16"/>
              </w:rPr>
            </w:pPr>
            <w:r w:rsidRPr="001531CD">
              <w:rPr>
                <w:sz w:val="16"/>
                <w:szCs w:val="16"/>
              </w:rPr>
              <w:t>1,300 ft.</w:t>
            </w:r>
          </w:p>
        </w:tc>
        <w:tc>
          <w:tcPr>
            <w:tcW w:w="967" w:type="dxa"/>
          </w:tcPr>
          <w:p w14:paraId="56D19900" w14:textId="77777777" w:rsidR="00CD0355" w:rsidRPr="001531CD" w:rsidRDefault="00CD0355" w:rsidP="00CD0355">
            <w:pPr>
              <w:tabs>
                <w:tab w:val="left" w:pos="180"/>
                <w:tab w:val="left" w:pos="360"/>
              </w:tabs>
              <w:jc w:val="center"/>
              <w:rPr>
                <w:sz w:val="16"/>
                <w:szCs w:val="16"/>
              </w:rPr>
            </w:pPr>
            <w:r w:rsidRPr="001531CD">
              <w:rPr>
                <w:sz w:val="16"/>
                <w:szCs w:val="16"/>
              </w:rPr>
              <w:t>1,300 ft.</w:t>
            </w:r>
          </w:p>
        </w:tc>
        <w:tc>
          <w:tcPr>
            <w:tcW w:w="1080" w:type="dxa"/>
          </w:tcPr>
          <w:p w14:paraId="41E776B5" w14:textId="77777777" w:rsidR="00CD0355" w:rsidRPr="001531CD" w:rsidRDefault="00CD0355" w:rsidP="00CD0355">
            <w:pPr>
              <w:tabs>
                <w:tab w:val="left" w:pos="180"/>
                <w:tab w:val="left" w:pos="360"/>
              </w:tabs>
              <w:jc w:val="center"/>
              <w:rPr>
                <w:sz w:val="16"/>
                <w:szCs w:val="16"/>
              </w:rPr>
            </w:pPr>
            <w:r w:rsidRPr="001531CD">
              <w:rPr>
                <w:sz w:val="16"/>
                <w:szCs w:val="16"/>
              </w:rPr>
              <w:t>1,300 ft.</w:t>
            </w:r>
          </w:p>
        </w:tc>
      </w:tr>
      <w:tr w:rsidR="00CD0355" w:rsidRPr="001531CD" w14:paraId="0AB15B77" w14:textId="77777777" w:rsidTr="00CD0355">
        <w:trPr>
          <w:cantSplit/>
          <w:jc w:val="center"/>
        </w:trPr>
        <w:tc>
          <w:tcPr>
            <w:tcW w:w="1666" w:type="dxa"/>
            <w:vAlign w:val="bottom"/>
          </w:tcPr>
          <w:p w14:paraId="11A9BD35"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066" w:type="dxa"/>
            <w:vAlign w:val="bottom"/>
          </w:tcPr>
          <w:p w14:paraId="37CC4317"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14:paraId="3236A2F9" w14:textId="77777777" w:rsidR="00CD0355" w:rsidRPr="001531CD" w:rsidRDefault="00CD0355" w:rsidP="00CD0355">
            <w:pPr>
              <w:tabs>
                <w:tab w:val="left" w:pos="180"/>
                <w:tab w:val="left" w:pos="360"/>
              </w:tabs>
              <w:jc w:val="center"/>
              <w:rPr>
                <w:sz w:val="16"/>
                <w:szCs w:val="16"/>
              </w:rPr>
            </w:pPr>
            <w:r w:rsidRPr="001531CD">
              <w:rPr>
                <w:sz w:val="16"/>
                <w:szCs w:val="16"/>
              </w:rPr>
              <w:t>1 Head per 5 Acres</w:t>
            </w:r>
          </w:p>
        </w:tc>
        <w:tc>
          <w:tcPr>
            <w:tcW w:w="1080" w:type="dxa"/>
          </w:tcPr>
          <w:p w14:paraId="7516E739" w14:textId="77777777" w:rsidR="00CD0355" w:rsidRPr="001531CD" w:rsidRDefault="00CD0355" w:rsidP="00CD0355">
            <w:pPr>
              <w:tabs>
                <w:tab w:val="left" w:pos="180"/>
                <w:tab w:val="left" w:pos="360"/>
              </w:tabs>
              <w:jc w:val="center"/>
              <w:rPr>
                <w:sz w:val="16"/>
                <w:szCs w:val="16"/>
              </w:rPr>
            </w:pPr>
            <w:r w:rsidRPr="001531CD">
              <w:rPr>
                <w:sz w:val="16"/>
                <w:szCs w:val="16"/>
              </w:rPr>
              <w:t>1 Head per 2 Acres</w:t>
            </w:r>
          </w:p>
        </w:tc>
      </w:tr>
      <w:tr w:rsidR="00CD0355" w:rsidRPr="001531CD" w14:paraId="1BDAA67B" w14:textId="77777777" w:rsidTr="00CD0355">
        <w:trPr>
          <w:cantSplit/>
          <w:jc w:val="center"/>
        </w:trPr>
        <w:tc>
          <w:tcPr>
            <w:tcW w:w="1666" w:type="dxa"/>
            <w:vAlign w:val="bottom"/>
          </w:tcPr>
          <w:p w14:paraId="510E8B1E" w14:textId="77777777" w:rsidR="00CD0355" w:rsidRPr="001531CD" w:rsidRDefault="00CD0355" w:rsidP="00CD0355">
            <w:pPr>
              <w:tabs>
                <w:tab w:val="left" w:pos="180"/>
                <w:tab w:val="left" w:pos="360"/>
              </w:tabs>
              <w:rPr>
                <w:sz w:val="16"/>
                <w:szCs w:val="16"/>
              </w:rPr>
            </w:pPr>
            <w:r w:rsidRPr="001531CD">
              <w:rPr>
                <w:sz w:val="16"/>
                <w:szCs w:val="16"/>
              </w:rPr>
              <w:t>Head Smut</w:t>
            </w:r>
          </w:p>
        </w:tc>
        <w:tc>
          <w:tcPr>
            <w:tcW w:w="1066" w:type="dxa"/>
            <w:vAlign w:val="bottom"/>
          </w:tcPr>
          <w:p w14:paraId="35FBE227"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14:paraId="1B1FCD5C" w14:textId="77777777" w:rsidR="00CD0355" w:rsidRPr="001531CD" w:rsidRDefault="00CD0355" w:rsidP="00CD0355">
            <w:pPr>
              <w:tabs>
                <w:tab w:val="left" w:pos="180"/>
                <w:tab w:val="left" w:pos="360"/>
              </w:tabs>
              <w:jc w:val="center"/>
              <w:rPr>
                <w:sz w:val="16"/>
                <w:szCs w:val="16"/>
              </w:rPr>
            </w:pPr>
            <w:r w:rsidRPr="001531CD">
              <w:rPr>
                <w:sz w:val="16"/>
                <w:szCs w:val="16"/>
              </w:rPr>
              <w:t>1 Head per Acre</w:t>
            </w:r>
          </w:p>
        </w:tc>
        <w:tc>
          <w:tcPr>
            <w:tcW w:w="1080" w:type="dxa"/>
          </w:tcPr>
          <w:p w14:paraId="2E15F812" w14:textId="77777777" w:rsidR="00CD0355" w:rsidRPr="001531CD" w:rsidRDefault="00CD0355" w:rsidP="00CD0355">
            <w:pPr>
              <w:tabs>
                <w:tab w:val="left" w:pos="180"/>
                <w:tab w:val="left" w:pos="360"/>
              </w:tabs>
              <w:jc w:val="center"/>
              <w:rPr>
                <w:sz w:val="16"/>
                <w:szCs w:val="16"/>
              </w:rPr>
            </w:pPr>
            <w:r w:rsidRPr="001531CD">
              <w:rPr>
                <w:sz w:val="16"/>
                <w:szCs w:val="16"/>
              </w:rPr>
              <w:t>1 Head per Acre</w:t>
            </w:r>
          </w:p>
        </w:tc>
      </w:tr>
      <w:tr w:rsidR="00CD0355" w:rsidRPr="001531CD" w14:paraId="7D9AB02F" w14:textId="77777777" w:rsidTr="00CD0355">
        <w:trPr>
          <w:cantSplit/>
          <w:jc w:val="center"/>
        </w:trPr>
        <w:tc>
          <w:tcPr>
            <w:tcW w:w="1666" w:type="dxa"/>
            <w:vAlign w:val="bottom"/>
          </w:tcPr>
          <w:p w14:paraId="2E316B4A" w14:textId="77777777" w:rsidR="00CD0355" w:rsidRPr="001531CD" w:rsidRDefault="00CD0355" w:rsidP="00CD0355">
            <w:pPr>
              <w:tabs>
                <w:tab w:val="left" w:pos="180"/>
                <w:tab w:val="left" w:pos="360"/>
              </w:tabs>
              <w:rPr>
                <w:sz w:val="16"/>
                <w:szCs w:val="16"/>
              </w:rPr>
            </w:pPr>
            <w:r w:rsidRPr="001531CD">
              <w:rPr>
                <w:sz w:val="16"/>
                <w:szCs w:val="16"/>
              </w:rPr>
              <w:t>Kernel Smut</w:t>
            </w:r>
          </w:p>
        </w:tc>
        <w:tc>
          <w:tcPr>
            <w:tcW w:w="1066" w:type="dxa"/>
            <w:vAlign w:val="bottom"/>
          </w:tcPr>
          <w:p w14:paraId="38EDCEF9"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14:paraId="1629FF2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14:paraId="642F1738" w14:textId="77777777" w:rsidR="00CD0355" w:rsidRPr="001531CD" w:rsidRDefault="00CD0355" w:rsidP="00CD0355">
            <w:pPr>
              <w:tabs>
                <w:tab w:val="left" w:pos="180"/>
                <w:tab w:val="left" w:pos="360"/>
              </w:tabs>
              <w:jc w:val="center"/>
              <w:rPr>
                <w:sz w:val="16"/>
                <w:szCs w:val="16"/>
              </w:rPr>
            </w:pPr>
            <w:r w:rsidRPr="001531CD">
              <w:rPr>
                <w:sz w:val="16"/>
                <w:szCs w:val="16"/>
              </w:rPr>
              <w:t>1 Head per 2,500 Heads</w:t>
            </w:r>
          </w:p>
        </w:tc>
      </w:tr>
      <w:tr w:rsidR="00CD0355" w:rsidRPr="001531CD" w14:paraId="0AD0824A" w14:textId="77777777" w:rsidTr="00CD0355">
        <w:trPr>
          <w:cantSplit/>
          <w:jc w:val="center"/>
        </w:trPr>
        <w:tc>
          <w:tcPr>
            <w:tcW w:w="4779" w:type="dxa"/>
            <w:gridSpan w:val="4"/>
            <w:tcBorders>
              <w:bottom w:val="double" w:sz="6" w:space="0" w:color="000000"/>
            </w:tcBorders>
          </w:tcPr>
          <w:p w14:paraId="3265EA0B" w14:textId="77777777" w:rsidR="00CD0355" w:rsidRPr="001531CD" w:rsidRDefault="00CD0355" w:rsidP="00CD0355">
            <w:pPr>
              <w:tabs>
                <w:tab w:val="left" w:pos="180"/>
                <w:tab w:val="left" w:pos="360"/>
              </w:tabs>
              <w:rPr>
                <w:sz w:val="16"/>
                <w:szCs w:val="16"/>
              </w:rPr>
            </w:pPr>
            <w:r w:rsidRPr="001531CD">
              <w:rPr>
                <w:sz w:val="16"/>
                <w:szCs w:val="16"/>
              </w:rPr>
              <w:t>*No field will be eligible for certification if it grew sudan grass, broomcorn, or sorghum of another variety the previous year.</w:t>
            </w:r>
          </w:p>
        </w:tc>
      </w:tr>
    </w:tbl>
    <w:p w14:paraId="7C22FFA2" w14:textId="77777777" w:rsidR="00CD0355" w:rsidRPr="001531CD" w:rsidRDefault="00CD0355" w:rsidP="00CD0355">
      <w:pPr>
        <w:pStyle w:val="A"/>
        <w:spacing w:after="0"/>
      </w:pPr>
    </w:p>
    <w:p w14:paraId="65B5F73D" w14:textId="77777777" w:rsidR="00CD0355" w:rsidRPr="001531CD" w:rsidRDefault="00CD0355" w:rsidP="00CD0355">
      <w:pPr>
        <w:pStyle w:val="A"/>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20"/>
        <w:gridCol w:w="1080"/>
        <w:gridCol w:w="1019"/>
        <w:gridCol w:w="1070"/>
      </w:tblGrid>
      <w:tr w:rsidR="00CD0355" w:rsidRPr="00F66AEE" w14:paraId="0F1AC2DF" w14:textId="77777777" w:rsidTr="00CD0355">
        <w:trPr>
          <w:cantSplit/>
          <w:jc w:val="center"/>
        </w:trPr>
        <w:tc>
          <w:tcPr>
            <w:tcW w:w="1620" w:type="dxa"/>
            <w:tcBorders>
              <w:top w:val="double" w:sz="6" w:space="0" w:color="000000"/>
              <w:bottom w:val="single" w:sz="6" w:space="0" w:color="000000"/>
            </w:tcBorders>
            <w:shd w:val="clear" w:color="auto" w:fill="BFBFBF"/>
          </w:tcPr>
          <w:p w14:paraId="10DAD613" w14:textId="77777777"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tcPr>
          <w:p w14:paraId="3653547F"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19" w:type="dxa"/>
            <w:tcBorders>
              <w:top w:val="double" w:sz="6" w:space="0" w:color="000000"/>
              <w:bottom w:val="single" w:sz="6" w:space="0" w:color="000000"/>
            </w:tcBorders>
            <w:shd w:val="clear" w:color="auto" w:fill="BFBFBF"/>
          </w:tcPr>
          <w:p w14:paraId="35DD4B74"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0" w:type="dxa"/>
            <w:tcBorders>
              <w:top w:val="double" w:sz="6" w:space="0" w:color="000000"/>
              <w:bottom w:val="single" w:sz="6" w:space="0" w:color="000000"/>
            </w:tcBorders>
            <w:shd w:val="clear" w:color="auto" w:fill="BFBFBF"/>
          </w:tcPr>
          <w:p w14:paraId="05A46747"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F66AEE" w14:paraId="52E49236" w14:textId="77777777" w:rsidTr="00CD0355">
        <w:trPr>
          <w:cantSplit/>
          <w:jc w:val="center"/>
        </w:trPr>
        <w:tc>
          <w:tcPr>
            <w:tcW w:w="1620" w:type="dxa"/>
            <w:tcBorders>
              <w:top w:val="single" w:sz="6" w:space="0" w:color="000000"/>
            </w:tcBorders>
          </w:tcPr>
          <w:p w14:paraId="10B2A1B5"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Borders>
              <w:top w:val="single" w:sz="6" w:space="0" w:color="000000"/>
            </w:tcBorders>
          </w:tcPr>
          <w:p w14:paraId="2FF2552D"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19" w:type="dxa"/>
            <w:tcBorders>
              <w:top w:val="single" w:sz="6" w:space="0" w:color="000000"/>
            </w:tcBorders>
          </w:tcPr>
          <w:p w14:paraId="7EBA7091"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70" w:type="dxa"/>
            <w:tcBorders>
              <w:top w:val="single" w:sz="6" w:space="0" w:color="000000"/>
            </w:tcBorders>
          </w:tcPr>
          <w:p w14:paraId="517D66FB"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F66AEE" w14:paraId="22FD8318" w14:textId="77777777" w:rsidTr="00CD0355">
        <w:trPr>
          <w:cantSplit/>
          <w:jc w:val="center"/>
        </w:trPr>
        <w:tc>
          <w:tcPr>
            <w:tcW w:w="1620" w:type="dxa"/>
          </w:tcPr>
          <w:p w14:paraId="25C9F218"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Pr>
          <w:p w14:paraId="4F593957"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19" w:type="dxa"/>
          </w:tcPr>
          <w:p w14:paraId="2CF9A868"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70" w:type="dxa"/>
          </w:tcPr>
          <w:p w14:paraId="00BE638B"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F66AEE" w14:paraId="70E50972" w14:textId="77777777" w:rsidTr="00CD0355">
        <w:trPr>
          <w:cantSplit/>
          <w:jc w:val="center"/>
        </w:trPr>
        <w:tc>
          <w:tcPr>
            <w:tcW w:w="1620" w:type="dxa"/>
          </w:tcPr>
          <w:p w14:paraId="729B0104"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Pr>
          <w:p w14:paraId="3F82DED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14:paraId="1AACB5C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70" w:type="dxa"/>
          </w:tcPr>
          <w:p w14:paraId="6EC75A6D" w14:textId="77777777" w:rsidR="00CD0355" w:rsidRPr="001531CD" w:rsidRDefault="00CD0355" w:rsidP="00CD0355">
            <w:pPr>
              <w:tabs>
                <w:tab w:val="left" w:pos="180"/>
                <w:tab w:val="left" w:pos="360"/>
              </w:tabs>
              <w:jc w:val="center"/>
              <w:rPr>
                <w:sz w:val="16"/>
                <w:szCs w:val="16"/>
              </w:rPr>
            </w:pPr>
            <w:r w:rsidRPr="001531CD">
              <w:rPr>
                <w:sz w:val="16"/>
                <w:szCs w:val="16"/>
              </w:rPr>
              <w:t>9 seed/lb.</w:t>
            </w:r>
          </w:p>
        </w:tc>
      </w:tr>
      <w:tr w:rsidR="00CD0355" w:rsidRPr="00F66AEE" w14:paraId="302BA14E" w14:textId="77777777" w:rsidTr="00CD0355">
        <w:trPr>
          <w:cantSplit/>
          <w:jc w:val="center"/>
        </w:trPr>
        <w:tc>
          <w:tcPr>
            <w:tcW w:w="1620" w:type="dxa"/>
          </w:tcPr>
          <w:p w14:paraId="1DA85260"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Pr>
          <w:p w14:paraId="5D6CFF5F"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14:paraId="398DB8D4"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070" w:type="dxa"/>
          </w:tcPr>
          <w:p w14:paraId="0CF86447"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F66AEE" w14:paraId="58556D53" w14:textId="77777777" w:rsidTr="00CD0355">
        <w:trPr>
          <w:cantSplit/>
          <w:jc w:val="center"/>
        </w:trPr>
        <w:tc>
          <w:tcPr>
            <w:tcW w:w="1620" w:type="dxa"/>
          </w:tcPr>
          <w:p w14:paraId="14D7F8F1"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1080" w:type="dxa"/>
          </w:tcPr>
          <w:p w14:paraId="3C75F398"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14:paraId="140ED0FC"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70" w:type="dxa"/>
          </w:tcPr>
          <w:p w14:paraId="177400F5"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F66AEE" w14:paraId="386F8B10" w14:textId="77777777" w:rsidTr="00CD0355">
        <w:trPr>
          <w:cantSplit/>
          <w:jc w:val="center"/>
        </w:trPr>
        <w:tc>
          <w:tcPr>
            <w:tcW w:w="1620" w:type="dxa"/>
            <w:tcBorders>
              <w:bottom w:val="double" w:sz="6" w:space="0" w:color="000000"/>
            </w:tcBorders>
          </w:tcPr>
          <w:p w14:paraId="604FFD70"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Pr>
          <w:p w14:paraId="77BAAE4A"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019" w:type="dxa"/>
            <w:tcBorders>
              <w:bottom w:val="double" w:sz="6" w:space="0" w:color="000000"/>
            </w:tcBorders>
          </w:tcPr>
          <w:p w14:paraId="4FBD4FB5"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070" w:type="dxa"/>
            <w:tcBorders>
              <w:bottom w:val="double" w:sz="6" w:space="0" w:color="000000"/>
            </w:tcBorders>
          </w:tcPr>
          <w:p w14:paraId="2CA7B24A" w14:textId="77777777" w:rsidR="00CD0355" w:rsidRPr="001531CD" w:rsidRDefault="00CD0355" w:rsidP="00CD0355">
            <w:pPr>
              <w:tabs>
                <w:tab w:val="left" w:pos="180"/>
                <w:tab w:val="left" w:pos="360"/>
              </w:tabs>
              <w:jc w:val="center"/>
              <w:rPr>
                <w:sz w:val="16"/>
                <w:szCs w:val="16"/>
              </w:rPr>
            </w:pPr>
            <w:r w:rsidRPr="001531CD">
              <w:rPr>
                <w:sz w:val="16"/>
                <w:szCs w:val="16"/>
              </w:rPr>
              <w:t>80.00%</w:t>
            </w:r>
          </w:p>
        </w:tc>
      </w:tr>
    </w:tbl>
    <w:p w14:paraId="2A36B7E9" w14:textId="77777777" w:rsidR="00CD0355" w:rsidRPr="001531CD" w:rsidRDefault="00CD0355" w:rsidP="00CD0355">
      <w:pPr>
        <w:pStyle w:val="A"/>
        <w:spacing w:after="0"/>
      </w:pPr>
    </w:p>
    <w:p w14:paraId="103A29FB" w14:textId="77777777" w:rsidR="00CD0355" w:rsidRPr="001531CD" w:rsidRDefault="00CD0355" w:rsidP="00CD0355">
      <w:pPr>
        <w:pStyle w:val="AuthorityNote"/>
      </w:pPr>
      <w:r w:rsidRPr="001531CD">
        <w:t>AUTHORITY NOTE:</w:t>
      </w:r>
      <w:r w:rsidRPr="001531CD">
        <w:tab/>
        <w:t>Promulgated in accordance with R.S. 3:1433.</w:t>
      </w:r>
    </w:p>
    <w:p w14:paraId="22694ED6" w14:textId="77777777"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39:2729 (October 2013).</w:t>
      </w:r>
    </w:p>
    <w:p w14:paraId="3D023A9D" w14:textId="77777777" w:rsidR="00CD0355" w:rsidRPr="001531CD" w:rsidRDefault="00CD0355" w:rsidP="00CD0355">
      <w:pPr>
        <w:pStyle w:val="Section"/>
      </w:pPr>
      <w:bookmarkStart w:id="1172" w:name="_Toc224818819"/>
      <w:r w:rsidRPr="001531CD">
        <w:t>§761.</w:t>
      </w:r>
      <w:r w:rsidRPr="001531CD">
        <w:tab/>
        <w:t>Soybean Seed Certification Standards</w:t>
      </w:r>
      <w:bookmarkEnd w:id="1172"/>
      <w:r w:rsidRPr="001531CD">
        <w:t xml:space="preserve"> </w:t>
      </w:r>
    </w:p>
    <w:p w14:paraId="198F6ED5" w14:textId="77777777" w:rsidR="00CD0355" w:rsidRPr="001531CD" w:rsidRDefault="00CD0355" w:rsidP="00CD0355">
      <w:pPr>
        <w:pStyle w:val="A"/>
      </w:pPr>
      <w:r w:rsidRPr="001531CD">
        <w:t>A.</w:t>
      </w:r>
      <w:r w:rsidRPr="001531CD">
        <w:tab/>
        <w:t>Field Standards</w:t>
      </w:r>
    </w:p>
    <w:tbl>
      <w:tblPr>
        <w:tblW w:w="50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
        <w:gridCol w:w="1440"/>
        <w:gridCol w:w="54"/>
        <w:gridCol w:w="702"/>
        <w:gridCol w:w="54"/>
        <w:gridCol w:w="936"/>
        <w:gridCol w:w="54"/>
        <w:gridCol w:w="846"/>
        <w:gridCol w:w="54"/>
        <w:gridCol w:w="810"/>
        <w:gridCol w:w="54"/>
      </w:tblGrid>
      <w:tr w:rsidR="00CD0355" w:rsidRPr="00F66AEE" w14:paraId="702AB7C7" w14:textId="77777777" w:rsidTr="00CD0355">
        <w:trPr>
          <w:gridAfter w:val="1"/>
          <w:wAfter w:w="54" w:type="dxa"/>
          <w:tblHeader/>
          <w:jc w:val="center"/>
        </w:trPr>
        <w:tc>
          <w:tcPr>
            <w:tcW w:w="1494" w:type="dxa"/>
            <w:gridSpan w:val="2"/>
            <w:tcBorders>
              <w:top w:val="double" w:sz="6" w:space="0" w:color="000000"/>
              <w:bottom w:val="single" w:sz="6" w:space="0" w:color="000000"/>
            </w:tcBorders>
            <w:shd w:val="clear" w:color="auto" w:fill="BFBFBF"/>
            <w:tcMar>
              <w:left w:w="0" w:type="dxa"/>
              <w:right w:w="0" w:type="dxa"/>
            </w:tcMar>
            <w:vAlign w:val="bottom"/>
          </w:tcPr>
          <w:p w14:paraId="2E9B9408" w14:textId="77777777" w:rsidR="00CD0355" w:rsidRPr="00F66AEE" w:rsidRDefault="00CD0355" w:rsidP="00CD0355">
            <w:pPr>
              <w:tabs>
                <w:tab w:val="left" w:pos="180"/>
                <w:tab w:val="left" w:pos="360"/>
              </w:tabs>
              <w:jc w:val="center"/>
              <w:rPr>
                <w:b/>
                <w:sz w:val="16"/>
                <w:szCs w:val="16"/>
              </w:rPr>
            </w:pPr>
            <w:r w:rsidRPr="00F66AEE">
              <w:rPr>
                <w:b/>
                <w:sz w:val="16"/>
                <w:szCs w:val="16"/>
              </w:rPr>
              <w:t>Factor</w:t>
            </w:r>
          </w:p>
        </w:tc>
        <w:tc>
          <w:tcPr>
            <w:tcW w:w="756" w:type="dxa"/>
            <w:gridSpan w:val="2"/>
            <w:tcBorders>
              <w:top w:val="double" w:sz="6" w:space="0" w:color="000000"/>
              <w:bottom w:val="single" w:sz="6" w:space="0" w:color="000000"/>
            </w:tcBorders>
            <w:shd w:val="clear" w:color="auto" w:fill="BFBFBF"/>
            <w:tcMar>
              <w:left w:w="0" w:type="dxa"/>
              <w:right w:w="0" w:type="dxa"/>
            </w:tcMar>
            <w:vAlign w:val="bottom"/>
          </w:tcPr>
          <w:p w14:paraId="218AC8A8" w14:textId="77777777" w:rsidR="00CD0355" w:rsidRPr="00F66AEE" w:rsidRDefault="00CD0355" w:rsidP="00CD0355">
            <w:pPr>
              <w:tabs>
                <w:tab w:val="left" w:pos="180"/>
                <w:tab w:val="left" w:pos="360"/>
              </w:tabs>
              <w:jc w:val="center"/>
              <w:rPr>
                <w:b/>
                <w:sz w:val="16"/>
                <w:szCs w:val="16"/>
              </w:rPr>
            </w:pPr>
            <w:r w:rsidRPr="00F66AEE">
              <w:rPr>
                <w:b/>
                <w:sz w:val="16"/>
                <w:szCs w:val="16"/>
              </w:rPr>
              <w:t>Breeder</w:t>
            </w:r>
          </w:p>
        </w:tc>
        <w:tc>
          <w:tcPr>
            <w:tcW w:w="990" w:type="dxa"/>
            <w:gridSpan w:val="2"/>
            <w:tcBorders>
              <w:top w:val="double" w:sz="6" w:space="0" w:color="000000"/>
              <w:bottom w:val="single" w:sz="6" w:space="0" w:color="000000"/>
            </w:tcBorders>
            <w:shd w:val="clear" w:color="auto" w:fill="BFBFBF"/>
            <w:tcMar>
              <w:left w:w="0" w:type="dxa"/>
              <w:right w:w="0" w:type="dxa"/>
            </w:tcMar>
            <w:vAlign w:val="bottom"/>
          </w:tcPr>
          <w:p w14:paraId="64408F06" w14:textId="77777777" w:rsidR="00CD0355" w:rsidRPr="00F66AEE" w:rsidRDefault="00CD0355" w:rsidP="00CD0355">
            <w:pPr>
              <w:tabs>
                <w:tab w:val="left" w:pos="180"/>
                <w:tab w:val="left" w:pos="360"/>
              </w:tabs>
              <w:jc w:val="center"/>
              <w:rPr>
                <w:b/>
                <w:sz w:val="16"/>
                <w:szCs w:val="16"/>
              </w:rPr>
            </w:pPr>
            <w:r w:rsidRPr="00F66AEE">
              <w:rPr>
                <w:b/>
                <w:sz w:val="16"/>
                <w:szCs w:val="16"/>
              </w:rPr>
              <w:t>Foundation</w:t>
            </w:r>
          </w:p>
        </w:tc>
        <w:tc>
          <w:tcPr>
            <w:tcW w:w="900" w:type="dxa"/>
            <w:gridSpan w:val="2"/>
            <w:tcBorders>
              <w:top w:val="double" w:sz="6" w:space="0" w:color="000000"/>
              <w:bottom w:val="single" w:sz="6" w:space="0" w:color="000000"/>
            </w:tcBorders>
            <w:shd w:val="clear" w:color="auto" w:fill="BFBFBF"/>
            <w:tcMar>
              <w:left w:w="0" w:type="dxa"/>
              <w:right w:w="0" w:type="dxa"/>
            </w:tcMar>
            <w:vAlign w:val="bottom"/>
          </w:tcPr>
          <w:p w14:paraId="1BBBC9A6" w14:textId="77777777" w:rsidR="00CD0355" w:rsidRPr="00F66AEE" w:rsidRDefault="00CD0355" w:rsidP="00CD0355">
            <w:pPr>
              <w:tabs>
                <w:tab w:val="left" w:pos="180"/>
                <w:tab w:val="left" w:pos="360"/>
              </w:tabs>
              <w:jc w:val="center"/>
              <w:rPr>
                <w:b/>
                <w:sz w:val="16"/>
                <w:szCs w:val="16"/>
              </w:rPr>
            </w:pPr>
            <w:r w:rsidRPr="00F66AEE">
              <w:rPr>
                <w:b/>
                <w:sz w:val="16"/>
                <w:szCs w:val="16"/>
              </w:rPr>
              <w:t>Registered</w:t>
            </w:r>
          </w:p>
        </w:tc>
        <w:tc>
          <w:tcPr>
            <w:tcW w:w="864" w:type="dxa"/>
            <w:gridSpan w:val="2"/>
            <w:tcBorders>
              <w:top w:val="double" w:sz="6" w:space="0" w:color="000000"/>
              <w:bottom w:val="single" w:sz="6" w:space="0" w:color="000000"/>
            </w:tcBorders>
            <w:shd w:val="clear" w:color="auto" w:fill="BFBFBF"/>
            <w:tcMar>
              <w:left w:w="0" w:type="dxa"/>
              <w:right w:w="0" w:type="dxa"/>
            </w:tcMar>
            <w:vAlign w:val="bottom"/>
          </w:tcPr>
          <w:p w14:paraId="0E33B16F" w14:textId="77777777" w:rsidR="00CD0355" w:rsidRPr="00F66AEE" w:rsidRDefault="00CD0355" w:rsidP="00CD0355">
            <w:pPr>
              <w:tabs>
                <w:tab w:val="left" w:pos="180"/>
                <w:tab w:val="left" w:pos="360"/>
              </w:tabs>
              <w:jc w:val="center"/>
              <w:rPr>
                <w:b/>
                <w:sz w:val="16"/>
                <w:szCs w:val="16"/>
              </w:rPr>
            </w:pPr>
            <w:r w:rsidRPr="00F66AEE">
              <w:rPr>
                <w:b/>
                <w:sz w:val="16"/>
                <w:szCs w:val="16"/>
              </w:rPr>
              <w:t>Certified</w:t>
            </w:r>
          </w:p>
        </w:tc>
      </w:tr>
      <w:tr w:rsidR="00CD0355" w:rsidRPr="001531CD" w14:paraId="3D452C2F" w14:textId="77777777" w:rsidTr="00CD0355">
        <w:trPr>
          <w:gridBefore w:val="1"/>
          <w:wBefore w:w="54" w:type="dxa"/>
          <w:jc w:val="center"/>
        </w:trPr>
        <w:tc>
          <w:tcPr>
            <w:tcW w:w="1494" w:type="dxa"/>
            <w:gridSpan w:val="2"/>
            <w:tcBorders>
              <w:top w:val="single" w:sz="6" w:space="0" w:color="000000"/>
            </w:tcBorders>
            <w:tcMar>
              <w:left w:w="0" w:type="dxa"/>
              <w:right w:w="0" w:type="dxa"/>
            </w:tcMar>
          </w:tcPr>
          <w:p w14:paraId="31D93FEF" w14:textId="77777777" w:rsidR="00CD0355" w:rsidRPr="001531CD" w:rsidRDefault="00CD0355" w:rsidP="00CD0355">
            <w:pPr>
              <w:ind w:left="54"/>
              <w:rPr>
                <w:sz w:val="16"/>
                <w:szCs w:val="16"/>
              </w:rPr>
            </w:pPr>
            <w:r w:rsidRPr="00F66AEE">
              <w:rPr>
                <w:sz w:val="16"/>
                <w:szCs w:val="16"/>
              </w:rPr>
              <w:t>*</w:t>
            </w:r>
            <w:r w:rsidRPr="001531CD">
              <w:rPr>
                <w:sz w:val="16"/>
                <w:szCs w:val="16"/>
              </w:rPr>
              <w:t>Land Requirement</w:t>
            </w:r>
          </w:p>
        </w:tc>
        <w:tc>
          <w:tcPr>
            <w:tcW w:w="756" w:type="dxa"/>
            <w:gridSpan w:val="2"/>
            <w:tcBorders>
              <w:top w:val="single" w:sz="6" w:space="0" w:color="000000"/>
            </w:tcBorders>
            <w:tcMar>
              <w:left w:w="0" w:type="dxa"/>
              <w:right w:w="0" w:type="dxa"/>
            </w:tcMar>
            <w:vAlign w:val="bottom"/>
          </w:tcPr>
          <w:p w14:paraId="76768A5D" w14:textId="77777777" w:rsidR="00CD0355" w:rsidRPr="001531CD" w:rsidRDefault="00CD0355" w:rsidP="00CD0355">
            <w:pPr>
              <w:jc w:val="center"/>
              <w:rPr>
                <w:sz w:val="16"/>
                <w:szCs w:val="16"/>
              </w:rPr>
            </w:pPr>
            <w:r w:rsidRPr="001531CD">
              <w:rPr>
                <w:sz w:val="16"/>
                <w:szCs w:val="16"/>
              </w:rPr>
              <w:t>1 yr.</w:t>
            </w:r>
          </w:p>
        </w:tc>
        <w:tc>
          <w:tcPr>
            <w:tcW w:w="990" w:type="dxa"/>
            <w:gridSpan w:val="2"/>
            <w:tcBorders>
              <w:top w:val="single" w:sz="6" w:space="0" w:color="000000"/>
            </w:tcBorders>
            <w:tcMar>
              <w:left w:w="0" w:type="dxa"/>
              <w:right w:w="0" w:type="dxa"/>
            </w:tcMar>
            <w:vAlign w:val="bottom"/>
          </w:tcPr>
          <w:p w14:paraId="3CA70A1F" w14:textId="77777777" w:rsidR="00CD0355" w:rsidRPr="001531CD" w:rsidRDefault="00CD0355" w:rsidP="00CD0355">
            <w:pPr>
              <w:jc w:val="center"/>
              <w:rPr>
                <w:sz w:val="16"/>
                <w:szCs w:val="16"/>
              </w:rPr>
            </w:pPr>
            <w:r w:rsidRPr="001531CD">
              <w:rPr>
                <w:sz w:val="16"/>
                <w:szCs w:val="16"/>
              </w:rPr>
              <w:t>1 yr.</w:t>
            </w:r>
          </w:p>
        </w:tc>
        <w:tc>
          <w:tcPr>
            <w:tcW w:w="900" w:type="dxa"/>
            <w:gridSpan w:val="2"/>
            <w:tcBorders>
              <w:top w:val="single" w:sz="6" w:space="0" w:color="000000"/>
            </w:tcBorders>
            <w:tcMar>
              <w:left w:w="0" w:type="dxa"/>
              <w:right w:w="0" w:type="dxa"/>
            </w:tcMar>
            <w:vAlign w:val="bottom"/>
          </w:tcPr>
          <w:p w14:paraId="6F3C164F" w14:textId="77777777" w:rsidR="00CD0355" w:rsidRPr="001531CD" w:rsidRDefault="00CD0355" w:rsidP="00CD0355">
            <w:pPr>
              <w:jc w:val="center"/>
              <w:rPr>
                <w:sz w:val="16"/>
                <w:szCs w:val="16"/>
              </w:rPr>
            </w:pPr>
            <w:r w:rsidRPr="001531CD">
              <w:rPr>
                <w:sz w:val="16"/>
                <w:szCs w:val="16"/>
              </w:rPr>
              <w:t>1 yr.</w:t>
            </w:r>
          </w:p>
        </w:tc>
        <w:tc>
          <w:tcPr>
            <w:tcW w:w="864" w:type="dxa"/>
            <w:gridSpan w:val="2"/>
            <w:tcBorders>
              <w:top w:val="single" w:sz="6" w:space="0" w:color="000000"/>
            </w:tcBorders>
            <w:tcMar>
              <w:left w:w="0" w:type="dxa"/>
              <w:right w:w="0" w:type="dxa"/>
            </w:tcMar>
            <w:vAlign w:val="bottom"/>
          </w:tcPr>
          <w:p w14:paraId="6F30C6BD" w14:textId="77777777" w:rsidR="00CD0355" w:rsidRPr="001531CD" w:rsidRDefault="00CD0355" w:rsidP="00CD0355">
            <w:pPr>
              <w:tabs>
                <w:tab w:val="left" w:pos="54"/>
              </w:tabs>
              <w:jc w:val="center"/>
              <w:rPr>
                <w:sz w:val="16"/>
                <w:szCs w:val="16"/>
              </w:rPr>
            </w:pPr>
            <w:r w:rsidRPr="001531CD">
              <w:rPr>
                <w:sz w:val="16"/>
                <w:szCs w:val="16"/>
              </w:rPr>
              <w:t>1 yr.</w:t>
            </w:r>
          </w:p>
        </w:tc>
      </w:tr>
      <w:tr w:rsidR="00CD0355" w:rsidRPr="001531CD" w14:paraId="5122061A" w14:textId="77777777" w:rsidTr="00CD0355">
        <w:trPr>
          <w:gridBefore w:val="1"/>
          <w:wBefore w:w="54" w:type="dxa"/>
          <w:jc w:val="center"/>
        </w:trPr>
        <w:tc>
          <w:tcPr>
            <w:tcW w:w="1494" w:type="dxa"/>
            <w:gridSpan w:val="2"/>
            <w:tcMar>
              <w:left w:w="0" w:type="dxa"/>
              <w:right w:w="0" w:type="dxa"/>
            </w:tcMar>
          </w:tcPr>
          <w:p w14:paraId="21BCD3BA" w14:textId="77777777" w:rsidR="00CD0355" w:rsidRPr="001531CD" w:rsidRDefault="00CD0355" w:rsidP="00CD0355">
            <w:pPr>
              <w:ind w:left="54"/>
              <w:rPr>
                <w:sz w:val="16"/>
                <w:szCs w:val="16"/>
              </w:rPr>
            </w:pPr>
            <w:r w:rsidRPr="001531CD">
              <w:rPr>
                <w:sz w:val="16"/>
                <w:szCs w:val="16"/>
              </w:rPr>
              <w:t>Isolation</w:t>
            </w:r>
          </w:p>
        </w:tc>
        <w:tc>
          <w:tcPr>
            <w:tcW w:w="756" w:type="dxa"/>
            <w:gridSpan w:val="2"/>
            <w:tcMar>
              <w:left w:w="0" w:type="dxa"/>
              <w:right w:w="0" w:type="dxa"/>
            </w:tcMar>
            <w:vAlign w:val="bottom"/>
          </w:tcPr>
          <w:p w14:paraId="64135970" w14:textId="77777777" w:rsidR="00CD0355" w:rsidRPr="001531CD" w:rsidRDefault="00CD0355" w:rsidP="00CD0355">
            <w:pPr>
              <w:jc w:val="center"/>
              <w:rPr>
                <w:sz w:val="16"/>
                <w:szCs w:val="16"/>
              </w:rPr>
            </w:pPr>
          </w:p>
        </w:tc>
        <w:tc>
          <w:tcPr>
            <w:tcW w:w="990" w:type="dxa"/>
            <w:gridSpan w:val="2"/>
            <w:tcMar>
              <w:left w:w="0" w:type="dxa"/>
              <w:right w:w="0" w:type="dxa"/>
            </w:tcMar>
            <w:vAlign w:val="bottom"/>
          </w:tcPr>
          <w:p w14:paraId="555B19D8" w14:textId="77777777" w:rsidR="00CD0355" w:rsidRPr="001531CD" w:rsidRDefault="00CD0355" w:rsidP="00CD0355">
            <w:pPr>
              <w:jc w:val="center"/>
              <w:rPr>
                <w:sz w:val="16"/>
                <w:szCs w:val="16"/>
              </w:rPr>
            </w:pPr>
            <w:r w:rsidRPr="001531CD">
              <w:rPr>
                <w:sz w:val="16"/>
                <w:szCs w:val="16"/>
              </w:rPr>
              <w:t>10 ft.</w:t>
            </w:r>
          </w:p>
        </w:tc>
        <w:tc>
          <w:tcPr>
            <w:tcW w:w="900" w:type="dxa"/>
            <w:gridSpan w:val="2"/>
            <w:tcMar>
              <w:left w:w="0" w:type="dxa"/>
              <w:right w:w="0" w:type="dxa"/>
            </w:tcMar>
            <w:vAlign w:val="bottom"/>
          </w:tcPr>
          <w:p w14:paraId="22FB4C7C" w14:textId="77777777" w:rsidR="00CD0355" w:rsidRPr="001531CD" w:rsidRDefault="00CD0355" w:rsidP="00CD0355">
            <w:pPr>
              <w:jc w:val="center"/>
              <w:rPr>
                <w:sz w:val="16"/>
                <w:szCs w:val="16"/>
              </w:rPr>
            </w:pPr>
            <w:r w:rsidRPr="001531CD">
              <w:rPr>
                <w:sz w:val="16"/>
                <w:szCs w:val="16"/>
              </w:rPr>
              <w:t>10 ft.</w:t>
            </w:r>
          </w:p>
        </w:tc>
        <w:tc>
          <w:tcPr>
            <w:tcW w:w="864" w:type="dxa"/>
            <w:gridSpan w:val="2"/>
            <w:tcMar>
              <w:left w:w="0" w:type="dxa"/>
              <w:right w:w="0" w:type="dxa"/>
            </w:tcMar>
            <w:vAlign w:val="bottom"/>
          </w:tcPr>
          <w:p w14:paraId="1DB202CC" w14:textId="77777777" w:rsidR="00CD0355" w:rsidRPr="001531CD" w:rsidRDefault="00CD0355" w:rsidP="00CD0355">
            <w:pPr>
              <w:tabs>
                <w:tab w:val="left" w:pos="54"/>
              </w:tabs>
              <w:jc w:val="center"/>
              <w:rPr>
                <w:sz w:val="16"/>
                <w:szCs w:val="16"/>
              </w:rPr>
            </w:pPr>
            <w:r w:rsidRPr="001531CD">
              <w:rPr>
                <w:sz w:val="16"/>
                <w:szCs w:val="16"/>
              </w:rPr>
              <w:t>10 ft.</w:t>
            </w:r>
          </w:p>
        </w:tc>
      </w:tr>
      <w:tr w:rsidR="00CD0355" w:rsidRPr="001531CD" w14:paraId="5CCA2B55" w14:textId="77777777" w:rsidTr="00CD0355">
        <w:trPr>
          <w:gridBefore w:val="1"/>
          <w:wBefore w:w="54" w:type="dxa"/>
          <w:jc w:val="center"/>
        </w:trPr>
        <w:tc>
          <w:tcPr>
            <w:tcW w:w="1494" w:type="dxa"/>
            <w:gridSpan w:val="2"/>
            <w:tcMar>
              <w:left w:w="0" w:type="dxa"/>
              <w:right w:w="0" w:type="dxa"/>
            </w:tcMar>
            <w:vAlign w:val="bottom"/>
          </w:tcPr>
          <w:p w14:paraId="215103EA" w14:textId="77777777" w:rsidR="00CD0355" w:rsidRPr="001531CD" w:rsidRDefault="00CD0355" w:rsidP="00CD0355">
            <w:pPr>
              <w:ind w:left="54"/>
              <w:rPr>
                <w:sz w:val="16"/>
                <w:szCs w:val="16"/>
              </w:rPr>
            </w:pPr>
            <w:r w:rsidRPr="001531CD">
              <w:rPr>
                <w:sz w:val="16"/>
                <w:szCs w:val="16"/>
              </w:rPr>
              <w:t>Other Varieties</w:t>
            </w:r>
          </w:p>
        </w:tc>
        <w:tc>
          <w:tcPr>
            <w:tcW w:w="756" w:type="dxa"/>
            <w:gridSpan w:val="2"/>
            <w:tcMar>
              <w:left w:w="0" w:type="dxa"/>
              <w:right w:w="0" w:type="dxa"/>
            </w:tcMar>
            <w:vAlign w:val="bottom"/>
          </w:tcPr>
          <w:p w14:paraId="3C0FF423" w14:textId="77777777"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14:paraId="4B15AB2C" w14:textId="77777777"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14:paraId="19548344" w14:textId="77777777" w:rsidR="00CD0355" w:rsidRPr="001531CD" w:rsidRDefault="00CD0355" w:rsidP="00CD0355">
            <w:pPr>
              <w:jc w:val="center"/>
              <w:rPr>
                <w:sz w:val="16"/>
                <w:szCs w:val="16"/>
              </w:rPr>
            </w:pPr>
            <w:r w:rsidRPr="001531CD">
              <w:rPr>
                <w:sz w:val="16"/>
                <w:szCs w:val="16"/>
              </w:rPr>
              <w:t xml:space="preserve">3 Plants </w:t>
            </w:r>
            <w:r w:rsidRPr="001531CD">
              <w:rPr>
                <w:sz w:val="16"/>
                <w:szCs w:val="16"/>
              </w:rPr>
              <w:br/>
              <w:t>per Acre</w:t>
            </w:r>
          </w:p>
        </w:tc>
        <w:tc>
          <w:tcPr>
            <w:tcW w:w="864" w:type="dxa"/>
            <w:gridSpan w:val="2"/>
            <w:tcMar>
              <w:left w:w="0" w:type="dxa"/>
              <w:right w:w="0" w:type="dxa"/>
            </w:tcMar>
            <w:vAlign w:val="bottom"/>
          </w:tcPr>
          <w:p w14:paraId="5A3C77BB" w14:textId="77777777" w:rsidR="00CD0355" w:rsidRPr="001531CD" w:rsidRDefault="00CD0355" w:rsidP="00CD0355">
            <w:pPr>
              <w:tabs>
                <w:tab w:val="left" w:pos="54"/>
              </w:tabs>
              <w:jc w:val="center"/>
              <w:rPr>
                <w:sz w:val="16"/>
                <w:szCs w:val="16"/>
              </w:rPr>
            </w:pPr>
            <w:r w:rsidRPr="001531CD">
              <w:rPr>
                <w:sz w:val="16"/>
                <w:szCs w:val="16"/>
              </w:rPr>
              <w:t>10 Plants per Acre</w:t>
            </w:r>
          </w:p>
        </w:tc>
      </w:tr>
      <w:tr w:rsidR="00CD0355" w:rsidRPr="001531CD" w14:paraId="3D9C11DB" w14:textId="77777777" w:rsidTr="00CD0355">
        <w:trPr>
          <w:gridBefore w:val="1"/>
          <w:wBefore w:w="54" w:type="dxa"/>
          <w:jc w:val="center"/>
        </w:trPr>
        <w:tc>
          <w:tcPr>
            <w:tcW w:w="1494" w:type="dxa"/>
            <w:gridSpan w:val="2"/>
            <w:tcMar>
              <w:left w:w="0" w:type="dxa"/>
              <w:right w:w="0" w:type="dxa"/>
            </w:tcMar>
          </w:tcPr>
          <w:p w14:paraId="52ED3305" w14:textId="77777777" w:rsidR="00CD0355" w:rsidRPr="001531CD" w:rsidRDefault="00CD0355" w:rsidP="00CD0355">
            <w:pPr>
              <w:ind w:left="54"/>
              <w:rPr>
                <w:sz w:val="16"/>
                <w:szCs w:val="16"/>
              </w:rPr>
            </w:pPr>
            <w:r w:rsidRPr="001531CD">
              <w:rPr>
                <w:sz w:val="16"/>
                <w:szCs w:val="16"/>
              </w:rPr>
              <w:t>Noxious Weeds:</w:t>
            </w:r>
          </w:p>
          <w:p w14:paraId="70CB2A2B" w14:textId="77777777" w:rsidR="00CD0355" w:rsidRPr="001531CD" w:rsidRDefault="00CD0355" w:rsidP="00CD0355">
            <w:pPr>
              <w:ind w:left="54"/>
              <w:rPr>
                <w:sz w:val="16"/>
                <w:szCs w:val="16"/>
              </w:rPr>
            </w:pPr>
            <w:r w:rsidRPr="001531CD">
              <w:rPr>
                <w:sz w:val="16"/>
                <w:szCs w:val="16"/>
              </w:rPr>
              <w:t>Purpl</w:t>
            </w:r>
            <w:r>
              <w:rPr>
                <w:sz w:val="16"/>
                <w:szCs w:val="16"/>
              </w:rPr>
              <w:t xml:space="preserve">e Moonflower </w:t>
            </w:r>
          </w:p>
        </w:tc>
        <w:tc>
          <w:tcPr>
            <w:tcW w:w="756" w:type="dxa"/>
            <w:gridSpan w:val="2"/>
            <w:tcMar>
              <w:left w:w="0" w:type="dxa"/>
              <w:right w:w="0" w:type="dxa"/>
            </w:tcMar>
            <w:vAlign w:val="bottom"/>
          </w:tcPr>
          <w:p w14:paraId="3D1DAE47" w14:textId="77777777"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14:paraId="36B3C0F8" w14:textId="77777777"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14:paraId="28FEC881" w14:textId="77777777" w:rsidR="00CD0355" w:rsidRPr="001531CD" w:rsidRDefault="00CD0355" w:rsidP="00CD0355">
            <w:pPr>
              <w:jc w:val="center"/>
              <w:rPr>
                <w:sz w:val="16"/>
                <w:szCs w:val="16"/>
              </w:rPr>
            </w:pPr>
            <w:r w:rsidRPr="001531CD">
              <w:rPr>
                <w:sz w:val="16"/>
                <w:szCs w:val="16"/>
              </w:rPr>
              <w:t xml:space="preserve">2 Plants </w:t>
            </w:r>
            <w:r w:rsidRPr="001531CD">
              <w:rPr>
                <w:sz w:val="16"/>
                <w:szCs w:val="16"/>
              </w:rPr>
              <w:br/>
              <w:t>per Acre</w:t>
            </w:r>
          </w:p>
        </w:tc>
        <w:tc>
          <w:tcPr>
            <w:tcW w:w="864" w:type="dxa"/>
            <w:gridSpan w:val="2"/>
            <w:tcMar>
              <w:left w:w="0" w:type="dxa"/>
              <w:right w:w="0" w:type="dxa"/>
            </w:tcMar>
            <w:vAlign w:val="bottom"/>
          </w:tcPr>
          <w:p w14:paraId="515ED19B" w14:textId="77777777" w:rsidR="00CD0355" w:rsidRPr="001531CD" w:rsidRDefault="00CD0355" w:rsidP="00CD0355">
            <w:pPr>
              <w:tabs>
                <w:tab w:val="left" w:pos="54"/>
              </w:tabs>
              <w:jc w:val="center"/>
              <w:rPr>
                <w:sz w:val="16"/>
                <w:szCs w:val="16"/>
              </w:rPr>
            </w:pPr>
            <w:r w:rsidRPr="001531CD">
              <w:rPr>
                <w:sz w:val="16"/>
                <w:szCs w:val="16"/>
              </w:rPr>
              <w:t xml:space="preserve">5 Plants </w:t>
            </w:r>
            <w:r w:rsidRPr="001531CD">
              <w:rPr>
                <w:sz w:val="16"/>
                <w:szCs w:val="16"/>
              </w:rPr>
              <w:br/>
              <w:t>per Acre</w:t>
            </w:r>
          </w:p>
        </w:tc>
      </w:tr>
      <w:tr w:rsidR="00CD0355" w:rsidRPr="001531CD" w14:paraId="08CF6767" w14:textId="77777777" w:rsidTr="00CD0355">
        <w:trPr>
          <w:gridBefore w:val="1"/>
          <w:wBefore w:w="54" w:type="dxa"/>
          <w:jc w:val="center"/>
        </w:trPr>
        <w:tc>
          <w:tcPr>
            <w:tcW w:w="1494" w:type="dxa"/>
            <w:gridSpan w:val="2"/>
            <w:tcMar>
              <w:left w:w="0" w:type="dxa"/>
              <w:right w:w="0" w:type="dxa"/>
            </w:tcMar>
          </w:tcPr>
          <w:p w14:paraId="2765E3A4" w14:textId="77777777" w:rsidR="00CD0355" w:rsidRPr="001531CD" w:rsidRDefault="00CD0355" w:rsidP="00CD0355">
            <w:pPr>
              <w:ind w:left="54"/>
              <w:rPr>
                <w:sz w:val="16"/>
                <w:szCs w:val="16"/>
              </w:rPr>
            </w:pPr>
            <w:r w:rsidRPr="001531CD">
              <w:rPr>
                <w:sz w:val="16"/>
                <w:szCs w:val="16"/>
              </w:rPr>
              <w:t xml:space="preserve">Balloonvine </w:t>
            </w:r>
          </w:p>
        </w:tc>
        <w:tc>
          <w:tcPr>
            <w:tcW w:w="756" w:type="dxa"/>
            <w:gridSpan w:val="2"/>
            <w:tcMar>
              <w:left w:w="0" w:type="dxa"/>
              <w:right w:w="0" w:type="dxa"/>
            </w:tcMar>
            <w:vAlign w:val="bottom"/>
          </w:tcPr>
          <w:p w14:paraId="0ADABF55" w14:textId="77777777"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14:paraId="04EACE90" w14:textId="77777777"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14:paraId="3F032402" w14:textId="77777777" w:rsidR="00CD0355" w:rsidRPr="001531CD" w:rsidRDefault="00CD0355" w:rsidP="00CD0355">
            <w:pPr>
              <w:jc w:val="center"/>
              <w:rPr>
                <w:sz w:val="16"/>
                <w:szCs w:val="16"/>
              </w:rPr>
            </w:pPr>
            <w:r w:rsidRPr="001531CD">
              <w:rPr>
                <w:sz w:val="16"/>
                <w:szCs w:val="16"/>
              </w:rPr>
              <w:t>None</w:t>
            </w:r>
          </w:p>
        </w:tc>
        <w:tc>
          <w:tcPr>
            <w:tcW w:w="864" w:type="dxa"/>
            <w:gridSpan w:val="2"/>
            <w:tcMar>
              <w:left w:w="0" w:type="dxa"/>
              <w:right w:w="0" w:type="dxa"/>
            </w:tcMar>
            <w:vAlign w:val="bottom"/>
          </w:tcPr>
          <w:p w14:paraId="76893551" w14:textId="77777777" w:rsidR="00CD0355" w:rsidRPr="001531CD" w:rsidRDefault="00CD0355" w:rsidP="00CD0355">
            <w:pPr>
              <w:jc w:val="center"/>
              <w:rPr>
                <w:sz w:val="16"/>
                <w:szCs w:val="16"/>
              </w:rPr>
            </w:pPr>
            <w:r w:rsidRPr="001531CD">
              <w:rPr>
                <w:sz w:val="16"/>
                <w:szCs w:val="16"/>
              </w:rPr>
              <w:t>None</w:t>
            </w:r>
          </w:p>
        </w:tc>
      </w:tr>
      <w:tr w:rsidR="00CD0355" w:rsidRPr="001531CD" w14:paraId="0741BA3E" w14:textId="77777777" w:rsidTr="00CD0355">
        <w:trPr>
          <w:gridAfter w:val="1"/>
          <w:wAfter w:w="54" w:type="dxa"/>
          <w:jc w:val="center"/>
        </w:trPr>
        <w:tc>
          <w:tcPr>
            <w:tcW w:w="5004" w:type="dxa"/>
            <w:gridSpan w:val="10"/>
            <w:tcBorders>
              <w:bottom w:val="double" w:sz="6" w:space="0" w:color="000000"/>
            </w:tcBorders>
            <w:tcMar>
              <w:left w:w="0" w:type="dxa"/>
              <w:right w:w="0" w:type="dxa"/>
            </w:tcMar>
          </w:tcPr>
          <w:p w14:paraId="17BEA161" w14:textId="77777777" w:rsidR="00CD0355" w:rsidRPr="001531CD" w:rsidRDefault="00CD0355" w:rsidP="00CD0355">
            <w:pPr>
              <w:tabs>
                <w:tab w:val="left" w:pos="180"/>
                <w:tab w:val="left" w:pos="360"/>
              </w:tabs>
              <w:ind w:left="288"/>
              <w:rPr>
                <w:sz w:val="16"/>
                <w:szCs w:val="16"/>
              </w:rPr>
            </w:pPr>
            <w:r w:rsidRPr="00F66AEE">
              <w:rPr>
                <w:sz w:val="16"/>
                <w:szCs w:val="16"/>
              </w:rPr>
              <w:t>*</w:t>
            </w:r>
            <w:r w:rsidRPr="004B5A9F">
              <w:rPr>
                <w:sz w:val="16"/>
                <w:szCs w:val="16"/>
              </w:rPr>
              <w:t>Land requirement will be waived if the previous crop was grown from certified seed of the same variety, or of a variety having different plant pubescence or hilum color from the variety to be certified.</w:t>
            </w:r>
          </w:p>
        </w:tc>
      </w:tr>
    </w:tbl>
    <w:p w14:paraId="7F92923E" w14:textId="77777777" w:rsidR="00CD0355" w:rsidRPr="001531CD" w:rsidRDefault="00CD0355" w:rsidP="00CD0355">
      <w:pPr>
        <w:pStyle w:val="A"/>
        <w:spacing w:after="0"/>
        <w:rPr>
          <w:sz w:val="16"/>
          <w:szCs w:val="16"/>
        </w:rPr>
      </w:pPr>
    </w:p>
    <w:p w14:paraId="35015DCB" w14:textId="77777777" w:rsidR="00CD0355" w:rsidRPr="001531CD" w:rsidRDefault="00CD0355" w:rsidP="00CD0355">
      <w:pPr>
        <w:pStyle w:val="A"/>
      </w:pPr>
      <w:r w:rsidRPr="001531CD">
        <w:t>B.</w:t>
      </w:r>
      <w:r w:rsidRPr="001531CD">
        <w:tab/>
        <w:t>Seed Standards</w:t>
      </w:r>
    </w:p>
    <w:tbl>
      <w:tblPr>
        <w:tblW w:w="499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19"/>
        <w:gridCol w:w="900"/>
        <w:gridCol w:w="1080"/>
        <w:gridCol w:w="900"/>
        <w:gridCol w:w="894"/>
      </w:tblGrid>
      <w:tr w:rsidR="00CD0355" w:rsidRPr="001531CD" w14:paraId="573C412C" w14:textId="77777777" w:rsidTr="00CD0355">
        <w:trPr>
          <w:cantSplit/>
          <w:jc w:val="center"/>
        </w:trPr>
        <w:tc>
          <w:tcPr>
            <w:tcW w:w="1219" w:type="dxa"/>
            <w:tcBorders>
              <w:top w:val="double" w:sz="6" w:space="0" w:color="000000"/>
              <w:bottom w:val="single" w:sz="6" w:space="0" w:color="000000"/>
            </w:tcBorders>
            <w:shd w:val="clear" w:color="auto" w:fill="BFBFBF"/>
          </w:tcPr>
          <w:p w14:paraId="10780599" w14:textId="77777777"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900" w:type="dxa"/>
            <w:tcBorders>
              <w:top w:val="double" w:sz="6" w:space="0" w:color="000000"/>
              <w:bottom w:val="single" w:sz="6" w:space="0" w:color="000000"/>
            </w:tcBorders>
            <w:shd w:val="clear" w:color="auto" w:fill="BFBFBF"/>
          </w:tcPr>
          <w:p w14:paraId="677B71AE" w14:textId="77777777" w:rsidR="00CD0355" w:rsidRPr="001531CD" w:rsidRDefault="00CD0355" w:rsidP="00CD0355">
            <w:pPr>
              <w:tabs>
                <w:tab w:val="left" w:pos="180"/>
                <w:tab w:val="left" w:pos="360"/>
              </w:tabs>
              <w:ind w:left="18"/>
              <w:jc w:val="center"/>
              <w:rPr>
                <w:b/>
                <w:sz w:val="16"/>
                <w:szCs w:val="16"/>
              </w:rPr>
            </w:pPr>
            <w:r w:rsidRPr="001531CD">
              <w:rPr>
                <w:b/>
                <w:sz w:val="16"/>
                <w:szCs w:val="16"/>
              </w:rPr>
              <w:t>Breeder</w:t>
            </w:r>
          </w:p>
        </w:tc>
        <w:tc>
          <w:tcPr>
            <w:tcW w:w="1080" w:type="dxa"/>
            <w:tcBorders>
              <w:top w:val="double" w:sz="6" w:space="0" w:color="000000"/>
              <w:bottom w:val="single" w:sz="6" w:space="0" w:color="000000"/>
            </w:tcBorders>
            <w:shd w:val="clear" w:color="auto" w:fill="BFBFBF"/>
          </w:tcPr>
          <w:p w14:paraId="05C51BC6" w14:textId="77777777" w:rsidR="00CD0355" w:rsidRPr="001531CD" w:rsidRDefault="00CD0355" w:rsidP="00CD0355">
            <w:pPr>
              <w:tabs>
                <w:tab w:val="left" w:pos="180"/>
                <w:tab w:val="left" w:pos="360"/>
              </w:tabs>
              <w:ind w:left="18"/>
              <w:jc w:val="center"/>
              <w:rPr>
                <w:b/>
                <w:sz w:val="16"/>
                <w:szCs w:val="16"/>
              </w:rPr>
            </w:pPr>
            <w:r w:rsidRPr="001531CD">
              <w:rPr>
                <w:b/>
                <w:sz w:val="16"/>
                <w:szCs w:val="16"/>
              </w:rPr>
              <w:t>Foundation</w:t>
            </w:r>
          </w:p>
        </w:tc>
        <w:tc>
          <w:tcPr>
            <w:tcW w:w="900" w:type="dxa"/>
            <w:tcBorders>
              <w:top w:val="double" w:sz="6" w:space="0" w:color="000000"/>
              <w:bottom w:val="single" w:sz="6" w:space="0" w:color="000000"/>
            </w:tcBorders>
            <w:shd w:val="clear" w:color="auto" w:fill="BFBFBF"/>
          </w:tcPr>
          <w:p w14:paraId="75C71C32" w14:textId="77777777" w:rsidR="00CD0355" w:rsidRPr="001531CD" w:rsidRDefault="00CD0355" w:rsidP="00CD0355">
            <w:pPr>
              <w:tabs>
                <w:tab w:val="left" w:pos="180"/>
                <w:tab w:val="left" w:pos="360"/>
              </w:tabs>
              <w:ind w:left="18"/>
              <w:jc w:val="center"/>
              <w:rPr>
                <w:b/>
                <w:sz w:val="16"/>
                <w:szCs w:val="16"/>
              </w:rPr>
            </w:pPr>
            <w:r w:rsidRPr="001531CD">
              <w:rPr>
                <w:b/>
                <w:sz w:val="16"/>
                <w:szCs w:val="16"/>
              </w:rPr>
              <w:t>Registered</w:t>
            </w:r>
          </w:p>
        </w:tc>
        <w:tc>
          <w:tcPr>
            <w:tcW w:w="894" w:type="dxa"/>
            <w:tcBorders>
              <w:top w:val="double" w:sz="6" w:space="0" w:color="000000"/>
              <w:bottom w:val="single" w:sz="6" w:space="0" w:color="000000"/>
            </w:tcBorders>
            <w:shd w:val="clear" w:color="auto" w:fill="BFBFBF"/>
          </w:tcPr>
          <w:p w14:paraId="72919CE0" w14:textId="77777777" w:rsidR="00CD0355" w:rsidRPr="001531CD" w:rsidRDefault="00CD0355" w:rsidP="00CD0355">
            <w:pPr>
              <w:tabs>
                <w:tab w:val="left" w:pos="180"/>
                <w:tab w:val="left" w:pos="360"/>
              </w:tabs>
              <w:ind w:left="18"/>
              <w:jc w:val="center"/>
              <w:rPr>
                <w:b/>
                <w:sz w:val="16"/>
                <w:szCs w:val="16"/>
              </w:rPr>
            </w:pPr>
            <w:r w:rsidRPr="001531CD">
              <w:rPr>
                <w:b/>
                <w:sz w:val="16"/>
                <w:szCs w:val="16"/>
              </w:rPr>
              <w:t>Certified</w:t>
            </w:r>
          </w:p>
        </w:tc>
      </w:tr>
      <w:tr w:rsidR="00CD0355" w:rsidRPr="001531CD" w14:paraId="6CEB9604" w14:textId="77777777" w:rsidTr="00CD0355">
        <w:trPr>
          <w:cantSplit/>
          <w:jc w:val="center"/>
        </w:trPr>
        <w:tc>
          <w:tcPr>
            <w:tcW w:w="1219" w:type="dxa"/>
            <w:tcBorders>
              <w:top w:val="single" w:sz="6" w:space="0" w:color="000000"/>
            </w:tcBorders>
          </w:tcPr>
          <w:p w14:paraId="3D9D224E" w14:textId="77777777" w:rsidR="00CD0355" w:rsidRPr="001531CD" w:rsidRDefault="00CD0355" w:rsidP="00CD0355">
            <w:pPr>
              <w:tabs>
                <w:tab w:val="left" w:pos="180"/>
                <w:tab w:val="left" w:pos="360"/>
              </w:tabs>
              <w:ind w:left="18"/>
              <w:rPr>
                <w:sz w:val="16"/>
                <w:szCs w:val="16"/>
              </w:rPr>
            </w:pPr>
            <w:r w:rsidRPr="001531CD">
              <w:rPr>
                <w:sz w:val="16"/>
                <w:szCs w:val="16"/>
              </w:rPr>
              <w:t>Pure Seed</w:t>
            </w:r>
          </w:p>
        </w:tc>
        <w:tc>
          <w:tcPr>
            <w:tcW w:w="900" w:type="dxa"/>
            <w:tcBorders>
              <w:top w:val="single" w:sz="6" w:space="0" w:color="000000"/>
            </w:tcBorders>
          </w:tcPr>
          <w:p w14:paraId="5039E4B3" w14:textId="77777777"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1080" w:type="dxa"/>
            <w:tcBorders>
              <w:top w:val="single" w:sz="6" w:space="0" w:color="000000"/>
            </w:tcBorders>
          </w:tcPr>
          <w:p w14:paraId="5807831D" w14:textId="77777777"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900" w:type="dxa"/>
            <w:tcBorders>
              <w:top w:val="single" w:sz="6" w:space="0" w:color="000000"/>
            </w:tcBorders>
          </w:tcPr>
          <w:p w14:paraId="333DD271" w14:textId="77777777"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894" w:type="dxa"/>
            <w:tcBorders>
              <w:top w:val="single" w:sz="6" w:space="0" w:color="000000"/>
            </w:tcBorders>
          </w:tcPr>
          <w:p w14:paraId="65BF09E5" w14:textId="77777777" w:rsidR="00CD0355" w:rsidRPr="001531CD" w:rsidRDefault="00CD0355" w:rsidP="00CD0355">
            <w:pPr>
              <w:tabs>
                <w:tab w:val="left" w:pos="180"/>
                <w:tab w:val="left" w:pos="360"/>
              </w:tabs>
              <w:ind w:left="18"/>
              <w:jc w:val="center"/>
              <w:rPr>
                <w:sz w:val="16"/>
                <w:szCs w:val="16"/>
              </w:rPr>
            </w:pPr>
            <w:r w:rsidRPr="001531CD">
              <w:rPr>
                <w:sz w:val="16"/>
                <w:szCs w:val="16"/>
              </w:rPr>
              <w:t>98.00%</w:t>
            </w:r>
          </w:p>
        </w:tc>
      </w:tr>
      <w:tr w:rsidR="00CD0355" w:rsidRPr="001531CD" w14:paraId="76B8DEB4" w14:textId="77777777" w:rsidTr="00CD0355">
        <w:trPr>
          <w:cantSplit/>
          <w:jc w:val="center"/>
        </w:trPr>
        <w:tc>
          <w:tcPr>
            <w:tcW w:w="1219" w:type="dxa"/>
          </w:tcPr>
          <w:p w14:paraId="24E71303" w14:textId="77777777" w:rsidR="00CD0355" w:rsidRPr="001531CD" w:rsidRDefault="00CD0355" w:rsidP="00CD0355">
            <w:pPr>
              <w:tabs>
                <w:tab w:val="left" w:pos="180"/>
                <w:tab w:val="left" w:pos="360"/>
              </w:tabs>
              <w:ind w:left="18"/>
              <w:rPr>
                <w:sz w:val="16"/>
                <w:szCs w:val="16"/>
              </w:rPr>
            </w:pPr>
            <w:r w:rsidRPr="001531CD">
              <w:rPr>
                <w:sz w:val="16"/>
                <w:szCs w:val="16"/>
              </w:rPr>
              <w:t>Inert Matter</w:t>
            </w:r>
          </w:p>
        </w:tc>
        <w:tc>
          <w:tcPr>
            <w:tcW w:w="900" w:type="dxa"/>
          </w:tcPr>
          <w:p w14:paraId="4FD121CC" w14:textId="77777777"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1080" w:type="dxa"/>
          </w:tcPr>
          <w:p w14:paraId="250A626E" w14:textId="77777777"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900" w:type="dxa"/>
          </w:tcPr>
          <w:p w14:paraId="1A6EEF34" w14:textId="77777777"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894" w:type="dxa"/>
          </w:tcPr>
          <w:p w14:paraId="2CDB5E2E" w14:textId="77777777" w:rsidR="00CD0355" w:rsidRPr="001531CD" w:rsidRDefault="00CD0355" w:rsidP="00CD0355">
            <w:pPr>
              <w:tabs>
                <w:tab w:val="left" w:pos="180"/>
                <w:tab w:val="left" w:pos="360"/>
              </w:tabs>
              <w:ind w:left="18"/>
              <w:jc w:val="center"/>
              <w:rPr>
                <w:sz w:val="16"/>
                <w:szCs w:val="16"/>
              </w:rPr>
            </w:pPr>
            <w:r w:rsidRPr="001531CD">
              <w:rPr>
                <w:sz w:val="16"/>
                <w:szCs w:val="16"/>
              </w:rPr>
              <w:t>2.00%</w:t>
            </w:r>
          </w:p>
        </w:tc>
      </w:tr>
      <w:tr w:rsidR="00CD0355" w:rsidRPr="001531CD" w14:paraId="16825DF8" w14:textId="77777777" w:rsidTr="00CD0355">
        <w:trPr>
          <w:cantSplit/>
          <w:jc w:val="center"/>
        </w:trPr>
        <w:tc>
          <w:tcPr>
            <w:tcW w:w="1219" w:type="dxa"/>
          </w:tcPr>
          <w:p w14:paraId="2D4490FC" w14:textId="77777777" w:rsidR="00CD0355" w:rsidRPr="001531CD" w:rsidRDefault="00CD0355" w:rsidP="00CD0355">
            <w:pPr>
              <w:tabs>
                <w:tab w:val="left" w:pos="180"/>
                <w:tab w:val="left" w:pos="360"/>
              </w:tabs>
              <w:ind w:left="18"/>
              <w:rPr>
                <w:sz w:val="16"/>
                <w:szCs w:val="16"/>
              </w:rPr>
            </w:pPr>
            <w:r w:rsidRPr="001531CD">
              <w:rPr>
                <w:sz w:val="16"/>
                <w:szCs w:val="16"/>
              </w:rPr>
              <w:t>Other Crops</w:t>
            </w:r>
          </w:p>
        </w:tc>
        <w:tc>
          <w:tcPr>
            <w:tcW w:w="900" w:type="dxa"/>
          </w:tcPr>
          <w:p w14:paraId="3A7AD51C"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14:paraId="154E6A8B" w14:textId="77777777"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900" w:type="dxa"/>
          </w:tcPr>
          <w:p w14:paraId="7C5A0207" w14:textId="77777777"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894" w:type="dxa"/>
          </w:tcPr>
          <w:p w14:paraId="240CB4D7" w14:textId="77777777" w:rsidR="00CD0355" w:rsidRPr="001531CD" w:rsidRDefault="00CD0355" w:rsidP="00CD0355">
            <w:pPr>
              <w:tabs>
                <w:tab w:val="left" w:pos="180"/>
                <w:tab w:val="left" w:pos="360"/>
              </w:tabs>
              <w:ind w:left="18"/>
              <w:jc w:val="center"/>
              <w:rPr>
                <w:sz w:val="16"/>
                <w:szCs w:val="16"/>
              </w:rPr>
            </w:pPr>
            <w:r w:rsidRPr="001531CD">
              <w:rPr>
                <w:sz w:val="16"/>
                <w:szCs w:val="16"/>
              </w:rPr>
              <w:t>5 seed/lb.</w:t>
            </w:r>
          </w:p>
        </w:tc>
      </w:tr>
      <w:tr w:rsidR="00CD0355" w:rsidRPr="001531CD" w14:paraId="232EFB74" w14:textId="77777777" w:rsidTr="00CD0355">
        <w:trPr>
          <w:cantSplit/>
          <w:jc w:val="center"/>
        </w:trPr>
        <w:tc>
          <w:tcPr>
            <w:tcW w:w="1219" w:type="dxa"/>
          </w:tcPr>
          <w:p w14:paraId="225BBFF9" w14:textId="77777777" w:rsidR="00CD0355" w:rsidRPr="001531CD" w:rsidRDefault="00CD0355" w:rsidP="00CD0355">
            <w:pPr>
              <w:tabs>
                <w:tab w:val="left" w:pos="180"/>
                <w:tab w:val="left" w:pos="360"/>
              </w:tabs>
              <w:ind w:left="18"/>
              <w:rPr>
                <w:sz w:val="16"/>
                <w:szCs w:val="16"/>
              </w:rPr>
            </w:pPr>
            <w:r w:rsidRPr="001531CD">
              <w:rPr>
                <w:sz w:val="16"/>
                <w:szCs w:val="16"/>
              </w:rPr>
              <w:t>Other Varieties</w:t>
            </w:r>
          </w:p>
        </w:tc>
        <w:tc>
          <w:tcPr>
            <w:tcW w:w="900" w:type="dxa"/>
          </w:tcPr>
          <w:p w14:paraId="34E074DF"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14:paraId="21F05872" w14:textId="77777777"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900" w:type="dxa"/>
          </w:tcPr>
          <w:p w14:paraId="1C7DC131" w14:textId="77777777"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894" w:type="dxa"/>
          </w:tcPr>
          <w:p w14:paraId="1F693BFC" w14:textId="77777777" w:rsidR="00CD0355" w:rsidRPr="001531CD" w:rsidRDefault="00CD0355" w:rsidP="00CD0355">
            <w:pPr>
              <w:tabs>
                <w:tab w:val="left" w:pos="180"/>
                <w:tab w:val="left" w:pos="360"/>
              </w:tabs>
              <w:ind w:left="18"/>
              <w:jc w:val="center"/>
              <w:rPr>
                <w:sz w:val="16"/>
                <w:szCs w:val="16"/>
              </w:rPr>
            </w:pPr>
            <w:r w:rsidRPr="001531CD">
              <w:rPr>
                <w:sz w:val="16"/>
                <w:szCs w:val="16"/>
              </w:rPr>
              <w:t>5 seed/lb.</w:t>
            </w:r>
          </w:p>
        </w:tc>
      </w:tr>
      <w:tr w:rsidR="00CD0355" w:rsidRPr="001531CD" w14:paraId="00990B03" w14:textId="77777777" w:rsidTr="00CD0355">
        <w:trPr>
          <w:cantSplit/>
          <w:jc w:val="center"/>
        </w:trPr>
        <w:tc>
          <w:tcPr>
            <w:tcW w:w="1219" w:type="dxa"/>
          </w:tcPr>
          <w:p w14:paraId="5C7160DD" w14:textId="77777777" w:rsidR="00CD0355" w:rsidRPr="001531CD" w:rsidRDefault="00CD0355" w:rsidP="00CD0355">
            <w:pPr>
              <w:tabs>
                <w:tab w:val="left" w:pos="180"/>
                <w:tab w:val="left" w:pos="360"/>
              </w:tabs>
              <w:ind w:left="18"/>
              <w:rPr>
                <w:sz w:val="16"/>
                <w:szCs w:val="16"/>
              </w:rPr>
            </w:pPr>
            <w:r w:rsidRPr="001531CD">
              <w:rPr>
                <w:sz w:val="16"/>
                <w:szCs w:val="16"/>
              </w:rPr>
              <w:t>Noxious Weeds</w:t>
            </w:r>
          </w:p>
        </w:tc>
        <w:tc>
          <w:tcPr>
            <w:tcW w:w="900" w:type="dxa"/>
          </w:tcPr>
          <w:p w14:paraId="049DE252"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14:paraId="380003B6"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900" w:type="dxa"/>
          </w:tcPr>
          <w:p w14:paraId="739B1F20"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894" w:type="dxa"/>
          </w:tcPr>
          <w:p w14:paraId="21060FCE"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r>
      <w:tr w:rsidR="00CD0355" w:rsidRPr="001531CD" w14:paraId="5610BB7F" w14:textId="77777777" w:rsidTr="00CD0355">
        <w:trPr>
          <w:cantSplit/>
          <w:jc w:val="center"/>
        </w:trPr>
        <w:tc>
          <w:tcPr>
            <w:tcW w:w="1219" w:type="dxa"/>
          </w:tcPr>
          <w:p w14:paraId="0A4815E9" w14:textId="77777777" w:rsidR="00CD0355" w:rsidRPr="001531CD" w:rsidRDefault="00CD0355" w:rsidP="00CD0355">
            <w:pPr>
              <w:tabs>
                <w:tab w:val="left" w:pos="180"/>
                <w:tab w:val="left" w:pos="360"/>
              </w:tabs>
              <w:ind w:left="18"/>
              <w:rPr>
                <w:sz w:val="16"/>
                <w:szCs w:val="16"/>
              </w:rPr>
            </w:pPr>
            <w:r w:rsidRPr="001531CD">
              <w:rPr>
                <w:sz w:val="16"/>
                <w:szCs w:val="16"/>
              </w:rPr>
              <w:t>Other Weeds</w:t>
            </w:r>
          </w:p>
        </w:tc>
        <w:tc>
          <w:tcPr>
            <w:tcW w:w="900" w:type="dxa"/>
          </w:tcPr>
          <w:p w14:paraId="0A7D3862" w14:textId="77777777" w:rsidR="00CD0355" w:rsidRPr="001531CD" w:rsidRDefault="00CD0355" w:rsidP="00CD0355">
            <w:pPr>
              <w:tabs>
                <w:tab w:val="left" w:pos="180"/>
                <w:tab w:val="left" w:pos="360"/>
              </w:tabs>
              <w:ind w:left="18"/>
              <w:jc w:val="center"/>
              <w:rPr>
                <w:sz w:val="16"/>
                <w:szCs w:val="16"/>
              </w:rPr>
            </w:pPr>
            <w:r w:rsidRPr="001531CD">
              <w:rPr>
                <w:sz w:val="16"/>
                <w:szCs w:val="16"/>
              </w:rPr>
              <w:t>0.05%</w:t>
            </w:r>
          </w:p>
        </w:tc>
        <w:tc>
          <w:tcPr>
            <w:tcW w:w="1080" w:type="dxa"/>
          </w:tcPr>
          <w:p w14:paraId="00E8B114" w14:textId="77777777" w:rsidR="00CD0355" w:rsidRPr="001531CD" w:rsidRDefault="00CD0355" w:rsidP="00CD0355">
            <w:pPr>
              <w:tabs>
                <w:tab w:val="left" w:pos="180"/>
                <w:tab w:val="left" w:pos="360"/>
              </w:tabs>
              <w:ind w:left="18"/>
              <w:jc w:val="center"/>
              <w:rPr>
                <w:sz w:val="16"/>
                <w:szCs w:val="16"/>
              </w:rPr>
            </w:pPr>
            <w:r w:rsidRPr="001531CD">
              <w:rPr>
                <w:sz w:val="16"/>
                <w:szCs w:val="16"/>
              </w:rPr>
              <w:t>10 seed/lb.</w:t>
            </w:r>
          </w:p>
        </w:tc>
        <w:tc>
          <w:tcPr>
            <w:tcW w:w="900" w:type="dxa"/>
          </w:tcPr>
          <w:p w14:paraId="79DE0133" w14:textId="77777777" w:rsidR="00CD0355" w:rsidRPr="001531CD" w:rsidRDefault="00CD0355" w:rsidP="00CD0355">
            <w:pPr>
              <w:tabs>
                <w:tab w:val="left" w:pos="180"/>
                <w:tab w:val="left" w:pos="360"/>
              </w:tabs>
              <w:ind w:left="18"/>
              <w:jc w:val="center"/>
              <w:rPr>
                <w:sz w:val="16"/>
                <w:szCs w:val="16"/>
              </w:rPr>
            </w:pPr>
            <w:r w:rsidRPr="001531CD">
              <w:rPr>
                <w:sz w:val="16"/>
                <w:szCs w:val="16"/>
              </w:rPr>
              <w:t>10 seed/lb.</w:t>
            </w:r>
          </w:p>
        </w:tc>
        <w:tc>
          <w:tcPr>
            <w:tcW w:w="894" w:type="dxa"/>
          </w:tcPr>
          <w:p w14:paraId="54E0FB2C" w14:textId="77777777" w:rsidR="00CD0355" w:rsidRPr="001531CD" w:rsidRDefault="00CD0355" w:rsidP="00CD0355">
            <w:pPr>
              <w:tabs>
                <w:tab w:val="left" w:pos="180"/>
                <w:tab w:val="left" w:pos="360"/>
              </w:tabs>
              <w:ind w:left="18"/>
              <w:jc w:val="center"/>
              <w:rPr>
                <w:sz w:val="16"/>
                <w:szCs w:val="16"/>
              </w:rPr>
            </w:pPr>
            <w:r w:rsidRPr="001531CD">
              <w:rPr>
                <w:sz w:val="16"/>
                <w:szCs w:val="16"/>
              </w:rPr>
              <w:t>10 seed/lb.</w:t>
            </w:r>
          </w:p>
        </w:tc>
      </w:tr>
      <w:tr w:rsidR="00CD0355" w:rsidRPr="001531CD" w14:paraId="709863D6" w14:textId="77777777" w:rsidTr="00CD0355">
        <w:trPr>
          <w:cantSplit/>
          <w:jc w:val="center"/>
        </w:trPr>
        <w:tc>
          <w:tcPr>
            <w:tcW w:w="1219" w:type="dxa"/>
            <w:tcBorders>
              <w:bottom w:val="double" w:sz="6" w:space="0" w:color="000000"/>
            </w:tcBorders>
          </w:tcPr>
          <w:p w14:paraId="5AF5E248" w14:textId="77777777" w:rsidR="00CD0355" w:rsidRPr="001531CD" w:rsidRDefault="00CD0355" w:rsidP="00CD0355">
            <w:pPr>
              <w:tabs>
                <w:tab w:val="left" w:pos="180"/>
                <w:tab w:val="left" w:pos="360"/>
              </w:tabs>
              <w:ind w:left="18"/>
              <w:rPr>
                <w:sz w:val="16"/>
                <w:szCs w:val="16"/>
              </w:rPr>
            </w:pPr>
            <w:r w:rsidRPr="001531CD">
              <w:rPr>
                <w:sz w:val="16"/>
                <w:szCs w:val="16"/>
              </w:rPr>
              <w:t>Germination</w:t>
            </w:r>
          </w:p>
        </w:tc>
        <w:tc>
          <w:tcPr>
            <w:tcW w:w="900" w:type="dxa"/>
            <w:tcBorders>
              <w:bottom w:val="double" w:sz="6" w:space="0" w:color="000000"/>
            </w:tcBorders>
          </w:tcPr>
          <w:p w14:paraId="25F6DA9F" w14:textId="77777777"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Borders>
              <w:bottom w:val="double" w:sz="6" w:space="0" w:color="000000"/>
            </w:tcBorders>
          </w:tcPr>
          <w:p w14:paraId="0A2DBFE9" w14:textId="77777777" w:rsidR="00CD0355" w:rsidRPr="001531CD" w:rsidRDefault="00CD0355" w:rsidP="00CD0355">
            <w:pPr>
              <w:tabs>
                <w:tab w:val="left" w:pos="180"/>
                <w:tab w:val="left" w:pos="360"/>
              </w:tabs>
              <w:ind w:left="18"/>
              <w:jc w:val="center"/>
              <w:rPr>
                <w:sz w:val="16"/>
                <w:szCs w:val="16"/>
              </w:rPr>
            </w:pPr>
            <w:r w:rsidRPr="001531CD">
              <w:rPr>
                <w:sz w:val="16"/>
                <w:szCs w:val="16"/>
              </w:rPr>
              <w:t>80.00%</w:t>
            </w:r>
          </w:p>
        </w:tc>
        <w:tc>
          <w:tcPr>
            <w:tcW w:w="900" w:type="dxa"/>
            <w:tcBorders>
              <w:bottom w:val="double" w:sz="6" w:space="0" w:color="000000"/>
            </w:tcBorders>
          </w:tcPr>
          <w:p w14:paraId="1827FF53" w14:textId="77777777" w:rsidR="00CD0355" w:rsidRPr="001531CD" w:rsidRDefault="00CD0355" w:rsidP="00CD0355">
            <w:pPr>
              <w:tabs>
                <w:tab w:val="left" w:pos="180"/>
                <w:tab w:val="left" w:pos="360"/>
              </w:tabs>
              <w:ind w:left="18"/>
              <w:jc w:val="center"/>
              <w:rPr>
                <w:sz w:val="16"/>
                <w:szCs w:val="16"/>
              </w:rPr>
            </w:pPr>
            <w:r w:rsidRPr="001531CD">
              <w:rPr>
                <w:sz w:val="16"/>
                <w:szCs w:val="16"/>
              </w:rPr>
              <w:t>80.00%</w:t>
            </w:r>
          </w:p>
        </w:tc>
        <w:tc>
          <w:tcPr>
            <w:tcW w:w="894" w:type="dxa"/>
            <w:tcBorders>
              <w:bottom w:val="double" w:sz="6" w:space="0" w:color="000000"/>
            </w:tcBorders>
          </w:tcPr>
          <w:p w14:paraId="517AD709" w14:textId="77777777" w:rsidR="00CD0355" w:rsidRPr="001531CD" w:rsidRDefault="00CD0355" w:rsidP="00CD0355">
            <w:pPr>
              <w:tabs>
                <w:tab w:val="left" w:pos="180"/>
                <w:tab w:val="left" w:pos="360"/>
              </w:tabs>
              <w:ind w:left="18"/>
              <w:jc w:val="center"/>
              <w:rPr>
                <w:sz w:val="16"/>
                <w:szCs w:val="16"/>
              </w:rPr>
            </w:pPr>
            <w:r w:rsidRPr="001531CD">
              <w:rPr>
                <w:sz w:val="16"/>
                <w:szCs w:val="16"/>
              </w:rPr>
              <w:t>80.00%</w:t>
            </w:r>
          </w:p>
        </w:tc>
      </w:tr>
    </w:tbl>
    <w:p w14:paraId="213AF457" w14:textId="77777777" w:rsidR="00CD0355" w:rsidRPr="001531CD" w:rsidRDefault="00CD0355" w:rsidP="00CD0355">
      <w:pPr>
        <w:tabs>
          <w:tab w:val="left" w:pos="180"/>
          <w:tab w:val="left" w:pos="360"/>
        </w:tabs>
        <w:rPr>
          <w:sz w:val="20"/>
        </w:rPr>
      </w:pPr>
    </w:p>
    <w:p w14:paraId="6DBC8126" w14:textId="77777777" w:rsidR="00CD0355" w:rsidRPr="001531CD" w:rsidRDefault="00CD0355" w:rsidP="00CD0355">
      <w:pPr>
        <w:pStyle w:val="AuthorityNote"/>
        <w:tabs>
          <w:tab w:val="clear" w:pos="1800"/>
        </w:tabs>
      </w:pPr>
      <w:r w:rsidRPr="001531CD">
        <w:t>AUTHORITY NOTE:</w:t>
      </w:r>
      <w:r w:rsidRPr="001531CD">
        <w:tab/>
        <w:t>Promulgated in accordance with R.S. 3:1433.</w:t>
      </w:r>
    </w:p>
    <w:p w14:paraId="73B37CF2" w14:textId="77777777" w:rsidR="00CD0355" w:rsidRPr="001531CD" w:rsidRDefault="00CD0355" w:rsidP="00CD0355">
      <w:pPr>
        <w:pStyle w:val="HistoricalNote"/>
      </w:pPr>
      <w:r w:rsidRPr="001531CD">
        <w:t>HISTORICAL NOTE:</w:t>
      </w:r>
      <w:r w:rsidRPr="001531CD">
        <w:tab/>
        <w:t>Promulgated by the Department of Agriculture, Seed Commission, LR 8:585 (November 1982), amended LR 9:203 (April 1983), amended by the Department of Agriculture and Forestry, Office of Agricultural and Environmental Sciences, Seed Commission, LR 12:825 (December 1986), LR 15:613 (August 1989), repromulgated by the Department of Agriculture and Forestry, Office of Agricultural and Environmental Sciences, Agricultural Chemistry and Seed Commission, LR 39:2729 (October 2013)</w:t>
      </w:r>
      <w:r w:rsidRPr="004B5A9F">
        <w:t>, LR 44:1855 (October 2018).</w:t>
      </w:r>
    </w:p>
    <w:p w14:paraId="47CD50B7" w14:textId="77777777" w:rsidR="00CD0355" w:rsidRPr="001531CD" w:rsidRDefault="00CD0355" w:rsidP="00CD0355">
      <w:pPr>
        <w:pStyle w:val="Section"/>
      </w:pPr>
      <w:bookmarkStart w:id="1173" w:name="_Toc224818820"/>
      <w:r w:rsidRPr="001531CD">
        <w:t>§763.</w:t>
      </w:r>
      <w:r w:rsidRPr="001531CD">
        <w:tab/>
        <w:t>Sugarcane (Tissue C</w:t>
      </w:r>
      <w:r>
        <w:t>ulture) Certification Standards</w:t>
      </w:r>
      <w:bookmarkEnd w:id="1173"/>
    </w:p>
    <w:p w14:paraId="2A9E5F9D" w14:textId="77777777" w:rsidR="00CD0355" w:rsidRPr="001531CD" w:rsidRDefault="00CD0355" w:rsidP="00CD0355">
      <w:pPr>
        <w:pStyle w:val="A"/>
      </w:pPr>
      <w:r w:rsidRPr="001531CD">
        <w:t>A.</w:t>
      </w:r>
      <w:r w:rsidRPr="001531CD">
        <w:tab/>
        <w:t>Limitation of Stand Eligibility</w:t>
      </w:r>
    </w:p>
    <w:p w14:paraId="18C6C96D" w14:textId="77777777" w:rsidR="00CD0355" w:rsidRPr="001531CD" w:rsidRDefault="00CD0355" w:rsidP="00CD0355">
      <w:pPr>
        <w:pStyle w:val="1"/>
      </w:pPr>
      <w:r w:rsidRPr="001531CD">
        <w:t>1.</w:t>
      </w:r>
      <w:r w:rsidRPr="001531CD">
        <w:tab/>
        <w:t>Source of foundation stock is limited only to material obtained from the Louisiana State University Agricultural Center (LSUAC) or USDA-ARS Sugarcane Research Unit sugarcane variety selection programs that has been processed through the LSUAC sugarcane quarantine program.</w:t>
      </w:r>
    </w:p>
    <w:p w14:paraId="1D2A27B4" w14:textId="77777777" w:rsidR="00CD0355" w:rsidRPr="001531CD" w:rsidRDefault="00CD0355" w:rsidP="00CD0355">
      <w:pPr>
        <w:pStyle w:val="1"/>
      </w:pPr>
      <w:r w:rsidRPr="00D55B14">
        <w:t>2.</w:t>
      </w:r>
      <w:r w:rsidRPr="00D55B14">
        <w:tab/>
        <w:t>Additional propagation of original foundation stock shall be according to procedures determined by the American Sugar Cane League, LDAF, the LSUAC, and the USDA-ARS Sugarcane Research Unit.</w:t>
      </w:r>
    </w:p>
    <w:p w14:paraId="7541D458" w14:textId="77777777" w:rsidR="00CD0355" w:rsidRPr="00BB51B8" w:rsidRDefault="00CD0355" w:rsidP="00CD0355">
      <w:pPr>
        <w:pStyle w:val="1"/>
      </w:pPr>
      <w:r w:rsidRPr="00BB51B8">
        <w:t>3.</w:t>
      </w:r>
      <w:r w:rsidRPr="00BB51B8">
        <w:tab/>
        <w:t>Source of registered stock is limited to plantlets produced through tissue culture of foundation material or the second ratoon. Stock that meets all standards except insect and/or weeds standards be maintained in the program as seed increase fields only, but may not be marketed to producers. Such stocks are eligible for re-certification once they come in compliance with applicable regulations.</w:t>
      </w:r>
    </w:p>
    <w:p w14:paraId="797C1765" w14:textId="77777777" w:rsidR="00CD0355" w:rsidRPr="00BB51B8" w:rsidRDefault="00CD0355" w:rsidP="00CD0355">
      <w:pPr>
        <w:pStyle w:val="1"/>
      </w:pPr>
      <w:r w:rsidRPr="00BB51B8">
        <w:t>4.</w:t>
      </w:r>
      <w:r w:rsidRPr="00BB51B8">
        <w:tab/>
        <w:t>Source of certified stock is limited to:</w:t>
      </w:r>
    </w:p>
    <w:p w14:paraId="289A7F65" w14:textId="77777777" w:rsidR="00CD0355" w:rsidRPr="00BB51B8" w:rsidRDefault="00CD0355" w:rsidP="00CD0355">
      <w:pPr>
        <w:pStyle w:val="a0"/>
      </w:pPr>
      <w:r w:rsidRPr="00BB51B8">
        <w:t>a.</w:t>
      </w:r>
      <w:r w:rsidRPr="00BB51B8">
        <w:tab/>
        <w:t>three consecutive years from planting of registered stock; and</w:t>
      </w:r>
    </w:p>
    <w:p w14:paraId="4A16095A" w14:textId="77777777" w:rsidR="00CD0355" w:rsidRPr="001531CD" w:rsidRDefault="00CD0355" w:rsidP="00CD0355">
      <w:pPr>
        <w:pStyle w:val="a0"/>
      </w:pPr>
      <w:r w:rsidRPr="00BB51B8">
        <w:t>b.</w:t>
      </w:r>
      <w:r w:rsidRPr="00BB51B8">
        <w:tab/>
        <w:t>two consecutive harvests of certified stock.</w:t>
      </w:r>
    </w:p>
    <w:p w14:paraId="4A719C5C" w14:textId="77777777" w:rsidR="00CD0355" w:rsidRPr="001531CD" w:rsidRDefault="00CD0355" w:rsidP="00CD0355">
      <w:pPr>
        <w:pStyle w:val="A"/>
      </w:pPr>
      <w:r w:rsidRPr="001531CD">
        <w:t>B.</w:t>
      </w:r>
      <w:r w:rsidRPr="001531CD">
        <w:tab/>
        <w:t>Greenhouse Requirements</w:t>
      </w:r>
    </w:p>
    <w:p w14:paraId="03884706" w14:textId="77777777" w:rsidR="00CD0355" w:rsidRPr="001531CD" w:rsidRDefault="00CD0355" w:rsidP="00CD0355">
      <w:pPr>
        <w:pStyle w:val="1"/>
      </w:pPr>
      <w:r w:rsidRPr="001531CD">
        <w:t>1.</w:t>
      </w:r>
      <w:r w:rsidRPr="001531CD">
        <w:tab/>
        <w:t>Foundation plants and plantlets shall be kept in certified greenhouses.</w:t>
      </w:r>
    </w:p>
    <w:p w14:paraId="1E195D3D" w14:textId="77777777" w:rsidR="00CD0355" w:rsidRPr="001531CD" w:rsidRDefault="00CD0355" w:rsidP="00CD0355">
      <w:pPr>
        <w:pStyle w:val="1"/>
      </w:pPr>
      <w:r w:rsidRPr="001531CD">
        <w:lastRenderedPageBreak/>
        <w:t>2.</w:t>
      </w:r>
      <w:r w:rsidRPr="001531CD">
        <w:tab/>
        <w:t>Certified greenhouses shall comply with the following requirements:</w:t>
      </w:r>
    </w:p>
    <w:p w14:paraId="4E1ABF81" w14:textId="77777777" w:rsidR="00CD0355" w:rsidRPr="001531CD" w:rsidRDefault="00CD0355" w:rsidP="00CD0355">
      <w:pPr>
        <w:pStyle w:val="a0"/>
      </w:pPr>
      <w:r w:rsidRPr="001531CD">
        <w:t>a.</w:t>
      </w:r>
      <w:r w:rsidRPr="001531CD">
        <w:tab/>
        <w:t>all sugarcane plants within the certified greenhouse must have been processed through the LSUAC sugarcane quarantine program;</w:t>
      </w:r>
    </w:p>
    <w:p w14:paraId="7331A99A" w14:textId="77777777" w:rsidR="00CD0355" w:rsidRPr="001531CD" w:rsidRDefault="00CD0355" w:rsidP="00CD0355">
      <w:pPr>
        <w:pStyle w:val="a0"/>
      </w:pPr>
      <w:r w:rsidRPr="001531CD">
        <w:t>b.</w:t>
      </w:r>
      <w:r w:rsidRPr="001531CD">
        <w:tab/>
        <w:t>greenhouses shall be clearly marked to warn workers that they shall not enter if they are coming from the field or from other non-certified greenhouses;</w:t>
      </w:r>
    </w:p>
    <w:p w14:paraId="53446ECF" w14:textId="77777777" w:rsidR="00CD0355" w:rsidRPr="001531CD" w:rsidRDefault="00CD0355" w:rsidP="00CD0355">
      <w:pPr>
        <w:pStyle w:val="a0"/>
      </w:pPr>
      <w:r w:rsidRPr="001531CD">
        <w:t>c.</w:t>
      </w:r>
      <w:r w:rsidRPr="001531CD">
        <w:tab/>
        <w:t>doors shall be kept locked when the greenhouse is not in use;</w:t>
      </w:r>
    </w:p>
    <w:p w14:paraId="035BCA67" w14:textId="77777777" w:rsidR="00CD0355" w:rsidRPr="001531CD" w:rsidRDefault="00CD0355" w:rsidP="00CD0355">
      <w:pPr>
        <w:pStyle w:val="a0"/>
      </w:pPr>
      <w:r w:rsidRPr="001531CD">
        <w:t>d.</w:t>
      </w:r>
      <w:r w:rsidRPr="001531CD">
        <w:tab/>
        <w:t xml:space="preserve"> sticky traps or other monitoring devices shall be used to monitor aphids and other insects;</w:t>
      </w:r>
    </w:p>
    <w:p w14:paraId="737084AB" w14:textId="77777777" w:rsidR="00CD0355" w:rsidRPr="001531CD" w:rsidRDefault="00CD0355" w:rsidP="00CD0355">
      <w:pPr>
        <w:pStyle w:val="a0"/>
      </w:pPr>
      <w:r w:rsidRPr="001531CD">
        <w:t>e.</w:t>
      </w:r>
      <w:r w:rsidRPr="001531CD">
        <w:tab/>
        <w:t>screens of such mesh as to prevent entry of aphids and other insects shall be placed over all openings (vents, fans, windows, etc.);</w:t>
      </w:r>
    </w:p>
    <w:p w14:paraId="3E9E7740" w14:textId="77777777" w:rsidR="00CD0355" w:rsidRPr="001531CD" w:rsidRDefault="00CD0355" w:rsidP="00CD0355">
      <w:pPr>
        <w:pStyle w:val="a0"/>
      </w:pPr>
      <w:r w:rsidRPr="001531CD">
        <w:t>f.</w:t>
      </w:r>
      <w:r w:rsidRPr="001531CD">
        <w:tab/>
        <w:t>aphids, whiteflies or other harmful insects shall be controlled within the greenhouse;</w:t>
      </w:r>
    </w:p>
    <w:p w14:paraId="6051B813" w14:textId="77777777" w:rsidR="00CD0355" w:rsidRPr="001531CD" w:rsidRDefault="00CD0355" w:rsidP="00CD0355">
      <w:pPr>
        <w:pStyle w:val="a0"/>
      </w:pPr>
      <w:r w:rsidRPr="001531CD">
        <w:t>g.</w:t>
      </w:r>
      <w:r w:rsidRPr="001531CD">
        <w:tab/>
        <w:t>cutting tools shall be decontaminated on a regular basis and always when moving to another group of foundation plants or plantlets;</w:t>
      </w:r>
    </w:p>
    <w:p w14:paraId="3A0FAB56" w14:textId="77777777" w:rsidR="00CD0355" w:rsidRPr="001531CD" w:rsidRDefault="00CD0355" w:rsidP="00CD0355">
      <w:pPr>
        <w:pStyle w:val="a0"/>
      </w:pPr>
      <w:r w:rsidRPr="001531CD">
        <w:t>h.</w:t>
      </w:r>
      <w:r w:rsidRPr="001531CD">
        <w:tab/>
        <w:t>different varieties must be clearly identified and separated.</w:t>
      </w:r>
    </w:p>
    <w:p w14:paraId="062CD471" w14:textId="77777777" w:rsidR="00CD0355" w:rsidRPr="001531CD" w:rsidRDefault="00CD0355" w:rsidP="00CD0355">
      <w:pPr>
        <w:pStyle w:val="1"/>
      </w:pPr>
      <w:r w:rsidRPr="001531CD">
        <w:t>3.</w:t>
      </w:r>
      <w:r w:rsidRPr="001531CD">
        <w:tab/>
        <w:t>Foundation stock shall be tested on a yearly basis for sugarcane ratoon stunting disease (RSD) and sugarcane yellowleaf virus.</w:t>
      </w:r>
    </w:p>
    <w:p w14:paraId="00DEB07F" w14:textId="77777777" w:rsidR="00CD0355" w:rsidRPr="001531CD" w:rsidRDefault="00CD0355" w:rsidP="00CD0355">
      <w:pPr>
        <w:pStyle w:val="a0"/>
      </w:pPr>
      <w:r w:rsidRPr="00D55B14">
        <w:t>a.</w:t>
      </w:r>
      <w:r w:rsidRPr="00D55B14">
        <w:tab/>
        <w:t>Tissue sample testing and protocol shall be provided by the LSU Ag Center Sugarcane Disease Detection Lab. The certifier shall provide to LDAF verification that foundation stock has been tested for sugarcane ratoon stunting disease (RSD) and sugarcane yellowleaf virus.</w:t>
      </w:r>
    </w:p>
    <w:p w14:paraId="7A25A983" w14:textId="77777777" w:rsidR="00CD0355" w:rsidRPr="001531CD" w:rsidRDefault="00CD0355" w:rsidP="00CD0355">
      <w:pPr>
        <w:pStyle w:val="1"/>
      </w:pPr>
      <w:r w:rsidRPr="001531CD">
        <w:t>4.</w:t>
      </w:r>
      <w:r w:rsidRPr="001531CD">
        <w:tab/>
        <w:t>LDAF must approve greenhouses before foundation plants can be entered into the certification program.</w:t>
      </w:r>
    </w:p>
    <w:p w14:paraId="11E4FB55" w14:textId="77777777" w:rsidR="00CD0355" w:rsidRPr="001531CD" w:rsidRDefault="00CD0355" w:rsidP="00CD0355">
      <w:pPr>
        <w:pStyle w:val="1"/>
      </w:pPr>
      <w:r w:rsidRPr="001531CD">
        <w:t>5.</w:t>
      </w:r>
      <w:r w:rsidRPr="001531CD">
        <w:tab/>
        <w:t>Inspections</w:t>
      </w:r>
    </w:p>
    <w:p w14:paraId="188AAABF" w14:textId="77777777" w:rsidR="00CD0355" w:rsidRPr="001531CD" w:rsidRDefault="00CD0355" w:rsidP="00CD0355">
      <w:pPr>
        <w:pStyle w:val="a0"/>
      </w:pPr>
      <w:r w:rsidRPr="001531CD">
        <w:t>a.</w:t>
      </w:r>
      <w:r w:rsidRPr="001531CD">
        <w:tab/>
        <w:t>Producer shall inspect and/or sample the greenhouse on a regular basis for harmful diseases and insects. If symptomatic plants are found either visually or by sample test results, they will be removed and destroyed. The grower will keep a log showing that inspections were made and if plants were removed.</w:t>
      </w:r>
    </w:p>
    <w:p w14:paraId="1AC52413" w14:textId="77777777" w:rsidR="00CD0355" w:rsidRPr="001531CD" w:rsidRDefault="00CD0355" w:rsidP="00CD0355">
      <w:pPr>
        <w:pStyle w:val="a0"/>
      </w:pPr>
      <w:r w:rsidRPr="001531CD">
        <w:t>b.</w:t>
      </w:r>
      <w:r w:rsidRPr="001531CD">
        <w:tab/>
        <w:t>If problems are observed during these inspections the producer should notify LDAF.</w:t>
      </w:r>
    </w:p>
    <w:p w14:paraId="1805B9B5" w14:textId="77777777" w:rsidR="00CD0355" w:rsidRPr="001531CD" w:rsidRDefault="00CD0355" w:rsidP="00CD0355">
      <w:pPr>
        <w:pStyle w:val="a0"/>
      </w:pPr>
      <w:r w:rsidRPr="001531CD">
        <w:t>c.</w:t>
      </w:r>
      <w:r w:rsidRPr="001531CD">
        <w:tab/>
        <w:t>LDAF may inspect certified greenhouses several times during the year as needed. If symptomatic plants are found during these inspections they must be rogued and disposed of properly.</w:t>
      </w:r>
    </w:p>
    <w:p w14:paraId="2EB20F33" w14:textId="77777777" w:rsidR="00CD0355" w:rsidRPr="00D55B14" w:rsidRDefault="00CD0355" w:rsidP="00CD0355">
      <w:pPr>
        <w:pStyle w:val="A"/>
      </w:pPr>
      <w:r w:rsidRPr="00D55B14">
        <w:t>C.</w:t>
      </w:r>
      <w:r w:rsidRPr="00D55B14">
        <w:tab/>
        <w:t>Field Inspections and Sampling</w:t>
      </w:r>
    </w:p>
    <w:p w14:paraId="7FFDE513" w14:textId="77777777" w:rsidR="00CD0355" w:rsidRPr="00D55B14" w:rsidRDefault="00CD0355" w:rsidP="00CD0355">
      <w:pPr>
        <w:pStyle w:val="1"/>
      </w:pPr>
      <w:r w:rsidRPr="00D55B14">
        <w:t>1.</w:t>
      </w:r>
      <w:r w:rsidRPr="00D55B14">
        <w:tab/>
        <w:t>At least three field inspections by LDAF inspectors shall be made each year to determine if certified seedcane is being produced that apparently meets field standards.</w:t>
      </w:r>
    </w:p>
    <w:p w14:paraId="4A4A0A08" w14:textId="77777777" w:rsidR="00CD0355" w:rsidRPr="00D55B14" w:rsidRDefault="00CD0355" w:rsidP="00CD0355">
      <w:pPr>
        <w:pStyle w:val="1"/>
      </w:pPr>
      <w:r w:rsidRPr="00D55B14">
        <w:t>2.</w:t>
      </w:r>
      <w:r w:rsidRPr="00D55B14">
        <w:tab/>
        <w:t>The second inspection to be conducted in June by LDAF inspectors will include the collection of leaf samples for the detection of Sugarcane Yellow Leaf Virus.</w:t>
      </w:r>
    </w:p>
    <w:p w14:paraId="156F9FC3" w14:textId="77777777" w:rsidR="00CD0355" w:rsidRDefault="00CD0355" w:rsidP="00CD0355">
      <w:pPr>
        <w:pStyle w:val="1"/>
      </w:pPr>
      <w:r w:rsidRPr="00D55B14">
        <w:t>3.</w:t>
      </w:r>
      <w:r w:rsidRPr="00D55B14">
        <w:tab/>
        <w:t>Individual fields shall be sampled by LDAF inspectors for the detection of Sugarcane Yellow Leaf Virus according to the following guidelines.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331"/>
        <w:gridCol w:w="1647"/>
      </w:tblGrid>
      <w:tr w:rsidR="00CD0355" w:rsidRPr="009179FE" w14:paraId="69AF34DA" w14:textId="77777777" w:rsidTr="00CD0355">
        <w:trPr>
          <w:cantSplit/>
          <w:jc w:val="center"/>
        </w:trPr>
        <w:tc>
          <w:tcPr>
            <w:tcW w:w="2331" w:type="dxa"/>
            <w:tcBorders>
              <w:top w:val="double" w:sz="4" w:space="0" w:color="auto"/>
            </w:tcBorders>
            <w:shd w:val="clear" w:color="auto" w:fill="A6A6A6"/>
            <w:vAlign w:val="bottom"/>
          </w:tcPr>
          <w:p w14:paraId="7650C0EC" w14:textId="77777777" w:rsidR="00CD0355" w:rsidRPr="00043914" w:rsidRDefault="00CD0355" w:rsidP="00CD0355">
            <w:pPr>
              <w:keepNext/>
              <w:tabs>
                <w:tab w:val="left" w:pos="180"/>
                <w:tab w:val="left" w:pos="360"/>
              </w:tabs>
              <w:jc w:val="center"/>
              <w:rPr>
                <w:b/>
                <w:bCs/>
                <w:sz w:val="16"/>
                <w:szCs w:val="16"/>
              </w:rPr>
            </w:pPr>
            <w:r w:rsidRPr="00043914">
              <w:rPr>
                <w:b/>
                <w:bCs/>
                <w:sz w:val="16"/>
                <w:szCs w:val="16"/>
              </w:rPr>
              <w:t>Field Size in Acres</w:t>
            </w:r>
          </w:p>
        </w:tc>
        <w:tc>
          <w:tcPr>
            <w:tcW w:w="1647" w:type="dxa"/>
            <w:tcBorders>
              <w:top w:val="double" w:sz="4" w:space="0" w:color="auto"/>
            </w:tcBorders>
            <w:shd w:val="clear" w:color="auto" w:fill="A6A6A6"/>
            <w:vAlign w:val="bottom"/>
          </w:tcPr>
          <w:p w14:paraId="130609B6" w14:textId="77777777" w:rsidR="00CD0355" w:rsidRPr="00043914" w:rsidRDefault="00CD0355" w:rsidP="00CD0355">
            <w:pPr>
              <w:keepNext/>
              <w:tabs>
                <w:tab w:val="left" w:pos="180"/>
                <w:tab w:val="left" w:pos="360"/>
              </w:tabs>
              <w:jc w:val="center"/>
              <w:rPr>
                <w:b/>
                <w:bCs/>
                <w:sz w:val="16"/>
                <w:szCs w:val="16"/>
              </w:rPr>
            </w:pPr>
            <w:r w:rsidRPr="00043914">
              <w:rPr>
                <w:b/>
                <w:bCs/>
                <w:sz w:val="16"/>
                <w:szCs w:val="16"/>
              </w:rPr>
              <w:t># Leaf Tissue Samples per Field</w:t>
            </w:r>
          </w:p>
        </w:tc>
      </w:tr>
      <w:tr w:rsidR="00CD0355" w:rsidRPr="009179FE" w14:paraId="5A077A36" w14:textId="77777777" w:rsidTr="00CD0355">
        <w:trPr>
          <w:cantSplit/>
          <w:jc w:val="center"/>
        </w:trPr>
        <w:tc>
          <w:tcPr>
            <w:tcW w:w="2331" w:type="dxa"/>
          </w:tcPr>
          <w:p w14:paraId="018B6FB5" w14:textId="77777777" w:rsidR="00CD0355" w:rsidRPr="00043914" w:rsidRDefault="00CD0355" w:rsidP="00CD0355">
            <w:pPr>
              <w:tabs>
                <w:tab w:val="left" w:pos="180"/>
                <w:tab w:val="left" w:pos="360"/>
              </w:tabs>
              <w:jc w:val="both"/>
              <w:rPr>
                <w:sz w:val="16"/>
                <w:szCs w:val="16"/>
              </w:rPr>
            </w:pPr>
            <w:r w:rsidRPr="00043914">
              <w:rPr>
                <w:sz w:val="16"/>
                <w:szCs w:val="16"/>
              </w:rPr>
              <w:t>Less than 5 Acres *</w:t>
            </w:r>
          </w:p>
        </w:tc>
        <w:tc>
          <w:tcPr>
            <w:tcW w:w="1647" w:type="dxa"/>
          </w:tcPr>
          <w:p w14:paraId="5D49246E" w14:textId="77777777" w:rsidR="00CD0355" w:rsidRPr="00043914" w:rsidRDefault="00CD0355" w:rsidP="00CD0355">
            <w:pPr>
              <w:tabs>
                <w:tab w:val="left" w:pos="180"/>
                <w:tab w:val="left" w:pos="360"/>
              </w:tabs>
              <w:ind w:firstLine="522"/>
              <w:jc w:val="both"/>
              <w:rPr>
                <w:sz w:val="16"/>
                <w:szCs w:val="16"/>
              </w:rPr>
            </w:pPr>
            <w:r w:rsidRPr="00043914">
              <w:rPr>
                <w:sz w:val="16"/>
                <w:szCs w:val="16"/>
              </w:rPr>
              <w:t>25</w:t>
            </w:r>
          </w:p>
        </w:tc>
      </w:tr>
      <w:tr w:rsidR="00CD0355" w:rsidRPr="009179FE" w14:paraId="6D4F5A5B" w14:textId="77777777" w:rsidTr="00CD0355">
        <w:trPr>
          <w:cantSplit/>
          <w:jc w:val="center"/>
        </w:trPr>
        <w:tc>
          <w:tcPr>
            <w:tcW w:w="2331" w:type="dxa"/>
          </w:tcPr>
          <w:p w14:paraId="6BE83E49" w14:textId="77777777" w:rsidR="00CD0355" w:rsidRPr="00043914" w:rsidRDefault="00CD0355" w:rsidP="00CD0355">
            <w:pPr>
              <w:tabs>
                <w:tab w:val="left" w:pos="180"/>
                <w:tab w:val="left" w:pos="360"/>
              </w:tabs>
              <w:jc w:val="both"/>
              <w:rPr>
                <w:sz w:val="16"/>
                <w:szCs w:val="16"/>
              </w:rPr>
            </w:pPr>
            <w:r w:rsidRPr="00043914">
              <w:rPr>
                <w:sz w:val="16"/>
                <w:szCs w:val="16"/>
              </w:rPr>
              <w:t>5 - 10 Acres</w:t>
            </w:r>
          </w:p>
        </w:tc>
        <w:tc>
          <w:tcPr>
            <w:tcW w:w="1647" w:type="dxa"/>
          </w:tcPr>
          <w:p w14:paraId="47AA5A19" w14:textId="77777777" w:rsidR="00CD0355" w:rsidRPr="00043914" w:rsidRDefault="00CD0355" w:rsidP="00CD0355">
            <w:pPr>
              <w:tabs>
                <w:tab w:val="left" w:pos="180"/>
                <w:tab w:val="left" w:pos="360"/>
              </w:tabs>
              <w:ind w:firstLine="522"/>
              <w:jc w:val="both"/>
              <w:rPr>
                <w:sz w:val="16"/>
                <w:szCs w:val="16"/>
              </w:rPr>
            </w:pPr>
            <w:r w:rsidRPr="00043914">
              <w:rPr>
                <w:sz w:val="16"/>
                <w:szCs w:val="16"/>
              </w:rPr>
              <w:t>50</w:t>
            </w:r>
          </w:p>
        </w:tc>
      </w:tr>
      <w:tr w:rsidR="00CD0355" w:rsidRPr="009179FE" w14:paraId="632E9BFA" w14:textId="77777777" w:rsidTr="00CD0355">
        <w:trPr>
          <w:cantSplit/>
          <w:jc w:val="center"/>
        </w:trPr>
        <w:tc>
          <w:tcPr>
            <w:tcW w:w="2331" w:type="dxa"/>
          </w:tcPr>
          <w:p w14:paraId="184A36C5" w14:textId="77777777" w:rsidR="00CD0355" w:rsidRPr="00043914" w:rsidRDefault="00CD0355" w:rsidP="00CD0355">
            <w:pPr>
              <w:tabs>
                <w:tab w:val="left" w:pos="180"/>
                <w:tab w:val="left" w:pos="360"/>
              </w:tabs>
              <w:jc w:val="both"/>
              <w:rPr>
                <w:sz w:val="16"/>
                <w:szCs w:val="16"/>
              </w:rPr>
            </w:pPr>
            <w:r w:rsidRPr="00043914">
              <w:rPr>
                <w:sz w:val="16"/>
                <w:szCs w:val="16"/>
              </w:rPr>
              <w:t>Greater than 10 Acres</w:t>
            </w:r>
          </w:p>
        </w:tc>
        <w:tc>
          <w:tcPr>
            <w:tcW w:w="1647" w:type="dxa"/>
          </w:tcPr>
          <w:p w14:paraId="7223D1A5" w14:textId="77777777" w:rsidR="00CD0355" w:rsidRPr="00043914" w:rsidRDefault="00CD0355" w:rsidP="00CD0355">
            <w:pPr>
              <w:tabs>
                <w:tab w:val="left" w:pos="180"/>
                <w:tab w:val="left" w:pos="360"/>
              </w:tabs>
              <w:ind w:firstLine="522"/>
              <w:jc w:val="both"/>
              <w:rPr>
                <w:sz w:val="16"/>
                <w:szCs w:val="16"/>
              </w:rPr>
            </w:pPr>
            <w:r w:rsidRPr="00043914">
              <w:rPr>
                <w:sz w:val="16"/>
                <w:szCs w:val="16"/>
              </w:rPr>
              <w:t>75</w:t>
            </w:r>
          </w:p>
        </w:tc>
      </w:tr>
      <w:tr w:rsidR="00CD0355" w:rsidRPr="009179FE" w14:paraId="658137F5" w14:textId="77777777" w:rsidTr="00CD0355">
        <w:trPr>
          <w:cantSplit/>
          <w:jc w:val="center"/>
        </w:trPr>
        <w:tc>
          <w:tcPr>
            <w:tcW w:w="3978" w:type="dxa"/>
            <w:gridSpan w:val="2"/>
            <w:tcBorders>
              <w:bottom w:val="double" w:sz="4" w:space="0" w:color="auto"/>
            </w:tcBorders>
          </w:tcPr>
          <w:p w14:paraId="0E22BB89" w14:textId="77777777" w:rsidR="00CD0355" w:rsidRPr="00043914" w:rsidRDefault="00CD0355" w:rsidP="00CD0355">
            <w:pPr>
              <w:tabs>
                <w:tab w:val="left" w:pos="180"/>
                <w:tab w:val="left" w:pos="360"/>
              </w:tabs>
              <w:jc w:val="both"/>
              <w:rPr>
                <w:sz w:val="16"/>
                <w:szCs w:val="16"/>
              </w:rPr>
            </w:pPr>
            <w:r w:rsidRPr="00043914">
              <w:rPr>
                <w:sz w:val="16"/>
                <w:szCs w:val="16"/>
              </w:rPr>
              <w:t>*</w:t>
            </w:r>
            <w:r w:rsidRPr="00043914">
              <w:rPr>
                <w:iCs/>
                <w:sz w:val="16"/>
                <w:szCs w:val="16"/>
              </w:rPr>
              <w:t>Minimum of 25 Leaf Tissue Samples per Field</w:t>
            </w:r>
          </w:p>
        </w:tc>
      </w:tr>
    </w:tbl>
    <w:p w14:paraId="294C8CE5" w14:textId="77777777" w:rsidR="00CD0355" w:rsidRPr="001531CD" w:rsidRDefault="00CD0355" w:rsidP="00CD0355">
      <w:pPr>
        <w:tabs>
          <w:tab w:val="left" w:pos="720"/>
          <w:tab w:val="left" w:pos="979"/>
          <w:tab w:val="left" w:pos="1152"/>
          <w:tab w:val="left" w:pos="4500"/>
          <w:tab w:val="left" w:pos="4680"/>
          <w:tab w:val="left" w:pos="4860"/>
          <w:tab w:val="left" w:pos="5040"/>
          <w:tab w:val="left" w:pos="7200"/>
        </w:tabs>
        <w:ind w:firstLine="360"/>
        <w:jc w:val="both"/>
        <w:outlineLvl w:val="4"/>
        <w:rPr>
          <w:sz w:val="20"/>
        </w:rPr>
      </w:pPr>
    </w:p>
    <w:p w14:paraId="78C5ED54" w14:textId="77777777" w:rsidR="00CD0355" w:rsidRPr="001531CD" w:rsidRDefault="00CD0355" w:rsidP="00CD0355">
      <w:pPr>
        <w:pStyle w:val="1"/>
      </w:pPr>
      <w:r w:rsidRPr="001531CD">
        <w:t>4.</w:t>
      </w:r>
      <w:r w:rsidRPr="001531CD">
        <w:tab/>
        <w:t>Tissue samples shall be submitted to the LSU Ag Center Sugarcane Disease Detection Lab for analysis.</w:t>
      </w:r>
    </w:p>
    <w:p w14:paraId="5C2E9BEF" w14:textId="77777777" w:rsidR="00CD0355" w:rsidRPr="001531CD" w:rsidRDefault="00CD0355" w:rsidP="00CD0355">
      <w:pPr>
        <w:pStyle w:val="1"/>
      </w:pPr>
      <w:r w:rsidRPr="00D55B14">
        <w:t>5.</w:t>
      </w:r>
      <w:r w:rsidRPr="00D55B14">
        <w:tab/>
        <w:t>LDAF shall have the right to re-inspect, re-sample and re-test fields that are out of tolerance for Sugarcane Yellow Leaf Virus prior to certification.</w:t>
      </w:r>
    </w:p>
    <w:p w14:paraId="032119BD" w14:textId="77777777" w:rsidR="00CD0355" w:rsidRPr="001531CD" w:rsidRDefault="00CD0355" w:rsidP="00CD0355">
      <w:pPr>
        <w:pStyle w:val="A"/>
      </w:pPr>
      <w:r w:rsidRPr="001531CD">
        <w:t>D.</w:t>
      </w:r>
      <w:r w:rsidRPr="001531CD">
        <w:tab/>
        <w:t>Land Requirements. The land shall be fallowed one summer from the previous crop.</w:t>
      </w:r>
    </w:p>
    <w:p w14:paraId="27E50914" w14:textId="77777777" w:rsidR="00333347" w:rsidRDefault="00CD0355" w:rsidP="00333347">
      <w:pPr>
        <w:pStyle w:val="A"/>
      </w:pPr>
      <w:r w:rsidRPr="00CA2490">
        <w:t>E.</w:t>
      </w:r>
      <w:r w:rsidRPr="00CA2490">
        <w:tab/>
      </w:r>
      <w:r w:rsidR="00333347" w:rsidRPr="008D1E1B">
        <w:t>Field Standards</w:t>
      </w:r>
    </w:p>
    <w:tbl>
      <w:tblPr>
        <w:tblW w:w="4977" w:type="dxa"/>
        <w:jc w:val="center"/>
        <w:tblLayout w:type="fixed"/>
        <w:tblCellMar>
          <w:left w:w="0" w:type="dxa"/>
          <w:right w:w="0" w:type="dxa"/>
        </w:tblCellMar>
        <w:tblLook w:val="04A0" w:firstRow="1" w:lastRow="0" w:firstColumn="1" w:lastColumn="0" w:noHBand="0" w:noVBand="1"/>
      </w:tblPr>
      <w:tblGrid>
        <w:gridCol w:w="1774"/>
        <w:gridCol w:w="967"/>
        <w:gridCol w:w="1066"/>
        <w:gridCol w:w="1170"/>
      </w:tblGrid>
      <w:tr w:rsidR="00333347" w:rsidRPr="0079669D" w14:paraId="2D72B9F2" w14:textId="77777777" w:rsidTr="002E0396">
        <w:trPr>
          <w:cantSplit/>
          <w:trHeight w:hRule="exact" w:val="288"/>
          <w:tblHeader/>
          <w:jc w:val="center"/>
        </w:trPr>
        <w:tc>
          <w:tcPr>
            <w:tcW w:w="1774" w:type="dxa"/>
            <w:tcBorders>
              <w:top w:val="double" w:sz="5" w:space="0" w:color="000000"/>
              <w:left w:val="double" w:sz="5" w:space="0" w:color="000000"/>
              <w:bottom w:val="single" w:sz="7" w:space="0" w:color="000000"/>
              <w:right w:val="single" w:sz="7" w:space="0" w:color="000000"/>
            </w:tcBorders>
            <w:shd w:val="clear" w:color="BFBFBF" w:fill="BFBFBF"/>
            <w:vAlign w:val="bottom"/>
          </w:tcPr>
          <w:p w14:paraId="189A1E8F" w14:textId="77777777" w:rsidR="00333347" w:rsidRPr="0079669D" w:rsidRDefault="00333347" w:rsidP="002E0396">
            <w:pPr>
              <w:keepNext/>
              <w:tabs>
                <w:tab w:val="left" w:pos="641"/>
              </w:tabs>
              <w:ind w:right="1023"/>
              <w:jc w:val="center"/>
              <w:textAlignment w:val="baseline"/>
              <w:rPr>
                <w:b/>
                <w:sz w:val="16"/>
                <w:szCs w:val="16"/>
              </w:rPr>
            </w:pPr>
            <w:r>
              <w:rPr>
                <w:b/>
                <w:sz w:val="16"/>
                <w:szCs w:val="16"/>
              </w:rPr>
              <w:t>Factor</w:t>
            </w:r>
          </w:p>
        </w:tc>
        <w:tc>
          <w:tcPr>
            <w:tcW w:w="967" w:type="dxa"/>
            <w:tcBorders>
              <w:top w:val="double" w:sz="5" w:space="0" w:color="000000"/>
              <w:left w:val="single" w:sz="7" w:space="0" w:color="000000"/>
              <w:bottom w:val="single" w:sz="7" w:space="0" w:color="000000"/>
              <w:right w:val="single" w:sz="7" w:space="0" w:color="000000"/>
            </w:tcBorders>
            <w:shd w:val="clear" w:color="BFBFBF" w:fill="BFBFBF"/>
            <w:vAlign w:val="bottom"/>
          </w:tcPr>
          <w:p w14:paraId="6B9319B5" w14:textId="77777777" w:rsidR="00333347" w:rsidRPr="0079669D" w:rsidRDefault="00333347" w:rsidP="002E0396">
            <w:pPr>
              <w:keepNext/>
              <w:jc w:val="center"/>
              <w:textAlignment w:val="baseline"/>
              <w:rPr>
                <w:b/>
                <w:sz w:val="16"/>
                <w:szCs w:val="16"/>
              </w:rPr>
            </w:pPr>
            <w:r w:rsidRPr="0079669D">
              <w:rPr>
                <w:b/>
                <w:sz w:val="16"/>
                <w:szCs w:val="16"/>
              </w:rPr>
              <w:t>Foundation</w:t>
            </w:r>
          </w:p>
        </w:tc>
        <w:tc>
          <w:tcPr>
            <w:tcW w:w="1066" w:type="dxa"/>
            <w:tcBorders>
              <w:top w:val="double" w:sz="5" w:space="0" w:color="000000"/>
              <w:left w:val="single" w:sz="7" w:space="0" w:color="000000"/>
              <w:bottom w:val="single" w:sz="7" w:space="0" w:color="000000"/>
              <w:right w:val="single" w:sz="7" w:space="0" w:color="000000"/>
            </w:tcBorders>
            <w:shd w:val="clear" w:color="BFBFBF" w:fill="BFBFBF"/>
            <w:vAlign w:val="bottom"/>
          </w:tcPr>
          <w:p w14:paraId="054E12B8" w14:textId="77777777" w:rsidR="00333347" w:rsidRPr="0079669D" w:rsidRDefault="00333347" w:rsidP="002E0396">
            <w:pPr>
              <w:keepNext/>
              <w:jc w:val="center"/>
              <w:textAlignment w:val="baseline"/>
              <w:rPr>
                <w:b/>
                <w:sz w:val="16"/>
                <w:szCs w:val="16"/>
              </w:rPr>
            </w:pPr>
            <w:r w:rsidRPr="0079669D">
              <w:rPr>
                <w:b/>
                <w:sz w:val="16"/>
                <w:szCs w:val="16"/>
              </w:rPr>
              <w:t>Registered</w:t>
            </w:r>
          </w:p>
        </w:tc>
        <w:tc>
          <w:tcPr>
            <w:tcW w:w="1170" w:type="dxa"/>
            <w:tcBorders>
              <w:top w:val="double" w:sz="5" w:space="0" w:color="000000"/>
              <w:left w:val="single" w:sz="7" w:space="0" w:color="000000"/>
              <w:bottom w:val="single" w:sz="7" w:space="0" w:color="000000"/>
              <w:right w:val="double" w:sz="5" w:space="0" w:color="000000"/>
            </w:tcBorders>
            <w:shd w:val="clear" w:color="BFBFBF" w:fill="BFBFBF"/>
            <w:vAlign w:val="bottom"/>
          </w:tcPr>
          <w:p w14:paraId="1F30C7EE" w14:textId="77777777" w:rsidR="00333347" w:rsidRPr="0079669D" w:rsidRDefault="00333347" w:rsidP="002E0396">
            <w:pPr>
              <w:keepNext/>
              <w:jc w:val="center"/>
              <w:textAlignment w:val="baseline"/>
              <w:rPr>
                <w:b/>
                <w:sz w:val="16"/>
                <w:szCs w:val="16"/>
              </w:rPr>
            </w:pPr>
            <w:r w:rsidRPr="0079669D">
              <w:rPr>
                <w:b/>
                <w:sz w:val="16"/>
                <w:szCs w:val="16"/>
              </w:rPr>
              <w:t>Certified</w:t>
            </w:r>
          </w:p>
        </w:tc>
      </w:tr>
      <w:tr w:rsidR="00333347" w:rsidRPr="0079669D" w14:paraId="1A5FEEF5" w14:textId="77777777" w:rsidTr="002E0396">
        <w:trPr>
          <w:cantSplit/>
          <w:trHeight w:hRule="exact" w:val="197"/>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25545381" w14:textId="77777777" w:rsidR="00333347" w:rsidRPr="0079669D" w:rsidRDefault="00333347" w:rsidP="002E0396">
            <w:pPr>
              <w:ind w:left="57"/>
              <w:textAlignment w:val="baseline"/>
              <w:rPr>
                <w:sz w:val="16"/>
                <w:szCs w:val="16"/>
              </w:rPr>
            </w:pPr>
            <w:r w:rsidRPr="0079669D">
              <w:rPr>
                <w:sz w:val="16"/>
                <w:szCs w:val="16"/>
              </w:rPr>
              <w:t>Isolation</w:t>
            </w:r>
          </w:p>
        </w:tc>
        <w:tc>
          <w:tcPr>
            <w:tcW w:w="967" w:type="dxa"/>
            <w:tcBorders>
              <w:top w:val="single" w:sz="7" w:space="0" w:color="000000"/>
              <w:left w:val="single" w:sz="7" w:space="0" w:color="000000"/>
              <w:bottom w:val="single" w:sz="7" w:space="0" w:color="000000"/>
              <w:right w:val="single" w:sz="7" w:space="0" w:color="000000"/>
            </w:tcBorders>
            <w:vAlign w:val="center"/>
          </w:tcPr>
          <w:p w14:paraId="2F14467E" w14:textId="77777777" w:rsidR="00333347" w:rsidRPr="0079669D" w:rsidRDefault="00333347" w:rsidP="002E0396">
            <w:pPr>
              <w:jc w:val="center"/>
              <w:textAlignment w:val="baseline"/>
              <w:rPr>
                <w:sz w:val="16"/>
                <w:szCs w:val="16"/>
              </w:rPr>
            </w:pPr>
            <w:r w:rsidRPr="0079669D">
              <w:rPr>
                <w:sz w:val="16"/>
                <w:szCs w:val="16"/>
              </w:rPr>
              <w:t>10 ft.</w:t>
            </w:r>
          </w:p>
        </w:tc>
        <w:tc>
          <w:tcPr>
            <w:tcW w:w="1066" w:type="dxa"/>
            <w:tcBorders>
              <w:top w:val="single" w:sz="7" w:space="0" w:color="000000"/>
              <w:left w:val="single" w:sz="7" w:space="0" w:color="000000"/>
              <w:bottom w:val="single" w:sz="7" w:space="0" w:color="000000"/>
              <w:right w:val="single" w:sz="7" w:space="0" w:color="000000"/>
            </w:tcBorders>
            <w:vAlign w:val="center"/>
          </w:tcPr>
          <w:p w14:paraId="37E12651" w14:textId="77777777" w:rsidR="00333347" w:rsidRPr="0079669D" w:rsidRDefault="00333347" w:rsidP="002E0396">
            <w:pPr>
              <w:jc w:val="center"/>
              <w:textAlignment w:val="baseline"/>
              <w:rPr>
                <w:sz w:val="16"/>
                <w:szCs w:val="16"/>
              </w:rPr>
            </w:pPr>
            <w:r w:rsidRPr="0079669D">
              <w:rPr>
                <w:sz w:val="16"/>
                <w:szCs w:val="16"/>
              </w:rPr>
              <w:t>10 ft.</w:t>
            </w:r>
          </w:p>
        </w:tc>
        <w:tc>
          <w:tcPr>
            <w:tcW w:w="1170" w:type="dxa"/>
            <w:tcBorders>
              <w:top w:val="single" w:sz="7" w:space="0" w:color="000000"/>
              <w:left w:val="single" w:sz="7" w:space="0" w:color="000000"/>
              <w:bottom w:val="single" w:sz="7" w:space="0" w:color="000000"/>
              <w:right w:val="double" w:sz="5" w:space="0" w:color="000000"/>
            </w:tcBorders>
            <w:vAlign w:val="center"/>
          </w:tcPr>
          <w:p w14:paraId="5387C365" w14:textId="77777777" w:rsidR="00333347" w:rsidRPr="0079669D" w:rsidRDefault="00333347" w:rsidP="002E0396">
            <w:pPr>
              <w:jc w:val="center"/>
              <w:textAlignment w:val="baseline"/>
              <w:rPr>
                <w:sz w:val="16"/>
                <w:szCs w:val="16"/>
              </w:rPr>
            </w:pPr>
            <w:r w:rsidRPr="0079669D">
              <w:rPr>
                <w:sz w:val="16"/>
                <w:szCs w:val="16"/>
              </w:rPr>
              <w:t>10 ft.</w:t>
            </w:r>
          </w:p>
        </w:tc>
      </w:tr>
      <w:tr w:rsidR="00333347" w:rsidRPr="0079669D" w14:paraId="66579B6D" w14:textId="77777777" w:rsidTr="002E0396">
        <w:trPr>
          <w:cantSplit/>
          <w:trHeight w:hRule="exact" w:val="201"/>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6D5EEABE" w14:textId="77777777" w:rsidR="00333347" w:rsidRPr="0079669D" w:rsidRDefault="00333347" w:rsidP="002E0396">
            <w:pPr>
              <w:ind w:left="57"/>
              <w:textAlignment w:val="baseline"/>
              <w:rPr>
                <w:sz w:val="16"/>
                <w:szCs w:val="16"/>
              </w:rPr>
            </w:pPr>
            <w:r w:rsidRPr="0079669D">
              <w:rPr>
                <w:sz w:val="16"/>
                <w:szCs w:val="16"/>
              </w:rPr>
              <w:t>Other Varieties (obvious)</w:t>
            </w:r>
          </w:p>
        </w:tc>
        <w:tc>
          <w:tcPr>
            <w:tcW w:w="967" w:type="dxa"/>
            <w:tcBorders>
              <w:top w:val="single" w:sz="7" w:space="0" w:color="000000"/>
              <w:left w:val="single" w:sz="7" w:space="0" w:color="000000"/>
              <w:bottom w:val="single" w:sz="7" w:space="0" w:color="000000"/>
              <w:right w:val="single" w:sz="7" w:space="0" w:color="000000"/>
            </w:tcBorders>
            <w:vAlign w:val="center"/>
          </w:tcPr>
          <w:p w14:paraId="6D606EA3"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2781478C" w14:textId="77777777" w:rsidR="00333347" w:rsidRPr="0079669D" w:rsidRDefault="00333347" w:rsidP="002E0396">
            <w:pPr>
              <w:jc w:val="center"/>
              <w:textAlignment w:val="baseline"/>
              <w:rPr>
                <w:sz w:val="16"/>
                <w:szCs w:val="16"/>
              </w:rPr>
            </w:pPr>
            <w:r w:rsidRPr="0079669D">
              <w:rPr>
                <w:sz w:val="16"/>
                <w:szCs w:val="16"/>
              </w:rPr>
              <w:t>1.00%</w:t>
            </w:r>
          </w:p>
        </w:tc>
        <w:tc>
          <w:tcPr>
            <w:tcW w:w="1170" w:type="dxa"/>
            <w:tcBorders>
              <w:top w:val="single" w:sz="7" w:space="0" w:color="000000"/>
              <w:left w:val="single" w:sz="7" w:space="0" w:color="000000"/>
              <w:bottom w:val="single" w:sz="7" w:space="0" w:color="000000"/>
              <w:right w:val="double" w:sz="5" w:space="0" w:color="000000"/>
            </w:tcBorders>
            <w:vAlign w:val="center"/>
          </w:tcPr>
          <w:p w14:paraId="25A281BB" w14:textId="77777777" w:rsidR="00333347" w:rsidRPr="0079669D" w:rsidRDefault="00333347" w:rsidP="002E0396">
            <w:pPr>
              <w:jc w:val="center"/>
              <w:textAlignment w:val="baseline"/>
              <w:rPr>
                <w:sz w:val="16"/>
                <w:szCs w:val="16"/>
              </w:rPr>
            </w:pPr>
            <w:r w:rsidRPr="0079669D">
              <w:rPr>
                <w:sz w:val="16"/>
                <w:szCs w:val="16"/>
              </w:rPr>
              <w:t>1.00%</w:t>
            </w:r>
          </w:p>
        </w:tc>
      </w:tr>
      <w:tr w:rsidR="00333347" w:rsidRPr="0079669D" w14:paraId="460BB2D0" w14:textId="77777777" w:rsidTr="002E0396">
        <w:trPr>
          <w:cantSplit/>
          <w:trHeight w:hRule="exact" w:val="197"/>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49F2A327" w14:textId="77777777" w:rsidR="00333347" w:rsidRPr="0079669D" w:rsidRDefault="00333347" w:rsidP="002E0396">
            <w:pPr>
              <w:ind w:left="57"/>
              <w:textAlignment w:val="baseline"/>
              <w:rPr>
                <w:sz w:val="16"/>
                <w:szCs w:val="16"/>
              </w:rPr>
            </w:pPr>
            <w:r w:rsidRPr="0079669D">
              <w:rPr>
                <w:sz w:val="16"/>
                <w:szCs w:val="16"/>
              </w:rPr>
              <w:t>Off-Type (definite)</w:t>
            </w:r>
          </w:p>
        </w:tc>
        <w:tc>
          <w:tcPr>
            <w:tcW w:w="967" w:type="dxa"/>
            <w:tcBorders>
              <w:top w:val="single" w:sz="7" w:space="0" w:color="000000"/>
              <w:left w:val="single" w:sz="7" w:space="0" w:color="000000"/>
              <w:bottom w:val="single" w:sz="7" w:space="0" w:color="000000"/>
              <w:right w:val="single" w:sz="7" w:space="0" w:color="000000"/>
            </w:tcBorders>
            <w:vAlign w:val="center"/>
          </w:tcPr>
          <w:p w14:paraId="7C69E0FC"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04E9313D" w14:textId="77777777" w:rsidR="00333347" w:rsidRPr="0079669D" w:rsidRDefault="00333347" w:rsidP="002E0396">
            <w:pPr>
              <w:jc w:val="center"/>
              <w:textAlignment w:val="baseline"/>
              <w:rPr>
                <w:sz w:val="16"/>
                <w:szCs w:val="16"/>
              </w:rPr>
            </w:pPr>
            <w:r w:rsidRPr="0079669D">
              <w:rPr>
                <w:sz w:val="16"/>
                <w:szCs w:val="16"/>
              </w:rPr>
              <w:t>1.00%</w:t>
            </w:r>
          </w:p>
        </w:tc>
        <w:tc>
          <w:tcPr>
            <w:tcW w:w="1170" w:type="dxa"/>
            <w:tcBorders>
              <w:top w:val="single" w:sz="7" w:space="0" w:color="000000"/>
              <w:left w:val="single" w:sz="7" w:space="0" w:color="000000"/>
              <w:bottom w:val="single" w:sz="7" w:space="0" w:color="000000"/>
              <w:right w:val="double" w:sz="5" w:space="0" w:color="000000"/>
            </w:tcBorders>
            <w:vAlign w:val="center"/>
          </w:tcPr>
          <w:p w14:paraId="0112B739" w14:textId="77777777" w:rsidR="00333347" w:rsidRPr="0079669D" w:rsidRDefault="00333347" w:rsidP="002E0396">
            <w:pPr>
              <w:jc w:val="center"/>
              <w:textAlignment w:val="baseline"/>
              <w:rPr>
                <w:sz w:val="16"/>
                <w:szCs w:val="16"/>
              </w:rPr>
            </w:pPr>
            <w:r w:rsidRPr="0079669D">
              <w:rPr>
                <w:sz w:val="16"/>
                <w:szCs w:val="16"/>
              </w:rPr>
              <w:t>1.00%</w:t>
            </w:r>
          </w:p>
        </w:tc>
      </w:tr>
      <w:tr w:rsidR="00333347" w:rsidRPr="0079669D" w14:paraId="74708888" w14:textId="77777777" w:rsidTr="002E0396">
        <w:trPr>
          <w:cantSplit/>
          <w:trHeight w:hRule="exact" w:val="202"/>
          <w:jc w:val="center"/>
        </w:trPr>
        <w:tc>
          <w:tcPr>
            <w:tcW w:w="4977" w:type="dxa"/>
            <w:gridSpan w:val="4"/>
            <w:tcBorders>
              <w:top w:val="single" w:sz="7" w:space="0" w:color="000000"/>
              <w:left w:val="double" w:sz="5" w:space="0" w:color="000000"/>
              <w:bottom w:val="single" w:sz="7" w:space="0" w:color="000000"/>
              <w:right w:val="double" w:sz="5" w:space="0" w:color="000000"/>
            </w:tcBorders>
            <w:vAlign w:val="center"/>
          </w:tcPr>
          <w:p w14:paraId="49D7BCBD" w14:textId="77777777" w:rsidR="00333347" w:rsidRPr="0079669D" w:rsidRDefault="00333347" w:rsidP="002E0396">
            <w:pPr>
              <w:ind w:left="57"/>
              <w:textAlignment w:val="baseline"/>
              <w:rPr>
                <w:sz w:val="16"/>
                <w:szCs w:val="16"/>
              </w:rPr>
            </w:pPr>
            <w:r w:rsidRPr="0079669D">
              <w:rPr>
                <w:sz w:val="16"/>
                <w:szCs w:val="16"/>
              </w:rPr>
              <w:t>Noxious Weeds:</w:t>
            </w:r>
          </w:p>
        </w:tc>
      </w:tr>
      <w:tr w:rsidR="00333347" w:rsidRPr="0079669D" w14:paraId="2E75717C" w14:textId="77777777" w:rsidTr="002E0396">
        <w:trPr>
          <w:cantSplit/>
          <w:trHeight w:hRule="exact" w:val="196"/>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1C32BC80" w14:textId="77777777" w:rsidR="00333347" w:rsidRPr="0079669D" w:rsidRDefault="00333347" w:rsidP="002E0396">
            <w:pPr>
              <w:ind w:left="57"/>
              <w:textAlignment w:val="baseline"/>
              <w:rPr>
                <w:sz w:val="16"/>
                <w:szCs w:val="16"/>
              </w:rPr>
            </w:pPr>
            <w:r w:rsidRPr="0079669D">
              <w:rPr>
                <w:sz w:val="16"/>
                <w:szCs w:val="16"/>
              </w:rPr>
              <w:t>Johnsongrass</w:t>
            </w:r>
          </w:p>
        </w:tc>
        <w:tc>
          <w:tcPr>
            <w:tcW w:w="967" w:type="dxa"/>
            <w:tcBorders>
              <w:top w:val="single" w:sz="7" w:space="0" w:color="000000"/>
              <w:left w:val="single" w:sz="7" w:space="0" w:color="000000"/>
              <w:bottom w:val="single" w:sz="7" w:space="0" w:color="000000"/>
              <w:right w:val="single" w:sz="7" w:space="0" w:color="000000"/>
            </w:tcBorders>
            <w:vAlign w:val="center"/>
          </w:tcPr>
          <w:p w14:paraId="61762DF9"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0DCEA17F" w14:textId="77777777" w:rsidR="00333347" w:rsidRPr="0079669D" w:rsidRDefault="00333347" w:rsidP="002E0396">
            <w:pPr>
              <w:jc w:val="center"/>
              <w:textAlignment w:val="baseline"/>
              <w:rPr>
                <w:sz w:val="16"/>
                <w:szCs w:val="16"/>
              </w:rPr>
            </w:pPr>
            <w:r w:rsidRPr="0079669D">
              <w:rPr>
                <w:sz w:val="16"/>
                <w:szCs w:val="16"/>
              </w:rPr>
              <w:t>5 Plants/Acre</w:t>
            </w:r>
          </w:p>
        </w:tc>
        <w:tc>
          <w:tcPr>
            <w:tcW w:w="1170" w:type="dxa"/>
            <w:tcBorders>
              <w:top w:val="single" w:sz="7" w:space="0" w:color="000000"/>
              <w:left w:val="single" w:sz="7" w:space="0" w:color="000000"/>
              <w:bottom w:val="single" w:sz="7" w:space="0" w:color="000000"/>
              <w:right w:val="double" w:sz="5" w:space="0" w:color="000000"/>
            </w:tcBorders>
            <w:vAlign w:val="center"/>
          </w:tcPr>
          <w:p w14:paraId="4B16382A" w14:textId="77777777" w:rsidR="00333347" w:rsidRPr="0079669D" w:rsidRDefault="00333347" w:rsidP="002E0396">
            <w:pPr>
              <w:jc w:val="center"/>
              <w:textAlignment w:val="baseline"/>
              <w:rPr>
                <w:sz w:val="16"/>
                <w:szCs w:val="16"/>
              </w:rPr>
            </w:pPr>
            <w:r w:rsidRPr="0079669D">
              <w:rPr>
                <w:sz w:val="16"/>
                <w:szCs w:val="16"/>
              </w:rPr>
              <w:t>5 Plants/ Acre</w:t>
            </w:r>
          </w:p>
        </w:tc>
      </w:tr>
      <w:tr w:rsidR="00333347" w:rsidRPr="0079669D" w14:paraId="32129EA7" w14:textId="77777777" w:rsidTr="002E0396">
        <w:trPr>
          <w:cantSplit/>
          <w:trHeight w:hRule="exact" w:val="202"/>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6A8F6DCC" w14:textId="77777777" w:rsidR="00333347" w:rsidRPr="0079669D" w:rsidRDefault="00333347" w:rsidP="002E0396">
            <w:pPr>
              <w:ind w:left="57"/>
              <w:textAlignment w:val="baseline"/>
              <w:rPr>
                <w:sz w:val="16"/>
                <w:szCs w:val="16"/>
              </w:rPr>
            </w:pPr>
            <w:r w:rsidRPr="0079669D">
              <w:rPr>
                <w:sz w:val="16"/>
                <w:szCs w:val="16"/>
              </w:rPr>
              <w:t>Itchgrass</w:t>
            </w:r>
          </w:p>
        </w:tc>
        <w:tc>
          <w:tcPr>
            <w:tcW w:w="967" w:type="dxa"/>
            <w:tcBorders>
              <w:top w:val="single" w:sz="7" w:space="0" w:color="000000"/>
              <w:left w:val="single" w:sz="7" w:space="0" w:color="000000"/>
              <w:bottom w:val="single" w:sz="7" w:space="0" w:color="000000"/>
              <w:right w:val="single" w:sz="7" w:space="0" w:color="000000"/>
            </w:tcBorders>
            <w:vAlign w:val="center"/>
          </w:tcPr>
          <w:p w14:paraId="1B741D74"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509AA5A9" w14:textId="77777777" w:rsidR="00333347" w:rsidRPr="0079669D" w:rsidRDefault="00333347" w:rsidP="002E0396">
            <w:pPr>
              <w:jc w:val="center"/>
              <w:textAlignment w:val="baseline"/>
              <w:rPr>
                <w:sz w:val="16"/>
                <w:szCs w:val="16"/>
              </w:rPr>
            </w:pPr>
            <w:r w:rsidRPr="0079669D">
              <w:rPr>
                <w:sz w:val="16"/>
                <w:szCs w:val="16"/>
              </w:rPr>
              <w:t>1 Plant/Acre</w:t>
            </w:r>
          </w:p>
        </w:tc>
        <w:tc>
          <w:tcPr>
            <w:tcW w:w="1170" w:type="dxa"/>
            <w:tcBorders>
              <w:top w:val="single" w:sz="7" w:space="0" w:color="000000"/>
              <w:left w:val="single" w:sz="7" w:space="0" w:color="000000"/>
              <w:bottom w:val="single" w:sz="7" w:space="0" w:color="000000"/>
              <w:right w:val="double" w:sz="5" w:space="0" w:color="000000"/>
            </w:tcBorders>
            <w:vAlign w:val="center"/>
          </w:tcPr>
          <w:p w14:paraId="57D218EA" w14:textId="77777777" w:rsidR="00333347" w:rsidRPr="0079669D" w:rsidRDefault="00333347" w:rsidP="002E0396">
            <w:pPr>
              <w:jc w:val="center"/>
              <w:textAlignment w:val="baseline"/>
              <w:rPr>
                <w:sz w:val="16"/>
                <w:szCs w:val="16"/>
              </w:rPr>
            </w:pPr>
            <w:r w:rsidRPr="0079669D">
              <w:rPr>
                <w:sz w:val="16"/>
                <w:szCs w:val="16"/>
              </w:rPr>
              <w:t>1 Plant/ Acre</w:t>
            </w:r>
          </w:p>
        </w:tc>
      </w:tr>
      <w:tr w:rsidR="00333347" w:rsidRPr="0079669D" w14:paraId="5A537123" w14:textId="77777777" w:rsidTr="002E0396">
        <w:trPr>
          <w:cantSplit/>
          <w:trHeight w:hRule="exact" w:val="197"/>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0F5D37C0" w14:textId="77777777" w:rsidR="00333347" w:rsidRPr="0079669D" w:rsidRDefault="00333347" w:rsidP="002E0396">
            <w:pPr>
              <w:ind w:left="57"/>
              <w:textAlignment w:val="baseline"/>
              <w:rPr>
                <w:sz w:val="16"/>
                <w:szCs w:val="16"/>
              </w:rPr>
            </w:pPr>
            <w:r w:rsidRPr="0079669D">
              <w:rPr>
                <w:sz w:val="16"/>
                <w:szCs w:val="16"/>
              </w:rPr>
              <w:t>Black Nightshade</w:t>
            </w:r>
          </w:p>
        </w:tc>
        <w:tc>
          <w:tcPr>
            <w:tcW w:w="967" w:type="dxa"/>
            <w:tcBorders>
              <w:top w:val="single" w:sz="7" w:space="0" w:color="000000"/>
              <w:left w:val="single" w:sz="7" w:space="0" w:color="000000"/>
              <w:bottom w:val="single" w:sz="7" w:space="0" w:color="000000"/>
              <w:right w:val="single" w:sz="7" w:space="0" w:color="000000"/>
            </w:tcBorders>
            <w:vAlign w:val="center"/>
          </w:tcPr>
          <w:p w14:paraId="06307461"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0BED667D" w14:textId="77777777" w:rsidR="00333347" w:rsidRPr="0079669D" w:rsidRDefault="00333347" w:rsidP="002E0396">
            <w:pPr>
              <w:jc w:val="center"/>
              <w:textAlignment w:val="baseline"/>
              <w:rPr>
                <w:sz w:val="16"/>
                <w:szCs w:val="16"/>
              </w:rPr>
            </w:pPr>
            <w:r w:rsidRPr="0079669D">
              <w:rPr>
                <w:sz w:val="16"/>
                <w:szCs w:val="16"/>
              </w:rPr>
              <w:t>3 Plants/Acre</w:t>
            </w:r>
          </w:p>
        </w:tc>
        <w:tc>
          <w:tcPr>
            <w:tcW w:w="1170" w:type="dxa"/>
            <w:tcBorders>
              <w:top w:val="single" w:sz="7" w:space="0" w:color="000000"/>
              <w:left w:val="single" w:sz="7" w:space="0" w:color="000000"/>
              <w:bottom w:val="single" w:sz="7" w:space="0" w:color="000000"/>
              <w:right w:val="double" w:sz="5" w:space="0" w:color="000000"/>
            </w:tcBorders>
            <w:vAlign w:val="center"/>
          </w:tcPr>
          <w:p w14:paraId="2D817432" w14:textId="77777777" w:rsidR="00333347" w:rsidRPr="0079669D" w:rsidRDefault="00333347" w:rsidP="002E0396">
            <w:pPr>
              <w:jc w:val="center"/>
              <w:textAlignment w:val="baseline"/>
              <w:rPr>
                <w:sz w:val="16"/>
                <w:szCs w:val="16"/>
              </w:rPr>
            </w:pPr>
            <w:r w:rsidRPr="0079669D">
              <w:rPr>
                <w:sz w:val="16"/>
                <w:szCs w:val="16"/>
              </w:rPr>
              <w:t>3 Plants/Acre</w:t>
            </w:r>
          </w:p>
        </w:tc>
      </w:tr>
      <w:tr w:rsidR="00333347" w:rsidRPr="0079669D" w14:paraId="77CAAC82" w14:textId="77777777" w:rsidTr="002E0396">
        <w:trPr>
          <w:cantSplit/>
          <w:trHeight w:hRule="exact" w:val="201"/>
          <w:jc w:val="center"/>
        </w:trPr>
        <w:tc>
          <w:tcPr>
            <w:tcW w:w="4977" w:type="dxa"/>
            <w:gridSpan w:val="4"/>
            <w:tcBorders>
              <w:top w:val="single" w:sz="7" w:space="0" w:color="000000"/>
              <w:left w:val="double" w:sz="5" w:space="0" w:color="000000"/>
              <w:bottom w:val="single" w:sz="7" w:space="0" w:color="000000"/>
              <w:right w:val="double" w:sz="5" w:space="0" w:color="000000"/>
            </w:tcBorders>
            <w:vAlign w:val="center"/>
          </w:tcPr>
          <w:p w14:paraId="4E2836C9" w14:textId="77777777" w:rsidR="00333347" w:rsidRPr="0079669D" w:rsidRDefault="00333347" w:rsidP="002E0396">
            <w:pPr>
              <w:ind w:left="57"/>
              <w:textAlignment w:val="baseline"/>
              <w:rPr>
                <w:sz w:val="16"/>
                <w:szCs w:val="16"/>
              </w:rPr>
            </w:pPr>
            <w:r w:rsidRPr="0079669D">
              <w:rPr>
                <w:sz w:val="16"/>
                <w:szCs w:val="16"/>
              </w:rPr>
              <w:t>Harmful Diseases:</w:t>
            </w:r>
          </w:p>
        </w:tc>
      </w:tr>
      <w:tr w:rsidR="00333347" w:rsidRPr="0079669D" w14:paraId="2EF906D8" w14:textId="77777777" w:rsidTr="002E0396">
        <w:trPr>
          <w:cantSplit/>
          <w:trHeight w:hRule="exact" w:val="432"/>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35490238" w14:textId="77777777" w:rsidR="00333347" w:rsidRPr="0079669D" w:rsidRDefault="00333347" w:rsidP="002E0396">
            <w:pPr>
              <w:ind w:left="57"/>
              <w:textAlignment w:val="baseline"/>
              <w:rPr>
                <w:sz w:val="16"/>
                <w:szCs w:val="16"/>
              </w:rPr>
            </w:pPr>
            <w:r w:rsidRPr="0079669D">
              <w:rPr>
                <w:sz w:val="16"/>
                <w:szCs w:val="16"/>
              </w:rPr>
              <w:t>*Sugarcane Yellow Leaf Virus</w:t>
            </w:r>
          </w:p>
        </w:tc>
        <w:tc>
          <w:tcPr>
            <w:tcW w:w="967" w:type="dxa"/>
            <w:tcBorders>
              <w:top w:val="single" w:sz="7" w:space="0" w:color="000000"/>
              <w:left w:val="single" w:sz="7" w:space="0" w:color="000000"/>
              <w:bottom w:val="single" w:sz="7" w:space="0" w:color="000000"/>
              <w:right w:val="single" w:sz="7" w:space="0" w:color="000000"/>
            </w:tcBorders>
            <w:vAlign w:val="center"/>
          </w:tcPr>
          <w:p w14:paraId="4CE6F616"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537B785E" w14:textId="77777777" w:rsidR="00333347" w:rsidRPr="0079669D" w:rsidRDefault="00333347" w:rsidP="002E0396">
            <w:pPr>
              <w:jc w:val="center"/>
              <w:textAlignment w:val="baseline"/>
              <w:rPr>
                <w:strike/>
                <w:sz w:val="16"/>
                <w:szCs w:val="16"/>
              </w:rPr>
            </w:pPr>
            <w:r w:rsidRPr="0079669D">
              <w:rPr>
                <w:sz w:val="16"/>
                <w:szCs w:val="16"/>
              </w:rPr>
              <w:t>20.00%</w:t>
            </w:r>
          </w:p>
        </w:tc>
        <w:tc>
          <w:tcPr>
            <w:tcW w:w="1170" w:type="dxa"/>
            <w:tcBorders>
              <w:top w:val="single" w:sz="7" w:space="0" w:color="000000"/>
              <w:left w:val="single" w:sz="7" w:space="0" w:color="000000"/>
              <w:bottom w:val="single" w:sz="7" w:space="0" w:color="000000"/>
              <w:right w:val="double" w:sz="5" w:space="0" w:color="000000"/>
            </w:tcBorders>
            <w:vAlign w:val="center"/>
          </w:tcPr>
          <w:p w14:paraId="42C587D6" w14:textId="77777777" w:rsidR="00333347" w:rsidRPr="0079669D" w:rsidRDefault="00333347" w:rsidP="002E0396">
            <w:pPr>
              <w:jc w:val="center"/>
              <w:textAlignment w:val="baseline"/>
              <w:rPr>
                <w:sz w:val="16"/>
                <w:szCs w:val="16"/>
              </w:rPr>
            </w:pPr>
            <w:r w:rsidRPr="0079669D">
              <w:rPr>
                <w:sz w:val="16"/>
                <w:szCs w:val="16"/>
              </w:rPr>
              <w:t>20.00%</w:t>
            </w:r>
          </w:p>
        </w:tc>
      </w:tr>
      <w:tr w:rsidR="00333347" w:rsidRPr="0079669D" w14:paraId="7BE25FA4" w14:textId="77777777" w:rsidTr="002E0396">
        <w:trPr>
          <w:cantSplit/>
          <w:trHeight w:hRule="exact" w:val="302"/>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228847BD" w14:textId="77777777" w:rsidR="00333347" w:rsidRPr="0079669D" w:rsidRDefault="00333347" w:rsidP="002E0396">
            <w:pPr>
              <w:ind w:left="57"/>
              <w:textAlignment w:val="baseline"/>
              <w:rPr>
                <w:sz w:val="16"/>
                <w:szCs w:val="16"/>
              </w:rPr>
            </w:pPr>
            <w:r w:rsidRPr="0079669D">
              <w:rPr>
                <w:sz w:val="16"/>
                <w:szCs w:val="16"/>
              </w:rPr>
              <w:t>**Sugarcane Mosaic</w:t>
            </w:r>
          </w:p>
        </w:tc>
        <w:tc>
          <w:tcPr>
            <w:tcW w:w="967" w:type="dxa"/>
            <w:tcBorders>
              <w:top w:val="single" w:sz="7" w:space="0" w:color="000000"/>
              <w:left w:val="single" w:sz="7" w:space="0" w:color="000000"/>
              <w:bottom w:val="single" w:sz="7" w:space="0" w:color="000000"/>
              <w:right w:val="single" w:sz="7" w:space="0" w:color="000000"/>
            </w:tcBorders>
            <w:vAlign w:val="center"/>
          </w:tcPr>
          <w:p w14:paraId="6134EB22"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462D7083" w14:textId="77777777" w:rsidR="00333347" w:rsidRPr="0079669D" w:rsidRDefault="00333347" w:rsidP="002E0396">
            <w:pPr>
              <w:jc w:val="center"/>
              <w:textAlignment w:val="baseline"/>
              <w:rPr>
                <w:sz w:val="16"/>
                <w:szCs w:val="16"/>
              </w:rPr>
            </w:pPr>
            <w:r w:rsidRPr="0079669D">
              <w:rPr>
                <w:sz w:val="16"/>
                <w:szCs w:val="16"/>
              </w:rPr>
              <w:t>10.00%</w:t>
            </w:r>
          </w:p>
        </w:tc>
        <w:tc>
          <w:tcPr>
            <w:tcW w:w="1170" w:type="dxa"/>
            <w:tcBorders>
              <w:top w:val="single" w:sz="7" w:space="0" w:color="000000"/>
              <w:left w:val="single" w:sz="7" w:space="0" w:color="000000"/>
              <w:bottom w:val="single" w:sz="7" w:space="0" w:color="000000"/>
              <w:right w:val="double" w:sz="5" w:space="0" w:color="000000"/>
            </w:tcBorders>
            <w:vAlign w:val="center"/>
          </w:tcPr>
          <w:p w14:paraId="5842206A" w14:textId="77777777" w:rsidR="00333347" w:rsidRPr="0079669D" w:rsidRDefault="00333347" w:rsidP="002E0396">
            <w:pPr>
              <w:jc w:val="center"/>
              <w:textAlignment w:val="baseline"/>
              <w:rPr>
                <w:sz w:val="16"/>
                <w:szCs w:val="16"/>
              </w:rPr>
            </w:pPr>
            <w:r w:rsidRPr="0079669D">
              <w:rPr>
                <w:sz w:val="16"/>
                <w:szCs w:val="16"/>
              </w:rPr>
              <w:t>10.00%</w:t>
            </w:r>
          </w:p>
        </w:tc>
      </w:tr>
      <w:tr w:rsidR="00333347" w:rsidRPr="0079669D" w14:paraId="1F66EFC4" w14:textId="77777777" w:rsidTr="002E0396">
        <w:trPr>
          <w:cantSplit/>
          <w:trHeight w:hRule="exact" w:val="288"/>
          <w:jc w:val="center"/>
        </w:trPr>
        <w:tc>
          <w:tcPr>
            <w:tcW w:w="1774" w:type="dxa"/>
            <w:tcBorders>
              <w:top w:val="single" w:sz="7" w:space="0" w:color="000000"/>
              <w:left w:val="double" w:sz="5" w:space="0" w:color="000000"/>
              <w:bottom w:val="single" w:sz="7" w:space="0" w:color="000000"/>
              <w:right w:val="single" w:sz="7" w:space="0" w:color="000000"/>
            </w:tcBorders>
            <w:vAlign w:val="center"/>
          </w:tcPr>
          <w:p w14:paraId="367C0E51" w14:textId="77777777" w:rsidR="00333347" w:rsidRPr="0079669D" w:rsidRDefault="00333347" w:rsidP="002E0396">
            <w:pPr>
              <w:ind w:left="57"/>
              <w:textAlignment w:val="baseline"/>
              <w:rPr>
                <w:sz w:val="16"/>
                <w:szCs w:val="16"/>
              </w:rPr>
            </w:pPr>
            <w:r w:rsidRPr="0079669D">
              <w:rPr>
                <w:sz w:val="16"/>
                <w:szCs w:val="16"/>
              </w:rPr>
              <w:t>**Sugarcane Smut</w:t>
            </w:r>
          </w:p>
        </w:tc>
        <w:tc>
          <w:tcPr>
            <w:tcW w:w="967" w:type="dxa"/>
            <w:tcBorders>
              <w:top w:val="single" w:sz="7" w:space="0" w:color="000000"/>
              <w:left w:val="single" w:sz="7" w:space="0" w:color="000000"/>
              <w:bottom w:val="single" w:sz="7" w:space="0" w:color="000000"/>
              <w:right w:val="single" w:sz="7" w:space="0" w:color="000000"/>
            </w:tcBorders>
            <w:vAlign w:val="center"/>
          </w:tcPr>
          <w:p w14:paraId="503DF717" w14:textId="77777777" w:rsidR="00333347" w:rsidRPr="0079669D" w:rsidRDefault="00333347" w:rsidP="002E0396">
            <w:pPr>
              <w:jc w:val="center"/>
              <w:textAlignment w:val="baseline"/>
              <w:rPr>
                <w:sz w:val="16"/>
                <w:szCs w:val="16"/>
              </w:rPr>
            </w:pPr>
            <w:r w:rsidRPr="0079669D">
              <w:rPr>
                <w:sz w:val="16"/>
                <w:szCs w:val="16"/>
              </w:rPr>
              <w:t>None</w:t>
            </w:r>
          </w:p>
        </w:tc>
        <w:tc>
          <w:tcPr>
            <w:tcW w:w="1066" w:type="dxa"/>
            <w:tcBorders>
              <w:top w:val="single" w:sz="7" w:space="0" w:color="000000"/>
              <w:left w:val="single" w:sz="7" w:space="0" w:color="000000"/>
              <w:bottom w:val="single" w:sz="7" w:space="0" w:color="000000"/>
              <w:right w:val="single" w:sz="7" w:space="0" w:color="000000"/>
            </w:tcBorders>
            <w:vAlign w:val="center"/>
          </w:tcPr>
          <w:p w14:paraId="743D1A00" w14:textId="77777777" w:rsidR="00333347" w:rsidRPr="0079669D" w:rsidRDefault="00333347" w:rsidP="002E0396">
            <w:pPr>
              <w:jc w:val="center"/>
              <w:textAlignment w:val="baseline"/>
              <w:rPr>
                <w:sz w:val="16"/>
                <w:szCs w:val="16"/>
              </w:rPr>
            </w:pPr>
            <w:r w:rsidRPr="0079669D">
              <w:rPr>
                <w:sz w:val="16"/>
                <w:szCs w:val="16"/>
              </w:rPr>
              <w:t>0.50%</w:t>
            </w:r>
          </w:p>
        </w:tc>
        <w:tc>
          <w:tcPr>
            <w:tcW w:w="1170" w:type="dxa"/>
            <w:tcBorders>
              <w:top w:val="single" w:sz="7" w:space="0" w:color="000000"/>
              <w:left w:val="single" w:sz="7" w:space="0" w:color="000000"/>
              <w:bottom w:val="single" w:sz="7" w:space="0" w:color="000000"/>
              <w:right w:val="double" w:sz="5" w:space="0" w:color="000000"/>
            </w:tcBorders>
            <w:vAlign w:val="center"/>
          </w:tcPr>
          <w:p w14:paraId="671B5A60" w14:textId="77777777" w:rsidR="00333347" w:rsidRPr="0079669D" w:rsidRDefault="00333347" w:rsidP="002E0396">
            <w:pPr>
              <w:jc w:val="center"/>
              <w:textAlignment w:val="baseline"/>
              <w:rPr>
                <w:sz w:val="16"/>
                <w:szCs w:val="16"/>
              </w:rPr>
            </w:pPr>
            <w:r w:rsidRPr="0079669D">
              <w:rPr>
                <w:sz w:val="16"/>
                <w:szCs w:val="16"/>
              </w:rPr>
              <w:t>0.50%</w:t>
            </w:r>
          </w:p>
        </w:tc>
      </w:tr>
      <w:tr w:rsidR="00333347" w:rsidRPr="0079669D" w14:paraId="02E4DED6" w14:textId="77777777" w:rsidTr="002E0396">
        <w:trPr>
          <w:cantSplit/>
          <w:trHeight w:hRule="exact" w:val="432"/>
          <w:jc w:val="center"/>
        </w:trPr>
        <w:tc>
          <w:tcPr>
            <w:tcW w:w="1774" w:type="dxa"/>
            <w:tcBorders>
              <w:top w:val="single" w:sz="7" w:space="0" w:color="000000"/>
              <w:left w:val="double" w:sz="5" w:space="0" w:color="000000"/>
              <w:bottom w:val="single" w:sz="7" w:space="0" w:color="000000"/>
              <w:right w:val="single" w:sz="7" w:space="0" w:color="000000"/>
            </w:tcBorders>
          </w:tcPr>
          <w:p w14:paraId="4B08F257" w14:textId="77777777" w:rsidR="00333347" w:rsidRPr="0079669D" w:rsidRDefault="00333347" w:rsidP="002E0396">
            <w:pPr>
              <w:ind w:left="72"/>
              <w:textAlignment w:val="baseline"/>
              <w:rPr>
                <w:sz w:val="16"/>
                <w:szCs w:val="16"/>
              </w:rPr>
            </w:pPr>
            <w:r w:rsidRPr="0079669D">
              <w:rPr>
                <w:sz w:val="16"/>
                <w:szCs w:val="16"/>
              </w:rPr>
              <w:t>Harmful Insects:</w:t>
            </w:r>
          </w:p>
          <w:p w14:paraId="3145E007" w14:textId="77777777" w:rsidR="00333347" w:rsidRPr="0079669D" w:rsidRDefault="00333347" w:rsidP="002E0396">
            <w:pPr>
              <w:ind w:left="72"/>
              <w:textAlignment w:val="baseline"/>
              <w:rPr>
                <w:sz w:val="16"/>
                <w:szCs w:val="16"/>
              </w:rPr>
            </w:pPr>
            <w:r w:rsidRPr="002C3F56">
              <w:rPr>
                <w:sz w:val="16"/>
                <w:szCs w:val="16"/>
              </w:rPr>
              <w:t>***Sugarcane Stem</w:t>
            </w:r>
            <w:r w:rsidRPr="0079669D">
              <w:rPr>
                <w:sz w:val="16"/>
                <w:szCs w:val="16"/>
              </w:rPr>
              <w:t xml:space="preserve"> Borers</w:t>
            </w:r>
          </w:p>
        </w:tc>
        <w:tc>
          <w:tcPr>
            <w:tcW w:w="967" w:type="dxa"/>
            <w:tcBorders>
              <w:top w:val="single" w:sz="7" w:space="0" w:color="000000"/>
              <w:left w:val="single" w:sz="7" w:space="0" w:color="000000"/>
              <w:bottom w:val="single" w:sz="7" w:space="0" w:color="000000"/>
              <w:right w:val="single" w:sz="7" w:space="0" w:color="000000"/>
            </w:tcBorders>
          </w:tcPr>
          <w:p w14:paraId="60B04003" w14:textId="77777777" w:rsidR="00333347" w:rsidRPr="0079669D" w:rsidRDefault="00333347" w:rsidP="002E0396">
            <w:pPr>
              <w:jc w:val="center"/>
              <w:textAlignment w:val="baseline"/>
              <w:rPr>
                <w:sz w:val="16"/>
                <w:szCs w:val="16"/>
              </w:rPr>
            </w:pPr>
            <w:r w:rsidRPr="0079669D">
              <w:rPr>
                <w:sz w:val="16"/>
                <w:szCs w:val="16"/>
              </w:rPr>
              <w:t xml:space="preserve">None </w:t>
            </w:r>
            <w:r w:rsidRPr="0079669D">
              <w:rPr>
                <w:sz w:val="16"/>
                <w:szCs w:val="16"/>
              </w:rPr>
              <w:br/>
              <w:t>None</w:t>
            </w:r>
          </w:p>
        </w:tc>
        <w:tc>
          <w:tcPr>
            <w:tcW w:w="1066" w:type="dxa"/>
            <w:tcBorders>
              <w:top w:val="single" w:sz="7" w:space="0" w:color="000000"/>
              <w:left w:val="single" w:sz="7" w:space="0" w:color="000000"/>
              <w:bottom w:val="single" w:sz="7" w:space="0" w:color="000000"/>
              <w:right w:val="single" w:sz="7" w:space="0" w:color="000000"/>
            </w:tcBorders>
          </w:tcPr>
          <w:p w14:paraId="64949A44" w14:textId="77777777" w:rsidR="00333347" w:rsidRPr="0079669D" w:rsidRDefault="00333347" w:rsidP="002E0396">
            <w:pPr>
              <w:jc w:val="center"/>
              <w:textAlignment w:val="baseline"/>
              <w:rPr>
                <w:sz w:val="16"/>
                <w:szCs w:val="16"/>
              </w:rPr>
            </w:pPr>
            <w:r w:rsidRPr="0079669D">
              <w:rPr>
                <w:sz w:val="16"/>
                <w:szCs w:val="16"/>
              </w:rPr>
              <w:t>None</w:t>
            </w:r>
          </w:p>
          <w:p w14:paraId="33EF011D" w14:textId="77777777" w:rsidR="00333347" w:rsidRPr="0079669D" w:rsidRDefault="00333347" w:rsidP="002E0396">
            <w:pPr>
              <w:jc w:val="center"/>
              <w:textAlignment w:val="baseline"/>
              <w:rPr>
                <w:sz w:val="16"/>
                <w:szCs w:val="16"/>
              </w:rPr>
            </w:pPr>
            <w:r w:rsidRPr="0079669D">
              <w:rPr>
                <w:sz w:val="16"/>
                <w:szCs w:val="16"/>
              </w:rPr>
              <w:t>5.00%</w:t>
            </w:r>
          </w:p>
        </w:tc>
        <w:tc>
          <w:tcPr>
            <w:tcW w:w="1170" w:type="dxa"/>
            <w:tcBorders>
              <w:top w:val="single" w:sz="7" w:space="0" w:color="000000"/>
              <w:left w:val="single" w:sz="7" w:space="0" w:color="000000"/>
              <w:bottom w:val="single" w:sz="7" w:space="0" w:color="000000"/>
              <w:right w:val="double" w:sz="5" w:space="0" w:color="000000"/>
            </w:tcBorders>
          </w:tcPr>
          <w:p w14:paraId="730A8A47" w14:textId="77777777" w:rsidR="00333347" w:rsidRPr="0079669D" w:rsidRDefault="00333347" w:rsidP="002E0396">
            <w:pPr>
              <w:jc w:val="center"/>
              <w:textAlignment w:val="baseline"/>
              <w:rPr>
                <w:sz w:val="16"/>
                <w:szCs w:val="16"/>
              </w:rPr>
            </w:pPr>
            <w:r w:rsidRPr="0079669D">
              <w:rPr>
                <w:sz w:val="16"/>
                <w:szCs w:val="16"/>
              </w:rPr>
              <w:t>None</w:t>
            </w:r>
          </w:p>
          <w:p w14:paraId="7667B057" w14:textId="77777777" w:rsidR="00333347" w:rsidRPr="0079669D" w:rsidRDefault="00333347" w:rsidP="002E0396">
            <w:pPr>
              <w:jc w:val="center"/>
              <w:textAlignment w:val="baseline"/>
              <w:rPr>
                <w:sz w:val="16"/>
                <w:szCs w:val="16"/>
              </w:rPr>
            </w:pPr>
            <w:r w:rsidRPr="0079669D">
              <w:rPr>
                <w:sz w:val="16"/>
                <w:szCs w:val="16"/>
              </w:rPr>
              <w:t>5.00%</w:t>
            </w:r>
          </w:p>
        </w:tc>
      </w:tr>
      <w:tr w:rsidR="00333347" w:rsidRPr="0079669D" w14:paraId="01797AA4" w14:textId="77777777" w:rsidTr="002E0396">
        <w:trPr>
          <w:cantSplit/>
          <w:trHeight w:hRule="exact" w:val="432"/>
          <w:jc w:val="center"/>
        </w:trPr>
        <w:tc>
          <w:tcPr>
            <w:tcW w:w="4977" w:type="dxa"/>
            <w:gridSpan w:val="4"/>
            <w:tcBorders>
              <w:top w:val="single" w:sz="7" w:space="0" w:color="000000"/>
              <w:left w:val="double" w:sz="5" w:space="0" w:color="000000"/>
              <w:bottom w:val="single" w:sz="7" w:space="0" w:color="000000"/>
              <w:right w:val="double" w:sz="5" w:space="0" w:color="000000"/>
            </w:tcBorders>
          </w:tcPr>
          <w:p w14:paraId="21457A81" w14:textId="77777777" w:rsidR="00333347" w:rsidRPr="0079669D" w:rsidRDefault="00333347" w:rsidP="002E0396">
            <w:pPr>
              <w:ind w:left="216" w:right="972" w:hanging="144"/>
              <w:textAlignment w:val="baseline"/>
              <w:rPr>
                <w:sz w:val="16"/>
                <w:szCs w:val="16"/>
              </w:rPr>
            </w:pPr>
            <w:r w:rsidRPr="0079669D">
              <w:rPr>
                <w:sz w:val="16"/>
                <w:szCs w:val="16"/>
              </w:rPr>
              <w:t>*Determined by lab analysis for the LSU Sugarcane Disease Detection Lab</w:t>
            </w:r>
          </w:p>
        </w:tc>
      </w:tr>
      <w:tr w:rsidR="00333347" w:rsidRPr="0079669D" w14:paraId="5BB6755B" w14:textId="77777777" w:rsidTr="002E0396">
        <w:trPr>
          <w:cantSplit/>
          <w:trHeight w:hRule="exact" w:val="288"/>
          <w:jc w:val="center"/>
        </w:trPr>
        <w:tc>
          <w:tcPr>
            <w:tcW w:w="4977" w:type="dxa"/>
            <w:gridSpan w:val="4"/>
            <w:tcBorders>
              <w:top w:val="single" w:sz="7" w:space="0" w:color="000000"/>
              <w:left w:val="double" w:sz="5" w:space="0" w:color="000000"/>
              <w:bottom w:val="single" w:sz="7" w:space="0" w:color="000000"/>
              <w:right w:val="double" w:sz="5" w:space="0" w:color="000000"/>
            </w:tcBorders>
            <w:vAlign w:val="center"/>
          </w:tcPr>
          <w:p w14:paraId="2C628C8B" w14:textId="77777777" w:rsidR="00333347" w:rsidRPr="0079669D" w:rsidRDefault="00333347" w:rsidP="002E0396">
            <w:pPr>
              <w:ind w:left="72"/>
              <w:textAlignment w:val="baseline"/>
              <w:rPr>
                <w:sz w:val="16"/>
                <w:szCs w:val="16"/>
              </w:rPr>
            </w:pPr>
            <w:r w:rsidRPr="0079669D">
              <w:rPr>
                <w:sz w:val="16"/>
                <w:szCs w:val="16"/>
              </w:rPr>
              <w:t>**Plants exhibiting symptoms</w:t>
            </w:r>
          </w:p>
        </w:tc>
      </w:tr>
      <w:tr w:rsidR="00333347" w:rsidRPr="0079669D" w14:paraId="6528131F" w14:textId="77777777" w:rsidTr="002E0396">
        <w:trPr>
          <w:cantSplit/>
          <w:trHeight w:hRule="exact" w:val="288"/>
          <w:jc w:val="center"/>
        </w:trPr>
        <w:tc>
          <w:tcPr>
            <w:tcW w:w="4977" w:type="dxa"/>
            <w:gridSpan w:val="4"/>
            <w:tcBorders>
              <w:top w:val="single" w:sz="7" w:space="0" w:color="000000"/>
              <w:left w:val="double" w:sz="5" w:space="0" w:color="000000"/>
              <w:bottom w:val="double" w:sz="5" w:space="0" w:color="000000"/>
              <w:right w:val="double" w:sz="5" w:space="0" w:color="000000"/>
            </w:tcBorders>
            <w:vAlign w:val="center"/>
          </w:tcPr>
          <w:p w14:paraId="01C106A2" w14:textId="77777777" w:rsidR="00333347" w:rsidRPr="0079669D" w:rsidRDefault="00333347" w:rsidP="002E0396">
            <w:pPr>
              <w:ind w:left="72"/>
              <w:textAlignment w:val="baseline"/>
              <w:rPr>
                <w:sz w:val="16"/>
                <w:szCs w:val="16"/>
              </w:rPr>
            </w:pPr>
            <w:r w:rsidRPr="0079669D">
              <w:rPr>
                <w:sz w:val="16"/>
                <w:szCs w:val="16"/>
              </w:rPr>
              <w:t>***Determined by percentage of internodes bored</w:t>
            </w:r>
          </w:p>
        </w:tc>
      </w:tr>
    </w:tbl>
    <w:p w14:paraId="4D7274CA" w14:textId="77777777" w:rsidR="00CD0355" w:rsidRPr="008700FC" w:rsidRDefault="00CD0355" w:rsidP="00333347">
      <w:pPr>
        <w:pStyle w:val="A"/>
      </w:pPr>
    </w:p>
    <w:p w14:paraId="3AF742C6" w14:textId="77777777" w:rsidR="00CD0355" w:rsidRPr="001531CD" w:rsidRDefault="00CD0355" w:rsidP="00CD0355">
      <w:pPr>
        <w:pStyle w:val="A"/>
      </w:pPr>
      <w:r w:rsidRPr="001531CD">
        <w:t>F.</w:t>
      </w:r>
      <w:r w:rsidRPr="001531CD">
        <w:tab/>
        <w:t>Stock Handling</w:t>
      </w:r>
    </w:p>
    <w:p w14:paraId="3AC97428" w14:textId="77777777" w:rsidR="00CD0355" w:rsidRPr="001531CD" w:rsidRDefault="00CD0355" w:rsidP="00CD0355">
      <w:pPr>
        <w:pStyle w:val="1"/>
      </w:pPr>
      <w:r w:rsidRPr="001531CD">
        <w:t>1.</w:t>
      </w:r>
      <w:r w:rsidRPr="001531CD">
        <w:tab/>
        <w:t>General Requirements</w:t>
      </w:r>
    </w:p>
    <w:p w14:paraId="5D79EE48" w14:textId="77777777" w:rsidR="00CD0355" w:rsidRPr="001531CD" w:rsidRDefault="00CD0355" w:rsidP="00CD0355">
      <w:pPr>
        <w:pStyle w:val="a0"/>
      </w:pPr>
      <w:r w:rsidRPr="001531CD">
        <w:t>a.</w:t>
      </w:r>
      <w:r w:rsidRPr="001531CD">
        <w:tab/>
        <w:t>During harvest, constant care should be taken in the handling of certified seed to ensure genetic identity and purity.</w:t>
      </w:r>
    </w:p>
    <w:p w14:paraId="29B73280" w14:textId="77777777" w:rsidR="00CD0355" w:rsidRPr="001531CD" w:rsidRDefault="00CD0355" w:rsidP="00CD0355">
      <w:pPr>
        <w:pStyle w:val="a0"/>
      </w:pPr>
      <w:r w:rsidRPr="001531CD">
        <w:t>b.</w:t>
      </w:r>
      <w:r w:rsidRPr="001531CD">
        <w:tab/>
        <w:t>Stock shall be labeled or identified in a manner such as to represent a lot or field.</w:t>
      </w:r>
    </w:p>
    <w:p w14:paraId="74191304" w14:textId="77777777" w:rsidR="00CD0355" w:rsidRPr="001531CD" w:rsidRDefault="00CD0355" w:rsidP="00CD0355">
      <w:pPr>
        <w:pStyle w:val="a0"/>
      </w:pPr>
      <w:r w:rsidRPr="00D55B14">
        <w:t>c.</w:t>
      </w:r>
      <w:r w:rsidRPr="00D55B14">
        <w:tab/>
        <w:t>Planting stock shall be subject to inspection by LDAF at any time during the harvest season.</w:t>
      </w:r>
    </w:p>
    <w:p w14:paraId="00FB7B57" w14:textId="77777777" w:rsidR="00CD0355" w:rsidRPr="001531CD" w:rsidRDefault="00CD0355" w:rsidP="00CD0355">
      <w:pPr>
        <w:pStyle w:val="A"/>
      </w:pPr>
      <w:r w:rsidRPr="001531CD">
        <w:t>G.</w:t>
      </w:r>
      <w:r w:rsidRPr="001531CD">
        <w:tab/>
        <w:t>Reporting System</w:t>
      </w:r>
    </w:p>
    <w:p w14:paraId="4AB767E3" w14:textId="77777777" w:rsidR="00CD0355" w:rsidRPr="001531CD" w:rsidRDefault="00CD0355" w:rsidP="00CD0355">
      <w:pPr>
        <w:pStyle w:val="1"/>
      </w:pPr>
      <w:r w:rsidRPr="001531CD">
        <w:t>1.</w:t>
      </w:r>
      <w:r w:rsidRPr="001531CD">
        <w:tab/>
        <w:t>No certified seed tags will be issued for certified sugarcane stock.</w:t>
      </w:r>
    </w:p>
    <w:p w14:paraId="79193A8A" w14:textId="77777777" w:rsidR="00CD0355" w:rsidRPr="001531CD" w:rsidRDefault="00CD0355" w:rsidP="00CD0355">
      <w:pPr>
        <w:pStyle w:val="1"/>
      </w:pPr>
      <w:r w:rsidRPr="00D55B14">
        <w:t>2.</w:t>
      </w:r>
      <w:r w:rsidRPr="00D55B14">
        <w:tab/>
        <w:t>The certifier shall be furnished certification forms by the LDAF and shall:</w:t>
      </w:r>
    </w:p>
    <w:p w14:paraId="57E7CBF3" w14:textId="77777777" w:rsidR="00CD0355" w:rsidRPr="001531CD" w:rsidRDefault="00CD0355" w:rsidP="00CD0355">
      <w:pPr>
        <w:pStyle w:val="a0"/>
      </w:pPr>
      <w:r w:rsidRPr="001531CD">
        <w:t>a.</w:t>
      </w:r>
      <w:r w:rsidRPr="001531CD">
        <w:tab/>
        <w:t>issue a copy of the certification form to the purchaser for each load;</w:t>
      </w:r>
    </w:p>
    <w:p w14:paraId="72880104" w14:textId="77777777" w:rsidR="00CD0355" w:rsidRPr="00D55B14" w:rsidRDefault="00CD0355" w:rsidP="00CD0355">
      <w:pPr>
        <w:pStyle w:val="a0"/>
      </w:pPr>
      <w:r w:rsidRPr="00D55B14">
        <w:lastRenderedPageBreak/>
        <w:t>b.</w:t>
      </w:r>
      <w:r w:rsidRPr="00D55B14">
        <w:tab/>
        <w:t>send a copy of each issued certification form to LDAF within 10 days after each sale; and</w:t>
      </w:r>
    </w:p>
    <w:p w14:paraId="669BEB30" w14:textId="77777777" w:rsidR="00CD0355" w:rsidRPr="00D55B14" w:rsidRDefault="00CD0355" w:rsidP="00CD0355">
      <w:pPr>
        <w:pStyle w:val="a0"/>
      </w:pPr>
      <w:r w:rsidRPr="00D55B14">
        <w:t>c.</w:t>
      </w:r>
      <w:r w:rsidRPr="00D55B14">
        <w:tab/>
        <w:t>maintain a copy of each issued certification form on file, which shall be available for examination by LDAF upon request.</w:t>
      </w:r>
    </w:p>
    <w:p w14:paraId="069A90A5" w14:textId="77777777" w:rsidR="00CD0355" w:rsidRPr="001531CD" w:rsidRDefault="00CD0355" w:rsidP="00CD0355">
      <w:pPr>
        <w:pStyle w:val="AuthorityNote"/>
      </w:pPr>
      <w:r w:rsidRPr="00D55B14">
        <w:t>AUTHORITY NOTE:</w:t>
      </w:r>
      <w:r w:rsidRPr="00D55B14">
        <w:tab/>
        <w:t>Promulgated in accordance with R.S. 3:1433.</w:t>
      </w:r>
    </w:p>
    <w:p w14:paraId="72ABB53F"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12:825 (December 1986), amended by the Department of Agriculture and Forestry, Office of Agricultural and Environmental Sciences, LR 23:1284 (October 1997), amended by the Department of Agriculture and Forestry, Office of the Commissioner, Seed Commission, LR 30:1143 (June 2004), amended by the Department of Agriculture and Forestry, Office of Agricultural and Environmental Sciences, Seed Commission, LR 33:1609 (August 2007), LR 36:1223 (June 2010), repromulgated by the Department of Agriculture and Forestry, Office of Agricultural and Environmental Sciences, Agricultural Chemistry and Seed Commis</w:t>
      </w:r>
      <w:r>
        <w:t>sion, LR 39:2729 (October 2013), amended LR 40:756 (April 2014), LR 42</w:t>
      </w:r>
      <w:r w:rsidRPr="00BB51B8">
        <w:t>:</w:t>
      </w:r>
      <w:r>
        <w:t xml:space="preserve">212 (February 2016), </w:t>
      </w:r>
      <w:r w:rsidRPr="00CA2490">
        <w:t>LR 43:</w:t>
      </w:r>
      <w:r w:rsidR="00D46BA0">
        <w:t>1898 (October 2017), LR 51:1571 (October 2025).</w:t>
      </w:r>
    </w:p>
    <w:p w14:paraId="405531A4" w14:textId="77777777" w:rsidR="00CD0355" w:rsidRPr="001531CD" w:rsidRDefault="00CD0355" w:rsidP="00CD0355">
      <w:pPr>
        <w:pStyle w:val="Section"/>
      </w:pPr>
      <w:bookmarkStart w:id="1174" w:name="_Toc224818821"/>
      <w:r w:rsidRPr="001531CD">
        <w:t>§765.</w:t>
      </w:r>
      <w:r w:rsidRPr="001531CD">
        <w:tab/>
        <w:t>Sunflow</w:t>
      </w:r>
      <w:r>
        <w:t>er Seed Certification Standards</w:t>
      </w:r>
      <w:bookmarkEnd w:id="1174"/>
    </w:p>
    <w:p w14:paraId="1F5E2EE1" w14:textId="77777777" w:rsidR="00CD0355" w:rsidRPr="001531CD" w:rsidRDefault="00CD0355" w:rsidP="00CD0355">
      <w:pPr>
        <w:pStyle w:val="A"/>
      </w:pPr>
      <w:r w:rsidRPr="001531CD">
        <w:t>A.</w:t>
      </w:r>
      <w:r w:rsidRPr="001531CD">
        <w:tab/>
        <w:t>Field Inspections. Two inspections shall be made of the growing crop, the first at early blooming stage and the second just before harvest. Only one inspection shall be required in the case of open-pollinated varieties.</w:t>
      </w:r>
    </w:p>
    <w:p w14:paraId="7B394075" w14:textId="77777777" w:rsidR="00CD0355" w:rsidRPr="001531CD" w:rsidRDefault="00CD0355" w:rsidP="00CD0355">
      <w:pPr>
        <w:pStyle w:val="A"/>
      </w:pPr>
      <w:r w:rsidRPr="001531CD">
        <w:t>B.</w:t>
      </w:r>
      <w:r w:rsidRPr="001531CD">
        <w:tab/>
        <w:t>Field Standards</w:t>
      </w:r>
    </w:p>
    <w:p w14:paraId="5E6AB6B9" w14:textId="77777777" w:rsidR="00CD0355" w:rsidRPr="001531CD" w:rsidRDefault="00CD0355" w:rsidP="00CD0355">
      <w:pPr>
        <w:pStyle w:val="1"/>
      </w:pPr>
      <w:r w:rsidRPr="001531CD">
        <w:t>1.</w:t>
      </w:r>
      <w:r w:rsidRPr="001531CD">
        <w:tab/>
        <w:t>Sunflower seed grown for certification shall not be on land that was planted the previous year to sunflower of another variety.</w:t>
      </w:r>
    </w:p>
    <w:p w14:paraId="3EF0B88A" w14:textId="77777777" w:rsidR="00CD0355" w:rsidRPr="001531CD" w:rsidRDefault="00CD0355" w:rsidP="00CD0355">
      <w:pPr>
        <w:pStyle w:val="1"/>
      </w:pPr>
      <w:r w:rsidRPr="001531CD">
        <w:t>2.</w:t>
      </w:r>
      <w:r w:rsidRPr="001531CD">
        <w:tab/>
        <w:t>The isolation distance between varieties for all classes shall be at least 2,640 feet.</w:t>
      </w:r>
    </w:p>
    <w:p w14:paraId="33E45E1A" w14:textId="77777777" w:rsidR="00CD0355" w:rsidRPr="001531CD" w:rsidRDefault="00CD0355" w:rsidP="00CD0355">
      <w:pPr>
        <w:pStyle w:val="1"/>
      </w:pPr>
      <w:r w:rsidRPr="001531CD">
        <w:t>3.</w:t>
      </w:r>
      <w:r w:rsidRPr="001531CD">
        <w:tab/>
        <w:t>Flowering. In a crossing field for the production of hybrid sunflower seeds, the male parent must be in bloom and producing pollen at the time the female parent is in bloom. If the female sunflower heads produce pollen before the male parent heads, then the female pollen must be removed to prevent cross-pollination.</w:t>
      </w:r>
    </w:p>
    <w:p w14:paraId="5AFAC85C" w14:textId="77777777" w:rsidR="00CD0355" w:rsidRPr="001531CD" w:rsidRDefault="00CD0355" w:rsidP="00CD0355">
      <w:pPr>
        <w:pStyle w:val="1"/>
      </w:pPr>
      <w:r w:rsidRPr="001531CD">
        <w:t>4.</w:t>
      </w:r>
      <w:r w:rsidRPr="001531CD">
        <w:tab/>
        <w:t>Maximum Impurity Tolerances (maximum limits per 1,000 plants)</w:t>
      </w:r>
    </w:p>
    <w:tbl>
      <w:tblPr>
        <w:tblW w:w="495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010"/>
        <w:gridCol w:w="1260"/>
        <w:gridCol w:w="1686"/>
      </w:tblGrid>
      <w:tr w:rsidR="00CD0355" w:rsidRPr="001531CD" w14:paraId="008521DE" w14:textId="77777777" w:rsidTr="00CD0355">
        <w:trPr>
          <w:cantSplit/>
          <w:jc w:val="center"/>
        </w:trPr>
        <w:tc>
          <w:tcPr>
            <w:tcW w:w="2010" w:type="dxa"/>
            <w:tcBorders>
              <w:top w:val="double" w:sz="6" w:space="0" w:color="000000"/>
              <w:bottom w:val="single" w:sz="6" w:space="0" w:color="000000"/>
            </w:tcBorders>
            <w:shd w:val="clear" w:color="auto" w:fill="BFBFBF"/>
          </w:tcPr>
          <w:p w14:paraId="61E5651C" w14:textId="77777777" w:rsidR="00CD0355" w:rsidRPr="001531CD" w:rsidRDefault="00CD0355" w:rsidP="00CD0355">
            <w:pPr>
              <w:tabs>
                <w:tab w:val="left" w:pos="180"/>
                <w:tab w:val="left" w:pos="360"/>
              </w:tabs>
              <w:ind w:left="6"/>
              <w:jc w:val="center"/>
              <w:rPr>
                <w:b/>
                <w:bCs/>
                <w:sz w:val="16"/>
                <w:szCs w:val="16"/>
              </w:rPr>
            </w:pPr>
            <w:r w:rsidRPr="001531CD">
              <w:rPr>
                <w:b/>
                <w:bCs/>
                <w:sz w:val="16"/>
                <w:szCs w:val="16"/>
              </w:rPr>
              <w:t xml:space="preserve">Hybrid Production </w:t>
            </w:r>
            <w:r w:rsidRPr="001531CD">
              <w:rPr>
                <w:b/>
                <w:bCs/>
                <w:sz w:val="16"/>
                <w:szCs w:val="16"/>
              </w:rPr>
              <w:br/>
              <w:t>Foundation and Certified</w:t>
            </w:r>
          </w:p>
        </w:tc>
        <w:tc>
          <w:tcPr>
            <w:tcW w:w="1260" w:type="dxa"/>
            <w:tcBorders>
              <w:top w:val="double" w:sz="6" w:space="0" w:color="000000"/>
              <w:bottom w:val="single" w:sz="6" w:space="0" w:color="000000"/>
            </w:tcBorders>
            <w:shd w:val="clear" w:color="auto" w:fill="BFBFBF"/>
          </w:tcPr>
          <w:p w14:paraId="3864CE65" w14:textId="77777777" w:rsidR="00CD0355" w:rsidRPr="001531CD" w:rsidRDefault="00CD0355" w:rsidP="00CD0355">
            <w:pPr>
              <w:tabs>
                <w:tab w:val="left" w:pos="180"/>
                <w:tab w:val="left" w:pos="360"/>
              </w:tabs>
              <w:jc w:val="center"/>
              <w:rPr>
                <w:b/>
                <w:bCs/>
                <w:sz w:val="16"/>
                <w:szCs w:val="16"/>
              </w:rPr>
            </w:pPr>
            <w:r w:rsidRPr="001531CD">
              <w:rPr>
                <w:b/>
                <w:bCs/>
                <w:sz w:val="16"/>
                <w:szCs w:val="16"/>
              </w:rPr>
              <w:t>Female Seed Parent</w:t>
            </w:r>
          </w:p>
        </w:tc>
        <w:tc>
          <w:tcPr>
            <w:tcW w:w="1686" w:type="dxa"/>
            <w:tcBorders>
              <w:top w:val="double" w:sz="6" w:space="0" w:color="000000"/>
              <w:bottom w:val="single" w:sz="6" w:space="0" w:color="000000"/>
            </w:tcBorders>
            <w:shd w:val="clear" w:color="auto" w:fill="BFBFBF"/>
          </w:tcPr>
          <w:p w14:paraId="0E4ECFC3" w14:textId="77777777" w:rsidR="00CD0355" w:rsidRPr="001531CD" w:rsidRDefault="00CD0355" w:rsidP="00CD0355">
            <w:pPr>
              <w:tabs>
                <w:tab w:val="left" w:pos="180"/>
                <w:tab w:val="left" w:pos="360"/>
              </w:tabs>
              <w:jc w:val="center"/>
              <w:rPr>
                <w:b/>
                <w:bCs/>
                <w:sz w:val="16"/>
                <w:szCs w:val="16"/>
              </w:rPr>
            </w:pPr>
            <w:r w:rsidRPr="001531CD">
              <w:rPr>
                <w:b/>
                <w:bCs/>
                <w:sz w:val="16"/>
                <w:szCs w:val="16"/>
              </w:rPr>
              <w:t>Male Pollinating Parent</w:t>
            </w:r>
          </w:p>
        </w:tc>
      </w:tr>
      <w:tr w:rsidR="00CD0355" w:rsidRPr="001531CD" w14:paraId="2A524D86" w14:textId="77777777" w:rsidTr="00CD0355">
        <w:trPr>
          <w:cantSplit/>
          <w:jc w:val="center"/>
        </w:trPr>
        <w:tc>
          <w:tcPr>
            <w:tcW w:w="2010" w:type="dxa"/>
            <w:tcBorders>
              <w:top w:val="single" w:sz="6" w:space="0" w:color="000000"/>
            </w:tcBorders>
          </w:tcPr>
          <w:p w14:paraId="0E70F3B4" w14:textId="77777777" w:rsidR="00CD0355" w:rsidRPr="001531CD" w:rsidRDefault="00CD0355" w:rsidP="00CD0355">
            <w:pPr>
              <w:tabs>
                <w:tab w:val="left" w:pos="180"/>
                <w:tab w:val="left" w:pos="360"/>
              </w:tabs>
              <w:ind w:left="96"/>
              <w:rPr>
                <w:sz w:val="16"/>
                <w:szCs w:val="16"/>
              </w:rPr>
            </w:pPr>
            <w:r w:rsidRPr="001531CD">
              <w:rPr>
                <w:sz w:val="16"/>
                <w:szCs w:val="16"/>
              </w:rPr>
              <w:t>Maximum (including</w:t>
            </w:r>
            <w:r w:rsidRPr="001531CD">
              <w:rPr>
                <w:sz w:val="16"/>
                <w:szCs w:val="16"/>
              </w:rPr>
              <w:br/>
              <w:t>Off-Types)</w:t>
            </w:r>
          </w:p>
        </w:tc>
        <w:tc>
          <w:tcPr>
            <w:tcW w:w="1260" w:type="dxa"/>
            <w:tcBorders>
              <w:top w:val="single" w:sz="6" w:space="0" w:color="000000"/>
            </w:tcBorders>
          </w:tcPr>
          <w:p w14:paraId="1E4200C2" w14:textId="77777777"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Borders>
              <w:top w:val="single" w:sz="6" w:space="0" w:color="000000"/>
            </w:tcBorders>
          </w:tcPr>
          <w:p w14:paraId="6523D293" w14:textId="77777777"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14:paraId="2DA699BC" w14:textId="77777777" w:rsidTr="00CD0355">
        <w:trPr>
          <w:cantSplit/>
          <w:jc w:val="center"/>
        </w:trPr>
        <w:tc>
          <w:tcPr>
            <w:tcW w:w="2010" w:type="dxa"/>
          </w:tcPr>
          <w:p w14:paraId="3274D011" w14:textId="77777777" w:rsidR="00CD0355" w:rsidRPr="001531CD" w:rsidRDefault="00CD0355" w:rsidP="00CD0355">
            <w:pPr>
              <w:tabs>
                <w:tab w:val="left" w:pos="180"/>
                <w:tab w:val="left" w:pos="360"/>
              </w:tabs>
              <w:ind w:left="96"/>
              <w:rPr>
                <w:sz w:val="16"/>
                <w:szCs w:val="16"/>
              </w:rPr>
            </w:pPr>
            <w:r w:rsidRPr="001531CD">
              <w:rPr>
                <w:sz w:val="16"/>
                <w:szCs w:val="16"/>
              </w:rPr>
              <w:t>Wild-Type Branching</w:t>
            </w:r>
          </w:p>
        </w:tc>
        <w:tc>
          <w:tcPr>
            <w:tcW w:w="1260" w:type="dxa"/>
          </w:tcPr>
          <w:p w14:paraId="465EF378" w14:textId="77777777"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14:paraId="43AF0D86" w14:textId="77777777"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14:paraId="5A51A941" w14:textId="77777777" w:rsidTr="00CD0355">
        <w:trPr>
          <w:cantSplit/>
          <w:jc w:val="center"/>
        </w:trPr>
        <w:tc>
          <w:tcPr>
            <w:tcW w:w="2010" w:type="dxa"/>
          </w:tcPr>
          <w:p w14:paraId="6B6482C8" w14:textId="77777777" w:rsidR="00CD0355" w:rsidRPr="001531CD" w:rsidRDefault="00CD0355" w:rsidP="00CD0355">
            <w:pPr>
              <w:tabs>
                <w:tab w:val="left" w:pos="180"/>
                <w:tab w:val="left" w:pos="360"/>
              </w:tabs>
              <w:ind w:left="96"/>
              <w:rPr>
                <w:sz w:val="16"/>
                <w:szCs w:val="16"/>
              </w:rPr>
            </w:pPr>
            <w:r w:rsidRPr="001531CD">
              <w:rPr>
                <w:sz w:val="16"/>
                <w:szCs w:val="16"/>
              </w:rPr>
              <w:t>Purple Plants</w:t>
            </w:r>
          </w:p>
        </w:tc>
        <w:tc>
          <w:tcPr>
            <w:tcW w:w="1260" w:type="dxa"/>
          </w:tcPr>
          <w:p w14:paraId="09FA296C" w14:textId="77777777"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14:paraId="5D13C3F6" w14:textId="77777777"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14:paraId="5F106F2C" w14:textId="77777777" w:rsidTr="00CD0355">
        <w:trPr>
          <w:cantSplit/>
          <w:jc w:val="center"/>
        </w:trPr>
        <w:tc>
          <w:tcPr>
            <w:tcW w:w="2010" w:type="dxa"/>
          </w:tcPr>
          <w:p w14:paraId="09D70A3E" w14:textId="77777777" w:rsidR="00CD0355" w:rsidRPr="001531CD" w:rsidRDefault="00CD0355" w:rsidP="00CD0355">
            <w:pPr>
              <w:tabs>
                <w:tab w:val="left" w:pos="180"/>
                <w:tab w:val="left" w:pos="360"/>
              </w:tabs>
              <w:ind w:left="96"/>
              <w:rPr>
                <w:sz w:val="16"/>
                <w:szCs w:val="16"/>
              </w:rPr>
            </w:pPr>
            <w:r w:rsidRPr="001531CD">
              <w:rPr>
                <w:sz w:val="16"/>
                <w:szCs w:val="16"/>
              </w:rPr>
              <w:t>White Seeded</w:t>
            </w:r>
          </w:p>
        </w:tc>
        <w:tc>
          <w:tcPr>
            <w:tcW w:w="1260" w:type="dxa"/>
          </w:tcPr>
          <w:p w14:paraId="19B0A805" w14:textId="77777777"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14:paraId="292A83D6" w14:textId="77777777"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14:paraId="41BEF8D9" w14:textId="77777777" w:rsidTr="00CD0355">
        <w:trPr>
          <w:cantSplit/>
          <w:jc w:val="center"/>
        </w:trPr>
        <w:tc>
          <w:tcPr>
            <w:tcW w:w="2010" w:type="dxa"/>
            <w:tcBorders>
              <w:bottom w:val="double" w:sz="6" w:space="0" w:color="000000"/>
            </w:tcBorders>
          </w:tcPr>
          <w:p w14:paraId="1485E14D" w14:textId="77777777" w:rsidR="00CD0355" w:rsidRPr="001531CD" w:rsidRDefault="00CD0355" w:rsidP="00CD0355">
            <w:pPr>
              <w:tabs>
                <w:tab w:val="left" w:pos="180"/>
                <w:tab w:val="left" w:pos="360"/>
              </w:tabs>
              <w:ind w:left="96"/>
              <w:rPr>
                <w:sz w:val="16"/>
                <w:szCs w:val="16"/>
              </w:rPr>
            </w:pPr>
            <w:r w:rsidRPr="001531CD">
              <w:rPr>
                <w:sz w:val="16"/>
                <w:szCs w:val="16"/>
              </w:rPr>
              <w:t>Obvious Off-Types</w:t>
            </w:r>
          </w:p>
        </w:tc>
        <w:tc>
          <w:tcPr>
            <w:tcW w:w="1260" w:type="dxa"/>
            <w:tcBorders>
              <w:bottom w:val="double" w:sz="6" w:space="0" w:color="000000"/>
            </w:tcBorders>
          </w:tcPr>
          <w:p w14:paraId="6F20F32E" w14:textId="77777777" w:rsidR="00CD0355" w:rsidRPr="001531CD" w:rsidRDefault="00CD0355" w:rsidP="00CD0355">
            <w:pPr>
              <w:tabs>
                <w:tab w:val="left" w:pos="180"/>
                <w:tab w:val="left" w:pos="360"/>
              </w:tabs>
              <w:jc w:val="center"/>
              <w:rPr>
                <w:sz w:val="16"/>
                <w:szCs w:val="16"/>
              </w:rPr>
            </w:pPr>
            <w:r w:rsidRPr="001531CD">
              <w:rPr>
                <w:sz w:val="16"/>
                <w:szCs w:val="16"/>
              </w:rPr>
              <w:t>4</w:t>
            </w:r>
          </w:p>
        </w:tc>
        <w:tc>
          <w:tcPr>
            <w:tcW w:w="1686" w:type="dxa"/>
            <w:tcBorders>
              <w:bottom w:val="double" w:sz="6" w:space="0" w:color="000000"/>
            </w:tcBorders>
          </w:tcPr>
          <w:p w14:paraId="5E1E0BFE" w14:textId="77777777" w:rsidR="00CD0355" w:rsidRPr="001531CD" w:rsidRDefault="00CD0355" w:rsidP="00CD0355">
            <w:pPr>
              <w:tabs>
                <w:tab w:val="left" w:pos="180"/>
                <w:tab w:val="left" w:pos="360"/>
              </w:tabs>
              <w:jc w:val="center"/>
              <w:rPr>
                <w:sz w:val="16"/>
                <w:szCs w:val="16"/>
              </w:rPr>
            </w:pPr>
            <w:r w:rsidRPr="001531CD">
              <w:rPr>
                <w:sz w:val="16"/>
                <w:szCs w:val="16"/>
              </w:rPr>
              <w:t>4</w:t>
            </w:r>
          </w:p>
        </w:tc>
      </w:tr>
    </w:tbl>
    <w:p w14:paraId="565D740C" w14:textId="77777777" w:rsidR="00CD0355" w:rsidRDefault="00CD0355" w:rsidP="00CD0355">
      <w:pPr>
        <w:pStyle w:val="A"/>
        <w:spacing w:after="0"/>
      </w:pPr>
    </w:p>
    <w:p w14:paraId="5A39DAAE" w14:textId="77777777" w:rsidR="00CD0355" w:rsidRDefault="00CD0355" w:rsidP="00CD0355">
      <w:pPr>
        <w:pStyle w:val="A"/>
      </w:pPr>
      <w:r w:rsidRPr="001531CD">
        <w:t>C.</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02"/>
        <w:gridCol w:w="1083"/>
        <w:gridCol w:w="1232"/>
        <w:gridCol w:w="1033"/>
      </w:tblGrid>
      <w:tr w:rsidR="00CD0355" w:rsidRPr="001531CD" w14:paraId="5D2E6365" w14:textId="77777777" w:rsidTr="00CD0355">
        <w:trPr>
          <w:cantSplit/>
          <w:jc w:val="center"/>
        </w:trPr>
        <w:tc>
          <w:tcPr>
            <w:tcW w:w="1547" w:type="dxa"/>
            <w:tcBorders>
              <w:top w:val="double" w:sz="6" w:space="0" w:color="000000"/>
              <w:bottom w:val="single" w:sz="6" w:space="0" w:color="000000"/>
            </w:tcBorders>
            <w:shd w:val="clear" w:color="auto" w:fill="BFBFBF"/>
          </w:tcPr>
          <w:p w14:paraId="78873BBF"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90" w:type="dxa"/>
            <w:tcBorders>
              <w:top w:val="double" w:sz="6" w:space="0" w:color="000000"/>
              <w:bottom w:val="single" w:sz="6" w:space="0" w:color="000000"/>
            </w:tcBorders>
            <w:shd w:val="clear" w:color="auto" w:fill="BFBFBF"/>
          </w:tcPr>
          <w:p w14:paraId="770BF5DC"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259" w:type="dxa"/>
            <w:tcBorders>
              <w:top w:val="double" w:sz="6" w:space="0" w:color="000000"/>
              <w:bottom w:val="single" w:sz="6" w:space="0" w:color="000000"/>
            </w:tcBorders>
            <w:shd w:val="clear" w:color="auto" w:fill="BFBFBF"/>
          </w:tcPr>
          <w:p w14:paraId="20E3F348"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52" w:type="dxa"/>
            <w:tcBorders>
              <w:top w:val="double" w:sz="6" w:space="0" w:color="000000"/>
              <w:bottom w:val="single" w:sz="6" w:space="0" w:color="000000"/>
            </w:tcBorders>
            <w:shd w:val="clear" w:color="auto" w:fill="BFBFBF"/>
          </w:tcPr>
          <w:p w14:paraId="63F8DC75"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32D28D2F" w14:textId="77777777" w:rsidTr="00CD0355">
        <w:trPr>
          <w:cantSplit/>
          <w:jc w:val="center"/>
        </w:trPr>
        <w:tc>
          <w:tcPr>
            <w:tcW w:w="1547" w:type="dxa"/>
            <w:tcBorders>
              <w:top w:val="single" w:sz="6" w:space="0" w:color="000000"/>
            </w:tcBorders>
          </w:tcPr>
          <w:p w14:paraId="57A8134D"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090" w:type="dxa"/>
            <w:tcBorders>
              <w:top w:val="single" w:sz="6" w:space="0" w:color="000000"/>
            </w:tcBorders>
          </w:tcPr>
          <w:p w14:paraId="65F9433E" w14:textId="77777777" w:rsidR="00CD0355" w:rsidRPr="001531CD" w:rsidRDefault="00CD0355" w:rsidP="00CD0355">
            <w:pPr>
              <w:tabs>
                <w:tab w:val="left" w:pos="180"/>
                <w:tab w:val="left" w:pos="360"/>
              </w:tabs>
              <w:jc w:val="center"/>
              <w:rPr>
                <w:sz w:val="16"/>
                <w:szCs w:val="16"/>
              </w:rPr>
            </w:pPr>
            <w:r w:rsidRPr="001531CD">
              <w:rPr>
                <w:sz w:val="16"/>
                <w:szCs w:val="16"/>
              </w:rPr>
              <w:t>99.00%</w:t>
            </w:r>
          </w:p>
        </w:tc>
        <w:tc>
          <w:tcPr>
            <w:tcW w:w="1259" w:type="dxa"/>
            <w:tcBorders>
              <w:top w:val="single" w:sz="6" w:space="0" w:color="000000"/>
            </w:tcBorders>
          </w:tcPr>
          <w:p w14:paraId="26958C4C" w14:textId="77777777" w:rsidR="00CD0355" w:rsidRPr="001531CD" w:rsidRDefault="00CD0355" w:rsidP="00CD0355">
            <w:pPr>
              <w:tabs>
                <w:tab w:val="left" w:pos="180"/>
                <w:tab w:val="left" w:pos="360"/>
              </w:tabs>
              <w:jc w:val="center"/>
              <w:rPr>
                <w:sz w:val="16"/>
                <w:szCs w:val="16"/>
              </w:rPr>
            </w:pPr>
            <w:r w:rsidRPr="001531CD">
              <w:rPr>
                <w:sz w:val="16"/>
                <w:szCs w:val="16"/>
              </w:rPr>
              <w:t>99.00%</w:t>
            </w:r>
          </w:p>
        </w:tc>
        <w:tc>
          <w:tcPr>
            <w:tcW w:w="1052" w:type="dxa"/>
            <w:tcBorders>
              <w:top w:val="single" w:sz="6" w:space="0" w:color="000000"/>
            </w:tcBorders>
          </w:tcPr>
          <w:p w14:paraId="5234133B"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14:paraId="7C9BA7A7" w14:textId="77777777" w:rsidTr="00CD0355">
        <w:trPr>
          <w:cantSplit/>
          <w:jc w:val="center"/>
        </w:trPr>
        <w:tc>
          <w:tcPr>
            <w:tcW w:w="1547" w:type="dxa"/>
          </w:tcPr>
          <w:p w14:paraId="527F1A3E"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090" w:type="dxa"/>
          </w:tcPr>
          <w:p w14:paraId="711E9204"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1259" w:type="dxa"/>
          </w:tcPr>
          <w:p w14:paraId="3CD486F5"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1052" w:type="dxa"/>
          </w:tcPr>
          <w:p w14:paraId="404A473C"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5704569A" w14:textId="77777777" w:rsidTr="00CD0355">
        <w:trPr>
          <w:cantSplit/>
          <w:jc w:val="center"/>
        </w:trPr>
        <w:tc>
          <w:tcPr>
            <w:tcW w:w="1547" w:type="dxa"/>
          </w:tcPr>
          <w:p w14:paraId="7A7BB038"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090" w:type="dxa"/>
          </w:tcPr>
          <w:p w14:paraId="76244C9A"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259" w:type="dxa"/>
          </w:tcPr>
          <w:p w14:paraId="699B9E50"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52" w:type="dxa"/>
          </w:tcPr>
          <w:p w14:paraId="12155256"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14:paraId="6A9636D9" w14:textId="77777777" w:rsidTr="00CD0355">
        <w:trPr>
          <w:cantSplit/>
          <w:jc w:val="center"/>
        </w:trPr>
        <w:tc>
          <w:tcPr>
            <w:tcW w:w="1547" w:type="dxa"/>
          </w:tcPr>
          <w:p w14:paraId="5C7B35F9"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090" w:type="dxa"/>
          </w:tcPr>
          <w:p w14:paraId="7DD27E19"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c>
          <w:tcPr>
            <w:tcW w:w="1259" w:type="dxa"/>
          </w:tcPr>
          <w:p w14:paraId="0F3C93D3"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c>
          <w:tcPr>
            <w:tcW w:w="1052" w:type="dxa"/>
          </w:tcPr>
          <w:p w14:paraId="21FFBA2E"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14:paraId="797E6EA1" w14:textId="77777777" w:rsidTr="00CD0355">
        <w:trPr>
          <w:cantSplit/>
          <w:jc w:val="center"/>
        </w:trPr>
        <w:tc>
          <w:tcPr>
            <w:tcW w:w="1547" w:type="dxa"/>
          </w:tcPr>
          <w:p w14:paraId="1FC30F41" w14:textId="77777777" w:rsidR="00CD0355" w:rsidRPr="001531CD" w:rsidRDefault="00CD0355" w:rsidP="00CD0355">
            <w:pPr>
              <w:tabs>
                <w:tab w:val="left" w:pos="180"/>
                <w:tab w:val="left" w:pos="360"/>
              </w:tabs>
              <w:rPr>
                <w:sz w:val="16"/>
                <w:szCs w:val="16"/>
              </w:rPr>
            </w:pPr>
            <w:r w:rsidRPr="001531CD">
              <w:rPr>
                <w:sz w:val="16"/>
                <w:szCs w:val="16"/>
              </w:rPr>
              <w:t>Weed Seeds</w:t>
            </w:r>
          </w:p>
        </w:tc>
        <w:tc>
          <w:tcPr>
            <w:tcW w:w="1090" w:type="dxa"/>
          </w:tcPr>
          <w:p w14:paraId="192D0416"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259" w:type="dxa"/>
          </w:tcPr>
          <w:p w14:paraId="6F0280C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52" w:type="dxa"/>
          </w:tcPr>
          <w:p w14:paraId="4E143D3F"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65B70343" w14:textId="77777777" w:rsidTr="00CD0355">
        <w:trPr>
          <w:cantSplit/>
          <w:jc w:val="center"/>
        </w:trPr>
        <w:tc>
          <w:tcPr>
            <w:tcW w:w="1547" w:type="dxa"/>
            <w:tcBorders>
              <w:bottom w:val="double" w:sz="6" w:space="0" w:color="000000"/>
            </w:tcBorders>
          </w:tcPr>
          <w:p w14:paraId="0267010A"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090" w:type="dxa"/>
            <w:tcBorders>
              <w:bottom w:val="double" w:sz="6" w:space="0" w:color="000000"/>
            </w:tcBorders>
          </w:tcPr>
          <w:p w14:paraId="449F9B7F" w14:textId="77777777" w:rsidR="00CD0355" w:rsidRPr="001531CD" w:rsidRDefault="00CD0355" w:rsidP="00CD0355">
            <w:pPr>
              <w:tabs>
                <w:tab w:val="left" w:pos="180"/>
                <w:tab w:val="left" w:pos="360"/>
              </w:tabs>
              <w:jc w:val="center"/>
              <w:rPr>
                <w:sz w:val="16"/>
                <w:szCs w:val="16"/>
              </w:rPr>
            </w:pPr>
            <w:r w:rsidRPr="001531CD">
              <w:rPr>
                <w:sz w:val="16"/>
                <w:szCs w:val="16"/>
              </w:rPr>
              <w:t>90.00%</w:t>
            </w:r>
          </w:p>
        </w:tc>
        <w:tc>
          <w:tcPr>
            <w:tcW w:w="1259" w:type="dxa"/>
            <w:tcBorders>
              <w:bottom w:val="double" w:sz="6" w:space="0" w:color="000000"/>
            </w:tcBorders>
          </w:tcPr>
          <w:p w14:paraId="3A1D4030" w14:textId="77777777" w:rsidR="00CD0355" w:rsidRPr="001531CD" w:rsidRDefault="00CD0355" w:rsidP="00CD0355">
            <w:pPr>
              <w:tabs>
                <w:tab w:val="left" w:pos="180"/>
                <w:tab w:val="left" w:pos="360"/>
              </w:tabs>
              <w:jc w:val="center"/>
              <w:rPr>
                <w:sz w:val="16"/>
                <w:szCs w:val="16"/>
              </w:rPr>
            </w:pPr>
            <w:r w:rsidRPr="001531CD">
              <w:rPr>
                <w:sz w:val="16"/>
                <w:szCs w:val="16"/>
              </w:rPr>
              <w:t>90.00%</w:t>
            </w:r>
          </w:p>
        </w:tc>
        <w:tc>
          <w:tcPr>
            <w:tcW w:w="1052" w:type="dxa"/>
            <w:tcBorders>
              <w:bottom w:val="double" w:sz="6" w:space="0" w:color="000000"/>
            </w:tcBorders>
          </w:tcPr>
          <w:p w14:paraId="0F34553F" w14:textId="77777777" w:rsidR="00CD0355" w:rsidRPr="001531CD" w:rsidRDefault="00CD0355" w:rsidP="00CD0355">
            <w:pPr>
              <w:tabs>
                <w:tab w:val="left" w:pos="180"/>
                <w:tab w:val="left" w:pos="360"/>
              </w:tabs>
              <w:jc w:val="center"/>
              <w:rPr>
                <w:sz w:val="16"/>
                <w:szCs w:val="16"/>
              </w:rPr>
            </w:pPr>
            <w:r w:rsidRPr="001531CD">
              <w:rPr>
                <w:sz w:val="16"/>
                <w:szCs w:val="16"/>
              </w:rPr>
              <w:t>90.00%</w:t>
            </w:r>
          </w:p>
        </w:tc>
      </w:tr>
    </w:tbl>
    <w:p w14:paraId="39051614" w14:textId="77777777" w:rsidR="00CD0355" w:rsidRPr="001531CD" w:rsidRDefault="00CD0355" w:rsidP="00CD0355">
      <w:pPr>
        <w:tabs>
          <w:tab w:val="left" w:pos="180"/>
          <w:tab w:val="left" w:pos="360"/>
        </w:tabs>
        <w:rPr>
          <w:sz w:val="20"/>
        </w:rPr>
      </w:pPr>
    </w:p>
    <w:p w14:paraId="132CD6F5" w14:textId="77777777" w:rsidR="00CD0355" w:rsidRPr="001531CD" w:rsidRDefault="00CD0355" w:rsidP="00CD0355">
      <w:pPr>
        <w:pStyle w:val="AuthorityNote"/>
      </w:pPr>
      <w:r w:rsidRPr="001531CD">
        <w:t>AUTHORITY NOTE:</w:t>
      </w:r>
      <w:r w:rsidRPr="001531CD">
        <w:tab/>
        <w:t>Promulgated in accordance with R.S. 3:1433.</w:t>
      </w:r>
    </w:p>
    <w:p w14:paraId="3A3F38BD" w14:textId="77777777" w:rsidR="00CD0355" w:rsidRPr="001531CD" w:rsidRDefault="00CD0355" w:rsidP="00CD0355">
      <w:pPr>
        <w:pStyle w:val="HistoricalNote"/>
      </w:pPr>
      <w:r w:rsidRPr="001531CD">
        <w:t>HISTORICAL NOTE:</w:t>
      </w:r>
      <w:r w:rsidRPr="001531CD">
        <w:tab/>
        <w:t>Promulgated by the Department of Agriculture, Seed Commission, LR 8:586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39:2731 (October 2013).</w:t>
      </w:r>
    </w:p>
    <w:p w14:paraId="26708C4B" w14:textId="77777777" w:rsidR="00CD0355" w:rsidRPr="00B265BE" w:rsidRDefault="00CD0355" w:rsidP="00CD0355">
      <w:pPr>
        <w:pStyle w:val="Section"/>
      </w:pPr>
      <w:bookmarkStart w:id="1175" w:name="_Toc224818822"/>
      <w:bookmarkStart w:id="1176" w:name="_Toc370127319"/>
      <w:bookmarkStart w:id="1177" w:name="_Toc372624032"/>
      <w:bookmarkStart w:id="1178" w:name="_Toc375025331"/>
      <w:bookmarkStart w:id="1179" w:name="_Toc386110214"/>
      <w:bookmarkStart w:id="1180" w:name="_Toc388358047"/>
      <w:bookmarkStart w:id="1181" w:name="_Toc396114951"/>
      <w:bookmarkStart w:id="1182" w:name="_Toc411855342"/>
      <w:r w:rsidRPr="00B265BE">
        <w:t>§767.</w:t>
      </w:r>
      <w:r w:rsidRPr="00B265BE">
        <w:tab/>
        <w:t>Peanut Seed Certification Standards</w:t>
      </w:r>
      <w:bookmarkEnd w:id="1175"/>
    </w:p>
    <w:p w14:paraId="46C2E6B9" w14:textId="77777777" w:rsidR="00CD0355" w:rsidRDefault="00CD0355" w:rsidP="00CD0355">
      <w:pPr>
        <w:pStyle w:val="A"/>
        <w:spacing w:after="0"/>
      </w:pPr>
      <w:r w:rsidRPr="00B265BE">
        <w:t>A.</w:t>
      </w:r>
      <w:r w:rsidRPr="00B265BE">
        <w:tab/>
        <w:t>Field Inspection. A field inspection shall be made by LDAF at maturity, but prior to harvesting.</w:t>
      </w:r>
    </w:p>
    <w:p w14:paraId="3E1A1A01" w14:textId="77777777" w:rsidR="00CD0355" w:rsidRDefault="00CD0355" w:rsidP="00CD0355">
      <w:pPr>
        <w:pStyle w:val="A"/>
        <w:spacing w:after="0"/>
      </w:pPr>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9"/>
        <w:gridCol w:w="1099"/>
        <w:gridCol w:w="1275"/>
      </w:tblGrid>
      <w:tr w:rsidR="00CD0355" w:rsidRPr="002140B4" w14:paraId="0D5FCDC7" w14:textId="77777777" w:rsidTr="00CD0355">
        <w:trPr>
          <w:cantSplit/>
          <w:tblHeader/>
          <w:jc w:val="center"/>
        </w:trPr>
        <w:tc>
          <w:tcPr>
            <w:tcW w:w="2402" w:type="pct"/>
            <w:gridSpan w:val="2"/>
            <w:tcBorders>
              <w:top w:val="double" w:sz="6" w:space="0" w:color="auto"/>
              <w:left w:val="double" w:sz="6" w:space="0" w:color="auto"/>
              <w:bottom w:val="single" w:sz="4" w:space="0" w:color="auto"/>
              <w:right w:val="single" w:sz="4" w:space="0" w:color="auto"/>
            </w:tcBorders>
            <w:shd w:val="pct25" w:color="auto" w:fill="auto"/>
            <w:vAlign w:val="center"/>
            <w:hideMark/>
          </w:tcPr>
          <w:p w14:paraId="0A646731" w14:textId="77777777" w:rsidR="00CD0355" w:rsidRPr="002140B4" w:rsidRDefault="00CD0355" w:rsidP="00CD0355">
            <w:pPr>
              <w:jc w:val="center"/>
              <w:rPr>
                <w:b/>
                <w:sz w:val="16"/>
                <w:szCs w:val="16"/>
              </w:rPr>
            </w:pPr>
            <w:r w:rsidRPr="002140B4">
              <w:rPr>
                <w:b/>
                <w:sz w:val="16"/>
                <w:szCs w:val="16"/>
              </w:rPr>
              <w:t>Factor</w:t>
            </w:r>
          </w:p>
        </w:tc>
        <w:tc>
          <w:tcPr>
            <w:tcW w:w="2598" w:type="pct"/>
            <w:gridSpan w:val="2"/>
            <w:tcBorders>
              <w:top w:val="double" w:sz="6" w:space="0" w:color="auto"/>
              <w:left w:val="single" w:sz="4" w:space="0" w:color="auto"/>
              <w:bottom w:val="single" w:sz="6" w:space="0" w:color="000000"/>
              <w:right w:val="double" w:sz="6" w:space="0" w:color="auto"/>
            </w:tcBorders>
            <w:shd w:val="pct25" w:color="auto" w:fill="auto"/>
            <w:vAlign w:val="center"/>
            <w:hideMark/>
          </w:tcPr>
          <w:p w14:paraId="48D77993" w14:textId="77777777" w:rsidR="00CD0355" w:rsidRPr="002140B4" w:rsidRDefault="00CD0355" w:rsidP="00CD0355">
            <w:pPr>
              <w:jc w:val="center"/>
              <w:rPr>
                <w:b/>
                <w:sz w:val="16"/>
                <w:szCs w:val="16"/>
              </w:rPr>
            </w:pPr>
            <w:r w:rsidRPr="002140B4">
              <w:rPr>
                <w:b/>
                <w:sz w:val="16"/>
                <w:szCs w:val="16"/>
              </w:rPr>
              <w:t>Standards for classes</w:t>
            </w:r>
          </w:p>
        </w:tc>
      </w:tr>
      <w:tr w:rsidR="00CD0355" w:rsidRPr="002140B4" w14:paraId="076E2BDA" w14:textId="77777777" w:rsidTr="00CD0355">
        <w:trPr>
          <w:jc w:val="center"/>
        </w:trPr>
        <w:tc>
          <w:tcPr>
            <w:tcW w:w="1201" w:type="pct"/>
            <w:tcBorders>
              <w:top w:val="single" w:sz="4" w:space="0" w:color="auto"/>
              <w:left w:val="double" w:sz="6" w:space="0" w:color="auto"/>
              <w:bottom w:val="single" w:sz="4" w:space="0" w:color="auto"/>
              <w:right w:val="single" w:sz="4" w:space="0" w:color="auto"/>
            </w:tcBorders>
            <w:vAlign w:val="center"/>
            <w:hideMark/>
          </w:tcPr>
          <w:p w14:paraId="2F6608CF" w14:textId="77777777" w:rsidR="00CD0355" w:rsidRPr="002140B4" w:rsidRDefault="00CD0355" w:rsidP="00CD0355">
            <w:pPr>
              <w:jc w:val="center"/>
              <w:rPr>
                <w:sz w:val="16"/>
                <w:szCs w:val="16"/>
              </w:rPr>
            </w:pPr>
            <w:r>
              <w:rPr>
                <w:sz w:val="16"/>
                <w:szCs w:val="16"/>
              </w:rPr>
              <w:t xml:space="preserve">  </w:t>
            </w:r>
          </w:p>
        </w:tc>
        <w:tc>
          <w:tcPr>
            <w:tcW w:w="1202" w:type="pct"/>
            <w:tcBorders>
              <w:top w:val="single" w:sz="4" w:space="0" w:color="auto"/>
              <w:left w:val="single" w:sz="4" w:space="0" w:color="auto"/>
              <w:bottom w:val="single" w:sz="4" w:space="0" w:color="auto"/>
              <w:right w:val="single" w:sz="4" w:space="0" w:color="auto"/>
            </w:tcBorders>
            <w:vAlign w:val="center"/>
            <w:hideMark/>
          </w:tcPr>
          <w:p w14:paraId="786CCBE8" w14:textId="77777777" w:rsidR="00CD0355" w:rsidRPr="002140B4" w:rsidRDefault="00CD0355" w:rsidP="00CD0355">
            <w:pPr>
              <w:jc w:val="center"/>
              <w:rPr>
                <w:sz w:val="16"/>
                <w:szCs w:val="16"/>
              </w:rPr>
            </w:pPr>
            <w:r w:rsidRPr="002140B4">
              <w:rPr>
                <w:sz w:val="16"/>
                <w:szCs w:val="16"/>
              </w:rPr>
              <w:t>Foundation</w:t>
            </w:r>
          </w:p>
        </w:tc>
        <w:tc>
          <w:tcPr>
            <w:tcW w:w="1202" w:type="pct"/>
            <w:tcBorders>
              <w:top w:val="single" w:sz="4" w:space="0" w:color="auto"/>
              <w:left w:val="single" w:sz="4" w:space="0" w:color="auto"/>
              <w:bottom w:val="single" w:sz="4" w:space="0" w:color="auto"/>
              <w:right w:val="single" w:sz="4" w:space="0" w:color="auto"/>
            </w:tcBorders>
            <w:vAlign w:val="center"/>
            <w:hideMark/>
          </w:tcPr>
          <w:p w14:paraId="00D773E7" w14:textId="77777777" w:rsidR="00CD0355" w:rsidRPr="002140B4" w:rsidRDefault="00CD0355" w:rsidP="00CD0355">
            <w:pPr>
              <w:jc w:val="center"/>
              <w:rPr>
                <w:sz w:val="16"/>
                <w:szCs w:val="16"/>
              </w:rPr>
            </w:pPr>
            <w:r w:rsidRPr="002140B4">
              <w:rPr>
                <w:sz w:val="16"/>
                <w:szCs w:val="16"/>
              </w:rPr>
              <w:t>Registered</w:t>
            </w:r>
          </w:p>
        </w:tc>
        <w:tc>
          <w:tcPr>
            <w:tcW w:w="1396" w:type="pct"/>
            <w:tcBorders>
              <w:top w:val="single" w:sz="4" w:space="0" w:color="auto"/>
              <w:left w:val="single" w:sz="4" w:space="0" w:color="auto"/>
              <w:bottom w:val="single" w:sz="4" w:space="0" w:color="auto"/>
              <w:right w:val="double" w:sz="6" w:space="0" w:color="auto"/>
            </w:tcBorders>
            <w:vAlign w:val="center"/>
            <w:hideMark/>
          </w:tcPr>
          <w:p w14:paraId="648618B1" w14:textId="77777777" w:rsidR="00CD0355" w:rsidRPr="002140B4" w:rsidRDefault="00CD0355" w:rsidP="00CD0355">
            <w:pPr>
              <w:jc w:val="center"/>
              <w:rPr>
                <w:sz w:val="16"/>
                <w:szCs w:val="16"/>
              </w:rPr>
            </w:pPr>
            <w:r w:rsidRPr="002140B4">
              <w:rPr>
                <w:sz w:val="16"/>
                <w:szCs w:val="16"/>
              </w:rPr>
              <w:t>Certified</w:t>
            </w:r>
          </w:p>
        </w:tc>
      </w:tr>
      <w:tr w:rsidR="00CD0355" w:rsidRPr="002140B4" w14:paraId="7BAA322E" w14:textId="77777777" w:rsidTr="00CD0355">
        <w:trPr>
          <w:jc w:val="center"/>
        </w:trPr>
        <w:tc>
          <w:tcPr>
            <w:tcW w:w="1201" w:type="pct"/>
            <w:tcBorders>
              <w:top w:val="single" w:sz="4" w:space="0" w:color="auto"/>
              <w:left w:val="double" w:sz="6" w:space="0" w:color="auto"/>
              <w:bottom w:val="single" w:sz="6" w:space="0" w:color="000000"/>
              <w:right w:val="single" w:sz="4" w:space="0" w:color="auto"/>
            </w:tcBorders>
            <w:vAlign w:val="center"/>
          </w:tcPr>
          <w:p w14:paraId="2894F834" w14:textId="77777777" w:rsidR="00CD0355" w:rsidRPr="002140B4" w:rsidRDefault="00CD0355" w:rsidP="00CD0355">
            <w:pPr>
              <w:rPr>
                <w:sz w:val="16"/>
                <w:szCs w:val="16"/>
              </w:rPr>
            </w:pPr>
            <w:r w:rsidRPr="002140B4">
              <w:rPr>
                <w:sz w:val="16"/>
                <w:szCs w:val="16"/>
              </w:rPr>
              <w:t>Land requirement</w:t>
            </w:r>
          </w:p>
        </w:tc>
        <w:tc>
          <w:tcPr>
            <w:tcW w:w="1202" w:type="pct"/>
            <w:tcBorders>
              <w:top w:val="single" w:sz="4" w:space="0" w:color="auto"/>
              <w:left w:val="single" w:sz="4" w:space="0" w:color="auto"/>
              <w:bottom w:val="single" w:sz="6" w:space="0" w:color="000000"/>
              <w:right w:val="single" w:sz="4" w:space="0" w:color="auto"/>
            </w:tcBorders>
            <w:vAlign w:val="bottom"/>
          </w:tcPr>
          <w:p w14:paraId="7602AA98" w14:textId="77777777" w:rsidR="00CD0355" w:rsidRPr="002140B4" w:rsidRDefault="00CD0355" w:rsidP="00CD0355">
            <w:pPr>
              <w:jc w:val="center"/>
              <w:rPr>
                <w:sz w:val="16"/>
                <w:szCs w:val="16"/>
              </w:rPr>
            </w:pPr>
            <w:r w:rsidRPr="002140B4">
              <w:rPr>
                <w:sz w:val="16"/>
                <w:szCs w:val="16"/>
              </w:rPr>
              <w:t>1 year</w:t>
            </w:r>
          </w:p>
        </w:tc>
        <w:tc>
          <w:tcPr>
            <w:tcW w:w="1202" w:type="pct"/>
            <w:tcBorders>
              <w:top w:val="single" w:sz="4" w:space="0" w:color="auto"/>
              <w:left w:val="single" w:sz="4" w:space="0" w:color="auto"/>
              <w:bottom w:val="single" w:sz="6" w:space="0" w:color="000000"/>
              <w:right w:val="single" w:sz="4" w:space="0" w:color="auto"/>
            </w:tcBorders>
            <w:vAlign w:val="bottom"/>
          </w:tcPr>
          <w:p w14:paraId="5F5782E7" w14:textId="77777777" w:rsidR="00CD0355" w:rsidRPr="002140B4" w:rsidRDefault="00CD0355" w:rsidP="00CD0355">
            <w:pPr>
              <w:jc w:val="center"/>
              <w:rPr>
                <w:sz w:val="16"/>
                <w:szCs w:val="16"/>
              </w:rPr>
            </w:pPr>
            <w:r w:rsidRPr="002140B4">
              <w:rPr>
                <w:sz w:val="16"/>
                <w:szCs w:val="16"/>
              </w:rPr>
              <w:t>1 year</w:t>
            </w:r>
          </w:p>
        </w:tc>
        <w:tc>
          <w:tcPr>
            <w:tcW w:w="1396" w:type="pct"/>
            <w:tcBorders>
              <w:top w:val="single" w:sz="4" w:space="0" w:color="auto"/>
              <w:left w:val="single" w:sz="4" w:space="0" w:color="auto"/>
              <w:bottom w:val="single" w:sz="6" w:space="0" w:color="000000"/>
              <w:right w:val="double" w:sz="6" w:space="0" w:color="auto"/>
            </w:tcBorders>
            <w:vAlign w:val="bottom"/>
          </w:tcPr>
          <w:p w14:paraId="3B45B128" w14:textId="77777777" w:rsidR="00CD0355" w:rsidRPr="002140B4" w:rsidRDefault="00CD0355" w:rsidP="00CD0355">
            <w:pPr>
              <w:jc w:val="center"/>
              <w:rPr>
                <w:sz w:val="16"/>
                <w:szCs w:val="16"/>
              </w:rPr>
            </w:pPr>
            <w:r w:rsidRPr="002140B4">
              <w:rPr>
                <w:sz w:val="16"/>
                <w:szCs w:val="16"/>
              </w:rPr>
              <w:t>1 year</w:t>
            </w:r>
          </w:p>
        </w:tc>
      </w:tr>
      <w:tr w:rsidR="00CD0355" w:rsidRPr="002140B4" w14:paraId="327F5329" w14:textId="77777777" w:rsidTr="00CD0355">
        <w:trPr>
          <w:jc w:val="center"/>
        </w:trPr>
        <w:tc>
          <w:tcPr>
            <w:tcW w:w="1201" w:type="pct"/>
            <w:tcBorders>
              <w:top w:val="single" w:sz="4" w:space="0" w:color="auto"/>
              <w:left w:val="double" w:sz="6" w:space="0" w:color="auto"/>
              <w:bottom w:val="single" w:sz="4" w:space="0" w:color="auto"/>
              <w:right w:val="single" w:sz="4" w:space="0" w:color="auto"/>
            </w:tcBorders>
            <w:vAlign w:val="center"/>
          </w:tcPr>
          <w:p w14:paraId="4B540912" w14:textId="77777777" w:rsidR="00CD0355" w:rsidRPr="002140B4" w:rsidRDefault="00CD0355" w:rsidP="00CD0355">
            <w:pPr>
              <w:rPr>
                <w:sz w:val="16"/>
                <w:szCs w:val="16"/>
              </w:rPr>
            </w:pPr>
            <w:r w:rsidRPr="002140B4">
              <w:rPr>
                <w:sz w:val="16"/>
                <w:szCs w:val="16"/>
              </w:rPr>
              <w:t>Isolation</w:t>
            </w:r>
          </w:p>
        </w:tc>
        <w:tc>
          <w:tcPr>
            <w:tcW w:w="1202" w:type="pct"/>
            <w:tcBorders>
              <w:top w:val="single" w:sz="4" w:space="0" w:color="auto"/>
              <w:left w:val="single" w:sz="4" w:space="0" w:color="auto"/>
              <w:bottom w:val="single" w:sz="4" w:space="0" w:color="auto"/>
              <w:right w:val="single" w:sz="4" w:space="0" w:color="auto"/>
            </w:tcBorders>
            <w:vAlign w:val="bottom"/>
          </w:tcPr>
          <w:p w14:paraId="71ECC2D7" w14:textId="77777777" w:rsidR="00CD0355" w:rsidRPr="002140B4" w:rsidRDefault="00CD0355" w:rsidP="00CD0355">
            <w:pPr>
              <w:ind w:right="-108"/>
              <w:jc w:val="center"/>
              <w:rPr>
                <w:sz w:val="16"/>
                <w:szCs w:val="16"/>
              </w:rPr>
            </w:pPr>
            <w:r w:rsidRPr="002140B4">
              <w:rPr>
                <w:sz w:val="16"/>
                <w:szCs w:val="16"/>
              </w:rPr>
              <w:t>50 feet</w:t>
            </w:r>
          </w:p>
        </w:tc>
        <w:tc>
          <w:tcPr>
            <w:tcW w:w="1202" w:type="pct"/>
            <w:tcBorders>
              <w:top w:val="single" w:sz="4" w:space="0" w:color="auto"/>
              <w:left w:val="single" w:sz="4" w:space="0" w:color="auto"/>
              <w:bottom w:val="single" w:sz="4" w:space="0" w:color="auto"/>
              <w:right w:val="single" w:sz="4" w:space="0" w:color="auto"/>
            </w:tcBorders>
            <w:vAlign w:val="bottom"/>
          </w:tcPr>
          <w:p w14:paraId="22FBA100" w14:textId="77777777" w:rsidR="00CD0355" w:rsidRPr="002140B4" w:rsidRDefault="00CD0355" w:rsidP="00CD0355">
            <w:pPr>
              <w:jc w:val="center"/>
              <w:rPr>
                <w:sz w:val="16"/>
                <w:szCs w:val="16"/>
              </w:rPr>
            </w:pPr>
            <w:r w:rsidRPr="002140B4">
              <w:rPr>
                <w:sz w:val="16"/>
                <w:szCs w:val="16"/>
              </w:rPr>
              <w:t>25 feet</w:t>
            </w:r>
          </w:p>
        </w:tc>
        <w:tc>
          <w:tcPr>
            <w:tcW w:w="1396" w:type="pct"/>
            <w:tcBorders>
              <w:top w:val="single" w:sz="4" w:space="0" w:color="auto"/>
              <w:left w:val="single" w:sz="4" w:space="0" w:color="auto"/>
              <w:bottom w:val="single" w:sz="4" w:space="0" w:color="auto"/>
              <w:right w:val="double" w:sz="6" w:space="0" w:color="auto"/>
            </w:tcBorders>
            <w:vAlign w:val="bottom"/>
          </w:tcPr>
          <w:p w14:paraId="2A5C503F" w14:textId="77777777" w:rsidR="00CD0355" w:rsidRPr="002140B4" w:rsidRDefault="00CD0355" w:rsidP="00CD0355">
            <w:pPr>
              <w:jc w:val="center"/>
              <w:rPr>
                <w:sz w:val="16"/>
                <w:szCs w:val="16"/>
              </w:rPr>
            </w:pPr>
            <w:r w:rsidRPr="002140B4">
              <w:rPr>
                <w:sz w:val="16"/>
                <w:szCs w:val="16"/>
              </w:rPr>
              <w:t>25 feet</w:t>
            </w:r>
          </w:p>
        </w:tc>
      </w:tr>
      <w:tr w:rsidR="00CD0355" w:rsidRPr="002140B4" w14:paraId="77F725A5" w14:textId="77777777" w:rsidTr="00CD0355">
        <w:trPr>
          <w:jc w:val="center"/>
        </w:trPr>
        <w:tc>
          <w:tcPr>
            <w:tcW w:w="1201" w:type="pct"/>
            <w:tcBorders>
              <w:top w:val="single" w:sz="4" w:space="0" w:color="auto"/>
              <w:left w:val="double" w:sz="6" w:space="0" w:color="auto"/>
              <w:bottom w:val="double" w:sz="6" w:space="0" w:color="auto"/>
              <w:right w:val="single" w:sz="4" w:space="0" w:color="auto"/>
            </w:tcBorders>
            <w:vAlign w:val="center"/>
          </w:tcPr>
          <w:p w14:paraId="59A6104E" w14:textId="77777777" w:rsidR="00CD0355" w:rsidRPr="002140B4" w:rsidRDefault="00CD0355" w:rsidP="00CD0355">
            <w:pPr>
              <w:rPr>
                <w:sz w:val="16"/>
                <w:szCs w:val="16"/>
              </w:rPr>
            </w:pPr>
            <w:r w:rsidRPr="002140B4">
              <w:rPr>
                <w:sz w:val="16"/>
                <w:szCs w:val="16"/>
              </w:rPr>
              <w:t>Other varieties or types</w:t>
            </w:r>
          </w:p>
        </w:tc>
        <w:tc>
          <w:tcPr>
            <w:tcW w:w="1202" w:type="pct"/>
            <w:tcBorders>
              <w:top w:val="single" w:sz="4" w:space="0" w:color="auto"/>
              <w:left w:val="single" w:sz="4" w:space="0" w:color="auto"/>
              <w:bottom w:val="double" w:sz="6" w:space="0" w:color="auto"/>
              <w:right w:val="single" w:sz="4" w:space="0" w:color="auto"/>
            </w:tcBorders>
            <w:vAlign w:val="bottom"/>
          </w:tcPr>
          <w:p w14:paraId="52CC53F5" w14:textId="77777777" w:rsidR="00CD0355" w:rsidRPr="002140B4" w:rsidRDefault="00CD0355" w:rsidP="00CD0355">
            <w:pPr>
              <w:jc w:val="center"/>
              <w:rPr>
                <w:sz w:val="16"/>
                <w:szCs w:val="16"/>
              </w:rPr>
            </w:pPr>
            <w:r w:rsidRPr="002140B4">
              <w:rPr>
                <w:sz w:val="16"/>
                <w:szCs w:val="16"/>
              </w:rPr>
              <w:t>None</w:t>
            </w:r>
          </w:p>
        </w:tc>
        <w:tc>
          <w:tcPr>
            <w:tcW w:w="1202" w:type="pct"/>
            <w:tcBorders>
              <w:top w:val="single" w:sz="4" w:space="0" w:color="auto"/>
              <w:left w:val="single" w:sz="4" w:space="0" w:color="auto"/>
              <w:bottom w:val="double" w:sz="6" w:space="0" w:color="auto"/>
              <w:right w:val="single" w:sz="4" w:space="0" w:color="auto"/>
            </w:tcBorders>
            <w:vAlign w:val="bottom"/>
          </w:tcPr>
          <w:p w14:paraId="03BDACC2" w14:textId="77777777" w:rsidR="00CD0355" w:rsidRPr="002140B4" w:rsidRDefault="00CD0355" w:rsidP="00CD0355">
            <w:pPr>
              <w:jc w:val="center"/>
              <w:rPr>
                <w:sz w:val="16"/>
                <w:szCs w:val="16"/>
              </w:rPr>
            </w:pPr>
            <w:r w:rsidRPr="002140B4">
              <w:rPr>
                <w:sz w:val="16"/>
                <w:szCs w:val="16"/>
              </w:rPr>
              <w:t>0.2</w:t>
            </w:r>
            <w:r>
              <w:rPr>
                <w:sz w:val="16"/>
                <w:szCs w:val="16"/>
              </w:rPr>
              <w:t xml:space="preserve"> percent</w:t>
            </w:r>
          </w:p>
        </w:tc>
        <w:tc>
          <w:tcPr>
            <w:tcW w:w="1396" w:type="pct"/>
            <w:tcBorders>
              <w:top w:val="single" w:sz="4" w:space="0" w:color="auto"/>
              <w:left w:val="single" w:sz="4" w:space="0" w:color="auto"/>
              <w:bottom w:val="double" w:sz="6" w:space="0" w:color="auto"/>
              <w:right w:val="double" w:sz="6" w:space="0" w:color="auto"/>
            </w:tcBorders>
            <w:vAlign w:val="bottom"/>
          </w:tcPr>
          <w:p w14:paraId="1E993E48" w14:textId="77777777" w:rsidR="00CD0355" w:rsidRPr="002140B4" w:rsidRDefault="00CD0355" w:rsidP="00CD0355">
            <w:pPr>
              <w:jc w:val="center"/>
              <w:rPr>
                <w:sz w:val="16"/>
                <w:szCs w:val="16"/>
              </w:rPr>
            </w:pPr>
            <w:r w:rsidRPr="002140B4">
              <w:rPr>
                <w:sz w:val="16"/>
                <w:szCs w:val="16"/>
              </w:rPr>
              <w:t>0.5</w:t>
            </w:r>
            <w:r>
              <w:rPr>
                <w:sz w:val="16"/>
                <w:szCs w:val="16"/>
              </w:rPr>
              <w:t xml:space="preserve"> percent</w:t>
            </w:r>
          </w:p>
        </w:tc>
      </w:tr>
    </w:tbl>
    <w:p w14:paraId="5F6C34CF" w14:textId="77777777" w:rsidR="00CD0355" w:rsidRDefault="00CD0355" w:rsidP="00CD0355">
      <w:pPr>
        <w:pStyle w:val="A"/>
        <w:spacing w:before="120" w:after="0"/>
      </w:pPr>
      <w:r w:rsidRPr="00B265BE">
        <w:t>B.</w:t>
      </w:r>
      <w:r w:rsidRPr="00B265BE">
        <w:tab/>
        <w:t>Seed Standards. A representative sample of at least one pound of seed in its saleable condition and 1-</w:t>
      </w:r>
      <w:r>
        <w:t>1/2</w:t>
      </w:r>
      <w:r w:rsidRPr="00B265BE">
        <w:t xml:space="preserve"> pounds of untreated seed shall be submitted to the LDAF for laboratory analysis.</w:t>
      </w:r>
    </w:p>
    <w:p w14:paraId="5532CB6E" w14:textId="77777777" w:rsidR="00CD0355" w:rsidRDefault="00CD0355" w:rsidP="00CD0355">
      <w:pPr>
        <w:pStyle w:val="A"/>
        <w:spacing w:after="0"/>
      </w:pPr>
    </w:p>
    <w:tbl>
      <w:tblPr>
        <w:tblW w:w="4882" w:type="pct"/>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105"/>
        <w:gridCol w:w="945"/>
        <w:gridCol w:w="901"/>
        <w:gridCol w:w="785"/>
      </w:tblGrid>
      <w:tr w:rsidR="00CD0355" w:rsidRPr="00C94DD4" w14:paraId="532BF181" w14:textId="77777777" w:rsidTr="00CD0355">
        <w:trPr>
          <w:tblHeader/>
        </w:trPr>
        <w:tc>
          <w:tcPr>
            <w:tcW w:w="2344" w:type="pct"/>
            <w:shd w:val="pct25" w:color="auto" w:fill="auto"/>
            <w:vAlign w:val="center"/>
            <w:hideMark/>
          </w:tcPr>
          <w:p w14:paraId="18B319D3" w14:textId="77777777" w:rsidR="00CD0355" w:rsidRPr="002140B4" w:rsidRDefault="00CD0355" w:rsidP="00CD0355">
            <w:pPr>
              <w:keepNext/>
              <w:jc w:val="center"/>
              <w:rPr>
                <w:b/>
                <w:sz w:val="16"/>
                <w:szCs w:val="16"/>
              </w:rPr>
            </w:pPr>
            <w:r w:rsidRPr="002140B4">
              <w:rPr>
                <w:b/>
                <w:sz w:val="16"/>
                <w:szCs w:val="16"/>
              </w:rPr>
              <w:t>Factor</w:t>
            </w:r>
          </w:p>
        </w:tc>
        <w:tc>
          <w:tcPr>
            <w:tcW w:w="2656" w:type="pct"/>
            <w:gridSpan w:val="3"/>
            <w:shd w:val="pct25" w:color="auto" w:fill="auto"/>
            <w:vAlign w:val="center"/>
            <w:hideMark/>
          </w:tcPr>
          <w:p w14:paraId="29F2657B" w14:textId="77777777" w:rsidR="00CD0355" w:rsidRPr="002140B4" w:rsidRDefault="00CD0355" w:rsidP="00CD0355">
            <w:pPr>
              <w:keepNext/>
              <w:jc w:val="center"/>
              <w:rPr>
                <w:b/>
                <w:sz w:val="16"/>
                <w:szCs w:val="16"/>
              </w:rPr>
            </w:pPr>
            <w:r w:rsidRPr="002140B4">
              <w:rPr>
                <w:b/>
                <w:sz w:val="16"/>
                <w:szCs w:val="16"/>
              </w:rPr>
              <w:t>Standards for classes</w:t>
            </w:r>
          </w:p>
        </w:tc>
      </w:tr>
      <w:tr w:rsidR="00CD0355" w:rsidRPr="00C94DD4" w14:paraId="04A66713" w14:textId="77777777" w:rsidTr="00CD0355">
        <w:tc>
          <w:tcPr>
            <w:tcW w:w="2344" w:type="pct"/>
            <w:vAlign w:val="center"/>
            <w:hideMark/>
          </w:tcPr>
          <w:p w14:paraId="57DCC930" w14:textId="77777777" w:rsidR="00CD0355" w:rsidRPr="002140B4" w:rsidRDefault="00CD0355" w:rsidP="00CD0355">
            <w:pPr>
              <w:jc w:val="center"/>
              <w:rPr>
                <w:sz w:val="16"/>
                <w:szCs w:val="16"/>
              </w:rPr>
            </w:pPr>
            <w:r>
              <w:rPr>
                <w:sz w:val="16"/>
                <w:szCs w:val="16"/>
              </w:rPr>
              <w:t xml:space="preserve">  </w:t>
            </w:r>
          </w:p>
        </w:tc>
        <w:tc>
          <w:tcPr>
            <w:tcW w:w="967" w:type="pct"/>
            <w:vAlign w:val="center"/>
            <w:hideMark/>
          </w:tcPr>
          <w:p w14:paraId="4C1F22C9" w14:textId="77777777" w:rsidR="00CD0355" w:rsidRPr="002140B4" w:rsidRDefault="00CD0355" w:rsidP="00CD0355">
            <w:pPr>
              <w:jc w:val="center"/>
              <w:rPr>
                <w:sz w:val="16"/>
                <w:szCs w:val="16"/>
              </w:rPr>
            </w:pPr>
            <w:r w:rsidRPr="002140B4">
              <w:rPr>
                <w:sz w:val="16"/>
                <w:szCs w:val="16"/>
              </w:rPr>
              <w:t>Foundation</w:t>
            </w:r>
          </w:p>
        </w:tc>
        <w:tc>
          <w:tcPr>
            <w:tcW w:w="903" w:type="pct"/>
            <w:vAlign w:val="center"/>
            <w:hideMark/>
          </w:tcPr>
          <w:p w14:paraId="61864585" w14:textId="77777777" w:rsidR="00CD0355" w:rsidRPr="002140B4" w:rsidRDefault="00CD0355" w:rsidP="00CD0355">
            <w:pPr>
              <w:jc w:val="center"/>
              <w:rPr>
                <w:sz w:val="16"/>
                <w:szCs w:val="16"/>
              </w:rPr>
            </w:pPr>
            <w:r w:rsidRPr="002140B4">
              <w:rPr>
                <w:sz w:val="16"/>
                <w:szCs w:val="16"/>
              </w:rPr>
              <w:t>Registered</w:t>
            </w:r>
          </w:p>
        </w:tc>
        <w:tc>
          <w:tcPr>
            <w:tcW w:w="786" w:type="pct"/>
            <w:vAlign w:val="center"/>
            <w:hideMark/>
          </w:tcPr>
          <w:p w14:paraId="7725EA9C" w14:textId="77777777" w:rsidR="00CD0355" w:rsidRPr="002140B4" w:rsidRDefault="00CD0355" w:rsidP="00CD0355">
            <w:pPr>
              <w:jc w:val="center"/>
              <w:rPr>
                <w:sz w:val="16"/>
                <w:szCs w:val="16"/>
              </w:rPr>
            </w:pPr>
            <w:r w:rsidRPr="002140B4">
              <w:rPr>
                <w:sz w:val="16"/>
                <w:szCs w:val="16"/>
              </w:rPr>
              <w:t>Certified</w:t>
            </w:r>
          </w:p>
        </w:tc>
      </w:tr>
      <w:tr w:rsidR="00CD0355" w:rsidRPr="00C94DD4" w14:paraId="29CE4C4B" w14:textId="77777777" w:rsidTr="00CD0355">
        <w:tc>
          <w:tcPr>
            <w:tcW w:w="2344" w:type="pct"/>
            <w:vAlign w:val="center"/>
            <w:hideMark/>
          </w:tcPr>
          <w:p w14:paraId="7ECCF5E0" w14:textId="77777777" w:rsidR="00CD0355" w:rsidRPr="002140B4" w:rsidRDefault="00CD0355" w:rsidP="00CD0355">
            <w:pPr>
              <w:ind w:left="-18"/>
              <w:rPr>
                <w:sz w:val="16"/>
                <w:szCs w:val="16"/>
              </w:rPr>
            </w:pPr>
            <w:r w:rsidRPr="002140B4">
              <w:rPr>
                <w:sz w:val="16"/>
                <w:szCs w:val="16"/>
              </w:rPr>
              <w:t>Pure seed (minimum allowed)</w:t>
            </w:r>
          </w:p>
        </w:tc>
        <w:tc>
          <w:tcPr>
            <w:tcW w:w="967" w:type="pct"/>
            <w:vAlign w:val="center"/>
            <w:hideMark/>
          </w:tcPr>
          <w:p w14:paraId="18019880" w14:textId="77777777" w:rsidR="00CD0355" w:rsidRPr="002140B4" w:rsidRDefault="00CD0355" w:rsidP="00CD0355">
            <w:pPr>
              <w:jc w:val="center"/>
              <w:rPr>
                <w:sz w:val="16"/>
                <w:szCs w:val="16"/>
              </w:rPr>
            </w:pPr>
            <w:r w:rsidRPr="002140B4">
              <w:rPr>
                <w:sz w:val="16"/>
                <w:szCs w:val="16"/>
              </w:rPr>
              <w:t>90.00</w:t>
            </w:r>
            <w:r>
              <w:rPr>
                <w:sz w:val="16"/>
                <w:szCs w:val="16"/>
              </w:rPr>
              <w:t xml:space="preserve"> percent</w:t>
            </w:r>
          </w:p>
        </w:tc>
        <w:tc>
          <w:tcPr>
            <w:tcW w:w="903" w:type="pct"/>
            <w:vAlign w:val="center"/>
            <w:hideMark/>
          </w:tcPr>
          <w:p w14:paraId="10441F60" w14:textId="77777777" w:rsidR="00CD0355" w:rsidRPr="002140B4" w:rsidRDefault="00CD0355" w:rsidP="00CD0355">
            <w:pPr>
              <w:jc w:val="center"/>
              <w:rPr>
                <w:sz w:val="16"/>
                <w:szCs w:val="16"/>
              </w:rPr>
            </w:pPr>
            <w:r w:rsidRPr="002140B4">
              <w:rPr>
                <w:sz w:val="16"/>
                <w:szCs w:val="16"/>
              </w:rPr>
              <w:t>90.00</w:t>
            </w:r>
            <w:r>
              <w:rPr>
                <w:sz w:val="16"/>
                <w:szCs w:val="16"/>
              </w:rPr>
              <w:t xml:space="preserve"> percent</w:t>
            </w:r>
          </w:p>
        </w:tc>
        <w:tc>
          <w:tcPr>
            <w:tcW w:w="786" w:type="pct"/>
            <w:vAlign w:val="center"/>
            <w:hideMark/>
          </w:tcPr>
          <w:p w14:paraId="2074542F" w14:textId="77777777" w:rsidR="00CD0355" w:rsidRPr="002140B4" w:rsidRDefault="00CD0355" w:rsidP="00CD0355">
            <w:pPr>
              <w:jc w:val="center"/>
              <w:rPr>
                <w:sz w:val="16"/>
                <w:szCs w:val="16"/>
              </w:rPr>
            </w:pPr>
            <w:r w:rsidRPr="002140B4">
              <w:rPr>
                <w:sz w:val="16"/>
                <w:szCs w:val="16"/>
              </w:rPr>
              <w:t>90.00</w:t>
            </w:r>
            <w:r>
              <w:rPr>
                <w:sz w:val="16"/>
                <w:szCs w:val="16"/>
              </w:rPr>
              <w:t xml:space="preserve"> percent</w:t>
            </w:r>
          </w:p>
        </w:tc>
      </w:tr>
      <w:tr w:rsidR="00CD0355" w:rsidRPr="00C94DD4" w14:paraId="56F31773" w14:textId="77777777" w:rsidTr="00CD0355">
        <w:tc>
          <w:tcPr>
            <w:tcW w:w="2344" w:type="pct"/>
            <w:vAlign w:val="center"/>
            <w:hideMark/>
          </w:tcPr>
          <w:p w14:paraId="6A519C14" w14:textId="77777777" w:rsidR="00CD0355" w:rsidRPr="002140B4" w:rsidRDefault="00CD0355" w:rsidP="00CD0355">
            <w:pPr>
              <w:ind w:left="-18"/>
              <w:rPr>
                <w:sz w:val="16"/>
                <w:szCs w:val="16"/>
              </w:rPr>
            </w:pPr>
            <w:r w:rsidRPr="002140B4">
              <w:rPr>
                <w:sz w:val="16"/>
                <w:szCs w:val="16"/>
              </w:rPr>
              <w:t>Inert matter (maximum allowed)</w:t>
            </w:r>
          </w:p>
        </w:tc>
        <w:tc>
          <w:tcPr>
            <w:tcW w:w="967" w:type="pct"/>
            <w:vAlign w:val="center"/>
            <w:hideMark/>
          </w:tcPr>
          <w:p w14:paraId="57DDAC5E" w14:textId="77777777" w:rsidR="00CD0355" w:rsidRPr="002140B4" w:rsidRDefault="00CD0355" w:rsidP="00CD0355">
            <w:pPr>
              <w:ind w:right="-108"/>
              <w:jc w:val="center"/>
              <w:rPr>
                <w:sz w:val="16"/>
                <w:szCs w:val="16"/>
              </w:rPr>
            </w:pPr>
            <w:r w:rsidRPr="002140B4">
              <w:rPr>
                <w:sz w:val="16"/>
                <w:szCs w:val="16"/>
              </w:rPr>
              <w:t>10.00</w:t>
            </w:r>
            <w:r>
              <w:rPr>
                <w:sz w:val="16"/>
                <w:szCs w:val="16"/>
              </w:rPr>
              <w:t xml:space="preserve"> percent</w:t>
            </w:r>
          </w:p>
        </w:tc>
        <w:tc>
          <w:tcPr>
            <w:tcW w:w="903" w:type="pct"/>
            <w:vAlign w:val="center"/>
            <w:hideMark/>
          </w:tcPr>
          <w:p w14:paraId="6E2A6AB6" w14:textId="77777777" w:rsidR="00CD0355" w:rsidRPr="002140B4" w:rsidRDefault="00CD0355" w:rsidP="00CD0355">
            <w:pPr>
              <w:jc w:val="center"/>
              <w:rPr>
                <w:sz w:val="16"/>
                <w:szCs w:val="16"/>
              </w:rPr>
            </w:pPr>
            <w:r w:rsidRPr="002140B4">
              <w:rPr>
                <w:sz w:val="16"/>
                <w:szCs w:val="16"/>
              </w:rPr>
              <w:t>10.00</w:t>
            </w:r>
            <w:r>
              <w:rPr>
                <w:sz w:val="16"/>
                <w:szCs w:val="16"/>
              </w:rPr>
              <w:t xml:space="preserve"> percent</w:t>
            </w:r>
          </w:p>
        </w:tc>
        <w:tc>
          <w:tcPr>
            <w:tcW w:w="786" w:type="pct"/>
            <w:vAlign w:val="center"/>
            <w:hideMark/>
          </w:tcPr>
          <w:p w14:paraId="6C4CBCC7" w14:textId="77777777" w:rsidR="00CD0355" w:rsidRPr="002140B4" w:rsidRDefault="00CD0355" w:rsidP="00CD0355">
            <w:pPr>
              <w:jc w:val="center"/>
              <w:rPr>
                <w:sz w:val="16"/>
                <w:szCs w:val="16"/>
              </w:rPr>
            </w:pPr>
            <w:r w:rsidRPr="002140B4">
              <w:rPr>
                <w:sz w:val="16"/>
                <w:szCs w:val="16"/>
              </w:rPr>
              <w:t>10.00</w:t>
            </w:r>
            <w:r>
              <w:rPr>
                <w:sz w:val="16"/>
                <w:szCs w:val="16"/>
              </w:rPr>
              <w:t xml:space="preserve"> percent</w:t>
            </w:r>
          </w:p>
        </w:tc>
      </w:tr>
      <w:tr w:rsidR="00CD0355" w:rsidRPr="00C94DD4" w14:paraId="513ABABE" w14:textId="77777777" w:rsidTr="00CD0355">
        <w:tc>
          <w:tcPr>
            <w:tcW w:w="2344" w:type="pct"/>
            <w:vAlign w:val="center"/>
          </w:tcPr>
          <w:p w14:paraId="46D78C0A" w14:textId="77777777" w:rsidR="00CD0355" w:rsidRPr="002140B4" w:rsidRDefault="00CD0355" w:rsidP="00CD0355">
            <w:pPr>
              <w:ind w:left="-18"/>
              <w:rPr>
                <w:sz w:val="16"/>
                <w:szCs w:val="16"/>
              </w:rPr>
            </w:pPr>
            <w:r w:rsidRPr="002140B4">
              <w:rPr>
                <w:sz w:val="16"/>
                <w:szCs w:val="16"/>
              </w:rPr>
              <w:t>Prohibited weeds (maximum allowed)</w:t>
            </w:r>
            <w:r w:rsidRPr="00D16C7E">
              <w:rPr>
                <w:sz w:val="16"/>
                <w:szCs w:val="16"/>
              </w:rPr>
              <w:t>1</w:t>
            </w:r>
          </w:p>
        </w:tc>
        <w:tc>
          <w:tcPr>
            <w:tcW w:w="967" w:type="pct"/>
            <w:vAlign w:val="center"/>
          </w:tcPr>
          <w:p w14:paraId="56243FBC" w14:textId="77777777" w:rsidR="00CD0355" w:rsidRPr="002140B4" w:rsidRDefault="00CD0355" w:rsidP="00CD0355">
            <w:pPr>
              <w:jc w:val="center"/>
              <w:rPr>
                <w:sz w:val="16"/>
                <w:szCs w:val="16"/>
              </w:rPr>
            </w:pPr>
            <w:r w:rsidRPr="002140B4">
              <w:rPr>
                <w:sz w:val="16"/>
                <w:szCs w:val="16"/>
              </w:rPr>
              <w:t>None</w:t>
            </w:r>
          </w:p>
        </w:tc>
        <w:tc>
          <w:tcPr>
            <w:tcW w:w="903" w:type="pct"/>
            <w:vAlign w:val="center"/>
          </w:tcPr>
          <w:p w14:paraId="47AE02E9" w14:textId="77777777" w:rsidR="00CD0355" w:rsidRPr="002140B4" w:rsidRDefault="00CD0355" w:rsidP="00CD0355">
            <w:pPr>
              <w:jc w:val="center"/>
              <w:rPr>
                <w:sz w:val="16"/>
                <w:szCs w:val="16"/>
              </w:rPr>
            </w:pPr>
            <w:r w:rsidRPr="002140B4">
              <w:rPr>
                <w:sz w:val="16"/>
                <w:szCs w:val="16"/>
              </w:rPr>
              <w:t>None</w:t>
            </w:r>
          </w:p>
        </w:tc>
        <w:tc>
          <w:tcPr>
            <w:tcW w:w="786" w:type="pct"/>
            <w:vAlign w:val="center"/>
          </w:tcPr>
          <w:p w14:paraId="79B288E5" w14:textId="77777777" w:rsidR="00CD0355" w:rsidRPr="002140B4" w:rsidRDefault="00CD0355" w:rsidP="00CD0355">
            <w:pPr>
              <w:jc w:val="center"/>
              <w:rPr>
                <w:sz w:val="16"/>
                <w:szCs w:val="16"/>
              </w:rPr>
            </w:pPr>
            <w:r w:rsidRPr="002140B4">
              <w:rPr>
                <w:sz w:val="16"/>
                <w:szCs w:val="16"/>
              </w:rPr>
              <w:t>None</w:t>
            </w:r>
          </w:p>
        </w:tc>
      </w:tr>
      <w:tr w:rsidR="00CD0355" w:rsidRPr="00C94DD4" w14:paraId="76574F31" w14:textId="77777777" w:rsidTr="00CD0355">
        <w:tc>
          <w:tcPr>
            <w:tcW w:w="2344" w:type="pct"/>
            <w:vAlign w:val="center"/>
            <w:hideMark/>
          </w:tcPr>
          <w:p w14:paraId="551AE71C" w14:textId="77777777" w:rsidR="00CD0355" w:rsidRPr="002140B4" w:rsidRDefault="00CD0355" w:rsidP="00CD0355">
            <w:pPr>
              <w:ind w:left="-18"/>
              <w:rPr>
                <w:sz w:val="16"/>
                <w:szCs w:val="16"/>
              </w:rPr>
            </w:pPr>
            <w:r w:rsidRPr="002140B4">
              <w:rPr>
                <w:sz w:val="16"/>
                <w:szCs w:val="16"/>
              </w:rPr>
              <w:t>Weed seed (maximum allowed)</w:t>
            </w:r>
            <w:r w:rsidRPr="00D16C7E">
              <w:rPr>
                <w:sz w:val="16"/>
                <w:szCs w:val="16"/>
              </w:rPr>
              <w:t>2</w:t>
            </w:r>
          </w:p>
        </w:tc>
        <w:tc>
          <w:tcPr>
            <w:tcW w:w="967" w:type="pct"/>
            <w:vAlign w:val="center"/>
            <w:hideMark/>
          </w:tcPr>
          <w:p w14:paraId="04210015" w14:textId="77777777"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903" w:type="pct"/>
            <w:vAlign w:val="center"/>
            <w:hideMark/>
          </w:tcPr>
          <w:p w14:paraId="010CD01E" w14:textId="77777777"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786" w:type="pct"/>
            <w:vAlign w:val="center"/>
            <w:hideMark/>
          </w:tcPr>
          <w:p w14:paraId="6398C1FF" w14:textId="77777777" w:rsidR="00CD0355" w:rsidRPr="002140B4" w:rsidRDefault="00CD0355" w:rsidP="00CD0355">
            <w:pPr>
              <w:jc w:val="center"/>
              <w:rPr>
                <w:sz w:val="16"/>
                <w:szCs w:val="16"/>
              </w:rPr>
            </w:pPr>
            <w:r w:rsidRPr="002140B4">
              <w:rPr>
                <w:sz w:val="16"/>
                <w:szCs w:val="16"/>
              </w:rPr>
              <w:t>0.01</w:t>
            </w:r>
            <w:r>
              <w:rPr>
                <w:sz w:val="16"/>
                <w:szCs w:val="16"/>
              </w:rPr>
              <w:t xml:space="preserve"> percent</w:t>
            </w:r>
          </w:p>
        </w:tc>
      </w:tr>
      <w:tr w:rsidR="00CD0355" w:rsidRPr="00C94DD4" w14:paraId="11914A83" w14:textId="77777777" w:rsidTr="00CD0355">
        <w:tc>
          <w:tcPr>
            <w:tcW w:w="2344" w:type="pct"/>
            <w:vAlign w:val="center"/>
            <w:hideMark/>
          </w:tcPr>
          <w:p w14:paraId="0E860443" w14:textId="77777777" w:rsidR="00CD0355" w:rsidRPr="002140B4" w:rsidRDefault="00CD0355" w:rsidP="00CD0355">
            <w:pPr>
              <w:ind w:left="-18"/>
              <w:rPr>
                <w:sz w:val="16"/>
                <w:szCs w:val="16"/>
              </w:rPr>
            </w:pPr>
            <w:r w:rsidRPr="002140B4">
              <w:rPr>
                <w:sz w:val="16"/>
                <w:szCs w:val="16"/>
              </w:rPr>
              <w:t>Other kinds including other varieties (maximum allowed)</w:t>
            </w:r>
            <w:r w:rsidRPr="00D16C7E">
              <w:rPr>
                <w:sz w:val="16"/>
                <w:szCs w:val="16"/>
              </w:rPr>
              <w:t>3</w:t>
            </w:r>
          </w:p>
        </w:tc>
        <w:tc>
          <w:tcPr>
            <w:tcW w:w="967" w:type="pct"/>
            <w:vAlign w:val="center"/>
            <w:hideMark/>
          </w:tcPr>
          <w:p w14:paraId="465E42C0" w14:textId="77777777" w:rsidR="00CD0355" w:rsidRPr="002140B4" w:rsidRDefault="00CD0355" w:rsidP="00CD0355">
            <w:pPr>
              <w:jc w:val="center"/>
              <w:rPr>
                <w:sz w:val="16"/>
                <w:szCs w:val="16"/>
              </w:rPr>
            </w:pPr>
            <w:r w:rsidRPr="002140B4">
              <w:rPr>
                <w:sz w:val="16"/>
                <w:szCs w:val="16"/>
              </w:rPr>
              <w:t>None</w:t>
            </w:r>
          </w:p>
        </w:tc>
        <w:tc>
          <w:tcPr>
            <w:tcW w:w="903" w:type="pct"/>
            <w:vAlign w:val="center"/>
            <w:hideMark/>
          </w:tcPr>
          <w:p w14:paraId="2933935F" w14:textId="77777777" w:rsidR="00CD0355" w:rsidRPr="002140B4" w:rsidRDefault="00CD0355" w:rsidP="00CD0355">
            <w:pPr>
              <w:jc w:val="center"/>
              <w:rPr>
                <w:sz w:val="16"/>
                <w:szCs w:val="16"/>
              </w:rPr>
            </w:pPr>
            <w:r w:rsidRPr="002140B4">
              <w:rPr>
                <w:sz w:val="16"/>
                <w:szCs w:val="16"/>
              </w:rPr>
              <w:t>0.21</w:t>
            </w:r>
            <w:r>
              <w:rPr>
                <w:sz w:val="16"/>
                <w:szCs w:val="16"/>
              </w:rPr>
              <w:t xml:space="preserve"> percent</w:t>
            </w:r>
          </w:p>
        </w:tc>
        <w:tc>
          <w:tcPr>
            <w:tcW w:w="786" w:type="pct"/>
            <w:vAlign w:val="center"/>
            <w:hideMark/>
          </w:tcPr>
          <w:p w14:paraId="3AA97243" w14:textId="77777777" w:rsidR="00CD0355" w:rsidRPr="002140B4" w:rsidRDefault="00CD0355" w:rsidP="00CD0355">
            <w:pPr>
              <w:jc w:val="center"/>
              <w:rPr>
                <w:sz w:val="16"/>
                <w:szCs w:val="16"/>
              </w:rPr>
            </w:pPr>
            <w:r w:rsidRPr="002140B4">
              <w:rPr>
                <w:sz w:val="16"/>
                <w:szCs w:val="16"/>
              </w:rPr>
              <w:t>0.52</w:t>
            </w:r>
            <w:r>
              <w:rPr>
                <w:sz w:val="16"/>
                <w:szCs w:val="16"/>
              </w:rPr>
              <w:t xml:space="preserve"> percent</w:t>
            </w:r>
          </w:p>
        </w:tc>
      </w:tr>
      <w:tr w:rsidR="00CD0355" w:rsidRPr="00C94DD4" w14:paraId="4BFC4F2D" w14:textId="77777777" w:rsidTr="00CD0355">
        <w:tc>
          <w:tcPr>
            <w:tcW w:w="2344" w:type="pct"/>
            <w:vAlign w:val="center"/>
            <w:hideMark/>
          </w:tcPr>
          <w:p w14:paraId="0DE432B9" w14:textId="77777777" w:rsidR="00CD0355" w:rsidRPr="002140B4" w:rsidRDefault="00CD0355" w:rsidP="00CD0355">
            <w:pPr>
              <w:ind w:left="-18"/>
              <w:rPr>
                <w:sz w:val="16"/>
                <w:szCs w:val="16"/>
              </w:rPr>
            </w:pPr>
            <w:r w:rsidRPr="002140B4">
              <w:rPr>
                <w:sz w:val="16"/>
                <w:szCs w:val="16"/>
              </w:rPr>
              <w:t>Other kinds (maximum allowed)</w:t>
            </w:r>
          </w:p>
        </w:tc>
        <w:tc>
          <w:tcPr>
            <w:tcW w:w="967" w:type="pct"/>
            <w:vAlign w:val="center"/>
            <w:hideMark/>
          </w:tcPr>
          <w:p w14:paraId="067AA05A" w14:textId="77777777" w:rsidR="00CD0355" w:rsidRPr="002140B4" w:rsidRDefault="00CD0355" w:rsidP="00CD0355">
            <w:pPr>
              <w:jc w:val="center"/>
              <w:rPr>
                <w:sz w:val="16"/>
                <w:szCs w:val="16"/>
              </w:rPr>
            </w:pPr>
            <w:r w:rsidRPr="002140B4">
              <w:rPr>
                <w:sz w:val="16"/>
                <w:szCs w:val="16"/>
              </w:rPr>
              <w:t>None</w:t>
            </w:r>
          </w:p>
        </w:tc>
        <w:tc>
          <w:tcPr>
            <w:tcW w:w="903" w:type="pct"/>
            <w:vAlign w:val="center"/>
            <w:hideMark/>
          </w:tcPr>
          <w:p w14:paraId="29665891" w14:textId="77777777"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786" w:type="pct"/>
            <w:vAlign w:val="center"/>
            <w:hideMark/>
          </w:tcPr>
          <w:p w14:paraId="56606B2C" w14:textId="77777777" w:rsidR="00CD0355" w:rsidRPr="002140B4" w:rsidRDefault="00CD0355" w:rsidP="00CD0355">
            <w:pPr>
              <w:jc w:val="center"/>
              <w:rPr>
                <w:sz w:val="16"/>
                <w:szCs w:val="16"/>
              </w:rPr>
            </w:pPr>
            <w:r w:rsidRPr="002140B4">
              <w:rPr>
                <w:sz w:val="16"/>
                <w:szCs w:val="16"/>
              </w:rPr>
              <w:t>0.02</w:t>
            </w:r>
            <w:r>
              <w:rPr>
                <w:sz w:val="16"/>
                <w:szCs w:val="16"/>
              </w:rPr>
              <w:t xml:space="preserve"> percent</w:t>
            </w:r>
          </w:p>
        </w:tc>
      </w:tr>
      <w:tr w:rsidR="00CD0355" w:rsidRPr="00C94DD4" w14:paraId="4AEDFC67" w14:textId="77777777" w:rsidTr="00CD0355">
        <w:tc>
          <w:tcPr>
            <w:tcW w:w="2344" w:type="pct"/>
            <w:vAlign w:val="center"/>
            <w:hideMark/>
          </w:tcPr>
          <w:p w14:paraId="2976432C" w14:textId="77777777" w:rsidR="00CD0355" w:rsidRPr="002140B4" w:rsidRDefault="00CD0355" w:rsidP="00CD0355">
            <w:pPr>
              <w:ind w:left="-18"/>
              <w:rPr>
                <w:sz w:val="16"/>
                <w:szCs w:val="16"/>
              </w:rPr>
            </w:pPr>
            <w:r w:rsidRPr="002140B4">
              <w:rPr>
                <w:sz w:val="16"/>
                <w:szCs w:val="16"/>
              </w:rPr>
              <w:t>Other varieties (maximum allowed)</w:t>
            </w:r>
          </w:p>
        </w:tc>
        <w:tc>
          <w:tcPr>
            <w:tcW w:w="967" w:type="pct"/>
            <w:vAlign w:val="center"/>
            <w:hideMark/>
          </w:tcPr>
          <w:p w14:paraId="38FBAFF3" w14:textId="77777777" w:rsidR="00CD0355" w:rsidRPr="002140B4" w:rsidRDefault="00CD0355" w:rsidP="00CD0355">
            <w:pPr>
              <w:jc w:val="center"/>
              <w:rPr>
                <w:sz w:val="16"/>
                <w:szCs w:val="16"/>
              </w:rPr>
            </w:pPr>
            <w:r w:rsidRPr="002140B4">
              <w:rPr>
                <w:sz w:val="16"/>
                <w:szCs w:val="16"/>
              </w:rPr>
              <w:t>None</w:t>
            </w:r>
          </w:p>
        </w:tc>
        <w:tc>
          <w:tcPr>
            <w:tcW w:w="903" w:type="pct"/>
            <w:vAlign w:val="center"/>
            <w:hideMark/>
          </w:tcPr>
          <w:p w14:paraId="2A99C343" w14:textId="77777777" w:rsidR="00CD0355" w:rsidRPr="002140B4" w:rsidRDefault="00CD0355" w:rsidP="00CD0355">
            <w:pPr>
              <w:jc w:val="center"/>
              <w:rPr>
                <w:sz w:val="16"/>
                <w:szCs w:val="16"/>
              </w:rPr>
            </w:pPr>
            <w:r w:rsidRPr="002140B4">
              <w:rPr>
                <w:sz w:val="16"/>
                <w:szCs w:val="16"/>
              </w:rPr>
              <w:t>0.20</w:t>
            </w:r>
            <w:r>
              <w:rPr>
                <w:sz w:val="16"/>
                <w:szCs w:val="16"/>
              </w:rPr>
              <w:t xml:space="preserve"> percent</w:t>
            </w:r>
          </w:p>
        </w:tc>
        <w:tc>
          <w:tcPr>
            <w:tcW w:w="786" w:type="pct"/>
            <w:vAlign w:val="center"/>
            <w:hideMark/>
          </w:tcPr>
          <w:p w14:paraId="67E4ADD7" w14:textId="77777777" w:rsidR="00CD0355" w:rsidRPr="002140B4" w:rsidRDefault="00CD0355" w:rsidP="00CD0355">
            <w:pPr>
              <w:jc w:val="center"/>
              <w:rPr>
                <w:sz w:val="16"/>
                <w:szCs w:val="16"/>
              </w:rPr>
            </w:pPr>
            <w:r w:rsidRPr="002140B4">
              <w:rPr>
                <w:sz w:val="16"/>
                <w:szCs w:val="16"/>
              </w:rPr>
              <w:t>0.50</w:t>
            </w:r>
            <w:r>
              <w:rPr>
                <w:sz w:val="16"/>
                <w:szCs w:val="16"/>
              </w:rPr>
              <w:t xml:space="preserve"> percent</w:t>
            </w:r>
          </w:p>
        </w:tc>
      </w:tr>
      <w:tr w:rsidR="00CD0355" w:rsidRPr="00C94DD4" w14:paraId="7BB7143E" w14:textId="77777777" w:rsidTr="00CD0355">
        <w:tc>
          <w:tcPr>
            <w:tcW w:w="2344" w:type="pct"/>
            <w:vAlign w:val="center"/>
            <w:hideMark/>
          </w:tcPr>
          <w:p w14:paraId="26F8D974" w14:textId="77777777" w:rsidR="00CD0355" w:rsidRPr="002140B4" w:rsidRDefault="00CD0355" w:rsidP="00CD0355">
            <w:pPr>
              <w:ind w:left="-18"/>
              <w:rPr>
                <w:sz w:val="16"/>
                <w:szCs w:val="16"/>
              </w:rPr>
            </w:pPr>
            <w:r w:rsidRPr="002140B4">
              <w:rPr>
                <w:sz w:val="16"/>
                <w:szCs w:val="16"/>
              </w:rPr>
              <w:t>Germination (minimum allowed)</w:t>
            </w:r>
          </w:p>
        </w:tc>
        <w:tc>
          <w:tcPr>
            <w:tcW w:w="967" w:type="pct"/>
            <w:vAlign w:val="center"/>
            <w:hideMark/>
          </w:tcPr>
          <w:p w14:paraId="33BB0F68" w14:textId="77777777" w:rsidR="00CD0355" w:rsidRPr="002140B4" w:rsidRDefault="00CD0355" w:rsidP="00CD0355">
            <w:pPr>
              <w:jc w:val="center"/>
              <w:rPr>
                <w:sz w:val="16"/>
                <w:szCs w:val="16"/>
              </w:rPr>
            </w:pPr>
            <w:r w:rsidRPr="002140B4">
              <w:rPr>
                <w:sz w:val="16"/>
                <w:szCs w:val="16"/>
              </w:rPr>
              <w:t>75.00</w:t>
            </w:r>
            <w:r>
              <w:rPr>
                <w:sz w:val="16"/>
                <w:szCs w:val="16"/>
              </w:rPr>
              <w:t xml:space="preserve"> percent</w:t>
            </w:r>
          </w:p>
        </w:tc>
        <w:tc>
          <w:tcPr>
            <w:tcW w:w="903" w:type="pct"/>
            <w:vAlign w:val="center"/>
            <w:hideMark/>
          </w:tcPr>
          <w:p w14:paraId="2A4AE193" w14:textId="77777777" w:rsidR="00CD0355" w:rsidRPr="002140B4" w:rsidRDefault="00CD0355" w:rsidP="00CD0355">
            <w:pPr>
              <w:jc w:val="center"/>
              <w:rPr>
                <w:sz w:val="16"/>
                <w:szCs w:val="16"/>
              </w:rPr>
            </w:pPr>
            <w:r w:rsidRPr="002140B4">
              <w:rPr>
                <w:sz w:val="16"/>
                <w:szCs w:val="16"/>
              </w:rPr>
              <w:t>75.00</w:t>
            </w:r>
            <w:r>
              <w:rPr>
                <w:sz w:val="16"/>
                <w:szCs w:val="16"/>
              </w:rPr>
              <w:t xml:space="preserve"> percent</w:t>
            </w:r>
          </w:p>
        </w:tc>
        <w:tc>
          <w:tcPr>
            <w:tcW w:w="786" w:type="pct"/>
            <w:vAlign w:val="center"/>
            <w:hideMark/>
          </w:tcPr>
          <w:p w14:paraId="15BC813F" w14:textId="77777777" w:rsidR="00CD0355" w:rsidRPr="002140B4" w:rsidRDefault="00CD0355" w:rsidP="00CD0355">
            <w:pPr>
              <w:jc w:val="center"/>
              <w:rPr>
                <w:sz w:val="16"/>
                <w:szCs w:val="16"/>
              </w:rPr>
            </w:pPr>
            <w:r w:rsidRPr="002140B4">
              <w:rPr>
                <w:sz w:val="16"/>
                <w:szCs w:val="16"/>
              </w:rPr>
              <w:t>75.00</w:t>
            </w:r>
            <w:r>
              <w:rPr>
                <w:sz w:val="16"/>
                <w:szCs w:val="16"/>
              </w:rPr>
              <w:t xml:space="preserve"> percent</w:t>
            </w:r>
          </w:p>
        </w:tc>
      </w:tr>
    </w:tbl>
    <w:p w14:paraId="39907DDE" w14:textId="77777777" w:rsidR="00CD0355" w:rsidRPr="00273045" w:rsidRDefault="00CD0355" w:rsidP="00CD0355">
      <w:pPr>
        <w:pStyle w:val="RegDoubleIndent"/>
        <w:rPr>
          <w:sz w:val="16"/>
          <w:szCs w:val="16"/>
        </w:rPr>
      </w:pPr>
      <w:r w:rsidRPr="00273045">
        <w:rPr>
          <w:sz w:val="16"/>
          <w:szCs w:val="16"/>
          <w:vertAlign w:val="superscript"/>
        </w:rPr>
        <w:t>1</w:t>
      </w:r>
      <w:r>
        <w:rPr>
          <w:sz w:val="16"/>
          <w:szCs w:val="16"/>
        </w:rPr>
        <w:t>Refer to Section §109</w:t>
      </w:r>
    </w:p>
    <w:p w14:paraId="7739847D" w14:textId="77777777" w:rsidR="00CD0355" w:rsidRPr="00273045" w:rsidRDefault="00CD0355" w:rsidP="00CD0355">
      <w:pPr>
        <w:pStyle w:val="RegDoubleIndent"/>
        <w:rPr>
          <w:sz w:val="16"/>
          <w:szCs w:val="16"/>
        </w:rPr>
      </w:pPr>
      <w:r w:rsidRPr="00273045">
        <w:rPr>
          <w:sz w:val="16"/>
          <w:szCs w:val="16"/>
          <w:vertAlign w:val="superscript"/>
        </w:rPr>
        <w:t>2</w:t>
      </w:r>
      <w:r w:rsidRPr="00273045">
        <w:rPr>
          <w:sz w:val="16"/>
          <w:szCs w:val="16"/>
        </w:rPr>
        <w:t xml:space="preserve">Total weed seed shall not exceed five seeds per lb. </w:t>
      </w:r>
    </w:p>
    <w:p w14:paraId="749C9D41" w14:textId="77777777" w:rsidR="00CD0355" w:rsidRPr="00273045" w:rsidRDefault="00CD0355" w:rsidP="00CD0355">
      <w:pPr>
        <w:pStyle w:val="RegDoubleIndent"/>
        <w:spacing w:after="120"/>
        <w:rPr>
          <w:sz w:val="16"/>
          <w:szCs w:val="16"/>
        </w:rPr>
      </w:pPr>
      <w:r w:rsidRPr="00273045">
        <w:rPr>
          <w:sz w:val="16"/>
          <w:szCs w:val="16"/>
          <w:vertAlign w:val="superscript"/>
        </w:rPr>
        <w:t>3</w:t>
      </w:r>
      <w:r w:rsidRPr="00273045">
        <w:rPr>
          <w:sz w:val="16"/>
          <w:szCs w:val="16"/>
        </w:rPr>
        <w:t>Other kinds shall not exceed two seeds per lb. for Foundation; two seeds per lb. for Registered; three seeds per lb. for Certified.</w:t>
      </w:r>
    </w:p>
    <w:p w14:paraId="3749AB8B" w14:textId="77777777" w:rsidR="00CD0355" w:rsidRPr="00B265BE" w:rsidRDefault="00CD0355" w:rsidP="00CD0355">
      <w:pPr>
        <w:pStyle w:val="AuthorityNote"/>
      </w:pPr>
      <w:r w:rsidRPr="00B265BE">
        <w:t>AUTHORITY NOTE:</w:t>
      </w:r>
      <w:r w:rsidRPr="00B265BE">
        <w:tab/>
        <w:t>Promulgated in accordance with R.S. 3:1433.</w:t>
      </w:r>
    </w:p>
    <w:p w14:paraId="2046C0C0" w14:textId="77777777" w:rsidR="00CD0355" w:rsidRPr="000D43FA" w:rsidRDefault="00CD0355" w:rsidP="00CD0355">
      <w:pPr>
        <w:pStyle w:val="HistoricalNote"/>
      </w:pPr>
      <w:r w:rsidRPr="000D43FA">
        <w:t>HISTORICAL NOTE:</w:t>
      </w:r>
      <w:r w:rsidRPr="000D43FA">
        <w:tab/>
        <w:t>Promulgated by the Department of Agriculture and Forestry, Office of Agricultural and Environmental Sciences, Agricultural Chemistry and Seed Commission, LR 41:913 (May 2015).</w:t>
      </w:r>
    </w:p>
    <w:p w14:paraId="555D43A4" w14:textId="77777777" w:rsidR="00CD0355" w:rsidRDefault="00CD0355" w:rsidP="00CD0355">
      <w:pPr>
        <w:pStyle w:val="Section"/>
      </w:pPr>
      <w:bookmarkStart w:id="1183" w:name="_Toc419795544"/>
      <w:bookmarkStart w:id="1184" w:name="_Toc427736932"/>
      <w:bookmarkStart w:id="1185" w:name="_Toc438546732"/>
      <w:bookmarkStart w:id="1186" w:name="_Toc446326719"/>
      <w:bookmarkStart w:id="1187" w:name="_Toc448824909"/>
      <w:bookmarkStart w:id="1188" w:name="_Toc451505953"/>
      <w:bookmarkStart w:id="1189" w:name="_Toc462212376"/>
      <w:bookmarkStart w:id="1190" w:name="_Toc468096296"/>
      <w:bookmarkStart w:id="1191" w:name="_Toc477853776"/>
      <w:bookmarkStart w:id="1192" w:name="_Toc488735720"/>
      <w:bookmarkStart w:id="1193" w:name="_Toc491176537"/>
      <w:bookmarkStart w:id="1194" w:name="_Toc509393460"/>
      <w:bookmarkStart w:id="1195" w:name="_Toc525114627"/>
      <w:bookmarkStart w:id="1196" w:name="_Toc535997024"/>
      <w:bookmarkStart w:id="1197" w:name="_Toc224818823"/>
      <w:r w:rsidRPr="001531CD">
        <w:t>§§76</w:t>
      </w:r>
      <w:r>
        <w:t>9</w:t>
      </w:r>
      <w:r w:rsidRPr="001531CD">
        <w:t>-779.</w:t>
      </w:r>
      <w:r w:rsidRPr="001531CD">
        <w:tab/>
        <w:t>Reserved</w:t>
      </w:r>
      <w:bookmarkEnd w:id="1176"/>
      <w:r>
        <w:t>.</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75F8C5C3" w14:textId="77777777" w:rsidR="00CD0355" w:rsidRPr="001531CD" w:rsidRDefault="00CD0355" w:rsidP="00CD0355">
      <w:pPr>
        <w:pStyle w:val="Chapter"/>
      </w:pPr>
      <w:bookmarkStart w:id="1198" w:name="_Toc224818824"/>
      <w:r w:rsidRPr="001531CD">
        <w:t>Subchapter C.</w:t>
      </w:r>
      <w:r w:rsidRPr="001531CD">
        <w:tab/>
        <w:t>Fruits and Vegetables</w:t>
      </w:r>
      <w:bookmarkEnd w:id="1198"/>
      <w:r w:rsidRPr="001531CD">
        <w:t xml:space="preserve"> </w:t>
      </w:r>
    </w:p>
    <w:p w14:paraId="63C7CC37" w14:textId="77777777" w:rsidR="00CD0355" w:rsidRPr="001531CD" w:rsidRDefault="00CD0355" w:rsidP="00CD0355">
      <w:pPr>
        <w:pStyle w:val="Section"/>
      </w:pPr>
      <w:bookmarkStart w:id="1199" w:name="_Toc224818825"/>
      <w:r w:rsidRPr="001531CD">
        <w:t>§781.</w:t>
      </w:r>
      <w:r w:rsidRPr="001531CD">
        <w:tab/>
        <w:t>Okra Seed Certification Standards</w:t>
      </w:r>
      <w:bookmarkEnd w:id="1199"/>
      <w:r w:rsidRPr="001531CD">
        <w:t xml:space="preserve"> </w:t>
      </w:r>
    </w:p>
    <w:p w14:paraId="02F235EC" w14:textId="77777777" w:rsidR="00CD0355" w:rsidRPr="001531CD" w:rsidRDefault="00CD0355" w:rsidP="00CD0355">
      <w:pPr>
        <w:pStyle w:val="A"/>
      </w:pPr>
      <w:r w:rsidRPr="001531CD">
        <w:t>A.</w:t>
      </w:r>
      <w:r w:rsidRPr="001531CD">
        <w:tab/>
        <w:t>Field Standards</w:t>
      </w:r>
    </w:p>
    <w:tbl>
      <w:tblPr>
        <w:tblW w:w="503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72"/>
        <w:gridCol w:w="1080"/>
        <w:gridCol w:w="1466"/>
        <w:gridCol w:w="914"/>
      </w:tblGrid>
      <w:tr w:rsidR="00CD0355" w:rsidRPr="001531CD" w14:paraId="2A00743C" w14:textId="77777777" w:rsidTr="00CD0355">
        <w:trPr>
          <w:cantSplit/>
          <w:jc w:val="center"/>
        </w:trPr>
        <w:tc>
          <w:tcPr>
            <w:tcW w:w="1572" w:type="dxa"/>
            <w:tcBorders>
              <w:top w:val="double" w:sz="6" w:space="0" w:color="000000"/>
              <w:bottom w:val="single" w:sz="6" w:space="0" w:color="000000"/>
            </w:tcBorders>
            <w:shd w:val="clear" w:color="auto" w:fill="BFBFBF"/>
          </w:tcPr>
          <w:p w14:paraId="210B4D58"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tcPr>
          <w:p w14:paraId="49A2DBB3"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466" w:type="dxa"/>
            <w:tcBorders>
              <w:top w:val="double" w:sz="6" w:space="0" w:color="000000"/>
              <w:bottom w:val="single" w:sz="6" w:space="0" w:color="000000"/>
            </w:tcBorders>
            <w:shd w:val="clear" w:color="auto" w:fill="BFBFBF"/>
          </w:tcPr>
          <w:p w14:paraId="07D32B63"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14" w:type="dxa"/>
            <w:tcBorders>
              <w:top w:val="double" w:sz="6" w:space="0" w:color="000000"/>
              <w:bottom w:val="single" w:sz="6" w:space="0" w:color="000000"/>
            </w:tcBorders>
            <w:shd w:val="clear" w:color="auto" w:fill="BFBFBF"/>
          </w:tcPr>
          <w:p w14:paraId="4B3421C6" w14:textId="77777777" w:rsidR="00CD0355" w:rsidRPr="001531CD" w:rsidRDefault="00CD0355" w:rsidP="00CD0355">
            <w:pPr>
              <w:tabs>
                <w:tab w:val="left" w:pos="180"/>
                <w:tab w:val="left" w:pos="360"/>
              </w:tabs>
              <w:ind w:right="14"/>
              <w:jc w:val="center"/>
              <w:rPr>
                <w:b/>
                <w:bCs/>
                <w:sz w:val="16"/>
                <w:szCs w:val="16"/>
              </w:rPr>
            </w:pPr>
            <w:r w:rsidRPr="001531CD">
              <w:rPr>
                <w:b/>
                <w:bCs/>
                <w:sz w:val="16"/>
                <w:szCs w:val="16"/>
              </w:rPr>
              <w:t>Certified</w:t>
            </w:r>
          </w:p>
        </w:tc>
      </w:tr>
      <w:tr w:rsidR="00CD0355" w:rsidRPr="001531CD" w14:paraId="178B676D" w14:textId="77777777" w:rsidTr="00CD0355">
        <w:trPr>
          <w:cantSplit/>
          <w:jc w:val="center"/>
        </w:trPr>
        <w:tc>
          <w:tcPr>
            <w:tcW w:w="1572" w:type="dxa"/>
            <w:tcBorders>
              <w:top w:val="single" w:sz="6" w:space="0" w:color="000000"/>
            </w:tcBorders>
            <w:tcMar>
              <w:left w:w="43" w:type="dxa"/>
              <w:right w:w="115" w:type="dxa"/>
            </w:tcMar>
          </w:tcPr>
          <w:p w14:paraId="6E77EA53" w14:textId="77777777" w:rsidR="00CD0355" w:rsidRPr="001531CD" w:rsidRDefault="00CD0355" w:rsidP="00CD0355">
            <w:pPr>
              <w:tabs>
                <w:tab w:val="left" w:pos="360"/>
              </w:tabs>
              <w:ind w:left="68"/>
              <w:rPr>
                <w:sz w:val="16"/>
                <w:szCs w:val="16"/>
              </w:rPr>
            </w:pPr>
            <w:r w:rsidRPr="001531CD">
              <w:rPr>
                <w:sz w:val="16"/>
                <w:szCs w:val="16"/>
              </w:rPr>
              <w:t>*Land Requirement</w:t>
            </w:r>
          </w:p>
        </w:tc>
        <w:tc>
          <w:tcPr>
            <w:tcW w:w="1080" w:type="dxa"/>
            <w:tcBorders>
              <w:top w:val="single" w:sz="6" w:space="0" w:color="000000"/>
            </w:tcBorders>
          </w:tcPr>
          <w:p w14:paraId="09656BC4" w14:textId="77777777" w:rsidR="00CD0355" w:rsidRPr="001531CD" w:rsidRDefault="00CD0355" w:rsidP="00CD0355">
            <w:pPr>
              <w:tabs>
                <w:tab w:val="left" w:pos="180"/>
                <w:tab w:val="left" w:pos="360"/>
              </w:tabs>
              <w:ind w:left="68"/>
              <w:jc w:val="center"/>
              <w:rPr>
                <w:sz w:val="16"/>
                <w:szCs w:val="16"/>
              </w:rPr>
            </w:pPr>
            <w:r w:rsidRPr="001531CD">
              <w:rPr>
                <w:sz w:val="16"/>
                <w:szCs w:val="16"/>
              </w:rPr>
              <w:t>1 yr.</w:t>
            </w:r>
          </w:p>
        </w:tc>
        <w:tc>
          <w:tcPr>
            <w:tcW w:w="1466" w:type="dxa"/>
            <w:tcBorders>
              <w:top w:val="single" w:sz="6" w:space="0" w:color="000000"/>
            </w:tcBorders>
          </w:tcPr>
          <w:p w14:paraId="12E3EA30" w14:textId="77777777" w:rsidR="00CD0355" w:rsidRPr="001531CD" w:rsidRDefault="00CD0355" w:rsidP="00CD0355">
            <w:pPr>
              <w:tabs>
                <w:tab w:val="left" w:pos="180"/>
                <w:tab w:val="left" w:pos="360"/>
              </w:tabs>
              <w:ind w:left="68"/>
              <w:jc w:val="center"/>
              <w:rPr>
                <w:sz w:val="16"/>
                <w:szCs w:val="16"/>
              </w:rPr>
            </w:pPr>
            <w:r w:rsidRPr="001531CD">
              <w:rPr>
                <w:sz w:val="16"/>
                <w:szCs w:val="16"/>
              </w:rPr>
              <w:t>1 yr.</w:t>
            </w:r>
          </w:p>
        </w:tc>
        <w:tc>
          <w:tcPr>
            <w:tcW w:w="914" w:type="dxa"/>
            <w:tcBorders>
              <w:top w:val="single" w:sz="6" w:space="0" w:color="000000"/>
            </w:tcBorders>
          </w:tcPr>
          <w:p w14:paraId="4C9BFED1" w14:textId="77777777" w:rsidR="00CD0355" w:rsidRPr="001531CD" w:rsidRDefault="00CD0355" w:rsidP="00CD0355">
            <w:pPr>
              <w:tabs>
                <w:tab w:val="left" w:pos="180"/>
                <w:tab w:val="left" w:pos="360"/>
              </w:tabs>
              <w:ind w:left="68" w:right="14"/>
              <w:jc w:val="center"/>
              <w:rPr>
                <w:sz w:val="16"/>
                <w:szCs w:val="16"/>
              </w:rPr>
            </w:pPr>
            <w:r w:rsidRPr="001531CD">
              <w:rPr>
                <w:sz w:val="16"/>
                <w:szCs w:val="16"/>
              </w:rPr>
              <w:t>1 yr.</w:t>
            </w:r>
          </w:p>
        </w:tc>
      </w:tr>
      <w:tr w:rsidR="00CD0355" w:rsidRPr="001531CD" w14:paraId="2118265F" w14:textId="77777777" w:rsidTr="00CD0355">
        <w:trPr>
          <w:cantSplit/>
          <w:jc w:val="center"/>
        </w:trPr>
        <w:tc>
          <w:tcPr>
            <w:tcW w:w="1572" w:type="dxa"/>
          </w:tcPr>
          <w:p w14:paraId="5A0B8FB8" w14:textId="77777777" w:rsidR="00CD0355" w:rsidRPr="001531CD" w:rsidRDefault="00CD0355" w:rsidP="00CD0355">
            <w:pPr>
              <w:tabs>
                <w:tab w:val="left" w:pos="68"/>
                <w:tab w:val="left" w:pos="360"/>
              </w:tabs>
              <w:ind w:left="68"/>
              <w:rPr>
                <w:sz w:val="16"/>
                <w:szCs w:val="16"/>
              </w:rPr>
            </w:pPr>
            <w:r w:rsidRPr="001531CD">
              <w:rPr>
                <w:sz w:val="16"/>
                <w:szCs w:val="16"/>
              </w:rPr>
              <w:t>Isolation</w:t>
            </w:r>
          </w:p>
        </w:tc>
        <w:tc>
          <w:tcPr>
            <w:tcW w:w="1080" w:type="dxa"/>
          </w:tcPr>
          <w:p w14:paraId="08957EDB" w14:textId="77777777" w:rsidR="00CD0355" w:rsidRPr="001531CD" w:rsidRDefault="00CD0355" w:rsidP="00CD0355">
            <w:pPr>
              <w:tabs>
                <w:tab w:val="left" w:pos="180"/>
                <w:tab w:val="left" w:pos="360"/>
              </w:tabs>
              <w:ind w:left="68"/>
              <w:jc w:val="center"/>
              <w:rPr>
                <w:sz w:val="16"/>
                <w:szCs w:val="16"/>
              </w:rPr>
            </w:pPr>
            <w:r w:rsidRPr="001531CD">
              <w:rPr>
                <w:sz w:val="16"/>
                <w:szCs w:val="16"/>
              </w:rPr>
              <w:t>1,320 ft.</w:t>
            </w:r>
          </w:p>
        </w:tc>
        <w:tc>
          <w:tcPr>
            <w:tcW w:w="1466" w:type="dxa"/>
          </w:tcPr>
          <w:p w14:paraId="6A305872" w14:textId="77777777" w:rsidR="00CD0355" w:rsidRPr="001531CD" w:rsidRDefault="00CD0355" w:rsidP="00CD0355">
            <w:pPr>
              <w:tabs>
                <w:tab w:val="left" w:pos="180"/>
                <w:tab w:val="left" w:pos="360"/>
              </w:tabs>
              <w:ind w:left="68"/>
              <w:jc w:val="center"/>
              <w:rPr>
                <w:sz w:val="16"/>
                <w:szCs w:val="16"/>
              </w:rPr>
            </w:pPr>
            <w:r w:rsidRPr="001531CD">
              <w:rPr>
                <w:sz w:val="16"/>
                <w:szCs w:val="16"/>
              </w:rPr>
              <w:t>1,320 ft.</w:t>
            </w:r>
          </w:p>
        </w:tc>
        <w:tc>
          <w:tcPr>
            <w:tcW w:w="914" w:type="dxa"/>
          </w:tcPr>
          <w:p w14:paraId="5BBDF2CA" w14:textId="77777777" w:rsidR="00CD0355" w:rsidRPr="001531CD" w:rsidRDefault="00CD0355" w:rsidP="00CD0355">
            <w:pPr>
              <w:tabs>
                <w:tab w:val="left" w:pos="180"/>
                <w:tab w:val="left" w:pos="360"/>
              </w:tabs>
              <w:ind w:left="68" w:right="14"/>
              <w:jc w:val="center"/>
              <w:rPr>
                <w:sz w:val="16"/>
                <w:szCs w:val="16"/>
              </w:rPr>
            </w:pPr>
            <w:r w:rsidRPr="001531CD">
              <w:rPr>
                <w:sz w:val="16"/>
                <w:szCs w:val="16"/>
              </w:rPr>
              <w:t>825 ft.</w:t>
            </w:r>
          </w:p>
        </w:tc>
      </w:tr>
      <w:tr w:rsidR="00CD0355" w:rsidRPr="001531CD" w14:paraId="68840561" w14:textId="77777777" w:rsidTr="00CD0355">
        <w:trPr>
          <w:cantSplit/>
          <w:jc w:val="center"/>
        </w:trPr>
        <w:tc>
          <w:tcPr>
            <w:tcW w:w="1572" w:type="dxa"/>
          </w:tcPr>
          <w:p w14:paraId="3684CF12" w14:textId="77777777" w:rsidR="00CD0355" w:rsidRPr="001531CD" w:rsidRDefault="00CD0355" w:rsidP="00CD0355">
            <w:pPr>
              <w:tabs>
                <w:tab w:val="left" w:pos="68"/>
                <w:tab w:val="left" w:pos="360"/>
              </w:tabs>
              <w:ind w:left="68"/>
              <w:rPr>
                <w:sz w:val="16"/>
                <w:szCs w:val="16"/>
              </w:rPr>
            </w:pPr>
            <w:r w:rsidRPr="001531CD">
              <w:rPr>
                <w:sz w:val="16"/>
                <w:szCs w:val="16"/>
              </w:rPr>
              <w:lastRenderedPageBreak/>
              <w:t>Other Varieties</w:t>
            </w:r>
          </w:p>
        </w:tc>
        <w:tc>
          <w:tcPr>
            <w:tcW w:w="1080" w:type="dxa"/>
          </w:tcPr>
          <w:p w14:paraId="2008C719" w14:textId="77777777"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1466" w:type="dxa"/>
          </w:tcPr>
          <w:p w14:paraId="0BCAD098" w14:textId="77777777"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914" w:type="dxa"/>
          </w:tcPr>
          <w:p w14:paraId="7EB107C5" w14:textId="77777777" w:rsidR="00CD0355" w:rsidRPr="001531CD" w:rsidRDefault="00CD0355" w:rsidP="00CD0355">
            <w:pPr>
              <w:tabs>
                <w:tab w:val="left" w:pos="180"/>
                <w:tab w:val="left" w:pos="360"/>
              </w:tabs>
              <w:ind w:left="68" w:right="14"/>
              <w:jc w:val="center"/>
              <w:rPr>
                <w:sz w:val="16"/>
                <w:szCs w:val="16"/>
              </w:rPr>
            </w:pPr>
            <w:r w:rsidRPr="001531CD">
              <w:rPr>
                <w:sz w:val="16"/>
                <w:szCs w:val="16"/>
              </w:rPr>
              <w:t>1 per 1,250 Plants</w:t>
            </w:r>
          </w:p>
        </w:tc>
      </w:tr>
      <w:tr w:rsidR="00CD0355" w:rsidRPr="001531CD" w14:paraId="10BF44FA" w14:textId="77777777" w:rsidTr="00CD0355">
        <w:trPr>
          <w:cantSplit/>
          <w:jc w:val="center"/>
        </w:trPr>
        <w:tc>
          <w:tcPr>
            <w:tcW w:w="1572" w:type="dxa"/>
          </w:tcPr>
          <w:p w14:paraId="2BCF3AF9" w14:textId="77777777" w:rsidR="00CD0355" w:rsidRPr="001531CD" w:rsidRDefault="00CD0355" w:rsidP="00CD0355">
            <w:pPr>
              <w:tabs>
                <w:tab w:val="left" w:pos="68"/>
                <w:tab w:val="left" w:pos="360"/>
              </w:tabs>
              <w:ind w:left="68"/>
              <w:rPr>
                <w:sz w:val="16"/>
                <w:szCs w:val="16"/>
              </w:rPr>
            </w:pPr>
            <w:r w:rsidRPr="001531CD">
              <w:rPr>
                <w:sz w:val="16"/>
                <w:szCs w:val="16"/>
              </w:rPr>
              <w:t>Off-Type Plants</w:t>
            </w:r>
          </w:p>
        </w:tc>
        <w:tc>
          <w:tcPr>
            <w:tcW w:w="1080" w:type="dxa"/>
          </w:tcPr>
          <w:p w14:paraId="4816290A" w14:textId="77777777"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1466" w:type="dxa"/>
          </w:tcPr>
          <w:p w14:paraId="15314285" w14:textId="77777777" w:rsidR="00CD0355" w:rsidRPr="001531CD" w:rsidRDefault="00CD0355" w:rsidP="00CD0355">
            <w:pPr>
              <w:tabs>
                <w:tab w:val="left" w:pos="180"/>
                <w:tab w:val="left" w:pos="360"/>
              </w:tabs>
              <w:ind w:left="68"/>
              <w:jc w:val="center"/>
              <w:rPr>
                <w:sz w:val="16"/>
                <w:szCs w:val="16"/>
              </w:rPr>
            </w:pPr>
            <w:r w:rsidRPr="001531CD">
              <w:rPr>
                <w:sz w:val="16"/>
                <w:szCs w:val="16"/>
              </w:rPr>
              <w:t>1.25%</w:t>
            </w:r>
          </w:p>
        </w:tc>
        <w:tc>
          <w:tcPr>
            <w:tcW w:w="914" w:type="dxa"/>
          </w:tcPr>
          <w:p w14:paraId="1DD1B2A6" w14:textId="77777777" w:rsidR="00CD0355" w:rsidRPr="001531CD" w:rsidRDefault="00CD0355" w:rsidP="00CD0355">
            <w:pPr>
              <w:tabs>
                <w:tab w:val="left" w:pos="180"/>
                <w:tab w:val="left" w:pos="360"/>
              </w:tabs>
              <w:ind w:left="68" w:right="14"/>
              <w:jc w:val="center"/>
              <w:rPr>
                <w:sz w:val="16"/>
                <w:szCs w:val="16"/>
              </w:rPr>
            </w:pPr>
            <w:r w:rsidRPr="001531CD">
              <w:rPr>
                <w:sz w:val="16"/>
                <w:szCs w:val="16"/>
              </w:rPr>
              <w:t>1.25%</w:t>
            </w:r>
          </w:p>
        </w:tc>
      </w:tr>
      <w:tr w:rsidR="00CD0355" w:rsidRPr="001531CD" w14:paraId="07386C6A" w14:textId="77777777" w:rsidTr="00CD0355">
        <w:trPr>
          <w:cantSplit/>
          <w:jc w:val="center"/>
        </w:trPr>
        <w:tc>
          <w:tcPr>
            <w:tcW w:w="5032" w:type="dxa"/>
            <w:gridSpan w:val="4"/>
            <w:tcBorders>
              <w:bottom w:val="double" w:sz="6" w:space="0" w:color="000000"/>
            </w:tcBorders>
          </w:tcPr>
          <w:p w14:paraId="14C5E6EA" w14:textId="77777777" w:rsidR="00CD0355" w:rsidRPr="001531CD" w:rsidRDefault="00CD0355" w:rsidP="00CD0355">
            <w:pPr>
              <w:tabs>
                <w:tab w:val="left" w:pos="180"/>
                <w:tab w:val="left" w:pos="360"/>
              </w:tabs>
              <w:ind w:left="68"/>
              <w:rPr>
                <w:sz w:val="16"/>
                <w:szCs w:val="16"/>
              </w:rPr>
            </w:pPr>
            <w:r w:rsidRPr="001531CD">
              <w:rPr>
                <w:sz w:val="16"/>
                <w:szCs w:val="16"/>
              </w:rPr>
              <w:t>*Requirement can be waived if previous crop was grown from certified seed of the same variety.</w:t>
            </w:r>
          </w:p>
        </w:tc>
      </w:tr>
    </w:tbl>
    <w:p w14:paraId="1AA3C3F9" w14:textId="77777777" w:rsidR="00CD0355" w:rsidRDefault="00CD0355" w:rsidP="00CD0355">
      <w:pPr>
        <w:pStyle w:val="A"/>
        <w:spacing w:after="0"/>
      </w:pPr>
    </w:p>
    <w:p w14:paraId="17A1FA68" w14:textId="77777777" w:rsidR="00CD0355" w:rsidRPr="001531CD" w:rsidRDefault="00CD0355" w:rsidP="00CD0355">
      <w:pPr>
        <w:pStyle w:val="A"/>
        <w:keepNext/>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13"/>
        <w:gridCol w:w="1102"/>
        <w:gridCol w:w="1102"/>
        <w:gridCol w:w="1133"/>
      </w:tblGrid>
      <w:tr w:rsidR="00CD0355" w:rsidRPr="001531CD" w14:paraId="6032ECF8" w14:textId="77777777" w:rsidTr="00CD0355">
        <w:trPr>
          <w:cantSplit/>
          <w:jc w:val="center"/>
        </w:trPr>
        <w:tc>
          <w:tcPr>
            <w:tcW w:w="1604" w:type="dxa"/>
            <w:tcBorders>
              <w:top w:val="double" w:sz="6" w:space="0" w:color="000000"/>
              <w:bottom w:val="single" w:sz="6" w:space="0" w:color="000000"/>
            </w:tcBorders>
            <w:shd w:val="clear" w:color="auto" w:fill="BFBFBF"/>
          </w:tcPr>
          <w:p w14:paraId="3C101E2E" w14:textId="77777777" w:rsidR="00CD0355" w:rsidRPr="001531CD" w:rsidRDefault="00CD0355" w:rsidP="00CD0355">
            <w:pPr>
              <w:keepNext/>
              <w:tabs>
                <w:tab w:val="left" w:pos="180"/>
                <w:tab w:val="left" w:pos="360"/>
              </w:tabs>
              <w:jc w:val="center"/>
              <w:rPr>
                <w:b/>
                <w:bCs/>
                <w:sz w:val="16"/>
                <w:szCs w:val="16"/>
              </w:rPr>
            </w:pPr>
            <w:r w:rsidRPr="001531CD">
              <w:rPr>
                <w:b/>
                <w:bCs/>
                <w:sz w:val="16"/>
                <w:szCs w:val="16"/>
              </w:rPr>
              <w:t>Factor</w:t>
            </w:r>
          </w:p>
        </w:tc>
        <w:tc>
          <w:tcPr>
            <w:tcW w:w="1119" w:type="dxa"/>
            <w:tcBorders>
              <w:top w:val="double" w:sz="6" w:space="0" w:color="000000"/>
              <w:bottom w:val="single" w:sz="6" w:space="0" w:color="000000"/>
            </w:tcBorders>
            <w:shd w:val="clear" w:color="auto" w:fill="BFBFBF"/>
          </w:tcPr>
          <w:p w14:paraId="51629F9B" w14:textId="77777777" w:rsidR="00CD0355" w:rsidRPr="001531CD" w:rsidRDefault="00CD0355" w:rsidP="00CD0355">
            <w:pPr>
              <w:keepNext/>
              <w:tabs>
                <w:tab w:val="left" w:pos="180"/>
                <w:tab w:val="left" w:pos="360"/>
              </w:tabs>
              <w:jc w:val="center"/>
              <w:rPr>
                <w:b/>
                <w:bCs/>
                <w:sz w:val="16"/>
                <w:szCs w:val="16"/>
              </w:rPr>
            </w:pPr>
            <w:r w:rsidRPr="001531CD">
              <w:rPr>
                <w:b/>
                <w:bCs/>
                <w:sz w:val="16"/>
                <w:szCs w:val="16"/>
              </w:rPr>
              <w:t>Foundation</w:t>
            </w:r>
          </w:p>
        </w:tc>
        <w:tc>
          <w:tcPr>
            <w:tcW w:w="1131" w:type="dxa"/>
            <w:tcBorders>
              <w:top w:val="double" w:sz="6" w:space="0" w:color="000000"/>
              <w:bottom w:val="single" w:sz="6" w:space="0" w:color="000000"/>
            </w:tcBorders>
            <w:shd w:val="clear" w:color="auto" w:fill="BFBFBF"/>
          </w:tcPr>
          <w:p w14:paraId="4F91CF6E" w14:textId="77777777" w:rsidR="00CD0355" w:rsidRPr="001531CD" w:rsidRDefault="00CD0355" w:rsidP="00CD0355">
            <w:pPr>
              <w:keepNext/>
              <w:tabs>
                <w:tab w:val="left" w:pos="180"/>
                <w:tab w:val="left" w:pos="360"/>
              </w:tabs>
              <w:jc w:val="center"/>
              <w:rPr>
                <w:b/>
                <w:bCs/>
                <w:sz w:val="16"/>
                <w:szCs w:val="16"/>
              </w:rPr>
            </w:pPr>
            <w:r w:rsidRPr="001531CD">
              <w:rPr>
                <w:b/>
                <w:bCs/>
                <w:sz w:val="16"/>
                <w:szCs w:val="16"/>
              </w:rPr>
              <w:t>Registered</w:t>
            </w:r>
          </w:p>
        </w:tc>
        <w:tc>
          <w:tcPr>
            <w:tcW w:w="1190" w:type="dxa"/>
            <w:tcBorders>
              <w:top w:val="double" w:sz="6" w:space="0" w:color="000000"/>
              <w:bottom w:val="single" w:sz="6" w:space="0" w:color="000000"/>
            </w:tcBorders>
            <w:shd w:val="clear" w:color="auto" w:fill="BFBFBF"/>
          </w:tcPr>
          <w:p w14:paraId="27CF8BCD" w14:textId="77777777" w:rsidR="00CD0355" w:rsidRPr="001531CD" w:rsidRDefault="00CD0355" w:rsidP="00CD0355">
            <w:pPr>
              <w:keepNext/>
              <w:tabs>
                <w:tab w:val="left" w:pos="180"/>
                <w:tab w:val="left" w:pos="360"/>
              </w:tabs>
              <w:jc w:val="center"/>
              <w:rPr>
                <w:b/>
                <w:bCs/>
                <w:sz w:val="16"/>
                <w:szCs w:val="16"/>
              </w:rPr>
            </w:pPr>
            <w:r w:rsidRPr="001531CD">
              <w:rPr>
                <w:b/>
                <w:bCs/>
                <w:sz w:val="16"/>
                <w:szCs w:val="16"/>
              </w:rPr>
              <w:t>Certified</w:t>
            </w:r>
          </w:p>
        </w:tc>
      </w:tr>
      <w:tr w:rsidR="00CD0355" w:rsidRPr="001531CD" w14:paraId="57FCFA71" w14:textId="77777777" w:rsidTr="00CD0355">
        <w:trPr>
          <w:cantSplit/>
          <w:jc w:val="center"/>
        </w:trPr>
        <w:tc>
          <w:tcPr>
            <w:tcW w:w="1604" w:type="dxa"/>
            <w:tcBorders>
              <w:top w:val="single" w:sz="6" w:space="0" w:color="000000"/>
            </w:tcBorders>
          </w:tcPr>
          <w:p w14:paraId="1CB9DA76" w14:textId="77777777" w:rsidR="00CD0355" w:rsidRPr="001531CD" w:rsidRDefault="00CD0355" w:rsidP="00CD0355">
            <w:pPr>
              <w:keepNext/>
              <w:tabs>
                <w:tab w:val="left" w:pos="180"/>
                <w:tab w:val="left" w:pos="360"/>
              </w:tabs>
              <w:rPr>
                <w:sz w:val="16"/>
                <w:szCs w:val="16"/>
              </w:rPr>
            </w:pPr>
            <w:r w:rsidRPr="001531CD">
              <w:rPr>
                <w:sz w:val="16"/>
                <w:szCs w:val="16"/>
              </w:rPr>
              <w:t>Pure Seed</w:t>
            </w:r>
          </w:p>
        </w:tc>
        <w:tc>
          <w:tcPr>
            <w:tcW w:w="1119" w:type="dxa"/>
            <w:tcBorders>
              <w:top w:val="single" w:sz="6" w:space="0" w:color="000000"/>
            </w:tcBorders>
          </w:tcPr>
          <w:p w14:paraId="20FE97B8" w14:textId="77777777" w:rsidR="00CD0355" w:rsidRPr="001531CD" w:rsidRDefault="00CD0355" w:rsidP="00CD0355">
            <w:pPr>
              <w:keepNext/>
              <w:tabs>
                <w:tab w:val="left" w:pos="180"/>
                <w:tab w:val="left" w:pos="360"/>
              </w:tabs>
              <w:jc w:val="center"/>
              <w:rPr>
                <w:sz w:val="16"/>
                <w:szCs w:val="16"/>
              </w:rPr>
            </w:pPr>
            <w:r w:rsidRPr="001531CD">
              <w:rPr>
                <w:sz w:val="16"/>
                <w:szCs w:val="16"/>
              </w:rPr>
              <w:t>98.00%</w:t>
            </w:r>
          </w:p>
        </w:tc>
        <w:tc>
          <w:tcPr>
            <w:tcW w:w="1131" w:type="dxa"/>
            <w:tcBorders>
              <w:top w:val="single" w:sz="6" w:space="0" w:color="000000"/>
            </w:tcBorders>
          </w:tcPr>
          <w:p w14:paraId="620F1FD2" w14:textId="77777777" w:rsidR="00CD0355" w:rsidRPr="001531CD" w:rsidRDefault="00CD0355" w:rsidP="00CD0355">
            <w:pPr>
              <w:keepNext/>
              <w:tabs>
                <w:tab w:val="left" w:pos="180"/>
                <w:tab w:val="left" w:pos="360"/>
              </w:tabs>
              <w:jc w:val="center"/>
              <w:rPr>
                <w:sz w:val="16"/>
                <w:szCs w:val="16"/>
              </w:rPr>
            </w:pPr>
            <w:r w:rsidRPr="001531CD">
              <w:rPr>
                <w:sz w:val="16"/>
                <w:szCs w:val="16"/>
              </w:rPr>
              <w:t>98.00%</w:t>
            </w:r>
          </w:p>
        </w:tc>
        <w:tc>
          <w:tcPr>
            <w:tcW w:w="1190" w:type="dxa"/>
            <w:tcBorders>
              <w:top w:val="single" w:sz="6" w:space="0" w:color="000000"/>
            </w:tcBorders>
          </w:tcPr>
          <w:p w14:paraId="79449B0B" w14:textId="77777777" w:rsidR="00CD0355" w:rsidRPr="001531CD" w:rsidRDefault="00CD0355" w:rsidP="00CD0355">
            <w:pPr>
              <w:keepNext/>
              <w:tabs>
                <w:tab w:val="left" w:pos="180"/>
                <w:tab w:val="left" w:pos="360"/>
              </w:tabs>
              <w:jc w:val="center"/>
              <w:rPr>
                <w:sz w:val="16"/>
                <w:szCs w:val="16"/>
              </w:rPr>
            </w:pPr>
            <w:r w:rsidRPr="001531CD">
              <w:rPr>
                <w:sz w:val="16"/>
                <w:szCs w:val="16"/>
              </w:rPr>
              <w:t>98.00%</w:t>
            </w:r>
          </w:p>
        </w:tc>
      </w:tr>
      <w:tr w:rsidR="00CD0355" w:rsidRPr="001531CD" w14:paraId="04DD8C31" w14:textId="77777777" w:rsidTr="00CD0355">
        <w:trPr>
          <w:cantSplit/>
          <w:jc w:val="center"/>
        </w:trPr>
        <w:tc>
          <w:tcPr>
            <w:tcW w:w="1604" w:type="dxa"/>
          </w:tcPr>
          <w:p w14:paraId="1F20AE39"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119" w:type="dxa"/>
          </w:tcPr>
          <w:p w14:paraId="43C88D22"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131" w:type="dxa"/>
          </w:tcPr>
          <w:p w14:paraId="7FDB35AD"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190" w:type="dxa"/>
          </w:tcPr>
          <w:p w14:paraId="17A7365F"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081DEE7A" w14:textId="77777777" w:rsidTr="00CD0355">
        <w:trPr>
          <w:cantSplit/>
          <w:jc w:val="center"/>
        </w:trPr>
        <w:tc>
          <w:tcPr>
            <w:tcW w:w="1604" w:type="dxa"/>
          </w:tcPr>
          <w:p w14:paraId="4257F7B0"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119" w:type="dxa"/>
          </w:tcPr>
          <w:p w14:paraId="43C5E424"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14:paraId="19CE24A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90" w:type="dxa"/>
          </w:tcPr>
          <w:p w14:paraId="1461D465"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25B15676" w14:textId="77777777" w:rsidTr="00CD0355">
        <w:trPr>
          <w:cantSplit/>
          <w:jc w:val="center"/>
        </w:trPr>
        <w:tc>
          <w:tcPr>
            <w:tcW w:w="1604" w:type="dxa"/>
          </w:tcPr>
          <w:p w14:paraId="7F52723E"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119" w:type="dxa"/>
          </w:tcPr>
          <w:p w14:paraId="18F5B00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14:paraId="246DFD64"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90" w:type="dxa"/>
          </w:tcPr>
          <w:p w14:paraId="2A9EB5CE"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14:paraId="4CDBD023" w14:textId="77777777" w:rsidTr="00CD0355">
        <w:trPr>
          <w:cantSplit/>
          <w:jc w:val="center"/>
        </w:trPr>
        <w:tc>
          <w:tcPr>
            <w:tcW w:w="1604" w:type="dxa"/>
          </w:tcPr>
          <w:p w14:paraId="1F4EB04E"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1119" w:type="dxa"/>
          </w:tcPr>
          <w:p w14:paraId="28CE6619"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14:paraId="112F84AF"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90" w:type="dxa"/>
          </w:tcPr>
          <w:p w14:paraId="6701D882"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3A62E0C7" w14:textId="77777777" w:rsidTr="00CD0355">
        <w:trPr>
          <w:cantSplit/>
          <w:jc w:val="center"/>
        </w:trPr>
        <w:tc>
          <w:tcPr>
            <w:tcW w:w="1604" w:type="dxa"/>
          </w:tcPr>
          <w:p w14:paraId="27CCB18C" w14:textId="77777777" w:rsidR="00CD0355" w:rsidRPr="001531CD" w:rsidRDefault="00CD0355" w:rsidP="00CD0355">
            <w:pPr>
              <w:tabs>
                <w:tab w:val="left" w:pos="180"/>
                <w:tab w:val="left" w:pos="360"/>
              </w:tabs>
              <w:rPr>
                <w:sz w:val="16"/>
                <w:szCs w:val="16"/>
              </w:rPr>
            </w:pPr>
            <w:r w:rsidRPr="001531CD">
              <w:rPr>
                <w:sz w:val="16"/>
                <w:szCs w:val="16"/>
              </w:rPr>
              <w:t>Other Weeds</w:t>
            </w:r>
          </w:p>
        </w:tc>
        <w:tc>
          <w:tcPr>
            <w:tcW w:w="1119" w:type="dxa"/>
          </w:tcPr>
          <w:p w14:paraId="72C411BC"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31" w:type="dxa"/>
          </w:tcPr>
          <w:p w14:paraId="66E95D3E"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90" w:type="dxa"/>
          </w:tcPr>
          <w:p w14:paraId="21AB0EC8"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14:paraId="0E645F00" w14:textId="77777777" w:rsidTr="00CD0355">
        <w:trPr>
          <w:cantSplit/>
          <w:jc w:val="center"/>
        </w:trPr>
        <w:tc>
          <w:tcPr>
            <w:tcW w:w="1604" w:type="dxa"/>
            <w:tcBorders>
              <w:bottom w:val="double" w:sz="6" w:space="0" w:color="000000"/>
            </w:tcBorders>
          </w:tcPr>
          <w:p w14:paraId="7E560F20"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119" w:type="dxa"/>
            <w:tcBorders>
              <w:bottom w:val="double" w:sz="6" w:space="0" w:color="000000"/>
            </w:tcBorders>
          </w:tcPr>
          <w:p w14:paraId="468F40DA" w14:textId="77777777" w:rsidR="00CD0355" w:rsidRPr="001531CD" w:rsidRDefault="00CD0355" w:rsidP="00CD0355">
            <w:pPr>
              <w:tabs>
                <w:tab w:val="left" w:pos="180"/>
                <w:tab w:val="left" w:pos="360"/>
              </w:tabs>
              <w:jc w:val="center"/>
              <w:rPr>
                <w:sz w:val="16"/>
                <w:szCs w:val="16"/>
              </w:rPr>
            </w:pPr>
            <w:r w:rsidRPr="001531CD">
              <w:rPr>
                <w:sz w:val="16"/>
                <w:szCs w:val="16"/>
              </w:rPr>
              <w:t>75.00%</w:t>
            </w:r>
          </w:p>
        </w:tc>
        <w:tc>
          <w:tcPr>
            <w:tcW w:w="1131" w:type="dxa"/>
            <w:tcBorders>
              <w:bottom w:val="double" w:sz="6" w:space="0" w:color="000000"/>
            </w:tcBorders>
          </w:tcPr>
          <w:p w14:paraId="00B7B95A" w14:textId="77777777" w:rsidR="00CD0355" w:rsidRPr="001531CD" w:rsidRDefault="00CD0355" w:rsidP="00CD0355">
            <w:pPr>
              <w:tabs>
                <w:tab w:val="left" w:pos="180"/>
                <w:tab w:val="left" w:pos="360"/>
              </w:tabs>
              <w:jc w:val="center"/>
              <w:rPr>
                <w:sz w:val="16"/>
                <w:szCs w:val="16"/>
              </w:rPr>
            </w:pPr>
            <w:r w:rsidRPr="001531CD">
              <w:rPr>
                <w:sz w:val="16"/>
                <w:szCs w:val="16"/>
              </w:rPr>
              <w:t>75.00%</w:t>
            </w:r>
          </w:p>
        </w:tc>
        <w:tc>
          <w:tcPr>
            <w:tcW w:w="1190" w:type="dxa"/>
            <w:tcBorders>
              <w:bottom w:val="double" w:sz="6" w:space="0" w:color="000000"/>
            </w:tcBorders>
          </w:tcPr>
          <w:p w14:paraId="234E501E" w14:textId="77777777" w:rsidR="00CD0355" w:rsidRPr="001531CD" w:rsidRDefault="00CD0355" w:rsidP="00CD0355">
            <w:pPr>
              <w:tabs>
                <w:tab w:val="left" w:pos="180"/>
                <w:tab w:val="left" w:pos="360"/>
              </w:tabs>
              <w:jc w:val="center"/>
              <w:rPr>
                <w:sz w:val="16"/>
                <w:szCs w:val="16"/>
              </w:rPr>
            </w:pPr>
            <w:r w:rsidRPr="001531CD">
              <w:rPr>
                <w:sz w:val="16"/>
                <w:szCs w:val="16"/>
              </w:rPr>
              <w:t>75.00%</w:t>
            </w:r>
          </w:p>
        </w:tc>
      </w:tr>
    </w:tbl>
    <w:p w14:paraId="3B9D48A5" w14:textId="77777777" w:rsidR="00CD0355" w:rsidRPr="001531CD" w:rsidRDefault="00CD0355" w:rsidP="00CD0355">
      <w:pPr>
        <w:tabs>
          <w:tab w:val="left" w:pos="180"/>
          <w:tab w:val="left" w:pos="360"/>
        </w:tabs>
        <w:rPr>
          <w:sz w:val="16"/>
          <w:szCs w:val="16"/>
        </w:rPr>
      </w:pPr>
    </w:p>
    <w:p w14:paraId="1BF8C8A2" w14:textId="77777777" w:rsidR="00CD0355" w:rsidRPr="001531CD" w:rsidRDefault="00CD0355" w:rsidP="00CD0355">
      <w:pPr>
        <w:pStyle w:val="AuthorityNote"/>
      </w:pPr>
      <w:r w:rsidRPr="001531CD">
        <w:t>AUTHORITY NOTE:</w:t>
      </w:r>
      <w:r w:rsidRPr="001531CD">
        <w:tab/>
        <w:t>Promulgated in accordance with R.S. 3:1433.</w:t>
      </w:r>
    </w:p>
    <w:p w14:paraId="3235B330" w14:textId="77777777" w:rsidR="00CD0355" w:rsidRPr="001531CD" w:rsidRDefault="00CD0355" w:rsidP="00CD0355">
      <w:pPr>
        <w:pStyle w:val="HistoricalNote"/>
      </w:pPr>
      <w:r w:rsidRPr="001531CD">
        <w:t>HISTORICAL NOTE:</w:t>
      </w:r>
      <w:r w:rsidRPr="001531CD">
        <w:tab/>
        <w:t>Promulgated by the Department of Agriculture, Seed Commission, LR 8:575 (November l982), amended LR 9:200 (April l983), LR 10:737 (October 1984), amended by the Department of Agriculture and Forestry, Office of Agricultural and Environmental Sciences, Seed Commission, LR 12:825 (December l986), LR 15:613 (August 1989), repromulgated by the Department of Agriculture and Forestry, Office of Agricultural and Environmental Sciences, Agricultural Chemistry and Seed Commission, LR 39:2731 (October 2013).</w:t>
      </w:r>
    </w:p>
    <w:p w14:paraId="51280517" w14:textId="77777777" w:rsidR="00CD0355" w:rsidRPr="001531CD" w:rsidRDefault="00CD0355" w:rsidP="00CD0355">
      <w:pPr>
        <w:pStyle w:val="Section"/>
      </w:pPr>
      <w:bookmarkStart w:id="1200" w:name="_Toc224818826"/>
      <w:r w:rsidRPr="001531CD">
        <w:t>§783.</w:t>
      </w:r>
      <w:r w:rsidRPr="001531CD">
        <w:tab/>
        <w:t>Onion Bulb Seed Certification Standards</w:t>
      </w:r>
      <w:bookmarkEnd w:id="1200"/>
      <w:r w:rsidRPr="001531CD">
        <w:t xml:space="preserve"> </w:t>
      </w:r>
    </w:p>
    <w:p w14:paraId="0758163B" w14:textId="77777777"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00"/>
        <w:gridCol w:w="1152"/>
        <w:gridCol w:w="1046"/>
        <w:gridCol w:w="952"/>
      </w:tblGrid>
      <w:tr w:rsidR="00CD0355" w:rsidRPr="006F2476" w14:paraId="1C3565FF" w14:textId="77777777" w:rsidTr="00CD0355">
        <w:trPr>
          <w:cantSplit/>
          <w:tblHeader/>
          <w:jc w:val="center"/>
        </w:trPr>
        <w:tc>
          <w:tcPr>
            <w:tcW w:w="1710" w:type="dxa"/>
            <w:tcBorders>
              <w:top w:val="double" w:sz="6" w:space="0" w:color="000000"/>
              <w:bottom w:val="single" w:sz="6" w:space="0" w:color="000000"/>
            </w:tcBorders>
            <w:shd w:val="clear" w:color="auto" w:fill="BFBFBF"/>
          </w:tcPr>
          <w:p w14:paraId="595984DD"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4" w:type="dxa"/>
            <w:tcBorders>
              <w:top w:val="double" w:sz="6" w:space="0" w:color="000000"/>
              <w:bottom w:val="single" w:sz="6" w:space="0" w:color="000000"/>
            </w:tcBorders>
            <w:shd w:val="clear" w:color="auto" w:fill="BFBFBF"/>
          </w:tcPr>
          <w:p w14:paraId="5A4AEB4C"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48" w:type="dxa"/>
            <w:tcBorders>
              <w:top w:val="double" w:sz="6" w:space="0" w:color="000000"/>
              <w:bottom w:val="single" w:sz="6" w:space="0" w:color="000000"/>
            </w:tcBorders>
            <w:shd w:val="clear" w:color="auto" w:fill="BFBFBF"/>
          </w:tcPr>
          <w:p w14:paraId="0731BAB9"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54" w:type="dxa"/>
            <w:tcBorders>
              <w:top w:val="double" w:sz="6" w:space="0" w:color="000000"/>
              <w:bottom w:val="single" w:sz="6" w:space="0" w:color="000000"/>
            </w:tcBorders>
            <w:shd w:val="clear" w:color="auto" w:fill="BFBFBF"/>
          </w:tcPr>
          <w:p w14:paraId="19D50534"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6F2476" w14:paraId="598C2483" w14:textId="77777777" w:rsidTr="00CD0355">
        <w:trPr>
          <w:cantSplit/>
          <w:jc w:val="center"/>
        </w:trPr>
        <w:tc>
          <w:tcPr>
            <w:tcW w:w="1710" w:type="dxa"/>
            <w:tcBorders>
              <w:top w:val="single" w:sz="6" w:space="0" w:color="000000"/>
            </w:tcBorders>
          </w:tcPr>
          <w:p w14:paraId="4796B3C4" w14:textId="77777777" w:rsidR="00CD0355" w:rsidRPr="001531CD" w:rsidRDefault="00CD0355" w:rsidP="00CD0355">
            <w:pPr>
              <w:tabs>
                <w:tab w:val="left" w:pos="180"/>
                <w:tab w:val="left" w:pos="360"/>
              </w:tabs>
              <w:rPr>
                <w:sz w:val="16"/>
                <w:szCs w:val="16"/>
              </w:rPr>
            </w:pPr>
            <w:r w:rsidRPr="001531CD">
              <w:rPr>
                <w:sz w:val="16"/>
                <w:szCs w:val="16"/>
              </w:rPr>
              <w:t>Land Requirement</w:t>
            </w:r>
          </w:p>
        </w:tc>
        <w:tc>
          <w:tcPr>
            <w:tcW w:w="1154" w:type="dxa"/>
            <w:tcBorders>
              <w:top w:val="single" w:sz="6" w:space="0" w:color="000000"/>
            </w:tcBorders>
          </w:tcPr>
          <w:p w14:paraId="7B7B2EA8"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048" w:type="dxa"/>
            <w:tcBorders>
              <w:top w:val="single" w:sz="6" w:space="0" w:color="000000"/>
            </w:tcBorders>
          </w:tcPr>
          <w:p w14:paraId="3FB9D5AC"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954" w:type="dxa"/>
            <w:tcBorders>
              <w:top w:val="single" w:sz="6" w:space="0" w:color="000000"/>
            </w:tcBorders>
          </w:tcPr>
          <w:p w14:paraId="5746FE07"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6F2476" w14:paraId="0F667281" w14:textId="77777777" w:rsidTr="00CD0355">
        <w:trPr>
          <w:cantSplit/>
          <w:jc w:val="center"/>
        </w:trPr>
        <w:tc>
          <w:tcPr>
            <w:tcW w:w="1710" w:type="dxa"/>
          </w:tcPr>
          <w:p w14:paraId="7061AADA" w14:textId="77777777" w:rsidR="00CD0355" w:rsidRPr="001531CD" w:rsidRDefault="00CD0355" w:rsidP="00CD0355">
            <w:pPr>
              <w:tabs>
                <w:tab w:val="left" w:pos="180"/>
                <w:tab w:val="left" w:pos="360"/>
              </w:tabs>
              <w:rPr>
                <w:sz w:val="16"/>
                <w:szCs w:val="16"/>
              </w:rPr>
            </w:pPr>
            <w:r w:rsidRPr="001531CD">
              <w:rPr>
                <w:sz w:val="16"/>
                <w:szCs w:val="16"/>
              </w:rPr>
              <w:t>Isolation</w:t>
            </w:r>
          </w:p>
        </w:tc>
        <w:tc>
          <w:tcPr>
            <w:tcW w:w="1154" w:type="dxa"/>
          </w:tcPr>
          <w:p w14:paraId="6DE4514C" w14:textId="77777777" w:rsidR="00CD0355" w:rsidRPr="001531CD" w:rsidRDefault="00CD0355" w:rsidP="00CD0355">
            <w:pPr>
              <w:tabs>
                <w:tab w:val="left" w:pos="180"/>
                <w:tab w:val="left" w:pos="360"/>
              </w:tabs>
              <w:jc w:val="center"/>
              <w:rPr>
                <w:sz w:val="16"/>
                <w:szCs w:val="16"/>
              </w:rPr>
            </w:pPr>
            <w:r w:rsidRPr="001531CD">
              <w:rPr>
                <w:sz w:val="16"/>
                <w:szCs w:val="16"/>
              </w:rPr>
              <w:t>5,280 ft.</w:t>
            </w:r>
          </w:p>
        </w:tc>
        <w:tc>
          <w:tcPr>
            <w:tcW w:w="1048" w:type="dxa"/>
          </w:tcPr>
          <w:p w14:paraId="6B0FC439" w14:textId="77777777" w:rsidR="00CD0355" w:rsidRPr="001531CD" w:rsidRDefault="00CD0355" w:rsidP="00CD0355">
            <w:pPr>
              <w:tabs>
                <w:tab w:val="left" w:pos="180"/>
                <w:tab w:val="left" w:pos="360"/>
              </w:tabs>
              <w:jc w:val="center"/>
              <w:rPr>
                <w:sz w:val="16"/>
                <w:szCs w:val="16"/>
              </w:rPr>
            </w:pPr>
            <w:r w:rsidRPr="001531CD">
              <w:rPr>
                <w:sz w:val="16"/>
                <w:szCs w:val="16"/>
              </w:rPr>
              <w:t>2,640 ft.</w:t>
            </w:r>
          </w:p>
        </w:tc>
        <w:tc>
          <w:tcPr>
            <w:tcW w:w="954" w:type="dxa"/>
          </w:tcPr>
          <w:p w14:paraId="56E7A309" w14:textId="77777777" w:rsidR="00CD0355" w:rsidRPr="001531CD" w:rsidRDefault="00CD0355" w:rsidP="00CD0355">
            <w:pPr>
              <w:tabs>
                <w:tab w:val="left" w:pos="180"/>
                <w:tab w:val="left" w:pos="360"/>
              </w:tabs>
              <w:jc w:val="center"/>
              <w:rPr>
                <w:sz w:val="16"/>
                <w:szCs w:val="16"/>
              </w:rPr>
            </w:pPr>
            <w:r w:rsidRPr="001531CD">
              <w:rPr>
                <w:sz w:val="16"/>
                <w:szCs w:val="16"/>
              </w:rPr>
              <w:t>1,320 ft.</w:t>
            </w:r>
          </w:p>
        </w:tc>
      </w:tr>
      <w:tr w:rsidR="00CD0355" w:rsidRPr="006F2476" w14:paraId="3CDE0673" w14:textId="77777777" w:rsidTr="00CD0355">
        <w:trPr>
          <w:cantSplit/>
          <w:jc w:val="center"/>
        </w:trPr>
        <w:tc>
          <w:tcPr>
            <w:tcW w:w="1710" w:type="dxa"/>
          </w:tcPr>
          <w:p w14:paraId="6843775B" w14:textId="77777777" w:rsidR="00CD0355" w:rsidRPr="001531CD" w:rsidRDefault="00CD0355" w:rsidP="00CD0355">
            <w:pPr>
              <w:tabs>
                <w:tab w:val="left" w:pos="180"/>
                <w:tab w:val="left" w:pos="360"/>
              </w:tabs>
              <w:rPr>
                <w:sz w:val="16"/>
                <w:szCs w:val="16"/>
              </w:rPr>
            </w:pPr>
            <w:r w:rsidRPr="001531CD">
              <w:rPr>
                <w:sz w:val="16"/>
                <w:szCs w:val="16"/>
              </w:rPr>
              <w:t>Varietal Mixtures and Off-Type Plants</w:t>
            </w:r>
          </w:p>
        </w:tc>
        <w:tc>
          <w:tcPr>
            <w:tcW w:w="1154" w:type="dxa"/>
            <w:vAlign w:val="bottom"/>
          </w:tcPr>
          <w:p w14:paraId="7F46DC9C"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1048" w:type="dxa"/>
            <w:vAlign w:val="bottom"/>
          </w:tcPr>
          <w:p w14:paraId="5C8A44DB"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954" w:type="dxa"/>
            <w:vAlign w:val="bottom"/>
          </w:tcPr>
          <w:p w14:paraId="3F806CE3" w14:textId="77777777" w:rsidR="00CD0355" w:rsidRPr="001531CD" w:rsidRDefault="00CD0355" w:rsidP="00CD0355">
            <w:pPr>
              <w:tabs>
                <w:tab w:val="left" w:pos="180"/>
                <w:tab w:val="left" w:pos="360"/>
              </w:tabs>
              <w:jc w:val="center"/>
              <w:rPr>
                <w:sz w:val="16"/>
                <w:szCs w:val="16"/>
              </w:rPr>
            </w:pPr>
            <w:r w:rsidRPr="001531CD">
              <w:rPr>
                <w:sz w:val="16"/>
                <w:szCs w:val="16"/>
              </w:rPr>
              <w:t>0.50%</w:t>
            </w:r>
          </w:p>
        </w:tc>
      </w:tr>
      <w:tr w:rsidR="00CD0355" w:rsidRPr="006F2476" w14:paraId="18F12D18" w14:textId="77777777" w:rsidTr="00CD0355">
        <w:trPr>
          <w:cantSplit/>
          <w:jc w:val="center"/>
        </w:trPr>
        <w:tc>
          <w:tcPr>
            <w:tcW w:w="4866" w:type="dxa"/>
            <w:gridSpan w:val="4"/>
          </w:tcPr>
          <w:p w14:paraId="2CAA3648" w14:textId="77777777" w:rsidR="00CD0355" w:rsidRPr="001531CD" w:rsidRDefault="00CD0355" w:rsidP="00CD0355">
            <w:pPr>
              <w:tabs>
                <w:tab w:val="left" w:pos="180"/>
                <w:tab w:val="left" w:pos="360"/>
              </w:tabs>
              <w:rPr>
                <w:sz w:val="16"/>
                <w:szCs w:val="16"/>
              </w:rPr>
            </w:pPr>
            <w:r w:rsidRPr="001531CD">
              <w:rPr>
                <w:sz w:val="16"/>
                <w:szCs w:val="16"/>
              </w:rPr>
              <w:t>Diseases:</w:t>
            </w:r>
          </w:p>
        </w:tc>
      </w:tr>
      <w:tr w:rsidR="00CD0355" w:rsidRPr="006F2476" w14:paraId="30993AF7" w14:textId="77777777" w:rsidTr="00CD0355">
        <w:trPr>
          <w:cantSplit/>
          <w:jc w:val="center"/>
        </w:trPr>
        <w:tc>
          <w:tcPr>
            <w:tcW w:w="1710" w:type="dxa"/>
          </w:tcPr>
          <w:p w14:paraId="775BA963" w14:textId="77777777" w:rsidR="00CD0355" w:rsidRPr="001531CD" w:rsidRDefault="00CD0355" w:rsidP="00CD0355">
            <w:pPr>
              <w:tabs>
                <w:tab w:val="left" w:pos="180"/>
                <w:tab w:val="left" w:pos="360"/>
              </w:tabs>
              <w:rPr>
                <w:sz w:val="16"/>
                <w:szCs w:val="16"/>
              </w:rPr>
            </w:pPr>
            <w:r w:rsidRPr="001531CD">
              <w:rPr>
                <w:sz w:val="16"/>
                <w:szCs w:val="16"/>
              </w:rPr>
              <w:t>Onion Mosaic</w:t>
            </w:r>
          </w:p>
        </w:tc>
        <w:tc>
          <w:tcPr>
            <w:tcW w:w="1154" w:type="dxa"/>
          </w:tcPr>
          <w:p w14:paraId="127E3999"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1048" w:type="dxa"/>
          </w:tcPr>
          <w:p w14:paraId="0F745529"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954" w:type="dxa"/>
          </w:tcPr>
          <w:p w14:paraId="7CF3D0AB" w14:textId="77777777"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6F2476" w14:paraId="772C25F4" w14:textId="77777777" w:rsidTr="00CD0355">
        <w:trPr>
          <w:cantSplit/>
          <w:jc w:val="center"/>
        </w:trPr>
        <w:tc>
          <w:tcPr>
            <w:tcW w:w="1710" w:type="dxa"/>
          </w:tcPr>
          <w:p w14:paraId="0177DF8A" w14:textId="77777777" w:rsidR="00CD0355" w:rsidRPr="001531CD" w:rsidRDefault="00CD0355" w:rsidP="00CD0355">
            <w:pPr>
              <w:tabs>
                <w:tab w:val="left" w:pos="180"/>
                <w:tab w:val="left" w:pos="360"/>
              </w:tabs>
              <w:rPr>
                <w:sz w:val="16"/>
                <w:szCs w:val="16"/>
              </w:rPr>
            </w:pPr>
            <w:r w:rsidRPr="001531CD">
              <w:rPr>
                <w:sz w:val="16"/>
                <w:szCs w:val="16"/>
              </w:rPr>
              <w:t>Pink Root</w:t>
            </w:r>
          </w:p>
        </w:tc>
        <w:tc>
          <w:tcPr>
            <w:tcW w:w="1154" w:type="dxa"/>
          </w:tcPr>
          <w:p w14:paraId="6EC76162" w14:textId="77777777" w:rsidR="00CD0355" w:rsidRPr="001531CD" w:rsidRDefault="00CD0355" w:rsidP="00CD0355">
            <w:pPr>
              <w:tabs>
                <w:tab w:val="left" w:pos="180"/>
                <w:tab w:val="left" w:pos="360"/>
              </w:tabs>
              <w:jc w:val="center"/>
              <w:rPr>
                <w:sz w:val="16"/>
                <w:szCs w:val="16"/>
              </w:rPr>
            </w:pPr>
            <w:r w:rsidRPr="001531CD">
              <w:rPr>
                <w:sz w:val="16"/>
                <w:szCs w:val="16"/>
              </w:rPr>
              <w:t>10.00%</w:t>
            </w:r>
          </w:p>
        </w:tc>
        <w:tc>
          <w:tcPr>
            <w:tcW w:w="1048" w:type="dxa"/>
          </w:tcPr>
          <w:p w14:paraId="71EFEBE7" w14:textId="77777777" w:rsidR="00CD0355" w:rsidRPr="001531CD" w:rsidRDefault="00CD0355" w:rsidP="00CD0355">
            <w:pPr>
              <w:tabs>
                <w:tab w:val="left" w:pos="180"/>
                <w:tab w:val="left" w:pos="360"/>
              </w:tabs>
              <w:jc w:val="center"/>
              <w:rPr>
                <w:sz w:val="16"/>
                <w:szCs w:val="16"/>
              </w:rPr>
            </w:pPr>
            <w:r w:rsidRPr="001531CD">
              <w:rPr>
                <w:sz w:val="16"/>
                <w:szCs w:val="16"/>
              </w:rPr>
              <w:t>10.00%</w:t>
            </w:r>
          </w:p>
        </w:tc>
        <w:tc>
          <w:tcPr>
            <w:tcW w:w="954" w:type="dxa"/>
          </w:tcPr>
          <w:p w14:paraId="1C39F9AD" w14:textId="77777777" w:rsidR="00CD0355" w:rsidRPr="001531CD" w:rsidRDefault="00CD0355" w:rsidP="00CD0355">
            <w:pPr>
              <w:tabs>
                <w:tab w:val="left" w:pos="180"/>
                <w:tab w:val="left" w:pos="360"/>
              </w:tabs>
              <w:jc w:val="center"/>
              <w:rPr>
                <w:sz w:val="16"/>
                <w:szCs w:val="16"/>
              </w:rPr>
            </w:pPr>
            <w:r w:rsidRPr="001531CD">
              <w:rPr>
                <w:sz w:val="16"/>
                <w:szCs w:val="16"/>
              </w:rPr>
              <w:t>10.00%</w:t>
            </w:r>
          </w:p>
        </w:tc>
      </w:tr>
      <w:tr w:rsidR="00CD0355" w:rsidRPr="006F2476" w14:paraId="5933161D" w14:textId="77777777" w:rsidTr="00CD0355">
        <w:trPr>
          <w:cantSplit/>
          <w:jc w:val="center"/>
        </w:trPr>
        <w:tc>
          <w:tcPr>
            <w:tcW w:w="1710" w:type="dxa"/>
          </w:tcPr>
          <w:p w14:paraId="73B9061C" w14:textId="77777777" w:rsidR="00CD0355" w:rsidRPr="001531CD" w:rsidRDefault="00CD0355" w:rsidP="00CD0355">
            <w:pPr>
              <w:tabs>
                <w:tab w:val="left" w:pos="180"/>
                <w:tab w:val="left" w:pos="360"/>
              </w:tabs>
              <w:rPr>
                <w:sz w:val="16"/>
                <w:szCs w:val="16"/>
              </w:rPr>
            </w:pPr>
            <w:r w:rsidRPr="001531CD">
              <w:rPr>
                <w:sz w:val="16"/>
                <w:szCs w:val="16"/>
              </w:rPr>
              <w:t>Onion Smut</w:t>
            </w:r>
          </w:p>
        </w:tc>
        <w:tc>
          <w:tcPr>
            <w:tcW w:w="1154" w:type="dxa"/>
          </w:tcPr>
          <w:p w14:paraId="1C2C65C6"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48" w:type="dxa"/>
          </w:tcPr>
          <w:p w14:paraId="6E490B4F"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54" w:type="dxa"/>
          </w:tcPr>
          <w:p w14:paraId="0343C040"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6F2476" w14:paraId="63256360" w14:textId="77777777" w:rsidTr="00CD0355">
        <w:trPr>
          <w:cantSplit/>
          <w:jc w:val="center"/>
        </w:trPr>
        <w:tc>
          <w:tcPr>
            <w:tcW w:w="1710" w:type="dxa"/>
            <w:tcBorders>
              <w:bottom w:val="double" w:sz="6" w:space="0" w:color="000000"/>
            </w:tcBorders>
          </w:tcPr>
          <w:p w14:paraId="17E43F97" w14:textId="77777777" w:rsidR="00CD0355" w:rsidRPr="001531CD" w:rsidRDefault="00CD0355" w:rsidP="00CD0355">
            <w:pPr>
              <w:tabs>
                <w:tab w:val="left" w:pos="180"/>
                <w:tab w:val="left" w:pos="360"/>
              </w:tabs>
              <w:rPr>
                <w:sz w:val="16"/>
                <w:szCs w:val="16"/>
              </w:rPr>
            </w:pPr>
            <w:r w:rsidRPr="001531CD">
              <w:rPr>
                <w:sz w:val="16"/>
                <w:szCs w:val="16"/>
              </w:rPr>
              <w:t>Mildew</w:t>
            </w:r>
          </w:p>
        </w:tc>
        <w:tc>
          <w:tcPr>
            <w:tcW w:w="1154" w:type="dxa"/>
            <w:tcBorders>
              <w:bottom w:val="double" w:sz="6" w:space="0" w:color="000000"/>
            </w:tcBorders>
          </w:tcPr>
          <w:p w14:paraId="2A68414C" w14:textId="77777777" w:rsidR="00CD0355" w:rsidRPr="001531CD" w:rsidRDefault="00CD0355" w:rsidP="00CD0355">
            <w:pPr>
              <w:tabs>
                <w:tab w:val="left" w:pos="180"/>
                <w:tab w:val="left" w:pos="360"/>
              </w:tabs>
              <w:jc w:val="center"/>
              <w:rPr>
                <w:sz w:val="16"/>
                <w:szCs w:val="16"/>
              </w:rPr>
            </w:pPr>
            <w:r w:rsidRPr="001531CD">
              <w:rPr>
                <w:sz w:val="16"/>
                <w:szCs w:val="16"/>
              </w:rPr>
              <w:t>5.00%</w:t>
            </w:r>
          </w:p>
        </w:tc>
        <w:tc>
          <w:tcPr>
            <w:tcW w:w="1048" w:type="dxa"/>
            <w:tcBorders>
              <w:bottom w:val="double" w:sz="6" w:space="0" w:color="000000"/>
            </w:tcBorders>
          </w:tcPr>
          <w:p w14:paraId="7C9DD859" w14:textId="77777777" w:rsidR="00CD0355" w:rsidRPr="001531CD" w:rsidRDefault="00CD0355" w:rsidP="00CD0355">
            <w:pPr>
              <w:tabs>
                <w:tab w:val="left" w:pos="180"/>
                <w:tab w:val="left" w:pos="360"/>
              </w:tabs>
              <w:jc w:val="center"/>
              <w:rPr>
                <w:sz w:val="16"/>
                <w:szCs w:val="16"/>
              </w:rPr>
            </w:pPr>
            <w:r w:rsidRPr="001531CD">
              <w:rPr>
                <w:sz w:val="16"/>
                <w:szCs w:val="16"/>
              </w:rPr>
              <w:t>5.00%</w:t>
            </w:r>
          </w:p>
        </w:tc>
        <w:tc>
          <w:tcPr>
            <w:tcW w:w="954" w:type="dxa"/>
            <w:tcBorders>
              <w:bottom w:val="double" w:sz="6" w:space="0" w:color="000000"/>
            </w:tcBorders>
          </w:tcPr>
          <w:p w14:paraId="4E81C312" w14:textId="77777777" w:rsidR="00CD0355" w:rsidRPr="001531CD" w:rsidRDefault="00CD0355" w:rsidP="00CD0355">
            <w:pPr>
              <w:tabs>
                <w:tab w:val="left" w:pos="180"/>
                <w:tab w:val="left" w:pos="360"/>
              </w:tabs>
              <w:jc w:val="center"/>
              <w:rPr>
                <w:sz w:val="16"/>
                <w:szCs w:val="16"/>
              </w:rPr>
            </w:pPr>
            <w:r w:rsidRPr="001531CD">
              <w:rPr>
                <w:sz w:val="16"/>
                <w:szCs w:val="16"/>
              </w:rPr>
              <w:t>5.00%</w:t>
            </w:r>
          </w:p>
        </w:tc>
      </w:tr>
    </w:tbl>
    <w:p w14:paraId="2C6251E9" w14:textId="77777777" w:rsidR="00CD0355" w:rsidRPr="001531CD" w:rsidRDefault="00CD0355" w:rsidP="00CD0355">
      <w:pPr>
        <w:tabs>
          <w:tab w:val="left" w:pos="187"/>
          <w:tab w:val="left" w:pos="540"/>
          <w:tab w:val="left" w:pos="4500"/>
          <w:tab w:val="left" w:pos="4680"/>
          <w:tab w:val="left" w:pos="4860"/>
          <w:tab w:val="left" w:pos="5040"/>
          <w:tab w:val="left" w:pos="7200"/>
        </w:tabs>
        <w:ind w:firstLine="187"/>
        <w:jc w:val="both"/>
        <w:outlineLvl w:val="3"/>
        <w:rPr>
          <w:sz w:val="20"/>
        </w:rPr>
      </w:pPr>
    </w:p>
    <w:p w14:paraId="52ED3108" w14:textId="77777777" w:rsidR="00CD0355" w:rsidRPr="001531CD" w:rsidRDefault="00CD0355" w:rsidP="00CD0355">
      <w:pPr>
        <w:pStyle w:val="A"/>
      </w:pPr>
      <w:r w:rsidRPr="001531CD">
        <w:t>B.</w:t>
      </w:r>
      <w:r w:rsidRPr="001531CD">
        <w:tab/>
        <w:t>Field Inspections. Two field inspections shall be made, one after seed heads are formed and one at harvest.</w:t>
      </w:r>
    </w:p>
    <w:p w14:paraId="707EF47E" w14:textId="77777777" w:rsidR="00CD0355" w:rsidRPr="001531CD" w:rsidRDefault="00CD0355" w:rsidP="00CD0355">
      <w:pPr>
        <w:pStyle w:val="A"/>
      </w:pPr>
      <w:r w:rsidRPr="001531CD">
        <w:t>C.</w:t>
      </w:r>
      <w:r w:rsidRPr="001531CD">
        <w:tab/>
        <w:t>Handling and Storage of Bulbs</w:t>
      </w:r>
    </w:p>
    <w:p w14:paraId="517677E3" w14:textId="77777777" w:rsidR="00CD0355" w:rsidRPr="001531CD" w:rsidRDefault="00CD0355" w:rsidP="00CD0355">
      <w:pPr>
        <w:pStyle w:val="1"/>
      </w:pPr>
      <w:r w:rsidRPr="001531CD">
        <w:t>1.</w:t>
      </w:r>
      <w:r w:rsidRPr="001531CD">
        <w:tab/>
        <w:t>Bulbs must be inspected once at harvest and once in a storage house prior to planting, except that when a grower follows a seed-to-seed system, no bulb inspection shall be necessary.</w:t>
      </w:r>
    </w:p>
    <w:p w14:paraId="48E231E1" w14:textId="77777777" w:rsidR="00CD0355" w:rsidRPr="001531CD" w:rsidRDefault="00CD0355" w:rsidP="00CD0355">
      <w:pPr>
        <w:pStyle w:val="1"/>
      </w:pPr>
      <w:r w:rsidRPr="001531CD">
        <w:t>2.</w:t>
      </w:r>
      <w:r w:rsidRPr="001531CD">
        <w:tab/>
        <w:t>Bulbs of any class must be free from decay; uniform in size, shape, and color; and not to exceed one-half of 1 percent varietal mixture.</w:t>
      </w:r>
    </w:p>
    <w:p w14:paraId="28A06C97" w14:textId="77777777" w:rsidR="00CD0355" w:rsidRPr="001531CD" w:rsidRDefault="00CD0355" w:rsidP="00CD0355">
      <w:pPr>
        <w:pStyle w:val="A"/>
      </w:pPr>
      <w:r w:rsidRPr="001531CD">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42"/>
        <w:gridCol w:w="1177"/>
        <w:gridCol w:w="1063"/>
        <w:gridCol w:w="968"/>
      </w:tblGrid>
      <w:tr w:rsidR="00CD0355" w:rsidRPr="006F2476" w14:paraId="7E931385" w14:textId="77777777" w:rsidTr="00CD0355">
        <w:trPr>
          <w:cantSplit/>
          <w:jc w:val="center"/>
        </w:trPr>
        <w:tc>
          <w:tcPr>
            <w:tcW w:w="1732" w:type="dxa"/>
            <w:tcBorders>
              <w:top w:val="double" w:sz="6" w:space="0" w:color="000000"/>
              <w:bottom w:val="single" w:sz="6" w:space="0" w:color="000000"/>
            </w:tcBorders>
            <w:shd w:val="clear" w:color="auto" w:fill="BFBFBF"/>
          </w:tcPr>
          <w:p w14:paraId="2D72AD41"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201" w:type="dxa"/>
            <w:tcBorders>
              <w:top w:val="double" w:sz="6" w:space="0" w:color="000000"/>
              <w:bottom w:val="single" w:sz="6" w:space="0" w:color="000000"/>
            </w:tcBorders>
            <w:shd w:val="clear" w:color="auto" w:fill="BFBFBF"/>
          </w:tcPr>
          <w:p w14:paraId="236D6CA2"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tcPr>
          <w:p w14:paraId="37ED4A69"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88" w:type="dxa"/>
            <w:tcBorders>
              <w:top w:val="double" w:sz="6" w:space="0" w:color="000000"/>
              <w:bottom w:val="single" w:sz="6" w:space="0" w:color="000000"/>
            </w:tcBorders>
            <w:shd w:val="clear" w:color="auto" w:fill="BFBFBF"/>
          </w:tcPr>
          <w:p w14:paraId="254C6388"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6F2476" w14:paraId="44DBDF73" w14:textId="77777777" w:rsidTr="00CD0355">
        <w:trPr>
          <w:cantSplit/>
          <w:jc w:val="center"/>
        </w:trPr>
        <w:tc>
          <w:tcPr>
            <w:tcW w:w="1732" w:type="dxa"/>
            <w:tcBorders>
              <w:top w:val="single" w:sz="6" w:space="0" w:color="000000"/>
            </w:tcBorders>
          </w:tcPr>
          <w:p w14:paraId="6B60E194"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201" w:type="dxa"/>
            <w:tcBorders>
              <w:top w:val="single" w:sz="6" w:space="0" w:color="000000"/>
            </w:tcBorders>
          </w:tcPr>
          <w:p w14:paraId="7EBAEC2A" w14:textId="77777777" w:rsidR="00CD0355" w:rsidRPr="001531CD" w:rsidRDefault="00CD0355" w:rsidP="00CD0355">
            <w:pPr>
              <w:tabs>
                <w:tab w:val="left" w:pos="180"/>
                <w:tab w:val="left" w:pos="360"/>
              </w:tabs>
              <w:jc w:val="center"/>
              <w:rPr>
                <w:sz w:val="16"/>
                <w:szCs w:val="16"/>
              </w:rPr>
            </w:pPr>
            <w:r w:rsidRPr="001531CD">
              <w:rPr>
                <w:sz w:val="16"/>
                <w:szCs w:val="16"/>
              </w:rPr>
              <w:t>99.50%</w:t>
            </w:r>
          </w:p>
        </w:tc>
        <w:tc>
          <w:tcPr>
            <w:tcW w:w="1080" w:type="dxa"/>
            <w:tcBorders>
              <w:top w:val="single" w:sz="6" w:space="0" w:color="000000"/>
            </w:tcBorders>
          </w:tcPr>
          <w:p w14:paraId="6402FBC5" w14:textId="77777777" w:rsidR="00CD0355" w:rsidRPr="001531CD" w:rsidRDefault="00CD0355" w:rsidP="00CD0355">
            <w:pPr>
              <w:tabs>
                <w:tab w:val="left" w:pos="180"/>
                <w:tab w:val="left" w:pos="360"/>
              </w:tabs>
              <w:jc w:val="center"/>
              <w:rPr>
                <w:sz w:val="16"/>
                <w:szCs w:val="16"/>
              </w:rPr>
            </w:pPr>
            <w:r w:rsidRPr="001531CD">
              <w:rPr>
                <w:sz w:val="16"/>
                <w:szCs w:val="16"/>
              </w:rPr>
              <w:t>99.50%</w:t>
            </w:r>
          </w:p>
        </w:tc>
        <w:tc>
          <w:tcPr>
            <w:tcW w:w="988" w:type="dxa"/>
            <w:tcBorders>
              <w:top w:val="single" w:sz="6" w:space="0" w:color="000000"/>
            </w:tcBorders>
          </w:tcPr>
          <w:p w14:paraId="61819FC9"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6F2476" w14:paraId="5C04943C" w14:textId="77777777" w:rsidTr="00CD0355">
        <w:trPr>
          <w:cantSplit/>
          <w:jc w:val="center"/>
        </w:trPr>
        <w:tc>
          <w:tcPr>
            <w:tcW w:w="1732" w:type="dxa"/>
          </w:tcPr>
          <w:p w14:paraId="42181B2A"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201" w:type="dxa"/>
          </w:tcPr>
          <w:p w14:paraId="31D6F2AD"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1080" w:type="dxa"/>
          </w:tcPr>
          <w:p w14:paraId="1E289737" w14:textId="77777777" w:rsidR="00CD0355" w:rsidRPr="001531CD" w:rsidRDefault="00CD0355" w:rsidP="00CD0355">
            <w:pPr>
              <w:tabs>
                <w:tab w:val="left" w:pos="180"/>
                <w:tab w:val="left" w:pos="360"/>
              </w:tabs>
              <w:jc w:val="center"/>
              <w:rPr>
                <w:sz w:val="16"/>
                <w:szCs w:val="16"/>
              </w:rPr>
            </w:pPr>
            <w:r w:rsidRPr="001531CD">
              <w:rPr>
                <w:sz w:val="16"/>
                <w:szCs w:val="16"/>
              </w:rPr>
              <w:t>0.50%</w:t>
            </w:r>
          </w:p>
        </w:tc>
        <w:tc>
          <w:tcPr>
            <w:tcW w:w="988" w:type="dxa"/>
          </w:tcPr>
          <w:p w14:paraId="163DCD95"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6F2476" w14:paraId="38FB51FD" w14:textId="77777777" w:rsidTr="00CD0355">
        <w:trPr>
          <w:cantSplit/>
          <w:jc w:val="center"/>
        </w:trPr>
        <w:tc>
          <w:tcPr>
            <w:tcW w:w="1732" w:type="dxa"/>
          </w:tcPr>
          <w:p w14:paraId="36B7AA19"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201" w:type="dxa"/>
          </w:tcPr>
          <w:p w14:paraId="3F0554E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14:paraId="4A97EBC1"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8" w:type="dxa"/>
          </w:tcPr>
          <w:p w14:paraId="413C14EB"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6F2476" w14:paraId="28244306" w14:textId="77777777" w:rsidTr="00CD0355">
        <w:trPr>
          <w:cantSplit/>
          <w:jc w:val="center"/>
        </w:trPr>
        <w:tc>
          <w:tcPr>
            <w:tcW w:w="1732" w:type="dxa"/>
          </w:tcPr>
          <w:p w14:paraId="1C852FDA"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201" w:type="dxa"/>
          </w:tcPr>
          <w:p w14:paraId="3C8988F9" w14:textId="77777777" w:rsidR="00CD0355" w:rsidRPr="001531CD" w:rsidRDefault="00CD0355" w:rsidP="00CD0355">
            <w:pPr>
              <w:tabs>
                <w:tab w:val="left" w:pos="180"/>
                <w:tab w:val="left" w:pos="360"/>
              </w:tabs>
              <w:jc w:val="center"/>
              <w:rPr>
                <w:sz w:val="16"/>
                <w:szCs w:val="16"/>
              </w:rPr>
            </w:pPr>
            <w:r w:rsidRPr="001531CD">
              <w:rPr>
                <w:sz w:val="16"/>
                <w:szCs w:val="16"/>
              </w:rPr>
              <w:t>0.20%</w:t>
            </w:r>
          </w:p>
        </w:tc>
        <w:tc>
          <w:tcPr>
            <w:tcW w:w="1080" w:type="dxa"/>
          </w:tcPr>
          <w:p w14:paraId="03589CF1" w14:textId="77777777" w:rsidR="00CD0355" w:rsidRPr="001531CD" w:rsidRDefault="00CD0355" w:rsidP="00CD0355">
            <w:pPr>
              <w:tabs>
                <w:tab w:val="left" w:pos="180"/>
                <w:tab w:val="left" w:pos="360"/>
              </w:tabs>
              <w:jc w:val="center"/>
              <w:rPr>
                <w:sz w:val="16"/>
                <w:szCs w:val="16"/>
              </w:rPr>
            </w:pPr>
            <w:r w:rsidRPr="001531CD">
              <w:rPr>
                <w:sz w:val="16"/>
                <w:szCs w:val="16"/>
              </w:rPr>
              <w:t>0.20%</w:t>
            </w:r>
          </w:p>
        </w:tc>
        <w:tc>
          <w:tcPr>
            <w:tcW w:w="988" w:type="dxa"/>
          </w:tcPr>
          <w:p w14:paraId="79896CEA" w14:textId="77777777" w:rsidR="00CD0355" w:rsidRPr="001531CD" w:rsidRDefault="00CD0355" w:rsidP="00CD0355">
            <w:pPr>
              <w:tabs>
                <w:tab w:val="left" w:pos="180"/>
                <w:tab w:val="left" w:pos="360"/>
              </w:tabs>
              <w:jc w:val="center"/>
              <w:rPr>
                <w:sz w:val="16"/>
                <w:szCs w:val="16"/>
              </w:rPr>
            </w:pPr>
            <w:r w:rsidRPr="001531CD">
              <w:rPr>
                <w:sz w:val="16"/>
                <w:szCs w:val="16"/>
              </w:rPr>
              <w:t>0.20%</w:t>
            </w:r>
          </w:p>
        </w:tc>
      </w:tr>
      <w:tr w:rsidR="00CD0355" w:rsidRPr="006F2476" w14:paraId="70AC6416" w14:textId="77777777" w:rsidTr="00CD0355">
        <w:trPr>
          <w:cantSplit/>
          <w:jc w:val="center"/>
        </w:trPr>
        <w:tc>
          <w:tcPr>
            <w:tcW w:w="1732" w:type="dxa"/>
          </w:tcPr>
          <w:p w14:paraId="122BF3F5"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1201" w:type="dxa"/>
          </w:tcPr>
          <w:p w14:paraId="3B3AA903"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14:paraId="5472BBF8"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8" w:type="dxa"/>
          </w:tcPr>
          <w:p w14:paraId="50A1F7CD"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6F2476" w14:paraId="120E5C09" w14:textId="77777777" w:rsidTr="00CD0355">
        <w:trPr>
          <w:cantSplit/>
          <w:jc w:val="center"/>
        </w:trPr>
        <w:tc>
          <w:tcPr>
            <w:tcW w:w="1732" w:type="dxa"/>
            <w:tcBorders>
              <w:bottom w:val="double" w:sz="6" w:space="0" w:color="000000"/>
            </w:tcBorders>
          </w:tcPr>
          <w:p w14:paraId="2088A06C"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201" w:type="dxa"/>
            <w:tcBorders>
              <w:bottom w:val="double" w:sz="6" w:space="0" w:color="000000"/>
            </w:tcBorders>
          </w:tcPr>
          <w:p w14:paraId="347F0F99"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080" w:type="dxa"/>
            <w:tcBorders>
              <w:bottom w:val="double" w:sz="6" w:space="0" w:color="000000"/>
            </w:tcBorders>
          </w:tcPr>
          <w:p w14:paraId="09863B8C"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988" w:type="dxa"/>
            <w:tcBorders>
              <w:bottom w:val="double" w:sz="6" w:space="0" w:color="000000"/>
            </w:tcBorders>
          </w:tcPr>
          <w:p w14:paraId="7DA730F6" w14:textId="77777777" w:rsidR="00CD0355" w:rsidRPr="001531CD" w:rsidRDefault="00CD0355" w:rsidP="00CD0355">
            <w:pPr>
              <w:tabs>
                <w:tab w:val="left" w:pos="180"/>
                <w:tab w:val="left" w:pos="360"/>
              </w:tabs>
              <w:jc w:val="center"/>
              <w:rPr>
                <w:sz w:val="16"/>
                <w:szCs w:val="16"/>
              </w:rPr>
            </w:pPr>
            <w:r w:rsidRPr="001531CD">
              <w:rPr>
                <w:sz w:val="16"/>
                <w:szCs w:val="16"/>
              </w:rPr>
              <w:t>80.00%</w:t>
            </w:r>
          </w:p>
        </w:tc>
      </w:tr>
    </w:tbl>
    <w:p w14:paraId="4BED72C0" w14:textId="77777777" w:rsidR="00CD0355" w:rsidRPr="001531CD" w:rsidRDefault="00CD0355" w:rsidP="00CD0355">
      <w:pPr>
        <w:pStyle w:val="A"/>
        <w:spacing w:after="0"/>
      </w:pPr>
    </w:p>
    <w:p w14:paraId="6F581367" w14:textId="77777777" w:rsidR="00CD0355" w:rsidRPr="001531CD" w:rsidRDefault="00CD0355" w:rsidP="00CD0355">
      <w:pPr>
        <w:pStyle w:val="AuthorityNote"/>
      </w:pPr>
      <w:r w:rsidRPr="001531CD">
        <w:t>AUTHORITY NOTE:</w:t>
      </w:r>
      <w:r w:rsidRPr="001531CD">
        <w:tab/>
        <w:t>Promulgated in accordance with R.S. 3:1433.</w:t>
      </w:r>
    </w:p>
    <w:p w14:paraId="20ED4696" w14:textId="77777777" w:rsidR="00CD0355" w:rsidRPr="001531CD" w:rsidRDefault="00CD0355" w:rsidP="00CD0355">
      <w:pPr>
        <w:pStyle w:val="HistoricalNote"/>
      </w:pPr>
      <w:r w:rsidRPr="001531CD">
        <w:t>HISTORICAL NOTE:</w:t>
      </w:r>
      <w:r w:rsidRPr="001531CD">
        <w:tab/>
        <w:t>Promulgated by the Department of Agriculture, Seed Commission, LR 8:575 (November l982),</w:t>
      </w:r>
      <w:r>
        <w:t xml:space="preserve"> </w:t>
      </w:r>
      <w:r w:rsidRPr="001531CD">
        <w:t>amended LR 9:200 (April l983), LR 10:737 (October 1984), amended by the Department of Agriculture and Forestry, Office of Agricultural and Environmental Sciences, Seed Commission, LR 12:825 (December l986), LR 15:613 (August 1989), LR 23:1284 (October 1997), repromulgated by the Department of Agriculture and Forestry, Office of Agricultural and Environmental Sciences, Agricultural Chemistry and Seed Commission, LR 39:2731 (October 2013).</w:t>
      </w:r>
    </w:p>
    <w:p w14:paraId="49B9BF2F" w14:textId="77777777" w:rsidR="00CD0355" w:rsidRPr="001531CD" w:rsidRDefault="00CD0355" w:rsidP="00CD0355">
      <w:pPr>
        <w:pStyle w:val="Section"/>
      </w:pPr>
      <w:bookmarkStart w:id="1201" w:name="_Toc224818827"/>
      <w:r w:rsidRPr="001531CD">
        <w:t>§785.</w:t>
      </w:r>
      <w:r w:rsidRPr="001531CD">
        <w:tab/>
        <w:t>Shallot Seed Certification Standards</w:t>
      </w:r>
      <w:bookmarkEnd w:id="1201"/>
      <w:r w:rsidRPr="001531CD">
        <w:t xml:space="preserve"> </w:t>
      </w:r>
    </w:p>
    <w:p w14:paraId="75E84DFB" w14:textId="77777777" w:rsidR="00CD0355" w:rsidRPr="001531CD" w:rsidRDefault="00CD0355" w:rsidP="00CD0355">
      <w:pPr>
        <w:pStyle w:val="A"/>
      </w:pPr>
      <w:r w:rsidRPr="001531CD">
        <w:t>A.</w:t>
      </w:r>
      <w:r w:rsidRPr="001531CD">
        <w:tab/>
        <w:t>Land Requirement. The unit of certification shall be a field, which must be at least 300 feet from garlic, onions, or uncertified shallots and shall not have been planted to shallots for two previous years.</w:t>
      </w:r>
    </w:p>
    <w:p w14:paraId="6C048334" w14:textId="77777777" w:rsidR="00CD0355" w:rsidRPr="001531CD" w:rsidRDefault="00CD0355" w:rsidP="00CD0355">
      <w:pPr>
        <w:pStyle w:val="A"/>
      </w:pPr>
      <w:r w:rsidRPr="001531CD">
        <w:t>B.</w:t>
      </w:r>
      <w:r w:rsidRPr="001531CD">
        <w:tab/>
        <w:t>Field Inspections. Three or more inspections shall be made of the shallots while growing.</w:t>
      </w:r>
    </w:p>
    <w:p w14:paraId="042A46D3" w14:textId="77777777" w:rsidR="00CD0355" w:rsidRPr="001531CD" w:rsidRDefault="00CD0355" w:rsidP="00CD0355">
      <w:pPr>
        <w:pStyle w:val="1"/>
      </w:pPr>
      <w:r w:rsidRPr="001531CD">
        <w:t>1.</w:t>
      </w:r>
      <w:r w:rsidRPr="001531CD">
        <w:tab/>
        <w:t>The first inspection shall be in the seed bed, between November 15 and December 15. On first inspection, more than 5 percent severe yellow dwarf shall cause the shallots in the entire plot to be ineligible for certification.</w:t>
      </w:r>
    </w:p>
    <w:p w14:paraId="64EBB38A" w14:textId="77777777" w:rsidR="00CD0355" w:rsidRPr="001531CD" w:rsidRDefault="00CD0355" w:rsidP="00CD0355">
      <w:pPr>
        <w:pStyle w:val="1"/>
      </w:pPr>
      <w:r w:rsidRPr="001531CD">
        <w:t>2.</w:t>
      </w:r>
      <w:r w:rsidRPr="001531CD">
        <w:tab/>
        <w:t>The second inspection shall be after transplanting, during March or April. On second inspection, yellow dwarf infection shall not exceed 1 percent in any area of a unit plot.</w:t>
      </w:r>
    </w:p>
    <w:p w14:paraId="41539963" w14:textId="77777777" w:rsidR="00CD0355" w:rsidRPr="001531CD" w:rsidRDefault="00CD0355" w:rsidP="00CD0355">
      <w:pPr>
        <w:pStyle w:val="1"/>
      </w:pPr>
      <w:r w:rsidRPr="001531CD">
        <w:t>3.</w:t>
      </w:r>
      <w:r w:rsidRPr="001531CD">
        <w:tab/>
        <w:t>The third inspection shall be just prior to or at harvest time, generally around May 1 through May 15. A field having in excess of 3 percent plants or irregular growth and maturity and/or more than 3 percent pink root infection shall be ineligible for certification.</w:t>
      </w:r>
    </w:p>
    <w:p w14:paraId="3F304627" w14:textId="77777777" w:rsidR="00CD0355" w:rsidRPr="001531CD" w:rsidRDefault="00CD0355" w:rsidP="00CD0355">
      <w:pPr>
        <w:pStyle w:val="A"/>
      </w:pPr>
      <w:r w:rsidRPr="001531CD">
        <w:t>C.</w:t>
      </w:r>
      <w:r w:rsidRPr="001531CD">
        <w:tab/>
        <w:t>Storage Requirements</w:t>
      </w:r>
    </w:p>
    <w:p w14:paraId="3A00222E" w14:textId="77777777" w:rsidR="00CD0355" w:rsidRPr="001531CD" w:rsidRDefault="00CD0355" w:rsidP="00CD0355">
      <w:pPr>
        <w:pStyle w:val="1"/>
      </w:pPr>
      <w:r w:rsidRPr="001531CD">
        <w:t>1.</w:t>
      </w:r>
      <w:r w:rsidRPr="001531CD">
        <w:tab/>
        <w:t>There shall be at least one inspection of the seed while in storage between June 15 and July 15.</w:t>
      </w:r>
    </w:p>
    <w:p w14:paraId="322C1AA6" w14:textId="77777777" w:rsidR="00CD0355" w:rsidRPr="001531CD" w:rsidRDefault="00CD0355" w:rsidP="00CD0355">
      <w:pPr>
        <w:pStyle w:val="1"/>
      </w:pPr>
      <w:r w:rsidRPr="001531CD">
        <w:t>2.</w:t>
      </w:r>
      <w:r w:rsidRPr="001531CD">
        <w:tab/>
        <w:t>The identity of shallot seed produced in each unit plot must be maintained by the grower.</w:t>
      </w:r>
    </w:p>
    <w:p w14:paraId="61072746" w14:textId="77777777" w:rsidR="00CD0355" w:rsidRPr="001531CD" w:rsidRDefault="00CD0355" w:rsidP="00CD0355">
      <w:pPr>
        <w:pStyle w:val="1"/>
      </w:pPr>
      <w:r w:rsidRPr="001531CD">
        <w:t>3.</w:t>
      </w:r>
      <w:r w:rsidRPr="001531CD">
        <w:tab/>
        <w:t>Shallot seed with more than 3 percent storage rot and/or pink root infection shall not be eligible for certification.</w:t>
      </w:r>
    </w:p>
    <w:p w14:paraId="6A7A8184" w14:textId="77777777" w:rsidR="00CD0355" w:rsidRPr="001531CD" w:rsidRDefault="00CD0355" w:rsidP="00CD0355">
      <w:pPr>
        <w:pStyle w:val="1"/>
      </w:pPr>
      <w:r w:rsidRPr="00D55B14">
        <w:t>4.</w:t>
      </w:r>
      <w:r w:rsidRPr="00D55B14">
        <w:tab/>
        <w:t>Seed severely infested with bulb mites shall not be eligible for certification. Seed lightly infested with bulb mites must be treated in a manner prescribed by LDAF before certified permit tags will be issued.</w:t>
      </w:r>
    </w:p>
    <w:p w14:paraId="78C7A407" w14:textId="77777777" w:rsidR="00CD0355" w:rsidRPr="001531CD" w:rsidRDefault="00CD0355" w:rsidP="00CD0355">
      <w:pPr>
        <w:pStyle w:val="A"/>
      </w:pPr>
      <w:r w:rsidRPr="001531CD">
        <w:t>D.</w:t>
      </w:r>
      <w:r w:rsidRPr="001531CD">
        <w:tab/>
        <w:t>Use of Certified Tags for Shallots. Shallot certificate permit tags shall be valid only during the season (June 1 of one year through May 31 of the succeeding year) in which issued and shall be invalid after being used one time only.</w:t>
      </w:r>
    </w:p>
    <w:p w14:paraId="1DECA325" w14:textId="77777777" w:rsidR="00CD0355" w:rsidRPr="001531CD" w:rsidRDefault="00CD0355" w:rsidP="00CD0355">
      <w:pPr>
        <w:pStyle w:val="AuthorityNote"/>
      </w:pPr>
      <w:r w:rsidRPr="001531CD">
        <w:t>AUTHORITY NOTE:</w:t>
      </w:r>
      <w:r w:rsidRPr="001531CD">
        <w:tab/>
        <w:t>Promulgated in accordance with R.S. 3:1433.</w:t>
      </w:r>
    </w:p>
    <w:p w14:paraId="1A3B8CFF" w14:textId="77777777"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39:2732 (October 2</w:t>
      </w:r>
      <w:r>
        <w:t>013), amended LR 40:756 (April 2014).</w:t>
      </w:r>
    </w:p>
    <w:p w14:paraId="799CE235" w14:textId="77777777" w:rsidR="00CD0355" w:rsidRPr="001531CD" w:rsidRDefault="00CD0355" w:rsidP="00CD0355">
      <w:pPr>
        <w:pStyle w:val="Section"/>
      </w:pPr>
      <w:bookmarkStart w:id="1202" w:name="_Toc224818828"/>
      <w:r w:rsidRPr="001531CD">
        <w:lastRenderedPageBreak/>
        <w:t>§787.</w:t>
      </w:r>
      <w:r w:rsidRPr="001531CD">
        <w:tab/>
        <w:t>Singletary Pea Seed Certification Standards</w:t>
      </w:r>
      <w:bookmarkEnd w:id="1202"/>
      <w:r w:rsidRPr="001531CD">
        <w:t xml:space="preserve"> </w:t>
      </w:r>
    </w:p>
    <w:p w14:paraId="129F07B7" w14:textId="77777777"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00"/>
        <w:gridCol w:w="1154"/>
        <w:gridCol w:w="1232"/>
        <w:gridCol w:w="1078"/>
      </w:tblGrid>
      <w:tr w:rsidR="00CD0355" w:rsidRPr="001531CD" w14:paraId="4831425E" w14:textId="77777777" w:rsidTr="00CD0355">
        <w:trPr>
          <w:cantSplit/>
          <w:jc w:val="center"/>
        </w:trPr>
        <w:tc>
          <w:tcPr>
            <w:tcW w:w="1300" w:type="dxa"/>
            <w:tcBorders>
              <w:top w:val="double" w:sz="6" w:space="0" w:color="000000"/>
              <w:bottom w:val="single" w:sz="6" w:space="0" w:color="000000"/>
            </w:tcBorders>
            <w:shd w:val="clear" w:color="auto" w:fill="BFBFBF"/>
          </w:tcPr>
          <w:p w14:paraId="79F79FB7"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4" w:type="dxa"/>
            <w:tcBorders>
              <w:top w:val="double" w:sz="6" w:space="0" w:color="000000"/>
              <w:bottom w:val="single" w:sz="6" w:space="0" w:color="000000"/>
            </w:tcBorders>
            <w:shd w:val="clear" w:color="auto" w:fill="BFBFBF"/>
          </w:tcPr>
          <w:p w14:paraId="2BB71E14"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232" w:type="dxa"/>
            <w:tcBorders>
              <w:top w:val="double" w:sz="6" w:space="0" w:color="000000"/>
              <w:bottom w:val="single" w:sz="6" w:space="0" w:color="000000"/>
            </w:tcBorders>
            <w:shd w:val="clear" w:color="auto" w:fill="BFBFBF"/>
          </w:tcPr>
          <w:p w14:paraId="2B099CA4"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8" w:type="dxa"/>
            <w:tcBorders>
              <w:top w:val="double" w:sz="6" w:space="0" w:color="000000"/>
              <w:bottom w:val="single" w:sz="6" w:space="0" w:color="000000"/>
            </w:tcBorders>
            <w:shd w:val="clear" w:color="auto" w:fill="BFBFBF"/>
          </w:tcPr>
          <w:p w14:paraId="2ACAFBF9"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640B76FE" w14:textId="77777777" w:rsidTr="00CD0355">
        <w:trPr>
          <w:cantSplit/>
          <w:jc w:val="center"/>
        </w:trPr>
        <w:tc>
          <w:tcPr>
            <w:tcW w:w="1300" w:type="dxa"/>
            <w:tcBorders>
              <w:top w:val="single" w:sz="6" w:space="0" w:color="000000"/>
            </w:tcBorders>
          </w:tcPr>
          <w:p w14:paraId="24CBF1DB" w14:textId="77777777" w:rsidR="00CD0355" w:rsidRPr="001531CD" w:rsidRDefault="00CD0355" w:rsidP="00CD0355">
            <w:pPr>
              <w:tabs>
                <w:tab w:val="left" w:pos="180"/>
                <w:tab w:val="left" w:pos="360"/>
              </w:tabs>
              <w:rPr>
                <w:sz w:val="16"/>
                <w:szCs w:val="16"/>
              </w:rPr>
            </w:pPr>
            <w:r w:rsidRPr="001531CD">
              <w:rPr>
                <w:sz w:val="16"/>
                <w:szCs w:val="16"/>
              </w:rPr>
              <w:t>*Land Requirement</w:t>
            </w:r>
          </w:p>
        </w:tc>
        <w:tc>
          <w:tcPr>
            <w:tcW w:w="1154" w:type="dxa"/>
            <w:tcBorders>
              <w:top w:val="single" w:sz="6" w:space="0" w:color="000000"/>
            </w:tcBorders>
          </w:tcPr>
          <w:p w14:paraId="3F0A3301"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232" w:type="dxa"/>
            <w:tcBorders>
              <w:top w:val="single" w:sz="6" w:space="0" w:color="000000"/>
            </w:tcBorders>
          </w:tcPr>
          <w:p w14:paraId="05537C0B"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078" w:type="dxa"/>
            <w:tcBorders>
              <w:top w:val="single" w:sz="6" w:space="0" w:color="000000"/>
            </w:tcBorders>
          </w:tcPr>
          <w:p w14:paraId="6ECA5AD4"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14:paraId="4E63AB21" w14:textId="77777777" w:rsidTr="00CD0355">
        <w:trPr>
          <w:cantSplit/>
          <w:jc w:val="center"/>
        </w:trPr>
        <w:tc>
          <w:tcPr>
            <w:tcW w:w="1300" w:type="dxa"/>
          </w:tcPr>
          <w:p w14:paraId="26E0D168" w14:textId="77777777" w:rsidR="00CD0355" w:rsidRPr="001531CD" w:rsidRDefault="00CD0355" w:rsidP="00CD0355">
            <w:pPr>
              <w:tabs>
                <w:tab w:val="left" w:pos="180"/>
                <w:tab w:val="left" w:pos="360"/>
              </w:tabs>
              <w:rPr>
                <w:sz w:val="16"/>
                <w:szCs w:val="16"/>
              </w:rPr>
            </w:pPr>
            <w:r w:rsidRPr="001531CD">
              <w:rPr>
                <w:sz w:val="16"/>
                <w:szCs w:val="16"/>
              </w:rPr>
              <w:t>Isolation</w:t>
            </w:r>
          </w:p>
        </w:tc>
        <w:tc>
          <w:tcPr>
            <w:tcW w:w="1154" w:type="dxa"/>
          </w:tcPr>
          <w:p w14:paraId="19CE422C" w14:textId="77777777" w:rsidR="00CD0355" w:rsidRPr="001531CD" w:rsidRDefault="00CD0355" w:rsidP="00CD0355">
            <w:pPr>
              <w:tabs>
                <w:tab w:val="left" w:pos="180"/>
                <w:tab w:val="left" w:pos="360"/>
              </w:tabs>
              <w:jc w:val="center"/>
              <w:rPr>
                <w:sz w:val="16"/>
                <w:szCs w:val="16"/>
              </w:rPr>
            </w:pPr>
            <w:r w:rsidRPr="001531CD">
              <w:rPr>
                <w:sz w:val="16"/>
                <w:szCs w:val="16"/>
              </w:rPr>
              <w:t>12 ft.</w:t>
            </w:r>
          </w:p>
        </w:tc>
        <w:tc>
          <w:tcPr>
            <w:tcW w:w="1232" w:type="dxa"/>
          </w:tcPr>
          <w:p w14:paraId="18CD5F17" w14:textId="77777777" w:rsidR="00CD0355" w:rsidRPr="001531CD" w:rsidRDefault="00CD0355" w:rsidP="00CD0355">
            <w:pPr>
              <w:tabs>
                <w:tab w:val="left" w:pos="180"/>
                <w:tab w:val="left" w:pos="360"/>
              </w:tabs>
              <w:jc w:val="center"/>
              <w:rPr>
                <w:sz w:val="16"/>
                <w:szCs w:val="16"/>
              </w:rPr>
            </w:pPr>
            <w:r w:rsidRPr="001531CD">
              <w:rPr>
                <w:sz w:val="16"/>
                <w:szCs w:val="16"/>
              </w:rPr>
              <w:t>12 ft.</w:t>
            </w:r>
          </w:p>
        </w:tc>
        <w:tc>
          <w:tcPr>
            <w:tcW w:w="1078" w:type="dxa"/>
          </w:tcPr>
          <w:p w14:paraId="19C5A550" w14:textId="77777777" w:rsidR="00CD0355" w:rsidRPr="001531CD" w:rsidRDefault="00CD0355" w:rsidP="00CD0355">
            <w:pPr>
              <w:tabs>
                <w:tab w:val="left" w:pos="180"/>
                <w:tab w:val="left" w:pos="360"/>
              </w:tabs>
              <w:jc w:val="center"/>
              <w:rPr>
                <w:sz w:val="16"/>
                <w:szCs w:val="16"/>
              </w:rPr>
            </w:pPr>
            <w:r w:rsidRPr="001531CD">
              <w:rPr>
                <w:sz w:val="16"/>
                <w:szCs w:val="16"/>
              </w:rPr>
              <w:t>12 ft.</w:t>
            </w:r>
          </w:p>
        </w:tc>
      </w:tr>
      <w:tr w:rsidR="00CD0355" w:rsidRPr="001531CD" w14:paraId="23274DDD" w14:textId="77777777" w:rsidTr="00CD0355">
        <w:trPr>
          <w:cantSplit/>
          <w:jc w:val="center"/>
        </w:trPr>
        <w:tc>
          <w:tcPr>
            <w:tcW w:w="1300" w:type="dxa"/>
            <w:vAlign w:val="center"/>
          </w:tcPr>
          <w:p w14:paraId="60A8EC40" w14:textId="77777777" w:rsidR="00CD0355" w:rsidRPr="001531CD" w:rsidRDefault="00CD0355" w:rsidP="00CD0355">
            <w:pPr>
              <w:tabs>
                <w:tab w:val="left" w:pos="180"/>
                <w:tab w:val="left" w:pos="360"/>
              </w:tabs>
              <w:jc w:val="center"/>
              <w:rPr>
                <w:sz w:val="16"/>
                <w:szCs w:val="16"/>
              </w:rPr>
            </w:pPr>
            <w:r w:rsidRPr="001531CD">
              <w:rPr>
                <w:sz w:val="16"/>
                <w:szCs w:val="16"/>
              </w:rPr>
              <w:t>Other Varieties</w:t>
            </w:r>
          </w:p>
        </w:tc>
        <w:tc>
          <w:tcPr>
            <w:tcW w:w="1154" w:type="dxa"/>
            <w:vAlign w:val="center"/>
          </w:tcPr>
          <w:p w14:paraId="4B7C363B" w14:textId="77777777" w:rsidR="00CD0355" w:rsidRPr="001531CD" w:rsidRDefault="00CD0355" w:rsidP="00CD0355">
            <w:pPr>
              <w:tabs>
                <w:tab w:val="left" w:pos="180"/>
                <w:tab w:val="left" w:pos="360"/>
              </w:tabs>
              <w:jc w:val="center"/>
              <w:rPr>
                <w:sz w:val="16"/>
                <w:szCs w:val="16"/>
              </w:rPr>
            </w:pPr>
            <w:r w:rsidRPr="001531CD">
              <w:rPr>
                <w:sz w:val="16"/>
                <w:szCs w:val="16"/>
              </w:rPr>
              <w:t>3 Plants per Acre</w:t>
            </w:r>
          </w:p>
        </w:tc>
        <w:tc>
          <w:tcPr>
            <w:tcW w:w="1232" w:type="dxa"/>
            <w:vAlign w:val="center"/>
          </w:tcPr>
          <w:p w14:paraId="77394D3F" w14:textId="77777777" w:rsidR="00CD0355" w:rsidRPr="001531CD" w:rsidRDefault="00CD0355" w:rsidP="00CD0355">
            <w:pPr>
              <w:tabs>
                <w:tab w:val="left" w:pos="180"/>
                <w:tab w:val="left" w:pos="360"/>
              </w:tabs>
              <w:jc w:val="center"/>
              <w:rPr>
                <w:sz w:val="16"/>
                <w:szCs w:val="16"/>
              </w:rPr>
            </w:pPr>
            <w:r w:rsidRPr="001531CD">
              <w:rPr>
                <w:sz w:val="16"/>
                <w:szCs w:val="16"/>
              </w:rPr>
              <w:t>3 Plants per Acre</w:t>
            </w:r>
          </w:p>
        </w:tc>
        <w:tc>
          <w:tcPr>
            <w:tcW w:w="1078" w:type="dxa"/>
            <w:vAlign w:val="center"/>
          </w:tcPr>
          <w:p w14:paraId="6C556597" w14:textId="77777777" w:rsidR="00CD0355" w:rsidRPr="001531CD" w:rsidRDefault="00CD0355" w:rsidP="00CD0355">
            <w:pPr>
              <w:tabs>
                <w:tab w:val="left" w:pos="180"/>
                <w:tab w:val="left" w:pos="360"/>
              </w:tabs>
              <w:jc w:val="center"/>
              <w:rPr>
                <w:sz w:val="16"/>
                <w:szCs w:val="16"/>
              </w:rPr>
            </w:pPr>
            <w:r w:rsidRPr="001531CD">
              <w:rPr>
                <w:sz w:val="16"/>
                <w:szCs w:val="16"/>
              </w:rPr>
              <w:t>6 Plants per Acre</w:t>
            </w:r>
          </w:p>
        </w:tc>
      </w:tr>
      <w:tr w:rsidR="00CD0355" w:rsidRPr="001531CD" w14:paraId="5C15C3A5" w14:textId="77777777" w:rsidTr="00CD0355">
        <w:trPr>
          <w:cantSplit/>
          <w:jc w:val="center"/>
        </w:trPr>
        <w:tc>
          <w:tcPr>
            <w:tcW w:w="4764" w:type="dxa"/>
            <w:gridSpan w:val="4"/>
            <w:tcBorders>
              <w:bottom w:val="double" w:sz="6" w:space="0" w:color="000000"/>
            </w:tcBorders>
          </w:tcPr>
          <w:p w14:paraId="35E2E270" w14:textId="77777777" w:rsidR="00CD0355" w:rsidRPr="001531CD" w:rsidRDefault="00CD0355" w:rsidP="00CD0355">
            <w:pPr>
              <w:tabs>
                <w:tab w:val="left" w:pos="180"/>
                <w:tab w:val="left" w:pos="360"/>
              </w:tabs>
              <w:rPr>
                <w:sz w:val="16"/>
                <w:szCs w:val="16"/>
              </w:rPr>
            </w:pPr>
            <w:r w:rsidRPr="001531CD">
              <w:rPr>
                <w:sz w:val="16"/>
                <w:szCs w:val="16"/>
              </w:rPr>
              <w:t>*Land must be free from vetch.</w:t>
            </w:r>
          </w:p>
        </w:tc>
      </w:tr>
    </w:tbl>
    <w:p w14:paraId="49FF6C6E" w14:textId="77777777" w:rsidR="00CD0355" w:rsidRPr="001531CD" w:rsidRDefault="00CD0355" w:rsidP="00CD0355">
      <w:pPr>
        <w:pStyle w:val="A"/>
        <w:spacing w:before="120"/>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90"/>
        <w:gridCol w:w="1174"/>
        <w:gridCol w:w="1199"/>
        <w:gridCol w:w="1121"/>
      </w:tblGrid>
      <w:tr w:rsidR="00CD0355" w:rsidRPr="001531CD" w14:paraId="05F6702E" w14:textId="77777777" w:rsidTr="00CD0355">
        <w:trPr>
          <w:cantSplit/>
          <w:jc w:val="center"/>
        </w:trPr>
        <w:tc>
          <w:tcPr>
            <w:tcW w:w="1290" w:type="dxa"/>
            <w:tcBorders>
              <w:top w:val="double" w:sz="6" w:space="0" w:color="000000"/>
              <w:bottom w:val="single" w:sz="6" w:space="0" w:color="000000"/>
            </w:tcBorders>
            <w:shd w:val="clear" w:color="auto" w:fill="BFBFBF"/>
          </w:tcPr>
          <w:p w14:paraId="66EF897B"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74" w:type="dxa"/>
            <w:tcBorders>
              <w:top w:val="double" w:sz="6" w:space="0" w:color="000000"/>
              <w:bottom w:val="single" w:sz="6" w:space="0" w:color="000000"/>
            </w:tcBorders>
            <w:shd w:val="clear" w:color="auto" w:fill="BFBFBF"/>
            <w:vAlign w:val="center"/>
          </w:tcPr>
          <w:p w14:paraId="0E7A2581"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199" w:type="dxa"/>
            <w:tcBorders>
              <w:top w:val="double" w:sz="6" w:space="0" w:color="000000"/>
              <w:bottom w:val="single" w:sz="6" w:space="0" w:color="000000"/>
            </w:tcBorders>
            <w:shd w:val="clear" w:color="auto" w:fill="BFBFBF"/>
            <w:vAlign w:val="center"/>
          </w:tcPr>
          <w:p w14:paraId="7EFD75F7"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121" w:type="dxa"/>
            <w:tcBorders>
              <w:top w:val="double" w:sz="6" w:space="0" w:color="000000"/>
              <w:bottom w:val="single" w:sz="6" w:space="0" w:color="000000"/>
            </w:tcBorders>
            <w:shd w:val="clear" w:color="auto" w:fill="BFBFBF"/>
            <w:vAlign w:val="center"/>
          </w:tcPr>
          <w:p w14:paraId="5CA37618"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2E51D7FC" w14:textId="77777777" w:rsidTr="00CD0355">
        <w:trPr>
          <w:cantSplit/>
          <w:jc w:val="center"/>
        </w:trPr>
        <w:tc>
          <w:tcPr>
            <w:tcW w:w="1290" w:type="dxa"/>
            <w:tcBorders>
              <w:top w:val="single" w:sz="6" w:space="0" w:color="000000"/>
            </w:tcBorders>
          </w:tcPr>
          <w:p w14:paraId="5A3A590B"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174" w:type="dxa"/>
            <w:tcBorders>
              <w:top w:val="single" w:sz="6" w:space="0" w:color="000000"/>
            </w:tcBorders>
            <w:vAlign w:val="center"/>
          </w:tcPr>
          <w:p w14:paraId="0B76EE04" w14:textId="77777777" w:rsidR="00CD0355" w:rsidRPr="001531CD" w:rsidRDefault="00CD0355" w:rsidP="00CD0355">
            <w:pPr>
              <w:tabs>
                <w:tab w:val="left" w:pos="180"/>
                <w:tab w:val="left" w:pos="360"/>
              </w:tabs>
              <w:jc w:val="center"/>
              <w:rPr>
                <w:sz w:val="16"/>
                <w:szCs w:val="16"/>
              </w:rPr>
            </w:pPr>
            <w:r w:rsidRPr="001531CD">
              <w:rPr>
                <w:sz w:val="16"/>
                <w:szCs w:val="16"/>
              </w:rPr>
              <w:t>97.00%</w:t>
            </w:r>
          </w:p>
        </w:tc>
        <w:tc>
          <w:tcPr>
            <w:tcW w:w="1199" w:type="dxa"/>
            <w:tcBorders>
              <w:top w:val="single" w:sz="6" w:space="0" w:color="000000"/>
            </w:tcBorders>
            <w:vAlign w:val="center"/>
          </w:tcPr>
          <w:p w14:paraId="6C95BBF5" w14:textId="77777777" w:rsidR="00CD0355" w:rsidRPr="001531CD" w:rsidRDefault="00CD0355" w:rsidP="00CD0355">
            <w:pPr>
              <w:tabs>
                <w:tab w:val="left" w:pos="180"/>
                <w:tab w:val="left" w:pos="360"/>
              </w:tabs>
              <w:jc w:val="center"/>
              <w:rPr>
                <w:sz w:val="16"/>
                <w:szCs w:val="16"/>
              </w:rPr>
            </w:pPr>
            <w:r w:rsidRPr="001531CD">
              <w:rPr>
                <w:sz w:val="16"/>
                <w:szCs w:val="16"/>
              </w:rPr>
              <w:t>97.00%</w:t>
            </w:r>
          </w:p>
        </w:tc>
        <w:tc>
          <w:tcPr>
            <w:tcW w:w="1121" w:type="dxa"/>
            <w:tcBorders>
              <w:top w:val="single" w:sz="6" w:space="0" w:color="000000"/>
            </w:tcBorders>
            <w:vAlign w:val="center"/>
          </w:tcPr>
          <w:p w14:paraId="4758A229" w14:textId="77777777" w:rsidR="00CD0355" w:rsidRPr="001531CD" w:rsidRDefault="00CD0355" w:rsidP="00CD0355">
            <w:pPr>
              <w:tabs>
                <w:tab w:val="left" w:pos="180"/>
                <w:tab w:val="left" w:pos="360"/>
              </w:tabs>
              <w:jc w:val="center"/>
              <w:rPr>
                <w:sz w:val="16"/>
                <w:szCs w:val="16"/>
              </w:rPr>
            </w:pPr>
            <w:r w:rsidRPr="001531CD">
              <w:rPr>
                <w:sz w:val="16"/>
                <w:szCs w:val="16"/>
              </w:rPr>
              <w:t>97.00%</w:t>
            </w:r>
          </w:p>
        </w:tc>
      </w:tr>
      <w:tr w:rsidR="00CD0355" w:rsidRPr="001531CD" w14:paraId="12150DFE" w14:textId="77777777" w:rsidTr="00CD0355">
        <w:trPr>
          <w:cantSplit/>
          <w:jc w:val="center"/>
        </w:trPr>
        <w:tc>
          <w:tcPr>
            <w:tcW w:w="1290" w:type="dxa"/>
          </w:tcPr>
          <w:p w14:paraId="14D7B744"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174" w:type="dxa"/>
            <w:vAlign w:val="center"/>
          </w:tcPr>
          <w:p w14:paraId="329E6194" w14:textId="77777777" w:rsidR="00CD0355" w:rsidRPr="001531CD" w:rsidRDefault="00CD0355" w:rsidP="00CD0355">
            <w:pPr>
              <w:tabs>
                <w:tab w:val="left" w:pos="180"/>
                <w:tab w:val="left" w:pos="360"/>
              </w:tabs>
              <w:jc w:val="center"/>
              <w:rPr>
                <w:sz w:val="16"/>
                <w:szCs w:val="16"/>
              </w:rPr>
            </w:pPr>
            <w:r w:rsidRPr="001531CD">
              <w:rPr>
                <w:sz w:val="16"/>
                <w:szCs w:val="16"/>
              </w:rPr>
              <w:t>3.00%</w:t>
            </w:r>
          </w:p>
        </w:tc>
        <w:tc>
          <w:tcPr>
            <w:tcW w:w="1199" w:type="dxa"/>
            <w:vAlign w:val="center"/>
          </w:tcPr>
          <w:p w14:paraId="01123540" w14:textId="77777777" w:rsidR="00CD0355" w:rsidRPr="001531CD" w:rsidRDefault="00CD0355" w:rsidP="00CD0355">
            <w:pPr>
              <w:tabs>
                <w:tab w:val="left" w:pos="180"/>
                <w:tab w:val="left" w:pos="360"/>
              </w:tabs>
              <w:jc w:val="center"/>
              <w:rPr>
                <w:sz w:val="16"/>
                <w:szCs w:val="16"/>
              </w:rPr>
            </w:pPr>
            <w:r w:rsidRPr="001531CD">
              <w:rPr>
                <w:sz w:val="16"/>
                <w:szCs w:val="16"/>
              </w:rPr>
              <w:t>3.00%</w:t>
            </w:r>
          </w:p>
        </w:tc>
        <w:tc>
          <w:tcPr>
            <w:tcW w:w="1121" w:type="dxa"/>
            <w:vAlign w:val="center"/>
          </w:tcPr>
          <w:p w14:paraId="32917A7E" w14:textId="77777777" w:rsidR="00CD0355" w:rsidRPr="001531CD" w:rsidRDefault="00CD0355" w:rsidP="00CD0355">
            <w:pPr>
              <w:tabs>
                <w:tab w:val="left" w:pos="180"/>
                <w:tab w:val="left" w:pos="360"/>
              </w:tabs>
              <w:jc w:val="center"/>
              <w:rPr>
                <w:sz w:val="16"/>
                <w:szCs w:val="16"/>
              </w:rPr>
            </w:pPr>
            <w:r w:rsidRPr="001531CD">
              <w:rPr>
                <w:sz w:val="16"/>
                <w:szCs w:val="16"/>
              </w:rPr>
              <w:t>3.00%</w:t>
            </w:r>
          </w:p>
        </w:tc>
      </w:tr>
      <w:tr w:rsidR="00CD0355" w:rsidRPr="001531CD" w14:paraId="5AE1D7D2" w14:textId="77777777" w:rsidTr="00CD0355">
        <w:trPr>
          <w:cantSplit/>
          <w:jc w:val="center"/>
        </w:trPr>
        <w:tc>
          <w:tcPr>
            <w:tcW w:w="1290" w:type="dxa"/>
          </w:tcPr>
          <w:p w14:paraId="4CC67C90"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174" w:type="dxa"/>
            <w:vAlign w:val="center"/>
          </w:tcPr>
          <w:p w14:paraId="75A573BE" w14:textId="77777777"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99" w:type="dxa"/>
            <w:vAlign w:val="center"/>
          </w:tcPr>
          <w:p w14:paraId="675636DC" w14:textId="77777777"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21" w:type="dxa"/>
            <w:vAlign w:val="center"/>
          </w:tcPr>
          <w:p w14:paraId="7183730E" w14:textId="77777777" w:rsidR="00CD0355" w:rsidRPr="001531CD" w:rsidRDefault="00CD0355" w:rsidP="00CD0355">
            <w:pPr>
              <w:tabs>
                <w:tab w:val="left" w:pos="180"/>
                <w:tab w:val="left" w:pos="360"/>
              </w:tabs>
              <w:jc w:val="center"/>
              <w:rPr>
                <w:sz w:val="16"/>
                <w:szCs w:val="16"/>
              </w:rPr>
            </w:pPr>
            <w:r w:rsidRPr="001531CD">
              <w:rPr>
                <w:sz w:val="16"/>
                <w:szCs w:val="16"/>
              </w:rPr>
              <w:t>3 seed/lb.</w:t>
            </w:r>
          </w:p>
        </w:tc>
      </w:tr>
      <w:tr w:rsidR="00CD0355" w:rsidRPr="001531CD" w14:paraId="359917D3" w14:textId="77777777" w:rsidTr="00CD0355">
        <w:trPr>
          <w:cantSplit/>
          <w:jc w:val="center"/>
        </w:trPr>
        <w:tc>
          <w:tcPr>
            <w:tcW w:w="1290" w:type="dxa"/>
          </w:tcPr>
          <w:p w14:paraId="25217752"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174" w:type="dxa"/>
            <w:vAlign w:val="center"/>
          </w:tcPr>
          <w:p w14:paraId="0FEB4B13" w14:textId="77777777"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99" w:type="dxa"/>
            <w:vAlign w:val="center"/>
          </w:tcPr>
          <w:p w14:paraId="50ABD9EA" w14:textId="77777777"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21" w:type="dxa"/>
            <w:vAlign w:val="center"/>
          </w:tcPr>
          <w:p w14:paraId="6BD3C0D2"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14:paraId="1DCCADD1" w14:textId="77777777" w:rsidTr="00CD0355">
        <w:trPr>
          <w:cantSplit/>
          <w:jc w:val="center"/>
        </w:trPr>
        <w:tc>
          <w:tcPr>
            <w:tcW w:w="1290" w:type="dxa"/>
          </w:tcPr>
          <w:p w14:paraId="4D33C3E8"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1174" w:type="dxa"/>
            <w:vAlign w:val="center"/>
          </w:tcPr>
          <w:p w14:paraId="55EF7558"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99" w:type="dxa"/>
            <w:vAlign w:val="center"/>
          </w:tcPr>
          <w:p w14:paraId="5E75978B"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121" w:type="dxa"/>
            <w:vAlign w:val="center"/>
          </w:tcPr>
          <w:p w14:paraId="6043A2E2"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46534650" w14:textId="77777777" w:rsidTr="00CD0355">
        <w:trPr>
          <w:cantSplit/>
          <w:jc w:val="center"/>
        </w:trPr>
        <w:tc>
          <w:tcPr>
            <w:tcW w:w="1290" w:type="dxa"/>
          </w:tcPr>
          <w:p w14:paraId="5034EC1D" w14:textId="77777777" w:rsidR="00CD0355" w:rsidRPr="001531CD" w:rsidRDefault="00CD0355" w:rsidP="00CD0355">
            <w:pPr>
              <w:tabs>
                <w:tab w:val="left" w:pos="180"/>
                <w:tab w:val="left" w:pos="360"/>
              </w:tabs>
              <w:rPr>
                <w:sz w:val="16"/>
                <w:szCs w:val="16"/>
              </w:rPr>
            </w:pPr>
            <w:r w:rsidRPr="001531CD">
              <w:rPr>
                <w:sz w:val="16"/>
                <w:szCs w:val="16"/>
              </w:rPr>
              <w:t>Other Weeds</w:t>
            </w:r>
          </w:p>
        </w:tc>
        <w:tc>
          <w:tcPr>
            <w:tcW w:w="1174" w:type="dxa"/>
            <w:vAlign w:val="center"/>
          </w:tcPr>
          <w:p w14:paraId="1952EF6D"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c>
          <w:tcPr>
            <w:tcW w:w="1199" w:type="dxa"/>
            <w:vAlign w:val="center"/>
          </w:tcPr>
          <w:p w14:paraId="1DB7E8BD"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c>
          <w:tcPr>
            <w:tcW w:w="1121" w:type="dxa"/>
            <w:vAlign w:val="center"/>
          </w:tcPr>
          <w:p w14:paraId="336860B8" w14:textId="77777777"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14:paraId="28C83FF8" w14:textId="77777777" w:rsidTr="00CD0355">
        <w:trPr>
          <w:cantSplit/>
          <w:jc w:val="center"/>
        </w:trPr>
        <w:tc>
          <w:tcPr>
            <w:tcW w:w="1290" w:type="dxa"/>
            <w:tcBorders>
              <w:bottom w:val="double" w:sz="6" w:space="0" w:color="000000"/>
            </w:tcBorders>
          </w:tcPr>
          <w:p w14:paraId="03BD523E"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174" w:type="dxa"/>
            <w:tcBorders>
              <w:bottom w:val="double" w:sz="6" w:space="0" w:color="000000"/>
            </w:tcBorders>
            <w:vAlign w:val="center"/>
          </w:tcPr>
          <w:p w14:paraId="1108CC93"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199" w:type="dxa"/>
            <w:tcBorders>
              <w:bottom w:val="double" w:sz="6" w:space="0" w:color="000000"/>
            </w:tcBorders>
            <w:vAlign w:val="center"/>
          </w:tcPr>
          <w:p w14:paraId="199CD1C9"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121" w:type="dxa"/>
            <w:tcBorders>
              <w:bottom w:val="double" w:sz="6" w:space="0" w:color="000000"/>
            </w:tcBorders>
            <w:vAlign w:val="center"/>
          </w:tcPr>
          <w:p w14:paraId="3028D035" w14:textId="77777777" w:rsidR="00CD0355" w:rsidRPr="001531CD" w:rsidRDefault="00CD0355" w:rsidP="00CD0355">
            <w:pPr>
              <w:tabs>
                <w:tab w:val="left" w:pos="180"/>
                <w:tab w:val="left" w:pos="360"/>
              </w:tabs>
              <w:jc w:val="center"/>
              <w:rPr>
                <w:sz w:val="16"/>
                <w:szCs w:val="16"/>
              </w:rPr>
            </w:pPr>
            <w:r w:rsidRPr="001531CD">
              <w:rPr>
                <w:sz w:val="16"/>
                <w:szCs w:val="16"/>
              </w:rPr>
              <w:t>80.00%</w:t>
            </w:r>
          </w:p>
        </w:tc>
      </w:tr>
    </w:tbl>
    <w:p w14:paraId="254AE835" w14:textId="77777777" w:rsidR="00CD0355" w:rsidRPr="001531CD" w:rsidRDefault="00CD0355" w:rsidP="00CD0355">
      <w:pPr>
        <w:pStyle w:val="A"/>
        <w:spacing w:after="0"/>
      </w:pPr>
    </w:p>
    <w:p w14:paraId="45BB0E4C" w14:textId="77777777" w:rsidR="00CD0355" w:rsidRPr="001531CD" w:rsidRDefault="00CD0355" w:rsidP="00CD0355">
      <w:pPr>
        <w:pStyle w:val="AuthorityNote"/>
      </w:pPr>
      <w:r w:rsidRPr="001531CD">
        <w:t>AUTHORITY NOTE:</w:t>
      </w:r>
      <w:r w:rsidRPr="001531CD">
        <w:tab/>
        <w:t>Promulgated in accordance with R.S. 3:1433.</w:t>
      </w:r>
    </w:p>
    <w:p w14:paraId="342059AB" w14:textId="77777777"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39:2732 (October 2013).</w:t>
      </w:r>
    </w:p>
    <w:p w14:paraId="581CC9B7" w14:textId="77777777" w:rsidR="00CD0355" w:rsidRPr="001531CD" w:rsidRDefault="00CD0355" w:rsidP="00CD0355">
      <w:pPr>
        <w:pStyle w:val="Section"/>
      </w:pPr>
      <w:bookmarkStart w:id="1203" w:name="_Toc224818829"/>
      <w:r w:rsidRPr="001531CD">
        <w:t>§789.</w:t>
      </w:r>
      <w:r w:rsidRPr="001531CD">
        <w:tab/>
        <w:t>Southern Field Pea (Cowpea) Seed Certification Standards</w:t>
      </w:r>
      <w:bookmarkEnd w:id="1203"/>
    </w:p>
    <w:p w14:paraId="63734E17" w14:textId="77777777"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338"/>
        <w:gridCol w:w="793"/>
        <w:gridCol w:w="977"/>
        <w:gridCol w:w="880"/>
        <w:gridCol w:w="862"/>
      </w:tblGrid>
      <w:tr w:rsidR="00CD0355" w:rsidRPr="001531CD" w14:paraId="52E1C90B" w14:textId="77777777" w:rsidTr="00CD0355">
        <w:trPr>
          <w:cantSplit/>
          <w:jc w:val="center"/>
        </w:trPr>
        <w:tc>
          <w:tcPr>
            <w:tcW w:w="1373" w:type="dxa"/>
            <w:tcBorders>
              <w:top w:val="double" w:sz="6" w:space="0" w:color="000000"/>
              <w:bottom w:val="single" w:sz="6" w:space="0" w:color="000000"/>
            </w:tcBorders>
            <w:shd w:val="clear" w:color="auto" w:fill="BFBFBF"/>
            <w:tcMar>
              <w:left w:w="0" w:type="dxa"/>
              <w:right w:w="0" w:type="dxa"/>
            </w:tcMar>
          </w:tcPr>
          <w:p w14:paraId="5987B5AD"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tcMar>
              <w:left w:w="0" w:type="dxa"/>
              <w:right w:w="0" w:type="dxa"/>
            </w:tcMar>
          </w:tcPr>
          <w:p w14:paraId="46518836" w14:textId="77777777"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90" w:type="dxa"/>
            <w:tcBorders>
              <w:top w:val="double" w:sz="6" w:space="0" w:color="000000"/>
              <w:bottom w:val="single" w:sz="6" w:space="0" w:color="000000"/>
            </w:tcBorders>
            <w:shd w:val="clear" w:color="auto" w:fill="BFBFBF"/>
            <w:tcMar>
              <w:left w:w="0" w:type="dxa"/>
              <w:right w:w="0" w:type="dxa"/>
            </w:tcMar>
          </w:tcPr>
          <w:p w14:paraId="40E35BB4"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890" w:type="dxa"/>
            <w:tcBorders>
              <w:top w:val="double" w:sz="6" w:space="0" w:color="000000"/>
              <w:bottom w:val="single" w:sz="6" w:space="0" w:color="000000"/>
            </w:tcBorders>
            <w:shd w:val="clear" w:color="auto" w:fill="BFBFBF"/>
            <w:tcMar>
              <w:left w:w="0" w:type="dxa"/>
              <w:right w:w="0" w:type="dxa"/>
            </w:tcMar>
          </w:tcPr>
          <w:p w14:paraId="6D41EB4B"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879" w:type="dxa"/>
            <w:tcBorders>
              <w:top w:val="double" w:sz="6" w:space="0" w:color="000000"/>
              <w:bottom w:val="single" w:sz="6" w:space="0" w:color="000000"/>
            </w:tcBorders>
            <w:shd w:val="clear" w:color="auto" w:fill="BFBFBF"/>
            <w:tcMar>
              <w:left w:w="0" w:type="dxa"/>
              <w:right w:w="0" w:type="dxa"/>
            </w:tcMar>
          </w:tcPr>
          <w:p w14:paraId="14EC9376"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05DC313A" w14:textId="77777777" w:rsidTr="00CD0355">
        <w:trPr>
          <w:cantSplit/>
          <w:jc w:val="center"/>
        </w:trPr>
        <w:tc>
          <w:tcPr>
            <w:tcW w:w="1373" w:type="dxa"/>
            <w:tcBorders>
              <w:top w:val="single" w:sz="6" w:space="0" w:color="000000"/>
            </w:tcBorders>
            <w:tcMar>
              <w:left w:w="0" w:type="dxa"/>
              <w:right w:w="0" w:type="dxa"/>
            </w:tcMar>
          </w:tcPr>
          <w:p w14:paraId="3AEA8729" w14:textId="77777777" w:rsidR="00CD0355" w:rsidRPr="001531CD" w:rsidRDefault="00CD0355" w:rsidP="00CD0355">
            <w:pPr>
              <w:tabs>
                <w:tab w:val="left" w:pos="180"/>
                <w:tab w:val="left" w:pos="360"/>
              </w:tabs>
              <w:ind w:left="23"/>
              <w:rPr>
                <w:sz w:val="16"/>
                <w:szCs w:val="16"/>
              </w:rPr>
            </w:pPr>
            <w:r w:rsidRPr="001531CD">
              <w:rPr>
                <w:sz w:val="16"/>
                <w:szCs w:val="16"/>
              </w:rPr>
              <w:t>Land Requirement</w:t>
            </w:r>
          </w:p>
        </w:tc>
        <w:tc>
          <w:tcPr>
            <w:tcW w:w="810" w:type="dxa"/>
            <w:tcBorders>
              <w:top w:val="single" w:sz="6" w:space="0" w:color="000000"/>
            </w:tcBorders>
            <w:tcMar>
              <w:left w:w="0" w:type="dxa"/>
              <w:right w:w="0" w:type="dxa"/>
            </w:tcMar>
            <w:vAlign w:val="bottom"/>
          </w:tcPr>
          <w:p w14:paraId="524FF367"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990" w:type="dxa"/>
            <w:tcBorders>
              <w:top w:val="single" w:sz="6" w:space="0" w:color="000000"/>
            </w:tcBorders>
            <w:tcMar>
              <w:left w:w="0" w:type="dxa"/>
              <w:right w:w="0" w:type="dxa"/>
            </w:tcMar>
            <w:vAlign w:val="bottom"/>
          </w:tcPr>
          <w:p w14:paraId="6039A982"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890" w:type="dxa"/>
            <w:tcBorders>
              <w:top w:val="single" w:sz="6" w:space="0" w:color="000000"/>
            </w:tcBorders>
            <w:tcMar>
              <w:left w:w="0" w:type="dxa"/>
              <w:right w:w="0" w:type="dxa"/>
            </w:tcMar>
            <w:vAlign w:val="bottom"/>
          </w:tcPr>
          <w:p w14:paraId="1F28BA11"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879" w:type="dxa"/>
            <w:tcBorders>
              <w:top w:val="single" w:sz="6" w:space="0" w:color="000000"/>
            </w:tcBorders>
            <w:tcMar>
              <w:left w:w="0" w:type="dxa"/>
              <w:right w:w="0" w:type="dxa"/>
            </w:tcMar>
            <w:vAlign w:val="bottom"/>
          </w:tcPr>
          <w:p w14:paraId="7876EFD8"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14:paraId="6AF56405" w14:textId="77777777" w:rsidTr="00CD0355">
        <w:trPr>
          <w:cantSplit/>
          <w:jc w:val="center"/>
        </w:trPr>
        <w:tc>
          <w:tcPr>
            <w:tcW w:w="1373" w:type="dxa"/>
            <w:tcMar>
              <w:left w:w="0" w:type="dxa"/>
              <w:right w:w="0" w:type="dxa"/>
            </w:tcMar>
          </w:tcPr>
          <w:p w14:paraId="6B592601" w14:textId="77777777" w:rsidR="00CD0355" w:rsidRPr="001531CD" w:rsidRDefault="00CD0355" w:rsidP="00CD0355">
            <w:pPr>
              <w:tabs>
                <w:tab w:val="left" w:pos="180"/>
                <w:tab w:val="left" w:pos="360"/>
              </w:tabs>
              <w:ind w:left="23"/>
              <w:rPr>
                <w:sz w:val="16"/>
                <w:szCs w:val="16"/>
              </w:rPr>
            </w:pPr>
            <w:r w:rsidRPr="001531CD">
              <w:rPr>
                <w:sz w:val="16"/>
                <w:szCs w:val="16"/>
              </w:rPr>
              <w:t>Isolation</w:t>
            </w:r>
          </w:p>
        </w:tc>
        <w:tc>
          <w:tcPr>
            <w:tcW w:w="810" w:type="dxa"/>
            <w:tcMar>
              <w:left w:w="0" w:type="dxa"/>
              <w:right w:w="0" w:type="dxa"/>
            </w:tcMar>
            <w:vAlign w:val="bottom"/>
          </w:tcPr>
          <w:p w14:paraId="5613ED7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tcMar>
              <w:left w:w="0" w:type="dxa"/>
              <w:right w:w="0" w:type="dxa"/>
            </w:tcMar>
            <w:vAlign w:val="bottom"/>
          </w:tcPr>
          <w:p w14:paraId="55891CA2" w14:textId="77777777" w:rsidR="00CD0355" w:rsidRPr="001531CD" w:rsidRDefault="00CD0355" w:rsidP="00CD0355">
            <w:pPr>
              <w:tabs>
                <w:tab w:val="left" w:pos="180"/>
                <w:tab w:val="left" w:pos="360"/>
              </w:tabs>
              <w:jc w:val="center"/>
              <w:rPr>
                <w:sz w:val="16"/>
                <w:szCs w:val="16"/>
              </w:rPr>
            </w:pPr>
            <w:r w:rsidRPr="001531CD">
              <w:rPr>
                <w:sz w:val="16"/>
                <w:szCs w:val="16"/>
              </w:rPr>
              <w:t>10 ft.</w:t>
            </w:r>
          </w:p>
        </w:tc>
        <w:tc>
          <w:tcPr>
            <w:tcW w:w="890" w:type="dxa"/>
            <w:tcMar>
              <w:left w:w="0" w:type="dxa"/>
              <w:right w:w="0" w:type="dxa"/>
            </w:tcMar>
            <w:vAlign w:val="bottom"/>
          </w:tcPr>
          <w:p w14:paraId="081C541D" w14:textId="77777777" w:rsidR="00CD0355" w:rsidRPr="001531CD" w:rsidRDefault="00CD0355" w:rsidP="00CD0355">
            <w:pPr>
              <w:tabs>
                <w:tab w:val="left" w:pos="180"/>
                <w:tab w:val="left" w:pos="360"/>
              </w:tabs>
              <w:jc w:val="center"/>
              <w:rPr>
                <w:sz w:val="16"/>
                <w:szCs w:val="16"/>
              </w:rPr>
            </w:pPr>
            <w:r w:rsidRPr="001531CD">
              <w:rPr>
                <w:sz w:val="16"/>
                <w:szCs w:val="16"/>
              </w:rPr>
              <w:t>10 ft.</w:t>
            </w:r>
          </w:p>
        </w:tc>
        <w:tc>
          <w:tcPr>
            <w:tcW w:w="879" w:type="dxa"/>
            <w:tcMar>
              <w:left w:w="0" w:type="dxa"/>
              <w:right w:w="0" w:type="dxa"/>
            </w:tcMar>
            <w:vAlign w:val="bottom"/>
          </w:tcPr>
          <w:p w14:paraId="41D3872B" w14:textId="77777777" w:rsidR="00CD0355" w:rsidRPr="001531CD" w:rsidRDefault="00CD0355" w:rsidP="00CD0355">
            <w:pPr>
              <w:tabs>
                <w:tab w:val="left" w:pos="180"/>
                <w:tab w:val="left" w:pos="360"/>
              </w:tabs>
              <w:jc w:val="center"/>
              <w:rPr>
                <w:sz w:val="16"/>
                <w:szCs w:val="16"/>
              </w:rPr>
            </w:pPr>
            <w:r w:rsidRPr="001531CD">
              <w:rPr>
                <w:sz w:val="16"/>
                <w:szCs w:val="16"/>
              </w:rPr>
              <w:t>10 ft.</w:t>
            </w:r>
          </w:p>
        </w:tc>
      </w:tr>
      <w:tr w:rsidR="00CD0355" w:rsidRPr="001531CD" w14:paraId="73A30D18" w14:textId="77777777" w:rsidTr="00CD0355">
        <w:trPr>
          <w:cantSplit/>
          <w:jc w:val="center"/>
        </w:trPr>
        <w:tc>
          <w:tcPr>
            <w:tcW w:w="1373" w:type="dxa"/>
            <w:tcBorders>
              <w:bottom w:val="double" w:sz="6" w:space="0" w:color="000000"/>
            </w:tcBorders>
            <w:tcMar>
              <w:left w:w="0" w:type="dxa"/>
              <w:right w:w="0" w:type="dxa"/>
            </w:tcMar>
          </w:tcPr>
          <w:p w14:paraId="630B0721" w14:textId="77777777" w:rsidR="00CD0355" w:rsidRPr="001531CD" w:rsidRDefault="00CD0355" w:rsidP="00CD0355">
            <w:pPr>
              <w:tabs>
                <w:tab w:val="left" w:pos="180"/>
                <w:tab w:val="left" w:pos="360"/>
              </w:tabs>
              <w:ind w:left="23"/>
              <w:rPr>
                <w:sz w:val="16"/>
                <w:szCs w:val="16"/>
              </w:rPr>
            </w:pPr>
            <w:r w:rsidRPr="001531CD">
              <w:rPr>
                <w:sz w:val="16"/>
                <w:szCs w:val="16"/>
              </w:rPr>
              <w:t>Other Varieties and Off-type Plants</w:t>
            </w:r>
          </w:p>
        </w:tc>
        <w:tc>
          <w:tcPr>
            <w:tcW w:w="810" w:type="dxa"/>
            <w:tcBorders>
              <w:bottom w:val="double" w:sz="6" w:space="0" w:color="000000"/>
            </w:tcBorders>
            <w:tcMar>
              <w:left w:w="0" w:type="dxa"/>
              <w:right w:w="0" w:type="dxa"/>
            </w:tcMar>
            <w:vAlign w:val="bottom"/>
          </w:tcPr>
          <w:p w14:paraId="391D6BCF"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tcBorders>
              <w:bottom w:val="double" w:sz="6" w:space="0" w:color="000000"/>
            </w:tcBorders>
            <w:tcMar>
              <w:left w:w="0" w:type="dxa"/>
              <w:right w:w="0" w:type="dxa"/>
            </w:tcMar>
            <w:vAlign w:val="bottom"/>
          </w:tcPr>
          <w:p w14:paraId="38BDB07A" w14:textId="77777777"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c>
          <w:tcPr>
            <w:tcW w:w="890" w:type="dxa"/>
            <w:tcBorders>
              <w:bottom w:val="double" w:sz="6" w:space="0" w:color="000000"/>
            </w:tcBorders>
            <w:tcMar>
              <w:left w:w="0" w:type="dxa"/>
              <w:right w:w="0" w:type="dxa"/>
            </w:tcMar>
            <w:vAlign w:val="bottom"/>
          </w:tcPr>
          <w:p w14:paraId="60280EB6" w14:textId="77777777"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c>
          <w:tcPr>
            <w:tcW w:w="879" w:type="dxa"/>
            <w:tcBorders>
              <w:bottom w:val="double" w:sz="6" w:space="0" w:color="000000"/>
            </w:tcBorders>
            <w:tcMar>
              <w:left w:w="0" w:type="dxa"/>
              <w:right w:w="0" w:type="dxa"/>
            </w:tcMar>
            <w:vAlign w:val="bottom"/>
          </w:tcPr>
          <w:p w14:paraId="7BC94683" w14:textId="77777777"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r>
    </w:tbl>
    <w:p w14:paraId="513A3526" w14:textId="77777777" w:rsidR="00CD0355" w:rsidRPr="001531CD" w:rsidRDefault="00CD0355" w:rsidP="00CD0355">
      <w:pPr>
        <w:pStyle w:val="A"/>
        <w:spacing w:before="120"/>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36"/>
        <w:gridCol w:w="793"/>
        <w:gridCol w:w="927"/>
        <w:gridCol w:w="963"/>
        <w:gridCol w:w="831"/>
      </w:tblGrid>
      <w:tr w:rsidR="00CD0355" w:rsidRPr="001531CD" w14:paraId="343D39C7" w14:textId="77777777" w:rsidTr="00CD0355">
        <w:trPr>
          <w:cantSplit/>
          <w:tblHeader/>
          <w:jc w:val="center"/>
        </w:trPr>
        <w:tc>
          <w:tcPr>
            <w:tcW w:w="1373" w:type="dxa"/>
            <w:tcBorders>
              <w:top w:val="double" w:sz="6" w:space="0" w:color="000000"/>
              <w:bottom w:val="single" w:sz="6" w:space="0" w:color="000000"/>
            </w:tcBorders>
            <w:shd w:val="clear" w:color="auto" w:fill="BFBFBF"/>
            <w:tcMar>
              <w:left w:w="0" w:type="dxa"/>
              <w:right w:w="0" w:type="dxa"/>
            </w:tcMar>
          </w:tcPr>
          <w:p w14:paraId="4115CE24"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tcMar>
              <w:left w:w="0" w:type="dxa"/>
              <w:right w:w="0" w:type="dxa"/>
            </w:tcMar>
          </w:tcPr>
          <w:p w14:paraId="7C922506" w14:textId="77777777"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34" w:type="dxa"/>
            <w:tcBorders>
              <w:top w:val="double" w:sz="6" w:space="0" w:color="000000"/>
              <w:bottom w:val="single" w:sz="6" w:space="0" w:color="000000"/>
            </w:tcBorders>
            <w:shd w:val="clear" w:color="auto" w:fill="BFBFBF"/>
            <w:tcMar>
              <w:left w:w="0" w:type="dxa"/>
              <w:right w:w="0" w:type="dxa"/>
            </w:tcMar>
          </w:tcPr>
          <w:p w14:paraId="0DA3513E" w14:textId="77777777" w:rsidR="00CD0355" w:rsidRPr="001531CD" w:rsidRDefault="00CD0355" w:rsidP="00CD0355">
            <w:pPr>
              <w:tabs>
                <w:tab w:val="left" w:pos="180"/>
                <w:tab w:val="left" w:pos="360"/>
              </w:tabs>
              <w:ind w:right="34"/>
              <w:jc w:val="center"/>
              <w:rPr>
                <w:b/>
                <w:bCs/>
                <w:sz w:val="16"/>
                <w:szCs w:val="16"/>
              </w:rPr>
            </w:pPr>
            <w:r w:rsidRPr="001531CD">
              <w:rPr>
                <w:b/>
                <w:bCs/>
                <w:sz w:val="16"/>
                <w:szCs w:val="16"/>
              </w:rPr>
              <w:t>Foundation</w:t>
            </w:r>
          </w:p>
        </w:tc>
        <w:tc>
          <w:tcPr>
            <w:tcW w:w="980" w:type="dxa"/>
            <w:tcBorders>
              <w:top w:val="double" w:sz="6" w:space="0" w:color="000000"/>
              <w:bottom w:val="single" w:sz="6" w:space="0" w:color="000000"/>
            </w:tcBorders>
            <w:shd w:val="clear" w:color="auto" w:fill="BFBFBF"/>
            <w:tcMar>
              <w:left w:w="0" w:type="dxa"/>
              <w:right w:w="0" w:type="dxa"/>
            </w:tcMar>
          </w:tcPr>
          <w:p w14:paraId="4D7066F4"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845" w:type="dxa"/>
            <w:tcBorders>
              <w:top w:val="double" w:sz="6" w:space="0" w:color="000000"/>
              <w:bottom w:val="single" w:sz="6" w:space="0" w:color="000000"/>
            </w:tcBorders>
            <w:shd w:val="clear" w:color="auto" w:fill="BFBFBF"/>
            <w:tcMar>
              <w:left w:w="0" w:type="dxa"/>
              <w:right w:w="0" w:type="dxa"/>
            </w:tcMar>
          </w:tcPr>
          <w:p w14:paraId="6C2A77A7"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53D3D93F" w14:textId="77777777" w:rsidTr="00CD0355">
        <w:trPr>
          <w:cantSplit/>
          <w:jc w:val="center"/>
        </w:trPr>
        <w:tc>
          <w:tcPr>
            <w:tcW w:w="1373" w:type="dxa"/>
            <w:tcBorders>
              <w:top w:val="single" w:sz="6" w:space="0" w:color="000000"/>
            </w:tcBorders>
            <w:tcMar>
              <w:left w:w="0" w:type="dxa"/>
              <w:right w:w="0" w:type="dxa"/>
            </w:tcMar>
          </w:tcPr>
          <w:p w14:paraId="2BDE67BA" w14:textId="77777777" w:rsidR="00CD0355" w:rsidRPr="001531CD" w:rsidRDefault="00CD0355" w:rsidP="00CD0355">
            <w:pPr>
              <w:tabs>
                <w:tab w:val="left" w:pos="180"/>
                <w:tab w:val="left" w:pos="360"/>
              </w:tabs>
              <w:ind w:left="23"/>
              <w:rPr>
                <w:sz w:val="16"/>
                <w:szCs w:val="16"/>
              </w:rPr>
            </w:pPr>
            <w:r w:rsidRPr="001531CD">
              <w:rPr>
                <w:sz w:val="16"/>
                <w:szCs w:val="16"/>
              </w:rPr>
              <w:t>Pure Seed</w:t>
            </w:r>
          </w:p>
        </w:tc>
        <w:tc>
          <w:tcPr>
            <w:tcW w:w="810" w:type="dxa"/>
            <w:tcBorders>
              <w:top w:val="single" w:sz="6" w:space="0" w:color="000000"/>
            </w:tcBorders>
            <w:tcMar>
              <w:left w:w="0" w:type="dxa"/>
              <w:right w:w="0" w:type="dxa"/>
            </w:tcMar>
          </w:tcPr>
          <w:p w14:paraId="0E3E1BA5" w14:textId="77777777" w:rsidR="00CD0355" w:rsidRPr="001531CD" w:rsidRDefault="00CD0355" w:rsidP="00CD0355">
            <w:pPr>
              <w:tabs>
                <w:tab w:val="left" w:pos="180"/>
                <w:tab w:val="left" w:pos="360"/>
              </w:tabs>
              <w:jc w:val="center"/>
              <w:rPr>
                <w:sz w:val="16"/>
                <w:szCs w:val="16"/>
              </w:rPr>
            </w:pPr>
            <w:r w:rsidRPr="001531CD">
              <w:rPr>
                <w:sz w:val="16"/>
                <w:szCs w:val="16"/>
              </w:rPr>
              <w:t>99.00%</w:t>
            </w:r>
          </w:p>
        </w:tc>
        <w:tc>
          <w:tcPr>
            <w:tcW w:w="934" w:type="dxa"/>
            <w:tcBorders>
              <w:top w:val="single" w:sz="6" w:space="0" w:color="000000"/>
            </w:tcBorders>
            <w:tcMar>
              <w:left w:w="0" w:type="dxa"/>
              <w:right w:w="0" w:type="dxa"/>
            </w:tcMar>
          </w:tcPr>
          <w:p w14:paraId="7FB750F2"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980" w:type="dxa"/>
            <w:tcBorders>
              <w:top w:val="single" w:sz="6" w:space="0" w:color="000000"/>
            </w:tcBorders>
            <w:tcMar>
              <w:left w:w="0" w:type="dxa"/>
              <w:right w:w="0" w:type="dxa"/>
            </w:tcMar>
          </w:tcPr>
          <w:p w14:paraId="36A9431C"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845" w:type="dxa"/>
            <w:tcBorders>
              <w:top w:val="single" w:sz="6" w:space="0" w:color="000000"/>
            </w:tcBorders>
            <w:tcMar>
              <w:left w:w="0" w:type="dxa"/>
              <w:right w:w="0" w:type="dxa"/>
            </w:tcMar>
          </w:tcPr>
          <w:p w14:paraId="168051EE"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14:paraId="5BA58074" w14:textId="77777777" w:rsidTr="00CD0355">
        <w:trPr>
          <w:cantSplit/>
          <w:jc w:val="center"/>
        </w:trPr>
        <w:tc>
          <w:tcPr>
            <w:tcW w:w="1373" w:type="dxa"/>
            <w:tcMar>
              <w:left w:w="0" w:type="dxa"/>
              <w:right w:w="0" w:type="dxa"/>
            </w:tcMar>
          </w:tcPr>
          <w:p w14:paraId="0142322A" w14:textId="77777777" w:rsidR="00CD0355" w:rsidRPr="001531CD" w:rsidRDefault="00CD0355" w:rsidP="00CD0355">
            <w:pPr>
              <w:tabs>
                <w:tab w:val="left" w:pos="180"/>
                <w:tab w:val="left" w:pos="360"/>
              </w:tabs>
              <w:ind w:left="23"/>
              <w:rPr>
                <w:sz w:val="16"/>
                <w:szCs w:val="16"/>
              </w:rPr>
            </w:pPr>
            <w:r w:rsidRPr="001531CD">
              <w:rPr>
                <w:sz w:val="16"/>
                <w:szCs w:val="16"/>
              </w:rPr>
              <w:t>Inert Matter</w:t>
            </w:r>
          </w:p>
        </w:tc>
        <w:tc>
          <w:tcPr>
            <w:tcW w:w="810" w:type="dxa"/>
            <w:tcMar>
              <w:left w:w="0" w:type="dxa"/>
              <w:right w:w="0" w:type="dxa"/>
            </w:tcMar>
          </w:tcPr>
          <w:p w14:paraId="638B146D"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934" w:type="dxa"/>
            <w:tcMar>
              <w:left w:w="0" w:type="dxa"/>
              <w:right w:w="0" w:type="dxa"/>
            </w:tcMar>
          </w:tcPr>
          <w:p w14:paraId="699B8904"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80" w:type="dxa"/>
            <w:tcMar>
              <w:left w:w="0" w:type="dxa"/>
              <w:right w:w="0" w:type="dxa"/>
            </w:tcMar>
          </w:tcPr>
          <w:p w14:paraId="0EE44795"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845" w:type="dxa"/>
            <w:tcMar>
              <w:left w:w="0" w:type="dxa"/>
              <w:right w:w="0" w:type="dxa"/>
            </w:tcMar>
          </w:tcPr>
          <w:p w14:paraId="669ACC89"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6F77E28D" w14:textId="77777777" w:rsidTr="00CD0355">
        <w:trPr>
          <w:cantSplit/>
          <w:jc w:val="center"/>
        </w:trPr>
        <w:tc>
          <w:tcPr>
            <w:tcW w:w="1373" w:type="dxa"/>
            <w:tcMar>
              <w:left w:w="0" w:type="dxa"/>
              <w:right w:w="0" w:type="dxa"/>
            </w:tcMar>
          </w:tcPr>
          <w:p w14:paraId="773DD66D" w14:textId="77777777" w:rsidR="00CD0355" w:rsidRPr="001531CD" w:rsidRDefault="00CD0355" w:rsidP="00CD0355">
            <w:pPr>
              <w:tabs>
                <w:tab w:val="left" w:pos="180"/>
                <w:tab w:val="left" w:pos="360"/>
              </w:tabs>
              <w:ind w:left="23"/>
              <w:rPr>
                <w:sz w:val="16"/>
                <w:szCs w:val="16"/>
              </w:rPr>
            </w:pPr>
            <w:r w:rsidRPr="001531CD">
              <w:rPr>
                <w:sz w:val="16"/>
                <w:szCs w:val="16"/>
              </w:rPr>
              <w:t>Other Crops</w:t>
            </w:r>
          </w:p>
        </w:tc>
        <w:tc>
          <w:tcPr>
            <w:tcW w:w="810" w:type="dxa"/>
            <w:tcMar>
              <w:left w:w="0" w:type="dxa"/>
              <w:right w:w="0" w:type="dxa"/>
            </w:tcMar>
          </w:tcPr>
          <w:p w14:paraId="1A58103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14:paraId="3F72776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14:paraId="255C76F4"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14:paraId="674C26C3"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14:paraId="6322F477" w14:textId="77777777" w:rsidTr="00CD0355">
        <w:trPr>
          <w:cantSplit/>
          <w:jc w:val="center"/>
        </w:trPr>
        <w:tc>
          <w:tcPr>
            <w:tcW w:w="1373" w:type="dxa"/>
            <w:tcMar>
              <w:left w:w="0" w:type="dxa"/>
              <w:right w:w="0" w:type="dxa"/>
            </w:tcMar>
          </w:tcPr>
          <w:p w14:paraId="653B21A6" w14:textId="77777777" w:rsidR="00CD0355" w:rsidRPr="001531CD" w:rsidRDefault="00CD0355" w:rsidP="00CD0355">
            <w:pPr>
              <w:tabs>
                <w:tab w:val="left" w:pos="180"/>
                <w:tab w:val="left" w:pos="360"/>
              </w:tabs>
              <w:ind w:left="23"/>
              <w:rPr>
                <w:sz w:val="16"/>
                <w:szCs w:val="16"/>
              </w:rPr>
            </w:pPr>
            <w:r w:rsidRPr="001531CD">
              <w:rPr>
                <w:sz w:val="16"/>
                <w:szCs w:val="16"/>
              </w:rPr>
              <w:t>Other Varieties</w:t>
            </w:r>
          </w:p>
        </w:tc>
        <w:tc>
          <w:tcPr>
            <w:tcW w:w="810" w:type="dxa"/>
            <w:tcMar>
              <w:left w:w="0" w:type="dxa"/>
              <w:right w:w="0" w:type="dxa"/>
            </w:tcMar>
          </w:tcPr>
          <w:p w14:paraId="2886C2D6"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14:paraId="54ED43F0"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14:paraId="2D5430DF"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14:paraId="11E396F5"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14:paraId="7001A4D7" w14:textId="77777777" w:rsidTr="00CD0355">
        <w:trPr>
          <w:cantSplit/>
          <w:jc w:val="center"/>
        </w:trPr>
        <w:tc>
          <w:tcPr>
            <w:tcW w:w="1373" w:type="dxa"/>
            <w:tcMar>
              <w:left w:w="0" w:type="dxa"/>
              <w:right w:w="0" w:type="dxa"/>
            </w:tcMar>
          </w:tcPr>
          <w:p w14:paraId="4F0973AA" w14:textId="77777777" w:rsidR="00CD0355" w:rsidRPr="001531CD" w:rsidRDefault="00CD0355" w:rsidP="00CD0355">
            <w:pPr>
              <w:tabs>
                <w:tab w:val="left" w:pos="180"/>
                <w:tab w:val="left" w:pos="360"/>
              </w:tabs>
              <w:ind w:left="23"/>
              <w:rPr>
                <w:sz w:val="16"/>
                <w:szCs w:val="16"/>
              </w:rPr>
            </w:pPr>
            <w:r w:rsidRPr="001531CD">
              <w:rPr>
                <w:sz w:val="16"/>
                <w:szCs w:val="16"/>
              </w:rPr>
              <w:t>Noxious Weeds</w:t>
            </w:r>
          </w:p>
        </w:tc>
        <w:tc>
          <w:tcPr>
            <w:tcW w:w="810" w:type="dxa"/>
            <w:tcMar>
              <w:left w:w="0" w:type="dxa"/>
              <w:right w:w="0" w:type="dxa"/>
            </w:tcMar>
          </w:tcPr>
          <w:p w14:paraId="38A712F4"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14:paraId="7C8EFE71"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14:paraId="14C43328"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14:paraId="45EB53FB"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14825C21" w14:textId="77777777" w:rsidTr="00CD0355">
        <w:trPr>
          <w:cantSplit/>
          <w:jc w:val="center"/>
        </w:trPr>
        <w:tc>
          <w:tcPr>
            <w:tcW w:w="1373" w:type="dxa"/>
            <w:tcMar>
              <w:left w:w="0" w:type="dxa"/>
              <w:right w:w="0" w:type="dxa"/>
            </w:tcMar>
          </w:tcPr>
          <w:p w14:paraId="0A1DB216" w14:textId="77777777" w:rsidR="00CD0355" w:rsidRPr="001531CD" w:rsidRDefault="00CD0355" w:rsidP="00CD0355">
            <w:pPr>
              <w:tabs>
                <w:tab w:val="left" w:pos="180"/>
                <w:tab w:val="left" w:pos="360"/>
              </w:tabs>
              <w:ind w:left="23"/>
              <w:rPr>
                <w:sz w:val="16"/>
                <w:szCs w:val="16"/>
              </w:rPr>
            </w:pPr>
            <w:r w:rsidRPr="001531CD">
              <w:rPr>
                <w:sz w:val="16"/>
                <w:szCs w:val="16"/>
              </w:rPr>
              <w:t xml:space="preserve">Other Weeds </w:t>
            </w:r>
          </w:p>
        </w:tc>
        <w:tc>
          <w:tcPr>
            <w:tcW w:w="810" w:type="dxa"/>
            <w:tcMar>
              <w:left w:w="0" w:type="dxa"/>
              <w:right w:w="0" w:type="dxa"/>
            </w:tcMar>
          </w:tcPr>
          <w:p w14:paraId="3045B1B6"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14:paraId="7CBF6409"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14:paraId="556DB411"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14:paraId="6CA1C152" w14:textId="77777777"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14:paraId="643F2677" w14:textId="77777777" w:rsidTr="00CD0355">
        <w:trPr>
          <w:cantSplit/>
          <w:jc w:val="center"/>
        </w:trPr>
        <w:tc>
          <w:tcPr>
            <w:tcW w:w="1373" w:type="dxa"/>
            <w:tcBorders>
              <w:bottom w:val="double" w:sz="6" w:space="0" w:color="000000"/>
            </w:tcBorders>
            <w:tcMar>
              <w:left w:w="0" w:type="dxa"/>
              <w:right w:w="0" w:type="dxa"/>
            </w:tcMar>
          </w:tcPr>
          <w:p w14:paraId="681522D8" w14:textId="77777777" w:rsidR="00CD0355" w:rsidRPr="001531CD" w:rsidRDefault="00CD0355" w:rsidP="00CD0355">
            <w:pPr>
              <w:tabs>
                <w:tab w:val="left" w:pos="180"/>
                <w:tab w:val="left" w:pos="360"/>
              </w:tabs>
              <w:ind w:left="23"/>
              <w:rPr>
                <w:sz w:val="16"/>
                <w:szCs w:val="16"/>
              </w:rPr>
            </w:pPr>
            <w:r w:rsidRPr="001531CD">
              <w:rPr>
                <w:sz w:val="16"/>
                <w:szCs w:val="16"/>
              </w:rPr>
              <w:t>Germination</w:t>
            </w:r>
          </w:p>
        </w:tc>
        <w:tc>
          <w:tcPr>
            <w:tcW w:w="810" w:type="dxa"/>
            <w:tcBorders>
              <w:bottom w:val="double" w:sz="6" w:space="0" w:color="000000"/>
            </w:tcBorders>
            <w:tcMar>
              <w:left w:w="0" w:type="dxa"/>
              <w:right w:w="0" w:type="dxa"/>
            </w:tcMar>
          </w:tcPr>
          <w:p w14:paraId="0DE6B5E7"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934" w:type="dxa"/>
            <w:tcBorders>
              <w:bottom w:val="double" w:sz="6" w:space="0" w:color="000000"/>
            </w:tcBorders>
            <w:tcMar>
              <w:left w:w="0" w:type="dxa"/>
              <w:right w:w="0" w:type="dxa"/>
            </w:tcMar>
          </w:tcPr>
          <w:p w14:paraId="66DD14F0"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980" w:type="dxa"/>
            <w:tcBorders>
              <w:bottom w:val="double" w:sz="6" w:space="0" w:color="000000"/>
            </w:tcBorders>
            <w:tcMar>
              <w:left w:w="0" w:type="dxa"/>
              <w:right w:w="0" w:type="dxa"/>
            </w:tcMar>
          </w:tcPr>
          <w:p w14:paraId="4A7939F7"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845" w:type="dxa"/>
            <w:tcBorders>
              <w:bottom w:val="double" w:sz="6" w:space="0" w:color="000000"/>
            </w:tcBorders>
            <w:tcMar>
              <w:left w:w="0" w:type="dxa"/>
              <w:right w:w="0" w:type="dxa"/>
            </w:tcMar>
          </w:tcPr>
          <w:p w14:paraId="27B19F75" w14:textId="77777777" w:rsidR="00CD0355" w:rsidRPr="001531CD" w:rsidRDefault="00CD0355" w:rsidP="00CD0355">
            <w:pPr>
              <w:tabs>
                <w:tab w:val="left" w:pos="180"/>
                <w:tab w:val="left" w:pos="360"/>
              </w:tabs>
              <w:jc w:val="center"/>
              <w:rPr>
                <w:sz w:val="16"/>
                <w:szCs w:val="16"/>
              </w:rPr>
            </w:pPr>
            <w:r w:rsidRPr="001531CD">
              <w:rPr>
                <w:sz w:val="16"/>
                <w:szCs w:val="16"/>
              </w:rPr>
              <w:t>80.00%</w:t>
            </w:r>
          </w:p>
        </w:tc>
      </w:tr>
    </w:tbl>
    <w:p w14:paraId="65B390B3" w14:textId="77777777" w:rsidR="00CD0355" w:rsidRPr="001531CD" w:rsidRDefault="00CD0355" w:rsidP="00CD0355">
      <w:pPr>
        <w:pStyle w:val="A"/>
        <w:spacing w:after="0"/>
      </w:pPr>
    </w:p>
    <w:p w14:paraId="34C30B54" w14:textId="77777777" w:rsidR="00CD0355" w:rsidRPr="001531CD" w:rsidRDefault="00CD0355" w:rsidP="00CD0355">
      <w:pPr>
        <w:pStyle w:val="AuthorityNote"/>
      </w:pPr>
      <w:r w:rsidRPr="001531CD">
        <w:t>AUTHORITY NOTE:</w:t>
      </w:r>
      <w:r w:rsidRPr="001531CD">
        <w:tab/>
        <w:t xml:space="preserve">Promulgated in accordance with R.S. 3:1433. </w:t>
      </w:r>
    </w:p>
    <w:p w14:paraId="3996695C" w14:textId="77777777" w:rsidR="00CD0355" w:rsidRPr="001531CD" w:rsidRDefault="00CD0355" w:rsidP="00CD0355">
      <w:pPr>
        <w:pStyle w:val="HistoricalNote"/>
      </w:pPr>
      <w:r w:rsidRPr="001531CD">
        <w:t>HISTORICAL NOTE:</w:t>
      </w:r>
      <w:r w:rsidRPr="001531CD">
        <w:tab/>
        <w:t>Promulgated by the Department of Agriculture, Seed Commission, LR 8:585 (November 1982), amended LR 9:204 (April 1983), amended by the Department of Agriculture and Forestry, Office of Agricultural and Environmental Sciences, Seed Commission, LR 12:825 (December 1986), LR 23:1284 (October 1997), repromulgated by the Department of Agriculture and Forestry, Office of Agricultural and Environmental Sciences, Agricultural Chemistry and Seed Commission, LR 39:2732 (October 2013).</w:t>
      </w:r>
    </w:p>
    <w:p w14:paraId="5A54D213" w14:textId="77777777" w:rsidR="00CD0355" w:rsidRPr="001531CD" w:rsidRDefault="00CD0355" w:rsidP="00CD0355">
      <w:pPr>
        <w:pStyle w:val="Section"/>
      </w:pPr>
      <w:bookmarkStart w:id="1204" w:name="_Toc224818830"/>
      <w:r w:rsidRPr="001531CD">
        <w:t>§791.</w:t>
      </w:r>
      <w:r w:rsidRPr="001531CD">
        <w:tab/>
        <w:t>Tomato Seed Certification Standards</w:t>
      </w:r>
      <w:bookmarkEnd w:id="1204"/>
      <w:r w:rsidRPr="001531CD">
        <w:t xml:space="preserve"> </w:t>
      </w:r>
    </w:p>
    <w:p w14:paraId="030C1313" w14:textId="77777777" w:rsidR="00CD0355" w:rsidRPr="001531CD" w:rsidRDefault="00CD0355" w:rsidP="00CD0355">
      <w:pPr>
        <w:pStyle w:val="A"/>
      </w:pPr>
      <w:r w:rsidRPr="001531CD">
        <w:t>A.</w:t>
      </w:r>
      <w:r w:rsidRPr="001531CD">
        <w:tab/>
        <w:t>Inspections</w:t>
      </w:r>
    </w:p>
    <w:p w14:paraId="01447029" w14:textId="77777777" w:rsidR="00CD0355" w:rsidRPr="001531CD" w:rsidRDefault="00CD0355" w:rsidP="00CD0355">
      <w:pPr>
        <w:pStyle w:val="1"/>
      </w:pPr>
      <w:r w:rsidRPr="001531CD">
        <w:t>1.</w:t>
      </w:r>
      <w:r w:rsidRPr="001531CD">
        <w:tab/>
        <w:t>At least two field inspections shall be made.</w:t>
      </w:r>
    </w:p>
    <w:p w14:paraId="398F8779" w14:textId="77777777" w:rsidR="00CD0355" w:rsidRPr="001531CD" w:rsidRDefault="00CD0355" w:rsidP="00CD0355">
      <w:pPr>
        <w:pStyle w:val="1"/>
      </w:pPr>
      <w:r w:rsidRPr="001531CD">
        <w:t>2.</w:t>
      </w:r>
      <w:r w:rsidRPr="001531CD">
        <w:tab/>
        <w:t>One inspection shall be made when crop is at or near full fruit.</w:t>
      </w:r>
    </w:p>
    <w:p w14:paraId="524D0EBB" w14:textId="77777777" w:rsidR="00CD0355" w:rsidRPr="001531CD" w:rsidRDefault="00CD0355" w:rsidP="00CD0355">
      <w:pPr>
        <w:pStyle w:val="A"/>
      </w:pPr>
      <w:r w:rsidRPr="001531CD">
        <w:t>B.</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42"/>
        <w:gridCol w:w="1157"/>
        <w:gridCol w:w="1082"/>
        <w:gridCol w:w="969"/>
      </w:tblGrid>
      <w:tr w:rsidR="00CD0355" w:rsidRPr="001531CD" w14:paraId="28C38B65" w14:textId="77777777" w:rsidTr="00CD0355">
        <w:trPr>
          <w:cantSplit/>
          <w:jc w:val="center"/>
        </w:trPr>
        <w:tc>
          <w:tcPr>
            <w:tcW w:w="1644" w:type="dxa"/>
            <w:tcBorders>
              <w:top w:val="double" w:sz="6" w:space="0" w:color="000000"/>
              <w:bottom w:val="single" w:sz="6" w:space="0" w:color="000000"/>
            </w:tcBorders>
            <w:shd w:val="clear" w:color="auto" w:fill="BFBFBF"/>
          </w:tcPr>
          <w:p w14:paraId="713B0A9A"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7" w:type="dxa"/>
            <w:tcBorders>
              <w:top w:val="double" w:sz="6" w:space="0" w:color="000000"/>
              <w:bottom w:val="single" w:sz="6" w:space="0" w:color="000000"/>
            </w:tcBorders>
            <w:shd w:val="clear" w:color="auto" w:fill="BFBFBF"/>
            <w:vAlign w:val="center"/>
          </w:tcPr>
          <w:p w14:paraId="01129AA7"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2" w:type="dxa"/>
            <w:tcBorders>
              <w:top w:val="double" w:sz="6" w:space="0" w:color="000000"/>
              <w:bottom w:val="single" w:sz="6" w:space="0" w:color="000000"/>
            </w:tcBorders>
            <w:shd w:val="clear" w:color="auto" w:fill="BFBFBF"/>
            <w:vAlign w:val="center"/>
          </w:tcPr>
          <w:p w14:paraId="41C3B0F0"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69" w:type="dxa"/>
            <w:tcBorders>
              <w:top w:val="double" w:sz="6" w:space="0" w:color="000000"/>
              <w:bottom w:val="single" w:sz="6" w:space="0" w:color="000000"/>
            </w:tcBorders>
            <w:shd w:val="clear" w:color="auto" w:fill="BFBFBF"/>
            <w:vAlign w:val="center"/>
          </w:tcPr>
          <w:p w14:paraId="0B67D0D7"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29A5EF35" w14:textId="77777777" w:rsidTr="00CD0355">
        <w:trPr>
          <w:cantSplit/>
          <w:jc w:val="center"/>
        </w:trPr>
        <w:tc>
          <w:tcPr>
            <w:tcW w:w="1644" w:type="dxa"/>
            <w:tcBorders>
              <w:top w:val="single" w:sz="6" w:space="0" w:color="000000"/>
            </w:tcBorders>
          </w:tcPr>
          <w:p w14:paraId="70C75983" w14:textId="77777777" w:rsidR="00CD0355" w:rsidRPr="001531CD" w:rsidRDefault="00CD0355" w:rsidP="00CD0355">
            <w:pPr>
              <w:widowControl w:val="0"/>
              <w:tabs>
                <w:tab w:val="left" w:pos="180"/>
                <w:tab w:val="left" w:pos="360"/>
              </w:tabs>
              <w:rPr>
                <w:sz w:val="16"/>
                <w:szCs w:val="16"/>
              </w:rPr>
            </w:pPr>
            <w:r w:rsidRPr="001531CD">
              <w:rPr>
                <w:sz w:val="16"/>
                <w:szCs w:val="16"/>
              </w:rPr>
              <w:t>Land Requirement</w:t>
            </w:r>
          </w:p>
        </w:tc>
        <w:tc>
          <w:tcPr>
            <w:tcW w:w="1157" w:type="dxa"/>
            <w:tcBorders>
              <w:top w:val="single" w:sz="6" w:space="0" w:color="000000"/>
            </w:tcBorders>
            <w:vAlign w:val="center"/>
          </w:tcPr>
          <w:p w14:paraId="2AC1DCCB" w14:textId="77777777"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c>
          <w:tcPr>
            <w:tcW w:w="1082" w:type="dxa"/>
            <w:tcBorders>
              <w:top w:val="single" w:sz="6" w:space="0" w:color="000000"/>
            </w:tcBorders>
            <w:vAlign w:val="center"/>
          </w:tcPr>
          <w:p w14:paraId="6A40284B" w14:textId="77777777"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c>
          <w:tcPr>
            <w:tcW w:w="969" w:type="dxa"/>
            <w:tcBorders>
              <w:top w:val="single" w:sz="6" w:space="0" w:color="000000"/>
            </w:tcBorders>
            <w:vAlign w:val="center"/>
          </w:tcPr>
          <w:p w14:paraId="3A56A933" w14:textId="77777777"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r>
      <w:tr w:rsidR="00CD0355" w:rsidRPr="001531CD" w14:paraId="55E9C63F" w14:textId="77777777" w:rsidTr="00CD0355">
        <w:trPr>
          <w:cantSplit/>
          <w:jc w:val="center"/>
        </w:trPr>
        <w:tc>
          <w:tcPr>
            <w:tcW w:w="1644" w:type="dxa"/>
          </w:tcPr>
          <w:p w14:paraId="5DD68A63" w14:textId="77777777" w:rsidR="00CD0355" w:rsidRPr="001531CD" w:rsidRDefault="00CD0355" w:rsidP="00CD0355">
            <w:pPr>
              <w:widowControl w:val="0"/>
              <w:tabs>
                <w:tab w:val="left" w:pos="180"/>
                <w:tab w:val="left" w:pos="360"/>
              </w:tabs>
              <w:rPr>
                <w:sz w:val="16"/>
                <w:szCs w:val="16"/>
              </w:rPr>
            </w:pPr>
            <w:r w:rsidRPr="001531CD">
              <w:rPr>
                <w:sz w:val="16"/>
                <w:szCs w:val="16"/>
              </w:rPr>
              <w:t>Isolation</w:t>
            </w:r>
          </w:p>
        </w:tc>
        <w:tc>
          <w:tcPr>
            <w:tcW w:w="1157" w:type="dxa"/>
            <w:vAlign w:val="center"/>
          </w:tcPr>
          <w:p w14:paraId="0A87D268" w14:textId="77777777" w:rsidR="00CD0355" w:rsidRPr="001531CD" w:rsidRDefault="00CD0355" w:rsidP="00CD0355">
            <w:pPr>
              <w:widowControl w:val="0"/>
              <w:tabs>
                <w:tab w:val="left" w:pos="180"/>
                <w:tab w:val="left" w:pos="360"/>
              </w:tabs>
              <w:jc w:val="center"/>
              <w:rPr>
                <w:sz w:val="16"/>
                <w:szCs w:val="16"/>
              </w:rPr>
            </w:pPr>
            <w:r w:rsidRPr="001531CD">
              <w:rPr>
                <w:sz w:val="16"/>
                <w:szCs w:val="16"/>
              </w:rPr>
              <w:t>200 ft.</w:t>
            </w:r>
          </w:p>
        </w:tc>
        <w:tc>
          <w:tcPr>
            <w:tcW w:w="1082" w:type="dxa"/>
            <w:vAlign w:val="center"/>
          </w:tcPr>
          <w:p w14:paraId="179F9C7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 ft.</w:t>
            </w:r>
          </w:p>
        </w:tc>
        <w:tc>
          <w:tcPr>
            <w:tcW w:w="969" w:type="dxa"/>
            <w:vAlign w:val="center"/>
          </w:tcPr>
          <w:p w14:paraId="6142ACBD" w14:textId="77777777" w:rsidR="00CD0355" w:rsidRPr="001531CD" w:rsidRDefault="00CD0355" w:rsidP="00CD0355">
            <w:pPr>
              <w:widowControl w:val="0"/>
              <w:tabs>
                <w:tab w:val="left" w:pos="180"/>
                <w:tab w:val="left" w:pos="360"/>
              </w:tabs>
              <w:jc w:val="center"/>
              <w:rPr>
                <w:sz w:val="16"/>
                <w:szCs w:val="16"/>
              </w:rPr>
            </w:pPr>
            <w:r w:rsidRPr="001531CD">
              <w:rPr>
                <w:sz w:val="16"/>
                <w:szCs w:val="16"/>
              </w:rPr>
              <w:t>30 ft.</w:t>
            </w:r>
          </w:p>
        </w:tc>
      </w:tr>
      <w:tr w:rsidR="00CD0355" w:rsidRPr="001531CD" w14:paraId="523A7A10" w14:textId="77777777" w:rsidTr="00CD0355">
        <w:trPr>
          <w:cantSplit/>
          <w:jc w:val="center"/>
        </w:trPr>
        <w:tc>
          <w:tcPr>
            <w:tcW w:w="1644" w:type="dxa"/>
          </w:tcPr>
          <w:p w14:paraId="046734D5" w14:textId="77777777" w:rsidR="00CD0355" w:rsidRPr="001531CD" w:rsidRDefault="00CD0355" w:rsidP="00CD0355">
            <w:pPr>
              <w:widowControl w:val="0"/>
              <w:tabs>
                <w:tab w:val="left" w:pos="180"/>
                <w:tab w:val="left" w:pos="360"/>
              </w:tabs>
              <w:rPr>
                <w:sz w:val="16"/>
                <w:szCs w:val="16"/>
              </w:rPr>
            </w:pPr>
            <w:r w:rsidRPr="001531CD">
              <w:rPr>
                <w:sz w:val="16"/>
                <w:szCs w:val="16"/>
              </w:rPr>
              <w:t>Other Varieties and</w:t>
            </w:r>
          </w:p>
          <w:p w14:paraId="06628FF9" w14:textId="77777777" w:rsidR="00CD0355" w:rsidRPr="001531CD" w:rsidRDefault="00CD0355" w:rsidP="00CD0355">
            <w:pPr>
              <w:widowControl w:val="0"/>
              <w:tabs>
                <w:tab w:val="left" w:pos="180"/>
                <w:tab w:val="left" w:pos="360"/>
              </w:tabs>
              <w:rPr>
                <w:sz w:val="16"/>
                <w:szCs w:val="16"/>
              </w:rPr>
            </w:pPr>
            <w:r w:rsidRPr="001531CD">
              <w:rPr>
                <w:sz w:val="16"/>
                <w:szCs w:val="16"/>
              </w:rPr>
              <w:t xml:space="preserve"> Off-type Plants</w:t>
            </w:r>
          </w:p>
        </w:tc>
        <w:tc>
          <w:tcPr>
            <w:tcW w:w="1157" w:type="dxa"/>
            <w:vAlign w:val="center"/>
          </w:tcPr>
          <w:p w14:paraId="0E39E69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1082" w:type="dxa"/>
            <w:vAlign w:val="center"/>
          </w:tcPr>
          <w:p w14:paraId="5E505CB0"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0.05%</w:t>
            </w:r>
          </w:p>
        </w:tc>
        <w:tc>
          <w:tcPr>
            <w:tcW w:w="969" w:type="dxa"/>
            <w:vAlign w:val="center"/>
          </w:tcPr>
          <w:p w14:paraId="4C00B55C"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0.10%</w:t>
            </w:r>
          </w:p>
        </w:tc>
      </w:tr>
      <w:tr w:rsidR="00CD0355" w:rsidRPr="001531CD" w14:paraId="53D6E8AD" w14:textId="77777777" w:rsidTr="00CD0355">
        <w:trPr>
          <w:cantSplit/>
          <w:jc w:val="center"/>
        </w:trPr>
        <w:tc>
          <w:tcPr>
            <w:tcW w:w="1644" w:type="dxa"/>
          </w:tcPr>
          <w:p w14:paraId="2869AA61" w14:textId="77777777" w:rsidR="00CD0355" w:rsidRPr="001531CD" w:rsidRDefault="00CD0355" w:rsidP="00CD0355">
            <w:pPr>
              <w:widowControl w:val="0"/>
              <w:tabs>
                <w:tab w:val="left" w:pos="180"/>
                <w:tab w:val="left" w:pos="360"/>
              </w:tabs>
              <w:rPr>
                <w:sz w:val="16"/>
                <w:szCs w:val="16"/>
              </w:rPr>
            </w:pPr>
            <w:r w:rsidRPr="001531CD">
              <w:rPr>
                <w:sz w:val="16"/>
                <w:szCs w:val="16"/>
              </w:rPr>
              <w:t>Tomato Mosaic Virus</w:t>
            </w:r>
          </w:p>
        </w:tc>
        <w:tc>
          <w:tcPr>
            <w:tcW w:w="1157" w:type="dxa"/>
            <w:vAlign w:val="center"/>
          </w:tcPr>
          <w:p w14:paraId="78BA1AA9"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0.20%</w:t>
            </w:r>
          </w:p>
        </w:tc>
        <w:tc>
          <w:tcPr>
            <w:tcW w:w="1082" w:type="dxa"/>
            <w:vAlign w:val="center"/>
          </w:tcPr>
          <w:p w14:paraId="169DB3EB"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0.20%</w:t>
            </w:r>
          </w:p>
        </w:tc>
        <w:tc>
          <w:tcPr>
            <w:tcW w:w="969" w:type="dxa"/>
            <w:vAlign w:val="center"/>
          </w:tcPr>
          <w:p w14:paraId="3B0BEED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r>
      <w:tr w:rsidR="00CD0355" w:rsidRPr="001531CD" w14:paraId="7AFCF041" w14:textId="77777777" w:rsidTr="00CD0355">
        <w:trPr>
          <w:cantSplit/>
          <w:jc w:val="center"/>
        </w:trPr>
        <w:tc>
          <w:tcPr>
            <w:tcW w:w="1644" w:type="dxa"/>
          </w:tcPr>
          <w:p w14:paraId="76A919A0" w14:textId="77777777" w:rsidR="00CD0355" w:rsidRPr="001531CD" w:rsidRDefault="00CD0355" w:rsidP="00CD0355">
            <w:pPr>
              <w:widowControl w:val="0"/>
              <w:tabs>
                <w:tab w:val="left" w:pos="180"/>
                <w:tab w:val="left" w:pos="360"/>
              </w:tabs>
              <w:rPr>
                <w:sz w:val="16"/>
                <w:szCs w:val="16"/>
              </w:rPr>
            </w:pPr>
            <w:r w:rsidRPr="001531CD">
              <w:rPr>
                <w:sz w:val="16"/>
                <w:szCs w:val="16"/>
              </w:rPr>
              <w:t>Bacterial Spot</w:t>
            </w:r>
          </w:p>
        </w:tc>
        <w:tc>
          <w:tcPr>
            <w:tcW w:w="1157" w:type="dxa"/>
            <w:vAlign w:val="center"/>
          </w:tcPr>
          <w:p w14:paraId="5048F4B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19E1691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7789C2A3"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523AC598" w14:textId="77777777" w:rsidTr="00CD0355">
        <w:trPr>
          <w:cantSplit/>
          <w:jc w:val="center"/>
        </w:trPr>
        <w:tc>
          <w:tcPr>
            <w:tcW w:w="1644" w:type="dxa"/>
          </w:tcPr>
          <w:p w14:paraId="5499F65B" w14:textId="77777777" w:rsidR="00CD0355" w:rsidRPr="001531CD" w:rsidRDefault="00CD0355" w:rsidP="00CD0355">
            <w:pPr>
              <w:widowControl w:val="0"/>
              <w:tabs>
                <w:tab w:val="left" w:pos="180"/>
                <w:tab w:val="left" w:pos="360"/>
              </w:tabs>
              <w:rPr>
                <w:sz w:val="16"/>
                <w:szCs w:val="16"/>
              </w:rPr>
            </w:pPr>
            <w:r w:rsidRPr="001531CD">
              <w:rPr>
                <w:sz w:val="16"/>
                <w:szCs w:val="16"/>
              </w:rPr>
              <w:t>Bacterial Speck</w:t>
            </w:r>
          </w:p>
        </w:tc>
        <w:tc>
          <w:tcPr>
            <w:tcW w:w="1157" w:type="dxa"/>
            <w:vAlign w:val="center"/>
          </w:tcPr>
          <w:p w14:paraId="318CEDEE"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06909A62"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747F49AF"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1DB62E76" w14:textId="77777777" w:rsidTr="00CD0355">
        <w:trPr>
          <w:cantSplit/>
          <w:jc w:val="center"/>
        </w:trPr>
        <w:tc>
          <w:tcPr>
            <w:tcW w:w="1644" w:type="dxa"/>
          </w:tcPr>
          <w:p w14:paraId="33BB3E59" w14:textId="77777777" w:rsidR="00CD0355" w:rsidRPr="001531CD" w:rsidRDefault="00CD0355" w:rsidP="00CD0355">
            <w:pPr>
              <w:widowControl w:val="0"/>
              <w:tabs>
                <w:tab w:val="left" w:pos="180"/>
                <w:tab w:val="left" w:pos="360"/>
              </w:tabs>
              <w:rPr>
                <w:sz w:val="16"/>
                <w:szCs w:val="16"/>
              </w:rPr>
            </w:pPr>
            <w:r w:rsidRPr="001531CD">
              <w:rPr>
                <w:sz w:val="16"/>
                <w:szCs w:val="16"/>
              </w:rPr>
              <w:t>Bacterial Canker</w:t>
            </w:r>
          </w:p>
        </w:tc>
        <w:tc>
          <w:tcPr>
            <w:tcW w:w="1157" w:type="dxa"/>
            <w:vAlign w:val="center"/>
          </w:tcPr>
          <w:p w14:paraId="3153A5EA" w14:textId="77777777"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1082" w:type="dxa"/>
            <w:vAlign w:val="center"/>
          </w:tcPr>
          <w:p w14:paraId="7110C3B8" w14:textId="77777777"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969" w:type="dxa"/>
            <w:vAlign w:val="center"/>
          </w:tcPr>
          <w:p w14:paraId="2B314F26"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0.10%</w:t>
            </w:r>
          </w:p>
        </w:tc>
      </w:tr>
      <w:tr w:rsidR="00CD0355" w:rsidRPr="001531CD" w14:paraId="063915DD" w14:textId="77777777" w:rsidTr="00CD0355">
        <w:trPr>
          <w:cantSplit/>
          <w:jc w:val="center"/>
        </w:trPr>
        <w:tc>
          <w:tcPr>
            <w:tcW w:w="1644" w:type="dxa"/>
          </w:tcPr>
          <w:p w14:paraId="71212D8C" w14:textId="77777777" w:rsidR="00CD0355" w:rsidRPr="001531CD" w:rsidRDefault="00CD0355" w:rsidP="00CD0355">
            <w:pPr>
              <w:widowControl w:val="0"/>
              <w:tabs>
                <w:tab w:val="left" w:pos="180"/>
                <w:tab w:val="left" w:pos="360"/>
              </w:tabs>
              <w:rPr>
                <w:sz w:val="16"/>
                <w:szCs w:val="16"/>
              </w:rPr>
            </w:pPr>
            <w:r w:rsidRPr="001531CD">
              <w:rPr>
                <w:sz w:val="16"/>
                <w:szCs w:val="16"/>
              </w:rPr>
              <w:t>Early Blight</w:t>
            </w:r>
          </w:p>
        </w:tc>
        <w:tc>
          <w:tcPr>
            <w:tcW w:w="1157" w:type="dxa"/>
            <w:vAlign w:val="center"/>
          </w:tcPr>
          <w:p w14:paraId="20DD350B"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6148B119"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3CBEFE93"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668E2F1B" w14:textId="77777777" w:rsidTr="00CD0355">
        <w:trPr>
          <w:cantSplit/>
          <w:jc w:val="center"/>
        </w:trPr>
        <w:tc>
          <w:tcPr>
            <w:tcW w:w="1644" w:type="dxa"/>
          </w:tcPr>
          <w:p w14:paraId="57086533" w14:textId="77777777" w:rsidR="00CD0355" w:rsidRPr="001531CD" w:rsidRDefault="00CD0355" w:rsidP="00CD0355">
            <w:pPr>
              <w:widowControl w:val="0"/>
              <w:tabs>
                <w:tab w:val="left" w:pos="180"/>
                <w:tab w:val="left" w:pos="360"/>
              </w:tabs>
              <w:rPr>
                <w:sz w:val="16"/>
                <w:szCs w:val="16"/>
              </w:rPr>
            </w:pPr>
            <w:r w:rsidRPr="001531CD">
              <w:rPr>
                <w:sz w:val="16"/>
                <w:szCs w:val="16"/>
              </w:rPr>
              <w:t>Phytophthora Foot Rot</w:t>
            </w:r>
          </w:p>
        </w:tc>
        <w:tc>
          <w:tcPr>
            <w:tcW w:w="1157" w:type="dxa"/>
            <w:vAlign w:val="center"/>
          </w:tcPr>
          <w:p w14:paraId="781F2BEB"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vAlign w:val="center"/>
          </w:tcPr>
          <w:p w14:paraId="5EE4C0C5"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08C41CB6"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429B93D7" w14:textId="77777777" w:rsidTr="00CD0355">
        <w:trPr>
          <w:cantSplit/>
          <w:jc w:val="center"/>
        </w:trPr>
        <w:tc>
          <w:tcPr>
            <w:tcW w:w="1644" w:type="dxa"/>
          </w:tcPr>
          <w:p w14:paraId="77B21977" w14:textId="77777777" w:rsidR="00CD0355" w:rsidRPr="001531CD" w:rsidRDefault="00CD0355" w:rsidP="00CD0355">
            <w:pPr>
              <w:widowControl w:val="0"/>
              <w:tabs>
                <w:tab w:val="left" w:pos="180"/>
                <w:tab w:val="left" w:pos="360"/>
              </w:tabs>
              <w:rPr>
                <w:sz w:val="16"/>
                <w:szCs w:val="16"/>
              </w:rPr>
            </w:pPr>
            <w:r w:rsidRPr="001531CD">
              <w:rPr>
                <w:sz w:val="16"/>
                <w:szCs w:val="16"/>
              </w:rPr>
              <w:t>Septoria Foliage Blight</w:t>
            </w:r>
          </w:p>
        </w:tc>
        <w:tc>
          <w:tcPr>
            <w:tcW w:w="1157" w:type="dxa"/>
            <w:vAlign w:val="center"/>
          </w:tcPr>
          <w:p w14:paraId="0687D156"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23768153"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144BFFA8"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47593CF7" w14:textId="77777777" w:rsidTr="00CD0355">
        <w:trPr>
          <w:cantSplit/>
          <w:jc w:val="center"/>
        </w:trPr>
        <w:tc>
          <w:tcPr>
            <w:tcW w:w="1644" w:type="dxa"/>
          </w:tcPr>
          <w:p w14:paraId="658387B4" w14:textId="77777777" w:rsidR="00CD0355" w:rsidRPr="001531CD" w:rsidRDefault="00CD0355" w:rsidP="00CD0355">
            <w:pPr>
              <w:widowControl w:val="0"/>
              <w:tabs>
                <w:tab w:val="left" w:pos="180"/>
                <w:tab w:val="left" w:pos="360"/>
              </w:tabs>
              <w:rPr>
                <w:sz w:val="16"/>
                <w:szCs w:val="16"/>
              </w:rPr>
            </w:pPr>
            <w:r w:rsidRPr="001531CD">
              <w:rPr>
                <w:sz w:val="16"/>
                <w:szCs w:val="16"/>
              </w:rPr>
              <w:t>Nailhead Spot</w:t>
            </w:r>
          </w:p>
        </w:tc>
        <w:tc>
          <w:tcPr>
            <w:tcW w:w="1157" w:type="dxa"/>
            <w:vAlign w:val="center"/>
          </w:tcPr>
          <w:p w14:paraId="01F9F41D"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6D16A957"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196B6047"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03CCA8C7" w14:textId="77777777" w:rsidTr="00CD0355">
        <w:trPr>
          <w:cantSplit/>
          <w:jc w:val="center"/>
        </w:trPr>
        <w:tc>
          <w:tcPr>
            <w:tcW w:w="1644" w:type="dxa"/>
          </w:tcPr>
          <w:p w14:paraId="458499E9" w14:textId="77777777" w:rsidR="00CD0355" w:rsidRPr="001531CD" w:rsidRDefault="00CD0355" w:rsidP="00CD0355">
            <w:pPr>
              <w:widowControl w:val="0"/>
              <w:tabs>
                <w:tab w:val="left" w:pos="180"/>
                <w:tab w:val="left" w:pos="360"/>
              </w:tabs>
              <w:rPr>
                <w:sz w:val="16"/>
                <w:szCs w:val="16"/>
              </w:rPr>
            </w:pPr>
            <w:r w:rsidRPr="001531CD">
              <w:rPr>
                <w:sz w:val="16"/>
                <w:szCs w:val="16"/>
              </w:rPr>
              <w:t>Phoma Rot</w:t>
            </w:r>
          </w:p>
        </w:tc>
        <w:tc>
          <w:tcPr>
            <w:tcW w:w="1157" w:type="dxa"/>
            <w:vAlign w:val="center"/>
          </w:tcPr>
          <w:p w14:paraId="0B1152BE" w14:textId="77777777"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14:paraId="32A0075C"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40472113"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16E7E19B" w14:textId="77777777" w:rsidTr="00CD0355">
        <w:trPr>
          <w:cantSplit/>
          <w:jc w:val="center"/>
        </w:trPr>
        <w:tc>
          <w:tcPr>
            <w:tcW w:w="1644" w:type="dxa"/>
          </w:tcPr>
          <w:p w14:paraId="5D7389B9" w14:textId="77777777" w:rsidR="00CD0355" w:rsidRPr="001531CD" w:rsidRDefault="00CD0355" w:rsidP="00CD0355">
            <w:pPr>
              <w:widowControl w:val="0"/>
              <w:tabs>
                <w:tab w:val="left" w:pos="180"/>
                <w:tab w:val="left" w:pos="360"/>
              </w:tabs>
              <w:rPr>
                <w:sz w:val="16"/>
                <w:szCs w:val="16"/>
              </w:rPr>
            </w:pPr>
            <w:r w:rsidRPr="001531CD">
              <w:rPr>
                <w:sz w:val="16"/>
                <w:szCs w:val="16"/>
              </w:rPr>
              <w:t>Fusarium Wilt</w:t>
            </w:r>
          </w:p>
        </w:tc>
        <w:tc>
          <w:tcPr>
            <w:tcW w:w="1157" w:type="dxa"/>
            <w:vAlign w:val="center"/>
          </w:tcPr>
          <w:p w14:paraId="34775739"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vAlign w:val="center"/>
          </w:tcPr>
          <w:p w14:paraId="6159F774"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14:paraId="5376FD7F"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14:paraId="23916432" w14:textId="77777777" w:rsidTr="00CD0355">
        <w:trPr>
          <w:cantSplit/>
          <w:jc w:val="center"/>
        </w:trPr>
        <w:tc>
          <w:tcPr>
            <w:tcW w:w="1644" w:type="dxa"/>
            <w:tcBorders>
              <w:bottom w:val="double" w:sz="6" w:space="0" w:color="000000"/>
            </w:tcBorders>
          </w:tcPr>
          <w:p w14:paraId="58C6C36F" w14:textId="77777777" w:rsidR="00CD0355" w:rsidRPr="001531CD" w:rsidRDefault="00CD0355" w:rsidP="00CD0355">
            <w:pPr>
              <w:widowControl w:val="0"/>
              <w:tabs>
                <w:tab w:val="left" w:pos="180"/>
                <w:tab w:val="left" w:pos="360"/>
              </w:tabs>
              <w:rPr>
                <w:sz w:val="16"/>
                <w:szCs w:val="16"/>
              </w:rPr>
            </w:pPr>
            <w:r w:rsidRPr="001531CD">
              <w:rPr>
                <w:sz w:val="16"/>
                <w:szCs w:val="16"/>
              </w:rPr>
              <w:t>Late Blight</w:t>
            </w:r>
          </w:p>
        </w:tc>
        <w:tc>
          <w:tcPr>
            <w:tcW w:w="1157" w:type="dxa"/>
            <w:tcBorders>
              <w:bottom w:val="double" w:sz="6" w:space="0" w:color="000000"/>
            </w:tcBorders>
            <w:vAlign w:val="center"/>
          </w:tcPr>
          <w:p w14:paraId="5C446824"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tcBorders>
              <w:bottom w:val="double" w:sz="6" w:space="0" w:color="000000"/>
            </w:tcBorders>
            <w:vAlign w:val="center"/>
          </w:tcPr>
          <w:p w14:paraId="475C1FB8"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tcBorders>
              <w:bottom w:val="double" w:sz="6" w:space="0" w:color="000000"/>
            </w:tcBorders>
            <w:vAlign w:val="center"/>
          </w:tcPr>
          <w:p w14:paraId="3439AC3D" w14:textId="77777777"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bl>
    <w:p w14:paraId="1BBDA94F" w14:textId="77777777" w:rsidR="00CD0355" w:rsidRPr="001531CD" w:rsidRDefault="00CD0355" w:rsidP="00CD0355">
      <w:pPr>
        <w:tabs>
          <w:tab w:val="left" w:pos="187"/>
          <w:tab w:val="left" w:pos="540"/>
          <w:tab w:val="left" w:pos="4500"/>
          <w:tab w:val="left" w:pos="4680"/>
          <w:tab w:val="left" w:pos="4860"/>
          <w:tab w:val="left" w:pos="5040"/>
          <w:tab w:val="left" w:pos="7200"/>
        </w:tabs>
        <w:ind w:firstLine="187"/>
        <w:jc w:val="both"/>
        <w:outlineLvl w:val="3"/>
        <w:rPr>
          <w:sz w:val="20"/>
        </w:rPr>
      </w:pPr>
    </w:p>
    <w:p w14:paraId="5614F8B1" w14:textId="77777777" w:rsidR="00CD0355" w:rsidRPr="001531CD" w:rsidRDefault="00CD0355" w:rsidP="00CD0355">
      <w:pPr>
        <w:pStyle w:val="A"/>
      </w:pPr>
      <w:r w:rsidRPr="001531CD">
        <w:t>C.</w:t>
      </w:r>
      <w:r w:rsidRPr="001531CD">
        <w:tab/>
        <w:t>Management. Fields designated for production of any certified class of seed shall have no fruits removed for marketing purposes.</w:t>
      </w:r>
    </w:p>
    <w:p w14:paraId="7D957297" w14:textId="77777777" w:rsidR="00CD0355" w:rsidRPr="001531CD" w:rsidRDefault="00CD0355" w:rsidP="00CD0355">
      <w:pPr>
        <w:pStyle w:val="A"/>
      </w:pPr>
      <w:r w:rsidRPr="001531CD">
        <w:t>D.</w:t>
      </w:r>
      <w:r w:rsidRPr="001531CD">
        <w:tab/>
        <w:t>Seed Standards</w:t>
      </w:r>
    </w:p>
    <w:tbl>
      <w:tblPr>
        <w:tblW w:w="48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20"/>
        <w:gridCol w:w="1080"/>
        <w:gridCol w:w="1080"/>
        <w:gridCol w:w="1077"/>
      </w:tblGrid>
      <w:tr w:rsidR="00CD0355" w:rsidRPr="001531CD" w14:paraId="43DF4742" w14:textId="77777777" w:rsidTr="00CD0355">
        <w:trPr>
          <w:cantSplit/>
          <w:jc w:val="center"/>
        </w:trPr>
        <w:tc>
          <w:tcPr>
            <w:tcW w:w="1620" w:type="dxa"/>
            <w:tcBorders>
              <w:top w:val="double" w:sz="6" w:space="0" w:color="000000"/>
              <w:bottom w:val="single" w:sz="6" w:space="0" w:color="000000"/>
            </w:tcBorders>
            <w:shd w:val="clear" w:color="auto" w:fill="BFBFBF"/>
            <w:tcMar>
              <w:left w:w="0" w:type="dxa"/>
              <w:right w:w="0" w:type="dxa"/>
            </w:tcMar>
          </w:tcPr>
          <w:p w14:paraId="695A1851"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tcMar>
              <w:left w:w="0" w:type="dxa"/>
              <w:right w:w="0" w:type="dxa"/>
            </w:tcMar>
          </w:tcPr>
          <w:p w14:paraId="4063D93B"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tcMar>
              <w:left w:w="0" w:type="dxa"/>
              <w:right w:w="0" w:type="dxa"/>
            </w:tcMar>
          </w:tcPr>
          <w:p w14:paraId="5191854C"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7" w:type="dxa"/>
            <w:tcBorders>
              <w:top w:val="double" w:sz="6" w:space="0" w:color="000000"/>
              <w:bottom w:val="single" w:sz="6" w:space="0" w:color="000000"/>
            </w:tcBorders>
            <w:shd w:val="clear" w:color="auto" w:fill="BFBFBF"/>
            <w:tcMar>
              <w:left w:w="0" w:type="dxa"/>
              <w:right w:w="0" w:type="dxa"/>
            </w:tcMar>
          </w:tcPr>
          <w:p w14:paraId="56B39EC8"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7C840325" w14:textId="77777777" w:rsidTr="00CD0355">
        <w:trPr>
          <w:cantSplit/>
          <w:jc w:val="center"/>
        </w:trPr>
        <w:tc>
          <w:tcPr>
            <w:tcW w:w="1620" w:type="dxa"/>
            <w:tcBorders>
              <w:top w:val="single" w:sz="6" w:space="0" w:color="000000"/>
            </w:tcBorders>
            <w:tcMar>
              <w:left w:w="0" w:type="dxa"/>
              <w:right w:w="0" w:type="dxa"/>
            </w:tcMar>
          </w:tcPr>
          <w:p w14:paraId="67BD7854"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Borders>
              <w:top w:val="single" w:sz="6" w:space="0" w:color="000000"/>
            </w:tcBorders>
            <w:tcMar>
              <w:left w:w="0" w:type="dxa"/>
              <w:right w:w="0" w:type="dxa"/>
            </w:tcMar>
          </w:tcPr>
          <w:p w14:paraId="6ABE280C" w14:textId="77777777" w:rsidR="00CD0355" w:rsidRPr="001531CD" w:rsidRDefault="00CD0355" w:rsidP="00CD0355">
            <w:pPr>
              <w:tabs>
                <w:tab w:val="left" w:pos="180"/>
                <w:tab w:val="left" w:pos="360"/>
              </w:tabs>
              <w:jc w:val="center"/>
              <w:rPr>
                <w:sz w:val="16"/>
                <w:szCs w:val="16"/>
              </w:rPr>
            </w:pPr>
            <w:r w:rsidRPr="001531CD">
              <w:rPr>
                <w:sz w:val="16"/>
                <w:szCs w:val="16"/>
              </w:rPr>
              <w:t>99.00%</w:t>
            </w:r>
          </w:p>
        </w:tc>
        <w:tc>
          <w:tcPr>
            <w:tcW w:w="1080" w:type="dxa"/>
            <w:tcBorders>
              <w:top w:val="single" w:sz="6" w:space="0" w:color="000000"/>
            </w:tcBorders>
            <w:tcMar>
              <w:left w:w="0" w:type="dxa"/>
              <w:right w:w="0" w:type="dxa"/>
            </w:tcMar>
          </w:tcPr>
          <w:p w14:paraId="1C134607"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77" w:type="dxa"/>
            <w:tcBorders>
              <w:top w:val="single" w:sz="6" w:space="0" w:color="000000"/>
            </w:tcBorders>
            <w:tcMar>
              <w:left w:w="0" w:type="dxa"/>
              <w:right w:w="0" w:type="dxa"/>
            </w:tcMar>
          </w:tcPr>
          <w:p w14:paraId="2A724313"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14:paraId="099C8C70" w14:textId="77777777" w:rsidTr="00CD0355">
        <w:trPr>
          <w:cantSplit/>
          <w:jc w:val="center"/>
        </w:trPr>
        <w:tc>
          <w:tcPr>
            <w:tcW w:w="1620" w:type="dxa"/>
            <w:tcMar>
              <w:left w:w="0" w:type="dxa"/>
              <w:right w:w="0" w:type="dxa"/>
            </w:tcMar>
          </w:tcPr>
          <w:p w14:paraId="6F799B13"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Mar>
              <w:left w:w="0" w:type="dxa"/>
              <w:right w:w="0" w:type="dxa"/>
            </w:tcMar>
          </w:tcPr>
          <w:p w14:paraId="273F12D4" w14:textId="77777777" w:rsidR="00CD0355" w:rsidRPr="001531CD" w:rsidRDefault="00CD0355" w:rsidP="00CD0355">
            <w:pPr>
              <w:tabs>
                <w:tab w:val="left" w:pos="180"/>
                <w:tab w:val="left" w:pos="360"/>
              </w:tabs>
              <w:jc w:val="center"/>
              <w:rPr>
                <w:sz w:val="16"/>
                <w:szCs w:val="16"/>
              </w:rPr>
            </w:pPr>
            <w:r w:rsidRPr="001531CD">
              <w:rPr>
                <w:sz w:val="16"/>
                <w:szCs w:val="16"/>
              </w:rPr>
              <w:t>1.00%</w:t>
            </w:r>
          </w:p>
        </w:tc>
        <w:tc>
          <w:tcPr>
            <w:tcW w:w="1080" w:type="dxa"/>
            <w:tcMar>
              <w:left w:w="0" w:type="dxa"/>
              <w:right w:w="0" w:type="dxa"/>
            </w:tcMar>
          </w:tcPr>
          <w:p w14:paraId="39C20A49"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77" w:type="dxa"/>
            <w:tcMar>
              <w:left w:w="0" w:type="dxa"/>
              <w:right w:w="0" w:type="dxa"/>
            </w:tcMar>
          </w:tcPr>
          <w:p w14:paraId="64115FFE"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60FD83BE" w14:textId="77777777" w:rsidTr="00CD0355">
        <w:trPr>
          <w:cantSplit/>
          <w:jc w:val="center"/>
        </w:trPr>
        <w:tc>
          <w:tcPr>
            <w:tcW w:w="1620" w:type="dxa"/>
            <w:tcMar>
              <w:left w:w="0" w:type="dxa"/>
              <w:right w:w="0" w:type="dxa"/>
            </w:tcMar>
          </w:tcPr>
          <w:p w14:paraId="55C44D26"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Mar>
              <w:left w:w="0" w:type="dxa"/>
              <w:right w:w="0" w:type="dxa"/>
            </w:tcMar>
          </w:tcPr>
          <w:p w14:paraId="66D087F0"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14:paraId="68FBF9EC"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77" w:type="dxa"/>
            <w:tcMar>
              <w:left w:w="0" w:type="dxa"/>
              <w:right w:w="0" w:type="dxa"/>
            </w:tcMar>
          </w:tcPr>
          <w:p w14:paraId="25AFB69E" w14:textId="77777777" w:rsidR="00CD0355" w:rsidRPr="001531CD" w:rsidRDefault="00CD0355" w:rsidP="00CD0355">
            <w:pPr>
              <w:tabs>
                <w:tab w:val="left" w:pos="180"/>
                <w:tab w:val="left" w:pos="360"/>
              </w:tabs>
              <w:jc w:val="center"/>
              <w:rPr>
                <w:sz w:val="16"/>
                <w:szCs w:val="16"/>
              </w:rPr>
            </w:pPr>
            <w:r w:rsidRPr="001531CD">
              <w:rPr>
                <w:sz w:val="16"/>
                <w:szCs w:val="16"/>
              </w:rPr>
              <w:t>0.01%</w:t>
            </w:r>
          </w:p>
        </w:tc>
      </w:tr>
      <w:tr w:rsidR="00CD0355" w:rsidRPr="001531CD" w14:paraId="2BFABB15" w14:textId="77777777" w:rsidTr="00CD0355">
        <w:trPr>
          <w:cantSplit/>
          <w:jc w:val="center"/>
        </w:trPr>
        <w:tc>
          <w:tcPr>
            <w:tcW w:w="1620" w:type="dxa"/>
            <w:tcMar>
              <w:left w:w="0" w:type="dxa"/>
              <w:right w:w="0" w:type="dxa"/>
            </w:tcMar>
          </w:tcPr>
          <w:p w14:paraId="78B400A3"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Mar>
              <w:left w:w="0" w:type="dxa"/>
              <w:right w:w="0" w:type="dxa"/>
            </w:tcMar>
          </w:tcPr>
          <w:p w14:paraId="2C896DA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14:paraId="2F40134E" w14:textId="77777777" w:rsidR="00CD0355" w:rsidRPr="001531CD" w:rsidRDefault="00CD0355" w:rsidP="00CD0355">
            <w:pPr>
              <w:tabs>
                <w:tab w:val="left" w:pos="180"/>
                <w:tab w:val="left" w:pos="360"/>
              </w:tabs>
              <w:jc w:val="center"/>
              <w:rPr>
                <w:sz w:val="16"/>
                <w:szCs w:val="16"/>
              </w:rPr>
            </w:pPr>
            <w:r w:rsidRPr="001531CD">
              <w:rPr>
                <w:sz w:val="16"/>
                <w:szCs w:val="16"/>
              </w:rPr>
              <w:t>0.10%</w:t>
            </w:r>
          </w:p>
        </w:tc>
        <w:tc>
          <w:tcPr>
            <w:tcW w:w="1077" w:type="dxa"/>
            <w:tcMar>
              <w:left w:w="0" w:type="dxa"/>
              <w:right w:w="0" w:type="dxa"/>
            </w:tcMar>
          </w:tcPr>
          <w:p w14:paraId="4831724C" w14:textId="77777777" w:rsidR="00CD0355" w:rsidRPr="001531CD" w:rsidRDefault="00CD0355" w:rsidP="00CD0355">
            <w:pPr>
              <w:tabs>
                <w:tab w:val="left" w:pos="180"/>
                <w:tab w:val="left" w:pos="360"/>
              </w:tabs>
              <w:jc w:val="center"/>
              <w:rPr>
                <w:sz w:val="16"/>
                <w:szCs w:val="16"/>
              </w:rPr>
            </w:pPr>
            <w:r w:rsidRPr="001531CD">
              <w:rPr>
                <w:sz w:val="16"/>
                <w:szCs w:val="16"/>
              </w:rPr>
              <w:t>0.20%</w:t>
            </w:r>
          </w:p>
        </w:tc>
      </w:tr>
      <w:tr w:rsidR="00CD0355" w:rsidRPr="001531CD" w14:paraId="4339A7B3" w14:textId="77777777" w:rsidTr="00CD0355">
        <w:trPr>
          <w:cantSplit/>
          <w:jc w:val="center"/>
        </w:trPr>
        <w:tc>
          <w:tcPr>
            <w:tcW w:w="1620" w:type="dxa"/>
            <w:tcMar>
              <w:left w:w="0" w:type="dxa"/>
              <w:right w:w="0" w:type="dxa"/>
            </w:tcMar>
          </w:tcPr>
          <w:p w14:paraId="4CE7D691" w14:textId="77777777" w:rsidR="00CD0355" w:rsidRPr="001531CD" w:rsidRDefault="00CD0355" w:rsidP="00CD0355">
            <w:pPr>
              <w:tabs>
                <w:tab w:val="left" w:pos="180"/>
                <w:tab w:val="left" w:pos="360"/>
              </w:tabs>
              <w:rPr>
                <w:sz w:val="16"/>
                <w:szCs w:val="16"/>
              </w:rPr>
            </w:pPr>
            <w:r w:rsidRPr="001531CD">
              <w:rPr>
                <w:sz w:val="16"/>
                <w:szCs w:val="16"/>
              </w:rPr>
              <w:t>Noxious Weeds</w:t>
            </w:r>
          </w:p>
        </w:tc>
        <w:tc>
          <w:tcPr>
            <w:tcW w:w="1080" w:type="dxa"/>
            <w:tcMar>
              <w:left w:w="0" w:type="dxa"/>
              <w:right w:w="0" w:type="dxa"/>
            </w:tcMar>
          </w:tcPr>
          <w:p w14:paraId="751F4C8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14:paraId="4CC76DF8"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77" w:type="dxa"/>
            <w:tcMar>
              <w:left w:w="0" w:type="dxa"/>
              <w:right w:w="0" w:type="dxa"/>
            </w:tcMar>
          </w:tcPr>
          <w:p w14:paraId="19D2B36A"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0962B9ED" w14:textId="77777777" w:rsidTr="00CD0355">
        <w:trPr>
          <w:cantSplit/>
          <w:jc w:val="center"/>
        </w:trPr>
        <w:tc>
          <w:tcPr>
            <w:tcW w:w="1620" w:type="dxa"/>
            <w:tcMar>
              <w:left w:w="0" w:type="dxa"/>
              <w:right w:w="0" w:type="dxa"/>
            </w:tcMar>
          </w:tcPr>
          <w:p w14:paraId="15E34EBA" w14:textId="77777777" w:rsidR="00CD0355" w:rsidRPr="001531CD" w:rsidRDefault="00CD0355" w:rsidP="00CD0355">
            <w:pPr>
              <w:tabs>
                <w:tab w:val="left" w:pos="180"/>
                <w:tab w:val="left" w:pos="360"/>
              </w:tabs>
              <w:rPr>
                <w:sz w:val="16"/>
                <w:szCs w:val="16"/>
              </w:rPr>
            </w:pPr>
            <w:r w:rsidRPr="001531CD">
              <w:rPr>
                <w:sz w:val="16"/>
                <w:szCs w:val="16"/>
              </w:rPr>
              <w:t>Other Weeds</w:t>
            </w:r>
          </w:p>
        </w:tc>
        <w:tc>
          <w:tcPr>
            <w:tcW w:w="1080" w:type="dxa"/>
            <w:tcMar>
              <w:left w:w="0" w:type="dxa"/>
              <w:right w:w="0" w:type="dxa"/>
            </w:tcMar>
          </w:tcPr>
          <w:p w14:paraId="4C500119"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14:paraId="3446F985" w14:textId="77777777" w:rsidR="00CD0355" w:rsidRPr="001531CD" w:rsidRDefault="00CD0355" w:rsidP="00CD0355">
            <w:pPr>
              <w:tabs>
                <w:tab w:val="left" w:pos="180"/>
                <w:tab w:val="left" w:pos="360"/>
              </w:tabs>
              <w:jc w:val="center"/>
              <w:rPr>
                <w:sz w:val="16"/>
                <w:szCs w:val="16"/>
              </w:rPr>
            </w:pPr>
            <w:r w:rsidRPr="001531CD">
              <w:rPr>
                <w:sz w:val="16"/>
                <w:szCs w:val="16"/>
              </w:rPr>
              <w:t>0.01%</w:t>
            </w:r>
          </w:p>
        </w:tc>
        <w:tc>
          <w:tcPr>
            <w:tcW w:w="1077" w:type="dxa"/>
            <w:tcMar>
              <w:left w:w="0" w:type="dxa"/>
              <w:right w:w="0" w:type="dxa"/>
            </w:tcMar>
          </w:tcPr>
          <w:p w14:paraId="21DF2A33" w14:textId="77777777" w:rsidR="00CD0355" w:rsidRPr="001531CD" w:rsidRDefault="00CD0355" w:rsidP="00CD0355">
            <w:pPr>
              <w:tabs>
                <w:tab w:val="left" w:pos="180"/>
                <w:tab w:val="left" w:pos="360"/>
              </w:tabs>
              <w:jc w:val="center"/>
              <w:rPr>
                <w:sz w:val="16"/>
                <w:szCs w:val="16"/>
              </w:rPr>
            </w:pPr>
            <w:r w:rsidRPr="001531CD">
              <w:rPr>
                <w:sz w:val="16"/>
                <w:szCs w:val="16"/>
              </w:rPr>
              <w:t>0.03%</w:t>
            </w:r>
          </w:p>
        </w:tc>
      </w:tr>
      <w:tr w:rsidR="00CD0355" w:rsidRPr="001531CD" w14:paraId="5E9C59D0" w14:textId="77777777" w:rsidTr="00CD0355">
        <w:trPr>
          <w:cantSplit/>
          <w:jc w:val="center"/>
        </w:trPr>
        <w:tc>
          <w:tcPr>
            <w:tcW w:w="1620" w:type="dxa"/>
            <w:tcBorders>
              <w:bottom w:val="double" w:sz="6" w:space="0" w:color="000000"/>
            </w:tcBorders>
            <w:tcMar>
              <w:left w:w="0" w:type="dxa"/>
              <w:right w:w="0" w:type="dxa"/>
            </w:tcMar>
          </w:tcPr>
          <w:p w14:paraId="2B8372F2"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Mar>
              <w:left w:w="0" w:type="dxa"/>
              <w:right w:w="0" w:type="dxa"/>
            </w:tcMar>
          </w:tcPr>
          <w:p w14:paraId="6CDD6A14" w14:textId="77777777" w:rsidR="00CD0355" w:rsidRPr="001531CD" w:rsidRDefault="00CD0355" w:rsidP="00CD0355">
            <w:pPr>
              <w:tabs>
                <w:tab w:val="left" w:pos="180"/>
                <w:tab w:val="left" w:pos="360"/>
              </w:tabs>
              <w:jc w:val="center"/>
              <w:rPr>
                <w:sz w:val="16"/>
                <w:szCs w:val="16"/>
              </w:rPr>
            </w:pPr>
            <w:r w:rsidRPr="001531CD">
              <w:rPr>
                <w:sz w:val="16"/>
                <w:szCs w:val="16"/>
              </w:rPr>
              <w:t>75.00%</w:t>
            </w:r>
          </w:p>
        </w:tc>
        <w:tc>
          <w:tcPr>
            <w:tcW w:w="1080" w:type="dxa"/>
            <w:tcBorders>
              <w:bottom w:val="double" w:sz="6" w:space="0" w:color="000000"/>
            </w:tcBorders>
            <w:tcMar>
              <w:left w:w="0" w:type="dxa"/>
              <w:right w:w="0" w:type="dxa"/>
            </w:tcMar>
          </w:tcPr>
          <w:p w14:paraId="053B7C01" w14:textId="77777777" w:rsidR="00CD0355" w:rsidRPr="001531CD" w:rsidRDefault="00CD0355" w:rsidP="00CD0355">
            <w:pPr>
              <w:tabs>
                <w:tab w:val="left" w:pos="180"/>
                <w:tab w:val="left" w:pos="360"/>
              </w:tabs>
              <w:jc w:val="center"/>
              <w:rPr>
                <w:sz w:val="16"/>
                <w:szCs w:val="16"/>
              </w:rPr>
            </w:pPr>
            <w:r w:rsidRPr="001531CD">
              <w:rPr>
                <w:sz w:val="16"/>
                <w:szCs w:val="16"/>
              </w:rPr>
              <w:t>75.00%</w:t>
            </w:r>
          </w:p>
        </w:tc>
        <w:tc>
          <w:tcPr>
            <w:tcW w:w="1077" w:type="dxa"/>
            <w:tcBorders>
              <w:bottom w:val="double" w:sz="6" w:space="0" w:color="000000"/>
            </w:tcBorders>
            <w:tcMar>
              <w:left w:w="0" w:type="dxa"/>
              <w:right w:w="0" w:type="dxa"/>
            </w:tcMar>
          </w:tcPr>
          <w:p w14:paraId="5610D3DB" w14:textId="77777777" w:rsidR="00CD0355" w:rsidRPr="001531CD" w:rsidRDefault="00CD0355" w:rsidP="00CD0355">
            <w:pPr>
              <w:tabs>
                <w:tab w:val="left" w:pos="180"/>
                <w:tab w:val="left" w:pos="360"/>
              </w:tabs>
              <w:jc w:val="center"/>
              <w:rPr>
                <w:sz w:val="16"/>
                <w:szCs w:val="16"/>
              </w:rPr>
            </w:pPr>
            <w:r w:rsidRPr="001531CD">
              <w:rPr>
                <w:sz w:val="16"/>
                <w:szCs w:val="16"/>
              </w:rPr>
              <w:t>75.00%</w:t>
            </w:r>
          </w:p>
        </w:tc>
      </w:tr>
    </w:tbl>
    <w:p w14:paraId="2F2E77ED" w14:textId="77777777" w:rsidR="00CD0355" w:rsidRPr="001531CD" w:rsidRDefault="00CD0355" w:rsidP="00CD0355">
      <w:pPr>
        <w:pStyle w:val="A"/>
        <w:spacing w:after="0"/>
      </w:pPr>
    </w:p>
    <w:p w14:paraId="24BB8023" w14:textId="77777777" w:rsidR="00CD0355" w:rsidRPr="001531CD" w:rsidRDefault="00CD0355" w:rsidP="00CD0355">
      <w:pPr>
        <w:pStyle w:val="AuthorityNote"/>
      </w:pPr>
      <w:r w:rsidRPr="001531CD">
        <w:t>AUTHORITY NOTE:</w:t>
      </w:r>
      <w:r w:rsidRPr="001531CD">
        <w:tab/>
        <w:t>Promulgated in accordance with R.S. 3:1433.</w:t>
      </w:r>
    </w:p>
    <w:p w14:paraId="482F8BAB" w14:textId="77777777" w:rsidR="00CD0355" w:rsidRPr="001531CD" w:rsidRDefault="00CD0355" w:rsidP="00CD0355">
      <w:pPr>
        <w:pStyle w:val="HistoricalNote"/>
      </w:pPr>
      <w:r w:rsidRPr="001531CD">
        <w:t>HISTORICAL NOTE:</w:t>
      </w:r>
      <w:r w:rsidRPr="001531CD">
        <w:tab/>
        <w:t>Promulgated by the Department of Agriculture and Forestry, Seed Commission, LR 14:604 (September 1988), repromulgated by the Department of Agriculture and Forestry, Office of Agricultural and Environmental Sciences, Agricultural Chemistry and Seed Commission, LR 39:2733 (October 2013).</w:t>
      </w:r>
    </w:p>
    <w:p w14:paraId="630DE780" w14:textId="77777777" w:rsidR="00CD0355" w:rsidRPr="001531CD" w:rsidRDefault="00CD0355" w:rsidP="00CD0355">
      <w:pPr>
        <w:pStyle w:val="Section"/>
      </w:pPr>
      <w:bookmarkStart w:id="1205" w:name="_Toc224818831"/>
      <w:r w:rsidRPr="001531CD">
        <w:t>§793.</w:t>
      </w:r>
      <w:r w:rsidRPr="001531CD">
        <w:tab/>
        <w:t>Watermelon Seed Certification Standards</w:t>
      </w:r>
      <w:bookmarkEnd w:id="1205"/>
      <w:r w:rsidRPr="001531CD">
        <w:t xml:space="preserve"> </w:t>
      </w:r>
    </w:p>
    <w:p w14:paraId="2777052C" w14:textId="77777777" w:rsidR="00CD0355" w:rsidRPr="001531CD" w:rsidRDefault="00CD0355" w:rsidP="00CD0355">
      <w:pPr>
        <w:pStyle w:val="A"/>
      </w:pPr>
      <w:r w:rsidRPr="001531CD">
        <w:t>A.</w:t>
      </w:r>
      <w:r w:rsidRPr="001531CD">
        <w:tab/>
        <w:t>Field Inspection</w:t>
      </w:r>
    </w:p>
    <w:p w14:paraId="1C0E4380" w14:textId="77777777" w:rsidR="00CD0355" w:rsidRPr="001531CD" w:rsidRDefault="00CD0355" w:rsidP="00CD0355">
      <w:pPr>
        <w:pStyle w:val="1"/>
      </w:pPr>
      <w:r w:rsidRPr="001531CD">
        <w:t>1.</w:t>
      </w:r>
      <w:r w:rsidRPr="001531CD">
        <w:tab/>
        <w:t>The initial inspection will be made before the first blooms are open. At this time, volunteer plants and citron must be removed from the field to be certified and the isolation zone by the grower.</w:t>
      </w:r>
    </w:p>
    <w:p w14:paraId="6A404928" w14:textId="77777777" w:rsidR="00CD0355" w:rsidRPr="001531CD" w:rsidRDefault="00CD0355" w:rsidP="00CD0355">
      <w:pPr>
        <w:pStyle w:val="1"/>
      </w:pPr>
      <w:r w:rsidRPr="001531CD">
        <w:t>2.</w:t>
      </w:r>
      <w:r w:rsidRPr="001531CD">
        <w:tab/>
        <w:t>The second inspection will be made when the melons are ready to harvest. The presence of any citron plants within 2,640 feet of a unit entered for foundation or registered classes or within 1,320 feet of a unit entered for certified class will disqualify the unit for certification.</w:t>
      </w:r>
    </w:p>
    <w:p w14:paraId="3F43848F" w14:textId="77777777" w:rsidR="00CD0355" w:rsidRPr="001531CD" w:rsidRDefault="00CD0355" w:rsidP="00CD0355">
      <w:pPr>
        <w:pStyle w:val="A"/>
      </w:pPr>
      <w:r w:rsidRPr="001531CD">
        <w:t>B.</w:t>
      </w:r>
      <w:r w:rsidRPr="001531CD">
        <w:tab/>
        <w:t>Field Standards</w:t>
      </w:r>
    </w:p>
    <w:tbl>
      <w:tblPr>
        <w:tblW w:w="50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890"/>
        <w:gridCol w:w="1056"/>
        <w:gridCol w:w="1080"/>
        <w:gridCol w:w="983"/>
      </w:tblGrid>
      <w:tr w:rsidR="00CD0355" w:rsidRPr="001531CD" w14:paraId="65C7DA05" w14:textId="77777777" w:rsidTr="00CD0355">
        <w:trPr>
          <w:cantSplit/>
          <w:tblHeader/>
          <w:jc w:val="center"/>
        </w:trPr>
        <w:tc>
          <w:tcPr>
            <w:tcW w:w="1890" w:type="dxa"/>
            <w:tcBorders>
              <w:top w:val="double" w:sz="6" w:space="0" w:color="000000"/>
            </w:tcBorders>
            <w:shd w:val="clear" w:color="auto" w:fill="A6A6A6"/>
          </w:tcPr>
          <w:p w14:paraId="1C41338C"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56" w:type="dxa"/>
            <w:tcBorders>
              <w:top w:val="double" w:sz="6" w:space="0" w:color="000000"/>
            </w:tcBorders>
            <w:shd w:val="clear" w:color="auto" w:fill="A6A6A6"/>
          </w:tcPr>
          <w:p w14:paraId="0C635449"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tcBorders>
            <w:shd w:val="clear" w:color="auto" w:fill="A6A6A6"/>
          </w:tcPr>
          <w:p w14:paraId="59A52080"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83" w:type="dxa"/>
            <w:tcBorders>
              <w:top w:val="double" w:sz="6" w:space="0" w:color="000000"/>
            </w:tcBorders>
            <w:shd w:val="clear" w:color="auto" w:fill="A6A6A6"/>
          </w:tcPr>
          <w:p w14:paraId="2EDCC03E"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30349A04" w14:textId="77777777" w:rsidTr="00CD0355">
        <w:trPr>
          <w:cantSplit/>
          <w:jc w:val="center"/>
        </w:trPr>
        <w:tc>
          <w:tcPr>
            <w:tcW w:w="1890" w:type="dxa"/>
          </w:tcPr>
          <w:p w14:paraId="3F03E74E" w14:textId="77777777" w:rsidR="00CD0355" w:rsidRPr="001531CD" w:rsidRDefault="00CD0355" w:rsidP="00CD0355">
            <w:pPr>
              <w:tabs>
                <w:tab w:val="left" w:pos="180"/>
                <w:tab w:val="left" w:pos="360"/>
              </w:tabs>
              <w:rPr>
                <w:sz w:val="16"/>
                <w:szCs w:val="16"/>
              </w:rPr>
            </w:pPr>
            <w:r w:rsidRPr="001531CD">
              <w:rPr>
                <w:sz w:val="16"/>
                <w:szCs w:val="16"/>
              </w:rPr>
              <w:t>Land Requirement</w:t>
            </w:r>
          </w:p>
        </w:tc>
        <w:tc>
          <w:tcPr>
            <w:tcW w:w="1056" w:type="dxa"/>
            <w:vAlign w:val="bottom"/>
          </w:tcPr>
          <w:p w14:paraId="13CD6DFC"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1080" w:type="dxa"/>
            <w:vAlign w:val="bottom"/>
          </w:tcPr>
          <w:p w14:paraId="4B011D6F" w14:textId="77777777" w:rsidR="00CD0355" w:rsidRPr="001531CD" w:rsidRDefault="00CD0355" w:rsidP="00CD0355">
            <w:pPr>
              <w:tabs>
                <w:tab w:val="left" w:pos="180"/>
                <w:tab w:val="left" w:pos="360"/>
              </w:tabs>
              <w:jc w:val="center"/>
              <w:rPr>
                <w:sz w:val="16"/>
                <w:szCs w:val="16"/>
              </w:rPr>
            </w:pPr>
            <w:r w:rsidRPr="001531CD">
              <w:rPr>
                <w:sz w:val="16"/>
                <w:szCs w:val="16"/>
              </w:rPr>
              <w:t>1 yr.</w:t>
            </w:r>
          </w:p>
        </w:tc>
        <w:tc>
          <w:tcPr>
            <w:tcW w:w="983" w:type="dxa"/>
            <w:vAlign w:val="bottom"/>
          </w:tcPr>
          <w:p w14:paraId="04D310B5" w14:textId="77777777"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14:paraId="267DF4CA" w14:textId="77777777" w:rsidTr="00CD0355">
        <w:trPr>
          <w:cantSplit/>
          <w:jc w:val="center"/>
        </w:trPr>
        <w:tc>
          <w:tcPr>
            <w:tcW w:w="1890" w:type="dxa"/>
          </w:tcPr>
          <w:p w14:paraId="6D055003" w14:textId="77777777" w:rsidR="00CD0355" w:rsidRPr="001531CD" w:rsidRDefault="00CD0355" w:rsidP="00CD0355">
            <w:pPr>
              <w:tabs>
                <w:tab w:val="left" w:pos="180"/>
                <w:tab w:val="left" w:pos="360"/>
              </w:tabs>
              <w:rPr>
                <w:sz w:val="16"/>
                <w:szCs w:val="16"/>
              </w:rPr>
            </w:pPr>
            <w:r w:rsidRPr="001531CD">
              <w:rPr>
                <w:sz w:val="16"/>
                <w:szCs w:val="16"/>
              </w:rPr>
              <w:t>Isolation</w:t>
            </w:r>
          </w:p>
        </w:tc>
        <w:tc>
          <w:tcPr>
            <w:tcW w:w="1056" w:type="dxa"/>
            <w:vAlign w:val="bottom"/>
          </w:tcPr>
          <w:p w14:paraId="7FDB64A5" w14:textId="77777777" w:rsidR="00CD0355" w:rsidRPr="001531CD" w:rsidRDefault="00CD0355" w:rsidP="00CD0355">
            <w:pPr>
              <w:tabs>
                <w:tab w:val="left" w:pos="180"/>
                <w:tab w:val="left" w:pos="360"/>
              </w:tabs>
              <w:jc w:val="center"/>
              <w:rPr>
                <w:sz w:val="16"/>
                <w:szCs w:val="16"/>
              </w:rPr>
            </w:pPr>
            <w:r w:rsidRPr="001531CD">
              <w:rPr>
                <w:sz w:val="16"/>
                <w:szCs w:val="16"/>
              </w:rPr>
              <w:t>2,640 ft.</w:t>
            </w:r>
          </w:p>
        </w:tc>
        <w:tc>
          <w:tcPr>
            <w:tcW w:w="1080" w:type="dxa"/>
            <w:vAlign w:val="bottom"/>
          </w:tcPr>
          <w:p w14:paraId="1EB0FAF7" w14:textId="77777777" w:rsidR="00CD0355" w:rsidRPr="001531CD" w:rsidRDefault="00CD0355" w:rsidP="00CD0355">
            <w:pPr>
              <w:tabs>
                <w:tab w:val="left" w:pos="180"/>
                <w:tab w:val="left" w:pos="360"/>
              </w:tabs>
              <w:jc w:val="center"/>
              <w:rPr>
                <w:sz w:val="16"/>
                <w:szCs w:val="16"/>
              </w:rPr>
            </w:pPr>
            <w:r w:rsidRPr="001531CD">
              <w:rPr>
                <w:sz w:val="16"/>
                <w:szCs w:val="16"/>
              </w:rPr>
              <w:t>2,640 ft.</w:t>
            </w:r>
          </w:p>
        </w:tc>
        <w:tc>
          <w:tcPr>
            <w:tcW w:w="983" w:type="dxa"/>
            <w:vAlign w:val="bottom"/>
          </w:tcPr>
          <w:p w14:paraId="0698944D" w14:textId="77777777" w:rsidR="00CD0355" w:rsidRPr="001531CD" w:rsidRDefault="00CD0355" w:rsidP="00CD0355">
            <w:pPr>
              <w:tabs>
                <w:tab w:val="left" w:pos="180"/>
                <w:tab w:val="left" w:pos="360"/>
              </w:tabs>
              <w:jc w:val="center"/>
              <w:rPr>
                <w:sz w:val="16"/>
                <w:szCs w:val="16"/>
              </w:rPr>
            </w:pPr>
            <w:r w:rsidRPr="001531CD">
              <w:rPr>
                <w:sz w:val="16"/>
                <w:szCs w:val="16"/>
              </w:rPr>
              <w:t>1,320 ft.</w:t>
            </w:r>
          </w:p>
        </w:tc>
      </w:tr>
      <w:tr w:rsidR="00CD0355" w:rsidRPr="001531CD" w14:paraId="1D26AFA6" w14:textId="77777777" w:rsidTr="00CD0355">
        <w:trPr>
          <w:cantSplit/>
          <w:jc w:val="center"/>
        </w:trPr>
        <w:tc>
          <w:tcPr>
            <w:tcW w:w="5009" w:type="dxa"/>
            <w:gridSpan w:val="4"/>
            <w:vAlign w:val="bottom"/>
          </w:tcPr>
          <w:p w14:paraId="4924A04E" w14:textId="77777777" w:rsidR="00CD0355" w:rsidRPr="001531CD" w:rsidRDefault="00CD0355" w:rsidP="00CD0355">
            <w:pPr>
              <w:tabs>
                <w:tab w:val="left" w:pos="180"/>
                <w:tab w:val="left" w:pos="360"/>
              </w:tabs>
              <w:rPr>
                <w:sz w:val="16"/>
                <w:szCs w:val="16"/>
              </w:rPr>
            </w:pPr>
            <w:r w:rsidRPr="001531CD">
              <w:rPr>
                <w:sz w:val="16"/>
                <w:szCs w:val="16"/>
              </w:rPr>
              <w:t xml:space="preserve">At Harvest Time: </w:t>
            </w:r>
          </w:p>
        </w:tc>
      </w:tr>
      <w:tr w:rsidR="00CD0355" w:rsidRPr="001531CD" w14:paraId="586C74C4" w14:textId="77777777" w:rsidTr="00CD0355">
        <w:trPr>
          <w:cantSplit/>
          <w:jc w:val="center"/>
        </w:trPr>
        <w:tc>
          <w:tcPr>
            <w:tcW w:w="1890" w:type="dxa"/>
            <w:vAlign w:val="bottom"/>
          </w:tcPr>
          <w:p w14:paraId="702D2893" w14:textId="77777777" w:rsidR="00CD0355" w:rsidRPr="001531CD" w:rsidRDefault="00CD0355" w:rsidP="00CD0355">
            <w:pPr>
              <w:tabs>
                <w:tab w:val="left" w:pos="180"/>
                <w:tab w:val="left" w:pos="360"/>
              </w:tabs>
              <w:rPr>
                <w:sz w:val="16"/>
                <w:szCs w:val="16"/>
              </w:rPr>
            </w:pPr>
            <w:r w:rsidRPr="001531CD">
              <w:rPr>
                <w:sz w:val="16"/>
                <w:szCs w:val="16"/>
              </w:rPr>
              <w:t>Citron</w:t>
            </w:r>
          </w:p>
        </w:tc>
        <w:tc>
          <w:tcPr>
            <w:tcW w:w="1056" w:type="dxa"/>
            <w:vAlign w:val="bottom"/>
          </w:tcPr>
          <w:p w14:paraId="0F7A953A"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vAlign w:val="bottom"/>
          </w:tcPr>
          <w:p w14:paraId="6CBB956E"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3" w:type="dxa"/>
            <w:vAlign w:val="bottom"/>
          </w:tcPr>
          <w:p w14:paraId="7360821D"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15F0E6C6" w14:textId="77777777" w:rsidTr="00CD0355">
        <w:trPr>
          <w:cantSplit/>
          <w:jc w:val="center"/>
        </w:trPr>
        <w:tc>
          <w:tcPr>
            <w:tcW w:w="1890" w:type="dxa"/>
          </w:tcPr>
          <w:p w14:paraId="53C86223" w14:textId="77777777" w:rsidR="00CD0355" w:rsidRPr="001531CD" w:rsidRDefault="00CD0355" w:rsidP="00CD0355">
            <w:pPr>
              <w:tabs>
                <w:tab w:val="left" w:pos="180"/>
                <w:tab w:val="left" w:pos="360"/>
              </w:tabs>
              <w:rPr>
                <w:sz w:val="16"/>
                <w:szCs w:val="16"/>
              </w:rPr>
            </w:pPr>
            <w:r w:rsidRPr="001531CD">
              <w:rPr>
                <w:sz w:val="16"/>
                <w:szCs w:val="16"/>
              </w:rPr>
              <w:t>White Heart Fruits</w:t>
            </w:r>
          </w:p>
        </w:tc>
        <w:tc>
          <w:tcPr>
            <w:tcW w:w="1056" w:type="dxa"/>
          </w:tcPr>
          <w:p w14:paraId="4969B7E0"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14:paraId="77BFDA13"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983" w:type="dxa"/>
          </w:tcPr>
          <w:p w14:paraId="161DF29B" w14:textId="77777777"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14:paraId="4F4D9B60" w14:textId="77777777" w:rsidTr="00CD0355">
        <w:trPr>
          <w:cantSplit/>
          <w:jc w:val="center"/>
        </w:trPr>
        <w:tc>
          <w:tcPr>
            <w:tcW w:w="1890" w:type="dxa"/>
          </w:tcPr>
          <w:p w14:paraId="55D1F1D3" w14:textId="77777777" w:rsidR="00CD0355" w:rsidRPr="001531CD" w:rsidRDefault="00CD0355" w:rsidP="00CD0355">
            <w:pPr>
              <w:tabs>
                <w:tab w:val="left" w:pos="180"/>
                <w:tab w:val="left" w:pos="360"/>
              </w:tabs>
              <w:rPr>
                <w:sz w:val="16"/>
                <w:szCs w:val="16"/>
              </w:rPr>
            </w:pPr>
            <w:r w:rsidRPr="001531CD">
              <w:rPr>
                <w:sz w:val="16"/>
                <w:szCs w:val="16"/>
              </w:rPr>
              <w:lastRenderedPageBreak/>
              <w:t>Total Off-Type Plants or Varietal Mixtures</w:t>
            </w:r>
          </w:p>
        </w:tc>
        <w:tc>
          <w:tcPr>
            <w:tcW w:w="1056" w:type="dxa"/>
            <w:vAlign w:val="center"/>
          </w:tcPr>
          <w:p w14:paraId="723718D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vAlign w:val="center"/>
          </w:tcPr>
          <w:p w14:paraId="46C02314"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983" w:type="dxa"/>
            <w:vAlign w:val="center"/>
          </w:tcPr>
          <w:p w14:paraId="540E9A98" w14:textId="77777777" w:rsidR="00CD0355" w:rsidRPr="001531CD" w:rsidRDefault="00CD0355" w:rsidP="00CD0355">
            <w:pPr>
              <w:tabs>
                <w:tab w:val="left" w:pos="180"/>
                <w:tab w:val="left" w:pos="360"/>
              </w:tabs>
              <w:jc w:val="center"/>
              <w:rPr>
                <w:sz w:val="16"/>
                <w:szCs w:val="16"/>
              </w:rPr>
            </w:pPr>
            <w:r w:rsidRPr="001531CD">
              <w:rPr>
                <w:sz w:val="16"/>
                <w:szCs w:val="16"/>
              </w:rPr>
              <w:t>2 Plants per Acre</w:t>
            </w:r>
          </w:p>
        </w:tc>
      </w:tr>
      <w:tr w:rsidR="00CD0355" w:rsidRPr="001531CD" w14:paraId="67B52081" w14:textId="77777777" w:rsidTr="00CD0355">
        <w:trPr>
          <w:cantSplit/>
          <w:jc w:val="center"/>
        </w:trPr>
        <w:tc>
          <w:tcPr>
            <w:tcW w:w="1890" w:type="dxa"/>
            <w:tcMar>
              <w:left w:w="58" w:type="dxa"/>
              <w:right w:w="115" w:type="dxa"/>
            </w:tcMar>
          </w:tcPr>
          <w:p w14:paraId="6F4E89C3" w14:textId="77777777" w:rsidR="00CD0355" w:rsidRPr="001531CD" w:rsidRDefault="00CD0355" w:rsidP="00CD0355">
            <w:pPr>
              <w:tabs>
                <w:tab w:val="left" w:pos="180"/>
                <w:tab w:val="left" w:pos="360"/>
              </w:tabs>
              <w:rPr>
                <w:sz w:val="16"/>
                <w:szCs w:val="16"/>
              </w:rPr>
            </w:pPr>
            <w:r w:rsidRPr="001531CD">
              <w:rPr>
                <w:sz w:val="16"/>
                <w:szCs w:val="16"/>
              </w:rPr>
              <w:t>*Plants Free from Fusarium Wilt</w:t>
            </w:r>
          </w:p>
        </w:tc>
        <w:tc>
          <w:tcPr>
            <w:tcW w:w="1056" w:type="dxa"/>
            <w:vAlign w:val="bottom"/>
          </w:tcPr>
          <w:p w14:paraId="33080084" w14:textId="77777777" w:rsidR="00CD0355" w:rsidRPr="001531CD" w:rsidRDefault="00CD0355" w:rsidP="00CD0355">
            <w:pPr>
              <w:tabs>
                <w:tab w:val="left" w:pos="180"/>
                <w:tab w:val="left" w:pos="360"/>
              </w:tabs>
              <w:jc w:val="center"/>
              <w:rPr>
                <w:sz w:val="16"/>
                <w:szCs w:val="16"/>
              </w:rPr>
            </w:pPr>
            <w:r w:rsidRPr="001531CD">
              <w:rPr>
                <w:sz w:val="16"/>
                <w:szCs w:val="16"/>
              </w:rPr>
              <w:t>93.00%</w:t>
            </w:r>
          </w:p>
        </w:tc>
        <w:tc>
          <w:tcPr>
            <w:tcW w:w="1080" w:type="dxa"/>
            <w:vAlign w:val="bottom"/>
          </w:tcPr>
          <w:p w14:paraId="55089966" w14:textId="77777777" w:rsidR="00CD0355" w:rsidRPr="001531CD" w:rsidRDefault="00CD0355" w:rsidP="00CD0355">
            <w:pPr>
              <w:tabs>
                <w:tab w:val="left" w:pos="180"/>
                <w:tab w:val="left" w:pos="360"/>
              </w:tabs>
              <w:jc w:val="center"/>
              <w:rPr>
                <w:sz w:val="16"/>
                <w:szCs w:val="16"/>
              </w:rPr>
            </w:pPr>
            <w:r w:rsidRPr="001531CD">
              <w:rPr>
                <w:sz w:val="16"/>
                <w:szCs w:val="16"/>
              </w:rPr>
              <w:t>93.00%</w:t>
            </w:r>
          </w:p>
        </w:tc>
        <w:tc>
          <w:tcPr>
            <w:tcW w:w="983" w:type="dxa"/>
            <w:vAlign w:val="bottom"/>
          </w:tcPr>
          <w:p w14:paraId="45F1C8E7" w14:textId="77777777" w:rsidR="00CD0355" w:rsidRPr="001531CD" w:rsidRDefault="00CD0355" w:rsidP="00CD0355">
            <w:pPr>
              <w:tabs>
                <w:tab w:val="left" w:pos="180"/>
                <w:tab w:val="left" w:pos="360"/>
              </w:tabs>
              <w:jc w:val="center"/>
              <w:rPr>
                <w:sz w:val="16"/>
                <w:szCs w:val="16"/>
              </w:rPr>
            </w:pPr>
            <w:r w:rsidRPr="001531CD">
              <w:rPr>
                <w:sz w:val="16"/>
                <w:szCs w:val="16"/>
              </w:rPr>
              <w:t>90.00%</w:t>
            </w:r>
          </w:p>
        </w:tc>
      </w:tr>
      <w:tr w:rsidR="00CD0355" w:rsidRPr="001531CD" w14:paraId="0F3770AD" w14:textId="77777777" w:rsidTr="00CD0355">
        <w:trPr>
          <w:cantSplit/>
          <w:jc w:val="center"/>
        </w:trPr>
        <w:tc>
          <w:tcPr>
            <w:tcW w:w="1890" w:type="dxa"/>
          </w:tcPr>
          <w:p w14:paraId="2AACE5DB" w14:textId="77777777" w:rsidR="00CD0355" w:rsidRPr="001531CD" w:rsidRDefault="00CD0355" w:rsidP="00CD0355">
            <w:pPr>
              <w:tabs>
                <w:tab w:val="left" w:pos="180"/>
                <w:tab w:val="left" w:pos="360"/>
              </w:tabs>
              <w:rPr>
                <w:sz w:val="16"/>
                <w:szCs w:val="16"/>
              </w:rPr>
            </w:pPr>
            <w:r w:rsidRPr="001531CD">
              <w:rPr>
                <w:sz w:val="16"/>
                <w:szCs w:val="16"/>
              </w:rPr>
              <w:t>Plants Free from Anthracnose</w:t>
            </w:r>
          </w:p>
        </w:tc>
        <w:tc>
          <w:tcPr>
            <w:tcW w:w="1056" w:type="dxa"/>
            <w:vAlign w:val="bottom"/>
          </w:tcPr>
          <w:p w14:paraId="45FAD91A" w14:textId="77777777" w:rsidR="00CD0355" w:rsidRPr="001531CD" w:rsidRDefault="00CD0355" w:rsidP="00CD0355">
            <w:pPr>
              <w:tabs>
                <w:tab w:val="left" w:pos="180"/>
                <w:tab w:val="left" w:pos="360"/>
              </w:tabs>
              <w:jc w:val="center"/>
              <w:rPr>
                <w:sz w:val="16"/>
                <w:szCs w:val="16"/>
              </w:rPr>
            </w:pPr>
            <w:r w:rsidRPr="001531CD">
              <w:rPr>
                <w:sz w:val="16"/>
                <w:szCs w:val="16"/>
              </w:rPr>
              <w:t>95.00%</w:t>
            </w:r>
          </w:p>
        </w:tc>
        <w:tc>
          <w:tcPr>
            <w:tcW w:w="1080" w:type="dxa"/>
            <w:vAlign w:val="bottom"/>
          </w:tcPr>
          <w:p w14:paraId="43678C6B" w14:textId="77777777" w:rsidR="00CD0355" w:rsidRPr="001531CD" w:rsidRDefault="00CD0355" w:rsidP="00CD0355">
            <w:pPr>
              <w:tabs>
                <w:tab w:val="left" w:pos="180"/>
                <w:tab w:val="left" w:pos="360"/>
              </w:tabs>
              <w:jc w:val="center"/>
              <w:rPr>
                <w:sz w:val="16"/>
                <w:szCs w:val="16"/>
              </w:rPr>
            </w:pPr>
            <w:r w:rsidRPr="001531CD">
              <w:rPr>
                <w:sz w:val="16"/>
                <w:szCs w:val="16"/>
              </w:rPr>
              <w:t>95.00%</w:t>
            </w:r>
          </w:p>
        </w:tc>
        <w:tc>
          <w:tcPr>
            <w:tcW w:w="983" w:type="dxa"/>
            <w:vAlign w:val="bottom"/>
          </w:tcPr>
          <w:p w14:paraId="7682B3C5" w14:textId="77777777" w:rsidR="00CD0355" w:rsidRPr="001531CD" w:rsidRDefault="00CD0355" w:rsidP="00CD0355">
            <w:pPr>
              <w:tabs>
                <w:tab w:val="left" w:pos="180"/>
                <w:tab w:val="left" w:pos="360"/>
              </w:tabs>
              <w:jc w:val="center"/>
              <w:rPr>
                <w:sz w:val="16"/>
                <w:szCs w:val="16"/>
              </w:rPr>
            </w:pPr>
            <w:r w:rsidRPr="001531CD">
              <w:rPr>
                <w:sz w:val="16"/>
                <w:szCs w:val="16"/>
              </w:rPr>
              <w:t>90.00%</w:t>
            </w:r>
          </w:p>
        </w:tc>
      </w:tr>
      <w:tr w:rsidR="00CD0355" w:rsidRPr="001531CD" w14:paraId="2235678E" w14:textId="77777777" w:rsidTr="00CD0355">
        <w:trPr>
          <w:cantSplit/>
          <w:jc w:val="center"/>
        </w:trPr>
        <w:tc>
          <w:tcPr>
            <w:tcW w:w="5009" w:type="dxa"/>
            <w:gridSpan w:val="4"/>
            <w:tcBorders>
              <w:bottom w:val="double" w:sz="6" w:space="0" w:color="000000"/>
            </w:tcBorders>
          </w:tcPr>
          <w:p w14:paraId="5CEA43BC" w14:textId="77777777" w:rsidR="00CD0355" w:rsidRPr="001531CD" w:rsidRDefault="00CD0355" w:rsidP="00CD0355">
            <w:pPr>
              <w:tabs>
                <w:tab w:val="left" w:pos="180"/>
                <w:tab w:val="left" w:pos="360"/>
              </w:tabs>
              <w:rPr>
                <w:sz w:val="16"/>
                <w:szCs w:val="16"/>
              </w:rPr>
            </w:pPr>
            <w:r w:rsidRPr="001531CD">
              <w:rPr>
                <w:sz w:val="16"/>
                <w:szCs w:val="16"/>
              </w:rPr>
              <w:t>*Applies to wilt-resistant varieties only</w:t>
            </w:r>
          </w:p>
        </w:tc>
      </w:tr>
    </w:tbl>
    <w:p w14:paraId="75D26768" w14:textId="77777777" w:rsidR="00CD0355" w:rsidRPr="001531CD" w:rsidRDefault="00CD0355" w:rsidP="00CD0355">
      <w:pPr>
        <w:pStyle w:val="A"/>
        <w:spacing w:after="0"/>
      </w:pPr>
    </w:p>
    <w:p w14:paraId="23D60329" w14:textId="77777777" w:rsidR="00CD0355" w:rsidRPr="001531CD" w:rsidRDefault="00CD0355" w:rsidP="00CD0355">
      <w:pPr>
        <w:pStyle w:val="A"/>
      </w:pPr>
      <w:r w:rsidRPr="001531CD">
        <w:t>C.</w:t>
      </w:r>
      <w:r w:rsidRPr="001531CD">
        <w:tab/>
        <w:t>Seed Standards</w:t>
      </w:r>
    </w:p>
    <w:tbl>
      <w:tblPr>
        <w:tblW w:w="49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080"/>
        <w:gridCol w:w="1069"/>
        <w:gridCol w:w="1047"/>
      </w:tblGrid>
      <w:tr w:rsidR="00CD0355" w:rsidRPr="001531CD" w14:paraId="0E118297" w14:textId="77777777" w:rsidTr="00CD0355">
        <w:trPr>
          <w:cantSplit/>
          <w:jc w:val="center"/>
        </w:trPr>
        <w:tc>
          <w:tcPr>
            <w:tcW w:w="1800" w:type="dxa"/>
            <w:tcBorders>
              <w:top w:val="double" w:sz="6" w:space="0" w:color="000000"/>
            </w:tcBorders>
            <w:shd w:val="clear" w:color="auto" w:fill="A6A6A6"/>
            <w:tcMar>
              <w:left w:w="0" w:type="dxa"/>
              <w:right w:w="0" w:type="dxa"/>
            </w:tcMar>
            <w:vAlign w:val="bottom"/>
          </w:tcPr>
          <w:p w14:paraId="6443F177" w14:textId="77777777"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tcBorders>
            <w:shd w:val="clear" w:color="auto" w:fill="A6A6A6"/>
            <w:tcMar>
              <w:left w:w="0" w:type="dxa"/>
              <w:right w:w="0" w:type="dxa"/>
            </w:tcMar>
            <w:vAlign w:val="bottom"/>
          </w:tcPr>
          <w:p w14:paraId="1D935D91" w14:textId="77777777"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69" w:type="dxa"/>
            <w:tcBorders>
              <w:top w:val="double" w:sz="6" w:space="0" w:color="000000"/>
            </w:tcBorders>
            <w:shd w:val="clear" w:color="auto" w:fill="A6A6A6"/>
            <w:tcMar>
              <w:left w:w="0" w:type="dxa"/>
              <w:right w:w="0" w:type="dxa"/>
            </w:tcMar>
            <w:vAlign w:val="bottom"/>
          </w:tcPr>
          <w:p w14:paraId="39793667" w14:textId="77777777"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47" w:type="dxa"/>
            <w:tcBorders>
              <w:top w:val="double" w:sz="6" w:space="0" w:color="000000"/>
            </w:tcBorders>
            <w:shd w:val="clear" w:color="auto" w:fill="A6A6A6"/>
            <w:tcMar>
              <w:left w:w="0" w:type="dxa"/>
              <w:right w:w="0" w:type="dxa"/>
            </w:tcMar>
            <w:vAlign w:val="bottom"/>
          </w:tcPr>
          <w:p w14:paraId="7A28E621"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14:paraId="636AD2BE" w14:textId="77777777" w:rsidTr="00CD0355">
        <w:trPr>
          <w:cantSplit/>
          <w:jc w:val="center"/>
        </w:trPr>
        <w:tc>
          <w:tcPr>
            <w:tcW w:w="1800" w:type="dxa"/>
            <w:tcMar>
              <w:left w:w="0" w:type="dxa"/>
              <w:right w:w="0" w:type="dxa"/>
            </w:tcMar>
          </w:tcPr>
          <w:p w14:paraId="50CBA569"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Mar>
              <w:left w:w="0" w:type="dxa"/>
              <w:right w:w="0" w:type="dxa"/>
            </w:tcMar>
          </w:tcPr>
          <w:p w14:paraId="2F957CB8"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69" w:type="dxa"/>
            <w:tcMar>
              <w:left w:w="0" w:type="dxa"/>
              <w:right w:w="0" w:type="dxa"/>
            </w:tcMar>
          </w:tcPr>
          <w:p w14:paraId="14DE74F0"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47" w:type="dxa"/>
            <w:tcMar>
              <w:left w:w="0" w:type="dxa"/>
              <w:right w:w="0" w:type="dxa"/>
            </w:tcMar>
          </w:tcPr>
          <w:p w14:paraId="3538E9B7"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14:paraId="6CDE4E9B" w14:textId="77777777" w:rsidTr="00CD0355">
        <w:trPr>
          <w:cantSplit/>
          <w:jc w:val="center"/>
        </w:trPr>
        <w:tc>
          <w:tcPr>
            <w:tcW w:w="1800" w:type="dxa"/>
            <w:tcMar>
              <w:left w:w="0" w:type="dxa"/>
              <w:right w:w="0" w:type="dxa"/>
            </w:tcMar>
          </w:tcPr>
          <w:p w14:paraId="1423A4E2"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Mar>
              <w:left w:w="0" w:type="dxa"/>
              <w:right w:w="0" w:type="dxa"/>
            </w:tcMar>
          </w:tcPr>
          <w:p w14:paraId="36792E1F"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69" w:type="dxa"/>
            <w:tcMar>
              <w:left w:w="0" w:type="dxa"/>
              <w:right w:w="0" w:type="dxa"/>
            </w:tcMar>
          </w:tcPr>
          <w:p w14:paraId="61EB21B1"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47" w:type="dxa"/>
            <w:tcMar>
              <w:left w:w="0" w:type="dxa"/>
              <w:right w:w="0" w:type="dxa"/>
            </w:tcMar>
          </w:tcPr>
          <w:p w14:paraId="1478799E"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410EEBA8" w14:textId="77777777" w:rsidTr="00CD0355">
        <w:trPr>
          <w:cantSplit/>
          <w:jc w:val="center"/>
        </w:trPr>
        <w:tc>
          <w:tcPr>
            <w:tcW w:w="1800" w:type="dxa"/>
            <w:tcMar>
              <w:left w:w="0" w:type="dxa"/>
              <w:right w:w="0" w:type="dxa"/>
            </w:tcMar>
          </w:tcPr>
          <w:p w14:paraId="277A7098" w14:textId="77777777"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Mar>
              <w:left w:w="0" w:type="dxa"/>
              <w:right w:w="0" w:type="dxa"/>
            </w:tcMar>
          </w:tcPr>
          <w:p w14:paraId="1F3E3A6F"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14:paraId="3154652E" w14:textId="77777777"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047" w:type="dxa"/>
            <w:tcMar>
              <w:left w:w="0" w:type="dxa"/>
              <w:right w:w="0" w:type="dxa"/>
            </w:tcMar>
          </w:tcPr>
          <w:p w14:paraId="0DBA59AD" w14:textId="77777777"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14:paraId="6A404FE9" w14:textId="77777777" w:rsidTr="00CD0355">
        <w:trPr>
          <w:cantSplit/>
          <w:jc w:val="center"/>
        </w:trPr>
        <w:tc>
          <w:tcPr>
            <w:tcW w:w="1800" w:type="dxa"/>
            <w:tcMar>
              <w:left w:w="0" w:type="dxa"/>
              <w:right w:w="0" w:type="dxa"/>
            </w:tcMar>
          </w:tcPr>
          <w:p w14:paraId="74737381" w14:textId="77777777"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Mar>
              <w:left w:w="0" w:type="dxa"/>
              <w:right w:w="0" w:type="dxa"/>
            </w:tcMar>
          </w:tcPr>
          <w:p w14:paraId="0C231626"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14:paraId="39157411"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14:paraId="071275DD" w14:textId="77777777" w:rsidR="00CD0355" w:rsidRPr="001531CD" w:rsidRDefault="00CD0355" w:rsidP="00CD0355">
            <w:pPr>
              <w:tabs>
                <w:tab w:val="left" w:pos="180"/>
                <w:tab w:val="left" w:pos="360"/>
              </w:tabs>
              <w:jc w:val="center"/>
              <w:rPr>
                <w:sz w:val="16"/>
                <w:szCs w:val="16"/>
              </w:rPr>
            </w:pPr>
            <w:r w:rsidRPr="001531CD">
              <w:rPr>
                <w:sz w:val="16"/>
                <w:szCs w:val="16"/>
              </w:rPr>
              <w:t>4 seed/lb.</w:t>
            </w:r>
          </w:p>
        </w:tc>
      </w:tr>
      <w:tr w:rsidR="00CD0355" w:rsidRPr="001531CD" w14:paraId="7C1198D3" w14:textId="77777777" w:rsidTr="00CD0355">
        <w:trPr>
          <w:cantSplit/>
          <w:jc w:val="center"/>
        </w:trPr>
        <w:tc>
          <w:tcPr>
            <w:tcW w:w="1800" w:type="dxa"/>
            <w:tcMar>
              <w:left w:w="0" w:type="dxa"/>
              <w:right w:w="0" w:type="dxa"/>
            </w:tcMar>
          </w:tcPr>
          <w:p w14:paraId="4046996D" w14:textId="77777777" w:rsidR="00CD0355" w:rsidRPr="001531CD" w:rsidRDefault="00CD0355" w:rsidP="00CD0355">
            <w:pPr>
              <w:tabs>
                <w:tab w:val="left" w:pos="180"/>
                <w:tab w:val="left" w:pos="360"/>
              </w:tabs>
              <w:rPr>
                <w:sz w:val="16"/>
                <w:szCs w:val="16"/>
              </w:rPr>
            </w:pPr>
            <w:r w:rsidRPr="001531CD">
              <w:rPr>
                <w:sz w:val="16"/>
                <w:szCs w:val="16"/>
              </w:rPr>
              <w:t>Citron</w:t>
            </w:r>
          </w:p>
        </w:tc>
        <w:tc>
          <w:tcPr>
            <w:tcW w:w="1080" w:type="dxa"/>
            <w:tcMar>
              <w:left w:w="0" w:type="dxa"/>
              <w:right w:w="0" w:type="dxa"/>
            </w:tcMar>
          </w:tcPr>
          <w:p w14:paraId="6F78C722"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14:paraId="077C49B5"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14:paraId="46245D06" w14:textId="77777777"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14:paraId="3032F019" w14:textId="77777777" w:rsidTr="00CD0355">
        <w:trPr>
          <w:cantSplit/>
          <w:jc w:val="center"/>
        </w:trPr>
        <w:tc>
          <w:tcPr>
            <w:tcW w:w="1800" w:type="dxa"/>
            <w:tcMar>
              <w:left w:w="0" w:type="dxa"/>
              <w:right w:w="0" w:type="dxa"/>
            </w:tcMar>
          </w:tcPr>
          <w:p w14:paraId="4A20DB33" w14:textId="77777777" w:rsidR="00CD0355" w:rsidRPr="001531CD" w:rsidRDefault="00CD0355" w:rsidP="00CD0355">
            <w:pPr>
              <w:tabs>
                <w:tab w:val="left" w:pos="180"/>
                <w:tab w:val="left" w:pos="360"/>
              </w:tabs>
              <w:rPr>
                <w:sz w:val="16"/>
                <w:szCs w:val="16"/>
              </w:rPr>
            </w:pPr>
            <w:r w:rsidRPr="001531CD">
              <w:rPr>
                <w:sz w:val="16"/>
                <w:szCs w:val="16"/>
              </w:rPr>
              <w:t>Weed Seeds</w:t>
            </w:r>
          </w:p>
        </w:tc>
        <w:tc>
          <w:tcPr>
            <w:tcW w:w="1080" w:type="dxa"/>
            <w:tcMar>
              <w:left w:w="0" w:type="dxa"/>
              <w:right w:w="0" w:type="dxa"/>
            </w:tcMar>
          </w:tcPr>
          <w:p w14:paraId="698619CD"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14:paraId="5898CB5A" w14:textId="77777777"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14:paraId="78BE1B87" w14:textId="77777777" w:rsidR="00CD0355" w:rsidRPr="001531CD" w:rsidRDefault="00CD0355" w:rsidP="00CD0355">
            <w:pPr>
              <w:tabs>
                <w:tab w:val="left" w:pos="180"/>
                <w:tab w:val="left" w:pos="360"/>
              </w:tabs>
              <w:jc w:val="center"/>
              <w:rPr>
                <w:sz w:val="16"/>
                <w:szCs w:val="16"/>
              </w:rPr>
            </w:pPr>
            <w:r w:rsidRPr="001531CD">
              <w:rPr>
                <w:sz w:val="16"/>
                <w:szCs w:val="16"/>
              </w:rPr>
              <w:t>0.05%</w:t>
            </w:r>
          </w:p>
        </w:tc>
      </w:tr>
      <w:tr w:rsidR="00CD0355" w:rsidRPr="001531CD" w14:paraId="47CD2DB8" w14:textId="77777777" w:rsidTr="00CD0355">
        <w:trPr>
          <w:cantSplit/>
          <w:jc w:val="center"/>
        </w:trPr>
        <w:tc>
          <w:tcPr>
            <w:tcW w:w="1800" w:type="dxa"/>
            <w:tcBorders>
              <w:bottom w:val="double" w:sz="6" w:space="0" w:color="000000"/>
            </w:tcBorders>
            <w:tcMar>
              <w:left w:w="0" w:type="dxa"/>
              <w:right w:w="0" w:type="dxa"/>
            </w:tcMar>
          </w:tcPr>
          <w:p w14:paraId="2D31B1D8"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Mar>
              <w:left w:w="0" w:type="dxa"/>
              <w:right w:w="0" w:type="dxa"/>
            </w:tcMar>
          </w:tcPr>
          <w:p w14:paraId="66807F3D"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069" w:type="dxa"/>
            <w:tcBorders>
              <w:bottom w:val="double" w:sz="6" w:space="0" w:color="000000"/>
            </w:tcBorders>
            <w:tcMar>
              <w:left w:w="0" w:type="dxa"/>
              <w:right w:w="0" w:type="dxa"/>
            </w:tcMar>
          </w:tcPr>
          <w:p w14:paraId="6A9E23D8" w14:textId="77777777" w:rsidR="00CD0355" w:rsidRPr="001531CD" w:rsidRDefault="00CD0355" w:rsidP="00CD0355">
            <w:pPr>
              <w:tabs>
                <w:tab w:val="left" w:pos="180"/>
                <w:tab w:val="left" w:pos="360"/>
              </w:tabs>
              <w:jc w:val="center"/>
              <w:rPr>
                <w:sz w:val="16"/>
                <w:szCs w:val="16"/>
              </w:rPr>
            </w:pPr>
            <w:r w:rsidRPr="001531CD">
              <w:rPr>
                <w:sz w:val="16"/>
                <w:szCs w:val="16"/>
              </w:rPr>
              <w:t>80.00%</w:t>
            </w:r>
          </w:p>
        </w:tc>
        <w:tc>
          <w:tcPr>
            <w:tcW w:w="1047" w:type="dxa"/>
            <w:tcBorders>
              <w:bottom w:val="double" w:sz="6" w:space="0" w:color="000000"/>
            </w:tcBorders>
            <w:tcMar>
              <w:left w:w="0" w:type="dxa"/>
              <w:right w:w="0" w:type="dxa"/>
            </w:tcMar>
          </w:tcPr>
          <w:p w14:paraId="4FD209C2" w14:textId="77777777" w:rsidR="00CD0355" w:rsidRPr="001531CD" w:rsidRDefault="00CD0355" w:rsidP="00CD0355">
            <w:pPr>
              <w:tabs>
                <w:tab w:val="left" w:pos="180"/>
                <w:tab w:val="left" w:pos="360"/>
              </w:tabs>
              <w:jc w:val="center"/>
              <w:rPr>
                <w:sz w:val="16"/>
                <w:szCs w:val="16"/>
              </w:rPr>
            </w:pPr>
            <w:r w:rsidRPr="001531CD">
              <w:rPr>
                <w:sz w:val="16"/>
                <w:szCs w:val="16"/>
              </w:rPr>
              <w:t>80.00%</w:t>
            </w:r>
          </w:p>
        </w:tc>
      </w:tr>
    </w:tbl>
    <w:p w14:paraId="255FC84F" w14:textId="77777777" w:rsidR="00CD0355" w:rsidRPr="001531CD" w:rsidRDefault="00CD0355" w:rsidP="00CD0355">
      <w:pPr>
        <w:pStyle w:val="A"/>
        <w:spacing w:after="0"/>
      </w:pPr>
    </w:p>
    <w:p w14:paraId="669437B8" w14:textId="77777777" w:rsidR="00CD0355" w:rsidRPr="001531CD" w:rsidRDefault="00CD0355" w:rsidP="00CD0355">
      <w:pPr>
        <w:pStyle w:val="AuthorityNote"/>
      </w:pPr>
      <w:r w:rsidRPr="001531CD">
        <w:t>AUTHORITY NOTE:</w:t>
      </w:r>
      <w:r w:rsidRPr="001531CD">
        <w:tab/>
        <w:t>Promulgated in accordance with R.S. 3:1433.</w:t>
      </w:r>
    </w:p>
    <w:p w14:paraId="5F2A7073" w14:textId="77777777" w:rsidR="00CD0355" w:rsidRPr="001531CD" w:rsidRDefault="00CD0355" w:rsidP="00CD0355">
      <w:pPr>
        <w:pStyle w:val="HistoricalNote"/>
      </w:pPr>
      <w:r w:rsidRPr="001531CD">
        <w:t>HISTORICAL NOTE:</w:t>
      </w:r>
      <w:r w:rsidRPr="001531CD">
        <w:tab/>
        <w:t>Promulgated by the Department of Agriculture, Seed Commission, LR 8:588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39:2733 (October 2013).</w:t>
      </w:r>
    </w:p>
    <w:p w14:paraId="7A28C71D" w14:textId="77777777" w:rsidR="00CD0355" w:rsidRDefault="00CD0355" w:rsidP="00CD0355">
      <w:pPr>
        <w:pStyle w:val="Section"/>
      </w:pPr>
      <w:bookmarkStart w:id="1206" w:name="_Toc370127328"/>
      <w:bookmarkStart w:id="1207" w:name="_Toc372624041"/>
      <w:bookmarkStart w:id="1208" w:name="_Toc375025340"/>
      <w:bookmarkStart w:id="1209" w:name="_Toc386110223"/>
      <w:bookmarkStart w:id="1210" w:name="_Toc388358056"/>
      <w:bookmarkStart w:id="1211" w:name="_Toc396114960"/>
      <w:bookmarkStart w:id="1212" w:name="_Toc411855351"/>
      <w:bookmarkStart w:id="1213" w:name="_Toc419795553"/>
      <w:bookmarkStart w:id="1214" w:name="_Toc427736941"/>
      <w:bookmarkStart w:id="1215" w:name="_Toc438546741"/>
      <w:bookmarkStart w:id="1216" w:name="_Toc446326728"/>
      <w:bookmarkStart w:id="1217" w:name="_Toc448824918"/>
      <w:bookmarkStart w:id="1218" w:name="_Toc451505962"/>
      <w:bookmarkStart w:id="1219" w:name="_Toc462212385"/>
      <w:bookmarkStart w:id="1220" w:name="_Toc468096305"/>
      <w:bookmarkStart w:id="1221" w:name="_Toc477853785"/>
      <w:bookmarkStart w:id="1222" w:name="_Toc488735729"/>
      <w:bookmarkStart w:id="1223" w:name="_Toc491176546"/>
      <w:bookmarkStart w:id="1224" w:name="_Toc509393469"/>
      <w:bookmarkStart w:id="1225" w:name="_Toc525114636"/>
      <w:bookmarkStart w:id="1226" w:name="_Toc535997033"/>
      <w:bookmarkStart w:id="1227" w:name="_Toc224818832"/>
      <w:r w:rsidRPr="001531CD">
        <w:t>§§795-809.</w:t>
      </w:r>
      <w:r w:rsidRPr="001531CD">
        <w:tab/>
        <w:t>Reserved</w:t>
      </w:r>
      <w:bookmarkEnd w:id="1206"/>
      <w:r w:rsidRPr="001531CD">
        <w:t>.</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096B8D7D" w14:textId="77777777" w:rsidR="00CD0355" w:rsidRPr="001531CD" w:rsidRDefault="00CD0355" w:rsidP="00CD0355">
      <w:pPr>
        <w:pStyle w:val="Chapter"/>
      </w:pPr>
      <w:bookmarkStart w:id="1228" w:name="_Toc224818833"/>
      <w:r>
        <w:t>Subchapter D.</w:t>
      </w:r>
      <w:r>
        <w:tab/>
        <w:t>Tree Seed</w:t>
      </w:r>
      <w:bookmarkEnd w:id="1228"/>
    </w:p>
    <w:p w14:paraId="7E1FA1E3" w14:textId="77777777" w:rsidR="00CD0355" w:rsidRPr="001531CD" w:rsidRDefault="00CD0355" w:rsidP="00CD0355">
      <w:pPr>
        <w:pStyle w:val="Section"/>
      </w:pPr>
      <w:bookmarkStart w:id="1229" w:name="_Toc224818834"/>
      <w:r w:rsidRPr="001531CD">
        <w:t>§811.</w:t>
      </w:r>
      <w:r w:rsidRPr="001531CD">
        <w:tab/>
        <w:t>Tree Seed Certification Standards</w:t>
      </w:r>
      <w:bookmarkEnd w:id="1229"/>
    </w:p>
    <w:p w14:paraId="1E928B7C" w14:textId="77777777" w:rsidR="00CD0355" w:rsidRPr="001531CD" w:rsidRDefault="00CD0355" w:rsidP="00CD0355">
      <w:pPr>
        <w:pStyle w:val="A"/>
      </w:pPr>
      <w:r w:rsidRPr="001531CD">
        <w:t>A.</w:t>
      </w:r>
      <w:r w:rsidRPr="001531CD">
        <w:tab/>
        <w:t>Classes of Seed</w:t>
      </w:r>
    </w:p>
    <w:p w14:paraId="76FDDE00" w14:textId="77777777" w:rsidR="00CD0355" w:rsidRPr="001531CD" w:rsidRDefault="00CD0355" w:rsidP="00CD0355">
      <w:pPr>
        <w:pStyle w:val="1"/>
      </w:pPr>
      <w:r w:rsidRPr="001531CD">
        <w:t>1.</w:t>
      </w:r>
      <w:r w:rsidRPr="001531CD">
        <w:tab/>
        <w:t>Only the following classes of tree seed shall be recognized in tree seed certification:</w:t>
      </w:r>
    </w:p>
    <w:p w14:paraId="043A8A8F" w14:textId="77777777" w:rsidR="00CD0355" w:rsidRPr="001531CD" w:rsidRDefault="00CD0355" w:rsidP="00CD0355">
      <w:pPr>
        <w:pStyle w:val="a0"/>
      </w:pPr>
      <w:r w:rsidRPr="001531CD">
        <w:t>a.</w:t>
      </w:r>
      <w:r w:rsidRPr="001531CD">
        <w:tab/>
        <w:t>certified (blue tag);</w:t>
      </w:r>
    </w:p>
    <w:p w14:paraId="54E23A6F" w14:textId="77777777" w:rsidR="00CD0355" w:rsidRPr="001531CD" w:rsidRDefault="00CD0355" w:rsidP="00CD0355">
      <w:pPr>
        <w:pStyle w:val="a0"/>
      </w:pPr>
      <w:r w:rsidRPr="001531CD">
        <w:t>b.</w:t>
      </w:r>
      <w:r w:rsidRPr="001531CD">
        <w:tab/>
        <w:t>selected (green tag); and</w:t>
      </w:r>
    </w:p>
    <w:p w14:paraId="05E88DCB" w14:textId="77777777" w:rsidR="00CD0355" w:rsidRPr="001531CD" w:rsidRDefault="00CD0355" w:rsidP="00CD0355">
      <w:pPr>
        <w:pStyle w:val="a0"/>
      </w:pPr>
      <w:r w:rsidRPr="001531CD">
        <w:t>c.</w:t>
      </w:r>
      <w:r w:rsidRPr="001531CD">
        <w:tab/>
        <w:t>source-identified (yellow tag).</w:t>
      </w:r>
    </w:p>
    <w:p w14:paraId="45945394" w14:textId="77777777" w:rsidR="00CD0355" w:rsidRPr="001531CD" w:rsidRDefault="00CD0355" w:rsidP="00CD0355">
      <w:pPr>
        <w:pStyle w:val="1"/>
      </w:pPr>
      <w:r w:rsidRPr="001531CD">
        <w:t>2.</w:t>
      </w:r>
      <w:r w:rsidRPr="001531CD">
        <w:tab/>
        <w:t>For all classes of forest tree seed, the exact geographic source of the parent trees and the stand must be known. Location of the source shall be given at least down to the section or comparable land survey unit. (Alternatively, in the case of seed from seed orchards containing selected stocks from a number of separate sections, the location of the orchard shall be given and the exact source of its individual components shall be kept on file and furnished on request.)</w:t>
      </w:r>
    </w:p>
    <w:p w14:paraId="66571C65" w14:textId="77777777" w:rsidR="00CD0355" w:rsidRPr="001531CD" w:rsidRDefault="00CD0355" w:rsidP="00CD0355">
      <w:pPr>
        <w:pStyle w:val="A"/>
      </w:pPr>
      <w:r w:rsidRPr="001531CD">
        <w:t>B.</w:t>
      </w:r>
      <w:r w:rsidRPr="001531CD">
        <w:tab/>
        <w:t>Land Requirements. Elevation to the nearest 500 feet of the original geographic source and the average height and age of the trees from which seed has been collected shall be shown on the tag for all forest tree seed. If available, site index (the capacity of a given site to produce trees as measured by the height of the trees at a specified age) may be recorded instead of tree height and age.</w:t>
      </w:r>
    </w:p>
    <w:p w14:paraId="36E94168" w14:textId="77777777" w:rsidR="00CD0355" w:rsidRPr="001531CD" w:rsidRDefault="00CD0355" w:rsidP="00CD0355">
      <w:pPr>
        <w:pStyle w:val="A"/>
      </w:pPr>
      <w:r w:rsidRPr="001531CD">
        <w:t>C.</w:t>
      </w:r>
      <w:r w:rsidRPr="001531CD">
        <w:tab/>
        <w:t>Field Inspection. A field inspection must be made prior to flowering.</w:t>
      </w:r>
    </w:p>
    <w:p w14:paraId="2D7F1025" w14:textId="77777777" w:rsidR="00CD0355" w:rsidRPr="001531CD" w:rsidRDefault="00CD0355" w:rsidP="00CD0355">
      <w:pPr>
        <w:pStyle w:val="A"/>
      </w:pPr>
      <w:r w:rsidRPr="001531CD">
        <w:t>D.</w:t>
      </w:r>
      <w:r w:rsidRPr="001531CD">
        <w:tab/>
        <w:t>Field Standards</w:t>
      </w:r>
    </w:p>
    <w:p w14:paraId="7E9B1B5A" w14:textId="77777777" w:rsidR="00CD0355" w:rsidRPr="001531CD" w:rsidRDefault="00CD0355" w:rsidP="00CD0355">
      <w:pPr>
        <w:pStyle w:val="1"/>
      </w:pPr>
      <w:r w:rsidRPr="001531CD">
        <w:t>1.</w:t>
      </w:r>
      <w:r w:rsidRPr="001531CD">
        <w:tab/>
        <w:t>Unit of Certification. An individual tree, clone or stand of trees may be certified in producing certified or selected seed.</w:t>
      </w:r>
    </w:p>
    <w:p w14:paraId="1F754994" w14:textId="77777777" w:rsidR="00CD0355" w:rsidRPr="001531CD" w:rsidRDefault="00CD0355" w:rsidP="00CD0355">
      <w:pPr>
        <w:pStyle w:val="1"/>
      </w:pPr>
      <w:r w:rsidRPr="001531CD">
        <w:t>2.</w:t>
      </w:r>
      <w:r w:rsidRPr="001531CD">
        <w:tab/>
        <w:t>Isolation. For certified or selected seed, an adequate isolation zone shall be maintained free of off-type plants and other species which might crosspollinate producing trees. There shall be no isolation requirements for source-identified trees.</w:t>
      </w:r>
    </w:p>
    <w:p w14:paraId="71946C3C" w14:textId="77777777" w:rsidR="00CD0355" w:rsidRPr="001531CD" w:rsidRDefault="00CD0355" w:rsidP="00CD0355">
      <w:pPr>
        <w:pStyle w:val="1"/>
      </w:pPr>
      <w:r w:rsidRPr="001531CD">
        <w:t>3.</w:t>
      </w:r>
      <w:r w:rsidRPr="001531CD">
        <w:tab/>
        <w:t>Progeny Testing. All clones used in seed orchards shall be progeny tested.</w:t>
      </w:r>
    </w:p>
    <w:p w14:paraId="66091FD9" w14:textId="77777777" w:rsidR="00CD0355" w:rsidRPr="001531CD" w:rsidRDefault="00CD0355" w:rsidP="00CD0355">
      <w:pPr>
        <w:pStyle w:val="A"/>
      </w:pPr>
      <w:r w:rsidRPr="001531CD">
        <w:t>E.</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166"/>
        <w:gridCol w:w="1072"/>
        <w:gridCol w:w="1068"/>
        <w:gridCol w:w="1544"/>
      </w:tblGrid>
      <w:tr w:rsidR="00CD0355" w:rsidRPr="001531CD" w14:paraId="60571F65" w14:textId="77777777" w:rsidTr="00CD0355">
        <w:trPr>
          <w:cantSplit/>
          <w:jc w:val="center"/>
        </w:trPr>
        <w:tc>
          <w:tcPr>
            <w:tcW w:w="1171" w:type="dxa"/>
            <w:tcBorders>
              <w:top w:val="double" w:sz="6" w:space="0" w:color="000000"/>
            </w:tcBorders>
            <w:shd w:val="clear" w:color="auto" w:fill="A6A6A6"/>
            <w:vAlign w:val="center"/>
          </w:tcPr>
          <w:p w14:paraId="0717B0F6" w14:textId="77777777"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80" w:type="dxa"/>
            <w:tcBorders>
              <w:top w:val="double" w:sz="6" w:space="0" w:color="000000"/>
            </w:tcBorders>
            <w:shd w:val="clear" w:color="auto" w:fill="A6A6A6"/>
            <w:vAlign w:val="center"/>
          </w:tcPr>
          <w:p w14:paraId="32EC7AC6" w14:textId="77777777"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c>
          <w:tcPr>
            <w:tcW w:w="1080" w:type="dxa"/>
            <w:tcBorders>
              <w:top w:val="double" w:sz="6" w:space="0" w:color="000000"/>
            </w:tcBorders>
            <w:shd w:val="clear" w:color="auto" w:fill="A6A6A6"/>
            <w:vAlign w:val="center"/>
          </w:tcPr>
          <w:p w14:paraId="352EDA9E" w14:textId="77777777" w:rsidR="00CD0355" w:rsidRPr="001531CD" w:rsidRDefault="00CD0355" w:rsidP="00CD0355">
            <w:pPr>
              <w:tabs>
                <w:tab w:val="left" w:pos="180"/>
                <w:tab w:val="left" w:pos="360"/>
              </w:tabs>
              <w:jc w:val="center"/>
              <w:rPr>
                <w:b/>
                <w:bCs/>
                <w:sz w:val="16"/>
                <w:szCs w:val="16"/>
              </w:rPr>
            </w:pPr>
            <w:r w:rsidRPr="001531CD">
              <w:rPr>
                <w:b/>
                <w:bCs/>
                <w:sz w:val="16"/>
                <w:szCs w:val="16"/>
              </w:rPr>
              <w:t>Select</w:t>
            </w:r>
          </w:p>
        </w:tc>
        <w:tc>
          <w:tcPr>
            <w:tcW w:w="1567" w:type="dxa"/>
            <w:tcBorders>
              <w:top w:val="double" w:sz="6" w:space="0" w:color="000000"/>
            </w:tcBorders>
            <w:shd w:val="clear" w:color="auto" w:fill="A6A6A6"/>
            <w:vAlign w:val="center"/>
          </w:tcPr>
          <w:p w14:paraId="6185AD52" w14:textId="77777777" w:rsidR="00CD0355" w:rsidRPr="001531CD" w:rsidRDefault="00CD0355" w:rsidP="00CD0355">
            <w:pPr>
              <w:tabs>
                <w:tab w:val="left" w:pos="180"/>
                <w:tab w:val="left" w:pos="360"/>
              </w:tabs>
              <w:jc w:val="center"/>
              <w:rPr>
                <w:b/>
                <w:bCs/>
                <w:sz w:val="16"/>
                <w:szCs w:val="16"/>
              </w:rPr>
            </w:pPr>
            <w:r w:rsidRPr="001531CD">
              <w:rPr>
                <w:b/>
                <w:bCs/>
                <w:sz w:val="16"/>
                <w:szCs w:val="16"/>
              </w:rPr>
              <w:t>Source Identified</w:t>
            </w:r>
          </w:p>
        </w:tc>
      </w:tr>
      <w:tr w:rsidR="00CD0355" w:rsidRPr="001531CD" w14:paraId="3F3156B8" w14:textId="77777777" w:rsidTr="00CD0355">
        <w:trPr>
          <w:cantSplit/>
          <w:jc w:val="center"/>
        </w:trPr>
        <w:tc>
          <w:tcPr>
            <w:tcW w:w="1171" w:type="dxa"/>
          </w:tcPr>
          <w:p w14:paraId="095C4228" w14:textId="77777777"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vAlign w:val="center"/>
          </w:tcPr>
          <w:p w14:paraId="3362B18E"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080" w:type="dxa"/>
            <w:vAlign w:val="center"/>
          </w:tcPr>
          <w:p w14:paraId="6C4250D3" w14:textId="77777777" w:rsidR="00CD0355" w:rsidRPr="001531CD" w:rsidRDefault="00CD0355" w:rsidP="00CD0355">
            <w:pPr>
              <w:tabs>
                <w:tab w:val="left" w:pos="180"/>
                <w:tab w:val="left" w:pos="360"/>
              </w:tabs>
              <w:jc w:val="center"/>
              <w:rPr>
                <w:sz w:val="16"/>
                <w:szCs w:val="16"/>
              </w:rPr>
            </w:pPr>
            <w:r w:rsidRPr="001531CD">
              <w:rPr>
                <w:sz w:val="16"/>
                <w:szCs w:val="16"/>
              </w:rPr>
              <w:t>98.00%</w:t>
            </w:r>
          </w:p>
        </w:tc>
        <w:tc>
          <w:tcPr>
            <w:tcW w:w="1567" w:type="dxa"/>
            <w:vAlign w:val="center"/>
          </w:tcPr>
          <w:p w14:paraId="4723B05A" w14:textId="77777777"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14:paraId="5E2D51A0" w14:textId="77777777" w:rsidTr="00CD0355">
        <w:trPr>
          <w:cantSplit/>
          <w:jc w:val="center"/>
        </w:trPr>
        <w:tc>
          <w:tcPr>
            <w:tcW w:w="1171" w:type="dxa"/>
          </w:tcPr>
          <w:p w14:paraId="62D8AB81" w14:textId="77777777"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vAlign w:val="center"/>
          </w:tcPr>
          <w:p w14:paraId="2D386BD3"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080" w:type="dxa"/>
            <w:vAlign w:val="center"/>
          </w:tcPr>
          <w:p w14:paraId="688D5012" w14:textId="77777777" w:rsidR="00CD0355" w:rsidRPr="001531CD" w:rsidRDefault="00CD0355" w:rsidP="00CD0355">
            <w:pPr>
              <w:tabs>
                <w:tab w:val="left" w:pos="180"/>
                <w:tab w:val="left" w:pos="360"/>
              </w:tabs>
              <w:jc w:val="center"/>
              <w:rPr>
                <w:sz w:val="16"/>
                <w:szCs w:val="16"/>
              </w:rPr>
            </w:pPr>
            <w:r w:rsidRPr="001531CD">
              <w:rPr>
                <w:sz w:val="16"/>
                <w:szCs w:val="16"/>
              </w:rPr>
              <w:t>2.00%</w:t>
            </w:r>
          </w:p>
        </w:tc>
        <w:tc>
          <w:tcPr>
            <w:tcW w:w="1567" w:type="dxa"/>
            <w:vAlign w:val="center"/>
          </w:tcPr>
          <w:p w14:paraId="1045BB40" w14:textId="77777777"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14:paraId="71785D5A" w14:textId="77777777" w:rsidTr="00CD0355">
        <w:trPr>
          <w:cantSplit/>
          <w:jc w:val="center"/>
        </w:trPr>
        <w:tc>
          <w:tcPr>
            <w:tcW w:w="1171" w:type="dxa"/>
          </w:tcPr>
          <w:p w14:paraId="0BA15CFE" w14:textId="77777777" w:rsidR="00CD0355" w:rsidRPr="001531CD" w:rsidRDefault="00CD0355" w:rsidP="00CD0355">
            <w:pPr>
              <w:tabs>
                <w:tab w:val="left" w:pos="180"/>
                <w:tab w:val="left" w:pos="360"/>
              </w:tabs>
              <w:rPr>
                <w:sz w:val="16"/>
                <w:szCs w:val="16"/>
              </w:rPr>
            </w:pPr>
            <w:r w:rsidRPr="001531CD">
              <w:rPr>
                <w:sz w:val="16"/>
                <w:szCs w:val="16"/>
              </w:rPr>
              <w:t>Other Species</w:t>
            </w:r>
          </w:p>
        </w:tc>
        <w:tc>
          <w:tcPr>
            <w:tcW w:w="1080" w:type="dxa"/>
            <w:vAlign w:val="center"/>
          </w:tcPr>
          <w:p w14:paraId="48792509" w14:textId="77777777" w:rsidR="00CD0355" w:rsidRPr="001531CD" w:rsidRDefault="00CD0355" w:rsidP="00CD0355">
            <w:pPr>
              <w:tabs>
                <w:tab w:val="left" w:pos="180"/>
                <w:tab w:val="left" w:pos="360"/>
              </w:tabs>
              <w:jc w:val="center"/>
              <w:rPr>
                <w:sz w:val="16"/>
                <w:szCs w:val="16"/>
              </w:rPr>
            </w:pPr>
            <w:r w:rsidRPr="001531CD">
              <w:rPr>
                <w:sz w:val="16"/>
                <w:szCs w:val="16"/>
              </w:rPr>
              <w:t>0.01%</w:t>
            </w:r>
          </w:p>
        </w:tc>
        <w:tc>
          <w:tcPr>
            <w:tcW w:w="1080" w:type="dxa"/>
            <w:vAlign w:val="center"/>
          </w:tcPr>
          <w:p w14:paraId="6A8E9CEA" w14:textId="77777777" w:rsidR="00CD0355" w:rsidRPr="001531CD" w:rsidRDefault="00CD0355" w:rsidP="00CD0355">
            <w:pPr>
              <w:tabs>
                <w:tab w:val="left" w:pos="180"/>
                <w:tab w:val="left" w:pos="360"/>
              </w:tabs>
              <w:jc w:val="center"/>
              <w:rPr>
                <w:sz w:val="16"/>
                <w:szCs w:val="16"/>
              </w:rPr>
            </w:pPr>
            <w:r w:rsidRPr="001531CD">
              <w:rPr>
                <w:sz w:val="16"/>
                <w:szCs w:val="16"/>
              </w:rPr>
              <w:t>0.01%</w:t>
            </w:r>
          </w:p>
        </w:tc>
        <w:tc>
          <w:tcPr>
            <w:tcW w:w="1567" w:type="dxa"/>
            <w:vAlign w:val="center"/>
          </w:tcPr>
          <w:p w14:paraId="7C26A441" w14:textId="77777777" w:rsidR="00CD0355" w:rsidRPr="001531CD" w:rsidRDefault="00CD0355" w:rsidP="00CD0355">
            <w:pPr>
              <w:tabs>
                <w:tab w:val="left" w:pos="180"/>
                <w:tab w:val="left" w:pos="360"/>
              </w:tabs>
              <w:jc w:val="center"/>
              <w:rPr>
                <w:sz w:val="16"/>
                <w:szCs w:val="16"/>
              </w:rPr>
            </w:pPr>
            <w:r w:rsidRPr="001531CD">
              <w:rPr>
                <w:sz w:val="16"/>
                <w:szCs w:val="16"/>
              </w:rPr>
              <w:t>0.50%</w:t>
            </w:r>
          </w:p>
        </w:tc>
      </w:tr>
      <w:tr w:rsidR="00CD0355" w:rsidRPr="001531CD" w14:paraId="0A5496A9" w14:textId="77777777" w:rsidTr="00CD0355">
        <w:trPr>
          <w:cantSplit/>
          <w:jc w:val="center"/>
        </w:trPr>
        <w:tc>
          <w:tcPr>
            <w:tcW w:w="1171" w:type="dxa"/>
            <w:tcBorders>
              <w:bottom w:val="double" w:sz="6" w:space="0" w:color="000000"/>
            </w:tcBorders>
          </w:tcPr>
          <w:p w14:paraId="31A23CC2" w14:textId="77777777"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vAlign w:val="center"/>
          </w:tcPr>
          <w:p w14:paraId="3801AA14" w14:textId="77777777" w:rsidR="00CD0355" w:rsidRPr="001531CD" w:rsidRDefault="00CD0355" w:rsidP="00CD0355">
            <w:pPr>
              <w:tabs>
                <w:tab w:val="left" w:pos="180"/>
                <w:tab w:val="left" w:pos="360"/>
              </w:tabs>
              <w:jc w:val="center"/>
              <w:rPr>
                <w:sz w:val="16"/>
                <w:szCs w:val="16"/>
              </w:rPr>
            </w:pPr>
            <w:r w:rsidRPr="001531CD">
              <w:rPr>
                <w:sz w:val="16"/>
                <w:szCs w:val="16"/>
              </w:rPr>
              <w:t>85.00%</w:t>
            </w:r>
          </w:p>
        </w:tc>
        <w:tc>
          <w:tcPr>
            <w:tcW w:w="1080" w:type="dxa"/>
            <w:tcBorders>
              <w:bottom w:val="double" w:sz="6" w:space="0" w:color="000000"/>
            </w:tcBorders>
            <w:vAlign w:val="center"/>
          </w:tcPr>
          <w:p w14:paraId="32E6A5AC" w14:textId="77777777" w:rsidR="00CD0355" w:rsidRPr="001531CD" w:rsidRDefault="00CD0355" w:rsidP="00CD0355">
            <w:pPr>
              <w:tabs>
                <w:tab w:val="left" w:pos="180"/>
                <w:tab w:val="left" w:pos="360"/>
              </w:tabs>
              <w:jc w:val="center"/>
              <w:rPr>
                <w:sz w:val="16"/>
                <w:szCs w:val="16"/>
              </w:rPr>
            </w:pPr>
            <w:r w:rsidRPr="001531CD">
              <w:rPr>
                <w:sz w:val="16"/>
                <w:szCs w:val="16"/>
              </w:rPr>
              <w:t>85.00%</w:t>
            </w:r>
          </w:p>
        </w:tc>
        <w:tc>
          <w:tcPr>
            <w:tcW w:w="1567" w:type="dxa"/>
            <w:tcBorders>
              <w:bottom w:val="double" w:sz="6" w:space="0" w:color="000000"/>
            </w:tcBorders>
            <w:vAlign w:val="center"/>
          </w:tcPr>
          <w:p w14:paraId="556E7A3F" w14:textId="77777777" w:rsidR="00CD0355" w:rsidRPr="001531CD" w:rsidRDefault="00CD0355" w:rsidP="00CD0355">
            <w:pPr>
              <w:tabs>
                <w:tab w:val="left" w:pos="180"/>
                <w:tab w:val="left" w:pos="360"/>
              </w:tabs>
              <w:jc w:val="center"/>
              <w:rPr>
                <w:sz w:val="16"/>
                <w:szCs w:val="16"/>
              </w:rPr>
            </w:pPr>
            <w:r w:rsidRPr="001531CD">
              <w:rPr>
                <w:sz w:val="16"/>
                <w:szCs w:val="16"/>
              </w:rPr>
              <w:t>85.00%</w:t>
            </w:r>
          </w:p>
        </w:tc>
      </w:tr>
    </w:tbl>
    <w:p w14:paraId="6A2487B7" w14:textId="77777777" w:rsidR="00CD0355" w:rsidRPr="001531CD" w:rsidRDefault="00CD0355" w:rsidP="00CD0355">
      <w:pPr>
        <w:pStyle w:val="A"/>
        <w:spacing w:after="0"/>
      </w:pPr>
    </w:p>
    <w:p w14:paraId="16776BC6" w14:textId="77777777" w:rsidR="00CD0355" w:rsidRPr="001531CD" w:rsidRDefault="00CD0355" w:rsidP="00CD0355">
      <w:pPr>
        <w:pStyle w:val="AuthorityNote"/>
      </w:pPr>
      <w:r w:rsidRPr="001531CD">
        <w:t>AUTHORITY NOTE:</w:t>
      </w:r>
      <w:r w:rsidRPr="001531CD">
        <w:tab/>
        <w:t>Promulgated in accordance with R.S. 3:1433.</w:t>
      </w:r>
    </w:p>
    <w:p w14:paraId="7E6E3ACE" w14:textId="77777777" w:rsidR="00CD0355" w:rsidRPr="001531CD" w:rsidRDefault="00CD0355" w:rsidP="00CD0355">
      <w:pPr>
        <w:pStyle w:val="HistoricalNote"/>
      </w:pPr>
      <w:r w:rsidRPr="001531CD">
        <w:t>HISTORICAL NOTE:</w:t>
      </w:r>
      <w:r w:rsidRPr="001531CD">
        <w:tab/>
        <w:t>Promulgated by the Department of Agriculture, Seed Commission, LR 8:587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39:2733 (October 2013).</w:t>
      </w:r>
    </w:p>
    <w:p w14:paraId="65D2F3A9" w14:textId="77777777" w:rsidR="00CD0355" w:rsidRPr="001531CD" w:rsidRDefault="00CD0355" w:rsidP="00CD0355">
      <w:pPr>
        <w:pStyle w:val="Chapter"/>
      </w:pPr>
      <w:bookmarkStart w:id="1230" w:name="_Toc224818835"/>
      <w:r w:rsidRPr="001531CD">
        <w:t>Chapter 9.</w:t>
      </w:r>
      <w:r w:rsidRPr="001531CD">
        <w:tab/>
        <w:t>Approved Plant Breeders</w:t>
      </w:r>
      <w:bookmarkEnd w:id="1230"/>
    </w:p>
    <w:p w14:paraId="68DA79ED" w14:textId="77777777" w:rsidR="00CD0355" w:rsidRPr="001531CD" w:rsidRDefault="00CD0355" w:rsidP="00CD0355">
      <w:pPr>
        <w:pStyle w:val="Section"/>
      </w:pPr>
      <w:bookmarkStart w:id="1231" w:name="_Toc224818836"/>
      <w:r w:rsidRPr="001531CD">
        <w:t>§901.</w:t>
      </w:r>
      <w:r w:rsidRPr="001531CD">
        <w:tab/>
        <w:t>Authority</w:t>
      </w:r>
      <w:bookmarkEnd w:id="1231"/>
      <w:r w:rsidRPr="001531CD">
        <w:t xml:space="preserve"> </w:t>
      </w:r>
    </w:p>
    <w:p w14:paraId="208469A4" w14:textId="77777777" w:rsidR="00CD0355" w:rsidRPr="001531CD" w:rsidRDefault="00CD0355" w:rsidP="00CD0355">
      <w:pPr>
        <w:pStyle w:val="A"/>
      </w:pPr>
      <w:r w:rsidRPr="001531CD">
        <w:t>A.</w:t>
      </w:r>
      <w:r w:rsidRPr="001531CD">
        <w:tab/>
        <w:t xml:space="preserve">In accordance with the provisions of part I of chapter II of title 3 of the </w:t>
      </w:r>
      <w:r w:rsidRPr="001531CD">
        <w:rPr>
          <w:i/>
        </w:rPr>
        <w:t>Louisiana Revised Statutes</w:t>
      </w:r>
      <w:r w:rsidRPr="001531CD">
        <w:t xml:space="preserve"> of 1950, the following qualifications herein are prescribed for approving plant breeders for growing and/or supervising the growing of breeder, foundation and/or registered agricultural seeds.</w:t>
      </w:r>
    </w:p>
    <w:p w14:paraId="12D58BAD" w14:textId="77777777" w:rsidR="00CD0355" w:rsidRPr="001531CD" w:rsidRDefault="00CD0355" w:rsidP="00CD0355">
      <w:pPr>
        <w:pStyle w:val="AuthorityNote"/>
      </w:pPr>
      <w:r w:rsidRPr="001531CD">
        <w:t>AUTHORITY NOTE:</w:t>
      </w:r>
      <w:r w:rsidRPr="001531CD">
        <w:tab/>
        <w:t>Promulgated in accordance with R.S. 3:1433.</w:t>
      </w:r>
    </w:p>
    <w:p w14:paraId="255C302F" w14:textId="77777777"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39:2734 (October 2013).</w:t>
      </w:r>
    </w:p>
    <w:p w14:paraId="5CB147B9" w14:textId="77777777" w:rsidR="00CD0355" w:rsidRPr="001531CD" w:rsidRDefault="00CD0355" w:rsidP="00CD0355">
      <w:pPr>
        <w:pStyle w:val="Section"/>
      </w:pPr>
      <w:bookmarkStart w:id="1232" w:name="_Toc224818837"/>
      <w:r w:rsidRPr="001531CD">
        <w:t>§903.</w:t>
      </w:r>
      <w:r w:rsidRPr="001531CD">
        <w:tab/>
        <w:t>Definition of Terms Used</w:t>
      </w:r>
      <w:bookmarkEnd w:id="1232"/>
      <w:r>
        <w:t xml:space="preserve"> </w:t>
      </w:r>
    </w:p>
    <w:p w14:paraId="18197D72" w14:textId="77777777" w:rsidR="00CD0355" w:rsidRPr="001531CD" w:rsidRDefault="00CD0355" w:rsidP="00CD0355">
      <w:pPr>
        <w:pStyle w:val="A"/>
      </w:pPr>
      <w:r w:rsidRPr="001531CD">
        <w:rPr>
          <w:i/>
          <w:iCs/>
        </w:rPr>
        <w:t>Agricultural Seeds</w:t>
      </w:r>
      <w:r w:rsidRPr="001531CD">
        <w:t>―the seeds and/or propagation materials of grain, forage, cereal, fibre and nut crops and any other crops commonly recognized within the state as horticultural and agricultural field crops.</w:t>
      </w:r>
    </w:p>
    <w:p w14:paraId="24EE2DD8" w14:textId="77777777" w:rsidR="00CD0355" w:rsidRPr="001531CD" w:rsidRDefault="00CD0355" w:rsidP="00CD0355">
      <w:pPr>
        <w:pStyle w:val="A"/>
      </w:pPr>
      <w:r w:rsidRPr="001531CD">
        <w:rPr>
          <w:i/>
          <w:iCs/>
        </w:rPr>
        <w:t>Approved Plant Breeder</w:t>
      </w:r>
      <w:r w:rsidRPr="001531CD">
        <w:t>―a person qualified in accordance with the requirements set forth herein and approved by the commission.</w:t>
      </w:r>
    </w:p>
    <w:p w14:paraId="6061907B" w14:textId="77777777" w:rsidR="00CD0355" w:rsidRPr="001531CD" w:rsidRDefault="00CD0355" w:rsidP="00CD0355">
      <w:pPr>
        <w:pStyle w:val="A"/>
      </w:pPr>
      <w:r w:rsidRPr="001531CD">
        <w:rPr>
          <w:i/>
          <w:iCs/>
        </w:rPr>
        <w:t>Breeder Seed</w:t>
      </w:r>
      <w:r w:rsidRPr="001531CD">
        <w:t xml:space="preserve">―the limited amount of seed used by the plant breeder in actually breeding or maintaining a strain or variety. Breeder seed is always under the direct supervision and control of the plant breeder and is never available for sale and use by the general public. Breeder seed is used for the </w:t>
      </w:r>
      <w:r w:rsidRPr="001531CD">
        <w:lastRenderedPageBreak/>
        <w:t>production of foundation seed. Breeder seed must be tagged with a tag labeled Breeder Seed.</w:t>
      </w:r>
    </w:p>
    <w:p w14:paraId="19F0B6CC" w14:textId="77777777" w:rsidR="00CD0355" w:rsidRPr="001531CD" w:rsidRDefault="00CD0355" w:rsidP="00CD0355">
      <w:pPr>
        <w:pStyle w:val="A"/>
      </w:pPr>
      <w:r w:rsidRPr="001531CD">
        <w:rPr>
          <w:i/>
          <w:iCs/>
        </w:rPr>
        <w:t>Certificate</w:t>
      </w:r>
      <w:r w:rsidRPr="001531CD">
        <w:t>―an official document signed by the commissioner certifying that the holder is an approved plant breeder.</w:t>
      </w:r>
    </w:p>
    <w:p w14:paraId="42A16A1B" w14:textId="77777777" w:rsidR="00CD0355" w:rsidRPr="001531CD" w:rsidRDefault="00CD0355" w:rsidP="00CD0355">
      <w:pPr>
        <w:pStyle w:val="A"/>
      </w:pPr>
      <w:r w:rsidRPr="001531CD">
        <w:rPr>
          <w:i/>
          <w:iCs/>
        </w:rPr>
        <w:t>Commission</w:t>
      </w:r>
      <w:r w:rsidRPr="001531CD">
        <w:t>―the Seed Commission as created in R.S. 3:14.32.</w:t>
      </w:r>
    </w:p>
    <w:p w14:paraId="457057EA" w14:textId="77777777" w:rsidR="00CD0355" w:rsidRPr="001531CD" w:rsidRDefault="00CD0355" w:rsidP="00CD0355">
      <w:pPr>
        <w:pStyle w:val="A"/>
      </w:pPr>
      <w:r w:rsidRPr="001531CD">
        <w:rPr>
          <w:i/>
          <w:iCs/>
        </w:rPr>
        <w:t>Commissioner</w:t>
      </w:r>
      <w:r w:rsidRPr="001531CD">
        <w:t>―the Commissioner of Agriculture and Forestry of the State of Louisiana.</w:t>
      </w:r>
    </w:p>
    <w:p w14:paraId="01E97824" w14:textId="77777777" w:rsidR="00CD0355" w:rsidRPr="001531CD" w:rsidRDefault="00CD0355" w:rsidP="00CD0355">
      <w:pPr>
        <w:pStyle w:val="A"/>
      </w:pPr>
      <w:r w:rsidRPr="00D55B14">
        <w:rPr>
          <w:i/>
          <w:iCs/>
        </w:rPr>
        <w:t>Entomologist</w:t>
      </w:r>
      <w:r w:rsidRPr="00D55B14">
        <w:t>―the LDAF entomologist.</w:t>
      </w:r>
    </w:p>
    <w:p w14:paraId="74B29F2B" w14:textId="77777777" w:rsidR="00CD0355" w:rsidRPr="001531CD" w:rsidRDefault="00CD0355" w:rsidP="00CD0355">
      <w:pPr>
        <w:pStyle w:val="A"/>
      </w:pPr>
      <w:r w:rsidRPr="001531CD">
        <w:rPr>
          <w:i/>
          <w:iCs/>
        </w:rPr>
        <w:t>Foundation Seed</w:t>
      </w:r>
      <w:r w:rsidRPr="001531CD">
        <w:t>―the first generation progeny from breeder seed that has been tested for at least three years by the Louisiana Experiment Station, or similar institutions in other states and has proven its merit and has been released for commercial use.</w:t>
      </w:r>
    </w:p>
    <w:p w14:paraId="03912745" w14:textId="77777777" w:rsidR="00CD0355" w:rsidRPr="001531CD" w:rsidRDefault="00CD0355" w:rsidP="00CD0355">
      <w:pPr>
        <w:pStyle w:val="A"/>
      </w:pPr>
      <w:r w:rsidRPr="001531CD">
        <w:rPr>
          <w:i/>
          <w:iCs/>
        </w:rPr>
        <w:t>Registered Seed</w:t>
      </w:r>
      <w:r w:rsidRPr="001531CD">
        <w:t>―the first generation progeny from foundation seed that is so handled as to maintain satisfactory genetic identity and purity and has been approved and certified by the certifying agency.</w:t>
      </w:r>
    </w:p>
    <w:p w14:paraId="729C22CF" w14:textId="77777777" w:rsidR="00CD0355" w:rsidRPr="001531CD" w:rsidRDefault="00CD0355" w:rsidP="00CD0355">
      <w:pPr>
        <w:pStyle w:val="AuthorityNote"/>
      </w:pPr>
      <w:r w:rsidRPr="00D55B14">
        <w:t>AUTHORITY NOTE:</w:t>
      </w:r>
      <w:r w:rsidRPr="00D55B14">
        <w:tab/>
        <w:t>Promulgated in accordance with R.S. 3:1431 and R.S. 3:1433.</w:t>
      </w:r>
    </w:p>
    <w:p w14:paraId="6AF0477F" w14:textId="77777777" w:rsidR="00CD0355" w:rsidRPr="001531CD" w:rsidRDefault="00CD0355" w:rsidP="00CD0355">
      <w:pPr>
        <w:pStyle w:val="HistoricalNote"/>
      </w:pPr>
      <w:r w:rsidRPr="001531CD">
        <w:t>HISTORICAL NOTE:</w:t>
      </w:r>
      <w:r w:rsidRPr="001531CD">
        <w:tab/>
        <w:t xml:space="preserve">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w:t>
      </w:r>
      <w:r>
        <w:t>LR 39:2734 (October 2013), amended LR 40:756 (April 2014).</w:t>
      </w:r>
    </w:p>
    <w:p w14:paraId="1EF3CD59" w14:textId="77777777" w:rsidR="00CD0355" w:rsidRPr="001531CD" w:rsidRDefault="00CD0355" w:rsidP="00CD0355">
      <w:pPr>
        <w:pStyle w:val="Section"/>
      </w:pPr>
      <w:bookmarkStart w:id="1233" w:name="_Toc224818838"/>
      <w:r w:rsidRPr="00D55B14">
        <w:t>§905.</w:t>
      </w:r>
      <w:r w:rsidRPr="00D55B14">
        <w:tab/>
        <w:t>Professional Services for which an Approved Plant Breeder is Required</w:t>
      </w:r>
      <w:bookmarkEnd w:id="1233"/>
      <w:r w:rsidRPr="00D55B14">
        <w:t xml:space="preserve"> </w:t>
      </w:r>
    </w:p>
    <w:p w14:paraId="0A198CB4" w14:textId="77777777" w:rsidR="00CD0355" w:rsidRPr="001531CD" w:rsidRDefault="00CD0355" w:rsidP="00CD0355">
      <w:pPr>
        <w:pStyle w:val="A"/>
      </w:pPr>
      <w:r w:rsidRPr="001531CD">
        <w:t>A.</w:t>
      </w:r>
      <w:r w:rsidRPr="001531CD">
        <w:tab/>
        <w:t>The supervision of an approved plant breeder is required for the growing of breeder seed according to the requirements of the rules and regulations of the Association of Seed Certifying Agencies.</w:t>
      </w:r>
    </w:p>
    <w:p w14:paraId="11377FCE" w14:textId="77777777" w:rsidR="00CD0355" w:rsidRPr="00D55B14" w:rsidRDefault="00CD0355" w:rsidP="00CD0355">
      <w:pPr>
        <w:pStyle w:val="A"/>
      </w:pPr>
      <w:r w:rsidRPr="00D55B14">
        <w:t>B.</w:t>
      </w:r>
      <w:r w:rsidRPr="00D55B14">
        <w:tab/>
        <w:t xml:space="preserve">Any individual, firm or corporation desiring to be granted the status of a commercial plant breeding firm must submit to the </w:t>
      </w:r>
      <w:r>
        <w:t>c</w:t>
      </w:r>
      <w:r w:rsidRPr="00D55B14">
        <w:t xml:space="preserve">ommission a general outline of their proposed methods of seed production for the breeder class of seed. This outline of methods of production must be approved by the </w:t>
      </w:r>
      <w:r>
        <w:t>c</w:t>
      </w:r>
      <w:r w:rsidRPr="00D55B14">
        <w:t>ommission. This firm must also have an approved plant breeder who has qualified under §907 of these regulations. Production of all breeder seed must be under the direct and active supervision of the plant breeder. This firm's complete plant breeding and seed increase setup must be open to inspection by personnel of the state seed certifying agency.</w:t>
      </w:r>
    </w:p>
    <w:p w14:paraId="192EADF9" w14:textId="77777777" w:rsidR="00CD0355" w:rsidRPr="001531CD" w:rsidRDefault="00CD0355" w:rsidP="00CD0355">
      <w:pPr>
        <w:pStyle w:val="AuthorityNote"/>
      </w:pPr>
      <w:r w:rsidRPr="00D55B14">
        <w:t>AUTHORITY NOTE:</w:t>
      </w:r>
      <w:r w:rsidRPr="00D55B14">
        <w:tab/>
        <w:t>Promulgated in accordance with R.S. 3:1433.</w:t>
      </w:r>
    </w:p>
    <w:p w14:paraId="2ED4DC69" w14:textId="77777777"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w:t>
      </w:r>
      <w:r>
        <w:t>2734 (October 2013), amended LR 40:756 (April 2014).</w:t>
      </w:r>
    </w:p>
    <w:p w14:paraId="37186F67" w14:textId="77777777" w:rsidR="00CD0355" w:rsidRPr="001531CD" w:rsidRDefault="00CD0355" w:rsidP="00CD0355">
      <w:pPr>
        <w:pStyle w:val="Section"/>
      </w:pPr>
      <w:bookmarkStart w:id="1234" w:name="_Toc224818839"/>
      <w:r w:rsidRPr="001531CD">
        <w:t>§907.</w:t>
      </w:r>
      <w:r w:rsidRPr="001531CD">
        <w:tab/>
        <w:t>Qualifications for Approved Plant Breeders</w:t>
      </w:r>
      <w:bookmarkEnd w:id="1234"/>
    </w:p>
    <w:p w14:paraId="3F76924B" w14:textId="77777777" w:rsidR="00CD0355" w:rsidRPr="001531CD" w:rsidRDefault="00CD0355" w:rsidP="00CD0355">
      <w:pPr>
        <w:pStyle w:val="A"/>
      </w:pPr>
      <w:r w:rsidRPr="00D55B14">
        <w:t>A.</w:t>
      </w:r>
      <w:r w:rsidRPr="00D55B14">
        <w:tab/>
        <w:t>To be recognized officially by LDAF as an approved plant breeder, a person must either:</w:t>
      </w:r>
    </w:p>
    <w:p w14:paraId="42D712D9" w14:textId="77777777" w:rsidR="00CD0355" w:rsidRPr="001531CD" w:rsidRDefault="00CD0355" w:rsidP="00CD0355">
      <w:pPr>
        <w:pStyle w:val="1"/>
      </w:pPr>
      <w:r w:rsidRPr="001531CD">
        <w:t>1.</w:t>
      </w:r>
      <w:r w:rsidRPr="001531CD">
        <w:tab/>
        <w:t>hold an advanced degree with plant breeding as a major subject;</w:t>
      </w:r>
    </w:p>
    <w:p w14:paraId="4FFAF33C" w14:textId="77777777" w:rsidR="00CD0355" w:rsidRPr="001531CD" w:rsidRDefault="00CD0355" w:rsidP="00CD0355">
      <w:pPr>
        <w:pStyle w:val="1"/>
      </w:pPr>
      <w:r w:rsidRPr="001531CD">
        <w:t>2.</w:t>
      </w:r>
      <w:r w:rsidRPr="001531CD">
        <w:tab/>
        <w:t>hold an advanced degree in agronomy or horticulture and show evidence of having at least one year's experience assisting a plant breeder at an experiment station or private seed farm;</w:t>
      </w:r>
    </w:p>
    <w:p w14:paraId="69522DEB" w14:textId="77777777" w:rsidR="00CD0355" w:rsidRPr="001531CD" w:rsidRDefault="00CD0355" w:rsidP="00CD0355">
      <w:pPr>
        <w:pStyle w:val="1"/>
      </w:pPr>
      <w:r w:rsidRPr="001531CD">
        <w:t>3.</w:t>
      </w:r>
      <w:r w:rsidRPr="001531CD">
        <w:tab/>
        <w:t>hold a bachelor's degree in agronomy or horticulture with at least one course in plant breeding and show evidence of at least two years' experience as in Paragraph 2;</w:t>
      </w:r>
    </w:p>
    <w:p w14:paraId="10B88A82" w14:textId="77777777" w:rsidR="00CD0355" w:rsidRPr="001531CD" w:rsidRDefault="00CD0355" w:rsidP="00CD0355">
      <w:pPr>
        <w:pStyle w:val="1"/>
      </w:pPr>
      <w:r w:rsidRPr="001531CD">
        <w:t>4.</w:t>
      </w:r>
      <w:r w:rsidRPr="001531CD">
        <w:tab/>
        <w:t>hold a bachelor's degree in general agriculture, but not qualified under either Paragraphs 1, 2 or 3 above, must pass an examination at the direction of the state entomologist to indicate his knowledge of the subject (especially developing new varieties, variety testing, and increasing pure seed) and must show evidence of two years' experience as under Paragraph 2 (applicants qualifying under this Subsection may supervise the production of the class registered seed only); or</w:t>
      </w:r>
    </w:p>
    <w:p w14:paraId="12A6538D" w14:textId="77777777" w:rsidR="00CD0355" w:rsidRPr="001531CD" w:rsidRDefault="00CD0355" w:rsidP="00CD0355">
      <w:pPr>
        <w:pStyle w:val="1"/>
      </w:pPr>
      <w:r w:rsidRPr="001531CD">
        <w:t>5.</w:t>
      </w:r>
      <w:r w:rsidRPr="001531CD">
        <w:tab/>
        <w:t>must show evidence of competence in the form of the development of a distinct new variety of a crop and produced pure seed of it meeting the requirements for breeder seed. (The person may supervise the production of breeder and/or foundation and/or registered only of the crop variety or varieties developed by him.)</w:t>
      </w:r>
    </w:p>
    <w:p w14:paraId="11E01627" w14:textId="77777777" w:rsidR="00CD0355" w:rsidRPr="001531CD" w:rsidRDefault="00CD0355" w:rsidP="00CD0355">
      <w:pPr>
        <w:pStyle w:val="AuthorityNote"/>
      </w:pPr>
      <w:r w:rsidRPr="00D55B14">
        <w:t>AUTHORITY NOTE:</w:t>
      </w:r>
      <w:r w:rsidRPr="00D55B14">
        <w:tab/>
        <w:t>Promulgated in accordance with R.S. 3:1433.</w:t>
      </w:r>
    </w:p>
    <w:p w14:paraId="5CBE860C" w14:textId="77777777"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39:2734 (October 2013), amended LR 40:756 (April 2014).</w:t>
      </w:r>
    </w:p>
    <w:p w14:paraId="142956D3" w14:textId="77777777" w:rsidR="00CD0355" w:rsidRPr="001531CD" w:rsidRDefault="00CD0355" w:rsidP="00CD0355">
      <w:pPr>
        <w:pStyle w:val="Section"/>
      </w:pPr>
      <w:bookmarkStart w:id="1235" w:name="_Toc224818840"/>
      <w:r w:rsidRPr="001531CD">
        <w:t>§909.</w:t>
      </w:r>
      <w:r w:rsidRPr="001531CD">
        <w:tab/>
        <w:t>Conditions Governing the Approval of Plant Breeders</w:t>
      </w:r>
      <w:bookmarkEnd w:id="1235"/>
      <w:r w:rsidRPr="001531CD">
        <w:t xml:space="preserve"> </w:t>
      </w:r>
    </w:p>
    <w:p w14:paraId="10F495AD" w14:textId="77777777" w:rsidR="00CD0355" w:rsidRPr="001531CD" w:rsidRDefault="00CD0355" w:rsidP="00CD0355">
      <w:pPr>
        <w:pStyle w:val="A"/>
      </w:pPr>
      <w:r w:rsidRPr="001531CD">
        <w:t>A.</w:t>
      </w:r>
      <w:r w:rsidRPr="001531CD">
        <w:tab/>
        <w:t>Persons desiring to obtain a certificate as an approved plant breeder shall make application to the commission on a form supplied by the state entomologist.</w:t>
      </w:r>
    </w:p>
    <w:p w14:paraId="121ECA18" w14:textId="77777777" w:rsidR="00CD0355" w:rsidRPr="001531CD" w:rsidRDefault="00CD0355" w:rsidP="00CD0355">
      <w:pPr>
        <w:pStyle w:val="A"/>
      </w:pPr>
      <w:r w:rsidRPr="001531CD">
        <w:t>B.</w:t>
      </w:r>
      <w:r w:rsidRPr="001531CD">
        <w:tab/>
        <w:t>Applicants must qualify under the eligibility requirements set forth in §907.</w:t>
      </w:r>
    </w:p>
    <w:p w14:paraId="423BAFB1" w14:textId="77777777" w:rsidR="00CD0355" w:rsidRPr="001531CD" w:rsidRDefault="00CD0355" w:rsidP="00CD0355">
      <w:pPr>
        <w:pStyle w:val="A"/>
      </w:pPr>
      <w:r w:rsidRPr="001531CD">
        <w:t>C.</w:t>
      </w:r>
      <w:r w:rsidRPr="001531CD">
        <w:tab/>
        <w:t>Applicants for a certificate qualifying under Paragraphs 1, 2, 3 and 4 of §907 shall supply with their application a copy of his college or university transcript; and in the cases of Paragraphs 2, 3 and 4, affidavits supporting the experience requirements indicated under Paragraph 2; and under Paragraph 5, supply affidavits and/or other documentary evidence supporting the requirements set forth herein.</w:t>
      </w:r>
    </w:p>
    <w:p w14:paraId="06D00341" w14:textId="77777777" w:rsidR="00CD0355" w:rsidRPr="001531CD" w:rsidRDefault="00CD0355" w:rsidP="00CD0355">
      <w:pPr>
        <w:pStyle w:val="AuthorityNote"/>
      </w:pPr>
      <w:r w:rsidRPr="001531CD">
        <w:t>AUTHORITY NOTE:</w:t>
      </w:r>
      <w:r w:rsidRPr="001531CD">
        <w:tab/>
        <w:t>Promulgated in accordance with R.S. 3:1433.</w:t>
      </w:r>
    </w:p>
    <w:p w14:paraId="751981F1" w14:textId="77777777" w:rsidR="00CD0355" w:rsidRPr="001531CD" w:rsidRDefault="00CD0355" w:rsidP="00CD0355">
      <w:pPr>
        <w:pStyle w:val="HistoricalNote"/>
      </w:pPr>
      <w:r w:rsidRPr="001531CD">
        <w:t>HISTORICAL NOTE:</w:t>
      </w:r>
      <w:r w:rsidRPr="001531CD">
        <w:tab/>
        <w:t xml:space="preserve">Adopted by the Department of Agriculture, Seed Commission August 1961, amended by the Department of Agriculture and Forestry, Office of Agricultural and </w:t>
      </w:r>
      <w:r w:rsidRPr="001531CD">
        <w:lastRenderedPageBreak/>
        <w:t>Environmental Sciences, Seed Commission, LR 12:825 (December 1986), repromulgated by the Department of Agriculture and Forestry, Office of Agricultural and Environmental Sciences, Agricultural Chemistry and Seed Commission, LR 39:2735 (October 2013).</w:t>
      </w:r>
    </w:p>
    <w:p w14:paraId="6E9AF6A1" w14:textId="77777777" w:rsidR="00CD0355" w:rsidRPr="001531CD" w:rsidRDefault="00CD0355" w:rsidP="00CD0355">
      <w:pPr>
        <w:pStyle w:val="Section"/>
      </w:pPr>
      <w:bookmarkStart w:id="1236" w:name="_Toc224818841"/>
      <w:r w:rsidRPr="001531CD">
        <w:t>§911.</w:t>
      </w:r>
      <w:r w:rsidRPr="001531CD">
        <w:tab/>
        <w:t>Plant Breeder Examination</w:t>
      </w:r>
      <w:bookmarkEnd w:id="1236"/>
      <w:r w:rsidRPr="001531CD">
        <w:t xml:space="preserve"> </w:t>
      </w:r>
    </w:p>
    <w:p w14:paraId="49F476E6" w14:textId="77777777" w:rsidR="00CD0355" w:rsidRPr="001531CD" w:rsidRDefault="00CD0355" w:rsidP="00CD0355">
      <w:pPr>
        <w:pStyle w:val="A"/>
      </w:pPr>
      <w:r w:rsidRPr="001531CD">
        <w:t>A.</w:t>
      </w:r>
      <w:r w:rsidRPr="001531CD">
        <w:tab/>
        <w:t>Applicants to qualify for certification as plant breeders under §907.A.4, must pass a satisfactory examination, which may be either written or oral, or both, on the principles of plant breeding with special emphasis on the development of new varieties or strains of horticultural and agricultural crops and the handling of them thereafter.</w:t>
      </w:r>
    </w:p>
    <w:p w14:paraId="42822B7F" w14:textId="77777777" w:rsidR="00CD0355" w:rsidRPr="001531CD" w:rsidRDefault="00CD0355" w:rsidP="00CD0355">
      <w:pPr>
        <w:pStyle w:val="A"/>
      </w:pPr>
      <w:r w:rsidRPr="001531CD">
        <w:t>B.</w:t>
      </w:r>
      <w:r w:rsidRPr="001531CD">
        <w:tab/>
        <w:t>Examinations will be given by the state entomologist, or his designee, in his office in Baton Rouge, 10 days or later, at the convenience of the applicant, after the application has been approved by the commission.</w:t>
      </w:r>
    </w:p>
    <w:p w14:paraId="16CB8E17" w14:textId="77777777" w:rsidR="00CD0355" w:rsidRPr="001531CD" w:rsidRDefault="00CD0355" w:rsidP="00CD0355">
      <w:pPr>
        <w:pStyle w:val="AuthorityNote"/>
      </w:pPr>
      <w:r w:rsidRPr="001531CD">
        <w:t>AUTHORITY NOTE:</w:t>
      </w:r>
      <w:r w:rsidRPr="001531CD">
        <w:tab/>
        <w:t>Promulgated in accordance with R.S. 3:1433.</w:t>
      </w:r>
    </w:p>
    <w:p w14:paraId="1A16D1DD" w14:textId="77777777"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39:2735 (October 2013).</w:t>
      </w:r>
    </w:p>
    <w:p w14:paraId="787DC607" w14:textId="77777777" w:rsidR="00CD0355" w:rsidRPr="001531CD" w:rsidRDefault="00CD0355" w:rsidP="00CD0355">
      <w:pPr>
        <w:pStyle w:val="Section"/>
      </w:pPr>
      <w:bookmarkStart w:id="1237" w:name="_Toc224818842"/>
      <w:r w:rsidRPr="001531CD">
        <w:t>§913.</w:t>
      </w:r>
      <w:r w:rsidRPr="001531CD">
        <w:tab/>
        <w:t>Issuance and Duration of Certificates</w:t>
      </w:r>
      <w:bookmarkEnd w:id="1237"/>
      <w:r w:rsidRPr="001531CD">
        <w:t xml:space="preserve"> </w:t>
      </w:r>
    </w:p>
    <w:p w14:paraId="0C22E3F8" w14:textId="77777777" w:rsidR="00CD0355" w:rsidRPr="001531CD" w:rsidRDefault="00CD0355" w:rsidP="00CD0355">
      <w:pPr>
        <w:pStyle w:val="A"/>
      </w:pPr>
      <w:r w:rsidRPr="001531CD">
        <w:t>A.</w:t>
      </w:r>
      <w:r w:rsidRPr="001531CD">
        <w:tab/>
        <w:t>The issuance of certificates of approved plant breeders shall be by the commission after reviewing evidence of the commissioner that the requirements set forth in §909 have been complied with, or by the commissioner with the approval of the commission.</w:t>
      </w:r>
    </w:p>
    <w:p w14:paraId="31906A73" w14:textId="77777777" w:rsidR="00CD0355" w:rsidRPr="001531CD" w:rsidRDefault="00CD0355" w:rsidP="00CD0355">
      <w:pPr>
        <w:pStyle w:val="A"/>
      </w:pPr>
      <w:r w:rsidRPr="001531CD">
        <w:t>B.</w:t>
      </w:r>
      <w:r w:rsidRPr="001531CD">
        <w:tab/>
        <w:t>Certificates of recognition of plant breeders shall be valid indefinitely, but may be canceled at any time for cause.</w:t>
      </w:r>
    </w:p>
    <w:p w14:paraId="0C5090F4" w14:textId="77777777" w:rsidR="00CD0355" w:rsidRPr="001531CD" w:rsidRDefault="00CD0355" w:rsidP="00CD0355">
      <w:pPr>
        <w:pStyle w:val="AuthorityNote"/>
      </w:pPr>
      <w:r w:rsidRPr="001531CD">
        <w:t>AUTHORITY NOTE:</w:t>
      </w:r>
      <w:r w:rsidRPr="001531CD">
        <w:tab/>
        <w:t>Promulgated in accordance with R.S. 3:1433.</w:t>
      </w:r>
    </w:p>
    <w:p w14:paraId="09D58595" w14:textId="77777777"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39:2735 (October 2013).</w:t>
      </w:r>
    </w:p>
    <w:p w14:paraId="5F726DA8" w14:textId="77777777" w:rsidR="00CD0355" w:rsidRPr="001531CD" w:rsidRDefault="00CD0355" w:rsidP="00CD0355">
      <w:pPr>
        <w:pStyle w:val="Chapter"/>
      </w:pPr>
      <w:bookmarkStart w:id="1238" w:name="_Toc224818843"/>
      <w:r w:rsidRPr="001531CD">
        <w:t>Chapter 11.</w:t>
      </w:r>
      <w:r w:rsidRPr="001531CD">
        <w:tab/>
        <w:t>Adulterated Seed Stock and other Propagating Stock</w:t>
      </w:r>
      <w:bookmarkEnd w:id="1238"/>
      <w:r w:rsidRPr="001531CD">
        <w:t xml:space="preserve"> </w:t>
      </w:r>
    </w:p>
    <w:p w14:paraId="43E5BFA4" w14:textId="77777777" w:rsidR="00CD0355" w:rsidRPr="001531CD" w:rsidRDefault="00CD0355" w:rsidP="00CD0355">
      <w:pPr>
        <w:pStyle w:val="Chapter"/>
      </w:pPr>
      <w:bookmarkStart w:id="1239" w:name="_Toc224818844"/>
      <w:r w:rsidRPr="001531CD">
        <w:t>Subchapter A.</w:t>
      </w:r>
      <w:r w:rsidRPr="001531CD">
        <w:tab/>
        <w:t>Rice Seed Stocks Containing the Presence of LibertyLink Traits</w:t>
      </w:r>
      <w:bookmarkEnd w:id="1239"/>
    </w:p>
    <w:p w14:paraId="5FF5C8D9" w14:textId="77777777" w:rsidR="00CD0355" w:rsidRPr="001531CD" w:rsidRDefault="00CD0355" w:rsidP="00CD0355">
      <w:pPr>
        <w:pStyle w:val="Section"/>
      </w:pPr>
      <w:bookmarkStart w:id="1240" w:name="_Toc224818845"/>
      <w:r w:rsidRPr="001531CD">
        <w:t>§1101.</w:t>
      </w:r>
      <w:r w:rsidRPr="001531CD">
        <w:tab/>
        <w:t>Planting of Rice Seed Stock with LL Traits</w:t>
      </w:r>
      <w:bookmarkEnd w:id="1240"/>
      <w:r w:rsidRPr="001531CD">
        <w:t xml:space="preserve"> </w:t>
      </w:r>
    </w:p>
    <w:p w14:paraId="7327179A" w14:textId="77777777" w:rsidR="00CD0355" w:rsidRPr="001531CD" w:rsidRDefault="00CD0355" w:rsidP="00CD0355">
      <w:pPr>
        <w:pStyle w:val="A"/>
      </w:pPr>
      <w:r w:rsidRPr="00D55B14">
        <w:t>A.</w:t>
      </w:r>
      <w:r w:rsidRPr="00D55B14">
        <w:tab/>
        <w:t>The following seeds may not be sold, offered for sale, or planted in Louisiana as seed for purposes of producing a new plant, except as otherwise provided by this Chapter.</w:t>
      </w:r>
    </w:p>
    <w:p w14:paraId="3DC168EE" w14:textId="77777777" w:rsidR="00CD0355" w:rsidRPr="001531CD" w:rsidRDefault="00CD0355" w:rsidP="00CD0355">
      <w:pPr>
        <w:pStyle w:val="1"/>
      </w:pPr>
      <w:r w:rsidRPr="001531CD">
        <w:t>1.</w:t>
      </w:r>
      <w:r w:rsidRPr="001531CD">
        <w:tab/>
        <w:t>Any portion of any variety of rice that tests positive, according to tolerances established by the department, for LL traits.</w:t>
      </w:r>
    </w:p>
    <w:p w14:paraId="3FE34136" w14:textId="77777777" w:rsidR="00CD0355" w:rsidRPr="001531CD" w:rsidRDefault="00CD0355" w:rsidP="00CD0355">
      <w:pPr>
        <w:pStyle w:val="AuthorityNote"/>
      </w:pPr>
      <w:r w:rsidRPr="001531CD">
        <w:t>AUTHORITY NOTE:</w:t>
      </w:r>
      <w:r w:rsidRPr="001531CD">
        <w:tab/>
        <w:t>Promulgated in accordance with R.S. 3:1433.</w:t>
      </w:r>
    </w:p>
    <w:p w14:paraId="0C498ACA"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39:2735 (October 2013), amended LR 40:757 (April 2014).</w:t>
      </w:r>
    </w:p>
    <w:p w14:paraId="7C5E1682" w14:textId="77777777" w:rsidR="00CD0355" w:rsidRPr="001531CD" w:rsidRDefault="00CD0355" w:rsidP="00CD0355">
      <w:pPr>
        <w:pStyle w:val="Section"/>
      </w:pPr>
      <w:bookmarkStart w:id="1241" w:name="_Toc224818846"/>
      <w:r w:rsidRPr="001531CD">
        <w:t>§1103.</w:t>
      </w:r>
      <w:r w:rsidRPr="001531CD">
        <w:tab/>
        <w:t>Planting of all Rice Seed Stocks</w:t>
      </w:r>
      <w:bookmarkEnd w:id="1241"/>
      <w:r w:rsidRPr="001531CD">
        <w:t xml:space="preserve"> </w:t>
      </w:r>
    </w:p>
    <w:p w14:paraId="40928318" w14:textId="77777777" w:rsidR="00CD0355" w:rsidRPr="00D55B14" w:rsidRDefault="00CD0355" w:rsidP="00CD0355">
      <w:pPr>
        <w:pStyle w:val="A"/>
      </w:pPr>
      <w:r w:rsidRPr="00D55B14">
        <w:t>A.</w:t>
      </w:r>
      <w:r w:rsidRPr="00D55B14">
        <w:tab/>
        <w:t>Rice seed stocks, where the variety as a whole is found to test positive, according to tolerances established by LDAF, for LL traits may be sold, offered for sale or planted in Louisiana only for the purpose of seed stock increase, subject to the sampling and testing requirements set out in this Chapter.</w:t>
      </w:r>
    </w:p>
    <w:p w14:paraId="4FBC11F3" w14:textId="77777777" w:rsidR="00CD0355" w:rsidRPr="00D55B14" w:rsidRDefault="00CD0355" w:rsidP="00CD0355">
      <w:pPr>
        <w:pStyle w:val="A"/>
      </w:pPr>
      <w:r w:rsidRPr="00D55B14">
        <w:t>B.</w:t>
      </w:r>
      <w:r w:rsidRPr="00D55B14">
        <w:tab/>
        <w:t>If a portion of a variety of rice seed stock is found to test positive for LL traits, according to tolerances established by LDAF, the portion found to test positive shall be placed under a "stop-sale" order.</w:t>
      </w:r>
    </w:p>
    <w:p w14:paraId="7D097622" w14:textId="77777777" w:rsidR="00CD0355" w:rsidRPr="001531CD" w:rsidRDefault="00CD0355" w:rsidP="00CD0355">
      <w:pPr>
        <w:pStyle w:val="AuthorityNote"/>
      </w:pPr>
      <w:r w:rsidRPr="00D55B14">
        <w:t>AUTHORITY NOTE:</w:t>
      </w:r>
      <w:r w:rsidRPr="00D55B14">
        <w:tab/>
        <w:t>Promulgated in accordance with R.S. 3:1433.</w:t>
      </w:r>
    </w:p>
    <w:p w14:paraId="6F05F4E7"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39:2735 (October 2013), amended LR 40:757 (April 2014).</w:t>
      </w:r>
    </w:p>
    <w:p w14:paraId="52913A2D" w14:textId="77777777" w:rsidR="00CD0355" w:rsidRPr="00D55B14" w:rsidRDefault="00CD0355" w:rsidP="00CD0355">
      <w:pPr>
        <w:pStyle w:val="Section"/>
      </w:pPr>
      <w:bookmarkStart w:id="1242" w:name="_Toc224818847"/>
      <w:r w:rsidRPr="00D55B14">
        <w:t>§1105.</w:t>
      </w:r>
      <w:r w:rsidRPr="00D55B14">
        <w:tab/>
        <w:t>Sampling of Rice Seed Stock to Detect LL Traits</w:t>
      </w:r>
      <w:bookmarkEnd w:id="1242"/>
      <w:r w:rsidRPr="00D55B14">
        <w:t xml:space="preserve"> </w:t>
      </w:r>
    </w:p>
    <w:p w14:paraId="2871BEB8" w14:textId="77777777" w:rsidR="00CD0355" w:rsidRPr="00D55B14" w:rsidRDefault="00CD0355" w:rsidP="00CD0355">
      <w:pPr>
        <w:pStyle w:val="A"/>
      </w:pPr>
      <w:r w:rsidRPr="00D55B14">
        <w:t>A.</w:t>
      </w:r>
      <w:r w:rsidRPr="00D55B14">
        <w:tab/>
        <w:t xml:space="preserve">Samples of all rice seed stocks shall be taken by the Louisiana Department of Agriculture and Forestry </w:t>
      </w:r>
      <w:r>
        <w:t>(</w:t>
      </w:r>
      <w:r w:rsidRPr="00D55B14">
        <w:t>LDAF</w:t>
      </w:r>
      <w:r>
        <w:t>)</w:t>
      </w:r>
      <w:r w:rsidRPr="00D55B14">
        <w:t xml:space="preserve"> for testing. LDAF shall conduct the testing or cause the testing to be done in laboratories approved by LDAF. LDAF shall determine the method and manner of sampling and the number of samples that are needed.</w:t>
      </w:r>
    </w:p>
    <w:p w14:paraId="2EAE61AD" w14:textId="77777777" w:rsidR="00CD0355" w:rsidRPr="00D55B14" w:rsidRDefault="00CD0355" w:rsidP="00CD0355">
      <w:pPr>
        <w:pStyle w:val="A"/>
      </w:pPr>
      <w:r w:rsidRPr="00D55B14">
        <w:t>B.</w:t>
      </w:r>
      <w:r w:rsidRPr="00D55B14">
        <w:tab/>
        <w:t>Each sample must test negative for LL traits according to tolerances established by LDAF.</w:t>
      </w:r>
    </w:p>
    <w:p w14:paraId="72E5F29A" w14:textId="77777777" w:rsidR="00CD0355" w:rsidRPr="00D55B14" w:rsidRDefault="00CD0355" w:rsidP="00CD0355">
      <w:pPr>
        <w:pStyle w:val="A"/>
      </w:pPr>
      <w:r w:rsidRPr="00D55B14">
        <w:t>C.</w:t>
      </w:r>
      <w:r w:rsidRPr="00D55B14">
        <w:tab/>
        <w:t>All costs incurred by LDAF in regard to sampling, including but not limited to the taking, transportation, testing, and disposal of samples, shall be paid by the person or entity requesting the sampling.</w:t>
      </w:r>
    </w:p>
    <w:p w14:paraId="7A98E618" w14:textId="77777777" w:rsidR="00CD0355" w:rsidRPr="001531CD" w:rsidRDefault="00CD0355" w:rsidP="00CD0355">
      <w:pPr>
        <w:pStyle w:val="AuthorityNote"/>
      </w:pPr>
      <w:r w:rsidRPr="00D55B14">
        <w:t>AUTHORITY NOTE:</w:t>
      </w:r>
      <w:r w:rsidRPr="00D55B14">
        <w:tab/>
        <w:t>Promulgated in accordance with R.S. 3:1433.</w:t>
      </w:r>
    </w:p>
    <w:p w14:paraId="56C01324"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39:2736 (October 2013), amended LR 40:757 (April 2014).</w:t>
      </w:r>
    </w:p>
    <w:p w14:paraId="21AB1FA0" w14:textId="77777777" w:rsidR="00CD0355" w:rsidRPr="00D55B14" w:rsidRDefault="00CD0355" w:rsidP="00CD0355">
      <w:pPr>
        <w:pStyle w:val="Section"/>
      </w:pPr>
      <w:bookmarkStart w:id="1243" w:name="_Toc224818848"/>
      <w:r w:rsidRPr="00D55B14">
        <w:t>§1107.</w:t>
      </w:r>
      <w:r w:rsidRPr="00D55B14">
        <w:tab/>
        <w:t>Rice Seed Stock Originating from Out-of-State</w:t>
      </w:r>
      <w:bookmarkEnd w:id="1243"/>
      <w:r w:rsidRPr="00D55B14">
        <w:t xml:space="preserve"> </w:t>
      </w:r>
    </w:p>
    <w:p w14:paraId="3CE904E8" w14:textId="77777777" w:rsidR="00CD0355" w:rsidRPr="00D55B14" w:rsidRDefault="00CD0355" w:rsidP="00CD0355">
      <w:pPr>
        <w:pStyle w:val="A"/>
      </w:pPr>
      <w:r w:rsidRPr="00D55B14">
        <w:t>A.</w:t>
      </w:r>
      <w:r w:rsidRPr="00D55B14">
        <w:tab/>
        <w:t>All rice seed stocks originating from out-of-state must meet the requirements for sampling, testing, and handling, as established by LDAF.</w:t>
      </w:r>
    </w:p>
    <w:p w14:paraId="526E1292" w14:textId="77777777" w:rsidR="00CD0355" w:rsidRPr="001531CD" w:rsidRDefault="00CD0355" w:rsidP="00CD0355">
      <w:pPr>
        <w:pStyle w:val="AuthorityNote"/>
      </w:pPr>
      <w:r w:rsidRPr="00D55B14">
        <w:t>AUTHORITY NOTE:</w:t>
      </w:r>
      <w:r w:rsidRPr="00D55B14">
        <w:tab/>
        <w:t>Promulgated in accordance with R.S. 3:1433.</w:t>
      </w:r>
    </w:p>
    <w:p w14:paraId="63CB4028" w14:textId="77777777" w:rsidR="00CD0355" w:rsidRPr="001531CD" w:rsidRDefault="00CD0355" w:rsidP="00CD0355">
      <w:pPr>
        <w:pStyle w:val="HistoricalNote"/>
      </w:pPr>
      <w:r w:rsidRPr="001531CD">
        <w:t>HISTORICAL NOTE:</w:t>
      </w:r>
      <w:r w:rsidRPr="001531CD">
        <w:tab/>
        <w:t xml:space="preserve">Promulgated by the Department of Agriculture and Forestry, Office of Agricultural and Environmental Sciences, Seed Commission, LR 33:2592 (December 2007), </w:t>
      </w:r>
      <w:r w:rsidRPr="001531CD">
        <w:lastRenderedPageBreak/>
        <w:t>repromulgated by the Department of Agriculture and Forestry, Office of Agricultural and Environmental Sciences, Agricultural Chemistry and Seed Commissio</w:t>
      </w:r>
      <w:r>
        <w:t>n, LR 39:2736 (October 2013), amended LR 40:757 (April 2014).</w:t>
      </w:r>
    </w:p>
    <w:p w14:paraId="07692590" w14:textId="77777777" w:rsidR="00CD0355" w:rsidRPr="001531CD" w:rsidRDefault="00CD0355" w:rsidP="00CD0355">
      <w:pPr>
        <w:pStyle w:val="Section"/>
      </w:pPr>
      <w:bookmarkStart w:id="1244" w:name="_Toc224818849"/>
      <w:r w:rsidRPr="001531CD">
        <w:t>§1109.</w:t>
      </w:r>
      <w:r w:rsidRPr="001531CD">
        <w:tab/>
        <w:t>Carry-Over Rice Seed Stock</w:t>
      </w:r>
      <w:bookmarkEnd w:id="1244"/>
      <w:r w:rsidRPr="001531CD">
        <w:t xml:space="preserve"> </w:t>
      </w:r>
    </w:p>
    <w:p w14:paraId="67D2AF6C" w14:textId="77777777" w:rsidR="00CD0355" w:rsidRPr="001531CD" w:rsidRDefault="00CD0355" w:rsidP="00CD0355">
      <w:pPr>
        <w:pStyle w:val="A"/>
      </w:pPr>
      <w:r w:rsidRPr="001531CD">
        <w:t>A.</w:t>
      </w:r>
      <w:r w:rsidRPr="001531CD">
        <w:tab/>
        <w:t xml:space="preserve">Any carry-over rice seed stocks that have been processed, repackaged, or otherwise adulterated in any manner that would jeopardize the integrity of the seed lot are subject to the sampling and testing requirements set out in this Chapter. </w:t>
      </w:r>
    </w:p>
    <w:p w14:paraId="18A09F39" w14:textId="77777777" w:rsidR="00CD0355" w:rsidRPr="001531CD" w:rsidRDefault="00CD0355" w:rsidP="00CD0355">
      <w:pPr>
        <w:pStyle w:val="AuthorityNote"/>
      </w:pPr>
      <w:r w:rsidRPr="001531CD">
        <w:t>AUTHORITY NOTE:</w:t>
      </w:r>
      <w:r w:rsidRPr="001531CD">
        <w:tab/>
        <w:t>Promulgated in accordance with R.S. 3:1433.</w:t>
      </w:r>
    </w:p>
    <w:p w14:paraId="65091124"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Commission, LR 39:2736 (October 2013).</w:t>
      </w:r>
    </w:p>
    <w:p w14:paraId="27E37E34" w14:textId="77777777" w:rsidR="00CD0355" w:rsidRPr="00D55B14" w:rsidRDefault="00CD0355" w:rsidP="00CD0355">
      <w:pPr>
        <w:pStyle w:val="Section"/>
      </w:pPr>
      <w:bookmarkStart w:id="1245" w:name="_Toc224818850"/>
      <w:r w:rsidRPr="00D55B14">
        <w:t>§1111.</w:t>
      </w:r>
      <w:r w:rsidRPr="00D55B14">
        <w:tab/>
        <w:t>Stop-Sale</w:t>
      </w:r>
      <w:bookmarkEnd w:id="1245"/>
      <w:r w:rsidRPr="00D55B14">
        <w:t xml:space="preserve"> </w:t>
      </w:r>
    </w:p>
    <w:p w14:paraId="5D6D487C" w14:textId="77777777" w:rsidR="00CD0355" w:rsidRPr="00D55B14" w:rsidRDefault="00CD0355" w:rsidP="00CD0355">
      <w:pPr>
        <w:pStyle w:val="A"/>
      </w:pPr>
      <w:r w:rsidRPr="00D55B14">
        <w:t>A.</w:t>
      </w:r>
      <w:r w:rsidRPr="00D55B14">
        <w:tab/>
        <w:t>Any lot of rice seed that is subject to the requirements of this Chapter that tests positive for LL traits, according to tolerances established by LDAF, shall be placed under a "stop-sale" order and moved, handled or disposed of only with the express permission of the commissioner or his designate.</w:t>
      </w:r>
    </w:p>
    <w:p w14:paraId="4482B4B5" w14:textId="77777777" w:rsidR="00CD0355" w:rsidRPr="001531CD" w:rsidRDefault="00CD0355" w:rsidP="00CD0355">
      <w:pPr>
        <w:pStyle w:val="AuthorityNote"/>
      </w:pPr>
      <w:r w:rsidRPr="00D55B14">
        <w:t>AUTHORITY NOTE:</w:t>
      </w:r>
      <w:r w:rsidRPr="00D55B14">
        <w:tab/>
        <w:t>Promulgated in accordance with R.S. 3:1433.</w:t>
      </w:r>
    </w:p>
    <w:p w14:paraId="655B60AA" w14:textId="77777777"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33:2593 (December 2007), repromulgated by the Department of Agriculture and Forestry, Office of Agricultural and Environmental Sciences, Agricultural Chemistry and Seed Commis</w:t>
      </w:r>
      <w:r>
        <w:t>sion, LR 39:2736 (October 2013), amended LR 40:757 (April 2014).</w:t>
      </w:r>
    </w:p>
    <w:p w14:paraId="7D983C96" w14:textId="77777777" w:rsidR="00CD0355" w:rsidRDefault="00CD0355" w:rsidP="00CD0355">
      <w:pPr>
        <w:pStyle w:val="Section"/>
        <w:tabs>
          <w:tab w:val="clear" w:pos="1080"/>
        </w:tabs>
      </w:pPr>
      <w:bookmarkStart w:id="1246" w:name="_Toc370127346"/>
      <w:bookmarkStart w:id="1247" w:name="_Toc372624059"/>
      <w:bookmarkStart w:id="1248" w:name="_Toc375025359"/>
      <w:bookmarkStart w:id="1249" w:name="_Toc386110242"/>
      <w:bookmarkStart w:id="1250" w:name="_Toc388358075"/>
      <w:bookmarkStart w:id="1251" w:name="_Toc396114979"/>
      <w:bookmarkStart w:id="1252" w:name="_Toc411855370"/>
      <w:bookmarkStart w:id="1253" w:name="_Toc419795572"/>
      <w:bookmarkStart w:id="1254" w:name="_Toc427736960"/>
      <w:bookmarkStart w:id="1255" w:name="_Toc438546760"/>
      <w:bookmarkStart w:id="1256" w:name="_Toc446326747"/>
      <w:bookmarkStart w:id="1257" w:name="_Toc448824937"/>
      <w:bookmarkStart w:id="1258" w:name="_Toc451505981"/>
      <w:bookmarkStart w:id="1259" w:name="_Toc462212404"/>
      <w:bookmarkStart w:id="1260" w:name="_Toc468096324"/>
      <w:bookmarkStart w:id="1261" w:name="_Toc477853804"/>
      <w:bookmarkStart w:id="1262" w:name="_Toc488735748"/>
      <w:bookmarkStart w:id="1263" w:name="_Toc491176565"/>
      <w:bookmarkStart w:id="1264" w:name="_Toc509393488"/>
      <w:bookmarkStart w:id="1265" w:name="_Toc525114655"/>
      <w:bookmarkStart w:id="1266" w:name="_Toc535997052"/>
      <w:bookmarkStart w:id="1267" w:name="_Toc224818851"/>
      <w:r w:rsidRPr="001531CD">
        <w:t>§§1113-1119.</w:t>
      </w:r>
      <w:r w:rsidRPr="001531CD">
        <w:tab/>
        <w:t>Reserved</w:t>
      </w:r>
      <w:bookmarkEnd w:id="1246"/>
      <w:r w:rsidRPr="001531CD">
        <w:t>.</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545936BC" w14:textId="77777777" w:rsidR="00D46BA0" w:rsidRDefault="00D46BA0" w:rsidP="00D46BA0">
      <w:pPr>
        <w:pStyle w:val="Chapter"/>
      </w:pPr>
      <w:bookmarkStart w:id="1268" w:name="_Toc224818852"/>
      <w:r w:rsidRPr="008D1E1B">
        <w:t>Chapter 12.</w:t>
      </w:r>
      <w:r>
        <w:tab/>
      </w:r>
      <w:r w:rsidRPr="008D1E1B">
        <w:t>Hemp (</w:t>
      </w:r>
      <w:r w:rsidRPr="008D1E1B">
        <w:rPr>
          <w:i/>
          <w:iCs/>
        </w:rPr>
        <w:t>Cannabis</w:t>
      </w:r>
      <w:r w:rsidRPr="008D1E1B">
        <w:t xml:space="preserve"> </w:t>
      </w:r>
      <w:r w:rsidRPr="008D1E1B">
        <w:rPr>
          <w:i/>
          <w:iCs/>
        </w:rPr>
        <w:t>sativa</w:t>
      </w:r>
      <w:r w:rsidRPr="008D1E1B">
        <w:t xml:space="preserve"> L. </w:t>
      </w:r>
      <w:r w:rsidRPr="008D1E1B">
        <w:rPr>
          <w:i/>
          <w:iCs/>
        </w:rPr>
        <w:t>Subsp</w:t>
      </w:r>
      <w:r w:rsidRPr="008D1E1B">
        <w:t xml:space="preserve">. </w:t>
      </w:r>
      <w:r w:rsidRPr="008D1E1B">
        <w:rPr>
          <w:i/>
          <w:iCs/>
        </w:rPr>
        <w:t>sativa</w:t>
      </w:r>
      <w:r w:rsidRPr="008D1E1B">
        <w:t>) Seed Certification Standards</w:t>
      </w:r>
      <w:bookmarkEnd w:id="1268"/>
    </w:p>
    <w:p w14:paraId="7D95A807" w14:textId="77777777" w:rsidR="00D46BA0" w:rsidRPr="008D1E1B" w:rsidRDefault="00D46BA0" w:rsidP="00D46BA0">
      <w:pPr>
        <w:pStyle w:val="Section"/>
      </w:pPr>
      <w:bookmarkStart w:id="1269" w:name="_Toc224818853"/>
      <w:r w:rsidRPr="008D1E1B">
        <w:rPr>
          <w:bCs/>
        </w:rPr>
        <w:t>§</w:t>
      </w:r>
      <w:r w:rsidRPr="008D1E1B">
        <w:t>1201.</w:t>
      </w:r>
      <w:r w:rsidRPr="008D1E1B">
        <w:tab/>
        <w:t>General Hemp Seed Certification Standards</w:t>
      </w:r>
      <w:bookmarkEnd w:id="1269"/>
    </w:p>
    <w:p w14:paraId="715C1DA9" w14:textId="77777777" w:rsidR="00272CE9" w:rsidRPr="008D1E1B" w:rsidRDefault="00272CE9" w:rsidP="00272CE9">
      <w:pPr>
        <w:pStyle w:val="A"/>
      </w:pPr>
      <w:r w:rsidRPr="008D1E1B">
        <w:t>A.</w:t>
      </w:r>
      <w:r w:rsidRPr="008D1E1B">
        <w:tab/>
        <w:t>The</w:t>
      </w:r>
      <w:r w:rsidRPr="008D1E1B">
        <w:rPr>
          <w:rFonts w:eastAsia="PMingLiU"/>
        </w:rPr>
        <w:t xml:space="preserve"> General Seed Certification Standards provided in this Part apply to all crops, and together with the following specific standards constitute the certified Hemp standards.</w:t>
      </w:r>
    </w:p>
    <w:p w14:paraId="75EAC5D1" w14:textId="77777777" w:rsidR="00272CE9" w:rsidRDefault="00272CE9" w:rsidP="00272CE9">
      <w:pPr>
        <w:pStyle w:val="A"/>
      </w:pPr>
      <w:r w:rsidRPr="008D1E1B">
        <w:t>B.</w:t>
      </w:r>
      <w:r w:rsidRPr="008D1E1B">
        <w:tab/>
        <w:t xml:space="preserve">Definitions. The </w:t>
      </w:r>
      <w:r w:rsidRPr="008D1E1B">
        <w:rPr>
          <w:bCs/>
        </w:rPr>
        <w:t>following</w:t>
      </w:r>
      <w:r w:rsidRPr="008D1E1B">
        <w:t xml:space="preserve"> definitions apply only to this Section. </w:t>
      </w:r>
    </w:p>
    <w:p w14:paraId="4AB3D2A5" w14:textId="77777777" w:rsidR="00272CE9" w:rsidRDefault="00272CE9" w:rsidP="00272CE9">
      <w:pPr>
        <w:pStyle w:val="1"/>
        <w:rPr>
          <w:rFonts w:eastAsia="PMingLiU"/>
          <w:i/>
          <w:iCs/>
        </w:rPr>
      </w:pPr>
      <w:r w:rsidRPr="008D1E1B">
        <w:rPr>
          <w:rFonts w:eastAsia="PMingLiU"/>
          <w:i/>
          <w:iCs/>
        </w:rPr>
        <w:t>AOSCA</w:t>
      </w:r>
      <w:r w:rsidRPr="008D1E1B">
        <w:rPr>
          <w:rFonts w:eastAsia="Aptos"/>
        </w:rPr>
        <w:t>—</w:t>
      </w:r>
      <w:r w:rsidRPr="008D1E1B">
        <w:rPr>
          <w:rFonts w:eastAsia="PMingLiU"/>
        </w:rPr>
        <w:t>the Association of Official Seed Certifying Agencies</w:t>
      </w:r>
    </w:p>
    <w:p w14:paraId="6FA4D72F" w14:textId="77777777" w:rsidR="00272CE9" w:rsidRDefault="00272CE9" w:rsidP="00272CE9">
      <w:pPr>
        <w:pStyle w:val="1"/>
        <w:rPr>
          <w:rFonts w:eastAsia="PMingLiU"/>
          <w:i/>
          <w:iCs/>
        </w:rPr>
      </w:pPr>
      <w:r w:rsidRPr="008D1E1B">
        <w:rPr>
          <w:rFonts w:eastAsia="PMingLiU"/>
          <w:i/>
          <w:iCs/>
        </w:rPr>
        <w:t>Approved Cultivar</w:t>
      </w:r>
      <w:r w:rsidRPr="008D1E1B">
        <w:rPr>
          <w:rFonts w:eastAsia="Aptos"/>
        </w:rPr>
        <w:t>—</w:t>
      </w:r>
      <w:r w:rsidRPr="008D1E1B">
        <w:rPr>
          <w:rFonts w:eastAsia="PMingLiU"/>
        </w:rPr>
        <w:t>any variety designated as eligible for production by federal or local regulatory authorities.</w:t>
      </w:r>
    </w:p>
    <w:p w14:paraId="21E01EB6" w14:textId="77777777" w:rsidR="00272CE9" w:rsidRDefault="00272CE9" w:rsidP="00272CE9">
      <w:pPr>
        <w:pStyle w:val="1"/>
        <w:rPr>
          <w:rFonts w:eastAsia="PMingLiU"/>
        </w:rPr>
      </w:pPr>
      <w:r w:rsidRPr="008D1E1B">
        <w:rPr>
          <w:rFonts w:eastAsia="PMingLiU"/>
          <w:i/>
          <w:iCs/>
        </w:rPr>
        <w:t>Breeder Plant Stock</w:t>
      </w:r>
      <w:r w:rsidRPr="008D1E1B">
        <w:rPr>
          <w:rFonts w:eastAsia="Aptos"/>
        </w:rPr>
        <w:t>—</w:t>
      </w:r>
      <w:r w:rsidRPr="008D1E1B">
        <w:rPr>
          <w:rFonts w:eastAsia="PMingLiU"/>
        </w:rPr>
        <w:t>propagation material identified and described by the breeder or developer. The breeder must also declare and document the methods in which parent lines are selected and how the Plant Stock is maintained.</w:t>
      </w:r>
    </w:p>
    <w:p w14:paraId="2E06F0AE" w14:textId="77777777" w:rsidR="00272CE9" w:rsidRDefault="00272CE9" w:rsidP="00272CE9">
      <w:pPr>
        <w:pStyle w:val="1"/>
        <w:rPr>
          <w:rFonts w:eastAsia="PMingLiU"/>
          <w:i/>
          <w:iCs/>
        </w:rPr>
      </w:pPr>
      <w:r w:rsidRPr="008D1E1B">
        <w:rPr>
          <w:rFonts w:eastAsia="PMingLiU"/>
          <w:i/>
          <w:iCs/>
        </w:rPr>
        <w:t>Clones</w:t>
      </w:r>
      <w:r w:rsidRPr="008D1E1B">
        <w:rPr>
          <w:rFonts w:eastAsia="Aptos"/>
        </w:rPr>
        <w:t>—</w:t>
      </w:r>
      <w:r w:rsidRPr="008D1E1B">
        <w:rPr>
          <w:rFonts w:eastAsia="PMingLiU"/>
        </w:rPr>
        <w:t>asexually propagated progeny genetically identical to the stock plant.</w:t>
      </w:r>
    </w:p>
    <w:p w14:paraId="5B4BFE67" w14:textId="77777777" w:rsidR="00272CE9" w:rsidRDefault="00272CE9" w:rsidP="00272CE9">
      <w:pPr>
        <w:pStyle w:val="1"/>
        <w:rPr>
          <w:rFonts w:eastAsia="PMingLiU"/>
          <w:i/>
          <w:iCs/>
        </w:rPr>
      </w:pPr>
      <w:r w:rsidRPr="008D1E1B">
        <w:rPr>
          <w:rFonts w:eastAsia="PMingLiU"/>
          <w:i/>
          <w:iCs/>
        </w:rPr>
        <w:t>Cuttings</w:t>
      </w:r>
      <w:r w:rsidRPr="008D1E1B">
        <w:rPr>
          <w:rFonts w:eastAsia="Aptos"/>
        </w:rPr>
        <w:t>—</w:t>
      </w:r>
      <w:r w:rsidRPr="008D1E1B">
        <w:rPr>
          <w:rFonts w:eastAsia="PMingLiU"/>
        </w:rPr>
        <w:t>portions of stems containing leaves which are rooted to produce clones.</w:t>
      </w:r>
    </w:p>
    <w:p w14:paraId="0D6BA24B" w14:textId="77777777" w:rsidR="00272CE9" w:rsidRDefault="00272CE9" w:rsidP="00272CE9">
      <w:pPr>
        <w:pStyle w:val="1"/>
        <w:rPr>
          <w:rFonts w:eastAsia="PMingLiU"/>
        </w:rPr>
      </w:pPr>
      <w:r w:rsidRPr="008D1E1B">
        <w:rPr>
          <w:rFonts w:eastAsia="PMingLiU"/>
          <w:i/>
          <w:iCs/>
        </w:rPr>
        <w:t>Dioecious Type</w:t>
      </w:r>
      <w:r w:rsidRPr="008D1E1B">
        <w:rPr>
          <w:rFonts w:eastAsia="Aptos"/>
        </w:rPr>
        <w:t>—</w:t>
      </w:r>
      <w:r w:rsidRPr="008D1E1B">
        <w:rPr>
          <w:rFonts w:eastAsia="PMingLiU"/>
        </w:rPr>
        <w:t>hemp plant with male and female flowers on separate plants.</w:t>
      </w:r>
    </w:p>
    <w:p w14:paraId="753DC7CC" w14:textId="77777777" w:rsidR="00272CE9" w:rsidRDefault="00272CE9" w:rsidP="00272CE9">
      <w:pPr>
        <w:pStyle w:val="1"/>
        <w:rPr>
          <w:rFonts w:eastAsia="PMingLiU"/>
        </w:rPr>
      </w:pPr>
      <w:r w:rsidRPr="008D1E1B">
        <w:rPr>
          <w:rFonts w:eastAsia="PMingLiU"/>
          <w:i/>
          <w:iCs/>
        </w:rPr>
        <w:t>Feminized Hemp Seed</w:t>
      </w:r>
      <w:r w:rsidRPr="008D1E1B">
        <w:rPr>
          <w:rFonts w:eastAsia="Aptos"/>
        </w:rPr>
        <w:t>—</w:t>
      </w:r>
      <w:r w:rsidRPr="008D1E1B">
        <w:rPr>
          <w:rFonts w:eastAsia="PMingLiU"/>
        </w:rPr>
        <w:t>the progeny of a dioecious female hemp plant that has been pollinated with pollen derived from the same or another dioecious female hemp plant that has been induced to produce pollen. It is a true female plant with XX chromosomes.</w:t>
      </w:r>
    </w:p>
    <w:p w14:paraId="5E26D1EC" w14:textId="77777777" w:rsidR="00272CE9" w:rsidRDefault="00272CE9" w:rsidP="00272CE9">
      <w:pPr>
        <w:pStyle w:val="1"/>
        <w:rPr>
          <w:rFonts w:eastAsia="PMingLiU"/>
        </w:rPr>
      </w:pPr>
      <w:r w:rsidRPr="008D1E1B">
        <w:rPr>
          <w:rFonts w:eastAsia="PMingLiU"/>
          <w:i/>
          <w:iCs/>
        </w:rPr>
        <w:t>Field</w:t>
      </w:r>
      <w:r w:rsidRPr="008D1E1B">
        <w:rPr>
          <w:rFonts w:eastAsia="Aptos"/>
        </w:rPr>
        <w:t>—</w:t>
      </w:r>
      <w:r w:rsidRPr="008D1E1B">
        <w:rPr>
          <w:rFonts w:eastAsia="PMingLiU"/>
        </w:rPr>
        <w:t>the production area enclosed by natural borders such as a head lane, ditch, tree line, building, or road.</w:t>
      </w:r>
    </w:p>
    <w:p w14:paraId="12502B78" w14:textId="77777777" w:rsidR="00272CE9" w:rsidRDefault="00272CE9" w:rsidP="00272CE9">
      <w:pPr>
        <w:pStyle w:val="1"/>
        <w:rPr>
          <w:rFonts w:eastAsia="PMingLiU"/>
        </w:rPr>
      </w:pPr>
      <w:r w:rsidRPr="008D1E1B">
        <w:rPr>
          <w:rFonts w:eastAsia="PMingLiU"/>
          <w:i/>
          <w:iCs/>
        </w:rPr>
        <w:t>Hemp</w:t>
      </w:r>
      <w:r w:rsidRPr="008D1E1B">
        <w:rPr>
          <w:rFonts w:eastAsia="Aptos"/>
        </w:rPr>
        <w:t>—</w:t>
      </w:r>
      <w:r w:rsidRPr="008D1E1B">
        <w:rPr>
          <w:rFonts w:eastAsia="PMingLiU"/>
        </w:rPr>
        <w:t xml:space="preserve">is defined by the U.S. Domestic Hemp Production Program as the plant species </w:t>
      </w:r>
      <w:r w:rsidRPr="008D1E1B">
        <w:rPr>
          <w:rFonts w:eastAsia="PMingLiU"/>
          <w:i/>
          <w:iCs/>
        </w:rPr>
        <w:t>Cannabis sativa</w:t>
      </w:r>
      <w:r w:rsidRPr="008D1E1B">
        <w:rPr>
          <w:rFonts w:eastAsia="PMingLiU"/>
        </w:rPr>
        <w:t xml:space="preserve"> L. and any part of that plant, including the seeds thereof and all derivatives, extracts, cannabinoids, isomers, acids, salts, and salts of isomers, whether growing or not, with a total delta-9 tetrahydrocannabinol concentration of not more than 0.3 percent on a dry weight basis or as otherwise defined by federal law.</w:t>
      </w:r>
    </w:p>
    <w:p w14:paraId="28A0612E" w14:textId="77777777" w:rsidR="00272CE9" w:rsidRDefault="00272CE9" w:rsidP="00272CE9">
      <w:pPr>
        <w:pStyle w:val="1"/>
        <w:rPr>
          <w:rFonts w:eastAsia="PMingLiU"/>
        </w:rPr>
      </w:pPr>
      <w:r w:rsidRPr="008D1E1B">
        <w:rPr>
          <w:rFonts w:eastAsia="PMingLiU"/>
          <w:i/>
          <w:iCs/>
        </w:rPr>
        <w:t>Hermaphroditic Plants</w:t>
      </w:r>
      <w:r w:rsidRPr="008D1E1B">
        <w:rPr>
          <w:rFonts w:eastAsia="Aptos"/>
        </w:rPr>
        <w:t>—</w:t>
      </w:r>
      <w:r w:rsidRPr="008D1E1B">
        <w:rPr>
          <w:rFonts w:eastAsia="PMingLiU"/>
        </w:rPr>
        <w:t>hemp plants exhibiting male and female flowers, not true females.</w:t>
      </w:r>
    </w:p>
    <w:p w14:paraId="2BBCD93C" w14:textId="77777777" w:rsidR="00272CE9" w:rsidRDefault="00272CE9" w:rsidP="00272CE9">
      <w:pPr>
        <w:pStyle w:val="1"/>
        <w:rPr>
          <w:rFonts w:eastAsia="PMingLiU"/>
        </w:rPr>
      </w:pPr>
      <w:r w:rsidRPr="008D1E1B">
        <w:rPr>
          <w:rFonts w:eastAsia="PMingLiU"/>
          <w:i/>
          <w:iCs/>
        </w:rPr>
        <w:t>LDAF</w:t>
      </w:r>
      <w:r w:rsidRPr="008D1E1B">
        <w:rPr>
          <w:rFonts w:eastAsia="Aptos"/>
        </w:rPr>
        <w:t>—</w:t>
      </w:r>
      <w:r w:rsidRPr="008D1E1B">
        <w:rPr>
          <w:rFonts w:eastAsia="PMingLiU"/>
        </w:rPr>
        <w:t>the Louisiana Department of Agriculture &amp; Forestry.</w:t>
      </w:r>
    </w:p>
    <w:p w14:paraId="06E69D21" w14:textId="77777777" w:rsidR="00272CE9" w:rsidRDefault="00272CE9" w:rsidP="00272CE9">
      <w:pPr>
        <w:pStyle w:val="1"/>
        <w:rPr>
          <w:rFonts w:eastAsia="PMingLiU"/>
        </w:rPr>
      </w:pPr>
      <w:r w:rsidRPr="008D1E1B">
        <w:rPr>
          <w:rFonts w:eastAsia="PMingLiU"/>
          <w:i/>
          <w:iCs/>
        </w:rPr>
        <w:t>Micropropagation</w:t>
      </w:r>
      <w:r w:rsidRPr="008D1E1B">
        <w:rPr>
          <w:rFonts w:eastAsia="Aptos"/>
        </w:rPr>
        <w:t>—</w:t>
      </w:r>
      <w:r w:rsidRPr="008D1E1B">
        <w:rPr>
          <w:rFonts w:eastAsia="PMingLiU"/>
        </w:rPr>
        <w:t>the science of plant multiplication in-vitro.</w:t>
      </w:r>
    </w:p>
    <w:p w14:paraId="5826B5A8" w14:textId="77777777" w:rsidR="00272CE9" w:rsidRDefault="00272CE9" w:rsidP="00272CE9">
      <w:pPr>
        <w:pStyle w:val="1"/>
        <w:rPr>
          <w:rFonts w:eastAsia="PMingLiU"/>
        </w:rPr>
      </w:pPr>
      <w:r w:rsidRPr="008D1E1B">
        <w:rPr>
          <w:rFonts w:eastAsia="PMingLiU"/>
          <w:i/>
          <w:iCs/>
        </w:rPr>
        <w:t>Monoecious type</w:t>
      </w:r>
      <w:r w:rsidRPr="008D1E1B">
        <w:rPr>
          <w:rFonts w:eastAsia="Aptos"/>
        </w:rPr>
        <w:t>—</w:t>
      </w:r>
      <w:r w:rsidRPr="008D1E1B">
        <w:rPr>
          <w:rFonts w:eastAsia="PMingLiU"/>
        </w:rPr>
        <w:t>hemp plant with male and female flowers on the same plant.</w:t>
      </w:r>
    </w:p>
    <w:p w14:paraId="6013D07C" w14:textId="77777777" w:rsidR="00272CE9" w:rsidRDefault="00272CE9" w:rsidP="00272CE9">
      <w:pPr>
        <w:pStyle w:val="1"/>
        <w:rPr>
          <w:rFonts w:eastAsia="PMingLiU"/>
        </w:rPr>
      </w:pPr>
      <w:r w:rsidRPr="008D1E1B">
        <w:rPr>
          <w:rFonts w:eastAsia="PMingLiU"/>
          <w:i/>
          <w:iCs/>
        </w:rPr>
        <w:t>Pollen Parent</w:t>
      </w:r>
      <w:r w:rsidRPr="008D1E1B">
        <w:rPr>
          <w:rFonts w:eastAsia="Aptos"/>
        </w:rPr>
        <w:t>—</w:t>
      </w:r>
      <w:r w:rsidRPr="008D1E1B">
        <w:rPr>
          <w:rFonts w:eastAsia="PMingLiU"/>
        </w:rPr>
        <w:t>a reversed female hemp plant from the female line or another reversed female line to create a hybrid.</w:t>
      </w:r>
    </w:p>
    <w:p w14:paraId="733218CF" w14:textId="77777777" w:rsidR="00272CE9" w:rsidRDefault="00272CE9" w:rsidP="00272CE9">
      <w:pPr>
        <w:pStyle w:val="1"/>
        <w:rPr>
          <w:rFonts w:eastAsia="PMingLiU"/>
        </w:rPr>
      </w:pPr>
      <w:r w:rsidRPr="008D1E1B">
        <w:rPr>
          <w:rFonts w:eastAsia="PMingLiU"/>
          <w:i/>
          <w:iCs/>
        </w:rPr>
        <w:t>Reversed Female</w:t>
      </w:r>
      <w:r w:rsidRPr="008D1E1B">
        <w:rPr>
          <w:rFonts w:eastAsia="Aptos"/>
        </w:rPr>
        <w:t>—</w:t>
      </w:r>
      <w:r w:rsidRPr="008D1E1B">
        <w:rPr>
          <w:rFonts w:eastAsia="PMingLiU"/>
        </w:rPr>
        <w:t>female hemp plants that are induced to produce pollen in replacement of true male plants.</w:t>
      </w:r>
    </w:p>
    <w:p w14:paraId="63EEAF63" w14:textId="77777777" w:rsidR="00272CE9" w:rsidRDefault="00272CE9" w:rsidP="00272CE9">
      <w:pPr>
        <w:pStyle w:val="1"/>
        <w:rPr>
          <w:rFonts w:eastAsia="PMingLiU"/>
        </w:rPr>
      </w:pPr>
      <w:r w:rsidRPr="008D1E1B">
        <w:rPr>
          <w:rFonts w:eastAsia="PMingLiU"/>
          <w:i/>
          <w:iCs/>
        </w:rPr>
        <w:t>Seed</w:t>
      </w:r>
      <w:r w:rsidRPr="008D1E1B">
        <w:rPr>
          <w:rFonts w:eastAsia="Aptos"/>
        </w:rPr>
        <w:t>—</w:t>
      </w:r>
      <w:r w:rsidRPr="008D1E1B">
        <w:rPr>
          <w:rFonts w:eastAsia="PMingLiU"/>
        </w:rPr>
        <w:t>a flowering plant’s unit of reproduction capable of developing into another such plant.</w:t>
      </w:r>
    </w:p>
    <w:p w14:paraId="56CB6246" w14:textId="77777777" w:rsidR="00272CE9" w:rsidRDefault="00272CE9" w:rsidP="00272CE9">
      <w:pPr>
        <w:pStyle w:val="1"/>
        <w:rPr>
          <w:rFonts w:eastAsia="PMingLiU"/>
        </w:rPr>
      </w:pPr>
      <w:r w:rsidRPr="008D1E1B">
        <w:rPr>
          <w:rFonts w:eastAsia="PMingLiU"/>
          <w:i/>
          <w:iCs/>
        </w:rPr>
        <w:t>Seed Parent</w:t>
      </w:r>
      <w:r w:rsidRPr="008D1E1B">
        <w:rPr>
          <w:rFonts w:eastAsia="Aptos"/>
        </w:rPr>
        <w:t>—</w:t>
      </w:r>
      <w:r w:rsidRPr="008D1E1B">
        <w:rPr>
          <w:rFonts w:eastAsia="PMingLiU"/>
        </w:rPr>
        <w:t>female hemp plants used to produce feminized hemp seed.</w:t>
      </w:r>
    </w:p>
    <w:p w14:paraId="5385F431" w14:textId="77777777" w:rsidR="00272CE9" w:rsidRDefault="00272CE9" w:rsidP="00272CE9">
      <w:pPr>
        <w:pStyle w:val="1"/>
        <w:rPr>
          <w:rFonts w:eastAsia="PMingLiU"/>
        </w:rPr>
      </w:pPr>
      <w:r w:rsidRPr="008D1E1B">
        <w:rPr>
          <w:rFonts w:eastAsia="PMingLiU"/>
          <w:i/>
          <w:iCs/>
        </w:rPr>
        <w:t>Sporting Male</w:t>
      </w:r>
      <w:r w:rsidRPr="008D1E1B">
        <w:rPr>
          <w:rFonts w:eastAsia="Aptos"/>
        </w:rPr>
        <w:t>—</w:t>
      </w:r>
      <w:r w:rsidRPr="008D1E1B">
        <w:rPr>
          <w:rFonts w:eastAsia="PMingLiU"/>
        </w:rPr>
        <w:t>is a female hemp plant that produces sterile male flowers.</w:t>
      </w:r>
    </w:p>
    <w:p w14:paraId="54F5D0B2" w14:textId="77777777" w:rsidR="00272CE9" w:rsidRDefault="00272CE9" w:rsidP="00272CE9">
      <w:pPr>
        <w:pStyle w:val="1"/>
        <w:rPr>
          <w:rFonts w:eastAsia="PMingLiU"/>
        </w:rPr>
      </w:pPr>
      <w:r w:rsidRPr="008D1E1B">
        <w:rPr>
          <w:rFonts w:eastAsia="PMingLiU"/>
          <w:i/>
          <w:iCs/>
        </w:rPr>
        <w:t>Structure</w:t>
      </w:r>
      <w:r w:rsidRPr="008D1E1B">
        <w:rPr>
          <w:rFonts w:eastAsia="Aptos"/>
        </w:rPr>
        <w:t>—</w:t>
      </w:r>
      <w:r w:rsidRPr="008D1E1B">
        <w:rPr>
          <w:rFonts w:eastAsia="PMingLiU"/>
        </w:rPr>
        <w:t>an enclosed growth facility.</w:t>
      </w:r>
    </w:p>
    <w:p w14:paraId="75540EC8" w14:textId="77777777" w:rsidR="00272CE9" w:rsidRDefault="00272CE9" w:rsidP="00272CE9">
      <w:pPr>
        <w:pStyle w:val="1"/>
        <w:rPr>
          <w:rFonts w:eastAsia="PMingLiU"/>
        </w:rPr>
      </w:pPr>
      <w:r w:rsidRPr="008D1E1B">
        <w:rPr>
          <w:rFonts w:eastAsia="PMingLiU"/>
          <w:i/>
          <w:iCs/>
        </w:rPr>
        <w:t>THC</w:t>
      </w:r>
      <w:r w:rsidRPr="008D1E1B">
        <w:rPr>
          <w:rFonts w:eastAsia="Aptos"/>
        </w:rPr>
        <w:t>—</w:t>
      </w:r>
      <w:r w:rsidRPr="008D1E1B">
        <w:rPr>
          <w:rFonts w:eastAsia="PMingLiU"/>
        </w:rPr>
        <w:t>total delta-nine (Δ9) tetrahydrocannabinol, which is the component of hemp regulated by federal or local regulatory authorities.</w:t>
      </w:r>
    </w:p>
    <w:p w14:paraId="34C811DB" w14:textId="77777777" w:rsidR="00272CE9" w:rsidRDefault="00272CE9" w:rsidP="00272CE9">
      <w:pPr>
        <w:pStyle w:val="1"/>
        <w:rPr>
          <w:rFonts w:eastAsia="PMingLiU"/>
        </w:rPr>
      </w:pPr>
      <w:r w:rsidRPr="008D1E1B">
        <w:rPr>
          <w:rFonts w:eastAsia="PMingLiU"/>
          <w:i/>
          <w:iCs/>
        </w:rPr>
        <w:t>Transplants</w:t>
      </w:r>
      <w:r w:rsidRPr="008D1E1B">
        <w:rPr>
          <w:rFonts w:eastAsia="Aptos"/>
        </w:rPr>
        <w:t>—</w:t>
      </w:r>
      <w:r w:rsidRPr="008D1E1B">
        <w:rPr>
          <w:rFonts w:eastAsia="PMingLiU"/>
        </w:rPr>
        <w:t>hemp plants produced from seeds or vegetatively from cuttings, prior to stock plant flowering.</w:t>
      </w:r>
    </w:p>
    <w:p w14:paraId="7A61DA7E" w14:textId="77777777" w:rsidR="00272CE9" w:rsidRDefault="00272CE9" w:rsidP="00272CE9">
      <w:pPr>
        <w:pStyle w:val="1"/>
        <w:rPr>
          <w:rFonts w:eastAsia="PMingLiU"/>
        </w:rPr>
      </w:pPr>
      <w:r w:rsidRPr="008D1E1B">
        <w:rPr>
          <w:rFonts w:eastAsia="PMingLiU"/>
          <w:i/>
          <w:iCs/>
        </w:rPr>
        <w:t>Variety</w:t>
      </w:r>
      <w:r w:rsidRPr="008D1E1B">
        <w:rPr>
          <w:rFonts w:eastAsia="Aptos"/>
        </w:rPr>
        <w:t>—</w:t>
      </w:r>
      <w:r w:rsidRPr="008D1E1B">
        <w:rPr>
          <w:rFonts w:eastAsia="PMingLiU"/>
        </w:rPr>
        <w:t>a subdivision of a kind that is distinct, uniform, and stable; "distinct" in the sense that the variety can be differentiated by one or more identifiable morphological, physiological, or other characteristics from all other varieties of public knowledge; "uniform" in the sense that variations in essential and distinctive characteristics are describable; and "stable" in the sense that the variety will remain unchanged in its essential and distinctive characteristics and its uniformity when reproduced or reconstituted as required by the different categories of varieties.</w:t>
      </w:r>
    </w:p>
    <w:p w14:paraId="17080F1C" w14:textId="77777777" w:rsidR="00272CE9" w:rsidRDefault="00272CE9" w:rsidP="00272CE9">
      <w:pPr>
        <w:pStyle w:val="1"/>
        <w:rPr>
          <w:rFonts w:eastAsia="PMingLiU"/>
        </w:rPr>
      </w:pPr>
      <w:r w:rsidRPr="008D1E1B">
        <w:rPr>
          <w:rFonts w:eastAsia="PMingLiU"/>
          <w:i/>
          <w:iCs/>
        </w:rPr>
        <w:t xml:space="preserve">Volunteer </w:t>
      </w:r>
      <w:r>
        <w:rPr>
          <w:rFonts w:eastAsia="PMingLiU"/>
          <w:i/>
          <w:iCs/>
        </w:rPr>
        <w:t>P</w:t>
      </w:r>
      <w:r w:rsidRPr="008D1E1B">
        <w:rPr>
          <w:rFonts w:eastAsia="PMingLiU"/>
          <w:i/>
          <w:iCs/>
        </w:rPr>
        <w:t>lant</w:t>
      </w:r>
      <w:r w:rsidRPr="008D1E1B">
        <w:rPr>
          <w:rFonts w:eastAsia="Aptos"/>
        </w:rPr>
        <w:t>—</w:t>
      </w:r>
      <w:r w:rsidRPr="008D1E1B">
        <w:rPr>
          <w:rFonts w:eastAsia="PMingLiU"/>
        </w:rPr>
        <w:t>a hemp plant that was not intentionally planted and is the result from a previous crop.</w:t>
      </w:r>
    </w:p>
    <w:p w14:paraId="2B38580D" w14:textId="77777777" w:rsidR="00272CE9" w:rsidRDefault="00272CE9" w:rsidP="00272CE9">
      <w:pPr>
        <w:pStyle w:val="A"/>
        <w:rPr>
          <w:rFonts w:eastAsia="PMingLiU"/>
        </w:rPr>
      </w:pPr>
      <w:r w:rsidRPr="008D1E1B">
        <w:lastRenderedPageBreak/>
        <w:t>C.</w:t>
      </w:r>
      <w:r w:rsidRPr="008D1E1B">
        <w:tab/>
        <w:t>General Certification Standards for Hemp Seed, Feminized Hemp Seed, Vegetatively Propagated Hemp and Hemp Transplants</w:t>
      </w:r>
    </w:p>
    <w:p w14:paraId="2B96AB03" w14:textId="77777777" w:rsidR="00272CE9" w:rsidRDefault="00272CE9" w:rsidP="00272CE9">
      <w:pPr>
        <w:pStyle w:val="1"/>
        <w:rPr>
          <w:rFonts w:eastAsia="PMingLiU"/>
        </w:rPr>
      </w:pPr>
      <w:r w:rsidRPr="008D1E1B">
        <w:rPr>
          <w:rFonts w:eastAsia="PMingLiU"/>
        </w:rPr>
        <w:t>1.</w:t>
      </w:r>
      <w:r w:rsidRPr="008D1E1B">
        <w:rPr>
          <w:rFonts w:eastAsia="PMingLiU"/>
        </w:rPr>
        <w:tab/>
        <w:t>All certified production of hemp crops is subject to license application approval that may be required by LDAF or other regulatory authority.</w:t>
      </w:r>
    </w:p>
    <w:p w14:paraId="4E2B6615" w14:textId="77777777" w:rsidR="00272CE9" w:rsidRDefault="00272CE9" w:rsidP="00272CE9">
      <w:pPr>
        <w:pStyle w:val="1"/>
        <w:rPr>
          <w:rFonts w:eastAsia="PMingLiU"/>
        </w:rPr>
      </w:pPr>
      <w:r w:rsidRPr="008D1E1B">
        <w:rPr>
          <w:rFonts w:eastAsia="PMingLiU"/>
        </w:rPr>
        <w:t>2.</w:t>
      </w:r>
      <w:r w:rsidRPr="008D1E1B">
        <w:rPr>
          <w:rFonts w:eastAsia="PMingLiU"/>
        </w:rPr>
        <w:tab/>
        <w:t>Growers must meet all applicable state and federal hemp regulations and requirements.</w:t>
      </w:r>
    </w:p>
    <w:p w14:paraId="71F82538" w14:textId="77777777" w:rsidR="00272CE9" w:rsidRDefault="00272CE9" w:rsidP="00272CE9">
      <w:pPr>
        <w:pStyle w:val="1"/>
        <w:rPr>
          <w:rFonts w:eastAsia="PMingLiU"/>
        </w:rPr>
      </w:pPr>
      <w:r w:rsidRPr="008D1E1B">
        <w:rPr>
          <w:rFonts w:eastAsia="PMingLiU"/>
        </w:rPr>
        <w:t>3.</w:t>
      </w:r>
      <w:r w:rsidRPr="008D1E1B">
        <w:rPr>
          <w:rFonts w:eastAsia="PMingLiU"/>
        </w:rPr>
        <w:tab/>
        <w:t>Only varieties of hemp approved by LDAF are eligible for certification.</w:t>
      </w:r>
    </w:p>
    <w:p w14:paraId="57B8BD45" w14:textId="77777777" w:rsidR="00272CE9" w:rsidRDefault="00272CE9" w:rsidP="00272CE9">
      <w:pPr>
        <w:pStyle w:val="1"/>
        <w:rPr>
          <w:rFonts w:eastAsia="PMingLiU"/>
        </w:rPr>
      </w:pPr>
      <w:r w:rsidRPr="008D1E1B">
        <w:rPr>
          <w:rFonts w:eastAsia="PMingLiU"/>
        </w:rPr>
        <w:t>4.</w:t>
      </w:r>
      <w:r w:rsidRPr="008D1E1B">
        <w:rPr>
          <w:rFonts w:eastAsia="PMingLiU"/>
        </w:rPr>
        <w:tab/>
        <w:t>The allowable area of certified hemp production shall be determined by LDAF.</w:t>
      </w:r>
    </w:p>
    <w:p w14:paraId="6541D781" w14:textId="77777777" w:rsidR="00272CE9" w:rsidRDefault="00272CE9" w:rsidP="00272CE9">
      <w:pPr>
        <w:pStyle w:val="1"/>
        <w:rPr>
          <w:rFonts w:eastAsia="PMingLiU"/>
        </w:rPr>
      </w:pPr>
      <w:r w:rsidRPr="008D1E1B">
        <w:rPr>
          <w:rFonts w:eastAsia="PMingLiU"/>
        </w:rPr>
        <w:t>5.</w:t>
      </w:r>
      <w:r w:rsidRPr="008D1E1B">
        <w:rPr>
          <w:rFonts w:eastAsia="PMingLiU"/>
        </w:rPr>
        <w:tab/>
        <w:t>Growers may be required to obtain additional tests and submit results to LDAF before the seed can be certified.</w:t>
      </w:r>
    </w:p>
    <w:p w14:paraId="29F56F18" w14:textId="77777777" w:rsidR="00272CE9" w:rsidRDefault="00272CE9" w:rsidP="00272CE9">
      <w:pPr>
        <w:pStyle w:val="1"/>
        <w:rPr>
          <w:rFonts w:eastAsia="PMingLiU"/>
        </w:rPr>
      </w:pPr>
      <w:r w:rsidRPr="008D1E1B">
        <w:rPr>
          <w:rFonts w:eastAsia="PMingLiU"/>
        </w:rPr>
        <w:t>6.</w:t>
      </w:r>
      <w:r w:rsidRPr="008D1E1B">
        <w:rPr>
          <w:rFonts w:eastAsia="PMingLiU"/>
        </w:rPr>
        <w:tab/>
        <w:t>The presence of Broomrape (</w:t>
      </w:r>
      <w:r w:rsidRPr="008D1E1B">
        <w:rPr>
          <w:rFonts w:eastAsia="PMingLiU"/>
          <w:i/>
          <w:iCs/>
        </w:rPr>
        <w:t>Orobanche</w:t>
      </w:r>
      <w:r w:rsidRPr="008D1E1B">
        <w:rPr>
          <w:rFonts w:eastAsia="PMingLiU"/>
        </w:rPr>
        <w:t xml:space="preserve"> </w:t>
      </w:r>
      <w:r w:rsidRPr="008D1E1B">
        <w:rPr>
          <w:rFonts w:eastAsia="PMingLiU"/>
          <w:i/>
          <w:iCs/>
        </w:rPr>
        <w:t>spp</w:t>
      </w:r>
      <w:r w:rsidRPr="008D1E1B">
        <w:rPr>
          <w:rFonts w:eastAsia="PMingLiU"/>
        </w:rPr>
        <w:t>.) is prohibited in all certified hemp crops and shall be cause for rejection of certified status.</w:t>
      </w:r>
    </w:p>
    <w:p w14:paraId="47B3AF87" w14:textId="77777777" w:rsidR="00272CE9" w:rsidRDefault="00272CE9" w:rsidP="00272CE9">
      <w:pPr>
        <w:pStyle w:val="1"/>
        <w:rPr>
          <w:rFonts w:eastAsia="PMingLiU"/>
        </w:rPr>
      </w:pPr>
      <w:r w:rsidRPr="008D1E1B">
        <w:rPr>
          <w:rFonts w:eastAsia="PMingLiU"/>
        </w:rPr>
        <w:t>7.</w:t>
      </w:r>
      <w:r w:rsidRPr="008D1E1B">
        <w:rPr>
          <w:rFonts w:eastAsia="PMingLiU"/>
        </w:rPr>
        <w:tab/>
        <w:t>Excessive</w:t>
      </w:r>
      <w:r w:rsidRPr="008D1E1B">
        <w:t xml:space="preserve"> weeds obscuring required inspections or any other condition which prevents thorough inspection shall be cause for rejection.</w:t>
      </w:r>
    </w:p>
    <w:p w14:paraId="5361B6A4" w14:textId="77777777" w:rsidR="00272CE9" w:rsidRDefault="00272CE9" w:rsidP="00272CE9">
      <w:pPr>
        <w:pStyle w:val="1"/>
        <w:rPr>
          <w:rFonts w:eastAsia="PMingLiU"/>
        </w:rPr>
      </w:pPr>
      <w:r w:rsidRPr="008D1E1B">
        <w:rPr>
          <w:rFonts w:eastAsia="PMingLiU"/>
        </w:rPr>
        <w:t>8.</w:t>
      </w:r>
      <w:r w:rsidRPr="008D1E1B">
        <w:rPr>
          <w:rFonts w:eastAsia="PMingLiU"/>
        </w:rPr>
        <w:tab/>
      </w:r>
      <w:r w:rsidRPr="008D1E1B">
        <w:t xml:space="preserve">Seed coated or pelleted by non-approved conditioners shall not be eligible for </w:t>
      </w:r>
      <w:r w:rsidRPr="008D1E1B">
        <w:rPr>
          <w:rFonts w:eastAsia="PMingLiU"/>
        </w:rPr>
        <w:t>certification</w:t>
      </w:r>
      <w:r w:rsidRPr="008D1E1B">
        <w:t>.</w:t>
      </w:r>
    </w:p>
    <w:p w14:paraId="66A8A14B" w14:textId="77777777" w:rsidR="00272CE9" w:rsidRPr="008D1E1B" w:rsidRDefault="00272CE9" w:rsidP="00272CE9">
      <w:pPr>
        <w:pStyle w:val="AuthorityNote"/>
      </w:pPr>
      <w:bookmarkStart w:id="1270" w:name="_Hlk202965921"/>
      <w:r w:rsidRPr="008D1E1B">
        <w:t>AUTHORITY NOTE:</w:t>
      </w:r>
      <w:r w:rsidRPr="008D1E1B">
        <w:tab/>
        <w:t>Promulgated in accordance with R.S. 3:1433.</w:t>
      </w:r>
    </w:p>
    <w:p w14:paraId="6E40B3C7" w14:textId="77777777" w:rsidR="00272CE9" w:rsidRDefault="00272CE9" w:rsidP="00272CE9">
      <w:pPr>
        <w:pStyle w:val="HistoricalNote"/>
      </w:pPr>
      <w:r w:rsidRPr="008D1E1B">
        <w:t>HISTORICAL NOTE:</w:t>
      </w:r>
      <w:r w:rsidRPr="008D1E1B">
        <w:tab/>
        <w:t xml:space="preserve">Promulgated by the Department of Agriculture and Forestry, Office of Agricultural and Environmental Sciences, Agricultural Chemistry and Seed Commission, </w:t>
      </w:r>
      <w:r>
        <w:t>LR 51:1572 (October 2025).</w:t>
      </w:r>
      <w:bookmarkEnd w:id="1270"/>
    </w:p>
    <w:p w14:paraId="433DCAF6" w14:textId="77777777" w:rsidR="00272CE9" w:rsidRDefault="00272CE9" w:rsidP="00272CE9">
      <w:pPr>
        <w:pStyle w:val="Section"/>
      </w:pPr>
      <w:bookmarkStart w:id="1271" w:name="_Toc224818854"/>
      <w:r w:rsidRPr="008D1E1B">
        <w:t>§</w:t>
      </w:r>
      <w:r w:rsidRPr="008D1E1B">
        <w:rPr>
          <w:spacing w:val="-1"/>
        </w:rPr>
        <w:t>1203.</w:t>
      </w:r>
      <w:r w:rsidRPr="008D1E1B">
        <w:rPr>
          <w:spacing w:val="-1"/>
        </w:rPr>
        <w:tab/>
      </w:r>
      <w:r w:rsidRPr="008D1E1B">
        <w:t>Hemp Seed Certification Standards</w:t>
      </w:r>
      <w:bookmarkEnd w:id="1271"/>
    </w:p>
    <w:p w14:paraId="34A007F9" w14:textId="77777777" w:rsidR="00272CE9" w:rsidRDefault="00272CE9" w:rsidP="00272CE9">
      <w:pPr>
        <w:pStyle w:val="A"/>
        <w:rPr>
          <w:bCs/>
        </w:rPr>
      </w:pPr>
      <w:r w:rsidRPr="008D1E1B">
        <w:rPr>
          <w:rFonts w:eastAsia="PMingLiU"/>
        </w:rPr>
        <w:t>A.</w:t>
      </w:r>
      <w:r w:rsidRPr="008D1E1B">
        <w:rPr>
          <w:rFonts w:eastAsia="PMingLiU"/>
        </w:rPr>
        <w:tab/>
        <w:t>Land Requirements</w:t>
      </w:r>
    </w:p>
    <w:p w14:paraId="7A5EB5AB" w14:textId="77777777" w:rsidR="00272CE9" w:rsidRDefault="00272CE9" w:rsidP="00272CE9">
      <w:pPr>
        <w:pStyle w:val="1"/>
        <w:rPr>
          <w:bCs/>
        </w:rPr>
      </w:pPr>
      <w:r w:rsidRPr="008D1E1B">
        <w:rPr>
          <w:rFonts w:eastAsia="PMingLiU"/>
        </w:rPr>
        <w:t>1.</w:t>
      </w:r>
      <w:r w:rsidRPr="008D1E1B">
        <w:rPr>
          <w:rFonts w:eastAsia="PMingLiU"/>
        </w:rPr>
        <w:tab/>
        <w:t>Hemp crops for Foundation and Registered classes shall not be grown on land which produced a hemp crop in any of the preceding 3 years.</w:t>
      </w:r>
    </w:p>
    <w:p w14:paraId="1E6C55A3" w14:textId="77777777" w:rsidR="00272CE9" w:rsidRDefault="00272CE9" w:rsidP="00272CE9">
      <w:pPr>
        <w:pStyle w:val="1"/>
        <w:rPr>
          <w:bCs/>
        </w:rPr>
      </w:pPr>
      <w:r w:rsidRPr="008D1E1B">
        <w:t>2.</w:t>
      </w:r>
      <w:r w:rsidRPr="008D1E1B">
        <w:tab/>
      </w:r>
      <w:r w:rsidRPr="008D1E1B">
        <w:rPr>
          <w:rFonts w:eastAsia="PMingLiU"/>
        </w:rPr>
        <w:t xml:space="preserve">Hemp crops for </w:t>
      </w:r>
      <w:r>
        <w:rPr>
          <w:rFonts w:eastAsia="PMingLiU"/>
        </w:rPr>
        <w:t>c</w:t>
      </w:r>
      <w:r w:rsidRPr="008D1E1B">
        <w:rPr>
          <w:rFonts w:eastAsia="PMingLiU"/>
        </w:rPr>
        <w:t>ertified class shall not be grown on land which:</w:t>
      </w:r>
    </w:p>
    <w:p w14:paraId="3D1E1313" w14:textId="77777777" w:rsidR="00272CE9" w:rsidRDefault="00272CE9" w:rsidP="00272CE9">
      <w:pPr>
        <w:pStyle w:val="i0"/>
        <w:rPr>
          <w:bCs/>
        </w:rPr>
      </w:pPr>
      <w:r>
        <w:tab/>
      </w:r>
      <w:r w:rsidRPr="008D1E1B">
        <w:t>i.</w:t>
      </w:r>
      <w:r w:rsidRPr="008D1E1B">
        <w:tab/>
      </w:r>
      <w:r w:rsidRPr="008D1E1B">
        <w:rPr>
          <w:rFonts w:eastAsia="PMingLiU"/>
        </w:rPr>
        <w:t>Produced a certified crop of the same variety in the preceding year.</w:t>
      </w:r>
    </w:p>
    <w:p w14:paraId="45CE96F8" w14:textId="77777777" w:rsidR="00272CE9" w:rsidRDefault="00272CE9" w:rsidP="00272CE9">
      <w:pPr>
        <w:pStyle w:val="i0"/>
        <w:rPr>
          <w:bCs/>
        </w:rPr>
      </w:pPr>
      <w:r>
        <w:tab/>
      </w:r>
      <w:r w:rsidRPr="008D1E1B">
        <w:t>ii.</w:t>
      </w:r>
      <w:r w:rsidRPr="008D1E1B">
        <w:rPr>
          <w:rFonts w:eastAsia="PMingLiU"/>
        </w:rPr>
        <w:tab/>
        <w:t>Produced a non-certified crop of hemp or a different variety of hemp in either of the preceding 2 years.</w:t>
      </w:r>
    </w:p>
    <w:p w14:paraId="2182847C" w14:textId="77777777" w:rsidR="00272CE9" w:rsidRDefault="00272CE9" w:rsidP="00272CE9">
      <w:pPr>
        <w:pStyle w:val="1"/>
        <w:rPr>
          <w:bCs/>
        </w:rPr>
      </w:pPr>
      <w:r>
        <w:rPr>
          <w:rFonts w:eastAsia="PMingLiU"/>
        </w:rPr>
        <w:t>3</w:t>
      </w:r>
      <w:r w:rsidRPr="008D1E1B">
        <w:rPr>
          <w:rFonts w:eastAsia="PMingLiU"/>
        </w:rPr>
        <w:t>.</w:t>
      </w:r>
      <w:r w:rsidRPr="008D1E1B">
        <w:rPr>
          <w:rFonts w:eastAsia="PMingLiU"/>
        </w:rPr>
        <w:tab/>
        <w:t>Inspections</w:t>
      </w:r>
    </w:p>
    <w:p w14:paraId="27213B1A" w14:textId="77777777" w:rsidR="00272CE9" w:rsidRDefault="00272CE9" w:rsidP="00272CE9">
      <w:pPr>
        <w:pStyle w:val="a0"/>
        <w:rPr>
          <w:bCs/>
        </w:rPr>
      </w:pPr>
      <w:r w:rsidRPr="008D1E1B">
        <w:t>a.</w:t>
      </w:r>
      <w:r w:rsidRPr="008D1E1B">
        <w:tab/>
      </w:r>
      <w:r w:rsidRPr="008D1E1B">
        <w:rPr>
          <w:rFonts w:eastAsia="PMingLiU"/>
        </w:rPr>
        <w:t>LDAF will inspect fields at a stage of growth when varietal purity is best determined. Crops not inspected at the proper stage for best determining varietal purity may be cause for rejection of certified status.</w:t>
      </w:r>
    </w:p>
    <w:p w14:paraId="40E514CF" w14:textId="77777777" w:rsidR="00272CE9" w:rsidRPr="008D1E1B" w:rsidRDefault="00272CE9" w:rsidP="00272CE9">
      <w:pPr>
        <w:pStyle w:val="a0"/>
        <w:rPr>
          <w:bCs/>
        </w:rPr>
      </w:pPr>
      <w:r w:rsidRPr="008D1E1B">
        <w:t>b.</w:t>
      </w:r>
      <w:r w:rsidRPr="008D1E1B">
        <w:tab/>
      </w:r>
      <w:r w:rsidRPr="008D1E1B">
        <w:rPr>
          <w:rFonts w:eastAsia="PMingLiU"/>
        </w:rPr>
        <w:t>LDAF will perform a minimum of two inspections on monoecious types and unisexual hybrids. The first inspection for all classes of monoecious types shall be made just before or at the early flowering stage.</w:t>
      </w:r>
    </w:p>
    <w:p w14:paraId="2F5C242A" w14:textId="77777777" w:rsidR="00272CE9" w:rsidRDefault="00272CE9" w:rsidP="00272CE9">
      <w:pPr>
        <w:pStyle w:val="a0"/>
        <w:rPr>
          <w:rFonts w:eastAsia="PMingLiU"/>
        </w:rPr>
      </w:pPr>
      <w:r w:rsidRPr="008D1E1B">
        <w:t>c.</w:t>
      </w:r>
      <w:r w:rsidRPr="008D1E1B">
        <w:tab/>
      </w:r>
      <w:r w:rsidRPr="008D1E1B">
        <w:rPr>
          <w:rFonts w:eastAsia="PMingLiU"/>
        </w:rPr>
        <w:t>LDAF will perform at least one inspection on the Registered and Certified classes of dioecious types. The first inspection for all classes of dioecious types must be made after flowering when male plants are beginning to senesce.</w:t>
      </w:r>
    </w:p>
    <w:p w14:paraId="7CE4265D" w14:textId="77777777" w:rsidR="00272CE9" w:rsidRDefault="00272CE9" w:rsidP="00272CE9">
      <w:pPr>
        <w:pStyle w:val="a0"/>
        <w:rPr>
          <w:bCs/>
        </w:rPr>
      </w:pPr>
      <w:r w:rsidRPr="008D1E1B">
        <w:t>d.</w:t>
      </w:r>
      <w:r w:rsidRPr="008D1E1B">
        <w:tab/>
      </w:r>
      <w:r w:rsidRPr="008D1E1B">
        <w:rPr>
          <w:rFonts w:eastAsia="PMingLiU"/>
        </w:rPr>
        <w:t>The second inspection for monoecious types, unisexual hybrids and Foundation class of dioecious types must be made during seed development.</w:t>
      </w:r>
    </w:p>
    <w:p w14:paraId="57A0A616" w14:textId="77777777" w:rsidR="00272CE9" w:rsidRDefault="00272CE9" w:rsidP="00272CE9">
      <w:pPr>
        <w:pStyle w:val="a0"/>
        <w:rPr>
          <w:bCs/>
        </w:rPr>
      </w:pPr>
      <w:r w:rsidRPr="008D1E1B">
        <w:t>e.</w:t>
      </w:r>
      <w:r w:rsidRPr="008D1E1B">
        <w:tab/>
      </w:r>
      <w:r w:rsidRPr="008D1E1B">
        <w:rPr>
          <w:rFonts w:eastAsia="PMingLiU"/>
        </w:rPr>
        <w:t>The presence of volunteer hemp plants within isolation areas may be cause for rejection of certified status.</w:t>
      </w:r>
    </w:p>
    <w:p w14:paraId="49106DD6" w14:textId="77777777" w:rsidR="00272CE9" w:rsidRDefault="00272CE9" w:rsidP="00272CE9">
      <w:pPr>
        <w:pStyle w:val="1"/>
        <w:rPr>
          <w:bCs/>
        </w:rPr>
      </w:pPr>
      <w:r>
        <w:rPr>
          <w:rFonts w:eastAsia="PMingLiU"/>
        </w:rPr>
        <w:t>4</w:t>
      </w:r>
      <w:r w:rsidRPr="008D1E1B">
        <w:rPr>
          <w:rFonts w:eastAsia="PMingLiU"/>
        </w:rPr>
        <w:t>.</w:t>
      </w:r>
      <w:r w:rsidRPr="008D1E1B">
        <w:rPr>
          <w:rFonts w:eastAsia="PMingLiU"/>
        </w:rPr>
        <w:tab/>
        <w:t>Isolation Requirements</w:t>
      </w:r>
    </w:p>
    <w:p w14:paraId="16528E66" w14:textId="77777777" w:rsidR="00272CE9" w:rsidRDefault="00272CE9" w:rsidP="00272CE9">
      <w:pPr>
        <w:pStyle w:val="a0"/>
        <w:rPr>
          <w:bCs/>
        </w:rPr>
      </w:pPr>
      <w:r w:rsidRPr="008D1E1B">
        <w:t>a.</w:t>
      </w:r>
      <w:r w:rsidRPr="008D1E1B">
        <w:tab/>
      </w:r>
      <w:r w:rsidRPr="008D1E1B">
        <w:rPr>
          <w:rFonts w:eastAsia="PMingLiU"/>
        </w:rPr>
        <w:t xml:space="preserve">There shall not be any </w:t>
      </w:r>
      <w:r w:rsidRPr="008D1E1B">
        <w:rPr>
          <w:rFonts w:eastAsia="PMingLiU"/>
          <w:i/>
          <w:iCs/>
        </w:rPr>
        <w:t>Cannabis sativa</w:t>
      </w:r>
      <w:r w:rsidRPr="008D1E1B">
        <w:rPr>
          <w:rFonts w:eastAsia="PMingLiU"/>
        </w:rPr>
        <w:t xml:space="preserve"> L. plants within the isolation area.</w:t>
      </w:r>
    </w:p>
    <w:p w14:paraId="782DA8DB" w14:textId="77777777" w:rsidR="00272CE9" w:rsidRDefault="00272CE9" w:rsidP="00272CE9">
      <w:pPr>
        <w:pStyle w:val="a0"/>
        <w:rPr>
          <w:rFonts w:eastAsia="PMingLiU"/>
        </w:rPr>
      </w:pPr>
      <w:r w:rsidRPr="008D1E1B">
        <w:t>b.</w:t>
      </w:r>
      <w:r w:rsidRPr="008D1E1B">
        <w:tab/>
      </w:r>
      <w:r w:rsidRPr="008D1E1B">
        <w:rPr>
          <w:rFonts w:eastAsia="PMingLiU"/>
        </w:rPr>
        <w:t>The isolation requirements shall be met prior to flowering and crop inspection.</w:t>
      </w:r>
    </w:p>
    <w:p w14:paraId="0AB3D68B" w14:textId="77777777" w:rsidR="00272CE9" w:rsidRDefault="00272CE9" w:rsidP="00272CE9">
      <w:pPr>
        <w:pStyle w:val="a0"/>
        <w:rPr>
          <w:rFonts w:eastAsia="PMingLiU"/>
        </w:rPr>
      </w:pPr>
    </w:p>
    <w:p w14:paraId="303A4513" w14:textId="77777777" w:rsidR="00272CE9" w:rsidRDefault="00272CE9" w:rsidP="00272CE9">
      <w:pPr>
        <w:keepNext/>
        <w:spacing w:line="185" w:lineRule="exact"/>
        <w:jc w:val="center"/>
        <w:textAlignment w:val="baseline"/>
        <w:sectPr w:rsidR="00272CE9" w:rsidSect="002E0396">
          <w:type w:val="continuous"/>
          <w:pgSz w:w="12240" w:h="15840" w:code="1"/>
          <w:pgMar w:top="720" w:right="864" w:bottom="317"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94"/>
        <w:gridCol w:w="5601"/>
        <w:gridCol w:w="1706"/>
      </w:tblGrid>
      <w:tr w:rsidR="00272CE9" w:rsidRPr="003F0373" w14:paraId="1FB85BB1" w14:textId="77777777" w:rsidTr="002E0396">
        <w:trPr>
          <w:cantSplit/>
          <w:trHeight w:hRule="exact" w:val="432"/>
          <w:tblHeader/>
          <w:jc w:val="center"/>
        </w:trPr>
        <w:tc>
          <w:tcPr>
            <w:tcW w:w="9101" w:type="dxa"/>
            <w:gridSpan w:val="3"/>
            <w:shd w:val="clear" w:color="auto" w:fill="BFBFBF"/>
            <w:vAlign w:val="center"/>
          </w:tcPr>
          <w:p w14:paraId="4678B4AE" w14:textId="77777777" w:rsidR="00272CE9" w:rsidRPr="003F0373" w:rsidRDefault="00272CE9" w:rsidP="002E0396">
            <w:pPr>
              <w:pStyle w:val="Text"/>
              <w:spacing w:line="240" w:lineRule="auto"/>
              <w:jc w:val="center"/>
              <w:rPr>
                <w:b/>
                <w:sz w:val="16"/>
                <w:szCs w:val="16"/>
              </w:rPr>
            </w:pPr>
            <w:r w:rsidRPr="003F0373">
              <w:rPr>
                <w:b/>
                <w:sz w:val="16"/>
                <w:szCs w:val="16"/>
              </w:rPr>
              <w:t>Table 1.</w:t>
            </w:r>
            <w:r>
              <w:rPr>
                <w:b/>
                <w:sz w:val="16"/>
                <w:szCs w:val="16"/>
              </w:rPr>
              <w:tab/>
            </w:r>
            <w:r w:rsidRPr="003F0373">
              <w:rPr>
                <w:b/>
                <w:sz w:val="16"/>
                <w:szCs w:val="16"/>
              </w:rPr>
              <w:t xml:space="preserve">Minimum </w:t>
            </w:r>
            <w:r w:rsidRPr="003F0373">
              <w:rPr>
                <w:rFonts w:eastAsia="PMingLiU"/>
                <w:b/>
                <w:sz w:val="16"/>
                <w:szCs w:val="16"/>
              </w:rPr>
              <w:t>Isolation</w:t>
            </w:r>
            <w:r w:rsidRPr="003F0373">
              <w:rPr>
                <w:b/>
                <w:sz w:val="16"/>
                <w:szCs w:val="16"/>
              </w:rPr>
              <w:t xml:space="preserve"> Distances Required Between Classes of Certified Hemp and Other Hemp Crops</w:t>
            </w:r>
          </w:p>
        </w:tc>
      </w:tr>
      <w:tr w:rsidR="00272CE9" w:rsidRPr="003F0373" w14:paraId="3BC50B94" w14:textId="77777777" w:rsidTr="002E0396">
        <w:trPr>
          <w:cantSplit/>
          <w:trHeight w:hRule="exact" w:val="576"/>
          <w:tblHeader/>
          <w:jc w:val="center"/>
        </w:trPr>
        <w:tc>
          <w:tcPr>
            <w:tcW w:w="1794" w:type="dxa"/>
            <w:shd w:val="clear" w:color="auto" w:fill="BFBFBF"/>
            <w:vAlign w:val="center"/>
          </w:tcPr>
          <w:p w14:paraId="7EA25F07" w14:textId="77777777" w:rsidR="00272CE9" w:rsidRPr="003F0373" w:rsidRDefault="00272CE9" w:rsidP="002E0396">
            <w:pPr>
              <w:keepNext/>
              <w:spacing w:line="185" w:lineRule="exact"/>
              <w:jc w:val="center"/>
              <w:textAlignment w:val="baseline"/>
              <w:rPr>
                <w:b/>
                <w:sz w:val="16"/>
                <w:szCs w:val="16"/>
              </w:rPr>
            </w:pPr>
            <w:r w:rsidRPr="003F0373">
              <w:rPr>
                <w:b/>
                <w:sz w:val="16"/>
                <w:szCs w:val="16"/>
              </w:rPr>
              <w:t>Certified Hemp Crop</w:t>
            </w:r>
          </w:p>
        </w:tc>
        <w:tc>
          <w:tcPr>
            <w:tcW w:w="5601" w:type="dxa"/>
            <w:shd w:val="clear" w:color="auto" w:fill="BFBFBF"/>
            <w:vAlign w:val="center"/>
          </w:tcPr>
          <w:p w14:paraId="3624858E" w14:textId="77777777" w:rsidR="00272CE9" w:rsidRPr="003F0373" w:rsidRDefault="00272CE9" w:rsidP="002E0396">
            <w:pPr>
              <w:keepNext/>
              <w:spacing w:line="185" w:lineRule="exact"/>
              <w:jc w:val="center"/>
              <w:textAlignment w:val="baseline"/>
              <w:rPr>
                <w:b/>
                <w:sz w:val="16"/>
                <w:szCs w:val="16"/>
              </w:rPr>
            </w:pPr>
            <w:r w:rsidRPr="003F0373">
              <w:rPr>
                <w:b/>
                <w:sz w:val="16"/>
                <w:szCs w:val="16"/>
              </w:rPr>
              <w:t>Other Hemp Crops</w:t>
            </w:r>
          </w:p>
        </w:tc>
        <w:tc>
          <w:tcPr>
            <w:tcW w:w="1706" w:type="dxa"/>
            <w:shd w:val="clear" w:color="auto" w:fill="BFBFBF"/>
            <w:vAlign w:val="center"/>
          </w:tcPr>
          <w:p w14:paraId="322475B9" w14:textId="77777777" w:rsidR="00272CE9" w:rsidRPr="003F0373" w:rsidRDefault="00272CE9" w:rsidP="002E0396">
            <w:pPr>
              <w:keepNext/>
              <w:spacing w:before="120" w:line="180" w:lineRule="exact"/>
              <w:jc w:val="center"/>
              <w:textAlignment w:val="baseline"/>
              <w:rPr>
                <w:b/>
                <w:sz w:val="16"/>
                <w:szCs w:val="16"/>
              </w:rPr>
            </w:pPr>
            <w:r w:rsidRPr="003F0373">
              <w:rPr>
                <w:b/>
                <w:sz w:val="16"/>
                <w:szCs w:val="16"/>
              </w:rPr>
              <w:t xml:space="preserve">Isolation Distance </w:t>
            </w:r>
            <w:r w:rsidRPr="003F0373">
              <w:rPr>
                <w:b/>
                <w:sz w:val="16"/>
                <w:szCs w:val="16"/>
              </w:rPr>
              <w:br/>
              <w:t>(feet)</w:t>
            </w:r>
          </w:p>
        </w:tc>
      </w:tr>
      <w:tr w:rsidR="00272CE9" w:rsidRPr="003F0373" w14:paraId="248CCBB0" w14:textId="77777777" w:rsidTr="002E0396">
        <w:trPr>
          <w:cantSplit/>
          <w:trHeight w:hRule="exact" w:val="453"/>
          <w:jc w:val="center"/>
        </w:trPr>
        <w:tc>
          <w:tcPr>
            <w:tcW w:w="1794" w:type="dxa"/>
            <w:vMerge w:val="restart"/>
            <w:vAlign w:val="center"/>
          </w:tcPr>
          <w:p w14:paraId="115A10A6" w14:textId="77777777" w:rsidR="00272CE9" w:rsidRPr="003F0373" w:rsidRDefault="00272CE9" w:rsidP="002E0396">
            <w:pPr>
              <w:spacing w:line="185" w:lineRule="exact"/>
              <w:ind w:left="108"/>
              <w:textAlignment w:val="baseline"/>
              <w:rPr>
                <w:sz w:val="16"/>
                <w:szCs w:val="16"/>
              </w:rPr>
            </w:pPr>
            <w:r w:rsidRPr="003F0373">
              <w:rPr>
                <w:sz w:val="16"/>
                <w:szCs w:val="16"/>
              </w:rPr>
              <w:t>Dioecious type – Foundation</w:t>
            </w:r>
          </w:p>
        </w:tc>
        <w:tc>
          <w:tcPr>
            <w:tcW w:w="5601" w:type="dxa"/>
            <w:vAlign w:val="center"/>
          </w:tcPr>
          <w:p w14:paraId="473D68A7"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Different varieties of Hemp</w:t>
            </w:r>
          </w:p>
          <w:p w14:paraId="19E498ED" w14:textId="77777777" w:rsidR="00272CE9" w:rsidRPr="003F0373" w:rsidRDefault="00272CE9" w:rsidP="002E0396">
            <w:pPr>
              <w:tabs>
                <w:tab w:val="left" w:pos="504"/>
              </w:tabs>
              <w:spacing w:line="186" w:lineRule="exact"/>
              <w:ind w:left="144"/>
              <w:textAlignment w:val="baseline"/>
              <w:rPr>
                <w:sz w:val="16"/>
                <w:szCs w:val="16"/>
              </w:rPr>
            </w:pPr>
            <w:r w:rsidRPr="003F0373">
              <w:rPr>
                <w:sz w:val="16"/>
                <w:szCs w:val="16"/>
              </w:rPr>
              <w:t>-</w:t>
            </w:r>
            <w:r w:rsidRPr="003F0373">
              <w:rPr>
                <w:sz w:val="16"/>
                <w:szCs w:val="16"/>
              </w:rPr>
              <w:tab/>
              <w:t>Non-certified crop of Hemp</w:t>
            </w:r>
          </w:p>
        </w:tc>
        <w:tc>
          <w:tcPr>
            <w:tcW w:w="1706" w:type="dxa"/>
            <w:vAlign w:val="center"/>
          </w:tcPr>
          <w:p w14:paraId="71CB6FCC" w14:textId="77777777" w:rsidR="00272CE9" w:rsidRPr="003F0373" w:rsidRDefault="00272CE9" w:rsidP="002E0396">
            <w:pPr>
              <w:spacing w:line="185" w:lineRule="exact"/>
              <w:jc w:val="center"/>
              <w:textAlignment w:val="baseline"/>
              <w:rPr>
                <w:sz w:val="16"/>
                <w:szCs w:val="16"/>
              </w:rPr>
            </w:pPr>
            <w:r w:rsidRPr="003F0373">
              <w:rPr>
                <w:sz w:val="16"/>
                <w:szCs w:val="16"/>
              </w:rPr>
              <w:t>15,750</w:t>
            </w:r>
          </w:p>
        </w:tc>
      </w:tr>
      <w:tr w:rsidR="00272CE9" w:rsidRPr="003F0373" w14:paraId="220B4D05" w14:textId="77777777" w:rsidTr="002E0396">
        <w:trPr>
          <w:cantSplit/>
          <w:trHeight w:val="20"/>
          <w:jc w:val="center"/>
        </w:trPr>
        <w:tc>
          <w:tcPr>
            <w:tcW w:w="1794" w:type="dxa"/>
            <w:vMerge/>
          </w:tcPr>
          <w:p w14:paraId="486EEC0A" w14:textId="77777777" w:rsidR="00272CE9" w:rsidRPr="003F0373" w:rsidRDefault="00272CE9" w:rsidP="002E0396">
            <w:pPr>
              <w:rPr>
                <w:rFonts w:eastAsia="PMingLiU"/>
                <w:sz w:val="16"/>
                <w:szCs w:val="16"/>
              </w:rPr>
            </w:pPr>
          </w:p>
        </w:tc>
        <w:tc>
          <w:tcPr>
            <w:tcW w:w="5601" w:type="dxa"/>
            <w:vAlign w:val="center"/>
          </w:tcPr>
          <w:p w14:paraId="626211F3" w14:textId="77777777" w:rsidR="00272CE9" w:rsidRPr="003F0373" w:rsidRDefault="00272CE9" w:rsidP="002E0396">
            <w:pPr>
              <w:tabs>
                <w:tab w:val="left" w:pos="504"/>
              </w:tabs>
              <w:spacing w:line="176" w:lineRule="exact"/>
              <w:ind w:left="116"/>
              <w:textAlignment w:val="baseline"/>
              <w:rPr>
                <w:sz w:val="16"/>
                <w:szCs w:val="16"/>
              </w:rPr>
            </w:pPr>
            <w:r w:rsidRPr="003F0373">
              <w:rPr>
                <w:sz w:val="16"/>
                <w:szCs w:val="16"/>
              </w:rPr>
              <w:t>-</w:t>
            </w:r>
            <w:r w:rsidRPr="003F0373">
              <w:rPr>
                <w:sz w:val="16"/>
                <w:szCs w:val="16"/>
              </w:rPr>
              <w:tab/>
              <w:t>Lower certified class seed crop of same variety</w:t>
            </w:r>
          </w:p>
        </w:tc>
        <w:tc>
          <w:tcPr>
            <w:tcW w:w="1706" w:type="dxa"/>
            <w:vAlign w:val="center"/>
          </w:tcPr>
          <w:p w14:paraId="67577AB5" w14:textId="77777777" w:rsidR="00272CE9" w:rsidRPr="003F0373" w:rsidRDefault="00272CE9" w:rsidP="002E0396">
            <w:pPr>
              <w:spacing w:line="185" w:lineRule="exact"/>
              <w:jc w:val="center"/>
              <w:textAlignment w:val="baseline"/>
              <w:rPr>
                <w:sz w:val="16"/>
                <w:szCs w:val="16"/>
              </w:rPr>
            </w:pPr>
            <w:r w:rsidRPr="003F0373">
              <w:rPr>
                <w:sz w:val="16"/>
                <w:szCs w:val="16"/>
              </w:rPr>
              <w:t>6460</w:t>
            </w:r>
          </w:p>
        </w:tc>
      </w:tr>
      <w:tr w:rsidR="00272CE9" w:rsidRPr="003F0373" w14:paraId="73E729E0" w14:textId="77777777" w:rsidTr="002E0396">
        <w:trPr>
          <w:cantSplit/>
          <w:trHeight w:val="20"/>
          <w:jc w:val="center"/>
        </w:trPr>
        <w:tc>
          <w:tcPr>
            <w:tcW w:w="1794" w:type="dxa"/>
            <w:vMerge/>
          </w:tcPr>
          <w:p w14:paraId="2696756F" w14:textId="77777777" w:rsidR="00272CE9" w:rsidRPr="003F0373" w:rsidRDefault="00272CE9" w:rsidP="002E0396">
            <w:pPr>
              <w:rPr>
                <w:rFonts w:eastAsia="PMingLiU"/>
                <w:sz w:val="16"/>
                <w:szCs w:val="16"/>
              </w:rPr>
            </w:pPr>
          </w:p>
        </w:tc>
        <w:tc>
          <w:tcPr>
            <w:tcW w:w="5601" w:type="dxa"/>
            <w:vAlign w:val="center"/>
          </w:tcPr>
          <w:p w14:paraId="7523FB23" w14:textId="77777777" w:rsidR="00272CE9" w:rsidRPr="003F0373" w:rsidRDefault="00272CE9" w:rsidP="002E0396">
            <w:pPr>
              <w:tabs>
                <w:tab w:val="left" w:pos="504"/>
              </w:tabs>
              <w:spacing w:line="181" w:lineRule="exact"/>
              <w:ind w:left="116"/>
              <w:textAlignment w:val="baseline"/>
              <w:rPr>
                <w:sz w:val="16"/>
                <w:szCs w:val="16"/>
              </w:rPr>
            </w:pPr>
            <w:r w:rsidRPr="003F0373">
              <w:rPr>
                <w:sz w:val="16"/>
                <w:szCs w:val="16"/>
              </w:rPr>
              <w:t>-</w:t>
            </w:r>
            <w:r w:rsidRPr="003F0373">
              <w:rPr>
                <w:sz w:val="16"/>
                <w:szCs w:val="16"/>
              </w:rPr>
              <w:tab/>
              <w:t>Same class of certified seed crop of same variety</w:t>
            </w:r>
          </w:p>
        </w:tc>
        <w:tc>
          <w:tcPr>
            <w:tcW w:w="1706" w:type="dxa"/>
            <w:vAlign w:val="center"/>
          </w:tcPr>
          <w:p w14:paraId="0066696D" w14:textId="77777777" w:rsidR="00272CE9" w:rsidRPr="003F0373" w:rsidRDefault="00272CE9" w:rsidP="002E0396">
            <w:pPr>
              <w:spacing w:line="185" w:lineRule="exact"/>
              <w:jc w:val="center"/>
              <w:textAlignment w:val="baseline"/>
              <w:rPr>
                <w:sz w:val="16"/>
                <w:szCs w:val="16"/>
              </w:rPr>
            </w:pPr>
            <w:r w:rsidRPr="003F0373">
              <w:rPr>
                <w:sz w:val="16"/>
                <w:szCs w:val="16"/>
              </w:rPr>
              <w:t>10</w:t>
            </w:r>
          </w:p>
        </w:tc>
      </w:tr>
      <w:tr w:rsidR="00272CE9" w:rsidRPr="003F0373" w14:paraId="36FF14C4" w14:textId="77777777" w:rsidTr="002E0396">
        <w:trPr>
          <w:cantSplit/>
          <w:trHeight w:val="20"/>
          <w:jc w:val="center"/>
        </w:trPr>
        <w:tc>
          <w:tcPr>
            <w:tcW w:w="1794" w:type="dxa"/>
            <w:vMerge w:val="restart"/>
            <w:vAlign w:val="center"/>
          </w:tcPr>
          <w:p w14:paraId="063E67D2" w14:textId="77777777" w:rsidR="00272CE9" w:rsidRPr="003F0373" w:rsidRDefault="00272CE9" w:rsidP="002E0396">
            <w:pPr>
              <w:spacing w:line="185" w:lineRule="exact"/>
              <w:ind w:left="108"/>
              <w:textAlignment w:val="baseline"/>
              <w:rPr>
                <w:sz w:val="16"/>
                <w:szCs w:val="16"/>
              </w:rPr>
            </w:pPr>
            <w:r w:rsidRPr="003F0373">
              <w:rPr>
                <w:sz w:val="16"/>
                <w:szCs w:val="16"/>
              </w:rPr>
              <w:t>Dioecious type – Registered</w:t>
            </w:r>
          </w:p>
        </w:tc>
        <w:tc>
          <w:tcPr>
            <w:tcW w:w="5601" w:type="dxa"/>
            <w:vAlign w:val="center"/>
          </w:tcPr>
          <w:p w14:paraId="2321A54E"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Different varieties of Hemp</w:t>
            </w:r>
          </w:p>
          <w:p w14:paraId="5CCF55C9" w14:textId="77777777" w:rsidR="00272CE9" w:rsidRPr="003F0373" w:rsidRDefault="00272CE9" w:rsidP="002E0396">
            <w:pPr>
              <w:tabs>
                <w:tab w:val="left" w:pos="504"/>
              </w:tabs>
              <w:spacing w:line="181" w:lineRule="exact"/>
              <w:ind w:left="144"/>
              <w:textAlignment w:val="baseline"/>
              <w:rPr>
                <w:sz w:val="16"/>
                <w:szCs w:val="16"/>
              </w:rPr>
            </w:pPr>
            <w:r w:rsidRPr="003F0373">
              <w:rPr>
                <w:sz w:val="16"/>
                <w:szCs w:val="16"/>
              </w:rPr>
              <w:t>-</w:t>
            </w:r>
            <w:r w:rsidRPr="003F0373">
              <w:rPr>
                <w:sz w:val="16"/>
                <w:szCs w:val="16"/>
              </w:rPr>
              <w:tab/>
              <w:t>Non-certified crop of Hemp</w:t>
            </w:r>
          </w:p>
        </w:tc>
        <w:tc>
          <w:tcPr>
            <w:tcW w:w="1706" w:type="dxa"/>
            <w:vAlign w:val="center"/>
          </w:tcPr>
          <w:p w14:paraId="191ADF8E" w14:textId="77777777" w:rsidR="00272CE9" w:rsidRPr="003F0373" w:rsidRDefault="00272CE9" w:rsidP="002E0396">
            <w:pPr>
              <w:spacing w:line="185" w:lineRule="exact"/>
              <w:jc w:val="center"/>
              <w:textAlignment w:val="baseline"/>
              <w:rPr>
                <w:sz w:val="16"/>
                <w:szCs w:val="16"/>
              </w:rPr>
            </w:pPr>
            <w:r w:rsidRPr="003F0373">
              <w:rPr>
                <w:sz w:val="16"/>
                <w:szCs w:val="16"/>
              </w:rPr>
              <w:t>15,750</w:t>
            </w:r>
          </w:p>
        </w:tc>
      </w:tr>
      <w:tr w:rsidR="00272CE9" w:rsidRPr="003F0373" w14:paraId="41191291" w14:textId="77777777" w:rsidTr="002E0396">
        <w:trPr>
          <w:cantSplit/>
          <w:trHeight w:val="20"/>
          <w:jc w:val="center"/>
        </w:trPr>
        <w:tc>
          <w:tcPr>
            <w:tcW w:w="1794" w:type="dxa"/>
            <w:vMerge/>
            <w:vAlign w:val="center"/>
          </w:tcPr>
          <w:p w14:paraId="72CC764C" w14:textId="77777777" w:rsidR="00272CE9" w:rsidRPr="003F0373" w:rsidRDefault="00272CE9" w:rsidP="002E0396">
            <w:pPr>
              <w:rPr>
                <w:rFonts w:eastAsia="PMingLiU"/>
                <w:sz w:val="16"/>
                <w:szCs w:val="16"/>
              </w:rPr>
            </w:pPr>
          </w:p>
        </w:tc>
        <w:tc>
          <w:tcPr>
            <w:tcW w:w="5601" w:type="dxa"/>
            <w:vAlign w:val="center"/>
          </w:tcPr>
          <w:p w14:paraId="28E32C4F"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Seed crop of same variety that meets </w:t>
            </w:r>
            <w:r>
              <w:rPr>
                <w:sz w:val="16"/>
                <w:szCs w:val="16"/>
              </w:rPr>
              <w:t>c</w:t>
            </w:r>
            <w:r w:rsidRPr="003F0373">
              <w:rPr>
                <w:sz w:val="16"/>
                <w:szCs w:val="16"/>
              </w:rPr>
              <w:t>ertified standards for varietal purity</w:t>
            </w:r>
          </w:p>
        </w:tc>
        <w:tc>
          <w:tcPr>
            <w:tcW w:w="1706" w:type="dxa"/>
            <w:vAlign w:val="center"/>
          </w:tcPr>
          <w:p w14:paraId="2E279F5A" w14:textId="77777777" w:rsidR="00272CE9" w:rsidRPr="003F0373" w:rsidRDefault="00272CE9" w:rsidP="002E0396">
            <w:pPr>
              <w:spacing w:line="185" w:lineRule="exact"/>
              <w:jc w:val="center"/>
              <w:textAlignment w:val="baseline"/>
              <w:rPr>
                <w:sz w:val="16"/>
                <w:szCs w:val="16"/>
              </w:rPr>
            </w:pPr>
            <w:r w:rsidRPr="003F0373">
              <w:rPr>
                <w:sz w:val="16"/>
                <w:szCs w:val="16"/>
              </w:rPr>
              <w:t>5250</w:t>
            </w:r>
          </w:p>
        </w:tc>
      </w:tr>
      <w:tr w:rsidR="00272CE9" w:rsidRPr="003F0373" w14:paraId="444A093B" w14:textId="77777777" w:rsidTr="002E0396">
        <w:trPr>
          <w:cantSplit/>
          <w:trHeight w:val="20"/>
          <w:jc w:val="center"/>
        </w:trPr>
        <w:tc>
          <w:tcPr>
            <w:tcW w:w="1794" w:type="dxa"/>
            <w:vMerge/>
            <w:vAlign w:val="center"/>
          </w:tcPr>
          <w:p w14:paraId="79EA1A77" w14:textId="77777777" w:rsidR="00272CE9" w:rsidRPr="003F0373" w:rsidRDefault="00272CE9" w:rsidP="002E0396">
            <w:pPr>
              <w:rPr>
                <w:rFonts w:eastAsia="PMingLiU"/>
                <w:sz w:val="16"/>
                <w:szCs w:val="16"/>
              </w:rPr>
            </w:pPr>
          </w:p>
        </w:tc>
        <w:tc>
          <w:tcPr>
            <w:tcW w:w="5601" w:type="dxa"/>
            <w:vAlign w:val="center"/>
          </w:tcPr>
          <w:p w14:paraId="2506469C" w14:textId="77777777" w:rsidR="00272CE9" w:rsidRPr="003F0373" w:rsidRDefault="00272CE9" w:rsidP="002E0396">
            <w:pPr>
              <w:tabs>
                <w:tab w:val="left" w:pos="504"/>
              </w:tabs>
              <w:spacing w:line="176" w:lineRule="exact"/>
              <w:ind w:left="524" w:hanging="408"/>
              <w:textAlignment w:val="baseline"/>
              <w:rPr>
                <w:sz w:val="16"/>
                <w:szCs w:val="16"/>
              </w:rPr>
            </w:pPr>
            <w:r w:rsidRPr="003F0373">
              <w:rPr>
                <w:sz w:val="16"/>
                <w:szCs w:val="16"/>
              </w:rPr>
              <w:t>-</w:t>
            </w:r>
            <w:r w:rsidRPr="003F0373">
              <w:rPr>
                <w:sz w:val="16"/>
                <w:szCs w:val="16"/>
              </w:rPr>
              <w:tab/>
              <w:t xml:space="preserve">Seed crop of same variety that meets </w:t>
            </w:r>
            <w:r>
              <w:rPr>
                <w:sz w:val="16"/>
                <w:szCs w:val="16"/>
              </w:rPr>
              <w:t>r</w:t>
            </w:r>
            <w:r w:rsidRPr="003F0373">
              <w:rPr>
                <w:sz w:val="16"/>
                <w:szCs w:val="16"/>
              </w:rPr>
              <w:t>egistered standards for varietal purity</w:t>
            </w:r>
          </w:p>
        </w:tc>
        <w:tc>
          <w:tcPr>
            <w:tcW w:w="1706" w:type="dxa"/>
            <w:vAlign w:val="center"/>
          </w:tcPr>
          <w:p w14:paraId="7CCFA06A" w14:textId="77777777" w:rsidR="00272CE9" w:rsidRPr="003F0373" w:rsidRDefault="00272CE9" w:rsidP="002E0396">
            <w:pPr>
              <w:spacing w:line="185" w:lineRule="exact"/>
              <w:jc w:val="center"/>
              <w:textAlignment w:val="baseline"/>
              <w:rPr>
                <w:sz w:val="16"/>
                <w:szCs w:val="16"/>
              </w:rPr>
            </w:pPr>
            <w:r w:rsidRPr="003F0373">
              <w:rPr>
                <w:sz w:val="16"/>
                <w:szCs w:val="16"/>
              </w:rPr>
              <w:t>3</w:t>
            </w:r>
          </w:p>
        </w:tc>
      </w:tr>
      <w:tr w:rsidR="00272CE9" w:rsidRPr="003F0373" w14:paraId="25948B19" w14:textId="77777777" w:rsidTr="002E0396">
        <w:trPr>
          <w:cantSplit/>
          <w:trHeight w:val="20"/>
          <w:jc w:val="center"/>
        </w:trPr>
        <w:tc>
          <w:tcPr>
            <w:tcW w:w="1794" w:type="dxa"/>
            <w:vMerge w:val="restart"/>
            <w:vAlign w:val="center"/>
          </w:tcPr>
          <w:p w14:paraId="6750E6AF" w14:textId="77777777" w:rsidR="00272CE9" w:rsidRPr="003F0373" w:rsidRDefault="00272CE9" w:rsidP="002E0396">
            <w:pPr>
              <w:spacing w:line="185" w:lineRule="exact"/>
              <w:ind w:left="108"/>
              <w:textAlignment w:val="baseline"/>
              <w:rPr>
                <w:sz w:val="16"/>
                <w:szCs w:val="16"/>
              </w:rPr>
            </w:pPr>
            <w:r w:rsidRPr="003F0373">
              <w:rPr>
                <w:sz w:val="16"/>
                <w:szCs w:val="16"/>
              </w:rPr>
              <w:t>Dioecious type – Certified</w:t>
            </w:r>
          </w:p>
        </w:tc>
        <w:tc>
          <w:tcPr>
            <w:tcW w:w="5601" w:type="dxa"/>
            <w:vAlign w:val="center"/>
          </w:tcPr>
          <w:p w14:paraId="25AEC801"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Different varieties of Hemp</w:t>
            </w:r>
          </w:p>
          <w:p w14:paraId="3D3B8E94" w14:textId="77777777" w:rsidR="00272CE9" w:rsidRPr="003F0373" w:rsidRDefault="00272CE9" w:rsidP="002E0396">
            <w:pPr>
              <w:tabs>
                <w:tab w:val="left" w:pos="504"/>
              </w:tabs>
              <w:spacing w:line="190" w:lineRule="exact"/>
              <w:ind w:left="144"/>
              <w:textAlignment w:val="baseline"/>
              <w:rPr>
                <w:sz w:val="16"/>
                <w:szCs w:val="16"/>
              </w:rPr>
            </w:pPr>
            <w:r w:rsidRPr="003F0373">
              <w:rPr>
                <w:sz w:val="16"/>
                <w:szCs w:val="16"/>
              </w:rPr>
              <w:t>-</w:t>
            </w:r>
            <w:r w:rsidRPr="003F0373">
              <w:rPr>
                <w:sz w:val="16"/>
                <w:szCs w:val="16"/>
              </w:rPr>
              <w:tab/>
              <w:t>Non-certified Hemp</w:t>
            </w:r>
          </w:p>
        </w:tc>
        <w:tc>
          <w:tcPr>
            <w:tcW w:w="1706" w:type="dxa"/>
            <w:vAlign w:val="center"/>
          </w:tcPr>
          <w:p w14:paraId="30D990CB" w14:textId="77777777" w:rsidR="00272CE9" w:rsidRPr="003F0373" w:rsidRDefault="00272CE9" w:rsidP="002E0396">
            <w:pPr>
              <w:spacing w:line="185" w:lineRule="exact"/>
              <w:jc w:val="center"/>
              <w:textAlignment w:val="baseline"/>
              <w:rPr>
                <w:sz w:val="16"/>
                <w:szCs w:val="16"/>
              </w:rPr>
            </w:pPr>
            <w:r w:rsidRPr="003F0373">
              <w:rPr>
                <w:sz w:val="16"/>
                <w:szCs w:val="16"/>
              </w:rPr>
              <w:t>2630</w:t>
            </w:r>
          </w:p>
        </w:tc>
      </w:tr>
      <w:tr w:rsidR="00272CE9" w:rsidRPr="003F0373" w14:paraId="049C0081" w14:textId="77777777" w:rsidTr="002E0396">
        <w:trPr>
          <w:cantSplit/>
          <w:trHeight w:val="20"/>
          <w:jc w:val="center"/>
        </w:trPr>
        <w:tc>
          <w:tcPr>
            <w:tcW w:w="1794" w:type="dxa"/>
            <w:vMerge/>
            <w:vAlign w:val="center"/>
          </w:tcPr>
          <w:p w14:paraId="4EA8FF45" w14:textId="77777777" w:rsidR="00272CE9" w:rsidRPr="003F0373" w:rsidRDefault="00272CE9" w:rsidP="002E0396">
            <w:pPr>
              <w:rPr>
                <w:rFonts w:eastAsia="PMingLiU"/>
                <w:sz w:val="16"/>
                <w:szCs w:val="16"/>
              </w:rPr>
            </w:pPr>
          </w:p>
        </w:tc>
        <w:tc>
          <w:tcPr>
            <w:tcW w:w="5601" w:type="dxa"/>
            <w:vAlign w:val="center"/>
          </w:tcPr>
          <w:p w14:paraId="4455D4F4"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Planted with certified seed of the same variety that meets </w:t>
            </w:r>
            <w:r>
              <w:rPr>
                <w:sz w:val="16"/>
                <w:szCs w:val="16"/>
              </w:rPr>
              <w:t>c</w:t>
            </w:r>
            <w:r w:rsidRPr="003F0373">
              <w:rPr>
                <w:sz w:val="16"/>
                <w:szCs w:val="16"/>
              </w:rPr>
              <w:t>ertified standards for varietal purity</w:t>
            </w:r>
          </w:p>
        </w:tc>
        <w:tc>
          <w:tcPr>
            <w:tcW w:w="1706" w:type="dxa"/>
            <w:vAlign w:val="center"/>
          </w:tcPr>
          <w:p w14:paraId="2BD77B25" w14:textId="77777777" w:rsidR="00272CE9" w:rsidRPr="003F0373" w:rsidRDefault="00272CE9" w:rsidP="002E0396">
            <w:pPr>
              <w:spacing w:line="185" w:lineRule="exact"/>
              <w:jc w:val="center"/>
              <w:textAlignment w:val="baseline"/>
              <w:rPr>
                <w:sz w:val="16"/>
                <w:szCs w:val="16"/>
              </w:rPr>
            </w:pPr>
            <w:r w:rsidRPr="003F0373">
              <w:rPr>
                <w:sz w:val="16"/>
                <w:szCs w:val="16"/>
              </w:rPr>
              <w:t>660</w:t>
            </w:r>
          </w:p>
        </w:tc>
      </w:tr>
      <w:tr w:rsidR="00272CE9" w:rsidRPr="003F0373" w14:paraId="470E9BF0" w14:textId="77777777" w:rsidTr="002E0396">
        <w:trPr>
          <w:cantSplit/>
          <w:trHeight w:val="20"/>
          <w:jc w:val="center"/>
        </w:trPr>
        <w:tc>
          <w:tcPr>
            <w:tcW w:w="1794" w:type="dxa"/>
            <w:vMerge/>
            <w:vAlign w:val="center"/>
          </w:tcPr>
          <w:p w14:paraId="6FCC01F8" w14:textId="77777777" w:rsidR="00272CE9" w:rsidRPr="003F0373" w:rsidRDefault="00272CE9" w:rsidP="002E0396">
            <w:pPr>
              <w:rPr>
                <w:rFonts w:eastAsia="PMingLiU"/>
                <w:sz w:val="16"/>
                <w:szCs w:val="16"/>
              </w:rPr>
            </w:pPr>
          </w:p>
        </w:tc>
        <w:tc>
          <w:tcPr>
            <w:tcW w:w="5601" w:type="dxa"/>
            <w:vAlign w:val="center"/>
          </w:tcPr>
          <w:p w14:paraId="00746E46"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Seed crop of same variety that meets </w:t>
            </w:r>
            <w:r>
              <w:rPr>
                <w:sz w:val="16"/>
                <w:szCs w:val="16"/>
              </w:rPr>
              <w:t>c</w:t>
            </w:r>
            <w:r w:rsidRPr="003F0373">
              <w:rPr>
                <w:sz w:val="16"/>
                <w:szCs w:val="16"/>
              </w:rPr>
              <w:t>ertified standards for varietal purity</w:t>
            </w:r>
          </w:p>
        </w:tc>
        <w:tc>
          <w:tcPr>
            <w:tcW w:w="1706" w:type="dxa"/>
            <w:vAlign w:val="center"/>
          </w:tcPr>
          <w:p w14:paraId="0DB72B8E" w14:textId="77777777" w:rsidR="00272CE9" w:rsidRPr="003F0373" w:rsidRDefault="00272CE9" w:rsidP="002E0396">
            <w:pPr>
              <w:spacing w:line="185" w:lineRule="exact"/>
              <w:jc w:val="center"/>
              <w:textAlignment w:val="baseline"/>
              <w:rPr>
                <w:sz w:val="16"/>
                <w:szCs w:val="16"/>
              </w:rPr>
            </w:pPr>
            <w:r w:rsidRPr="003F0373">
              <w:rPr>
                <w:sz w:val="16"/>
                <w:szCs w:val="16"/>
              </w:rPr>
              <w:t>3</w:t>
            </w:r>
          </w:p>
        </w:tc>
      </w:tr>
      <w:tr w:rsidR="00272CE9" w:rsidRPr="003F0373" w14:paraId="72FB0997" w14:textId="77777777" w:rsidTr="002E0396">
        <w:trPr>
          <w:cantSplit/>
          <w:trHeight w:val="20"/>
          <w:jc w:val="center"/>
        </w:trPr>
        <w:tc>
          <w:tcPr>
            <w:tcW w:w="1794" w:type="dxa"/>
            <w:vMerge w:val="restart"/>
            <w:vAlign w:val="center"/>
          </w:tcPr>
          <w:p w14:paraId="168111C1" w14:textId="77777777" w:rsidR="00272CE9" w:rsidRPr="003F0373" w:rsidRDefault="00272CE9" w:rsidP="002E0396">
            <w:pPr>
              <w:spacing w:line="185" w:lineRule="exact"/>
              <w:ind w:left="108"/>
              <w:textAlignment w:val="baseline"/>
              <w:rPr>
                <w:sz w:val="16"/>
                <w:szCs w:val="16"/>
              </w:rPr>
            </w:pPr>
            <w:r w:rsidRPr="003F0373">
              <w:rPr>
                <w:sz w:val="16"/>
                <w:szCs w:val="16"/>
              </w:rPr>
              <w:t>Monoecious type – Foundation</w:t>
            </w:r>
          </w:p>
        </w:tc>
        <w:tc>
          <w:tcPr>
            <w:tcW w:w="5601" w:type="dxa"/>
            <w:vAlign w:val="center"/>
          </w:tcPr>
          <w:p w14:paraId="7092E6E3"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Dioecious variety of Hemp</w:t>
            </w:r>
          </w:p>
          <w:p w14:paraId="4EB08122" w14:textId="77777777" w:rsidR="00272CE9" w:rsidRPr="003F0373" w:rsidRDefault="00272CE9" w:rsidP="002E0396">
            <w:pPr>
              <w:tabs>
                <w:tab w:val="left" w:pos="504"/>
              </w:tabs>
              <w:spacing w:line="176" w:lineRule="exact"/>
              <w:ind w:left="144"/>
              <w:textAlignment w:val="baseline"/>
              <w:rPr>
                <w:sz w:val="16"/>
                <w:szCs w:val="16"/>
              </w:rPr>
            </w:pPr>
            <w:r w:rsidRPr="003F0373">
              <w:rPr>
                <w:sz w:val="16"/>
                <w:szCs w:val="16"/>
              </w:rPr>
              <w:t>-</w:t>
            </w:r>
            <w:r w:rsidRPr="003F0373">
              <w:rPr>
                <w:sz w:val="16"/>
                <w:szCs w:val="16"/>
              </w:rPr>
              <w:tab/>
              <w:t>Non-certified crop of Hemp</w:t>
            </w:r>
          </w:p>
        </w:tc>
        <w:tc>
          <w:tcPr>
            <w:tcW w:w="1706" w:type="dxa"/>
            <w:vAlign w:val="center"/>
          </w:tcPr>
          <w:p w14:paraId="6456DA21" w14:textId="77777777" w:rsidR="00272CE9" w:rsidRPr="003F0373" w:rsidRDefault="00272CE9" w:rsidP="002E0396">
            <w:pPr>
              <w:spacing w:line="185" w:lineRule="exact"/>
              <w:jc w:val="center"/>
              <w:textAlignment w:val="baseline"/>
              <w:rPr>
                <w:sz w:val="16"/>
                <w:szCs w:val="16"/>
              </w:rPr>
            </w:pPr>
            <w:r w:rsidRPr="003F0373">
              <w:rPr>
                <w:sz w:val="16"/>
                <w:szCs w:val="16"/>
              </w:rPr>
              <w:t>15,750</w:t>
            </w:r>
          </w:p>
        </w:tc>
      </w:tr>
      <w:tr w:rsidR="00272CE9" w:rsidRPr="003F0373" w14:paraId="663BFAC8" w14:textId="77777777" w:rsidTr="002E0396">
        <w:trPr>
          <w:cantSplit/>
          <w:trHeight w:val="20"/>
          <w:jc w:val="center"/>
        </w:trPr>
        <w:tc>
          <w:tcPr>
            <w:tcW w:w="1794" w:type="dxa"/>
            <w:vMerge/>
            <w:vAlign w:val="center"/>
          </w:tcPr>
          <w:p w14:paraId="23ABCB63" w14:textId="77777777" w:rsidR="00272CE9" w:rsidRPr="003F0373" w:rsidRDefault="00272CE9" w:rsidP="002E0396">
            <w:pPr>
              <w:rPr>
                <w:rFonts w:eastAsia="PMingLiU"/>
                <w:sz w:val="16"/>
                <w:szCs w:val="16"/>
              </w:rPr>
            </w:pPr>
          </w:p>
        </w:tc>
        <w:tc>
          <w:tcPr>
            <w:tcW w:w="5601" w:type="dxa"/>
            <w:vAlign w:val="center"/>
          </w:tcPr>
          <w:p w14:paraId="10A64D3D"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Other Monoecious varieties</w:t>
            </w:r>
          </w:p>
          <w:p w14:paraId="56EDE072" w14:textId="77777777" w:rsidR="00272CE9" w:rsidRPr="003F0373" w:rsidRDefault="00272CE9" w:rsidP="002E0396">
            <w:pPr>
              <w:tabs>
                <w:tab w:val="left" w:pos="504"/>
              </w:tabs>
              <w:spacing w:line="185" w:lineRule="exact"/>
              <w:ind w:left="144"/>
              <w:textAlignment w:val="baseline"/>
              <w:rPr>
                <w:sz w:val="16"/>
                <w:szCs w:val="16"/>
              </w:rPr>
            </w:pPr>
            <w:r w:rsidRPr="003F0373">
              <w:rPr>
                <w:sz w:val="16"/>
                <w:szCs w:val="16"/>
              </w:rPr>
              <w:t>-</w:t>
            </w:r>
            <w:r w:rsidRPr="003F0373">
              <w:rPr>
                <w:sz w:val="16"/>
                <w:szCs w:val="16"/>
              </w:rPr>
              <w:tab/>
              <w:t>Lower certified class seed crop of same variety</w:t>
            </w:r>
          </w:p>
        </w:tc>
        <w:tc>
          <w:tcPr>
            <w:tcW w:w="1706" w:type="dxa"/>
            <w:vAlign w:val="center"/>
          </w:tcPr>
          <w:p w14:paraId="7EC85398" w14:textId="77777777" w:rsidR="00272CE9" w:rsidRPr="003F0373" w:rsidRDefault="00272CE9" w:rsidP="002E0396">
            <w:pPr>
              <w:spacing w:line="185" w:lineRule="exact"/>
              <w:jc w:val="center"/>
              <w:textAlignment w:val="baseline"/>
              <w:rPr>
                <w:sz w:val="16"/>
                <w:szCs w:val="16"/>
              </w:rPr>
            </w:pPr>
            <w:r w:rsidRPr="003F0373">
              <w:rPr>
                <w:sz w:val="16"/>
                <w:szCs w:val="16"/>
              </w:rPr>
              <w:t>9690</w:t>
            </w:r>
          </w:p>
        </w:tc>
      </w:tr>
      <w:tr w:rsidR="00272CE9" w:rsidRPr="003F0373" w14:paraId="1D5A38D5" w14:textId="77777777" w:rsidTr="002E0396">
        <w:trPr>
          <w:cantSplit/>
          <w:trHeight w:val="20"/>
          <w:jc w:val="center"/>
        </w:trPr>
        <w:tc>
          <w:tcPr>
            <w:tcW w:w="1794" w:type="dxa"/>
            <w:vMerge/>
            <w:vAlign w:val="center"/>
          </w:tcPr>
          <w:p w14:paraId="2610C192" w14:textId="77777777" w:rsidR="00272CE9" w:rsidRPr="003F0373" w:rsidRDefault="00272CE9" w:rsidP="002E0396">
            <w:pPr>
              <w:rPr>
                <w:rFonts w:eastAsia="PMingLiU"/>
                <w:sz w:val="16"/>
                <w:szCs w:val="16"/>
              </w:rPr>
            </w:pPr>
          </w:p>
        </w:tc>
        <w:tc>
          <w:tcPr>
            <w:tcW w:w="5601" w:type="dxa"/>
            <w:vAlign w:val="center"/>
          </w:tcPr>
          <w:p w14:paraId="6BDEBBA1" w14:textId="77777777" w:rsidR="00272CE9" w:rsidRPr="003F0373" w:rsidRDefault="00272CE9" w:rsidP="002E0396">
            <w:pPr>
              <w:tabs>
                <w:tab w:val="left" w:pos="504"/>
              </w:tabs>
              <w:spacing w:line="171" w:lineRule="exact"/>
              <w:ind w:left="116"/>
              <w:textAlignment w:val="baseline"/>
              <w:rPr>
                <w:sz w:val="16"/>
                <w:szCs w:val="16"/>
              </w:rPr>
            </w:pPr>
            <w:r w:rsidRPr="003F0373">
              <w:rPr>
                <w:sz w:val="16"/>
                <w:szCs w:val="16"/>
              </w:rPr>
              <w:t>-</w:t>
            </w:r>
            <w:r w:rsidRPr="003F0373">
              <w:rPr>
                <w:sz w:val="16"/>
                <w:szCs w:val="16"/>
              </w:rPr>
              <w:tab/>
              <w:t>Same class of certified seed of same variety</w:t>
            </w:r>
          </w:p>
        </w:tc>
        <w:tc>
          <w:tcPr>
            <w:tcW w:w="1706" w:type="dxa"/>
            <w:vAlign w:val="center"/>
          </w:tcPr>
          <w:p w14:paraId="5AD0F52A" w14:textId="77777777" w:rsidR="00272CE9" w:rsidRPr="003F0373" w:rsidRDefault="00272CE9" w:rsidP="002E0396">
            <w:pPr>
              <w:spacing w:line="185" w:lineRule="exact"/>
              <w:jc w:val="center"/>
              <w:textAlignment w:val="baseline"/>
              <w:rPr>
                <w:sz w:val="16"/>
                <w:szCs w:val="16"/>
              </w:rPr>
            </w:pPr>
            <w:r w:rsidRPr="003F0373">
              <w:rPr>
                <w:sz w:val="16"/>
                <w:szCs w:val="16"/>
              </w:rPr>
              <w:t>16</w:t>
            </w:r>
          </w:p>
        </w:tc>
      </w:tr>
      <w:tr w:rsidR="00272CE9" w:rsidRPr="003F0373" w14:paraId="2FA6ECC3" w14:textId="77777777" w:rsidTr="002E0396">
        <w:trPr>
          <w:cantSplit/>
          <w:trHeight w:val="20"/>
          <w:jc w:val="center"/>
        </w:trPr>
        <w:tc>
          <w:tcPr>
            <w:tcW w:w="1794" w:type="dxa"/>
            <w:vMerge w:val="restart"/>
            <w:vAlign w:val="center"/>
          </w:tcPr>
          <w:p w14:paraId="2942FE6D" w14:textId="77777777" w:rsidR="00272CE9" w:rsidRPr="003F0373" w:rsidRDefault="00272CE9" w:rsidP="002E0396">
            <w:pPr>
              <w:spacing w:line="185" w:lineRule="exact"/>
              <w:ind w:left="108"/>
              <w:textAlignment w:val="baseline"/>
              <w:rPr>
                <w:sz w:val="16"/>
                <w:szCs w:val="16"/>
              </w:rPr>
            </w:pPr>
            <w:r w:rsidRPr="003F0373">
              <w:rPr>
                <w:sz w:val="16"/>
                <w:szCs w:val="16"/>
              </w:rPr>
              <w:t>Monoecious type – Registered</w:t>
            </w:r>
          </w:p>
        </w:tc>
        <w:tc>
          <w:tcPr>
            <w:tcW w:w="5601" w:type="dxa"/>
            <w:vAlign w:val="center"/>
          </w:tcPr>
          <w:p w14:paraId="0A27542C"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Dioecious variety of Hemp</w:t>
            </w:r>
          </w:p>
          <w:p w14:paraId="21D4D4C8" w14:textId="77777777" w:rsidR="00272CE9" w:rsidRPr="003F0373" w:rsidRDefault="00272CE9" w:rsidP="002E0396">
            <w:pPr>
              <w:tabs>
                <w:tab w:val="left" w:pos="504"/>
              </w:tabs>
              <w:spacing w:line="185" w:lineRule="exact"/>
              <w:ind w:left="144"/>
              <w:textAlignment w:val="baseline"/>
              <w:rPr>
                <w:sz w:val="16"/>
                <w:szCs w:val="16"/>
              </w:rPr>
            </w:pPr>
            <w:r w:rsidRPr="003F0373">
              <w:rPr>
                <w:sz w:val="16"/>
                <w:szCs w:val="16"/>
              </w:rPr>
              <w:t>-</w:t>
            </w:r>
            <w:r w:rsidRPr="003F0373">
              <w:rPr>
                <w:sz w:val="16"/>
                <w:szCs w:val="16"/>
              </w:rPr>
              <w:tab/>
              <w:t>Non-certified crop of Hemp</w:t>
            </w:r>
          </w:p>
        </w:tc>
        <w:tc>
          <w:tcPr>
            <w:tcW w:w="1706" w:type="dxa"/>
            <w:vAlign w:val="center"/>
          </w:tcPr>
          <w:p w14:paraId="7CF3CA5A" w14:textId="77777777" w:rsidR="00272CE9" w:rsidRPr="003F0373" w:rsidRDefault="00272CE9" w:rsidP="002E0396">
            <w:pPr>
              <w:spacing w:line="185" w:lineRule="exact"/>
              <w:jc w:val="center"/>
              <w:textAlignment w:val="baseline"/>
              <w:rPr>
                <w:sz w:val="16"/>
                <w:szCs w:val="16"/>
              </w:rPr>
            </w:pPr>
            <w:r w:rsidRPr="003F0373">
              <w:rPr>
                <w:sz w:val="16"/>
                <w:szCs w:val="16"/>
              </w:rPr>
              <w:t>15,750</w:t>
            </w:r>
          </w:p>
        </w:tc>
      </w:tr>
      <w:tr w:rsidR="00272CE9" w:rsidRPr="003F0373" w14:paraId="553A75CF" w14:textId="77777777" w:rsidTr="002E0396">
        <w:trPr>
          <w:cantSplit/>
          <w:trHeight w:val="20"/>
          <w:jc w:val="center"/>
        </w:trPr>
        <w:tc>
          <w:tcPr>
            <w:tcW w:w="1794" w:type="dxa"/>
            <w:vMerge/>
            <w:vAlign w:val="center"/>
          </w:tcPr>
          <w:p w14:paraId="31D5B74D" w14:textId="77777777" w:rsidR="00272CE9" w:rsidRPr="003F0373" w:rsidRDefault="00272CE9" w:rsidP="002E0396">
            <w:pPr>
              <w:rPr>
                <w:rFonts w:eastAsia="PMingLiU"/>
                <w:sz w:val="16"/>
                <w:szCs w:val="16"/>
              </w:rPr>
            </w:pPr>
          </w:p>
        </w:tc>
        <w:tc>
          <w:tcPr>
            <w:tcW w:w="5601" w:type="dxa"/>
            <w:vAlign w:val="center"/>
          </w:tcPr>
          <w:p w14:paraId="6EE5E33B"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Different varieties of the same type of Hemp (Monoecious or Female Hybrid)</w:t>
            </w:r>
          </w:p>
        </w:tc>
        <w:tc>
          <w:tcPr>
            <w:tcW w:w="1706" w:type="dxa"/>
            <w:vAlign w:val="center"/>
          </w:tcPr>
          <w:p w14:paraId="044B3B9C" w14:textId="77777777" w:rsidR="00272CE9" w:rsidRPr="003F0373" w:rsidRDefault="00272CE9" w:rsidP="002E0396">
            <w:pPr>
              <w:spacing w:line="185" w:lineRule="exact"/>
              <w:jc w:val="center"/>
              <w:textAlignment w:val="baseline"/>
              <w:rPr>
                <w:sz w:val="16"/>
                <w:szCs w:val="16"/>
              </w:rPr>
            </w:pPr>
            <w:r w:rsidRPr="003F0373">
              <w:rPr>
                <w:sz w:val="16"/>
                <w:szCs w:val="16"/>
              </w:rPr>
              <w:t>6460</w:t>
            </w:r>
          </w:p>
        </w:tc>
      </w:tr>
      <w:tr w:rsidR="00272CE9" w:rsidRPr="003F0373" w14:paraId="2BC7EB0B" w14:textId="77777777" w:rsidTr="002E0396">
        <w:trPr>
          <w:cantSplit/>
          <w:trHeight w:val="20"/>
          <w:jc w:val="center"/>
        </w:trPr>
        <w:tc>
          <w:tcPr>
            <w:tcW w:w="1794" w:type="dxa"/>
            <w:vMerge/>
            <w:vAlign w:val="center"/>
          </w:tcPr>
          <w:p w14:paraId="3EC6717F" w14:textId="77777777" w:rsidR="00272CE9" w:rsidRPr="003F0373" w:rsidRDefault="00272CE9" w:rsidP="002E0396">
            <w:pPr>
              <w:rPr>
                <w:rFonts w:eastAsia="PMingLiU"/>
                <w:sz w:val="16"/>
                <w:szCs w:val="16"/>
              </w:rPr>
            </w:pPr>
          </w:p>
        </w:tc>
        <w:tc>
          <w:tcPr>
            <w:tcW w:w="5601" w:type="dxa"/>
            <w:vAlign w:val="center"/>
          </w:tcPr>
          <w:p w14:paraId="5DFCF32C"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Seed crop of same variety that meets </w:t>
            </w:r>
            <w:r>
              <w:rPr>
                <w:sz w:val="16"/>
                <w:szCs w:val="16"/>
              </w:rPr>
              <w:t>c</w:t>
            </w:r>
            <w:r w:rsidRPr="003F0373">
              <w:rPr>
                <w:sz w:val="16"/>
                <w:szCs w:val="16"/>
              </w:rPr>
              <w:t>ertified standards for varietal purity</w:t>
            </w:r>
          </w:p>
        </w:tc>
        <w:tc>
          <w:tcPr>
            <w:tcW w:w="1706" w:type="dxa"/>
            <w:vAlign w:val="center"/>
          </w:tcPr>
          <w:p w14:paraId="4C09B740" w14:textId="77777777" w:rsidR="00272CE9" w:rsidRPr="003F0373" w:rsidRDefault="00272CE9" w:rsidP="002E0396">
            <w:pPr>
              <w:spacing w:line="185" w:lineRule="exact"/>
              <w:jc w:val="center"/>
              <w:textAlignment w:val="baseline"/>
              <w:rPr>
                <w:sz w:val="16"/>
                <w:szCs w:val="16"/>
              </w:rPr>
            </w:pPr>
            <w:r w:rsidRPr="003F0373">
              <w:rPr>
                <w:sz w:val="16"/>
                <w:szCs w:val="16"/>
              </w:rPr>
              <w:t>3230</w:t>
            </w:r>
          </w:p>
        </w:tc>
      </w:tr>
      <w:tr w:rsidR="00272CE9" w:rsidRPr="003F0373" w14:paraId="281D8750" w14:textId="77777777" w:rsidTr="002E0396">
        <w:trPr>
          <w:cantSplit/>
          <w:trHeight w:val="20"/>
          <w:jc w:val="center"/>
        </w:trPr>
        <w:tc>
          <w:tcPr>
            <w:tcW w:w="1794" w:type="dxa"/>
            <w:vMerge/>
            <w:vAlign w:val="center"/>
          </w:tcPr>
          <w:p w14:paraId="2F90C1D7" w14:textId="77777777" w:rsidR="00272CE9" w:rsidRPr="003F0373" w:rsidRDefault="00272CE9" w:rsidP="002E0396">
            <w:pPr>
              <w:rPr>
                <w:rFonts w:eastAsia="PMingLiU"/>
                <w:sz w:val="16"/>
                <w:szCs w:val="16"/>
              </w:rPr>
            </w:pPr>
          </w:p>
        </w:tc>
        <w:tc>
          <w:tcPr>
            <w:tcW w:w="5601" w:type="dxa"/>
            <w:vAlign w:val="center"/>
          </w:tcPr>
          <w:p w14:paraId="5F691B76"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Seed crop of same variety that meets Registered standards for varietal purity</w:t>
            </w:r>
          </w:p>
        </w:tc>
        <w:tc>
          <w:tcPr>
            <w:tcW w:w="1706" w:type="dxa"/>
            <w:vAlign w:val="center"/>
          </w:tcPr>
          <w:p w14:paraId="5E4F6D36" w14:textId="77777777" w:rsidR="00272CE9" w:rsidRPr="003F0373" w:rsidRDefault="00272CE9" w:rsidP="002E0396">
            <w:pPr>
              <w:spacing w:line="185" w:lineRule="exact"/>
              <w:jc w:val="center"/>
              <w:textAlignment w:val="baseline"/>
              <w:rPr>
                <w:sz w:val="16"/>
                <w:szCs w:val="16"/>
              </w:rPr>
            </w:pPr>
            <w:r w:rsidRPr="003F0373">
              <w:rPr>
                <w:sz w:val="16"/>
                <w:szCs w:val="16"/>
              </w:rPr>
              <w:t>3</w:t>
            </w:r>
          </w:p>
        </w:tc>
      </w:tr>
      <w:tr w:rsidR="00272CE9" w:rsidRPr="003F0373" w14:paraId="22221541" w14:textId="77777777" w:rsidTr="002E0396">
        <w:trPr>
          <w:cantSplit/>
          <w:trHeight w:val="20"/>
          <w:jc w:val="center"/>
        </w:trPr>
        <w:tc>
          <w:tcPr>
            <w:tcW w:w="1794" w:type="dxa"/>
            <w:vMerge w:val="restart"/>
            <w:vAlign w:val="center"/>
          </w:tcPr>
          <w:p w14:paraId="0FDCC19C" w14:textId="77777777" w:rsidR="00272CE9" w:rsidRPr="003F0373" w:rsidRDefault="00272CE9" w:rsidP="002E0396">
            <w:pPr>
              <w:spacing w:line="177" w:lineRule="exact"/>
              <w:ind w:left="108"/>
              <w:textAlignment w:val="baseline"/>
              <w:rPr>
                <w:sz w:val="16"/>
                <w:szCs w:val="16"/>
              </w:rPr>
            </w:pPr>
            <w:r w:rsidRPr="003F0373">
              <w:rPr>
                <w:sz w:val="16"/>
                <w:szCs w:val="16"/>
              </w:rPr>
              <w:t>Monoecious type – Certified</w:t>
            </w:r>
          </w:p>
        </w:tc>
        <w:tc>
          <w:tcPr>
            <w:tcW w:w="5601" w:type="dxa"/>
            <w:vAlign w:val="center"/>
          </w:tcPr>
          <w:p w14:paraId="22FC4455" w14:textId="77777777" w:rsidR="00272CE9" w:rsidRPr="003F0373" w:rsidRDefault="00272CE9" w:rsidP="002E0396">
            <w:pPr>
              <w:tabs>
                <w:tab w:val="left" w:pos="504"/>
              </w:tabs>
              <w:spacing w:line="158" w:lineRule="exact"/>
              <w:ind w:left="144"/>
              <w:textAlignment w:val="baseline"/>
              <w:rPr>
                <w:sz w:val="16"/>
                <w:szCs w:val="16"/>
              </w:rPr>
            </w:pPr>
            <w:r w:rsidRPr="003F0373">
              <w:rPr>
                <w:sz w:val="16"/>
                <w:szCs w:val="16"/>
              </w:rPr>
              <w:t>-</w:t>
            </w:r>
            <w:r w:rsidRPr="003F0373">
              <w:rPr>
                <w:sz w:val="16"/>
                <w:szCs w:val="16"/>
              </w:rPr>
              <w:tab/>
              <w:t>Dioecious variety of Hemp</w:t>
            </w:r>
          </w:p>
          <w:p w14:paraId="42D62F5F" w14:textId="77777777" w:rsidR="00272CE9" w:rsidRPr="003F0373" w:rsidRDefault="00272CE9" w:rsidP="002E0396">
            <w:pPr>
              <w:tabs>
                <w:tab w:val="left" w:pos="504"/>
              </w:tabs>
              <w:spacing w:line="176" w:lineRule="exact"/>
              <w:ind w:left="144"/>
              <w:textAlignment w:val="baseline"/>
              <w:rPr>
                <w:sz w:val="16"/>
                <w:szCs w:val="16"/>
              </w:rPr>
            </w:pPr>
            <w:r w:rsidRPr="003F0373">
              <w:rPr>
                <w:sz w:val="16"/>
                <w:szCs w:val="16"/>
              </w:rPr>
              <w:t>-</w:t>
            </w:r>
            <w:r w:rsidRPr="003F0373">
              <w:rPr>
                <w:sz w:val="16"/>
                <w:szCs w:val="16"/>
              </w:rPr>
              <w:tab/>
              <w:t>Non-certified crop of Hemp</w:t>
            </w:r>
          </w:p>
        </w:tc>
        <w:tc>
          <w:tcPr>
            <w:tcW w:w="1706" w:type="dxa"/>
            <w:vAlign w:val="center"/>
          </w:tcPr>
          <w:p w14:paraId="2DE415B9" w14:textId="77777777" w:rsidR="00272CE9" w:rsidRPr="003F0373" w:rsidRDefault="00272CE9" w:rsidP="002E0396">
            <w:pPr>
              <w:spacing w:line="185" w:lineRule="exact"/>
              <w:jc w:val="center"/>
              <w:textAlignment w:val="baseline"/>
              <w:rPr>
                <w:sz w:val="16"/>
                <w:szCs w:val="16"/>
              </w:rPr>
            </w:pPr>
            <w:r w:rsidRPr="003F0373">
              <w:rPr>
                <w:sz w:val="16"/>
                <w:szCs w:val="16"/>
              </w:rPr>
              <w:t>3230</w:t>
            </w:r>
          </w:p>
        </w:tc>
      </w:tr>
      <w:tr w:rsidR="00272CE9" w:rsidRPr="003F0373" w14:paraId="45398991" w14:textId="77777777" w:rsidTr="002E0396">
        <w:trPr>
          <w:cantSplit/>
          <w:trHeight w:val="20"/>
          <w:jc w:val="center"/>
        </w:trPr>
        <w:tc>
          <w:tcPr>
            <w:tcW w:w="1794" w:type="dxa"/>
            <w:vMerge/>
          </w:tcPr>
          <w:p w14:paraId="10961730" w14:textId="77777777" w:rsidR="00272CE9" w:rsidRPr="003F0373" w:rsidRDefault="00272CE9" w:rsidP="002E0396">
            <w:pPr>
              <w:rPr>
                <w:rFonts w:eastAsia="PMingLiU"/>
                <w:sz w:val="16"/>
                <w:szCs w:val="16"/>
              </w:rPr>
            </w:pPr>
          </w:p>
        </w:tc>
        <w:tc>
          <w:tcPr>
            <w:tcW w:w="5601" w:type="dxa"/>
            <w:vAlign w:val="center"/>
          </w:tcPr>
          <w:p w14:paraId="6904453B"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Different varieties of the same type of Hemp (Monoecious or Female Hybrid)</w:t>
            </w:r>
          </w:p>
          <w:p w14:paraId="63E0DC7F"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Planted with certified seed of the same variety that meets </w:t>
            </w:r>
            <w:r>
              <w:rPr>
                <w:sz w:val="16"/>
                <w:szCs w:val="16"/>
              </w:rPr>
              <w:t>c</w:t>
            </w:r>
            <w:r w:rsidRPr="003F0373">
              <w:rPr>
                <w:sz w:val="16"/>
                <w:szCs w:val="16"/>
              </w:rPr>
              <w:t>ertified standards for varietal purity</w:t>
            </w:r>
          </w:p>
        </w:tc>
        <w:tc>
          <w:tcPr>
            <w:tcW w:w="1706" w:type="dxa"/>
            <w:vAlign w:val="center"/>
          </w:tcPr>
          <w:p w14:paraId="4477DBD6" w14:textId="77777777" w:rsidR="00272CE9" w:rsidRPr="003F0373" w:rsidRDefault="00272CE9" w:rsidP="002E0396">
            <w:pPr>
              <w:spacing w:line="185" w:lineRule="exact"/>
              <w:jc w:val="center"/>
              <w:textAlignment w:val="baseline"/>
              <w:rPr>
                <w:sz w:val="16"/>
                <w:szCs w:val="16"/>
              </w:rPr>
            </w:pPr>
            <w:r w:rsidRPr="003F0373">
              <w:rPr>
                <w:sz w:val="16"/>
                <w:szCs w:val="16"/>
              </w:rPr>
              <w:t>660</w:t>
            </w:r>
          </w:p>
        </w:tc>
      </w:tr>
      <w:tr w:rsidR="00272CE9" w:rsidRPr="003F0373" w14:paraId="075B9725" w14:textId="77777777" w:rsidTr="002E0396">
        <w:trPr>
          <w:cantSplit/>
          <w:trHeight w:val="20"/>
          <w:jc w:val="center"/>
        </w:trPr>
        <w:tc>
          <w:tcPr>
            <w:tcW w:w="1794" w:type="dxa"/>
            <w:vMerge/>
          </w:tcPr>
          <w:p w14:paraId="4B5F5DEF" w14:textId="77777777" w:rsidR="00272CE9" w:rsidRPr="003F0373" w:rsidRDefault="00272CE9" w:rsidP="002E0396">
            <w:pPr>
              <w:rPr>
                <w:rFonts w:eastAsia="PMingLiU"/>
                <w:sz w:val="16"/>
                <w:szCs w:val="16"/>
              </w:rPr>
            </w:pPr>
          </w:p>
        </w:tc>
        <w:tc>
          <w:tcPr>
            <w:tcW w:w="5601" w:type="dxa"/>
            <w:vAlign w:val="center"/>
          </w:tcPr>
          <w:p w14:paraId="24A386FF" w14:textId="77777777" w:rsidR="00272CE9" w:rsidRPr="003F0373" w:rsidRDefault="00272CE9" w:rsidP="002E0396">
            <w:pPr>
              <w:tabs>
                <w:tab w:val="left" w:pos="504"/>
              </w:tabs>
              <w:spacing w:line="185" w:lineRule="exact"/>
              <w:ind w:left="524" w:hanging="360"/>
              <w:textAlignment w:val="baseline"/>
              <w:rPr>
                <w:sz w:val="16"/>
                <w:szCs w:val="16"/>
              </w:rPr>
            </w:pPr>
            <w:r w:rsidRPr="003F0373">
              <w:rPr>
                <w:sz w:val="16"/>
                <w:szCs w:val="16"/>
              </w:rPr>
              <w:t>-</w:t>
            </w:r>
            <w:r w:rsidRPr="003F0373">
              <w:rPr>
                <w:sz w:val="16"/>
                <w:szCs w:val="16"/>
              </w:rPr>
              <w:tab/>
              <w:t xml:space="preserve">Seed crop of same variety that meets </w:t>
            </w:r>
            <w:r>
              <w:rPr>
                <w:sz w:val="16"/>
                <w:szCs w:val="16"/>
              </w:rPr>
              <w:t>c</w:t>
            </w:r>
            <w:r w:rsidRPr="003F0373">
              <w:rPr>
                <w:sz w:val="16"/>
                <w:szCs w:val="16"/>
              </w:rPr>
              <w:t>ertified standards for varietal purity</w:t>
            </w:r>
          </w:p>
        </w:tc>
        <w:tc>
          <w:tcPr>
            <w:tcW w:w="1706" w:type="dxa"/>
            <w:vAlign w:val="center"/>
          </w:tcPr>
          <w:p w14:paraId="307EB111" w14:textId="77777777" w:rsidR="00272CE9" w:rsidRPr="003F0373" w:rsidRDefault="00272CE9" w:rsidP="002E0396">
            <w:pPr>
              <w:spacing w:line="185" w:lineRule="exact"/>
              <w:jc w:val="center"/>
              <w:textAlignment w:val="baseline"/>
              <w:rPr>
                <w:sz w:val="16"/>
                <w:szCs w:val="16"/>
              </w:rPr>
            </w:pPr>
            <w:r w:rsidRPr="003F0373">
              <w:rPr>
                <w:sz w:val="16"/>
                <w:szCs w:val="16"/>
              </w:rPr>
              <w:t>3</w:t>
            </w:r>
          </w:p>
        </w:tc>
      </w:tr>
    </w:tbl>
    <w:p w14:paraId="5FC2223C" w14:textId="77777777" w:rsidR="00272CE9" w:rsidRDefault="00272CE9" w:rsidP="00272CE9">
      <w:pPr>
        <w:pStyle w:val="A"/>
        <w:rPr>
          <w:rFonts w:eastAsia="PMingLiU"/>
        </w:rPr>
      </w:pPr>
    </w:p>
    <w:p w14:paraId="35A82FB0" w14:textId="77777777" w:rsidR="00272CE9" w:rsidRDefault="00272CE9" w:rsidP="00272CE9">
      <w:pPr>
        <w:ind w:left="547" w:hanging="547"/>
        <w:contextualSpacing/>
        <w:rPr>
          <w:rFonts w:eastAsia="PMingLiU"/>
        </w:rPr>
        <w:sectPr w:rsidR="00272CE9" w:rsidSect="002E0396">
          <w:type w:val="continuous"/>
          <w:pgSz w:w="12240" w:h="15840"/>
          <w:pgMar w:top="720" w:right="864" w:bottom="317" w:left="864" w:header="576" w:footer="432" w:gutter="0"/>
          <w:cols w:space="720"/>
          <w:docGrid w:linePitch="272"/>
        </w:sectPr>
      </w:pPr>
    </w:p>
    <w:p w14:paraId="103A4F41" w14:textId="77777777" w:rsidR="00272CE9" w:rsidRDefault="00272CE9" w:rsidP="00272CE9">
      <w:pPr>
        <w:pStyle w:val="1"/>
      </w:pPr>
      <w:r>
        <w:rPr>
          <w:rFonts w:eastAsia="PMingLiU"/>
        </w:rPr>
        <w:t>5</w:t>
      </w:r>
      <w:r w:rsidRPr="008D1E1B">
        <w:rPr>
          <w:rFonts w:eastAsia="PMingLiU"/>
        </w:rPr>
        <w:t>.</w:t>
      </w:r>
      <w:r w:rsidRPr="008D1E1B">
        <w:rPr>
          <w:rFonts w:eastAsia="PMingLiU"/>
        </w:rPr>
        <w:tab/>
        <w:t>Impurity</w:t>
      </w:r>
      <w:r w:rsidRPr="008D1E1B">
        <w:t xml:space="preserve"> </w:t>
      </w:r>
      <w:r w:rsidRPr="008D1E1B">
        <w:rPr>
          <w:rFonts w:eastAsia="PMingLiU"/>
        </w:rPr>
        <w:t>Standards</w:t>
      </w:r>
    </w:p>
    <w:p w14:paraId="27FF1BB3" w14:textId="77777777" w:rsidR="00272CE9" w:rsidRDefault="00272CE9" w:rsidP="00272CE9">
      <w:pPr>
        <w:pStyle w:val="a0"/>
      </w:pPr>
      <w:r w:rsidRPr="008D1E1B">
        <w:t>a.</w:t>
      </w:r>
      <w:r w:rsidRPr="008D1E1B">
        <w:tab/>
      </w:r>
      <w:r w:rsidRPr="008D1E1B">
        <w:rPr>
          <w:rFonts w:eastAsia="PMingLiU"/>
        </w:rPr>
        <w:t>Impurities</w:t>
      </w:r>
      <w:r w:rsidRPr="008D1E1B">
        <w:t xml:space="preserve"> shall be removed by the grower prior to crop inspection.</w:t>
      </w:r>
    </w:p>
    <w:p w14:paraId="00D66684" w14:textId="77777777" w:rsidR="00272CE9" w:rsidRDefault="00272CE9" w:rsidP="00272CE9">
      <w:pPr>
        <w:pStyle w:val="a0"/>
      </w:pPr>
      <w:r w:rsidRPr="008D1E1B">
        <w:t>b.</w:t>
      </w:r>
      <w:r w:rsidRPr="008D1E1B">
        <w:tab/>
        <w:t xml:space="preserve">Any </w:t>
      </w:r>
      <w:r w:rsidRPr="008D1E1B">
        <w:rPr>
          <w:rFonts w:eastAsia="PMingLiU"/>
        </w:rPr>
        <w:t>combination</w:t>
      </w:r>
      <w:r w:rsidRPr="008D1E1B">
        <w:t xml:space="preserve"> of impurities may be cause for rejection of certified status.</w:t>
      </w:r>
    </w:p>
    <w:p w14:paraId="3C278A2E" w14:textId="77777777" w:rsidR="00272CE9" w:rsidRPr="008D1E1B" w:rsidRDefault="00272CE9" w:rsidP="00272CE9">
      <w:pPr>
        <w:pStyle w:val="A"/>
      </w:pPr>
    </w:p>
    <w:tbl>
      <w:tblPr>
        <w:tblW w:w="515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82"/>
        <w:gridCol w:w="1231"/>
        <w:gridCol w:w="2344"/>
      </w:tblGrid>
      <w:tr w:rsidR="00272CE9" w:rsidRPr="00A26A12" w14:paraId="3F27D89D" w14:textId="77777777" w:rsidTr="002E0396">
        <w:trPr>
          <w:cantSplit/>
          <w:trHeight w:hRule="exact" w:val="427"/>
          <w:tblHeader/>
          <w:jc w:val="center"/>
        </w:trPr>
        <w:tc>
          <w:tcPr>
            <w:tcW w:w="5157" w:type="dxa"/>
            <w:gridSpan w:val="3"/>
            <w:shd w:val="clear" w:color="auto" w:fill="BFBFBF"/>
            <w:vAlign w:val="bottom"/>
          </w:tcPr>
          <w:p w14:paraId="53ECD157" w14:textId="77777777" w:rsidR="00272CE9" w:rsidRPr="00914CF4" w:rsidRDefault="00272CE9" w:rsidP="002E0396">
            <w:pPr>
              <w:keepNext/>
              <w:jc w:val="center"/>
              <w:textAlignment w:val="baseline"/>
              <w:rPr>
                <w:b/>
                <w:sz w:val="16"/>
                <w:szCs w:val="16"/>
              </w:rPr>
            </w:pPr>
            <w:r w:rsidRPr="00914CF4">
              <w:rPr>
                <w:b/>
                <w:sz w:val="16"/>
                <w:szCs w:val="16"/>
              </w:rPr>
              <w:t xml:space="preserve">Table 2. Maximum </w:t>
            </w:r>
            <w:r>
              <w:rPr>
                <w:b/>
                <w:sz w:val="16"/>
                <w:szCs w:val="16"/>
              </w:rPr>
              <w:t>N</w:t>
            </w:r>
            <w:r w:rsidRPr="00914CF4">
              <w:rPr>
                <w:b/>
                <w:sz w:val="16"/>
                <w:szCs w:val="16"/>
              </w:rPr>
              <w:t xml:space="preserve">umber of </w:t>
            </w:r>
            <w:r>
              <w:rPr>
                <w:b/>
                <w:sz w:val="16"/>
                <w:szCs w:val="16"/>
              </w:rPr>
              <w:t>I</w:t>
            </w:r>
            <w:r w:rsidRPr="00914CF4">
              <w:rPr>
                <w:b/>
                <w:sz w:val="16"/>
                <w:szCs w:val="16"/>
              </w:rPr>
              <w:t>mpurities Permitted in Approximately 10,000 Plants of the Certified Crop</w:t>
            </w:r>
          </w:p>
        </w:tc>
      </w:tr>
      <w:tr w:rsidR="00272CE9" w:rsidRPr="00A26A12" w14:paraId="3A418414" w14:textId="77777777" w:rsidTr="002E0396">
        <w:trPr>
          <w:cantSplit/>
          <w:trHeight w:hRule="exact" w:val="654"/>
          <w:tblHeader/>
          <w:jc w:val="center"/>
        </w:trPr>
        <w:tc>
          <w:tcPr>
            <w:tcW w:w="1582" w:type="dxa"/>
            <w:vMerge w:val="restart"/>
            <w:shd w:val="clear" w:color="auto" w:fill="BFBFBF"/>
            <w:vAlign w:val="bottom"/>
          </w:tcPr>
          <w:p w14:paraId="76ADC8FD" w14:textId="77777777" w:rsidR="00272CE9" w:rsidRPr="00A26A12" w:rsidRDefault="00272CE9" w:rsidP="002E0396">
            <w:pPr>
              <w:keepNext/>
              <w:jc w:val="center"/>
              <w:textAlignment w:val="baseline"/>
              <w:rPr>
                <w:b/>
                <w:bCs/>
                <w:sz w:val="16"/>
                <w:szCs w:val="16"/>
              </w:rPr>
            </w:pPr>
            <w:r w:rsidRPr="00A26A12">
              <w:rPr>
                <w:b/>
                <w:bCs/>
                <w:sz w:val="16"/>
                <w:szCs w:val="16"/>
              </w:rPr>
              <w:t xml:space="preserve">Type </w:t>
            </w:r>
            <w:r>
              <w:rPr>
                <w:b/>
                <w:bCs/>
                <w:sz w:val="16"/>
                <w:szCs w:val="16"/>
              </w:rPr>
              <w:t>and</w:t>
            </w:r>
            <w:r w:rsidRPr="00A26A12">
              <w:rPr>
                <w:b/>
                <w:bCs/>
                <w:sz w:val="16"/>
                <w:szCs w:val="16"/>
              </w:rPr>
              <w:t xml:space="preserve"> Class</w:t>
            </w:r>
          </w:p>
        </w:tc>
        <w:tc>
          <w:tcPr>
            <w:tcW w:w="3575" w:type="dxa"/>
            <w:gridSpan w:val="2"/>
            <w:shd w:val="clear" w:color="auto" w:fill="BFBFBF"/>
            <w:vAlign w:val="bottom"/>
          </w:tcPr>
          <w:p w14:paraId="04047678" w14:textId="77777777" w:rsidR="00272CE9" w:rsidRPr="00A26A12" w:rsidRDefault="00272CE9" w:rsidP="002E0396">
            <w:pPr>
              <w:keepNext/>
              <w:jc w:val="center"/>
              <w:textAlignment w:val="baseline"/>
              <w:rPr>
                <w:b/>
                <w:sz w:val="16"/>
                <w:szCs w:val="16"/>
              </w:rPr>
            </w:pPr>
            <w:r w:rsidRPr="00A26A12">
              <w:rPr>
                <w:b/>
                <w:sz w:val="16"/>
                <w:szCs w:val="16"/>
              </w:rPr>
              <w:t xml:space="preserve">Maximum Impurity Standards per 10,000 </w:t>
            </w:r>
            <w:r>
              <w:rPr>
                <w:b/>
                <w:sz w:val="16"/>
                <w:szCs w:val="16"/>
              </w:rPr>
              <w:t>P</w:t>
            </w:r>
            <w:r w:rsidRPr="00A26A12">
              <w:rPr>
                <w:b/>
                <w:sz w:val="16"/>
                <w:szCs w:val="16"/>
              </w:rPr>
              <w:t>lants in Hemp Seed Crops</w:t>
            </w:r>
          </w:p>
        </w:tc>
      </w:tr>
      <w:tr w:rsidR="00272CE9" w:rsidRPr="00A26A12" w14:paraId="4F78A3FC" w14:textId="77777777" w:rsidTr="00FD0B0A">
        <w:trPr>
          <w:cantSplit/>
          <w:trHeight w:hRule="exact" w:val="969"/>
          <w:tblHeader/>
          <w:jc w:val="center"/>
        </w:trPr>
        <w:tc>
          <w:tcPr>
            <w:tcW w:w="1582" w:type="dxa"/>
            <w:vMerge/>
            <w:shd w:val="clear" w:color="auto" w:fill="BFBFBF"/>
          </w:tcPr>
          <w:p w14:paraId="7E74CCBA" w14:textId="77777777" w:rsidR="00272CE9" w:rsidRPr="00A26A12" w:rsidRDefault="00272CE9" w:rsidP="002E0396">
            <w:pPr>
              <w:rPr>
                <w:rFonts w:eastAsia="PMingLiU"/>
                <w:b/>
                <w:sz w:val="16"/>
                <w:szCs w:val="16"/>
              </w:rPr>
            </w:pPr>
          </w:p>
        </w:tc>
        <w:tc>
          <w:tcPr>
            <w:tcW w:w="1231" w:type="dxa"/>
            <w:shd w:val="clear" w:color="auto" w:fill="BFBFBF"/>
            <w:vAlign w:val="center"/>
          </w:tcPr>
          <w:p w14:paraId="61DEF720" w14:textId="77777777" w:rsidR="00272CE9" w:rsidRPr="00A26A12" w:rsidRDefault="00272CE9" w:rsidP="002E0396">
            <w:pPr>
              <w:jc w:val="center"/>
              <w:textAlignment w:val="baseline"/>
              <w:rPr>
                <w:b/>
                <w:sz w:val="16"/>
                <w:szCs w:val="16"/>
              </w:rPr>
            </w:pPr>
            <w:r w:rsidRPr="00A26A12">
              <w:rPr>
                <w:b/>
                <w:sz w:val="16"/>
                <w:szCs w:val="16"/>
              </w:rPr>
              <w:t>Maximum Number of Dioecious Male Plants Shedding Pollen</w:t>
            </w:r>
          </w:p>
        </w:tc>
        <w:tc>
          <w:tcPr>
            <w:tcW w:w="2344" w:type="dxa"/>
            <w:shd w:val="clear" w:color="auto" w:fill="BFBFBF"/>
            <w:vAlign w:val="center"/>
          </w:tcPr>
          <w:p w14:paraId="41BB74B2" w14:textId="77777777" w:rsidR="00272CE9" w:rsidRPr="00A26A12" w:rsidRDefault="00272CE9" w:rsidP="002E0396">
            <w:pPr>
              <w:keepNext/>
              <w:jc w:val="center"/>
              <w:textAlignment w:val="baseline"/>
              <w:rPr>
                <w:b/>
                <w:sz w:val="16"/>
                <w:szCs w:val="16"/>
              </w:rPr>
            </w:pPr>
            <w:r w:rsidRPr="00A26A12">
              <w:rPr>
                <w:b/>
                <w:sz w:val="16"/>
                <w:szCs w:val="16"/>
              </w:rPr>
              <w:t>Maximum Number of Off-Types or Other Varieties</w:t>
            </w:r>
          </w:p>
        </w:tc>
      </w:tr>
      <w:tr w:rsidR="00272CE9" w:rsidRPr="00A26A12" w14:paraId="1735CD93" w14:textId="77777777" w:rsidTr="002E0396">
        <w:trPr>
          <w:cantSplit/>
          <w:trHeight w:hRule="exact" w:val="504"/>
          <w:jc w:val="center"/>
        </w:trPr>
        <w:tc>
          <w:tcPr>
            <w:tcW w:w="1582" w:type="dxa"/>
            <w:vAlign w:val="bottom"/>
          </w:tcPr>
          <w:p w14:paraId="6237D3C9" w14:textId="77777777" w:rsidR="00272CE9" w:rsidRPr="00A26A12" w:rsidRDefault="00272CE9" w:rsidP="002E0396">
            <w:pPr>
              <w:ind w:left="108"/>
              <w:jc w:val="center"/>
              <w:textAlignment w:val="baseline"/>
              <w:rPr>
                <w:sz w:val="16"/>
                <w:szCs w:val="16"/>
              </w:rPr>
            </w:pPr>
            <w:r w:rsidRPr="00A26A12">
              <w:rPr>
                <w:sz w:val="16"/>
                <w:szCs w:val="16"/>
              </w:rPr>
              <w:t>Dioecious type –</w:t>
            </w:r>
          </w:p>
          <w:p w14:paraId="12C4ACAD" w14:textId="77777777" w:rsidR="00272CE9" w:rsidRPr="00A26A12" w:rsidRDefault="00272CE9" w:rsidP="002E0396">
            <w:pPr>
              <w:ind w:left="108"/>
              <w:jc w:val="center"/>
              <w:textAlignment w:val="baseline"/>
              <w:rPr>
                <w:sz w:val="16"/>
                <w:szCs w:val="16"/>
              </w:rPr>
            </w:pPr>
            <w:r w:rsidRPr="00A26A12">
              <w:rPr>
                <w:sz w:val="16"/>
                <w:szCs w:val="16"/>
              </w:rPr>
              <w:t>Foundation</w:t>
            </w:r>
          </w:p>
        </w:tc>
        <w:tc>
          <w:tcPr>
            <w:tcW w:w="1231" w:type="dxa"/>
            <w:vAlign w:val="center"/>
          </w:tcPr>
          <w:p w14:paraId="1E21167B" w14:textId="77777777" w:rsidR="00272CE9" w:rsidRPr="00A26A12" w:rsidRDefault="00272CE9" w:rsidP="002E0396">
            <w:pPr>
              <w:jc w:val="center"/>
              <w:textAlignment w:val="baseline"/>
              <w:rPr>
                <w:sz w:val="16"/>
                <w:szCs w:val="16"/>
              </w:rPr>
            </w:pPr>
            <w:r w:rsidRPr="00A26A12">
              <w:rPr>
                <w:sz w:val="16"/>
                <w:szCs w:val="16"/>
              </w:rPr>
              <w:t>None</w:t>
            </w:r>
          </w:p>
        </w:tc>
        <w:tc>
          <w:tcPr>
            <w:tcW w:w="2344" w:type="dxa"/>
            <w:vAlign w:val="center"/>
          </w:tcPr>
          <w:p w14:paraId="766837E9" w14:textId="77777777" w:rsidR="00272CE9" w:rsidRPr="00A26A12" w:rsidRDefault="00272CE9" w:rsidP="002E0396">
            <w:pPr>
              <w:keepNext/>
              <w:jc w:val="center"/>
              <w:textAlignment w:val="baseline"/>
              <w:rPr>
                <w:sz w:val="16"/>
                <w:szCs w:val="16"/>
              </w:rPr>
            </w:pPr>
            <w:r w:rsidRPr="00A26A12">
              <w:rPr>
                <w:sz w:val="16"/>
                <w:szCs w:val="16"/>
              </w:rPr>
              <w:t>3</w:t>
            </w:r>
          </w:p>
        </w:tc>
      </w:tr>
      <w:tr w:rsidR="00272CE9" w:rsidRPr="00A26A12" w14:paraId="622B0082" w14:textId="77777777" w:rsidTr="002E0396">
        <w:trPr>
          <w:cantSplit/>
          <w:trHeight w:hRule="exact" w:val="422"/>
          <w:jc w:val="center"/>
        </w:trPr>
        <w:tc>
          <w:tcPr>
            <w:tcW w:w="1582" w:type="dxa"/>
            <w:vAlign w:val="bottom"/>
          </w:tcPr>
          <w:p w14:paraId="061C317C" w14:textId="77777777" w:rsidR="00272CE9" w:rsidRPr="00A26A12" w:rsidRDefault="00272CE9" w:rsidP="002E0396">
            <w:pPr>
              <w:ind w:left="108"/>
              <w:jc w:val="center"/>
              <w:textAlignment w:val="baseline"/>
              <w:rPr>
                <w:sz w:val="16"/>
                <w:szCs w:val="16"/>
              </w:rPr>
            </w:pPr>
            <w:r w:rsidRPr="00A26A12">
              <w:rPr>
                <w:sz w:val="16"/>
                <w:szCs w:val="16"/>
              </w:rPr>
              <w:t>Dioecious type – Registered</w:t>
            </w:r>
          </w:p>
        </w:tc>
        <w:tc>
          <w:tcPr>
            <w:tcW w:w="1231" w:type="dxa"/>
            <w:vAlign w:val="center"/>
          </w:tcPr>
          <w:p w14:paraId="02A3148D" w14:textId="77777777" w:rsidR="00272CE9" w:rsidRPr="00A26A12" w:rsidRDefault="00272CE9" w:rsidP="002E0396">
            <w:pPr>
              <w:jc w:val="center"/>
              <w:textAlignment w:val="baseline"/>
              <w:rPr>
                <w:sz w:val="16"/>
                <w:szCs w:val="16"/>
              </w:rPr>
            </w:pPr>
            <w:r w:rsidRPr="00A26A12">
              <w:rPr>
                <w:sz w:val="16"/>
                <w:szCs w:val="16"/>
              </w:rPr>
              <w:t>None</w:t>
            </w:r>
          </w:p>
        </w:tc>
        <w:tc>
          <w:tcPr>
            <w:tcW w:w="2344" w:type="dxa"/>
            <w:vAlign w:val="center"/>
          </w:tcPr>
          <w:p w14:paraId="45582908" w14:textId="77777777" w:rsidR="00272CE9" w:rsidRPr="00A26A12" w:rsidRDefault="00272CE9" w:rsidP="002E0396">
            <w:pPr>
              <w:jc w:val="center"/>
              <w:textAlignment w:val="baseline"/>
              <w:rPr>
                <w:sz w:val="16"/>
                <w:szCs w:val="16"/>
              </w:rPr>
            </w:pPr>
            <w:r w:rsidRPr="00A26A12">
              <w:rPr>
                <w:sz w:val="16"/>
                <w:szCs w:val="16"/>
              </w:rPr>
              <w:t>10</w:t>
            </w:r>
          </w:p>
        </w:tc>
      </w:tr>
      <w:tr w:rsidR="00272CE9" w:rsidRPr="00A26A12" w14:paraId="1A516E93" w14:textId="77777777" w:rsidTr="002E0396">
        <w:trPr>
          <w:cantSplit/>
          <w:trHeight w:hRule="exact" w:val="423"/>
          <w:jc w:val="center"/>
        </w:trPr>
        <w:tc>
          <w:tcPr>
            <w:tcW w:w="1582" w:type="dxa"/>
            <w:vAlign w:val="bottom"/>
          </w:tcPr>
          <w:p w14:paraId="26BF5B96" w14:textId="77777777" w:rsidR="00272CE9" w:rsidRPr="00A26A12" w:rsidRDefault="00272CE9" w:rsidP="002E0396">
            <w:pPr>
              <w:keepNext/>
              <w:ind w:left="108"/>
              <w:jc w:val="center"/>
              <w:textAlignment w:val="baseline"/>
              <w:rPr>
                <w:sz w:val="16"/>
                <w:szCs w:val="16"/>
              </w:rPr>
            </w:pPr>
            <w:r w:rsidRPr="00A26A12">
              <w:rPr>
                <w:sz w:val="16"/>
                <w:szCs w:val="16"/>
              </w:rPr>
              <w:t>Dioecious type – Certified</w:t>
            </w:r>
          </w:p>
        </w:tc>
        <w:tc>
          <w:tcPr>
            <w:tcW w:w="1231" w:type="dxa"/>
            <w:vAlign w:val="center"/>
          </w:tcPr>
          <w:p w14:paraId="16295399" w14:textId="77777777" w:rsidR="00272CE9" w:rsidRPr="00A26A12" w:rsidRDefault="00272CE9" w:rsidP="002E0396">
            <w:pPr>
              <w:keepNext/>
              <w:jc w:val="center"/>
              <w:textAlignment w:val="baseline"/>
              <w:rPr>
                <w:sz w:val="16"/>
                <w:szCs w:val="16"/>
              </w:rPr>
            </w:pPr>
            <w:r w:rsidRPr="00A26A12">
              <w:rPr>
                <w:sz w:val="16"/>
                <w:szCs w:val="16"/>
              </w:rPr>
              <w:t>None</w:t>
            </w:r>
          </w:p>
        </w:tc>
        <w:tc>
          <w:tcPr>
            <w:tcW w:w="2344" w:type="dxa"/>
            <w:vAlign w:val="center"/>
          </w:tcPr>
          <w:p w14:paraId="4A78E0B5" w14:textId="77777777" w:rsidR="00272CE9" w:rsidRPr="00A26A12" w:rsidRDefault="00272CE9" w:rsidP="002E0396">
            <w:pPr>
              <w:keepNext/>
              <w:jc w:val="center"/>
              <w:textAlignment w:val="baseline"/>
              <w:rPr>
                <w:sz w:val="16"/>
                <w:szCs w:val="16"/>
              </w:rPr>
            </w:pPr>
            <w:r w:rsidRPr="00A26A12">
              <w:rPr>
                <w:sz w:val="16"/>
                <w:szCs w:val="16"/>
              </w:rPr>
              <w:t>20</w:t>
            </w:r>
          </w:p>
        </w:tc>
      </w:tr>
      <w:tr w:rsidR="00272CE9" w:rsidRPr="00A26A12" w14:paraId="56B62B1C" w14:textId="77777777" w:rsidTr="002E0396">
        <w:trPr>
          <w:cantSplit/>
          <w:trHeight w:hRule="exact" w:val="427"/>
          <w:jc w:val="center"/>
        </w:trPr>
        <w:tc>
          <w:tcPr>
            <w:tcW w:w="1582" w:type="dxa"/>
            <w:vAlign w:val="bottom"/>
          </w:tcPr>
          <w:p w14:paraId="410BC9AE" w14:textId="77777777" w:rsidR="00272CE9" w:rsidRPr="00A26A12" w:rsidRDefault="00272CE9" w:rsidP="002E0396">
            <w:pPr>
              <w:keepNext/>
              <w:ind w:left="108"/>
              <w:jc w:val="center"/>
              <w:textAlignment w:val="baseline"/>
              <w:rPr>
                <w:sz w:val="16"/>
                <w:szCs w:val="16"/>
              </w:rPr>
            </w:pPr>
            <w:r w:rsidRPr="00A26A12">
              <w:rPr>
                <w:sz w:val="16"/>
                <w:szCs w:val="16"/>
              </w:rPr>
              <w:t>Monoecious type – Foundation</w:t>
            </w:r>
          </w:p>
        </w:tc>
        <w:tc>
          <w:tcPr>
            <w:tcW w:w="1231" w:type="dxa"/>
            <w:vAlign w:val="center"/>
          </w:tcPr>
          <w:p w14:paraId="7C44EE9A" w14:textId="77777777" w:rsidR="00272CE9" w:rsidRPr="00A26A12" w:rsidRDefault="00272CE9" w:rsidP="002E0396">
            <w:pPr>
              <w:keepNext/>
              <w:jc w:val="center"/>
              <w:textAlignment w:val="baseline"/>
              <w:rPr>
                <w:sz w:val="16"/>
                <w:szCs w:val="16"/>
              </w:rPr>
            </w:pPr>
            <w:r w:rsidRPr="00A26A12">
              <w:rPr>
                <w:sz w:val="16"/>
                <w:szCs w:val="16"/>
              </w:rPr>
              <w:t>1</w:t>
            </w:r>
          </w:p>
        </w:tc>
        <w:tc>
          <w:tcPr>
            <w:tcW w:w="2344" w:type="dxa"/>
            <w:vAlign w:val="center"/>
          </w:tcPr>
          <w:p w14:paraId="7B827457" w14:textId="77777777" w:rsidR="00272CE9" w:rsidRPr="00A26A12" w:rsidRDefault="00272CE9" w:rsidP="002E0396">
            <w:pPr>
              <w:keepNext/>
              <w:jc w:val="center"/>
              <w:textAlignment w:val="baseline"/>
              <w:rPr>
                <w:sz w:val="16"/>
                <w:szCs w:val="16"/>
              </w:rPr>
            </w:pPr>
            <w:r w:rsidRPr="00A26A12">
              <w:rPr>
                <w:sz w:val="16"/>
                <w:szCs w:val="16"/>
              </w:rPr>
              <w:t>3</w:t>
            </w:r>
          </w:p>
        </w:tc>
      </w:tr>
      <w:tr w:rsidR="00272CE9" w:rsidRPr="00A26A12" w14:paraId="558C049D" w14:textId="77777777" w:rsidTr="002E0396">
        <w:trPr>
          <w:cantSplit/>
          <w:trHeight w:hRule="exact" w:val="422"/>
          <w:jc w:val="center"/>
        </w:trPr>
        <w:tc>
          <w:tcPr>
            <w:tcW w:w="1582" w:type="dxa"/>
            <w:vAlign w:val="bottom"/>
          </w:tcPr>
          <w:p w14:paraId="25A0B49B" w14:textId="77777777" w:rsidR="00272CE9" w:rsidRPr="00A26A12" w:rsidRDefault="00272CE9" w:rsidP="002E0396">
            <w:pPr>
              <w:keepNext/>
              <w:ind w:left="108"/>
              <w:jc w:val="center"/>
              <w:textAlignment w:val="baseline"/>
              <w:rPr>
                <w:sz w:val="16"/>
                <w:szCs w:val="16"/>
              </w:rPr>
            </w:pPr>
            <w:r w:rsidRPr="00A26A12">
              <w:rPr>
                <w:sz w:val="16"/>
                <w:szCs w:val="16"/>
              </w:rPr>
              <w:t>Monoecious type – Registered</w:t>
            </w:r>
          </w:p>
        </w:tc>
        <w:tc>
          <w:tcPr>
            <w:tcW w:w="1231" w:type="dxa"/>
            <w:vAlign w:val="center"/>
          </w:tcPr>
          <w:p w14:paraId="213D5336" w14:textId="77777777" w:rsidR="00272CE9" w:rsidRPr="00A26A12" w:rsidRDefault="00272CE9" w:rsidP="002E0396">
            <w:pPr>
              <w:keepNext/>
              <w:jc w:val="center"/>
              <w:textAlignment w:val="baseline"/>
              <w:rPr>
                <w:sz w:val="16"/>
                <w:szCs w:val="16"/>
              </w:rPr>
            </w:pPr>
            <w:r w:rsidRPr="00A26A12">
              <w:rPr>
                <w:sz w:val="16"/>
                <w:szCs w:val="16"/>
              </w:rPr>
              <w:t>2</w:t>
            </w:r>
          </w:p>
        </w:tc>
        <w:tc>
          <w:tcPr>
            <w:tcW w:w="2344" w:type="dxa"/>
            <w:vAlign w:val="center"/>
          </w:tcPr>
          <w:p w14:paraId="48ADFB3C" w14:textId="77777777" w:rsidR="00272CE9" w:rsidRPr="00A26A12" w:rsidRDefault="00272CE9" w:rsidP="002E0396">
            <w:pPr>
              <w:keepNext/>
              <w:jc w:val="center"/>
              <w:textAlignment w:val="baseline"/>
              <w:rPr>
                <w:sz w:val="16"/>
                <w:szCs w:val="16"/>
              </w:rPr>
            </w:pPr>
            <w:r w:rsidRPr="00A26A12">
              <w:rPr>
                <w:sz w:val="16"/>
                <w:szCs w:val="16"/>
              </w:rPr>
              <w:t>10</w:t>
            </w:r>
          </w:p>
        </w:tc>
      </w:tr>
      <w:tr w:rsidR="00272CE9" w:rsidRPr="00A26A12" w14:paraId="0940578E" w14:textId="77777777" w:rsidTr="002E0396">
        <w:trPr>
          <w:cantSplit/>
          <w:trHeight w:hRule="exact" w:val="432"/>
          <w:jc w:val="center"/>
        </w:trPr>
        <w:tc>
          <w:tcPr>
            <w:tcW w:w="1582" w:type="dxa"/>
            <w:vAlign w:val="bottom"/>
          </w:tcPr>
          <w:p w14:paraId="7799D060" w14:textId="77777777" w:rsidR="00272CE9" w:rsidRPr="00A26A12" w:rsidRDefault="00272CE9" w:rsidP="002E0396">
            <w:pPr>
              <w:ind w:left="108"/>
              <w:jc w:val="center"/>
              <w:textAlignment w:val="baseline"/>
              <w:rPr>
                <w:sz w:val="16"/>
                <w:szCs w:val="16"/>
              </w:rPr>
            </w:pPr>
            <w:r w:rsidRPr="00A26A12">
              <w:rPr>
                <w:sz w:val="16"/>
                <w:szCs w:val="16"/>
              </w:rPr>
              <w:t>Monoecious type – Certified</w:t>
            </w:r>
          </w:p>
        </w:tc>
        <w:tc>
          <w:tcPr>
            <w:tcW w:w="1231" w:type="dxa"/>
            <w:vAlign w:val="center"/>
          </w:tcPr>
          <w:p w14:paraId="62DBEECE" w14:textId="77777777" w:rsidR="00272CE9" w:rsidRPr="00A26A12" w:rsidRDefault="00272CE9" w:rsidP="002E0396">
            <w:pPr>
              <w:jc w:val="center"/>
              <w:textAlignment w:val="baseline"/>
              <w:rPr>
                <w:sz w:val="16"/>
                <w:szCs w:val="16"/>
              </w:rPr>
            </w:pPr>
            <w:r w:rsidRPr="00A26A12">
              <w:rPr>
                <w:sz w:val="16"/>
                <w:szCs w:val="16"/>
              </w:rPr>
              <w:t>100</w:t>
            </w:r>
          </w:p>
        </w:tc>
        <w:tc>
          <w:tcPr>
            <w:tcW w:w="2344" w:type="dxa"/>
            <w:vAlign w:val="center"/>
          </w:tcPr>
          <w:p w14:paraId="2A653F76" w14:textId="77777777" w:rsidR="00272CE9" w:rsidRPr="00A26A12" w:rsidRDefault="00272CE9" w:rsidP="002E0396">
            <w:pPr>
              <w:jc w:val="center"/>
              <w:textAlignment w:val="baseline"/>
              <w:rPr>
                <w:sz w:val="16"/>
                <w:szCs w:val="16"/>
              </w:rPr>
            </w:pPr>
            <w:r w:rsidRPr="00A26A12">
              <w:rPr>
                <w:sz w:val="16"/>
                <w:szCs w:val="16"/>
              </w:rPr>
              <w:t>20</w:t>
            </w:r>
          </w:p>
        </w:tc>
      </w:tr>
    </w:tbl>
    <w:p w14:paraId="046B9338" w14:textId="77777777" w:rsidR="00272CE9" w:rsidRPr="008D1E1B" w:rsidRDefault="00272CE9" w:rsidP="00272CE9">
      <w:pPr>
        <w:pStyle w:val="A"/>
        <w:rPr>
          <w:rFonts w:eastAsia="PMingLiU"/>
        </w:rPr>
      </w:pPr>
    </w:p>
    <w:p w14:paraId="2DFB7A66" w14:textId="77777777" w:rsidR="00272CE9" w:rsidRDefault="00272CE9" w:rsidP="00272CE9">
      <w:pPr>
        <w:pStyle w:val="1"/>
        <w:rPr>
          <w:rFonts w:eastAsia="PMingLiU"/>
        </w:rPr>
      </w:pPr>
      <w:r>
        <w:rPr>
          <w:rFonts w:eastAsia="PMingLiU"/>
        </w:rPr>
        <w:t>6</w:t>
      </w:r>
      <w:r w:rsidRPr="008D1E1B">
        <w:rPr>
          <w:rFonts w:eastAsia="PMingLiU"/>
        </w:rPr>
        <w:t>.</w:t>
      </w:r>
      <w:r w:rsidRPr="008D1E1B">
        <w:rPr>
          <w:rFonts w:eastAsia="PMingLiU"/>
        </w:rPr>
        <w:tab/>
        <w:t>Seed Standards</w:t>
      </w:r>
    </w:p>
    <w:p w14:paraId="23937798" w14:textId="77777777" w:rsidR="00272CE9" w:rsidRPr="008D1E1B" w:rsidRDefault="00272CE9" w:rsidP="00272CE9">
      <w:pPr>
        <w:pStyle w:val="A"/>
        <w:rPr>
          <w:rFonts w:eastAsia="PMingLiU"/>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443"/>
        <w:gridCol w:w="1130"/>
        <w:gridCol w:w="1200"/>
        <w:gridCol w:w="1077"/>
      </w:tblGrid>
      <w:tr w:rsidR="00272CE9" w:rsidRPr="008D1E1B" w14:paraId="53AA49BD" w14:textId="77777777" w:rsidTr="002E0396">
        <w:trPr>
          <w:cantSplit/>
          <w:tblHeader/>
          <w:jc w:val="center"/>
        </w:trPr>
        <w:tc>
          <w:tcPr>
            <w:tcW w:w="5112" w:type="dxa"/>
            <w:gridSpan w:val="4"/>
            <w:shd w:val="clear" w:color="auto" w:fill="BFBFBF"/>
            <w:vAlign w:val="center"/>
          </w:tcPr>
          <w:p w14:paraId="6B5FC235" w14:textId="77777777" w:rsidR="00272CE9" w:rsidRPr="00DD7255" w:rsidRDefault="00272CE9" w:rsidP="002E0396">
            <w:pPr>
              <w:keepNext/>
              <w:jc w:val="center"/>
              <w:rPr>
                <w:rFonts w:eastAsia="PMingLiU"/>
                <w:b/>
                <w:bCs/>
                <w:sz w:val="16"/>
                <w:szCs w:val="16"/>
              </w:rPr>
            </w:pPr>
            <w:r w:rsidRPr="00DD7255">
              <w:rPr>
                <w:rFonts w:eastAsia="PMingLiU"/>
                <w:b/>
                <w:sz w:val="16"/>
                <w:szCs w:val="16"/>
              </w:rPr>
              <w:t>Table 3.</w:t>
            </w:r>
            <w:r w:rsidRPr="00DD7255">
              <w:rPr>
                <w:rFonts w:eastAsia="PMingLiU"/>
                <w:b/>
                <w:sz w:val="16"/>
                <w:szCs w:val="16"/>
              </w:rPr>
              <w:tab/>
              <w:t>Seed Standards for all Classes of Certified Hemp Seed</w:t>
            </w:r>
          </w:p>
        </w:tc>
      </w:tr>
      <w:tr w:rsidR="00272CE9" w:rsidRPr="008D1E1B" w14:paraId="7A7377A9" w14:textId="77777777" w:rsidTr="002E0396">
        <w:trPr>
          <w:cantSplit/>
          <w:tblHeader/>
          <w:jc w:val="center"/>
        </w:trPr>
        <w:tc>
          <w:tcPr>
            <w:tcW w:w="1548" w:type="dxa"/>
            <w:shd w:val="clear" w:color="auto" w:fill="BFBFBF"/>
            <w:vAlign w:val="center"/>
          </w:tcPr>
          <w:p w14:paraId="46DBB372" w14:textId="77777777" w:rsidR="00272CE9" w:rsidRPr="00DD7255" w:rsidRDefault="00272CE9" w:rsidP="002E0396">
            <w:pPr>
              <w:keepNext/>
              <w:jc w:val="center"/>
              <w:rPr>
                <w:rFonts w:eastAsia="PMingLiU"/>
                <w:b/>
                <w:bCs/>
                <w:sz w:val="16"/>
                <w:szCs w:val="16"/>
              </w:rPr>
            </w:pPr>
            <w:r w:rsidRPr="00DD7255">
              <w:rPr>
                <w:b/>
                <w:bCs/>
                <w:sz w:val="16"/>
                <w:szCs w:val="16"/>
              </w:rPr>
              <w:t>Factor</w:t>
            </w:r>
          </w:p>
        </w:tc>
        <w:tc>
          <w:tcPr>
            <w:tcW w:w="1161" w:type="dxa"/>
            <w:shd w:val="clear" w:color="auto" w:fill="BFBFBF"/>
            <w:vAlign w:val="center"/>
          </w:tcPr>
          <w:p w14:paraId="758009CE" w14:textId="77777777" w:rsidR="00272CE9" w:rsidRPr="00DD7255" w:rsidRDefault="00272CE9" w:rsidP="002E0396">
            <w:pPr>
              <w:keepNext/>
              <w:jc w:val="center"/>
              <w:rPr>
                <w:rFonts w:eastAsia="PMingLiU"/>
                <w:b/>
                <w:bCs/>
                <w:sz w:val="16"/>
                <w:szCs w:val="16"/>
              </w:rPr>
            </w:pPr>
            <w:r w:rsidRPr="00DD7255">
              <w:rPr>
                <w:b/>
                <w:bCs/>
                <w:sz w:val="16"/>
                <w:szCs w:val="16"/>
              </w:rPr>
              <w:t>Foundation</w:t>
            </w:r>
          </w:p>
        </w:tc>
        <w:tc>
          <w:tcPr>
            <w:tcW w:w="1264" w:type="dxa"/>
            <w:shd w:val="clear" w:color="auto" w:fill="BFBFBF"/>
            <w:vAlign w:val="center"/>
          </w:tcPr>
          <w:p w14:paraId="4C052B88" w14:textId="77777777" w:rsidR="00272CE9" w:rsidRPr="00DD7255" w:rsidRDefault="00272CE9" w:rsidP="002E0396">
            <w:pPr>
              <w:keepNext/>
              <w:jc w:val="center"/>
              <w:rPr>
                <w:rFonts w:eastAsia="PMingLiU"/>
                <w:b/>
                <w:bCs/>
                <w:sz w:val="16"/>
                <w:szCs w:val="16"/>
              </w:rPr>
            </w:pPr>
            <w:r w:rsidRPr="00DD7255">
              <w:rPr>
                <w:b/>
                <w:bCs/>
                <w:sz w:val="16"/>
                <w:szCs w:val="16"/>
              </w:rPr>
              <w:t>Registered</w:t>
            </w:r>
          </w:p>
        </w:tc>
        <w:tc>
          <w:tcPr>
            <w:tcW w:w="1139" w:type="dxa"/>
            <w:shd w:val="clear" w:color="auto" w:fill="BFBFBF"/>
          </w:tcPr>
          <w:p w14:paraId="7D63D872" w14:textId="77777777" w:rsidR="00272CE9" w:rsidRPr="00DD7255" w:rsidRDefault="00272CE9" w:rsidP="002E0396">
            <w:pPr>
              <w:keepNext/>
              <w:jc w:val="center"/>
              <w:rPr>
                <w:rFonts w:eastAsia="PMingLiU"/>
                <w:b/>
                <w:bCs/>
                <w:sz w:val="16"/>
                <w:szCs w:val="16"/>
              </w:rPr>
            </w:pPr>
            <w:r w:rsidRPr="00DD7255">
              <w:rPr>
                <w:rFonts w:eastAsia="PMingLiU"/>
                <w:b/>
                <w:bCs/>
                <w:sz w:val="16"/>
                <w:szCs w:val="16"/>
              </w:rPr>
              <w:t>Certified</w:t>
            </w:r>
          </w:p>
        </w:tc>
      </w:tr>
      <w:tr w:rsidR="00272CE9" w:rsidRPr="008D1E1B" w14:paraId="293D83A2" w14:textId="77777777" w:rsidTr="002E0396">
        <w:trPr>
          <w:cantSplit/>
          <w:tblHeader/>
          <w:jc w:val="center"/>
        </w:trPr>
        <w:tc>
          <w:tcPr>
            <w:tcW w:w="1548" w:type="dxa"/>
            <w:vAlign w:val="bottom"/>
          </w:tcPr>
          <w:p w14:paraId="3AC27E1D" w14:textId="77777777" w:rsidR="00272CE9" w:rsidRPr="00DD7255" w:rsidRDefault="00272CE9" w:rsidP="002E0396">
            <w:pPr>
              <w:rPr>
                <w:rFonts w:eastAsia="PMingLiU"/>
                <w:sz w:val="16"/>
                <w:szCs w:val="16"/>
              </w:rPr>
            </w:pPr>
            <w:r w:rsidRPr="00DD7255">
              <w:rPr>
                <w:sz w:val="16"/>
                <w:szCs w:val="16"/>
              </w:rPr>
              <w:t>Pure seed (minimum)</w:t>
            </w:r>
          </w:p>
        </w:tc>
        <w:tc>
          <w:tcPr>
            <w:tcW w:w="1161" w:type="dxa"/>
            <w:vAlign w:val="center"/>
          </w:tcPr>
          <w:p w14:paraId="526CF1C8" w14:textId="77777777" w:rsidR="00272CE9" w:rsidRPr="00DD7255" w:rsidRDefault="00272CE9" w:rsidP="002E0396">
            <w:pPr>
              <w:jc w:val="center"/>
              <w:rPr>
                <w:rFonts w:eastAsia="PMingLiU"/>
                <w:sz w:val="16"/>
                <w:szCs w:val="16"/>
              </w:rPr>
            </w:pPr>
            <w:r w:rsidRPr="00DD7255">
              <w:rPr>
                <w:sz w:val="16"/>
                <w:szCs w:val="16"/>
              </w:rPr>
              <w:t>98.00%</w:t>
            </w:r>
          </w:p>
        </w:tc>
        <w:tc>
          <w:tcPr>
            <w:tcW w:w="1264" w:type="dxa"/>
            <w:vAlign w:val="center"/>
          </w:tcPr>
          <w:p w14:paraId="388457EE" w14:textId="77777777" w:rsidR="00272CE9" w:rsidRPr="00DD7255" w:rsidRDefault="00272CE9" w:rsidP="002E0396">
            <w:pPr>
              <w:jc w:val="center"/>
              <w:rPr>
                <w:rFonts w:eastAsia="PMingLiU"/>
                <w:sz w:val="16"/>
                <w:szCs w:val="16"/>
              </w:rPr>
            </w:pPr>
            <w:r w:rsidRPr="00DD7255">
              <w:rPr>
                <w:sz w:val="16"/>
                <w:szCs w:val="16"/>
              </w:rPr>
              <w:t>98.00%</w:t>
            </w:r>
          </w:p>
        </w:tc>
        <w:tc>
          <w:tcPr>
            <w:tcW w:w="1139" w:type="dxa"/>
            <w:vAlign w:val="center"/>
          </w:tcPr>
          <w:p w14:paraId="482E09DF" w14:textId="77777777" w:rsidR="00272CE9" w:rsidRPr="00DD7255" w:rsidRDefault="00272CE9" w:rsidP="002E0396">
            <w:pPr>
              <w:jc w:val="center"/>
              <w:rPr>
                <w:rFonts w:eastAsia="PMingLiU"/>
                <w:sz w:val="16"/>
                <w:szCs w:val="16"/>
              </w:rPr>
            </w:pPr>
            <w:r w:rsidRPr="00DD7255">
              <w:rPr>
                <w:sz w:val="16"/>
                <w:szCs w:val="16"/>
              </w:rPr>
              <w:t>98.00%</w:t>
            </w:r>
          </w:p>
        </w:tc>
      </w:tr>
      <w:tr w:rsidR="00272CE9" w:rsidRPr="008D1E1B" w14:paraId="4F950621" w14:textId="77777777" w:rsidTr="002E0396">
        <w:trPr>
          <w:cantSplit/>
          <w:tblHeader/>
          <w:jc w:val="center"/>
        </w:trPr>
        <w:tc>
          <w:tcPr>
            <w:tcW w:w="1548" w:type="dxa"/>
            <w:vAlign w:val="bottom"/>
          </w:tcPr>
          <w:p w14:paraId="37EFAC9A" w14:textId="77777777" w:rsidR="00272CE9" w:rsidRPr="00DD7255" w:rsidRDefault="00272CE9" w:rsidP="002E0396">
            <w:pPr>
              <w:rPr>
                <w:rFonts w:eastAsia="PMingLiU"/>
                <w:sz w:val="16"/>
                <w:szCs w:val="16"/>
              </w:rPr>
            </w:pPr>
            <w:r w:rsidRPr="00DD7255">
              <w:rPr>
                <w:sz w:val="16"/>
                <w:szCs w:val="16"/>
              </w:rPr>
              <w:t>Inert matter (maximum)</w:t>
            </w:r>
            <w:r w:rsidRPr="00DD7255">
              <w:rPr>
                <w:sz w:val="16"/>
                <w:szCs w:val="16"/>
                <w:vertAlign w:val="superscript"/>
              </w:rPr>
              <w:t>1</w:t>
            </w:r>
          </w:p>
        </w:tc>
        <w:tc>
          <w:tcPr>
            <w:tcW w:w="1161" w:type="dxa"/>
            <w:vAlign w:val="center"/>
          </w:tcPr>
          <w:p w14:paraId="00BD661E" w14:textId="77777777" w:rsidR="00272CE9" w:rsidRPr="00DD7255" w:rsidRDefault="00272CE9" w:rsidP="002E0396">
            <w:pPr>
              <w:jc w:val="center"/>
              <w:rPr>
                <w:rFonts w:eastAsia="PMingLiU"/>
                <w:sz w:val="16"/>
                <w:szCs w:val="16"/>
              </w:rPr>
            </w:pPr>
            <w:r w:rsidRPr="00DD7255">
              <w:rPr>
                <w:sz w:val="16"/>
                <w:szCs w:val="16"/>
              </w:rPr>
              <w:t>2.00%</w:t>
            </w:r>
          </w:p>
        </w:tc>
        <w:tc>
          <w:tcPr>
            <w:tcW w:w="1264" w:type="dxa"/>
            <w:vAlign w:val="center"/>
          </w:tcPr>
          <w:p w14:paraId="7D033C06" w14:textId="77777777" w:rsidR="00272CE9" w:rsidRPr="00DD7255" w:rsidRDefault="00272CE9" w:rsidP="002E0396">
            <w:pPr>
              <w:jc w:val="center"/>
              <w:rPr>
                <w:rFonts w:eastAsia="PMingLiU"/>
                <w:sz w:val="16"/>
                <w:szCs w:val="16"/>
              </w:rPr>
            </w:pPr>
            <w:r w:rsidRPr="00DD7255">
              <w:rPr>
                <w:sz w:val="16"/>
                <w:szCs w:val="16"/>
              </w:rPr>
              <w:t>2.00%</w:t>
            </w:r>
          </w:p>
        </w:tc>
        <w:tc>
          <w:tcPr>
            <w:tcW w:w="1139" w:type="dxa"/>
            <w:vAlign w:val="center"/>
          </w:tcPr>
          <w:p w14:paraId="0022BC0E" w14:textId="77777777" w:rsidR="00272CE9" w:rsidRPr="00DD7255" w:rsidRDefault="00272CE9" w:rsidP="002E0396">
            <w:pPr>
              <w:jc w:val="center"/>
              <w:rPr>
                <w:rFonts w:eastAsia="PMingLiU"/>
                <w:sz w:val="16"/>
                <w:szCs w:val="16"/>
              </w:rPr>
            </w:pPr>
            <w:r w:rsidRPr="00DD7255">
              <w:rPr>
                <w:sz w:val="16"/>
                <w:szCs w:val="16"/>
              </w:rPr>
              <w:t>2.00%</w:t>
            </w:r>
          </w:p>
        </w:tc>
      </w:tr>
      <w:tr w:rsidR="00272CE9" w:rsidRPr="008D1E1B" w14:paraId="31454E44" w14:textId="77777777" w:rsidTr="002E0396">
        <w:trPr>
          <w:cantSplit/>
          <w:tblHeader/>
          <w:jc w:val="center"/>
        </w:trPr>
        <w:tc>
          <w:tcPr>
            <w:tcW w:w="1548" w:type="dxa"/>
            <w:vAlign w:val="bottom"/>
          </w:tcPr>
          <w:p w14:paraId="2318FDCD" w14:textId="77777777" w:rsidR="00272CE9" w:rsidRPr="00DD7255" w:rsidRDefault="00272CE9" w:rsidP="002E0396">
            <w:pPr>
              <w:rPr>
                <w:rFonts w:eastAsia="PMingLiU"/>
                <w:sz w:val="16"/>
                <w:szCs w:val="16"/>
              </w:rPr>
            </w:pPr>
            <w:r w:rsidRPr="00DD7255">
              <w:rPr>
                <w:sz w:val="16"/>
                <w:szCs w:val="16"/>
              </w:rPr>
              <w:t>Weed seeds (maximum)</w:t>
            </w:r>
          </w:p>
        </w:tc>
        <w:tc>
          <w:tcPr>
            <w:tcW w:w="1161" w:type="dxa"/>
            <w:vAlign w:val="center"/>
          </w:tcPr>
          <w:p w14:paraId="10CD7339" w14:textId="77777777" w:rsidR="00272CE9" w:rsidRPr="00DD7255" w:rsidRDefault="00272CE9" w:rsidP="002E0396">
            <w:pPr>
              <w:jc w:val="center"/>
              <w:rPr>
                <w:rFonts w:eastAsia="PMingLiU"/>
                <w:sz w:val="16"/>
                <w:szCs w:val="16"/>
              </w:rPr>
            </w:pPr>
            <w:r w:rsidRPr="00DD7255">
              <w:rPr>
                <w:sz w:val="16"/>
                <w:szCs w:val="16"/>
              </w:rPr>
              <w:t>0.10%</w:t>
            </w:r>
          </w:p>
        </w:tc>
        <w:tc>
          <w:tcPr>
            <w:tcW w:w="1264" w:type="dxa"/>
            <w:vAlign w:val="center"/>
          </w:tcPr>
          <w:p w14:paraId="34CA0BB4" w14:textId="77777777" w:rsidR="00272CE9" w:rsidRPr="00DD7255" w:rsidRDefault="00272CE9" w:rsidP="002E0396">
            <w:pPr>
              <w:jc w:val="center"/>
              <w:rPr>
                <w:rFonts w:eastAsia="PMingLiU"/>
                <w:sz w:val="16"/>
                <w:szCs w:val="16"/>
              </w:rPr>
            </w:pPr>
            <w:r w:rsidRPr="00DD7255">
              <w:rPr>
                <w:sz w:val="16"/>
                <w:szCs w:val="16"/>
              </w:rPr>
              <w:t>0.10%</w:t>
            </w:r>
          </w:p>
        </w:tc>
        <w:tc>
          <w:tcPr>
            <w:tcW w:w="1139" w:type="dxa"/>
            <w:vAlign w:val="center"/>
          </w:tcPr>
          <w:p w14:paraId="462FC27F" w14:textId="77777777" w:rsidR="00272CE9" w:rsidRPr="00DD7255" w:rsidRDefault="00272CE9" w:rsidP="002E0396">
            <w:pPr>
              <w:jc w:val="center"/>
              <w:rPr>
                <w:rFonts w:eastAsia="PMingLiU"/>
                <w:sz w:val="16"/>
                <w:szCs w:val="16"/>
              </w:rPr>
            </w:pPr>
            <w:r w:rsidRPr="00DD7255">
              <w:rPr>
                <w:sz w:val="16"/>
                <w:szCs w:val="16"/>
              </w:rPr>
              <w:t>0.10%</w:t>
            </w:r>
          </w:p>
        </w:tc>
      </w:tr>
      <w:tr w:rsidR="00272CE9" w:rsidRPr="008D1E1B" w14:paraId="26EFDF93" w14:textId="77777777" w:rsidTr="002E0396">
        <w:trPr>
          <w:cantSplit/>
          <w:tblHeader/>
          <w:jc w:val="center"/>
        </w:trPr>
        <w:tc>
          <w:tcPr>
            <w:tcW w:w="1548" w:type="dxa"/>
            <w:vAlign w:val="bottom"/>
          </w:tcPr>
          <w:p w14:paraId="4AD84F29" w14:textId="77777777" w:rsidR="00272CE9" w:rsidRPr="00DD7255" w:rsidRDefault="00272CE9" w:rsidP="002E0396">
            <w:pPr>
              <w:rPr>
                <w:rFonts w:eastAsia="PMingLiU"/>
                <w:sz w:val="16"/>
                <w:szCs w:val="16"/>
              </w:rPr>
            </w:pPr>
            <w:r w:rsidRPr="00DD7255">
              <w:rPr>
                <w:sz w:val="16"/>
                <w:szCs w:val="16"/>
              </w:rPr>
              <w:t>Total other crop seeds (maximum)</w:t>
            </w:r>
          </w:p>
        </w:tc>
        <w:tc>
          <w:tcPr>
            <w:tcW w:w="1161" w:type="dxa"/>
            <w:vAlign w:val="center"/>
          </w:tcPr>
          <w:p w14:paraId="6761A42B" w14:textId="77777777" w:rsidR="00272CE9" w:rsidRPr="00DD7255" w:rsidRDefault="00272CE9" w:rsidP="002E0396">
            <w:pPr>
              <w:jc w:val="center"/>
              <w:rPr>
                <w:rFonts w:eastAsia="PMingLiU"/>
                <w:sz w:val="16"/>
                <w:szCs w:val="16"/>
              </w:rPr>
            </w:pPr>
            <w:r w:rsidRPr="00DD7255">
              <w:rPr>
                <w:sz w:val="16"/>
                <w:szCs w:val="16"/>
              </w:rPr>
              <w:t>0.01%</w:t>
            </w:r>
          </w:p>
        </w:tc>
        <w:tc>
          <w:tcPr>
            <w:tcW w:w="1264" w:type="dxa"/>
            <w:vAlign w:val="center"/>
          </w:tcPr>
          <w:p w14:paraId="27E40261" w14:textId="77777777" w:rsidR="00272CE9" w:rsidRPr="00DD7255" w:rsidRDefault="00272CE9" w:rsidP="002E0396">
            <w:pPr>
              <w:jc w:val="center"/>
              <w:rPr>
                <w:rFonts w:eastAsia="PMingLiU"/>
                <w:sz w:val="16"/>
                <w:szCs w:val="16"/>
              </w:rPr>
            </w:pPr>
            <w:r w:rsidRPr="00DD7255">
              <w:rPr>
                <w:sz w:val="16"/>
                <w:szCs w:val="16"/>
              </w:rPr>
              <w:t>0.03%</w:t>
            </w:r>
          </w:p>
        </w:tc>
        <w:tc>
          <w:tcPr>
            <w:tcW w:w="1139" w:type="dxa"/>
            <w:vAlign w:val="center"/>
          </w:tcPr>
          <w:p w14:paraId="713C0745" w14:textId="77777777" w:rsidR="00272CE9" w:rsidRPr="00DD7255" w:rsidRDefault="00272CE9" w:rsidP="002E0396">
            <w:pPr>
              <w:jc w:val="center"/>
              <w:rPr>
                <w:rFonts w:eastAsia="PMingLiU"/>
                <w:sz w:val="16"/>
                <w:szCs w:val="16"/>
              </w:rPr>
            </w:pPr>
            <w:r w:rsidRPr="00DD7255">
              <w:rPr>
                <w:sz w:val="16"/>
                <w:szCs w:val="16"/>
              </w:rPr>
              <w:t>0.08%</w:t>
            </w:r>
          </w:p>
        </w:tc>
      </w:tr>
      <w:tr w:rsidR="00272CE9" w:rsidRPr="008D1E1B" w14:paraId="3BC0899F" w14:textId="77777777" w:rsidTr="002E0396">
        <w:trPr>
          <w:cantSplit/>
          <w:tblHeader/>
          <w:jc w:val="center"/>
        </w:trPr>
        <w:tc>
          <w:tcPr>
            <w:tcW w:w="1548" w:type="dxa"/>
            <w:vAlign w:val="bottom"/>
          </w:tcPr>
          <w:p w14:paraId="5B60C778" w14:textId="77777777" w:rsidR="00272CE9" w:rsidRPr="00DD7255" w:rsidRDefault="00272CE9" w:rsidP="002E0396">
            <w:pPr>
              <w:rPr>
                <w:rFonts w:eastAsia="PMingLiU"/>
                <w:sz w:val="16"/>
                <w:szCs w:val="16"/>
              </w:rPr>
            </w:pPr>
            <w:r w:rsidRPr="00DD7255">
              <w:rPr>
                <w:sz w:val="16"/>
                <w:szCs w:val="16"/>
              </w:rPr>
              <w:t>Other varieties (maximum)</w:t>
            </w:r>
          </w:p>
        </w:tc>
        <w:tc>
          <w:tcPr>
            <w:tcW w:w="1161" w:type="dxa"/>
            <w:vAlign w:val="center"/>
          </w:tcPr>
          <w:p w14:paraId="2AD121DC" w14:textId="77777777" w:rsidR="00272CE9" w:rsidRPr="00DD7255" w:rsidRDefault="00272CE9" w:rsidP="002E0396">
            <w:pPr>
              <w:jc w:val="center"/>
              <w:rPr>
                <w:rFonts w:eastAsia="PMingLiU"/>
                <w:sz w:val="16"/>
                <w:szCs w:val="16"/>
              </w:rPr>
            </w:pPr>
            <w:r w:rsidRPr="00DD7255">
              <w:rPr>
                <w:sz w:val="16"/>
                <w:szCs w:val="16"/>
              </w:rPr>
              <w:t>0.01%</w:t>
            </w:r>
          </w:p>
        </w:tc>
        <w:tc>
          <w:tcPr>
            <w:tcW w:w="1264" w:type="dxa"/>
            <w:vAlign w:val="center"/>
          </w:tcPr>
          <w:p w14:paraId="340CB18A" w14:textId="77777777" w:rsidR="00272CE9" w:rsidRPr="00DD7255" w:rsidRDefault="00272CE9" w:rsidP="002E0396">
            <w:pPr>
              <w:jc w:val="center"/>
              <w:rPr>
                <w:rFonts w:eastAsia="PMingLiU"/>
                <w:sz w:val="16"/>
                <w:szCs w:val="16"/>
              </w:rPr>
            </w:pPr>
            <w:r w:rsidRPr="00DD7255">
              <w:rPr>
                <w:sz w:val="16"/>
                <w:szCs w:val="16"/>
              </w:rPr>
              <w:t>0.05%</w:t>
            </w:r>
          </w:p>
        </w:tc>
        <w:tc>
          <w:tcPr>
            <w:tcW w:w="1139" w:type="dxa"/>
            <w:vAlign w:val="center"/>
          </w:tcPr>
          <w:p w14:paraId="6603D2F2" w14:textId="77777777" w:rsidR="00272CE9" w:rsidRPr="00DD7255" w:rsidRDefault="00272CE9" w:rsidP="002E0396">
            <w:pPr>
              <w:jc w:val="center"/>
              <w:rPr>
                <w:rFonts w:eastAsia="PMingLiU"/>
                <w:sz w:val="16"/>
                <w:szCs w:val="16"/>
              </w:rPr>
            </w:pPr>
            <w:r w:rsidRPr="00DD7255">
              <w:rPr>
                <w:sz w:val="16"/>
                <w:szCs w:val="16"/>
              </w:rPr>
              <w:t>0.10%</w:t>
            </w:r>
          </w:p>
        </w:tc>
      </w:tr>
      <w:tr w:rsidR="00272CE9" w:rsidRPr="008D1E1B" w14:paraId="5569E064" w14:textId="77777777" w:rsidTr="002E0396">
        <w:trPr>
          <w:cantSplit/>
          <w:tblHeader/>
          <w:jc w:val="center"/>
        </w:trPr>
        <w:tc>
          <w:tcPr>
            <w:tcW w:w="1548" w:type="dxa"/>
            <w:vAlign w:val="bottom"/>
          </w:tcPr>
          <w:p w14:paraId="646C6E54" w14:textId="77777777" w:rsidR="00272CE9" w:rsidRPr="00DD7255" w:rsidRDefault="00272CE9" w:rsidP="002E0396">
            <w:pPr>
              <w:rPr>
                <w:rFonts w:eastAsia="PMingLiU"/>
                <w:sz w:val="16"/>
                <w:szCs w:val="16"/>
              </w:rPr>
            </w:pPr>
            <w:r w:rsidRPr="00DD7255">
              <w:rPr>
                <w:sz w:val="16"/>
                <w:szCs w:val="16"/>
              </w:rPr>
              <w:t>Other kinds (maximum)</w:t>
            </w:r>
            <w:r w:rsidRPr="00DD7255">
              <w:rPr>
                <w:sz w:val="16"/>
                <w:szCs w:val="16"/>
                <w:vertAlign w:val="superscript"/>
              </w:rPr>
              <w:t>2</w:t>
            </w:r>
          </w:p>
        </w:tc>
        <w:tc>
          <w:tcPr>
            <w:tcW w:w="1161" w:type="dxa"/>
            <w:vAlign w:val="center"/>
          </w:tcPr>
          <w:p w14:paraId="2ED176FD" w14:textId="77777777" w:rsidR="00272CE9" w:rsidRPr="00DD7255" w:rsidRDefault="00272CE9" w:rsidP="002E0396">
            <w:pPr>
              <w:jc w:val="center"/>
              <w:rPr>
                <w:rFonts w:eastAsia="PMingLiU"/>
                <w:sz w:val="16"/>
                <w:szCs w:val="16"/>
              </w:rPr>
            </w:pPr>
            <w:r w:rsidRPr="00DD7255">
              <w:rPr>
                <w:sz w:val="16"/>
                <w:szCs w:val="16"/>
              </w:rPr>
              <w:t>0.01%</w:t>
            </w:r>
          </w:p>
        </w:tc>
        <w:tc>
          <w:tcPr>
            <w:tcW w:w="1264" w:type="dxa"/>
            <w:vAlign w:val="center"/>
          </w:tcPr>
          <w:p w14:paraId="34CEA605" w14:textId="77777777" w:rsidR="00272CE9" w:rsidRPr="00DD7255" w:rsidRDefault="00272CE9" w:rsidP="002E0396">
            <w:pPr>
              <w:jc w:val="center"/>
              <w:rPr>
                <w:rFonts w:eastAsia="PMingLiU"/>
                <w:sz w:val="16"/>
                <w:szCs w:val="16"/>
              </w:rPr>
            </w:pPr>
            <w:r w:rsidRPr="00DD7255">
              <w:rPr>
                <w:sz w:val="16"/>
                <w:szCs w:val="16"/>
              </w:rPr>
              <w:t>0.03%</w:t>
            </w:r>
          </w:p>
        </w:tc>
        <w:tc>
          <w:tcPr>
            <w:tcW w:w="1139" w:type="dxa"/>
            <w:vAlign w:val="center"/>
          </w:tcPr>
          <w:p w14:paraId="76C3ED0C" w14:textId="77777777" w:rsidR="00272CE9" w:rsidRPr="00DD7255" w:rsidRDefault="00272CE9" w:rsidP="002E0396">
            <w:pPr>
              <w:jc w:val="center"/>
              <w:rPr>
                <w:rFonts w:eastAsia="PMingLiU"/>
                <w:sz w:val="16"/>
                <w:szCs w:val="16"/>
              </w:rPr>
            </w:pPr>
            <w:r w:rsidRPr="00DD7255">
              <w:rPr>
                <w:sz w:val="16"/>
                <w:szCs w:val="16"/>
              </w:rPr>
              <w:t>0.07%</w:t>
            </w:r>
          </w:p>
        </w:tc>
      </w:tr>
      <w:tr w:rsidR="00272CE9" w:rsidRPr="008D1E1B" w14:paraId="568FC161" w14:textId="77777777" w:rsidTr="002E0396">
        <w:trPr>
          <w:cantSplit/>
          <w:tblHeader/>
          <w:jc w:val="center"/>
        </w:trPr>
        <w:tc>
          <w:tcPr>
            <w:tcW w:w="1548" w:type="dxa"/>
            <w:vAlign w:val="bottom"/>
          </w:tcPr>
          <w:p w14:paraId="59D2400E" w14:textId="77777777" w:rsidR="00272CE9" w:rsidRPr="00DD7255" w:rsidRDefault="00272CE9" w:rsidP="002E0396">
            <w:pPr>
              <w:rPr>
                <w:rFonts w:eastAsia="PMingLiU"/>
                <w:sz w:val="16"/>
                <w:szCs w:val="16"/>
              </w:rPr>
            </w:pPr>
            <w:r w:rsidRPr="00DD7255">
              <w:rPr>
                <w:sz w:val="16"/>
                <w:szCs w:val="16"/>
              </w:rPr>
              <w:t>Germination (minimum)</w:t>
            </w:r>
            <w:r w:rsidRPr="00DD7255">
              <w:rPr>
                <w:sz w:val="16"/>
                <w:szCs w:val="16"/>
                <w:vertAlign w:val="superscript"/>
              </w:rPr>
              <w:t>3</w:t>
            </w:r>
          </w:p>
        </w:tc>
        <w:tc>
          <w:tcPr>
            <w:tcW w:w="1161" w:type="dxa"/>
            <w:vAlign w:val="center"/>
          </w:tcPr>
          <w:p w14:paraId="71F05038" w14:textId="77777777" w:rsidR="00272CE9" w:rsidRPr="00DD7255" w:rsidRDefault="00272CE9" w:rsidP="002E0396">
            <w:pPr>
              <w:jc w:val="center"/>
              <w:rPr>
                <w:rFonts w:eastAsia="PMingLiU"/>
                <w:sz w:val="16"/>
                <w:szCs w:val="16"/>
              </w:rPr>
            </w:pPr>
            <w:r w:rsidRPr="00DD7255">
              <w:rPr>
                <w:sz w:val="16"/>
                <w:szCs w:val="16"/>
              </w:rPr>
              <w:t>80.00%</w:t>
            </w:r>
          </w:p>
        </w:tc>
        <w:tc>
          <w:tcPr>
            <w:tcW w:w="1264" w:type="dxa"/>
            <w:vAlign w:val="center"/>
          </w:tcPr>
          <w:p w14:paraId="2B426D34" w14:textId="77777777" w:rsidR="00272CE9" w:rsidRPr="00DD7255" w:rsidRDefault="00272CE9" w:rsidP="002E0396">
            <w:pPr>
              <w:jc w:val="center"/>
              <w:rPr>
                <w:rFonts w:eastAsia="PMingLiU"/>
                <w:sz w:val="16"/>
                <w:szCs w:val="16"/>
              </w:rPr>
            </w:pPr>
            <w:r w:rsidRPr="00DD7255">
              <w:rPr>
                <w:sz w:val="16"/>
                <w:szCs w:val="16"/>
              </w:rPr>
              <w:t>80.00%</w:t>
            </w:r>
          </w:p>
        </w:tc>
        <w:tc>
          <w:tcPr>
            <w:tcW w:w="1139" w:type="dxa"/>
            <w:vAlign w:val="center"/>
          </w:tcPr>
          <w:p w14:paraId="2E643D48" w14:textId="77777777" w:rsidR="00272CE9" w:rsidRPr="00DD7255" w:rsidRDefault="00272CE9" w:rsidP="002E0396">
            <w:pPr>
              <w:jc w:val="center"/>
              <w:rPr>
                <w:rFonts w:eastAsia="PMingLiU"/>
                <w:sz w:val="16"/>
                <w:szCs w:val="16"/>
              </w:rPr>
            </w:pPr>
            <w:r w:rsidRPr="00DD7255">
              <w:rPr>
                <w:sz w:val="16"/>
                <w:szCs w:val="16"/>
              </w:rPr>
              <w:t>80.00%</w:t>
            </w:r>
          </w:p>
        </w:tc>
      </w:tr>
    </w:tbl>
    <w:p w14:paraId="63FA985A" w14:textId="77777777" w:rsidR="00272CE9" w:rsidRPr="008D1E1B" w:rsidRDefault="00272CE9" w:rsidP="00272CE9">
      <w:pPr>
        <w:spacing w:line="20" w:lineRule="exact"/>
        <w:rPr>
          <w:rFonts w:eastAsia="PMingLiU"/>
        </w:rPr>
      </w:pPr>
    </w:p>
    <w:p w14:paraId="1FB3A70A" w14:textId="77777777" w:rsidR="00272CE9" w:rsidRPr="00DD7255" w:rsidRDefault="00272CE9" w:rsidP="00272CE9">
      <w:pPr>
        <w:pStyle w:val="RegDoubleIndent"/>
        <w:rPr>
          <w:sz w:val="16"/>
          <w:szCs w:val="16"/>
        </w:rPr>
      </w:pPr>
      <w:r w:rsidRPr="00DD7255">
        <w:rPr>
          <w:sz w:val="16"/>
          <w:szCs w:val="16"/>
          <w:vertAlign w:val="superscript"/>
        </w:rPr>
        <w:t>1</w:t>
      </w:r>
      <w:r w:rsidRPr="00DD7255">
        <w:rPr>
          <w:sz w:val="16"/>
          <w:szCs w:val="16"/>
        </w:rPr>
        <w:t xml:space="preserve"> Inert matter shall not include more than 0.5 percent of material other than seed fragments of the variety under consideration.</w:t>
      </w:r>
    </w:p>
    <w:p w14:paraId="4A1BE527" w14:textId="77777777" w:rsidR="00272CE9" w:rsidRPr="00DD7255" w:rsidRDefault="00272CE9" w:rsidP="00272CE9">
      <w:pPr>
        <w:pStyle w:val="RegDoubleIndent"/>
        <w:rPr>
          <w:sz w:val="16"/>
          <w:szCs w:val="16"/>
        </w:rPr>
      </w:pPr>
      <w:r w:rsidRPr="00DD7255">
        <w:rPr>
          <w:sz w:val="16"/>
          <w:szCs w:val="16"/>
          <w:vertAlign w:val="superscript"/>
        </w:rPr>
        <w:t>2</w:t>
      </w:r>
      <w:r w:rsidRPr="00DD7255">
        <w:rPr>
          <w:sz w:val="16"/>
          <w:szCs w:val="16"/>
        </w:rPr>
        <w:t xml:space="preserve"> Other crop kinds shall not exceed 2 per lb. (454 grams) for Foundation; 6 for Registered; 10 for Certified.</w:t>
      </w:r>
    </w:p>
    <w:p w14:paraId="2B32DDB0" w14:textId="77777777" w:rsidR="00272CE9" w:rsidRDefault="00272CE9" w:rsidP="00272CE9">
      <w:pPr>
        <w:pStyle w:val="RegDoubleIndent"/>
        <w:rPr>
          <w:sz w:val="16"/>
          <w:szCs w:val="16"/>
        </w:rPr>
      </w:pPr>
      <w:r w:rsidRPr="00DD7255">
        <w:rPr>
          <w:sz w:val="16"/>
          <w:szCs w:val="16"/>
          <w:vertAlign w:val="superscript"/>
        </w:rPr>
        <w:t>3</w:t>
      </w:r>
      <w:r w:rsidRPr="00DD7255">
        <w:rPr>
          <w:sz w:val="16"/>
          <w:szCs w:val="16"/>
        </w:rPr>
        <w:t xml:space="preserve"> Exclusive of dormancy, firm or hard seed, or any other reference to viability.</w:t>
      </w:r>
    </w:p>
    <w:p w14:paraId="596F7E94" w14:textId="77777777" w:rsidR="00272CE9" w:rsidRPr="00DD7255" w:rsidRDefault="00272CE9" w:rsidP="00272CE9">
      <w:pPr>
        <w:pStyle w:val="A"/>
      </w:pPr>
    </w:p>
    <w:p w14:paraId="2557E536" w14:textId="77777777" w:rsidR="00272CE9" w:rsidRPr="008D1E1B" w:rsidRDefault="00272CE9" w:rsidP="00272CE9">
      <w:pPr>
        <w:pStyle w:val="AuthorityNote"/>
      </w:pPr>
      <w:r w:rsidRPr="008D1E1B">
        <w:t>AUTHORITY NOTE:</w:t>
      </w:r>
      <w:r w:rsidRPr="008D1E1B">
        <w:tab/>
        <w:t>Promulgated in accordance with R.S. 3:1433.</w:t>
      </w:r>
    </w:p>
    <w:p w14:paraId="3800FC3E" w14:textId="77777777" w:rsidR="00272CE9" w:rsidRDefault="00272CE9" w:rsidP="00272CE9">
      <w:pPr>
        <w:pStyle w:val="HistoricalNote"/>
      </w:pPr>
      <w:r w:rsidRPr="008D1E1B">
        <w:t>HISTORICAL NOTE:</w:t>
      </w:r>
      <w:r w:rsidRPr="008D1E1B">
        <w:tab/>
        <w:t xml:space="preserve">Promulgated by the Department of Agriculture and Forestry, Office of Agricultural and Environmental Sciences, Agricultural Chemistry and Seed Commission, </w:t>
      </w:r>
      <w:r>
        <w:t>LR 51:1572 (October 2025).</w:t>
      </w:r>
    </w:p>
    <w:p w14:paraId="18D9B622" w14:textId="77777777" w:rsidR="00272CE9" w:rsidRDefault="00272CE9" w:rsidP="00272CE9">
      <w:pPr>
        <w:pStyle w:val="Section"/>
        <w:rPr>
          <w:rFonts w:eastAsia="PMingLiU"/>
        </w:rPr>
      </w:pPr>
      <w:bookmarkStart w:id="1272" w:name="_Toc224818855"/>
      <w:r w:rsidRPr="008D1E1B">
        <w:t>§</w:t>
      </w:r>
      <w:r w:rsidRPr="008D1E1B">
        <w:rPr>
          <w:spacing w:val="-1"/>
        </w:rPr>
        <w:t>1205.</w:t>
      </w:r>
      <w:r w:rsidRPr="008D1E1B">
        <w:rPr>
          <w:spacing w:val="-1"/>
        </w:rPr>
        <w:tab/>
      </w:r>
      <w:r w:rsidRPr="008D1E1B">
        <w:t>Feminized</w:t>
      </w:r>
      <w:r w:rsidRPr="008D1E1B">
        <w:rPr>
          <w:rFonts w:eastAsia="PMingLiU"/>
        </w:rPr>
        <w:t xml:space="preserve"> </w:t>
      </w:r>
      <w:r w:rsidRPr="008D1E1B">
        <w:t>Hemp</w:t>
      </w:r>
      <w:r w:rsidRPr="008D1E1B">
        <w:rPr>
          <w:rFonts w:eastAsia="PMingLiU"/>
        </w:rPr>
        <w:t xml:space="preserve"> Seed Certification Standards</w:t>
      </w:r>
      <w:bookmarkEnd w:id="1272"/>
    </w:p>
    <w:p w14:paraId="732D077F" w14:textId="77777777" w:rsidR="00272CE9" w:rsidRDefault="00272CE9" w:rsidP="00272CE9">
      <w:pPr>
        <w:pStyle w:val="A"/>
        <w:rPr>
          <w:rFonts w:eastAsia="PMingLiU"/>
        </w:rPr>
      </w:pPr>
      <w:r w:rsidRPr="008D1E1B">
        <w:rPr>
          <w:rFonts w:eastAsia="PMingLiU"/>
        </w:rPr>
        <w:t>A.</w:t>
      </w:r>
      <w:r w:rsidRPr="008D1E1B">
        <w:rPr>
          <w:rFonts w:eastAsia="PMingLiU"/>
        </w:rPr>
        <w:tab/>
        <w:t>Designation of Classes of Seed</w:t>
      </w:r>
    </w:p>
    <w:p w14:paraId="2185887A" w14:textId="77777777" w:rsidR="00272CE9" w:rsidRDefault="00272CE9" w:rsidP="00272CE9">
      <w:pPr>
        <w:pStyle w:val="1"/>
        <w:rPr>
          <w:rFonts w:eastAsia="PMingLiU"/>
        </w:rPr>
      </w:pPr>
      <w:r w:rsidRPr="008D1E1B">
        <w:rPr>
          <w:rFonts w:eastAsia="PMingLiU"/>
        </w:rPr>
        <w:t>1.</w:t>
      </w:r>
      <w:r w:rsidRPr="008D1E1B">
        <w:rPr>
          <w:rFonts w:eastAsia="PMingLiU"/>
        </w:rPr>
        <w:tab/>
        <w:t>Only the certified class is allowed for the production of feminized hemp seed, except for foundation class for the purpose of variety maintenance.</w:t>
      </w:r>
    </w:p>
    <w:p w14:paraId="1AD1752F" w14:textId="77777777" w:rsidR="00272CE9" w:rsidRDefault="00272CE9" w:rsidP="00272CE9">
      <w:pPr>
        <w:pStyle w:val="1"/>
        <w:rPr>
          <w:rFonts w:eastAsia="PMingLiU"/>
        </w:rPr>
      </w:pPr>
      <w:r w:rsidRPr="008D1E1B">
        <w:rPr>
          <w:rFonts w:eastAsia="PMingLiU"/>
        </w:rPr>
        <w:t>2.</w:t>
      </w:r>
      <w:r w:rsidRPr="008D1E1B">
        <w:rPr>
          <w:rFonts w:eastAsia="PMingLiU"/>
        </w:rPr>
        <w:tab/>
        <w:t>Feminized seed varieties must be produced from seed or clonal stocks approved by LDAF. These seed and clonal stocks shall consist of female lines and chemically assisted pollen shedding female lines of any class of certified seed or clones.</w:t>
      </w:r>
    </w:p>
    <w:p w14:paraId="70893CC6" w14:textId="77777777" w:rsidR="00272CE9" w:rsidRDefault="00272CE9" w:rsidP="00272CE9">
      <w:pPr>
        <w:pStyle w:val="A"/>
        <w:rPr>
          <w:rFonts w:eastAsia="PMingLiU"/>
        </w:rPr>
      </w:pPr>
      <w:r w:rsidRPr="008D1E1B">
        <w:rPr>
          <w:rFonts w:eastAsia="PMingLiU"/>
        </w:rPr>
        <w:t>B.</w:t>
      </w:r>
      <w:r w:rsidRPr="008D1E1B">
        <w:rPr>
          <w:rFonts w:eastAsia="PMingLiU"/>
        </w:rPr>
        <w:tab/>
        <w:t>Growth Facility Requirements</w:t>
      </w:r>
    </w:p>
    <w:p w14:paraId="5BED7AAE" w14:textId="77777777" w:rsidR="00272CE9" w:rsidRDefault="00272CE9" w:rsidP="00272CE9">
      <w:pPr>
        <w:pStyle w:val="1"/>
        <w:rPr>
          <w:rFonts w:eastAsia="PMingLiU"/>
        </w:rPr>
      </w:pPr>
      <w:r w:rsidRPr="008D1E1B">
        <w:rPr>
          <w:rFonts w:eastAsia="PMingLiU"/>
        </w:rPr>
        <w:t>1.</w:t>
      </w:r>
      <w:r w:rsidRPr="008D1E1B">
        <w:rPr>
          <w:rFonts w:eastAsia="PMingLiU"/>
        </w:rPr>
        <w:tab/>
        <w:t>Growth facility shall only contain certified hemp plants or plant material.</w:t>
      </w:r>
    </w:p>
    <w:p w14:paraId="40883DB4" w14:textId="77777777" w:rsidR="00272CE9" w:rsidRDefault="00272CE9" w:rsidP="00272CE9">
      <w:pPr>
        <w:pStyle w:val="1"/>
        <w:rPr>
          <w:rFonts w:eastAsia="PMingLiU"/>
        </w:rPr>
      </w:pPr>
      <w:r w:rsidRPr="008D1E1B">
        <w:rPr>
          <w:rFonts w:eastAsia="PMingLiU"/>
        </w:rPr>
        <w:t>2.</w:t>
      </w:r>
      <w:r w:rsidRPr="008D1E1B">
        <w:rPr>
          <w:rFonts w:eastAsia="PMingLiU"/>
        </w:rPr>
        <w:tab/>
        <w:t>Multiple feminized hemp seed varieties may be maintained in the growth facility.</w:t>
      </w:r>
    </w:p>
    <w:p w14:paraId="45B3E9B9" w14:textId="77777777" w:rsidR="00272CE9" w:rsidRDefault="00272CE9" w:rsidP="00272CE9">
      <w:pPr>
        <w:pStyle w:val="1"/>
        <w:rPr>
          <w:rFonts w:eastAsia="PMingLiU"/>
        </w:rPr>
      </w:pPr>
      <w:r w:rsidRPr="008D1E1B">
        <w:rPr>
          <w:rFonts w:eastAsia="PMingLiU"/>
        </w:rPr>
        <w:t>3.</w:t>
      </w:r>
      <w:r w:rsidRPr="008D1E1B">
        <w:rPr>
          <w:rFonts w:eastAsia="PMingLiU"/>
        </w:rPr>
        <w:tab/>
        <w:t>Other hemp plants are prohibited, except for pollen parent plants that are the intended pollen source.</w:t>
      </w:r>
    </w:p>
    <w:p w14:paraId="221A350D" w14:textId="77777777" w:rsidR="00272CE9" w:rsidRDefault="00272CE9" w:rsidP="00272CE9">
      <w:pPr>
        <w:pStyle w:val="1"/>
        <w:rPr>
          <w:rFonts w:eastAsia="PMingLiU"/>
        </w:rPr>
      </w:pPr>
      <w:r w:rsidRPr="008D1E1B">
        <w:rPr>
          <w:rFonts w:eastAsia="PMingLiU"/>
        </w:rPr>
        <w:t>4.</w:t>
      </w:r>
      <w:r w:rsidRPr="008D1E1B">
        <w:rPr>
          <w:rFonts w:eastAsia="PMingLiU"/>
        </w:rPr>
        <w:tab/>
        <w:t>Growth facility shall be free of all plants for a minimum of six weeks prior to receiving plants at the beginning of the crop year or production cycle unless the previous crop was the same certified variety.</w:t>
      </w:r>
    </w:p>
    <w:p w14:paraId="6271FB34" w14:textId="77777777" w:rsidR="00272CE9" w:rsidRDefault="00272CE9" w:rsidP="00272CE9">
      <w:pPr>
        <w:pStyle w:val="1"/>
        <w:rPr>
          <w:rFonts w:eastAsia="PMingLiU"/>
        </w:rPr>
      </w:pPr>
      <w:r w:rsidRPr="008D1E1B">
        <w:rPr>
          <w:rFonts w:eastAsia="PMingLiU"/>
        </w:rPr>
        <w:t>5.</w:t>
      </w:r>
      <w:r w:rsidRPr="008D1E1B">
        <w:rPr>
          <w:rFonts w:eastAsia="PMingLiU"/>
        </w:rPr>
        <w:tab/>
        <w:t>If pollen sanitation is used to reduce the six-week hemp free period, a sanitation plan must be submitted to and approved by LDAF prior to introducing the new certified plant material into the growth facility.</w:t>
      </w:r>
    </w:p>
    <w:p w14:paraId="49BEDEAB" w14:textId="77777777" w:rsidR="00272CE9" w:rsidRDefault="00272CE9" w:rsidP="00272CE9">
      <w:pPr>
        <w:pStyle w:val="1"/>
        <w:rPr>
          <w:rFonts w:eastAsia="PMingLiU"/>
        </w:rPr>
      </w:pPr>
      <w:r w:rsidRPr="008D1E1B">
        <w:rPr>
          <w:rFonts w:eastAsia="PMingLiU"/>
        </w:rPr>
        <w:t>6.</w:t>
      </w:r>
      <w:r w:rsidRPr="008D1E1B">
        <w:rPr>
          <w:rFonts w:eastAsia="PMingLiU"/>
        </w:rPr>
        <w:tab/>
        <w:t>Pollen sanitation is not required if the entire greenhouse facility produces only one pollen source, and other female lines are continually rogued to prevent contaminating pollen sources.</w:t>
      </w:r>
    </w:p>
    <w:p w14:paraId="3A712BB9" w14:textId="77777777" w:rsidR="00272CE9" w:rsidRDefault="00272CE9" w:rsidP="00272CE9">
      <w:pPr>
        <w:pStyle w:val="A"/>
        <w:rPr>
          <w:rFonts w:eastAsia="PMingLiU"/>
        </w:rPr>
      </w:pPr>
      <w:r w:rsidRPr="008D1E1B">
        <w:rPr>
          <w:rFonts w:eastAsia="PMingLiU"/>
        </w:rPr>
        <w:t>C.</w:t>
      </w:r>
      <w:r w:rsidRPr="008D1E1B">
        <w:rPr>
          <w:rFonts w:eastAsia="PMingLiU"/>
        </w:rPr>
        <w:tab/>
        <w:t>Land Requirements</w:t>
      </w:r>
    </w:p>
    <w:p w14:paraId="22A73DBD" w14:textId="77777777" w:rsidR="00272CE9" w:rsidRDefault="00272CE9" w:rsidP="00272CE9">
      <w:pPr>
        <w:pStyle w:val="1"/>
        <w:rPr>
          <w:rFonts w:eastAsia="PMingLiU"/>
        </w:rPr>
      </w:pPr>
      <w:r w:rsidRPr="008D1E1B">
        <w:rPr>
          <w:rFonts w:eastAsia="PMingLiU"/>
        </w:rPr>
        <w:t>1.</w:t>
      </w:r>
      <w:r w:rsidRPr="008D1E1B">
        <w:rPr>
          <w:rFonts w:eastAsia="PMingLiU"/>
        </w:rPr>
        <w:tab/>
        <w:t>Certified feminized hemp seed crops shall not be grown on land in which:</w:t>
      </w:r>
    </w:p>
    <w:p w14:paraId="04F833DC" w14:textId="77777777" w:rsidR="00272CE9" w:rsidRDefault="00272CE9" w:rsidP="00272CE9">
      <w:pPr>
        <w:pStyle w:val="a0"/>
        <w:rPr>
          <w:rFonts w:eastAsia="PMingLiU"/>
        </w:rPr>
      </w:pPr>
      <w:r w:rsidRPr="008D1E1B">
        <w:rPr>
          <w:rFonts w:eastAsia="PMingLiU"/>
        </w:rPr>
        <w:lastRenderedPageBreak/>
        <w:t>a.</w:t>
      </w:r>
      <w:r w:rsidRPr="008D1E1B">
        <w:rPr>
          <w:rFonts w:eastAsia="PMingLiU"/>
        </w:rPr>
        <w:tab/>
        <w:t>Produced a non-certified crop of hemp or a different variety of hemp in either of the preceding two years, or</w:t>
      </w:r>
    </w:p>
    <w:p w14:paraId="40EA3B3D" w14:textId="77777777" w:rsidR="00272CE9" w:rsidRDefault="00272CE9" w:rsidP="00272CE9">
      <w:pPr>
        <w:pStyle w:val="a0"/>
        <w:rPr>
          <w:rFonts w:eastAsia="PMingLiU"/>
        </w:rPr>
      </w:pPr>
      <w:r w:rsidRPr="008D1E1B">
        <w:rPr>
          <w:rFonts w:eastAsia="PMingLiU"/>
        </w:rPr>
        <w:t>b.</w:t>
      </w:r>
      <w:r w:rsidRPr="008D1E1B">
        <w:rPr>
          <w:rFonts w:eastAsia="PMingLiU"/>
        </w:rPr>
        <w:tab/>
        <w:t>Produced a certified crop of the same variety in the preceding year.</w:t>
      </w:r>
    </w:p>
    <w:p w14:paraId="74EF7577" w14:textId="77777777" w:rsidR="00272CE9" w:rsidRDefault="00272CE9" w:rsidP="00272CE9">
      <w:pPr>
        <w:pStyle w:val="A"/>
        <w:rPr>
          <w:rFonts w:eastAsia="PMingLiU"/>
        </w:rPr>
      </w:pPr>
      <w:r w:rsidRPr="008D1E1B">
        <w:rPr>
          <w:rFonts w:eastAsia="PMingLiU"/>
        </w:rPr>
        <w:t>D.</w:t>
      </w:r>
      <w:r w:rsidRPr="008D1E1B">
        <w:rPr>
          <w:rFonts w:eastAsia="PMingLiU"/>
        </w:rPr>
        <w:tab/>
        <w:t>Inspections</w:t>
      </w:r>
    </w:p>
    <w:p w14:paraId="217A3C0F" w14:textId="77777777" w:rsidR="00272CE9" w:rsidRDefault="00272CE9" w:rsidP="00272CE9">
      <w:pPr>
        <w:pStyle w:val="1"/>
        <w:rPr>
          <w:rFonts w:eastAsia="PMingLiU"/>
        </w:rPr>
      </w:pPr>
      <w:r w:rsidRPr="008D1E1B">
        <w:rPr>
          <w:rFonts w:eastAsia="PMingLiU"/>
        </w:rPr>
        <w:t>1.</w:t>
      </w:r>
      <w:r w:rsidRPr="008D1E1B">
        <w:rPr>
          <w:rFonts w:eastAsia="PMingLiU"/>
        </w:rPr>
        <w:tab/>
        <w:t>It is the grower’s responsibility to request and ensure that the growth facility and field inspections are conducted by LDAF at least twice prior to swathing or harvesting.</w:t>
      </w:r>
    </w:p>
    <w:p w14:paraId="695EDF97" w14:textId="77777777" w:rsidR="00272CE9" w:rsidRDefault="00272CE9" w:rsidP="00272CE9">
      <w:pPr>
        <w:pStyle w:val="1"/>
        <w:rPr>
          <w:rFonts w:eastAsia="PMingLiU"/>
        </w:rPr>
      </w:pPr>
      <w:r w:rsidRPr="008D1E1B">
        <w:rPr>
          <w:rFonts w:eastAsia="PMingLiU"/>
        </w:rPr>
        <w:t>2.</w:t>
      </w:r>
      <w:r w:rsidRPr="008D1E1B">
        <w:rPr>
          <w:rFonts w:eastAsia="PMingLiU"/>
        </w:rPr>
        <w:tab/>
        <w:t>Certified plants within a growth facility or field that have been cut, swathed or harvested prior to all required inspections shall be ineligible for certification.</w:t>
      </w:r>
    </w:p>
    <w:p w14:paraId="77B4A361" w14:textId="77777777" w:rsidR="00272CE9" w:rsidRDefault="00272CE9" w:rsidP="00272CE9">
      <w:pPr>
        <w:pStyle w:val="1"/>
        <w:rPr>
          <w:rFonts w:eastAsia="PMingLiU"/>
        </w:rPr>
      </w:pPr>
      <w:r w:rsidRPr="008D1E1B">
        <w:rPr>
          <w:rFonts w:eastAsia="PMingLiU"/>
        </w:rPr>
        <w:t>3.</w:t>
      </w:r>
      <w:r w:rsidRPr="008D1E1B">
        <w:rPr>
          <w:rFonts w:eastAsia="PMingLiU"/>
        </w:rPr>
        <w:tab/>
        <w:t>Inspections of pollen parent plants and seed parent plants shall be at a stage of growth when varietal purity is best determined. Crops not inspected at the proper stage for best determining varietal purity may be cause for rejection.</w:t>
      </w:r>
    </w:p>
    <w:p w14:paraId="67ECC648" w14:textId="77777777" w:rsidR="00272CE9" w:rsidRDefault="00272CE9" w:rsidP="00272CE9">
      <w:pPr>
        <w:pStyle w:val="1"/>
        <w:rPr>
          <w:rFonts w:eastAsia="PMingLiU"/>
        </w:rPr>
      </w:pPr>
      <w:r w:rsidRPr="008D1E1B">
        <w:rPr>
          <w:rFonts w:eastAsia="PMingLiU"/>
        </w:rPr>
        <w:t>4.</w:t>
      </w:r>
      <w:r w:rsidRPr="008D1E1B">
        <w:rPr>
          <w:rFonts w:eastAsia="PMingLiU"/>
        </w:rPr>
        <w:tab/>
        <w:t>LDAF will perform a minimum of two inspections.</w:t>
      </w:r>
    </w:p>
    <w:p w14:paraId="017FB6B7" w14:textId="77777777" w:rsidR="00272CE9" w:rsidRDefault="00272CE9" w:rsidP="00272CE9">
      <w:pPr>
        <w:pStyle w:val="a0"/>
        <w:rPr>
          <w:rFonts w:eastAsia="PMingLiU"/>
        </w:rPr>
      </w:pPr>
      <w:r w:rsidRPr="008D1E1B">
        <w:rPr>
          <w:rFonts w:eastAsia="PMingLiU"/>
        </w:rPr>
        <w:t>a.</w:t>
      </w:r>
      <w:r w:rsidRPr="008D1E1B">
        <w:rPr>
          <w:rFonts w:eastAsia="PMingLiU"/>
        </w:rPr>
        <w:tab/>
        <w:t>First inspection for pollen parent and seed parent plants will be made just before or at early flowering. The pollen parent will be inspected prior to pollen collection or dispersal.</w:t>
      </w:r>
    </w:p>
    <w:p w14:paraId="1B9135F1" w14:textId="77777777" w:rsidR="00272CE9" w:rsidRDefault="00272CE9" w:rsidP="00272CE9">
      <w:pPr>
        <w:pStyle w:val="a0"/>
        <w:rPr>
          <w:rFonts w:eastAsia="PMingLiU"/>
        </w:rPr>
      </w:pPr>
      <w:r w:rsidRPr="008D1E1B">
        <w:rPr>
          <w:rFonts w:eastAsia="PMingLiU"/>
        </w:rPr>
        <w:t>b.</w:t>
      </w:r>
      <w:r w:rsidRPr="008D1E1B">
        <w:rPr>
          <w:rFonts w:eastAsia="PMingLiU"/>
        </w:rPr>
        <w:tab/>
        <w:t>Second inspection for pollen parent and seed parent types will be completed after pollen shed and seed fill.</w:t>
      </w:r>
    </w:p>
    <w:p w14:paraId="2CCF1F84" w14:textId="77777777" w:rsidR="00272CE9" w:rsidRDefault="00272CE9" w:rsidP="00272CE9">
      <w:pPr>
        <w:pStyle w:val="1"/>
        <w:rPr>
          <w:rFonts w:eastAsia="PMingLiU"/>
        </w:rPr>
      </w:pPr>
      <w:r w:rsidRPr="008D1E1B">
        <w:rPr>
          <w:rFonts w:eastAsia="PMingLiU"/>
        </w:rPr>
        <w:t>5.</w:t>
      </w:r>
      <w:r w:rsidRPr="008D1E1B">
        <w:rPr>
          <w:rFonts w:eastAsia="PMingLiU"/>
        </w:rPr>
        <w:tab/>
        <w:t>LDAF will inspect for the presence of volunteer hemp plants within isolation areas.</w:t>
      </w:r>
    </w:p>
    <w:p w14:paraId="20F8DC71" w14:textId="77777777" w:rsidR="00272CE9" w:rsidRDefault="00272CE9" w:rsidP="00272CE9">
      <w:pPr>
        <w:pStyle w:val="A"/>
      </w:pPr>
      <w:r w:rsidRPr="008D1E1B">
        <w:rPr>
          <w:rFonts w:eastAsia="PMingLiU"/>
        </w:rPr>
        <w:t>E.</w:t>
      </w:r>
      <w:r w:rsidRPr="008D1E1B">
        <w:rPr>
          <w:rFonts w:eastAsia="PMingLiU"/>
        </w:rPr>
        <w:tab/>
        <w:t>Specific</w:t>
      </w:r>
      <w:r w:rsidRPr="008D1E1B">
        <w:rPr>
          <w:spacing w:val="11"/>
        </w:rPr>
        <w:t xml:space="preserve"> Requirements. For </w:t>
      </w:r>
      <w:r w:rsidRPr="008D1E1B">
        <w:t>the production of feminized hemp seed varieties via pollen shedding by the chemically reversed female plants.</w:t>
      </w:r>
    </w:p>
    <w:p w14:paraId="062D8FD7" w14:textId="77777777" w:rsidR="00272CE9" w:rsidRDefault="00272CE9" w:rsidP="00272CE9">
      <w:pPr>
        <w:pStyle w:val="1"/>
      </w:pPr>
      <w:r w:rsidRPr="008D1E1B">
        <w:t>1.</w:t>
      </w:r>
      <w:r w:rsidRPr="008D1E1B">
        <w:tab/>
        <w:t>Detailed records shall be maintained on the pollen parent, including, but not limited to, the chemical application dates, concentration, and pollen collection date.</w:t>
      </w:r>
    </w:p>
    <w:p w14:paraId="1CF3F074" w14:textId="77777777" w:rsidR="00272CE9" w:rsidRDefault="00272CE9" w:rsidP="00272CE9">
      <w:pPr>
        <w:pStyle w:val="1"/>
      </w:pPr>
      <w:r w:rsidRPr="008D1E1B">
        <w:t>2.</w:t>
      </w:r>
      <w:r w:rsidRPr="008D1E1B">
        <w:tab/>
        <w:t>Pollen storage containers, if used, shall be labeled with a unique ID or lot number and the source of pollen.</w:t>
      </w:r>
    </w:p>
    <w:p w14:paraId="555C5CF5" w14:textId="77777777" w:rsidR="00272CE9" w:rsidRDefault="00272CE9" w:rsidP="00272CE9">
      <w:pPr>
        <w:pStyle w:val="1"/>
      </w:pPr>
      <w:r w:rsidRPr="008D1E1B">
        <w:t>3.</w:t>
      </w:r>
      <w:r w:rsidRPr="008D1E1B">
        <w:tab/>
        <w:t>Pollen parents shall be removed and destroyed after pollen collection is complete.</w:t>
      </w:r>
    </w:p>
    <w:p w14:paraId="5366F7C9" w14:textId="77777777" w:rsidR="00272CE9" w:rsidRDefault="00272CE9" w:rsidP="00272CE9">
      <w:pPr>
        <w:pStyle w:val="1"/>
      </w:pPr>
      <w:r w:rsidRPr="008D1E1B">
        <w:t>4.</w:t>
      </w:r>
      <w:r w:rsidRPr="008D1E1B">
        <w:tab/>
        <w:t>Male, sporting male, and hermaphroditic plants shall be removed from the growth facility or field by grower and a record of roguing activities maintained and made available to LDAF upon request.</w:t>
      </w:r>
    </w:p>
    <w:p w14:paraId="303CB4D5" w14:textId="77777777" w:rsidR="00272CE9" w:rsidRDefault="00272CE9" w:rsidP="00272CE9">
      <w:pPr>
        <w:pStyle w:val="A"/>
      </w:pPr>
      <w:r w:rsidRPr="008D1E1B">
        <w:t>F.</w:t>
      </w:r>
      <w:r w:rsidRPr="008D1E1B">
        <w:tab/>
        <w:t>Isolation Requirements</w:t>
      </w:r>
    </w:p>
    <w:p w14:paraId="23F22EEA" w14:textId="77777777" w:rsidR="00272CE9" w:rsidRDefault="00272CE9" w:rsidP="00272CE9">
      <w:pPr>
        <w:pStyle w:val="1"/>
      </w:pPr>
      <w:r w:rsidRPr="008D1E1B">
        <w:t>1.</w:t>
      </w:r>
      <w:r w:rsidRPr="008D1E1B">
        <w:tab/>
        <w:t>Certified feminized hemp seed fields shall be isolated from all other contaminating pollen sources by the minimum distances provided in Table 4 of this section.</w:t>
      </w:r>
    </w:p>
    <w:p w14:paraId="1CFE9130" w14:textId="77777777" w:rsidR="00272CE9" w:rsidRDefault="00272CE9" w:rsidP="00272CE9">
      <w:pPr>
        <w:pStyle w:val="1"/>
      </w:pPr>
      <w:r w:rsidRPr="008D1E1B">
        <w:t>2.</w:t>
      </w:r>
      <w:r w:rsidRPr="008D1E1B">
        <w:tab/>
        <w:t>Roguing to eliminate all possible contaminating pollen sources shall be completed prior to visible flower formation.</w:t>
      </w:r>
    </w:p>
    <w:p w14:paraId="6D14B188" w14:textId="77777777" w:rsidR="00272CE9" w:rsidRDefault="00272CE9" w:rsidP="00272CE9">
      <w:pPr>
        <w:pStyle w:val="1"/>
      </w:pPr>
      <w:r w:rsidRPr="008D1E1B">
        <w:t>3.</w:t>
      </w:r>
      <w:r w:rsidRPr="008D1E1B">
        <w:tab/>
        <w:t>Greenhouse production of certified feminized hemp seed is allowed if mechanical isolation of pollen sources is provided, and the following additional greenhouse requirements are met:</w:t>
      </w:r>
    </w:p>
    <w:p w14:paraId="4DEB991B" w14:textId="77777777" w:rsidR="00272CE9" w:rsidRDefault="00272CE9" w:rsidP="00272CE9">
      <w:pPr>
        <w:pStyle w:val="a0"/>
      </w:pPr>
      <w:r w:rsidRPr="008D1E1B">
        <w:rPr>
          <w:rFonts w:eastAsia="PMingLiU"/>
        </w:rPr>
        <w:t>a.</w:t>
      </w:r>
      <w:r w:rsidRPr="008D1E1B">
        <w:rPr>
          <w:rFonts w:eastAsia="PMingLiU"/>
        </w:rPr>
        <w:tab/>
        <w:t>Method of pollen exclusion must be documented and submitted to LDAF.</w:t>
      </w:r>
    </w:p>
    <w:p w14:paraId="625D6D75" w14:textId="77777777" w:rsidR="00272CE9" w:rsidRDefault="00272CE9" w:rsidP="00272CE9">
      <w:pPr>
        <w:pStyle w:val="a0"/>
      </w:pPr>
      <w:r w:rsidRPr="008D1E1B">
        <w:rPr>
          <w:rFonts w:eastAsia="PMingLiU"/>
        </w:rPr>
        <w:t>b.</w:t>
      </w:r>
      <w:r w:rsidRPr="008D1E1B">
        <w:rPr>
          <w:rFonts w:eastAsia="PMingLiU"/>
        </w:rPr>
        <w:tab/>
        <w:t>Each greenhouse facility is limited to one variety, except in the case when one pollen parent is utilized for all varieties.</w:t>
      </w:r>
    </w:p>
    <w:p w14:paraId="353D1ABD" w14:textId="77777777" w:rsidR="00272CE9" w:rsidRDefault="00272CE9" w:rsidP="00272CE9">
      <w:pPr>
        <w:pStyle w:val="a0"/>
      </w:pPr>
      <w:r w:rsidRPr="008D1E1B">
        <w:rPr>
          <w:rFonts w:eastAsia="PMingLiU"/>
        </w:rPr>
        <w:t>c.</w:t>
      </w:r>
      <w:r w:rsidRPr="008D1E1B">
        <w:rPr>
          <w:rFonts w:eastAsia="PMingLiU"/>
        </w:rPr>
        <w:tab/>
        <w:t>Each variety shall be clearly labeled and easily identifiable from one another.</w:t>
      </w:r>
    </w:p>
    <w:p w14:paraId="04379A75" w14:textId="77777777" w:rsidR="00272CE9" w:rsidRDefault="00272CE9" w:rsidP="00272CE9">
      <w:pPr>
        <w:pStyle w:val="1"/>
      </w:pPr>
      <w:r w:rsidRPr="008D1E1B">
        <w:t>4.</w:t>
      </w:r>
      <w:r w:rsidRPr="008D1E1B">
        <w:tab/>
        <w:t>LDAF may approve a reduction in isolation distances for off-season greenhouse production when outside pollen sources are not present.</w:t>
      </w:r>
    </w:p>
    <w:p w14:paraId="642D2D27" w14:textId="77777777" w:rsidR="00272CE9" w:rsidRDefault="00272CE9" w:rsidP="00272CE9">
      <w:pPr>
        <w:pStyle w:val="Text"/>
        <w:keepNext/>
        <w:spacing w:line="240" w:lineRule="auto"/>
        <w:jc w:val="center"/>
        <w:rPr>
          <w:b/>
          <w:sz w:val="16"/>
          <w:szCs w:val="16"/>
        </w:rPr>
        <w:sectPr w:rsidR="00272CE9" w:rsidSect="002E0396">
          <w:type w:val="continuous"/>
          <w:pgSz w:w="12240" w:h="15840"/>
          <w:pgMar w:top="720" w:right="864" w:bottom="317" w:left="864" w:header="576" w:footer="432" w:gutter="0"/>
          <w:cols w:num="2" w:space="720"/>
          <w:docGrid w:linePitch="272"/>
        </w:sectPr>
      </w:pPr>
    </w:p>
    <w:tbl>
      <w:tblPr>
        <w:tblW w:w="1005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87"/>
        <w:gridCol w:w="5580"/>
        <w:gridCol w:w="2790"/>
      </w:tblGrid>
      <w:tr w:rsidR="00272CE9" w:rsidRPr="008D1E1B" w14:paraId="507E6926" w14:textId="77777777" w:rsidTr="002E0396">
        <w:trPr>
          <w:cantSplit/>
          <w:trHeight w:hRule="exact" w:val="432"/>
          <w:jc w:val="center"/>
        </w:trPr>
        <w:tc>
          <w:tcPr>
            <w:tcW w:w="10057" w:type="dxa"/>
            <w:gridSpan w:val="3"/>
            <w:shd w:val="clear" w:color="auto" w:fill="BFBFBF"/>
            <w:vAlign w:val="bottom"/>
          </w:tcPr>
          <w:p w14:paraId="342A2947" w14:textId="77777777" w:rsidR="00272CE9" w:rsidRPr="0087778D" w:rsidRDefault="00272CE9" w:rsidP="002E0396">
            <w:pPr>
              <w:pStyle w:val="Text"/>
              <w:keepNext/>
              <w:spacing w:line="240" w:lineRule="auto"/>
              <w:jc w:val="center"/>
              <w:rPr>
                <w:b/>
                <w:sz w:val="16"/>
                <w:szCs w:val="16"/>
              </w:rPr>
            </w:pPr>
            <w:r w:rsidRPr="0087778D">
              <w:rPr>
                <w:b/>
                <w:sz w:val="16"/>
                <w:szCs w:val="16"/>
              </w:rPr>
              <w:t>Table 4.</w:t>
            </w:r>
            <w:r w:rsidRPr="0087778D">
              <w:rPr>
                <w:b/>
                <w:sz w:val="16"/>
                <w:szCs w:val="16"/>
              </w:rPr>
              <w:tab/>
              <w:t>Minimum Isolation Distances Required Between Certified Feminized Hemp Seed and Other Hemp Crops</w:t>
            </w:r>
          </w:p>
        </w:tc>
      </w:tr>
      <w:tr w:rsidR="00272CE9" w:rsidRPr="008D1E1B" w14:paraId="471B340F" w14:textId="77777777" w:rsidTr="002E0396">
        <w:trPr>
          <w:cantSplit/>
          <w:trHeight w:hRule="exact" w:val="393"/>
          <w:jc w:val="center"/>
        </w:trPr>
        <w:tc>
          <w:tcPr>
            <w:tcW w:w="1687" w:type="dxa"/>
            <w:shd w:val="clear" w:color="auto" w:fill="BFBFBF"/>
            <w:vAlign w:val="center"/>
          </w:tcPr>
          <w:p w14:paraId="1C94C746" w14:textId="77777777" w:rsidR="00272CE9" w:rsidRPr="0087778D" w:rsidRDefault="00272CE9" w:rsidP="002E0396">
            <w:pPr>
              <w:keepNext/>
              <w:jc w:val="center"/>
              <w:textAlignment w:val="baseline"/>
              <w:rPr>
                <w:b/>
                <w:sz w:val="16"/>
                <w:szCs w:val="16"/>
              </w:rPr>
            </w:pPr>
            <w:r w:rsidRPr="0087778D">
              <w:rPr>
                <w:b/>
                <w:sz w:val="16"/>
                <w:szCs w:val="16"/>
              </w:rPr>
              <w:t>Certified Crop</w:t>
            </w:r>
          </w:p>
        </w:tc>
        <w:tc>
          <w:tcPr>
            <w:tcW w:w="5580" w:type="dxa"/>
            <w:shd w:val="clear" w:color="auto" w:fill="BFBFBF"/>
            <w:vAlign w:val="center"/>
          </w:tcPr>
          <w:p w14:paraId="12AD948F" w14:textId="77777777" w:rsidR="00272CE9" w:rsidRPr="0087778D" w:rsidRDefault="00272CE9" w:rsidP="002E0396">
            <w:pPr>
              <w:keepNext/>
              <w:jc w:val="center"/>
              <w:textAlignment w:val="baseline"/>
              <w:rPr>
                <w:b/>
                <w:sz w:val="16"/>
                <w:szCs w:val="16"/>
              </w:rPr>
            </w:pPr>
            <w:r w:rsidRPr="0087778D">
              <w:rPr>
                <w:b/>
                <w:sz w:val="16"/>
                <w:szCs w:val="16"/>
              </w:rPr>
              <w:t>Other Hemp Crops</w:t>
            </w:r>
          </w:p>
        </w:tc>
        <w:tc>
          <w:tcPr>
            <w:tcW w:w="2790" w:type="dxa"/>
            <w:shd w:val="clear" w:color="auto" w:fill="BFBFBF"/>
            <w:vAlign w:val="center"/>
          </w:tcPr>
          <w:p w14:paraId="2828FA68" w14:textId="77777777" w:rsidR="00272CE9" w:rsidRPr="0087778D" w:rsidRDefault="00272CE9" w:rsidP="002E0396">
            <w:pPr>
              <w:keepNext/>
              <w:jc w:val="center"/>
              <w:textAlignment w:val="baseline"/>
              <w:rPr>
                <w:b/>
                <w:sz w:val="16"/>
                <w:szCs w:val="16"/>
              </w:rPr>
            </w:pPr>
            <w:r w:rsidRPr="0087778D">
              <w:rPr>
                <w:b/>
                <w:sz w:val="16"/>
                <w:szCs w:val="16"/>
              </w:rPr>
              <w:t>Minimum Isolation Distance Required (feet)</w:t>
            </w:r>
          </w:p>
        </w:tc>
      </w:tr>
      <w:tr w:rsidR="00272CE9" w:rsidRPr="008D1E1B" w14:paraId="4CD75D5E" w14:textId="77777777" w:rsidTr="002E0396">
        <w:trPr>
          <w:cantSplit/>
          <w:trHeight w:hRule="exact" w:val="1347"/>
          <w:jc w:val="center"/>
        </w:trPr>
        <w:tc>
          <w:tcPr>
            <w:tcW w:w="1687" w:type="dxa"/>
            <w:vMerge w:val="restart"/>
            <w:vAlign w:val="center"/>
          </w:tcPr>
          <w:p w14:paraId="79A8F9D7" w14:textId="77777777" w:rsidR="00272CE9" w:rsidRPr="0087778D" w:rsidRDefault="00272CE9" w:rsidP="002E0396">
            <w:pPr>
              <w:keepNext/>
              <w:ind w:left="108"/>
              <w:textAlignment w:val="baseline"/>
              <w:rPr>
                <w:spacing w:val="-3"/>
                <w:sz w:val="16"/>
                <w:szCs w:val="16"/>
              </w:rPr>
            </w:pPr>
            <w:r w:rsidRPr="0087778D">
              <w:rPr>
                <w:spacing w:val="-3"/>
                <w:sz w:val="16"/>
                <w:szCs w:val="16"/>
              </w:rPr>
              <w:t>Feminized Hemp Seed</w:t>
            </w:r>
          </w:p>
        </w:tc>
        <w:tc>
          <w:tcPr>
            <w:tcW w:w="5580" w:type="dxa"/>
            <w:vAlign w:val="center"/>
          </w:tcPr>
          <w:p w14:paraId="62859780" w14:textId="77777777" w:rsidR="00272CE9" w:rsidRPr="0087778D" w:rsidRDefault="00272CE9" w:rsidP="002E0396">
            <w:pPr>
              <w:keepNext/>
              <w:ind w:left="240" w:hanging="96"/>
              <w:textAlignment w:val="baseline"/>
              <w:rPr>
                <w:sz w:val="16"/>
                <w:szCs w:val="16"/>
              </w:rPr>
            </w:pPr>
            <w:r w:rsidRPr="0087778D">
              <w:rPr>
                <w:sz w:val="16"/>
                <w:szCs w:val="16"/>
              </w:rPr>
              <w:t>- Varieties of hemp, or other contaminating pollen source that has pollen shedders present, including other greenhouse complexes</w:t>
            </w:r>
          </w:p>
          <w:p w14:paraId="3A120701" w14:textId="77777777" w:rsidR="00272CE9" w:rsidRPr="0087778D" w:rsidRDefault="00272CE9" w:rsidP="002E0396">
            <w:pPr>
              <w:keepNext/>
              <w:ind w:left="144"/>
              <w:textAlignment w:val="baseline"/>
              <w:rPr>
                <w:sz w:val="16"/>
                <w:szCs w:val="16"/>
              </w:rPr>
            </w:pPr>
            <w:r w:rsidRPr="0087778D">
              <w:rPr>
                <w:sz w:val="16"/>
                <w:szCs w:val="16"/>
              </w:rPr>
              <w:t>- Non-certified crops of hemp</w:t>
            </w:r>
          </w:p>
          <w:p w14:paraId="60A394B7" w14:textId="77777777" w:rsidR="00272CE9" w:rsidRPr="0087778D" w:rsidRDefault="00272CE9" w:rsidP="002E0396">
            <w:pPr>
              <w:keepNext/>
              <w:ind w:left="240" w:hanging="96"/>
              <w:textAlignment w:val="baseline"/>
              <w:rPr>
                <w:sz w:val="16"/>
                <w:szCs w:val="16"/>
              </w:rPr>
            </w:pPr>
            <w:r w:rsidRPr="0087778D">
              <w:rPr>
                <w:sz w:val="16"/>
                <w:szCs w:val="16"/>
              </w:rPr>
              <w:t>- Different varieties of the same type of hemp with no male shedders present in field that is not for seed production.</w:t>
            </w:r>
          </w:p>
          <w:p w14:paraId="7E8D2B22" w14:textId="77777777" w:rsidR="00272CE9" w:rsidRPr="0087778D" w:rsidRDefault="00272CE9" w:rsidP="002E0396">
            <w:pPr>
              <w:keepNext/>
              <w:ind w:left="240" w:hanging="96"/>
              <w:textAlignment w:val="baseline"/>
              <w:rPr>
                <w:sz w:val="16"/>
                <w:szCs w:val="16"/>
              </w:rPr>
            </w:pPr>
            <w:r w:rsidRPr="0087778D">
              <w:rPr>
                <w:sz w:val="16"/>
                <w:szCs w:val="16"/>
              </w:rPr>
              <w:t xml:space="preserve">- Planted with certified seed of the same variety that meets </w:t>
            </w:r>
            <w:r>
              <w:rPr>
                <w:sz w:val="16"/>
                <w:szCs w:val="16"/>
              </w:rPr>
              <w:t>c</w:t>
            </w:r>
            <w:r w:rsidRPr="0087778D">
              <w:rPr>
                <w:sz w:val="16"/>
                <w:szCs w:val="16"/>
              </w:rPr>
              <w:t>ertified standards</w:t>
            </w:r>
          </w:p>
        </w:tc>
        <w:tc>
          <w:tcPr>
            <w:tcW w:w="2790" w:type="dxa"/>
            <w:vAlign w:val="center"/>
          </w:tcPr>
          <w:p w14:paraId="08BCC4D2" w14:textId="77777777" w:rsidR="00272CE9" w:rsidRPr="0087778D" w:rsidRDefault="00272CE9" w:rsidP="002E0396">
            <w:pPr>
              <w:keepNext/>
              <w:jc w:val="center"/>
              <w:textAlignment w:val="baseline"/>
              <w:rPr>
                <w:sz w:val="16"/>
                <w:szCs w:val="16"/>
              </w:rPr>
            </w:pPr>
            <w:r w:rsidRPr="0087778D">
              <w:rPr>
                <w:sz w:val="16"/>
                <w:szCs w:val="16"/>
              </w:rPr>
              <w:t>15,748</w:t>
            </w:r>
          </w:p>
        </w:tc>
      </w:tr>
      <w:tr w:rsidR="00272CE9" w:rsidRPr="008D1E1B" w14:paraId="6A194DC6" w14:textId="77777777" w:rsidTr="002E0396">
        <w:trPr>
          <w:cantSplit/>
          <w:trHeight w:hRule="exact" w:val="456"/>
          <w:jc w:val="center"/>
        </w:trPr>
        <w:tc>
          <w:tcPr>
            <w:tcW w:w="1687" w:type="dxa"/>
            <w:vMerge/>
          </w:tcPr>
          <w:p w14:paraId="7D25B803" w14:textId="77777777" w:rsidR="00272CE9" w:rsidRPr="0087778D" w:rsidRDefault="00272CE9" w:rsidP="002E0396">
            <w:pPr>
              <w:keepNext/>
              <w:rPr>
                <w:rFonts w:eastAsia="PMingLiU"/>
                <w:sz w:val="16"/>
                <w:szCs w:val="16"/>
              </w:rPr>
            </w:pPr>
          </w:p>
        </w:tc>
        <w:tc>
          <w:tcPr>
            <w:tcW w:w="5580" w:type="dxa"/>
          </w:tcPr>
          <w:p w14:paraId="2B113544" w14:textId="77777777" w:rsidR="00272CE9" w:rsidRPr="0087778D" w:rsidRDefault="00272CE9" w:rsidP="002E0396">
            <w:pPr>
              <w:keepNext/>
              <w:ind w:left="240" w:hanging="96"/>
              <w:textAlignment w:val="baseline"/>
              <w:rPr>
                <w:sz w:val="16"/>
                <w:szCs w:val="16"/>
              </w:rPr>
            </w:pPr>
            <w:r w:rsidRPr="0087778D">
              <w:rPr>
                <w:sz w:val="16"/>
                <w:szCs w:val="16"/>
              </w:rPr>
              <w:t>- Certified seed crop of the same variety that meets certified standards for varietal purity</w:t>
            </w:r>
          </w:p>
        </w:tc>
        <w:tc>
          <w:tcPr>
            <w:tcW w:w="2790" w:type="dxa"/>
            <w:vAlign w:val="center"/>
          </w:tcPr>
          <w:p w14:paraId="4E353404" w14:textId="77777777" w:rsidR="00272CE9" w:rsidRPr="0087778D" w:rsidRDefault="00272CE9" w:rsidP="002E0396">
            <w:pPr>
              <w:keepNext/>
              <w:jc w:val="center"/>
              <w:textAlignment w:val="baseline"/>
              <w:rPr>
                <w:sz w:val="16"/>
                <w:szCs w:val="16"/>
              </w:rPr>
            </w:pPr>
            <w:r w:rsidRPr="0087778D">
              <w:rPr>
                <w:sz w:val="16"/>
                <w:szCs w:val="16"/>
              </w:rPr>
              <w:t>3</w:t>
            </w:r>
          </w:p>
        </w:tc>
      </w:tr>
    </w:tbl>
    <w:p w14:paraId="67C99A57" w14:textId="77777777" w:rsidR="00272CE9" w:rsidRDefault="00272CE9" w:rsidP="00272CE9">
      <w:pPr>
        <w:spacing w:line="20" w:lineRule="exact"/>
        <w:rPr>
          <w:rFonts w:eastAsia="PMingLiU"/>
        </w:rPr>
        <w:sectPr w:rsidR="00272CE9" w:rsidSect="002E0396">
          <w:type w:val="continuous"/>
          <w:pgSz w:w="12240" w:h="15840"/>
          <w:pgMar w:top="720" w:right="864" w:bottom="317" w:left="864" w:header="576" w:footer="432" w:gutter="0"/>
          <w:cols w:space="720"/>
          <w:docGrid w:linePitch="272"/>
        </w:sectPr>
      </w:pPr>
    </w:p>
    <w:p w14:paraId="3C32EDA6" w14:textId="77777777" w:rsidR="00272CE9" w:rsidRDefault="00272CE9" w:rsidP="00272CE9">
      <w:pPr>
        <w:pStyle w:val="A"/>
        <w:rPr>
          <w:spacing w:val="11"/>
        </w:rPr>
      </w:pPr>
    </w:p>
    <w:p w14:paraId="08D3BE51" w14:textId="77777777" w:rsidR="00272CE9" w:rsidRDefault="00272CE9" w:rsidP="00272CE9">
      <w:pPr>
        <w:pStyle w:val="A"/>
      </w:pPr>
      <w:r w:rsidRPr="008D1E1B">
        <w:t>G.</w:t>
      </w:r>
      <w:r w:rsidRPr="008D1E1B">
        <w:tab/>
        <w:t>Impurity Standards</w:t>
      </w:r>
    </w:p>
    <w:p w14:paraId="3E38E811" w14:textId="77777777" w:rsidR="00272CE9" w:rsidRDefault="00272CE9" w:rsidP="00272CE9">
      <w:pPr>
        <w:pStyle w:val="1"/>
      </w:pPr>
      <w:r w:rsidRPr="008D1E1B">
        <w:t>1.</w:t>
      </w:r>
      <w:r w:rsidRPr="008D1E1B">
        <w:tab/>
        <w:t>Impurities shall be removed prior to crop inspection.</w:t>
      </w:r>
    </w:p>
    <w:p w14:paraId="282BA852" w14:textId="77777777" w:rsidR="00272CE9" w:rsidRDefault="00272CE9" w:rsidP="00272CE9">
      <w:pPr>
        <w:pStyle w:val="1"/>
      </w:pPr>
      <w:r w:rsidRPr="008D1E1B">
        <w:t>2.</w:t>
      </w:r>
      <w:r w:rsidRPr="008D1E1B">
        <w:tab/>
        <w:t>Any combination of impurities may be cause for rejection of certified status.</w:t>
      </w:r>
    </w:p>
    <w:p w14:paraId="2DE52AF5" w14:textId="77777777" w:rsidR="00272CE9" w:rsidRDefault="00272CE9" w:rsidP="00272CE9">
      <w:pPr>
        <w:pStyle w:val="1"/>
      </w:pPr>
      <w:r w:rsidRPr="008D1E1B">
        <w:t>3.</w:t>
      </w:r>
      <w:r w:rsidRPr="008D1E1B">
        <w:tab/>
        <w:t>Table 5 indicates the maximum number of impurities permitted in approximately 10,000 plants of the certified feminized hemp seed crop.</w:t>
      </w:r>
    </w:p>
    <w:p w14:paraId="4BADB253" w14:textId="77777777" w:rsidR="00272CE9" w:rsidRPr="008D1E1B" w:rsidRDefault="00272CE9" w:rsidP="00272CE9">
      <w:pPr>
        <w:pStyle w:val="A"/>
      </w:pPr>
    </w:p>
    <w:tbl>
      <w:tblPr>
        <w:tblW w:w="51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42"/>
        <w:gridCol w:w="1648"/>
        <w:gridCol w:w="1553"/>
      </w:tblGrid>
      <w:tr w:rsidR="00272CE9" w:rsidRPr="008D1E1B" w14:paraId="29C10BEC" w14:textId="77777777" w:rsidTr="002E0396">
        <w:trPr>
          <w:cantSplit/>
          <w:trHeight w:hRule="exact" w:val="576"/>
          <w:tblHeader/>
          <w:jc w:val="center"/>
        </w:trPr>
        <w:tc>
          <w:tcPr>
            <w:tcW w:w="5143" w:type="dxa"/>
            <w:gridSpan w:val="3"/>
            <w:shd w:val="clear" w:color="auto" w:fill="BFBFBF"/>
            <w:vAlign w:val="center"/>
          </w:tcPr>
          <w:p w14:paraId="619EF244" w14:textId="77777777" w:rsidR="00272CE9" w:rsidRPr="0087778D" w:rsidRDefault="00272CE9" w:rsidP="002E0396">
            <w:pPr>
              <w:keepNext/>
              <w:spacing w:line="207" w:lineRule="exact"/>
              <w:jc w:val="center"/>
              <w:textAlignment w:val="baseline"/>
              <w:rPr>
                <w:b/>
                <w:sz w:val="16"/>
                <w:szCs w:val="16"/>
              </w:rPr>
            </w:pPr>
            <w:r w:rsidRPr="0087778D">
              <w:rPr>
                <w:b/>
                <w:sz w:val="16"/>
                <w:szCs w:val="16"/>
              </w:rPr>
              <w:t>Table 5.</w:t>
            </w:r>
            <w:r w:rsidRPr="0087778D">
              <w:rPr>
                <w:b/>
                <w:sz w:val="16"/>
                <w:szCs w:val="16"/>
              </w:rPr>
              <w:tab/>
              <w:t>Maximum Number of Impurities Permitted in Approximately 10,000 Plants of the Certified Feminized Hemp Seed Crop</w:t>
            </w:r>
          </w:p>
        </w:tc>
      </w:tr>
      <w:tr w:rsidR="00272CE9" w:rsidRPr="008D1E1B" w14:paraId="23653AE6" w14:textId="77777777" w:rsidTr="002E0396">
        <w:trPr>
          <w:cantSplit/>
          <w:trHeight w:hRule="exact" w:val="221"/>
          <w:tblHeader/>
          <w:jc w:val="center"/>
        </w:trPr>
        <w:tc>
          <w:tcPr>
            <w:tcW w:w="5143" w:type="dxa"/>
            <w:gridSpan w:val="3"/>
            <w:shd w:val="clear" w:color="auto" w:fill="BFBFBF"/>
            <w:vAlign w:val="center"/>
          </w:tcPr>
          <w:p w14:paraId="6DF321D1" w14:textId="77777777" w:rsidR="00272CE9" w:rsidRPr="0087778D" w:rsidRDefault="00272CE9" w:rsidP="002E0396">
            <w:pPr>
              <w:keepNext/>
              <w:spacing w:line="207" w:lineRule="exact"/>
              <w:jc w:val="center"/>
              <w:textAlignment w:val="baseline"/>
              <w:rPr>
                <w:b/>
                <w:sz w:val="16"/>
                <w:szCs w:val="16"/>
              </w:rPr>
            </w:pPr>
            <w:r w:rsidRPr="0087778D">
              <w:rPr>
                <w:b/>
                <w:sz w:val="16"/>
                <w:szCs w:val="16"/>
              </w:rPr>
              <w:t xml:space="preserve">Maximum Impurity Standards per 10,000 </w:t>
            </w:r>
            <w:r>
              <w:rPr>
                <w:b/>
                <w:sz w:val="16"/>
                <w:szCs w:val="16"/>
              </w:rPr>
              <w:t>P</w:t>
            </w:r>
            <w:r w:rsidRPr="0087778D">
              <w:rPr>
                <w:b/>
                <w:sz w:val="16"/>
                <w:szCs w:val="16"/>
              </w:rPr>
              <w:t>lants</w:t>
            </w:r>
            <w:r>
              <w:rPr>
                <w:b/>
                <w:sz w:val="16"/>
                <w:szCs w:val="16"/>
              </w:rPr>
              <w:t xml:space="preserve"> </w:t>
            </w:r>
          </w:p>
        </w:tc>
      </w:tr>
      <w:tr w:rsidR="00272CE9" w:rsidRPr="008D1E1B" w14:paraId="5B295A36" w14:textId="77777777" w:rsidTr="002E0396">
        <w:trPr>
          <w:cantSplit/>
          <w:trHeight w:hRule="exact" w:val="720"/>
          <w:tblHeader/>
          <w:jc w:val="center"/>
        </w:trPr>
        <w:tc>
          <w:tcPr>
            <w:tcW w:w="1942" w:type="dxa"/>
            <w:shd w:val="clear" w:color="auto" w:fill="BFBFBF"/>
            <w:vAlign w:val="center"/>
          </w:tcPr>
          <w:p w14:paraId="7D9159A6" w14:textId="77777777" w:rsidR="00272CE9" w:rsidRPr="0087778D" w:rsidRDefault="00272CE9" w:rsidP="002E0396">
            <w:pPr>
              <w:keepNext/>
              <w:spacing w:line="207" w:lineRule="exact"/>
              <w:jc w:val="center"/>
              <w:textAlignment w:val="baseline"/>
              <w:rPr>
                <w:b/>
                <w:sz w:val="16"/>
                <w:szCs w:val="16"/>
              </w:rPr>
            </w:pPr>
            <w:r w:rsidRPr="0087778D">
              <w:rPr>
                <w:b/>
                <w:sz w:val="16"/>
                <w:szCs w:val="16"/>
              </w:rPr>
              <w:t>Crop</w:t>
            </w:r>
          </w:p>
        </w:tc>
        <w:tc>
          <w:tcPr>
            <w:tcW w:w="1648" w:type="dxa"/>
            <w:shd w:val="clear" w:color="auto" w:fill="BFBFBF"/>
            <w:vAlign w:val="center"/>
          </w:tcPr>
          <w:p w14:paraId="4C293C2D" w14:textId="77777777" w:rsidR="00272CE9" w:rsidRPr="0087778D" w:rsidRDefault="00272CE9" w:rsidP="002E0396">
            <w:pPr>
              <w:keepNext/>
              <w:spacing w:line="207" w:lineRule="exact"/>
              <w:jc w:val="center"/>
              <w:textAlignment w:val="baseline"/>
              <w:rPr>
                <w:b/>
                <w:sz w:val="16"/>
                <w:szCs w:val="16"/>
              </w:rPr>
            </w:pPr>
            <w:r w:rsidRPr="0087778D">
              <w:rPr>
                <w:b/>
                <w:sz w:val="16"/>
                <w:szCs w:val="16"/>
              </w:rPr>
              <w:t>Maximum Number of Plants Shedding Pollen</w:t>
            </w:r>
          </w:p>
        </w:tc>
        <w:tc>
          <w:tcPr>
            <w:tcW w:w="1553" w:type="dxa"/>
            <w:shd w:val="clear" w:color="auto" w:fill="BFBFBF"/>
            <w:vAlign w:val="center"/>
          </w:tcPr>
          <w:p w14:paraId="64F66263" w14:textId="77777777" w:rsidR="00272CE9" w:rsidRPr="0087778D" w:rsidRDefault="00272CE9" w:rsidP="002E0396">
            <w:pPr>
              <w:keepNext/>
              <w:spacing w:line="207" w:lineRule="exact"/>
              <w:jc w:val="center"/>
              <w:textAlignment w:val="baseline"/>
              <w:rPr>
                <w:b/>
                <w:sz w:val="16"/>
                <w:szCs w:val="16"/>
              </w:rPr>
            </w:pPr>
            <w:r w:rsidRPr="0087778D">
              <w:rPr>
                <w:b/>
                <w:sz w:val="16"/>
                <w:szCs w:val="16"/>
              </w:rPr>
              <w:t>Maximum Number of Off-Types or Other Varieties</w:t>
            </w:r>
          </w:p>
        </w:tc>
      </w:tr>
      <w:tr w:rsidR="00272CE9" w:rsidRPr="008D1E1B" w14:paraId="4613AFB0" w14:textId="77777777" w:rsidTr="002E0396">
        <w:trPr>
          <w:cantSplit/>
          <w:trHeight w:hRule="exact" w:val="226"/>
          <w:jc w:val="center"/>
        </w:trPr>
        <w:tc>
          <w:tcPr>
            <w:tcW w:w="1942" w:type="dxa"/>
            <w:vAlign w:val="center"/>
          </w:tcPr>
          <w:p w14:paraId="5C76B92F" w14:textId="77777777" w:rsidR="00272CE9" w:rsidRPr="0087778D" w:rsidRDefault="00272CE9" w:rsidP="002E0396">
            <w:pPr>
              <w:spacing w:line="204" w:lineRule="exact"/>
              <w:ind w:left="120"/>
              <w:jc w:val="center"/>
              <w:textAlignment w:val="baseline"/>
              <w:rPr>
                <w:sz w:val="16"/>
                <w:szCs w:val="16"/>
              </w:rPr>
            </w:pPr>
            <w:r w:rsidRPr="0087778D">
              <w:rPr>
                <w:sz w:val="16"/>
                <w:szCs w:val="16"/>
              </w:rPr>
              <w:t>Feminized Hemp Seed</w:t>
            </w:r>
          </w:p>
        </w:tc>
        <w:tc>
          <w:tcPr>
            <w:tcW w:w="1648" w:type="dxa"/>
            <w:vAlign w:val="center"/>
          </w:tcPr>
          <w:p w14:paraId="51AB2BAC" w14:textId="77777777" w:rsidR="00272CE9" w:rsidRPr="0087778D" w:rsidRDefault="00272CE9" w:rsidP="002E0396">
            <w:pPr>
              <w:spacing w:line="204" w:lineRule="exact"/>
              <w:jc w:val="center"/>
              <w:textAlignment w:val="baseline"/>
              <w:rPr>
                <w:sz w:val="16"/>
                <w:szCs w:val="16"/>
              </w:rPr>
            </w:pPr>
            <w:r w:rsidRPr="0087778D">
              <w:rPr>
                <w:sz w:val="16"/>
                <w:szCs w:val="16"/>
              </w:rPr>
              <w:t>0</w:t>
            </w:r>
          </w:p>
        </w:tc>
        <w:tc>
          <w:tcPr>
            <w:tcW w:w="1553" w:type="dxa"/>
            <w:vAlign w:val="center"/>
          </w:tcPr>
          <w:p w14:paraId="2EB73908" w14:textId="77777777" w:rsidR="00272CE9" w:rsidRPr="0087778D" w:rsidRDefault="00272CE9" w:rsidP="002E0396">
            <w:pPr>
              <w:spacing w:line="204" w:lineRule="exact"/>
              <w:jc w:val="center"/>
              <w:textAlignment w:val="baseline"/>
              <w:rPr>
                <w:sz w:val="16"/>
                <w:szCs w:val="16"/>
              </w:rPr>
            </w:pPr>
            <w:r w:rsidRPr="0087778D">
              <w:rPr>
                <w:sz w:val="16"/>
                <w:szCs w:val="16"/>
              </w:rPr>
              <w:t>20</w:t>
            </w:r>
          </w:p>
        </w:tc>
      </w:tr>
    </w:tbl>
    <w:p w14:paraId="7C47CD39" w14:textId="77777777" w:rsidR="00272CE9" w:rsidRDefault="00272CE9" w:rsidP="00272CE9">
      <w:pPr>
        <w:pStyle w:val="A"/>
        <w:rPr>
          <w:spacing w:val="11"/>
        </w:rPr>
      </w:pPr>
    </w:p>
    <w:p w14:paraId="6998FF30" w14:textId="77777777" w:rsidR="00272CE9" w:rsidRDefault="00272CE9" w:rsidP="00272CE9">
      <w:pPr>
        <w:pStyle w:val="A"/>
      </w:pPr>
      <w:r w:rsidRPr="008D1E1B">
        <w:rPr>
          <w:spacing w:val="11"/>
        </w:rPr>
        <w:t>H.</w:t>
      </w:r>
      <w:r w:rsidRPr="008D1E1B">
        <w:rPr>
          <w:spacing w:val="11"/>
        </w:rPr>
        <w:tab/>
        <w:t>Seed</w:t>
      </w:r>
      <w:r w:rsidRPr="008D1E1B">
        <w:t xml:space="preserve"> Standards</w:t>
      </w:r>
    </w:p>
    <w:p w14:paraId="2D82BB77" w14:textId="77777777" w:rsidR="00272CE9" w:rsidRPr="008D1E1B" w:rsidRDefault="00272CE9" w:rsidP="00272CE9">
      <w:pPr>
        <w:pStyle w:val="A"/>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708"/>
        <w:gridCol w:w="1640"/>
        <w:gridCol w:w="1502"/>
      </w:tblGrid>
      <w:tr w:rsidR="00272CE9" w:rsidRPr="008D1E1B" w14:paraId="467B9A60" w14:textId="77777777" w:rsidTr="002E0396">
        <w:trPr>
          <w:cantSplit/>
          <w:tblHeader/>
          <w:jc w:val="center"/>
        </w:trPr>
        <w:tc>
          <w:tcPr>
            <w:tcW w:w="5112" w:type="dxa"/>
            <w:gridSpan w:val="3"/>
            <w:shd w:val="clear" w:color="auto" w:fill="BFBFBF"/>
            <w:vAlign w:val="bottom"/>
          </w:tcPr>
          <w:p w14:paraId="0B5E94B5" w14:textId="77777777" w:rsidR="00272CE9" w:rsidRPr="005343EB" w:rsidRDefault="00272CE9" w:rsidP="002E0396">
            <w:pPr>
              <w:keepNext/>
              <w:tabs>
                <w:tab w:val="left" w:pos="497"/>
                <w:tab w:val="left" w:pos="630"/>
              </w:tabs>
              <w:spacing w:line="207" w:lineRule="exact"/>
              <w:jc w:val="center"/>
              <w:textAlignment w:val="baseline"/>
              <w:rPr>
                <w:b/>
                <w:bCs/>
                <w:spacing w:val="-1"/>
                <w:sz w:val="16"/>
                <w:szCs w:val="16"/>
              </w:rPr>
            </w:pPr>
            <w:r w:rsidRPr="005343EB">
              <w:rPr>
                <w:b/>
                <w:sz w:val="16"/>
                <w:szCs w:val="16"/>
              </w:rPr>
              <w:lastRenderedPageBreak/>
              <w:t>Table 6.</w:t>
            </w:r>
            <w:r w:rsidRPr="005343EB">
              <w:rPr>
                <w:b/>
                <w:sz w:val="16"/>
                <w:szCs w:val="16"/>
              </w:rPr>
              <w:tab/>
              <w:t>Seed Standards for Classes of Certified Feminized Hemp Seed</w:t>
            </w:r>
          </w:p>
        </w:tc>
      </w:tr>
      <w:tr w:rsidR="00272CE9" w:rsidRPr="008D1E1B" w14:paraId="0856D884" w14:textId="77777777" w:rsidTr="002E0396">
        <w:trPr>
          <w:cantSplit/>
          <w:tblHeader/>
          <w:jc w:val="center"/>
        </w:trPr>
        <w:tc>
          <w:tcPr>
            <w:tcW w:w="1797" w:type="dxa"/>
            <w:shd w:val="clear" w:color="auto" w:fill="BFBFBF"/>
          </w:tcPr>
          <w:p w14:paraId="0EDE3EAD" w14:textId="77777777" w:rsidR="00272CE9" w:rsidRPr="005343EB" w:rsidRDefault="00272CE9" w:rsidP="002E0396">
            <w:pPr>
              <w:keepNext/>
              <w:spacing w:line="207" w:lineRule="exact"/>
              <w:jc w:val="center"/>
              <w:textAlignment w:val="baseline"/>
              <w:rPr>
                <w:b/>
                <w:bCs/>
                <w:spacing w:val="-1"/>
                <w:sz w:val="16"/>
                <w:szCs w:val="16"/>
              </w:rPr>
            </w:pPr>
            <w:r w:rsidRPr="005343EB">
              <w:rPr>
                <w:b/>
                <w:bCs/>
                <w:spacing w:val="-1"/>
                <w:sz w:val="16"/>
                <w:szCs w:val="16"/>
              </w:rPr>
              <w:t>Factor</w:t>
            </w:r>
          </w:p>
        </w:tc>
        <w:tc>
          <w:tcPr>
            <w:tcW w:w="1724" w:type="dxa"/>
            <w:shd w:val="clear" w:color="auto" w:fill="BFBFBF"/>
          </w:tcPr>
          <w:p w14:paraId="7F17389A" w14:textId="77777777" w:rsidR="00272CE9" w:rsidRPr="005343EB" w:rsidRDefault="00272CE9" w:rsidP="002E0396">
            <w:pPr>
              <w:keepNext/>
              <w:spacing w:line="207" w:lineRule="exact"/>
              <w:jc w:val="center"/>
              <w:textAlignment w:val="baseline"/>
              <w:rPr>
                <w:b/>
                <w:bCs/>
                <w:spacing w:val="-1"/>
                <w:sz w:val="16"/>
                <w:szCs w:val="16"/>
              </w:rPr>
            </w:pPr>
            <w:r w:rsidRPr="005343EB">
              <w:rPr>
                <w:b/>
                <w:bCs/>
                <w:spacing w:val="-1"/>
                <w:sz w:val="16"/>
                <w:szCs w:val="16"/>
              </w:rPr>
              <w:t>Foundation</w:t>
            </w:r>
          </w:p>
        </w:tc>
        <w:tc>
          <w:tcPr>
            <w:tcW w:w="1591" w:type="dxa"/>
            <w:shd w:val="clear" w:color="auto" w:fill="BFBFBF"/>
          </w:tcPr>
          <w:p w14:paraId="38E37045" w14:textId="77777777" w:rsidR="00272CE9" w:rsidRPr="005343EB" w:rsidRDefault="00272CE9" w:rsidP="002E0396">
            <w:pPr>
              <w:keepNext/>
              <w:spacing w:line="207" w:lineRule="exact"/>
              <w:jc w:val="center"/>
              <w:textAlignment w:val="baseline"/>
              <w:rPr>
                <w:b/>
                <w:bCs/>
                <w:spacing w:val="-1"/>
                <w:sz w:val="16"/>
                <w:szCs w:val="16"/>
              </w:rPr>
            </w:pPr>
            <w:r w:rsidRPr="005343EB">
              <w:rPr>
                <w:b/>
                <w:bCs/>
                <w:spacing w:val="-1"/>
                <w:sz w:val="16"/>
                <w:szCs w:val="16"/>
              </w:rPr>
              <w:t>Certified</w:t>
            </w:r>
          </w:p>
        </w:tc>
      </w:tr>
      <w:tr w:rsidR="00272CE9" w:rsidRPr="008D1E1B" w14:paraId="4E610AC7" w14:textId="77777777" w:rsidTr="002E0396">
        <w:trPr>
          <w:cantSplit/>
          <w:jc w:val="center"/>
        </w:trPr>
        <w:tc>
          <w:tcPr>
            <w:tcW w:w="1797" w:type="dxa"/>
          </w:tcPr>
          <w:p w14:paraId="06BD0471" w14:textId="77777777" w:rsidR="00272CE9" w:rsidRPr="005343EB" w:rsidRDefault="00272CE9" w:rsidP="002E0396">
            <w:pPr>
              <w:keepNext/>
              <w:spacing w:line="207" w:lineRule="exact"/>
              <w:textAlignment w:val="baseline"/>
              <w:rPr>
                <w:spacing w:val="-1"/>
                <w:sz w:val="16"/>
                <w:szCs w:val="16"/>
              </w:rPr>
            </w:pPr>
            <w:r w:rsidRPr="005343EB">
              <w:rPr>
                <w:sz w:val="16"/>
                <w:szCs w:val="16"/>
              </w:rPr>
              <w:t>Pure seed (minimum)</w:t>
            </w:r>
          </w:p>
        </w:tc>
        <w:tc>
          <w:tcPr>
            <w:tcW w:w="1724" w:type="dxa"/>
          </w:tcPr>
          <w:p w14:paraId="1C601747" w14:textId="77777777" w:rsidR="00272CE9" w:rsidRPr="005343EB" w:rsidRDefault="00272CE9" w:rsidP="002E0396">
            <w:pPr>
              <w:spacing w:line="207" w:lineRule="exact"/>
              <w:jc w:val="center"/>
              <w:textAlignment w:val="baseline"/>
              <w:rPr>
                <w:spacing w:val="-1"/>
                <w:sz w:val="16"/>
                <w:szCs w:val="16"/>
              </w:rPr>
            </w:pPr>
            <w:r w:rsidRPr="005343EB">
              <w:rPr>
                <w:sz w:val="16"/>
                <w:szCs w:val="16"/>
              </w:rPr>
              <w:t>98.00%</w:t>
            </w:r>
          </w:p>
        </w:tc>
        <w:tc>
          <w:tcPr>
            <w:tcW w:w="1591" w:type="dxa"/>
          </w:tcPr>
          <w:p w14:paraId="2D69C96C" w14:textId="77777777" w:rsidR="00272CE9" w:rsidRPr="005343EB" w:rsidRDefault="00272CE9" w:rsidP="002E0396">
            <w:pPr>
              <w:spacing w:line="207" w:lineRule="exact"/>
              <w:jc w:val="center"/>
              <w:textAlignment w:val="baseline"/>
              <w:rPr>
                <w:spacing w:val="-1"/>
                <w:sz w:val="16"/>
                <w:szCs w:val="16"/>
              </w:rPr>
            </w:pPr>
            <w:r w:rsidRPr="005343EB">
              <w:rPr>
                <w:sz w:val="16"/>
                <w:szCs w:val="16"/>
              </w:rPr>
              <w:t>98.00%</w:t>
            </w:r>
          </w:p>
        </w:tc>
      </w:tr>
      <w:tr w:rsidR="00272CE9" w:rsidRPr="008D1E1B" w14:paraId="1A784CEC" w14:textId="77777777" w:rsidTr="002E0396">
        <w:trPr>
          <w:cantSplit/>
          <w:jc w:val="center"/>
        </w:trPr>
        <w:tc>
          <w:tcPr>
            <w:tcW w:w="1797" w:type="dxa"/>
          </w:tcPr>
          <w:p w14:paraId="7BE74643" w14:textId="77777777" w:rsidR="00272CE9" w:rsidRPr="005343EB" w:rsidRDefault="00272CE9" w:rsidP="002E0396">
            <w:pPr>
              <w:keepNext/>
              <w:spacing w:line="207" w:lineRule="exact"/>
              <w:textAlignment w:val="baseline"/>
              <w:rPr>
                <w:spacing w:val="-1"/>
                <w:sz w:val="16"/>
                <w:szCs w:val="16"/>
              </w:rPr>
            </w:pPr>
            <w:r w:rsidRPr="005343EB">
              <w:rPr>
                <w:sz w:val="16"/>
                <w:szCs w:val="16"/>
              </w:rPr>
              <w:t>Inert matter (maximum)</w:t>
            </w:r>
            <w:r w:rsidRPr="005343EB">
              <w:rPr>
                <w:sz w:val="16"/>
                <w:szCs w:val="16"/>
                <w:vertAlign w:val="superscript"/>
              </w:rPr>
              <w:t>1</w:t>
            </w:r>
          </w:p>
        </w:tc>
        <w:tc>
          <w:tcPr>
            <w:tcW w:w="1724" w:type="dxa"/>
          </w:tcPr>
          <w:p w14:paraId="727F6D9A" w14:textId="77777777" w:rsidR="00272CE9" w:rsidRPr="005343EB" w:rsidRDefault="00272CE9" w:rsidP="002E0396">
            <w:pPr>
              <w:spacing w:line="207" w:lineRule="exact"/>
              <w:jc w:val="center"/>
              <w:textAlignment w:val="baseline"/>
              <w:rPr>
                <w:spacing w:val="-1"/>
                <w:sz w:val="16"/>
                <w:szCs w:val="16"/>
              </w:rPr>
            </w:pPr>
            <w:r w:rsidRPr="005343EB">
              <w:rPr>
                <w:sz w:val="16"/>
                <w:szCs w:val="16"/>
              </w:rPr>
              <w:t>2.00%</w:t>
            </w:r>
          </w:p>
        </w:tc>
        <w:tc>
          <w:tcPr>
            <w:tcW w:w="1591" w:type="dxa"/>
          </w:tcPr>
          <w:p w14:paraId="1D9C9120" w14:textId="77777777" w:rsidR="00272CE9" w:rsidRPr="005343EB" w:rsidRDefault="00272CE9" w:rsidP="002E0396">
            <w:pPr>
              <w:spacing w:line="207" w:lineRule="exact"/>
              <w:jc w:val="center"/>
              <w:textAlignment w:val="baseline"/>
              <w:rPr>
                <w:spacing w:val="-1"/>
                <w:sz w:val="16"/>
                <w:szCs w:val="16"/>
              </w:rPr>
            </w:pPr>
            <w:r w:rsidRPr="005343EB">
              <w:rPr>
                <w:sz w:val="16"/>
                <w:szCs w:val="16"/>
              </w:rPr>
              <w:t>2.00%</w:t>
            </w:r>
          </w:p>
        </w:tc>
      </w:tr>
      <w:tr w:rsidR="00272CE9" w:rsidRPr="008D1E1B" w14:paraId="6D9F41B1" w14:textId="77777777" w:rsidTr="002E0396">
        <w:trPr>
          <w:cantSplit/>
          <w:jc w:val="center"/>
        </w:trPr>
        <w:tc>
          <w:tcPr>
            <w:tcW w:w="1797" w:type="dxa"/>
          </w:tcPr>
          <w:p w14:paraId="142BBA7A" w14:textId="77777777" w:rsidR="00272CE9" w:rsidRPr="005343EB" w:rsidRDefault="00272CE9" w:rsidP="002E0396">
            <w:pPr>
              <w:keepNext/>
              <w:spacing w:line="207" w:lineRule="exact"/>
              <w:textAlignment w:val="baseline"/>
              <w:rPr>
                <w:spacing w:val="-1"/>
                <w:sz w:val="16"/>
                <w:szCs w:val="16"/>
              </w:rPr>
            </w:pPr>
            <w:r w:rsidRPr="005343EB">
              <w:rPr>
                <w:sz w:val="16"/>
                <w:szCs w:val="16"/>
              </w:rPr>
              <w:t>Weed seeds (maximum)</w:t>
            </w:r>
          </w:p>
        </w:tc>
        <w:tc>
          <w:tcPr>
            <w:tcW w:w="1724" w:type="dxa"/>
          </w:tcPr>
          <w:p w14:paraId="6C9D8B65"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0.10%</w:t>
            </w:r>
          </w:p>
        </w:tc>
        <w:tc>
          <w:tcPr>
            <w:tcW w:w="1591" w:type="dxa"/>
          </w:tcPr>
          <w:p w14:paraId="72F9A0EB"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0.10%</w:t>
            </w:r>
          </w:p>
        </w:tc>
      </w:tr>
      <w:tr w:rsidR="00272CE9" w:rsidRPr="008D1E1B" w14:paraId="21A40535" w14:textId="77777777" w:rsidTr="002E0396">
        <w:trPr>
          <w:cantSplit/>
          <w:jc w:val="center"/>
        </w:trPr>
        <w:tc>
          <w:tcPr>
            <w:tcW w:w="1797" w:type="dxa"/>
          </w:tcPr>
          <w:p w14:paraId="11A819EA" w14:textId="77777777" w:rsidR="00272CE9" w:rsidRPr="005343EB" w:rsidRDefault="00272CE9" w:rsidP="002E0396">
            <w:pPr>
              <w:keepNext/>
              <w:spacing w:line="207" w:lineRule="exact"/>
              <w:textAlignment w:val="baseline"/>
              <w:rPr>
                <w:spacing w:val="-1"/>
                <w:sz w:val="16"/>
                <w:szCs w:val="16"/>
              </w:rPr>
            </w:pPr>
            <w:r w:rsidRPr="005343EB">
              <w:rPr>
                <w:sz w:val="16"/>
                <w:szCs w:val="16"/>
              </w:rPr>
              <w:t>Total other crop seeds (maximum)</w:t>
            </w:r>
          </w:p>
        </w:tc>
        <w:tc>
          <w:tcPr>
            <w:tcW w:w="1724" w:type="dxa"/>
          </w:tcPr>
          <w:p w14:paraId="78F6EE29"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0.01%</w:t>
            </w:r>
          </w:p>
        </w:tc>
        <w:tc>
          <w:tcPr>
            <w:tcW w:w="1591" w:type="dxa"/>
          </w:tcPr>
          <w:p w14:paraId="341B9807"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0.08%</w:t>
            </w:r>
          </w:p>
        </w:tc>
      </w:tr>
      <w:tr w:rsidR="00272CE9" w:rsidRPr="008D1E1B" w14:paraId="19AFDEBA" w14:textId="77777777" w:rsidTr="002E0396">
        <w:trPr>
          <w:cantSplit/>
          <w:jc w:val="center"/>
        </w:trPr>
        <w:tc>
          <w:tcPr>
            <w:tcW w:w="1797" w:type="dxa"/>
          </w:tcPr>
          <w:p w14:paraId="2C6892BA" w14:textId="77777777" w:rsidR="00272CE9" w:rsidRPr="005343EB" w:rsidRDefault="00272CE9" w:rsidP="002E0396">
            <w:pPr>
              <w:spacing w:line="207" w:lineRule="exact"/>
              <w:textAlignment w:val="baseline"/>
              <w:rPr>
                <w:spacing w:val="-1"/>
                <w:sz w:val="16"/>
                <w:szCs w:val="16"/>
              </w:rPr>
            </w:pPr>
            <w:r w:rsidRPr="005343EB">
              <w:rPr>
                <w:sz w:val="16"/>
                <w:szCs w:val="16"/>
              </w:rPr>
              <w:t>Other hemp varieties (maximum)</w:t>
            </w:r>
          </w:p>
        </w:tc>
        <w:tc>
          <w:tcPr>
            <w:tcW w:w="1724" w:type="dxa"/>
          </w:tcPr>
          <w:p w14:paraId="42D1C68E"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0.005%</w:t>
            </w:r>
          </w:p>
        </w:tc>
        <w:tc>
          <w:tcPr>
            <w:tcW w:w="1591" w:type="dxa"/>
          </w:tcPr>
          <w:p w14:paraId="04BB1F63"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0.05%</w:t>
            </w:r>
          </w:p>
        </w:tc>
      </w:tr>
      <w:tr w:rsidR="00272CE9" w:rsidRPr="008D1E1B" w14:paraId="0408F3FE" w14:textId="77777777" w:rsidTr="002E0396">
        <w:trPr>
          <w:cantSplit/>
          <w:jc w:val="center"/>
        </w:trPr>
        <w:tc>
          <w:tcPr>
            <w:tcW w:w="1797" w:type="dxa"/>
          </w:tcPr>
          <w:p w14:paraId="0B003D2C" w14:textId="77777777" w:rsidR="00272CE9" w:rsidRPr="005343EB" w:rsidRDefault="00272CE9" w:rsidP="002E0396">
            <w:pPr>
              <w:spacing w:line="207" w:lineRule="exact"/>
              <w:textAlignment w:val="baseline"/>
              <w:rPr>
                <w:spacing w:val="-1"/>
                <w:sz w:val="16"/>
                <w:szCs w:val="16"/>
              </w:rPr>
            </w:pPr>
            <w:r w:rsidRPr="005343EB">
              <w:rPr>
                <w:sz w:val="16"/>
                <w:szCs w:val="16"/>
              </w:rPr>
              <w:t>Other seed kinds (maximum)</w:t>
            </w:r>
            <w:r w:rsidRPr="005343EB">
              <w:rPr>
                <w:sz w:val="16"/>
                <w:szCs w:val="16"/>
                <w:vertAlign w:val="superscript"/>
              </w:rPr>
              <w:t>2</w:t>
            </w:r>
          </w:p>
        </w:tc>
        <w:tc>
          <w:tcPr>
            <w:tcW w:w="1724" w:type="dxa"/>
          </w:tcPr>
          <w:p w14:paraId="23376BEC"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0.01%</w:t>
            </w:r>
          </w:p>
        </w:tc>
        <w:tc>
          <w:tcPr>
            <w:tcW w:w="1591" w:type="dxa"/>
          </w:tcPr>
          <w:p w14:paraId="2033F349" w14:textId="77777777" w:rsidR="00272CE9" w:rsidRPr="005343EB" w:rsidRDefault="00272CE9" w:rsidP="002E0396">
            <w:pPr>
              <w:spacing w:line="207" w:lineRule="exact"/>
              <w:jc w:val="center"/>
              <w:textAlignment w:val="baseline"/>
              <w:rPr>
                <w:spacing w:val="-1"/>
                <w:sz w:val="16"/>
                <w:szCs w:val="16"/>
              </w:rPr>
            </w:pPr>
            <w:r w:rsidRPr="005343EB">
              <w:rPr>
                <w:sz w:val="16"/>
                <w:szCs w:val="16"/>
              </w:rPr>
              <w:t>0.07%</w:t>
            </w:r>
          </w:p>
        </w:tc>
      </w:tr>
      <w:tr w:rsidR="00272CE9" w:rsidRPr="008D1E1B" w14:paraId="64EDB629" w14:textId="77777777" w:rsidTr="002E0396">
        <w:trPr>
          <w:cantSplit/>
          <w:jc w:val="center"/>
        </w:trPr>
        <w:tc>
          <w:tcPr>
            <w:tcW w:w="1797" w:type="dxa"/>
          </w:tcPr>
          <w:p w14:paraId="6684FACA" w14:textId="77777777" w:rsidR="00272CE9" w:rsidRPr="005343EB" w:rsidRDefault="00272CE9" w:rsidP="002E0396">
            <w:pPr>
              <w:spacing w:line="207" w:lineRule="exact"/>
              <w:textAlignment w:val="baseline"/>
              <w:rPr>
                <w:spacing w:val="-1"/>
                <w:sz w:val="16"/>
                <w:szCs w:val="16"/>
              </w:rPr>
            </w:pPr>
            <w:r w:rsidRPr="005343EB">
              <w:rPr>
                <w:sz w:val="16"/>
                <w:szCs w:val="16"/>
              </w:rPr>
              <w:t>Germination (minimum)</w:t>
            </w:r>
          </w:p>
        </w:tc>
        <w:tc>
          <w:tcPr>
            <w:tcW w:w="1724" w:type="dxa"/>
          </w:tcPr>
          <w:p w14:paraId="1695F4F9" w14:textId="77777777" w:rsidR="00272CE9" w:rsidRPr="005343EB" w:rsidRDefault="00272CE9" w:rsidP="002E0396">
            <w:pPr>
              <w:spacing w:line="207" w:lineRule="exact"/>
              <w:jc w:val="center"/>
              <w:textAlignment w:val="baseline"/>
              <w:rPr>
                <w:spacing w:val="-1"/>
                <w:sz w:val="16"/>
                <w:szCs w:val="16"/>
              </w:rPr>
            </w:pPr>
            <w:r w:rsidRPr="005343EB">
              <w:rPr>
                <w:sz w:val="16"/>
                <w:szCs w:val="16"/>
              </w:rPr>
              <w:t>80.00%</w:t>
            </w:r>
          </w:p>
        </w:tc>
        <w:tc>
          <w:tcPr>
            <w:tcW w:w="1591" w:type="dxa"/>
          </w:tcPr>
          <w:p w14:paraId="11E3A2EA" w14:textId="77777777" w:rsidR="00272CE9" w:rsidRPr="005343EB" w:rsidRDefault="00272CE9" w:rsidP="002E0396">
            <w:pPr>
              <w:spacing w:line="207" w:lineRule="exact"/>
              <w:jc w:val="center"/>
              <w:textAlignment w:val="baseline"/>
              <w:rPr>
                <w:spacing w:val="-1"/>
                <w:sz w:val="16"/>
                <w:szCs w:val="16"/>
              </w:rPr>
            </w:pPr>
            <w:r w:rsidRPr="005343EB">
              <w:rPr>
                <w:sz w:val="16"/>
                <w:szCs w:val="16"/>
              </w:rPr>
              <w:t>80.00%</w:t>
            </w:r>
          </w:p>
        </w:tc>
      </w:tr>
      <w:tr w:rsidR="00272CE9" w:rsidRPr="008D1E1B" w14:paraId="7D206E88" w14:textId="77777777" w:rsidTr="002E0396">
        <w:trPr>
          <w:cantSplit/>
          <w:jc w:val="center"/>
        </w:trPr>
        <w:tc>
          <w:tcPr>
            <w:tcW w:w="1797" w:type="dxa"/>
          </w:tcPr>
          <w:p w14:paraId="0E7223DB" w14:textId="77777777" w:rsidR="00272CE9" w:rsidRPr="005343EB" w:rsidRDefault="00272CE9" w:rsidP="002E0396">
            <w:pPr>
              <w:spacing w:line="207" w:lineRule="exact"/>
              <w:textAlignment w:val="baseline"/>
              <w:rPr>
                <w:spacing w:val="-1"/>
                <w:sz w:val="16"/>
                <w:szCs w:val="16"/>
              </w:rPr>
            </w:pPr>
            <w:r w:rsidRPr="005343EB">
              <w:rPr>
                <w:sz w:val="16"/>
                <w:szCs w:val="16"/>
              </w:rPr>
              <w:t>Feminized Seed</w:t>
            </w:r>
            <w:r w:rsidRPr="005343EB">
              <w:rPr>
                <w:sz w:val="16"/>
                <w:szCs w:val="16"/>
                <w:vertAlign w:val="superscript"/>
              </w:rPr>
              <w:t>3</w:t>
            </w:r>
          </w:p>
        </w:tc>
        <w:tc>
          <w:tcPr>
            <w:tcW w:w="1724" w:type="dxa"/>
          </w:tcPr>
          <w:p w14:paraId="4BD63DAF" w14:textId="77777777" w:rsidR="00272CE9" w:rsidRPr="005343EB" w:rsidRDefault="00272CE9" w:rsidP="002E0396">
            <w:pPr>
              <w:spacing w:line="207" w:lineRule="exact"/>
              <w:jc w:val="center"/>
              <w:textAlignment w:val="baseline"/>
              <w:rPr>
                <w:spacing w:val="-1"/>
                <w:sz w:val="16"/>
                <w:szCs w:val="16"/>
              </w:rPr>
            </w:pPr>
            <w:r w:rsidRPr="005343EB">
              <w:rPr>
                <w:sz w:val="16"/>
                <w:szCs w:val="16"/>
              </w:rPr>
              <w:t>99.00%</w:t>
            </w:r>
          </w:p>
        </w:tc>
        <w:tc>
          <w:tcPr>
            <w:tcW w:w="1591" w:type="dxa"/>
          </w:tcPr>
          <w:p w14:paraId="75093418" w14:textId="77777777" w:rsidR="00272CE9" w:rsidRPr="005343EB" w:rsidRDefault="00272CE9" w:rsidP="002E0396">
            <w:pPr>
              <w:spacing w:line="207" w:lineRule="exact"/>
              <w:jc w:val="center"/>
              <w:textAlignment w:val="baseline"/>
              <w:rPr>
                <w:spacing w:val="-1"/>
                <w:sz w:val="16"/>
                <w:szCs w:val="16"/>
              </w:rPr>
            </w:pPr>
            <w:r w:rsidRPr="005343EB">
              <w:rPr>
                <w:sz w:val="16"/>
                <w:szCs w:val="16"/>
              </w:rPr>
              <w:t>99.00%</w:t>
            </w:r>
          </w:p>
        </w:tc>
      </w:tr>
    </w:tbl>
    <w:p w14:paraId="603D544F" w14:textId="77777777" w:rsidR="00272CE9" w:rsidRPr="00B621F0" w:rsidRDefault="00272CE9" w:rsidP="00272CE9">
      <w:pPr>
        <w:pStyle w:val="RegDoubleIndent"/>
        <w:rPr>
          <w:sz w:val="16"/>
          <w:szCs w:val="16"/>
        </w:rPr>
      </w:pPr>
      <w:r w:rsidRPr="00B621F0">
        <w:rPr>
          <w:sz w:val="16"/>
          <w:szCs w:val="16"/>
          <w:vertAlign w:val="superscript"/>
        </w:rPr>
        <w:t xml:space="preserve">1 </w:t>
      </w:r>
      <w:r w:rsidRPr="00B621F0">
        <w:rPr>
          <w:sz w:val="16"/>
          <w:szCs w:val="16"/>
        </w:rPr>
        <w:t>Inert matter shall not include more than 0.5 percent of material other than seed fragments of the variety under consideration.</w:t>
      </w:r>
    </w:p>
    <w:p w14:paraId="2BD8531C" w14:textId="77777777" w:rsidR="00272CE9" w:rsidRPr="00B621F0" w:rsidRDefault="00272CE9" w:rsidP="00272CE9">
      <w:pPr>
        <w:pStyle w:val="RegDoubleIndent"/>
        <w:rPr>
          <w:sz w:val="16"/>
          <w:szCs w:val="16"/>
        </w:rPr>
      </w:pPr>
      <w:r w:rsidRPr="00B621F0">
        <w:rPr>
          <w:sz w:val="16"/>
          <w:szCs w:val="16"/>
          <w:vertAlign w:val="superscript"/>
        </w:rPr>
        <w:t xml:space="preserve">2 </w:t>
      </w:r>
      <w:r w:rsidRPr="00B621F0">
        <w:rPr>
          <w:sz w:val="16"/>
          <w:szCs w:val="16"/>
        </w:rPr>
        <w:t>Other seed kinds shall not exceed 2 per lb. (454 grams) for foundation class; 10 for certified class.</w:t>
      </w:r>
    </w:p>
    <w:p w14:paraId="24F92F0B" w14:textId="77777777" w:rsidR="00272CE9" w:rsidRDefault="00272CE9" w:rsidP="00272CE9">
      <w:pPr>
        <w:pStyle w:val="RegDoubleIndent"/>
        <w:rPr>
          <w:sz w:val="16"/>
          <w:szCs w:val="16"/>
        </w:rPr>
      </w:pPr>
      <w:r w:rsidRPr="00B621F0">
        <w:rPr>
          <w:sz w:val="16"/>
          <w:szCs w:val="16"/>
          <w:vertAlign w:val="superscript"/>
        </w:rPr>
        <w:t xml:space="preserve">3 </w:t>
      </w:r>
      <w:r w:rsidRPr="00B621F0">
        <w:rPr>
          <w:sz w:val="16"/>
          <w:szCs w:val="16"/>
        </w:rPr>
        <w:t>Determined by variety verification trial or approved molecular testing</w:t>
      </w:r>
    </w:p>
    <w:p w14:paraId="068E729F" w14:textId="77777777" w:rsidR="00272CE9" w:rsidRPr="00B621F0" w:rsidRDefault="00272CE9" w:rsidP="00272CE9">
      <w:pPr>
        <w:pStyle w:val="A"/>
      </w:pPr>
    </w:p>
    <w:p w14:paraId="21CFE507" w14:textId="77777777" w:rsidR="00272CE9" w:rsidRPr="008D1E1B" w:rsidRDefault="00272CE9" w:rsidP="00272CE9">
      <w:pPr>
        <w:pStyle w:val="AuthorityNote"/>
      </w:pPr>
      <w:r w:rsidRPr="008D1E1B">
        <w:t>AUTHORITY NOTE:</w:t>
      </w:r>
      <w:r w:rsidRPr="008D1E1B">
        <w:tab/>
        <w:t>Promulgated in accordance with R.S. 3:1433.</w:t>
      </w:r>
    </w:p>
    <w:p w14:paraId="3F91F7EA" w14:textId="77777777" w:rsidR="00272CE9" w:rsidRDefault="00272CE9" w:rsidP="00272CE9">
      <w:pPr>
        <w:pStyle w:val="HistoricalNote"/>
      </w:pPr>
      <w:r w:rsidRPr="008D1E1B">
        <w:t>HISTORICAL NOTE:</w:t>
      </w:r>
      <w:r w:rsidRPr="008D1E1B">
        <w:tab/>
        <w:t xml:space="preserve">Promulgated by the Department of Agriculture and Forestry, Office of Agricultural and Environmental Sciences, Agricultural Chemistry and Seed Commission, </w:t>
      </w:r>
      <w:r>
        <w:t>LR 51:1574 (October 2025).</w:t>
      </w:r>
    </w:p>
    <w:p w14:paraId="5DE09297" w14:textId="77777777" w:rsidR="00272CE9" w:rsidRDefault="00272CE9" w:rsidP="00272CE9">
      <w:pPr>
        <w:pStyle w:val="Section"/>
      </w:pPr>
      <w:bookmarkStart w:id="1273" w:name="_Hlk170892972"/>
      <w:bookmarkStart w:id="1274" w:name="_Toc224818856"/>
      <w:r w:rsidRPr="008D1E1B">
        <w:t>§</w:t>
      </w:r>
      <w:r w:rsidRPr="008D1E1B">
        <w:rPr>
          <w:spacing w:val="-1"/>
        </w:rPr>
        <w:t>1207.</w:t>
      </w:r>
      <w:r w:rsidRPr="008D1E1B">
        <w:rPr>
          <w:spacing w:val="-1"/>
        </w:rPr>
        <w:tab/>
      </w:r>
      <w:r w:rsidRPr="008D1E1B">
        <w:t>Vegetatively</w:t>
      </w:r>
      <w:r w:rsidRPr="008D1E1B">
        <w:rPr>
          <w:spacing w:val="32"/>
        </w:rPr>
        <w:t xml:space="preserve"> </w:t>
      </w:r>
      <w:r w:rsidRPr="008D1E1B">
        <w:t>Propagated</w:t>
      </w:r>
      <w:r w:rsidRPr="008D1E1B">
        <w:rPr>
          <w:spacing w:val="32"/>
        </w:rPr>
        <w:t xml:space="preserve"> Hemp</w:t>
      </w:r>
      <w:r w:rsidRPr="008D1E1B">
        <w:t xml:space="preserve"> Seed Certification Standards</w:t>
      </w:r>
      <w:bookmarkEnd w:id="1273"/>
      <w:bookmarkEnd w:id="1274"/>
    </w:p>
    <w:p w14:paraId="0B6488BF" w14:textId="77777777" w:rsidR="00272CE9" w:rsidRDefault="00272CE9" w:rsidP="00272CE9">
      <w:pPr>
        <w:pStyle w:val="A"/>
      </w:pPr>
      <w:r w:rsidRPr="008D1E1B">
        <w:t>A.</w:t>
      </w:r>
      <w:r w:rsidRPr="008D1E1B">
        <w:tab/>
        <w:t>Classes and sources of certified vegetatively propagated planting stocks.</w:t>
      </w:r>
    </w:p>
    <w:p w14:paraId="2ADEAB5B" w14:textId="77777777" w:rsidR="00272CE9" w:rsidRDefault="00272CE9" w:rsidP="00272CE9">
      <w:pPr>
        <w:pStyle w:val="1"/>
      </w:pPr>
      <w:r w:rsidRPr="008D1E1B">
        <w:t>1.</w:t>
      </w:r>
      <w:r w:rsidRPr="008D1E1B">
        <w:tab/>
        <w:t>Mother Plant is a plant produced from a Breeder Plant Stock.</w:t>
      </w:r>
    </w:p>
    <w:p w14:paraId="3B607CBA" w14:textId="77777777" w:rsidR="00272CE9" w:rsidRDefault="00272CE9" w:rsidP="00272CE9">
      <w:pPr>
        <w:pStyle w:val="1"/>
      </w:pPr>
      <w:r w:rsidRPr="008D1E1B">
        <w:t>2.</w:t>
      </w:r>
      <w:r w:rsidRPr="008D1E1B">
        <w:tab/>
        <w:t>Certified Plants are plants produced from Mother Plants.</w:t>
      </w:r>
    </w:p>
    <w:p w14:paraId="7F9DCE06" w14:textId="77777777" w:rsidR="00272CE9" w:rsidRDefault="00272CE9" w:rsidP="00272CE9">
      <w:pPr>
        <w:pStyle w:val="1"/>
      </w:pPr>
      <w:r w:rsidRPr="008D1E1B">
        <w:t>3.</w:t>
      </w:r>
      <w:r w:rsidRPr="008D1E1B">
        <w:tab/>
        <w:t>Certified plants may be used to produce certified stock when produced in a Structure or D1 Daughter stock.</w:t>
      </w:r>
    </w:p>
    <w:p w14:paraId="63F5AFF1" w14:textId="77777777" w:rsidR="00272CE9" w:rsidRDefault="00272CE9" w:rsidP="00272CE9">
      <w:pPr>
        <w:pStyle w:val="1"/>
      </w:pPr>
      <w:r w:rsidRPr="008D1E1B">
        <w:t>4.</w:t>
      </w:r>
      <w:r w:rsidRPr="008D1E1B">
        <w:tab/>
        <w:t>Certified plants are propagated as follows:</w:t>
      </w:r>
    </w:p>
    <w:p w14:paraId="636BA2D1" w14:textId="77777777" w:rsidR="00272CE9" w:rsidRDefault="00272CE9" w:rsidP="00272CE9">
      <w:pPr>
        <w:pStyle w:val="a0"/>
      </w:pPr>
      <w:r w:rsidRPr="008D1E1B">
        <w:t>a.</w:t>
      </w:r>
      <w:r w:rsidRPr="008D1E1B">
        <w:tab/>
        <w:t>Mother Plants may be cut repeatedly to produce D1 Daughter Plants. D1 Daughter Plants are produced by cuttings from Mother Plants.</w:t>
      </w:r>
    </w:p>
    <w:p w14:paraId="335205D7" w14:textId="77777777" w:rsidR="00272CE9" w:rsidRDefault="00272CE9" w:rsidP="00272CE9">
      <w:pPr>
        <w:pStyle w:val="a0"/>
      </w:pPr>
      <w:r w:rsidRPr="008D1E1B">
        <w:t>b.</w:t>
      </w:r>
      <w:r w:rsidRPr="008D1E1B">
        <w:tab/>
        <w:t>D1 Daughter plants may be cut repeatedly to produce D2 Daughter Plants. D2 Daughter plants are produced by cuttings from D1 Daughter Plants.</w:t>
      </w:r>
    </w:p>
    <w:p w14:paraId="6CB6E1BE" w14:textId="77777777" w:rsidR="00272CE9" w:rsidRDefault="00272CE9" w:rsidP="00272CE9">
      <w:pPr>
        <w:pStyle w:val="a0"/>
      </w:pPr>
      <w:r w:rsidRPr="008D1E1B">
        <w:t>c.</w:t>
      </w:r>
      <w:r w:rsidRPr="008D1E1B">
        <w:tab/>
        <w:t>D2 Daughter plants may be cut repeatedly to produce D3 Daughter plants. D3 Daughter plants are produced by cuttings from D2 Daughter plants.</w:t>
      </w:r>
    </w:p>
    <w:p w14:paraId="3EFF31A8" w14:textId="77777777" w:rsidR="00272CE9" w:rsidRDefault="00272CE9" w:rsidP="00272CE9">
      <w:pPr>
        <w:pStyle w:val="1"/>
      </w:pPr>
      <w:r w:rsidRPr="008D1E1B">
        <w:t>5.</w:t>
      </w:r>
      <w:r w:rsidRPr="008D1E1B">
        <w:tab/>
        <w:t>The grower shall maintain detailed documentation of the parent used to generate clones.</w:t>
      </w:r>
    </w:p>
    <w:p w14:paraId="5F20C8C8" w14:textId="77777777" w:rsidR="00272CE9" w:rsidRDefault="00272CE9" w:rsidP="00272CE9">
      <w:pPr>
        <w:pStyle w:val="1"/>
      </w:pPr>
      <w:r w:rsidRPr="008D1E1B">
        <w:t>6.</w:t>
      </w:r>
      <w:r w:rsidRPr="008D1E1B">
        <w:tab/>
        <w:t>All required grower records related to the production of hemp clones shall be made available for inspection by LDAF upon request.</w:t>
      </w:r>
    </w:p>
    <w:p w14:paraId="07C376D4" w14:textId="77777777" w:rsidR="00272CE9" w:rsidRDefault="00272CE9" w:rsidP="00272CE9">
      <w:pPr>
        <w:pStyle w:val="A"/>
      </w:pPr>
      <w:r w:rsidRPr="008D1E1B">
        <w:t>B.</w:t>
      </w:r>
      <w:r w:rsidRPr="008D1E1B">
        <w:tab/>
        <w:t>Growth Facility Production Requirements</w:t>
      </w:r>
    </w:p>
    <w:p w14:paraId="70B25225" w14:textId="77777777" w:rsidR="00272CE9" w:rsidRDefault="00272CE9" w:rsidP="00272CE9">
      <w:pPr>
        <w:pStyle w:val="1"/>
      </w:pPr>
      <w:r w:rsidRPr="008D1E1B">
        <w:t>1.</w:t>
      </w:r>
      <w:r w:rsidRPr="008D1E1B">
        <w:tab/>
        <w:t>The facility shall be free of visually detectable diseases, insects, and other harmful pests.</w:t>
      </w:r>
    </w:p>
    <w:p w14:paraId="040638F3" w14:textId="77777777" w:rsidR="00272CE9" w:rsidRDefault="00272CE9" w:rsidP="00272CE9">
      <w:pPr>
        <w:pStyle w:val="1"/>
      </w:pPr>
      <w:r w:rsidRPr="008D1E1B">
        <w:t>2.</w:t>
      </w:r>
      <w:r w:rsidRPr="008D1E1B">
        <w:tab/>
        <w:t>Hemp clones shall be handled in such a manner as to prevent co-mingling of varieties or types.</w:t>
      </w:r>
    </w:p>
    <w:p w14:paraId="7DC37E24" w14:textId="77777777" w:rsidR="00272CE9" w:rsidRDefault="00272CE9" w:rsidP="00272CE9">
      <w:pPr>
        <w:pStyle w:val="1"/>
      </w:pPr>
      <w:r w:rsidRPr="008D1E1B">
        <w:t>3.</w:t>
      </w:r>
      <w:r w:rsidRPr="008D1E1B">
        <w:tab/>
        <w:t>Isolation</w:t>
      </w:r>
    </w:p>
    <w:p w14:paraId="4FCB304D" w14:textId="77777777" w:rsidR="00272CE9" w:rsidRDefault="00272CE9" w:rsidP="00272CE9">
      <w:pPr>
        <w:pStyle w:val="a0"/>
      </w:pPr>
      <w:r w:rsidRPr="008D1E1B">
        <w:t>a.</w:t>
      </w:r>
      <w:r w:rsidRPr="008D1E1B">
        <w:tab/>
        <w:t>Varieties produced in the same facility shall have a minimum of 18” unplanted isolation area between the varieties.</w:t>
      </w:r>
    </w:p>
    <w:p w14:paraId="4108D250" w14:textId="77777777" w:rsidR="00272CE9" w:rsidRDefault="00272CE9" w:rsidP="00272CE9">
      <w:pPr>
        <w:pStyle w:val="a0"/>
      </w:pPr>
      <w:r w:rsidRPr="008D1E1B">
        <w:t>b.</w:t>
      </w:r>
      <w:r w:rsidRPr="008D1E1B">
        <w:tab/>
        <w:t>The production area, flats and/or containers for each variety shall be clearly labeled in a manner that prevents mixing or misidentification.</w:t>
      </w:r>
    </w:p>
    <w:p w14:paraId="0A7926D3" w14:textId="77777777" w:rsidR="00272CE9" w:rsidRDefault="00272CE9" w:rsidP="00272CE9">
      <w:pPr>
        <w:pStyle w:val="a0"/>
      </w:pPr>
      <w:r w:rsidRPr="008D1E1B">
        <w:t>c.</w:t>
      </w:r>
      <w:r w:rsidRPr="008D1E1B">
        <w:tab/>
        <w:t>Growers shall handle transplants throughout the growing, harvesting, and sales in a manner that prevents the mechanical mixture of containers of different varieties.</w:t>
      </w:r>
    </w:p>
    <w:p w14:paraId="64D3255F" w14:textId="77777777" w:rsidR="00272CE9" w:rsidRDefault="00272CE9" w:rsidP="00272CE9">
      <w:pPr>
        <w:pStyle w:val="A"/>
      </w:pPr>
      <w:r w:rsidRPr="008D1E1B">
        <w:t>C.</w:t>
      </w:r>
      <w:r w:rsidRPr="008D1E1B">
        <w:tab/>
        <w:t>Field Production Requirements</w:t>
      </w:r>
    </w:p>
    <w:p w14:paraId="134D9A9C" w14:textId="77777777" w:rsidR="00272CE9" w:rsidRDefault="00272CE9" w:rsidP="00272CE9">
      <w:pPr>
        <w:pStyle w:val="1"/>
        <w:rPr>
          <w:spacing w:val="-1"/>
        </w:rPr>
      </w:pPr>
      <w:r w:rsidRPr="008D1E1B">
        <w:t>1.</w:t>
      </w:r>
      <w:r w:rsidRPr="008D1E1B">
        <w:tab/>
        <w:t>Land Requirements</w:t>
      </w:r>
    </w:p>
    <w:p w14:paraId="23311822" w14:textId="77777777" w:rsidR="00272CE9" w:rsidRDefault="00272CE9" w:rsidP="00272CE9">
      <w:pPr>
        <w:pStyle w:val="a0"/>
        <w:rPr>
          <w:spacing w:val="-1"/>
        </w:rPr>
      </w:pPr>
      <w:r w:rsidRPr="008D1E1B">
        <w:t>a.</w:t>
      </w:r>
      <w:r w:rsidRPr="008D1E1B">
        <w:tab/>
        <w:t xml:space="preserve">Crops for the production of mother plants shall not be grown on land that produced a hemp crop within the previous five years. </w:t>
      </w:r>
    </w:p>
    <w:p w14:paraId="2D779271" w14:textId="77777777" w:rsidR="00272CE9" w:rsidRDefault="00272CE9" w:rsidP="00272CE9">
      <w:pPr>
        <w:pStyle w:val="a0"/>
      </w:pPr>
      <w:r w:rsidRPr="008D1E1B">
        <w:t>b.</w:t>
      </w:r>
      <w:r w:rsidRPr="008D1E1B">
        <w:tab/>
        <w:t>Crops for the certified class shall not be grown on land that produced a hemp crop in the previous three years.</w:t>
      </w:r>
    </w:p>
    <w:p w14:paraId="5F39B478" w14:textId="77777777" w:rsidR="00272CE9" w:rsidRPr="00B12318" w:rsidRDefault="00272CE9" w:rsidP="00272CE9">
      <w:pPr>
        <w:pStyle w:val="1"/>
        <w:rPr>
          <w:spacing w:val="-1"/>
        </w:rPr>
      </w:pPr>
      <w:r w:rsidRPr="008D1E1B">
        <w:t>2.</w:t>
      </w:r>
      <w:r w:rsidRPr="008D1E1B">
        <w:tab/>
        <w:t>Isolation Requirements</w:t>
      </w:r>
    </w:p>
    <w:p w14:paraId="43CD3B02" w14:textId="77777777" w:rsidR="00272CE9" w:rsidRDefault="00272CE9" w:rsidP="00272CE9">
      <w:pPr>
        <w:pStyle w:val="a0"/>
        <w:rPr>
          <w:spacing w:val="-1"/>
        </w:rPr>
      </w:pPr>
      <w:r w:rsidRPr="008D1E1B">
        <w:t>a.</w:t>
      </w:r>
      <w:r w:rsidRPr="008D1E1B">
        <w:tab/>
        <w:t>There shall be a minimum</w:t>
      </w:r>
      <w:r w:rsidRPr="008D1E1B">
        <w:rPr>
          <w:bCs/>
        </w:rPr>
        <w:t xml:space="preserve"> of t</w:t>
      </w:r>
      <w:r w:rsidRPr="008D1E1B">
        <w:t>en feet isolation area, or an appropriate barrier between different certified varieties or between certified and any non-certified production.</w:t>
      </w:r>
    </w:p>
    <w:p w14:paraId="335D8648" w14:textId="77777777" w:rsidR="00272CE9" w:rsidRDefault="00272CE9" w:rsidP="00272CE9">
      <w:pPr>
        <w:pStyle w:val="a0"/>
        <w:rPr>
          <w:spacing w:val="-1"/>
        </w:rPr>
      </w:pPr>
      <w:r w:rsidRPr="008D1E1B">
        <w:t>b.</w:t>
      </w:r>
      <w:r w:rsidRPr="008D1E1B">
        <w:tab/>
        <w:t>LDAF may approve an alternate isolation distance or barrier sufficient to prohibit the mixing of plants.</w:t>
      </w:r>
    </w:p>
    <w:p w14:paraId="25F547BB" w14:textId="77777777" w:rsidR="00272CE9" w:rsidRDefault="00272CE9" w:rsidP="00272CE9">
      <w:pPr>
        <w:pStyle w:val="a0"/>
      </w:pPr>
      <w:r w:rsidRPr="008D1E1B">
        <w:t>c.</w:t>
      </w:r>
      <w:r w:rsidRPr="008D1E1B">
        <w:tab/>
        <w:t>Isolation areas shall remain free of volunteer hemp plants throughout the production cycle.</w:t>
      </w:r>
    </w:p>
    <w:p w14:paraId="4DCDA707" w14:textId="77777777" w:rsidR="00272CE9" w:rsidRDefault="00272CE9" w:rsidP="00272CE9">
      <w:pPr>
        <w:pStyle w:val="A"/>
      </w:pPr>
      <w:r w:rsidRPr="008D1E1B">
        <w:t>D.</w:t>
      </w:r>
      <w:r w:rsidRPr="008D1E1B">
        <w:tab/>
        <w:t>General Production Standards</w:t>
      </w:r>
    </w:p>
    <w:p w14:paraId="658D8611" w14:textId="77777777" w:rsidR="00272CE9" w:rsidRDefault="00272CE9" w:rsidP="00272CE9">
      <w:pPr>
        <w:pStyle w:val="1"/>
      </w:pPr>
      <w:r w:rsidRPr="008D1E1B">
        <w:t>1.</w:t>
      </w:r>
      <w:r w:rsidRPr="008D1E1B">
        <w:tab/>
        <w:t>Plants shall remain apparently free of diseases, insects, and other injurious pests.</w:t>
      </w:r>
    </w:p>
    <w:p w14:paraId="015D21CE" w14:textId="77777777" w:rsidR="00272CE9" w:rsidRDefault="00272CE9" w:rsidP="00272CE9">
      <w:pPr>
        <w:pStyle w:val="1"/>
      </w:pPr>
      <w:r w:rsidRPr="008D1E1B">
        <w:t>2.</w:t>
      </w:r>
      <w:r w:rsidRPr="008D1E1B">
        <w:tab/>
        <w:t>Maximum off-types or other varieties shall not exceed 0.2</w:t>
      </w:r>
      <w:r>
        <w:t xml:space="preserve"> percent</w:t>
      </w:r>
      <w:r w:rsidRPr="008D1E1B">
        <w:t>, or 20 in 10,000 plants. Non-conforming plants shall be removed and destroyed by the grower.</w:t>
      </w:r>
    </w:p>
    <w:p w14:paraId="6CE69754" w14:textId="77777777" w:rsidR="00272CE9" w:rsidRDefault="00272CE9" w:rsidP="00272CE9">
      <w:pPr>
        <w:pStyle w:val="A"/>
        <w:rPr>
          <w:spacing w:val="-1"/>
        </w:rPr>
      </w:pPr>
      <w:r w:rsidRPr="008D1E1B">
        <w:t>E.</w:t>
      </w:r>
      <w:r w:rsidRPr="008D1E1B">
        <w:tab/>
        <w:t>Inspections</w:t>
      </w:r>
    </w:p>
    <w:p w14:paraId="654853E5" w14:textId="77777777" w:rsidR="00272CE9" w:rsidRDefault="00272CE9" w:rsidP="00272CE9">
      <w:pPr>
        <w:pStyle w:val="1"/>
        <w:rPr>
          <w:spacing w:val="-1"/>
        </w:rPr>
      </w:pPr>
      <w:r w:rsidRPr="008D1E1B">
        <w:t>1.</w:t>
      </w:r>
      <w:r w:rsidRPr="008D1E1B">
        <w:tab/>
        <w:t>LDAF will inspect mother plants within seven days before first cutting of daughter plants for certification.</w:t>
      </w:r>
    </w:p>
    <w:p w14:paraId="22C7709A" w14:textId="77777777" w:rsidR="00272CE9" w:rsidRDefault="00272CE9" w:rsidP="00272CE9">
      <w:pPr>
        <w:pStyle w:val="1"/>
      </w:pPr>
      <w:r w:rsidRPr="008D1E1B">
        <w:t>2.</w:t>
      </w:r>
      <w:r w:rsidRPr="008D1E1B">
        <w:tab/>
        <w:t>LDAF will inspect daughter plants at least once during the course of production.</w:t>
      </w:r>
    </w:p>
    <w:p w14:paraId="583799D0" w14:textId="77777777" w:rsidR="00272CE9" w:rsidRDefault="00272CE9" w:rsidP="00272CE9">
      <w:pPr>
        <w:pStyle w:val="1"/>
        <w:rPr>
          <w:spacing w:val="-1"/>
        </w:rPr>
      </w:pPr>
      <w:r w:rsidRPr="008D1E1B">
        <w:t>3.</w:t>
      </w:r>
      <w:r w:rsidRPr="008D1E1B">
        <w:tab/>
        <w:t>LDAF will perform a minimum of two inspections to determine:</w:t>
      </w:r>
    </w:p>
    <w:p w14:paraId="6814A08B" w14:textId="77777777" w:rsidR="00272CE9" w:rsidRDefault="00272CE9" w:rsidP="00272CE9">
      <w:pPr>
        <w:pStyle w:val="a0"/>
        <w:rPr>
          <w:spacing w:val="-1"/>
        </w:rPr>
      </w:pPr>
      <w:r w:rsidRPr="008D1E1B">
        <w:t>a.</w:t>
      </w:r>
      <w:r w:rsidRPr="008D1E1B">
        <w:tab/>
        <w:t>all field and indoor growth facility produced plants and transplants are properly labeled by variety and meet phenotypic purity, isolation, and are in good physical condition.</w:t>
      </w:r>
    </w:p>
    <w:p w14:paraId="7A5FE87B" w14:textId="77777777" w:rsidR="00272CE9" w:rsidRDefault="00272CE9" w:rsidP="00272CE9">
      <w:pPr>
        <w:pStyle w:val="a0"/>
        <w:rPr>
          <w:spacing w:val="-1"/>
        </w:rPr>
      </w:pPr>
      <w:r w:rsidRPr="008D1E1B">
        <w:lastRenderedPageBreak/>
        <w:t>b.</w:t>
      </w:r>
      <w:r w:rsidRPr="008D1E1B">
        <w:tab/>
        <w:t>the number of transplants produced at the time of the final inspection.</w:t>
      </w:r>
    </w:p>
    <w:p w14:paraId="4C66BDC7" w14:textId="77777777" w:rsidR="00272CE9" w:rsidRDefault="00272CE9" w:rsidP="00272CE9">
      <w:pPr>
        <w:pStyle w:val="1"/>
        <w:rPr>
          <w:spacing w:val="-1"/>
        </w:rPr>
      </w:pPr>
      <w:r w:rsidRPr="008D1E1B">
        <w:t>4.</w:t>
      </w:r>
      <w:r w:rsidRPr="008D1E1B">
        <w:tab/>
        <w:t>Transplants may be rejected for certification due to unsatisfactory physical condition, including but limited to, diseased plants, plants with insect infestation, or plants that are otherwise stressed.</w:t>
      </w:r>
    </w:p>
    <w:p w14:paraId="1C8B6851" w14:textId="77777777" w:rsidR="00272CE9" w:rsidRDefault="00272CE9" w:rsidP="00272CE9">
      <w:pPr>
        <w:pStyle w:val="1"/>
        <w:rPr>
          <w:spacing w:val="-1"/>
        </w:rPr>
      </w:pPr>
      <w:r w:rsidRPr="008D1E1B">
        <w:t>5.</w:t>
      </w:r>
      <w:r w:rsidRPr="008D1E1B">
        <w:tab/>
        <w:t>LDAF may reject unlabeled or inadequately labeled transplants.</w:t>
      </w:r>
    </w:p>
    <w:p w14:paraId="2B2DA9EB" w14:textId="77777777" w:rsidR="00272CE9" w:rsidRDefault="00272CE9" w:rsidP="00272CE9">
      <w:pPr>
        <w:pStyle w:val="1"/>
        <w:rPr>
          <w:spacing w:val="-1"/>
        </w:rPr>
      </w:pPr>
      <w:r w:rsidRPr="008D1E1B">
        <w:t>6.</w:t>
      </w:r>
      <w:r w:rsidRPr="008D1E1B">
        <w:tab/>
        <w:t>LDAF may conduct additional inspections as necessary to ensure all certification requirements are met.</w:t>
      </w:r>
    </w:p>
    <w:p w14:paraId="11DC6295" w14:textId="77777777" w:rsidR="00272CE9" w:rsidRPr="008D1E1B" w:rsidRDefault="00272CE9" w:rsidP="00272CE9">
      <w:pPr>
        <w:pStyle w:val="AuthorityNote"/>
      </w:pPr>
      <w:r w:rsidRPr="008D1E1B">
        <w:t>AUTHORITY NOTE:</w:t>
      </w:r>
      <w:r w:rsidRPr="008D1E1B">
        <w:tab/>
        <w:t>Promulgated in accordance with R.S. 3:1433.</w:t>
      </w:r>
    </w:p>
    <w:p w14:paraId="4EBEA92C" w14:textId="77777777" w:rsidR="00272CE9" w:rsidRDefault="00272CE9" w:rsidP="00272CE9">
      <w:pPr>
        <w:pStyle w:val="HistoricalNote"/>
      </w:pPr>
      <w:r w:rsidRPr="008D1E1B">
        <w:t>HISTORICAL NOTE:</w:t>
      </w:r>
      <w:r w:rsidRPr="008D1E1B">
        <w:tab/>
        <w:t xml:space="preserve">Promulgated by the Department of Agriculture and Forestry, Office of Agricultural and Environmental Sciences, Agricultural Chemistry and Seed Commission, </w:t>
      </w:r>
      <w:r>
        <w:t>LR 51:1575 (October 2025).</w:t>
      </w:r>
    </w:p>
    <w:p w14:paraId="036CDBEC" w14:textId="77777777" w:rsidR="00272CE9" w:rsidRDefault="00272CE9" w:rsidP="00272CE9">
      <w:pPr>
        <w:pStyle w:val="Section"/>
      </w:pPr>
      <w:bookmarkStart w:id="1275" w:name="_Toc224818857"/>
      <w:r w:rsidRPr="008D1E1B">
        <w:rPr>
          <w:bCs/>
        </w:rPr>
        <w:t>§</w:t>
      </w:r>
      <w:r w:rsidRPr="008D1E1B">
        <w:t>1209.</w:t>
      </w:r>
      <w:r w:rsidRPr="008D1E1B">
        <w:tab/>
        <w:t>Hemp Transplants Certification Standards</w:t>
      </w:r>
      <w:bookmarkEnd w:id="1275"/>
    </w:p>
    <w:p w14:paraId="023DA589" w14:textId="77777777" w:rsidR="00272CE9" w:rsidRDefault="00272CE9" w:rsidP="00272CE9">
      <w:pPr>
        <w:pStyle w:val="A"/>
      </w:pPr>
      <w:r w:rsidRPr="008D1E1B">
        <w:t>A.</w:t>
      </w:r>
      <w:r w:rsidRPr="008D1E1B">
        <w:tab/>
        <w:t>General Hemp Transplant Standards</w:t>
      </w:r>
    </w:p>
    <w:p w14:paraId="1204201C" w14:textId="77777777" w:rsidR="00272CE9" w:rsidRDefault="00272CE9" w:rsidP="00272CE9">
      <w:pPr>
        <w:pStyle w:val="1"/>
      </w:pPr>
      <w:r w:rsidRPr="008D1E1B">
        <w:t>1.</w:t>
      </w:r>
      <w:r w:rsidRPr="008D1E1B">
        <w:tab/>
        <w:t>All certified transplants shall be produced from a class of certified seed or certified planting stock.</w:t>
      </w:r>
    </w:p>
    <w:p w14:paraId="43509383" w14:textId="77777777" w:rsidR="00272CE9" w:rsidRDefault="00272CE9" w:rsidP="00272CE9">
      <w:pPr>
        <w:pStyle w:val="1"/>
      </w:pPr>
      <w:r w:rsidRPr="008D1E1B">
        <w:t>2.</w:t>
      </w:r>
      <w:r w:rsidRPr="008D1E1B">
        <w:tab/>
        <w:t>Proof of seed eligibility shall be established by providing to LDAF a certified label, issued by a member agency in good standing with AOSCA, and accompanying invoice showing the variety, lot number and pounds received. In the case of clones, documentation of clone propagation issued by a member agency in good standing with AOSCA.</w:t>
      </w:r>
    </w:p>
    <w:p w14:paraId="0537E20F" w14:textId="77777777" w:rsidR="00272CE9" w:rsidRDefault="00272CE9" w:rsidP="00272CE9">
      <w:pPr>
        <w:pStyle w:val="1"/>
      </w:pPr>
      <w:r w:rsidRPr="008D1E1B">
        <w:t>3.</w:t>
      </w:r>
      <w:r w:rsidRPr="008D1E1B">
        <w:tab/>
        <w:t xml:space="preserve">All containers must be labeled in a manner that maintains the source, identity and certification eligibility of the transplants. All containers offered for sale must be identified by the official seed certification tag/label. The tag/label must be securely affixed to trays, so the tag/label remain with the plants until the final disposition. </w:t>
      </w:r>
    </w:p>
    <w:p w14:paraId="4BE80847" w14:textId="77777777" w:rsidR="00272CE9" w:rsidRDefault="00272CE9" w:rsidP="00272CE9">
      <w:pPr>
        <w:pStyle w:val="1"/>
      </w:pPr>
      <w:r w:rsidRPr="008D1E1B">
        <w:t>4.</w:t>
      </w:r>
      <w:r w:rsidRPr="008D1E1B">
        <w:tab/>
        <w:t>Off-types and other varieties shall not exceed 0.2</w:t>
      </w:r>
      <w:r>
        <w:t xml:space="preserve"> percent</w:t>
      </w:r>
      <w:r w:rsidRPr="008D1E1B">
        <w:t>, or 20 in 10,000 plants. Off-types and other varieties must be removed and destroyed by grower.</w:t>
      </w:r>
    </w:p>
    <w:p w14:paraId="1F9279CA" w14:textId="77777777" w:rsidR="00272CE9" w:rsidRDefault="00272CE9" w:rsidP="00272CE9">
      <w:pPr>
        <w:pStyle w:val="A"/>
      </w:pPr>
      <w:bookmarkStart w:id="1276" w:name="_Hlk163803678"/>
      <w:r w:rsidRPr="008D1E1B">
        <w:t>B.</w:t>
      </w:r>
      <w:r w:rsidRPr="008D1E1B">
        <w:tab/>
        <w:t>Inspections</w:t>
      </w:r>
    </w:p>
    <w:p w14:paraId="515706BC" w14:textId="77777777" w:rsidR="00272CE9" w:rsidRDefault="00272CE9" w:rsidP="00272CE9">
      <w:pPr>
        <w:pStyle w:val="1"/>
      </w:pPr>
      <w:r w:rsidRPr="008D1E1B">
        <w:t>1.</w:t>
      </w:r>
      <w:r w:rsidRPr="008D1E1B">
        <w:tab/>
        <w:t>LDAF will inspect all fields and other outdoor plant growing sites at least two times for phenotypic purity, isolation, physical condition, and appearance of plants.</w:t>
      </w:r>
    </w:p>
    <w:p w14:paraId="12AA37A9" w14:textId="77777777" w:rsidR="00272CE9" w:rsidRDefault="00272CE9" w:rsidP="00272CE9">
      <w:pPr>
        <w:pStyle w:val="1"/>
      </w:pPr>
      <w:r w:rsidRPr="008D1E1B">
        <w:t>2.</w:t>
      </w:r>
      <w:r w:rsidRPr="008D1E1B">
        <w:tab/>
        <w:t>LDAF will inspect transplants produced in a growth facility at least two times for varietal labeling, phenotypic purity, isolation, physical condition, and appearance of plants.</w:t>
      </w:r>
    </w:p>
    <w:p w14:paraId="27260E4F" w14:textId="77777777" w:rsidR="00272CE9" w:rsidRDefault="00272CE9" w:rsidP="00272CE9">
      <w:pPr>
        <w:pStyle w:val="1"/>
      </w:pPr>
      <w:r w:rsidRPr="008D1E1B">
        <w:t>3.</w:t>
      </w:r>
      <w:r w:rsidRPr="008D1E1B">
        <w:tab/>
        <w:t>LDAF may reject transplants due to unsatisfactory appearance, such as plants that are diseased, insect infestation, or otherwise stressed or in a condition which prevents thorough inspection.</w:t>
      </w:r>
    </w:p>
    <w:p w14:paraId="79FFC436" w14:textId="77777777" w:rsidR="00272CE9" w:rsidRDefault="00272CE9" w:rsidP="00272CE9">
      <w:pPr>
        <w:pStyle w:val="1"/>
      </w:pPr>
      <w:r w:rsidRPr="008D1E1B">
        <w:t>4.</w:t>
      </w:r>
      <w:r w:rsidRPr="008D1E1B">
        <w:tab/>
        <w:t>Unlabeled or inadequately labeled transplants shall be ineligible for certification.</w:t>
      </w:r>
    </w:p>
    <w:p w14:paraId="641751D0" w14:textId="77777777" w:rsidR="00272CE9" w:rsidRDefault="00272CE9" w:rsidP="00272CE9">
      <w:pPr>
        <w:pStyle w:val="1"/>
      </w:pPr>
      <w:r w:rsidRPr="008D1E1B">
        <w:t>5.</w:t>
      </w:r>
      <w:r w:rsidRPr="008D1E1B">
        <w:tab/>
        <w:t>LDAF will verify the number of transplants produced at the time of the final inspection.</w:t>
      </w:r>
    </w:p>
    <w:p w14:paraId="6DAA7EB0" w14:textId="77777777" w:rsidR="00272CE9" w:rsidRDefault="00272CE9" w:rsidP="00272CE9">
      <w:pPr>
        <w:pStyle w:val="1"/>
      </w:pPr>
      <w:r w:rsidRPr="008D1E1B">
        <w:t>6.</w:t>
      </w:r>
      <w:r w:rsidRPr="008D1E1B">
        <w:tab/>
        <w:t>Upon the final inspection, transplants may be collected by LDAF for post-control grow outs or other identification verification tests.</w:t>
      </w:r>
    </w:p>
    <w:p w14:paraId="40CB15E1" w14:textId="77777777" w:rsidR="00272CE9" w:rsidRDefault="00272CE9" w:rsidP="00272CE9">
      <w:pPr>
        <w:pStyle w:val="1"/>
      </w:pPr>
      <w:r w:rsidRPr="008D1E1B">
        <w:t>7.</w:t>
      </w:r>
      <w:r w:rsidRPr="008D1E1B">
        <w:tab/>
        <w:t>LDAF may conduct additional inspections as necessary to ensure all certification standards are met.</w:t>
      </w:r>
    </w:p>
    <w:bookmarkEnd w:id="1276"/>
    <w:p w14:paraId="4A1340F7" w14:textId="77777777" w:rsidR="00272CE9" w:rsidRDefault="00272CE9" w:rsidP="00272CE9">
      <w:pPr>
        <w:pStyle w:val="A"/>
      </w:pPr>
      <w:r w:rsidRPr="008D1E1B">
        <w:t>C.</w:t>
      </w:r>
      <w:r w:rsidRPr="008D1E1B">
        <w:tab/>
        <w:t>Field Land Requirements</w:t>
      </w:r>
    </w:p>
    <w:p w14:paraId="5FB0109B" w14:textId="77777777" w:rsidR="00272CE9" w:rsidRDefault="00272CE9" w:rsidP="00272CE9">
      <w:pPr>
        <w:pStyle w:val="1"/>
      </w:pPr>
      <w:r w:rsidRPr="008D1E1B">
        <w:t>1.</w:t>
      </w:r>
      <w:r w:rsidRPr="008D1E1B">
        <w:tab/>
        <w:t>Hemp transplants shall not be grown on fields which:</w:t>
      </w:r>
    </w:p>
    <w:p w14:paraId="0079F217" w14:textId="77777777" w:rsidR="00272CE9" w:rsidRDefault="00272CE9" w:rsidP="00272CE9">
      <w:pPr>
        <w:pStyle w:val="a0"/>
      </w:pPr>
      <w:r w:rsidRPr="008D1E1B">
        <w:t>a.</w:t>
      </w:r>
      <w:r w:rsidRPr="008D1E1B">
        <w:tab/>
        <w:t>Produced a non-certified crop of hemp or a different variety of hemp in either of the preceding two years.</w:t>
      </w:r>
    </w:p>
    <w:p w14:paraId="6148FF6C" w14:textId="77777777" w:rsidR="00272CE9" w:rsidRDefault="00272CE9" w:rsidP="00272CE9">
      <w:pPr>
        <w:pStyle w:val="a0"/>
      </w:pPr>
      <w:r w:rsidRPr="008D1E1B">
        <w:t>b.</w:t>
      </w:r>
      <w:r w:rsidRPr="008D1E1B">
        <w:tab/>
        <w:t>Produced a certified crop of a same variety in the preceding year.</w:t>
      </w:r>
    </w:p>
    <w:p w14:paraId="487BAC60" w14:textId="77777777" w:rsidR="00272CE9" w:rsidRDefault="00272CE9" w:rsidP="00272CE9">
      <w:pPr>
        <w:pStyle w:val="A"/>
      </w:pPr>
      <w:r w:rsidRPr="008D1E1B">
        <w:t>D.</w:t>
      </w:r>
      <w:r w:rsidRPr="008D1E1B">
        <w:tab/>
        <w:t>Plant Bed Soil Mix Requirements</w:t>
      </w:r>
    </w:p>
    <w:p w14:paraId="4B90B185" w14:textId="77777777" w:rsidR="00272CE9" w:rsidRDefault="00272CE9" w:rsidP="00272CE9">
      <w:pPr>
        <w:pStyle w:val="1"/>
      </w:pPr>
      <w:r w:rsidRPr="008D1E1B">
        <w:t>1.</w:t>
      </w:r>
      <w:r w:rsidRPr="008D1E1B">
        <w:tab/>
        <w:t>Growth facilities shall develop and follow Standard Operating Procedures (“SOP”) designed to prevent contamination of hemp plant material from a previous crop and maintain written documentation that the facility is free of any plant material from a previous crop. This information shall be made available to LDAF upon request.</w:t>
      </w:r>
    </w:p>
    <w:p w14:paraId="08F72292" w14:textId="77777777" w:rsidR="00272CE9" w:rsidRDefault="00272CE9" w:rsidP="00272CE9">
      <w:pPr>
        <w:pStyle w:val="1"/>
      </w:pPr>
      <w:r w:rsidRPr="008D1E1B">
        <w:t>2.</w:t>
      </w:r>
      <w:r w:rsidRPr="008D1E1B">
        <w:tab/>
        <w:t>The soil mixes for growth facility production of transplants shall be new, soil-less, or sanitized in a method approved by LDAF.</w:t>
      </w:r>
    </w:p>
    <w:p w14:paraId="0BF5FA0F" w14:textId="77777777" w:rsidR="00272CE9" w:rsidRDefault="00272CE9" w:rsidP="00272CE9">
      <w:pPr>
        <w:pStyle w:val="A"/>
      </w:pPr>
      <w:r w:rsidRPr="008D1E1B">
        <w:t>E.</w:t>
      </w:r>
      <w:r w:rsidRPr="008D1E1B">
        <w:tab/>
        <w:t>Isolation Requirements</w:t>
      </w:r>
      <w:bookmarkStart w:id="1277" w:name="_Hlk170801747"/>
    </w:p>
    <w:p w14:paraId="7686BBB5" w14:textId="77777777" w:rsidR="00272CE9" w:rsidRDefault="00272CE9" w:rsidP="00272CE9">
      <w:pPr>
        <w:pStyle w:val="1"/>
      </w:pPr>
      <w:r w:rsidRPr="008D1E1B">
        <w:t>1.</w:t>
      </w:r>
      <w:r w:rsidRPr="008D1E1B">
        <w:tab/>
        <w:t>When two or more varieties are being grown in the same growth facility, there shall be an adequate unplanted area between the varieties to prohibit mixing or misidentification. The production area, flats and/or containers for each variety must be clearly labeled in a manner that prevents mixing or misidentification.</w:t>
      </w:r>
      <w:bookmarkEnd w:id="1277"/>
    </w:p>
    <w:p w14:paraId="29DBF9AE" w14:textId="77777777" w:rsidR="00272CE9" w:rsidRDefault="00272CE9" w:rsidP="00272CE9">
      <w:pPr>
        <w:pStyle w:val="1"/>
      </w:pPr>
      <w:r w:rsidRPr="008D1E1B">
        <w:t>2.</w:t>
      </w:r>
      <w:r w:rsidRPr="008D1E1B">
        <w:tab/>
        <w:t>Different varieties being grown in fields shall be separated by an adequate, but no less than six feet, unplanted area between the varieties to prohibit mixing or misidentification.</w:t>
      </w:r>
    </w:p>
    <w:p w14:paraId="7706437A" w14:textId="77777777" w:rsidR="00272CE9" w:rsidRDefault="00272CE9" w:rsidP="00272CE9">
      <w:pPr>
        <w:pStyle w:val="1"/>
      </w:pPr>
      <w:r w:rsidRPr="008D1E1B">
        <w:t>3.</w:t>
      </w:r>
      <w:r w:rsidRPr="008D1E1B">
        <w:tab/>
        <w:t>Growers shall handle transplants throughout the growing, harvesting, and transplant sales in a manner that prevents mechanical mixture of containers of different varieties.</w:t>
      </w:r>
    </w:p>
    <w:p w14:paraId="46579329" w14:textId="77777777" w:rsidR="00272CE9" w:rsidRDefault="00272CE9" w:rsidP="00272CE9">
      <w:pPr>
        <w:pStyle w:val="A"/>
      </w:pPr>
      <w:r w:rsidRPr="008D1E1B">
        <w:t>F.</w:t>
      </w:r>
      <w:r w:rsidRPr="008D1E1B">
        <w:tab/>
        <w:t>Labeling Requirements</w:t>
      </w:r>
    </w:p>
    <w:p w14:paraId="28B55ED8" w14:textId="77777777" w:rsidR="00272CE9" w:rsidRDefault="00272CE9" w:rsidP="00272CE9">
      <w:pPr>
        <w:pStyle w:val="1"/>
      </w:pPr>
      <w:r w:rsidRPr="008D1E1B">
        <w:t>1.</w:t>
      </w:r>
      <w:r w:rsidRPr="008D1E1B">
        <w:tab/>
        <w:t>All certified hemp transplants offered for sale shall be labeled with official LDAF issued certification tags or labels. Each container of hemp transplants shall have an LDAF issued certified label firmly attached to be sold as certified transplants. Failure to properly label transplants at the time of sale shall be cause for rejection of certification status and may become ineligible for sale as certified transplants.</w:t>
      </w:r>
    </w:p>
    <w:p w14:paraId="51043ADE" w14:textId="77777777" w:rsidR="00272CE9" w:rsidRDefault="00272CE9" w:rsidP="00272CE9">
      <w:pPr>
        <w:pStyle w:val="AuthorityNote"/>
      </w:pPr>
      <w:r w:rsidRPr="008D1E1B">
        <w:t>AUTHORITY NOTE:</w:t>
      </w:r>
      <w:r w:rsidRPr="008D1E1B">
        <w:tab/>
        <w:t>Promulgated in accordance with R.S. 3:1433.</w:t>
      </w:r>
    </w:p>
    <w:p w14:paraId="2A532B8B" w14:textId="77777777" w:rsidR="00D46BA0" w:rsidRDefault="00272CE9" w:rsidP="002E0396">
      <w:pPr>
        <w:pStyle w:val="HistoricalNote"/>
      </w:pPr>
      <w:r w:rsidRPr="008D1E1B">
        <w:t>HISTORICAL NOTE:</w:t>
      </w:r>
      <w:r w:rsidRPr="008D1E1B">
        <w:tab/>
        <w:t xml:space="preserve">Promulgated by the Department of Agriculture and Forestry, Office of Agricultural and Environmental Sciences, Agricultural Chemistry and Seed Commission, </w:t>
      </w:r>
      <w:r>
        <w:t>LR 51:1576 (October 2025).</w:t>
      </w:r>
    </w:p>
    <w:p w14:paraId="53BA459E" w14:textId="77777777" w:rsidR="00CD0355" w:rsidRDefault="00CD0355" w:rsidP="00CD0355">
      <w:pPr>
        <w:pStyle w:val="Chapter"/>
      </w:pPr>
      <w:bookmarkStart w:id="1278" w:name="_Toc224818858"/>
      <w:r>
        <w:lastRenderedPageBreak/>
        <w:t>Chapter 13.Industrial Hemp</w:t>
      </w:r>
      <w:bookmarkEnd w:id="1278"/>
    </w:p>
    <w:p w14:paraId="2C0D9B3C" w14:textId="77777777" w:rsidR="00CD0355" w:rsidRDefault="00CD0355" w:rsidP="00CD0355">
      <w:pPr>
        <w:pStyle w:val="Chapter"/>
      </w:pPr>
      <w:bookmarkStart w:id="1279" w:name="_Toc224818859"/>
      <w:r>
        <w:t>Subchapter A. General Provisions</w:t>
      </w:r>
      <w:bookmarkEnd w:id="1279"/>
    </w:p>
    <w:p w14:paraId="210928A9" w14:textId="77777777" w:rsidR="00CD0355" w:rsidRDefault="00CD0355" w:rsidP="00CD0355">
      <w:pPr>
        <w:pStyle w:val="Section"/>
      </w:pPr>
      <w:bookmarkStart w:id="1280" w:name="_Toc224818860"/>
      <w:r>
        <w:t>§1301.</w:t>
      </w:r>
      <w:r>
        <w:tab/>
        <w:t>Authority</w:t>
      </w:r>
      <w:bookmarkEnd w:id="1280"/>
    </w:p>
    <w:p w14:paraId="7769A964" w14:textId="77777777" w:rsidR="00CD0355" w:rsidRPr="00DF6D8D" w:rsidRDefault="00CD0355" w:rsidP="00CD0355">
      <w:pPr>
        <w:pStyle w:val="A"/>
        <w:rPr>
          <w:color w:val="000000"/>
        </w:rPr>
      </w:pPr>
      <w:r w:rsidRPr="00DF6D8D">
        <w:rPr>
          <w:color w:val="000000"/>
        </w:rPr>
        <w:t>A.</w:t>
      </w:r>
      <w:r w:rsidRPr="00DF6D8D">
        <w:rPr>
          <w:color w:val="000000"/>
        </w:rPr>
        <w:tab/>
      </w:r>
      <w:r w:rsidR="00882547" w:rsidRPr="00882547">
        <w:rPr>
          <w:color w:val="000000"/>
        </w:rPr>
        <w:t>The Louisiana Department of Agriculture and Forestry adopts these regulations under the authority of R.S. 3:1461 et seq. for the purpose of regulation, licensure, and enforcement of the cultivation, processing, and handling of industrial hemp.</w:t>
      </w:r>
    </w:p>
    <w:p w14:paraId="2B9464E7" w14:textId="77777777" w:rsidR="00CD0355" w:rsidRPr="00DF6D8D" w:rsidRDefault="00CD0355" w:rsidP="00CD0355">
      <w:pPr>
        <w:pStyle w:val="AuthorityNote"/>
        <w:rPr>
          <w:color w:val="000000"/>
        </w:rPr>
      </w:pPr>
      <w:bookmarkStart w:id="1281" w:name="_Hlk16196197"/>
      <w:r w:rsidRPr="00DF6D8D">
        <w:rPr>
          <w:color w:val="000000"/>
        </w:rPr>
        <w:t>AUTHORITY NOTE:</w:t>
      </w:r>
      <w:r w:rsidRPr="00DF6D8D">
        <w:rPr>
          <w:color w:val="000000"/>
        </w:rPr>
        <w:tab/>
        <w:t>Promulgated in accordance with R.S. 3:1464.</w:t>
      </w:r>
    </w:p>
    <w:p w14:paraId="76EFCA41"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170</w:t>
      </w:r>
      <w:r w:rsidRPr="00DF6D8D">
        <w:rPr>
          <w:color w:val="000000"/>
        </w:rPr>
        <w:t xml:space="preserve"> (February 2020)</w:t>
      </w:r>
      <w:r w:rsidR="00882547" w:rsidRPr="001E5B02">
        <w:rPr>
          <w:color w:val="000000"/>
        </w:rPr>
        <w:t>, amended LR 47:</w:t>
      </w:r>
      <w:r w:rsidR="00882547">
        <w:rPr>
          <w:color w:val="000000"/>
        </w:rPr>
        <w:t>1833</w:t>
      </w:r>
      <w:r w:rsidR="00882547" w:rsidRPr="001E5B02">
        <w:rPr>
          <w:color w:val="000000"/>
        </w:rPr>
        <w:t xml:space="preserve"> (December 2021).</w:t>
      </w:r>
    </w:p>
    <w:p w14:paraId="682F25BC" w14:textId="77777777" w:rsidR="00CD0355" w:rsidRDefault="00CD0355" w:rsidP="00CD0355">
      <w:pPr>
        <w:pStyle w:val="Section"/>
      </w:pPr>
      <w:bookmarkStart w:id="1282" w:name="_Toc224818861"/>
      <w:bookmarkEnd w:id="1281"/>
      <w:r>
        <w:t>§1303.</w:t>
      </w:r>
      <w:r>
        <w:tab/>
        <w:t>Definitions</w:t>
      </w:r>
      <w:bookmarkEnd w:id="1282"/>
    </w:p>
    <w:p w14:paraId="73C77C87" w14:textId="77777777" w:rsidR="00CD0355" w:rsidRPr="00DF6D8D" w:rsidRDefault="00CD0355" w:rsidP="00CD0355">
      <w:pPr>
        <w:pStyle w:val="A"/>
        <w:rPr>
          <w:color w:val="000000"/>
        </w:rPr>
      </w:pPr>
      <w:r w:rsidRPr="00DF6D8D">
        <w:rPr>
          <w:color w:val="000000"/>
        </w:rPr>
        <w:t>A.</w:t>
      </w:r>
      <w:r w:rsidRPr="00DF6D8D">
        <w:rPr>
          <w:color w:val="000000"/>
        </w:rPr>
        <w:tab/>
        <w:t xml:space="preserve">The provisions of R.S. 3:1462 relating to definitions, words, and terms are hereby incorporated by reference and made a part hereof and will therefore apply and govern the interpretation of these rules. Any word or term not defined in these rules shall have the same meaning ascribed to it in R.S. 3:1462. Any word not defined in R.S. 3:1462 or this Chapter shall be construed in accordance with its plain and ordinary meaning. </w:t>
      </w:r>
    </w:p>
    <w:p w14:paraId="47014213" w14:textId="77777777" w:rsidR="00CD0355" w:rsidRPr="00DF6D8D" w:rsidRDefault="00CD0355" w:rsidP="00CD0355">
      <w:pPr>
        <w:pStyle w:val="A"/>
        <w:rPr>
          <w:color w:val="000000"/>
        </w:rPr>
      </w:pPr>
      <w:r w:rsidRPr="00DF6D8D">
        <w:rPr>
          <w:color w:val="000000"/>
        </w:rPr>
        <w:t>B.</w:t>
      </w:r>
      <w:r w:rsidRPr="00DF6D8D">
        <w:rPr>
          <w:color w:val="000000"/>
        </w:rPr>
        <w:tab/>
      </w:r>
      <w:r w:rsidR="00882547" w:rsidRPr="001E5B02">
        <w:rPr>
          <w:color w:val="000000"/>
        </w:rPr>
        <w:t>The following words and terms shall have the following meanings.</w:t>
      </w:r>
      <w:r w:rsidRPr="00DF6D8D">
        <w:rPr>
          <w:color w:val="000000"/>
        </w:rPr>
        <w:t xml:space="preserve"> </w:t>
      </w:r>
    </w:p>
    <w:p w14:paraId="1650B6A3" w14:textId="77777777" w:rsidR="00CD0355" w:rsidRPr="00D45090" w:rsidRDefault="00882547" w:rsidP="00CD0355">
      <w:pPr>
        <w:pStyle w:val="1"/>
        <w:rPr>
          <w:color w:val="000000"/>
        </w:rPr>
      </w:pPr>
      <w:r w:rsidRPr="00882547">
        <w:rPr>
          <w:i/>
          <w:color w:val="000000"/>
        </w:rPr>
        <w:t>Acceptable Industrial Hemp THC Level—</w:t>
      </w:r>
      <w:r w:rsidRPr="00882547">
        <w:rPr>
          <w:color w:val="000000"/>
        </w:rPr>
        <w:t>when the application of the measurement of uncertainty to the reported total delta-9 tetrahydrocannabinol content concentration level on a dry weight basis produces a distribution range that includes 0.3 percent or less.</w:t>
      </w:r>
    </w:p>
    <w:p w14:paraId="317B35A0" w14:textId="77777777" w:rsidR="00CD0355" w:rsidRPr="00D45090" w:rsidRDefault="00CD0355" w:rsidP="00CD0355">
      <w:pPr>
        <w:pStyle w:val="1"/>
        <w:rPr>
          <w:color w:val="000000"/>
        </w:rPr>
      </w:pPr>
      <w:r w:rsidRPr="00D45090">
        <w:rPr>
          <w:i/>
          <w:color w:val="000000"/>
        </w:rPr>
        <w:t>AOSCA</w:t>
      </w:r>
      <w:r w:rsidRPr="00D45090">
        <w:rPr>
          <w:color w:val="000000"/>
        </w:rPr>
        <w:t>—Association of Official Seed Certifying Agencies.</w:t>
      </w:r>
    </w:p>
    <w:p w14:paraId="5EC50D9F" w14:textId="77777777" w:rsidR="00CD0355" w:rsidRPr="00D45090" w:rsidRDefault="00CD0355" w:rsidP="00CD0355">
      <w:pPr>
        <w:pStyle w:val="1"/>
        <w:rPr>
          <w:color w:val="000000"/>
        </w:rPr>
      </w:pPr>
      <w:r w:rsidRPr="00D45090">
        <w:rPr>
          <w:i/>
          <w:color w:val="000000"/>
        </w:rPr>
        <w:t>AOSCA-Certified Seed, AOSCA-Registered Seed, and AOSCA Foundation Seed</w:t>
      </w:r>
      <w:r w:rsidRPr="00D45090">
        <w:rPr>
          <w:color w:val="000000"/>
        </w:rPr>
        <w:t>—seed that has been produced and labeled in accordance with the procedures and in compliance with the rules and regulations of an AOSCA seed certifying agency or by the Organization for Economic Co-operation and Development (“OECD”) Seed Schemes. AOSCA certified seed programs provide standards and procedures approved by the United States Secretary of Agriculture to maintain and make available to the public high quality seed and propagating materials of superior crop plant varieties grown and distributed to insure genetic identity and purity.</w:t>
      </w:r>
    </w:p>
    <w:p w14:paraId="48A86613" w14:textId="77777777" w:rsidR="00725B15" w:rsidRDefault="00A40584" w:rsidP="00CD0355">
      <w:pPr>
        <w:pStyle w:val="1"/>
        <w:rPr>
          <w:i/>
          <w:color w:val="000000"/>
        </w:rPr>
      </w:pPr>
      <w:r w:rsidRPr="002D7DAE">
        <w:rPr>
          <w:i/>
        </w:rPr>
        <w:t>Approved Variety—</w:t>
      </w:r>
      <w:r w:rsidRPr="002D7DAE">
        <w:t>industrial hemp variety or strain that has been tested a minimum of three years in Louisiana and all official LDAF test results have shown the variety or strain at or below the compliant THC level.</w:t>
      </w:r>
    </w:p>
    <w:p w14:paraId="7F60D485" w14:textId="77777777" w:rsidR="00CD0355" w:rsidRPr="00D45090" w:rsidRDefault="00CD0355" w:rsidP="00CD0355">
      <w:pPr>
        <w:pStyle w:val="1"/>
        <w:rPr>
          <w:color w:val="000000"/>
        </w:rPr>
      </w:pPr>
      <w:r w:rsidRPr="00D45090">
        <w:rPr>
          <w:i/>
          <w:color w:val="000000"/>
        </w:rPr>
        <w:t>Cannabis</w:t>
      </w:r>
      <w:r w:rsidRPr="00D45090">
        <w:rPr>
          <w:color w:val="000000"/>
        </w:rPr>
        <w:t xml:space="preserve">—all parts of the </w:t>
      </w:r>
      <w:r w:rsidRPr="00D45090">
        <w:rPr>
          <w:i/>
          <w:color w:val="000000"/>
        </w:rPr>
        <w:t>Cannabis</w:t>
      </w:r>
      <w:r w:rsidRPr="00D45090">
        <w:rPr>
          <w:color w:val="000000"/>
        </w:rPr>
        <w:t xml:space="preserve"> plant, whether growing or not, including its seeds, resin, compounds, salts, derivatives, and extracts. </w:t>
      </w:r>
    </w:p>
    <w:p w14:paraId="40C5E88E" w14:textId="77777777" w:rsidR="00CD0355" w:rsidRPr="00D45090" w:rsidRDefault="00CD0355" w:rsidP="00CD0355">
      <w:pPr>
        <w:pStyle w:val="1"/>
        <w:rPr>
          <w:color w:val="000000"/>
        </w:rPr>
      </w:pPr>
      <w:r w:rsidRPr="00D45090">
        <w:rPr>
          <w:i/>
          <w:color w:val="000000"/>
        </w:rPr>
        <w:t>CBD</w:t>
      </w:r>
      <w:r w:rsidRPr="00D45090">
        <w:rPr>
          <w:color w:val="000000"/>
        </w:rPr>
        <w:t xml:space="preserve">—cannabidiol. </w:t>
      </w:r>
    </w:p>
    <w:p w14:paraId="03775B58" w14:textId="77777777" w:rsidR="00CD0355" w:rsidRPr="00D45090" w:rsidRDefault="00CD0355" w:rsidP="00CD0355">
      <w:pPr>
        <w:pStyle w:val="1"/>
        <w:rPr>
          <w:i/>
          <w:color w:val="000000"/>
        </w:rPr>
      </w:pPr>
      <w:r w:rsidRPr="00D45090">
        <w:rPr>
          <w:i/>
          <w:color w:val="000000"/>
        </w:rPr>
        <w:t>Commission</w:t>
      </w:r>
      <w:r w:rsidRPr="00D45090">
        <w:rPr>
          <w:color w:val="000000"/>
        </w:rPr>
        <w:t>—the Louisiana Agricultural Chemistry and Seed Commission.</w:t>
      </w:r>
      <w:r w:rsidRPr="00D45090">
        <w:rPr>
          <w:i/>
          <w:color w:val="000000"/>
        </w:rPr>
        <w:t xml:space="preserve"> </w:t>
      </w:r>
    </w:p>
    <w:p w14:paraId="14F7E496" w14:textId="77777777" w:rsidR="00CD0355" w:rsidRPr="00D45090" w:rsidRDefault="00CD0355" w:rsidP="00CD0355">
      <w:pPr>
        <w:pStyle w:val="1"/>
        <w:rPr>
          <w:color w:val="000000"/>
        </w:rPr>
      </w:pPr>
      <w:r w:rsidRPr="00D45090">
        <w:rPr>
          <w:i/>
          <w:color w:val="000000"/>
        </w:rPr>
        <w:t>Commissioner</w:t>
      </w:r>
      <w:r w:rsidRPr="00D45090">
        <w:rPr>
          <w:color w:val="000000"/>
        </w:rPr>
        <w:t xml:space="preserve">—the Louisiana Commissioner of Agriculture and Forestry. </w:t>
      </w:r>
    </w:p>
    <w:p w14:paraId="05090904" w14:textId="77777777" w:rsidR="00CD0355" w:rsidRDefault="00CD0355" w:rsidP="00CD0355">
      <w:pPr>
        <w:pStyle w:val="1"/>
        <w:rPr>
          <w:color w:val="000000"/>
        </w:rPr>
      </w:pPr>
      <w:r w:rsidRPr="00D45090">
        <w:rPr>
          <w:i/>
          <w:color w:val="000000"/>
        </w:rPr>
        <w:t>Controlled Substances Act</w:t>
      </w:r>
      <w:r w:rsidRPr="00D45090">
        <w:rPr>
          <w:color w:val="000000"/>
        </w:rPr>
        <w:t xml:space="preserve"> (“CSA”)</w:t>
      </w:r>
      <w:r w:rsidR="00882547" w:rsidRPr="00D45090">
        <w:rPr>
          <w:color w:val="000000"/>
        </w:rPr>
        <w:t>—</w:t>
      </w:r>
      <w:r w:rsidRPr="00D45090">
        <w:rPr>
          <w:color w:val="000000"/>
        </w:rPr>
        <w:t>The Controlled Substances Act as codified in 21 U.S.C. 801 et seq.</w:t>
      </w:r>
    </w:p>
    <w:p w14:paraId="46AB8C9C" w14:textId="77777777" w:rsidR="00882547" w:rsidRPr="00D45090" w:rsidRDefault="00882547" w:rsidP="00CD0355">
      <w:pPr>
        <w:pStyle w:val="1"/>
        <w:rPr>
          <w:color w:val="000000"/>
        </w:rPr>
      </w:pPr>
      <w:r w:rsidRPr="00882547">
        <w:rPr>
          <w:i/>
          <w:color w:val="000000"/>
        </w:rPr>
        <w:t>Corrective Action Plan</w:t>
      </w:r>
      <w:r w:rsidRPr="00D45090">
        <w:rPr>
          <w:color w:val="000000"/>
        </w:rPr>
        <w:t>—</w:t>
      </w:r>
      <w:r w:rsidRPr="00882547">
        <w:rPr>
          <w:color w:val="000000"/>
        </w:rPr>
        <w:t>a plan proposed by LDAF for correcting a negligent violation or non-compliance for any licensed industrial hemp grower, seed producer, handler or other person(s) found to be in violation of these rules.</w:t>
      </w:r>
    </w:p>
    <w:p w14:paraId="3E3E1251" w14:textId="77777777" w:rsidR="00CD0355" w:rsidRPr="00D45090" w:rsidRDefault="00CD0355" w:rsidP="00CD0355">
      <w:pPr>
        <w:pStyle w:val="1"/>
        <w:rPr>
          <w:color w:val="000000"/>
        </w:rPr>
      </w:pPr>
      <w:r w:rsidRPr="00D45090">
        <w:rPr>
          <w:i/>
          <w:color w:val="000000"/>
        </w:rPr>
        <w:t>DEA</w:t>
      </w:r>
      <w:r w:rsidRPr="00D45090">
        <w:rPr>
          <w:color w:val="000000"/>
        </w:rPr>
        <w:t>—U.S. Drug Enforcement Administration.</w:t>
      </w:r>
    </w:p>
    <w:p w14:paraId="6E517880" w14:textId="77777777" w:rsidR="00CD0355" w:rsidRPr="00D45090" w:rsidRDefault="00CD0355" w:rsidP="00CD0355">
      <w:pPr>
        <w:pStyle w:val="1"/>
        <w:rPr>
          <w:color w:val="000000"/>
        </w:rPr>
      </w:pPr>
      <w:r w:rsidRPr="00D45090">
        <w:rPr>
          <w:i/>
          <w:color w:val="000000"/>
        </w:rPr>
        <w:t>Delta-9-THC A (“THC-A”)</w:t>
      </w:r>
      <w:r w:rsidRPr="00D45090">
        <w:rPr>
          <w:color w:val="000000"/>
          <w:lang w:eastAsia="x-none"/>
        </w:rPr>
        <w:t>—</w:t>
      </w:r>
      <w:r w:rsidRPr="00D45090">
        <w:rPr>
          <w:color w:val="000000"/>
        </w:rPr>
        <w:t>delta-9-tetrahydrocannabinolic acid.</w:t>
      </w:r>
    </w:p>
    <w:p w14:paraId="4688C6DA" w14:textId="77777777" w:rsidR="00882547" w:rsidRDefault="00CD0355" w:rsidP="00CD0355">
      <w:pPr>
        <w:pStyle w:val="1"/>
        <w:rPr>
          <w:color w:val="000000"/>
        </w:rPr>
      </w:pPr>
      <w:r w:rsidRPr="00D45090">
        <w:rPr>
          <w:i/>
          <w:color w:val="000000"/>
        </w:rPr>
        <w:t>Designated Responsible Party</w:t>
      </w:r>
      <w:r w:rsidRPr="00D45090">
        <w:rPr>
          <w:color w:val="000000"/>
        </w:rPr>
        <w:t xml:space="preserve">—the natural person designated by a business applicant or licensee as responsible for daily business operations. </w:t>
      </w:r>
    </w:p>
    <w:p w14:paraId="084178E2" w14:textId="77777777" w:rsidR="00882547" w:rsidRDefault="00882547" w:rsidP="00CD0355">
      <w:pPr>
        <w:pStyle w:val="1"/>
        <w:rPr>
          <w:color w:val="000000"/>
        </w:rPr>
      </w:pPr>
      <w:r w:rsidRPr="00882547">
        <w:rPr>
          <w:i/>
          <w:color w:val="000000"/>
        </w:rPr>
        <w:t>Destruction Report</w:t>
      </w:r>
      <w:r w:rsidRPr="00882547">
        <w:rPr>
          <w:color w:val="000000"/>
        </w:rPr>
        <w:t>—an official document issued by LDAF that must be completed by a licensed producer of industrial hemp and submitted to LDAF prior to destruction of any industrial hemp plot.</w:t>
      </w:r>
    </w:p>
    <w:p w14:paraId="52C727DA" w14:textId="77777777" w:rsidR="00CD0355" w:rsidRPr="00D45090" w:rsidRDefault="00CD0355" w:rsidP="00CD0355">
      <w:pPr>
        <w:pStyle w:val="1"/>
        <w:rPr>
          <w:i/>
          <w:color w:val="000000"/>
        </w:rPr>
      </w:pPr>
      <w:r w:rsidRPr="00D45090">
        <w:rPr>
          <w:i/>
          <w:color w:val="000000"/>
        </w:rPr>
        <w:t>Employee—any person working under the direct supervision of a licensee who performs services for wages or salary, and whose work the licensee has control over in respect to the work to be done and how it will be done.</w:t>
      </w:r>
    </w:p>
    <w:p w14:paraId="3D50C76A" w14:textId="77777777" w:rsidR="00CD0355" w:rsidRPr="00D45090" w:rsidRDefault="00A40584" w:rsidP="00CD0355">
      <w:pPr>
        <w:pStyle w:val="1"/>
        <w:rPr>
          <w:i/>
          <w:color w:val="000000"/>
        </w:rPr>
      </w:pPr>
      <w:r>
        <w:rPr>
          <w:i/>
        </w:rPr>
        <w:t xml:space="preserve">Farm Service Agency </w:t>
      </w:r>
      <w:r w:rsidRPr="00A40584">
        <w:t>(</w:t>
      </w:r>
      <w:r w:rsidRPr="0061122A">
        <w:rPr>
          <w:i/>
        </w:rPr>
        <w:t>FSA</w:t>
      </w:r>
      <w:r w:rsidRPr="00A40584">
        <w:t>)</w:t>
      </w:r>
      <w:r w:rsidRPr="002D7DAE">
        <w:rPr>
          <w:i/>
        </w:rPr>
        <w:t xml:space="preserve"> Lot ID</w:t>
      </w:r>
      <w:r w:rsidRPr="002D7DAE">
        <w:t>—a unique number generated by the USDA Farm Service Agency consisting of the farm number, tract number, field number, and subfield number.</w:t>
      </w:r>
      <w:r w:rsidRPr="002D7DAE">
        <w:rPr>
          <w:b/>
        </w:rPr>
        <w:t xml:space="preserve"> </w:t>
      </w:r>
      <w:r w:rsidRPr="002D7DAE">
        <w:t>This unique number is generated from the submittal of the FSA 578 Form.</w:t>
      </w:r>
    </w:p>
    <w:p w14:paraId="5EFEF297" w14:textId="77777777" w:rsidR="00CD0355" w:rsidRPr="00DF6D8D" w:rsidRDefault="00CD0355" w:rsidP="00CD0355">
      <w:pPr>
        <w:pStyle w:val="1"/>
        <w:rPr>
          <w:color w:val="000000"/>
        </w:rPr>
      </w:pPr>
      <w:r w:rsidRPr="00DF6D8D">
        <w:rPr>
          <w:i/>
          <w:color w:val="000000"/>
        </w:rPr>
        <w:t>GPS</w:t>
      </w:r>
      <w:r w:rsidRPr="00DF6D8D">
        <w:rPr>
          <w:color w:val="000000"/>
        </w:rPr>
        <w:t>—global positioning system.</w:t>
      </w:r>
    </w:p>
    <w:p w14:paraId="75AD76D3" w14:textId="77777777" w:rsidR="00882547" w:rsidRDefault="00882547" w:rsidP="00CD0355">
      <w:pPr>
        <w:pStyle w:val="1"/>
        <w:rPr>
          <w:color w:val="000000"/>
        </w:rPr>
      </w:pPr>
      <w:r w:rsidRPr="001E5B02">
        <w:rPr>
          <w:i/>
          <w:color w:val="000000"/>
        </w:rPr>
        <w:t>Grower</w:t>
      </w:r>
      <w:r w:rsidRPr="001E5B02">
        <w:rPr>
          <w:color w:val="000000"/>
        </w:rPr>
        <w:t>—a licensee authorized to obtain industrial hemp seed, possess industrial hemp seed for planting cultivating, cultivate an industrial hemp crop, harvest industrial hemp plant parts, as well as possess, store, transport, and market unprocessed plant parts grown under their grower’s license, pursuant to this Chapter.</w:t>
      </w:r>
    </w:p>
    <w:p w14:paraId="1AB4730B" w14:textId="77777777" w:rsidR="00725B15" w:rsidRDefault="00A40584" w:rsidP="00CD0355">
      <w:pPr>
        <w:pStyle w:val="1"/>
        <w:rPr>
          <w:i/>
          <w:color w:val="000000"/>
        </w:rPr>
      </w:pPr>
      <w:r w:rsidRPr="002D7DAE">
        <w:rPr>
          <w:i/>
        </w:rPr>
        <w:t>Growing Season</w:t>
      </w:r>
      <w:r w:rsidRPr="002D7DAE">
        <w:t>—the calendar year in which an industrial hemp crop is produced.</w:t>
      </w:r>
    </w:p>
    <w:p w14:paraId="17AE202D" w14:textId="77777777" w:rsidR="00CD0355" w:rsidRPr="00DF6D8D" w:rsidRDefault="00CD0355" w:rsidP="00CD0355">
      <w:pPr>
        <w:pStyle w:val="1"/>
        <w:rPr>
          <w:color w:val="000000"/>
        </w:rPr>
      </w:pPr>
      <w:r w:rsidRPr="00DF6D8D">
        <w:rPr>
          <w:i/>
          <w:color w:val="000000"/>
        </w:rPr>
        <w:t>Guarantor</w:t>
      </w:r>
      <w:r w:rsidRPr="00DF6D8D">
        <w:rPr>
          <w:color w:val="000000"/>
          <w:lang w:eastAsia="x-none"/>
        </w:rPr>
        <w:t>—</w:t>
      </w:r>
      <w:r w:rsidRPr="00DF6D8D">
        <w:rPr>
          <w:iCs/>
          <w:color w:val="000000"/>
        </w:rPr>
        <w:t xml:space="preserve">an </w:t>
      </w:r>
      <w:r w:rsidRPr="00DF6D8D">
        <w:rPr>
          <w:color w:val="000000"/>
        </w:rPr>
        <w:t>individual, partnership, corporation, company, association, or other legal entity whose name appears on the analysis label of industrial hemp seed.</w:t>
      </w:r>
    </w:p>
    <w:p w14:paraId="0E151426" w14:textId="77777777" w:rsidR="00882547" w:rsidRPr="001E5B02" w:rsidRDefault="00882547" w:rsidP="00882547">
      <w:pPr>
        <w:pStyle w:val="1"/>
        <w:rPr>
          <w:color w:val="000000"/>
        </w:rPr>
      </w:pPr>
      <w:r w:rsidRPr="001E5B02">
        <w:rPr>
          <w:i/>
          <w:color w:val="000000"/>
        </w:rPr>
        <w:t xml:space="preserve">Handle </w:t>
      </w:r>
      <w:r w:rsidRPr="001E5B02">
        <w:rPr>
          <w:color w:val="000000"/>
        </w:rPr>
        <w:t>or</w:t>
      </w:r>
      <w:r w:rsidRPr="001E5B02">
        <w:rPr>
          <w:i/>
          <w:color w:val="000000"/>
        </w:rPr>
        <w:t xml:space="preserve"> Handling—</w:t>
      </w:r>
      <w:r w:rsidRPr="001E5B02">
        <w:rPr>
          <w:color w:val="000000"/>
        </w:rPr>
        <w:t xml:space="preserve">includes all of the following: </w:t>
      </w:r>
    </w:p>
    <w:p w14:paraId="59B2B950" w14:textId="77777777" w:rsidR="00882547" w:rsidRPr="001E5B02" w:rsidRDefault="00882547" w:rsidP="00882547">
      <w:pPr>
        <w:pStyle w:val="a0"/>
        <w:rPr>
          <w:color w:val="000000"/>
        </w:rPr>
      </w:pPr>
      <w:r w:rsidRPr="001E5B02">
        <w:rPr>
          <w:color w:val="000000"/>
        </w:rPr>
        <w:t>a.</w:t>
      </w:r>
      <w:r w:rsidRPr="001E5B02">
        <w:rPr>
          <w:color w:val="000000"/>
        </w:rPr>
        <w:tab/>
        <w:t xml:space="preserve">transporting or delivering industrial hemp material in intrastate commerce for compensation; </w:t>
      </w:r>
    </w:p>
    <w:p w14:paraId="387C2527" w14:textId="77777777" w:rsidR="00882547" w:rsidRPr="001E5B02" w:rsidRDefault="00882547" w:rsidP="00882547">
      <w:pPr>
        <w:pStyle w:val="a0"/>
        <w:rPr>
          <w:color w:val="000000"/>
        </w:rPr>
      </w:pPr>
      <w:r w:rsidRPr="001E5B02">
        <w:rPr>
          <w:color w:val="000000"/>
        </w:rPr>
        <w:t>b.</w:t>
      </w:r>
      <w:r w:rsidRPr="001E5B02">
        <w:rPr>
          <w:color w:val="000000"/>
        </w:rPr>
        <w:tab/>
        <w:t>commercially harvesting, storing, or grinding industrial hemp material received from a grower;</w:t>
      </w:r>
    </w:p>
    <w:p w14:paraId="0DAA2303" w14:textId="77777777" w:rsidR="00882547" w:rsidRPr="001E5B02" w:rsidRDefault="00882547" w:rsidP="00882547">
      <w:pPr>
        <w:pStyle w:val="a0"/>
        <w:rPr>
          <w:color w:val="000000"/>
        </w:rPr>
      </w:pPr>
      <w:r w:rsidRPr="001E5B02">
        <w:rPr>
          <w:color w:val="000000"/>
        </w:rPr>
        <w:t>c.</w:t>
      </w:r>
      <w:r w:rsidRPr="001E5B02">
        <w:rPr>
          <w:color w:val="000000"/>
        </w:rPr>
        <w:tab/>
        <w:t>cleaning or packaging industrial hemp seed received from a seed producer;</w:t>
      </w:r>
    </w:p>
    <w:p w14:paraId="530DD566" w14:textId="77777777" w:rsidR="00882547" w:rsidRPr="001E5B02" w:rsidRDefault="00882547" w:rsidP="00882547">
      <w:pPr>
        <w:pStyle w:val="a0"/>
        <w:rPr>
          <w:color w:val="000000"/>
        </w:rPr>
      </w:pPr>
      <w:r w:rsidRPr="001E5B02">
        <w:rPr>
          <w:color w:val="000000"/>
        </w:rPr>
        <w:t>d.</w:t>
      </w:r>
      <w:r w:rsidRPr="001E5B02">
        <w:rPr>
          <w:color w:val="000000"/>
        </w:rPr>
        <w:tab/>
        <w:t>brokering industrial hemp material; or</w:t>
      </w:r>
    </w:p>
    <w:p w14:paraId="54C08371" w14:textId="77777777" w:rsidR="00882547" w:rsidRPr="001E5B02" w:rsidRDefault="00882547" w:rsidP="00882547">
      <w:pPr>
        <w:pStyle w:val="a0"/>
        <w:rPr>
          <w:color w:val="000000"/>
        </w:rPr>
      </w:pPr>
      <w:r w:rsidRPr="001E5B02">
        <w:rPr>
          <w:color w:val="000000"/>
        </w:rPr>
        <w:t>e.</w:t>
      </w:r>
      <w:r w:rsidRPr="001E5B02">
        <w:rPr>
          <w:color w:val="000000"/>
        </w:rPr>
        <w:tab/>
        <w:t>receiving industrial hemp material for testing.</w:t>
      </w:r>
    </w:p>
    <w:p w14:paraId="787F7AA3" w14:textId="77777777" w:rsidR="00882547" w:rsidRDefault="00882547" w:rsidP="00882547">
      <w:pPr>
        <w:pStyle w:val="1"/>
        <w:rPr>
          <w:i/>
          <w:color w:val="000000"/>
        </w:rPr>
      </w:pPr>
      <w:r w:rsidRPr="001E5B02">
        <w:rPr>
          <w:i/>
          <w:color w:val="000000"/>
        </w:rPr>
        <w:t>Handler</w:t>
      </w:r>
      <w:r w:rsidRPr="001E5B02">
        <w:rPr>
          <w:color w:val="000000"/>
        </w:rPr>
        <w:t>—a licensee authorized to engage in handling as defined herein.</w:t>
      </w:r>
    </w:p>
    <w:p w14:paraId="4D90B155" w14:textId="77777777" w:rsidR="00882547" w:rsidRDefault="00882547" w:rsidP="00882547">
      <w:pPr>
        <w:pStyle w:val="1"/>
        <w:rPr>
          <w:color w:val="000000"/>
        </w:rPr>
      </w:pPr>
      <w:r w:rsidRPr="00DF6D8D">
        <w:rPr>
          <w:i/>
          <w:color w:val="000000"/>
        </w:rPr>
        <w:lastRenderedPageBreak/>
        <w:t>Harvest/Destruction Report</w:t>
      </w:r>
      <w:r w:rsidRPr="00DF6D8D">
        <w:rPr>
          <w:color w:val="000000"/>
        </w:rPr>
        <w:t xml:space="preserve">—an official document issued by LDAF that must be completed by a licensed grower of industrial hemp and submitted to LDAF prior to harvest or destruction of any industrial hemp field, greenhouse, or indoor growing structure. </w:t>
      </w:r>
    </w:p>
    <w:p w14:paraId="42EFD5EE" w14:textId="77777777" w:rsidR="00CD0355" w:rsidRDefault="00CD0355" w:rsidP="00CD0355">
      <w:pPr>
        <w:pStyle w:val="1"/>
        <w:rPr>
          <w:color w:val="000000"/>
        </w:rPr>
      </w:pPr>
      <w:r w:rsidRPr="00DF6D8D">
        <w:rPr>
          <w:i/>
          <w:color w:val="000000"/>
        </w:rPr>
        <w:t>Harvesting</w:t>
      </w:r>
      <w:r w:rsidRPr="00DF6D8D">
        <w:rPr>
          <w:color w:val="000000"/>
        </w:rPr>
        <w:t>—the process of cutting or collecting industrial hemp crop or crop parts grown in a plot, field, greenhouse, or indoor growing structure.</w:t>
      </w:r>
    </w:p>
    <w:p w14:paraId="05EEF351" w14:textId="77777777" w:rsidR="00882547" w:rsidRPr="001E5B02" w:rsidRDefault="00882547" w:rsidP="00882547">
      <w:pPr>
        <w:pStyle w:val="1"/>
        <w:rPr>
          <w:color w:val="000000"/>
        </w:rPr>
      </w:pPr>
      <w:r w:rsidRPr="001E5B02">
        <w:rPr>
          <w:i/>
          <w:color w:val="000000"/>
        </w:rPr>
        <w:t>Harvest Report</w:t>
      </w:r>
      <w:r w:rsidRPr="001E5B02">
        <w:rPr>
          <w:color w:val="000000"/>
        </w:rPr>
        <w:t xml:space="preserve">—an official document issued by LDAF that must be completed by a licensed grower or seed producer of industrial hemp and submitted to LDAF prior to harvest of any industrial hemp plot. </w:t>
      </w:r>
    </w:p>
    <w:p w14:paraId="3AF91476" w14:textId="77777777" w:rsidR="00CD0355" w:rsidRPr="00DF2E08" w:rsidRDefault="00CD0355" w:rsidP="00CD0355">
      <w:pPr>
        <w:pStyle w:val="1"/>
        <w:rPr>
          <w:color w:val="000000"/>
        </w:rPr>
      </w:pPr>
      <w:r w:rsidRPr="00DF2E08">
        <w:rPr>
          <w:i/>
          <w:color w:val="000000"/>
        </w:rPr>
        <w:t>Independent Contractor</w:t>
      </w:r>
      <w:r w:rsidRPr="00DF2E08">
        <w:rPr>
          <w:color w:val="000000"/>
        </w:rPr>
        <w:t>—a person or business entity that provides services under a written contract or verbal agreement or is issued a 1099 tax form for the work performed.</w:t>
      </w:r>
    </w:p>
    <w:p w14:paraId="0092C8E4" w14:textId="77777777" w:rsidR="00882547" w:rsidRDefault="00882547" w:rsidP="00882547">
      <w:pPr>
        <w:pStyle w:val="1"/>
        <w:rPr>
          <w:i/>
          <w:color w:val="000000"/>
        </w:rPr>
      </w:pPr>
      <w:r w:rsidRPr="001E5B02">
        <w:rPr>
          <w:i/>
          <w:color w:val="000000"/>
        </w:rPr>
        <w:t>Industrial Hemp—</w:t>
      </w:r>
      <w:r w:rsidRPr="001E5B02">
        <w:rPr>
          <w:color w:val="000000"/>
        </w:rPr>
        <w:t xml:space="preserve">the plant </w:t>
      </w:r>
      <w:r w:rsidRPr="001E5B02">
        <w:rPr>
          <w:i/>
          <w:color w:val="000000"/>
        </w:rPr>
        <w:t>Cannabis sativa L.</w:t>
      </w:r>
      <w:r w:rsidRPr="001E5B02">
        <w:rPr>
          <w:color w:val="000000"/>
        </w:rPr>
        <w:t xml:space="preserve"> and any part of that plant, including the seeds thereof and all derivatives, extracts, cannabinoids, isomers, acids, salts, and salts of isomers, whether growing or not, with a total delta-9 tetrahydrocannabinol concentration level of not more than 0.3 percent on a dry weight basis.</w:t>
      </w:r>
      <w:r w:rsidRPr="001E5B02">
        <w:rPr>
          <w:i/>
          <w:color w:val="000000"/>
        </w:rPr>
        <w:t xml:space="preserve"> </w:t>
      </w:r>
    </w:p>
    <w:p w14:paraId="1A317406" w14:textId="77777777" w:rsidR="00CB77F0" w:rsidRPr="002D7DAE" w:rsidRDefault="00CB77F0" w:rsidP="00CB77F0">
      <w:pPr>
        <w:pStyle w:val="1"/>
        <w:rPr>
          <w:b/>
        </w:rPr>
      </w:pPr>
      <w:r w:rsidRPr="002D7DAE">
        <w:rPr>
          <w:i/>
        </w:rPr>
        <w:t>Industrial Hemp Greens</w:t>
      </w:r>
      <w:r w:rsidRPr="002D7DAE">
        <w:t>—hemp leaves from immature plants germinated from seed in which the plants are no more than ten (10) inches tall and which are also not yet flowering.</w:t>
      </w:r>
    </w:p>
    <w:p w14:paraId="763CCF90" w14:textId="77777777" w:rsidR="00CB77F0" w:rsidRPr="002D7DAE" w:rsidRDefault="00CB77F0" w:rsidP="00CB77F0">
      <w:pPr>
        <w:pStyle w:val="1"/>
      </w:pPr>
      <w:r w:rsidRPr="002D7DAE">
        <w:rPr>
          <w:i/>
        </w:rPr>
        <w:t>Industrial Hemp Microgreens</w:t>
      </w:r>
      <w:r w:rsidRPr="002D7DAE">
        <w:t>—immature hemp seedlings intended for human consumption that are:</w:t>
      </w:r>
    </w:p>
    <w:p w14:paraId="15F3B44C" w14:textId="77777777" w:rsidR="00CB77F0" w:rsidRPr="002D7DAE" w:rsidRDefault="00CB77F0" w:rsidP="00CB77F0">
      <w:pPr>
        <w:pStyle w:val="a0"/>
      </w:pPr>
      <w:r w:rsidRPr="002D7DAE">
        <w:t>a.</w:t>
      </w:r>
      <w:r w:rsidRPr="002D7DAE">
        <w:tab/>
        <w:t>cut off above the soil or substrate;</w:t>
      </w:r>
    </w:p>
    <w:p w14:paraId="415895E9" w14:textId="77777777" w:rsidR="00CB77F0" w:rsidRPr="002D7DAE" w:rsidRDefault="00CB77F0" w:rsidP="00CB77F0">
      <w:pPr>
        <w:pStyle w:val="a0"/>
      </w:pPr>
      <w:r w:rsidRPr="002D7DAE">
        <w:t>b.</w:t>
      </w:r>
      <w:r w:rsidRPr="002D7DAE">
        <w:tab/>
        <w:t xml:space="preserve">harvested prior to flowering; </w:t>
      </w:r>
    </w:p>
    <w:p w14:paraId="7E7BDE5D" w14:textId="77777777" w:rsidR="00CB77F0" w:rsidRPr="002D7DAE" w:rsidRDefault="00CB77F0" w:rsidP="00CB77F0">
      <w:pPr>
        <w:pStyle w:val="a0"/>
      </w:pPr>
      <w:r w:rsidRPr="002D7DAE">
        <w:t>c.</w:t>
      </w:r>
      <w:r w:rsidRPr="002D7DAE">
        <w:tab/>
        <w:t>not more than 14 days after germination; and</w:t>
      </w:r>
    </w:p>
    <w:p w14:paraId="710E8401" w14:textId="77777777" w:rsidR="00725B15" w:rsidRPr="001E5B02" w:rsidRDefault="00CB77F0" w:rsidP="00CB77F0">
      <w:pPr>
        <w:pStyle w:val="a0"/>
        <w:rPr>
          <w:i/>
          <w:color w:val="000000"/>
        </w:rPr>
      </w:pPr>
      <w:r w:rsidRPr="002D7DAE">
        <w:t>d.</w:t>
      </w:r>
      <w:r w:rsidRPr="002D7DAE">
        <w:tab/>
        <w:t>not taller than 5 inches.</w:t>
      </w:r>
    </w:p>
    <w:p w14:paraId="54EAFBB2" w14:textId="77777777" w:rsidR="00CD0355" w:rsidRPr="00CB77F0" w:rsidRDefault="00882547" w:rsidP="00882547">
      <w:pPr>
        <w:pStyle w:val="1"/>
        <w:rPr>
          <w:i/>
          <w:color w:val="000000"/>
        </w:rPr>
      </w:pPr>
      <w:r w:rsidRPr="00CB77F0">
        <w:rPr>
          <w:i/>
          <w:color w:val="000000"/>
        </w:rPr>
        <w:t>Industrial Hemp Plant Parts—</w:t>
      </w:r>
      <w:r w:rsidRPr="00CB77F0">
        <w:rPr>
          <w:color w:val="000000"/>
        </w:rPr>
        <w:t>any floral buds, leaves, roots, seeds, stalks, or stems of the plant</w:t>
      </w:r>
      <w:r w:rsidRPr="00CB77F0">
        <w:rPr>
          <w:i/>
          <w:color w:val="000000"/>
        </w:rPr>
        <w:t xml:space="preserve"> Cannabis sativa L. </w:t>
      </w:r>
      <w:r w:rsidRPr="00CB77F0">
        <w:rPr>
          <w:color w:val="000000"/>
        </w:rPr>
        <w:t>with a total delta-9 tetrahydrocannabinol concentration level of not more than 0.3 percent on a dry weight basis.</w:t>
      </w:r>
    </w:p>
    <w:p w14:paraId="55C6B3B4" w14:textId="77777777" w:rsidR="00CD0355" w:rsidRDefault="00CD0355" w:rsidP="00CD0355">
      <w:pPr>
        <w:pStyle w:val="1"/>
        <w:rPr>
          <w:color w:val="000000"/>
        </w:rPr>
      </w:pPr>
      <w:r w:rsidRPr="00CB77F0">
        <w:rPr>
          <w:i/>
          <w:color w:val="000000"/>
        </w:rPr>
        <w:t>Industrial Hemp Products</w:t>
      </w:r>
      <w:r w:rsidRPr="00CB77F0">
        <w:rPr>
          <w:color w:val="000000"/>
        </w:rPr>
        <w:t>—products derived from, or made by, processing industrial hemp plants or plant parts.</w:t>
      </w:r>
    </w:p>
    <w:p w14:paraId="42E8EAA4" w14:textId="77777777" w:rsidR="00725B15" w:rsidRPr="00DF6D8D" w:rsidRDefault="00CB77F0" w:rsidP="00CD0355">
      <w:pPr>
        <w:pStyle w:val="1"/>
        <w:rPr>
          <w:color w:val="000000"/>
        </w:rPr>
      </w:pPr>
      <w:r w:rsidRPr="002D7DAE">
        <w:rPr>
          <w:i/>
        </w:rPr>
        <w:t>Industrial Hemp Transplants</w:t>
      </w:r>
      <w:r w:rsidRPr="002D7DAE">
        <w:t>—hemp seedlings, rooted cuttings, or immature plants produced from tissue culture or other means of reproduction, which are not harvested, but transplanted into a larger container or field to allow for maturing and harvesting.</w:t>
      </w:r>
    </w:p>
    <w:p w14:paraId="7C7E5EC8" w14:textId="77777777" w:rsidR="00CD0355" w:rsidRPr="00DF6D8D" w:rsidRDefault="00CD0355" w:rsidP="00CD0355">
      <w:pPr>
        <w:pStyle w:val="1"/>
        <w:rPr>
          <w:color w:val="000000"/>
        </w:rPr>
      </w:pPr>
      <w:r w:rsidRPr="00DF6D8D">
        <w:rPr>
          <w:i/>
          <w:color w:val="000000"/>
        </w:rPr>
        <w:t>Law Enforcement Agency</w:t>
      </w:r>
      <w:r w:rsidRPr="00DF6D8D">
        <w:rPr>
          <w:color w:val="000000"/>
        </w:rPr>
        <w:t>—the Louisiana State Police, DEA, or other federal, state, or local law enforcement agency or drug suppression unit.</w:t>
      </w:r>
    </w:p>
    <w:p w14:paraId="17070A42" w14:textId="77777777" w:rsidR="00CD0355" w:rsidRPr="00DF6D8D" w:rsidRDefault="00CD0355" w:rsidP="00CD0355">
      <w:pPr>
        <w:pStyle w:val="1"/>
        <w:rPr>
          <w:color w:val="000000"/>
        </w:rPr>
      </w:pPr>
      <w:r w:rsidRPr="00DF6D8D">
        <w:rPr>
          <w:i/>
          <w:color w:val="000000"/>
        </w:rPr>
        <w:t>License Application</w:t>
      </w:r>
      <w:r w:rsidRPr="00DF6D8D">
        <w:rPr>
          <w:color w:val="000000"/>
        </w:rPr>
        <w:t>—a document executed by a person and LDAF authorizing the person to grow, handle, store, or transport industrial hemp at one or more specified locations in Louisiana under the terms set forth in the document, R.S. 3:1461 et seq., and this Chapter.</w:t>
      </w:r>
    </w:p>
    <w:p w14:paraId="0421332A" w14:textId="77777777" w:rsidR="00CD0355" w:rsidRPr="00DF6D8D" w:rsidRDefault="00CD0355" w:rsidP="00CD0355">
      <w:pPr>
        <w:pStyle w:val="1"/>
        <w:rPr>
          <w:color w:val="000000"/>
        </w:rPr>
      </w:pPr>
      <w:r w:rsidRPr="00DF6D8D">
        <w:rPr>
          <w:i/>
          <w:color w:val="000000"/>
        </w:rPr>
        <w:t>Licensee</w:t>
      </w:r>
      <w:r w:rsidRPr="00DF6D8D">
        <w:rPr>
          <w:color w:val="000000"/>
        </w:rPr>
        <w:t>—any person possessing a contract carrier, grower, processor or seed producer license issued by LDAF under the authority of this Chapter.</w:t>
      </w:r>
    </w:p>
    <w:p w14:paraId="08B473AE" w14:textId="77777777" w:rsidR="00CD0355" w:rsidRPr="00DF6D8D" w:rsidRDefault="00CD0355" w:rsidP="00CD0355">
      <w:pPr>
        <w:pStyle w:val="1"/>
        <w:rPr>
          <w:color w:val="000000"/>
        </w:rPr>
      </w:pPr>
      <w:r w:rsidRPr="00DF6D8D">
        <w:rPr>
          <w:i/>
          <w:color w:val="000000"/>
        </w:rPr>
        <w:t>Location ID</w:t>
      </w:r>
      <w:r w:rsidRPr="00DF6D8D">
        <w:rPr>
          <w:color w:val="000000"/>
        </w:rPr>
        <w:t>—the unique identifier established by the applicant for each unique set of GPS coordinates where industrial hemp will be grown, stored, or processed, and which may include a field name or building name.</w:t>
      </w:r>
    </w:p>
    <w:p w14:paraId="0DC68E24" w14:textId="77777777" w:rsidR="00CD0355" w:rsidRPr="00DF6D8D" w:rsidRDefault="00CD0355" w:rsidP="00CD0355">
      <w:pPr>
        <w:pStyle w:val="1"/>
        <w:rPr>
          <w:color w:val="000000"/>
        </w:rPr>
      </w:pPr>
      <w:r w:rsidRPr="00DF6D8D">
        <w:rPr>
          <w:i/>
          <w:color w:val="000000"/>
        </w:rPr>
        <w:t>LDAF</w:t>
      </w:r>
      <w:r w:rsidRPr="00DF6D8D">
        <w:rPr>
          <w:color w:val="000000"/>
        </w:rPr>
        <w:t>—the Louisiana Department of Agriculture and Forestry.</w:t>
      </w:r>
    </w:p>
    <w:p w14:paraId="1547A9D6" w14:textId="77777777" w:rsidR="00882547" w:rsidRPr="001E5B02" w:rsidRDefault="00882547" w:rsidP="00882547">
      <w:pPr>
        <w:pStyle w:val="1"/>
        <w:rPr>
          <w:color w:val="000000"/>
        </w:rPr>
      </w:pPr>
      <w:r w:rsidRPr="001E5B02">
        <w:rPr>
          <w:i/>
          <w:color w:val="000000"/>
        </w:rPr>
        <w:t>License Application</w:t>
      </w:r>
      <w:r w:rsidRPr="001E5B02">
        <w:rPr>
          <w:color w:val="000000"/>
        </w:rPr>
        <w:t>—a document executed by a person and LDAF authorizing the person to grow, handle, process, or store industrial hemp at one or more specified locations in Louisiana under the terms set forth in the document, R.S. 3:1461 et seq., and this Chapter.</w:t>
      </w:r>
    </w:p>
    <w:p w14:paraId="794B3767" w14:textId="77777777" w:rsidR="00882547" w:rsidRDefault="00882547" w:rsidP="00882547">
      <w:pPr>
        <w:pStyle w:val="1"/>
        <w:rPr>
          <w:i/>
          <w:color w:val="000000"/>
        </w:rPr>
      </w:pPr>
      <w:r w:rsidRPr="001E5B02">
        <w:rPr>
          <w:i/>
          <w:color w:val="000000"/>
        </w:rPr>
        <w:t>Licensee</w:t>
      </w:r>
      <w:r w:rsidRPr="001E5B02">
        <w:rPr>
          <w:color w:val="000000"/>
        </w:rPr>
        <w:t>—any person possessing a handler, grower, processor or seed producer license issued by LDAF under the authority of this Chapter.</w:t>
      </w:r>
    </w:p>
    <w:p w14:paraId="55996141" w14:textId="77777777" w:rsidR="00CD0355" w:rsidRPr="00DF6D8D" w:rsidRDefault="00CD0355" w:rsidP="00CD0355">
      <w:pPr>
        <w:pStyle w:val="1"/>
        <w:rPr>
          <w:color w:val="000000"/>
        </w:rPr>
      </w:pPr>
      <w:r w:rsidRPr="00DF6D8D">
        <w:rPr>
          <w:i/>
          <w:color w:val="000000"/>
        </w:rPr>
        <w:t>Market or Marketing</w:t>
      </w:r>
      <w:r w:rsidRPr="00DF6D8D">
        <w:rPr>
          <w:color w:val="000000"/>
        </w:rPr>
        <w:t>—promoting or selling a product within Louisiana, in another state, or outside of the United States. Marketing includes efforts to advertise and gather information about the needs or preferences of potential consumers or suppliers.</w:t>
      </w:r>
    </w:p>
    <w:p w14:paraId="7834D7BF" w14:textId="77777777" w:rsidR="00CD0355" w:rsidRPr="00DF6D8D" w:rsidRDefault="00CD0355" w:rsidP="00CD0355">
      <w:pPr>
        <w:pStyle w:val="1"/>
        <w:rPr>
          <w:color w:val="000000"/>
        </w:rPr>
      </w:pPr>
      <w:r w:rsidRPr="00DF6D8D">
        <w:rPr>
          <w:i/>
          <w:color w:val="000000"/>
        </w:rPr>
        <w:t>Measurement of Uncertainty</w:t>
      </w:r>
      <w:r w:rsidRPr="00DF6D8D">
        <w:rPr>
          <w:color w:val="000000"/>
          <w:lang w:eastAsia="x-none"/>
        </w:rPr>
        <w:t>—</w:t>
      </w:r>
      <w:r w:rsidRPr="00DF6D8D">
        <w:rPr>
          <w:color w:val="000000"/>
        </w:rPr>
        <w:t xml:space="preserve">the parameter, associated with the result of a measurement, that characterizes the dispersion of the values that could reasonably be attributed to the particular quantity subject to measurement. </w:t>
      </w:r>
    </w:p>
    <w:p w14:paraId="1E45B220" w14:textId="77777777" w:rsidR="00882547" w:rsidRPr="001E5B02" w:rsidRDefault="00882547" w:rsidP="00882547">
      <w:pPr>
        <w:pStyle w:val="1"/>
        <w:rPr>
          <w:color w:val="000000"/>
        </w:rPr>
      </w:pPr>
      <w:r w:rsidRPr="001E5B02">
        <w:rPr>
          <w:i/>
          <w:color w:val="000000"/>
        </w:rPr>
        <w:t xml:space="preserve">Negligence </w:t>
      </w:r>
      <w:r w:rsidRPr="001E5B02">
        <w:rPr>
          <w:color w:val="000000"/>
        </w:rPr>
        <w:t>or</w:t>
      </w:r>
      <w:r w:rsidRPr="001E5B02">
        <w:rPr>
          <w:i/>
          <w:color w:val="000000"/>
        </w:rPr>
        <w:t xml:space="preserve"> Negligent Violation</w:t>
      </w:r>
      <w:r w:rsidRPr="001E5B02">
        <w:rPr>
          <w:color w:val="000000"/>
        </w:rPr>
        <w:t>—failure to exercise the level of care that a reasonably prudent person would exercise in complying with the requirements set forth in this Chapter.</w:t>
      </w:r>
    </w:p>
    <w:p w14:paraId="72CF334A" w14:textId="77777777" w:rsidR="00882547" w:rsidRPr="001E5B02" w:rsidRDefault="00882547" w:rsidP="00882547">
      <w:pPr>
        <w:pStyle w:val="1"/>
        <w:rPr>
          <w:color w:val="000000"/>
        </w:rPr>
      </w:pPr>
      <w:r w:rsidRPr="001E5B02">
        <w:rPr>
          <w:i/>
          <w:color w:val="000000"/>
        </w:rPr>
        <w:t>Non-Consumable Hemp—</w:t>
      </w:r>
      <w:r w:rsidRPr="001E5B02">
        <w:rPr>
          <w:color w:val="000000"/>
        </w:rPr>
        <w:t xml:space="preserve">any product derived from industrial hemp that does not contain any cannabinoid, including cannabidiol, and is not intended for consumption or topical use. </w:t>
      </w:r>
    </w:p>
    <w:p w14:paraId="11EF8A88" w14:textId="77777777" w:rsidR="00CD0355" w:rsidRPr="00DF6D8D" w:rsidRDefault="00882547" w:rsidP="00882547">
      <w:pPr>
        <w:pStyle w:val="1"/>
        <w:rPr>
          <w:color w:val="000000"/>
        </w:rPr>
      </w:pPr>
      <w:r w:rsidRPr="001E5B02">
        <w:rPr>
          <w:i/>
          <w:color w:val="000000"/>
        </w:rPr>
        <w:t>Notice of Analysis—</w:t>
      </w:r>
      <w:r w:rsidRPr="001E5B02">
        <w:rPr>
          <w:color w:val="000000"/>
        </w:rPr>
        <w:t>an official document issued by a laboratory approved by LDAF which includes, along with other sample information, the unique sample number and THC level test results of the submitted sample.</w:t>
      </w:r>
    </w:p>
    <w:p w14:paraId="2DA24592" w14:textId="77777777" w:rsidR="00CD0355" w:rsidRPr="00DF6D8D" w:rsidRDefault="00CD0355" w:rsidP="00CD0355">
      <w:pPr>
        <w:pStyle w:val="1"/>
        <w:rPr>
          <w:color w:val="000000"/>
        </w:rPr>
      </w:pPr>
      <w:r w:rsidRPr="00DF6D8D">
        <w:rPr>
          <w:i/>
          <w:color w:val="000000"/>
        </w:rPr>
        <w:t>Person</w:t>
      </w:r>
      <w:r w:rsidRPr="00DF6D8D">
        <w:rPr>
          <w:color w:val="000000"/>
        </w:rPr>
        <w:t>—any individual, partnership, corporation, company, association, or other legal entity.</w:t>
      </w:r>
    </w:p>
    <w:p w14:paraId="4553B46D" w14:textId="77777777" w:rsidR="00CD0355" w:rsidRPr="00DF6D8D" w:rsidRDefault="00CD0355" w:rsidP="00CD0355">
      <w:pPr>
        <w:pStyle w:val="1"/>
        <w:rPr>
          <w:color w:val="000000"/>
        </w:rPr>
      </w:pPr>
      <w:r w:rsidRPr="00DF6D8D">
        <w:rPr>
          <w:i/>
          <w:color w:val="000000"/>
        </w:rPr>
        <w:t>Planting Report</w:t>
      </w:r>
      <w:r w:rsidRPr="00DF6D8D">
        <w:rPr>
          <w:color w:val="000000"/>
        </w:rPr>
        <w:t>—an official document issued by LDAF that must be completed by an industrial hemp licensee and submitted to LDAF after each planting of industrial hemp in any field, greenhouse, or indoor growing structure.</w:t>
      </w:r>
    </w:p>
    <w:p w14:paraId="373D90E4" w14:textId="77777777" w:rsidR="00CD0355" w:rsidRPr="00DF2E08" w:rsidRDefault="00CD0355" w:rsidP="00CD0355">
      <w:pPr>
        <w:pStyle w:val="1"/>
        <w:rPr>
          <w:i/>
          <w:color w:val="000000"/>
        </w:rPr>
      </w:pPr>
      <w:r w:rsidRPr="00DF2E08">
        <w:rPr>
          <w:i/>
          <w:color w:val="000000"/>
        </w:rPr>
        <w:t>Plot—</w:t>
      </w:r>
      <w:r w:rsidRPr="00DF2E08">
        <w:rPr>
          <w:color w:val="000000"/>
        </w:rPr>
        <w:t>a contiguous area in a field, greenhouse, or indoor growing structure containing the same variety or strain of industrial hemp throughout the area and which is identified by a FSA Lot ID.</w:t>
      </w:r>
    </w:p>
    <w:p w14:paraId="4FEC45C1" w14:textId="77777777" w:rsidR="00882547" w:rsidRPr="001E5B02" w:rsidRDefault="00882547" w:rsidP="00882547">
      <w:pPr>
        <w:pStyle w:val="1"/>
        <w:rPr>
          <w:color w:val="000000"/>
        </w:rPr>
      </w:pPr>
      <w:r w:rsidRPr="001E5B02">
        <w:rPr>
          <w:i/>
          <w:color w:val="000000"/>
        </w:rPr>
        <w:t>Processing</w:t>
      </w:r>
      <w:r w:rsidRPr="001E5B02">
        <w:rPr>
          <w:color w:val="000000"/>
        </w:rPr>
        <w:t>—converting industrial hemp into a non-consumable, marketable form.</w:t>
      </w:r>
    </w:p>
    <w:p w14:paraId="363CEF88" w14:textId="77777777" w:rsidR="00882547" w:rsidRPr="001E5B02" w:rsidRDefault="00882547" w:rsidP="00882547">
      <w:pPr>
        <w:pStyle w:val="1"/>
      </w:pPr>
      <w:r w:rsidRPr="001E5B02">
        <w:rPr>
          <w:i/>
        </w:rPr>
        <w:t>Processor—</w:t>
      </w:r>
      <w:r w:rsidRPr="001E5B02">
        <w:t xml:space="preserve">any licensed individual, partnership, corporation, cooperative association, or other business entity that receives industrial hemp for processing into non-consumable hemp commodities or products. Processor shall not include a consumable hemp processor as defined in R.S. 3:1481. </w:t>
      </w:r>
    </w:p>
    <w:p w14:paraId="5ABDF5E4" w14:textId="77777777" w:rsidR="00882547" w:rsidRPr="001E5B02" w:rsidRDefault="00CB77F0" w:rsidP="00882547">
      <w:pPr>
        <w:pStyle w:val="1"/>
        <w:rPr>
          <w:color w:val="000000"/>
        </w:rPr>
      </w:pPr>
      <w:r w:rsidRPr="002D7DAE">
        <w:rPr>
          <w:i/>
        </w:rPr>
        <w:lastRenderedPageBreak/>
        <w:t>Prohibited Variety</w:t>
      </w:r>
      <w:r w:rsidRPr="002D7DAE">
        <w:t>—an industrial hemp variety or strain that meets one or more of the following:</w:t>
      </w:r>
    </w:p>
    <w:p w14:paraId="448F2297" w14:textId="77777777" w:rsidR="00882547" w:rsidRPr="001E5B02" w:rsidRDefault="00882547" w:rsidP="00882547">
      <w:pPr>
        <w:pStyle w:val="a0"/>
        <w:rPr>
          <w:color w:val="000000"/>
        </w:rPr>
      </w:pPr>
      <w:r w:rsidRPr="001E5B02">
        <w:rPr>
          <w:color w:val="000000"/>
        </w:rPr>
        <w:t>a.</w:t>
      </w:r>
      <w:r w:rsidRPr="001E5B02">
        <w:rPr>
          <w:color w:val="000000"/>
        </w:rPr>
        <w:tab/>
        <w:t>more than 50 percent of official LDAF sample test results are above the 0.30 percent total THC concentration level;</w:t>
      </w:r>
    </w:p>
    <w:p w14:paraId="422ED0E0" w14:textId="77777777" w:rsidR="00882547" w:rsidRPr="001E5B02" w:rsidRDefault="00882547" w:rsidP="00882547">
      <w:pPr>
        <w:pStyle w:val="a0"/>
        <w:rPr>
          <w:color w:val="000000"/>
        </w:rPr>
      </w:pPr>
      <w:r w:rsidRPr="001E5B02">
        <w:rPr>
          <w:color w:val="000000"/>
        </w:rPr>
        <w:t>b.</w:t>
      </w:r>
      <w:r w:rsidRPr="001E5B02">
        <w:rPr>
          <w:color w:val="000000"/>
        </w:rPr>
        <w:tab/>
      </w:r>
      <w:r w:rsidR="00CB77F0" w:rsidRPr="002D7DAE">
        <w:t>an official LDAF sample test result that is greater than 1.0 percent total THC;</w:t>
      </w:r>
    </w:p>
    <w:p w14:paraId="190FE8EF" w14:textId="77777777" w:rsidR="00882547" w:rsidRPr="001E5B02" w:rsidRDefault="00882547" w:rsidP="00882547">
      <w:pPr>
        <w:pStyle w:val="a0"/>
        <w:rPr>
          <w:color w:val="000000"/>
        </w:rPr>
      </w:pPr>
      <w:r w:rsidRPr="001E5B02">
        <w:rPr>
          <w:color w:val="000000"/>
        </w:rPr>
        <w:t>c.</w:t>
      </w:r>
      <w:r w:rsidRPr="001E5B02">
        <w:rPr>
          <w:color w:val="000000"/>
        </w:rPr>
        <w:tab/>
        <w:t>information in the public domain that supports the fact that the variety or strain is not industrial hemp.</w:t>
      </w:r>
    </w:p>
    <w:p w14:paraId="1267DE36" w14:textId="77777777" w:rsidR="00882547" w:rsidRPr="001E5B02" w:rsidRDefault="00CB77F0" w:rsidP="00882547">
      <w:pPr>
        <w:pStyle w:val="1"/>
        <w:rPr>
          <w:color w:val="000000"/>
        </w:rPr>
      </w:pPr>
      <w:r w:rsidRPr="002D7DAE">
        <w:rPr>
          <w:i/>
        </w:rPr>
        <w:t xml:space="preserve">Remediate </w:t>
      </w:r>
      <w:r w:rsidRPr="000946C7">
        <w:t>or</w:t>
      </w:r>
      <w:r w:rsidRPr="002D7DAE">
        <w:rPr>
          <w:i/>
        </w:rPr>
        <w:t xml:space="preserve"> Remediation</w:t>
      </w:r>
      <w:r w:rsidRPr="002D7DAE">
        <w:t>—the process of rendering non-compliant cannabis compliant by removing and destroying, in the presence of and by a method approved by LDAF, all flower material, while retaining stalk, stems, leaf material, and seeds, or by shredding the entire plant into a biomass-like material. All hemp plant material that has undergone remediation shall be sampled and retested for THC compliance.</w:t>
      </w:r>
    </w:p>
    <w:p w14:paraId="35C478BD" w14:textId="77777777" w:rsidR="00882547" w:rsidRPr="001E5B02" w:rsidRDefault="00882547" w:rsidP="00882547">
      <w:pPr>
        <w:pStyle w:val="1"/>
        <w:rPr>
          <w:color w:val="000000"/>
        </w:rPr>
      </w:pPr>
      <w:r w:rsidRPr="001E5B02">
        <w:rPr>
          <w:i/>
          <w:color w:val="000000"/>
        </w:rPr>
        <w:t>Research Institution</w:t>
      </w:r>
      <w:r w:rsidRPr="001E5B02">
        <w:rPr>
          <w:color w:val="000000"/>
        </w:rPr>
        <w:t xml:space="preserve">—an accredited institution of higher learning or a research facility that conducts scientific research on industrial hemp, or any licensee producing industrial hemp for research purposes, when none of the industrial hemp grown is intended for commerce. </w:t>
      </w:r>
    </w:p>
    <w:p w14:paraId="4D58AA33" w14:textId="77777777" w:rsidR="009E3E23" w:rsidRDefault="00CB77F0" w:rsidP="00882547">
      <w:pPr>
        <w:pStyle w:val="1"/>
        <w:rPr>
          <w:i/>
          <w:color w:val="000000"/>
        </w:rPr>
      </w:pPr>
      <w:r w:rsidRPr="002D7DAE">
        <w:rPr>
          <w:i/>
        </w:rPr>
        <w:t>School</w:t>
      </w:r>
      <w:r w:rsidRPr="002D7DAE">
        <w:t>—a public or private institution or that portion of a public or private institution which provides teaching for any grade from kindergarten through twelfth grade.</w:t>
      </w:r>
    </w:p>
    <w:p w14:paraId="5D864190" w14:textId="77777777" w:rsidR="00CD0355" w:rsidRPr="00DF6D8D" w:rsidRDefault="00882547" w:rsidP="00882547">
      <w:pPr>
        <w:pStyle w:val="1"/>
        <w:rPr>
          <w:color w:val="000000"/>
        </w:rPr>
      </w:pPr>
      <w:r w:rsidRPr="001E5B02">
        <w:rPr>
          <w:i/>
          <w:color w:val="000000"/>
        </w:rPr>
        <w:t>Seed Producer—</w:t>
      </w:r>
      <w:r w:rsidRPr="001E5B02">
        <w:rPr>
          <w:color w:val="000000"/>
        </w:rPr>
        <w:t>a licensee authorized to obtain, produce, transport, and sell industrial hemp seed pursuant to this Chapter.</w:t>
      </w:r>
    </w:p>
    <w:p w14:paraId="028E25C1" w14:textId="77777777" w:rsidR="00CD0355" w:rsidRPr="00DF6D8D" w:rsidRDefault="00CD0355" w:rsidP="00CD0355">
      <w:pPr>
        <w:pStyle w:val="1"/>
        <w:rPr>
          <w:color w:val="000000"/>
        </w:rPr>
      </w:pPr>
      <w:r w:rsidRPr="00DF6D8D">
        <w:rPr>
          <w:i/>
          <w:color w:val="000000"/>
        </w:rPr>
        <w:t>Seed Source</w:t>
      </w:r>
      <w:r w:rsidRPr="00DF6D8D">
        <w:rPr>
          <w:color w:val="000000"/>
        </w:rPr>
        <w:t>—the origin of any industrial hemp seed.</w:t>
      </w:r>
    </w:p>
    <w:p w14:paraId="224B1AEE" w14:textId="77777777" w:rsidR="00CD0355" w:rsidRPr="00DF6D8D" w:rsidRDefault="00CD0355" w:rsidP="00CD0355">
      <w:pPr>
        <w:pStyle w:val="1"/>
        <w:rPr>
          <w:color w:val="000000"/>
        </w:rPr>
      </w:pPr>
      <w:r w:rsidRPr="00DF6D8D">
        <w:rPr>
          <w:i/>
          <w:color w:val="000000"/>
        </w:rPr>
        <w:t>USDA</w:t>
      </w:r>
      <w:r w:rsidRPr="00DF6D8D">
        <w:rPr>
          <w:color w:val="000000"/>
          <w:lang w:eastAsia="x-none"/>
        </w:rPr>
        <w:t>—</w:t>
      </w:r>
      <w:r w:rsidRPr="00DF6D8D">
        <w:rPr>
          <w:color w:val="000000"/>
        </w:rPr>
        <w:t>United States Department of Agriculture</w:t>
      </w:r>
    </w:p>
    <w:p w14:paraId="3654F0AF" w14:textId="77777777" w:rsidR="00CD0355" w:rsidRPr="00DF6D8D" w:rsidRDefault="00CD0355" w:rsidP="00CD0355">
      <w:pPr>
        <w:pStyle w:val="1"/>
        <w:rPr>
          <w:iCs/>
          <w:color w:val="000000"/>
        </w:rPr>
      </w:pPr>
      <w:r w:rsidRPr="00DF6D8D">
        <w:rPr>
          <w:i/>
          <w:color w:val="000000"/>
        </w:rPr>
        <w:t>Variety</w:t>
      </w:r>
      <w:r w:rsidRPr="00DF6D8D">
        <w:rPr>
          <w:color w:val="000000"/>
        </w:rPr>
        <w:t xml:space="preserve">—a subdivision of a kind characterized by growth, yield, plant, fruit, seed, or other characteristics by which it can be differentiated from other plants of the same kind. </w:t>
      </w:r>
    </w:p>
    <w:p w14:paraId="73A23A58" w14:textId="77777777" w:rsidR="00CD0355" w:rsidRDefault="00CB77F0" w:rsidP="00CD0355">
      <w:pPr>
        <w:pStyle w:val="1"/>
      </w:pPr>
      <w:r w:rsidRPr="002D7DAE">
        <w:rPr>
          <w:i/>
        </w:rPr>
        <w:t>Variety Designation List</w:t>
      </w:r>
      <w:r w:rsidRPr="002D7DAE">
        <w:t>—a list of industrial hemp varieties published by LDAF that, based on official LDAF test results, designates the varieties in the following categories: not yet tested, non-designated, variety of concern, approved or prohibited.</w:t>
      </w:r>
    </w:p>
    <w:p w14:paraId="31A53AD4" w14:textId="77777777" w:rsidR="00B66F89" w:rsidRPr="00B66F89" w:rsidRDefault="00B66F89" w:rsidP="00B66F89">
      <w:pPr>
        <w:pStyle w:val="1"/>
      </w:pPr>
      <w:r w:rsidRPr="00CB77F0">
        <w:rPr>
          <w:i/>
        </w:rPr>
        <w:t>Volunteer Industrial Hemp Plant</w:t>
      </w:r>
      <w:r w:rsidRPr="00CB77F0">
        <w:t>—an industrial hemp plant that was not intentionally planted, but results from a previous crop, growing on its own accord from seeds or roots following an intentionally planted industrial hemp crop.</w:t>
      </w:r>
    </w:p>
    <w:p w14:paraId="2ACEB068"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and R.S. 3:1464.</w:t>
      </w:r>
    </w:p>
    <w:p w14:paraId="56525401"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170</w:t>
      </w:r>
      <w:r w:rsidRPr="00DF6D8D">
        <w:rPr>
          <w:color w:val="000000"/>
        </w:rPr>
        <w:t xml:space="preserve"> (February 2020)</w:t>
      </w:r>
      <w:r>
        <w:t>, LR 47:438 (April 2021)</w:t>
      </w:r>
      <w:r w:rsidR="00882547" w:rsidRPr="001E5B02">
        <w:rPr>
          <w:color w:val="000000"/>
        </w:rPr>
        <w:t>, amended LR 47:</w:t>
      </w:r>
      <w:r w:rsidR="00882547">
        <w:rPr>
          <w:color w:val="000000"/>
        </w:rPr>
        <w:t>1833</w:t>
      </w:r>
      <w:r w:rsidR="00882547" w:rsidRPr="001E5B02">
        <w:rPr>
          <w:color w:val="000000"/>
        </w:rPr>
        <w:t xml:space="preserve"> (December 2021</w:t>
      </w:r>
      <w:r w:rsidR="009E3E23">
        <w:t>), LR 48:1743 (July 2022)</w:t>
      </w:r>
      <w:r w:rsidR="00CB77F0">
        <w:t>, repromulgated LR 48:2083 (August 2022).</w:t>
      </w:r>
    </w:p>
    <w:p w14:paraId="2F6D9C7B" w14:textId="77777777" w:rsidR="00CD0355" w:rsidRDefault="00CD0355" w:rsidP="00CD0355">
      <w:pPr>
        <w:pStyle w:val="Chapter"/>
      </w:pPr>
      <w:bookmarkStart w:id="1283" w:name="_Toc224818862"/>
      <w:r>
        <w:t>Subchapter B.</w:t>
      </w:r>
      <w:r>
        <w:tab/>
        <w:t>Licenses</w:t>
      </w:r>
      <w:bookmarkEnd w:id="1283"/>
    </w:p>
    <w:p w14:paraId="1B18E6AA" w14:textId="77777777" w:rsidR="00CD0355" w:rsidRDefault="00CD0355" w:rsidP="00CD0355">
      <w:pPr>
        <w:pStyle w:val="Section"/>
      </w:pPr>
      <w:bookmarkStart w:id="1284" w:name="_Toc224818863"/>
      <w:r>
        <w:t>§1305.</w:t>
      </w:r>
      <w:r>
        <w:tab/>
        <w:t>Licensing</w:t>
      </w:r>
      <w:bookmarkEnd w:id="1284"/>
    </w:p>
    <w:p w14:paraId="2555C247" w14:textId="77777777" w:rsidR="00CD0355" w:rsidRPr="00DF6D8D" w:rsidRDefault="00CD0355" w:rsidP="00CD0355">
      <w:pPr>
        <w:pStyle w:val="A"/>
        <w:rPr>
          <w:color w:val="000000"/>
        </w:rPr>
      </w:pPr>
      <w:r w:rsidRPr="00DF6D8D">
        <w:rPr>
          <w:color w:val="000000"/>
        </w:rPr>
        <w:t>A.</w:t>
      </w:r>
      <w:r w:rsidRPr="00DF6D8D">
        <w:rPr>
          <w:color w:val="000000"/>
        </w:rPr>
        <w:tab/>
      </w:r>
      <w:r w:rsidR="00B96890" w:rsidRPr="001E5B02">
        <w:rPr>
          <w:color w:val="000000"/>
        </w:rPr>
        <w:t>Each industrial hemp seed producer, grower, processor, or handler shall obtain a license from LDAF prior to engaging in the regulated activity.</w:t>
      </w:r>
    </w:p>
    <w:p w14:paraId="660AF24F" w14:textId="77777777" w:rsidR="00CD0355" w:rsidRPr="00DF6D8D" w:rsidRDefault="00CD0355" w:rsidP="00CD0355">
      <w:pPr>
        <w:pStyle w:val="A"/>
        <w:rPr>
          <w:color w:val="000000"/>
        </w:rPr>
      </w:pPr>
      <w:r w:rsidRPr="00DF6D8D">
        <w:rPr>
          <w:color w:val="000000"/>
        </w:rPr>
        <w:t>B.</w:t>
      </w:r>
      <w:r w:rsidRPr="00DF6D8D">
        <w:rPr>
          <w:color w:val="000000"/>
        </w:rPr>
        <w:tab/>
        <w:t>Each licensee shall be assigned a license number in the form prescribed by the USDA.</w:t>
      </w:r>
    </w:p>
    <w:p w14:paraId="4CFEBCB4" w14:textId="77777777" w:rsidR="00CD0355" w:rsidRPr="00DF6D8D" w:rsidRDefault="00CD0355" w:rsidP="00CD0355">
      <w:pPr>
        <w:pStyle w:val="A"/>
        <w:rPr>
          <w:color w:val="000000"/>
        </w:rPr>
      </w:pPr>
      <w:r w:rsidRPr="00DF6D8D">
        <w:rPr>
          <w:color w:val="000000"/>
        </w:rPr>
        <w:t>C.</w:t>
      </w:r>
      <w:r w:rsidRPr="00DF6D8D">
        <w:rPr>
          <w:color w:val="000000"/>
        </w:rPr>
        <w:tab/>
      </w:r>
      <w:r w:rsidRPr="00DF2E08">
        <w:t>The effective dates of all industrial hemp licenses shall be from the date of issuance through December 31 of any given year, and licenses must be renewed annually by November 30.</w:t>
      </w:r>
    </w:p>
    <w:p w14:paraId="639A36D5" w14:textId="77777777" w:rsidR="00CD0355" w:rsidRPr="00DF6D8D" w:rsidRDefault="00CD0355" w:rsidP="00CD0355">
      <w:pPr>
        <w:pStyle w:val="A"/>
        <w:rPr>
          <w:color w:val="000000"/>
        </w:rPr>
      </w:pPr>
      <w:r w:rsidRPr="00DF6D8D">
        <w:rPr>
          <w:color w:val="000000"/>
        </w:rPr>
        <w:t>D.</w:t>
      </w:r>
      <w:r w:rsidRPr="00DF6D8D">
        <w:rPr>
          <w:color w:val="000000"/>
        </w:rPr>
        <w:tab/>
        <w:t>Applications shall be handled and processed by LDAF and reviewed for approval or denial. Upon completion of the review process, the applicant will be notified of the application status.</w:t>
      </w:r>
    </w:p>
    <w:p w14:paraId="2E36635F" w14:textId="77777777" w:rsidR="00CD0355" w:rsidRPr="00DF6D8D" w:rsidRDefault="00CD0355" w:rsidP="00CD0355">
      <w:pPr>
        <w:pStyle w:val="A"/>
        <w:rPr>
          <w:color w:val="000000"/>
        </w:rPr>
      </w:pPr>
      <w:r w:rsidRPr="00DF6D8D">
        <w:rPr>
          <w:color w:val="000000"/>
        </w:rPr>
        <w:t>E.</w:t>
      </w:r>
      <w:r w:rsidRPr="00DF6D8D">
        <w:rPr>
          <w:color w:val="000000"/>
        </w:rPr>
        <w:tab/>
        <w:t>The licensee shall be responsible for the cost of all licenses and sample testing fees.</w:t>
      </w:r>
    </w:p>
    <w:p w14:paraId="778EECC1" w14:textId="77777777" w:rsidR="00CD0355" w:rsidRPr="00DF2E08" w:rsidRDefault="00CD0355" w:rsidP="00CD0355">
      <w:pPr>
        <w:pStyle w:val="A"/>
      </w:pPr>
      <w:r w:rsidRPr="00DF6D8D">
        <w:rPr>
          <w:color w:val="000000"/>
        </w:rPr>
        <w:t>F.</w:t>
      </w:r>
      <w:r w:rsidRPr="00DF6D8D">
        <w:rPr>
          <w:color w:val="000000"/>
        </w:rPr>
        <w:tab/>
      </w:r>
      <w:r w:rsidRPr="00DF2E08">
        <w:t>No unlicensed person who is not an employee of a licensee shall grow, cultivate, handle, store, process, or commence transporting industrial hemp at any location within Louisiana. No licensee shall allow any unlicensed person who is not an employee of that licensee to grow, cultivate, handle, store, process, or transport industrial hemp under his or her license. For purposes of this Chapter, employees of a licensee shall not include independent</w:t>
      </w:r>
      <w:r>
        <w:t xml:space="preserve"> </w:t>
      </w:r>
      <w:r w:rsidRPr="00DF2E08">
        <w:t xml:space="preserve">contractors or persons issued a 1099 tax form by that licensee. </w:t>
      </w:r>
    </w:p>
    <w:p w14:paraId="411D9FA0" w14:textId="77777777" w:rsidR="00CD0355" w:rsidRPr="00DF6D8D" w:rsidRDefault="00CD0355" w:rsidP="00CD0355">
      <w:pPr>
        <w:pStyle w:val="A"/>
        <w:rPr>
          <w:color w:val="000000"/>
        </w:rPr>
      </w:pPr>
      <w:r w:rsidRPr="00DF6D8D">
        <w:rPr>
          <w:color w:val="000000"/>
        </w:rPr>
        <w:t>G.</w:t>
      </w:r>
      <w:r w:rsidRPr="00DF6D8D">
        <w:rPr>
          <w:color w:val="000000"/>
        </w:rPr>
        <w:tab/>
        <w:t>No person under the age of 18 years of age shall be granted a license under this Chapter.</w:t>
      </w:r>
    </w:p>
    <w:p w14:paraId="28818C2D" w14:textId="77777777" w:rsidR="00CD0355" w:rsidRPr="00DF6D8D" w:rsidRDefault="00CD0355" w:rsidP="00CD0355">
      <w:pPr>
        <w:pStyle w:val="A"/>
        <w:rPr>
          <w:color w:val="000000"/>
        </w:rPr>
      </w:pPr>
      <w:r w:rsidRPr="00DF6D8D">
        <w:rPr>
          <w:color w:val="000000"/>
        </w:rPr>
        <w:t>H.</w:t>
      </w:r>
      <w:r w:rsidRPr="00DF6D8D">
        <w:rPr>
          <w:color w:val="000000"/>
        </w:rPr>
        <w:tab/>
        <w:t>No person shall be eligible to obtain a license if the applicant:</w:t>
      </w:r>
    </w:p>
    <w:p w14:paraId="0CEB6607" w14:textId="77777777" w:rsidR="00CD0355" w:rsidRPr="00DF6D8D" w:rsidRDefault="00CD0355" w:rsidP="00CD0355">
      <w:pPr>
        <w:pStyle w:val="1"/>
        <w:rPr>
          <w:color w:val="000000"/>
        </w:rPr>
      </w:pPr>
      <w:r w:rsidRPr="00DF6D8D">
        <w:rPr>
          <w:color w:val="000000"/>
        </w:rPr>
        <w:t>1.</w:t>
      </w:r>
      <w:r w:rsidRPr="00DF6D8D">
        <w:rPr>
          <w:color w:val="000000"/>
        </w:rPr>
        <w:tab/>
        <w:t xml:space="preserve">was convicted of a felony within the ten years immediately preceding the application date. </w:t>
      </w:r>
    </w:p>
    <w:p w14:paraId="3DB5DF8D" w14:textId="77777777" w:rsidR="00CD0355" w:rsidRPr="00DF6D8D" w:rsidRDefault="00CD0355" w:rsidP="00CD0355">
      <w:pPr>
        <w:pStyle w:val="1"/>
        <w:rPr>
          <w:color w:val="000000"/>
        </w:rPr>
      </w:pPr>
      <w:r w:rsidRPr="00DF6D8D">
        <w:rPr>
          <w:color w:val="000000"/>
        </w:rPr>
        <w:t>2.</w:t>
      </w:r>
      <w:r w:rsidRPr="00DF6D8D">
        <w:rPr>
          <w:color w:val="000000"/>
        </w:rPr>
        <w:tab/>
        <w:t xml:space="preserve">was convicted of a drug-related misdemeanor conviction within the two years immediately preceding the application date; </w:t>
      </w:r>
    </w:p>
    <w:p w14:paraId="054E093B" w14:textId="77777777" w:rsidR="00CD0355" w:rsidRPr="00DF6D8D" w:rsidRDefault="00CD0355" w:rsidP="00CD0355">
      <w:pPr>
        <w:pStyle w:val="1"/>
        <w:rPr>
          <w:color w:val="000000"/>
        </w:rPr>
      </w:pPr>
      <w:r w:rsidRPr="00DF6D8D">
        <w:rPr>
          <w:color w:val="000000"/>
        </w:rPr>
        <w:t>3.</w:t>
      </w:r>
      <w:r w:rsidRPr="00DF6D8D">
        <w:rPr>
          <w:color w:val="000000"/>
        </w:rPr>
        <w:tab/>
        <w:t>fails to provide all application requirements and documentation; or</w:t>
      </w:r>
    </w:p>
    <w:p w14:paraId="1DC4CA38" w14:textId="77777777" w:rsidR="00CD0355" w:rsidRPr="00DF6D8D" w:rsidRDefault="00CD0355" w:rsidP="00CD0355">
      <w:pPr>
        <w:pStyle w:val="1"/>
        <w:rPr>
          <w:color w:val="000000"/>
        </w:rPr>
      </w:pPr>
      <w:r w:rsidRPr="00DF6D8D">
        <w:rPr>
          <w:color w:val="000000"/>
        </w:rPr>
        <w:t>4.</w:t>
      </w:r>
      <w:r w:rsidRPr="00DF6D8D">
        <w:rPr>
          <w:color w:val="000000"/>
        </w:rPr>
        <w:tab/>
        <w:t>materially falsifies any information contained in the application.</w:t>
      </w:r>
    </w:p>
    <w:p w14:paraId="218E7926" w14:textId="77777777" w:rsidR="00CD0355" w:rsidRPr="00DF6D8D" w:rsidRDefault="00CD0355" w:rsidP="00CD0355">
      <w:pPr>
        <w:pStyle w:val="A"/>
        <w:rPr>
          <w:color w:val="000000"/>
        </w:rPr>
      </w:pPr>
      <w:r w:rsidRPr="00DF6D8D">
        <w:rPr>
          <w:color w:val="000000"/>
        </w:rPr>
        <w:t>I.</w:t>
      </w:r>
      <w:r w:rsidRPr="00DF6D8D">
        <w:rPr>
          <w:color w:val="000000"/>
        </w:rPr>
        <w:tab/>
        <w:t xml:space="preserve">A person applying for multiple licenses must complete a license application and submit the associated fee for each application. </w:t>
      </w:r>
    </w:p>
    <w:p w14:paraId="71CA601F" w14:textId="77777777" w:rsidR="00CD0355" w:rsidRPr="00DF6D8D" w:rsidRDefault="00CD0355" w:rsidP="00CD0355">
      <w:pPr>
        <w:pStyle w:val="A"/>
        <w:rPr>
          <w:color w:val="000000"/>
        </w:rPr>
      </w:pPr>
      <w:r w:rsidRPr="00DF6D8D">
        <w:rPr>
          <w:color w:val="000000"/>
        </w:rPr>
        <w:t>J.</w:t>
      </w:r>
      <w:r w:rsidRPr="00DF6D8D">
        <w:rPr>
          <w:color w:val="000000"/>
        </w:rPr>
        <w:tab/>
      </w:r>
      <w:r w:rsidR="00B96890" w:rsidRPr="001E5B02">
        <w:rPr>
          <w:color w:val="000000"/>
        </w:rPr>
        <w:t>The licensee shall submit to LDAF in writing any requests for license modification if there is any change to the information submitted in the application including but not limited to: sale of a business or any modifications to any information concerning the licensee’s approved fields, greenhouses, indoor growing structures, or any other sites where that licensee stores, processes or handles industrial hemp plants or plant parts. Requests for license modifications shall be submitted to LDAF within 15 days of any change of the information submitted in the application.</w:t>
      </w:r>
      <w:r w:rsidRPr="00DF6D8D">
        <w:rPr>
          <w:color w:val="000000"/>
        </w:rPr>
        <w:t xml:space="preserve"> </w:t>
      </w:r>
    </w:p>
    <w:p w14:paraId="7BD683BD" w14:textId="77777777" w:rsidR="00CD0355" w:rsidRPr="00DF6D8D" w:rsidRDefault="00CD0355" w:rsidP="00CD0355">
      <w:pPr>
        <w:pStyle w:val="AuthorityNote"/>
      </w:pPr>
      <w:r w:rsidRPr="00DF6D8D">
        <w:lastRenderedPageBreak/>
        <w:t>AUTHORITY NOTE:</w:t>
      </w:r>
      <w:r w:rsidRPr="00DF6D8D">
        <w:tab/>
        <w:t>Promulgated in accordance with R.S. 3:1462, R.S. 3:1464, and R.S. 3:1465.</w:t>
      </w:r>
    </w:p>
    <w:p w14:paraId="6F88DAE0" w14:textId="77777777"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171</w:t>
      </w:r>
      <w:r w:rsidRPr="00DF6D8D">
        <w:rPr>
          <w:color w:val="000000"/>
        </w:rPr>
        <w:t xml:space="preserve"> (February 2020)</w:t>
      </w:r>
      <w:r>
        <w:t>, LR 47</w:t>
      </w:r>
      <w:r w:rsidRPr="00B80D25">
        <w:t>:</w:t>
      </w:r>
      <w:r>
        <w:t>438 (April 2021)</w:t>
      </w:r>
      <w:r w:rsidR="00B96890">
        <w:rPr>
          <w:color w:val="000000"/>
        </w:rPr>
        <w:t>,</w:t>
      </w:r>
      <w:r w:rsidR="00B96890" w:rsidRPr="001E5B02">
        <w:rPr>
          <w:color w:val="000000"/>
        </w:rPr>
        <w:t xml:space="preserve"> amended LR 47:</w:t>
      </w:r>
      <w:r w:rsidR="00B96890">
        <w:rPr>
          <w:color w:val="000000"/>
        </w:rPr>
        <w:t>1834</w:t>
      </w:r>
      <w:r w:rsidR="00B96890" w:rsidRPr="001E5B02">
        <w:rPr>
          <w:color w:val="000000"/>
        </w:rPr>
        <w:t xml:space="preserve"> (December 2021).</w:t>
      </w:r>
    </w:p>
    <w:p w14:paraId="7041AEE5" w14:textId="77777777" w:rsidR="00CD0355" w:rsidRDefault="00CD0355" w:rsidP="00CD0355">
      <w:pPr>
        <w:pStyle w:val="Section"/>
      </w:pPr>
      <w:bookmarkStart w:id="1285" w:name="_Toc224818864"/>
      <w:r>
        <w:t>§1307.</w:t>
      </w:r>
      <w:r>
        <w:tab/>
        <w:t>Seed Producer License</w:t>
      </w:r>
      <w:bookmarkEnd w:id="1285"/>
    </w:p>
    <w:p w14:paraId="22DF7A35" w14:textId="77777777" w:rsidR="00CD0355" w:rsidRPr="00DF6D8D" w:rsidRDefault="00CD0355" w:rsidP="00CD0355">
      <w:pPr>
        <w:pStyle w:val="A"/>
        <w:rPr>
          <w:color w:val="000000"/>
        </w:rPr>
      </w:pPr>
      <w:r w:rsidRPr="00DF6D8D">
        <w:rPr>
          <w:color w:val="000000"/>
        </w:rPr>
        <w:t>A.</w:t>
      </w:r>
      <w:r w:rsidRPr="00DF6D8D">
        <w:rPr>
          <w:color w:val="000000"/>
        </w:rPr>
        <w:tab/>
        <w:t xml:space="preserve">No person shall produce industrial hemp seed for planting purposes without first applying for and being granted a seed producer license from LDAF. </w:t>
      </w:r>
    </w:p>
    <w:p w14:paraId="72601632" w14:textId="77777777" w:rsidR="00CD0355" w:rsidRPr="00DF6D8D" w:rsidRDefault="00CD0355" w:rsidP="00CD0355">
      <w:pPr>
        <w:pStyle w:val="A"/>
        <w:rPr>
          <w:color w:val="000000"/>
        </w:rPr>
      </w:pPr>
      <w:r w:rsidRPr="00DF6D8D">
        <w:rPr>
          <w:color w:val="000000"/>
        </w:rPr>
        <w:t>B.</w:t>
      </w:r>
      <w:r w:rsidRPr="00DF6D8D">
        <w:rPr>
          <w:color w:val="000000"/>
        </w:rPr>
        <w:tab/>
        <w:t>A seed producer license issued by LDAF shall authorize the licensee to obtain, produce, transport, and sell industrial hemp seed pursuant to this Chapter.</w:t>
      </w:r>
    </w:p>
    <w:p w14:paraId="6B407F49" w14:textId="77777777" w:rsidR="00CD0355" w:rsidRPr="00DF6D8D" w:rsidRDefault="00CD0355" w:rsidP="00CD0355">
      <w:pPr>
        <w:pStyle w:val="A"/>
        <w:rPr>
          <w:color w:val="000000"/>
        </w:rPr>
      </w:pPr>
      <w:r w:rsidRPr="00DF6D8D">
        <w:rPr>
          <w:color w:val="000000"/>
        </w:rPr>
        <w:t>C.</w:t>
      </w:r>
      <w:r w:rsidRPr="00DF6D8D">
        <w:rPr>
          <w:color w:val="000000"/>
        </w:rPr>
        <w:tab/>
        <w:t xml:space="preserve">All producers of industrial hemp seed shall comply with the requirements set forth in R.S. 3:1431 </w:t>
      </w:r>
      <w:r w:rsidRPr="00DF6D8D">
        <w:rPr>
          <w:iCs/>
          <w:color w:val="000000"/>
        </w:rPr>
        <w:t>et seq</w:t>
      </w:r>
      <w:r w:rsidRPr="00DF6D8D">
        <w:rPr>
          <w:color w:val="000000"/>
        </w:rPr>
        <w:t>., including but not limited to the testing and labeling requirements of agricultural seeds.</w:t>
      </w:r>
    </w:p>
    <w:p w14:paraId="24600EEE" w14:textId="77777777" w:rsidR="00CD0355" w:rsidRPr="00DF6D8D" w:rsidRDefault="00CD0355" w:rsidP="00CD0355">
      <w:pPr>
        <w:pStyle w:val="A"/>
        <w:rPr>
          <w:color w:val="000000"/>
        </w:rPr>
      </w:pPr>
      <w:r w:rsidRPr="00DF6D8D">
        <w:rPr>
          <w:color w:val="000000"/>
        </w:rPr>
        <w:t>D.</w:t>
      </w:r>
      <w:r w:rsidRPr="00DF6D8D">
        <w:rPr>
          <w:color w:val="000000"/>
        </w:rPr>
        <w:tab/>
      </w:r>
      <w:r w:rsidR="00B96890" w:rsidRPr="001E5B02">
        <w:rPr>
          <w:color w:val="000000"/>
        </w:rPr>
        <w:t>The application shall include, at a minimum, the following information for consideration:</w:t>
      </w:r>
    </w:p>
    <w:p w14:paraId="14297A3C" w14:textId="77777777" w:rsidR="00B96890" w:rsidRPr="001E5B02" w:rsidRDefault="00CD0355" w:rsidP="00B96890">
      <w:pPr>
        <w:pStyle w:val="1"/>
        <w:rPr>
          <w:color w:val="000000"/>
        </w:rPr>
      </w:pPr>
      <w:r w:rsidRPr="00DF6D8D">
        <w:rPr>
          <w:color w:val="000000"/>
        </w:rPr>
        <w:t>1.</w:t>
      </w:r>
      <w:r w:rsidRPr="00DF6D8D">
        <w:rPr>
          <w:color w:val="000000"/>
        </w:rPr>
        <w:tab/>
      </w:r>
      <w:r w:rsidR="00B96890" w:rsidRPr="001E5B02">
        <w:rPr>
          <w:color w:val="000000"/>
        </w:rPr>
        <w:t>type of license being requested as set forth in R.S. 3:1465;</w:t>
      </w:r>
    </w:p>
    <w:p w14:paraId="16430500" w14:textId="77777777" w:rsidR="00B96890" w:rsidRPr="001E5B02" w:rsidRDefault="00B96890" w:rsidP="00B96890">
      <w:pPr>
        <w:pStyle w:val="1"/>
        <w:rPr>
          <w:color w:val="000000"/>
        </w:rPr>
      </w:pPr>
      <w:r w:rsidRPr="001E5B02">
        <w:rPr>
          <w:color w:val="000000"/>
        </w:rPr>
        <w:t>2.</w:t>
      </w:r>
      <w:r w:rsidRPr="001E5B02">
        <w:rPr>
          <w:color w:val="000000"/>
        </w:rPr>
        <w:tab/>
        <w:t>applicant’s full name, Louisiana mailing and physical address, telephone number, email address, and proof of identification;</w:t>
      </w:r>
      <w:r w:rsidRPr="001E5B02">
        <w:rPr>
          <w:strike/>
          <w:color w:val="000000"/>
        </w:rPr>
        <w:t xml:space="preserve"> </w:t>
      </w:r>
    </w:p>
    <w:p w14:paraId="24238321" w14:textId="77777777" w:rsidR="00B96890" w:rsidRPr="001E5B02" w:rsidRDefault="00B96890" w:rsidP="00B96890">
      <w:pPr>
        <w:pStyle w:val="1"/>
        <w:rPr>
          <w:color w:val="000000"/>
        </w:rPr>
      </w:pPr>
      <w:r w:rsidRPr="001E5B02">
        <w:rPr>
          <w:color w:val="000000"/>
        </w:rPr>
        <w:t>3.</w:t>
      </w:r>
      <w:r w:rsidRPr="001E5B02">
        <w:rPr>
          <w:color w:val="000000"/>
        </w:rPr>
        <w:tab/>
        <w:t xml:space="preserve">physical address, legal description, location ID, and GPS coordinates for each field, greenhouse, indoor growing structure, or site where industrial hemp will be grown, handled, or stored; </w:t>
      </w:r>
    </w:p>
    <w:p w14:paraId="016A5053" w14:textId="77777777" w:rsidR="00B96890" w:rsidRPr="001E5B02" w:rsidRDefault="00B96890" w:rsidP="00B96890">
      <w:pPr>
        <w:pStyle w:val="1"/>
        <w:rPr>
          <w:color w:val="000000"/>
        </w:rPr>
      </w:pPr>
      <w:r w:rsidRPr="001E5B02">
        <w:rPr>
          <w:color w:val="000000"/>
        </w:rPr>
        <w:t>4.</w:t>
      </w:r>
      <w:r w:rsidRPr="001E5B02">
        <w:rPr>
          <w:color w:val="000000"/>
        </w:rPr>
        <w:tab/>
        <w:t xml:space="preserve">if the applicant is a business entity: </w:t>
      </w:r>
    </w:p>
    <w:p w14:paraId="669830A1" w14:textId="77777777" w:rsidR="00B96890" w:rsidRPr="001E5B02" w:rsidRDefault="00B96890" w:rsidP="00B96890">
      <w:pPr>
        <w:pStyle w:val="a0"/>
        <w:rPr>
          <w:color w:val="000000"/>
        </w:rPr>
      </w:pPr>
      <w:r w:rsidRPr="001E5B02">
        <w:rPr>
          <w:color w:val="000000"/>
        </w:rPr>
        <w:t>a.</w:t>
      </w:r>
      <w:r w:rsidRPr="001E5B02">
        <w:rPr>
          <w:color w:val="000000"/>
        </w:rPr>
        <w:tab/>
        <w:t xml:space="preserve">the full name of the business; </w:t>
      </w:r>
    </w:p>
    <w:p w14:paraId="778E7E55" w14:textId="77777777" w:rsidR="00B96890" w:rsidRPr="001E5B02" w:rsidRDefault="00B96890" w:rsidP="00B96890">
      <w:pPr>
        <w:pStyle w:val="a0"/>
        <w:rPr>
          <w:color w:val="000000"/>
        </w:rPr>
      </w:pPr>
      <w:r w:rsidRPr="001E5B02">
        <w:rPr>
          <w:color w:val="000000"/>
        </w:rPr>
        <w:t>b.</w:t>
      </w:r>
      <w:r w:rsidRPr="001E5B02">
        <w:rPr>
          <w:color w:val="000000"/>
        </w:rPr>
        <w:tab/>
        <w:t>the principal Louisiana business physical address;</w:t>
      </w:r>
    </w:p>
    <w:p w14:paraId="3091731F" w14:textId="77777777" w:rsidR="00B96890" w:rsidRPr="001E5B02" w:rsidRDefault="00B96890" w:rsidP="00B96890">
      <w:pPr>
        <w:pStyle w:val="a0"/>
        <w:rPr>
          <w:color w:val="000000"/>
        </w:rPr>
      </w:pPr>
      <w:r w:rsidRPr="001E5B02">
        <w:rPr>
          <w:color w:val="000000"/>
        </w:rPr>
        <w:t>c.</w:t>
      </w:r>
      <w:r w:rsidRPr="001E5B02">
        <w:rPr>
          <w:color w:val="000000"/>
        </w:rPr>
        <w:tab/>
        <w:t xml:space="preserve">the full name, title and email address of the individual applying for the license; </w:t>
      </w:r>
    </w:p>
    <w:p w14:paraId="56FA49FF" w14:textId="77777777" w:rsidR="00B96890" w:rsidRPr="001E5B02" w:rsidRDefault="00B96890" w:rsidP="00B96890">
      <w:pPr>
        <w:pStyle w:val="a0"/>
        <w:rPr>
          <w:color w:val="000000"/>
        </w:rPr>
      </w:pPr>
      <w:r w:rsidRPr="001E5B02">
        <w:rPr>
          <w:color w:val="000000"/>
        </w:rPr>
        <w:t>d.</w:t>
      </w:r>
      <w:r w:rsidRPr="001E5B02">
        <w:rPr>
          <w:color w:val="000000"/>
        </w:rPr>
        <w:tab/>
        <w:t xml:space="preserve">the full name, title, and email address of the designated responsible party; </w:t>
      </w:r>
    </w:p>
    <w:p w14:paraId="5AF59E64" w14:textId="77777777" w:rsidR="00B96890" w:rsidRPr="001E5B02" w:rsidRDefault="00B96890" w:rsidP="00B96890">
      <w:pPr>
        <w:pStyle w:val="a0"/>
        <w:rPr>
          <w:color w:val="000000"/>
        </w:rPr>
      </w:pPr>
      <w:r w:rsidRPr="001E5B02">
        <w:rPr>
          <w:color w:val="000000"/>
        </w:rPr>
        <w:t>e.</w:t>
      </w:r>
      <w:r w:rsidRPr="001E5B02">
        <w:rPr>
          <w:color w:val="000000"/>
        </w:rPr>
        <w:tab/>
        <w:t>the full name and mailing address of the registered agent; and</w:t>
      </w:r>
    </w:p>
    <w:p w14:paraId="1BCA4B9B" w14:textId="77777777" w:rsidR="00B96890" w:rsidRDefault="00B96890" w:rsidP="00B96890">
      <w:pPr>
        <w:pStyle w:val="a0"/>
      </w:pPr>
      <w:r w:rsidRPr="001E5B02">
        <w:t>f.</w:t>
      </w:r>
      <w:r w:rsidRPr="001E5B02">
        <w:tab/>
        <w:t>the employer identification number.</w:t>
      </w:r>
    </w:p>
    <w:p w14:paraId="3AC334A7" w14:textId="77777777" w:rsidR="00CD0355" w:rsidRPr="00DF6D8D" w:rsidRDefault="00CD0355" w:rsidP="00B96890">
      <w:pPr>
        <w:pStyle w:val="1"/>
        <w:rPr>
          <w:color w:val="000000"/>
        </w:rPr>
      </w:pPr>
      <w:r w:rsidRPr="00DF6D8D">
        <w:rPr>
          <w:color w:val="000000"/>
        </w:rPr>
        <w:t>5.</w:t>
      </w:r>
      <w:r w:rsidRPr="00DF6D8D">
        <w:rPr>
          <w:color w:val="000000"/>
        </w:rPr>
        <w:tab/>
        <w:t>detailed maps depicting each site where industrial hemp seed will be produced, handled, and stored, with appropriate designations for entrances, field boundaries, and the specific locations corresponding to GPS coordinates;</w:t>
      </w:r>
    </w:p>
    <w:p w14:paraId="6DC7BF1C" w14:textId="77777777" w:rsidR="00CD0355" w:rsidRPr="00DF6D8D" w:rsidRDefault="00CD0355" w:rsidP="00CD0355">
      <w:pPr>
        <w:pStyle w:val="1"/>
        <w:rPr>
          <w:color w:val="000000"/>
        </w:rPr>
      </w:pPr>
      <w:r w:rsidRPr="00DF6D8D">
        <w:rPr>
          <w:color w:val="000000"/>
        </w:rPr>
        <w:t>6.</w:t>
      </w:r>
      <w:r w:rsidRPr="00DF6D8D">
        <w:rPr>
          <w:color w:val="000000"/>
        </w:rPr>
        <w:tab/>
        <w:t>proposed field acreage or square footage for all greenhouse(s) or indoor growing structure(s) to be planted for seed production; and</w:t>
      </w:r>
    </w:p>
    <w:p w14:paraId="22FB8A36" w14:textId="77777777" w:rsidR="00CD0355" w:rsidRPr="00DF6D8D" w:rsidRDefault="00CD0355" w:rsidP="00CD0355">
      <w:pPr>
        <w:pStyle w:val="A"/>
        <w:rPr>
          <w:color w:val="000000"/>
        </w:rPr>
      </w:pPr>
      <w:r w:rsidRPr="00DF6D8D">
        <w:rPr>
          <w:color w:val="000000"/>
        </w:rPr>
        <w:t>E.</w:t>
      </w:r>
      <w:r w:rsidRPr="00DF6D8D">
        <w:rPr>
          <w:color w:val="000000"/>
        </w:rPr>
        <w:tab/>
        <w:t xml:space="preserve">LDAF shall maintain all information obtained pursuant to this Section for a period of not less than three years and all information received in accordance with this Section shall be transmitted to the United States Secretary of Agriculture not </w:t>
      </w:r>
      <w:r w:rsidRPr="00DF6D8D">
        <w:rPr>
          <w:color w:val="000000"/>
        </w:rPr>
        <w:t>more than 30 days after the date on which the information is received.</w:t>
      </w:r>
    </w:p>
    <w:p w14:paraId="26F208F8"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14:paraId="2E4ED348"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171</w:t>
      </w:r>
      <w:r w:rsidRPr="00DF6D8D">
        <w:rPr>
          <w:color w:val="000000"/>
        </w:rPr>
        <w:t xml:space="preserve"> (February 2020)</w:t>
      </w:r>
      <w:r w:rsidRPr="00B80D25">
        <w:t>, LR 4</w:t>
      </w:r>
      <w:r>
        <w:t>7</w:t>
      </w:r>
      <w:r w:rsidRPr="00B80D25">
        <w:t>:</w:t>
      </w:r>
      <w:r>
        <w:t>439 (April 2021)</w:t>
      </w:r>
      <w:r w:rsidR="00B96890" w:rsidRPr="001E5B02">
        <w:rPr>
          <w:color w:val="000000"/>
        </w:rPr>
        <w:t>, amended LR 47:</w:t>
      </w:r>
      <w:r w:rsidR="00B96890">
        <w:rPr>
          <w:color w:val="000000"/>
        </w:rPr>
        <w:t>1834</w:t>
      </w:r>
      <w:r w:rsidR="00B96890" w:rsidRPr="001E5B02">
        <w:rPr>
          <w:color w:val="000000"/>
        </w:rPr>
        <w:t xml:space="preserve"> (December 2021).</w:t>
      </w:r>
    </w:p>
    <w:p w14:paraId="210C4C0C" w14:textId="77777777" w:rsidR="00CD0355" w:rsidRDefault="00CD0355" w:rsidP="00CD0355">
      <w:pPr>
        <w:pStyle w:val="Section"/>
      </w:pPr>
      <w:bookmarkStart w:id="1286" w:name="_Toc224818865"/>
      <w:r>
        <w:t>§1309.</w:t>
      </w:r>
      <w:r>
        <w:tab/>
        <w:t>Grower License</w:t>
      </w:r>
      <w:bookmarkEnd w:id="1286"/>
    </w:p>
    <w:p w14:paraId="6FCE287F" w14:textId="77777777" w:rsidR="00CD0355" w:rsidRPr="00DF6D8D" w:rsidRDefault="00CD0355" w:rsidP="00CD0355">
      <w:pPr>
        <w:pStyle w:val="A"/>
        <w:rPr>
          <w:color w:val="000000"/>
        </w:rPr>
      </w:pPr>
      <w:r w:rsidRPr="00DF6D8D">
        <w:rPr>
          <w:color w:val="000000"/>
        </w:rPr>
        <w:t>A.</w:t>
      </w:r>
      <w:r w:rsidRPr="00DF6D8D">
        <w:rPr>
          <w:color w:val="000000"/>
        </w:rPr>
        <w:tab/>
        <w:t>No person shall grow industrial hemp without first applying for and receiving an industrial hemp grower license from LDAF.</w:t>
      </w:r>
    </w:p>
    <w:p w14:paraId="52F47C8F" w14:textId="77777777" w:rsidR="00CD0355" w:rsidRPr="00DF6D8D" w:rsidRDefault="00CD0355" w:rsidP="00CD0355">
      <w:pPr>
        <w:pStyle w:val="A"/>
        <w:rPr>
          <w:color w:val="000000"/>
        </w:rPr>
      </w:pPr>
      <w:r w:rsidRPr="00DF6D8D">
        <w:rPr>
          <w:color w:val="000000"/>
        </w:rPr>
        <w:t>B.</w:t>
      </w:r>
      <w:r w:rsidRPr="00DF6D8D">
        <w:rPr>
          <w:color w:val="000000"/>
        </w:rPr>
        <w:tab/>
      </w:r>
      <w:r w:rsidR="00B96890" w:rsidRPr="001E5B02">
        <w:rPr>
          <w:color w:val="000000"/>
        </w:rPr>
        <w:t>A grower license issued by LDAF shall authorize the licensee to obtain industrial hemp seed, possess industrial hemp seed for planting, cultivate an industrial hemp crop, harvest industrial hemp plant parts, as well as possess, store, transport, and market plant parts grown under their grower’s license pursuant to this Chapter.</w:t>
      </w:r>
      <w:r w:rsidRPr="00DF6D8D">
        <w:rPr>
          <w:color w:val="000000"/>
        </w:rPr>
        <w:t xml:space="preserve"> </w:t>
      </w:r>
    </w:p>
    <w:p w14:paraId="085B4D7F" w14:textId="77777777" w:rsidR="00CD0355" w:rsidRPr="00DF6D8D" w:rsidRDefault="00CD0355" w:rsidP="00CD0355">
      <w:pPr>
        <w:pStyle w:val="A"/>
        <w:rPr>
          <w:color w:val="000000"/>
        </w:rPr>
      </w:pPr>
      <w:r w:rsidRPr="00DF6D8D">
        <w:rPr>
          <w:color w:val="000000"/>
        </w:rPr>
        <w:t>C.</w:t>
      </w:r>
      <w:r w:rsidRPr="00DF6D8D">
        <w:rPr>
          <w:color w:val="000000"/>
        </w:rPr>
        <w:tab/>
        <w:t>The application shall include, at a minimum, the following information for consideration:</w:t>
      </w:r>
    </w:p>
    <w:p w14:paraId="31B8C8EB" w14:textId="77777777" w:rsidR="00CD0355" w:rsidRPr="00DF6D8D" w:rsidRDefault="00CD0355" w:rsidP="00CD0355">
      <w:pPr>
        <w:pStyle w:val="1"/>
        <w:rPr>
          <w:color w:val="000000"/>
        </w:rPr>
      </w:pPr>
      <w:r w:rsidRPr="00DF6D8D">
        <w:rPr>
          <w:color w:val="000000"/>
        </w:rPr>
        <w:t>1.</w:t>
      </w:r>
      <w:r w:rsidRPr="00DF6D8D">
        <w:rPr>
          <w:color w:val="000000"/>
        </w:rPr>
        <w:tab/>
        <w:t>type of license being requested as set forth in R.S. 3:1465;</w:t>
      </w:r>
    </w:p>
    <w:p w14:paraId="1900B9AA" w14:textId="77777777" w:rsidR="00CD0355" w:rsidRPr="00DF6D8D" w:rsidRDefault="00CD0355" w:rsidP="00CD0355">
      <w:pPr>
        <w:pStyle w:val="1"/>
        <w:rPr>
          <w:color w:val="000000"/>
        </w:rPr>
      </w:pPr>
      <w:r w:rsidRPr="00DF6D8D">
        <w:rPr>
          <w:color w:val="000000"/>
        </w:rPr>
        <w:t>2.</w:t>
      </w:r>
      <w:r w:rsidRPr="00DF6D8D">
        <w:rPr>
          <w:color w:val="000000"/>
        </w:rPr>
        <w:tab/>
        <w:t>applicant’s full name, Louisiana mailing and physical address, telephone number and email address;</w:t>
      </w:r>
    </w:p>
    <w:p w14:paraId="4BDF5D83" w14:textId="77777777" w:rsidR="00CD0355" w:rsidRPr="00DF6D8D" w:rsidRDefault="00CD0355" w:rsidP="00CD0355">
      <w:pPr>
        <w:pStyle w:val="1"/>
        <w:rPr>
          <w:color w:val="000000"/>
        </w:rPr>
      </w:pPr>
      <w:r w:rsidRPr="00DF6D8D">
        <w:rPr>
          <w:color w:val="000000"/>
        </w:rPr>
        <w:t>3.</w:t>
      </w:r>
      <w:r w:rsidRPr="00DF6D8D">
        <w:rPr>
          <w:color w:val="000000"/>
        </w:rPr>
        <w:tab/>
        <w:t>physical address, legal description, location ID, and GPS coordinates for each field, greenhouse, indoor growing structure, or site where industrial hemp will be cultivated, handled, or stored;</w:t>
      </w:r>
    </w:p>
    <w:p w14:paraId="5313519E" w14:textId="77777777" w:rsidR="00CD0355" w:rsidRPr="00DF6D8D" w:rsidRDefault="00CD0355" w:rsidP="00CD0355">
      <w:pPr>
        <w:pStyle w:val="1"/>
        <w:rPr>
          <w:color w:val="000000"/>
        </w:rPr>
      </w:pPr>
      <w:r w:rsidRPr="00DF6D8D">
        <w:rPr>
          <w:color w:val="000000"/>
        </w:rPr>
        <w:t>4.</w:t>
      </w:r>
      <w:r w:rsidRPr="00DF6D8D">
        <w:rPr>
          <w:color w:val="000000"/>
        </w:rPr>
        <w:tab/>
        <w:t xml:space="preserve">if the applicant is a business entity: </w:t>
      </w:r>
    </w:p>
    <w:p w14:paraId="272EEAE0" w14:textId="77777777"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w:t>
      </w:r>
    </w:p>
    <w:p w14:paraId="4DF549FF" w14:textId="77777777" w:rsidR="00CD0355" w:rsidRPr="00DF6D8D" w:rsidRDefault="00CD0355" w:rsidP="00CD0355">
      <w:pPr>
        <w:pStyle w:val="a0"/>
        <w:rPr>
          <w:color w:val="000000"/>
        </w:rPr>
      </w:pPr>
      <w:r w:rsidRPr="00DF6D8D">
        <w:rPr>
          <w:color w:val="000000"/>
        </w:rPr>
        <w:t>b.</w:t>
      </w:r>
      <w:r w:rsidRPr="00DF6D8D">
        <w:rPr>
          <w:color w:val="000000"/>
        </w:rPr>
        <w:tab/>
        <w:t xml:space="preserve">the principal Louisiana business physical address; </w:t>
      </w:r>
    </w:p>
    <w:p w14:paraId="5624A56F" w14:textId="77777777" w:rsidR="00CD0355" w:rsidRPr="00DF6D8D" w:rsidRDefault="00CD0355" w:rsidP="00CD0355">
      <w:pPr>
        <w:pStyle w:val="a0"/>
        <w:rPr>
          <w:color w:val="000000"/>
        </w:rPr>
      </w:pPr>
      <w:r w:rsidRPr="00DF6D8D">
        <w:rPr>
          <w:color w:val="000000"/>
        </w:rPr>
        <w:t>c.</w:t>
      </w:r>
      <w:r w:rsidRPr="00DF6D8D">
        <w:rPr>
          <w:color w:val="000000"/>
        </w:rPr>
        <w:tab/>
        <w:t xml:space="preserve">the full name, title and email address of the individual applying for the license; </w:t>
      </w:r>
    </w:p>
    <w:p w14:paraId="56EB7F72" w14:textId="77777777" w:rsidR="00CD0355" w:rsidRPr="00DF6D8D" w:rsidRDefault="00CD0355" w:rsidP="00CD0355">
      <w:pPr>
        <w:pStyle w:val="a0"/>
        <w:rPr>
          <w:color w:val="000000"/>
        </w:rPr>
      </w:pPr>
      <w:r w:rsidRPr="00DF6D8D">
        <w:rPr>
          <w:color w:val="000000"/>
        </w:rPr>
        <w:t>d.</w:t>
      </w:r>
      <w:r w:rsidRPr="00DF6D8D">
        <w:rPr>
          <w:color w:val="000000"/>
        </w:rPr>
        <w:tab/>
        <w:t xml:space="preserve">the full name, title, and email address of the designated responsible party; </w:t>
      </w:r>
    </w:p>
    <w:p w14:paraId="23851660" w14:textId="77777777" w:rsidR="00B96890" w:rsidRPr="001E5B02" w:rsidRDefault="00CD0355" w:rsidP="00B96890">
      <w:pPr>
        <w:pStyle w:val="a0"/>
        <w:rPr>
          <w:color w:val="000000"/>
        </w:rPr>
      </w:pPr>
      <w:r w:rsidRPr="00DF6D8D">
        <w:rPr>
          <w:color w:val="000000"/>
        </w:rPr>
        <w:t>e.</w:t>
      </w:r>
      <w:r w:rsidRPr="00DF6D8D">
        <w:rPr>
          <w:color w:val="000000"/>
        </w:rPr>
        <w:tab/>
      </w:r>
      <w:r w:rsidR="00B96890" w:rsidRPr="001E5B02">
        <w:rPr>
          <w:color w:val="000000"/>
        </w:rPr>
        <w:t>the full name and mailing address of the registered agent; and</w:t>
      </w:r>
    </w:p>
    <w:p w14:paraId="43B8322C" w14:textId="77777777" w:rsidR="00CD0355" w:rsidRPr="00DF6D8D" w:rsidRDefault="00B96890" w:rsidP="00B96890">
      <w:pPr>
        <w:pStyle w:val="a0"/>
        <w:rPr>
          <w:color w:val="000000"/>
        </w:rPr>
      </w:pPr>
      <w:r w:rsidRPr="001E5B02">
        <w:rPr>
          <w:color w:val="000000"/>
        </w:rPr>
        <w:t>f.</w:t>
      </w:r>
      <w:r w:rsidRPr="001E5B02">
        <w:rPr>
          <w:color w:val="000000"/>
        </w:rPr>
        <w:tab/>
        <w:t>the employer identification number;</w:t>
      </w:r>
    </w:p>
    <w:p w14:paraId="0C699EE6" w14:textId="77777777" w:rsidR="00CD0355" w:rsidRPr="00DF6D8D" w:rsidRDefault="00CD0355" w:rsidP="00CD0355">
      <w:pPr>
        <w:pStyle w:val="1"/>
        <w:rPr>
          <w:color w:val="000000"/>
        </w:rPr>
      </w:pPr>
      <w:r w:rsidRPr="00DF6D8D">
        <w:rPr>
          <w:color w:val="000000"/>
        </w:rPr>
        <w:t>5.</w:t>
      </w:r>
      <w:r w:rsidRPr="00DF6D8D">
        <w:rPr>
          <w:color w:val="000000"/>
        </w:rPr>
        <w:tab/>
        <w:t>detailed maps depicting each site where industrial hemp will be cultivated, handled, or stored, with appropriate designations for entrances, field boundaries, and the specific locations corresponding to GPS coordinates;</w:t>
      </w:r>
      <w:r>
        <w:rPr>
          <w:color w:val="000000"/>
        </w:rPr>
        <w:t xml:space="preserve"> and</w:t>
      </w:r>
    </w:p>
    <w:p w14:paraId="4B019A05" w14:textId="77777777" w:rsidR="00CD0355" w:rsidRPr="00DF6D8D" w:rsidRDefault="00CD0355" w:rsidP="00CD0355">
      <w:pPr>
        <w:pStyle w:val="1"/>
        <w:rPr>
          <w:color w:val="000000"/>
        </w:rPr>
      </w:pPr>
      <w:r w:rsidRPr="00DF6D8D">
        <w:rPr>
          <w:color w:val="000000"/>
        </w:rPr>
        <w:t>6.</w:t>
      </w:r>
      <w:r w:rsidRPr="00DF6D8D">
        <w:rPr>
          <w:color w:val="000000"/>
        </w:rPr>
        <w:tab/>
        <w:t>proposed field acreage or square footage for all greenhouse(s) or indoor growing structure(s) to be planted</w:t>
      </w:r>
      <w:r>
        <w:rPr>
          <w:color w:val="000000"/>
        </w:rPr>
        <w:t>.</w:t>
      </w:r>
    </w:p>
    <w:p w14:paraId="177EA210"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14:paraId="701BF708"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Pr="00B80D25">
        <w:t>, LR 4</w:t>
      </w:r>
      <w:r>
        <w:t>7</w:t>
      </w:r>
      <w:r w:rsidRPr="00B80D25">
        <w:t>:</w:t>
      </w:r>
      <w:r>
        <w:t>439 (April 2021)</w:t>
      </w:r>
      <w:r w:rsidR="00B96890" w:rsidRPr="001E5B02">
        <w:rPr>
          <w:color w:val="000000"/>
        </w:rPr>
        <w:t>, amended LR 47:</w:t>
      </w:r>
      <w:r w:rsidR="00B96890">
        <w:rPr>
          <w:color w:val="000000"/>
        </w:rPr>
        <w:t>1834</w:t>
      </w:r>
      <w:r w:rsidR="00B96890" w:rsidRPr="001E5B02">
        <w:rPr>
          <w:color w:val="000000"/>
        </w:rPr>
        <w:t xml:space="preserve"> (December 2021).</w:t>
      </w:r>
    </w:p>
    <w:p w14:paraId="7BE0E916" w14:textId="77777777" w:rsidR="00CD0355" w:rsidRDefault="00CD0355" w:rsidP="00CD0355">
      <w:pPr>
        <w:pStyle w:val="Section"/>
      </w:pPr>
      <w:bookmarkStart w:id="1287" w:name="_Toc224818866"/>
      <w:r>
        <w:lastRenderedPageBreak/>
        <w:t>§1311.</w:t>
      </w:r>
      <w:r>
        <w:tab/>
        <w:t>Processor License</w:t>
      </w:r>
      <w:bookmarkEnd w:id="1287"/>
    </w:p>
    <w:p w14:paraId="7E5AE281" w14:textId="77777777" w:rsidR="00B96890" w:rsidRPr="001E5B02" w:rsidRDefault="00CD0355" w:rsidP="00B96890">
      <w:pPr>
        <w:pStyle w:val="A"/>
        <w:rPr>
          <w:color w:val="000000"/>
        </w:rPr>
      </w:pPr>
      <w:r w:rsidRPr="00DF6D8D">
        <w:rPr>
          <w:color w:val="000000"/>
        </w:rPr>
        <w:t>A.</w:t>
      </w:r>
      <w:r w:rsidRPr="00DF6D8D">
        <w:rPr>
          <w:color w:val="000000"/>
        </w:rPr>
        <w:tab/>
      </w:r>
      <w:r w:rsidR="00B96890" w:rsidRPr="001E5B02">
        <w:rPr>
          <w:color w:val="000000"/>
        </w:rPr>
        <w:t>No person shall process industrial hemp into a non-consumable product without first applying for and receiving an industrial hemp processor license from LDAF.</w:t>
      </w:r>
    </w:p>
    <w:p w14:paraId="7FB07641" w14:textId="77777777" w:rsidR="00B96890" w:rsidRPr="001E5B02" w:rsidRDefault="00B96890" w:rsidP="00B96890">
      <w:pPr>
        <w:pStyle w:val="A"/>
        <w:rPr>
          <w:color w:val="000000"/>
        </w:rPr>
      </w:pPr>
      <w:r w:rsidRPr="001E5B02">
        <w:rPr>
          <w:color w:val="000000"/>
        </w:rPr>
        <w:t>B.</w:t>
      </w:r>
      <w:r w:rsidRPr="001E5B02">
        <w:rPr>
          <w:color w:val="000000"/>
        </w:rPr>
        <w:tab/>
        <w:t xml:space="preserve">A processor license issued by LDAF shall authorize the licensee to possess, process, store, or transport industrial hemp plant parts for processing pursuant to this Chapter. </w:t>
      </w:r>
    </w:p>
    <w:p w14:paraId="2FB5A482" w14:textId="77777777" w:rsidR="00B96890" w:rsidRPr="001E5B02" w:rsidRDefault="00B96890" w:rsidP="00B96890">
      <w:pPr>
        <w:pStyle w:val="A"/>
        <w:rPr>
          <w:color w:val="000000"/>
        </w:rPr>
      </w:pPr>
      <w:r w:rsidRPr="001E5B02">
        <w:rPr>
          <w:color w:val="000000"/>
        </w:rPr>
        <w:t>C.</w:t>
      </w:r>
      <w:r w:rsidRPr="001E5B02">
        <w:rPr>
          <w:color w:val="000000"/>
        </w:rPr>
        <w:tab/>
        <w:t xml:space="preserve">The application shall include, at a minimum, the following information for consideration: </w:t>
      </w:r>
    </w:p>
    <w:p w14:paraId="6674E3AB" w14:textId="77777777" w:rsidR="00CD0355" w:rsidRPr="00B80D25" w:rsidRDefault="00B96890" w:rsidP="00B96890">
      <w:pPr>
        <w:pStyle w:val="A"/>
      </w:pPr>
      <w:r w:rsidRPr="001E5B02">
        <w:rPr>
          <w:color w:val="000000"/>
        </w:rPr>
        <w:t>1.</w:t>
      </w:r>
      <w:r w:rsidRPr="001E5B02">
        <w:rPr>
          <w:color w:val="000000"/>
        </w:rPr>
        <w:tab/>
        <w:t>applicant’s full name, Louisiana mailing and physical address, telephone number, email address, and proof of identification;</w:t>
      </w:r>
    </w:p>
    <w:p w14:paraId="2D4F0C29" w14:textId="77777777" w:rsidR="00CD0355" w:rsidRPr="00B80D25" w:rsidRDefault="00CD0355" w:rsidP="00CD0355">
      <w:pPr>
        <w:pStyle w:val="1"/>
      </w:pPr>
      <w:r w:rsidRPr="00B80D25">
        <w:t>2.</w:t>
      </w:r>
      <w:r w:rsidRPr="00B80D25">
        <w:tab/>
      </w:r>
      <w:r w:rsidR="00B96890" w:rsidRPr="001E5B02">
        <w:rPr>
          <w:color w:val="000000"/>
        </w:rPr>
        <w:t>if the applicant is a business entity:</w:t>
      </w:r>
    </w:p>
    <w:p w14:paraId="4C925018" w14:textId="77777777" w:rsidR="00CD0355" w:rsidRPr="00B80D25" w:rsidRDefault="00CD0355" w:rsidP="00CD0355">
      <w:pPr>
        <w:pStyle w:val="a0"/>
      </w:pPr>
      <w:r w:rsidRPr="00B80D25">
        <w:t>a.</w:t>
      </w:r>
      <w:r w:rsidRPr="00B80D25">
        <w:tab/>
        <w:t>the full name of the business;</w:t>
      </w:r>
      <w:r>
        <w:t xml:space="preserve"> </w:t>
      </w:r>
    </w:p>
    <w:p w14:paraId="24178256" w14:textId="77777777" w:rsidR="00CD0355" w:rsidRPr="00B80D25" w:rsidRDefault="00CD0355" w:rsidP="00CD0355">
      <w:pPr>
        <w:pStyle w:val="a0"/>
      </w:pPr>
      <w:r w:rsidRPr="00B80D25">
        <w:t>b.</w:t>
      </w:r>
      <w:r w:rsidRPr="00B80D25">
        <w:tab/>
        <w:t xml:space="preserve">the principal Louisiana business physical address; </w:t>
      </w:r>
    </w:p>
    <w:p w14:paraId="34EFDA03" w14:textId="77777777" w:rsidR="00CD0355" w:rsidRPr="00B80D25" w:rsidRDefault="00CD0355" w:rsidP="00CD0355">
      <w:pPr>
        <w:pStyle w:val="a0"/>
      </w:pPr>
      <w:r w:rsidRPr="00B80D25">
        <w:t>c.</w:t>
      </w:r>
      <w:r w:rsidRPr="00B80D25">
        <w:tab/>
        <w:t xml:space="preserve">the full name, title and email address of the individual applying for the license; </w:t>
      </w:r>
    </w:p>
    <w:p w14:paraId="708B647A" w14:textId="77777777" w:rsidR="00CD0355" w:rsidRPr="00B80D25" w:rsidRDefault="00CD0355" w:rsidP="00CD0355">
      <w:pPr>
        <w:pStyle w:val="a0"/>
      </w:pPr>
      <w:r w:rsidRPr="00B80D25">
        <w:t>d.</w:t>
      </w:r>
      <w:r>
        <w:tab/>
      </w:r>
      <w:r w:rsidRPr="00B80D25">
        <w:t xml:space="preserve">the full name, title, and email address of the designated responsible party; </w:t>
      </w:r>
    </w:p>
    <w:p w14:paraId="2E9A8FC9" w14:textId="77777777" w:rsidR="00B96890" w:rsidRPr="001E5B02" w:rsidRDefault="00CD0355" w:rsidP="00B96890">
      <w:pPr>
        <w:pStyle w:val="a0"/>
        <w:rPr>
          <w:color w:val="000000"/>
        </w:rPr>
      </w:pPr>
      <w:r w:rsidRPr="00B80D25">
        <w:t>e.</w:t>
      </w:r>
      <w:r w:rsidRPr="00B80D25">
        <w:tab/>
      </w:r>
      <w:r w:rsidR="00B96890" w:rsidRPr="001E5B02">
        <w:rPr>
          <w:color w:val="000000"/>
        </w:rPr>
        <w:t>the full name and mailing address of the registered agent; and</w:t>
      </w:r>
    </w:p>
    <w:p w14:paraId="7A8AE869" w14:textId="77777777" w:rsidR="00B96890" w:rsidRPr="001E5B02" w:rsidRDefault="00B96890" w:rsidP="00B96890">
      <w:pPr>
        <w:pStyle w:val="a0"/>
        <w:rPr>
          <w:color w:val="000000"/>
        </w:rPr>
      </w:pPr>
      <w:r w:rsidRPr="001E5B02">
        <w:rPr>
          <w:color w:val="000000"/>
        </w:rPr>
        <w:t>f.</w:t>
      </w:r>
      <w:r w:rsidRPr="001E5B02">
        <w:rPr>
          <w:color w:val="000000"/>
        </w:rPr>
        <w:tab/>
        <w:t>the employer identification number.</w:t>
      </w:r>
    </w:p>
    <w:p w14:paraId="3E02EE8B" w14:textId="77777777" w:rsidR="00CD0355" w:rsidRPr="00DF6D8D" w:rsidRDefault="00B96890" w:rsidP="00B96890">
      <w:pPr>
        <w:pStyle w:val="a0"/>
        <w:rPr>
          <w:color w:val="000000"/>
        </w:rPr>
      </w:pPr>
      <w:r w:rsidRPr="001E5B02">
        <w:rPr>
          <w:color w:val="000000"/>
        </w:rPr>
        <w:t>3.</w:t>
      </w:r>
      <w:r w:rsidRPr="001E5B02">
        <w:rPr>
          <w:color w:val="000000"/>
        </w:rPr>
        <w:tab/>
        <w:t>detailed maps, legal description, physical address, location ID, and GPS coordinates for each building or site where industrial hemp will be processed, handled, or stored.</w:t>
      </w:r>
    </w:p>
    <w:p w14:paraId="118621A4"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14:paraId="61C54D91" w14:textId="77777777"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Pr="00B80D25">
        <w:t>, LR 4</w:t>
      </w:r>
      <w:r>
        <w:t>7:439 (April 2021)</w:t>
      </w:r>
      <w:r w:rsidR="00B96890" w:rsidRPr="001E5B02">
        <w:rPr>
          <w:color w:val="000000"/>
        </w:rPr>
        <w:t>, amended LR 47:</w:t>
      </w:r>
      <w:r w:rsidR="00B96890">
        <w:rPr>
          <w:color w:val="000000"/>
        </w:rPr>
        <w:t>1835</w:t>
      </w:r>
      <w:r w:rsidR="00B96890" w:rsidRPr="001E5B02">
        <w:rPr>
          <w:color w:val="000000"/>
        </w:rPr>
        <w:t xml:space="preserve"> (December 2021).</w:t>
      </w:r>
    </w:p>
    <w:p w14:paraId="693DAE55" w14:textId="77777777" w:rsidR="00CD0355" w:rsidRPr="00DF6D8D" w:rsidRDefault="00CD0355" w:rsidP="00CD0355">
      <w:pPr>
        <w:pStyle w:val="Section"/>
        <w:rPr>
          <w:color w:val="000000"/>
        </w:rPr>
      </w:pPr>
      <w:bookmarkStart w:id="1288" w:name="_Toc224818867"/>
      <w:r w:rsidRPr="00DF6D8D">
        <w:rPr>
          <w:color w:val="000000"/>
        </w:rPr>
        <w:t>§1313.</w:t>
      </w:r>
      <w:r w:rsidRPr="00DF6D8D">
        <w:rPr>
          <w:color w:val="000000"/>
        </w:rPr>
        <w:tab/>
      </w:r>
      <w:r w:rsidR="00B96890" w:rsidRPr="001E5B02">
        <w:rPr>
          <w:color w:val="000000"/>
        </w:rPr>
        <w:t>Handler License</w:t>
      </w:r>
      <w:bookmarkEnd w:id="1288"/>
    </w:p>
    <w:p w14:paraId="7E55D9FA" w14:textId="77777777"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No person shall handle industrial hemp without first applying for and receiving an industrial hemp handler license from LDAF.</w:t>
      </w:r>
    </w:p>
    <w:p w14:paraId="3E9849A0" w14:textId="77777777" w:rsidR="000B299E" w:rsidRPr="001E5B02" w:rsidRDefault="000B299E" w:rsidP="000B299E">
      <w:pPr>
        <w:pStyle w:val="A"/>
        <w:rPr>
          <w:color w:val="000000"/>
        </w:rPr>
      </w:pPr>
      <w:r w:rsidRPr="001E5B02">
        <w:rPr>
          <w:color w:val="000000"/>
        </w:rPr>
        <w:t>B.</w:t>
      </w:r>
      <w:r w:rsidRPr="001E5B02">
        <w:rPr>
          <w:color w:val="000000"/>
        </w:rPr>
        <w:tab/>
        <w:t xml:space="preserve">A handler license issued by LDAF shall authorize the licensee to: </w:t>
      </w:r>
    </w:p>
    <w:p w14:paraId="734D5810" w14:textId="77777777" w:rsidR="000B299E" w:rsidRPr="001E5B02" w:rsidRDefault="000B299E" w:rsidP="000B299E">
      <w:pPr>
        <w:pStyle w:val="1"/>
        <w:rPr>
          <w:color w:val="000000"/>
        </w:rPr>
      </w:pPr>
      <w:r w:rsidRPr="001E5B02">
        <w:rPr>
          <w:color w:val="000000"/>
        </w:rPr>
        <w:t>1.</w:t>
      </w:r>
      <w:r w:rsidRPr="001E5B02">
        <w:rPr>
          <w:color w:val="000000"/>
        </w:rPr>
        <w:tab/>
        <w:t>transport or deliver industrial hemp in intrastate commerce for compensation;</w:t>
      </w:r>
    </w:p>
    <w:p w14:paraId="79384EF3" w14:textId="77777777" w:rsidR="000B299E" w:rsidRPr="001E5B02" w:rsidRDefault="000B299E" w:rsidP="000B299E">
      <w:pPr>
        <w:pStyle w:val="1"/>
        <w:rPr>
          <w:color w:val="000000"/>
        </w:rPr>
      </w:pPr>
      <w:r w:rsidRPr="001E5B02">
        <w:rPr>
          <w:color w:val="000000"/>
        </w:rPr>
        <w:t>2.</w:t>
      </w:r>
      <w:r w:rsidRPr="001E5B02">
        <w:rPr>
          <w:color w:val="000000"/>
        </w:rPr>
        <w:tab/>
        <w:t>commercially harvest, store, or grind industrial hemp material received from a grower;</w:t>
      </w:r>
    </w:p>
    <w:p w14:paraId="0039CB46" w14:textId="77777777" w:rsidR="000B299E" w:rsidRPr="001E5B02" w:rsidRDefault="000B299E" w:rsidP="000B299E">
      <w:pPr>
        <w:pStyle w:val="1"/>
        <w:rPr>
          <w:color w:val="000000"/>
        </w:rPr>
      </w:pPr>
      <w:r w:rsidRPr="001E5B02">
        <w:rPr>
          <w:color w:val="000000"/>
        </w:rPr>
        <w:t>3.</w:t>
      </w:r>
      <w:r w:rsidRPr="001E5B02">
        <w:rPr>
          <w:color w:val="000000"/>
        </w:rPr>
        <w:tab/>
        <w:t>clean or package industrial hemp seed received from a seed producer:</w:t>
      </w:r>
    </w:p>
    <w:p w14:paraId="4437EDCF" w14:textId="77777777" w:rsidR="000B299E" w:rsidRPr="001E5B02" w:rsidRDefault="000B299E" w:rsidP="000B299E">
      <w:pPr>
        <w:pStyle w:val="1"/>
        <w:rPr>
          <w:color w:val="000000"/>
        </w:rPr>
      </w:pPr>
      <w:r w:rsidRPr="001E5B02">
        <w:rPr>
          <w:color w:val="000000"/>
        </w:rPr>
        <w:t>4.</w:t>
      </w:r>
      <w:r w:rsidRPr="001E5B02">
        <w:rPr>
          <w:color w:val="000000"/>
        </w:rPr>
        <w:tab/>
        <w:t xml:space="preserve">broker industrial hemp material; and </w:t>
      </w:r>
    </w:p>
    <w:p w14:paraId="30AAEC94" w14:textId="77777777" w:rsidR="000B299E" w:rsidRPr="001E5B02" w:rsidRDefault="000B299E" w:rsidP="000B299E">
      <w:pPr>
        <w:pStyle w:val="1"/>
        <w:rPr>
          <w:color w:val="000000"/>
        </w:rPr>
      </w:pPr>
      <w:r w:rsidRPr="001E5B02">
        <w:rPr>
          <w:color w:val="000000"/>
        </w:rPr>
        <w:t>5.</w:t>
      </w:r>
      <w:r w:rsidRPr="001E5B02">
        <w:rPr>
          <w:color w:val="000000"/>
        </w:rPr>
        <w:tab/>
        <w:t xml:space="preserve">receive industrial hemp for testing. </w:t>
      </w:r>
    </w:p>
    <w:p w14:paraId="2842AB7B" w14:textId="77777777" w:rsidR="000B299E" w:rsidRPr="001E5B02" w:rsidRDefault="000B299E" w:rsidP="000B299E">
      <w:pPr>
        <w:pStyle w:val="A"/>
        <w:rPr>
          <w:color w:val="000000"/>
        </w:rPr>
      </w:pPr>
      <w:r w:rsidRPr="001E5B02">
        <w:rPr>
          <w:color w:val="000000"/>
        </w:rPr>
        <w:t>C.</w:t>
      </w:r>
      <w:r w:rsidRPr="001E5B02">
        <w:rPr>
          <w:color w:val="000000"/>
        </w:rPr>
        <w:tab/>
        <w:t>The application shall require applicants to submit, at a minimum, the following information and documents:</w:t>
      </w:r>
    </w:p>
    <w:p w14:paraId="20B94CA0" w14:textId="77777777" w:rsidR="000B299E" w:rsidRPr="001E5B02" w:rsidRDefault="000B299E" w:rsidP="000B299E">
      <w:pPr>
        <w:pStyle w:val="1"/>
        <w:rPr>
          <w:color w:val="000000"/>
        </w:rPr>
      </w:pPr>
      <w:r w:rsidRPr="001E5B02">
        <w:rPr>
          <w:color w:val="000000"/>
        </w:rPr>
        <w:t>1.</w:t>
      </w:r>
      <w:r w:rsidRPr="001E5B02">
        <w:rPr>
          <w:color w:val="000000"/>
        </w:rPr>
        <w:tab/>
        <w:t>applicant’s full name, Louisiana mailing and physical address, telephone number, email address, and proof of identification;</w:t>
      </w:r>
    </w:p>
    <w:p w14:paraId="7FBD5FC7" w14:textId="77777777" w:rsidR="00CD0355" w:rsidRPr="00DF6D8D" w:rsidRDefault="000B299E" w:rsidP="000B299E">
      <w:pPr>
        <w:pStyle w:val="A"/>
        <w:rPr>
          <w:color w:val="000000"/>
        </w:rPr>
      </w:pPr>
      <w:r w:rsidRPr="001E5B02">
        <w:rPr>
          <w:color w:val="000000"/>
        </w:rPr>
        <w:t>2.</w:t>
      </w:r>
      <w:r w:rsidRPr="001E5B02">
        <w:rPr>
          <w:color w:val="000000"/>
        </w:rPr>
        <w:tab/>
        <w:t>if the applicant is a business entity:</w:t>
      </w:r>
      <w:r w:rsidR="00CD0355" w:rsidRPr="00DF6D8D">
        <w:rPr>
          <w:color w:val="000000"/>
        </w:rPr>
        <w:t xml:space="preserve"> </w:t>
      </w:r>
    </w:p>
    <w:p w14:paraId="1F104457" w14:textId="77777777"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w:t>
      </w:r>
    </w:p>
    <w:p w14:paraId="4E1A7893" w14:textId="77777777" w:rsidR="00CD0355" w:rsidRPr="00DF6D8D" w:rsidRDefault="00CD0355" w:rsidP="00CD0355">
      <w:pPr>
        <w:pStyle w:val="a0"/>
        <w:rPr>
          <w:color w:val="000000"/>
        </w:rPr>
      </w:pPr>
      <w:r w:rsidRPr="00DF6D8D">
        <w:rPr>
          <w:color w:val="000000"/>
        </w:rPr>
        <w:t>b.</w:t>
      </w:r>
      <w:r w:rsidRPr="00DF6D8D">
        <w:rPr>
          <w:color w:val="000000"/>
        </w:rPr>
        <w:tab/>
        <w:t xml:space="preserve">the principal Louisiana business physical address; </w:t>
      </w:r>
    </w:p>
    <w:p w14:paraId="6890775E" w14:textId="77777777" w:rsidR="00CD0355" w:rsidRPr="00DF6D8D" w:rsidRDefault="00CD0355" w:rsidP="00CD0355">
      <w:pPr>
        <w:pStyle w:val="a0"/>
        <w:rPr>
          <w:color w:val="000000"/>
        </w:rPr>
      </w:pPr>
      <w:r w:rsidRPr="00DF6D8D">
        <w:rPr>
          <w:color w:val="000000"/>
        </w:rPr>
        <w:t>c.</w:t>
      </w:r>
      <w:r w:rsidRPr="00DF6D8D">
        <w:rPr>
          <w:color w:val="000000"/>
        </w:rPr>
        <w:tab/>
        <w:t xml:space="preserve">the full name, title and email address of the individual applying for the license; </w:t>
      </w:r>
    </w:p>
    <w:p w14:paraId="0940346F" w14:textId="77777777" w:rsidR="000B299E" w:rsidRPr="001E5B02" w:rsidRDefault="00CD0355" w:rsidP="000B299E">
      <w:pPr>
        <w:pStyle w:val="a0"/>
        <w:rPr>
          <w:strike/>
          <w:color w:val="000000"/>
        </w:rPr>
      </w:pPr>
      <w:r w:rsidRPr="00DF6D8D">
        <w:rPr>
          <w:color w:val="000000"/>
        </w:rPr>
        <w:t>d.</w:t>
      </w:r>
      <w:r w:rsidRPr="00DF6D8D">
        <w:rPr>
          <w:color w:val="000000"/>
        </w:rPr>
        <w:tab/>
      </w:r>
      <w:r w:rsidR="000B299E" w:rsidRPr="001E5B02">
        <w:rPr>
          <w:color w:val="000000"/>
        </w:rPr>
        <w:t xml:space="preserve">the full name, title, and email address of the designated responsible party; </w:t>
      </w:r>
    </w:p>
    <w:p w14:paraId="7F282D49" w14:textId="77777777" w:rsidR="000B299E" w:rsidRPr="001E5B02" w:rsidRDefault="000B299E" w:rsidP="000B299E">
      <w:pPr>
        <w:pStyle w:val="a0"/>
        <w:rPr>
          <w:color w:val="000000"/>
        </w:rPr>
      </w:pPr>
      <w:r w:rsidRPr="00E70D00">
        <w:rPr>
          <w:color w:val="000000"/>
        </w:rPr>
        <w:t>e.</w:t>
      </w:r>
      <w:r w:rsidRPr="00E70D00">
        <w:rPr>
          <w:color w:val="000000"/>
        </w:rPr>
        <w:tab/>
        <w:t>the full name and mailing address of the registered agent; and</w:t>
      </w:r>
    </w:p>
    <w:p w14:paraId="435E34BE" w14:textId="77777777" w:rsidR="000B299E" w:rsidRPr="001E5B02" w:rsidRDefault="000B299E" w:rsidP="000B299E">
      <w:pPr>
        <w:pStyle w:val="a0"/>
        <w:rPr>
          <w:color w:val="000000"/>
        </w:rPr>
      </w:pPr>
      <w:r w:rsidRPr="001E5B02">
        <w:rPr>
          <w:color w:val="000000"/>
        </w:rPr>
        <w:t>f.</w:t>
      </w:r>
      <w:r w:rsidRPr="001E5B02">
        <w:rPr>
          <w:color w:val="000000"/>
        </w:rPr>
        <w:tab/>
        <w:t>the employer identification number.</w:t>
      </w:r>
    </w:p>
    <w:p w14:paraId="101A342B" w14:textId="77777777" w:rsidR="00CD0355" w:rsidRPr="00DF6D8D" w:rsidRDefault="000B299E" w:rsidP="000B299E">
      <w:pPr>
        <w:pStyle w:val="a0"/>
        <w:rPr>
          <w:color w:val="000000"/>
        </w:rPr>
      </w:pPr>
      <w:r w:rsidRPr="001E5B02">
        <w:rPr>
          <w:color w:val="000000"/>
        </w:rPr>
        <w:t>3.</w:t>
      </w:r>
      <w:r w:rsidRPr="001E5B02">
        <w:rPr>
          <w:color w:val="000000"/>
        </w:rPr>
        <w:tab/>
        <w:t>detailed maps, legal description, physical address, location ID, and GPS coordinates for each building or site where industrial hemp will be cleaned, packaged, handled, or stored.</w:t>
      </w:r>
    </w:p>
    <w:p w14:paraId="5850129D"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14:paraId="12E6E555"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000B299E" w:rsidRPr="000B299E">
        <w:rPr>
          <w:color w:val="000000"/>
        </w:rPr>
        <w:t>, amended LR 47:1835 (December 2021).</w:t>
      </w:r>
    </w:p>
    <w:p w14:paraId="3EF8AE9E" w14:textId="77777777" w:rsidR="00CD0355" w:rsidRDefault="00CD0355" w:rsidP="00CD0355">
      <w:pPr>
        <w:pStyle w:val="Section"/>
      </w:pPr>
      <w:bookmarkStart w:id="1289" w:name="_Toc224818868"/>
      <w:r>
        <w:t>§1315.</w:t>
      </w:r>
      <w:r>
        <w:tab/>
        <w:t>Criminal Background Check</w:t>
      </w:r>
      <w:bookmarkEnd w:id="1289"/>
    </w:p>
    <w:p w14:paraId="654FBAD6" w14:textId="77777777" w:rsidR="00CD0355" w:rsidRPr="00DF6D8D" w:rsidRDefault="00CD0355" w:rsidP="00CD0355">
      <w:pPr>
        <w:pStyle w:val="LACNote"/>
        <w:ind w:left="270" w:right="396" w:firstLine="0"/>
      </w:pPr>
      <w:r w:rsidRPr="00ED39C4">
        <w:rPr>
          <w:caps/>
        </w:rPr>
        <w:t>NOTE:</w:t>
      </w:r>
      <w:r w:rsidRPr="00DF6D8D">
        <w:t xml:space="preserve"> See §1305.H.1-2 for criminal conviction pro</w:t>
      </w:r>
      <w:r>
        <w:t>hibitions regarding licensure</w:t>
      </w:r>
    </w:p>
    <w:p w14:paraId="3EBFA2F9" w14:textId="77777777" w:rsidR="009E3E23" w:rsidRPr="002D7DAE" w:rsidRDefault="00CD0355" w:rsidP="009E3E23">
      <w:pPr>
        <w:pStyle w:val="A"/>
      </w:pPr>
      <w:r w:rsidRPr="00DF6D8D">
        <w:rPr>
          <w:color w:val="000000"/>
        </w:rPr>
        <w:t>A.</w:t>
      </w:r>
      <w:r w:rsidRPr="00DF6D8D">
        <w:rPr>
          <w:color w:val="000000"/>
        </w:rPr>
        <w:tab/>
      </w:r>
      <w:r w:rsidR="009E3E23" w:rsidRPr="002D7DAE">
        <w:t xml:space="preserve">The applicant for each seed producer, grower, processor, or handler license shall undergo and pay for a criminal background check in accordance with La. R.S. 3:1465(D). </w:t>
      </w:r>
    </w:p>
    <w:p w14:paraId="58DBEE44" w14:textId="77777777" w:rsidR="009E3E23" w:rsidRPr="002D7DAE" w:rsidRDefault="009E3E23" w:rsidP="009E3E23">
      <w:pPr>
        <w:pStyle w:val="A"/>
      </w:pPr>
      <w:r w:rsidRPr="002D7DAE">
        <w:t>B.</w:t>
      </w:r>
      <w:r w:rsidRPr="002D7DAE">
        <w:tab/>
        <w:t xml:space="preserve">If the applicant is a business entity, the individual applying for a license, and the designated responsible party shall undergo and pay for a criminal background check. </w:t>
      </w:r>
    </w:p>
    <w:p w14:paraId="08508F4F" w14:textId="77777777" w:rsidR="009E3E23" w:rsidRPr="002D7DAE" w:rsidRDefault="009E3E23" w:rsidP="009E3E23">
      <w:pPr>
        <w:pStyle w:val="A"/>
      </w:pPr>
      <w:r w:rsidRPr="002D7DAE">
        <w:t>C.</w:t>
      </w:r>
      <w:r w:rsidRPr="002D7DAE">
        <w:tab/>
        <w:t xml:space="preserve">Each individual who is required to undergo and submit a criminal background check shall: </w:t>
      </w:r>
    </w:p>
    <w:p w14:paraId="15966CB2" w14:textId="77777777" w:rsidR="00CD0355" w:rsidRPr="00DF6D8D" w:rsidRDefault="009E3E23" w:rsidP="009E3E23">
      <w:pPr>
        <w:pStyle w:val="1"/>
        <w:rPr>
          <w:color w:val="000000"/>
        </w:rPr>
      </w:pPr>
      <w:r w:rsidRPr="002D7DAE">
        <w:t>1.</w:t>
      </w:r>
      <w:r w:rsidRPr="002D7DAE">
        <w:tab/>
        <w:t>submit a criminal background check application to the Louisiana State Police as set forth in R.S. 3:1465(D);</w:t>
      </w:r>
    </w:p>
    <w:p w14:paraId="46D49579" w14:textId="77777777" w:rsidR="00CD0355" w:rsidRPr="00DF6D8D" w:rsidRDefault="00CD0355" w:rsidP="00CD0355">
      <w:pPr>
        <w:pStyle w:val="1"/>
        <w:rPr>
          <w:color w:val="000000"/>
        </w:rPr>
      </w:pPr>
      <w:r w:rsidRPr="00DF6D8D">
        <w:rPr>
          <w:color w:val="000000"/>
        </w:rPr>
        <w:t>2.</w:t>
      </w:r>
      <w:r w:rsidRPr="00DF6D8D">
        <w:rPr>
          <w:color w:val="000000"/>
        </w:rPr>
        <w:tab/>
      </w:r>
      <w:r>
        <w:rPr>
          <w:color w:val="000000"/>
        </w:rPr>
        <w:t>s</w:t>
      </w:r>
      <w:r w:rsidRPr="00B80D25">
        <w:t>ubmit payment for the background check fee directly to the Louisiana State Police, Bureau of Criminal Identification and Information as set forth in R.S. 3:1465(D); and</w:t>
      </w:r>
    </w:p>
    <w:p w14:paraId="64770E42" w14:textId="77777777" w:rsidR="00CD0355" w:rsidRPr="00DF6D8D" w:rsidRDefault="00CD0355" w:rsidP="00CD0355">
      <w:pPr>
        <w:pStyle w:val="1"/>
        <w:rPr>
          <w:color w:val="000000"/>
        </w:rPr>
      </w:pPr>
      <w:r w:rsidRPr="00DF6D8D">
        <w:rPr>
          <w:color w:val="000000"/>
        </w:rPr>
        <w:t>3.</w:t>
      </w:r>
      <w:r w:rsidRPr="00DF6D8D">
        <w:rPr>
          <w:color w:val="000000"/>
        </w:rPr>
        <w:tab/>
        <w:t xml:space="preserve">include a certified copy of the background check reports with the industrial hemp license application or the applicant may authorize Louisiana State Police to deliver the completed criminal background check directly to LDAF. </w:t>
      </w:r>
    </w:p>
    <w:p w14:paraId="466AE8DF" w14:textId="77777777" w:rsidR="00CD0355" w:rsidRPr="00DF6D8D" w:rsidRDefault="00CD0355" w:rsidP="00CD0355">
      <w:pPr>
        <w:pStyle w:val="A"/>
        <w:rPr>
          <w:color w:val="000000"/>
        </w:rPr>
      </w:pPr>
      <w:r w:rsidRPr="00DF6D8D">
        <w:rPr>
          <w:color w:val="000000"/>
        </w:rPr>
        <w:t>D.</w:t>
      </w:r>
      <w:r w:rsidRPr="00DF6D8D">
        <w:rPr>
          <w:color w:val="000000"/>
        </w:rPr>
        <w:tab/>
        <w:t>LDAF shall not accept a criminal background check report that was issued more than 60 days prior to submission of the application.</w:t>
      </w:r>
    </w:p>
    <w:p w14:paraId="0E748643" w14:textId="77777777" w:rsidR="00CD0355" w:rsidRPr="00DF6D8D" w:rsidRDefault="00CD0355" w:rsidP="00CD0355">
      <w:pPr>
        <w:pStyle w:val="A"/>
        <w:rPr>
          <w:color w:val="000000"/>
        </w:rPr>
      </w:pPr>
      <w:r w:rsidRPr="00DF6D8D">
        <w:rPr>
          <w:color w:val="000000"/>
        </w:rPr>
        <w:t>E.</w:t>
      </w:r>
      <w:r w:rsidRPr="00DF6D8D">
        <w:rPr>
          <w:color w:val="000000"/>
        </w:rPr>
        <w:tab/>
      </w:r>
      <w:r w:rsidRPr="00B80D25">
        <w:t>Failure to submit the criminal background check report may result in the denial of the license application.</w:t>
      </w:r>
    </w:p>
    <w:p w14:paraId="274F6440" w14:textId="77777777" w:rsidR="00CD0355" w:rsidRDefault="00CD0355" w:rsidP="00CD0355">
      <w:pPr>
        <w:pStyle w:val="A"/>
        <w:rPr>
          <w:color w:val="000000"/>
        </w:rPr>
      </w:pPr>
      <w:r w:rsidRPr="00DF6D8D">
        <w:rPr>
          <w:color w:val="000000"/>
        </w:rPr>
        <w:lastRenderedPageBreak/>
        <w:t>F.</w:t>
      </w:r>
      <w:r w:rsidRPr="00DF6D8D">
        <w:rPr>
          <w:color w:val="000000"/>
        </w:rPr>
        <w:tab/>
      </w:r>
      <w:r w:rsidR="000B299E" w:rsidRPr="001E5B02">
        <w:rPr>
          <w:color w:val="000000"/>
        </w:rPr>
        <w:t>Substitution of a designated responsible party shall require the submission of a current criminal background check report for the proposed substituted designated responsible party issued within the last 60 days. Licensee must obtain prior written approval from LDAF for the substitution of a designated responsible party.</w:t>
      </w:r>
    </w:p>
    <w:p w14:paraId="2BC5AFA9" w14:textId="77777777" w:rsidR="00CD0355" w:rsidRPr="00DF6D8D" w:rsidRDefault="00CD0355" w:rsidP="00CD0355">
      <w:pPr>
        <w:pStyle w:val="1"/>
        <w:rPr>
          <w:color w:val="000000"/>
        </w:rPr>
      </w:pPr>
      <w:r w:rsidRPr="00B80D25">
        <w:t>1.</w:t>
      </w:r>
      <w:r w:rsidRPr="00B80D25">
        <w:tab/>
        <w:t xml:space="preserve">An applicant or licensee whose application and/or license has been revoked or denied for failure to obtain a satisfactory criminal </w:t>
      </w:r>
      <w:r w:rsidRPr="00F05CB9">
        <w:rPr>
          <w:color w:val="000000"/>
        </w:rPr>
        <w:t>background</w:t>
      </w:r>
      <w:r w:rsidRPr="00B80D25">
        <w:t xml:space="preserve"> check as set forth in R.S. 3:1465(D) or failure to comply with a written order from an LDAF agent shall not be the designated responsible party for another licensee for a period of three years.</w:t>
      </w:r>
    </w:p>
    <w:p w14:paraId="59F0BA03"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3:1465.</w:t>
      </w:r>
    </w:p>
    <w:p w14:paraId="031CFA35" w14:textId="77777777" w:rsidR="00CD0355" w:rsidRDefault="00CD0355" w:rsidP="00CD0355">
      <w:pPr>
        <w:pStyle w:val="HistoricalNote"/>
      </w:pPr>
      <w:r w:rsidRPr="00DF6D8D">
        <w:t>HISTORICAL NOTE:</w:t>
      </w:r>
      <w:r w:rsidRPr="00DF6D8D">
        <w:tab/>
        <w:t>Promulgated by the Department of Agriculture and Forestry, Office of Agricultural and Environmental Sciences, Agricultural Chemistry and Seed Commission, LR 46:</w:t>
      </w:r>
      <w:r>
        <w:t>173</w:t>
      </w:r>
      <w:r w:rsidRPr="00DF6D8D">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r w:rsidR="009E3E23" w:rsidRPr="002D7DAE">
        <w:t xml:space="preserve">), </w:t>
      </w:r>
      <w:r w:rsidR="009E3E23">
        <w:t>LR 48:1743 (July 2022).</w:t>
      </w:r>
    </w:p>
    <w:p w14:paraId="09B77310" w14:textId="77777777" w:rsidR="00CD0355" w:rsidRPr="00DF6D8D" w:rsidRDefault="00CD0355" w:rsidP="00CD0355">
      <w:pPr>
        <w:pStyle w:val="Chapter"/>
        <w:rPr>
          <w:color w:val="000000"/>
        </w:rPr>
      </w:pPr>
      <w:bookmarkStart w:id="1290" w:name="_Toc224818869"/>
      <w:r w:rsidRPr="00DF6D8D">
        <w:rPr>
          <w:color w:val="000000"/>
        </w:rPr>
        <w:t>Subchapter C.</w:t>
      </w:r>
      <w:r w:rsidRPr="00DF6D8D">
        <w:rPr>
          <w:color w:val="000000"/>
        </w:rPr>
        <w:tab/>
        <w:t>Fees</w:t>
      </w:r>
      <w:bookmarkEnd w:id="1290"/>
    </w:p>
    <w:p w14:paraId="5DC5DBF1" w14:textId="77777777" w:rsidR="00CD0355" w:rsidRPr="00DF6D8D" w:rsidRDefault="00CD0355" w:rsidP="00CD0355">
      <w:pPr>
        <w:pStyle w:val="Section"/>
        <w:rPr>
          <w:color w:val="000000"/>
        </w:rPr>
      </w:pPr>
      <w:bookmarkStart w:id="1291" w:name="_Toc224818870"/>
      <w:r w:rsidRPr="00DF6D8D">
        <w:rPr>
          <w:color w:val="000000"/>
        </w:rPr>
        <w:t>§1317.</w:t>
      </w:r>
      <w:r w:rsidRPr="00DF6D8D">
        <w:rPr>
          <w:color w:val="000000"/>
        </w:rPr>
        <w:tab/>
        <w:t>Licensing and Testing Fees</w:t>
      </w:r>
      <w:bookmarkEnd w:id="1291"/>
    </w:p>
    <w:p w14:paraId="0A93A70E" w14:textId="77777777" w:rsidR="00CD0355" w:rsidRPr="00DF6D8D" w:rsidRDefault="00CD0355" w:rsidP="00CD0355">
      <w:pPr>
        <w:pStyle w:val="A"/>
        <w:rPr>
          <w:color w:val="000000"/>
        </w:rPr>
      </w:pPr>
      <w:r w:rsidRPr="00DF6D8D">
        <w:rPr>
          <w:color w:val="000000"/>
        </w:rPr>
        <w:t>A.</w:t>
      </w:r>
      <w:r w:rsidRPr="00DF6D8D">
        <w:rPr>
          <w:color w:val="000000"/>
        </w:rPr>
        <w:tab/>
        <w:t xml:space="preserve">License Fees </w:t>
      </w:r>
    </w:p>
    <w:p w14:paraId="5D7C679A" w14:textId="77777777" w:rsidR="00CD0355" w:rsidRPr="00DF6D8D" w:rsidRDefault="00CD0355" w:rsidP="00CD0355">
      <w:pPr>
        <w:pStyle w:val="1"/>
        <w:rPr>
          <w:color w:val="000000"/>
        </w:rPr>
      </w:pPr>
      <w:r w:rsidRPr="00DF6D8D">
        <w:rPr>
          <w:color w:val="000000"/>
        </w:rPr>
        <w:t>1.</w:t>
      </w:r>
      <w:r w:rsidRPr="00DF6D8D">
        <w:rPr>
          <w:color w:val="000000"/>
        </w:rPr>
        <w:tab/>
      </w:r>
      <w:r w:rsidR="000B299E" w:rsidRPr="001E5B02">
        <w:rPr>
          <w:color w:val="000000"/>
        </w:rPr>
        <w:t>The annual fee for a seed producer, grower, processor, and handler license shall be $500 each.</w:t>
      </w:r>
    </w:p>
    <w:p w14:paraId="089F5C89" w14:textId="77777777" w:rsidR="00CD0355" w:rsidRPr="00DF6D8D" w:rsidRDefault="00CD0355" w:rsidP="00CD0355">
      <w:pPr>
        <w:pStyle w:val="1"/>
        <w:rPr>
          <w:color w:val="000000"/>
        </w:rPr>
      </w:pPr>
      <w:r w:rsidRPr="00DF6D8D">
        <w:rPr>
          <w:color w:val="000000"/>
        </w:rPr>
        <w:t>2.</w:t>
      </w:r>
      <w:r w:rsidRPr="00DF6D8D">
        <w:rPr>
          <w:color w:val="000000"/>
        </w:rPr>
        <w:tab/>
        <w:t xml:space="preserve">New license fees are due upon notification of application approval. No license shall be issued until payment of the license fee is received by LDAF. </w:t>
      </w:r>
    </w:p>
    <w:p w14:paraId="64ADA239" w14:textId="77777777" w:rsidR="00CD0355" w:rsidRPr="00DF6D8D" w:rsidRDefault="00CD0355" w:rsidP="00CD0355">
      <w:pPr>
        <w:pStyle w:val="1"/>
        <w:rPr>
          <w:color w:val="000000"/>
        </w:rPr>
      </w:pPr>
      <w:r w:rsidRPr="00DF6D8D">
        <w:rPr>
          <w:color w:val="000000"/>
        </w:rPr>
        <w:t>3.</w:t>
      </w:r>
      <w:r w:rsidRPr="00DF6D8D">
        <w:rPr>
          <w:color w:val="000000"/>
        </w:rPr>
        <w:tab/>
      </w:r>
      <w:r w:rsidRPr="00B80D25">
        <w:t>No license shall be issued until payment of the license fee is received by LDAF.</w:t>
      </w:r>
    </w:p>
    <w:p w14:paraId="74355638" w14:textId="77777777" w:rsidR="00CD0355" w:rsidRPr="00DF6D8D" w:rsidRDefault="00CD0355" w:rsidP="00CD0355">
      <w:pPr>
        <w:pStyle w:val="A"/>
        <w:rPr>
          <w:color w:val="000000"/>
        </w:rPr>
      </w:pPr>
      <w:r w:rsidRPr="00DF6D8D">
        <w:rPr>
          <w:color w:val="000000"/>
        </w:rPr>
        <w:t>B.</w:t>
      </w:r>
      <w:r w:rsidRPr="00DF6D8D">
        <w:rPr>
          <w:color w:val="000000"/>
        </w:rPr>
        <w:tab/>
        <w:t>Sample Testing Fees</w:t>
      </w:r>
    </w:p>
    <w:p w14:paraId="3D39A9AA" w14:textId="77777777" w:rsidR="00CD0355" w:rsidRPr="00DF6D8D" w:rsidRDefault="00CD0355" w:rsidP="00CD0355">
      <w:pPr>
        <w:pStyle w:val="1"/>
        <w:rPr>
          <w:color w:val="000000"/>
        </w:rPr>
      </w:pPr>
      <w:r w:rsidRPr="00DF6D8D">
        <w:rPr>
          <w:color w:val="000000"/>
        </w:rPr>
        <w:t>1.</w:t>
      </w:r>
      <w:r w:rsidRPr="00DF6D8D">
        <w:rPr>
          <w:color w:val="000000"/>
        </w:rPr>
        <w:tab/>
        <w:t>THC testing of industrial hemp plant parts shall be $250 per sample.</w:t>
      </w:r>
    </w:p>
    <w:p w14:paraId="682EBA65" w14:textId="77777777" w:rsidR="00CD0355" w:rsidRPr="00DF6D8D" w:rsidRDefault="00CD0355" w:rsidP="00CD0355">
      <w:pPr>
        <w:pStyle w:val="1"/>
        <w:rPr>
          <w:color w:val="000000"/>
        </w:rPr>
      </w:pPr>
      <w:r w:rsidRPr="00DF6D8D">
        <w:rPr>
          <w:color w:val="000000"/>
        </w:rPr>
        <w:t>2.</w:t>
      </w:r>
      <w:r w:rsidRPr="00DF6D8D">
        <w:rPr>
          <w:color w:val="000000"/>
        </w:rPr>
        <w:tab/>
        <w:t>THC testing fees are due at the time of sample collection.</w:t>
      </w:r>
    </w:p>
    <w:p w14:paraId="63B19426" w14:textId="77777777" w:rsidR="00CD0355" w:rsidRPr="00DF6D8D" w:rsidRDefault="00CD0355" w:rsidP="00CD0355">
      <w:pPr>
        <w:pStyle w:val="1"/>
        <w:rPr>
          <w:color w:val="000000"/>
        </w:rPr>
      </w:pPr>
      <w:r w:rsidRPr="00DF6D8D">
        <w:rPr>
          <w:color w:val="000000"/>
        </w:rPr>
        <w:t>3.</w:t>
      </w:r>
      <w:r w:rsidRPr="00DF6D8D">
        <w:rPr>
          <w:color w:val="000000"/>
        </w:rPr>
        <w:tab/>
        <w:t xml:space="preserve">Requests for alternative payment arrangements for fees must be pre-approved by LDAF. </w:t>
      </w:r>
    </w:p>
    <w:p w14:paraId="2E8D5F61" w14:textId="77777777"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and R.S. 3:1467. </w:t>
      </w:r>
    </w:p>
    <w:p w14:paraId="0090E376"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173</w:t>
      </w:r>
      <w:r w:rsidRPr="00DF6D8D">
        <w:rPr>
          <w:color w:val="000000"/>
        </w:rPr>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p>
    <w:p w14:paraId="5172C377" w14:textId="77777777" w:rsidR="00CD0355" w:rsidRPr="00DF6D8D" w:rsidRDefault="00CD0355" w:rsidP="00CD0355">
      <w:pPr>
        <w:pStyle w:val="Chapter"/>
        <w:rPr>
          <w:color w:val="000000"/>
        </w:rPr>
      </w:pPr>
      <w:bookmarkStart w:id="1292" w:name="_Toc224818871"/>
      <w:r w:rsidRPr="00DF6D8D">
        <w:rPr>
          <w:color w:val="000000"/>
        </w:rPr>
        <w:t>Subchapter D.</w:t>
      </w:r>
      <w:r w:rsidRPr="00DF6D8D">
        <w:rPr>
          <w:color w:val="000000"/>
        </w:rPr>
        <w:tab/>
        <w:t>Seed Producers and Growers</w:t>
      </w:r>
      <w:bookmarkEnd w:id="1292"/>
    </w:p>
    <w:p w14:paraId="3AC17C68" w14:textId="77777777" w:rsidR="00CD0355" w:rsidRPr="00DF6D8D" w:rsidRDefault="00CD0355" w:rsidP="00CD0355">
      <w:pPr>
        <w:pStyle w:val="Section"/>
        <w:rPr>
          <w:color w:val="000000"/>
        </w:rPr>
      </w:pPr>
      <w:bookmarkStart w:id="1293" w:name="_Toc224818872"/>
      <w:r w:rsidRPr="00DF6D8D">
        <w:rPr>
          <w:color w:val="000000"/>
        </w:rPr>
        <w:t>§1319.</w:t>
      </w:r>
      <w:r w:rsidRPr="00DF6D8D">
        <w:rPr>
          <w:color w:val="000000"/>
        </w:rPr>
        <w:tab/>
        <w:t>Requirements for Seed Producers and Growers</w:t>
      </w:r>
      <w:bookmarkEnd w:id="1293"/>
    </w:p>
    <w:p w14:paraId="2BCE6E5C" w14:textId="77777777" w:rsidR="00CD0355" w:rsidRPr="00DF6D8D" w:rsidRDefault="00CD0355" w:rsidP="00CD0355">
      <w:pPr>
        <w:pStyle w:val="A"/>
        <w:rPr>
          <w:color w:val="000000"/>
        </w:rPr>
      </w:pPr>
      <w:r w:rsidRPr="00DF6D8D">
        <w:rPr>
          <w:color w:val="000000"/>
        </w:rPr>
        <w:t>A.</w:t>
      </w:r>
      <w:r w:rsidRPr="00DF6D8D">
        <w:rPr>
          <w:color w:val="000000"/>
        </w:rPr>
        <w:tab/>
        <w:t>Licensed seed producers and growers shall post a sign at each field, greenhouse, or indoor growing structure. The sign shall comply with the following requirements and remain posted during the entire crop cycle:</w:t>
      </w:r>
    </w:p>
    <w:p w14:paraId="296C8B53" w14:textId="77777777" w:rsidR="00CD0355" w:rsidRPr="00DF6D8D" w:rsidRDefault="00CD0355" w:rsidP="00CD0355">
      <w:pPr>
        <w:pStyle w:val="1"/>
        <w:rPr>
          <w:color w:val="000000"/>
        </w:rPr>
      </w:pPr>
      <w:r w:rsidRPr="00DF6D8D">
        <w:rPr>
          <w:color w:val="000000"/>
        </w:rPr>
        <w:t>1.</w:t>
      </w:r>
      <w:r w:rsidRPr="00DF6D8D">
        <w:rPr>
          <w:color w:val="000000"/>
        </w:rPr>
        <w:tab/>
        <w:t xml:space="preserve">the designation, “Louisiana Industrial Hemp Program”; </w:t>
      </w:r>
    </w:p>
    <w:p w14:paraId="4429C911" w14:textId="77777777" w:rsidR="00CD0355" w:rsidRPr="00DF6D8D" w:rsidRDefault="00CD0355" w:rsidP="00CD0355">
      <w:pPr>
        <w:pStyle w:val="1"/>
        <w:rPr>
          <w:color w:val="000000"/>
        </w:rPr>
      </w:pPr>
      <w:r w:rsidRPr="00DF6D8D">
        <w:rPr>
          <w:color w:val="000000"/>
        </w:rPr>
        <w:t>2.</w:t>
      </w:r>
      <w:r w:rsidRPr="00DF6D8D">
        <w:rPr>
          <w:color w:val="000000"/>
        </w:rPr>
        <w:tab/>
        <w:t xml:space="preserve">industrial hemp license number; </w:t>
      </w:r>
    </w:p>
    <w:p w14:paraId="121369D2" w14:textId="77777777" w:rsidR="00CD0355" w:rsidRPr="00DF6D8D" w:rsidRDefault="00CD0355" w:rsidP="00CD0355">
      <w:pPr>
        <w:pStyle w:val="1"/>
        <w:rPr>
          <w:color w:val="000000"/>
        </w:rPr>
      </w:pPr>
      <w:r w:rsidRPr="00DF6D8D">
        <w:rPr>
          <w:color w:val="000000"/>
        </w:rPr>
        <w:t>3.</w:t>
      </w:r>
      <w:r w:rsidRPr="00DF6D8D">
        <w:rPr>
          <w:color w:val="000000"/>
        </w:rPr>
        <w:tab/>
        <w:t xml:space="preserve">LDAF industrial hemp program’s telephone number; </w:t>
      </w:r>
    </w:p>
    <w:p w14:paraId="0DCF4C33" w14:textId="77777777" w:rsidR="00CD0355" w:rsidRPr="00DF6D8D" w:rsidRDefault="00CD0355" w:rsidP="00CD0355">
      <w:pPr>
        <w:pStyle w:val="1"/>
        <w:rPr>
          <w:color w:val="000000"/>
        </w:rPr>
      </w:pPr>
      <w:r w:rsidRPr="00DF6D8D">
        <w:rPr>
          <w:color w:val="000000"/>
        </w:rPr>
        <w:t>4.</w:t>
      </w:r>
      <w:r w:rsidRPr="00DF6D8D">
        <w:rPr>
          <w:color w:val="000000"/>
        </w:rPr>
        <w:tab/>
        <w:t xml:space="preserve">minimum sign size shall be 18 inches by 24 inches for a field and 8.5 inches by 11 inches for a greenhouse or indoor growing structure; </w:t>
      </w:r>
    </w:p>
    <w:p w14:paraId="64AAE8C3" w14:textId="77777777" w:rsidR="00CD0355" w:rsidRPr="00DF6D8D" w:rsidRDefault="00CD0355" w:rsidP="00CD0355">
      <w:pPr>
        <w:pStyle w:val="1"/>
        <w:rPr>
          <w:color w:val="000000"/>
        </w:rPr>
      </w:pPr>
      <w:r w:rsidRPr="00DF6D8D">
        <w:rPr>
          <w:color w:val="000000"/>
        </w:rPr>
        <w:t>5.</w:t>
      </w:r>
      <w:r w:rsidRPr="00DF6D8D">
        <w:rPr>
          <w:color w:val="000000"/>
        </w:rPr>
        <w:tab/>
        <w:t xml:space="preserve">the sign shall be posted at the main entrance of each field, greenhouse, or indoor growing structure; and </w:t>
      </w:r>
    </w:p>
    <w:p w14:paraId="0BB06F70" w14:textId="77777777" w:rsidR="00CD0355" w:rsidRPr="00DF6D8D" w:rsidRDefault="00CD0355" w:rsidP="00CD0355">
      <w:pPr>
        <w:pStyle w:val="1"/>
        <w:rPr>
          <w:color w:val="000000"/>
        </w:rPr>
      </w:pPr>
      <w:r w:rsidRPr="00DF6D8D">
        <w:rPr>
          <w:color w:val="000000"/>
        </w:rPr>
        <w:t>6.</w:t>
      </w:r>
      <w:r w:rsidRPr="00DF6D8D">
        <w:rPr>
          <w:color w:val="000000"/>
        </w:rPr>
        <w:tab/>
        <w:t>the sign shall be printed and conform to the design template pro</w:t>
      </w:r>
      <w:r>
        <w:rPr>
          <w:color w:val="000000"/>
        </w:rPr>
        <w:t>vided to each licensee by LDAF.</w:t>
      </w:r>
    </w:p>
    <w:p w14:paraId="0AAFD310" w14:textId="77777777" w:rsidR="000B299E" w:rsidRPr="001E5B02" w:rsidRDefault="00CD0355" w:rsidP="000B299E">
      <w:pPr>
        <w:pStyle w:val="A"/>
        <w:rPr>
          <w:color w:val="000000"/>
        </w:rPr>
      </w:pPr>
      <w:r w:rsidRPr="00DF6D8D">
        <w:rPr>
          <w:color w:val="000000"/>
        </w:rPr>
        <w:t>B.</w:t>
      </w:r>
      <w:r w:rsidRPr="00DF6D8D">
        <w:rPr>
          <w:color w:val="000000"/>
        </w:rPr>
        <w:tab/>
      </w:r>
      <w:r w:rsidR="000B299E" w:rsidRPr="001E5B02">
        <w:rPr>
          <w:color w:val="000000"/>
        </w:rPr>
        <w:t xml:space="preserve">LDAF may sample and test any industrial hemp material in a licensee’s possession at any time if there is reason to believe that a violation of this Chapter has occurred. </w:t>
      </w:r>
    </w:p>
    <w:p w14:paraId="1640C935" w14:textId="77777777" w:rsidR="000B299E" w:rsidRPr="001E5B02" w:rsidRDefault="000B299E" w:rsidP="000B299E">
      <w:pPr>
        <w:pStyle w:val="A"/>
        <w:rPr>
          <w:color w:val="000000"/>
        </w:rPr>
      </w:pPr>
      <w:r w:rsidRPr="001E5B02">
        <w:rPr>
          <w:color w:val="000000"/>
        </w:rPr>
        <w:t>C.</w:t>
      </w:r>
      <w:r w:rsidRPr="001E5B02">
        <w:rPr>
          <w:color w:val="000000"/>
        </w:rPr>
        <w:tab/>
        <w:t>A licensee shall submit in writing a completed Harvest or Destruction report to LDAF within 15 days of the intended harvest date or intended destruction date of a failed crop.</w:t>
      </w:r>
    </w:p>
    <w:p w14:paraId="4E73B92A" w14:textId="77777777" w:rsidR="000B299E" w:rsidRPr="001E5B02" w:rsidRDefault="000B299E" w:rsidP="000B299E">
      <w:pPr>
        <w:pStyle w:val="A"/>
        <w:rPr>
          <w:color w:val="000000"/>
        </w:rPr>
      </w:pPr>
      <w:r w:rsidRPr="001E5B02">
        <w:rPr>
          <w:color w:val="000000"/>
        </w:rPr>
        <w:t>D.</w:t>
      </w:r>
      <w:r w:rsidRPr="001E5B02">
        <w:rPr>
          <w:color w:val="000000"/>
        </w:rPr>
        <w:tab/>
        <w:t>Planting Reports</w:t>
      </w:r>
    </w:p>
    <w:p w14:paraId="489361F7" w14:textId="77777777" w:rsidR="000B299E" w:rsidRPr="001E5B02" w:rsidRDefault="000B299E" w:rsidP="000B299E">
      <w:pPr>
        <w:pStyle w:val="1"/>
        <w:rPr>
          <w:color w:val="000000"/>
        </w:rPr>
      </w:pPr>
      <w:r w:rsidRPr="001E5B02">
        <w:rPr>
          <w:color w:val="000000"/>
        </w:rPr>
        <w:t>1.</w:t>
      </w:r>
      <w:r w:rsidRPr="001E5B02">
        <w:rPr>
          <w:color w:val="000000"/>
        </w:rPr>
        <w:tab/>
        <w:t xml:space="preserve">Grower licensees shall submit a completed first report of planting on a form provided by LDAF for all hemp plantings within 15 days of planting; </w:t>
      </w:r>
    </w:p>
    <w:p w14:paraId="5922152C" w14:textId="77777777" w:rsidR="000B299E" w:rsidRPr="001E5B02" w:rsidRDefault="000B299E" w:rsidP="000B299E">
      <w:pPr>
        <w:pStyle w:val="1"/>
        <w:rPr>
          <w:color w:val="000000"/>
        </w:rPr>
      </w:pPr>
      <w:r w:rsidRPr="001E5B02">
        <w:rPr>
          <w:color w:val="000000"/>
        </w:rPr>
        <w:t>2.</w:t>
      </w:r>
      <w:r w:rsidRPr="001E5B02">
        <w:rPr>
          <w:color w:val="000000"/>
        </w:rPr>
        <w:tab/>
        <w:t xml:space="preserve">For all true seed production, seed producer licensees shall submit a completed first report of planting on a form provided by LDAF within 15 days of planting; and </w:t>
      </w:r>
    </w:p>
    <w:p w14:paraId="0B932E07" w14:textId="77777777" w:rsidR="000B299E" w:rsidRPr="001E5B02" w:rsidRDefault="000B299E" w:rsidP="000B299E">
      <w:pPr>
        <w:pStyle w:val="1"/>
        <w:rPr>
          <w:color w:val="000000"/>
        </w:rPr>
      </w:pPr>
      <w:r w:rsidRPr="001E5B02">
        <w:rPr>
          <w:color w:val="000000"/>
        </w:rPr>
        <w:t>3.</w:t>
      </w:r>
      <w:r w:rsidRPr="001E5B02">
        <w:rPr>
          <w:color w:val="000000"/>
        </w:rPr>
        <w:tab/>
        <w:t xml:space="preserve">For all vegetative stock plantings, seed producer licensees shall submit a completed quarterly planting report on a form provided by LDAF on or before March 31, June 30, September 30, and December 31 of each year. </w:t>
      </w:r>
    </w:p>
    <w:p w14:paraId="28596B61" w14:textId="77777777" w:rsidR="000B299E" w:rsidRPr="001E5B02" w:rsidRDefault="000B299E" w:rsidP="000B299E">
      <w:pPr>
        <w:pStyle w:val="A"/>
        <w:rPr>
          <w:color w:val="000000"/>
        </w:rPr>
      </w:pPr>
      <w:r w:rsidRPr="001E5B02">
        <w:rPr>
          <w:color w:val="000000"/>
        </w:rPr>
        <w:t>E.</w:t>
      </w:r>
      <w:r w:rsidRPr="001E5B02">
        <w:rPr>
          <w:color w:val="000000"/>
        </w:rPr>
        <w:tab/>
        <w:t>Representatives of LDAF shall be provided with complete and unrestricted access to all industrial hemp plants, whether growing or harvested, and all land, buildings, and other structures used for the cultivation, handling, and storage of all industrial hemp plants and all locations listed in the license application.</w:t>
      </w:r>
    </w:p>
    <w:p w14:paraId="097941DB" w14:textId="77777777" w:rsidR="000B299E" w:rsidRPr="001E5B02" w:rsidRDefault="000B299E" w:rsidP="000B299E">
      <w:pPr>
        <w:pStyle w:val="A"/>
        <w:rPr>
          <w:color w:val="000000"/>
        </w:rPr>
      </w:pPr>
      <w:r w:rsidRPr="001E5B02">
        <w:rPr>
          <w:color w:val="000000"/>
        </w:rPr>
        <w:t>F.</w:t>
      </w:r>
      <w:r w:rsidRPr="001E5B02">
        <w:rPr>
          <w:color w:val="000000"/>
        </w:rPr>
        <w:tab/>
        <w:t>An industrial hemp crop shall not be harvested more than 30 days following the date of sample collection by LDAF, unless specifically authorized in writing by LDAF.</w:t>
      </w:r>
    </w:p>
    <w:p w14:paraId="0BE02B54" w14:textId="77777777" w:rsidR="000B299E" w:rsidRPr="001E5B02" w:rsidRDefault="000B299E" w:rsidP="000B299E">
      <w:pPr>
        <w:pStyle w:val="A"/>
        <w:rPr>
          <w:color w:val="000000"/>
        </w:rPr>
      </w:pPr>
      <w:r w:rsidRPr="001E5B02">
        <w:rPr>
          <w:color w:val="000000"/>
        </w:rPr>
        <w:t>G.</w:t>
      </w:r>
      <w:r w:rsidRPr="001E5B02">
        <w:rPr>
          <w:color w:val="000000"/>
        </w:rPr>
        <w:tab/>
        <w:t xml:space="preserve">An industrial hemp crop planted or cultivated in a field, greenhouse, or indoor growing structure shall be planted or cultivated in a manner to allow LDAF to collect a representative sample throughout the entire crop. If a crop is not planted or cultivated in such a manner that allows for the collection of a sample throughout the entire crop, then the grower shall make modifications to the crop to allow collection and sampling throughout the entire crop. </w:t>
      </w:r>
    </w:p>
    <w:p w14:paraId="31EAF4E8" w14:textId="77777777" w:rsidR="000B299E" w:rsidRPr="001E5B02" w:rsidRDefault="000B299E" w:rsidP="000B299E">
      <w:pPr>
        <w:pStyle w:val="A"/>
        <w:rPr>
          <w:color w:val="000000"/>
        </w:rPr>
      </w:pPr>
      <w:r w:rsidRPr="001E5B02">
        <w:rPr>
          <w:color w:val="000000"/>
        </w:rPr>
        <w:t>H.</w:t>
      </w:r>
      <w:r w:rsidRPr="001E5B02">
        <w:rPr>
          <w:color w:val="000000"/>
        </w:rPr>
        <w:tab/>
        <w:t xml:space="preserve">A licensee shall destroy any unharvested industrial hemp plants contained in a field, greenhouse, or indoor growing structure or any portion thereof resulting from crop failure or that licensee’s failure to harvest for any reason. LDAF shall approve the written destruction method of the unharvested industrial hemp plants. </w:t>
      </w:r>
    </w:p>
    <w:p w14:paraId="1DC23563" w14:textId="77777777" w:rsidR="000B299E" w:rsidRPr="001E5B02" w:rsidRDefault="000B299E" w:rsidP="000B299E">
      <w:pPr>
        <w:pStyle w:val="A"/>
        <w:rPr>
          <w:color w:val="000000"/>
        </w:rPr>
      </w:pPr>
      <w:r w:rsidRPr="001E5B02">
        <w:rPr>
          <w:color w:val="000000"/>
        </w:rPr>
        <w:t>I.</w:t>
      </w:r>
      <w:r w:rsidRPr="001E5B02">
        <w:rPr>
          <w:color w:val="000000"/>
        </w:rPr>
        <w:tab/>
        <w:t>A licensee shall monitor and destroy volunteer industrial hemp plants from the licensee’s cultivation for a period of three years after cultivation ends.</w:t>
      </w:r>
    </w:p>
    <w:p w14:paraId="3E86C6EB" w14:textId="77777777" w:rsidR="000B299E" w:rsidRPr="001E5B02" w:rsidRDefault="000B299E" w:rsidP="000B299E">
      <w:pPr>
        <w:pStyle w:val="A"/>
        <w:rPr>
          <w:color w:val="000000"/>
        </w:rPr>
      </w:pPr>
      <w:r w:rsidRPr="001E5B02">
        <w:rPr>
          <w:color w:val="000000"/>
        </w:rPr>
        <w:lastRenderedPageBreak/>
        <w:t>J.</w:t>
      </w:r>
      <w:r w:rsidRPr="001E5B02">
        <w:rPr>
          <w:color w:val="000000"/>
        </w:rPr>
        <w:tab/>
        <w:t xml:space="preserve">A licensee who fails to timely submit a Harvest or Destruction Report or who harvests a crop prior to a sample being collected by LDAF may be subject to crop destruction and regulatory action up to and including license revocation. </w:t>
      </w:r>
    </w:p>
    <w:p w14:paraId="538A08CD" w14:textId="77777777" w:rsidR="000B299E" w:rsidRPr="001E5B02" w:rsidRDefault="000B299E" w:rsidP="000B299E">
      <w:pPr>
        <w:pStyle w:val="A"/>
        <w:rPr>
          <w:color w:val="000000"/>
        </w:rPr>
      </w:pPr>
      <w:r w:rsidRPr="001E5B02">
        <w:rPr>
          <w:color w:val="000000"/>
        </w:rPr>
        <w:t>K.</w:t>
      </w:r>
      <w:r w:rsidRPr="001E5B02">
        <w:rPr>
          <w:color w:val="000000"/>
        </w:rPr>
        <w:tab/>
        <w:t>Licensed seed producers and growers shall report industrial hemp crop acreage or square footage to the USDA Farm Service Agency and shall provide, at a minimum, the following information:</w:t>
      </w:r>
    </w:p>
    <w:p w14:paraId="71807BBC" w14:textId="77777777" w:rsidR="000B299E" w:rsidRPr="001E5B02" w:rsidRDefault="000B299E" w:rsidP="000B299E">
      <w:pPr>
        <w:pStyle w:val="1"/>
        <w:rPr>
          <w:color w:val="000000"/>
        </w:rPr>
      </w:pPr>
      <w:r w:rsidRPr="001E5B02">
        <w:rPr>
          <w:color w:val="000000"/>
        </w:rPr>
        <w:t>1.</w:t>
      </w:r>
      <w:r w:rsidRPr="001E5B02">
        <w:rPr>
          <w:color w:val="000000"/>
        </w:rPr>
        <w:tab/>
        <w:t>street address and, to the extent practicable, GPS location for each field, greenhouse, or indoor growing structure where industrial hemp will be cultivated;</w:t>
      </w:r>
    </w:p>
    <w:p w14:paraId="6917BE46" w14:textId="77777777" w:rsidR="000B299E" w:rsidRPr="001E5B02" w:rsidRDefault="000B299E" w:rsidP="000B299E">
      <w:pPr>
        <w:pStyle w:val="1"/>
        <w:rPr>
          <w:color w:val="000000"/>
        </w:rPr>
      </w:pPr>
      <w:r w:rsidRPr="001E5B02">
        <w:rPr>
          <w:color w:val="000000"/>
        </w:rPr>
        <w:t>2.</w:t>
      </w:r>
      <w:r w:rsidRPr="001E5B02">
        <w:rPr>
          <w:color w:val="000000"/>
        </w:rPr>
        <w:tab/>
        <w:t>acreage or square footage for each field, greenhouse, or indoor growing structure dedicated to the cultivation of industrial hemp; and</w:t>
      </w:r>
    </w:p>
    <w:p w14:paraId="4EEB81AF" w14:textId="77777777" w:rsidR="00CD0355" w:rsidRDefault="000B299E" w:rsidP="002150B3">
      <w:pPr>
        <w:pStyle w:val="1"/>
      </w:pPr>
      <w:r w:rsidRPr="001E5B02">
        <w:t>3.</w:t>
      </w:r>
      <w:r w:rsidRPr="001E5B02">
        <w:tab/>
        <w:t>LDAF license number.</w:t>
      </w:r>
    </w:p>
    <w:p w14:paraId="3BDAF2E3" w14:textId="77777777" w:rsidR="009E3E23" w:rsidRPr="00DF6D8D" w:rsidRDefault="009E3E23" w:rsidP="009E3E23">
      <w:pPr>
        <w:pStyle w:val="A"/>
      </w:pPr>
      <w:r w:rsidRPr="002D7DAE">
        <w:t>L.</w:t>
      </w:r>
      <w:r w:rsidRPr="002D7DAE">
        <w:tab/>
        <w:t>Along with the required planting reports, grower and seed producer licensees shall provide LDAF with the corresponding Farm Service Agency FSA 578 form for each planting.</w:t>
      </w:r>
    </w:p>
    <w:p w14:paraId="59A4BFE9"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r>
        <w:rPr>
          <w:color w:val="000000"/>
        </w:rPr>
        <w:t>, R.S. 3:1467, and R.S. 3:1468.</w:t>
      </w:r>
    </w:p>
    <w:p w14:paraId="2063387F"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173</w:t>
      </w:r>
      <w:r w:rsidRPr="00DF6D8D">
        <w:rPr>
          <w:color w:val="000000"/>
        </w:rPr>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r w:rsidR="009E3E23" w:rsidRPr="002D7DAE">
        <w:t xml:space="preserve">), </w:t>
      </w:r>
      <w:r w:rsidR="009E3E23">
        <w:t>LR 48:1744 (July 2022).</w:t>
      </w:r>
    </w:p>
    <w:p w14:paraId="197B145D" w14:textId="77777777" w:rsidR="00CD0355" w:rsidRPr="00DF6D8D" w:rsidRDefault="00CD0355" w:rsidP="00CD0355">
      <w:pPr>
        <w:pStyle w:val="Section"/>
        <w:rPr>
          <w:color w:val="000000"/>
        </w:rPr>
      </w:pPr>
      <w:bookmarkStart w:id="1294" w:name="_Toc224818873"/>
      <w:r w:rsidRPr="00DF6D8D">
        <w:rPr>
          <w:color w:val="000000"/>
        </w:rPr>
        <w:t>§1321.</w:t>
      </w:r>
      <w:r w:rsidRPr="00DF6D8D">
        <w:rPr>
          <w:color w:val="000000"/>
        </w:rPr>
        <w:tab/>
        <w:t>Seed Acquisition and Approval</w:t>
      </w:r>
      <w:bookmarkEnd w:id="1294"/>
      <w:r w:rsidRPr="00DF6D8D">
        <w:rPr>
          <w:color w:val="000000"/>
        </w:rPr>
        <w:t xml:space="preserve"> </w:t>
      </w:r>
    </w:p>
    <w:p w14:paraId="21C8FE6A" w14:textId="77777777" w:rsidR="00CD0355" w:rsidRPr="00DF6D8D" w:rsidRDefault="00CD0355" w:rsidP="00CD0355">
      <w:pPr>
        <w:pStyle w:val="A"/>
        <w:rPr>
          <w:color w:val="000000"/>
        </w:rPr>
      </w:pPr>
      <w:r w:rsidRPr="00DF6D8D">
        <w:rPr>
          <w:color w:val="000000"/>
        </w:rPr>
        <w:t>A.</w:t>
      </w:r>
      <w:r w:rsidRPr="00DF6D8D">
        <w:rPr>
          <w:color w:val="000000"/>
        </w:rPr>
        <w:tab/>
        <w:t>No person shall acquire seeds from a source outside the U.S. or from a U.S. territory, tribal land or state other than Louisiana without first:</w:t>
      </w:r>
    </w:p>
    <w:p w14:paraId="36D4FF0D" w14:textId="77777777" w:rsidR="00CD0355" w:rsidRPr="00DF6D8D" w:rsidRDefault="00CD0355" w:rsidP="00CD0355">
      <w:pPr>
        <w:pStyle w:val="1"/>
        <w:rPr>
          <w:color w:val="000000"/>
        </w:rPr>
      </w:pPr>
      <w:r w:rsidRPr="00DF6D8D">
        <w:rPr>
          <w:color w:val="000000"/>
        </w:rPr>
        <w:t>1.</w:t>
      </w:r>
      <w:r w:rsidRPr="00DF6D8D">
        <w:rPr>
          <w:color w:val="000000"/>
        </w:rPr>
        <w:tab/>
        <w:t xml:space="preserve">submitting a completed seed acquisition request form and all required attachments to LDAF; and </w:t>
      </w:r>
    </w:p>
    <w:p w14:paraId="244967B2" w14:textId="77777777" w:rsidR="00CD0355" w:rsidRPr="00DF6D8D" w:rsidRDefault="00CD0355" w:rsidP="00CD0355">
      <w:pPr>
        <w:pStyle w:val="1"/>
        <w:rPr>
          <w:color w:val="000000"/>
        </w:rPr>
      </w:pPr>
      <w:r w:rsidRPr="00DF6D8D">
        <w:rPr>
          <w:color w:val="000000"/>
        </w:rPr>
        <w:t>2.</w:t>
      </w:r>
      <w:r w:rsidRPr="00DF6D8D">
        <w:rPr>
          <w:color w:val="000000"/>
        </w:rPr>
        <w:tab/>
        <w:t>obtaining written approval of the seed acquisition request form from LDAF.</w:t>
      </w:r>
    </w:p>
    <w:p w14:paraId="2F1BE691" w14:textId="77777777" w:rsidR="00CD0355" w:rsidRPr="00DF6D8D" w:rsidRDefault="00CD0355" w:rsidP="00CD0355">
      <w:pPr>
        <w:pStyle w:val="A"/>
        <w:rPr>
          <w:color w:val="000000"/>
        </w:rPr>
      </w:pPr>
      <w:r>
        <w:rPr>
          <w:color w:val="000000"/>
        </w:rPr>
        <w:t>B</w:t>
      </w:r>
      <w:r w:rsidRPr="00DF6D8D">
        <w:rPr>
          <w:color w:val="000000"/>
        </w:rPr>
        <w:t>.</w:t>
      </w:r>
      <w:r w:rsidRPr="00DF6D8D">
        <w:rPr>
          <w:color w:val="000000"/>
        </w:rPr>
        <w:tab/>
        <w:t>Industrial hemp seed offered for sale or distribution for planting purposes into or within Louisiana shall be one of the following:</w:t>
      </w:r>
    </w:p>
    <w:p w14:paraId="5C69066A" w14:textId="77777777" w:rsidR="00CD0355" w:rsidRPr="00DF6D8D" w:rsidRDefault="00CD0355" w:rsidP="00CD0355">
      <w:pPr>
        <w:pStyle w:val="1"/>
        <w:rPr>
          <w:color w:val="000000"/>
        </w:rPr>
      </w:pPr>
      <w:r w:rsidRPr="00DF6D8D">
        <w:rPr>
          <w:color w:val="000000"/>
        </w:rPr>
        <w:t>1.</w:t>
      </w:r>
      <w:r w:rsidRPr="00DF6D8D">
        <w:rPr>
          <w:color w:val="000000"/>
        </w:rPr>
        <w:tab/>
        <w:t xml:space="preserve">certified seed produced from industrial hemp plants that meet the criteria for breeder, foundation, registered, or certified classes as defined by the Official Seed Certification Standards in Louisiana or by another AOSCA member agency; or </w:t>
      </w:r>
    </w:p>
    <w:p w14:paraId="4428041F" w14:textId="77777777" w:rsidR="000B299E" w:rsidRPr="001E5B02" w:rsidRDefault="00CD0355" w:rsidP="000B299E">
      <w:pPr>
        <w:pStyle w:val="1"/>
        <w:rPr>
          <w:strike/>
          <w:color w:val="000000"/>
        </w:rPr>
      </w:pPr>
      <w:r w:rsidRPr="00DF6D8D">
        <w:rPr>
          <w:color w:val="000000"/>
        </w:rPr>
        <w:t>2.</w:t>
      </w:r>
      <w:r w:rsidRPr="00DF6D8D">
        <w:rPr>
          <w:color w:val="000000"/>
        </w:rPr>
        <w:tab/>
      </w:r>
      <w:r w:rsidR="000B299E" w:rsidRPr="001E5B02">
        <w:rPr>
          <w:color w:val="000000"/>
        </w:rPr>
        <w:t>seed originating from a Louisiana licensed seed producer or handler, or an out-of-state person authorized to produce hemp seed by the USDA or under an approved state plan pursuant to the Agriculture Improvement Act of 2018, P.L. 115-334, or under an authorized state pilot program pursuant to the Agriculture Improvement Act of 2014, P.L. 113-79, and that is accompanied by the following official documentation:</w:t>
      </w:r>
    </w:p>
    <w:p w14:paraId="4E32FD84" w14:textId="77777777" w:rsidR="00CD0355" w:rsidRPr="00B80D25" w:rsidRDefault="000B299E" w:rsidP="000B299E">
      <w:pPr>
        <w:pStyle w:val="a0"/>
      </w:pPr>
      <w:r w:rsidRPr="001E5B02">
        <w:t>a.</w:t>
      </w:r>
      <w:r w:rsidRPr="001E5B02">
        <w:tab/>
        <w:t xml:space="preserve">certificate of analysis issued by a third party independent laboratory showing that the industrial hemp from which the seed was harvested had a THC concentration of not more than the acceptable industrial hemp THC level; </w:t>
      </w:r>
      <w:r w:rsidR="00CD0355" w:rsidRPr="00B80D25">
        <w:t xml:space="preserve"> </w:t>
      </w:r>
    </w:p>
    <w:p w14:paraId="15348C25" w14:textId="77777777" w:rsidR="00CD0355" w:rsidRPr="00B80D25" w:rsidRDefault="00CD0355" w:rsidP="00CD0355">
      <w:pPr>
        <w:pStyle w:val="a0"/>
      </w:pPr>
      <w:r w:rsidRPr="00B80D25">
        <w:t>b.</w:t>
      </w:r>
      <w:r w:rsidRPr="00B80D25">
        <w:tab/>
      </w:r>
      <w:r>
        <w:t>s</w:t>
      </w:r>
      <w:r w:rsidRPr="00B80D25">
        <w:t xml:space="preserve">eed purity and germination analysis report as set forth in R.S. 3:1436; and </w:t>
      </w:r>
    </w:p>
    <w:p w14:paraId="1BF11D18" w14:textId="77777777" w:rsidR="00CD0355" w:rsidRPr="00DF6D8D" w:rsidRDefault="00CD0355" w:rsidP="000B299E">
      <w:pPr>
        <w:pStyle w:val="a0"/>
        <w:rPr>
          <w:color w:val="000000"/>
        </w:rPr>
      </w:pPr>
      <w:r w:rsidRPr="00B80D25">
        <w:t>c.</w:t>
      </w:r>
      <w:r w:rsidRPr="00B80D25">
        <w:tab/>
      </w:r>
      <w:r>
        <w:t>s</w:t>
      </w:r>
      <w:r w:rsidRPr="00B80D25">
        <w:t>eed label, in compliance with R.S. 3:1436, for the industrial hemp seed which is being requested for approval.</w:t>
      </w:r>
    </w:p>
    <w:p w14:paraId="0BF5D74C" w14:textId="77777777" w:rsidR="00CD0355" w:rsidRPr="00DF6D8D" w:rsidRDefault="00CD0355" w:rsidP="00CD0355">
      <w:pPr>
        <w:pStyle w:val="A"/>
        <w:rPr>
          <w:color w:val="000000"/>
        </w:rPr>
      </w:pPr>
      <w:r>
        <w:rPr>
          <w:color w:val="000000"/>
        </w:rPr>
        <w:t>C</w:t>
      </w:r>
      <w:r w:rsidRPr="00DF6D8D">
        <w:rPr>
          <w:color w:val="000000"/>
        </w:rPr>
        <w:t>.</w:t>
      </w:r>
      <w:r w:rsidRPr="00DF6D8D">
        <w:rPr>
          <w:color w:val="000000"/>
        </w:rPr>
        <w:tab/>
        <w:t xml:space="preserve">In addition to this Chapter, all industrial hemp seed sold or distributed for planting purposes within or into Louisiana shall be subject to all requirements of the Louisiana Seed Law (R.S. 3:1431 et seq.) and the Louisiana Seed Regulations (LAC 7:XIII.101 et seq.) </w:t>
      </w:r>
    </w:p>
    <w:p w14:paraId="71512D36" w14:textId="77777777" w:rsidR="00CD0355" w:rsidRPr="00DF6D8D" w:rsidRDefault="00CD0355" w:rsidP="00CD0355">
      <w:pPr>
        <w:pStyle w:val="A"/>
        <w:rPr>
          <w:color w:val="000000"/>
          <w:shd w:val="clear" w:color="auto" w:fill="FFFFFF"/>
        </w:rPr>
      </w:pPr>
      <w:r>
        <w:rPr>
          <w:color w:val="000000"/>
        </w:rPr>
        <w:t>D</w:t>
      </w:r>
      <w:r w:rsidRPr="00DF6D8D">
        <w:rPr>
          <w:color w:val="000000"/>
        </w:rPr>
        <w:t>.</w:t>
      </w:r>
      <w:r w:rsidRPr="00DF6D8D">
        <w:rPr>
          <w:color w:val="000000"/>
        </w:rPr>
        <w:tab/>
        <w:t xml:space="preserve">The guarantor </w:t>
      </w:r>
      <w:r w:rsidRPr="00DF6D8D">
        <w:rPr>
          <w:color w:val="000000"/>
          <w:shd w:val="clear" w:color="auto" w:fill="FFFFFF"/>
        </w:rPr>
        <w:t>of industrial hemp seed, except persons exempt pursuant to the authority of the Louisiana Seed Law (R.S. 3:1445), who sells, transports, distributes, or offers or handles for sale industrial hemp seed shall have a complete analysis test performed on the seed by a registered seed technologist or an official state seed analyst prior to the seed being sold, distributed, offered, or handled for sale in Louisiana.</w:t>
      </w:r>
    </w:p>
    <w:p w14:paraId="52407012" w14:textId="77777777" w:rsidR="00CD0355" w:rsidRPr="00DF6D8D" w:rsidRDefault="00CD0355" w:rsidP="00CD0355">
      <w:pPr>
        <w:pStyle w:val="A"/>
        <w:rPr>
          <w:color w:val="000000"/>
          <w:spacing w:val="-2"/>
          <w:shd w:val="clear" w:color="auto" w:fill="FFFFFF"/>
        </w:rPr>
      </w:pPr>
      <w:r>
        <w:rPr>
          <w:color w:val="000000"/>
          <w:spacing w:val="-2"/>
          <w:shd w:val="clear" w:color="auto" w:fill="FFFFFF"/>
        </w:rPr>
        <w:t>E</w:t>
      </w:r>
      <w:r w:rsidRPr="00DF6D8D">
        <w:rPr>
          <w:color w:val="000000"/>
          <w:spacing w:val="-2"/>
          <w:shd w:val="clear" w:color="auto" w:fill="FFFFFF"/>
        </w:rPr>
        <w:t>.</w:t>
      </w:r>
      <w:r w:rsidRPr="00DF6D8D">
        <w:rPr>
          <w:color w:val="000000"/>
          <w:spacing w:val="-2"/>
          <w:shd w:val="clear" w:color="auto" w:fill="FFFFFF"/>
        </w:rPr>
        <w:tab/>
      </w:r>
      <w:r w:rsidRPr="00DF6D8D">
        <w:rPr>
          <w:color w:val="000000"/>
        </w:rPr>
        <w:t>All industrial hemp seed produced in Louisiana shall be certified true to type under the Louisiana seed certification program guidelines for industrial hemp seed. No other industrial hemp seed may be produced in Louisiana for distribution or sale unless approved by LDAF.</w:t>
      </w:r>
    </w:p>
    <w:p w14:paraId="0D183B55" w14:textId="77777777" w:rsidR="000B299E" w:rsidRPr="001E5B02" w:rsidRDefault="00CD0355" w:rsidP="000B299E">
      <w:pPr>
        <w:pStyle w:val="A"/>
        <w:rPr>
          <w:color w:val="000000"/>
        </w:rPr>
      </w:pPr>
      <w:r>
        <w:rPr>
          <w:color w:val="000000"/>
        </w:rPr>
        <w:t>F</w:t>
      </w:r>
      <w:r w:rsidRPr="00DF6D8D">
        <w:rPr>
          <w:color w:val="000000"/>
        </w:rPr>
        <w:t>.</w:t>
      </w:r>
      <w:r w:rsidRPr="00DF6D8D">
        <w:rPr>
          <w:color w:val="000000"/>
        </w:rPr>
        <w:tab/>
      </w:r>
      <w:r w:rsidR="000B299E" w:rsidRPr="001E5B02">
        <w:rPr>
          <w:color w:val="000000"/>
        </w:rPr>
        <w:t xml:space="preserve">No person shall sell or transfer industrial hemp seed to any person in Louisiana without first verifying that the person receiving the seed is licensed by LDAF. </w:t>
      </w:r>
    </w:p>
    <w:p w14:paraId="75A8E8B8" w14:textId="77777777" w:rsidR="000B299E" w:rsidRPr="001E5B02" w:rsidRDefault="000B299E" w:rsidP="000B299E">
      <w:pPr>
        <w:pStyle w:val="A"/>
        <w:rPr>
          <w:color w:val="000000"/>
        </w:rPr>
      </w:pPr>
      <w:r w:rsidRPr="001E5B02">
        <w:rPr>
          <w:color w:val="000000"/>
        </w:rPr>
        <w:t>G.</w:t>
      </w:r>
      <w:r w:rsidRPr="001E5B02">
        <w:rPr>
          <w:color w:val="000000"/>
        </w:rPr>
        <w:tab/>
        <w:t xml:space="preserve">No person shall buy or otherwise acquire industrial hemp seed from any person in Louisiana without first verifying that the person distributing the seed is a seed producer or handler licensed by LDAF. </w:t>
      </w:r>
    </w:p>
    <w:p w14:paraId="6BF4C790" w14:textId="77777777" w:rsidR="00CC7582" w:rsidRPr="002D7DAE" w:rsidRDefault="000B299E" w:rsidP="00CC7582">
      <w:pPr>
        <w:pStyle w:val="A"/>
      </w:pPr>
      <w:r w:rsidRPr="001E5B02">
        <w:rPr>
          <w:color w:val="000000"/>
        </w:rPr>
        <w:t>H.</w:t>
      </w:r>
      <w:r>
        <w:rPr>
          <w:color w:val="000000"/>
        </w:rPr>
        <w:tab/>
      </w:r>
      <w:r w:rsidR="00CC7582" w:rsidRPr="002D7DAE">
        <w:t>Seed of industrial hemp varieties des</w:t>
      </w:r>
      <w:r w:rsidR="00CC7582">
        <w:t xml:space="preserve">ignated as an </w:t>
      </w:r>
      <w:r w:rsidR="00CC7582" w:rsidRPr="000946C7">
        <w:rPr>
          <w:i/>
        </w:rPr>
        <w:t>approved variety</w:t>
      </w:r>
      <w:r w:rsidR="00CC7582" w:rsidRPr="002D7DAE">
        <w:t xml:space="preserve"> shall be exempt from the requirements of Subsection A of this Section.</w:t>
      </w:r>
    </w:p>
    <w:p w14:paraId="2898CEBC" w14:textId="77777777" w:rsidR="00CC7582" w:rsidRPr="002D7DAE" w:rsidRDefault="00CC7582" w:rsidP="00CC7582">
      <w:pPr>
        <w:pStyle w:val="A"/>
      </w:pPr>
      <w:r w:rsidRPr="002D7DAE">
        <w:t>I.</w:t>
      </w:r>
      <w:r w:rsidRPr="002D7DAE">
        <w:tab/>
        <w:t>Seed of industrial hemp varieties desi</w:t>
      </w:r>
      <w:r>
        <w:t xml:space="preserve">gnated as a </w:t>
      </w:r>
      <w:r w:rsidRPr="000946C7">
        <w:rPr>
          <w:i/>
        </w:rPr>
        <w:t>prohibited variety</w:t>
      </w:r>
      <w:r w:rsidRPr="002D7DAE">
        <w:t xml:space="preserve"> shall not be acquired, planted, grown, offered for sale, or distributed for planting purposes in Louisiana.</w:t>
      </w:r>
    </w:p>
    <w:p w14:paraId="093FB9AC" w14:textId="77777777" w:rsidR="00CD0355" w:rsidRPr="00DF6D8D" w:rsidRDefault="00CC7582" w:rsidP="00CC7582">
      <w:pPr>
        <w:pStyle w:val="A"/>
        <w:rPr>
          <w:color w:val="000000"/>
          <w:spacing w:val="-2"/>
          <w:shd w:val="clear" w:color="auto" w:fill="FFFFFF"/>
        </w:rPr>
      </w:pPr>
      <w:r w:rsidRPr="002D7DAE">
        <w:t>J.</w:t>
      </w:r>
      <w:r w:rsidRPr="002D7DAE">
        <w:tab/>
        <w:t xml:space="preserve">Upon </w:t>
      </w:r>
      <w:r>
        <w:t>r</w:t>
      </w:r>
      <w:r w:rsidRPr="002D7DAE">
        <w:t>equest from LDAF, a licensed seed producer shall provide a seed distribution list within 48 hours of the request showing locations where and to whom industrial hemp seed was distributed.</w:t>
      </w:r>
    </w:p>
    <w:p w14:paraId="6CC2B7E0" w14:textId="77777777"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3:1431, R.S. 3:1436, R.S. 3:1445, 3:1463, R.S. 3:1464, R.S. 3:1465, and R.S. 3:1466. </w:t>
      </w:r>
    </w:p>
    <w:p w14:paraId="0514F5A7" w14:textId="77777777" w:rsidR="00CD0355" w:rsidRPr="00DF6D8D" w:rsidRDefault="00CD0355" w:rsidP="00CD0355">
      <w:pPr>
        <w:pStyle w:val="HistoricalNote"/>
        <w:rPr>
          <w:color w:val="000000"/>
        </w:rPr>
      </w:pPr>
      <w:r w:rsidRPr="00DF6D8D">
        <w:rPr>
          <w:color w:val="000000"/>
        </w:rPr>
        <w:t>HISTORICAL NOTE:</w:t>
      </w:r>
      <w:r w:rsidRPr="00DF6D8D">
        <w:rPr>
          <w:color w:val="000000"/>
        </w:rPr>
        <w:tab/>
        <w:t xml:space="preserve">Promulgated by the Department of Agriculture and Forestry, Office of Agricultural and Environmental Sciences, </w:t>
      </w:r>
      <w:r w:rsidRPr="00CD0355">
        <w:t>Agricultural Chemistry and Seed Commission, LR 46:174 (February 2020)</w:t>
      </w:r>
      <w:r w:rsidRPr="00CD0355">
        <w:rPr>
          <w:shd w:val="clear" w:color="auto" w:fill="FFFFFF"/>
        </w:rPr>
        <w:t>, LR 47:440 (April 2021)</w:t>
      </w:r>
      <w:r w:rsidR="000B299E" w:rsidRPr="001E5B02">
        <w:rPr>
          <w:color w:val="000000"/>
        </w:rPr>
        <w:t>, amended LR 47:</w:t>
      </w:r>
      <w:r w:rsidR="000B299E">
        <w:rPr>
          <w:color w:val="000000"/>
        </w:rPr>
        <w:t>1836</w:t>
      </w:r>
      <w:r w:rsidR="000B299E" w:rsidRPr="001E5B02">
        <w:rPr>
          <w:color w:val="000000"/>
        </w:rPr>
        <w:t xml:space="preserve"> (December 2021</w:t>
      </w:r>
      <w:r w:rsidR="00CC7582" w:rsidRPr="002D7DAE">
        <w:t xml:space="preserve">), </w:t>
      </w:r>
      <w:r w:rsidR="00CC7582">
        <w:t>LR 48:1744 (July 2022).</w:t>
      </w:r>
    </w:p>
    <w:p w14:paraId="1020C317" w14:textId="77777777" w:rsidR="00CD0355" w:rsidRPr="00DF6D8D" w:rsidRDefault="00CD0355" w:rsidP="00CD0355">
      <w:pPr>
        <w:pStyle w:val="Chapter"/>
        <w:rPr>
          <w:color w:val="000000"/>
        </w:rPr>
      </w:pPr>
      <w:bookmarkStart w:id="1295" w:name="_Toc224818874"/>
      <w:r w:rsidRPr="00DF6D8D">
        <w:rPr>
          <w:color w:val="000000"/>
        </w:rPr>
        <w:lastRenderedPageBreak/>
        <w:t>Subchapter E.</w:t>
      </w:r>
      <w:r w:rsidRPr="00DF6D8D">
        <w:rPr>
          <w:color w:val="000000"/>
        </w:rPr>
        <w:tab/>
        <w:t>Restrictions and Prohibitions</w:t>
      </w:r>
      <w:bookmarkEnd w:id="1295"/>
    </w:p>
    <w:p w14:paraId="53E8FE67" w14:textId="77777777" w:rsidR="00CD0355" w:rsidRPr="00DF6D8D" w:rsidRDefault="00CD0355" w:rsidP="00CD0355">
      <w:pPr>
        <w:pStyle w:val="Section"/>
        <w:rPr>
          <w:color w:val="000000"/>
        </w:rPr>
      </w:pPr>
      <w:bookmarkStart w:id="1296" w:name="_Toc224818875"/>
      <w:r w:rsidRPr="00DF6D8D">
        <w:rPr>
          <w:color w:val="000000"/>
        </w:rPr>
        <w:t>§1323.</w:t>
      </w:r>
      <w:r w:rsidRPr="00DF6D8D">
        <w:rPr>
          <w:color w:val="000000"/>
        </w:rPr>
        <w:tab/>
        <w:t>Land Use Restrictions</w:t>
      </w:r>
      <w:bookmarkEnd w:id="1296"/>
    </w:p>
    <w:p w14:paraId="2C74A656" w14:textId="77777777"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A licensee shall not grow, handle, process, or store industrial hemp in any structure that is used or appears to be used for residential purposes.</w:t>
      </w:r>
    </w:p>
    <w:p w14:paraId="121E00D2" w14:textId="77777777" w:rsidR="00CD0355" w:rsidRPr="00DF6D8D" w:rsidRDefault="000B299E" w:rsidP="000B299E">
      <w:pPr>
        <w:pStyle w:val="A"/>
        <w:rPr>
          <w:color w:val="000000"/>
        </w:rPr>
      </w:pPr>
      <w:r w:rsidRPr="001E5B02">
        <w:rPr>
          <w:color w:val="000000"/>
        </w:rPr>
        <w:t>B.</w:t>
      </w:r>
      <w:r w:rsidRPr="001E5B02">
        <w:rPr>
          <w:color w:val="000000"/>
        </w:rPr>
        <w:tab/>
        <w:t>A licensee shall not grow, handle, process or store industrial hemp in any outdoor field or site that is located within 1,000 feet of a school, daycare or similar public areas frequented by children as determined by LDAF.</w:t>
      </w:r>
    </w:p>
    <w:p w14:paraId="24122805" w14:textId="77777777" w:rsidR="00CD0355" w:rsidRPr="00DF6D8D" w:rsidRDefault="00CD0355" w:rsidP="00CD0355">
      <w:pPr>
        <w:pStyle w:val="A"/>
        <w:rPr>
          <w:color w:val="000000"/>
        </w:rPr>
      </w:pPr>
      <w:r w:rsidRPr="00DF6D8D">
        <w:rPr>
          <w:color w:val="000000"/>
        </w:rPr>
        <w:t>C.</w:t>
      </w:r>
      <w:r w:rsidRPr="00DF6D8D">
        <w:rPr>
          <w:color w:val="000000"/>
        </w:rPr>
        <w:tab/>
        <w:t xml:space="preserve">An applicant may not apply for a license to grow, cultivate, handle, or process industrial hemp on property that is not owned or leased by that applicant. </w:t>
      </w:r>
    </w:p>
    <w:p w14:paraId="67961657"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3:1465.</w:t>
      </w:r>
    </w:p>
    <w:p w14:paraId="03E3EF3C" w14:textId="77777777"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47:440 (April 2021)</w:t>
      </w:r>
      <w:r w:rsidR="000B299E" w:rsidRPr="001E5B02">
        <w:rPr>
          <w:color w:val="000000"/>
        </w:rPr>
        <w:t>, amended LR 47:</w:t>
      </w:r>
      <w:r w:rsidR="000B299E">
        <w:rPr>
          <w:color w:val="000000"/>
        </w:rPr>
        <w:t>1836</w:t>
      </w:r>
      <w:r w:rsidR="000B299E" w:rsidRPr="001E5B02">
        <w:rPr>
          <w:color w:val="000000"/>
        </w:rPr>
        <w:t xml:space="preserve"> (December 2021).</w:t>
      </w:r>
    </w:p>
    <w:p w14:paraId="5A5D8C4A" w14:textId="77777777" w:rsidR="00CD0355" w:rsidRPr="00DF6D8D" w:rsidRDefault="00CD0355" w:rsidP="00CD0355">
      <w:pPr>
        <w:pStyle w:val="Section"/>
        <w:rPr>
          <w:color w:val="000000"/>
        </w:rPr>
      </w:pPr>
      <w:bookmarkStart w:id="1297" w:name="_Toc224818876"/>
      <w:r w:rsidRPr="00DF6D8D">
        <w:rPr>
          <w:color w:val="000000"/>
        </w:rPr>
        <w:t>§1325.</w:t>
      </w:r>
      <w:r w:rsidRPr="00DF6D8D">
        <w:rPr>
          <w:color w:val="000000"/>
        </w:rPr>
        <w:tab/>
        <w:t>Restrictions on Sale or Transfer</w:t>
      </w:r>
      <w:bookmarkEnd w:id="1297"/>
    </w:p>
    <w:p w14:paraId="51DBD543" w14:textId="77777777" w:rsidR="00CD0355" w:rsidRPr="00DF6D8D" w:rsidRDefault="00CD0355" w:rsidP="00CD0355">
      <w:pPr>
        <w:pStyle w:val="A"/>
        <w:rPr>
          <w:color w:val="000000"/>
        </w:rPr>
      </w:pPr>
      <w:r w:rsidRPr="00DF6D8D">
        <w:rPr>
          <w:color w:val="000000"/>
        </w:rPr>
        <w:t>A.</w:t>
      </w:r>
      <w:r w:rsidRPr="00DF6D8D">
        <w:rPr>
          <w:color w:val="000000"/>
        </w:rPr>
        <w:tab/>
        <w:t xml:space="preserve">A licensee shall not sell or transfer, or permit the sale or transfer of living industrial hemp plants, viable plant parts, or seeds to any person in the state who does not hold an industrial hemp license issued by LDAF. </w:t>
      </w:r>
    </w:p>
    <w:p w14:paraId="79915822" w14:textId="77777777" w:rsidR="00CD0355" w:rsidRPr="00DF6D8D" w:rsidRDefault="00CD0355" w:rsidP="00CD0355">
      <w:pPr>
        <w:pStyle w:val="A"/>
        <w:rPr>
          <w:color w:val="000000"/>
        </w:rPr>
      </w:pPr>
      <w:r w:rsidRPr="00DF6D8D">
        <w:rPr>
          <w:color w:val="000000"/>
        </w:rPr>
        <w:t>B.</w:t>
      </w:r>
      <w:r w:rsidRPr="00DF6D8D">
        <w:rPr>
          <w:color w:val="000000"/>
        </w:rPr>
        <w:tab/>
        <w:t>Licensees may transfer up to one pound of industrial hemp plants or plant parts per transfer to testing laboratories, both within and outside the state for the purpose of measuring THC, CBD, or other phytocannabinoid profile levels. It is the responsibility of the licensee to ensure compliance with laws in other states.</w:t>
      </w:r>
    </w:p>
    <w:p w14:paraId="57EF06AA" w14:textId="77777777" w:rsidR="00CD0355" w:rsidRPr="00DF6D8D" w:rsidRDefault="00CD0355" w:rsidP="00CD0355">
      <w:pPr>
        <w:pStyle w:val="A"/>
        <w:rPr>
          <w:color w:val="000000"/>
        </w:rPr>
      </w:pPr>
      <w:r w:rsidRPr="00DF6D8D">
        <w:rPr>
          <w:color w:val="000000"/>
        </w:rPr>
        <w:t>C.</w:t>
      </w:r>
      <w:r w:rsidRPr="00DF6D8D">
        <w:rPr>
          <w:color w:val="000000"/>
        </w:rPr>
        <w:tab/>
      </w:r>
      <w:r w:rsidRPr="00B80D25">
        <w:t xml:space="preserve">A licensee shall not store industrial hemp or industrial hemp plant parts at any location that was not previously approved by LDAF on that licensee’s application and/or </w:t>
      </w:r>
      <w:r>
        <w:t>site modification request form.</w:t>
      </w:r>
      <w:r w:rsidRPr="00DF6D8D">
        <w:rPr>
          <w:color w:val="000000"/>
        </w:rPr>
        <w:t xml:space="preserve"> </w:t>
      </w:r>
    </w:p>
    <w:p w14:paraId="07DF7A68"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14:paraId="2367A8AC"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2021).</w:t>
      </w:r>
    </w:p>
    <w:p w14:paraId="5ABE8D7F" w14:textId="77777777" w:rsidR="00CD0355" w:rsidRPr="00DF6D8D" w:rsidRDefault="00CD0355" w:rsidP="00CD0355">
      <w:pPr>
        <w:pStyle w:val="Section"/>
        <w:rPr>
          <w:color w:val="000000"/>
        </w:rPr>
      </w:pPr>
      <w:bookmarkStart w:id="1298" w:name="_Toc224818877"/>
      <w:r w:rsidRPr="00DF6D8D">
        <w:rPr>
          <w:color w:val="000000"/>
        </w:rPr>
        <w:t>§1327.</w:t>
      </w:r>
      <w:r w:rsidRPr="00DF6D8D">
        <w:rPr>
          <w:color w:val="000000"/>
        </w:rPr>
        <w:tab/>
        <w:t>Prohibitions</w:t>
      </w:r>
      <w:bookmarkEnd w:id="1298"/>
    </w:p>
    <w:p w14:paraId="5B47381F" w14:textId="77777777" w:rsidR="00CD0355" w:rsidRPr="00DF6D8D" w:rsidRDefault="00CD0355" w:rsidP="00CD0355">
      <w:pPr>
        <w:pStyle w:val="A"/>
        <w:rPr>
          <w:color w:val="000000"/>
        </w:rPr>
      </w:pPr>
      <w:r w:rsidRPr="00DF6D8D">
        <w:rPr>
          <w:color w:val="000000"/>
        </w:rPr>
        <w:t>A.</w:t>
      </w:r>
      <w:r w:rsidRPr="00DF6D8D">
        <w:rPr>
          <w:color w:val="000000"/>
        </w:rPr>
        <w:tab/>
        <w:t>No person shall:</w:t>
      </w:r>
    </w:p>
    <w:p w14:paraId="5640E82F" w14:textId="77777777" w:rsidR="00CD0355" w:rsidRPr="00DF6D8D" w:rsidRDefault="00CD0355" w:rsidP="00CD0355">
      <w:pPr>
        <w:pStyle w:val="1"/>
        <w:rPr>
          <w:color w:val="000000"/>
        </w:rPr>
      </w:pPr>
      <w:r w:rsidRPr="00DF6D8D">
        <w:rPr>
          <w:color w:val="000000"/>
        </w:rPr>
        <w:t>1.</w:t>
      </w:r>
      <w:r w:rsidRPr="00DF6D8D">
        <w:rPr>
          <w:color w:val="000000"/>
        </w:rPr>
        <w:tab/>
        <w:t>sell, offer for sale, expose, distribute or transport industrial hemp seed not produced in accordance with the provisions of this Chapter;</w:t>
      </w:r>
    </w:p>
    <w:p w14:paraId="131834A2" w14:textId="77777777" w:rsidR="00CD0355" w:rsidRPr="00DF6D8D" w:rsidRDefault="00CD0355" w:rsidP="00CD0355">
      <w:pPr>
        <w:pStyle w:val="1"/>
        <w:rPr>
          <w:color w:val="000000"/>
        </w:rPr>
      </w:pPr>
      <w:r w:rsidRPr="00DF6D8D">
        <w:rPr>
          <w:color w:val="000000"/>
        </w:rPr>
        <w:t>2.</w:t>
      </w:r>
      <w:r w:rsidRPr="00DF6D8D">
        <w:rPr>
          <w:color w:val="000000"/>
        </w:rPr>
        <w:tab/>
        <w:t>fail to comply with sample collection, and testing requirements prior to harvesting or destroying any industrial hemp plants or plant parts in accordance with this Chapter;</w:t>
      </w:r>
    </w:p>
    <w:p w14:paraId="22A7F15C" w14:textId="77777777" w:rsidR="00CD0355" w:rsidRPr="00DF6D8D" w:rsidRDefault="00CD0355" w:rsidP="00CD0355">
      <w:pPr>
        <w:pStyle w:val="1"/>
        <w:rPr>
          <w:color w:val="000000"/>
        </w:rPr>
      </w:pPr>
      <w:r w:rsidRPr="00DF6D8D">
        <w:rPr>
          <w:color w:val="000000"/>
        </w:rPr>
        <w:t>3.</w:t>
      </w:r>
      <w:r w:rsidRPr="00DF6D8D">
        <w:rPr>
          <w:color w:val="000000"/>
        </w:rPr>
        <w:tab/>
        <w:t xml:space="preserve">detach, alter, deface, or destroy any required documentation specified in this Chapter; </w:t>
      </w:r>
    </w:p>
    <w:p w14:paraId="1FE32D57" w14:textId="77777777" w:rsidR="00CD0355" w:rsidRPr="00DF6D8D" w:rsidRDefault="00CD0355" w:rsidP="00CD0355">
      <w:pPr>
        <w:pStyle w:val="1"/>
        <w:rPr>
          <w:color w:val="000000"/>
        </w:rPr>
      </w:pPr>
      <w:r w:rsidRPr="00DF6D8D">
        <w:rPr>
          <w:color w:val="000000"/>
        </w:rPr>
        <w:t>4.</w:t>
      </w:r>
      <w:r w:rsidRPr="00DF6D8D">
        <w:rPr>
          <w:color w:val="000000"/>
        </w:rPr>
        <w:tab/>
        <w:t>alter, substitute, or misrepresent seed in a manner inconsistent with this Chapter;</w:t>
      </w:r>
    </w:p>
    <w:p w14:paraId="694F310E" w14:textId="77777777" w:rsidR="00CD0355" w:rsidRPr="00DF6D8D" w:rsidRDefault="00CD0355" w:rsidP="00CD0355">
      <w:pPr>
        <w:pStyle w:val="1"/>
        <w:rPr>
          <w:color w:val="000000"/>
        </w:rPr>
      </w:pPr>
      <w:r w:rsidRPr="00DF6D8D">
        <w:rPr>
          <w:color w:val="000000"/>
        </w:rPr>
        <w:t>5.</w:t>
      </w:r>
      <w:r w:rsidRPr="00DF6D8D">
        <w:rPr>
          <w:color w:val="000000"/>
        </w:rPr>
        <w:tab/>
        <w:t>hinder or obstruct in any way any authorized agent(s) of LDAF in the performance of their duties;</w:t>
      </w:r>
    </w:p>
    <w:p w14:paraId="1E19C6BF" w14:textId="77777777" w:rsidR="00CD0355" w:rsidRPr="00DF6D8D" w:rsidRDefault="00CD0355" w:rsidP="00CD0355">
      <w:pPr>
        <w:pStyle w:val="1"/>
        <w:rPr>
          <w:color w:val="000000"/>
        </w:rPr>
      </w:pPr>
      <w:r w:rsidRPr="00DF6D8D">
        <w:rPr>
          <w:color w:val="000000"/>
        </w:rPr>
        <w:t>6.</w:t>
      </w:r>
      <w:r w:rsidRPr="00DF6D8D">
        <w:rPr>
          <w:color w:val="000000"/>
        </w:rPr>
        <w:tab/>
        <w:t xml:space="preserve">fail to comply with all licensing and reporting requirements set forth in the Industrial Hemp Law (R.S. 3:1461 </w:t>
      </w:r>
      <w:r w:rsidRPr="00DF6D8D">
        <w:rPr>
          <w:iCs/>
          <w:color w:val="000000"/>
        </w:rPr>
        <w:t>et seq</w:t>
      </w:r>
      <w:r w:rsidRPr="00DF6D8D">
        <w:rPr>
          <w:color w:val="000000"/>
        </w:rPr>
        <w:t>.) or this Chapter;</w:t>
      </w:r>
    </w:p>
    <w:p w14:paraId="5DEA4D00" w14:textId="77777777" w:rsidR="00CD0355" w:rsidRPr="00DF6D8D" w:rsidRDefault="00CD0355" w:rsidP="00CD0355">
      <w:pPr>
        <w:pStyle w:val="1"/>
        <w:rPr>
          <w:color w:val="000000"/>
        </w:rPr>
      </w:pPr>
      <w:r w:rsidRPr="00DF6D8D">
        <w:rPr>
          <w:color w:val="000000"/>
        </w:rPr>
        <w:t>7.</w:t>
      </w:r>
      <w:r w:rsidRPr="00DF6D8D">
        <w:rPr>
          <w:color w:val="000000"/>
        </w:rPr>
        <w:tab/>
        <w:t xml:space="preserve">fail to keep required records as set forth in this Chapter or to provide such records to LDAF for inspection upon request; </w:t>
      </w:r>
    </w:p>
    <w:p w14:paraId="0098DB03" w14:textId="77777777" w:rsidR="00CD0355" w:rsidRPr="00DF6D8D" w:rsidRDefault="00CD0355" w:rsidP="00CD0355">
      <w:pPr>
        <w:pStyle w:val="1"/>
        <w:rPr>
          <w:color w:val="000000"/>
        </w:rPr>
      </w:pPr>
      <w:r w:rsidRPr="00DF6D8D">
        <w:rPr>
          <w:color w:val="000000"/>
        </w:rPr>
        <w:t>8.</w:t>
      </w:r>
      <w:r w:rsidRPr="00DF6D8D">
        <w:rPr>
          <w:color w:val="000000"/>
        </w:rPr>
        <w:tab/>
        <w:t xml:space="preserve">fail to monitor and/or destroy volunteer industrial hemp plants for three years following cultivation as set forth in this Chapter; </w:t>
      </w:r>
    </w:p>
    <w:p w14:paraId="0316A5AF" w14:textId="77777777" w:rsidR="00CD0355" w:rsidRPr="00DF6D8D" w:rsidRDefault="00CD0355" w:rsidP="00CD0355">
      <w:pPr>
        <w:pStyle w:val="1"/>
        <w:rPr>
          <w:color w:val="000000"/>
        </w:rPr>
      </w:pPr>
      <w:r w:rsidRPr="00DF6D8D">
        <w:rPr>
          <w:color w:val="000000"/>
        </w:rPr>
        <w:t>9.</w:t>
      </w:r>
      <w:r w:rsidRPr="00DF6D8D">
        <w:rPr>
          <w:color w:val="000000"/>
        </w:rPr>
        <w:tab/>
        <w:t xml:space="preserve">provide false, misleading, or incorrect information to LDAF pertaining to the licensee’s cultivation, processing, or transportation of industrial hemp including, but not limited to, information provided in any application, report, record, or inspection required or maintained in accordance with the Industrial Hemp Law (R.S. 3:1461 </w:t>
      </w:r>
      <w:r w:rsidRPr="00DF6D8D">
        <w:rPr>
          <w:i/>
          <w:iCs/>
          <w:color w:val="000000"/>
        </w:rPr>
        <w:t>et seq.</w:t>
      </w:r>
      <w:r w:rsidRPr="00DF6D8D">
        <w:rPr>
          <w:color w:val="000000"/>
        </w:rPr>
        <w:t>) and this Chapter;</w:t>
      </w:r>
    </w:p>
    <w:p w14:paraId="16DEE8C5" w14:textId="77777777" w:rsidR="00CD0355" w:rsidRPr="00DF6D8D" w:rsidRDefault="00CD0355" w:rsidP="00CD0355">
      <w:pPr>
        <w:pStyle w:val="1"/>
        <w:rPr>
          <w:color w:val="000000"/>
        </w:rPr>
      </w:pPr>
      <w:r w:rsidRPr="00DF6D8D">
        <w:rPr>
          <w:color w:val="000000"/>
        </w:rPr>
        <w:t>10.</w:t>
      </w:r>
      <w:r w:rsidRPr="00DF6D8D">
        <w:rPr>
          <w:color w:val="000000"/>
        </w:rPr>
        <w:tab/>
      </w:r>
      <w:r>
        <w:t>p</w:t>
      </w:r>
      <w:r w:rsidRPr="00B80D25">
        <w:t>lant, grow, store, transfer, or process industrial hemp on any site not listed in the licensing application or site modification request form as set forth in this Chapter;</w:t>
      </w:r>
    </w:p>
    <w:p w14:paraId="00948367" w14:textId="77777777" w:rsidR="000B299E" w:rsidRPr="001E5B02" w:rsidRDefault="00CD0355" w:rsidP="000B299E">
      <w:pPr>
        <w:pStyle w:val="1"/>
        <w:rPr>
          <w:color w:val="000000"/>
        </w:rPr>
      </w:pPr>
      <w:r w:rsidRPr="00DF6D8D">
        <w:rPr>
          <w:color w:val="000000"/>
          <w:spacing w:val="-2"/>
          <w:shd w:val="clear" w:color="auto" w:fill="FFFFFF"/>
        </w:rPr>
        <w:t>1</w:t>
      </w:r>
      <w:r>
        <w:rPr>
          <w:color w:val="000000"/>
          <w:spacing w:val="-2"/>
          <w:shd w:val="clear" w:color="auto" w:fill="FFFFFF"/>
        </w:rPr>
        <w:t>1</w:t>
      </w:r>
      <w:r w:rsidRPr="00DF6D8D">
        <w:rPr>
          <w:color w:val="000000"/>
          <w:spacing w:val="-2"/>
          <w:shd w:val="clear" w:color="auto" w:fill="FFFFFF"/>
        </w:rPr>
        <w:t>.</w:t>
      </w:r>
      <w:r w:rsidRPr="00DF6D8D">
        <w:rPr>
          <w:color w:val="000000"/>
          <w:spacing w:val="-2"/>
          <w:shd w:val="clear" w:color="auto" w:fill="FFFFFF"/>
        </w:rPr>
        <w:tab/>
      </w:r>
      <w:r w:rsidR="000B299E" w:rsidRPr="001E5B02">
        <w:rPr>
          <w:color w:val="000000"/>
        </w:rPr>
        <w:t xml:space="preserve">sell or transfer, or permit the sale or transfer of living industrial hemp plants or plant parts to a person in the state who does not hold an industrial hemp license issued by LDAF; </w:t>
      </w:r>
    </w:p>
    <w:p w14:paraId="5C81C997" w14:textId="77777777" w:rsidR="000B299E" w:rsidRPr="001E5B02" w:rsidRDefault="000B299E" w:rsidP="000B299E">
      <w:pPr>
        <w:pStyle w:val="1"/>
        <w:rPr>
          <w:color w:val="000000"/>
        </w:rPr>
      </w:pPr>
      <w:r w:rsidRPr="001E5B02">
        <w:rPr>
          <w:color w:val="000000"/>
        </w:rPr>
        <w:t>12.</w:t>
      </w:r>
      <w:r w:rsidRPr="001E5B02">
        <w:rPr>
          <w:color w:val="000000"/>
        </w:rPr>
        <w:tab/>
        <w:t>commingle harvested industrial hemp plant parts from one plot with harvested industrial hemp plant parts from another plot prior to receipt of compliant THC concentration level test results from LDAF;</w:t>
      </w:r>
    </w:p>
    <w:p w14:paraId="7A1F8CC4" w14:textId="77777777" w:rsidR="000B299E" w:rsidRPr="001E5B02" w:rsidRDefault="000B299E" w:rsidP="000B299E">
      <w:pPr>
        <w:pStyle w:val="1"/>
        <w:rPr>
          <w:color w:val="000000"/>
        </w:rPr>
      </w:pPr>
      <w:r w:rsidRPr="001E5B02">
        <w:rPr>
          <w:color w:val="000000"/>
          <w:spacing w:val="-2"/>
          <w:shd w:val="clear" w:color="auto" w:fill="FFFFFF"/>
        </w:rPr>
        <w:t>13.</w:t>
      </w:r>
      <w:r w:rsidRPr="001E5B02">
        <w:rPr>
          <w:color w:val="000000"/>
          <w:spacing w:val="-2"/>
          <w:shd w:val="clear" w:color="auto" w:fill="FFFFFF"/>
        </w:rPr>
        <w:tab/>
      </w:r>
      <w:r w:rsidRPr="001E5B02">
        <w:rPr>
          <w:color w:val="000000"/>
        </w:rPr>
        <w:t>commingle different varieties of industrial hemp plants in a single plot; or</w:t>
      </w:r>
    </w:p>
    <w:p w14:paraId="27684646" w14:textId="77777777" w:rsidR="00CD0355" w:rsidRDefault="000B299E" w:rsidP="000B299E">
      <w:pPr>
        <w:pStyle w:val="1"/>
        <w:rPr>
          <w:color w:val="000000"/>
        </w:rPr>
      </w:pPr>
      <w:r w:rsidRPr="001E5B02">
        <w:rPr>
          <w:color w:val="000000"/>
        </w:rPr>
        <w:t>14.</w:t>
      </w:r>
      <w:r w:rsidRPr="001E5B02">
        <w:rPr>
          <w:color w:val="000000"/>
        </w:rPr>
        <w:tab/>
        <w:t>adulterate industrial hemp plants or plant parts in any manner that renders it non-compliant with this Chapter.</w:t>
      </w:r>
    </w:p>
    <w:p w14:paraId="665CA3B3" w14:textId="77777777" w:rsidR="00CC7582" w:rsidRPr="002D7DAE" w:rsidRDefault="00CC7582" w:rsidP="00CC7582">
      <w:pPr>
        <w:pStyle w:val="1"/>
      </w:pPr>
      <w:r w:rsidRPr="002D7DAE">
        <w:t>15.</w:t>
      </w:r>
      <w:r w:rsidRPr="002D7DAE">
        <w:tab/>
        <w:t>sell, offer for sale, expose, distribute, transport or plant industrial hemp seed which has been designated by</w:t>
      </w:r>
      <w:r>
        <w:t xml:space="preserve"> LDAF as a </w:t>
      </w:r>
      <w:r w:rsidRPr="000946C7">
        <w:rPr>
          <w:i/>
        </w:rPr>
        <w:t>prohibited variety</w:t>
      </w:r>
      <w:r>
        <w:t>;</w:t>
      </w:r>
    </w:p>
    <w:p w14:paraId="0B00F3AE" w14:textId="77777777" w:rsidR="00CC7582" w:rsidRPr="00DF6D8D" w:rsidRDefault="00CC7582" w:rsidP="00CC7582">
      <w:pPr>
        <w:pStyle w:val="1"/>
        <w:rPr>
          <w:color w:val="000000"/>
        </w:rPr>
      </w:pPr>
      <w:r w:rsidRPr="002D7DAE">
        <w:t>16.</w:t>
      </w:r>
      <w:r w:rsidRPr="002D7DAE">
        <w:tab/>
        <w:t>produce industrial hemp with a total THC concentration level greater than 1.0 percent.</w:t>
      </w:r>
    </w:p>
    <w:p w14:paraId="3E911208" w14:textId="77777777"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R.S. 3:1465, R.S. 3:1466, R.S. 3:1467, R.S. 3:1468, R.S. 3:1470, and R.S. 3:1471. </w:t>
      </w:r>
    </w:p>
    <w:p w14:paraId="5E6DA31B"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2021)</w:t>
      </w:r>
      <w:r w:rsidR="000B299E" w:rsidRPr="001E5B02">
        <w:rPr>
          <w:color w:val="000000"/>
        </w:rPr>
        <w:t>, amended LR 47:</w:t>
      </w:r>
      <w:r w:rsidR="000B299E">
        <w:rPr>
          <w:color w:val="000000"/>
        </w:rPr>
        <w:t>1836</w:t>
      </w:r>
      <w:r w:rsidR="000B299E" w:rsidRPr="001E5B02">
        <w:rPr>
          <w:color w:val="000000"/>
        </w:rPr>
        <w:t xml:space="preserve"> (December 2021</w:t>
      </w:r>
      <w:r w:rsidR="00CC7582" w:rsidRPr="002D7DAE">
        <w:t xml:space="preserve">), </w:t>
      </w:r>
      <w:r w:rsidR="00CC7582">
        <w:t>LR 48:1744 (July 2022).</w:t>
      </w:r>
    </w:p>
    <w:p w14:paraId="2F1739B9" w14:textId="77777777" w:rsidR="00CD0355" w:rsidRPr="00DF6D8D" w:rsidRDefault="000B299E" w:rsidP="00CD0355">
      <w:pPr>
        <w:pStyle w:val="Chapter"/>
        <w:rPr>
          <w:color w:val="000000"/>
        </w:rPr>
      </w:pPr>
      <w:bookmarkStart w:id="1299" w:name="_Toc224818878"/>
      <w:r>
        <w:rPr>
          <w:color w:val="000000"/>
        </w:rPr>
        <w:t>Subchapter F.</w:t>
      </w:r>
      <w:r>
        <w:rPr>
          <w:color w:val="000000"/>
        </w:rPr>
        <w:tab/>
        <w:t>Reporting, Research, and</w:t>
      </w:r>
      <w:r w:rsidR="00CD0355" w:rsidRPr="00DF6D8D">
        <w:rPr>
          <w:color w:val="000000"/>
        </w:rPr>
        <w:t xml:space="preserve"> Record-Keeping</w:t>
      </w:r>
      <w:bookmarkEnd w:id="1299"/>
    </w:p>
    <w:p w14:paraId="290E2BCD" w14:textId="77777777" w:rsidR="00CD0355" w:rsidRPr="00DF6D8D" w:rsidRDefault="00CD0355" w:rsidP="00CD0355">
      <w:pPr>
        <w:pStyle w:val="Section"/>
        <w:rPr>
          <w:color w:val="000000"/>
        </w:rPr>
      </w:pPr>
      <w:bookmarkStart w:id="1300" w:name="_Toc224818879"/>
      <w:r w:rsidRPr="00DF6D8D">
        <w:rPr>
          <w:color w:val="000000"/>
        </w:rPr>
        <w:t>§1329.</w:t>
      </w:r>
      <w:r w:rsidRPr="00DF6D8D">
        <w:rPr>
          <w:color w:val="000000"/>
        </w:rPr>
        <w:tab/>
        <w:t>Production Reports</w:t>
      </w:r>
      <w:bookmarkEnd w:id="1300"/>
    </w:p>
    <w:p w14:paraId="1FB316CA" w14:textId="77777777" w:rsidR="00CD0355" w:rsidRPr="00DF6D8D" w:rsidRDefault="00CD0355" w:rsidP="00CD0355">
      <w:pPr>
        <w:pStyle w:val="A"/>
        <w:rPr>
          <w:color w:val="000000"/>
        </w:rPr>
      </w:pPr>
      <w:r w:rsidRPr="00DF6D8D">
        <w:rPr>
          <w:color w:val="000000"/>
        </w:rPr>
        <w:t>A.</w:t>
      </w:r>
      <w:r w:rsidRPr="00DF6D8D">
        <w:rPr>
          <w:color w:val="000000"/>
        </w:rPr>
        <w:tab/>
        <w:t xml:space="preserve">Industrial hemp grower, seed producer, and processor licensees shall be required to maintain and submit annual </w:t>
      </w:r>
      <w:r w:rsidRPr="00DF6D8D">
        <w:rPr>
          <w:color w:val="000000"/>
        </w:rPr>
        <w:lastRenderedPageBreak/>
        <w:t>production reports to LDAF on forms provided by LDAF by November 15.</w:t>
      </w:r>
    </w:p>
    <w:p w14:paraId="347E0984" w14:textId="77777777" w:rsidR="00CD0355" w:rsidRPr="00DF6D8D" w:rsidRDefault="00CD0355" w:rsidP="00CD0355">
      <w:pPr>
        <w:pStyle w:val="1"/>
        <w:rPr>
          <w:color w:val="000000"/>
        </w:rPr>
      </w:pPr>
      <w:r w:rsidRPr="00DF6D8D">
        <w:rPr>
          <w:color w:val="000000"/>
        </w:rPr>
        <w:t>1.</w:t>
      </w:r>
      <w:r w:rsidRPr="00DF6D8D">
        <w:rPr>
          <w:color w:val="000000"/>
        </w:rPr>
        <w:tab/>
        <w:t xml:space="preserve">Annual production reports submitted by licensed growers and seed producers shall include the following: </w:t>
      </w:r>
    </w:p>
    <w:p w14:paraId="623FE764" w14:textId="77777777" w:rsidR="00CD0355" w:rsidRPr="00F05CB9" w:rsidRDefault="00CD0355" w:rsidP="00CD0355">
      <w:pPr>
        <w:pStyle w:val="a0"/>
      </w:pPr>
      <w:r w:rsidRPr="00DF6D8D">
        <w:rPr>
          <w:color w:val="000000"/>
        </w:rPr>
        <w:t>a.</w:t>
      </w:r>
      <w:r w:rsidRPr="00DF6D8D">
        <w:rPr>
          <w:color w:val="000000"/>
        </w:rPr>
        <w:tab/>
      </w:r>
      <w:r>
        <w:t>t</w:t>
      </w:r>
      <w:r w:rsidRPr="00F05CB9">
        <w:t xml:space="preserve">otal amount of industrial hemp sold for processing; </w:t>
      </w:r>
    </w:p>
    <w:p w14:paraId="489CCA62" w14:textId="77777777" w:rsidR="00CD0355" w:rsidRPr="00F05CB9" w:rsidRDefault="00CD0355" w:rsidP="00CD0355">
      <w:pPr>
        <w:pStyle w:val="a0"/>
      </w:pPr>
      <w:r w:rsidRPr="00F05CB9">
        <w:t>b.</w:t>
      </w:r>
      <w:r w:rsidRPr="00F05CB9">
        <w:tab/>
      </w:r>
      <w:r>
        <w:t>t</w:t>
      </w:r>
      <w:r w:rsidRPr="00F05CB9">
        <w:t xml:space="preserve">otal dollar value of industrial hemp sold for processing; and </w:t>
      </w:r>
    </w:p>
    <w:p w14:paraId="420CF063" w14:textId="77777777" w:rsidR="00CC7582" w:rsidRPr="002D7DAE" w:rsidRDefault="00CD0355" w:rsidP="00CC7582">
      <w:pPr>
        <w:pStyle w:val="a0"/>
      </w:pPr>
      <w:r w:rsidRPr="00F05CB9">
        <w:rPr>
          <w:kern w:val="0"/>
        </w:rPr>
        <w:t>c.</w:t>
      </w:r>
      <w:r w:rsidRPr="00F05CB9">
        <w:rPr>
          <w:kern w:val="0"/>
        </w:rPr>
        <w:tab/>
      </w:r>
      <w:r w:rsidR="00CC7582" w:rsidRPr="002D7DAE">
        <w:t>total amount of industrial hemp seed sold;</w:t>
      </w:r>
    </w:p>
    <w:p w14:paraId="056ED731" w14:textId="77777777" w:rsidR="00CC7582" w:rsidRPr="002D7DAE" w:rsidRDefault="00CC7582" w:rsidP="00CC7582">
      <w:pPr>
        <w:pStyle w:val="a0"/>
      </w:pPr>
      <w:r w:rsidRPr="002D7DAE">
        <w:t>d.</w:t>
      </w:r>
      <w:r w:rsidRPr="002D7DAE">
        <w:tab/>
        <w:t>total value of industrial hemp seed sold; and</w:t>
      </w:r>
    </w:p>
    <w:p w14:paraId="08422262" w14:textId="77777777" w:rsidR="00CD0355" w:rsidRPr="00DF6D8D" w:rsidRDefault="00CC7582" w:rsidP="00CC7582">
      <w:pPr>
        <w:pStyle w:val="a0"/>
        <w:rPr>
          <w:color w:val="000000"/>
        </w:rPr>
      </w:pPr>
      <w:r w:rsidRPr="002D7DAE">
        <w:t>e.</w:t>
      </w:r>
      <w:r w:rsidRPr="002D7DAE">
        <w:tab/>
        <w:t>current industrial hemp plant parts in storage and location of that storage.</w:t>
      </w:r>
    </w:p>
    <w:p w14:paraId="6C2DCA30" w14:textId="77777777" w:rsidR="00CD0355" w:rsidRPr="00DF6D8D" w:rsidRDefault="00CD0355" w:rsidP="00CD0355">
      <w:pPr>
        <w:pStyle w:val="1"/>
        <w:rPr>
          <w:color w:val="000000"/>
        </w:rPr>
      </w:pPr>
      <w:r w:rsidRPr="00DF6D8D">
        <w:rPr>
          <w:color w:val="000000"/>
        </w:rPr>
        <w:t>2.</w:t>
      </w:r>
      <w:r w:rsidRPr="00DF6D8D">
        <w:rPr>
          <w:color w:val="000000"/>
        </w:rPr>
        <w:tab/>
        <w:t>Annual reports submitted by licensed processors shall include the following:</w:t>
      </w:r>
    </w:p>
    <w:p w14:paraId="33B2834E" w14:textId="77777777" w:rsidR="00CD0355" w:rsidRPr="00DF6D8D" w:rsidRDefault="00CD0355" w:rsidP="00CD0355">
      <w:pPr>
        <w:pStyle w:val="a0"/>
        <w:rPr>
          <w:color w:val="000000"/>
        </w:rPr>
      </w:pPr>
      <w:r w:rsidRPr="00DF6D8D">
        <w:rPr>
          <w:color w:val="000000"/>
        </w:rPr>
        <w:t>a.</w:t>
      </w:r>
      <w:r w:rsidRPr="00DF6D8D">
        <w:rPr>
          <w:color w:val="000000"/>
        </w:rPr>
        <w:tab/>
        <w:t>total amount of industrial hemp processed;</w:t>
      </w:r>
    </w:p>
    <w:p w14:paraId="62642884" w14:textId="77777777" w:rsidR="00CD0355" w:rsidRPr="00DF6D8D" w:rsidRDefault="00CD0355" w:rsidP="00CD0355">
      <w:pPr>
        <w:pStyle w:val="a0"/>
        <w:rPr>
          <w:color w:val="000000"/>
        </w:rPr>
      </w:pPr>
      <w:r w:rsidRPr="00DF6D8D">
        <w:rPr>
          <w:color w:val="000000"/>
        </w:rPr>
        <w:t>b.</w:t>
      </w:r>
      <w:r w:rsidRPr="00DF6D8D">
        <w:rPr>
          <w:color w:val="000000"/>
        </w:rPr>
        <w:tab/>
        <w:t xml:space="preserve">type of processing, including but not limited to fiber, seeds, oil, or other uses; and </w:t>
      </w:r>
    </w:p>
    <w:p w14:paraId="37734059" w14:textId="77777777" w:rsidR="00CD0355" w:rsidRPr="00DF6D8D" w:rsidRDefault="00CD0355" w:rsidP="00CD0355">
      <w:pPr>
        <w:pStyle w:val="a0"/>
        <w:rPr>
          <w:color w:val="000000"/>
        </w:rPr>
      </w:pPr>
      <w:r w:rsidRPr="00DF6D8D">
        <w:rPr>
          <w:color w:val="000000"/>
        </w:rPr>
        <w:t>c.</w:t>
      </w:r>
      <w:r w:rsidRPr="00DF6D8D">
        <w:rPr>
          <w:color w:val="000000"/>
        </w:rPr>
        <w:tab/>
        <w:t>total dollar value of industrial hemp processed.</w:t>
      </w:r>
    </w:p>
    <w:p w14:paraId="5B785B7D" w14:textId="77777777" w:rsidR="00CD0355" w:rsidRPr="00DF6D8D" w:rsidRDefault="00CD0355" w:rsidP="00CD0355">
      <w:pPr>
        <w:pStyle w:val="1"/>
        <w:rPr>
          <w:color w:val="000000"/>
        </w:rPr>
      </w:pPr>
      <w:r w:rsidRPr="00DF6D8D">
        <w:rPr>
          <w:color w:val="000000"/>
        </w:rPr>
        <w:t>3.</w:t>
      </w:r>
      <w:r w:rsidRPr="00DF6D8D">
        <w:rPr>
          <w:color w:val="000000"/>
        </w:rPr>
        <w:tab/>
        <w:t>Failure to submit a complete and accurate annual production report may constitute a violation of this Chapter.</w:t>
      </w:r>
    </w:p>
    <w:p w14:paraId="335ABD5A"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3:1466.</w:t>
      </w:r>
    </w:p>
    <w:p w14:paraId="3B1EF199" w14:textId="77777777" w:rsidR="00CD0355" w:rsidRDefault="00CD0355" w:rsidP="00CD0355">
      <w:pPr>
        <w:pStyle w:val="HistoricalNote"/>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w:t>
      </w:r>
      <w:r w:rsidR="00CC7582" w:rsidRPr="002D7DAE">
        <w:t xml:space="preserve">1), </w:t>
      </w:r>
      <w:r w:rsidR="00CC7582">
        <w:t>LR 48:1744 (July 2022).</w:t>
      </w:r>
    </w:p>
    <w:p w14:paraId="2D27547F" w14:textId="77777777" w:rsidR="000B299E" w:rsidRPr="001E5B02" w:rsidRDefault="000B299E" w:rsidP="000B299E">
      <w:pPr>
        <w:pStyle w:val="Section"/>
        <w:rPr>
          <w:color w:val="000000"/>
        </w:rPr>
      </w:pPr>
      <w:bookmarkStart w:id="1301" w:name="_Toc224818880"/>
      <w:r w:rsidRPr="001E5B02">
        <w:rPr>
          <w:color w:val="000000"/>
        </w:rPr>
        <w:t>§1330.</w:t>
      </w:r>
      <w:r w:rsidRPr="001E5B02">
        <w:rPr>
          <w:color w:val="000000"/>
        </w:rPr>
        <w:tab/>
        <w:t>Industrial Hemp Research</w:t>
      </w:r>
      <w:bookmarkEnd w:id="1301"/>
    </w:p>
    <w:p w14:paraId="58E164C7" w14:textId="77777777" w:rsidR="000B299E" w:rsidRPr="001E5B02" w:rsidRDefault="000B299E" w:rsidP="000B299E">
      <w:pPr>
        <w:pStyle w:val="A"/>
        <w:rPr>
          <w:color w:val="000000"/>
        </w:rPr>
      </w:pPr>
      <w:r w:rsidRPr="001E5B02">
        <w:rPr>
          <w:color w:val="000000"/>
        </w:rPr>
        <w:t>A.</w:t>
      </w:r>
      <w:r w:rsidRPr="001E5B02">
        <w:rPr>
          <w:color w:val="000000"/>
        </w:rPr>
        <w:tab/>
        <w:t xml:space="preserve">Except for those entities exempted pursuant to R.S. 3:1469, all research institutions who intend to perform industrial hemp research shall possess a valid license with LDAF, and submit an annual industrial hemp research plan to LDAF. The research plan shall include, but not be limited to, the following information: </w:t>
      </w:r>
    </w:p>
    <w:p w14:paraId="59E3FB8F" w14:textId="77777777" w:rsidR="000B299E" w:rsidRPr="001E5B02" w:rsidRDefault="000B299E" w:rsidP="000B299E">
      <w:pPr>
        <w:pStyle w:val="1"/>
        <w:rPr>
          <w:color w:val="000000"/>
        </w:rPr>
      </w:pPr>
      <w:r w:rsidRPr="001E5B02">
        <w:rPr>
          <w:color w:val="000000"/>
        </w:rPr>
        <w:t>1.</w:t>
      </w:r>
      <w:r w:rsidRPr="001E5B02">
        <w:rPr>
          <w:color w:val="000000"/>
        </w:rPr>
        <w:tab/>
        <w:t xml:space="preserve">a detailed research summary outlining the purpose and objectives that demonstrates to LDAF’s satisfaction that research of hemp is being performed; </w:t>
      </w:r>
    </w:p>
    <w:p w14:paraId="1A3691EA" w14:textId="77777777"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 xml:space="preserve">all locations where industrial hemp research will be conducted; </w:t>
      </w:r>
    </w:p>
    <w:p w14:paraId="3A88863D" w14:textId="77777777" w:rsidR="000B299E" w:rsidRPr="001E5B02" w:rsidRDefault="000B299E" w:rsidP="000B299E">
      <w:pPr>
        <w:pStyle w:val="1"/>
        <w:rPr>
          <w:color w:val="000000"/>
        </w:rPr>
      </w:pPr>
      <w:r w:rsidRPr="001E5B02">
        <w:rPr>
          <w:color w:val="000000"/>
        </w:rPr>
        <w:t>3.</w:t>
      </w:r>
      <w:r w:rsidRPr="001E5B02">
        <w:rPr>
          <w:b/>
          <w:color w:val="000000"/>
        </w:rPr>
        <w:tab/>
      </w:r>
      <w:r w:rsidRPr="001E5B02">
        <w:rPr>
          <w:color w:val="000000"/>
        </w:rPr>
        <w:t>strain(s) and/or variety(ies) of industrial hemp used in the research;</w:t>
      </w:r>
    </w:p>
    <w:p w14:paraId="2292AFE6" w14:textId="77777777" w:rsidR="000B299E" w:rsidRPr="001E5B02" w:rsidRDefault="000B299E" w:rsidP="000B299E">
      <w:pPr>
        <w:pStyle w:val="1"/>
        <w:rPr>
          <w:color w:val="000000"/>
        </w:rPr>
      </w:pPr>
      <w:r w:rsidRPr="001E5B02">
        <w:rPr>
          <w:color w:val="000000"/>
        </w:rPr>
        <w:t>4.</w:t>
      </w:r>
      <w:r w:rsidRPr="001E5B02">
        <w:rPr>
          <w:b/>
          <w:color w:val="000000"/>
        </w:rPr>
        <w:tab/>
      </w:r>
      <w:r w:rsidRPr="001E5B02">
        <w:rPr>
          <w:color w:val="000000"/>
        </w:rPr>
        <w:t xml:space="preserve">a timeline of all research activities; </w:t>
      </w:r>
    </w:p>
    <w:p w14:paraId="7072C6F2" w14:textId="77777777" w:rsidR="000B299E" w:rsidRPr="001E5B02" w:rsidRDefault="000B299E" w:rsidP="000B299E">
      <w:pPr>
        <w:pStyle w:val="1"/>
        <w:rPr>
          <w:color w:val="000000"/>
        </w:rPr>
      </w:pPr>
      <w:r w:rsidRPr="001E5B02">
        <w:rPr>
          <w:color w:val="000000"/>
        </w:rPr>
        <w:t>5.</w:t>
      </w:r>
      <w:r w:rsidRPr="001E5B02">
        <w:rPr>
          <w:b/>
          <w:color w:val="000000"/>
        </w:rPr>
        <w:tab/>
      </w:r>
      <w:r w:rsidRPr="001E5B02">
        <w:rPr>
          <w:color w:val="000000"/>
        </w:rPr>
        <w:t xml:space="preserve">a destruction plan for all cannabis plants involved in the research; </w:t>
      </w:r>
    </w:p>
    <w:p w14:paraId="7E471B2F" w14:textId="77777777" w:rsidR="000B299E" w:rsidRPr="001E5B02" w:rsidRDefault="000B299E" w:rsidP="000B299E">
      <w:pPr>
        <w:pStyle w:val="1"/>
        <w:rPr>
          <w:color w:val="000000"/>
        </w:rPr>
      </w:pPr>
      <w:r w:rsidRPr="001E5B02">
        <w:rPr>
          <w:color w:val="000000"/>
        </w:rPr>
        <w:t>6.</w:t>
      </w:r>
      <w:r w:rsidRPr="001E5B02">
        <w:rPr>
          <w:b/>
          <w:color w:val="000000"/>
        </w:rPr>
        <w:tab/>
      </w:r>
      <w:r w:rsidRPr="001E5B02">
        <w:rPr>
          <w:color w:val="000000"/>
        </w:rPr>
        <w:t>results of hemp-related research information and findings conducted by the licensee during the previous 12-month period.</w:t>
      </w:r>
      <w:r w:rsidRPr="001E5B02">
        <w:rPr>
          <w:b/>
          <w:color w:val="000000"/>
        </w:rPr>
        <w:t xml:space="preserve"> </w:t>
      </w:r>
      <w:r w:rsidRPr="001E5B02">
        <w:rPr>
          <w:color w:val="000000"/>
        </w:rPr>
        <w:t xml:space="preserve">Trade secret or patent information developed from hemp research may be omitted from the annual research plan so long as it is necessary for the research institution to protect such information; and </w:t>
      </w:r>
    </w:p>
    <w:p w14:paraId="08EAE239" w14:textId="77777777" w:rsidR="000B299E" w:rsidRPr="001E5B02" w:rsidRDefault="000B299E" w:rsidP="000B299E">
      <w:pPr>
        <w:pStyle w:val="1"/>
        <w:rPr>
          <w:color w:val="000000"/>
        </w:rPr>
      </w:pPr>
      <w:r w:rsidRPr="001E5B02">
        <w:rPr>
          <w:color w:val="000000"/>
        </w:rPr>
        <w:t>7.</w:t>
      </w:r>
      <w:r w:rsidRPr="001E5B02">
        <w:rPr>
          <w:b/>
          <w:color w:val="000000"/>
        </w:rPr>
        <w:tab/>
      </w:r>
      <w:r w:rsidRPr="001E5B02">
        <w:rPr>
          <w:color w:val="000000"/>
        </w:rPr>
        <w:t>any other information as may be requested by LDAF.</w:t>
      </w:r>
    </w:p>
    <w:p w14:paraId="35F559D5" w14:textId="77777777" w:rsidR="000B299E" w:rsidRPr="001E5B02" w:rsidRDefault="000B299E" w:rsidP="000B299E">
      <w:pPr>
        <w:pStyle w:val="A"/>
        <w:rPr>
          <w:color w:val="000000"/>
        </w:rPr>
      </w:pPr>
      <w:r w:rsidRPr="001E5B02">
        <w:rPr>
          <w:color w:val="000000"/>
        </w:rPr>
        <w:t>B.</w:t>
      </w:r>
      <w:r w:rsidRPr="001E5B02">
        <w:rPr>
          <w:color w:val="000000"/>
        </w:rPr>
        <w:tab/>
        <w:t>No industrial hemp research shall be performed without first obtaining written approval of a research plan from LDAF;</w:t>
      </w:r>
    </w:p>
    <w:p w14:paraId="208411E7" w14:textId="77777777" w:rsidR="000B299E" w:rsidRPr="001E5B02" w:rsidRDefault="000B299E" w:rsidP="000B299E">
      <w:pPr>
        <w:pStyle w:val="A"/>
        <w:rPr>
          <w:color w:val="000000"/>
        </w:rPr>
      </w:pPr>
      <w:r w:rsidRPr="001E5B02">
        <w:rPr>
          <w:color w:val="000000"/>
        </w:rPr>
        <w:t>C.</w:t>
      </w:r>
      <w:r w:rsidRPr="001E5B02">
        <w:rPr>
          <w:color w:val="000000"/>
        </w:rPr>
        <w:tab/>
        <w:t xml:space="preserve">No industrial hemp research shall be performed on strains or varieties not pre-approved by LDAF; </w:t>
      </w:r>
    </w:p>
    <w:p w14:paraId="05AF9660" w14:textId="77777777" w:rsidR="000B299E" w:rsidRPr="001E5B02" w:rsidRDefault="000B299E" w:rsidP="000B299E">
      <w:pPr>
        <w:pStyle w:val="A"/>
        <w:rPr>
          <w:color w:val="000000"/>
        </w:rPr>
      </w:pPr>
      <w:r w:rsidRPr="001E5B02">
        <w:rPr>
          <w:color w:val="000000"/>
        </w:rPr>
        <w:t>D.</w:t>
      </w:r>
      <w:r w:rsidRPr="001E5B02">
        <w:rPr>
          <w:color w:val="000000"/>
        </w:rPr>
        <w:tab/>
        <w:t>Any change(s) to the research plan must be submitted in writing to, and approved by, LDAF prior to implementation of the change(s);</w:t>
      </w:r>
    </w:p>
    <w:p w14:paraId="3C2890FB" w14:textId="77777777" w:rsidR="000B299E" w:rsidRPr="001E5B02" w:rsidRDefault="000B299E" w:rsidP="000B299E">
      <w:pPr>
        <w:pStyle w:val="A"/>
        <w:rPr>
          <w:color w:val="000000"/>
        </w:rPr>
      </w:pPr>
      <w:r w:rsidRPr="001E5B02">
        <w:rPr>
          <w:color w:val="000000"/>
        </w:rPr>
        <w:t>E.</w:t>
      </w:r>
      <w:r w:rsidRPr="001E5B02">
        <w:rPr>
          <w:color w:val="000000"/>
        </w:rPr>
        <w:tab/>
      </w:r>
      <w:r w:rsidRPr="001E5B02">
        <w:rPr>
          <w:color w:val="000000"/>
        </w:rPr>
        <w:tab/>
        <w:t>Industrial hemp or industrial hemp plant parts grown for research purposes shall not be offered for sale or enter the stream of commerce, except as otherwise provided in this Chapter;</w:t>
      </w:r>
    </w:p>
    <w:p w14:paraId="7B4EB82F" w14:textId="77777777" w:rsidR="000B299E" w:rsidRPr="001E5B02" w:rsidRDefault="000B299E" w:rsidP="000B299E">
      <w:pPr>
        <w:pStyle w:val="A"/>
        <w:rPr>
          <w:color w:val="000000"/>
        </w:rPr>
      </w:pPr>
      <w:r w:rsidRPr="001E5B02">
        <w:rPr>
          <w:color w:val="000000"/>
        </w:rPr>
        <w:t>F.</w:t>
      </w:r>
      <w:r w:rsidRPr="001E5B02">
        <w:rPr>
          <w:color w:val="000000"/>
        </w:rPr>
        <w:tab/>
      </w:r>
      <w:r w:rsidRPr="001E5B02">
        <w:rPr>
          <w:color w:val="000000"/>
        </w:rPr>
        <w:tab/>
        <w:t>Industrial hemp grown for research purposes shall be subject to the inspection, record keeping, sampling, and testing requirements as set forth in this Chapter;</w:t>
      </w:r>
    </w:p>
    <w:p w14:paraId="15FCDC76" w14:textId="77777777" w:rsidR="000B299E" w:rsidRPr="001E5B02" w:rsidRDefault="000B299E" w:rsidP="000B299E">
      <w:pPr>
        <w:pStyle w:val="A"/>
        <w:rPr>
          <w:color w:val="000000"/>
        </w:rPr>
      </w:pPr>
      <w:r w:rsidRPr="001E5B02">
        <w:rPr>
          <w:color w:val="000000"/>
        </w:rPr>
        <w:t>G.</w:t>
      </w:r>
      <w:r w:rsidRPr="001E5B02">
        <w:rPr>
          <w:b/>
          <w:color w:val="000000"/>
        </w:rPr>
        <w:tab/>
      </w:r>
      <w:r w:rsidRPr="001E5B02">
        <w:rPr>
          <w:color w:val="000000"/>
        </w:rPr>
        <w:t>Licensees producing industrial hemp for both commercial and research purposes at the same location shall meet the following minimum isolation requirements between commercial and research plants and plant parts:</w:t>
      </w:r>
    </w:p>
    <w:p w14:paraId="20A2583C" w14:textId="77777777" w:rsidR="000B299E" w:rsidRPr="001E5B02" w:rsidRDefault="000B299E" w:rsidP="000B299E">
      <w:pPr>
        <w:pStyle w:val="1"/>
        <w:rPr>
          <w:color w:val="000000"/>
        </w:rPr>
      </w:pPr>
      <w:r w:rsidRPr="001E5B02">
        <w:rPr>
          <w:color w:val="000000"/>
        </w:rPr>
        <w:t>1.</w:t>
      </w:r>
      <w:r w:rsidRPr="001E5B02">
        <w:rPr>
          <w:b/>
          <w:color w:val="000000"/>
        </w:rPr>
        <w:tab/>
      </w:r>
      <w:r w:rsidRPr="001E5B02">
        <w:rPr>
          <w:color w:val="000000"/>
        </w:rPr>
        <w:t>material grown or stored indoors shall be separated at all times by contiguous walls extending from the floor to the structure’s ceiling; and</w:t>
      </w:r>
    </w:p>
    <w:p w14:paraId="0F1FC693" w14:textId="77777777"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material grown or stored outdoors shall be separated by a minimum distance of twenty (20) feet at all times;</w:t>
      </w:r>
    </w:p>
    <w:p w14:paraId="5111A189" w14:textId="77777777" w:rsidR="000B299E" w:rsidRPr="001E5B02" w:rsidRDefault="000B299E" w:rsidP="000B299E">
      <w:pPr>
        <w:pStyle w:val="A"/>
        <w:rPr>
          <w:color w:val="000000"/>
        </w:rPr>
      </w:pPr>
      <w:r w:rsidRPr="001E5B02">
        <w:rPr>
          <w:color w:val="000000"/>
        </w:rPr>
        <w:t>H.</w:t>
      </w:r>
      <w:r w:rsidRPr="001E5B02">
        <w:rPr>
          <w:color w:val="000000"/>
        </w:rPr>
        <w:tab/>
        <w:t>Each industrial hemp lot and harvested plant material produced for research purposes shall be plainly and clearly identified with the following information;</w:t>
      </w:r>
    </w:p>
    <w:p w14:paraId="2C6EDE16" w14:textId="77777777" w:rsidR="000B299E" w:rsidRPr="001E5B02" w:rsidRDefault="000B299E" w:rsidP="000B299E">
      <w:pPr>
        <w:pStyle w:val="1"/>
        <w:rPr>
          <w:color w:val="000000"/>
        </w:rPr>
      </w:pPr>
      <w:r w:rsidRPr="001E5B02">
        <w:rPr>
          <w:color w:val="000000"/>
        </w:rPr>
        <w:t>1.</w:t>
      </w:r>
      <w:r w:rsidRPr="001E5B02">
        <w:rPr>
          <w:b/>
          <w:color w:val="000000"/>
        </w:rPr>
        <w:tab/>
      </w:r>
      <w:r w:rsidRPr="001E5B02">
        <w:rPr>
          <w:color w:val="000000"/>
        </w:rPr>
        <w:t xml:space="preserve">“for research purposes,” and </w:t>
      </w:r>
    </w:p>
    <w:p w14:paraId="344AB940" w14:textId="77777777"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 xml:space="preserve">the name of the strain or variety. </w:t>
      </w:r>
    </w:p>
    <w:p w14:paraId="31B19C20" w14:textId="77777777" w:rsidR="000B299E" w:rsidRPr="001E5B02" w:rsidRDefault="000B299E" w:rsidP="000B299E">
      <w:pPr>
        <w:pStyle w:val="A"/>
        <w:rPr>
          <w:color w:val="000000"/>
        </w:rPr>
      </w:pPr>
      <w:r w:rsidRPr="001E5B02">
        <w:rPr>
          <w:color w:val="000000"/>
        </w:rPr>
        <w:t>I.</w:t>
      </w:r>
      <w:r w:rsidRPr="001E5B02">
        <w:rPr>
          <w:b/>
          <w:color w:val="000000"/>
        </w:rPr>
        <w:tab/>
      </w:r>
      <w:r w:rsidRPr="001E5B02">
        <w:rPr>
          <w:color w:val="000000"/>
        </w:rPr>
        <w:t xml:space="preserve">Research institutions shall be assessed a negligent violation if the THC content of a sample collected by LDAF exceeds 1 percent total delta-9 tetrahydrocannabinol. Research institutions shall not receive more than one negligent violation in a growing season. </w:t>
      </w:r>
    </w:p>
    <w:p w14:paraId="05BF433B" w14:textId="77777777" w:rsidR="000B299E" w:rsidRPr="001E5B02" w:rsidRDefault="000B299E" w:rsidP="000B299E">
      <w:pPr>
        <w:pStyle w:val="A"/>
        <w:rPr>
          <w:color w:val="000000"/>
        </w:rPr>
      </w:pPr>
      <w:r w:rsidRPr="001E5B02">
        <w:rPr>
          <w:color w:val="000000"/>
        </w:rPr>
        <w:t>J.</w:t>
      </w:r>
      <w:r w:rsidRPr="001E5B02">
        <w:rPr>
          <w:b/>
          <w:color w:val="000000"/>
        </w:rPr>
        <w:tab/>
      </w:r>
      <w:r w:rsidRPr="001E5B02">
        <w:rPr>
          <w:color w:val="000000"/>
        </w:rPr>
        <w:t xml:space="preserve">If during the course of cultivation, the research institution decides to convert an industrial hemp research plot into commercial production, then the plot shall comply with the sampling and testing requirements set forth in this Chapter. </w:t>
      </w:r>
    </w:p>
    <w:p w14:paraId="1582EC7A" w14:textId="77777777" w:rsidR="000B299E" w:rsidRPr="001E5B02" w:rsidRDefault="000B299E" w:rsidP="000B299E">
      <w:pPr>
        <w:pStyle w:val="AuthorityNote"/>
        <w:rPr>
          <w:color w:val="000000"/>
        </w:rPr>
      </w:pPr>
      <w:r w:rsidRPr="001E5B02">
        <w:rPr>
          <w:color w:val="000000"/>
        </w:rPr>
        <w:t>AUTHORITY NOTE: Promulgated in accordance with R.S. 3:1464 and R.S. 3:1469.</w:t>
      </w:r>
    </w:p>
    <w:p w14:paraId="5AB6C715" w14:textId="77777777" w:rsidR="000B299E" w:rsidRPr="00DF6D8D" w:rsidRDefault="000B299E" w:rsidP="000B299E">
      <w:pPr>
        <w:pStyle w:val="HistoricalNote"/>
        <w:rPr>
          <w:color w:val="000000"/>
        </w:rPr>
      </w:pPr>
      <w:r w:rsidRPr="001E5B02">
        <w:rPr>
          <w:color w:val="000000"/>
        </w:rPr>
        <w:t>HISTORICAL NOTE: Promulgated by the Department of Agriculture and Forestry, Office of Agricultural and Environmental Sciences, Agricultural Chemistry and Seed Commission, LR 47:</w:t>
      </w:r>
      <w:r>
        <w:rPr>
          <w:color w:val="000000"/>
        </w:rPr>
        <w:t>1837</w:t>
      </w:r>
      <w:r w:rsidRPr="001E5B02">
        <w:rPr>
          <w:color w:val="000000"/>
        </w:rPr>
        <w:t xml:space="preserve"> (December 2021).</w:t>
      </w:r>
    </w:p>
    <w:p w14:paraId="31004466" w14:textId="77777777" w:rsidR="00CD0355" w:rsidRPr="00DF6D8D" w:rsidRDefault="00CD0355" w:rsidP="00CD0355">
      <w:pPr>
        <w:pStyle w:val="Section"/>
        <w:rPr>
          <w:color w:val="000000"/>
        </w:rPr>
      </w:pPr>
      <w:bookmarkStart w:id="1302" w:name="_Toc224818881"/>
      <w:r w:rsidRPr="00DF6D8D">
        <w:rPr>
          <w:color w:val="000000"/>
        </w:rPr>
        <w:t>§1331.</w:t>
      </w:r>
      <w:r w:rsidRPr="00DF6D8D">
        <w:rPr>
          <w:color w:val="000000"/>
        </w:rPr>
        <w:tab/>
        <w:t>Records</w:t>
      </w:r>
      <w:bookmarkEnd w:id="1302"/>
    </w:p>
    <w:p w14:paraId="724CD9BD" w14:textId="77777777" w:rsidR="00CD0355" w:rsidRPr="00DF6D8D" w:rsidRDefault="00CD0355" w:rsidP="00CD0355">
      <w:pPr>
        <w:pStyle w:val="A"/>
        <w:rPr>
          <w:color w:val="000000"/>
        </w:rPr>
      </w:pPr>
      <w:r w:rsidRPr="00DF6D8D">
        <w:rPr>
          <w:color w:val="000000"/>
        </w:rPr>
        <w:t>A.</w:t>
      </w:r>
      <w:r w:rsidRPr="00DF6D8D">
        <w:rPr>
          <w:color w:val="000000"/>
        </w:rPr>
        <w:tab/>
        <w:t xml:space="preserve">All licensees shall maintain, at a minimum, the following records, where applicable: </w:t>
      </w:r>
    </w:p>
    <w:p w14:paraId="094A1BF4" w14:textId="77777777" w:rsidR="00CD0355" w:rsidRPr="00DF6D8D" w:rsidRDefault="00CD0355" w:rsidP="00CD0355">
      <w:pPr>
        <w:pStyle w:val="1"/>
        <w:rPr>
          <w:color w:val="000000"/>
        </w:rPr>
      </w:pPr>
      <w:r w:rsidRPr="00DF6D8D">
        <w:rPr>
          <w:color w:val="000000"/>
        </w:rPr>
        <w:t>1.</w:t>
      </w:r>
      <w:r w:rsidRPr="00DF6D8D">
        <w:rPr>
          <w:color w:val="000000"/>
        </w:rPr>
        <w:tab/>
        <w:t>all records for crop production and crop destruction;</w:t>
      </w:r>
    </w:p>
    <w:p w14:paraId="7B1F0F84" w14:textId="77777777" w:rsidR="00CD0355" w:rsidRPr="00DF6D8D" w:rsidRDefault="00CD0355" w:rsidP="00CD0355">
      <w:pPr>
        <w:pStyle w:val="1"/>
        <w:rPr>
          <w:color w:val="000000"/>
        </w:rPr>
      </w:pPr>
      <w:r w:rsidRPr="00DF6D8D">
        <w:rPr>
          <w:color w:val="000000"/>
        </w:rPr>
        <w:lastRenderedPageBreak/>
        <w:t>2.</w:t>
      </w:r>
      <w:r w:rsidRPr="00DF6D8D">
        <w:rPr>
          <w:color w:val="000000"/>
        </w:rPr>
        <w:tab/>
        <w:t xml:space="preserve">documentation of any sales or distribution, including the party to which all product was sold or distributed; </w:t>
      </w:r>
    </w:p>
    <w:p w14:paraId="71A33DC6" w14:textId="77777777" w:rsidR="00CD0355" w:rsidRPr="00DF6D8D" w:rsidRDefault="00CD0355" w:rsidP="00CD0355">
      <w:pPr>
        <w:pStyle w:val="1"/>
        <w:rPr>
          <w:color w:val="000000"/>
        </w:rPr>
      </w:pPr>
      <w:r w:rsidRPr="00DF6D8D">
        <w:rPr>
          <w:color w:val="000000"/>
        </w:rPr>
        <w:t>3.</w:t>
      </w:r>
      <w:r w:rsidRPr="00DF6D8D">
        <w:rPr>
          <w:color w:val="000000"/>
        </w:rPr>
        <w:tab/>
      </w:r>
      <w:r w:rsidR="000B299E" w:rsidRPr="001E5B02">
        <w:rPr>
          <w:color w:val="000000"/>
        </w:rPr>
        <w:t>for seed producers and growers, documentation of traceability from seed acquisition to harvest or crop termination; and</w:t>
      </w:r>
    </w:p>
    <w:p w14:paraId="1E85DAD4" w14:textId="77777777" w:rsidR="00CD0355" w:rsidRPr="00DF6D8D" w:rsidRDefault="00CD0355" w:rsidP="00CD0355">
      <w:pPr>
        <w:pStyle w:val="1"/>
        <w:rPr>
          <w:color w:val="000000"/>
        </w:rPr>
      </w:pPr>
      <w:r w:rsidRPr="00DF6D8D">
        <w:rPr>
          <w:color w:val="000000"/>
        </w:rPr>
        <w:t>4.</w:t>
      </w:r>
      <w:r w:rsidRPr="00DF6D8D">
        <w:rPr>
          <w:color w:val="000000"/>
        </w:rPr>
        <w:tab/>
        <w:t xml:space="preserve">for processors, documentation of industrial hemp acquisition from grower to their final product. </w:t>
      </w:r>
    </w:p>
    <w:p w14:paraId="1028C146" w14:textId="77777777" w:rsidR="000B299E" w:rsidRPr="001E5B02" w:rsidRDefault="00CD0355" w:rsidP="000B299E">
      <w:pPr>
        <w:pStyle w:val="A"/>
        <w:rPr>
          <w:color w:val="000000"/>
        </w:rPr>
      </w:pPr>
      <w:r w:rsidRPr="00DF6D8D">
        <w:rPr>
          <w:color w:val="000000"/>
        </w:rPr>
        <w:t>B.</w:t>
      </w:r>
      <w:r w:rsidRPr="00DF6D8D">
        <w:rPr>
          <w:color w:val="000000"/>
        </w:rPr>
        <w:tab/>
      </w:r>
      <w:r w:rsidR="000B299E" w:rsidRPr="001E5B02">
        <w:rPr>
          <w:color w:val="000000"/>
        </w:rPr>
        <w:t xml:space="preserve">All licensees transporting or delivering industrial hemp or industrial hemp plant parts shall have a copy of their license(s) in their possession at all times during transport or delivery. </w:t>
      </w:r>
    </w:p>
    <w:p w14:paraId="068B4E22" w14:textId="77777777" w:rsidR="000B299E" w:rsidRPr="001E5B02" w:rsidRDefault="000B299E" w:rsidP="000B299E">
      <w:pPr>
        <w:pStyle w:val="A"/>
        <w:rPr>
          <w:color w:val="000000"/>
        </w:rPr>
      </w:pPr>
      <w:r w:rsidRPr="001E5B02">
        <w:rPr>
          <w:color w:val="000000"/>
        </w:rPr>
        <w:t>C.</w:t>
      </w:r>
      <w:r w:rsidRPr="001E5B02">
        <w:rPr>
          <w:color w:val="000000"/>
        </w:rPr>
        <w:tab/>
        <w:t xml:space="preserve">Any person transporting or delivering industrial hemp or industrial hemp plant parts entered into commerce shall also have a dated invoice, bill of lading, or manifest in his or her possession at all times during transport or delivery, which shall include: </w:t>
      </w:r>
    </w:p>
    <w:p w14:paraId="29412E91" w14:textId="77777777" w:rsidR="000B299E" w:rsidRPr="001E5B02" w:rsidRDefault="000B299E" w:rsidP="000B299E">
      <w:pPr>
        <w:pStyle w:val="1"/>
        <w:rPr>
          <w:color w:val="000000"/>
        </w:rPr>
      </w:pPr>
      <w:r w:rsidRPr="001E5B02">
        <w:rPr>
          <w:color w:val="000000"/>
        </w:rPr>
        <w:t>1.</w:t>
      </w:r>
      <w:r w:rsidRPr="001E5B02">
        <w:rPr>
          <w:color w:val="000000"/>
        </w:rPr>
        <w:tab/>
        <w:t xml:space="preserve">the seller’s and purchaser’s name and address; </w:t>
      </w:r>
    </w:p>
    <w:p w14:paraId="44A43DB4" w14:textId="77777777" w:rsidR="000B299E" w:rsidRPr="001E5B02" w:rsidRDefault="000B299E" w:rsidP="000B299E">
      <w:pPr>
        <w:pStyle w:val="1"/>
        <w:rPr>
          <w:color w:val="000000"/>
        </w:rPr>
      </w:pPr>
      <w:r w:rsidRPr="001E5B02">
        <w:rPr>
          <w:color w:val="000000"/>
        </w:rPr>
        <w:t>2.</w:t>
      </w:r>
      <w:r w:rsidRPr="001E5B02">
        <w:rPr>
          <w:color w:val="000000"/>
        </w:rPr>
        <w:tab/>
        <w:t xml:space="preserve">the specific origin and destination of the industrial hemp being transported; and </w:t>
      </w:r>
    </w:p>
    <w:p w14:paraId="6BDFF1BD" w14:textId="77777777" w:rsidR="000B299E" w:rsidRPr="001E5B02" w:rsidRDefault="000B299E" w:rsidP="000B299E">
      <w:pPr>
        <w:pStyle w:val="1"/>
        <w:rPr>
          <w:color w:val="000000"/>
        </w:rPr>
      </w:pPr>
      <w:r w:rsidRPr="001E5B02">
        <w:rPr>
          <w:color w:val="000000"/>
        </w:rPr>
        <w:t>3.</w:t>
      </w:r>
      <w:r w:rsidRPr="001E5B02">
        <w:rPr>
          <w:color w:val="000000"/>
        </w:rPr>
        <w:tab/>
        <w:t>the quantity of industrial hemp being transported.</w:t>
      </w:r>
    </w:p>
    <w:p w14:paraId="0949C737" w14:textId="77777777" w:rsidR="000B299E" w:rsidRPr="001E5B02" w:rsidRDefault="000B299E" w:rsidP="000B299E">
      <w:pPr>
        <w:pStyle w:val="A"/>
        <w:rPr>
          <w:color w:val="000000"/>
        </w:rPr>
      </w:pPr>
      <w:r w:rsidRPr="001E5B02">
        <w:rPr>
          <w:color w:val="000000"/>
        </w:rPr>
        <w:t>D.</w:t>
      </w:r>
      <w:r w:rsidRPr="001E5B02">
        <w:rPr>
          <w:color w:val="000000"/>
        </w:rPr>
        <w:tab/>
        <w:t xml:space="preserve">All records required under R.S. 3:1466 and this Chapter shall be maintained by the licensee while the license is valid and for a minimum of three years after the expiration of the license </w:t>
      </w:r>
    </w:p>
    <w:p w14:paraId="6E6C3DA7" w14:textId="77777777" w:rsidR="00CD0355" w:rsidRPr="00DF6D8D" w:rsidRDefault="000B299E" w:rsidP="000B299E">
      <w:pPr>
        <w:pStyle w:val="A"/>
        <w:rPr>
          <w:color w:val="000000"/>
        </w:rPr>
      </w:pPr>
      <w:r w:rsidRPr="001E5B02">
        <w:rPr>
          <w:color w:val="000000"/>
        </w:rPr>
        <w:t>E.</w:t>
      </w:r>
      <w:r w:rsidRPr="001E5B02">
        <w:rPr>
          <w:color w:val="000000"/>
        </w:rPr>
        <w:tab/>
        <w:t>Required records shall be provided for inspection within 48 hours upon request by LDAF.</w:t>
      </w:r>
    </w:p>
    <w:p w14:paraId="4986241B" w14:textId="77777777"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and R.S. 3:1466. </w:t>
      </w:r>
    </w:p>
    <w:p w14:paraId="3A240423" w14:textId="77777777"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 (February 2020)</w:t>
      </w:r>
      <w:r w:rsidR="000B299E" w:rsidRPr="001E5B02">
        <w:rPr>
          <w:color w:val="000000"/>
          <w:sz w:val="16"/>
          <w:szCs w:val="16"/>
        </w:rPr>
        <w:t xml:space="preserve">, </w:t>
      </w:r>
      <w:r w:rsidR="000B299E" w:rsidRPr="001E5B02">
        <w:rPr>
          <w:color w:val="000000"/>
          <w:szCs w:val="16"/>
        </w:rPr>
        <w:t>amended LR 47:</w:t>
      </w:r>
      <w:r w:rsidR="000B299E">
        <w:rPr>
          <w:color w:val="000000"/>
          <w:szCs w:val="16"/>
        </w:rPr>
        <w:t>1837</w:t>
      </w:r>
      <w:r w:rsidR="000B299E" w:rsidRPr="001E5B02">
        <w:rPr>
          <w:color w:val="000000"/>
          <w:szCs w:val="16"/>
        </w:rPr>
        <w:t xml:space="preserve"> (December 2021).</w:t>
      </w:r>
    </w:p>
    <w:p w14:paraId="12BF94E0" w14:textId="77777777" w:rsidR="00CD0355" w:rsidRPr="00DF6D8D" w:rsidRDefault="00CD0355" w:rsidP="00CD0355">
      <w:pPr>
        <w:pStyle w:val="Chapter"/>
        <w:rPr>
          <w:color w:val="000000"/>
        </w:rPr>
      </w:pPr>
      <w:bookmarkStart w:id="1303" w:name="_Toc224818882"/>
      <w:r w:rsidRPr="00DF6D8D">
        <w:rPr>
          <w:color w:val="000000"/>
        </w:rPr>
        <w:t>Subchapter G.</w:t>
      </w:r>
      <w:r w:rsidRPr="00DF6D8D">
        <w:rPr>
          <w:color w:val="000000"/>
        </w:rPr>
        <w:tab/>
        <w:t>Inspections</w:t>
      </w:r>
      <w:bookmarkEnd w:id="1303"/>
    </w:p>
    <w:p w14:paraId="5ABF06E7" w14:textId="77777777" w:rsidR="00CD0355" w:rsidRPr="00DF6D8D" w:rsidRDefault="00CD0355" w:rsidP="00CD0355">
      <w:pPr>
        <w:pStyle w:val="Section"/>
        <w:rPr>
          <w:color w:val="000000"/>
        </w:rPr>
      </w:pPr>
      <w:bookmarkStart w:id="1304" w:name="_Toc224818883"/>
      <w:r w:rsidRPr="00DF6D8D">
        <w:rPr>
          <w:color w:val="000000"/>
        </w:rPr>
        <w:t>§1332.</w:t>
      </w:r>
      <w:r w:rsidRPr="00DF6D8D">
        <w:rPr>
          <w:color w:val="000000"/>
        </w:rPr>
        <w:tab/>
        <w:t>Reporting to USDA</w:t>
      </w:r>
      <w:bookmarkEnd w:id="1304"/>
    </w:p>
    <w:p w14:paraId="6D78A83A" w14:textId="77777777" w:rsidR="00CD0355" w:rsidRPr="00DF6D8D" w:rsidRDefault="00CD0355" w:rsidP="00CD0355">
      <w:pPr>
        <w:pStyle w:val="A"/>
        <w:rPr>
          <w:color w:val="000000"/>
        </w:rPr>
      </w:pPr>
      <w:r w:rsidRPr="00DF6D8D">
        <w:rPr>
          <w:color w:val="000000"/>
        </w:rPr>
        <w:t>A.</w:t>
      </w:r>
      <w:r w:rsidRPr="00DF6D8D">
        <w:rPr>
          <w:color w:val="000000"/>
        </w:rPr>
        <w:tab/>
      </w:r>
      <w:r w:rsidR="00CC7582" w:rsidRPr="002D7DAE">
        <w:t xml:space="preserve">LDAF shall submit to USDA a report providing the contact information and the status of the license issued for each grower and seed producer. The report shall be submitted by the first of each month. If the first of the month falls on a weekend or holiday, the report is due by the first business day following the due date. The report shall be submitted through the USDA’s online Hemp eManagement Platform (HeMP) system or by any other manner of submission that may be required by USDA. The report shall contain the following information: </w:t>
      </w:r>
      <w:r w:rsidRPr="00DF6D8D">
        <w:rPr>
          <w:color w:val="000000"/>
        </w:rPr>
        <w:t xml:space="preserve"> </w:t>
      </w:r>
    </w:p>
    <w:p w14:paraId="48DAB0E1" w14:textId="77777777" w:rsidR="00CD0355" w:rsidRPr="00DF6D8D" w:rsidRDefault="00CD0355" w:rsidP="00CD0355">
      <w:pPr>
        <w:pStyle w:val="1"/>
        <w:rPr>
          <w:color w:val="000000"/>
        </w:rPr>
      </w:pPr>
      <w:r w:rsidRPr="00DF6D8D">
        <w:rPr>
          <w:color w:val="000000"/>
        </w:rPr>
        <w:t>1.</w:t>
      </w:r>
      <w:r w:rsidRPr="00DF6D8D">
        <w:rPr>
          <w:color w:val="000000"/>
        </w:rPr>
        <w:tab/>
        <w:t>For each new licensee that is an individual, the report shall include:</w:t>
      </w:r>
    </w:p>
    <w:p w14:paraId="08C092AA" w14:textId="77777777" w:rsidR="00CD0355" w:rsidRPr="00DF6D8D" w:rsidRDefault="00CD0355" w:rsidP="00CD0355">
      <w:pPr>
        <w:pStyle w:val="a0"/>
        <w:rPr>
          <w:color w:val="000000"/>
        </w:rPr>
      </w:pPr>
      <w:r w:rsidRPr="00DF6D8D">
        <w:rPr>
          <w:color w:val="000000"/>
        </w:rPr>
        <w:t>a.</w:t>
      </w:r>
      <w:r w:rsidRPr="00DF6D8D">
        <w:rPr>
          <w:color w:val="000000"/>
        </w:rPr>
        <w:tab/>
        <w:t xml:space="preserve">the full name of the individual; </w:t>
      </w:r>
    </w:p>
    <w:p w14:paraId="5EC73EF3" w14:textId="77777777" w:rsidR="00CD0355" w:rsidRPr="00DF6D8D" w:rsidRDefault="00CD0355" w:rsidP="00CD0355">
      <w:pPr>
        <w:pStyle w:val="a0"/>
        <w:rPr>
          <w:color w:val="000000"/>
        </w:rPr>
      </w:pPr>
      <w:r w:rsidRPr="00DF6D8D">
        <w:rPr>
          <w:color w:val="000000"/>
        </w:rPr>
        <w:t>b.</w:t>
      </w:r>
      <w:r w:rsidRPr="00DF6D8D">
        <w:rPr>
          <w:color w:val="000000"/>
        </w:rPr>
        <w:tab/>
        <w:t>the license number and status;</w:t>
      </w:r>
    </w:p>
    <w:p w14:paraId="1CC6DD27" w14:textId="77777777" w:rsidR="00CD0355" w:rsidRPr="00DF6D8D" w:rsidRDefault="00CD0355" w:rsidP="00CD0355">
      <w:pPr>
        <w:pStyle w:val="a0"/>
        <w:rPr>
          <w:color w:val="000000"/>
        </w:rPr>
      </w:pPr>
      <w:r w:rsidRPr="00DF6D8D">
        <w:rPr>
          <w:color w:val="000000"/>
        </w:rPr>
        <w:t>c.</w:t>
      </w:r>
      <w:r w:rsidRPr="00DF6D8D">
        <w:rPr>
          <w:color w:val="000000"/>
        </w:rPr>
        <w:tab/>
        <w:t xml:space="preserve">the business address; </w:t>
      </w:r>
    </w:p>
    <w:p w14:paraId="141ED1B9" w14:textId="77777777" w:rsidR="00CD0355" w:rsidRPr="00DF6D8D" w:rsidRDefault="00CD0355" w:rsidP="00CD0355">
      <w:pPr>
        <w:pStyle w:val="a0"/>
        <w:rPr>
          <w:color w:val="000000"/>
        </w:rPr>
      </w:pPr>
      <w:r w:rsidRPr="00DF6D8D">
        <w:rPr>
          <w:color w:val="000000"/>
        </w:rPr>
        <w:t>d.</w:t>
      </w:r>
      <w:r w:rsidRPr="00DF6D8D">
        <w:rPr>
          <w:color w:val="000000"/>
        </w:rPr>
        <w:tab/>
        <w:t>telephone number and email address (if applicable); and</w:t>
      </w:r>
    </w:p>
    <w:p w14:paraId="7D6074A7" w14:textId="77777777" w:rsidR="00CD0355" w:rsidRPr="00DF6D8D" w:rsidRDefault="00CD0355" w:rsidP="00CD0355">
      <w:pPr>
        <w:pStyle w:val="a0"/>
        <w:rPr>
          <w:color w:val="000000"/>
        </w:rPr>
      </w:pPr>
      <w:r w:rsidRPr="00DF6D8D">
        <w:rPr>
          <w:color w:val="000000"/>
        </w:rPr>
        <w:t>e.</w:t>
      </w:r>
      <w:r w:rsidRPr="00DF6D8D">
        <w:rPr>
          <w:color w:val="000000"/>
        </w:rPr>
        <w:tab/>
        <w:t>a legal description and GPS coordinates for each field, greenhouse, indoor growing structure, or site where industrial hemp will be cultivated, handled, or stored</w:t>
      </w:r>
      <w:r w:rsidRPr="00DF6D8D">
        <w:rPr>
          <w:color w:val="000000"/>
        </w:rPr>
        <w:tab/>
        <w:t>.</w:t>
      </w:r>
    </w:p>
    <w:p w14:paraId="786831B0" w14:textId="77777777" w:rsidR="00CD0355" w:rsidRPr="00DF6D8D" w:rsidRDefault="00CD0355" w:rsidP="00CD0355">
      <w:pPr>
        <w:pStyle w:val="1"/>
        <w:rPr>
          <w:color w:val="000000"/>
        </w:rPr>
      </w:pPr>
      <w:r w:rsidRPr="00DF6D8D">
        <w:rPr>
          <w:color w:val="000000"/>
        </w:rPr>
        <w:t>2.</w:t>
      </w:r>
      <w:r w:rsidRPr="00DF6D8D">
        <w:rPr>
          <w:color w:val="000000"/>
        </w:rPr>
        <w:tab/>
        <w:t>For each new licensee that is a business entity, the report shall include:</w:t>
      </w:r>
    </w:p>
    <w:p w14:paraId="50471310" w14:textId="77777777"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entity; </w:t>
      </w:r>
    </w:p>
    <w:p w14:paraId="51B33CD4" w14:textId="77777777" w:rsidR="00CD0355" w:rsidRPr="00DF6D8D" w:rsidRDefault="00CD0355" w:rsidP="00CD0355">
      <w:pPr>
        <w:pStyle w:val="a0"/>
        <w:rPr>
          <w:color w:val="000000"/>
        </w:rPr>
      </w:pPr>
      <w:r w:rsidRPr="00DF6D8D">
        <w:rPr>
          <w:color w:val="000000"/>
        </w:rPr>
        <w:t>b.</w:t>
      </w:r>
      <w:r w:rsidRPr="00DF6D8D">
        <w:rPr>
          <w:color w:val="000000"/>
        </w:rPr>
        <w:tab/>
        <w:t>the principal business location address;</w:t>
      </w:r>
    </w:p>
    <w:p w14:paraId="6431800F" w14:textId="77777777" w:rsidR="00CD0355" w:rsidRPr="00DF6D8D" w:rsidRDefault="00CD0355" w:rsidP="00CD0355">
      <w:pPr>
        <w:pStyle w:val="a0"/>
        <w:rPr>
          <w:color w:val="000000"/>
        </w:rPr>
      </w:pPr>
      <w:r w:rsidRPr="00DF6D8D">
        <w:rPr>
          <w:color w:val="000000"/>
        </w:rPr>
        <w:t>c.</w:t>
      </w:r>
      <w:r w:rsidRPr="00DF6D8D">
        <w:rPr>
          <w:color w:val="000000"/>
        </w:rPr>
        <w:tab/>
        <w:t>license number and status;</w:t>
      </w:r>
    </w:p>
    <w:p w14:paraId="5A0AA0A1" w14:textId="77777777" w:rsidR="00CD0355" w:rsidRPr="00DF6D8D" w:rsidRDefault="00CD0355" w:rsidP="00CD0355">
      <w:pPr>
        <w:pStyle w:val="a0"/>
        <w:rPr>
          <w:color w:val="000000"/>
        </w:rPr>
      </w:pPr>
      <w:r w:rsidRPr="00DF6D8D">
        <w:rPr>
          <w:color w:val="000000"/>
        </w:rPr>
        <w:t>d.</w:t>
      </w:r>
      <w:r w:rsidRPr="00DF6D8D">
        <w:rPr>
          <w:color w:val="000000"/>
        </w:rPr>
        <w:tab/>
        <w:t>the full name, title, and email address (if applicable) of each person for whom the entity is required to submit a criminal background check; and</w:t>
      </w:r>
    </w:p>
    <w:p w14:paraId="64C130E1" w14:textId="77777777" w:rsidR="00CD0355" w:rsidRPr="00DF6D8D" w:rsidRDefault="00CD0355" w:rsidP="00CD0355">
      <w:pPr>
        <w:pStyle w:val="a0"/>
        <w:rPr>
          <w:color w:val="000000"/>
        </w:rPr>
      </w:pPr>
      <w:r w:rsidRPr="00DF6D8D">
        <w:rPr>
          <w:color w:val="000000"/>
        </w:rPr>
        <w:t>e.</w:t>
      </w:r>
      <w:r w:rsidRPr="00DF6D8D">
        <w:rPr>
          <w:color w:val="000000"/>
        </w:rPr>
        <w:tab/>
        <w:t>a legal description and GPS coordinates for each field, greenhouse, indoor growing structure, or site where industrial hemp will be cultivated, handled, or stored.</w:t>
      </w:r>
    </w:p>
    <w:p w14:paraId="627D1342" w14:textId="77777777" w:rsidR="00CD0355" w:rsidRPr="00DF6D8D" w:rsidRDefault="00CD0355" w:rsidP="00CD0355">
      <w:pPr>
        <w:pStyle w:val="1"/>
        <w:rPr>
          <w:color w:val="000000"/>
        </w:rPr>
      </w:pPr>
      <w:r w:rsidRPr="00DF6D8D">
        <w:rPr>
          <w:color w:val="000000"/>
        </w:rPr>
        <w:t>3.</w:t>
      </w:r>
      <w:r w:rsidRPr="00DF6D8D">
        <w:rPr>
          <w:color w:val="000000"/>
        </w:rPr>
        <w:tab/>
        <w:t xml:space="preserve">For each licensee that was included in a previous report and whose reported information has changed, the report shall include the previously reported information and the new information, including the following: </w:t>
      </w:r>
    </w:p>
    <w:p w14:paraId="7358BDEA" w14:textId="77777777" w:rsidR="00CD0355" w:rsidRPr="00DF6D8D" w:rsidRDefault="00CD0355" w:rsidP="00CD0355">
      <w:pPr>
        <w:pStyle w:val="a0"/>
        <w:rPr>
          <w:color w:val="000000"/>
        </w:rPr>
      </w:pPr>
      <w:r w:rsidRPr="00DF6D8D">
        <w:rPr>
          <w:color w:val="000000"/>
        </w:rPr>
        <w:t>a.</w:t>
      </w:r>
      <w:r w:rsidRPr="00DF6D8D">
        <w:rPr>
          <w:color w:val="000000"/>
        </w:rPr>
        <w:tab/>
        <w:t>the status of each grower and seed producer’s license;</w:t>
      </w:r>
    </w:p>
    <w:p w14:paraId="2E7AAC46" w14:textId="77777777" w:rsidR="00CD0355" w:rsidRPr="00DF6D8D" w:rsidRDefault="00CD0355" w:rsidP="00CD0355">
      <w:pPr>
        <w:pStyle w:val="a0"/>
        <w:rPr>
          <w:color w:val="000000"/>
        </w:rPr>
      </w:pPr>
      <w:r w:rsidRPr="00DF6D8D">
        <w:rPr>
          <w:color w:val="000000"/>
        </w:rPr>
        <w:t>b.</w:t>
      </w:r>
      <w:r w:rsidRPr="00DF6D8D">
        <w:rPr>
          <w:color w:val="000000"/>
        </w:rPr>
        <w:tab/>
        <w:t>the period covered by the report;</w:t>
      </w:r>
    </w:p>
    <w:p w14:paraId="332FD36B" w14:textId="77777777" w:rsidR="00CD0355" w:rsidRPr="00DF6D8D" w:rsidRDefault="00CD0355" w:rsidP="00CD0355">
      <w:pPr>
        <w:pStyle w:val="a0"/>
        <w:rPr>
          <w:color w:val="000000"/>
        </w:rPr>
      </w:pPr>
      <w:r w:rsidRPr="00DF6D8D">
        <w:rPr>
          <w:color w:val="000000"/>
        </w:rPr>
        <w:t>c.</w:t>
      </w:r>
      <w:r w:rsidRPr="00DF6D8D">
        <w:rPr>
          <w:color w:val="000000"/>
        </w:rPr>
        <w:tab/>
        <w:t xml:space="preserve">indication that there were no changes during the current reporting cycle, if applicable. </w:t>
      </w:r>
    </w:p>
    <w:p w14:paraId="4CCE8F7B" w14:textId="77777777" w:rsidR="00CD0355" w:rsidRPr="00DF6D8D" w:rsidRDefault="00CD0355" w:rsidP="00CD0355">
      <w:pPr>
        <w:pStyle w:val="A"/>
        <w:rPr>
          <w:color w:val="000000"/>
        </w:rPr>
      </w:pPr>
      <w:r w:rsidRPr="00DF6D8D">
        <w:rPr>
          <w:color w:val="000000"/>
        </w:rPr>
        <w:t>B.</w:t>
      </w:r>
      <w:r w:rsidRPr="00DF6D8D">
        <w:rPr>
          <w:color w:val="000000"/>
        </w:rPr>
        <w:tab/>
        <w:t>LDAF shall submit to USDA a report notifying USDA of any occurrence industrial hemp plants or plant parts that exceed the acceptable industrial hemp THC level by the first of each month. If the first of the month falls on a weekend or holiday, the report is due by the first business day following the due date. The report shall be submitted using a digital format compatible with USDA’s information sharing systems, whenever possible. The report shall contain the following information:</w:t>
      </w:r>
    </w:p>
    <w:p w14:paraId="2B6332D5" w14:textId="77777777" w:rsidR="00CD0355" w:rsidRPr="00DF6D8D" w:rsidRDefault="00CD0355" w:rsidP="00CD0355">
      <w:pPr>
        <w:pStyle w:val="1"/>
        <w:rPr>
          <w:color w:val="000000"/>
        </w:rPr>
      </w:pPr>
      <w:r w:rsidRPr="00DF6D8D">
        <w:rPr>
          <w:color w:val="000000"/>
        </w:rPr>
        <w:t>1.</w:t>
      </w:r>
      <w:r w:rsidRPr="00DF6D8D">
        <w:rPr>
          <w:color w:val="000000"/>
        </w:rPr>
        <w:tab/>
        <w:t xml:space="preserve">the name and address of the licensee; </w:t>
      </w:r>
    </w:p>
    <w:p w14:paraId="17A1E45B" w14:textId="77777777" w:rsidR="00CD0355" w:rsidRPr="00DF6D8D" w:rsidRDefault="00CD0355" w:rsidP="00CD0355">
      <w:pPr>
        <w:pStyle w:val="1"/>
        <w:rPr>
          <w:color w:val="000000"/>
        </w:rPr>
      </w:pPr>
      <w:r w:rsidRPr="00DF6D8D">
        <w:rPr>
          <w:color w:val="000000"/>
        </w:rPr>
        <w:t>2.</w:t>
      </w:r>
      <w:r w:rsidRPr="00DF6D8D">
        <w:rPr>
          <w:color w:val="000000"/>
        </w:rPr>
        <w:tab/>
        <w:t>producer license number;</w:t>
      </w:r>
    </w:p>
    <w:p w14:paraId="38C23BC5" w14:textId="77777777" w:rsidR="00CD0355" w:rsidRPr="00DF6D8D" w:rsidRDefault="00CD0355" w:rsidP="00CD0355">
      <w:pPr>
        <w:pStyle w:val="1"/>
        <w:rPr>
          <w:color w:val="000000"/>
        </w:rPr>
      </w:pPr>
      <w:r w:rsidRPr="00DF6D8D">
        <w:rPr>
          <w:color w:val="000000"/>
        </w:rPr>
        <w:t>3.</w:t>
      </w:r>
      <w:r w:rsidRPr="00DF6D8D">
        <w:rPr>
          <w:color w:val="000000"/>
        </w:rPr>
        <w:tab/>
        <w:t xml:space="preserve">location information, such as lot number, location type, and GPS or other location descriptor for the production area subject disposal; </w:t>
      </w:r>
    </w:p>
    <w:p w14:paraId="0E7BBDB3" w14:textId="77777777" w:rsidR="00CD0355" w:rsidRPr="00DF6D8D" w:rsidRDefault="00CD0355" w:rsidP="00CD0355">
      <w:pPr>
        <w:pStyle w:val="1"/>
        <w:rPr>
          <w:color w:val="000000"/>
        </w:rPr>
      </w:pPr>
      <w:r w:rsidRPr="00DF6D8D">
        <w:rPr>
          <w:color w:val="000000"/>
        </w:rPr>
        <w:t>4.</w:t>
      </w:r>
      <w:r w:rsidRPr="00DF6D8D">
        <w:rPr>
          <w:color w:val="000000"/>
        </w:rPr>
        <w:tab/>
        <w:t xml:space="preserve">information on the agent handling the disposal; </w:t>
      </w:r>
    </w:p>
    <w:p w14:paraId="3C293A4B" w14:textId="77777777" w:rsidR="00CD0355" w:rsidRPr="00DF6D8D" w:rsidRDefault="00CD0355" w:rsidP="00CD0355">
      <w:pPr>
        <w:pStyle w:val="1"/>
        <w:rPr>
          <w:color w:val="000000"/>
        </w:rPr>
      </w:pPr>
      <w:r w:rsidRPr="00DF6D8D">
        <w:rPr>
          <w:color w:val="000000"/>
        </w:rPr>
        <w:t>5.</w:t>
      </w:r>
      <w:r w:rsidRPr="00DF6D8D">
        <w:rPr>
          <w:color w:val="000000"/>
        </w:rPr>
        <w:tab/>
        <w:t xml:space="preserve">disposal completion date; </w:t>
      </w:r>
    </w:p>
    <w:p w14:paraId="14AE26EA" w14:textId="77777777" w:rsidR="00CD0355" w:rsidRPr="00DF6D8D" w:rsidRDefault="00CD0355" w:rsidP="00CD0355">
      <w:pPr>
        <w:pStyle w:val="1"/>
        <w:rPr>
          <w:color w:val="000000"/>
        </w:rPr>
      </w:pPr>
      <w:r w:rsidRPr="00DF6D8D">
        <w:rPr>
          <w:color w:val="000000"/>
        </w:rPr>
        <w:t>6.</w:t>
      </w:r>
      <w:r w:rsidRPr="00DF6D8D">
        <w:rPr>
          <w:color w:val="000000"/>
        </w:rPr>
        <w:tab/>
        <w:t>total acreage; and</w:t>
      </w:r>
    </w:p>
    <w:p w14:paraId="7817A669" w14:textId="77777777" w:rsidR="00CD0355" w:rsidRPr="00DF6D8D" w:rsidRDefault="00CD0355" w:rsidP="00CD0355">
      <w:pPr>
        <w:pStyle w:val="1"/>
        <w:rPr>
          <w:color w:val="000000"/>
        </w:rPr>
      </w:pPr>
      <w:r w:rsidRPr="00DF6D8D">
        <w:rPr>
          <w:color w:val="000000"/>
        </w:rPr>
        <w:t>7.</w:t>
      </w:r>
      <w:r w:rsidRPr="00DF6D8D">
        <w:rPr>
          <w:color w:val="000000"/>
        </w:rPr>
        <w:tab/>
        <w:t xml:space="preserve">laboratory test results. </w:t>
      </w:r>
    </w:p>
    <w:p w14:paraId="3E580E52" w14:textId="77777777" w:rsidR="00CD0355" w:rsidRPr="00DF6D8D" w:rsidRDefault="00CD0355" w:rsidP="00CD0355">
      <w:pPr>
        <w:pStyle w:val="A"/>
        <w:rPr>
          <w:color w:val="000000"/>
        </w:rPr>
      </w:pPr>
      <w:r w:rsidRPr="00DF6D8D">
        <w:rPr>
          <w:color w:val="000000"/>
        </w:rPr>
        <w:t>C.</w:t>
      </w:r>
      <w:r w:rsidRPr="00DF6D8D">
        <w:rPr>
          <w:color w:val="000000"/>
        </w:rPr>
        <w:tab/>
        <w:t>LDAF shall report to USDA, using a digital format compatible with USDA’s information sharing systems, whenever possible, the following information for each sample of industrial hemp tested:</w:t>
      </w:r>
    </w:p>
    <w:p w14:paraId="532A2326" w14:textId="77777777" w:rsidR="00CD0355" w:rsidRPr="00DF6D8D" w:rsidRDefault="00CD0355" w:rsidP="00CD0355">
      <w:pPr>
        <w:pStyle w:val="1"/>
        <w:rPr>
          <w:color w:val="000000"/>
        </w:rPr>
      </w:pPr>
      <w:r w:rsidRPr="00DF6D8D">
        <w:rPr>
          <w:color w:val="000000"/>
        </w:rPr>
        <w:t>1.</w:t>
      </w:r>
      <w:r w:rsidRPr="00DF6D8D">
        <w:rPr>
          <w:color w:val="000000"/>
        </w:rPr>
        <w:tab/>
        <w:t xml:space="preserve">license number of licensee; </w:t>
      </w:r>
    </w:p>
    <w:p w14:paraId="12934DF6" w14:textId="77777777" w:rsidR="00CD0355" w:rsidRPr="00DF6D8D" w:rsidRDefault="00CD0355" w:rsidP="00CD0355">
      <w:pPr>
        <w:pStyle w:val="1"/>
        <w:rPr>
          <w:color w:val="000000"/>
        </w:rPr>
      </w:pPr>
      <w:r w:rsidRPr="00DF6D8D">
        <w:rPr>
          <w:color w:val="000000"/>
        </w:rPr>
        <w:t>2.</w:t>
      </w:r>
      <w:r w:rsidRPr="00DF6D8D">
        <w:rPr>
          <w:color w:val="000000"/>
        </w:rPr>
        <w:tab/>
        <w:t>name of licensee;</w:t>
      </w:r>
    </w:p>
    <w:p w14:paraId="38229216" w14:textId="77777777" w:rsidR="00CD0355" w:rsidRPr="00DF6D8D" w:rsidRDefault="00CD0355" w:rsidP="00CD0355">
      <w:pPr>
        <w:pStyle w:val="1"/>
        <w:rPr>
          <w:color w:val="000000"/>
        </w:rPr>
      </w:pPr>
      <w:r w:rsidRPr="00DF6D8D">
        <w:rPr>
          <w:color w:val="000000"/>
        </w:rPr>
        <w:t>3.</w:t>
      </w:r>
      <w:r w:rsidRPr="00DF6D8D">
        <w:rPr>
          <w:color w:val="000000"/>
        </w:rPr>
        <w:tab/>
        <w:t xml:space="preserve">business address of licensee; </w:t>
      </w:r>
    </w:p>
    <w:p w14:paraId="214B26EB" w14:textId="77777777" w:rsidR="00CD0355" w:rsidRPr="00DF6D8D" w:rsidRDefault="00CD0355" w:rsidP="00CD0355">
      <w:pPr>
        <w:pStyle w:val="1"/>
        <w:rPr>
          <w:color w:val="000000"/>
        </w:rPr>
      </w:pPr>
      <w:r w:rsidRPr="00DF6D8D">
        <w:rPr>
          <w:color w:val="000000"/>
        </w:rPr>
        <w:lastRenderedPageBreak/>
        <w:t>4.</w:t>
      </w:r>
      <w:r w:rsidRPr="00DF6D8D">
        <w:rPr>
          <w:color w:val="000000"/>
        </w:rPr>
        <w:tab/>
        <w:t xml:space="preserve">lot identification number for the sample; </w:t>
      </w:r>
    </w:p>
    <w:p w14:paraId="5B20BF70" w14:textId="77777777" w:rsidR="00CD0355" w:rsidRPr="00DF6D8D" w:rsidRDefault="00CD0355" w:rsidP="00CD0355">
      <w:pPr>
        <w:pStyle w:val="1"/>
        <w:rPr>
          <w:color w:val="000000"/>
        </w:rPr>
      </w:pPr>
      <w:r w:rsidRPr="00DF6D8D">
        <w:rPr>
          <w:color w:val="000000"/>
        </w:rPr>
        <w:t>5.</w:t>
      </w:r>
      <w:r w:rsidRPr="00DF6D8D">
        <w:rPr>
          <w:color w:val="000000"/>
        </w:rPr>
        <w:tab/>
        <w:t xml:space="preserve">name and DEA registration number of laboratory; </w:t>
      </w:r>
    </w:p>
    <w:p w14:paraId="125D2320" w14:textId="77777777" w:rsidR="00CD0355" w:rsidRPr="00DF6D8D" w:rsidRDefault="00CD0355" w:rsidP="00CD0355">
      <w:pPr>
        <w:pStyle w:val="1"/>
        <w:rPr>
          <w:color w:val="000000"/>
        </w:rPr>
      </w:pPr>
      <w:r w:rsidRPr="00DF6D8D">
        <w:rPr>
          <w:color w:val="000000"/>
        </w:rPr>
        <w:t>6.</w:t>
      </w:r>
      <w:r w:rsidRPr="00DF6D8D">
        <w:rPr>
          <w:color w:val="000000"/>
        </w:rPr>
        <w:tab/>
        <w:t xml:space="preserve">date of test and report; </w:t>
      </w:r>
    </w:p>
    <w:p w14:paraId="1A194AA2" w14:textId="77777777" w:rsidR="00CD0355" w:rsidRPr="00DF6D8D" w:rsidRDefault="00CD0355" w:rsidP="00CD0355">
      <w:pPr>
        <w:pStyle w:val="1"/>
        <w:rPr>
          <w:color w:val="000000"/>
        </w:rPr>
      </w:pPr>
      <w:r w:rsidRPr="00DF6D8D">
        <w:rPr>
          <w:color w:val="000000"/>
        </w:rPr>
        <w:t>7.</w:t>
      </w:r>
      <w:r w:rsidRPr="00DF6D8D">
        <w:rPr>
          <w:color w:val="000000"/>
        </w:rPr>
        <w:tab/>
        <w:t xml:space="preserve">identification of retest; and </w:t>
      </w:r>
    </w:p>
    <w:p w14:paraId="5750F1AE" w14:textId="77777777" w:rsidR="00CD0355" w:rsidRPr="00DF6D8D" w:rsidRDefault="00CD0355" w:rsidP="00CD0355">
      <w:pPr>
        <w:pStyle w:val="1"/>
        <w:rPr>
          <w:color w:val="000000"/>
        </w:rPr>
      </w:pPr>
      <w:r w:rsidRPr="00DF6D8D">
        <w:rPr>
          <w:color w:val="000000"/>
        </w:rPr>
        <w:t>8.</w:t>
      </w:r>
      <w:r w:rsidRPr="00DF6D8D">
        <w:rPr>
          <w:color w:val="000000"/>
        </w:rPr>
        <w:tab/>
        <w:t>test result.</w:t>
      </w:r>
    </w:p>
    <w:p w14:paraId="57548F54" w14:textId="77777777" w:rsidR="00CD0355" w:rsidRPr="00DF6D8D" w:rsidRDefault="00CD0355" w:rsidP="00CD0355">
      <w:pPr>
        <w:pStyle w:val="A"/>
        <w:rPr>
          <w:color w:val="000000"/>
        </w:rPr>
      </w:pPr>
      <w:r w:rsidRPr="00DF6D8D">
        <w:rPr>
          <w:color w:val="000000"/>
        </w:rPr>
        <w:t>D.</w:t>
      </w:r>
      <w:r w:rsidRPr="00DF6D8D">
        <w:rPr>
          <w:color w:val="000000"/>
        </w:rPr>
        <w:tab/>
        <w:t>LDAF shall submit an annual Report to USDA, using a digital format compatible with USDA’s information sharing systems, whenever possible, by December 15 of each year and the report shall contain the following information:</w:t>
      </w:r>
    </w:p>
    <w:p w14:paraId="620B71AA" w14:textId="77777777" w:rsidR="00CD0355" w:rsidRPr="00DF6D8D" w:rsidRDefault="00CD0355" w:rsidP="00CD0355">
      <w:pPr>
        <w:pStyle w:val="1"/>
        <w:rPr>
          <w:color w:val="000000"/>
        </w:rPr>
      </w:pPr>
      <w:r w:rsidRPr="00DF6D8D">
        <w:rPr>
          <w:color w:val="000000"/>
        </w:rPr>
        <w:t>1.</w:t>
      </w:r>
      <w:r w:rsidRPr="00DF6D8D">
        <w:rPr>
          <w:color w:val="000000"/>
        </w:rPr>
        <w:tab/>
        <w:t>total planted acreage;</w:t>
      </w:r>
    </w:p>
    <w:p w14:paraId="6C147307" w14:textId="77777777" w:rsidR="00CD0355" w:rsidRPr="00DF6D8D" w:rsidRDefault="00CD0355" w:rsidP="00CD0355">
      <w:pPr>
        <w:pStyle w:val="1"/>
        <w:rPr>
          <w:color w:val="000000"/>
        </w:rPr>
      </w:pPr>
      <w:r w:rsidRPr="00DF6D8D">
        <w:rPr>
          <w:color w:val="000000"/>
        </w:rPr>
        <w:t>2.</w:t>
      </w:r>
      <w:r w:rsidRPr="00DF6D8D">
        <w:rPr>
          <w:color w:val="000000"/>
        </w:rPr>
        <w:tab/>
        <w:t>total harvested acreage; and</w:t>
      </w:r>
    </w:p>
    <w:p w14:paraId="678DBF70" w14:textId="77777777" w:rsidR="00CD0355" w:rsidRPr="00DF6D8D" w:rsidRDefault="00CD0355" w:rsidP="00CD0355">
      <w:pPr>
        <w:pStyle w:val="1"/>
        <w:rPr>
          <w:rFonts w:eastAsia="Calibri"/>
          <w:color w:val="000000"/>
        </w:rPr>
      </w:pPr>
      <w:r w:rsidRPr="00DF6D8D">
        <w:rPr>
          <w:color w:val="000000"/>
        </w:rPr>
        <w:t>3.</w:t>
      </w:r>
      <w:r w:rsidRPr="00DF6D8D">
        <w:rPr>
          <w:color w:val="000000"/>
        </w:rPr>
        <w:tab/>
        <w:t>total acreage disposed.</w:t>
      </w:r>
    </w:p>
    <w:p w14:paraId="43F61B1B"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14:paraId="537AB878"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w:t>
      </w:r>
      <w:r w:rsidRPr="00DF6D8D">
        <w:rPr>
          <w:color w:val="000000"/>
        </w:rPr>
        <w:t xml:space="preserve"> (February 2020</w:t>
      </w:r>
      <w:r w:rsidR="00CC7582" w:rsidRPr="002D7DAE">
        <w:t xml:space="preserve">), </w:t>
      </w:r>
      <w:r w:rsidR="00CC7582">
        <w:t>LR 48:1744 (July 2022).</w:t>
      </w:r>
    </w:p>
    <w:p w14:paraId="2603AF62" w14:textId="77777777" w:rsidR="00CD0355" w:rsidRPr="00DF6D8D" w:rsidRDefault="00CD0355" w:rsidP="00CD0355">
      <w:pPr>
        <w:pStyle w:val="Section"/>
        <w:rPr>
          <w:color w:val="000000"/>
        </w:rPr>
      </w:pPr>
      <w:bookmarkStart w:id="1305" w:name="_Toc224818884"/>
      <w:r w:rsidRPr="00DF6D8D">
        <w:rPr>
          <w:color w:val="000000"/>
        </w:rPr>
        <w:t>§1333.</w:t>
      </w:r>
      <w:r w:rsidRPr="00DF6D8D">
        <w:rPr>
          <w:color w:val="000000"/>
        </w:rPr>
        <w:tab/>
      </w:r>
      <w:r w:rsidR="000B299E" w:rsidRPr="001E5B02">
        <w:rPr>
          <w:color w:val="000000"/>
        </w:rPr>
        <w:t>Site Access and Compliance</w:t>
      </w:r>
      <w:bookmarkEnd w:id="1305"/>
    </w:p>
    <w:p w14:paraId="766C09A1" w14:textId="77777777"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When there is reason to believe that a violation of any provision of R.S. 3:1461 et seq. or this Chapter has occurred, the commissioner or his authorized agent(s) shall have access, during normal working hours, to any premises where</w:t>
      </w:r>
      <w:r w:rsidR="000B299E">
        <w:rPr>
          <w:color w:val="000000"/>
        </w:rPr>
        <w:t xml:space="preserve"> </w:t>
      </w:r>
      <w:r w:rsidR="000B299E" w:rsidRPr="001E5B02">
        <w:rPr>
          <w:color w:val="000000"/>
        </w:rPr>
        <w:t xml:space="preserve">industrial hemp plants or plant parts are transported, produced, cultivated, handled, and/or stored for the purpose of inspection, investigation, and/or collection of samples for testing. The commissioner or his authorized agent(s) may inspect and/or sample any industrial hemp seed, plant, or plant parts located on the premises. LDAF shall not charge a testing fee for samples collected pursuant to an investigation initiated by LDAF. </w:t>
      </w:r>
    </w:p>
    <w:p w14:paraId="29BA6D2F" w14:textId="77777777" w:rsidR="00CD0355" w:rsidRPr="0049137C" w:rsidRDefault="000B299E" w:rsidP="000B299E">
      <w:pPr>
        <w:pStyle w:val="A"/>
      </w:pPr>
      <w:r w:rsidRPr="001E5B02">
        <w:rPr>
          <w:color w:val="000000"/>
        </w:rPr>
        <w:t>B.</w:t>
      </w:r>
      <w:r w:rsidRPr="001E5B02">
        <w:rPr>
          <w:color w:val="000000"/>
        </w:rPr>
        <w:tab/>
        <w:t>LDAF shall conduct inspections, at least annually, of a random sample of licensees to verify that industrial hemp is not being produced in violation of this R.S. 3:1461 et seq., or this Chapter.</w:t>
      </w:r>
    </w:p>
    <w:p w14:paraId="6FFB7C1D"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3:1468.</w:t>
      </w:r>
    </w:p>
    <w:p w14:paraId="1DD54EC9"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w:t>
      </w:r>
      <w:r w:rsidRPr="00DF6D8D">
        <w:rPr>
          <w:color w:val="000000"/>
        </w:rPr>
        <w:t xml:space="preserve"> (February 2020)</w:t>
      </w:r>
      <w:r w:rsidR="000B299E" w:rsidRPr="0088020F">
        <w:rPr>
          <w:color w:val="000000"/>
        </w:rPr>
        <w:t>, amended LR 47:</w:t>
      </w:r>
      <w:r w:rsidR="000B299E">
        <w:rPr>
          <w:color w:val="000000"/>
        </w:rPr>
        <w:t>1837</w:t>
      </w:r>
      <w:r w:rsidR="000B299E" w:rsidRPr="0088020F">
        <w:rPr>
          <w:color w:val="000000"/>
        </w:rPr>
        <w:t xml:space="preserve"> (December 2021).</w:t>
      </w:r>
    </w:p>
    <w:p w14:paraId="1B3C3E60" w14:textId="77777777" w:rsidR="00CD0355" w:rsidRPr="00DF6D8D" w:rsidRDefault="00CD0355" w:rsidP="00CD0355">
      <w:pPr>
        <w:pStyle w:val="Chapter"/>
        <w:rPr>
          <w:color w:val="000000"/>
        </w:rPr>
      </w:pPr>
      <w:bookmarkStart w:id="1306" w:name="_Toc224818885"/>
      <w:r w:rsidRPr="00DF6D8D">
        <w:rPr>
          <w:color w:val="000000"/>
        </w:rPr>
        <w:t>Subchapter H.</w:t>
      </w:r>
      <w:r w:rsidRPr="00DF6D8D">
        <w:rPr>
          <w:color w:val="000000"/>
        </w:rPr>
        <w:tab/>
      </w:r>
      <w:r w:rsidR="000B299E" w:rsidRPr="00E124EC">
        <w:t>Sampling, Testing, Remediation, and Destruction</w:t>
      </w:r>
      <w:bookmarkEnd w:id="1306"/>
    </w:p>
    <w:p w14:paraId="7131BC0B" w14:textId="77777777" w:rsidR="00CD0355" w:rsidRPr="00DF6D8D" w:rsidRDefault="00CD0355" w:rsidP="00CD0355">
      <w:pPr>
        <w:pStyle w:val="Section"/>
        <w:rPr>
          <w:color w:val="000000"/>
        </w:rPr>
      </w:pPr>
      <w:bookmarkStart w:id="1307" w:name="_Toc224818886"/>
      <w:r w:rsidRPr="00DF6D8D">
        <w:rPr>
          <w:color w:val="000000"/>
        </w:rPr>
        <w:t>§1335.</w:t>
      </w:r>
      <w:r w:rsidRPr="00DF6D8D">
        <w:rPr>
          <w:color w:val="000000"/>
        </w:rPr>
        <w:tab/>
        <w:t>THC Sampling and Testing</w:t>
      </w:r>
      <w:bookmarkEnd w:id="1307"/>
    </w:p>
    <w:p w14:paraId="1C07E3AA" w14:textId="77777777" w:rsidR="00CD0355" w:rsidRPr="00DF6D8D" w:rsidRDefault="00CD0355" w:rsidP="00CD0355">
      <w:pPr>
        <w:pStyle w:val="A"/>
        <w:rPr>
          <w:color w:val="000000"/>
        </w:rPr>
      </w:pPr>
      <w:r w:rsidRPr="00DF6D8D">
        <w:rPr>
          <w:color w:val="000000"/>
        </w:rPr>
        <w:t>A.</w:t>
      </w:r>
      <w:r w:rsidRPr="00DF6D8D">
        <w:rPr>
          <w:color w:val="000000"/>
        </w:rPr>
        <w:tab/>
      </w:r>
      <w:r w:rsidR="00C62B28" w:rsidRPr="001E5B02">
        <w:rPr>
          <w:color w:val="000000"/>
        </w:rPr>
        <w:t>All industrial hemp plants or plant parts, whether harvested or unharvested, shall be subject to sampling and testing for THC levels by LDAF as set forth in this Section.</w:t>
      </w:r>
    </w:p>
    <w:p w14:paraId="75B5B95C" w14:textId="77777777" w:rsidR="00CD0355" w:rsidRPr="00DF6D8D" w:rsidRDefault="00CD0355" w:rsidP="00CD0355">
      <w:pPr>
        <w:pStyle w:val="A"/>
        <w:rPr>
          <w:color w:val="000000"/>
        </w:rPr>
      </w:pPr>
      <w:r w:rsidRPr="00DF6D8D">
        <w:rPr>
          <w:color w:val="000000"/>
        </w:rPr>
        <w:t>B.</w:t>
      </w:r>
      <w:r w:rsidRPr="00DF6D8D">
        <w:rPr>
          <w:color w:val="000000"/>
        </w:rPr>
        <w:tab/>
        <w:t xml:space="preserve">The licensee shall be responsible for the cost of all sample testing fees, as set forth in this Chapter. </w:t>
      </w:r>
    </w:p>
    <w:p w14:paraId="5794FEFF" w14:textId="77777777" w:rsidR="00CD0355" w:rsidRPr="00DF6D8D" w:rsidRDefault="00CD0355" w:rsidP="00CD0355">
      <w:pPr>
        <w:pStyle w:val="A"/>
        <w:rPr>
          <w:color w:val="000000"/>
        </w:rPr>
      </w:pPr>
      <w:r w:rsidRPr="00DF6D8D">
        <w:rPr>
          <w:color w:val="000000"/>
        </w:rPr>
        <w:t>C.</w:t>
      </w:r>
      <w:r w:rsidRPr="00DF6D8D">
        <w:rPr>
          <w:color w:val="000000"/>
        </w:rPr>
        <w:tab/>
        <w:t>Sample Collection</w:t>
      </w:r>
    </w:p>
    <w:p w14:paraId="0A077127" w14:textId="77777777" w:rsidR="00CD0355" w:rsidRPr="00DF6D8D" w:rsidRDefault="00CD0355" w:rsidP="00CD0355">
      <w:pPr>
        <w:pStyle w:val="1"/>
        <w:rPr>
          <w:color w:val="000000"/>
        </w:rPr>
      </w:pPr>
      <w:r w:rsidRPr="00DF6D8D">
        <w:rPr>
          <w:color w:val="000000"/>
        </w:rPr>
        <w:t>1.</w:t>
      </w:r>
      <w:r w:rsidRPr="00DF6D8D">
        <w:rPr>
          <w:color w:val="000000"/>
        </w:rPr>
        <w:tab/>
      </w:r>
      <w:r w:rsidR="00C62B28" w:rsidRPr="001E5B02">
        <w:rPr>
          <w:color w:val="000000"/>
        </w:rPr>
        <w:t>Licensees shall submit a Harvest Report for each field, greenhouse or indoor growing structure to LDAF prior to harvesting any industrial hemp plants.</w:t>
      </w:r>
    </w:p>
    <w:p w14:paraId="5A8CA9F3" w14:textId="77777777" w:rsidR="00CD0355" w:rsidRPr="00DF6D8D" w:rsidRDefault="00CD0355" w:rsidP="00CD0355">
      <w:pPr>
        <w:pStyle w:val="1"/>
        <w:rPr>
          <w:color w:val="000000"/>
        </w:rPr>
      </w:pPr>
      <w:r w:rsidRPr="00DF6D8D">
        <w:rPr>
          <w:color w:val="000000"/>
        </w:rPr>
        <w:t>2.</w:t>
      </w:r>
      <w:r w:rsidRPr="00DF6D8D">
        <w:rPr>
          <w:color w:val="000000"/>
        </w:rPr>
        <w:tab/>
        <w:t xml:space="preserve">LDAF will attempt to notify the licensee of the date and approximate time when samples will be collected. </w:t>
      </w:r>
    </w:p>
    <w:p w14:paraId="6160C5BD" w14:textId="77777777" w:rsidR="00CD0355" w:rsidRPr="00DF6D8D" w:rsidRDefault="00CD0355" w:rsidP="00CD0355">
      <w:pPr>
        <w:pStyle w:val="1"/>
        <w:rPr>
          <w:color w:val="000000"/>
        </w:rPr>
      </w:pPr>
      <w:r w:rsidRPr="00DF6D8D">
        <w:rPr>
          <w:color w:val="000000"/>
        </w:rPr>
        <w:t>3.</w:t>
      </w:r>
      <w:r w:rsidRPr="00DF6D8D">
        <w:rPr>
          <w:color w:val="000000"/>
        </w:rPr>
        <w:tab/>
        <w:t xml:space="preserve">The licensee or designated responsible party shall be present during the sample collection. </w:t>
      </w:r>
    </w:p>
    <w:p w14:paraId="588EC42B" w14:textId="77777777" w:rsidR="00CD0355" w:rsidRPr="00DF6D8D" w:rsidRDefault="00CD0355" w:rsidP="00CD0355">
      <w:pPr>
        <w:pStyle w:val="1"/>
        <w:rPr>
          <w:color w:val="000000"/>
        </w:rPr>
      </w:pPr>
      <w:r w:rsidRPr="00DF6D8D">
        <w:rPr>
          <w:color w:val="000000"/>
        </w:rPr>
        <w:t>4.</w:t>
      </w:r>
      <w:r w:rsidRPr="00DF6D8D">
        <w:rPr>
          <w:color w:val="000000"/>
        </w:rPr>
        <w:tab/>
        <w:t xml:space="preserve">LDAF will collect samples from each plot within any field, greenhouse, or indoor growing structure. </w:t>
      </w:r>
    </w:p>
    <w:p w14:paraId="78087DA9" w14:textId="77777777" w:rsidR="00CD0355" w:rsidRPr="00DF6D8D" w:rsidRDefault="00CD0355" w:rsidP="00CD0355">
      <w:pPr>
        <w:pStyle w:val="1"/>
        <w:rPr>
          <w:color w:val="000000"/>
        </w:rPr>
      </w:pPr>
      <w:r w:rsidRPr="00DF6D8D">
        <w:rPr>
          <w:color w:val="000000"/>
        </w:rPr>
        <w:t>5.</w:t>
      </w:r>
      <w:r w:rsidRPr="00DF6D8D">
        <w:rPr>
          <w:color w:val="000000"/>
        </w:rPr>
        <w:tab/>
        <w:t xml:space="preserve">LDAF may retain and transport samples of industrial hemp plants and plant parts collected from an industrial hemp licensee as required by the Industrial Hemp Law (R.S. 3:1461 et seq.) and this Chapter. </w:t>
      </w:r>
    </w:p>
    <w:p w14:paraId="78C9A6A4" w14:textId="77777777" w:rsidR="00CD0355" w:rsidRPr="00DF6D8D" w:rsidRDefault="00CD0355" w:rsidP="00CD0355">
      <w:pPr>
        <w:pStyle w:val="1"/>
        <w:rPr>
          <w:color w:val="000000"/>
        </w:rPr>
      </w:pPr>
      <w:r w:rsidRPr="00DF6D8D">
        <w:rPr>
          <w:color w:val="000000"/>
        </w:rPr>
        <w:t>6.</w:t>
      </w:r>
      <w:r w:rsidRPr="00DF6D8D">
        <w:rPr>
          <w:color w:val="000000"/>
        </w:rPr>
        <w:tab/>
      </w:r>
      <w:r w:rsidR="00C62B28" w:rsidRPr="001E5B02">
        <w:rPr>
          <w:color w:val="000000"/>
        </w:rPr>
        <w:t>All samples collected by LDAF become the property of the LDAF and are non-returnable. No compensation shall be owed by LDAF for samples collected under this Chapter.</w:t>
      </w:r>
    </w:p>
    <w:p w14:paraId="6B0AD14B" w14:textId="77777777" w:rsidR="00CD0355" w:rsidRPr="00DF6D8D" w:rsidRDefault="00CD0355" w:rsidP="00CD0355">
      <w:pPr>
        <w:pStyle w:val="1"/>
        <w:rPr>
          <w:color w:val="000000"/>
        </w:rPr>
      </w:pPr>
      <w:r w:rsidRPr="00DF6D8D">
        <w:rPr>
          <w:color w:val="000000"/>
        </w:rPr>
        <w:t>7.</w:t>
      </w:r>
      <w:r w:rsidRPr="00DF6D8D">
        <w:rPr>
          <w:color w:val="000000"/>
        </w:rPr>
        <w:tab/>
        <w:t xml:space="preserve">The licensee shall not harvest industrial hemp plants or plant parts prior to samples being collected by LDAF. </w:t>
      </w:r>
    </w:p>
    <w:p w14:paraId="190C23DB" w14:textId="77777777" w:rsidR="00C62B28" w:rsidRPr="001E5B02" w:rsidRDefault="00CD0355" w:rsidP="00C62B28">
      <w:pPr>
        <w:pStyle w:val="1"/>
        <w:rPr>
          <w:color w:val="000000"/>
        </w:rPr>
      </w:pPr>
      <w:r w:rsidRPr="00DF6D8D">
        <w:rPr>
          <w:color w:val="000000"/>
        </w:rPr>
        <w:t>8.</w:t>
      </w:r>
      <w:r w:rsidRPr="00DF6D8D">
        <w:rPr>
          <w:color w:val="000000"/>
        </w:rPr>
        <w:tab/>
      </w:r>
      <w:r w:rsidR="00C62B28" w:rsidRPr="001E5B02">
        <w:rPr>
          <w:color w:val="000000"/>
        </w:rPr>
        <w:t>The licensee shall harvest industrial hemp plants or plant parts within 30 days of the sample collection by LDAF, unless an exception is authorized in writing by LDAF. Should a licensee fail to complete harvest within 30 days and no exception was authorized by LDAF, a second sample and test of the plot shall be performed and the licensee shall be assessed an additional testing fee per sample in an amount not to exceed $250 per sample.</w:t>
      </w:r>
    </w:p>
    <w:p w14:paraId="01C85AE9" w14:textId="77777777" w:rsidR="00C62B28" w:rsidRPr="001E5B02" w:rsidRDefault="00C62B28" w:rsidP="00C62B28">
      <w:pPr>
        <w:pStyle w:val="A"/>
        <w:rPr>
          <w:color w:val="000000"/>
        </w:rPr>
      </w:pPr>
      <w:r w:rsidRPr="001E5B02">
        <w:rPr>
          <w:color w:val="000000"/>
        </w:rPr>
        <w:t>D.</w:t>
      </w:r>
      <w:r w:rsidRPr="001E5B02">
        <w:rPr>
          <w:color w:val="000000"/>
        </w:rPr>
        <w:tab/>
        <w:t>Performance-based Sampling</w:t>
      </w:r>
    </w:p>
    <w:p w14:paraId="7E5441A8" w14:textId="77777777" w:rsidR="00C62B28" w:rsidRPr="001E5B02" w:rsidRDefault="00C62B28" w:rsidP="00C62B28">
      <w:pPr>
        <w:pStyle w:val="1"/>
        <w:rPr>
          <w:color w:val="000000"/>
        </w:rPr>
      </w:pPr>
      <w:r w:rsidRPr="001E5B02">
        <w:rPr>
          <w:color w:val="000000"/>
        </w:rPr>
        <w:t>1.</w:t>
      </w:r>
      <w:r w:rsidRPr="001E5B02">
        <w:rPr>
          <w:color w:val="000000"/>
        </w:rPr>
        <w:tab/>
        <w:t xml:space="preserve">Industrial hemp lots produced for research purposes may not be subject to sampling and testing requirements outlined in this Section when all of the following requirements are met: </w:t>
      </w:r>
    </w:p>
    <w:p w14:paraId="0167BFE6" w14:textId="77777777" w:rsidR="00C62B28" w:rsidRPr="001E5B02" w:rsidRDefault="00C62B28" w:rsidP="00C62B28">
      <w:pPr>
        <w:pStyle w:val="a0"/>
        <w:rPr>
          <w:color w:val="000000"/>
        </w:rPr>
      </w:pPr>
      <w:r w:rsidRPr="001E5B02">
        <w:rPr>
          <w:color w:val="000000"/>
        </w:rPr>
        <w:t>a.</w:t>
      </w:r>
      <w:r w:rsidRPr="001E5B02">
        <w:rPr>
          <w:color w:val="000000"/>
        </w:rPr>
        <w:tab/>
        <w:t>LDAF has a confidence level that 95 percent of the industrial hemp plants in each lot subject to alternate method will not test above the acceptable industrial hemp THC level;</w:t>
      </w:r>
    </w:p>
    <w:p w14:paraId="04399A53" w14:textId="77777777" w:rsidR="00C62B28" w:rsidRPr="001E5B02" w:rsidRDefault="00C62B28" w:rsidP="00C62B28">
      <w:pPr>
        <w:pStyle w:val="a0"/>
        <w:rPr>
          <w:color w:val="000000"/>
        </w:rPr>
      </w:pPr>
      <w:r w:rsidRPr="001E5B02">
        <w:rPr>
          <w:color w:val="000000"/>
        </w:rPr>
        <w:t>b.</w:t>
      </w:r>
      <w:r w:rsidRPr="001E5B02">
        <w:rPr>
          <w:color w:val="000000"/>
        </w:rPr>
        <w:tab/>
        <w:t xml:space="preserve">no industrial hemp will enter the stream of commerce; </w:t>
      </w:r>
    </w:p>
    <w:p w14:paraId="30E2055F" w14:textId="77777777" w:rsidR="00C62B28" w:rsidRPr="001E5B02" w:rsidRDefault="00C62B28" w:rsidP="00C62B28">
      <w:pPr>
        <w:pStyle w:val="a0"/>
        <w:rPr>
          <w:color w:val="000000"/>
        </w:rPr>
      </w:pPr>
      <w:r w:rsidRPr="001E5B02">
        <w:rPr>
          <w:color w:val="000000"/>
        </w:rPr>
        <w:t>c.</w:t>
      </w:r>
      <w:r w:rsidRPr="001E5B02">
        <w:rPr>
          <w:color w:val="000000"/>
        </w:rPr>
        <w:tab/>
        <w:t>the research institution has submitted and received written approval of an industrial hemp research plan from LDAF;</w:t>
      </w:r>
    </w:p>
    <w:p w14:paraId="69F4DAB8" w14:textId="77777777" w:rsidR="00C62B28" w:rsidRPr="001E5B02" w:rsidRDefault="00C62B28" w:rsidP="00C62B28">
      <w:pPr>
        <w:pStyle w:val="a0"/>
        <w:rPr>
          <w:color w:val="000000"/>
        </w:rPr>
      </w:pPr>
      <w:r w:rsidRPr="001E5B02">
        <w:rPr>
          <w:color w:val="000000"/>
        </w:rPr>
        <w:t>d.</w:t>
      </w:r>
      <w:r w:rsidRPr="001E5B02">
        <w:rPr>
          <w:color w:val="000000"/>
        </w:rPr>
        <w:tab/>
        <w:t>the research institution maintains records documenting the strain or variety’s compliance with the acceptable industrial hemp THC level.</w:t>
      </w:r>
    </w:p>
    <w:p w14:paraId="7177B126" w14:textId="77777777" w:rsidR="00C62B28" w:rsidRPr="001E5B02" w:rsidRDefault="00C62B28" w:rsidP="00C62B28">
      <w:pPr>
        <w:pStyle w:val="1"/>
        <w:rPr>
          <w:color w:val="000000"/>
        </w:rPr>
      </w:pPr>
      <w:r w:rsidRPr="001E5B02">
        <w:rPr>
          <w:color w:val="000000"/>
        </w:rPr>
        <w:t>2.</w:t>
      </w:r>
      <w:r w:rsidRPr="001E5B02">
        <w:rPr>
          <w:color w:val="000000"/>
        </w:rPr>
        <w:tab/>
        <w:t>LDAF may inspect, sample, and test any industrial hemp plants or plant parts, at any time to ensure compliance with this Chapter.</w:t>
      </w:r>
    </w:p>
    <w:p w14:paraId="17D40155" w14:textId="77777777" w:rsidR="00C62B28" w:rsidRPr="001E5B02" w:rsidRDefault="00C62B28" w:rsidP="00C62B28">
      <w:pPr>
        <w:pStyle w:val="1"/>
        <w:rPr>
          <w:color w:val="000000"/>
        </w:rPr>
      </w:pPr>
      <w:r w:rsidRPr="001E5B02">
        <w:rPr>
          <w:color w:val="000000"/>
        </w:rPr>
        <w:t>3.</w:t>
      </w:r>
      <w:r w:rsidRPr="001E5B02">
        <w:rPr>
          <w:color w:val="000000"/>
        </w:rPr>
        <w:tab/>
        <w:t xml:space="preserve">LDAF shall conduct random inspections, including records reviews on research institutions, regardless of whether or not they are subject to the sampling and testing requirements. </w:t>
      </w:r>
    </w:p>
    <w:p w14:paraId="3B43DD8A" w14:textId="77777777" w:rsidR="00C62B28" w:rsidRPr="001E5B02" w:rsidRDefault="00C62B28" w:rsidP="00C62B28">
      <w:pPr>
        <w:pStyle w:val="A"/>
        <w:rPr>
          <w:color w:val="000000"/>
        </w:rPr>
      </w:pPr>
      <w:r w:rsidRPr="001E5B02">
        <w:rPr>
          <w:color w:val="000000"/>
        </w:rPr>
        <w:t>E.</w:t>
      </w:r>
      <w:r w:rsidRPr="001E5B02">
        <w:rPr>
          <w:color w:val="000000"/>
        </w:rPr>
        <w:tab/>
        <w:t>Laboratory Testing</w:t>
      </w:r>
    </w:p>
    <w:p w14:paraId="3596D1CC" w14:textId="77777777" w:rsidR="00C62B28" w:rsidRPr="001E5B02" w:rsidRDefault="00C62B28" w:rsidP="00C62B28">
      <w:pPr>
        <w:pStyle w:val="1"/>
        <w:rPr>
          <w:color w:val="000000"/>
        </w:rPr>
      </w:pPr>
      <w:r w:rsidRPr="001E5B02">
        <w:rPr>
          <w:color w:val="000000"/>
        </w:rPr>
        <w:lastRenderedPageBreak/>
        <w:t>1.</w:t>
      </w:r>
      <w:r w:rsidRPr="001E5B02">
        <w:rPr>
          <w:color w:val="000000"/>
        </w:rPr>
        <w:tab/>
        <w:t>Quantitative determination of THC levels measured using liquid chromatography with ultraviolet detection (LC-UV) or mass spectral detection if required by matrix interference (LC/MS/MS) shall be the accepted analytical technique to avoid the risk of incomplete decarboxylation, therefore, removing the need for any post-decarboxylation.</w:t>
      </w:r>
    </w:p>
    <w:p w14:paraId="75FB50B4" w14:textId="77777777" w:rsidR="00C62B28" w:rsidRPr="001E5B02" w:rsidRDefault="00C62B28" w:rsidP="00C62B28">
      <w:pPr>
        <w:pStyle w:val="1"/>
        <w:rPr>
          <w:color w:val="000000"/>
        </w:rPr>
      </w:pPr>
      <w:r w:rsidRPr="001E5B02">
        <w:rPr>
          <w:color w:val="000000"/>
        </w:rPr>
        <w:t>2.</w:t>
      </w:r>
      <w:r w:rsidRPr="001E5B02">
        <w:rPr>
          <w:color w:val="000000"/>
        </w:rPr>
        <w:tab/>
        <w:t>The testing methodology shall consider the potential conversion of THC-A in industrial hemp into THC and the test result shall measure the total available THC derived from the sum of the THC and THC-A content. Appropriately, the THC-A result will be modified by the molecular weight conversion factor 0.877 prior to summation with THC. The total THC concentration level shall be reported on a dry weight basis.</w:t>
      </w:r>
    </w:p>
    <w:p w14:paraId="4554022D" w14:textId="77777777" w:rsidR="00C62B28" w:rsidRPr="001E5B02" w:rsidRDefault="00C62B28" w:rsidP="00C62B28">
      <w:pPr>
        <w:pStyle w:val="1"/>
        <w:rPr>
          <w:color w:val="000000"/>
        </w:rPr>
      </w:pPr>
      <w:r w:rsidRPr="001E5B02">
        <w:rPr>
          <w:color w:val="000000"/>
        </w:rPr>
        <w:t>3.</w:t>
      </w:r>
      <w:r w:rsidRPr="001E5B02">
        <w:rPr>
          <w:color w:val="000000"/>
        </w:rPr>
        <w:tab/>
        <w:t>Analytical testing for purposes of detecting the concentration levels of THC shall meet the following standards:</w:t>
      </w:r>
    </w:p>
    <w:p w14:paraId="42E44AB2" w14:textId="77777777" w:rsidR="00C62B28" w:rsidRPr="001E5B02" w:rsidRDefault="00C62B28" w:rsidP="00C62B28">
      <w:pPr>
        <w:pStyle w:val="a0"/>
        <w:rPr>
          <w:color w:val="000000"/>
        </w:rPr>
      </w:pPr>
      <w:r w:rsidRPr="001E5B02">
        <w:rPr>
          <w:color w:val="000000"/>
        </w:rPr>
        <w:t>a.</w:t>
      </w:r>
      <w:r w:rsidRPr="001E5B02">
        <w:rPr>
          <w:color w:val="000000"/>
        </w:rPr>
        <w:tab/>
        <w:t>laboratory quality assurance must ensure the validity and reliability of test results;</w:t>
      </w:r>
    </w:p>
    <w:p w14:paraId="4B125A0B" w14:textId="77777777" w:rsidR="00C62B28" w:rsidRPr="001E5B02" w:rsidRDefault="00C62B28" w:rsidP="00C62B28">
      <w:pPr>
        <w:pStyle w:val="a0"/>
        <w:rPr>
          <w:color w:val="000000"/>
        </w:rPr>
      </w:pPr>
      <w:r w:rsidRPr="001E5B02">
        <w:rPr>
          <w:color w:val="000000"/>
        </w:rPr>
        <w:t>b.</w:t>
      </w:r>
      <w:r w:rsidRPr="001E5B02">
        <w:rPr>
          <w:color w:val="000000"/>
        </w:rPr>
        <w:tab/>
        <w:t>analytical method selection, validation, and verification must ensure that the testing method used is appropriate (fit for purpose), and that the laboratory can successfully perform the testing;</w:t>
      </w:r>
    </w:p>
    <w:p w14:paraId="1A15277F" w14:textId="77777777" w:rsidR="00C62B28" w:rsidRPr="001E5B02" w:rsidRDefault="00C62B28" w:rsidP="00C62B28">
      <w:pPr>
        <w:pStyle w:val="a0"/>
        <w:rPr>
          <w:color w:val="000000"/>
        </w:rPr>
      </w:pPr>
      <w:r w:rsidRPr="001E5B02">
        <w:rPr>
          <w:color w:val="000000"/>
        </w:rPr>
        <w:t>c.</w:t>
      </w:r>
      <w:r w:rsidRPr="001E5B02">
        <w:rPr>
          <w:color w:val="000000"/>
        </w:rPr>
        <w:tab/>
        <w:t xml:space="preserve">the demonstration of testing validity must ensure consistent, accurate analytical performance; </w:t>
      </w:r>
    </w:p>
    <w:p w14:paraId="38990243" w14:textId="77777777" w:rsidR="00C62B28" w:rsidRPr="001E5B02" w:rsidRDefault="00C62B28" w:rsidP="00C62B28">
      <w:pPr>
        <w:pStyle w:val="a0"/>
        <w:rPr>
          <w:color w:val="000000"/>
        </w:rPr>
      </w:pPr>
      <w:r w:rsidRPr="001E5B02">
        <w:rPr>
          <w:color w:val="000000"/>
        </w:rPr>
        <w:t>d.</w:t>
      </w:r>
      <w:r w:rsidRPr="001E5B02">
        <w:rPr>
          <w:color w:val="000000"/>
        </w:rPr>
        <w:tab/>
        <w:t xml:space="preserve">method performance specifications must ensure analytical tests are sufficiently sensitive for the purposes of detectability requirements of this Chapter; </w:t>
      </w:r>
    </w:p>
    <w:p w14:paraId="60F896FC" w14:textId="77777777" w:rsidR="00C62B28" w:rsidRPr="001E5B02" w:rsidRDefault="00C62B28" w:rsidP="00C62B28">
      <w:pPr>
        <w:pStyle w:val="a0"/>
        <w:rPr>
          <w:color w:val="000000"/>
        </w:rPr>
      </w:pPr>
      <w:r w:rsidRPr="001E5B02">
        <w:rPr>
          <w:color w:val="000000"/>
        </w:rPr>
        <w:t>e.</w:t>
      </w:r>
      <w:r w:rsidRPr="001E5B02">
        <w:rPr>
          <w:color w:val="000000"/>
        </w:rPr>
        <w:tab/>
        <w:t xml:space="preserve">an effective disposal procedure in accordance with DEA regulations for samples of industrial hemp plants and industrial hemp plant parts that do not meet the requirements of R.S. 3:1461 et seq. or this Chapter. </w:t>
      </w:r>
    </w:p>
    <w:p w14:paraId="3BC528CC" w14:textId="77777777" w:rsidR="00C62B28" w:rsidRPr="001E5B02" w:rsidRDefault="00C62B28" w:rsidP="00C62B28">
      <w:pPr>
        <w:pStyle w:val="a0"/>
        <w:rPr>
          <w:color w:val="000000"/>
        </w:rPr>
      </w:pPr>
      <w:r w:rsidRPr="001E5B02">
        <w:rPr>
          <w:color w:val="000000"/>
        </w:rPr>
        <w:t>f.</w:t>
      </w:r>
      <w:r w:rsidRPr="001E5B02">
        <w:rPr>
          <w:color w:val="000000"/>
        </w:rPr>
        <w:tab/>
        <w:t>the measurement of uncertainty shall be estimated and reported with the results.</w:t>
      </w:r>
    </w:p>
    <w:p w14:paraId="15BAFF7E" w14:textId="77777777" w:rsidR="00C62B28" w:rsidRPr="001E5B02" w:rsidRDefault="00C62B28" w:rsidP="00C62B28">
      <w:pPr>
        <w:pStyle w:val="1"/>
        <w:rPr>
          <w:color w:val="000000"/>
        </w:rPr>
      </w:pPr>
      <w:r w:rsidRPr="001E5B02">
        <w:rPr>
          <w:color w:val="000000"/>
        </w:rPr>
        <w:t>4.</w:t>
      </w:r>
      <w:r w:rsidRPr="001E5B02">
        <w:rPr>
          <w:color w:val="000000"/>
        </w:rPr>
        <w:tab/>
      </w:r>
      <w:r w:rsidRPr="001E5B02">
        <w:rPr>
          <w:color w:val="000000"/>
          <w:shd w:val="clear" w:color="auto" w:fill="FFFFFF"/>
        </w:rPr>
        <w:t>All testing of industrial hemp samples shall be conducted by LDAF or by any public postsecondary education institution in which LDAF has entered into a contract, cooperative endeavor agreement, memorandum of understanding, or other agreement for THC testing.</w:t>
      </w:r>
    </w:p>
    <w:p w14:paraId="41E82F09" w14:textId="77777777" w:rsidR="00C62B28" w:rsidRPr="001E5B02" w:rsidRDefault="00C62B28" w:rsidP="00C62B28">
      <w:pPr>
        <w:pStyle w:val="1"/>
        <w:rPr>
          <w:color w:val="000000"/>
        </w:rPr>
      </w:pPr>
      <w:r w:rsidRPr="001E5B02">
        <w:rPr>
          <w:color w:val="000000"/>
        </w:rPr>
        <w:t>5.</w:t>
      </w:r>
      <w:r w:rsidRPr="001E5B02">
        <w:rPr>
          <w:color w:val="000000"/>
        </w:rPr>
        <w:tab/>
        <w:t xml:space="preserve">The results of the THC analysis shall be reported to the licensee and, if tested by an approved third party laboratory, to LDAF. </w:t>
      </w:r>
    </w:p>
    <w:p w14:paraId="036130D5" w14:textId="77777777" w:rsidR="00C62B28" w:rsidRPr="001E5B02" w:rsidRDefault="00C62B28" w:rsidP="00C62B28">
      <w:pPr>
        <w:pStyle w:val="1"/>
        <w:rPr>
          <w:color w:val="000000"/>
        </w:rPr>
      </w:pPr>
      <w:r w:rsidRPr="001E5B02">
        <w:rPr>
          <w:color w:val="000000"/>
        </w:rPr>
        <w:t>6.</w:t>
      </w:r>
      <w:r w:rsidRPr="001E5B02">
        <w:rPr>
          <w:color w:val="000000"/>
        </w:rPr>
        <w:tab/>
        <w:t>A notification of analysis shall be issued for samples with a THC concentration that do not exceed the acceptable industrial hemp THC level and no further action shall be required. The plot or harvested plant material from which the sample was obtained shall be released for marketing or further processing.</w:t>
      </w:r>
    </w:p>
    <w:p w14:paraId="429B1693" w14:textId="77777777" w:rsidR="00C62B28" w:rsidRPr="001E5B02" w:rsidRDefault="00C62B28" w:rsidP="00C62B28">
      <w:pPr>
        <w:pStyle w:val="1"/>
        <w:rPr>
          <w:color w:val="000000"/>
        </w:rPr>
      </w:pPr>
      <w:r w:rsidRPr="001E5B02">
        <w:rPr>
          <w:color w:val="000000"/>
        </w:rPr>
        <w:t>7.</w:t>
      </w:r>
      <w:r w:rsidRPr="001E5B02">
        <w:rPr>
          <w:color w:val="000000"/>
        </w:rPr>
        <w:tab/>
        <w:t xml:space="preserve">A notification of analysis shall be issued for samples that exceed the acceptable industrial hemp THC level and a licensee may request a resample of any harvested cannabis that has undergone remediation as set forth in </w:t>
      </w:r>
      <w:r>
        <w:rPr>
          <w:color w:val="000000"/>
        </w:rPr>
        <w:t>§</w:t>
      </w:r>
      <w:r w:rsidRPr="001E5B02">
        <w:rPr>
          <w:color w:val="000000"/>
        </w:rPr>
        <w:t xml:space="preserve">1337 of this Chapter. If no request is made within 10 calendar days of the sample results being reported to the licensee, or the retested </w:t>
      </w:r>
      <w:r w:rsidRPr="001E5B02">
        <w:rPr>
          <w:color w:val="000000"/>
        </w:rPr>
        <w:t>sample results exceed the acceptable industrial hemp THC level, then the plot or harvested plant material from which the sample was taken shall be subject to destruction as set forth in §1337.</w:t>
      </w:r>
    </w:p>
    <w:p w14:paraId="52BDCBE9" w14:textId="77777777" w:rsidR="00CC7582" w:rsidRPr="002D7DAE" w:rsidRDefault="00C62B28" w:rsidP="00CC7582">
      <w:pPr>
        <w:pStyle w:val="1"/>
      </w:pPr>
      <w:r w:rsidRPr="001E5B02">
        <w:rPr>
          <w:color w:val="000000"/>
        </w:rPr>
        <w:t>8.</w:t>
      </w:r>
      <w:r w:rsidRPr="001E5B02">
        <w:rPr>
          <w:color w:val="000000"/>
        </w:rPr>
        <w:tab/>
      </w:r>
      <w:r w:rsidR="00CC7582" w:rsidRPr="002D7DAE">
        <w:t>A notification of analysis for official LDAF collected samples shall not be released until the licensee has submitted a valid FSA 578 form to LDAF for the lot represented by the sample.</w:t>
      </w:r>
    </w:p>
    <w:p w14:paraId="5644808F" w14:textId="77777777" w:rsidR="00CD0355" w:rsidRPr="00DF6D8D" w:rsidRDefault="00CC7582" w:rsidP="00CC7582">
      <w:pPr>
        <w:pStyle w:val="1"/>
        <w:rPr>
          <w:color w:val="000000"/>
        </w:rPr>
      </w:pPr>
      <w:r w:rsidRPr="002D7DAE">
        <w:t>9.</w:t>
      </w:r>
      <w:r w:rsidRPr="002D7DAE">
        <w:tab/>
        <w:t>No industrial plants or plant parts for which a THC analysis is pending shall be transferred, transported, sold, marketed, or otherwise disposed of until approved by LDAF.</w:t>
      </w:r>
    </w:p>
    <w:p w14:paraId="1D04E2C4"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R.S. 3:1467, and R.S. 3:1468.</w:t>
      </w:r>
    </w:p>
    <w:p w14:paraId="5F7C337F"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177</w:t>
      </w:r>
      <w:r w:rsidRPr="00DF6D8D">
        <w:rPr>
          <w:color w:val="000000"/>
        </w:rPr>
        <w:t xml:space="preserve"> (February 2020)</w:t>
      </w:r>
      <w:r w:rsidRPr="005C5CA8">
        <w:t>, LR 47:440 (April 2021)</w:t>
      </w:r>
      <w:r w:rsidR="00C62B28" w:rsidRPr="001E5B02">
        <w:rPr>
          <w:color w:val="000000"/>
        </w:rPr>
        <w:t>, amended LR 47:</w:t>
      </w:r>
      <w:r w:rsidR="00C62B28">
        <w:rPr>
          <w:color w:val="000000"/>
        </w:rPr>
        <w:t>1838</w:t>
      </w:r>
      <w:r w:rsidR="00C62B28" w:rsidRPr="001E5B02">
        <w:rPr>
          <w:color w:val="000000"/>
        </w:rPr>
        <w:t xml:space="preserve"> (December 2021</w:t>
      </w:r>
      <w:r w:rsidR="00CC7582">
        <w:t>), LR 48:1744 (July 2022).</w:t>
      </w:r>
    </w:p>
    <w:p w14:paraId="3AD0751D" w14:textId="77777777" w:rsidR="00CD0355" w:rsidRPr="00DF6D8D" w:rsidRDefault="00CD0355" w:rsidP="00CD0355">
      <w:pPr>
        <w:pStyle w:val="Section"/>
        <w:rPr>
          <w:color w:val="000000"/>
        </w:rPr>
      </w:pPr>
      <w:bookmarkStart w:id="1308" w:name="_Toc224818887"/>
      <w:r w:rsidRPr="00DF6D8D">
        <w:rPr>
          <w:color w:val="000000"/>
        </w:rPr>
        <w:t>§1337.</w:t>
      </w:r>
      <w:r w:rsidRPr="00DF6D8D">
        <w:rPr>
          <w:color w:val="000000"/>
        </w:rPr>
        <w:tab/>
      </w:r>
      <w:r w:rsidR="00C62B28" w:rsidRPr="001E5B02">
        <w:rPr>
          <w:color w:val="000000"/>
        </w:rPr>
        <w:t>Remediation and Destruction</w:t>
      </w:r>
      <w:bookmarkEnd w:id="1308"/>
    </w:p>
    <w:p w14:paraId="6A29BB8A" w14:textId="77777777" w:rsidR="00C62B28" w:rsidRPr="001E5B02" w:rsidRDefault="00CD0355" w:rsidP="00C62B28">
      <w:pPr>
        <w:pStyle w:val="A"/>
        <w:rPr>
          <w:color w:val="000000"/>
        </w:rPr>
      </w:pPr>
      <w:r w:rsidRPr="00DF6D8D">
        <w:rPr>
          <w:color w:val="000000"/>
        </w:rPr>
        <w:t>A.</w:t>
      </w:r>
      <w:r w:rsidRPr="00DF6D8D">
        <w:rPr>
          <w:color w:val="000000"/>
        </w:rPr>
        <w:tab/>
      </w:r>
      <w:r w:rsidR="00AC5EC7" w:rsidRPr="002D7DAE">
        <w:t>All industrial hemp plants or plant parts that are noncompliant with the acceptable industrial hemp THC level shall be remediated or destroyed in compliance with this Chapter.</w:t>
      </w:r>
      <w:r w:rsidR="00AC5EC7" w:rsidRPr="002D7DAE">
        <w:rPr>
          <w:b/>
        </w:rPr>
        <w:t xml:space="preserve"> </w:t>
      </w:r>
      <w:r w:rsidR="00AC5EC7" w:rsidRPr="002D7DAE">
        <w:t>Any industrial hemp plants or plant parts that test greater than 1.0 percent total THC shall be destroyed.</w:t>
      </w:r>
    </w:p>
    <w:p w14:paraId="5E0C8D73" w14:textId="77777777" w:rsidR="00C62B28" w:rsidRPr="001E5B02" w:rsidRDefault="00C62B28" w:rsidP="00C62B28">
      <w:pPr>
        <w:pStyle w:val="A"/>
        <w:rPr>
          <w:color w:val="000000"/>
        </w:rPr>
      </w:pPr>
      <w:r w:rsidRPr="001E5B02">
        <w:rPr>
          <w:color w:val="000000"/>
        </w:rPr>
        <w:t>B.</w:t>
      </w:r>
      <w:r w:rsidRPr="001E5B02">
        <w:rPr>
          <w:color w:val="000000"/>
        </w:rPr>
        <w:tab/>
        <w:t xml:space="preserve">Producers may choose to remediate any non-compliant industrial hemp plants by one of the following methods: </w:t>
      </w:r>
    </w:p>
    <w:p w14:paraId="229B5955" w14:textId="77777777" w:rsidR="00C62B28" w:rsidRPr="001E5B02" w:rsidRDefault="00C62B28" w:rsidP="00C62B28">
      <w:pPr>
        <w:pStyle w:val="1"/>
        <w:rPr>
          <w:color w:val="000000"/>
        </w:rPr>
      </w:pPr>
      <w:r w:rsidRPr="001E5B02">
        <w:rPr>
          <w:color w:val="000000"/>
        </w:rPr>
        <w:t>1.</w:t>
      </w:r>
      <w:r w:rsidRPr="001E5B02">
        <w:rPr>
          <w:color w:val="000000"/>
        </w:rPr>
        <w:tab/>
        <w:t>removing and destroying all flower material, while retaining stalk, stems, leaf material, and seeds; or</w:t>
      </w:r>
    </w:p>
    <w:p w14:paraId="3CBEE294" w14:textId="77777777" w:rsidR="00C62B28" w:rsidRPr="001E5B02" w:rsidRDefault="00C62B28" w:rsidP="00C62B28">
      <w:pPr>
        <w:pStyle w:val="1"/>
        <w:rPr>
          <w:color w:val="000000"/>
        </w:rPr>
      </w:pPr>
      <w:r w:rsidRPr="001E5B02">
        <w:rPr>
          <w:color w:val="000000"/>
        </w:rPr>
        <w:t>2.</w:t>
      </w:r>
      <w:r w:rsidRPr="001E5B02">
        <w:rPr>
          <w:color w:val="000000"/>
        </w:rPr>
        <w:tab/>
        <w:t xml:space="preserve">shredding the entire plant into a biomass-like material. </w:t>
      </w:r>
    </w:p>
    <w:p w14:paraId="0207134C" w14:textId="77777777" w:rsidR="00C62B28" w:rsidRPr="001E5B02" w:rsidRDefault="00C62B28" w:rsidP="00C62B28">
      <w:pPr>
        <w:pStyle w:val="A"/>
        <w:rPr>
          <w:color w:val="000000"/>
        </w:rPr>
      </w:pPr>
      <w:r w:rsidRPr="001E5B02">
        <w:rPr>
          <w:color w:val="000000"/>
        </w:rPr>
        <w:t>C.</w:t>
      </w:r>
      <w:r w:rsidRPr="001E5B02">
        <w:rPr>
          <w:color w:val="000000"/>
        </w:rPr>
        <w:tab/>
        <w:t xml:space="preserve">All remediated industrial hemp plants or plant parts shall be resampled and tested for THC concentration levels, and shall comply with the acceptable industrial hemp THC level. </w:t>
      </w:r>
    </w:p>
    <w:p w14:paraId="647C01AE" w14:textId="77777777" w:rsidR="00C62B28" w:rsidRPr="001E5B02" w:rsidRDefault="00C62B28" w:rsidP="00C62B28">
      <w:pPr>
        <w:pStyle w:val="A"/>
        <w:rPr>
          <w:color w:val="000000"/>
        </w:rPr>
      </w:pPr>
      <w:r w:rsidRPr="001E5B02">
        <w:rPr>
          <w:color w:val="000000"/>
        </w:rPr>
        <w:t>D.</w:t>
      </w:r>
      <w:r w:rsidRPr="001E5B02">
        <w:rPr>
          <w:color w:val="000000"/>
        </w:rPr>
        <w:tab/>
        <w:t>Industrial hemp plants or plant parts that are not in compliance with the acceptable industrial hemp THC level after remediation shall be:</w:t>
      </w:r>
    </w:p>
    <w:p w14:paraId="04595D76" w14:textId="77777777" w:rsidR="00C62B28" w:rsidRPr="001E5B02" w:rsidRDefault="00C62B28" w:rsidP="00C62B28">
      <w:pPr>
        <w:pStyle w:val="1"/>
        <w:rPr>
          <w:color w:val="000000"/>
        </w:rPr>
      </w:pPr>
      <w:r w:rsidRPr="001E5B02">
        <w:rPr>
          <w:color w:val="000000"/>
        </w:rPr>
        <w:t>1.</w:t>
      </w:r>
      <w:r w:rsidRPr="001E5B02">
        <w:rPr>
          <w:color w:val="000000"/>
        </w:rPr>
        <w:tab/>
        <w:t>prohibited from being further handled, processed, or entered into the stream of commerce; and</w:t>
      </w:r>
    </w:p>
    <w:p w14:paraId="73633BE6" w14:textId="77777777" w:rsidR="00C62B28" w:rsidRPr="001E5B02" w:rsidRDefault="00C62B28" w:rsidP="00C62B28">
      <w:pPr>
        <w:pStyle w:val="1"/>
        <w:rPr>
          <w:color w:val="000000"/>
        </w:rPr>
      </w:pPr>
      <w:r w:rsidRPr="001E5B02">
        <w:rPr>
          <w:color w:val="000000"/>
        </w:rPr>
        <w:t>2.</w:t>
      </w:r>
      <w:r w:rsidRPr="001E5B02">
        <w:rPr>
          <w:color w:val="000000"/>
        </w:rPr>
        <w:tab/>
        <w:t xml:space="preserve">destroyed in accordance with the USDA AMC published list of Hemp Disposal Activities. The method of destruction shall be approved by LDAF. </w:t>
      </w:r>
    </w:p>
    <w:p w14:paraId="40FDE40F" w14:textId="77777777" w:rsidR="00CD0355" w:rsidRPr="00DF6D8D" w:rsidRDefault="00C62B28" w:rsidP="00C62B28">
      <w:pPr>
        <w:pStyle w:val="A"/>
        <w:rPr>
          <w:color w:val="000000"/>
        </w:rPr>
      </w:pPr>
      <w:r w:rsidRPr="001E5B02">
        <w:rPr>
          <w:color w:val="000000"/>
        </w:rPr>
        <w:t>E.</w:t>
      </w:r>
      <w:r w:rsidRPr="001E5B02">
        <w:rPr>
          <w:color w:val="000000"/>
        </w:rPr>
        <w:tab/>
        <w:t>Licensees shall submit a Destruction Report for each plot to LDAF prior to destruction. LDAF shall approve the method of destruction.</w:t>
      </w:r>
    </w:p>
    <w:p w14:paraId="6722F6E1"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R.S. 3:1467, and R.S. 3:1468.</w:t>
      </w:r>
    </w:p>
    <w:p w14:paraId="4365F100" w14:textId="77777777" w:rsidR="00C62B28" w:rsidRPr="00C62B28" w:rsidRDefault="00CD0355" w:rsidP="00C62B28">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177</w:t>
      </w:r>
      <w:r w:rsidRPr="00DF6D8D">
        <w:rPr>
          <w:color w:val="000000"/>
        </w:rPr>
        <w:t xml:space="preserve"> (February 2020)</w:t>
      </w:r>
      <w:r w:rsidR="00C62B28" w:rsidRPr="00C62B28">
        <w:rPr>
          <w:color w:val="000000"/>
          <w:sz w:val="16"/>
          <w:szCs w:val="16"/>
        </w:rPr>
        <w:t xml:space="preserve"> , </w:t>
      </w:r>
      <w:r w:rsidR="00C62B28" w:rsidRPr="00C62B28">
        <w:rPr>
          <w:color w:val="000000"/>
          <w:szCs w:val="16"/>
        </w:rPr>
        <w:t>amended LR 47:1839 (December 2021</w:t>
      </w:r>
      <w:r w:rsidR="00AC5EC7" w:rsidRPr="002D7DAE">
        <w:t xml:space="preserve">), </w:t>
      </w:r>
      <w:r w:rsidR="00AC5EC7">
        <w:t>LR 48:1744 (July 2022).</w:t>
      </w:r>
    </w:p>
    <w:p w14:paraId="38DB6FFB" w14:textId="77777777" w:rsidR="00CD0355" w:rsidRPr="00DF6D8D" w:rsidRDefault="00CD0355" w:rsidP="00CD0355">
      <w:pPr>
        <w:pStyle w:val="Chapter"/>
        <w:rPr>
          <w:color w:val="000000"/>
        </w:rPr>
      </w:pPr>
      <w:bookmarkStart w:id="1309" w:name="_Toc224818888"/>
      <w:r w:rsidRPr="00DF6D8D">
        <w:rPr>
          <w:color w:val="000000"/>
        </w:rPr>
        <w:lastRenderedPageBreak/>
        <w:t>Subchapter I.</w:t>
      </w:r>
      <w:r w:rsidRPr="00DF6D8D">
        <w:rPr>
          <w:color w:val="000000"/>
        </w:rPr>
        <w:tab/>
        <w:t>Enforcement</w:t>
      </w:r>
      <w:bookmarkEnd w:id="1309"/>
      <w:r w:rsidRPr="00DF6D8D">
        <w:rPr>
          <w:color w:val="000000"/>
        </w:rPr>
        <w:t xml:space="preserve"> </w:t>
      </w:r>
    </w:p>
    <w:p w14:paraId="5563C800" w14:textId="77777777" w:rsidR="00CD0355" w:rsidRPr="00DF6D8D" w:rsidRDefault="00CD0355" w:rsidP="00CD0355">
      <w:pPr>
        <w:pStyle w:val="Section"/>
        <w:rPr>
          <w:color w:val="000000"/>
        </w:rPr>
      </w:pPr>
      <w:bookmarkStart w:id="1310" w:name="_Toc224818889"/>
      <w:r w:rsidRPr="00DF6D8D">
        <w:rPr>
          <w:color w:val="000000"/>
        </w:rPr>
        <w:t>§1339.</w:t>
      </w:r>
      <w:r w:rsidRPr="00DF6D8D">
        <w:rPr>
          <w:color w:val="000000"/>
        </w:rPr>
        <w:tab/>
        <w:t>Adjudicatory Proceedings; Violations</w:t>
      </w:r>
      <w:bookmarkEnd w:id="1310"/>
    </w:p>
    <w:p w14:paraId="6FFC7D57" w14:textId="77777777" w:rsidR="00CD0355" w:rsidRPr="00DF6D8D" w:rsidRDefault="00CD0355" w:rsidP="00CD0355">
      <w:pPr>
        <w:pStyle w:val="A"/>
        <w:rPr>
          <w:color w:val="000000"/>
        </w:rPr>
      </w:pPr>
      <w:r w:rsidRPr="00DF6D8D">
        <w:rPr>
          <w:color w:val="000000"/>
        </w:rPr>
        <w:t>A.</w:t>
      </w:r>
      <w:r w:rsidRPr="00DF6D8D">
        <w:rPr>
          <w:color w:val="000000"/>
        </w:rPr>
        <w:tab/>
        <w:t xml:space="preserve">The commissioner may suspend or revoke any license issued under the provisions of R.S. 3:1465 and this Chapter. The commissioner may also assess a civil penalty for violation of any provision of R.S. 3:1461 </w:t>
      </w:r>
      <w:r w:rsidRPr="00DF6D8D">
        <w:rPr>
          <w:iCs/>
          <w:color w:val="000000"/>
        </w:rPr>
        <w:t>et seq</w:t>
      </w:r>
      <w:r w:rsidRPr="00DF6D8D">
        <w:rPr>
          <w:i/>
          <w:iCs/>
          <w:color w:val="000000"/>
        </w:rPr>
        <w:t>.</w:t>
      </w:r>
      <w:r w:rsidRPr="00DF6D8D">
        <w:rPr>
          <w:color w:val="000000"/>
        </w:rPr>
        <w:t xml:space="preserve"> or any violation of any regulation enacted under the authority of said statutes. </w:t>
      </w:r>
    </w:p>
    <w:p w14:paraId="44616E89" w14:textId="77777777" w:rsidR="00CD0355" w:rsidRPr="00DF6D8D" w:rsidRDefault="00CD0355" w:rsidP="00CD0355">
      <w:pPr>
        <w:pStyle w:val="A"/>
        <w:rPr>
          <w:color w:val="000000"/>
        </w:rPr>
      </w:pPr>
      <w:r w:rsidRPr="00DF6D8D">
        <w:rPr>
          <w:color w:val="000000"/>
        </w:rPr>
        <w:t>B.</w:t>
      </w:r>
      <w:r w:rsidRPr="00DF6D8D">
        <w:rPr>
          <w:color w:val="000000"/>
        </w:rPr>
        <w:tab/>
        <w:t>Whenever the commissioner has reason to believe that a licensee has violated any provision of the R.S. 3:1461 et seq</w:t>
      </w:r>
      <w:r w:rsidRPr="00DF6D8D">
        <w:rPr>
          <w:i/>
          <w:color w:val="000000"/>
        </w:rPr>
        <w:t>.</w:t>
      </w:r>
      <w:r w:rsidRPr="00DF6D8D">
        <w:rPr>
          <w:color w:val="000000"/>
        </w:rPr>
        <w:t xml:space="preserve"> or this Chapter, the commissioner shall notify the licensee of the alleged violation as well as an opportunity to respond thereto, by certified mail, prior to any scheduled hearing date. </w:t>
      </w:r>
    </w:p>
    <w:p w14:paraId="68DA6864" w14:textId="77777777" w:rsidR="00CD0355" w:rsidRPr="00DF6D8D" w:rsidRDefault="00CD0355" w:rsidP="00CD0355">
      <w:pPr>
        <w:pStyle w:val="A"/>
        <w:rPr>
          <w:color w:val="000000"/>
        </w:rPr>
      </w:pPr>
      <w:r w:rsidRPr="00DF6D8D">
        <w:rPr>
          <w:color w:val="000000"/>
        </w:rPr>
        <w:t>C.</w:t>
      </w:r>
      <w:r w:rsidRPr="00DF6D8D">
        <w:rPr>
          <w:color w:val="000000"/>
        </w:rPr>
        <w:tab/>
        <w:t xml:space="preserve">Each separate day on which any violation occurs shall be considered a separate violation. </w:t>
      </w:r>
    </w:p>
    <w:p w14:paraId="1DE3B061" w14:textId="77777777" w:rsidR="00CD0355" w:rsidRPr="00DF6D8D" w:rsidRDefault="00CD0355" w:rsidP="00CD0355">
      <w:pPr>
        <w:pStyle w:val="A"/>
        <w:rPr>
          <w:color w:val="000000"/>
        </w:rPr>
      </w:pPr>
      <w:r w:rsidRPr="00DF6D8D">
        <w:rPr>
          <w:color w:val="000000"/>
        </w:rPr>
        <w:t>D.</w:t>
      </w:r>
      <w:r w:rsidRPr="00DF6D8D">
        <w:rPr>
          <w:color w:val="000000"/>
        </w:rPr>
        <w:tab/>
        <w:t>No penalty may be assessed nor may any license be suspended or revoked by the commissioner prior to the holding of an adjudicatory hearing before the commission. Such adjudicatory hearing shall be conducted in accordance with the requirements of the Administrative Procedure Act; any person alleged to have violated any provision of R.S. 3:1461 et seq</w:t>
      </w:r>
      <w:r w:rsidRPr="00DF6D8D">
        <w:rPr>
          <w:i/>
          <w:color w:val="000000"/>
        </w:rPr>
        <w:t>.</w:t>
      </w:r>
      <w:r w:rsidRPr="00DF6D8D">
        <w:rPr>
          <w:color w:val="000000"/>
        </w:rPr>
        <w:t xml:space="preserve"> or this Chapter shall be accorded all rights and privileges under said Act. </w:t>
      </w:r>
    </w:p>
    <w:p w14:paraId="42F229DE" w14:textId="77777777" w:rsidR="00CD0355" w:rsidRPr="00DF6D8D" w:rsidRDefault="00CD0355" w:rsidP="00CD0355">
      <w:pPr>
        <w:pStyle w:val="A"/>
        <w:rPr>
          <w:color w:val="000000"/>
        </w:rPr>
      </w:pPr>
      <w:r w:rsidRPr="00DF6D8D">
        <w:rPr>
          <w:color w:val="000000"/>
        </w:rPr>
        <w:t>E.</w:t>
      </w:r>
      <w:r w:rsidRPr="00DF6D8D">
        <w:rPr>
          <w:color w:val="000000"/>
        </w:rPr>
        <w:tab/>
        <w:t xml:space="preserve">The commission shall make an initial determination on alleged violations and recommend findings of fact and conclusions of law together with penalties, if applicable, in writing. </w:t>
      </w:r>
    </w:p>
    <w:p w14:paraId="5F3CFF11" w14:textId="77777777" w:rsidR="00CD0355" w:rsidRPr="00DF6D8D" w:rsidRDefault="00CD0355" w:rsidP="00CD0355">
      <w:pPr>
        <w:pStyle w:val="A"/>
        <w:rPr>
          <w:color w:val="000000"/>
        </w:rPr>
      </w:pPr>
      <w:r w:rsidRPr="00DF6D8D">
        <w:rPr>
          <w:color w:val="000000"/>
        </w:rPr>
        <w:t>F.</w:t>
      </w:r>
      <w:r w:rsidRPr="00DF6D8D">
        <w:rPr>
          <w:color w:val="000000"/>
        </w:rPr>
        <w:tab/>
        <w:t xml:space="preserve">The commissioner shall make the final determination on the disposition of alleged violations. If the commissioner does not accept the recommendations of the commission following an adjudicatory proceeding, the commissioner shall notify the commission, in writing, of the reasons for not accepting the commission’s recommendations. </w:t>
      </w:r>
    </w:p>
    <w:p w14:paraId="42120BB6" w14:textId="77777777" w:rsidR="00CD0355" w:rsidRPr="00DF6D8D" w:rsidRDefault="00CD0355" w:rsidP="00CD0355">
      <w:pPr>
        <w:pStyle w:val="A"/>
        <w:rPr>
          <w:color w:val="000000"/>
        </w:rPr>
      </w:pPr>
      <w:r w:rsidRPr="00DF6D8D">
        <w:rPr>
          <w:color w:val="000000"/>
        </w:rPr>
        <w:t>G.</w:t>
      </w:r>
      <w:r w:rsidRPr="00DF6D8D">
        <w:rPr>
          <w:color w:val="000000"/>
        </w:rPr>
        <w:tab/>
        <w:t>Reinstatement of a revoked license shall be by hearing before the commission and approval of the commissioner.</w:t>
      </w:r>
    </w:p>
    <w:p w14:paraId="49582B78"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3:1461, 3:1463, R.S. 3:1464, and R.S. 3:1470.</w:t>
      </w:r>
    </w:p>
    <w:p w14:paraId="56887914" w14:textId="77777777" w:rsidR="00CD0355" w:rsidRPr="00DF6D8D" w:rsidRDefault="00CD0355" w:rsidP="00CD0355">
      <w:pPr>
        <w:pStyle w:val="Authority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178</w:t>
      </w:r>
      <w:r w:rsidRPr="00DF6D8D">
        <w:rPr>
          <w:color w:val="000000"/>
        </w:rPr>
        <w:t xml:space="preserve"> (February 2020).</w:t>
      </w:r>
    </w:p>
    <w:p w14:paraId="4C99CFFA" w14:textId="77777777" w:rsidR="00CD0355" w:rsidRPr="00DF6D8D" w:rsidRDefault="00CD0355" w:rsidP="00CD0355">
      <w:pPr>
        <w:pStyle w:val="Section"/>
        <w:rPr>
          <w:color w:val="000000"/>
        </w:rPr>
      </w:pPr>
      <w:bookmarkStart w:id="1311" w:name="_Toc224818890"/>
      <w:r w:rsidRPr="00DF6D8D">
        <w:rPr>
          <w:color w:val="000000"/>
        </w:rPr>
        <w:t>§1341.</w:t>
      </w:r>
      <w:r w:rsidRPr="00DF6D8D">
        <w:rPr>
          <w:color w:val="000000"/>
        </w:rPr>
        <w:tab/>
      </w:r>
      <w:r w:rsidR="00C62B28" w:rsidRPr="001E5B02">
        <w:rPr>
          <w:color w:val="000000"/>
        </w:rPr>
        <w:t>Corrective Action Plan for Negligent Violations and Mandatory Reporting</w:t>
      </w:r>
      <w:bookmarkEnd w:id="1311"/>
    </w:p>
    <w:p w14:paraId="43CC903F" w14:textId="77777777" w:rsidR="00CD0355" w:rsidRPr="00DF6D8D" w:rsidRDefault="00CD0355" w:rsidP="00CD0355">
      <w:pPr>
        <w:pStyle w:val="A"/>
        <w:rPr>
          <w:color w:val="000000"/>
        </w:rPr>
      </w:pPr>
      <w:r w:rsidRPr="00DF6D8D">
        <w:rPr>
          <w:color w:val="000000"/>
        </w:rPr>
        <w:t>A.</w:t>
      </w:r>
      <w:r w:rsidRPr="00DF6D8D">
        <w:rPr>
          <w:color w:val="000000"/>
        </w:rPr>
        <w:tab/>
      </w:r>
      <w:r w:rsidR="00C62B28" w:rsidRPr="001E5B02">
        <w:rPr>
          <w:color w:val="000000"/>
        </w:rPr>
        <w:t>In addition to being subject to license suspension, license revocation, civil penalties, and industrial hemp destruction, a person who is determined by LDAF to have negligently committed the following violations may be subject to a corrective action plan:</w:t>
      </w:r>
    </w:p>
    <w:p w14:paraId="19C6A658" w14:textId="77777777" w:rsidR="00CD0355" w:rsidRPr="00DF6D8D" w:rsidRDefault="00CD0355" w:rsidP="00CD0355">
      <w:pPr>
        <w:pStyle w:val="1"/>
        <w:rPr>
          <w:color w:val="000000"/>
        </w:rPr>
      </w:pPr>
      <w:r w:rsidRPr="00DF6D8D">
        <w:rPr>
          <w:color w:val="000000"/>
        </w:rPr>
        <w:t>1.</w:t>
      </w:r>
      <w:r w:rsidRPr="00DF6D8D">
        <w:rPr>
          <w:color w:val="000000"/>
        </w:rPr>
        <w:tab/>
        <w:t xml:space="preserve">failing to provide a legal description of the field, greenhouse, indoor growing structure, or site where industrial hemp will be cultivated, handled, or stored; </w:t>
      </w:r>
    </w:p>
    <w:p w14:paraId="74E82F32" w14:textId="77777777" w:rsidR="00AC5EC7" w:rsidRPr="002D7DAE" w:rsidRDefault="00CD0355" w:rsidP="00AC5EC7">
      <w:pPr>
        <w:pStyle w:val="1"/>
      </w:pPr>
      <w:r w:rsidRPr="00DF6D8D">
        <w:rPr>
          <w:color w:val="000000"/>
        </w:rPr>
        <w:t>2.</w:t>
      </w:r>
      <w:r w:rsidRPr="00DF6D8D">
        <w:rPr>
          <w:color w:val="000000"/>
        </w:rPr>
        <w:tab/>
      </w:r>
      <w:r w:rsidR="00AC5EC7" w:rsidRPr="002D7DAE">
        <w:t xml:space="preserve">failing to obtain a seed producer, grower, handler, or processor license from LDAF; or </w:t>
      </w:r>
    </w:p>
    <w:p w14:paraId="0A6777F8" w14:textId="77777777" w:rsidR="00CD0355" w:rsidRPr="00DF6D8D" w:rsidRDefault="00AC5EC7" w:rsidP="00AC5EC7">
      <w:pPr>
        <w:pStyle w:val="1"/>
        <w:rPr>
          <w:color w:val="000000"/>
        </w:rPr>
      </w:pPr>
      <w:r w:rsidRPr="002D7DAE">
        <w:t>3.</w:t>
      </w:r>
      <w:r w:rsidRPr="002D7DAE">
        <w:tab/>
        <w:t>producing industrial hemp exceeding the acceptable hemp THC level. A person that has made reasonable efforts to grow industrial hemp and produces cannabis that does not have a total THC concentration of more than 1.0 percent shall not be deemed to have committed a negligent violation.</w:t>
      </w:r>
    </w:p>
    <w:p w14:paraId="3E7220AA" w14:textId="77777777" w:rsidR="00CD0355" w:rsidRPr="00DF6D8D" w:rsidRDefault="00CD0355" w:rsidP="00CD0355">
      <w:pPr>
        <w:pStyle w:val="A"/>
      </w:pPr>
      <w:r w:rsidRPr="00DF6D8D">
        <w:t>B.</w:t>
      </w:r>
      <w:r w:rsidRPr="00DF6D8D">
        <w:tab/>
        <w:t>A corrective action plan issued by LDAF shall include the following information:</w:t>
      </w:r>
    </w:p>
    <w:p w14:paraId="3B5BDCBF" w14:textId="77777777" w:rsidR="00CD0355" w:rsidRPr="00DF6D8D" w:rsidRDefault="00CD0355" w:rsidP="00CD0355">
      <w:pPr>
        <w:pStyle w:val="1"/>
        <w:rPr>
          <w:color w:val="000000"/>
        </w:rPr>
      </w:pPr>
      <w:r w:rsidRPr="00DF6D8D">
        <w:rPr>
          <w:color w:val="000000"/>
        </w:rPr>
        <w:t>1.</w:t>
      </w:r>
      <w:r w:rsidRPr="00DF6D8D">
        <w:rPr>
          <w:color w:val="000000"/>
        </w:rPr>
        <w:tab/>
        <w:t>a reasonable date by which the person shall correct the negligent violation; and</w:t>
      </w:r>
    </w:p>
    <w:p w14:paraId="4E304DB3" w14:textId="77777777" w:rsidR="00CD0355" w:rsidRPr="00DF6D8D" w:rsidRDefault="00CD0355" w:rsidP="00CD0355">
      <w:pPr>
        <w:pStyle w:val="1"/>
        <w:rPr>
          <w:color w:val="000000"/>
        </w:rPr>
      </w:pPr>
      <w:r w:rsidRPr="00DF6D8D">
        <w:rPr>
          <w:color w:val="000000"/>
        </w:rPr>
        <w:t>2.</w:t>
      </w:r>
      <w:r w:rsidRPr="00DF6D8D">
        <w:rPr>
          <w:color w:val="000000"/>
        </w:rPr>
        <w:tab/>
        <w:t xml:space="preserve">a requirement that the person shall periodically report to LDAF about the person’s compliance with the corrective action plan, R.S. 3:1461 </w:t>
      </w:r>
      <w:r w:rsidRPr="00DF6D8D">
        <w:rPr>
          <w:iCs/>
          <w:color w:val="000000"/>
        </w:rPr>
        <w:t>et seq.</w:t>
      </w:r>
      <w:r w:rsidRPr="00DF6D8D">
        <w:rPr>
          <w:color w:val="000000"/>
        </w:rPr>
        <w:t xml:space="preserve">, and this Chapter for a period of at least two years from the date of the corrective action plan. </w:t>
      </w:r>
    </w:p>
    <w:p w14:paraId="2E219C5A" w14:textId="77777777" w:rsidR="00CD0355" w:rsidRPr="00DF6D8D" w:rsidRDefault="00CD0355" w:rsidP="00CD0355">
      <w:pPr>
        <w:pStyle w:val="A"/>
        <w:rPr>
          <w:color w:val="000000"/>
        </w:rPr>
      </w:pPr>
      <w:r w:rsidRPr="00DF6D8D">
        <w:rPr>
          <w:color w:val="000000"/>
        </w:rPr>
        <w:t>C.</w:t>
      </w:r>
      <w:r w:rsidRPr="00DF6D8D">
        <w:rPr>
          <w:color w:val="000000"/>
        </w:rPr>
        <w:tab/>
        <w:t xml:space="preserve">LDAF shall conduct an inspection to determine if the corrective action plan has been implemented as submitted. </w:t>
      </w:r>
    </w:p>
    <w:p w14:paraId="5A77F7BE" w14:textId="77777777" w:rsidR="00CD0355" w:rsidRPr="00DF6D8D" w:rsidRDefault="00CD0355" w:rsidP="00CD0355">
      <w:pPr>
        <w:pStyle w:val="A"/>
        <w:rPr>
          <w:color w:val="000000"/>
        </w:rPr>
      </w:pPr>
      <w:r w:rsidRPr="00DF6D8D">
        <w:rPr>
          <w:color w:val="000000"/>
        </w:rPr>
        <w:t>D.</w:t>
      </w:r>
      <w:r w:rsidRPr="00DF6D8D">
        <w:rPr>
          <w:color w:val="000000"/>
        </w:rPr>
        <w:tab/>
      </w:r>
      <w:r w:rsidR="00C62B28" w:rsidRPr="001E5B02">
        <w:rPr>
          <w:color w:val="000000"/>
        </w:rPr>
        <w:t>A person who is determined by LDAF to have negligently violated R.S. 3:1461 et seq. and this Chapter three times in a five-year period shall be ineligible to hold an industrial hemp license for a period of five years beginning on the date of the third violation.</w:t>
      </w:r>
      <w:r w:rsidRPr="00DF6D8D">
        <w:rPr>
          <w:color w:val="000000"/>
        </w:rPr>
        <w:t xml:space="preserve"> </w:t>
      </w:r>
    </w:p>
    <w:p w14:paraId="47682610" w14:textId="77777777" w:rsidR="00CD0355" w:rsidRPr="00DF6D8D" w:rsidRDefault="00CD0355" w:rsidP="00CD0355">
      <w:pPr>
        <w:pStyle w:val="A"/>
        <w:rPr>
          <w:color w:val="000000"/>
        </w:rPr>
      </w:pPr>
      <w:r w:rsidRPr="00DF6D8D">
        <w:rPr>
          <w:color w:val="000000"/>
        </w:rPr>
        <w:t>E.</w:t>
      </w:r>
      <w:r w:rsidRPr="00DF6D8D">
        <w:rPr>
          <w:color w:val="000000"/>
        </w:rPr>
        <w:tab/>
        <w:t xml:space="preserve">A person that has negligently violated R.S. 3:1461 </w:t>
      </w:r>
      <w:r w:rsidRPr="00DF6D8D">
        <w:rPr>
          <w:iCs/>
          <w:color w:val="000000"/>
        </w:rPr>
        <w:t>et seq</w:t>
      </w:r>
      <w:r w:rsidRPr="00DF6D8D">
        <w:rPr>
          <w:i/>
          <w:iCs/>
          <w:color w:val="000000"/>
        </w:rPr>
        <w:t>.</w:t>
      </w:r>
      <w:r w:rsidRPr="00DF6D8D">
        <w:rPr>
          <w:color w:val="000000"/>
        </w:rPr>
        <w:t xml:space="preserve"> and this Chapter shall not be reported to local, state, or federal government authorities for criminal enforcement action. </w:t>
      </w:r>
    </w:p>
    <w:p w14:paraId="01891F30" w14:textId="77777777" w:rsidR="00C62B28" w:rsidRPr="001E5B02" w:rsidRDefault="00CD0355" w:rsidP="00C62B28">
      <w:pPr>
        <w:pStyle w:val="A"/>
        <w:rPr>
          <w:color w:val="000000"/>
        </w:rPr>
      </w:pPr>
      <w:r w:rsidRPr="00DF6D8D">
        <w:rPr>
          <w:color w:val="000000"/>
        </w:rPr>
        <w:t>F.</w:t>
      </w:r>
      <w:r w:rsidRPr="00DF6D8D">
        <w:rPr>
          <w:color w:val="000000"/>
        </w:rPr>
        <w:tab/>
      </w:r>
      <w:r w:rsidR="00C62B28" w:rsidRPr="001E5B02">
        <w:rPr>
          <w:color w:val="000000"/>
        </w:rPr>
        <w:t>Licensed growers and seed producers of industrial hemp shall not receive more than one negligent violation per growing season.</w:t>
      </w:r>
    </w:p>
    <w:p w14:paraId="047E3315" w14:textId="77777777" w:rsidR="00CD0355" w:rsidRPr="00DF6D8D" w:rsidRDefault="00C62B28" w:rsidP="00C62B28">
      <w:pPr>
        <w:pStyle w:val="A"/>
        <w:rPr>
          <w:color w:val="000000"/>
        </w:rPr>
      </w:pPr>
      <w:r w:rsidRPr="001E5B02">
        <w:rPr>
          <w:color w:val="000000"/>
        </w:rPr>
        <w:t>G.</w:t>
      </w:r>
      <w:r w:rsidRPr="001E5B02">
        <w:rPr>
          <w:color w:val="000000"/>
        </w:rPr>
        <w:tab/>
        <w:t>LDAF shall report a person who is found by LDAF to have violated R.S. 3:1461 et seq. and this Chapter with a culpable mental state greater than negligence to the USDA, United States Attorney General, and the Louisiana Attorney General within 30 days.</w:t>
      </w:r>
    </w:p>
    <w:p w14:paraId="787A5A68" w14:textId="77777777"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14:paraId="08EB52CF" w14:textId="77777777"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178</w:t>
      </w:r>
      <w:r w:rsidRPr="00DF6D8D">
        <w:rPr>
          <w:color w:val="000000"/>
        </w:rPr>
        <w:t xml:space="preserve"> (February 2020)</w:t>
      </w:r>
      <w:r w:rsidR="00C62B28" w:rsidRPr="001E5B02">
        <w:rPr>
          <w:color w:val="000000"/>
        </w:rPr>
        <w:t xml:space="preserve">, </w:t>
      </w:r>
      <w:r w:rsidR="00C62B28" w:rsidRPr="001E5B02">
        <w:rPr>
          <w:color w:val="000000"/>
          <w:szCs w:val="16"/>
        </w:rPr>
        <w:t>amended LR 47:</w:t>
      </w:r>
      <w:r w:rsidR="00C62B28">
        <w:rPr>
          <w:color w:val="000000"/>
          <w:szCs w:val="16"/>
        </w:rPr>
        <w:t>1839</w:t>
      </w:r>
      <w:r w:rsidR="00C62B28" w:rsidRPr="001E5B02">
        <w:rPr>
          <w:color w:val="000000"/>
          <w:szCs w:val="16"/>
        </w:rPr>
        <w:t xml:space="preserve"> (December 2021</w:t>
      </w:r>
      <w:r w:rsidR="00AC5EC7" w:rsidRPr="002D7DAE">
        <w:t xml:space="preserve">), </w:t>
      </w:r>
      <w:r w:rsidR="00AC5EC7">
        <w:t>LR 48:1744 (July 2022).</w:t>
      </w:r>
    </w:p>
    <w:p w14:paraId="46D48F90" w14:textId="77777777" w:rsidR="00CD0355" w:rsidRPr="00DF6D8D" w:rsidRDefault="00CD0355" w:rsidP="00CD0355">
      <w:pPr>
        <w:pStyle w:val="Section"/>
        <w:rPr>
          <w:color w:val="000000"/>
        </w:rPr>
      </w:pPr>
      <w:bookmarkStart w:id="1312" w:name="_Toc224818891"/>
      <w:r w:rsidRPr="00DF6D8D">
        <w:rPr>
          <w:color w:val="000000"/>
        </w:rPr>
        <w:t>§1343.</w:t>
      </w:r>
      <w:r w:rsidRPr="00DF6D8D">
        <w:rPr>
          <w:color w:val="000000"/>
        </w:rPr>
        <w:tab/>
        <w:t>Stop Orders</w:t>
      </w:r>
      <w:bookmarkEnd w:id="1312"/>
    </w:p>
    <w:p w14:paraId="63946246" w14:textId="77777777" w:rsidR="00CD0355" w:rsidRPr="00DF6D8D" w:rsidRDefault="00CD0355" w:rsidP="00CD0355">
      <w:pPr>
        <w:pStyle w:val="A"/>
        <w:rPr>
          <w:color w:val="000000"/>
        </w:rPr>
      </w:pPr>
      <w:r w:rsidRPr="00DF6D8D">
        <w:rPr>
          <w:color w:val="000000"/>
        </w:rPr>
        <w:t>A.</w:t>
      </w:r>
      <w:r w:rsidRPr="00DF6D8D">
        <w:rPr>
          <w:color w:val="000000"/>
        </w:rPr>
        <w:tab/>
        <w:t xml:space="preserve">A person believed to be in violation of the Industrial Hemp Law (R.S. 3:1461 </w:t>
      </w:r>
      <w:r w:rsidRPr="00DF6D8D">
        <w:rPr>
          <w:iCs/>
          <w:color w:val="000000"/>
        </w:rPr>
        <w:t>et seq</w:t>
      </w:r>
      <w:r w:rsidRPr="00DF6D8D">
        <w:rPr>
          <w:i/>
          <w:iCs/>
          <w:color w:val="000000"/>
        </w:rPr>
        <w:t>.</w:t>
      </w:r>
      <w:r w:rsidRPr="00DF6D8D">
        <w:rPr>
          <w:color w:val="000000"/>
        </w:rPr>
        <w:t xml:space="preserve">) or this Chapter may be issued a written or verbal stop order by LDAF. Stop orders shall be effective immediately upon notification to the alleged violator. </w:t>
      </w:r>
    </w:p>
    <w:p w14:paraId="4E8B04E6" w14:textId="77777777" w:rsidR="00CD0355" w:rsidRPr="00DF6D8D" w:rsidRDefault="00CD0355" w:rsidP="00CD0355">
      <w:pPr>
        <w:pStyle w:val="A"/>
        <w:rPr>
          <w:color w:val="000000"/>
        </w:rPr>
      </w:pPr>
      <w:r w:rsidRPr="00DF6D8D">
        <w:rPr>
          <w:color w:val="000000"/>
        </w:rPr>
        <w:t>B.</w:t>
      </w:r>
      <w:r w:rsidRPr="00DF6D8D">
        <w:rPr>
          <w:color w:val="000000"/>
        </w:rPr>
        <w:tab/>
        <w:t>If an alleged violator refuses to accept a written stop order when tendered or refuses or fails to claim such stop order when sent by certified mail, the stop order shall be deemed to have been delivered to the alleged violator.</w:t>
      </w:r>
    </w:p>
    <w:p w14:paraId="4647D3DB" w14:textId="77777777" w:rsidR="00CD0355" w:rsidRPr="00DF6D8D" w:rsidRDefault="00CD0355" w:rsidP="00CD0355">
      <w:pPr>
        <w:pStyle w:val="A"/>
        <w:rPr>
          <w:color w:val="000000"/>
        </w:rPr>
      </w:pPr>
      <w:r w:rsidRPr="00DF6D8D">
        <w:rPr>
          <w:color w:val="000000"/>
        </w:rPr>
        <w:t>C.</w:t>
      </w:r>
      <w:r w:rsidRPr="00DF6D8D">
        <w:rPr>
          <w:color w:val="000000"/>
        </w:rPr>
        <w:tab/>
        <w:t xml:space="preserve">Refusal or failure to abide by the terms of a stop order shall constitute a violation of this Chapter. </w:t>
      </w:r>
    </w:p>
    <w:p w14:paraId="4C974C67" w14:textId="77777777" w:rsidR="00CD0355" w:rsidRPr="00DF6D8D" w:rsidRDefault="00CD0355" w:rsidP="00CD0355">
      <w:pPr>
        <w:pStyle w:val="AuthorityNote"/>
      </w:pPr>
      <w:r w:rsidRPr="00DF6D8D">
        <w:t>AUTHORITY NOTE:</w:t>
      </w:r>
      <w:r w:rsidRPr="00DF6D8D">
        <w:tab/>
        <w:t xml:space="preserve">Promulgated in accordance with R.S. 3:1464 and R.S. 3:1470. </w:t>
      </w:r>
    </w:p>
    <w:p w14:paraId="635AEF12" w14:textId="77777777" w:rsidR="00CD0355" w:rsidRDefault="00CD0355" w:rsidP="00CD0355">
      <w:pPr>
        <w:pStyle w:val="HistoricalNote"/>
      </w:pPr>
      <w:r w:rsidRPr="00DF6D8D">
        <w:lastRenderedPageBreak/>
        <w:t>HISTORICAL NOTE:</w:t>
      </w:r>
      <w:r w:rsidRPr="00DF6D8D">
        <w:tab/>
        <w:t xml:space="preserve">Promulgated by the Department of Agriculture and Forestry, Office of Agricultural and Environmental </w:t>
      </w:r>
      <w:r w:rsidRPr="00DF6D8D">
        <w:t>Sciences, Agricultural Chemistry and Seed Commission, LR 46:</w:t>
      </w:r>
      <w:r>
        <w:t>178</w:t>
      </w:r>
      <w:r w:rsidRPr="00DF6D8D">
        <w:t xml:space="preserve"> (February 2020).</w:t>
      </w:r>
    </w:p>
    <w:p w14:paraId="329275B5" w14:textId="77777777" w:rsidR="00CD0355" w:rsidRDefault="00CD0355" w:rsidP="00CD0355">
      <w:pPr>
        <w:pStyle w:val="HistoricalNote"/>
        <w:rPr>
          <w:color w:val="000000"/>
        </w:rPr>
        <w:sectPr w:rsidR="00CD0355" w:rsidSect="00813FC3">
          <w:type w:val="continuous"/>
          <w:pgSz w:w="12240" w:h="15840" w:code="1"/>
          <w:pgMar w:top="1080" w:right="864" w:bottom="864" w:left="864" w:header="576" w:footer="432" w:gutter="0"/>
          <w:cols w:num="2" w:space="720"/>
          <w:docGrid w:linePitch="326"/>
        </w:sectPr>
      </w:pPr>
    </w:p>
    <w:p w14:paraId="37BA775F" w14:textId="77777777" w:rsidR="00CD0355" w:rsidRDefault="00CD0355" w:rsidP="00CD0355">
      <w:pPr>
        <w:pStyle w:val="HistoricalNote"/>
        <w:rPr>
          <w:color w:val="000000"/>
        </w:rPr>
        <w:sectPr w:rsidR="00CD0355" w:rsidSect="00813FC3">
          <w:type w:val="continuous"/>
          <w:pgSz w:w="12240" w:h="15840" w:code="1"/>
          <w:pgMar w:top="1080" w:right="864" w:bottom="864" w:left="864" w:header="576" w:footer="432" w:gutter="0"/>
          <w:cols w:num="2" w:space="720"/>
          <w:docGrid w:linePitch="326"/>
        </w:sectPr>
      </w:pPr>
    </w:p>
    <w:p w14:paraId="07825075" w14:textId="77777777" w:rsidR="00946911" w:rsidRPr="001531CD" w:rsidRDefault="00946911" w:rsidP="00946911">
      <w:pPr>
        <w:pStyle w:val="Chapter"/>
        <w:sectPr w:rsidR="00946911" w:rsidRPr="001531CD" w:rsidSect="00167E2E">
          <w:headerReference w:type="even" r:id="rId33"/>
          <w:headerReference w:type="default" r:id="rId34"/>
          <w:type w:val="continuous"/>
          <w:pgSz w:w="12240" w:h="15840" w:code="1"/>
          <w:pgMar w:top="1080" w:right="864" w:bottom="864" w:left="864" w:header="576" w:footer="432" w:gutter="0"/>
          <w:cols w:num="2" w:space="720"/>
        </w:sectPr>
      </w:pPr>
    </w:p>
    <w:p w14:paraId="2D553CEC" w14:textId="77777777" w:rsidR="00CF626A" w:rsidRPr="001531CD" w:rsidRDefault="00CF626A" w:rsidP="00F03863">
      <w:pPr>
        <w:pStyle w:val="Title1"/>
        <w:outlineLvl w:val="0"/>
      </w:pPr>
      <w:r w:rsidRPr="001531CD">
        <w:lastRenderedPageBreak/>
        <w:t>Title 7</w:t>
      </w:r>
    </w:p>
    <w:p w14:paraId="3A0EE7DA" w14:textId="77777777" w:rsidR="00CF626A" w:rsidRPr="001531CD" w:rsidRDefault="00CF626A">
      <w:pPr>
        <w:pStyle w:val="Title2"/>
      </w:pPr>
      <w:r w:rsidRPr="001531CD">
        <w:t>AGRICULTURE AND ANIMALS</w:t>
      </w:r>
    </w:p>
    <w:p w14:paraId="68E15FEC" w14:textId="77777777" w:rsidR="00CF626A" w:rsidRPr="001531CD" w:rsidRDefault="00CF626A">
      <w:pPr>
        <w:pStyle w:val="Part"/>
      </w:pPr>
      <w:bookmarkStart w:id="1313" w:name="TOC_Part7"/>
      <w:bookmarkStart w:id="1314" w:name="_Toc77839853"/>
      <w:bookmarkStart w:id="1315" w:name="_Toc224818892"/>
      <w:r w:rsidRPr="001531CD">
        <w:t xml:space="preserve">Part XV.  </w:t>
      </w:r>
      <w:bookmarkEnd w:id="1313"/>
      <w:r w:rsidR="00FC31C0" w:rsidRPr="00A1145E">
        <w:t>Plant Protection and Quarantine</w:t>
      </w:r>
      <w:bookmarkEnd w:id="1314"/>
      <w:bookmarkEnd w:id="1315"/>
    </w:p>
    <w:p w14:paraId="2929D6C0" w14:textId="77777777" w:rsidR="00CF626A" w:rsidRPr="001531CD" w:rsidRDefault="00CF626A">
      <w:pPr>
        <w:pStyle w:val="Part"/>
      </w:pPr>
    </w:p>
    <w:p w14:paraId="45203A73" w14:textId="77777777" w:rsidR="00CF626A" w:rsidRPr="001531CD" w:rsidRDefault="00CF626A">
      <w:pPr>
        <w:pStyle w:val="Part"/>
        <w:sectPr w:rsidR="00CF626A" w:rsidRPr="001531CD" w:rsidSect="00167E2E">
          <w:headerReference w:type="default" r:id="rId35"/>
          <w:type w:val="oddPage"/>
          <w:pgSz w:w="12240" w:h="15840" w:code="1"/>
          <w:pgMar w:top="1080" w:right="864" w:bottom="864" w:left="864" w:header="576" w:footer="432" w:gutter="0"/>
          <w:cols w:space="720"/>
          <w:docGrid w:linePitch="326"/>
        </w:sectPr>
      </w:pPr>
    </w:p>
    <w:p w14:paraId="006F182F" w14:textId="77777777" w:rsidR="00CF626A" w:rsidRPr="001531CD" w:rsidRDefault="00CF626A" w:rsidP="00F03863">
      <w:pPr>
        <w:pStyle w:val="Chapter"/>
        <w:outlineLvl w:val="0"/>
      </w:pPr>
      <w:bookmarkStart w:id="1316" w:name="TOC_Chap103"/>
      <w:bookmarkStart w:id="1317" w:name="_Toc256754580"/>
      <w:bookmarkStart w:id="1318" w:name="_Toc224818893"/>
      <w:r w:rsidRPr="001531CD">
        <w:t>Chapter 1.</w:t>
      </w:r>
      <w:bookmarkEnd w:id="1316"/>
      <w:r w:rsidR="00167E2E">
        <w:tab/>
      </w:r>
      <w:bookmarkStart w:id="1319" w:name="TOCT_Chap74"/>
      <w:bookmarkStart w:id="1320" w:name="TOCT_Chap94"/>
      <w:bookmarkStart w:id="1321" w:name="TOCT_Chap101"/>
      <w:bookmarkStart w:id="1322" w:name="TOCT_Chap102"/>
      <w:bookmarkStart w:id="1323" w:name="TOCT_Chap103"/>
      <w:r w:rsidRPr="001531CD">
        <w:t>Crop Pests and Diseases</w:t>
      </w:r>
      <w:bookmarkEnd w:id="1317"/>
      <w:bookmarkEnd w:id="1318"/>
      <w:bookmarkEnd w:id="1319"/>
      <w:bookmarkEnd w:id="1320"/>
      <w:bookmarkEnd w:id="1321"/>
      <w:bookmarkEnd w:id="1322"/>
      <w:bookmarkEnd w:id="1323"/>
    </w:p>
    <w:p w14:paraId="40FF84B6" w14:textId="77777777" w:rsidR="00CF626A" w:rsidRPr="001531CD" w:rsidRDefault="00CF626A">
      <w:pPr>
        <w:pStyle w:val="Chapter"/>
      </w:pPr>
      <w:bookmarkStart w:id="1324" w:name="TOC_SubC104"/>
      <w:bookmarkStart w:id="1325" w:name="_Toc256754581"/>
      <w:bookmarkStart w:id="1326" w:name="_Toc224818894"/>
      <w:r w:rsidRPr="001531CD">
        <w:t>Subchapter A.</w:t>
      </w:r>
      <w:bookmarkEnd w:id="1324"/>
      <w:r w:rsidR="00167E2E">
        <w:tab/>
      </w:r>
      <w:bookmarkStart w:id="1327" w:name="TOCT_SubC102"/>
      <w:bookmarkStart w:id="1328" w:name="TOCT_SubC103"/>
      <w:bookmarkStart w:id="1329" w:name="TOCT_SubC104"/>
      <w:r w:rsidRPr="001531CD">
        <w:t>General Plant Quarantine Provisions</w:t>
      </w:r>
      <w:bookmarkEnd w:id="1325"/>
      <w:bookmarkEnd w:id="1326"/>
      <w:bookmarkEnd w:id="1327"/>
      <w:bookmarkEnd w:id="1328"/>
      <w:bookmarkEnd w:id="1329"/>
    </w:p>
    <w:p w14:paraId="25931874" w14:textId="77777777" w:rsidR="00CF626A" w:rsidRPr="001531CD" w:rsidRDefault="00CF626A">
      <w:pPr>
        <w:pStyle w:val="Section"/>
      </w:pPr>
      <w:bookmarkStart w:id="1330" w:name="_Toc256754582"/>
      <w:bookmarkStart w:id="1331" w:name="_Toc224818895"/>
      <w:r w:rsidRPr="001531CD">
        <w:t>§101.</w:t>
      </w:r>
      <w:r w:rsidRPr="001531CD">
        <w:tab/>
        <w:t>Applicability of Regulations</w:t>
      </w:r>
      <w:bookmarkEnd w:id="1330"/>
      <w:bookmarkEnd w:id="1331"/>
    </w:p>
    <w:p w14:paraId="171DF362" w14:textId="77777777" w:rsidR="00CF626A" w:rsidRPr="001531CD" w:rsidRDefault="00CF626A">
      <w:pPr>
        <w:pStyle w:val="A"/>
      </w:pPr>
      <w:r w:rsidRPr="001531CD">
        <w:t>A.</w:t>
      </w:r>
      <w:r w:rsidRPr="001531CD">
        <w:tab/>
        <w:t>The regulations contained in this Subchapter apply to quarantine of all plants, plant products, parts thereof and all regulated materials.</w:t>
      </w:r>
    </w:p>
    <w:p w14:paraId="730EB6E3" w14:textId="77777777" w:rsidR="00CF626A" w:rsidRPr="001531CD" w:rsidRDefault="00CF626A">
      <w:pPr>
        <w:pStyle w:val="AuthorityNote"/>
      </w:pPr>
      <w:r w:rsidRPr="001531CD">
        <w:t>AUTHORITY NOTE:</w:t>
      </w:r>
      <w:r w:rsidRPr="001531CD">
        <w:tab/>
        <w:t>Promulgated in accordance with R.S. 3:1652.</w:t>
      </w:r>
    </w:p>
    <w:p w14:paraId="168B1CD3"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11:317 (April 1985).</w:t>
      </w:r>
    </w:p>
    <w:p w14:paraId="71DD95F4" w14:textId="77777777" w:rsidR="00CF626A" w:rsidRPr="001531CD" w:rsidRDefault="00CF626A">
      <w:pPr>
        <w:pStyle w:val="Section"/>
      </w:pPr>
      <w:bookmarkStart w:id="1332" w:name="_Toc256754583"/>
      <w:bookmarkStart w:id="1333" w:name="_Toc224818896"/>
      <w:r w:rsidRPr="001531CD">
        <w:t>§103.</w:t>
      </w:r>
      <w:r w:rsidRPr="001531CD">
        <w:tab/>
        <w:t>Definitions</w:t>
      </w:r>
      <w:bookmarkEnd w:id="1332"/>
      <w:bookmarkEnd w:id="1333"/>
    </w:p>
    <w:p w14:paraId="5CCEA088" w14:textId="77777777" w:rsidR="00CF626A" w:rsidRPr="001531CD" w:rsidRDefault="00CF626A">
      <w:pPr>
        <w:pStyle w:val="A"/>
      </w:pPr>
      <w:r w:rsidRPr="001531CD">
        <w:rPr>
          <w:i/>
          <w:iCs/>
        </w:rPr>
        <w:t>Agent</w:t>
      </w:r>
      <w:r w:rsidRPr="001531CD">
        <w:t xml:space="preserve"> or </w:t>
      </w:r>
      <w:r w:rsidRPr="001531CD">
        <w:rPr>
          <w:i/>
          <w:iCs/>
        </w:rPr>
        <w:t>Inspector</w:t>
      </w:r>
      <w:r w:rsidRPr="001531CD">
        <w:t>―any designee of the state entomologist who is qualified by training and/or experience to identify plant pests or diseases.</w:t>
      </w:r>
    </w:p>
    <w:p w14:paraId="7DF17B03" w14:textId="77777777" w:rsidR="00CF626A" w:rsidRPr="001531CD" w:rsidRDefault="00CF626A">
      <w:pPr>
        <w:pStyle w:val="A"/>
      </w:pPr>
      <w:r w:rsidRPr="001531CD">
        <w:rPr>
          <w:i/>
          <w:iCs/>
        </w:rPr>
        <w:t>Certificate</w:t>
      </w:r>
      <w:r w:rsidRPr="001531CD">
        <w:t>―a document issued by the state entomologist evidencing apparent freedom of plants, plant products or parts thereof or regulated articles from infestation.</w:t>
      </w:r>
    </w:p>
    <w:p w14:paraId="34091ABA" w14:textId="77777777" w:rsidR="00CF626A" w:rsidRPr="001531CD" w:rsidRDefault="00CF626A">
      <w:pPr>
        <w:pStyle w:val="A"/>
      </w:pPr>
      <w:r w:rsidRPr="001531CD">
        <w:rPr>
          <w:i/>
          <w:iCs/>
        </w:rPr>
        <w:t>Certificate Permit</w:t>
      </w:r>
      <w:r w:rsidRPr="001531CD">
        <w:t>―a written document, stamp, or other form of identification approved by the department, which authorizes the movement, sale or offer for sale or storage of plants, plant products or parts thereof or regulated materials.</w:t>
      </w:r>
    </w:p>
    <w:p w14:paraId="5C531621" w14:textId="77777777" w:rsidR="00CF626A" w:rsidRPr="001531CD" w:rsidRDefault="00CF626A">
      <w:pPr>
        <w:pStyle w:val="A"/>
      </w:pPr>
      <w:r w:rsidRPr="001531CD">
        <w:rPr>
          <w:i/>
          <w:iCs/>
        </w:rPr>
        <w:t>Certificate Permit Tag</w:t>
      </w:r>
      <w:r w:rsidRPr="001531CD">
        <w:t>―a tag which authorizes the movement, sale or offer for sale or storage of plants, plant products or parts thereof, or regulated materials.</w:t>
      </w:r>
    </w:p>
    <w:p w14:paraId="7A84D18B" w14:textId="77777777" w:rsidR="00CF626A" w:rsidRPr="001531CD" w:rsidRDefault="00CF626A">
      <w:pPr>
        <w:pStyle w:val="A"/>
      </w:pPr>
      <w:r w:rsidRPr="001531CD">
        <w:rPr>
          <w:i/>
          <w:iCs/>
        </w:rPr>
        <w:t>Commissioner</w:t>
      </w:r>
      <w:r w:rsidRPr="001531CD">
        <w:t>―the commissioner of Agriculture and Forestry.</w:t>
      </w:r>
    </w:p>
    <w:p w14:paraId="5467AE5E" w14:textId="77777777" w:rsidR="00CF626A" w:rsidRPr="001531CD" w:rsidRDefault="00CF626A">
      <w:pPr>
        <w:pStyle w:val="A"/>
      </w:pPr>
      <w:r w:rsidRPr="001531CD">
        <w:rPr>
          <w:i/>
          <w:iCs/>
        </w:rPr>
        <w:t>Container</w:t>
      </w:r>
      <w:r w:rsidRPr="001531CD">
        <w:t>―a crate, box, basket, sack, bag or any other kind of container used for the shipment or storage of plants, plant products, parts thereof, or equipment used in the propagation, production or harvesting of plants subject to regulation.</w:t>
      </w:r>
    </w:p>
    <w:p w14:paraId="28992324" w14:textId="77777777" w:rsidR="00CF626A" w:rsidRPr="001531CD" w:rsidRDefault="00CF626A">
      <w:pPr>
        <w:pStyle w:val="A"/>
      </w:pPr>
      <w:r w:rsidRPr="001531CD">
        <w:rPr>
          <w:i/>
          <w:iCs/>
        </w:rPr>
        <w:t>Department</w:t>
      </w:r>
      <w:r w:rsidRPr="001531CD">
        <w:t>―the Louisiana Department of Agriculture and Forestry.</w:t>
      </w:r>
    </w:p>
    <w:p w14:paraId="15E5F180" w14:textId="77777777" w:rsidR="00CF626A" w:rsidRPr="001531CD" w:rsidRDefault="00CF626A">
      <w:pPr>
        <w:pStyle w:val="A"/>
      </w:pPr>
      <w:r w:rsidRPr="001531CD">
        <w:rPr>
          <w:i/>
          <w:iCs/>
        </w:rPr>
        <w:t>Eradication Area</w:t>
      </w:r>
      <w:r w:rsidRPr="001531CD">
        <w:t>―any area within a quarantine area in which plants or host material or other equipment are to be eradicated.</w:t>
      </w:r>
    </w:p>
    <w:p w14:paraId="316E71AD" w14:textId="77777777" w:rsidR="00CF626A" w:rsidRPr="001531CD" w:rsidRDefault="00CF626A">
      <w:pPr>
        <w:pStyle w:val="A"/>
      </w:pPr>
      <w:r w:rsidRPr="001531CD">
        <w:rPr>
          <w:i/>
          <w:iCs/>
        </w:rPr>
        <w:t>Fumigation Certificate</w:t>
      </w:r>
      <w:r w:rsidRPr="001531CD">
        <w:t>―a document evidencing fumigation of plants, plant products or parts thereof or regulated materials.</w:t>
      </w:r>
    </w:p>
    <w:p w14:paraId="750BB9D5" w14:textId="77777777" w:rsidR="00CF626A" w:rsidRPr="001531CD" w:rsidRDefault="00CF626A">
      <w:pPr>
        <w:pStyle w:val="A"/>
      </w:pPr>
      <w:r w:rsidRPr="001531CD">
        <w:rPr>
          <w:i/>
          <w:iCs/>
        </w:rPr>
        <w:t>Host</w:t>
      </w:r>
      <w:r w:rsidRPr="001531CD">
        <w:t>―any plant on or in which any plant pest or plant disease lives for nourishment or protection.</w:t>
      </w:r>
    </w:p>
    <w:p w14:paraId="5DE5253A" w14:textId="77777777" w:rsidR="00CF626A" w:rsidRPr="001531CD" w:rsidRDefault="00CF626A" w:rsidP="00732B21">
      <w:pPr>
        <w:pStyle w:val="A"/>
        <w:spacing w:after="80"/>
      </w:pPr>
      <w:r w:rsidRPr="001531CD">
        <w:rPr>
          <w:i/>
          <w:iCs/>
        </w:rPr>
        <w:t>Host Material</w:t>
      </w:r>
      <w:r w:rsidRPr="001531CD">
        <w:t>―any substance which harbors any plant pest or disease.</w:t>
      </w:r>
    </w:p>
    <w:p w14:paraId="3AD1FDDC" w14:textId="77777777" w:rsidR="00CF626A" w:rsidRPr="001531CD" w:rsidRDefault="00CF626A" w:rsidP="00732B21">
      <w:pPr>
        <w:pStyle w:val="A"/>
        <w:spacing w:after="80"/>
      </w:pPr>
      <w:r w:rsidRPr="001531CD">
        <w:rPr>
          <w:i/>
          <w:iCs/>
        </w:rPr>
        <w:t>Infested Property</w:t>
      </w:r>
      <w:r w:rsidRPr="001531CD">
        <w:t>―any property where infested plants, plant products or parts thereof or host material has been found, or any property onto which host material from an infested property has been moved for any purpose.</w:t>
      </w:r>
    </w:p>
    <w:p w14:paraId="2504A7F5" w14:textId="77777777" w:rsidR="00CF626A" w:rsidRPr="001531CD" w:rsidRDefault="00CF626A" w:rsidP="00732B21">
      <w:pPr>
        <w:pStyle w:val="A"/>
        <w:spacing w:after="80"/>
      </w:pPr>
      <w:r w:rsidRPr="001531CD">
        <w:rPr>
          <w:i/>
          <w:iCs/>
        </w:rPr>
        <w:t>Limited Permit</w:t>
      </w:r>
      <w:r w:rsidRPr="001531CD">
        <w:t>―a document authorizing the movement of regulated articles to a restricted area for limited handling, utilization, processing or for treatment.</w:t>
      </w:r>
    </w:p>
    <w:p w14:paraId="3EAC1CF9" w14:textId="77777777" w:rsidR="00CF626A" w:rsidRPr="001531CD" w:rsidRDefault="00CF626A" w:rsidP="00732B21">
      <w:pPr>
        <w:pStyle w:val="A"/>
        <w:spacing w:after="80"/>
      </w:pPr>
      <w:r w:rsidRPr="001531CD">
        <w:rPr>
          <w:i/>
          <w:iCs/>
        </w:rPr>
        <w:t>Move, Movement</w:t>
      </w:r>
      <w:r w:rsidRPr="001531CD">
        <w:t xml:space="preserve"> or </w:t>
      </w:r>
      <w:r w:rsidRPr="001531CD">
        <w:rPr>
          <w:i/>
          <w:iCs/>
        </w:rPr>
        <w:t>Moved</w:t>
      </w:r>
      <w:r w:rsidRPr="001531CD">
        <w:t>―shipment, deposit for transmission in the mail, offer for shipment, receive for transportation, carry, otherwise transport or move, or allow to be moved, by mail or otherwise, interstate or intrastate, directly or indirectly.</w:t>
      </w:r>
    </w:p>
    <w:p w14:paraId="6BE0546C" w14:textId="77777777" w:rsidR="00CF626A" w:rsidRPr="001531CD" w:rsidRDefault="00CF626A">
      <w:pPr>
        <w:pStyle w:val="A"/>
      </w:pPr>
      <w:r w:rsidRPr="001531CD">
        <w:rPr>
          <w:i/>
          <w:iCs/>
        </w:rPr>
        <w:t>Person</w:t>
      </w:r>
      <w:r w:rsidRPr="001531CD">
        <w:t>―any individual, firm, company, corporation, partnership, society or association engaged in growing, harvesting, storing, shipping or processing any plants subject to inspection and/or regulation by the state entomologist.</w:t>
      </w:r>
    </w:p>
    <w:p w14:paraId="18139684" w14:textId="77777777" w:rsidR="00CF626A" w:rsidRPr="001531CD" w:rsidRDefault="00CF626A">
      <w:pPr>
        <w:pStyle w:val="A"/>
      </w:pPr>
      <w:r w:rsidRPr="001531CD">
        <w:rPr>
          <w:i/>
          <w:iCs/>
        </w:rPr>
        <w:t>Pest</w:t>
      </w:r>
      <w:r w:rsidRPr="001531CD">
        <w:t>―any insect known to be destructive of specific plant life in any stage of development, i.e., egg, larva, pupa or adult.</w:t>
      </w:r>
    </w:p>
    <w:p w14:paraId="4282135B" w14:textId="77777777" w:rsidR="00CF626A" w:rsidRPr="001531CD" w:rsidRDefault="00CF626A">
      <w:pPr>
        <w:pStyle w:val="A"/>
      </w:pPr>
      <w:r w:rsidRPr="001531CD">
        <w:rPr>
          <w:i/>
          <w:iCs/>
        </w:rPr>
        <w:t>Pest-Free Area</w:t>
      </w:r>
      <w:r w:rsidRPr="001531CD">
        <w:t>―any location where there is no known incidence of a specific plant pest or disease. (Note: Any given location may be designated as pest-free for one pest but restricted and/or quarantined for another pest.)</w:t>
      </w:r>
    </w:p>
    <w:p w14:paraId="132D55E4" w14:textId="77777777" w:rsidR="00CF626A" w:rsidRPr="001531CD" w:rsidRDefault="00CF626A">
      <w:pPr>
        <w:pStyle w:val="A"/>
      </w:pPr>
      <w:r w:rsidRPr="001531CD">
        <w:rPr>
          <w:i/>
          <w:iCs/>
        </w:rPr>
        <w:t>Premises</w:t>
      </w:r>
      <w:r w:rsidRPr="001531CD">
        <w:t>―any parcel of land, including any buildings located thereon, irrigation systems and any other similar locations where plant pests or diseases may be supported.</w:t>
      </w:r>
    </w:p>
    <w:p w14:paraId="4D44B869" w14:textId="77777777" w:rsidR="00CF626A" w:rsidRPr="001531CD" w:rsidRDefault="00CF626A">
      <w:pPr>
        <w:pStyle w:val="A"/>
      </w:pPr>
      <w:r w:rsidRPr="001531CD">
        <w:rPr>
          <w:i/>
          <w:iCs/>
        </w:rPr>
        <w:t>Property</w:t>
      </w:r>
      <w:r w:rsidRPr="001531CD">
        <w:t>―any equipment of any kind, containers for crops, vehicles and other similar properties where plant pests and/or diseases may be found.</w:t>
      </w:r>
    </w:p>
    <w:p w14:paraId="606370E7" w14:textId="77777777" w:rsidR="00CF626A" w:rsidRPr="001531CD" w:rsidRDefault="00CF626A">
      <w:pPr>
        <w:pStyle w:val="A"/>
      </w:pPr>
      <w:r w:rsidRPr="001531CD">
        <w:rPr>
          <w:i/>
          <w:iCs/>
        </w:rPr>
        <w:t>Quarantine</w:t>
      </w:r>
      <w:r w:rsidRPr="001531CD">
        <w:t>―an official Act of the state entomologist to prohibit or limit planting, production, harvesting, movement, sale or offer for sale, or storage of plants subject to infestation and/or any host material of such plants.</w:t>
      </w:r>
    </w:p>
    <w:p w14:paraId="61EF492C" w14:textId="77777777" w:rsidR="00CF626A" w:rsidRPr="001531CD" w:rsidRDefault="00CF626A">
      <w:pPr>
        <w:pStyle w:val="A"/>
      </w:pPr>
      <w:r w:rsidRPr="001531CD">
        <w:rPr>
          <w:i/>
          <w:iCs/>
        </w:rPr>
        <w:t>Quarantined Area</w:t>
      </w:r>
      <w:r w:rsidRPr="001531CD">
        <w:t>―any property within or outside of the state of Louisiana which has been officially designated as a quarantine area because such area is suspected of being or is found to be infested with any plant pest or plant disease which is detrimental to any crop grown in Louisiana.</w:t>
      </w:r>
    </w:p>
    <w:p w14:paraId="33D71578" w14:textId="77777777" w:rsidR="00CF626A" w:rsidRPr="001531CD" w:rsidRDefault="00CF626A">
      <w:pPr>
        <w:pStyle w:val="A"/>
      </w:pPr>
      <w:r w:rsidRPr="001531CD">
        <w:rPr>
          <w:i/>
          <w:iCs/>
        </w:rPr>
        <w:t>Regulated Area</w:t>
      </w:r>
      <w:r w:rsidRPr="001531CD">
        <w:t xml:space="preserve"> or</w:t>
      </w:r>
      <w:r w:rsidRPr="001531CD">
        <w:rPr>
          <w:i/>
          <w:iCs/>
        </w:rPr>
        <w:t xml:space="preserve"> Restricted Area</w:t>
      </w:r>
      <w:r w:rsidRPr="001531CD">
        <w:t>―any property under quarantine or within a 1-mile radius of any property under quarantine.</w:t>
      </w:r>
    </w:p>
    <w:p w14:paraId="5D5F796E" w14:textId="77777777" w:rsidR="00CF626A" w:rsidRPr="001531CD" w:rsidRDefault="00CF626A">
      <w:pPr>
        <w:pStyle w:val="A"/>
      </w:pPr>
      <w:r w:rsidRPr="001531CD">
        <w:rPr>
          <w:i/>
          <w:iCs/>
        </w:rPr>
        <w:t>Regulated Materials</w:t>
      </w:r>
      <w:r w:rsidRPr="001531CD">
        <w:t xml:space="preserve"> or </w:t>
      </w:r>
      <w:r w:rsidRPr="001531CD">
        <w:rPr>
          <w:i/>
          <w:iCs/>
        </w:rPr>
        <w:t>Restricted Materials</w:t>
      </w:r>
      <w:r w:rsidRPr="001531CD">
        <w:t>―any plants, plant products or parts thereof subject to regulation under this Subchapter, or any host material for any plant pest or disease.</w:t>
      </w:r>
    </w:p>
    <w:p w14:paraId="32C24CD3" w14:textId="77777777" w:rsidR="00CF626A" w:rsidRPr="001531CD" w:rsidRDefault="00CF626A">
      <w:pPr>
        <w:pStyle w:val="A"/>
      </w:pPr>
      <w:r w:rsidRPr="001531CD">
        <w:rPr>
          <w:i/>
          <w:iCs/>
        </w:rPr>
        <w:t>State Entomologist</w:t>
      </w:r>
      <w:r w:rsidRPr="001531CD">
        <w:t>―the official within the department, or his designee, who is authorized to impose and supervise plant quarantines.</w:t>
      </w:r>
    </w:p>
    <w:p w14:paraId="630A08A7" w14:textId="77777777" w:rsidR="00CF626A" w:rsidRPr="001531CD" w:rsidRDefault="00CF626A">
      <w:pPr>
        <w:pStyle w:val="AuthorityNote"/>
      </w:pPr>
      <w:r w:rsidRPr="001531CD">
        <w:lastRenderedPageBreak/>
        <w:t>AUTHORITY NOTE:</w:t>
      </w:r>
      <w:r w:rsidRPr="001531CD">
        <w:tab/>
        <w:t>Promulgated in accordance with R.S. 3:1652.</w:t>
      </w:r>
    </w:p>
    <w:p w14:paraId="12FACBE2"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11:317 (April 1985), amended LR 27:1175 (August 2001).</w:t>
      </w:r>
    </w:p>
    <w:p w14:paraId="3A6C4F14" w14:textId="77777777" w:rsidR="00CF626A" w:rsidRPr="001531CD" w:rsidRDefault="00CF626A">
      <w:pPr>
        <w:pStyle w:val="Section"/>
      </w:pPr>
      <w:bookmarkStart w:id="1334" w:name="_Toc256754584"/>
      <w:bookmarkStart w:id="1335" w:name="_Toc224818897"/>
      <w:r w:rsidRPr="001531CD">
        <w:t>§105.</w:t>
      </w:r>
      <w:r w:rsidRPr="001531CD">
        <w:tab/>
        <w:t>Authority of State Entomologist to Conduct Inspections</w:t>
      </w:r>
      <w:bookmarkEnd w:id="1334"/>
      <w:bookmarkEnd w:id="1335"/>
    </w:p>
    <w:p w14:paraId="68229206" w14:textId="77777777" w:rsidR="00CF626A" w:rsidRPr="001531CD" w:rsidRDefault="00CF626A" w:rsidP="00732B21">
      <w:pPr>
        <w:pStyle w:val="A"/>
        <w:spacing w:after="80"/>
      </w:pPr>
      <w:r w:rsidRPr="001531CD">
        <w:t>A.</w:t>
      </w:r>
      <w:r w:rsidRPr="001531CD">
        <w:tab/>
        <w:t>Whenever the state entomologist has reason to believe or suspect that any plant pest or plant disease subject to regulation may be present at any location within the state of Louisiana, he may cause an inspection of such premises and/or property to be made. Such inspection shall be made at a reasonable time during the normal work day and may be made with or without warrant.</w:t>
      </w:r>
    </w:p>
    <w:p w14:paraId="1148CF44" w14:textId="77777777" w:rsidR="00CF626A" w:rsidRPr="001531CD" w:rsidRDefault="00CF626A" w:rsidP="00732B21">
      <w:pPr>
        <w:pStyle w:val="A"/>
        <w:spacing w:after="80"/>
      </w:pPr>
      <w:r w:rsidRPr="001531CD">
        <w:t>B.</w:t>
      </w:r>
      <w:r w:rsidRPr="001531CD">
        <w:tab/>
        <w:t>Whenever the state entomologist has reason to believe or suspect that any plant pest or disease has been and/or may be transported into Louisiana and/or transported between two or more locations within Louisiana, by any means, he may establish inspection stations and cause an inspection to be made of any vehicle known or suspected to be transporting any materials known to be hosts for such plant pest or disease. In lieu of establishing inspection stations, the state entomologist may utilize existing inspection stations operated by law enforcement personnel of the state of Louisiana.</w:t>
      </w:r>
    </w:p>
    <w:p w14:paraId="31442A70" w14:textId="77777777" w:rsidR="00CF626A" w:rsidRPr="001531CD" w:rsidRDefault="00CF626A" w:rsidP="00732B21">
      <w:pPr>
        <w:pStyle w:val="A"/>
        <w:spacing w:after="80"/>
      </w:pPr>
      <w:r w:rsidRPr="001531CD">
        <w:t>C.</w:t>
      </w:r>
      <w:r w:rsidRPr="001531CD">
        <w:tab/>
        <w:t>Whenever the state entomologist determines that materials being shipped into or within the state of Louisiana are infested, the state entomologist may order such materials to be destroyed at the inspection point, or to be shipped back to the point of origin. If shipped back to the point of origin, the owner of such materials shall be responsible for payment of all costs associated with the return shipment. Shipments being returned to the point of origin by order of the state entomologist must be sealed in a manner approved by the state entomologist and cannot stop until reaching the point of origin.</w:t>
      </w:r>
    </w:p>
    <w:p w14:paraId="1F1CD026" w14:textId="77777777" w:rsidR="00CF626A" w:rsidRPr="001531CD" w:rsidRDefault="00CF626A">
      <w:pPr>
        <w:pStyle w:val="AuthorityNote"/>
      </w:pPr>
      <w:r w:rsidRPr="001531CD">
        <w:t>AUTHORITY NOTE:</w:t>
      </w:r>
      <w:r w:rsidRPr="001531CD">
        <w:tab/>
        <w:t>Promulgated in accordance with R.S. 3:1652.</w:t>
      </w:r>
    </w:p>
    <w:p w14:paraId="2F6A03E5"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1124239D" w14:textId="77777777" w:rsidR="00CF626A" w:rsidRPr="001531CD" w:rsidRDefault="00CF626A" w:rsidP="00732B21">
      <w:pPr>
        <w:pStyle w:val="Section"/>
        <w:spacing w:after="80"/>
      </w:pPr>
      <w:bookmarkStart w:id="1336" w:name="_Toc256754585"/>
      <w:bookmarkStart w:id="1337" w:name="_Toc224818898"/>
      <w:r w:rsidRPr="001531CD">
        <w:t>§107.</w:t>
      </w:r>
      <w:r w:rsidRPr="001531CD">
        <w:tab/>
        <w:t>Authority of State Entomologist to Impose Quarantines</w:t>
      </w:r>
      <w:bookmarkEnd w:id="1336"/>
      <w:bookmarkEnd w:id="1337"/>
    </w:p>
    <w:p w14:paraId="3276F316" w14:textId="77777777" w:rsidR="00CF626A" w:rsidRPr="001531CD" w:rsidRDefault="00CF626A" w:rsidP="00732B21">
      <w:pPr>
        <w:pStyle w:val="A"/>
        <w:spacing w:after="80"/>
      </w:pPr>
      <w:r w:rsidRPr="001531CD">
        <w:t>A.</w:t>
      </w:r>
      <w:r w:rsidRPr="001531CD">
        <w:tab/>
        <w:t>Whenever the state entomologist's inspection of properties or premises indicates any presence of an infestation of any plant pest or disease, the state entomologist may declare such properties or premises to be under quarantine.</w:t>
      </w:r>
    </w:p>
    <w:p w14:paraId="18585D8C" w14:textId="77777777" w:rsidR="00CF626A" w:rsidRPr="001531CD" w:rsidRDefault="00CF626A" w:rsidP="00732B21">
      <w:pPr>
        <w:pStyle w:val="A"/>
        <w:spacing w:after="80"/>
      </w:pPr>
      <w:r w:rsidRPr="001531CD">
        <w:t>B.</w:t>
      </w:r>
      <w:r w:rsidRPr="001531CD">
        <w:tab/>
        <w:t>The state entomologist may place any premises or properties under quarantine by the following procedures:</w:t>
      </w:r>
    </w:p>
    <w:p w14:paraId="11099370" w14:textId="77777777" w:rsidR="00CF626A" w:rsidRPr="001531CD" w:rsidRDefault="00CF626A" w:rsidP="00732B21">
      <w:pPr>
        <w:pStyle w:val="1"/>
        <w:spacing w:after="80"/>
      </w:pPr>
      <w:r w:rsidRPr="001531CD">
        <w:t>1.</w:t>
      </w:r>
      <w:r w:rsidRPr="001531CD">
        <w:tab/>
        <w:t>he must give notice, in writing, to the owner of the properties to be quarantined; and</w:t>
      </w:r>
    </w:p>
    <w:p w14:paraId="3769DF6B" w14:textId="77777777" w:rsidR="00CF626A" w:rsidRPr="001531CD" w:rsidRDefault="00CF626A">
      <w:pPr>
        <w:pStyle w:val="1"/>
      </w:pPr>
      <w:r w:rsidRPr="001531CD">
        <w:t>2.</w:t>
      </w:r>
      <w:r w:rsidRPr="001531CD">
        <w:tab/>
        <w:t xml:space="preserve">he must publish notice of the quarantine in the </w:t>
      </w:r>
      <w:r w:rsidRPr="001531CD">
        <w:rPr>
          <w:i/>
          <w:iCs/>
        </w:rPr>
        <w:t>Louisiana Register</w:t>
      </w:r>
      <w:r w:rsidRPr="001531CD">
        <w:t xml:space="preserve"> as required by §109 hereof.</w:t>
      </w:r>
    </w:p>
    <w:p w14:paraId="73ACDA65" w14:textId="77777777" w:rsidR="00CF626A" w:rsidRPr="001531CD" w:rsidRDefault="00CF626A">
      <w:pPr>
        <w:pStyle w:val="AuthorityNote"/>
      </w:pPr>
      <w:r w:rsidRPr="001531CD">
        <w:t>AUTHORITY NOTE:</w:t>
      </w:r>
      <w:r w:rsidRPr="001531CD">
        <w:tab/>
        <w:t>Promulgated in accordance with R.S. 3:1654 and R.S. 3:1652.</w:t>
      </w:r>
    </w:p>
    <w:p w14:paraId="49433C51"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336DD15C" w14:textId="77777777" w:rsidR="00CF626A" w:rsidRPr="001531CD" w:rsidRDefault="00CF626A">
      <w:pPr>
        <w:pStyle w:val="Section"/>
      </w:pPr>
      <w:bookmarkStart w:id="1338" w:name="_Toc256754586"/>
      <w:bookmarkStart w:id="1339" w:name="_Toc224818899"/>
      <w:r w:rsidRPr="001531CD">
        <w:t>§109.</w:t>
      </w:r>
      <w:r w:rsidRPr="001531CD">
        <w:tab/>
        <w:t>Procedure for Imposition of Quarantine</w:t>
      </w:r>
      <w:bookmarkEnd w:id="1338"/>
      <w:bookmarkEnd w:id="1339"/>
    </w:p>
    <w:p w14:paraId="17057969" w14:textId="77777777" w:rsidR="00CF626A" w:rsidRPr="001531CD" w:rsidRDefault="00CF626A" w:rsidP="00732B21">
      <w:pPr>
        <w:pStyle w:val="A"/>
        <w:spacing w:after="80"/>
      </w:pPr>
      <w:r w:rsidRPr="001531CD">
        <w:t>A.</w:t>
      </w:r>
      <w:r w:rsidRPr="001531CD">
        <w:tab/>
        <w:t xml:space="preserve">In addition to giving written notice to the owner of properties to be placed under quarantine, the state entomologist shall annually, no later than November 30 of each year, publish in the </w:t>
      </w:r>
      <w:r w:rsidRPr="001531CD">
        <w:rPr>
          <w:i/>
          <w:iCs/>
        </w:rPr>
        <w:t>Louisiana Register</w:t>
      </w:r>
      <w:r w:rsidRPr="001531CD">
        <w:t xml:space="preserve"> a list of all areas of Louisiana and the nation which are under quarantine, such publication to specify the plant pest or plant disease for which each such area is quarantined.</w:t>
      </w:r>
    </w:p>
    <w:p w14:paraId="480F7375" w14:textId="77777777" w:rsidR="00CF626A" w:rsidRPr="001531CD" w:rsidRDefault="00CF626A" w:rsidP="00732B21">
      <w:pPr>
        <w:pStyle w:val="A"/>
        <w:spacing w:after="80"/>
      </w:pPr>
      <w:r w:rsidRPr="001531CD">
        <w:t>B.</w:t>
      </w:r>
      <w:r w:rsidRPr="001531CD">
        <w:tab/>
        <w:t>All areas contained on the state entomologist's annual listing of quarantined areas shall remain under quarantine for a period of one year following the date of publication, except as provided in §109.C hereof.</w:t>
      </w:r>
    </w:p>
    <w:p w14:paraId="13CD1FD4" w14:textId="77777777" w:rsidR="00CF626A" w:rsidRPr="001531CD" w:rsidRDefault="00CF626A" w:rsidP="00732B21">
      <w:pPr>
        <w:pStyle w:val="A"/>
        <w:spacing w:after="80"/>
      </w:pPr>
      <w:r w:rsidRPr="001531CD">
        <w:t>C.</w:t>
      </w:r>
      <w:r w:rsidRPr="001531CD">
        <w:tab/>
        <w:t xml:space="preserve">The state entomologist may, at his discretion, remove the quarantine from any specific area listed in his annual quarantine listing when it is proven to his satisfaction that the plant pest or disease for which the area was quarantined is no longer present in the area from which the quarantine is to be removed. Whenever the state entomologist removes a quarantine prior to the expiration of one year following publication of the annual quarantine listing, he shall publish a report of his action in the </w:t>
      </w:r>
      <w:r w:rsidRPr="001531CD">
        <w:rPr>
          <w:i/>
          <w:iCs/>
        </w:rPr>
        <w:t>Louisiana Register</w:t>
      </w:r>
      <w:r w:rsidRPr="001531CD">
        <w:t>.</w:t>
      </w:r>
    </w:p>
    <w:p w14:paraId="3F4AD711" w14:textId="77777777" w:rsidR="00CF626A" w:rsidRPr="001531CD" w:rsidRDefault="00CF626A" w:rsidP="00732B21">
      <w:pPr>
        <w:pStyle w:val="A"/>
        <w:spacing w:after="80"/>
      </w:pPr>
      <w:r w:rsidRPr="001531CD">
        <w:t>D.</w:t>
      </w:r>
      <w:r w:rsidRPr="001531CD">
        <w:tab/>
        <w:t xml:space="preserve">The state entomologist may, at his discretion, supplement his annual quarantine listing whenever any plant pest or disease is detected in any area which is not under quarantine for such plant pest or disease. The state entomologist shall, in such event, supplement his annual quarantine listing by publishing a "Supplement to the (Year of Quarantine) Quarantine Listing for (Name of Plant Pest or Disease)" in the </w:t>
      </w:r>
      <w:r w:rsidRPr="001531CD">
        <w:rPr>
          <w:i/>
          <w:iCs/>
        </w:rPr>
        <w:t>Louisiana Register</w:t>
      </w:r>
      <w:r w:rsidRPr="001531CD">
        <w:t>. The quarantine placed on any area by such supplemental action shall expire at the same time as the quarantines contained in his annual quarantine listing for such plant pests and diseases.</w:t>
      </w:r>
    </w:p>
    <w:p w14:paraId="352972DB" w14:textId="77777777" w:rsidR="00CF626A" w:rsidRPr="001531CD" w:rsidRDefault="00CF626A" w:rsidP="00732B21">
      <w:pPr>
        <w:pStyle w:val="A"/>
        <w:spacing w:after="80"/>
      </w:pPr>
      <w:r w:rsidRPr="001531CD">
        <w:t>E.</w:t>
      </w:r>
      <w:r w:rsidRPr="001531CD">
        <w:tab/>
        <w:t>Upon publication of the state entomologist's annual quarantine listing, all previously published annual and supplementary quarantine listings shall automatically be repealed.</w:t>
      </w:r>
    </w:p>
    <w:p w14:paraId="12280092" w14:textId="77777777" w:rsidR="00CF626A" w:rsidRPr="001531CD" w:rsidRDefault="00CF626A">
      <w:pPr>
        <w:pStyle w:val="AuthorityNote"/>
      </w:pPr>
      <w:r w:rsidRPr="001531CD">
        <w:t>AUTHORITY NOTE:</w:t>
      </w:r>
      <w:r w:rsidRPr="001531CD">
        <w:tab/>
        <w:t>Promulgated in accordance with R.S. 3:1654 and R.S. 3:1652.</w:t>
      </w:r>
    </w:p>
    <w:p w14:paraId="23AA9FAE"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63BCAA5B" w14:textId="77777777" w:rsidR="00CF626A" w:rsidRPr="001531CD" w:rsidRDefault="00CF626A" w:rsidP="00732B21">
      <w:pPr>
        <w:pStyle w:val="Section"/>
        <w:spacing w:after="80"/>
      </w:pPr>
      <w:bookmarkStart w:id="1340" w:name="_Toc256754587"/>
      <w:bookmarkStart w:id="1341" w:name="_Toc224818900"/>
      <w:r w:rsidRPr="001531CD">
        <w:t>§111.</w:t>
      </w:r>
      <w:r w:rsidRPr="001531CD">
        <w:tab/>
        <w:t>Effect of Quarantine</w:t>
      </w:r>
      <w:bookmarkEnd w:id="1340"/>
      <w:bookmarkEnd w:id="1341"/>
    </w:p>
    <w:p w14:paraId="57E03E39" w14:textId="77777777" w:rsidR="00CF626A" w:rsidRPr="001531CD" w:rsidRDefault="00CF626A" w:rsidP="00732B21">
      <w:pPr>
        <w:pStyle w:val="A"/>
        <w:spacing w:after="80"/>
      </w:pPr>
      <w:r w:rsidRPr="001531CD">
        <w:t>A.</w:t>
      </w:r>
      <w:r w:rsidRPr="001531CD">
        <w:tab/>
        <w:t>Regulated materials may not be grown, harvested, sold, stored or moved out of or within a quarantined area except under special permit issued by the state entomologist.</w:t>
      </w:r>
    </w:p>
    <w:p w14:paraId="50BFF064" w14:textId="77777777" w:rsidR="00CF626A" w:rsidRPr="001531CD" w:rsidRDefault="00CF626A" w:rsidP="00732B21">
      <w:pPr>
        <w:pStyle w:val="A"/>
        <w:spacing w:after="80"/>
      </w:pPr>
      <w:r w:rsidRPr="001531CD">
        <w:t>B.</w:t>
      </w:r>
      <w:r w:rsidRPr="001531CD">
        <w:tab/>
        <w:t>Regulated materials grown, harvested, sold, stored or transported within a quarantined area in the absence of a special permit issued by the state entomologist are subject to destruction at the discretion of the state entomologist.</w:t>
      </w:r>
    </w:p>
    <w:p w14:paraId="6E760471" w14:textId="77777777" w:rsidR="00CF626A" w:rsidRPr="001531CD" w:rsidRDefault="00CF626A">
      <w:pPr>
        <w:pStyle w:val="A"/>
      </w:pPr>
      <w:r w:rsidRPr="001531CD">
        <w:t>C.</w:t>
      </w:r>
      <w:r w:rsidRPr="001531CD">
        <w:tab/>
        <w:t>Regulated materials may not be moved from a quarantined area into a pest-free area within Louisiana unless accompanied by a fumigation certificate issued by the state entomologist or by the appropriate official within the state of origin.</w:t>
      </w:r>
    </w:p>
    <w:p w14:paraId="40955445" w14:textId="77777777" w:rsidR="00CF626A" w:rsidRPr="001531CD" w:rsidRDefault="00CF626A">
      <w:pPr>
        <w:pStyle w:val="A"/>
      </w:pPr>
      <w:r w:rsidRPr="001531CD">
        <w:t>D.</w:t>
      </w:r>
      <w:r w:rsidRPr="001531CD">
        <w:tab/>
        <w:t xml:space="preserve">Regulated materials located within a quarantined area may, at the sole discretion of the state entomologist, be </w:t>
      </w:r>
      <w:r w:rsidRPr="001531CD">
        <w:lastRenderedPageBreak/>
        <w:t>destroyed or disposed of to protect the plant life of the quarantined area. Whenever the state entomologist determines that restricted materials must be destroyed, such destruction shall be performed in a manner approved by the state entomologist. The cost of destruction of such materials shall be borne by the owner of such materials.</w:t>
      </w:r>
    </w:p>
    <w:p w14:paraId="3BCEA03A" w14:textId="77777777" w:rsidR="00CF626A" w:rsidRPr="001531CD" w:rsidRDefault="00CF626A">
      <w:pPr>
        <w:pStyle w:val="AuthorityNote"/>
      </w:pPr>
      <w:r w:rsidRPr="001531CD">
        <w:t>AUTHORITY NOTE:</w:t>
      </w:r>
      <w:r w:rsidRPr="001531CD">
        <w:tab/>
        <w:t>Promulgated in accordance with R.S. 3:1652.</w:t>
      </w:r>
    </w:p>
    <w:p w14:paraId="00E59DA7"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03DDB536" w14:textId="77777777" w:rsidR="00CF626A" w:rsidRPr="001531CD" w:rsidRDefault="00CF626A">
      <w:pPr>
        <w:pStyle w:val="Section"/>
      </w:pPr>
      <w:bookmarkStart w:id="1342" w:name="_Toc256754588"/>
      <w:bookmarkStart w:id="1343" w:name="_Toc224818901"/>
      <w:r w:rsidRPr="001531CD">
        <w:t>§113.</w:t>
      </w:r>
      <w:r w:rsidRPr="001531CD">
        <w:tab/>
        <w:t>Movement, Sale, Offer for Sale and/or Storage of Host Materials</w:t>
      </w:r>
      <w:bookmarkEnd w:id="1342"/>
      <w:bookmarkEnd w:id="1343"/>
    </w:p>
    <w:p w14:paraId="6B7D8C2B" w14:textId="77777777" w:rsidR="00CF626A" w:rsidRPr="001531CD" w:rsidRDefault="00CF626A" w:rsidP="00F03863">
      <w:pPr>
        <w:pStyle w:val="A"/>
        <w:outlineLvl w:val="0"/>
      </w:pPr>
      <w:r w:rsidRPr="001531CD">
        <w:t>A.</w:t>
      </w:r>
      <w:r w:rsidRPr="001531CD">
        <w:tab/>
        <w:t>No host materials may be transported out of Louisiana unless:</w:t>
      </w:r>
    </w:p>
    <w:p w14:paraId="4A7731C2" w14:textId="77777777" w:rsidR="00CF626A" w:rsidRPr="001531CD" w:rsidRDefault="00CF626A">
      <w:pPr>
        <w:pStyle w:val="1"/>
      </w:pPr>
      <w:r w:rsidRPr="001531CD">
        <w:t>1.</w:t>
      </w:r>
      <w:r w:rsidRPr="001531CD">
        <w:tab/>
        <w:t>a valid certificate permit issued by the department accompanies each shipment; and</w:t>
      </w:r>
    </w:p>
    <w:p w14:paraId="59BCBBDD" w14:textId="77777777" w:rsidR="00CF626A" w:rsidRPr="001531CD" w:rsidRDefault="00CF626A">
      <w:pPr>
        <w:pStyle w:val="1"/>
      </w:pPr>
      <w:r w:rsidRPr="001531CD">
        <w:t>2.</w:t>
      </w:r>
      <w:r w:rsidRPr="001531CD">
        <w:tab/>
        <w:t>if required by the state of destination, a valid certificate permit tag and/or a fumigation certificate accompanies each shipment.</w:t>
      </w:r>
    </w:p>
    <w:p w14:paraId="387FE5B4" w14:textId="77777777" w:rsidR="00CF626A" w:rsidRPr="001531CD" w:rsidRDefault="00CF626A" w:rsidP="00F03863">
      <w:pPr>
        <w:pStyle w:val="A"/>
        <w:outlineLvl w:val="0"/>
      </w:pPr>
      <w:r w:rsidRPr="001531CD">
        <w:t>B.</w:t>
      </w:r>
      <w:r w:rsidRPr="001531CD">
        <w:tab/>
        <w:t>No host materials may be transported into or within Louisiana unless:</w:t>
      </w:r>
    </w:p>
    <w:p w14:paraId="1D9BEAC2" w14:textId="77777777" w:rsidR="00CF626A" w:rsidRPr="001531CD" w:rsidRDefault="00CF626A">
      <w:pPr>
        <w:pStyle w:val="1"/>
      </w:pPr>
      <w:r w:rsidRPr="001531CD">
        <w:t>1.</w:t>
      </w:r>
      <w:r w:rsidRPr="001531CD">
        <w:tab/>
        <w:t>a valid certificate permit issued by the department or the state of origin accompanies each shipment; and</w:t>
      </w:r>
    </w:p>
    <w:p w14:paraId="0189C915" w14:textId="77777777" w:rsidR="00CF626A" w:rsidRPr="001531CD" w:rsidRDefault="00CF626A">
      <w:pPr>
        <w:pStyle w:val="1"/>
      </w:pPr>
      <w:r w:rsidRPr="001531CD">
        <w:t>2.</w:t>
      </w:r>
      <w:r w:rsidRPr="001531CD">
        <w:tab/>
        <w:t>a valid certificate permit tag issued by the department or the state of origin is attached to each container in the shipment.</w:t>
      </w:r>
    </w:p>
    <w:p w14:paraId="1DF3CB60" w14:textId="77777777" w:rsidR="00CF626A" w:rsidRPr="001531CD" w:rsidRDefault="00CF626A">
      <w:pPr>
        <w:pStyle w:val="AuthorityNote"/>
      </w:pPr>
      <w:r w:rsidRPr="001531CD">
        <w:t>AUTHORITY NOTE:</w:t>
      </w:r>
      <w:r w:rsidRPr="001531CD">
        <w:tab/>
        <w:t>Promulgated in accordance with R.S. 3:1652.</w:t>
      </w:r>
    </w:p>
    <w:p w14:paraId="2CCDE3D1"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71A981E8" w14:textId="77777777" w:rsidR="00CF626A" w:rsidRPr="001531CD" w:rsidRDefault="00CF626A">
      <w:pPr>
        <w:pStyle w:val="Section"/>
      </w:pPr>
      <w:bookmarkStart w:id="1344" w:name="_Toc256754589"/>
      <w:bookmarkStart w:id="1345" w:name="_Toc224818902"/>
      <w:r w:rsidRPr="001531CD">
        <w:t>§115.</w:t>
      </w:r>
      <w:r w:rsidRPr="001531CD">
        <w:tab/>
        <w:t>Issuance of Certificate Permits, Certificate Permit Tags and Fumigation Certificates</w:t>
      </w:r>
      <w:bookmarkEnd w:id="1344"/>
      <w:bookmarkEnd w:id="1345"/>
    </w:p>
    <w:p w14:paraId="0EE99396" w14:textId="77777777" w:rsidR="00CF626A" w:rsidRPr="001531CD" w:rsidRDefault="00CF626A">
      <w:pPr>
        <w:pStyle w:val="A"/>
      </w:pPr>
      <w:r w:rsidRPr="001531CD">
        <w:t>A.</w:t>
      </w:r>
      <w:r w:rsidRPr="001531CD">
        <w:tab/>
        <w:t>Certificate permits, certificate permit tags and fumigation certificates may be obtained by application, in writing, to the state entomologist or a local inspector.</w:t>
      </w:r>
    </w:p>
    <w:p w14:paraId="31CFABBF" w14:textId="77777777" w:rsidR="00CF626A" w:rsidRPr="001531CD" w:rsidRDefault="00CF626A">
      <w:pPr>
        <w:pStyle w:val="A"/>
      </w:pPr>
      <w:r w:rsidRPr="001531CD">
        <w:t>B.</w:t>
      </w:r>
      <w:r w:rsidRPr="001531CD">
        <w:tab/>
        <w:t>Certificate permits and certificate permit tags for movement or sale of restricted materials will be issued whenever an inspection reveals that such materials are free of any infestation of the specific plant pest or disease subject to regulation. No certificate permit or certificate permit tag will be issued when such materials are found on inspection to be infested with the plant pest or disease.</w:t>
      </w:r>
    </w:p>
    <w:p w14:paraId="06FC9874" w14:textId="77777777" w:rsidR="00CF626A" w:rsidRPr="001531CD" w:rsidRDefault="00CF626A">
      <w:pPr>
        <w:pStyle w:val="A"/>
      </w:pPr>
      <w:r w:rsidRPr="001531CD">
        <w:t>C.</w:t>
      </w:r>
      <w:r w:rsidRPr="001531CD">
        <w:tab/>
        <w:t>Container certificate permit tags must be attached to each container of a shipment prior to issuance of a certificate permit.</w:t>
      </w:r>
    </w:p>
    <w:p w14:paraId="23715A5B" w14:textId="77777777" w:rsidR="00CF626A" w:rsidRPr="001531CD" w:rsidRDefault="00CF626A">
      <w:pPr>
        <w:pStyle w:val="A"/>
      </w:pPr>
      <w:r w:rsidRPr="001531CD">
        <w:t>D.</w:t>
      </w:r>
      <w:r w:rsidRPr="001531CD">
        <w:tab/>
        <w:t xml:space="preserve">Certificate permits, certificate permit tags and/or fumigation certificates may be canceled by the state </w:t>
      </w:r>
      <w:r w:rsidRPr="001531CD">
        <w:t>entomologist whenever, in his sole judgment, such cancellation is necessary to prevent the spread of any plant pest or plant disease within Louisiana.</w:t>
      </w:r>
    </w:p>
    <w:p w14:paraId="4EA42216" w14:textId="77777777" w:rsidR="00CF626A" w:rsidRPr="001531CD" w:rsidRDefault="00CF626A">
      <w:pPr>
        <w:pStyle w:val="A"/>
      </w:pPr>
      <w:r w:rsidRPr="001531CD">
        <w:t>E.</w:t>
      </w:r>
      <w:r w:rsidRPr="001531CD">
        <w:tab/>
        <w:t>Certificate permits, certificate permit tags and fumigation certificates become invalid after one shipment and/or one sale.</w:t>
      </w:r>
    </w:p>
    <w:p w14:paraId="09BC7558" w14:textId="77777777" w:rsidR="00CF626A" w:rsidRPr="001531CD" w:rsidRDefault="00CF626A">
      <w:pPr>
        <w:pStyle w:val="AuthorityNote"/>
      </w:pPr>
      <w:r w:rsidRPr="001531CD">
        <w:t>AUTHORITY NOTE:</w:t>
      </w:r>
      <w:r w:rsidRPr="001531CD">
        <w:tab/>
        <w:t>Promulgated in accordance with R.S. 3:1652.</w:t>
      </w:r>
    </w:p>
    <w:p w14:paraId="1DEE7229"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14:paraId="5F9E436B" w14:textId="77777777" w:rsidR="00CF626A" w:rsidRPr="001531CD" w:rsidRDefault="00CF626A">
      <w:pPr>
        <w:pStyle w:val="Section"/>
      </w:pPr>
      <w:bookmarkStart w:id="1346" w:name="_Toc256754590"/>
      <w:bookmarkStart w:id="1347" w:name="_Toc224818903"/>
      <w:r w:rsidRPr="001531CD">
        <w:t>§117.</w:t>
      </w:r>
      <w:r w:rsidRPr="001531CD">
        <w:tab/>
        <w:t>Responsibility</w:t>
      </w:r>
      <w:bookmarkEnd w:id="1346"/>
      <w:bookmarkEnd w:id="1347"/>
    </w:p>
    <w:p w14:paraId="558D465F" w14:textId="77777777" w:rsidR="00CF626A" w:rsidRPr="001531CD" w:rsidRDefault="00CF626A">
      <w:pPr>
        <w:pStyle w:val="A"/>
      </w:pPr>
      <w:r w:rsidRPr="001531CD">
        <w:t>A.</w:t>
      </w:r>
      <w:r w:rsidRPr="001531CD">
        <w:tab/>
        <w:t>The owner of any property on which restricted material is stored, planted, cultivated or grown, and any tenant leasing such land, shall be jointly responsible for compliance with these rules and regulations and any other requirements imposed by the state entomologist to eradicate, control and prevent the spread of any plant pest or disease.</w:t>
      </w:r>
    </w:p>
    <w:p w14:paraId="27D196EF" w14:textId="77777777" w:rsidR="00CF626A" w:rsidRPr="001531CD" w:rsidRDefault="00CF626A">
      <w:pPr>
        <w:pStyle w:val="AuthorityNote"/>
      </w:pPr>
      <w:r w:rsidRPr="001531CD">
        <w:t>AUTHORITY NOTE:</w:t>
      </w:r>
      <w:r w:rsidRPr="001531CD">
        <w:tab/>
        <w:t>Promulgated in accordance with R.S. 3:1652.</w:t>
      </w:r>
    </w:p>
    <w:p w14:paraId="2E98224C"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14:paraId="1D687E6D" w14:textId="77777777" w:rsidR="00CF626A" w:rsidRPr="001531CD" w:rsidRDefault="00CF626A">
      <w:pPr>
        <w:pStyle w:val="Section"/>
      </w:pPr>
      <w:bookmarkStart w:id="1348" w:name="_Toc256754591"/>
      <w:bookmarkStart w:id="1349" w:name="_Toc224818904"/>
      <w:r w:rsidRPr="001531CD">
        <w:t>§119.</w:t>
      </w:r>
      <w:r w:rsidRPr="001531CD">
        <w:tab/>
        <w:t>Shipments for Scientific Purposes</w:t>
      </w:r>
      <w:bookmarkEnd w:id="1348"/>
      <w:bookmarkEnd w:id="1349"/>
    </w:p>
    <w:p w14:paraId="4CC6D3A5" w14:textId="77777777" w:rsidR="00CF626A" w:rsidRPr="001531CD" w:rsidRDefault="00CF626A">
      <w:pPr>
        <w:pStyle w:val="A"/>
      </w:pPr>
      <w:r w:rsidRPr="001531CD">
        <w:t>A.</w:t>
      </w:r>
      <w:r w:rsidRPr="001531CD">
        <w:tab/>
        <w:t>These regulations do not apply to shipments of regulated materials, under proper safeguards, to the United States Department of Agriculture, or to recognized state institutions for scientific purposes, except that a special permit issued by a duly authorized state or federal plant quarantine inspector must be attached to the outside of the container.</w:t>
      </w:r>
    </w:p>
    <w:p w14:paraId="02B235B0" w14:textId="77777777" w:rsidR="00CF626A" w:rsidRPr="001531CD" w:rsidRDefault="00CF626A">
      <w:pPr>
        <w:pStyle w:val="AuthorityNote"/>
      </w:pPr>
      <w:r w:rsidRPr="001531CD">
        <w:t>AUTHORITY NOTE:</w:t>
      </w:r>
      <w:r w:rsidRPr="001531CD">
        <w:tab/>
        <w:t>Promulgated in accordance with R.S. 3:1652.</w:t>
      </w:r>
    </w:p>
    <w:p w14:paraId="09C26520"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14:paraId="01AE3B59" w14:textId="77777777" w:rsidR="00CF626A" w:rsidRPr="001531CD" w:rsidRDefault="00CF626A">
      <w:pPr>
        <w:pStyle w:val="Section"/>
      </w:pPr>
      <w:bookmarkStart w:id="1350" w:name="_Toc256754592"/>
      <w:bookmarkStart w:id="1351" w:name="_Toc224818905"/>
      <w:r w:rsidRPr="001531CD">
        <w:t>§121.</w:t>
      </w:r>
      <w:r w:rsidRPr="001531CD">
        <w:tab/>
        <w:t>Prohibitions</w:t>
      </w:r>
      <w:bookmarkEnd w:id="1350"/>
      <w:bookmarkEnd w:id="1351"/>
    </w:p>
    <w:p w14:paraId="14276AB7" w14:textId="77777777" w:rsidR="00CF626A" w:rsidRPr="001531CD" w:rsidRDefault="00CF626A">
      <w:pPr>
        <w:pStyle w:val="A"/>
      </w:pPr>
      <w:r w:rsidRPr="001531CD">
        <w:t>A.</w:t>
      </w:r>
      <w:r w:rsidRPr="001531CD">
        <w:tab/>
        <w:t>No person shall in any way interfere with any agent or inspector representing the state entomologist during the performance of an inspection of premises or other property, the application of suppressive measures for the control or eradication of any plant pest or disease, or the destruction of any plants, plant products or parts, host materials or any other regulated materials.</w:t>
      </w:r>
    </w:p>
    <w:p w14:paraId="4735AB34" w14:textId="77777777" w:rsidR="00CF626A" w:rsidRPr="001531CD" w:rsidRDefault="00CF626A">
      <w:pPr>
        <w:pStyle w:val="AuthorityNote"/>
      </w:pPr>
      <w:r w:rsidRPr="001531CD">
        <w:t>AUTHORITY NOTE:</w:t>
      </w:r>
      <w:r w:rsidRPr="001531CD">
        <w:tab/>
        <w:t>Promulgated in accordance with R.S. 3:1652.</w:t>
      </w:r>
    </w:p>
    <w:p w14:paraId="70F5C0B6"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14:paraId="1EEEFBD5" w14:textId="77777777" w:rsidR="00CF626A" w:rsidRPr="001531CD" w:rsidRDefault="00CF626A" w:rsidP="00732B21">
      <w:pPr>
        <w:pStyle w:val="Section"/>
        <w:spacing w:after="80"/>
      </w:pPr>
      <w:bookmarkStart w:id="1352" w:name="_Toc256754593"/>
      <w:bookmarkStart w:id="1353" w:name="_Toc224818906"/>
      <w:r w:rsidRPr="001531CD">
        <w:t>§123.</w:t>
      </w:r>
      <w:r w:rsidRPr="001531CD">
        <w:tab/>
        <w:t>Host Materials</w:t>
      </w:r>
      <w:bookmarkEnd w:id="1352"/>
      <w:bookmarkEnd w:id="1353"/>
    </w:p>
    <w:p w14:paraId="513FDBA4" w14:textId="77777777" w:rsidR="00CF626A" w:rsidRPr="001531CD" w:rsidRDefault="00A23F74" w:rsidP="00732B21">
      <w:pPr>
        <w:pStyle w:val="A"/>
        <w:keepNext/>
        <w:spacing w:after="160"/>
      </w:pPr>
      <w:r>
        <w:t>A.</w:t>
      </w:r>
      <w:r>
        <w:tab/>
      </w:r>
      <w:r w:rsidRPr="006D0E9D">
        <w:t>The following materials are declared to be host materials for the plant pests or diseases indicated.</w:t>
      </w:r>
    </w:p>
    <w:p w14:paraId="19DA0470" w14:textId="77777777" w:rsidR="00CF626A" w:rsidRPr="001531CD" w:rsidRDefault="00CF626A">
      <w:pPr>
        <w:pStyle w:val="A"/>
        <w:spacing w:after="200"/>
        <w:rPr>
          <w:b/>
          <w:bCs/>
        </w:rPr>
        <w:sectPr w:rsidR="00CF626A" w:rsidRPr="001531CD" w:rsidSect="00167E2E">
          <w:headerReference w:type="even" r:id="rId36"/>
          <w:headerReference w:type="default" r:id="rId37"/>
          <w:type w:val="continuous"/>
          <w:pgSz w:w="12240" w:h="15840" w:code="1"/>
          <w:pgMar w:top="1080" w:right="864" w:bottom="864" w:left="864" w:header="576" w:footer="432" w:gutter="0"/>
          <w:cols w:num="2" w:space="720"/>
        </w:sectPr>
      </w:pPr>
    </w:p>
    <w:p w14:paraId="5BE8F8B4" w14:textId="77777777" w:rsidR="00110BEC" w:rsidRPr="00110BEC" w:rsidRDefault="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9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977"/>
        <w:gridCol w:w="6828"/>
      </w:tblGrid>
      <w:tr w:rsidR="00110BEC" w:rsidRPr="00CF11DB" w14:paraId="7FF47388" w14:textId="77777777" w:rsidTr="000D7851">
        <w:trPr>
          <w:tblHeader/>
          <w:jc w:val="center"/>
        </w:trPr>
        <w:tc>
          <w:tcPr>
            <w:tcW w:w="2977" w:type="dxa"/>
            <w:tcBorders>
              <w:top w:val="double" w:sz="6" w:space="0" w:color="000000"/>
              <w:bottom w:val="single" w:sz="6" w:space="0" w:color="000000"/>
            </w:tcBorders>
            <w:shd w:val="pct25" w:color="000000" w:fill="FFFFFF"/>
          </w:tcPr>
          <w:p w14:paraId="1399FE31" w14:textId="77777777" w:rsidR="00110BEC" w:rsidRPr="003D5A0E" w:rsidRDefault="00110BEC"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3D5A0E">
              <w:rPr>
                <w:b/>
                <w:bCs/>
                <w:kern w:val="2"/>
                <w:sz w:val="16"/>
              </w:rPr>
              <w:lastRenderedPageBreak/>
              <w:t xml:space="preserve">Plant </w:t>
            </w:r>
            <w:r>
              <w:rPr>
                <w:b/>
                <w:bCs/>
                <w:kern w:val="2"/>
                <w:sz w:val="16"/>
              </w:rPr>
              <w:t>P</w:t>
            </w:r>
            <w:r w:rsidRPr="003D5A0E">
              <w:rPr>
                <w:b/>
                <w:bCs/>
                <w:kern w:val="2"/>
                <w:sz w:val="16"/>
              </w:rPr>
              <w:t>est/</w:t>
            </w:r>
            <w:r>
              <w:rPr>
                <w:b/>
                <w:bCs/>
                <w:kern w:val="2"/>
                <w:sz w:val="16"/>
              </w:rPr>
              <w:t>D</w:t>
            </w:r>
            <w:r w:rsidRPr="003D5A0E">
              <w:rPr>
                <w:b/>
                <w:bCs/>
                <w:kern w:val="2"/>
                <w:sz w:val="16"/>
              </w:rPr>
              <w:t>isease</w:t>
            </w:r>
          </w:p>
        </w:tc>
        <w:tc>
          <w:tcPr>
            <w:tcW w:w="6828" w:type="dxa"/>
            <w:tcBorders>
              <w:top w:val="double" w:sz="6" w:space="0" w:color="000000"/>
              <w:bottom w:val="single" w:sz="6" w:space="0" w:color="000000"/>
            </w:tcBorders>
            <w:shd w:val="pct25" w:color="000000" w:fill="FFFFFF"/>
          </w:tcPr>
          <w:p w14:paraId="15B94764" w14:textId="77777777" w:rsidR="00110BEC" w:rsidRPr="003D5A0E" w:rsidRDefault="00110BEC"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3D5A0E">
              <w:rPr>
                <w:b/>
                <w:bCs/>
                <w:kern w:val="2"/>
                <w:sz w:val="16"/>
              </w:rPr>
              <w:t xml:space="preserve">Host </w:t>
            </w:r>
            <w:r>
              <w:rPr>
                <w:b/>
                <w:bCs/>
                <w:kern w:val="2"/>
                <w:sz w:val="16"/>
              </w:rPr>
              <w:t>M</w:t>
            </w:r>
            <w:r w:rsidRPr="003D5A0E">
              <w:rPr>
                <w:b/>
                <w:bCs/>
                <w:kern w:val="2"/>
                <w:sz w:val="16"/>
              </w:rPr>
              <w:t>aterials</w:t>
            </w:r>
          </w:p>
        </w:tc>
      </w:tr>
      <w:tr w:rsidR="00F10C9B" w:rsidRPr="00CF11DB" w14:paraId="706A41F9" w14:textId="77777777" w:rsidTr="000D7851">
        <w:trPr>
          <w:jc w:val="center"/>
        </w:trPr>
        <w:tc>
          <w:tcPr>
            <w:tcW w:w="2977" w:type="dxa"/>
          </w:tcPr>
          <w:p w14:paraId="60012F0D" w14:textId="77777777" w:rsidR="00F10C9B" w:rsidRPr="00494820" w:rsidRDefault="00F10C9B" w:rsidP="00E9052B">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A.</w:t>
            </w:r>
            <w:r w:rsidRPr="00494820">
              <w:rPr>
                <w:kern w:val="2"/>
                <w:sz w:val="16"/>
              </w:rPr>
              <w:tab/>
              <w:t>Sweetpotato weevil</w:t>
            </w:r>
          </w:p>
          <w:p w14:paraId="2876EF4C" w14:textId="77777777" w:rsidR="00F10C9B" w:rsidRPr="00CF11DB" w:rsidRDefault="000D7851" w:rsidP="00E9052B">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F10C9B" w:rsidRPr="00494820">
              <w:rPr>
                <w:i/>
                <w:iCs/>
                <w:kern w:val="2"/>
                <w:sz w:val="16"/>
              </w:rPr>
              <w:t>Cylas formicarius, elegantulus,</w:t>
            </w:r>
            <w:r w:rsidR="00F10C9B" w:rsidRPr="00494820">
              <w:rPr>
                <w:kern w:val="2"/>
                <w:sz w:val="16"/>
              </w:rPr>
              <w:t xml:space="preserve"> (Sum.)</w:t>
            </w:r>
          </w:p>
        </w:tc>
        <w:tc>
          <w:tcPr>
            <w:tcW w:w="6828" w:type="dxa"/>
            <w:vAlign w:val="bottom"/>
          </w:tcPr>
          <w:p w14:paraId="75C70DD3" w14:textId="77777777" w:rsidR="00F10C9B" w:rsidRPr="00CF11DB" w:rsidRDefault="00F10C9B"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 xml:space="preserve">Dehydrated sweet potatoes; sweet potato roots, plants, vines or parts thereof; all other </w:t>
            </w:r>
            <w:r w:rsidRPr="00494820">
              <w:rPr>
                <w:i/>
                <w:iCs/>
                <w:kern w:val="2"/>
                <w:sz w:val="16"/>
              </w:rPr>
              <w:t>Ipomoea</w:t>
            </w:r>
            <w:r w:rsidRPr="00494820">
              <w:rPr>
                <w:kern w:val="2"/>
                <w:sz w:val="16"/>
              </w:rPr>
              <w:t xml:space="preserve"> spp.; and containers used for transportation or storage of all such hosts.</w:t>
            </w:r>
          </w:p>
        </w:tc>
      </w:tr>
      <w:tr w:rsidR="00F10C9B" w:rsidRPr="00CF11DB" w14:paraId="037C37D7" w14:textId="77777777" w:rsidTr="000D7851">
        <w:trPr>
          <w:jc w:val="center"/>
        </w:trPr>
        <w:tc>
          <w:tcPr>
            <w:tcW w:w="2977" w:type="dxa"/>
          </w:tcPr>
          <w:p w14:paraId="3771E412" w14:textId="77777777" w:rsidR="00F10C9B" w:rsidRPr="00494820" w:rsidRDefault="00F10C9B"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B.</w:t>
            </w:r>
            <w:r w:rsidRPr="00494820">
              <w:rPr>
                <w:kern w:val="2"/>
                <w:sz w:val="16"/>
              </w:rPr>
              <w:tab/>
              <w:t>Pink bollworm</w:t>
            </w:r>
          </w:p>
          <w:p w14:paraId="27474EB2" w14:textId="77777777" w:rsidR="00F10C9B" w:rsidRPr="00CF11DB" w:rsidRDefault="000D7851"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F10C9B" w:rsidRPr="00494820">
              <w:rPr>
                <w:i/>
                <w:iCs/>
                <w:kern w:val="2"/>
                <w:sz w:val="16"/>
              </w:rPr>
              <w:t>Pectinophora gossypiella,</w:t>
            </w:r>
            <w:r w:rsidR="00F10C9B" w:rsidRPr="00494820">
              <w:rPr>
                <w:kern w:val="2"/>
                <w:sz w:val="16"/>
              </w:rPr>
              <w:t xml:space="preserve"> (Saunders)</w:t>
            </w:r>
          </w:p>
        </w:tc>
        <w:tc>
          <w:tcPr>
            <w:tcW w:w="6828" w:type="dxa"/>
            <w:vAlign w:val="bottom"/>
          </w:tcPr>
          <w:p w14:paraId="75A2D96E" w14:textId="77777777"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All parts of cotton and wild cotton plants of the genus Gossypium, seed cotton, cottonseed, cotton lint, cotton linters, okra, kanef, cotton waste, gin trash, cottonseed hulls, cottonseed cake, cottonseed meal, used bagging and other wrappers for cotton, used cotton harvesting equipment, used picking sacks and any other farm products, equipment, household goods, ginning and oil mill equipment, means of conveyance and any other articles which may serve as host materials.</w:t>
            </w:r>
          </w:p>
        </w:tc>
      </w:tr>
      <w:tr w:rsidR="00F10C9B" w:rsidRPr="00CF11DB" w14:paraId="33DC3970" w14:textId="77777777" w:rsidTr="000D7851">
        <w:trPr>
          <w:jc w:val="center"/>
        </w:trPr>
        <w:tc>
          <w:tcPr>
            <w:tcW w:w="2977" w:type="dxa"/>
          </w:tcPr>
          <w:p w14:paraId="4F76F5B7" w14:textId="77777777" w:rsidR="00F10C9B" w:rsidRPr="00494820" w:rsidRDefault="00F10C9B"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C.</w:t>
            </w:r>
            <w:r w:rsidRPr="00494820">
              <w:rPr>
                <w:kern w:val="2"/>
                <w:sz w:val="16"/>
              </w:rPr>
              <w:tab/>
              <w:t>Phytophagus Snails</w:t>
            </w:r>
          </w:p>
          <w:p w14:paraId="21BD59AE"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i/>
                <w:iCs/>
                <w:kern w:val="2"/>
                <w:sz w:val="16"/>
              </w:rPr>
            </w:pPr>
            <w:r w:rsidRPr="00494820">
              <w:rPr>
                <w:i/>
                <w:iCs/>
                <w:kern w:val="2"/>
                <w:sz w:val="16"/>
              </w:rPr>
              <w:t>Helix aspersa</w:t>
            </w:r>
          </w:p>
          <w:p w14:paraId="782626C6"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European Brown Garden Snail</w:t>
            </w:r>
          </w:p>
          <w:p w14:paraId="6AAA6D78"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Thebia pisana</w:t>
            </w:r>
          </w:p>
          <w:p w14:paraId="27367208"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White Garden Snail</w:t>
            </w:r>
          </w:p>
          <w:p w14:paraId="6EC163C9"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Megalobulimus oblongus</w:t>
            </w:r>
          </w:p>
          <w:p w14:paraId="0C1E0FC8"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Giant South American Snail</w:t>
            </w:r>
          </w:p>
          <w:p w14:paraId="78502593"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Otala lactea</w:t>
            </w:r>
          </w:p>
          <w:p w14:paraId="35BE61E7"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Milk Snail</w:t>
            </w:r>
          </w:p>
          <w:p w14:paraId="63BEAB2A"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i/>
                <w:iCs/>
                <w:kern w:val="2"/>
                <w:sz w:val="16"/>
              </w:rPr>
            </w:pPr>
            <w:r w:rsidRPr="00494820">
              <w:rPr>
                <w:i/>
                <w:iCs/>
                <w:kern w:val="2"/>
                <w:sz w:val="16"/>
              </w:rPr>
              <w:t>Achatina spp.</w:t>
            </w:r>
          </w:p>
          <w:p w14:paraId="24B958B4" w14:textId="77777777" w:rsidR="00F10C9B" w:rsidRPr="00CF11DB" w:rsidRDefault="00F10C9B" w:rsidP="00F10C9B">
            <w:pPr>
              <w:tabs>
                <w:tab w:val="left" w:pos="157"/>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rPr>
                <w:kern w:val="2"/>
                <w:sz w:val="16"/>
              </w:rPr>
            </w:pPr>
            <w:r w:rsidRPr="00494820">
              <w:rPr>
                <w:kern w:val="2"/>
                <w:sz w:val="16"/>
              </w:rPr>
              <w:t>(e.g., Giant African Snail); and any other plant-feeding snail considered injurious to agriculture)</w:t>
            </w:r>
          </w:p>
        </w:tc>
        <w:tc>
          <w:tcPr>
            <w:tcW w:w="6828" w:type="dxa"/>
            <w:vAlign w:val="bottom"/>
          </w:tcPr>
          <w:p w14:paraId="758CC130" w14:textId="77777777"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Ornamental, horticultural and nursery stock.</w:t>
            </w:r>
          </w:p>
        </w:tc>
      </w:tr>
      <w:tr w:rsidR="00110BEC" w:rsidRPr="00CF11DB" w14:paraId="52BA3B6B" w14:textId="77777777" w:rsidTr="000D7851">
        <w:trPr>
          <w:jc w:val="center"/>
        </w:trPr>
        <w:tc>
          <w:tcPr>
            <w:tcW w:w="2977" w:type="dxa"/>
          </w:tcPr>
          <w:p w14:paraId="22943FDA" w14:textId="77777777" w:rsidR="00110BEC" w:rsidRPr="00CF11DB" w:rsidRDefault="00110BEC"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CF11DB">
              <w:rPr>
                <w:kern w:val="2"/>
                <w:sz w:val="16"/>
              </w:rPr>
              <w:t>D.</w:t>
            </w:r>
            <w:r w:rsidRPr="00CF11DB">
              <w:rPr>
                <w:kern w:val="2"/>
                <w:sz w:val="16"/>
              </w:rPr>
              <w:tab/>
              <w:t>All sugarcane pests and diseases</w:t>
            </w:r>
          </w:p>
        </w:tc>
        <w:tc>
          <w:tcPr>
            <w:tcW w:w="6828" w:type="dxa"/>
            <w:vAlign w:val="bottom"/>
          </w:tcPr>
          <w:p w14:paraId="2C625095" w14:textId="77777777" w:rsidR="00110BEC" w:rsidRPr="00CF11DB" w:rsidRDefault="00110BEC"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CF11DB">
              <w:rPr>
                <w:kern w:val="2"/>
                <w:sz w:val="16"/>
              </w:rPr>
              <w:t>Sugar cane plants, stalks, cuttings and seed; maize.</w:t>
            </w:r>
          </w:p>
        </w:tc>
      </w:tr>
      <w:tr w:rsidR="00F10C9B" w:rsidRPr="00CF11DB" w14:paraId="60FDA660" w14:textId="77777777" w:rsidTr="000D7851">
        <w:trPr>
          <w:trHeight w:val="849"/>
          <w:jc w:val="center"/>
        </w:trPr>
        <w:tc>
          <w:tcPr>
            <w:tcW w:w="2977" w:type="dxa"/>
          </w:tcPr>
          <w:p w14:paraId="4D86692A" w14:textId="77777777" w:rsidR="00F10C9B" w:rsidRPr="00CF11DB" w:rsidRDefault="00F10C9B"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494820">
              <w:rPr>
                <w:kern w:val="2"/>
                <w:sz w:val="16"/>
              </w:rPr>
              <w:t>E.</w:t>
            </w:r>
            <w:r w:rsidRPr="00494820">
              <w:rPr>
                <w:kern w:val="2"/>
                <w:sz w:val="16"/>
              </w:rPr>
              <w:tab/>
              <w:t>Lethal yellowing</w:t>
            </w:r>
          </w:p>
        </w:tc>
        <w:tc>
          <w:tcPr>
            <w:tcW w:w="6828" w:type="dxa"/>
          </w:tcPr>
          <w:p w14:paraId="387D3C50"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1.</w:t>
            </w:r>
            <w:r w:rsidRPr="00494820">
              <w:rPr>
                <w:kern w:val="2"/>
                <w:sz w:val="16"/>
              </w:rPr>
              <w:tab/>
            </w:r>
            <w:r w:rsidRPr="00494820">
              <w:rPr>
                <w:i/>
                <w:iCs/>
                <w:kern w:val="2"/>
                <w:sz w:val="16"/>
              </w:rPr>
              <w:t>Cocos nucifera</w:t>
            </w:r>
            <w:r w:rsidRPr="00494820">
              <w:rPr>
                <w:kern w:val="2"/>
                <w:sz w:val="16"/>
              </w:rPr>
              <w:t xml:space="preserve"> L. (Coconut palm)―all varieties, including Malayan dwarf</w:t>
            </w:r>
          </w:p>
          <w:p w14:paraId="377F8A8D"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2.</w:t>
            </w:r>
            <w:r w:rsidRPr="00494820">
              <w:rPr>
                <w:kern w:val="2"/>
                <w:sz w:val="16"/>
              </w:rPr>
              <w:tab/>
            </w:r>
            <w:r w:rsidRPr="00494820">
              <w:rPr>
                <w:i/>
                <w:iCs/>
                <w:kern w:val="2"/>
                <w:sz w:val="16"/>
              </w:rPr>
              <w:t>Veitchia</w:t>
            </w:r>
            <w:r w:rsidRPr="00494820">
              <w:rPr>
                <w:kern w:val="2"/>
                <w:sz w:val="16"/>
              </w:rPr>
              <w:t xml:space="preserve"> spp.</w:t>
            </w:r>
          </w:p>
          <w:p w14:paraId="32F3139F"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3.</w:t>
            </w:r>
            <w:r w:rsidRPr="00494820">
              <w:rPr>
                <w:kern w:val="2"/>
                <w:sz w:val="16"/>
              </w:rPr>
              <w:tab/>
            </w:r>
            <w:r w:rsidRPr="00494820">
              <w:rPr>
                <w:i/>
                <w:iCs/>
                <w:kern w:val="2"/>
                <w:sz w:val="16"/>
              </w:rPr>
              <w:t>Pritchardia</w:t>
            </w:r>
            <w:r w:rsidRPr="00494820">
              <w:rPr>
                <w:kern w:val="2"/>
                <w:sz w:val="16"/>
              </w:rPr>
              <w:t xml:space="preserve"> spp.</w:t>
            </w:r>
          </w:p>
          <w:p w14:paraId="324490C8"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4.</w:t>
            </w:r>
            <w:r w:rsidRPr="00494820">
              <w:rPr>
                <w:kern w:val="2"/>
                <w:sz w:val="16"/>
              </w:rPr>
              <w:tab/>
            </w:r>
            <w:r w:rsidRPr="00494820">
              <w:rPr>
                <w:i/>
                <w:iCs/>
                <w:kern w:val="2"/>
                <w:sz w:val="16"/>
              </w:rPr>
              <w:t>Arikuryroba schizophylla</w:t>
            </w:r>
            <w:r w:rsidRPr="00494820">
              <w:rPr>
                <w:kern w:val="2"/>
                <w:sz w:val="16"/>
              </w:rPr>
              <w:t xml:space="preserve"> (Mart.) Bailey (Arikury palm)</w:t>
            </w:r>
          </w:p>
          <w:p w14:paraId="0B731037"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5.</w:t>
            </w:r>
            <w:r w:rsidRPr="00494820">
              <w:rPr>
                <w:kern w:val="2"/>
                <w:sz w:val="16"/>
              </w:rPr>
              <w:tab/>
            </w:r>
            <w:r w:rsidRPr="00494820">
              <w:rPr>
                <w:i/>
                <w:iCs/>
                <w:kern w:val="2"/>
                <w:sz w:val="16"/>
              </w:rPr>
              <w:t>Corypha elata</w:t>
            </w:r>
            <w:r w:rsidRPr="00494820">
              <w:rPr>
                <w:kern w:val="2"/>
                <w:sz w:val="16"/>
              </w:rPr>
              <w:t xml:space="preserve"> Roxb. (Buri palm, Gebang palm)</w:t>
            </w:r>
          </w:p>
          <w:p w14:paraId="5841D35D"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6.</w:t>
            </w:r>
            <w:r w:rsidRPr="00494820">
              <w:rPr>
                <w:kern w:val="2"/>
                <w:sz w:val="16"/>
              </w:rPr>
              <w:tab/>
            </w:r>
            <w:r w:rsidRPr="00494820">
              <w:rPr>
                <w:i/>
                <w:iCs/>
                <w:kern w:val="2"/>
                <w:sz w:val="16"/>
              </w:rPr>
              <w:t>Phoenix reclinata</w:t>
            </w:r>
            <w:r w:rsidRPr="00494820">
              <w:rPr>
                <w:kern w:val="2"/>
                <w:sz w:val="16"/>
              </w:rPr>
              <w:t xml:space="preserve"> Jacq. (Senegal date palm)</w:t>
            </w:r>
          </w:p>
          <w:p w14:paraId="70567844"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7.</w:t>
            </w:r>
            <w:r w:rsidRPr="00494820">
              <w:rPr>
                <w:kern w:val="2"/>
                <w:sz w:val="16"/>
              </w:rPr>
              <w:tab/>
            </w:r>
            <w:r w:rsidRPr="00494820">
              <w:rPr>
                <w:i/>
                <w:iCs/>
                <w:kern w:val="2"/>
                <w:sz w:val="16"/>
              </w:rPr>
              <w:t>Phoenix canariensis</w:t>
            </w:r>
            <w:r w:rsidRPr="00494820">
              <w:rPr>
                <w:kern w:val="2"/>
                <w:sz w:val="16"/>
              </w:rPr>
              <w:t xml:space="preserve"> Hort. ex Chab. (Canary Island date palm)</w:t>
            </w:r>
          </w:p>
          <w:p w14:paraId="4050AE9B"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8.</w:t>
            </w:r>
            <w:r w:rsidRPr="00494820">
              <w:rPr>
                <w:kern w:val="2"/>
                <w:sz w:val="16"/>
              </w:rPr>
              <w:tab/>
            </w:r>
            <w:r w:rsidRPr="00494820">
              <w:rPr>
                <w:i/>
                <w:iCs/>
                <w:kern w:val="2"/>
                <w:sz w:val="16"/>
              </w:rPr>
              <w:t>Phoenix dactylifera</w:t>
            </w:r>
            <w:r w:rsidRPr="00494820">
              <w:rPr>
                <w:kern w:val="2"/>
                <w:sz w:val="16"/>
              </w:rPr>
              <w:t xml:space="preserve"> L. (Date palm)</w:t>
            </w:r>
          </w:p>
          <w:p w14:paraId="72474B58" w14:textId="77777777"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9.</w:t>
            </w:r>
            <w:r w:rsidRPr="00494820">
              <w:rPr>
                <w:kern w:val="2"/>
                <w:sz w:val="16"/>
              </w:rPr>
              <w:tab/>
            </w:r>
            <w:r w:rsidRPr="00494820">
              <w:rPr>
                <w:i/>
                <w:iCs/>
                <w:kern w:val="2"/>
                <w:sz w:val="16"/>
              </w:rPr>
              <w:t>Phoenix sylvestris</w:t>
            </w:r>
            <w:r w:rsidRPr="00494820">
              <w:rPr>
                <w:kern w:val="2"/>
                <w:sz w:val="16"/>
              </w:rPr>
              <w:t xml:space="preserve"> (L.) Roxb. (Sylvester date palm)</w:t>
            </w:r>
          </w:p>
          <w:p w14:paraId="34226369" w14:textId="77777777" w:rsidR="00F10C9B" w:rsidRPr="00494820" w:rsidRDefault="00F10C9B" w:rsidP="00F10C9B">
            <w:pPr>
              <w:tabs>
                <w:tab w:val="left" w:pos="0"/>
                <w:tab w:val="left" w:pos="180"/>
                <w:tab w:val="left" w:pos="344"/>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10.</w:t>
            </w:r>
            <w:r w:rsidRPr="00494820">
              <w:rPr>
                <w:kern w:val="2"/>
                <w:sz w:val="16"/>
              </w:rPr>
              <w:tab/>
            </w:r>
            <w:r w:rsidRPr="00494820">
              <w:rPr>
                <w:i/>
                <w:iCs/>
                <w:kern w:val="2"/>
                <w:sz w:val="16"/>
              </w:rPr>
              <w:t>Trachycarpus fortunei</w:t>
            </w:r>
            <w:r w:rsidRPr="00494820">
              <w:rPr>
                <w:kern w:val="2"/>
                <w:sz w:val="16"/>
              </w:rPr>
              <w:t xml:space="preserve"> (Hook.) Wendl. (Chinese windmill palm)</w:t>
            </w:r>
          </w:p>
          <w:p w14:paraId="264C711D"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11.</w:t>
            </w:r>
            <w:r w:rsidRPr="00494820">
              <w:rPr>
                <w:kern w:val="2"/>
                <w:sz w:val="16"/>
              </w:rPr>
              <w:tab/>
            </w:r>
            <w:r w:rsidRPr="00494820">
              <w:rPr>
                <w:i/>
                <w:iCs/>
                <w:kern w:val="2"/>
                <w:sz w:val="16"/>
              </w:rPr>
              <w:t>Hyophorbe (Mascarena) verschaffeltii</w:t>
            </w:r>
            <w:r w:rsidRPr="00494820">
              <w:rPr>
                <w:kern w:val="2"/>
                <w:sz w:val="16"/>
              </w:rPr>
              <w:t xml:space="preserve"> H. Wendl. (Spindle palm)</w:t>
            </w:r>
          </w:p>
          <w:p w14:paraId="5D9C2154"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rPr>
              <w:t>12.</w:t>
            </w:r>
            <w:r w:rsidRPr="00494820">
              <w:rPr>
                <w:kern w:val="2"/>
                <w:sz w:val="16"/>
              </w:rPr>
              <w:tab/>
            </w:r>
            <w:r w:rsidRPr="00494820">
              <w:rPr>
                <w:i/>
                <w:iCs/>
                <w:kern w:val="2"/>
                <w:sz w:val="16"/>
              </w:rPr>
              <w:t>Caryota mitis</w:t>
            </w:r>
            <w:r w:rsidRPr="00494820">
              <w:rPr>
                <w:kern w:val="2"/>
                <w:sz w:val="16"/>
              </w:rPr>
              <w:t xml:space="preserve"> Lour. </w:t>
            </w:r>
            <w:r w:rsidRPr="00494820">
              <w:rPr>
                <w:kern w:val="2"/>
                <w:sz w:val="16"/>
                <w:lang w:val="es-MX"/>
              </w:rPr>
              <w:t>(Cluster fishtail palm)</w:t>
            </w:r>
          </w:p>
          <w:p w14:paraId="49B76B68"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lang w:val="es-MX"/>
              </w:rPr>
              <w:t>13.</w:t>
            </w:r>
            <w:r w:rsidRPr="00494820">
              <w:rPr>
                <w:kern w:val="2"/>
                <w:sz w:val="16"/>
                <w:lang w:val="es-MX"/>
              </w:rPr>
              <w:tab/>
            </w:r>
            <w:r w:rsidRPr="00494820">
              <w:rPr>
                <w:i/>
                <w:iCs/>
                <w:kern w:val="2"/>
                <w:sz w:val="16"/>
                <w:lang w:val="es-MX"/>
              </w:rPr>
              <w:t>Borassus flabellifer</w:t>
            </w:r>
            <w:r w:rsidRPr="00494820">
              <w:rPr>
                <w:kern w:val="2"/>
                <w:sz w:val="16"/>
                <w:lang w:val="es-MX"/>
              </w:rPr>
              <w:t xml:space="preserve"> L. (Palmyra palm)</w:t>
            </w:r>
          </w:p>
          <w:p w14:paraId="1CA05118"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lang w:val="es-MX"/>
              </w:rPr>
              <w:t>14.</w:t>
            </w:r>
            <w:r w:rsidRPr="00494820">
              <w:rPr>
                <w:kern w:val="2"/>
                <w:sz w:val="16"/>
                <w:lang w:val="es-MX"/>
              </w:rPr>
              <w:tab/>
            </w:r>
            <w:r w:rsidRPr="00494820">
              <w:rPr>
                <w:i/>
                <w:iCs/>
                <w:kern w:val="2"/>
                <w:sz w:val="16"/>
                <w:lang w:val="es-MX"/>
              </w:rPr>
              <w:t>Chrysalidocarpus cabadae</w:t>
            </w:r>
            <w:r w:rsidRPr="00494820">
              <w:rPr>
                <w:kern w:val="2"/>
                <w:sz w:val="16"/>
                <w:lang w:val="es-MX"/>
              </w:rPr>
              <w:t xml:space="preserve"> H.E. Moore (Cabada palm)</w:t>
            </w:r>
          </w:p>
          <w:p w14:paraId="4D53D72A"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15.</w:t>
            </w:r>
            <w:r w:rsidRPr="00494820">
              <w:rPr>
                <w:kern w:val="2"/>
                <w:sz w:val="16"/>
              </w:rPr>
              <w:tab/>
            </w:r>
            <w:r w:rsidRPr="00494820">
              <w:rPr>
                <w:i/>
                <w:iCs/>
                <w:kern w:val="2"/>
                <w:sz w:val="16"/>
              </w:rPr>
              <w:t>Dictyosperma album</w:t>
            </w:r>
            <w:r w:rsidRPr="00494820">
              <w:rPr>
                <w:kern w:val="2"/>
                <w:sz w:val="16"/>
              </w:rPr>
              <w:t xml:space="preserve"> (Bory) H. Wendl. &amp; Drude (Hurricane or princess palm)</w:t>
            </w:r>
          </w:p>
          <w:p w14:paraId="2472511C"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16.</w:t>
            </w:r>
            <w:r w:rsidRPr="00494820">
              <w:rPr>
                <w:kern w:val="2"/>
                <w:sz w:val="16"/>
              </w:rPr>
              <w:tab/>
            </w:r>
            <w:r w:rsidRPr="00494820">
              <w:rPr>
                <w:i/>
                <w:iCs/>
                <w:kern w:val="2"/>
                <w:sz w:val="16"/>
              </w:rPr>
              <w:t>Aiphanes lindeniana</w:t>
            </w:r>
            <w:r w:rsidRPr="00494820">
              <w:rPr>
                <w:kern w:val="2"/>
                <w:sz w:val="16"/>
              </w:rPr>
              <w:t xml:space="preserve"> (H. Wendl.) H. Wendl.</w:t>
            </w:r>
          </w:p>
          <w:p w14:paraId="509E5365"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17.</w:t>
            </w:r>
            <w:r w:rsidRPr="00494820">
              <w:rPr>
                <w:kern w:val="2"/>
                <w:sz w:val="16"/>
              </w:rPr>
              <w:tab/>
            </w:r>
            <w:r w:rsidRPr="00494820">
              <w:rPr>
                <w:i/>
                <w:iCs/>
                <w:kern w:val="2"/>
                <w:sz w:val="16"/>
              </w:rPr>
              <w:t>Allagoptera arenaria</w:t>
            </w:r>
            <w:r w:rsidRPr="00494820">
              <w:rPr>
                <w:kern w:val="2"/>
                <w:sz w:val="16"/>
              </w:rPr>
              <w:t xml:space="preserve"> (Gomes) Kuntze</w:t>
            </w:r>
          </w:p>
          <w:p w14:paraId="64F23AAE"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18.</w:t>
            </w:r>
            <w:r w:rsidRPr="00494820">
              <w:rPr>
                <w:kern w:val="2"/>
                <w:sz w:val="16"/>
              </w:rPr>
              <w:tab/>
            </w:r>
            <w:r w:rsidRPr="00494820">
              <w:rPr>
                <w:i/>
                <w:iCs/>
                <w:kern w:val="2"/>
                <w:sz w:val="16"/>
              </w:rPr>
              <w:t>Arenga engleri</w:t>
            </w:r>
            <w:r w:rsidRPr="00494820">
              <w:rPr>
                <w:kern w:val="2"/>
                <w:sz w:val="16"/>
              </w:rPr>
              <w:t xml:space="preserve"> Becc.</w:t>
            </w:r>
          </w:p>
          <w:p w14:paraId="3BC2221E"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19.</w:t>
            </w:r>
            <w:r w:rsidRPr="00494820">
              <w:rPr>
                <w:kern w:val="2"/>
                <w:sz w:val="16"/>
              </w:rPr>
              <w:tab/>
            </w:r>
            <w:r w:rsidRPr="00494820">
              <w:rPr>
                <w:i/>
                <w:iCs/>
                <w:kern w:val="2"/>
                <w:sz w:val="16"/>
              </w:rPr>
              <w:t>Ravenea hildebrandti</w:t>
            </w:r>
            <w:r w:rsidRPr="00494820">
              <w:rPr>
                <w:kern w:val="2"/>
                <w:sz w:val="16"/>
              </w:rPr>
              <w:t xml:space="preserve"> Wendl. ex Bouche</w:t>
            </w:r>
          </w:p>
          <w:p w14:paraId="21A3AADF"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20.</w:t>
            </w:r>
            <w:r w:rsidRPr="00494820">
              <w:rPr>
                <w:kern w:val="2"/>
                <w:sz w:val="16"/>
              </w:rPr>
              <w:tab/>
            </w:r>
            <w:r w:rsidRPr="00494820">
              <w:rPr>
                <w:i/>
                <w:iCs/>
                <w:kern w:val="2"/>
                <w:sz w:val="16"/>
              </w:rPr>
              <w:t>Gaussia attenuata</w:t>
            </w:r>
            <w:r w:rsidRPr="00494820">
              <w:rPr>
                <w:kern w:val="2"/>
                <w:sz w:val="16"/>
              </w:rPr>
              <w:t xml:space="preserve"> (O. F. Cook) Beccari (Puerto Rican Gaussia)</w:t>
            </w:r>
          </w:p>
          <w:p w14:paraId="1EDEFBEA"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21.</w:t>
            </w:r>
            <w:r w:rsidRPr="00494820">
              <w:rPr>
                <w:kern w:val="2"/>
                <w:sz w:val="16"/>
              </w:rPr>
              <w:tab/>
            </w:r>
            <w:r w:rsidRPr="00494820">
              <w:rPr>
                <w:i/>
                <w:iCs/>
                <w:kern w:val="2"/>
                <w:sz w:val="16"/>
              </w:rPr>
              <w:t>Howeia belmoreana</w:t>
            </w:r>
            <w:r w:rsidRPr="00494820">
              <w:rPr>
                <w:kern w:val="2"/>
                <w:sz w:val="16"/>
              </w:rPr>
              <w:t xml:space="preserve"> (C. Moore &amp; F. Muell.) Becc. (Sentry palm)</w:t>
            </w:r>
          </w:p>
          <w:p w14:paraId="6B72FDBF"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22.</w:t>
            </w:r>
            <w:r w:rsidRPr="00494820">
              <w:rPr>
                <w:kern w:val="2"/>
                <w:sz w:val="16"/>
              </w:rPr>
              <w:tab/>
            </w:r>
            <w:r w:rsidRPr="00494820">
              <w:rPr>
                <w:i/>
                <w:iCs/>
                <w:kern w:val="2"/>
                <w:sz w:val="16"/>
              </w:rPr>
              <w:t>Lantania</w:t>
            </w:r>
            <w:r w:rsidRPr="00494820">
              <w:rPr>
                <w:kern w:val="2"/>
                <w:sz w:val="16"/>
              </w:rPr>
              <w:t xml:space="preserve"> spp. (all species)</w:t>
            </w:r>
          </w:p>
          <w:p w14:paraId="357D7C01"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23.</w:t>
            </w:r>
            <w:r w:rsidRPr="00494820">
              <w:rPr>
                <w:kern w:val="2"/>
                <w:sz w:val="16"/>
              </w:rPr>
              <w:tab/>
            </w:r>
            <w:r w:rsidRPr="00494820">
              <w:rPr>
                <w:i/>
                <w:iCs/>
                <w:kern w:val="2"/>
                <w:sz w:val="16"/>
              </w:rPr>
              <w:t>Livistona chinensis</w:t>
            </w:r>
            <w:r w:rsidRPr="00494820">
              <w:rPr>
                <w:kern w:val="2"/>
                <w:sz w:val="16"/>
              </w:rPr>
              <w:t xml:space="preserve"> (N.J. Jacquin) R. Br. ex Mart. (Chinese fan palm)</w:t>
            </w:r>
          </w:p>
          <w:p w14:paraId="2A0AF055" w14:textId="77777777"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24.</w:t>
            </w:r>
            <w:r w:rsidRPr="00494820">
              <w:rPr>
                <w:kern w:val="2"/>
                <w:sz w:val="16"/>
              </w:rPr>
              <w:tab/>
            </w:r>
            <w:r w:rsidRPr="00494820">
              <w:rPr>
                <w:i/>
                <w:iCs/>
                <w:kern w:val="2"/>
                <w:sz w:val="16"/>
              </w:rPr>
              <w:t>Nannorrhops ritchiana</w:t>
            </w:r>
            <w:r w:rsidRPr="00494820">
              <w:rPr>
                <w:kern w:val="2"/>
                <w:sz w:val="16"/>
              </w:rPr>
              <w:t xml:space="preserve"> (W. Griffith) J. E. T. Aitchison (Mazari palm)</w:t>
            </w:r>
          </w:p>
          <w:p w14:paraId="00B2A8AD" w14:textId="77777777"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25.</w:t>
            </w:r>
            <w:r w:rsidRPr="00494820">
              <w:rPr>
                <w:kern w:val="2"/>
                <w:sz w:val="16"/>
              </w:rPr>
              <w:tab/>
            </w:r>
            <w:r w:rsidRPr="00494820">
              <w:rPr>
                <w:i/>
                <w:iCs/>
                <w:kern w:val="2"/>
                <w:sz w:val="16"/>
              </w:rPr>
              <w:t>Neodypsis decaryi</w:t>
            </w:r>
            <w:r w:rsidRPr="00494820">
              <w:rPr>
                <w:kern w:val="2"/>
                <w:sz w:val="16"/>
              </w:rPr>
              <w:t xml:space="preserve"> Jumelle (Triangle palm).</w:t>
            </w:r>
          </w:p>
        </w:tc>
      </w:tr>
      <w:tr w:rsidR="00F10C9B" w:rsidRPr="00CF11DB" w14:paraId="3303042A" w14:textId="77777777" w:rsidTr="000D7851">
        <w:trPr>
          <w:trHeight w:val="192"/>
          <w:jc w:val="center"/>
        </w:trPr>
        <w:tc>
          <w:tcPr>
            <w:tcW w:w="2977" w:type="dxa"/>
          </w:tcPr>
          <w:p w14:paraId="7DE48D2F" w14:textId="77777777" w:rsidR="00F10C9B" w:rsidRPr="00CF11DB" w:rsidRDefault="00F10C9B"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494820">
              <w:rPr>
                <w:kern w:val="2"/>
                <w:sz w:val="16"/>
              </w:rPr>
              <w:t>F.</w:t>
            </w:r>
            <w:r w:rsidRPr="00494820">
              <w:rPr>
                <w:kern w:val="2"/>
                <w:sz w:val="16"/>
              </w:rPr>
              <w:tab/>
              <w:t>Sweet potato mosaic</w:t>
            </w:r>
          </w:p>
        </w:tc>
        <w:tc>
          <w:tcPr>
            <w:tcW w:w="6828" w:type="dxa"/>
          </w:tcPr>
          <w:p w14:paraId="44094759" w14:textId="77777777"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Sweet potato tubers, plants, vines, cuttings, draws and slips; morning glory plants.</w:t>
            </w:r>
          </w:p>
        </w:tc>
      </w:tr>
      <w:tr w:rsidR="00D61A63" w:rsidRPr="00CF11DB" w14:paraId="4A801BCB" w14:textId="77777777" w:rsidTr="000D7851">
        <w:trPr>
          <w:trHeight w:val="381"/>
          <w:jc w:val="center"/>
        </w:trPr>
        <w:tc>
          <w:tcPr>
            <w:tcW w:w="2977" w:type="dxa"/>
          </w:tcPr>
          <w:p w14:paraId="15C38924" w14:textId="77777777" w:rsidR="00D61A63" w:rsidRPr="00CF11DB" w:rsidRDefault="00D61A63"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E9052B">
              <w:rPr>
                <w:kern w:val="2"/>
                <w:sz w:val="16"/>
              </w:rPr>
              <w:t>G.</w:t>
            </w:r>
            <w:r w:rsidRPr="00E9052B">
              <w:rPr>
                <w:kern w:val="2"/>
                <w:sz w:val="16"/>
              </w:rPr>
              <w:tab/>
              <w:t>T</w:t>
            </w:r>
            <w:r w:rsidR="00E9052B">
              <w:rPr>
                <w:kern w:val="2"/>
                <w:sz w:val="16"/>
              </w:rPr>
              <w:t xml:space="preserve">risteza, xyloporosis, psorosis, </w:t>
            </w:r>
            <w:r w:rsidRPr="00E9052B">
              <w:rPr>
                <w:kern w:val="2"/>
                <w:sz w:val="16"/>
              </w:rPr>
              <w:t>exocortis</w:t>
            </w:r>
          </w:p>
        </w:tc>
        <w:tc>
          <w:tcPr>
            <w:tcW w:w="6828" w:type="dxa"/>
            <w:vAlign w:val="bottom"/>
          </w:tcPr>
          <w:p w14:paraId="0970E14E" w14:textId="77777777" w:rsidR="00D61A63" w:rsidRPr="00CF11DB" w:rsidRDefault="00D61A63" w:rsidP="00E90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Citrus nursery stock, scions and budwood.</w:t>
            </w:r>
          </w:p>
        </w:tc>
      </w:tr>
      <w:tr w:rsidR="00D61A63" w:rsidRPr="00CF11DB" w14:paraId="2704F928" w14:textId="77777777" w:rsidTr="000D7851">
        <w:trPr>
          <w:trHeight w:val="111"/>
          <w:jc w:val="center"/>
        </w:trPr>
        <w:tc>
          <w:tcPr>
            <w:tcW w:w="2977" w:type="dxa"/>
          </w:tcPr>
          <w:p w14:paraId="2FB705E7" w14:textId="77777777" w:rsidR="00D61A63" w:rsidRPr="00494820" w:rsidRDefault="00D61A63"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lastRenderedPageBreak/>
              <w:t>H.</w:t>
            </w:r>
            <w:r w:rsidRPr="00494820">
              <w:rPr>
                <w:kern w:val="2"/>
                <w:sz w:val="16"/>
              </w:rPr>
              <w:tab/>
              <w:t>Burrowing nematode</w:t>
            </w:r>
          </w:p>
          <w:p w14:paraId="1B6A2984" w14:textId="77777777" w:rsidR="00D61A63" w:rsidRPr="00CF11DB" w:rsidRDefault="006B1A66"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D61A63" w:rsidRPr="00494820">
              <w:rPr>
                <w:i/>
                <w:iCs/>
                <w:kern w:val="2"/>
                <w:sz w:val="16"/>
              </w:rPr>
              <w:t>Radopholus similes</w:t>
            </w:r>
          </w:p>
        </w:tc>
        <w:tc>
          <w:tcPr>
            <w:tcW w:w="6828" w:type="dxa"/>
          </w:tcPr>
          <w:p w14:paraId="52C76214"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494820">
              <w:rPr>
                <w:kern w:val="2"/>
                <w:sz w:val="16"/>
              </w:rPr>
              <w:t>All plants with roots; all earth; all sand; and all parts of plants produced below soil level</w:t>
            </w:r>
          </w:p>
          <w:p w14:paraId="460A6ACA"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jc w:val="both"/>
              <w:rPr>
                <w:kern w:val="2"/>
                <w:sz w:val="16"/>
              </w:rPr>
            </w:pPr>
            <w:r w:rsidRPr="00494820">
              <w:rPr>
                <w:kern w:val="2"/>
                <w:sz w:val="16"/>
              </w:rPr>
              <w:t>Exceptions:</w:t>
            </w:r>
          </w:p>
          <w:p w14:paraId="18AF92D7"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w:t>
            </w:r>
            <w:r w:rsidRPr="00494820">
              <w:rPr>
                <w:kern w:val="2"/>
                <w:sz w:val="16"/>
              </w:rPr>
              <w:tab/>
              <w:t>aquatic plants if free from soil;</w:t>
            </w:r>
          </w:p>
          <w:p w14:paraId="22A0F236"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w:t>
            </w:r>
            <w:r w:rsidRPr="00494820">
              <w:rPr>
                <w:kern w:val="2"/>
                <w:sz w:val="16"/>
              </w:rPr>
              <w:tab/>
              <w:t>air plants, including certain orchids, grown in soil-free media;</w:t>
            </w:r>
          </w:p>
          <w:p w14:paraId="1378CCA0"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rPr>
                <w:kern w:val="2"/>
                <w:sz w:val="16"/>
              </w:rPr>
            </w:pPr>
            <w:r w:rsidRPr="00494820">
              <w:rPr>
                <w:kern w:val="2"/>
                <w:sz w:val="16"/>
              </w:rPr>
              <w:t>3.</w:t>
            </w:r>
            <w:r w:rsidRPr="00494820">
              <w:rPr>
                <w:kern w:val="2"/>
                <w:sz w:val="16"/>
              </w:rPr>
              <w:tab/>
              <w:t>air layered plants if roots are still established in the original soil-free moss wrappings;</w:t>
            </w:r>
          </w:p>
          <w:p w14:paraId="1C4EC2C9"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4.</w:t>
            </w:r>
            <w:r w:rsidRPr="00494820">
              <w:rPr>
                <w:kern w:val="2"/>
                <w:sz w:val="16"/>
              </w:rPr>
              <w:tab/>
              <w:t>dormant bulbs and corms if free from roots and soil;</w:t>
            </w:r>
          </w:p>
          <w:p w14:paraId="14935664" w14:textId="77777777"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jc w:val="both"/>
              <w:rPr>
                <w:kern w:val="2"/>
                <w:sz w:val="16"/>
              </w:rPr>
            </w:pPr>
            <w:r w:rsidRPr="00494820">
              <w:rPr>
                <w:kern w:val="2"/>
                <w:sz w:val="16"/>
              </w:rPr>
              <w:t>5.</w:t>
            </w:r>
            <w:r w:rsidRPr="00494820">
              <w:rPr>
                <w:kern w:val="2"/>
                <w:sz w:val="16"/>
              </w:rPr>
              <w:tab/>
              <w:t>fleshy, roots, corms, tubers and rhizomes for edible or medicinal purposes if washed or otherwise freed of soil; and</w:t>
            </w:r>
          </w:p>
          <w:p w14:paraId="7365E4BC" w14:textId="77777777" w:rsidR="00D61A63" w:rsidRPr="00CF11DB"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6.</w:t>
            </w:r>
            <w:r w:rsidRPr="00494820">
              <w:rPr>
                <w:kern w:val="2"/>
                <w:sz w:val="16"/>
              </w:rPr>
              <w:tab/>
              <w:t>industrial sand and clay.</w:t>
            </w:r>
          </w:p>
        </w:tc>
      </w:tr>
      <w:tr w:rsidR="00D61A63" w:rsidRPr="00CF11DB" w14:paraId="4857153D" w14:textId="77777777" w:rsidTr="000D7851">
        <w:trPr>
          <w:trHeight w:val="561"/>
          <w:jc w:val="center"/>
        </w:trPr>
        <w:tc>
          <w:tcPr>
            <w:tcW w:w="2977" w:type="dxa"/>
          </w:tcPr>
          <w:p w14:paraId="04D74CED" w14:textId="77777777" w:rsidR="00D61A63" w:rsidRPr="00494820" w:rsidRDefault="00D61A63"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I.</w:t>
            </w:r>
            <w:r w:rsidRPr="00494820">
              <w:rPr>
                <w:kern w:val="2"/>
                <w:sz w:val="16"/>
              </w:rPr>
              <w:tab/>
              <w:t>Oak wilt</w:t>
            </w:r>
          </w:p>
          <w:p w14:paraId="52AEC7F5" w14:textId="77777777" w:rsidR="00D61A63" w:rsidRPr="00CF11DB" w:rsidRDefault="006B1A66"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D61A63" w:rsidRPr="00494820">
              <w:rPr>
                <w:i/>
                <w:iCs/>
                <w:kern w:val="2"/>
                <w:sz w:val="16"/>
              </w:rPr>
              <w:t>Ceratocystis fagacearum</w:t>
            </w:r>
          </w:p>
        </w:tc>
        <w:tc>
          <w:tcPr>
            <w:tcW w:w="6828" w:type="dxa"/>
          </w:tcPr>
          <w:p w14:paraId="1639F41F" w14:textId="77777777" w:rsidR="00D61A63" w:rsidRPr="00CF11DB" w:rsidRDefault="00D61A63"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Rooted trees, seedlings and\or propagative parts of oak (</w:t>
            </w:r>
            <w:r w:rsidRPr="00494820">
              <w:rPr>
                <w:i/>
                <w:iCs/>
                <w:kern w:val="2"/>
                <w:sz w:val="16"/>
              </w:rPr>
              <w:t>Quercus</w:t>
            </w:r>
            <w:r w:rsidRPr="00494820">
              <w:rPr>
                <w:kern w:val="2"/>
                <w:sz w:val="16"/>
              </w:rPr>
              <w:t xml:space="preserve"> spp.), Chinese chestnuts (</w:t>
            </w:r>
            <w:r w:rsidRPr="00494820">
              <w:rPr>
                <w:i/>
                <w:iCs/>
                <w:kern w:val="2"/>
                <w:sz w:val="16"/>
              </w:rPr>
              <w:t>Castanea mollissima</w:t>
            </w:r>
            <w:r w:rsidRPr="00494820">
              <w:rPr>
                <w:kern w:val="2"/>
                <w:sz w:val="16"/>
              </w:rPr>
              <w:t>), tanoak (</w:t>
            </w:r>
            <w:r w:rsidRPr="00494820">
              <w:rPr>
                <w:i/>
                <w:iCs/>
                <w:kern w:val="2"/>
                <w:sz w:val="16"/>
              </w:rPr>
              <w:t>Lithocarpus deniflorus</w:t>
            </w:r>
            <w:r w:rsidRPr="00494820">
              <w:rPr>
                <w:kern w:val="2"/>
                <w:sz w:val="16"/>
              </w:rPr>
              <w:t>) and bush chinquapin (</w:t>
            </w:r>
            <w:r w:rsidRPr="00494820">
              <w:rPr>
                <w:i/>
                <w:iCs/>
                <w:kern w:val="2"/>
                <w:sz w:val="16"/>
              </w:rPr>
              <w:t>Castanopsis sempervirens</w:t>
            </w:r>
            <w:r w:rsidRPr="00494820">
              <w:rPr>
                <w:kern w:val="2"/>
                <w:sz w:val="16"/>
              </w:rPr>
              <w:t>), but not including seeds thereof.</w:t>
            </w:r>
          </w:p>
        </w:tc>
      </w:tr>
      <w:tr w:rsidR="00D61A63" w:rsidRPr="00CF11DB" w14:paraId="17954599" w14:textId="77777777" w:rsidTr="000D7851">
        <w:trPr>
          <w:trHeight w:val="174"/>
          <w:jc w:val="center"/>
        </w:trPr>
        <w:tc>
          <w:tcPr>
            <w:tcW w:w="2977" w:type="dxa"/>
          </w:tcPr>
          <w:p w14:paraId="4FD6A60B" w14:textId="77777777" w:rsidR="00D61A63" w:rsidRPr="00CF11DB" w:rsidRDefault="00D61A63"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J.</w:t>
            </w:r>
            <w:r w:rsidRPr="00494820">
              <w:rPr>
                <w:kern w:val="2"/>
                <w:sz w:val="16"/>
              </w:rPr>
              <w:tab/>
              <w:t>Phony peach</w:t>
            </w:r>
          </w:p>
        </w:tc>
        <w:tc>
          <w:tcPr>
            <w:tcW w:w="6828" w:type="dxa"/>
          </w:tcPr>
          <w:p w14:paraId="78ACC883" w14:textId="77777777" w:rsidR="00D61A63" w:rsidRPr="00CF11DB" w:rsidRDefault="00D61A63"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All peach, plum, apricot, nectarine and almond stock.</w:t>
            </w:r>
          </w:p>
        </w:tc>
      </w:tr>
      <w:tr w:rsidR="00110BEC" w:rsidRPr="00CF11DB" w14:paraId="28E36E0B" w14:textId="77777777" w:rsidTr="000D7851">
        <w:trPr>
          <w:trHeight w:val="849"/>
          <w:jc w:val="center"/>
        </w:trPr>
        <w:tc>
          <w:tcPr>
            <w:tcW w:w="2977" w:type="dxa"/>
          </w:tcPr>
          <w:p w14:paraId="549BC9BC"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CF11DB">
              <w:rPr>
                <w:kern w:val="2"/>
                <w:sz w:val="16"/>
              </w:rPr>
              <w:t>K.</w:t>
            </w:r>
            <w:r w:rsidRPr="00CF11DB">
              <w:rPr>
                <w:kern w:val="2"/>
                <w:sz w:val="16"/>
              </w:rPr>
              <w:tab/>
              <w:t>Asian citrus psyllid</w:t>
            </w:r>
          </w:p>
          <w:p w14:paraId="77971240" w14:textId="77777777"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CF11DB">
              <w:rPr>
                <w:i/>
                <w:sz w:val="16"/>
                <w:szCs w:val="16"/>
              </w:rPr>
              <w:t>Diaphorina citri</w:t>
            </w:r>
          </w:p>
        </w:tc>
        <w:tc>
          <w:tcPr>
            <w:tcW w:w="6828" w:type="dxa"/>
          </w:tcPr>
          <w:p w14:paraId="79A42319" w14:textId="77777777"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F11DB">
              <w:rPr>
                <w:sz w:val="16"/>
                <w:szCs w:val="16"/>
              </w:rPr>
              <w:t xml:space="preserve">All plants and plant parts, including but not limited to nursery stock, cuttings, and budwood, </w:t>
            </w:r>
            <w:r w:rsidRPr="00CF11DB">
              <w:rPr>
                <w:bCs/>
                <w:sz w:val="16"/>
                <w:szCs w:val="16"/>
              </w:rPr>
              <w:t xml:space="preserve">except seed and fruit, </w:t>
            </w:r>
            <w:r w:rsidRPr="00CF11DB">
              <w:rPr>
                <w:sz w:val="16"/>
                <w:szCs w:val="16"/>
              </w:rPr>
              <w:t xml:space="preserve">of: </w:t>
            </w:r>
            <w:r w:rsidRPr="00CF11DB">
              <w:rPr>
                <w:i/>
                <w:iCs/>
                <w:sz w:val="16"/>
                <w:szCs w:val="16"/>
              </w:rPr>
              <w:t>Aegle marmelos</w:t>
            </w:r>
            <w:r w:rsidRPr="00CF11DB">
              <w:rPr>
                <w:sz w:val="16"/>
                <w:szCs w:val="16"/>
              </w:rPr>
              <w:t xml:space="preserve">, </w:t>
            </w:r>
            <w:r w:rsidRPr="00CF11DB">
              <w:rPr>
                <w:i/>
                <w:iCs/>
                <w:sz w:val="16"/>
                <w:szCs w:val="16"/>
              </w:rPr>
              <w:t>Aeglopsis chevalieri</w:t>
            </w:r>
            <w:r w:rsidRPr="00CF11DB">
              <w:rPr>
                <w:sz w:val="16"/>
                <w:szCs w:val="16"/>
              </w:rPr>
              <w:t xml:space="preserve">, </w:t>
            </w:r>
            <w:r w:rsidRPr="00CF11DB">
              <w:rPr>
                <w:i/>
                <w:iCs/>
                <w:sz w:val="16"/>
                <w:szCs w:val="16"/>
              </w:rPr>
              <w:t>Afraegle gabonensis</w:t>
            </w:r>
            <w:r w:rsidRPr="00CF11DB">
              <w:rPr>
                <w:sz w:val="16"/>
                <w:szCs w:val="16"/>
              </w:rPr>
              <w:t xml:space="preserve">, </w:t>
            </w:r>
            <w:r w:rsidRPr="00CF11DB">
              <w:rPr>
                <w:i/>
                <w:iCs/>
                <w:sz w:val="16"/>
                <w:szCs w:val="16"/>
              </w:rPr>
              <w:t>Afraegle</w:t>
            </w:r>
            <w:r w:rsidRPr="00CF11DB">
              <w:rPr>
                <w:i/>
                <w:sz w:val="16"/>
                <w:szCs w:val="16"/>
              </w:rPr>
              <w:t xml:space="preserve"> </w:t>
            </w:r>
            <w:r w:rsidRPr="00CF11DB">
              <w:rPr>
                <w:i/>
                <w:iCs/>
                <w:sz w:val="16"/>
                <w:szCs w:val="16"/>
              </w:rPr>
              <w:t>paniculata</w:t>
            </w:r>
            <w:r w:rsidRPr="00CF11DB">
              <w:rPr>
                <w:sz w:val="16"/>
                <w:szCs w:val="16"/>
              </w:rPr>
              <w:t xml:space="preserve">, </w:t>
            </w:r>
            <w:r w:rsidRPr="00CF11DB">
              <w:rPr>
                <w:i/>
                <w:iCs/>
                <w:sz w:val="16"/>
                <w:szCs w:val="16"/>
              </w:rPr>
              <w:t>Amyris madrensis</w:t>
            </w:r>
            <w:r w:rsidRPr="00CF11DB">
              <w:rPr>
                <w:sz w:val="16"/>
                <w:szCs w:val="16"/>
              </w:rPr>
              <w:t xml:space="preserve">, </w:t>
            </w:r>
            <w:r w:rsidRPr="00CF11DB">
              <w:rPr>
                <w:i/>
                <w:iCs/>
                <w:sz w:val="16"/>
                <w:szCs w:val="16"/>
              </w:rPr>
              <w:t>Atalantia</w:t>
            </w:r>
            <w:r w:rsidRPr="00CF11DB">
              <w:rPr>
                <w:sz w:val="16"/>
                <w:szCs w:val="16"/>
              </w:rPr>
              <w:t xml:space="preserve"> spp. (including </w:t>
            </w:r>
            <w:r w:rsidRPr="00CF11DB">
              <w:rPr>
                <w:i/>
                <w:iCs/>
                <w:sz w:val="16"/>
                <w:szCs w:val="16"/>
              </w:rPr>
              <w:t>Atalantia monophylla</w:t>
            </w:r>
            <w:r w:rsidRPr="00CF11DB">
              <w:rPr>
                <w:sz w:val="16"/>
                <w:szCs w:val="16"/>
              </w:rPr>
              <w:t xml:space="preserve">), </w:t>
            </w:r>
            <w:r w:rsidRPr="00CF11DB">
              <w:rPr>
                <w:i/>
                <w:iCs/>
                <w:sz w:val="16"/>
                <w:szCs w:val="16"/>
              </w:rPr>
              <w:t>Balsamocitrus dawei</w:t>
            </w:r>
            <w:r w:rsidRPr="00CF11DB">
              <w:rPr>
                <w:sz w:val="16"/>
                <w:szCs w:val="16"/>
              </w:rPr>
              <w:t xml:space="preserve">, </w:t>
            </w:r>
            <w:r w:rsidRPr="00CF11DB">
              <w:rPr>
                <w:i/>
                <w:iCs/>
                <w:sz w:val="16"/>
                <w:szCs w:val="16"/>
              </w:rPr>
              <w:t>Bergera</w:t>
            </w:r>
            <w:r w:rsidRPr="00CF11DB">
              <w:rPr>
                <w:i/>
                <w:sz w:val="16"/>
                <w:szCs w:val="16"/>
              </w:rPr>
              <w:t xml:space="preserve"> </w:t>
            </w:r>
            <w:r w:rsidRPr="00CF11DB">
              <w:rPr>
                <w:sz w:val="16"/>
                <w:szCs w:val="16"/>
              </w:rPr>
              <w:t>(=</w:t>
            </w:r>
            <w:r w:rsidRPr="00CF11DB">
              <w:rPr>
                <w:i/>
                <w:iCs/>
                <w:sz w:val="16"/>
                <w:szCs w:val="16"/>
              </w:rPr>
              <w:t>Murraya</w:t>
            </w:r>
            <w:r w:rsidRPr="00CF11DB">
              <w:rPr>
                <w:sz w:val="16"/>
                <w:szCs w:val="16"/>
              </w:rPr>
              <w:t xml:space="preserve">) </w:t>
            </w:r>
            <w:r w:rsidRPr="00CF11DB">
              <w:rPr>
                <w:i/>
                <w:iCs/>
                <w:sz w:val="16"/>
                <w:szCs w:val="16"/>
              </w:rPr>
              <w:t>koenigii</w:t>
            </w:r>
            <w:r w:rsidRPr="00CF11DB">
              <w:rPr>
                <w:sz w:val="16"/>
                <w:szCs w:val="16"/>
              </w:rPr>
              <w:t xml:space="preserve">, </w:t>
            </w:r>
            <w:r w:rsidRPr="00CF11DB">
              <w:rPr>
                <w:i/>
                <w:iCs/>
                <w:sz w:val="16"/>
                <w:szCs w:val="16"/>
              </w:rPr>
              <w:t>Calodendrum capense</w:t>
            </w:r>
            <w:r w:rsidRPr="00CF11DB">
              <w:rPr>
                <w:sz w:val="16"/>
                <w:szCs w:val="16"/>
              </w:rPr>
              <w:t xml:space="preserve">, </w:t>
            </w:r>
            <w:r w:rsidRPr="00CF11DB">
              <w:rPr>
                <w:i/>
                <w:iCs/>
                <w:sz w:val="16"/>
                <w:szCs w:val="16"/>
              </w:rPr>
              <w:t>Choisya ternata</w:t>
            </w:r>
            <w:r w:rsidRPr="00CF11DB">
              <w:rPr>
                <w:sz w:val="16"/>
                <w:szCs w:val="16"/>
              </w:rPr>
              <w:t xml:space="preserve">, </w:t>
            </w:r>
            <w:r w:rsidRPr="00CF11DB">
              <w:rPr>
                <w:i/>
                <w:iCs/>
                <w:sz w:val="16"/>
                <w:szCs w:val="16"/>
              </w:rPr>
              <w:t>Choisya</w:t>
            </w:r>
            <w:r w:rsidRPr="00CF11DB">
              <w:rPr>
                <w:i/>
                <w:sz w:val="16"/>
                <w:szCs w:val="16"/>
              </w:rPr>
              <w:t xml:space="preserve"> </w:t>
            </w:r>
            <w:r w:rsidRPr="00CF11DB">
              <w:rPr>
                <w:i/>
                <w:iCs/>
                <w:sz w:val="16"/>
                <w:szCs w:val="16"/>
              </w:rPr>
              <w:t>arizonica</w:t>
            </w:r>
            <w:r w:rsidRPr="00CF11DB">
              <w:rPr>
                <w:sz w:val="16"/>
                <w:szCs w:val="16"/>
              </w:rPr>
              <w:t xml:space="preserve">, X </w:t>
            </w:r>
            <w:r w:rsidRPr="00CF11DB">
              <w:rPr>
                <w:i/>
                <w:iCs/>
                <w:sz w:val="16"/>
                <w:szCs w:val="16"/>
              </w:rPr>
              <w:t>Citroncirus webberi</w:t>
            </w:r>
            <w:r w:rsidRPr="00CF11DB">
              <w:rPr>
                <w:sz w:val="16"/>
                <w:szCs w:val="16"/>
              </w:rPr>
              <w:t xml:space="preserve">, </w:t>
            </w:r>
            <w:r w:rsidRPr="00CF11DB">
              <w:rPr>
                <w:i/>
                <w:iCs/>
                <w:sz w:val="16"/>
                <w:szCs w:val="16"/>
              </w:rPr>
              <w:t>Citropsis articulata</w:t>
            </w:r>
            <w:r w:rsidRPr="00CF11DB">
              <w:rPr>
                <w:sz w:val="16"/>
                <w:szCs w:val="16"/>
              </w:rPr>
              <w:t xml:space="preserve">, </w:t>
            </w:r>
            <w:r w:rsidRPr="00CF11DB">
              <w:rPr>
                <w:i/>
                <w:iCs/>
                <w:sz w:val="16"/>
                <w:szCs w:val="16"/>
              </w:rPr>
              <w:t>Citropsis gilletiana</w:t>
            </w:r>
            <w:r w:rsidRPr="00CF11DB">
              <w:rPr>
                <w:sz w:val="16"/>
                <w:szCs w:val="16"/>
              </w:rPr>
              <w:t xml:space="preserve">, </w:t>
            </w:r>
            <w:r w:rsidRPr="00CF11DB">
              <w:rPr>
                <w:i/>
                <w:iCs/>
                <w:sz w:val="16"/>
                <w:szCs w:val="16"/>
              </w:rPr>
              <w:t>Citrus madurensis</w:t>
            </w:r>
            <w:r w:rsidRPr="00CF11DB">
              <w:rPr>
                <w:sz w:val="16"/>
                <w:szCs w:val="16"/>
              </w:rPr>
              <w:t xml:space="preserve"> (= X </w:t>
            </w:r>
            <w:r w:rsidRPr="00CF11DB">
              <w:rPr>
                <w:i/>
                <w:iCs/>
                <w:sz w:val="16"/>
                <w:szCs w:val="16"/>
              </w:rPr>
              <w:t>Citrofortunella microcarpa</w:t>
            </w:r>
            <w:r w:rsidRPr="00CF11DB">
              <w:rPr>
                <w:sz w:val="16"/>
                <w:szCs w:val="16"/>
              </w:rPr>
              <w:t xml:space="preserve">), </w:t>
            </w:r>
            <w:r w:rsidRPr="00CF11DB">
              <w:rPr>
                <w:i/>
                <w:iCs/>
                <w:sz w:val="16"/>
                <w:szCs w:val="16"/>
              </w:rPr>
              <w:t>Citrus</w:t>
            </w:r>
            <w:r w:rsidRPr="00CF11DB">
              <w:rPr>
                <w:sz w:val="16"/>
                <w:szCs w:val="16"/>
              </w:rPr>
              <w:t xml:space="preserve"> spp., </w:t>
            </w:r>
            <w:r w:rsidRPr="00CF11DB">
              <w:rPr>
                <w:i/>
                <w:iCs/>
                <w:sz w:val="16"/>
                <w:szCs w:val="16"/>
              </w:rPr>
              <w:t>Clausena anisum-olens</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excavata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indica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lansium</w:t>
            </w:r>
            <w:r w:rsidRPr="00CF11DB">
              <w:rPr>
                <w:sz w:val="16"/>
                <w:szCs w:val="16"/>
              </w:rPr>
              <w:t xml:space="preserve">, </w:t>
            </w:r>
            <w:r w:rsidRPr="00CF11DB">
              <w:rPr>
                <w:i/>
                <w:iCs/>
                <w:sz w:val="16"/>
                <w:szCs w:val="16"/>
              </w:rPr>
              <w:t>Eremocitrus glauca</w:t>
            </w:r>
            <w:r w:rsidRPr="00CF11DB">
              <w:rPr>
                <w:sz w:val="16"/>
                <w:szCs w:val="16"/>
              </w:rPr>
              <w:t xml:space="preserve">, </w:t>
            </w:r>
            <w:r w:rsidRPr="00CF11DB">
              <w:rPr>
                <w:i/>
                <w:iCs/>
                <w:sz w:val="16"/>
                <w:szCs w:val="16"/>
              </w:rPr>
              <w:t>Eremocitrus</w:t>
            </w:r>
            <w:r w:rsidRPr="00CF11DB">
              <w:rPr>
                <w:sz w:val="16"/>
                <w:szCs w:val="16"/>
              </w:rPr>
              <w:t xml:space="preserve"> hybrid, </w:t>
            </w:r>
            <w:r w:rsidRPr="00CF11DB">
              <w:rPr>
                <w:i/>
                <w:iCs/>
                <w:sz w:val="16"/>
                <w:szCs w:val="16"/>
              </w:rPr>
              <w:t>Esenbeckia berlandieri</w:t>
            </w:r>
            <w:r w:rsidRPr="00CF11DB">
              <w:rPr>
                <w:sz w:val="16"/>
                <w:szCs w:val="16"/>
              </w:rPr>
              <w:t xml:space="preserve">, </w:t>
            </w:r>
            <w:r w:rsidRPr="00CF11DB">
              <w:rPr>
                <w:i/>
                <w:iCs/>
                <w:sz w:val="16"/>
                <w:szCs w:val="16"/>
              </w:rPr>
              <w:t>Fortunella</w:t>
            </w:r>
            <w:r w:rsidRPr="00CF11DB">
              <w:rPr>
                <w:sz w:val="16"/>
                <w:szCs w:val="16"/>
              </w:rPr>
              <w:t xml:space="preserve"> spp., </w:t>
            </w:r>
            <w:r w:rsidRPr="00CF11DB">
              <w:rPr>
                <w:i/>
                <w:iCs/>
                <w:sz w:val="16"/>
                <w:szCs w:val="16"/>
              </w:rPr>
              <w:t>Limonia acidissima</w:t>
            </w:r>
            <w:r w:rsidRPr="00CF11DB">
              <w:rPr>
                <w:sz w:val="16"/>
                <w:szCs w:val="16"/>
              </w:rPr>
              <w:t xml:space="preserve">, </w:t>
            </w:r>
            <w:r w:rsidRPr="00CF11DB">
              <w:rPr>
                <w:i/>
                <w:iCs/>
                <w:sz w:val="16"/>
                <w:szCs w:val="16"/>
              </w:rPr>
              <w:t>Merrillia caloxylon</w:t>
            </w:r>
            <w:r w:rsidRPr="00CF11DB">
              <w:rPr>
                <w:sz w:val="16"/>
                <w:szCs w:val="16"/>
              </w:rPr>
              <w:t xml:space="preserve">, </w:t>
            </w:r>
            <w:r w:rsidRPr="00CF11DB">
              <w:rPr>
                <w:i/>
                <w:iCs/>
                <w:sz w:val="16"/>
                <w:szCs w:val="16"/>
              </w:rPr>
              <w:t>Microcitrus australasica</w:t>
            </w:r>
            <w:r w:rsidRPr="00CF11DB">
              <w:rPr>
                <w:iCs/>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australis</w:t>
            </w:r>
            <w:r w:rsidRPr="00CF11DB">
              <w:rPr>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papuana</w:t>
            </w:r>
            <w:r w:rsidRPr="00CF11DB">
              <w:rPr>
                <w:iCs/>
                <w:sz w:val="16"/>
                <w:szCs w:val="16"/>
              </w:rPr>
              <w:t>,</w:t>
            </w:r>
            <w:r w:rsidRPr="00CF11DB">
              <w:rPr>
                <w:sz w:val="16"/>
                <w:szCs w:val="16"/>
              </w:rPr>
              <w:t xml:space="preserve"> X </w:t>
            </w:r>
            <w:r w:rsidRPr="00CF11DB">
              <w:rPr>
                <w:i/>
                <w:iCs/>
                <w:sz w:val="16"/>
                <w:szCs w:val="16"/>
              </w:rPr>
              <w:t>Microcitronella</w:t>
            </w:r>
            <w:r w:rsidRPr="00CF11DB">
              <w:rPr>
                <w:sz w:val="16"/>
                <w:szCs w:val="16"/>
              </w:rPr>
              <w:t xml:space="preserve"> spp., </w:t>
            </w:r>
            <w:r w:rsidRPr="00CF11DB">
              <w:rPr>
                <w:i/>
                <w:iCs/>
                <w:sz w:val="16"/>
                <w:szCs w:val="16"/>
              </w:rPr>
              <w:t>Murraya</w:t>
            </w:r>
            <w:r w:rsidRPr="00CF11DB">
              <w:rPr>
                <w:sz w:val="16"/>
                <w:szCs w:val="16"/>
              </w:rPr>
              <w:t xml:space="preserve"> spp., </w:t>
            </w:r>
            <w:r w:rsidRPr="00CF11DB">
              <w:rPr>
                <w:i/>
                <w:iCs/>
                <w:sz w:val="16"/>
                <w:szCs w:val="16"/>
              </w:rPr>
              <w:t>Naringi crenulata</w:t>
            </w:r>
            <w:r w:rsidRPr="00CF11DB">
              <w:rPr>
                <w:sz w:val="16"/>
                <w:szCs w:val="16"/>
              </w:rPr>
              <w:t xml:space="preserve">, </w:t>
            </w:r>
            <w:r w:rsidRPr="00CF11DB">
              <w:rPr>
                <w:i/>
                <w:iCs/>
                <w:sz w:val="16"/>
                <w:szCs w:val="16"/>
              </w:rPr>
              <w:t>Pamburus missionis</w:t>
            </w:r>
            <w:r w:rsidRPr="00CF11DB">
              <w:rPr>
                <w:sz w:val="16"/>
                <w:szCs w:val="16"/>
              </w:rPr>
              <w:t xml:space="preserve">, </w:t>
            </w:r>
            <w:r w:rsidRPr="00CF11DB">
              <w:rPr>
                <w:i/>
                <w:iCs/>
                <w:sz w:val="16"/>
                <w:szCs w:val="16"/>
              </w:rPr>
              <w:t>Poncirus trifoliata</w:t>
            </w:r>
            <w:r w:rsidRPr="00CF11DB">
              <w:rPr>
                <w:sz w:val="16"/>
                <w:szCs w:val="16"/>
              </w:rPr>
              <w:t xml:space="preserve">, </w:t>
            </w:r>
            <w:r w:rsidRPr="00CF11DB">
              <w:rPr>
                <w:i/>
                <w:iCs/>
                <w:sz w:val="16"/>
                <w:szCs w:val="16"/>
              </w:rPr>
              <w:t>Severinia buxifolia</w:t>
            </w:r>
            <w:r w:rsidRPr="00CF11DB">
              <w:rPr>
                <w:sz w:val="16"/>
                <w:szCs w:val="16"/>
              </w:rPr>
              <w:t xml:space="preserve">, </w:t>
            </w:r>
            <w:r w:rsidRPr="00CF11DB">
              <w:rPr>
                <w:i/>
                <w:iCs/>
                <w:sz w:val="16"/>
                <w:szCs w:val="16"/>
              </w:rPr>
              <w:t>Swinglea glutinosa</w:t>
            </w:r>
            <w:r w:rsidRPr="00CF11DB">
              <w:rPr>
                <w:sz w:val="16"/>
                <w:szCs w:val="16"/>
              </w:rPr>
              <w:t xml:space="preserve">, </w:t>
            </w:r>
            <w:r w:rsidRPr="00CF11DB">
              <w:rPr>
                <w:i/>
                <w:iCs/>
                <w:sz w:val="16"/>
                <w:szCs w:val="16"/>
              </w:rPr>
              <w:t>Tetradium ruticarpum</w:t>
            </w:r>
            <w:r w:rsidRPr="00CF11DB">
              <w:rPr>
                <w:sz w:val="16"/>
                <w:szCs w:val="16"/>
              </w:rPr>
              <w:t xml:space="preserve">, </w:t>
            </w:r>
            <w:r w:rsidRPr="00CF11DB">
              <w:rPr>
                <w:i/>
                <w:iCs/>
                <w:sz w:val="16"/>
                <w:szCs w:val="16"/>
              </w:rPr>
              <w:t>Toddalia asiatica</w:t>
            </w:r>
            <w:r w:rsidRPr="00CF11DB">
              <w:rPr>
                <w:sz w:val="16"/>
                <w:szCs w:val="16"/>
              </w:rPr>
              <w:t xml:space="preserve">, </w:t>
            </w:r>
            <w:r w:rsidRPr="00CF11DB">
              <w:rPr>
                <w:i/>
                <w:iCs/>
                <w:sz w:val="16"/>
                <w:szCs w:val="16"/>
              </w:rPr>
              <w:t>Triphasia trifolia</w:t>
            </w:r>
            <w:r w:rsidRPr="00CF11DB">
              <w:rPr>
                <w:sz w:val="16"/>
                <w:szCs w:val="16"/>
              </w:rPr>
              <w:t xml:space="preserve">, </w:t>
            </w:r>
            <w:r w:rsidRPr="00CF11DB">
              <w:rPr>
                <w:i/>
                <w:iCs/>
                <w:sz w:val="16"/>
                <w:szCs w:val="16"/>
              </w:rPr>
              <w:t>Vepris</w:t>
            </w:r>
            <w:r w:rsidRPr="00CF11DB">
              <w:rPr>
                <w:i/>
                <w:sz w:val="16"/>
                <w:szCs w:val="16"/>
              </w:rPr>
              <w:t xml:space="preserve"> </w:t>
            </w:r>
            <w:r w:rsidRPr="00CF11DB">
              <w:rPr>
                <w:sz w:val="16"/>
                <w:szCs w:val="16"/>
              </w:rPr>
              <w:t>(=</w:t>
            </w:r>
            <w:r w:rsidRPr="00CF11DB">
              <w:rPr>
                <w:i/>
                <w:iCs/>
                <w:sz w:val="16"/>
                <w:szCs w:val="16"/>
              </w:rPr>
              <w:t>Toddalia</w:t>
            </w:r>
            <w:r w:rsidRPr="00CF11DB">
              <w:rPr>
                <w:sz w:val="16"/>
                <w:szCs w:val="16"/>
              </w:rPr>
              <w:t xml:space="preserve">) </w:t>
            </w:r>
            <w:r w:rsidRPr="00CF11DB">
              <w:rPr>
                <w:i/>
                <w:iCs/>
                <w:sz w:val="16"/>
                <w:szCs w:val="16"/>
              </w:rPr>
              <w:t>lanceolata</w:t>
            </w:r>
            <w:r w:rsidRPr="00CF11DB">
              <w:rPr>
                <w:sz w:val="16"/>
                <w:szCs w:val="16"/>
              </w:rPr>
              <w:t xml:space="preserve">, and </w:t>
            </w:r>
            <w:r w:rsidRPr="00CF11DB">
              <w:rPr>
                <w:i/>
                <w:iCs/>
                <w:sz w:val="16"/>
                <w:szCs w:val="16"/>
              </w:rPr>
              <w:t>Zanthoxylum fagara</w:t>
            </w:r>
            <w:r w:rsidRPr="00CF11DB">
              <w:rPr>
                <w:sz w:val="16"/>
                <w:szCs w:val="16"/>
              </w:rPr>
              <w:t>.</w:t>
            </w:r>
          </w:p>
        </w:tc>
      </w:tr>
      <w:tr w:rsidR="00110BEC" w:rsidRPr="00CF11DB" w14:paraId="766F04E8" w14:textId="77777777" w:rsidTr="000D7851">
        <w:trPr>
          <w:cantSplit/>
          <w:trHeight w:val="849"/>
          <w:jc w:val="center"/>
        </w:trPr>
        <w:tc>
          <w:tcPr>
            <w:tcW w:w="2977" w:type="dxa"/>
          </w:tcPr>
          <w:p w14:paraId="38016E7E"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color w:val="000000"/>
                <w:kern w:val="2"/>
                <w:sz w:val="16"/>
              </w:rPr>
              <w:t>L.</w:t>
            </w:r>
            <w:r w:rsidRPr="00CF11DB">
              <w:rPr>
                <w:color w:val="000000"/>
                <w:kern w:val="2"/>
                <w:sz w:val="16"/>
              </w:rPr>
              <w:tab/>
              <w:t>Citrus greening (Huanglongbing)</w:t>
            </w:r>
          </w:p>
          <w:p w14:paraId="29F8B117"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i/>
                <w:iCs/>
                <w:sz w:val="16"/>
                <w:szCs w:val="16"/>
              </w:rPr>
              <w:tab/>
              <w:t xml:space="preserve">Candidatus </w:t>
            </w:r>
            <w:r w:rsidRPr="00CF11DB">
              <w:rPr>
                <w:i/>
                <w:sz w:val="16"/>
                <w:szCs w:val="16"/>
              </w:rPr>
              <w:t>Liberibacter asiaticus</w:t>
            </w:r>
          </w:p>
        </w:tc>
        <w:tc>
          <w:tcPr>
            <w:tcW w:w="6828" w:type="dxa"/>
          </w:tcPr>
          <w:p w14:paraId="44AE869D" w14:textId="77777777"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sz w:val="16"/>
                <w:szCs w:val="16"/>
              </w:rPr>
              <w:t xml:space="preserve">All plants and plant parts, including but not limited to nursery stock, cuttings, budwood, and propagative seed (but excluding fruit), of: </w:t>
            </w:r>
            <w:r w:rsidRPr="00CF11DB">
              <w:rPr>
                <w:i/>
                <w:iCs/>
                <w:sz w:val="16"/>
                <w:szCs w:val="16"/>
              </w:rPr>
              <w:t>Aegle marmelos</w:t>
            </w:r>
            <w:r w:rsidRPr="00CF11DB">
              <w:rPr>
                <w:sz w:val="16"/>
                <w:szCs w:val="16"/>
              </w:rPr>
              <w:t xml:space="preserve">, </w:t>
            </w:r>
            <w:r w:rsidRPr="00CF11DB">
              <w:rPr>
                <w:i/>
                <w:iCs/>
                <w:sz w:val="16"/>
                <w:szCs w:val="16"/>
              </w:rPr>
              <w:t>Aeglopsis chevalieri</w:t>
            </w:r>
            <w:r w:rsidRPr="00CF11DB">
              <w:rPr>
                <w:sz w:val="16"/>
                <w:szCs w:val="16"/>
              </w:rPr>
              <w:t xml:space="preserve">, </w:t>
            </w:r>
            <w:r w:rsidRPr="00CF11DB">
              <w:rPr>
                <w:i/>
                <w:iCs/>
                <w:sz w:val="16"/>
                <w:szCs w:val="16"/>
              </w:rPr>
              <w:t>Afraegle gabonensis</w:t>
            </w:r>
            <w:r w:rsidRPr="00CF11DB">
              <w:rPr>
                <w:sz w:val="16"/>
                <w:szCs w:val="16"/>
              </w:rPr>
              <w:t xml:space="preserve">, </w:t>
            </w:r>
            <w:r w:rsidRPr="00CF11DB">
              <w:rPr>
                <w:i/>
                <w:iCs/>
                <w:sz w:val="16"/>
                <w:szCs w:val="16"/>
              </w:rPr>
              <w:t>Afraegle</w:t>
            </w:r>
            <w:r w:rsidRPr="00CF11DB">
              <w:rPr>
                <w:i/>
                <w:sz w:val="16"/>
                <w:szCs w:val="16"/>
              </w:rPr>
              <w:t xml:space="preserve"> </w:t>
            </w:r>
            <w:r w:rsidRPr="00CF11DB">
              <w:rPr>
                <w:i/>
                <w:iCs/>
                <w:sz w:val="16"/>
                <w:szCs w:val="16"/>
              </w:rPr>
              <w:t>paniculata</w:t>
            </w:r>
            <w:r w:rsidRPr="00CF11DB">
              <w:rPr>
                <w:sz w:val="16"/>
                <w:szCs w:val="16"/>
              </w:rPr>
              <w:t xml:space="preserve">, </w:t>
            </w:r>
            <w:r w:rsidRPr="00CF11DB">
              <w:rPr>
                <w:i/>
                <w:iCs/>
                <w:sz w:val="16"/>
                <w:szCs w:val="16"/>
              </w:rPr>
              <w:t>Amyris madrensis</w:t>
            </w:r>
            <w:r w:rsidRPr="00CF11DB">
              <w:rPr>
                <w:sz w:val="16"/>
                <w:szCs w:val="16"/>
              </w:rPr>
              <w:t xml:space="preserve">, </w:t>
            </w:r>
            <w:r w:rsidRPr="00CF11DB">
              <w:rPr>
                <w:i/>
                <w:iCs/>
                <w:sz w:val="16"/>
                <w:szCs w:val="16"/>
              </w:rPr>
              <w:t>Atalantia</w:t>
            </w:r>
            <w:r w:rsidRPr="00CF11DB">
              <w:rPr>
                <w:sz w:val="16"/>
                <w:szCs w:val="16"/>
              </w:rPr>
              <w:t xml:space="preserve"> spp. (including </w:t>
            </w:r>
            <w:r w:rsidRPr="00CF11DB">
              <w:rPr>
                <w:i/>
                <w:iCs/>
                <w:sz w:val="16"/>
                <w:szCs w:val="16"/>
              </w:rPr>
              <w:t>Atalantia monophylla</w:t>
            </w:r>
            <w:r w:rsidRPr="00CF11DB">
              <w:rPr>
                <w:sz w:val="16"/>
                <w:szCs w:val="16"/>
              </w:rPr>
              <w:t xml:space="preserve">), </w:t>
            </w:r>
            <w:r w:rsidRPr="00CF11DB">
              <w:rPr>
                <w:i/>
                <w:iCs/>
                <w:sz w:val="16"/>
                <w:szCs w:val="16"/>
              </w:rPr>
              <w:t>Balsamocitrus dawei</w:t>
            </w:r>
            <w:r w:rsidRPr="00CF11DB">
              <w:rPr>
                <w:sz w:val="16"/>
                <w:szCs w:val="16"/>
              </w:rPr>
              <w:t xml:space="preserve">, </w:t>
            </w:r>
            <w:r w:rsidRPr="00CF11DB">
              <w:rPr>
                <w:i/>
                <w:iCs/>
                <w:sz w:val="16"/>
                <w:szCs w:val="16"/>
              </w:rPr>
              <w:t>Bergera</w:t>
            </w:r>
            <w:r w:rsidRPr="00CF11DB">
              <w:rPr>
                <w:sz w:val="16"/>
                <w:szCs w:val="16"/>
              </w:rPr>
              <w:t xml:space="preserve"> (=</w:t>
            </w:r>
            <w:r w:rsidRPr="00CF11DB">
              <w:rPr>
                <w:i/>
                <w:iCs/>
                <w:sz w:val="16"/>
                <w:szCs w:val="16"/>
              </w:rPr>
              <w:t>Murraya</w:t>
            </w:r>
            <w:r w:rsidRPr="00CF11DB">
              <w:rPr>
                <w:sz w:val="16"/>
                <w:szCs w:val="16"/>
              </w:rPr>
              <w:t xml:space="preserve">) </w:t>
            </w:r>
            <w:r w:rsidRPr="00CF11DB">
              <w:rPr>
                <w:i/>
                <w:iCs/>
                <w:sz w:val="16"/>
                <w:szCs w:val="16"/>
              </w:rPr>
              <w:t>koenigii</w:t>
            </w:r>
            <w:r w:rsidRPr="00CF11DB">
              <w:rPr>
                <w:sz w:val="16"/>
                <w:szCs w:val="16"/>
              </w:rPr>
              <w:t xml:space="preserve">, </w:t>
            </w:r>
            <w:r w:rsidRPr="00CF11DB">
              <w:rPr>
                <w:i/>
                <w:iCs/>
                <w:sz w:val="16"/>
                <w:szCs w:val="16"/>
              </w:rPr>
              <w:t>Calodendrum capense</w:t>
            </w:r>
            <w:r w:rsidRPr="00CF11DB">
              <w:rPr>
                <w:sz w:val="16"/>
                <w:szCs w:val="16"/>
              </w:rPr>
              <w:t xml:space="preserve">, </w:t>
            </w:r>
            <w:r w:rsidRPr="00CF11DB">
              <w:rPr>
                <w:i/>
                <w:iCs/>
                <w:sz w:val="16"/>
                <w:szCs w:val="16"/>
              </w:rPr>
              <w:t>Choisya ternata</w:t>
            </w:r>
            <w:r w:rsidRPr="00CF11DB">
              <w:rPr>
                <w:sz w:val="16"/>
                <w:szCs w:val="16"/>
              </w:rPr>
              <w:t xml:space="preserve">, </w:t>
            </w:r>
            <w:r w:rsidRPr="00CF11DB">
              <w:rPr>
                <w:i/>
                <w:iCs/>
                <w:sz w:val="16"/>
                <w:szCs w:val="16"/>
              </w:rPr>
              <w:t>Choisya</w:t>
            </w:r>
            <w:r w:rsidRPr="00CF11DB">
              <w:rPr>
                <w:i/>
                <w:sz w:val="16"/>
                <w:szCs w:val="16"/>
              </w:rPr>
              <w:t xml:space="preserve"> </w:t>
            </w:r>
            <w:r w:rsidRPr="00CF11DB">
              <w:rPr>
                <w:i/>
                <w:iCs/>
                <w:sz w:val="16"/>
                <w:szCs w:val="16"/>
              </w:rPr>
              <w:t>arizonica</w:t>
            </w:r>
            <w:r w:rsidRPr="00CF11DB">
              <w:rPr>
                <w:sz w:val="16"/>
                <w:szCs w:val="16"/>
              </w:rPr>
              <w:t xml:space="preserve">, X </w:t>
            </w:r>
            <w:r w:rsidRPr="00CF11DB">
              <w:rPr>
                <w:i/>
                <w:iCs/>
                <w:sz w:val="16"/>
                <w:szCs w:val="16"/>
              </w:rPr>
              <w:t>Citroncirus webberi</w:t>
            </w:r>
            <w:r w:rsidRPr="00CF11DB">
              <w:rPr>
                <w:sz w:val="16"/>
                <w:szCs w:val="16"/>
              </w:rPr>
              <w:t xml:space="preserve">, </w:t>
            </w:r>
            <w:r w:rsidRPr="00CF11DB">
              <w:rPr>
                <w:i/>
                <w:iCs/>
                <w:sz w:val="16"/>
                <w:szCs w:val="16"/>
              </w:rPr>
              <w:t>Citropsis articulata</w:t>
            </w:r>
            <w:r w:rsidRPr="00CF11DB">
              <w:rPr>
                <w:sz w:val="16"/>
                <w:szCs w:val="16"/>
              </w:rPr>
              <w:t xml:space="preserve">, </w:t>
            </w:r>
            <w:r w:rsidRPr="00CF11DB">
              <w:rPr>
                <w:i/>
                <w:iCs/>
                <w:sz w:val="16"/>
                <w:szCs w:val="16"/>
              </w:rPr>
              <w:t>Citropsis gilletiana</w:t>
            </w:r>
            <w:r w:rsidRPr="00CF11DB">
              <w:rPr>
                <w:sz w:val="16"/>
                <w:szCs w:val="16"/>
              </w:rPr>
              <w:t xml:space="preserve">, </w:t>
            </w:r>
            <w:r w:rsidRPr="00CF11DB">
              <w:rPr>
                <w:i/>
                <w:iCs/>
                <w:sz w:val="16"/>
                <w:szCs w:val="16"/>
              </w:rPr>
              <w:t>Citrus madurensis</w:t>
            </w:r>
            <w:r w:rsidRPr="00CF11DB">
              <w:rPr>
                <w:sz w:val="16"/>
                <w:szCs w:val="16"/>
              </w:rPr>
              <w:t xml:space="preserve"> (= X </w:t>
            </w:r>
            <w:r w:rsidRPr="00CF11DB">
              <w:rPr>
                <w:i/>
                <w:iCs/>
                <w:sz w:val="16"/>
                <w:szCs w:val="16"/>
              </w:rPr>
              <w:t>Citrofortunella microcarpa</w:t>
            </w:r>
            <w:r w:rsidRPr="00CF11DB">
              <w:rPr>
                <w:sz w:val="16"/>
                <w:szCs w:val="16"/>
              </w:rPr>
              <w:t xml:space="preserve">), </w:t>
            </w:r>
            <w:r w:rsidRPr="00CF11DB">
              <w:rPr>
                <w:i/>
                <w:iCs/>
                <w:sz w:val="16"/>
                <w:szCs w:val="16"/>
              </w:rPr>
              <w:t>Citrus</w:t>
            </w:r>
            <w:r w:rsidRPr="00CF11DB">
              <w:rPr>
                <w:sz w:val="16"/>
                <w:szCs w:val="16"/>
              </w:rPr>
              <w:t xml:space="preserve"> spp., </w:t>
            </w:r>
            <w:r w:rsidRPr="00CF11DB">
              <w:rPr>
                <w:i/>
                <w:iCs/>
                <w:sz w:val="16"/>
                <w:szCs w:val="16"/>
              </w:rPr>
              <w:t>Clausena anisum-olens</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excavata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indica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lansium</w:t>
            </w:r>
            <w:r w:rsidRPr="00CF11DB">
              <w:rPr>
                <w:sz w:val="16"/>
                <w:szCs w:val="16"/>
              </w:rPr>
              <w:t xml:space="preserve">, </w:t>
            </w:r>
            <w:r w:rsidRPr="00CF11DB">
              <w:rPr>
                <w:i/>
                <w:iCs/>
                <w:sz w:val="16"/>
                <w:szCs w:val="16"/>
              </w:rPr>
              <w:t>Eremocitrus glauca</w:t>
            </w:r>
            <w:r w:rsidRPr="00CF11DB">
              <w:rPr>
                <w:sz w:val="16"/>
                <w:szCs w:val="16"/>
              </w:rPr>
              <w:t xml:space="preserve">, </w:t>
            </w:r>
            <w:r w:rsidRPr="00CF11DB">
              <w:rPr>
                <w:i/>
                <w:iCs/>
                <w:sz w:val="16"/>
                <w:szCs w:val="16"/>
              </w:rPr>
              <w:t>Eremocitrus</w:t>
            </w:r>
            <w:r w:rsidRPr="00CF11DB">
              <w:rPr>
                <w:sz w:val="16"/>
                <w:szCs w:val="16"/>
              </w:rPr>
              <w:t xml:space="preserve"> hybrid, </w:t>
            </w:r>
            <w:r w:rsidRPr="00CF11DB">
              <w:rPr>
                <w:i/>
                <w:iCs/>
                <w:sz w:val="16"/>
                <w:szCs w:val="16"/>
              </w:rPr>
              <w:t>Esenbeckia berlandieri</w:t>
            </w:r>
            <w:r w:rsidRPr="00CF11DB">
              <w:rPr>
                <w:sz w:val="16"/>
                <w:szCs w:val="16"/>
              </w:rPr>
              <w:t xml:space="preserve">, </w:t>
            </w:r>
            <w:r w:rsidRPr="00CF11DB">
              <w:rPr>
                <w:i/>
                <w:iCs/>
                <w:sz w:val="16"/>
                <w:szCs w:val="16"/>
              </w:rPr>
              <w:t>Fortunella</w:t>
            </w:r>
            <w:r w:rsidRPr="00CF11DB">
              <w:rPr>
                <w:sz w:val="16"/>
                <w:szCs w:val="16"/>
              </w:rPr>
              <w:t xml:space="preserve"> spp., </w:t>
            </w:r>
            <w:r w:rsidRPr="00CF11DB">
              <w:rPr>
                <w:i/>
                <w:iCs/>
                <w:sz w:val="16"/>
                <w:szCs w:val="16"/>
              </w:rPr>
              <w:t>Limonia acidissima</w:t>
            </w:r>
            <w:r w:rsidRPr="00CF11DB">
              <w:rPr>
                <w:sz w:val="16"/>
                <w:szCs w:val="16"/>
              </w:rPr>
              <w:t xml:space="preserve">, </w:t>
            </w:r>
            <w:r w:rsidRPr="00CF11DB">
              <w:rPr>
                <w:i/>
                <w:iCs/>
                <w:sz w:val="16"/>
                <w:szCs w:val="16"/>
              </w:rPr>
              <w:t>Merrillia caloxylon</w:t>
            </w:r>
            <w:r w:rsidRPr="00CF11DB">
              <w:rPr>
                <w:sz w:val="16"/>
                <w:szCs w:val="16"/>
              </w:rPr>
              <w:t xml:space="preserve">, </w:t>
            </w:r>
            <w:r w:rsidRPr="00CF11DB">
              <w:rPr>
                <w:i/>
                <w:iCs/>
                <w:sz w:val="16"/>
                <w:szCs w:val="16"/>
              </w:rPr>
              <w:t>Microcitrus australasica</w:t>
            </w:r>
            <w:r w:rsidRPr="00CF11DB">
              <w:rPr>
                <w:iCs/>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australis</w:t>
            </w:r>
            <w:r w:rsidRPr="00CF11DB">
              <w:rPr>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papuana</w:t>
            </w:r>
            <w:r w:rsidRPr="00CF11DB">
              <w:rPr>
                <w:iCs/>
                <w:sz w:val="16"/>
                <w:szCs w:val="16"/>
              </w:rPr>
              <w:t>,</w:t>
            </w:r>
            <w:r w:rsidRPr="00CF11DB">
              <w:rPr>
                <w:sz w:val="16"/>
                <w:szCs w:val="16"/>
              </w:rPr>
              <w:t xml:space="preserve"> X </w:t>
            </w:r>
            <w:r w:rsidRPr="00CF11DB">
              <w:rPr>
                <w:i/>
                <w:iCs/>
                <w:sz w:val="16"/>
                <w:szCs w:val="16"/>
              </w:rPr>
              <w:t>Microcitronella</w:t>
            </w:r>
            <w:r w:rsidRPr="00CF11DB">
              <w:rPr>
                <w:i/>
                <w:sz w:val="16"/>
                <w:szCs w:val="16"/>
              </w:rPr>
              <w:t xml:space="preserve"> </w:t>
            </w:r>
            <w:r w:rsidRPr="00CF11DB">
              <w:rPr>
                <w:sz w:val="16"/>
                <w:szCs w:val="16"/>
              </w:rPr>
              <w:t xml:space="preserve">spp., </w:t>
            </w:r>
            <w:r w:rsidRPr="00CF11DB">
              <w:rPr>
                <w:i/>
                <w:iCs/>
                <w:sz w:val="16"/>
                <w:szCs w:val="16"/>
              </w:rPr>
              <w:t>Murraya</w:t>
            </w:r>
            <w:r w:rsidRPr="00CF11DB">
              <w:rPr>
                <w:sz w:val="16"/>
                <w:szCs w:val="16"/>
              </w:rPr>
              <w:t xml:space="preserve"> spp., </w:t>
            </w:r>
            <w:r w:rsidRPr="00CF11DB">
              <w:rPr>
                <w:i/>
                <w:iCs/>
                <w:sz w:val="16"/>
                <w:szCs w:val="16"/>
              </w:rPr>
              <w:t>Naringi crenulata</w:t>
            </w:r>
            <w:r w:rsidRPr="00CF11DB">
              <w:rPr>
                <w:sz w:val="16"/>
                <w:szCs w:val="16"/>
              </w:rPr>
              <w:t xml:space="preserve">, </w:t>
            </w:r>
            <w:r w:rsidRPr="00CF11DB">
              <w:rPr>
                <w:i/>
                <w:iCs/>
                <w:sz w:val="16"/>
                <w:szCs w:val="16"/>
              </w:rPr>
              <w:t>Pamburus missionis</w:t>
            </w:r>
            <w:r w:rsidRPr="00CF11DB">
              <w:rPr>
                <w:sz w:val="16"/>
                <w:szCs w:val="16"/>
              </w:rPr>
              <w:t xml:space="preserve">, </w:t>
            </w:r>
            <w:r w:rsidRPr="00CF11DB">
              <w:rPr>
                <w:i/>
                <w:iCs/>
                <w:sz w:val="16"/>
                <w:szCs w:val="16"/>
              </w:rPr>
              <w:t>Poncirus trifoliata</w:t>
            </w:r>
            <w:r w:rsidRPr="00CF11DB">
              <w:rPr>
                <w:sz w:val="16"/>
                <w:szCs w:val="16"/>
              </w:rPr>
              <w:t xml:space="preserve">, </w:t>
            </w:r>
            <w:r w:rsidRPr="00CF11DB">
              <w:rPr>
                <w:i/>
                <w:iCs/>
                <w:sz w:val="16"/>
                <w:szCs w:val="16"/>
              </w:rPr>
              <w:t>Severinia buxifolia</w:t>
            </w:r>
            <w:r w:rsidRPr="00CF11DB">
              <w:rPr>
                <w:sz w:val="16"/>
                <w:szCs w:val="16"/>
              </w:rPr>
              <w:t xml:space="preserve">, </w:t>
            </w:r>
            <w:r w:rsidRPr="00CF11DB">
              <w:rPr>
                <w:i/>
                <w:iCs/>
                <w:sz w:val="16"/>
                <w:szCs w:val="16"/>
              </w:rPr>
              <w:t>Swinglea glutinosa</w:t>
            </w:r>
            <w:r w:rsidRPr="00CF11DB">
              <w:rPr>
                <w:sz w:val="16"/>
                <w:szCs w:val="16"/>
              </w:rPr>
              <w:t xml:space="preserve">, </w:t>
            </w:r>
            <w:r w:rsidRPr="00CF11DB">
              <w:rPr>
                <w:i/>
                <w:iCs/>
                <w:sz w:val="16"/>
                <w:szCs w:val="16"/>
              </w:rPr>
              <w:t>Tetradium ruticarpum</w:t>
            </w:r>
            <w:r w:rsidRPr="00CF11DB">
              <w:rPr>
                <w:sz w:val="16"/>
                <w:szCs w:val="16"/>
              </w:rPr>
              <w:t xml:space="preserve">, </w:t>
            </w:r>
            <w:r w:rsidRPr="00CF11DB">
              <w:rPr>
                <w:i/>
                <w:iCs/>
                <w:sz w:val="16"/>
                <w:szCs w:val="16"/>
              </w:rPr>
              <w:t>Toddalia asiatica</w:t>
            </w:r>
            <w:r w:rsidRPr="00CF11DB">
              <w:rPr>
                <w:sz w:val="16"/>
                <w:szCs w:val="16"/>
              </w:rPr>
              <w:t xml:space="preserve">, </w:t>
            </w:r>
            <w:r w:rsidRPr="00CF11DB">
              <w:rPr>
                <w:i/>
                <w:iCs/>
                <w:sz w:val="16"/>
                <w:szCs w:val="16"/>
              </w:rPr>
              <w:t>Triphasia trifolia</w:t>
            </w:r>
            <w:r w:rsidRPr="00CF11DB">
              <w:rPr>
                <w:sz w:val="16"/>
                <w:szCs w:val="16"/>
              </w:rPr>
              <w:t xml:space="preserve">, </w:t>
            </w:r>
            <w:r w:rsidRPr="00CF11DB">
              <w:rPr>
                <w:iCs/>
                <w:sz w:val="16"/>
                <w:szCs w:val="16"/>
              </w:rPr>
              <w:t>Vepris</w:t>
            </w:r>
            <w:r w:rsidRPr="00CF11DB">
              <w:rPr>
                <w:sz w:val="16"/>
                <w:szCs w:val="16"/>
              </w:rPr>
              <w:t xml:space="preserve"> (=</w:t>
            </w:r>
            <w:r w:rsidRPr="00CF11DB">
              <w:rPr>
                <w:i/>
                <w:iCs/>
                <w:sz w:val="16"/>
                <w:szCs w:val="16"/>
              </w:rPr>
              <w:t>Toddalia</w:t>
            </w:r>
            <w:r w:rsidRPr="00CF11DB">
              <w:rPr>
                <w:sz w:val="16"/>
                <w:szCs w:val="16"/>
              </w:rPr>
              <w:t xml:space="preserve">) </w:t>
            </w:r>
            <w:r w:rsidRPr="00CF11DB">
              <w:rPr>
                <w:i/>
                <w:iCs/>
                <w:sz w:val="16"/>
                <w:szCs w:val="16"/>
              </w:rPr>
              <w:t>lanceolata</w:t>
            </w:r>
            <w:r w:rsidRPr="00CF11DB">
              <w:rPr>
                <w:sz w:val="16"/>
                <w:szCs w:val="16"/>
              </w:rPr>
              <w:t xml:space="preserve">, and </w:t>
            </w:r>
            <w:r w:rsidRPr="00CF11DB">
              <w:rPr>
                <w:i/>
                <w:iCs/>
                <w:sz w:val="16"/>
                <w:szCs w:val="16"/>
              </w:rPr>
              <w:t>Zanthoxylum fagara</w:t>
            </w:r>
            <w:r w:rsidRPr="00CF11DB">
              <w:rPr>
                <w:sz w:val="16"/>
                <w:szCs w:val="16"/>
              </w:rPr>
              <w:t>.</w:t>
            </w:r>
          </w:p>
        </w:tc>
      </w:tr>
      <w:tr w:rsidR="00110BEC" w:rsidRPr="00CF11DB" w14:paraId="48B21963" w14:textId="77777777" w:rsidTr="000D7851">
        <w:trPr>
          <w:cantSplit/>
          <w:trHeight w:val="849"/>
          <w:jc w:val="center"/>
        </w:trPr>
        <w:tc>
          <w:tcPr>
            <w:tcW w:w="2977" w:type="dxa"/>
          </w:tcPr>
          <w:p w14:paraId="1C1C2A40"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color w:val="000000"/>
                <w:kern w:val="2"/>
                <w:sz w:val="16"/>
                <w:szCs w:val="16"/>
              </w:rPr>
              <w:t>M.</w:t>
            </w:r>
            <w:r w:rsidRPr="00CF11DB">
              <w:rPr>
                <w:color w:val="000000"/>
                <w:kern w:val="2"/>
                <w:sz w:val="16"/>
                <w:szCs w:val="16"/>
              </w:rPr>
              <w:tab/>
              <w:t>Citrus canker</w:t>
            </w:r>
          </w:p>
          <w:p w14:paraId="7F8D975D"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i/>
                <w:sz w:val="16"/>
                <w:szCs w:val="16"/>
              </w:rPr>
              <w:tab/>
              <w:t>Xanthomonas axonopodis</w:t>
            </w:r>
            <w:r w:rsidRPr="00CF11DB">
              <w:rPr>
                <w:sz w:val="16"/>
                <w:szCs w:val="16"/>
              </w:rPr>
              <w:t xml:space="preserve"> pv </w:t>
            </w:r>
            <w:r w:rsidRPr="00CF11DB">
              <w:rPr>
                <w:i/>
                <w:sz w:val="16"/>
                <w:szCs w:val="16"/>
              </w:rPr>
              <w:t>citri</w:t>
            </w:r>
          </w:p>
        </w:tc>
        <w:tc>
          <w:tcPr>
            <w:tcW w:w="6828" w:type="dxa"/>
          </w:tcPr>
          <w:p w14:paraId="75F4BAE0" w14:textId="77777777"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sz w:val="16"/>
                <w:szCs w:val="16"/>
              </w:rPr>
              <w:t xml:space="preserve">All plants or plant parts, including fruit and seeds, of any of the following: All species, clones, cultivars, strains, varieties, and hybrids of the genera </w:t>
            </w:r>
            <w:r w:rsidRPr="00CF11DB">
              <w:rPr>
                <w:i/>
                <w:iCs/>
                <w:sz w:val="16"/>
                <w:szCs w:val="16"/>
              </w:rPr>
              <w:t>Citrus</w:t>
            </w:r>
            <w:r w:rsidRPr="00CF11DB">
              <w:rPr>
                <w:sz w:val="16"/>
                <w:szCs w:val="16"/>
              </w:rPr>
              <w:t xml:space="preserve"> and </w:t>
            </w:r>
            <w:r w:rsidRPr="00CF11DB">
              <w:rPr>
                <w:i/>
                <w:iCs/>
                <w:sz w:val="16"/>
                <w:szCs w:val="16"/>
              </w:rPr>
              <w:t>Fortunella,</w:t>
            </w:r>
            <w:r w:rsidRPr="00CF11DB">
              <w:rPr>
                <w:sz w:val="16"/>
                <w:szCs w:val="16"/>
              </w:rPr>
              <w:t xml:space="preserve"> and all clones, cultivars, strains, varieties, and hybrids of the species </w:t>
            </w:r>
            <w:r w:rsidRPr="00CF11DB">
              <w:rPr>
                <w:i/>
                <w:iCs/>
                <w:sz w:val="16"/>
                <w:szCs w:val="16"/>
              </w:rPr>
              <w:t>Clausena lansium,</w:t>
            </w:r>
            <w:r w:rsidRPr="00CF11DB">
              <w:rPr>
                <w:sz w:val="16"/>
                <w:szCs w:val="16"/>
              </w:rPr>
              <w:t xml:space="preserve"> and </w:t>
            </w:r>
            <w:r w:rsidRPr="00CF11DB">
              <w:rPr>
                <w:i/>
                <w:iCs/>
                <w:sz w:val="16"/>
                <w:szCs w:val="16"/>
              </w:rPr>
              <w:t xml:space="preserve">Poncirus trifoliate, </w:t>
            </w:r>
            <w:r w:rsidRPr="00CF11DB">
              <w:rPr>
                <w:iCs/>
                <w:sz w:val="16"/>
                <w:szCs w:val="16"/>
              </w:rPr>
              <w:t xml:space="preserve">and </w:t>
            </w:r>
            <w:r w:rsidRPr="00CF11DB">
              <w:rPr>
                <w:i/>
                <w:iCs/>
                <w:sz w:val="16"/>
                <w:szCs w:val="16"/>
              </w:rPr>
              <w:t>Swinglea glutinosa.</w:t>
            </w:r>
            <w:r w:rsidRPr="00CF11DB">
              <w:rPr>
                <w:sz w:val="16"/>
                <w:szCs w:val="16"/>
              </w:rPr>
              <w:t xml:space="preserve"> The most common of these are: lemon, pummelo, grapefruit, key lime, persian lime, tangerine, satsuma, tangor, citron, sweet orange, sour orange, mandarin, tangelo, ethrog, kumquat, limequat, calamondin, trifoliate orange, tabog, and wampi.</w:t>
            </w:r>
          </w:p>
        </w:tc>
      </w:tr>
      <w:tr w:rsidR="00110BEC" w:rsidRPr="00CF11DB" w14:paraId="40738C49" w14:textId="77777777" w:rsidTr="000D7851">
        <w:trPr>
          <w:cantSplit/>
          <w:trHeight w:val="210"/>
          <w:jc w:val="center"/>
        </w:trPr>
        <w:tc>
          <w:tcPr>
            <w:tcW w:w="2977" w:type="dxa"/>
          </w:tcPr>
          <w:p w14:paraId="7384C819"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color w:val="000000"/>
                <w:kern w:val="2"/>
                <w:sz w:val="16"/>
                <w:szCs w:val="16"/>
              </w:rPr>
              <w:t>N.</w:t>
            </w:r>
            <w:r w:rsidRPr="00CF11DB">
              <w:rPr>
                <w:color w:val="000000"/>
                <w:kern w:val="2"/>
                <w:sz w:val="16"/>
                <w:szCs w:val="16"/>
              </w:rPr>
              <w:tab/>
              <w:t>Texas Phoenix decline</w:t>
            </w:r>
          </w:p>
          <w:p w14:paraId="47FD5ED1" w14:textId="77777777"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sz w:val="16"/>
                <w:szCs w:val="16"/>
              </w:rPr>
              <w:tab/>
              <w:t>A phytoplasma disease</w:t>
            </w:r>
          </w:p>
        </w:tc>
        <w:tc>
          <w:tcPr>
            <w:tcW w:w="6828" w:type="dxa"/>
          </w:tcPr>
          <w:p w14:paraId="5E2B5BF4" w14:textId="77777777"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color w:val="000000"/>
                <w:kern w:val="2"/>
                <w:sz w:val="16"/>
              </w:rPr>
              <w:t xml:space="preserve">All </w:t>
            </w:r>
            <w:r w:rsidRPr="00CF11DB">
              <w:rPr>
                <w:i/>
                <w:color w:val="000000"/>
                <w:kern w:val="2"/>
                <w:sz w:val="16"/>
              </w:rPr>
              <w:t>Phoenix</w:t>
            </w:r>
            <w:r w:rsidRPr="00CF11DB">
              <w:rPr>
                <w:color w:val="000000"/>
                <w:kern w:val="2"/>
                <w:sz w:val="16"/>
              </w:rPr>
              <w:t xml:space="preserve"> spp. palms, queen palm </w:t>
            </w:r>
            <w:r w:rsidRPr="00CF11DB">
              <w:rPr>
                <w:i/>
                <w:color w:val="000000"/>
                <w:kern w:val="2"/>
                <w:sz w:val="16"/>
              </w:rPr>
              <w:t>Syagrus romanzoffiana</w:t>
            </w:r>
            <w:r w:rsidRPr="00CF11DB">
              <w:rPr>
                <w:color w:val="000000"/>
                <w:kern w:val="2"/>
                <w:sz w:val="16"/>
              </w:rPr>
              <w:t xml:space="preserve"> and cabbage palm </w:t>
            </w:r>
            <w:r w:rsidRPr="00CF11DB">
              <w:rPr>
                <w:i/>
                <w:color w:val="000000"/>
                <w:kern w:val="2"/>
                <w:sz w:val="16"/>
              </w:rPr>
              <w:t>Sabal palmetto</w:t>
            </w:r>
            <w:r w:rsidRPr="00CF11DB">
              <w:rPr>
                <w:color w:val="000000"/>
                <w:kern w:val="2"/>
                <w:sz w:val="16"/>
              </w:rPr>
              <w:t>.</w:t>
            </w:r>
          </w:p>
        </w:tc>
      </w:tr>
      <w:tr w:rsidR="00110BEC" w:rsidRPr="00CF11DB" w14:paraId="290E22BC" w14:textId="77777777" w:rsidTr="000D7851">
        <w:trPr>
          <w:cantSplit/>
          <w:trHeight w:val="516"/>
          <w:jc w:val="center"/>
        </w:trPr>
        <w:tc>
          <w:tcPr>
            <w:tcW w:w="2977" w:type="dxa"/>
          </w:tcPr>
          <w:p w14:paraId="2BD9B4E5" w14:textId="77777777" w:rsidR="00110BEC" w:rsidRPr="00CF11DB" w:rsidRDefault="00110BEC" w:rsidP="00110BEC">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color w:val="000000"/>
                <w:kern w:val="2"/>
                <w:sz w:val="16"/>
              </w:rPr>
              <w:t>O.</w:t>
            </w:r>
            <w:r w:rsidRPr="00CF11DB">
              <w:rPr>
                <w:color w:val="000000"/>
                <w:kern w:val="2"/>
                <w:sz w:val="16"/>
              </w:rPr>
              <w:tab/>
              <w:t>Boll weevil</w:t>
            </w:r>
          </w:p>
          <w:p w14:paraId="59FD9001" w14:textId="77777777" w:rsidR="00110BEC" w:rsidRPr="00CF11DB" w:rsidRDefault="00110BEC" w:rsidP="00110BEC">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i/>
                <w:color w:val="000000"/>
                <w:kern w:val="2"/>
                <w:sz w:val="16"/>
              </w:rPr>
            </w:pPr>
            <w:r w:rsidRPr="00CF11DB">
              <w:rPr>
                <w:i/>
                <w:color w:val="000000"/>
                <w:kern w:val="2"/>
                <w:sz w:val="16"/>
              </w:rPr>
              <w:tab/>
              <w:t>Anthonomus</w:t>
            </w:r>
            <w:r w:rsidRPr="00CF11DB">
              <w:rPr>
                <w:color w:val="000000"/>
                <w:kern w:val="2"/>
                <w:sz w:val="16"/>
              </w:rPr>
              <w:t xml:space="preserve"> </w:t>
            </w:r>
            <w:r w:rsidRPr="00CF11DB">
              <w:rPr>
                <w:i/>
                <w:color w:val="000000"/>
                <w:kern w:val="2"/>
                <w:sz w:val="16"/>
              </w:rPr>
              <w:t xml:space="preserve">grandis </w:t>
            </w:r>
            <w:r w:rsidRPr="00CF11DB">
              <w:rPr>
                <w:color w:val="000000"/>
                <w:kern w:val="2"/>
                <w:sz w:val="16"/>
              </w:rPr>
              <w:t>Boheman</w:t>
            </w:r>
          </w:p>
        </w:tc>
        <w:tc>
          <w:tcPr>
            <w:tcW w:w="6828" w:type="dxa"/>
          </w:tcPr>
          <w:p w14:paraId="6F8A55E5" w14:textId="77777777" w:rsidR="00110BEC" w:rsidRPr="00CF11DB" w:rsidRDefault="00110BEC" w:rsidP="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color w:val="000000"/>
                <w:kern w:val="2"/>
                <w:sz w:val="16"/>
              </w:rPr>
              <w:t xml:space="preserve">All parts of cotton and wild cotton plants of the genus </w:t>
            </w:r>
            <w:r w:rsidRPr="00CF11DB">
              <w:rPr>
                <w:i/>
                <w:color w:val="000000"/>
                <w:kern w:val="2"/>
                <w:sz w:val="16"/>
              </w:rPr>
              <w:t>Gossypium</w:t>
            </w:r>
            <w:r w:rsidRPr="00CF11DB">
              <w:rPr>
                <w:color w:val="000000"/>
                <w:kern w:val="2"/>
                <w:sz w:val="16"/>
              </w:rPr>
              <w:t>, seed cotton, cottonseed, cotton lint, gin trash, used cotton harvesting equipment, and any other farm products, equipment, means of conveyance and any other articles which may serve as host materials.</w:t>
            </w:r>
          </w:p>
        </w:tc>
      </w:tr>
    </w:tbl>
    <w:p w14:paraId="1E57598B" w14:textId="77777777" w:rsidR="00110BEC" w:rsidRPr="00110BEC" w:rsidRDefault="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p w14:paraId="1812FBC5"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18"/>
        </w:rPr>
        <w:sectPr w:rsidR="00CF626A" w:rsidRPr="001531CD" w:rsidSect="00167E2E">
          <w:type w:val="continuous"/>
          <w:pgSz w:w="12240" w:h="15840"/>
          <w:pgMar w:top="1080" w:right="864" w:bottom="864" w:left="864" w:header="576" w:footer="432" w:gutter="0"/>
          <w:cols w:space="720"/>
          <w:docGrid w:linePitch="326"/>
        </w:sectPr>
      </w:pPr>
    </w:p>
    <w:p w14:paraId="2B5178FA" w14:textId="77777777" w:rsidR="00CF626A" w:rsidRPr="001531CD" w:rsidRDefault="00CF626A">
      <w:pPr>
        <w:pStyle w:val="AuthorityNote"/>
      </w:pPr>
      <w:r w:rsidRPr="001531CD">
        <w:t>AUTHORITY NOTE:</w:t>
      </w:r>
      <w:r w:rsidRPr="001531CD">
        <w:tab/>
        <w:t>Promulgated in accordance with R.S. 3:1655.</w:t>
      </w:r>
    </w:p>
    <w:p w14:paraId="6F9AE270"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11:319 (April 1985), amended by the Department of Agriculture and Forestry, Office of Agricultural and Environmental Sciences, LR 16:294 (Apr</w:t>
      </w:r>
      <w:r w:rsidR="00110BEC">
        <w:t xml:space="preserve">il 1990), LR 18:701 (July 1992), amended by the </w:t>
      </w:r>
      <w:r w:rsidR="00110BEC" w:rsidRPr="00CF11DB">
        <w:t>by the Department of Agriculture and Forestry, Office of Agricultural and Environmental Sciences, Boll Weevil Eradication Commission,</w:t>
      </w:r>
      <w:r w:rsidR="00110BEC">
        <w:t xml:space="preserve"> </w:t>
      </w:r>
      <w:r w:rsidR="00110BEC" w:rsidRPr="00CF11DB">
        <w:t>LR 40:</w:t>
      </w:r>
      <w:r w:rsidR="00110BEC">
        <w:t>1516 (August 2014).</w:t>
      </w:r>
    </w:p>
    <w:p w14:paraId="23EDD7CD" w14:textId="77777777" w:rsidR="00CF626A" w:rsidRPr="001531CD" w:rsidRDefault="00CF626A">
      <w:pPr>
        <w:pStyle w:val="Chapter"/>
      </w:pPr>
      <w:bookmarkStart w:id="1354" w:name="TOC_SubC107"/>
      <w:bookmarkStart w:id="1355" w:name="_Toc256754594"/>
      <w:bookmarkStart w:id="1356" w:name="_Toc224818907"/>
      <w:r w:rsidRPr="001531CD">
        <w:t>Subchapter B.</w:t>
      </w:r>
      <w:bookmarkEnd w:id="1354"/>
      <w:r w:rsidR="00167E2E">
        <w:tab/>
      </w:r>
      <w:bookmarkStart w:id="1357" w:name="TOCT_SubC99"/>
      <w:bookmarkStart w:id="1358" w:name="TOCT_SubC101"/>
      <w:bookmarkStart w:id="1359" w:name="TOCT_SubC105"/>
      <w:bookmarkStart w:id="1360" w:name="TOCT_SubC106"/>
      <w:bookmarkStart w:id="1361" w:name="TOCT_SubC107"/>
      <w:r w:rsidRPr="001531CD">
        <w:t>Nursery Stock Quarantines</w:t>
      </w:r>
      <w:bookmarkEnd w:id="1355"/>
      <w:bookmarkEnd w:id="1356"/>
      <w:bookmarkEnd w:id="1357"/>
      <w:bookmarkEnd w:id="1358"/>
      <w:bookmarkEnd w:id="1359"/>
      <w:bookmarkEnd w:id="1360"/>
      <w:bookmarkEnd w:id="1361"/>
    </w:p>
    <w:p w14:paraId="767CA9B6" w14:textId="77777777" w:rsidR="00CF626A" w:rsidRPr="001531CD" w:rsidRDefault="00CF626A">
      <w:pPr>
        <w:pStyle w:val="Section"/>
      </w:pPr>
      <w:bookmarkStart w:id="1362" w:name="_Toc256754595"/>
      <w:bookmarkStart w:id="1363" w:name="_Toc224818908"/>
      <w:r w:rsidRPr="001531CD">
        <w:t>§125.</w:t>
      </w:r>
      <w:r w:rsidRPr="001531CD">
        <w:tab/>
        <w:t>Applicability of General Quarantine Regulations</w:t>
      </w:r>
      <w:bookmarkEnd w:id="1362"/>
      <w:bookmarkEnd w:id="1363"/>
    </w:p>
    <w:p w14:paraId="2787ADF2" w14:textId="77777777" w:rsidR="00CF626A" w:rsidRPr="001531CD" w:rsidRDefault="00CF626A">
      <w:pPr>
        <w:pStyle w:val="A"/>
      </w:pPr>
      <w:r w:rsidRPr="001531CD">
        <w:t>A.</w:t>
      </w:r>
      <w:r w:rsidRPr="001531CD">
        <w:tab/>
        <w:t>Nursery stock is subject to all pertinent provisions of the general quarantine regulations and to the regulations contained in this Subchapter.</w:t>
      </w:r>
    </w:p>
    <w:p w14:paraId="1B28D616" w14:textId="77777777" w:rsidR="00CF626A" w:rsidRPr="001531CD" w:rsidRDefault="00CF626A">
      <w:pPr>
        <w:pStyle w:val="AuthorityNote"/>
      </w:pPr>
      <w:r w:rsidRPr="001531CD">
        <w:t>AUTHORITY NOTE:</w:t>
      </w:r>
      <w:r w:rsidRPr="001531CD">
        <w:tab/>
        <w:t>Promulgated in accordance with R.S. 3:1652.</w:t>
      </w:r>
    </w:p>
    <w:p w14:paraId="08A9D42D" w14:textId="77777777" w:rsidR="00CF626A" w:rsidRPr="001531CD" w:rsidRDefault="00CF626A">
      <w:pPr>
        <w:pStyle w:val="HistoricalNote"/>
      </w:pPr>
      <w:r w:rsidRPr="001531CD">
        <w:t>HISTORICAL NOTE:</w:t>
      </w:r>
      <w:r w:rsidRPr="001531CD">
        <w:tab/>
        <w:t xml:space="preserve">Promulgated by the Department of </w:t>
      </w:r>
      <w:r w:rsidR="00DB2BD2" w:rsidRPr="001531CD">
        <w:t>A</w:t>
      </w:r>
      <w:r w:rsidRPr="001531CD">
        <w:t xml:space="preserve">griculture, Office of Agricultural and Environmental Sciences, </w:t>
      </w:r>
      <w:r w:rsidR="00DB2BD2" w:rsidRPr="001531CD">
        <w:t>L</w:t>
      </w:r>
      <w:r w:rsidRPr="001531CD">
        <w:t>R 11:319 (April 1985).</w:t>
      </w:r>
    </w:p>
    <w:p w14:paraId="763D6F14" w14:textId="77777777" w:rsidR="00CF626A" w:rsidRPr="001531CD" w:rsidRDefault="00CF626A">
      <w:pPr>
        <w:pStyle w:val="Section"/>
      </w:pPr>
      <w:bookmarkStart w:id="1364" w:name="_Toc256754596"/>
      <w:bookmarkStart w:id="1365" w:name="_Toc224818909"/>
      <w:r w:rsidRPr="001531CD">
        <w:t>§126.</w:t>
      </w:r>
      <w:r w:rsidRPr="001531CD">
        <w:tab/>
        <w:t>Nursery Certificate Permit Fees</w:t>
      </w:r>
      <w:bookmarkEnd w:id="1364"/>
      <w:bookmarkEnd w:id="1365"/>
    </w:p>
    <w:p w14:paraId="38359953" w14:textId="77777777" w:rsidR="008D156B" w:rsidRPr="00B7246F" w:rsidRDefault="00CF626A" w:rsidP="008D156B">
      <w:pPr>
        <w:pStyle w:val="A"/>
      </w:pPr>
      <w:r w:rsidRPr="001531CD">
        <w:t>A.</w:t>
      </w:r>
      <w:r w:rsidRPr="001531CD">
        <w:tab/>
      </w:r>
      <w:r w:rsidR="008D156B" w:rsidRPr="00B7246F">
        <w:t>Nursery permittees shall pay an annual fee as follows:</w:t>
      </w:r>
    </w:p>
    <w:p w14:paraId="7B47C42A" w14:textId="77777777" w:rsidR="008D156B" w:rsidRPr="00B7246F" w:rsidRDefault="008D156B" w:rsidP="008D156B">
      <w:pPr>
        <w:pStyle w:val="1"/>
      </w:pPr>
      <w:r w:rsidRPr="00B7246F">
        <w:t>1.</w:t>
      </w:r>
      <w:r w:rsidRPr="00B7246F">
        <w:tab/>
        <w:t>$100 per location per year–Any nursery with acreage more than 2,500 square feet or greenhouse area more than 200 square feet.</w:t>
      </w:r>
    </w:p>
    <w:p w14:paraId="0B3D763F" w14:textId="77777777" w:rsidR="008D156B" w:rsidRPr="00B7246F" w:rsidRDefault="008D156B" w:rsidP="008D156B">
      <w:pPr>
        <w:pStyle w:val="1"/>
      </w:pPr>
      <w:r w:rsidRPr="00B7246F">
        <w:t>2.</w:t>
      </w:r>
      <w:r w:rsidRPr="00B7246F">
        <w:tab/>
        <w:t>$50 per location per year–all other nursery certificate permittees.</w:t>
      </w:r>
    </w:p>
    <w:p w14:paraId="4FEE1372" w14:textId="77777777" w:rsidR="008D156B" w:rsidRPr="00B7246F" w:rsidRDefault="008D156B" w:rsidP="008D156B">
      <w:pPr>
        <w:pStyle w:val="1"/>
      </w:pPr>
      <w:r w:rsidRPr="00B7246F">
        <w:t>3.</w:t>
      </w:r>
      <w:r w:rsidRPr="00B7246F">
        <w:tab/>
        <w:t>Governmental agencies, schools, and nonprofit organizations which are not in the business of commercial sales of nursery stock are exempt from the payment of fees by this section. However, entities engaged in sales shall apply for a nursery certificate and are subject to all crop pests and disease laws and regulations.</w:t>
      </w:r>
    </w:p>
    <w:p w14:paraId="7A3DADBF" w14:textId="7B6CDDF8" w:rsidR="00C8044B" w:rsidRPr="005F0376" w:rsidRDefault="008D156B" w:rsidP="008D156B">
      <w:pPr>
        <w:pStyle w:val="1"/>
      </w:pPr>
      <w:r w:rsidRPr="00B7246F">
        <w:lastRenderedPageBreak/>
        <w:t>4.</w:t>
      </w:r>
      <w:r w:rsidRPr="00B7246F">
        <w:tab/>
        <w:t>There shall be a fee of $0.10 per nursery certificate permit tag issued by the Louisiana Department of Agriculture and Forestry to the nursery certificate permittee</w:t>
      </w:r>
      <w:r w:rsidR="00C8044B" w:rsidRPr="005F0376">
        <w:t>.</w:t>
      </w:r>
    </w:p>
    <w:p w14:paraId="2B3F77C5" w14:textId="77777777" w:rsidR="00CF626A" w:rsidRPr="001531CD" w:rsidRDefault="00CF626A" w:rsidP="00C0065A">
      <w:pPr>
        <w:pStyle w:val="A"/>
      </w:pPr>
      <w:bookmarkStart w:id="1366" w:name="Temp"/>
      <w:r w:rsidRPr="001531CD">
        <w:t>B.</w:t>
      </w:r>
      <w:r w:rsidRPr="001531CD">
        <w:tab/>
        <w:t>The aforementioned fees shall be paid by the permittee to the Louisiana Department of Agriculture and Forestry at the time of application for nursery certificate permits, which permits shall expire on January 31 of each year and shall be renewed annually.</w:t>
      </w:r>
    </w:p>
    <w:bookmarkEnd w:id="1366"/>
    <w:p w14:paraId="3CE2777D" w14:textId="77777777" w:rsidR="00CF626A" w:rsidRPr="001531CD" w:rsidRDefault="00CF626A">
      <w:pPr>
        <w:pStyle w:val="AuthorityNote"/>
      </w:pPr>
      <w:r w:rsidRPr="001531CD">
        <w:t>AUTHORITY NOTE:</w:t>
      </w:r>
      <w:r w:rsidRPr="001531CD">
        <w:tab/>
        <w:t>Promulgated in accordance with R.S. 3:1655 and R.S. 3:1652.</w:t>
      </w:r>
    </w:p>
    <w:p w14:paraId="570ED5B8" w14:textId="70D6BD61" w:rsidR="00CF626A" w:rsidRPr="001531CD" w:rsidRDefault="00CF626A">
      <w:pPr>
        <w:pStyle w:val="HistoricalNote"/>
      </w:pPr>
      <w:r w:rsidRPr="001531CD">
        <w:t>HISTORICAL NOTE:</w:t>
      </w:r>
      <w:r w:rsidRPr="001531CD">
        <w:tab/>
        <w:t>Promulgated by the Department of Agriculture and Forestry, Office of Agricultural and Environmental Sciences, LR 15:78 (February 1989), ame</w:t>
      </w:r>
      <w:r w:rsidR="00C8044B">
        <w:t>nded LR 29:2297 (November 2003), LR 51:26 (January 2025)</w:t>
      </w:r>
      <w:r w:rsidR="001B159C">
        <w:t xml:space="preserve">, </w:t>
      </w:r>
      <w:r w:rsidR="001B159C" w:rsidRPr="00B7246F">
        <w:t>LR 52:348 (March 2026)</w:t>
      </w:r>
      <w:r w:rsidR="00C8044B">
        <w:t>.</w:t>
      </w:r>
    </w:p>
    <w:p w14:paraId="6F29CF7A" w14:textId="77777777" w:rsidR="00CF626A" w:rsidRPr="001531CD" w:rsidRDefault="00CF626A">
      <w:pPr>
        <w:pStyle w:val="Section"/>
      </w:pPr>
      <w:bookmarkStart w:id="1367" w:name="_Toc256754597"/>
      <w:bookmarkStart w:id="1368" w:name="_Toc224818910"/>
      <w:r w:rsidRPr="001531CD">
        <w:t>§127.</w:t>
      </w:r>
      <w:r w:rsidRPr="001531CD">
        <w:tab/>
        <w:t>Citrus Nursery Stock, Scions and Budwood</w:t>
      </w:r>
      <w:bookmarkEnd w:id="1367"/>
      <w:bookmarkEnd w:id="1368"/>
    </w:p>
    <w:p w14:paraId="32098125" w14:textId="77777777" w:rsidR="00CF626A" w:rsidRPr="001531CD" w:rsidRDefault="00CF626A">
      <w:pPr>
        <w:pStyle w:val="A"/>
      </w:pPr>
      <w:r w:rsidRPr="001531CD">
        <w:t>A.</w:t>
      </w:r>
      <w:r w:rsidRPr="001531CD">
        <w:tab/>
        <w:t>The purchaser in Louisiana of out-of-state nursery stock will be held responsible for proof of origin of citrus trees in his possession. Purchase receipts will be considered adequate proof of origin, but citrus invoice reports will not be considered adequate proof.</w:t>
      </w:r>
    </w:p>
    <w:p w14:paraId="31AC2BCE" w14:textId="77777777" w:rsidR="00CF626A" w:rsidRPr="001531CD" w:rsidRDefault="00CF626A">
      <w:pPr>
        <w:pStyle w:val="A"/>
      </w:pPr>
      <w:r w:rsidRPr="001531CD">
        <w:t>B.</w:t>
      </w:r>
      <w:r w:rsidRPr="001531CD">
        <w:tab/>
        <w:t>Citrus nursery stock, scions and/or budwood may move into Louisiana from areas where tristeza is not known to occur, provided the certifying official in the state of origin states on the certificate of inspection that the nursery is located in an area of the state of origin in which tristeza is not known to occur.</w:t>
      </w:r>
    </w:p>
    <w:p w14:paraId="35193CA0" w14:textId="77777777" w:rsidR="00CF626A" w:rsidRPr="001531CD" w:rsidRDefault="0085188F">
      <w:pPr>
        <w:pStyle w:val="A"/>
      </w:pPr>
      <w:r>
        <w:t>C.</w:t>
      </w:r>
      <w:r>
        <w:tab/>
      </w:r>
      <w:r w:rsidRPr="00E15513">
        <w:t>Citrus nursery stock, scions and/or budwood may move into Louisiana from areas in which tristeza is known to occur, provided it has been grown under a citrus budwood registration program against tristeza, xyloporosis, psorosis and exocortis, and provided that under this registration program the following are required.</w:t>
      </w:r>
    </w:p>
    <w:p w14:paraId="2437A835" w14:textId="77777777" w:rsidR="00CF626A" w:rsidRPr="001531CD" w:rsidRDefault="00CF626A">
      <w:pPr>
        <w:pStyle w:val="1"/>
      </w:pPr>
      <w:r w:rsidRPr="001531CD">
        <w:t>1.</w:t>
      </w:r>
      <w:r w:rsidRPr="001531CD">
        <w:tab/>
        <w:t>The nursery stock, scions and/or budwood is from parent stock that has been tested on trifoliata rootstock at least three years and shows no indication of exocortis.</w:t>
      </w:r>
    </w:p>
    <w:p w14:paraId="063CCA2E" w14:textId="77777777" w:rsidR="00CF626A" w:rsidRPr="001531CD" w:rsidRDefault="00CF626A">
      <w:pPr>
        <w:pStyle w:val="1"/>
      </w:pPr>
      <w:r w:rsidRPr="001531CD">
        <w:t>2.</w:t>
      </w:r>
      <w:r w:rsidRPr="001531CD">
        <w:tab/>
        <w:t>The nursery stock, scions and/or budwood is from parent stock which has been indexed and found free of tristeza within 12 months before shipment.</w:t>
      </w:r>
    </w:p>
    <w:p w14:paraId="652500C7" w14:textId="77777777" w:rsidR="00CF626A" w:rsidRPr="001531CD" w:rsidRDefault="0085188F">
      <w:pPr>
        <w:pStyle w:val="1"/>
      </w:pPr>
      <w:r w:rsidRPr="00E15513">
        <w:t>3.</w:t>
      </w:r>
      <w:r w:rsidRPr="00E15513">
        <w:tab/>
        <w:t>The nursery stock, scions and/or budwood is from parent stock that has been indexed and found free of psorosis and the cachexia virulent strain of xyloporosis.</w:t>
      </w:r>
    </w:p>
    <w:p w14:paraId="579BC9BA" w14:textId="77777777" w:rsidR="00CF626A" w:rsidRPr="001531CD" w:rsidRDefault="00CF626A">
      <w:pPr>
        <w:pStyle w:val="1"/>
      </w:pPr>
      <w:r w:rsidRPr="001531CD">
        <w:t>4.</w:t>
      </w:r>
      <w:r w:rsidRPr="001531CD">
        <w:tab/>
        <w:t>The grower has filed a copy of his nursery certificate of inspection with the state entomologist.</w:t>
      </w:r>
    </w:p>
    <w:p w14:paraId="0E96D2F1" w14:textId="77777777" w:rsidR="00CF626A" w:rsidRPr="001531CD" w:rsidRDefault="00CF626A">
      <w:pPr>
        <w:pStyle w:val="1"/>
      </w:pPr>
      <w:r w:rsidRPr="001531CD">
        <w:t>5.</w:t>
      </w:r>
      <w:r w:rsidRPr="001531CD">
        <w:tab/>
        <w:t>Each shipment is accompanied by a Louisiana citrus permit tag and a budwood registration tag issued by the appropriate certifying official in the state of origin.</w:t>
      </w:r>
    </w:p>
    <w:p w14:paraId="4B273061" w14:textId="77777777" w:rsidR="00CF626A" w:rsidRDefault="00CF626A">
      <w:pPr>
        <w:pStyle w:val="1"/>
      </w:pPr>
      <w:r w:rsidRPr="001531CD">
        <w:t>6.</w:t>
      </w:r>
      <w:r w:rsidRPr="001531CD">
        <w:tab/>
        <w:t>Each shipment is accompanied by a citrus invoice report issued by the certifying official of the state of origin, showing the name of the grower; name of consignee; number of trees, scions and/or buds; registered number of parent trees; variety of bud and kind of rootstock. If shipment includes budwood, it must be accompanied by a bud cutting report. A copy of the invoice and bud cutting report, when required, must be mailed to the state entomologist prior to shipment.</w:t>
      </w:r>
    </w:p>
    <w:p w14:paraId="3977E85C" w14:textId="77777777" w:rsidR="003E2396" w:rsidRPr="00794F84" w:rsidRDefault="003E2396" w:rsidP="003E2396">
      <w:pPr>
        <w:pStyle w:val="A"/>
      </w:pPr>
      <w:r w:rsidRPr="00794F84">
        <w:t>D.</w:t>
      </w:r>
      <w:r w:rsidRPr="00794F84">
        <w:tab/>
        <w:t>Citrus Greening</w:t>
      </w:r>
    </w:p>
    <w:p w14:paraId="4819D335" w14:textId="77777777" w:rsidR="003E2396" w:rsidRPr="00794F84" w:rsidRDefault="003E2396" w:rsidP="003E2396">
      <w:pPr>
        <w:pStyle w:val="1"/>
      </w:pPr>
      <w:r w:rsidRPr="00794F84">
        <w:t>1.</w:t>
      </w:r>
      <w:r w:rsidRPr="00794F84">
        <w:tab/>
        <w:t xml:space="preserve">The department issues the following quarantine because the state entomologist has determined that citrus greening disease (CG), also known as Huanglongbing disease of citrus, caused by the bacterial pathogen </w:t>
      </w:r>
      <w:r w:rsidRPr="00794F84">
        <w:rPr>
          <w:i/>
          <w:iCs/>
        </w:rPr>
        <w:t xml:space="preserve">Candidatus </w:t>
      </w:r>
      <w:r w:rsidRPr="00794F84">
        <w:rPr>
          <w:i/>
        </w:rPr>
        <w:t>Liberibacter spp.</w:t>
      </w:r>
      <w:r w:rsidRPr="00794F84">
        <w:t>, has been found in this state and may be prevented, controlled, or eradicated by quarantine.</w:t>
      </w:r>
    </w:p>
    <w:p w14:paraId="21C88487" w14:textId="77777777" w:rsidR="003E2396" w:rsidRPr="00794F84" w:rsidRDefault="003E2396" w:rsidP="003E2396">
      <w:pPr>
        <w:pStyle w:val="1"/>
        <w:rPr>
          <w:bCs/>
        </w:rPr>
      </w:pPr>
      <w:r w:rsidRPr="00794F84">
        <w:rPr>
          <w:rStyle w:val="Strong"/>
          <w:b w:val="0"/>
          <w:color w:val="000000"/>
        </w:rPr>
        <w:t>2.</w:t>
      </w:r>
      <w:r w:rsidRPr="00794F84">
        <w:rPr>
          <w:rStyle w:val="Strong"/>
          <w:b w:val="0"/>
          <w:color w:val="000000"/>
        </w:rPr>
        <w:tab/>
      </w:r>
      <w:r w:rsidR="00892E37" w:rsidRPr="0098101E">
        <w:rPr>
          <w:bCs/>
          <w:color w:val="000000"/>
          <w:lang w:eastAsia="x-none"/>
        </w:rPr>
        <w:t xml:space="preserve">Quarantined Areas. </w:t>
      </w:r>
      <w:r w:rsidR="00892E37" w:rsidRPr="0098101E">
        <w:t xml:space="preserve">The quarantined areas in this state are the parishes of Orleans, Washington, Jefferson, St. Bernard, Plaquemines, St. Charles and any other areas found to be infested with CG. The declaration of any other specific parishes or areas shall be published in the official journal of the state and in the </w:t>
      </w:r>
      <w:r w:rsidR="00892E37" w:rsidRPr="0098101E">
        <w:rPr>
          <w:i/>
        </w:rPr>
        <w:t>Louisiana Register</w:t>
      </w:r>
      <w:r w:rsidR="00892E37" w:rsidRPr="0098101E">
        <w:t>.</w:t>
      </w:r>
    </w:p>
    <w:p w14:paraId="2490F494" w14:textId="77777777" w:rsidR="003E2396" w:rsidRPr="00794F84" w:rsidRDefault="003E2396" w:rsidP="003E2396">
      <w:pPr>
        <w:pStyle w:val="1"/>
        <w:rPr>
          <w:color w:val="000000"/>
        </w:rPr>
      </w:pPr>
      <w:r w:rsidRPr="00794F84">
        <w:rPr>
          <w:color w:val="000000"/>
        </w:rPr>
        <w:t>3.</w:t>
      </w:r>
      <w:r w:rsidRPr="00794F84">
        <w:rPr>
          <w:color w:val="000000"/>
        </w:rPr>
        <w:tab/>
      </w:r>
      <w:r w:rsidRPr="00794F84">
        <w:rPr>
          <w:rStyle w:val="Strong"/>
          <w:b w:val="0"/>
          <w:color w:val="000000"/>
        </w:rPr>
        <w:t>Regulated Materials</w:t>
      </w:r>
      <w:r w:rsidRPr="00794F84">
        <w:rPr>
          <w:color w:val="000000"/>
        </w:rPr>
        <w:t xml:space="preserve">. </w:t>
      </w:r>
      <w:r w:rsidRPr="00794F84">
        <w:t>The following materials are hosts of CG and their movement is prohibited from CG-quarantined areas due to the presence of CG:</w:t>
      </w:r>
    </w:p>
    <w:p w14:paraId="68039AD2" w14:textId="77777777" w:rsidR="003E2396" w:rsidRPr="00794F84" w:rsidRDefault="003E2396" w:rsidP="003E2396">
      <w:pPr>
        <w:pStyle w:val="a0"/>
      </w:pPr>
      <w:r w:rsidRPr="00794F84">
        <w:t>a.</w:t>
      </w:r>
      <w:r w:rsidRPr="00794F84">
        <w:tab/>
        <w:t xml:space="preserve">all plants and plant parts, including but not limited to nursery stock, cuttings, budwood, and propagative seed (but excluding fruit), of: </w:t>
      </w:r>
      <w:r w:rsidRPr="00794F84">
        <w:rPr>
          <w:iCs/>
        </w:rPr>
        <w:t>Aegle marmelos</w:t>
      </w:r>
      <w:r w:rsidRPr="00794F84">
        <w:t xml:space="preserve">, </w:t>
      </w:r>
      <w:r w:rsidRPr="00794F84">
        <w:rPr>
          <w:i/>
          <w:iCs/>
        </w:rPr>
        <w:t>Aeglopsis chevalieri</w:t>
      </w:r>
      <w:r w:rsidRPr="00794F84">
        <w:t xml:space="preserve">, </w:t>
      </w:r>
      <w:r w:rsidRPr="00794F84">
        <w:rPr>
          <w:i/>
          <w:iCs/>
        </w:rPr>
        <w:t>Afraegle gabonensis</w:t>
      </w:r>
      <w:r w:rsidRPr="00794F84">
        <w:t xml:space="preserve">, </w:t>
      </w:r>
      <w:r w:rsidRPr="00794F84">
        <w:rPr>
          <w:i/>
          <w:iCs/>
        </w:rPr>
        <w:t>Afraegle</w:t>
      </w:r>
      <w:r w:rsidRPr="00794F84">
        <w:rPr>
          <w:i/>
        </w:rPr>
        <w:t xml:space="preserve"> </w:t>
      </w:r>
      <w:r w:rsidRPr="00794F84">
        <w:rPr>
          <w:i/>
          <w:iCs/>
        </w:rPr>
        <w:t>paniculata</w:t>
      </w:r>
      <w:r w:rsidRPr="00794F84">
        <w:t xml:space="preserve">, </w:t>
      </w:r>
      <w:r w:rsidRPr="00794F84">
        <w:rPr>
          <w:i/>
          <w:iCs/>
        </w:rPr>
        <w:t>Amyris madrensis</w:t>
      </w:r>
      <w:r w:rsidRPr="00794F84">
        <w:t xml:space="preserve">, </w:t>
      </w:r>
      <w:r w:rsidRPr="00794F84">
        <w:rPr>
          <w:i/>
          <w:iCs/>
        </w:rPr>
        <w:t>Atalantia</w:t>
      </w:r>
      <w:r w:rsidRPr="00794F84">
        <w:rPr>
          <w:i/>
        </w:rPr>
        <w:t xml:space="preserve"> spp. </w:t>
      </w:r>
      <w:r w:rsidRPr="00794F84">
        <w:t xml:space="preserve">(including </w:t>
      </w:r>
      <w:r w:rsidRPr="00794F84">
        <w:rPr>
          <w:i/>
          <w:iCs/>
        </w:rPr>
        <w:t>Atalantia monophylla</w:t>
      </w:r>
      <w:r w:rsidRPr="00794F84">
        <w:rPr>
          <w:i/>
        </w:rPr>
        <w:t>)</w:t>
      </w:r>
      <w:r w:rsidRPr="00794F84">
        <w:t xml:space="preserve">, </w:t>
      </w:r>
      <w:r w:rsidRPr="00794F84">
        <w:rPr>
          <w:i/>
          <w:iCs/>
        </w:rPr>
        <w:t>Balsamocitrus dawei</w:t>
      </w:r>
      <w:r w:rsidRPr="00794F84">
        <w:rPr>
          <w:i/>
        </w:rPr>
        <w:t xml:space="preserve">, </w:t>
      </w:r>
      <w:r w:rsidRPr="00794F84">
        <w:rPr>
          <w:i/>
          <w:iCs/>
        </w:rPr>
        <w:t>Bergera</w:t>
      </w:r>
      <w:r w:rsidRPr="00794F84">
        <w:rPr>
          <w:i/>
        </w:rPr>
        <w:t xml:space="preserve"> </w:t>
      </w:r>
      <w:r w:rsidRPr="00794F84">
        <w:t>(=</w:t>
      </w:r>
      <w:r w:rsidRPr="00794F84">
        <w:rPr>
          <w:i/>
          <w:iCs/>
        </w:rPr>
        <w:t>Murraya</w:t>
      </w:r>
      <w:r w:rsidRPr="00794F84">
        <w:t xml:space="preserve">) </w:t>
      </w:r>
      <w:r w:rsidRPr="00794F84">
        <w:rPr>
          <w:i/>
          <w:iCs/>
        </w:rPr>
        <w:t>koenigii</w:t>
      </w:r>
      <w:r w:rsidRPr="00794F84">
        <w:t xml:space="preserve">, </w:t>
      </w:r>
      <w:r w:rsidRPr="00794F84">
        <w:rPr>
          <w:i/>
          <w:iCs/>
        </w:rPr>
        <w:t>Calodendrum capense</w:t>
      </w:r>
      <w:r w:rsidRPr="00794F84">
        <w:rPr>
          <w:i/>
        </w:rPr>
        <w:t xml:space="preserve">, </w:t>
      </w:r>
      <w:r w:rsidRPr="00794F84">
        <w:rPr>
          <w:i/>
          <w:iCs/>
        </w:rPr>
        <w:t>Choisya ternata</w:t>
      </w:r>
      <w:r w:rsidRPr="00794F84">
        <w:rPr>
          <w:i/>
        </w:rPr>
        <w:t xml:space="preserve">, </w:t>
      </w:r>
      <w:r w:rsidRPr="00794F84">
        <w:rPr>
          <w:i/>
          <w:iCs/>
        </w:rPr>
        <w:t>Choisya</w:t>
      </w:r>
      <w:r w:rsidRPr="00794F84">
        <w:rPr>
          <w:i/>
        </w:rPr>
        <w:t xml:space="preserve"> </w:t>
      </w:r>
      <w:r w:rsidRPr="00794F84">
        <w:rPr>
          <w:i/>
          <w:iCs/>
        </w:rPr>
        <w:t>arizonica</w:t>
      </w:r>
      <w:r w:rsidRPr="00794F84">
        <w:rPr>
          <w:i/>
        </w:rPr>
        <w:t xml:space="preserve">, X </w:t>
      </w:r>
      <w:r w:rsidRPr="00794F84">
        <w:rPr>
          <w:i/>
          <w:iCs/>
        </w:rPr>
        <w:t>Citroncirus webberi</w:t>
      </w:r>
      <w:r w:rsidRPr="00794F84">
        <w:rPr>
          <w:i/>
        </w:rPr>
        <w:t xml:space="preserve">, </w:t>
      </w:r>
      <w:r w:rsidRPr="00794F84">
        <w:rPr>
          <w:i/>
          <w:iCs/>
        </w:rPr>
        <w:t>Citropsis articulata</w:t>
      </w:r>
      <w:r w:rsidRPr="00794F84">
        <w:rPr>
          <w:i/>
        </w:rPr>
        <w:t xml:space="preserve">, </w:t>
      </w:r>
      <w:r w:rsidRPr="00794F84">
        <w:rPr>
          <w:i/>
          <w:iCs/>
        </w:rPr>
        <w:t>Citropsis gilletiana</w:t>
      </w:r>
      <w:r w:rsidRPr="00794F84">
        <w:rPr>
          <w:i/>
        </w:rPr>
        <w:t xml:space="preserve">, </w:t>
      </w:r>
      <w:r w:rsidRPr="00794F84">
        <w:rPr>
          <w:i/>
          <w:iCs/>
        </w:rPr>
        <w:t>Citrus madurensis</w:t>
      </w:r>
      <w:r w:rsidRPr="00794F84">
        <w:rPr>
          <w:i/>
        </w:rPr>
        <w:t xml:space="preserve"> </w:t>
      </w:r>
      <w:r w:rsidRPr="00794F84">
        <w:t xml:space="preserve">(= </w:t>
      </w:r>
      <w:r w:rsidRPr="00794F84">
        <w:rPr>
          <w:i/>
        </w:rPr>
        <w:t xml:space="preserve">X </w:t>
      </w:r>
      <w:r w:rsidRPr="00794F84">
        <w:rPr>
          <w:i/>
          <w:iCs/>
        </w:rPr>
        <w:t>Citrofortunella microcarpa</w:t>
      </w:r>
      <w:r w:rsidRPr="00794F84">
        <w:t xml:space="preserve">), </w:t>
      </w:r>
      <w:r w:rsidRPr="00794F84">
        <w:rPr>
          <w:i/>
          <w:iCs/>
        </w:rPr>
        <w:t>Citrus</w:t>
      </w:r>
      <w:r w:rsidRPr="00794F84">
        <w:rPr>
          <w:i/>
        </w:rPr>
        <w:t xml:space="preserve"> spp.</w:t>
      </w:r>
      <w:r w:rsidRPr="00794F84">
        <w:t xml:space="preserve">, </w:t>
      </w:r>
      <w:r w:rsidRPr="00794F84">
        <w:rPr>
          <w:i/>
          <w:iCs/>
        </w:rPr>
        <w:t>Clausena anisum-olens</w:t>
      </w:r>
      <w:r w:rsidRPr="00794F84">
        <w:t xml:space="preserve">, </w:t>
      </w:r>
      <w:r w:rsidRPr="00794F84">
        <w:rPr>
          <w:i/>
          <w:iCs/>
        </w:rPr>
        <w:t>Clausena</w:t>
      </w:r>
      <w:r w:rsidRPr="00794F84">
        <w:rPr>
          <w:i/>
        </w:rPr>
        <w:t xml:space="preserve"> </w:t>
      </w:r>
      <w:r w:rsidRPr="00794F84">
        <w:rPr>
          <w:i/>
          <w:iCs/>
        </w:rPr>
        <w:t>excavata</w:t>
      </w:r>
      <w:r w:rsidRPr="00794F84">
        <w:t xml:space="preserve">, </w:t>
      </w:r>
      <w:r w:rsidRPr="00C90F3E">
        <w:rPr>
          <w:i/>
          <w:iCs/>
        </w:rPr>
        <w:t>Clausena</w:t>
      </w:r>
      <w:r w:rsidRPr="00C90F3E">
        <w:rPr>
          <w:i/>
        </w:rPr>
        <w:t xml:space="preserve"> </w:t>
      </w:r>
      <w:r w:rsidRPr="00C90F3E">
        <w:rPr>
          <w:i/>
          <w:iCs/>
        </w:rPr>
        <w:t>indica</w:t>
      </w:r>
      <w:r w:rsidRPr="00794F84">
        <w:t xml:space="preserve">, </w:t>
      </w:r>
      <w:r w:rsidRPr="00C90F3E">
        <w:rPr>
          <w:i/>
          <w:iCs/>
        </w:rPr>
        <w:t>Clausena</w:t>
      </w:r>
      <w:r w:rsidRPr="00C90F3E">
        <w:rPr>
          <w:i/>
        </w:rPr>
        <w:t xml:space="preserve"> </w:t>
      </w:r>
      <w:r w:rsidRPr="00C90F3E">
        <w:rPr>
          <w:i/>
          <w:iCs/>
        </w:rPr>
        <w:t>lansium</w:t>
      </w:r>
      <w:r w:rsidRPr="00794F84">
        <w:t xml:space="preserve">, </w:t>
      </w:r>
      <w:r w:rsidRPr="00794F84">
        <w:rPr>
          <w:i/>
          <w:iCs/>
        </w:rPr>
        <w:t>Eremocitrus glauca</w:t>
      </w:r>
      <w:r w:rsidRPr="00794F84">
        <w:t xml:space="preserve">, </w:t>
      </w:r>
      <w:r w:rsidRPr="00794F84">
        <w:rPr>
          <w:i/>
          <w:iCs/>
        </w:rPr>
        <w:t>Eremocitrus</w:t>
      </w:r>
      <w:r w:rsidRPr="00794F84">
        <w:rPr>
          <w:i/>
        </w:rPr>
        <w:t xml:space="preserve"> hybrid</w:t>
      </w:r>
      <w:r w:rsidRPr="00794F84">
        <w:t xml:space="preserve">, </w:t>
      </w:r>
      <w:r w:rsidRPr="00794F84">
        <w:rPr>
          <w:i/>
          <w:iCs/>
        </w:rPr>
        <w:t>Esenbeckia berlandieri</w:t>
      </w:r>
      <w:r w:rsidRPr="00794F84">
        <w:t xml:space="preserve">, </w:t>
      </w:r>
      <w:r w:rsidRPr="00794F84">
        <w:rPr>
          <w:i/>
          <w:iCs/>
        </w:rPr>
        <w:t>Fortunella</w:t>
      </w:r>
      <w:r w:rsidRPr="00794F84">
        <w:rPr>
          <w:i/>
        </w:rPr>
        <w:t xml:space="preserve"> spp.</w:t>
      </w:r>
      <w:r w:rsidRPr="00794F84">
        <w:t xml:space="preserve">, </w:t>
      </w:r>
      <w:r w:rsidRPr="00794F84">
        <w:rPr>
          <w:i/>
          <w:iCs/>
        </w:rPr>
        <w:t>Limonia acidissima</w:t>
      </w:r>
      <w:r w:rsidRPr="00794F84">
        <w:t xml:space="preserve">, </w:t>
      </w:r>
      <w:r w:rsidRPr="00794F84">
        <w:rPr>
          <w:i/>
          <w:iCs/>
        </w:rPr>
        <w:t>Merrillia caloxylon</w:t>
      </w:r>
      <w:r w:rsidRPr="00794F84">
        <w:t xml:space="preserve">, </w:t>
      </w:r>
      <w:r w:rsidRPr="00794F84">
        <w:rPr>
          <w:i/>
          <w:iCs/>
        </w:rPr>
        <w:t>Microcitrus australasica</w:t>
      </w:r>
      <w:r w:rsidRPr="00794F84">
        <w:rPr>
          <w:iCs/>
        </w:rPr>
        <w:t xml:space="preserve">, </w:t>
      </w:r>
      <w:r w:rsidRPr="00794F84">
        <w:rPr>
          <w:i/>
          <w:iCs/>
        </w:rPr>
        <w:t>Microcitrus</w:t>
      </w:r>
      <w:r w:rsidRPr="00794F84">
        <w:rPr>
          <w:i/>
        </w:rPr>
        <w:t xml:space="preserve"> </w:t>
      </w:r>
      <w:r w:rsidRPr="00794F84">
        <w:rPr>
          <w:i/>
          <w:iCs/>
        </w:rPr>
        <w:t>australis</w:t>
      </w:r>
      <w:r w:rsidRPr="00794F84">
        <w:t xml:space="preserve">, </w:t>
      </w:r>
      <w:r w:rsidRPr="00794F84">
        <w:rPr>
          <w:i/>
          <w:iCs/>
        </w:rPr>
        <w:t>Microcitrus</w:t>
      </w:r>
      <w:r w:rsidRPr="00794F84">
        <w:rPr>
          <w:i/>
        </w:rPr>
        <w:t xml:space="preserve"> </w:t>
      </w:r>
      <w:r w:rsidRPr="00794F84">
        <w:rPr>
          <w:i/>
          <w:iCs/>
        </w:rPr>
        <w:t>papuana</w:t>
      </w:r>
      <w:r w:rsidRPr="00794F84">
        <w:rPr>
          <w:iCs/>
        </w:rPr>
        <w:t>,</w:t>
      </w:r>
      <w:r w:rsidRPr="00794F84">
        <w:t xml:space="preserve"> </w:t>
      </w:r>
      <w:r w:rsidRPr="00794F84">
        <w:rPr>
          <w:i/>
        </w:rPr>
        <w:t xml:space="preserve">X </w:t>
      </w:r>
      <w:r w:rsidRPr="00794F84">
        <w:rPr>
          <w:i/>
          <w:iCs/>
        </w:rPr>
        <w:t>Microcitronella</w:t>
      </w:r>
      <w:r w:rsidRPr="00794F84">
        <w:rPr>
          <w:i/>
        </w:rPr>
        <w:t xml:space="preserve"> spp.</w:t>
      </w:r>
      <w:r w:rsidRPr="00794F84">
        <w:t xml:space="preserve">, </w:t>
      </w:r>
      <w:r w:rsidRPr="00794F84">
        <w:rPr>
          <w:i/>
          <w:iCs/>
        </w:rPr>
        <w:t>Murraya</w:t>
      </w:r>
      <w:r w:rsidRPr="00794F84">
        <w:rPr>
          <w:i/>
        </w:rPr>
        <w:t xml:space="preserve"> spp.</w:t>
      </w:r>
      <w:r w:rsidRPr="00794F84">
        <w:t xml:space="preserve">, </w:t>
      </w:r>
      <w:r w:rsidRPr="00794F84">
        <w:rPr>
          <w:i/>
          <w:iCs/>
        </w:rPr>
        <w:t>Naringi crenulata</w:t>
      </w:r>
      <w:r w:rsidRPr="00794F84">
        <w:t xml:space="preserve">, </w:t>
      </w:r>
      <w:r w:rsidRPr="00794F84">
        <w:rPr>
          <w:i/>
          <w:iCs/>
        </w:rPr>
        <w:t>Pamburus missionis</w:t>
      </w:r>
      <w:r w:rsidRPr="00C90F3E">
        <w:t>,</w:t>
      </w:r>
      <w:r w:rsidRPr="00C90F3E">
        <w:rPr>
          <w:i/>
        </w:rPr>
        <w:t xml:space="preserve"> </w:t>
      </w:r>
      <w:r w:rsidRPr="00C90F3E">
        <w:rPr>
          <w:i/>
          <w:iCs/>
        </w:rPr>
        <w:t>Poncirus trifoliata</w:t>
      </w:r>
      <w:r w:rsidRPr="00794F84">
        <w:t xml:space="preserve">, </w:t>
      </w:r>
      <w:r w:rsidRPr="00794F84">
        <w:rPr>
          <w:i/>
          <w:iCs/>
        </w:rPr>
        <w:t>Severinia buxifolia</w:t>
      </w:r>
      <w:r w:rsidRPr="00794F84">
        <w:t xml:space="preserve">, </w:t>
      </w:r>
      <w:r w:rsidRPr="00794F84">
        <w:rPr>
          <w:i/>
          <w:iCs/>
        </w:rPr>
        <w:t>Swinglea glutinosa</w:t>
      </w:r>
      <w:r w:rsidRPr="00794F84">
        <w:t xml:space="preserve">, </w:t>
      </w:r>
      <w:r w:rsidRPr="00794F84">
        <w:rPr>
          <w:i/>
          <w:iCs/>
        </w:rPr>
        <w:t>Tetradium</w:t>
      </w:r>
      <w:r w:rsidRPr="00794F84">
        <w:rPr>
          <w:iCs/>
        </w:rPr>
        <w:t xml:space="preserve"> </w:t>
      </w:r>
      <w:r w:rsidRPr="00794F84">
        <w:rPr>
          <w:i/>
          <w:iCs/>
        </w:rPr>
        <w:t>ruticarpum</w:t>
      </w:r>
      <w:r w:rsidRPr="00794F84">
        <w:t xml:space="preserve">, </w:t>
      </w:r>
      <w:r w:rsidRPr="00794F84">
        <w:rPr>
          <w:i/>
          <w:iCs/>
        </w:rPr>
        <w:t>Toddalia asiatica</w:t>
      </w:r>
      <w:r w:rsidRPr="00794F84">
        <w:t xml:space="preserve">, </w:t>
      </w:r>
      <w:r w:rsidRPr="00794F84">
        <w:rPr>
          <w:i/>
          <w:iCs/>
        </w:rPr>
        <w:t>Triphasia trifolia</w:t>
      </w:r>
      <w:r w:rsidRPr="00794F84">
        <w:t xml:space="preserve">, </w:t>
      </w:r>
      <w:r w:rsidRPr="00794F84">
        <w:rPr>
          <w:i/>
          <w:iCs/>
        </w:rPr>
        <w:t>Vepris</w:t>
      </w:r>
      <w:r w:rsidRPr="00794F84">
        <w:t xml:space="preserve"> (=</w:t>
      </w:r>
      <w:r w:rsidRPr="00794F84">
        <w:rPr>
          <w:i/>
          <w:iCs/>
        </w:rPr>
        <w:t>Toddalia</w:t>
      </w:r>
      <w:r w:rsidRPr="00794F84">
        <w:t xml:space="preserve">) </w:t>
      </w:r>
      <w:r w:rsidRPr="00794F84">
        <w:rPr>
          <w:i/>
          <w:iCs/>
        </w:rPr>
        <w:t>lanceolata</w:t>
      </w:r>
      <w:r w:rsidRPr="00794F84">
        <w:t xml:space="preserve">, and </w:t>
      </w:r>
      <w:r w:rsidRPr="00794F84">
        <w:rPr>
          <w:i/>
          <w:iCs/>
        </w:rPr>
        <w:t>Zanthoxylum fagara</w:t>
      </w:r>
      <w:r w:rsidRPr="00794F84">
        <w:t>;</w:t>
      </w:r>
    </w:p>
    <w:p w14:paraId="6D5747F2" w14:textId="77777777" w:rsidR="009515EC" w:rsidRPr="00EE3F76" w:rsidRDefault="003E2396" w:rsidP="003E2396">
      <w:pPr>
        <w:pStyle w:val="a0"/>
      </w:pPr>
      <w:r w:rsidRPr="00794F84">
        <w:t>b.</w:t>
      </w:r>
      <w:r w:rsidRPr="00794F84">
        <w:tab/>
        <w:t>any other products, materials, articles, or means of conveyance, if an inspector determines that it presents a risk of spreading CG, and after the inspector provides written notification to the person in possession of the products, materials, articles, or means of conveyance that it is subject to the restrictions of the regulations.</w:t>
      </w:r>
    </w:p>
    <w:p w14:paraId="48701110" w14:textId="77777777" w:rsidR="009515EC" w:rsidRPr="00EE3F76" w:rsidRDefault="009515EC" w:rsidP="009515EC">
      <w:pPr>
        <w:pStyle w:val="A"/>
      </w:pPr>
      <w:r w:rsidRPr="00EE3F76">
        <w:t>E.</w:t>
      </w:r>
      <w:r w:rsidRPr="00EE3F76">
        <w:tab/>
        <w:t>Asian Citrus Psyllid Quarantine</w:t>
      </w:r>
    </w:p>
    <w:p w14:paraId="0E4B8049" w14:textId="77777777" w:rsidR="009515EC" w:rsidRPr="00EE3F76" w:rsidRDefault="009515EC" w:rsidP="009515EC">
      <w:pPr>
        <w:pStyle w:val="1"/>
      </w:pPr>
      <w:r w:rsidRPr="00EE3F76">
        <w:t>1.</w:t>
      </w:r>
      <w:r w:rsidRPr="00EE3F76">
        <w:tab/>
        <w:t>The department issues the following quarantine because the state entomologist</w:t>
      </w:r>
      <w:r>
        <w:t xml:space="preserve"> </w:t>
      </w:r>
      <w:r w:rsidRPr="00EE3F76">
        <w:t xml:space="preserve">has determined that </w:t>
      </w:r>
      <w:r w:rsidRPr="004556E7">
        <w:t>Asian citrus psyllid (ACP),</w:t>
      </w:r>
      <w:r w:rsidRPr="00EE3F76">
        <w:rPr>
          <w:iCs/>
        </w:rPr>
        <w:t xml:space="preserve"> </w:t>
      </w:r>
      <w:r w:rsidRPr="004556E7">
        <w:rPr>
          <w:i/>
          <w:iCs/>
        </w:rPr>
        <w:t xml:space="preserve">Diaphorina citri </w:t>
      </w:r>
      <w:r w:rsidRPr="004556E7">
        <w:rPr>
          <w:i/>
        </w:rPr>
        <w:t>Kuwayama</w:t>
      </w:r>
      <w:r w:rsidRPr="00EE3F76">
        <w:t>, has been found in this state and may be prevented, controlled, or eradicated by quarantine.</w:t>
      </w:r>
    </w:p>
    <w:p w14:paraId="01853276" w14:textId="77777777" w:rsidR="009515EC" w:rsidRPr="00EE3F76" w:rsidRDefault="009515EC" w:rsidP="009515EC">
      <w:pPr>
        <w:pStyle w:val="1"/>
        <w:rPr>
          <w:rStyle w:val="Strong"/>
          <w:b w:val="0"/>
          <w:color w:val="000000"/>
        </w:rPr>
      </w:pPr>
      <w:r w:rsidRPr="00EE3F76">
        <w:rPr>
          <w:rStyle w:val="Strong"/>
          <w:b w:val="0"/>
          <w:color w:val="000000"/>
        </w:rPr>
        <w:t>2.</w:t>
      </w:r>
      <w:r w:rsidRPr="00EE3F76">
        <w:rPr>
          <w:rStyle w:val="Strong"/>
          <w:b w:val="0"/>
          <w:color w:val="000000"/>
        </w:rPr>
        <w:tab/>
        <w:t>Quarantined Areas</w:t>
      </w:r>
    </w:p>
    <w:p w14:paraId="6DED8659" w14:textId="77777777" w:rsidR="009515EC" w:rsidRPr="00EE3F76" w:rsidRDefault="009515EC" w:rsidP="009515EC">
      <w:pPr>
        <w:pStyle w:val="a0"/>
      </w:pPr>
      <w:r w:rsidRPr="00EE3F76">
        <w:rPr>
          <w:rStyle w:val="Strong"/>
          <w:b w:val="0"/>
          <w:color w:val="000000"/>
        </w:rPr>
        <w:t>a.</w:t>
      </w:r>
      <w:r w:rsidRPr="00EE3F76">
        <w:rPr>
          <w:rStyle w:val="Strong"/>
          <w:b w:val="0"/>
          <w:color w:val="000000"/>
        </w:rPr>
        <w:tab/>
        <w:t>T</w:t>
      </w:r>
      <w:r w:rsidRPr="00EE3F76">
        <w:t>he United States Department of Agriculture (USDA) has quarantined the entire state of Louisiana for interstate movement of regulated materials.</w:t>
      </w:r>
    </w:p>
    <w:p w14:paraId="4C47E7FD" w14:textId="77777777" w:rsidR="009515EC" w:rsidRPr="00EE3F76" w:rsidRDefault="009515EC" w:rsidP="009515EC">
      <w:pPr>
        <w:pStyle w:val="a0"/>
      </w:pPr>
      <w:r w:rsidRPr="00EE3F76">
        <w:t>b.</w:t>
      </w:r>
      <w:r w:rsidRPr="00EE3F76">
        <w:tab/>
        <w:t xml:space="preserve">The department has quarantined the following areas within this state for intrastate movement of regulated materials: the parishes of Jefferson, Orleans, Lafourche, Plaquemines, St. Bernard, St. Charles, St. James, St. </w:t>
      </w:r>
      <w:r w:rsidRPr="00EE3F76">
        <w:lastRenderedPageBreak/>
        <w:t>Tammany, Tangipahoa, Terrebonne, and any other areas found to be infested with ACP.</w:t>
      </w:r>
      <w:r>
        <w:t xml:space="preserve"> </w:t>
      </w:r>
      <w:r w:rsidRPr="00EE3F76">
        <w:t xml:space="preserve">The declaration of any other specific parish or areas shall be published in the official journal of the state and in the </w:t>
      </w:r>
      <w:r w:rsidRPr="004556E7">
        <w:rPr>
          <w:i/>
        </w:rPr>
        <w:t>Louisiana Register</w:t>
      </w:r>
      <w:r w:rsidRPr="00EE3F76">
        <w:t>.</w:t>
      </w:r>
    </w:p>
    <w:p w14:paraId="7D9BAA40" w14:textId="77777777" w:rsidR="009515EC" w:rsidRPr="00EE3F76" w:rsidRDefault="009515EC" w:rsidP="009515EC">
      <w:pPr>
        <w:pStyle w:val="1"/>
      </w:pPr>
      <w:r w:rsidRPr="00EE3F76">
        <w:rPr>
          <w:rStyle w:val="Strong"/>
          <w:b w:val="0"/>
          <w:color w:val="000000"/>
        </w:rPr>
        <w:t>3.</w:t>
      </w:r>
      <w:r w:rsidRPr="00EE3F76">
        <w:rPr>
          <w:rStyle w:val="Strong"/>
          <w:b w:val="0"/>
          <w:color w:val="000000"/>
        </w:rPr>
        <w:tab/>
        <w:t xml:space="preserve">Regulated Materials. </w:t>
      </w:r>
      <w:r w:rsidRPr="00EE3F76">
        <w:t>The following materials are hosts of ACP and the interstate and intrastate movement of these materials is prohibited from the ACP-quarantined areas listed in Paragraph E.2 due to the presence of ACP:</w:t>
      </w:r>
    </w:p>
    <w:p w14:paraId="57DF552E" w14:textId="77777777" w:rsidR="009515EC" w:rsidRPr="00EE3F76" w:rsidRDefault="009515EC" w:rsidP="009515EC">
      <w:pPr>
        <w:pStyle w:val="a0"/>
      </w:pPr>
      <w:r w:rsidRPr="00EE3F76">
        <w:t>a.</w:t>
      </w:r>
      <w:r w:rsidRPr="00EE3F76">
        <w:tab/>
        <w:t xml:space="preserve">all plants and plant parts, including but not limited to nursery stock, cuttings, and budwood, </w:t>
      </w:r>
      <w:r w:rsidRPr="00EE3F76">
        <w:rPr>
          <w:bCs/>
        </w:rPr>
        <w:t xml:space="preserve">except seed and fruit, </w:t>
      </w:r>
      <w:r>
        <w:t>of</w:t>
      </w:r>
      <w:r w:rsidRPr="00EE3F76">
        <w:t xml:space="preserve"> </w:t>
      </w:r>
      <w:r w:rsidRPr="004556E7">
        <w:rPr>
          <w:i/>
          <w:iCs/>
        </w:rPr>
        <w:t>Aegle marmelos</w:t>
      </w:r>
      <w:r w:rsidRPr="00EE3F76">
        <w:t xml:space="preserve">, </w:t>
      </w:r>
      <w:r w:rsidRPr="004556E7">
        <w:rPr>
          <w:i/>
          <w:iCs/>
        </w:rPr>
        <w:t>Aeglopsis chevalieri</w:t>
      </w:r>
      <w:r w:rsidRPr="00EE3F76">
        <w:t xml:space="preserve">, </w:t>
      </w:r>
      <w:r w:rsidRPr="004556E7">
        <w:rPr>
          <w:i/>
          <w:iCs/>
        </w:rPr>
        <w:t>Afraegle gabonensis</w:t>
      </w:r>
      <w:r w:rsidRPr="00EE3F76">
        <w:t xml:space="preserve">, </w:t>
      </w:r>
      <w:r w:rsidRPr="004556E7">
        <w:rPr>
          <w:i/>
          <w:iCs/>
        </w:rPr>
        <w:t>Afraegle</w:t>
      </w:r>
      <w:r w:rsidRPr="004556E7">
        <w:rPr>
          <w:i/>
        </w:rPr>
        <w:t xml:space="preserve"> </w:t>
      </w:r>
      <w:r w:rsidRPr="004556E7">
        <w:rPr>
          <w:i/>
          <w:iCs/>
        </w:rPr>
        <w:t>paniculata</w:t>
      </w:r>
      <w:r w:rsidRPr="00EE3F76">
        <w:t xml:space="preserve">, </w:t>
      </w:r>
      <w:r w:rsidRPr="004556E7">
        <w:rPr>
          <w:i/>
          <w:iCs/>
        </w:rPr>
        <w:t>Amyris madrensis</w:t>
      </w:r>
      <w:r w:rsidRPr="00EE3F76">
        <w:t xml:space="preserve">, </w:t>
      </w:r>
      <w:r w:rsidRPr="004556E7">
        <w:rPr>
          <w:i/>
          <w:iCs/>
        </w:rPr>
        <w:t>Atalantia</w:t>
      </w:r>
      <w:r w:rsidRPr="004556E7">
        <w:rPr>
          <w:i/>
        </w:rPr>
        <w:t xml:space="preserve"> spp.</w:t>
      </w:r>
      <w:r w:rsidRPr="00EE3F76">
        <w:t xml:space="preserve"> (including </w:t>
      </w:r>
      <w:r w:rsidRPr="004556E7">
        <w:rPr>
          <w:i/>
          <w:iCs/>
        </w:rPr>
        <w:t>Atalantia monophylla</w:t>
      </w:r>
      <w:r w:rsidRPr="00EE3F76">
        <w:t xml:space="preserve">), </w:t>
      </w:r>
      <w:r w:rsidRPr="004556E7">
        <w:rPr>
          <w:i/>
          <w:iCs/>
        </w:rPr>
        <w:t>Balsamocitrus dawei</w:t>
      </w:r>
      <w:r w:rsidRPr="00EE3F76">
        <w:t xml:space="preserve">, </w:t>
      </w:r>
      <w:r w:rsidRPr="004556E7">
        <w:rPr>
          <w:i/>
          <w:iCs/>
        </w:rPr>
        <w:t>Bergera</w:t>
      </w:r>
      <w:r w:rsidRPr="00EE3F76">
        <w:t xml:space="preserve"> (=</w:t>
      </w:r>
      <w:r w:rsidRPr="004556E7">
        <w:rPr>
          <w:i/>
          <w:iCs/>
        </w:rPr>
        <w:t>Murraya</w:t>
      </w:r>
      <w:r w:rsidRPr="00EE3F76">
        <w:t xml:space="preserve">) </w:t>
      </w:r>
      <w:r w:rsidRPr="004556E7">
        <w:rPr>
          <w:i/>
          <w:iCs/>
        </w:rPr>
        <w:t>koenigii</w:t>
      </w:r>
      <w:r w:rsidRPr="004556E7">
        <w:rPr>
          <w:i/>
        </w:rPr>
        <w:t xml:space="preserve">, </w:t>
      </w:r>
      <w:r w:rsidRPr="004556E7">
        <w:rPr>
          <w:i/>
          <w:iCs/>
        </w:rPr>
        <w:t>Calodendrum capense</w:t>
      </w:r>
      <w:r w:rsidRPr="00EE3F76">
        <w:t xml:space="preserve">, </w:t>
      </w:r>
      <w:r w:rsidRPr="004556E7">
        <w:rPr>
          <w:i/>
          <w:iCs/>
        </w:rPr>
        <w:t>Choisya ternata</w:t>
      </w:r>
      <w:r w:rsidRPr="00EE3F76">
        <w:t xml:space="preserve">, </w:t>
      </w:r>
      <w:r w:rsidRPr="004556E7">
        <w:rPr>
          <w:i/>
          <w:iCs/>
        </w:rPr>
        <w:t>Choisya</w:t>
      </w:r>
      <w:r w:rsidRPr="004556E7">
        <w:rPr>
          <w:i/>
        </w:rPr>
        <w:t xml:space="preserve"> </w:t>
      </w:r>
      <w:r w:rsidRPr="004556E7">
        <w:rPr>
          <w:i/>
          <w:iCs/>
        </w:rPr>
        <w:t>arizonica</w:t>
      </w:r>
      <w:r w:rsidRPr="00EE3F76">
        <w:t xml:space="preserve">, </w:t>
      </w:r>
      <w:r w:rsidRPr="004556E7">
        <w:rPr>
          <w:i/>
        </w:rPr>
        <w:t xml:space="preserve">X </w:t>
      </w:r>
      <w:r w:rsidRPr="004556E7">
        <w:rPr>
          <w:i/>
          <w:iCs/>
        </w:rPr>
        <w:t>Citroncirus webberi</w:t>
      </w:r>
      <w:r w:rsidRPr="00EE3F76">
        <w:t xml:space="preserve">, </w:t>
      </w:r>
      <w:r w:rsidRPr="00EE3F76">
        <w:rPr>
          <w:iCs/>
        </w:rPr>
        <w:t>Citropsis articulata</w:t>
      </w:r>
      <w:r w:rsidRPr="00EE3F76">
        <w:t xml:space="preserve">, </w:t>
      </w:r>
      <w:r w:rsidRPr="004556E7">
        <w:rPr>
          <w:i/>
          <w:iCs/>
        </w:rPr>
        <w:t>Citropsis gilletiana</w:t>
      </w:r>
      <w:r w:rsidRPr="00EE3F76">
        <w:t xml:space="preserve">, </w:t>
      </w:r>
      <w:r w:rsidRPr="004556E7">
        <w:rPr>
          <w:i/>
          <w:iCs/>
        </w:rPr>
        <w:t>Citrus madurensis</w:t>
      </w:r>
      <w:r w:rsidRPr="00EE3F76">
        <w:t xml:space="preserve"> (= </w:t>
      </w:r>
      <w:r w:rsidRPr="004556E7">
        <w:rPr>
          <w:i/>
        </w:rPr>
        <w:t xml:space="preserve">X </w:t>
      </w:r>
      <w:r w:rsidRPr="004556E7">
        <w:rPr>
          <w:i/>
          <w:iCs/>
        </w:rPr>
        <w:t>Citrofortunella microcarpa</w:t>
      </w:r>
      <w:r w:rsidRPr="00EE3F76">
        <w:t xml:space="preserve">), </w:t>
      </w:r>
      <w:r w:rsidRPr="004556E7">
        <w:rPr>
          <w:i/>
          <w:iCs/>
        </w:rPr>
        <w:t>Citrus</w:t>
      </w:r>
      <w:r w:rsidRPr="004556E7">
        <w:rPr>
          <w:i/>
        </w:rPr>
        <w:t xml:space="preserve"> spp.</w:t>
      </w:r>
      <w:r w:rsidRPr="00EE3F76">
        <w:t xml:space="preserve">, </w:t>
      </w:r>
      <w:r w:rsidRPr="004556E7">
        <w:rPr>
          <w:i/>
          <w:iCs/>
        </w:rPr>
        <w:t>Clausena anisum-olens</w:t>
      </w:r>
      <w:r w:rsidRPr="00EE3F76">
        <w:t xml:space="preserve">, </w:t>
      </w:r>
      <w:r w:rsidRPr="004556E7">
        <w:rPr>
          <w:i/>
          <w:iCs/>
        </w:rPr>
        <w:t>Clausena</w:t>
      </w:r>
      <w:r w:rsidRPr="004556E7">
        <w:rPr>
          <w:i/>
        </w:rPr>
        <w:t xml:space="preserve"> </w:t>
      </w:r>
      <w:r w:rsidRPr="004556E7">
        <w:rPr>
          <w:i/>
          <w:iCs/>
        </w:rPr>
        <w:t>excavata</w:t>
      </w:r>
      <w:r w:rsidRPr="00EE3F76">
        <w:t xml:space="preserve">, </w:t>
      </w:r>
      <w:r w:rsidRPr="004556E7">
        <w:rPr>
          <w:i/>
          <w:iCs/>
        </w:rPr>
        <w:t>Clausena</w:t>
      </w:r>
      <w:r w:rsidRPr="00EE3F76">
        <w:t xml:space="preserve"> </w:t>
      </w:r>
      <w:r w:rsidRPr="004556E7">
        <w:rPr>
          <w:i/>
          <w:iCs/>
        </w:rPr>
        <w:t>indica</w:t>
      </w:r>
      <w:r w:rsidRPr="00EE3F76">
        <w:t xml:space="preserve">, </w:t>
      </w:r>
      <w:r w:rsidRPr="004556E7">
        <w:rPr>
          <w:i/>
          <w:iCs/>
        </w:rPr>
        <w:t>Clausena</w:t>
      </w:r>
      <w:r w:rsidRPr="004556E7">
        <w:rPr>
          <w:i/>
        </w:rPr>
        <w:t xml:space="preserve"> </w:t>
      </w:r>
      <w:r w:rsidRPr="004556E7">
        <w:rPr>
          <w:i/>
          <w:iCs/>
        </w:rPr>
        <w:t>lansium</w:t>
      </w:r>
      <w:r w:rsidRPr="00EE3F76">
        <w:t xml:space="preserve">, </w:t>
      </w:r>
      <w:r w:rsidRPr="004556E7">
        <w:rPr>
          <w:i/>
          <w:iCs/>
        </w:rPr>
        <w:t>Eremocitrus glauca</w:t>
      </w:r>
      <w:r w:rsidRPr="00EE3F76">
        <w:t xml:space="preserve">, </w:t>
      </w:r>
      <w:r w:rsidRPr="004556E7">
        <w:rPr>
          <w:i/>
          <w:iCs/>
        </w:rPr>
        <w:t>Eremocitrus</w:t>
      </w:r>
      <w:r w:rsidRPr="004556E7">
        <w:rPr>
          <w:i/>
        </w:rPr>
        <w:t xml:space="preserve"> hybrid</w:t>
      </w:r>
      <w:r w:rsidRPr="00EE3F76">
        <w:t xml:space="preserve">, </w:t>
      </w:r>
      <w:r w:rsidRPr="004556E7">
        <w:rPr>
          <w:i/>
          <w:iCs/>
        </w:rPr>
        <w:t>Esenbeckia berlandieri</w:t>
      </w:r>
      <w:r w:rsidRPr="00EE3F76">
        <w:t xml:space="preserve">, </w:t>
      </w:r>
      <w:r w:rsidRPr="004556E7">
        <w:rPr>
          <w:i/>
          <w:iCs/>
        </w:rPr>
        <w:t>Fortunella</w:t>
      </w:r>
      <w:r w:rsidRPr="004556E7">
        <w:rPr>
          <w:i/>
        </w:rPr>
        <w:t xml:space="preserve"> spp.</w:t>
      </w:r>
      <w:r w:rsidRPr="00EE3F76">
        <w:t xml:space="preserve">, </w:t>
      </w:r>
      <w:r w:rsidRPr="004556E7">
        <w:rPr>
          <w:i/>
          <w:iCs/>
        </w:rPr>
        <w:t>Limonia acidissima</w:t>
      </w:r>
      <w:r w:rsidRPr="00EE3F76">
        <w:t xml:space="preserve">, </w:t>
      </w:r>
      <w:r w:rsidRPr="004556E7">
        <w:rPr>
          <w:i/>
          <w:iCs/>
        </w:rPr>
        <w:t>Merrillia caloxylon</w:t>
      </w:r>
      <w:r w:rsidRPr="00EE3F76">
        <w:t xml:space="preserve">, </w:t>
      </w:r>
      <w:r w:rsidRPr="004556E7">
        <w:rPr>
          <w:i/>
          <w:iCs/>
        </w:rPr>
        <w:t>Microcitrus australasica</w:t>
      </w:r>
      <w:r w:rsidRPr="00EE3F76">
        <w:rPr>
          <w:iCs/>
        </w:rPr>
        <w:t>, Microcitrus</w:t>
      </w:r>
      <w:r w:rsidRPr="00EE3F76">
        <w:t xml:space="preserve"> </w:t>
      </w:r>
      <w:r w:rsidRPr="00EE3F76">
        <w:rPr>
          <w:iCs/>
        </w:rPr>
        <w:t>australis</w:t>
      </w:r>
      <w:r w:rsidRPr="00EE3F76">
        <w:t xml:space="preserve">, </w:t>
      </w:r>
      <w:r w:rsidRPr="004556E7">
        <w:rPr>
          <w:i/>
          <w:iCs/>
        </w:rPr>
        <w:t>Microcitrus</w:t>
      </w:r>
      <w:r w:rsidRPr="004556E7">
        <w:rPr>
          <w:i/>
        </w:rPr>
        <w:t xml:space="preserve"> </w:t>
      </w:r>
      <w:r w:rsidRPr="004556E7">
        <w:rPr>
          <w:i/>
          <w:iCs/>
        </w:rPr>
        <w:t>papuana</w:t>
      </w:r>
      <w:r w:rsidRPr="00EE3F76">
        <w:rPr>
          <w:iCs/>
        </w:rPr>
        <w:t>,</w:t>
      </w:r>
      <w:r w:rsidRPr="00EE3F76">
        <w:t xml:space="preserve"> </w:t>
      </w:r>
      <w:r w:rsidRPr="004556E7">
        <w:rPr>
          <w:i/>
        </w:rPr>
        <w:t xml:space="preserve">X </w:t>
      </w:r>
      <w:r w:rsidRPr="004556E7">
        <w:rPr>
          <w:i/>
          <w:iCs/>
        </w:rPr>
        <w:t>Microcitronella</w:t>
      </w:r>
      <w:r w:rsidRPr="004556E7">
        <w:rPr>
          <w:i/>
        </w:rPr>
        <w:t xml:space="preserve"> spp.</w:t>
      </w:r>
      <w:r w:rsidRPr="00EE3F76">
        <w:t xml:space="preserve">, </w:t>
      </w:r>
      <w:r w:rsidRPr="00EE3F76">
        <w:rPr>
          <w:iCs/>
        </w:rPr>
        <w:t>Murraya</w:t>
      </w:r>
      <w:r w:rsidRPr="00EE3F76">
        <w:t xml:space="preserve"> spp., </w:t>
      </w:r>
      <w:r w:rsidRPr="004556E7">
        <w:rPr>
          <w:i/>
          <w:iCs/>
        </w:rPr>
        <w:t>Naringi crenulata</w:t>
      </w:r>
      <w:r w:rsidRPr="00EE3F76">
        <w:t xml:space="preserve">, </w:t>
      </w:r>
      <w:r w:rsidRPr="004556E7">
        <w:rPr>
          <w:i/>
          <w:iCs/>
        </w:rPr>
        <w:t>Pamburus missionis</w:t>
      </w:r>
      <w:r w:rsidRPr="00EE3F76">
        <w:t xml:space="preserve">, </w:t>
      </w:r>
      <w:r w:rsidRPr="004556E7">
        <w:rPr>
          <w:i/>
          <w:iCs/>
        </w:rPr>
        <w:t>Poncirus trifoliata</w:t>
      </w:r>
      <w:r w:rsidRPr="00EE3F76">
        <w:t xml:space="preserve">, </w:t>
      </w:r>
      <w:r w:rsidRPr="004556E7">
        <w:rPr>
          <w:i/>
          <w:iCs/>
        </w:rPr>
        <w:t>Severinia buxifolia</w:t>
      </w:r>
      <w:r w:rsidRPr="00EE3F76">
        <w:t xml:space="preserve">, </w:t>
      </w:r>
      <w:r w:rsidRPr="004556E7">
        <w:rPr>
          <w:i/>
          <w:iCs/>
        </w:rPr>
        <w:t>Swinglea glutinosa</w:t>
      </w:r>
      <w:r w:rsidRPr="00EE3F76">
        <w:t xml:space="preserve">, </w:t>
      </w:r>
      <w:r w:rsidRPr="004556E7">
        <w:rPr>
          <w:i/>
          <w:iCs/>
        </w:rPr>
        <w:t>Tetradium ruticarpum</w:t>
      </w:r>
      <w:r w:rsidRPr="00EE3F76">
        <w:t xml:space="preserve">, </w:t>
      </w:r>
      <w:r w:rsidRPr="004556E7">
        <w:rPr>
          <w:i/>
          <w:iCs/>
        </w:rPr>
        <w:t>Toddalia asiatica</w:t>
      </w:r>
      <w:r w:rsidRPr="00EE3F76">
        <w:t xml:space="preserve">, </w:t>
      </w:r>
      <w:r w:rsidRPr="004556E7">
        <w:rPr>
          <w:i/>
          <w:iCs/>
        </w:rPr>
        <w:t>Triphasia trifolia</w:t>
      </w:r>
      <w:r w:rsidRPr="00EE3F76">
        <w:t xml:space="preserve">, </w:t>
      </w:r>
      <w:r w:rsidRPr="004556E7">
        <w:rPr>
          <w:i/>
          <w:iCs/>
        </w:rPr>
        <w:t>Vepris</w:t>
      </w:r>
      <w:r w:rsidRPr="00EE3F76">
        <w:t xml:space="preserve"> (=</w:t>
      </w:r>
      <w:r w:rsidRPr="004556E7">
        <w:rPr>
          <w:i/>
          <w:iCs/>
        </w:rPr>
        <w:t>Toddalia</w:t>
      </w:r>
      <w:r w:rsidRPr="00EE3F76">
        <w:t xml:space="preserve">) </w:t>
      </w:r>
      <w:r w:rsidRPr="004556E7">
        <w:rPr>
          <w:i/>
          <w:iCs/>
        </w:rPr>
        <w:t>lanceolata</w:t>
      </w:r>
      <w:r w:rsidRPr="00EE3F76">
        <w:t xml:space="preserve">, and </w:t>
      </w:r>
      <w:r w:rsidRPr="004556E7">
        <w:rPr>
          <w:i/>
          <w:iCs/>
        </w:rPr>
        <w:t>Zanthoxylum fagara</w:t>
      </w:r>
      <w:r>
        <w:t>;</w:t>
      </w:r>
    </w:p>
    <w:p w14:paraId="2DD3B056" w14:textId="77777777" w:rsidR="009515EC" w:rsidRPr="00EE3F76" w:rsidRDefault="009515EC" w:rsidP="009515EC">
      <w:pPr>
        <w:pStyle w:val="a0"/>
      </w:pPr>
      <w:r w:rsidRPr="00EE3F76">
        <w:t>b.</w:t>
      </w:r>
      <w:r w:rsidRPr="00EE3F76">
        <w:tab/>
        <w:t xml:space="preserve">any other products, materials, articles, or means of conveyance, if an inspector determines that it presents a risk of spreading ACP, and after the inspector provides written notification to the person in possession of the products, materials, articles, or means of conveyance that it is subject to the </w:t>
      </w:r>
      <w:r>
        <w:t>restrictions of the regulations;</w:t>
      </w:r>
    </w:p>
    <w:p w14:paraId="2D2098ED" w14:textId="77777777" w:rsidR="009515EC" w:rsidRPr="00EE3F76" w:rsidRDefault="009515EC" w:rsidP="009515EC">
      <w:pPr>
        <w:pStyle w:val="a0"/>
      </w:pPr>
      <w:r w:rsidRPr="00EE3F76">
        <w:t>c.</w:t>
      </w:r>
      <w:r w:rsidRPr="00EE3F76">
        <w:tab/>
        <w:t xml:space="preserve">regulated materials originating from ACP-quarantined areas are prohibited entry into or through free areas of Louisiana, except as provided in </w:t>
      </w:r>
      <w:r>
        <w:t>Subsection D of this Section;</w:t>
      </w:r>
    </w:p>
    <w:p w14:paraId="56979317" w14:textId="77777777" w:rsidR="009515EC" w:rsidRPr="00EE3F76" w:rsidRDefault="009515EC" w:rsidP="009515EC">
      <w:pPr>
        <w:pStyle w:val="a0"/>
      </w:pPr>
      <w:r w:rsidRPr="00EE3F76">
        <w:t>d.</w:t>
      </w:r>
      <w:r w:rsidRPr="00EE3F76">
        <w:tab/>
        <w:t>exceptions</w:t>
      </w:r>
      <w:r>
        <w:sym w:font="Symbol" w:char="F0BE"/>
      </w:r>
      <w:r w:rsidRPr="00EE3F76">
        <w:t xml:space="preserve">to be eligible to move from quarantined areas, regulated materials must </w:t>
      </w:r>
      <w:r>
        <w:t>meet the following requirements.</w:t>
      </w:r>
    </w:p>
    <w:p w14:paraId="0FF2AEC7" w14:textId="77777777" w:rsidR="009515EC" w:rsidRPr="00EE3F76" w:rsidRDefault="009515EC" w:rsidP="009515EC">
      <w:pPr>
        <w:pStyle w:val="i0"/>
      </w:pPr>
      <w:r>
        <w:tab/>
      </w:r>
      <w:r w:rsidRPr="00EE3F76">
        <w:t>i.</w:t>
      </w:r>
      <w:r w:rsidRPr="00EE3F76">
        <w:tab/>
        <w:t>Fruit may move interstate with no additional requirements.</w:t>
      </w:r>
      <w:r>
        <w:t xml:space="preserve"> </w:t>
      </w:r>
      <w:r w:rsidRPr="00EE3F76">
        <w:t>Fruit may move intrastate from areas quarantined for ACP to citrus-producing areas not under quarantine for ACP if cleaned using normal packinghouse procedures.</w:t>
      </w:r>
    </w:p>
    <w:p w14:paraId="6C27BE77" w14:textId="77777777" w:rsidR="009515EC" w:rsidRPr="00EE3F76" w:rsidRDefault="009515EC" w:rsidP="009515EC">
      <w:pPr>
        <w:pStyle w:val="i0"/>
      </w:pPr>
      <w:r>
        <w:tab/>
      </w:r>
      <w:r w:rsidRPr="00EE3F76">
        <w:t>ii.</w:t>
      </w:r>
      <w:r w:rsidRPr="00EE3F76">
        <w:tab/>
        <w:t>Regulated culinary and decorative materials such as fresh curry leaves (</w:t>
      </w:r>
      <w:r w:rsidRPr="001B6506">
        <w:rPr>
          <w:i/>
          <w:iCs/>
        </w:rPr>
        <w:t xml:space="preserve">Bergera </w:t>
      </w:r>
      <w:r w:rsidRPr="00EE3F76">
        <w:rPr>
          <w:iCs/>
        </w:rPr>
        <w:t>(=</w:t>
      </w:r>
      <w:r w:rsidRPr="001B6506">
        <w:rPr>
          <w:i/>
          <w:iCs/>
        </w:rPr>
        <w:t>Murraya</w:t>
      </w:r>
      <w:r w:rsidRPr="00EE3F76">
        <w:rPr>
          <w:iCs/>
        </w:rPr>
        <w:t xml:space="preserve">) </w:t>
      </w:r>
      <w:r w:rsidRPr="001B6506">
        <w:rPr>
          <w:i/>
          <w:iCs/>
        </w:rPr>
        <w:t>koenigii</w:t>
      </w:r>
      <w:r w:rsidRPr="00EE3F76">
        <w:t xml:space="preserve">) intended for consumption, (instead of the treatments specified in Subparagraph </w:t>
      </w:r>
      <w:r>
        <w:t>b</w:t>
      </w:r>
      <w:r w:rsidRPr="00EE3F76">
        <w:t xml:space="preserve"> of this Paragraph), or mock orange leaves (</w:t>
      </w:r>
      <w:r w:rsidRPr="001B6506">
        <w:rPr>
          <w:i/>
          <w:iCs/>
        </w:rPr>
        <w:t>Murraya paniculata</w:t>
      </w:r>
      <w:r w:rsidRPr="00EE3F76">
        <w:t xml:space="preserve">) incorporated into leis or floral arrangements, must be treated prior to interstate or intrastate movement in accordance with the Animal and Plant Health Inspection Service's (APHIS) treatment schedule T101-n-2 (methyl bromide fumigation treatment for external feeding insects on fresh herbs) at the times and rates specified in the treatment manual and must be safeguarded until movement. </w:t>
      </w:r>
      <w:r w:rsidRPr="00EE3F76">
        <w:t xml:space="preserve">As an alternative to methyl bromide fumigation, regulated materials originating from an area not quarantined for </w:t>
      </w:r>
      <w:r w:rsidRPr="00EE3F76">
        <w:rPr>
          <w:bCs/>
        </w:rPr>
        <w:t xml:space="preserve">CG </w:t>
      </w:r>
      <w:r w:rsidRPr="00EE3F76">
        <w:t>may be irradiated in accordance with 7 CFR 305.</w:t>
      </w:r>
    </w:p>
    <w:p w14:paraId="4BC2C195" w14:textId="77777777" w:rsidR="009515EC" w:rsidRPr="00EE3F76" w:rsidRDefault="009515EC" w:rsidP="009515EC">
      <w:pPr>
        <w:pStyle w:val="i0"/>
      </w:pPr>
      <w:r>
        <w:tab/>
      </w:r>
      <w:r w:rsidRPr="00EE3F76">
        <w:t>iii.</w:t>
      </w:r>
      <w:r w:rsidRPr="00EE3F76">
        <w:tab/>
        <w:t>Nursery stock of regulated plants listed in 3</w:t>
      </w:r>
      <w:r>
        <w:t>.a</w:t>
      </w:r>
      <w:r w:rsidRPr="00EE3F76">
        <w:t xml:space="preserve"> may be moved in accordance </w:t>
      </w:r>
      <w:r>
        <w:t>with the following requirements.</w:t>
      </w:r>
    </w:p>
    <w:p w14:paraId="09894FC4" w14:textId="77777777" w:rsidR="009515EC" w:rsidRPr="00EE3F76" w:rsidRDefault="009515EC" w:rsidP="009515EC">
      <w:pPr>
        <w:pStyle w:val="a1"/>
      </w:pPr>
      <w:r w:rsidRPr="00EE3F76">
        <w:t>(a).</w:t>
      </w:r>
      <w:r w:rsidRPr="00EE3F76">
        <w:tab/>
        <w:t>Nursery stock of regulated plants may be moved interstate if moved in accordance with all requirements of 7 CFR 301.76 and the citrus nursery stock protocol.</w:t>
      </w:r>
      <w:r>
        <w:t xml:space="preserve"> </w:t>
      </w:r>
      <w:r w:rsidRPr="00EE3F76">
        <w:t>Persons wishing to move nursery stock interstate must enter into a compliance agreement with APHIS to move regulated materials.</w:t>
      </w:r>
      <w:r>
        <w:t xml:space="preserve"> </w:t>
      </w:r>
      <w:r w:rsidRPr="00EE3F76">
        <w:t xml:space="preserve">Compliance agreements may be arranged by contacting the Louisiana state plant health director, PPQ-APHIS-USDA, at 4354 South Sherwood Blvd., Suite 150D, Baton Rouge, </w:t>
      </w:r>
      <w:r>
        <w:t>LA</w:t>
      </w:r>
      <w:r w:rsidRPr="00EE3F76">
        <w:t xml:space="preserve"> 70816 or telephone (225) 298-5410.</w:t>
      </w:r>
    </w:p>
    <w:p w14:paraId="73C5D57C" w14:textId="77777777" w:rsidR="009515EC" w:rsidRPr="00EE3F76" w:rsidRDefault="009515EC" w:rsidP="009515EC">
      <w:pPr>
        <w:pStyle w:val="a1"/>
      </w:pPr>
      <w:r w:rsidRPr="00EE3F76">
        <w:t>(b).</w:t>
      </w:r>
      <w:r w:rsidRPr="00EE3F76">
        <w:tab/>
        <w:t>Nursery stock of regulated plants may be moved intrastate from ACP quarantined areas to non-quarantined areas of Louisiana if moved in accordance with conditions set forth in a departmental compliance agreement.</w:t>
      </w:r>
      <w:r>
        <w:t xml:space="preserve"> </w:t>
      </w:r>
      <w:r w:rsidRPr="00EE3F76">
        <w:t>Any person engaged in the business of growing or handling regulated materials must enter into a compliance agreement with the department if the regulated materials are to be moved to ACP-free areas of Louisiana.</w:t>
      </w:r>
    </w:p>
    <w:p w14:paraId="079BFA99" w14:textId="77777777" w:rsidR="003E2396" w:rsidRPr="00794F84" w:rsidRDefault="003E2396" w:rsidP="003E2396">
      <w:pPr>
        <w:pStyle w:val="A"/>
      </w:pPr>
      <w:r w:rsidRPr="00794F84">
        <w:t>F.</w:t>
      </w:r>
      <w:r w:rsidRPr="00794F84">
        <w:tab/>
        <w:t>Citrus Canker Disease Quaran</w:t>
      </w:r>
      <w:r>
        <w:t>tine</w:t>
      </w:r>
    </w:p>
    <w:p w14:paraId="05E97F80" w14:textId="77777777" w:rsidR="003E2396" w:rsidRPr="00794F84" w:rsidRDefault="003E2396" w:rsidP="003E2396">
      <w:pPr>
        <w:pStyle w:val="1"/>
      </w:pPr>
      <w:r w:rsidRPr="00794F84">
        <w:t>1.</w:t>
      </w:r>
      <w:r w:rsidRPr="00794F84">
        <w:tab/>
        <w:t xml:space="preserve">The department issues the following quarantine because the state entomologist has determined that citrus canker disease (CC), caused by the bacterial pathogen </w:t>
      </w:r>
      <w:r w:rsidRPr="00C90F3E">
        <w:rPr>
          <w:i/>
        </w:rPr>
        <w:t>Xanthomonas axonopodis pv. citri</w:t>
      </w:r>
      <w:r w:rsidRPr="00794F84">
        <w:rPr>
          <w:i/>
        </w:rPr>
        <w:t xml:space="preserve"> </w:t>
      </w:r>
      <w:r w:rsidRPr="00794F84">
        <w:t>(</w:t>
      </w:r>
      <w:r w:rsidRPr="00C90F3E">
        <w:rPr>
          <w:i/>
        </w:rPr>
        <w:t>Xac A</w:t>
      </w:r>
      <w:r w:rsidRPr="00794F84">
        <w:t xml:space="preserve">, </w:t>
      </w:r>
      <w:r w:rsidRPr="00C90F3E">
        <w:rPr>
          <w:i/>
        </w:rPr>
        <w:t>A</w:t>
      </w:r>
      <w:r w:rsidRPr="00794F84">
        <w:t xml:space="preserve">* and </w:t>
      </w:r>
      <w:r w:rsidRPr="00C90F3E">
        <w:rPr>
          <w:i/>
        </w:rPr>
        <w:t>AW</w:t>
      </w:r>
      <w:r w:rsidRPr="00794F84">
        <w:t xml:space="preserve">) with synonyms </w:t>
      </w:r>
      <w:r w:rsidRPr="00C90F3E">
        <w:rPr>
          <w:i/>
        </w:rPr>
        <w:t>X. citri pv. citri</w:t>
      </w:r>
      <w:r w:rsidRPr="00794F84">
        <w:t xml:space="preserve">, or </w:t>
      </w:r>
      <w:r w:rsidRPr="00C90F3E">
        <w:rPr>
          <w:i/>
        </w:rPr>
        <w:t>X. citri subsp</w:t>
      </w:r>
      <w:r w:rsidRPr="00794F84">
        <w:t xml:space="preserve">. citri or </w:t>
      </w:r>
      <w:r w:rsidRPr="00C90F3E">
        <w:rPr>
          <w:i/>
        </w:rPr>
        <w:t>X. campestris pv. citri</w:t>
      </w:r>
      <w:r w:rsidRPr="00794F84">
        <w:t xml:space="preserve"> or </w:t>
      </w:r>
      <w:r w:rsidRPr="00C90F3E">
        <w:rPr>
          <w:i/>
        </w:rPr>
        <w:t>X. smithii subsp. citri</w:t>
      </w:r>
      <w:r w:rsidRPr="00794F84">
        <w:t xml:space="preserve">; and </w:t>
      </w:r>
      <w:r w:rsidRPr="00C90F3E">
        <w:rPr>
          <w:i/>
        </w:rPr>
        <w:t>X. axonopodis pv. aurantifolii</w:t>
      </w:r>
      <w:r w:rsidRPr="00794F84">
        <w:t xml:space="preserve"> (</w:t>
      </w:r>
      <w:r w:rsidRPr="00C90F3E">
        <w:rPr>
          <w:i/>
        </w:rPr>
        <w:t>Xac B</w:t>
      </w:r>
      <w:r w:rsidRPr="00794F84">
        <w:t xml:space="preserve"> </w:t>
      </w:r>
      <w:r>
        <w:t>and</w:t>
      </w:r>
      <w:r w:rsidRPr="00794F84">
        <w:t xml:space="preserve"> </w:t>
      </w:r>
      <w:r w:rsidRPr="00C90F3E">
        <w:rPr>
          <w:i/>
        </w:rPr>
        <w:t>C</w:t>
      </w:r>
      <w:r w:rsidRPr="00794F84">
        <w:t xml:space="preserve">) with a synonym </w:t>
      </w:r>
      <w:r w:rsidRPr="00C90F3E">
        <w:rPr>
          <w:i/>
        </w:rPr>
        <w:t>X</w:t>
      </w:r>
      <w:r w:rsidRPr="00794F84">
        <w:rPr>
          <w:i/>
        </w:rPr>
        <w:t xml:space="preserve">. </w:t>
      </w:r>
      <w:r w:rsidRPr="00C90F3E">
        <w:rPr>
          <w:i/>
        </w:rPr>
        <w:t>fuscans subsp. aurantifolii</w:t>
      </w:r>
      <w:r w:rsidRPr="00794F84">
        <w:t>, has been found in this state and may be prevented, controlled, or eradicated by quarantine.</w:t>
      </w:r>
    </w:p>
    <w:p w14:paraId="69CD02A7" w14:textId="77777777" w:rsidR="003E2396" w:rsidRPr="00794F84" w:rsidRDefault="003E2396" w:rsidP="003E2396">
      <w:pPr>
        <w:pStyle w:val="1"/>
      </w:pPr>
      <w:r w:rsidRPr="00794F84">
        <w:t>2.</w:t>
      </w:r>
      <w:r w:rsidRPr="00794F84">
        <w:tab/>
        <w:t xml:space="preserve">No regulated materials as defined in this Subsection shall be moved out of any area of this state that is listed in this subsection as a quarantined area for </w:t>
      </w:r>
      <w:r>
        <w:t>CC, except as provided in this S</w:t>
      </w:r>
      <w:r w:rsidRPr="00794F84">
        <w:t>ubsection.</w:t>
      </w:r>
    </w:p>
    <w:p w14:paraId="78EBA080" w14:textId="77777777" w:rsidR="003E2396" w:rsidRPr="00794F84" w:rsidRDefault="003E2396" w:rsidP="003E2396">
      <w:pPr>
        <w:pStyle w:val="1"/>
      </w:pPr>
      <w:r w:rsidRPr="00794F84">
        <w:t>3.</w:t>
      </w:r>
      <w:r w:rsidRPr="00794F84">
        <w:tab/>
        <w:t>Any person violating this quarantine shall be subject to imposition of the remedies and penalties provided for in R.S. 3:1653 for any violation of this quarantine.</w:t>
      </w:r>
    </w:p>
    <w:p w14:paraId="0279348E" w14:textId="77777777" w:rsidR="003E2396" w:rsidRPr="00794F84" w:rsidRDefault="003E2396" w:rsidP="003E2396">
      <w:pPr>
        <w:pStyle w:val="1"/>
      </w:pPr>
      <w:r w:rsidRPr="00794F84">
        <w:rPr>
          <w:rStyle w:val="Strong"/>
          <w:b w:val="0"/>
        </w:rPr>
        <w:t>4.</w:t>
      </w:r>
      <w:r w:rsidRPr="00794F84">
        <w:rPr>
          <w:rStyle w:val="Strong"/>
          <w:b w:val="0"/>
        </w:rPr>
        <w:tab/>
        <w:t xml:space="preserve">Quarantined </w:t>
      </w:r>
      <w:r w:rsidRPr="00794F84">
        <w:t>areas in this state include:</w:t>
      </w:r>
    </w:p>
    <w:p w14:paraId="7EE1EE58" w14:textId="77777777" w:rsidR="003E2396" w:rsidRPr="00794F84" w:rsidRDefault="003E2396" w:rsidP="003E2396">
      <w:pPr>
        <w:pStyle w:val="a0"/>
      </w:pPr>
      <w:r w:rsidRPr="00794F84">
        <w:t>a.</w:t>
      </w:r>
      <w:r w:rsidRPr="00794F84">
        <w:tab/>
        <w:t xml:space="preserve">the entire parishes of Orleans, St. Bernard, Plaquemines, Jefferson, Lafourche, St. Charles, </w:t>
      </w:r>
      <w:r>
        <w:t>St. James and St. John;</w:t>
      </w:r>
    </w:p>
    <w:p w14:paraId="3C81A01B" w14:textId="77777777" w:rsidR="00B128C6" w:rsidRPr="0098101E" w:rsidRDefault="003E2396" w:rsidP="00B128C6">
      <w:pPr>
        <w:pStyle w:val="a0"/>
      </w:pPr>
      <w:r w:rsidRPr="00794F84">
        <w:t>b.</w:t>
      </w:r>
      <w:r w:rsidRPr="00794F84">
        <w:tab/>
      </w:r>
      <w:r w:rsidR="00B128C6" w:rsidRPr="0098101E">
        <w:t>the portion of St. Martin Parish bounded by a line beginning at the intersection of Smede Hwy. and Vieux Chene Drive; then head east on Smede Hwy. to Duchamp Road; from Duchamp Road, head north to the GPS coordinates 30.097187, -91.922952; then head west in a straight line to GPS coordinates 30.097103, -91.929205; then head south to the intersection of Smede Hwy. and Vieux Chene Drive.</w:t>
      </w:r>
    </w:p>
    <w:p w14:paraId="53E7F935" w14:textId="77777777" w:rsidR="009515EC" w:rsidRPr="00EE3F76" w:rsidRDefault="00B128C6" w:rsidP="00B128C6">
      <w:pPr>
        <w:pStyle w:val="a0"/>
      </w:pPr>
      <w:r w:rsidRPr="0098101E">
        <w:t>c.</w:t>
      </w:r>
      <w:r w:rsidRPr="0098101E">
        <w:tab/>
        <w:t xml:space="preserve">A declaration of quarantine for CC covering any other specific parishes or areas of this state shall be published </w:t>
      </w:r>
      <w:r w:rsidRPr="0098101E">
        <w:lastRenderedPageBreak/>
        <w:t xml:space="preserve">in the official journal of the state and in the </w:t>
      </w:r>
      <w:r w:rsidRPr="0098101E">
        <w:rPr>
          <w:i/>
        </w:rPr>
        <w:t>Louisiana Register</w:t>
      </w:r>
      <w:r w:rsidRPr="0098101E">
        <w:t>.</w:t>
      </w:r>
    </w:p>
    <w:p w14:paraId="05505873" w14:textId="77777777" w:rsidR="009515EC" w:rsidRPr="00EE3F76" w:rsidRDefault="009515EC" w:rsidP="009515EC">
      <w:pPr>
        <w:pStyle w:val="1"/>
      </w:pPr>
      <w:r w:rsidRPr="00EE3F76">
        <w:t>5.</w:t>
      </w:r>
      <w:r w:rsidRPr="00EE3F76">
        <w:tab/>
        <w:t>Regulated materials are hosts of CC and their movement is prohibited from quarantined areas due to the presence of CC.</w:t>
      </w:r>
      <w:r>
        <w:t xml:space="preserve"> </w:t>
      </w:r>
      <w:r w:rsidRPr="00EE3F76">
        <w:t xml:space="preserve">Regulated materials include: </w:t>
      </w:r>
    </w:p>
    <w:p w14:paraId="765DE05B" w14:textId="77777777" w:rsidR="009515EC" w:rsidRPr="00EE3F76" w:rsidRDefault="009515EC" w:rsidP="009515EC">
      <w:pPr>
        <w:pStyle w:val="a0"/>
      </w:pPr>
      <w:r w:rsidRPr="00EE3F76">
        <w:t>a.</w:t>
      </w:r>
      <w:r w:rsidRPr="00EE3F76">
        <w:tab/>
        <w:t xml:space="preserve">all plants or plant parts, including fruit and seeds, of any of the following: all species, clones, cultivars, strains, varieties, and hybrids of the genera </w:t>
      </w:r>
      <w:r w:rsidRPr="00EE3F76">
        <w:rPr>
          <w:iCs/>
        </w:rPr>
        <w:t>citrus</w:t>
      </w:r>
      <w:r w:rsidRPr="00EE3F76">
        <w:t xml:space="preserve"> and </w:t>
      </w:r>
      <w:r w:rsidRPr="00EE3F76">
        <w:rPr>
          <w:iCs/>
        </w:rPr>
        <w:t>fortunella</w:t>
      </w:r>
      <w:r w:rsidRPr="00EE3F76">
        <w:rPr>
          <w:i/>
          <w:iCs/>
        </w:rPr>
        <w:t>,</w:t>
      </w:r>
      <w:r w:rsidRPr="00EE3F76">
        <w:t xml:space="preserve"> and all clones, cultivars, strains, varieties, and hybrids of the species </w:t>
      </w:r>
      <w:r w:rsidRPr="00200F0B">
        <w:rPr>
          <w:i/>
          <w:iCs/>
        </w:rPr>
        <w:t>Clausena lansium</w:t>
      </w:r>
      <w:r w:rsidRPr="00EE3F76">
        <w:rPr>
          <w:i/>
          <w:iCs/>
        </w:rPr>
        <w:t>,</w:t>
      </w:r>
      <w:r w:rsidRPr="00EE3F76">
        <w:t xml:space="preserve"> and </w:t>
      </w:r>
      <w:r w:rsidRPr="00200F0B">
        <w:rPr>
          <w:i/>
          <w:iCs/>
        </w:rPr>
        <w:t>Poncirus trifoliate</w:t>
      </w:r>
      <w:r w:rsidRPr="00EE3F76">
        <w:rPr>
          <w:i/>
          <w:iCs/>
        </w:rPr>
        <w:t xml:space="preserve">, </w:t>
      </w:r>
      <w:r w:rsidRPr="00EE3F76">
        <w:rPr>
          <w:iCs/>
        </w:rPr>
        <w:t xml:space="preserve">and </w:t>
      </w:r>
      <w:r w:rsidRPr="00200F0B">
        <w:rPr>
          <w:i/>
          <w:iCs/>
        </w:rPr>
        <w:t>Swinglea glutinosa</w:t>
      </w:r>
      <w:r w:rsidRPr="00EE3F76">
        <w:rPr>
          <w:i/>
          <w:iCs/>
        </w:rPr>
        <w:t>.</w:t>
      </w:r>
      <w:r>
        <w:t xml:space="preserve"> The most common of these are</w:t>
      </w:r>
      <w:r w:rsidRPr="00EE3F76">
        <w:t xml:space="preserve"> lemon, pummelo, grapefruit, key lime, Persian lime, tangerine, satsuma, tangor, citron, sweet orange, sour orange, mandarin, tangelo, ethrog, kumquat, limequat, calamondin, trifoliate orange, tabog, and wampi;</w:t>
      </w:r>
    </w:p>
    <w:p w14:paraId="0A750630" w14:textId="77777777" w:rsidR="009515EC" w:rsidRPr="00EE3F76" w:rsidRDefault="009515EC" w:rsidP="009515EC">
      <w:pPr>
        <w:pStyle w:val="a0"/>
      </w:pPr>
      <w:r w:rsidRPr="00EE3F76">
        <w:t>b.</w:t>
      </w:r>
      <w:r w:rsidRPr="00EE3F76">
        <w:tab/>
        <w:t>all containerized citrus nursery stock plants of all types listed in Subparagraph 3.a above;</w:t>
      </w:r>
    </w:p>
    <w:p w14:paraId="467B0E1E" w14:textId="77777777" w:rsidR="009515EC" w:rsidRPr="00EE3F76" w:rsidRDefault="009515EC" w:rsidP="009515EC">
      <w:pPr>
        <w:pStyle w:val="a0"/>
      </w:pPr>
      <w:r w:rsidRPr="00EE3F76">
        <w:t>c.</w:t>
      </w:r>
      <w:r w:rsidRPr="00EE3F76">
        <w:tab/>
        <w:t>grass, plant, and tree clippings;</w:t>
      </w:r>
    </w:p>
    <w:p w14:paraId="79D974F4" w14:textId="77777777" w:rsidR="009515EC" w:rsidRPr="00EE3F76" w:rsidRDefault="009515EC" w:rsidP="009515EC">
      <w:pPr>
        <w:pStyle w:val="a0"/>
      </w:pPr>
      <w:r w:rsidRPr="00EE3F76">
        <w:t>d.</w:t>
      </w:r>
      <w:r w:rsidRPr="00EE3F76">
        <w:tab/>
        <w:t xml:space="preserve">any other product, article, or means of conveyance, of any character whatsoever, not covered by Subparagraph a of this Section, when it is determined by an inspector that it presents a risk of spread of citrus canker and the person in possession thereof has actual notice that the product, article, or means of conveyance is subject to the provisions of this CC quarantine. </w:t>
      </w:r>
    </w:p>
    <w:p w14:paraId="2668AF9A" w14:textId="77777777" w:rsidR="009515EC" w:rsidRPr="00EE3F76" w:rsidRDefault="009515EC" w:rsidP="009515EC">
      <w:pPr>
        <w:pStyle w:val="1"/>
      </w:pPr>
      <w:r w:rsidRPr="00EE3F76">
        <w:t>6.</w:t>
      </w:r>
      <w:r>
        <w:tab/>
      </w:r>
      <w:r w:rsidRPr="00EE3F76">
        <w:t xml:space="preserve">To be eligible to move from quarantined areas to non-quarantined areas within or outside of Louisiana, regulated materials must meet the following requirements. </w:t>
      </w:r>
    </w:p>
    <w:p w14:paraId="19255D45" w14:textId="77777777" w:rsidR="009515EC" w:rsidRPr="00EE3F76" w:rsidRDefault="009515EC" w:rsidP="009515EC">
      <w:pPr>
        <w:pStyle w:val="a0"/>
      </w:pPr>
      <w:r w:rsidRPr="00EE3F76">
        <w:t>a.</w:t>
      </w:r>
      <w:r w:rsidRPr="00EE3F76">
        <w:tab/>
        <w:t xml:space="preserve">Regulated fruit may be moved intrastate from a quarantined area for processing into a product other than fresh fruit if all of the following conditions are met. </w:t>
      </w:r>
    </w:p>
    <w:p w14:paraId="4977EDFE" w14:textId="77777777" w:rsidR="009515EC" w:rsidRPr="00EE3F76" w:rsidRDefault="009515EC" w:rsidP="009515EC">
      <w:pPr>
        <w:pStyle w:val="i0"/>
      </w:pPr>
      <w:r>
        <w:tab/>
      </w:r>
      <w:r w:rsidRPr="00EE3F76">
        <w:t>i.</w:t>
      </w:r>
      <w:r w:rsidRPr="00EE3F76">
        <w:tab/>
        <w:t xml:space="preserve">The regulated fruit is accompanied by a document that states the location of the grove in which the regulated fruit was produced, the variety and quantity of regulated fruit being moved intrastate, the address to which the regulated fruit will be delivered for processing, and the date the intrastate movement began. </w:t>
      </w:r>
    </w:p>
    <w:p w14:paraId="18F1FF85" w14:textId="77777777" w:rsidR="009515EC" w:rsidRPr="00EE3F76" w:rsidRDefault="009515EC" w:rsidP="009515EC">
      <w:pPr>
        <w:pStyle w:val="i0"/>
      </w:pPr>
      <w:r>
        <w:tab/>
      </w:r>
      <w:r w:rsidRPr="00EE3F76">
        <w:t>ii.</w:t>
      </w:r>
      <w:r w:rsidRPr="00EE3F76">
        <w:tab/>
        <w:t xml:space="preserve">The regulated fruit and any leaves and litter are completely covered, or enclosed in containers or in a compartment of a vehicle, during the intrastate movement. </w:t>
      </w:r>
    </w:p>
    <w:p w14:paraId="16E4476B" w14:textId="77777777" w:rsidR="009515EC" w:rsidRPr="00EE3F76" w:rsidRDefault="009515EC" w:rsidP="009515EC">
      <w:pPr>
        <w:pStyle w:val="i0"/>
        <w:rPr>
          <w:strike/>
        </w:rPr>
      </w:pPr>
      <w:r>
        <w:tab/>
      </w:r>
      <w:r w:rsidRPr="00EE3F76">
        <w:t>iii.</w:t>
      </w:r>
      <w:r w:rsidRPr="00EE3F76">
        <w:tab/>
        <w:t xml:space="preserve">The vehicles, covers, and any containers used to carry the regulated fruit intrastate are treated in accordance with federal requirements before leaving the premises where the regulated fruit is unloaded for processing, </w:t>
      </w:r>
    </w:p>
    <w:p w14:paraId="4E948CE4" w14:textId="77777777" w:rsidR="009515EC" w:rsidRPr="00EE3F76" w:rsidRDefault="009515EC" w:rsidP="009515EC">
      <w:pPr>
        <w:pStyle w:val="i0"/>
      </w:pPr>
      <w:r>
        <w:tab/>
      </w:r>
      <w:r w:rsidRPr="00EE3F76">
        <w:t>iv.</w:t>
      </w:r>
      <w:r w:rsidRPr="00EE3F76">
        <w:tab/>
        <w:t xml:space="preserve">All leaves, litter, eliminations, and culls collected from the shipment of regulated fruit at the processing facility are either incinerated at the processing facility or buried at a public landfill that is fenced, prohibits the removal of dumped material, and covers dumped material with dirt at the end of every day that dumping occurs. </w:t>
      </w:r>
    </w:p>
    <w:p w14:paraId="33EDE96F" w14:textId="77777777" w:rsidR="009515EC" w:rsidRPr="00EE3F76" w:rsidRDefault="009515EC" w:rsidP="009515EC">
      <w:pPr>
        <w:pStyle w:val="a0"/>
      </w:pPr>
      <w:r w:rsidRPr="00EE3F76">
        <w:t>b.</w:t>
      </w:r>
      <w:r w:rsidRPr="00EE3F76">
        <w:tab/>
        <w:t xml:space="preserve">Regulated fruit may be moved intrastate from a quarantined area for packing, either for subsequent interstate movement with a limited permit or for export from the United States, if all of the following conditions are met. </w:t>
      </w:r>
    </w:p>
    <w:p w14:paraId="492122A9" w14:textId="77777777" w:rsidR="009515EC" w:rsidRPr="00EE3F76" w:rsidRDefault="009515EC" w:rsidP="009515EC">
      <w:pPr>
        <w:pStyle w:val="i0"/>
      </w:pPr>
      <w:r>
        <w:tab/>
      </w:r>
      <w:r w:rsidRPr="00EE3F76">
        <w:t>i.</w:t>
      </w:r>
      <w:r>
        <w:tab/>
      </w:r>
      <w:r w:rsidRPr="00EE3F76">
        <w:t xml:space="preserve">The regulated fruit is accompanied by a document that states the location of the multi-block identification in which the regulated fruit was produced, the variety and quantity of regulated fruit being moved intrastate, the address to which the regulated fruit will be delivered for packing, and the date the intrastate movement began. </w:t>
      </w:r>
    </w:p>
    <w:p w14:paraId="173B9759" w14:textId="77777777" w:rsidR="009515EC" w:rsidRPr="00EE3F76" w:rsidRDefault="009515EC" w:rsidP="009515EC">
      <w:pPr>
        <w:pStyle w:val="i0"/>
      </w:pPr>
      <w:r>
        <w:tab/>
      </w:r>
      <w:r w:rsidRPr="00EE3F76">
        <w:t>ii.</w:t>
      </w:r>
      <w:r w:rsidRPr="00EE3F76">
        <w:tab/>
        <w:t xml:space="preserve">The regulated fruit and any leaves and litter are completely covered, or enclosed in containers or in a compartment of a vehicle, during the intrastate movement. </w:t>
      </w:r>
    </w:p>
    <w:p w14:paraId="6429DEA9" w14:textId="77777777" w:rsidR="009515EC" w:rsidRPr="00EE3F76" w:rsidRDefault="009515EC" w:rsidP="009515EC">
      <w:pPr>
        <w:pStyle w:val="i0"/>
      </w:pPr>
      <w:r>
        <w:tab/>
      </w:r>
      <w:r w:rsidRPr="00EE3F76">
        <w:t>iii.</w:t>
      </w:r>
      <w:r w:rsidRPr="00EE3F76">
        <w:tab/>
        <w:t xml:space="preserve">The vehicles, covers, and any containers used to carry the regulated fruit intrastate are treated in accordance with federal requirements before leaving the premises where the regulated fruit is unloaded for packing. </w:t>
      </w:r>
    </w:p>
    <w:p w14:paraId="354FF57A" w14:textId="77777777" w:rsidR="009515EC" w:rsidRPr="00EE3F76" w:rsidRDefault="009515EC" w:rsidP="009515EC">
      <w:pPr>
        <w:pStyle w:val="i0"/>
      </w:pPr>
      <w:r>
        <w:tab/>
      </w:r>
      <w:r w:rsidRPr="00EE3F76">
        <w:t>iv.</w:t>
      </w:r>
      <w:r w:rsidRPr="00EE3F76">
        <w:tab/>
        <w:t>Any equipment that comes in contact with the regulated fruit at the packing plant is treated</w:t>
      </w:r>
      <w:r w:rsidRPr="00EE3F76">
        <w:rPr>
          <w:color w:val="000000"/>
        </w:rPr>
        <w:t xml:space="preserve"> in accordance with f</w:t>
      </w:r>
      <w:r w:rsidRPr="00EE3F76">
        <w:t xml:space="preserve">ederal requirements before being used to handle any fruit eligible for interstate movement to commercial citrus-producing areas. </w:t>
      </w:r>
    </w:p>
    <w:p w14:paraId="57891B5E" w14:textId="77777777" w:rsidR="009515EC" w:rsidRPr="00EE3F76" w:rsidRDefault="009515EC" w:rsidP="009515EC">
      <w:pPr>
        <w:pStyle w:val="i0"/>
      </w:pPr>
      <w:r>
        <w:tab/>
      </w:r>
      <w:r w:rsidRPr="00EE3F76">
        <w:t>v.</w:t>
      </w:r>
      <w:r w:rsidRPr="00EE3F76">
        <w:tab/>
        <w:t>All leaves and litter collected from the shipment of regulated fruit at the packing plant are either incinerated at the packing plant or buried at a public landfill that is fenced, prohibits the removal of dumped material, and covers dumped material with dirt at the end of every day that dumping occurs. All culls collected from the shipment of regulated fruit are either processed into a product other than fresh fruit, incinerated at the packing plant, or buried at a public landfill that is fenced, prohibits the removal of dumped material, and covers dumped material with dirt at the end of every day that dumping occurs. Any culls moved intrastate for processing must be completely covered, or enclosed in containers or in a compartment of a vehicle, during the intrastate movement, and the vehicles, covers, and any containers used to carry the regulated fruit must be treated</w:t>
      </w:r>
      <w:r w:rsidRPr="00EE3F76">
        <w:rPr>
          <w:color w:val="000000"/>
        </w:rPr>
        <w:t xml:space="preserve"> in accordance with </w:t>
      </w:r>
      <w:r w:rsidRPr="00EE3F76">
        <w:t>federal requirements</w:t>
      </w:r>
      <w:r w:rsidRPr="00EE3F76">
        <w:rPr>
          <w:color w:val="000000"/>
        </w:rPr>
        <w:t xml:space="preserve"> </w:t>
      </w:r>
      <w:r w:rsidRPr="00EE3F76">
        <w:t xml:space="preserve">before leaving the premises where the regulated fruit is unloaded for processing. </w:t>
      </w:r>
    </w:p>
    <w:p w14:paraId="41EBBB04" w14:textId="77777777" w:rsidR="009515EC" w:rsidRPr="00EE3F76" w:rsidRDefault="009515EC" w:rsidP="009515EC">
      <w:pPr>
        <w:pStyle w:val="a0"/>
      </w:pPr>
      <w:r w:rsidRPr="00EE3F76">
        <w:t>c.</w:t>
      </w:r>
      <w:r w:rsidRPr="00EE3F76">
        <w:tab/>
        <w:t>Regulated fruit produced in a quarantined area or moved into a quarantined area for packing may be moved interstate with a certificate issued and attached in accordance with federal requirements if all of th</w:t>
      </w:r>
      <w:r>
        <w:t>e following conditions are met.</w:t>
      </w:r>
    </w:p>
    <w:p w14:paraId="0B726871" w14:textId="77777777" w:rsidR="009515EC" w:rsidRPr="00EE3F76" w:rsidRDefault="009515EC" w:rsidP="009515EC">
      <w:pPr>
        <w:pStyle w:val="i0"/>
      </w:pPr>
      <w:r>
        <w:tab/>
      </w:r>
      <w:r w:rsidRPr="00EE3F76">
        <w:t>i.</w:t>
      </w:r>
      <w:r w:rsidRPr="00EE3F76">
        <w:tab/>
        <w:t xml:space="preserve">The regulated fruit was packed in a commercial packinghouse whose owner or operator has entered into a compliance agreement with USDA-APHIS-PPQ in accordance with federal requirements. </w:t>
      </w:r>
    </w:p>
    <w:p w14:paraId="3F1D5E50" w14:textId="77777777" w:rsidR="009515EC" w:rsidRPr="00EE3F76" w:rsidRDefault="009515EC" w:rsidP="009515EC">
      <w:pPr>
        <w:pStyle w:val="i0"/>
      </w:pPr>
      <w:r>
        <w:tab/>
      </w:r>
      <w:r w:rsidRPr="00EE3F76">
        <w:t>ii.</w:t>
      </w:r>
      <w:r w:rsidRPr="00EE3F76">
        <w:tab/>
        <w:t xml:space="preserve">The regulated fruit was treated in accordance with federal requirements. </w:t>
      </w:r>
    </w:p>
    <w:p w14:paraId="64B803CB" w14:textId="77777777" w:rsidR="009515EC" w:rsidRPr="00EE3F76" w:rsidRDefault="009515EC" w:rsidP="009515EC">
      <w:pPr>
        <w:pStyle w:val="i0"/>
      </w:pPr>
      <w:r>
        <w:tab/>
      </w:r>
      <w:r w:rsidRPr="00EE3F76">
        <w:t>iii.</w:t>
      </w:r>
      <w:r w:rsidRPr="00EE3F76">
        <w:tab/>
        <w:t xml:space="preserve">The regulated fruit is practically free of leaves, twigs, and other plant parts, except for stems that are less than 1 inch long and attached to the fruit. </w:t>
      </w:r>
    </w:p>
    <w:p w14:paraId="02766FB2" w14:textId="77777777" w:rsidR="009515EC" w:rsidRPr="00EE3F76" w:rsidRDefault="009515EC" w:rsidP="009515EC">
      <w:pPr>
        <w:pStyle w:val="i0"/>
      </w:pPr>
      <w:r>
        <w:tab/>
      </w:r>
      <w:r w:rsidRPr="00EE3F76">
        <w:t>iv.</w:t>
      </w:r>
      <w:r w:rsidRPr="00EE3F76">
        <w:tab/>
        <w:t xml:space="preserve">If the fruit is repackaged after being packed in a commercial packinghouse and before it is moved interstate from the quarantined area, the person that repackages the fruit must enter into a compliance agreement with USDA-APHIS-PPQ and must issue and attach a certificate for the interstate </w:t>
      </w:r>
      <w:r w:rsidRPr="00EE3F76">
        <w:lastRenderedPageBreak/>
        <w:t xml:space="preserve">movement of the fruit in accordance with federal requirements. </w:t>
      </w:r>
    </w:p>
    <w:p w14:paraId="14A7B730" w14:textId="77777777" w:rsidR="009515EC" w:rsidRPr="00EE3F76" w:rsidRDefault="009515EC" w:rsidP="009515EC">
      <w:pPr>
        <w:pStyle w:val="a0"/>
      </w:pPr>
      <w:r w:rsidRPr="00EE3F76">
        <w:t>d.</w:t>
      </w:r>
      <w:r w:rsidRPr="00EE3F76">
        <w:tab/>
        <w:t xml:space="preserve">Regulated fruit that is not eligible for movement under paragraph iii of this Section may be moved interstate only for immediate export. The regulated fruit must be accompanied by a limited permit issued in accordance with federal requirements and must be moved in a container sealed by USDA-APHIS-PPQ directly to the port of export in accordance with the conditions of the limited permit. </w:t>
      </w:r>
    </w:p>
    <w:p w14:paraId="012B76C6" w14:textId="77777777" w:rsidR="009515EC" w:rsidRPr="00EE3F76" w:rsidRDefault="009515EC" w:rsidP="009515EC">
      <w:pPr>
        <w:pStyle w:val="a0"/>
      </w:pPr>
      <w:r w:rsidRPr="00EE3F76">
        <w:t>e.</w:t>
      </w:r>
      <w:r w:rsidRPr="00EE3F76">
        <w:tab/>
        <w:t>Grass, tree, and plant clippings may be moved intrastate from the quarantined area for disposal in a public landfill, for composting in a recycling facility, or treatment at a treatment facility, including livestock feed heat treatment facilities, if all of the following conditions are met.</w:t>
      </w:r>
    </w:p>
    <w:p w14:paraId="7B78353C" w14:textId="77777777" w:rsidR="009515EC" w:rsidRPr="00EE3F76" w:rsidRDefault="006C0E56" w:rsidP="006C0E56">
      <w:pPr>
        <w:pStyle w:val="i0"/>
      </w:pPr>
      <w:r>
        <w:tab/>
      </w:r>
      <w:r w:rsidR="009515EC" w:rsidRPr="00EE3F76">
        <w:t>i.</w:t>
      </w:r>
      <w:r w:rsidR="009515EC" w:rsidRPr="00EE3F76">
        <w:tab/>
        <w:t xml:space="preserve">The public landfill, recycling facility, or treatment location is located within the quarantined area. </w:t>
      </w:r>
    </w:p>
    <w:p w14:paraId="4D9F3E8D" w14:textId="77777777" w:rsidR="009515EC" w:rsidRPr="00EE3F76" w:rsidRDefault="006C0E56" w:rsidP="006C0E56">
      <w:pPr>
        <w:pStyle w:val="i0"/>
      </w:pPr>
      <w:r>
        <w:tab/>
      </w:r>
      <w:r w:rsidR="009515EC" w:rsidRPr="00EE3F76">
        <w:t>ii.</w:t>
      </w:r>
      <w:r w:rsidR="009515EC" w:rsidRPr="00EE3F76">
        <w:tab/>
        <w:t xml:space="preserve">The grass, tree, or plant clippings are completely covered during the movement from the quarantined area to the public landfill, recycling facility, or treatment facility. </w:t>
      </w:r>
    </w:p>
    <w:p w14:paraId="712F810F" w14:textId="77777777" w:rsidR="009515EC" w:rsidRPr="00EE3F76" w:rsidRDefault="006C0E56" w:rsidP="006C0E56">
      <w:pPr>
        <w:pStyle w:val="i0"/>
        <w:rPr>
          <w:color w:val="000000"/>
        </w:rPr>
      </w:pPr>
      <w:r>
        <w:tab/>
      </w:r>
      <w:r w:rsidR="009515EC" w:rsidRPr="00EE3F76">
        <w:t>iii.</w:t>
      </w:r>
      <w:r w:rsidR="009515EC" w:rsidRPr="00EE3F76">
        <w:tab/>
        <w:t>Any public landfill used is fenced, prohibits the removal of dumped material, and covers dumped material with dirt at the end of every day that dumping occurs</w:t>
      </w:r>
      <w:r w:rsidR="009515EC" w:rsidRPr="00EE3F76">
        <w:rPr>
          <w:color w:val="000000"/>
        </w:rPr>
        <w:t xml:space="preserve">. </w:t>
      </w:r>
    </w:p>
    <w:p w14:paraId="4677147C" w14:textId="77777777" w:rsidR="009515EC" w:rsidRPr="00EE3F76" w:rsidRDefault="009515EC" w:rsidP="009515EC">
      <w:pPr>
        <w:pStyle w:val="a0"/>
      </w:pPr>
      <w:r w:rsidRPr="00EE3F76">
        <w:t>f.</w:t>
      </w:r>
      <w:r w:rsidRPr="00EE3F76">
        <w:tab/>
        <w:t>All vehicles, equipment, and other articles used in providing inspection, maintenance, harvesting, or related services in any grove containing regulated plants or regulated trees, or in providing landscaping or lawn care services on any premises containing regulated plants or regulated trees, must be treated in accordance with federal requirements upon leaving the grove or premises. All personnel who enter the grove or premises to provide these services must be treated in accordance with federal requirements upon leaving the grove or premises.</w:t>
      </w:r>
    </w:p>
    <w:p w14:paraId="6159B296" w14:textId="77777777" w:rsidR="009515EC" w:rsidRPr="00EE3F76" w:rsidRDefault="009515EC" w:rsidP="009515EC">
      <w:pPr>
        <w:pStyle w:val="a0"/>
      </w:pPr>
      <w:r w:rsidRPr="00EE3F76">
        <w:t>g.</w:t>
      </w:r>
      <w:r w:rsidRPr="00EE3F76">
        <w:tab/>
        <w:t xml:space="preserve">Regulated nursery stock may be moved intrastate or interstate from a quarantined area if all of the following conditions are met. </w:t>
      </w:r>
    </w:p>
    <w:p w14:paraId="492500A7" w14:textId="77777777" w:rsidR="009515EC" w:rsidRPr="00EE3F76" w:rsidRDefault="009515EC" w:rsidP="009515EC">
      <w:pPr>
        <w:pStyle w:val="i0"/>
      </w:pPr>
      <w:r>
        <w:tab/>
      </w:r>
      <w:r w:rsidRPr="00EE3F76">
        <w:t>i.</w:t>
      </w:r>
      <w:r w:rsidRPr="00EE3F76">
        <w:tab/>
        <w:t>The nursery in which the nursery stock is produced has entered into a compliance agreement in which it agrees to meet the relevant construction standards, sourcing and certification requirements, cleaning, disinfecting, and safeguarding requirements, labeling requirements, and recordkeeping and inspection requirements specified in federal regulations. The compliance agreement may also specify additional conditions under which the nursery stock must be grown, maintained, and shipped, as determined by regulatory officials, to prevent the dissemination of citrus canker. The compliance agreement will also specify that regulatory officials may amend the agreement.</w:t>
      </w:r>
    </w:p>
    <w:p w14:paraId="2B96F08B" w14:textId="77777777" w:rsidR="009515EC" w:rsidRPr="00EE3F76" w:rsidRDefault="009515EC" w:rsidP="009515EC">
      <w:pPr>
        <w:pStyle w:val="i0"/>
      </w:pPr>
      <w:r>
        <w:tab/>
      </w:r>
      <w:r w:rsidRPr="00EE3F76">
        <w:t>ii.</w:t>
      </w:r>
      <w:r w:rsidRPr="00EE3F76">
        <w:tab/>
        <w:t>An inspector has determined that the nursery has adhered to all terms and conditions of the compliance agreement.</w:t>
      </w:r>
    </w:p>
    <w:p w14:paraId="5896D139" w14:textId="77777777" w:rsidR="009515EC" w:rsidRPr="00EE3F76" w:rsidRDefault="009515EC" w:rsidP="009515EC">
      <w:pPr>
        <w:pStyle w:val="i0"/>
      </w:pPr>
      <w:r>
        <w:tab/>
      </w:r>
      <w:r w:rsidRPr="00EE3F76">
        <w:t>iii.</w:t>
      </w:r>
      <w:r w:rsidRPr="00EE3F76">
        <w:tab/>
        <w:t>The nursery stock is accompanied by a certificate issued in accordance with federal regulations.</w:t>
      </w:r>
    </w:p>
    <w:p w14:paraId="2CE5518C" w14:textId="77777777" w:rsidR="009515EC" w:rsidRPr="00EE3F76" w:rsidRDefault="009515EC" w:rsidP="009515EC">
      <w:pPr>
        <w:pStyle w:val="i0"/>
      </w:pPr>
      <w:r>
        <w:tab/>
      </w:r>
      <w:r w:rsidRPr="00EE3F76">
        <w:t>iv.</w:t>
      </w:r>
      <w:r w:rsidRPr="00EE3F76">
        <w:tab/>
        <w:t>The nursery stock is completely enclosed in a sealed container that is clearly labeled with the certificate and is moved in that container.</w:t>
      </w:r>
    </w:p>
    <w:p w14:paraId="74763987" w14:textId="77777777" w:rsidR="009515EC" w:rsidRPr="00EE3F76" w:rsidRDefault="009515EC" w:rsidP="009515EC">
      <w:pPr>
        <w:pStyle w:val="i0"/>
      </w:pPr>
      <w:r>
        <w:tab/>
      </w:r>
      <w:r w:rsidRPr="00EE3F76">
        <w:t>v.</w:t>
      </w:r>
      <w:r w:rsidRPr="00EE3F76">
        <w:tab/>
        <w:t>A copy of the certificate is attached to the consignee's copy of the accompanying waybill.</w:t>
      </w:r>
    </w:p>
    <w:p w14:paraId="7689EFCB" w14:textId="77777777" w:rsidR="009515EC" w:rsidRPr="00EE3F76" w:rsidRDefault="009515EC" w:rsidP="009515EC">
      <w:pPr>
        <w:pStyle w:val="a0"/>
      </w:pPr>
      <w:r w:rsidRPr="00EE3F76">
        <w:t>h.</w:t>
      </w:r>
      <w:r w:rsidRPr="00EE3F76">
        <w:tab/>
        <w:t>Regulated nursery stock produced in a nursery located in a quarantined area that is not eligible for movement under this Section may be moved intrastate or interstate only for immediate export. The regulated nursery stock must be accompanied by a limited permit issued in accordance with federal regulations and must be moved in a container sealed by USDA-APHIS-PPQ directly to the port of export in accordance with the conditions of the limited permit.</w:t>
      </w:r>
    </w:p>
    <w:p w14:paraId="24C13369" w14:textId="77777777" w:rsidR="009515EC" w:rsidRPr="00EE3F76" w:rsidRDefault="009515EC" w:rsidP="009515EC">
      <w:pPr>
        <w:pStyle w:val="a0"/>
      </w:pPr>
      <w:r w:rsidRPr="00EE3F76">
        <w:t>i.</w:t>
      </w:r>
      <w:r w:rsidRPr="00EE3F76">
        <w:tab/>
        <w:t xml:space="preserve">Regulated seed may be moved intrastate or interstate from a quarantined area if all of the following conditions are met. </w:t>
      </w:r>
    </w:p>
    <w:p w14:paraId="22DE15F1" w14:textId="77777777" w:rsidR="009515EC" w:rsidRPr="00EE3F76" w:rsidRDefault="009515EC" w:rsidP="009515EC">
      <w:pPr>
        <w:pStyle w:val="i0"/>
      </w:pPr>
      <w:r>
        <w:tab/>
      </w:r>
      <w:r w:rsidRPr="00EE3F76">
        <w:t>i.</w:t>
      </w:r>
      <w:r w:rsidRPr="00EE3F76">
        <w:tab/>
        <w:t>The source plants are not from an area quarantined for citrus greening.</w:t>
      </w:r>
    </w:p>
    <w:p w14:paraId="3CFC8D60" w14:textId="77777777" w:rsidR="009515EC" w:rsidRPr="00EE3F76" w:rsidRDefault="009515EC" w:rsidP="009515EC">
      <w:pPr>
        <w:pStyle w:val="i0"/>
      </w:pPr>
      <w:r>
        <w:tab/>
      </w:r>
      <w:r w:rsidRPr="00EE3F76">
        <w:t>ii.</w:t>
      </w:r>
      <w:r w:rsidRPr="00EE3F76">
        <w:tab/>
        <w:t>During the two years before the movement date, no plants or plant parts infected with or exposed to citrus canker were found in the grove or nursery producing the fruit from which the regulated seed was extracted.</w:t>
      </w:r>
    </w:p>
    <w:p w14:paraId="3FC87903" w14:textId="77777777" w:rsidR="009515EC" w:rsidRPr="00EE3F76" w:rsidRDefault="009515EC" w:rsidP="009515EC">
      <w:pPr>
        <w:pStyle w:val="i0"/>
      </w:pPr>
      <w:r>
        <w:tab/>
      </w:r>
      <w:r w:rsidRPr="00EE3F76">
        <w:t>iii.</w:t>
      </w:r>
      <w:r w:rsidRPr="00EE3F76">
        <w:tab/>
        <w:t>The regulated seed was treated in accordance with federal regulations.</w:t>
      </w:r>
    </w:p>
    <w:p w14:paraId="08D73977" w14:textId="77777777" w:rsidR="009515EC" w:rsidRDefault="009515EC" w:rsidP="009515EC">
      <w:pPr>
        <w:pStyle w:val="i0"/>
      </w:pPr>
      <w:r>
        <w:tab/>
      </w:r>
      <w:r w:rsidRPr="00EE3F76">
        <w:t>iv.</w:t>
      </w:r>
      <w:r w:rsidRPr="00EE3F76">
        <w:tab/>
        <w:t>The regulated seed is accompanied by a certificate issued in accordance with federal regulations.</w:t>
      </w:r>
    </w:p>
    <w:p w14:paraId="43C447BF" w14:textId="77777777" w:rsidR="003E2396" w:rsidRPr="00794F84" w:rsidRDefault="003E2396" w:rsidP="003E2396">
      <w:pPr>
        <w:pStyle w:val="A"/>
      </w:pPr>
      <w:r>
        <w:t>G.</w:t>
      </w:r>
      <w:r>
        <w:tab/>
        <w:t>Labeling R</w:t>
      </w:r>
      <w:r w:rsidRPr="00794F84">
        <w:t>equirements for Ci</w:t>
      </w:r>
      <w:r>
        <w:t>trus Re</w:t>
      </w:r>
      <w:r w:rsidRPr="00794F84">
        <w:t>lated Quarantines</w:t>
      </w:r>
    </w:p>
    <w:p w14:paraId="5C014918" w14:textId="0BBDD16C" w:rsidR="003E2396" w:rsidRPr="00794F84" w:rsidRDefault="003E2396" w:rsidP="003E2396">
      <w:pPr>
        <w:pStyle w:val="1"/>
      </w:pPr>
      <w:r w:rsidRPr="00794F84">
        <w:t>1.</w:t>
      </w:r>
      <w:r w:rsidRPr="00794F84">
        <w:tab/>
      </w:r>
      <w:r w:rsidR="001B159C" w:rsidRPr="00B7246F">
        <w:t>Any citrus nursery stock sold, moved, or distributed within an area quarantined for citrus greening, or citrus canker shall have attached to the article or to the container of the article, a permanent and weatherproof tag or label in a clear and legible format no less than 14 point font bearing the exact words: PROHIBITED FROM MOVEMENT OUTSIDE OF THE CITRUS QUARANTINE AREAS, PENALTY FOR VIOLATION, Louisiana Department of Agriculture and Forestry. For a current list of quarantine areas, please go to www.ldaf.la.gov</w:t>
      </w:r>
      <w:r w:rsidRPr="00794F84">
        <w:t>.</w:t>
      </w:r>
    </w:p>
    <w:p w14:paraId="385E0E56" w14:textId="77777777" w:rsidR="003E2396" w:rsidRPr="00794F84" w:rsidRDefault="003E2396" w:rsidP="003E2396">
      <w:pPr>
        <w:pStyle w:val="1"/>
      </w:pPr>
      <w:r w:rsidRPr="00794F84">
        <w:t>2.</w:t>
      </w:r>
      <w:r w:rsidRPr="00794F84">
        <w:tab/>
        <w:t xml:space="preserve">Citrus nursery stock that is not in or intended for movement within a citrus greening or citrus canker quarantined area shall not be required to be labeled as described in Paragraph </w:t>
      </w:r>
      <w:r>
        <w:t>1</w:t>
      </w:r>
      <w:r w:rsidRPr="00794F84">
        <w:t xml:space="preserve"> of this Subsection.</w:t>
      </w:r>
    </w:p>
    <w:p w14:paraId="0B58D34F" w14:textId="77777777" w:rsidR="003E2396" w:rsidRPr="00794F84" w:rsidRDefault="003E2396" w:rsidP="003E2396">
      <w:pPr>
        <w:pStyle w:val="1"/>
      </w:pPr>
      <w:r w:rsidRPr="00794F84">
        <w:t>3.</w:t>
      </w:r>
      <w:r w:rsidRPr="00794F84">
        <w:tab/>
        <w:t xml:space="preserve">Citrus nursery stock labeled or tagged according to Paragraph </w:t>
      </w:r>
      <w:r>
        <w:t>1</w:t>
      </w:r>
      <w:r w:rsidRPr="00794F84">
        <w:t xml:space="preserve"> of this Subsection that is offered for retail sale in an area that is not quarantined for citrus greening or citrus canker may be subject to stop order.</w:t>
      </w:r>
    </w:p>
    <w:p w14:paraId="69AF3DE9" w14:textId="77777777" w:rsidR="00CF626A" w:rsidRPr="001531CD" w:rsidRDefault="003E2396" w:rsidP="003E2396">
      <w:pPr>
        <w:pStyle w:val="AuthorityNote"/>
      </w:pPr>
      <w:r w:rsidRPr="00794F84">
        <w:t>AUTHORITY NOTE:</w:t>
      </w:r>
      <w:r w:rsidRPr="00794F84">
        <w:tab/>
        <w:t>Promulgated in accordance with R.S. 3:1652.</w:t>
      </w:r>
    </w:p>
    <w:p w14:paraId="02E7070A" w14:textId="4C6049EC" w:rsidR="0085188F" w:rsidRPr="00E15513" w:rsidRDefault="00CF626A" w:rsidP="0085188F">
      <w:pPr>
        <w:pStyle w:val="HistoricalNote"/>
      </w:pPr>
      <w:r w:rsidRPr="001531CD">
        <w:t>HISTORICAL NOTE:</w:t>
      </w:r>
      <w:r w:rsidRPr="001531CD">
        <w:tab/>
        <w:t>Promulgated by the Department of Agriculture, Office of Agricultural</w:t>
      </w:r>
      <w:r w:rsidR="00013115">
        <w:t xml:space="preserve"> and Environmental Sciences, LR </w:t>
      </w:r>
      <w:r w:rsidRPr="001531CD">
        <w:t>11:319 (April 1985)</w:t>
      </w:r>
      <w:r w:rsidR="009515EC">
        <w:t xml:space="preserve">, amended by the </w:t>
      </w:r>
      <w:r w:rsidR="009515EC" w:rsidRPr="00EE3F76">
        <w:t>Department of Agriculture</w:t>
      </w:r>
      <w:r w:rsidR="009515EC">
        <w:t xml:space="preserve"> and Forestry</w:t>
      </w:r>
      <w:r w:rsidR="009515EC" w:rsidRPr="00EE3F76">
        <w:t>, Office of Agricultural and Environmental S</w:t>
      </w:r>
      <w:r w:rsidR="0085188F">
        <w:t xml:space="preserve">ciences, LR 40:1308 (July 2014), </w:t>
      </w:r>
      <w:r w:rsidR="0085188F" w:rsidRPr="00E15513">
        <w:t>LR 42:</w:t>
      </w:r>
      <w:r w:rsidR="003E2396">
        <w:t xml:space="preserve">730 (May 2016), </w:t>
      </w:r>
      <w:r w:rsidR="003E2396" w:rsidRPr="00794F84">
        <w:t>LR 4</w:t>
      </w:r>
      <w:r w:rsidR="003E2396">
        <w:t>4</w:t>
      </w:r>
      <w:r w:rsidR="003E2396" w:rsidRPr="00794F84">
        <w:t>:</w:t>
      </w:r>
      <w:r w:rsidR="003E2396">
        <w:t>439 (March 2018)</w:t>
      </w:r>
      <w:r w:rsidR="00CC4BA2" w:rsidRPr="00E41EBF">
        <w:t>, LR 45</w:t>
      </w:r>
      <w:r w:rsidR="00CC4BA2">
        <w:t>:1435 (October 2019)</w:t>
      </w:r>
      <w:r w:rsidR="00B128C6" w:rsidRPr="0098101E">
        <w:t>, LR 48:</w:t>
      </w:r>
      <w:r w:rsidR="00B128C6">
        <w:t>993 (April 2022)</w:t>
      </w:r>
      <w:r w:rsidR="002A7ABE">
        <w:t xml:space="preserve">, </w:t>
      </w:r>
      <w:r w:rsidR="002A7ABE" w:rsidRPr="00B7246F">
        <w:t>LR 52:348 (March 2026).</w:t>
      </w:r>
    </w:p>
    <w:p w14:paraId="7405B39E" w14:textId="77777777" w:rsidR="00CF626A" w:rsidRPr="001531CD" w:rsidRDefault="00CF626A">
      <w:pPr>
        <w:pStyle w:val="Section"/>
      </w:pPr>
      <w:bookmarkStart w:id="1369" w:name="_Toc256754598"/>
      <w:bookmarkStart w:id="1370" w:name="_Toc224818911"/>
      <w:r w:rsidRPr="001531CD">
        <w:lastRenderedPageBreak/>
        <w:t>§129.</w:t>
      </w:r>
      <w:r w:rsidRPr="001531CD">
        <w:tab/>
        <w:t>Phony Peach</w:t>
      </w:r>
      <w:bookmarkEnd w:id="1369"/>
      <w:bookmarkEnd w:id="1370"/>
    </w:p>
    <w:p w14:paraId="19C89BF4" w14:textId="77777777" w:rsidR="00CF626A" w:rsidRPr="001531CD" w:rsidRDefault="00CF626A">
      <w:pPr>
        <w:pStyle w:val="A"/>
      </w:pPr>
      <w:r w:rsidRPr="001531CD">
        <w:t>A.</w:t>
      </w:r>
      <w:r w:rsidRPr="001531CD">
        <w:tab/>
        <w:t>Permit certificates shall be issued for nursery stock originating in an area known to be infested with phony peach only on the following conditions:</w:t>
      </w:r>
    </w:p>
    <w:p w14:paraId="4013AB3E" w14:textId="77777777" w:rsidR="00CF626A" w:rsidRPr="001531CD" w:rsidRDefault="00CF626A">
      <w:pPr>
        <w:pStyle w:val="1"/>
      </w:pPr>
      <w:r w:rsidRPr="001531CD">
        <w:t>1.</w:t>
      </w:r>
      <w:r w:rsidRPr="001531CD">
        <w:tab/>
        <w:t xml:space="preserve">that each nursery in the infested areas shall apply to the state entomologist for approval of the proposed </w:t>
      </w:r>
      <w:r w:rsidRPr="001531CD">
        <w:br/>
        <w:t>nursery-growing site on or before August 15 of each year;</w:t>
      </w:r>
    </w:p>
    <w:p w14:paraId="4D9D4DED" w14:textId="77777777" w:rsidR="00CF626A" w:rsidRPr="001531CD" w:rsidRDefault="00CF626A">
      <w:pPr>
        <w:pStyle w:val="1"/>
      </w:pPr>
      <w:r w:rsidRPr="001531CD">
        <w:t>2.</w:t>
      </w:r>
      <w:r w:rsidRPr="001531CD">
        <w:tab/>
        <w:t>that nursery sites shall be at least 300 yards from wild plum, 1/2 mile from phony infested commercial orchards and 1/2 mile from urban areas;</w:t>
      </w:r>
    </w:p>
    <w:p w14:paraId="26C36639" w14:textId="77777777" w:rsidR="00CF626A" w:rsidRPr="001531CD" w:rsidRDefault="00CF626A">
      <w:pPr>
        <w:pStyle w:val="1"/>
      </w:pPr>
      <w:r w:rsidRPr="001531CD">
        <w:t>3.</w:t>
      </w:r>
      <w:r w:rsidRPr="001531CD">
        <w:tab/>
        <w:t>that all area within a 1/2 mile radius of the nursery site shall be inspected prior to October l of each year, and all phony trees found within such environs removed prior to November l of the year in which phony infested trees are found; and</w:t>
      </w:r>
    </w:p>
    <w:p w14:paraId="31356C7A" w14:textId="77777777" w:rsidR="00CF626A" w:rsidRPr="001531CD" w:rsidRDefault="00CF626A">
      <w:pPr>
        <w:pStyle w:val="1"/>
      </w:pPr>
      <w:r w:rsidRPr="001531CD">
        <w:t>4.</w:t>
      </w:r>
      <w:r w:rsidRPr="001531CD">
        <w:tab/>
        <w:t>that all budding shall be restricted to the slipbud method.</w:t>
      </w:r>
    </w:p>
    <w:p w14:paraId="698F6101" w14:textId="77777777" w:rsidR="00CF626A" w:rsidRPr="001531CD" w:rsidRDefault="00CF626A">
      <w:pPr>
        <w:pStyle w:val="AuthorityNote"/>
      </w:pPr>
      <w:r w:rsidRPr="001531CD">
        <w:t>AUTHORITY NOTE:</w:t>
      </w:r>
      <w:r w:rsidRPr="001531CD">
        <w:tab/>
        <w:t>Promulgated in accordance with R.S. 3:1652.</w:t>
      </w:r>
    </w:p>
    <w:p w14:paraId="3C8957A7" w14:textId="77777777" w:rsidR="00CF626A" w:rsidRPr="001531CD" w:rsidRDefault="00CF626A">
      <w:pPr>
        <w:pStyle w:val="HistoricalNote"/>
      </w:pPr>
      <w:r w:rsidRPr="001531CD">
        <w:t>HISTORICAL NOTE:</w:t>
      </w:r>
      <w:r w:rsidRPr="001531CD">
        <w:tab/>
        <w:t>Promulgated by the Department of Agriculture, Office of Agricultural</w:t>
      </w:r>
      <w:r w:rsidR="00455EE5">
        <w:t xml:space="preserve"> and Environmental Sciences, LR </w:t>
      </w:r>
      <w:r w:rsidRPr="001531CD">
        <w:t>11:320 (April 1985).</w:t>
      </w:r>
    </w:p>
    <w:p w14:paraId="7BF477E8" w14:textId="77777777" w:rsidR="00CF626A" w:rsidRPr="001531CD" w:rsidRDefault="00CF626A">
      <w:pPr>
        <w:pStyle w:val="Section"/>
      </w:pPr>
      <w:bookmarkStart w:id="1371" w:name="_Toc256754599"/>
      <w:bookmarkStart w:id="1372" w:name="_Toc224818912"/>
      <w:r w:rsidRPr="001531CD">
        <w:t>§131.</w:t>
      </w:r>
      <w:r w:rsidRPr="001531CD">
        <w:tab/>
        <w:t>Phytophagous Snails</w:t>
      </w:r>
      <w:bookmarkEnd w:id="1371"/>
      <w:bookmarkEnd w:id="1372"/>
    </w:p>
    <w:p w14:paraId="6CA9021B" w14:textId="77777777" w:rsidR="00CF626A" w:rsidRPr="001531CD" w:rsidRDefault="00CF626A">
      <w:pPr>
        <w:pStyle w:val="A"/>
      </w:pPr>
      <w:r w:rsidRPr="001531CD">
        <w:t>A.</w:t>
      </w:r>
      <w:r w:rsidRPr="001531CD">
        <w:tab/>
        <w:t>From Non-Infested States. Regulated material, including ornamental, horticultural and nursery stock, moved into or within Louisiana directly from any state not infested with European Brown Garden Snail or other Phytophagous Snails injurious to live plants, must be accompanied by a certificate of nursery inspection (tag).</w:t>
      </w:r>
    </w:p>
    <w:p w14:paraId="2AC2A558" w14:textId="77777777" w:rsidR="00CF626A" w:rsidRPr="001531CD" w:rsidRDefault="00CF626A">
      <w:pPr>
        <w:pStyle w:val="A"/>
      </w:pPr>
      <w:r w:rsidRPr="001531CD">
        <w:t>B.</w:t>
      </w:r>
      <w:r w:rsidRPr="001531CD">
        <w:tab/>
        <w:t>From Infested States or Areas. Regulated material, including ornamental, horticultural and nursery stock, originating from any state or area of any state known to be infested with European Brown Snail or other Phytophagous Snails injurious to live plants, and moved into or within Louisiana must be accompanied by a certificate of nursery inspection (tag) and shall be certified snail-free in a manner approved by the department.</w:t>
      </w:r>
    </w:p>
    <w:p w14:paraId="084DEB3A" w14:textId="77777777" w:rsidR="00CF626A" w:rsidRPr="001531CD" w:rsidRDefault="00CF626A">
      <w:pPr>
        <w:pStyle w:val="AuthorityNote"/>
      </w:pPr>
      <w:r w:rsidRPr="001531CD">
        <w:t>AUTHORITY NOTE:</w:t>
      </w:r>
      <w:r w:rsidRPr="001531CD">
        <w:tab/>
        <w:t>Promulgated in accordance with R.S. 3:1655.</w:t>
      </w:r>
    </w:p>
    <w:p w14:paraId="3045C3C6" w14:textId="77777777" w:rsidR="00CF626A" w:rsidRPr="001531CD" w:rsidRDefault="00CF626A">
      <w:pPr>
        <w:pStyle w:val="HistoricalNote"/>
      </w:pPr>
      <w:r w:rsidRPr="001531CD">
        <w:t>HISTORICAL NOTE:</w:t>
      </w:r>
      <w:r w:rsidRPr="001531CD">
        <w:tab/>
        <w:t>Promulgated by the Department of Agriculture, Office of Agricultural and Environment</w:t>
      </w:r>
      <w:r w:rsidR="00F9707B" w:rsidRPr="001531CD">
        <w:t xml:space="preserve">al Sciences, LR </w:t>
      </w:r>
      <w:r w:rsidRPr="001531CD">
        <w:t>11:320 (April 1985), amended by the Department of Agriculture and Forestry, Office of Agricultural and Environmental Sciences, LR</w:t>
      </w:r>
      <w:r w:rsidR="00F9707B" w:rsidRPr="001531CD">
        <w:t xml:space="preserve"> </w:t>
      </w:r>
      <w:r w:rsidRPr="001531CD">
        <w:t>18:702 (July 1992).</w:t>
      </w:r>
    </w:p>
    <w:p w14:paraId="7F744324" w14:textId="77777777" w:rsidR="004D1386" w:rsidRPr="001531CD" w:rsidRDefault="004D1386" w:rsidP="004D1386">
      <w:pPr>
        <w:pStyle w:val="Section"/>
      </w:pPr>
      <w:bookmarkStart w:id="1373" w:name="_Toc256754600"/>
      <w:bookmarkStart w:id="1374" w:name="_Toc224818913"/>
      <w:r w:rsidRPr="001531CD">
        <w:t>§132.</w:t>
      </w:r>
      <w:r w:rsidRPr="001531CD">
        <w:tab/>
        <w:t>Conifer and Hardwood Seedlings Used for Forestation Purposes</w:t>
      </w:r>
      <w:bookmarkEnd w:id="1373"/>
      <w:bookmarkEnd w:id="1374"/>
    </w:p>
    <w:p w14:paraId="2A40AF78" w14:textId="77777777" w:rsidR="004D1386" w:rsidRPr="001531CD" w:rsidRDefault="004D1386" w:rsidP="004D1386">
      <w:pPr>
        <w:pStyle w:val="A"/>
      </w:pPr>
      <w:r w:rsidRPr="001531CD">
        <w:t>A.</w:t>
      </w:r>
      <w:r w:rsidRPr="001531CD">
        <w:tab/>
        <w:t>The premises of nurseries growing seedlings for afforestation or reforestation purposes must be inspected and found to be apparently free of pests, diseases, and noxious plants.</w:t>
      </w:r>
    </w:p>
    <w:p w14:paraId="0E985DF2" w14:textId="77777777" w:rsidR="004D1386" w:rsidRPr="001531CD" w:rsidRDefault="004D1386" w:rsidP="004D1386">
      <w:pPr>
        <w:pStyle w:val="A"/>
      </w:pPr>
      <w:r w:rsidRPr="001531CD">
        <w:t>B.</w:t>
      </w:r>
      <w:r w:rsidRPr="001531CD">
        <w:tab/>
        <w:t>Any shipment of conifer or hardwood seedlings into or within the state for afforestation or reforestation purposes must be accompanied by a valid certificate issued by the department or the state of origin evidencing that the seedlings are apparently free of pests, diseases, and noxious plants.</w:t>
      </w:r>
    </w:p>
    <w:p w14:paraId="0658CE1B" w14:textId="77777777" w:rsidR="004D1386" w:rsidRPr="001531CD" w:rsidRDefault="004D1386" w:rsidP="004D1386">
      <w:pPr>
        <w:pStyle w:val="A"/>
      </w:pPr>
      <w:r w:rsidRPr="001531CD">
        <w:t>C.</w:t>
      </w:r>
      <w:r w:rsidRPr="001531CD">
        <w:tab/>
        <w:t>To aid in obtaining seedlings that are free of pests, diseases, and noxious plants, the preferred method of treatment is fumigation using methyl bromide in seedling plant beds prior to seeding. All such treatments shall be accomplished by utilizing state and federally registered pesticides in accordance with the label.</w:t>
      </w:r>
    </w:p>
    <w:p w14:paraId="17E79656" w14:textId="77777777" w:rsidR="004D1386" w:rsidRPr="001531CD" w:rsidRDefault="004D1386" w:rsidP="004D1386">
      <w:pPr>
        <w:pStyle w:val="AuthorityNote"/>
      </w:pPr>
      <w:r w:rsidRPr="001531CD">
        <w:t>AUTHORITY NOTE:</w:t>
      </w:r>
      <w:r w:rsidRPr="001531CD">
        <w:tab/>
        <w:t>Promulgated in accordance with R.S. 3:1652.</w:t>
      </w:r>
    </w:p>
    <w:p w14:paraId="2A7F2162" w14:textId="77777777" w:rsidR="004D1386" w:rsidRPr="001531CD" w:rsidRDefault="004D1386" w:rsidP="004D1386">
      <w:pPr>
        <w:pStyle w:val="HistoricalNote"/>
      </w:pPr>
      <w:r w:rsidRPr="001531CD">
        <w:t>HISTORICAL NOTE:</w:t>
      </w:r>
      <w:r w:rsidRPr="001531CD">
        <w:tab/>
        <w:t>Promulgated by the Department of Agriculture and Forestry, Office of Agricultural and Environmental Sciences, LR 33:34 (January 2007).</w:t>
      </w:r>
    </w:p>
    <w:p w14:paraId="6A3072A8" w14:textId="77777777" w:rsidR="00CF626A" w:rsidRPr="001531CD" w:rsidRDefault="00CF626A">
      <w:pPr>
        <w:pStyle w:val="Chapter"/>
      </w:pPr>
      <w:bookmarkStart w:id="1375" w:name="TOC_SubC109"/>
      <w:bookmarkStart w:id="1376" w:name="_Toc256754601"/>
      <w:bookmarkStart w:id="1377" w:name="_Toc224818914"/>
      <w:r w:rsidRPr="001531CD">
        <w:t>Subchapter C.</w:t>
      </w:r>
      <w:bookmarkEnd w:id="1375"/>
      <w:r w:rsidR="00167E2E">
        <w:tab/>
      </w:r>
      <w:bookmarkStart w:id="1378" w:name="TOCT_SubC100"/>
      <w:bookmarkStart w:id="1379" w:name="TOCT_SubC108"/>
      <w:bookmarkStart w:id="1380" w:name="TOCT_SubC109"/>
      <w:r w:rsidRPr="001531CD">
        <w:t>Sweetpotato Weevil Quarantine</w:t>
      </w:r>
      <w:bookmarkEnd w:id="1376"/>
      <w:bookmarkEnd w:id="1377"/>
      <w:bookmarkEnd w:id="1378"/>
      <w:bookmarkEnd w:id="1379"/>
      <w:bookmarkEnd w:id="1380"/>
    </w:p>
    <w:p w14:paraId="5FAB90DD" w14:textId="77777777" w:rsidR="00CF626A" w:rsidRPr="001531CD" w:rsidRDefault="00CF626A">
      <w:pPr>
        <w:pStyle w:val="Section"/>
      </w:pPr>
      <w:bookmarkStart w:id="1381" w:name="_Toc256754602"/>
      <w:bookmarkStart w:id="1382" w:name="_Toc224818915"/>
      <w:r w:rsidRPr="001531CD">
        <w:t>§133.</w:t>
      </w:r>
      <w:r w:rsidRPr="001531CD">
        <w:tab/>
        <w:t>Applicability of General Quarantine Regulations</w:t>
      </w:r>
      <w:bookmarkEnd w:id="1381"/>
      <w:bookmarkEnd w:id="1382"/>
    </w:p>
    <w:p w14:paraId="53E15576" w14:textId="77777777" w:rsidR="00CF626A" w:rsidRPr="001531CD" w:rsidRDefault="00CF626A">
      <w:pPr>
        <w:pStyle w:val="A"/>
      </w:pPr>
      <w:r w:rsidRPr="001531CD">
        <w:t>A.</w:t>
      </w:r>
      <w:r w:rsidRPr="001531CD">
        <w:tab/>
        <w:t>Sweet potato plants, plant products and parts thereof and host materials for the sweetpotato weevil are subject to all pertinent provisions of the general quarantine regulations contained in Subchapter A and to the regulations contained in this Subchapter.</w:t>
      </w:r>
    </w:p>
    <w:p w14:paraId="06986E48" w14:textId="77777777" w:rsidR="00CF626A" w:rsidRPr="001531CD" w:rsidRDefault="00CF626A">
      <w:pPr>
        <w:pStyle w:val="AuthorityNote"/>
      </w:pPr>
      <w:r w:rsidRPr="001531CD">
        <w:t>AUTHORITY NOTE:</w:t>
      </w:r>
      <w:r w:rsidRPr="001531CD">
        <w:tab/>
        <w:t>Promulgated in accordance with R.S. 3:1655 and R.S. 3:1732.</w:t>
      </w:r>
    </w:p>
    <w:p w14:paraId="20CB6E8A"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18:702 (July 1992), LR 27:1175 (August 2001).</w:t>
      </w:r>
    </w:p>
    <w:p w14:paraId="375C6852" w14:textId="77777777" w:rsidR="00CF626A" w:rsidRPr="001531CD" w:rsidRDefault="00CF626A">
      <w:pPr>
        <w:pStyle w:val="Section"/>
      </w:pPr>
      <w:bookmarkStart w:id="1383" w:name="_Toc256754603"/>
      <w:bookmarkStart w:id="1384" w:name="_Toc224818916"/>
      <w:r w:rsidRPr="001531CD">
        <w:t>§135.</w:t>
      </w:r>
      <w:r w:rsidRPr="001531CD">
        <w:tab/>
        <w:t>Definitions Applicable to this Subchapter</w:t>
      </w:r>
      <w:bookmarkEnd w:id="1383"/>
      <w:bookmarkEnd w:id="1384"/>
    </w:p>
    <w:p w14:paraId="6F1AD080" w14:textId="77777777" w:rsidR="00CF626A" w:rsidRPr="001531CD" w:rsidRDefault="00CF626A" w:rsidP="000831B3">
      <w:pPr>
        <w:pStyle w:val="A"/>
        <w:spacing w:after="60"/>
      </w:pPr>
      <w:r w:rsidRPr="001531CD">
        <w:t>A.</w:t>
      </w:r>
      <w:r w:rsidRPr="001531CD">
        <w:tab/>
        <w:t>In addition to definitions found in §103, the following definitions shall also be applicable to this Subchapter.</w:t>
      </w:r>
    </w:p>
    <w:p w14:paraId="72BDBFF9" w14:textId="77777777" w:rsidR="00CF626A" w:rsidRPr="001531CD" w:rsidRDefault="00CF626A" w:rsidP="000831B3">
      <w:pPr>
        <w:pStyle w:val="1"/>
        <w:spacing w:after="60"/>
      </w:pPr>
      <w:r w:rsidRPr="001531CD">
        <w:rPr>
          <w:i/>
          <w:iCs/>
        </w:rPr>
        <w:t>Commercial Kiln and Storage Houses</w:t>
      </w:r>
      <w:r w:rsidRPr="001531CD">
        <w:t>―any buildings where sweet potatoes produced by different farmers or growers are assembled and stored.</w:t>
      </w:r>
    </w:p>
    <w:p w14:paraId="747AAEDC" w14:textId="77777777" w:rsidR="00CF626A" w:rsidRPr="001531CD" w:rsidRDefault="00CF626A" w:rsidP="000831B3">
      <w:pPr>
        <w:pStyle w:val="1"/>
        <w:spacing w:after="60"/>
      </w:pPr>
      <w:r w:rsidRPr="001531CD">
        <w:rPr>
          <w:i/>
          <w:iCs/>
        </w:rPr>
        <w:t>Compliance Agreement</w:t>
      </w:r>
      <w:r w:rsidRPr="001531CD">
        <w:t>―a written agreement between the department and a Sweet Potato Dealer in which the dealer agrees to comply with the General Plant Quarantine Regulations, the provisions of this Subchapter and any conditions specified in the agreement.</w:t>
      </w:r>
    </w:p>
    <w:p w14:paraId="2193346C" w14:textId="77777777" w:rsidR="00CF626A" w:rsidRPr="001531CD" w:rsidRDefault="00CF626A" w:rsidP="000831B3">
      <w:pPr>
        <w:pStyle w:val="1"/>
        <w:spacing w:after="60"/>
      </w:pPr>
      <w:r w:rsidRPr="001531CD">
        <w:rPr>
          <w:i/>
          <w:iCs/>
        </w:rPr>
        <w:t>Farm Kiln</w:t>
      </w:r>
      <w:r w:rsidRPr="001531CD">
        <w:t xml:space="preserve"> or </w:t>
      </w:r>
      <w:r w:rsidRPr="001531CD">
        <w:rPr>
          <w:i/>
          <w:iCs/>
        </w:rPr>
        <w:t>Storage House</w:t>
      </w:r>
      <w:r w:rsidRPr="001531CD">
        <w:t>―a building or enclosed structure located on a farm in which sweet potatoes grown solely on said farm are stored.</w:t>
      </w:r>
    </w:p>
    <w:p w14:paraId="274EC883" w14:textId="77777777" w:rsidR="00CF626A" w:rsidRPr="001531CD" w:rsidRDefault="00CF626A" w:rsidP="000831B3">
      <w:pPr>
        <w:pStyle w:val="1"/>
        <w:spacing w:after="80"/>
      </w:pPr>
      <w:r w:rsidRPr="001531CD">
        <w:rPr>
          <w:i/>
          <w:iCs/>
        </w:rPr>
        <w:t>Non-Sweet Potato Area</w:t>
      </w:r>
      <w:r w:rsidRPr="001531CD">
        <w:t>―any area in which the planting, bedding, growing, or storing of any material which acts as a host for the sweetpotato weevil is prohibited.</w:t>
      </w:r>
    </w:p>
    <w:p w14:paraId="146F02B0" w14:textId="77777777" w:rsidR="00CF626A" w:rsidRPr="001531CD" w:rsidRDefault="00CF626A" w:rsidP="000831B3">
      <w:pPr>
        <w:pStyle w:val="1"/>
        <w:spacing w:after="80"/>
      </w:pPr>
      <w:r w:rsidRPr="001531CD">
        <w:rPr>
          <w:i/>
          <w:iCs/>
        </w:rPr>
        <w:t>Platform Inspection</w:t>
      </w:r>
      <w:r w:rsidRPr="001531CD">
        <w:t>―a visual examination by an inspector of sweet potatoes that have been cleaned and packed or containerized prior to the issuance of a certificate permit.</w:t>
      </w:r>
    </w:p>
    <w:p w14:paraId="01C6DD27" w14:textId="77777777" w:rsidR="00CF626A" w:rsidRPr="001531CD" w:rsidRDefault="00CF626A" w:rsidP="000831B3">
      <w:pPr>
        <w:pStyle w:val="1"/>
        <w:spacing w:after="80"/>
      </w:pPr>
      <w:r w:rsidRPr="001531CD">
        <w:rPr>
          <w:i/>
          <w:iCs/>
        </w:rPr>
        <w:t>Processing Plants</w:t>
      </w:r>
      <w:r w:rsidRPr="001531CD">
        <w:t>―canning, freezing and dehydrating plants.</w:t>
      </w:r>
    </w:p>
    <w:p w14:paraId="451ED205" w14:textId="77777777" w:rsidR="00CF626A" w:rsidRPr="001531CD" w:rsidRDefault="00CF626A" w:rsidP="000831B3">
      <w:pPr>
        <w:pStyle w:val="1"/>
        <w:spacing w:after="80"/>
      </w:pPr>
      <w:r w:rsidRPr="001531CD">
        <w:rPr>
          <w:i/>
          <w:iCs/>
        </w:rPr>
        <w:t>Sweet Potato Dealer</w:t>
      </w:r>
      <w:r w:rsidRPr="001531CD">
        <w:t>―a person engaged in the growing for sale, offering for sale, moving or brokering of sweet potatoes, except as noted in §147.C.</w:t>
      </w:r>
    </w:p>
    <w:p w14:paraId="4A6BF424" w14:textId="77777777" w:rsidR="00CF626A" w:rsidRPr="001531CD" w:rsidRDefault="00CF626A">
      <w:pPr>
        <w:pStyle w:val="AuthorityNote"/>
      </w:pPr>
      <w:r w:rsidRPr="001531CD">
        <w:t>AUTHORITY NOTE:</w:t>
      </w:r>
      <w:r w:rsidRPr="001531CD">
        <w:tab/>
        <w:t>Promulgated in accordance with R.S. 3:1655 and R.S. 3:1732.</w:t>
      </w:r>
    </w:p>
    <w:p w14:paraId="2A81F042" w14:textId="77777777" w:rsidR="00CF626A" w:rsidRPr="001531CD" w:rsidRDefault="00CF626A">
      <w:pPr>
        <w:pStyle w:val="HistoricalNote"/>
      </w:pPr>
      <w:r w:rsidRPr="001531CD">
        <w:t>HISTORICAL NOTE:</w:t>
      </w:r>
      <w:r w:rsidRPr="001531CD">
        <w:tab/>
        <w:t xml:space="preserve">Promulgated by the Department of Agriculture, Office of Agricultural and Environmental Sciences, LR </w:t>
      </w:r>
      <w:r w:rsidRPr="001531CD">
        <w:lastRenderedPageBreak/>
        <w:t>11:320 (April 1985), amended by the Department of Agriculture and Forestry, Office of Agricultural and Environmental Sciences, LR 18:702 (July 1992), LR 27:1175 (August 2001).</w:t>
      </w:r>
    </w:p>
    <w:p w14:paraId="55EACC06" w14:textId="77777777" w:rsidR="00CF626A" w:rsidRPr="001531CD" w:rsidRDefault="00CF626A" w:rsidP="000831B3">
      <w:pPr>
        <w:pStyle w:val="Section"/>
        <w:spacing w:after="60"/>
      </w:pPr>
      <w:bookmarkStart w:id="1385" w:name="_Toc256754604"/>
      <w:bookmarkStart w:id="1386" w:name="_Toc224818917"/>
      <w:r w:rsidRPr="001531CD">
        <w:t>§137.</w:t>
      </w:r>
      <w:r w:rsidRPr="001531CD">
        <w:tab/>
        <w:t>Issuance and Use of Certificate Permits, Certificate Permit Tags, and Fumigation Certificates for the Movement of Regulated Material</w:t>
      </w:r>
      <w:bookmarkEnd w:id="1385"/>
      <w:bookmarkEnd w:id="1386"/>
    </w:p>
    <w:p w14:paraId="2BA1D6ED" w14:textId="77777777" w:rsidR="00CF626A" w:rsidRPr="001531CD" w:rsidRDefault="00CF626A" w:rsidP="000831B3">
      <w:pPr>
        <w:pStyle w:val="A"/>
        <w:spacing w:after="60"/>
      </w:pPr>
      <w:r w:rsidRPr="001531CD">
        <w:t>A.</w:t>
      </w:r>
      <w:r w:rsidRPr="001531CD">
        <w:tab/>
        <w:t>From Sweetpotato Weevil-Free Designations</w:t>
      </w:r>
    </w:p>
    <w:p w14:paraId="7ABF0647" w14:textId="77777777" w:rsidR="00CF626A" w:rsidRPr="001531CD" w:rsidRDefault="00CF626A" w:rsidP="000831B3">
      <w:pPr>
        <w:pStyle w:val="1"/>
        <w:spacing w:after="60"/>
      </w:pPr>
      <w:r w:rsidRPr="001531CD">
        <w:t>1.</w:t>
      </w:r>
      <w:r w:rsidRPr="001531CD">
        <w:tab/>
        <w:t>Green certificate permit tags will, upon request to the department, be issued to any person whose growing, packing and storage facilities are designated by the department as sweetpotato weevil-free and who meet the following conditions.</w:t>
      </w:r>
    </w:p>
    <w:p w14:paraId="0D60DD3D" w14:textId="77777777" w:rsidR="00CF626A" w:rsidRPr="001531CD" w:rsidRDefault="00CF626A" w:rsidP="000831B3">
      <w:pPr>
        <w:pStyle w:val="a0"/>
        <w:spacing w:after="60"/>
      </w:pPr>
      <w:r w:rsidRPr="001531CD">
        <w:t>a.</w:t>
      </w:r>
      <w:r w:rsidRPr="001531CD">
        <w:tab/>
        <w:t>The person has a valid sweet potato dealer's permit as required by these regulations.</w:t>
      </w:r>
    </w:p>
    <w:p w14:paraId="581421FC" w14:textId="77777777" w:rsidR="00CF626A" w:rsidRPr="001531CD" w:rsidRDefault="00CF626A" w:rsidP="000831B3">
      <w:pPr>
        <w:pStyle w:val="a0"/>
        <w:spacing w:after="60"/>
      </w:pPr>
      <w:r w:rsidRPr="001531CD">
        <w:t>b.</w:t>
      </w:r>
      <w:r w:rsidRPr="001531CD">
        <w:tab/>
        <w:t>The properties or premises of the person, where regulated materials are grown or stored, have been trapped or surveyed for sweetpotato weevil during the growing season in a manner approved by the department and have been found by the department to be free from sweetpotato weevil.</w:t>
      </w:r>
    </w:p>
    <w:p w14:paraId="17689C90" w14:textId="77777777" w:rsidR="00CF626A" w:rsidRPr="001531CD" w:rsidRDefault="00CF626A" w:rsidP="000831B3">
      <w:pPr>
        <w:pStyle w:val="1"/>
        <w:spacing w:after="80"/>
      </w:pPr>
      <w:r w:rsidRPr="001531CD">
        <w:t>2.</w:t>
      </w:r>
      <w:r w:rsidRPr="001531CD">
        <w:tab/>
        <w:t>Certificate permits authorizing the movement of regulated material from sweetpotato weevil-free areas or properties or premises to points within and outside of Louisiana will be issued by the department under the following conditions.</w:t>
      </w:r>
    </w:p>
    <w:p w14:paraId="234AF5E3" w14:textId="77777777" w:rsidR="00CF626A" w:rsidRPr="001531CD" w:rsidRDefault="00CF626A" w:rsidP="00550E09">
      <w:pPr>
        <w:pStyle w:val="a0"/>
        <w:spacing w:after="60"/>
      </w:pPr>
      <w:r w:rsidRPr="001531CD">
        <w:t>a.</w:t>
      </w:r>
      <w:r w:rsidRPr="001531CD">
        <w:tab/>
        <w:t>The person moving the regulated material has a valid sweet potato dealer's permit as required under these regulations.</w:t>
      </w:r>
    </w:p>
    <w:p w14:paraId="0DC7DA70" w14:textId="77777777" w:rsidR="00CF626A" w:rsidRPr="001531CD" w:rsidRDefault="00CF626A" w:rsidP="00550E09">
      <w:pPr>
        <w:pStyle w:val="a0"/>
        <w:spacing w:after="60"/>
      </w:pPr>
      <w:r w:rsidRPr="001531CD">
        <w:t>b.</w:t>
      </w:r>
      <w:r w:rsidRPr="001531CD">
        <w:tab/>
        <w:t>The person has signed a compliance agreement with the department specifying the handling of the regulated material to be moved and the proper use of the certificate permits.</w:t>
      </w:r>
    </w:p>
    <w:p w14:paraId="4713AD6A" w14:textId="77777777" w:rsidR="00CF626A" w:rsidRPr="001531CD" w:rsidRDefault="00CF626A" w:rsidP="00550E09">
      <w:pPr>
        <w:pStyle w:val="1"/>
        <w:spacing w:after="60"/>
      </w:pPr>
      <w:r w:rsidRPr="001531CD">
        <w:t>3.</w:t>
      </w:r>
      <w:r w:rsidRPr="001531CD">
        <w:tab/>
        <w:t>Green certificate permit tags shall be attached to or placed within each container in a load or shipment of sweet potatoes, if moved within Louisiana or to any other state which may require such. Green certificate permit tags shall not be reused.</w:t>
      </w:r>
    </w:p>
    <w:p w14:paraId="58F09439" w14:textId="77777777" w:rsidR="00CF626A" w:rsidRPr="001531CD" w:rsidRDefault="00CF626A" w:rsidP="00550E09">
      <w:pPr>
        <w:pStyle w:val="1"/>
        <w:spacing w:after="60"/>
      </w:pPr>
      <w:r w:rsidRPr="001531CD">
        <w:t>4.</w:t>
      </w:r>
      <w:r w:rsidRPr="001531CD">
        <w:tab/>
        <w:t>Regulated material moving into areas or properties or premises of Louisiana or into a portion of any other state designated as sweetpotato weevil-infested, unless moving under the provisions set forth in §139.D.2.c, shall not be moved back into any Louisiana sweetpotato weevil-free designated area and shall lose its sweetpotato weevil-free status.</w:t>
      </w:r>
    </w:p>
    <w:p w14:paraId="20732AF2" w14:textId="77777777" w:rsidR="00CF626A" w:rsidRPr="001531CD" w:rsidRDefault="00CF626A" w:rsidP="00550E09">
      <w:pPr>
        <w:pStyle w:val="A"/>
        <w:spacing w:after="60"/>
      </w:pPr>
      <w:r w:rsidRPr="001531CD">
        <w:t>B.</w:t>
      </w:r>
      <w:r w:rsidRPr="001531CD">
        <w:tab/>
        <w:t>From Sweetpotato Weevil-infested Designations</w:t>
      </w:r>
    </w:p>
    <w:p w14:paraId="7D435064" w14:textId="77777777" w:rsidR="00CF626A" w:rsidRPr="001531CD" w:rsidRDefault="00CF626A" w:rsidP="00550E09">
      <w:pPr>
        <w:pStyle w:val="1"/>
        <w:spacing w:after="60"/>
      </w:pPr>
      <w:r w:rsidRPr="001531CD">
        <w:t>1.</w:t>
      </w:r>
      <w:r w:rsidRPr="001531CD">
        <w:tab/>
        <w:t>Pink certificate permit tags will, upon request to the department, be issued to any person whose growing, packing and storage facilities are designated by the department as sweetpotato weevil-infested and who possess a valid sweet potato dealer's permit as required under the provisions of these regulations.</w:t>
      </w:r>
    </w:p>
    <w:p w14:paraId="1A6FFB4D" w14:textId="77777777" w:rsidR="00CF626A" w:rsidRPr="001531CD" w:rsidRDefault="00CF626A" w:rsidP="00550E09">
      <w:pPr>
        <w:pStyle w:val="1"/>
        <w:spacing w:after="60"/>
      </w:pPr>
      <w:r w:rsidRPr="001531CD">
        <w:t>2.</w:t>
      </w:r>
      <w:r w:rsidRPr="001531CD">
        <w:tab/>
        <w:t>Certificate permits authorizing the movement of regulated material from or within sweetpotato weevil-infested areas or properties or premises will be issued by the department under the following conditions.</w:t>
      </w:r>
    </w:p>
    <w:p w14:paraId="55086CE6" w14:textId="77777777" w:rsidR="00CF626A" w:rsidRPr="001531CD" w:rsidRDefault="00CF626A" w:rsidP="00550E09">
      <w:pPr>
        <w:pStyle w:val="a0"/>
        <w:spacing w:after="60"/>
      </w:pPr>
      <w:r w:rsidRPr="001531CD">
        <w:t>a.</w:t>
      </w:r>
      <w:r w:rsidRPr="001531CD">
        <w:tab/>
        <w:t>The person has a valid sweet potato dealer's permit as required under the provisions of these regulations.</w:t>
      </w:r>
    </w:p>
    <w:p w14:paraId="3F4688AC" w14:textId="77777777" w:rsidR="00CF626A" w:rsidRPr="001531CD" w:rsidRDefault="00CF626A" w:rsidP="00550E09">
      <w:pPr>
        <w:pStyle w:val="a0"/>
        <w:spacing w:after="60"/>
      </w:pPr>
      <w:r w:rsidRPr="001531CD">
        <w:t>b.</w:t>
      </w:r>
      <w:r w:rsidRPr="001531CD">
        <w:tab/>
        <w:t>The person has signed a compliance agreement with the department specifying the handling of the regulated material to be moved and the proper use of the certificate permits.</w:t>
      </w:r>
    </w:p>
    <w:p w14:paraId="0FF61584" w14:textId="77777777" w:rsidR="00CF626A" w:rsidRPr="001531CD" w:rsidRDefault="00CF626A" w:rsidP="00550E09">
      <w:pPr>
        <w:pStyle w:val="a0"/>
        <w:spacing w:after="80"/>
      </w:pPr>
      <w:r w:rsidRPr="001531CD">
        <w:t>c.</w:t>
      </w:r>
      <w:r w:rsidRPr="001531CD">
        <w:tab/>
        <w:t>The regulated material shall not be moved from a sweetpotato weevil infested designated area into a sweetpotato weevil-free designated area, or to any state which may prohibit entry of such regulated material, unless fumigated under the provisions set forth in §138.</w:t>
      </w:r>
    </w:p>
    <w:p w14:paraId="6EA4130F" w14:textId="77777777" w:rsidR="00CF626A" w:rsidRPr="001531CD" w:rsidRDefault="00CF626A" w:rsidP="00550E09">
      <w:pPr>
        <w:pStyle w:val="a0"/>
        <w:spacing w:after="80"/>
      </w:pPr>
      <w:r w:rsidRPr="001531CD">
        <w:t>d.</w:t>
      </w:r>
      <w:r w:rsidRPr="001531CD">
        <w:tab/>
        <w:t>If regulated materials are moved, then the regulated materials shall be completely enclosed in the vehicle body or covered tightly by tarpaulins or other means approved by the department in advance of movement.</w:t>
      </w:r>
    </w:p>
    <w:p w14:paraId="277C29CD" w14:textId="77777777" w:rsidR="00CF626A" w:rsidRPr="001531CD" w:rsidRDefault="00CF626A" w:rsidP="00550E09">
      <w:pPr>
        <w:pStyle w:val="a0"/>
        <w:spacing w:after="80"/>
      </w:pPr>
      <w:r w:rsidRPr="001531CD">
        <w:t>e.</w:t>
      </w:r>
      <w:r w:rsidRPr="001531CD">
        <w:tab/>
        <w:t>Certificate permits attesting to regulated material fumigation and authorizing the movement of regulated material from areas or properties or premises designated as sweetpotato weevil-infested will be issued when such regulated material is inspected, found apparently free of the sweetpotato weevil and fumigated under the provisions set forth in §138 hereof.</w:t>
      </w:r>
    </w:p>
    <w:p w14:paraId="615C60FB" w14:textId="77777777" w:rsidR="00CF626A" w:rsidRPr="001531CD" w:rsidRDefault="00CF626A">
      <w:pPr>
        <w:pStyle w:val="1"/>
      </w:pPr>
      <w:r w:rsidRPr="001531CD">
        <w:t>3.</w:t>
      </w:r>
      <w:r w:rsidRPr="001531CD">
        <w:tab/>
        <w:t>Pink certificate permit tags shall be attached to or placed within each container in a load or shipment of sweet potatoes, if moved within Louisiana or to any other state which may require such tags. Pink certificate permit tags shall not be reused.</w:t>
      </w:r>
    </w:p>
    <w:p w14:paraId="30017046" w14:textId="77777777" w:rsidR="00CF626A" w:rsidRPr="001531CD" w:rsidRDefault="00CF626A">
      <w:pPr>
        <w:pStyle w:val="A"/>
      </w:pPr>
      <w:r w:rsidRPr="001531CD">
        <w:t>C.</w:t>
      </w:r>
      <w:r w:rsidRPr="001531CD">
        <w:tab/>
        <w:t>No regulated material may be moved or shipped within or out of Louisiana unless accompanied by a valid certificate permit.</w:t>
      </w:r>
    </w:p>
    <w:p w14:paraId="423D0745" w14:textId="77777777" w:rsidR="00CF626A" w:rsidRPr="001531CD" w:rsidRDefault="00CF626A">
      <w:pPr>
        <w:pStyle w:val="AuthorityNote"/>
      </w:pPr>
      <w:r w:rsidRPr="001531CD">
        <w:t>AUTHORITY NOTE:</w:t>
      </w:r>
      <w:r w:rsidRPr="001531CD">
        <w:tab/>
        <w:t>Promulgated in accordance with R.S. 3:1655 and R.S. 3:1732.</w:t>
      </w:r>
    </w:p>
    <w:p w14:paraId="3A4CB3BD"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14:527 (August 1988), LR 16:600 (July 1990), LR 18:702 (July 1992), LR 27:1175 (August 2001).</w:t>
      </w:r>
    </w:p>
    <w:p w14:paraId="2B98330D" w14:textId="77777777" w:rsidR="00CF626A" w:rsidRPr="001531CD" w:rsidRDefault="00CF626A">
      <w:pPr>
        <w:pStyle w:val="Section"/>
      </w:pPr>
      <w:bookmarkStart w:id="1387" w:name="_Toc256754605"/>
      <w:bookmarkStart w:id="1388" w:name="_Toc224818918"/>
      <w:r w:rsidRPr="001531CD">
        <w:t>§138.</w:t>
      </w:r>
      <w:r w:rsidRPr="001531CD">
        <w:tab/>
        <w:t>Fumigation and Maintenance of Weevil-Free Status of Regulated Materials Originating from Designated Sweetpotato Weevil-Infested Areas or Properties or Premises</w:t>
      </w:r>
      <w:bookmarkEnd w:id="1387"/>
      <w:bookmarkEnd w:id="1388"/>
    </w:p>
    <w:p w14:paraId="08EB47F4" w14:textId="77777777" w:rsidR="00CF626A" w:rsidRPr="001531CD" w:rsidRDefault="00CF626A">
      <w:pPr>
        <w:pStyle w:val="A"/>
      </w:pPr>
      <w:r w:rsidRPr="001531CD">
        <w:t>A.</w:t>
      </w:r>
      <w:r w:rsidRPr="001531CD">
        <w:tab/>
        <w:t xml:space="preserve">Fumigation Measures. Persons operating storage houses and/or packing sheds who desire to move regulated materials from areas or properties or premises designated by the department as sweetpotato weevil infested into areas </w:t>
      </w:r>
      <w:r w:rsidR="00F9707B" w:rsidRPr="001531CD">
        <w:br/>
      </w:r>
      <w:r w:rsidRPr="001531CD">
        <w:t xml:space="preserve">or properties or premises designated as sweetpotato </w:t>
      </w:r>
      <w:r w:rsidR="00F9707B" w:rsidRPr="001531CD">
        <w:br/>
      </w:r>
      <w:r w:rsidRPr="001531CD">
        <w:t>weevil-free, or to any state which may prohibit entry of such regulated material, shall:</w:t>
      </w:r>
    </w:p>
    <w:p w14:paraId="45340108" w14:textId="77777777" w:rsidR="00CF626A" w:rsidRPr="001531CD" w:rsidRDefault="00CF626A">
      <w:pPr>
        <w:pStyle w:val="1"/>
      </w:pPr>
      <w:r w:rsidRPr="001531CD">
        <w:t>1.</w:t>
      </w:r>
      <w:r w:rsidRPr="001531CD">
        <w:tab/>
        <w:t>enlist the services of a certified fumigator to perform the fumigation;</w:t>
      </w:r>
    </w:p>
    <w:p w14:paraId="77185BE1" w14:textId="77777777" w:rsidR="00CF626A" w:rsidRPr="001531CD" w:rsidRDefault="00CF626A">
      <w:pPr>
        <w:pStyle w:val="1"/>
      </w:pPr>
      <w:r w:rsidRPr="001531CD">
        <w:t>2.</w:t>
      </w:r>
      <w:r w:rsidRPr="001531CD">
        <w:tab/>
        <w:t>possess a valid fumigation certificate issued by a certified fumigator, indicating that the fumigation was done in accordance with all fumigant label requirements and in a manner approved by the department. Each fumigation certificate shall state the conditions and dates of fumigation;</w:t>
      </w:r>
    </w:p>
    <w:p w14:paraId="7C89CDFB" w14:textId="77777777" w:rsidR="00CF626A" w:rsidRPr="001531CD" w:rsidRDefault="00CF626A">
      <w:pPr>
        <w:pStyle w:val="1"/>
      </w:pPr>
      <w:r w:rsidRPr="001531CD">
        <w:lastRenderedPageBreak/>
        <w:t>3.</w:t>
      </w:r>
      <w:r w:rsidRPr="001531CD">
        <w:tab/>
        <w:t>fumigate with fumigants labeled for use on the regulated material and formulated and used in a manner and at a concentration approved by the department.</w:t>
      </w:r>
    </w:p>
    <w:p w14:paraId="4DB01124" w14:textId="77777777" w:rsidR="00CF626A" w:rsidRPr="001531CD" w:rsidRDefault="00CF626A">
      <w:pPr>
        <w:pStyle w:val="A"/>
      </w:pPr>
      <w:r w:rsidRPr="001531CD">
        <w:t>B.</w:t>
      </w:r>
      <w:r w:rsidRPr="001531CD">
        <w:tab/>
        <w:t>Maintenance of Weevil-Free Status. Regulated materials shall be maintained in such a manner that the integrity of their weevil-free status following fumigation is retained.</w:t>
      </w:r>
    </w:p>
    <w:p w14:paraId="768E6EC3" w14:textId="77777777" w:rsidR="00CF626A" w:rsidRPr="001531CD" w:rsidRDefault="00CF626A">
      <w:pPr>
        <w:pStyle w:val="1"/>
      </w:pPr>
      <w:r w:rsidRPr="001531CD">
        <w:t>1.</w:t>
      </w:r>
      <w:r w:rsidRPr="001531CD">
        <w:tab/>
      </w:r>
      <w:r w:rsidRPr="001531CD">
        <w:rPr>
          <w:i/>
          <w:iCs/>
        </w:rPr>
        <w:t>Fumigation Chamber</w:t>
      </w:r>
      <w:r w:rsidRPr="001531CD">
        <w:t>―fumigated regulated materials may be stored in a fumigation chamber approved by the department, designed specifically for fumigating and storing regulated materials. The chamber shall be airtight with a self contained, screened exhaust system in place; shall possess doors that seal; shall contain a minimum of 1,000 cubic feet of space, and larger chambers must be designed to contain an even multiple of 1,000 cubic feet; shall be cleaned of all sweet potatoes, parts, and any other regulated materials between periods of fumigation and storage.</w:t>
      </w:r>
    </w:p>
    <w:p w14:paraId="513C2321" w14:textId="77777777" w:rsidR="00CF626A" w:rsidRPr="001531CD" w:rsidRDefault="00CF626A">
      <w:pPr>
        <w:pStyle w:val="1"/>
      </w:pPr>
      <w:r w:rsidRPr="001531CD">
        <w:t>2.</w:t>
      </w:r>
      <w:r w:rsidRPr="001531CD">
        <w:tab/>
        <w:t>Tractor trailer rigs designed and constructed for use in fumigations may be used in place of a fumigation chamber provided the truck body meets the fumigation chamber requirements outlined above, with the exception of the cubic feet requirement. A variation in truck body cubic feet shall be allowed provided the variation allows adequate volume to fumigate according to the fumigant label. All entrances or openings on the truck body shall be sealed in a manner approved by the department, prior to shipment, by the use of not more than two seals.</w:t>
      </w:r>
    </w:p>
    <w:p w14:paraId="0B1C7F3C" w14:textId="77777777" w:rsidR="00CF626A" w:rsidRPr="001531CD" w:rsidRDefault="00CF626A">
      <w:pPr>
        <w:pStyle w:val="1"/>
      </w:pPr>
      <w:r w:rsidRPr="001531CD">
        <w:t>3.</w:t>
      </w:r>
      <w:r w:rsidRPr="001531CD">
        <w:tab/>
        <w:t>If an approved fumigation chamber or tractor-trailer rig is not used then fumigation and storage of regulated materials shall be conducted as follows.</w:t>
      </w:r>
    </w:p>
    <w:p w14:paraId="5F49D6E5" w14:textId="77777777" w:rsidR="00CF626A" w:rsidRPr="001531CD" w:rsidRDefault="00CF626A">
      <w:pPr>
        <w:pStyle w:val="a0"/>
      </w:pPr>
      <w:r w:rsidRPr="001531CD">
        <w:t>a.</w:t>
      </w:r>
      <w:r w:rsidRPr="001531CD">
        <w:tab/>
        <w:t>Regulated materials shall be placed in a storage area separate from and in no way connected to any other storage or packing areas containing non-fumigated regulated materials. Storage area must be cleaned of all sweet potatoes, parts, and any other regulated materials between periods of storage.</w:t>
      </w:r>
    </w:p>
    <w:p w14:paraId="2EC5EE94" w14:textId="77777777" w:rsidR="00CF626A" w:rsidRPr="001531CD" w:rsidRDefault="00CF626A">
      <w:pPr>
        <w:pStyle w:val="a0"/>
      </w:pPr>
      <w:r w:rsidRPr="001531CD">
        <w:t>b.</w:t>
      </w:r>
      <w:r w:rsidRPr="001531CD">
        <w:tab/>
        <w:t>The storage area shall have been treated with an appropriately labeled chemical and in a manner approved by the department prior to initial storage of sweet potatoes harvested and fumigated that season and the storage area shall not be used to store any non-fumigated regulated materials.</w:t>
      </w:r>
    </w:p>
    <w:p w14:paraId="7A5E6001" w14:textId="77777777" w:rsidR="00CF626A" w:rsidRPr="001531CD" w:rsidRDefault="00CF626A">
      <w:pPr>
        <w:pStyle w:val="a0"/>
      </w:pPr>
      <w:r w:rsidRPr="001531CD">
        <w:t>c.</w:t>
      </w:r>
      <w:r w:rsidRPr="001531CD">
        <w:tab/>
        <w:t>Fumigation shall be accomplished by tenting the regulated material with a sealed tarpaulin or other suitable sealable material of adequate thickness and construction for use in fumigation with commercial fumigants.</w:t>
      </w:r>
    </w:p>
    <w:p w14:paraId="11960811" w14:textId="77777777" w:rsidR="00CF626A" w:rsidRPr="001531CD" w:rsidRDefault="00CF626A">
      <w:pPr>
        <w:pStyle w:val="a0"/>
      </w:pPr>
      <w:r w:rsidRPr="001531CD">
        <w:t>d.</w:t>
      </w:r>
      <w:r w:rsidRPr="001531CD">
        <w:tab/>
        <w:t>Regulated materials shall be completely enclosed with nylon, fiberglass, plastic or other synthetic screen material prior to, during and following fumigation. The screen mesh must be of a size sufficient to prevent entry of sweetpotato weevil and shall be free from tears, rips and holes.</w:t>
      </w:r>
    </w:p>
    <w:p w14:paraId="43C037D6" w14:textId="77777777" w:rsidR="00CF626A" w:rsidRPr="001531CD" w:rsidRDefault="00CF626A">
      <w:pPr>
        <w:pStyle w:val="1"/>
      </w:pPr>
      <w:r w:rsidRPr="001531CD">
        <w:t>4.</w:t>
      </w:r>
      <w:r w:rsidRPr="001531CD">
        <w:tab/>
        <w:t>Packing House or Shed―sweet potatoes fumigated, screened and stored according to these regulations may be washed and packed in the same packing house or shed as non-fumigated sweet potatoes, provided:</w:t>
      </w:r>
    </w:p>
    <w:p w14:paraId="402AE768" w14:textId="77777777" w:rsidR="00CF626A" w:rsidRPr="001531CD" w:rsidRDefault="00CF626A">
      <w:pPr>
        <w:pStyle w:val="a0"/>
      </w:pPr>
      <w:r w:rsidRPr="001531CD">
        <w:t>a.</w:t>
      </w:r>
      <w:r w:rsidRPr="001531CD">
        <w:tab/>
        <w:t>the packing house or shed and all packing equipment is cleaned of all sweet potatoes, parts, and any other regulated materials prior to washing and packing of fumigated sweet potatoes;</w:t>
      </w:r>
    </w:p>
    <w:p w14:paraId="48FC5261" w14:textId="77777777" w:rsidR="00CF626A" w:rsidRPr="001531CD" w:rsidRDefault="00CF626A">
      <w:pPr>
        <w:pStyle w:val="a0"/>
      </w:pPr>
      <w:r w:rsidRPr="001531CD">
        <w:t>b.</w:t>
      </w:r>
      <w:r w:rsidRPr="001531CD">
        <w:tab/>
        <w:t>the packing house or shed is treated with an appropriately labeled chemical and in a manner approved by the department prior to each packing period involving fumigated sweet potatoes.</w:t>
      </w:r>
    </w:p>
    <w:p w14:paraId="12F125AA" w14:textId="77777777" w:rsidR="00CF626A" w:rsidRPr="001531CD" w:rsidRDefault="00CF626A">
      <w:pPr>
        <w:pStyle w:val="1"/>
      </w:pPr>
      <w:r w:rsidRPr="001531CD">
        <w:t>5.</w:t>
      </w:r>
      <w:r w:rsidRPr="001531CD">
        <w:tab/>
        <w:t>All packing boxes and other packing and shipping materials shall be held in a storage area separate from and in no way connected to any other non-fumigated materials, or be fumigated and stored according to these regulations.</w:t>
      </w:r>
    </w:p>
    <w:p w14:paraId="483E96BE" w14:textId="77777777" w:rsidR="00CF626A" w:rsidRPr="001531CD" w:rsidRDefault="00CF626A">
      <w:pPr>
        <w:pStyle w:val="1"/>
      </w:pPr>
      <w:r w:rsidRPr="001531CD">
        <w:t>6.</w:t>
      </w:r>
      <w:r w:rsidRPr="001531CD">
        <w:tab/>
        <w:t>Fumigated sweet potatoes washed and packed under approved conditions must be shipped within seven days of packing. Washed and packed sweet potatoes shall be completely enclosed with nylon, fiberglass, plastic or other synthetic screen material immediately following packing and must remain enclosed until shipment. The screen mesh must be of a size sufficient to prevent entry of sweetpotato weevil and shall be free from tears, rips and holes. Fumigated, screened sweet potatoes awaiting shipment shall be labeled with the dates of fumigation.</w:t>
      </w:r>
    </w:p>
    <w:p w14:paraId="2429C267" w14:textId="77777777" w:rsidR="00CF626A" w:rsidRPr="001531CD" w:rsidRDefault="00CF626A">
      <w:pPr>
        <w:pStyle w:val="1"/>
      </w:pPr>
      <w:r w:rsidRPr="001531CD">
        <w:t>7.</w:t>
      </w:r>
      <w:r w:rsidRPr="001531CD">
        <w:tab/>
        <w:t>Trucks or other vehicles used to ship fumigated sweet potatoes from sweetpotato weevil infested areas or properties or premises shall be cleaned of all sweet potatoes, parts, and any other regulated materials prior to hauling fumigated sweet potatoes. Vehicle compartments previously containing shipments of non-fumigated regulated materials that were moved from or within designated sweetpotato weevil infested areas or properties or premises must be treated with an appropriately labeled chemical and in a manner approved by the department prior to loading fumigated sweet potatoes for shipment.</w:t>
      </w:r>
    </w:p>
    <w:p w14:paraId="7113B8EA" w14:textId="77777777" w:rsidR="00CF626A" w:rsidRPr="001531CD" w:rsidRDefault="00CF626A" w:rsidP="00550E09">
      <w:pPr>
        <w:pStyle w:val="1"/>
        <w:spacing w:after="80"/>
      </w:pPr>
      <w:r w:rsidRPr="001531CD">
        <w:t>8.</w:t>
      </w:r>
      <w:r w:rsidRPr="001531CD">
        <w:tab/>
        <w:t>No non-fumigated sweet potatoes shall be stored, loaded or shipped with fumigated sweet potatoes.</w:t>
      </w:r>
    </w:p>
    <w:p w14:paraId="1CA9DE7F" w14:textId="77777777" w:rsidR="00CF626A" w:rsidRPr="001531CD" w:rsidRDefault="00CF626A" w:rsidP="00550E09">
      <w:pPr>
        <w:pStyle w:val="A"/>
        <w:spacing w:after="80"/>
      </w:pPr>
      <w:r w:rsidRPr="001531CD">
        <w:t>C.</w:t>
      </w:r>
      <w:r w:rsidRPr="001531CD">
        <w:tab/>
        <w:t>Issuance of Certificate Permit Tags. Manila certificate permit tags will be issued by the department to persons meeting all sweetpotato weevil quarantine regulation and compliance agreement requirements and who desire to ship regulated materials that have been properly fumigated from areas or properties or premises designated by the department as sweetpotato weevil infested into areas or properties or premises designated as sweetpotato weevil-free, or to any state which may prohibit entry of such regulated material. Permit tags shall be attached to or within each container in a load or shipment of fumigated sweet potatoes and shall not be reused.</w:t>
      </w:r>
    </w:p>
    <w:p w14:paraId="3BC980C9" w14:textId="77777777" w:rsidR="00CF626A" w:rsidRPr="001531CD" w:rsidRDefault="00CF626A">
      <w:pPr>
        <w:pStyle w:val="AuthorityNote"/>
      </w:pPr>
      <w:r w:rsidRPr="001531CD">
        <w:t>AUTHORITY NOTE:</w:t>
      </w:r>
      <w:r w:rsidRPr="001531CD">
        <w:tab/>
        <w:t>Promulgated in accordance with R.S. 3:1655 and R.S. 3:1732.</w:t>
      </w:r>
    </w:p>
    <w:p w14:paraId="3C5E5FE8" w14:textId="77777777" w:rsidR="00CF626A" w:rsidRPr="001531CD" w:rsidRDefault="00CF626A">
      <w:pPr>
        <w:pStyle w:val="HistoricalNote"/>
      </w:pPr>
      <w:r w:rsidRPr="001531CD">
        <w:t>HISTORICAL NOTE:</w:t>
      </w:r>
      <w:r w:rsidRPr="001531CD">
        <w:tab/>
        <w:t>Promulgated by the Department of Agriculture, Office of Agricultural and Environmental Sciences, LR 16:600 (July 1990), amended by the Department of Agriculture and Forestry, Office of Agricultural and Environmental Sciences, LR 18:703 (July 1992), LR 27:1176 (August 2001).</w:t>
      </w:r>
    </w:p>
    <w:p w14:paraId="0B922CAA" w14:textId="77777777" w:rsidR="00CF626A" w:rsidRPr="001531CD" w:rsidRDefault="00CF626A" w:rsidP="00550E09">
      <w:pPr>
        <w:pStyle w:val="Section"/>
        <w:spacing w:after="80"/>
      </w:pPr>
      <w:bookmarkStart w:id="1389" w:name="_Toc256754606"/>
      <w:bookmarkStart w:id="1390" w:name="_Toc224818919"/>
      <w:r w:rsidRPr="001531CD">
        <w:t>§139.</w:t>
      </w:r>
      <w:r w:rsidRPr="001531CD">
        <w:tab/>
        <w:t>Effect of Quarantine for Sweetpotato Weevil</w:t>
      </w:r>
      <w:bookmarkEnd w:id="1389"/>
      <w:bookmarkEnd w:id="1390"/>
    </w:p>
    <w:p w14:paraId="01C82006" w14:textId="77777777" w:rsidR="00CF626A" w:rsidRPr="001531CD" w:rsidRDefault="00CF626A" w:rsidP="00550E09">
      <w:pPr>
        <w:pStyle w:val="A"/>
        <w:spacing w:after="80"/>
      </w:pPr>
      <w:r w:rsidRPr="001531CD">
        <w:t>A.</w:t>
      </w:r>
      <w:r w:rsidRPr="001531CD">
        <w:tab/>
        <w:t>Sweetpotato Weevil-Free Designations of Louisiana</w:t>
      </w:r>
    </w:p>
    <w:p w14:paraId="7581245F" w14:textId="77777777" w:rsidR="00CF626A" w:rsidRPr="001531CD" w:rsidRDefault="00CF626A" w:rsidP="00550E09">
      <w:pPr>
        <w:pStyle w:val="1"/>
        <w:spacing w:after="80"/>
      </w:pPr>
      <w:r w:rsidRPr="001531CD">
        <w:lastRenderedPageBreak/>
        <w:t>1.</w:t>
      </w:r>
      <w:r w:rsidRPr="001531CD">
        <w:tab/>
        <w:t>The growing or storing of regulated material, including seed beds and field plantings of sweet potatoes is prohibited in areas or properties or premises declared to be non-sweet potato areas, except under special permit issued by the department. Non-sweet potato areas may include but are not limited to sweetpotato weevil-infested properties or premises, as determined by survey or trapping procedures conducted in a manner approved by the department, located in those areas of the state designated by the department as sweetpotato weevil-free.</w:t>
      </w:r>
    </w:p>
    <w:p w14:paraId="765D586E" w14:textId="77777777" w:rsidR="00CF626A" w:rsidRPr="001531CD" w:rsidRDefault="00CF626A" w:rsidP="00550E09">
      <w:pPr>
        <w:pStyle w:val="1"/>
        <w:spacing w:after="80"/>
      </w:pPr>
      <w:r w:rsidRPr="001531CD">
        <w:t>2.</w:t>
      </w:r>
      <w:r w:rsidRPr="001531CD">
        <w:tab/>
        <w:t>Any regulated material found in non-sweet potato areas shall be disposed of in a manner approved by the department.</w:t>
      </w:r>
    </w:p>
    <w:p w14:paraId="761677E8" w14:textId="77777777" w:rsidR="00CF626A" w:rsidRPr="001531CD" w:rsidRDefault="00CF626A" w:rsidP="00550E09">
      <w:pPr>
        <w:pStyle w:val="1"/>
        <w:spacing w:after="80"/>
      </w:pPr>
      <w:r w:rsidRPr="001531CD">
        <w:t>3.</w:t>
      </w:r>
      <w:r w:rsidRPr="001531CD">
        <w:tab/>
        <w:t>Regulated materials, properties or premises found to contain sweetpotato weevil may be subject to required treatments, handling restrictions, or destruction as determined by the department.</w:t>
      </w:r>
    </w:p>
    <w:p w14:paraId="5702FA8A" w14:textId="77777777" w:rsidR="00CF626A" w:rsidRPr="001531CD" w:rsidRDefault="00CF626A" w:rsidP="00550E09">
      <w:pPr>
        <w:pStyle w:val="A"/>
        <w:spacing w:after="80"/>
      </w:pPr>
      <w:r w:rsidRPr="001531CD">
        <w:t>B.</w:t>
      </w:r>
      <w:r w:rsidRPr="001531CD">
        <w:tab/>
        <w:t>Sweetpotato Weevil-Infested Designations of Louisiana</w:t>
      </w:r>
    </w:p>
    <w:p w14:paraId="28525255" w14:textId="77777777" w:rsidR="00CF626A" w:rsidRPr="001531CD" w:rsidRDefault="00CF626A" w:rsidP="00550E09">
      <w:pPr>
        <w:pStyle w:val="1"/>
        <w:spacing w:after="80"/>
      </w:pPr>
      <w:r w:rsidRPr="001531CD">
        <w:t>1.</w:t>
      </w:r>
      <w:r w:rsidRPr="001531CD">
        <w:tab/>
        <w:t>Owners or persons in charge of properties or premises supporting active infestations of sweetpotato weevil within those areas or properties or premises of the state designated as sweetpotato weevil-infested may save their own seed sweet potatoes, provided that:</w:t>
      </w:r>
    </w:p>
    <w:p w14:paraId="792D4451" w14:textId="77777777" w:rsidR="00CF626A" w:rsidRPr="001531CD" w:rsidRDefault="00CF626A">
      <w:pPr>
        <w:pStyle w:val="a0"/>
      </w:pPr>
      <w:r w:rsidRPr="001531CD">
        <w:t>a.</w:t>
      </w:r>
      <w:r w:rsidRPr="001531CD">
        <w:tab/>
        <w:t>such seed sweet potatoes are graded in a manner sufficient to render them apparently free of the sweetpotato weevil;</w:t>
      </w:r>
    </w:p>
    <w:p w14:paraId="58A2D587" w14:textId="77777777" w:rsidR="00CF626A" w:rsidRPr="001531CD" w:rsidRDefault="00CF626A">
      <w:pPr>
        <w:pStyle w:val="a0"/>
      </w:pPr>
      <w:r w:rsidRPr="001531CD">
        <w:t>b.</w:t>
      </w:r>
      <w:r w:rsidRPr="001531CD">
        <w:tab/>
        <w:t>such seed sweet potatoes are properly treated in a manner approved by the department at the time of storage;</w:t>
      </w:r>
    </w:p>
    <w:p w14:paraId="79E690DA" w14:textId="77777777" w:rsidR="00CF626A" w:rsidRPr="001531CD" w:rsidRDefault="00CF626A">
      <w:pPr>
        <w:pStyle w:val="a0"/>
      </w:pPr>
      <w:r w:rsidRPr="001531CD">
        <w:t>c.</w:t>
      </w:r>
      <w:r w:rsidRPr="001531CD">
        <w:tab/>
        <w:t>no seed sweet potatoes, plants, vines and/or cuttings shall be sold, offered for sale or moved except those which have been inspected by the department and found to be apparently free of the sweetpotato weevil.</w:t>
      </w:r>
    </w:p>
    <w:p w14:paraId="1D500238" w14:textId="77777777" w:rsidR="00CF626A" w:rsidRPr="001531CD" w:rsidRDefault="00CF626A">
      <w:pPr>
        <w:pStyle w:val="1"/>
      </w:pPr>
      <w:r w:rsidRPr="001531CD">
        <w:t>2.</w:t>
      </w:r>
      <w:r w:rsidRPr="001531CD">
        <w:tab/>
        <w:t>Regulated materials, properties or premises supporting active infestations of sweetpotato weevil within those areas of the state designated as sweetpotato weevil-infested may be subject to required treatments, handling restrictions, or destruction as determined by the department.</w:t>
      </w:r>
    </w:p>
    <w:p w14:paraId="2171DE1C" w14:textId="77777777" w:rsidR="00CF626A" w:rsidRPr="001531CD" w:rsidRDefault="00CF626A">
      <w:pPr>
        <w:pStyle w:val="A"/>
      </w:pPr>
      <w:r w:rsidRPr="001531CD">
        <w:t>C.</w:t>
      </w:r>
      <w:r w:rsidRPr="001531CD">
        <w:tab/>
        <w:t>Statewide</w:t>
      </w:r>
    </w:p>
    <w:p w14:paraId="2862A1C1" w14:textId="77777777" w:rsidR="00CF626A" w:rsidRPr="001531CD" w:rsidRDefault="00CF626A">
      <w:pPr>
        <w:pStyle w:val="1"/>
      </w:pPr>
      <w:r w:rsidRPr="001531CD">
        <w:t>1.</w:t>
      </w:r>
      <w:r w:rsidRPr="001531CD">
        <w:tab/>
        <w:t>Sweet potatoes in seedbeds shall be destroyed within 15 days after such potatoes have served their purpose, and not later than July 15 of each year. Destruction shall be in such a manner that all sweet potatoes, plants and parts are brought to the soil surface and exposed, or in such other manner as may be prescribed by the department.</w:t>
      </w:r>
    </w:p>
    <w:p w14:paraId="6AE42AD3" w14:textId="77777777" w:rsidR="00CF626A" w:rsidRPr="001531CD" w:rsidRDefault="00CF626A">
      <w:pPr>
        <w:pStyle w:val="1"/>
      </w:pPr>
      <w:r w:rsidRPr="001531CD">
        <w:t>2.</w:t>
      </w:r>
      <w:r w:rsidRPr="001531CD">
        <w:tab/>
        <w:t>All sweet potato fields shall be harvested by December 1 of each year by the owner of the crop. Such fields shall be destroyed within 15 days after harvesting, and not later than December 15 of each year. Destruction shall be in such a manner that all remaining sweet potatoes, plants and parts are brought to the soil surface and exposed, or in such other manner as may be prescribed by the department.</w:t>
      </w:r>
    </w:p>
    <w:p w14:paraId="4E4BC5F4" w14:textId="77777777" w:rsidR="00CF626A" w:rsidRPr="001531CD" w:rsidRDefault="00CF626A">
      <w:pPr>
        <w:pStyle w:val="1"/>
      </w:pPr>
      <w:r w:rsidRPr="001531CD">
        <w:t>3.</w:t>
      </w:r>
      <w:r w:rsidRPr="001531CD">
        <w:tab/>
        <w:t>Sanitary Measures. Persons operating packing sheds, assembly points, processing plants and/or storage houses shall:</w:t>
      </w:r>
    </w:p>
    <w:p w14:paraId="4BF611A8" w14:textId="77777777" w:rsidR="00CF626A" w:rsidRPr="001531CD" w:rsidRDefault="00CF626A">
      <w:pPr>
        <w:pStyle w:val="a0"/>
      </w:pPr>
      <w:r w:rsidRPr="001531CD">
        <w:t>a.</w:t>
      </w:r>
      <w:r w:rsidRPr="001531CD">
        <w:tab/>
        <w:t>not permit loose sweet potatoes or parts of sweet potatoes to accumulate in or around any structure in which sweet potatoes are cleaned, packed, processed or stored;</w:t>
      </w:r>
    </w:p>
    <w:p w14:paraId="3A104913" w14:textId="77777777" w:rsidR="00CF626A" w:rsidRPr="001531CD" w:rsidRDefault="00CF626A">
      <w:pPr>
        <w:pStyle w:val="a0"/>
      </w:pPr>
      <w:r w:rsidRPr="001531CD">
        <w:t>b.</w:t>
      </w:r>
      <w:r w:rsidRPr="001531CD">
        <w:tab/>
        <w:t>render waste sweet potatoes and sweet potato parts unsuitable for or unavailable to the sweetpotato weevil by processing or disposal in a manner approved by the department. If it is necessary to haul host material from the place of accumulation for processing or disposal, such hauling shall be done in an approved tight-body truck or container and covered with a tarpaulin when necessary;</w:t>
      </w:r>
    </w:p>
    <w:p w14:paraId="1DD03F16" w14:textId="77777777" w:rsidR="00CF626A" w:rsidRPr="001531CD" w:rsidRDefault="00CF626A">
      <w:pPr>
        <w:pStyle w:val="a0"/>
      </w:pPr>
      <w:r w:rsidRPr="001531CD">
        <w:t>c.</w:t>
      </w:r>
      <w:r w:rsidRPr="001531CD">
        <w:tab/>
        <w:t>not allow sweet potatoes, sweet potato crowns and roots or parts thereof to be carried away from storage houses, processing plants, packing sheds or assembly points in water used in washing sweet potatoes;</w:t>
      </w:r>
    </w:p>
    <w:p w14:paraId="5910F905" w14:textId="77777777" w:rsidR="00CF626A" w:rsidRPr="001531CD" w:rsidRDefault="00CF626A">
      <w:pPr>
        <w:pStyle w:val="a0"/>
      </w:pPr>
      <w:r w:rsidRPr="001531CD">
        <w:t>d.</w:t>
      </w:r>
      <w:r w:rsidRPr="001531CD">
        <w:tab/>
        <w:t>not permit the sale, offer for sale or movement to any person or farm of culled sweet potatoes or sweet potato parts, except under special permit issued by the department; and</w:t>
      </w:r>
    </w:p>
    <w:p w14:paraId="7B2E2056" w14:textId="77777777" w:rsidR="00CF626A" w:rsidRPr="001531CD" w:rsidRDefault="00CF626A">
      <w:pPr>
        <w:pStyle w:val="a0"/>
      </w:pPr>
      <w:r w:rsidRPr="001531CD">
        <w:t>e.</w:t>
      </w:r>
      <w:r w:rsidRPr="001531CD">
        <w:tab/>
        <w:t>not move empty containers or equipment used in the handling of sweet potatoes from packing sheds or processing plants unless cleaned free of all host materials.</w:t>
      </w:r>
    </w:p>
    <w:p w14:paraId="339B762F" w14:textId="77777777" w:rsidR="00CF626A" w:rsidRPr="001531CD" w:rsidRDefault="00CF626A">
      <w:pPr>
        <w:pStyle w:val="A"/>
      </w:pPr>
      <w:r w:rsidRPr="001531CD">
        <w:t>D.</w:t>
      </w:r>
      <w:r w:rsidRPr="001531CD">
        <w:tab/>
        <w:t>Regulated Material from Other States</w:t>
      </w:r>
    </w:p>
    <w:p w14:paraId="6E11B520" w14:textId="77777777" w:rsidR="00CF626A" w:rsidRPr="001531CD" w:rsidRDefault="00CF626A">
      <w:pPr>
        <w:pStyle w:val="1"/>
      </w:pPr>
      <w:r w:rsidRPr="001531CD">
        <w:t>1.</w:t>
      </w:r>
      <w:r w:rsidRPr="001531CD">
        <w:tab/>
        <w:t>Sweet potatoes, sweet potato plants, plant products and parts thereof, host materials, and containers and equipment used in handling sweet potatoes may not enter Louisiana unless accompanied by valid certification from the state of origin.</w:t>
      </w:r>
    </w:p>
    <w:p w14:paraId="385E747A" w14:textId="77777777" w:rsidR="00CF626A" w:rsidRPr="001531CD" w:rsidRDefault="00CF626A">
      <w:pPr>
        <w:pStyle w:val="1"/>
      </w:pPr>
      <w:r w:rsidRPr="001531CD">
        <w:t>2.</w:t>
      </w:r>
      <w:r w:rsidRPr="001531CD">
        <w:tab/>
        <w:t>A valid state-of-origin certificate permit tag shall be attached to or placed within each container in a load of sweet potatoes entering Louisiana.</w:t>
      </w:r>
    </w:p>
    <w:p w14:paraId="1AA73CDF" w14:textId="77777777" w:rsidR="00CF626A" w:rsidRPr="001531CD" w:rsidRDefault="00CF626A">
      <w:pPr>
        <w:pStyle w:val="a0"/>
      </w:pPr>
      <w:r w:rsidRPr="001531CD">
        <w:t>a.</w:t>
      </w:r>
      <w:r w:rsidRPr="001531CD">
        <w:tab/>
        <w:t>Only regulated material certified as grown, stored and inspected in a portion of the state of origin designated as sweetpotato weevil-free, or fumigated in accordance with these regulations, shall enter those areas or properties or premises of Louisiana designated sweetpotato weevil-free unless moving under the provisions of this Section.</w:t>
      </w:r>
    </w:p>
    <w:p w14:paraId="1CD6F49B" w14:textId="77777777" w:rsidR="00CF626A" w:rsidRPr="001531CD" w:rsidRDefault="00CF626A">
      <w:pPr>
        <w:pStyle w:val="a0"/>
      </w:pPr>
      <w:r w:rsidRPr="001531CD">
        <w:t>b.</w:t>
      </w:r>
      <w:r w:rsidRPr="001531CD">
        <w:tab/>
        <w:t>Regulated material grown, stored or inspected in a portion of the state of origin designated sweetpotato weevil-infested or sweetpotato weevil regulated, and inspected and found apparently free of sweetpotato weevil, shall enter only those areas or properties or premises of Louisiana designated sweetpotato weevil-infested unless moving under the provisions of this Section.</w:t>
      </w:r>
    </w:p>
    <w:p w14:paraId="7D729D9F" w14:textId="77777777" w:rsidR="00CF626A" w:rsidRPr="001531CD" w:rsidRDefault="00CF626A">
      <w:pPr>
        <w:pStyle w:val="a0"/>
      </w:pPr>
      <w:r w:rsidRPr="001531CD">
        <w:t>c.</w:t>
      </w:r>
      <w:r w:rsidRPr="001531CD">
        <w:tab/>
        <w:t>Movement of regulated material from sweetpotato weevil-infested or sweetpotato weevil regulated areas or properties or premises through those areas or properties or premises of Louisiana designated sweetpotato weevil-free is prohibited, except when moved by common carrier with a through bill of lading; or, if moved by truck or any other conveyance, said conveyance shall be sealed by the state of origin, shall have no additional regulated material added to the shipment, and shall not be unloaded within designated weevil-free areas or properties or premises of Louisiana.</w:t>
      </w:r>
    </w:p>
    <w:p w14:paraId="3115C942" w14:textId="77777777" w:rsidR="00CF626A" w:rsidRPr="001531CD" w:rsidRDefault="00CF626A">
      <w:pPr>
        <w:pStyle w:val="a0"/>
      </w:pPr>
      <w:r w:rsidRPr="001531CD">
        <w:lastRenderedPageBreak/>
        <w:t>d.</w:t>
      </w:r>
      <w:r w:rsidRPr="001531CD">
        <w:tab/>
        <w:t>Regulated material originating in areas or properties or premises designated sweetpotato weevil-free that is moved into any area or property or premise designated sweetpotato weevil-infested or sweetpotato weevil regulated, except under the provisions of this Section, shall not be moved back into any designated sweetpotato weevil-free area or property or premise and shall lose its sweetpotato weevil-free status.</w:t>
      </w:r>
    </w:p>
    <w:p w14:paraId="2BD6C36B" w14:textId="77777777" w:rsidR="00CF626A" w:rsidRPr="001531CD" w:rsidRDefault="00CF626A">
      <w:pPr>
        <w:pStyle w:val="AuthorityNote"/>
      </w:pPr>
      <w:r w:rsidRPr="001531CD">
        <w:t>AUTHORITY NOTE:</w:t>
      </w:r>
      <w:r w:rsidRPr="001531CD">
        <w:tab/>
        <w:t>Promulgated in accordance with R.S. 3:1655 and R.S. 3:1732.</w:t>
      </w:r>
    </w:p>
    <w:p w14:paraId="69139C90"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18:704 (July 1992), LR 27:1177 (August 2001).</w:t>
      </w:r>
    </w:p>
    <w:p w14:paraId="306A1F19" w14:textId="77777777" w:rsidR="00CF626A" w:rsidRPr="001531CD" w:rsidRDefault="00CF626A">
      <w:pPr>
        <w:pStyle w:val="Section"/>
      </w:pPr>
      <w:bookmarkStart w:id="1391" w:name="_Toc256754607"/>
      <w:bookmarkStart w:id="1392" w:name="_Toc224818920"/>
      <w:r w:rsidRPr="001531CD">
        <w:t>§141.</w:t>
      </w:r>
      <w:r w:rsidRPr="001531CD">
        <w:tab/>
        <w:t>Handling, Storage and Processing of Sweet Potatoes within Those Areas or Properties or Premises of the State Designated Sweetpotato Weevil-Infested</w:t>
      </w:r>
      <w:bookmarkEnd w:id="1391"/>
      <w:bookmarkEnd w:id="1392"/>
    </w:p>
    <w:p w14:paraId="7237D34D" w14:textId="77777777" w:rsidR="00CF626A" w:rsidRPr="001531CD" w:rsidRDefault="00CF626A">
      <w:pPr>
        <w:pStyle w:val="A"/>
      </w:pPr>
      <w:r w:rsidRPr="001531CD">
        <w:t>A.</w:t>
      </w:r>
      <w:r w:rsidRPr="001531CD">
        <w:tab/>
        <w:t>Sweet Potatoes Treated with Approved Chemicals. There shall be no date limit on the shipment of sweet potatoes from those areas or properties or premises of the state designated sweetpotato weevil-infested, provided:</w:t>
      </w:r>
    </w:p>
    <w:p w14:paraId="62B22D47" w14:textId="77777777" w:rsidR="00CF626A" w:rsidRPr="001531CD" w:rsidRDefault="00CF626A">
      <w:pPr>
        <w:pStyle w:val="1"/>
      </w:pPr>
      <w:r w:rsidRPr="001531CD">
        <w:t>1.</w:t>
      </w:r>
      <w:r w:rsidRPr="001531CD">
        <w:tab/>
        <w:t>sweet potatoes to be marketed after April 1 following the year of production must be treated before February 28 with a chemical or chemicals labeled for sweet potato use and approved by the department; and</w:t>
      </w:r>
    </w:p>
    <w:p w14:paraId="687FE3D1" w14:textId="77777777" w:rsidR="00CF626A" w:rsidRPr="001531CD" w:rsidRDefault="00CF626A">
      <w:pPr>
        <w:pStyle w:val="1"/>
      </w:pPr>
      <w:r w:rsidRPr="001531CD">
        <w:t>2.</w:t>
      </w:r>
      <w:r w:rsidRPr="001531CD">
        <w:tab/>
        <w:t>sweet potato packing sheds, processing plants and/ or storage houses, and all containers and equipment used in handling sweet potatoes must be cleaned and treated in a manner prescribed by the department as soon as possible after final disposal of a crop of sweet potatoes.</w:t>
      </w:r>
    </w:p>
    <w:p w14:paraId="0D53BFC4" w14:textId="77777777" w:rsidR="00CF626A" w:rsidRPr="001531CD" w:rsidRDefault="00CF626A">
      <w:pPr>
        <w:pStyle w:val="A"/>
      </w:pPr>
      <w:r w:rsidRPr="001531CD">
        <w:t>B.</w:t>
      </w:r>
      <w:r w:rsidRPr="001531CD">
        <w:tab/>
        <w:t>Sweet Potatoes Not Treated with Approved Chemicals and/or Heavily Infested with Sweetpotato Weevil. Unprocessed sweet potatoes shall not:</w:t>
      </w:r>
    </w:p>
    <w:p w14:paraId="60F078D3" w14:textId="77777777" w:rsidR="00CF626A" w:rsidRPr="001531CD" w:rsidRDefault="00CF626A">
      <w:pPr>
        <w:pStyle w:val="1"/>
      </w:pPr>
      <w:r w:rsidRPr="001531CD">
        <w:t>1.</w:t>
      </w:r>
      <w:r w:rsidRPr="001531CD">
        <w:tab/>
        <w:t>be held in processing plants, warehouses or other storage houses on properties or premises supporting active infestations of sweetpotato weevils;</w:t>
      </w:r>
    </w:p>
    <w:p w14:paraId="04582074" w14:textId="77777777" w:rsidR="00CF626A" w:rsidRPr="001531CD" w:rsidRDefault="00CF626A">
      <w:pPr>
        <w:pStyle w:val="1"/>
      </w:pPr>
      <w:r w:rsidRPr="001531CD">
        <w:t>2.</w:t>
      </w:r>
      <w:r w:rsidRPr="001531CD">
        <w:tab/>
        <w:t>be moved in any manner except as provided for in §139.C.3.b;</w:t>
      </w:r>
    </w:p>
    <w:p w14:paraId="43E1C7E6" w14:textId="77777777" w:rsidR="00CF626A" w:rsidRPr="001531CD" w:rsidRDefault="00CF626A">
      <w:pPr>
        <w:pStyle w:val="1"/>
      </w:pPr>
      <w:r w:rsidRPr="001531CD">
        <w:t>3.</w:t>
      </w:r>
      <w:r w:rsidRPr="001531CD">
        <w:tab/>
        <w:t>be sold or offered for sale after April 1 following the year of production, except seed sweet potatoes that are apparently free of sweetpotato weevils and have been properly treated as prescribed in this Section.</w:t>
      </w:r>
    </w:p>
    <w:p w14:paraId="47BEA084" w14:textId="77777777" w:rsidR="00CF626A" w:rsidRPr="001531CD" w:rsidRDefault="00CF626A">
      <w:pPr>
        <w:pStyle w:val="A"/>
      </w:pPr>
      <w:r w:rsidRPr="001531CD">
        <w:t>C.</w:t>
      </w:r>
      <w:r w:rsidRPr="001531CD">
        <w:tab/>
        <w:t>This provision shall apply to all sweet potatoes even though previously inspected and certified for sale and movement.</w:t>
      </w:r>
    </w:p>
    <w:p w14:paraId="7720B93F" w14:textId="77777777" w:rsidR="00CF626A" w:rsidRPr="001531CD" w:rsidRDefault="00CF626A">
      <w:pPr>
        <w:pStyle w:val="A"/>
      </w:pPr>
      <w:r w:rsidRPr="001531CD">
        <w:t>D.</w:t>
      </w:r>
      <w:r w:rsidRPr="001531CD">
        <w:tab/>
        <w:t>Sweet potato packing sheds, processing plants and/or storage houses, and all containers and equipment used in handling sweet potatoes must be cleaned and treated in a manner prescribed by the department unless a special permit extending the deadline is issued by the department.</w:t>
      </w:r>
    </w:p>
    <w:p w14:paraId="3D6FA929" w14:textId="77777777" w:rsidR="00CF626A" w:rsidRPr="001531CD" w:rsidRDefault="00CF626A">
      <w:pPr>
        <w:pStyle w:val="AuthorityNote"/>
      </w:pPr>
      <w:r w:rsidRPr="001531CD">
        <w:t>AUTHORITY NOTE:</w:t>
      </w:r>
      <w:r w:rsidRPr="001531CD">
        <w:tab/>
        <w:t>Promulgated in accordance with R.S. 3:1655 and R.S. 3:1732.</w:t>
      </w:r>
    </w:p>
    <w:p w14:paraId="7FB96CB9"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18:705 (July 1992), LR 27:1178 (August 2001).</w:t>
      </w:r>
    </w:p>
    <w:p w14:paraId="078CE574" w14:textId="77777777" w:rsidR="00CF626A" w:rsidRPr="001531CD" w:rsidRDefault="00CF626A">
      <w:pPr>
        <w:pStyle w:val="Section"/>
      </w:pPr>
      <w:bookmarkStart w:id="1393" w:name="_Toc256754608"/>
      <w:bookmarkStart w:id="1394" w:name="_Toc224818921"/>
      <w:r w:rsidRPr="001531CD">
        <w:t>§143.</w:t>
      </w:r>
      <w:r w:rsidRPr="001531CD">
        <w:tab/>
        <w:t>Fees</w:t>
      </w:r>
      <w:bookmarkEnd w:id="1393"/>
      <w:bookmarkEnd w:id="1394"/>
    </w:p>
    <w:p w14:paraId="434B4A83" w14:textId="77777777" w:rsidR="00CF626A" w:rsidRPr="001531CD" w:rsidRDefault="00CF626A">
      <w:pPr>
        <w:pStyle w:val="A"/>
      </w:pPr>
      <w:r w:rsidRPr="001531CD">
        <w:t>A.</w:t>
      </w:r>
      <w:r w:rsidRPr="001531CD">
        <w:tab/>
        <w:t>A fee of $0.06 per bushel shall be charged for each bushel of sweet potatoes moved or shipped within or out of Louisiana.</w:t>
      </w:r>
    </w:p>
    <w:p w14:paraId="3A766659" w14:textId="77777777" w:rsidR="00CF626A" w:rsidRPr="001531CD" w:rsidRDefault="00CF626A">
      <w:pPr>
        <w:pStyle w:val="A"/>
      </w:pPr>
      <w:r w:rsidRPr="001531CD">
        <w:t>B.</w:t>
      </w:r>
      <w:r w:rsidRPr="001531CD">
        <w:tab/>
        <w:t>The fee charged for sweet potatoes moving to processing plants shall be collected on the basis of the amount of purchase less 10 percent for breakdown and shrinkage while in storage.</w:t>
      </w:r>
    </w:p>
    <w:p w14:paraId="6B41273E" w14:textId="77777777" w:rsidR="00CF626A" w:rsidRPr="001531CD" w:rsidRDefault="00CF626A">
      <w:pPr>
        <w:pStyle w:val="A"/>
      </w:pPr>
      <w:r w:rsidRPr="001531CD">
        <w:t>C.</w:t>
      </w:r>
      <w:r w:rsidRPr="001531CD">
        <w:tab/>
        <w:t>A fee of $0.10 per thousand shall be charged for vines, plants, slips or cuttings moved or shipped within or out of Louisiana.</w:t>
      </w:r>
    </w:p>
    <w:p w14:paraId="3D8B573B" w14:textId="77777777" w:rsidR="00CF626A" w:rsidRPr="001531CD" w:rsidRDefault="00CF626A">
      <w:pPr>
        <w:pStyle w:val="A"/>
      </w:pPr>
      <w:r w:rsidRPr="001531CD">
        <w:t>D.</w:t>
      </w:r>
      <w:r w:rsidRPr="001531CD">
        <w:tab/>
        <w:t>Method of assessing fees and time when fees are to be assessed.</w:t>
      </w:r>
    </w:p>
    <w:p w14:paraId="259E46E1" w14:textId="77777777" w:rsidR="00CF626A" w:rsidRPr="001531CD" w:rsidRDefault="00CF626A">
      <w:pPr>
        <w:pStyle w:val="1"/>
      </w:pPr>
      <w:r w:rsidRPr="001531CD">
        <w:t>1.</w:t>
      </w:r>
      <w:r w:rsidRPr="001531CD">
        <w:tab/>
        <w:t>Fresh Market</w:t>
      </w:r>
    </w:p>
    <w:p w14:paraId="4411F46A" w14:textId="77777777" w:rsidR="00CF626A" w:rsidRPr="001531CD" w:rsidRDefault="00CF626A">
      <w:pPr>
        <w:pStyle w:val="a0"/>
      </w:pPr>
      <w:r w:rsidRPr="001531CD">
        <w:t>a.</w:t>
      </w:r>
      <w:r w:rsidRPr="001531CD">
        <w:tab/>
        <w:t>Fees will be assessed based on average marketable yield per acre for each acre of sweet potatoes planted. The Louisiana Sweet Potato Advertising and Development Commission will determine the average yield.</w:t>
      </w:r>
    </w:p>
    <w:p w14:paraId="7FDA55B4" w14:textId="77777777" w:rsidR="00CF626A" w:rsidRPr="001531CD" w:rsidRDefault="00CF626A">
      <w:pPr>
        <w:pStyle w:val="a0"/>
      </w:pPr>
      <w:r w:rsidRPr="001531CD">
        <w:t>b.</w:t>
      </w:r>
      <w:r w:rsidRPr="001531CD">
        <w:tab/>
        <w:t>The total acres planted by each producer will be officially determined through the use of global positioning technology or other, similarly technical means, under departmental oversight. Each producer will be provided a mapped copy of his production fields and the acres of each field.</w:t>
      </w:r>
    </w:p>
    <w:p w14:paraId="7616DA5D" w14:textId="77777777" w:rsidR="00CF626A" w:rsidRPr="001531CD" w:rsidRDefault="00CF626A">
      <w:pPr>
        <w:pStyle w:val="a0"/>
      </w:pPr>
      <w:r w:rsidRPr="001531CD">
        <w:t>c.</w:t>
      </w:r>
      <w:r w:rsidRPr="001531CD">
        <w:tab/>
        <w:t>One-half of the total fee assessment shall be paid on or before October 15 of each year and the remaining balance shall be paid on or before December 15 of each year.</w:t>
      </w:r>
    </w:p>
    <w:p w14:paraId="65C42B47" w14:textId="77777777" w:rsidR="00CF626A" w:rsidRPr="001531CD" w:rsidRDefault="00CF626A">
      <w:pPr>
        <w:pStyle w:val="1"/>
      </w:pPr>
      <w:r w:rsidRPr="001531CD">
        <w:t>2.</w:t>
      </w:r>
      <w:r w:rsidRPr="001531CD">
        <w:tab/>
        <w:t>Processing Plants―assessed at the time the sweet potatoes are moved into a plant for processing or packed to be shipped as non-processed potatoes.</w:t>
      </w:r>
    </w:p>
    <w:p w14:paraId="31BD289F" w14:textId="77777777" w:rsidR="00CF626A" w:rsidRPr="001531CD" w:rsidRDefault="00CF626A">
      <w:pPr>
        <w:pStyle w:val="AuthorityNote"/>
      </w:pPr>
      <w:r w:rsidRPr="001531CD">
        <w:t>AUTHORITY NOTE:</w:t>
      </w:r>
      <w:r w:rsidRPr="001531CD">
        <w:tab/>
        <w:t>Promulgated in accordance with R.S. 3:1655, R.S. 3:1732 and R.S. 3:1734.</w:t>
      </w:r>
    </w:p>
    <w:p w14:paraId="40CC2FD5"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15:77 (February 1989), LR 18:705 (July 1992), LR 27:1178 (August 2001), LR 29:2298 (November 2003).</w:t>
      </w:r>
    </w:p>
    <w:p w14:paraId="7453D093" w14:textId="77777777" w:rsidR="00CF626A" w:rsidRPr="001531CD" w:rsidRDefault="00CF626A">
      <w:pPr>
        <w:pStyle w:val="Section"/>
      </w:pPr>
      <w:bookmarkStart w:id="1395" w:name="_Toc256754609"/>
      <w:bookmarkStart w:id="1396" w:name="_Toc224818922"/>
      <w:r w:rsidRPr="001531CD">
        <w:t>§145.</w:t>
      </w:r>
      <w:r w:rsidRPr="001531CD">
        <w:tab/>
        <w:t>Penalties for Violation of Sweetpotato Weevil Quarantine</w:t>
      </w:r>
      <w:bookmarkEnd w:id="1395"/>
      <w:bookmarkEnd w:id="1396"/>
    </w:p>
    <w:p w14:paraId="4E757B35" w14:textId="77777777" w:rsidR="00CF626A" w:rsidRPr="001531CD" w:rsidRDefault="00CF626A">
      <w:pPr>
        <w:pStyle w:val="A"/>
      </w:pPr>
      <w:r w:rsidRPr="001531CD">
        <w:t>A.</w:t>
      </w:r>
      <w:r w:rsidRPr="001531CD">
        <w:tab/>
        <w:t xml:space="preserve">Any person violating any portion of the sweetpotato weevil quarantine regulations, or any portion of a signed compliance agreement with the department, may be called to an adjudicatory hearing held in accordance with the Administrative Procedure Act and may be subject to a civil penalty of not more than $5,000 per each violation per day. Proportionate costs of the hearing may be assessed against the violator. The amount of these costs shall be limited to attorneys' fees as charged to the department for the actual </w:t>
      </w:r>
      <w:r w:rsidRPr="001531CD">
        <w:lastRenderedPageBreak/>
        <w:t>hearing and preparation for the hearing; and actual cost of departmental personnel time in processing violations.</w:t>
      </w:r>
    </w:p>
    <w:p w14:paraId="0C047800" w14:textId="77777777" w:rsidR="00CF626A" w:rsidRPr="001531CD" w:rsidRDefault="00CF626A" w:rsidP="00E01FC7">
      <w:pPr>
        <w:pStyle w:val="A"/>
        <w:spacing w:after="80"/>
      </w:pPr>
      <w:r w:rsidRPr="001531CD">
        <w:t>B.</w:t>
      </w:r>
      <w:r w:rsidRPr="001531CD">
        <w:tab/>
        <w:t>A sweet potato dealer's permit may be suspended, revoked or placed on probation if the holder thereof fails to comply with the provisions of these regulations or with the provisions of a signed compliance agreement with the department, subject to a finding in support of such action in a properly conducted adjudicatory hearing.</w:t>
      </w:r>
    </w:p>
    <w:p w14:paraId="227C4004" w14:textId="77777777" w:rsidR="00CF626A" w:rsidRPr="001531CD" w:rsidRDefault="00CF626A" w:rsidP="00E01FC7">
      <w:pPr>
        <w:pStyle w:val="A"/>
        <w:spacing w:after="80"/>
      </w:pPr>
      <w:r w:rsidRPr="001531CD">
        <w:t>C.</w:t>
      </w:r>
      <w:r w:rsidRPr="001531CD">
        <w:tab/>
        <w:t>Sweet potato plantings found in a non-sweet potato area may be destroyed at the expense of the person or persons responsible for the plantings.</w:t>
      </w:r>
    </w:p>
    <w:p w14:paraId="13B08CC8" w14:textId="77777777" w:rsidR="00CF626A" w:rsidRPr="001531CD" w:rsidRDefault="00CF626A" w:rsidP="00E01FC7">
      <w:pPr>
        <w:pStyle w:val="A"/>
        <w:spacing w:after="80"/>
      </w:pPr>
      <w:r w:rsidRPr="001531CD">
        <w:t>D.</w:t>
      </w:r>
      <w:r w:rsidRPr="001531CD">
        <w:tab/>
        <w:t>Regulated material found in violation of these regulations or in violation of a signed compliance agreement with the department may be destroyed and/or disposed of in a manner approved by the department at the expense of the person or persons responsible for the regulated material.</w:t>
      </w:r>
    </w:p>
    <w:p w14:paraId="77159863" w14:textId="77777777" w:rsidR="00CF626A" w:rsidRPr="001531CD" w:rsidRDefault="00CF626A">
      <w:pPr>
        <w:pStyle w:val="AuthorityNote"/>
      </w:pPr>
      <w:r w:rsidRPr="001531CD">
        <w:t>AUTHORITY NOTE:</w:t>
      </w:r>
      <w:r w:rsidRPr="001531CD">
        <w:tab/>
        <w:t>Promulgated in accordance with R.S. 3:1655 and R.S. 3:1732.</w:t>
      </w:r>
    </w:p>
    <w:p w14:paraId="128415F6"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18:705 (July 1992), LR 27:1179 (August 2001).</w:t>
      </w:r>
    </w:p>
    <w:p w14:paraId="704B4BEA" w14:textId="77777777" w:rsidR="00CF626A" w:rsidRPr="001531CD" w:rsidRDefault="00CF626A">
      <w:pPr>
        <w:pStyle w:val="Section"/>
      </w:pPr>
      <w:bookmarkStart w:id="1397" w:name="_Toc256754610"/>
      <w:bookmarkStart w:id="1398" w:name="_Toc224818923"/>
      <w:r w:rsidRPr="001531CD">
        <w:t>§147.</w:t>
      </w:r>
      <w:r w:rsidRPr="001531CD">
        <w:tab/>
        <w:t>Sweet Potato Dealer's Permit</w:t>
      </w:r>
      <w:bookmarkEnd w:id="1397"/>
      <w:bookmarkEnd w:id="1398"/>
    </w:p>
    <w:p w14:paraId="13AC5023" w14:textId="77777777" w:rsidR="00CF626A" w:rsidRPr="001531CD" w:rsidRDefault="00CF626A">
      <w:pPr>
        <w:pStyle w:val="A"/>
      </w:pPr>
      <w:r w:rsidRPr="001531CD">
        <w:t>A.</w:t>
      </w:r>
      <w:r w:rsidRPr="001531CD">
        <w:tab/>
        <w:t>All persons, including sweet potato growers and farmers, commercially growing, selling or offering for sale sweet potatoes shall not grow, move, clean, grade, pack or repack for sale, or process in any manner sweet potatoes without a valid Sweet Potato Dealer's Permit.</w:t>
      </w:r>
    </w:p>
    <w:p w14:paraId="548B1991" w14:textId="77777777" w:rsidR="00CF626A" w:rsidRPr="001531CD" w:rsidRDefault="00CF626A">
      <w:pPr>
        <w:pStyle w:val="A"/>
      </w:pPr>
      <w:r w:rsidRPr="001531CD">
        <w:t>B.</w:t>
      </w:r>
      <w:r w:rsidRPr="001531CD">
        <w:tab/>
        <w:t>Applicants for Sweet Potato Dealer's Certificate Permit shall complete and file the application required by the department, which shall set forth the following conditions:</w:t>
      </w:r>
    </w:p>
    <w:p w14:paraId="7760BB1F" w14:textId="77777777" w:rsidR="00CF626A" w:rsidRPr="001531CD" w:rsidRDefault="00CF626A">
      <w:pPr>
        <w:pStyle w:val="1"/>
      </w:pPr>
      <w:r w:rsidRPr="001531CD">
        <w:t>1.</w:t>
      </w:r>
      <w:r w:rsidRPr="001531CD">
        <w:tab/>
        <w:t>a guarantee to reimburse any purchase price of sweet potatoes which are confiscated because of sweetpotato weevil infestation or unauthorized sale, offer for sale or movement;</w:t>
      </w:r>
    </w:p>
    <w:p w14:paraId="54F7803C" w14:textId="77777777" w:rsidR="00CF626A" w:rsidRPr="001531CD" w:rsidRDefault="00CF626A">
      <w:pPr>
        <w:pStyle w:val="1"/>
      </w:pPr>
      <w:r w:rsidRPr="001531CD">
        <w:t>2.</w:t>
      </w:r>
      <w:r w:rsidRPr="001531CD">
        <w:tab/>
        <w:t>an agreement to permit, at the dealer's cost, the disposal or destruction by an inspector of the department or the return to point of origin of any sweet potatoes sold, offered for sale, moved or moving without authorization, or infested with sweetpotato weevil;</w:t>
      </w:r>
    </w:p>
    <w:p w14:paraId="35FF4DE5" w14:textId="77777777" w:rsidR="00CF626A" w:rsidRPr="001531CD" w:rsidRDefault="00CF626A">
      <w:pPr>
        <w:pStyle w:val="1"/>
      </w:pPr>
      <w:r w:rsidRPr="001531CD">
        <w:t>3.</w:t>
      </w:r>
      <w:r w:rsidRPr="001531CD">
        <w:tab/>
        <w:t>a signed agreement to comply with any and all sweet potato quarantine regulations and any conditions specified in the agreement.</w:t>
      </w:r>
    </w:p>
    <w:p w14:paraId="1E5C2AB4" w14:textId="77777777" w:rsidR="00CF626A" w:rsidRPr="001531CD" w:rsidRDefault="00CF626A">
      <w:pPr>
        <w:pStyle w:val="A"/>
      </w:pPr>
      <w:r w:rsidRPr="001531CD">
        <w:t>C.</w:t>
      </w:r>
      <w:r w:rsidRPr="001531CD">
        <w:tab/>
        <w:t>The provisions of this Section do not apply to retail grocers and other retail outlets selling or offering for sale sweet potatoes possessing a valid certificate permit and/or certificate permit tags indicating that the sweet potatoes have been inspected, and that are sold or offered for sale directly to the consumer from a permanent building at a permanent location.</w:t>
      </w:r>
    </w:p>
    <w:p w14:paraId="50DEED11" w14:textId="77777777" w:rsidR="00CF626A" w:rsidRPr="001531CD" w:rsidRDefault="00CF626A">
      <w:pPr>
        <w:pStyle w:val="AuthorityNote"/>
      </w:pPr>
      <w:r w:rsidRPr="001531CD">
        <w:t>AUTHORITY NOTE:</w:t>
      </w:r>
      <w:r w:rsidRPr="001531CD">
        <w:tab/>
        <w:t>Promulgated in accordance with R.S. 3:1653, R.S. 3:1655, R.S. 3:1732 and R.S. 3:1735.</w:t>
      </w:r>
    </w:p>
    <w:p w14:paraId="13398F6D" w14:textId="77777777" w:rsidR="00CF626A" w:rsidRPr="001531CD" w:rsidRDefault="00CF626A">
      <w:pPr>
        <w:pStyle w:val="HistoricalNote"/>
      </w:pPr>
      <w:r w:rsidRPr="001531CD">
        <w:t>HISTORICAL NOTE:</w:t>
      </w:r>
      <w:r w:rsidRPr="001531CD">
        <w:tab/>
        <w:t xml:space="preserve">Promulgated by the Department of Agriculture, Office of Agricultural and Environmental Sciences, LR 11:322 (April 1985), amended by the Department of Agriculture and </w:t>
      </w:r>
      <w:r w:rsidRPr="001531CD">
        <w:t>Forestry, Office of Agricultural and Environmental Sciences, LR 18:705 (July 1992), LR 27:1179 (August 2001).</w:t>
      </w:r>
    </w:p>
    <w:p w14:paraId="224011CE" w14:textId="77777777" w:rsidR="00CF626A" w:rsidRPr="001531CD" w:rsidRDefault="00CF626A">
      <w:pPr>
        <w:pStyle w:val="Chapter"/>
      </w:pPr>
      <w:bookmarkStart w:id="1399" w:name="TOC_SubC114"/>
      <w:bookmarkStart w:id="1400" w:name="_Toc256754611"/>
      <w:bookmarkStart w:id="1401" w:name="_Toc224818924"/>
      <w:r w:rsidRPr="001531CD">
        <w:t>Subchapter D.</w:t>
      </w:r>
      <w:bookmarkEnd w:id="1399"/>
      <w:r w:rsidR="00167E2E">
        <w:tab/>
      </w:r>
      <w:bookmarkStart w:id="1402" w:name="TOCT_SubC112"/>
      <w:bookmarkStart w:id="1403" w:name="TOCT_SubC113"/>
      <w:bookmarkStart w:id="1404" w:name="TOCT_SubC114"/>
      <w:r w:rsidRPr="001531CD">
        <w:t>Pink Bollworm Quarantine Regulations</w:t>
      </w:r>
      <w:bookmarkEnd w:id="1400"/>
      <w:bookmarkEnd w:id="1401"/>
      <w:bookmarkEnd w:id="1402"/>
      <w:bookmarkEnd w:id="1403"/>
      <w:bookmarkEnd w:id="1404"/>
    </w:p>
    <w:p w14:paraId="0EF7D113" w14:textId="77777777" w:rsidR="00CF626A" w:rsidRPr="001531CD" w:rsidRDefault="00CF626A">
      <w:pPr>
        <w:pStyle w:val="Section"/>
      </w:pPr>
      <w:bookmarkStart w:id="1405" w:name="_Toc256754612"/>
      <w:bookmarkStart w:id="1406" w:name="_Toc224818925"/>
      <w:r w:rsidRPr="001531CD">
        <w:t>§149.</w:t>
      </w:r>
      <w:r w:rsidRPr="001531CD">
        <w:tab/>
        <w:t>Applicability of General Quarantine Regulations</w:t>
      </w:r>
      <w:bookmarkEnd w:id="1405"/>
      <w:bookmarkEnd w:id="1406"/>
    </w:p>
    <w:p w14:paraId="541C7315" w14:textId="77777777" w:rsidR="00CF626A" w:rsidRPr="001531CD" w:rsidRDefault="00CF626A">
      <w:pPr>
        <w:pStyle w:val="A"/>
      </w:pPr>
      <w:r w:rsidRPr="001531CD">
        <w:t>A.</w:t>
      </w:r>
      <w:r w:rsidRPr="001531CD">
        <w:tab/>
        <w:t>Cotton plants, plant products and parts thereof and host materials for the pink bollworm are subject to all pertinent provisions of the general quarantine regulations and to the regulations contained in this Subchapter.</w:t>
      </w:r>
    </w:p>
    <w:p w14:paraId="6277DAC6" w14:textId="77777777" w:rsidR="00CF626A" w:rsidRPr="001531CD" w:rsidRDefault="00CF626A">
      <w:pPr>
        <w:pStyle w:val="AuthorityNote"/>
      </w:pPr>
      <w:r w:rsidRPr="001531CD">
        <w:t>AUTHORITY NOTE:</w:t>
      </w:r>
      <w:r w:rsidRPr="001531CD">
        <w:tab/>
        <w:t>Promulgated in accordance with R.S. 3:1652.</w:t>
      </w:r>
    </w:p>
    <w:p w14:paraId="2B10B838"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3B781177" w14:textId="77777777" w:rsidR="00CF626A" w:rsidRPr="001531CD" w:rsidRDefault="00CF626A">
      <w:pPr>
        <w:pStyle w:val="Section"/>
      </w:pPr>
      <w:bookmarkStart w:id="1407" w:name="_Toc256754613"/>
      <w:bookmarkStart w:id="1408" w:name="_Toc224818926"/>
      <w:r w:rsidRPr="001531CD">
        <w:t>§151.</w:t>
      </w:r>
      <w:r w:rsidRPr="001531CD">
        <w:tab/>
        <w:t>Definitions Applicable to Pink Bollworm</w:t>
      </w:r>
      <w:bookmarkEnd w:id="1407"/>
      <w:bookmarkEnd w:id="1408"/>
    </w:p>
    <w:p w14:paraId="0842C2E6" w14:textId="77777777" w:rsidR="00CF626A" w:rsidRPr="001531CD" w:rsidRDefault="00CF626A">
      <w:pPr>
        <w:pStyle w:val="A"/>
      </w:pPr>
      <w:r w:rsidRPr="001531CD">
        <w:rPr>
          <w:i/>
          <w:iCs/>
        </w:rPr>
        <w:t>Approved Gin</w:t>
      </w:r>
      <w:r w:rsidRPr="001531CD">
        <w:t>―a gin with a pink bollworm kill efficiency rating of 90 percent or better.</w:t>
      </w:r>
    </w:p>
    <w:p w14:paraId="043B9BAB" w14:textId="77777777" w:rsidR="00CF626A" w:rsidRPr="001531CD" w:rsidRDefault="00CF626A">
      <w:pPr>
        <w:pStyle w:val="A"/>
      </w:pPr>
      <w:r w:rsidRPr="001531CD">
        <w:rPr>
          <w:i/>
          <w:iCs/>
        </w:rPr>
        <w:t>Disinfected</w:t>
      </w:r>
      <w:r w:rsidRPr="001531CD">
        <w:t xml:space="preserve"> or </w:t>
      </w:r>
      <w:r w:rsidRPr="001531CD">
        <w:rPr>
          <w:i/>
          <w:iCs/>
        </w:rPr>
        <w:t>Disinfested Seed</w:t>
      </w:r>
      <w:r w:rsidRPr="001531CD">
        <w:t>―cottonseed treated in a manner and by a method approved by the state entomologist to kill pink bollworm present in any stage of development.</w:t>
      </w:r>
    </w:p>
    <w:p w14:paraId="7DCFA5BE" w14:textId="77777777" w:rsidR="00CF626A" w:rsidRPr="001531CD" w:rsidRDefault="00CF626A">
      <w:pPr>
        <w:pStyle w:val="AuthorityNote"/>
      </w:pPr>
      <w:r w:rsidRPr="001531CD">
        <w:t>AUTHORITY NOTE:</w:t>
      </w:r>
      <w:r w:rsidRPr="001531CD">
        <w:tab/>
        <w:t>Promulgated in accordance with R.S. 3:1652.</w:t>
      </w:r>
    </w:p>
    <w:p w14:paraId="221653D3"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4D9A8B69" w14:textId="77777777" w:rsidR="00CF626A" w:rsidRPr="001531CD" w:rsidRDefault="00CF626A">
      <w:pPr>
        <w:pStyle w:val="Section"/>
      </w:pPr>
      <w:bookmarkStart w:id="1409" w:name="_Toc256754614"/>
      <w:bookmarkStart w:id="1410" w:name="_Toc224818927"/>
      <w:r w:rsidRPr="001531CD">
        <w:t>§153.</w:t>
      </w:r>
      <w:r w:rsidRPr="001531CD">
        <w:tab/>
        <w:t>Articles Restricted or Prohibited for Intrastate Movement</w:t>
      </w:r>
      <w:bookmarkEnd w:id="1409"/>
      <w:bookmarkEnd w:id="1410"/>
    </w:p>
    <w:p w14:paraId="3CE3191B" w14:textId="77777777" w:rsidR="00CF626A" w:rsidRPr="001531CD" w:rsidRDefault="00CF626A">
      <w:pPr>
        <w:pStyle w:val="A"/>
      </w:pPr>
      <w:r w:rsidRPr="001531CD">
        <w:t>A.</w:t>
      </w:r>
      <w:r w:rsidRPr="001531CD">
        <w:tab/>
        <w:t>Regulated articles may not be moved from a regulated area to a pest-free area except under certification.</w:t>
      </w:r>
    </w:p>
    <w:p w14:paraId="6F46F21A" w14:textId="77777777" w:rsidR="00CF626A" w:rsidRPr="001531CD" w:rsidRDefault="00CF626A">
      <w:pPr>
        <w:pStyle w:val="A"/>
      </w:pPr>
      <w:r w:rsidRPr="001531CD">
        <w:t>B.</w:t>
      </w:r>
      <w:r w:rsidRPr="001531CD">
        <w:tab/>
        <w:t>Untreated and/or unmanufactured regulated articles may not be moved within a regulated area except under permit.</w:t>
      </w:r>
    </w:p>
    <w:p w14:paraId="0FC2D2B9" w14:textId="77777777" w:rsidR="00CF626A" w:rsidRPr="001531CD" w:rsidRDefault="00CF626A">
      <w:pPr>
        <w:pStyle w:val="A"/>
      </w:pPr>
      <w:r w:rsidRPr="001531CD">
        <w:t>C.</w:t>
      </w:r>
      <w:r w:rsidRPr="001531CD">
        <w:tab/>
        <w:t>The following articles are exempt from the prohibition contained in this Section under conditions as shown for each article:</w:t>
      </w:r>
    </w:p>
    <w:p w14:paraId="401ABFAD" w14:textId="77777777" w:rsidR="00CF626A" w:rsidRPr="001531CD" w:rsidRDefault="00CF626A">
      <w:pPr>
        <w:pStyle w:val="1"/>
      </w:pPr>
      <w:r w:rsidRPr="001531CD">
        <w:t>1.</w:t>
      </w:r>
      <w:r w:rsidRPr="001531CD">
        <w:tab/>
        <w:t>compressed baled cotton lint, linters and lint cleaner waste when such products have been given standard or equivalent compressions;</w:t>
      </w:r>
    </w:p>
    <w:p w14:paraId="5D3819BA" w14:textId="77777777" w:rsidR="00CF626A" w:rsidRPr="001531CD" w:rsidRDefault="00CF626A">
      <w:pPr>
        <w:pStyle w:val="1"/>
      </w:pPr>
      <w:r w:rsidRPr="001531CD">
        <w:t>2.</w:t>
      </w:r>
      <w:r w:rsidRPr="001531CD">
        <w:tab/>
        <w:t>samples of cotton lint and cotton linters of the usual trade size;</w:t>
      </w:r>
    </w:p>
    <w:p w14:paraId="4C3FD228" w14:textId="77777777" w:rsidR="00CF626A" w:rsidRPr="001531CD" w:rsidRDefault="00CF626A">
      <w:pPr>
        <w:pStyle w:val="1"/>
      </w:pPr>
      <w:r w:rsidRPr="001531CD">
        <w:t>3.</w:t>
      </w:r>
      <w:r w:rsidRPr="001531CD">
        <w:tab/>
        <w:t>cottonseed cake;</w:t>
      </w:r>
    </w:p>
    <w:p w14:paraId="476E1D5A" w14:textId="77777777" w:rsidR="00CF626A" w:rsidRPr="001531CD" w:rsidRDefault="00CF626A">
      <w:pPr>
        <w:pStyle w:val="1"/>
      </w:pPr>
      <w:r w:rsidRPr="001531CD">
        <w:t>4.</w:t>
      </w:r>
      <w:r w:rsidRPr="001531CD">
        <w:tab/>
        <w:t>cottonseed meal; and</w:t>
      </w:r>
    </w:p>
    <w:p w14:paraId="6668D0D9" w14:textId="77777777" w:rsidR="00CF626A" w:rsidRPr="001531CD" w:rsidRDefault="00CF626A">
      <w:pPr>
        <w:pStyle w:val="1"/>
      </w:pPr>
      <w:r w:rsidRPr="001531CD">
        <w:t>5.</w:t>
      </w:r>
      <w:r w:rsidRPr="001531CD">
        <w:tab/>
        <w:t>edible okra grown within a locality in which no pink bollworm is known to be present.</w:t>
      </w:r>
    </w:p>
    <w:p w14:paraId="5E20F5CA" w14:textId="77777777" w:rsidR="00CF626A" w:rsidRPr="001531CD" w:rsidRDefault="00CF626A">
      <w:pPr>
        <w:pStyle w:val="AuthorityNote"/>
      </w:pPr>
      <w:r w:rsidRPr="001531CD">
        <w:t>AUTHORITY NOTE:</w:t>
      </w:r>
      <w:r w:rsidRPr="001531CD">
        <w:tab/>
        <w:t>Promulgated in accordance with R.S. 3:1652.</w:t>
      </w:r>
    </w:p>
    <w:p w14:paraId="318221DF"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685A3988" w14:textId="77777777" w:rsidR="00CF626A" w:rsidRPr="001531CD" w:rsidRDefault="00CF626A">
      <w:pPr>
        <w:pStyle w:val="Section"/>
      </w:pPr>
      <w:bookmarkStart w:id="1411" w:name="_Toc256754615"/>
      <w:bookmarkStart w:id="1412" w:name="_Toc224818928"/>
      <w:r w:rsidRPr="001531CD">
        <w:lastRenderedPageBreak/>
        <w:t>§155.</w:t>
      </w:r>
      <w:r w:rsidRPr="001531CD">
        <w:tab/>
        <w:t>Certificates for Intrastate Movement</w:t>
      </w:r>
      <w:bookmarkEnd w:id="1411"/>
      <w:bookmarkEnd w:id="1412"/>
    </w:p>
    <w:p w14:paraId="685E0838" w14:textId="77777777" w:rsidR="00CF626A" w:rsidRPr="001531CD" w:rsidRDefault="00CF626A">
      <w:pPr>
        <w:pStyle w:val="A"/>
      </w:pPr>
      <w:r w:rsidRPr="001531CD">
        <w:t>A.</w:t>
      </w:r>
      <w:r w:rsidRPr="001531CD">
        <w:tab/>
        <w:t>In addition to pertinent requirements contained in the general quarantine regulations (Subchapter A of this Chapter), the following conditions apply to issuance of certificates.</w:t>
      </w:r>
    </w:p>
    <w:p w14:paraId="7A6E492C" w14:textId="77777777" w:rsidR="00CF626A" w:rsidRPr="001531CD" w:rsidRDefault="00CF626A">
      <w:pPr>
        <w:pStyle w:val="1"/>
      </w:pPr>
      <w:r w:rsidRPr="001531CD">
        <w:t>1.</w:t>
      </w:r>
      <w:r w:rsidRPr="001531CD">
        <w:tab/>
        <w:t>Cottonseed. A certificate for intrastate movement of cottonseed will be issued only when the cottonseed are ginned in an approved gin with an approved treatment under the supervision of a department inspector.</w:t>
      </w:r>
    </w:p>
    <w:p w14:paraId="73FA0E59" w14:textId="77777777" w:rsidR="00CF626A" w:rsidRPr="001531CD" w:rsidRDefault="00CF626A">
      <w:pPr>
        <w:pStyle w:val="1"/>
      </w:pPr>
      <w:r w:rsidRPr="001531CD">
        <w:t>2.</w:t>
      </w:r>
      <w:r w:rsidRPr="001531CD">
        <w:tab/>
        <w:t>Cottonseed Hulls Produced from Treated Cottonseed. Certificates for intrastate movement of treated cottonseed hulls from a regulated area may be issued when such hulls are:</w:t>
      </w:r>
    </w:p>
    <w:p w14:paraId="5B0565CA" w14:textId="77777777" w:rsidR="00CF626A" w:rsidRPr="001531CD" w:rsidRDefault="00CF626A">
      <w:pPr>
        <w:pStyle w:val="a0"/>
      </w:pPr>
      <w:r w:rsidRPr="001531CD">
        <w:t>a.</w:t>
      </w:r>
      <w:r w:rsidRPr="001531CD">
        <w:tab/>
        <w:t>produced from sterilized seed originating in a regulated area;</w:t>
      </w:r>
    </w:p>
    <w:p w14:paraId="791EE127" w14:textId="77777777" w:rsidR="00CF626A" w:rsidRPr="001531CD" w:rsidRDefault="00CF626A">
      <w:pPr>
        <w:pStyle w:val="a0"/>
      </w:pPr>
      <w:r w:rsidRPr="001531CD">
        <w:t>b.</w:t>
      </w:r>
      <w:r w:rsidRPr="001531CD">
        <w:tab/>
        <w:t>processed in an authorized cotton oil mill under the supervision of an inspector; and</w:t>
      </w:r>
    </w:p>
    <w:p w14:paraId="30B08F27" w14:textId="77777777" w:rsidR="00CF626A" w:rsidRPr="001531CD" w:rsidRDefault="00CF626A">
      <w:pPr>
        <w:pStyle w:val="a0"/>
      </w:pPr>
      <w:r w:rsidRPr="001531CD">
        <w:t>c.</w:t>
      </w:r>
      <w:r w:rsidRPr="001531CD">
        <w:tab/>
        <w:t>subsequently protected from infestation.</w:t>
      </w:r>
    </w:p>
    <w:p w14:paraId="007099EC" w14:textId="77777777" w:rsidR="00CF626A" w:rsidRPr="001531CD" w:rsidRDefault="00CF626A">
      <w:pPr>
        <w:pStyle w:val="1"/>
      </w:pPr>
      <w:r w:rsidRPr="001531CD">
        <w:t>3.</w:t>
      </w:r>
      <w:r w:rsidRPr="001531CD">
        <w:tab/>
        <w:t>Cottonseed Hulls Produced from Untreated Cottonseed. Certificates for intrastate movement of untreated cottonseed hulls from a regulated area may be issued when the hulls are produced from unsterilized seed processed in a designated oil mill and treated by passing through an approved fan.</w:t>
      </w:r>
    </w:p>
    <w:p w14:paraId="7ACDA289" w14:textId="77777777" w:rsidR="00CF626A" w:rsidRPr="001531CD" w:rsidRDefault="00CF626A">
      <w:pPr>
        <w:pStyle w:val="1"/>
      </w:pPr>
      <w:r w:rsidRPr="001531CD">
        <w:t>4.</w:t>
      </w:r>
      <w:r w:rsidRPr="001531CD">
        <w:tab/>
        <w:t>Okra</w:t>
      </w:r>
    </w:p>
    <w:p w14:paraId="3DE15DA1" w14:textId="77777777" w:rsidR="00CF626A" w:rsidRPr="001531CD" w:rsidRDefault="00CF626A">
      <w:pPr>
        <w:pStyle w:val="a0"/>
      </w:pPr>
      <w:r w:rsidRPr="001531CD">
        <w:t>a.</w:t>
      </w:r>
      <w:r w:rsidRPr="001531CD">
        <w:tab/>
        <w:t>Certificates for the intrastate movement of edible okra originating in a regulated area outside the state of Louisiana may be issued when the shipment is inspected and found to be free of pink bollworm infestation.</w:t>
      </w:r>
    </w:p>
    <w:p w14:paraId="09D1B23F" w14:textId="77777777" w:rsidR="00CF626A" w:rsidRPr="001531CD" w:rsidRDefault="00CF626A">
      <w:pPr>
        <w:pStyle w:val="a0"/>
      </w:pPr>
      <w:r w:rsidRPr="001531CD">
        <w:t>b.</w:t>
      </w:r>
      <w:r w:rsidRPr="001531CD">
        <w:tab/>
        <w:t>Dried okra seed originating in a regulated area shall be disinfected in an approved manner before being permitted to move within or outside of the regulated area.</w:t>
      </w:r>
    </w:p>
    <w:p w14:paraId="4CAFDCAC" w14:textId="77777777" w:rsidR="00CF626A" w:rsidRPr="001531CD" w:rsidRDefault="00CF626A">
      <w:pPr>
        <w:pStyle w:val="AuthorityNote"/>
      </w:pPr>
      <w:r w:rsidRPr="001531CD">
        <w:t>AUTHORITY NOTE:</w:t>
      </w:r>
      <w:r w:rsidRPr="001531CD">
        <w:tab/>
        <w:t>Promulgated in accordance with R.S. 3:1652.</w:t>
      </w:r>
    </w:p>
    <w:p w14:paraId="11B19EC2"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66243E02" w14:textId="77777777" w:rsidR="00CF626A" w:rsidRPr="001531CD" w:rsidRDefault="00CF626A">
      <w:pPr>
        <w:pStyle w:val="Section"/>
      </w:pPr>
      <w:bookmarkStart w:id="1413" w:name="_Toc256754616"/>
      <w:bookmarkStart w:id="1414" w:name="_Toc224818929"/>
      <w:r w:rsidRPr="001531CD">
        <w:t>§157.</w:t>
      </w:r>
      <w:r w:rsidRPr="001531CD">
        <w:tab/>
        <w:t>Limited Permits for Intrastate Movement</w:t>
      </w:r>
      <w:bookmarkEnd w:id="1413"/>
      <w:bookmarkEnd w:id="1414"/>
    </w:p>
    <w:p w14:paraId="176BC226" w14:textId="77777777" w:rsidR="00CF626A" w:rsidRPr="001531CD" w:rsidRDefault="00CF626A">
      <w:pPr>
        <w:pStyle w:val="A"/>
      </w:pPr>
      <w:r w:rsidRPr="001531CD">
        <w:t>A.</w:t>
      </w:r>
      <w:r w:rsidRPr="001531CD">
        <w:tab/>
        <w:t>In addition to pertinent requirements contained in the general quarantine regulation (Subchapter A of this Chapter), the following conditions apply to issuance of limited permits.</w:t>
      </w:r>
    </w:p>
    <w:p w14:paraId="1C03E31B" w14:textId="77777777" w:rsidR="00CF626A" w:rsidRPr="001531CD" w:rsidRDefault="00CF626A">
      <w:pPr>
        <w:pStyle w:val="1"/>
      </w:pPr>
      <w:r w:rsidRPr="001531CD">
        <w:t>1.</w:t>
      </w:r>
      <w:r w:rsidRPr="001531CD">
        <w:tab/>
        <w:t>Cotton Lint and Linters. Cotton lint or linters, either baled or unbaled, may be moved intrastate to designated cotton compresses or approved processing plants with a limited permit.</w:t>
      </w:r>
    </w:p>
    <w:p w14:paraId="5C2C383B" w14:textId="77777777" w:rsidR="00CF626A" w:rsidRPr="001531CD" w:rsidRDefault="00CF626A">
      <w:pPr>
        <w:pStyle w:val="1"/>
      </w:pPr>
      <w:r w:rsidRPr="001531CD">
        <w:t>2.</w:t>
      </w:r>
      <w:r w:rsidRPr="001531CD">
        <w:tab/>
        <w:t>Non-Certified Regulated Articles. Non-certified regulated articles may be moved intrastate under a limited permit only to authorized and designated cotton gins, cottonseed oil mills or processing and manufacturing plants and only for treatment incidental to preparing such products for certification. In such event, operators of cotton gins, cottonseed oil mills and other manufacturing plants must agree in writing to the following:</w:t>
      </w:r>
    </w:p>
    <w:p w14:paraId="27761CD5" w14:textId="77777777" w:rsidR="00CF626A" w:rsidRPr="001531CD" w:rsidRDefault="00CF626A">
      <w:pPr>
        <w:pStyle w:val="a0"/>
      </w:pPr>
      <w:r w:rsidRPr="001531CD">
        <w:t>a.</w:t>
      </w:r>
      <w:r w:rsidRPr="001531CD">
        <w:tab/>
        <w:t>to segregate processed regulated articles from non-processed regulated article;</w:t>
      </w:r>
    </w:p>
    <w:p w14:paraId="793CD258" w14:textId="77777777" w:rsidR="00CF626A" w:rsidRPr="001531CD" w:rsidRDefault="00CF626A">
      <w:pPr>
        <w:pStyle w:val="a0"/>
      </w:pPr>
      <w:r w:rsidRPr="001531CD">
        <w:t>b.</w:t>
      </w:r>
      <w:r w:rsidRPr="001531CD">
        <w:tab/>
        <w:t>to assure efficient functioning of processing equipment;</w:t>
      </w:r>
    </w:p>
    <w:p w14:paraId="2D5E784D" w14:textId="77777777" w:rsidR="00CF626A" w:rsidRPr="001531CD" w:rsidRDefault="00CF626A">
      <w:pPr>
        <w:pStyle w:val="a0"/>
      </w:pPr>
      <w:r w:rsidRPr="001531CD">
        <w:t>c.</w:t>
      </w:r>
      <w:r w:rsidRPr="001531CD">
        <w:tab/>
        <w:t>to dispose of gin trash and/or waste on a daily basis;</w:t>
      </w:r>
    </w:p>
    <w:p w14:paraId="1C39DF0B" w14:textId="77777777" w:rsidR="00CF626A" w:rsidRPr="001531CD" w:rsidRDefault="00CF626A">
      <w:pPr>
        <w:pStyle w:val="a0"/>
      </w:pPr>
      <w:r w:rsidRPr="001531CD">
        <w:t>d.</w:t>
      </w:r>
      <w:r w:rsidRPr="001531CD">
        <w:tab/>
        <w:t>to use uncontaminated containers for processed products to prevent contamination;</w:t>
      </w:r>
    </w:p>
    <w:p w14:paraId="732E5DE5" w14:textId="77777777" w:rsidR="00CF626A" w:rsidRPr="001531CD" w:rsidRDefault="00CF626A">
      <w:pPr>
        <w:pStyle w:val="a0"/>
      </w:pPr>
      <w:r w:rsidRPr="001531CD">
        <w:t>e.</w:t>
      </w:r>
      <w:r w:rsidRPr="001531CD">
        <w:tab/>
        <w:t xml:space="preserve">to maintain the identity of regulated and </w:t>
      </w:r>
      <w:r w:rsidRPr="001531CD">
        <w:br/>
        <w:t>non-regulated products;</w:t>
      </w:r>
    </w:p>
    <w:p w14:paraId="54D4FD2C" w14:textId="77777777" w:rsidR="00CF626A" w:rsidRPr="001531CD" w:rsidRDefault="00CF626A">
      <w:pPr>
        <w:pStyle w:val="a0"/>
      </w:pPr>
      <w:r w:rsidRPr="001531CD">
        <w:t>f.</w:t>
      </w:r>
      <w:r w:rsidRPr="001531CD">
        <w:tab/>
        <w:t>to maintain such other sanitary safeguards against the establishment and spread of infestation as may be required by the state entomologist; and</w:t>
      </w:r>
    </w:p>
    <w:p w14:paraId="0A0158E1" w14:textId="77777777" w:rsidR="00CF626A" w:rsidRPr="001531CD" w:rsidRDefault="00CF626A">
      <w:pPr>
        <w:pStyle w:val="a0"/>
      </w:pPr>
      <w:r w:rsidRPr="001531CD">
        <w:t>g.</w:t>
      </w:r>
      <w:r w:rsidRPr="001531CD">
        <w:tab/>
        <w:t>to comply with any other restrictions as to handling and subsequent movement of regulated articles as may be required by the state entomologist.</w:t>
      </w:r>
    </w:p>
    <w:p w14:paraId="70BB65AF" w14:textId="77777777" w:rsidR="00CF626A" w:rsidRPr="001531CD" w:rsidRDefault="00CF626A">
      <w:pPr>
        <w:pStyle w:val="1"/>
      </w:pPr>
      <w:r w:rsidRPr="001531CD">
        <w:t>3.</w:t>
      </w:r>
      <w:r w:rsidRPr="001531CD">
        <w:tab/>
        <w:t>Untreated Cottonseed. A limited permit may be issued for the intrastate movement of untreated cottonseed from an approved cotton gin to a designated oil mill or other authorized processing plant under such conditions as may be stipulated in the dealer-carrier agreement.</w:t>
      </w:r>
    </w:p>
    <w:p w14:paraId="6038E262" w14:textId="77777777" w:rsidR="00CF626A" w:rsidRPr="001531CD" w:rsidRDefault="00CF626A">
      <w:pPr>
        <w:pStyle w:val="AuthorityNote"/>
      </w:pPr>
      <w:r w:rsidRPr="001531CD">
        <w:t>AUTHORITY NOTE:</w:t>
      </w:r>
      <w:r w:rsidRPr="001531CD">
        <w:tab/>
        <w:t>Promulgated in accordance with R.S. 3:1652.</w:t>
      </w:r>
    </w:p>
    <w:p w14:paraId="0151B487"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36875A3D" w14:textId="77777777" w:rsidR="00CF626A" w:rsidRPr="001531CD" w:rsidRDefault="00CF626A">
      <w:pPr>
        <w:pStyle w:val="Section"/>
      </w:pPr>
      <w:bookmarkStart w:id="1415" w:name="_Toc256754617"/>
      <w:bookmarkStart w:id="1416" w:name="_Toc224818930"/>
      <w:r w:rsidRPr="001531CD">
        <w:t>§159.</w:t>
      </w:r>
      <w:r w:rsidRPr="001531CD">
        <w:tab/>
        <w:t>Treatment Required for Materials Originating in Regulated Areas</w:t>
      </w:r>
      <w:bookmarkEnd w:id="1415"/>
      <w:bookmarkEnd w:id="1416"/>
    </w:p>
    <w:p w14:paraId="019D9CAC" w14:textId="77777777" w:rsidR="00CF626A" w:rsidRPr="001531CD" w:rsidRDefault="00CF626A">
      <w:pPr>
        <w:pStyle w:val="A"/>
      </w:pPr>
      <w:r w:rsidRPr="001531CD">
        <w:t>A.</w:t>
      </w:r>
      <w:r w:rsidRPr="001531CD">
        <w:tab/>
        <w:t>When contaminated with cotton products originating from states other than Louisiana which are infested with pink bollworm or from a regulated area within Louisiana, the following shall not be moved interstate or intrastate until freed from contamination to the satisfaction of an inspector:</w:t>
      </w:r>
    </w:p>
    <w:p w14:paraId="16902E81" w14:textId="77777777" w:rsidR="00CF626A" w:rsidRPr="001531CD" w:rsidRDefault="00CF626A">
      <w:pPr>
        <w:pStyle w:val="1"/>
      </w:pPr>
      <w:r w:rsidRPr="001531CD">
        <w:t>1.</w:t>
      </w:r>
      <w:r w:rsidRPr="001531CD">
        <w:tab/>
        <w:t>railway cars, trucks or other vehicles;</w:t>
      </w:r>
    </w:p>
    <w:p w14:paraId="3454D14C" w14:textId="77777777" w:rsidR="00CF626A" w:rsidRPr="001531CD" w:rsidRDefault="00CF626A">
      <w:pPr>
        <w:pStyle w:val="1"/>
      </w:pPr>
      <w:r w:rsidRPr="001531CD">
        <w:t>2.</w:t>
      </w:r>
      <w:r w:rsidRPr="001531CD">
        <w:tab/>
        <w:t>cotton bagging or other containers of cotton;</w:t>
      </w:r>
    </w:p>
    <w:p w14:paraId="34EE2C0F" w14:textId="77777777" w:rsidR="00CF626A" w:rsidRPr="001531CD" w:rsidRDefault="00CF626A">
      <w:pPr>
        <w:pStyle w:val="1"/>
      </w:pPr>
      <w:r w:rsidRPr="001531CD">
        <w:t>3.</w:t>
      </w:r>
      <w:r w:rsidRPr="001531CD">
        <w:tab/>
        <w:t>cotton processing machinery;</w:t>
      </w:r>
    </w:p>
    <w:p w14:paraId="301D1CAC" w14:textId="77777777" w:rsidR="00CF626A" w:rsidRPr="001531CD" w:rsidRDefault="00CF626A">
      <w:pPr>
        <w:pStyle w:val="1"/>
      </w:pPr>
      <w:r w:rsidRPr="001531CD">
        <w:t>4.</w:t>
      </w:r>
      <w:r w:rsidRPr="001531CD">
        <w:tab/>
        <w:t>farm household goods;</w:t>
      </w:r>
    </w:p>
    <w:p w14:paraId="67E1ACD0" w14:textId="77777777" w:rsidR="00CF626A" w:rsidRPr="001531CD" w:rsidRDefault="00CF626A">
      <w:pPr>
        <w:pStyle w:val="1"/>
      </w:pPr>
      <w:r w:rsidRPr="001531CD">
        <w:t>5.</w:t>
      </w:r>
      <w:r w:rsidRPr="001531CD">
        <w:tab/>
        <w:t>farm equipment;</w:t>
      </w:r>
    </w:p>
    <w:p w14:paraId="57AFA434" w14:textId="77777777" w:rsidR="00CF626A" w:rsidRPr="001531CD" w:rsidRDefault="00CF626A">
      <w:pPr>
        <w:pStyle w:val="1"/>
      </w:pPr>
      <w:r w:rsidRPr="001531CD">
        <w:t>6.</w:t>
      </w:r>
      <w:r w:rsidRPr="001531CD">
        <w:tab/>
        <w:t>used picking sacks;</w:t>
      </w:r>
    </w:p>
    <w:p w14:paraId="083B51FC" w14:textId="77777777" w:rsidR="00CF626A" w:rsidRPr="001531CD" w:rsidRDefault="00CF626A">
      <w:pPr>
        <w:pStyle w:val="1"/>
      </w:pPr>
      <w:r w:rsidRPr="001531CD">
        <w:t>7.</w:t>
      </w:r>
      <w:r w:rsidRPr="001531CD">
        <w:tab/>
        <w:t>personal belongings of transient pickers;</w:t>
      </w:r>
    </w:p>
    <w:p w14:paraId="66C4E405" w14:textId="77777777" w:rsidR="00CF626A" w:rsidRPr="001531CD" w:rsidRDefault="00CF626A">
      <w:pPr>
        <w:pStyle w:val="1"/>
      </w:pPr>
      <w:r w:rsidRPr="001531CD">
        <w:t>8.</w:t>
      </w:r>
      <w:r w:rsidRPr="001531CD">
        <w:tab/>
        <w:t>farm products; and</w:t>
      </w:r>
    </w:p>
    <w:p w14:paraId="2A6C8BDA" w14:textId="77777777" w:rsidR="00CF626A" w:rsidRPr="001531CD" w:rsidRDefault="00CF626A">
      <w:pPr>
        <w:pStyle w:val="1"/>
      </w:pPr>
      <w:r w:rsidRPr="001531CD">
        <w:t>9.</w:t>
      </w:r>
      <w:r w:rsidRPr="001531CD">
        <w:tab/>
        <w:t>any other contaminated articles.</w:t>
      </w:r>
    </w:p>
    <w:p w14:paraId="213E0396" w14:textId="77777777" w:rsidR="00CF626A" w:rsidRPr="001531CD" w:rsidRDefault="00CF626A">
      <w:pPr>
        <w:pStyle w:val="A"/>
      </w:pPr>
      <w:r w:rsidRPr="001531CD">
        <w:t>B.</w:t>
      </w:r>
      <w:r w:rsidRPr="001531CD">
        <w:tab/>
        <w:t>When contaminated articles listed in §159.A hereof are cleaned to the satisfaction of the inspector, no certificate or limited permit will be required except for cotton bagging or other containers of cotton and cotton processing machinery.</w:t>
      </w:r>
    </w:p>
    <w:p w14:paraId="631C5FB7" w14:textId="77777777" w:rsidR="00CF626A" w:rsidRPr="001531CD" w:rsidRDefault="00CF626A">
      <w:pPr>
        <w:pStyle w:val="A"/>
      </w:pPr>
      <w:r w:rsidRPr="001531CD">
        <w:t>C.</w:t>
      </w:r>
      <w:r w:rsidRPr="001531CD">
        <w:tab/>
        <w:t xml:space="preserve">Cotton processing equipment originating in a regulated area outside of Louisiana must be dismantled and cleaned in an approved manner to the satisfaction of an inspector, or </w:t>
      </w:r>
      <w:r w:rsidRPr="001531CD">
        <w:lastRenderedPageBreak/>
        <w:t>fumigated before a permit will be issued for its movement into a pest-free area.</w:t>
      </w:r>
    </w:p>
    <w:p w14:paraId="5290E198" w14:textId="77777777" w:rsidR="00CF626A" w:rsidRPr="001531CD" w:rsidRDefault="00CF626A">
      <w:pPr>
        <w:pStyle w:val="A"/>
      </w:pPr>
      <w:r w:rsidRPr="001531CD">
        <w:t>D.</w:t>
      </w:r>
      <w:r w:rsidRPr="001531CD">
        <w:tab/>
        <w:t>Mechanical cotton pickers and used picking sacks must be accompanied by an official fumigation certificate and sealed by the appropriate official of the state of origin.</w:t>
      </w:r>
    </w:p>
    <w:p w14:paraId="1B2B7690" w14:textId="77777777" w:rsidR="00CF626A" w:rsidRPr="001531CD" w:rsidRDefault="00CF626A">
      <w:pPr>
        <w:pStyle w:val="AuthorityNote"/>
      </w:pPr>
      <w:r w:rsidRPr="001531CD">
        <w:t>AUTHORITY NOTE:</w:t>
      </w:r>
      <w:r w:rsidRPr="001531CD">
        <w:tab/>
        <w:t>Promulgated in accordance with R.S. 3:1652.</w:t>
      </w:r>
    </w:p>
    <w:p w14:paraId="6D702CD4"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14:paraId="0374BBE7" w14:textId="77777777" w:rsidR="00CF626A" w:rsidRPr="001531CD" w:rsidRDefault="00CF626A">
      <w:pPr>
        <w:pStyle w:val="Section"/>
      </w:pPr>
      <w:bookmarkStart w:id="1417" w:name="_Toc256754618"/>
      <w:bookmarkStart w:id="1418" w:name="_Toc224818931"/>
      <w:r w:rsidRPr="001531CD">
        <w:t>§161.</w:t>
      </w:r>
      <w:r w:rsidRPr="001531CD">
        <w:tab/>
        <w:t>Cultural and Other Requirements in Regulated Areas</w:t>
      </w:r>
      <w:bookmarkEnd w:id="1417"/>
      <w:bookmarkEnd w:id="1418"/>
    </w:p>
    <w:p w14:paraId="30593C33" w14:textId="77777777" w:rsidR="00CF626A" w:rsidRPr="001531CD" w:rsidRDefault="00CF626A">
      <w:pPr>
        <w:pStyle w:val="A"/>
      </w:pPr>
      <w:r w:rsidRPr="001531CD">
        <w:t>A.</w:t>
      </w:r>
      <w:r w:rsidRPr="001531CD">
        <w:tab/>
        <w:t>Destruction of Cotton Plants</w:t>
      </w:r>
    </w:p>
    <w:p w14:paraId="6A673B9A" w14:textId="77777777" w:rsidR="00CF626A" w:rsidRPr="001531CD" w:rsidRDefault="00CF626A">
      <w:pPr>
        <w:pStyle w:val="1"/>
      </w:pPr>
      <w:r w:rsidRPr="001531CD">
        <w:t>1.</w:t>
      </w:r>
      <w:r w:rsidRPr="001531CD">
        <w:tab/>
        <w:t>Immediately after harvesting a commercial crop, and not later than December 31 in any year, all cotton plants and parts thereof shall be plowed under and thoroughly covered to expedite decay of this material, provided that the state entomologist may approve other methods of destruction under conditions as shown in this Section.</w:t>
      </w:r>
    </w:p>
    <w:p w14:paraId="1566834D" w14:textId="77777777" w:rsidR="00CF626A" w:rsidRPr="001531CD" w:rsidRDefault="00CF626A">
      <w:pPr>
        <w:pStyle w:val="1"/>
      </w:pPr>
      <w:r w:rsidRPr="001531CD">
        <w:t>2.</w:t>
      </w:r>
      <w:r w:rsidRPr="001531CD">
        <w:tab/>
        <w:t>The state entomologist may approve close grazing of cotton fields, in lieu of plowing, under conditions stipulated in the dealer-carrier agreement. Application for approval for close grazing in lieu of plowing must be made, in writing, to the department no later than November 1 in any given year.</w:t>
      </w:r>
    </w:p>
    <w:p w14:paraId="18C7DA38" w14:textId="77777777" w:rsidR="00CF626A" w:rsidRPr="001531CD" w:rsidRDefault="00CF626A">
      <w:pPr>
        <w:pStyle w:val="1"/>
      </w:pPr>
      <w:r w:rsidRPr="001531CD">
        <w:t>3.</w:t>
      </w:r>
      <w:r w:rsidRPr="001531CD">
        <w:tab/>
        <w:t>The state entomologist may issue a special permit to allow shredding of cotton stalks with a conventional rotary shredder prior to December 31, in lieu of plowing, for fields which have been planted to leguminous cover crops prior to harvest of the cotton crop. Application for this permit must be made to the state entomologist prior to November 1 in any given year.</w:t>
      </w:r>
    </w:p>
    <w:p w14:paraId="460B677E" w14:textId="77777777" w:rsidR="00CF626A" w:rsidRPr="001531CD" w:rsidRDefault="00CF626A">
      <w:pPr>
        <w:pStyle w:val="A"/>
      </w:pPr>
      <w:r w:rsidRPr="001531CD">
        <w:t>B.</w:t>
      </w:r>
      <w:r w:rsidRPr="001531CD">
        <w:tab/>
        <w:t>Handling of Seed Cotton and Cottonseed</w:t>
      </w:r>
    </w:p>
    <w:p w14:paraId="3E8E1BC0" w14:textId="77777777" w:rsidR="00CF626A" w:rsidRPr="001531CD" w:rsidRDefault="00CF626A">
      <w:pPr>
        <w:pStyle w:val="1"/>
      </w:pPr>
      <w:r w:rsidRPr="001531CD">
        <w:t>1.</w:t>
      </w:r>
      <w:r w:rsidRPr="001531CD">
        <w:tab/>
        <w:t>No seed cotton shall be held over on any farm, or at any cotton gin, warehouse or any other place for any purpose whatsoever after January 31 in any year.</w:t>
      </w:r>
    </w:p>
    <w:p w14:paraId="6CCB5975" w14:textId="77777777" w:rsidR="00CF626A" w:rsidRPr="001531CD" w:rsidRDefault="00CF626A">
      <w:pPr>
        <w:pStyle w:val="1"/>
      </w:pPr>
      <w:r w:rsidRPr="001531CD">
        <w:t>2.</w:t>
      </w:r>
      <w:r w:rsidRPr="001531CD">
        <w:tab/>
        <w:t>Seed cotton moving from farm to gin shall be covered in such a manner as to prevent spillage.</w:t>
      </w:r>
    </w:p>
    <w:p w14:paraId="5033CCFF" w14:textId="77777777" w:rsidR="00CF626A" w:rsidRPr="001531CD" w:rsidRDefault="00CF626A">
      <w:pPr>
        <w:pStyle w:val="1"/>
      </w:pPr>
      <w:r w:rsidRPr="001531CD">
        <w:t>3.</w:t>
      </w:r>
      <w:r w:rsidRPr="001531CD">
        <w:tab/>
        <w:t>Cottonseed may be returned without treatment from an approved gin to the farm of origin within a regulated area.</w:t>
      </w:r>
    </w:p>
    <w:p w14:paraId="6E4C3743" w14:textId="77777777" w:rsidR="00CF626A" w:rsidRPr="001531CD" w:rsidRDefault="00CF626A">
      <w:pPr>
        <w:pStyle w:val="1"/>
      </w:pPr>
      <w:r w:rsidRPr="001531CD">
        <w:t>4.</w:t>
      </w:r>
      <w:r w:rsidRPr="001531CD">
        <w:tab/>
        <w:t>Cottonseed may move to farms other than the farm of origin within the regulated area provided it is gained at an approved gin and delinted at an approved delinting plant.</w:t>
      </w:r>
    </w:p>
    <w:p w14:paraId="7CF1035E" w14:textId="77777777" w:rsidR="00CF626A" w:rsidRPr="001531CD" w:rsidRDefault="00CF626A">
      <w:pPr>
        <w:pStyle w:val="1"/>
      </w:pPr>
      <w:r w:rsidRPr="001531CD">
        <w:t>5.</w:t>
      </w:r>
      <w:r w:rsidRPr="001531CD">
        <w:tab/>
        <w:t>Cottonseed may be moved outside a regulated area only after approved treatment under an inspector's supervision, except when moved to designated oil mills for processing.</w:t>
      </w:r>
    </w:p>
    <w:p w14:paraId="451B1B11" w14:textId="77777777" w:rsidR="00CF626A" w:rsidRPr="001531CD" w:rsidRDefault="00CF626A">
      <w:pPr>
        <w:pStyle w:val="A"/>
      </w:pPr>
      <w:r w:rsidRPr="001531CD">
        <w:t>C.</w:t>
      </w:r>
      <w:r w:rsidRPr="001531CD">
        <w:tab/>
        <w:t>Gin Trash Disposal</w:t>
      </w:r>
    </w:p>
    <w:p w14:paraId="3BEA4700" w14:textId="77777777" w:rsidR="00CF626A" w:rsidRPr="001531CD" w:rsidRDefault="00CF626A">
      <w:pPr>
        <w:pStyle w:val="1"/>
      </w:pPr>
      <w:r w:rsidRPr="001531CD">
        <w:t>1.</w:t>
      </w:r>
      <w:r w:rsidRPr="001531CD">
        <w:tab/>
        <w:t>In addition to other normal gin sanitation measures, gin trash must be disposed of daily to avoid harboring the pink bollworm.</w:t>
      </w:r>
    </w:p>
    <w:p w14:paraId="25B28D17" w14:textId="77777777" w:rsidR="00CF626A" w:rsidRPr="001531CD" w:rsidRDefault="00CF626A">
      <w:pPr>
        <w:pStyle w:val="1"/>
      </w:pPr>
      <w:r w:rsidRPr="001531CD">
        <w:t>2.</w:t>
      </w:r>
      <w:r w:rsidRPr="001531CD">
        <w:tab/>
        <w:t>Gins shall provide a reasonable means for inspection of gin trash disposal procedures.</w:t>
      </w:r>
    </w:p>
    <w:p w14:paraId="4DDB66C6" w14:textId="77777777" w:rsidR="00CF626A" w:rsidRPr="001531CD" w:rsidRDefault="00CF626A">
      <w:pPr>
        <w:pStyle w:val="1"/>
      </w:pPr>
      <w:r w:rsidRPr="001531CD">
        <w:t>3.</w:t>
      </w:r>
      <w:r w:rsidRPr="001531CD">
        <w:tab/>
        <w:t>All gins in a regulated area must be thoroughly cleaned by February 10 in any given year.</w:t>
      </w:r>
    </w:p>
    <w:p w14:paraId="75029557" w14:textId="77777777" w:rsidR="00CF626A" w:rsidRPr="001531CD" w:rsidRDefault="00CF626A">
      <w:pPr>
        <w:pStyle w:val="AuthorityNote"/>
      </w:pPr>
      <w:r w:rsidRPr="001531CD">
        <w:t>AUTHORITY NOTE:</w:t>
      </w:r>
      <w:r w:rsidRPr="001531CD">
        <w:tab/>
        <w:t>Promulgated in accordance with R.S. 3:1652.</w:t>
      </w:r>
    </w:p>
    <w:p w14:paraId="7F281B85"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14:paraId="40B4B354" w14:textId="77777777" w:rsidR="00CF626A" w:rsidRPr="001531CD" w:rsidRDefault="00CF626A">
      <w:pPr>
        <w:pStyle w:val="Section"/>
      </w:pPr>
      <w:bookmarkStart w:id="1419" w:name="_Toc256754619"/>
      <w:bookmarkStart w:id="1420" w:name="_Toc224818932"/>
      <w:r w:rsidRPr="001531CD">
        <w:t>§163.</w:t>
      </w:r>
      <w:r w:rsidRPr="001531CD">
        <w:tab/>
        <w:t>Dealer-Carrier Agreement</w:t>
      </w:r>
      <w:bookmarkEnd w:id="1419"/>
      <w:bookmarkEnd w:id="1420"/>
    </w:p>
    <w:p w14:paraId="6F507AA6" w14:textId="77777777" w:rsidR="00CF626A" w:rsidRPr="001531CD" w:rsidRDefault="00CF626A">
      <w:pPr>
        <w:pStyle w:val="A"/>
      </w:pPr>
      <w:r w:rsidRPr="001531CD">
        <w:t>A.</w:t>
      </w:r>
      <w:r w:rsidRPr="001531CD">
        <w:tab/>
        <w:t>As a condition for the issuance of certificates or limited permits for intrastate movement of regulated articles by persons engaged in purchasing, assembling, ginning, processing, transporting or storing such regulated articles, such persons must have a dealer-carrier agreement with the department. Holders of dealer-carrier permits must agree to:</w:t>
      </w:r>
    </w:p>
    <w:p w14:paraId="7D7E2A09" w14:textId="77777777" w:rsidR="00CF626A" w:rsidRPr="001531CD" w:rsidRDefault="00CF626A">
      <w:pPr>
        <w:pStyle w:val="1"/>
      </w:pPr>
      <w:r w:rsidRPr="001531CD">
        <w:t>1.</w:t>
      </w:r>
      <w:r w:rsidRPr="001531CD">
        <w:tab/>
        <w:t>maintain an accurate record of receipts and sales, shipments or services and such record shall be available at all times for examination by an inspector; and</w:t>
      </w:r>
    </w:p>
    <w:p w14:paraId="6C1FA5A9" w14:textId="77777777" w:rsidR="00CF626A" w:rsidRPr="001531CD" w:rsidRDefault="00CF626A">
      <w:pPr>
        <w:pStyle w:val="1"/>
      </w:pPr>
      <w:r w:rsidRPr="001531CD">
        <w:t>2.</w:t>
      </w:r>
      <w:r w:rsidRPr="001531CD">
        <w:tab/>
        <w:t>carry out any and all conditions, treatments, precautions and sanitary measures which may be required by the department.</w:t>
      </w:r>
    </w:p>
    <w:p w14:paraId="1523311E" w14:textId="77777777" w:rsidR="00CF626A" w:rsidRPr="001531CD" w:rsidRDefault="00CF626A">
      <w:pPr>
        <w:pStyle w:val="AuthorityNote"/>
      </w:pPr>
      <w:r w:rsidRPr="001531CD">
        <w:t>AUTHORITY NOTE:</w:t>
      </w:r>
      <w:r w:rsidRPr="001531CD">
        <w:tab/>
        <w:t>Promulgated in accordance with R.S. 3:1652.</w:t>
      </w:r>
    </w:p>
    <w:p w14:paraId="022014F5"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14:paraId="23D0B24E" w14:textId="77777777" w:rsidR="00CF626A" w:rsidRPr="001531CD" w:rsidRDefault="00CF626A">
      <w:pPr>
        <w:pStyle w:val="Chapter"/>
      </w:pPr>
      <w:bookmarkStart w:id="1421" w:name="TOC_SubC118"/>
      <w:bookmarkStart w:id="1422" w:name="_Toc256754620"/>
      <w:bookmarkStart w:id="1423" w:name="_Toc224818933"/>
      <w:r w:rsidRPr="001531CD">
        <w:t>Subchapter E.</w:t>
      </w:r>
      <w:bookmarkEnd w:id="1421"/>
      <w:r w:rsidR="00167E2E">
        <w:tab/>
      </w:r>
      <w:bookmarkStart w:id="1424" w:name="TOCT_SubC110"/>
      <w:bookmarkStart w:id="1425" w:name="TOCT_SubC116"/>
      <w:bookmarkStart w:id="1426" w:name="TOCT_SubC117"/>
      <w:bookmarkStart w:id="1427" w:name="TOCT_SubC118"/>
      <w:r w:rsidRPr="001531CD">
        <w:t>Repeal of Prior Rules and Regulations</w:t>
      </w:r>
      <w:bookmarkEnd w:id="1422"/>
      <w:bookmarkEnd w:id="1423"/>
      <w:bookmarkEnd w:id="1424"/>
      <w:bookmarkEnd w:id="1425"/>
      <w:bookmarkEnd w:id="1426"/>
      <w:bookmarkEnd w:id="1427"/>
    </w:p>
    <w:p w14:paraId="18550FC4" w14:textId="77777777" w:rsidR="00CF626A" w:rsidRPr="001531CD" w:rsidRDefault="00CF626A">
      <w:pPr>
        <w:pStyle w:val="Section"/>
      </w:pPr>
      <w:bookmarkStart w:id="1428" w:name="_Toc256754621"/>
      <w:bookmarkStart w:id="1429" w:name="_Toc224818934"/>
      <w:r w:rsidRPr="001531CD">
        <w:t>§165.</w:t>
      </w:r>
      <w:r w:rsidRPr="001531CD">
        <w:tab/>
        <w:t>Repeal of Prior Rules and Regulations</w:t>
      </w:r>
      <w:bookmarkEnd w:id="1428"/>
      <w:bookmarkEnd w:id="1429"/>
    </w:p>
    <w:p w14:paraId="124A89E1" w14:textId="77777777" w:rsidR="00CF626A" w:rsidRPr="001531CD" w:rsidRDefault="00CF626A">
      <w:pPr>
        <w:pStyle w:val="A"/>
      </w:pPr>
      <w:r w:rsidRPr="001531CD">
        <w:t>A.</w:t>
      </w:r>
      <w:r w:rsidRPr="001531CD">
        <w:tab/>
        <w:t>All prior rules and regulations adopted and approved in accordance with R.S. 3:1651 through 1805 are hereby repealed in their entirety.</w:t>
      </w:r>
    </w:p>
    <w:p w14:paraId="50982EA4" w14:textId="77777777" w:rsidR="00CF626A" w:rsidRPr="001531CD" w:rsidRDefault="00CF626A">
      <w:pPr>
        <w:pStyle w:val="AuthorityNote"/>
      </w:pPr>
      <w:r w:rsidRPr="001531CD">
        <w:t>AUTHORITY NOTE:</w:t>
      </w:r>
      <w:r w:rsidRPr="001531CD">
        <w:tab/>
        <w:t>Promulgated in accordance with R.S. 3:1652.</w:t>
      </w:r>
    </w:p>
    <w:p w14:paraId="7942225D" w14:textId="77777777"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14:paraId="792D535A" w14:textId="77777777" w:rsidR="00503684" w:rsidRPr="00A727FB" w:rsidRDefault="00503684" w:rsidP="00503684">
      <w:pPr>
        <w:pStyle w:val="Chapter"/>
      </w:pPr>
      <w:bookmarkStart w:id="1430" w:name="_Toc224818935"/>
      <w:bookmarkStart w:id="1431" w:name="TOC_Chap119"/>
      <w:bookmarkStart w:id="1432" w:name="_Toc256754622"/>
      <w:r w:rsidRPr="00A727FB">
        <w:t>Subchapter F.</w:t>
      </w:r>
      <w:r w:rsidRPr="00A727FB">
        <w:tab/>
        <w:t>Emerald Ash Borer Quarantine</w:t>
      </w:r>
      <w:bookmarkEnd w:id="1430"/>
    </w:p>
    <w:p w14:paraId="5AE3906A" w14:textId="77777777" w:rsidR="00503684" w:rsidRPr="00A727FB" w:rsidRDefault="00503684" w:rsidP="00503684">
      <w:pPr>
        <w:pStyle w:val="Section"/>
      </w:pPr>
      <w:bookmarkStart w:id="1433" w:name="_Toc224818936"/>
      <w:r w:rsidRPr="00A727FB">
        <w:t>§167.</w:t>
      </w:r>
      <w:r w:rsidRPr="00A727FB">
        <w:tab/>
        <w:t>Emerald Ash Borer Quarantine</w:t>
      </w:r>
      <w:bookmarkEnd w:id="1433"/>
    </w:p>
    <w:p w14:paraId="672821ED" w14:textId="77777777" w:rsidR="00260AC9" w:rsidRPr="009B786D" w:rsidRDefault="00260AC9" w:rsidP="00260AC9">
      <w:pPr>
        <w:pStyle w:val="A"/>
      </w:pPr>
      <w:bookmarkStart w:id="1434" w:name="se7.5.301_153_62"/>
      <w:bookmarkEnd w:id="1434"/>
      <w:r w:rsidRPr="009B786D">
        <w:t>A.</w:t>
      </w:r>
      <w:r w:rsidRPr="009B786D">
        <w:tab/>
        <w:t>The department issues the following quarantine because the state entomologist has determined that the insect emerald ash borer</w:t>
      </w:r>
      <w:r>
        <w:t xml:space="preserve"> (EAB</w:t>
      </w:r>
      <w:r w:rsidRPr="009B786D">
        <w:t xml:space="preserve">), </w:t>
      </w:r>
      <w:r w:rsidRPr="009B786D">
        <w:rPr>
          <w:i/>
        </w:rPr>
        <w:t>Agrilus planipennis</w:t>
      </w:r>
      <w:r w:rsidRPr="009B786D">
        <w:t>, has been found in this state and may be prevented, controlled, or eradicated by quarantine.</w:t>
      </w:r>
    </w:p>
    <w:p w14:paraId="09AA5EC3" w14:textId="77777777" w:rsidR="00BD76E6" w:rsidRPr="009606AB" w:rsidRDefault="00BD76E6" w:rsidP="00BD76E6">
      <w:pPr>
        <w:pStyle w:val="A"/>
      </w:pPr>
      <w:r w:rsidRPr="009606AB">
        <w:t>B.</w:t>
      </w:r>
      <w:r w:rsidRPr="009606AB">
        <w:tab/>
        <w:t>Quarantined areas in this state include:</w:t>
      </w:r>
    </w:p>
    <w:p w14:paraId="68021443" w14:textId="77777777" w:rsidR="00260AC9" w:rsidRPr="009B786D" w:rsidRDefault="00BD76E6" w:rsidP="00BD76E6">
      <w:pPr>
        <w:pStyle w:val="1"/>
      </w:pPr>
      <w:r w:rsidRPr="009606AB">
        <w:t>1.</w:t>
      </w:r>
      <w:r w:rsidRPr="009606AB">
        <w:tab/>
      </w:r>
      <w:r w:rsidR="00293862">
        <w:t>T</w:t>
      </w:r>
      <w:r w:rsidR="00CC4BA2" w:rsidRPr="00366065">
        <w:t>he entire parishes of Bienville, Bossier, Caddo, Claiborne, Jackson, Morehouse, Lincoln, Ouachita, Union and Webster.</w:t>
      </w:r>
    </w:p>
    <w:p w14:paraId="32D03BBC" w14:textId="77777777" w:rsidR="00503684" w:rsidRPr="00A727FB" w:rsidRDefault="00260AC9" w:rsidP="00260AC9">
      <w:pPr>
        <w:pStyle w:val="1"/>
      </w:pPr>
      <w:r w:rsidRPr="009B786D">
        <w:t>2.</w:t>
      </w:r>
      <w:r w:rsidRPr="009B786D">
        <w:tab/>
        <w:t xml:space="preserve">a declaration of quarantine for EAB covering any other specific parishes or areas of this state shall be published in the official journal of the state and in the </w:t>
      </w:r>
      <w:r w:rsidRPr="00923043">
        <w:rPr>
          <w:i/>
        </w:rPr>
        <w:t>Louisiana Register</w:t>
      </w:r>
      <w:r w:rsidRPr="009B786D">
        <w:t>.</w:t>
      </w:r>
    </w:p>
    <w:p w14:paraId="79907CA0" w14:textId="77777777" w:rsidR="00503684" w:rsidRPr="00A727FB" w:rsidRDefault="00503684" w:rsidP="00503684">
      <w:pPr>
        <w:pStyle w:val="A"/>
      </w:pPr>
      <w:r w:rsidRPr="00A727FB">
        <w:lastRenderedPageBreak/>
        <w:t>C.</w:t>
      </w:r>
      <w:r w:rsidRPr="00A727FB">
        <w:tab/>
        <w:t>No regulated articles as defined in this Section shall be moved out of any area of this state that is listed in this Section as a quarantined area for EAB, except as provided in this Section.</w:t>
      </w:r>
    </w:p>
    <w:p w14:paraId="370A0474" w14:textId="77777777" w:rsidR="00503684" w:rsidRPr="00A727FB" w:rsidRDefault="00503684" w:rsidP="00503684">
      <w:pPr>
        <w:pStyle w:val="A"/>
      </w:pPr>
      <w:r w:rsidRPr="00A727FB">
        <w:t>D.</w:t>
      </w:r>
      <w:r w:rsidRPr="00A727FB">
        <w:tab/>
        <w:t xml:space="preserve">The following articles are hosts of EAB and are deemed to be regulated articles for purposes of this Subsection: </w:t>
      </w:r>
    </w:p>
    <w:p w14:paraId="1659B993" w14:textId="77777777" w:rsidR="00503684" w:rsidRPr="00A727FB" w:rsidRDefault="00503684" w:rsidP="00503684">
      <w:pPr>
        <w:pStyle w:val="1"/>
        <w:rPr>
          <w:iCs/>
        </w:rPr>
      </w:pPr>
      <w:r w:rsidRPr="00A727FB">
        <w:t>1.</w:t>
      </w:r>
      <w:r w:rsidRPr="00A727FB">
        <w:tab/>
        <w:t xml:space="preserve">the emerald ash borer in all of its life stages; firewood of all hardwood (non-coniferous) species; nursery stock, green lumber, and other material living, dead, cut, or fallen, including logs, stumps, roots, branches, and composted and uncomposted chips of the genus </w:t>
      </w:r>
      <w:r w:rsidRPr="00A727FB">
        <w:rPr>
          <w:i/>
          <w:iCs/>
        </w:rPr>
        <w:t>Fraxinus</w:t>
      </w:r>
      <w:r w:rsidRPr="00A727FB">
        <w:rPr>
          <w:iCs/>
        </w:rPr>
        <w:t>;</w:t>
      </w:r>
    </w:p>
    <w:p w14:paraId="0B30F14E" w14:textId="77777777" w:rsidR="00503684" w:rsidRPr="00A727FB" w:rsidRDefault="00503684" w:rsidP="00503684">
      <w:pPr>
        <w:pStyle w:val="1"/>
      </w:pPr>
      <w:r w:rsidRPr="00A727FB">
        <w:rPr>
          <w:iCs/>
        </w:rPr>
        <w:t>2.</w:t>
      </w:r>
      <w:r w:rsidRPr="00A727FB">
        <w:rPr>
          <w:iCs/>
        </w:rPr>
        <w:tab/>
      </w:r>
      <w:r w:rsidRPr="00A727FB">
        <w:t>any other article, product, or means of conveyance not listed in this Section may be designated as a regulated article if an inspector determines that it presents a risk of spreading emerald ash borer and notifies the person in possession of the article, product, or means of conveyance that it is subject to the restrictions of the regulations.</w:t>
      </w:r>
    </w:p>
    <w:p w14:paraId="6FA5F9F3" w14:textId="77777777" w:rsidR="00503684" w:rsidRPr="00A727FB" w:rsidRDefault="00503684" w:rsidP="00503684">
      <w:pPr>
        <w:pStyle w:val="A"/>
      </w:pPr>
      <w:r w:rsidRPr="00A727FB">
        <w:t>E.</w:t>
      </w:r>
      <w:r w:rsidRPr="00A727FB">
        <w:tab/>
        <w:t>Regulated articles may be moved from quarantined areas to non-quarantined areas within or outside of Louisiana only if moved under the following conditions.</w:t>
      </w:r>
    </w:p>
    <w:p w14:paraId="4D72DD75" w14:textId="77777777" w:rsidR="00503684" w:rsidRPr="00A727FB" w:rsidRDefault="00503684" w:rsidP="00503684">
      <w:pPr>
        <w:pStyle w:val="1"/>
      </w:pPr>
      <w:r w:rsidRPr="00A727FB">
        <w:t>1.</w:t>
      </w:r>
      <w:r w:rsidRPr="00A727FB">
        <w:tab/>
        <w:t>The regulated articles being moved are accompanied by a certificate or limited permit issued by LDAF and attached in accordance with the EAB federal requirements.</w:t>
      </w:r>
      <w:r>
        <w:t xml:space="preserve"> </w:t>
      </w:r>
    </w:p>
    <w:p w14:paraId="4AA6A6D9" w14:textId="77777777" w:rsidR="00503684" w:rsidRPr="00A727FB" w:rsidRDefault="00503684" w:rsidP="00503684">
      <w:pPr>
        <w:pStyle w:val="1"/>
      </w:pPr>
      <w:r w:rsidRPr="00A727FB">
        <w:t>2.</w:t>
      </w:r>
      <w:r w:rsidRPr="00A727FB">
        <w:tab/>
        <w:t>The regulated articles being moved are not accompanied by a certificate or limited permit but are being moved by the United States Department of Agriculture for experimental or scientific purposes.</w:t>
      </w:r>
    </w:p>
    <w:p w14:paraId="765BA866" w14:textId="77777777" w:rsidR="00503684" w:rsidRPr="00A727FB" w:rsidRDefault="00503684" w:rsidP="00503684">
      <w:pPr>
        <w:pStyle w:val="1"/>
      </w:pPr>
      <w:r w:rsidRPr="00A727FB">
        <w:t>3.</w:t>
      </w:r>
      <w:r w:rsidRPr="00A727FB">
        <w:tab/>
        <w:t>The regulated articles being moved are not accompanied by a certificate or limited permit but originated outside of any EAB quarantined area and are moved interstate through the quarantined area under the following conditions:</w:t>
      </w:r>
    </w:p>
    <w:p w14:paraId="35583B87" w14:textId="77777777" w:rsidR="00503684" w:rsidRPr="00A727FB" w:rsidRDefault="00503684" w:rsidP="00503684">
      <w:pPr>
        <w:pStyle w:val="a0"/>
      </w:pPr>
      <w:r w:rsidRPr="00A727FB">
        <w:t>a.</w:t>
      </w:r>
      <w:r w:rsidRPr="00A727FB">
        <w:tab/>
        <w:t>the points of origin and destination are indicated on a waybill accompanying the regulated article; and</w:t>
      </w:r>
    </w:p>
    <w:p w14:paraId="14F0883B" w14:textId="77777777" w:rsidR="00503684" w:rsidRPr="00A727FB" w:rsidRDefault="00503684" w:rsidP="00503684">
      <w:pPr>
        <w:pStyle w:val="a0"/>
      </w:pPr>
      <w:r w:rsidRPr="00A727FB">
        <w:t>b.</w:t>
      </w:r>
      <w:r w:rsidRPr="00A727FB">
        <w:tab/>
        <w:t>the regulated article, if moved through the quarantined area, is moved in an enclosed vehicle or is completely covered to prevent access by the EAB; and</w:t>
      </w:r>
    </w:p>
    <w:p w14:paraId="6AA6FF45" w14:textId="77777777" w:rsidR="00503684" w:rsidRPr="00A727FB" w:rsidRDefault="00503684" w:rsidP="00503684">
      <w:pPr>
        <w:pStyle w:val="a0"/>
      </w:pPr>
      <w:r w:rsidRPr="00A727FB">
        <w:t>c.</w:t>
      </w:r>
      <w:r w:rsidRPr="00A727FB">
        <w:tab/>
        <w:t>the regulated article is moved directly through the quarantined area without stopping (except for refueling or for traffic conditions, such as traffic lights or stop signs), or has been stored, packed, or handled at locations approved by an inspector as not posing a risk of infestation by emerald ash borer; and</w:t>
      </w:r>
    </w:p>
    <w:p w14:paraId="239BF0FB" w14:textId="77777777" w:rsidR="00503684" w:rsidRPr="00A727FB" w:rsidRDefault="00503684" w:rsidP="00503684">
      <w:pPr>
        <w:pStyle w:val="a0"/>
      </w:pPr>
      <w:r w:rsidRPr="00A727FB">
        <w:t>d.</w:t>
      </w:r>
      <w:r w:rsidRPr="00A727FB">
        <w:tab/>
        <w:t>the article has not been combined or commingled with other articles so as to lose its individual identity.</w:t>
      </w:r>
    </w:p>
    <w:p w14:paraId="30788AC7" w14:textId="77777777" w:rsidR="00503684" w:rsidRPr="00A727FB" w:rsidRDefault="00503684" w:rsidP="00503684">
      <w:pPr>
        <w:pStyle w:val="A"/>
      </w:pPr>
      <w:r w:rsidRPr="00A727FB">
        <w:t>F.</w:t>
      </w:r>
      <w:r w:rsidRPr="00A727FB">
        <w:tab/>
        <w:t xml:space="preserve">Persons or businesses engaged in growing, handling, or moving regulated articles intrastate may enter into a compliance agreement with LDAF if such persons or businesses review with an LDAF inspector each provision of the compliance agreement. Any person or business who enters into a compliance agreement with LDAF must agree to comply with the provisions of this </w:t>
      </w:r>
      <w:r>
        <w:t>P</w:t>
      </w:r>
      <w:r w:rsidRPr="00A727FB">
        <w:t xml:space="preserve">art and any conditions imposed under this </w:t>
      </w:r>
      <w:r>
        <w:t>P</w:t>
      </w:r>
      <w:r w:rsidRPr="00A727FB">
        <w:t>art.</w:t>
      </w:r>
    </w:p>
    <w:p w14:paraId="1B70B39C" w14:textId="77777777" w:rsidR="00503684" w:rsidRPr="00A727FB" w:rsidRDefault="00503684" w:rsidP="00503684">
      <w:pPr>
        <w:pStyle w:val="1"/>
      </w:pPr>
      <w:r w:rsidRPr="00A727FB">
        <w:t>1.</w:t>
      </w:r>
      <w:r w:rsidRPr="00A727FB">
        <w:tab/>
        <w:t xml:space="preserve">Any compliance agreement may be canceled orally or in writing by an inspector whenever the inspector determines that the person who has entered into the compliance agreement has not complied with this </w:t>
      </w:r>
      <w:r>
        <w:t>P</w:t>
      </w:r>
      <w:r w:rsidRPr="00A727FB">
        <w:t xml:space="preserve">art or any conditions imposed under this </w:t>
      </w:r>
      <w:r>
        <w:t>P</w:t>
      </w:r>
      <w:r w:rsidRPr="00A727FB">
        <w:t>art. If the cancellation is oral, the cancellation will become effective immediately, and the cancellation and the reasons for the cancellation will be confirmed in writing as soon as circumstances permit. Any person whose compliance agreement has been canceled may appeal the decision in writing to LDAF within 10 days after receiving the written cancellation notice. The appeal must state all of the facts and reasons that the person wants LDAF to consider in deciding the appeal. A hearing may be held to resolve a conflict as to any material fact. Rules of practice for the hearing will be adopted by LDAF. As soon as practicable, LDAF will grant or deny the appeal, in writing, stating the reasons for the decision.</w:t>
      </w:r>
    </w:p>
    <w:p w14:paraId="4DA72DCE" w14:textId="77777777" w:rsidR="00503684" w:rsidRPr="00A727FB" w:rsidRDefault="00503684" w:rsidP="00503684">
      <w:pPr>
        <w:pStyle w:val="A"/>
      </w:pPr>
      <w:r>
        <w:t>G.</w:t>
      </w:r>
      <w:r w:rsidRPr="00A727FB">
        <w:tab/>
        <w:t>Any person violating this quarantine shall be subject to imposition of the remedies and penalties set forth in R.S. 3:1653.</w:t>
      </w:r>
    </w:p>
    <w:p w14:paraId="21951247" w14:textId="77777777" w:rsidR="00503684" w:rsidRPr="00A727FB" w:rsidRDefault="00BD76E6" w:rsidP="00503684">
      <w:pPr>
        <w:pStyle w:val="AuthorityNote"/>
      </w:pPr>
      <w:r w:rsidRPr="009606AB">
        <w:t>AUTHORITY NOTE:</w:t>
      </w:r>
      <w:r w:rsidRPr="009606AB">
        <w:tab/>
        <w:t>Promulgated in accordance with R.S. 3:1652, 3:1653.</w:t>
      </w:r>
    </w:p>
    <w:p w14:paraId="6EEAEA7B" w14:textId="77777777" w:rsidR="00503684" w:rsidRDefault="00503684" w:rsidP="00503684">
      <w:pPr>
        <w:pStyle w:val="HistoricalNote"/>
      </w:pPr>
      <w:r w:rsidRPr="00A727FB">
        <w:t>HISTORICAL NOTE:</w:t>
      </w:r>
      <w:r w:rsidRPr="00A727FB">
        <w:tab/>
        <w:t xml:space="preserve">Promulgated </w:t>
      </w:r>
      <w:r>
        <w:t>by the Department of Agriculture and Forestry</w:t>
      </w:r>
      <w:r w:rsidRPr="00A727FB">
        <w:t>, Office of Agricultural and Environmental Sciences, LR 41:</w:t>
      </w:r>
      <w:r w:rsidR="00260AC9">
        <w:t>2577 (December 2015), amended LR 43</w:t>
      </w:r>
      <w:r w:rsidR="00260AC9" w:rsidRPr="009B786D">
        <w:t>:</w:t>
      </w:r>
      <w:r w:rsidR="00BD76E6">
        <w:t xml:space="preserve">245 (February 2017), </w:t>
      </w:r>
      <w:r w:rsidR="00BD76E6" w:rsidRPr="00BB154F">
        <w:t>LR 44:</w:t>
      </w:r>
      <w:r w:rsidR="00BD76E6">
        <w:t>1589 (September 2018)</w:t>
      </w:r>
      <w:r w:rsidR="00CC4BA2">
        <w:t>,</w:t>
      </w:r>
      <w:r w:rsidR="00CC4BA2" w:rsidRPr="00366065">
        <w:t xml:space="preserve"> LR 45:</w:t>
      </w:r>
      <w:r w:rsidR="00CC4BA2">
        <w:t>1436 (October 2019).</w:t>
      </w:r>
    </w:p>
    <w:p w14:paraId="453275D5" w14:textId="77777777" w:rsidR="00BD76E6" w:rsidRPr="00726DB9" w:rsidRDefault="00BD76E6" w:rsidP="00BD76E6">
      <w:pPr>
        <w:pStyle w:val="Chapter"/>
      </w:pPr>
      <w:bookmarkStart w:id="1435" w:name="_Toc224818937"/>
      <w:r w:rsidRPr="00726DB9">
        <w:t>Subchapter G.</w:t>
      </w:r>
      <w:r w:rsidRPr="00726DB9">
        <w:tab/>
        <w:t>Roseau Cane Scale Quarantine</w:t>
      </w:r>
      <w:bookmarkEnd w:id="1435"/>
    </w:p>
    <w:p w14:paraId="3BDF3DAD" w14:textId="77777777" w:rsidR="00BD76E6" w:rsidRPr="00726DB9" w:rsidRDefault="00BD76E6" w:rsidP="00BD76E6">
      <w:pPr>
        <w:pStyle w:val="Section"/>
      </w:pPr>
      <w:bookmarkStart w:id="1436" w:name="_Toc224818938"/>
      <w:r w:rsidRPr="00726DB9">
        <w:t>§169.</w:t>
      </w:r>
      <w:r w:rsidRPr="00726DB9">
        <w:tab/>
        <w:t>Roseau Cane Scale Quarantine</w:t>
      </w:r>
      <w:bookmarkEnd w:id="1436"/>
    </w:p>
    <w:p w14:paraId="7E4DF2C1" w14:textId="77777777" w:rsidR="00BD76E6" w:rsidRPr="00726DB9" w:rsidRDefault="00BD76E6" w:rsidP="00BD76E6">
      <w:pPr>
        <w:pStyle w:val="A"/>
      </w:pPr>
      <w:r w:rsidRPr="00726DB9">
        <w:t>A.</w:t>
      </w:r>
      <w:r w:rsidRPr="00726DB9">
        <w:tab/>
        <w:t xml:space="preserve">The department issues the following quarantine because the state entomologist has determined that the insect Roseau cane scale (“RCS”), </w:t>
      </w:r>
      <w:r w:rsidRPr="00133DF6">
        <w:rPr>
          <w:i/>
        </w:rPr>
        <w:t>Nipponaclerda biwakoensis</w:t>
      </w:r>
      <w:r w:rsidRPr="00726DB9">
        <w:t>, has been found in this state and may be prevented, controlled, or eradicated by quarantine.</w:t>
      </w:r>
    </w:p>
    <w:p w14:paraId="0F66DF4F" w14:textId="77777777" w:rsidR="00BD76E6" w:rsidRPr="00726DB9" w:rsidRDefault="00BD76E6" w:rsidP="00BD76E6">
      <w:pPr>
        <w:pStyle w:val="A"/>
      </w:pPr>
      <w:r w:rsidRPr="00726DB9">
        <w:t>B.</w:t>
      </w:r>
      <w:r w:rsidRPr="00726DB9">
        <w:tab/>
        <w:t>Regulated articles, defined in this Section, are not allowed to move within or outside of the quarantine area.</w:t>
      </w:r>
    </w:p>
    <w:p w14:paraId="7891A3A6" w14:textId="77777777" w:rsidR="00BD76E6" w:rsidRPr="00726DB9" w:rsidRDefault="00BD76E6" w:rsidP="00BD76E6">
      <w:pPr>
        <w:pStyle w:val="A"/>
      </w:pPr>
      <w:r w:rsidRPr="00726DB9">
        <w:t>C.</w:t>
      </w:r>
      <w:r w:rsidRPr="00726DB9">
        <w:tab/>
        <w:t xml:space="preserve">The quarantine area encompasses all areas south of Louisiana Highway 10 beginning at the Mississippi state line </w:t>
      </w:r>
      <w:r w:rsidRPr="00461D6C">
        <w:t>(near Bogalusa)</w:t>
      </w:r>
      <w:r w:rsidRPr="00726DB9">
        <w:t xml:space="preserve"> and moving west until intersecting Highway 171 in Vernon Parish; then, moving south on Highway 171 continuing to Highway 190 in DeRidder and turning west on Highway 190; continuing on Highway 190 until reaching the Sabine River.</w:t>
      </w:r>
      <w:r>
        <w:t xml:space="preserve"> </w:t>
      </w:r>
      <w:r w:rsidRPr="00726DB9">
        <w:t>Quarantine areas in this state include:</w:t>
      </w:r>
    </w:p>
    <w:p w14:paraId="0640223A" w14:textId="77777777" w:rsidR="00BD76E6" w:rsidRPr="00726DB9" w:rsidRDefault="00BD76E6" w:rsidP="00BD76E6">
      <w:pPr>
        <w:pStyle w:val="1"/>
      </w:pPr>
      <w:r w:rsidRPr="00726DB9">
        <w:t>1.</w:t>
      </w:r>
      <w:r w:rsidRPr="00726DB9">
        <w:tab/>
        <w:t>portions of the following parishes that are</w:t>
      </w:r>
      <w:r>
        <w:t xml:space="preserve"> south of Louisiana Highway 10:</w:t>
      </w:r>
    </w:p>
    <w:p w14:paraId="656DB58D" w14:textId="77777777" w:rsidR="00BD76E6" w:rsidRPr="00726DB9" w:rsidRDefault="00BD76E6" w:rsidP="00BD76E6">
      <w:pPr>
        <w:pStyle w:val="a0"/>
      </w:pPr>
      <w:r w:rsidRPr="00726DB9">
        <w:t>a.</w:t>
      </w:r>
      <w:r w:rsidRPr="00726DB9">
        <w:tab/>
        <w:t xml:space="preserve">Allen; </w:t>
      </w:r>
    </w:p>
    <w:p w14:paraId="3CDAE20D" w14:textId="77777777" w:rsidR="00BD76E6" w:rsidRPr="00726DB9" w:rsidRDefault="00BD76E6" w:rsidP="00BD76E6">
      <w:pPr>
        <w:pStyle w:val="a0"/>
      </w:pPr>
      <w:r w:rsidRPr="00726DB9">
        <w:t>b.</w:t>
      </w:r>
      <w:r w:rsidRPr="00726DB9">
        <w:tab/>
        <w:t xml:space="preserve">East Feliciana; </w:t>
      </w:r>
    </w:p>
    <w:p w14:paraId="341EE1EB" w14:textId="77777777" w:rsidR="00BD76E6" w:rsidRPr="00726DB9" w:rsidRDefault="00BD76E6" w:rsidP="00BD76E6">
      <w:pPr>
        <w:pStyle w:val="a0"/>
      </w:pPr>
      <w:r w:rsidRPr="00726DB9">
        <w:t>c.</w:t>
      </w:r>
      <w:r w:rsidRPr="00726DB9">
        <w:tab/>
        <w:t xml:space="preserve">Evangeline; </w:t>
      </w:r>
    </w:p>
    <w:p w14:paraId="1FCDBC01" w14:textId="77777777" w:rsidR="00BD76E6" w:rsidRPr="00726DB9" w:rsidRDefault="00BD76E6" w:rsidP="00BD76E6">
      <w:pPr>
        <w:pStyle w:val="a0"/>
      </w:pPr>
      <w:r w:rsidRPr="00726DB9">
        <w:t>d.</w:t>
      </w:r>
      <w:r w:rsidRPr="00726DB9">
        <w:tab/>
        <w:t xml:space="preserve">Pointe Coupee; </w:t>
      </w:r>
    </w:p>
    <w:p w14:paraId="32B23EB7" w14:textId="77777777" w:rsidR="00BD76E6" w:rsidRPr="00726DB9" w:rsidRDefault="00BD76E6" w:rsidP="00BD76E6">
      <w:pPr>
        <w:pStyle w:val="a0"/>
      </w:pPr>
      <w:r w:rsidRPr="00726DB9">
        <w:t>e.</w:t>
      </w:r>
      <w:r w:rsidRPr="00726DB9">
        <w:tab/>
        <w:t>St. Landry;</w:t>
      </w:r>
    </w:p>
    <w:p w14:paraId="7B1CCFD6" w14:textId="77777777" w:rsidR="00BD76E6" w:rsidRPr="00726DB9" w:rsidRDefault="00BD76E6" w:rsidP="00BD76E6">
      <w:pPr>
        <w:pStyle w:val="a0"/>
      </w:pPr>
      <w:r w:rsidRPr="00726DB9">
        <w:t>f.</w:t>
      </w:r>
      <w:r w:rsidRPr="00726DB9">
        <w:tab/>
        <w:t xml:space="preserve">St. Helena; </w:t>
      </w:r>
    </w:p>
    <w:p w14:paraId="1B5E5163" w14:textId="77777777" w:rsidR="00BD76E6" w:rsidRPr="00726DB9" w:rsidRDefault="00BD76E6" w:rsidP="00BD76E6">
      <w:pPr>
        <w:pStyle w:val="a0"/>
      </w:pPr>
      <w:r w:rsidRPr="00726DB9">
        <w:lastRenderedPageBreak/>
        <w:t>g.</w:t>
      </w:r>
      <w:r w:rsidRPr="00726DB9">
        <w:tab/>
        <w:t xml:space="preserve">Tangipahoa; </w:t>
      </w:r>
    </w:p>
    <w:p w14:paraId="0C64F432" w14:textId="77777777" w:rsidR="00BD76E6" w:rsidRPr="00726DB9" w:rsidRDefault="00BD76E6" w:rsidP="00BD76E6">
      <w:pPr>
        <w:pStyle w:val="a0"/>
      </w:pPr>
      <w:r w:rsidRPr="00726DB9">
        <w:t>h.</w:t>
      </w:r>
      <w:r w:rsidRPr="00726DB9">
        <w:tab/>
        <w:t>Vernon;</w:t>
      </w:r>
    </w:p>
    <w:p w14:paraId="17F8E29B" w14:textId="77777777" w:rsidR="00BD76E6" w:rsidRPr="0088210F" w:rsidRDefault="00BD76E6" w:rsidP="00BD76E6">
      <w:pPr>
        <w:pStyle w:val="a0"/>
      </w:pPr>
      <w:r w:rsidRPr="0088210F">
        <w:t>i.</w:t>
      </w:r>
      <w:r w:rsidRPr="0088210F">
        <w:tab/>
        <w:t>Washington;</w:t>
      </w:r>
      <w:r>
        <w:t xml:space="preserve"> and</w:t>
      </w:r>
    </w:p>
    <w:p w14:paraId="421A0FE0" w14:textId="77777777" w:rsidR="00BD76E6" w:rsidRPr="00726DB9" w:rsidRDefault="00BD76E6" w:rsidP="00BD76E6">
      <w:pPr>
        <w:pStyle w:val="a0"/>
      </w:pPr>
      <w:r>
        <w:t>j.</w:t>
      </w:r>
      <w:r>
        <w:tab/>
        <w:t>West Feliciana;</w:t>
      </w:r>
    </w:p>
    <w:p w14:paraId="7CDFEDB9" w14:textId="77777777" w:rsidR="00BD76E6" w:rsidRPr="00726DB9" w:rsidRDefault="00BD76E6" w:rsidP="00BD76E6">
      <w:pPr>
        <w:pStyle w:val="1"/>
      </w:pPr>
      <w:r>
        <w:t>2</w:t>
      </w:r>
      <w:r w:rsidRPr="00726DB9">
        <w:t>.</w:t>
      </w:r>
      <w:r w:rsidRPr="00726DB9">
        <w:tab/>
        <w:t xml:space="preserve">the entire parishes of: </w:t>
      </w:r>
    </w:p>
    <w:p w14:paraId="35AFBAE2" w14:textId="77777777" w:rsidR="00BD76E6" w:rsidRPr="00726DB9" w:rsidRDefault="00BD76E6" w:rsidP="00BD76E6">
      <w:pPr>
        <w:pStyle w:val="a0"/>
      </w:pPr>
      <w:r>
        <w:t>a</w:t>
      </w:r>
      <w:r w:rsidRPr="00726DB9">
        <w:t>.</w:t>
      </w:r>
      <w:r w:rsidRPr="00726DB9">
        <w:tab/>
        <w:t xml:space="preserve">Acadia; </w:t>
      </w:r>
    </w:p>
    <w:p w14:paraId="31A14080" w14:textId="77777777" w:rsidR="00BD76E6" w:rsidRPr="00726DB9" w:rsidRDefault="00BD76E6" w:rsidP="00BD76E6">
      <w:pPr>
        <w:pStyle w:val="a0"/>
      </w:pPr>
      <w:r>
        <w:t>b</w:t>
      </w:r>
      <w:r w:rsidRPr="00726DB9">
        <w:t>.</w:t>
      </w:r>
      <w:r w:rsidRPr="00726DB9">
        <w:tab/>
        <w:t xml:space="preserve">Ascension; </w:t>
      </w:r>
    </w:p>
    <w:p w14:paraId="12344485" w14:textId="77777777" w:rsidR="00BD76E6" w:rsidRPr="00726DB9" w:rsidRDefault="00BD76E6" w:rsidP="00BD76E6">
      <w:pPr>
        <w:pStyle w:val="a0"/>
      </w:pPr>
      <w:r>
        <w:t>c</w:t>
      </w:r>
      <w:r w:rsidRPr="00726DB9">
        <w:t>.</w:t>
      </w:r>
      <w:r w:rsidRPr="00726DB9">
        <w:tab/>
        <w:t xml:space="preserve">Assumption; </w:t>
      </w:r>
    </w:p>
    <w:p w14:paraId="7A3569DF" w14:textId="77777777" w:rsidR="00BD76E6" w:rsidRPr="00726DB9" w:rsidRDefault="00BD76E6" w:rsidP="00BD76E6">
      <w:pPr>
        <w:pStyle w:val="a0"/>
      </w:pPr>
      <w:r>
        <w:t>d</w:t>
      </w:r>
      <w:r w:rsidRPr="00726DB9">
        <w:t>.</w:t>
      </w:r>
      <w:r w:rsidRPr="00726DB9">
        <w:tab/>
        <w:t xml:space="preserve">Beauregard; </w:t>
      </w:r>
    </w:p>
    <w:p w14:paraId="6E2B7BC2" w14:textId="77777777" w:rsidR="00BD76E6" w:rsidRPr="00726DB9" w:rsidRDefault="00BD76E6" w:rsidP="00BD76E6">
      <w:pPr>
        <w:pStyle w:val="a0"/>
      </w:pPr>
      <w:r>
        <w:t>e</w:t>
      </w:r>
      <w:r w:rsidRPr="00726DB9">
        <w:t>.</w:t>
      </w:r>
      <w:r w:rsidRPr="00726DB9">
        <w:tab/>
        <w:t>Calcasieu;</w:t>
      </w:r>
    </w:p>
    <w:p w14:paraId="1537A31C" w14:textId="77777777" w:rsidR="00BD76E6" w:rsidRPr="00726DB9" w:rsidRDefault="00BD76E6" w:rsidP="00BD76E6">
      <w:pPr>
        <w:pStyle w:val="a0"/>
      </w:pPr>
      <w:r>
        <w:t>f</w:t>
      </w:r>
      <w:r w:rsidRPr="00726DB9">
        <w:t>.</w:t>
      </w:r>
      <w:r w:rsidRPr="00726DB9">
        <w:tab/>
        <w:t>Cameron;</w:t>
      </w:r>
    </w:p>
    <w:p w14:paraId="127936BA" w14:textId="77777777" w:rsidR="00BD76E6" w:rsidRPr="00726DB9" w:rsidRDefault="00BD76E6" w:rsidP="00BD76E6">
      <w:pPr>
        <w:pStyle w:val="a0"/>
      </w:pPr>
      <w:r>
        <w:t>g</w:t>
      </w:r>
      <w:r w:rsidRPr="00726DB9">
        <w:t>.</w:t>
      </w:r>
      <w:r w:rsidRPr="00726DB9">
        <w:tab/>
        <w:t>East Baton Rouge;</w:t>
      </w:r>
    </w:p>
    <w:p w14:paraId="4F3530F8" w14:textId="77777777" w:rsidR="00BD76E6" w:rsidRPr="00726DB9" w:rsidRDefault="00BD76E6" w:rsidP="00BD76E6">
      <w:pPr>
        <w:pStyle w:val="a0"/>
      </w:pPr>
      <w:r>
        <w:t>h</w:t>
      </w:r>
      <w:r w:rsidRPr="00726DB9">
        <w:t>.</w:t>
      </w:r>
      <w:r w:rsidRPr="00726DB9">
        <w:tab/>
        <w:t>Iberia;</w:t>
      </w:r>
    </w:p>
    <w:p w14:paraId="46A48B29" w14:textId="77777777" w:rsidR="00BD76E6" w:rsidRPr="00726DB9" w:rsidRDefault="00BD76E6" w:rsidP="00BD76E6">
      <w:pPr>
        <w:pStyle w:val="a0"/>
      </w:pPr>
      <w:r>
        <w:t>i</w:t>
      </w:r>
      <w:r w:rsidRPr="00726DB9">
        <w:t>.</w:t>
      </w:r>
      <w:r w:rsidRPr="00726DB9">
        <w:tab/>
        <w:t>Iberville;</w:t>
      </w:r>
    </w:p>
    <w:p w14:paraId="317B8168" w14:textId="77777777" w:rsidR="00BD76E6" w:rsidRPr="00726DB9" w:rsidRDefault="00BD76E6" w:rsidP="00BD76E6">
      <w:pPr>
        <w:pStyle w:val="a0"/>
      </w:pPr>
      <w:r>
        <w:t>j</w:t>
      </w:r>
      <w:r w:rsidRPr="00726DB9">
        <w:t>.</w:t>
      </w:r>
      <w:r w:rsidRPr="00726DB9">
        <w:tab/>
        <w:t>Jefferson;</w:t>
      </w:r>
    </w:p>
    <w:p w14:paraId="6A2040A1" w14:textId="77777777" w:rsidR="00BD76E6" w:rsidRPr="00726DB9" w:rsidRDefault="00BD76E6" w:rsidP="00BD76E6">
      <w:pPr>
        <w:pStyle w:val="a0"/>
      </w:pPr>
      <w:r>
        <w:t>k</w:t>
      </w:r>
      <w:r w:rsidRPr="00726DB9">
        <w:t>.</w:t>
      </w:r>
      <w:r w:rsidRPr="00726DB9">
        <w:tab/>
        <w:t xml:space="preserve">Jefferson Davis; </w:t>
      </w:r>
    </w:p>
    <w:p w14:paraId="725C561F" w14:textId="77777777" w:rsidR="00BD76E6" w:rsidRPr="00726DB9" w:rsidRDefault="00BD76E6" w:rsidP="00BD76E6">
      <w:pPr>
        <w:pStyle w:val="a0"/>
      </w:pPr>
      <w:r>
        <w:t>l</w:t>
      </w:r>
      <w:r w:rsidRPr="00726DB9">
        <w:t>.</w:t>
      </w:r>
      <w:r w:rsidRPr="00726DB9">
        <w:tab/>
        <w:t xml:space="preserve">Lafayette; </w:t>
      </w:r>
    </w:p>
    <w:p w14:paraId="5B60EA35" w14:textId="77777777" w:rsidR="00BD76E6" w:rsidRPr="00726DB9" w:rsidRDefault="00BD76E6" w:rsidP="00BD76E6">
      <w:pPr>
        <w:pStyle w:val="a0"/>
      </w:pPr>
      <w:r>
        <w:t>m</w:t>
      </w:r>
      <w:r w:rsidRPr="00726DB9">
        <w:t>.</w:t>
      </w:r>
      <w:r w:rsidRPr="00726DB9">
        <w:tab/>
        <w:t>Lafourche;</w:t>
      </w:r>
    </w:p>
    <w:p w14:paraId="3005D257" w14:textId="77777777" w:rsidR="00BD76E6" w:rsidRPr="00726DB9" w:rsidRDefault="00BD76E6" w:rsidP="00BD76E6">
      <w:pPr>
        <w:pStyle w:val="a0"/>
      </w:pPr>
      <w:r>
        <w:t>n</w:t>
      </w:r>
      <w:r w:rsidRPr="00726DB9">
        <w:t>.</w:t>
      </w:r>
      <w:r w:rsidRPr="00726DB9">
        <w:tab/>
        <w:t>Livingston;</w:t>
      </w:r>
    </w:p>
    <w:p w14:paraId="6A631A56" w14:textId="77777777" w:rsidR="00BD76E6" w:rsidRPr="00726DB9" w:rsidRDefault="00BD76E6" w:rsidP="00BD76E6">
      <w:pPr>
        <w:pStyle w:val="a0"/>
      </w:pPr>
      <w:r>
        <w:t>o</w:t>
      </w:r>
      <w:r w:rsidRPr="00726DB9">
        <w:t>.</w:t>
      </w:r>
      <w:r w:rsidRPr="00726DB9">
        <w:tab/>
        <w:t xml:space="preserve">Orleans; </w:t>
      </w:r>
    </w:p>
    <w:p w14:paraId="76F64110" w14:textId="77777777" w:rsidR="00BD76E6" w:rsidRPr="00726DB9" w:rsidRDefault="00BD76E6" w:rsidP="00BD76E6">
      <w:pPr>
        <w:pStyle w:val="a0"/>
      </w:pPr>
      <w:r>
        <w:t>p</w:t>
      </w:r>
      <w:r w:rsidRPr="00726DB9">
        <w:t>.</w:t>
      </w:r>
      <w:r w:rsidRPr="00726DB9">
        <w:tab/>
        <w:t xml:space="preserve">Plaquemines; </w:t>
      </w:r>
    </w:p>
    <w:p w14:paraId="602AEB43" w14:textId="77777777" w:rsidR="00BD76E6" w:rsidRPr="00726DB9" w:rsidRDefault="00BD76E6" w:rsidP="00BD76E6">
      <w:pPr>
        <w:pStyle w:val="a0"/>
      </w:pPr>
      <w:r>
        <w:t>q</w:t>
      </w:r>
      <w:r w:rsidRPr="00726DB9">
        <w:t>.</w:t>
      </w:r>
      <w:r w:rsidRPr="00726DB9">
        <w:tab/>
        <w:t xml:space="preserve">St. Bernard; </w:t>
      </w:r>
    </w:p>
    <w:p w14:paraId="69904B45" w14:textId="77777777" w:rsidR="00BD76E6" w:rsidRPr="00726DB9" w:rsidRDefault="00BD76E6" w:rsidP="00BD76E6">
      <w:pPr>
        <w:pStyle w:val="a0"/>
      </w:pPr>
      <w:r>
        <w:t>r</w:t>
      </w:r>
      <w:r w:rsidRPr="00726DB9">
        <w:t>.</w:t>
      </w:r>
      <w:r w:rsidRPr="00726DB9">
        <w:tab/>
        <w:t xml:space="preserve">St. Charles; </w:t>
      </w:r>
    </w:p>
    <w:p w14:paraId="5FA47F6A" w14:textId="77777777" w:rsidR="00BD76E6" w:rsidRPr="00726DB9" w:rsidRDefault="00BD76E6" w:rsidP="00BD76E6">
      <w:pPr>
        <w:pStyle w:val="a0"/>
      </w:pPr>
      <w:r>
        <w:t>s</w:t>
      </w:r>
      <w:r w:rsidRPr="00726DB9">
        <w:t>.</w:t>
      </w:r>
      <w:r w:rsidRPr="00726DB9">
        <w:tab/>
        <w:t xml:space="preserve">St. James; </w:t>
      </w:r>
    </w:p>
    <w:p w14:paraId="44B8EE2F" w14:textId="77777777" w:rsidR="00BD76E6" w:rsidRPr="00726DB9" w:rsidRDefault="00BD76E6" w:rsidP="00BD76E6">
      <w:pPr>
        <w:pStyle w:val="a0"/>
      </w:pPr>
      <w:r>
        <w:t>t</w:t>
      </w:r>
      <w:r w:rsidRPr="00726DB9">
        <w:t>.</w:t>
      </w:r>
      <w:r w:rsidRPr="00726DB9">
        <w:tab/>
        <w:t xml:space="preserve">St. John; </w:t>
      </w:r>
    </w:p>
    <w:p w14:paraId="05965167" w14:textId="77777777" w:rsidR="00BD76E6" w:rsidRPr="00726DB9" w:rsidRDefault="00BD76E6" w:rsidP="00BD76E6">
      <w:pPr>
        <w:pStyle w:val="a0"/>
      </w:pPr>
      <w:r>
        <w:t>u</w:t>
      </w:r>
      <w:r w:rsidRPr="00726DB9">
        <w:t>.</w:t>
      </w:r>
      <w:r w:rsidRPr="00726DB9">
        <w:tab/>
        <w:t xml:space="preserve">St. Martin; </w:t>
      </w:r>
    </w:p>
    <w:p w14:paraId="72BD851A" w14:textId="77777777" w:rsidR="00BD76E6" w:rsidRPr="00726DB9" w:rsidRDefault="00BD76E6" w:rsidP="00BD76E6">
      <w:pPr>
        <w:pStyle w:val="a0"/>
      </w:pPr>
      <w:r>
        <w:t>v</w:t>
      </w:r>
      <w:r w:rsidRPr="00726DB9">
        <w:t>.</w:t>
      </w:r>
      <w:r w:rsidRPr="00726DB9">
        <w:tab/>
        <w:t xml:space="preserve">St. Mary; </w:t>
      </w:r>
    </w:p>
    <w:p w14:paraId="6BA8287C" w14:textId="77777777" w:rsidR="00BD76E6" w:rsidRPr="00726DB9" w:rsidRDefault="00BD76E6" w:rsidP="00BD76E6">
      <w:pPr>
        <w:pStyle w:val="a0"/>
      </w:pPr>
      <w:r>
        <w:t>w</w:t>
      </w:r>
      <w:r w:rsidRPr="00726DB9">
        <w:t>.</w:t>
      </w:r>
      <w:r w:rsidRPr="00726DB9">
        <w:tab/>
        <w:t xml:space="preserve">St. Tammany; </w:t>
      </w:r>
    </w:p>
    <w:p w14:paraId="2D260892" w14:textId="77777777" w:rsidR="00BD76E6" w:rsidRPr="00726DB9" w:rsidRDefault="00BD76E6" w:rsidP="00BD76E6">
      <w:pPr>
        <w:pStyle w:val="a0"/>
      </w:pPr>
      <w:r>
        <w:t>x</w:t>
      </w:r>
      <w:r w:rsidRPr="00726DB9">
        <w:t>.</w:t>
      </w:r>
      <w:r w:rsidRPr="00726DB9">
        <w:tab/>
        <w:t xml:space="preserve">Terrebonne; </w:t>
      </w:r>
    </w:p>
    <w:p w14:paraId="272395B1" w14:textId="77777777" w:rsidR="00BD76E6" w:rsidRPr="00726DB9" w:rsidRDefault="00BD76E6" w:rsidP="00BD76E6">
      <w:pPr>
        <w:pStyle w:val="a0"/>
      </w:pPr>
      <w:r>
        <w:t>y</w:t>
      </w:r>
      <w:r w:rsidRPr="00726DB9">
        <w:t>.</w:t>
      </w:r>
      <w:r w:rsidRPr="00726DB9">
        <w:tab/>
        <w:t>Vermillion; and</w:t>
      </w:r>
    </w:p>
    <w:p w14:paraId="1B327A2D" w14:textId="77777777" w:rsidR="00BD76E6" w:rsidRPr="00726DB9" w:rsidRDefault="00BD76E6" w:rsidP="00BD76E6">
      <w:pPr>
        <w:pStyle w:val="a0"/>
      </w:pPr>
      <w:r>
        <w:t>z</w:t>
      </w:r>
      <w:r w:rsidRPr="00726DB9">
        <w:t>.</w:t>
      </w:r>
      <w:r w:rsidRPr="00726DB9">
        <w:tab/>
        <w:t>West Baton Rouge.</w:t>
      </w:r>
    </w:p>
    <w:p w14:paraId="7A85BFC6" w14:textId="77777777" w:rsidR="00BD76E6" w:rsidRPr="00726DB9" w:rsidRDefault="00BD76E6" w:rsidP="00BD76E6">
      <w:pPr>
        <w:pStyle w:val="A"/>
      </w:pPr>
      <w:r w:rsidRPr="00726DB9">
        <w:t>D.</w:t>
      </w:r>
      <w:r w:rsidRPr="00726DB9">
        <w:tab/>
        <w:t xml:space="preserve">Clean nursery stock of the genus </w:t>
      </w:r>
      <w:r w:rsidRPr="00133DF6">
        <w:rPr>
          <w:i/>
        </w:rPr>
        <w:t>Phragmites</w:t>
      </w:r>
      <w:r w:rsidRPr="00726DB9">
        <w:t xml:space="preserve"> may be moved within the quarantine area under a </w:t>
      </w:r>
      <w:r w:rsidRPr="00FE4238">
        <w:t>special permit</w:t>
      </w:r>
      <w:r w:rsidRPr="00726DB9">
        <w:t xml:space="preserve"> issued by </w:t>
      </w:r>
      <w:r>
        <w:t>the</w:t>
      </w:r>
      <w:r w:rsidRPr="00726DB9">
        <w:t xml:space="preserve"> Department of Agriculture </w:t>
      </w:r>
      <w:r>
        <w:t xml:space="preserve">and </w:t>
      </w:r>
      <w:r w:rsidRPr="00726DB9">
        <w:t>Forestry.</w:t>
      </w:r>
    </w:p>
    <w:p w14:paraId="781B0E4E" w14:textId="77777777" w:rsidR="00BD76E6" w:rsidRPr="00726DB9" w:rsidRDefault="00BD76E6" w:rsidP="00BD76E6">
      <w:pPr>
        <w:pStyle w:val="A"/>
      </w:pPr>
      <w:r w:rsidRPr="00726DB9">
        <w:t>E.</w:t>
      </w:r>
      <w:r w:rsidRPr="00726DB9">
        <w:tab/>
        <w:t>Limited movement of Roseau cane by boat only is allowed for waterfowl hunters as long as the Roseau cane material is moved no more than one-quarter mile from its original location and remains within the quarantine area.</w:t>
      </w:r>
    </w:p>
    <w:p w14:paraId="4100BE72" w14:textId="77777777" w:rsidR="00BD76E6" w:rsidRPr="00726DB9" w:rsidRDefault="00BD76E6" w:rsidP="00BD76E6">
      <w:pPr>
        <w:pStyle w:val="A"/>
      </w:pPr>
      <w:r w:rsidRPr="00726DB9">
        <w:t>F.</w:t>
      </w:r>
      <w:r w:rsidRPr="00726DB9">
        <w:tab/>
        <w:t xml:space="preserve">The following articles are deemed to be regulated articles for purposes of this </w:t>
      </w:r>
      <w:r>
        <w:t>S</w:t>
      </w:r>
      <w:r w:rsidRPr="00726DB9">
        <w:t>ubsection:</w:t>
      </w:r>
    </w:p>
    <w:p w14:paraId="5496FBD9" w14:textId="77777777" w:rsidR="00BD76E6" w:rsidRPr="00726DB9" w:rsidRDefault="00BD76E6" w:rsidP="00BD76E6">
      <w:pPr>
        <w:pStyle w:val="1"/>
      </w:pPr>
      <w:r>
        <w:t>1</w:t>
      </w:r>
      <w:r w:rsidRPr="00726DB9">
        <w:t>.</w:t>
      </w:r>
      <w:r w:rsidRPr="00726DB9">
        <w:tab/>
        <w:t>The Roseau cane scale in all of its life stages.</w:t>
      </w:r>
    </w:p>
    <w:p w14:paraId="3F4884E8" w14:textId="77777777" w:rsidR="00BD76E6" w:rsidRPr="00726DB9" w:rsidRDefault="00BD76E6" w:rsidP="00BD76E6">
      <w:pPr>
        <w:pStyle w:val="1"/>
      </w:pPr>
      <w:r>
        <w:t>2</w:t>
      </w:r>
      <w:r w:rsidRPr="00726DB9">
        <w:t>.</w:t>
      </w:r>
      <w:r w:rsidRPr="00726DB9">
        <w:tab/>
        <w:t xml:space="preserve">Roseau cane or any species or variety of the genus </w:t>
      </w:r>
      <w:r w:rsidRPr="00133DF6">
        <w:rPr>
          <w:i/>
        </w:rPr>
        <w:t>Phragmites</w:t>
      </w:r>
      <w:r w:rsidRPr="00726DB9">
        <w:t>.</w:t>
      </w:r>
    </w:p>
    <w:p w14:paraId="5C1F8049" w14:textId="77777777" w:rsidR="00BD76E6" w:rsidRPr="00726DB9" w:rsidRDefault="00BD76E6" w:rsidP="00BD76E6">
      <w:pPr>
        <w:pStyle w:val="1"/>
      </w:pPr>
      <w:r>
        <w:t>3</w:t>
      </w:r>
      <w:r w:rsidRPr="00726DB9">
        <w:t>.</w:t>
      </w:r>
      <w:r w:rsidRPr="00726DB9">
        <w:tab/>
        <w:t xml:space="preserve">Any other article, product, or means of conveyance not listed in this </w:t>
      </w:r>
      <w:r w:rsidRPr="00E53FFA">
        <w:t>S</w:t>
      </w:r>
      <w:r w:rsidRPr="00726DB9">
        <w:t>ubsection may be designated as a regulated article if an inspector determines that it presents a risk of spreading Roseau cane scale and notifies the person in possession of the article, product, or means of conveyance that it is subject to the restrictions of the regulations.</w:t>
      </w:r>
    </w:p>
    <w:p w14:paraId="3F895FB7" w14:textId="77777777" w:rsidR="00BD76E6" w:rsidRPr="00726DB9" w:rsidRDefault="00BD76E6" w:rsidP="00BD76E6">
      <w:pPr>
        <w:pStyle w:val="A"/>
      </w:pPr>
      <w:r w:rsidRPr="00726DB9">
        <w:t>G.</w:t>
      </w:r>
      <w:r w:rsidRPr="00726DB9">
        <w:tab/>
        <w:t>Any person violating this quarantine shall be subject to imposition of the remedies and penalties set forth in R.S. 3:1653.</w:t>
      </w:r>
    </w:p>
    <w:p w14:paraId="1429B83D" w14:textId="77777777" w:rsidR="00BD76E6" w:rsidRPr="00726DB9" w:rsidRDefault="00BD76E6" w:rsidP="00BD76E6">
      <w:pPr>
        <w:pStyle w:val="AuthorityNote"/>
      </w:pPr>
      <w:r w:rsidRPr="00726DB9">
        <w:t>AUTHORITY NOTE:</w:t>
      </w:r>
      <w:r w:rsidRPr="00726DB9">
        <w:tab/>
        <w:t>Promulgated in accordance with R.S. 3:1652, 3:1653.</w:t>
      </w:r>
    </w:p>
    <w:p w14:paraId="1F8DBDF3" w14:textId="77777777" w:rsidR="00BD76E6" w:rsidRDefault="00BD76E6" w:rsidP="00BD76E6">
      <w:pPr>
        <w:pStyle w:val="HistoricalNote"/>
      </w:pPr>
      <w:r w:rsidRPr="00726DB9">
        <w:t>HISTORICAL NOTE:</w:t>
      </w:r>
      <w:r>
        <w:tab/>
      </w:r>
      <w:r w:rsidRPr="00726DB9">
        <w:t>Promulgated by the Department of Agriculture and Forestry, Office of Agricultural and Environmental Sciences, LR 44:</w:t>
      </w:r>
      <w:r>
        <w:t>1589 (September 2018).</w:t>
      </w:r>
    </w:p>
    <w:p w14:paraId="1BBCD930" w14:textId="77777777" w:rsidR="00CC4BA2" w:rsidRPr="00CC4BA2" w:rsidRDefault="00CC4BA2" w:rsidP="00CC4BA2">
      <w:pPr>
        <w:pStyle w:val="Chapter"/>
      </w:pPr>
      <w:bookmarkStart w:id="1437" w:name="_Toc224818939"/>
      <w:r w:rsidRPr="00CC4BA2">
        <w:t>Subchapter H.</w:t>
      </w:r>
      <w:r w:rsidRPr="00CC4BA2">
        <w:tab/>
        <w:t>Guava Root Knot Nematode Quarantine</w:t>
      </w:r>
      <w:bookmarkEnd w:id="1437"/>
    </w:p>
    <w:p w14:paraId="36E4CBF9" w14:textId="77777777" w:rsidR="00CC4BA2" w:rsidRPr="00CC4BA2" w:rsidRDefault="00CC4BA2" w:rsidP="00CC4BA2">
      <w:pPr>
        <w:pStyle w:val="Section"/>
      </w:pPr>
      <w:bookmarkStart w:id="1438" w:name="_Toc224818940"/>
      <w:r>
        <w:t>§</w:t>
      </w:r>
      <w:r w:rsidRPr="00CC4BA2">
        <w:t>171.</w:t>
      </w:r>
      <w:r w:rsidRPr="00CC4BA2">
        <w:tab/>
        <w:t>Guava Root Knot Nematode Quarantine</w:t>
      </w:r>
      <w:bookmarkEnd w:id="1438"/>
      <w:r w:rsidRPr="00CC4BA2">
        <w:t xml:space="preserve"> </w:t>
      </w:r>
    </w:p>
    <w:p w14:paraId="0271D884" w14:textId="77777777" w:rsidR="00CC4BA2" w:rsidRPr="00CC4BA2" w:rsidRDefault="00CC4BA2" w:rsidP="00CC4BA2">
      <w:pPr>
        <w:pStyle w:val="A"/>
      </w:pPr>
      <w:r w:rsidRPr="00CC4BA2">
        <w:t>A.</w:t>
      </w:r>
      <w:r w:rsidRPr="00CC4BA2">
        <w:tab/>
        <w:t xml:space="preserve">The department issues the following quarantine because the state entomologist has determined that the Guava Root Knot Nematode, </w:t>
      </w:r>
      <w:r w:rsidRPr="00CC4BA2">
        <w:rPr>
          <w:i/>
        </w:rPr>
        <w:t>Meloidogyne enterolobii</w:t>
      </w:r>
      <w:r w:rsidRPr="00CC4BA2">
        <w:t>, has been found in this state and may be prevented, controlled, or eradicated by quarantine.</w:t>
      </w:r>
    </w:p>
    <w:p w14:paraId="648BF740" w14:textId="77777777" w:rsidR="00CC4BA2" w:rsidRPr="00CC4BA2" w:rsidRDefault="00CC4BA2" w:rsidP="00CC4BA2">
      <w:pPr>
        <w:pStyle w:val="A"/>
      </w:pPr>
      <w:r w:rsidRPr="00CC4BA2">
        <w:t>B.</w:t>
      </w:r>
      <w:r w:rsidRPr="00CC4BA2">
        <w:tab/>
        <w:t>Quarantine Areas:</w:t>
      </w:r>
    </w:p>
    <w:p w14:paraId="68992E0A" w14:textId="77777777" w:rsidR="00CC4BA2" w:rsidRPr="00CC4BA2" w:rsidRDefault="00CC4BA2" w:rsidP="00CC4BA2">
      <w:pPr>
        <w:pStyle w:val="1"/>
      </w:pPr>
      <w:r w:rsidRPr="00CC4BA2">
        <w:t>1.</w:t>
      </w:r>
      <w:r w:rsidRPr="00CC4BA2">
        <w:tab/>
        <w:t>the states of Florida, North Carolina, and South Carolina;</w:t>
      </w:r>
    </w:p>
    <w:p w14:paraId="578813AB" w14:textId="77777777" w:rsidR="00CC4BA2" w:rsidRPr="00CC4BA2" w:rsidRDefault="00CC4BA2" w:rsidP="00CC4BA2">
      <w:pPr>
        <w:pStyle w:val="1"/>
      </w:pPr>
      <w:r w:rsidRPr="00CC4BA2">
        <w:t>2.</w:t>
      </w:r>
      <w:r w:rsidRPr="00CC4BA2">
        <w:tab/>
        <w:t xml:space="preserve">a declaration of quarantine for guava root knot nematode covering any specific parish or area in Louisiana or any other state shall be published in the official journal of the state and in the </w:t>
      </w:r>
      <w:r w:rsidRPr="00CC4BA2">
        <w:rPr>
          <w:i/>
        </w:rPr>
        <w:t>Louisiana Register</w:t>
      </w:r>
      <w:r w:rsidRPr="00CC4BA2">
        <w:t>.</w:t>
      </w:r>
    </w:p>
    <w:p w14:paraId="1A675F64" w14:textId="77777777" w:rsidR="00CC4BA2" w:rsidRPr="00CC4BA2" w:rsidRDefault="00CC4BA2" w:rsidP="00CC4BA2">
      <w:pPr>
        <w:pStyle w:val="A"/>
      </w:pPr>
      <w:r w:rsidRPr="00CC4BA2">
        <w:t>C.</w:t>
      </w:r>
      <w:r w:rsidRPr="00CC4BA2">
        <w:tab/>
        <w:t>No regulated articles as defined in this Section shall be moved into any area of this state, except as provided in this Section.</w:t>
      </w:r>
    </w:p>
    <w:p w14:paraId="0AC331C2" w14:textId="77777777" w:rsidR="00CC4BA2" w:rsidRPr="00CC4BA2" w:rsidRDefault="00CC4BA2" w:rsidP="00CC4BA2">
      <w:pPr>
        <w:pStyle w:val="A"/>
      </w:pPr>
      <w:r w:rsidRPr="00CC4BA2">
        <w:t>D.</w:t>
      </w:r>
      <w:r w:rsidRPr="00CC4BA2">
        <w:tab/>
        <w:t xml:space="preserve">The following articles are hosts of guava root knot nematode or may harbor guava root knot nematode and are deemed to be regulated articles for purposes of this Subsection: </w:t>
      </w:r>
    </w:p>
    <w:p w14:paraId="7D589C51" w14:textId="77777777" w:rsidR="00CC4BA2" w:rsidRPr="00CC4BA2" w:rsidRDefault="00CC4BA2" w:rsidP="00CC4BA2">
      <w:pPr>
        <w:pStyle w:val="1"/>
      </w:pPr>
      <w:r w:rsidRPr="00CC4BA2">
        <w:t>1.</w:t>
      </w:r>
      <w:r w:rsidRPr="00CC4BA2">
        <w:tab/>
        <w:t>the guava root knot nematode in all of its life stages; plant parts, specifically sweet potatoes, from Florida, North Carolina, and South Carolina that can harbor the guava root knot nematode; soil from the above-mentioned quarantined states that may harbor the guava root knot nematode; commercial planting and/or harvesting equipment from the above-mentioned quarantined states;</w:t>
      </w:r>
    </w:p>
    <w:p w14:paraId="4B71BC25" w14:textId="77777777" w:rsidR="00CC4BA2" w:rsidRPr="000B01A2" w:rsidRDefault="000B01A2" w:rsidP="00CC4BA2">
      <w:pPr>
        <w:pStyle w:val="1"/>
        <w:rPr>
          <w:rFonts w:eastAsia="Calibri"/>
        </w:rPr>
      </w:pPr>
      <w:r w:rsidRPr="00BF0BB6">
        <w:rPr>
          <w:rFonts w:eastAsia="Calibri"/>
        </w:rPr>
        <w:t>2.</w:t>
      </w:r>
      <w:r w:rsidRPr="00BF0BB6">
        <w:rPr>
          <w:rFonts w:eastAsia="Calibri"/>
        </w:rPr>
        <w:tab/>
        <w:t>certified seed sweet potatoes and sweet potatoes for processing may be moved from the quarantine area into Louisiana under a special permit issued by Louisiana Department of Agriculture and Forestry.</w:t>
      </w:r>
    </w:p>
    <w:p w14:paraId="654BC6DC" w14:textId="77777777" w:rsidR="00CC4BA2" w:rsidRPr="00CC4BA2" w:rsidRDefault="00CC4BA2" w:rsidP="00CC4BA2">
      <w:pPr>
        <w:pStyle w:val="1"/>
      </w:pPr>
      <w:r w:rsidRPr="00CC4BA2">
        <w:t>3.</w:t>
      </w:r>
      <w:r w:rsidRPr="00CC4BA2">
        <w:tab/>
        <w:t xml:space="preserve">nursery crops may not be moved from the quarantine area into Louisiana, whether direct from said area or by diversion or reconsignment from any other point, unless each shipment or lot is accompanied by a certificate issued by the </w:t>
      </w:r>
      <w:r w:rsidRPr="00CC4BA2">
        <w:lastRenderedPageBreak/>
        <w:t xml:space="preserve">authorized agricultural official of the state, certifying the material to be free from guava root knot nematode. </w:t>
      </w:r>
    </w:p>
    <w:p w14:paraId="2718C396" w14:textId="77777777" w:rsidR="00CC4BA2" w:rsidRPr="00CC4BA2" w:rsidRDefault="00CC4BA2" w:rsidP="00CC4BA2">
      <w:pPr>
        <w:pStyle w:val="1"/>
      </w:pPr>
      <w:r w:rsidRPr="00CC4BA2">
        <w:rPr>
          <w:iCs/>
        </w:rPr>
        <w:t>4.</w:t>
      </w:r>
      <w:r w:rsidRPr="00CC4BA2">
        <w:rPr>
          <w:iCs/>
        </w:rPr>
        <w:tab/>
      </w:r>
      <w:r w:rsidRPr="00CC4BA2">
        <w:t>any other article, product, or means of conveyance not listed in this Section may be designated as a regulated article if an inspector determines that it presents a risk of spreading guava root knot nematode and notifies the person in possession of the article, product, or means of conveyance that it is subject to the restrictions of the regulations.</w:t>
      </w:r>
    </w:p>
    <w:p w14:paraId="7C1406EA" w14:textId="77777777" w:rsidR="00CC4BA2" w:rsidRPr="00CC4BA2" w:rsidRDefault="00CC4BA2" w:rsidP="00CC4BA2">
      <w:pPr>
        <w:pStyle w:val="A"/>
      </w:pPr>
      <w:r w:rsidRPr="00CC4BA2">
        <w:t>E.</w:t>
      </w:r>
      <w:r w:rsidRPr="00CC4BA2">
        <w:tab/>
        <w:t>Commercial planting and/or harvesting equipment may be moved from quarantined areas into Louisiana only if moved under the following conditions.</w:t>
      </w:r>
    </w:p>
    <w:p w14:paraId="275A2C68" w14:textId="77777777" w:rsidR="00CC4BA2" w:rsidRPr="00CC4BA2" w:rsidRDefault="00CC4BA2" w:rsidP="00CC4BA2">
      <w:pPr>
        <w:pStyle w:val="1"/>
      </w:pPr>
      <w:r w:rsidRPr="00CC4BA2">
        <w:t>1.</w:t>
      </w:r>
      <w:r w:rsidRPr="00CC4BA2">
        <w:tab/>
        <w:t xml:space="preserve">The commercial equipment being moved is accompanied by a state of origin certificate issued by the state regulatory agency. </w:t>
      </w:r>
    </w:p>
    <w:p w14:paraId="49664CC0" w14:textId="77777777" w:rsidR="00CC4BA2" w:rsidRPr="00CC4BA2" w:rsidRDefault="00CC4BA2" w:rsidP="00CC4BA2">
      <w:pPr>
        <w:pStyle w:val="1"/>
      </w:pPr>
      <w:r w:rsidRPr="00CC4BA2">
        <w:t>2.</w:t>
      </w:r>
      <w:r w:rsidRPr="00CC4BA2">
        <w:tab/>
        <w:t>The commercial equipment must be thoroughly cleaned of any soil and plant debris and inspected by the state regulatory agency. The state regulatory agency must issue a state phytosanitary certificate attesting to the inspection and cleaning of the equipment.</w:t>
      </w:r>
    </w:p>
    <w:p w14:paraId="749B39B7" w14:textId="77777777" w:rsidR="00CC4BA2" w:rsidRPr="00CC4BA2" w:rsidRDefault="00CC4BA2" w:rsidP="00CC4BA2">
      <w:pPr>
        <w:pStyle w:val="A"/>
      </w:pPr>
      <w:r w:rsidRPr="00CC4BA2">
        <w:t>F.</w:t>
      </w:r>
      <w:r w:rsidRPr="00CC4BA2">
        <w:tab/>
        <w:t>Any person violating this quarantine shall be subject to imposition of the remedies and penalties set forth in R.S. 3:1653.</w:t>
      </w:r>
    </w:p>
    <w:p w14:paraId="020204C4" w14:textId="77777777" w:rsidR="00CC4BA2" w:rsidRPr="00293862" w:rsidRDefault="00CC4BA2" w:rsidP="00CC4BA2">
      <w:pPr>
        <w:pStyle w:val="AuthorityNote"/>
        <w:rPr>
          <w:szCs w:val="18"/>
        </w:rPr>
      </w:pPr>
      <w:r w:rsidRPr="00293862">
        <w:rPr>
          <w:szCs w:val="18"/>
        </w:rPr>
        <w:t>AUTHORITY NOTE:</w:t>
      </w:r>
      <w:r w:rsidRPr="00293862">
        <w:rPr>
          <w:szCs w:val="18"/>
        </w:rPr>
        <w:tab/>
        <w:t>Promulgated in accordance with R.S. 3:1652, 3:1653.</w:t>
      </w:r>
    </w:p>
    <w:p w14:paraId="227D7A3E" w14:textId="77777777" w:rsidR="00CC4BA2" w:rsidRDefault="00CC4BA2" w:rsidP="00CC4BA2">
      <w:pPr>
        <w:pStyle w:val="HistoricalNote"/>
        <w:rPr>
          <w:kern w:val="0"/>
          <w:szCs w:val="18"/>
        </w:rPr>
      </w:pPr>
      <w:r w:rsidRPr="00293862">
        <w:rPr>
          <w:kern w:val="0"/>
          <w:szCs w:val="18"/>
        </w:rPr>
        <w:t>HISTORICAL NOTE:</w:t>
      </w:r>
      <w:r w:rsidRPr="00293862">
        <w:rPr>
          <w:kern w:val="0"/>
          <w:szCs w:val="18"/>
        </w:rPr>
        <w:tab/>
        <w:t>Promulgated by the Department of Agriculture and Forestry, Office of Agricultural and Environmental Sciences, LR 45:1437 (October 2019)</w:t>
      </w:r>
      <w:r w:rsidR="000B01A2">
        <w:rPr>
          <w:kern w:val="0"/>
          <w:szCs w:val="18"/>
        </w:rPr>
        <w:t>,</w:t>
      </w:r>
      <w:r w:rsidR="000B01A2" w:rsidRPr="000B01A2">
        <w:rPr>
          <w:rFonts w:eastAsia="Calibri"/>
          <w:kern w:val="0"/>
          <w:sz w:val="20"/>
        </w:rPr>
        <w:t xml:space="preserve"> </w:t>
      </w:r>
      <w:r w:rsidR="000B01A2" w:rsidRPr="000B01A2">
        <w:rPr>
          <w:kern w:val="0"/>
          <w:szCs w:val="18"/>
        </w:rPr>
        <w:t>amended LR 46:1371 (October 2020).</w:t>
      </w:r>
    </w:p>
    <w:p w14:paraId="42C7685A" w14:textId="77777777" w:rsidR="00D547A3" w:rsidRPr="00C45196" w:rsidRDefault="00D547A3" w:rsidP="00D547A3">
      <w:pPr>
        <w:pStyle w:val="Chapter"/>
      </w:pPr>
      <w:bookmarkStart w:id="1439" w:name="_Toc224818941"/>
      <w:r>
        <w:t>Subchapter I.</w:t>
      </w:r>
      <w:r>
        <w:tab/>
      </w:r>
      <w:r w:rsidRPr="00C45196">
        <w:t>Lethal Bronzing and Lethal Yellowing Quarantine</w:t>
      </w:r>
      <w:bookmarkEnd w:id="1439"/>
    </w:p>
    <w:p w14:paraId="76FB2EA4" w14:textId="77777777" w:rsidR="00D547A3" w:rsidRPr="00C45196" w:rsidRDefault="00D547A3" w:rsidP="00D547A3">
      <w:pPr>
        <w:pStyle w:val="Section"/>
        <w:rPr>
          <w:sz w:val="28"/>
          <w:szCs w:val="28"/>
        </w:rPr>
      </w:pPr>
      <w:bookmarkStart w:id="1440" w:name="_Toc224818942"/>
      <w:r w:rsidRPr="00C45196">
        <w:t>§173.</w:t>
      </w:r>
      <w:r w:rsidRPr="00C45196">
        <w:tab/>
        <w:t>Lethal Bronzing Quarantine</w:t>
      </w:r>
      <w:bookmarkEnd w:id="1440"/>
    </w:p>
    <w:p w14:paraId="1D3943A4" w14:textId="77777777" w:rsidR="00D547A3" w:rsidRPr="00C45196" w:rsidRDefault="00D547A3" w:rsidP="00D547A3">
      <w:pPr>
        <w:pStyle w:val="A"/>
      </w:pPr>
      <w:r w:rsidRPr="00C45196">
        <w:t>A.</w:t>
      </w:r>
      <w:r w:rsidRPr="00C45196">
        <w:tab/>
        <w:t xml:space="preserve">The department issues the following quarantine because the state entomologist has determined that the disease, </w:t>
      </w:r>
      <w:r>
        <w:t>l</w:t>
      </w:r>
      <w:r w:rsidRPr="00C45196">
        <w:t xml:space="preserve">ethal </w:t>
      </w:r>
      <w:r>
        <w:t>b</w:t>
      </w:r>
      <w:r w:rsidRPr="00C45196">
        <w:t xml:space="preserve">ronzing, </w:t>
      </w:r>
      <w:r w:rsidRPr="00C45196">
        <w:rPr>
          <w:i/>
          <w:iCs/>
        </w:rPr>
        <w:t>Candidatus phytoplasma palmae</w:t>
      </w:r>
      <w:r w:rsidRPr="00C45196">
        <w:t>, has been found in this state and may be prevented, controlled, or eradicated by quarantine.</w:t>
      </w:r>
    </w:p>
    <w:p w14:paraId="38E49A02" w14:textId="77777777" w:rsidR="00D547A3" w:rsidRPr="00C45196" w:rsidRDefault="00D547A3" w:rsidP="00D547A3">
      <w:pPr>
        <w:pStyle w:val="A"/>
      </w:pPr>
      <w:r w:rsidRPr="00C45196">
        <w:t>B.</w:t>
      </w:r>
      <w:r w:rsidRPr="00C45196">
        <w:tab/>
        <w:t>Quarantine areas in this state include:</w:t>
      </w:r>
    </w:p>
    <w:p w14:paraId="34F517BE" w14:textId="77777777" w:rsidR="00D547A3" w:rsidRPr="00C45196" w:rsidRDefault="00D547A3" w:rsidP="00D547A3">
      <w:pPr>
        <w:pStyle w:val="1"/>
      </w:pPr>
      <w:r w:rsidRPr="00C45196">
        <w:t>1.</w:t>
      </w:r>
      <w:r w:rsidRPr="00C45196">
        <w:tab/>
        <w:t>the entire parishes of East Baton Rouge, Iberia, Jefferson, Orleans and West Baton Rouge.</w:t>
      </w:r>
    </w:p>
    <w:p w14:paraId="399CA5C5" w14:textId="77777777" w:rsidR="00D547A3" w:rsidRPr="00C45196" w:rsidRDefault="00D547A3" w:rsidP="00D547A3">
      <w:pPr>
        <w:pStyle w:val="1"/>
      </w:pPr>
      <w:r w:rsidRPr="00C45196">
        <w:t>2.</w:t>
      </w:r>
      <w:r w:rsidRPr="00C45196">
        <w:tab/>
        <w:t xml:space="preserve">A declaration of quarantine for </w:t>
      </w:r>
      <w:r>
        <w:t>l</w:t>
      </w:r>
      <w:r w:rsidRPr="00C45196">
        <w:t xml:space="preserve">ethal </w:t>
      </w:r>
      <w:r>
        <w:t>b</w:t>
      </w:r>
      <w:r w:rsidRPr="00C45196">
        <w:t xml:space="preserve">ronzing covering any other specific parishes or areas of Louisiana shall be published in the official journal of the state and in the </w:t>
      </w:r>
      <w:r w:rsidRPr="00C45196">
        <w:rPr>
          <w:i/>
        </w:rPr>
        <w:t>Louisiana Register</w:t>
      </w:r>
      <w:r w:rsidRPr="00C45196">
        <w:t>.</w:t>
      </w:r>
    </w:p>
    <w:p w14:paraId="499056ED" w14:textId="77777777" w:rsidR="00D547A3" w:rsidRPr="00C45196" w:rsidRDefault="00D547A3" w:rsidP="00D547A3">
      <w:pPr>
        <w:pStyle w:val="A"/>
      </w:pPr>
      <w:r w:rsidRPr="00C45196">
        <w:t>C.</w:t>
      </w:r>
      <w:r w:rsidRPr="00C45196">
        <w:tab/>
        <w:t xml:space="preserve">No regulated articles as defined in this Section shall be moved out of any area of this state that is listed in this Section as a quarantined area for </w:t>
      </w:r>
      <w:r>
        <w:t>l</w:t>
      </w:r>
      <w:r w:rsidRPr="00C45196">
        <w:t xml:space="preserve">ethal </w:t>
      </w:r>
      <w:r>
        <w:t>b</w:t>
      </w:r>
      <w:r w:rsidRPr="00C45196">
        <w:t>ronzing, except as provided in this Section.</w:t>
      </w:r>
    </w:p>
    <w:p w14:paraId="41638C34" w14:textId="77777777" w:rsidR="00D547A3" w:rsidRPr="00C45196" w:rsidRDefault="00D547A3" w:rsidP="00D547A3">
      <w:pPr>
        <w:pStyle w:val="A"/>
      </w:pPr>
      <w:r w:rsidRPr="00C45196">
        <w:t>D.</w:t>
      </w:r>
      <w:r w:rsidRPr="00C45196">
        <w:tab/>
        <w:t xml:space="preserve">The following articles are deemed to be regulated articles of </w:t>
      </w:r>
      <w:r>
        <w:t>l</w:t>
      </w:r>
      <w:r w:rsidRPr="00C45196">
        <w:t xml:space="preserve">ethal </w:t>
      </w:r>
      <w:r>
        <w:t>b</w:t>
      </w:r>
      <w:r w:rsidRPr="00C45196">
        <w:t xml:space="preserve">ronzing for purposes of this Subsection: </w:t>
      </w:r>
    </w:p>
    <w:p w14:paraId="23067305" w14:textId="77777777" w:rsidR="00D547A3" w:rsidRPr="00C45196" w:rsidRDefault="00D547A3" w:rsidP="00D547A3">
      <w:pPr>
        <w:pStyle w:val="1"/>
      </w:pPr>
      <w:r>
        <w:t>1.</w:t>
      </w:r>
      <w:r>
        <w:tab/>
      </w:r>
      <w:r w:rsidRPr="00C45196">
        <w:t xml:space="preserve">the disease, </w:t>
      </w:r>
      <w:r>
        <w:t>lethal b</w:t>
      </w:r>
      <w:r w:rsidRPr="00C45196">
        <w:t xml:space="preserve">ronzing, </w:t>
      </w:r>
      <w:r w:rsidRPr="00C45196">
        <w:rPr>
          <w:i/>
          <w:iCs/>
        </w:rPr>
        <w:t>Candidatus phytoplasma palmae</w:t>
      </w:r>
      <w:r w:rsidRPr="00C45196">
        <w:t>; phytoplasma strain 16SrIV-D;</w:t>
      </w:r>
    </w:p>
    <w:p w14:paraId="49774F46" w14:textId="77777777" w:rsidR="00D547A3" w:rsidRDefault="00D547A3" w:rsidP="00D547A3">
      <w:pPr>
        <w:pStyle w:val="1"/>
      </w:pPr>
      <w:r>
        <w:t>2.</w:t>
      </w:r>
      <w:r>
        <w:tab/>
      </w:r>
      <w:r w:rsidRPr="00C45196">
        <w:t>all plant parts of</w:t>
      </w:r>
      <w:r>
        <w:t>:</w:t>
      </w:r>
    </w:p>
    <w:p w14:paraId="0128FCB6" w14:textId="77777777" w:rsidR="00D547A3" w:rsidRDefault="00D547A3" w:rsidP="00D547A3">
      <w:pPr>
        <w:pStyle w:val="a0"/>
      </w:pPr>
      <w:r>
        <w:t>a.</w:t>
      </w:r>
      <w:r>
        <w:tab/>
      </w:r>
      <w:r w:rsidRPr="00C45196">
        <w:t xml:space="preserve">Canary Island date palm, </w:t>
      </w:r>
      <w:r w:rsidRPr="00C45196">
        <w:rPr>
          <w:i/>
          <w:iCs/>
        </w:rPr>
        <w:t>P</w:t>
      </w:r>
      <w:r w:rsidRPr="00C45196">
        <w:rPr>
          <w:i/>
        </w:rPr>
        <w:t>hoenix</w:t>
      </w:r>
      <w:r w:rsidRPr="00C45196">
        <w:t xml:space="preserve"> c</w:t>
      </w:r>
      <w:r>
        <w:rPr>
          <w:i/>
          <w:iCs/>
        </w:rPr>
        <w:t>anar</w:t>
      </w:r>
      <w:r w:rsidRPr="00C45196">
        <w:rPr>
          <w:i/>
          <w:iCs/>
        </w:rPr>
        <w:t>iensis</w:t>
      </w:r>
      <w:r w:rsidRPr="00C45196">
        <w:t xml:space="preserve">; </w:t>
      </w:r>
    </w:p>
    <w:p w14:paraId="1C738226" w14:textId="77777777" w:rsidR="00D547A3" w:rsidRDefault="00D547A3" w:rsidP="00D547A3">
      <w:pPr>
        <w:pStyle w:val="a0"/>
        <w:rPr>
          <w:i/>
          <w:iCs/>
        </w:rPr>
      </w:pPr>
      <w:r>
        <w:t>b.</w:t>
      </w:r>
      <w:r>
        <w:tab/>
        <w:t>e</w:t>
      </w:r>
      <w:r w:rsidRPr="00C45196">
        <w:t xml:space="preserve">dible date palm, </w:t>
      </w:r>
      <w:r w:rsidRPr="00C45196">
        <w:rPr>
          <w:i/>
          <w:iCs/>
        </w:rPr>
        <w:t xml:space="preserve">Phoenix dactylifera; </w:t>
      </w:r>
    </w:p>
    <w:p w14:paraId="1654AFD8" w14:textId="77777777" w:rsidR="00D547A3" w:rsidRDefault="00D547A3" w:rsidP="00D547A3">
      <w:pPr>
        <w:pStyle w:val="a0"/>
      </w:pPr>
      <w:r>
        <w:rPr>
          <w:iCs/>
        </w:rPr>
        <w:t>c.</w:t>
      </w:r>
      <w:r>
        <w:rPr>
          <w:iCs/>
        </w:rPr>
        <w:tab/>
      </w:r>
      <w:r w:rsidRPr="009746CC">
        <w:rPr>
          <w:iCs/>
        </w:rPr>
        <w:t>s</w:t>
      </w:r>
      <w:r w:rsidRPr="00C45196">
        <w:rPr>
          <w:iCs/>
        </w:rPr>
        <w:t>ilver date palm,</w:t>
      </w:r>
      <w:r w:rsidRPr="00C45196">
        <w:rPr>
          <w:i/>
          <w:iCs/>
        </w:rPr>
        <w:t xml:space="preserve"> Phoenix sylvestris; </w:t>
      </w:r>
      <w:r w:rsidRPr="00C45196">
        <w:t xml:space="preserve">Wild date palm, </w:t>
      </w:r>
      <w:r w:rsidRPr="00C45196">
        <w:rPr>
          <w:i/>
          <w:iCs/>
        </w:rPr>
        <w:t>P</w:t>
      </w:r>
      <w:r w:rsidRPr="00C45196">
        <w:rPr>
          <w:i/>
        </w:rPr>
        <w:t>hoenix</w:t>
      </w:r>
      <w:r w:rsidRPr="00C45196">
        <w:t xml:space="preserve"> </w:t>
      </w:r>
      <w:r w:rsidRPr="00C45196">
        <w:rPr>
          <w:i/>
          <w:iCs/>
        </w:rPr>
        <w:t>reclinata;</w:t>
      </w:r>
      <w:r w:rsidRPr="00C45196">
        <w:t xml:space="preserve"> </w:t>
      </w:r>
    </w:p>
    <w:p w14:paraId="49EAADC0" w14:textId="77777777" w:rsidR="00D547A3" w:rsidRDefault="00D547A3" w:rsidP="00D547A3">
      <w:pPr>
        <w:pStyle w:val="a0"/>
      </w:pPr>
      <w:r>
        <w:t>d.</w:t>
      </w:r>
      <w:r>
        <w:tab/>
        <w:t>c</w:t>
      </w:r>
      <w:r w:rsidRPr="00C45196">
        <w:t xml:space="preserve">abbage palm, </w:t>
      </w:r>
      <w:r w:rsidRPr="00C45196">
        <w:rPr>
          <w:i/>
          <w:iCs/>
        </w:rPr>
        <w:t>Sabal palmetto;</w:t>
      </w:r>
      <w:r w:rsidRPr="00C45196">
        <w:t xml:space="preserve"> and </w:t>
      </w:r>
    </w:p>
    <w:p w14:paraId="4B186A64" w14:textId="77777777" w:rsidR="00D547A3" w:rsidRPr="00C45196" w:rsidRDefault="00D547A3" w:rsidP="00D547A3">
      <w:pPr>
        <w:pStyle w:val="a0"/>
      </w:pPr>
      <w:r>
        <w:t>e.</w:t>
      </w:r>
      <w:r>
        <w:tab/>
        <w:t>q</w:t>
      </w:r>
      <w:r w:rsidRPr="00C45196">
        <w:t xml:space="preserve">ueen palm, </w:t>
      </w:r>
      <w:r w:rsidRPr="00A936B2">
        <w:rPr>
          <w:i/>
        </w:rPr>
        <w:t>Syagrus romanzoffiana</w:t>
      </w:r>
      <w:r w:rsidRPr="00C45196">
        <w:t>.</w:t>
      </w:r>
    </w:p>
    <w:p w14:paraId="02B65300" w14:textId="77777777" w:rsidR="00D547A3" w:rsidRPr="00C45196" w:rsidRDefault="00D547A3" w:rsidP="00D547A3">
      <w:pPr>
        <w:pStyle w:val="1"/>
      </w:pPr>
      <w:r>
        <w:t>3.</w:t>
      </w:r>
      <w:r>
        <w:tab/>
      </w:r>
      <w:r w:rsidRPr="00C45196">
        <w:t>Tools used in the pruning and handling of regulated articles.</w:t>
      </w:r>
    </w:p>
    <w:p w14:paraId="279AE438" w14:textId="77777777" w:rsidR="00D547A3" w:rsidRPr="00C45196" w:rsidRDefault="00D547A3" w:rsidP="00D547A3">
      <w:pPr>
        <w:pStyle w:val="A"/>
      </w:pPr>
      <w:r>
        <w:t>E.</w:t>
      </w:r>
      <w:r>
        <w:tab/>
      </w:r>
      <w:r w:rsidRPr="00C45196">
        <w:t>Regulated articles may be moved from quarantined areas to non-quarantined areas within or outside of Louisiana only if moved under the following conditions:</w:t>
      </w:r>
    </w:p>
    <w:p w14:paraId="7C31FB2E" w14:textId="77777777" w:rsidR="00D547A3" w:rsidRPr="00C45196" w:rsidRDefault="00D547A3" w:rsidP="00D547A3">
      <w:pPr>
        <w:pStyle w:val="1"/>
      </w:pPr>
      <w:r>
        <w:t>1.</w:t>
      </w:r>
      <w:r>
        <w:tab/>
      </w:r>
      <w:r w:rsidRPr="00C45196">
        <w:t>palms must be inspected within 48 hours prior to shipment with no symptoms of lethal bronzing apparent;</w:t>
      </w:r>
    </w:p>
    <w:p w14:paraId="247E0574" w14:textId="77777777" w:rsidR="00D547A3" w:rsidRPr="00C45196" w:rsidRDefault="00D547A3" w:rsidP="00D547A3">
      <w:pPr>
        <w:pStyle w:val="1"/>
      </w:pPr>
      <w:r>
        <w:t>2.</w:t>
      </w:r>
      <w:r>
        <w:tab/>
      </w:r>
      <w:r w:rsidRPr="00C45196">
        <w:t>host palms shall be treated with an insecticide labeled for leafhoppers six weeks prior to shipment and also receive a final treatment within 48 hours prior to movement.</w:t>
      </w:r>
    </w:p>
    <w:p w14:paraId="11A402CB" w14:textId="77777777" w:rsidR="00D547A3" w:rsidRPr="00C45196" w:rsidRDefault="00D547A3" w:rsidP="00D547A3">
      <w:pPr>
        <w:pStyle w:val="AuthorityNote"/>
      </w:pPr>
      <w:r w:rsidRPr="00C45196">
        <w:t>AUTHORITY NOTE:</w:t>
      </w:r>
      <w:r w:rsidRPr="00C45196">
        <w:tab/>
        <w:t>Promulgated in accordance with R.S. 3:1652.</w:t>
      </w:r>
    </w:p>
    <w:p w14:paraId="5C0BDC71" w14:textId="77777777" w:rsidR="00D547A3" w:rsidRDefault="00D547A3" w:rsidP="00D547A3">
      <w:pPr>
        <w:pStyle w:val="HistoricalNote"/>
      </w:pPr>
      <w:r w:rsidRPr="00C45196">
        <w:t>HISTORICAL NOTE:</w:t>
      </w:r>
      <w:r w:rsidRPr="00C45196">
        <w:tab/>
        <w:t>Promulgated by the Department of Agriculture, Office of Agricultural and Environmental Sciences, LR 48:</w:t>
      </w:r>
      <w:r>
        <w:t>2727 (November 2022).</w:t>
      </w:r>
    </w:p>
    <w:p w14:paraId="4E14CBD1" w14:textId="77777777" w:rsidR="00D547A3" w:rsidRPr="00C45196" w:rsidRDefault="00D547A3" w:rsidP="00D547A3">
      <w:pPr>
        <w:pStyle w:val="Section"/>
      </w:pPr>
      <w:bookmarkStart w:id="1441" w:name="_Toc224818943"/>
      <w:r w:rsidRPr="00C45196">
        <w:t>§175.</w:t>
      </w:r>
      <w:r w:rsidRPr="00C45196">
        <w:tab/>
        <w:t>Lethal Yellowing Quarantine</w:t>
      </w:r>
      <w:bookmarkEnd w:id="1441"/>
    </w:p>
    <w:p w14:paraId="0EDBF8EE" w14:textId="77777777" w:rsidR="00D547A3" w:rsidRPr="00C45196" w:rsidRDefault="00D547A3" w:rsidP="00D547A3">
      <w:pPr>
        <w:pStyle w:val="A"/>
      </w:pPr>
      <w:r w:rsidRPr="00C45196">
        <w:t>A.</w:t>
      </w:r>
      <w:r w:rsidRPr="00C45196">
        <w:tab/>
        <w:t xml:space="preserve">The department issues the following quarantine because the state entomologist has determined that the disease, </w:t>
      </w:r>
      <w:r>
        <w:t>l</w:t>
      </w:r>
      <w:r w:rsidRPr="00156529">
        <w:t xml:space="preserve">ethal </w:t>
      </w:r>
      <w:r>
        <w:t>y</w:t>
      </w:r>
      <w:r w:rsidRPr="00156529">
        <w:t>ellowing</w:t>
      </w:r>
      <w:r w:rsidRPr="00C45196">
        <w:t xml:space="preserve">, </w:t>
      </w:r>
      <w:r w:rsidRPr="00C45196">
        <w:rPr>
          <w:i/>
          <w:iCs/>
        </w:rPr>
        <w:t>Candidatus phytoplasma palmae</w:t>
      </w:r>
      <w:r w:rsidRPr="00C45196">
        <w:t>, has been found in this state and may be prevented, controlled, or eradicated by quarantine.</w:t>
      </w:r>
    </w:p>
    <w:p w14:paraId="27E97A6F" w14:textId="77777777" w:rsidR="00D547A3" w:rsidRPr="00C45196" w:rsidRDefault="00D547A3" w:rsidP="00D547A3">
      <w:pPr>
        <w:pStyle w:val="A"/>
        <w:tabs>
          <w:tab w:val="clear" w:pos="540"/>
          <w:tab w:val="left" w:pos="720"/>
        </w:tabs>
      </w:pPr>
      <w:r w:rsidRPr="00C45196">
        <w:t>B.</w:t>
      </w:r>
      <w:r>
        <w:t>1.</w:t>
      </w:r>
      <w:r w:rsidRPr="00C45196">
        <w:tab/>
        <w:t>Quarantine areas in this state include</w:t>
      </w:r>
      <w:r>
        <w:t xml:space="preserve"> </w:t>
      </w:r>
      <w:r w:rsidRPr="00C45196">
        <w:t>the entire parishes of</w:t>
      </w:r>
      <w:r>
        <w:t xml:space="preserve"> East Baton Rouge and Jefferson;</w:t>
      </w:r>
    </w:p>
    <w:p w14:paraId="430AC21A" w14:textId="77777777" w:rsidR="00D547A3" w:rsidRPr="00C45196" w:rsidRDefault="00D547A3" w:rsidP="00D547A3">
      <w:pPr>
        <w:pStyle w:val="1"/>
      </w:pPr>
      <w:r>
        <w:t>2.</w:t>
      </w:r>
      <w:r>
        <w:tab/>
        <w:t>A</w:t>
      </w:r>
      <w:r w:rsidRPr="00C45196">
        <w:t xml:space="preserve"> declaration of quarantine for </w:t>
      </w:r>
      <w:r>
        <w:t>l</w:t>
      </w:r>
      <w:r w:rsidRPr="00156529">
        <w:t xml:space="preserve">ethal </w:t>
      </w:r>
      <w:r>
        <w:t>y</w:t>
      </w:r>
      <w:r w:rsidRPr="00156529">
        <w:t xml:space="preserve">ellowing </w:t>
      </w:r>
      <w:r w:rsidRPr="00C45196">
        <w:t xml:space="preserve">covering any other specific parishes or areas of Louisiana shall be published in the official journal of the state and in the </w:t>
      </w:r>
      <w:r w:rsidRPr="00C45196">
        <w:rPr>
          <w:i/>
        </w:rPr>
        <w:t>Louisiana Register</w:t>
      </w:r>
      <w:r w:rsidRPr="00C45196">
        <w:t>.</w:t>
      </w:r>
    </w:p>
    <w:p w14:paraId="0EC527C1" w14:textId="77777777" w:rsidR="00D547A3" w:rsidRPr="00C45196" w:rsidRDefault="00D547A3" w:rsidP="00D547A3">
      <w:pPr>
        <w:pStyle w:val="A"/>
      </w:pPr>
      <w:r w:rsidRPr="00C45196">
        <w:t>C.</w:t>
      </w:r>
      <w:r w:rsidRPr="00C45196">
        <w:tab/>
        <w:t xml:space="preserve">No regulated articles as defined in this Section shall be moved out of any area of this state that is listed in this Section as a quarantined area for </w:t>
      </w:r>
      <w:r>
        <w:t>l</w:t>
      </w:r>
      <w:r w:rsidRPr="00C45196">
        <w:t xml:space="preserve">ethal </w:t>
      </w:r>
      <w:r>
        <w:t>y</w:t>
      </w:r>
      <w:r w:rsidRPr="00C45196">
        <w:t>ellowing, except as provided in this Section.</w:t>
      </w:r>
    </w:p>
    <w:p w14:paraId="3C92D574" w14:textId="77777777" w:rsidR="00D547A3" w:rsidRPr="00C45196" w:rsidRDefault="00D547A3" w:rsidP="00D547A3">
      <w:pPr>
        <w:pStyle w:val="A"/>
      </w:pPr>
      <w:r w:rsidRPr="00C45196">
        <w:t>D.</w:t>
      </w:r>
      <w:r w:rsidRPr="00C45196">
        <w:tab/>
        <w:t xml:space="preserve">The following articles are deemed to be regulated articles of </w:t>
      </w:r>
      <w:r>
        <w:t>l</w:t>
      </w:r>
      <w:r w:rsidRPr="00C45196">
        <w:t xml:space="preserve">ethal </w:t>
      </w:r>
      <w:r>
        <w:t>y</w:t>
      </w:r>
      <w:r w:rsidRPr="00C45196">
        <w:t xml:space="preserve">ellowing for purposes of this Subsection: </w:t>
      </w:r>
    </w:p>
    <w:p w14:paraId="6813A1C6" w14:textId="77777777" w:rsidR="00D547A3" w:rsidRPr="00C45196" w:rsidRDefault="00D547A3" w:rsidP="00D547A3">
      <w:pPr>
        <w:pStyle w:val="1"/>
      </w:pPr>
      <w:r>
        <w:t>1.</w:t>
      </w:r>
      <w:r>
        <w:tab/>
      </w:r>
      <w:r w:rsidRPr="00C45196">
        <w:t xml:space="preserve">the disease, </w:t>
      </w:r>
      <w:r>
        <w:t>l</w:t>
      </w:r>
      <w:r w:rsidRPr="00C45196">
        <w:t xml:space="preserve">ethal </w:t>
      </w:r>
      <w:r>
        <w:t>y</w:t>
      </w:r>
      <w:r w:rsidRPr="00C45196">
        <w:t xml:space="preserve">ellowing, </w:t>
      </w:r>
      <w:r w:rsidRPr="00C45196">
        <w:rPr>
          <w:i/>
          <w:iCs/>
        </w:rPr>
        <w:t>Candidatus phytoplasma palmae</w:t>
      </w:r>
      <w:r w:rsidRPr="00C45196">
        <w:t>; phytoplasma strain 16SrIV-A;</w:t>
      </w:r>
    </w:p>
    <w:p w14:paraId="54321294" w14:textId="77777777" w:rsidR="00D547A3" w:rsidRPr="00C45196" w:rsidRDefault="00D547A3" w:rsidP="00D547A3">
      <w:pPr>
        <w:pStyle w:val="1"/>
      </w:pPr>
      <w:r>
        <w:t>2.</w:t>
      </w:r>
      <w:r>
        <w:tab/>
      </w:r>
      <w:r w:rsidRPr="00C45196">
        <w:t xml:space="preserve">all plant parts of </w:t>
      </w:r>
      <w:r w:rsidRPr="00C45196">
        <w:rPr>
          <w:i/>
          <w:iCs/>
        </w:rPr>
        <w:t>Cocos nucifera</w:t>
      </w:r>
      <w:r w:rsidRPr="00C45196">
        <w:t xml:space="preserve"> L. (Co</w:t>
      </w:r>
      <w:r>
        <w:t xml:space="preserve">conut palm) all varieties, including </w:t>
      </w:r>
      <w:r w:rsidRPr="00C45196">
        <w:t xml:space="preserve">Malayan </w:t>
      </w:r>
      <w:r>
        <w:t>d</w:t>
      </w:r>
      <w:r w:rsidRPr="00C45196">
        <w:t xml:space="preserve">warf, </w:t>
      </w:r>
      <w:r w:rsidRPr="00C45196">
        <w:rPr>
          <w:i/>
          <w:iCs/>
        </w:rPr>
        <w:t>Veitchia</w:t>
      </w:r>
      <w:r w:rsidRPr="00C45196">
        <w:t xml:space="preserve"> spp., </w:t>
      </w:r>
      <w:r w:rsidRPr="00C45196">
        <w:rPr>
          <w:i/>
          <w:iCs/>
        </w:rPr>
        <w:t>Pritchardia</w:t>
      </w:r>
      <w:r w:rsidRPr="00C45196">
        <w:t xml:space="preserve"> spp., </w:t>
      </w:r>
      <w:r w:rsidRPr="00C45196">
        <w:rPr>
          <w:i/>
          <w:iCs/>
        </w:rPr>
        <w:t>Arikuryroba schizophylla</w:t>
      </w:r>
      <w:r w:rsidRPr="00C45196">
        <w:t xml:space="preserve"> (Mart.) Bailey (Arikury palm), </w:t>
      </w:r>
      <w:r w:rsidRPr="00C45196">
        <w:rPr>
          <w:i/>
          <w:iCs/>
        </w:rPr>
        <w:t>Corypha elata</w:t>
      </w:r>
      <w:r w:rsidRPr="00C45196">
        <w:t xml:space="preserve"> Roxb. (Buri palm, Gebang palm), </w:t>
      </w:r>
      <w:r w:rsidRPr="00C45196">
        <w:rPr>
          <w:i/>
          <w:iCs/>
        </w:rPr>
        <w:t>Phoenix reclinata</w:t>
      </w:r>
      <w:r w:rsidRPr="00C45196">
        <w:t xml:space="preserve"> Jacq. (Senegal date palm), </w:t>
      </w:r>
      <w:r w:rsidRPr="00C45196">
        <w:rPr>
          <w:i/>
          <w:iCs/>
        </w:rPr>
        <w:t>Phoenix canariensis</w:t>
      </w:r>
      <w:r w:rsidRPr="00C45196">
        <w:t xml:space="preserve"> Hort. ex Chab. (Canary Island date palm), </w:t>
      </w:r>
      <w:r w:rsidRPr="00C45196">
        <w:rPr>
          <w:i/>
          <w:iCs/>
        </w:rPr>
        <w:t>Phoenix dactylifera</w:t>
      </w:r>
      <w:r w:rsidRPr="00C45196">
        <w:t xml:space="preserve"> (L.) </w:t>
      </w:r>
      <w:r>
        <w:t>d</w:t>
      </w:r>
      <w:r w:rsidRPr="00C45196">
        <w:t xml:space="preserve">ate palm, </w:t>
      </w:r>
      <w:r w:rsidRPr="00C45196">
        <w:rPr>
          <w:i/>
          <w:iCs/>
        </w:rPr>
        <w:t>Phoenix sylvestris</w:t>
      </w:r>
      <w:r w:rsidRPr="00C45196">
        <w:t xml:space="preserve"> (L.) Roxb. (Sylvester date palm), </w:t>
      </w:r>
      <w:r w:rsidRPr="00C45196">
        <w:rPr>
          <w:i/>
          <w:iCs/>
        </w:rPr>
        <w:t>Chrysalidocarpus cabadae</w:t>
      </w:r>
      <w:r w:rsidRPr="00C45196">
        <w:t xml:space="preserve"> H.E. Moore (Cabada palm), </w:t>
      </w:r>
      <w:r w:rsidRPr="00C45196">
        <w:rPr>
          <w:i/>
          <w:iCs/>
        </w:rPr>
        <w:t>Dictyosperma album</w:t>
      </w:r>
      <w:r>
        <w:t xml:space="preserve"> (Bory) H. Wendl. and</w:t>
      </w:r>
      <w:r w:rsidRPr="00C45196">
        <w:t xml:space="preserve"> Drude (hurricane or princess palm), </w:t>
      </w:r>
      <w:r w:rsidRPr="00C45196">
        <w:rPr>
          <w:i/>
          <w:iCs/>
        </w:rPr>
        <w:t>Aiphanes lindeniana</w:t>
      </w:r>
      <w:r w:rsidRPr="00C45196">
        <w:t xml:space="preserve"> (H. Wendl.), </w:t>
      </w:r>
      <w:r w:rsidRPr="00C45196">
        <w:rPr>
          <w:i/>
          <w:iCs/>
        </w:rPr>
        <w:t>Allagoptera arenaria</w:t>
      </w:r>
      <w:r w:rsidRPr="00C45196">
        <w:t xml:space="preserve"> (Gomes) Kuntze, </w:t>
      </w:r>
      <w:r w:rsidRPr="00C45196">
        <w:rPr>
          <w:i/>
          <w:iCs/>
        </w:rPr>
        <w:t xml:space="preserve">Arenga </w:t>
      </w:r>
      <w:r w:rsidRPr="00C45196">
        <w:rPr>
          <w:i/>
          <w:iCs/>
        </w:rPr>
        <w:lastRenderedPageBreak/>
        <w:t>engleri</w:t>
      </w:r>
      <w:r w:rsidRPr="00C45196">
        <w:t xml:space="preserve"> Becc., </w:t>
      </w:r>
      <w:r w:rsidRPr="00C45196">
        <w:rPr>
          <w:i/>
          <w:iCs/>
        </w:rPr>
        <w:t xml:space="preserve">Ravenea hildebrandti </w:t>
      </w:r>
      <w:r w:rsidRPr="00C45196">
        <w:t>Wendl.</w:t>
      </w:r>
      <w:r>
        <w:t xml:space="preserve"> </w:t>
      </w:r>
      <w:r w:rsidRPr="00C45196">
        <w:t xml:space="preserve">ex Bouche, </w:t>
      </w:r>
      <w:r w:rsidRPr="00C45196">
        <w:rPr>
          <w:i/>
          <w:iCs/>
        </w:rPr>
        <w:t xml:space="preserve">Gaussia attenuata </w:t>
      </w:r>
      <w:r w:rsidRPr="00C45196">
        <w:t xml:space="preserve">(O.F. Cook) Beccari (Puerto Rican Gaussia), </w:t>
      </w:r>
      <w:r w:rsidRPr="00C45196">
        <w:rPr>
          <w:i/>
          <w:iCs/>
        </w:rPr>
        <w:t>Howeia belmoreana</w:t>
      </w:r>
      <w:r>
        <w:t xml:space="preserve"> (C. Moore and</w:t>
      </w:r>
      <w:r w:rsidRPr="00C45196">
        <w:t xml:space="preserve"> F. Muell.) Becc. (</w:t>
      </w:r>
      <w:r>
        <w:t>s</w:t>
      </w:r>
      <w:r w:rsidRPr="00C45196">
        <w:t xml:space="preserve">entry palm), </w:t>
      </w:r>
      <w:r w:rsidRPr="00C45196">
        <w:rPr>
          <w:i/>
          <w:iCs/>
        </w:rPr>
        <w:t>Latania</w:t>
      </w:r>
      <w:r w:rsidRPr="00C45196">
        <w:t xml:space="preserve"> spp. (all species), </w:t>
      </w:r>
      <w:r w:rsidRPr="00C45196">
        <w:rPr>
          <w:i/>
          <w:iCs/>
        </w:rPr>
        <w:t>Livistonia chinensis</w:t>
      </w:r>
      <w:r w:rsidRPr="00C45196">
        <w:t xml:space="preserve"> (N.J. Jacquin) R. Br. ex Mart. (Chinese fan palm), </w:t>
      </w:r>
      <w:r w:rsidRPr="00C45196">
        <w:rPr>
          <w:i/>
          <w:iCs/>
        </w:rPr>
        <w:t>Trachycarpus fortunei</w:t>
      </w:r>
      <w:r w:rsidRPr="00C45196">
        <w:t xml:space="preserve"> (Hook) Wendl. (Chinese </w:t>
      </w:r>
      <w:r>
        <w:t>w</w:t>
      </w:r>
      <w:r w:rsidRPr="00C45196">
        <w:t xml:space="preserve">indmill palm), </w:t>
      </w:r>
      <w:r w:rsidRPr="00C45196">
        <w:rPr>
          <w:i/>
          <w:iCs/>
        </w:rPr>
        <w:t xml:space="preserve">Hyophorbe (Mascarena) verschaffeltii </w:t>
      </w:r>
      <w:r w:rsidRPr="00C45196">
        <w:t xml:space="preserve">H. Wendl. (Spindle palm), </w:t>
      </w:r>
      <w:r w:rsidRPr="00C45196">
        <w:rPr>
          <w:i/>
          <w:iCs/>
        </w:rPr>
        <w:t>Caryota mitis</w:t>
      </w:r>
      <w:r w:rsidRPr="00C45196">
        <w:t xml:space="preserve"> Lour (cluster fishtail palm), </w:t>
      </w:r>
      <w:r w:rsidRPr="00C45196">
        <w:rPr>
          <w:i/>
          <w:iCs/>
        </w:rPr>
        <w:t>Borassus flabellifer</w:t>
      </w:r>
      <w:r w:rsidRPr="00C45196">
        <w:t xml:space="preserve"> L. (Palmyra palm), </w:t>
      </w:r>
      <w:r w:rsidRPr="00C45196">
        <w:rPr>
          <w:i/>
          <w:iCs/>
        </w:rPr>
        <w:t>Nannorrhops ritchiana</w:t>
      </w:r>
      <w:r w:rsidRPr="00C45196">
        <w:t xml:space="preserve"> (W. Griffith) J.E.T. Aitchison (Mazari palm), and </w:t>
      </w:r>
      <w:r w:rsidRPr="00C45196">
        <w:rPr>
          <w:i/>
          <w:iCs/>
        </w:rPr>
        <w:t>Neodypsis decaryi</w:t>
      </w:r>
      <w:r>
        <w:t xml:space="preserve"> Jumelle (t</w:t>
      </w:r>
      <w:r w:rsidRPr="00C45196">
        <w:t>riangle palm).</w:t>
      </w:r>
    </w:p>
    <w:p w14:paraId="1FFF95F4" w14:textId="77777777" w:rsidR="00D547A3" w:rsidRPr="00C45196" w:rsidRDefault="00D547A3" w:rsidP="00D547A3">
      <w:pPr>
        <w:pStyle w:val="1"/>
      </w:pPr>
      <w:r>
        <w:t>3.</w:t>
      </w:r>
      <w:r>
        <w:tab/>
      </w:r>
      <w:r w:rsidRPr="00C45196">
        <w:t>Tools used in the pruning and handling of regulated articles.</w:t>
      </w:r>
    </w:p>
    <w:p w14:paraId="2B28717B" w14:textId="77777777" w:rsidR="00D547A3" w:rsidRPr="00C45196" w:rsidRDefault="00D547A3" w:rsidP="00D547A3">
      <w:pPr>
        <w:pStyle w:val="A"/>
      </w:pPr>
      <w:r>
        <w:t>E.</w:t>
      </w:r>
      <w:r>
        <w:tab/>
      </w:r>
      <w:r w:rsidRPr="00C45196">
        <w:t>Regulated articles may be moved from quarantined areas to non-quarantined areas within or outside of Louisiana only if moved under the following conditions:</w:t>
      </w:r>
    </w:p>
    <w:p w14:paraId="49964C3B" w14:textId="77777777" w:rsidR="00D547A3" w:rsidRPr="00C45196" w:rsidRDefault="00D547A3" w:rsidP="00D547A3">
      <w:pPr>
        <w:pStyle w:val="1"/>
      </w:pPr>
      <w:r>
        <w:t>1.</w:t>
      </w:r>
      <w:r>
        <w:tab/>
      </w:r>
      <w:r w:rsidRPr="00C45196">
        <w:t>palms must be inspected within 48 hours prior to shipment with no symptoms of lethal yellowing apparent;</w:t>
      </w:r>
    </w:p>
    <w:p w14:paraId="25F75764" w14:textId="77777777" w:rsidR="00D547A3" w:rsidRDefault="00D547A3" w:rsidP="00D547A3">
      <w:pPr>
        <w:pStyle w:val="1"/>
      </w:pPr>
      <w:r>
        <w:t>2.</w:t>
      </w:r>
      <w:r>
        <w:tab/>
      </w:r>
      <w:r w:rsidRPr="00C45196">
        <w:t>host palms shall be treated with an insecticide labeled for leafhoppers six weeks prior to shipment and also receive a final treatment within 48 hours prior to movement.</w:t>
      </w:r>
    </w:p>
    <w:p w14:paraId="1CE056A5" w14:textId="77777777" w:rsidR="00D547A3" w:rsidRPr="00C45196" w:rsidRDefault="00D547A3" w:rsidP="00D547A3">
      <w:pPr>
        <w:pStyle w:val="AuthorityNote"/>
      </w:pPr>
      <w:r w:rsidRPr="00C45196">
        <w:t>AUTHORITY NOTE:</w:t>
      </w:r>
      <w:r w:rsidRPr="00C45196">
        <w:tab/>
        <w:t>Promulgated in accordance with R.S. 3:1652.</w:t>
      </w:r>
    </w:p>
    <w:p w14:paraId="6568BE13" w14:textId="77777777" w:rsidR="00D547A3" w:rsidRPr="00293862" w:rsidRDefault="00D547A3" w:rsidP="00D547A3">
      <w:pPr>
        <w:pStyle w:val="HistoricalNote"/>
        <w:rPr>
          <w:szCs w:val="18"/>
        </w:rPr>
      </w:pPr>
      <w:r w:rsidRPr="00C45196">
        <w:t>HISTORICAL NOTE:</w:t>
      </w:r>
      <w:r w:rsidRPr="00C45196">
        <w:tab/>
        <w:t>Promulgated by the Department of Agriculture, Office of Agricultural and Environmental Sciences, LR 48:</w:t>
      </w:r>
      <w:r>
        <w:t>2727 (November 2022).</w:t>
      </w:r>
    </w:p>
    <w:p w14:paraId="7E50B956" w14:textId="77777777" w:rsidR="00CF626A" w:rsidRPr="001531CD" w:rsidRDefault="00CF626A" w:rsidP="00F03863">
      <w:pPr>
        <w:pStyle w:val="Chapter"/>
        <w:outlineLvl w:val="0"/>
      </w:pPr>
      <w:bookmarkStart w:id="1442" w:name="_Toc224818944"/>
      <w:r w:rsidRPr="001531CD">
        <w:t>Chapter 3.</w:t>
      </w:r>
      <w:bookmarkEnd w:id="1431"/>
      <w:r w:rsidR="00167E2E">
        <w:tab/>
      </w:r>
      <w:bookmarkStart w:id="1443" w:name="TOCT_Chap108"/>
      <w:bookmarkStart w:id="1444" w:name="TOCT_Chap110"/>
      <w:bookmarkStart w:id="1445" w:name="TOCT_Chap111"/>
      <w:bookmarkStart w:id="1446" w:name="TOCT_Chap113"/>
      <w:bookmarkStart w:id="1447" w:name="TOCT_Chap117"/>
      <w:bookmarkStart w:id="1448" w:name="TOCT_Chap118"/>
      <w:bookmarkStart w:id="1449" w:name="TOCT_Chap119"/>
      <w:r w:rsidRPr="001531CD">
        <w:t>Boll Weevil</w:t>
      </w:r>
      <w:bookmarkEnd w:id="1432"/>
      <w:bookmarkEnd w:id="1442"/>
      <w:bookmarkEnd w:id="1443"/>
      <w:bookmarkEnd w:id="1444"/>
      <w:bookmarkEnd w:id="1445"/>
      <w:bookmarkEnd w:id="1446"/>
      <w:bookmarkEnd w:id="1447"/>
      <w:bookmarkEnd w:id="1448"/>
      <w:bookmarkEnd w:id="1449"/>
    </w:p>
    <w:p w14:paraId="79E321A8" w14:textId="77777777" w:rsidR="00FA5024" w:rsidRPr="00CF11DB" w:rsidRDefault="00CF626A" w:rsidP="00FA5024">
      <w:pPr>
        <w:pStyle w:val="Section"/>
      </w:pPr>
      <w:bookmarkStart w:id="1450" w:name="_Toc256754623"/>
      <w:bookmarkStart w:id="1451" w:name="_Toc224818945"/>
      <w:r w:rsidRPr="001531CD">
        <w:t>§301.</w:t>
      </w:r>
      <w:r w:rsidRPr="001531CD">
        <w:tab/>
      </w:r>
      <w:bookmarkEnd w:id="1450"/>
      <w:r w:rsidR="00FA5024" w:rsidRPr="00CF11DB">
        <w:t>Maintenance Inspection Fee</w:t>
      </w:r>
      <w:bookmarkEnd w:id="1451"/>
    </w:p>
    <w:p w14:paraId="198F2F55" w14:textId="77777777" w:rsidR="009857B4" w:rsidRPr="00467A5D" w:rsidRDefault="009857B4" w:rsidP="009857B4">
      <w:pPr>
        <w:pStyle w:val="A"/>
      </w:pPr>
      <w:r w:rsidRPr="00467A5D">
        <w:t>A.</w:t>
      </w:r>
      <w:r w:rsidRPr="00467A5D">
        <w:tab/>
      </w:r>
      <w:r w:rsidR="00AB55FA" w:rsidRPr="005B50D9">
        <w:t>In accordance with R.S. 3:1655(D), the state entomologist is authorized to assess fees to defray the costs of inspections or the issuance of certificates or permits for the shipment of agricultural products, commodities, packaging, or equipment. There is hereby established a fee for the inspection and certification of cotton for the presence of the boll weevil to ensure the marketability of cotton in commerce and maintain Louisiana’s boll weevil-free status. The fee shall be $4 per acre for each acre of cotton planted in the state.</w:t>
      </w:r>
    </w:p>
    <w:p w14:paraId="251788C0" w14:textId="77777777" w:rsidR="00FA5024" w:rsidRPr="00CF11DB" w:rsidRDefault="009857B4" w:rsidP="009857B4">
      <w:pPr>
        <w:pStyle w:val="AuthorityNote"/>
      </w:pPr>
      <w:r w:rsidRPr="00CF11DB">
        <w:t>AUTHORITY NOTE:</w:t>
      </w:r>
      <w:r w:rsidRPr="00CF11DB">
        <w:tab/>
        <w:t>Promulgated in accordance with R.S. 3:1604.1, 1652, and 1655.</w:t>
      </w:r>
    </w:p>
    <w:p w14:paraId="12E6026C" w14:textId="77777777" w:rsidR="00CF626A" w:rsidRPr="001531CD" w:rsidRDefault="00FA5024" w:rsidP="00FA5024">
      <w:pPr>
        <w:pStyle w:val="HistoricalNote"/>
      </w:pPr>
      <w:r w:rsidRPr="00CF11DB">
        <w:t>HISTORICAL NOTE:</w:t>
      </w:r>
      <w:r w:rsidRPr="00CF11DB">
        <w:tab/>
        <w:t>Promulgated by the Department of Agriculture and Forestry, Office of Agricultural and Environmental Sciences, Boll Weevil Eradication Commission, amended LR 40:</w:t>
      </w:r>
      <w:r w:rsidR="009857B4">
        <w:t>1517 (August 2014), LR 42:1644 (October 2016)</w:t>
      </w:r>
      <w:r w:rsidR="00AB55FA" w:rsidRPr="005B50D9">
        <w:t>, LR 45:</w:t>
      </w:r>
      <w:r w:rsidR="00AB55FA">
        <w:t>1167 (September 2019)</w:t>
      </w:r>
      <w:r w:rsidR="009857B4">
        <w:t>.</w:t>
      </w:r>
    </w:p>
    <w:p w14:paraId="1CF7A674" w14:textId="77777777" w:rsidR="00354076" w:rsidRPr="001531CD" w:rsidRDefault="00CF626A" w:rsidP="00354076">
      <w:pPr>
        <w:pStyle w:val="Section"/>
      </w:pPr>
      <w:bookmarkStart w:id="1452" w:name="_Toc256754624"/>
      <w:bookmarkStart w:id="1453" w:name="_Toc224818946"/>
      <w:r w:rsidRPr="001531CD">
        <w:t>§303.</w:t>
      </w:r>
      <w:r w:rsidRPr="001531CD">
        <w:tab/>
      </w:r>
      <w:bookmarkEnd w:id="1452"/>
      <w:r w:rsidR="00354076" w:rsidRPr="001531CD">
        <w:t>Definitions Applicable to Boll Weevil</w:t>
      </w:r>
      <w:bookmarkEnd w:id="1453"/>
    </w:p>
    <w:p w14:paraId="63B972FA" w14:textId="77777777" w:rsidR="009857B4" w:rsidRPr="00467A5D" w:rsidRDefault="009857B4" w:rsidP="009857B4">
      <w:pPr>
        <w:pStyle w:val="A"/>
      </w:pPr>
      <w:r w:rsidRPr="00467A5D">
        <w:t>A.</w:t>
      </w:r>
      <w:r w:rsidRPr="00467A5D">
        <w:tab/>
        <w:t>The words and terms defined in R.S. 3:1603 are applicable to this Chapter.</w:t>
      </w:r>
    </w:p>
    <w:p w14:paraId="5C7CBB8F" w14:textId="77777777" w:rsidR="00354076" w:rsidRPr="001531CD" w:rsidRDefault="009857B4" w:rsidP="009857B4">
      <w:pPr>
        <w:pStyle w:val="A"/>
      </w:pPr>
      <w:r w:rsidRPr="00467A5D">
        <w:t>B.</w:t>
      </w:r>
      <w:r w:rsidRPr="00467A5D">
        <w:tab/>
        <w:t>The following words and terms are defined for the purposes of this Chapter.</w:t>
      </w:r>
    </w:p>
    <w:p w14:paraId="38343584" w14:textId="77777777" w:rsidR="00354076" w:rsidRPr="001531CD" w:rsidRDefault="00354076" w:rsidP="00354076">
      <w:pPr>
        <w:pStyle w:val="1"/>
      </w:pPr>
      <w:r w:rsidRPr="001531CD">
        <w:rPr>
          <w:i/>
          <w:iCs/>
        </w:rPr>
        <w:t>APHIS</w:t>
      </w:r>
      <w:r w:rsidRPr="001531CD">
        <w:t>―the Animal and Plant Health Inspection Service of the United States Department of Agriculture.</w:t>
      </w:r>
    </w:p>
    <w:p w14:paraId="45F5D741" w14:textId="77777777" w:rsidR="00354076" w:rsidRDefault="00354076" w:rsidP="00354076">
      <w:pPr>
        <w:pStyle w:val="1"/>
      </w:pPr>
      <w:r w:rsidRPr="001531CD">
        <w:rPr>
          <w:i/>
          <w:iCs/>
        </w:rPr>
        <w:t>ASCS</w:t>
      </w:r>
      <w:r w:rsidRPr="001531CD">
        <w:t>―the Agricultural Stabilization and Conservation Service of the United States Department of Agriculture, now known as FSA (Farm Service Agency).</w:t>
      </w:r>
    </w:p>
    <w:p w14:paraId="034FAB57" w14:textId="77777777" w:rsidR="00FA5024" w:rsidRPr="001531CD" w:rsidRDefault="00FA5024" w:rsidP="00354076">
      <w:pPr>
        <w:pStyle w:val="1"/>
      </w:pPr>
      <w:r w:rsidRPr="00CF11DB">
        <w:rPr>
          <w:i/>
        </w:rPr>
        <w:t>Boll Weevil Eradication Program</w:t>
      </w:r>
      <w:r w:rsidRPr="00CF11DB">
        <w:t>―a program which includes the survey, inspection, and monitoring of all regulated articles for the presence of boll weevil, and the subsequent activities, which include but are not limited to the issuance of certificates or permits, required to maintain Louisiana’s boll weevil-free status and eradicate the boll weevil should one or more be detected.</w:t>
      </w:r>
    </w:p>
    <w:p w14:paraId="226CCA1A" w14:textId="77777777" w:rsidR="00354076" w:rsidRPr="001531CD" w:rsidRDefault="00354076" w:rsidP="00354076">
      <w:pPr>
        <w:pStyle w:val="1"/>
      </w:pPr>
      <w:r w:rsidRPr="001531CD">
        <w:rPr>
          <w:i/>
          <w:iCs/>
        </w:rPr>
        <w:t>Compliance Agreement</w:t>
      </w:r>
      <w:r w:rsidRPr="001531CD">
        <w:t>―a written agreement between the department and any person engaged in growing, dealing in or moving regulated articles wherein the latter agrees to comply with specified provisions to prevent dissemination of the boll weevil.</w:t>
      </w:r>
    </w:p>
    <w:p w14:paraId="42920257" w14:textId="77777777" w:rsidR="00354076" w:rsidRPr="001531CD" w:rsidRDefault="00354076" w:rsidP="00354076">
      <w:pPr>
        <w:pStyle w:val="1"/>
      </w:pPr>
      <w:r w:rsidRPr="001531CD">
        <w:rPr>
          <w:i/>
          <w:iCs/>
        </w:rPr>
        <w:t>Cotton Acre</w:t>
      </w:r>
      <w:r w:rsidRPr="001531CD">
        <w:t>―any acre of land devoted to the growing of cotton, regardless of row width or planting pattern.</w:t>
      </w:r>
    </w:p>
    <w:p w14:paraId="7670AB9A" w14:textId="77777777" w:rsidR="00354076" w:rsidRPr="001531CD" w:rsidRDefault="00354076" w:rsidP="00354076">
      <w:pPr>
        <w:pStyle w:val="1"/>
        <w:rPr>
          <w:i/>
        </w:rPr>
      </w:pPr>
      <w:r w:rsidRPr="001531CD">
        <w:rPr>
          <w:i/>
        </w:rPr>
        <w:t>FSA</w:t>
      </w:r>
      <w:r w:rsidRPr="001531CD">
        <w:t>―the Farm Service Agency of the United States Department of Agriculture (formerly ASCS).</w:t>
      </w:r>
    </w:p>
    <w:p w14:paraId="5B7437A4" w14:textId="77777777" w:rsidR="00354076" w:rsidRDefault="00354076" w:rsidP="00354076">
      <w:pPr>
        <w:pStyle w:val="1"/>
      </w:pPr>
      <w:r w:rsidRPr="001531CD">
        <w:rPr>
          <w:i/>
          <w:iCs/>
        </w:rPr>
        <w:t>Gin Trash—</w:t>
      </w:r>
      <w:r w:rsidRPr="001531CD">
        <w:rPr>
          <w:iCs/>
        </w:rPr>
        <w:t>all material produced during the cleaning and</w:t>
      </w:r>
      <w:r w:rsidRPr="001531CD">
        <w:t xml:space="preserve"> ginning of seed cotton, bollies or snapped cotton, except lint, cottonseed or gin waste.</w:t>
      </w:r>
    </w:p>
    <w:p w14:paraId="148782CB" w14:textId="77777777" w:rsidR="0052509B" w:rsidRPr="001531CD" w:rsidRDefault="009857B4" w:rsidP="00354076">
      <w:pPr>
        <w:pStyle w:val="1"/>
      </w:pPr>
      <w:r w:rsidRPr="00467A5D">
        <w:rPr>
          <w:i/>
        </w:rPr>
        <w:t>Maintenance Inspection Fee</w:t>
      </w:r>
      <w:r>
        <w:sym w:font="Symbol" w:char="F0BE"/>
      </w:r>
      <w:r w:rsidR="00AB55FA" w:rsidRPr="005B50D9">
        <w:t>the fee paid by cotton producers to finance, in whole or in part, a program to inspect cotton for the presence of the boll weevil in the state and to issue certificates or permits in accordance with R.S. 3:1655(D). The charge to the producer is calculated at the rate of $4 per acre for each acre of cotton planted in the state.</w:t>
      </w:r>
    </w:p>
    <w:p w14:paraId="2DB17506" w14:textId="77777777" w:rsidR="00354076" w:rsidRPr="001531CD" w:rsidRDefault="0052509B" w:rsidP="00354076">
      <w:pPr>
        <w:pStyle w:val="1"/>
      </w:pPr>
      <w:r w:rsidRPr="00CF11DB">
        <w:rPr>
          <w:i/>
          <w:iCs/>
        </w:rPr>
        <w:t>Penalty Fee</w:t>
      </w:r>
      <w:r w:rsidRPr="00CF11DB">
        <w:t>―the fee assessed against a cotton producer for late reporting of acreage, underreporting of acreage, or late payment of maintenance inspection fees. It does not refer to penalty or fine assessed for any violation of the regulations.</w:t>
      </w:r>
    </w:p>
    <w:p w14:paraId="0BE32167" w14:textId="77777777" w:rsidR="00354076" w:rsidRPr="001531CD" w:rsidRDefault="00354076" w:rsidP="00354076">
      <w:pPr>
        <w:pStyle w:val="1"/>
      </w:pPr>
      <w:r w:rsidRPr="001531CD">
        <w:rPr>
          <w:i/>
          <w:iCs/>
        </w:rPr>
        <w:t>Premises</w:t>
      </w:r>
      <w:r w:rsidRPr="001531CD">
        <w:t>―any parcel of land, including any buildings located thereon, irrigation systems and any other similar locations where the boll weevil is, may be, or where conditions are conducive to supporting the boll weevil.</w:t>
      </w:r>
    </w:p>
    <w:p w14:paraId="23852511" w14:textId="77777777" w:rsidR="00354076" w:rsidRPr="001531CD" w:rsidRDefault="00354076" w:rsidP="00354076">
      <w:pPr>
        <w:pStyle w:val="1"/>
      </w:pPr>
      <w:r w:rsidRPr="001531CD">
        <w:rPr>
          <w:i/>
          <w:iCs/>
        </w:rPr>
        <w:t>Seed Cotton</w:t>
      </w:r>
      <w:r w:rsidRPr="001531CD">
        <w:t>―cotton as it comes from the field prior to ginning.</w:t>
      </w:r>
    </w:p>
    <w:p w14:paraId="45EBBCF1" w14:textId="77777777" w:rsidR="00354076" w:rsidRPr="001531CD" w:rsidRDefault="00354076" w:rsidP="00354076">
      <w:pPr>
        <w:pStyle w:val="1"/>
      </w:pPr>
      <w:r w:rsidRPr="001531CD">
        <w:rPr>
          <w:i/>
          <w:iCs/>
        </w:rPr>
        <w:t>Used Cotton Equipment</w:t>
      </w:r>
      <w:r w:rsidRPr="001531CD">
        <w:t>―any equipment used previously to harvest, strip, transport or process cotton.</w:t>
      </w:r>
    </w:p>
    <w:p w14:paraId="7FBC3320" w14:textId="77777777" w:rsidR="00354076" w:rsidRPr="001531CD" w:rsidRDefault="00354076" w:rsidP="00354076">
      <w:pPr>
        <w:pStyle w:val="1"/>
      </w:pPr>
      <w:r w:rsidRPr="001531CD">
        <w:rPr>
          <w:i/>
          <w:iCs/>
        </w:rPr>
        <w:t>Waiver</w:t>
      </w:r>
      <w:r w:rsidRPr="001531CD">
        <w:t>―a written authorization which exempts a person from compliance with one or more requirements of these regulations and the Boll Weevil Eradication Law.</w:t>
      </w:r>
    </w:p>
    <w:p w14:paraId="72026110" w14:textId="77777777" w:rsidR="00CF626A" w:rsidRPr="001531CD" w:rsidRDefault="0052509B" w:rsidP="00354076">
      <w:pPr>
        <w:pStyle w:val="AuthorityNote"/>
      </w:pPr>
      <w:r w:rsidRPr="00CF11DB">
        <w:t>AUTHORITY NOTE:</w:t>
      </w:r>
      <w:r w:rsidRPr="00CF11DB">
        <w:tab/>
        <w:t>Promulgated in accordance with R.S. 3:1604.1, 1652, and 1655.</w:t>
      </w:r>
    </w:p>
    <w:p w14:paraId="60528830"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21:17 (January 1995), am</w:t>
      </w:r>
      <w:r w:rsidR="00354076" w:rsidRPr="001531CD">
        <w:t>ended LR 23:195 (February 1997), L</w:t>
      </w:r>
      <w:r w:rsidR="0052509B">
        <w:t xml:space="preserve">R 37:2583 (September 2011), </w:t>
      </w:r>
      <w:r w:rsidR="0052509B" w:rsidRPr="00CF11DB">
        <w:t>LR 40:</w:t>
      </w:r>
      <w:r w:rsidR="009857B4">
        <w:t>1517 (August 2014), LR 42:1644 (October 2016)</w:t>
      </w:r>
      <w:r w:rsidR="00AB55FA" w:rsidRPr="005B50D9">
        <w:t>, LR 45:</w:t>
      </w:r>
      <w:r w:rsidR="00AB55FA">
        <w:t>1167 (September 2019).</w:t>
      </w:r>
    </w:p>
    <w:p w14:paraId="593F907F" w14:textId="77777777" w:rsidR="00CF626A" w:rsidRPr="001531CD" w:rsidRDefault="00CF626A">
      <w:pPr>
        <w:pStyle w:val="Section"/>
      </w:pPr>
      <w:bookmarkStart w:id="1454" w:name="_Toc256754625"/>
      <w:bookmarkStart w:id="1455" w:name="_Toc224818947"/>
      <w:r w:rsidRPr="001531CD">
        <w:t>§305.</w:t>
      </w:r>
      <w:r w:rsidRPr="001531CD">
        <w:tab/>
        <w:t>Regulated Articles</w:t>
      </w:r>
      <w:bookmarkEnd w:id="1454"/>
      <w:bookmarkEnd w:id="1455"/>
    </w:p>
    <w:p w14:paraId="76974A06" w14:textId="77777777" w:rsidR="00CF626A" w:rsidRPr="001531CD" w:rsidRDefault="00CF626A">
      <w:pPr>
        <w:pStyle w:val="A"/>
      </w:pPr>
      <w:r w:rsidRPr="001531CD">
        <w:t>A.</w:t>
      </w:r>
      <w:r w:rsidRPr="001531CD">
        <w:tab/>
        <w:t>The following articles shall be regulated:</w:t>
      </w:r>
    </w:p>
    <w:p w14:paraId="24FFCBFB" w14:textId="77777777" w:rsidR="00CF626A" w:rsidRPr="001531CD" w:rsidRDefault="00CF626A">
      <w:pPr>
        <w:pStyle w:val="1"/>
      </w:pPr>
      <w:r w:rsidRPr="001531CD">
        <w:t>1.</w:t>
      </w:r>
      <w:r w:rsidRPr="001531CD">
        <w:tab/>
        <w:t>the boll weevil;</w:t>
      </w:r>
    </w:p>
    <w:p w14:paraId="04412325" w14:textId="77777777" w:rsidR="00CF626A" w:rsidRPr="001531CD" w:rsidRDefault="00CF626A">
      <w:pPr>
        <w:pStyle w:val="1"/>
      </w:pPr>
      <w:r w:rsidRPr="001531CD">
        <w:t>2.</w:t>
      </w:r>
      <w:r w:rsidRPr="001531CD">
        <w:tab/>
        <w:t>cotton plants and bolls;</w:t>
      </w:r>
    </w:p>
    <w:p w14:paraId="51EDF671" w14:textId="77777777" w:rsidR="00CF626A" w:rsidRPr="001531CD" w:rsidRDefault="00CF626A">
      <w:pPr>
        <w:pStyle w:val="1"/>
      </w:pPr>
      <w:r w:rsidRPr="001531CD">
        <w:t>3.</w:t>
      </w:r>
      <w:r w:rsidRPr="001531CD">
        <w:tab/>
        <w:t>gin trash;</w:t>
      </w:r>
    </w:p>
    <w:p w14:paraId="31142924" w14:textId="77777777" w:rsidR="00CF626A" w:rsidRPr="001531CD" w:rsidRDefault="00CF626A">
      <w:pPr>
        <w:pStyle w:val="1"/>
      </w:pPr>
      <w:r w:rsidRPr="001531CD">
        <w:lastRenderedPageBreak/>
        <w:t>4.</w:t>
      </w:r>
      <w:r w:rsidRPr="001531CD">
        <w:tab/>
        <w:t>seed cotton;</w:t>
      </w:r>
    </w:p>
    <w:p w14:paraId="6D7B069E" w14:textId="77777777" w:rsidR="00CF626A" w:rsidRPr="001531CD" w:rsidRDefault="00CF626A">
      <w:pPr>
        <w:pStyle w:val="1"/>
      </w:pPr>
      <w:r w:rsidRPr="001531CD">
        <w:t>5.</w:t>
      </w:r>
      <w:r w:rsidRPr="001531CD">
        <w:tab/>
        <w:t>used cotton equipment;</w:t>
      </w:r>
    </w:p>
    <w:p w14:paraId="23B9D29D" w14:textId="77777777" w:rsidR="00CF626A" w:rsidRPr="001531CD" w:rsidRDefault="00CF626A">
      <w:pPr>
        <w:pStyle w:val="1"/>
      </w:pPr>
      <w:r w:rsidRPr="001531CD">
        <w:t>6.</w:t>
      </w:r>
      <w:r w:rsidRPr="001531CD">
        <w:tab/>
        <w:t>any other products, articles, means of conveyance, or any other item or thing whatsoever which presents the possibility of spreading the boll weevil.</w:t>
      </w:r>
    </w:p>
    <w:p w14:paraId="2AD18436" w14:textId="77777777" w:rsidR="00CF626A" w:rsidRPr="001531CD" w:rsidRDefault="00CF626A">
      <w:pPr>
        <w:pStyle w:val="AuthorityNote"/>
      </w:pPr>
      <w:r w:rsidRPr="001531CD">
        <w:t>AUTHORITY NOTE:</w:t>
      </w:r>
      <w:r w:rsidRPr="001531CD">
        <w:tab/>
        <w:t>Promulgated in accordance with R.S. 3:1608.</w:t>
      </w:r>
    </w:p>
    <w:p w14:paraId="42C9E7C7"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21:18 (January 1995).</w:t>
      </w:r>
    </w:p>
    <w:p w14:paraId="56CDA72A" w14:textId="77777777" w:rsidR="00CF626A" w:rsidRPr="001531CD" w:rsidRDefault="00CF626A">
      <w:pPr>
        <w:pStyle w:val="Section"/>
      </w:pPr>
      <w:bookmarkStart w:id="1456" w:name="_Toc256754626"/>
      <w:bookmarkStart w:id="1457" w:name="_Toc224818948"/>
      <w:r w:rsidRPr="001531CD">
        <w:t>§307.</w:t>
      </w:r>
      <w:r w:rsidRPr="001531CD">
        <w:tab/>
        <w:t>Conditions Governing Movement and Handling of Regulated Articles</w:t>
      </w:r>
      <w:bookmarkEnd w:id="1456"/>
      <w:bookmarkEnd w:id="1457"/>
    </w:p>
    <w:p w14:paraId="2A92E959" w14:textId="77777777" w:rsidR="00CF626A" w:rsidRPr="001531CD" w:rsidRDefault="00CF626A">
      <w:pPr>
        <w:pStyle w:val="A"/>
      </w:pPr>
      <w:r w:rsidRPr="001531CD">
        <w:t>A.</w:t>
      </w:r>
      <w:r w:rsidRPr="001531CD">
        <w:tab/>
        <w:t>Certificate, Permit or Written Waiver Required</w:t>
      </w:r>
    </w:p>
    <w:p w14:paraId="610ED52B" w14:textId="77777777" w:rsidR="00CF626A" w:rsidRPr="001531CD" w:rsidRDefault="00CF626A">
      <w:pPr>
        <w:pStyle w:val="1"/>
      </w:pPr>
      <w:r w:rsidRPr="001531CD">
        <w:t>1.</w:t>
      </w:r>
      <w:r w:rsidRPr="001531CD">
        <w:tab/>
        <w:t>Regulated articles moving into, within or from the state of Louisiana shall be accompanied by a certificate or permit issued by an authorized regulatory official in the state where such articles originated, if such state is other than Louisiana, or by the commissioner.</w:t>
      </w:r>
    </w:p>
    <w:p w14:paraId="1114CAA9" w14:textId="77777777" w:rsidR="00CF626A" w:rsidRPr="001531CD" w:rsidRDefault="00CF626A">
      <w:pPr>
        <w:pStyle w:val="1"/>
      </w:pPr>
      <w:r w:rsidRPr="001531CD">
        <w:t>2.</w:t>
      </w:r>
      <w:r w:rsidRPr="001531CD">
        <w:tab/>
        <w:t>Regulated articles may be moved into, within or from the state of Louisiana without a certificate or permit, if accompanied by documentation confirming the point of origin and a written waiver from the commissioner indicating that such movement is consistent with the boll weevil eradication program.</w:t>
      </w:r>
    </w:p>
    <w:p w14:paraId="65AF686B" w14:textId="77777777" w:rsidR="00CF626A" w:rsidRPr="001531CD" w:rsidRDefault="00CF626A">
      <w:pPr>
        <w:pStyle w:val="1"/>
      </w:pPr>
      <w:r w:rsidRPr="001531CD">
        <w:t>3.</w:t>
      </w:r>
      <w:r w:rsidRPr="001531CD">
        <w:tab/>
        <w:t>The certificate, permit or a written waiver shall be attached securely to the outside of the container in which the regulated articles are moved; or the certificate, permit or written waiver shall be attached to the shipping document, provided the document adequately describes the regulated articles being moved. Copies of all certificates, permits or written waivers shall be furnished by the carrier to the consignee at the final destination.</w:t>
      </w:r>
    </w:p>
    <w:p w14:paraId="1545C576" w14:textId="77777777" w:rsidR="00CF626A" w:rsidRPr="001531CD" w:rsidRDefault="00CF626A" w:rsidP="00E01FC7">
      <w:pPr>
        <w:pStyle w:val="A"/>
        <w:keepNext/>
        <w:spacing w:after="80"/>
      </w:pPr>
      <w:r w:rsidRPr="001531CD">
        <w:t>B.</w:t>
      </w:r>
      <w:r w:rsidRPr="001531CD">
        <w:tab/>
        <w:t>Issuance of Certificates and Permits</w:t>
      </w:r>
    </w:p>
    <w:p w14:paraId="30B50B9F" w14:textId="77777777" w:rsidR="00CF626A" w:rsidRPr="001531CD" w:rsidRDefault="0052509B" w:rsidP="00E01FC7">
      <w:pPr>
        <w:pStyle w:val="1"/>
        <w:spacing w:after="80"/>
      </w:pPr>
      <w:r w:rsidRPr="00CF11DB">
        <w:t>1.</w:t>
      </w:r>
      <w:r w:rsidRPr="00CF11DB">
        <w:tab/>
        <w:t>The commissioner may issue certificates for the movement of regulated articles</w:t>
      </w:r>
      <w:r w:rsidRPr="003A67E2">
        <w:t xml:space="preserve"> </w:t>
      </w:r>
      <w:r w:rsidRPr="00CF11DB">
        <w:t>when such articles:</w:t>
      </w:r>
    </w:p>
    <w:p w14:paraId="2C8B9EBE" w14:textId="77777777" w:rsidR="00CF626A" w:rsidRPr="001531CD" w:rsidRDefault="00CF626A" w:rsidP="00E01FC7">
      <w:pPr>
        <w:pStyle w:val="a0"/>
        <w:spacing w:after="80"/>
      </w:pPr>
      <w:r w:rsidRPr="001531CD">
        <w:t>a.</w:t>
      </w:r>
      <w:r w:rsidRPr="001531CD">
        <w:tab/>
        <w:t>originated in noninfested premises in an eradication zone and have not been otherwise exposed to infestation; or</w:t>
      </w:r>
    </w:p>
    <w:p w14:paraId="0355998C" w14:textId="77777777" w:rsidR="00CF626A" w:rsidRPr="001531CD" w:rsidRDefault="00CF626A" w:rsidP="00E01FC7">
      <w:pPr>
        <w:pStyle w:val="a0"/>
        <w:spacing w:after="80"/>
      </w:pPr>
      <w:r w:rsidRPr="001531CD">
        <w:t>b.</w:t>
      </w:r>
      <w:r w:rsidRPr="001531CD">
        <w:tab/>
        <w:t>have been treated to destroy infestation in accordance with procedures approved by the commissioner; or</w:t>
      </w:r>
    </w:p>
    <w:p w14:paraId="05F03E05" w14:textId="77777777" w:rsidR="0052509B" w:rsidRPr="00CF11DB" w:rsidRDefault="0052509B" w:rsidP="0052509B">
      <w:pPr>
        <w:pStyle w:val="a0"/>
      </w:pPr>
      <w:r w:rsidRPr="00CF11DB">
        <w:t>c.</w:t>
      </w:r>
      <w:r w:rsidRPr="00CF11DB">
        <w:tab/>
        <w:t>have been grown, manufactured, stored or handled in such a manner that, in the judgment of the commissioner, no infestation would be transmitted; or</w:t>
      </w:r>
    </w:p>
    <w:p w14:paraId="6C87F518" w14:textId="77777777" w:rsidR="0052509B" w:rsidRPr="00CF11DB" w:rsidRDefault="0052509B" w:rsidP="0052509B">
      <w:pPr>
        <w:pStyle w:val="a0"/>
      </w:pPr>
      <w:r w:rsidRPr="00CF11DB">
        <w:t>d.</w:t>
      </w:r>
      <w:r w:rsidRPr="00CF11DB">
        <w:tab/>
        <w:t>have been examined by the commissioner and found to be free from infestation.</w:t>
      </w:r>
    </w:p>
    <w:p w14:paraId="36D28B29" w14:textId="77777777" w:rsidR="00CF626A" w:rsidRPr="001531CD" w:rsidRDefault="0052509B" w:rsidP="0052509B">
      <w:pPr>
        <w:pStyle w:val="1"/>
      </w:pPr>
      <w:r w:rsidRPr="00CF11DB">
        <w:t>2.</w:t>
      </w:r>
      <w:r w:rsidRPr="00CF11DB">
        <w:tab/>
        <w:t>The commissioner may issue permits for the movement of noncertified regulated articles in order to allow movement of such articles into, within or from the state of Louisiana, in accordance with procedures approved by the commissioner, when the commissioner has determined that movement will not result in the spread of the boll weevil.</w:t>
      </w:r>
    </w:p>
    <w:p w14:paraId="46317E09" w14:textId="77777777" w:rsidR="00CF626A" w:rsidRPr="001531CD" w:rsidRDefault="00CF626A">
      <w:pPr>
        <w:pStyle w:val="A"/>
      </w:pPr>
      <w:r w:rsidRPr="001531CD">
        <w:t>C.</w:t>
      </w:r>
      <w:r w:rsidRPr="001531CD">
        <w:tab/>
        <w:t>Granting, Cancellation and Proof of Certificates, Permits and Written Waivers</w:t>
      </w:r>
    </w:p>
    <w:p w14:paraId="73BCE673" w14:textId="77777777" w:rsidR="0052509B" w:rsidRPr="00CF11DB" w:rsidRDefault="0052509B" w:rsidP="0052509B">
      <w:pPr>
        <w:pStyle w:val="1"/>
      </w:pPr>
      <w:r w:rsidRPr="00CF11DB">
        <w:t>1.</w:t>
      </w:r>
      <w:r w:rsidRPr="00CF11DB">
        <w:tab/>
        <w:t>The commissioner may grant a certificates, permit or written waiver. Any person who claims movement under the terms of a certificate, permit or written waiver shall have the burden of proof as to the issuance of any such certificate, permit or written waiver and any other related matter.</w:t>
      </w:r>
    </w:p>
    <w:p w14:paraId="30E1B90C" w14:textId="77777777" w:rsidR="0052509B" w:rsidRPr="00CF11DB" w:rsidRDefault="0052509B" w:rsidP="0052509B">
      <w:pPr>
        <w:pStyle w:val="1"/>
      </w:pPr>
      <w:r w:rsidRPr="00CF11DB">
        <w:t>2.</w:t>
      </w:r>
      <w:r w:rsidRPr="00CF11DB">
        <w:tab/>
        <w:t>The commissioner may cancel any certificate, permit or written waiver good cause, including but not limited to, a determination that the holder thereof has failed to comply with any condition for the use of such certificate, permit, written waiver or with any terms or conditions of a compliance agreement or has obtained a certificate, permit or written waiver on falsified information.</w:t>
      </w:r>
    </w:p>
    <w:p w14:paraId="5E84D128" w14:textId="77777777" w:rsidR="00CF626A" w:rsidRPr="001531CD" w:rsidRDefault="0052509B" w:rsidP="0052509B">
      <w:pPr>
        <w:pStyle w:val="AuthorityNote"/>
      </w:pPr>
      <w:r w:rsidRPr="00CF11DB">
        <w:t>AUTHORITY NOTE:</w:t>
      </w:r>
      <w:r w:rsidRPr="00CF11DB">
        <w:tab/>
        <w:t>Promulgated in accordance with R.S. 3:1608.</w:t>
      </w:r>
    </w:p>
    <w:p w14:paraId="2858D688"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14:paraId="732AE191" w14:textId="77777777" w:rsidR="00CF626A" w:rsidRPr="001531CD" w:rsidRDefault="00CF626A">
      <w:pPr>
        <w:pStyle w:val="Section"/>
      </w:pPr>
      <w:bookmarkStart w:id="1458" w:name="_Toc256754627"/>
      <w:bookmarkStart w:id="1459" w:name="_Toc224818949"/>
      <w:r w:rsidRPr="001531CD">
        <w:t>§309.</w:t>
      </w:r>
      <w:r w:rsidRPr="001531CD">
        <w:tab/>
        <w:t>Compliance Agreements</w:t>
      </w:r>
      <w:bookmarkEnd w:id="1458"/>
      <w:bookmarkEnd w:id="1459"/>
    </w:p>
    <w:p w14:paraId="4F1C606D" w14:textId="77777777" w:rsidR="00CF626A" w:rsidRPr="001531CD" w:rsidRDefault="0052509B">
      <w:pPr>
        <w:pStyle w:val="A"/>
      </w:pPr>
      <w:r w:rsidRPr="00CF11DB">
        <w:t>A.</w:t>
      </w:r>
      <w:r w:rsidRPr="00CF11DB">
        <w:tab/>
        <w:t>The commissioner may, as a condition of issuance of a certificate, permit or written waiver, require a compliance agreement stipulating one or more expressed conditions of the certificate, permit or written waiver, as required by the commissioner, which may include but are not limited to:</w:t>
      </w:r>
    </w:p>
    <w:p w14:paraId="0EAC0D0B" w14:textId="77777777" w:rsidR="00CF626A" w:rsidRPr="001531CD" w:rsidRDefault="00CF626A">
      <w:pPr>
        <w:pStyle w:val="1"/>
      </w:pPr>
      <w:r w:rsidRPr="001531CD">
        <w:t>1.</w:t>
      </w:r>
      <w:r w:rsidRPr="001531CD">
        <w:tab/>
        <w:t>safeguards against the establishment and spread of the boll weevil;</w:t>
      </w:r>
    </w:p>
    <w:p w14:paraId="797D117F" w14:textId="77777777" w:rsidR="00CF626A" w:rsidRPr="001531CD" w:rsidRDefault="00CF626A">
      <w:pPr>
        <w:pStyle w:val="1"/>
      </w:pPr>
      <w:r w:rsidRPr="001531CD">
        <w:t>2.</w:t>
      </w:r>
      <w:r w:rsidRPr="001531CD">
        <w:tab/>
        <w:t>maintenance of identity, handling and subsequent movement of regulated articles;</w:t>
      </w:r>
    </w:p>
    <w:p w14:paraId="4E151F4F" w14:textId="77777777" w:rsidR="00CF626A" w:rsidRPr="001531CD" w:rsidRDefault="00CF626A">
      <w:pPr>
        <w:pStyle w:val="1"/>
      </w:pPr>
      <w:r w:rsidRPr="001531CD">
        <w:t>3.</w:t>
      </w:r>
      <w:r w:rsidRPr="001531CD">
        <w:tab/>
        <w:t>requirements for cleaning and treating all means of conveyance and all containers used for transporting regulated articles;</w:t>
      </w:r>
    </w:p>
    <w:p w14:paraId="1B5F0260" w14:textId="77777777" w:rsidR="00CF626A" w:rsidRPr="001531CD" w:rsidRDefault="00CF626A" w:rsidP="00E01FC7">
      <w:pPr>
        <w:pStyle w:val="1"/>
        <w:spacing w:after="60"/>
      </w:pPr>
      <w:r w:rsidRPr="001531CD">
        <w:t>4.</w:t>
      </w:r>
      <w:r w:rsidRPr="001531CD">
        <w:tab/>
        <w:t>any other condition deemed consistent with the purposes of the boll weevil eradication program.</w:t>
      </w:r>
    </w:p>
    <w:p w14:paraId="26EAED33" w14:textId="77777777" w:rsidR="0052509B" w:rsidRPr="00CF11DB" w:rsidRDefault="0052509B" w:rsidP="0052509B">
      <w:pPr>
        <w:pStyle w:val="A"/>
      </w:pPr>
      <w:r w:rsidRPr="00CF11DB">
        <w:t>B.</w:t>
      </w:r>
      <w:r w:rsidRPr="00CF11DB">
        <w:tab/>
        <w:t xml:space="preserve">The commissioner may cancel any compliance agreement for good cause, including but not limited to a finding that the holder has failed to comply with any conditions of the agreement, and the commissioner may do so summarily and </w:t>
      </w:r>
      <w:r w:rsidRPr="003A67E2">
        <w:rPr>
          <w:iCs/>
        </w:rPr>
        <w:t>ex</w:t>
      </w:r>
      <w:r w:rsidRPr="003A67E2">
        <w:t xml:space="preserve"> </w:t>
      </w:r>
      <w:r w:rsidRPr="003A67E2">
        <w:rPr>
          <w:iCs/>
        </w:rPr>
        <w:t>parte</w:t>
      </w:r>
      <w:r w:rsidRPr="003A67E2">
        <w:t xml:space="preserve"> if he</w:t>
      </w:r>
      <w:r w:rsidRPr="00CF11DB">
        <w:t xml:space="preserve"> finds that public health, safety or welfare requires emergency action. The commissioner may cancel or void any compliance agreement upon a determination that the compliance agreement is no longer consistent with the purposes of the boll weevil eradication program.</w:t>
      </w:r>
    </w:p>
    <w:p w14:paraId="1D9A8C94" w14:textId="77777777" w:rsidR="00CF626A" w:rsidRPr="001531CD" w:rsidRDefault="0052509B" w:rsidP="0052509B">
      <w:pPr>
        <w:pStyle w:val="AuthorityNote"/>
      </w:pPr>
      <w:r w:rsidRPr="00CF11DB">
        <w:t>AUTHORITY NOTE:</w:t>
      </w:r>
      <w:r w:rsidRPr="00CF11DB">
        <w:tab/>
        <w:t>Promulgated in accordance with R.S. 3:1608.</w:t>
      </w:r>
    </w:p>
    <w:p w14:paraId="4D0FD571"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14:paraId="737C3B6C" w14:textId="77777777" w:rsidR="00CF626A" w:rsidRPr="001531CD" w:rsidRDefault="00CF626A" w:rsidP="00E01FC7">
      <w:pPr>
        <w:pStyle w:val="Section"/>
        <w:spacing w:after="60"/>
      </w:pPr>
      <w:bookmarkStart w:id="1460" w:name="_Toc256754628"/>
      <w:bookmarkStart w:id="1461" w:name="_Toc224818950"/>
      <w:r w:rsidRPr="001531CD">
        <w:t>§311.</w:t>
      </w:r>
      <w:r w:rsidRPr="001531CD">
        <w:tab/>
        <w:t>Inspection, Movement and Enforcement</w:t>
      </w:r>
      <w:bookmarkEnd w:id="1460"/>
      <w:bookmarkEnd w:id="1461"/>
    </w:p>
    <w:p w14:paraId="0000833E" w14:textId="77777777" w:rsidR="0052509B" w:rsidRPr="00CF11DB" w:rsidRDefault="0052509B" w:rsidP="0052509B">
      <w:pPr>
        <w:pStyle w:val="A"/>
      </w:pPr>
      <w:r w:rsidRPr="00CF11DB">
        <w:t>A.</w:t>
      </w:r>
      <w:r w:rsidRPr="00CF11DB">
        <w:tab/>
        <w:t xml:space="preserve">The commissioner is authorized to stop any person and inspect any regulated article or means of conveyance moving into, within or from the state of Louisiana when he has reason </w:t>
      </w:r>
      <w:r w:rsidRPr="00CF11DB">
        <w:lastRenderedPageBreak/>
        <w:t>to believe that such regulated article or means of conveyance is infested with the boll weevil. The commissioner is authorized to issue a stop order on, seize or treat any regulated article found to be infested with the boll weevil moving in violation of the boll weevil eradication law or this Chapter and may destroy or otherwise dispose of any infested cotton where the destruction of the cotton is necessary to effectuate the purposes of the boll weevil eradication program.</w:t>
      </w:r>
    </w:p>
    <w:p w14:paraId="2EB78F4E" w14:textId="77777777" w:rsidR="00CF626A" w:rsidRPr="001531CD" w:rsidRDefault="0052509B" w:rsidP="0052509B">
      <w:pPr>
        <w:pStyle w:val="AuthorityNote"/>
      </w:pPr>
      <w:r w:rsidRPr="00CF11DB">
        <w:t>AUTHORITY NOTE:</w:t>
      </w:r>
      <w:r w:rsidRPr="00CF11DB">
        <w:tab/>
        <w:t>Promulgated in accordance with R.S. 3:1608.</w:t>
      </w:r>
    </w:p>
    <w:p w14:paraId="53017C80"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14:paraId="7B1227F8" w14:textId="77777777" w:rsidR="00CF626A" w:rsidRPr="001531CD" w:rsidRDefault="00CF626A" w:rsidP="00E01FC7">
      <w:pPr>
        <w:pStyle w:val="Section"/>
        <w:spacing w:after="60"/>
      </w:pPr>
      <w:bookmarkStart w:id="1462" w:name="_Toc256754629"/>
      <w:bookmarkStart w:id="1463" w:name="_Toc224818951"/>
      <w:r w:rsidRPr="001531CD">
        <w:t>§313.</w:t>
      </w:r>
      <w:r w:rsidRPr="001531CD">
        <w:tab/>
        <w:t>Purchase and Destruction of Cotton to Effectuate Program Objectives</w:t>
      </w:r>
      <w:bookmarkEnd w:id="1462"/>
      <w:bookmarkEnd w:id="1463"/>
    </w:p>
    <w:p w14:paraId="02943D66" w14:textId="77777777" w:rsidR="0052509B" w:rsidRPr="00CF11DB" w:rsidRDefault="0052509B" w:rsidP="0052509B">
      <w:pPr>
        <w:pStyle w:val="A"/>
      </w:pPr>
      <w:r w:rsidRPr="00CF11DB">
        <w:t>A.</w:t>
      </w:r>
      <w:r w:rsidRPr="00CF11DB">
        <w:tab/>
        <w:t>When the commissioner deems the purchase of cotton necessary to effectuate the purposes of the boll weevil eradication program, he shall make a written determination to purchase.</w:t>
      </w:r>
    </w:p>
    <w:p w14:paraId="0C041F8A" w14:textId="77777777" w:rsidR="0052509B" w:rsidRPr="00CF11DB" w:rsidRDefault="0052509B" w:rsidP="0052509B">
      <w:pPr>
        <w:pStyle w:val="1"/>
      </w:pPr>
      <w:r w:rsidRPr="00CF11DB">
        <w:t>1.</w:t>
      </w:r>
      <w:r w:rsidRPr="00CF11DB">
        <w:tab/>
        <w:t>The written determination to purchase shall contain the reasons for the determination, the purchase price, and shall be mailed to or served upon the cotton producer. The purchase price shall be determined by appraisal, the appraisal shall have been completed within 72 hours of the mailing or issuance for service of the written determination to purchase, and the appraisal shall, to the extent practical, utilize the ASCS farm-established yield for the current year.</w:t>
      </w:r>
    </w:p>
    <w:p w14:paraId="153AAE6E" w14:textId="77777777" w:rsidR="00CF626A" w:rsidRPr="001531CD" w:rsidRDefault="0052509B" w:rsidP="0052509B">
      <w:pPr>
        <w:pStyle w:val="1"/>
      </w:pPr>
      <w:r w:rsidRPr="00CF11DB">
        <w:t>2.</w:t>
      </w:r>
      <w:r w:rsidRPr="00CF11DB">
        <w:tab/>
        <w:t>The cotton producer shall promptly take all steps necessary to convey title to the commissioner. In the event that the cotton producer fails to take all steps necessary to convey title to the commissioner within 10 days of receipt of a written determination to purchase, the commissioner may destroy the cotton, compensating the cotton producer for the purchase price less the loss of the resale price and cost of destruction.</w:t>
      </w:r>
    </w:p>
    <w:p w14:paraId="07426C66" w14:textId="77777777" w:rsidR="00CF626A" w:rsidRPr="001531CD" w:rsidRDefault="00CF626A">
      <w:pPr>
        <w:pStyle w:val="1"/>
      </w:pPr>
      <w:r w:rsidRPr="001531CD">
        <w:t>3.</w:t>
      </w:r>
      <w:r w:rsidRPr="001531CD">
        <w:tab/>
        <w:t>If the cotton producer does not accept the purchase price contained in the written determination to purchase, the purchase shall, nevertheless, be concluded as described herein but the cotton producer shall have the right to an appeal in the form of a hearing on the decision of price before the commission in accordance with the Louisiana Administrative Procedure Act provided the appeal is perfected in writing to the commissioner within 30 days of the receipt by the cotton producer of the written determination to purchase. The appeal shall contain a concise statement of the basis for the appeal, shall have attached a clear and readable copy of the written determination to purchase, and shall be mailed to or served upon the commissioner within the aforesaid prescribed time limit of 30 days.</w:t>
      </w:r>
    </w:p>
    <w:p w14:paraId="1A45435C" w14:textId="77777777" w:rsidR="0052509B" w:rsidRPr="00CF11DB" w:rsidRDefault="0052509B" w:rsidP="0052509B">
      <w:pPr>
        <w:pStyle w:val="A"/>
      </w:pPr>
      <w:r w:rsidRPr="00CF11DB">
        <w:t>B.</w:t>
      </w:r>
      <w:r w:rsidRPr="00CF11DB">
        <w:tab/>
        <w:t>Whenever the commissioner has reason to believe that the destruction of cotton is necessary to effectuate the purposes of the boll weevil eradication program, he shall make a written determination of destruction.</w:t>
      </w:r>
    </w:p>
    <w:p w14:paraId="6E35E863" w14:textId="77777777" w:rsidR="00CF626A" w:rsidRPr="001531CD" w:rsidRDefault="0052509B" w:rsidP="0052509B">
      <w:pPr>
        <w:pStyle w:val="1"/>
      </w:pPr>
      <w:r w:rsidRPr="00CF11DB">
        <w:t>1.</w:t>
      </w:r>
      <w:r w:rsidRPr="00CF11DB">
        <w:tab/>
        <w:t xml:space="preserve">The written determination of destruction shall contain the reason for the destruction, the payment to the cotton producer, if applicable, and shall be mailed to or served </w:t>
      </w:r>
      <w:r w:rsidRPr="00CF11DB">
        <w:t>upon the cotton producer. The cotton producer shall take all steps necessary to cooperate with the commissioner in the destruction of the cotton. In the event that the cotton producer fails to take all steps necessary to cooperate in the destruction of the cotton, the cotton producer shall be in violation of this Chapter.</w:t>
      </w:r>
    </w:p>
    <w:p w14:paraId="25211CDC" w14:textId="77777777" w:rsidR="00CF626A" w:rsidRPr="001531CD" w:rsidRDefault="00CF626A">
      <w:pPr>
        <w:pStyle w:val="1"/>
      </w:pPr>
      <w:r w:rsidRPr="001531CD">
        <w:t>2.</w:t>
      </w:r>
      <w:r w:rsidRPr="001531CD">
        <w:tab/>
        <w:t>In those cases where payment to the cotton producer shall be due by the commissioner, the amount of payment shall be determined by appraisal, the appraisal shall have been completed within 72 hours of the mailing or issuance for service of the written determination of destruction, and the appraisal shall, to the extent practical, utilize the ASCS farm-established yield for the current year. If the cotton producer does not accept the payment contained in the written determination of destruction, the payment shall, nevertheless, be made as stated but the cotton producer shall have the right to an appeal in the form of a hearing on the amount of the payment before the commission in accordance with the Louisiana Administrative Procedure Act provided the appeal is perfected in writing to the commissioner within 30 days of the receipt by the cotton producer of the written determination of destruction. The appeal shall contain a concise statement of the basis for the appeal, shall have attached a clear and readable copy of the written determination of destruction, and shall be mailed to or served upon the commissioner within the aforesaid prescribed time limit of 30 days.</w:t>
      </w:r>
    </w:p>
    <w:p w14:paraId="025CDB99" w14:textId="77777777" w:rsidR="00CF626A" w:rsidRPr="001531CD" w:rsidRDefault="00CF626A">
      <w:pPr>
        <w:pStyle w:val="1"/>
      </w:pPr>
      <w:r w:rsidRPr="001531CD">
        <w:t>3.</w:t>
      </w:r>
      <w:r w:rsidRPr="001531CD">
        <w:tab/>
        <w:t>The notice provisions contained herein are in addition to those notice provisions contained in R.S. 3:1609(E).</w:t>
      </w:r>
    </w:p>
    <w:p w14:paraId="3F612E7C" w14:textId="77777777" w:rsidR="00CF626A" w:rsidRPr="001531CD" w:rsidRDefault="00CF626A">
      <w:pPr>
        <w:pStyle w:val="AuthorityNote"/>
      </w:pPr>
      <w:r w:rsidRPr="001531CD">
        <w:t>AUTHORITY NOTE:</w:t>
      </w:r>
      <w:r w:rsidRPr="001531CD">
        <w:tab/>
        <w:t>Promulgated in accordance with R.S. 3:1610.</w:t>
      </w:r>
    </w:p>
    <w:p w14:paraId="0E4123D8"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21:19 (January 1995), </w:t>
      </w:r>
      <w:r w:rsidR="0052509B" w:rsidRPr="00CF11DB">
        <w:t>amended LR 40:</w:t>
      </w:r>
      <w:r w:rsidR="0052509B">
        <w:t>1518 (August 2014).</w:t>
      </w:r>
    </w:p>
    <w:p w14:paraId="7408C2F3" w14:textId="77777777" w:rsidR="00CF626A" w:rsidRPr="001531CD" w:rsidRDefault="00CF626A" w:rsidP="00E01FC7">
      <w:pPr>
        <w:pStyle w:val="Section"/>
        <w:spacing w:after="80"/>
      </w:pPr>
      <w:bookmarkStart w:id="1464" w:name="_Toc256754630"/>
      <w:bookmarkStart w:id="1465" w:name="_Toc224818952"/>
      <w:r w:rsidRPr="001531CD">
        <w:t>§314.</w:t>
      </w:r>
      <w:r w:rsidRPr="001531CD">
        <w:tab/>
        <w:t>Boll Weevil Eradication Zone: Creation</w:t>
      </w:r>
      <w:bookmarkEnd w:id="1464"/>
      <w:bookmarkEnd w:id="1465"/>
    </w:p>
    <w:p w14:paraId="0F2BC7EF" w14:textId="77777777" w:rsidR="00CF626A" w:rsidRPr="001531CD" w:rsidRDefault="00CF626A" w:rsidP="00E01FC7">
      <w:pPr>
        <w:pStyle w:val="A"/>
        <w:spacing w:after="80"/>
      </w:pPr>
      <w:r w:rsidRPr="001531CD">
        <w:t>A.</w:t>
      </w:r>
      <w:r w:rsidRPr="001531CD">
        <w:tab/>
        <w:t>One boll weevil eradication zone is hereby created within the state of Louisiana consisting of all the territory within the state of Louisiana.</w:t>
      </w:r>
    </w:p>
    <w:p w14:paraId="1DA1E5C8" w14:textId="77777777" w:rsidR="00CF626A" w:rsidRPr="001531CD" w:rsidRDefault="00CF626A" w:rsidP="00E01FC7">
      <w:pPr>
        <w:pStyle w:val="A"/>
        <w:spacing w:after="80"/>
      </w:pPr>
      <w:r w:rsidRPr="001531CD">
        <w:t>B.</w:t>
      </w:r>
      <w:r w:rsidRPr="001531CD">
        <w:tab/>
        <w:t>This boll weevil eradication zone shall be known as the Louisiana Eradication Zone.</w:t>
      </w:r>
    </w:p>
    <w:p w14:paraId="66F8E7D8" w14:textId="77777777" w:rsidR="00CF626A" w:rsidRPr="001531CD" w:rsidRDefault="00CF626A">
      <w:pPr>
        <w:pStyle w:val="AuthorityNote"/>
      </w:pPr>
      <w:r w:rsidRPr="001531CD">
        <w:t>AUTHORITY NOTE:</w:t>
      </w:r>
      <w:r w:rsidRPr="001531CD">
        <w:tab/>
        <w:t>Promulgated in accordance with R.S. 3:1609.</w:t>
      </w:r>
    </w:p>
    <w:p w14:paraId="75E34087"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23:195 (February 1997), amended LR 24:2231 (December 1998), LR 30:2443 (November 2004).</w:t>
      </w:r>
    </w:p>
    <w:p w14:paraId="2A2F6CF0" w14:textId="77777777" w:rsidR="00CF626A" w:rsidRPr="001531CD" w:rsidRDefault="00CF626A" w:rsidP="00E01FC7">
      <w:pPr>
        <w:pStyle w:val="Section"/>
        <w:spacing w:after="80"/>
      </w:pPr>
      <w:bookmarkStart w:id="1466" w:name="_Toc256754631"/>
      <w:bookmarkStart w:id="1467" w:name="_Toc224818953"/>
      <w:r w:rsidRPr="001531CD">
        <w:t>§315.</w:t>
      </w:r>
      <w:r w:rsidRPr="001531CD">
        <w:tab/>
        <w:t>Quarantine: Authority and Procedures</w:t>
      </w:r>
      <w:bookmarkEnd w:id="1466"/>
      <w:bookmarkEnd w:id="1467"/>
    </w:p>
    <w:p w14:paraId="7872EA42" w14:textId="77777777" w:rsidR="00CF626A" w:rsidRPr="001531CD" w:rsidRDefault="00CF626A" w:rsidP="00E01FC7">
      <w:pPr>
        <w:pStyle w:val="A"/>
        <w:spacing w:after="80"/>
      </w:pPr>
      <w:r w:rsidRPr="001531CD">
        <w:t>A.</w:t>
      </w:r>
      <w:r w:rsidRPr="001531CD">
        <w:tab/>
        <w:t>The commissioner is hereby authorized to issue Quarantine Orders to affected parties whenever he determines that a quarantine is necessary to effectuate the purposes of the boll weevil eradication program.</w:t>
      </w:r>
    </w:p>
    <w:p w14:paraId="6B91D338" w14:textId="77777777" w:rsidR="00CF626A" w:rsidRPr="001531CD" w:rsidRDefault="00CF626A" w:rsidP="00E01FC7">
      <w:pPr>
        <w:pStyle w:val="A"/>
        <w:spacing w:after="80"/>
      </w:pPr>
      <w:r w:rsidRPr="001531CD">
        <w:t>B.</w:t>
      </w:r>
      <w:r w:rsidRPr="001531CD">
        <w:tab/>
        <w:t xml:space="preserve">Quarantine Orders shall be written and shall describe with particularity the regulated articles or premises being quarantined, the nature of the restrictions on the regulated articles or premises, the reasons for the issuance of the </w:t>
      </w:r>
      <w:r w:rsidRPr="001531CD">
        <w:lastRenderedPageBreak/>
        <w:t>Quarantine Order and the method for affected parties to seek a review of the order.</w:t>
      </w:r>
    </w:p>
    <w:p w14:paraId="54610540" w14:textId="77777777" w:rsidR="00CF626A" w:rsidRPr="001531CD" w:rsidRDefault="00CF626A" w:rsidP="00E01FC7">
      <w:pPr>
        <w:pStyle w:val="A"/>
        <w:spacing w:after="80"/>
      </w:pPr>
      <w:r w:rsidRPr="001531CD">
        <w:t>C.</w:t>
      </w:r>
      <w:r w:rsidRPr="001531CD">
        <w:tab/>
        <w:t>A Quarantine Order shall be issued for the purpose of preventing the movement, disturbance, or noncontainment of an actual or suspected boll weevil infestation or the prevention of a boll weevil infestation.</w:t>
      </w:r>
    </w:p>
    <w:p w14:paraId="29135679" w14:textId="77777777" w:rsidR="00CF626A" w:rsidRPr="001531CD" w:rsidRDefault="00CF626A" w:rsidP="00E01FC7">
      <w:pPr>
        <w:pStyle w:val="A"/>
        <w:spacing w:after="80"/>
      </w:pPr>
      <w:r w:rsidRPr="001531CD">
        <w:t>D.</w:t>
      </w:r>
      <w:r w:rsidRPr="001531CD">
        <w:tab/>
        <w:t>Any affected party may request and receive a hearing on the issuance and maintenance of a Quarantine Order before the commission in accordance with the Louisiana Administrative Procedure Act provided the affected party requests the hearing within 30 days of receipt by the affected party of notice of the Quarantine Order.</w:t>
      </w:r>
    </w:p>
    <w:p w14:paraId="65E91AD9" w14:textId="77777777" w:rsidR="00CF626A" w:rsidRPr="001531CD" w:rsidRDefault="00CF626A" w:rsidP="00E01FC7">
      <w:pPr>
        <w:pStyle w:val="A"/>
        <w:spacing w:after="80"/>
      </w:pPr>
      <w:r w:rsidRPr="001531CD">
        <w:t>E.</w:t>
      </w:r>
      <w:r w:rsidRPr="001531CD">
        <w:tab/>
        <w:t>The notice provisions contained in this Section are in addition to those notice provisions contained in R.S. 3:1609(E).</w:t>
      </w:r>
    </w:p>
    <w:p w14:paraId="3AB7EE32" w14:textId="77777777" w:rsidR="001801F4" w:rsidRPr="00CF11DB" w:rsidRDefault="001801F4" w:rsidP="001801F4">
      <w:pPr>
        <w:pStyle w:val="A"/>
      </w:pPr>
      <w:r w:rsidRPr="00CF11DB">
        <w:t>F.</w:t>
      </w:r>
      <w:r w:rsidRPr="00CF11DB">
        <w:tab/>
        <w:t>All persons and all parties affected by a quarantine shall cooperate in the affectation of the quarantine and shall do nothing to cause a breach of the terms of the quarantine order.</w:t>
      </w:r>
    </w:p>
    <w:p w14:paraId="3D39B534" w14:textId="77777777" w:rsidR="00CF626A" w:rsidRPr="001531CD" w:rsidRDefault="001801F4" w:rsidP="001801F4">
      <w:pPr>
        <w:pStyle w:val="AuthorityNote"/>
      </w:pPr>
      <w:r w:rsidRPr="00CF11DB">
        <w:t>AUTHORITY NOTE:</w:t>
      </w:r>
      <w:r w:rsidRPr="00CF11DB">
        <w:tab/>
        <w:t>Promulgated in accordance with R.S. 3:1608.</w:t>
      </w:r>
    </w:p>
    <w:p w14:paraId="69E958D7"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21:19 (January 199</w:t>
      </w:r>
      <w:r w:rsidR="001801F4">
        <w:t xml:space="preserve">5), </w:t>
      </w:r>
      <w:r w:rsidR="001801F4" w:rsidRPr="00CF11DB">
        <w:t>amended LR 40:</w:t>
      </w:r>
      <w:r w:rsidR="001801F4">
        <w:t>1519 (August 2014).</w:t>
      </w:r>
    </w:p>
    <w:p w14:paraId="38021EDA" w14:textId="77777777" w:rsidR="00CF626A" w:rsidRPr="001531CD" w:rsidRDefault="00CF626A">
      <w:pPr>
        <w:pStyle w:val="Section"/>
      </w:pPr>
      <w:bookmarkStart w:id="1468" w:name="_Toc256754632"/>
      <w:bookmarkStart w:id="1469" w:name="_Toc224818954"/>
      <w:r w:rsidRPr="001531CD">
        <w:t>§317.</w:t>
      </w:r>
      <w:r w:rsidRPr="001531CD">
        <w:tab/>
        <w:t>Aiding and Abetting</w:t>
      </w:r>
      <w:bookmarkEnd w:id="1468"/>
      <w:bookmarkEnd w:id="1469"/>
    </w:p>
    <w:p w14:paraId="44665681" w14:textId="77777777" w:rsidR="00CF626A" w:rsidRPr="001531CD" w:rsidRDefault="00CF626A">
      <w:pPr>
        <w:pStyle w:val="A"/>
      </w:pPr>
      <w:r w:rsidRPr="001531CD">
        <w:t>A.</w:t>
      </w:r>
      <w:r w:rsidRPr="001531CD">
        <w:tab/>
        <w:t>Any person who aids and abets another person in any act or omission which constitutes a violation of the Boll Weevil Eradication Law or these regulations shall be in violation of the Boll Weevil Eradication Law and these regulations. Each act or omission of aiding and abetting shall be a separate offense and each day on which the underlying violation which was aided and abetted occurs shall also be a separate offense, but two violations may not result from one act or omission which occurred on a single day.</w:t>
      </w:r>
    </w:p>
    <w:p w14:paraId="25116D61" w14:textId="77777777" w:rsidR="00CF626A" w:rsidRPr="001531CD" w:rsidRDefault="00CF626A">
      <w:pPr>
        <w:pStyle w:val="AuthorityNote"/>
      </w:pPr>
      <w:r w:rsidRPr="001531CD">
        <w:t>AUTHORITY NOTE:</w:t>
      </w:r>
      <w:r w:rsidRPr="001531CD">
        <w:tab/>
        <w:t>Promulgated in accordance with R.S. 3:1612.</w:t>
      </w:r>
    </w:p>
    <w:p w14:paraId="289DE5E6"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21:20 (January 1995).</w:t>
      </w:r>
    </w:p>
    <w:p w14:paraId="4C898338" w14:textId="77777777" w:rsidR="00354076" w:rsidRPr="001531CD" w:rsidRDefault="00CF626A" w:rsidP="00354076">
      <w:pPr>
        <w:pStyle w:val="Section"/>
      </w:pPr>
      <w:bookmarkStart w:id="1470" w:name="_Toc256754633"/>
      <w:bookmarkStart w:id="1471" w:name="_Toc224818955"/>
      <w:r w:rsidRPr="001531CD">
        <w:t>§319.</w:t>
      </w:r>
      <w:r w:rsidRPr="001531CD">
        <w:tab/>
      </w:r>
      <w:bookmarkEnd w:id="1470"/>
      <w:r w:rsidR="00354076" w:rsidRPr="001531CD">
        <w:t>Reporting of Cotton Acreage</w:t>
      </w:r>
      <w:bookmarkEnd w:id="1471"/>
    </w:p>
    <w:p w14:paraId="527BCCF1" w14:textId="77777777" w:rsidR="001801F4" w:rsidRPr="00CF11DB" w:rsidRDefault="001801F4" w:rsidP="001801F4">
      <w:pPr>
        <w:pStyle w:val="A"/>
        <w:rPr>
          <w:color w:val="000000"/>
        </w:rPr>
      </w:pPr>
      <w:r w:rsidRPr="00CF11DB">
        <w:t>A.</w:t>
      </w:r>
      <w:r w:rsidRPr="00CF11DB">
        <w:tab/>
        <w:t>All cotton producers growing cotton in the state of Louisiana shall certify their planted cotton acreage by the later of July 15 or at final certification of the current growing season at the FSA office responsible for the parish or parishes in which they produce cotton. The certification shall be filed for each year of the program and shall include the actual acreage and location of cotton planted during the current growing season</w:t>
      </w:r>
      <w:r w:rsidRPr="00CF11DB">
        <w:rPr>
          <w:color w:val="000000"/>
        </w:rPr>
        <w:t>.</w:t>
      </w:r>
    </w:p>
    <w:p w14:paraId="72720BF8" w14:textId="77777777" w:rsidR="00354076" w:rsidRPr="001531CD" w:rsidRDefault="001801F4" w:rsidP="001801F4">
      <w:pPr>
        <w:pStyle w:val="A"/>
      </w:pPr>
      <w:r w:rsidRPr="00CF11DB">
        <w:t>B.</w:t>
      </w:r>
      <w:r w:rsidRPr="00CF11DB">
        <w:tab/>
        <w:t>All cotton producers growing cotton in the state of Louisiana shall, for each year of the program, also complete and sign a cotton acreage reporting and payment form provided by the commissioner and return the signed and completed form to the department along with FSA Form 578 at the time that the maintenance inspection fee is paid to the department.</w:t>
      </w:r>
    </w:p>
    <w:p w14:paraId="1C4221CE" w14:textId="77777777" w:rsidR="00354076" w:rsidRPr="001531CD" w:rsidRDefault="00354076" w:rsidP="00354076">
      <w:pPr>
        <w:pStyle w:val="A"/>
        <w:rPr>
          <w:color w:val="000000"/>
        </w:rPr>
      </w:pPr>
      <w:r w:rsidRPr="001531CD">
        <w:t>C.</w:t>
      </w:r>
      <w:r w:rsidRPr="001531CD">
        <w:tab/>
        <w:t>Noncommercial cotton shall not be planted in the Louisiana Eradication Zone unless an application for a written waiver has been submitted in writing to the commissioner stating the conditions under which such written waiver is requested, and unless such written waiver is granted by the commissioner. The commissioner's decision to grant or deny a written waiver for noncommercial cotton shall include consideration of the location, size, pest conditions, accessibility of the growing area, any stipulations set forth in any compliance agreement between the applicant and the commissioner, and any other factors deemed relevant to effectuate the boll weevil eradication program</w:t>
      </w:r>
      <w:r w:rsidRPr="001531CD">
        <w:rPr>
          <w:color w:val="000000"/>
        </w:rPr>
        <w:t xml:space="preserve">. </w:t>
      </w:r>
    </w:p>
    <w:p w14:paraId="3017A74A" w14:textId="77777777" w:rsidR="00354076" w:rsidRPr="001531CD" w:rsidRDefault="001801F4" w:rsidP="00354076">
      <w:pPr>
        <w:pStyle w:val="AuthorityNote"/>
      </w:pPr>
      <w:r w:rsidRPr="00CF11DB">
        <w:t>AUTHORITY NOTE:</w:t>
      </w:r>
      <w:r w:rsidRPr="00CF11DB">
        <w:tab/>
        <w:t>Promulgated in accordance with R.S. 3:1604.1, 1607, 1609, and 1652.</w:t>
      </w:r>
    </w:p>
    <w:p w14:paraId="1679985A" w14:textId="77777777" w:rsidR="00CF626A" w:rsidRPr="001531CD" w:rsidRDefault="00CF626A" w:rsidP="00354076">
      <w:pPr>
        <w:pStyle w:val="HistoricalNote"/>
      </w:pPr>
      <w:r w:rsidRPr="001531CD">
        <w:t>HISTORICAL NOTE:</w:t>
      </w:r>
      <w:r w:rsidRPr="001531CD">
        <w:tab/>
        <w:t>Promulgated by the Department of Agriculture and Forestry, Office of Agricultural and Environmental Sciences, Boll Weevil Eradication Commission, LR 21:20 (January 1995), am</w:t>
      </w:r>
      <w:r w:rsidR="00354076" w:rsidRPr="001531CD">
        <w:t>ended LR 23:195 (February 199</w:t>
      </w:r>
      <w:r w:rsidR="001801F4">
        <w:t xml:space="preserve">7), LR 37:2583 (September 2011), </w:t>
      </w:r>
      <w:r w:rsidR="001801F4" w:rsidRPr="00CF11DB">
        <w:t>LR 40:</w:t>
      </w:r>
      <w:r w:rsidR="001801F4">
        <w:t>1519 (August 2014).</w:t>
      </w:r>
    </w:p>
    <w:p w14:paraId="51D67FB3" w14:textId="77777777" w:rsidR="00CF626A" w:rsidRPr="001531CD" w:rsidRDefault="00CF626A" w:rsidP="00AB250D">
      <w:pPr>
        <w:pStyle w:val="Section"/>
        <w:spacing w:after="80"/>
      </w:pPr>
      <w:bookmarkStart w:id="1472" w:name="_Toc256754634"/>
      <w:bookmarkStart w:id="1473" w:name="_Toc224818956"/>
      <w:r w:rsidRPr="001531CD">
        <w:t>§321.</w:t>
      </w:r>
      <w:r w:rsidRPr="001531CD">
        <w:tab/>
      </w:r>
      <w:bookmarkEnd w:id="1472"/>
      <w:r w:rsidR="001801F4" w:rsidRPr="00CF11DB">
        <w:t>Maintenance Inspection Fees, Payment and Penalties</w:t>
      </w:r>
      <w:bookmarkEnd w:id="1473"/>
    </w:p>
    <w:p w14:paraId="2CEDC90D" w14:textId="77777777" w:rsidR="001801F4" w:rsidRPr="00CF11DB" w:rsidRDefault="009857B4" w:rsidP="001801F4">
      <w:pPr>
        <w:pStyle w:val="A"/>
      </w:pPr>
      <w:r w:rsidRPr="00467A5D">
        <w:t>A.</w:t>
      </w:r>
      <w:r w:rsidRPr="00467A5D">
        <w:tab/>
      </w:r>
      <w:r w:rsidR="00AB55FA" w:rsidRPr="005B50D9">
        <w:t xml:space="preserve">The annual maintenance inspection fee on cotton producers in the Louisiana eradication zone shall be $4 per acre for each acre of cotton planted in the state. Each cotton producer shall pay his annual maintenance inspection fee directly to the department no later than July 15 or final certification with the FSA for that growing season, whichever is later. The signed and completed cotton </w:t>
      </w:r>
      <w:r w:rsidR="00AB55FA" w:rsidRPr="005B50D9">
        <w:rPr>
          <w:color w:val="000000"/>
        </w:rPr>
        <w:t xml:space="preserve">acreage reporting and payment form with FSA Form 578 attached shall be submitted with the annual payment of the </w:t>
      </w:r>
      <w:r w:rsidR="00AB55FA" w:rsidRPr="005B50D9">
        <w:t>maintenance inspection fee</w:t>
      </w:r>
      <w:r w:rsidR="00AB55FA" w:rsidRPr="005B50D9">
        <w:rPr>
          <w:color w:val="000000"/>
        </w:rPr>
        <w:t>.</w:t>
      </w:r>
    </w:p>
    <w:p w14:paraId="3946B517" w14:textId="77777777" w:rsidR="001801F4" w:rsidRPr="00CF11DB" w:rsidRDefault="001801F4" w:rsidP="001801F4">
      <w:pPr>
        <w:pStyle w:val="A"/>
      </w:pPr>
      <w:r w:rsidRPr="00CF11DB">
        <w:t>B.</w:t>
      </w:r>
      <w:r w:rsidRPr="00CF11DB">
        <w:tab/>
        <w:t>A cotton producer may request a waiver of all or part of the maintenance inspection fee for any crop year in which he plants cotton in accordance with the following procedure. The decision to grant a waiver of all or part of any maintenance inspection fee for a crop year is within the discretion of the commission.</w:t>
      </w:r>
    </w:p>
    <w:p w14:paraId="689E0420" w14:textId="77777777" w:rsidR="001801F4" w:rsidRPr="00CF11DB" w:rsidRDefault="001801F4" w:rsidP="001801F4">
      <w:pPr>
        <w:pStyle w:val="1"/>
      </w:pPr>
      <w:r w:rsidRPr="00CF11DB">
        <w:t>1.</w:t>
      </w:r>
      <w:r w:rsidRPr="00CF11DB">
        <w:tab/>
        <w:t>A cotton producer who requests a waiver of the maintenance inspection fee for a crop year must submit a written request for a waiver to the commission.</w:t>
      </w:r>
    </w:p>
    <w:p w14:paraId="1111387D" w14:textId="77777777" w:rsidR="00CF626A" w:rsidRPr="001531CD" w:rsidRDefault="001801F4" w:rsidP="001801F4">
      <w:pPr>
        <w:pStyle w:val="1"/>
      </w:pPr>
      <w:r w:rsidRPr="00CF11DB">
        <w:t>2.</w:t>
      </w:r>
      <w:r w:rsidRPr="00CF11DB">
        <w:tab/>
        <w:t>The commission must receive the written request, through mail, fax or other form of actual delivery, on or before 4:30 p.m. central time on August 1 of the crop year for which the waiver is requested. A written request for a waiver will be deemed to be timely when the papers aremailed on or before the due date. Timeliness of the mailing shall be shown only by an official United States postmark or by official receipt or certificate from the United States Postal Service made at the time of mailing which indicates the date thereof. A fax will be deemed to be timely only upon proof of actual receipt of the transmission.</w:t>
      </w:r>
    </w:p>
    <w:p w14:paraId="5CB0C65C" w14:textId="77777777" w:rsidR="00CF626A" w:rsidRPr="001531CD" w:rsidRDefault="00CF626A">
      <w:pPr>
        <w:pStyle w:val="1"/>
      </w:pPr>
      <w:r w:rsidRPr="001531CD">
        <w:t>3.</w:t>
      </w:r>
      <w:r w:rsidRPr="001531CD">
        <w:tab/>
        <w:t xml:space="preserve">The written request for a waiver must show the name of the cotton producer, the field number, the number of acres for which a waiver is requested, the date the acres were failed, the reasons the waiver is being requested and a certification that all living cotton plants and cotton stalks were destroyed prior to July 15 of the crop year and that the acreage will </w:t>
      </w:r>
      <w:r w:rsidRPr="001531CD">
        <w:lastRenderedPageBreak/>
        <w:t>remain void of all living cotton plants through December 31 of the same crop year.</w:t>
      </w:r>
    </w:p>
    <w:p w14:paraId="04B6A50C" w14:textId="77777777" w:rsidR="001801F4" w:rsidRPr="00CF11DB" w:rsidRDefault="001801F4" w:rsidP="001801F4">
      <w:pPr>
        <w:pStyle w:val="1"/>
      </w:pPr>
      <w:r w:rsidRPr="00CF11DB">
        <w:t>4.</w:t>
      </w:r>
      <w:r w:rsidRPr="00CF11DB">
        <w:tab/>
        <w:t>Each cotton producer who has filed a timely request for a waiver with the commission shall be notified of the date, time and place that the commission is scheduled to consider the request for a waiver at least 10 days prior to the commission meeting. The commission shall not consider an untimely written request.</w:t>
      </w:r>
    </w:p>
    <w:p w14:paraId="6DE666DE" w14:textId="77777777" w:rsidR="001801F4" w:rsidRPr="00CF11DB" w:rsidRDefault="001801F4" w:rsidP="001801F4">
      <w:pPr>
        <w:pStyle w:val="1"/>
      </w:pPr>
      <w:r w:rsidRPr="00CF11DB">
        <w:t>5.</w:t>
      </w:r>
      <w:r w:rsidRPr="00CF11DB">
        <w:tab/>
        <w:t xml:space="preserve">A cotton producer, whose timely request for a waiver is denied by the commission, shall be entitled to pay his maintenance inspection fee without imposition of a per acre penalty fee if he pays the maintenance inspection fee within 30 days after receiving written notification of the commission's decision. </w:t>
      </w:r>
    </w:p>
    <w:p w14:paraId="3B05449D" w14:textId="77777777" w:rsidR="001801F4" w:rsidRPr="00CF11DB" w:rsidRDefault="001801F4" w:rsidP="001801F4">
      <w:pPr>
        <w:pStyle w:val="1"/>
      </w:pPr>
      <w:r w:rsidRPr="00CF11DB">
        <w:t>6.</w:t>
      </w:r>
      <w:r w:rsidRPr="00CF11DB">
        <w:tab/>
        <w:t>The commission has the authority to inspect any cotton field in which a cotton producer has claimed to have destroyed the cotton crop. Failure of the cotton producer to allow inspection shall be a violation of this Chapter.</w:t>
      </w:r>
    </w:p>
    <w:p w14:paraId="54261F83" w14:textId="77777777" w:rsidR="001801F4" w:rsidRPr="00CF11DB" w:rsidRDefault="001801F4" w:rsidP="001801F4">
      <w:pPr>
        <w:pStyle w:val="A"/>
      </w:pPr>
      <w:r w:rsidRPr="00CF11DB">
        <w:t>C.</w:t>
      </w:r>
      <w:r w:rsidRPr="00CF11DB">
        <w:tab/>
        <w:t>Any cotton producer planting a fraction of an acre shall be assessed at a prorated maintenance inspection fee rate for that fractional acre.</w:t>
      </w:r>
    </w:p>
    <w:p w14:paraId="5593D4AE" w14:textId="77777777" w:rsidR="001801F4" w:rsidRPr="00CF11DB" w:rsidRDefault="001801F4" w:rsidP="001801F4">
      <w:pPr>
        <w:pStyle w:val="A"/>
      </w:pPr>
      <w:r w:rsidRPr="00CF11DB">
        <w:t>D.</w:t>
      </w:r>
      <w:r w:rsidRPr="00CF11DB">
        <w:tab/>
        <w:t>Any cotton producer failing to certify his planted cotton acreage by the later of July 15 or the date of final certification of the current growing season shall, in addition to the maintenance inspection fee and other applicable penalties, be subject to a penalty fee of $2 per acre.</w:t>
      </w:r>
    </w:p>
    <w:p w14:paraId="23530D3A" w14:textId="77777777" w:rsidR="001801F4" w:rsidRPr="00CF11DB" w:rsidRDefault="001801F4" w:rsidP="001801F4">
      <w:pPr>
        <w:pStyle w:val="A"/>
      </w:pPr>
      <w:r w:rsidRPr="00CF11DB">
        <w:t>E.</w:t>
      </w:r>
      <w:r w:rsidRPr="00CF11DB">
        <w:tab/>
        <w:t xml:space="preserve">Any cotton producer failing to pay all maintenance inspection fees by the later of July 15 or the date of final certification of the current growing season shall, in addition to the </w:t>
      </w:r>
      <w:r w:rsidRPr="00CF11DB">
        <w:rPr>
          <w:color w:val="000000"/>
        </w:rPr>
        <w:t>maintenance inspection</w:t>
      </w:r>
      <w:r w:rsidRPr="00CF11DB">
        <w:t xml:space="preserve"> fee and other applicable penalties, be subject to a penalty fee of $1.50 per acre.</w:t>
      </w:r>
    </w:p>
    <w:p w14:paraId="442F20C5" w14:textId="77777777" w:rsidR="001801F4" w:rsidRPr="00CF11DB" w:rsidRDefault="001801F4" w:rsidP="001801F4">
      <w:pPr>
        <w:pStyle w:val="A"/>
      </w:pPr>
      <w:r w:rsidRPr="00CF11DB">
        <w:t>F.</w:t>
      </w:r>
      <w:r w:rsidRPr="00CF11DB">
        <w:tab/>
        <w:t>Reserved.</w:t>
      </w:r>
    </w:p>
    <w:p w14:paraId="5F08EFF8" w14:textId="77777777" w:rsidR="001801F4" w:rsidRPr="00CF11DB" w:rsidRDefault="001801F4" w:rsidP="001801F4">
      <w:pPr>
        <w:pStyle w:val="A"/>
      </w:pPr>
      <w:r w:rsidRPr="00CF11DB">
        <w:t>G.</w:t>
      </w:r>
      <w:r w:rsidRPr="00CF11DB">
        <w:tab/>
        <w:t>Failure to pay all program costs, including maintenance inspection fees and penalty fees, shall be a violation of this Chapter. Any cotton growing on a cotton producer's acreage which is subject to the maintenance inspection fee shall be subject to destruction by the commissioner should the cotton producer fail to pay all program costs, including maintenance inspection fees and penalty fees, within 30 days of notification of the default.</w:t>
      </w:r>
    </w:p>
    <w:p w14:paraId="74EAE517" w14:textId="77777777" w:rsidR="001801F4" w:rsidRPr="00CF11DB" w:rsidRDefault="001801F4" w:rsidP="001801F4">
      <w:pPr>
        <w:pStyle w:val="A"/>
        <w:rPr>
          <w:strike/>
        </w:rPr>
      </w:pPr>
      <w:r w:rsidRPr="00CF11DB">
        <w:t>H.</w:t>
      </w:r>
      <w:r w:rsidRPr="00CF11DB">
        <w:tab/>
        <w:t>The commissioner shall have the right to collect some or all of the program costs, including maintenance inspection fees and penalty fees, by contracting with another entity, public or private, for collection. The commissioner shall provide notification of any such decision to all affected parties.</w:t>
      </w:r>
    </w:p>
    <w:p w14:paraId="7263A80D" w14:textId="77777777" w:rsidR="00CF626A" w:rsidRPr="001531CD" w:rsidRDefault="001801F4" w:rsidP="001801F4">
      <w:pPr>
        <w:pStyle w:val="AuthorityNote"/>
      </w:pPr>
      <w:r w:rsidRPr="00CF11DB">
        <w:t>AUTHORITY NOTE:</w:t>
      </w:r>
      <w:r w:rsidRPr="00CF11DB">
        <w:tab/>
        <w:t>Promulgated in accordance with R.S. 3:1604.1, 1609, 1610, 1612, 1652, and 1655.</w:t>
      </w:r>
    </w:p>
    <w:p w14:paraId="7432EEEF" w14:textId="77777777" w:rsidR="00CF626A" w:rsidRPr="001531CD" w:rsidRDefault="00CF626A">
      <w:pPr>
        <w:pStyle w:val="HistoricalNote"/>
        <w:rPr>
          <w:b/>
          <w:bCs/>
        </w:rPr>
      </w:pPr>
      <w:r w:rsidRPr="001531CD">
        <w:t>HISTORICAL NOTE:</w:t>
      </w:r>
      <w:r w:rsidRPr="001531CD">
        <w:tab/>
        <w:t>Promulgated by the Department of Agriculture and Forestry, Office of Agricultural and Environmental Sciences, Boll Weevil Eradication Commission, LR 21:20 (January 1995), amended LR 21:669 (July 1995), LR 23:195 (February 1997), LR 24:2231 (December 1998), LR 25:829 (May 1999), LR 29:859 (June 2003), LR 30:1142 (June 20</w:t>
      </w:r>
      <w:r w:rsidR="00354076" w:rsidRPr="001531CD">
        <w:t>04), LR 30:2443 (November 200</w:t>
      </w:r>
      <w:r w:rsidR="001801F4">
        <w:t xml:space="preserve">4), LR 37:2583 (September 2011), </w:t>
      </w:r>
      <w:r w:rsidR="001801F4" w:rsidRPr="00CF11DB">
        <w:t>LR 40:</w:t>
      </w:r>
      <w:r w:rsidR="009857B4">
        <w:t>1519 (August 2014), LR 42:1644 (October 2016)</w:t>
      </w:r>
      <w:r w:rsidR="00AB55FA" w:rsidRPr="005B50D9">
        <w:t>, LR 45:</w:t>
      </w:r>
      <w:r w:rsidR="00AB55FA">
        <w:t>1167 (September 2019).</w:t>
      </w:r>
    </w:p>
    <w:p w14:paraId="61053C89" w14:textId="77777777" w:rsidR="001801F4" w:rsidRPr="003D5A0E" w:rsidRDefault="00CF626A" w:rsidP="001801F4">
      <w:pPr>
        <w:pStyle w:val="Section"/>
      </w:pPr>
      <w:bookmarkStart w:id="1474" w:name="_Toc256754635"/>
      <w:bookmarkStart w:id="1475" w:name="_Toc224818957"/>
      <w:r w:rsidRPr="001531CD">
        <w:t>§323.</w:t>
      </w:r>
      <w:r w:rsidRPr="001531CD">
        <w:tab/>
      </w:r>
      <w:bookmarkEnd w:id="1474"/>
      <w:r w:rsidR="001801F4" w:rsidRPr="00CF11DB">
        <w:t>Program Participation</w:t>
      </w:r>
      <w:r w:rsidR="001801F4">
        <w:br/>
      </w:r>
      <w:r w:rsidR="00F40B97">
        <w:t>(</w:t>
      </w:r>
      <w:r w:rsidR="001801F4" w:rsidRPr="00CF11DB">
        <w:t xml:space="preserve">Formerly </w:t>
      </w:r>
      <w:r w:rsidR="001801F4">
        <w:t>§</w:t>
      </w:r>
      <w:r w:rsidR="001801F4" w:rsidRPr="00CF11DB">
        <w:t>327</w:t>
      </w:r>
      <w:r w:rsidR="00F40B97">
        <w:t>)</w:t>
      </w:r>
      <w:bookmarkEnd w:id="1475"/>
    </w:p>
    <w:p w14:paraId="20F03B66" w14:textId="77777777" w:rsidR="001801F4" w:rsidRPr="00CF11DB" w:rsidRDefault="001801F4" w:rsidP="001801F4">
      <w:pPr>
        <w:pStyle w:val="A"/>
      </w:pPr>
      <w:r w:rsidRPr="00CF11DB">
        <w:t>A.</w:t>
      </w:r>
      <w:r w:rsidRPr="00CF11DB">
        <w:tab/>
        <w:t>All cotton producers growing cotton in Louisiana shall participate in the boll weevil eradication program in accordance with the Louisiana boll weevil eradication law and these regulations.</w:t>
      </w:r>
    </w:p>
    <w:p w14:paraId="3B23738C" w14:textId="77777777" w:rsidR="001801F4" w:rsidRPr="00CF11DB" w:rsidRDefault="001801F4" w:rsidP="001801F4">
      <w:pPr>
        <w:pStyle w:val="A"/>
      </w:pPr>
      <w:r w:rsidRPr="00CF11DB">
        <w:t>B.</w:t>
      </w:r>
      <w:r w:rsidRPr="00CF11DB">
        <w:tab/>
        <w:t>Cotton producers shall destroy cotton stalks in every field planted in cotton, on or before December 31 of each crop year. Cotton stalk destruction shall consist of shredding or disking in a manner that destroys standing cotton stalks. Cotton stalks that come up in a failed field must also be destroyed by December 31 of the crop year. Failure to destroy stalks by December 31 of each crop year shall be a violation of this Chapter.</w:t>
      </w:r>
    </w:p>
    <w:p w14:paraId="5A14A43D" w14:textId="77777777" w:rsidR="00CF626A" w:rsidRPr="001531CD" w:rsidRDefault="001801F4" w:rsidP="001801F4">
      <w:pPr>
        <w:pStyle w:val="AuthorityNote"/>
      </w:pPr>
      <w:r w:rsidRPr="00CF11DB">
        <w:t>AUTHORITY NOTE:</w:t>
      </w:r>
      <w:r w:rsidRPr="00CF11DB">
        <w:tab/>
        <w:t xml:space="preserve">Promulgated in accordance with R.S. 3:1609, 1612, </w:t>
      </w:r>
      <w:r>
        <w:t xml:space="preserve">and </w:t>
      </w:r>
      <w:r w:rsidRPr="00CF11DB">
        <w:t>1613.</w:t>
      </w:r>
    </w:p>
    <w:p w14:paraId="64EDA4F4" w14:textId="77777777" w:rsidR="00CF626A" w:rsidRPr="001531CD" w:rsidRDefault="001801F4">
      <w:pPr>
        <w:pStyle w:val="HistoricalNote"/>
      </w:pPr>
      <w:r w:rsidRPr="001531CD">
        <w:t>HISTORICAL NOTE:</w:t>
      </w:r>
      <w:r w:rsidRPr="001531CD">
        <w:tab/>
        <w:t>Promulgated by the Department of Agriculture and Forestry, Office of Agricultural and Environmental Sciences, Boll Weevil Eradication Commission, LR 27:280 (March 2001), ame</w:t>
      </w:r>
      <w:r>
        <w:t xml:space="preserve">nded LR 30:2444 (November 2004), </w:t>
      </w:r>
      <w:r w:rsidRPr="00CF11DB">
        <w:t>LR 40:</w:t>
      </w:r>
      <w:r>
        <w:t>1520 (August 2014).</w:t>
      </w:r>
    </w:p>
    <w:p w14:paraId="0BDE1AF5" w14:textId="77777777" w:rsidR="00FC31C0" w:rsidRPr="00A1145E" w:rsidRDefault="00FC31C0" w:rsidP="001D403C">
      <w:pPr>
        <w:pStyle w:val="Chapter"/>
      </w:pPr>
      <w:bookmarkStart w:id="1476" w:name="_Toc224818958"/>
      <w:r w:rsidRPr="00A1145E">
        <w:t>Chapter 5.</w:t>
      </w:r>
      <w:r w:rsidRPr="00A1145E">
        <w:tab/>
        <w:t>Honey Bees and Apiaries</w:t>
      </w:r>
      <w:r>
        <w:br/>
        <w:t>(</w:t>
      </w:r>
      <w:r w:rsidRPr="00A1145E">
        <w:t xml:space="preserve">Formerly </w:t>
      </w:r>
      <w:r>
        <w:t>LAC 7:XXI.</w:t>
      </w:r>
      <w:r w:rsidRPr="00A1145E">
        <w:t>Chapter 25</w:t>
      </w:r>
      <w:r>
        <w:t>)</w:t>
      </w:r>
      <w:bookmarkEnd w:id="1476"/>
    </w:p>
    <w:p w14:paraId="62BCD536" w14:textId="77777777" w:rsidR="00A20515" w:rsidRPr="00A1145E" w:rsidRDefault="00A20515" w:rsidP="00A20515">
      <w:pPr>
        <w:pStyle w:val="Section"/>
      </w:pPr>
      <w:bookmarkStart w:id="1477" w:name="_Toc375025576"/>
      <w:bookmarkStart w:id="1478" w:name="_Toc224818959"/>
      <w:bookmarkStart w:id="1479" w:name="_Toc375025581"/>
      <w:r>
        <w:t>§501.</w:t>
      </w:r>
      <w:r>
        <w:tab/>
      </w:r>
      <w:r w:rsidRPr="00A1145E">
        <w:t>Definitions</w:t>
      </w:r>
      <w:bookmarkEnd w:id="1477"/>
      <w:r>
        <w:br/>
        <w:t>(Formerly LAC 7:XXI.</w:t>
      </w:r>
      <w:r w:rsidRPr="00A1145E">
        <w:t>2501</w:t>
      </w:r>
      <w:r>
        <w:t>)</w:t>
      </w:r>
      <w:bookmarkEnd w:id="1478"/>
    </w:p>
    <w:p w14:paraId="014C58E7" w14:textId="77777777" w:rsidR="00A20515" w:rsidRPr="00445C1D" w:rsidRDefault="00A20515" w:rsidP="00A20515">
      <w:pPr>
        <w:pStyle w:val="A"/>
      </w:pPr>
      <w:r>
        <w:t>A.</w:t>
      </w:r>
      <w:r>
        <w:tab/>
      </w:r>
      <w:r w:rsidRPr="00445C1D">
        <w:t>For purposes of this Chapter, the following terms shall have the meaning hereafter ascribed to them, unless the cont</w:t>
      </w:r>
      <w:r>
        <w:t>ext clearly indicates otherwise.</w:t>
      </w:r>
    </w:p>
    <w:p w14:paraId="68FB590D" w14:textId="77777777" w:rsidR="00A20515" w:rsidRPr="00445C1D" w:rsidRDefault="00A20515" w:rsidP="00A20515">
      <w:pPr>
        <w:pStyle w:val="1"/>
      </w:pPr>
      <w:r w:rsidRPr="00445C1D">
        <w:rPr>
          <w:i/>
          <w:iCs/>
        </w:rPr>
        <w:t>Agent</w:t>
      </w:r>
      <w:r>
        <w:t>—</w:t>
      </w:r>
      <w:r w:rsidRPr="00445C1D">
        <w:t>an authorized representative of the state entomologist and/or the Department of Agriculture and Forestry.</w:t>
      </w:r>
    </w:p>
    <w:p w14:paraId="0D943E57" w14:textId="77777777" w:rsidR="00A20515" w:rsidRPr="00445C1D" w:rsidRDefault="00A20515" w:rsidP="00A20515">
      <w:pPr>
        <w:pStyle w:val="1"/>
      </w:pPr>
      <w:r w:rsidRPr="00445C1D">
        <w:rPr>
          <w:i/>
          <w:iCs/>
        </w:rPr>
        <w:t>Apiary</w:t>
      </w:r>
      <w:r w:rsidRPr="00445C1D">
        <w:t xml:space="preserve"> or </w:t>
      </w:r>
      <w:r w:rsidRPr="00445C1D">
        <w:rPr>
          <w:i/>
          <w:iCs/>
        </w:rPr>
        <w:t>Yard</w:t>
      </w:r>
      <w:r>
        <w:t>—</w:t>
      </w:r>
      <w:r w:rsidRPr="00445C1D">
        <w:t>the assembly of one or more colonies of bees at a single location.</w:t>
      </w:r>
    </w:p>
    <w:p w14:paraId="0B283CCA" w14:textId="77777777" w:rsidR="00A20515" w:rsidRPr="00445C1D" w:rsidRDefault="00A20515" w:rsidP="00A20515">
      <w:pPr>
        <w:pStyle w:val="1"/>
      </w:pPr>
      <w:r w:rsidRPr="00445C1D">
        <w:rPr>
          <w:i/>
        </w:rPr>
        <w:t>Apiary Law and Regulation</w:t>
      </w:r>
      <w:r>
        <w:t>—</w:t>
      </w:r>
      <w:r w:rsidRPr="00445C1D">
        <w:t xml:space="preserve">the provisions in title 3 of the </w:t>
      </w:r>
      <w:r w:rsidRPr="00592643">
        <w:rPr>
          <w:i/>
        </w:rPr>
        <w:t>Louisiana Revised</w:t>
      </w:r>
      <w:r w:rsidRPr="00445C1D">
        <w:t xml:space="preserve"> Statutes regulating apiaries and the regulations promulgated in Title 7 of the </w:t>
      </w:r>
      <w:r w:rsidRPr="00592643">
        <w:rPr>
          <w:i/>
        </w:rPr>
        <w:t>Louisiana Administrative Code</w:t>
      </w:r>
      <w:r w:rsidRPr="00445C1D">
        <w:t xml:space="preserve"> regulating apiaries.</w:t>
      </w:r>
    </w:p>
    <w:p w14:paraId="21B0D92B" w14:textId="77777777" w:rsidR="00A20515" w:rsidRPr="00445C1D" w:rsidRDefault="00A20515" w:rsidP="00A20515">
      <w:pPr>
        <w:pStyle w:val="1"/>
      </w:pPr>
      <w:r w:rsidRPr="00445C1D">
        <w:rPr>
          <w:i/>
          <w:iCs/>
        </w:rPr>
        <w:t>Beekeeper</w:t>
      </w:r>
      <w:r>
        <w:t>—</w:t>
      </w:r>
      <w:r w:rsidRPr="00445C1D">
        <w:t>an individual, firm or corporation, who owns or has under his control one or more colonies of bees.</w:t>
      </w:r>
    </w:p>
    <w:p w14:paraId="1887FA8D" w14:textId="77777777" w:rsidR="00A20515" w:rsidRPr="00445C1D" w:rsidRDefault="00A20515" w:rsidP="00A20515">
      <w:pPr>
        <w:pStyle w:val="1"/>
      </w:pPr>
      <w:r w:rsidRPr="00445C1D">
        <w:rPr>
          <w:i/>
          <w:iCs/>
        </w:rPr>
        <w:t>Certificate of Inspection</w:t>
      </w:r>
      <w:r>
        <w:t>—</w:t>
      </w:r>
      <w:r w:rsidRPr="00445C1D">
        <w:t>a document issued after authorized personnel have inspected bees or regulated articles prior to, and for the purpose of, the movement of such bees or regulated articles.</w:t>
      </w:r>
    </w:p>
    <w:p w14:paraId="33A3A1FB" w14:textId="77777777" w:rsidR="00A20515" w:rsidRPr="00445C1D" w:rsidRDefault="00A20515" w:rsidP="00A20515">
      <w:pPr>
        <w:pStyle w:val="1"/>
      </w:pPr>
      <w:r w:rsidRPr="00445C1D">
        <w:rPr>
          <w:i/>
          <w:iCs/>
        </w:rPr>
        <w:t xml:space="preserve">Colony </w:t>
      </w:r>
      <w:r w:rsidRPr="00445C1D">
        <w:t xml:space="preserve">or </w:t>
      </w:r>
      <w:r w:rsidRPr="00445C1D">
        <w:rPr>
          <w:i/>
          <w:iCs/>
        </w:rPr>
        <w:t>Hive</w:t>
      </w:r>
      <w:r>
        <w:t>—</w:t>
      </w:r>
      <w:r w:rsidRPr="00445C1D">
        <w:t>an aggregate of bees consisting principally of workers, but having, when perfect, one queen and at times many drones; including brood, combs, honey, and the receptacles inhabited by the bees.</w:t>
      </w:r>
    </w:p>
    <w:p w14:paraId="2789DAD9" w14:textId="77777777" w:rsidR="00A20515" w:rsidRPr="00445C1D" w:rsidRDefault="00A20515" w:rsidP="00A20515">
      <w:pPr>
        <w:pStyle w:val="1"/>
      </w:pPr>
      <w:r w:rsidRPr="00445C1D">
        <w:rPr>
          <w:i/>
          <w:iCs/>
        </w:rPr>
        <w:t>Comb Package</w:t>
      </w:r>
      <w:r>
        <w:t>—</w:t>
      </w:r>
      <w:r w:rsidRPr="00445C1D">
        <w:t>a package of bees shipped or moved on a comb containing honey and/or brood, with or without a queen.</w:t>
      </w:r>
    </w:p>
    <w:p w14:paraId="6E9D874D" w14:textId="77777777" w:rsidR="00A20515" w:rsidRPr="00445C1D" w:rsidRDefault="00A20515" w:rsidP="00A20515">
      <w:pPr>
        <w:pStyle w:val="1"/>
        <w:rPr>
          <w:i/>
          <w:iCs/>
        </w:rPr>
      </w:pPr>
      <w:r w:rsidRPr="00445C1D">
        <w:rPr>
          <w:i/>
          <w:iCs/>
        </w:rPr>
        <w:t>Combless Package</w:t>
      </w:r>
      <w:r>
        <w:t>—</w:t>
      </w:r>
      <w:r w:rsidRPr="00445C1D">
        <w:t>a package of bees shipped or moved without comb, with or without a queen.</w:t>
      </w:r>
    </w:p>
    <w:p w14:paraId="2C5C9853" w14:textId="77777777" w:rsidR="00A20515" w:rsidRPr="00445C1D" w:rsidRDefault="00A20515" w:rsidP="00A20515">
      <w:pPr>
        <w:pStyle w:val="1"/>
      </w:pPr>
      <w:r w:rsidRPr="00445C1D">
        <w:rPr>
          <w:i/>
          <w:iCs/>
        </w:rPr>
        <w:lastRenderedPageBreak/>
        <w:t>Commissioner</w:t>
      </w:r>
      <w:r>
        <w:t>—</w:t>
      </w:r>
      <w:r w:rsidRPr="00445C1D">
        <w:t>the commissioner of agriculture and forestry.</w:t>
      </w:r>
    </w:p>
    <w:p w14:paraId="774C6BA9" w14:textId="77777777" w:rsidR="00A20515" w:rsidRPr="00445C1D" w:rsidRDefault="00A20515" w:rsidP="00A20515">
      <w:pPr>
        <w:pStyle w:val="1"/>
      </w:pPr>
      <w:r w:rsidRPr="00445C1D">
        <w:rPr>
          <w:i/>
          <w:iCs/>
        </w:rPr>
        <w:t>Department</w:t>
      </w:r>
      <w:r>
        <w:t>—</w:t>
      </w:r>
      <w:r w:rsidRPr="00445C1D">
        <w:t>the Louisiana Department of Agriculture and Forestry.</w:t>
      </w:r>
    </w:p>
    <w:p w14:paraId="49CB257C" w14:textId="77777777" w:rsidR="00A20515" w:rsidRPr="00445C1D" w:rsidRDefault="00A20515" w:rsidP="00A20515">
      <w:pPr>
        <w:pStyle w:val="1"/>
      </w:pPr>
      <w:r w:rsidRPr="00445C1D">
        <w:rPr>
          <w:i/>
          <w:iCs/>
        </w:rPr>
        <w:t>Disease</w:t>
      </w:r>
      <w:r w:rsidRPr="00445C1D">
        <w:t xml:space="preserve"> or </w:t>
      </w:r>
      <w:r w:rsidRPr="00445C1D">
        <w:rPr>
          <w:i/>
          <w:iCs/>
        </w:rPr>
        <w:t>Pest</w:t>
      </w:r>
      <w:r>
        <w:t>—</w:t>
      </w:r>
      <w:r w:rsidRPr="00445C1D">
        <w:t>any infectious condition of bees which is detrimental to the honey bee industry, including, but not limited to,</w:t>
      </w:r>
      <w:r>
        <w:t xml:space="preserve"> </w:t>
      </w:r>
      <w:r w:rsidRPr="00445C1D">
        <w:t>American foulbrood.</w:t>
      </w:r>
    </w:p>
    <w:p w14:paraId="1169DFE4" w14:textId="77777777" w:rsidR="00A20515" w:rsidRPr="00445C1D" w:rsidRDefault="00A20515" w:rsidP="00A20515">
      <w:pPr>
        <w:pStyle w:val="1"/>
      </w:pPr>
      <w:r w:rsidRPr="00445C1D">
        <w:rPr>
          <w:i/>
          <w:iCs/>
        </w:rPr>
        <w:t>Frame</w:t>
      </w:r>
      <w:r>
        <w:t>—</w:t>
      </w:r>
      <w:r w:rsidRPr="00445C1D">
        <w:t>a wooden or plastic case for holding honeycomb.</w:t>
      </w:r>
    </w:p>
    <w:p w14:paraId="25BED923" w14:textId="77777777" w:rsidR="00A20515" w:rsidRPr="00445C1D" w:rsidRDefault="00A20515" w:rsidP="00A20515">
      <w:pPr>
        <w:pStyle w:val="1"/>
      </w:pPr>
      <w:r w:rsidRPr="00445C1D">
        <w:rPr>
          <w:i/>
          <w:iCs/>
        </w:rPr>
        <w:t>Infested</w:t>
      </w:r>
      <w:r>
        <w:t>—</w:t>
      </w:r>
      <w:r w:rsidRPr="00445C1D">
        <w:t>the presence of any disease or pest of bees.</w:t>
      </w:r>
    </w:p>
    <w:p w14:paraId="259CED1B" w14:textId="77777777" w:rsidR="00A20515" w:rsidRPr="00445C1D" w:rsidRDefault="00A20515" w:rsidP="00A20515">
      <w:pPr>
        <w:pStyle w:val="1"/>
      </w:pPr>
      <w:r w:rsidRPr="00445C1D">
        <w:rPr>
          <w:i/>
          <w:iCs/>
        </w:rPr>
        <w:t>Nucleus</w:t>
      </w:r>
      <w:r>
        <w:t>—</w:t>
      </w:r>
      <w:r w:rsidRPr="00445C1D">
        <w:t>bees, brood, combs and honey in or inhabiting a small hive or portion of a standard hive or other dwelling place.</w:t>
      </w:r>
    </w:p>
    <w:p w14:paraId="1040F309" w14:textId="77777777" w:rsidR="00A20515" w:rsidRPr="00445C1D" w:rsidRDefault="00A20515" w:rsidP="00A20515">
      <w:pPr>
        <w:pStyle w:val="1"/>
      </w:pPr>
      <w:r w:rsidRPr="00445C1D">
        <w:rPr>
          <w:i/>
          <w:iCs/>
        </w:rPr>
        <w:t>Permit</w:t>
      </w:r>
      <w:r>
        <w:t>—</w:t>
      </w:r>
      <w:r w:rsidRPr="00445C1D">
        <w:t>a registration certificate issued by the department to a beekeeper upon registration in accordance with the apiary laws and regulations.</w:t>
      </w:r>
    </w:p>
    <w:p w14:paraId="26B86C06" w14:textId="77777777" w:rsidR="00A20515" w:rsidRPr="00445C1D" w:rsidRDefault="00A20515" w:rsidP="00A20515">
      <w:pPr>
        <w:pStyle w:val="1"/>
      </w:pPr>
      <w:r w:rsidRPr="00445C1D">
        <w:rPr>
          <w:i/>
          <w:iCs/>
        </w:rPr>
        <w:t>Person</w:t>
      </w:r>
      <w:r>
        <w:t>—</w:t>
      </w:r>
      <w:r w:rsidRPr="00445C1D">
        <w:t>an individual, firm, corporation or other legal entity.</w:t>
      </w:r>
    </w:p>
    <w:p w14:paraId="0C14EE29" w14:textId="77777777" w:rsidR="00A20515" w:rsidRPr="00445C1D" w:rsidRDefault="00A20515" w:rsidP="00A20515">
      <w:pPr>
        <w:pStyle w:val="1"/>
      </w:pPr>
      <w:r w:rsidRPr="00445C1D">
        <w:rPr>
          <w:i/>
        </w:rPr>
        <w:t>Quarantine</w:t>
      </w:r>
      <w:r>
        <w:t>—</w:t>
      </w:r>
      <w:r w:rsidRPr="00445C1D">
        <w:t>an official act of the state entomologist which prohibits or limits movement of bees or regulated articles when necessary to control, eradicate or prevent the introduction, spread or dissemination of any and all diseases of bees and all other pests of bees.</w:t>
      </w:r>
      <w:r>
        <w:t xml:space="preserve"> </w:t>
      </w:r>
      <w:r w:rsidRPr="00445C1D">
        <w:t>A quarantine is local when it covers specific apiaries, colonies, bees or regulated articles, or another specific location.</w:t>
      </w:r>
      <w:r>
        <w:t xml:space="preserve"> </w:t>
      </w:r>
      <w:r w:rsidRPr="00445C1D">
        <w:t>A quarantine is geographic when it covers a general area.</w:t>
      </w:r>
    </w:p>
    <w:p w14:paraId="1A01556B" w14:textId="77777777" w:rsidR="00A20515" w:rsidRPr="00445C1D" w:rsidRDefault="00A20515" w:rsidP="00A20515">
      <w:pPr>
        <w:pStyle w:val="1"/>
      </w:pPr>
      <w:r w:rsidRPr="00445C1D">
        <w:rPr>
          <w:i/>
          <w:iCs/>
        </w:rPr>
        <w:t>Quarantine Area</w:t>
      </w:r>
      <w:r>
        <w:t>—</w:t>
      </w:r>
      <w:r w:rsidRPr="00445C1D">
        <w:t>any area of the state designated by the state entomologist as having regulated articles which are or may be infected by a disease and/or infested with a pest, which presents a danger to other colonies of bees.</w:t>
      </w:r>
    </w:p>
    <w:p w14:paraId="40369807" w14:textId="77777777" w:rsidR="00A20515" w:rsidRPr="00445C1D" w:rsidRDefault="00A20515" w:rsidP="00A20515">
      <w:pPr>
        <w:pStyle w:val="1"/>
      </w:pPr>
      <w:r w:rsidRPr="00445C1D">
        <w:rPr>
          <w:i/>
          <w:iCs/>
        </w:rPr>
        <w:t>Queen</w:t>
      </w:r>
      <w:r>
        <w:t>—</w:t>
      </w:r>
      <w:r w:rsidRPr="00445C1D">
        <w:t>a fully developed female bee, capable of being fertilized.</w:t>
      </w:r>
    </w:p>
    <w:p w14:paraId="09731A31" w14:textId="77777777" w:rsidR="00A20515" w:rsidRPr="00445C1D" w:rsidRDefault="00A20515" w:rsidP="00A20515">
      <w:pPr>
        <w:pStyle w:val="1"/>
      </w:pPr>
      <w:r w:rsidRPr="00445C1D">
        <w:rPr>
          <w:i/>
          <w:iCs/>
        </w:rPr>
        <w:t>Regulated Areas</w:t>
      </w:r>
      <w:r>
        <w:t>—</w:t>
      </w:r>
      <w:r w:rsidRPr="00445C1D">
        <w:t>geographical areas outside of the state of Louisiana which have been designated by the U.S. Department of Agriculture, Louisiana Department of Agriculture and Forestry</w:t>
      </w:r>
      <w:r>
        <w:t>,</w:t>
      </w:r>
      <w:r w:rsidRPr="00445C1D">
        <w:t xml:space="preserve"> or local governmental officials as infested states or counties. Any state or county which fails to conduct annual inspections in accordance with inspection standards adopted by the Louisiana Department of Agriculture and Forestry shall be presumed to be a regulated area.</w:t>
      </w:r>
    </w:p>
    <w:p w14:paraId="1FC06E85" w14:textId="77777777" w:rsidR="00A20515" w:rsidRPr="00445C1D" w:rsidRDefault="00A20515" w:rsidP="00A20515">
      <w:pPr>
        <w:pStyle w:val="1"/>
      </w:pPr>
      <w:r w:rsidRPr="00445C1D">
        <w:rPr>
          <w:i/>
          <w:iCs/>
        </w:rPr>
        <w:t>Regulated Articles</w:t>
      </w:r>
      <w:r>
        <w:t>—</w:t>
      </w:r>
      <w:r w:rsidRPr="00445C1D">
        <w:t>colonies of bees, nuclei, comb or combless packages of bees, queens, used or second-hand beekeeping fixtures or equipment, and anything that has been used in operating an apiary.</w:t>
      </w:r>
    </w:p>
    <w:p w14:paraId="345C97F1" w14:textId="77777777" w:rsidR="00A20515" w:rsidRPr="00445C1D" w:rsidRDefault="00A20515" w:rsidP="00A20515">
      <w:pPr>
        <w:pStyle w:val="1"/>
      </w:pPr>
      <w:r w:rsidRPr="00445C1D">
        <w:rPr>
          <w:i/>
          <w:iCs/>
        </w:rPr>
        <w:t>State Entomologist</w:t>
      </w:r>
      <w:r>
        <w:t>—</w:t>
      </w:r>
      <w:r w:rsidRPr="00445C1D">
        <w:t>the entomologist of the Department of Agriculture and Forestry.</w:t>
      </w:r>
    </w:p>
    <w:p w14:paraId="5F3DD828" w14:textId="77777777" w:rsidR="00A20515" w:rsidRPr="00445C1D" w:rsidRDefault="00A20515" w:rsidP="00A20515">
      <w:pPr>
        <w:pStyle w:val="1"/>
      </w:pPr>
      <w:r w:rsidRPr="00445C1D">
        <w:rPr>
          <w:i/>
          <w:iCs/>
        </w:rPr>
        <w:t>Super</w:t>
      </w:r>
      <w:r>
        <w:t>—</w:t>
      </w:r>
      <w:r w:rsidRPr="00445C1D">
        <w:t>a standard frame hive body (all depths).</w:t>
      </w:r>
    </w:p>
    <w:p w14:paraId="629A6E0A" w14:textId="77777777" w:rsidR="00A20515" w:rsidRPr="00A1145E" w:rsidRDefault="00A20515" w:rsidP="00A20515">
      <w:pPr>
        <w:pStyle w:val="AuthorityNote"/>
      </w:pPr>
      <w:r w:rsidRPr="00445C1D">
        <w:t>AUTHORITY NOTE:</w:t>
      </w:r>
      <w:r w:rsidRPr="00445C1D">
        <w:tab/>
        <w:t>Promulgated in accordance with R.S. 3:2302 and R.S. 3:2303.</w:t>
      </w:r>
    </w:p>
    <w:p w14:paraId="597C6AF8"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 xml:space="preserve">Office of Animal Health </w:t>
      </w:r>
      <w:r>
        <w:t>and Food Safety and the Board of Animal Health, LR 40:928 (May 2014), amended by the Department of Agriculture and Forestry, Office of Agricultural and Environmental Sciences, LR 43:510 (March 2017).</w:t>
      </w:r>
    </w:p>
    <w:p w14:paraId="1520972B" w14:textId="77777777" w:rsidR="00A20515" w:rsidRPr="00A1145E" w:rsidRDefault="00A20515" w:rsidP="00A20515">
      <w:pPr>
        <w:pStyle w:val="Section"/>
      </w:pPr>
      <w:bookmarkStart w:id="1480" w:name="_Toc224818960"/>
      <w:bookmarkEnd w:id="1479"/>
      <w:r w:rsidRPr="00A1145E">
        <w:t>§503.</w:t>
      </w:r>
      <w:r w:rsidRPr="00A1145E">
        <w:tab/>
      </w:r>
      <w:r w:rsidRPr="00445C1D">
        <w:t>Restrictions on Movement of Bees or Regulated Articles into Louisiana</w:t>
      </w:r>
      <w:r>
        <w:br/>
        <w:t>(</w:t>
      </w:r>
      <w:r w:rsidRPr="00A1145E">
        <w:t xml:space="preserve">Formerly </w:t>
      </w:r>
      <w:r>
        <w:t>LAC 7:XXI.</w:t>
      </w:r>
      <w:r w:rsidRPr="00A1145E">
        <w:t>2511</w:t>
      </w:r>
      <w:r>
        <w:t>)</w:t>
      </w:r>
      <w:bookmarkEnd w:id="1480"/>
    </w:p>
    <w:p w14:paraId="1E5415C1" w14:textId="77777777" w:rsidR="00A20515" w:rsidRPr="00445C1D" w:rsidRDefault="00A20515" w:rsidP="00A20515">
      <w:pPr>
        <w:pStyle w:val="A"/>
      </w:pPr>
      <w:r>
        <w:t>A.</w:t>
      </w:r>
      <w:r>
        <w:tab/>
      </w:r>
      <w:r w:rsidRPr="00445C1D">
        <w:t>Movement of bees or regulated articles from regulated areas into Louisiana may require prior written authorization issued by the commissioner, state entomologist or department.</w:t>
      </w:r>
    </w:p>
    <w:p w14:paraId="1AD34B62" w14:textId="77777777" w:rsidR="00A20515" w:rsidRPr="00445C1D" w:rsidRDefault="00A20515" w:rsidP="00A20515">
      <w:pPr>
        <w:pStyle w:val="A"/>
      </w:pPr>
      <w:r>
        <w:t>B.</w:t>
      </w:r>
      <w:r>
        <w:tab/>
      </w:r>
      <w:r w:rsidRPr="00445C1D">
        <w:t>If the state entomologist or his agents find that any bees and/or regulated articles have been brought into this state in violation of any laws and/or regulations governing apiaries, the bees and/or regulated articles may be immediately placed under stop order until released by the commissioner or state entomologist.</w:t>
      </w:r>
      <w:r>
        <w:t xml:space="preserve"> </w:t>
      </w:r>
      <w:r w:rsidRPr="00445C1D">
        <w:t>Upon inspection, the bees or regulated articles may be placed under quarantine.</w:t>
      </w:r>
      <w:r>
        <w:t xml:space="preserve"> </w:t>
      </w:r>
      <w:r w:rsidRPr="00445C1D">
        <w:t>Any violation of stop order or quarantine shall constitute a violation of the apiary law and regulations.</w:t>
      </w:r>
    </w:p>
    <w:p w14:paraId="36FF9FE8" w14:textId="77777777" w:rsidR="00A20515" w:rsidRPr="00A1145E" w:rsidRDefault="00A20515" w:rsidP="00A20515">
      <w:pPr>
        <w:pStyle w:val="AuthorityNote"/>
      </w:pPr>
      <w:r w:rsidRPr="00445C1D">
        <w:t>AUTHORITY NOTE:</w:t>
      </w:r>
      <w:r w:rsidRPr="00445C1D">
        <w:tab/>
        <w:t>Promulgated in accordance with R.S. 3:2308 and R.S. 3:2303.</w:t>
      </w:r>
    </w:p>
    <w:p w14:paraId="07A64EB1" w14:textId="77777777" w:rsidR="00FC31C0" w:rsidRPr="00A1145E" w:rsidRDefault="00A20515" w:rsidP="00FC31C0">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40:929 (May 2014), amended by the Department of Agriculture and Forestry, Office of Agricultural and Environmental Sciences, LR 43:510 (March 2017).</w:t>
      </w:r>
    </w:p>
    <w:p w14:paraId="122593C0" w14:textId="77777777" w:rsidR="00A20515" w:rsidRPr="00A1145E" w:rsidRDefault="00A20515" w:rsidP="00A20515">
      <w:pPr>
        <w:pStyle w:val="Section"/>
      </w:pPr>
      <w:bookmarkStart w:id="1481" w:name="_Toc375025582"/>
      <w:bookmarkStart w:id="1482" w:name="_Toc224818961"/>
      <w:r w:rsidRPr="00A1145E">
        <w:t>§505.</w:t>
      </w:r>
      <w:r w:rsidRPr="00A1145E">
        <w:tab/>
      </w:r>
      <w:bookmarkEnd w:id="1481"/>
      <w:r w:rsidRPr="00445C1D">
        <w:t>Interstate Movement of Supers and Frames Used in Shipping Honey</w:t>
      </w:r>
      <w:r>
        <w:br/>
        <w:t>(</w:t>
      </w:r>
      <w:r w:rsidRPr="00A1145E">
        <w:t xml:space="preserve">Formerly </w:t>
      </w:r>
      <w:r>
        <w:t>LAC 7:XXI.</w:t>
      </w:r>
      <w:r w:rsidRPr="00A1145E">
        <w:t>2513</w:t>
      </w:r>
      <w:r>
        <w:t>)</w:t>
      </w:r>
      <w:bookmarkEnd w:id="1482"/>
    </w:p>
    <w:p w14:paraId="46A1F01C" w14:textId="77777777" w:rsidR="00A20515" w:rsidRPr="00445C1D" w:rsidRDefault="00A20515" w:rsidP="00A20515">
      <w:pPr>
        <w:pStyle w:val="A"/>
      </w:pPr>
      <w:r>
        <w:t>A.</w:t>
      </w:r>
      <w:r>
        <w:tab/>
      </w:r>
      <w:r w:rsidRPr="00445C1D">
        <w:t>Class A permit holders, by written authorization of the commissioner or state entomologist, may move supers filled with frames and/or honey into and out of the state provided that each such super is moved free of bees and under a bee proof enclosure.</w:t>
      </w:r>
      <w:r>
        <w:t xml:space="preserve"> </w:t>
      </w:r>
      <w:r w:rsidRPr="00445C1D">
        <w:t>Each load of supers must bear a brand or label containing the name, address and telephone number of the shipper or mover.</w:t>
      </w:r>
    </w:p>
    <w:p w14:paraId="4D854753" w14:textId="77777777" w:rsidR="00A20515" w:rsidRPr="00445C1D" w:rsidRDefault="00A20515" w:rsidP="00A20515">
      <w:pPr>
        <w:pStyle w:val="A"/>
      </w:pPr>
      <w:r>
        <w:t>B.</w:t>
      </w:r>
      <w:r>
        <w:tab/>
      </w:r>
      <w:r w:rsidRPr="00445C1D">
        <w:t>The department shall be notified, either in advance of or at the time of arrival, of the number of such supers filled with frames and/or honey being moved into the state.</w:t>
      </w:r>
      <w:r>
        <w:t xml:space="preserve"> </w:t>
      </w:r>
      <w:r w:rsidRPr="00445C1D">
        <w:t>The department shall also be provided the name, address and telephone number of the recipient of each super if the recipient is not the class A permit holder to whom written authorization was issued.</w:t>
      </w:r>
    </w:p>
    <w:p w14:paraId="0D0E1D3D" w14:textId="77777777" w:rsidR="00A20515" w:rsidRPr="00445C1D" w:rsidRDefault="00A20515" w:rsidP="00A20515">
      <w:pPr>
        <w:pStyle w:val="A"/>
      </w:pPr>
      <w:r>
        <w:t>C.</w:t>
      </w:r>
      <w:r>
        <w:tab/>
      </w:r>
      <w:r w:rsidRPr="00445C1D">
        <w:t>All such supers filled with frames and/or honey shall be subject to inspection by authorized department personnel.</w:t>
      </w:r>
    </w:p>
    <w:p w14:paraId="718457B7" w14:textId="77777777" w:rsidR="00A20515" w:rsidRPr="00A1145E" w:rsidRDefault="00A20515" w:rsidP="00A20515">
      <w:pPr>
        <w:pStyle w:val="AuthorityNote"/>
      </w:pPr>
      <w:r w:rsidRPr="00445C1D">
        <w:t>AUTHORITY NOTE:</w:t>
      </w:r>
      <w:r w:rsidRPr="00445C1D">
        <w:tab/>
        <w:t>Promulgated in accordance with R.S. 3:2303.</w:t>
      </w:r>
    </w:p>
    <w:p w14:paraId="7D260E46"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40:930 (May 2014), amended by the Department of Agriculture and Forestry, Office of Agricultural and Environmental Sciences, LR 43:511 (March 2017).</w:t>
      </w:r>
    </w:p>
    <w:p w14:paraId="37FE8AF1" w14:textId="77777777" w:rsidR="00A20515" w:rsidRPr="00A1145E" w:rsidRDefault="00A20515" w:rsidP="00A20515">
      <w:pPr>
        <w:pStyle w:val="Section"/>
      </w:pPr>
      <w:bookmarkStart w:id="1483" w:name="_Toc375025577"/>
      <w:bookmarkStart w:id="1484" w:name="_Toc224818962"/>
      <w:r w:rsidRPr="00A1145E">
        <w:lastRenderedPageBreak/>
        <w:t>§507.</w:t>
      </w:r>
      <w:r w:rsidRPr="00A1145E">
        <w:tab/>
      </w:r>
      <w:bookmarkEnd w:id="1483"/>
      <w:r w:rsidRPr="00445C1D">
        <w:t>Annual Registration and Designation of Class A and B Permits</w:t>
      </w:r>
      <w:r>
        <w:br/>
        <w:t>(</w:t>
      </w:r>
      <w:r w:rsidRPr="00A1145E">
        <w:t>Formerly</w:t>
      </w:r>
      <w:r>
        <w:t xml:space="preserve"> LAC 7:XXI.</w:t>
      </w:r>
      <w:r w:rsidRPr="00A1145E">
        <w:t>2503</w:t>
      </w:r>
      <w:r>
        <w:t>)</w:t>
      </w:r>
      <w:bookmarkEnd w:id="1484"/>
    </w:p>
    <w:p w14:paraId="3B250E9A" w14:textId="77777777" w:rsidR="00A20515" w:rsidRPr="00445C1D" w:rsidRDefault="00A20515" w:rsidP="00A20515">
      <w:pPr>
        <w:pStyle w:val="A"/>
        <w:rPr>
          <w:strike/>
        </w:rPr>
      </w:pPr>
      <w:r w:rsidRPr="00445C1D">
        <w:t>A.</w:t>
      </w:r>
      <w:r w:rsidRPr="00445C1D">
        <w:tab/>
        <w:t>Beekeepers will be designated as class A or class B permit holders. To be eligible for a class A permit, an applicant must either:</w:t>
      </w:r>
    </w:p>
    <w:p w14:paraId="17ADF5A0" w14:textId="77777777" w:rsidR="00A20515" w:rsidRPr="00445C1D" w:rsidRDefault="00A20515" w:rsidP="00A20515">
      <w:pPr>
        <w:pStyle w:val="1"/>
      </w:pPr>
      <w:r w:rsidRPr="00445C1D">
        <w:t>1.</w:t>
      </w:r>
      <w:r w:rsidRPr="00445C1D">
        <w:tab/>
        <w:t>be domiciled in this state; or</w:t>
      </w:r>
    </w:p>
    <w:p w14:paraId="07B4C023" w14:textId="77777777" w:rsidR="00A20515" w:rsidRPr="00445C1D" w:rsidRDefault="00A20515" w:rsidP="00A20515">
      <w:pPr>
        <w:pStyle w:val="1"/>
      </w:pPr>
      <w:r w:rsidRPr="00445C1D">
        <w:t>2.</w:t>
      </w:r>
      <w:r w:rsidRPr="00445C1D">
        <w:tab/>
        <w:t>have held a class B permit for three consecutive violation-free years. If violations are incurred at any time during this three-year period, the class B permit holder will automatically be placed back at year one, pending payment of any fines levied against him by the commissioner.</w:t>
      </w:r>
    </w:p>
    <w:p w14:paraId="3C3BBD5B" w14:textId="77777777" w:rsidR="00A20515" w:rsidRPr="00445C1D" w:rsidRDefault="00A20515" w:rsidP="00A20515">
      <w:pPr>
        <w:pStyle w:val="A"/>
        <w:rPr>
          <w:strike/>
        </w:rPr>
      </w:pPr>
      <w:r w:rsidRPr="00445C1D">
        <w:t>B.</w:t>
      </w:r>
      <w:r>
        <w:tab/>
      </w:r>
      <w:r w:rsidRPr="00445C1D">
        <w:t>The holder of a class A permit may do the following:</w:t>
      </w:r>
    </w:p>
    <w:p w14:paraId="5ADC2034" w14:textId="77777777" w:rsidR="00A20515" w:rsidRPr="00445C1D" w:rsidRDefault="00A20515" w:rsidP="00A20515">
      <w:pPr>
        <w:pStyle w:val="1"/>
      </w:pPr>
      <w:r w:rsidRPr="00445C1D">
        <w:t>1.</w:t>
      </w:r>
      <w:r>
        <w:tab/>
      </w:r>
      <w:r w:rsidRPr="00445C1D">
        <w:t>keep or move bees within Louisiana in new or used beekeeping equipment;</w:t>
      </w:r>
    </w:p>
    <w:p w14:paraId="49CC440E" w14:textId="77777777" w:rsidR="00A20515" w:rsidRPr="00445C1D" w:rsidRDefault="00A20515" w:rsidP="00A20515">
      <w:pPr>
        <w:pStyle w:val="1"/>
      </w:pPr>
      <w:r>
        <w:t>2.</w:t>
      </w:r>
      <w:r>
        <w:tab/>
      </w:r>
      <w:r w:rsidRPr="00445C1D">
        <w:t>apply to the department for an inspection for the purpose of moving bees;</w:t>
      </w:r>
    </w:p>
    <w:p w14:paraId="3C5BACC5" w14:textId="77777777" w:rsidR="00A20515" w:rsidRPr="00445C1D" w:rsidRDefault="00A20515" w:rsidP="00A20515">
      <w:pPr>
        <w:pStyle w:val="1"/>
      </w:pPr>
      <w:r>
        <w:t>3</w:t>
      </w:r>
      <w:r>
        <w:tab/>
      </w:r>
      <w:r w:rsidRPr="00445C1D">
        <w:t>move bees out of Louisiana upon receiving a certificate of inspection from the department; and</w:t>
      </w:r>
    </w:p>
    <w:p w14:paraId="23FFD9AF" w14:textId="77777777" w:rsidR="00A20515" w:rsidRPr="00445C1D" w:rsidRDefault="00A20515" w:rsidP="00A20515">
      <w:pPr>
        <w:pStyle w:val="1"/>
      </w:pPr>
      <w:r>
        <w:t>4.</w:t>
      </w:r>
      <w:r>
        <w:tab/>
      </w:r>
      <w:r w:rsidRPr="00445C1D">
        <w:t>move bees into Louisiana as long as bees are accompanied by an inspection certificate from the state of origin.</w:t>
      </w:r>
    </w:p>
    <w:p w14:paraId="294ED96E" w14:textId="77777777" w:rsidR="00A20515" w:rsidRPr="00445C1D" w:rsidRDefault="00A20515" w:rsidP="00A20515">
      <w:pPr>
        <w:pStyle w:val="A"/>
      </w:pPr>
      <w:r w:rsidRPr="00445C1D">
        <w:t>C.</w:t>
      </w:r>
      <w:r>
        <w:tab/>
      </w:r>
      <w:r w:rsidRPr="00445C1D">
        <w:t>The holder of a class B permit may do the following:</w:t>
      </w:r>
    </w:p>
    <w:p w14:paraId="50F8160B" w14:textId="77777777" w:rsidR="00A20515" w:rsidRPr="00445C1D" w:rsidRDefault="00A20515" w:rsidP="00A20515">
      <w:pPr>
        <w:pStyle w:val="1"/>
      </w:pPr>
      <w:r>
        <w:t>1.</w:t>
      </w:r>
      <w:r>
        <w:tab/>
      </w:r>
      <w:r w:rsidRPr="00445C1D">
        <w:t>keep or move bees within Louisiana as long as the bees or equipment are established in Louisiana and are obtained from a beekeeper registered with the department;</w:t>
      </w:r>
    </w:p>
    <w:p w14:paraId="58728FF7" w14:textId="77777777" w:rsidR="00A20515" w:rsidRPr="00445C1D" w:rsidRDefault="00A20515" w:rsidP="00A20515">
      <w:pPr>
        <w:pStyle w:val="1"/>
      </w:pPr>
      <w:r>
        <w:t>2.</w:t>
      </w:r>
      <w:r>
        <w:tab/>
      </w:r>
      <w:r w:rsidRPr="00445C1D">
        <w:t>keep or move bees obtained as a combless package that have been certified from the state of origin into Louisiana and move new, but not used, beekeeping equipment into Louisiana; and</w:t>
      </w:r>
    </w:p>
    <w:p w14:paraId="3E09ED1E" w14:textId="77777777" w:rsidR="00A20515" w:rsidRPr="00445C1D" w:rsidRDefault="00A20515" w:rsidP="00A20515">
      <w:pPr>
        <w:pStyle w:val="1"/>
      </w:pPr>
      <w:r>
        <w:t>3.</w:t>
      </w:r>
      <w:r>
        <w:tab/>
      </w:r>
      <w:r w:rsidRPr="00445C1D">
        <w:t>apply to the department for a certificate of inspection for the purpose of determining the general health of the bees and to establish that the bees are not in violation of any apiary laws or regulations.</w:t>
      </w:r>
      <w:r>
        <w:t xml:space="preserve"> </w:t>
      </w:r>
      <w:r w:rsidRPr="00445C1D">
        <w:t>This certificate of inspection will not confer authority on a class B permit holder to move bees.</w:t>
      </w:r>
    </w:p>
    <w:p w14:paraId="1DDA7171" w14:textId="77777777" w:rsidR="00A20515" w:rsidRPr="00A73BF2" w:rsidRDefault="00A20515" w:rsidP="00A20515">
      <w:pPr>
        <w:pStyle w:val="A"/>
      </w:pPr>
      <w:r w:rsidRPr="00A73BF2">
        <w:t>D.</w:t>
      </w:r>
      <w:r w:rsidRPr="00A73BF2">
        <w:tab/>
        <w:t>The holder of a class B permit shall do the following:</w:t>
      </w:r>
    </w:p>
    <w:p w14:paraId="603EB1D9" w14:textId="77777777" w:rsidR="00A20515" w:rsidRPr="00445C1D" w:rsidRDefault="00A20515" w:rsidP="00A20515">
      <w:pPr>
        <w:pStyle w:val="1"/>
      </w:pPr>
      <w:r w:rsidRPr="00A73BF2">
        <w:t>1.</w:t>
      </w:r>
      <w:r w:rsidRPr="00A73BF2">
        <w:tab/>
        <w:t>maintain his yard or apiary a minimum of two miles from any other bee yard or apiary for three consecutive violation-free years.</w:t>
      </w:r>
      <w:r>
        <w:t xml:space="preserve"> </w:t>
      </w:r>
      <w:r w:rsidRPr="00A73BF2">
        <w:t>However, any registered beekeeper who owns property may locate his or her own apiary anywhere on that property.</w:t>
      </w:r>
      <w:r>
        <w:t xml:space="preserve"> </w:t>
      </w:r>
      <w:r w:rsidRPr="00A73BF2">
        <w:t>The holder of a class B permit must be able to demonstrate that he made reasonable efforts to ascertain and ensure that his bee yard or apiary would not be set up within a two mile radius of an existing bee yard or apiary.</w:t>
      </w:r>
      <w:r>
        <w:t xml:space="preserve"> </w:t>
      </w:r>
      <w:r w:rsidRPr="00A73BF2">
        <w:t>The holder of a class B permit may move his yard or apiary within two miles of an existing yard or apiary if the owner of the existing apiary gives written permi</w:t>
      </w:r>
      <w:r>
        <w:t>ssion;</w:t>
      </w:r>
    </w:p>
    <w:p w14:paraId="6039BBB4" w14:textId="77777777" w:rsidR="00A20515" w:rsidRPr="00445C1D" w:rsidRDefault="00A20515" w:rsidP="00A20515">
      <w:pPr>
        <w:pStyle w:val="1"/>
      </w:pPr>
      <w:r w:rsidRPr="00445C1D">
        <w:t>2.</w:t>
      </w:r>
      <w:r w:rsidRPr="00445C1D">
        <w:tab/>
        <w:t>provide the department with a map and the GPS coordinates of his bee yard or apiary every year at the time when the bees are registered with the department; and</w:t>
      </w:r>
    </w:p>
    <w:p w14:paraId="21E2DB7C" w14:textId="77777777" w:rsidR="00A20515" w:rsidRPr="00445C1D" w:rsidRDefault="00A20515" w:rsidP="00A20515">
      <w:pPr>
        <w:pStyle w:val="1"/>
      </w:pPr>
      <w:r w:rsidRPr="00445C1D">
        <w:t>3.</w:t>
      </w:r>
      <w:r w:rsidRPr="00445C1D">
        <w:tab/>
        <w:t>apply for an inspection of the bees and be inspected for three consecutive years and be found free of any regulated pests of diseases during those years.</w:t>
      </w:r>
    </w:p>
    <w:p w14:paraId="170AD787" w14:textId="77777777" w:rsidR="00A20515" w:rsidRPr="00445C1D" w:rsidRDefault="00A20515" w:rsidP="00A20515">
      <w:pPr>
        <w:pStyle w:val="A"/>
      </w:pPr>
      <w:r w:rsidRPr="00445C1D">
        <w:t>E.</w:t>
      </w:r>
      <w:r w:rsidRPr="00445C1D">
        <w:tab/>
        <w:t>Permits issued for registration shall not allow the holder to move bees or regulated articles as is provided for with a certificate of inspection.</w:t>
      </w:r>
    </w:p>
    <w:p w14:paraId="15FB015B" w14:textId="77777777" w:rsidR="00A20515" w:rsidRPr="00445C1D" w:rsidRDefault="00A20515" w:rsidP="00A20515">
      <w:pPr>
        <w:pStyle w:val="A"/>
      </w:pPr>
      <w:r w:rsidRPr="00445C1D">
        <w:t>F.</w:t>
      </w:r>
      <w:r w:rsidRPr="00445C1D">
        <w:tab/>
        <w:t>Failure to register colonies of bees in the state of Louisiana is a violation of this Part.</w:t>
      </w:r>
    </w:p>
    <w:p w14:paraId="596FB315" w14:textId="77777777" w:rsidR="00A20515" w:rsidRPr="00A1145E" w:rsidRDefault="00A20515" w:rsidP="00A20515">
      <w:pPr>
        <w:pStyle w:val="AuthorityNote"/>
      </w:pPr>
      <w:r w:rsidRPr="00445C1D">
        <w:t>AUTHORITY NOTE:</w:t>
      </w:r>
      <w:r w:rsidRPr="00445C1D">
        <w:tab/>
        <w:t>Promulgated in accordance with R.S. 3:2305 and R.S. 2:2303.</w:t>
      </w:r>
    </w:p>
    <w:p w14:paraId="2D362138"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bookmarkStart w:id="1485" w:name="_Toc375025578"/>
      <w:r>
        <w:t>LR 40:930 (May 2014), amended by the Department of Agriculture and Forestry, Office of Agricultural and Environmental Sciences, LR 43:511 (March 2017).</w:t>
      </w:r>
    </w:p>
    <w:p w14:paraId="10A52D19" w14:textId="77777777" w:rsidR="00A20515" w:rsidRPr="00A1145E" w:rsidRDefault="00A20515" w:rsidP="00A20515">
      <w:pPr>
        <w:pStyle w:val="Section"/>
      </w:pPr>
      <w:bookmarkStart w:id="1486" w:name="_Toc224818963"/>
      <w:r w:rsidRPr="00A1145E">
        <w:t>§509.</w:t>
      </w:r>
      <w:r w:rsidRPr="00A1145E">
        <w:tab/>
      </w:r>
      <w:bookmarkEnd w:id="1485"/>
      <w:r w:rsidRPr="00445C1D">
        <w:t>Authority to Enter Premises</w:t>
      </w:r>
      <w:r>
        <w:br/>
        <w:t>(</w:t>
      </w:r>
      <w:r w:rsidRPr="00A1145E">
        <w:t xml:space="preserve">Formerly </w:t>
      </w:r>
      <w:r>
        <w:t>LAC 7:XXI.</w:t>
      </w:r>
      <w:r w:rsidRPr="00A1145E">
        <w:t>2505</w:t>
      </w:r>
      <w:r>
        <w:t>)</w:t>
      </w:r>
      <w:bookmarkEnd w:id="1486"/>
    </w:p>
    <w:p w14:paraId="2BBFE410" w14:textId="77777777" w:rsidR="00A20515" w:rsidRPr="00445C1D" w:rsidRDefault="00A20515" w:rsidP="00A20515">
      <w:pPr>
        <w:pStyle w:val="A"/>
      </w:pPr>
      <w:r>
        <w:t>A.</w:t>
      </w:r>
      <w:r>
        <w:tab/>
      </w:r>
      <w:r w:rsidRPr="00445C1D">
        <w:t>For the purpose of ascertaining whether bees or regulated articles may have been or are being transported in violation of the apiary law or regulations, authorized personnel may enter onto property in the state where apiaries, bees or regulated articles are located, or are reasonably believed to be located, to determine if colonies or apiaries located on the property have been registered and are in compliance with all other apiary laws and regulations.</w:t>
      </w:r>
    </w:p>
    <w:p w14:paraId="7B9CF454" w14:textId="77777777" w:rsidR="00A20515" w:rsidRPr="00A1145E" w:rsidRDefault="00A20515" w:rsidP="00A20515">
      <w:pPr>
        <w:pStyle w:val="AuthorityNote"/>
      </w:pPr>
      <w:r w:rsidRPr="00445C1D">
        <w:t>AUTHORITY NOTE:</w:t>
      </w:r>
      <w:r w:rsidRPr="00445C1D">
        <w:tab/>
        <w:t>Promulgated in accordance with R.S. 3:2308 and R.S. 3:2303.</w:t>
      </w:r>
    </w:p>
    <w:p w14:paraId="4F563566"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40:930 (May 2014), amended by the Department of Agriculture and Forestry, Office of Agricultural and Environmental Sciences, LR 43:511 (March 2017).</w:t>
      </w:r>
    </w:p>
    <w:p w14:paraId="394B5FB3" w14:textId="77777777" w:rsidR="00A20515" w:rsidRPr="00A1145E" w:rsidRDefault="00A20515" w:rsidP="00A20515">
      <w:pPr>
        <w:pStyle w:val="Section"/>
      </w:pPr>
      <w:bookmarkStart w:id="1487" w:name="_Toc375025579"/>
      <w:bookmarkStart w:id="1488" w:name="_Toc224818964"/>
      <w:r w:rsidRPr="00A1145E">
        <w:t>§511.</w:t>
      </w:r>
      <w:r w:rsidRPr="00A1145E">
        <w:tab/>
        <w:t>Applications for Inspection</w:t>
      </w:r>
      <w:bookmarkEnd w:id="1487"/>
      <w:r>
        <w:br/>
        <w:t>(</w:t>
      </w:r>
      <w:r w:rsidRPr="00A1145E">
        <w:t xml:space="preserve">Formerly </w:t>
      </w:r>
      <w:r>
        <w:t>LAC 7:XXI.</w:t>
      </w:r>
      <w:r w:rsidRPr="00A1145E">
        <w:t>2507</w:t>
      </w:r>
      <w:r>
        <w:t>)</w:t>
      </w:r>
      <w:bookmarkEnd w:id="1488"/>
    </w:p>
    <w:p w14:paraId="1BA3211C" w14:textId="77777777" w:rsidR="00A20515" w:rsidRPr="00445C1D" w:rsidRDefault="00A20515" w:rsidP="00A20515">
      <w:pPr>
        <w:pStyle w:val="A"/>
      </w:pPr>
      <w:r w:rsidRPr="00445C1D">
        <w:t>A.</w:t>
      </w:r>
      <w:r w:rsidRPr="00445C1D">
        <w:tab/>
        <w:t>Beekeepers who desire certificates of inspection authorizing the movement of bees and/or regulated articles shall make application for inspection on a form that will be furnished by the department prior to moving the bees and/or regulated articles</w:t>
      </w:r>
      <w:r>
        <w:t>.</w:t>
      </w:r>
    </w:p>
    <w:p w14:paraId="5C39E2CC" w14:textId="77777777" w:rsidR="00A20515" w:rsidRPr="00445C1D" w:rsidRDefault="00A20515" w:rsidP="00A20515">
      <w:pPr>
        <w:pStyle w:val="A"/>
      </w:pPr>
      <w:r w:rsidRPr="00445C1D">
        <w:t>B.</w:t>
      </w:r>
      <w:r w:rsidRPr="00445C1D">
        <w:tab/>
        <w:t xml:space="preserve">The applicant must furnish the department with </w:t>
      </w:r>
      <w:r w:rsidRPr="001A7CE8">
        <w:t>a</w:t>
      </w:r>
      <w:r>
        <w:t xml:space="preserve"> </w:t>
      </w:r>
      <w:r w:rsidRPr="001A7CE8">
        <w:t>map</w:t>
      </w:r>
      <w:r w:rsidRPr="00445C1D">
        <w:t xml:space="preserve"> showing the location of the bees and/or regulated articles to be moved.</w:t>
      </w:r>
      <w:r>
        <w:t xml:space="preserve"> </w:t>
      </w:r>
      <w:r w:rsidRPr="00445C1D">
        <w:t>If the bees or regulated articles are at one or more apiaries, then a map showing each apiary where the bees or regulated articles are located must be submitted along with the application.</w:t>
      </w:r>
      <w:r>
        <w:t xml:space="preserve"> </w:t>
      </w:r>
      <w:r w:rsidRPr="00445C1D">
        <w:t>Any relocation of any bees or regulated articles that are scheduled to be moved shall be provided to the department prior to or as soon as possible after the relocation.</w:t>
      </w:r>
      <w:r>
        <w:t xml:space="preserve"> </w:t>
      </w:r>
    </w:p>
    <w:p w14:paraId="33BE8BB8" w14:textId="77777777" w:rsidR="00A20515" w:rsidRPr="00445C1D" w:rsidRDefault="00A20515" w:rsidP="00A20515">
      <w:pPr>
        <w:pStyle w:val="A"/>
      </w:pPr>
      <w:r>
        <w:t>C.</w:t>
      </w:r>
      <w:r>
        <w:tab/>
      </w:r>
      <w:r w:rsidRPr="00445C1D">
        <w:t>The intrastate relocation of bees or regulated articles shall not require a certificate of inspection unless the bees or regulated articles are located in an area under a geographic or local quarantine or are under stop order.</w:t>
      </w:r>
    </w:p>
    <w:p w14:paraId="3002E2FE" w14:textId="77777777" w:rsidR="00A20515" w:rsidRPr="00A1145E" w:rsidRDefault="00A20515" w:rsidP="00A20515">
      <w:pPr>
        <w:pStyle w:val="AuthorityNote"/>
      </w:pPr>
      <w:r w:rsidRPr="00445C1D">
        <w:lastRenderedPageBreak/>
        <w:t>AUTHORITY NOTE:</w:t>
      </w:r>
      <w:r w:rsidRPr="00445C1D">
        <w:tab/>
        <w:t>Promulgated in accordance with R.S. 3:2307 and R.S. 3:2303.</w:t>
      </w:r>
    </w:p>
    <w:p w14:paraId="79CAF93F"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r>
        <w:t>LR 40:930 (May 2014), amended by the Department of Agriculture and Forestry, Office of Agricultural and Environmental Sciences, LR 43:512 (March 2017).</w:t>
      </w:r>
    </w:p>
    <w:p w14:paraId="7AC8D0F5" w14:textId="77777777" w:rsidR="00A20515" w:rsidRPr="00A1145E" w:rsidRDefault="00A20515" w:rsidP="00A20515">
      <w:pPr>
        <w:pStyle w:val="Section"/>
      </w:pPr>
      <w:bookmarkStart w:id="1489" w:name="_Toc375025580"/>
      <w:bookmarkStart w:id="1490" w:name="_Toc224818965"/>
      <w:r w:rsidRPr="00A1145E">
        <w:t>§513.</w:t>
      </w:r>
      <w:r w:rsidRPr="00A1145E">
        <w:tab/>
        <w:t>Issuance and Use of Certificates of Inspection</w:t>
      </w:r>
      <w:bookmarkEnd w:id="1489"/>
      <w:r>
        <w:br/>
        <w:t>(</w:t>
      </w:r>
      <w:r w:rsidRPr="00A1145E">
        <w:t xml:space="preserve">Formerly </w:t>
      </w:r>
      <w:r>
        <w:t>LAC 7:XXI.</w:t>
      </w:r>
      <w:r w:rsidRPr="00A1145E">
        <w:t>2509</w:t>
      </w:r>
      <w:r>
        <w:t>)</w:t>
      </w:r>
      <w:bookmarkEnd w:id="1490"/>
    </w:p>
    <w:p w14:paraId="05053693" w14:textId="77777777" w:rsidR="00A20515" w:rsidRPr="00445C1D" w:rsidRDefault="00A20515" w:rsidP="00A20515">
      <w:pPr>
        <w:pStyle w:val="A"/>
      </w:pPr>
      <w:r>
        <w:t>A.</w:t>
      </w:r>
      <w:r>
        <w:tab/>
      </w:r>
      <w:r w:rsidRPr="00445C1D">
        <w:t>No certificate of inspection shall be issued by the department for the movement of bees or regulated articles unless the bees or regulated articles come from apiaries that:</w:t>
      </w:r>
    </w:p>
    <w:p w14:paraId="340B6AB6" w14:textId="77777777" w:rsidR="00A20515" w:rsidRPr="00445C1D" w:rsidRDefault="00A20515" w:rsidP="00A20515">
      <w:pPr>
        <w:pStyle w:val="1"/>
      </w:pPr>
      <w:r>
        <w:t>1.</w:t>
      </w:r>
      <w:r>
        <w:tab/>
      </w:r>
      <w:r w:rsidRPr="00445C1D">
        <w:t>are not under a geographic or local quarantine or a stop order;</w:t>
      </w:r>
    </w:p>
    <w:p w14:paraId="3509A2A2" w14:textId="77777777" w:rsidR="00A20515" w:rsidRPr="00445C1D" w:rsidRDefault="00A20515" w:rsidP="00A20515">
      <w:pPr>
        <w:pStyle w:val="1"/>
      </w:pPr>
      <w:r>
        <w:t>2.</w:t>
      </w:r>
      <w:r>
        <w:tab/>
      </w:r>
      <w:r w:rsidRPr="00445C1D">
        <w:t>have been inspected at least once in the twelve months prior to the date of application for a certificate of inspection;</w:t>
      </w:r>
    </w:p>
    <w:p w14:paraId="4DB0E483" w14:textId="77777777" w:rsidR="00A20515" w:rsidRPr="00445C1D" w:rsidRDefault="00A20515" w:rsidP="00A20515">
      <w:pPr>
        <w:pStyle w:val="1"/>
      </w:pPr>
      <w:r>
        <w:t>3.</w:t>
      </w:r>
      <w:r>
        <w:tab/>
      </w:r>
      <w:r w:rsidRPr="00445C1D">
        <w:t>are free of American foulbrood infection; and</w:t>
      </w:r>
    </w:p>
    <w:p w14:paraId="163B5042" w14:textId="77777777" w:rsidR="00A20515" w:rsidRPr="00445C1D" w:rsidRDefault="00A20515" w:rsidP="00A20515">
      <w:pPr>
        <w:pStyle w:val="1"/>
      </w:pPr>
      <w:r>
        <w:t>4.</w:t>
      </w:r>
      <w:r>
        <w:tab/>
      </w:r>
      <w:r w:rsidRPr="00445C1D">
        <w:t>have effective control of any other disease or pest, if such an infestation is present.</w:t>
      </w:r>
    </w:p>
    <w:p w14:paraId="7C829F35" w14:textId="77777777" w:rsidR="00A20515" w:rsidRPr="00445C1D" w:rsidRDefault="00A20515" w:rsidP="00A20515">
      <w:pPr>
        <w:pStyle w:val="A"/>
        <w:rPr>
          <w:strike/>
        </w:rPr>
      </w:pPr>
      <w:r w:rsidRPr="00445C1D">
        <w:t>B.</w:t>
      </w:r>
      <w:r w:rsidRPr="00445C1D">
        <w:tab/>
        <w:t>Certificates of inspection shall not be issued to cover the shipment or movement of bees and/or regulated articles from an area that has been quarantined on account of American foulbrood infection until it has been determined by state entomologist that the American foul-brood infestation has been destroyed</w:t>
      </w:r>
      <w:r w:rsidRPr="00445C1D">
        <w:rPr>
          <w:i/>
        </w:rPr>
        <w:t xml:space="preserve">. </w:t>
      </w:r>
    </w:p>
    <w:p w14:paraId="3A22AD0A" w14:textId="77777777" w:rsidR="00A20515" w:rsidRPr="00445C1D" w:rsidRDefault="00A20515" w:rsidP="00A20515">
      <w:pPr>
        <w:pStyle w:val="A"/>
      </w:pPr>
      <w:r>
        <w:t>C.</w:t>
      </w:r>
      <w:r>
        <w:tab/>
      </w:r>
      <w:r w:rsidRPr="00445C1D">
        <w:t>The issuance of a certificate of inspection by the department is discretionary if the applicant is not registered with the department, the colony or apiary to be inspected is not registered with the department, the applicant owes outstanding fines or fees to the department, the apiaries are not properly marked, or if the applicant is otherwise not in compliance with the apiary laws and regulations.</w:t>
      </w:r>
    </w:p>
    <w:p w14:paraId="5F552AFA" w14:textId="77777777" w:rsidR="00A20515" w:rsidRPr="00445C1D" w:rsidRDefault="00A20515" w:rsidP="00A20515">
      <w:pPr>
        <w:pStyle w:val="A"/>
      </w:pPr>
      <w:r>
        <w:t>D.</w:t>
      </w:r>
      <w:r>
        <w:tab/>
      </w:r>
      <w:r w:rsidRPr="00445C1D">
        <w:t>No certificate of inspection issued by the department shall be used to move bees or regulated articles from any apiary or other location not listed on the certificate of inspection.</w:t>
      </w:r>
    </w:p>
    <w:p w14:paraId="615EAA8F" w14:textId="77777777" w:rsidR="00A20515" w:rsidRPr="00445C1D" w:rsidRDefault="00A20515" w:rsidP="00A20515">
      <w:pPr>
        <w:pStyle w:val="A"/>
      </w:pPr>
      <w:r>
        <w:t>E.</w:t>
      </w:r>
      <w:r>
        <w:tab/>
      </w:r>
      <w:r w:rsidRPr="00445C1D">
        <w:t>All hives shall have removable tops and frames allowing inspection at all depths.</w:t>
      </w:r>
    </w:p>
    <w:p w14:paraId="07C225D1" w14:textId="77777777" w:rsidR="00A20515" w:rsidRPr="00A1145E" w:rsidRDefault="00A20515" w:rsidP="00A20515">
      <w:pPr>
        <w:pStyle w:val="AuthorityNote"/>
      </w:pPr>
      <w:r w:rsidRPr="00445C1D">
        <w:t>AUTHORITY NOTE:</w:t>
      </w:r>
      <w:r w:rsidRPr="00445C1D">
        <w:tab/>
        <w:t>Promulgated in accordance with R.S. 3:2306, R.S. 3:2303, and R.S. 3:2307.</w:t>
      </w:r>
    </w:p>
    <w:p w14:paraId="3E316BB0" w14:textId="77777777"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r>
        <w:t>LR 40:931 (May 2014), amended by the Department of Agriculture and Forestry, Office of Agricultural and Environmental Sciences, LR 43:512 (March 2017).</w:t>
      </w:r>
    </w:p>
    <w:p w14:paraId="08FD1196" w14:textId="77777777" w:rsidR="00A20515" w:rsidRPr="00A1145E" w:rsidRDefault="00A20515" w:rsidP="00A20515">
      <w:pPr>
        <w:pStyle w:val="Section"/>
      </w:pPr>
      <w:bookmarkStart w:id="1491" w:name="_Toc375025583"/>
      <w:bookmarkStart w:id="1492" w:name="_Toc224818966"/>
      <w:r w:rsidRPr="00A1145E">
        <w:t>§515.</w:t>
      </w:r>
      <w:r w:rsidRPr="00A1145E">
        <w:tab/>
      </w:r>
      <w:bookmarkEnd w:id="1491"/>
      <w:r w:rsidRPr="00445C1D">
        <w:t>Quarantines</w:t>
      </w:r>
      <w:r>
        <w:br/>
        <w:t>(</w:t>
      </w:r>
      <w:r w:rsidRPr="00A1145E">
        <w:t xml:space="preserve">Formerly </w:t>
      </w:r>
      <w:r>
        <w:t>LAC 7:XXI.</w:t>
      </w:r>
      <w:r w:rsidRPr="00A1145E">
        <w:t>2515</w:t>
      </w:r>
      <w:r>
        <w:t>)</w:t>
      </w:r>
      <w:bookmarkEnd w:id="1492"/>
    </w:p>
    <w:p w14:paraId="6F986861" w14:textId="77777777" w:rsidR="00A20515" w:rsidRPr="00445C1D" w:rsidRDefault="00A20515" w:rsidP="00A20515">
      <w:pPr>
        <w:pStyle w:val="A"/>
      </w:pPr>
      <w:r>
        <w:t>A.</w:t>
      </w:r>
      <w:r>
        <w:tab/>
      </w:r>
      <w:r w:rsidRPr="00445C1D">
        <w:t xml:space="preserve">As an exercise of the full and plenary power granted by statute to deal with all diseases and pests of bees the commissioner or the state entomologist may declare and </w:t>
      </w:r>
      <w:r w:rsidRPr="00445C1D">
        <w:t>enforce a geographic quarantine of any area of the state or from any regulated area when necessary to control, eradicate, or prevent the introduction, spread, or dissemination of a disease or pest.</w:t>
      </w:r>
    </w:p>
    <w:p w14:paraId="44E9369E" w14:textId="77777777" w:rsidR="00A20515" w:rsidRPr="00445C1D" w:rsidRDefault="00A20515" w:rsidP="00A20515">
      <w:pPr>
        <w:pStyle w:val="1"/>
      </w:pPr>
      <w:r w:rsidRPr="00445C1D">
        <w:t>1.</w:t>
      </w:r>
      <w:r>
        <w:tab/>
      </w:r>
      <w:r w:rsidRPr="00445C1D">
        <w:t>A geographic quarantine</w:t>
      </w:r>
      <w:r>
        <w:t xml:space="preserve"> </w:t>
      </w:r>
      <w:r w:rsidRPr="00445C1D">
        <w:t>shall contain a concise statement of the facts supporting the declaration of quarantine, the geographical area of quarantine, the date the quarantine is to begin, the objectives of the quarantine, the prohibitions and restrictions imposed by the quarantine, and any other special provisions.</w:t>
      </w:r>
    </w:p>
    <w:p w14:paraId="41E11C19" w14:textId="77777777" w:rsidR="00A20515" w:rsidRPr="00445C1D" w:rsidRDefault="00A20515" w:rsidP="00A20515">
      <w:pPr>
        <w:pStyle w:val="1"/>
      </w:pPr>
      <w:r>
        <w:t>2.</w:t>
      </w:r>
      <w:r>
        <w:tab/>
      </w:r>
      <w:r w:rsidRPr="00445C1D">
        <w:t>The movement of bees or regulated articles from any quarantined area into non-quarantined areas of the state is prohibited except as provided by the terms of the geographic quarantine or by special permit of the commissioner or the state entomologist obtained prior to movement.</w:t>
      </w:r>
    </w:p>
    <w:p w14:paraId="73FFB69B" w14:textId="77777777" w:rsidR="00A20515" w:rsidRPr="00445C1D" w:rsidRDefault="00A20515" w:rsidP="00A20515">
      <w:pPr>
        <w:pStyle w:val="1"/>
      </w:pPr>
      <w:r>
        <w:t>3.</w:t>
      </w:r>
      <w:r>
        <w:tab/>
      </w:r>
      <w:r w:rsidRPr="00445C1D">
        <w:t>A geographic quarantine may be amended, lifted, or modified by written declaration of the commissioner or state entomologist.</w:t>
      </w:r>
    </w:p>
    <w:p w14:paraId="340D5C1C" w14:textId="77777777" w:rsidR="00A20515" w:rsidRPr="00445C1D" w:rsidRDefault="00A20515" w:rsidP="00A20515">
      <w:pPr>
        <w:pStyle w:val="1"/>
      </w:pPr>
      <w:r>
        <w:t>4.</w:t>
      </w:r>
      <w:r>
        <w:tab/>
      </w:r>
      <w:r w:rsidRPr="00445C1D">
        <w:t>A geographic quarantine and any amendment, lifting, or modification of such quarantine shall go into effect immediately upon being declared</w:t>
      </w:r>
      <w:r>
        <w:t xml:space="preserve"> </w:t>
      </w:r>
      <w:r w:rsidRPr="00445C1D">
        <w:t>unless a later effective date is stated.</w:t>
      </w:r>
      <w:r>
        <w:t xml:space="preserve"> </w:t>
      </w:r>
    </w:p>
    <w:p w14:paraId="7F936520" w14:textId="77777777" w:rsidR="00A20515" w:rsidRPr="00445C1D" w:rsidRDefault="00A20515" w:rsidP="00A20515">
      <w:pPr>
        <w:pStyle w:val="1"/>
      </w:pPr>
      <w:r>
        <w:t>5.</w:t>
      </w:r>
      <w:r>
        <w:tab/>
      </w:r>
      <w:r w:rsidRPr="00445C1D">
        <w:t xml:space="preserve">A geographic quarantine and any amendment to or lifting or modification of a geographic quarantine shall be published in the next available edition of the </w:t>
      </w:r>
      <w:r w:rsidRPr="006971E8">
        <w:rPr>
          <w:i/>
        </w:rPr>
        <w:t>Louisiana Register</w:t>
      </w:r>
      <w:r w:rsidRPr="00445C1D">
        <w:t>.</w:t>
      </w:r>
    </w:p>
    <w:p w14:paraId="549B7D5A" w14:textId="77777777" w:rsidR="00A20515" w:rsidRPr="00445C1D" w:rsidRDefault="00A20515" w:rsidP="00A20515">
      <w:pPr>
        <w:pStyle w:val="A"/>
      </w:pPr>
      <w:r>
        <w:t>B.</w:t>
      </w:r>
      <w:r>
        <w:tab/>
      </w:r>
      <w:r w:rsidRPr="00445C1D">
        <w:t>The commissioner or the state entomologist may impose a local quarantine on specific apiaries, colonies, bees or regulated articles, or other specific location when necessary to control, eradicate, or prevent the introduction, spread, or dissemination of a disease or pest.</w:t>
      </w:r>
    </w:p>
    <w:p w14:paraId="6C24C1EE" w14:textId="77777777" w:rsidR="00A20515" w:rsidRPr="00445C1D" w:rsidRDefault="00A20515" w:rsidP="00A20515">
      <w:pPr>
        <w:pStyle w:val="1"/>
      </w:pPr>
      <w:r w:rsidRPr="00445C1D">
        <w:t>1.</w:t>
      </w:r>
      <w:r>
        <w:tab/>
      </w:r>
      <w:r w:rsidRPr="00445C1D">
        <w:t>A local quarantine shall contain a concise statement of the facts supporting the declaration of quarantine, the beekeeper, the specific apiaries, colonies, bees or regulated articles, or location being quarantined, the date the quarantine is to begin, the prohibitions and restrictions imposed by the quarantine, and any other special provisions.</w:t>
      </w:r>
    </w:p>
    <w:p w14:paraId="5930B84D" w14:textId="77777777" w:rsidR="00A20515" w:rsidRPr="00445C1D" w:rsidRDefault="00A20515" w:rsidP="00A20515">
      <w:pPr>
        <w:pStyle w:val="1"/>
      </w:pPr>
      <w:r>
        <w:t>2.</w:t>
      </w:r>
      <w:r>
        <w:tab/>
      </w:r>
      <w:r w:rsidRPr="00445C1D">
        <w:t>The movement of bees or regulated articles into or out of any apiary or location subject to a local quarantine is prohibited except as provided by the terms of the local quarantine or by special permit of the commissioner or the state entomologist obtained prior to movement.</w:t>
      </w:r>
    </w:p>
    <w:p w14:paraId="3D1B5118" w14:textId="77777777" w:rsidR="00A20515" w:rsidRPr="00445C1D" w:rsidRDefault="00A20515" w:rsidP="00A20515">
      <w:pPr>
        <w:pStyle w:val="1"/>
      </w:pPr>
      <w:r>
        <w:t>3.</w:t>
      </w:r>
      <w:r>
        <w:tab/>
      </w:r>
      <w:r w:rsidRPr="00445C1D">
        <w:t>A local quarantine may be amended, lifted, or modified by written declaration of the commissioner or state entomologist.</w:t>
      </w:r>
    </w:p>
    <w:p w14:paraId="5C02C781" w14:textId="77777777" w:rsidR="00A20515" w:rsidRPr="00445C1D" w:rsidRDefault="00A20515" w:rsidP="00A20515">
      <w:pPr>
        <w:pStyle w:val="1"/>
      </w:pPr>
      <w:r>
        <w:t>4.</w:t>
      </w:r>
      <w:r>
        <w:tab/>
      </w:r>
      <w:r w:rsidRPr="00445C1D">
        <w:t>A local quarantine and any amendment, lifting, or modification of such quarantine shall go into effect immediately upon being declared unless a later effective date is stated.</w:t>
      </w:r>
      <w:r>
        <w:t xml:space="preserve"> </w:t>
      </w:r>
    </w:p>
    <w:p w14:paraId="71AC8C22" w14:textId="77777777" w:rsidR="00A20515" w:rsidRPr="00445C1D" w:rsidRDefault="00A20515" w:rsidP="00A20515">
      <w:pPr>
        <w:pStyle w:val="1"/>
      </w:pPr>
      <w:r>
        <w:t>5.</w:t>
      </w:r>
      <w:r>
        <w:tab/>
      </w:r>
      <w:r w:rsidRPr="00445C1D">
        <w:t xml:space="preserve">A local quarantine and any amendment, lifting, or modification of such quarantine does not need to be published in the </w:t>
      </w:r>
      <w:r w:rsidRPr="006971E8">
        <w:rPr>
          <w:i/>
        </w:rPr>
        <w:t>Louisiana Register</w:t>
      </w:r>
      <w:r w:rsidRPr="00445C1D">
        <w:t>.</w:t>
      </w:r>
    </w:p>
    <w:p w14:paraId="0388E041" w14:textId="77777777" w:rsidR="00A20515" w:rsidRPr="00A1145E" w:rsidRDefault="00A20515" w:rsidP="00A20515">
      <w:pPr>
        <w:pStyle w:val="AuthorityNote"/>
      </w:pPr>
      <w:r w:rsidRPr="00445C1D">
        <w:t>AUTHORITY NOTE:</w:t>
      </w:r>
      <w:r w:rsidRPr="00445C1D">
        <w:tab/>
        <w:t>Promulgated in accordance with R.S. 3:2308, R.S. 3:2304 and R.S. 3:2303.</w:t>
      </w:r>
    </w:p>
    <w:p w14:paraId="350FC04E" w14:textId="77777777" w:rsidR="00A20515" w:rsidRPr="00A1145E" w:rsidRDefault="00A20515" w:rsidP="00A20515">
      <w:pPr>
        <w:pStyle w:val="HistoricalNote"/>
      </w:pPr>
      <w:r w:rsidRPr="00A1145E">
        <w:lastRenderedPageBreak/>
        <w:t>HISTORICAL NOTE:</w:t>
      </w:r>
      <w:r w:rsidRPr="00A1145E">
        <w:tab/>
        <w:t xml:space="preserve">Promulgated by the Department of Agriculture, LR 11:517 (May 1985), </w:t>
      </w:r>
      <w:r>
        <w:t>repromulgated by the Department of Agriculture and Forestry, Office of Animal Health and Food Safety and the Board of Animal Health,</w:t>
      </w:r>
      <w:r w:rsidRPr="00A1145E">
        <w:t xml:space="preserve"> </w:t>
      </w:r>
      <w:r>
        <w:t>LR 40:931 (May 2014), amended by the Department of Agriculture and Forestry, Office of Agricultural and Environmental Sciences, LR 43:512 (March 2017).</w:t>
      </w:r>
    </w:p>
    <w:p w14:paraId="38514DFF" w14:textId="77777777" w:rsidR="00A20515" w:rsidRPr="00A1145E" w:rsidRDefault="00A20515" w:rsidP="00A20515">
      <w:pPr>
        <w:pStyle w:val="Section"/>
      </w:pPr>
      <w:bookmarkStart w:id="1493" w:name="_Toc375025584"/>
      <w:bookmarkStart w:id="1494" w:name="_Toc224818967"/>
      <w:r w:rsidRPr="00A1145E">
        <w:t>§517.</w:t>
      </w:r>
      <w:r w:rsidRPr="00A1145E">
        <w:tab/>
        <w:t>Eradication Measures</w:t>
      </w:r>
      <w:bookmarkEnd w:id="1493"/>
      <w:r>
        <w:br/>
        <w:t>(</w:t>
      </w:r>
      <w:r w:rsidRPr="00A1145E">
        <w:t xml:space="preserve">Formerly </w:t>
      </w:r>
      <w:r>
        <w:t>LAC 7:XXI.</w:t>
      </w:r>
      <w:r w:rsidRPr="00A1145E">
        <w:t>2517</w:t>
      </w:r>
      <w:r>
        <w:t>)</w:t>
      </w:r>
      <w:bookmarkEnd w:id="1494"/>
    </w:p>
    <w:p w14:paraId="222A0B6D" w14:textId="77777777" w:rsidR="00A20515" w:rsidRPr="00445C1D" w:rsidRDefault="00A20515" w:rsidP="00A20515">
      <w:pPr>
        <w:pStyle w:val="A"/>
      </w:pPr>
      <w:r>
        <w:t>A.</w:t>
      </w:r>
      <w:r>
        <w:tab/>
      </w:r>
      <w:r w:rsidRPr="00445C1D">
        <w:t xml:space="preserve">All persons who know of or suspect an infestation or infection of any bees or regulated articles with any disease or pest shall immediately report such information to the department. </w:t>
      </w:r>
    </w:p>
    <w:p w14:paraId="42051BA1" w14:textId="77777777" w:rsidR="00A20515" w:rsidRPr="00445C1D" w:rsidRDefault="00A20515" w:rsidP="00A20515">
      <w:pPr>
        <w:pStyle w:val="A"/>
      </w:pPr>
      <w:r>
        <w:t>B.</w:t>
      </w:r>
      <w:r>
        <w:tab/>
      </w:r>
      <w:r w:rsidRPr="00445C1D">
        <w:t>All colonies of bees infected with American foulbrood shall be destroyed by burning the frames, bees and combs in the presence of or by an agent or specialist of the department. Hive bodies and top and bottom boards saved from infected colonies shall be moved from the yard during the burning process or by a time prescribed by agents of the department and are to be scorched or properly treated to remove possible sources of reinfestation before re-use. Failure to adhere to this requirement shall result in destruction of all infected equipment including hive bodies, top and bottom boards.</w:t>
      </w:r>
    </w:p>
    <w:p w14:paraId="5901D0D2" w14:textId="77777777" w:rsidR="00A20515" w:rsidRPr="00445C1D" w:rsidRDefault="00A20515" w:rsidP="00A20515">
      <w:pPr>
        <w:pStyle w:val="A"/>
      </w:pPr>
      <w:r w:rsidRPr="00445C1D">
        <w:t>C.</w:t>
      </w:r>
      <w:r>
        <w:tab/>
      </w:r>
      <w:r w:rsidRPr="00445C1D">
        <w:t>Nuclei exposed to American foulbrood infection by the transfer of combs with brood or bees from an infected colony or yard shall be destroyed by burning.</w:t>
      </w:r>
    </w:p>
    <w:p w14:paraId="35B4E041" w14:textId="77777777" w:rsidR="00A20515" w:rsidRDefault="00A20515" w:rsidP="00A20515">
      <w:pPr>
        <w:pStyle w:val="A"/>
      </w:pPr>
      <w:r w:rsidRPr="00445C1D">
        <w:t>D.</w:t>
      </w:r>
      <w:r>
        <w:tab/>
      </w:r>
      <w:r w:rsidRPr="00445C1D">
        <w:t>If any apiary or yard of bees has 4 percent or less American foulbrood infestation, as noted below, the infected colony(ies) shall be burned immediately and a stop order issued. This shall mean that a second inspection shall be made within 21-30 days to insure control of the disease. Where a second inspection is required, colonies shall not be moved except under special permit issued by the state entomologist.</w:t>
      </w:r>
    </w:p>
    <w:tbl>
      <w:tblPr>
        <w:tblW w:w="49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94"/>
        <w:gridCol w:w="2520"/>
      </w:tblGrid>
      <w:tr w:rsidR="00A20515" w:rsidRPr="00B61489" w14:paraId="4E1E992D" w14:textId="77777777" w:rsidTr="00A20515">
        <w:trPr>
          <w:cantSplit/>
          <w:tblHeader/>
          <w:jc w:val="center"/>
        </w:trPr>
        <w:tc>
          <w:tcPr>
            <w:tcW w:w="2394" w:type="dxa"/>
            <w:tcBorders>
              <w:top w:val="double" w:sz="6" w:space="0" w:color="000000"/>
              <w:bottom w:val="single" w:sz="6" w:space="0" w:color="000000"/>
            </w:tcBorders>
            <w:shd w:val="clear" w:color="000000" w:fill="BFBFBF"/>
            <w:vAlign w:val="bottom"/>
          </w:tcPr>
          <w:p w14:paraId="770C00E4" w14:textId="77777777" w:rsidR="00A20515" w:rsidRPr="00B61489" w:rsidRDefault="00A20515" w:rsidP="00A2051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B61489">
              <w:rPr>
                <w:b/>
                <w:bCs/>
                <w:kern w:val="2"/>
                <w:sz w:val="16"/>
                <w:szCs w:val="16"/>
              </w:rPr>
              <w:t>Colonies in Apiary or Yard</w:t>
            </w:r>
          </w:p>
        </w:tc>
        <w:tc>
          <w:tcPr>
            <w:tcW w:w="2520" w:type="dxa"/>
            <w:tcBorders>
              <w:top w:val="double" w:sz="6" w:space="0" w:color="000000"/>
              <w:bottom w:val="single" w:sz="6" w:space="0" w:color="000000"/>
            </w:tcBorders>
            <w:shd w:val="clear" w:color="000000" w:fill="BFBFBF"/>
          </w:tcPr>
          <w:p w14:paraId="228B1E85" w14:textId="77777777" w:rsidR="00A20515" w:rsidRPr="00B61489" w:rsidRDefault="00A20515" w:rsidP="00A2051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B61489">
              <w:rPr>
                <w:b/>
                <w:bCs/>
                <w:kern w:val="2"/>
                <w:sz w:val="16"/>
                <w:szCs w:val="16"/>
              </w:rPr>
              <w:t>AFB Infected Colony</w:t>
            </w:r>
          </w:p>
        </w:tc>
      </w:tr>
      <w:tr w:rsidR="00A20515" w:rsidRPr="00B61489" w14:paraId="2456299C" w14:textId="77777777" w:rsidTr="00A20515">
        <w:trPr>
          <w:cantSplit/>
          <w:jc w:val="center"/>
        </w:trPr>
        <w:tc>
          <w:tcPr>
            <w:tcW w:w="2394" w:type="dxa"/>
            <w:tcBorders>
              <w:top w:val="single" w:sz="6" w:space="0" w:color="000000"/>
            </w:tcBorders>
          </w:tcPr>
          <w:p w14:paraId="06E72A6B"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01-</w:t>
            </w:r>
            <w:r w:rsidRPr="00B61489">
              <w:rPr>
                <w:kern w:val="2"/>
                <w:sz w:val="16"/>
                <w:szCs w:val="16"/>
              </w:rPr>
              <w:t>25</w:t>
            </w:r>
          </w:p>
        </w:tc>
        <w:tc>
          <w:tcPr>
            <w:tcW w:w="2520" w:type="dxa"/>
            <w:tcBorders>
              <w:top w:val="single" w:sz="6" w:space="0" w:color="000000"/>
            </w:tcBorders>
          </w:tcPr>
          <w:p w14:paraId="6D5300E4"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1</w:t>
            </w:r>
          </w:p>
        </w:tc>
      </w:tr>
      <w:tr w:rsidR="00A20515" w:rsidRPr="00B61489" w14:paraId="76685EE7" w14:textId="77777777" w:rsidTr="00A20515">
        <w:trPr>
          <w:cantSplit/>
          <w:jc w:val="center"/>
        </w:trPr>
        <w:tc>
          <w:tcPr>
            <w:tcW w:w="2394" w:type="dxa"/>
          </w:tcPr>
          <w:p w14:paraId="1887060A"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26-</w:t>
            </w:r>
            <w:r w:rsidRPr="00B61489">
              <w:rPr>
                <w:kern w:val="2"/>
                <w:sz w:val="16"/>
                <w:szCs w:val="16"/>
              </w:rPr>
              <w:t>50</w:t>
            </w:r>
          </w:p>
        </w:tc>
        <w:tc>
          <w:tcPr>
            <w:tcW w:w="2520" w:type="dxa"/>
          </w:tcPr>
          <w:p w14:paraId="0EFF623C"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2</w:t>
            </w:r>
          </w:p>
        </w:tc>
      </w:tr>
      <w:tr w:rsidR="00A20515" w:rsidRPr="00B61489" w14:paraId="53D17917" w14:textId="77777777" w:rsidTr="00A20515">
        <w:trPr>
          <w:cantSplit/>
          <w:jc w:val="center"/>
        </w:trPr>
        <w:tc>
          <w:tcPr>
            <w:tcW w:w="2394" w:type="dxa"/>
          </w:tcPr>
          <w:p w14:paraId="1D0DAC38"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51-</w:t>
            </w:r>
            <w:r w:rsidRPr="00B61489">
              <w:rPr>
                <w:kern w:val="2"/>
                <w:sz w:val="16"/>
                <w:szCs w:val="16"/>
              </w:rPr>
              <w:t>75</w:t>
            </w:r>
          </w:p>
        </w:tc>
        <w:tc>
          <w:tcPr>
            <w:tcW w:w="2520" w:type="dxa"/>
          </w:tcPr>
          <w:p w14:paraId="3094B431"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3</w:t>
            </w:r>
          </w:p>
        </w:tc>
      </w:tr>
      <w:tr w:rsidR="00A20515" w:rsidRPr="00B61489" w14:paraId="53C5EA8C" w14:textId="77777777" w:rsidTr="00A20515">
        <w:trPr>
          <w:cantSplit/>
          <w:jc w:val="center"/>
        </w:trPr>
        <w:tc>
          <w:tcPr>
            <w:tcW w:w="2394" w:type="dxa"/>
          </w:tcPr>
          <w:p w14:paraId="261F5786"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75 or more</w:t>
            </w:r>
          </w:p>
        </w:tc>
        <w:tc>
          <w:tcPr>
            <w:tcW w:w="2520" w:type="dxa"/>
          </w:tcPr>
          <w:p w14:paraId="1B6D864D" w14:textId="77777777"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4</w:t>
            </w:r>
          </w:p>
        </w:tc>
      </w:tr>
    </w:tbl>
    <w:p w14:paraId="6AC3EE00" w14:textId="77777777" w:rsidR="00A20515" w:rsidRDefault="00A20515" w:rsidP="00A20515">
      <w:pPr>
        <w:pStyle w:val="A"/>
        <w:spacing w:after="0"/>
      </w:pPr>
    </w:p>
    <w:p w14:paraId="798E5A7A" w14:textId="77777777" w:rsidR="00A20515" w:rsidRPr="00445C1D" w:rsidRDefault="00A20515" w:rsidP="00A20515">
      <w:pPr>
        <w:pStyle w:val="1"/>
      </w:pPr>
      <w:r w:rsidRPr="00445C1D">
        <w:t>1.</w:t>
      </w:r>
      <w:r w:rsidRPr="00445C1D">
        <w:tab/>
        <w:t xml:space="preserve">If over 4 percent of the colonies, but not more than four colonies in the case of over 100 colonies, in an apiary or yard are found to be infested with American foulbrood, the colonies shall be burned immediately and the apiary or yard </w:t>
      </w:r>
      <w:r w:rsidRPr="00445C1D">
        <w:t>shall be placed under a 21-30 day quarantine, during such time no drugs will be allowed to be fed to the bees. If after 21-30 days an inspection shows that the apiary or yard is found free from American foulbrood infestation, the quarantine shall be lifted. However, if American foulbrood is again found, an additional 21-30 day quarantine period shall be enforced and infested colonies shall be burned immediately. An additional 60-day quarantine shall be enforced on any quarantined apiary or yard found to be treated with drugs to mask the infection.</w:t>
      </w:r>
    </w:p>
    <w:p w14:paraId="6531EA69" w14:textId="77777777" w:rsidR="00A20515" w:rsidRPr="00445C1D" w:rsidRDefault="00A20515" w:rsidP="00A20515">
      <w:pPr>
        <w:pStyle w:val="A"/>
      </w:pPr>
      <w:r>
        <w:t>E.</w:t>
      </w:r>
      <w:r>
        <w:tab/>
      </w:r>
      <w:r w:rsidRPr="00445C1D">
        <w:t>All colonies of bees found infected with European foulbrood shall be requeened or treated within 30 days after infection is found. European foulbrood found in excess of 4 percent upon second inspection shall be quarantined until the disease is under control.</w:t>
      </w:r>
    </w:p>
    <w:p w14:paraId="46FAB428" w14:textId="77777777" w:rsidR="00A20515" w:rsidRPr="00445C1D" w:rsidRDefault="00A20515" w:rsidP="00A20515">
      <w:pPr>
        <w:pStyle w:val="A"/>
      </w:pPr>
      <w:r>
        <w:t>F.</w:t>
      </w:r>
      <w:r>
        <w:tab/>
      </w:r>
      <w:r w:rsidRPr="00445C1D">
        <w:t>All other bee diseases and/or pests found that are considered detrimental to the honeybee industry shall be treated as prescribed by the state entomologist or his designee for the control of same.</w:t>
      </w:r>
      <w:r>
        <w:t xml:space="preserve"> </w:t>
      </w:r>
      <w:r w:rsidRPr="00445C1D">
        <w:t>Bees or regulated articles infested with any pest or infected with any disease shall be subject to being placed under a quarantine and treated as determined by the commissioner and state entomologist.</w:t>
      </w:r>
    </w:p>
    <w:p w14:paraId="1ADE3F98" w14:textId="77777777" w:rsidR="00A20515" w:rsidRPr="00A1145E" w:rsidRDefault="00A20515" w:rsidP="00A20515">
      <w:pPr>
        <w:pStyle w:val="AuthorityNote"/>
      </w:pPr>
      <w:r w:rsidRPr="00445C1D">
        <w:t>AUTHORITY NOTE:</w:t>
      </w:r>
      <w:r w:rsidRPr="00445C1D">
        <w:tab/>
        <w:t>Promulgated in accordance with R.S. 3:2308, R.S. 3:2304 and R.S. 3:2303.</w:t>
      </w:r>
    </w:p>
    <w:p w14:paraId="5B3A749F" w14:textId="77777777" w:rsidR="00FC31C0" w:rsidRPr="00A1145E" w:rsidRDefault="00A20515" w:rsidP="00FC31C0">
      <w:pPr>
        <w:pStyle w:val="HistoricalNote"/>
      </w:pPr>
      <w:r w:rsidRPr="00A1145E">
        <w:t>HISTORICAL NOTE:</w:t>
      </w:r>
      <w:r w:rsidRPr="00A1145E">
        <w:tab/>
        <w:t xml:space="preserve">Promulgated by the Department of Agriculture, LR 11:517 (May 1985), repromulgated by theDepartment of Agriculture and Forestry, </w:t>
      </w:r>
      <w:r>
        <w:t>Office of Animal Health and Food Safety and the Board of Animal Health,</w:t>
      </w:r>
      <w:r w:rsidRPr="00A1145E">
        <w:t xml:space="preserve"> </w:t>
      </w:r>
      <w:r>
        <w:t>LR 40:931 (May 2014), amended by the Department of Agriculture and Forestry, Office of Agricultural and Environmental Sciences, LR 43:513 (March 2017).</w:t>
      </w:r>
    </w:p>
    <w:p w14:paraId="6C98DFC3" w14:textId="77777777" w:rsidR="00FC31C0" w:rsidRPr="00A1145E" w:rsidRDefault="00FC31C0" w:rsidP="00FC31C0">
      <w:pPr>
        <w:pStyle w:val="Section"/>
      </w:pPr>
      <w:bookmarkStart w:id="1495" w:name="_Toc375025586"/>
      <w:bookmarkStart w:id="1496" w:name="_Toc224818968"/>
      <w:r w:rsidRPr="00A1145E">
        <w:t>§521.</w:t>
      </w:r>
      <w:r w:rsidRPr="00A1145E">
        <w:tab/>
        <w:t>Repeal of Prior Rules and Regulations</w:t>
      </w:r>
      <w:bookmarkEnd w:id="1495"/>
      <w:r>
        <w:br/>
        <w:t>(</w:t>
      </w:r>
      <w:r w:rsidRPr="00A1145E">
        <w:t xml:space="preserve">Formerly </w:t>
      </w:r>
      <w:r>
        <w:t>LAC 7:XXI.</w:t>
      </w:r>
      <w:r w:rsidRPr="00A1145E">
        <w:t>2521</w:t>
      </w:r>
      <w:r>
        <w:t>)</w:t>
      </w:r>
      <w:bookmarkEnd w:id="1496"/>
    </w:p>
    <w:p w14:paraId="3FCD1A2D" w14:textId="77777777" w:rsidR="00FC31C0" w:rsidRPr="00A1145E" w:rsidRDefault="00FC31C0" w:rsidP="00FC31C0">
      <w:pPr>
        <w:pStyle w:val="A"/>
      </w:pPr>
      <w:r w:rsidRPr="00A1145E">
        <w:t>A.</w:t>
      </w:r>
      <w:r w:rsidRPr="00A1145E">
        <w:tab/>
        <w:t>All prior rules and regulations adopted and/or promulgated in accordance with R.S. 3:2303 are hereby repealed in their entirety.</w:t>
      </w:r>
    </w:p>
    <w:p w14:paraId="3A71FE33" w14:textId="77777777" w:rsidR="00FC31C0" w:rsidRPr="00A1145E" w:rsidRDefault="00FC31C0" w:rsidP="00FC31C0">
      <w:pPr>
        <w:pStyle w:val="AuthorityNote"/>
      </w:pPr>
      <w:r w:rsidRPr="00A1145E">
        <w:t>AUTHORITY NOTE:</w:t>
      </w:r>
      <w:r w:rsidRPr="00A1145E">
        <w:tab/>
        <w:t>Promulgated in accordance with R.S. 3:2303.</w:t>
      </w:r>
    </w:p>
    <w:p w14:paraId="4231B9CD" w14:textId="77777777" w:rsidR="00FC31C0" w:rsidRPr="00A1145E" w:rsidRDefault="00FC31C0" w:rsidP="00FC31C0">
      <w:pPr>
        <w:pStyle w:val="HistoricalNote"/>
      </w:pPr>
      <w:r w:rsidRPr="00A1145E">
        <w:t>HISTORICAL NOTE:</w:t>
      </w:r>
      <w:r w:rsidRPr="00A1145E">
        <w:tab/>
        <w:t xml:space="preserve">Promulgated by the Department of Agriculture, LR 11:517 (May 1985), </w:t>
      </w:r>
      <w:r w:rsidR="00FD4D1A">
        <w:t>repromulgated by the Department of Agriculture and Forestry, Office of Animal Health and Food Safety and the Board of Animal Health,</w:t>
      </w:r>
      <w:r w:rsidRPr="00A1145E">
        <w:t xml:space="preserve"> </w:t>
      </w:r>
      <w:r>
        <w:t>LR 40:932 (May 2014).</w:t>
      </w:r>
    </w:p>
    <w:p w14:paraId="08B1CE0F" w14:textId="77777777" w:rsidR="00845D5E" w:rsidRPr="001531CD" w:rsidRDefault="00845D5E">
      <w:pPr>
        <w:pStyle w:val="Chapter"/>
        <w:sectPr w:rsidR="00845D5E" w:rsidRPr="001531CD" w:rsidSect="00167E2E">
          <w:headerReference w:type="even" r:id="rId38"/>
          <w:headerReference w:type="default" r:id="rId39"/>
          <w:type w:val="continuous"/>
          <w:pgSz w:w="12240" w:h="15840" w:code="1"/>
          <w:pgMar w:top="1080" w:right="864" w:bottom="864" w:left="864" w:header="576" w:footer="432" w:gutter="0"/>
          <w:cols w:num="2" w:space="720"/>
        </w:sectPr>
      </w:pPr>
    </w:p>
    <w:p w14:paraId="283ACE19"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730154D8" w14:textId="77777777" w:rsidR="00CF626A" w:rsidRPr="001531CD" w:rsidRDefault="00CF626A" w:rsidP="00F03863">
      <w:pPr>
        <w:pStyle w:val="Title1"/>
        <w:outlineLvl w:val="0"/>
      </w:pPr>
      <w:r w:rsidRPr="001531CD">
        <w:lastRenderedPageBreak/>
        <w:t>Title 7</w:t>
      </w:r>
    </w:p>
    <w:p w14:paraId="1520D26A" w14:textId="77777777" w:rsidR="00CF626A" w:rsidRPr="001531CD" w:rsidRDefault="00CF626A">
      <w:pPr>
        <w:pStyle w:val="Title2"/>
      </w:pPr>
      <w:r w:rsidRPr="001531CD">
        <w:t>AGRICULTURE AND ANIMALS</w:t>
      </w:r>
    </w:p>
    <w:p w14:paraId="2734EE5F" w14:textId="77777777" w:rsidR="00CF626A" w:rsidRPr="001531CD" w:rsidRDefault="00CF626A">
      <w:pPr>
        <w:pStyle w:val="Part"/>
      </w:pPr>
      <w:bookmarkStart w:id="1497" w:name="TOC_Part8"/>
      <w:bookmarkStart w:id="1498" w:name="_Toc77839927"/>
      <w:bookmarkStart w:id="1499" w:name="_Toc224818969"/>
      <w:r w:rsidRPr="001531CD">
        <w:t>Part XVII.  Feed</w:t>
      </w:r>
      <w:bookmarkEnd w:id="1497"/>
      <w:bookmarkEnd w:id="1498"/>
      <w:bookmarkEnd w:id="1499"/>
    </w:p>
    <w:p w14:paraId="34A97F64" w14:textId="77777777" w:rsidR="00CF626A" w:rsidRPr="001531CD" w:rsidRDefault="00CF626A">
      <w:pPr>
        <w:pStyle w:val="Part"/>
      </w:pPr>
    </w:p>
    <w:p w14:paraId="6588E0BD" w14:textId="77777777" w:rsidR="00CF626A" w:rsidRPr="001531CD" w:rsidRDefault="00CF626A">
      <w:pPr>
        <w:pStyle w:val="Part"/>
        <w:sectPr w:rsidR="00CF626A" w:rsidRPr="001531CD" w:rsidSect="00167E2E">
          <w:headerReference w:type="default" r:id="rId40"/>
          <w:type w:val="oddPage"/>
          <w:pgSz w:w="12240" w:h="15840" w:code="1"/>
          <w:pgMar w:top="1080" w:right="864" w:bottom="864" w:left="864" w:header="576" w:footer="432" w:gutter="0"/>
          <w:cols w:space="720"/>
          <w:docGrid w:linePitch="326"/>
        </w:sectPr>
      </w:pPr>
    </w:p>
    <w:p w14:paraId="4F22A274" w14:textId="77777777" w:rsidR="00CF626A" w:rsidRPr="001531CD" w:rsidRDefault="00CF626A" w:rsidP="00F03863">
      <w:pPr>
        <w:pStyle w:val="Chapter"/>
        <w:outlineLvl w:val="0"/>
      </w:pPr>
      <w:bookmarkStart w:id="1500" w:name="TOC_Chap120"/>
      <w:bookmarkStart w:id="1501" w:name="_Toc256754638"/>
      <w:bookmarkStart w:id="1502" w:name="_Toc224818970"/>
      <w:r w:rsidRPr="001531CD">
        <w:t>Chapter 1.</w:t>
      </w:r>
      <w:bookmarkEnd w:id="1500"/>
      <w:r w:rsidR="00167E2E">
        <w:tab/>
      </w:r>
      <w:bookmarkStart w:id="1503" w:name="TOCT_Chap109"/>
      <w:bookmarkStart w:id="1504" w:name="TOCT_Chap112"/>
      <w:bookmarkStart w:id="1505" w:name="TOCT_Chap114"/>
      <w:bookmarkStart w:id="1506" w:name="TOCT_Chap120"/>
      <w:r w:rsidRPr="001531CD">
        <w:t>Commercial Feeds</w:t>
      </w:r>
      <w:bookmarkEnd w:id="1501"/>
      <w:bookmarkEnd w:id="1502"/>
      <w:bookmarkEnd w:id="1503"/>
      <w:bookmarkEnd w:id="1504"/>
      <w:bookmarkEnd w:id="1505"/>
      <w:bookmarkEnd w:id="1506"/>
    </w:p>
    <w:p w14:paraId="7EBF1647" w14:textId="77777777" w:rsidR="00CF626A" w:rsidRPr="001531CD" w:rsidRDefault="00CF626A">
      <w:pPr>
        <w:pStyle w:val="Chapter"/>
      </w:pPr>
      <w:bookmarkStart w:id="1507" w:name="TOC_SubC121"/>
      <w:bookmarkStart w:id="1508" w:name="_Toc256754639"/>
      <w:bookmarkStart w:id="1509" w:name="_Toc224818971"/>
      <w:r w:rsidRPr="001531CD">
        <w:t>Subchapter A.</w:t>
      </w:r>
      <w:bookmarkEnd w:id="1507"/>
      <w:r w:rsidR="00167E2E">
        <w:tab/>
      </w:r>
      <w:bookmarkStart w:id="1510" w:name="TOCT_SubC115"/>
      <w:bookmarkStart w:id="1511" w:name="TOCT_SubC119"/>
      <w:bookmarkStart w:id="1512" w:name="TOCT_SubC120"/>
      <w:bookmarkStart w:id="1513" w:name="TOCT_SubC121"/>
      <w:r w:rsidRPr="001531CD">
        <w:t>Official Feed</w:t>
      </w:r>
      <w:bookmarkEnd w:id="1508"/>
      <w:bookmarkEnd w:id="1509"/>
      <w:bookmarkEnd w:id="1510"/>
      <w:bookmarkEnd w:id="1511"/>
      <w:bookmarkEnd w:id="1512"/>
      <w:bookmarkEnd w:id="1513"/>
    </w:p>
    <w:p w14:paraId="03C68F58" w14:textId="77777777" w:rsidR="00CF626A" w:rsidRPr="001531CD" w:rsidRDefault="00CF626A">
      <w:pPr>
        <w:pStyle w:val="Section"/>
      </w:pPr>
      <w:bookmarkStart w:id="1514" w:name="_Toc256754640"/>
      <w:bookmarkStart w:id="1515" w:name="_Toc224818972"/>
      <w:r w:rsidRPr="001531CD">
        <w:t>§101.</w:t>
      </w:r>
      <w:r w:rsidRPr="001531CD">
        <w:tab/>
      </w:r>
      <w:bookmarkEnd w:id="1514"/>
      <w:r w:rsidR="00B7380C" w:rsidRPr="00154D48">
        <w:t>General Provisions, Definitions and Terms</w:t>
      </w:r>
      <w:bookmarkEnd w:id="1515"/>
    </w:p>
    <w:p w14:paraId="7375C5A8" w14:textId="77777777" w:rsidR="00CF626A" w:rsidRPr="001531CD" w:rsidRDefault="00CF626A">
      <w:pPr>
        <w:pStyle w:val="A"/>
      </w:pPr>
      <w:r w:rsidRPr="001531CD">
        <w:t>A.</w:t>
      </w:r>
      <w:r w:rsidRPr="001531CD">
        <w:tab/>
        <w:t>The names and definitions for commercial feeds shall be the Official Definition of Feed Ingredients adopted by the Association of American Feed Control Officials (AAFCO), except as the commission designates otherwise in specific cases.</w:t>
      </w:r>
    </w:p>
    <w:p w14:paraId="082CC20F" w14:textId="77777777" w:rsidR="00B7380C" w:rsidRPr="00154D48" w:rsidRDefault="00CF626A" w:rsidP="00B7380C">
      <w:pPr>
        <w:pStyle w:val="A"/>
        <w:rPr>
          <w:bCs/>
        </w:rPr>
      </w:pPr>
      <w:r w:rsidRPr="001531CD">
        <w:t>B.</w:t>
      </w:r>
      <w:r w:rsidRPr="001531CD">
        <w:tab/>
      </w:r>
      <w:r w:rsidR="00B7380C" w:rsidRPr="00154D48">
        <w:t xml:space="preserve">When not in conflict with existing provisions of R.S. 3:1391 et seq. or this Chapter, the Commission incorporates by reference the “Model Regulations for Pet Food and Specialty Pet Food Under the Model Bill,” published in the 2024 </w:t>
      </w:r>
      <w:r w:rsidR="00B7380C" w:rsidRPr="00154D48">
        <w:rPr>
          <w:i/>
          <w:iCs/>
        </w:rPr>
        <w:t>Official Publication of the Association of American Feed Control Officials</w:t>
      </w:r>
      <w:r w:rsidR="00B7380C" w:rsidRPr="00154D48">
        <w:t xml:space="preserve">. </w:t>
      </w:r>
    </w:p>
    <w:p w14:paraId="381D6F06" w14:textId="77777777" w:rsidR="00E47D7C" w:rsidRPr="001531CD" w:rsidRDefault="00B7380C" w:rsidP="00B7380C">
      <w:pPr>
        <w:pStyle w:val="A"/>
      </w:pPr>
      <w:r w:rsidRPr="00154D48">
        <w:t>C.</w:t>
      </w:r>
      <w:r w:rsidRPr="00154D48">
        <w:tab/>
        <w:t>The following commodities are hereby declared exempt from the definition of commercial feed, under the provisions of R.S. 3:1391(3): raw milk, raw meat, and hay, straw, stover, silages, cobs, husks and hulls when unground unprocessed, and when not mixed or intermixed with other materials; provided that these commodities are not adulterated within the meaning of R.S. 3:1396</w:t>
      </w:r>
      <w:r w:rsidR="00E47D7C" w:rsidRPr="001531CD">
        <w:t>.</w:t>
      </w:r>
    </w:p>
    <w:p w14:paraId="5C390E26" w14:textId="77777777" w:rsidR="00CF626A" w:rsidRPr="001531CD" w:rsidRDefault="00E47D7C" w:rsidP="00E47D7C">
      <w:pPr>
        <w:pStyle w:val="A"/>
      </w:pPr>
      <w:r w:rsidRPr="001531CD">
        <w:t>D.</w:t>
      </w:r>
      <w:r w:rsidRPr="001531CD">
        <w:tab/>
        <w:t>Individual chemical compounds and substances are hereby declared exempt from the definition of commercial feed under the provisions of R.S. 3:1391(3). It has been determined that these products meet the following criteria.</w:t>
      </w:r>
    </w:p>
    <w:p w14:paraId="13E0A0E6" w14:textId="77777777" w:rsidR="00CF626A" w:rsidRPr="001531CD" w:rsidRDefault="00CF626A">
      <w:pPr>
        <w:pStyle w:val="1"/>
      </w:pPr>
      <w:r w:rsidRPr="001531CD">
        <w:t>1.</w:t>
      </w:r>
      <w:r w:rsidRPr="001531CD">
        <w:tab/>
        <w:t>There is an adopted AAFCO definition for the product.</w:t>
      </w:r>
    </w:p>
    <w:p w14:paraId="2B8949E8" w14:textId="77777777" w:rsidR="00CF626A" w:rsidRPr="001531CD" w:rsidRDefault="00CF626A">
      <w:pPr>
        <w:pStyle w:val="1"/>
      </w:pPr>
      <w:r w:rsidRPr="001531CD">
        <w:t>2.</w:t>
      </w:r>
      <w:r w:rsidRPr="001531CD">
        <w:tab/>
        <w:t>The product is either generally recognized as safe (GRAS) or is not covered by a specific FDA regulation.</w:t>
      </w:r>
    </w:p>
    <w:p w14:paraId="4CE52584" w14:textId="77777777" w:rsidR="00CF626A" w:rsidRPr="001531CD" w:rsidRDefault="00CF626A">
      <w:pPr>
        <w:pStyle w:val="1"/>
      </w:pPr>
      <w:r w:rsidRPr="001531CD">
        <w:t>3.</w:t>
      </w:r>
      <w:r w:rsidRPr="001531CD">
        <w:tab/>
        <w:t>The product is either a natural occurring product of relatively uniform chemical composition or is manufactured to meet the AAFCO definition of the product.</w:t>
      </w:r>
    </w:p>
    <w:p w14:paraId="0DDD29CC" w14:textId="77777777" w:rsidR="00CF626A" w:rsidRPr="001531CD" w:rsidRDefault="00CF626A">
      <w:pPr>
        <w:pStyle w:val="1"/>
      </w:pPr>
      <w:r w:rsidRPr="001531CD">
        <w:t>4.</w:t>
      </w:r>
      <w:r w:rsidRPr="001531CD">
        <w:tab/>
        <w:t>The use of the product in the feed industry constitutes a minor portion of its total industrial use.</w:t>
      </w:r>
    </w:p>
    <w:p w14:paraId="78993FB6" w14:textId="77777777" w:rsidR="00CF626A" w:rsidRPr="001531CD" w:rsidRDefault="00CF626A">
      <w:pPr>
        <w:pStyle w:val="1"/>
      </w:pPr>
      <w:r w:rsidRPr="001531CD">
        <w:t>5.</w:t>
      </w:r>
      <w:r w:rsidRPr="001531CD">
        <w:tab/>
        <w:t>Small quantities of additives, which are intended to impart special desirable characteristics shall be permitted.</w:t>
      </w:r>
    </w:p>
    <w:p w14:paraId="2A2E29B2" w14:textId="77777777" w:rsidR="00CF626A" w:rsidRPr="001531CD" w:rsidRDefault="00CF626A">
      <w:pPr>
        <w:pStyle w:val="1"/>
      </w:pPr>
      <w:r w:rsidRPr="001531CD">
        <w:t>6.</w:t>
      </w:r>
      <w:r w:rsidRPr="001531CD">
        <w:tab/>
        <w:t>There is no need or problem of control of this product.</w:t>
      </w:r>
    </w:p>
    <w:p w14:paraId="48025FD0" w14:textId="77777777" w:rsidR="00CF626A" w:rsidRPr="001531CD" w:rsidRDefault="00CF626A">
      <w:pPr>
        <w:pStyle w:val="A"/>
      </w:pPr>
      <w:r w:rsidRPr="001531CD">
        <w:t>E.</w:t>
      </w:r>
      <w:r w:rsidRPr="001531CD">
        <w:tab/>
        <w:t>Exempted under §101.D is loose salt.</w:t>
      </w:r>
    </w:p>
    <w:p w14:paraId="1E2299B6" w14:textId="77777777" w:rsidR="00CF626A" w:rsidRPr="001531CD" w:rsidRDefault="00CF626A">
      <w:pPr>
        <w:pStyle w:val="A"/>
      </w:pPr>
      <w:r w:rsidRPr="001531CD">
        <w:t>F.</w:t>
      </w:r>
      <w:r w:rsidRPr="001531CD">
        <w:tab/>
        <w:t>Definitions</w:t>
      </w:r>
    </w:p>
    <w:p w14:paraId="306FAB38" w14:textId="77777777" w:rsidR="00CF626A" w:rsidRPr="001531CD" w:rsidRDefault="00CF626A">
      <w:pPr>
        <w:pStyle w:val="1"/>
      </w:pPr>
      <w:r w:rsidRPr="001531CD">
        <w:rPr>
          <w:i/>
          <w:iCs/>
        </w:rPr>
        <w:t>Animal Waste Products</w:t>
      </w:r>
      <w:r w:rsidRPr="001531CD">
        <w:t xml:space="preserve">―processed animal excrets which have been made safe to use as a feed ingredient. For those products the commission adopts the quality standards </w:t>
      </w:r>
      <w:r w:rsidRPr="001531CD">
        <w:t>and definitions listed under Section 74 (Recycled Animal Waste Products) of the AAFCO official publication.</w:t>
      </w:r>
    </w:p>
    <w:p w14:paraId="47083D7D" w14:textId="77777777" w:rsidR="00CF626A" w:rsidRPr="001531CD" w:rsidRDefault="00CF626A">
      <w:pPr>
        <w:pStyle w:val="1"/>
      </w:pPr>
      <w:r w:rsidRPr="001531CD">
        <w:rPr>
          <w:i/>
          <w:iCs/>
        </w:rPr>
        <w:t>Brand Name</w:t>
      </w:r>
      <w:r w:rsidRPr="001531CD">
        <w:t xml:space="preserve"> or </w:t>
      </w:r>
      <w:r w:rsidRPr="001531CD">
        <w:rPr>
          <w:i/>
          <w:iCs/>
        </w:rPr>
        <w:t>Brand</w:t>
      </w:r>
      <w:r w:rsidRPr="001531CD">
        <w:t>―any word, name, symbol or device, or any combination thereof, identifying the commercial feed of a registrant and distinguishing it from that of others.</w:t>
      </w:r>
    </w:p>
    <w:p w14:paraId="222BBC74" w14:textId="77777777" w:rsidR="00CF626A" w:rsidRPr="001531CD" w:rsidRDefault="00CF626A">
      <w:pPr>
        <w:pStyle w:val="1"/>
      </w:pPr>
      <w:r w:rsidRPr="001531CD">
        <w:rPr>
          <w:i/>
          <w:iCs/>
        </w:rPr>
        <w:t>By-Products</w:t>
      </w:r>
      <w:r w:rsidRPr="001531CD">
        <w:t>―secondary products produced in addition to the principal product except ingredients which are a primary source of protein.</w:t>
      </w:r>
    </w:p>
    <w:p w14:paraId="02E97208" w14:textId="77777777" w:rsidR="00CF626A" w:rsidRPr="001531CD" w:rsidRDefault="00CF626A">
      <w:pPr>
        <w:pStyle w:val="1"/>
      </w:pPr>
      <w:r w:rsidRPr="001531CD">
        <w:rPr>
          <w:i/>
          <w:iCs/>
        </w:rPr>
        <w:t>Commercial Feed</w:t>
      </w:r>
      <w:r w:rsidRPr="001531CD">
        <w:t>―all materials including vitamin and mineral mixes, except whole seeds unmixed or physically altered entire unmixed seeds, which are distributed for use as pet food or as feed for livestock or for mixing in pet food or in feed for livestock.</w:t>
      </w:r>
    </w:p>
    <w:p w14:paraId="50C83FBF" w14:textId="77777777" w:rsidR="00E47D7C" w:rsidRPr="001531CD" w:rsidRDefault="00E47D7C" w:rsidP="00E47D7C">
      <w:pPr>
        <w:pStyle w:val="1"/>
      </w:pPr>
      <w:r w:rsidRPr="001531CD">
        <w:rPr>
          <w:i/>
        </w:rPr>
        <w:t>Commission</w:t>
      </w:r>
      <w:r w:rsidRPr="001531CD">
        <w:t>―</w:t>
      </w:r>
      <w:r w:rsidR="00B7380C" w:rsidRPr="00B7380C">
        <w:t xml:space="preserve"> </w:t>
      </w:r>
      <w:r w:rsidR="00B7380C" w:rsidRPr="00154D48">
        <w:t>the Louisiana Agricultural Chemistry and Seed Commission.</w:t>
      </w:r>
    </w:p>
    <w:p w14:paraId="2D426DFD" w14:textId="77777777" w:rsidR="00E47D7C" w:rsidRPr="001531CD" w:rsidRDefault="00E47D7C" w:rsidP="00E47D7C">
      <w:pPr>
        <w:pStyle w:val="1"/>
      </w:pPr>
      <w:r w:rsidRPr="001531CD">
        <w:rPr>
          <w:i/>
        </w:rPr>
        <w:t>Commissioner</w:t>
      </w:r>
      <w:r w:rsidRPr="001531CD">
        <w:t>―the commissioner of agriculture and forestry or his duly authorized representatives acting at his direction.</w:t>
      </w:r>
    </w:p>
    <w:p w14:paraId="68824718" w14:textId="77777777" w:rsidR="00E47D7C" w:rsidRPr="001531CD" w:rsidRDefault="00E47D7C" w:rsidP="00E47D7C">
      <w:pPr>
        <w:pStyle w:val="1"/>
      </w:pPr>
      <w:r w:rsidRPr="001531CD">
        <w:rPr>
          <w:i/>
        </w:rPr>
        <w:t>Crude Fat</w:t>
      </w:r>
      <w:r w:rsidRPr="001531CD">
        <w:t xml:space="preserve">―the percent ether extract (or other appropriate fat solvent extract) determined by the appropriate official method outlined in </w:t>
      </w:r>
      <w:r w:rsidRPr="001531CD">
        <w:rPr>
          <w:i/>
        </w:rPr>
        <w:t>AOAC Official Methods of Analysis</w:t>
      </w:r>
      <w:r w:rsidRPr="001531CD">
        <w:t>.</w:t>
      </w:r>
    </w:p>
    <w:p w14:paraId="68EE48CB" w14:textId="77777777" w:rsidR="00E47D7C" w:rsidRPr="001531CD" w:rsidRDefault="00E47D7C" w:rsidP="00E47D7C">
      <w:pPr>
        <w:pStyle w:val="1"/>
      </w:pPr>
      <w:r w:rsidRPr="001531CD">
        <w:rPr>
          <w:i/>
        </w:rPr>
        <w:t>Crude Fiber</w:t>
      </w:r>
      <w:r w:rsidRPr="001531CD">
        <w:t xml:space="preserve">―the portion of a feed or ration which is determined by using the appropriate official method as outlined in the </w:t>
      </w:r>
      <w:r w:rsidRPr="001531CD">
        <w:rPr>
          <w:i/>
        </w:rPr>
        <w:t>AOAC Official Methods of Analysis</w:t>
      </w:r>
      <w:r w:rsidRPr="001531CD">
        <w:t>.</w:t>
      </w:r>
    </w:p>
    <w:p w14:paraId="186B953A" w14:textId="77777777" w:rsidR="00CF626A" w:rsidRPr="001531CD" w:rsidRDefault="00E47D7C" w:rsidP="00E47D7C">
      <w:pPr>
        <w:pStyle w:val="1"/>
      </w:pPr>
      <w:r w:rsidRPr="001531CD">
        <w:rPr>
          <w:i/>
        </w:rPr>
        <w:t>Crude Protein</w:t>
      </w:r>
      <w:r w:rsidRPr="001531CD">
        <w:t xml:space="preserve">―the percent nitrogen times 6.25 where the percent nitrogen is determined by the appropriate official method outlined in </w:t>
      </w:r>
      <w:r w:rsidRPr="001531CD">
        <w:rPr>
          <w:i/>
        </w:rPr>
        <w:t>AOAC Official Methods of Analysis</w:t>
      </w:r>
      <w:r w:rsidRPr="001531CD">
        <w:t>.</w:t>
      </w:r>
    </w:p>
    <w:p w14:paraId="724880BF" w14:textId="77777777" w:rsidR="00CF626A" w:rsidRPr="001531CD" w:rsidRDefault="00CF626A">
      <w:pPr>
        <w:pStyle w:val="1"/>
      </w:pPr>
      <w:r w:rsidRPr="001531CD">
        <w:rPr>
          <w:i/>
          <w:iCs/>
        </w:rPr>
        <w:t>Customer Formula Feed</w:t>
      </w:r>
      <w:r w:rsidRPr="001531CD">
        <w:t>―commercial feed which consists of a mixture of commercial feeds or feed ingredients, each batch of which is manufactured according to the specific instructions of the final purchaser.</w:t>
      </w:r>
    </w:p>
    <w:p w14:paraId="628025CE" w14:textId="77777777" w:rsidR="00CF626A" w:rsidRPr="001531CD" w:rsidRDefault="00CF626A">
      <w:pPr>
        <w:pStyle w:val="1"/>
      </w:pPr>
      <w:r w:rsidRPr="001531CD">
        <w:rPr>
          <w:i/>
          <w:iCs/>
        </w:rPr>
        <w:t>Distribute</w:t>
      </w:r>
      <w:r w:rsidRPr="001531CD">
        <w:t>―to sell, offer for sale or expose for sale or trading.</w:t>
      </w:r>
    </w:p>
    <w:p w14:paraId="69374AF1" w14:textId="77777777" w:rsidR="00CF626A" w:rsidRPr="001531CD" w:rsidRDefault="00CF626A">
      <w:pPr>
        <w:pStyle w:val="1"/>
      </w:pPr>
      <w:r w:rsidRPr="001531CD">
        <w:rPr>
          <w:i/>
          <w:iCs/>
        </w:rPr>
        <w:t>Distributor</w:t>
      </w:r>
      <w:r w:rsidRPr="001531CD">
        <w:t>―a person who distributes.</w:t>
      </w:r>
    </w:p>
    <w:p w14:paraId="0942EA1A" w14:textId="77777777" w:rsidR="00B7380C" w:rsidRPr="00154D48" w:rsidRDefault="00B7380C" w:rsidP="00B7380C">
      <w:pPr>
        <w:pStyle w:val="1"/>
      </w:pPr>
      <w:r w:rsidRPr="00154D48">
        <w:rPr>
          <w:i/>
          <w:iCs/>
        </w:rPr>
        <w:t>Feed</w:t>
      </w:r>
      <w:r w:rsidRPr="00154D48">
        <w:t>―any commercial feed manufactured and distributed for consumption by livestock.</w:t>
      </w:r>
    </w:p>
    <w:p w14:paraId="671BA629" w14:textId="77777777" w:rsidR="00B7380C" w:rsidRPr="00154D48" w:rsidRDefault="00B7380C" w:rsidP="00B7380C">
      <w:pPr>
        <w:pStyle w:val="1"/>
      </w:pPr>
      <w:r w:rsidRPr="00154D48">
        <w:rPr>
          <w:i/>
          <w:iCs/>
        </w:rPr>
        <w:t>Guaranteed Feeding Units</w:t>
      </w:r>
      <w:r w:rsidRPr="00154D48">
        <w:t>―the minimum crude protein, minimum crude fat, maximum crude fiber and minimum or maximum minerals expressed as percentages or other required official units of measure, based on weight and indicated on the label as being contained in the commercial feed.</w:t>
      </w:r>
    </w:p>
    <w:p w14:paraId="2AC24E02" w14:textId="77777777" w:rsidR="00CF626A" w:rsidRPr="001531CD" w:rsidRDefault="00B7380C" w:rsidP="00B7380C">
      <w:pPr>
        <w:pStyle w:val="1"/>
      </w:pPr>
      <w:r w:rsidRPr="00154D48">
        <w:rPr>
          <w:i/>
          <w:iCs/>
        </w:rPr>
        <w:lastRenderedPageBreak/>
        <w:t>Guarantor</w:t>
      </w:r>
      <w:r w:rsidRPr="00154D48">
        <w:t>―the entity listed on a commercial feed label or package that guarantees quality, quantity, and safety of the product.</w:t>
      </w:r>
    </w:p>
    <w:p w14:paraId="7B3777C4" w14:textId="77777777" w:rsidR="00CF626A" w:rsidRPr="001531CD" w:rsidRDefault="00CF626A">
      <w:pPr>
        <w:pStyle w:val="1"/>
      </w:pPr>
      <w:r w:rsidRPr="001531CD">
        <w:rPr>
          <w:i/>
          <w:iCs/>
        </w:rPr>
        <w:t>Ingredient</w:t>
      </w:r>
      <w:r w:rsidRPr="001531CD">
        <w:t xml:space="preserve"> or </w:t>
      </w:r>
      <w:r w:rsidRPr="001531CD">
        <w:rPr>
          <w:i/>
          <w:iCs/>
        </w:rPr>
        <w:t>Ingredients</w:t>
      </w:r>
      <w:r w:rsidRPr="001531CD">
        <w:t>―any of the constituent materials making up a commercial feed.</w:t>
      </w:r>
    </w:p>
    <w:p w14:paraId="19FAA0A1" w14:textId="77777777" w:rsidR="00CF626A" w:rsidRPr="001531CD" w:rsidRDefault="00765465">
      <w:pPr>
        <w:pStyle w:val="1"/>
      </w:pPr>
      <w:r w:rsidRPr="001531CD">
        <w:rPr>
          <w:i/>
        </w:rPr>
        <w:t>Invert Sugar</w:t>
      </w:r>
      <w:r w:rsidRPr="001531CD">
        <w:t xml:space="preserve">―a mixture of glucose and fructose resulting from the hydrolysis of sucrose. The value of invert sugars are determined by official methods outlined in </w:t>
      </w:r>
      <w:r w:rsidRPr="001531CD">
        <w:rPr>
          <w:i/>
        </w:rPr>
        <w:t>AOAC Official Methods of Analysis</w:t>
      </w:r>
      <w:r w:rsidRPr="001531CD">
        <w:t>. The method varies with the type of material being analyzed.</w:t>
      </w:r>
    </w:p>
    <w:p w14:paraId="3EF0EEDF" w14:textId="77777777" w:rsidR="00CF626A" w:rsidRPr="001531CD" w:rsidRDefault="00CF626A">
      <w:pPr>
        <w:pStyle w:val="1"/>
      </w:pPr>
      <w:r w:rsidRPr="001531CD">
        <w:rPr>
          <w:i/>
          <w:iCs/>
        </w:rPr>
        <w:t>Label</w:t>
      </w:r>
      <w:r w:rsidRPr="001531CD">
        <w:t>―a display of written, printed or graphic matter upon or affixed to the container in which a commercial feed is distributed or on the invoice or delivery slip with which a commercial feed is distributed.</w:t>
      </w:r>
    </w:p>
    <w:p w14:paraId="3C08A532" w14:textId="77777777" w:rsidR="00CF626A" w:rsidRPr="001531CD" w:rsidRDefault="00CF626A">
      <w:pPr>
        <w:pStyle w:val="1"/>
      </w:pPr>
      <w:r w:rsidRPr="001531CD">
        <w:rPr>
          <w:i/>
          <w:iCs/>
        </w:rPr>
        <w:t>Labeling</w:t>
      </w:r>
      <w:r w:rsidRPr="001531CD">
        <w:t>―all labels and other written, printed or graphic matter (1) upon a commercial feed or any of its containers or wrapper or (2) accompanying such commercial feed.</w:t>
      </w:r>
    </w:p>
    <w:p w14:paraId="32B6543E" w14:textId="77777777" w:rsidR="00CF626A" w:rsidRPr="001531CD" w:rsidRDefault="00765465">
      <w:pPr>
        <w:pStyle w:val="1"/>
      </w:pPr>
      <w:r w:rsidRPr="001531CD">
        <w:rPr>
          <w:i/>
        </w:rPr>
        <w:t>Livestock</w:t>
      </w:r>
      <w:r w:rsidRPr="001531CD">
        <w:t>―cattle, buffalo, bison, oxen, and other bovine; horses, mules, donkeys, and other equine; sheep; goats; swine; domestic rabbits; fish, turtles, and other animals identified with aquaculture that are located in artificial reservoirs or enclosures that are both on privately owned property and constructed so as to prevent, at all times, the ingress and egress of fish life from public waters; imported exotic deer and antelope, elk, farm-raised white-tailed deer, farm-raised ratites, and other farm-raised exotic animals; chickens, turkeys, and other poultry; and animals placed under the jurisdiction of the commissioner of agriculture and forestry and any hybrid, mixture, or mutation of any such animal.</w:t>
      </w:r>
    </w:p>
    <w:p w14:paraId="17CAA9A4" w14:textId="77777777" w:rsidR="00CF626A" w:rsidRPr="001531CD" w:rsidRDefault="00CF626A">
      <w:pPr>
        <w:pStyle w:val="1"/>
      </w:pPr>
      <w:r w:rsidRPr="001531CD">
        <w:rPr>
          <w:i/>
          <w:iCs/>
        </w:rPr>
        <w:t>Manufacture</w:t>
      </w:r>
      <w:r w:rsidRPr="001531CD">
        <w:t>―to grind, mix, blend or further process a commercial feed for distribution.</w:t>
      </w:r>
    </w:p>
    <w:p w14:paraId="54DAA742" w14:textId="77777777" w:rsidR="00CF626A" w:rsidRPr="001531CD" w:rsidRDefault="00CF626A">
      <w:pPr>
        <w:pStyle w:val="1"/>
      </w:pPr>
      <w:r w:rsidRPr="001531CD">
        <w:rPr>
          <w:i/>
          <w:iCs/>
        </w:rPr>
        <w:t>Manufacturer</w:t>
      </w:r>
      <w:r w:rsidRPr="001531CD">
        <w:t>―a person who manufactures a commercial feed or a customer-formula feed.</w:t>
      </w:r>
    </w:p>
    <w:p w14:paraId="634F6F08" w14:textId="77777777" w:rsidR="00CF626A" w:rsidRPr="001531CD" w:rsidRDefault="00CF626A">
      <w:pPr>
        <w:pStyle w:val="1"/>
      </w:pPr>
      <w:r w:rsidRPr="001531CD">
        <w:rPr>
          <w:i/>
          <w:iCs/>
        </w:rPr>
        <w:t>Medication</w:t>
      </w:r>
      <w:r w:rsidRPr="001531CD">
        <w:t>―any drug, antibiotic or other substance intended for use in the diagnosis, cure, mitigation, treatment or prevention of disease in animals other than feed ingredients intended to affect the structure or any function of the animal body.</w:t>
      </w:r>
    </w:p>
    <w:p w14:paraId="796380DC" w14:textId="77777777" w:rsidR="00CF626A" w:rsidRPr="001531CD" w:rsidRDefault="00CF626A">
      <w:pPr>
        <w:pStyle w:val="1"/>
      </w:pPr>
      <w:r w:rsidRPr="001531CD">
        <w:rPr>
          <w:i/>
          <w:iCs/>
        </w:rPr>
        <w:t>Minerals</w:t>
      </w:r>
      <w:r w:rsidRPr="001531CD">
        <w:t>―naturally occurring, homogeneous, inorganic chemical elements having definite chemical and physical characteristics. These elements are essential for proper growth, development, milk production and maintenance of body tissue.</w:t>
      </w:r>
    </w:p>
    <w:p w14:paraId="79537AE5" w14:textId="77777777" w:rsidR="00CF626A" w:rsidRPr="001531CD" w:rsidRDefault="00765465">
      <w:pPr>
        <w:pStyle w:val="1"/>
      </w:pPr>
      <w:r w:rsidRPr="001531CD">
        <w:rPr>
          <w:i/>
        </w:rPr>
        <w:t>Official Sample</w:t>
      </w:r>
      <w:r w:rsidRPr="001531CD">
        <w:t>―a sample of feed taken by the commissioner or his agent in accordance with provisions of R.S. 3:1398.</w:t>
      </w:r>
    </w:p>
    <w:p w14:paraId="129E9084" w14:textId="77777777" w:rsidR="00CF626A" w:rsidRPr="001531CD" w:rsidRDefault="00CF626A">
      <w:pPr>
        <w:pStyle w:val="1"/>
      </w:pPr>
      <w:r w:rsidRPr="001531CD">
        <w:rPr>
          <w:i/>
          <w:iCs/>
        </w:rPr>
        <w:t>Package</w:t>
      </w:r>
      <w:r w:rsidRPr="001531CD">
        <w:t>―a parcel, bag or other container.</w:t>
      </w:r>
    </w:p>
    <w:p w14:paraId="681ACC07" w14:textId="77777777" w:rsidR="00CF626A" w:rsidRPr="001531CD" w:rsidRDefault="00CF626A">
      <w:pPr>
        <w:pStyle w:val="1"/>
      </w:pPr>
      <w:r w:rsidRPr="001531CD">
        <w:rPr>
          <w:i/>
          <w:iCs/>
        </w:rPr>
        <w:t>Percent</w:t>
      </w:r>
      <w:r w:rsidRPr="001531CD">
        <w:t xml:space="preserve"> or </w:t>
      </w:r>
      <w:r w:rsidRPr="001531CD">
        <w:rPr>
          <w:i/>
          <w:iCs/>
        </w:rPr>
        <w:t>Percentages</w:t>
      </w:r>
      <w:r w:rsidRPr="001531CD">
        <w:t>―percentages by weights.</w:t>
      </w:r>
    </w:p>
    <w:p w14:paraId="67120B99" w14:textId="77777777" w:rsidR="00CF626A" w:rsidRPr="001531CD" w:rsidRDefault="00CF626A">
      <w:pPr>
        <w:pStyle w:val="1"/>
      </w:pPr>
      <w:r w:rsidRPr="001531CD">
        <w:rPr>
          <w:i/>
          <w:iCs/>
        </w:rPr>
        <w:t>Person</w:t>
      </w:r>
      <w:r w:rsidRPr="001531CD">
        <w:t>―includes individual, partnership, corporation and association, or other legal entity.</w:t>
      </w:r>
    </w:p>
    <w:p w14:paraId="3A53CB5E" w14:textId="77777777" w:rsidR="00CF626A" w:rsidRPr="001531CD" w:rsidRDefault="00CF626A">
      <w:pPr>
        <w:pStyle w:val="1"/>
      </w:pPr>
      <w:r w:rsidRPr="001531CD">
        <w:rPr>
          <w:i/>
          <w:iCs/>
        </w:rPr>
        <w:t>Pet</w:t>
      </w:r>
      <w:r w:rsidRPr="001531CD">
        <w:t>―any domesticated animal normally maintained in or near the household of the owner thereof.</w:t>
      </w:r>
    </w:p>
    <w:p w14:paraId="3BADA65F" w14:textId="77777777" w:rsidR="00CF626A" w:rsidRPr="001531CD" w:rsidRDefault="00CF626A">
      <w:pPr>
        <w:pStyle w:val="1"/>
      </w:pPr>
      <w:r w:rsidRPr="001531CD">
        <w:rPr>
          <w:i/>
          <w:iCs/>
        </w:rPr>
        <w:t>Pet Food</w:t>
      </w:r>
      <w:r w:rsidRPr="001531CD">
        <w:t>―any commercial feed prepared and distributed for consumption by pets.</w:t>
      </w:r>
    </w:p>
    <w:p w14:paraId="0FD46075" w14:textId="77777777" w:rsidR="00CF626A" w:rsidRDefault="00CF626A">
      <w:pPr>
        <w:pStyle w:val="1"/>
      </w:pPr>
      <w:r w:rsidRPr="001531CD">
        <w:rPr>
          <w:i/>
          <w:iCs/>
        </w:rPr>
        <w:t>Premises</w:t>
      </w:r>
      <w:r w:rsidRPr="001531CD">
        <w:t>―any place such as, but not exclusively, warehouses, factories, stores, trucks, railroad cars, boats, etc.</w:t>
      </w:r>
    </w:p>
    <w:p w14:paraId="61852917" w14:textId="77777777" w:rsidR="00B7380C" w:rsidRPr="001531CD" w:rsidRDefault="00B7380C">
      <w:pPr>
        <w:pStyle w:val="1"/>
      </w:pPr>
      <w:r w:rsidRPr="00154D48">
        <w:rPr>
          <w:i/>
          <w:iCs/>
        </w:rPr>
        <w:t>Process</w:t>
      </w:r>
      <w:r w:rsidRPr="00154D48">
        <w:t>―any method used to prepare, treat,</w:t>
      </w:r>
      <w:r w:rsidRPr="00154D48">
        <w:rPr>
          <w:i/>
          <w:iCs/>
        </w:rPr>
        <w:t xml:space="preserve"> </w:t>
      </w:r>
      <w:r w:rsidRPr="00154D48">
        <w:t>convert, or transform materials into feeds or feed ingredients.</w:t>
      </w:r>
      <w:r>
        <w:t xml:space="preserve"> </w:t>
      </w:r>
      <w:r w:rsidRPr="00154D48">
        <w:t>A “process” feed term can be used to further describe an ingredient name as long as the ingredient is not nutritionally altered from the original</w:t>
      </w:r>
      <w:r>
        <w:t>.</w:t>
      </w:r>
    </w:p>
    <w:p w14:paraId="4C864739" w14:textId="77777777" w:rsidR="00CF626A" w:rsidRPr="001531CD" w:rsidRDefault="00CF626A">
      <w:pPr>
        <w:pStyle w:val="1"/>
      </w:pPr>
      <w:r w:rsidRPr="001531CD">
        <w:rPr>
          <w:i/>
          <w:iCs/>
        </w:rPr>
        <w:t>Products Sold Primarily for Sugar Content</w:t>
      </w:r>
      <w:r w:rsidRPr="001531CD">
        <w:t xml:space="preserve">―include beet molasses, citrus molasses, hemicellulose extract, starch molasses, cane molasses and beet molasses, dried product. Each of these ingredients are defined in the </w:t>
      </w:r>
      <w:r w:rsidRPr="001531CD">
        <w:rPr>
          <w:i/>
          <w:iCs/>
        </w:rPr>
        <w:t>Official Publication of the Association of American Feed Control Officials</w:t>
      </w:r>
      <w:r w:rsidRPr="001531CD">
        <w:t>.</w:t>
      </w:r>
    </w:p>
    <w:p w14:paraId="566736D0" w14:textId="77777777" w:rsidR="00CF626A" w:rsidRDefault="00CF626A">
      <w:pPr>
        <w:pStyle w:val="1"/>
      </w:pPr>
      <w:r w:rsidRPr="001531CD">
        <w:rPr>
          <w:i/>
          <w:iCs/>
        </w:rPr>
        <w:t>Protein from Nonprotein Nitrogen (NPN)</w:t>
      </w:r>
      <w:r w:rsidRPr="001531CD">
        <w:t xml:space="preserve">―the percent nitrogen times 6.25 where the nitrogen is determined by the appropriate official method as outlined in the </w:t>
      </w:r>
      <w:r w:rsidRPr="001531CD">
        <w:rPr>
          <w:i/>
          <w:iCs/>
        </w:rPr>
        <w:t>AOAC Official Methods of Analysis (1984)</w:t>
      </w:r>
      <w:r w:rsidRPr="001531CD">
        <w:t xml:space="preserve"> Sections 7.010-7.059. The nitrogen from NPN is derived from chemical compounds other than proteins.</w:t>
      </w:r>
    </w:p>
    <w:p w14:paraId="50AEB2FC" w14:textId="77777777" w:rsidR="00B7380C" w:rsidRPr="00154D48" w:rsidRDefault="00B7380C" w:rsidP="00B7380C">
      <w:pPr>
        <w:pStyle w:val="1"/>
      </w:pPr>
      <w:r w:rsidRPr="00154D48">
        <w:rPr>
          <w:i/>
          <w:iCs/>
        </w:rPr>
        <w:t>Raw Milk</w:t>
      </w:r>
      <w:r w:rsidRPr="00154D48">
        <w:t>―the lacteal secretion from any species other than human, that has not been pasteurized in accordance with the processes recognized by the U.S. Food and Drug Administration.</w:t>
      </w:r>
    </w:p>
    <w:p w14:paraId="59155D30" w14:textId="77777777" w:rsidR="00B7380C" w:rsidRPr="001531CD" w:rsidRDefault="00B7380C" w:rsidP="00B7380C">
      <w:pPr>
        <w:pStyle w:val="1"/>
      </w:pPr>
      <w:r w:rsidRPr="00154D48">
        <w:rPr>
          <w:i/>
          <w:iCs/>
        </w:rPr>
        <w:t>Raw Milk Products</w:t>
      </w:r>
      <w:r w:rsidRPr="00154D48">
        <w:t>―any animal feed or feed ingredients made from raw milk that has not undergone pasteurization or other thermal processing</w:t>
      </w:r>
      <w:r>
        <w:t>.</w:t>
      </w:r>
    </w:p>
    <w:p w14:paraId="23A4ED01" w14:textId="77777777" w:rsidR="00CF626A" w:rsidRPr="001531CD" w:rsidRDefault="00CF626A">
      <w:pPr>
        <w:pStyle w:val="1"/>
      </w:pPr>
      <w:r w:rsidRPr="001531CD">
        <w:rPr>
          <w:i/>
          <w:iCs/>
        </w:rPr>
        <w:t>Registrant</w:t>
      </w:r>
      <w:r w:rsidRPr="001531CD">
        <w:t>―the person registering a feed with the commission.</w:t>
      </w:r>
    </w:p>
    <w:p w14:paraId="09250ECA" w14:textId="77777777" w:rsidR="00CF626A" w:rsidRPr="001531CD" w:rsidRDefault="00765465">
      <w:pPr>
        <w:pStyle w:val="1"/>
      </w:pPr>
      <w:r w:rsidRPr="001531CD">
        <w:rPr>
          <w:i/>
        </w:rPr>
        <w:t xml:space="preserve">Rule, Rules, Regulation, Regulations </w:t>
      </w:r>
      <w:r w:rsidRPr="001531CD">
        <w:t>or</w:t>
      </w:r>
      <w:r w:rsidRPr="001531CD">
        <w:rPr>
          <w:i/>
        </w:rPr>
        <w:t xml:space="preserve"> Rules and Regulations</w:t>
      </w:r>
      <w:r w:rsidRPr="001531CD">
        <w:t>―those of the commission adopted initially and from time to time to achieve the intent and purposes of R.S. 3:1391 et seq. or to facilitate its administration.</w:t>
      </w:r>
    </w:p>
    <w:p w14:paraId="6DB52389" w14:textId="77777777" w:rsidR="00CF626A" w:rsidRPr="001531CD" w:rsidRDefault="00765465">
      <w:pPr>
        <w:pStyle w:val="1"/>
      </w:pPr>
      <w:r w:rsidRPr="001531CD">
        <w:rPr>
          <w:i/>
        </w:rPr>
        <w:t>State Chemist</w:t>
      </w:r>
      <w:r w:rsidRPr="001531CD">
        <w:t>―the director of the Louisiana Agricultural Experiment Station of the Louisiana State University Agricultural Center, or his designee.</w:t>
      </w:r>
    </w:p>
    <w:p w14:paraId="59213BE6" w14:textId="77777777" w:rsidR="00CF626A" w:rsidRPr="001531CD" w:rsidRDefault="00CF626A">
      <w:pPr>
        <w:pStyle w:val="1"/>
      </w:pPr>
      <w:r w:rsidRPr="001531CD">
        <w:rPr>
          <w:i/>
          <w:iCs/>
        </w:rPr>
        <w:t>Sugars</w:t>
      </w:r>
      <w:r w:rsidRPr="001531CD">
        <w:t>―any of the class of water-soluble crystalline carbohydrates including sucrose and lactose having a characteristically sweet taste.</w:t>
      </w:r>
    </w:p>
    <w:p w14:paraId="6B03CD94" w14:textId="77777777" w:rsidR="00CF626A" w:rsidRPr="001531CD" w:rsidRDefault="00CF626A">
      <w:pPr>
        <w:pStyle w:val="1"/>
      </w:pPr>
      <w:r w:rsidRPr="001531CD">
        <w:rPr>
          <w:i/>
          <w:iCs/>
        </w:rPr>
        <w:t>Ton</w:t>
      </w:r>
      <w:r w:rsidRPr="001531CD">
        <w:t>―a net weight of 2,000 pounds avoirdupois.</w:t>
      </w:r>
    </w:p>
    <w:p w14:paraId="0BF29D9B" w14:textId="77777777" w:rsidR="00CF626A" w:rsidRPr="001531CD" w:rsidRDefault="00CF626A">
      <w:pPr>
        <w:pStyle w:val="1"/>
      </w:pPr>
      <w:r w:rsidRPr="001531CD">
        <w:rPr>
          <w:i/>
          <w:iCs/>
        </w:rPr>
        <w:t>Value of the Protein Deficiency</w:t>
      </w:r>
      <w:r w:rsidRPr="001531CD">
        <w:t>―the value of the crude protein as set by the state chemist times the difference between the guaranteed protein analysis and the actual protein analysis of the feed sample.</w:t>
      </w:r>
    </w:p>
    <w:p w14:paraId="7594FA14" w14:textId="77777777" w:rsidR="00CF626A" w:rsidRPr="001531CD" w:rsidRDefault="00CF626A">
      <w:pPr>
        <w:pStyle w:val="1"/>
      </w:pPr>
      <w:r w:rsidRPr="001531CD">
        <w:rPr>
          <w:i/>
          <w:iCs/>
        </w:rPr>
        <w:t>Vitamins</w:t>
      </w:r>
      <w:r w:rsidRPr="001531CD">
        <w:t>―organic compounds that function as parts of enzyme systems essential for the transmission of energy and the regulation of metabolisms of the body.</w:t>
      </w:r>
    </w:p>
    <w:p w14:paraId="6F4AC900" w14:textId="77777777" w:rsidR="00CF626A" w:rsidRPr="001531CD" w:rsidRDefault="00CF626A">
      <w:pPr>
        <w:pStyle w:val="1"/>
      </w:pPr>
      <w:r w:rsidRPr="001531CD">
        <w:rPr>
          <w:i/>
          <w:iCs/>
        </w:rPr>
        <w:t>Whole Seeds</w:t>
      </w:r>
      <w:r w:rsidRPr="001531CD">
        <w:t>―seeds of a single type, completely intact, and which have not been mechanically or chemically altered or processed.</w:t>
      </w:r>
    </w:p>
    <w:p w14:paraId="230DE908" w14:textId="77777777" w:rsidR="00CF626A" w:rsidRPr="001531CD" w:rsidRDefault="00765465">
      <w:pPr>
        <w:pStyle w:val="AuthorityNote"/>
      </w:pPr>
      <w:r w:rsidRPr="001531CD">
        <w:lastRenderedPageBreak/>
        <w:t>AUTHORITY NOTE:</w:t>
      </w:r>
      <w:r w:rsidRPr="001531CD">
        <w:tab/>
        <w:t>Promulgated in accordance with R.S. 3:1391 and R.S. 3:1392.</w:t>
      </w:r>
    </w:p>
    <w:p w14:paraId="67B19E43" w14:textId="77777777" w:rsidR="00CF626A" w:rsidRPr="001531CD" w:rsidRDefault="00CF626A">
      <w:pPr>
        <w:pStyle w:val="HistoricalNote"/>
      </w:pPr>
      <w:r w:rsidRPr="001531CD">
        <w:t>HISTORICAL NOTE:</w:t>
      </w:r>
      <w:r w:rsidRPr="001531CD">
        <w:tab/>
        <w:t>Promulgated by the Department of Agriculture, Feed Com</w:t>
      </w:r>
      <w:r w:rsidR="00765465" w:rsidRPr="001531CD">
        <w:t>mission, LR 11:219 (March 1985), amended by the Department of Agriculture and Forestry, Feed, Fertilizer, and Agricultural Liming Commis</w:t>
      </w:r>
      <w:r w:rsidR="00B7380C">
        <w:t xml:space="preserve">sion, LR 38:2524 (October 2012), </w:t>
      </w:r>
      <w:r w:rsidR="00B7380C" w:rsidRPr="00154D48">
        <w:t xml:space="preserve">amended by the Department of Agriculture and Forestry, </w:t>
      </w:r>
      <w:r w:rsidR="00B7380C">
        <w:t xml:space="preserve">Office of Animal Health and Food Safety and </w:t>
      </w:r>
      <w:r w:rsidR="00B7380C" w:rsidRPr="00154D48">
        <w:t xml:space="preserve">Agricultural Chemistry and Seed Commission, </w:t>
      </w:r>
      <w:r w:rsidR="00B7380C">
        <w:t>LR 51:647 (May 2025).</w:t>
      </w:r>
    </w:p>
    <w:p w14:paraId="24115FAF" w14:textId="77777777" w:rsidR="00CF626A" w:rsidRPr="001531CD" w:rsidRDefault="00CF626A">
      <w:pPr>
        <w:pStyle w:val="Section"/>
      </w:pPr>
      <w:bookmarkStart w:id="1516" w:name="_Toc256754641"/>
      <w:bookmarkStart w:id="1517" w:name="_Toc224818973"/>
      <w:r w:rsidRPr="001531CD">
        <w:t>§103.</w:t>
      </w:r>
      <w:r w:rsidRPr="001531CD">
        <w:tab/>
        <w:t>Label Format</w:t>
      </w:r>
      <w:bookmarkEnd w:id="1516"/>
      <w:bookmarkEnd w:id="1517"/>
    </w:p>
    <w:p w14:paraId="49909344" w14:textId="77777777" w:rsidR="00B7380C" w:rsidRPr="00154D48" w:rsidRDefault="00CF626A" w:rsidP="00B7380C">
      <w:pPr>
        <w:pStyle w:val="A"/>
      </w:pPr>
      <w:r w:rsidRPr="001531CD">
        <w:t>A.</w:t>
      </w:r>
      <w:r w:rsidRPr="001531CD">
        <w:tab/>
      </w:r>
      <w:r w:rsidR="00B7380C" w:rsidRPr="00154D48">
        <w:t>Commercial feed, other than customer-formula feed, shall be labeled with the information prescribed in this regulation on the principal display panel of the product and in the following general format:</w:t>
      </w:r>
    </w:p>
    <w:p w14:paraId="4A6E779C" w14:textId="77777777" w:rsidR="00B7380C" w:rsidRPr="00154D48" w:rsidRDefault="00B7380C" w:rsidP="00B7380C">
      <w:pPr>
        <w:pStyle w:val="1"/>
      </w:pPr>
      <w:r w:rsidRPr="00154D48">
        <w:t>1.</w:t>
      </w:r>
      <w:r w:rsidRPr="00154D48">
        <w:tab/>
        <w:t>a quantity or net weight, in both standard (avoirdupois) and metric units;</w:t>
      </w:r>
    </w:p>
    <w:p w14:paraId="0AEF88B2" w14:textId="77777777" w:rsidR="00CF626A" w:rsidRPr="001531CD" w:rsidRDefault="00CF626A">
      <w:pPr>
        <w:pStyle w:val="1"/>
      </w:pPr>
      <w:r w:rsidRPr="001531CD">
        <w:t>2.</w:t>
      </w:r>
      <w:r w:rsidRPr="001531CD">
        <w:tab/>
        <w:t>product name and brand name if any;</w:t>
      </w:r>
    </w:p>
    <w:p w14:paraId="225BD328" w14:textId="77777777" w:rsidR="00CF626A" w:rsidRPr="001531CD" w:rsidRDefault="00CF626A">
      <w:pPr>
        <w:pStyle w:val="1"/>
      </w:pPr>
      <w:r w:rsidRPr="001531CD">
        <w:t>3.</w:t>
      </w:r>
      <w:r w:rsidRPr="001531CD">
        <w:tab/>
        <w:t>if a drug is used:</w:t>
      </w:r>
    </w:p>
    <w:p w14:paraId="37C06BBD" w14:textId="77777777" w:rsidR="00CF626A" w:rsidRPr="001531CD" w:rsidRDefault="00CF626A">
      <w:pPr>
        <w:pStyle w:val="a0"/>
      </w:pPr>
      <w:r w:rsidRPr="001531CD">
        <w:t>a.</w:t>
      </w:r>
      <w:r w:rsidRPr="001531CD">
        <w:tab/>
        <w:t xml:space="preserve">the word </w:t>
      </w:r>
      <w:r w:rsidRPr="001531CD">
        <w:rPr>
          <w:i/>
          <w:iCs/>
        </w:rPr>
        <w:t>medicated</w:t>
      </w:r>
      <w:r w:rsidRPr="001531CD">
        <w:t xml:space="preserve"> shall appear directly following and below the product name in type size, no smaller than one-half the type size of the product name;</w:t>
      </w:r>
    </w:p>
    <w:p w14:paraId="6BF21311" w14:textId="77777777" w:rsidR="00CF626A" w:rsidRPr="001531CD" w:rsidRDefault="00CF626A">
      <w:pPr>
        <w:pStyle w:val="a0"/>
      </w:pPr>
      <w:r w:rsidRPr="001531CD">
        <w:t>b.</w:t>
      </w:r>
      <w:r w:rsidRPr="001531CD">
        <w:tab/>
        <w:t>the purpose of medication (claim statement);</w:t>
      </w:r>
    </w:p>
    <w:p w14:paraId="40D2521C" w14:textId="77777777" w:rsidR="00CF626A" w:rsidRPr="001531CD" w:rsidRDefault="00CF626A">
      <w:pPr>
        <w:pStyle w:val="a0"/>
      </w:pPr>
      <w:r w:rsidRPr="001531CD">
        <w:t>c.</w:t>
      </w:r>
      <w:r w:rsidRPr="001531CD">
        <w:tab/>
        <w:t>an active drug ingredient statement listing the active drug ingredients by their established name and the amounts in accordance with §107.D;</w:t>
      </w:r>
    </w:p>
    <w:p w14:paraId="5FA4DB67" w14:textId="77777777" w:rsidR="00CF626A" w:rsidRPr="001531CD" w:rsidRDefault="00CF626A">
      <w:pPr>
        <w:pStyle w:val="a0"/>
      </w:pPr>
      <w:r w:rsidRPr="001531CD">
        <w:t>d.</w:t>
      </w:r>
      <w:r w:rsidRPr="001531CD">
        <w:tab/>
        <w:t>the required directions for use and precautionary statements or reference to their location if the detailed feeding directions and precautionary statements required by §§111 and 113 appear elsewhere on the label;</w:t>
      </w:r>
    </w:p>
    <w:p w14:paraId="5281F973" w14:textId="77777777" w:rsidR="00CF626A" w:rsidRPr="001531CD" w:rsidRDefault="00765465">
      <w:pPr>
        <w:pStyle w:val="1"/>
      </w:pPr>
      <w:r w:rsidRPr="001531CD">
        <w:t>4.</w:t>
      </w:r>
      <w:r w:rsidRPr="001531CD">
        <w:tab/>
        <w:t>the guaranteed analysis of the feed as required under the provisions of R.S. 3:1394(A)(3) include the following items, unless exempted in §103.A.4.h, and in the order listed:</w:t>
      </w:r>
    </w:p>
    <w:p w14:paraId="5F4B945B" w14:textId="77777777" w:rsidR="00CF626A" w:rsidRPr="001531CD" w:rsidRDefault="00CF626A">
      <w:pPr>
        <w:pStyle w:val="a0"/>
      </w:pPr>
      <w:r w:rsidRPr="001531CD">
        <w:t>a.</w:t>
      </w:r>
      <w:r w:rsidRPr="001531CD">
        <w:tab/>
        <w:t>minimum percentage of crude protein;</w:t>
      </w:r>
    </w:p>
    <w:p w14:paraId="71875041" w14:textId="77777777" w:rsidR="00CF626A" w:rsidRPr="001531CD" w:rsidRDefault="00CF626A">
      <w:pPr>
        <w:pStyle w:val="a0"/>
      </w:pPr>
      <w:r w:rsidRPr="001531CD">
        <w:t>b.</w:t>
      </w:r>
      <w:r w:rsidRPr="001531CD">
        <w:tab/>
        <w:t>maximum or minimum percentage of equivalent protein from nonprotein nitrogen as required in §107.E;</w:t>
      </w:r>
    </w:p>
    <w:p w14:paraId="6F1ECEB6" w14:textId="77777777" w:rsidR="00CF626A" w:rsidRPr="001531CD" w:rsidRDefault="00CF626A">
      <w:pPr>
        <w:pStyle w:val="a0"/>
      </w:pPr>
      <w:r w:rsidRPr="001531CD">
        <w:t>c.</w:t>
      </w:r>
      <w:r w:rsidRPr="001531CD">
        <w:tab/>
        <w:t>minimum percentage of crude fat;</w:t>
      </w:r>
    </w:p>
    <w:p w14:paraId="0BED1B20" w14:textId="77777777" w:rsidR="00CF626A" w:rsidRPr="001531CD" w:rsidRDefault="00CF626A">
      <w:pPr>
        <w:pStyle w:val="a0"/>
      </w:pPr>
      <w:r w:rsidRPr="001531CD">
        <w:t>d.</w:t>
      </w:r>
      <w:r w:rsidRPr="001531CD">
        <w:tab/>
        <w:t>maximum percentage of crude fiber;</w:t>
      </w:r>
    </w:p>
    <w:p w14:paraId="2236499B" w14:textId="77777777" w:rsidR="00CF626A" w:rsidRPr="001531CD" w:rsidRDefault="00CF626A">
      <w:pPr>
        <w:pStyle w:val="a0"/>
      </w:pPr>
      <w:r w:rsidRPr="001531CD">
        <w:t>e.</w:t>
      </w:r>
      <w:r w:rsidRPr="001531CD">
        <w:tab/>
        <w:t>minerals, to include, in the following order:</w:t>
      </w:r>
    </w:p>
    <w:p w14:paraId="17B294E1" w14:textId="77777777" w:rsidR="00CF626A" w:rsidRPr="001531CD" w:rsidRDefault="00CF626A">
      <w:pPr>
        <w:pStyle w:val="i0"/>
      </w:pPr>
      <w:r w:rsidRPr="001531CD">
        <w:tab/>
        <w:t>i.</w:t>
      </w:r>
      <w:r w:rsidRPr="001531CD">
        <w:tab/>
        <w:t>minimum and maximum percentages of calcium (Ca);</w:t>
      </w:r>
    </w:p>
    <w:p w14:paraId="39063FD9" w14:textId="77777777" w:rsidR="00CF626A" w:rsidRPr="001531CD" w:rsidRDefault="00CF626A">
      <w:pPr>
        <w:pStyle w:val="i0"/>
      </w:pPr>
      <w:r w:rsidRPr="001531CD">
        <w:tab/>
        <w:t>ii.</w:t>
      </w:r>
      <w:r w:rsidRPr="001531CD">
        <w:tab/>
        <w:t>minimum percentage of phosphorus (P);</w:t>
      </w:r>
    </w:p>
    <w:p w14:paraId="3FCC45F1" w14:textId="77777777" w:rsidR="00CF626A" w:rsidRPr="001531CD" w:rsidRDefault="00CF626A">
      <w:pPr>
        <w:pStyle w:val="i0"/>
      </w:pPr>
      <w:r w:rsidRPr="001531CD">
        <w:tab/>
        <w:t>iii.</w:t>
      </w:r>
      <w:r w:rsidRPr="001531CD">
        <w:tab/>
        <w:t>minimum and maximum percentages of salt (NaCl); and</w:t>
      </w:r>
    </w:p>
    <w:p w14:paraId="1AA40DCA" w14:textId="77777777" w:rsidR="00CF626A" w:rsidRPr="001531CD" w:rsidRDefault="00CF626A">
      <w:pPr>
        <w:pStyle w:val="i0"/>
      </w:pPr>
      <w:r w:rsidRPr="001531CD">
        <w:tab/>
        <w:t>iv.</w:t>
      </w:r>
      <w:r w:rsidRPr="001531CD">
        <w:tab/>
        <w:t>other minerals;</w:t>
      </w:r>
    </w:p>
    <w:p w14:paraId="22B1ACB1" w14:textId="77777777" w:rsidR="00CF626A" w:rsidRPr="001531CD" w:rsidRDefault="00CF626A">
      <w:pPr>
        <w:pStyle w:val="a0"/>
      </w:pPr>
      <w:r w:rsidRPr="001531CD">
        <w:t>f.</w:t>
      </w:r>
      <w:r w:rsidRPr="001531CD">
        <w:tab/>
        <w:t>vitamins in such terms as specified in §107.C;</w:t>
      </w:r>
    </w:p>
    <w:p w14:paraId="153ABF85" w14:textId="77777777" w:rsidR="00CF626A" w:rsidRPr="001531CD" w:rsidRDefault="00CF626A">
      <w:pPr>
        <w:pStyle w:val="a0"/>
      </w:pPr>
      <w:r w:rsidRPr="001531CD">
        <w:t>g.</w:t>
      </w:r>
      <w:r w:rsidRPr="001531CD">
        <w:tab/>
        <w:t>total sugars as invert on dried molasses products or products being sold primarily for their sugar content;</w:t>
      </w:r>
    </w:p>
    <w:p w14:paraId="09D21428" w14:textId="77777777" w:rsidR="00CF626A" w:rsidRPr="001531CD" w:rsidRDefault="00CF626A">
      <w:pPr>
        <w:pStyle w:val="a0"/>
      </w:pPr>
      <w:r w:rsidRPr="001531CD">
        <w:t>h.</w:t>
      </w:r>
      <w:r w:rsidRPr="001531CD">
        <w:tab/>
        <w:t>exemptions:</w:t>
      </w:r>
    </w:p>
    <w:p w14:paraId="5B5BF6E8" w14:textId="77777777" w:rsidR="00CF626A" w:rsidRPr="001531CD" w:rsidRDefault="00CF626A">
      <w:pPr>
        <w:pStyle w:val="i0"/>
        <w:outlineLvl w:val="6"/>
      </w:pPr>
      <w:r w:rsidRPr="001531CD">
        <w:tab/>
        <w:t>i.</w:t>
      </w:r>
      <w:r w:rsidRPr="001531CD">
        <w:tab/>
        <w:t>guarantees for minerals are not required when there are no specific label claims and when the commercial feed contains less than 6 1/2 percent of the total of calcium, phosphorus, sodium and chloride. Except that all commercial feeds for dairy use sold in bulk shall be accompanied by a label stating the content of these minerals;</w:t>
      </w:r>
    </w:p>
    <w:p w14:paraId="721BFAD8" w14:textId="77777777" w:rsidR="00CF626A" w:rsidRPr="001531CD" w:rsidRDefault="00CF626A">
      <w:pPr>
        <w:pStyle w:val="i0"/>
        <w:outlineLvl w:val="6"/>
      </w:pPr>
      <w:r w:rsidRPr="001531CD">
        <w:tab/>
        <w:t>ii.</w:t>
      </w:r>
      <w:r w:rsidRPr="001531CD">
        <w:tab/>
        <w:t>guarantees for vitamins are not required when the commercial feed is neither formulated for nor represented in any manner as a vitamin supplement;</w:t>
      </w:r>
    </w:p>
    <w:p w14:paraId="36732522" w14:textId="77777777" w:rsidR="00CF626A" w:rsidRPr="001531CD" w:rsidRDefault="00CF626A">
      <w:pPr>
        <w:pStyle w:val="i0"/>
        <w:outlineLvl w:val="6"/>
      </w:pPr>
      <w:r w:rsidRPr="001531CD">
        <w:tab/>
        <w:t>iii.</w:t>
      </w:r>
      <w:r w:rsidRPr="001531CD">
        <w:tab/>
        <w:t>guarantees for crude protein, crude fat and crude fiber are not required when the commercial feed is intended for purposes other than to furnish these substances or they are of minor significance relating to the primary purpose of the product, such as drug premixes, mineral or vitamin supplements and molasses;</w:t>
      </w:r>
    </w:p>
    <w:p w14:paraId="7A645C25" w14:textId="77777777" w:rsidR="00CF626A" w:rsidRPr="001531CD" w:rsidRDefault="00765465">
      <w:pPr>
        <w:pStyle w:val="1"/>
      </w:pPr>
      <w:r w:rsidRPr="001531CD">
        <w:t>5.</w:t>
      </w:r>
      <w:r w:rsidRPr="001531CD">
        <w:tab/>
        <w:t>feed ingredients, collective terms for the grouping of feed ingredients, as provided under the provisions of R.S. 3:1394(A)(6):</w:t>
      </w:r>
    </w:p>
    <w:p w14:paraId="772FECA0" w14:textId="77777777" w:rsidR="00CF626A" w:rsidRPr="001531CD" w:rsidRDefault="00CF626A">
      <w:pPr>
        <w:pStyle w:val="a0"/>
      </w:pPr>
      <w:r w:rsidRPr="001531CD">
        <w:t>a.</w:t>
      </w:r>
      <w:r w:rsidRPr="001531CD">
        <w:tab/>
        <w:t xml:space="preserve">the name of each ingredient as defined in the </w:t>
      </w:r>
      <w:r w:rsidRPr="001531CD">
        <w:rPr>
          <w:i/>
          <w:iCs/>
        </w:rPr>
        <w:t>Official Publication of the Association of American Feed Control Officials</w:t>
      </w:r>
      <w:r w:rsidRPr="001531CD">
        <w:t>, common or usual name, or one approved by the commission;</w:t>
      </w:r>
    </w:p>
    <w:p w14:paraId="0495B9A1" w14:textId="77777777" w:rsidR="00CF626A" w:rsidRPr="001531CD" w:rsidRDefault="00CF626A">
      <w:pPr>
        <w:pStyle w:val="a0"/>
      </w:pPr>
      <w:r w:rsidRPr="001531CD">
        <w:t>b.</w:t>
      </w:r>
      <w:r w:rsidRPr="001531CD">
        <w:tab/>
        <w:t xml:space="preserve">collective terms for the grouping of feed ingredients as defined in the official definitions of feed ingredients published in the </w:t>
      </w:r>
      <w:r w:rsidRPr="001531CD">
        <w:rPr>
          <w:i/>
          <w:iCs/>
        </w:rPr>
        <w:t>Official Publication of the Association of American Feed Control Officials</w:t>
      </w:r>
      <w:r w:rsidRPr="001531CD">
        <w:t xml:space="preserve"> in lieu of the individual ingredients; provided that:</w:t>
      </w:r>
    </w:p>
    <w:p w14:paraId="7EFF0092" w14:textId="77777777" w:rsidR="00CF626A" w:rsidRPr="001531CD" w:rsidRDefault="00CF626A">
      <w:pPr>
        <w:pStyle w:val="i0"/>
        <w:outlineLvl w:val="6"/>
      </w:pPr>
      <w:r w:rsidRPr="001531CD">
        <w:tab/>
        <w:t>i.</w:t>
      </w:r>
      <w:r w:rsidRPr="001531CD">
        <w:tab/>
        <w:t>when a collective term for a group of ingredients is used on the label, individual ingredients within that group shall not be listed on the label;</w:t>
      </w:r>
    </w:p>
    <w:p w14:paraId="17C5CBE4" w14:textId="77777777" w:rsidR="00CF626A" w:rsidRPr="001531CD" w:rsidRDefault="00CF626A">
      <w:pPr>
        <w:pStyle w:val="i0"/>
        <w:outlineLvl w:val="6"/>
      </w:pPr>
      <w:r w:rsidRPr="001531CD">
        <w:tab/>
        <w:t>ii.</w:t>
      </w:r>
      <w:r w:rsidRPr="001531CD">
        <w:tab/>
        <w:t>the manufacturer shall provide the feed control official, upon request, with a list of individual ingredients, within a defined group, that are or have been used at manufacturing facilities distributing in or into the state;</w:t>
      </w:r>
    </w:p>
    <w:p w14:paraId="1A2B9E35" w14:textId="77777777" w:rsidR="00CF626A" w:rsidRPr="001531CD" w:rsidRDefault="00CF626A">
      <w:pPr>
        <w:pStyle w:val="1"/>
      </w:pPr>
      <w:r w:rsidRPr="001531CD">
        <w:t>6.</w:t>
      </w:r>
      <w:r w:rsidRPr="001531CD">
        <w:tab/>
        <w:t>name and principal mailing address of the manufacturer or person responsible for distributing the feed. The principal mailing address shall include the street address, city, state and zip code;</w:t>
      </w:r>
    </w:p>
    <w:p w14:paraId="16610975" w14:textId="77777777" w:rsidR="00765465" w:rsidRPr="001531CD" w:rsidRDefault="00765465" w:rsidP="00765465">
      <w:pPr>
        <w:pStyle w:val="1"/>
      </w:pPr>
      <w:r w:rsidRPr="001531CD">
        <w:t>7.</w:t>
      </w:r>
      <w:r w:rsidRPr="001531CD">
        <w:tab/>
        <w:t>the information required in R.S. 3:1394(A)(1) through R.S. 3:1394 (A)(7) must appear in its entirety on one side of the label or on one side of the container. The information required by R.S. 3:1394 (A)(8) and R.S. 3:1394 (A)(9) shall be displayed in a prominent place on the label or container but not necessarily on the same side as the above information. When the information required by R.S. 3:1394 (A)(8) and R.S. 3: 1394 (A)(9) is placed on a different side of the label or container, it must be referenced on the front side with a statement such as See back of label for directions for use. None of the information required by R.S. 3:1394 shall be subordinated or obscured by other statements or designs.</w:t>
      </w:r>
    </w:p>
    <w:p w14:paraId="23B49BCE" w14:textId="77777777" w:rsidR="00CF626A" w:rsidRPr="001531CD" w:rsidRDefault="00765465" w:rsidP="00765465">
      <w:pPr>
        <w:pStyle w:val="1"/>
      </w:pPr>
      <w:r w:rsidRPr="001531CD">
        <w:t>8.</w:t>
      </w:r>
      <w:r w:rsidRPr="001531CD">
        <w:tab/>
        <w:t>If the feed contains protein derived from mammalian tissues, a statement that the feed shall not be fed to ruminants.</w:t>
      </w:r>
    </w:p>
    <w:p w14:paraId="62CA008E" w14:textId="77777777" w:rsidR="00CF626A" w:rsidRPr="001531CD" w:rsidRDefault="00CF626A">
      <w:pPr>
        <w:pStyle w:val="A"/>
      </w:pPr>
      <w:r w:rsidRPr="001531CD">
        <w:t>B.</w:t>
      </w:r>
      <w:r w:rsidRPr="001531CD">
        <w:tab/>
        <w:t xml:space="preserve">Customer-formula feed shall be accompanied with the information prescribed in this regulation using labels, invoice, </w:t>
      </w:r>
      <w:r w:rsidRPr="001531CD">
        <w:lastRenderedPageBreak/>
        <w:t>delivery ticket or other shipping document bearing the following information:</w:t>
      </w:r>
    </w:p>
    <w:p w14:paraId="7A8435CD" w14:textId="77777777" w:rsidR="00CF626A" w:rsidRPr="001531CD" w:rsidRDefault="00CF626A">
      <w:pPr>
        <w:pStyle w:val="1"/>
      </w:pPr>
      <w:r w:rsidRPr="001531CD">
        <w:t>1.</w:t>
      </w:r>
      <w:r w:rsidRPr="001531CD">
        <w:tab/>
        <w:t>the name and address of the manufacturer;</w:t>
      </w:r>
    </w:p>
    <w:p w14:paraId="3D110118" w14:textId="77777777" w:rsidR="00CF626A" w:rsidRPr="001531CD" w:rsidRDefault="00CF626A">
      <w:pPr>
        <w:pStyle w:val="1"/>
      </w:pPr>
      <w:r w:rsidRPr="001531CD">
        <w:t>2.</w:t>
      </w:r>
      <w:r w:rsidRPr="001531CD">
        <w:tab/>
        <w:t>the name and address of the purchaser;</w:t>
      </w:r>
    </w:p>
    <w:p w14:paraId="5063C6DE" w14:textId="77777777" w:rsidR="00CF626A" w:rsidRPr="001531CD" w:rsidRDefault="00CF626A">
      <w:pPr>
        <w:pStyle w:val="1"/>
      </w:pPr>
      <w:r w:rsidRPr="001531CD">
        <w:t>3.</w:t>
      </w:r>
      <w:r w:rsidRPr="001531CD">
        <w:tab/>
        <w:t>the date of sale or delivery;</w:t>
      </w:r>
    </w:p>
    <w:p w14:paraId="1ED101A0" w14:textId="77777777" w:rsidR="00CF626A" w:rsidRPr="001531CD" w:rsidRDefault="00CF626A">
      <w:pPr>
        <w:pStyle w:val="1"/>
      </w:pPr>
      <w:r w:rsidRPr="001531CD">
        <w:t>4.</w:t>
      </w:r>
      <w:r w:rsidRPr="001531CD">
        <w:tab/>
        <w:t>the customer-formula feed name and brand name if any;</w:t>
      </w:r>
    </w:p>
    <w:p w14:paraId="53381BD5" w14:textId="77777777" w:rsidR="00CF626A" w:rsidRPr="001531CD" w:rsidRDefault="00CF626A">
      <w:pPr>
        <w:pStyle w:val="1"/>
      </w:pPr>
      <w:r w:rsidRPr="001531CD">
        <w:t>5.</w:t>
      </w:r>
      <w:r w:rsidRPr="001531CD">
        <w:tab/>
        <w:t>the product name and net weight of each registered commercial feed and each other ingredient used in the mixture;</w:t>
      </w:r>
    </w:p>
    <w:p w14:paraId="2A90A9E0" w14:textId="77777777" w:rsidR="00CF626A" w:rsidRPr="001531CD" w:rsidRDefault="00CF626A">
      <w:pPr>
        <w:pStyle w:val="1"/>
      </w:pPr>
      <w:r w:rsidRPr="001531CD">
        <w:t>6.</w:t>
      </w:r>
      <w:r w:rsidRPr="001531CD">
        <w:tab/>
        <w:t>the direction for use and precautionary statements as required by §§111 and 113;</w:t>
      </w:r>
    </w:p>
    <w:p w14:paraId="0AD1B4A5" w14:textId="77777777" w:rsidR="00CF626A" w:rsidRPr="001531CD" w:rsidRDefault="00CF626A">
      <w:pPr>
        <w:pStyle w:val="1"/>
      </w:pPr>
      <w:r w:rsidRPr="001531CD">
        <w:t>7.</w:t>
      </w:r>
      <w:r w:rsidRPr="001531CD">
        <w:tab/>
        <w:t>if a drug containing product is used:</w:t>
      </w:r>
    </w:p>
    <w:p w14:paraId="2A0BCF3F" w14:textId="77777777" w:rsidR="00CF626A" w:rsidRPr="001531CD" w:rsidRDefault="00CF626A">
      <w:pPr>
        <w:pStyle w:val="a0"/>
      </w:pPr>
      <w:r w:rsidRPr="001531CD">
        <w:t>a.</w:t>
      </w:r>
      <w:r w:rsidRPr="001531CD">
        <w:tab/>
        <w:t>the purpose of the medication (claim statement);</w:t>
      </w:r>
    </w:p>
    <w:p w14:paraId="221A6B4C" w14:textId="77777777" w:rsidR="00CF626A" w:rsidRPr="001531CD" w:rsidRDefault="00CF626A">
      <w:pPr>
        <w:pStyle w:val="a0"/>
      </w:pPr>
      <w:r w:rsidRPr="001531CD">
        <w:t>b.</w:t>
      </w:r>
      <w:r w:rsidRPr="001531CD">
        <w:tab/>
        <w:t>the established name of each active drug ingredient and the level of each drug used in the final mixture expressed in accordance with §107.D.</w:t>
      </w:r>
    </w:p>
    <w:p w14:paraId="6A92FA0E" w14:textId="77777777" w:rsidR="00765465" w:rsidRDefault="00765465" w:rsidP="00765465">
      <w:pPr>
        <w:pStyle w:val="1"/>
      </w:pPr>
      <w:r w:rsidRPr="001531CD">
        <w:t>8.</w:t>
      </w:r>
      <w:r w:rsidRPr="001531CD">
        <w:tab/>
        <w:t>If the feed contains protein derived from mammalian tissues, a statement that the feed shall not be fed to ruminants.</w:t>
      </w:r>
    </w:p>
    <w:p w14:paraId="238FD4D0" w14:textId="77777777" w:rsidR="00B7380C" w:rsidRPr="00154D48" w:rsidRDefault="00B7380C" w:rsidP="00B7380C">
      <w:pPr>
        <w:pStyle w:val="A"/>
      </w:pPr>
      <w:r w:rsidRPr="00154D48">
        <w:t>C.</w:t>
      </w:r>
      <w:r w:rsidRPr="00154D48">
        <w:tab/>
        <w:t>If the feed is manufactured with raw milk or raw milk products:</w:t>
      </w:r>
    </w:p>
    <w:p w14:paraId="5FE3EE5A" w14:textId="77777777" w:rsidR="00B7380C" w:rsidRDefault="00B7380C" w:rsidP="00B7380C">
      <w:pPr>
        <w:pStyle w:val="1"/>
      </w:pPr>
      <w:r>
        <w:t>1.</w:t>
      </w:r>
      <w:r>
        <w:tab/>
      </w:r>
      <w:r w:rsidRPr="00154D48">
        <w:t>The express words “WARNING: NOT FOR HUMAN CONSUMPTION – THIS PRODUCT HAS NOT BEEN PASTEURIZED AND MAY CONTAIN HARMFUL BACTERIA,” shall be displayed in a conspicuous manner and shall not be smaller than the height of the minimum form required by the Federal Fair Packaging and Labeling Act for the net quantity statement in the table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43"/>
        <w:gridCol w:w="540"/>
        <w:gridCol w:w="1902"/>
      </w:tblGrid>
      <w:tr w:rsidR="00B7380C" w:rsidRPr="001412C1" w14:paraId="58D8B895" w14:textId="77777777" w:rsidTr="00F30BD7">
        <w:trPr>
          <w:jc w:val="center"/>
        </w:trPr>
        <w:tc>
          <w:tcPr>
            <w:tcW w:w="1543" w:type="dxa"/>
            <w:shd w:val="clear" w:color="auto" w:fill="BFBFBF"/>
            <w:vAlign w:val="bottom"/>
          </w:tcPr>
          <w:p w14:paraId="463BD4C7"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r w:rsidRPr="001412C1">
              <w:rPr>
                <w:b/>
                <w:kern w:val="2"/>
                <w:sz w:val="16"/>
                <w:szCs w:val="16"/>
              </w:rPr>
              <w:t>Panel Size</w:t>
            </w:r>
          </w:p>
        </w:tc>
        <w:tc>
          <w:tcPr>
            <w:tcW w:w="540" w:type="dxa"/>
            <w:shd w:val="clear" w:color="auto" w:fill="BFBFBF"/>
            <w:vAlign w:val="bottom"/>
          </w:tcPr>
          <w:p w14:paraId="005EA738"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p>
        </w:tc>
        <w:tc>
          <w:tcPr>
            <w:tcW w:w="1902" w:type="dxa"/>
            <w:shd w:val="clear" w:color="auto" w:fill="BFBFBF"/>
            <w:vAlign w:val="bottom"/>
          </w:tcPr>
          <w:p w14:paraId="4A41C96A"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r w:rsidRPr="001412C1">
              <w:rPr>
                <w:b/>
                <w:kern w:val="2"/>
                <w:sz w:val="16"/>
                <w:szCs w:val="16"/>
              </w:rPr>
              <w:t>Minimum Warning Statement Type Size</w:t>
            </w:r>
          </w:p>
        </w:tc>
      </w:tr>
      <w:tr w:rsidR="00B7380C" w:rsidRPr="001412C1" w14:paraId="006EB01F" w14:textId="77777777" w:rsidTr="00F30BD7">
        <w:trPr>
          <w:jc w:val="center"/>
        </w:trPr>
        <w:tc>
          <w:tcPr>
            <w:tcW w:w="1543" w:type="dxa"/>
            <w:vAlign w:val="center"/>
          </w:tcPr>
          <w:p w14:paraId="0D2E0286"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 5 in.</w:t>
            </w:r>
            <w:r w:rsidRPr="001412C1">
              <w:rPr>
                <w:kern w:val="2"/>
                <w:sz w:val="16"/>
                <w:szCs w:val="16"/>
                <w:vertAlign w:val="superscript"/>
              </w:rPr>
              <w:t>2</w:t>
            </w:r>
          </w:p>
        </w:tc>
        <w:tc>
          <w:tcPr>
            <w:tcW w:w="540" w:type="dxa"/>
            <w:vAlign w:val="bottom"/>
          </w:tcPr>
          <w:p w14:paraId="392392B7"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vAlign w:val="bottom"/>
          </w:tcPr>
          <w:p w14:paraId="24C04DA0"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1/16 in.</w:t>
            </w:r>
          </w:p>
        </w:tc>
      </w:tr>
      <w:tr w:rsidR="00B7380C" w:rsidRPr="001412C1" w14:paraId="5B765C79" w14:textId="77777777" w:rsidTr="00F30BD7">
        <w:trPr>
          <w:jc w:val="center"/>
        </w:trPr>
        <w:tc>
          <w:tcPr>
            <w:tcW w:w="1543" w:type="dxa"/>
            <w:vAlign w:val="center"/>
          </w:tcPr>
          <w:p w14:paraId="31674332"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5 - ≤ 25 in.</w:t>
            </w:r>
            <w:r w:rsidRPr="001412C1">
              <w:rPr>
                <w:kern w:val="2"/>
                <w:sz w:val="16"/>
                <w:szCs w:val="16"/>
                <w:vertAlign w:val="superscript"/>
              </w:rPr>
              <w:t>2</w:t>
            </w:r>
          </w:p>
        </w:tc>
        <w:tc>
          <w:tcPr>
            <w:tcW w:w="540" w:type="dxa"/>
            <w:vAlign w:val="bottom"/>
          </w:tcPr>
          <w:p w14:paraId="618995E7"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vAlign w:val="bottom"/>
          </w:tcPr>
          <w:p w14:paraId="7648A1DC"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1/8 in.</w:t>
            </w:r>
          </w:p>
        </w:tc>
      </w:tr>
      <w:tr w:rsidR="00B7380C" w:rsidRPr="001412C1" w14:paraId="2B0DA5D5" w14:textId="77777777" w:rsidTr="00F30BD7">
        <w:trPr>
          <w:jc w:val="center"/>
        </w:trPr>
        <w:tc>
          <w:tcPr>
            <w:tcW w:w="1543" w:type="dxa"/>
            <w:vAlign w:val="center"/>
          </w:tcPr>
          <w:p w14:paraId="66C668FE"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25 - ≤ 100 in.</w:t>
            </w:r>
            <w:r w:rsidRPr="001412C1">
              <w:rPr>
                <w:kern w:val="2"/>
                <w:sz w:val="16"/>
                <w:szCs w:val="16"/>
                <w:vertAlign w:val="superscript"/>
              </w:rPr>
              <w:t>2</w:t>
            </w:r>
          </w:p>
        </w:tc>
        <w:tc>
          <w:tcPr>
            <w:tcW w:w="540" w:type="dxa"/>
            <w:vAlign w:val="bottom"/>
          </w:tcPr>
          <w:p w14:paraId="64B6CCB6"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vAlign w:val="bottom"/>
          </w:tcPr>
          <w:p w14:paraId="53D8464C"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3/16 in.</w:t>
            </w:r>
          </w:p>
        </w:tc>
      </w:tr>
      <w:tr w:rsidR="00B7380C" w:rsidRPr="001412C1" w14:paraId="453973E9" w14:textId="77777777" w:rsidTr="00F30BD7">
        <w:trPr>
          <w:jc w:val="center"/>
        </w:trPr>
        <w:tc>
          <w:tcPr>
            <w:tcW w:w="1543" w:type="dxa"/>
            <w:vAlign w:val="center"/>
          </w:tcPr>
          <w:p w14:paraId="459F9626"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100 - ≤ 400 in.</w:t>
            </w:r>
            <w:r w:rsidRPr="001412C1">
              <w:rPr>
                <w:kern w:val="2"/>
                <w:sz w:val="16"/>
                <w:szCs w:val="16"/>
                <w:vertAlign w:val="superscript"/>
              </w:rPr>
              <w:t>2</w:t>
            </w:r>
          </w:p>
        </w:tc>
        <w:tc>
          <w:tcPr>
            <w:tcW w:w="540" w:type="dxa"/>
            <w:vAlign w:val="bottom"/>
          </w:tcPr>
          <w:p w14:paraId="16500B5F"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vAlign w:val="bottom"/>
          </w:tcPr>
          <w:p w14:paraId="17D0EDA4"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1/4 in.</w:t>
            </w:r>
          </w:p>
        </w:tc>
      </w:tr>
      <w:tr w:rsidR="00B7380C" w:rsidRPr="001412C1" w14:paraId="6F104CE9" w14:textId="77777777" w:rsidTr="00F30BD7">
        <w:trPr>
          <w:jc w:val="center"/>
        </w:trPr>
        <w:tc>
          <w:tcPr>
            <w:tcW w:w="1543" w:type="dxa"/>
            <w:vAlign w:val="center"/>
          </w:tcPr>
          <w:p w14:paraId="4820887C"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400 in.</w:t>
            </w:r>
            <w:r w:rsidRPr="001412C1">
              <w:rPr>
                <w:kern w:val="2"/>
                <w:sz w:val="16"/>
                <w:szCs w:val="16"/>
                <w:vertAlign w:val="superscript"/>
              </w:rPr>
              <w:t>2</w:t>
            </w:r>
          </w:p>
        </w:tc>
        <w:tc>
          <w:tcPr>
            <w:tcW w:w="540" w:type="dxa"/>
            <w:vAlign w:val="bottom"/>
          </w:tcPr>
          <w:p w14:paraId="2320EAE5"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vAlign w:val="bottom"/>
          </w:tcPr>
          <w:p w14:paraId="40E0119B" w14:textId="77777777"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1/2 in.</w:t>
            </w:r>
          </w:p>
        </w:tc>
      </w:tr>
    </w:tbl>
    <w:p w14:paraId="5F636C2C" w14:textId="77777777" w:rsidR="00B7380C" w:rsidRPr="001531CD" w:rsidRDefault="00E262CA" w:rsidP="00B7380C">
      <w:pPr>
        <w:pStyle w:val="1"/>
      </w:pPr>
      <w:r>
        <w:t>2.</w:t>
      </w:r>
      <w:r>
        <w:tab/>
      </w:r>
      <w:r w:rsidR="00B7380C" w:rsidRPr="00154D48">
        <w:t>When pet food or specialty pet food consists of raw milk, the words, “Raw (BLANK) Milk” shall appear conspicuously on the principal display panel.</w:t>
      </w:r>
      <w:r w:rsidR="00B7380C">
        <w:t xml:space="preserve"> </w:t>
      </w:r>
      <w:r w:rsidR="00B7380C" w:rsidRPr="00154D48">
        <w:t>“BLANK” is to be completed by using the species of animal from which the raw milk is collected.</w:t>
      </w:r>
    </w:p>
    <w:p w14:paraId="0439B29F" w14:textId="77777777" w:rsidR="00765465" w:rsidRPr="001531CD" w:rsidRDefault="00F41BD6" w:rsidP="00765465">
      <w:pPr>
        <w:pStyle w:val="AuthorityNote"/>
      </w:pPr>
      <w:r w:rsidRPr="001531CD">
        <w:t>AUTHORITY NOTE:</w:t>
      </w:r>
      <w:r w:rsidRPr="001531CD">
        <w:tab/>
        <w:t xml:space="preserve">Promulgated in accordance with R.S. 3:1394, R.S. 3:1393 and R.S. 3:1392. </w:t>
      </w:r>
    </w:p>
    <w:p w14:paraId="3486410C" w14:textId="77777777" w:rsidR="00CF626A" w:rsidRPr="001531CD" w:rsidRDefault="00CF626A">
      <w:pPr>
        <w:pStyle w:val="HistoricalNote"/>
      </w:pPr>
      <w:r w:rsidRPr="001531CD">
        <w:t>HISTORICAL NOTE:</w:t>
      </w:r>
      <w:r w:rsidRPr="001531CD">
        <w:tab/>
        <w:t>Promulgated by the Department of Agriculture, Feed Commission, LR 11:220 (March 1985), a</w:t>
      </w:r>
      <w:r w:rsidR="00765465" w:rsidRPr="001531CD">
        <w:t>mended LR 11:943 (October 1985), amended by the Department of Agriculture and Forestry, Feed, Fertilizer, and Agricultural Liming Commis</w:t>
      </w:r>
      <w:r w:rsidR="00B7380C">
        <w:t xml:space="preserve">sion, LR 38:2524 (October 2012), </w:t>
      </w:r>
      <w:r w:rsidR="00B7380C" w:rsidRPr="00A6494B">
        <w:t>amended by the Department of Agriculture and Forestry, Office of</w:t>
      </w:r>
      <w:r w:rsidR="00B7380C">
        <w:t xml:space="preserve"> Animal Health and Food Safety and </w:t>
      </w:r>
      <w:r w:rsidR="00B7380C" w:rsidRPr="00A6494B">
        <w:t xml:space="preserve">Agricultural Chemistry and Seed Commission, </w:t>
      </w:r>
      <w:r w:rsidR="00B7380C">
        <w:t>LR 51:647 (May 2025).</w:t>
      </w:r>
    </w:p>
    <w:p w14:paraId="1D7A478C" w14:textId="77777777" w:rsidR="00CF626A" w:rsidRPr="001531CD" w:rsidRDefault="00CF626A">
      <w:pPr>
        <w:pStyle w:val="Section"/>
      </w:pPr>
      <w:bookmarkStart w:id="1518" w:name="_Toc256754642"/>
      <w:bookmarkStart w:id="1519" w:name="_Toc224818974"/>
      <w:r w:rsidRPr="001531CD">
        <w:t>§105.</w:t>
      </w:r>
      <w:r w:rsidRPr="001531CD">
        <w:tab/>
        <w:t>Brand and Product Names</w:t>
      </w:r>
      <w:bookmarkEnd w:id="1518"/>
      <w:bookmarkEnd w:id="1519"/>
    </w:p>
    <w:p w14:paraId="771785B2" w14:textId="77777777" w:rsidR="00CF626A" w:rsidRPr="001531CD" w:rsidRDefault="00CF626A">
      <w:pPr>
        <w:pStyle w:val="A"/>
      </w:pPr>
      <w:r w:rsidRPr="001531CD">
        <w:t>A.</w:t>
      </w:r>
      <w:r w:rsidRPr="001531CD">
        <w:tab/>
        <w:t xml:space="preserve">The brand or product name must be appropriate for the intended use of the feed and must not be misleading. If the </w:t>
      </w:r>
      <w:r w:rsidRPr="001531CD">
        <w:t xml:space="preserve">name indicates the feed is made for a specific use, the character of the feed must conform therewith. A mixture labeled </w:t>
      </w:r>
      <w:r w:rsidRPr="001531CD">
        <w:rPr>
          <w:i/>
          <w:iCs/>
        </w:rPr>
        <w:t>dairy feed</w:t>
      </w:r>
      <w:r w:rsidRPr="001531CD">
        <w:t>, for example, must be suitable for that purpose.</w:t>
      </w:r>
    </w:p>
    <w:p w14:paraId="5C70F493" w14:textId="77777777" w:rsidR="00CF626A" w:rsidRPr="001531CD" w:rsidRDefault="00CF626A">
      <w:pPr>
        <w:pStyle w:val="A"/>
      </w:pPr>
      <w:r w:rsidRPr="001531CD">
        <w:t>B.</w:t>
      </w:r>
      <w:r w:rsidRPr="001531CD">
        <w:tab/>
        <w:t>Commercial, registered brand or trade names are not permitted in guarantees or ingredient listings and only in the product name of feeds produced by or for the firm holding the rights to such a name.</w:t>
      </w:r>
    </w:p>
    <w:p w14:paraId="74638F6E" w14:textId="77777777" w:rsidR="00CF626A" w:rsidRPr="001531CD" w:rsidRDefault="00CF626A">
      <w:pPr>
        <w:pStyle w:val="A"/>
      </w:pPr>
      <w:r w:rsidRPr="001531CD">
        <w:t>C.</w:t>
      </w:r>
      <w:r w:rsidRPr="001531CD">
        <w:tab/>
        <w:t>The name of a commercial feed shall not be derived from one or more ingredients of a mixture to the exclusion of other ingredients and shall not be one representing any components of a mixture unless all components are included in the name: provided, that if any ingredient or combination of ingredients is intended to impart a distinctive characteristic to the product which is of significance to the purchaser, the name of that ingredient or combination of ingredients may be used as a part of the brand name or product name if the ingredients or combination of ingredients is quantitatively guaranteed in the guaranteed analysis, and the brand or product name is not otherwise false or misleading.</w:t>
      </w:r>
    </w:p>
    <w:p w14:paraId="2A825B9C" w14:textId="77777777" w:rsidR="00CF626A" w:rsidRPr="001531CD" w:rsidRDefault="00CF626A">
      <w:pPr>
        <w:pStyle w:val="A"/>
      </w:pPr>
      <w:r w:rsidRPr="001531CD">
        <w:t>D.</w:t>
      </w:r>
      <w:r w:rsidRPr="001531CD">
        <w:tab/>
        <w:t xml:space="preserve">The word </w:t>
      </w:r>
      <w:r w:rsidRPr="001531CD">
        <w:rPr>
          <w:i/>
          <w:iCs/>
        </w:rPr>
        <w:t>protein</w:t>
      </w:r>
      <w:r w:rsidRPr="001531CD">
        <w:t xml:space="preserve"> shall not be permitted in the product name of a feed that contains added nonprotein nitrogen.</w:t>
      </w:r>
    </w:p>
    <w:p w14:paraId="660131D5" w14:textId="77777777" w:rsidR="00CF626A" w:rsidRPr="001531CD" w:rsidRDefault="00CF626A">
      <w:pPr>
        <w:pStyle w:val="A"/>
      </w:pPr>
      <w:r w:rsidRPr="001531CD">
        <w:t>E.</w:t>
      </w:r>
      <w:r w:rsidRPr="001531CD">
        <w:tab/>
        <w:t>When the name carries a percentage value, it shall be understood to signify protein and/or equivalent protein content only, even though it may not explicitly modify the percentage with the word protein: provided, that other percentage values may be permitted if they are followed by the proper description and conform to good labeling practice. Digital numbers shall not be used in such a manner as to be misleading or confusing to the customer.</w:t>
      </w:r>
    </w:p>
    <w:p w14:paraId="56E1A121" w14:textId="77777777" w:rsidR="00CF626A" w:rsidRPr="001531CD" w:rsidRDefault="00CF626A">
      <w:pPr>
        <w:pStyle w:val="A"/>
      </w:pPr>
      <w:r w:rsidRPr="001531CD">
        <w:t>F.</w:t>
      </w:r>
      <w:r w:rsidRPr="001531CD">
        <w:tab/>
        <w:t>Single ingredient feeds shall have a product name in accordance with the designated definition of feed ingredients as recognized by the Association of American Feed Control Officials unless the commission designates otherwise.</w:t>
      </w:r>
    </w:p>
    <w:p w14:paraId="28EF4648" w14:textId="77777777" w:rsidR="00CF626A" w:rsidRPr="001531CD" w:rsidRDefault="00CF626A">
      <w:pPr>
        <w:pStyle w:val="A"/>
      </w:pPr>
      <w:r w:rsidRPr="001531CD">
        <w:t>G.</w:t>
      </w:r>
      <w:r w:rsidRPr="001531CD">
        <w:tab/>
        <w:t xml:space="preserve">The word </w:t>
      </w:r>
      <w:r w:rsidRPr="001531CD">
        <w:rPr>
          <w:i/>
          <w:iCs/>
        </w:rPr>
        <w:t>vitamin</w:t>
      </w:r>
      <w:r w:rsidRPr="001531CD">
        <w:t>, or a contraction thereof, or any word suggesting vitamin can be used only in the name of a feed which is represented to be a vitamin supplement, and which is labeled with the minimum content of each vitamin declared, as specified in §107.C.</w:t>
      </w:r>
    </w:p>
    <w:p w14:paraId="7E680315" w14:textId="77777777" w:rsidR="00CF626A" w:rsidRPr="001531CD" w:rsidRDefault="00CF626A">
      <w:pPr>
        <w:pStyle w:val="A"/>
      </w:pPr>
      <w:r w:rsidRPr="001531CD">
        <w:t>H.</w:t>
      </w:r>
      <w:r w:rsidRPr="001531CD">
        <w:tab/>
        <w:t xml:space="preserve">The term </w:t>
      </w:r>
      <w:r w:rsidRPr="001531CD">
        <w:rPr>
          <w:i/>
          <w:iCs/>
        </w:rPr>
        <w:t>mineralized</w:t>
      </w:r>
      <w:r w:rsidRPr="001531CD">
        <w:t xml:space="preserve"> shall not be used in the name of a feed except for </w:t>
      </w:r>
      <w:r w:rsidRPr="001531CD">
        <w:rPr>
          <w:i/>
          <w:iCs/>
        </w:rPr>
        <w:t>trace mineralized salt</w:t>
      </w:r>
      <w:r w:rsidRPr="001531CD">
        <w:t>. When so used, the product must contain significant amounts of trace minerals which are recognized as essential for animal nutrition.</w:t>
      </w:r>
    </w:p>
    <w:p w14:paraId="774B2F0B" w14:textId="77777777" w:rsidR="00CF626A" w:rsidRPr="001531CD" w:rsidRDefault="00CF626A">
      <w:pPr>
        <w:pStyle w:val="A"/>
      </w:pPr>
      <w:r w:rsidRPr="001531CD">
        <w:t>I.</w:t>
      </w:r>
      <w:r w:rsidRPr="001531CD">
        <w:tab/>
        <w:t xml:space="preserve">The term </w:t>
      </w:r>
      <w:r w:rsidRPr="001531CD">
        <w:rPr>
          <w:i/>
          <w:iCs/>
        </w:rPr>
        <w:t>meat</w:t>
      </w:r>
      <w:r w:rsidRPr="001531CD">
        <w:t xml:space="preserve"> and </w:t>
      </w:r>
      <w:r w:rsidRPr="001531CD">
        <w:rPr>
          <w:i/>
          <w:iCs/>
        </w:rPr>
        <w:t>meat by-products</w:t>
      </w:r>
      <w:r w:rsidRPr="001531CD">
        <w:t xml:space="preserve"> shall be qualified to designate the animal from which the meat and meat by-products is derived unless the meat and meat by-products are made from cattle, swine, sheep and goats.</w:t>
      </w:r>
    </w:p>
    <w:p w14:paraId="1A58A0ED" w14:textId="77777777" w:rsidR="003D1AE1" w:rsidRPr="001531CD" w:rsidRDefault="003D1AE1" w:rsidP="003D1AE1">
      <w:pPr>
        <w:pStyle w:val="AuthorityNote"/>
      </w:pPr>
      <w:r w:rsidRPr="001531CD">
        <w:t>AUTHORITY NOTE:</w:t>
      </w:r>
      <w:r w:rsidRPr="001531CD">
        <w:tab/>
        <w:t>Promulgated in accordance with R.S. 3:1392, 1393, and 1394.</w:t>
      </w:r>
    </w:p>
    <w:p w14:paraId="5522552D" w14:textId="77777777" w:rsidR="00CF626A" w:rsidRPr="001531CD" w:rsidRDefault="00CF626A">
      <w:pPr>
        <w:pStyle w:val="HistoricalNote"/>
      </w:pPr>
      <w:r w:rsidRPr="001531CD">
        <w:t>HISTORICAL NOTE:</w:t>
      </w:r>
      <w:r w:rsidRPr="001531CD">
        <w:tab/>
        <w:t>Promulgated by the Department of Agriculture, Feed Commission, LR 11:221 (March 1985).</w:t>
      </w:r>
    </w:p>
    <w:p w14:paraId="212A7837" w14:textId="77777777" w:rsidR="00CF626A" w:rsidRPr="001531CD" w:rsidRDefault="00CF626A">
      <w:pPr>
        <w:pStyle w:val="Section"/>
      </w:pPr>
      <w:bookmarkStart w:id="1520" w:name="_Toc256754643"/>
      <w:bookmarkStart w:id="1521" w:name="_Toc224818975"/>
      <w:r w:rsidRPr="001531CD">
        <w:t>§107.</w:t>
      </w:r>
      <w:r w:rsidRPr="001531CD">
        <w:tab/>
        <w:t>Expression of Guarantees</w:t>
      </w:r>
      <w:bookmarkEnd w:id="1520"/>
      <w:bookmarkEnd w:id="1521"/>
    </w:p>
    <w:p w14:paraId="755299CA" w14:textId="77777777" w:rsidR="00CF626A" w:rsidRPr="001531CD" w:rsidRDefault="00CF626A">
      <w:pPr>
        <w:pStyle w:val="A"/>
      </w:pPr>
      <w:r w:rsidRPr="001531CD">
        <w:t>A.</w:t>
      </w:r>
      <w:r w:rsidRPr="001531CD">
        <w:tab/>
        <w:t>The guarantees for crude protein, equivalent protein from nonprotein nitrogen, crude fat, crude fiber and mineral guarantees (when required) will be in terms of percentage.</w:t>
      </w:r>
    </w:p>
    <w:p w14:paraId="7CE2C2FB" w14:textId="77777777" w:rsidR="00CF626A" w:rsidRPr="001531CD" w:rsidRDefault="00CF626A">
      <w:pPr>
        <w:pStyle w:val="A"/>
      </w:pPr>
      <w:r w:rsidRPr="001531CD">
        <w:lastRenderedPageBreak/>
        <w:t>B.</w:t>
      </w:r>
      <w:r w:rsidRPr="001531CD">
        <w:tab/>
        <w:t>Commercial feeds containing 6 1/2 percent or more calcium, phosphorus, sodium and chloride shall include in the guaranteed analysis the minimum and maximum percentages of calcium (Ca), the minimum percentage of phosphorus (P) and if salt is added, the minimum and maximum percentage of salt (NaCl). Except that all dairy rations sold in bulk shall be accompanied by a label stating the content of these minerals. Minerals, except salt (NaCl), shall be guaranteed in terms of percentage of the element. When calcium and/or salt guarantees are given in the guaranteed analysis such shall be stated and conform to the following.</w:t>
      </w:r>
    </w:p>
    <w:p w14:paraId="225F06E7" w14:textId="77777777" w:rsidR="00CF626A" w:rsidRPr="001531CD" w:rsidRDefault="00CF626A">
      <w:pPr>
        <w:pStyle w:val="1"/>
      </w:pPr>
      <w:r w:rsidRPr="001531CD">
        <w:t>1.</w:t>
      </w:r>
      <w:r w:rsidRPr="001531CD">
        <w:tab/>
        <w:t xml:space="preserve">When the minimum is 5 percent or less, the maximum shall not exceed the minimum by more than </w:t>
      </w:r>
      <w:r w:rsidRPr="001531CD">
        <w:br/>
        <w:t>1 percentage point.</w:t>
      </w:r>
    </w:p>
    <w:p w14:paraId="32989F2A" w14:textId="77777777" w:rsidR="00CF626A" w:rsidRPr="001531CD" w:rsidRDefault="00CF626A">
      <w:pPr>
        <w:pStyle w:val="1"/>
      </w:pPr>
      <w:r w:rsidRPr="001531CD">
        <w:t>2.</w:t>
      </w:r>
      <w:r w:rsidRPr="001531CD">
        <w:tab/>
        <w:t xml:space="preserve">When the minimum is above 5 percent, the maximum shall not exceed the minimum by more than </w:t>
      </w:r>
      <w:r w:rsidR="00054537" w:rsidRPr="001531CD">
        <w:br/>
      </w:r>
      <w:r w:rsidRPr="001531CD">
        <w:t>20 percent and in no case shall the maximum exceed the minimum by more than 5 percentage points.</w:t>
      </w:r>
    </w:p>
    <w:p w14:paraId="241EE088" w14:textId="77777777" w:rsidR="00CF626A" w:rsidRPr="001531CD" w:rsidRDefault="00CF626A">
      <w:pPr>
        <w:pStyle w:val="A"/>
      </w:pPr>
      <w:r w:rsidRPr="001531CD">
        <w:t>C.</w:t>
      </w:r>
      <w:r w:rsidRPr="001531CD">
        <w:tab/>
        <w:t>Guarantees for minimum vitamin content of commercial feeds and feed supplements, when made, shall be stated on the label in milligrams per pound of feed except that:</w:t>
      </w:r>
    </w:p>
    <w:p w14:paraId="4F9885D1" w14:textId="77777777" w:rsidR="00CF626A" w:rsidRPr="001531CD" w:rsidRDefault="00CF626A">
      <w:pPr>
        <w:pStyle w:val="1"/>
      </w:pPr>
      <w:r w:rsidRPr="001531CD">
        <w:t>1.</w:t>
      </w:r>
      <w:r w:rsidRPr="001531CD">
        <w:tab/>
        <w:t>vitamin A, other than precursors of Vitamin A, shall be stated in International or USP Units per pound;</w:t>
      </w:r>
    </w:p>
    <w:p w14:paraId="2952768C" w14:textId="77777777" w:rsidR="00CF626A" w:rsidRPr="001531CD" w:rsidRDefault="00CF626A">
      <w:pPr>
        <w:pStyle w:val="1"/>
      </w:pPr>
      <w:r w:rsidRPr="001531CD">
        <w:t>2.</w:t>
      </w:r>
      <w:r w:rsidRPr="001531CD">
        <w:tab/>
        <w:t>vitamin D, in products offered for poultry feeding, shall be stated in International Chick Units per pound;</w:t>
      </w:r>
    </w:p>
    <w:p w14:paraId="5B9AA79C" w14:textId="77777777" w:rsidR="00CF626A" w:rsidRPr="001531CD" w:rsidRDefault="00CF626A">
      <w:pPr>
        <w:pStyle w:val="1"/>
      </w:pPr>
      <w:r w:rsidRPr="001531CD">
        <w:t>3.</w:t>
      </w:r>
      <w:r w:rsidRPr="001531CD">
        <w:tab/>
        <w:t>vitamin D for other uses shall be stated in International or USP Units per pound;</w:t>
      </w:r>
    </w:p>
    <w:p w14:paraId="571CE1D7" w14:textId="77777777" w:rsidR="00CF626A" w:rsidRPr="001531CD" w:rsidRDefault="00CF626A">
      <w:pPr>
        <w:pStyle w:val="1"/>
      </w:pPr>
      <w:r w:rsidRPr="001531CD">
        <w:t>4.</w:t>
      </w:r>
      <w:r w:rsidRPr="001531CD">
        <w:tab/>
        <w:t>vitamin E shall be stated in International or USP Units per pound;</w:t>
      </w:r>
    </w:p>
    <w:p w14:paraId="0A10CA9A" w14:textId="77777777" w:rsidR="00CF626A" w:rsidRPr="001531CD" w:rsidRDefault="00CF626A">
      <w:pPr>
        <w:pStyle w:val="1"/>
      </w:pPr>
      <w:r w:rsidRPr="001531CD">
        <w:t>5.</w:t>
      </w:r>
      <w:r w:rsidRPr="001531CD">
        <w:tab/>
        <w:t>guarantees for vitamin content on the label of a commercial feed shall state the guarantee as true vitamins, not compounds, with the exception of the compounds, Pyridoxine Hydrochloride, Choline Chloride, Thiamine Hydrochloride and Mononitrate and d-Pantothenic Acid;</w:t>
      </w:r>
    </w:p>
    <w:p w14:paraId="41393316" w14:textId="77777777" w:rsidR="00CF626A" w:rsidRPr="001531CD" w:rsidRDefault="00CF626A">
      <w:pPr>
        <w:pStyle w:val="1"/>
      </w:pPr>
      <w:r w:rsidRPr="001531CD">
        <w:t>6.</w:t>
      </w:r>
      <w:r w:rsidRPr="001531CD">
        <w:tab/>
        <w:t>oils and premixes containing vitamin A or vitamin D or both may be labeled to show vitamin content in terms of units per gram.</w:t>
      </w:r>
    </w:p>
    <w:p w14:paraId="4A69B539" w14:textId="77777777" w:rsidR="00CF626A" w:rsidRPr="001531CD" w:rsidRDefault="00CF626A">
      <w:pPr>
        <w:pStyle w:val="A"/>
      </w:pPr>
      <w:r w:rsidRPr="001531CD">
        <w:t>D.</w:t>
      </w:r>
      <w:r w:rsidRPr="001531CD">
        <w:tab/>
        <w:t>Guarantees for drugs shall be stated in terms of percent by weight, except:</w:t>
      </w:r>
    </w:p>
    <w:p w14:paraId="545A2A91" w14:textId="77777777" w:rsidR="00CF626A" w:rsidRPr="001531CD" w:rsidRDefault="00CF626A">
      <w:pPr>
        <w:pStyle w:val="1"/>
      </w:pPr>
      <w:r w:rsidRPr="001531CD">
        <w:t>1.</w:t>
      </w:r>
      <w:r w:rsidRPr="001531CD">
        <w:tab/>
        <w:t>antibiotics present at less than 2,000 grams per ton (total, of commercial feed) shall be stated in grams per ton of commercial feed;</w:t>
      </w:r>
    </w:p>
    <w:p w14:paraId="221FD4DE" w14:textId="77777777" w:rsidR="00CF626A" w:rsidRPr="001531CD" w:rsidRDefault="00CF626A">
      <w:pPr>
        <w:pStyle w:val="1"/>
      </w:pPr>
      <w:r w:rsidRPr="001531CD">
        <w:t>2.</w:t>
      </w:r>
      <w:r w:rsidRPr="001531CD">
        <w:tab/>
        <w:t>antibiotics present at 2,000 or more grams per ton (total, of commercial feed) shall be stated in grams per pound of commercial feed;</w:t>
      </w:r>
    </w:p>
    <w:p w14:paraId="3A361A79" w14:textId="77777777" w:rsidR="00CF626A" w:rsidRPr="001531CD" w:rsidRDefault="00CF626A">
      <w:pPr>
        <w:pStyle w:val="1"/>
      </w:pPr>
      <w:r w:rsidRPr="001531CD">
        <w:t>3.</w:t>
      </w:r>
      <w:r w:rsidRPr="001531CD">
        <w:tab/>
        <w:t>labels for commercial feeds containing growth promotion and/or feed efficiency levels of antibiotics, which are to be fed continuously as the sole ration, are not required to make quantitative guarantees except as specifically noted in the Federal Food Additive Regulations for certain antibiotics, wherein, quantitative guarantees are required regardless of the level or purpose of the antibiotic;</w:t>
      </w:r>
    </w:p>
    <w:p w14:paraId="48A254EB" w14:textId="77777777" w:rsidR="00CF626A" w:rsidRPr="001531CD" w:rsidRDefault="00CF626A">
      <w:pPr>
        <w:pStyle w:val="1"/>
      </w:pPr>
      <w:r w:rsidRPr="001531CD">
        <w:t>4.</w:t>
      </w:r>
      <w:r w:rsidRPr="001531CD">
        <w:tab/>
        <w:t xml:space="preserve">the term </w:t>
      </w:r>
      <w:r w:rsidRPr="001531CD">
        <w:rPr>
          <w:i/>
          <w:iCs/>
        </w:rPr>
        <w:t>milligrams per pound</w:t>
      </w:r>
      <w:r w:rsidRPr="001531CD">
        <w:t xml:space="preserve"> may be used for drugs or antibiotics in those cases where a dosage is given in milligrams in the feeding directions.</w:t>
      </w:r>
    </w:p>
    <w:p w14:paraId="16A0A7B8" w14:textId="77777777" w:rsidR="00CF626A" w:rsidRPr="001531CD" w:rsidRDefault="00CF626A" w:rsidP="00AB250D">
      <w:pPr>
        <w:pStyle w:val="A"/>
        <w:spacing w:after="80"/>
      </w:pPr>
      <w:r w:rsidRPr="001531CD">
        <w:t>E.</w:t>
      </w:r>
      <w:r w:rsidRPr="001531CD">
        <w:tab/>
        <w:t>Commercial feeds containing any added nonprotein nitrogen shall be labeled as follows.</w:t>
      </w:r>
    </w:p>
    <w:p w14:paraId="2C4F0A59" w14:textId="77777777" w:rsidR="00CF626A" w:rsidRPr="001531CD" w:rsidRDefault="00CF626A" w:rsidP="00AB250D">
      <w:pPr>
        <w:pStyle w:val="1"/>
        <w:spacing w:after="80"/>
      </w:pPr>
      <w:r w:rsidRPr="001531CD">
        <w:t>1.</w:t>
      </w:r>
      <w:r w:rsidRPr="001531CD">
        <w:tab/>
        <w:t>For Ruminants</w:t>
      </w:r>
    </w:p>
    <w:p w14:paraId="6F4CBD43" w14:textId="77777777" w:rsidR="00CF626A" w:rsidRPr="001531CD" w:rsidRDefault="00CF626A" w:rsidP="00AB250D">
      <w:pPr>
        <w:pStyle w:val="a0"/>
        <w:spacing w:after="80"/>
      </w:pPr>
      <w:r w:rsidRPr="001531CD">
        <w:t>a.</w:t>
      </w:r>
      <w:r w:rsidRPr="001531CD">
        <w:tab/>
        <w:t>Complete feeds, supplements and concentrates containing added nonprotein nitrogen and containing more than 5 percent protein from natural sources shall be guaranteed as follows: Crude Protein, minimum, _____</w:t>
      </w:r>
      <w:r w:rsidRPr="001531CD">
        <w:rPr>
          <w:u w:val="single"/>
        </w:rPr>
        <w:t xml:space="preserve">  </w:t>
      </w:r>
      <w:r w:rsidRPr="001531CD">
        <w:t xml:space="preserve"> percent. (This includes, not more than </w:t>
      </w:r>
      <w:r w:rsidRPr="001531CD">
        <w:rPr>
          <w:u w:val="single"/>
        </w:rPr>
        <w:t xml:space="preserve">    </w:t>
      </w:r>
      <w:r w:rsidRPr="001531CD">
        <w:t xml:space="preserve"> percent equivalent protein from nonprotein nitrogen.)</w:t>
      </w:r>
    </w:p>
    <w:p w14:paraId="6E05B7BC" w14:textId="77777777" w:rsidR="00CF626A" w:rsidRPr="001531CD" w:rsidRDefault="00CF626A" w:rsidP="00AB250D">
      <w:pPr>
        <w:pStyle w:val="a0"/>
        <w:spacing w:after="80"/>
      </w:pPr>
      <w:r w:rsidRPr="001531CD">
        <w:t>b.</w:t>
      </w:r>
      <w:r w:rsidRPr="001531CD">
        <w:tab/>
        <w:t xml:space="preserve">Mixed feed concentrates and supplements containing less than 5 percent protein from natural sources may be guaranteed as follows: Equivalent Crude Protein from Nonprotein Nitrogen, minimum, </w:t>
      </w:r>
      <w:r w:rsidRPr="001531CD">
        <w:rPr>
          <w:u w:val="single"/>
        </w:rPr>
        <w:t xml:space="preserve">       </w:t>
      </w:r>
      <w:r w:rsidRPr="001531CD">
        <w:t xml:space="preserve"> percent.</w:t>
      </w:r>
    </w:p>
    <w:p w14:paraId="6C66A600" w14:textId="77777777" w:rsidR="00CF626A" w:rsidRPr="001531CD" w:rsidRDefault="00CF626A" w:rsidP="00AB250D">
      <w:pPr>
        <w:pStyle w:val="a0"/>
        <w:spacing w:after="80"/>
      </w:pPr>
      <w:r w:rsidRPr="001531CD">
        <w:t>c.</w:t>
      </w:r>
      <w:r w:rsidRPr="001531CD">
        <w:tab/>
        <w:t xml:space="preserve">Ingredient sources of nonprotein nitrogen such as urea, di-ammonium phosphate, ammonium polyphosphate solution, ammoniated rice hulls or other basic nonprotein nitrogen ingredients defined by the Association of American Feed Control Officials shall be guaranteed as follows: Nitrogen, minimum </w:t>
      </w:r>
      <w:r w:rsidRPr="001531CD">
        <w:rPr>
          <w:u w:val="single"/>
        </w:rPr>
        <w:t xml:space="preserve">       </w:t>
      </w:r>
      <w:r w:rsidRPr="001531CD">
        <w:t xml:space="preserve"> percent: Equivalent Crude Protein from Nonprotein Nitrogen, minimum, </w:t>
      </w:r>
      <w:r w:rsidRPr="001531CD">
        <w:rPr>
          <w:u w:val="single"/>
        </w:rPr>
        <w:t xml:space="preserve">       </w:t>
      </w:r>
      <w:r w:rsidRPr="001531CD">
        <w:t xml:space="preserve"> percent.</w:t>
      </w:r>
    </w:p>
    <w:p w14:paraId="38FB2DD6" w14:textId="77777777" w:rsidR="00CF626A" w:rsidRPr="001531CD" w:rsidRDefault="00CF626A" w:rsidP="00AB250D">
      <w:pPr>
        <w:pStyle w:val="1"/>
        <w:spacing w:after="80"/>
      </w:pPr>
      <w:r w:rsidRPr="001531CD">
        <w:t>2.</w:t>
      </w:r>
      <w:r w:rsidRPr="001531CD">
        <w:tab/>
        <w:t>For Non-Ruminants</w:t>
      </w:r>
    </w:p>
    <w:p w14:paraId="171A2A82" w14:textId="77777777" w:rsidR="00CF626A" w:rsidRPr="001531CD" w:rsidRDefault="00CF626A" w:rsidP="00AB250D">
      <w:pPr>
        <w:pStyle w:val="a0"/>
        <w:spacing w:after="80"/>
      </w:pPr>
      <w:r w:rsidRPr="001531CD">
        <w:t>a.</w:t>
      </w:r>
      <w:r w:rsidRPr="001531CD">
        <w:tab/>
        <w:t>Complete feeds, supplements and concentrates containing crude protein from all forms of nonprotein nitrogen, added as such, shall be labeled as follows: Crude Protein, minimum _____ percent. (This includes not more _____ than percent equivalent crude protein which is not nutritionally available to species of animal for which feed is intended.)</w:t>
      </w:r>
    </w:p>
    <w:p w14:paraId="61DD86CE" w14:textId="77777777" w:rsidR="00CF626A" w:rsidRPr="001531CD" w:rsidRDefault="00CF626A" w:rsidP="00AB250D">
      <w:pPr>
        <w:pStyle w:val="a0"/>
        <w:spacing w:after="80"/>
      </w:pPr>
      <w:r w:rsidRPr="001531CD">
        <w:t>b.</w:t>
      </w:r>
      <w:r w:rsidRPr="001531CD">
        <w:tab/>
        <w:t>Premixes, concentrates or supplements intended for non-ruminants containing more than 1.25 percent equivalent crude protein from all forms of nonprotein nitrogen, added as such, must contain adequate directions for use and a prominent statement:</w:t>
      </w:r>
    </w:p>
    <w:p w14:paraId="0A8974EA" w14:textId="77777777" w:rsidR="00CF626A" w:rsidRPr="001531CD" w:rsidRDefault="00CF626A" w:rsidP="00AB250D">
      <w:pPr>
        <w:pStyle w:val="LACNote"/>
        <w:spacing w:after="80"/>
        <w:ind w:left="432" w:right="432" w:firstLine="0"/>
      </w:pPr>
      <w:r w:rsidRPr="001531CD">
        <w:rPr>
          <w:szCs w:val="16"/>
        </w:rPr>
        <w:t>WARNING</w:t>
      </w:r>
      <w:r w:rsidRPr="001531CD">
        <w:t>: This feed must be used only in accordance with directions furnished on the label.</w:t>
      </w:r>
    </w:p>
    <w:p w14:paraId="5656F3F2" w14:textId="77777777" w:rsidR="00CF626A" w:rsidRPr="001531CD" w:rsidRDefault="00CF626A" w:rsidP="00AB250D">
      <w:pPr>
        <w:pStyle w:val="A"/>
        <w:spacing w:after="80"/>
      </w:pPr>
      <w:r w:rsidRPr="001531CD">
        <w:t>F.</w:t>
      </w:r>
      <w:r w:rsidRPr="001531CD">
        <w:tab/>
        <w:t>Mineral phosphatic materials for feeding purposes shall be labeled with the guarantee for minimum and maximum percentage of calcium (when present), the minimum percentage of phosphorus, and the maximum percentage of fluorine.</w:t>
      </w:r>
    </w:p>
    <w:p w14:paraId="60D97AEE" w14:textId="77777777" w:rsidR="00CF626A" w:rsidRPr="001531CD" w:rsidRDefault="003D1AE1">
      <w:pPr>
        <w:pStyle w:val="AuthorityNote"/>
      </w:pPr>
      <w:r w:rsidRPr="001531CD">
        <w:t>AUTHORITY NOTE:</w:t>
      </w:r>
      <w:r w:rsidRPr="001531CD">
        <w:tab/>
        <w:t>Promulgated in accordance with R.S. 3:1392, 1393, and 1394.</w:t>
      </w:r>
    </w:p>
    <w:p w14:paraId="124DEB82" w14:textId="77777777" w:rsidR="00CF626A" w:rsidRPr="001531CD" w:rsidRDefault="00CF626A">
      <w:pPr>
        <w:pStyle w:val="HistoricalNote"/>
      </w:pPr>
      <w:r w:rsidRPr="001531CD">
        <w:t>HISTORICAL NOTE:</w:t>
      </w:r>
      <w:r w:rsidRPr="001531CD">
        <w:tab/>
        <w:t>Promulgated by the Department of Agriculture, Feed Commission, LR 11:222 (March 1985).</w:t>
      </w:r>
    </w:p>
    <w:p w14:paraId="5250950B" w14:textId="77777777" w:rsidR="00CF626A" w:rsidRPr="001531CD" w:rsidRDefault="00CF626A">
      <w:pPr>
        <w:pStyle w:val="Section"/>
      </w:pPr>
      <w:bookmarkStart w:id="1522" w:name="_Toc256754644"/>
      <w:bookmarkStart w:id="1523" w:name="_Toc224818976"/>
      <w:r w:rsidRPr="001531CD">
        <w:t>§109.</w:t>
      </w:r>
      <w:r w:rsidRPr="001531CD">
        <w:tab/>
        <w:t>Ingredients</w:t>
      </w:r>
      <w:bookmarkEnd w:id="1522"/>
      <w:bookmarkEnd w:id="1523"/>
    </w:p>
    <w:p w14:paraId="7872B763" w14:textId="77777777" w:rsidR="00CF626A" w:rsidRPr="001531CD" w:rsidRDefault="00CF626A" w:rsidP="00AB250D">
      <w:pPr>
        <w:pStyle w:val="A"/>
        <w:spacing w:after="80"/>
      </w:pPr>
      <w:r w:rsidRPr="001531CD">
        <w:t>A.</w:t>
      </w:r>
      <w:r w:rsidRPr="001531CD">
        <w:tab/>
        <w:t xml:space="preserve">The name of each ingredient or collective term for the grouping of ingredients, when required to be listed, shall be the name as defined in the Official Definitions of Feed Ingredients as published in the </w:t>
      </w:r>
      <w:r w:rsidRPr="001531CD">
        <w:rPr>
          <w:i/>
          <w:iCs/>
        </w:rPr>
        <w:t>Official Publication of American Feed Control Officials</w:t>
      </w:r>
      <w:r w:rsidRPr="001531CD">
        <w:t>, the common or usual name, or one approved by the commission.</w:t>
      </w:r>
    </w:p>
    <w:p w14:paraId="63F23C7C" w14:textId="77777777" w:rsidR="00CF626A" w:rsidRPr="001531CD" w:rsidRDefault="00CF626A" w:rsidP="00AB250D">
      <w:pPr>
        <w:pStyle w:val="A"/>
        <w:spacing w:after="80"/>
      </w:pPr>
      <w:r w:rsidRPr="001531CD">
        <w:t>B.</w:t>
      </w:r>
      <w:r w:rsidRPr="001531CD">
        <w:tab/>
        <w:t>The name of each ingredient must be shown in letters or type of the same size.</w:t>
      </w:r>
    </w:p>
    <w:p w14:paraId="5F07540F" w14:textId="77777777" w:rsidR="00CF626A" w:rsidRPr="001531CD" w:rsidRDefault="00CF626A" w:rsidP="00AB250D">
      <w:pPr>
        <w:pStyle w:val="A"/>
      </w:pPr>
      <w:r w:rsidRPr="001531CD">
        <w:lastRenderedPageBreak/>
        <w:t>C.</w:t>
      </w:r>
      <w:r w:rsidRPr="001531CD">
        <w:tab/>
        <w:t>No reference to quality or grade of an ingredient shall appear in the ingredient statement of a feed.</w:t>
      </w:r>
    </w:p>
    <w:p w14:paraId="3730BCAF" w14:textId="77777777" w:rsidR="00CF626A" w:rsidRPr="001531CD" w:rsidRDefault="00CF626A">
      <w:pPr>
        <w:pStyle w:val="A"/>
      </w:pPr>
      <w:r w:rsidRPr="001531CD">
        <w:t>D.</w:t>
      </w:r>
      <w:r w:rsidRPr="001531CD">
        <w:tab/>
        <w:t xml:space="preserve">The term </w:t>
      </w:r>
      <w:r w:rsidRPr="001531CD">
        <w:rPr>
          <w:i/>
          <w:iCs/>
        </w:rPr>
        <w:t>dehydrated</w:t>
      </w:r>
      <w:r w:rsidRPr="001531CD">
        <w:t xml:space="preserve"> may precede the name of any product that has been artificially dried.</w:t>
      </w:r>
    </w:p>
    <w:p w14:paraId="63C35B5E" w14:textId="77777777" w:rsidR="00CF626A" w:rsidRPr="001531CD" w:rsidRDefault="00CF626A">
      <w:pPr>
        <w:pStyle w:val="A"/>
      </w:pPr>
      <w:r w:rsidRPr="001531CD">
        <w:t>E.</w:t>
      </w:r>
      <w:r w:rsidRPr="001531CD">
        <w:tab/>
        <w:t>A single ingredient product defined by the Association of American Feed Control Officials is not required to have an ingredient statement.</w:t>
      </w:r>
    </w:p>
    <w:p w14:paraId="5894FE29" w14:textId="77777777" w:rsidR="00CF626A" w:rsidRPr="001531CD" w:rsidRDefault="00CF626A">
      <w:pPr>
        <w:pStyle w:val="A"/>
      </w:pPr>
      <w:r w:rsidRPr="001531CD">
        <w:t>F.</w:t>
      </w:r>
      <w:r w:rsidRPr="001531CD">
        <w:tab/>
        <w:t>Tentative definitions for ingredients shall not be used until adopted as official, unless no official definition exists or the ingredient has a common accepted name that requires no definition, (i.e., sugar).</w:t>
      </w:r>
    </w:p>
    <w:p w14:paraId="66E76301" w14:textId="77777777" w:rsidR="00CF626A" w:rsidRPr="001531CD" w:rsidRDefault="00CF626A">
      <w:pPr>
        <w:pStyle w:val="A"/>
      </w:pPr>
      <w:r w:rsidRPr="001531CD">
        <w:t>G.</w:t>
      </w:r>
      <w:r w:rsidRPr="001531CD">
        <w:tab/>
        <w:t xml:space="preserve">When the word </w:t>
      </w:r>
      <w:r w:rsidRPr="001531CD">
        <w:rPr>
          <w:i/>
          <w:iCs/>
        </w:rPr>
        <w:t>iodized</w:t>
      </w:r>
      <w:r w:rsidRPr="001531CD">
        <w:t xml:space="preserve"> is used in connection with a feed ingredient, the feed ingredient shall contain not less than 0.007 percent iodine, uniformly distributed.</w:t>
      </w:r>
    </w:p>
    <w:p w14:paraId="55CDFDB8" w14:textId="77777777" w:rsidR="00CF626A" w:rsidRPr="001531CD" w:rsidRDefault="003D1AE1">
      <w:pPr>
        <w:pStyle w:val="AuthorityNote"/>
      </w:pPr>
      <w:r w:rsidRPr="001531CD">
        <w:t>AUTHORITY NOTE:</w:t>
      </w:r>
      <w:r w:rsidRPr="001531CD">
        <w:tab/>
        <w:t>Promulgated in accordance with R.S. 3:1392, 1393, and 1394.</w:t>
      </w:r>
    </w:p>
    <w:p w14:paraId="5A8B6C4F" w14:textId="77777777" w:rsidR="00CF626A" w:rsidRPr="001531CD" w:rsidRDefault="00CF626A">
      <w:pPr>
        <w:pStyle w:val="HistoricalNote"/>
      </w:pPr>
      <w:r w:rsidRPr="001531CD">
        <w:t>HISTORICAL NOTE:</w:t>
      </w:r>
      <w:r w:rsidRPr="001531CD">
        <w:tab/>
        <w:t>Promulgated by the Department of Agriculture, Feed Commission, LR 11:222 (March 1985).</w:t>
      </w:r>
    </w:p>
    <w:p w14:paraId="31C70531" w14:textId="77777777" w:rsidR="00CF626A" w:rsidRPr="001531CD" w:rsidRDefault="00CF626A">
      <w:pPr>
        <w:pStyle w:val="Section"/>
      </w:pPr>
      <w:bookmarkStart w:id="1524" w:name="_Toc256754645"/>
      <w:bookmarkStart w:id="1525" w:name="_Toc224818977"/>
      <w:r w:rsidRPr="001531CD">
        <w:t>§111.</w:t>
      </w:r>
      <w:r w:rsidRPr="001531CD">
        <w:tab/>
        <w:t>Directions for Use and Precautionary Statements</w:t>
      </w:r>
      <w:bookmarkEnd w:id="1524"/>
      <w:bookmarkEnd w:id="1525"/>
    </w:p>
    <w:p w14:paraId="3B1EF142" w14:textId="77777777" w:rsidR="00CF626A" w:rsidRPr="001531CD" w:rsidRDefault="00CF626A" w:rsidP="00AB250D">
      <w:pPr>
        <w:pStyle w:val="A"/>
        <w:spacing w:after="60"/>
      </w:pPr>
      <w:r w:rsidRPr="001531CD">
        <w:t>A.</w:t>
      </w:r>
      <w:r w:rsidRPr="001531CD">
        <w:tab/>
        <w:t>Directions for use and precautionary statements on the labeling of all commercial feeds and customer-formula feeds containing additives (including drugs, special purpose additives or non-nutritive additives) shall:</w:t>
      </w:r>
    </w:p>
    <w:p w14:paraId="2D1A3D41" w14:textId="77777777" w:rsidR="00CF626A" w:rsidRPr="001531CD" w:rsidRDefault="00CF626A" w:rsidP="00AB250D">
      <w:pPr>
        <w:pStyle w:val="1"/>
        <w:spacing w:after="60"/>
      </w:pPr>
      <w:r w:rsidRPr="001531CD">
        <w:t>1.</w:t>
      </w:r>
      <w:r w:rsidRPr="001531CD">
        <w:tab/>
        <w:t>be adequate to enable safe and effective use for the intended purposes by users with no special knowledge of the purpose and use of such articles; and</w:t>
      </w:r>
    </w:p>
    <w:p w14:paraId="62ACBD01" w14:textId="77777777" w:rsidR="00CF626A" w:rsidRPr="001531CD" w:rsidRDefault="00CF626A" w:rsidP="00AB250D">
      <w:pPr>
        <w:pStyle w:val="1"/>
        <w:spacing w:after="60"/>
      </w:pPr>
      <w:r w:rsidRPr="001531CD">
        <w:t>2.</w:t>
      </w:r>
      <w:r w:rsidRPr="001531CD">
        <w:tab/>
        <w:t>include, but not be limited to, all information described by all applicable regulations under the Federal Food, Drug and Cosmetic Act.</w:t>
      </w:r>
    </w:p>
    <w:p w14:paraId="17DBB9C4" w14:textId="77777777" w:rsidR="00CF626A" w:rsidRPr="001531CD" w:rsidRDefault="00CF626A" w:rsidP="00AB250D">
      <w:pPr>
        <w:pStyle w:val="A"/>
        <w:spacing w:after="60"/>
      </w:pPr>
      <w:r w:rsidRPr="001531CD">
        <w:t>B.</w:t>
      </w:r>
      <w:r w:rsidRPr="001531CD">
        <w:tab/>
        <w:t>Adequate directions for use and precautionary statements are required for feeds containing nonprotein nitrogen as specified in §113.</w:t>
      </w:r>
    </w:p>
    <w:p w14:paraId="637244FB" w14:textId="77777777" w:rsidR="00CF626A" w:rsidRPr="001531CD" w:rsidRDefault="00CF626A" w:rsidP="00AB250D">
      <w:pPr>
        <w:pStyle w:val="A"/>
        <w:spacing w:after="60"/>
      </w:pPr>
      <w:r w:rsidRPr="001531CD">
        <w:t>C.</w:t>
      </w:r>
      <w:r w:rsidRPr="001531CD">
        <w:tab/>
        <w:t>Adequate directions for use and precautionary statements necessary for safe and effective use are required on commercial feeds distributed to supply particular dietary needs or for supplementing or fortifying the usual diet or ration with any vitamin, mineral or other dietary nutrient or compound.</w:t>
      </w:r>
    </w:p>
    <w:p w14:paraId="31CD348A" w14:textId="77777777" w:rsidR="00CF626A" w:rsidRPr="001531CD" w:rsidRDefault="003D1AE1">
      <w:pPr>
        <w:pStyle w:val="AuthorityNote"/>
      </w:pPr>
      <w:r w:rsidRPr="001531CD">
        <w:t>AUTHORITY NOTE:</w:t>
      </w:r>
      <w:r w:rsidRPr="001531CD">
        <w:tab/>
        <w:t>Promulgated in accordance with R.S. 3:1392, 1393, and 1394.</w:t>
      </w:r>
    </w:p>
    <w:p w14:paraId="2865666E" w14:textId="77777777" w:rsidR="00CF626A" w:rsidRPr="001531CD" w:rsidRDefault="00CF626A">
      <w:pPr>
        <w:pStyle w:val="HistoricalNote"/>
      </w:pPr>
      <w:r w:rsidRPr="001531CD">
        <w:t>HISTORICAL NOTE:</w:t>
      </w:r>
      <w:r w:rsidRPr="001531CD">
        <w:tab/>
        <w:t>Promulgated by the Department of Agriculture, Feed Commission, LR 11:223 (March 1985).</w:t>
      </w:r>
    </w:p>
    <w:p w14:paraId="55174AB3" w14:textId="77777777" w:rsidR="00CF626A" w:rsidRPr="001531CD" w:rsidRDefault="00CF626A">
      <w:pPr>
        <w:pStyle w:val="Section"/>
      </w:pPr>
      <w:bookmarkStart w:id="1526" w:name="_Toc256754646"/>
      <w:bookmarkStart w:id="1527" w:name="_Toc224818978"/>
      <w:r w:rsidRPr="001531CD">
        <w:t>§113.</w:t>
      </w:r>
      <w:r w:rsidRPr="001531CD">
        <w:tab/>
        <w:t>Nonprotein Nitrogen</w:t>
      </w:r>
      <w:bookmarkEnd w:id="1526"/>
      <w:bookmarkEnd w:id="1527"/>
    </w:p>
    <w:p w14:paraId="79998C77" w14:textId="77777777" w:rsidR="00CF626A" w:rsidRPr="001531CD" w:rsidRDefault="00CF626A">
      <w:pPr>
        <w:pStyle w:val="A"/>
      </w:pPr>
      <w:r w:rsidRPr="001531CD">
        <w:t>A.</w:t>
      </w:r>
      <w:r w:rsidRPr="001531CD">
        <w:tab/>
        <w:t xml:space="preserve">Urea and other nonprotein nitrogen products defined in the </w:t>
      </w:r>
      <w:r w:rsidRPr="001531CD">
        <w:rPr>
          <w:i/>
          <w:iCs/>
        </w:rPr>
        <w:t>Official Publication of the Association of American Feed Control Officials</w:t>
      </w:r>
      <w:r w:rsidRPr="001531CD">
        <w:t xml:space="preserve"> are acceptable ingredients only in commercial feeds for ruminant animals as a source of equivalent crude protein. If the commercial feed contains more than 8.75 percent of equivalent crude protein from all forms of nonprotein nitrogen, added as such, or the equivalent crude protein from all forms of nonprotein nitrogen, added as such, exceeds one-third of the total crude protein, the label shall bear adequate directions for the safe use of feeds and a precautionary statement: </w:t>
      </w:r>
      <w:r w:rsidRPr="001531CD">
        <w:rPr>
          <w:i/>
          <w:iCs/>
          <w:sz w:val="16"/>
          <w:szCs w:val="16"/>
        </w:rPr>
        <w:t>CAUTION: USE AS DIRECTED.</w:t>
      </w:r>
      <w:r w:rsidRPr="001531CD">
        <w:t xml:space="preserve"> The directions for use and the caution statement shall be in type of </w:t>
      </w:r>
      <w:r w:rsidRPr="001531CD">
        <w:t>such size, and so placed on the label that they will be read and understood by ordinary persons under customary conditions of purchase and use.</w:t>
      </w:r>
    </w:p>
    <w:p w14:paraId="12AEB076" w14:textId="77777777" w:rsidR="00CF626A" w:rsidRPr="001531CD" w:rsidRDefault="00CF626A">
      <w:pPr>
        <w:pStyle w:val="A"/>
      </w:pPr>
      <w:r w:rsidRPr="001531CD">
        <w:t>B.</w:t>
      </w:r>
      <w:r w:rsidRPr="001531CD">
        <w:tab/>
        <w:t xml:space="preserve">Nonprotein nitrogen defined in the </w:t>
      </w:r>
      <w:r w:rsidRPr="001531CD">
        <w:rPr>
          <w:i/>
          <w:iCs/>
        </w:rPr>
        <w:t>Official Publication of the Association of American Feed Control Officials</w:t>
      </w:r>
      <w:r w:rsidRPr="001531CD">
        <w:t>, when so indicated, are acceptable ingredients in commercial feeds distributed to non-ruminant animals as a source of nutrients other than equivalent crude protein. The maximum equivalent crude protein from nonprotein nitrogen sources when used in non-ruminant rations shall not exceed 1.25 percent of the total daily ration.</w:t>
      </w:r>
    </w:p>
    <w:p w14:paraId="52B462D4" w14:textId="77777777" w:rsidR="00CF626A" w:rsidRPr="001531CD" w:rsidRDefault="00CF626A">
      <w:pPr>
        <w:pStyle w:val="A"/>
      </w:pPr>
      <w:r w:rsidRPr="001531CD">
        <w:t>C.</w:t>
      </w:r>
      <w:r w:rsidRPr="001531CD">
        <w:tab/>
        <w:t>On labels such as those for medicated feeds which bear adequate feeding directions and/or warning statements, the presence of added nonprotein nitrogen shall not require a duplication of the feeding directions or the precautionary statements as long as those statements include sufficient information to ensure the safe and effective use of this product due to the presence of nonprotein nitrogen.</w:t>
      </w:r>
    </w:p>
    <w:p w14:paraId="6D402F30" w14:textId="77777777" w:rsidR="00CF626A" w:rsidRPr="001531CD" w:rsidRDefault="003D1AE1">
      <w:pPr>
        <w:pStyle w:val="AuthorityNote"/>
      </w:pPr>
      <w:r w:rsidRPr="001531CD">
        <w:t>AUTHORITY NOTE:</w:t>
      </w:r>
      <w:r w:rsidRPr="001531CD">
        <w:tab/>
        <w:t>Promulgated in accordance with R.S. 3:1392, 1393, and 1394.</w:t>
      </w:r>
      <w:r w:rsidR="00CF626A" w:rsidRPr="001531CD">
        <w:t>.</w:t>
      </w:r>
    </w:p>
    <w:p w14:paraId="525F2BEA" w14:textId="77777777" w:rsidR="00CF626A" w:rsidRPr="001531CD" w:rsidRDefault="00CF626A">
      <w:pPr>
        <w:pStyle w:val="HistoricalNote"/>
      </w:pPr>
      <w:r w:rsidRPr="001531CD">
        <w:t>HISTORICAL NOTE:</w:t>
      </w:r>
      <w:r w:rsidRPr="001531CD">
        <w:tab/>
        <w:t>Promulgated by the Department of Agriculture, Feed Commission, LR 11:223 (March 1985).</w:t>
      </w:r>
    </w:p>
    <w:p w14:paraId="28248401" w14:textId="77777777" w:rsidR="00CF626A" w:rsidRPr="001531CD" w:rsidRDefault="00CF626A">
      <w:pPr>
        <w:pStyle w:val="Section"/>
      </w:pPr>
      <w:bookmarkStart w:id="1528" w:name="_Toc256754647"/>
      <w:bookmarkStart w:id="1529" w:name="_Toc224818979"/>
      <w:r w:rsidRPr="001531CD">
        <w:t>§115.</w:t>
      </w:r>
      <w:r w:rsidRPr="001531CD">
        <w:tab/>
        <w:t>Drug and Feed Additives</w:t>
      </w:r>
      <w:bookmarkEnd w:id="1528"/>
      <w:bookmarkEnd w:id="1529"/>
    </w:p>
    <w:p w14:paraId="1BE8E598" w14:textId="77777777" w:rsidR="00CF626A" w:rsidRPr="001531CD" w:rsidRDefault="00CF626A" w:rsidP="00AB250D">
      <w:pPr>
        <w:pStyle w:val="A"/>
        <w:spacing w:after="80"/>
      </w:pPr>
      <w:r w:rsidRPr="001531CD">
        <w:t>A.</w:t>
      </w:r>
      <w:r w:rsidRPr="001531CD">
        <w:tab/>
        <w:t>Prior to approval of a registration application and/or approval of a label for commercial feed which contains additives (including drugs, other special purpose additives, or non-nutritive additives), the distributor may be required to submit evidence to prove the safety and efficacy of the commercial feed when used according to the directions furnished on the label.</w:t>
      </w:r>
    </w:p>
    <w:p w14:paraId="50BCB9C8" w14:textId="77777777" w:rsidR="00CF626A" w:rsidRPr="001531CD" w:rsidRDefault="00CF626A" w:rsidP="00AB250D">
      <w:pPr>
        <w:pStyle w:val="A"/>
        <w:spacing w:after="80"/>
      </w:pPr>
      <w:r w:rsidRPr="001531CD">
        <w:t>B.</w:t>
      </w:r>
      <w:r w:rsidRPr="001531CD">
        <w:tab/>
        <w:t>Satisfactory evidence of safety and efficacy of a commercial feed may be:</w:t>
      </w:r>
    </w:p>
    <w:p w14:paraId="73300505" w14:textId="77777777" w:rsidR="00CF626A" w:rsidRPr="001531CD" w:rsidRDefault="00CF626A" w:rsidP="00AB250D">
      <w:pPr>
        <w:pStyle w:val="1"/>
        <w:spacing w:after="80"/>
      </w:pPr>
      <w:r w:rsidRPr="001531CD">
        <w:t>1.</w:t>
      </w:r>
      <w:r w:rsidRPr="001531CD">
        <w:tab/>
        <w:t xml:space="preserve">when the commercial feed contains such additives, the use of which conforms to the requirements of the applicable regulation in the </w:t>
      </w:r>
      <w:r w:rsidRPr="001531CD">
        <w:rPr>
          <w:i/>
          <w:iCs/>
        </w:rPr>
        <w:t>Code of Federal Regulations</w:t>
      </w:r>
      <w:r w:rsidRPr="001531CD">
        <w:t xml:space="preserve">, Title 21, or which are prior </w:t>
      </w:r>
      <w:r w:rsidRPr="001531CD">
        <w:rPr>
          <w:i/>
          <w:iCs/>
        </w:rPr>
        <w:t>sanctioned</w:t>
      </w:r>
      <w:r w:rsidRPr="001531CD">
        <w:t xml:space="preserve"> or </w:t>
      </w:r>
      <w:r w:rsidRPr="001531CD">
        <w:rPr>
          <w:i/>
          <w:iCs/>
        </w:rPr>
        <w:t>informal review sanctioned</w:t>
      </w:r>
      <w:r w:rsidRPr="001531CD">
        <w:t xml:space="preserve"> or </w:t>
      </w:r>
      <w:r w:rsidRPr="001531CD">
        <w:rPr>
          <w:i/>
          <w:iCs/>
        </w:rPr>
        <w:t>generally recognized as safe</w:t>
      </w:r>
      <w:r w:rsidRPr="001531CD">
        <w:t xml:space="preserve"> for such use; or</w:t>
      </w:r>
    </w:p>
    <w:p w14:paraId="143D8914" w14:textId="77777777" w:rsidR="003D10BD" w:rsidRPr="001531CD" w:rsidRDefault="003D10BD" w:rsidP="003D10BD">
      <w:pPr>
        <w:pStyle w:val="1"/>
      </w:pPr>
      <w:r w:rsidRPr="001531CD">
        <w:t>2.</w:t>
      </w:r>
      <w:r w:rsidRPr="001531CD">
        <w:tab/>
        <w:t>when the commercial feed is itself a drug as defined in R.S. 3:1391(3) and is generally recognized as safe and effective for the labeled use or is marketed subject to an application approved by the Food and Drug Administration under Title 21 U.S.C. 360(b).</w:t>
      </w:r>
    </w:p>
    <w:p w14:paraId="17C08C46" w14:textId="77777777" w:rsidR="00CF626A" w:rsidRPr="001531CD" w:rsidRDefault="00F41BD6" w:rsidP="003D10BD">
      <w:pPr>
        <w:pStyle w:val="AuthorityNote"/>
      </w:pPr>
      <w:r w:rsidRPr="001531CD">
        <w:t>AUTHORITY NOTE:</w:t>
      </w:r>
      <w:r w:rsidRPr="001531CD">
        <w:tab/>
        <w:t xml:space="preserve">Promulgated in accordance with R.S. 3:1394 and R.S. 3:1392. </w:t>
      </w:r>
    </w:p>
    <w:p w14:paraId="50D22242" w14:textId="77777777" w:rsidR="00CF626A" w:rsidRPr="001531CD" w:rsidRDefault="00CF626A">
      <w:pPr>
        <w:pStyle w:val="HistoricalNote"/>
      </w:pPr>
      <w:r w:rsidRPr="001531CD">
        <w:t>HISTORICAL NOTE:</w:t>
      </w:r>
      <w:r w:rsidRPr="001531CD">
        <w:tab/>
        <w:t>Promulgated by the Department of Agriculture, Feed Com</w:t>
      </w:r>
      <w:r w:rsidR="003D10BD" w:rsidRPr="001531CD">
        <w:t>mission, LR 11:223 (March 1985), amended by the Department of Agriculture and Forestry, Feed, Fertilizer, and Agricultural Liming Commission, LR 38:2524 (October 2012).</w:t>
      </w:r>
    </w:p>
    <w:p w14:paraId="28792D19" w14:textId="77777777" w:rsidR="00B01996" w:rsidRPr="001531CD" w:rsidRDefault="00CF626A" w:rsidP="00B01996">
      <w:pPr>
        <w:pStyle w:val="Section"/>
      </w:pPr>
      <w:bookmarkStart w:id="1530" w:name="_Toc256754648"/>
      <w:bookmarkStart w:id="1531" w:name="_Toc224818980"/>
      <w:r w:rsidRPr="001531CD">
        <w:t>§117.</w:t>
      </w:r>
      <w:r w:rsidRPr="001531CD">
        <w:tab/>
      </w:r>
      <w:bookmarkEnd w:id="1530"/>
      <w:r w:rsidR="00B01996" w:rsidRPr="001531CD">
        <w:t>Adulterants</w:t>
      </w:r>
      <w:bookmarkEnd w:id="1531"/>
    </w:p>
    <w:p w14:paraId="4BC3D9DE" w14:textId="77777777" w:rsidR="00CF626A" w:rsidRPr="001531CD" w:rsidRDefault="00B01996" w:rsidP="00B01996">
      <w:pPr>
        <w:pStyle w:val="A"/>
      </w:pPr>
      <w:r w:rsidRPr="001531CD">
        <w:t>A.</w:t>
      </w:r>
      <w:r w:rsidRPr="001531CD">
        <w:tab/>
      </w:r>
      <w:r w:rsidR="00B7380C" w:rsidRPr="00154D48">
        <w:t>For the purpose of R.S. 3:1396(1), the terms poisonous or deleterious substances include but are not limited to the following</w:t>
      </w:r>
      <w:r w:rsidRPr="001531CD">
        <w:t>:</w:t>
      </w:r>
    </w:p>
    <w:p w14:paraId="338A05EC" w14:textId="77777777" w:rsidR="00CF626A" w:rsidRPr="001531CD" w:rsidRDefault="00CF626A">
      <w:pPr>
        <w:pStyle w:val="1"/>
      </w:pPr>
      <w:r w:rsidRPr="001531CD">
        <w:t>1.</w:t>
      </w:r>
      <w:r w:rsidRPr="001531CD">
        <w:tab/>
        <w:t xml:space="preserve">fluorine and any mineral or mineral mixture which is to be used directly for the feeding of domestic animals and in which the fluorine exceeds 0.20 percent for breeding and dairy cattle; 0.30 percent for slaughter cattle; 0.30 percent for </w:t>
      </w:r>
      <w:r w:rsidRPr="001531CD">
        <w:lastRenderedPageBreak/>
        <w:t>sheep; 0.35 percent for lambs; 0.45 percent for swine and 0.60 percent for poultry;</w:t>
      </w:r>
    </w:p>
    <w:p w14:paraId="5111F444" w14:textId="77777777" w:rsidR="00CF626A" w:rsidRPr="001531CD" w:rsidRDefault="00CF626A">
      <w:pPr>
        <w:pStyle w:val="1"/>
      </w:pPr>
      <w:r w:rsidRPr="001531CD">
        <w:t>2.</w:t>
      </w:r>
      <w:r w:rsidRPr="001531CD">
        <w:tab/>
        <w:t>fluorine bearing ingredients when used in such amounts that they raise the fluorine content of the total ration (exclusive of roughage) above the following amounts: 0.004 percent for breeding and dairy cattle; 0.009 percent for slaughter cattle; 0.006 percent for sheep; 0.01 percent for lambs; 0.015 percent for swine and 0.03 percent for poultry;</w:t>
      </w:r>
    </w:p>
    <w:p w14:paraId="38D4C41F" w14:textId="77777777" w:rsidR="00CF626A" w:rsidRPr="001531CD" w:rsidRDefault="00CF626A">
      <w:pPr>
        <w:pStyle w:val="1"/>
      </w:pPr>
      <w:r w:rsidRPr="001531CD">
        <w:t>3.</w:t>
      </w:r>
      <w:r w:rsidRPr="001531CD">
        <w:tab/>
        <w:t>fluorine bearing ingredients incorporated in any feed that is fed directly to cattle, sheep or goats consuming roughage (with or without) limited amounts of grain, that results in a daily fluorine intake in excess of 50 milligrams of fluorine per 100 pounds of body weight;</w:t>
      </w:r>
    </w:p>
    <w:p w14:paraId="5574B6EC" w14:textId="77777777" w:rsidR="00CF626A" w:rsidRPr="001531CD" w:rsidRDefault="00CF626A">
      <w:pPr>
        <w:pStyle w:val="1"/>
      </w:pPr>
      <w:r w:rsidRPr="001531CD">
        <w:t>4.</w:t>
      </w:r>
      <w:r w:rsidRPr="001531CD">
        <w:tab/>
        <w:t>soybean meal, flakes or pellets or other vegetable meals, flakes or pellets, which have been extracted with trichlorethylene or other chlorinated solvents;</w:t>
      </w:r>
    </w:p>
    <w:p w14:paraId="799A5785" w14:textId="77777777" w:rsidR="00CF626A" w:rsidRDefault="00CF626A">
      <w:pPr>
        <w:pStyle w:val="1"/>
      </w:pPr>
      <w:r w:rsidRPr="001531CD">
        <w:t>5.</w:t>
      </w:r>
      <w:r w:rsidRPr="001531CD">
        <w:tab/>
        <w:t>sulfur dioxide, sulfurous acid, and salts of sulfurous acid when used in or on feeds or feed ingredients which are considered or reported to be a significant source of vitamin B1 (Thiamine).</w:t>
      </w:r>
    </w:p>
    <w:p w14:paraId="311C76B7" w14:textId="77777777" w:rsidR="00B7380C" w:rsidRPr="00154D48" w:rsidRDefault="00B7380C" w:rsidP="00B7380C">
      <w:pPr>
        <w:pStyle w:val="1"/>
      </w:pPr>
      <w:r w:rsidRPr="00154D48">
        <w:t>6.</w:t>
      </w:r>
      <w:r>
        <w:tab/>
      </w:r>
      <w:r w:rsidRPr="00154D48">
        <w:t>any new animal drug which is unsafe within the meaning of Section 512 of the Federal Food, Drug and Cosmetic Act.</w:t>
      </w:r>
    </w:p>
    <w:p w14:paraId="2C030573" w14:textId="77777777" w:rsidR="00B7380C" w:rsidRPr="00154D48" w:rsidRDefault="00B7380C" w:rsidP="00B7380C">
      <w:pPr>
        <w:pStyle w:val="1"/>
      </w:pPr>
      <w:r w:rsidRPr="00154D48">
        <w:t>7.</w:t>
      </w:r>
      <w:r w:rsidRPr="00154D48">
        <w:tab/>
        <w:t>any filthy, putrid, or decomposed substance, causing the material to be unfit for feed.</w:t>
      </w:r>
    </w:p>
    <w:p w14:paraId="0AF4E4BF" w14:textId="77777777" w:rsidR="00B7380C" w:rsidRPr="00154D48" w:rsidRDefault="00B7380C" w:rsidP="00B7380C">
      <w:pPr>
        <w:pStyle w:val="A"/>
      </w:pPr>
      <w:bookmarkStart w:id="1532" w:name="_Hlk181721301"/>
      <w:r w:rsidRPr="00154D48">
        <w:t>B.</w:t>
      </w:r>
      <w:r w:rsidRPr="00154D48">
        <w:tab/>
        <w:t>A commercial feed may be considered adulterated if:</w:t>
      </w:r>
    </w:p>
    <w:p w14:paraId="6FF8304D" w14:textId="77777777" w:rsidR="00B7380C" w:rsidRPr="00154D48" w:rsidRDefault="00B7380C" w:rsidP="00B7380C">
      <w:pPr>
        <w:pStyle w:val="1"/>
      </w:pPr>
      <w:r w:rsidRPr="00154D48">
        <w:t>1.</w:t>
      </w:r>
      <w:r w:rsidRPr="00154D48">
        <w:tab/>
        <w:t xml:space="preserve">the manufacture, processing, packaging, distribution, or use does not comply with the requirements of Title 21, Code of Federal Regulations, Part 507, Subparts A, B, C, E, and F where applicable; or </w:t>
      </w:r>
    </w:p>
    <w:p w14:paraId="1F61EDAA" w14:textId="77777777" w:rsidR="00B7380C" w:rsidRPr="00154D48" w:rsidRDefault="00B7380C" w:rsidP="00B7380C">
      <w:pPr>
        <w:pStyle w:val="1"/>
      </w:pPr>
      <w:r w:rsidRPr="00154D48">
        <w:t>2.</w:t>
      </w:r>
      <w:r w:rsidRPr="00154D48">
        <w:tab/>
        <w:t>it is, in whole or in part, the product of a diseased animal or of an animal or of an animal which has died otherwise than by slaughter which is unsafe within the meaning of Section 402(a)(1) or (2) of the Federal Food, Drug, and Cosmetic Act.</w:t>
      </w:r>
    </w:p>
    <w:bookmarkEnd w:id="1532"/>
    <w:p w14:paraId="0AE7579F" w14:textId="77777777" w:rsidR="00CF626A" w:rsidRPr="001531CD" w:rsidRDefault="00B7380C" w:rsidP="00B7380C">
      <w:pPr>
        <w:pStyle w:val="A"/>
      </w:pPr>
      <w:r w:rsidRPr="00154D48">
        <w:t>C.</w:t>
      </w:r>
      <w:r w:rsidRPr="00154D48">
        <w:tab/>
        <w:t>All screenings or by-products of grains and seeds containing weed seeds, when used in commercial feed or sold as such to the ultimate consumer, shall be ground fine enough or otherwise treated to destroy the viability of such weed seeds so that the finished product contains no more than four viable prohibited weed seeds per pound and not more than 200 viable restricted weed seeds per pound.</w:t>
      </w:r>
    </w:p>
    <w:p w14:paraId="68191F77" w14:textId="77777777" w:rsidR="00CF626A" w:rsidRPr="001531CD" w:rsidRDefault="00B01996">
      <w:pPr>
        <w:pStyle w:val="AuthorityNote"/>
      </w:pPr>
      <w:r w:rsidRPr="001531CD">
        <w:t>AUTHORITY NOTE:</w:t>
      </w:r>
      <w:r w:rsidRPr="001531CD">
        <w:tab/>
        <w:t>Promulgated in accordance with R.S. 3:1392 and R.S. 3:1396.</w:t>
      </w:r>
    </w:p>
    <w:p w14:paraId="26D8F49E" w14:textId="77777777" w:rsidR="00CF626A" w:rsidRPr="001531CD" w:rsidRDefault="00CF626A">
      <w:pPr>
        <w:pStyle w:val="HistoricalNote"/>
      </w:pPr>
      <w:r w:rsidRPr="001531CD">
        <w:t>HISTORICAL NOTE:</w:t>
      </w:r>
      <w:r w:rsidRPr="001531CD">
        <w:tab/>
        <w:t>Promulgated by the Department of Agriculture, Feed Commission, LR 11:223 (M</w:t>
      </w:r>
      <w:r w:rsidR="00B01996" w:rsidRPr="001531CD">
        <w:t>arch 1985), amended by the Department of Agriculture and Forestry, Feed, Fertilizer, and Agricultural Liming Commission, LR 38:2525 (October 2012)</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p>
    <w:p w14:paraId="6C2D29D0" w14:textId="77777777" w:rsidR="00B01996" w:rsidRPr="001531CD" w:rsidRDefault="00CF626A" w:rsidP="00B01996">
      <w:pPr>
        <w:pStyle w:val="Section"/>
      </w:pPr>
      <w:bookmarkStart w:id="1533" w:name="_Toc256754649"/>
      <w:bookmarkStart w:id="1534" w:name="_Toc224818981"/>
      <w:r w:rsidRPr="001531CD">
        <w:t>§119.</w:t>
      </w:r>
      <w:r w:rsidRPr="001531CD">
        <w:tab/>
      </w:r>
      <w:bookmarkEnd w:id="1533"/>
      <w:r w:rsidR="00B01996" w:rsidRPr="001531CD">
        <w:t>Good Manufacturing Practices</w:t>
      </w:r>
      <w:bookmarkEnd w:id="1534"/>
    </w:p>
    <w:p w14:paraId="1BA9F74B" w14:textId="77777777" w:rsidR="00FE64C7" w:rsidRPr="00154D48" w:rsidRDefault="00B01996" w:rsidP="00FE64C7">
      <w:pPr>
        <w:pStyle w:val="A"/>
      </w:pPr>
      <w:r w:rsidRPr="001531CD">
        <w:t>A.</w:t>
      </w:r>
      <w:r w:rsidRPr="001531CD">
        <w:tab/>
      </w:r>
      <w:r w:rsidR="00FE64C7" w:rsidRPr="00154D48">
        <w:t>For the purposes of enforcement of R.S. 3:1396 (8), the commission adopts the following as current good manufacturing practices:</w:t>
      </w:r>
    </w:p>
    <w:p w14:paraId="6280ACEB" w14:textId="77777777" w:rsidR="00FE64C7" w:rsidRPr="00154D48" w:rsidRDefault="00FE64C7" w:rsidP="00FE64C7">
      <w:pPr>
        <w:pStyle w:val="1"/>
      </w:pPr>
      <w:r w:rsidRPr="00154D48">
        <w:t>1.</w:t>
      </w:r>
      <w:r w:rsidRPr="00154D48">
        <w:tab/>
        <w:t xml:space="preserve">the regulations prescribing current good manufacturing practice, hazard analysis, and risk-based preventive controls for food for animals, as published in the </w:t>
      </w:r>
      <w:r w:rsidRPr="00154D48">
        <w:rPr>
          <w:i/>
          <w:iCs/>
        </w:rPr>
        <w:t>Code of Federal Regulations</w:t>
      </w:r>
      <w:r w:rsidRPr="00154D48">
        <w:t>, Title 21, Part 507, Subparts A, B, C, D, E, and F; Sections 507.1 - 507.215;</w:t>
      </w:r>
    </w:p>
    <w:p w14:paraId="7D76A7CE" w14:textId="77777777" w:rsidR="00FE64C7" w:rsidRPr="00154D48" w:rsidRDefault="00FE64C7" w:rsidP="00FE64C7">
      <w:pPr>
        <w:pStyle w:val="1"/>
      </w:pPr>
      <w:r w:rsidRPr="00154D48">
        <w:t>2.</w:t>
      </w:r>
      <w:r w:rsidRPr="00154D48">
        <w:tab/>
        <w:t xml:space="preserve">the regulations prescribing good manufacturing practices for medicated feeds as published in the </w:t>
      </w:r>
      <w:r w:rsidRPr="00154D48">
        <w:rPr>
          <w:i/>
          <w:iCs/>
        </w:rPr>
        <w:t>Code of Federal Regulations</w:t>
      </w:r>
      <w:r w:rsidRPr="00154D48">
        <w:t>, Title 21, Part 225, Sections 225.1-225.115; and</w:t>
      </w:r>
    </w:p>
    <w:p w14:paraId="4C109461" w14:textId="77777777" w:rsidR="00CF626A" w:rsidRPr="001531CD" w:rsidRDefault="00FE64C7" w:rsidP="00FE64C7">
      <w:pPr>
        <w:pStyle w:val="A"/>
      </w:pPr>
      <w:r w:rsidRPr="00154D48">
        <w:t>3.</w:t>
      </w:r>
      <w:r w:rsidRPr="00154D48">
        <w:tab/>
        <w:t xml:space="preserve">the regulations prescribing good manufacturing practices for medicated premixes as published in the </w:t>
      </w:r>
      <w:r w:rsidRPr="00154D48">
        <w:rPr>
          <w:i/>
          <w:iCs/>
        </w:rPr>
        <w:t>Code of Federal Regulations</w:t>
      </w:r>
      <w:r w:rsidRPr="00154D48">
        <w:t>, Title 21, Part 226, Sections 226.1-226.115.</w:t>
      </w:r>
    </w:p>
    <w:p w14:paraId="33192189" w14:textId="77777777" w:rsidR="00CF626A" w:rsidRPr="001531CD" w:rsidRDefault="00B01996">
      <w:pPr>
        <w:pStyle w:val="AuthorityNote"/>
      </w:pPr>
      <w:r w:rsidRPr="001531CD">
        <w:t>AUTHORITY NOTE:</w:t>
      </w:r>
      <w:r w:rsidRPr="001531CD">
        <w:tab/>
        <w:t>Promulgated in accordance with R.S. 3:1392</w:t>
      </w:r>
      <w:r w:rsidR="00FE64C7">
        <w:t>, 1936,</w:t>
      </w:r>
      <w:r w:rsidRPr="001531CD">
        <w:t xml:space="preserve"> and R.S. 3:1396.</w:t>
      </w:r>
    </w:p>
    <w:p w14:paraId="66284581" w14:textId="77777777" w:rsidR="00CF626A" w:rsidRPr="001531CD" w:rsidRDefault="00CF626A">
      <w:pPr>
        <w:pStyle w:val="HistoricalNote"/>
      </w:pPr>
      <w:r w:rsidRPr="001531CD">
        <w:t>HISTORICAL NOTE:</w:t>
      </w:r>
      <w:r w:rsidRPr="001531CD">
        <w:tab/>
        <w:t>Promulgated by the Department of Agriculture, Feed Com</w:t>
      </w:r>
      <w:r w:rsidR="00B01996" w:rsidRPr="001531CD">
        <w:t>mission, LR 11:223 (March 1985), amended by the Department of Agriculture and Forestry, Feed, Fertilizer, and Agricultural Liming Commis</w:t>
      </w:r>
      <w:r w:rsidR="00FE64C7">
        <w:t xml:space="preserve">sion, LR 38:2525 (October 2012),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p>
    <w:p w14:paraId="31FF63AB" w14:textId="77777777" w:rsidR="00CF626A" w:rsidRPr="001531CD" w:rsidRDefault="00CF626A">
      <w:pPr>
        <w:pStyle w:val="Section"/>
      </w:pPr>
      <w:bookmarkStart w:id="1535" w:name="_Toc256754650"/>
      <w:bookmarkStart w:id="1536" w:name="_Toc224818982"/>
      <w:r w:rsidRPr="001531CD">
        <w:t>§121.</w:t>
      </w:r>
      <w:r w:rsidRPr="001531CD">
        <w:tab/>
        <w:t>Fees</w:t>
      </w:r>
      <w:bookmarkEnd w:id="1535"/>
      <w:bookmarkEnd w:id="1536"/>
    </w:p>
    <w:p w14:paraId="2D9F6FFD" w14:textId="77777777" w:rsidR="00CF626A" w:rsidRPr="001531CD" w:rsidRDefault="00CF626A">
      <w:pPr>
        <w:pStyle w:val="A"/>
      </w:pPr>
      <w:r w:rsidRPr="001531CD">
        <w:t>A.</w:t>
      </w:r>
      <w:r w:rsidRPr="001531CD">
        <w:tab/>
        <w:t>Each application for registration with the commission shall be accompanied by a registration fee of $40.</w:t>
      </w:r>
    </w:p>
    <w:p w14:paraId="589800B8" w14:textId="77777777" w:rsidR="00CF626A" w:rsidRPr="001531CD" w:rsidRDefault="00CF626A">
      <w:pPr>
        <w:pStyle w:val="A"/>
      </w:pPr>
      <w:r w:rsidRPr="001531CD">
        <w:t>B.</w:t>
      </w:r>
      <w:r w:rsidRPr="001531CD">
        <w:tab/>
      </w:r>
      <w:r w:rsidR="00FE64C7" w:rsidRPr="00154D48">
        <w:t>Each registrant filing a label with the commission shall pay to the commission a labeling fee of $10 per label</w:t>
      </w:r>
      <w:r w:rsidRPr="001531CD">
        <w:t>.</w:t>
      </w:r>
    </w:p>
    <w:p w14:paraId="5A607B71" w14:textId="77777777" w:rsidR="00CF626A" w:rsidRPr="001531CD" w:rsidRDefault="00CF626A">
      <w:pPr>
        <w:pStyle w:val="A"/>
      </w:pPr>
      <w:r w:rsidRPr="001531CD">
        <w:t>C.</w:t>
      </w:r>
      <w:r w:rsidRPr="001531CD">
        <w:tab/>
        <w:t>Registration shall expire on the last day of June of each year. An additional $50 late fee will be charged for renewal registrations filed after the last day of June. A late fee will not be charged on initial registrations or registrations of new products filed after the last day of June.</w:t>
      </w:r>
    </w:p>
    <w:p w14:paraId="426C8DC5" w14:textId="77777777" w:rsidR="00CF626A" w:rsidRPr="001531CD" w:rsidRDefault="00CF626A">
      <w:pPr>
        <w:pStyle w:val="A"/>
      </w:pPr>
      <w:r w:rsidRPr="001531CD">
        <w:t>D.</w:t>
      </w:r>
      <w:r w:rsidRPr="001531CD">
        <w:tab/>
        <w:t xml:space="preserve">If a registrant had no sales in a given quarter, he must still file a tonnage report and pay a minimum tonnage fee of $10 for that quarter. A registrant shall keep all records necessary to accurately indicate the tonnage and kind of commercial feed sold and shall permit the commissioner or his authorized representative to examine these records and to verify the statement of tonnage. Tonnage reports shall be made on forms supplied by the commissioner and suitable for providing the necessary tonnage and statistical information. The tonnage reports and inspection fees shall be due and payable on the first day of October, the first day of January, the first day of April and the first day of July. If the report is not filed and payment made within 30 days after the date due, a penalty of 25 percent of the amount due shall be assessed against the registrant. If payment is not made within 30 days after the due date, the amount of fees due, plus the penalty, shall constitute a debt and become the basis of a judgment against the registrant. All information as to the amount of feed sold and business practices of the registrant obtained from tonnage reports or from inspection of records and books shall </w:t>
      </w:r>
      <w:r w:rsidRPr="001531CD">
        <w:lastRenderedPageBreak/>
        <w:t>remain confidential and shall not be revealed by the commissioner or his employees to the public or to any other person.</w:t>
      </w:r>
    </w:p>
    <w:p w14:paraId="598791BC" w14:textId="77777777" w:rsidR="00CF626A" w:rsidRPr="001531CD" w:rsidRDefault="00CF626A">
      <w:pPr>
        <w:pStyle w:val="A"/>
      </w:pPr>
      <w:r w:rsidRPr="001531CD">
        <w:t>E.</w:t>
      </w:r>
      <w:r w:rsidRPr="001531CD">
        <w:tab/>
        <w:t>The inspection fee shall be collected only once on each lot of ingredients. To achieve this end, the following provisions shall apply.</w:t>
      </w:r>
    </w:p>
    <w:p w14:paraId="40EECAF7" w14:textId="77777777" w:rsidR="00CF626A" w:rsidRPr="001531CD" w:rsidRDefault="00CF626A">
      <w:pPr>
        <w:pStyle w:val="1"/>
      </w:pPr>
      <w:r w:rsidRPr="001531CD">
        <w:t>1.</w:t>
      </w:r>
      <w:r w:rsidRPr="001531CD">
        <w:tab/>
        <w:t>No fee shall be paid on a commercial feed if a previous manufacturer has paid the fee.</w:t>
      </w:r>
    </w:p>
    <w:p w14:paraId="23ED2E43" w14:textId="77777777" w:rsidR="00CF626A" w:rsidRPr="001531CD" w:rsidRDefault="00CF626A">
      <w:pPr>
        <w:pStyle w:val="1"/>
      </w:pPr>
      <w:r w:rsidRPr="001531CD">
        <w:t>2.</w:t>
      </w:r>
      <w:r w:rsidRPr="001531CD">
        <w:tab/>
        <w:t>No fee shall be paid on customer-formula feeds if the inspection fee has been paid on the commercial feeds, which are used as ingredients therein.</w:t>
      </w:r>
    </w:p>
    <w:p w14:paraId="5D149395" w14:textId="77777777" w:rsidR="00CF626A" w:rsidRPr="001531CD" w:rsidRDefault="00CF626A">
      <w:pPr>
        <w:pStyle w:val="1"/>
      </w:pPr>
      <w:r w:rsidRPr="001531CD">
        <w:t>3.</w:t>
      </w:r>
      <w:r w:rsidRPr="001531CD">
        <w:tab/>
        <w:t>No fee shall be paid on commercial feeds, which are used as ingredients for the manufacture of registered commercial feeds. If the fee has already been paid, credit shall be given for that payment.</w:t>
      </w:r>
    </w:p>
    <w:p w14:paraId="796EB3C3" w14:textId="77777777" w:rsidR="003D1AE1" w:rsidRPr="001531CD" w:rsidRDefault="003D1AE1" w:rsidP="003D1AE1">
      <w:pPr>
        <w:pStyle w:val="AuthorityNote"/>
      </w:pPr>
      <w:r w:rsidRPr="001531CD">
        <w:t>AUTHORITY NOTE:</w:t>
      </w:r>
      <w:r w:rsidRPr="001531CD">
        <w:tab/>
        <w:t>Promulgated in accordance with R.S. 3:1401 and 3:1392.</w:t>
      </w:r>
    </w:p>
    <w:p w14:paraId="26F32A9D" w14:textId="77777777" w:rsidR="00CF626A" w:rsidRPr="001531CD" w:rsidRDefault="00CF626A">
      <w:pPr>
        <w:pStyle w:val="HistoricalNote"/>
      </w:pPr>
      <w:r w:rsidRPr="001531CD">
        <w:t>HISTORICAL NOTE:</w:t>
      </w:r>
      <w:r w:rsidRPr="001531CD">
        <w:tab/>
        <w:t>Promulgated by the Department of Agriculture, Feed Commission, LR 11:223 (March 1985), amended LR 11:944 (October 1985), amended by the Department of Agriculture and Forestry, Office of the Commissioner, Feed Commission, LR 30:198 (February 2004)</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r w:rsidRPr="001531CD">
        <w:t>.</w:t>
      </w:r>
    </w:p>
    <w:p w14:paraId="59B69CBB" w14:textId="77777777" w:rsidR="00141F2B" w:rsidRPr="001531CD" w:rsidRDefault="00CF626A" w:rsidP="00141F2B">
      <w:pPr>
        <w:pStyle w:val="Section"/>
      </w:pPr>
      <w:bookmarkStart w:id="1537" w:name="_Toc256754651"/>
      <w:bookmarkStart w:id="1538" w:name="_Toc224818983"/>
      <w:r w:rsidRPr="001531CD">
        <w:t>§123.</w:t>
      </w:r>
      <w:r w:rsidRPr="001531CD">
        <w:tab/>
      </w:r>
      <w:bookmarkStart w:id="1539" w:name="_Hlk179374962"/>
      <w:bookmarkEnd w:id="1537"/>
      <w:r w:rsidR="00FE64C7" w:rsidRPr="00154D48">
        <w:t>Deficiency Assessments and Penalties</w:t>
      </w:r>
      <w:bookmarkEnd w:id="1538"/>
      <w:bookmarkEnd w:id="1539"/>
    </w:p>
    <w:p w14:paraId="4DA787A7" w14:textId="77777777" w:rsidR="00CF626A" w:rsidRPr="001531CD" w:rsidRDefault="00141F2B" w:rsidP="00141F2B">
      <w:pPr>
        <w:pStyle w:val="A"/>
      </w:pPr>
      <w:r w:rsidRPr="001531CD">
        <w:t>A.</w:t>
      </w:r>
      <w:r w:rsidRPr="001531CD">
        <w:tab/>
        <w:t>For the purpose of assessing penalties for protein deficiencies in feeds, as provided for in R.S. 3:1400(A)(1), the value of crude protein will be updated each quarter.</w:t>
      </w:r>
    </w:p>
    <w:p w14:paraId="2F0BE3B7" w14:textId="77777777" w:rsidR="00FE64C7" w:rsidRPr="00154D48" w:rsidRDefault="00CF626A" w:rsidP="00FE64C7">
      <w:pPr>
        <w:pStyle w:val="A"/>
      </w:pPr>
      <w:r w:rsidRPr="001531CD">
        <w:t>B.</w:t>
      </w:r>
      <w:r w:rsidRPr="001531CD">
        <w:tab/>
      </w:r>
      <w:r w:rsidR="00FE64C7" w:rsidRPr="00154D48">
        <w:t>The value of crude protei</w:t>
      </w:r>
      <w:r w:rsidR="00E262CA">
        <w:t>n will be calculated as follows</w:t>
      </w:r>
      <w:r w:rsidR="00FE64C7" w:rsidRPr="00154D48">
        <w:t>:</w:t>
      </w:r>
    </w:p>
    <w:p w14:paraId="762BB958" w14:textId="77777777" w:rsidR="00FE64C7" w:rsidRPr="00154D48" w:rsidRDefault="00FE64C7" w:rsidP="00FE64C7">
      <w:pPr>
        <w:pStyle w:val="1"/>
      </w:pPr>
      <w:r w:rsidRPr="00154D48">
        <w:t>1.</w:t>
      </w:r>
      <w:r w:rsidRPr="00154D48">
        <w:tab/>
        <w:t>The quarterly average price of four feedstuff protein sources shall be used.</w:t>
      </w:r>
      <w:r>
        <w:t xml:space="preserve"> </w:t>
      </w:r>
      <w:r w:rsidRPr="00154D48">
        <w:t>These are 46.5-48 percent soybean meal, 41 percent cottonseed meal, 60 percent corn gluten meal, and 46-50 percent meat and bone meal from ruminant and porcine sources.</w:t>
      </w:r>
      <w:r>
        <w:t xml:space="preserve"> </w:t>
      </w:r>
      <w:r w:rsidRPr="00154D48">
        <w:t>The average price will be determined using the Monthly National Grain and Oilseed Processor Feedstuff Report and the Monthly National Animal By-Product Feedstuff Report, published by the United States Department of Agriculture, Agriculture Market Service, AMS Livestock, Poultry and Grain Market News.</w:t>
      </w:r>
      <w:r>
        <w:t xml:space="preserve"> </w:t>
      </w:r>
      <w:r w:rsidRPr="00154D48">
        <w:t xml:space="preserve">The average value for each month of the preceding quarter will be used for calculation purposes. </w:t>
      </w:r>
    </w:p>
    <w:p w14:paraId="06726B52" w14:textId="77777777" w:rsidR="00FE64C7" w:rsidRPr="00154D48" w:rsidRDefault="00FE64C7" w:rsidP="00FE64C7">
      <w:pPr>
        <w:pStyle w:val="A"/>
      </w:pPr>
      <w:r w:rsidRPr="00154D48">
        <w:t>C.</w:t>
      </w:r>
      <w:r w:rsidRPr="00154D48">
        <w:tab/>
        <w:t>For all other guarantees, a deficiency assessment of ten percent of the retail purchase price of the feed if the deficiency or excess, where applicable, is greater than ten percent of the guarantee.</w:t>
      </w:r>
    </w:p>
    <w:p w14:paraId="6E8BD020" w14:textId="77777777" w:rsidR="00CF626A" w:rsidRPr="001531CD" w:rsidRDefault="00FE64C7" w:rsidP="00FE64C7">
      <w:pPr>
        <w:pStyle w:val="A"/>
      </w:pPr>
      <w:r w:rsidRPr="00154D48">
        <w:t>D.</w:t>
      </w:r>
      <w:r w:rsidRPr="00154D48">
        <w:tab/>
        <w:t>Penalties shall be assessed as provided for in R.S. 3:1400. If an official sample shows that feed ingredients bought by a feed manufacturer is deficient, any penalties from this deficiency shall be paid by the supplier of the ingredients to the manufacturer that bought the ingredients</w:t>
      </w:r>
      <w:r w:rsidR="00141F2B" w:rsidRPr="001531CD">
        <w:t>.</w:t>
      </w:r>
    </w:p>
    <w:p w14:paraId="04BC4354" w14:textId="77777777" w:rsidR="00CF626A" w:rsidRPr="001531CD" w:rsidRDefault="00141F2B">
      <w:pPr>
        <w:pStyle w:val="AuthorityNote"/>
      </w:pPr>
      <w:r w:rsidRPr="001531CD">
        <w:t>AUTHORITY NOTE:</w:t>
      </w:r>
      <w:r w:rsidRPr="001531CD">
        <w:tab/>
        <w:t>Promulgated in accordance with R.S. 3:1391</w:t>
      </w:r>
      <w:r w:rsidR="00FE64C7">
        <w:t>, 1392,</w:t>
      </w:r>
      <w:r w:rsidRPr="001531CD">
        <w:t xml:space="preserve"> and R.S. 3:1392.</w:t>
      </w:r>
    </w:p>
    <w:p w14:paraId="456FAFFA" w14:textId="77777777" w:rsidR="00CF626A" w:rsidRPr="001531CD" w:rsidRDefault="00CF626A">
      <w:pPr>
        <w:pStyle w:val="HistoricalNote"/>
      </w:pPr>
      <w:r w:rsidRPr="001531CD">
        <w:t>HISTORICAL NOTE:</w:t>
      </w:r>
      <w:r w:rsidRPr="001531CD">
        <w:tab/>
        <w:t>Promulgated by the Department of Agriculture, Feed Commission, LR 11:224 (March 1985), a</w:t>
      </w:r>
      <w:r w:rsidR="00141F2B" w:rsidRPr="001531CD">
        <w:t>mended LR 11:944 (October 1985), amended by the Department of Agriculture and Forestry, Feed, Fertilizer, and Agricultural Liming Commission, LR 38:2525 (October 2012)</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r w:rsidR="00141F2B" w:rsidRPr="001531CD">
        <w:t>.</w:t>
      </w:r>
    </w:p>
    <w:p w14:paraId="68BEE814" w14:textId="77777777" w:rsidR="00CF626A" w:rsidRPr="001531CD" w:rsidRDefault="00CF626A" w:rsidP="00F03863">
      <w:pPr>
        <w:pStyle w:val="Chapter"/>
        <w:outlineLvl w:val="0"/>
      </w:pPr>
      <w:bookmarkStart w:id="1540" w:name="TOC_SubC122"/>
      <w:bookmarkStart w:id="1541" w:name="_Toc256754652"/>
      <w:bookmarkStart w:id="1542" w:name="_Toc224818984"/>
      <w:r w:rsidRPr="001531CD">
        <w:t>Subchapter B.</w:t>
      </w:r>
      <w:bookmarkEnd w:id="1540"/>
      <w:r w:rsidR="00167E2E">
        <w:tab/>
      </w:r>
      <w:bookmarkStart w:id="1543" w:name="TOCT_SubC122"/>
      <w:r w:rsidRPr="001531CD">
        <w:t>Pet Food</w:t>
      </w:r>
      <w:bookmarkEnd w:id="1541"/>
      <w:bookmarkEnd w:id="1542"/>
      <w:bookmarkEnd w:id="1543"/>
    </w:p>
    <w:p w14:paraId="7EDA346F" w14:textId="77777777" w:rsidR="00CF626A" w:rsidRPr="001531CD" w:rsidRDefault="00CF626A">
      <w:pPr>
        <w:pStyle w:val="Section"/>
      </w:pPr>
      <w:bookmarkStart w:id="1544" w:name="_Toc256754653"/>
      <w:bookmarkStart w:id="1545" w:name="_Toc224818985"/>
      <w:r w:rsidRPr="001531CD">
        <w:t>§125.</w:t>
      </w:r>
      <w:r w:rsidRPr="001531CD">
        <w:tab/>
        <w:t>Definitions and Terms</w:t>
      </w:r>
      <w:bookmarkEnd w:id="1544"/>
      <w:bookmarkEnd w:id="1545"/>
    </w:p>
    <w:p w14:paraId="141A791E" w14:textId="77777777" w:rsidR="00CF626A" w:rsidRPr="001531CD" w:rsidRDefault="00CF626A" w:rsidP="00AB250D">
      <w:pPr>
        <w:pStyle w:val="A"/>
        <w:spacing w:after="80"/>
      </w:pPr>
      <w:r w:rsidRPr="001531CD">
        <w:rPr>
          <w:i/>
          <w:iCs/>
        </w:rPr>
        <w:t>Immediate Container</w:t>
      </w:r>
      <w:r w:rsidRPr="001531CD">
        <w:t>―the unit, can, box, tin, bag or other receptacle or covering in which a pet food is displayed for sale to retail purchasers, but does not include containers used as shipping containers.</w:t>
      </w:r>
    </w:p>
    <w:p w14:paraId="56A531DD" w14:textId="77777777" w:rsidR="00CF626A" w:rsidRPr="001531CD" w:rsidRDefault="00CF626A" w:rsidP="00AB250D">
      <w:pPr>
        <w:pStyle w:val="A"/>
        <w:spacing w:after="80"/>
        <w:rPr>
          <w:i/>
          <w:iCs/>
        </w:rPr>
      </w:pPr>
      <w:r w:rsidRPr="001531CD">
        <w:rPr>
          <w:i/>
          <w:iCs/>
        </w:rPr>
        <w:t>Ingredient Statements</w:t>
      </w:r>
      <w:r w:rsidRPr="001531CD">
        <w:t>―a collective and contiguous listing on the label of the ingredients of which the pet food is composed.</w:t>
      </w:r>
    </w:p>
    <w:p w14:paraId="1A76CD72" w14:textId="77777777" w:rsidR="00CF626A" w:rsidRPr="001531CD" w:rsidRDefault="00CF626A" w:rsidP="00AB250D">
      <w:pPr>
        <w:pStyle w:val="A"/>
        <w:spacing w:after="80"/>
      </w:pPr>
      <w:r w:rsidRPr="001531CD">
        <w:rPr>
          <w:i/>
          <w:iCs/>
        </w:rPr>
        <w:t>Principal Display Panel</w:t>
      </w:r>
      <w:r w:rsidRPr="001531CD">
        <w:t>―the part of a label that is most likely to be displayed, presented, shown or examined under normal and customary conditions of display for retail sale.</w:t>
      </w:r>
    </w:p>
    <w:p w14:paraId="5AB43FF1" w14:textId="77777777" w:rsidR="003D1AE1" w:rsidRPr="001531CD" w:rsidRDefault="003D1AE1" w:rsidP="003D1AE1">
      <w:pPr>
        <w:pStyle w:val="LACNote"/>
        <w:spacing w:after="80"/>
        <w:ind w:left="432" w:right="432" w:firstLine="0"/>
      </w:pPr>
      <w:r w:rsidRPr="001531CD">
        <w:t>NOTE: The commission adopts all definitions of R.S. 3:1391 and those that appear in §101.F of the official feed rules and regulations.</w:t>
      </w:r>
    </w:p>
    <w:p w14:paraId="5005DCDD" w14:textId="77777777" w:rsidR="00CF626A" w:rsidRPr="001531CD" w:rsidRDefault="003D1AE1" w:rsidP="003D1AE1">
      <w:pPr>
        <w:pStyle w:val="AuthorityNote"/>
      </w:pPr>
      <w:r w:rsidRPr="001531CD">
        <w:t>AUTHORITY NOTE:</w:t>
      </w:r>
      <w:r w:rsidRPr="001531CD">
        <w:tab/>
        <w:t>Promulgated in accordance with R.S. 3:1392.</w:t>
      </w:r>
    </w:p>
    <w:p w14:paraId="0BF6DBBC" w14:textId="77777777" w:rsidR="00CF626A" w:rsidRPr="001531CD" w:rsidRDefault="00CF626A">
      <w:pPr>
        <w:pStyle w:val="HistoricalNote"/>
      </w:pPr>
      <w:r w:rsidRPr="001531CD">
        <w:t>HISTORICAL NOTE:</w:t>
      </w:r>
      <w:r w:rsidRPr="001531CD">
        <w:tab/>
        <w:t>Promulgated by the Department of Agriculture, Feed Commission, LR 11:224 (March 1985).</w:t>
      </w:r>
    </w:p>
    <w:p w14:paraId="18587FC9" w14:textId="77777777" w:rsidR="00CF626A" w:rsidRPr="001531CD" w:rsidRDefault="00CF626A" w:rsidP="00AB250D">
      <w:pPr>
        <w:pStyle w:val="Section"/>
        <w:spacing w:after="80"/>
      </w:pPr>
      <w:bookmarkStart w:id="1546" w:name="_Toc256754654"/>
      <w:bookmarkStart w:id="1547" w:name="_Toc224818986"/>
      <w:r w:rsidRPr="001531CD">
        <w:t>§127.</w:t>
      </w:r>
      <w:r w:rsidRPr="001531CD">
        <w:tab/>
        <w:t>Label Format and Labeling</w:t>
      </w:r>
      <w:bookmarkEnd w:id="1546"/>
      <w:bookmarkEnd w:id="1547"/>
    </w:p>
    <w:p w14:paraId="162AF63F" w14:textId="77777777" w:rsidR="00CF626A" w:rsidRPr="001531CD" w:rsidRDefault="00CF626A" w:rsidP="00AB250D">
      <w:pPr>
        <w:pStyle w:val="A"/>
        <w:spacing w:after="80"/>
      </w:pPr>
      <w:r w:rsidRPr="001531CD">
        <w:t>A.</w:t>
      </w:r>
      <w:r w:rsidRPr="001531CD">
        <w:tab/>
        <w:t>The statement of net content and product name must be shown on the principal display panel. All other required information may be placed elsewhere on the label but shall be sufficiently conspicuous as to render it easily read by the average purchaser under ordinary conditions of purchase and sale.</w:t>
      </w:r>
    </w:p>
    <w:p w14:paraId="09359985" w14:textId="77777777" w:rsidR="00CF626A" w:rsidRPr="001531CD" w:rsidRDefault="00CF626A" w:rsidP="00AB250D">
      <w:pPr>
        <w:pStyle w:val="A"/>
        <w:spacing w:after="80"/>
      </w:pPr>
      <w:r w:rsidRPr="001531CD">
        <w:t>B.</w:t>
      </w:r>
      <w:r w:rsidRPr="001531CD">
        <w:tab/>
        <w:t xml:space="preserve">The declaration of the net content shall be made in conformity with the United States </w:t>
      </w:r>
      <w:r w:rsidRPr="001531CD">
        <w:rPr>
          <w:i/>
          <w:iCs/>
        </w:rPr>
        <w:t>Fair Packaging and Labeling Act</w:t>
      </w:r>
      <w:r w:rsidRPr="001531CD">
        <w:t xml:space="preserve"> and the regulations promulgated thereunder.</w:t>
      </w:r>
    </w:p>
    <w:p w14:paraId="684F337E" w14:textId="77777777" w:rsidR="00CF626A" w:rsidRPr="001531CD" w:rsidRDefault="00CF626A" w:rsidP="00AB250D">
      <w:pPr>
        <w:pStyle w:val="A"/>
        <w:spacing w:after="80"/>
      </w:pPr>
      <w:r w:rsidRPr="001531CD">
        <w:t>C.</w:t>
      </w:r>
      <w:r w:rsidRPr="001531CD">
        <w:tab/>
        <w:t xml:space="preserve">The information which is required to appear in the </w:t>
      </w:r>
      <w:r w:rsidRPr="001531CD">
        <w:rPr>
          <w:i/>
          <w:iCs/>
        </w:rPr>
        <w:t>Guaranteed Analysis</w:t>
      </w:r>
      <w:r w:rsidRPr="001531CD">
        <w:t xml:space="preserve"> shall be listed in the following order:</w:t>
      </w:r>
    </w:p>
    <w:p w14:paraId="4177611C" w14:textId="77777777" w:rsidR="00CF626A" w:rsidRPr="001531CD" w:rsidRDefault="00CF626A" w:rsidP="00AB250D">
      <w:pPr>
        <w:pStyle w:val="1"/>
        <w:spacing w:after="80"/>
      </w:pPr>
      <w:r w:rsidRPr="001531CD">
        <w:t>1.</w:t>
      </w:r>
      <w:r w:rsidRPr="001531CD">
        <w:tab/>
        <w:t>crude protein (minimum amount);</w:t>
      </w:r>
    </w:p>
    <w:p w14:paraId="1BD53E13" w14:textId="77777777" w:rsidR="00CF626A" w:rsidRPr="001531CD" w:rsidRDefault="00CF626A" w:rsidP="00AB250D">
      <w:pPr>
        <w:pStyle w:val="1"/>
        <w:spacing w:after="80"/>
      </w:pPr>
      <w:r w:rsidRPr="001531CD">
        <w:t>2.</w:t>
      </w:r>
      <w:r w:rsidRPr="001531CD">
        <w:tab/>
        <w:t>crude fat (minimum amount);</w:t>
      </w:r>
    </w:p>
    <w:p w14:paraId="5EBB1CA4" w14:textId="77777777" w:rsidR="00CF626A" w:rsidRPr="001531CD" w:rsidRDefault="00CF626A" w:rsidP="00AB250D">
      <w:pPr>
        <w:pStyle w:val="1"/>
        <w:spacing w:after="80"/>
      </w:pPr>
      <w:r w:rsidRPr="001531CD">
        <w:t>3.</w:t>
      </w:r>
      <w:r w:rsidRPr="001531CD">
        <w:tab/>
        <w:t>crude fiber (maximum amount);</w:t>
      </w:r>
    </w:p>
    <w:p w14:paraId="4B46B331" w14:textId="77777777" w:rsidR="00CF626A" w:rsidRPr="001531CD" w:rsidRDefault="00CF626A" w:rsidP="00AB250D">
      <w:pPr>
        <w:pStyle w:val="1"/>
        <w:spacing w:after="80"/>
      </w:pPr>
      <w:r w:rsidRPr="001531CD">
        <w:t>4.</w:t>
      </w:r>
      <w:r w:rsidRPr="001531CD">
        <w:tab/>
        <w:t>moisture (maximum amount);</w:t>
      </w:r>
    </w:p>
    <w:p w14:paraId="7255430D" w14:textId="77777777" w:rsidR="00CF626A" w:rsidRPr="001531CD" w:rsidRDefault="00CF626A" w:rsidP="00AB250D">
      <w:pPr>
        <w:pStyle w:val="1"/>
        <w:spacing w:after="80"/>
      </w:pPr>
      <w:r w:rsidRPr="001531CD">
        <w:t>5.</w:t>
      </w:r>
      <w:r w:rsidRPr="001531CD">
        <w:tab/>
        <w:t>additional guarantees shall follow moisture.</w:t>
      </w:r>
    </w:p>
    <w:p w14:paraId="4BFA4B46" w14:textId="77777777" w:rsidR="00CF626A" w:rsidRPr="001531CD" w:rsidRDefault="00CF626A">
      <w:pPr>
        <w:pStyle w:val="A"/>
      </w:pPr>
      <w:r w:rsidRPr="001531CD">
        <w:t>D.</w:t>
      </w:r>
      <w:r w:rsidRPr="001531CD">
        <w:tab/>
        <w:t>The label of a pet food shall specify the name and address of the manufacturer, packer or distributor of the pet food. The statement of the place of business should include the street address, if any, of such place.</w:t>
      </w:r>
    </w:p>
    <w:p w14:paraId="5C269884" w14:textId="77777777" w:rsidR="00CF626A" w:rsidRPr="001531CD" w:rsidRDefault="00CF626A">
      <w:pPr>
        <w:pStyle w:val="A"/>
      </w:pPr>
      <w:r w:rsidRPr="001531CD">
        <w:t>E.</w:t>
      </w:r>
      <w:r w:rsidRPr="001531CD">
        <w:tab/>
        <w:t>If a person manufactures, packages or distributes a pet food in a place other than his principal place of business, the label may state the principal place of business in lieu of the actual place where each package of such pet food was manufactured or packaged or is to be distributed, if such statement is not misleading in any particular.</w:t>
      </w:r>
    </w:p>
    <w:p w14:paraId="4FB5E2DC" w14:textId="77777777" w:rsidR="00CF626A" w:rsidRPr="001531CD" w:rsidRDefault="00CF626A">
      <w:pPr>
        <w:pStyle w:val="A"/>
      </w:pPr>
      <w:r w:rsidRPr="001531CD">
        <w:lastRenderedPageBreak/>
        <w:t>F.</w:t>
      </w:r>
      <w:r w:rsidRPr="001531CD">
        <w:tab/>
        <w:t>A vignette, graphic or pictorial representation of a product on a pet food label shall not misrepresent the contents of the package.</w:t>
      </w:r>
    </w:p>
    <w:p w14:paraId="0FCCE2C6" w14:textId="77777777" w:rsidR="00CF626A" w:rsidRPr="001531CD" w:rsidRDefault="00CF626A">
      <w:pPr>
        <w:pStyle w:val="A"/>
      </w:pPr>
      <w:r w:rsidRPr="001531CD">
        <w:t>G.</w:t>
      </w:r>
      <w:r w:rsidRPr="001531CD">
        <w:tab/>
        <w:t xml:space="preserve">The use of the word </w:t>
      </w:r>
      <w:r w:rsidRPr="001531CD">
        <w:rPr>
          <w:i/>
          <w:iCs/>
        </w:rPr>
        <w:t>proven</w:t>
      </w:r>
      <w:r w:rsidRPr="001531CD">
        <w:t xml:space="preserve"> in connection with label claims for a pet food is improper unless scientific or other empirical evidence establishing the claim represented as </w:t>
      </w:r>
      <w:r w:rsidRPr="001531CD">
        <w:rPr>
          <w:i/>
          <w:iCs/>
        </w:rPr>
        <w:t>proven</w:t>
      </w:r>
      <w:r w:rsidRPr="001531CD">
        <w:t xml:space="preserve"> is available.</w:t>
      </w:r>
    </w:p>
    <w:p w14:paraId="42247908" w14:textId="77777777" w:rsidR="00CF626A" w:rsidRPr="001531CD" w:rsidRDefault="00CF626A">
      <w:pPr>
        <w:pStyle w:val="A"/>
      </w:pPr>
      <w:r w:rsidRPr="001531CD">
        <w:t>H.</w:t>
      </w:r>
      <w:r w:rsidRPr="001531CD">
        <w:tab/>
        <w:t>No statement shall appear upon the label of a pet food which makes false or misleading comparisons between that pet food and any other pet food.</w:t>
      </w:r>
    </w:p>
    <w:p w14:paraId="0C43FD1A" w14:textId="77777777" w:rsidR="00CF626A" w:rsidRPr="001531CD" w:rsidRDefault="00CF626A">
      <w:pPr>
        <w:pStyle w:val="A"/>
      </w:pPr>
      <w:r w:rsidRPr="001531CD">
        <w:t>I.</w:t>
      </w:r>
      <w:r w:rsidRPr="001531CD">
        <w:tab/>
        <w:t>Personal or commercial endorsements are permitted on pet food labels where said endorsements are factual and not otherwise misleading.</w:t>
      </w:r>
    </w:p>
    <w:p w14:paraId="27519614" w14:textId="77777777" w:rsidR="00CF626A" w:rsidRPr="001531CD" w:rsidRDefault="00CF626A">
      <w:pPr>
        <w:pStyle w:val="A"/>
      </w:pPr>
      <w:r w:rsidRPr="001531CD">
        <w:t>J.</w:t>
      </w:r>
      <w:r w:rsidRPr="001531CD">
        <w:tab/>
        <w:t>When a pet food is enclosed in any outer container or wrapper which is intended for retail sale, all required label information must appear on such outside container or wrapper.</w:t>
      </w:r>
    </w:p>
    <w:p w14:paraId="7FF7499D" w14:textId="77777777" w:rsidR="00CF626A" w:rsidRPr="001531CD" w:rsidRDefault="00CF626A">
      <w:pPr>
        <w:pStyle w:val="A"/>
      </w:pPr>
      <w:r w:rsidRPr="001531CD">
        <w:t>K.</w:t>
      </w:r>
      <w:r w:rsidRPr="001531CD">
        <w:tab/>
        <w:t xml:space="preserve">The words </w:t>
      </w:r>
      <w:r w:rsidRPr="001531CD">
        <w:rPr>
          <w:i/>
          <w:iCs/>
        </w:rPr>
        <w:t>dog food</w:t>
      </w:r>
      <w:r w:rsidRPr="001531CD">
        <w:t xml:space="preserve">, </w:t>
      </w:r>
      <w:r w:rsidRPr="001531CD">
        <w:rPr>
          <w:i/>
          <w:iCs/>
        </w:rPr>
        <w:t>cat food</w:t>
      </w:r>
      <w:r w:rsidRPr="001531CD">
        <w:t xml:space="preserve"> or similar designations must appear conspicuously upon the principal display panels of the pet food labels.</w:t>
      </w:r>
    </w:p>
    <w:p w14:paraId="4CD00FC2" w14:textId="77777777" w:rsidR="00CF626A" w:rsidRPr="001531CD" w:rsidRDefault="00CF626A">
      <w:pPr>
        <w:pStyle w:val="A"/>
      </w:pPr>
      <w:r w:rsidRPr="001531CD">
        <w:t>L.</w:t>
      </w:r>
      <w:r w:rsidRPr="001531CD">
        <w:tab/>
        <w:t>The label of a pet food shall not contain an unqualified representation or claim, directly or indirectly, that the pet food therein contained or a recommended feeding thereof, is or meets the requisites of a complete, perfect, scientific or balanced ration for dogs or cats unless such product or feeding:</w:t>
      </w:r>
    </w:p>
    <w:p w14:paraId="64F96BE7" w14:textId="77777777" w:rsidR="00CF626A" w:rsidRPr="001531CD" w:rsidRDefault="00CF626A">
      <w:pPr>
        <w:pStyle w:val="1"/>
      </w:pPr>
      <w:r w:rsidRPr="001531CD">
        <w:t>1.</w:t>
      </w:r>
      <w:r w:rsidRPr="001531CD">
        <w:tab/>
        <w:t>contains ingredients in quantities sufficient to provide the estimated nutrient requirements for all stages of the life of a dog or cat, as the case may be, which have been established by a recognized authority on animal nutrition, such as the Committee on Animal Nutrition of the National Research Council of the National Academy of Sciences (to the extent that the product's ingredients provide nutrients in amounts which substantially deviate from those nutrient requirements estimated by such a recognized authority on animal nutrition, or in the event that no estimation has been made by a recognized authority on animal nutrition of the requirements of animals for one or more stages of said animals' lives, the product's represented capabilities in this regard must have been demonstrated by adequate testing); or</w:t>
      </w:r>
    </w:p>
    <w:p w14:paraId="4FAD625F" w14:textId="77777777" w:rsidR="00CF626A" w:rsidRPr="001531CD" w:rsidRDefault="00CF626A">
      <w:pPr>
        <w:pStyle w:val="1"/>
      </w:pPr>
      <w:r w:rsidRPr="001531CD">
        <w:t>2.</w:t>
      </w:r>
      <w:r w:rsidRPr="001531CD">
        <w:tab/>
        <w:t>contains a combination of ingredients which when fed to a normal animal as the only source of nourishment will provide satisfactorily for fertility of females, gestation and lactation, normal growth from weaning to maturity without supplementary feeding, will maintain the normal weight of an adult animal whether working or at rest and has had its capabilities in this regard demonstrated by adequate testing.</w:t>
      </w:r>
    </w:p>
    <w:p w14:paraId="49A3AE1A" w14:textId="77777777" w:rsidR="00CF626A" w:rsidRPr="001531CD" w:rsidRDefault="00CF626A">
      <w:pPr>
        <w:pStyle w:val="A"/>
      </w:pPr>
      <w:r w:rsidRPr="001531CD">
        <w:t>M.</w:t>
      </w:r>
      <w:r w:rsidRPr="001531CD">
        <w:tab/>
        <w:t>Labels for products which are compounded for or which are suitable for only a limited purpose (i. e., a product designed for the feeding of puppies) may contain representations that said pet food product or recommended feeding thereof, is or meets the requisites of a complete, perfect, scientific or balanced ration for dogs or cats only:</w:t>
      </w:r>
    </w:p>
    <w:p w14:paraId="275B0240" w14:textId="77777777" w:rsidR="00CF626A" w:rsidRPr="001531CD" w:rsidRDefault="00CF626A">
      <w:pPr>
        <w:pStyle w:val="1"/>
      </w:pPr>
      <w:r w:rsidRPr="001531CD">
        <w:t>1.</w:t>
      </w:r>
      <w:r w:rsidRPr="001531CD">
        <w:tab/>
        <w:t xml:space="preserve">in conjunction with a statement of a limited purpose for which the product is intended or suitable (as, for example, </w:t>
      </w:r>
      <w:r w:rsidRPr="001531CD">
        <w:t xml:space="preserve">in the statement a </w:t>
      </w:r>
      <w:r w:rsidRPr="001531CD">
        <w:rPr>
          <w:i/>
          <w:iCs/>
        </w:rPr>
        <w:t>complete food for puppies</w:t>
      </w:r>
      <w:r w:rsidRPr="001531CD">
        <w:t>). Such representations and such required qualification therefor shall be juxtaposed on the same panel and in the same size, style and color print; and</w:t>
      </w:r>
    </w:p>
    <w:p w14:paraId="69720CD1" w14:textId="77777777" w:rsidR="00CF626A" w:rsidRPr="001531CD" w:rsidRDefault="00CF626A">
      <w:pPr>
        <w:pStyle w:val="1"/>
      </w:pPr>
      <w:r w:rsidRPr="001531CD">
        <w:t>2.</w:t>
      </w:r>
      <w:r w:rsidRPr="001531CD">
        <w:tab/>
        <w:t>such qualified representations may appear on pet food labels only if:</w:t>
      </w:r>
    </w:p>
    <w:p w14:paraId="57629746" w14:textId="77777777" w:rsidR="00CF626A" w:rsidRPr="001531CD" w:rsidRDefault="00CF626A">
      <w:pPr>
        <w:pStyle w:val="a0"/>
      </w:pPr>
      <w:r w:rsidRPr="001531CD">
        <w:t>a.</w:t>
      </w:r>
      <w:r w:rsidRPr="001531CD">
        <w:tab/>
        <w:t>the pet food contains ingredients in quantities sufficient to satisfy the estimated nutrient requirements established by a recognized authority on animal nutrition, such as the Committee on Animal Nutrition of the National Research Council of the National Academy of Sciences for such limited or qualified purpose; or</w:t>
      </w:r>
    </w:p>
    <w:p w14:paraId="7C52411A" w14:textId="77777777" w:rsidR="00CF626A" w:rsidRPr="001531CD" w:rsidRDefault="00CF626A">
      <w:pPr>
        <w:pStyle w:val="a0"/>
      </w:pPr>
      <w:r w:rsidRPr="001531CD">
        <w:t>b.</w:t>
      </w:r>
      <w:r w:rsidRPr="001531CD">
        <w:tab/>
        <w:t>the pet food product contains a combination of ingredients which when fed for such limited purpose will satisfy the nutrient requirements for such limited purpose and has had its capabilities in this regard demonstrated by adequate testing.</w:t>
      </w:r>
    </w:p>
    <w:p w14:paraId="7A987921" w14:textId="77777777" w:rsidR="00CF626A" w:rsidRPr="001531CD" w:rsidRDefault="00CF626A">
      <w:pPr>
        <w:pStyle w:val="A"/>
      </w:pPr>
      <w:r w:rsidRPr="001531CD">
        <w:t>N.</w:t>
      </w:r>
      <w:r w:rsidRPr="001531CD">
        <w:tab/>
        <w:t>Except as specified by §129.A, the name of any ingredient which appears on the label other than in the product name shall not be given undue emphasis so as to create the impression that such an ingredient is present in the product in a larger amount than is the fact, and if the names of more than one such ingredient are shown, they shall appear in the order of their respective predominance by weight in the product.</w:t>
      </w:r>
    </w:p>
    <w:p w14:paraId="466BDC67" w14:textId="77777777" w:rsidR="00CF626A" w:rsidRPr="001531CD" w:rsidRDefault="00CF626A">
      <w:pPr>
        <w:pStyle w:val="A"/>
      </w:pPr>
      <w:r w:rsidRPr="001531CD">
        <w:t>O.</w:t>
      </w:r>
      <w:r w:rsidRPr="001531CD">
        <w:tab/>
        <w:t xml:space="preserve">The label of a dog or cat food (other than one prominently identified as a snack or treat as part of the designation required upon the principal display panel under §127.K) shall bear, on either the principal display panel or the information panel (as those terms are defined in </w:t>
      </w:r>
      <w:r w:rsidR="00054537" w:rsidRPr="001531CD">
        <w:br/>
      </w:r>
      <w:r w:rsidRPr="001531CD">
        <w:t>21 C.F.R. 501.1 and 501.2 respectively), in type of a size reasonably related to the largest type on the panel, a statement of the nutritional adequacy or purpose of the product. Such statement shall consist of one of the following:</w:t>
      </w:r>
    </w:p>
    <w:p w14:paraId="32F3272C" w14:textId="77777777" w:rsidR="00CF626A" w:rsidRPr="00E262CA" w:rsidRDefault="00CF626A">
      <w:pPr>
        <w:pStyle w:val="1"/>
      </w:pPr>
      <w:r w:rsidRPr="00E262CA">
        <w:t>1.</w:t>
      </w:r>
      <w:r w:rsidRPr="00E262CA">
        <w:tab/>
        <w:t>a claim that the pet food meets or exceeds the requirements of one or more of the recognized categories of nutritional adequacy, gestation, lactation, growth, maintenance and complete for all life stages, as those categories are set forth in §127.L and M;</w:t>
      </w:r>
    </w:p>
    <w:p w14:paraId="35328EF6" w14:textId="77777777" w:rsidR="00CF626A" w:rsidRPr="00E262CA" w:rsidRDefault="00CF626A">
      <w:pPr>
        <w:pStyle w:val="1"/>
      </w:pPr>
      <w:r w:rsidRPr="00E262CA">
        <w:t>2.</w:t>
      </w:r>
      <w:r w:rsidRPr="00E262CA">
        <w:tab/>
        <w:t>a nutrition or dietary claim for purposes other than those listed in §127.L and M if the claim is scientifically substantiated;</w:t>
      </w:r>
    </w:p>
    <w:p w14:paraId="6FA3543F" w14:textId="77777777" w:rsidR="00CF626A" w:rsidRPr="00E262CA" w:rsidRDefault="00CF626A">
      <w:pPr>
        <w:pStyle w:val="1"/>
      </w:pPr>
      <w:r w:rsidRPr="00E262CA">
        <w:t>3.</w:t>
      </w:r>
      <w:r w:rsidRPr="00E262CA">
        <w:tab/>
        <w:t xml:space="preserve">the statement: </w:t>
      </w:r>
      <w:r w:rsidRPr="00E262CA">
        <w:rPr>
          <w:i/>
          <w:iCs/>
        </w:rPr>
        <w:t>Use only as directed by your veterinarian</w:t>
      </w:r>
      <w:r w:rsidRPr="00E262CA">
        <w:t>, if it is a dietary animal food product intended for use by, or under the supervision or direction of, a veterinarian;</w:t>
      </w:r>
    </w:p>
    <w:p w14:paraId="67E3EFC4" w14:textId="77777777" w:rsidR="00CF626A" w:rsidRDefault="00CF626A">
      <w:pPr>
        <w:pStyle w:val="1"/>
      </w:pPr>
      <w:r w:rsidRPr="00E262CA">
        <w:t>4.</w:t>
      </w:r>
      <w:r w:rsidRPr="00E262CA">
        <w:tab/>
        <w:t xml:space="preserve">the statement: </w:t>
      </w:r>
      <w:r w:rsidRPr="00E262CA">
        <w:rPr>
          <w:i/>
          <w:iCs/>
        </w:rPr>
        <w:t>This product is intended for intermittent or supplemental feeding only</w:t>
      </w:r>
      <w:r w:rsidRPr="00E262CA">
        <w:t>, if a product does not meet either the requirements of §127.L and M or any other special nutritional or dietary need and so is suitable only for limited or intermittent or supplementary feeding.</w:t>
      </w:r>
    </w:p>
    <w:p w14:paraId="2E722E36" w14:textId="77777777" w:rsidR="00E262CA" w:rsidRPr="00E262CA" w:rsidRDefault="00190316" w:rsidP="00E262CA">
      <w:pPr>
        <w:pStyle w:val="A"/>
      </w:pPr>
      <w:r w:rsidRPr="00154D48">
        <w:t>P.</w:t>
      </w:r>
      <w:r w:rsidRPr="00154D48">
        <w:tab/>
      </w:r>
      <w:r w:rsidR="00E262CA" w:rsidRPr="00E262CA">
        <w:t>If the pet food is manufactured with raw milk or raw milk products:</w:t>
      </w:r>
    </w:p>
    <w:p w14:paraId="6D6398B1" w14:textId="77777777" w:rsidR="00190316" w:rsidRDefault="00E262CA" w:rsidP="00E262CA">
      <w:pPr>
        <w:pStyle w:val="A"/>
      </w:pPr>
      <w:r w:rsidRPr="00E262CA">
        <w:t>1.</w:t>
      </w:r>
      <w:r w:rsidRPr="00E262CA">
        <w:tab/>
        <w:t>The express words “WARNING: NOT FOR HUMAN CONSUMPTION – THIS PRODUCT HAS NOT BEEN PASTEURIZED AN</w:t>
      </w:r>
      <w:r>
        <w:t>§</w:t>
      </w:r>
      <w:r w:rsidRPr="00E262CA">
        <w:t xml:space="preserve">D MAY CONTAIN HARMFUL </w:t>
      </w:r>
      <w:r w:rsidRPr="00E262CA">
        <w:lastRenderedPageBreak/>
        <w:t>BACTERIA,” shall be displayed in a conspicuous manner and shall not be smaller than the height of the minimum form required by the Federal Fair Packaging and Labeling Act for the net quantity statement in the table below:</w:t>
      </w:r>
    </w:p>
    <w:tbl>
      <w:tblPr>
        <w:tblW w:w="0" w:type="auto"/>
        <w:tblInd w:w="28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00"/>
        <w:gridCol w:w="630"/>
        <w:gridCol w:w="1890"/>
      </w:tblGrid>
      <w:tr w:rsidR="00190316" w14:paraId="7CB0C66A" w14:textId="77777777" w:rsidTr="00F30BD7">
        <w:tc>
          <w:tcPr>
            <w:tcW w:w="1800" w:type="dxa"/>
            <w:shd w:val="clear" w:color="auto" w:fill="BFBFBF"/>
            <w:vAlign w:val="bottom"/>
          </w:tcPr>
          <w:p w14:paraId="20E5BEA8" w14:textId="77777777" w:rsidR="00190316" w:rsidRPr="003F0E84" w:rsidRDefault="00190316" w:rsidP="00F30BD7">
            <w:pPr>
              <w:jc w:val="center"/>
              <w:rPr>
                <w:b/>
                <w:sz w:val="16"/>
                <w:szCs w:val="16"/>
              </w:rPr>
            </w:pPr>
            <w:r w:rsidRPr="003F0E84">
              <w:rPr>
                <w:b/>
                <w:sz w:val="16"/>
                <w:szCs w:val="16"/>
              </w:rPr>
              <w:t>Panel Size</w:t>
            </w:r>
          </w:p>
        </w:tc>
        <w:tc>
          <w:tcPr>
            <w:tcW w:w="630" w:type="dxa"/>
            <w:shd w:val="clear" w:color="auto" w:fill="BFBFBF"/>
            <w:vAlign w:val="bottom"/>
          </w:tcPr>
          <w:p w14:paraId="28CFEC5A" w14:textId="77777777" w:rsidR="00190316" w:rsidRPr="003F0E84" w:rsidRDefault="00190316" w:rsidP="00F30BD7">
            <w:pPr>
              <w:jc w:val="center"/>
              <w:rPr>
                <w:b/>
                <w:sz w:val="16"/>
                <w:szCs w:val="16"/>
              </w:rPr>
            </w:pPr>
          </w:p>
        </w:tc>
        <w:tc>
          <w:tcPr>
            <w:tcW w:w="1890" w:type="dxa"/>
            <w:shd w:val="clear" w:color="auto" w:fill="BFBFBF"/>
            <w:vAlign w:val="bottom"/>
          </w:tcPr>
          <w:p w14:paraId="4BAB10D0" w14:textId="77777777" w:rsidR="00190316" w:rsidRPr="003F0E84" w:rsidRDefault="00190316" w:rsidP="00F30BD7">
            <w:pPr>
              <w:jc w:val="center"/>
              <w:rPr>
                <w:b/>
                <w:sz w:val="16"/>
                <w:szCs w:val="16"/>
              </w:rPr>
            </w:pPr>
            <w:r w:rsidRPr="003F0E84">
              <w:rPr>
                <w:b/>
                <w:sz w:val="16"/>
                <w:szCs w:val="16"/>
              </w:rPr>
              <w:t>Minimum Warning Statement Type Size</w:t>
            </w:r>
          </w:p>
        </w:tc>
      </w:tr>
      <w:tr w:rsidR="00190316" w14:paraId="49D38AC5" w14:textId="77777777" w:rsidTr="00F30BD7">
        <w:tc>
          <w:tcPr>
            <w:tcW w:w="1800" w:type="dxa"/>
            <w:vAlign w:val="bottom"/>
          </w:tcPr>
          <w:p w14:paraId="24B8BBF5" w14:textId="77777777" w:rsidR="00190316" w:rsidRPr="003F0E84" w:rsidRDefault="00190316" w:rsidP="00F30BD7">
            <w:pPr>
              <w:jc w:val="right"/>
              <w:rPr>
                <w:sz w:val="16"/>
                <w:szCs w:val="16"/>
              </w:rPr>
            </w:pPr>
            <w:r w:rsidRPr="003F0E84">
              <w:rPr>
                <w:sz w:val="16"/>
                <w:szCs w:val="16"/>
              </w:rPr>
              <w:t>≤ 5 in.2</w:t>
            </w:r>
          </w:p>
        </w:tc>
        <w:tc>
          <w:tcPr>
            <w:tcW w:w="630" w:type="dxa"/>
            <w:vAlign w:val="bottom"/>
          </w:tcPr>
          <w:p w14:paraId="5E0F6BC3" w14:textId="77777777" w:rsidR="00190316" w:rsidRPr="003F0E84" w:rsidRDefault="00190316" w:rsidP="00F30BD7">
            <w:pPr>
              <w:jc w:val="center"/>
              <w:rPr>
                <w:sz w:val="16"/>
                <w:szCs w:val="16"/>
              </w:rPr>
            </w:pPr>
            <w:r w:rsidRPr="003F0E84">
              <w:rPr>
                <w:sz w:val="16"/>
                <w:szCs w:val="16"/>
              </w:rPr>
              <w:t>----</w:t>
            </w:r>
          </w:p>
        </w:tc>
        <w:tc>
          <w:tcPr>
            <w:tcW w:w="1890" w:type="dxa"/>
            <w:vAlign w:val="bottom"/>
          </w:tcPr>
          <w:p w14:paraId="10A5F5CE" w14:textId="77777777" w:rsidR="00190316" w:rsidRPr="003F0E84" w:rsidRDefault="00190316" w:rsidP="00F30BD7">
            <w:pPr>
              <w:jc w:val="center"/>
              <w:rPr>
                <w:sz w:val="16"/>
                <w:szCs w:val="16"/>
              </w:rPr>
            </w:pPr>
            <w:r w:rsidRPr="003F0E84">
              <w:rPr>
                <w:sz w:val="16"/>
                <w:szCs w:val="16"/>
              </w:rPr>
              <w:t>1/16 in.</w:t>
            </w:r>
          </w:p>
        </w:tc>
      </w:tr>
      <w:tr w:rsidR="00190316" w14:paraId="24B4DAF2" w14:textId="77777777" w:rsidTr="00F30BD7">
        <w:tc>
          <w:tcPr>
            <w:tcW w:w="1800" w:type="dxa"/>
            <w:vAlign w:val="bottom"/>
          </w:tcPr>
          <w:p w14:paraId="537F847A" w14:textId="77777777" w:rsidR="00190316" w:rsidRPr="003F0E84" w:rsidRDefault="00190316" w:rsidP="00F30BD7">
            <w:pPr>
              <w:jc w:val="right"/>
              <w:rPr>
                <w:sz w:val="16"/>
                <w:szCs w:val="16"/>
              </w:rPr>
            </w:pPr>
            <w:r w:rsidRPr="003F0E84">
              <w:rPr>
                <w:sz w:val="16"/>
                <w:szCs w:val="16"/>
              </w:rPr>
              <w:t>&gt; 5 - ≤ 25 in.2</w:t>
            </w:r>
          </w:p>
        </w:tc>
        <w:tc>
          <w:tcPr>
            <w:tcW w:w="630" w:type="dxa"/>
            <w:vAlign w:val="bottom"/>
          </w:tcPr>
          <w:p w14:paraId="5E0A1F26" w14:textId="77777777" w:rsidR="00190316" w:rsidRPr="003F0E84" w:rsidRDefault="00190316" w:rsidP="00F30BD7">
            <w:pPr>
              <w:jc w:val="center"/>
              <w:rPr>
                <w:sz w:val="16"/>
                <w:szCs w:val="16"/>
              </w:rPr>
            </w:pPr>
            <w:r w:rsidRPr="003F0E84">
              <w:rPr>
                <w:sz w:val="16"/>
                <w:szCs w:val="16"/>
              </w:rPr>
              <w:t>----</w:t>
            </w:r>
          </w:p>
        </w:tc>
        <w:tc>
          <w:tcPr>
            <w:tcW w:w="1890" w:type="dxa"/>
            <w:vAlign w:val="bottom"/>
          </w:tcPr>
          <w:p w14:paraId="4559E50C" w14:textId="77777777" w:rsidR="00190316" w:rsidRPr="003F0E84" w:rsidRDefault="00190316" w:rsidP="00F30BD7">
            <w:pPr>
              <w:jc w:val="center"/>
              <w:rPr>
                <w:sz w:val="16"/>
                <w:szCs w:val="16"/>
              </w:rPr>
            </w:pPr>
            <w:r w:rsidRPr="003F0E84">
              <w:rPr>
                <w:sz w:val="16"/>
                <w:szCs w:val="16"/>
              </w:rPr>
              <w:t>1/8 in.</w:t>
            </w:r>
          </w:p>
        </w:tc>
      </w:tr>
      <w:tr w:rsidR="00190316" w14:paraId="6DD794C8" w14:textId="77777777" w:rsidTr="00F30BD7">
        <w:tc>
          <w:tcPr>
            <w:tcW w:w="1800" w:type="dxa"/>
            <w:vAlign w:val="bottom"/>
          </w:tcPr>
          <w:p w14:paraId="49404ABC" w14:textId="77777777" w:rsidR="00190316" w:rsidRPr="003F0E84" w:rsidRDefault="00190316" w:rsidP="00F30BD7">
            <w:pPr>
              <w:jc w:val="right"/>
              <w:rPr>
                <w:sz w:val="16"/>
                <w:szCs w:val="16"/>
              </w:rPr>
            </w:pPr>
            <w:r w:rsidRPr="003F0E84">
              <w:rPr>
                <w:sz w:val="16"/>
                <w:szCs w:val="16"/>
              </w:rPr>
              <w:t>&gt; 25 - ≤ 100 in.2</w:t>
            </w:r>
          </w:p>
        </w:tc>
        <w:tc>
          <w:tcPr>
            <w:tcW w:w="630" w:type="dxa"/>
            <w:vAlign w:val="bottom"/>
          </w:tcPr>
          <w:p w14:paraId="427FD973" w14:textId="77777777" w:rsidR="00190316" w:rsidRPr="003F0E84" w:rsidRDefault="00190316" w:rsidP="00F30BD7">
            <w:pPr>
              <w:jc w:val="center"/>
              <w:rPr>
                <w:sz w:val="16"/>
                <w:szCs w:val="16"/>
              </w:rPr>
            </w:pPr>
            <w:r w:rsidRPr="003F0E84">
              <w:rPr>
                <w:sz w:val="16"/>
                <w:szCs w:val="16"/>
              </w:rPr>
              <w:t>----</w:t>
            </w:r>
          </w:p>
        </w:tc>
        <w:tc>
          <w:tcPr>
            <w:tcW w:w="1890" w:type="dxa"/>
            <w:vAlign w:val="bottom"/>
          </w:tcPr>
          <w:p w14:paraId="3DC5F1BC" w14:textId="77777777" w:rsidR="00190316" w:rsidRPr="003F0E84" w:rsidRDefault="00190316" w:rsidP="00F30BD7">
            <w:pPr>
              <w:jc w:val="center"/>
              <w:rPr>
                <w:sz w:val="16"/>
                <w:szCs w:val="16"/>
              </w:rPr>
            </w:pPr>
            <w:r w:rsidRPr="003F0E84">
              <w:rPr>
                <w:sz w:val="16"/>
                <w:szCs w:val="16"/>
              </w:rPr>
              <w:t>3/16 in.</w:t>
            </w:r>
          </w:p>
        </w:tc>
      </w:tr>
      <w:tr w:rsidR="00190316" w14:paraId="59391C64" w14:textId="77777777" w:rsidTr="00F30BD7">
        <w:tc>
          <w:tcPr>
            <w:tcW w:w="1800" w:type="dxa"/>
            <w:vAlign w:val="bottom"/>
          </w:tcPr>
          <w:p w14:paraId="0273B48C" w14:textId="77777777" w:rsidR="00190316" w:rsidRPr="003F0E84" w:rsidRDefault="00190316" w:rsidP="00F30BD7">
            <w:pPr>
              <w:jc w:val="right"/>
              <w:rPr>
                <w:sz w:val="16"/>
                <w:szCs w:val="16"/>
              </w:rPr>
            </w:pPr>
            <w:r w:rsidRPr="003F0E84">
              <w:rPr>
                <w:sz w:val="16"/>
                <w:szCs w:val="16"/>
              </w:rPr>
              <w:t>&gt; 100 - ≤ 400 in.2</w:t>
            </w:r>
          </w:p>
        </w:tc>
        <w:tc>
          <w:tcPr>
            <w:tcW w:w="630" w:type="dxa"/>
            <w:vAlign w:val="bottom"/>
          </w:tcPr>
          <w:p w14:paraId="2BE203F3" w14:textId="77777777" w:rsidR="00190316" w:rsidRPr="003F0E84" w:rsidRDefault="00190316" w:rsidP="00F30BD7">
            <w:pPr>
              <w:jc w:val="center"/>
              <w:rPr>
                <w:sz w:val="16"/>
                <w:szCs w:val="16"/>
              </w:rPr>
            </w:pPr>
            <w:r w:rsidRPr="003F0E84">
              <w:rPr>
                <w:sz w:val="16"/>
                <w:szCs w:val="16"/>
              </w:rPr>
              <w:t>----</w:t>
            </w:r>
          </w:p>
        </w:tc>
        <w:tc>
          <w:tcPr>
            <w:tcW w:w="1890" w:type="dxa"/>
            <w:vAlign w:val="bottom"/>
          </w:tcPr>
          <w:p w14:paraId="18BE57C0" w14:textId="77777777" w:rsidR="00190316" w:rsidRPr="003F0E84" w:rsidRDefault="00190316" w:rsidP="00F30BD7">
            <w:pPr>
              <w:jc w:val="center"/>
              <w:rPr>
                <w:sz w:val="16"/>
                <w:szCs w:val="16"/>
              </w:rPr>
            </w:pPr>
            <w:r w:rsidRPr="003F0E84">
              <w:rPr>
                <w:sz w:val="16"/>
                <w:szCs w:val="16"/>
              </w:rPr>
              <w:t>1/4 in.</w:t>
            </w:r>
          </w:p>
        </w:tc>
      </w:tr>
      <w:tr w:rsidR="00190316" w14:paraId="55D29B03" w14:textId="77777777" w:rsidTr="00F30BD7">
        <w:tc>
          <w:tcPr>
            <w:tcW w:w="1800" w:type="dxa"/>
            <w:vAlign w:val="bottom"/>
          </w:tcPr>
          <w:p w14:paraId="7F0318A4" w14:textId="77777777" w:rsidR="00190316" w:rsidRPr="003F0E84" w:rsidRDefault="00190316" w:rsidP="00F30BD7">
            <w:pPr>
              <w:jc w:val="right"/>
              <w:rPr>
                <w:sz w:val="16"/>
                <w:szCs w:val="16"/>
              </w:rPr>
            </w:pPr>
            <w:r w:rsidRPr="003F0E84">
              <w:rPr>
                <w:sz w:val="16"/>
                <w:szCs w:val="16"/>
              </w:rPr>
              <w:t>&gt; 400 in.2</w:t>
            </w:r>
          </w:p>
        </w:tc>
        <w:tc>
          <w:tcPr>
            <w:tcW w:w="630" w:type="dxa"/>
            <w:vAlign w:val="bottom"/>
          </w:tcPr>
          <w:p w14:paraId="34D5567F" w14:textId="77777777" w:rsidR="00190316" w:rsidRPr="003F0E84" w:rsidRDefault="00190316" w:rsidP="00F30BD7">
            <w:pPr>
              <w:jc w:val="center"/>
              <w:rPr>
                <w:sz w:val="16"/>
                <w:szCs w:val="16"/>
              </w:rPr>
            </w:pPr>
            <w:r w:rsidRPr="003F0E84">
              <w:rPr>
                <w:sz w:val="16"/>
                <w:szCs w:val="16"/>
              </w:rPr>
              <w:t>----</w:t>
            </w:r>
          </w:p>
        </w:tc>
        <w:tc>
          <w:tcPr>
            <w:tcW w:w="1890" w:type="dxa"/>
            <w:vAlign w:val="bottom"/>
          </w:tcPr>
          <w:p w14:paraId="776416FB" w14:textId="77777777" w:rsidR="00190316" w:rsidRPr="003F0E84" w:rsidRDefault="00190316" w:rsidP="00F30BD7">
            <w:pPr>
              <w:jc w:val="center"/>
              <w:rPr>
                <w:sz w:val="16"/>
                <w:szCs w:val="16"/>
              </w:rPr>
            </w:pPr>
            <w:r w:rsidRPr="003F0E84">
              <w:rPr>
                <w:sz w:val="16"/>
                <w:szCs w:val="16"/>
              </w:rPr>
              <w:t>1/2 in.</w:t>
            </w:r>
          </w:p>
        </w:tc>
      </w:tr>
    </w:tbl>
    <w:p w14:paraId="0B919770" w14:textId="77777777" w:rsidR="00190316" w:rsidRPr="001531CD" w:rsidRDefault="00190316" w:rsidP="00190316">
      <w:pPr>
        <w:pStyle w:val="1"/>
      </w:pPr>
      <w:r w:rsidRPr="00154D48">
        <w:t>2.</w:t>
      </w:r>
      <w:r>
        <w:tab/>
      </w:r>
      <w:r w:rsidRPr="00154D48">
        <w:t>When pet food or specialty pet food consists of raw milk, the words, “Raw (BLANK) Milk” shall appear conspicuously on the principal display panel. “BLANK” is to be completed by using the species of animal from which the raw milk is collected</w:t>
      </w:r>
      <w:r w:rsidR="00E262CA">
        <w:t>.</w:t>
      </w:r>
    </w:p>
    <w:p w14:paraId="6B6B52E4" w14:textId="77777777" w:rsidR="003D1AE1" w:rsidRPr="001531CD" w:rsidRDefault="003D1AE1" w:rsidP="003D1AE1">
      <w:pPr>
        <w:pStyle w:val="AuthorityNote"/>
      </w:pPr>
      <w:r w:rsidRPr="001531CD">
        <w:t>AUTHORITY NOTE:</w:t>
      </w:r>
      <w:r w:rsidRPr="001531CD">
        <w:tab/>
        <w:t>Promulgated in accordance with R.S. 3:1392, 1393, and 1394.</w:t>
      </w:r>
    </w:p>
    <w:p w14:paraId="0F57DF4E" w14:textId="77777777" w:rsidR="00CF626A" w:rsidRPr="001531CD" w:rsidRDefault="00CF626A">
      <w:pPr>
        <w:pStyle w:val="HistoricalNote"/>
      </w:pPr>
      <w:r w:rsidRPr="001531CD">
        <w:t>HISTORICAL NOTE:</w:t>
      </w:r>
      <w:r w:rsidRPr="001531CD">
        <w:tab/>
        <w:t>Promulgated by the Department of Agriculture, Feed Commission, LR 11:224 (March 1985)</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51:649 (May 2025</w:t>
      </w:r>
      <w:r w:rsidR="00E262CA">
        <w:t>), repromulgated LR 51:769 (June 2025).</w:t>
      </w:r>
    </w:p>
    <w:p w14:paraId="391E6B29" w14:textId="77777777" w:rsidR="00CF626A" w:rsidRPr="001531CD" w:rsidRDefault="00CF626A">
      <w:pPr>
        <w:pStyle w:val="Section"/>
      </w:pPr>
      <w:bookmarkStart w:id="1548" w:name="_Toc256754655"/>
      <w:bookmarkStart w:id="1549" w:name="_Toc224818987"/>
      <w:r w:rsidRPr="001531CD">
        <w:t>§129.</w:t>
      </w:r>
      <w:r w:rsidRPr="001531CD">
        <w:tab/>
        <w:t>Brand and Product Names</w:t>
      </w:r>
      <w:bookmarkEnd w:id="1548"/>
      <w:bookmarkEnd w:id="1549"/>
    </w:p>
    <w:p w14:paraId="5F01C3BB" w14:textId="77777777" w:rsidR="00CF626A" w:rsidRPr="001531CD" w:rsidRDefault="00CF626A">
      <w:pPr>
        <w:pStyle w:val="A"/>
      </w:pPr>
      <w:r w:rsidRPr="001531CD">
        <w:t>A.</w:t>
      </w:r>
      <w:r w:rsidRPr="001531CD">
        <w:tab/>
        <w:t>No flavor designation shall be used on a pet food label unless the designated flavor is detectable by a recognized test method or is one the presence of which provides a characteristic distinguishable by the pet. Any flavor designation on a pet food label must either conform to the name of its source as shown in the ingredient statement or the ingredient statement shall show the source of the flavor. The word flavor shall be printed in the same size type and with an equal degree of conspicuousness as the ingredient term(s) from which the flavor designation is derived.</w:t>
      </w:r>
    </w:p>
    <w:p w14:paraId="61BED3D8" w14:textId="77777777" w:rsidR="00CF626A" w:rsidRPr="001531CD" w:rsidRDefault="00CF626A">
      <w:pPr>
        <w:pStyle w:val="1"/>
      </w:pPr>
      <w:r w:rsidRPr="001531CD">
        <w:t>1.</w:t>
      </w:r>
      <w:r w:rsidRPr="001531CD">
        <w:tab/>
        <w:t>Distributors of pet food employing such flavor designation or claims on the labels of the product distributed by them shall, upon request, supply verification of the designated or claimed flavor to the appropriate control official.</w:t>
      </w:r>
    </w:p>
    <w:p w14:paraId="70D1E96C" w14:textId="77777777" w:rsidR="00CF626A" w:rsidRPr="001531CD" w:rsidRDefault="00CF626A" w:rsidP="00AB250D">
      <w:pPr>
        <w:pStyle w:val="A"/>
        <w:spacing w:after="80"/>
      </w:pPr>
      <w:r w:rsidRPr="001531CD">
        <w:t>B.</w:t>
      </w:r>
      <w:r w:rsidRPr="001531CD">
        <w:tab/>
        <w:t xml:space="preserve">The designation </w:t>
      </w:r>
      <w:r w:rsidRPr="001531CD">
        <w:rPr>
          <w:i/>
          <w:iCs/>
        </w:rPr>
        <w:t>100 percent</w:t>
      </w:r>
      <w:r w:rsidRPr="001531CD">
        <w:t xml:space="preserve"> or </w:t>
      </w:r>
      <w:r w:rsidRPr="001531CD">
        <w:rPr>
          <w:i/>
          <w:iCs/>
        </w:rPr>
        <w:t>all</w:t>
      </w:r>
      <w:r w:rsidRPr="001531CD">
        <w:t xml:space="preserve"> or words of similar connotation shall not be used in the brand or product name of a pet food if it contains more than one ingredient. However, for the purpose of this provision, water sufficient for processing, required decharacterizing agents and trace amounts of preservatives and condiments shall not be considered ingredients.</w:t>
      </w:r>
    </w:p>
    <w:p w14:paraId="3FF4B9EA" w14:textId="77777777" w:rsidR="00CF626A" w:rsidRPr="001531CD" w:rsidRDefault="00CF626A" w:rsidP="00AB250D">
      <w:pPr>
        <w:pStyle w:val="A"/>
        <w:spacing w:after="80"/>
      </w:pPr>
      <w:r w:rsidRPr="001531CD">
        <w:t>C.</w:t>
      </w:r>
      <w:r w:rsidRPr="001531CD">
        <w:tab/>
        <w:t xml:space="preserve">The term </w:t>
      </w:r>
      <w:r w:rsidRPr="001531CD">
        <w:rPr>
          <w:i/>
          <w:iCs/>
        </w:rPr>
        <w:t>meat</w:t>
      </w:r>
      <w:r w:rsidRPr="001531CD">
        <w:t xml:space="preserve"> and </w:t>
      </w:r>
      <w:r w:rsidRPr="001531CD">
        <w:rPr>
          <w:i/>
          <w:iCs/>
        </w:rPr>
        <w:t>meat by-products</w:t>
      </w:r>
      <w:r w:rsidRPr="001531CD">
        <w:t xml:space="preserve"> shall be qualified to designate the animal from which the meat and meat by-products are derived unless the meat and meat by-products are from cattle, swine, sheep and goats. For example, </w:t>
      </w:r>
      <w:r w:rsidRPr="001531CD">
        <w:rPr>
          <w:i/>
          <w:iCs/>
        </w:rPr>
        <w:t>horse-meat</w:t>
      </w:r>
      <w:r w:rsidRPr="001531CD">
        <w:t xml:space="preserve"> and </w:t>
      </w:r>
      <w:r w:rsidRPr="001531CD">
        <w:rPr>
          <w:i/>
          <w:iCs/>
        </w:rPr>
        <w:t>horse-meat by-products</w:t>
      </w:r>
      <w:r w:rsidRPr="001531CD">
        <w:t>.</w:t>
      </w:r>
    </w:p>
    <w:p w14:paraId="2A8D0C38" w14:textId="77777777" w:rsidR="00CF626A" w:rsidRPr="001531CD" w:rsidRDefault="00CF626A" w:rsidP="00AB250D">
      <w:pPr>
        <w:pStyle w:val="A"/>
        <w:spacing w:after="80"/>
      </w:pPr>
      <w:r w:rsidRPr="001531CD">
        <w:t>D.</w:t>
      </w:r>
      <w:r w:rsidRPr="001531CD">
        <w:tab/>
        <w:t>The name of the pet food shall not be derived from one or more ingredients of a mixture of a pet food product unless all components or ingredients are included in the name except as specified by §129.A, E, or F; provided that the name of an ingredient or combination of ingredients may be used as a part of the product name if:</w:t>
      </w:r>
    </w:p>
    <w:p w14:paraId="001A7B64" w14:textId="77777777" w:rsidR="00CF626A" w:rsidRPr="001531CD" w:rsidRDefault="00CF626A" w:rsidP="00AB250D">
      <w:pPr>
        <w:pStyle w:val="1"/>
        <w:spacing w:after="80"/>
      </w:pPr>
      <w:r w:rsidRPr="001531CD">
        <w:t>1.</w:t>
      </w:r>
      <w:r w:rsidRPr="001531CD">
        <w:tab/>
        <w:t>the ingredient or combination of ingredients is present in sufficient quantity to impart a distinctive characteristic to the product or is present in amounts which have a material bearing upon the price of the product or upon acceptance of the product by the purchaser thereof; or</w:t>
      </w:r>
    </w:p>
    <w:p w14:paraId="12FC63E7" w14:textId="77777777" w:rsidR="00CF626A" w:rsidRPr="001531CD" w:rsidRDefault="00CF626A" w:rsidP="00AB250D">
      <w:pPr>
        <w:pStyle w:val="1"/>
        <w:spacing w:after="80"/>
      </w:pPr>
      <w:r w:rsidRPr="001531CD">
        <w:t>2.</w:t>
      </w:r>
      <w:r w:rsidRPr="001531CD">
        <w:tab/>
        <w:t>it does not constitute a representation that the ingredient or combination of ingredients is present to the exclusion of other ingredients; or</w:t>
      </w:r>
    </w:p>
    <w:p w14:paraId="77914DB6" w14:textId="77777777" w:rsidR="00CF626A" w:rsidRPr="001531CD" w:rsidRDefault="00CF626A" w:rsidP="00AB250D">
      <w:pPr>
        <w:pStyle w:val="1"/>
        <w:spacing w:after="80"/>
      </w:pPr>
      <w:r w:rsidRPr="001531CD">
        <w:t>3.</w:t>
      </w:r>
      <w:r w:rsidRPr="001531CD">
        <w:tab/>
        <w:t>it is not otherwise false or misleading.</w:t>
      </w:r>
    </w:p>
    <w:p w14:paraId="1C5F418D" w14:textId="77777777" w:rsidR="00CF626A" w:rsidRPr="001531CD" w:rsidRDefault="00CF626A">
      <w:pPr>
        <w:pStyle w:val="A"/>
      </w:pPr>
      <w:r w:rsidRPr="001531CD">
        <w:t>E.</w:t>
      </w:r>
      <w:r w:rsidRPr="001531CD">
        <w:tab/>
        <w:t>When an ingredient or a combination of ingredients derived from animals, poultry or fish constitutes 95 percent or more of the total weight of all ingredients of a pet food mixture, the name or names of such ingredient(s) may form a part of the product name of the pet food; provided that where more than one ingredient is part of such product name, then all such ingredient names shall be in the same size, style and color print. For the purpose of this provision, water sufficient for processing shall be excluded when calculating the percentage of the named ingredient(s). However, such named ingredient(s) shall constitute at least 70 percent of the total product.</w:t>
      </w:r>
    </w:p>
    <w:p w14:paraId="0D6282A3" w14:textId="77777777" w:rsidR="00CF626A" w:rsidRPr="001531CD" w:rsidRDefault="00CF626A">
      <w:pPr>
        <w:pStyle w:val="A"/>
      </w:pPr>
      <w:r w:rsidRPr="001531CD">
        <w:t>F.</w:t>
      </w:r>
      <w:r w:rsidRPr="001531CD">
        <w:tab/>
        <w:t xml:space="preserve">When an ingredient or a combination of ingredients derived from animals, poultry or fish constitutes at least </w:t>
      </w:r>
      <w:r w:rsidR="00054537" w:rsidRPr="001531CD">
        <w:br/>
      </w:r>
      <w:r w:rsidRPr="001531CD">
        <w:t xml:space="preserve">25 percent but less than 95 percent of the total weight of all ingredients of a pet food mixture, the name or names of such ingredient or ingredients may form a part of the product name of the pet food only if the product name also includes a primary descriptive term such as </w:t>
      </w:r>
      <w:r w:rsidRPr="001531CD">
        <w:rPr>
          <w:i/>
          <w:iCs/>
        </w:rPr>
        <w:t>meatballs</w:t>
      </w:r>
      <w:r w:rsidRPr="001531CD">
        <w:t xml:space="preserve"> or </w:t>
      </w:r>
      <w:r w:rsidRPr="001531CD">
        <w:rPr>
          <w:i/>
          <w:iCs/>
        </w:rPr>
        <w:t>fish cakes</w:t>
      </w:r>
      <w:r w:rsidRPr="001531CD">
        <w:t xml:space="preserve"> so that the product name describes the contents of the product in accordance with an established law, custom or usage or so that the product name is not misleading. All such ingredient names and the primary descriptive term shall be in the same size, style and color print. For the purpose of this provision, water sufficient for processing shall be excluded when calculating the percentage of the named ingredient(s). However, such named ingredient(s) shall constitute at least 10 percent of the total product.</w:t>
      </w:r>
    </w:p>
    <w:p w14:paraId="173A5479" w14:textId="77777777" w:rsidR="00CF626A" w:rsidRPr="001531CD" w:rsidRDefault="00CF626A">
      <w:pPr>
        <w:pStyle w:val="A"/>
      </w:pPr>
      <w:r w:rsidRPr="001531CD">
        <w:t>G.</w:t>
      </w:r>
      <w:r w:rsidRPr="001531CD">
        <w:tab/>
        <w:t>Contractions or coined names referring to ingredients shall not be used in the brand name of a pet food unless it is in compliance with §129.A, D, E, or F.</w:t>
      </w:r>
    </w:p>
    <w:p w14:paraId="33C774B5" w14:textId="77777777" w:rsidR="00CF626A" w:rsidRPr="001531CD" w:rsidRDefault="003D1AE1">
      <w:pPr>
        <w:pStyle w:val="AuthorityNote"/>
      </w:pPr>
      <w:r w:rsidRPr="001531CD">
        <w:t>AUTHORITY NOTE:</w:t>
      </w:r>
      <w:r w:rsidRPr="001531CD">
        <w:tab/>
        <w:t>Promulgated in accordance with R.S. 3:1392, 1393, and 1394.</w:t>
      </w:r>
    </w:p>
    <w:p w14:paraId="05D519ED" w14:textId="77777777" w:rsidR="00CF626A" w:rsidRPr="001531CD" w:rsidRDefault="00CF626A">
      <w:pPr>
        <w:pStyle w:val="HistoricalNote"/>
      </w:pPr>
      <w:r w:rsidRPr="001531CD">
        <w:t>HISTORICAL NOTE:</w:t>
      </w:r>
      <w:r w:rsidRPr="001531CD">
        <w:tab/>
        <w:t>Promulgated by the Department of Agriculture, Feed Commission, LR 11:225 (March 1985).</w:t>
      </w:r>
    </w:p>
    <w:p w14:paraId="5B50483A" w14:textId="77777777" w:rsidR="00CF626A" w:rsidRPr="001531CD" w:rsidRDefault="00CF626A">
      <w:pPr>
        <w:pStyle w:val="Section"/>
      </w:pPr>
      <w:bookmarkStart w:id="1550" w:name="_Toc256754656"/>
      <w:bookmarkStart w:id="1551" w:name="_Toc224818988"/>
      <w:r w:rsidRPr="001531CD">
        <w:t>§131.</w:t>
      </w:r>
      <w:r w:rsidRPr="001531CD">
        <w:tab/>
        <w:t>Expression of Guarantees</w:t>
      </w:r>
      <w:bookmarkEnd w:id="1550"/>
      <w:bookmarkEnd w:id="1551"/>
    </w:p>
    <w:p w14:paraId="31EFBC94" w14:textId="77777777" w:rsidR="00CF626A" w:rsidRPr="001531CD" w:rsidRDefault="00CF626A">
      <w:pPr>
        <w:pStyle w:val="A"/>
      </w:pPr>
      <w:r w:rsidRPr="001531CD">
        <w:t>A.</w:t>
      </w:r>
      <w:r w:rsidRPr="001531CD">
        <w:tab/>
        <w:t xml:space="preserve">The sliding scale method of expressing a guaranteed analysis (for example, </w:t>
      </w:r>
      <w:r w:rsidRPr="001531CD">
        <w:rPr>
          <w:i/>
          <w:iCs/>
        </w:rPr>
        <w:t>protein 15-18 percent</w:t>
      </w:r>
      <w:r w:rsidRPr="001531CD">
        <w:t>) is prohibited.</w:t>
      </w:r>
    </w:p>
    <w:p w14:paraId="552235A2" w14:textId="77777777" w:rsidR="00907E35" w:rsidRPr="001531CD" w:rsidRDefault="00907E35" w:rsidP="00907E35">
      <w:pPr>
        <w:pStyle w:val="A"/>
      </w:pPr>
      <w:r w:rsidRPr="001531CD">
        <w:t>B.</w:t>
      </w:r>
      <w:r w:rsidRPr="001531CD">
        <w:tab/>
        <w:t xml:space="preserve">Pursuant to R.S. 3:1394(A)(3), the label of a pet food which is formulated as and represented to be a mineral additive supplement, shall include in the guaranteed analysis the maximum and minimum percentages of calcium, the minimum percentage of phosphorus and the maximum and minimum percentages of salt. The minimum content of all other essential nutrient elements recognized by NRC from sources declared in the ingredient statement shall be expressed as the element and in units of measurement </w:t>
      </w:r>
      <w:r w:rsidRPr="001531CD">
        <w:lastRenderedPageBreak/>
        <w:t>established by a recognized authority of animal nutrition, such as the National Research Council.</w:t>
      </w:r>
    </w:p>
    <w:p w14:paraId="1C7066B7" w14:textId="77777777" w:rsidR="00CF626A" w:rsidRPr="001531CD" w:rsidRDefault="00907E35" w:rsidP="00907E35">
      <w:pPr>
        <w:pStyle w:val="A"/>
      </w:pPr>
      <w:r w:rsidRPr="001531CD">
        <w:t>C.</w:t>
      </w:r>
      <w:r w:rsidRPr="001531CD">
        <w:tab/>
        <w:t>Pursuant to R.S. 3:1394 (A)(3), the label of pet food which is formulated as and represented to be a vitamin supplement, shall include a guarantee of the minimum content of each vitamin declared in the ingredient statement. Such guarantees shall be stated in units of measurements established by a recognized authority on animal nutrition such as the National Research Council.</w:t>
      </w:r>
    </w:p>
    <w:p w14:paraId="1F212C4F" w14:textId="77777777" w:rsidR="00CF626A" w:rsidRPr="001531CD" w:rsidRDefault="00CF626A">
      <w:pPr>
        <w:pStyle w:val="A"/>
      </w:pPr>
      <w:r w:rsidRPr="001531CD">
        <w:t>D.</w:t>
      </w:r>
      <w:r w:rsidRPr="001531CD">
        <w:tab/>
        <w:t>The vitamin potency of pet food products distributed in containers smaller than one pound may be guaranteed in approved units per ounce.</w:t>
      </w:r>
    </w:p>
    <w:p w14:paraId="56ADA485" w14:textId="77777777" w:rsidR="00CF626A" w:rsidRPr="001531CD" w:rsidRDefault="00CF626A">
      <w:pPr>
        <w:pStyle w:val="A"/>
      </w:pPr>
      <w:r w:rsidRPr="001531CD">
        <w:t>E.</w:t>
      </w:r>
      <w:r w:rsidRPr="001531CD">
        <w:tab/>
        <w:t>If the label of a pet food does not represent the pet food to be either a vitamin or a mineral supplement, but does include a table of comparison of a typical analysis of the vitamin, mineral or nutrient content of the pet food with levels recommended by recognized animal nutrition authority, such comparison may be stated in the units of measurement used by the recognized authority on animal nutrition such as the National Research Council. The statement in a table of comparison of the vitamin, mineral or nutrient content shall constitute a guarantee, but need not be repeated in the guaranteed analysis. Such table of comparison may appear on the label separate and apart from the guaranteed analysis.</w:t>
      </w:r>
    </w:p>
    <w:p w14:paraId="5E8D69A4" w14:textId="77777777" w:rsidR="00CF626A" w:rsidRPr="001531CD" w:rsidRDefault="00907E35">
      <w:pPr>
        <w:pStyle w:val="AuthorityNote"/>
      </w:pPr>
      <w:r w:rsidRPr="001531CD">
        <w:t>AUTHORITY NOTE:</w:t>
      </w:r>
      <w:r w:rsidRPr="001531CD">
        <w:tab/>
        <w:t>Promulgated in accordance with R.S. 3:1392, R.S. 3:1393 and R.S. 3:1394.</w:t>
      </w:r>
    </w:p>
    <w:p w14:paraId="721AA4EC" w14:textId="77777777"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14:paraId="0335E49A" w14:textId="77777777" w:rsidR="00CF626A" w:rsidRPr="001531CD" w:rsidRDefault="00CF626A">
      <w:pPr>
        <w:pStyle w:val="Section"/>
      </w:pPr>
      <w:bookmarkStart w:id="1552" w:name="_Toc256754657"/>
      <w:bookmarkStart w:id="1553" w:name="_Toc224818989"/>
      <w:r w:rsidRPr="001531CD">
        <w:t>§133.</w:t>
      </w:r>
      <w:r w:rsidRPr="001531CD">
        <w:tab/>
        <w:t>Ingredients</w:t>
      </w:r>
      <w:bookmarkEnd w:id="1552"/>
      <w:bookmarkEnd w:id="1553"/>
    </w:p>
    <w:p w14:paraId="458FACF4" w14:textId="77777777" w:rsidR="00CF626A" w:rsidRPr="001531CD" w:rsidRDefault="00CF626A">
      <w:pPr>
        <w:pStyle w:val="A"/>
      </w:pPr>
      <w:r w:rsidRPr="001531CD">
        <w:t>A.</w:t>
      </w:r>
      <w:r w:rsidRPr="001531CD">
        <w:tab/>
        <w:t>The maximum moisture in all pet foods shall be guaranteed and shall not exceed 78 percent or the natural moisture content of the constituent ingredients of the product, whichever is greater. Pet foods such as those consisting principally of stew, gravy, sauce, broth, juice or a milk replacer which are so labeled, may contain moisture in excess of 78 percent.</w:t>
      </w:r>
    </w:p>
    <w:p w14:paraId="33EAF1A6" w14:textId="77777777" w:rsidR="00CF626A" w:rsidRPr="001531CD" w:rsidRDefault="00CF626A">
      <w:pPr>
        <w:pStyle w:val="A"/>
      </w:pPr>
      <w:r w:rsidRPr="001531CD">
        <w:t>B.</w:t>
      </w:r>
      <w:r w:rsidRPr="001531CD">
        <w:tab/>
        <w:t>Each ingredient of the pet food shall be listed in the ingredient statement, and names of all ingredients in the ingredient statement must be shown in letters or type of the same size. The failure to list the ingredients of a pet food in descending order by their predominance by weight in nonquantitative terms may be misleading. Any ingredient for which the Association of American Feed Control Officials has established a name and definition shall be identified by the name so established. Any ingredient for which no name and definition has been so established shall be identified by the common or usual name of the ingredient. Brand or trade names shall not be used in the ingredient statement.</w:t>
      </w:r>
    </w:p>
    <w:p w14:paraId="57453216" w14:textId="77777777" w:rsidR="00CF626A" w:rsidRPr="001531CD" w:rsidRDefault="00CF626A">
      <w:pPr>
        <w:pStyle w:val="A"/>
      </w:pPr>
      <w:r w:rsidRPr="001531CD">
        <w:t>C.</w:t>
      </w:r>
      <w:r w:rsidRPr="001531CD">
        <w:tab/>
        <w:t xml:space="preserve">The term </w:t>
      </w:r>
      <w:r w:rsidRPr="001531CD">
        <w:rPr>
          <w:i/>
          <w:iCs/>
        </w:rPr>
        <w:t>dehydrated</w:t>
      </w:r>
      <w:r w:rsidRPr="001531CD">
        <w:t xml:space="preserve"> may precede the name of any ingredient in the ingredient list that has been artificially dried.</w:t>
      </w:r>
    </w:p>
    <w:p w14:paraId="149F6C75" w14:textId="77777777" w:rsidR="00CF626A" w:rsidRPr="001531CD" w:rsidRDefault="00CF626A">
      <w:pPr>
        <w:pStyle w:val="A"/>
      </w:pPr>
      <w:r w:rsidRPr="001531CD">
        <w:t>D.</w:t>
      </w:r>
      <w:r w:rsidRPr="001531CD">
        <w:tab/>
        <w:t>No reference to quality or grade of an ingredient shall appear in the ingredient statement of a pet food.</w:t>
      </w:r>
    </w:p>
    <w:p w14:paraId="43107EA6" w14:textId="77777777" w:rsidR="00CF626A" w:rsidRPr="001531CD" w:rsidRDefault="00CF626A">
      <w:pPr>
        <w:pStyle w:val="A"/>
      </w:pPr>
      <w:r w:rsidRPr="001531CD">
        <w:t>E.</w:t>
      </w:r>
      <w:r w:rsidRPr="001531CD">
        <w:tab/>
        <w:t xml:space="preserve">A reference to the quality, nature, form or other attribute of an ingredient shall not be made unless such </w:t>
      </w:r>
      <w:r w:rsidRPr="001531CD">
        <w:t>designation is accurate and unless the ingredient imparts a distinctive characteristic to the pet food because it possesses that attribute.</w:t>
      </w:r>
    </w:p>
    <w:p w14:paraId="6AD77E58" w14:textId="77777777" w:rsidR="00CF626A" w:rsidRPr="001531CD" w:rsidRDefault="003D1AE1">
      <w:pPr>
        <w:pStyle w:val="AuthorityNote"/>
      </w:pPr>
      <w:r w:rsidRPr="001531CD">
        <w:t>AUTHORITY NOTE:</w:t>
      </w:r>
      <w:r w:rsidRPr="001531CD">
        <w:tab/>
        <w:t>Promulgated in accordance with R.S. 3:1392, 1393, and 1394.</w:t>
      </w:r>
    </w:p>
    <w:p w14:paraId="6816E037" w14:textId="77777777" w:rsidR="00CF626A" w:rsidRPr="001531CD" w:rsidRDefault="00CF626A">
      <w:pPr>
        <w:pStyle w:val="HistoricalNote"/>
      </w:pPr>
      <w:r w:rsidRPr="001531CD">
        <w:t>HISTORICAL NOTE:</w:t>
      </w:r>
      <w:r w:rsidRPr="001531CD">
        <w:tab/>
        <w:t>Promulgated by the Department of Agriculture, Feed Commission, LR 11:226 (March 1985).</w:t>
      </w:r>
    </w:p>
    <w:p w14:paraId="50A48DB3" w14:textId="77777777" w:rsidR="00CF626A" w:rsidRPr="001531CD" w:rsidRDefault="00CF626A">
      <w:pPr>
        <w:pStyle w:val="Section"/>
      </w:pPr>
      <w:bookmarkStart w:id="1554" w:name="_Toc256754658"/>
      <w:bookmarkStart w:id="1555" w:name="_Toc224818990"/>
      <w:r w:rsidRPr="001531CD">
        <w:t>§135.</w:t>
      </w:r>
      <w:r w:rsidRPr="001531CD">
        <w:tab/>
        <w:t>Drugs and Pet Food Additives</w:t>
      </w:r>
      <w:bookmarkEnd w:id="1554"/>
      <w:bookmarkEnd w:id="1555"/>
    </w:p>
    <w:p w14:paraId="53DCDF32" w14:textId="77777777" w:rsidR="00CF626A" w:rsidRPr="001531CD" w:rsidRDefault="00CF626A" w:rsidP="00AB250D">
      <w:pPr>
        <w:pStyle w:val="A"/>
        <w:spacing w:after="60"/>
      </w:pPr>
      <w:r w:rsidRPr="001531CD">
        <w:t>A.</w:t>
      </w:r>
      <w:r w:rsidRPr="001531CD">
        <w:tab/>
        <w:t>An artificial color may be used in a pet food only if it has been shown to be harmless to pets. The permanent or provisional listing of an artificial color in the United States Food and Drug Regulations as safe for use, together with the conditions, limitations and tolerance, if any, incorporated therein, shall be deemed to be satisfactory evidence that the color is, when used pursuant to such regulations, harmless to pets.</w:t>
      </w:r>
    </w:p>
    <w:p w14:paraId="5B6B72D4" w14:textId="77777777" w:rsidR="00CF626A" w:rsidRPr="001531CD" w:rsidRDefault="00CF626A" w:rsidP="00AB250D">
      <w:pPr>
        <w:pStyle w:val="A"/>
        <w:spacing w:after="60"/>
      </w:pPr>
      <w:r w:rsidRPr="001531CD">
        <w:t>B.</w:t>
      </w:r>
      <w:r w:rsidRPr="001531CD">
        <w:tab/>
        <w:t>Prior to approval of a registration application and/or approval of a label for pet food, which contains additives, (including drugs, other special purpose additives, or non-nutritive additives) the distributor may be required to submit evidence to prove the safety and efficacy of the pet food, when used according to directions furnished on the label. Satisfactory evidence of the safety and efficacy of a pet food may be:</w:t>
      </w:r>
    </w:p>
    <w:p w14:paraId="44211DE9" w14:textId="77777777" w:rsidR="00CF626A" w:rsidRPr="001531CD" w:rsidRDefault="00CF626A" w:rsidP="00AB250D">
      <w:pPr>
        <w:pStyle w:val="1"/>
        <w:spacing w:after="60"/>
      </w:pPr>
      <w:r w:rsidRPr="001531CD">
        <w:t>1.</w:t>
      </w:r>
      <w:r w:rsidRPr="001531CD">
        <w:tab/>
        <w:t xml:space="preserve">when the pet food contains such additives, the use of which conforms to the requirements of the applicable regulation in the </w:t>
      </w:r>
      <w:r w:rsidRPr="001531CD">
        <w:rPr>
          <w:i/>
          <w:iCs/>
        </w:rPr>
        <w:t>Code of Federal Regulations</w:t>
      </w:r>
      <w:r w:rsidRPr="001531CD">
        <w:t xml:space="preserve">, Title 21, or which are </w:t>
      </w:r>
      <w:r w:rsidRPr="001531CD">
        <w:rPr>
          <w:i/>
          <w:iCs/>
        </w:rPr>
        <w:t>prior sanctioned</w:t>
      </w:r>
      <w:r w:rsidRPr="001531CD">
        <w:t xml:space="preserve"> or </w:t>
      </w:r>
      <w:r w:rsidRPr="001531CD">
        <w:rPr>
          <w:i/>
          <w:iCs/>
        </w:rPr>
        <w:t>generally recognized as safe</w:t>
      </w:r>
      <w:r w:rsidRPr="001531CD">
        <w:t xml:space="preserve"> for such use; or</w:t>
      </w:r>
    </w:p>
    <w:p w14:paraId="458546E4" w14:textId="77777777" w:rsidR="00CF626A" w:rsidRPr="001531CD" w:rsidRDefault="00907E35" w:rsidP="00AB250D">
      <w:pPr>
        <w:pStyle w:val="1"/>
        <w:spacing w:after="60"/>
      </w:pPr>
      <w:r w:rsidRPr="001531CD">
        <w:t>2.</w:t>
      </w:r>
      <w:r w:rsidRPr="001531CD">
        <w:tab/>
        <w:t>when the pet food itself is a drug as defined in R.S. 3:1391(3) and is generally recognized as safe and effective for label use or is marketed subject to an application approved by the Food and Drug Administration under Title 21, U.S.C. 360(b).</w:t>
      </w:r>
    </w:p>
    <w:p w14:paraId="24FD6B1A" w14:textId="77777777" w:rsidR="00CF626A" w:rsidRPr="001531CD" w:rsidRDefault="00CF626A" w:rsidP="00AB250D">
      <w:pPr>
        <w:pStyle w:val="A"/>
        <w:spacing w:after="80"/>
      </w:pPr>
      <w:r w:rsidRPr="001531CD">
        <w:t>C.</w:t>
      </w:r>
      <w:r w:rsidRPr="001531CD">
        <w:tab/>
        <w:t>The medicated labeling format recommended by Association of American Feed Control Officials shall be used to assure that adequate labeling is provided.</w:t>
      </w:r>
    </w:p>
    <w:p w14:paraId="290288DB" w14:textId="77777777" w:rsidR="00CF626A" w:rsidRPr="001531CD" w:rsidRDefault="00907E35">
      <w:pPr>
        <w:pStyle w:val="AuthorityNote"/>
      </w:pPr>
      <w:r w:rsidRPr="001531CD">
        <w:t>AUTHORITY NOTE:</w:t>
      </w:r>
      <w:r w:rsidRPr="001531CD">
        <w:tab/>
        <w:t>Promulgated in accordance with R.S. 3:1392 and R.S. 3:1394.</w:t>
      </w:r>
    </w:p>
    <w:p w14:paraId="61490D2D" w14:textId="77777777" w:rsidR="00CF626A"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14:paraId="4A8B6C76" w14:textId="77777777" w:rsidR="00190316" w:rsidRPr="00154D48" w:rsidRDefault="00190316" w:rsidP="00190316">
      <w:pPr>
        <w:pStyle w:val="Section"/>
      </w:pPr>
      <w:bookmarkStart w:id="1556" w:name="_Toc224818991"/>
      <w:r w:rsidRPr="00154D48">
        <w:t>§136.</w:t>
      </w:r>
      <w:r w:rsidRPr="00154D48">
        <w:tab/>
        <w:t>Adulterants in Pet Food</w:t>
      </w:r>
      <w:bookmarkEnd w:id="1556"/>
    </w:p>
    <w:p w14:paraId="61CCC108" w14:textId="77777777" w:rsidR="00190316" w:rsidRPr="00154D48" w:rsidRDefault="00190316" w:rsidP="00190316">
      <w:pPr>
        <w:pStyle w:val="A"/>
      </w:pPr>
      <w:r w:rsidRPr="00154D48">
        <w:t>A.</w:t>
      </w:r>
      <w:r w:rsidRPr="00154D48">
        <w:tab/>
        <w:t xml:space="preserve">For the purpose of R.S. 3:1396(1), the terms poisonous or deleterious substances include but are not limited to the following: </w:t>
      </w:r>
    </w:p>
    <w:p w14:paraId="07164BC4" w14:textId="77777777" w:rsidR="00190316" w:rsidRPr="00154D48" w:rsidRDefault="00190316" w:rsidP="00190316">
      <w:pPr>
        <w:pStyle w:val="1"/>
      </w:pPr>
      <w:r w:rsidRPr="00154D48">
        <w:t>1.</w:t>
      </w:r>
      <w:r w:rsidRPr="00154D48">
        <w:tab/>
        <w:t xml:space="preserve">soybean meal, flakes or pellets or other vegetable meals, flakes or pellets, which have been extracted with trichlorethylene or other chlorinated solvents; </w:t>
      </w:r>
    </w:p>
    <w:p w14:paraId="7D655B57" w14:textId="77777777" w:rsidR="00190316" w:rsidRPr="00154D48" w:rsidRDefault="00190316" w:rsidP="00190316">
      <w:pPr>
        <w:pStyle w:val="1"/>
      </w:pPr>
      <w:r w:rsidRPr="00154D48">
        <w:t>2.</w:t>
      </w:r>
      <w:r w:rsidRPr="00154D48">
        <w:tab/>
        <w:t>sulfur dioxide, sulfurous acid, and salts of sulfurous acid when used in or on pet food or pet food ingredients which are considered or reported to be a significant source of vitamin B1 (Thiamine);</w:t>
      </w:r>
    </w:p>
    <w:p w14:paraId="346E2133" w14:textId="77777777" w:rsidR="00190316" w:rsidRPr="00154D48" w:rsidRDefault="00190316" w:rsidP="00190316">
      <w:pPr>
        <w:pStyle w:val="1"/>
      </w:pPr>
      <w:r w:rsidRPr="00154D48">
        <w:lastRenderedPageBreak/>
        <w:t>3.</w:t>
      </w:r>
      <w:r w:rsidRPr="00154D48">
        <w:tab/>
        <w:t>any new animal drug which is unsafe within the meaning of Section 512 of the Federal Food, Drug and Cosmetic Act.</w:t>
      </w:r>
    </w:p>
    <w:p w14:paraId="7FFC8075" w14:textId="77777777" w:rsidR="00190316" w:rsidRPr="00154D48" w:rsidRDefault="00190316" w:rsidP="00190316">
      <w:pPr>
        <w:pStyle w:val="1"/>
      </w:pPr>
      <w:r w:rsidRPr="00154D48">
        <w:t>4.</w:t>
      </w:r>
      <w:r w:rsidRPr="00154D48">
        <w:tab/>
        <w:t>any filthy, putrid, or decomposed substance, causing the material to be unfit for pet food.</w:t>
      </w:r>
    </w:p>
    <w:p w14:paraId="14D90E07" w14:textId="77777777" w:rsidR="00190316" w:rsidRPr="00154D48" w:rsidRDefault="00190316" w:rsidP="00190316">
      <w:pPr>
        <w:pStyle w:val="A"/>
      </w:pPr>
      <w:r>
        <w:t>B.</w:t>
      </w:r>
      <w:r>
        <w:tab/>
      </w:r>
      <w:r w:rsidRPr="00154D48">
        <w:t>Pet Food may be considered adulterated if:</w:t>
      </w:r>
    </w:p>
    <w:p w14:paraId="65FBF064" w14:textId="77777777" w:rsidR="00190316" w:rsidRPr="00154D48" w:rsidRDefault="00190316" w:rsidP="00190316">
      <w:pPr>
        <w:pStyle w:val="1"/>
      </w:pPr>
      <w:r w:rsidRPr="00154D48">
        <w:t>1.</w:t>
      </w:r>
      <w:r w:rsidRPr="00154D48">
        <w:tab/>
        <w:t xml:space="preserve">the manufacture, processing, packaging, distribution, or use does not comply with the requirements of Title 21, Code of Federal Regulations, Part 507, Subparts A, B, C, E, and F where applicable; or </w:t>
      </w:r>
    </w:p>
    <w:p w14:paraId="0D4221F8" w14:textId="77777777" w:rsidR="00190316" w:rsidRPr="00154D48" w:rsidRDefault="00190316" w:rsidP="00190316">
      <w:pPr>
        <w:pStyle w:val="1"/>
      </w:pPr>
      <w:r w:rsidRPr="00154D48">
        <w:t>2.</w:t>
      </w:r>
      <w:r w:rsidRPr="00154D48">
        <w:tab/>
        <w:t>it is, in whole or in part, the product of a diseased animal or of an animal or of an animal which has died otherwise than by slaughter which is unsafe within the meaning of Section 402(a)(1) or (2) of the Federal Food, Drug, and Cosmetic Act.</w:t>
      </w:r>
    </w:p>
    <w:p w14:paraId="3D1DE150" w14:textId="77777777" w:rsidR="00190316" w:rsidRPr="00154D48" w:rsidRDefault="00190316" w:rsidP="00190316">
      <w:pPr>
        <w:pStyle w:val="A"/>
      </w:pPr>
      <w:r w:rsidRPr="00154D48">
        <w:t>C.</w:t>
      </w:r>
      <w:r w:rsidRPr="00154D48">
        <w:tab/>
        <w:t>All screenings or by-products of grains and seeds containing weed seeds, when used in commercial feed or sold as such to the ultimate consumer, shall be ground fine enough or otherwise treated to destroy the viability of such weed seeds so that the finished product contains no more than four viable prohibited weed seeds per pound and not more than 200 viable restricted weed seeds per pound.</w:t>
      </w:r>
    </w:p>
    <w:p w14:paraId="3E599912" w14:textId="77777777" w:rsidR="00190316" w:rsidRPr="00154D48" w:rsidRDefault="00190316" w:rsidP="00190316">
      <w:pPr>
        <w:pStyle w:val="AuthorityNote"/>
      </w:pPr>
      <w:r w:rsidRPr="00154D48">
        <w:t>AUTHORITY NOTE:</w:t>
      </w:r>
      <w:r w:rsidRPr="00154D48">
        <w:tab/>
        <w:t>Promulgated in accordance with R.S. 3:1392 and 1396.</w:t>
      </w:r>
    </w:p>
    <w:p w14:paraId="0E522DAB" w14:textId="77777777" w:rsidR="00190316" w:rsidRDefault="00190316" w:rsidP="00190316">
      <w:pPr>
        <w:pStyle w:val="HistoricalNote"/>
      </w:pPr>
      <w:r w:rsidRPr="00A07201">
        <w:t>HISTORICAL NOTE:</w:t>
      </w:r>
      <w:r w:rsidRPr="00A07201">
        <w:tab/>
        <w:t xml:space="preserve">Promulgated by the Department of Agriculture and Forestry, Office of Animal Health and Food Safety and Agricultural Chemistry and Seed Commission, </w:t>
      </w:r>
      <w:r>
        <w:t>LR 51:649 (May 2025).</w:t>
      </w:r>
    </w:p>
    <w:p w14:paraId="01AEC2B4" w14:textId="77777777" w:rsidR="00190316" w:rsidRPr="00154D48" w:rsidRDefault="00190316" w:rsidP="00190316">
      <w:pPr>
        <w:pStyle w:val="Section"/>
      </w:pPr>
      <w:bookmarkStart w:id="1557" w:name="_Toc224818992"/>
      <w:r w:rsidRPr="00154D48">
        <w:t>§137.</w:t>
      </w:r>
      <w:r w:rsidRPr="00154D48">
        <w:tab/>
        <w:t>Fees for Pet Food</w:t>
      </w:r>
      <w:bookmarkEnd w:id="1557"/>
    </w:p>
    <w:p w14:paraId="2870351B" w14:textId="77777777" w:rsidR="00190316" w:rsidRPr="00154D48" w:rsidRDefault="00190316" w:rsidP="00190316">
      <w:pPr>
        <w:pStyle w:val="A"/>
      </w:pPr>
      <w:r w:rsidRPr="00154D48">
        <w:t>A.</w:t>
      </w:r>
      <w:r w:rsidRPr="00154D48">
        <w:tab/>
        <w:t>Each application for registration of pet food with the commission shall be accompanied by a registration fee of $40.</w:t>
      </w:r>
    </w:p>
    <w:p w14:paraId="73B20BBF" w14:textId="77777777" w:rsidR="00190316" w:rsidRPr="00154D48" w:rsidRDefault="00190316" w:rsidP="00190316">
      <w:pPr>
        <w:pStyle w:val="A"/>
      </w:pPr>
      <w:r w:rsidRPr="00154D48">
        <w:t>B.</w:t>
      </w:r>
      <w:r w:rsidRPr="00154D48">
        <w:tab/>
        <w:t>Each registrant filing a label for pet food with the commission shall pay to the commission a labeling fee of $10 per label.</w:t>
      </w:r>
    </w:p>
    <w:p w14:paraId="1079A569" w14:textId="77777777" w:rsidR="00190316" w:rsidRPr="00154D48" w:rsidRDefault="00190316" w:rsidP="00190316">
      <w:pPr>
        <w:pStyle w:val="A"/>
      </w:pPr>
      <w:r w:rsidRPr="00154D48">
        <w:t>C.</w:t>
      </w:r>
      <w:r w:rsidRPr="00154D48">
        <w:tab/>
        <w:t>Registration shall expire on the last day of June of each year. An additional $50 late fee will be charged for renewal registrations filed after the last day of June. A late fee will not be charged on initial registrations or registrations of new products filed after the last day of June.</w:t>
      </w:r>
    </w:p>
    <w:p w14:paraId="25CB6CE9" w14:textId="77777777" w:rsidR="00190316" w:rsidRPr="00154D48" w:rsidRDefault="00190316" w:rsidP="00190316">
      <w:pPr>
        <w:pStyle w:val="A"/>
      </w:pPr>
      <w:r w:rsidRPr="00154D48">
        <w:t>D.</w:t>
      </w:r>
      <w:r w:rsidRPr="00154D48">
        <w:tab/>
        <w:t xml:space="preserve">If a registrant had no sales in a given quarter, he must still file a tonnage report and pay a minimum tonnage fee of $10 for that quarter. A registrant shall keep all records necessary to accurately indicate the tonnage and kind of pet food sold and shall permit the commissioner or his authorized representative to examine these records and to verify the statement of tonnage. Tonnage reports shall be made on forms supplied by the commissioner and suitable for providing the necessary tonnage and statistical information. The tonnage reports and inspection fees shall be due and payable on the first day of October, the first day of January, the first day of April and the first day of July. If the report is not filed and payment made within 30 days after the date due, a penalty of 25 percent of the amount due shall be assessed against the registrant. If payment is not made within 30 days after the due date, the amount of fees due, plus the penalty, shall constitute </w:t>
      </w:r>
      <w:r w:rsidRPr="00154D48">
        <w:t>a debt and become the basis of a judgment against the registrant. All information as to the amount of pet food sold and business practices of the registrant obtained from tonnage reports or from inspection of records and books shall remain confidential and shall not be revealed by the commissioner or his employees to the public or to any other person.</w:t>
      </w:r>
    </w:p>
    <w:p w14:paraId="081DF03A" w14:textId="77777777" w:rsidR="00190316" w:rsidRPr="00154D48" w:rsidRDefault="00190316" w:rsidP="00190316">
      <w:pPr>
        <w:pStyle w:val="A"/>
      </w:pPr>
      <w:r w:rsidRPr="00154D48">
        <w:t>E.</w:t>
      </w:r>
      <w:r w:rsidRPr="00154D48">
        <w:tab/>
        <w:t>The inspection fee shall be collected only once on each lot of ingredients. To achieve this end, the following provisions shall apply.</w:t>
      </w:r>
    </w:p>
    <w:p w14:paraId="7F95A2C7" w14:textId="77777777" w:rsidR="00190316" w:rsidRPr="00154D48" w:rsidRDefault="00190316" w:rsidP="00190316">
      <w:pPr>
        <w:pStyle w:val="1"/>
      </w:pPr>
      <w:r w:rsidRPr="00154D48">
        <w:t>1.</w:t>
      </w:r>
      <w:r w:rsidRPr="00154D48">
        <w:tab/>
        <w:t>No fee shall be paid on a pet food if a previous manufacturer has paid the fee.</w:t>
      </w:r>
    </w:p>
    <w:p w14:paraId="2A92B7F6" w14:textId="77777777" w:rsidR="00190316" w:rsidRPr="00154D48" w:rsidRDefault="00190316" w:rsidP="00190316">
      <w:pPr>
        <w:pStyle w:val="1"/>
      </w:pPr>
      <w:r w:rsidRPr="00154D48">
        <w:t>2.</w:t>
      </w:r>
      <w:r w:rsidRPr="00154D48">
        <w:tab/>
        <w:t>No fee shall be paid on customer-formula pet food if the inspection fee has been paid on the pet food, which are used as ingredients therein.</w:t>
      </w:r>
    </w:p>
    <w:p w14:paraId="59A82205" w14:textId="77777777" w:rsidR="00907E35" w:rsidRPr="001531CD" w:rsidRDefault="00190316" w:rsidP="00190316">
      <w:pPr>
        <w:pStyle w:val="1"/>
      </w:pPr>
      <w:r w:rsidRPr="00154D48">
        <w:t>3.</w:t>
      </w:r>
      <w:r w:rsidRPr="00154D48">
        <w:tab/>
        <w:t>No fee shall be paid on pet food, which are used as ingredients for the manufacture of registered commercial feeds. If the fee has already been paid, credit shall be given for that payment.</w:t>
      </w:r>
    </w:p>
    <w:p w14:paraId="222E08DD" w14:textId="77777777" w:rsidR="00CF626A" w:rsidRPr="001531CD" w:rsidRDefault="00907E35" w:rsidP="00907E35">
      <w:pPr>
        <w:pStyle w:val="AuthorityNote"/>
      </w:pPr>
      <w:r w:rsidRPr="001531CD">
        <w:t>AUTHORITY NOTE:</w:t>
      </w:r>
      <w:r w:rsidRPr="001531CD">
        <w:tab/>
        <w:t>Promulgated in accordance with R.S. 3:1392 and R.S. 3:1401.</w:t>
      </w:r>
    </w:p>
    <w:p w14:paraId="5B16C11A" w14:textId="77777777"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w:t>
      </w:r>
      <w:r w:rsidR="00190316" w:rsidRPr="00154D48">
        <w:t xml:space="preserve">Agricultural Chemistry and Seed Commission, </w:t>
      </w:r>
      <w:r w:rsidR="00190316">
        <w:t>LR 51:649 (May 2025).</w:t>
      </w:r>
    </w:p>
    <w:p w14:paraId="12FAF2D7" w14:textId="77777777" w:rsidR="00190316" w:rsidRPr="00154D48" w:rsidRDefault="00CF626A" w:rsidP="00190316">
      <w:pPr>
        <w:pStyle w:val="Section"/>
      </w:pPr>
      <w:bookmarkStart w:id="1558" w:name="_Toc256754660"/>
      <w:bookmarkStart w:id="1559" w:name="_Toc224818993"/>
      <w:r w:rsidRPr="001531CD">
        <w:t>§139.</w:t>
      </w:r>
      <w:r w:rsidRPr="001531CD">
        <w:tab/>
      </w:r>
      <w:bookmarkEnd w:id="1558"/>
      <w:r w:rsidR="00190316" w:rsidRPr="00154D48">
        <w:t>Deficiency Assessments and Penalties for Pet Food</w:t>
      </w:r>
      <w:bookmarkEnd w:id="1559"/>
    </w:p>
    <w:p w14:paraId="4042E744" w14:textId="77777777" w:rsidR="00190316" w:rsidRPr="00154D48" w:rsidRDefault="00190316" w:rsidP="00190316">
      <w:pPr>
        <w:pStyle w:val="A"/>
      </w:pPr>
      <w:r>
        <w:t>A.</w:t>
      </w:r>
      <w:r>
        <w:tab/>
      </w:r>
      <w:r w:rsidRPr="00154D48">
        <w:t>For the purpose of assessing penalties for protein deficiencies in pet foods, as provided for in R.S. 3:1400(A)(1), the value of crude protein will be updated each quarter.</w:t>
      </w:r>
    </w:p>
    <w:p w14:paraId="61AEE847" w14:textId="77777777" w:rsidR="00190316" w:rsidRPr="00154D48" w:rsidRDefault="00190316" w:rsidP="00190316">
      <w:pPr>
        <w:pStyle w:val="A"/>
      </w:pPr>
      <w:r w:rsidRPr="00154D48">
        <w:t>B.</w:t>
      </w:r>
      <w:r w:rsidRPr="00154D48">
        <w:tab/>
        <w:t>The value of crude protein in pet food will be calculated as follows.</w:t>
      </w:r>
    </w:p>
    <w:p w14:paraId="0E11DE10" w14:textId="77777777" w:rsidR="00190316" w:rsidRPr="00154D48" w:rsidRDefault="00190316" w:rsidP="00190316">
      <w:pPr>
        <w:pStyle w:val="1"/>
      </w:pPr>
      <w:r w:rsidRPr="00154D48">
        <w:t>1.</w:t>
      </w:r>
      <w:r w:rsidRPr="00154D48">
        <w:tab/>
        <w:t>The quarterly average price of four feedstuff protein sources shall be used.</w:t>
      </w:r>
      <w:r>
        <w:t xml:space="preserve"> </w:t>
      </w:r>
      <w:r w:rsidRPr="00154D48">
        <w:t>These are 46.5-48 percent soybean meal, 41 percent cottonseed meal, 60 percent corn gluten meal, and 46-50 percent meat and bone meal from ruminant and porcine sources.</w:t>
      </w:r>
      <w:r>
        <w:t xml:space="preserve"> </w:t>
      </w:r>
      <w:r w:rsidRPr="00154D48">
        <w:t>The average price will be determined using the Monthly National Grain and Oilseed Processor Feedstuff Report and the Monthly National Animal By-Product Feedstuff Report, published by the United States Department of Agriculture, Agriculture Market Service, AMS Livestock, Poultry and Grain Market News.</w:t>
      </w:r>
      <w:r>
        <w:t xml:space="preserve"> </w:t>
      </w:r>
      <w:r w:rsidRPr="00154D48">
        <w:t>The average value for each month of the preceding quarter will be used for calculation purposes.</w:t>
      </w:r>
    </w:p>
    <w:p w14:paraId="5E80BF5D" w14:textId="77777777" w:rsidR="00190316" w:rsidRPr="00154D48" w:rsidRDefault="00190316" w:rsidP="00190316">
      <w:pPr>
        <w:pStyle w:val="A"/>
      </w:pPr>
      <w:r w:rsidRPr="00154D48">
        <w:t>C.</w:t>
      </w:r>
      <w:r w:rsidRPr="00154D48">
        <w:tab/>
        <w:t>For all other guarantees, a deficiency assessment of ten percent of the retail purchase price of the pet food if the deficiency or excess, where applicable, is greater than ten percent of the guarantee.</w:t>
      </w:r>
    </w:p>
    <w:p w14:paraId="0C3A2B6E" w14:textId="77777777" w:rsidR="00907E35" w:rsidRPr="00190316" w:rsidRDefault="00190316" w:rsidP="00190316">
      <w:pPr>
        <w:pStyle w:val="A"/>
      </w:pPr>
      <w:r w:rsidRPr="00190316">
        <w:t>D.</w:t>
      </w:r>
      <w:r w:rsidRPr="00190316">
        <w:tab/>
        <w:t xml:space="preserve">Penalties shall be assessed as provided for in R.S. 3:1400. If an official sample shows that pet food ingredients bought by a pet food manufacturer is deficient, any penalties </w:t>
      </w:r>
      <w:r w:rsidRPr="00190316">
        <w:lastRenderedPageBreak/>
        <w:t>from this deficiency shall be paid by the supplier of the ingredients to the manufacturer that bought the ingredients</w:t>
      </w:r>
      <w:r w:rsidR="00907E35" w:rsidRPr="00190316">
        <w:t>.</w:t>
      </w:r>
    </w:p>
    <w:p w14:paraId="2EA0C9DE" w14:textId="77777777" w:rsidR="00CF626A" w:rsidRPr="001531CD" w:rsidRDefault="00907E35" w:rsidP="00907E35">
      <w:pPr>
        <w:pStyle w:val="AuthorityNote"/>
      </w:pPr>
      <w:r w:rsidRPr="001531CD">
        <w:t>AUTHORITY NOTE:</w:t>
      </w:r>
      <w:r w:rsidRPr="001531CD">
        <w:tab/>
        <w:t>Promulgated in accordance with R.S. 3:1392 and R.S. 3:1400.</w:t>
      </w:r>
    </w:p>
    <w:p w14:paraId="696D183F" w14:textId="77777777" w:rsidR="00CF626A" w:rsidRPr="001531CD" w:rsidRDefault="00CF626A">
      <w:pPr>
        <w:pStyle w:val="HistoricalNote"/>
      </w:pPr>
      <w:r w:rsidRPr="001531CD">
        <w:t>HISTORICAL NOTE:</w:t>
      </w:r>
      <w:r w:rsidRPr="001531CD">
        <w:tab/>
        <w:t>Promulgated by the Department of Agriculture, Feed Commission, L</w:t>
      </w:r>
      <w:r w:rsidR="00907E35" w:rsidRPr="001531CD">
        <w:t>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51:650 (May 2025)</w:t>
      </w:r>
      <w:r w:rsidR="00907E35" w:rsidRPr="001531CD">
        <w:t>.</w:t>
      </w:r>
    </w:p>
    <w:p w14:paraId="1948177C" w14:textId="77777777" w:rsidR="00CF626A" w:rsidRPr="001531CD" w:rsidRDefault="00CF626A" w:rsidP="00AB250D">
      <w:pPr>
        <w:pStyle w:val="Chapter"/>
        <w:spacing w:after="60"/>
      </w:pPr>
      <w:bookmarkStart w:id="1560" w:name="TOC_SubC123"/>
      <w:bookmarkStart w:id="1561" w:name="_Toc256754661"/>
      <w:bookmarkStart w:id="1562" w:name="_Toc224818994"/>
      <w:r w:rsidRPr="001531CD">
        <w:t>Subchapter C.</w:t>
      </w:r>
      <w:bookmarkEnd w:id="1560"/>
      <w:r w:rsidR="00167E2E">
        <w:tab/>
      </w:r>
      <w:bookmarkStart w:id="1563" w:name="TOCT_SubC123"/>
      <w:r w:rsidRPr="001531CD">
        <w:t>Processed Animal Waste Products as Animal Feed Ingredients</w:t>
      </w:r>
      <w:bookmarkEnd w:id="1561"/>
      <w:bookmarkEnd w:id="1562"/>
      <w:bookmarkEnd w:id="1563"/>
    </w:p>
    <w:p w14:paraId="7DB9A76A" w14:textId="77777777" w:rsidR="00CF626A" w:rsidRPr="001531CD" w:rsidRDefault="00CF626A" w:rsidP="00AB250D">
      <w:pPr>
        <w:pStyle w:val="Section"/>
        <w:spacing w:after="80"/>
      </w:pPr>
      <w:bookmarkStart w:id="1564" w:name="_Toc256754662"/>
      <w:bookmarkStart w:id="1565" w:name="_Toc224818995"/>
      <w:r w:rsidRPr="001531CD">
        <w:t>§141.</w:t>
      </w:r>
      <w:r w:rsidRPr="001531CD">
        <w:tab/>
        <w:t>Definitions and Quality Standards</w:t>
      </w:r>
      <w:bookmarkEnd w:id="1564"/>
      <w:bookmarkEnd w:id="1565"/>
    </w:p>
    <w:p w14:paraId="565896A0" w14:textId="77777777" w:rsidR="00CF626A" w:rsidRPr="001531CD" w:rsidRDefault="00907E35" w:rsidP="00AB250D">
      <w:pPr>
        <w:pStyle w:val="A"/>
        <w:spacing w:after="60"/>
      </w:pPr>
      <w:r w:rsidRPr="001531CD">
        <w:t>A.</w:t>
      </w:r>
      <w:r w:rsidRPr="001531CD">
        <w:tab/>
      </w:r>
      <w:r w:rsidR="00190316" w:rsidRPr="00154D48">
        <w:t>The commission adopts the definitions of R.S. 3:1381 and 1391 and those that appear in §101.F this Chapter.</w:t>
      </w:r>
    </w:p>
    <w:p w14:paraId="1F97618D" w14:textId="77777777" w:rsidR="00CF626A" w:rsidRPr="001531CD" w:rsidRDefault="00CF626A">
      <w:pPr>
        <w:pStyle w:val="A"/>
      </w:pPr>
      <w:r w:rsidRPr="001531CD">
        <w:t>B.</w:t>
      </w:r>
      <w:r w:rsidRPr="001531CD">
        <w:tab/>
        <w:t xml:space="preserve">The commission adopts the definitions and quality standards for recycled animal waste products as printed in Section 74 of the </w:t>
      </w:r>
      <w:r w:rsidRPr="001531CD">
        <w:rPr>
          <w:i/>
          <w:iCs/>
        </w:rPr>
        <w:t>Official Publication of the Association of American Feed Control Officials</w:t>
      </w:r>
      <w:r w:rsidRPr="001531CD">
        <w:t>.</w:t>
      </w:r>
    </w:p>
    <w:p w14:paraId="0D862782" w14:textId="77777777" w:rsidR="00CF626A" w:rsidRPr="001531CD" w:rsidRDefault="00907E35">
      <w:pPr>
        <w:pStyle w:val="AuthorityNote"/>
      </w:pPr>
      <w:r w:rsidRPr="001531CD">
        <w:t>AUTHORITY NOTE:</w:t>
      </w:r>
      <w:r w:rsidRPr="001531CD">
        <w:tab/>
        <w:t>Promulgated in accordance with R.S. 3:1392.</w:t>
      </w:r>
    </w:p>
    <w:p w14:paraId="6EA64C10" w14:textId="77777777"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51:650 (May 2025)</w:t>
      </w:r>
      <w:r w:rsidR="00907E35" w:rsidRPr="001531CD">
        <w:t>.</w:t>
      </w:r>
    </w:p>
    <w:p w14:paraId="7CC0F799" w14:textId="77777777" w:rsidR="00CF626A" w:rsidRPr="001531CD" w:rsidRDefault="00CF626A">
      <w:pPr>
        <w:pStyle w:val="Section"/>
      </w:pPr>
      <w:bookmarkStart w:id="1566" w:name="_Toc256754663"/>
      <w:bookmarkStart w:id="1567" w:name="_Toc224818996"/>
      <w:r w:rsidRPr="001531CD">
        <w:t>§143.</w:t>
      </w:r>
      <w:r w:rsidRPr="001531CD">
        <w:tab/>
        <w:t>Registration Required</w:t>
      </w:r>
      <w:bookmarkEnd w:id="1566"/>
      <w:bookmarkEnd w:id="1567"/>
    </w:p>
    <w:p w14:paraId="11E7971B" w14:textId="77777777" w:rsidR="00907E35" w:rsidRPr="001531CD" w:rsidRDefault="00907E35" w:rsidP="00907E35">
      <w:pPr>
        <w:pStyle w:val="A"/>
      </w:pPr>
      <w:r w:rsidRPr="001531CD">
        <w:t>A.</w:t>
      </w:r>
      <w:r w:rsidRPr="001531CD">
        <w:tab/>
        <w:t>No person shall sell, offer or expose for sale or distribute, in this state, any processed animal waste product intended, promoted, represented, advertised or distributed for use as a commercial feed unless he has registered with the commissioner, as specified in R.S. 3:1393.</w:t>
      </w:r>
    </w:p>
    <w:p w14:paraId="7C9C9749" w14:textId="77777777" w:rsidR="00CF626A" w:rsidRPr="001531CD" w:rsidRDefault="00907E35" w:rsidP="00907E35">
      <w:pPr>
        <w:pStyle w:val="A"/>
      </w:pPr>
      <w:r w:rsidRPr="001531CD">
        <w:t>B.</w:t>
      </w:r>
      <w:r w:rsidRPr="001531CD">
        <w:tab/>
        <w:t>Application for registration shall be made to the commission on forms provided by the commissioner and shall be accompanied by payment of the registration fees as set forth in §121 of the official feed rules and regulations adopted by the commission.</w:t>
      </w:r>
    </w:p>
    <w:p w14:paraId="1E64B95E" w14:textId="77777777" w:rsidR="00CF626A" w:rsidRPr="001531CD" w:rsidRDefault="00CF626A">
      <w:pPr>
        <w:pStyle w:val="A"/>
      </w:pPr>
      <w:r w:rsidRPr="001531CD">
        <w:t>C.</w:t>
      </w:r>
      <w:r w:rsidRPr="001531CD">
        <w:tab/>
        <w:t>Applications for registration shall be accompanied by the following:</w:t>
      </w:r>
    </w:p>
    <w:p w14:paraId="192809B7" w14:textId="77777777" w:rsidR="00CF626A" w:rsidRPr="001531CD" w:rsidRDefault="00CF626A">
      <w:pPr>
        <w:pStyle w:val="1"/>
      </w:pPr>
      <w:r w:rsidRPr="001531CD">
        <w:t>1.</w:t>
      </w:r>
      <w:r w:rsidRPr="001531CD">
        <w:tab/>
        <w:t>a copy of the label or tag which the applicant proposes to use for the processed animal waste product;</w:t>
      </w:r>
    </w:p>
    <w:p w14:paraId="30097EA8" w14:textId="77777777" w:rsidR="00CF626A" w:rsidRPr="001531CD" w:rsidRDefault="00CF626A">
      <w:pPr>
        <w:pStyle w:val="1"/>
      </w:pPr>
      <w:r w:rsidRPr="001531CD">
        <w:t>2.</w:t>
      </w:r>
      <w:r w:rsidRPr="001531CD">
        <w:tab/>
        <w:t>a detailed description of the facilities, equipment and method of manufacture to be used in processing, manufacturing and testing of the processed animal waste product;</w:t>
      </w:r>
    </w:p>
    <w:p w14:paraId="774CD050" w14:textId="77777777" w:rsidR="00CF626A" w:rsidRPr="001531CD" w:rsidRDefault="00907E35">
      <w:pPr>
        <w:pStyle w:val="1"/>
      </w:pPr>
      <w:r w:rsidRPr="001531CD">
        <w:t>3.</w:t>
      </w:r>
      <w:r w:rsidRPr="001531CD">
        <w:tab/>
        <w:t>a sampling schedule, a full description of all tests made and the results, thereby purporting to show the processed animal waste product meets the standards of the Louisiana Department of Agriculture and Forestry and the Office of the Louisiana State Livestock Sanitary Board and these rules and regulations for registration.</w:t>
      </w:r>
    </w:p>
    <w:p w14:paraId="58E092BC" w14:textId="77777777" w:rsidR="00CF626A" w:rsidRPr="001531CD" w:rsidRDefault="00907E35">
      <w:pPr>
        <w:pStyle w:val="AuthorityNote"/>
      </w:pPr>
      <w:r w:rsidRPr="001531CD">
        <w:t>AUTHORITY NOTE:</w:t>
      </w:r>
      <w:r w:rsidRPr="001531CD">
        <w:tab/>
        <w:t>Promulgated in accordance with R.S. 3:1392 and R.S. 3:1393.</w:t>
      </w:r>
    </w:p>
    <w:p w14:paraId="3A6A11EF" w14:textId="77777777"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14:paraId="123EDD49" w14:textId="77777777" w:rsidR="00CF626A" w:rsidRPr="001531CD" w:rsidRDefault="00CF626A">
      <w:pPr>
        <w:pStyle w:val="Section"/>
      </w:pPr>
      <w:bookmarkStart w:id="1568" w:name="_Toc256754664"/>
      <w:bookmarkStart w:id="1569" w:name="_Toc224818997"/>
      <w:r w:rsidRPr="001531CD">
        <w:t>§145.</w:t>
      </w:r>
      <w:r w:rsidRPr="001531CD">
        <w:tab/>
        <w:t>Registration Refused or Canceled</w:t>
      </w:r>
      <w:bookmarkEnd w:id="1568"/>
      <w:bookmarkEnd w:id="1569"/>
    </w:p>
    <w:p w14:paraId="10BBFCBC" w14:textId="77777777" w:rsidR="00CF626A" w:rsidRPr="001531CD" w:rsidRDefault="00CF626A">
      <w:pPr>
        <w:pStyle w:val="A"/>
      </w:pPr>
      <w:r w:rsidRPr="001531CD">
        <w:t>A.</w:t>
      </w:r>
      <w:r w:rsidRPr="001531CD">
        <w:tab/>
        <w:t>General registration of a processed animal waste product shall be refused if:</w:t>
      </w:r>
    </w:p>
    <w:p w14:paraId="16DB6927" w14:textId="77777777" w:rsidR="00CF626A" w:rsidRPr="001531CD" w:rsidRDefault="00CF626A">
      <w:pPr>
        <w:pStyle w:val="1"/>
      </w:pPr>
      <w:r w:rsidRPr="001531CD">
        <w:t>1.</w:t>
      </w:r>
      <w:r w:rsidRPr="001531CD">
        <w:tab/>
        <w:t>applicant or the processed animal waste product is determined to be in violation of any state or federal statute or state agency rule or regulation affecting or relating to the sale of commercial feeds;</w:t>
      </w:r>
    </w:p>
    <w:p w14:paraId="7A5DC120" w14:textId="77777777" w:rsidR="00CF626A" w:rsidRPr="001531CD" w:rsidRDefault="00CF626A">
      <w:pPr>
        <w:pStyle w:val="1"/>
      </w:pPr>
      <w:r w:rsidRPr="001531CD">
        <w:t>2.</w:t>
      </w:r>
      <w:r w:rsidRPr="001531CD">
        <w:tab/>
        <w:t>the processed animals waste product contains any pathogenic organisms, drug residues, pesticide residues, harmful parasites or other toxic or deleterious substance above levels permitted by state regulations, Federal Food, Drug and Cosmetic Act, Section 406, 408, 409 and 706, or which could be harmful to animals, or which could result in residue in the tissue or by-products of animals above levels determined to be harmful;</w:t>
      </w:r>
    </w:p>
    <w:p w14:paraId="79C6DF29" w14:textId="77777777" w:rsidR="00CF626A" w:rsidRPr="001531CD" w:rsidRDefault="00907E35">
      <w:pPr>
        <w:pStyle w:val="1"/>
      </w:pPr>
      <w:r w:rsidRPr="001531CD">
        <w:t>3.</w:t>
      </w:r>
      <w:r w:rsidRPr="001531CD">
        <w:tab/>
        <w:t>the processed animal waste product does not meet the quality standards set forth in §143 of these regulations and in R.S. 3:1396;</w:t>
      </w:r>
    </w:p>
    <w:p w14:paraId="5D6C0F85" w14:textId="77777777" w:rsidR="00CF626A" w:rsidRPr="001531CD" w:rsidRDefault="00CF626A">
      <w:pPr>
        <w:pStyle w:val="1"/>
      </w:pPr>
      <w:r w:rsidRPr="001531CD">
        <w:t>4.</w:t>
      </w:r>
      <w:r w:rsidRPr="001531CD">
        <w:tab/>
        <w:t>the processed waste product is not labeled in compliance with law and agency rules and regulations, including §147 of these rules;</w:t>
      </w:r>
    </w:p>
    <w:p w14:paraId="159C4340" w14:textId="77777777" w:rsidR="00CF626A" w:rsidRPr="001531CD" w:rsidRDefault="00CF626A">
      <w:pPr>
        <w:pStyle w:val="1"/>
      </w:pPr>
      <w:r w:rsidRPr="001531CD">
        <w:t>5.</w:t>
      </w:r>
      <w:r w:rsidRPr="001531CD">
        <w:tab/>
        <w:t>applicant or registrant fails to perform the testing as specified in §149 of these rules, or to accurately maintain and display to the commissioner or his designee, upon demand, the records required.</w:t>
      </w:r>
    </w:p>
    <w:p w14:paraId="26CCB13D" w14:textId="77777777" w:rsidR="00CF626A" w:rsidRPr="001531CD" w:rsidRDefault="00CF626A">
      <w:pPr>
        <w:pStyle w:val="A"/>
      </w:pPr>
      <w:r w:rsidRPr="001531CD">
        <w:t>B.</w:t>
      </w:r>
      <w:r w:rsidRPr="001531CD">
        <w:tab/>
        <w:t>Registration may be refused pursuant to and in compliance with any statutory provisions authorizing the commissioner to refuse registration.</w:t>
      </w:r>
    </w:p>
    <w:p w14:paraId="15B83379" w14:textId="77777777" w:rsidR="00907E35" w:rsidRPr="001531CD" w:rsidRDefault="00907E35" w:rsidP="00907E35">
      <w:pPr>
        <w:pStyle w:val="A"/>
      </w:pPr>
      <w:r w:rsidRPr="001531CD">
        <w:t>C.</w:t>
      </w:r>
      <w:r w:rsidRPr="001531CD">
        <w:tab/>
        <w:t>Registration may be canceled by the commission if the product or registrant is found to be in violation of any statutory provisions or provisions of these regulations.</w:t>
      </w:r>
    </w:p>
    <w:p w14:paraId="569B7947" w14:textId="77777777" w:rsidR="00CF626A" w:rsidRPr="001531CD" w:rsidRDefault="00907E35" w:rsidP="00907E35">
      <w:pPr>
        <w:pStyle w:val="AuthorityNote"/>
      </w:pPr>
      <w:r w:rsidRPr="001531CD">
        <w:t>AUTHORITY NOTE:</w:t>
      </w:r>
      <w:r w:rsidRPr="001531CD">
        <w:tab/>
        <w:t>Promulgated in accordance with R.S. 3:1392 and R.S. 3:1393.</w:t>
      </w:r>
    </w:p>
    <w:p w14:paraId="25888E35" w14:textId="77777777" w:rsidR="00CF626A" w:rsidRPr="001531CD" w:rsidRDefault="00CF626A">
      <w:pPr>
        <w:pStyle w:val="HistoricalNote"/>
      </w:pPr>
      <w:r w:rsidRPr="001531CD">
        <w:t>HISTORICAL NOTE:</w:t>
      </w:r>
      <w:r w:rsidRPr="001531CD">
        <w:tab/>
        <w:t>Promulgated by the Department of Agriculture, Feed Commission, LR 11:227 (March 1985), a</w:t>
      </w:r>
      <w:r w:rsidR="00907E35" w:rsidRPr="001531CD">
        <w:t>mended LR 11:944 (October 1985), amended by the Department of Agriculture and Forestry, Feed, Fertilizer, and Agricultural Liming Commission, LR 38:2526 (October 2012).</w:t>
      </w:r>
    </w:p>
    <w:p w14:paraId="02C452EF" w14:textId="77777777" w:rsidR="00CF626A" w:rsidRPr="001531CD" w:rsidRDefault="00CF626A">
      <w:pPr>
        <w:pStyle w:val="Section"/>
      </w:pPr>
      <w:bookmarkStart w:id="1570" w:name="_Toc256754665"/>
      <w:bookmarkStart w:id="1571" w:name="_Toc224818998"/>
      <w:r w:rsidRPr="001531CD">
        <w:t>§147.</w:t>
      </w:r>
      <w:r w:rsidRPr="001531CD">
        <w:tab/>
        <w:t>Labeling Requirements</w:t>
      </w:r>
      <w:bookmarkEnd w:id="1570"/>
      <w:bookmarkEnd w:id="1571"/>
    </w:p>
    <w:p w14:paraId="40AE5FD5" w14:textId="77777777" w:rsidR="00CF626A" w:rsidRPr="001531CD" w:rsidRDefault="00CF626A">
      <w:pPr>
        <w:pStyle w:val="A"/>
      </w:pPr>
      <w:r w:rsidRPr="001531CD">
        <w:t>A.</w:t>
      </w:r>
      <w:r w:rsidRPr="001531CD">
        <w:tab/>
        <w:t>The label, tag or label invoice accompanying shipments of animal waste products shall contain all information as required by the official feed rules and regulations.</w:t>
      </w:r>
    </w:p>
    <w:p w14:paraId="7C9F5362" w14:textId="77777777" w:rsidR="00CF626A" w:rsidRPr="001531CD" w:rsidRDefault="00CF626A">
      <w:pPr>
        <w:pStyle w:val="A"/>
      </w:pPr>
      <w:r w:rsidRPr="001531CD">
        <w:t>B.</w:t>
      </w:r>
      <w:r w:rsidRPr="001531CD">
        <w:tab/>
        <w:t>In addition, it shall include the following information, in the list of guarantees, in the following order, in percentages:</w:t>
      </w:r>
    </w:p>
    <w:p w14:paraId="074EC1C1" w14:textId="77777777" w:rsidR="00CF626A" w:rsidRPr="001531CD" w:rsidRDefault="00CF626A">
      <w:pPr>
        <w:pStyle w:val="1"/>
      </w:pPr>
      <w:r w:rsidRPr="001531CD">
        <w:t>1.</w:t>
      </w:r>
      <w:r w:rsidRPr="001531CD">
        <w:tab/>
        <w:t>maximum moisture, following fiber guarantee;</w:t>
      </w:r>
    </w:p>
    <w:p w14:paraId="736BB2FF" w14:textId="77777777" w:rsidR="00CF626A" w:rsidRPr="001531CD" w:rsidRDefault="00CF626A">
      <w:pPr>
        <w:pStyle w:val="1"/>
      </w:pPr>
      <w:r w:rsidRPr="001531CD">
        <w:t>2.</w:t>
      </w:r>
      <w:r w:rsidRPr="001531CD">
        <w:tab/>
        <w:t>maximum ash, following moisture guarantees.</w:t>
      </w:r>
    </w:p>
    <w:p w14:paraId="05BECF16" w14:textId="77777777" w:rsidR="00CF626A" w:rsidRPr="001531CD" w:rsidRDefault="00CF626A">
      <w:pPr>
        <w:pStyle w:val="A"/>
      </w:pPr>
      <w:r w:rsidRPr="001531CD">
        <w:lastRenderedPageBreak/>
        <w:t>C.</w:t>
      </w:r>
      <w:r w:rsidRPr="001531CD">
        <w:tab/>
        <w:t>Special labeling or warnings required, as appropriate:</w:t>
      </w:r>
    </w:p>
    <w:p w14:paraId="041B2895" w14:textId="77777777" w:rsidR="00CF626A" w:rsidRPr="001531CD" w:rsidRDefault="00CF626A">
      <w:pPr>
        <w:pStyle w:val="1"/>
      </w:pPr>
      <w:r w:rsidRPr="001531CD">
        <w:t>1.</w:t>
      </w:r>
      <w:r w:rsidRPr="001531CD">
        <w:tab/>
        <w:t>if the product contains drug residues, then the label shall contain the following statement in boldface type:</w:t>
      </w:r>
    </w:p>
    <w:p w14:paraId="20F08857" w14:textId="77777777" w:rsidR="00CF626A" w:rsidRPr="001531CD" w:rsidRDefault="00CF626A">
      <w:pPr>
        <w:pStyle w:val="LACNote"/>
        <w:ind w:left="432" w:right="432" w:firstLine="0"/>
      </w:pPr>
      <w:r w:rsidRPr="001531CD">
        <w:t>WARNING: THIS PRODUCT CONTAINS DRUG RESIDUES. DO NOT USE WITHIN 15 DAYS OF SLAUGHTER AND DO NOT USE 15 DAYS PRIOR TO OR DURING THE FOOD PRODUCTION PERIOD OF DAIRY ANIMALS AND LAYING HENS.</w:t>
      </w:r>
    </w:p>
    <w:p w14:paraId="46AB2B86" w14:textId="77777777" w:rsidR="00CF626A" w:rsidRPr="001531CD" w:rsidRDefault="00CF626A">
      <w:pPr>
        <w:pStyle w:val="1"/>
      </w:pPr>
      <w:r w:rsidRPr="001531CD">
        <w:t>2.</w:t>
      </w:r>
      <w:r w:rsidRPr="001531CD">
        <w:tab/>
        <w:t>if the product contains high levels (25 ppm or greater) of copper, a maximum guarantee of copper and the following statement is required:</w:t>
      </w:r>
    </w:p>
    <w:p w14:paraId="2FB19D2E" w14:textId="77777777" w:rsidR="00CF626A" w:rsidRPr="001531CD" w:rsidRDefault="00CF626A">
      <w:pPr>
        <w:pStyle w:val="LACNote"/>
        <w:ind w:left="432" w:right="432" w:firstLine="0"/>
      </w:pPr>
      <w:r w:rsidRPr="001531CD">
        <w:t>WARNING: CONTAINS HIGH LEVELS OF COPPER: DO NOT FEED TO SHEEP.</w:t>
      </w:r>
    </w:p>
    <w:p w14:paraId="4BE7BDF5" w14:textId="77777777" w:rsidR="00CF626A" w:rsidRPr="001531CD" w:rsidRDefault="00CF626A">
      <w:pPr>
        <w:pStyle w:val="1"/>
      </w:pPr>
      <w:r w:rsidRPr="001531CD">
        <w:t>3.</w:t>
      </w:r>
      <w:r w:rsidRPr="001531CD">
        <w:tab/>
        <w:t>if the product derives one-third or more of the guaranteed total crude protein from nonprotein nitrogen sources, the label shall provide adequate directions for safe use of the product and the precautionary statement:</w:t>
      </w:r>
    </w:p>
    <w:p w14:paraId="146F4E74" w14:textId="77777777" w:rsidR="00CF626A" w:rsidRPr="001531CD" w:rsidRDefault="00CF626A" w:rsidP="00F03863">
      <w:pPr>
        <w:pStyle w:val="LACNote"/>
        <w:ind w:left="432" w:right="432"/>
        <w:outlineLvl w:val="0"/>
      </w:pPr>
      <w:r w:rsidRPr="001531CD">
        <w:t>CAUTION: USE ONLY AS DIRECTED.</w:t>
      </w:r>
    </w:p>
    <w:p w14:paraId="0D216194" w14:textId="77777777" w:rsidR="00CF626A" w:rsidRPr="001531CD" w:rsidRDefault="003D1AE1">
      <w:pPr>
        <w:pStyle w:val="AuthorityNote"/>
      </w:pPr>
      <w:r w:rsidRPr="001531CD">
        <w:t>AUTHORITY NOTE:</w:t>
      </w:r>
      <w:r w:rsidRPr="001531CD">
        <w:tab/>
        <w:t>Promulgated in accordance with R.S. 3:1392, 1393, and 1394.</w:t>
      </w:r>
    </w:p>
    <w:p w14:paraId="54A92F66" w14:textId="77777777" w:rsidR="00CF626A" w:rsidRPr="001531CD" w:rsidRDefault="00CF626A">
      <w:pPr>
        <w:pStyle w:val="HistoricalNote"/>
      </w:pPr>
      <w:r w:rsidRPr="001531CD">
        <w:t>HISTORICAL NOTE:</w:t>
      </w:r>
      <w:r w:rsidRPr="001531CD">
        <w:tab/>
        <w:t>Promulgated by the Department of Agriculture, Feed Commission, LR 11:227 (March 1985).</w:t>
      </w:r>
    </w:p>
    <w:p w14:paraId="798C4494" w14:textId="77777777" w:rsidR="00CF626A" w:rsidRPr="001531CD" w:rsidRDefault="00CF626A">
      <w:pPr>
        <w:pStyle w:val="Section"/>
      </w:pPr>
      <w:bookmarkStart w:id="1572" w:name="_Toc256754666"/>
      <w:bookmarkStart w:id="1573" w:name="_Toc224818999"/>
      <w:r w:rsidRPr="001531CD">
        <w:t>§149.</w:t>
      </w:r>
      <w:r w:rsidRPr="001531CD">
        <w:tab/>
        <w:t>Testing Required</w:t>
      </w:r>
      <w:bookmarkEnd w:id="1572"/>
      <w:bookmarkEnd w:id="1573"/>
    </w:p>
    <w:p w14:paraId="152FCA85" w14:textId="77777777" w:rsidR="00CF626A" w:rsidRPr="001531CD" w:rsidRDefault="00907E35">
      <w:pPr>
        <w:pStyle w:val="A"/>
      </w:pPr>
      <w:r w:rsidRPr="001531CD">
        <w:t>A.</w:t>
      </w:r>
      <w:r w:rsidRPr="001531CD">
        <w:tab/>
        <w:t>The purpose of the sampling and testing requirements of this Section shall be to determine the presence of harmful materials or biological contaminants and to assure compliance with the quality standards in §143 of these regulations and R.S. 3:1396.</w:t>
      </w:r>
    </w:p>
    <w:p w14:paraId="65790164" w14:textId="77777777" w:rsidR="00CF626A" w:rsidRPr="001531CD" w:rsidRDefault="00CF626A">
      <w:pPr>
        <w:pStyle w:val="A"/>
      </w:pPr>
      <w:r w:rsidRPr="001531CD">
        <w:t>B.</w:t>
      </w:r>
      <w:r w:rsidRPr="001531CD">
        <w:tab/>
        <w:t>Any person seeking or receiving registration of any processed animal waste product shall test, by representative sampling and assaying of such samples and keep accurate records thereof, the processed animal waste product for which the registration is sought or received. The sample shall be of sufficient size so as to provide meaningful data, statistically reliable in carrying out the purpose of such sampling and analysis. For example, 10 1-pound samples taken randomly from one day's production run or other identifiable lot, should be packaged in sealed air-tight bags for prompt shipment to the analytical laboratory.</w:t>
      </w:r>
    </w:p>
    <w:p w14:paraId="6E37588E" w14:textId="77777777" w:rsidR="00CF626A" w:rsidRPr="001531CD" w:rsidRDefault="00CF626A">
      <w:pPr>
        <w:pStyle w:val="A"/>
      </w:pPr>
      <w:r w:rsidRPr="001531CD">
        <w:t>C.</w:t>
      </w:r>
      <w:r w:rsidRPr="001531CD">
        <w:tab/>
        <w:t>The registrant, manufacturer or producer of any such processed animal waste product ingredient shall conform to the following sample and analyses requirements.</w:t>
      </w:r>
    </w:p>
    <w:p w14:paraId="5C4D29C2" w14:textId="77777777" w:rsidR="00CF626A" w:rsidRPr="001531CD" w:rsidRDefault="00907E35">
      <w:pPr>
        <w:pStyle w:val="1"/>
      </w:pPr>
      <w:r w:rsidRPr="001531CD">
        <w:t>1.</w:t>
      </w:r>
      <w:r w:rsidRPr="001531CD">
        <w:tab/>
        <w:t>Analyses specified by the commissioner to meet the requirements of the quality standards of §143 and R.S. 3:1396 and these regulations shall be conducted on three sequential production runs to establish that the feed ingredient is consistently within the limitations specified prior to registration and/or sale of the processed animal waste product. In addition to quality standards, testing on the same production runs or lots should include potential hazardous substances such as the following:</w:t>
      </w:r>
    </w:p>
    <w:p w14:paraId="1747E027" w14:textId="77777777" w:rsidR="00CF626A" w:rsidRPr="001531CD" w:rsidRDefault="00CF626A">
      <w:pPr>
        <w:pStyle w:val="a0"/>
      </w:pPr>
      <w:r w:rsidRPr="001531CD">
        <w:t>a.</w:t>
      </w:r>
      <w:r w:rsidRPr="001531CD">
        <w:tab/>
        <w:t>drugs suspected or known to be used in the feed or as a therapeutic treatment of the animals;</w:t>
      </w:r>
    </w:p>
    <w:p w14:paraId="3B6F087E" w14:textId="77777777" w:rsidR="00CF626A" w:rsidRPr="001531CD" w:rsidRDefault="00CF626A">
      <w:pPr>
        <w:pStyle w:val="a0"/>
      </w:pPr>
      <w:r w:rsidRPr="001531CD">
        <w:t>b.</w:t>
      </w:r>
      <w:r w:rsidRPr="001531CD">
        <w:tab/>
        <w:t>pesticides used on the animal, facilities and waste for pest control;</w:t>
      </w:r>
    </w:p>
    <w:p w14:paraId="2DA598D3" w14:textId="77777777" w:rsidR="00CF626A" w:rsidRPr="001531CD" w:rsidRDefault="00CF626A">
      <w:pPr>
        <w:pStyle w:val="a0"/>
      </w:pPr>
      <w:r w:rsidRPr="001531CD">
        <w:t>c.</w:t>
      </w:r>
      <w:r w:rsidRPr="001531CD">
        <w:tab/>
        <w:t xml:space="preserve">pathogenic organisms at least to include </w:t>
      </w:r>
      <w:r w:rsidRPr="001531CD">
        <w:rPr>
          <w:i/>
          <w:iCs/>
        </w:rPr>
        <w:t>Salmonella</w:t>
      </w:r>
      <w:r w:rsidRPr="001531CD">
        <w:t xml:space="preserve"> and </w:t>
      </w:r>
      <w:r w:rsidRPr="001531CD">
        <w:rPr>
          <w:i/>
          <w:iCs/>
        </w:rPr>
        <w:t>E. Coli</w:t>
      </w:r>
      <w:r w:rsidRPr="001531CD">
        <w:t>;</w:t>
      </w:r>
    </w:p>
    <w:p w14:paraId="44E4A254" w14:textId="77777777" w:rsidR="00CF626A" w:rsidRPr="001531CD" w:rsidRDefault="00CF626A">
      <w:pPr>
        <w:pStyle w:val="a0"/>
      </w:pPr>
      <w:r w:rsidRPr="001531CD">
        <w:t>d.</w:t>
      </w:r>
      <w:r w:rsidRPr="001531CD">
        <w:tab/>
        <w:t>heavy metals: arsenic, cadmium, copper, lead, mercury and selenium, at least;</w:t>
      </w:r>
    </w:p>
    <w:p w14:paraId="12345BE4" w14:textId="77777777" w:rsidR="00CF626A" w:rsidRPr="001531CD" w:rsidRDefault="00CF626A">
      <w:pPr>
        <w:pStyle w:val="a0"/>
      </w:pPr>
      <w:r w:rsidRPr="001531CD">
        <w:t>e.</w:t>
      </w:r>
      <w:r w:rsidRPr="001531CD">
        <w:tab/>
        <w:t>parasitic larva or ova;</w:t>
      </w:r>
    </w:p>
    <w:p w14:paraId="7DB5F877" w14:textId="77777777" w:rsidR="00CF626A" w:rsidRPr="001531CD" w:rsidRDefault="00CF626A">
      <w:pPr>
        <w:pStyle w:val="a0"/>
      </w:pPr>
      <w:r w:rsidRPr="001531CD">
        <w:t>f.</w:t>
      </w:r>
      <w:r w:rsidRPr="001531CD">
        <w:tab/>
        <w:t>mycotoxins, such as aflatoxins.</w:t>
      </w:r>
    </w:p>
    <w:p w14:paraId="4909E7BD" w14:textId="77777777" w:rsidR="00CF626A" w:rsidRPr="001531CD" w:rsidRDefault="00CF626A">
      <w:pPr>
        <w:pStyle w:val="1"/>
      </w:pPr>
      <w:r w:rsidRPr="001531CD">
        <w:t>2.</w:t>
      </w:r>
      <w:r w:rsidRPr="001531CD">
        <w:tab/>
        <w:t>Following the initial sequential testing, periodic analyses shall be conducted on production runs no less than one each calendar quarter. Less frequent testing may be allowed where the analytical results show continued uniformity and a consistent margin of compliance. More frequent tests shall be required where the analytical results show a wide range, or show levels close to the established quality standards. Any processed animal waste product that does not meet quality standards for the product shall be further processed until standards are met, shall be diverted to non-feed uses, or destroyed.</w:t>
      </w:r>
    </w:p>
    <w:p w14:paraId="1C0C16E7" w14:textId="77777777" w:rsidR="00CF626A" w:rsidRPr="001531CD" w:rsidRDefault="00CF626A">
      <w:pPr>
        <w:pStyle w:val="1"/>
      </w:pPr>
      <w:r w:rsidRPr="001531CD">
        <w:t>3.</w:t>
      </w:r>
      <w:r w:rsidRPr="001531CD">
        <w:tab/>
        <w:t>Sequential testing shall again be required when the periodic analyses required by §149.C.2 of this Section or other information available to the manufacturer of the ingredient indicates that:</w:t>
      </w:r>
    </w:p>
    <w:p w14:paraId="16D75C36" w14:textId="77777777" w:rsidR="00CF626A" w:rsidRPr="001531CD" w:rsidRDefault="00CF626A">
      <w:pPr>
        <w:pStyle w:val="a0"/>
      </w:pPr>
      <w:r w:rsidRPr="001531CD">
        <w:t>a.</w:t>
      </w:r>
      <w:r w:rsidRPr="001531CD">
        <w:tab/>
        <w:t>the ingredients are not within the limitations established in these regulations;</w:t>
      </w:r>
    </w:p>
    <w:p w14:paraId="5EF9313F" w14:textId="77777777" w:rsidR="00CF626A" w:rsidRPr="001531CD" w:rsidRDefault="00CF626A">
      <w:pPr>
        <w:pStyle w:val="a0"/>
      </w:pPr>
      <w:r w:rsidRPr="001531CD">
        <w:t>b.</w:t>
      </w:r>
      <w:r w:rsidRPr="001531CD">
        <w:tab/>
        <w:t>changes are made in the manufacturing process;</w:t>
      </w:r>
    </w:p>
    <w:p w14:paraId="18E32F7B" w14:textId="77777777" w:rsidR="00CF626A" w:rsidRPr="001531CD" w:rsidRDefault="00CF626A">
      <w:pPr>
        <w:pStyle w:val="a0"/>
      </w:pPr>
      <w:r w:rsidRPr="001531CD">
        <w:t>c.</w:t>
      </w:r>
      <w:r w:rsidRPr="001531CD">
        <w:tab/>
        <w:t>new or expanded sources of the raw ingredients are used;</w:t>
      </w:r>
    </w:p>
    <w:p w14:paraId="5EA1433F" w14:textId="77777777" w:rsidR="00CF626A" w:rsidRPr="001531CD" w:rsidRDefault="00CF626A">
      <w:pPr>
        <w:pStyle w:val="a0"/>
      </w:pPr>
      <w:r w:rsidRPr="001531CD">
        <w:t>d.</w:t>
      </w:r>
      <w:r w:rsidRPr="001531CD">
        <w:tab/>
        <w:t>changes occur in the drugs or pesticides used by the supplier(s) of the raw ingredient(s).</w:t>
      </w:r>
    </w:p>
    <w:p w14:paraId="6B9D9F40" w14:textId="77777777" w:rsidR="00CF626A" w:rsidRPr="001531CD" w:rsidRDefault="00886588">
      <w:pPr>
        <w:pStyle w:val="AuthorityNote"/>
      </w:pPr>
      <w:r w:rsidRPr="001531CD">
        <w:t>AUTHORITY NOTE:</w:t>
      </w:r>
      <w:r w:rsidRPr="001531CD">
        <w:tab/>
        <w:t>Promulgated in accordance with R.S. 3:1392 and R.S. 3:1398.</w:t>
      </w:r>
    </w:p>
    <w:p w14:paraId="18F35283" w14:textId="77777777" w:rsidR="00CF626A" w:rsidRPr="001531CD" w:rsidRDefault="00CF626A">
      <w:pPr>
        <w:pStyle w:val="HistoricalNote"/>
      </w:pPr>
      <w:r w:rsidRPr="001531CD">
        <w:t>HISTORICAL NOTE:</w:t>
      </w:r>
      <w:r w:rsidRPr="001531CD">
        <w:tab/>
        <w:t>Promulgated by the Department of Agriculture, Feed Com</w:t>
      </w:r>
      <w:r w:rsidR="00886588" w:rsidRPr="001531CD">
        <w:t>mission, LR 11:227 (March 1985), amended by the Department of Agriculture and Forestry, Feed, Fertilizer, and Agricultural Liming Commission, LR 38:2526 (October 2012).</w:t>
      </w:r>
    </w:p>
    <w:p w14:paraId="49B13398" w14:textId="77777777" w:rsidR="00CF626A" w:rsidRPr="001531CD" w:rsidRDefault="00CF626A">
      <w:pPr>
        <w:pStyle w:val="Section"/>
      </w:pPr>
      <w:bookmarkStart w:id="1574" w:name="_Toc256754667"/>
      <w:bookmarkStart w:id="1575" w:name="_Toc224819000"/>
      <w:r w:rsidRPr="001531CD">
        <w:t>§151.</w:t>
      </w:r>
      <w:r w:rsidRPr="001531CD">
        <w:tab/>
        <w:t>Records Required</w:t>
      </w:r>
      <w:bookmarkEnd w:id="1574"/>
      <w:bookmarkEnd w:id="1575"/>
    </w:p>
    <w:p w14:paraId="2E153D6A" w14:textId="77777777" w:rsidR="00CF626A" w:rsidRPr="001531CD" w:rsidRDefault="00CF626A">
      <w:pPr>
        <w:pStyle w:val="A"/>
      </w:pPr>
      <w:r w:rsidRPr="001531CD">
        <w:t>A.</w:t>
      </w:r>
      <w:r w:rsidRPr="001531CD">
        <w:tab/>
        <w:t>Any person seeking or receiving registration of any processed animal waste product shall keep for a period of two years, accurate records of:</w:t>
      </w:r>
    </w:p>
    <w:p w14:paraId="7FE1D442" w14:textId="77777777" w:rsidR="00CF626A" w:rsidRPr="001531CD" w:rsidRDefault="00CF626A">
      <w:pPr>
        <w:pStyle w:val="1"/>
      </w:pPr>
      <w:r w:rsidRPr="001531CD">
        <w:t>1.</w:t>
      </w:r>
      <w:r w:rsidRPr="001531CD">
        <w:tab/>
        <w:t>all sources of raw materials and date acquired, including information on drugs and pesticide usage;</w:t>
      </w:r>
    </w:p>
    <w:p w14:paraId="1598F67E" w14:textId="77777777" w:rsidR="00CF626A" w:rsidRPr="001531CD" w:rsidRDefault="00CF626A">
      <w:pPr>
        <w:pStyle w:val="1"/>
      </w:pPr>
      <w:r w:rsidRPr="001531CD">
        <w:t>2.</w:t>
      </w:r>
      <w:r w:rsidRPr="001531CD">
        <w:tab/>
        <w:t>all production output, including a code or other method to identify the date of production;</w:t>
      </w:r>
    </w:p>
    <w:p w14:paraId="283505D5" w14:textId="77777777" w:rsidR="00CF626A" w:rsidRPr="001531CD" w:rsidRDefault="00CF626A">
      <w:pPr>
        <w:pStyle w:val="1"/>
      </w:pPr>
      <w:r w:rsidRPr="001531CD">
        <w:t>3.</w:t>
      </w:r>
      <w:r w:rsidRPr="001531CD">
        <w:tab/>
        <w:t>all sales and distribution, including the name and address of the purchaser or to whom distributed, date, quantity and production code;</w:t>
      </w:r>
    </w:p>
    <w:p w14:paraId="152D8FDA" w14:textId="77777777" w:rsidR="00CF626A" w:rsidRPr="001531CD" w:rsidRDefault="00CF626A">
      <w:pPr>
        <w:pStyle w:val="1"/>
      </w:pPr>
      <w:r w:rsidRPr="001531CD">
        <w:t>4.</w:t>
      </w:r>
      <w:r w:rsidRPr="001531CD">
        <w:tab/>
        <w:t>sampling and assay records of the testing required by §149 of this regulation.</w:t>
      </w:r>
    </w:p>
    <w:p w14:paraId="0FF45F03" w14:textId="77777777" w:rsidR="00CF626A" w:rsidRPr="001531CD" w:rsidRDefault="003D1AE1">
      <w:pPr>
        <w:pStyle w:val="AuthorityNote"/>
      </w:pPr>
      <w:r w:rsidRPr="001531CD">
        <w:t>AUTHORITY NOTE:</w:t>
      </w:r>
      <w:r w:rsidRPr="001531CD">
        <w:tab/>
        <w:t>Promulgated in accordance with R.S. 3:1401 and 139.</w:t>
      </w:r>
    </w:p>
    <w:p w14:paraId="2CEDAE23" w14:textId="77777777" w:rsidR="00CF626A" w:rsidRPr="001531CD" w:rsidRDefault="00CF626A">
      <w:pPr>
        <w:pStyle w:val="HistoricalNote"/>
      </w:pPr>
      <w:r w:rsidRPr="001531CD">
        <w:t>HISTORICAL NOTE:</w:t>
      </w:r>
      <w:r w:rsidRPr="001531CD">
        <w:tab/>
        <w:t>Promulgated by the Department of Agriculture, Feed Commission, LR 11:227 (March 1985).</w:t>
      </w:r>
    </w:p>
    <w:p w14:paraId="353E4976" w14:textId="77777777" w:rsidR="00CF626A" w:rsidRPr="001531CD" w:rsidRDefault="00CF626A">
      <w:pPr>
        <w:pStyle w:val="Section"/>
      </w:pPr>
      <w:bookmarkStart w:id="1576" w:name="_Toc256754668"/>
      <w:bookmarkStart w:id="1577" w:name="_Toc224819001"/>
      <w:r w:rsidRPr="001531CD">
        <w:lastRenderedPageBreak/>
        <w:t>§153.</w:t>
      </w:r>
      <w:r w:rsidRPr="001531CD">
        <w:tab/>
        <w:t>Fees</w:t>
      </w:r>
      <w:bookmarkEnd w:id="1576"/>
      <w:bookmarkEnd w:id="1577"/>
    </w:p>
    <w:p w14:paraId="3194F80E" w14:textId="77777777" w:rsidR="00886588" w:rsidRPr="001531CD" w:rsidRDefault="00886588" w:rsidP="00886588">
      <w:pPr>
        <w:pStyle w:val="A"/>
      </w:pPr>
      <w:r w:rsidRPr="001531CD">
        <w:t>A.</w:t>
      </w:r>
      <w:r w:rsidRPr="001531CD">
        <w:tab/>
        <w:t>Fees for processed animal waste products shall be the same as for other animal feeds as set forth in R.S. 3:1401 and §121 of the official feed rules and regulations.</w:t>
      </w:r>
    </w:p>
    <w:p w14:paraId="3AFCEFCD" w14:textId="77777777" w:rsidR="00CF626A" w:rsidRPr="001531CD" w:rsidRDefault="00886588" w:rsidP="00886588">
      <w:pPr>
        <w:pStyle w:val="AuthorityNote"/>
      </w:pPr>
      <w:r w:rsidRPr="001531CD">
        <w:t>AUTHORITY NOTE:</w:t>
      </w:r>
      <w:r w:rsidRPr="001531CD">
        <w:tab/>
        <w:t>Promulgated in accordance with R.S. 3:1392 and R.S. 3:1401.</w:t>
      </w:r>
    </w:p>
    <w:p w14:paraId="14886697" w14:textId="77777777" w:rsidR="00CF626A" w:rsidRPr="001531CD" w:rsidRDefault="00CF626A">
      <w:pPr>
        <w:pStyle w:val="HistoricalNote"/>
      </w:pPr>
      <w:r w:rsidRPr="001531CD">
        <w:t>HISTORICAL NOTE:</w:t>
      </w:r>
      <w:r w:rsidRPr="001531CD">
        <w:tab/>
        <w:t>Promulgated by the Department of Agriculture, Feed Com</w:t>
      </w:r>
      <w:r w:rsidR="00886588" w:rsidRPr="001531CD">
        <w:t>mission, LR 11:227 (March 1985), amended by the Department of Agriculture and Forestry, Feed, Fertilizer, and Agricultural Liming Commission, LR 38:2526 (October 2012).</w:t>
      </w:r>
    </w:p>
    <w:p w14:paraId="4FD45D89" w14:textId="77777777" w:rsidR="00886588" w:rsidRPr="001531CD" w:rsidRDefault="00CF626A" w:rsidP="00886588">
      <w:pPr>
        <w:pStyle w:val="Section"/>
      </w:pPr>
      <w:bookmarkStart w:id="1578" w:name="_Toc256754669"/>
      <w:bookmarkStart w:id="1579" w:name="_Toc224819002"/>
      <w:r w:rsidRPr="001531CD">
        <w:t>§155.</w:t>
      </w:r>
      <w:r w:rsidRPr="001531CD">
        <w:tab/>
      </w:r>
      <w:bookmarkEnd w:id="1578"/>
      <w:r w:rsidR="00886588" w:rsidRPr="001531CD">
        <w:t>Penalties</w:t>
      </w:r>
      <w:bookmarkEnd w:id="1579"/>
    </w:p>
    <w:p w14:paraId="211530D4" w14:textId="77777777" w:rsidR="00886588" w:rsidRPr="001531CD" w:rsidRDefault="00886588" w:rsidP="00886588">
      <w:pPr>
        <w:pStyle w:val="A"/>
      </w:pPr>
      <w:r w:rsidRPr="001531CD">
        <w:t>A.</w:t>
      </w:r>
      <w:r w:rsidRPr="001531CD">
        <w:tab/>
        <w:t>Penalties for processed animal waste products will be the same as penalties for other animal feeds as set forth in R.S. 3:1400 and §123 of the official feed rules and regulations.</w:t>
      </w:r>
    </w:p>
    <w:p w14:paraId="44FF099C" w14:textId="77777777" w:rsidR="00CF626A" w:rsidRPr="001531CD" w:rsidRDefault="00886588" w:rsidP="00886588">
      <w:pPr>
        <w:pStyle w:val="AuthorityNote"/>
      </w:pPr>
      <w:r w:rsidRPr="001531CD">
        <w:t>AUTHORITY NOTE:</w:t>
      </w:r>
      <w:r w:rsidRPr="001531CD">
        <w:tab/>
        <w:t>Promulgated in accordance with R.S. 3:1392 and R.S. 3:1400.</w:t>
      </w:r>
    </w:p>
    <w:p w14:paraId="07208249" w14:textId="77777777" w:rsidR="00CF626A" w:rsidRPr="001531CD" w:rsidRDefault="00CF626A">
      <w:pPr>
        <w:pStyle w:val="HistoricalNote"/>
      </w:pPr>
      <w:r w:rsidRPr="001531CD">
        <w:t>HISTORICAL NOTE:</w:t>
      </w:r>
      <w:r w:rsidRPr="001531CD">
        <w:tab/>
        <w:t>Promulgated by the Department of Agriculture, Feed Com</w:t>
      </w:r>
      <w:r w:rsidR="00886588" w:rsidRPr="001531CD">
        <w:t>mission, LR 11:228 (March 1985), amended by the Feed, Fertilizer, and Agricultural Liming Commission, LR 38:2526 (October 2012).</w:t>
      </w:r>
    </w:p>
    <w:p w14:paraId="0532F17B" w14:textId="77777777" w:rsidR="00CF626A" w:rsidRPr="001531CD" w:rsidRDefault="00CF626A" w:rsidP="00AB250D">
      <w:pPr>
        <w:pStyle w:val="Chapter"/>
        <w:spacing w:after="80"/>
      </w:pPr>
      <w:bookmarkStart w:id="1580" w:name="TOC_SubC124"/>
      <w:bookmarkStart w:id="1581" w:name="_Toc256754670"/>
      <w:bookmarkStart w:id="1582" w:name="_Toc224819003"/>
      <w:r w:rsidRPr="001531CD">
        <w:t>Subchapter D.</w:t>
      </w:r>
      <w:bookmarkEnd w:id="1580"/>
      <w:r w:rsidR="00167E2E">
        <w:tab/>
      </w:r>
      <w:bookmarkStart w:id="1583" w:name="TOCT_SubC124"/>
      <w:r w:rsidRPr="001531CD">
        <w:t>Probation of Registrants</w:t>
      </w:r>
      <w:bookmarkEnd w:id="1581"/>
      <w:bookmarkEnd w:id="1582"/>
      <w:bookmarkEnd w:id="1583"/>
    </w:p>
    <w:p w14:paraId="0E66AFB0" w14:textId="77777777" w:rsidR="00CF626A" w:rsidRPr="001531CD" w:rsidRDefault="00CF626A" w:rsidP="00AB250D">
      <w:pPr>
        <w:pStyle w:val="Section"/>
        <w:spacing w:after="80"/>
      </w:pPr>
      <w:bookmarkStart w:id="1584" w:name="_Toc256754671"/>
      <w:bookmarkStart w:id="1585" w:name="_Toc224819004"/>
      <w:r w:rsidRPr="001531CD">
        <w:t>§157.</w:t>
      </w:r>
      <w:r w:rsidRPr="001531CD">
        <w:tab/>
        <w:t>Probationary Status of Registrants</w:t>
      </w:r>
      <w:bookmarkEnd w:id="1584"/>
      <w:bookmarkEnd w:id="1585"/>
    </w:p>
    <w:p w14:paraId="146EA8AA" w14:textId="77777777" w:rsidR="000239DA" w:rsidRPr="001531CD" w:rsidRDefault="000239DA">
      <w:pPr>
        <w:pStyle w:val="A"/>
      </w:pPr>
      <w:r w:rsidRPr="001531CD">
        <w:t>A.</w:t>
      </w:r>
      <w:r w:rsidRPr="001531CD">
        <w:tab/>
        <w:t>A registrant shall be placed on probation by the commission when 25 percent of the official samples taken from a single registrant during one complete fiscal year are found to be deficient, provided that a minimum of six samples and at least 2 percent of the total tonnage sold for that fiscal year is sampled.</w:t>
      </w:r>
    </w:p>
    <w:p w14:paraId="74493E4C" w14:textId="77777777" w:rsidR="00CF626A" w:rsidRPr="001531CD" w:rsidRDefault="00CF626A">
      <w:pPr>
        <w:pStyle w:val="A"/>
      </w:pPr>
      <w:r w:rsidRPr="001531CD">
        <w:t>B.</w:t>
      </w:r>
      <w:r w:rsidRPr="001531CD">
        <w:tab/>
        <w:t>Notification shall be given, in writing, to any registrant placed on probation within 30 days of the date on which the commission took action to place the registrant on probation.</w:t>
      </w:r>
    </w:p>
    <w:p w14:paraId="38E7E0D2" w14:textId="77777777" w:rsidR="00CF626A" w:rsidRPr="001531CD" w:rsidRDefault="000239DA">
      <w:pPr>
        <w:pStyle w:val="A"/>
      </w:pPr>
      <w:r w:rsidRPr="001531CD">
        <w:t>C.</w:t>
      </w:r>
      <w:r w:rsidRPr="001531CD">
        <w:tab/>
        <w:t>The commission may assess a civil penalty of not more than $1,000 for any violation other than those found in R.S. 3:1400(A). Each day on which a violation occurs shall be considered a separate offense.</w:t>
      </w:r>
    </w:p>
    <w:p w14:paraId="32A8B1D4" w14:textId="77777777" w:rsidR="00CF626A" w:rsidRPr="001531CD" w:rsidRDefault="000239DA">
      <w:pPr>
        <w:pStyle w:val="A"/>
      </w:pPr>
      <w:r w:rsidRPr="001531CD">
        <w:t>D.</w:t>
      </w:r>
      <w:r w:rsidRPr="001531CD">
        <w:tab/>
        <w:t>The commission shall not waive any penalty imposed under the provisions of R.S. 3:1391 et seq.</w:t>
      </w:r>
    </w:p>
    <w:p w14:paraId="0CBAEE2E" w14:textId="77777777" w:rsidR="00CF626A" w:rsidRPr="001531CD" w:rsidRDefault="00CF626A">
      <w:pPr>
        <w:pStyle w:val="A"/>
        <w:tabs>
          <w:tab w:val="clear" w:pos="540"/>
          <w:tab w:val="left" w:pos="720"/>
        </w:tabs>
      </w:pPr>
      <w:r w:rsidRPr="001531CD">
        <w:t>E.1.</w:t>
      </w:r>
      <w:r w:rsidRPr="001531CD">
        <w:tab/>
        <w:t>A registrant who is placed on probation shall be subject to an increase of sampling up to 20 percent of the total tonnage of products offered for sale during the fiscal year of probation, or until probation is terminated by the commission.</w:t>
      </w:r>
    </w:p>
    <w:p w14:paraId="7A501E38" w14:textId="77777777" w:rsidR="00CF626A" w:rsidRPr="001531CD" w:rsidRDefault="00CF626A">
      <w:pPr>
        <w:pStyle w:val="1"/>
      </w:pPr>
      <w:r w:rsidRPr="001531CD">
        <w:t>2.</w:t>
      </w:r>
      <w:r w:rsidRPr="001531CD">
        <w:tab/>
        <w:t xml:space="preserve">In order to be removed from probation, a minimum of nine samples and 3 percent of the total tonnage sold must be taken and analyzed during the year of probation. The deficiency rate of samples taken must be less than </w:t>
      </w:r>
      <w:r w:rsidR="00054537" w:rsidRPr="001531CD">
        <w:br/>
      </w:r>
      <w:r w:rsidRPr="001531CD">
        <w:t>20 percent.</w:t>
      </w:r>
    </w:p>
    <w:p w14:paraId="6EA43D6E" w14:textId="77777777" w:rsidR="000239DA" w:rsidRPr="001531CD" w:rsidRDefault="000239DA" w:rsidP="000239DA">
      <w:pPr>
        <w:pStyle w:val="A"/>
      </w:pPr>
      <w:r w:rsidRPr="001531CD">
        <w:t>F.</w:t>
      </w:r>
      <w:r w:rsidRPr="001531CD">
        <w:tab/>
        <w:t xml:space="preserve">If a registrant continues to introduce products, of which the official samples' deficiency rate exceeds </w:t>
      </w:r>
      <w:r w:rsidRPr="001531CD">
        <w:br/>
        <w:t>20 percent, into the stream of commerce for one year, the registrant shall be summoned before the commission at its next meeting following the end of the year of probationary status to determine whether registration shall be canceled or renewal of registration shall be denied for cause.</w:t>
      </w:r>
    </w:p>
    <w:p w14:paraId="2DD5A52A" w14:textId="77777777" w:rsidR="000239DA" w:rsidRPr="001531CD" w:rsidRDefault="000239DA" w:rsidP="000239DA">
      <w:pPr>
        <w:pStyle w:val="A"/>
      </w:pPr>
      <w:r w:rsidRPr="001531CD">
        <w:t>G.</w:t>
      </w:r>
      <w:r w:rsidRPr="001531CD">
        <w:tab/>
        <w:t>The registrant shall be notified, in writing, by the commission when probationary status is terminated.</w:t>
      </w:r>
    </w:p>
    <w:p w14:paraId="782E0E00" w14:textId="77777777" w:rsidR="00CF626A" w:rsidRPr="001531CD" w:rsidRDefault="000239DA" w:rsidP="000239DA">
      <w:pPr>
        <w:pStyle w:val="AuthorityNote"/>
      </w:pPr>
      <w:r w:rsidRPr="001531CD">
        <w:t>AUTHORITY NOTE:</w:t>
      </w:r>
      <w:r w:rsidRPr="001531CD">
        <w:tab/>
        <w:t>Promulgated in accordance with R.S. 3:1392 and R.S. 3:1400.</w:t>
      </w:r>
    </w:p>
    <w:p w14:paraId="19DC1CB9" w14:textId="77777777" w:rsidR="00CF626A" w:rsidRPr="001531CD" w:rsidRDefault="00CF626A">
      <w:pPr>
        <w:pStyle w:val="HistoricalNote"/>
      </w:pPr>
      <w:r w:rsidRPr="001531CD">
        <w:t>HISTORICAL NOTE:</w:t>
      </w:r>
      <w:r w:rsidRPr="001531CD">
        <w:tab/>
        <w:t>Promulgated by the Department of Agriculture, Feed Commission, LR 11:228 (March 1985), amended by the Department of Agriculture and Forestry, Feed Co</w:t>
      </w:r>
      <w:r w:rsidR="000239DA" w:rsidRPr="001531CD">
        <w:t>mmission, LR 14:348 (June 1988), amended by the Feed, Fertilizer, and Agricultural Liming Commission, LR 38:2526 (October 2012).</w:t>
      </w:r>
    </w:p>
    <w:p w14:paraId="2C46AF76" w14:textId="77777777" w:rsidR="00CF626A" w:rsidRPr="001531CD" w:rsidRDefault="00CF626A">
      <w:pPr>
        <w:pStyle w:val="Section"/>
      </w:pPr>
      <w:bookmarkStart w:id="1586" w:name="_Toc256754672"/>
      <w:bookmarkStart w:id="1587" w:name="_Toc224819005"/>
      <w:r w:rsidRPr="001531CD">
        <w:t>§159.</w:t>
      </w:r>
      <w:r w:rsidRPr="001531CD">
        <w:tab/>
        <w:t>Cancellation of Registration and/or Denial of Application for Renewal of Registration</w:t>
      </w:r>
      <w:bookmarkEnd w:id="1586"/>
      <w:bookmarkEnd w:id="1587"/>
    </w:p>
    <w:p w14:paraId="2EC61BEF" w14:textId="77777777" w:rsidR="00CF626A" w:rsidRPr="001531CD" w:rsidRDefault="00CF626A">
      <w:pPr>
        <w:pStyle w:val="A"/>
      </w:pPr>
      <w:r w:rsidRPr="001531CD">
        <w:t>A.</w:t>
      </w:r>
      <w:r w:rsidRPr="001531CD">
        <w:tab/>
        <w:t xml:space="preserve">Subject to an adjudicatory hearing, the commission may cancel the registration of any registrant who fails to reduce the overall deficiency of his product to less than </w:t>
      </w:r>
      <w:r w:rsidR="00054537" w:rsidRPr="001531CD">
        <w:br/>
      </w:r>
      <w:r w:rsidRPr="001531CD">
        <w:t>20 percent by the end of the year of probation.</w:t>
      </w:r>
    </w:p>
    <w:p w14:paraId="012A600B" w14:textId="77777777" w:rsidR="00CF626A" w:rsidRPr="001531CD" w:rsidRDefault="000239DA">
      <w:pPr>
        <w:pStyle w:val="A"/>
      </w:pPr>
      <w:r w:rsidRPr="001531CD">
        <w:t>B.</w:t>
      </w:r>
      <w:r w:rsidRPr="001531CD">
        <w:tab/>
        <w:t>Upon proper hearing, the commission may cancel the registration and/or deny the registrant's application for renewal of registration when any registrant fails to comply with the requirements of R.S. 3:1391 et seq., and/or these regulations promulgated under the authority therein, unless the registrant can show just cause.</w:t>
      </w:r>
    </w:p>
    <w:p w14:paraId="51B32CA9" w14:textId="77777777" w:rsidR="00CF626A" w:rsidRPr="001531CD" w:rsidRDefault="00CF626A">
      <w:pPr>
        <w:pStyle w:val="A"/>
      </w:pPr>
      <w:r w:rsidRPr="001531CD">
        <w:t>C.</w:t>
      </w:r>
      <w:r w:rsidRPr="001531CD">
        <w:tab/>
        <w:t>No registration will be canceled nor application for renewal of registration denied until the registrant has been afforded the right to an adjudicatory hearing.</w:t>
      </w:r>
    </w:p>
    <w:p w14:paraId="61C51EBE" w14:textId="77777777" w:rsidR="00CF626A" w:rsidRPr="001531CD" w:rsidRDefault="000239DA">
      <w:pPr>
        <w:pStyle w:val="AuthorityNote"/>
      </w:pPr>
      <w:r w:rsidRPr="001531CD">
        <w:t>AUTHORITY NOTE:</w:t>
      </w:r>
      <w:r w:rsidRPr="001531CD">
        <w:tab/>
        <w:t>Promulgated in accordance with R.S. 3:1392 and R.S. 3:1400.</w:t>
      </w:r>
    </w:p>
    <w:p w14:paraId="62395209" w14:textId="77777777" w:rsidR="00CF626A" w:rsidRPr="001531CD" w:rsidRDefault="00CF626A">
      <w:pPr>
        <w:pStyle w:val="HistoricalNote"/>
      </w:pPr>
      <w:r w:rsidRPr="001531CD">
        <w:t>HISTORICAL NOTE:</w:t>
      </w:r>
      <w:r w:rsidRPr="001531CD">
        <w:tab/>
        <w:t>Promulgated by the Department of Agriculture, Feed Com</w:t>
      </w:r>
      <w:r w:rsidR="000239DA" w:rsidRPr="001531CD">
        <w:t>mission, LR 11:228 (March 1985), amended by the Department of Agriculture and Forestry, Feed, Fertilizer, and Agricultural Liming Commission, LR 38:2526 (October 2012).</w:t>
      </w:r>
    </w:p>
    <w:p w14:paraId="4C0D1C81" w14:textId="77777777" w:rsidR="00CF626A" w:rsidRPr="001531CD" w:rsidRDefault="00CF626A">
      <w:pPr>
        <w:pStyle w:val="Section"/>
      </w:pPr>
      <w:bookmarkStart w:id="1588" w:name="_Toc256754673"/>
      <w:bookmarkStart w:id="1589" w:name="_Toc224819006"/>
      <w:r w:rsidRPr="001531CD">
        <w:t>§161.</w:t>
      </w:r>
      <w:r w:rsidRPr="001531CD">
        <w:tab/>
      </w:r>
      <w:bookmarkEnd w:id="1588"/>
      <w:r w:rsidR="00C90D66" w:rsidRPr="001531CD">
        <w:t>Appeals from Action of the Commission; Department of Agriculture and Forestry Appeals Concerning Method of Taking Samples</w:t>
      </w:r>
      <w:bookmarkEnd w:id="1589"/>
    </w:p>
    <w:p w14:paraId="2E0B56A8" w14:textId="77777777" w:rsidR="00CF626A" w:rsidRPr="001531CD" w:rsidRDefault="00CF626A">
      <w:pPr>
        <w:pStyle w:val="A"/>
      </w:pPr>
      <w:r w:rsidRPr="001531CD">
        <w:t>A.</w:t>
      </w:r>
      <w:r w:rsidRPr="001531CD">
        <w:tab/>
        <w:t>If the registrant, or his agent, objects to the manner in which an agricultural inspector takes a sample, the registrant or his agent shall make his objections known immediately to the inspector.</w:t>
      </w:r>
    </w:p>
    <w:p w14:paraId="0408440D" w14:textId="77777777" w:rsidR="00C90D66" w:rsidRPr="001531CD" w:rsidRDefault="00C90D66" w:rsidP="00C90D66">
      <w:pPr>
        <w:pStyle w:val="A"/>
      </w:pPr>
      <w:r w:rsidRPr="001531CD">
        <w:t>B.</w:t>
      </w:r>
      <w:r w:rsidRPr="001531CD">
        <w:tab/>
        <w:t>If the registrant, or his agent, and the agricultural inspector who is taking the sample cannot resolve their differences, the registrant shall immediately telephone his complaint to the director of Agricultural Chemistry Programs. The registrant or his agent shall confirm the telephone complaint in writing to the same official.</w:t>
      </w:r>
    </w:p>
    <w:p w14:paraId="4C27521B" w14:textId="77777777" w:rsidR="00C90D66" w:rsidRPr="001531CD" w:rsidRDefault="00C90D66" w:rsidP="00C90D66">
      <w:pPr>
        <w:pStyle w:val="A"/>
      </w:pPr>
      <w:r w:rsidRPr="001531CD">
        <w:t>C.</w:t>
      </w:r>
      <w:r w:rsidRPr="001531CD">
        <w:tab/>
        <w:t>If the difference concerning the manner of taking the sample cannot thus be resolved, the registrant may place his complaint on the agenda at the next meeting of the commission. Routine procedures for submission and analysis of the sample shall be followed pending the resolution of the differences at such hearing.</w:t>
      </w:r>
    </w:p>
    <w:p w14:paraId="1B85B62B" w14:textId="77777777" w:rsidR="00CF626A" w:rsidRPr="001531CD" w:rsidRDefault="00C90D66" w:rsidP="00C90D66">
      <w:pPr>
        <w:pStyle w:val="AuthorityNote"/>
      </w:pPr>
      <w:r w:rsidRPr="001531CD">
        <w:t>AUTHORITY NOTE:</w:t>
      </w:r>
      <w:r w:rsidRPr="001531CD">
        <w:tab/>
        <w:t>Promulgated in accordance with R.S. 3:1392 and R.S. 3:1400.</w:t>
      </w:r>
    </w:p>
    <w:p w14:paraId="73AA59B9" w14:textId="77777777"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38:2526 (October 2012).</w:t>
      </w:r>
    </w:p>
    <w:p w14:paraId="694100B2" w14:textId="77777777" w:rsidR="00C90D66" w:rsidRPr="001531CD" w:rsidRDefault="00CF626A" w:rsidP="00C90D66">
      <w:pPr>
        <w:pStyle w:val="Section"/>
      </w:pPr>
      <w:bookmarkStart w:id="1590" w:name="_Toc256754674"/>
      <w:bookmarkStart w:id="1591" w:name="_Toc224819007"/>
      <w:r w:rsidRPr="001531CD">
        <w:lastRenderedPageBreak/>
        <w:t>§163.</w:t>
      </w:r>
      <w:r w:rsidRPr="001531CD">
        <w:tab/>
      </w:r>
      <w:bookmarkEnd w:id="1590"/>
      <w:r w:rsidR="00C90D66" w:rsidRPr="001531CD">
        <w:t>Appeals Concerning Results of Chemical Analysis</w:t>
      </w:r>
      <w:bookmarkEnd w:id="1591"/>
    </w:p>
    <w:p w14:paraId="7DC49B7B" w14:textId="77777777" w:rsidR="00C90D66" w:rsidRPr="001531CD" w:rsidRDefault="00C90D66" w:rsidP="00C90D66">
      <w:pPr>
        <w:pStyle w:val="A"/>
      </w:pPr>
      <w:r w:rsidRPr="001531CD">
        <w:t>A.</w:t>
      </w:r>
      <w:r w:rsidRPr="001531CD">
        <w:tab/>
        <w:t>When a registrant, or his agent, disagrees with a finding of deficiency or a calculation of a penalty resulting from a finding of deficiency, he shall register his complaint, in writing, with the director of Agricultural Chemistry Programs within 10 days of the date of the report of chemical analysis.</w:t>
      </w:r>
    </w:p>
    <w:p w14:paraId="7A8DB052" w14:textId="77777777" w:rsidR="00C90D66" w:rsidRPr="001531CD" w:rsidRDefault="00C90D66" w:rsidP="00C90D66">
      <w:pPr>
        <w:pStyle w:val="A"/>
      </w:pPr>
      <w:r w:rsidRPr="001531CD">
        <w:t>B.</w:t>
      </w:r>
      <w:r w:rsidRPr="001531CD">
        <w:tab/>
        <w:t>When questions concerning the accuracy of the analysis made by the director of Agricultural Chemistry Programs cannot be amicably resolved, the registrant may place his complaint on the agenda at the next meeting of the commission for a final determination.</w:t>
      </w:r>
    </w:p>
    <w:p w14:paraId="28B236B2" w14:textId="77777777" w:rsidR="00C90D66" w:rsidRPr="001531CD" w:rsidRDefault="00C90D66" w:rsidP="00C90D66">
      <w:pPr>
        <w:pStyle w:val="A"/>
      </w:pPr>
      <w:r w:rsidRPr="001531CD">
        <w:t>C.</w:t>
      </w:r>
      <w:r w:rsidRPr="001531CD">
        <w:tab/>
        <w:t>When a disagreement on a feed deficiency arises, the sample may be analyzed by an independent laboratory agreeable to the commissioner.</w:t>
      </w:r>
    </w:p>
    <w:p w14:paraId="57E91CB6" w14:textId="77777777" w:rsidR="00CF626A" w:rsidRPr="001531CD" w:rsidRDefault="00C90D66" w:rsidP="00C90D66">
      <w:pPr>
        <w:pStyle w:val="AuthorityNote"/>
      </w:pPr>
      <w:r w:rsidRPr="001531CD">
        <w:t>AUTHORITY NOTE:</w:t>
      </w:r>
      <w:r w:rsidRPr="001531CD">
        <w:tab/>
        <w:t>Promulgated in accordance with R.S. 3:1392 and R.S. 3:1400.</w:t>
      </w:r>
    </w:p>
    <w:p w14:paraId="24FF47FD" w14:textId="77777777"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p>
    <w:p w14:paraId="70796E87" w14:textId="77777777" w:rsidR="00C90D66" w:rsidRPr="001531CD" w:rsidRDefault="00CF626A" w:rsidP="00C90D66">
      <w:pPr>
        <w:pStyle w:val="Section"/>
      </w:pPr>
      <w:bookmarkStart w:id="1592" w:name="_Toc256754675"/>
      <w:bookmarkStart w:id="1593" w:name="_Toc224819008"/>
      <w:r w:rsidRPr="001531CD">
        <w:t>§165.</w:t>
      </w:r>
      <w:r w:rsidRPr="001531CD">
        <w:tab/>
      </w:r>
      <w:bookmarkEnd w:id="1592"/>
      <w:r w:rsidR="00C90D66" w:rsidRPr="001531CD">
        <w:t>Appeals Concerning Probationary Status</w:t>
      </w:r>
      <w:bookmarkEnd w:id="1593"/>
    </w:p>
    <w:p w14:paraId="7D922507" w14:textId="77777777" w:rsidR="00C90D66" w:rsidRPr="001531CD" w:rsidRDefault="00C90D66" w:rsidP="00C90D66">
      <w:pPr>
        <w:pStyle w:val="A"/>
      </w:pPr>
      <w:r w:rsidRPr="001531CD">
        <w:t>A.</w:t>
      </w:r>
      <w:r w:rsidRPr="001531CD">
        <w:tab/>
        <w:t>Any registrant who is placed on probationary status may appeal his probation at any time by submitting to the commission a written statement on the basis of his appeal and a written request for a hearing on the matter.</w:t>
      </w:r>
    </w:p>
    <w:p w14:paraId="6AA384A3" w14:textId="77777777" w:rsidR="00C90D66" w:rsidRPr="001531CD" w:rsidRDefault="00C90D66" w:rsidP="00C90D66">
      <w:pPr>
        <w:pStyle w:val="A"/>
      </w:pPr>
      <w:r w:rsidRPr="001531CD">
        <w:t>B.</w:t>
      </w:r>
      <w:r w:rsidRPr="001531CD">
        <w:tab/>
        <w:t>A request for a hearing on appeal from probationary status shall not be delayed but shall be placed on the agenda for the next meeting of the commission following receipt of the request for a hearing.</w:t>
      </w:r>
    </w:p>
    <w:p w14:paraId="1E244E3D" w14:textId="77777777" w:rsidR="00CF626A" w:rsidRPr="001531CD" w:rsidRDefault="00C90D66" w:rsidP="00C90D66">
      <w:pPr>
        <w:pStyle w:val="AuthorityNote"/>
      </w:pPr>
      <w:r w:rsidRPr="001531CD">
        <w:t>AUTHORITY NOTE:</w:t>
      </w:r>
      <w:r w:rsidRPr="001531CD">
        <w:tab/>
        <w:t>Promulgated in accordance with R.S. 3:1392 and R.S. 3:1400.</w:t>
      </w:r>
    </w:p>
    <w:p w14:paraId="71DA38A6" w14:textId="77777777"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p>
    <w:p w14:paraId="5BBC24E0" w14:textId="77777777" w:rsidR="00CF626A" w:rsidRPr="001531CD" w:rsidRDefault="00CF626A">
      <w:pPr>
        <w:pStyle w:val="Section"/>
      </w:pPr>
      <w:bookmarkStart w:id="1594" w:name="_Toc256754676"/>
      <w:bookmarkStart w:id="1595" w:name="_Toc224819009"/>
      <w:r w:rsidRPr="001531CD">
        <w:t>§167.</w:t>
      </w:r>
      <w:r w:rsidRPr="001531CD">
        <w:tab/>
      </w:r>
      <w:bookmarkEnd w:id="1594"/>
      <w:r w:rsidR="00C90D66" w:rsidRPr="001531CD">
        <w:t>Public Hearing on Cancellation of Registration/Denial of Application for Renewal of Registration</w:t>
      </w:r>
      <w:bookmarkEnd w:id="1595"/>
    </w:p>
    <w:p w14:paraId="5BDF86DB" w14:textId="77777777" w:rsidR="00CF626A" w:rsidRPr="001531CD" w:rsidRDefault="00CF626A">
      <w:pPr>
        <w:pStyle w:val="A"/>
      </w:pPr>
      <w:r w:rsidRPr="001531CD">
        <w:t>A.</w:t>
      </w:r>
      <w:r w:rsidRPr="001531CD">
        <w:tab/>
        <w:t>The commission shall not cancel a registrant nor deny a renewal of registration without an adjudicatory hearing.</w:t>
      </w:r>
    </w:p>
    <w:p w14:paraId="29456576" w14:textId="77777777" w:rsidR="001C222C" w:rsidRPr="00154D48" w:rsidRDefault="00C90D66" w:rsidP="001C222C">
      <w:pPr>
        <w:pStyle w:val="A"/>
      </w:pPr>
      <w:r w:rsidRPr="001531CD">
        <w:t>B.</w:t>
      </w:r>
      <w:r w:rsidRPr="001531CD">
        <w:tab/>
      </w:r>
      <w:r w:rsidR="001C222C" w:rsidRPr="00154D48">
        <w:t>When the commission determines that just cause may exist to cancel or deny renewal or registration, the commission shall give written notice to the registrant of intent to conduct an adjudicatory hearing on the matter. The notice shall be issued in accordance with R.S. 49:975.</w:t>
      </w:r>
    </w:p>
    <w:p w14:paraId="66523AE7" w14:textId="77777777" w:rsidR="00CF626A" w:rsidRPr="001531CD" w:rsidRDefault="001C222C" w:rsidP="001C222C">
      <w:pPr>
        <w:pStyle w:val="A"/>
        <w:spacing w:after="80"/>
      </w:pPr>
      <w:r w:rsidRPr="00154D48">
        <w:t>C.</w:t>
      </w:r>
      <w:r w:rsidRPr="00154D48">
        <w:tab/>
        <w:t>An adjudicatory hearing on the cancellation of a registration and/or denial of renewal of registration shall be conducted in accordance with the requirements of R.S. 49:950 975 et seq., including all rights, notice requirements, evidentiary standards and rights to rehearing and appeal, set forth therein</w:t>
      </w:r>
      <w:r w:rsidR="00CF626A" w:rsidRPr="001531CD">
        <w:t>.</w:t>
      </w:r>
    </w:p>
    <w:p w14:paraId="7BAAA45A" w14:textId="77777777" w:rsidR="00CF626A" w:rsidRPr="001531CD" w:rsidRDefault="00C90D66" w:rsidP="00C90D66">
      <w:pPr>
        <w:pStyle w:val="AuthorityNote"/>
      </w:pPr>
      <w:r w:rsidRPr="001531CD">
        <w:t>AUTHORITY NOTE:</w:t>
      </w:r>
      <w:r w:rsidRPr="001531CD">
        <w:tab/>
        <w:t>Promulgated in accordance with R.S. 3:1392, R.S. 3:1393 and R.S. 3:1400.</w:t>
      </w:r>
    </w:p>
    <w:p w14:paraId="5C701B3C" w14:textId="77777777"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r w:rsidR="006E4C65">
        <w:t xml:space="preserve">, </w:t>
      </w:r>
      <w:r w:rsidR="006E4C65" w:rsidRPr="00154D48">
        <w:t xml:space="preserve">amended by the Department of Agriculture and Forestry, </w:t>
      </w:r>
      <w:r w:rsidR="006E4C65">
        <w:t xml:space="preserve">Office of Animal Health and Food Safety and </w:t>
      </w:r>
      <w:r w:rsidR="006E4C65" w:rsidRPr="00154D48">
        <w:t xml:space="preserve">Agricultural Chemistry and Seed Commission, </w:t>
      </w:r>
      <w:r w:rsidR="006E4C65">
        <w:t>LR 51:650 (May 2025).</w:t>
      </w:r>
    </w:p>
    <w:p w14:paraId="53D1C774" w14:textId="77777777" w:rsidR="00AE4578" w:rsidRPr="001531CD" w:rsidRDefault="00CF626A" w:rsidP="00AE4578">
      <w:pPr>
        <w:pStyle w:val="Section"/>
      </w:pPr>
      <w:bookmarkStart w:id="1596" w:name="_Toc256754677"/>
      <w:bookmarkStart w:id="1597" w:name="_Toc224819010"/>
      <w:r w:rsidRPr="001531CD">
        <w:t>§169.</w:t>
      </w:r>
      <w:r w:rsidRPr="001531CD">
        <w:tab/>
      </w:r>
      <w:bookmarkEnd w:id="1596"/>
      <w:r w:rsidR="00AE4578" w:rsidRPr="001531CD">
        <w:t>Confidentiality of Records</w:t>
      </w:r>
      <w:bookmarkEnd w:id="1597"/>
    </w:p>
    <w:p w14:paraId="31DD943E" w14:textId="77777777" w:rsidR="00AE4578" w:rsidRPr="001531CD" w:rsidRDefault="00AE4578" w:rsidP="00AE4578">
      <w:pPr>
        <w:pStyle w:val="A"/>
      </w:pPr>
      <w:r w:rsidRPr="001531CD">
        <w:t>A.</w:t>
      </w:r>
      <w:r w:rsidRPr="001531CD">
        <w:tab/>
        <w:t>Information concerning the amount of feed sold and the business practices of registrants which is obtained from tonnage reports shall be kept confidential and shall not be revealed to the public or to other registrants by the commission, the commissioner, nor any employee of the Department of Agriculture and Forestry.</w:t>
      </w:r>
    </w:p>
    <w:p w14:paraId="1C8CE5F8" w14:textId="77777777" w:rsidR="00CF626A" w:rsidRPr="001531CD" w:rsidRDefault="00AE4578" w:rsidP="00AE4578">
      <w:pPr>
        <w:pStyle w:val="AuthorityNote"/>
      </w:pPr>
      <w:r w:rsidRPr="001531CD">
        <w:t>AUTHORITY NOTE:</w:t>
      </w:r>
      <w:r w:rsidRPr="001531CD">
        <w:tab/>
        <w:t>Promulgated in accordance with R.S. 3:1392 and R.S. 3:1401.</w:t>
      </w:r>
    </w:p>
    <w:p w14:paraId="645F0D98" w14:textId="77777777" w:rsidR="00CF626A" w:rsidRPr="001531CD" w:rsidRDefault="00CF626A">
      <w:pPr>
        <w:pStyle w:val="HistoricalNote"/>
      </w:pPr>
      <w:r w:rsidRPr="001531CD">
        <w:t>HISTORICAL NOTE:</w:t>
      </w:r>
      <w:r w:rsidRPr="001531CD">
        <w:tab/>
        <w:t>Promulgated by the Department of Agriculture, Feed Com</w:t>
      </w:r>
      <w:r w:rsidR="00AE4578" w:rsidRPr="001531CD">
        <w:t>mission, LR 11:228 (March 1985), amended by the Department of Agriculture and Forestry, Feed, Fertilizer, and Agricultural Liming Commission, LR 38:2527 (October 2012).</w:t>
      </w:r>
    </w:p>
    <w:p w14:paraId="2D996A65" w14:textId="77777777" w:rsidR="00AE4578" w:rsidRPr="001531CD" w:rsidRDefault="00AE4578">
      <w:pPr>
        <w:pStyle w:val="HistoricalNote"/>
      </w:pPr>
    </w:p>
    <w:p w14:paraId="719366ED" w14:textId="77777777" w:rsidR="00CF626A" w:rsidRPr="001531CD" w:rsidRDefault="00CF626A">
      <w:pPr>
        <w:pStyle w:val="Chapter"/>
        <w:sectPr w:rsidR="00CF626A" w:rsidRPr="001531CD" w:rsidSect="00167E2E">
          <w:headerReference w:type="even" r:id="rId41"/>
          <w:headerReference w:type="default" r:id="rId42"/>
          <w:type w:val="continuous"/>
          <w:pgSz w:w="12240" w:h="15840" w:code="1"/>
          <w:pgMar w:top="1080" w:right="864" w:bottom="864" w:left="864" w:header="576" w:footer="432" w:gutter="0"/>
          <w:cols w:num="2" w:space="720"/>
        </w:sectPr>
      </w:pPr>
    </w:p>
    <w:p w14:paraId="3EE081D1"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45E1022C" w14:textId="77777777" w:rsidR="00AE4578" w:rsidRPr="001531CD" w:rsidRDefault="00AE4578" w:rsidP="00AE4578">
      <w:pPr>
        <w:pStyle w:val="Title1"/>
      </w:pPr>
      <w:r w:rsidRPr="001531CD">
        <w:lastRenderedPageBreak/>
        <w:t>Title 7</w:t>
      </w:r>
    </w:p>
    <w:p w14:paraId="641D2441" w14:textId="77777777" w:rsidR="00AE4578" w:rsidRPr="001531CD" w:rsidRDefault="00AE4578" w:rsidP="00AE4578">
      <w:pPr>
        <w:pStyle w:val="Title2"/>
      </w:pPr>
      <w:r w:rsidRPr="001531CD">
        <w:t>AGRICULTURE AND ANIMALS</w:t>
      </w:r>
    </w:p>
    <w:p w14:paraId="4D04BC63" w14:textId="77777777" w:rsidR="00AE4578" w:rsidRPr="001531CD" w:rsidRDefault="00AE4578" w:rsidP="00AE4578">
      <w:pPr>
        <w:pStyle w:val="Part"/>
      </w:pPr>
      <w:bookmarkStart w:id="1598" w:name="_Toc77839968"/>
      <w:bookmarkStart w:id="1599" w:name="_Toc224819011"/>
      <w:r w:rsidRPr="001531CD">
        <w:t>Part XIX.  Agriculture Liming Materials</w:t>
      </w:r>
      <w:bookmarkEnd w:id="1598"/>
      <w:bookmarkEnd w:id="1599"/>
    </w:p>
    <w:p w14:paraId="49BBF596" w14:textId="77777777" w:rsidR="00AE4578" w:rsidRPr="001531CD" w:rsidRDefault="00AE4578" w:rsidP="00AE4578">
      <w:pPr>
        <w:pStyle w:val="Part"/>
      </w:pPr>
    </w:p>
    <w:p w14:paraId="4AC94A3E" w14:textId="77777777" w:rsidR="00AE4578" w:rsidRPr="001531CD" w:rsidRDefault="00AE4578" w:rsidP="00AE4578">
      <w:pPr>
        <w:pStyle w:val="Part"/>
        <w:sectPr w:rsidR="00AE4578" w:rsidRPr="001531CD" w:rsidSect="00167E2E">
          <w:headerReference w:type="default" r:id="rId43"/>
          <w:type w:val="oddPage"/>
          <w:pgSz w:w="12240" w:h="15840" w:code="1"/>
          <w:pgMar w:top="1080" w:right="864" w:bottom="864" w:left="864" w:header="576" w:footer="432" w:gutter="0"/>
          <w:cols w:space="720"/>
          <w:docGrid w:linePitch="326"/>
        </w:sectPr>
      </w:pPr>
    </w:p>
    <w:p w14:paraId="273202B1" w14:textId="77777777" w:rsidR="00AE4578" w:rsidRPr="001531CD" w:rsidRDefault="00AE4578" w:rsidP="00AE4578">
      <w:pPr>
        <w:pStyle w:val="Chapter"/>
      </w:pPr>
      <w:bookmarkStart w:id="1600" w:name="_Toc224819012"/>
      <w:r w:rsidRPr="001531CD">
        <w:t>Chapter 1.</w:t>
      </w:r>
      <w:r w:rsidRPr="001531CD">
        <w:tab/>
        <w:t>General Provisions</w:t>
      </w:r>
      <w:bookmarkEnd w:id="1600"/>
    </w:p>
    <w:p w14:paraId="449E15CB" w14:textId="77777777" w:rsidR="00AE4578" w:rsidRPr="001531CD" w:rsidRDefault="00AE4578" w:rsidP="00AE4578">
      <w:pPr>
        <w:pStyle w:val="Section"/>
      </w:pPr>
      <w:bookmarkStart w:id="1601" w:name="_Toc224819013"/>
      <w:r w:rsidRPr="001531CD">
        <w:t>§101.</w:t>
      </w:r>
      <w:r w:rsidRPr="001531CD">
        <w:tab/>
        <w:t>Analysis and Deficiencies</w:t>
      </w:r>
      <w:bookmarkEnd w:id="1601"/>
    </w:p>
    <w:p w14:paraId="7FB6F03F" w14:textId="77777777" w:rsidR="00AE4578" w:rsidRPr="001531CD" w:rsidRDefault="00AE4578" w:rsidP="00AE4578">
      <w:pPr>
        <w:pStyle w:val="A"/>
      </w:pPr>
      <w:r w:rsidRPr="001531CD">
        <w:t>A.</w:t>
      </w:r>
      <w:r w:rsidRPr="001531CD">
        <w:tab/>
        <w:t xml:space="preserve">Analysis of lime samples shall be conducted in accordance with methods published by the Association of Official Analytical Chemists or in accordance with other generally recognized methods. </w:t>
      </w:r>
    </w:p>
    <w:p w14:paraId="282BA97C" w14:textId="77777777" w:rsidR="00AE4578" w:rsidRPr="001531CD" w:rsidRDefault="00AE4578" w:rsidP="00AE4578">
      <w:pPr>
        <w:pStyle w:val="A"/>
      </w:pPr>
      <w:r w:rsidRPr="001531CD">
        <w:t>B.</w:t>
      </w:r>
      <w:r w:rsidRPr="001531CD">
        <w:tab/>
        <w:t xml:space="preserve">Liming material that, upon official analysis, is found to be deficient by 5 percent or more shall be considered as having failed to meet the standard set forth in R.S. 3:1430.8. </w:t>
      </w:r>
    </w:p>
    <w:p w14:paraId="2E11B29F" w14:textId="77777777" w:rsidR="00AE4578" w:rsidRPr="001531CD" w:rsidRDefault="00AE4578" w:rsidP="00AE4578">
      <w:pPr>
        <w:pStyle w:val="AuthorityNote"/>
      </w:pPr>
      <w:r w:rsidRPr="001531CD">
        <w:t xml:space="preserve">AUTHORITY NOTE: Promulgated in accordance with R.S. 3:1430.8(I). </w:t>
      </w:r>
    </w:p>
    <w:p w14:paraId="77FE368E" w14:textId="77777777" w:rsidR="00AE4578" w:rsidRPr="001531CD" w:rsidRDefault="00AE4578" w:rsidP="00DD0D23">
      <w:pPr>
        <w:pStyle w:val="HistoricalNote"/>
      </w:pPr>
      <w:r w:rsidRPr="001531CD">
        <w:t>HISTORICAL NOTE: Promulgated by the Department of Agriculture and Forestry, Feed, Fertilizer, and Agricultural Liming Commission, LR 38:2527 (October 2012).</w:t>
      </w:r>
    </w:p>
    <w:p w14:paraId="6E7FD9A6" w14:textId="77777777" w:rsidR="00DD0D23" w:rsidRPr="001531CD" w:rsidRDefault="00DD0D23" w:rsidP="00DD0D23">
      <w:pPr>
        <w:pStyle w:val="Chapter"/>
        <w:sectPr w:rsidR="00DD0D23" w:rsidRPr="001531CD" w:rsidSect="00167E2E">
          <w:headerReference w:type="even" r:id="rId44"/>
          <w:headerReference w:type="default" r:id="rId45"/>
          <w:type w:val="continuous"/>
          <w:pgSz w:w="12240" w:h="15840" w:code="1"/>
          <w:pgMar w:top="1080" w:right="864" w:bottom="864" w:left="864" w:header="576" w:footer="432" w:gutter="0"/>
          <w:cols w:num="2" w:space="720"/>
        </w:sectPr>
      </w:pPr>
    </w:p>
    <w:p w14:paraId="39CD9D15" w14:textId="77777777" w:rsidR="00DD0D23" w:rsidRPr="001531CD" w:rsidRDefault="00DD0D23" w:rsidP="00AE4578">
      <w:pPr>
        <w:pStyle w:val="Chapter"/>
        <w:sectPr w:rsidR="00DD0D23" w:rsidRPr="001531CD" w:rsidSect="00167E2E">
          <w:headerReference w:type="even" r:id="rId46"/>
          <w:headerReference w:type="default" r:id="rId47"/>
          <w:type w:val="continuous"/>
          <w:pgSz w:w="12240" w:h="15840" w:code="1"/>
          <w:pgMar w:top="1080" w:right="864" w:bottom="864" w:left="864" w:header="576" w:footer="432" w:gutter="0"/>
          <w:cols w:num="2" w:space="720"/>
        </w:sectPr>
      </w:pPr>
    </w:p>
    <w:p w14:paraId="200FF823" w14:textId="77777777" w:rsidR="00CF626A" w:rsidRPr="001531CD" w:rsidRDefault="00CF626A" w:rsidP="00F03863">
      <w:pPr>
        <w:pStyle w:val="Title1"/>
        <w:outlineLvl w:val="0"/>
      </w:pPr>
      <w:r w:rsidRPr="001531CD">
        <w:lastRenderedPageBreak/>
        <w:t>Title 7</w:t>
      </w:r>
    </w:p>
    <w:p w14:paraId="1FAF1176" w14:textId="77777777" w:rsidR="00CF626A" w:rsidRPr="001531CD" w:rsidRDefault="00CF626A">
      <w:pPr>
        <w:pStyle w:val="Title2"/>
      </w:pPr>
      <w:r w:rsidRPr="001531CD">
        <w:t>AGRICULTURE AND ANIMALS</w:t>
      </w:r>
    </w:p>
    <w:p w14:paraId="1A3D9EEE" w14:textId="77777777" w:rsidR="00CF626A" w:rsidRPr="001531CD" w:rsidRDefault="00CF626A">
      <w:pPr>
        <w:pStyle w:val="Part"/>
      </w:pPr>
      <w:bookmarkStart w:id="1602" w:name="TOC_Part9"/>
      <w:bookmarkStart w:id="1603" w:name="_Toc77839971"/>
      <w:bookmarkStart w:id="1604" w:name="_Toc224819014"/>
      <w:r w:rsidRPr="001531CD">
        <w:t xml:space="preserve">Part XXI.  </w:t>
      </w:r>
      <w:bookmarkEnd w:id="1602"/>
      <w:r w:rsidR="009E3DA3" w:rsidRPr="00A1145E">
        <w:t>Animals and Animal Health</w:t>
      </w:r>
      <w:bookmarkEnd w:id="1603"/>
      <w:bookmarkEnd w:id="1604"/>
    </w:p>
    <w:p w14:paraId="4906D9BE" w14:textId="77777777" w:rsidR="00CF626A" w:rsidRPr="001531CD" w:rsidRDefault="00CF626A">
      <w:pPr>
        <w:pStyle w:val="Part"/>
      </w:pPr>
    </w:p>
    <w:p w14:paraId="26DC1A3A" w14:textId="77777777" w:rsidR="00CF626A" w:rsidRPr="001531CD" w:rsidRDefault="00CF626A">
      <w:pPr>
        <w:pStyle w:val="Part"/>
        <w:sectPr w:rsidR="00CF626A" w:rsidRPr="001531CD" w:rsidSect="00167E2E">
          <w:headerReference w:type="default" r:id="rId48"/>
          <w:type w:val="oddPage"/>
          <w:pgSz w:w="12240" w:h="15840" w:code="1"/>
          <w:pgMar w:top="1080" w:right="864" w:bottom="864" w:left="864" w:header="576" w:footer="432" w:gutter="0"/>
          <w:cols w:space="720"/>
          <w:docGrid w:linePitch="326"/>
        </w:sectPr>
      </w:pPr>
    </w:p>
    <w:p w14:paraId="64E6F27E" w14:textId="77777777" w:rsidR="005A46E7" w:rsidRPr="00A1145E" w:rsidRDefault="005A46E7" w:rsidP="001D403C">
      <w:pPr>
        <w:pStyle w:val="Chapter"/>
      </w:pPr>
      <w:bookmarkStart w:id="1605" w:name="_Toc224819015"/>
      <w:r w:rsidRPr="00A1145E">
        <w:t>Chapter 1.</w:t>
      </w:r>
      <w:r w:rsidRPr="00A1145E">
        <w:tab/>
        <w:t>General Provisions; Administrative Matters</w:t>
      </w:r>
      <w:bookmarkEnd w:id="1605"/>
    </w:p>
    <w:p w14:paraId="0AF1BA4C" w14:textId="77777777" w:rsidR="005A46E7" w:rsidRPr="00A1145E" w:rsidRDefault="005A46E7" w:rsidP="005A46E7">
      <w:pPr>
        <w:pStyle w:val="Chapter"/>
      </w:pPr>
      <w:bookmarkStart w:id="1606" w:name="_Toc224819016"/>
      <w:r w:rsidRPr="00A1145E">
        <w:t>Subchapter A.</w:t>
      </w:r>
      <w:r w:rsidRPr="00A1145E">
        <w:tab/>
        <w:t>General Provisions</w:t>
      </w:r>
      <w:bookmarkEnd w:id="1606"/>
    </w:p>
    <w:p w14:paraId="7684A603" w14:textId="77777777" w:rsidR="005A46E7" w:rsidRDefault="005A46E7" w:rsidP="005A46E7">
      <w:pPr>
        <w:pStyle w:val="Section"/>
      </w:pPr>
      <w:bookmarkStart w:id="1607" w:name="_Toc224819017"/>
      <w:r w:rsidRPr="00A1145E">
        <w:t>§101.</w:t>
      </w:r>
      <w:r w:rsidRPr="00A1145E">
        <w:tab/>
        <w:t>Definitions</w:t>
      </w:r>
      <w:bookmarkEnd w:id="1607"/>
    </w:p>
    <w:p w14:paraId="59E1A7F7" w14:textId="77777777" w:rsidR="00015484" w:rsidRPr="00A1145E" w:rsidRDefault="00015484" w:rsidP="00015484">
      <w:pPr>
        <w:pStyle w:val="A"/>
      </w:pPr>
      <w:r w:rsidRPr="002024DD">
        <w:t>A.</w:t>
      </w:r>
      <w:r w:rsidRPr="002024DD">
        <w:tab/>
      </w:r>
      <w:r w:rsidR="00922D5D" w:rsidRPr="002024DD">
        <w:t>As used in this Part, the following terms shall have the following meanings ascribed to them.</w:t>
      </w:r>
    </w:p>
    <w:p w14:paraId="40F597B5" w14:textId="77777777" w:rsidR="005A46E7" w:rsidRPr="00A1145E" w:rsidRDefault="005A46E7" w:rsidP="00015484">
      <w:pPr>
        <w:pStyle w:val="1"/>
      </w:pPr>
      <w:r w:rsidRPr="00A1145E">
        <w:rPr>
          <w:i/>
          <w:iCs/>
        </w:rPr>
        <w:t>Accredited Herd</w:t>
      </w:r>
      <w:r w:rsidR="00F010F5">
        <w:t>—</w:t>
      </w:r>
      <w:r w:rsidRPr="00A1145E">
        <w:t xml:space="preserve">a herd which has passed at least two consecutive annual tuberculin tests and no other evidence of bovine tuberculosis has been disclosed. </w:t>
      </w:r>
    </w:p>
    <w:p w14:paraId="28C9C097" w14:textId="77777777" w:rsidR="00922D5D" w:rsidRPr="002024DD" w:rsidRDefault="00922D5D" w:rsidP="00922D5D">
      <w:pPr>
        <w:pStyle w:val="1"/>
      </w:pPr>
      <w:r w:rsidRPr="002024DD">
        <w:rPr>
          <w:i/>
          <w:iCs/>
        </w:rPr>
        <w:t>Accredited Veterinarian</w:t>
      </w:r>
      <w:r w:rsidRPr="002024DD">
        <w:rPr>
          <w:iCs/>
        </w:rPr>
        <w:t>—</w:t>
      </w:r>
      <w:r w:rsidRPr="002024DD">
        <w:t xml:space="preserve">a licensed veterinarian </w:t>
      </w:r>
      <w:r w:rsidRPr="00B10537">
        <w:rPr>
          <w:i/>
        </w:rPr>
        <w:t>accredited</w:t>
      </w:r>
      <w:r w:rsidRPr="002024DD">
        <w:t xml:space="preserve"> by the United States Department of Agriculture (USDA).</w:t>
      </w:r>
    </w:p>
    <w:p w14:paraId="5EEE1F6B" w14:textId="77777777" w:rsidR="005A46E7" w:rsidRPr="00A1145E" w:rsidRDefault="00922D5D" w:rsidP="00922D5D">
      <w:pPr>
        <w:pStyle w:val="1"/>
      </w:pPr>
      <w:r w:rsidRPr="00B10537">
        <w:rPr>
          <w:i/>
        </w:rPr>
        <w:t>AIN</w:t>
      </w:r>
      <w:r w:rsidRPr="002024DD">
        <w:rPr>
          <w:i/>
          <w:iCs/>
        </w:rPr>
        <w:t>—</w:t>
      </w:r>
      <w:r w:rsidRPr="002024DD">
        <w:t>animal identification number issued by the USDA.</w:t>
      </w:r>
      <w:r w:rsidR="005A46E7" w:rsidRPr="00A1145E">
        <w:t xml:space="preserve"> </w:t>
      </w:r>
    </w:p>
    <w:p w14:paraId="70383F68" w14:textId="77777777" w:rsidR="005A46E7" w:rsidRPr="00A1145E" w:rsidRDefault="005A46E7" w:rsidP="00015484">
      <w:pPr>
        <w:pStyle w:val="1"/>
      </w:pPr>
      <w:r w:rsidRPr="00015484">
        <w:rPr>
          <w:i/>
        </w:rPr>
        <w:t>Annual Test</w:t>
      </w:r>
      <w:r w:rsidR="00F010F5">
        <w:t>—</w:t>
      </w:r>
      <w:r w:rsidRPr="00A1145E">
        <w:t xml:space="preserve">tests conducted at intervals of not less than 10 months nor more than 14 months. </w:t>
      </w:r>
    </w:p>
    <w:p w14:paraId="38E57C6E" w14:textId="77777777" w:rsidR="005A46E7" w:rsidRPr="00A1145E" w:rsidRDefault="005A46E7" w:rsidP="00015484">
      <w:pPr>
        <w:pStyle w:val="1"/>
      </w:pPr>
      <w:r w:rsidRPr="00015484">
        <w:rPr>
          <w:i/>
        </w:rPr>
        <w:t>APHIS</w:t>
      </w:r>
      <w:r w:rsidRPr="00A1145E">
        <w:t xml:space="preserve">—the Animal and Plant Health Inspection Service of the United States Department of Agriculture. </w:t>
      </w:r>
    </w:p>
    <w:p w14:paraId="56E36758" w14:textId="77777777" w:rsidR="005A46E7" w:rsidRPr="00A1145E" w:rsidRDefault="005A46E7" w:rsidP="00015484">
      <w:pPr>
        <w:pStyle w:val="1"/>
      </w:pPr>
      <w:r w:rsidRPr="00015484">
        <w:rPr>
          <w:i/>
        </w:rPr>
        <w:t>Approved Slaughter Establishment</w:t>
      </w:r>
      <w:r w:rsidR="00F010F5">
        <w:t>—</w:t>
      </w:r>
      <w:r w:rsidRPr="00A1145E">
        <w:t xml:space="preserve">any slaughter establishment that is under state or federal meat inspection. </w:t>
      </w:r>
    </w:p>
    <w:p w14:paraId="6D007D92" w14:textId="77777777" w:rsidR="005A46E7" w:rsidRPr="00A1145E" w:rsidRDefault="005A46E7" w:rsidP="00015484">
      <w:pPr>
        <w:pStyle w:val="1"/>
      </w:pPr>
      <w:r w:rsidRPr="00015484">
        <w:rPr>
          <w:i/>
        </w:rPr>
        <w:t>Aquaculture</w:t>
      </w:r>
      <w:r w:rsidR="00F010F5">
        <w:t>—</w:t>
      </w:r>
      <w:r w:rsidRPr="00A1145E">
        <w:t xml:space="preserve">producing, raising, managing, harvesting, or marketing of aquatic livestock under controlled conditions. </w:t>
      </w:r>
    </w:p>
    <w:p w14:paraId="46DE4BBD" w14:textId="77777777" w:rsidR="005A46E7" w:rsidRPr="00A1145E" w:rsidRDefault="005A46E7" w:rsidP="00015484">
      <w:pPr>
        <w:pStyle w:val="1"/>
      </w:pPr>
      <w:r w:rsidRPr="00015484">
        <w:rPr>
          <w:i/>
        </w:rPr>
        <w:t>Aquatic Livestock</w:t>
      </w:r>
      <w:r w:rsidR="00F010F5">
        <w:t>—</w:t>
      </w:r>
      <w:r w:rsidRPr="00A1145E">
        <w:t xml:space="preserve">finfish species and crawfish produced, raised, managed, or harvested within or from a constructed impoundment in compliance with rules and regulations </w:t>
      </w:r>
      <w:r>
        <w:t xml:space="preserve">adopted pursuant to this Part. </w:t>
      </w:r>
      <w:r w:rsidRPr="00015484">
        <w:t>Aquatic livestock</w:t>
      </w:r>
      <w:r w:rsidRPr="00A1145E">
        <w:t xml:space="preserve"> shall not include those species of fish excluded fro</w:t>
      </w:r>
      <w:r>
        <w:t>m this Part by R.S. 3:559.14.</w:t>
      </w:r>
    </w:p>
    <w:p w14:paraId="590C7BAF" w14:textId="77777777" w:rsidR="005A46E7" w:rsidRPr="00A1145E" w:rsidRDefault="005A46E7" w:rsidP="00015484">
      <w:pPr>
        <w:pStyle w:val="1"/>
      </w:pPr>
      <w:r w:rsidRPr="00015484">
        <w:rPr>
          <w:i/>
        </w:rPr>
        <w:t>Auction Operator</w:t>
      </w:r>
      <w:r w:rsidR="00F010F5">
        <w:t>—</w:t>
      </w:r>
      <w:r w:rsidRPr="00A1145E">
        <w:t>a person responsible for the operation of a livestock auction market.</w:t>
      </w:r>
    </w:p>
    <w:p w14:paraId="4EF1C33D" w14:textId="77777777" w:rsidR="005A46E7" w:rsidRPr="00A1145E" w:rsidRDefault="005A46E7" w:rsidP="00015484">
      <w:pPr>
        <w:pStyle w:val="1"/>
      </w:pPr>
      <w:r w:rsidRPr="00015484">
        <w:rPr>
          <w:i/>
        </w:rPr>
        <w:t>Auction Veterinarian</w:t>
      </w:r>
      <w:r w:rsidR="00F010F5">
        <w:t>—</w:t>
      </w:r>
      <w:r w:rsidRPr="00A1145E">
        <w:t>an accredited veterinarian employed at an auction market and authorized to carry out the provisions of the livestock auction market regulations.</w:t>
      </w:r>
    </w:p>
    <w:p w14:paraId="2BDBCCC2" w14:textId="77777777" w:rsidR="005A46E7" w:rsidRPr="00A1145E" w:rsidRDefault="005A46E7" w:rsidP="00015484">
      <w:pPr>
        <w:pStyle w:val="1"/>
      </w:pPr>
      <w:r w:rsidRPr="00015484">
        <w:rPr>
          <w:i/>
        </w:rPr>
        <w:t>Authorized Agent of the Livestock Sanitary Board</w:t>
      </w:r>
      <w:r w:rsidR="00F010F5">
        <w:t>—</w:t>
      </w:r>
      <w:r w:rsidRPr="00A1145E">
        <w:t>an employee of the Livest</w:t>
      </w:r>
      <w:r>
        <w:t>ock Sanitary Board or the USDA.</w:t>
      </w:r>
    </w:p>
    <w:p w14:paraId="2A4B00E6" w14:textId="77777777" w:rsidR="005A46E7" w:rsidRPr="00A1145E" w:rsidRDefault="005A46E7" w:rsidP="00015484">
      <w:pPr>
        <w:pStyle w:val="1"/>
      </w:pPr>
      <w:r w:rsidRPr="00015484">
        <w:rPr>
          <w:i/>
        </w:rPr>
        <w:t>Authorized</w:t>
      </w:r>
      <w:r w:rsidRPr="00C430D3">
        <w:rPr>
          <w:i/>
        </w:rPr>
        <w:t xml:space="preserve"> Buyer</w:t>
      </w:r>
      <w:r w:rsidR="00F010F5">
        <w:t>—</w:t>
      </w:r>
    </w:p>
    <w:p w14:paraId="1A6E49E7" w14:textId="77777777" w:rsidR="005A46E7" w:rsidRPr="00015484" w:rsidRDefault="00015484" w:rsidP="00015484">
      <w:pPr>
        <w:pStyle w:val="a0"/>
      </w:pPr>
      <w:r>
        <w:t>a</w:t>
      </w:r>
      <w:r w:rsidR="005A46E7">
        <w:t>.</w:t>
      </w:r>
      <w:r w:rsidR="005A46E7">
        <w:tab/>
      </w:r>
      <w:r w:rsidR="005A46E7" w:rsidRPr="00A1145E">
        <w:t xml:space="preserve">an employee of a USDA approved slaughtering establishment </w:t>
      </w:r>
      <w:r w:rsidR="005A46E7" w:rsidRPr="00015484">
        <w:t>who buys livestock that move from the auction market directly to the slaughtering establishment with no period of time spent in a holding area of any kind;</w:t>
      </w:r>
    </w:p>
    <w:p w14:paraId="1415EE4D" w14:textId="77777777" w:rsidR="005A46E7" w:rsidRPr="00A1145E" w:rsidRDefault="00015484" w:rsidP="00015484">
      <w:pPr>
        <w:pStyle w:val="a0"/>
      </w:pPr>
      <w:r w:rsidRPr="00015484">
        <w:t>b</w:t>
      </w:r>
      <w:r w:rsidR="005A46E7" w:rsidRPr="00015484">
        <w:t>.</w:t>
      </w:r>
      <w:r w:rsidR="005A46E7" w:rsidRPr="00015484">
        <w:tab/>
        <w:t>a buyer who has a permit issued by the Livestock Sanitary Board</w:t>
      </w:r>
      <w:r w:rsidR="005A46E7" w:rsidRPr="00A1145E">
        <w:t xml:space="preserve"> to operate a quarantine holding area for EIA positive and "S" branded hors</w:t>
      </w:r>
      <w:r w:rsidR="005A46E7">
        <w:t>es; or</w:t>
      </w:r>
    </w:p>
    <w:p w14:paraId="2863A91C" w14:textId="77777777" w:rsidR="005A46E7" w:rsidRPr="00A1145E" w:rsidRDefault="00015484" w:rsidP="00015484">
      <w:pPr>
        <w:pStyle w:val="a0"/>
      </w:pPr>
      <w:r>
        <w:t>c</w:t>
      </w:r>
      <w:r w:rsidR="005A46E7">
        <w:t>.</w:t>
      </w:r>
      <w:r w:rsidR="005A46E7">
        <w:tab/>
        <w:t>a permitted livestock dealer.</w:t>
      </w:r>
    </w:p>
    <w:p w14:paraId="125B664D" w14:textId="77777777" w:rsidR="005A46E7" w:rsidRPr="00A1145E" w:rsidRDefault="00922D5D" w:rsidP="00F010F5">
      <w:pPr>
        <w:pStyle w:val="1"/>
      </w:pPr>
      <w:r w:rsidRPr="00B10537">
        <w:rPr>
          <w:i/>
        </w:rPr>
        <w:t>Board</w:t>
      </w:r>
      <w:r w:rsidRPr="002024DD">
        <w:rPr>
          <w:i/>
          <w:iCs/>
        </w:rPr>
        <w:t>—</w:t>
      </w:r>
      <w:r w:rsidRPr="002024DD">
        <w:t>the Louisiana Board of Animal Health.</w:t>
      </w:r>
    </w:p>
    <w:p w14:paraId="57704441" w14:textId="77777777" w:rsidR="005A46E7" w:rsidRPr="00A1145E" w:rsidRDefault="005A46E7" w:rsidP="00F010F5">
      <w:pPr>
        <w:pStyle w:val="1"/>
      </w:pPr>
      <w:r w:rsidRPr="00F010F5">
        <w:rPr>
          <w:i/>
        </w:rPr>
        <w:t>Bovine Tuberculosis</w:t>
      </w:r>
      <w:r w:rsidRPr="00A1145E">
        <w:sym w:font="Symbol" w:char="F0BE"/>
      </w:r>
      <w:r w:rsidRPr="00A1145E">
        <w:t xml:space="preserve">a disease in cattle, bison, or dairy goats caused by </w:t>
      </w:r>
      <w:r w:rsidRPr="00F010F5">
        <w:t>Mycobacterium bovis</w:t>
      </w:r>
      <w:r>
        <w:t>.</w:t>
      </w:r>
    </w:p>
    <w:p w14:paraId="08F758DE" w14:textId="77777777" w:rsidR="005A46E7" w:rsidRPr="00A1145E" w:rsidRDefault="005A46E7" w:rsidP="00F010F5">
      <w:pPr>
        <w:pStyle w:val="1"/>
      </w:pPr>
      <w:r w:rsidRPr="00F010F5">
        <w:rPr>
          <w:i/>
        </w:rPr>
        <w:t>Breeding Purpose</w:t>
      </w:r>
      <w:r w:rsidR="00F010F5">
        <w:t>—</w:t>
      </w:r>
      <w:r w:rsidRPr="00A1145E">
        <w:t>all cattle, purebred or grade, that are sold for stocker, feeding, grazing, dairy and/or reproductive purposes.</w:t>
      </w:r>
    </w:p>
    <w:p w14:paraId="1418FBAB" w14:textId="77777777" w:rsidR="005A46E7" w:rsidRPr="00A1145E" w:rsidRDefault="005A46E7" w:rsidP="00F010F5">
      <w:pPr>
        <w:pStyle w:val="1"/>
      </w:pPr>
      <w:r w:rsidRPr="00F010F5">
        <w:rPr>
          <w:i/>
        </w:rPr>
        <w:t>Breeding-Type Cattle</w:t>
      </w:r>
      <w:r w:rsidR="00F010F5">
        <w:t>—</w:t>
      </w:r>
      <w:r w:rsidRPr="00A1145E">
        <w:t>all cattle 20 months of age and over for dairy breeds and 24 months of age and over for beef breeds as evidenced by the presence of the first pair of permanent incisor teeth, including animals under these ages which are parturient or post-parturient, other than steers and spayed heifers offered for sale for any purpose other than immediate slaughter. This includes dairy, stocker, feeder-grazer and purebred animals.</w:t>
      </w:r>
    </w:p>
    <w:p w14:paraId="1D7B7962" w14:textId="77777777" w:rsidR="005A46E7" w:rsidRPr="00A1145E" w:rsidRDefault="005A46E7" w:rsidP="00F010F5">
      <w:pPr>
        <w:pStyle w:val="1"/>
      </w:pPr>
      <w:r w:rsidRPr="00F010F5">
        <w:rPr>
          <w:i/>
        </w:rPr>
        <w:t>Brucellosis</w:t>
      </w:r>
      <w:r w:rsidR="00F010F5">
        <w:t>—</w:t>
      </w:r>
      <w:r w:rsidRPr="00A1145E">
        <w:t xml:space="preserve">a disease of livestock capable of being transmitted to man and caused by Brucella organisms, commonly called "Bang's disease" in cattle and "undulant fever" in man. </w:t>
      </w:r>
    </w:p>
    <w:p w14:paraId="24EC692A" w14:textId="77777777" w:rsidR="005A46E7" w:rsidRPr="00A1145E" w:rsidRDefault="005A46E7" w:rsidP="00F010F5">
      <w:pPr>
        <w:pStyle w:val="1"/>
      </w:pPr>
      <w:r w:rsidRPr="00F010F5">
        <w:rPr>
          <w:i/>
        </w:rPr>
        <w:t>Brucellosis Exposed Herd</w:t>
      </w:r>
      <w:r w:rsidR="00F010F5">
        <w:t>—</w:t>
      </w:r>
      <w:r w:rsidRPr="00A1145E">
        <w:t xml:space="preserve">a herd of cattle that has intermingled with </w:t>
      </w:r>
      <w:r w:rsidRPr="00F010F5">
        <w:t>Brucellosis</w:t>
      </w:r>
      <w:r w:rsidRPr="00A1145E">
        <w:t xml:space="preserve"> infected cattle or otherwise been exposed to </w:t>
      </w:r>
      <w:r w:rsidRPr="002248D5">
        <w:rPr>
          <w:i/>
        </w:rPr>
        <w:t>Brucellosis</w:t>
      </w:r>
      <w:r w:rsidRPr="00A1145E">
        <w:t xml:space="preserve"> infected animals which includes:</w:t>
      </w:r>
    </w:p>
    <w:p w14:paraId="1C8B2B74" w14:textId="77777777" w:rsidR="005A46E7" w:rsidRPr="00A1145E" w:rsidRDefault="00F010F5" w:rsidP="00F010F5">
      <w:pPr>
        <w:pStyle w:val="a0"/>
      </w:pPr>
      <w:r>
        <w:t>a</w:t>
      </w:r>
      <w:r w:rsidR="005A46E7" w:rsidRPr="00A1145E">
        <w:t>.</w:t>
      </w:r>
      <w:r w:rsidR="005A46E7" w:rsidRPr="00A1145E">
        <w:tab/>
        <w:t xml:space="preserve">cattle whose premises are adjacent to that of known infected cattle even though a roadway, waterway, or any right of-way or servitude is between the premises and if deemed necessary by the state veterinarian and the designated epidemiologist, the premises are considered to be adjacent; </w:t>
      </w:r>
    </w:p>
    <w:p w14:paraId="220EC7A6" w14:textId="77777777" w:rsidR="005A46E7" w:rsidRPr="00A1145E" w:rsidRDefault="00F010F5" w:rsidP="00F010F5">
      <w:pPr>
        <w:pStyle w:val="a0"/>
      </w:pPr>
      <w:r>
        <w:t>b</w:t>
      </w:r>
      <w:r w:rsidR="005A46E7" w:rsidRPr="00A1145E">
        <w:t>.</w:t>
      </w:r>
      <w:r w:rsidR="005A46E7" w:rsidRPr="00A1145E">
        <w:tab/>
        <w:t xml:space="preserve">cattle herds where there is direct drainage from </w:t>
      </w:r>
      <w:r w:rsidR="005A46E7" w:rsidRPr="00F010F5">
        <w:t>Brucellosis</w:t>
      </w:r>
      <w:r w:rsidR="005A46E7" w:rsidRPr="00A1145E">
        <w:t xml:space="preserve"> quarantined premises; or </w:t>
      </w:r>
    </w:p>
    <w:p w14:paraId="2C0E0239" w14:textId="77777777" w:rsidR="005A46E7" w:rsidRPr="00A1145E" w:rsidRDefault="00F010F5" w:rsidP="00F010F5">
      <w:pPr>
        <w:pStyle w:val="a0"/>
      </w:pPr>
      <w:r>
        <w:t>c</w:t>
      </w:r>
      <w:r w:rsidR="005A46E7" w:rsidRPr="00A1145E">
        <w:t>.</w:t>
      </w:r>
      <w:r w:rsidR="005A46E7" w:rsidRPr="00A1145E">
        <w:tab/>
        <w:t xml:space="preserve">cattle herds in common range with </w:t>
      </w:r>
      <w:r w:rsidR="005A46E7" w:rsidRPr="00F010F5">
        <w:t>Brucellosis</w:t>
      </w:r>
      <w:r w:rsidR="005A46E7" w:rsidRPr="00A1145E">
        <w:t xml:space="preserve"> infected herds.</w:t>
      </w:r>
    </w:p>
    <w:p w14:paraId="30781329" w14:textId="77777777" w:rsidR="005A46E7" w:rsidRPr="00C430D3" w:rsidRDefault="005A46E7" w:rsidP="001D403C">
      <w:pPr>
        <w:pStyle w:val="RegDoubleIndent"/>
        <w:spacing w:after="120"/>
        <w:rPr>
          <w:sz w:val="16"/>
          <w:szCs w:val="16"/>
        </w:rPr>
      </w:pPr>
      <w:r w:rsidRPr="00C430D3">
        <w:rPr>
          <w:sz w:val="16"/>
          <w:szCs w:val="16"/>
        </w:rPr>
        <w:t xml:space="preserve">NOTE: All herds, other than dairies, negative to the </w:t>
      </w:r>
      <w:r w:rsidRPr="002248D5">
        <w:rPr>
          <w:i/>
          <w:sz w:val="16"/>
          <w:szCs w:val="16"/>
        </w:rPr>
        <w:t>Brucellosis</w:t>
      </w:r>
      <w:r w:rsidRPr="00C430D3">
        <w:rPr>
          <w:sz w:val="16"/>
          <w:szCs w:val="16"/>
        </w:rPr>
        <w:t xml:space="preserve"> ring test (BRT) and certified </w:t>
      </w:r>
      <w:r w:rsidRPr="002248D5">
        <w:rPr>
          <w:i/>
          <w:sz w:val="16"/>
          <w:szCs w:val="16"/>
        </w:rPr>
        <w:t>Brucellosis</w:t>
      </w:r>
      <w:r w:rsidRPr="00C430D3">
        <w:rPr>
          <w:sz w:val="16"/>
          <w:szCs w:val="16"/>
        </w:rPr>
        <w:t xml:space="preserve"> free herds, tested within the past 12 months, owned by an individual, partnership, corporation, or association, that are within 50 miles of an infected herd owned by such individual, partnership, corporation, or association.</w:t>
      </w:r>
    </w:p>
    <w:p w14:paraId="0983C631" w14:textId="77777777" w:rsidR="005A46E7" w:rsidRPr="00A1145E" w:rsidRDefault="005A46E7" w:rsidP="00F010F5">
      <w:pPr>
        <w:pStyle w:val="1"/>
      </w:pPr>
      <w:r w:rsidRPr="002248D5">
        <w:rPr>
          <w:i/>
          <w:iCs/>
        </w:rPr>
        <w:t>Brucellosis</w:t>
      </w:r>
      <w:r w:rsidRPr="00A1145E">
        <w:rPr>
          <w:i/>
          <w:iCs/>
        </w:rPr>
        <w:t xml:space="preserve"> Herd Test</w:t>
      </w:r>
      <w:r w:rsidR="00F010F5">
        <w:t>—</w:t>
      </w:r>
      <w:r w:rsidRPr="00A1145E">
        <w:t xml:space="preserve">a </w:t>
      </w:r>
      <w:r w:rsidRPr="002248D5">
        <w:rPr>
          <w:i/>
        </w:rPr>
        <w:t>Brucellosis</w:t>
      </w:r>
      <w:r w:rsidRPr="00A1145E">
        <w:t xml:space="preserve"> test of all cattle in a herd over six months of age, except:</w:t>
      </w:r>
    </w:p>
    <w:p w14:paraId="1F57056B" w14:textId="77777777" w:rsidR="005A46E7" w:rsidRPr="00A1145E" w:rsidRDefault="00F010F5" w:rsidP="00F010F5">
      <w:pPr>
        <w:pStyle w:val="a0"/>
      </w:pPr>
      <w:r>
        <w:t>a</w:t>
      </w:r>
      <w:r w:rsidR="001D403C">
        <w:t>.</w:t>
      </w:r>
      <w:r w:rsidR="001D403C">
        <w:tab/>
        <w:t>steers;</w:t>
      </w:r>
    </w:p>
    <w:p w14:paraId="68779583" w14:textId="77777777" w:rsidR="005A46E7" w:rsidRPr="00A1145E" w:rsidRDefault="00F010F5" w:rsidP="00F010F5">
      <w:pPr>
        <w:pStyle w:val="a0"/>
      </w:pPr>
      <w:r>
        <w:t>b</w:t>
      </w:r>
      <w:r w:rsidR="005A46E7" w:rsidRPr="00A1145E">
        <w:t>.</w:t>
      </w:r>
      <w:r w:rsidR="005A46E7" w:rsidRPr="00A1145E">
        <w:tab/>
        <w:t>spayed heifers;</w:t>
      </w:r>
    </w:p>
    <w:p w14:paraId="4EAFB2E8" w14:textId="77777777" w:rsidR="005A46E7" w:rsidRPr="00A1145E" w:rsidRDefault="00F010F5" w:rsidP="00F010F5">
      <w:pPr>
        <w:pStyle w:val="a0"/>
      </w:pPr>
      <w:r>
        <w:t>c</w:t>
      </w:r>
      <w:r w:rsidR="005A46E7" w:rsidRPr="00A1145E">
        <w:t>.</w:t>
      </w:r>
      <w:r w:rsidR="005A46E7" w:rsidRPr="00A1145E">
        <w:tab/>
        <w:t xml:space="preserve">dairy animals that are official </w:t>
      </w:r>
      <w:r w:rsidR="005A46E7" w:rsidRPr="00F010F5">
        <w:t>Brucellosis</w:t>
      </w:r>
      <w:r w:rsidR="005A46E7" w:rsidRPr="00A1145E">
        <w:t xml:space="preserve"> calfhood vaccinates under 20 months of age, which are not parturient or preparturient (springers);</w:t>
      </w:r>
    </w:p>
    <w:p w14:paraId="456F52D6" w14:textId="77777777" w:rsidR="005A46E7" w:rsidRPr="00A1145E" w:rsidRDefault="00F010F5" w:rsidP="00F010F5">
      <w:pPr>
        <w:pStyle w:val="a0"/>
      </w:pPr>
      <w:r>
        <w:lastRenderedPageBreak/>
        <w:t>d</w:t>
      </w:r>
      <w:r w:rsidR="005A46E7" w:rsidRPr="00A1145E">
        <w:t>.</w:t>
      </w:r>
      <w:r w:rsidR="005A46E7" w:rsidRPr="00A1145E">
        <w:tab/>
        <w:t xml:space="preserve">beef animals that are official </w:t>
      </w:r>
      <w:r w:rsidR="005A46E7" w:rsidRPr="00F010F5">
        <w:t>Brucellosis</w:t>
      </w:r>
      <w:r w:rsidR="005A46E7" w:rsidRPr="00A1145E">
        <w:t xml:space="preserve"> calfhood vaccinates under 24 months of age which are not parturient or preparturient (springers).</w:t>
      </w:r>
    </w:p>
    <w:p w14:paraId="5AC9AC70" w14:textId="77777777" w:rsidR="005A46E7" w:rsidRPr="00C430D3" w:rsidRDefault="005A46E7" w:rsidP="00F010F5">
      <w:pPr>
        <w:pStyle w:val="1"/>
        <w:rPr>
          <w:i/>
        </w:rPr>
      </w:pPr>
      <w:r w:rsidRPr="002248D5">
        <w:rPr>
          <w:i/>
        </w:rPr>
        <w:t>Brucellosis</w:t>
      </w:r>
      <w:r w:rsidRPr="00C430D3">
        <w:rPr>
          <w:i/>
        </w:rPr>
        <w:t xml:space="preserve"> </w:t>
      </w:r>
      <w:r w:rsidRPr="00F010F5">
        <w:rPr>
          <w:i/>
        </w:rPr>
        <w:t>Infected</w:t>
      </w:r>
      <w:r w:rsidRPr="00C430D3">
        <w:rPr>
          <w:i/>
        </w:rPr>
        <w:t xml:space="preserve"> Herd</w:t>
      </w:r>
      <w:r w:rsidR="00F010F5">
        <w:t>—</w:t>
      </w:r>
    </w:p>
    <w:p w14:paraId="05E93695" w14:textId="77777777" w:rsidR="005A46E7" w:rsidRPr="00A1145E" w:rsidRDefault="00F010F5" w:rsidP="00F010F5">
      <w:pPr>
        <w:pStyle w:val="a0"/>
      </w:pPr>
      <w:r>
        <w:t>a</w:t>
      </w:r>
      <w:r w:rsidR="005A46E7" w:rsidRPr="00A1145E">
        <w:t>.</w:t>
      </w:r>
      <w:r w:rsidR="005A46E7" w:rsidRPr="00A1145E">
        <w:tab/>
        <w:t xml:space="preserve">a herd will be considered infected if an official </w:t>
      </w:r>
      <w:r w:rsidR="005A46E7" w:rsidRPr="00F010F5">
        <w:t>Brucellosis</w:t>
      </w:r>
      <w:r w:rsidR="005A46E7" w:rsidRPr="00A1145E">
        <w:t xml:space="preserve"> blood test of the herd reveals one or more reactors; </w:t>
      </w:r>
    </w:p>
    <w:p w14:paraId="5EDFA933" w14:textId="77777777" w:rsidR="005A46E7" w:rsidRPr="00A1145E" w:rsidRDefault="00F010F5" w:rsidP="00F010F5">
      <w:pPr>
        <w:pStyle w:val="a0"/>
      </w:pPr>
      <w:r>
        <w:t>b</w:t>
      </w:r>
      <w:r w:rsidR="005A46E7" w:rsidRPr="00A1145E">
        <w:t>.</w:t>
      </w:r>
      <w:r w:rsidR="005A46E7" w:rsidRPr="00A1145E">
        <w:tab/>
        <w:t xml:space="preserve">a herd to which one or more </w:t>
      </w:r>
      <w:r w:rsidR="005A46E7" w:rsidRPr="00F010F5">
        <w:t>Brucellosis</w:t>
      </w:r>
      <w:r w:rsidR="005A46E7" w:rsidRPr="00A1145E">
        <w:t xml:space="preserve"> reactors in a consignment, tested in the market cattle testing program, (tested on the physical premises of the auction market or slaughter establishment), has been traced. The herd shall be considered infected and under quarantine until the entire herd of origin has had two official negative blood tests, the second test being not less than 180 days from the date the last reactor was removed from the herd and the premises. The second test may be dispensed with upon concurrence by the state veterinarian, the designated epidemiologist and the state/federal area veterinarian, based on the history and epidemiology of the herd;</w:t>
      </w:r>
    </w:p>
    <w:p w14:paraId="456AF6C6" w14:textId="77777777" w:rsidR="005A46E7" w:rsidRPr="00A1145E" w:rsidRDefault="00F010F5" w:rsidP="00F010F5">
      <w:pPr>
        <w:pStyle w:val="a0"/>
      </w:pPr>
      <w:r>
        <w:t>c</w:t>
      </w:r>
      <w:r w:rsidR="005A46E7" w:rsidRPr="00A1145E">
        <w:t>.</w:t>
      </w:r>
      <w:r w:rsidR="005A46E7" w:rsidRPr="00A1145E">
        <w:tab/>
        <w:t>a dairy herd that has had a positive milk ring test. The herd shall be considered infected and handled as such until the entire herd has been officially blood tested. The status of the herd will then be determined by the results of the herd blood test.</w:t>
      </w:r>
    </w:p>
    <w:p w14:paraId="3389DD53" w14:textId="77777777" w:rsidR="005A46E7" w:rsidRPr="00A1145E" w:rsidRDefault="005A46E7" w:rsidP="00F010F5">
      <w:pPr>
        <w:pStyle w:val="1"/>
      </w:pPr>
      <w:r w:rsidRPr="002248D5">
        <w:rPr>
          <w:i/>
          <w:iCs/>
        </w:rPr>
        <w:t>Brucellosis</w:t>
      </w:r>
      <w:r w:rsidRPr="00A1145E">
        <w:rPr>
          <w:i/>
          <w:iCs/>
        </w:rPr>
        <w:t xml:space="preserve"> Qualified Herd</w:t>
      </w:r>
      <w:r w:rsidR="00751325">
        <w:t>—</w:t>
      </w:r>
      <w:r w:rsidRPr="00A1145E">
        <w:t xml:space="preserve">a herd located in a </w:t>
      </w:r>
      <w:r w:rsidRPr="002248D5">
        <w:rPr>
          <w:i/>
        </w:rPr>
        <w:t>Brucellosis</w:t>
      </w:r>
      <w:r w:rsidRPr="00A1145E">
        <w:t xml:space="preserve"> quarantined area that has been tested and found negative to </w:t>
      </w:r>
      <w:r w:rsidRPr="002248D5">
        <w:rPr>
          <w:i/>
        </w:rPr>
        <w:t>Brucellosis</w:t>
      </w:r>
      <w:r w:rsidRPr="00A1145E">
        <w:t xml:space="preserve"> within the last 12 months.</w:t>
      </w:r>
    </w:p>
    <w:p w14:paraId="4AFC995C" w14:textId="77777777" w:rsidR="005A46E7" w:rsidRPr="00A1145E" w:rsidRDefault="005A46E7" w:rsidP="00F010F5">
      <w:pPr>
        <w:pStyle w:val="1"/>
      </w:pPr>
      <w:r w:rsidRPr="002248D5">
        <w:rPr>
          <w:i/>
          <w:iCs/>
        </w:rPr>
        <w:t>Brucellosis</w:t>
      </w:r>
      <w:r w:rsidRPr="00A1145E">
        <w:rPr>
          <w:i/>
          <w:iCs/>
        </w:rPr>
        <w:t xml:space="preserve"> Quarantined Area</w:t>
      </w:r>
      <w:r w:rsidR="00751325">
        <w:t>—</w:t>
      </w:r>
      <w:r w:rsidRPr="00A1145E">
        <w:t xml:space="preserve">an area or state that is under USDA </w:t>
      </w:r>
      <w:r w:rsidRPr="002248D5">
        <w:rPr>
          <w:i/>
        </w:rPr>
        <w:t>Brucellosis</w:t>
      </w:r>
      <w:r w:rsidRPr="00A1145E">
        <w:t xml:space="preserve"> quarantine.</w:t>
      </w:r>
    </w:p>
    <w:p w14:paraId="579440F4" w14:textId="77777777" w:rsidR="005A46E7" w:rsidRPr="00A1145E" w:rsidRDefault="005A46E7" w:rsidP="00F010F5">
      <w:pPr>
        <w:pStyle w:val="1"/>
      </w:pPr>
      <w:r w:rsidRPr="002248D5">
        <w:rPr>
          <w:i/>
          <w:iCs/>
        </w:rPr>
        <w:t>Brucellosis</w:t>
      </w:r>
      <w:r w:rsidRPr="00A1145E">
        <w:rPr>
          <w:i/>
          <w:iCs/>
        </w:rPr>
        <w:t xml:space="preserve"> Quarantined Herd</w:t>
      </w:r>
      <w:r w:rsidRPr="00A1145E">
        <w:t xml:space="preserve">―a </w:t>
      </w:r>
      <w:r w:rsidRPr="002248D5">
        <w:rPr>
          <w:i/>
        </w:rPr>
        <w:t>Brucellosis</w:t>
      </w:r>
      <w:r w:rsidRPr="00A1145E">
        <w:t xml:space="preserve"> infected herd that has not successfully completed the testing requirements for negative status; or an exposed herd that has been placed under quarantine to be tested until such time as it has been declared </w:t>
      </w:r>
      <w:r w:rsidRPr="002248D5">
        <w:rPr>
          <w:i/>
        </w:rPr>
        <w:t>Brucellosis</w:t>
      </w:r>
      <w:r w:rsidRPr="00A1145E">
        <w:t xml:space="preserve"> negative.</w:t>
      </w:r>
    </w:p>
    <w:p w14:paraId="6D8CA502" w14:textId="77777777" w:rsidR="005A46E7" w:rsidRPr="00A1145E" w:rsidRDefault="005A46E7" w:rsidP="00F010F5">
      <w:pPr>
        <w:pStyle w:val="1"/>
      </w:pPr>
      <w:r w:rsidRPr="002248D5">
        <w:rPr>
          <w:i/>
          <w:iCs/>
        </w:rPr>
        <w:t>Brucellosis</w:t>
      </w:r>
      <w:r w:rsidRPr="00A1145E">
        <w:rPr>
          <w:i/>
          <w:iCs/>
        </w:rPr>
        <w:t xml:space="preserve"> Reactor</w:t>
      </w:r>
      <w:r w:rsidRPr="00A1145E">
        <w:t xml:space="preserve">―any animal which is positive to one or more </w:t>
      </w:r>
      <w:r w:rsidRPr="002248D5">
        <w:rPr>
          <w:i/>
        </w:rPr>
        <w:t>Brucellosis</w:t>
      </w:r>
      <w:r w:rsidRPr="00A1145E">
        <w:t xml:space="preserve"> tests which indicate the animal is infected with </w:t>
      </w:r>
      <w:r w:rsidRPr="002248D5">
        <w:rPr>
          <w:i/>
        </w:rPr>
        <w:t>Brucellosis</w:t>
      </w:r>
      <w:r w:rsidRPr="00A1145E">
        <w:t>.</w:t>
      </w:r>
    </w:p>
    <w:p w14:paraId="47A32BCC" w14:textId="77777777" w:rsidR="005A46E7" w:rsidRPr="00A1145E" w:rsidRDefault="005A46E7" w:rsidP="00F010F5">
      <w:pPr>
        <w:pStyle w:val="1"/>
      </w:pPr>
      <w:r w:rsidRPr="002248D5">
        <w:rPr>
          <w:i/>
          <w:iCs/>
        </w:rPr>
        <w:t>Brucellosis</w:t>
      </w:r>
      <w:r w:rsidRPr="00A1145E">
        <w:rPr>
          <w:i/>
          <w:iCs/>
        </w:rPr>
        <w:t xml:space="preserve"> Test Eligible</w:t>
      </w:r>
      <w:r w:rsidRPr="00A1145E">
        <w:t>―all cattle which are one year of age and older except:</w:t>
      </w:r>
    </w:p>
    <w:p w14:paraId="59D40481" w14:textId="77777777" w:rsidR="005A46E7" w:rsidRPr="00A1145E" w:rsidRDefault="00F010F5" w:rsidP="00F010F5">
      <w:pPr>
        <w:pStyle w:val="a0"/>
      </w:pPr>
      <w:r>
        <w:t>a</w:t>
      </w:r>
      <w:r w:rsidR="005A46E7" w:rsidRPr="00A1145E">
        <w:t>.</w:t>
      </w:r>
      <w:r w:rsidR="005A46E7" w:rsidRPr="00A1145E">
        <w:tab/>
        <w:t>steers;</w:t>
      </w:r>
    </w:p>
    <w:p w14:paraId="35BDA912" w14:textId="77777777" w:rsidR="005A46E7" w:rsidRPr="00A1145E" w:rsidRDefault="00F010F5" w:rsidP="00F010F5">
      <w:pPr>
        <w:pStyle w:val="a0"/>
      </w:pPr>
      <w:r>
        <w:t>b</w:t>
      </w:r>
      <w:r w:rsidR="005A46E7" w:rsidRPr="00A1145E">
        <w:t>.</w:t>
      </w:r>
      <w:r w:rsidR="005A46E7" w:rsidRPr="00A1145E">
        <w:tab/>
        <w:t>spayed heifers;</w:t>
      </w:r>
    </w:p>
    <w:p w14:paraId="480BFA12" w14:textId="77777777" w:rsidR="005A46E7" w:rsidRPr="00A1145E" w:rsidRDefault="00F010F5" w:rsidP="00F010F5">
      <w:pPr>
        <w:pStyle w:val="a0"/>
      </w:pPr>
      <w:r>
        <w:t>c</w:t>
      </w:r>
      <w:r w:rsidR="005A46E7" w:rsidRPr="00A1145E">
        <w:t>.</w:t>
      </w:r>
      <w:r w:rsidR="005A46E7" w:rsidRPr="00A1145E">
        <w:tab/>
        <w:t xml:space="preserve">dairy cattle that are official </w:t>
      </w:r>
      <w:r w:rsidR="005A46E7" w:rsidRPr="00F010F5">
        <w:t>Brucellosis</w:t>
      </w:r>
      <w:r w:rsidR="005A46E7" w:rsidRPr="00A1145E">
        <w:t xml:space="preserve"> calfhood vaccinates less than 20 months of age which are not parturient or preparturient (springers);</w:t>
      </w:r>
    </w:p>
    <w:p w14:paraId="0E8558E9" w14:textId="77777777" w:rsidR="005A46E7" w:rsidRPr="00A1145E" w:rsidRDefault="00F010F5" w:rsidP="00F010F5">
      <w:pPr>
        <w:pStyle w:val="a0"/>
      </w:pPr>
      <w:r>
        <w:t>d</w:t>
      </w:r>
      <w:r w:rsidR="005A46E7" w:rsidRPr="00A1145E">
        <w:t>.</w:t>
      </w:r>
      <w:r w:rsidR="005A46E7" w:rsidRPr="00A1145E">
        <w:tab/>
        <w:t xml:space="preserve">beef cattle that are official </w:t>
      </w:r>
      <w:r w:rsidR="005A46E7" w:rsidRPr="00F010F5">
        <w:t>Brucellosis</w:t>
      </w:r>
      <w:r w:rsidR="005A46E7" w:rsidRPr="00A1145E">
        <w:t xml:space="preserve"> calfhood vaccinates less than 24 months of age which are not parturient or preparturient (springers).</w:t>
      </w:r>
    </w:p>
    <w:p w14:paraId="2CB0AA5A" w14:textId="77777777" w:rsidR="005A46E7" w:rsidRPr="00A1145E" w:rsidRDefault="00922D5D" w:rsidP="00F010F5">
      <w:pPr>
        <w:pStyle w:val="1"/>
      </w:pPr>
      <w:r w:rsidRPr="002024DD">
        <w:rPr>
          <w:i/>
        </w:rPr>
        <w:t>Bull—</w:t>
      </w:r>
      <w:r w:rsidRPr="002024DD">
        <w:rPr>
          <w:iCs/>
        </w:rPr>
        <w:t>a</w:t>
      </w:r>
      <w:r w:rsidRPr="002024DD">
        <w:t>n uncastrated male of domestic cattle.</w:t>
      </w:r>
    </w:p>
    <w:p w14:paraId="10841205" w14:textId="77777777" w:rsidR="005A46E7" w:rsidRPr="00A1145E" w:rsidRDefault="00F010F5" w:rsidP="00F010F5">
      <w:pPr>
        <w:pStyle w:val="a0"/>
      </w:pPr>
      <w:r>
        <w:t>a</w:t>
      </w:r>
      <w:r w:rsidR="005A46E7" w:rsidRPr="00A1145E">
        <w:t>.</w:t>
      </w:r>
      <w:r w:rsidR="005A46E7" w:rsidRPr="00A1145E">
        <w:tab/>
      </w:r>
      <w:r w:rsidR="005A46E7" w:rsidRPr="00A1145E">
        <w:rPr>
          <w:i/>
        </w:rPr>
        <w:t>Breeding Bull</w:t>
      </w:r>
      <w:r w:rsidR="005A46E7" w:rsidRPr="00A1145E">
        <w:t xml:space="preserve">—a bull less than 24 months of age in which there is no presence of both permanent central incisor teeth in wear if the bull has been commingled with breeding females; a bull less than 24 months of age in which </w:t>
      </w:r>
      <w:r w:rsidR="005A46E7" w:rsidRPr="00A1145E">
        <w:t>there is the presence of both permanent central incisor teeth in wear; and a bull that is 24 months of age or older.</w:t>
      </w:r>
    </w:p>
    <w:p w14:paraId="35B3FCB2" w14:textId="77777777" w:rsidR="005A46E7" w:rsidRPr="00A1145E" w:rsidRDefault="00F010F5" w:rsidP="00F010F5">
      <w:pPr>
        <w:pStyle w:val="a0"/>
      </w:pPr>
      <w:r>
        <w:t>b</w:t>
      </w:r>
      <w:r w:rsidR="005A46E7" w:rsidRPr="00A1145E">
        <w:t>.</w:t>
      </w:r>
      <w:r w:rsidR="005A46E7" w:rsidRPr="00A1145E">
        <w:tab/>
      </w:r>
      <w:r w:rsidR="005A46E7" w:rsidRPr="00F010F5">
        <w:rPr>
          <w:i/>
          <w:iCs/>
        </w:rPr>
        <w:t>Virgin Bull</w:t>
      </w:r>
      <w:r w:rsidR="005A46E7" w:rsidRPr="00A1145E">
        <w:t>—a bull less than 24 months of age in which both permanent central incisor teeth in wear are not present and that has never been commingled with breeding females.</w:t>
      </w:r>
    </w:p>
    <w:p w14:paraId="54F1F8F4" w14:textId="77777777" w:rsidR="005A46E7" w:rsidRDefault="005A46E7" w:rsidP="00F010F5">
      <w:pPr>
        <w:pStyle w:val="1"/>
      </w:pPr>
      <w:r w:rsidRPr="00A1145E">
        <w:rPr>
          <w:i/>
          <w:iCs/>
        </w:rPr>
        <w:t>Buyer</w:t>
      </w:r>
      <w:r w:rsidRPr="00A1145E">
        <w:t xml:space="preserve">―any individual, partnership, corporation or association which handles EIA positive and/or "S" branded horses. </w:t>
      </w:r>
    </w:p>
    <w:p w14:paraId="61E87CA2" w14:textId="77777777" w:rsidR="00922D5D" w:rsidRPr="00A1145E" w:rsidRDefault="00922D5D" w:rsidP="00F010F5">
      <w:pPr>
        <w:pStyle w:val="1"/>
      </w:pPr>
      <w:r w:rsidRPr="002024DD">
        <w:rPr>
          <w:i/>
        </w:rPr>
        <w:t>Cattle—</w:t>
      </w:r>
      <w:r w:rsidRPr="002024DD">
        <w:rPr>
          <w:iCs/>
          <w:shd w:val="clear" w:color="auto" w:fill="FFFFFF"/>
        </w:rPr>
        <w:t>al</w:t>
      </w:r>
      <w:r w:rsidRPr="002024DD">
        <w:rPr>
          <w:shd w:val="clear" w:color="auto" w:fill="FFFFFF"/>
        </w:rPr>
        <w:t xml:space="preserve">l dairy and beef animals of </w:t>
      </w:r>
      <w:r w:rsidRPr="002024DD">
        <w:t>the genus</w:t>
      </w:r>
      <w:r w:rsidRPr="002024DD">
        <w:rPr>
          <w:shd w:val="clear" w:color="auto" w:fill="FFFFFF"/>
        </w:rPr>
        <w:t xml:space="preserve"> </w:t>
      </w:r>
      <w:r w:rsidRPr="002024DD">
        <w:rPr>
          <w:i/>
          <w:shd w:val="clear" w:color="auto" w:fill="FFFFFF"/>
        </w:rPr>
        <w:t>Bos</w:t>
      </w:r>
      <w:r w:rsidRPr="002024DD">
        <w:rPr>
          <w:shd w:val="clear" w:color="auto" w:fill="FFFFFF"/>
        </w:rPr>
        <w:t xml:space="preserve"> and bison of the genus </w:t>
      </w:r>
      <w:r w:rsidRPr="002024DD">
        <w:rPr>
          <w:i/>
          <w:shd w:val="clear" w:color="auto" w:fill="FFFFFF"/>
        </w:rPr>
        <w:t>Bison.</w:t>
      </w:r>
    </w:p>
    <w:p w14:paraId="2F024472" w14:textId="77777777" w:rsidR="009F4891" w:rsidRPr="00EA2E74" w:rsidRDefault="009F4891" w:rsidP="00F010F5">
      <w:pPr>
        <w:pStyle w:val="1"/>
      </w:pPr>
      <w:r w:rsidRPr="00EA2E74">
        <w:rPr>
          <w:i/>
          <w:iCs/>
        </w:rPr>
        <w:t>Certificate of Approval</w:t>
      </w:r>
      <w:r>
        <w:t>—</w:t>
      </w:r>
      <w:r w:rsidRPr="00EA2E74">
        <w:t>a document issued to a commercial poultry producer by the Board of Animal Health approving a specific method of disposing of dead poultry to be used by the commercial poultry producer.</w:t>
      </w:r>
    </w:p>
    <w:p w14:paraId="05088AFB" w14:textId="77777777" w:rsidR="005A46E7" w:rsidRPr="00A1145E" w:rsidRDefault="009F4891" w:rsidP="00F010F5">
      <w:pPr>
        <w:pStyle w:val="1"/>
      </w:pPr>
      <w:r w:rsidRPr="00EA2E74">
        <w:rPr>
          <w:i/>
          <w:iCs/>
        </w:rPr>
        <w:t xml:space="preserve">Certificate of Veterinary Inspection </w:t>
      </w:r>
      <w:r w:rsidRPr="00C843A7">
        <w:rPr>
          <w:iCs/>
        </w:rPr>
        <w:t>(</w:t>
      </w:r>
      <w:r w:rsidRPr="00EA2E74">
        <w:rPr>
          <w:i/>
          <w:iCs/>
        </w:rPr>
        <w:t>CVI</w:t>
      </w:r>
      <w:r w:rsidRPr="00C843A7">
        <w:rPr>
          <w:iCs/>
        </w:rPr>
        <w:t>)</w:t>
      </w:r>
      <w:r>
        <w:t>—</w:t>
      </w:r>
      <w:r w:rsidRPr="00EA2E74">
        <w:t>a record of an animal's health recorded on an official form. These certificates are valid for 30 days only unless an extension is allowed by the Board of Animal Health.</w:t>
      </w:r>
    </w:p>
    <w:p w14:paraId="33C87030" w14:textId="77777777" w:rsidR="005A46E7" w:rsidRPr="00A1145E" w:rsidRDefault="005A46E7" w:rsidP="00F010F5">
      <w:pPr>
        <w:pStyle w:val="1"/>
      </w:pPr>
      <w:r w:rsidRPr="00A1145E">
        <w:rPr>
          <w:i/>
          <w:iCs/>
        </w:rPr>
        <w:t xml:space="preserve">Certified </w:t>
      </w:r>
      <w:r w:rsidRPr="002248D5">
        <w:rPr>
          <w:i/>
          <w:iCs/>
        </w:rPr>
        <w:t>Brucellosis</w:t>
      </w:r>
      <w:r w:rsidRPr="00A1145E">
        <w:rPr>
          <w:i/>
          <w:iCs/>
        </w:rPr>
        <w:t xml:space="preserve"> Free Herd</w:t>
      </w:r>
      <w:r w:rsidRPr="00A1145E">
        <w:t>―a herd that meets the requirements as outlined in the federal uniform methods and rules (</w:t>
      </w:r>
      <w:r w:rsidRPr="002248D5">
        <w:rPr>
          <w:i/>
        </w:rPr>
        <w:t>Brucellosis</w:t>
      </w:r>
      <w:r w:rsidRPr="00A1145E">
        <w:t xml:space="preserve"> eradication).</w:t>
      </w:r>
    </w:p>
    <w:p w14:paraId="2B84B356" w14:textId="77777777" w:rsidR="005A46E7" w:rsidRPr="00A1145E" w:rsidRDefault="005A46E7" w:rsidP="00F010F5">
      <w:pPr>
        <w:pStyle w:val="1"/>
      </w:pPr>
      <w:r w:rsidRPr="00A1145E">
        <w:rPr>
          <w:i/>
          <w:iCs/>
        </w:rPr>
        <w:t>Commercial Poultry Producer</w:t>
      </w:r>
      <w:r w:rsidRPr="00A1145E">
        <w:t>―any person, firm or corporation engaged in the production of broilers, pullets, turkeys, game birds, commercial eggs or hatching eggs for wholesale or retail purposes.</w:t>
      </w:r>
    </w:p>
    <w:p w14:paraId="1CE0B22D" w14:textId="77777777" w:rsidR="005A46E7" w:rsidRPr="00A1145E" w:rsidRDefault="005A46E7" w:rsidP="00F010F5">
      <w:pPr>
        <w:pStyle w:val="1"/>
      </w:pPr>
      <w:r w:rsidRPr="00A1145E">
        <w:rPr>
          <w:i/>
        </w:rPr>
        <w:t>Commissioner</w:t>
      </w:r>
      <w:r w:rsidRPr="00A1145E">
        <w:t xml:space="preserve">—the </w:t>
      </w:r>
      <w:r w:rsidRPr="00C30258">
        <w:rPr>
          <w:i/>
        </w:rPr>
        <w:t>commissioner</w:t>
      </w:r>
      <w:r w:rsidRPr="00A1145E">
        <w:t xml:space="preserve"> of agriculture and forestry.</w:t>
      </w:r>
    </w:p>
    <w:p w14:paraId="73202A35" w14:textId="77777777" w:rsidR="005A46E7" w:rsidRPr="00A1145E" w:rsidRDefault="005A46E7" w:rsidP="00F010F5">
      <w:pPr>
        <w:pStyle w:val="1"/>
      </w:pPr>
      <w:r w:rsidRPr="00A1145E">
        <w:rPr>
          <w:i/>
          <w:iCs/>
        </w:rPr>
        <w:t xml:space="preserve">Complete Negative </w:t>
      </w:r>
      <w:r w:rsidRPr="002248D5">
        <w:rPr>
          <w:i/>
          <w:iCs/>
        </w:rPr>
        <w:t>Brucellosis</w:t>
      </w:r>
      <w:r w:rsidRPr="00A1145E">
        <w:rPr>
          <w:i/>
          <w:iCs/>
        </w:rPr>
        <w:t xml:space="preserve"> Herd Test</w:t>
      </w:r>
      <w:r w:rsidRPr="00A1145E">
        <w:t xml:space="preserve">―a negative </w:t>
      </w:r>
      <w:r w:rsidRPr="002248D5">
        <w:rPr>
          <w:i/>
        </w:rPr>
        <w:t>Brucellosis</w:t>
      </w:r>
      <w:r w:rsidRPr="00A1145E">
        <w:t xml:space="preserve"> test of all cattle, as defined in </w:t>
      </w:r>
      <w:r w:rsidRPr="002248D5">
        <w:rPr>
          <w:i/>
        </w:rPr>
        <w:t>Brucellosis</w:t>
      </w:r>
      <w:r w:rsidRPr="00A1145E">
        <w:rPr>
          <w:i/>
        </w:rPr>
        <w:t xml:space="preserve"> herd test</w:t>
      </w:r>
      <w:r w:rsidRPr="00A1145E">
        <w:t xml:space="preserve">. Such tests must be accompanied by a statement signed by the herd owner, or his representative, certifying that the provisions constituting a herd and </w:t>
      </w:r>
      <w:r w:rsidRPr="002248D5">
        <w:rPr>
          <w:i/>
        </w:rPr>
        <w:t>Brucellosis</w:t>
      </w:r>
      <w:r w:rsidRPr="00C30258">
        <w:rPr>
          <w:i/>
        </w:rPr>
        <w:t xml:space="preserve"> herd test</w:t>
      </w:r>
      <w:r w:rsidRPr="00A1145E">
        <w:t>, as defined in §101, have been met prior to the sale of non-</w:t>
      </w:r>
      <w:r w:rsidRPr="002248D5">
        <w:rPr>
          <w:i/>
        </w:rPr>
        <w:t>Brucellosis</w:t>
      </w:r>
      <w:r w:rsidRPr="00A1145E">
        <w:t xml:space="preserve"> vaccinated female cattle from such herds other than to slaughter or to a quarantined feedlot.</w:t>
      </w:r>
    </w:p>
    <w:p w14:paraId="3400267F" w14:textId="77777777" w:rsidR="005A46E7" w:rsidRPr="00A1145E" w:rsidRDefault="005A46E7" w:rsidP="00F010F5">
      <w:pPr>
        <w:pStyle w:val="1"/>
      </w:pPr>
      <w:r w:rsidRPr="00A1145E">
        <w:rPr>
          <w:i/>
          <w:iCs/>
        </w:rPr>
        <w:t>Delinquent Herd</w:t>
      </w:r>
      <w:r w:rsidRPr="00A1145E">
        <w:t>―any infected herd not tested within a period of 120 days is considered delinquent.</w:t>
      </w:r>
    </w:p>
    <w:p w14:paraId="04D197B4" w14:textId="77777777" w:rsidR="005A46E7" w:rsidRPr="00A1145E" w:rsidRDefault="00922D5D" w:rsidP="00F010F5">
      <w:pPr>
        <w:pStyle w:val="1"/>
      </w:pPr>
      <w:r w:rsidRPr="002024DD">
        <w:rPr>
          <w:i/>
        </w:rPr>
        <w:t>Department</w:t>
      </w:r>
      <w:r w:rsidRPr="002024DD">
        <w:t>—</w:t>
      </w:r>
      <w:r w:rsidRPr="00B10537">
        <w:rPr>
          <w:shd w:val="clear" w:color="auto" w:fill="FFFFFF"/>
        </w:rPr>
        <w:t>Louisiana</w:t>
      </w:r>
      <w:r w:rsidRPr="002024DD">
        <w:t xml:space="preserve"> Department of Agriculture and Forestry</w:t>
      </w:r>
      <w:r w:rsidR="005A46E7" w:rsidRPr="00A1145E">
        <w:t>.</w:t>
      </w:r>
    </w:p>
    <w:p w14:paraId="77B58564" w14:textId="77777777" w:rsidR="005A46E7" w:rsidRPr="00A1145E" w:rsidRDefault="005A46E7" w:rsidP="00F010F5">
      <w:pPr>
        <w:pStyle w:val="1"/>
      </w:pPr>
      <w:r w:rsidRPr="00A1145E">
        <w:rPr>
          <w:i/>
          <w:iCs/>
        </w:rPr>
        <w:t>Depopulation</w:t>
      </w:r>
      <w:r w:rsidRPr="00A1145E">
        <w:rPr>
          <w:iCs/>
        </w:rPr>
        <w:t>―</w:t>
      </w:r>
      <w:r w:rsidRPr="00A1145E">
        <w:t>the removal of all animals in a herd, flock or group by extermination and proper disposal of the carcasses.</w:t>
      </w:r>
    </w:p>
    <w:p w14:paraId="09CB4597" w14:textId="77777777" w:rsidR="00505773" w:rsidRPr="00EA2E74" w:rsidRDefault="00505773" w:rsidP="00F010F5">
      <w:pPr>
        <w:pStyle w:val="1"/>
      </w:pPr>
      <w:r w:rsidRPr="00EA2E74">
        <w:rPr>
          <w:i/>
          <w:iCs/>
        </w:rPr>
        <w:t>Destroyed</w:t>
      </w:r>
      <w:r>
        <w:t>—</w:t>
      </w:r>
      <w:r w:rsidRPr="00EA2E74">
        <w:t xml:space="preserve">condemned under state or federal authority and put to death by consignment to slaughter or by humane euthanasia. </w:t>
      </w:r>
    </w:p>
    <w:p w14:paraId="563979DC" w14:textId="77777777" w:rsidR="005A46E7" w:rsidRPr="00A1145E" w:rsidRDefault="00505773" w:rsidP="00F010F5">
      <w:pPr>
        <w:pStyle w:val="1"/>
      </w:pPr>
      <w:r w:rsidRPr="00EA2E74">
        <w:rPr>
          <w:i/>
          <w:iCs/>
        </w:rPr>
        <w:t>Direct to Slaughter</w:t>
      </w:r>
      <w:r>
        <w:t>—</w:t>
      </w:r>
      <w:r w:rsidRPr="00EA2E74">
        <w:t>the shipment of cattle or poultry from the premises of origin directly to a slaughter establishment without diversion to assembly points, such as auctions, public stockyards and feedlots.</w:t>
      </w:r>
    </w:p>
    <w:p w14:paraId="7604DC1D" w14:textId="77777777" w:rsidR="005A46E7" w:rsidRPr="00A1145E" w:rsidRDefault="005A46E7" w:rsidP="00F010F5">
      <w:pPr>
        <w:pStyle w:val="1"/>
      </w:pPr>
      <w:r w:rsidRPr="00A1145E">
        <w:rPr>
          <w:i/>
          <w:iCs/>
        </w:rPr>
        <w:lastRenderedPageBreak/>
        <w:t>Equipment</w:t>
      </w:r>
      <w:r w:rsidRPr="00A1145E">
        <w:t>―capable of delivering required temperature as a unit designed by Floyd Rush Corporation patent or comparable equipment.</w:t>
      </w:r>
    </w:p>
    <w:p w14:paraId="337D33A8" w14:textId="77777777" w:rsidR="005A46E7" w:rsidRPr="00A1145E" w:rsidRDefault="005A46E7" w:rsidP="00F010F5">
      <w:pPr>
        <w:pStyle w:val="1"/>
      </w:pPr>
      <w:r w:rsidRPr="00A1145E">
        <w:rPr>
          <w:i/>
          <w:iCs/>
        </w:rPr>
        <w:t>Executive Secretary</w:t>
      </w:r>
      <w:r w:rsidRPr="00A1145E">
        <w:t xml:space="preserve"> and/or </w:t>
      </w:r>
      <w:r w:rsidRPr="00A1145E">
        <w:rPr>
          <w:i/>
          <w:iCs/>
        </w:rPr>
        <w:t>State Veterinarian</w:t>
      </w:r>
      <w:r w:rsidRPr="00A1145E">
        <w:t>―an appointee representing the board to serve in said capacity.</w:t>
      </w:r>
    </w:p>
    <w:p w14:paraId="653375E4" w14:textId="77777777" w:rsidR="005A46E7" w:rsidRPr="00A1145E" w:rsidRDefault="005A46E7" w:rsidP="00F010F5">
      <w:pPr>
        <w:pStyle w:val="1"/>
      </w:pPr>
      <w:r w:rsidRPr="00A1145E">
        <w:rPr>
          <w:i/>
          <w:iCs/>
        </w:rPr>
        <w:t>Federal Inspector</w:t>
      </w:r>
      <w:r w:rsidRPr="00A1145E">
        <w:t>―an inspector or veterinary medical officer of the Animal and Plant Health Inspection Service, United States Department of Agriculture.</w:t>
      </w:r>
    </w:p>
    <w:p w14:paraId="023E9F12" w14:textId="77777777" w:rsidR="005A46E7" w:rsidRPr="00A1145E" w:rsidRDefault="005A46E7" w:rsidP="00F010F5">
      <w:pPr>
        <w:pStyle w:val="1"/>
      </w:pPr>
      <w:r w:rsidRPr="00A1145E">
        <w:rPr>
          <w:i/>
          <w:iCs/>
        </w:rPr>
        <w:t>Flock Plan</w:t>
      </w:r>
      <w:r w:rsidRPr="00A1145E">
        <w:t>―a written agreement, between the owner of the flock and a veterinarian employed by the LDAF or USDA, APHIS, VS, approved by the state veterinarian to control scrapie in sheep and goats.</w:t>
      </w:r>
    </w:p>
    <w:p w14:paraId="376936F4" w14:textId="77777777" w:rsidR="005A46E7" w:rsidRPr="00A1145E" w:rsidRDefault="005A46E7" w:rsidP="00F010F5">
      <w:pPr>
        <w:pStyle w:val="1"/>
      </w:pPr>
      <w:r w:rsidRPr="00A1145E">
        <w:rPr>
          <w:i/>
          <w:iCs/>
        </w:rPr>
        <w:t>Form VS 1-27</w:t>
      </w:r>
      <w:r w:rsidRPr="00A1145E">
        <w:t>―a form which must be secured from state or federal personnel before cattle may be moved from the premises. This document will be valid for 15 days from the date of issuance.</w:t>
      </w:r>
    </w:p>
    <w:p w14:paraId="5A6DF812" w14:textId="77777777" w:rsidR="005A46E7" w:rsidRDefault="005A46E7" w:rsidP="00F010F5">
      <w:pPr>
        <w:pStyle w:val="1"/>
      </w:pPr>
      <w:r w:rsidRPr="00A1145E">
        <w:rPr>
          <w:i/>
          <w:iCs/>
        </w:rPr>
        <w:t>Garbage</w:t>
      </w:r>
      <w:r w:rsidRPr="00A1145E">
        <w:t>―all animal and vegetable waste resulting from the handling, preparation and cooking of food; unconsumed food in all public and private establishments and residences; and the offal and carcasses of dead animals and poultry.</w:t>
      </w:r>
    </w:p>
    <w:p w14:paraId="47D2BBAE" w14:textId="77777777" w:rsidR="00922D5D" w:rsidRPr="00A1145E" w:rsidRDefault="00922D5D" w:rsidP="00F010F5">
      <w:pPr>
        <w:pStyle w:val="1"/>
      </w:pPr>
      <w:r w:rsidRPr="002024DD">
        <w:rPr>
          <w:i/>
          <w:iCs/>
        </w:rPr>
        <w:t>GIN—</w:t>
      </w:r>
      <w:r w:rsidRPr="002024DD">
        <w:t xml:space="preserve">group </w:t>
      </w:r>
      <w:r w:rsidRPr="00B10537">
        <w:rPr>
          <w:shd w:val="clear" w:color="auto" w:fill="FFFFFF"/>
        </w:rPr>
        <w:t>identification</w:t>
      </w:r>
      <w:r w:rsidRPr="002024DD">
        <w:t xml:space="preserve"> number.</w:t>
      </w:r>
    </w:p>
    <w:p w14:paraId="7A76E6B0" w14:textId="77777777" w:rsidR="005A46E7" w:rsidRPr="00A1145E" w:rsidRDefault="005A46E7" w:rsidP="00F010F5">
      <w:pPr>
        <w:pStyle w:val="1"/>
      </w:pPr>
      <w:r w:rsidRPr="00A1145E">
        <w:rPr>
          <w:i/>
          <w:iCs/>
        </w:rPr>
        <w:t>Herd</w:t>
      </w:r>
      <w:r w:rsidRPr="00A1145E">
        <w:t xml:space="preserve">―such animals of the same species (such as cattle, swine, or bison), which have been on a farm or ranch for 120 days or longer. If a farm or ranch has animals of the same species, which have been on the farm or ranch less than 120 days, none of the animals of that species, can be considered a </w:t>
      </w:r>
      <w:r w:rsidRPr="00C30258">
        <w:rPr>
          <w:i/>
        </w:rPr>
        <w:t>herd</w:t>
      </w:r>
      <w:r w:rsidRPr="00A1145E">
        <w:t xml:space="preserve"> or part of a </w:t>
      </w:r>
      <w:r w:rsidRPr="00C30258">
        <w:rPr>
          <w:i/>
        </w:rPr>
        <w:t>herd</w:t>
      </w:r>
      <w:r w:rsidRPr="00A1145E">
        <w:t>.</w:t>
      </w:r>
    </w:p>
    <w:p w14:paraId="3E7CDE08" w14:textId="77777777" w:rsidR="005A46E7" w:rsidRPr="00A1145E" w:rsidRDefault="005A46E7" w:rsidP="00F010F5">
      <w:pPr>
        <w:pStyle w:val="1"/>
      </w:pPr>
      <w:r w:rsidRPr="00A1145E">
        <w:rPr>
          <w:i/>
          <w:iCs/>
        </w:rPr>
        <w:t>Herd Depopulation</w:t>
      </w:r>
      <w:r w:rsidRPr="00A1145E">
        <w:t>―the removal of all cattle in the herd direct to slaughter prior to any restocking of the premises with cattle.</w:t>
      </w:r>
    </w:p>
    <w:p w14:paraId="575EA88E" w14:textId="77777777" w:rsidR="005A46E7" w:rsidRPr="00A1145E" w:rsidRDefault="005A46E7" w:rsidP="00F010F5">
      <w:pPr>
        <w:pStyle w:val="1"/>
      </w:pPr>
      <w:r w:rsidRPr="00A1145E">
        <w:rPr>
          <w:i/>
          <w:iCs/>
        </w:rPr>
        <w:t>Hog Cholera</w:t>
      </w:r>
      <w:r w:rsidRPr="00A1145E">
        <w:t>―the contagious, infectious, and communicable disease of swine.</w:t>
      </w:r>
    </w:p>
    <w:p w14:paraId="65752CA5" w14:textId="77777777" w:rsidR="005A46E7" w:rsidRPr="00A1145E" w:rsidRDefault="00922D5D" w:rsidP="00F010F5">
      <w:pPr>
        <w:pStyle w:val="1"/>
      </w:pPr>
      <w:r w:rsidRPr="002024DD">
        <w:rPr>
          <w:i/>
          <w:iCs/>
        </w:rPr>
        <w:t>Individually Identified</w:t>
      </w:r>
      <w:r w:rsidRPr="002024DD">
        <w:t xml:space="preserve">—cattle </w:t>
      </w:r>
      <w:r w:rsidRPr="00B10537">
        <w:rPr>
          <w:shd w:val="clear" w:color="auto" w:fill="FFFFFF"/>
        </w:rPr>
        <w:t>that</w:t>
      </w:r>
      <w:r w:rsidRPr="002024DD">
        <w:t xml:space="preserve"> is identified with official identification number assigned to each individual animal.</w:t>
      </w:r>
    </w:p>
    <w:p w14:paraId="5B3EA6B5" w14:textId="77777777" w:rsidR="005A46E7" w:rsidRDefault="005A46E7" w:rsidP="00F010F5">
      <w:pPr>
        <w:pStyle w:val="1"/>
      </w:pPr>
      <w:r w:rsidRPr="00A1145E">
        <w:rPr>
          <w:i/>
          <w:iCs/>
        </w:rPr>
        <w:t>Infectious</w:t>
      </w:r>
      <w:r w:rsidRPr="00A1145E">
        <w:t xml:space="preserve"> or </w:t>
      </w:r>
      <w:r w:rsidRPr="00A1145E">
        <w:rPr>
          <w:i/>
          <w:iCs/>
        </w:rPr>
        <w:t>Contagious Disease</w:t>
      </w:r>
      <w:r w:rsidR="00BA6044">
        <w:t>—</w:t>
      </w:r>
      <w:r w:rsidRPr="00A1145E">
        <w:t>any disease capable of being transmitted from one animal to another, either directly or indirectly.</w:t>
      </w:r>
    </w:p>
    <w:p w14:paraId="0D8E55C2" w14:textId="77777777" w:rsidR="00922D5D" w:rsidRPr="00A1145E" w:rsidRDefault="00922D5D" w:rsidP="00F010F5">
      <w:pPr>
        <w:pStyle w:val="1"/>
      </w:pPr>
      <w:r w:rsidRPr="002024DD">
        <w:rPr>
          <w:i/>
          <w:iCs/>
        </w:rPr>
        <w:t>LADDL—</w:t>
      </w:r>
      <w:r w:rsidRPr="00B10537">
        <w:rPr>
          <w:shd w:val="clear" w:color="auto" w:fill="FFFFFF"/>
        </w:rPr>
        <w:t>Louisiana</w:t>
      </w:r>
      <w:r w:rsidRPr="002024DD">
        <w:t xml:space="preserve"> Animal </w:t>
      </w:r>
      <w:r w:rsidRPr="00B10537">
        <w:rPr>
          <w:shd w:val="clear" w:color="auto" w:fill="FFFFFF"/>
        </w:rPr>
        <w:t>Disease</w:t>
      </w:r>
      <w:r w:rsidRPr="002024DD">
        <w:t xml:space="preserve"> Diagnostic Lab.</w:t>
      </w:r>
    </w:p>
    <w:p w14:paraId="287CAB73" w14:textId="77777777" w:rsidR="005A46E7" w:rsidRPr="00A1145E" w:rsidRDefault="00505773" w:rsidP="00F010F5">
      <w:pPr>
        <w:pStyle w:val="1"/>
      </w:pPr>
      <w:r w:rsidRPr="00EA2E74">
        <w:rPr>
          <w:i/>
          <w:iCs/>
        </w:rPr>
        <w:t>Livestock</w:t>
      </w:r>
      <w:r>
        <w:t>—</w:t>
      </w:r>
      <w:r w:rsidRPr="00EA2E74">
        <w:t>cattle, sheep, swine, goats, horses, mules, burros, asses or other farm animals of all ages including poultry.</w:t>
      </w:r>
    </w:p>
    <w:p w14:paraId="51CA288D" w14:textId="77777777" w:rsidR="005A46E7" w:rsidRPr="00A1145E" w:rsidRDefault="005A46E7" w:rsidP="00F010F5">
      <w:pPr>
        <w:pStyle w:val="1"/>
      </w:pPr>
      <w:r w:rsidRPr="00A1145E">
        <w:rPr>
          <w:i/>
          <w:iCs/>
        </w:rPr>
        <w:t>Livestock Auction Market</w:t>
      </w:r>
      <w:r w:rsidR="00BA6044">
        <w:t>—</w:t>
      </w:r>
      <w:r w:rsidRPr="00A1145E">
        <w:t>a livestock auction in which sales are held at regular intervals. This does not apply to breeders' association sales, livestock show sales and livestock owners' sales, which are governed by other regulations.</w:t>
      </w:r>
    </w:p>
    <w:p w14:paraId="538297E4" w14:textId="77777777" w:rsidR="005A46E7" w:rsidRPr="00A1145E" w:rsidRDefault="005A46E7" w:rsidP="00F010F5">
      <w:pPr>
        <w:pStyle w:val="1"/>
      </w:pPr>
      <w:r w:rsidRPr="00A1145E">
        <w:rPr>
          <w:i/>
          <w:iCs/>
        </w:rPr>
        <w:t>Livestock Auction Market Permit</w:t>
      </w:r>
      <w:r w:rsidR="00B8448F">
        <w:t>—</w:t>
      </w:r>
      <w:r w:rsidRPr="00A1145E">
        <w:t>an official document issued by the board annually authorizing a person to operate a livestock auction.</w:t>
      </w:r>
    </w:p>
    <w:p w14:paraId="5409EA88" w14:textId="77777777" w:rsidR="005A46E7" w:rsidRPr="00A1145E" w:rsidRDefault="005A46E7" w:rsidP="00F010F5">
      <w:pPr>
        <w:pStyle w:val="1"/>
      </w:pPr>
      <w:r w:rsidRPr="00A1145E">
        <w:rPr>
          <w:i/>
          <w:iCs/>
        </w:rPr>
        <w:t>Livestock Dealer</w:t>
      </w:r>
      <w:r w:rsidR="00B8448F">
        <w:t>—</w:t>
      </w:r>
      <w:r w:rsidRPr="00A1145E">
        <w:t xml:space="preserve">any person engaged in the buying and selling of livestock. Any person who buys and sells the same livestock within 30 days and has engaged in five or more </w:t>
      </w:r>
      <w:r w:rsidRPr="00A1145E">
        <w:t>purchases and/or sales of the same livestock within any 12-month period, is said to be engaged in the business of buying and selling livestock.</w:t>
      </w:r>
    </w:p>
    <w:p w14:paraId="1B77420B" w14:textId="77777777" w:rsidR="005A46E7" w:rsidRPr="00A1145E" w:rsidRDefault="005A46E7" w:rsidP="00F010F5">
      <w:pPr>
        <w:pStyle w:val="1"/>
      </w:pPr>
      <w:r w:rsidRPr="00A1145E">
        <w:rPr>
          <w:i/>
        </w:rPr>
        <w:t>Mexican Cattle</w:t>
      </w:r>
      <w:r w:rsidRPr="00A1145E">
        <w:sym w:font="Symbol" w:char="F0BE"/>
      </w:r>
      <w:r w:rsidRPr="00A1145E">
        <w:t>cattle that were born in Mexico or have been in Mexico at some time in their lives.</w:t>
      </w:r>
    </w:p>
    <w:p w14:paraId="492D6348" w14:textId="77777777" w:rsidR="005A46E7" w:rsidRPr="00A1145E" w:rsidRDefault="005A46E7" w:rsidP="00F010F5">
      <w:pPr>
        <w:pStyle w:val="1"/>
      </w:pPr>
      <w:r w:rsidRPr="00A1145E">
        <w:rPr>
          <w:i/>
          <w:iCs/>
        </w:rPr>
        <w:t>Modified Accredited Area</w:t>
      </w:r>
      <w:r w:rsidR="00B8448F">
        <w:t>—</w:t>
      </w:r>
      <w:r w:rsidRPr="00A1145E">
        <w:t>a state or portion thereof which is actively participating in the eradication of tuberculosis and maintains its status.</w:t>
      </w:r>
    </w:p>
    <w:p w14:paraId="6D469F57" w14:textId="77777777" w:rsidR="005A46E7" w:rsidRPr="00A1145E" w:rsidRDefault="005A46E7" w:rsidP="00F010F5">
      <w:pPr>
        <w:pStyle w:val="1"/>
      </w:pPr>
      <w:r w:rsidRPr="00A1145E">
        <w:rPr>
          <w:i/>
          <w:iCs/>
        </w:rPr>
        <w:t>Mortgage</w:t>
      </w:r>
      <w:r w:rsidRPr="00A1145E">
        <w:t xml:space="preserve">―any </w:t>
      </w:r>
      <w:r w:rsidRPr="00A1145E">
        <w:rPr>
          <w:i/>
        </w:rPr>
        <w:t>mortgage</w:t>
      </w:r>
      <w:r w:rsidRPr="00A1145E">
        <w:t>, lien or other security or beneficial interest held by any person other than the one claiming indemnity.</w:t>
      </w:r>
    </w:p>
    <w:p w14:paraId="495BB2CF" w14:textId="77777777" w:rsidR="005A46E7" w:rsidRPr="00A1145E" w:rsidRDefault="005A46E7" w:rsidP="00F010F5">
      <w:pPr>
        <w:pStyle w:val="1"/>
      </w:pPr>
      <w:r w:rsidRPr="00A1145E">
        <w:rPr>
          <w:i/>
          <w:iCs/>
        </w:rPr>
        <w:t>Moved</w:t>
      </w:r>
      <w:r w:rsidRPr="00A1145E">
        <w:t xml:space="preserve">―shipped, transported or otherwise </w:t>
      </w:r>
      <w:r w:rsidRPr="00A1145E">
        <w:rPr>
          <w:i/>
        </w:rPr>
        <w:t>moved</w:t>
      </w:r>
      <w:r w:rsidRPr="00A1145E">
        <w:t>, or delivered or received for movement, by any person, via land, water or air.</w:t>
      </w:r>
    </w:p>
    <w:p w14:paraId="5DE77FBF" w14:textId="77777777" w:rsidR="00922D5D" w:rsidRDefault="00922D5D" w:rsidP="00F010F5">
      <w:pPr>
        <w:pStyle w:val="1"/>
        <w:rPr>
          <w:i/>
        </w:rPr>
      </w:pPr>
      <w:r w:rsidRPr="002024DD">
        <w:rPr>
          <w:i/>
          <w:iCs/>
        </w:rPr>
        <w:t>NAHLN—</w:t>
      </w:r>
      <w:r w:rsidRPr="00B10537">
        <w:rPr>
          <w:shd w:val="clear" w:color="auto" w:fill="FFFFFF"/>
        </w:rPr>
        <w:t>National</w:t>
      </w:r>
      <w:r w:rsidRPr="002024DD">
        <w:t xml:space="preserve"> Animal </w:t>
      </w:r>
      <w:r w:rsidRPr="00B10537">
        <w:rPr>
          <w:shd w:val="clear" w:color="auto" w:fill="FFFFFF"/>
        </w:rPr>
        <w:t>Health</w:t>
      </w:r>
      <w:r w:rsidRPr="002024DD">
        <w:t xml:space="preserve"> Laboratory Network.</w:t>
      </w:r>
    </w:p>
    <w:p w14:paraId="151CA658" w14:textId="77777777" w:rsidR="00505773" w:rsidRDefault="00505773" w:rsidP="00F010F5">
      <w:pPr>
        <w:pStyle w:val="1"/>
        <w:rPr>
          <w:i/>
        </w:rPr>
      </w:pPr>
      <w:r w:rsidRPr="00EA2E74">
        <w:rPr>
          <w:i/>
        </w:rPr>
        <w:t xml:space="preserve">National Poultry Improvement Plan </w:t>
      </w:r>
      <w:r w:rsidRPr="00C843A7">
        <w:t>(</w:t>
      </w:r>
      <w:r w:rsidRPr="00EA2E74">
        <w:rPr>
          <w:i/>
        </w:rPr>
        <w:t>NPIP</w:t>
      </w:r>
      <w:r w:rsidRPr="00C843A7">
        <w:t>)</w:t>
      </w:r>
      <w:r>
        <w:t>—</w:t>
      </w:r>
      <w:r w:rsidRPr="00EA2E74">
        <w:t>cooperative industry, state, and federal program that offers poultry management, sanitation, testing, and monitoring procedures to improve poultry and poultry products in the U.S.</w:t>
      </w:r>
    </w:p>
    <w:p w14:paraId="07263D49" w14:textId="77777777" w:rsidR="005A46E7" w:rsidRPr="00A1145E" w:rsidRDefault="005A46E7" w:rsidP="00F010F5">
      <w:pPr>
        <w:pStyle w:val="1"/>
      </w:pPr>
      <w:r w:rsidRPr="00C30258">
        <w:rPr>
          <w:i/>
        </w:rPr>
        <w:t xml:space="preserve">Negative </w:t>
      </w:r>
      <w:r w:rsidRPr="00F010F5">
        <w:rPr>
          <w:i/>
        </w:rPr>
        <w:t>Herd</w:t>
      </w:r>
      <w:r w:rsidRPr="00A1145E">
        <w:t>―</w:t>
      </w:r>
    </w:p>
    <w:p w14:paraId="6109DFA7" w14:textId="77777777" w:rsidR="005A46E7" w:rsidRPr="00A1145E" w:rsidRDefault="00F010F5" w:rsidP="00F010F5">
      <w:pPr>
        <w:pStyle w:val="a0"/>
      </w:pPr>
      <w:r>
        <w:t>a</w:t>
      </w:r>
      <w:r w:rsidR="005A46E7" w:rsidRPr="00A1145E">
        <w:t>.</w:t>
      </w:r>
      <w:r w:rsidR="005A46E7" w:rsidRPr="00A1145E">
        <w:tab/>
        <w:t>a herd not under quarantine in which, on the initial test, no reactors were revealed;</w:t>
      </w:r>
    </w:p>
    <w:p w14:paraId="52D5E41B" w14:textId="77777777" w:rsidR="005A46E7" w:rsidRPr="00A1145E" w:rsidRDefault="00F010F5" w:rsidP="00F010F5">
      <w:pPr>
        <w:pStyle w:val="a0"/>
      </w:pPr>
      <w:r>
        <w:t>b</w:t>
      </w:r>
      <w:r w:rsidR="005A46E7" w:rsidRPr="00A1145E">
        <w:t>.</w:t>
      </w:r>
      <w:r w:rsidR="005A46E7" w:rsidRPr="00A1145E">
        <w:tab/>
        <w:t>a commercial dairy herd that has passed four consecutive negative milk ring tests within the last 12 months, the tests being no less than two months or more than four months apart;</w:t>
      </w:r>
    </w:p>
    <w:p w14:paraId="729CC2DC" w14:textId="77777777" w:rsidR="005A46E7" w:rsidRPr="00A1145E" w:rsidRDefault="00F010F5" w:rsidP="00F010F5">
      <w:pPr>
        <w:pStyle w:val="a0"/>
      </w:pPr>
      <w:r>
        <w:t>c</w:t>
      </w:r>
      <w:r w:rsidR="005A46E7" w:rsidRPr="00A1145E">
        <w:t>.</w:t>
      </w:r>
      <w:r w:rsidR="005A46E7" w:rsidRPr="00A1145E">
        <w:tab/>
        <w:t xml:space="preserve">infected herds that have passed one completely negative test no less than 30 days following the date the last reactor was removed from the herd and the premises, and in addition, passed a second negative herd test no less than 90 days from the date of the first </w:t>
      </w:r>
      <w:r w:rsidR="005A46E7" w:rsidRPr="00F010F5">
        <w:t>negative herd</w:t>
      </w:r>
      <w:r w:rsidR="005A46E7" w:rsidRPr="00A1145E">
        <w:t xml:space="preserve"> test; </w:t>
      </w:r>
    </w:p>
    <w:p w14:paraId="02EC7713" w14:textId="77777777" w:rsidR="005A46E7" w:rsidRPr="00A1145E" w:rsidRDefault="00F010F5" w:rsidP="00F010F5">
      <w:pPr>
        <w:pStyle w:val="a0"/>
      </w:pPr>
      <w:r>
        <w:t>d</w:t>
      </w:r>
      <w:r w:rsidR="005A46E7" w:rsidRPr="00A1145E">
        <w:t>.</w:t>
      </w:r>
      <w:r w:rsidR="005A46E7" w:rsidRPr="00A1145E">
        <w:tab/>
        <w:t xml:space="preserve">a herd to which one </w:t>
      </w:r>
      <w:r w:rsidR="005A46E7" w:rsidRPr="00F010F5">
        <w:t>Brucellosis</w:t>
      </w:r>
      <w:r w:rsidR="005A46E7" w:rsidRPr="00A1145E">
        <w:t xml:space="preserve"> reactor in a consignment tested in market cattle testing program (tested on the physical premises of the auction market or slaughter establishment) has been traced, and the herd of origin has been blood tested not less than 30 days from the date the reactor was detected and found negative;</w:t>
      </w:r>
    </w:p>
    <w:p w14:paraId="44A0BED6" w14:textId="77777777" w:rsidR="005A46E7" w:rsidRPr="00A1145E" w:rsidRDefault="00F010F5" w:rsidP="00F010F5">
      <w:pPr>
        <w:pStyle w:val="a0"/>
      </w:pPr>
      <w:r>
        <w:t>e</w:t>
      </w:r>
      <w:r w:rsidR="005A46E7" w:rsidRPr="00A1145E">
        <w:t>.</w:t>
      </w:r>
      <w:r w:rsidR="005A46E7" w:rsidRPr="00A1145E">
        <w:tab/>
        <w:t>an exposed herd which on initial test reveals no reactors and where there has been no direct contact (including across-fence contact) with the infected herd within 120 days. If contact has occurred within 120 days of the negative test (including across-fence contact) such herd must pass a second negative test no less than 90 days from the date of the first negative test.</w:t>
      </w:r>
    </w:p>
    <w:p w14:paraId="65C5F4A7" w14:textId="77777777" w:rsidR="00505773" w:rsidRDefault="00505773" w:rsidP="00F010F5">
      <w:pPr>
        <w:pStyle w:val="1"/>
      </w:pPr>
      <w:r w:rsidRPr="00EA2E74">
        <w:rPr>
          <w:i/>
          <w:iCs/>
        </w:rPr>
        <w:t xml:space="preserve">No Gross Lesion </w:t>
      </w:r>
      <w:r w:rsidRPr="00C843A7">
        <w:rPr>
          <w:iCs/>
        </w:rPr>
        <w:t>(</w:t>
      </w:r>
      <w:r w:rsidRPr="00EA2E74">
        <w:rPr>
          <w:i/>
          <w:iCs/>
        </w:rPr>
        <w:t>NGL</w:t>
      </w:r>
      <w:r w:rsidRPr="00C843A7">
        <w:rPr>
          <w:iCs/>
        </w:rPr>
        <w:t xml:space="preserve">) </w:t>
      </w:r>
      <w:r w:rsidRPr="00EA2E74">
        <w:rPr>
          <w:i/>
          <w:iCs/>
        </w:rPr>
        <w:t>Animal</w:t>
      </w:r>
      <w:r>
        <w:t>—</w:t>
      </w:r>
      <w:r w:rsidRPr="00EA2E74">
        <w:t xml:space="preserve">an animal in which a lesion(s) of tuberculosis is not found during slaughter inspection. (An animal with skin lesions only will be considered in the same category as an </w:t>
      </w:r>
      <w:r w:rsidRPr="00C843A7">
        <w:t>NGL</w:t>
      </w:r>
      <w:r w:rsidRPr="00EA2E74">
        <w:t>.)</w:t>
      </w:r>
    </w:p>
    <w:p w14:paraId="7647A480" w14:textId="77777777" w:rsidR="00922D5D" w:rsidRPr="002024DD" w:rsidRDefault="00922D5D" w:rsidP="00922D5D">
      <w:pPr>
        <w:pStyle w:val="1"/>
      </w:pPr>
      <w:r w:rsidRPr="002024DD">
        <w:rPr>
          <w:i/>
        </w:rPr>
        <w:t>NUES</w:t>
      </w:r>
      <w:r w:rsidRPr="002024DD">
        <w:t>—</w:t>
      </w:r>
      <w:r w:rsidRPr="00B10537">
        <w:rPr>
          <w:shd w:val="clear" w:color="auto" w:fill="FFFFFF"/>
        </w:rPr>
        <w:t>National</w:t>
      </w:r>
      <w:r w:rsidRPr="002024DD">
        <w:t xml:space="preserve"> Uniform Eartag System, established by the USDA. </w:t>
      </w:r>
    </w:p>
    <w:p w14:paraId="357EA9AD" w14:textId="77777777" w:rsidR="00922D5D" w:rsidRPr="00EA2E74" w:rsidRDefault="00922D5D" w:rsidP="00922D5D">
      <w:pPr>
        <w:pStyle w:val="1"/>
      </w:pPr>
      <w:r w:rsidRPr="002024DD">
        <w:rPr>
          <w:i/>
        </w:rPr>
        <w:lastRenderedPageBreak/>
        <w:t>Official Animal Identification—</w:t>
      </w:r>
      <w:r w:rsidRPr="002024DD">
        <w:t xml:space="preserve">identification of animals </w:t>
      </w:r>
      <w:r w:rsidRPr="00B10537">
        <w:rPr>
          <w:shd w:val="clear" w:color="auto" w:fill="FFFFFF"/>
        </w:rPr>
        <w:t>through</w:t>
      </w:r>
      <w:r w:rsidRPr="002024DD">
        <w:t xml:space="preserve"> the use of an official eartag conforming to the USDA NUES or AIN numbering systems, breed registry brand, breed registry tattoo, or microchip. Animals may be either individually identified by assigning each animal a unique official identification number or through group identification wherein a GIN is assigned to a unit of animals.</w:t>
      </w:r>
    </w:p>
    <w:p w14:paraId="57403055" w14:textId="77777777" w:rsidR="00505773" w:rsidRDefault="00505773" w:rsidP="00F010F5">
      <w:pPr>
        <w:pStyle w:val="1"/>
      </w:pPr>
      <w:r w:rsidRPr="00EA2E74">
        <w:rPr>
          <w:i/>
          <w:iCs/>
        </w:rPr>
        <w:t>Official Brucellosis Vaccinates</w:t>
      </w:r>
      <w:r>
        <w:t>—</w:t>
      </w:r>
      <w:r w:rsidRPr="00EA2E74">
        <w:t>calfhood or adult vaccinates as outlined in §723.E and F.</w:t>
      </w:r>
    </w:p>
    <w:p w14:paraId="548B0897" w14:textId="77777777" w:rsidR="00922D5D" w:rsidRPr="002024DD" w:rsidRDefault="00922D5D" w:rsidP="00922D5D">
      <w:pPr>
        <w:pStyle w:val="1"/>
        <w:rPr>
          <w:iCs/>
        </w:rPr>
      </w:pPr>
      <w:r w:rsidRPr="002024DD">
        <w:rPr>
          <w:i/>
        </w:rPr>
        <w:t>Official Identification Number—</w:t>
      </w:r>
      <w:r w:rsidRPr="002024DD">
        <w:rPr>
          <w:iCs/>
        </w:rPr>
        <w:t>a</w:t>
      </w:r>
      <w:r w:rsidRPr="002024DD">
        <w:t xml:space="preserve"> nationally unique number that is permanently associated with an animal or group of animals </w:t>
      </w:r>
      <w:r w:rsidRPr="00B10537">
        <w:rPr>
          <w:shd w:val="clear" w:color="auto" w:fill="FFFFFF"/>
        </w:rPr>
        <w:t>that</w:t>
      </w:r>
      <w:r w:rsidRPr="002024DD">
        <w:t xml:space="preserve"> adheres to, but is not limited to, one of the following USDA-approved systems: </w:t>
      </w:r>
    </w:p>
    <w:p w14:paraId="74D56F48" w14:textId="77777777" w:rsidR="00922D5D" w:rsidRPr="002024DD" w:rsidRDefault="00922D5D" w:rsidP="00922D5D">
      <w:pPr>
        <w:pStyle w:val="a0"/>
      </w:pPr>
      <w:r w:rsidRPr="002024DD">
        <w:t>a.</w:t>
      </w:r>
      <w:r w:rsidRPr="002024DD">
        <w:tab/>
        <w:t xml:space="preserve">the National Uniform Eartagging System (NUES) with metal silver eartags or orange calfhood vaccination tags; or </w:t>
      </w:r>
    </w:p>
    <w:p w14:paraId="3B1B029C" w14:textId="77777777" w:rsidR="00922D5D" w:rsidRPr="00EA2E74" w:rsidRDefault="00922D5D" w:rsidP="00922D5D">
      <w:pPr>
        <w:pStyle w:val="a0"/>
      </w:pPr>
      <w:r w:rsidRPr="002024DD">
        <w:t>b.</w:t>
      </w:r>
      <w:r w:rsidRPr="002024DD">
        <w:tab/>
        <w:t>the Animal Identification Number (AIN) with an official 840 Radio Frequency Identification Device (RFID).</w:t>
      </w:r>
    </w:p>
    <w:p w14:paraId="163FF26A" w14:textId="77777777" w:rsidR="005A46E7" w:rsidRPr="00A1145E" w:rsidRDefault="00505773" w:rsidP="00F010F5">
      <w:pPr>
        <w:pStyle w:val="1"/>
      </w:pPr>
      <w:r w:rsidRPr="00EA2E74">
        <w:rPr>
          <w:i/>
          <w:iCs/>
        </w:rPr>
        <w:t>Official Identification for Scrapie</w:t>
      </w:r>
      <w:r>
        <w:t>—</w:t>
      </w:r>
      <w:r w:rsidRPr="00EA2E74">
        <w:t>an electronic identification, state or federally approved tamper-resistant ear tag, or a flank or ear tattoo, which has been recorded in a book of record of a sheep or goat registry or association. When an animal is identified by an ear or flank tattoo either a registration certificate or a certificate of veterinary inspection shall accompany the animal. In the case of goats registered with the American Dairy Goat Association, the tattoo may be applied at the tail web.</w:t>
      </w:r>
    </w:p>
    <w:p w14:paraId="2E439AE2" w14:textId="77777777" w:rsidR="005A46E7" w:rsidRPr="00A1145E" w:rsidRDefault="005A46E7" w:rsidP="00F010F5">
      <w:pPr>
        <w:pStyle w:val="1"/>
      </w:pPr>
      <w:r w:rsidRPr="00A1145E">
        <w:rPr>
          <w:i/>
          <w:iCs/>
        </w:rPr>
        <w:t>Official Pseudorabies Serological Test</w:t>
      </w:r>
      <w:r w:rsidRPr="00A1145E">
        <w:t>―a test conducted at an approved laboratory and shall include the enzyme-linked immunosorbent assay (ELISA) test, the latex agglutination test (LAT), and the micro titration serum-virus neutralization test (SN).</w:t>
      </w:r>
    </w:p>
    <w:p w14:paraId="7299A9CA" w14:textId="77777777" w:rsidR="005A46E7" w:rsidRDefault="005A46E7" w:rsidP="00F010F5">
      <w:pPr>
        <w:pStyle w:val="1"/>
      </w:pPr>
      <w:r w:rsidRPr="00A1145E">
        <w:rPr>
          <w:i/>
          <w:iCs/>
        </w:rPr>
        <w:t>Official Random Sample Test</w:t>
      </w:r>
      <w:r w:rsidRPr="00A1145E">
        <w:t>―a sample test of swine in a herd which provides a 95 percent probability of detecting infection in a herd. Each segregated group of swine on an individual premises is considered a separate herd and sampled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94"/>
        <w:gridCol w:w="2307"/>
      </w:tblGrid>
      <w:tr w:rsidR="005A46E7" w:rsidRPr="00C30258" w14:paraId="76FC34E6" w14:textId="77777777" w:rsidTr="00505773">
        <w:trPr>
          <w:cantSplit/>
          <w:jc w:val="center"/>
        </w:trPr>
        <w:tc>
          <w:tcPr>
            <w:tcW w:w="2594" w:type="dxa"/>
          </w:tcPr>
          <w:p w14:paraId="0C13947C"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Less than 100 head</w:t>
            </w:r>
          </w:p>
        </w:tc>
        <w:tc>
          <w:tcPr>
            <w:tcW w:w="2307" w:type="dxa"/>
          </w:tcPr>
          <w:p w14:paraId="66341450"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25</w:t>
            </w:r>
          </w:p>
        </w:tc>
      </w:tr>
      <w:tr w:rsidR="005A46E7" w:rsidRPr="00C30258" w14:paraId="16F6D058" w14:textId="77777777" w:rsidTr="00505773">
        <w:trPr>
          <w:cantSplit/>
          <w:jc w:val="center"/>
        </w:trPr>
        <w:tc>
          <w:tcPr>
            <w:tcW w:w="2594" w:type="dxa"/>
          </w:tcPr>
          <w:p w14:paraId="448654B7"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100-200 head</w:t>
            </w:r>
          </w:p>
        </w:tc>
        <w:tc>
          <w:tcPr>
            <w:tcW w:w="2307" w:type="dxa"/>
          </w:tcPr>
          <w:p w14:paraId="706CBF61"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27</w:t>
            </w:r>
          </w:p>
        </w:tc>
      </w:tr>
      <w:tr w:rsidR="005A46E7" w:rsidRPr="00C30258" w14:paraId="0A11A5C6" w14:textId="77777777" w:rsidTr="00505773">
        <w:trPr>
          <w:cantSplit/>
          <w:jc w:val="center"/>
        </w:trPr>
        <w:tc>
          <w:tcPr>
            <w:tcW w:w="2594" w:type="dxa"/>
          </w:tcPr>
          <w:p w14:paraId="15A38D39"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201-999 head</w:t>
            </w:r>
          </w:p>
        </w:tc>
        <w:tc>
          <w:tcPr>
            <w:tcW w:w="2307" w:type="dxa"/>
          </w:tcPr>
          <w:p w14:paraId="3E6D8199"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28</w:t>
            </w:r>
          </w:p>
        </w:tc>
      </w:tr>
      <w:tr w:rsidR="005A46E7" w:rsidRPr="00C30258" w14:paraId="215B755D" w14:textId="77777777" w:rsidTr="00505773">
        <w:trPr>
          <w:cantSplit/>
          <w:jc w:val="center"/>
        </w:trPr>
        <w:tc>
          <w:tcPr>
            <w:tcW w:w="2594" w:type="dxa"/>
          </w:tcPr>
          <w:p w14:paraId="62115294"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1000-</w:t>
            </w:r>
            <w:r w:rsidRPr="00C30258">
              <w:rPr>
                <w:kern w:val="2"/>
                <w:sz w:val="16"/>
                <w:szCs w:val="16"/>
              </w:rPr>
              <w:t>and over</w:t>
            </w:r>
          </w:p>
        </w:tc>
        <w:tc>
          <w:tcPr>
            <w:tcW w:w="2307" w:type="dxa"/>
          </w:tcPr>
          <w:p w14:paraId="4D99D3B4" w14:textId="77777777"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29</w:t>
            </w:r>
          </w:p>
        </w:tc>
      </w:tr>
    </w:tbl>
    <w:p w14:paraId="4CB22383" w14:textId="77777777" w:rsidR="005A46E7" w:rsidRDefault="005A46E7" w:rsidP="007356F4">
      <w:pPr>
        <w:pStyle w:val="A"/>
        <w:tabs>
          <w:tab w:val="left" w:pos="360"/>
        </w:tabs>
        <w:spacing w:after="0"/>
        <w:rPr>
          <w:i/>
          <w:iCs/>
        </w:rPr>
      </w:pPr>
    </w:p>
    <w:p w14:paraId="6909314E" w14:textId="77777777" w:rsidR="00505773" w:rsidRPr="00C30258" w:rsidRDefault="00505773" w:rsidP="00F010F5">
      <w:pPr>
        <w:pStyle w:val="1"/>
        <w:rPr>
          <w:i/>
          <w:iCs/>
        </w:rPr>
      </w:pPr>
      <w:r w:rsidRPr="00EA2E74">
        <w:rPr>
          <w:i/>
        </w:rPr>
        <w:t>Official State Agency</w:t>
      </w:r>
      <w:r>
        <w:t>—</w:t>
      </w:r>
      <w:r w:rsidRPr="00EA2E74">
        <w:t>the state authority recognized by the USDA to cooperate in the administration of the NPIP.</w:t>
      </w:r>
    </w:p>
    <w:p w14:paraId="20B55993" w14:textId="77777777" w:rsidR="005A46E7" w:rsidRPr="00A1145E" w:rsidRDefault="005A46E7" w:rsidP="00F010F5">
      <w:pPr>
        <w:pStyle w:val="1"/>
      </w:pPr>
      <w:r w:rsidRPr="00A1145E">
        <w:rPr>
          <w:i/>
          <w:iCs/>
        </w:rPr>
        <w:t>Official Test for Equine Infectious Anemia</w:t>
      </w:r>
      <w:r w:rsidRPr="00A1145E">
        <w:t>―any test approved by the United States Department of Agriculture, Animal and Plant Health Inspection Service, Veterinary Services, for testing equidae for equine infectious anemia.</w:t>
      </w:r>
    </w:p>
    <w:p w14:paraId="683A26E1" w14:textId="77777777" w:rsidR="005A46E7" w:rsidRPr="00A1145E" w:rsidRDefault="005A46E7" w:rsidP="00F010F5">
      <w:pPr>
        <w:pStyle w:val="1"/>
      </w:pPr>
      <w:r w:rsidRPr="00A1145E">
        <w:rPr>
          <w:i/>
          <w:iCs/>
        </w:rPr>
        <w:t>Official Tuberculin Test</w:t>
      </w:r>
      <w:r w:rsidRPr="00A1145E">
        <w:t xml:space="preserve">―a tuberculin test which has been applied by a veterinarian employed in a full-time capacity by the state, USDA (Animal and Plant Health Inspection Service), or by an accredited veterinarian. All tuberculin tests are official tests. A report of all tuberculin tests, including a record of all responses, shall be submitted in accordance with the requirements of the cooperating state and </w:t>
      </w:r>
      <w:r w:rsidRPr="00A1145E">
        <w:t>federal authorities. These officials reserve the right to supervise any tests conducted by an accredited veterinarian.</w:t>
      </w:r>
    </w:p>
    <w:p w14:paraId="19F274B6" w14:textId="77777777" w:rsidR="005A46E7" w:rsidRPr="00A1145E" w:rsidRDefault="005A46E7" w:rsidP="00F010F5">
      <w:pPr>
        <w:pStyle w:val="1"/>
      </w:pPr>
      <w:r w:rsidRPr="00A1145E">
        <w:rPr>
          <w:i/>
          <w:iCs/>
        </w:rPr>
        <w:t>Passed Herd</w:t>
      </w:r>
      <w:r w:rsidRPr="00A1145E">
        <w:t>―a herd in which no animals were classified as reactors or suspects on the herd test.</w:t>
      </w:r>
    </w:p>
    <w:p w14:paraId="05741DF9" w14:textId="77777777" w:rsidR="0097119C" w:rsidRPr="002024DD" w:rsidRDefault="0097119C" w:rsidP="0097119C">
      <w:pPr>
        <w:pStyle w:val="1"/>
      </w:pPr>
      <w:r w:rsidRPr="002024DD">
        <w:rPr>
          <w:i/>
          <w:iCs/>
        </w:rPr>
        <w:t xml:space="preserve">PCR </w:t>
      </w:r>
      <w:r w:rsidRPr="002024DD">
        <w:t>Test—</w:t>
      </w:r>
      <w:r w:rsidRPr="00B10537">
        <w:rPr>
          <w:shd w:val="clear" w:color="auto" w:fill="FFFFFF"/>
        </w:rPr>
        <w:t>Polymerase</w:t>
      </w:r>
      <w:r w:rsidRPr="002024DD">
        <w:t>-Chain Reaction Test</w:t>
      </w:r>
    </w:p>
    <w:p w14:paraId="52AE813E" w14:textId="77777777" w:rsidR="005A46E7" w:rsidRPr="00A1145E" w:rsidRDefault="0097119C" w:rsidP="0097119C">
      <w:pPr>
        <w:pStyle w:val="1"/>
      </w:pPr>
      <w:r w:rsidRPr="002024DD">
        <w:rPr>
          <w:i/>
          <w:iCs/>
        </w:rPr>
        <w:t>Permit</w:t>
      </w:r>
      <w:r w:rsidRPr="002024DD">
        <w:t xml:space="preserve">—a permit issued annually by the Louisiana Board of Animal </w:t>
      </w:r>
      <w:r w:rsidRPr="00B10537">
        <w:rPr>
          <w:shd w:val="clear" w:color="auto" w:fill="FFFFFF"/>
        </w:rPr>
        <w:t>Health</w:t>
      </w:r>
      <w:r w:rsidRPr="002024DD">
        <w:t>.</w:t>
      </w:r>
    </w:p>
    <w:p w14:paraId="0BA112AD" w14:textId="77777777" w:rsidR="005A46E7" w:rsidRPr="00A1145E" w:rsidRDefault="005A46E7" w:rsidP="00F010F5">
      <w:pPr>
        <w:pStyle w:val="1"/>
      </w:pPr>
      <w:r w:rsidRPr="00A1145E">
        <w:rPr>
          <w:i/>
          <w:iCs/>
        </w:rPr>
        <w:t>Person</w:t>
      </w:r>
      <w:r w:rsidRPr="00A1145E">
        <w:t xml:space="preserve">―any natural </w:t>
      </w:r>
      <w:r w:rsidRPr="0067578D">
        <w:rPr>
          <w:i/>
        </w:rPr>
        <w:t>person</w:t>
      </w:r>
      <w:r w:rsidRPr="00A1145E">
        <w:t xml:space="preserve"> and/or </w:t>
      </w:r>
      <w:r w:rsidRPr="0067578D">
        <w:rPr>
          <w:i/>
        </w:rPr>
        <w:t>persons</w:t>
      </w:r>
      <w:r w:rsidRPr="00A1145E">
        <w:t>, partnership, corporation, unincorporated association and/or any legal entity whatsoever.</w:t>
      </w:r>
    </w:p>
    <w:p w14:paraId="3D562095" w14:textId="77777777" w:rsidR="005A46E7" w:rsidRPr="00A1145E" w:rsidRDefault="00505773" w:rsidP="00F010F5">
      <w:pPr>
        <w:pStyle w:val="1"/>
      </w:pPr>
      <w:r w:rsidRPr="00EA2E74">
        <w:rPr>
          <w:i/>
          <w:iCs/>
        </w:rPr>
        <w:t>Poultry</w:t>
      </w:r>
      <w:r>
        <w:t>—</w:t>
      </w:r>
      <w:r w:rsidRPr="00EA2E74">
        <w:t>chickens, ducks, turkeys, pigeons, guinea fowl, geese, peafowl and pheasants and other domestic feathered life, including hatched eggs or fertilized eggs.</w:t>
      </w:r>
    </w:p>
    <w:p w14:paraId="2C2CD4A3" w14:textId="77777777" w:rsidR="005A46E7" w:rsidRPr="00A1145E" w:rsidRDefault="005A46E7" w:rsidP="00F010F5">
      <w:pPr>
        <w:pStyle w:val="1"/>
      </w:pPr>
      <w:r w:rsidRPr="00A1145E">
        <w:rPr>
          <w:i/>
          <w:iCs/>
        </w:rPr>
        <w:t>Quarantined Feedlot</w:t>
      </w:r>
      <w:r w:rsidRPr="00A1145E">
        <w:t xml:space="preserve">―a confined area under the direct supervision and control of the state livestock official who shall establish procedures for accounting of all animals entering or leaving such </w:t>
      </w:r>
      <w:r w:rsidRPr="00A1145E">
        <w:rPr>
          <w:i/>
        </w:rPr>
        <w:t>quarantined feedlot</w:t>
      </w:r>
      <w:r w:rsidRPr="00A1145E">
        <w:t>. The quarantined feedlot shall be maintained for finish feeding of animals in dry lot with no provision for pasturing and grazing. All animals leaving such feedlot must move only to slaughter in accordance with established procedures for handling quarantined animals.</w:t>
      </w:r>
    </w:p>
    <w:p w14:paraId="4EE64941" w14:textId="77777777" w:rsidR="005A46E7" w:rsidRPr="00A1145E" w:rsidRDefault="005A46E7" w:rsidP="00F010F5">
      <w:pPr>
        <w:pStyle w:val="1"/>
      </w:pPr>
      <w:r w:rsidRPr="00A1145E">
        <w:rPr>
          <w:i/>
          <w:iCs/>
        </w:rPr>
        <w:t>Quarantined Holding Area</w:t>
      </w:r>
      <w:r w:rsidRPr="00A1145E">
        <w:t>―an area where EIA positive and/or "S" branded horses are kept and where such horses are separated by at least 440 yards from all other horses.</w:t>
      </w:r>
    </w:p>
    <w:p w14:paraId="73952CDC" w14:textId="77777777" w:rsidR="0097119C" w:rsidRDefault="0097119C" w:rsidP="00F010F5">
      <w:pPr>
        <w:pStyle w:val="1"/>
        <w:rPr>
          <w:i/>
          <w:iCs/>
        </w:rPr>
      </w:pPr>
      <w:r w:rsidRPr="002024DD">
        <w:rPr>
          <w:i/>
        </w:rPr>
        <w:t>RFID—</w:t>
      </w:r>
      <w:r w:rsidRPr="002024DD">
        <w:t>radio frequency identification.</w:t>
      </w:r>
    </w:p>
    <w:p w14:paraId="3CE6E37E" w14:textId="77777777" w:rsidR="005A46E7" w:rsidRPr="00A1145E" w:rsidRDefault="005A46E7" w:rsidP="00F010F5">
      <w:pPr>
        <w:pStyle w:val="1"/>
      </w:pPr>
      <w:r w:rsidRPr="00A1145E">
        <w:rPr>
          <w:i/>
          <w:iCs/>
        </w:rPr>
        <w:t>Recognized Slaughter Establishment</w:t>
      </w:r>
      <w:r w:rsidRPr="00A1145E">
        <w:t>―a slaughter establishment maintaining state or federal meat inspection.</w:t>
      </w:r>
    </w:p>
    <w:p w14:paraId="00B21E16" w14:textId="77777777" w:rsidR="005A46E7" w:rsidRPr="00A1145E" w:rsidRDefault="005A46E7" w:rsidP="00F010F5">
      <w:pPr>
        <w:pStyle w:val="1"/>
      </w:pPr>
      <w:r w:rsidRPr="00A1145E">
        <w:rPr>
          <w:i/>
          <w:iCs/>
        </w:rPr>
        <w:t>Rendering Plant</w:t>
      </w:r>
      <w:r w:rsidRPr="00A1145E">
        <w:t>―any establishment equipped to render by heat, steam or dry method any animal or fowl dead from any cause. This shall also include rendering offal from slaughtering establishments or butcher shops.</w:t>
      </w:r>
    </w:p>
    <w:p w14:paraId="4C38E624" w14:textId="77777777" w:rsidR="005A46E7" w:rsidRPr="00A1145E" w:rsidRDefault="005A46E7" w:rsidP="00F010F5">
      <w:pPr>
        <w:pStyle w:val="1"/>
      </w:pPr>
      <w:r w:rsidRPr="00A1145E">
        <w:rPr>
          <w:i/>
          <w:iCs/>
        </w:rPr>
        <w:t>Scrapie Affected Animal</w:t>
      </w:r>
      <w:r w:rsidRPr="00A1145E">
        <w:t>―any animal that tests positive for scrapie on an APHIS-approved live animal screening test is considered an affected animal.</w:t>
      </w:r>
    </w:p>
    <w:p w14:paraId="3DE1DD1A" w14:textId="77777777" w:rsidR="005A46E7" w:rsidRPr="00A1145E" w:rsidRDefault="005A46E7" w:rsidP="00F010F5">
      <w:pPr>
        <w:pStyle w:val="1"/>
      </w:pPr>
      <w:r w:rsidRPr="00A1145E">
        <w:rPr>
          <w:i/>
          <w:iCs/>
        </w:rPr>
        <w:t>Screwworms</w:t>
      </w:r>
      <w:r w:rsidRPr="00A1145E">
        <w:t xml:space="preserve">―the communicable disease (myiasis) of livestock caused by the presence of the </w:t>
      </w:r>
      <w:r w:rsidRPr="000F3DBE">
        <w:rPr>
          <w:i/>
        </w:rPr>
        <w:t>screwworms</w:t>
      </w:r>
      <w:r w:rsidRPr="00A1145E">
        <w:t xml:space="preserve"> (</w:t>
      </w:r>
      <w:r w:rsidRPr="00A1145E">
        <w:rPr>
          <w:i/>
        </w:rPr>
        <w:t>Cochliomyio hominivorax</w:t>
      </w:r>
      <w:r w:rsidRPr="00A1145E">
        <w:t>).</w:t>
      </w:r>
    </w:p>
    <w:p w14:paraId="1CEC1493" w14:textId="77777777" w:rsidR="005A46E7" w:rsidRPr="00A1145E" w:rsidRDefault="005A46E7" w:rsidP="00F010F5">
      <w:pPr>
        <w:pStyle w:val="1"/>
      </w:pPr>
      <w:r w:rsidRPr="00A1145E">
        <w:rPr>
          <w:i/>
        </w:rPr>
        <w:t>Slaughter Permit—</w:t>
      </w:r>
      <w:r w:rsidRPr="00A1145E">
        <w:t xml:space="preserve">an official document issued by an authorized agent of the department, a representative ofAPHIS veterinary services, or an accredited veterinarian that is required to accompany any animal that is a reactor, or suspect or exposed to a disease, and the animal is required to be taken to slaughter. The </w:t>
      </w:r>
      <w:r w:rsidRPr="00A1145E">
        <w:rPr>
          <w:i/>
        </w:rPr>
        <w:t>slaughter permit</w:t>
      </w:r>
      <w:r w:rsidRPr="00A1145E">
        <w:t xml:space="preserve"> shall list the tag number of all reactors, the official ear tag number of all suspect or exposed animals, the owner's name and address, the origin and destination locations, number of animals covered, and the purpose of the movement. If a change in destination becomes necessary, a new permit shall be issued by authorized personnel. No diversion from the destination on the permit is allowed.</w:t>
      </w:r>
    </w:p>
    <w:p w14:paraId="27DE14FC" w14:textId="77777777" w:rsidR="005A46E7" w:rsidRPr="00A1145E" w:rsidRDefault="005A46E7" w:rsidP="00F010F5">
      <w:pPr>
        <w:pStyle w:val="1"/>
      </w:pPr>
      <w:r w:rsidRPr="00A1145E">
        <w:rPr>
          <w:i/>
          <w:iCs/>
        </w:rPr>
        <w:t>Source Flock</w:t>
      </w:r>
      <w:r w:rsidRPr="00A1145E">
        <w:t>―a flock in which one animal diagnosed as scrapie positive at the age of 72 months or less was born.</w:t>
      </w:r>
    </w:p>
    <w:p w14:paraId="0DD7C943" w14:textId="77777777" w:rsidR="005A46E7" w:rsidRPr="00A1145E" w:rsidRDefault="005A46E7" w:rsidP="00F010F5">
      <w:pPr>
        <w:pStyle w:val="1"/>
      </w:pPr>
      <w:r w:rsidRPr="00A1145E">
        <w:rPr>
          <w:i/>
          <w:iCs/>
        </w:rPr>
        <w:lastRenderedPageBreak/>
        <w:t>State Inspector</w:t>
      </w:r>
      <w:r w:rsidRPr="00A1145E">
        <w:t>―an inspector regularly employed by the Livestock Sanitary Board and authorized to perform the function involved in connection with the inspections and certification of animals.</w:t>
      </w:r>
    </w:p>
    <w:p w14:paraId="2A50CE48" w14:textId="77777777" w:rsidR="005A46E7" w:rsidRPr="00A1145E" w:rsidRDefault="005A46E7" w:rsidP="00F010F5">
      <w:pPr>
        <w:pStyle w:val="1"/>
      </w:pPr>
      <w:r w:rsidRPr="00A1145E">
        <w:rPr>
          <w:i/>
          <w:iCs/>
        </w:rPr>
        <w:t>State Veterinarian</w:t>
      </w:r>
      <w:r w:rsidRPr="00A1145E">
        <w:t>―the executive secretary of the Livestock Sanitary Board.</w:t>
      </w:r>
    </w:p>
    <w:p w14:paraId="790669CF" w14:textId="77777777" w:rsidR="005A46E7" w:rsidRPr="00A1145E" w:rsidRDefault="005A46E7" w:rsidP="00F010F5">
      <w:pPr>
        <w:pStyle w:val="1"/>
      </w:pPr>
      <w:r w:rsidRPr="00A1145E">
        <w:rPr>
          <w:i/>
          <w:iCs/>
        </w:rPr>
        <w:t>State-Federal Quarantined Feedlot</w:t>
      </w:r>
      <w:r w:rsidRPr="00A1145E">
        <w:t>―a feedlot that has obtained a permit from the Livestock Sanitary Board to operate as outlined in §705.</w:t>
      </w:r>
    </w:p>
    <w:p w14:paraId="0616193F" w14:textId="77777777" w:rsidR="005A46E7" w:rsidRPr="00A1145E" w:rsidRDefault="005A46E7" w:rsidP="00F010F5">
      <w:pPr>
        <w:pStyle w:val="1"/>
      </w:pPr>
      <w:r w:rsidRPr="00A1145E">
        <w:rPr>
          <w:i/>
          <w:iCs/>
        </w:rPr>
        <w:t>Sterilized and Dehydrated Foods</w:t>
      </w:r>
      <w:r w:rsidRPr="00A1145E">
        <w:t>―waste food which has been subjected to sufficient dry heat, 325°F minimum, for the purpose of extraction of fluids, 12 percent moisture or below permissible, and for the destruction of any organism from such matter.</w:t>
      </w:r>
    </w:p>
    <w:p w14:paraId="18D340DC" w14:textId="77777777" w:rsidR="005A46E7" w:rsidRPr="00A1145E" w:rsidRDefault="005A46E7" w:rsidP="00F010F5">
      <w:pPr>
        <w:pStyle w:val="1"/>
      </w:pPr>
      <w:r w:rsidRPr="00A1145E">
        <w:rPr>
          <w:i/>
          <w:iCs/>
        </w:rPr>
        <w:t>Surveillance</w:t>
      </w:r>
      <w:r w:rsidRPr="00A1145E">
        <w:t>―all measures used to detect the presence of tuberculosis in the cattle population.</w:t>
      </w:r>
    </w:p>
    <w:p w14:paraId="7B6BE985" w14:textId="77777777" w:rsidR="005A46E7" w:rsidRPr="00A1145E" w:rsidRDefault="005A46E7" w:rsidP="00F010F5">
      <w:pPr>
        <w:pStyle w:val="1"/>
      </w:pPr>
      <w:r w:rsidRPr="00A1145E">
        <w:rPr>
          <w:i/>
        </w:rPr>
        <w:t>Trichomoniasis</w:t>
      </w:r>
      <w:r w:rsidRPr="00A1145E">
        <w:t xml:space="preserve">—a venereal disease of cattle caused by </w:t>
      </w:r>
      <w:r w:rsidRPr="00A1145E">
        <w:rPr>
          <w:i/>
        </w:rPr>
        <w:t xml:space="preserve">Tritrichomonas foetus, </w:t>
      </w:r>
      <w:r w:rsidRPr="00A1145E">
        <w:t>a protozoal parasite</w:t>
      </w:r>
      <w:r>
        <w:t>.</w:t>
      </w:r>
    </w:p>
    <w:p w14:paraId="75EA9CF5" w14:textId="77777777" w:rsidR="005A46E7" w:rsidRPr="00A1145E" w:rsidRDefault="005A46E7" w:rsidP="00F010F5">
      <w:pPr>
        <w:pStyle w:val="1"/>
      </w:pPr>
      <w:r w:rsidRPr="00A1145E">
        <w:rPr>
          <w:i/>
          <w:iCs/>
        </w:rPr>
        <w:t>Tuberculosis Exposed Herd</w:t>
      </w:r>
      <w:r w:rsidRPr="00A1145E">
        <w:t>―a herd of cattle that are intermingled with tuberculosis infected cattle or otherwise been exposed to tuberculosis infected animals which include:</w:t>
      </w:r>
    </w:p>
    <w:p w14:paraId="449456C5" w14:textId="77777777" w:rsidR="005A46E7" w:rsidRPr="00A1145E" w:rsidRDefault="00F010F5" w:rsidP="00F010F5">
      <w:pPr>
        <w:pStyle w:val="a0"/>
      </w:pPr>
      <w:r>
        <w:t>a</w:t>
      </w:r>
      <w:r w:rsidR="005A46E7" w:rsidRPr="00A1145E">
        <w:t>.</w:t>
      </w:r>
      <w:r w:rsidR="005A46E7" w:rsidRPr="00A1145E">
        <w:tab/>
        <w:t>cattle separated from known infected cattle by a single fence;</w:t>
      </w:r>
    </w:p>
    <w:p w14:paraId="09D18F79" w14:textId="77777777" w:rsidR="005A46E7" w:rsidRPr="00A1145E" w:rsidRDefault="00F010F5" w:rsidP="00F010F5">
      <w:pPr>
        <w:pStyle w:val="a0"/>
      </w:pPr>
      <w:r>
        <w:t>b</w:t>
      </w:r>
      <w:r w:rsidR="005A46E7" w:rsidRPr="00A1145E">
        <w:t>.</w:t>
      </w:r>
      <w:r w:rsidR="005A46E7" w:rsidRPr="00A1145E">
        <w:tab/>
        <w:t>cattle herds on common range with tuberculosis infected herds; and</w:t>
      </w:r>
    </w:p>
    <w:p w14:paraId="4779C882" w14:textId="77777777" w:rsidR="005A46E7" w:rsidRPr="00A1145E" w:rsidRDefault="00F010F5" w:rsidP="00F010F5">
      <w:pPr>
        <w:pStyle w:val="a0"/>
      </w:pPr>
      <w:r>
        <w:t>c</w:t>
      </w:r>
      <w:r w:rsidR="005A46E7" w:rsidRPr="00A1145E">
        <w:t>.</w:t>
      </w:r>
      <w:r w:rsidR="005A46E7" w:rsidRPr="00A1145E">
        <w:tab/>
        <w:t>all herds owned by an individual, partnership, corporation or association that are within 50 miles of an infected herd owned by such individual, partnership, corporation or association.</w:t>
      </w:r>
    </w:p>
    <w:p w14:paraId="260DFBDE" w14:textId="77777777" w:rsidR="005A46E7" w:rsidRPr="00A1145E" w:rsidRDefault="005A46E7" w:rsidP="00F010F5">
      <w:pPr>
        <w:pStyle w:val="1"/>
      </w:pPr>
      <w:r w:rsidRPr="00A1145E">
        <w:rPr>
          <w:i/>
          <w:iCs/>
        </w:rPr>
        <w:t>Tuberculosis Infected Herds</w:t>
      </w:r>
      <w:r w:rsidRPr="00A1145E">
        <w:t xml:space="preserve">―a herd in which one or more </w:t>
      </w:r>
      <w:r w:rsidRPr="00A1145E">
        <w:rPr>
          <w:i/>
          <w:iCs/>
        </w:rPr>
        <w:t>Mycobacterium bovis</w:t>
      </w:r>
      <w:r w:rsidRPr="00A1145E">
        <w:t xml:space="preserve"> infected animals are found. Cattle will be considered infected with </w:t>
      </w:r>
      <w:r w:rsidRPr="00A1145E">
        <w:rPr>
          <w:i/>
          <w:iCs/>
        </w:rPr>
        <w:t>Mycobacterium bovis</w:t>
      </w:r>
      <w:r w:rsidRPr="00A1145E">
        <w:t xml:space="preserve"> when compatible pathologic lesions are found and confirmed to be infected with </w:t>
      </w:r>
      <w:r w:rsidRPr="00A1145E">
        <w:rPr>
          <w:i/>
          <w:iCs/>
        </w:rPr>
        <w:t>Mycobacterium bovis</w:t>
      </w:r>
      <w:r w:rsidRPr="00A1145E">
        <w:t xml:space="preserve"> organisms by bacteriological culturing at the National Animal Disease Laboratory.</w:t>
      </w:r>
    </w:p>
    <w:p w14:paraId="018448EC" w14:textId="77777777" w:rsidR="005A46E7" w:rsidRPr="00A1145E" w:rsidRDefault="005A46E7" w:rsidP="00F010F5">
      <w:pPr>
        <w:pStyle w:val="1"/>
      </w:pPr>
      <w:r w:rsidRPr="00A1145E">
        <w:rPr>
          <w:i/>
          <w:iCs/>
        </w:rPr>
        <w:t>Tuberculosis Quarantined Herd</w:t>
      </w:r>
      <w:r w:rsidRPr="00A1145E">
        <w:t>―a tuberculosis infected herd that has not successfully completed the testing requirements for negative status; or a tuberculosis exposed herd that has been placed under quarantine to be tested until such time as it has been declared tuberculosis negative.</w:t>
      </w:r>
    </w:p>
    <w:p w14:paraId="4AEE2DF8" w14:textId="77777777" w:rsidR="005A46E7" w:rsidRPr="00A1145E" w:rsidRDefault="005A46E7" w:rsidP="00F010F5">
      <w:pPr>
        <w:pStyle w:val="1"/>
      </w:pPr>
      <w:r w:rsidRPr="00A1145E">
        <w:rPr>
          <w:i/>
          <w:iCs/>
        </w:rPr>
        <w:t>U.S. Pullorum-Typhoid Clean Flock</w:t>
      </w:r>
      <w:r w:rsidRPr="00A1145E">
        <w:t>―a flock in which freedom from pullorum and typhoid has been demon</w:t>
      </w:r>
      <w:r>
        <w:t>strated by one of the following:</w:t>
      </w:r>
    </w:p>
    <w:p w14:paraId="2E6671B1" w14:textId="77777777" w:rsidR="005A46E7" w:rsidRPr="00A1145E" w:rsidRDefault="005A46E7" w:rsidP="00F010F5">
      <w:pPr>
        <w:pStyle w:val="a0"/>
      </w:pPr>
      <w:r w:rsidRPr="00A1145E">
        <w:t>1.</w:t>
      </w:r>
      <w:r w:rsidRPr="00A1145E">
        <w:tab/>
        <w:t>all breeding age birds have been blood tested negative within the past 12 months;</w:t>
      </w:r>
    </w:p>
    <w:p w14:paraId="2B245623" w14:textId="77777777" w:rsidR="005A46E7" w:rsidRPr="00A1145E" w:rsidRDefault="005A46E7" w:rsidP="00F010F5">
      <w:pPr>
        <w:pStyle w:val="a0"/>
      </w:pPr>
      <w:r w:rsidRPr="00A1145E">
        <w:t>2.</w:t>
      </w:r>
      <w:r w:rsidRPr="00A1145E">
        <w:tab/>
        <w:t xml:space="preserve">it is a flock composed entirely of birds that originated from </w:t>
      </w:r>
      <w:r w:rsidRPr="00F010F5">
        <w:t>U.S. pullorum-typhoid clean breeding flocks</w:t>
      </w:r>
      <w:r w:rsidRPr="00A1145E">
        <w:t>;</w:t>
      </w:r>
    </w:p>
    <w:p w14:paraId="2C095774" w14:textId="77777777" w:rsidR="005A46E7" w:rsidRPr="00A1145E" w:rsidRDefault="005A46E7" w:rsidP="00F010F5">
      <w:pPr>
        <w:pStyle w:val="1"/>
      </w:pPr>
      <w:r w:rsidRPr="00A1145E">
        <w:t>3.</w:t>
      </w:r>
      <w:r w:rsidRPr="00A1145E">
        <w:tab/>
        <w:t xml:space="preserve">25 percent of the birds have been tested negative within the past 12 months, provided the percentage of birds tested may be reduced 5 percentage points following each year there is no evidence of infection and provided that testing </w:t>
      </w:r>
      <w:r w:rsidRPr="00A1145E">
        <w:t>shall include at least 500 birds the first year, 400 birds the second year, 300 birds the third year, 200 birds the fourth year, and 100 birds the fifth year.</w:t>
      </w:r>
    </w:p>
    <w:p w14:paraId="7D6CD5B4" w14:textId="77777777" w:rsidR="005A46E7" w:rsidRPr="00A1145E" w:rsidRDefault="005A46E7" w:rsidP="00F010F5">
      <w:pPr>
        <w:pStyle w:val="1"/>
      </w:pPr>
      <w:r w:rsidRPr="000F3DBE">
        <w:rPr>
          <w:i/>
          <w:iCs/>
        </w:rPr>
        <w:t xml:space="preserve">Valid 30-Day Negative </w:t>
      </w:r>
      <w:r w:rsidRPr="002248D5">
        <w:rPr>
          <w:i/>
          <w:iCs/>
        </w:rPr>
        <w:t>Brucellosis</w:t>
      </w:r>
      <w:r w:rsidRPr="000F3DBE">
        <w:rPr>
          <w:i/>
          <w:iCs/>
        </w:rPr>
        <w:t xml:space="preserve"> Test</w:t>
      </w:r>
      <w:r w:rsidRPr="00A1145E">
        <w:t xml:space="preserve">―an official </w:t>
      </w:r>
      <w:r w:rsidRPr="002248D5">
        <w:rPr>
          <w:i/>
        </w:rPr>
        <w:t>Brucellosis</w:t>
      </w:r>
      <w:r w:rsidRPr="00A1145E">
        <w:t xml:space="preserve"> negative card test.</w:t>
      </w:r>
    </w:p>
    <w:p w14:paraId="534F4F0E" w14:textId="77777777" w:rsidR="005A46E7" w:rsidRPr="00A1145E" w:rsidRDefault="005A46E7" w:rsidP="00F010F5">
      <w:pPr>
        <w:pStyle w:val="1"/>
      </w:pPr>
      <w:r w:rsidRPr="00A1145E">
        <w:rPr>
          <w:i/>
          <w:iCs/>
        </w:rPr>
        <w:t xml:space="preserve">Valid 30-Day Negative </w:t>
      </w:r>
      <w:r w:rsidRPr="002248D5">
        <w:rPr>
          <w:i/>
          <w:iCs/>
        </w:rPr>
        <w:t>Brucellosis</w:t>
      </w:r>
      <w:r w:rsidRPr="00A1145E">
        <w:rPr>
          <w:i/>
          <w:iCs/>
        </w:rPr>
        <w:t xml:space="preserve"> Test Certificate</w:t>
      </w:r>
      <w:r w:rsidRPr="00A1145E">
        <w:t xml:space="preserve">―a certificate on which the official test has been recorded. This may be an official health certificate completed by an accredited veterinarian; the official </w:t>
      </w:r>
      <w:r w:rsidRPr="002248D5">
        <w:rPr>
          <w:i/>
        </w:rPr>
        <w:t>Brucellosis</w:t>
      </w:r>
      <w:r w:rsidRPr="00A1145E">
        <w:t xml:space="preserve"> test charts from the state-federal laboratory; an individual </w:t>
      </w:r>
      <w:r w:rsidRPr="002248D5">
        <w:rPr>
          <w:i/>
        </w:rPr>
        <w:t>Brucellosis</w:t>
      </w:r>
      <w:r w:rsidRPr="00A1145E">
        <w:t xml:space="preserve"> test certificate issued at the auction market; or a special certificate issued by the state-federal laboratory at the request of the owner.</w:t>
      </w:r>
    </w:p>
    <w:p w14:paraId="24989EE2" w14:textId="77777777" w:rsidR="005A46E7" w:rsidRPr="00A1145E" w:rsidRDefault="005A46E7" w:rsidP="00F010F5">
      <w:pPr>
        <w:pStyle w:val="1"/>
      </w:pPr>
      <w:r w:rsidRPr="00A1145E">
        <w:rPr>
          <w:i/>
          <w:iCs/>
        </w:rPr>
        <w:t>Veterinary Medical Officer</w:t>
      </w:r>
      <w:r w:rsidRPr="00A1145E">
        <w:t xml:space="preserve"> and/or </w:t>
      </w:r>
      <w:r w:rsidRPr="00A1145E">
        <w:rPr>
          <w:i/>
          <w:iCs/>
        </w:rPr>
        <w:t>Supervisory Veterinary Medical Officer</w:t>
      </w:r>
      <w:r w:rsidRPr="00A1145E">
        <w:t xml:space="preserve"> (also referred to as </w:t>
      </w:r>
      <w:r w:rsidRPr="00C20A4D">
        <w:rPr>
          <w:i/>
          <w:iCs/>
        </w:rPr>
        <w:t>Area Veterinarian</w:t>
      </w:r>
      <w:r w:rsidRPr="00A1145E">
        <w:t>)―a veterinarian employed by the Livestock Sanitary Board or the United States Department of Agriculture, Animal and Plant Health Inspection Service.</w:t>
      </w:r>
    </w:p>
    <w:p w14:paraId="0E1412EE" w14:textId="77777777" w:rsidR="005A46E7" w:rsidRPr="00A1145E" w:rsidRDefault="005A46E7" w:rsidP="00F010F5">
      <w:pPr>
        <w:pStyle w:val="1"/>
      </w:pPr>
      <w:r w:rsidRPr="00A1145E">
        <w:rPr>
          <w:i/>
          <w:iCs/>
        </w:rPr>
        <w:t>Veterinary Services</w:t>
      </w:r>
      <w:r w:rsidRPr="00A1145E">
        <w:t>―the Animal and Plant Health Inspection Service, United States Department of Agriculture.</w:t>
      </w:r>
    </w:p>
    <w:p w14:paraId="3326EB3C" w14:textId="77777777" w:rsidR="005A46E7" w:rsidRPr="00A1145E" w:rsidRDefault="005A46E7" w:rsidP="00F010F5">
      <w:pPr>
        <w:pStyle w:val="1"/>
      </w:pPr>
      <w:r w:rsidRPr="00A1145E">
        <w:rPr>
          <w:i/>
          <w:iCs/>
        </w:rPr>
        <w:t>Waste Food Processor</w:t>
      </w:r>
      <w:r w:rsidRPr="00A1145E">
        <w:t>―any person, partnership, firm, corporation, institution or entity processing waste food for livestock feed. This includes all state and private institutions and commercial establishments manufacturing waste foods into livestock feed.</w:t>
      </w:r>
    </w:p>
    <w:p w14:paraId="771B2E2A" w14:textId="77777777" w:rsidR="005A46E7" w:rsidRPr="00A1145E" w:rsidRDefault="005A46E7" w:rsidP="005A46E7">
      <w:pPr>
        <w:pStyle w:val="AuthorityNote"/>
      </w:pPr>
      <w:r w:rsidRPr="00A1145E">
        <w:t>AUTHORITY NOTE:</w:t>
      </w:r>
      <w:r w:rsidRPr="00A1145E">
        <w:tab/>
        <w:t>Promulgated in accordance with R.S. 3:2093.</w:t>
      </w:r>
    </w:p>
    <w:p w14:paraId="68C70B80" w14:textId="77777777" w:rsidR="005A46E7" w:rsidRPr="00A1145E" w:rsidRDefault="005A46E7" w:rsidP="005A46E7">
      <w:pPr>
        <w:pStyle w:val="HistoricalNote"/>
      </w:pPr>
      <w:r w:rsidRPr="00A1145E">
        <w:t>HISTORICAL NOTE:</w:t>
      </w:r>
      <w:r w:rsidRPr="00A1145E">
        <w:tab/>
      </w:r>
      <w:r w:rsidR="007356F4" w:rsidRPr="001531CD">
        <w:t xml:space="preserve">Promulgated by the Department of Agriculture, Livestock Sanitary Board, LR 11:230 (March 1985), amended LR 11:615 (June 1985), LR 12:289 (May 1986), amended by the Department of Agriculture and Forestry, Livestock Sanitary Board, LR 12:498 (August 1986), LR 14:217 (April 1988), LR 15:811 (October 1989), LR 16:391 (May 1990), LR 17:29 (January 1991), LR 18:840 (August 1992), LR 23:949 (August 1997), amended by the Department of Agriculture and Forestry, Office of the Commissioner, LR 24:1677 (September 1998), LR 28:1170 (June 2002), amended by the Department of Agriculture and Forestry, Board of Animal Health, LR 34:2336 (November </w:t>
      </w:r>
      <w:r w:rsidR="007356F4">
        <w:t xml:space="preserve">2008), LR 35:1465 (August 2009), </w:t>
      </w:r>
      <w:r w:rsidR="007356F4" w:rsidRPr="00EF2EC0">
        <w:t>amended by the Department of Agriculture and Forestry,</w:t>
      </w:r>
      <w:r w:rsidR="007356F4">
        <w:t xml:space="preserve"> Office of Animal Health and Food Safety, </w:t>
      </w:r>
      <w:r w:rsidR="007356F4" w:rsidRPr="00EF2EC0">
        <w:t>Board of Animal Health,</w:t>
      </w:r>
      <w:r w:rsidR="007356F4">
        <w:t xml:space="preserve"> </w:t>
      </w:r>
      <w:r w:rsidR="007356F4" w:rsidRPr="00EF2EC0">
        <w:t>LR 39:</w:t>
      </w:r>
      <w:r w:rsidR="007356F4">
        <w:t>3246 (December 2013)</w:t>
      </w:r>
      <w:r w:rsidRPr="00A1145E">
        <w:t xml:space="preserve">, repromulgated by the Department of Agriculture and Forestry, </w:t>
      </w:r>
      <w:r w:rsidR="007356F4">
        <w:t>Office of Animal Health and Food Safety and the Board of Animal Health,</w:t>
      </w:r>
      <w:r w:rsidRPr="00A1145E">
        <w:t xml:space="preserve"> </w:t>
      </w:r>
      <w:r w:rsidR="00D80634">
        <w:t>LR 40:935 (May 2014), amended</w:t>
      </w:r>
      <w:r w:rsidR="00D80634" w:rsidRPr="00EA2E74">
        <w:t xml:space="preserve"> LR 43:</w:t>
      </w:r>
      <w:r w:rsidR="00D80634">
        <w:t>1276 (July 2017</w:t>
      </w:r>
      <w:r w:rsidR="0097119C" w:rsidRPr="002024DD">
        <w:t xml:space="preserve">), </w:t>
      </w:r>
      <w:r w:rsidR="0097119C">
        <w:t>LR 49:236 (February 2023).</w:t>
      </w:r>
    </w:p>
    <w:p w14:paraId="37110C49" w14:textId="77777777" w:rsidR="005A46E7" w:rsidRPr="00A1145E" w:rsidRDefault="005A46E7" w:rsidP="005A46E7">
      <w:pPr>
        <w:pStyle w:val="Section"/>
      </w:pPr>
      <w:bookmarkStart w:id="1608" w:name="_Toc256754682"/>
      <w:bookmarkStart w:id="1609" w:name="_Toc375025466"/>
      <w:bookmarkStart w:id="1610" w:name="_Toc224819018"/>
      <w:r w:rsidRPr="00A1145E">
        <w:t>§103.</w:t>
      </w:r>
      <w:r w:rsidRPr="00A1145E">
        <w:tab/>
      </w:r>
      <w:bookmarkEnd w:id="1608"/>
      <w:bookmarkEnd w:id="1609"/>
      <w:r w:rsidR="0097119C" w:rsidRPr="00B10537">
        <w:t>Prohibited Removal of Official or Permanent Animal Identification</w:t>
      </w:r>
      <w:bookmarkEnd w:id="1610"/>
    </w:p>
    <w:p w14:paraId="24111DBE" w14:textId="77777777" w:rsidR="005A46E7" w:rsidRPr="00A1145E" w:rsidRDefault="005A46E7" w:rsidP="0097119C">
      <w:pPr>
        <w:pStyle w:val="A"/>
      </w:pPr>
      <w:r w:rsidRPr="00A1145E">
        <w:t>A.</w:t>
      </w:r>
      <w:r w:rsidRPr="00A1145E">
        <w:tab/>
      </w:r>
      <w:r w:rsidR="0097119C" w:rsidRPr="002024DD">
        <w:t xml:space="preserve">It shall be a violation of this regulation for anyone to remove any type of official animal identification from any animal. It will be a separate violation for each animal that has had its official or permanent </w:t>
      </w:r>
      <w:r w:rsidR="0097119C" w:rsidRPr="002024DD">
        <w:rPr>
          <w:iCs/>
        </w:rPr>
        <w:t xml:space="preserve">individual </w:t>
      </w:r>
      <w:r w:rsidR="0097119C" w:rsidRPr="002024DD">
        <w:t>animal identification removed.</w:t>
      </w:r>
    </w:p>
    <w:p w14:paraId="3FAED7F7" w14:textId="77777777" w:rsidR="005A46E7" w:rsidRPr="00A1145E" w:rsidRDefault="005A46E7" w:rsidP="005A46E7">
      <w:pPr>
        <w:pStyle w:val="AuthorityNote"/>
      </w:pPr>
      <w:r w:rsidRPr="00A1145E">
        <w:t>AUTHORITY NOTE:</w:t>
      </w:r>
      <w:r w:rsidRPr="00A1145E">
        <w:tab/>
        <w:t>Promulgated in accordance with R.S. 3:2093.</w:t>
      </w:r>
    </w:p>
    <w:p w14:paraId="31A005AF" w14:textId="77777777" w:rsidR="005A46E7" w:rsidRPr="00A1145E" w:rsidRDefault="005A46E7" w:rsidP="005A46E7">
      <w:pPr>
        <w:pStyle w:val="HistoricalNote"/>
      </w:pPr>
      <w:r w:rsidRPr="00A1145E">
        <w:t>HISTORICAL NOTE:</w:t>
      </w:r>
      <w:r w:rsidRPr="00A1145E">
        <w:tab/>
      </w:r>
      <w:r w:rsidR="007356F4" w:rsidRPr="001531CD">
        <w:t>Promulgated by the Department of Agriculture and Forestry, Livestock Sanitary Board, LR 15:812 (October 1989)</w:t>
      </w:r>
      <w:r w:rsidRPr="00A1145E">
        <w:t xml:space="preserve">, repromulgated by the Department of Agriculture and Forestry, </w:t>
      </w:r>
      <w:r w:rsidR="007356F4">
        <w:t xml:space="preserve">Office of Animal Health and Food Safety and the Board </w:t>
      </w:r>
      <w:r w:rsidR="007356F4">
        <w:lastRenderedPageBreak/>
        <w:t>of Animal Health,</w:t>
      </w:r>
      <w:r w:rsidRPr="00A1145E">
        <w:t xml:space="preserve"> LR </w:t>
      </w:r>
      <w:r>
        <w:t>40:938 (May 2014</w:t>
      </w:r>
      <w:r w:rsidR="0097119C" w:rsidRPr="002024DD">
        <w:t xml:space="preserve">), </w:t>
      </w:r>
      <w:r w:rsidR="0097119C">
        <w:t>LR 49:237 (February 2023).</w:t>
      </w:r>
    </w:p>
    <w:p w14:paraId="6306D414" w14:textId="77777777" w:rsidR="005A46E7" w:rsidRPr="00A1145E" w:rsidRDefault="005A46E7" w:rsidP="005A46E7">
      <w:pPr>
        <w:pStyle w:val="Section"/>
      </w:pPr>
      <w:bookmarkStart w:id="1611" w:name="_Toc256754691"/>
      <w:bookmarkStart w:id="1612" w:name="_Toc375025475"/>
      <w:bookmarkStart w:id="1613" w:name="_Toc224819019"/>
      <w:r w:rsidRPr="00A1145E">
        <w:t>§105.</w:t>
      </w:r>
      <w:r w:rsidRPr="00A1145E">
        <w:tab/>
        <w:t>Requiring the Reporting of Contagious Diseases</w:t>
      </w:r>
      <w:bookmarkEnd w:id="1611"/>
      <w:bookmarkEnd w:id="1612"/>
      <w:r>
        <w:br/>
        <w:t>(</w:t>
      </w:r>
      <w:r w:rsidRPr="00A1145E">
        <w:t>Formerly §121</w:t>
      </w:r>
      <w:r>
        <w:t>)</w:t>
      </w:r>
      <w:bookmarkEnd w:id="1613"/>
    </w:p>
    <w:p w14:paraId="1802E460" w14:textId="77777777" w:rsidR="005A46E7" w:rsidRPr="00A1145E" w:rsidRDefault="005A46E7" w:rsidP="005A46E7">
      <w:pPr>
        <w:pStyle w:val="A"/>
      </w:pPr>
      <w:r w:rsidRPr="00A1145E">
        <w:t>A.</w:t>
      </w:r>
      <w:r w:rsidRPr="00A1145E">
        <w:tab/>
        <w:t xml:space="preserve">All veterinarians practicing veterinary medicine in this state shall report any of the diseases listed in this Section to the state veterinarian within 24 hours after making a diagnosis or tentative diagnosis of any such disease. The report may be made by telephone, fax, or electronic mail. The reportable diseases are: classical swine fever (hog cholera), anthrax, vesicular conditions, all equine encephalomyelitis conditions, transmissible spongiform encephalopathies (including chronic wasting disease, scrapie, bovine spongiform encephalopathy), pseudorabies (Aujeszky's disease), tuberculosis, </w:t>
      </w:r>
      <w:r w:rsidRPr="002248D5">
        <w:rPr>
          <w:i/>
        </w:rPr>
        <w:t>Brucellosis</w:t>
      </w:r>
      <w:r w:rsidRPr="00A1145E">
        <w:t xml:space="preserve">, rabies, strangles </w:t>
      </w:r>
      <w:r w:rsidRPr="003C0E20">
        <w:t>(</w:t>
      </w:r>
      <w:r w:rsidRPr="003C0E20">
        <w:rPr>
          <w:rStyle w:val="genus"/>
        </w:rPr>
        <w:t>Streptococcus</w:t>
      </w:r>
      <w:r w:rsidRPr="003C0E20">
        <w:rPr>
          <w:rStyle w:val="p1"/>
        </w:rPr>
        <w:t xml:space="preserve"> </w:t>
      </w:r>
      <w:r w:rsidRPr="003C0E20">
        <w:rPr>
          <w:rStyle w:val="sp"/>
        </w:rPr>
        <w:t>equi</w:t>
      </w:r>
      <w:r w:rsidRPr="003C0E20">
        <w:rPr>
          <w:rStyle w:val="p1"/>
        </w:rPr>
        <w:t xml:space="preserve"> </w:t>
      </w:r>
      <w:r w:rsidRPr="003C0E20">
        <w:rPr>
          <w:rStyle w:val="p1"/>
          <w:i/>
          <w:iCs/>
        </w:rPr>
        <w:t>equi)</w:t>
      </w:r>
      <w:r w:rsidRPr="003C0E20">
        <w:t>,</w:t>
      </w:r>
      <w:r w:rsidRPr="00A1145E">
        <w:t xml:space="preserve"> equine herpes virus 1, equine viral arteritis, spring viremia of carp, viral hemorrhagic septicemia, Newcastle disease and other paramyxovirus infections, avian influenza (highly pathogenic), ornithosis (chlamydiosis, psittacosis), Salmonellas (pullorum disease or fowl typhoid), infectious laryngotracheitis (other than vaccine induced), trichomoniasis, any disease classified by USDA as a foreign animal disease, or any other disease condition which may seriously threaten the any animal population of this state.</w:t>
      </w:r>
    </w:p>
    <w:p w14:paraId="41FFF9F0" w14:textId="77777777" w:rsidR="005A46E7" w:rsidRPr="00A1145E" w:rsidRDefault="005A46E7" w:rsidP="005A46E7">
      <w:pPr>
        <w:pStyle w:val="A"/>
      </w:pPr>
      <w:r w:rsidRPr="00A1145E">
        <w:t>B.</w:t>
      </w:r>
      <w:r w:rsidRPr="00A1145E">
        <w:tab/>
        <w:t>Reports should include the:</w:t>
      </w:r>
    </w:p>
    <w:p w14:paraId="14243578" w14:textId="77777777" w:rsidR="005A46E7" w:rsidRPr="00A1145E" w:rsidRDefault="005A46E7" w:rsidP="005A46E7">
      <w:pPr>
        <w:pStyle w:val="1"/>
      </w:pPr>
      <w:r w:rsidRPr="00A1145E">
        <w:t>1.</w:t>
      </w:r>
      <w:r w:rsidRPr="00A1145E">
        <w:tab/>
        <w:t>name, address and phone number of the owner;</w:t>
      </w:r>
    </w:p>
    <w:p w14:paraId="4C2408CC" w14:textId="77777777" w:rsidR="005A46E7" w:rsidRPr="00A1145E" w:rsidRDefault="005A46E7" w:rsidP="005A46E7">
      <w:pPr>
        <w:pStyle w:val="1"/>
      </w:pPr>
      <w:r w:rsidRPr="00A1145E">
        <w:t>2.</w:t>
      </w:r>
      <w:r w:rsidRPr="00A1145E">
        <w:tab/>
        <w:t>location of the premises;</w:t>
      </w:r>
    </w:p>
    <w:p w14:paraId="1D724989" w14:textId="77777777" w:rsidR="005A46E7" w:rsidRPr="00A1145E" w:rsidRDefault="005A46E7" w:rsidP="005A46E7">
      <w:pPr>
        <w:pStyle w:val="1"/>
      </w:pPr>
      <w:r w:rsidRPr="00A1145E">
        <w:t>3.</w:t>
      </w:r>
      <w:r w:rsidRPr="00A1145E">
        <w:tab/>
        <w:t>morbidity and mortality rate at the time of reporting;</w:t>
      </w:r>
    </w:p>
    <w:p w14:paraId="447BD4ED" w14:textId="77777777" w:rsidR="005A46E7" w:rsidRPr="00A1145E" w:rsidRDefault="005A46E7" w:rsidP="005A46E7">
      <w:pPr>
        <w:pStyle w:val="1"/>
      </w:pPr>
      <w:r w:rsidRPr="00A1145E">
        <w:t>4.</w:t>
      </w:r>
      <w:r w:rsidRPr="00A1145E">
        <w:tab/>
        <w:t>number of susceptible animals in the immediate area; and</w:t>
      </w:r>
    </w:p>
    <w:p w14:paraId="5DA45EDD" w14:textId="77777777" w:rsidR="005A46E7" w:rsidRPr="00A1145E" w:rsidRDefault="005A46E7" w:rsidP="005A46E7">
      <w:pPr>
        <w:pStyle w:val="1"/>
      </w:pPr>
      <w:r w:rsidRPr="00A1145E">
        <w:t>5.</w:t>
      </w:r>
      <w:r w:rsidRPr="00A1145E">
        <w:tab/>
        <w:t>approximate number of animals or poultry exposed.</w:t>
      </w:r>
    </w:p>
    <w:p w14:paraId="05D82B2A" w14:textId="77777777" w:rsidR="005A46E7" w:rsidRPr="00A1145E" w:rsidRDefault="005A46E7" w:rsidP="005A46E7">
      <w:pPr>
        <w:pStyle w:val="A"/>
      </w:pPr>
      <w:r w:rsidRPr="00A1145E">
        <w:t>C.</w:t>
      </w:r>
      <w:r w:rsidRPr="00A1145E">
        <w:tab/>
        <w:t>Reports of disease outbreaks will be coordinated by the state veterinarian.</w:t>
      </w:r>
    </w:p>
    <w:p w14:paraId="50FCACCB" w14:textId="77777777" w:rsidR="005A46E7" w:rsidRPr="00A1145E" w:rsidRDefault="005A46E7" w:rsidP="005A46E7">
      <w:pPr>
        <w:pStyle w:val="A"/>
      </w:pPr>
      <w:r w:rsidRPr="00A1145E">
        <w:t>D.</w:t>
      </w:r>
      <w:r w:rsidRPr="00A1145E">
        <w:tab/>
        <w:t>Livestock owners who suspect the occurrence of contagious disease should immediately contact the local practicing veterinarian, area regulatory veterinarian or county agent who, in turn, will be responsible for reporting to the state veterinarian.</w:t>
      </w:r>
    </w:p>
    <w:p w14:paraId="087DCCFA" w14:textId="77777777" w:rsidR="005A46E7" w:rsidRPr="00A1145E" w:rsidRDefault="005A46E7" w:rsidP="005A46E7">
      <w:pPr>
        <w:pStyle w:val="A"/>
      </w:pPr>
      <w:r w:rsidRPr="00A1145E">
        <w:t>E.</w:t>
      </w:r>
      <w:r w:rsidRPr="00A1145E">
        <w:tab/>
        <w:t>An investigation of the reported contagious disease will be made by representatives of the Livestock Sanitary Board, preferably with the veterinarian or county agent reporting the disease. If necessary to protect the animal and poultry populations, a quarantine may be imposed on involved and exposed animals and areas. The quarantine will remain in effect until the threat has been removed.</w:t>
      </w:r>
    </w:p>
    <w:p w14:paraId="5D2D5581" w14:textId="77777777" w:rsidR="005A46E7" w:rsidRPr="00A1145E" w:rsidRDefault="005A46E7" w:rsidP="005A46E7">
      <w:pPr>
        <w:pStyle w:val="AuthorityNote"/>
      </w:pPr>
      <w:r w:rsidRPr="00A1145E">
        <w:t>AUTHORITY NOTE:</w:t>
      </w:r>
      <w:r w:rsidRPr="00A1145E">
        <w:tab/>
        <w:t>Promulgated in accordance with R.S. 3:2093, R.S. 3:2094 and R.S. 3:2095.</w:t>
      </w:r>
    </w:p>
    <w:p w14:paraId="2F362908" w14:textId="77777777" w:rsidR="005A46E7" w:rsidRPr="00A1145E" w:rsidRDefault="005A46E7" w:rsidP="005A46E7">
      <w:pPr>
        <w:pStyle w:val="HistoricalNote"/>
      </w:pPr>
      <w:r w:rsidRPr="00A1145E">
        <w:t>HISTORICAL NOTE:</w:t>
      </w:r>
      <w:r w:rsidRPr="00A1145E">
        <w:tab/>
      </w:r>
      <w:r w:rsidR="007356F4" w:rsidRPr="001531CD">
        <w:t xml:space="preserve">Promulgated by the Department of Agriculture, Livestock Sanitary Board, LR 11:234 (March 1985), amended LR 11:615 (June 1985), amended by the Department of Agriculture and Forestry, Livestock Sanitary Board, LR 15:813 (October 1989), LR 16:391 (May 1990), LR 23:197 (February 1997), amended by the Department of Agriculture and Forestry, Office of the Commissioner, LR 28:1170 (June 2002), LR 29:1460 (August 2003), amended by the Department of Agriculture and </w:t>
      </w:r>
      <w:r w:rsidR="007356F4" w:rsidRPr="001531CD">
        <w:t>Forestry, Board of Animal Health, LR 34:2337 (November 2008), LR 35:1466 (August 2009)</w:t>
      </w:r>
      <w:r w:rsidRPr="00A1145E">
        <w:t>, repromulgated by the Department of Agriculture and Forestry, Office of Animal Health and Food Saf</w:t>
      </w:r>
      <w:r>
        <w:t xml:space="preserve">ety and </w:t>
      </w:r>
      <w:r w:rsidR="007356F4">
        <w:t xml:space="preserve">the </w:t>
      </w:r>
      <w:r>
        <w:t>Board of Animal Health, LR 40:939 (May 2014).</w:t>
      </w:r>
    </w:p>
    <w:p w14:paraId="4BD0D25A" w14:textId="77777777" w:rsidR="005A46E7" w:rsidRPr="00A1145E" w:rsidRDefault="005A46E7" w:rsidP="005A46E7">
      <w:pPr>
        <w:pStyle w:val="Section"/>
      </w:pPr>
      <w:bookmarkStart w:id="1614" w:name="_Toc256754692"/>
      <w:bookmarkStart w:id="1615" w:name="_Toc375025476"/>
      <w:bookmarkStart w:id="1616" w:name="_Toc224819020"/>
      <w:r w:rsidRPr="00A1145E">
        <w:t>§107.</w:t>
      </w:r>
      <w:r w:rsidRPr="00A1145E">
        <w:tab/>
        <w:t>Intrastate Manufacture, Sale or Distribution of Animal Vaccines</w:t>
      </w:r>
      <w:bookmarkEnd w:id="1614"/>
      <w:bookmarkEnd w:id="1615"/>
      <w:r>
        <w:br/>
        <w:t>(</w:t>
      </w:r>
      <w:r w:rsidRPr="00A1145E">
        <w:t>Formerly §123</w:t>
      </w:r>
      <w:r>
        <w:t>)</w:t>
      </w:r>
      <w:bookmarkEnd w:id="1616"/>
    </w:p>
    <w:p w14:paraId="25229440" w14:textId="77777777" w:rsidR="005A46E7" w:rsidRPr="00A1145E" w:rsidRDefault="005A46E7" w:rsidP="005A46E7">
      <w:pPr>
        <w:pStyle w:val="A"/>
      </w:pPr>
      <w:r w:rsidRPr="00A1145E">
        <w:t>A.</w:t>
      </w:r>
      <w:r w:rsidRPr="00A1145E">
        <w:tab/>
        <w:t>No person, firm, association or corporation shall manufacture, sell or distribute any animal vaccine within the state of Louisiana unless such person, firm, association or corporation can prove to the board that he is currently the holder of a valid federal license to manufacture, sell or distribute such animal vaccine, except as provided hereinafter.</w:t>
      </w:r>
    </w:p>
    <w:p w14:paraId="3A9E0EA7" w14:textId="77777777" w:rsidR="005A46E7" w:rsidRPr="00A1145E" w:rsidRDefault="005A46E7" w:rsidP="005A46E7">
      <w:pPr>
        <w:pStyle w:val="A"/>
      </w:pPr>
      <w:r w:rsidRPr="00A1145E">
        <w:t>B.</w:t>
      </w:r>
      <w:r w:rsidRPr="00A1145E">
        <w:tab/>
        <w:t>The board shall authorize the intrastate manufacture, sale or distribution of animal vaccines on an individual basis to meet emergency situations within the state of Louisiana under special permit of the state veterinarian, provided that no special permit for the intrastate manufacture, sale or distribution of animal vaccines shall be issued by the state veterinarian except under the authorization of the board.</w:t>
      </w:r>
    </w:p>
    <w:p w14:paraId="5CA4E75F" w14:textId="77777777" w:rsidR="005A46E7" w:rsidRPr="00A1145E" w:rsidRDefault="005A46E7" w:rsidP="005A46E7">
      <w:pPr>
        <w:pStyle w:val="A"/>
      </w:pPr>
      <w:r w:rsidRPr="00A1145E">
        <w:t>C.</w:t>
      </w:r>
      <w:r w:rsidRPr="00A1145E">
        <w:tab/>
        <w:t>The board reserves the right to prohibit the intrastate manufacture, sale or distribution of animal vaccines which, in the judgment of the board, would be detrimental to any phase of the livestock and/or animal health industries of the state.</w:t>
      </w:r>
    </w:p>
    <w:p w14:paraId="3D4D0506" w14:textId="77777777" w:rsidR="005A46E7" w:rsidRPr="00A1145E" w:rsidRDefault="005A46E7" w:rsidP="005A46E7">
      <w:pPr>
        <w:pStyle w:val="A"/>
      </w:pPr>
      <w:r w:rsidRPr="00A1145E">
        <w:t>D.</w:t>
      </w:r>
      <w:r w:rsidRPr="00A1145E">
        <w:tab/>
        <w:t>The board shall distribute, through the state veterinarian, on an annual basis, no later than December 31 of each year, a complete list of all vaccines which are prohibited for use within Louisiana, and such list shall be available to any interested person who makes request therefor.</w:t>
      </w:r>
    </w:p>
    <w:p w14:paraId="4EC68508" w14:textId="77777777" w:rsidR="005A46E7" w:rsidRPr="00A1145E" w:rsidRDefault="005A46E7" w:rsidP="005A46E7">
      <w:pPr>
        <w:pStyle w:val="AuthorityNote"/>
      </w:pPr>
      <w:r w:rsidRPr="00A1145E">
        <w:t>AUTHORITY NOTE:</w:t>
      </w:r>
      <w:r w:rsidRPr="00A1145E">
        <w:tab/>
        <w:t>Promulgated in accordance with R.S. 3:2093.</w:t>
      </w:r>
    </w:p>
    <w:p w14:paraId="30EA532E" w14:textId="77777777"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w:t>
      </w:r>
      <w:r>
        <w:t xml:space="preserve">ety and </w:t>
      </w:r>
      <w:r w:rsidR="007356F4">
        <w:t xml:space="preserve">the </w:t>
      </w:r>
      <w:r>
        <w:t>Board of Animal Health, LR 40:939 (May 2014).</w:t>
      </w:r>
    </w:p>
    <w:p w14:paraId="2885EC4C" w14:textId="77777777" w:rsidR="005A46E7" w:rsidRPr="00A1145E" w:rsidRDefault="005A46E7" w:rsidP="005A46E7">
      <w:pPr>
        <w:pStyle w:val="Section"/>
      </w:pPr>
      <w:bookmarkStart w:id="1617" w:name="_Toc256754693"/>
      <w:bookmarkStart w:id="1618" w:name="_Toc375025477"/>
      <w:bookmarkStart w:id="1619" w:name="_Toc224819021"/>
      <w:r w:rsidRPr="00A1145E">
        <w:t>§109.</w:t>
      </w:r>
      <w:r w:rsidRPr="00A1145E">
        <w:tab/>
        <w:t>Tuberculin Tests</w:t>
      </w:r>
      <w:bookmarkEnd w:id="1617"/>
      <w:bookmarkEnd w:id="1618"/>
      <w:r>
        <w:br/>
        <w:t>(</w:t>
      </w:r>
      <w:r w:rsidRPr="00A1145E">
        <w:t>Formerly §125</w:t>
      </w:r>
      <w:r>
        <w:t>)</w:t>
      </w:r>
      <w:bookmarkEnd w:id="1619"/>
    </w:p>
    <w:p w14:paraId="34C6D842" w14:textId="77777777" w:rsidR="005A46E7" w:rsidRPr="00A1145E" w:rsidRDefault="005A46E7" w:rsidP="005A46E7">
      <w:pPr>
        <w:pStyle w:val="A"/>
      </w:pPr>
      <w:r w:rsidRPr="00A1145E">
        <w:t>A.</w:t>
      </w:r>
      <w:r w:rsidRPr="00A1145E">
        <w:tab/>
        <w:t>Report of Tuberculin Tests. A report of all tuberculin tests, including the individual identification of each animal by ear tag number or tattoo, age, sex and breed, and a record of the size of the responses, shall be submitted in accordance with the requirements of the cooperating state and federal officials.</w:t>
      </w:r>
    </w:p>
    <w:p w14:paraId="4B631BBD" w14:textId="77777777" w:rsidR="005A46E7" w:rsidRPr="00A1145E" w:rsidRDefault="005A46E7" w:rsidP="005A46E7">
      <w:pPr>
        <w:pStyle w:val="A"/>
      </w:pPr>
      <w:r w:rsidRPr="00A1145E">
        <w:t>B.</w:t>
      </w:r>
      <w:r w:rsidRPr="00A1145E">
        <w:tab/>
        <w:t>Tuberculin Test Interpretation</w:t>
      </w:r>
    </w:p>
    <w:p w14:paraId="342C119B" w14:textId="77777777" w:rsidR="005A46E7" w:rsidRPr="00A1145E" w:rsidRDefault="005A46E7" w:rsidP="005A46E7">
      <w:pPr>
        <w:pStyle w:val="1"/>
      </w:pPr>
      <w:r w:rsidRPr="00A1145E">
        <w:t>1.</w:t>
      </w:r>
      <w:r w:rsidRPr="00A1145E">
        <w:tab/>
        <w:t xml:space="preserve">Reactor </w:t>
      </w:r>
      <w:r w:rsidRPr="003C0E20">
        <w:rPr>
          <w:iCs/>
        </w:rPr>
        <w:t>R</w:t>
      </w:r>
      <w:r w:rsidRPr="00A1145E">
        <w:t>: animals showing a circumscribed swelling 5 mm in diameter (3/16 of an inch)(P1) or a diffuse swelling twice as thick as the normal caudal fold (X2) or greater response to tuberculin on routine test should be classified as reactors unless in the professional judgment of the testing veterinarian a suspect classification is justified.</w:t>
      </w:r>
    </w:p>
    <w:p w14:paraId="19AC2906" w14:textId="77777777" w:rsidR="005A46E7" w:rsidRPr="00A1145E" w:rsidRDefault="005A46E7" w:rsidP="005A46E7">
      <w:pPr>
        <w:pStyle w:val="1"/>
      </w:pPr>
      <w:r w:rsidRPr="00A1145E">
        <w:t>2.</w:t>
      </w:r>
      <w:r w:rsidRPr="00A1145E">
        <w:tab/>
        <w:t xml:space="preserve">Suspect </w:t>
      </w:r>
      <w:r w:rsidRPr="003C0E20">
        <w:rPr>
          <w:iCs/>
        </w:rPr>
        <w:t>S</w:t>
      </w:r>
      <w:r w:rsidRPr="003C0E20">
        <w:t>:</w:t>
      </w:r>
      <w:r w:rsidRPr="00A1145E">
        <w:t xml:space="preserve"> animals showing a response to tuberculin not classified as reactor with the exception noted below.</w:t>
      </w:r>
    </w:p>
    <w:p w14:paraId="7CAE8A1E" w14:textId="77777777" w:rsidR="005A46E7" w:rsidRPr="00A1145E" w:rsidRDefault="005A46E7" w:rsidP="005A46E7">
      <w:pPr>
        <w:pStyle w:val="1"/>
      </w:pPr>
      <w:r w:rsidRPr="00A1145E">
        <w:t>3.</w:t>
      </w:r>
      <w:r w:rsidRPr="00A1145E">
        <w:tab/>
        <w:t xml:space="preserve">Negative </w:t>
      </w:r>
      <w:r w:rsidRPr="003C0E20">
        <w:rPr>
          <w:iCs/>
        </w:rPr>
        <w:t>N</w:t>
      </w:r>
      <w:r w:rsidRPr="003C0E20">
        <w:t>:</w:t>
      </w:r>
      <w:r w:rsidRPr="00A1145E">
        <w:t xml:space="preserve"> animals showing no response to tuberculin.</w:t>
      </w:r>
    </w:p>
    <w:p w14:paraId="4EF590EA" w14:textId="77777777" w:rsidR="005A46E7" w:rsidRPr="00A1145E" w:rsidRDefault="005A46E7" w:rsidP="005A46E7">
      <w:pPr>
        <w:pStyle w:val="AuthorityNote"/>
      </w:pPr>
      <w:r w:rsidRPr="00A1145E">
        <w:lastRenderedPageBreak/>
        <w:t>AUTHORITY NOTE:</w:t>
      </w:r>
      <w:r w:rsidRPr="00A1145E">
        <w:tab/>
        <w:t>Promulgated in accordance with R.S. 3:2093.</w:t>
      </w:r>
    </w:p>
    <w:p w14:paraId="3DC55020" w14:textId="77777777"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40:939 (May 2014).</w:t>
      </w:r>
    </w:p>
    <w:p w14:paraId="559FC3C6" w14:textId="77777777" w:rsidR="005A46E7" w:rsidRPr="00A1145E" w:rsidRDefault="005A46E7" w:rsidP="005A46E7">
      <w:pPr>
        <w:pStyle w:val="Section"/>
      </w:pPr>
      <w:bookmarkStart w:id="1620" w:name="_Toc256754696"/>
      <w:bookmarkStart w:id="1621" w:name="_Toc375025480"/>
      <w:bookmarkStart w:id="1622" w:name="_Toc224819022"/>
      <w:r w:rsidRPr="00A1145E">
        <w:t>§111.</w:t>
      </w:r>
      <w:r w:rsidRPr="00A1145E">
        <w:tab/>
        <w:t>Conditions for Issuing a Quarantined Feedlot Permit</w:t>
      </w:r>
      <w:bookmarkEnd w:id="1620"/>
      <w:bookmarkEnd w:id="1621"/>
      <w:r>
        <w:br/>
        <w:t>(</w:t>
      </w:r>
      <w:r w:rsidRPr="00A1145E">
        <w:t>Formerly §131</w:t>
      </w:r>
      <w:r>
        <w:t>)</w:t>
      </w:r>
      <w:bookmarkEnd w:id="1622"/>
    </w:p>
    <w:p w14:paraId="6D266F33" w14:textId="77777777" w:rsidR="005A46E7" w:rsidRPr="00A1145E" w:rsidRDefault="005A46E7" w:rsidP="005A46E7">
      <w:pPr>
        <w:pStyle w:val="A"/>
      </w:pPr>
      <w:r w:rsidRPr="00A1145E">
        <w:t>A.</w:t>
      </w:r>
      <w:r w:rsidRPr="00A1145E">
        <w:tab/>
        <w:t>The operation must not constitute a health hazard to livestock on surrounding premises, or create a public nuisance.</w:t>
      </w:r>
    </w:p>
    <w:p w14:paraId="7684E36C" w14:textId="77777777" w:rsidR="005A46E7" w:rsidRPr="00A1145E" w:rsidRDefault="005A46E7" w:rsidP="005A46E7">
      <w:pPr>
        <w:pStyle w:val="A"/>
      </w:pPr>
      <w:r w:rsidRPr="00A1145E">
        <w:t>B.</w:t>
      </w:r>
      <w:r w:rsidRPr="00A1145E">
        <w:tab/>
        <w:t>The operator must agree to abide by the provisions of this regulation and all other regulations of the board and United States Department of Agriculture governing such operations and movements.</w:t>
      </w:r>
    </w:p>
    <w:p w14:paraId="631595A7" w14:textId="77777777" w:rsidR="005A46E7" w:rsidRPr="00A1145E" w:rsidRDefault="005A46E7" w:rsidP="005A46E7">
      <w:pPr>
        <w:pStyle w:val="AuthorityNote"/>
      </w:pPr>
      <w:r w:rsidRPr="00A1145E">
        <w:t>AUTHORITY NOTE:</w:t>
      </w:r>
      <w:r w:rsidRPr="00A1145E">
        <w:tab/>
        <w:t>Promulgated in accordance with R.S. 3:2093.</w:t>
      </w:r>
    </w:p>
    <w:p w14:paraId="4E1B0567" w14:textId="77777777"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14:paraId="7DAB232C" w14:textId="77777777" w:rsidR="005A46E7" w:rsidRPr="00A1145E" w:rsidRDefault="005A46E7" w:rsidP="005A46E7">
      <w:pPr>
        <w:pStyle w:val="Section"/>
      </w:pPr>
      <w:bookmarkStart w:id="1623" w:name="_Toc256754697"/>
      <w:bookmarkStart w:id="1624" w:name="_Toc375025481"/>
      <w:bookmarkStart w:id="1625" w:name="_Toc224819023"/>
      <w:r w:rsidRPr="00A1145E">
        <w:t>§113.</w:t>
      </w:r>
      <w:r w:rsidRPr="00A1145E">
        <w:tab/>
        <w:t>Source and Amount of Indemnification</w:t>
      </w:r>
      <w:bookmarkEnd w:id="1623"/>
      <w:bookmarkEnd w:id="1624"/>
      <w:r>
        <w:br/>
        <w:t>(</w:t>
      </w:r>
      <w:r w:rsidRPr="00A1145E">
        <w:t>Formerly §133</w:t>
      </w:r>
      <w:r>
        <w:t>)</w:t>
      </w:r>
      <w:bookmarkEnd w:id="1625"/>
    </w:p>
    <w:p w14:paraId="29713843" w14:textId="77777777" w:rsidR="005A46E7" w:rsidRPr="00A1145E" w:rsidRDefault="005A46E7" w:rsidP="005A46E7">
      <w:pPr>
        <w:pStyle w:val="A"/>
      </w:pPr>
      <w:r w:rsidRPr="00A1145E">
        <w:t>A.</w:t>
      </w:r>
      <w:r w:rsidRPr="00A1145E">
        <w:tab/>
        <w:t>Indemnities may be paid by either the state or federal government. When indemnities are paid by the state of Louisiana, the amount of the payments shall be set by motion of the board and information concerning the level of indemnification shall be made available to all producers of livestock and dairymen.</w:t>
      </w:r>
    </w:p>
    <w:p w14:paraId="77881DC1" w14:textId="77777777" w:rsidR="005A46E7" w:rsidRPr="00A1145E" w:rsidRDefault="005A46E7" w:rsidP="005A46E7">
      <w:pPr>
        <w:pStyle w:val="AuthorityNote"/>
      </w:pPr>
      <w:r w:rsidRPr="00A1145E">
        <w:t>AUTHORITY NOTE:</w:t>
      </w:r>
      <w:r w:rsidRPr="00A1145E">
        <w:tab/>
        <w:t>Promulgated in accordance with R.S. 3:2093 and R.S. 3:2224.</w:t>
      </w:r>
    </w:p>
    <w:p w14:paraId="3BEA76E4" w14:textId="77777777"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14:paraId="2CDFD362" w14:textId="77777777" w:rsidR="005A46E7" w:rsidRPr="00A1145E" w:rsidRDefault="005A46E7" w:rsidP="005A46E7">
      <w:pPr>
        <w:pStyle w:val="Section"/>
      </w:pPr>
      <w:bookmarkStart w:id="1626" w:name="_Toc256754817"/>
      <w:bookmarkStart w:id="1627" w:name="_Toc375025602"/>
      <w:bookmarkStart w:id="1628" w:name="_Toc224819024"/>
      <w:r w:rsidRPr="00A1145E">
        <w:t>§115.</w:t>
      </w:r>
      <w:r w:rsidRPr="00A1145E">
        <w:tab/>
        <w:t>Repeal Rules and Regulations Previously Adopted by the Livestock Sanitary Board</w:t>
      </w:r>
      <w:bookmarkEnd w:id="1626"/>
      <w:bookmarkEnd w:id="1627"/>
      <w:r>
        <w:br/>
        <w:t>(</w:t>
      </w:r>
      <w:r w:rsidRPr="00A1145E">
        <w:t>Formerly §2901</w:t>
      </w:r>
      <w:r>
        <w:t>)</w:t>
      </w:r>
      <w:bookmarkEnd w:id="1628"/>
    </w:p>
    <w:p w14:paraId="21BD262D" w14:textId="77777777" w:rsidR="005A46E7" w:rsidRPr="00A1145E" w:rsidRDefault="005A46E7" w:rsidP="005A46E7">
      <w:pPr>
        <w:pStyle w:val="A"/>
      </w:pPr>
      <w:r w:rsidRPr="00A1145E">
        <w:t>A.</w:t>
      </w:r>
      <w:r w:rsidRPr="00A1145E">
        <w:tab/>
        <w:t xml:space="preserve">All rules and regulations which were previously adopted by the Livestock Sanitary Board are hereby repealed in their entirety. </w:t>
      </w:r>
    </w:p>
    <w:p w14:paraId="706E6270" w14:textId="77777777" w:rsidR="005A46E7" w:rsidRPr="00A1145E" w:rsidRDefault="005A46E7" w:rsidP="005A46E7">
      <w:pPr>
        <w:pStyle w:val="AuthorityNote"/>
      </w:pPr>
      <w:r w:rsidRPr="00A1145E">
        <w:t>AUTHORITY NOTE:</w:t>
      </w:r>
      <w:r w:rsidRPr="00A1145E">
        <w:tab/>
        <w:t>Promulgated in accordance with R.S. 3:2093.</w:t>
      </w:r>
    </w:p>
    <w:p w14:paraId="55C35793" w14:textId="77777777"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14:paraId="42038A07" w14:textId="77777777" w:rsidR="005A46E7" w:rsidRPr="00A1145E" w:rsidRDefault="005A46E7" w:rsidP="005A46E7">
      <w:pPr>
        <w:pStyle w:val="Section"/>
      </w:pPr>
      <w:bookmarkStart w:id="1629" w:name="_Toc388358216"/>
      <w:bookmarkStart w:id="1630" w:name="_Toc396115118"/>
      <w:bookmarkStart w:id="1631" w:name="_Toc411855509"/>
      <w:bookmarkStart w:id="1632" w:name="_Toc419795711"/>
      <w:bookmarkStart w:id="1633" w:name="_Toc427737099"/>
      <w:bookmarkStart w:id="1634" w:name="_Toc438546901"/>
      <w:bookmarkStart w:id="1635" w:name="_Toc446326888"/>
      <w:bookmarkStart w:id="1636" w:name="_Toc448825078"/>
      <w:bookmarkStart w:id="1637" w:name="_Toc451506122"/>
      <w:bookmarkStart w:id="1638" w:name="_Toc462212545"/>
      <w:bookmarkStart w:id="1639" w:name="_Toc468096465"/>
      <w:bookmarkStart w:id="1640" w:name="_Toc477853930"/>
      <w:bookmarkStart w:id="1641" w:name="_Toc488735874"/>
      <w:bookmarkStart w:id="1642" w:name="_Toc491176691"/>
      <w:bookmarkStart w:id="1643" w:name="_Toc509393614"/>
      <w:bookmarkStart w:id="1644" w:name="_Toc525114783"/>
      <w:bookmarkStart w:id="1645" w:name="_Toc535997180"/>
      <w:bookmarkStart w:id="1646" w:name="_Toc224819025"/>
      <w:r w:rsidRPr="00A1145E">
        <w:t>§§117</w:t>
      </w:r>
      <w:r>
        <w:t>-119.</w:t>
      </w:r>
      <w:r>
        <w:tab/>
      </w:r>
      <w:r w:rsidRPr="00A1145E">
        <w:t>Reserved</w:t>
      </w:r>
      <w:r>
        <w:t>.</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1CD31067" w14:textId="77777777" w:rsidR="005A46E7" w:rsidRPr="00A1145E" w:rsidRDefault="005A46E7" w:rsidP="005A46E7">
      <w:pPr>
        <w:pStyle w:val="Chapter"/>
      </w:pPr>
      <w:bookmarkStart w:id="1647" w:name="_Toc224819026"/>
      <w:r>
        <w:t>Subchapter B.</w:t>
      </w:r>
      <w:r>
        <w:tab/>
      </w:r>
      <w:r w:rsidRPr="00A1145E">
        <w:t>Board of Animal Health</w:t>
      </w:r>
      <w:bookmarkEnd w:id="1647"/>
    </w:p>
    <w:p w14:paraId="6828FB6F" w14:textId="77777777" w:rsidR="005A46E7" w:rsidRPr="00A1145E" w:rsidRDefault="005A46E7" w:rsidP="005A46E7">
      <w:pPr>
        <w:pStyle w:val="Section"/>
      </w:pPr>
      <w:bookmarkStart w:id="1648" w:name="_Toc256754683"/>
      <w:bookmarkStart w:id="1649" w:name="_Toc375025467"/>
      <w:bookmarkStart w:id="1650" w:name="_Toc224819027"/>
      <w:r w:rsidRPr="00A1145E">
        <w:t>§121.</w:t>
      </w:r>
      <w:r w:rsidRPr="00A1145E">
        <w:tab/>
        <w:t>Administration of the Affairs of the Board</w:t>
      </w:r>
      <w:bookmarkEnd w:id="1648"/>
      <w:bookmarkEnd w:id="1649"/>
      <w:r>
        <w:br/>
        <w:t>(</w:t>
      </w:r>
      <w:r w:rsidRPr="00A1145E">
        <w:t>Formerly §105</w:t>
      </w:r>
      <w:r>
        <w:t>)</w:t>
      </w:r>
      <w:bookmarkEnd w:id="1650"/>
    </w:p>
    <w:p w14:paraId="0742BE20" w14:textId="77777777" w:rsidR="005A46E7" w:rsidRPr="00A1145E" w:rsidRDefault="005A46E7" w:rsidP="005A46E7">
      <w:pPr>
        <w:pStyle w:val="A"/>
      </w:pPr>
      <w:r w:rsidRPr="00A1145E">
        <w:t>A.</w:t>
      </w:r>
      <w:r w:rsidRPr="00A1145E">
        <w:tab/>
        <w:t>The members of the board shall elect a chairman, vice-chairman and a secretary-treasurer from the membership of the board, who shall serve for terms of one year, but may be elected for an indefinite number of terms. After the initial election the officers shall be elected at the board's regular meeting during the first quarter of each year. In the absence of the chairman at any meeting of the board, the vice-chairman shall preside.</w:t>
      </w:r>
    </w:p>
    <w:p w14:paraId="26847B36" w14:textId="77777777" w:rsidR="005A46E7" w:rsidRPr="00A1145E" w:rsidRDefault="005A46E7" w:rsidP="005A46E7">
      <w:pPr>
        <w:pStyle w:val="A"/>
      </w:pPr>
      <w:r w:rsidRPr="00A1145E">
        <w:t>B.</w:t>
      </w:r>
      <w:r w:rsidRPr="00A1145E">
        <w:tab/>
        <w:t>The board shall meet quarterly and may meet on the call of the chairman or upon the request of any three members. The board shall not meet more than 12 times in any calendar year.</w:t>
      </w:r>
    </w:p>
    <w:p w14:paraId="43779930" w14:textId="77777777" w:rsidR="005A46E7" w:rsidRPr="00A1145E" w:rsidRDefault="005A46E7" w:rsidP="005A46E7">
      <w:pPr>
        <w:pStyle w:val="A"/>
      </w:pPr>
      <w:r w:rsidRPr="00A1145E">
        <w:t>C.</w:t>
      </w:r>
      <w:r w:rsidRPr="00A1145E">
        <w:tab/>
        <w:t>Meetings of the board shall normally be held in its domicile, but may be held at other locations upon the determination of the chairman or the will of the commission.</w:t>
      </w:r>
    </w:p>
    <w:p w14:paraId="5E3CA6B8" w14:textId="77777777" w:rsidR="005A46E7" w:rsidRPr="00A1145E" w:rsidRDefault="005A46E7" w:rsidP="005A46E7">
      <w:pPr>
        <w:pStyle w:val="A"/>
      </w:pPr>
      <w:r w:rsidRPr="00A1145E">
        <w:t>D.</w:t>
      </w:r>
      <w:r w:rsidRPr="00A1145E">
        <w:tab/>
        <w:t>For the transaction of business, the quorum of the board shall be seven members.</w:t>
      </w:r>
    </w:p>
    <w:p w14:paraId="57D4CA57" w14:textId="77777777" w:rsidR="005A46E7" w:rsidRPr="00A1145E" w:rsidRDefault="005A46E7" w:rsidP="005A46E7">
      <w:pPr>
        <w:pStyle w:val="A"/>
      </w:pPr>
      <w:r w:rsidRPr="00A1145E">
        <w:t>E.</w:t>
      </w:r>
      <w:r w:rsidRPr="00A1145E">
        <w:tab/>
        <w:t>An affirmative vote of a minimum of seven members shall be required for the adoption of any motion.</w:t>
      </w:r>
    </w:p>
    <w:p w14:paraId="19636238" w14:textId="77777777" w:rsidR="005A46E7" w:rsidRPr="00A1145E" w:rsidRDefault="005A46E7" w:rsidP="005A46E7">
      <w:pPr>
        <w:pStyle w:val="A"/>
      </w:pPr>
      <w:r w:rsidRPr="00A1145E">
        <w:t>F.</w:t>
      </w:r>
      <w:r w:rsidRPr="00A1145E">
        <w:tab/>
        <w:t>Members of the board may designate representatives to attend meetings of the board. Members who appoint representatives shall provide notice to the board of such action. Representatives shall present written authorization, signed by a member, to the board prior to attending a meeting. Representatives shall not have voting rights.</w:t>
      </w:r>
    </w:p>
    <w:p w14:paraId="14BBC66E" w14:textId="77777777" w:rsidR="005A46E7" w:rsidRPr="00A1145E" w:rsidRDefault="005A46E7" w:rsidP="005A46E7">
      <w:pPr>
        <w:pStyle w:val="A"/>
      </w:pPr>
      <w:r w:rsidRPr="00A1145E">
        <w:t>G.</w:t>
      </w:r>
      <w:r w:rsidRPr="00A1145E">
        <w:tab/>
        <w:t>Rules and regulations of the board, and amendments thereto, shall be noticed, adopted, and promulgated as required by the Louisiana Administrative Procedure Act.</w:t>
      </w:r>
    </w:p>
    <w:p w14:paraId="02B81366" w14:textId="77777777" w:rsidR="005A46E7" w:rsidRPr="00A1145E" w:rsidRDefault="005A46E7" w:rsidP="005A46E7">
      <w:pPr>
        <w:pStyle w:val="A"/>
      </w:pPr>
      <w:r w:rsidRPr="00A1145E">
        <w:t>H.</w:t>
      </w:r>
      <w:r w:rsidRPr="00A1145E">
        <w:tab/>
        <w:t>The chairman shall designate a hearing officer, who may or may not be a member of the board, to preside at all adjudicatory proceedings of the board. The chairman may, if he so desires, serve as hearing officer at any adjudicatory proceedings.</w:t>
      </w:r>
    </w:p>
    <w:p w14:paraId="6ACCF4B0" w14:textId="77777777" w:rsidR="005A46E7" w:rsidRPr="00A1145E" w:rsidRDefault="005A46E7" w:rsidP="005A46E7">
      <w:pPr>
        <w:pStyle w:val="A"/>
      </w:pPr>
      <w:r w:rsidRPr="00A1145E">
        <w:t>I.</w:t>
      </w:r>
      <w:r w:rsidRPr="00A1145E">
        <w:tab/>
        <w:t>The board shall serve as the hearing body in all adjudicatory proceedings and shall make the final determination with regard to the disposition of all matters coming to adjudication.</w:t>
      </w:r>
    </w:p>
    <w:p w14:paraId="53D3EC77" w14:textId="77777777" w:rsidR="005A46E7" w:rsidRPr="00A1145E" w:rsidRDefault="005A46E7" w:rsidP="005A46E7">
      <w:pPr>
        <w:pStyle w:val="A"/>
      </w:pPr>
      <w:r w:rsidRPr="00A1145E">
        <w:t>J.</w:t>
      </w:r>
      <w:r w:rsidRPr="00A1145E">
        <w:tab/>
        <w:t>No member of the board shall participate in any discussion or vote concerning any matter before the board in which such member has a personal or commercial interest.</w:t>
      </w:r>
    </w:p>
    <w:p w14:paraId="04236AA0" w14:textId="77777777" w:rsidR="005A46E7" w:rsidRPr="00A1145E" w:rsidRDefault="005A46E7" w:rsidP="005A46E7">
      <w:pPr>
        <w:pStyle w:val="AuthorityNote"/>
      </w:pPr>
      <w:r w:rsidRPr="00A1145E">
        <w:t>AUTHORITY NOTE:</w:t>
      </w:r>
      <w:r w:rsidRPr="00A1145E">
        <w:tab/>
        <w:t>Promulgated in accordance with R.S. 3:2091 and R.S. 3:2093.</w:t>
      </w:r>
    </w:p>
    <w:p w14:paraId="5DBE23FC"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14:paraId="62776CA9" w14:textId="77777777" w:rsidR="005A46E7" w:rsidRPr="00A1145E" w:rsidRDefault="005A46E7" w:rsidP="005A46E7">
      <w:pPr>
        <w:pStyle w:val="Section"/>
      </w:pPr>
      <w:bookmarkStart w:id="1651" w:name="_Toc388358219"/>
      <w:bookmarkStart w:id="1652" w:name="_Toc396115121"/>
      <w:bookmarkStart w:id="1653" w:name="_Toc411855512"/>
      <w:bookmarkStart w:id="1654" w:name="_Toc419795714"/>
      <w:bookmarkStart w:id="1655" w:name="_Toc427737102"/>
      <w:bookmarkStart w:id="1656" w:name="_Toc438546904"/>
      <w:bookmarkStart w:id="1657" w:name="_Toc446326891"/>
      <w:bookmarkStart w:id="1658" w:name="_Toc448825081"/>
      <w:bookmarkStart w:id="1659" w:name="_Toc451506125"/>
      <w:bookmarkStart w:id="1660" w:name="_Toc462212548"/>
      <w:bookmarkStart w:id="1661" w:name="_Toc468096468"/>
      <w:bookmarkStart w:id="1662" w:name="_Toc477853933"/>
      <w:bookmarkStart w:id="1663" w:name="_Toc488735877"/>
      <w:bookmarkStart w:id="1664" w:name="_Toc491176694"/>
      <w:bookmarkStart w:id="1665" w:name="_Toc509393617"/>
      <w:bookmarkStart w:id="1666" w:name="_Toc525114786"/>
      <w:bookmarkStart w:id="1667" w:name="_Toc535997183"/>
      <w:bookmarkStart w:id="1668" w:name="_Toc224819028"/>
      <w:r w:rsidRPr="00A1145E">
        <w:lastRenderedPageBreak/>
        <w:t>§§123-129.</w:t>
      </w:r>
      <w:r w:rsidRPr="00A1145E">
        <w:tab/>
        <w:t>Reserved</w:t>
      </w:r>
      <w:r>
        <w:t>.</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A9081BD" w14:textId="77777777" w:rsidR="005A46E7" w:rsidRPr="00A1145E" w:rsidRDefault="005A46E7" w:rsidP="005A46E7">
      <w:pPr>
        <w:pStyle w:val="Chapter"/>
      </w:pPr>
      <w:bookmarkStart w:id="1669" w:name="_Toc224819029"/>
      <w:r w:rsidRPr="00A1145E">
        <w:t>Subchapter C.</w:t>
      </w:r>
      <w:r w:rsidRPr="00A1145E">
        <w:tab/>
        <w:t>State Veterinarian</w:t>
      </w:r>
      <w:bookmarkEnd w:id="1669"/>
    </w:p>
    <w:p w14:paraId="34CDEA2E" w14:textId="77777777" w:rsidR="005A46E7" w:rsidRPr="00A1145E" w:rsidRDefault="005A46E7" w:rsidP="005A46E7">
      <w:pPr>
        <w:pStyle w:val="Section"/>
      </w:pPr>
      <w:bookmarkStart w:id="1670" w:name="_Toc256754694"/>
      <w:bookmarkStart w:id="1671" w:name="_Toc375025478"/>
      <w:bookmarkStart w:id="1672" w:name="_Toc224819030"/>
      <w:r w:rsidRPr="00A1145E">
        <w:t>§131.</w:t>
      </w:r>
      <w:r w:rsidRPr="00A1145E">
        <w:tab/>
        <w:t>Cooperation with USDA, APHIS, Veterinary Services</w:t>
      </w:r>
      <w:bookmarkEnd w:id="1670"/>
      <w:bookmarkEnd w:id="1671"/>
      <w:r>
        <w:br/>
        <w:t>(</w:t>
      </w:r>
      <w:r w:rsidRPr="00A1145E">
        <w:t>Formerly §127</w:t>
      </w:r>
      <w:r>
        <w:t>)</w:t>
      </w:r>
      <w:bookmarkEnd w:id="1672"/>
    </w:p>
    <w:p w14:paraId="5A9DBB3B" w14:textId="77777777" w:rsidR="005A46E7" w:rsidRPr="00A1145E" w:rsidRDefault="005A46E7" w:rsidP="005A46E7">
      <w:pPr>
        <w:pStyle w:val="A"/>
      </w:pPr>
      <w:r w:rsidRPr="00A1145E">
        <w:t>A.</w:t>
      </w:r>
      <w:r w:rsidRPr="00A1145E">
        <w:tab/>
        <w:t>Upon determination by the state veterinarian of the existence of any infectious and contagious diseases, he is authorized to cooperate with the United States Department of Agriculture, APHIS, Veterinary Services, in the eradication of such diseases.</w:t>
      </w:r>
    </w:p>
    <w:p w14:paraId="70249C13" w14:textId="77777777" w:rsidR="005A46E7" w:rsidRPr="00A1145E" w:rsidRDefault="005A46E7" w:rsidP="005A46E7">
      <w:pPr>
        <w:pStyle w:val="AuthorityNote"/>
      </w:pPr>
      <w:r w:rsidRPr="00A1145E">
        <w:t>AUTHORITY NOTE:</w:t>
      </w:r>
      <w:r w:rsidRPr="00A1145E">
        <w:tab/>
        <w:t>Promulgated in accordance with R.S. 3:2224.</w:t>
      </w:r>
    </w:p>
    <w:p w14:paraId="47847658"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11:235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14:paraId="3FBCE81C" w14:textId="77777777" w:rsidR="005A46E7" w:rsidRPr="00A1145E" w:rsidRDefault="005A46E7" w:rsidP="005A46E7">
      <w:pPr>
        <w:pStyle w:val="Chapter"/>
      </w:pPr>
      <w:bookmarkStart w:id="1673" w:name="_Toc224819031"/>
      <w:r w:rsidRPr="00A1145E">
        <w:t>Chapter 3.</w:t>
      </w:r>
      <w:r w:rsidRPr="00A1145E">
        <w:tab/>
        <w:t>Livestock Auction Markets; Market Agencies; Dealers</w:t>
      </w:r>
      <w:bookmarkEnd w:id="1673"/>
    </w:p>
    <w:p w14:paraId="4D21415A" w14:textId="77777777" w:rsidR="005A46E7" w:rsidRPr="00A1145E" w:rsidRDefault="005A46E7" w:rsidP="005A46E7">
      <w:pPr>
        <w:pStyle w:val="Section"/>
      </w:pPr>
      <w:bookmarkStart w:id="1674" w:name="_Toc256754686"/>
      <w:bookmarkStart w:id="1675" w:name="_Toc375025470"/>
      <w:bookmarkStart w:id="1676" w:name="_Toc224819032"/>
      <w:r w:rsidRPr="00A1145E">
        <w:t>§301.</w:t>
      </w:r>
      <w:r w:rsidRPr="00A1145E">
        <w:tab/>
        <w:t>Livestock Auction Market Requirements</w:t>
      </w:r>
      <w:bookmarkEnd w:id="1674"/>
      <w:bookmarkEnd w:id="1675"/>
      <w:r>
        <w:br/>
        <w:t>(</w:t>
      </w:r>
      <w:r w:rsidRPr="00A1145E">
        <w:t>Formerly §111</w:t>
      </w:r>
      <w:r>
        <w:t>)</w:t>
      </w:r>
      <w:bookmarkEnd w:id="1676"/>
    </w:p>
    <w:p w14:paraId="0FD508F8" w14:textId="77777777" w:rsidR="005A46E7" w:rsidRPr="00A1145E" w:rsidRDefault="005A46E7" w:rsidP="005A46E7">
      <w:pPr>
        <w:pStyle w:val="A"/>
      </w:pPr>
      <w:r w:rsidRPr="00A1145E">
        <w:t>A.</w:t>
      </w:r>
      <w:r w:rsidRPr="00A1145E">
        <w:tab/>
        <w:t>No person shall operate a livestock auction without first obtaining a livestock auction market permit from the board. Any person operating a livestock auction market without a valid livestock auction permit will be in violation of this regulation and subject to prosecution.</w:t>
      </w:r>
    </w:p>
    <w:p w14:paraId="7AC5BB73" w14:textId="77777777" w:rsidR="005A46E7" w:rsidRPr="00A1145E" w:rsidRDefault="005A46E7" w:rsidP="005A46E7">
      <w:pPr>
        <w:pStyle w:val="A"/>
      </w:pPr>
      <w:r w:rsidRPr="00A1145E">
        <w:t>B.</w:t>
      </w:r>
      <w:r w:rsidRPr="00A1145E">
        <w:tab/>
        <w:t>Conditions for Issuing a Livestock Auction Market Permit</w:t>
      </w:r>
    </w:p>
    <w:p w14:paraId="0EB5352C" w14:textId="77777777" w:rsidR="005A46E7" w:rsidRPr="00A1145E" w:rsidRDefault="005A46E7" w:rsidP="005A46E7">
      <w:pPr>
        <w:pStyle w:val="1"/>
      </w:pPr>
      <w:r w:rsidRPr="00A1145E">
        <w:t>1.</w:t>
      </w:r>
      <w:r w:rsidRPr="00A1145E">
        <w:tab/>
        <w:t>That proper bond has been posted with the board as required by R.S. 3:565, or it is properly bonded under the U.S. Packers and Stockyards Act.</w:t>
      </w:r>
    </w:p>
    <w:p w14:paraId="58C59F57" w14:textId="77777777" w:rsidR="005A46E7" w:rsidRPr="00A1145E" w:rsidRDefault="005A46E7" w:rsidP="005A46E7">
      <w:pPr>
        <w:pStyle w:val="1"/>
      </w:pPr>
      <w:r w:rsidRPr="00A1145E">
        <w:t>2.</w:t>
      </w:r>
      <w:r w:rsidRPr="00A1145E">
        <w:tab/>
        <w:t>The livestock auction market must provide the following:</w:t>
      </w:r>
    </w:p>
    <w:p w14:paraId="307EBBF3" w14:textId="77777777" w:rsidR="005A46E7" w:rsidRPr="00A1145E" w:rsidRDefault="005A46E7" w:rsidP="005A46E7">
      <w:pPr>
        <w:pStyle w:val="a0"/>
      </w:pPr>
      <w:r w:rsidRPr="00A1145E">
        <w:t>a.</w:t>
      </w:r>
      <w:r w:rsidRPr="00A1145E">
        <w:tab/>
        <w:t xml:space="preserve">adequate and sanitary housing for use of state-federal personnel to conduct tests, including the rivanol test for </w:t>
      </w:r>
      <w:r w:rsidRPr="002248D5">
        <w:rPr>
          <w:i/>
        </w:rPr>
        <w:t>Brucellosis</w:t>
      </w:r>
      <w:r w:rsidRPr="00A1145E">
        <w:t>. This will include running water, adequate lighting, sanitary plumbing facilities, heating and cooling when necessary and refrigeration for biologics if the quantity to be kept on hand will warrant it. Otherwise, state or federal personnel will furnish his own portable refrigeration;</w:t>
      </w:r>
    </w:p>
    <w:p w14:paraId="08FD2FF9" w14:textId="77777777" w:rsidR="005A46E7" w:rsidRPr="00A1145E" w:rsidRDefault="005A46E7" w:rsidP="005A46E7">
      <w:pPr>
        <w:pStyle w:val="a0"/>
      </w:pPr>
      <w:r w:rsidRPr="00A1145E">
        <w:t>b.</w:t>
      </w:r>
      <w:r w:rsidRPr="00A1145E">
        <w:tab/>
        <w:t xml:space="preserve">separate pens for holding </w:t>
      </w:r>
      <w:r w:rsidRPr="002248D5">
        <w:rPr>
          <w:i/>
        </w:rPr>
        <w:t>Brucellosis</w:t>
      </w:r>
      <w:r w:rsidRPr="00A1145E">
        <w:t xml:space="preserve"> reactors;</w:t>
      </w:r>
    </w:p>
    <w:p w14:paraId="74261D00" w14:textId="77777777" w:rsidR="005A46E7" w:rsidRPr="00A1145E" w:rsidRDefault="005A46E7" w:rsidP="005A46E7">
      <w:pPr>
        <w:pStyle w:val="a0"/>
      </w:pPr>
      <w:r w:rsidRPr="00A1145E">
        <w:t>c.</w:t>
      </w:r>
      <w:r w:rsidRPr="00A1145E">
        <w:tab/>
        <w:t>adequate facilities and personnel to separate and restrain livestock to enable the auction veterinarian and/or representatives of the Livestock Sanitary Board to carry out the requirements of this regulation.</w:t>
      </w:r>
    </w:p>
    <w:p w14:paraId="75337605" w14:textId="77777777" w:rsidR="005A46E7" w:rsidRPr="00A1145E" w:rsidRDefault="005A46E7" w:rsidP="005A46E7">
      <w:pPr>
        <w:pStyle w:val="1"/>
      </w:pPr>
      <w:r w:rsidRPr="00A1145E">
        <w:t>3.</w:t>
      </w:r>
      <w:r w:rsidRPr="00A1145E">
        <w:tab/>
        <w:t>The auction operator agrees to operate the sale in conformity with the requirements of this regulation.</w:t>
      </w:r>
    </w:p>
    <w:p w14:paraId="524382BE" w14:textId="77777777" w:rsidR="005A46E7" w:rsidRPr="00A1145E" w:rsidRDefault="005A46E7" w:rsidP="005A46E7">
      <w:pPr>
        <w:pStyle w:val="1"/>
      </w:pPr>
      <w:r w:rsidRPr="00A1145E">
        <w:t>4.</w:t>
      </w:r>
      <w:r w:rsidRPr="00A1145E">
        <w:tab/>
        <w:t>The day of the week approved by the board for the conduct of the sale must be established prior to the issuance of the charter.</w:t>
      </w:r>
    </w:p>
    <w:p w14:paraId="02FBA6A4" w14:textId="77777777" w:rsidR="005A46E7" w:rsidRPr="00A1145E" w:rsidRDefault="005A46E7" w:rsidP="005A46E7">
      <w:pPr>
        <w:pStyle w:val="a0"/>
      </w:pPr>
      <w:r w:rsidRPr="00A1145E">
        <w:t>a.</w:t>
      </w:r>
      <w:r w:rsidRPr="00A1145E">
        <w:tab/>
        <w:t>In the application for charter, the applicant shall specify the day(s) of the week on which he desires to conduct sales.</w:t>
      </w:r>
    </w:p>
    <w:p w14:paraId="0B349F79" w14:textId="77777777" w:rsidR="005A46E7" w:rsidRPr="00A1145E" w:rsidRDefault="005A46E7" w:rsidP="005A46E7">
      <w:pPr>
        <w:pStyle w:val="a0"/>
      </w:pPr>
      <w:r w:rsidRPr="00A1145E">
        <w:t>b.</w:t>
      </w:r>
      <w:r w:rsidRPr="00A1145E">
        <w:tab/>
        <w:t>No requested sales day shall be approved for any applicant if any established, chartered auction market(s) located within a 50-mile radius of the applicant has received prior board approval for the conduct of a sale on the same day of the week, provided that the board may approve more than one sale on the same day of the week within 50 miles of each other if the board finds that the types of livestock being sold at each sale are substantially different and neither sale would adversely affect the other.</w:t>
      </w:r>
    </w:p>
    <w:p w14:paraId="7CD699C8" w14:textId="77777777" w:rsidR="005A46E7" w:rsidRPr="00A1145E" w:rsidRDefault="005A46E7" w:rsidP="005A46E7">
      <w:pPr>
        <w:pStyle w:val="a0"/>
      </w:pPr>
      <w:r w:rsidRPr="00A1145E">
        <w:t>c.</w:t>
      </w:r>
      <w:r w:rsidRPr="00A1145E">
        <w:tab/>
        <w:t>Whenever any established, previously chartered auction market desires to change the day of the week approved by the board for the conduct of his sale, the operator shall submit a request for a change of approved sales days at least 15 days prior to the desired change, which request shall include, but not be limited to, the following information:</w:t>
      </w:r>
    </w:p>
    <w:p w14:paraId="4FD680A9" w14:textId="77777777" w:rsidR="005A46E7" w:rsidRPr="00A1145E" w:rsidRDefault="005A46E7" w:rsidP="005A46E7">
      <w:pPr>
        <w:pStyle w:val="i0"/>
      </w:pPr>
      <w:r>
        <w:tab/>
      </w:r>
      <w:r w:rsidRPr="00A1145E">
        <w:t>i.</w:t>
      </w:r>
      <w:r w:rsidRPr="00A1145E">
        <w:tab/>
        <w:t>day of the week previously approved for the sale;</w:t>
      </w:r>
    </w:p>
    <w:p w14:paraId="7312BD6A" w14:textId="77777777" w:rsidR="005A46E7" w:rsidRPr="00A1145E" w:rsidRDefault="005A46E7" w:rsidP="005A46E7">
      <w:pPr>
        <w:pStyle w:val="i0"/>
      </w:pPr>
      <w:r>
        <w:tab/>
      </w:r>
      <w:r w:rsidRPr="00A1145E">
        <w:t>ii.</w:t>
      </w:r>
      <w:r w:rsidRPr="00A1145E">
        <w:tab/>
        <w:t>day of the week for which approval is sought; and</w:t>
      </w:r>
    </w:p>
    <w:p w14:paraId="30F98C89" w14:textId="77777777" w:rsidR="005A46E7" w:rsidRPr="00A1145E" w:rsidRDefault="005A46E7" w:rsidP="005A46E7">
      <w:pPr>
        <w:pStyle w:val="i0"/>
      </w:pPr>
      <w:r>
        <w:tab/>
      </w:r>
      <w:r w:rsidRPr="00A1145E">
        <w:t>iii.</w:t>
      </w:r>
      <w:r w:rsidRPr="00A1145E">
        <w:tab/>
        <w:t>statement identifying reasons for the requested change, specific benefits which are expected to accrue to producers and buyers, and proposed allocation of board personnel to handle the change of sales day. If the established market desires to change the approved sales day to the same day previously approved for another established auction market within a 50-mile radius, the operator shall submit the same statement as required by §131.B.4.b.</w:t>
      </w:r>
    </w:p>
    <w:p w14:paraId="70913583" w14:textId="77777777" w:rsidR="005A46E7" w:rsidRPr="00A1145E" w:rsidRDefault="005A46E7" w:rsidP="005A46E7">
      <w:pPr>
        <w:pStyle w:val="a0"/>
      </w:pPr>
      <w:r w:rsidRPr="00A1145E">
        <w:t>d.</w:t>
      </w:r>
      <w:r w:rsidRPr="00A1145E">
        <w:tab/>
        <w:t>In any case where two or more chartered markets located within a 50-mile radius desire to conduct sales on the same day of the week, and the statement required under §131.B.4.b is not filed by all such chartered operators, the board shall establish the day of the week on which each operator shall conduct his sale.</w:t>
      </w:r>
    </w:p>
    <w:p w14:paraId="0DBEE950" w14:textId="77777777" w:rsidR="005A46E7" w:rsidRPr="00A1145E" w:rsidRDefault="005A46E7" w:rsidP="005A46E7">
      <w:pPr>
        <w:pStyle w:val="A"/>
      </w:pPr>
      <w:r w:rsidRPr="00A1145E">
        <w:t>C.</w:t>
      </w:r>
      <w:r w:rsidRPr="00A1145E">
        <w:tab/>
        <w:t>Duration of Livestock Auction Market Permit. A livestock auction market permit shall be renewable on January 1 of each year, provided proper and adjusted bonds are kept in full force and effect and the livestock auction market is being operated in full compliance with the provisions of §305, as determined by the board.</w:t>
      </w:r>
    </w:p>
    <w:p w14:paraId="70096C50" w14:textId="77777777" w:rsidR="005A46E7" w:rsidRPr="00A1145E" w:rsidRDefault="005A46E7" w:rsidP="005A46E7">
      <w:pPr>
        <w:pStyle w:val="A"/>
      </w:pPr>
      <w:r w:rsidRPr="00A1145E">
        <w:t>D.</w:t>
      </w:r>
      <w:r w:rsidRPr="00A1145E">
        <w:tab/>
        <w:t>Cancellation of Livestock Auction Market Permit. A livestock auction market permit may be canceled upon notice from the board if the operation does not meet the requirements of §305.</w:t>
      </w:r>
    </w:p>
    <w:p w14:paraId="348D397E" w14:textId="77777777" w:rsidR="005A46E7" w:rsidRPr="00A1145E" w:rsidRDefault="005A46E7" w:rsidP="005A46E7">
      <w:pPr>
        <w:pStyle w:val="A"/>
      </w:pPr>
      <w:r w:rsidRPr="00A1145E">
        <w:t>E.</w:t>
      </w:r>
      <w:r w:rsidRPr="00A1145E">
        <w:tab/>
        <w:t>Duties of an auction veterinarian and/or state-federal personnel</w:t>
      </w:r>
      <w:r>
        <w:t>:</w:t>
      </w:r>
    </w:p>
    <w:p w14:paraId="28E35723" w14:textId="77777777" w:rsidR="005A46E7" w:rsidRPr="00A1145E" w:rsidRDefault="005A46E7" w:rsidP="005A46E7">
      <w:pPr>
        <w:pStyle w:val="1"/>
      </w:pPr>
      <w:r w:rsidRPr="00A1145E">
        <w:t>1.</w:t>
      </w:r>
      <w:r w:rsidRPr="00A1145E">
        <w:tab/>
        <w:t>to represent the b</w:t>
      </w:r>
      <w:r>
        <w:t>oard in the enforcement of §305;</w:t>
      </w:r>
    </w:p>
    <w:p w14:paraId="3492B4AE" w14:textId="77777777" w:rsidR="005A46E7" w:rsidRPr="00A1145E" w:rsidRDefault="005A46E7" w:rsidP="005A46E7">
      <w:pPr>
        <w:pStyle w:val="1"/>
      </w:pPr>
      <w:r w:rsidRPr="00A1145E">
        <w:t>2.</w:t>
      </w:r>
      <w:r w:rsidRPr="00A1145E">
        <w:tab/>
        <w:t>to observe all livestock being offered for sale and to detect any showing or visible symptoms of disease so that these animals may be observed by a veterinarian and could be rejected and r</w:t>
      </w:r>
      <w:r>
        <w:t>eturned to the owner's premises;</w:t>
      </w:r>
    </w:p>
    <w:p w14:paraId="7B2A3E51" w14:textId="77777777" w:rsidR="005A46E7" w:rsidRPr="00A1145E" w:rsidRDefault="005A46E7" w:rsidP="005A46E7">
      <w:pPr>
        <w:pStyle w:val="1"/>
      </w:pPr>
      <w:r w:rsidRPr="00A1145E">
        <w:lastRenderedPageBreak/>
        <w:t>3.</w:t>
      </w:r>
      <w:r w:rsidRPr="00A1145E">
        <w:tab/>
        <w:t xml:space="preserve">to draw blood samples on all cattle for testing by state-federal personnel for </w:t>
      </w:r>
      <w:r w:rsidRPr="002248D5">
        <w:rPr>
          <w:i/>
        </w:rPr>
        <w:t>Brucellosis</w:t>
      </w:r>
      <w:r w:rsidRPr="00A1145E">
        <w:t xml:space="preserve"> as provided</w:t>
      </w:r>
      <w:r>
        <w:t xml:space="preserve"> for in this regulation;</w:t>
      </w:r>
    </w:p>
    <w:p w14:paraId="1EA591BA" w14:textId="77777777" w:rsidR="005A46E7" w:rsidRPr="00A1145E" w:rsidRDefault="005A46E7" w:rsidP="005A46E7">
      <w:pPr>
        <w:pStyle w:val="1"/>
      </w:pPr>
      <w:r w:rsidRPr="00A1145E">
        <w:t>4.</w:t>
      </w:r>
      <w:r w:rsidRPr="00A1145E">
        <w:tab/>
        <w:t xml:space="preserve">to vaccinate all livestock as </w:t>
      </w:r>
      <w:r>
        <w:t>provided for in this regulation;</w:t>
      </w:r>
    </w:p>
    <w:p w14:paraId="50D4606A" w14:textId="77777777" w:rsidR="005A46E7" w:rsidRPr="00A1145E" w:rsidRDefault="005A46E7" w:rsidP="005A46E7">
      <w:pPr>
        <w:pStyle w:val="1"/>
      </w:pPr>
      <w:r w:rsidRPr="00A1145E">
        <w:t>5.</w:t>
      </w:r>
      <w:r w:rsidRPr="00A1145E">
        <w:tab/>
        <w:t>to examine certificates covering livestock to be sold or exchanged through the livestock auctions when</w:t>
      </w:r>
      <w:r>
        <w:t xml:space="preserve"> such certificates are required;</w:t>
      </w:r>
    </w:p>
    <w:p w14:paraId="7E83A629" w14:textId="77777777" w:rsidR="005A46E7" w:rsidRPr="00A1145E" w:rsidRDefault="005A46E7" w:rsidP="005A46E7">
      <w:pPr>
        <w:pStyle w:val="1"/>
      </w:pPr>
      <w:r w:rsidRPr="00A1145E">
        <w:t>6.</w:t>
      </w:r>
      <w:r w:rsidRPr="00A1145E">
        <w:tab/>
        <w:t xml:space="preserve">to make such reports as may be required by the </w:t>
      </w:r>
      <w:r>
        <w:t>state veterinarian to the board;</w:t>
      </w:r>
    </w:p>
    <w:p w14:paraId="1B8A6311" w14:textId="77777777" w:rsidR="005A46E7" w:rsidRPr="00A1145E" w:rsidRDefault="005A46E7" w:rsidP="005A46E7">
      <w:pPr>
        <w:pStyle w:val="1"/>
      </w:pPr>
      <w:r w:rsidRPr="00A1145E">
        <w:t>7.</w:t>
      </w:r>
      <w:r w:rsidRPr="00A1145E">
        <w:tab/>
        <w:t xml:space="preserve">it will be the responsibility of the auction market to employ an accredited veterinarian to issue </w:t>
      </w:r>
      <w:r>
        <w:t>health certificates as required;</w:t>
      </w:r>
    </w:p>
    <w:p w14:paraId="27073382" w14:textId="77777777" w:rsidR="005A46E7" w:rsidRPr="00A1145E" w:rsidRDefault="005A46E7" w:rsidP="005A46E7">
      <w:pPr>
        <w:pStyle w:val="1"/>
      </w:pPr>
      <w:r w:rsidRPr="00A1145E">
        <w:t>8.</w:t>
      </w:r>
      <w:r w:rsidRPr="00A1145E">
        <w:tab/>
        <w:t xml:space="preserve">the auction veterinarian and/or state-federal personnel may determine the age of cattle tested for </w:t>
      </w:r>
      <w:r w:rsidRPr="002248D5">
        <w:rPr>
          <w:i/>
        </w:rPr>
        <w:t>Brucellosis</w:t>
      </w:r>
      <w:r w:rsidRPr="00A1145E">
        <w:t xml:space="preserve"> and sold through livestock auctions and auction market personnel will indicate by paint mark on the hip, as follows:</w:t>
      </w:r>
    </w:p>
    <w:p w14:paraId="5A4FBBC5" w14:textId="77777777" w:rsidR="005A46E7" w:rsidRPr="00A1145E" w:rsidRDefault="005A46E7" w:rsidP="005A46E7">
      <w:pPr>
        <w:pStyle w:val="a0"/>
      </w:pPr>
      <w:r>
        <w:t>a.</w:t>
      </w:r>
      <w:r>
        <w:tab/>
        <w:t xml:space="preserve">1 through </w:t>
      </w:r>
      <w:r w:rsidRPr="00A1145E">
        <w:t>5;</w:t>
      </w:r>
    </w:p>
    <w:p w14:paraId="3FE36196" w14:textId="77777777" w:rsidR="005A46E7" w:rsidRPr="00A1145E" w:rsidRDefault="005A46E7" w:rsidP="005A46E7">
      <w:pPr>
        <w:pStyle w:val="a0"/>
      </w:pPr>
      <w:r w:rsidRPr="00A1145E">
        <w:t>b.</w:t>
      </w:r>
      <w:r w:rsidRPr="00A1145E">
        <w:tab/>
        <w:t>F (full mouth) or FM;</w:t>
      </w:r>
    </w:p>
    <w:p w14:paraId="11239C59" w14:textId="77777777" w:rsidR="005A46E7" w:rsidRPr="00A1145E" w:rsidRDefault="005A46E7" w:rsidP="005A46E7">
      <w:pPr>
        <w:pStyle w:val="a0"/>
      </w:pPr>
      <w:r w:rsidRPr="00A1145E">
        <w:t>c.</w:t>
      </w:r>
      <w:r w:rsidRPr="00A1145E">
        <w:tab/>
        <w:t>S (smooth mouth);</w:t>
      </w:r>
    </w:p>
    <w:p w14:paraId="1E31C88B" w14:textId="77777777" w:rsidR="005A46E7" w:rsidRPr="00A1145E" w:rsidRDefault="005A46E7" w:rsidP="005A46E7">
      <w:pPr>
        <w:pStyle w:val="a0"/>
      </w:pPr>
      <w:r w:rsidRPr="00A1145E">
        <w:t>d.</w:t>
      </w:r>
      <w:r w:rsidRPr="00A1145E">
        <w:tab/>
        <w:t>O (broken mouth).</w:t>
      </w:r>
    </w:p>
    <w:p w14:paraId="76E73789" w14:textId="77777777" w:rsidR="005A46E7" w:rsidRPr="00A1145E" w:rsidRDefault="005A46E7" w:rsidP="005A46E7">
      <w:pPr>
        <w:pStyle w:val="A"/>
      </w:pPr>
      <w:r w:rsidRPr="00A1145E">
        <w:t>F.</w:t>
      </w:r>
      <w:r w:rsidRPr="00A1145E">
        <w:tab/>
        <w:t>Sanitary Requirements</w:t>
      </w:r>
    </w:p>
    <w:p w14:paraId="1F4A8812" w14:textId="77777777" w:rsidR="005A46E7" w:rsidRPr="00A1145E" w:rsidRDefault="005A46E7" w:rsidP="005A46E7">
      <w:pPr>
        <w:pStyle w:val="1"/>
      </w:pPr>
      <w:r w:rsidRPr="00A1145E">
        <w:t>1.</w:t>
      </w:r>
      <w:r w:rsidRPr="00A1145E">
        <w:tab/>
        <w:t>After the occurrence of an infectious or contagious disease in a livestock auction market, it must be cleaned and disinfected in an approved manner with a disinfectant before livestock will be permitted to enter the establishment for any purpose.</w:t>
      </w:r>
    </w:p>
    <w:p w14:paraId="0952D36A" w14:textId="77777777" w:rsidR="005A46E7" w:rsidRPr="00A1145E" w:rsidRDefault="005A46E7" w:rsidP="005A46E7">
      <w:pPr>
        <w:pStyle w:val="1"/>
      </w:pPr>
      <w:r w:rsidRPr="00A1145E">
        <w:t>2.</w:t>
      </w:r>
      <w:r w:rsidRPr="00A1145E">
        <w:tab/>
        <w:t>Representatives of the board shall have full authority to require auction operators to make specific changes to improve sanitation.</w:t>
      </w:r>
    </w:p>
    <w:p w14:paraId="498537D0" w14:textId="77777777" w:rsidR="005A46E7" w:rsidRPr="00A1145E" w:rsidRDefault="005A46E7" w:rsidP="005A46E7">
      <w:pPr>
        <w:pStyle w:val="1"/>
      </w:pPr>
      <w:r w:rsidRPr="00A1145E">
        <w:t>3.</w:t>
      </w:r>
      <w:r w:rsidRPr="00A1145E">
        <w:tab/>
        <w:t>Floors of all swine pens and runs must be of concrete and properly drained and must be thoroughly cleaned and disinfected with an approved disinfectant after each sale.</w:t>
      </w:r>
    </w:p>
    <w:p w14:paraId="16BB0A25" w14:textId="77777777" w:rsidR="005A46E7" w:rsidRPr="00A1145E" w:rsidRDefault="005A46E7" w:rsidP="005A46E7">
      <w:pPr>
        <w:pStyle w:val="A"/>
      </w:pPr>
      <w:r w:rsidRPr="00A1145E">
        <w:t>G.</w:t>
      </w:r>
      <w:r w:rsidRPr="00A1145E">
        <w:tab/>
        <w:t>General Livestock Health Requirements</w:t>
      </w:r>
    </w:p>
    <w:p w14:paraId="2080F048" w14:textId="77777777" w:rsidR="005A46E7" w:rsidRPr="00A1145E" w:rsidRDefault="005A46E7" w:rsidP="005A46E7">
      <w:pPr>
        <w:pStyle w:val="1"/>
      </w:pPr>
      <w:r w:rsidRPr="00A1145E">
        <w:t>1.</w:t>
      </w:r>
      <w:r w:rsidRPr="00A1145E">
        <w:tab/>
        <w:t xml:space="preserve">All livestock auction markets shall be prohibited from selling or offering for sale any animal that manifests symptoms of illness unless such animal is to be sold for immediate slaughter. These diseased and exposed animals, except </w:t>
      </w:r>
      <w:r w:rsidRPr="002248D5">
        <w:rPr>
          <w:i/>
        </w:rPr>
        <w:t>Brucellosis</w:t>
      </w:r>
      <w:r w:rsidRPr="00A1145E">
        <w:t xml:space="preserve"> reactors which are specifically governed by §111.G.2, shall be immediately isolated, and identified and returned, under quarantine, directly to the premises of the original owner at the owner's expense; consigned directly to a recognized slaughter establishment maintaining meat inspection; or consigned directly to a rendering plant.</w:t>
      </w:r>
    </w:p>
    <w:p w14:paraId="0D8EAE89" w14:textId="77777777" w:rsidR="005A46E7" w:rsidRPr="00A1145E" w:rsidRDefault="005A46E7" w:rsidP="005A46E7">
      <w:pPr>
        <w:pStyle w:val="1"/>
      </w:pPr>
      <w:r w:rsidRPr="00A1145E">
        <w:t>2.</w:t>
      </w:r>
      <w:r w:rsidRPr="00A1145E">
        <w:tab/>
        <w:t xml:space="preserve">All brucellosis reactor cattle shall be branded with the letter B on the left jaw and all brucellosis exposed cattle shall be identified with a 3 inch hot brand on the tail head with the letter S. All reactor and exposed cattle shall be separated from other cattle, placed in separate quarantine pens or stalls identified by quarantine sign. Reactor cattle shall be sold to an approved slaughter establishment for immediate slaughter </w:t>
      </w:r>
      <w:r w:rsidRPr="00A1145E">
        <w:t>only. Exposed cattle may be sold to state-federal approved quarantined feedlots or to an approved slaughter establishment for immediate slaughter.</w:t>
      </w:r>
    </w:p>
    <w:p w14:paraId="35CA6FF9" w14:textId="77777777" w:rsidR="005A46E7" w:rsidRPr="00A1145E" w:rsidRDefault="005A46E7" w:rsidP="005A46E7">
      <w:pPr>
        <w:pStyle w:val="1"/>
      </w:pPr>
      <w:r w:rsidRPr="00A1145E">
        <w:t>3.</w:t>
      </w:r>
      <w:r w:rsidRPr="00A1145E">
        <w:tab/>
        <w:t>The Livestock Sanitary Board, U.S. Department of Agriculture, auction operator and auction veterinarian are not responsible for losses or injury incurred by livestock while carrying out the requirements of this regulation at livestock auction markets.</w:t>
      </w:r>
    </w:p>
    <w:p w14:paraId="323671C2" w14:textId="77777777" w:rsidR="005A46E7" w:rsidRPr="00A1145E" w:rsidRDefault="005A46E7" w:rsidP="005A46E7">
      <w:pPr>
        <w:pStyle w:val="1"/>
      </w:pPr>
      <w:r w:rsidRPr="00A1145E">
        <w:t>4.</w:t>
      </w:r>
      <w:r w:rsidRPr="00A1145E">
        <w:tab/>
        <w:t>Livestock purchased for immediate slaughter only, and thereby exempted from one or more health requirements of this regulation cannot be diverted for any other purpose. Any person who violates this provision is subject to prosecution.</w:t>
      </w:r>
    </w:p>
    <w:p w14:paraId="6DB6F232" w14:textId="77777777" w:rsidR="005A46E7" w:rsidRPr="00A1145E" w:rsidRDefault="005A46E7" w:rsidP="005A46E7">
      <w:pPr>
        <w:pStyle w:val="1"/>
      </w:pPr>
      <w:r w:rsidRPr="00A1145E">
        <w:t>5.</w:t>
      </w:r>
      <w:r w:rsidRPr="00A1145E">
        <w:tab/>
        <w:t>Auction operators will be in violation of the board's regulations if livestock that is to be sold for immediate slaughter is sold to anyone other than authorized buyers.</w:t>
      </w:r>
    </w:p>
    <w:p w14:paraId="1E765663" w14:textId="77777777" w:rsidR="005A46E7" w:rsidRPr="00A1145E" w:rsidRDefault="005A46E7" w:rsidP="005A46E7">
      <w:pPr>
        <w:pStyle w:val="A"/>
      </w:pPr>
      <w:r w:rsidRPr="00A1145E">
        <w:t>H.</w:t>
      </w:r>
      <w:r w:rsidRPr="00A1145E">
        <w:tab/>
        <w:t>Livestock auction markets must maintain complete records of all transactions for a period of 12 months. The records must be kept in such a manner that all livestock can be traced from the seller to the purchaser, and include the name and complete address of the seller and purchaser. The records must also include the weight, backtag number, and price of the livestock. These records shall be made available to representatives of the Livestock Sanitary Board upon request.</w:t>
      </w:r>
    </w:p>
    <w:p w14:paraId="3CDCCEEF" w14:textId="77777777" w:rsidR="005A46E7" w:rsidRPr="00A1145E" w:rsidRDefault="005A46E7" w:rsidP="005A46E7">
      <w:pPr>
        <w:pStyle w:val="AuthorityNote"/>
      </w:pPr>
      <w:r w:rsidRPr="00A1145E">
        <w:t>AUTHORITY NOTE:</w:t>
      </w:r>
      <w:r w:rsidRPr="00A1145E">
        <w:tab/>
        <w:t>Promulgated in accordance with R.S. 3:662, R.S. 3:665, R.S. 3:2221, and R.S. 3:2093.</w:t>
      </w:r>
    </w:p>
    <w:p w14:paraId="7DFB7EC9"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11:233 (March 1985), amended LR 11:615 (June 1985), amended by the Department of Agriculture and Forestry, Livestock Sanitary Board, LR 17:30 (January 1991), LR 31:419 (February 2005), amended by the Department of Agriculture and Forestry, Board of Animal Health, LR 34:2336 (November 2008)</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14:paraId="343BEEAA" w14:textId="77777777" w:rsidR="005A46E7" w:rsidRPr="00A1145E" w:rsidRDefault="005A46E7" w:rsidP="005A46E7">
      <w:pPr>
        <w:pStyle w:val="Section"/>
      </w:pPr>
      <w:bookmarkStart w:id="1677" w:name="_Toc256754687"/>
      <w:bookmarkStart w:id="1678" w:name="_Toc375025471"/>
      <w:bookmarkStart w:id="1679" w:name="_Toc224819033"/>
      <w:r w:rsidRPr="00A1145E">
        <w:t>§303.</w:t>
      </w:r>
      <w:r w:rsidRPr="00A1145E">
        <w:tab/>
        <w:t>Livestock Video Auction Market Requirements</w:t>
      </w:r>
      <w:bookmarkEnd w:id="1677"/>
      <w:bookmarkEnd w:id="1678"/>
      <w:r>
        <w:br/>
        <w:t>(</w:t>
      </w:r>
      <w:r w:rsidRPr="00A1145E">
        <w:t>Formerly §113</w:t>
      </w:r>
      <w:r>
        <w:t>)</w:t>
      </w:r>
      <w:bookmarkEnd w:id="1679"/>
    </w:p>
    <w:p w14:paraId="7A3FBD28" w14:textId="77777777" w:rsidR="005A46E7" w:rsidRPr="00A1145E" w:rsidRDefault="005A46E7" w:rsidP="005A46E7">
      <w:pPr>
        <w:pStyle w:val="A"/>
      </w:pPr>
      <w:r w:rsidRPr="00A1145E">
        <w:t>A.</w:t>
      </w:r>
      <w:r w:rsidRPr="00A1145E">
        <w:tab/>
        <w:t>No person, partnership, corporation, or other legal entity, shall operate a market agency (livestock video auction) in Louisiana, without first obtaining a permit from the Livestock Sanitary Board. Any legal entity selling Louisiana livestock on a livestock video auction, without a valid livestock video auction permit, will be in violation of this regulation and subject to adjudication by the Livestock Sanitary Board.</w:t>
      </w:r>
    </w:p>
    <w:p w14:paraId="7A4899B8" w14:textId="77777777" w:rsidR="005A46E7" w:rsidRPr="00A1145E" w:rsidRDefault="005A46E7" w:rsidP="005A46E7">
      <w:pPr>
        <w:pStyle w:val="A"/>
      </w:pPr>
      <w:r w:rsidRPr="00A1145E">
        <w:t>B.</w:t>
      </w:r>
      <w:r w:rsidRPr="00A1145E">
        <w:tab/>
        <w:t>Any applicant applying for a permit to conduct video sales of Louisiana livestock must submit an application to the Livestock Sanitary Board which must include the following information:</w:t>
      </w:r>
    </w:p>
    <w:p w14:paraId="4E3E2127" w14:textId="77777777" w:rsidR="005A46E7" w:rsidRPr="00A1145E" w:rsidRDefault="005A46E7" w:rsidP="005A46E7">
      <w:pPr>
        <w:pStyle w:val="1"/>
      </w:pPr>
      <w:r w:rsidRPr="00A1145E">
        <w:t>1.</w:t>
      </w:r>
      <w:r w:rsidRPr="00A1145E">
        <w:tab/>
        <w:t>the name and complete address of the applicant;</w:t>
      </w:r>
    </w:p>
    <w:p w14:paraId="408AB201" w14:textId="77777777" w:rsidR="005A46E7" w:rsidRPr="00A1145E" w:rsidRDefault="005A46E7" w:rsidP="005A46E7">
      <w:pPr>
        <w:pStyle w:val="1"/>
      </w:pPr>
      <w:r w:rsidRPr="00A1145E">
        <w:t>2.</w:t>
      </w:r>
      <w:r w:rsidRPr="00A1145E">
        <w:tab/>
        <w:t>a financial statement of assets and liabilities;</w:t>
      </w:r>
    </w:p>
    <w:p w14:paraId="23DBAC3A" w14:textId="77777777" w:rsidR="005A46E7" w:rsidRPr="00A1145E" w:rsidRDefault="005A46E7" w:rsidP="005A46E7">
      <w:pPr>
        <w:pStyle w:val="1"/>
      </w:pPr>
      <w:r w:rsidRPr="00A1145E">
        <w:t>3.</w:t>
      </w:r>
      <w:r w:rsidRPr="00A1145E">
        <w:tab/>
        <w:t>proof that the registration requirements of the Packers and Stockyards Administration, United States Department of Agriculture, have been met;</w:t>
      </w:r>
    </w:p>
    <w:p w14:paraId="3D6AFB12" w14:textId="77777777" w:rsidR="005A46E7" w:rsidRPr="00A1145E" w:rsidRDefault="005A46E7" w:rsidP="005A46E7">
      <w:pPr>
        <w:pStyle w:val="1"/>
      </w:pPr>
      <w:r w:rsidRPr="00A1145E">
        <w:lastRenderedPageBreak/>
        <w:t>4.</w:t>
      </w:r>
      <w:r w:rsidRPr="00A1145E">
        <w:tab/>
        <w:t>a statement, in writing, assuring the Livestock Sanitary Board that the livestock video auction will be operated in compliance with the Livestock Sanitary Board's laws, rules and regulations;</w:t>
      </w:r>
    </w:p>
    <w:p w14:paraId="4C2EBEC0" w14:textId="77777777" w:rsidR="005A46E7" w:rsidRPr="00A1145E" w:rsidRDefault="005A46E7" w:rsidP="005A46E7">
      <w:pPr>
        <w:pStyle w:val="1"/>
      </w:pPr>
      <w:r w:rsidRPr="00A1145E">
        <w:t>5.</w:t>
      </w:r>
      <w:r w:rsidRPr="00A1145E">
        <w:tab/>
        <w:t>a statement, in writing, telling how the Louisiana livestock industry will benefit from the proposed sale of livestock by the applicant;</w:t>
      </w:r>
    </w:p>
    <w:p w14:paraId="3858A417" w14:textId="77777777" w:rsidR="005A46E7" w:rsidRPr="00A1145E" w:rsidRDefault="005A46E7" w:rsidP="005A46E7">
      <w:pPr>
        <w:pStyle w:val="1"/>
      </w:pPr>
      <w:r w:rsidRPr="00A1145E">
        <w:t>6.</w:t>
      </w:r>
      <w:r w:rsidRPr="00A1145E">
        <w:tab/>
        <w:t>an application fee of $250, which will be retained by the Department of Agriculture and Forestry, whether or not the permit is granted;</w:t>
      </w:r>
    </w:p>
    <w:p w14:paraId="3B9BE61D" w14:textId="77777777" w:rsidR="005A46E7" w:rsidRPr="00A1145E" w:rsidRDefault="005A46E7" w:rsidP="005A46E7">
      <w:pPr>
        <w:pStyle w:val="1"/>
      </w:pPr>
      <w:r w:rsidRPr="00A1145E">
        <w:t>7.</w:t>
      </w:r>
      <w:r w:rsidRPr="00A1145E">
        <w:tab/>
        <w:t>the livestock video auction applicant must agree to establish a custodial account for seller's proceeds, which must meet the following requirements:</w:t>
      </w:r>
    </w:p>
    <w:p w14:paraId="66D7C59E" w14:textId="77777777" w:rsidR="005A46E7" w:rsidRPr="00A1145E" w:rsidRDefault="005A46E7" w:rsidP="005A46E7">
      <w:pPr>
        <w:pStyle w:val="a0"/>
      </w:pPr>
      <w:r w:rsidRPr="00A1145E">
        <w:t>a.</w:t>
      </w:r>
      <w:r w:rsidRPr="00A1145E">
        <w:tab/>
        <w:t>accounts. Each market agency shall establish and maintain a separate bank account designated as "Custodial Account for Shipper's Proceeds," or by some similar identifying designation, under terms and conditions with the bank where established, to disclose that the depositor is acting as a fiduciary with respect thereto and that the funds in the account are trust funds;</w:t>
      </w:r>
    </w:p>
    <w:p w14:paraId="7EC52B7E" w14:textId="77777777" w:rsidR="005A46E7" w:rsidRPr="00A1145E" w:rsidRDefault="005A46E7" w:rsidP="005A46E7">
      <w:pPr>
        <w:pStyle w:val="a0"/>
      </w:pPr>
      <w:r w:rsidRPr="00A1145E">
        <w:t>b.</w:t>
      </w:r>
      <w:r w:rsidRPr="00A1145E">
        <w:tab/>
        <w:t>trust funds. Each payment made by a livestock buyer to a market agency, is a trust fund until the market agency's custodial account has been paid in full in connection with such purchase. Funds deposited in a custodial account are also trust funds, under both the gross proceeds and net proceeds methods of maintaining the custodial account. The market agency is a fiduciary with respect to the custodial account;</w:t>
      </w:r>
    </w:p>
    <w:p w14:paraId="6D226C98" w14:textId="77777777" w:rsidR="005A46E7" w:rsidRPr="00A1145E" w:rsidRDefault="005A46E7" w:rsidP="005A46E7">
      <w:pPr>
        <w:pStyle w:val="a0"/>
      </w:pPr>
      <w:r w:rsidRPr="00A1145E">
        <w:t>c.</w:t>
      </w:r>
      <w:r w:rsidRPr="00A1145E">
        <w:tab/>
        <w:t>deposits</w:t>
      </w:r>
      <w:r>
        <w:t>:</w:t>
      </w:r>
    </w:p>
    <w:p w14:paraId="5CACEBBE" w14:textId="77777777" w:rsidR="005A46E7" w:rsidRPr="00A1145E" w:rsidRDefault="005A46E7" w:rsidP="005A46E7">
      <w:pPr>
        <w:pStyle w:val="i0"/>
      </w:pPr>
      <w:r>
        <w:tab/>
      </w:r>
      <w:r w:rsidRPr="00A1145E">
        <w:t>i.</w:t>
      </w:r>
      <w:r w:rsidRPr="00A1145E">
        <w:tab/>
        <w:t>gross proceeds method. Under the gross proceeds method, before the close of the next banking day, after livestock is sold, the market agency shall deposit in its custodial account, the proceeds from sale of livestock that are collected and received on the day of sale, and an amount equal to the proceeds receivable from the sale of livestock that are due from:</w:t>
      </w:r>
    </w:p>
    <w:p w14:paraId="70DCC0D8" w14:textId="77777777" w:rsidR="005A46E7" w:rsidRPr="00A1145E" w:rsidRDefault="005A46E7" w:rsidP="005A46E7">
      <w:pPr>
        <w:pStyle w:val="a1"/>
      </w:pPr>
      <w:r w:rsidRPr="00A1145E">
        <w:t>(a).</w:t>
      </w:r>
      <w:r w:rsidRPr="00A1145E">
        <w:tab/>
        <w:t>the market agency;</w:t>
      </w:r>
    </w:p>
    <w:p w14:paraId="5FDF2317" w14:textId="77777777" w:rsidR="005A46E7" w:rsidRPr="00A1145E" w:rsidRDefault="005A46E7" w:rsidP="005A46E7">
      <w:pPr>
        <w:pStyle w:val="a1"/>
      </w:pPr>
      <w:r w:rsidRPr="00A1145E">
        <w:t>(b).</w:t>
      </w:r>
      <w:r w:rsidRPr="00A1145E">
        <w:tab/>
        <w:t>any owner, officer, or employee of the market agency; or</w:t>
      </w:r>
    </w:p>
    <w:p w14:paraId="0E5216AE" w14:textId="77777777" w:rsidR="005A46E7" w:rsidRPr="00A1145E" w:rsidRDefault="005A46E7" w:rsidP="005A46E7">
      <w:pPr>
        <w:pStyle w:val="a1"/>
      </w:pPr>
      <w:r w:rsidRPr="00A1145E">
        <w:t>(c).</w:t>
      </w:r>
      <w:r w:rsidRPr="00A1145E">
        <w:tab/>
        <w:t>any buyer to whom the market agency has extended credit;</w:t>
      </w:r>
    </w:p>
    <w:p w14:paraId="7E3CC535" w14:textId="77777777" w:rsidR="005A46E7" w:rsidRPr="005A5620" w:rsidRDefault="005A46E7" w:rsidP="005A46E7">
      <w:pPr>
        <w:pStyle w:val="RegDoubleIndent"/>
        <w:rPr>
          <w:sz w:val="16"/>
          <w:szCs w:val="16"/>
        </w:rPr>
      </w:pPr>
      <w:r w:rsidRPr="005A5620">
        <w:rPr>
          <w:sz w:val="16"/>
          <w:szCs w:val="16"/>
        </w:rPr>
        <w:t>NOTE: On or before the seventh day following the sale of livestock, the market agency shall deposit in the custodial account, an amount equal to all the proceeds receivable from the sale of livestock, whether or not such proceeds have been collected or received by the market agency.</w:t>
      </w:r>
    </w:p>
    <w:p w14:paraId="7C6684B3" w14:textId="77777777" w:rsidR="005A46E7" w:rsidRPr="00A1145E" w:rsidRDefault="005A46E7" w:rsidP="005A46E7">
      <w:pPr>
        <w:pStyle w:val="i0"/>
      </w:pPr>
      <w:r>
        <w:tab/>
      </w:r>
      <w:r w:rsidRPr="00A1145E">
        <w:t>ii.</w:t>
      </w:r>
      <w:r w:rsidRPr="00A1145E">
        <w:tab/>
        <w:t>net proceeds method. In lieu of the gross proceeds method, any market agency may adopt, and thereafter continuously follow, a net proceeds method for making deposits in its custodial account. Under the net proceeds method, the market agency shall make the same deposits, at the same time as required under the gross proceeds method, but shall retain and not deposit the marketing charges, which are due the market agency;</w:t>
      </w:r>
    </w:p>
    <w:p w14:paraId="03FDD060" w14:textId="77777777" w:rsidR="005A46E7" w:rsidRPr="00A1145E" w:rsidRDefault="005A46E7" w:rsidP="005A46E7">
      <w:pPr>
        <w:pStyle w:val="a0"/>
      </w:pPr>
      <w:r w:rsidRPr="00A1145E">
        <w:t>d.</w:t>
      </w:r>
      <w:r w:rsidRPr="00A1145E">
        <w:tab/>
        <w:t>withdrawals. The custodial account shall be drawn on only for payment of the net proceeds to the consignor or shipper, or such other person or persons who the market agency has knowledge is entitled thereto, to payall legal charges against the consignment of livestock which the market agency may, in its capacity as agent, be required to pay for, and on behalf of the consignor or shipper, and when the account is not kept on a net proceeds basis, to obtain therefrom, the sums due the market agency as compensation for its services;</w:t>
      </w:r>
    </w:p>
    <w:p w14:paraId="3B2FA467" w14:textId="77777777" w:rsidR="005A46E7" w:rsidRPr="00A1145E" w:rsidRDefault="005A46E7" w:rsidP="005A46E7">
      <w:pPr>
        <w:pStyle w:val="a0"/>
      </w:pPr>
      <w:r w:rsidRPr="00A1145E">
        <w:t>e.</w:t>
      </w:r>
      <w:r w:rsidRPr="00A1145E">
        <w:tab/>
        <w:t>accounts and records. Every market agency shall keep such accounts and records as will, at all times, disclose the handling of the funds in the custodial account referred to in this Section, including without limitations, such accounts and records as will, at all times, disclose the names' of the consignors and the amount due and payable to each, from funds in the custodial account for shipper's proceeds. These records shall be made available to the Livestock Sanitary Board under such rules and regulations as the board may provide;</w:t>
      </w:r>
    </w:p>
    <w:p w14:paraId="2DC2DFBB" w14:textId="77777777" w:rsidR="005A46E7" w:rsidRPr="00A1145E" w:rsidRDefault="005A46E7" w:rsidP="005A46E7">
      <w:pPr>
        <w:pStyle w:val="a0"/>
      </w:pPr>
      <w:r w:rsidRPr="00A1145E">
        <w:t>f.</w:t>
      </w:r>
      <w:r w:rsidRPr="00A1145E">
        <w:tab/>
        <w:t>insured banks. Custodial accounts required by this Section, shall be established and maintained in banks whose deposits are insured by the Federal Deposit Insurance Corporation;</w:t>
      </w:r>
    </w:p>
    <w:p w14:paraId="280DDA62" w14:textId="77777777" w:rsidR="005A46E7" w:rsidRPr="00A1145E" w:rsidRDefault="005A46E7" w:rsidP="005A46E7">
      <w:pPr>
        <w:pStyle w:val="a0"/>
      </w:pPr>
      <w:r w:rsidRPr="00A1145E">
        <w:t>g.</w:t>
      </w:r>
      <w:r w:rsidRPr="00A1145E">
        <w:tab/>
        <w:t>certificates of deposit. Any market agency which has established and maintains the separate custodial account referred to in this Section, may invest in certificates of deposits issued by the bank in which such an account is kept, such portion of the custodial funds as will not impair the market agency's ability to meet its obligations to its consignors. Such certificates of deposit shall be made payable to the market agency in its fiduciary capacity as trustee of the custodial funds;</w:t>
      </w:r>
    </w:p>
    <w:p w14:paraId="367FA616" w14:textId="77777777" w:rsidR="005A46E7" w:rsidRPr="00A1145E" w:rsidRDefault="005A46E7" w:rsidP="005A46E7">
      <w:pPr>
        <w:pStyle w:val="a0"/>
      </w:pPr>
      <w:r w:rsidRPr="00A1145E">
        <w:t>h.</w:t>
      </w:r>
      <w:r w:rsidRPr="00A1145E">
        <w:tab/>
        <w:t>custodial accounts required by the Livestock Sanitary Board will be subject to periodic audits by representatives of the Livestock Sanitary Board.</w:t>
      </w:r>
    </w:p>
    <w:p w14:paraId="5A137494" w14:textId="77777777" w:rsidR="005A46E7" w:rsidRPr="00A1145E" w:rsidRDefault="005A46E7" w:rsidP="005A46E7">
      <w:pPr>
        <w:pStyle w:val="A"/>
      </w:pPr>
      <w:r w:rsidRPr="00A1145E">
        <w:t>C.</w:t>
      </w:r>
      <w:r w:rsidRPr="00A1145E">
        <w:tab/>
        <w:t>The Livestock Sanitary Board, at a public hearing, is to consider the following factors when considering whether a permit should or should not be granted to an applicant wishing to receive a permit to sell Louisiana livestock on livestock video auctions:</w:t>
      </w:r>
    </w:p>
    <w:p w14:paraId="376C42C2" w14:textId="77777777" w:rsidR="005A46E7" w:rsidRPr="00A1145E" w:rsidRDefault="005A46E7" w:rsidP="005A46E7">
      <w:pPr>
        <w:pStyle w:val="1"/>
      </w:pPr>
      <w:r w:rsidRPr="00A1145E">
        <w:t>1.</w:t>
      </w:r>
      <w:r w:rsidRPr="00A1145E">
        <w:tab/>
        <w:t>the financial stability, business integrity and fiduciary responsibility of the applicant;</w:t>
      </w:r>
    </w:p>
    <w:p w14:paraId="4F49E305" w14:textId="77777777" w:rsidR="005A46E7" w:rsidRPr="00A1145E" w:rsidRDefault="005A46E7" w:rsidP="005A46E7">
      <w:pPr>
        <w:pStyle w:val="1"/>
      </w:pPr>
      <w:r w:rsidRPr="00A1145E">
        <w:t>2.</w:t>
      </w:r>
      <w:r w:rsidRPr="00A1145E">
        <w:tab/>
        <w:t>the present market services available in the state;</w:t>
      </w:r>
    </w:p>
    <w:p w14:paraId="609708C9" w14:textId="77777777" w:rsidR="005A46E7" w:rsidRPr="00A1145E" w:rsidRDefault="005A46E7" w:rsidP="005A46E7">
      <w:pPr>
        <w:pStyle w:val="1"/>
      </w:pPr>
      <w:r w:rsidRPr="00A1145E">
        <w:t>3.</w:t>
      </w:r>
      <w:r w:rsidRPr="00A1145E">
        <w:tab/>
        <w:t>whether the proposed livestock video market would be permanent and continuous;</w:t>
      </w:r>
    </w:p>
    <w:p w14:paraId="1D38FC49" w14:textId="77777777" w:rsidR="005A46E7" w:rsidRPr="00A1145E" w:rsidRDefault="005A46E7" w:rsidP="005A46E7">
      <w:pPr>
        <w:pStyle w:val="1"/>
      </w:pPr>
      <w:r w:rsidRPr="00A1145E">
        <w:t>4.</w:t>
      </w:r>
      <w:r w:rsidRPr="00A1145E">
        <w:tab/>
        <w:t>the benefits to be derived by the livestock Industry from the establishment and operation of the proposed livestock video auction;</w:t>
      </w:r>
    </w:p>
    <w:p w14:paraId="2E333A43" w14:textId="77777777" w:rsidR="005A46E7" w:rsidRPr="00A1145E" w:rsidRDefault="005A46E7" w:rsidP="005A46E7">
      <w:pPr>
        <w:pStyle w:val="1"/>
      </w:pPr>
      <w:r w:rsidRPr="00A1145E">
        <w:t>5.</w:t>
      </w:r>
      <w:r w:rsidRPr="00A1145E">
        <w:tab/>
        <w:t>the economic feasibility of the proposed livestock video auction.</w:t>
      </w:r>
    </w:p>
    <w:p w14:paraId="7E4EE996" w14:textId="77777777" w:rsidR="005A46E7" w:rsidRPr="00A1145E" w:rsidRDefault="005A46E7" w:rsidP="005A46E7">
      <w:pPr>
        <w:pStyle w:val="A"/>
      </w:pPr>
      <w:r w:rsidRPr="00A1145E">
        <w:t>D.</w:t>
      </w:r>
      <w:r w:rsidRPr="00A1145E">
        <w:tab/>
        <w:t xml:space="preserve">Livestock video auction companies must maintain complete records of all transactions for a period of 12 months. The records must he kept in such a manner that all livestock </w:t>
      </w:r>
      <w:r w:rsidRPr="00A1145E">
        <w:lastRenderedPageBreak/>
        <w:t>can be traced from the seller to the purchaser and include the name and complete address of the seller and purchaser. The record must also include the weight, number, and price of the livestock. These records shall be made available at the request of representatives of the Livestock Sanitary Board, any time during normal working hours.</w:t>
      </w:r>
    </w:p>
    <w:p w14:paraId="34642A1C" w14:textId="77777777" w:rsidR="005A46E7" w:rsidRPr="00A1145E" w:rsidRDefault="005A46E7" w:rsidP="005A46E7">
      <w:pPr>
        <w:pStyle w:val="A"/>
      </w:pPr>
      <w:r w:rsidRPr="00A1145E">
        <w:t>E.</w:t>
      </w:r>
      <w:r w:rsidRPr="00A1145E">
        <w:tab/>
        <w:t>All sales of cattle by livestock video auctions must meet the requirements of §713.</w:t>
      </w:r>
    </w:p>
    <w:p w14:paraId="01B04F83" w14:textId="77777777" w:rsidR="005A46E7" w:rsidRPr="00A1145E" w:rsidRDefault="005A46E7" w:rsidP="005A46E7">
      <w:pPr>
        <w:pStyle w:val="A"/>
      </w:pPr>
      <w:r w:rsidRPr="00A1145E">
        <w:t>F.</w:t>
      </w:r>
      <w:r w:rsidRPr="00A1145E">
        <w:tab/>
        <w:t>The livestock video auction company must notify the Louisiana Livestock Brand Commission of all delivery dates, as soon as the dates are established.</w:t>
      </w:r>
    </w:p>
    <w:p w14:paraId="63E7182C" w14:textId="77777777" w:rsidR="005A46E7" w:rsidRPr="00A1145E" w:rsidRDefault="005A46E7" w:rsidP="005A46E7">
      <w:pPr>
        <w:pStyle w:val="A"/>
      </w:pPr>
      <w:r w:rsidRPr="00A1145E">
        <w:t>G.</w:t>
      </w:r>
      <w:r w:rsidRPr="00A1145E">
        <w:tab/>
        <w:t>The Livestock Sanitary Board may cancel the permit of a livestock video auction after an adjudicatory hearing, for any one or more of the following reasons:</w:t>
      </w:r>
    </w:p>
    <w:p w14:paraId="33974A0C" w14:textId="77777777" w:rsidR="005A46E7" w:rsidRPr="00A1145E" w:rsidRDefault="005A46E7" w:rsidP="005A46E7">
      <w:pPr>
        <w:pStyle w:val="1"/>
      </w:pPr>
      <w:r w:rsidRPr="00A1145E">
        <w:t>1.</w:t>
      </w:r>
      <w:r w:rsidRPr="00A1145E">
        <w:tab/>
        <w:t>fraudulently misrepresenting the ownership, brands, or weights of livestock, the charges at a sale, the proceeds of a sale, or any other information with respect to a sale;</w:t>
      </w:r>
    </w:p>
    <w:p w14:paraId="4E0074B7" w14:textId="77777777" w:rsidR="005A46E7" w:rsidRPr="00A1145E" w:rsidRDefault="005A46E7" w:rsidP="005A46E7">
      <w:pPr>
        <w:pStyle w:val="1"/>
      </w:pPr>
      <w:r w:rsidRPr="00A1145E">
        <w:t>2.</w:t>
      </w:r>
      <w:r w:rsidRPr="00A1145E">
        <w:tab/>
        <w:t>the applicant is unable to meet the registration requirements of the Packers and Stockyards Administration;</w:t>
      </w:r>
    </w:p>
    <w:p w14:paraId="028A7FD4" w14:textId="77777777" w:rsidR="005A46E7" w:rsidRPr="00A1145E" w:rsidRDefault="005A46E7" w:rsidP="005A46E7">
      <w:pPr>
        <w:pStyle w:val="1"/>
      </w:pPr>
      <w:r w:rsidRPr="00A1145E">
        <w:t>3.</w:t>
      </w:r>
      <w:r w:rsidRPr="00A1145E">
        <w:tab/>
        <w:t>the applicant has violated the provisions with respect to the custodial account;</w:t>
      </w:r>
    </w:p>
    <w:p w14:paraId="16569859" w14:textId="77777777" w:rsidR="005A46E7" w:rsidRPr="00A1145E" w:rsidRDefault="005A46E7" w:rsidP="005A46E7">
      <w:pPr>
        <w:pStyle w:val="1"/>
      </w:pPr>
      <w:r w:rsidRPr="00A1145E">
        <w:t>4.</w:t>
      </w:r>
      <w:r w:rsidRPr="00A1145E">
        <w:tab/>
        <w:t>the applicant has violated any state or federal law or regulation governing livestock video auctions;</w:t>
      </w:r>
    </w:p>
    <w:p w14:paraId="131F47E2" w14:textId="77777777" w:rsidR="005A46E7" w:rsidRPr="00A1145E" w:rsidRDefault="005A46E7" w:rsidP="005A46E7">
      <w:pPr>
        <w:pStyle w:val="1"/>
      </w:pPr>
      <w:r w:rsidRPr="00A1145E">
        <w:t>5.</w:t>
      </w:r>
      <w:r w:rsidRPr="00A1145E">
        <w:tab/>
        <w:t>the applicant has not conducted any sales for a period of one year.</w:t>
      </w:r>
    </w:p>
    <w:p w14:paraId="32156066" w14:textId="77777777" w:rsidR="005A46E7" w:rsidRPr="00A1145E" w:rsidRDefault="005A46E7" w:rsidP="005A46E7">
      <w:pPr>
        <w:pStyle w:val="AuthorityNote"/>
      </w:pPr>
      <w:r w:rsidRPr="00A1145E">
        <w:t>AUTHORITY NOTE:</w:t>
      </w:r>
      <w:r w:rsidRPr="00A1145E">
        <w:tab/>
        <w:t>Promulgated in accordance with R.S. 3:2093, R.S. 3:2221, and R.S. 3:2228.</w:t>
      </w:r>
    </w:p>
    <w:p w14:paraId="792004D7" w14:textId="77777777" w:rsidR="005A46E7" w:rsidRPr="00A1145E" w:rsidRDefault="005A46E7" w:rsidP="005A46E7">
      <w:pPr>
        <w:pStyle w:val="HistoricalNote"/>
      </w:pPr>
      <w:r w:rsidRPr="00A1145E">
        <w:t>HISTORICAL NOTE:</w:t>
      </w:r>
      <w:r w:rsidRPr="00A1145E">
        <w:tab/>
      </w:r>
      <w:r w:rsidR="00130B4D" w:rsidRPr="001531CD">
        <w:t>Promulgated by the Department of Agriculture and Forestry, Livestock Sanitary Board, LR 15:813 (October 1989)</w:t>
      </w:r>
      <w:r w:rsidRPr="00A1145E">
        <w:t xml:space="preserve">, repromulgated by the Department of Agriculture and Forestry, </w:t>
      </w:r>
      <w:r w:rsidR="007356F4">
        <w:t>Office of Animal Health and Food Safety and the Board of Animal Health,</w:t>
      </w:r>
      <w:r w:rsidRPr="00A1145E">
        <w:t xml:space="preserve"> LR </w:t>
      </w:r>
      <w:r>
        <w:t>40:942 (May 2014).</w:t>
      </w:r>
    </w:p>
    <w:p w14:paraId="5C669980" w14:textId="77777777" w:rsidR="005A46E7" w:rsidRPr="00A1145E" w:rsidRDefault="005A46E7" w:rsidP="005A46E7">
      <w:pPr>
        <w:pStyle w:val="Section"/>
      </w:pPr>
      <w:bookmarkStart w:id="1680" w:name="_Toc256754688"/>
      <w:bookmarkStart w:id="1681" w:name="_Toc375025472"/>
      <w:bookmarkStart w:id="1682" w:name="_Toc224819034"/>
      <w:r w:rsidRPr="00A1145E">
        <w:t>§305.</w:t>
      </w:r>
      <w:r w:rsidRPr="00A1145E">
        <w:tab/>
        <w:t>Livestock Dealer General Requirements</w:t>
      </w:r>
      <w:bookmarkEnd w:id="1680"/>
      <w:bookmarkEnd w:id="1681"/>
      <w:r>
        <w:br/>
        <w:t>(</w:t>
      </w:r>
      <w:r w:rsidRPr="00A1145E">
        <w:t>Formerly §115</w:t>
      </w:r>
      <w:r>
        <w:t>)</w:t>
      </w:r>
      <w:bookmarkEnd w:id="1682"/>
    </w:p>
    <w:p w14:paraId="671BA4D4" w14:textId="77777777" w:rsidR="005A46E7" w:rsidRPr="00A1145E" w:rsidRDefault="005A46E7" w:rsidP="005A46E7">
      <w:pPr>
        <w:pStyle w:val="A"/>
      </w:pPr>
      <w:r w:rsidRPr="00A1145E">
        <w:t>A.</w:t>
      </w:r>
      <w:r w:rsidRPr="00A1145E">
        <w:tab/>
        <w:t>Louisiana livestock dealers may become permitted, provided the following requirements are met:</w:t>
      </w:r>
    </w:p>
    <w:p w14:paraId="2A8F5759" w14:textId="77777777" w:rsidR="005A46E7" w:rsidRPr="00A1145E" w:rsidRDefault="005A46E7" w:rsidP="005A46E7">
      <w:pPr>
        <w:pStyle w:val="1"/>
      </w:pPr>
      <w:r w:rsidRPr="00A1145E">
        <w:t>1.</w:t>
      </w:r>
      <w:r w:rsidRPr="00A1145E">
        <w:tab/>
        <w:t>the facilities are adequate and maintained in a satisfactory condition;</w:t>
      </w:r>
    </w:p>
    <w:p w14:paraId="5816AE3F" w14:textId="77777777" w:rsidR="005A46E7" w:rsidRPr="00A1145E" w:rsidRDefault="005A46E7" w:rsidP="005A46E7">
      <w:pPr>
        <w:pStyle w:val="1"/>
      </w:pPr>
      <w:r w:rsidRPr="00A1145E">
        <w:t>2.</w:t>
      </w:r>
      <w:r w:rsidRPr="00A1145E">
        <w:tab/>
        <w:t>the dealer agrees to clean and disinfect the facilities at least once each month with an approved disinfectant;</w:t>
      </w:r>
    </w:p>
    <w:p w14:paraId="79279A93" w14:textId="77777777" w:rsidR="005A46E7" w:rsidRPr="00A1145E" w:rsidRDefault="005A46E7" w:rsidP="005A46E7">
      <w:pPr>
        <w:pStyle w:val="1"/>
      </w:pPr>
      <w:r w:rsidRPr="00A1145E">
        <w:t>3.</w:t>
      </w:r>
      <w:r w:rsidRPr="00A1145E">
        <w:tab/>
        <w:t xml:space="preserve">records of all sales and purchases must be maintained for at least 12 months. The records shall contain the complete name and address of the seller, the permanent identification number of any </w:t>
      </w:r>
      <w:r w:rsidRPr="002248D5">
        <w:rPr>
          <w:i/>
        </w:rPr>
        <w:t>Brucellosis</w:t>
      </w:r>
      <w:r w:rsidRPr="00A1145E">
        <w:t xml:space="preserve"> test eligible animals, the weight and price of the animals, and the complete name and address of the purchaser. These records shall be made available to representatives of the Livestock Sanitary Board upon request. Livestock dealers who are not permitted will be governed by §311 for cattle.</w:t>
      </w:r>
    </w:p>
    <w:p w14:paraId="7F61E49F" w14:textId="77777777" w:rsidR="005A46E7" w:rsidRPr="00A1145E" w:rsidRDefault="005A46E7" w:rsidP="005A46E7">
      <w:pPr>
        <w:pStyle w:val="A"/>
      </w:pPr>
      <w:r w:rsidRPr="00A1145E">
        <w:t>B.</w:t>
      </w:r>
      <w:r w:rsidRPr="00A1145E">
        <w:tab/>
        <w:t xml:space="preserve">Livestock dealers shall furnish the purchaser with the appropriate documents (health certificate, herd test, negative 30-day test record, negative </w:t>
      </w:r>
      <w:r>
        <w:t>equine infectious anemia</w:t>
      </w:r>
      <w:r w:rsidRPr="00A1145E">
        <w:t xml:space="preserve"> test), </w:t>
      </w:r>
      <w:r w:rsidRPr="00A1145E">
        <w:t>which indicate the animals meet the specific requirements stated in the regulations of the Livestock Sanitary Board.</w:t>
      </w:r>
    </w:p>
    <w:p w14:paraId="698CA544" w14:textId="77777777" w:rsidR="005A46E7" w:rsidRPr="00A1145E" w:rsidRDefault="005A46E7" w:rsidP="005A46E7">
      <w:pPr>
        <w:pStyle w:val="A"/>
      </w:pPr>
      <w:r w:rsidRPr="00A1145E">
        <w:t>C.</w:t>
      </w:r>
      <w:r w:rsidRPr="00A1145E">
        <w:tab/>
        <w:t>All livestock moving into the state of Louisiana must meet federal interstate requirements, the requirements of §107, governing the admission of livestock into the state; and the requirements of the state of destination.</w:t>
      </w:r>
    </w:p>
    <w:p w14:paraId="53AD0522" w14:textId="77777777" w:rsidR="005A46E7" w:rsidRPr="00A1145E" w:rsidRDefault="005A46E7" w:rsidP="005A46E7">
      <w:pPr>
        <w:pStyle w:val="A"/>
      </w:pPr>
      <w:r w:rsidRPr="00A1145E">
        <w:t>D.</w:t>
      </w:r>
      <w:r w:rsidRPr="00A1145E">
        <w:tab/>
        <w:t>Failure of a permitted livestock dealer to meet the requirements of this and other regulations of the board, will result in the revoking of his permit and he will be subject to prosecution, as provided in R.S. 3:2096.</w:t>
      </w:r>
    </w:p>
    <w:p w14:paraId="2FAAC49E" w14:textId="77777777" w:rsidR="005A46E7" w:rsidRPr="00A1145E" w:rsidRDefault="005A46E7" w:rsidP="005A46E7">
      <w:pPr>
        <w:pStyle w:val="AuthorityNote"/>
      </w:pPr>
      <w:r w:rsidRPr="00A1145E">
        <w:t>AUTHORITY NOTE:</w:t>
      </w:r>
      <w:r w:rsidRPr="00A1145E">
        <w:tab/>
        <w:t>Promulgated in accordance with R.S. 3:562, R.S. 3:563 and R.S. 3:564.</w:t>
      </w:r>
    </w:p>
    <w:p w14:paraId="45459E04" w14:textId="77777777" w:rsidR="005A46E7" w:rsidRDefault="005A46E7" w:rsidP="005A46E7">
      <w:pPr>
        <w:pStyle w:val="HistoricalNote"/>
      </w:pPr>
      <w:r w:rsidRPr="00A1145E">
        <w:t>HISTORICAL NOTE:</w:t>
      </w:r>
      <w:r w:rsidRPr="00A1145E">
        <w:tab/>
      </w:r>
      <w:r w:rsidR="00130B4D" w:rsidRPr="001531CD">
        <w:t>Promulgated by the Department of Agriculture, Livestock Sanitary Board, LR 11:234 (March 1985), amended LR 11:615 (June 1985), amended by the Department of Agriculture and Forestry, Livestock Sanitary Board, LR 14:219 (April 1988), LR 17:30 (January 1991), LR 17:873 (September 1991)</w:t>
      </w:r>
      <w:r w:rsidRPr="00A1145E">
        <w:t xml:space="preserve">, repromulgated by the Department of Agriculture and Forestry, </w:t>
      </w:r>
      <w:r w:rsidR="007356F4">
        <w:t>Office of Animal Health and Food Safety and the Board of Animal Health,</w:t>
      </w:r>
      <w:r w:rsidRPr="00A1145E">
        <w:t xml:space="preserve"> LR </w:t>
      </w:r>
      <w:r>
        <w:t>40:943 (May 2014).</w:t>
      </w:r>
    </w:p>
    <w:p w14:paraId="1ACBD746" w14:textId="77777777" w:rsidR="00413980" w:rsidRDefault="00413980" w:rsidP="00413980">
      <w:pPr>
        <w:pStyle w:val="Chapter"/>
      </w:pPr>
      <w:bookmarkStart w:id="1683" w:name="_Toc224819035"/>
      <w:r w:rsidRPr="00AF75E7">
        <w:t>Chapter 4.</w:t>
      </w:r>
      <w:r w:rsidRPr="00AF75E7">
        <w:tab/>
        <w:t>Livestock Brands and Marks</w:t>
      </w:r>
      <w:bookmarkEnd w:id="1683"/>
      <w:r w:rsidRPr="00AF75E7">
        <w:t xml:space="preserve"> </w:t>
      </w:r>
    </w:p>
    <w:p w14:paraId="190E476A" w14:textId="77777777" w:rsidR="00413980" w:rsidRPr="00AF75E7" w:rsidRDefault="00413980" w:rsidP="00413980">
      <w:pPr>
        <w:pStyle w:val="Section"/>
      </w:pPr>
      <w:bookmarkStart w:id="1684" w:name="_Toc224819036"/>
      <w:r w:rsidRPr="00AF75E7">
        <w:t>§401.</w:t>
      </w:r>
      <w:r w:rsidRPr="00AF75E7">
        <w:tab/>
        <w:t>Purpose; Definitions</w:t>
      </w:r>
      <w:bookmarkEnd w:id="1684"/>
    </w:p>
    <w:p w14:paraId="53D65CB6" w14:textId="77777777" w:rsidR="00413980" w:rsidRPr="00AF75E7" w:rsidRDefault="00413980" w:rsidP="00413980">
      <w:pPr>
        <w:pStyle w:val="A"/>
      </w:pPr>
      <w:r w:rsidRPr="00AF75E7">
        <w:t>A.</w:t>
      </w:r>
      <w:r>
        <w:tab/>
      </w:r>
      <w:r w:rsidRPr="00AF75E7">
        <w:t xml:space="preserve">This Chapter is adopted pursuant to R.S. 3:731 et seq., and shall govern the </w:t>
      </w:r>
      <w:r>
        <w:t>department</w:t>
      </w:r>
      <w:r w:rsidRPr="00AF75E7">
        <w:t xml:space="preserve">’s Livestock Brand program. </w:t>
      </w:r>
    </w:p>
    <w:p w14:paraId="61AF9C97" w14:textId="77777777" w:rsidR="00413980" w:rsidRPr="00AF75E7" w:rsidRDefault="00413980" w:rsidP="00413980">
      <w:pPr>
        <w:pStyle w:val="A"/>
      </w:pPr>
      <w:r w:rsidRPr="00AF75E7">
        <w:t>B.</w:t>
      </w:r>
      <w:r w:rsidRPr="00AF75E7">
        <w:tab/>
        <w:t>For purposes of this Chapter, the following terms shall have the meaning hereafter ascribed to them, unless the context clearly indicates otherwise:</w:t>
      </w:r>
    </w:p>
    <w:p w14:paraId="29172AF8" w14:textId="77777777" w:rsidR="00413980" w:rsidRPr="00AF75E7" w:rsidRDefault="00413980" w:rsidP="00413980">
      <w:pPr>
        <w:pStyle w:val="1"/>
      </w:pPr>
      <w:r w:rsidRPr="00AF75E7">
        <w:rPr>
          <w:i/>
        </w:rPr>
        <w:t>Brand</w:t>
      </w:r>
      <w:r w:rsidRPr="00AF75E7">
        <w:t>—an identification mark</w:t>
      </w:r>
      <w:r>
        <w:t xml:space="preserve"> </w:t>
      </w:r>
      <w:r w:rsidRPr="00AF75E7">
        <w:t>hot- or cold-branded into or onto the hide of a live animal.</w:t>
      </w:r>
    </w:p>
    <w:p w14:paraId="78D824F6" w14:textId="77777777" w:rsidR="00413980" w:rsidRPr="00AF75E7" w:rsidRDefault="00413980" w:rsidP="00413980">
      <w:pPr>
        <w:pStyle w:val="1"/>
      </w:pPr>
      <w:r w:rsidRPr="00AF75E7">
        <w:rPr>
          <w:i/>
        </w:rPr>
        <w:t>Brand Book</w:t>
      </w:r>
      <w:r w:rsidRPr="00AF75E7">
        <w:t>—the Official Brand Book of the State of Louisiana.</w:t>
      </w:r>
    </w:p>
    <w:p w14:paraId="170EEC67" w14:textId="77777777" w:rsidR="00413980" w:rsidRPr="00AF75E7" w:rsidRDefault="00413980" w:rsidP="00413980">
      <w:pPr>
        <w:pStyle w:val="1"/>
      </w:pPr>
      <w:r w:rsidRPr="00AF75E7">
        <w:rPr>
          <w:i/>
        </w:rPr>
        <w:t>Commission</w:t>
      </w:r>
      <w:r w:rsidRPr="00AF75E7">
        <w:t>—the Livestock Brand Commission, within the Department of Agriculture and Forestry.</w:t>
      </w:r>
    </w:p>
    <w:p w14:paraId="328FE8C9" w14:textId="77777777" w:rsidR="00413980" w:rsidRPr="00AF75E7" w:rsidRDefault="00413980" w:rsidP="00413980">
      <w:pPr>
        <w:pStyle w:val="1"/>
      </w:pPr>
      <w:r w:rsidRPr="00AF75E7">
        <w:rPr>
          <w:i/>
        </w:rPr>
        <w:t>Commissioner</w:t>
      </w:r>
      <w:r w:rsidRPr="00AF75E7">
        <w:t>—the Commissioner of Agriculture and Forestry.</w:t>
      </w:r>
    </w:p>
    <w:p w14:paraId="55E237CB" w14:textId="77777777" w:rsidR="00413980" w:rsidRPr="00AF75E7" w:rsidRDefault="00413980" w:rsidP="00413980">
      <w:pPr>
        <w:pStyle w:val="1"/>
      </w:pPr>
      <w:r w:rsidRPr="00AF75E7">
        <w:rPr>
          <w:i/>
        </w:rPr>
        <w:t>Department</w:t>
      </w:r>
      <w:r w:rsidRPr="00AF75E7">
        <w:t xml:space="preserve">—the Louisiana Department of Agriculture and Forestry. </w:t>
      </w:r>
    </w:p>
    <w:p w14:paraId="6283393E" w14:textId="77777777" w:rsidR="00413980" w:rsidRPr="00AF75E7" w:rsidRDefault="00413980" w:rsidP="00413980">
      <w:pPr>
        <w:pStyle w:val="1"/>
      </w:pPr>
      <w:r w:rsidRPr="00AF75E7">
        <w:rPr>
          <w:i/>
        </w:rPr>
        <w:t>Mark</w:t>
      </w:r>
      <w:r w:rsidRPr="00AF75E7">
        <w:t xml:space="preserve">—a distinct marking or device, including but not limited to a tattoo or electronic device, placed on or in a live animal sufficient to distinguish the animal readily if it becomes intermixed with other animals. </w:t>
      </w:r>
    </w:p>
    <w:p w14:paraId="5F37D8D6" w14:textId="77777777" w:rsidR="00413980" w:rsidRPr="00AF75E7" w:rsidRDefault="00413980" w:rsidP="00413980">
      <w:pPr>
        <w:pStyle w:val="1"/>
      </w:pPr>
      <w:r w:rsidRPr="00AF75E7">
        <w:rPr>
          <w:i/>
        </w:rPr>
        <w:t>Person</w:t>
      </w:r>
      <w:r w:rsidRPr="00AF75E7">
        <w:t xml:space="preserve">—an individual, firm, partnership, corporation, or other association. </w:t>
      </w:r>
    </w:p>
    <w:p w14:paraId="7C86775C" w14:textId="77777777" w:rsidR="00413980" w:rsidRPr="00AF75E7" w:rsidRDefault="00413980" w:rsidP="00413980">
      <w:pPr>
        <w:pStyle w:val="1"/>
      </w:pPr>
      <w:r w:rsidRPr="00AF75E7">
        <w:rPr>
          <w:i/>
        </w:rPr>
        <w:t xml:space="preserve">Recordation </w:t>
      </w:r>
      <w:r>
        <w:rPr>
          <w:i/>
        </w:rPr>
        <w:t>C</w:t>
      </w:r>
      <w:r w:rsidRPr="00AF75E7">
        <w:rPr>
          <w:i/>
        </w:rPr>
        <w:t>ycle</w:t>
      </w:r>
      <w:r w:rsidRPr="00AF75E7">
        <w:t>—the five-year cycle set forth in R.S. 3:737, for the recordation of</w:t>
      </w:r>
      <w:r>
        <w:t xml:space="preserve"> </w:t>
      </w:r>
      <w:r w:rsidRPr="00AF75E7">
        <w:t>brands or marks which expired on the last day of December 31, 1984, and every fifth year thereafter.</w:t>
      </w:r>
    </w:p>
    <w:p w14:paraId="4D9DFAA9" w14:textId="77777777" w:rsidR="00413980" w:rsidRPr="00AF75E7" w:rsidRDefault="00413980" w:rsidP="00413980">
      <w:pPr>
        <w:pStyle w:val="AuthorityNote"/>
      </w:pPr>
      <w:r w:rsidRPr="00AF75E7">
        <w:t>AUTHORITY NOTE:</w:t>
      </w:r>
      <w:r>
        <w:tab/>
      </w:r>
      <w:r w:rsidRPr="00AF75E7">
        <w:t>Promulgated in accordance with R.S. 3:736</w:t>
      </w:r>
      <w:r>
        <w:t>.</w:t>
      </w:r>
    </w:p>
    <w:p w14:paraId="40A5F126" w14:textId="77777777" w:rsidR="00413980" w:rsidRDefault="00413980" w:rsidP="00413980">
      <w:pPr>
        <w:pStyle w:val="HistoricalNote"/>
      </w:pPr>
      <w:r w:rsidRPr="00AF75E7">
        <w:lastRenderedPageBreak/>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14:paraId="39210AC8" w14:textId="77777777" w:rsidR="00413980" w:rsidRPr="00AF75E7" w:rsidRDefault="00413980" w:rsidP="00413980">
      <w:pPr>
        <w:pStyle w:val="Section"/>
      </w:pPr>
      <w:bookmarkStart w:id="1685" w:name="_Toc224819037"/>
      <w:r w:rsidRPr="00AF75E7">
        <w:t>§403.</w:t>
      </w:r>
      <w:r w:rsidRPr="00AF75E7">
        <w:tab/>
        <w:t>Recordation of Brand and Marks, Generally</w:t>
      </w:r>
      <w:bookmarkEnd w:id="1685"/>
    </w:p>
    <w:p w14:paraId="43A77B8A" w14:textId="77777777" w:rsidR="00413980" w:rsidRPr="00AF75E7" w:rsidRDefault="00413980" w:rsidP="00413980">
      <w:pPr>
        <w:pStyle w:val="A"/>
      </w:pPr>
      <w:r w:rsidRPr="00AF75E7">
        <w:t>A.</w:t>
      </w:r>
      <w:r w:rsidRPr="00AF75E7">
        <w:tab/>
        <w:t xml:space="preserve">Nothing in R.S. 3:372 et seq. or this Chapter shall require the mandatory branding or marking of livestock. </w:t>
      </w:r>
    </w:p>
    <w:p w14:paraId="0B3B31A8" w14:textId="77777777" w:rsidR="00413980" w:rsidRPr="00AF75E7" w:rsidRDefault="00413980" w:rsidP="00413980">
      <w:pPr>
        <w:pStyle w:val="A"/>
      </w:pPr>
      <w:r w:rsidRPr="00AF75E7">
        <w:t>B.</w:t>
      </w:r>
      <w:r w:rsidRPr="00AF75E7">
        <w:tab/>
        <w:t xml:space="preserve">However, any brands or marks that are used in the branding or marking of livestock within the </w:t>
      </w:r>
      <w:r>
        <w:t>s</w:t>
      </w:r>
      <w:r w:rsidRPr="00AF75E7">
        <w:t>tate of</w:t>
      </w:r>
      <w:r>
        <w:t xml:space="preserve"> </w:t>
      </w:r>
      <w:r w:rsidRPr="00AF75E7">
        <w:t xml:space="preserve">Louisiana shall be recorded with the </w:t>
      </w:r>
      <w:r>
        <w:t>department</w:t>
      </w:r>
      <w:r w:rsidRPr="00AF75E7">
        <w:t xml:space="preserve">. </w:t>
      </w:r>
    </w:p>
    <w:p w14:paraId="78ECA94F" w14:textId="77777777" w:rsidR="00413980" w:rsidRPr="00AF75E7" w:rsidRDefault="00413980" w:rsidP="00413980">
      <w:pPr>
        <w:pStyle w:val="A"/>
      </w:pPr>
      <w:r w:rsidRPr="00AF75E7">
        <w:t>C.</w:t>
      </w:r>
      <w:r w:rsidRPr="00AF75E7">
        <w:tab/>
        <w:t xml:space="preserve">It is a violation of R.S. 3:372 et seq., and this Chapter to affix a brand or mark that is not recorded with the </w:t>
      </w:r>
      <w:r>
        <w:t>department</w:t>
      </w:r>
      <w:r w:rsidRPr="00AF75E7">
        <w:t xml:space="preserve"> onto any animal.</w:t>
      </w:r>
    </w:p>
    <w:p w14:paraId="2A282D24" w14:textId="77777777" w:rsidR="00413980" w:rsidRPr="00AF75E7" w:rsidRDefault="00413980" w:rsidP="00413980">
      <w:pPr>
        <w:pStyle w:val="A"/>
      </w:pPr>
      <w:r w:rsidRPr="00AF75E7">
        <w:t>D.</w:t>
      </w:r>
      <w:r w:rsidRPr="00AF75E7">
        <w:tab/>
        <w:t>Recordation of brands or marks in other states are not automatically reciprocal in Louisiana.</w:t>
      </w:r>
      <w:r>
        <w:t xml:space="preserve"> </w:t>
      </w:r>
      <w:r w:rsidRPr="00AF75E7">
        <w:t xml:space="preserve">Persons wishing to use brands or marks recorded in other states shall apply to the </w:t>
      </w:r>
      <w:r>
        <w:t>department</w:t>
      </w:r>
      <w:r w:rsidRPr="00AF75E7">
        <w:t xml:space="preserve"> and be approved in accordance with the Livestock Brand Law and this Chapter to record that brand or mark to be able to use that brand or mark within Louisiana. </w:t>
      </w:r>
    </w:p>
    <w:p w14:paraId="62589837" w14:textId="77777777" w:rsidR="00413980" w:rsidRPr="00AF75E7" w:rsidRDefault="00413980" w:rsidP="00413980">
      <w:pPr>
        <w:pStyle w:val="AuthorityNote"/>
      </w:pPr>
      <w:r w:rsidRPr="00AF75E7">
        <w:t>AUTHORITY NOTE:</w:t>
      </w:r>
      <w:r>
        <w:tab/>
      </w:r>
      <w:r w:rsidRPr="00AF75E7">
        <w:t>Promulgated in accordance with R.S. 3:736</w:t>
      </w:r>
      <w:r>
        <w:t>.</w:t>
      </w:r>
    </w:p>
    <w:p w14:paraId="7BD46386"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14:paraId="1DFAFAF3" w14:textId="77777777" w:rsidR="00413980" w:rsidRPr="00AF75E7" w:rsidRDefault="00413980" w:rsidP="00413980">
      <w:pPr>
        <w:pStyle w:val="Section"/>
      </w:pPr>
      <w:bookmarkStart w:id="1686" w:name="_Toc224819038"/>
      <w:r w:rsidRPr="00AF75E7">
        <w:t>§405.</w:t>
      </w:r>
      <w:r w:rsidRPr="00AF75E7">
        <w:tab/>
        <w:t>Types of Animals</w:t>
      </w:r>
      <w:bookmarkEnd w:id="1686"/>
    </w:p>
    <w:p w14:paraId="407A0C14" w14:textId="77777777" w:rsidR="00413980" w:rsidRPr="00AF75E7" w:rsidRDefault="00413980" w:rsidP="00413980">
      <w:pPr>
        <w:pStyle w:val="A"/>
      </w:pPr>
      <w:r w:rsidRPr="00AF75E7">
        <w:t>A.</w:t>
      </w:r>
      <w:r w:rsidRPr="00AF75E7">
        <w:tab/>
        <w:t>The following types of animals may be branded or marked in accordance with these rules:</w:t>
      </w:r>
      <w:r>
        <w:t xml:space="preserve"> </w:t>
      </w:r>
    </w:p>
    <w:p w14:paraId="252E1FE7" w14:textId="77777777" w:rsidR="00413980" w:rsidRPr="00AF75E7" w:rsidRDefault="00413980" w:rsidP="00413980">
      <w:pPr>
        <w:pStyle w:val="1"/>
      </w:pPr>
      <w:r w:rsidRPr="00AF75E7">
        <w:t>1.</w:t>
      </w:r>
      <w:r w:rsidRPr="00AF75E7">
        <w:tab/>
        <w:t xml:space="preserve">cattle; </w:t>
      </w:r>
    </w:p>
    <w:p w14:paraId="758AA314" w14:textId="77777777" w:rsidR="00413980" w:rsidRPr="00AF75E7" w:rsidRDefault="00413980" w:rsidP="00413980">
      <w:pPr>
        <w:pStyle w:val="1"/>
      </w:pPr>
      <w:r w:rsidRPr="00AF75E7">
        <w:t>2.</w:t>
      </w:r>
      <w:r w:rsidRPr="00AF75E7">
        <w:tab/>
        <w:t xml:space="preserve">horses; and </w:t>
      </w:r>
    </w:p>
    <w:p w14:paraId="629F1F03" w14:textId="77777777" w:rsidR="00413980" w:rsidRPr="00AF75E7" w:rsidRDefault="00413980" w:rsidP="00413980">
      <w:pPr>
        <w:pStyle w:val="1"/>
      </w:pPr>
      <w:r w:rsidRPr="00AF75E7">
        <w:t>3.</w:t>
      </w:r>
      <w:r w:rsidRPr="00AF75E7">
        <w:tab/>
        <w:t xml:space="preserve">sheep. </w:t>
      </w:r>
    </w:p>
    <w:p w14:paraId="0D75B3E6" w14:textId="77777777" w:rsidR="00413980" w:rsidRPr="00AF75E7" w:rsidRDefault="00413980" w:rsidP="00413980">
      <w:pPr>
        <w:pStyle w:val="AuthorityNote"/>
      </w:pPr>
      <w:r w:rsidRPr="00AF75E7">
        <w:t>AUTHORITY NOTE:</w:t>
      </w:r>
      <w:r>
        <w:tab/>
      </w:r>
      <w:r w:rsidRPr="00AF75E7">
        <w:t>Promulgated in accordance with R.S. 3:736</w:t>
      </w:r>
      <w:r>
        <w:t>.</w:t>
      </w:r>
    </w:p>
    <w:p w14:paraId="7783310E"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14:paraId="7EFDD041" w14:textId="77777777" w:rsidR="00413980" w:rsidRPr="00AF75E7" w:rsidRDefault="00413980" w:rsidP="00413980">
      <w:pPr>
        <w:pStyle w:val="Section"/>
      </w:pPr>
      <w:bookmarkStart w:id="1687" w:name="_Toc224819039"/>
      <w:r w:rsidRPr="00AF75E7">
        <w:t>§407.</w:t>
      </w:r>
      <w:r w:rsidRPr="00AF75E7">
        <w:tab/>
        <w:t>Style, Design, and Size of Brands and Marks</w:t>
      </w:r>
      <w:bookmarkEnd w:id="1687"/>
      <w:r w:rsidRPr="00AF75E7">
        <w:t xml:space="preserve"> </w:t>
      </w:r>
    </w:p>
    <w:p w14:paraId="6A2B5CA6" w14:textId="77777777" w:rsidR="00413980" w:rsidRPr="00AF75E7" w:rsidRDefault="00413980" w:rsidP="00413980">
      <w:pPr>
        <w:pStyle w:val="A"/>
      </w:pPr>
      <w:r w:rsidRPr="00AF75E7">
        <w:t>A.</w:t>
      </w:r>
      <w:r w:rsidRPr="00AF75E7">
        <w:tab/>
        <w:t xml:space="preserve">Brands may be affixed by either hot- or cold-branding into or onto the hide of an animal. </w:t>
      </w:r>
    </w:p>
    <w:p w14:paraId="1C8E4312" w14:textId="77777777" w:rsidR="00413980" w:rsidRPr="00AF75E7" w:rsidRDefault="00413980" w:rsidP="00413980">
      <w:pPr>
        <w:pStyle w:val="A"/>
      </w:pPr>
      <w:r w:rsidRPr="00AF75E7">
        <w:t>B.</w:t>
      </w:r>
      <w:r w:rsidRPr="00AF75E7">
        <w:tab/>
        <w:t xml:space="preserve">Brands should be four to six inches in height for cattle and two to four inches in height for horses. </w:t>
      </w:r>
    </w:p>
    <w:p w14:paraId="18AFB932" w14:textId="77777777" w:rsidR="00413980" w:rsidRPr="00AF75E7" w:rsidRDefault="00413980" w:rsidP="00413980">
      <w:pPr>
        <w:pStyle w:val="A"/>
      </w:pPr>
      <w:r w:rsidRPr="00AF75E7">
        <w:t>C.</w:t>
      </w:r>
      <w:r w:rsidRPr="00AF75E7">
        <w:tab/>
        <w:t xml:space="preserve">A design should be simple enough that it can be easily applied to an animal and can be easily read on the animal after application. </w:t>
      </w:r>
    </w:p>
    <w:p w14:paraId="28607AB9" w14:textId="77777777" w:rsidR="00413980" w:rsidRPr="00AF75E7" w:rsidRDefault="00413980" w:rsidP="00413980">
      <w:pPr>
        <w:pStyle w:val="AuthorityNote"/>
      </w:pPr>
      <w:r w:rsidRPr="00AF75E7">
        <w:t>AUTHORITY NOTE:</w:t>
      </w:r>
      <w:r>
        <w:tab/>
      </w:r>
      <w:r w:rsidRPr="00AF75E7">
        <w:t>Promulgated in accordance with R.S. 3:736</w:t>
      </w:r>
      <w:r>
        <w:t>.</w:t>
      </w:r>
    </w:p>
    <w:p w14:paraId="1850D098"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14:paraId="6F5F1256" w14:textId="77777777" w:rsidR="00413980" w:rsidRPr="00AF75E7" w:rsidRDefault="00413980" w:rsidP="00413980">
      <w:pPr>
        <w:pStyle w:val="Section"/>
      </w:pPr>
      <w:bookmarkStart w:id="1688" w:name="_Toc224819040"/>
      <w:r w:rsidRPr="00AF75E7">
        <w:t>§409.</w:t>
      </w:r>
      <w:r w:rsidRPr="00AF75E7">
        <w:tab/>
        <w:t>Location of Brands and Marks</w:t>
      </w:r>
      <w:bookmarkEnd w:id="1688"/>
      <w:r w:rsidRPr="00AF75E7">
        <w:t xml:space="preserve"> </w:t>
      </w:r>
    </w:p>
    <w:p w14:paraId="2D4F5325" w14:textId="77777777" w:rsidR="00413980" w:rsidRPr="00AF75E7" w:rsidRDefault="00413980" w:rsidP="00413980">
      <w:pPr>
        <w:pStyle w:val="A"/>
      </w:pPr>
      <w:r w:rsidRPr="00AF75E7">
        <w:t>A.</w:t>
      </w:r>
      <w:r w:rsidRPr="00AF75E7">
        <w:tab/>
        <w:t xml:space="preserve">Brand applications shall indicate which side of an animal the brand is to be used, either left, right, or both left and right. </w:t>
      </w:r>
    </w:p>
    <w:p w14:paraId="57358D7A" w14:textId="77777777" w:rsidR="00413980" w:rsidRPr="00AF75E7" w:rsidRDefault="00413980" w:rsidP="00413980">
      <w:pPr>
        <w:pStyle w:val="A"/>
      </w:pPr>
      <w:r w:rsidRPr="00AF75E7">
        <w:t>B.</w:t>
      </w:r>
      <w:r w:rsidRPr="00AF75E7">
        <w:tab/>
        <w:t xml:space="preserve">Once recorded, a brand may be applied only to the side(s) of the animal indicated in the recordation records for that brand. </w:t>
      </w:r>
    </w:p>
    <w:p w14:paraId="3C8175C2" w14:textId="77777777" w:rsidR="00413980" w:rsidRPr="00AF75E7" w:rsidRDefault="00413980" w:rsidP="00413980">
      <w:pPr>
        <w:pStyle w:val="A"/>
      </w:pPr>
      <w:r w:rsidRPr="00AF75E7">
        <w:t>C.</w:t>
      </w:r>
      <w:r w:rsidRPr="00AF75E7">
        <w:tab/>
        <w:t>Once recorded, a brand may be applied to any place on the side(s) of the animal indicated in the recordation records for that brand.</w:t>
      </w:r>
    </w:p>
    <w:p w14:paraId="4D8F77A8" w14:textId="77777777" w:rsidR="00413980" w:rsidRPr="00AF75E7" w:rsidRDefault="00413980" w:rsidP="00413980">
      <w:pPr>
        <w:pStyle w:val="AuthorityNote"/>
      </w:pPr>
      <w:r w:rsidRPr="00AF75E7">
        <w:t>AUTHORITY NOTE:</w:t>
      </w:r>
      <w:r>
        <w:tab/>
      </w:r>
      <w:r w:rsidRPr="00AF75E7">
        <w:t>Promulgated in accordance with R.S. 3:736</w:t>
      </w:r>
      <w:r>
        <w:t>.</w:t>
      </w:r>
    </w:p>
    <w:p w14:paraId="13EE3C41"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14:paraId="358A4362" w14:textId="77777777" w:rsidR="00413980" w:rsidRPr="00AF75E7" w:rsidRDefault="00413980" w:rsidP="00413980">
      <w:pPr>
        <w:pStyle w:val="Section"/>
      </w:pPr>
      <w:bookmarkStart w:id="1689" w:name="_Toc224819041"/>
      <w:r w:rsidRPr="00AF75E7">
        <w:t>§411.</w:t>
      </w:r>
      <w:r w:rsidRPr="00AF75E7">
        <w:tab/>
        <w:t>Lifetime Livestock Brand</w:t>
      </w:r>
      <w:bookmarkEnd w:id="1689"/>
      <w:r w:rsidRPr="00AF75E7">
        <w:t xml:space="preserve"> </w:t>
      </w:r>
    </w:p>
    <w:p w14:paraId="1447E22B" w14:textId="77777777" w:rsidR="00413980" w:rsidRPr="00AF75E7" w:rsidRDefault="00413980" w:rsidP="00413980">
      <w:pPr>
        <w:pStyle w:val="A"/>
      </w:pPr>
      <w:r w:rsidRPr="00AF75E7">
        <w:t>A.</w:t>
      </w:r>
      <w:r w:rsidRPr="00AF75E7">
        <w:tab/>
        <w:t xml:space="preserve">Brands and marks may be recorded for the lifetime of the brand or mark owner and must meet all criteria for recordation as stated herein. </w:t>
      </w:r>
    </w:p>
    <w:p w14:paraId="24BC3DC0" w14:textId="77777777" w:rsidR="00413980" w:rsidRPr="00AF75E7" w:rsidRDefault="00413980" w:rsidP="00413980">
      <w:pPr>
        <w:pStyle w:val="A"/>
      </w:pPr>
      <w:r w:rsidRPr="00AF75E7">
        <w:t>B.</w:t>
      </w:r>
      <w:r>
        <w:tab/>
      </w:r>
      <w:r w:rsidRPr="00AF75E7">
        <w:t>Lifetime recordation is valid for the duration of the brand or mark owner‘s life, unless otherwise transferred by the owner during his lifetime.</w:t>
      </w:r>
      <w:r>
        <w:t xml:space="preserve"> </w:t>
      </w:r>
    </w:p>
    <w:p w14:paraId="6499B614" w14:textId="77777777" w:rsidR="00413980" w:rsidRPr="00AF75E7" w:rsidRDefault="00413980" w:rsidP="00413980">
      <w:pPr>
        <w:pStyle w:val="A"/>
      </w:pPr>
      <w:r w:rsidRPr="00AF75E7">
        <w:t>C.</w:t>
      </w:r>
      <w:r w:rsidRPr="00AF75E7">
        <w:tab/>
        <w:t xml:space="preserve">Upon the death of the owner, the brand or mark must be transferred to an heir(s) or legatee(s) by no later than the expiration date of the current brand recordation cycle, otherwise the brand will be considered abandoned and made available to other applicants. </w:t>
      </w:r>
    </w:p>
    <w:p w14:paraId="77EB1A78" w14:textId="77777777" w:rsidR="00413980" w:rsidRPr="00AF75E7" w:rsidRDefault="00413980" w:rsidP="00413980">
      <w:pPr>
        <w:pStyle w:val="AuthorityNote"/>
      </w:pPr>
      <w:r w:rsidRPr="00AF75E7">
        <w:t>AUTHORITY NOTE:</w:t>
      </w:r>
      <w:r>
        <w:tab/>
      </w:r>
      <w:r w:rsidRPr="00AF75E7">
        <w:t>Promulgated in accordance with R.S. 3:736</w:t>
      </w:r>
      <w:r>
        <w:t>.</w:t>
      </w:r>
    </w:p>
    <w:p w14:paraId="11635B71"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14:paraId="2BB7BC9E" w14:textId="77777777" w:rsidR="00413980" w:rsidRPr="00AF75E7" w:rsidRDefault="00413980" w:rsidP="00413980">
      <w:pPr>
        <w:pStyle w:val="Section"/>
      </w:pPr>
      <w:bookmarkStart w:id="1690" w:name="_Toc224819042"/>
      <w:r w:rsidRPr="00AF75E7">
        <w:t>§413.</w:t>
      </w:r>
      <w:r w:rsidRPr="00AF75E7">
        <w:tab/>
        <w:t>Recordation Fees</w:t>
      </w:r>
      <w:bookmarkEnd w:id="1690"/>
    </w:p>
    <w:p w14:paraId="42CBC693" w14:textId="77777777" w:rsidR="00413980" w:rsidRPr="00AF75E7" w:rsidRDefault="00413980" w:rsidP="00413980">
      <w:pPr>
        <w:pStyle w:val="A"/>
      </w:pPr>
      <w:r w:rsidRPr="00AF75E7">
        <w:t>A.</w:t>
      </w:r>
      <w:r>
        <w:tab/>
      </w:r>
      <w:r w:rsidRPr="00AF75E7">
        <w:t>The fee schedule for brand and mark recordation is as follow</w:t>
      </w:r>
      <w:r>
        <w:t>s.</w:t>
      </w:r>
      <w:r w:rsidRPr="00AF75E7">
        <w:t xml:space="preserve"> </w:t>
      </w:r>
    </w:p>
    <w:p w14:paraId="1E8DD2B1" w14:textId="77777777" w:rsidR="00413980" w:rsidRPr="00AF75E7" w:rsidRDefault="00413980" w:rsidP="00413980">
      <w:pPr>
        <w:pStyle w:val="1"/>
      </w:pPr>
      <w:r w:rsidRPr="00AF75E7">
        <w:t>1.</w:t>
      </w:r>
      <w:r w:rsidRPr="00AF75E7">
        <w:tab/>
        <w:t xml:space="preserve">The fee for recording a brand or mark shall be $15. </w:t>
      </w:r>
    </w:p>
    <w:p w14:paraId="41D8893F" w14:textId="77777777" w:rsidR="00413980" w:rsidRPr="00AF75E7" w:rsidRDefault="00413980" w:rsidP="00413980">
      <w:pPr>
        <w:pStyle w:val="1"/>
      </w:pPr>
      <w:r w:rsidRPr="00AF75E7">
        <w:t>2.</w:t>
      </w:r>
      <w:r w:rsidRPr="00AF75E7">
        <w:tab/>
        <w:t>The fee for renewal of a brand or mark recordation shall be $10.</w:t>
      </w:r>
    </w:p>
    <w:p w14:paraId="2B161187" w14:textId="77777777" w:rsidR="00413980" w:rsidRPr="00AF75E7" w:rsidRDefault="00413980" w:rsidP="00413980">
      <w:pPr>
        <w:pStyle w:val="1"/>
      </w:pPr>
      <w:r w:rsidRPr="00AF75E7">
        <w:t>3.</w:t>
      </w:r>
      <w:r w:rsidRPr="00AF75E7">
        <w:tab/>
        <w:t>The fee for transfer of a recorded brand or mark shall be $10.</w:t>
      </w:r>
      <w:r>
        <w:t xml:space="preserve"> </w:t>
      </w:r>
    </w:p>
    <w:p w14:paraId="08AB2124" w14:textId="77777777" w:rsidR="00413980" w:rsidRPr="00AF75E7" w:rsidRDefault="00413980" w:rsidP="00413980">
      <w:pPr>
        <w:pStyle w:val="1"/>
      </w:pPr>
      <w:r w:rsidRPr="00AF75E7">
        <w:t>4.</w:t>
      </w:r>
      <w:r w:rsidRPr="00AF75E7">
        <w:tab/>
        <w:t xml:space="preserve">The fee for additional certified copies of a brand or mark recordation certificate shall be $6.50. </w:t>
      </w:r>
    </w:p>
    <w:p w14:paraId="2823254A" w14:textId="77777777" w:rsidR="00413980" w:rsidRPr="00AF75E7" w:rsidRDefault="00413980" w:rsidP="00413980">
      <w:pPr>
        <w:pStyle w:val="1"/>
      </w:pPr>
      <w:r w:rsidRPr="00AF75E7">
        <w:t>5.</w:t>
      </w:r>
      <w:r w:rsidRPr="00AF75E7">
        <w:tab/>
        <w:t>The fee for the lifetime recordation of a brand or mark shall be $75.</w:t>
      </w:r>
    </w:p>
    <w:p w14:paraId="675A5F19" w14:textId="77777777" w:rsidR="00413980" w:rsidRPr="00AF75E7" w:rsidRDefault="00413980" w:rsidP="00413980">
      <w:pPr>
        <w:pStyle w:val="1"/>
      </w:pPr>
      <w:r w:rsidRPr="00AF75E7">
        <w:t>6.</w:t>
      </w:r>
      <w:r w:rsidRPr="00AF75E7">
        <w:tab/>
        <w:t xml:space="preserve">There is no fee for a name change or change of address for a brand or mark recordation. </w:t>
      </w:r>
    </w:p>
    <w:p w14:paraId="10FF2C69" w14:textId="77777777" w:rsidR="00413980" w:rsidRPr="00AF75E7" w:rsidRDefault="00413980" w:rsidP="00413980">
      <w:pPr>
        <w:pStyle w:val="AuthorityNote"/>
      </w:pPr>
      <w:r w:rsidRPr="00AF75E7">
        <w:t>AUTHORITY NOTE:</w:t>
      </w:r>
      <w:r>
        <w:tab/>
      </w:r>
      <w:r w:rsidRPr="00AF75E7">
        <w:t>Promulgated in accordance with R.S. 3:736</w:t>
      </w:r>
      <w:r>
        <w:t>.</w:t>
      </w:r>
    </w:p>
    <w:p w14:paraId="285761F5"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14:paraId="3B55B51E" w14:textId="77777777" w:rsidR="00413980" w:rsidRPr="00AF75E7" w:rsidRDefault="00413980" w:rsidP="00413980">
      <w:pPr>
        <w:pStyle w:val="Section"/>
      </w:pPr>
      <w:bookmarkStart w:id="1691" w:name="_Toc224819043"/>
      <w:r w:rsidRPr="00AF75E7">
        <w:t>§415.</w:t>
      </w:r>
      <w:r w:rsidRPr="00AF75E7">
        <w:tab/>
        <w:t>Application Process</w:t>
      </w:r>
      <w:bookmarkEnd w:id="1691"/>
    </w:p>
    <w:p w14:paraId="621213D1" w14:textId="77777777" w:rsidR="00413980" w:rsidRPr="00AF75E7" w:rsidRDefault="00413980" w:rsidP="00413980">
      <w:pPr>
        <w:pStyle w:val="A"/>
      </w:pPr>
      <w:r w:rsidRPr="00AF75E7">
        <w:t>A.</w:t>
      </w:r>
      <w:r w:rsidRPr="00AF75E7">
        <w:tab/>
        <w:t xml:space="preserve">Prior to applying for recordation of a brand or mark, an applicant shall contact the </w:t>
      </w:r>
      <w:r>
        <w:t>department</w:t>
      </w:r>
      <w:r w:rsidRPr="00AF75E7">
        <w:t xml:space="preserve"> to determine if the desired brand or mark is available for recordation.</w:t>
      </w:r>
      <w:r>
        <w:t xml:space="preserve"> </w:t>
      </w:r>
    </w:p>
    <w:p w14:paraId="6A8F238C" w14:textId="77777777" w:rsidR="00413980" w:rsidRPr="00AF75E7" w:rsidRDefault="00413980" w:rsidP="00413980">
      <w:pPr>
        <w:pStyle w:val="A"/>
      </w:pPr>
      <w:r w:rsidRPr="00AF75E7">
        <w:lastRenderedPageBreak/>
        <w:t>B.</w:t>
      </w:r>
      <w:r w:rsidRPr="00AF75E7">
        <w:tab/>
        <w:t xml:space="preserve">Department staff will inspect current </w:t>
      </w:r>
      <w:r>
        <w:t>department</w:t>
      </w:r>
      <w:r w:rsidRPr="00AF75E7">
        <w:t xml:space="preserve"> records to determine if the requested brand or mark is available and will advise the applicant accordingly. </w:t>
      </w:r>
    </w:p>
    <w:p w14:paraId="10539DE9" w14:textId="77777777" w:rsidR="00413980" w:rsidRPr="00AF75E7" w:rsidRDefault="00413980" w:rsidP="00413980">
      <w:pPr>
        <w:pStyle w:val="A"/>
      </w:pPr>
      <w:r w:rsidRPr="00AF75E7">
        <w:t>C.</w:t>
      </w:r>
      <w:r w:rsidRPr="00AF75E7">
        <w:tab/>
        <w:t xml:space="preserve">If the desired brand or mark is available, the applicant shall submit a completed application on the form provided by the </w:t>
      </w:r>
      <w:r>
        <w:t>department</w:t>
      </w:r>
      <w:r w:rsidRPr="00AF75E7">
        <w:t>.</w:t>
      </w:r>
      <w:r>
        <w:t xml:space="preserve"> </w:t>
      </w:r>
      <w:r w:rsidRPr="00AF75E7">
        <w:t xml:space="preserve">The application shall include the following: </w:t>
      </w:r>
    </w:p>
    <w:p w14:paraId="72DDA445" w14:textId="77777777" w:rsidR="00413980" w:rsidRPr="00AF75E7" w:rsidRDefault="00413980" w:rsidP="00413980">
      <w:pPr>
        <w:pStyle w:val="1"/>
      </w:pPr>
      <w:r w:rsidRPr="00AF75E7">
        <w:t>1.</w:t>
      </w:r>
      <w:r w:rsidRPr="00AF75E7">
        <w:tab/>
        <w:t xml:space="preserve">the style, design, and size of the brand or mark; </w:t>
      </w:r>
    </w:p>
    <w:p w14:paraId="3BF3E6D9" w14:textId="77777777" w:rsidR="00413980" w:rsidRPr="00AF75E7" w:rsidRDefault="00413980" w:rsidP="00413980">
      <w:pPr>
        <w:pStyle w:val="1"/>
      </w:pPr>
      <w:r w:rsidRPr="00AF75E7">
        <w:t>2.</w:t>
      </w:r>
      <w:r w:rsidRPr="00AF75E7">
        <w:tab/>
        <w:t xml:space="preserve">a sketch of the design, drawn to the exact size and scale to be used, on the sketch form provided by the </w:t>
      </w:r>
      <w:r>
        <w:t>department</w:t>
      </w:r>
      <w:r w:rsidRPr="00AF75E7">
        <w:t>;</w:t>
      </w:r>
    </w:p>
    <w:p w14:paraId="16EBEF5F" w14:textId="77777777" w:rsidR="00413980" w:rsidRPr="00AF75E7" w:rsidRDefault="00413980" w:rsidP="00413980">
      <w:pPr>
        <w:pStyle w:val="1"/>
      </w:pPr>
      <w:r w:rsidRPr="00AF75E7">
        <w:t>3.</w:t>
      </w:r>
      <w:r w:rsidRPr="00AF75E7">
        <w:tab/>
        <w:t>the side of the animal(s) to which the desired brand or mark will be affixed (either left, right, or both left and right);</w:t>
      </w:r>
      <w:r>
        <w:t xml:space="preserve"> </w:t>
      </w:r>
      <w:r w:rsidRPr="00AF75E7">
        <w:t xml:space="preserve">and </w:t>
      </w:r>
    </w:p>
    <w:p w14:paraId="744ACF7F" w14:textId="77777777" w:rsidR="00413980" w:rsidRPr="00AF75E7" w:rsidRDefault="00413980" w:rsidP="00413980">
      <w:pPr>
        <w:pStyle w:val="1"/>
      </w:pPr>
      <w:r w:rsidRPr="00AF75E7">
        <w:t>4.</w:t>
      </w:r>
      <w:r w:rsidRPr="00AF75E7">
        <w:tab/>
        <w:t xml:space="preserve">the application fee for the type of registration desired. </w:t>
      </w:r>
    </w:p>
    <w:p w14:paraId="75073FFB" w14:textId="77777777" w:rsidR="00413980" w:rsidRPr="00AF75E7" w:rsidRDefault="00413980" w:rsidP="00413980">
      <w:pPr>
        <w:pStyle w:val="A"/>
      </w:pPr>
      <w:r w:rsidRPr="00AF75E7">
        <w:t>D.</w:t>
      </w:r>
      <w:r w:rsidRPr="00AF75E7">
        <w:tab/>
        <w:t>On the brand application, applicants may include alternative brand or mark designs to be used if the primary choice is not available.</w:t>
      </w:r>
      <w:r>
        <w:t xml:space="preserve"> </w:t>
      </w:r>
    </w:p>
    <w:p w14:paraId="322E8256" w14:textId="77777777" w:rsidR="00413980" w:rsidRPr="00AF75E7" w:rsidRDefault="00413980" w:rsidP="00413980">
      <w:pPr>
        <w:pStyle w:val="AuthorityNote"/>
      </w:pPr>
      <w:r w:rsidRPr="00AF75E7">
        <w:t>AUTHORITY NOTE:</w:t>
      </w:r>
      <w:r>
        <w:t xml:space="preserve"> </w:t>
      </w:r>
      <w:r w:rsidRPr="00AF75E7">
        <w:t>Promulgated in accordance with R.S. 3:736</w:t>
      </w:r>
      <w:r>
        <w:t>.</w:t>
      </w:r>
    </w:p>
    <w:p w14:paraId="3D4AE45A" w14:textId="77777777" w:rsidR="00413980" w:rsidRDefault="00413980" w:rsidP="00413980">
      <w:pPr>
        <w:pStyle w:val="HistoricalNote"/>
      </w:pPr>
      <w:r w:rsidRPr="00AF75E7">
        <w:t>HISTORICAL NOTE:</w:t>
      </w:r>
      <w:r>
        <w:t xml:space="preserve"> </w:t>
      </w:r>
      <w:r w:rsidRPr="00AF75E7">
        <w:t>Promulgated by the Department of Agriculture and Forestry, Office of Animal Health, Livestock Brand Commission, LR 48:</w:t>
      </w:r>
      <w:r>
        <w:t>392 (March 2022).</w:t>
      </w:r>
    </w:p>
    <w:p w14:paraId="7D2712A1" w14:textId="77777777" w:rsidR="00413980" w:rsidRPr="00AF75E7" w:rsidRDefault="00413980" w:rsidP="00413980">
      <w:pPr>
        <w:pStyle w:val="Section"/>
      </w:pPr>
      <w:bookmarkStart w:id="1692" w:name="_Toc224819044"/>
      <w:r w:rsidRPr="00AF75E7">
        <w:t>§417.</w:t>
      </w:r>
      <w:r w:rsidRPr="00AF75E7">
        <w:tab/>
        <w:t>Recordation of Brand Registration Process</w:t>
      </w:r>
      <w:bookmarkEnd w:id="1692"/>
    </w:p>
    <w:p w14:paraId="5F02A4B2" w14:textId="77777777" w:rsidR="00413980" w:rsidRPr="00AF75E7" w:rsidRDefault="00413980" w:rsidP="00413980">
      <w:pPr>
        <w:pStyle w:val="A"/>
      </w:pPr>
      <w:r w:rsidRPr="00AF75E7">
        <w:t>A.</w:t>
      </w:r>
      <w:r w:rsidRPr="00AF75E7">
        <w:tab/>
        <w:t xml:space="preserve">Upon receipt of a fully completed application form and fee, the </w:t>
      </w:r>
      <w:r>
        <w:t>department</w:t>
      </w:r>
      <w:r w:rsidRPr="00AF75E7">
        <w:t xml:space="preserve"> shall review the desired brand or mark to ensure the following: </w:t>
      </w:r>
    </w:p>
    <w:p w14:paraId="03752466" w14:textId="77777777" w:rsidR="00413980" w:rsidRPr="00AF75E7" w:rsidRDefault="00413980" w:rsidP="00413980">
      <w:pPr>
        <w:pStyle w:val="1"/>
      </w:pPr>
      <w:r w:rsidRPr="00AF75E7">
        <w:t>1.</w:t>
      </w:r>
      <w:r w:rsidRPr="00AF75E7">
        <w:tab/>
        <w:t xml:space="preserve">that the brand or mark is compliant with all requirements set forth in law and in this Chapter; </w:t>
      </w:r>
    </w:p>
    <w:p w14:paraId="40020777" w14:textId="77777777" w:rsidR="00413980" w:rsidRPr="00AF75E7" w:rsidRDefault="00413980" w:rsidP="00413980">
      <w:pPr>
        <w:pStyle w:val="1"/>
      </w:pPr>
      <w:r w:rsidRPr="00AF75E7">
        <w:t>2.</w:t>
      </w:r>
      <w:r w:rsidRPr="00AF75E7">
        <w:tab/>
        <w:t>that the brand or mark is not already recorded; and</w:t>
      </w:r>
    </w:p>
    <w:p w14:paraId="28E532BA" w14:textId="77777777" w:rsidR="00413980" w:rsidRPr="00AF75E7" w:rsidRDefault="00413980" w:rsidP="00413980">
      <w:pPr>
        <w:pStyle w:val="1"/>
      </w:pPr>
      <w:r w:rsidRPr="00AF75E7">
        <w:t>3.</w:t>
      </w:r>
      <w:r w:rsidRPr="00AF75E7">
        <w:tab/>
        <w:t xml:space="preserve">that the brand or mark is available. </w:t>
      </w:r>
    </w:p>
    <w:p w14:paraId="7BD7E2E2" w14:textId="77777777" w:rsidR="00413980" w:rsidRPr="00AF75E7" w:rsidRDefault="00413980" w:rsidP="00413980">
      <w:pPr>
        <w:pStyle w:val="A"/>
      </w:pPr>
      <w:r w:rsidRPr="00AF75E7">
        <w:t>B.</w:t>
      </w:r>
      <w:r w:rsidRPr="00AF75E7">
        <w:tab/>
        <w:t xml:space="preserve">If all the above requirements are met, then the </w:t>
      </w:r>
      <w:r>
        <w:t>department</w:t>
      </w:r>
      <w:r w:rsidRPr="00AF75E7">
        <w:t xml:space="preserve"> shall record the brand or mark to the applicant in the Official Brand Book of the </w:t>
      </w:r>
      <w:r>
        <w:t>s</w:t>
      </w:r>
      <w:r w:rsidRPr="00AF75E7">
        <w:t>tate of Louisiana.</w:t>
      </w:r>
    </w:p>
    <w:p w14:paraId="2427E5B9" w14:textId="77777777" w:rsidR="00413980" w:rsidRPr="00AF75E7" w:rsidRDefault="00413980" w:rsidP="00413980">
      <w:pPr>
        <w:pStyle w:val="A"/>
      </w:pPr>
      <w:r w:rsidRPr="00AF75E7">
        <w:t>C.</w:t>
      </w:r>
      <w:r w:rsidRPr="00AF75E7">
        <w:tab/>
        <w:t>Unless otherwise provided in this Chapter, such recordation shall be valid until the expiration date of the current brand recordation cycle, at which time the recordation must be timely renewed, otherwise the recordation will be considered abandoned and the brand or mark shall become available for recordation by other applicants.</w:t>
      </w:r>
    </w:p>
    <w:p w14:paraId="29A4BA28" w14:textId="77777777" w:rsidR="00413980" w:rsidRPr="00AF75E7" w:rsidRDefault="00413980" w:rsidP="00413980">
      <w:pPr>
        <w:pStyle w:val="A"/>
      </w:pPr>
      <w:r w:rsidRPr="00AF75E7">
        <w:t>D.</w:t>
      </w:r>
      <w:r w:rsidRPr="00AF75E7">
        <w:tab/>
        <w:t xml:space="preserve">Upon recordation of a brand or mark to an owner, the </w:t>
      </w:r>
      <w:r>
        <w:t>department</w:t>
      </w:r>
      <w:r w:rsidRPr="00AF75E7">
        <w:t xml:space="preserve"> shall issue a certified a copy of the recordation certificate to the owner. </w:t>
      </w:r>
    </w:p>
    <w:p w14:paraId="2F86631B" w14:textId="77777777" w:rsidR="00413980" w:rsidRPr="00AF75E7" w:rsidRDefault="00413980" w:rsidP="00413980">
      <w:pPr>
        <w:pStyle w:val="AuthorityNote"/>
      </w:pPr>
      <w:r w:rsidRPr="00AF75E7">
        <w:t>AUTHORITY NOTE:</w:t>
      </w:r>
      <w:r>
        <w:tab/>
      </w:r>
      <w:r w:rsidRPr="00AF75E7">
        <w:t>Promulgated in accordance with R.S. 3:736</w:t>
      </w:r>
      <w:r>
        <w:t>.</w:t>
      </w:r>
    </w:p>
    <w:p w14:paraId="5194BCBA"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14:paraId="52191512" w14:textId="77777777" w:rsidR="00413980" w:rsidRPr="00AF75E7" w:rsidRDefault="00413980" w:rsidP="00413980">
      <w:pPr>
        <w:pStyle w:val="Section"/>
      </w:pPr>
      <w:bookmarkStart w:id="1693" w:name="_Toc224819045"/>
      <w:r w:rsidRPr="00AF75E7">
        <w:t>§419.</w:t>
      </w:r>
      <w:r w:rsidRPr="00AF75E7">
        <w:tab/>
        <w:t>Transfer of Brand Registration; Name Change</w:t>
      </w:r>
      <w:bookmarkEnd w:id="1693"/>
    </w:p>
    <w:p w14:paraId="274A23CA" w14:textId="77777777" w:rsidR="00413980" w:rsidRPr="00AF75E7" w:rsidRDefault="00413980" w:rsidP="00413980">
      <w:pPr>
        <w:pStyle w:val="A"/>
      </w:pPr>
      <w:r w:rsidRPr="00AF75E7">
        <w:t>A.</w:t>
      </w:r>
      <w:r w:rsidRPr="00AF75E7">
        <w:tab/>
        <w:t xml:space="preserve">Brands or marks may be transferred from the current registered owner(s) to another person by sale, donation, assignment, or other act of transfer of movable property. </w:t>
      </w:r>
    </w:p>
    <w:p w14:paraId="624BC476" w14:textId="77777777" w:rsidR="00413980" w:rsidRPr="00AF75E7" w:rsidRDefault="00413980" w:rsidP="00413980">
      <w:pPr>
        <w:pStyle w:val="A"/>
      </w:pPr>
      <w:r w:rsidRPr="00AF75E7">
        <w:t>B.</w:t>
      </w:r>
      <w:r w:rsidRPr="00AF75E7">
        <w:tab/>
        <w:t xml:space="preserve">A completed request for transfer shall be submitted to the </w:t>
      </w:r>
      <w:r>
        <w:t>department</w:t>
      </w:r>
      <w:r w:rsidRPr="00AF75E7">
        <w:t xml:space="preserve"> and shall include the notarized signatures of all current owners, as stated on the current brand certificate.</w:t>
      </w:r>
    </w:p>
    <w:p w14:paraId="0FBCD908" w14:textId="77777777" w:rsidR="00413980" w:rsidRPr="00AF75E7" w:rsidRDefault="00413980" w:rsidP="00413980">
      <w:pPr>
        <w:pStyle w:val="A"/>
      </w:pPr>
      <w:r w:rsidRPr="00AF75E7">
        <w:t>C.</w:t>
      </w:r>
      <w:r w:rsidRPr="00AF75E7">
        <w:tab/>
        <w:t>If the registered owner of a brand is deceased, the brand may be transferred to the registered owner’s heir(s) or legatee(s) consistent with the deceased owner’s will and/or succession. In addition to the completed, notarized request for transfer form and appropriate fee, the following documents shall be submitted:</w:t>
      </w:r>
    </w:p>
    <w:p w14:paraId="5ADECC8A" w14:textId="77777777" w:rsidR="00413980" w:rsidRPr="00AF75E7" w:rsidRDefault="00413980" w:rsidP="00413980">
      <w:pPr>
        <w:pStyle w:val="1"/>
      </w:pPr>
      <w:r w:rsidRPr="00AF75E7">
        <w:t>1.</w:t>
      </w:r>
      <w:r w:rsidRPr="00AF75E7">
        <w:tab/>
        <w:t xml:space="preserve">a copy of the deceased registered brand owner’s death certificate; </w:t>
      </w:r>
    </w:p>
    <w:p w14:paraId="3059B2A9" w14:textId="77777777" w:rsidR="00413980" w:rsidRPr="00AF75E7" w:rsidRDefault="00413980" w:rsidP="00413980">
      <w:pPr>
        <w:pStyle w:val="1"/>
      </w:pPr>
      <w:r w:rsidRPr="00AF75E7">
        <w:t>2.</w:t>
      </w:r>
      <w:r w:rsidRPr="00AF75E7">
        <w:tab/>
        <w:t>a judgment of possession in the succession proceedings of the deceased registered brand or mark owner;</w:t>
      </w:r>
      <w:r>
        <w:t xml:space="preserve"> </w:t>
      </w:r>
    </w:p>
    <w:p w14:paraId="7C27BFC7" w14:textId="77777777" w:rsidR="00413980" w:rsidRPr="00AF75E7" w:rsidRDefault="00413980" w:rsidP="00413980">
      <w:pPr>
        <w:pStyle w:val="1"/>
      </w:pPr>
      <w:r w:rsidRPr="00AF75E7">
        <w:t>3.</w:t>
      </w:r>
      <w:r w:rsidRPr="00AF75E7">
        <w:tab/>
        <w:t>a copy of the deceased brand’s owner last will and testament, and</w:t>
      </w:r>
      <w:r>
        <w:t xml:space="preserve"> </w:t>
      </w:r>
    </w:p>
    <w:p w14:paraId="1BF532F3" w14:textId="77777777" w:rsidR="00413980" w:rsidRPr="00AF75E7" w:rsidRDefault="00413980" w:rsidP="00413980">
      <w:pPr>
        <w:pStyle w:val="1"/>
      </w:pPr>
      <w:r w:rsidRPr="00AF75E7">
        <w:t>4.</w:t>
      </w:r>
      <w:r w:rsidRPr="00AF75E7">
        <w:tab/>
        <w:t xml:space="preserve">any other documentation requested by the </w:t>
      </w:r>
      <w:r>
        <w:t>department</w:t>
      </w:r>
      <w:r w:rsidRPr="00AF75E7">
        <w:t xml:space="preserve">. </w:t>
      </w:r>
    </w:p>
    <w:p w14:paraId="28B05F48" w14:textId="77777777" w:rsidR="00413980" w:rsidRPr="00AF75E7" w:rsidRDefault="00413980" w:rsidP="00413980">
      <w:pPr>
        <w:pStyle w:val="A"/>
      </w:pPr>
      <w:r>
        <w:t>D.</w:t>
      </w:r>
      <w:r>
        <w:tab/>
      </w:r>
      <w:r w:rsidRPr="00AF75E7">
        <w:t>If the registered brand or mark owner’s name has legally changed, the brand or mark recordation may be changed to reflect the owner’s current legal name.</w:t>
      </w:r>
      <w:r>
        <w:t xml:space="preserve"> </w:t>
      </w:r>
      <w:r w:rsidRPr="00AF75E7">
        <w:t xml:space="preserve">In addition to the completed, notarized request for transfer form and appropriate fee, the following documents shall be submitted: </w:t>
      </w:r>
    </w:p>
    <w:p w14:paraId="1144202E" w14:textId="77777777" w:rsidR="00413980" w:rsidRPr="00AF75E7" w:rsidRDefault="00413980" w:rsidP="00413980">
      <w:pPr>
        <w:pStyle w:val="1"/>
      </w:pPr>
      <w:r w:rsidRPr="00AF75E7">
        <w:t>1.</w:t>
      </w:r>
      <w:r w:rsidRPr="00AF75E7">
        <w:tab/>
        <w:t xml:space="preserve">a copy of the owner’s state-issued identification, showing the owner’s current legal name; and </w:t>
      </w:r>
    </w:p>
    <w:p w14:paraId="7D934213" w14:textId="77777777" w:rsidR="00413980" w:rsidRPr="00AF75E7" w:rsidRDefault="00413980" w:rsidP="00413980">
      <w:pPr>
        <w:pStyle w:val="1"/>
      </w:pPr>
      <w:r w:rsidRPr="00AF75E7">
        <w:t>2.</w:t>
      </w:r>
      <w:r w:rsidRPr="00AF75E7">
        <w:tab/>
        <w:t>a copy of the legal documentation that officially changed the owner’s legal name, which may include, but is not limited, to the following:</w:t>
      </w:r>
    </w:p>
    <w:p w14:paraId="155ACA0B" w14:textId="77777777" w:rsidR="00413980" w:rsidRPr="00AF75E7" w:rsidRDefault="00413980" w:rsidP="00413980">
      <w:pPr>
        <w:pStyle w:val="a0"/>
      </w:pPr>
      <w:r w:rsidRPr="00AF75E7">
        <w:t>a.</w:t>
      </w:r>
      <w:r w:rsidRPr="00AF75E7">
        <w:tab/>
        <w:t xml:space="preserve">marriage license; </w:t>
      </w:r>
    </w:p>
    <w:p w14:paraId="5705B447" w14:textId="77777777" w:rsidR="00413980" w:rsidRPr="00AF75E7" w:rsidRDefault="00413980" w:rsidP="00413980">
      <w:pPr>
        <w:pStyle w:val="a0"/>
      </w:pPr>
      <w:r w:rsidRPr="00AF75E7">
        <w:t>b.</w:t>
      </w:r>
      <w:r w:rsidRPr="00AF75E7">
        <w:tab/>
        <w:t xml:space="preserve">judgment of divorce; </w:t>
      </w:r>
    </w:p>
    <w:p w14:paraId="10E1EF0C" w14:textId="77777777" w:rsidR="00413980" w:rsidRPr="00AF75E7" w:rsidRDefault="00413980" w:rsidP="00413980">
      <w:pPr>
        <w:pStyle w:val="a0"/>
      </w:pPr>
      <w:r w:rsidRPr="00AF75E7">
        <w:t>c.</w:t>
      </w:r>
      <w:r w:rsidRPr="00AF75E7">
        <w:tab/>
        <w:t xml:space="preserve">judgment of adoption; </w:t>
      </w:r>
    </w:p>
    <w:p w14:paraId="469C5E60" w14:textId="77777777" w:rsidR="00413980" w:rsidRPr="00AF75E7" w:rsidRDefault="00413980" w:rsidP="00413980">
      <w:pPr>
        <w:pStyle w:val="a0"/>
      </w:pPr>
      <w:r w:rsidRPr="00AF75E7">
        <w:t>d.</w:t>
      </w:r>
      <w:r w:rsidRPr="00AF75E7">
        <w:tab/>
        <w:t>legal name change; or</w:t>
      </w:r>
    </w:p>
    <w:p w14:paraId="77DD597F" w14:textId="77777777" w:rsidR="00413980" w:rsidRPr="00AF75E7" w:rsidRDefault="00413980" w:rsidP="00413980">
      <w:pPr>
        <w:pStyle w:val="a0"/>
      </w:pPr>
      <w:r w:rsidRPr="00AF75E7">
        <w:t>e.</w:t>
      </w:r>
      <w:r w:rsidRPr="00AF75E7">
        <w:tab/>
        <w:t xml:space="preserve">any other legal documentation that evidences a legal name change. </w:t>
      </w:r>
    </w:p>
    <w:p w14:paraId="01BF4810" w14:textId="77777777" w:rsidR="00413980" w:rsidRPr="00AF75E7" w:rsidRDefault="00413980" w:rsidP="00413980">
      <w:pPr>
        <w:pStyle w:val="AuthorityNote"/>
      </w:pPr>
      <w:r w:rsidRPr="00AF75E7">
        <w:t>AUTHORITY NOTE:</w:t>
      </w:r>
      <w:r>
        <w:tab/>
      </w:r>
      <w:r w:rsidRPr="00AF75E7">
        <w:t>Promulgated in accordance with R.S. 3:736</w:t>
      </w:r>
      <w:r>
        <w:t>.</w:t>
      </w:r>
    </w:p>
    <w:p w14:paraId="223C4915"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14:paraId="7DCC781B" w14:textId="77777777" w:rsidR="00413980" w:rsidRPr="00AF75E7" w:rsidRDefault="00413980" w:rsidP="00413980">
      <w:pPr>
        <w:pStyle w:val="Section"/>
      </w:pPr>
      <w:bookmarkStart w:id="1694" w:name="_Toc224819046"/>
      <w:r w:rsidRPr="00AF75E7">
        <w:t>§421.</w:t>
      </w:r>
      <w:r w:rsidRPr="00AF75E7">
        <w:tab/>
        <w:t>Violations</w:t>
      </w:r>
      <w:bookmarkEnd w:id="1694"/>
    </w:p>
    <w:p w14:paraId="28288D9C" w14:textId="77777777" w:rsidR="00413980" w:rsidRPr="00AF75E7" w:rsidRDefault="00413980" w:rsidP="00413980">
      <w:pPr>
        <w:pStyle w:val="A"/>
      </w:pPr>
      <w:r w:rsidRPr="00AF75E7">
        <w:t>A.</w:t>
      </w:r>
      <w:r w:rsidRPr="00AF75E7">
        <w:tab/>
        <w:t>The following shall constitute misuse of a brand or mark:</w:t>
      </w:r>
    </w:p>
    <w:p w14:paraId="36CD5F6E" w14:textId="77777777" w:rsidR="00413980" w:rsidRPr="00AF75E7" w:rsidRDefault="00413980" w:rsidP="00413980">
      <w:pPr>
        <w:pStyle w:val="1"/>
      </w:pPr>
      <w:r w:rsidRPr="00AF75E7">
        <w:t>1.</w:t>
      </w:r>
      <w:r w:rsidRPr="00AF75E7">
        <w:tab/>
        <w:t xml:space="preserve">using brand(s) or mark(s) that are not recorded with the </w:t>
      </w:r>
      <w:r>
        <w:t>department</w:t>
      </w:r>
      <w:r w:rsidRPr="00AF75E7">
        <w:t>;</w:t>
      </w:r>
    </w:p>
    <w:p w14:paraId="7FD2DCEB" w14:textId="77777777" w:rsidR="00413980" w:rsidRPr="00AF75E7" w:rsidRDefault="00413980" w:rsidP="00413980">
      <w:pPr>
        <w:pStyle w:val="1"/>
      </w:pPr>
      <w:r w:rsidRPr="00AF75E7">
        <w:t>2.</w:t>
      </w:r>
      <w:r w:rsidRPr="00AF75E7">
        <w:tab/>
        <w:t>using brand(s) or mark(s) that are recorded and registered to another person;</w:t>
      </w:r>
    </w:p>
    <w:p w14:paraId="57721B08" w14:textId="77777777" w:rsidR="00413980" w:rsidRPr="00AF75E7" w:rsidRDefault="00413980" w:rsidP="00413980">
      <w:pPr>
        <w:pStyle w:val="1"/>
      </w:pPr>
      <w:r w:rsidRPr="00AF75E7">
        <w:t>3.</w:t>
      </w:r>
      <w:r w:rsidRPr="00AF75E7">
        <w:tab/>
        <w:t>intentionally or knowingly using brand(s) or mark(s) on the animal(s) of another person;</w:t>
      </w:r>
    </w:p>
    <w:p w14:paraId="4F83DEE4" w14:textId="77777777" w:rsidR="00413980" w:rsidRPr="00AF75E7" w:rsidRDefault="00413980" w:rsidP="00413980">
      <w:pPr>
        <w:pStyle w:val="1"/>
      </w:pPr>
      <w:r w:rsidRPr="00AF75E7">
        <w:t>4.</w:t>
      </w:r>
      <w:r w:rsidRPr="00AF75E7">
        <w:tab/>
        <w:t>intentionally or knowingly obliterating, altering, modifying, defacing, or otherwise changing the brand(s) or mark(s) on the animal(s) of another person;</w:t>
      </w:r>
      <w:r>
        <w:t xml:space="preserve"> </w:t>
      </w:r>
      <w:r w:rsidRPr="00AF75E7">
        <w:t xml:space="preserve">or </w:t>
      </w:r>
    </w:p>
    <w:p w14:paraId="110ABAA1" w14:textId="77777777" w:rsidR="00413980" w:rsidRPr="00AF75E7" w:rsidRDefault="00413980" w:rsidP="00413980">
      <w:pPr>
        <w:pStyle w:val="1"/>
      </w:pPr>
      <w:r w:rsidRPr="00AF75E7">
        <w:lastRenderedPageBreak/>
        <w:t>5.</w:t>
      </w:r>
      <w:r w:rsidRPr="00AF75E7">
        <w:tab/>
        <w:t xml:space="preserve">any other violation of R.S. 3:731 et seq., or this Chapter. </w:t>
      </w:r>
    </w:p>
    <w:p w14:paraId="63A6783F" w14:textId="77777777" w:rsidR="00413980" w:rsidRPr="00AF75E7" w:rsidRDefault="00413980" w:rsidP="00413980">
      <w:pPr>
        <w:pStyle w:val="AuthorityNote"/>
      </w:pPr>
      <w:r w:rsidRPr="00AF75E7">
        <w:t>AUTHORITY NOTE:</w:t>
      </w:r>
      <w:r>
        <w:tab/>
      </w:r>
      <w:r w:rsidRPr="00AF75E7">
        <w:t>Promulgated in accordance with R.S. 3:736</w:t>
      </w:r>
      <w:r>
        <w:t>.</w:t>
      </w:r>
    </w:p>
    <w:p w14:paraId="045FE6DA"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14:paraId="6E27E420" w14:textId="77777777" w:rsidR="00413980" w:rsidRPr="00AF75E7" w:rsidRDefault="00413980" w:rsidP="00413980">
      <w:pPr>
        <w:pStyle w:val="Section"/>
      </w:pPr>
      <w:bookmarkStart w:id="1695" w:name="_Toc224819047"/>
      <w:r w:rsidRPr="00AF75E7">
        <w:t>§423.</w:t>
      </w:r>
      <w:r w:rsidRPr="00AF75E7">
        <w:tab/>
        <w:t>Investigation</w:t>
      </w:r>
      <w:bookmarkEnd w:id="1695"/>
      <w:r w:rsidRPr="00AF75E7">
        <w:t xml:space="preserve"> </w:t>
      </w:r>
    </w:p>
    <w:p w14:paraId="0B67A2E7" w14:textId="77777777" w:rsidR="00413980" w:rsidRPr="00AF75E7" w:rsidRDefault="00413980" w:rsidP="00413980">
      <w:pPr>
        <w:pStyle w:val="A"/>
      </w:pPr>
      <w:r w:rsidRPr="00AF75E7">
        <w:t>A.</w:t>
      </w:r>
      <w:r w:rsidRPr="00AF75E7">
        <w:tab/>
        <w:t xml:space="preserve">When there is a reason to believe that a violation of any provision of R.S. 3:731 et seq. or this Chapter has occurred, the </w:t>
      </w:r>
      <w:r>
        <w:t>department</w:t>
      </w:r>
      <w:r w:rsidRPr="00AF75E7">
        <w:t xml:space="preserve"> may conduct an investigation to gather information regarding any possible violation. </w:t>
      </w:r>
    </w:p>
    <w:p w14:paraId="21E13463" w14:textId="77777777" w:rsidR="00413980" w:rsidRPr="00AF75E7" w:rsidRDefault="00413980" w:rsidP="00413980">
      <w:pPr>
        <w:pStyle w:val="AuthorityNote"/>
      </w:pPr>
      <w:r w:rsidRPr="00AF75E7">
        <w:t>AUTHORITY NOTE:</w:t>
      </w:r>
      <w:r>
        <w:tab/>
      </w:r>
      <w:r w:rsidRPr="00AF75E7">
        <w:t>Promulgated in accordance with R.S. 3:736</w:t>
      </w:r>
      <w:r>
        <w:t>.</w:t>
      </w:r>
    </w:p>
    <w:p w14:paraId="57A383D8" w14:textId="77777777"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14:paraId="3705D30E" w14:textId="77777777" w:rsidR="00413980" w:rsidRPr="00AF75E7" w:rsidRDefault="00413980" w:rsidP="00413980">
      <w:pPr>
        <w:pStyle w:val="Section"/>
      </w:pPr>
      <w:bookmarkStart w:id="1696" w:name="_Toc224819048"/>
      <w:r w:rsidRPr="00AF75E7">
        <w:t>§425.</w:t>
      </w:r>
      <w:r w:rsidRPr="00AF75E7">
        <w:tab/>
        <w:t>Adjudicatory Hearing</w:t>
      </w:r>
      <w:bookmarkEnd w:id="1696"/>
    </w:p>
    <w:p w14:paraId="757E94E7" w14:textId="77777777" w:rsidR="00413980" w:rsidRPr="00AF75E7" w:rsidRDefault="00413980" w:rsidP="00413980">
      <w:pPr>
        <w:pStyle w:val="A"/>
      </w:pPr>
      <w:r w:rsidRPr="00AF75E7">
        <w:t>A.</w:t>
      </w:r>
      <w:r>
        <w:tab/>
      </w:r>
      <w:r w:rsidRPr="00AF75E7">
        <w:t xml:space="preserve">If, after an investigation has been conducted, the </w:t>
      </w:r>
      <w:r>
        <w:t>department</w:t>
      </w:r>
      <w:r w:rsidRPr="00AF75E7">
        <w:t xml:space="preserve"> believes that a recorded brand or mark has been misused, or that the provisions of this Chapter or R.S. 3:731 et seq., have been violated, the </w:t>
      </w:r>
      <w:r>
        <w:t>commission</w:t>
      </w:r>
      <w:r w:rsidRPr="00AF75E7">
        <w:t xml:space="preserve"> shall conduct an adjudicatory hearing in accordance with the Administrative Procedure Act in order to determine whether to impose civil penalties or take other action pursuant to R.S. 3:731 et seq.</w:t>
      </w:r>
      <w:r>
        <w:t xml:space="preserve"> </w:t>
      </w:r>
    </w:p>
    <w:p w14:paraId="14235370" w14:textId="77777777" w:rsidR="00413980" w:rsidRPr="00AF75E7" w:rsidRDefault="00413980" w:rsidP="00413980">
      <w:pPr>
        <w:pStyle w:val="A"/>
      </w:pPr>
      <w:r w:rsidRPr="00AF75E7">
        <w:t>B.</w:t>
      </w:r>
      <w:r w:rsidRPr="00AF75E7">
        <w:tab/>
        <w:t xml:space="preserve">The </w:t>
      </w:r>
      <w:r>
        <w:t>department</w:t>
      </w:r>
      <w:r w:rsidRPr="00AF75E7">
        <w:t xml:space="preserve"> shall notify the person(s) believed to have committed violation(s) of the alleged violation(s) as well as an opportunity to respond thereto, by certified mail, prior to any scheduled hearing date. </w:t>
      </w:r>
    </w:p>
    <w:p w14:paraId="2A44AA5C" w14:textId="77777777" w:rsidR="00413980" w:rsidRPr="00AF75E7" w:rsidRDefault="00413980" w:rsidP="00413980">
      <w:pPr>
        <w:pStyle w:val="A"/>
      </w:pPr>
      <w:r w:rsidRPr="00AF75E7">
        <w:t>C.</w:t>
      </w:r>
      <w:r w:rsidRPr="00AF75E7">
        <w:tab/>
        <w:t>No penalty may be assessed prior to the holding of an adjudicatory hearing before the commission. Such adjudicatory hearing shall be conducted in accordance with the requirements of the Administrative Procedure Act; any person alleged to have violated any provision of R.S. 3:1461 et seq</w:t>
      </w:r>
      <w:r w:rsidRPr="00AF75E7">
        <w:rPr>
          <w:i/>
        </w:rPr>
        <w:t>.</w:t>
      </w:r>
      <w:r w:rsidRPr="00AF75E7">
        <w:t xml:space="preserve"> or this Chapter shall be accorded all rights and privileges under said Act.</w:t>
      </w:r>
    </w:p>
    <w:p w14:paraId="27484784" w14:textId="77777777" w:rsidR="00413980" w:rsidRPr="00AF75E7" w:rsidRDefault="00413980" w:rsidP="00413980">
      <w:pPr>
        <w:pStyle w:val="AuthorityNote"/>
      </w:pPr>
      <w:r w:rsidRPr="00AF75E7">
        <w:t>AUTHORITY NOTE:</w:t>
      </w:r>
      <w:r>
        <w:tab/>
      </w:r>
      <w:r w:rsidRPr="00AF75E7">
        <w:t>Promulgated in accordance with R.S. 3:736</w:t>
      </w:r>
      <w:r>
        <w:t>.</w:t>
      </w:r>
    </w:p>
    <w:p w14:paraId="1AEC605B" w14:textId="77777777" w:rsidR="00413980" w:rsidRPr="00A1145E"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14:paraId="79394EE2" w14:textId="77777777" w:rsidR="005A46E7" w:rsidRPr="00A1145E" w:rsidRDefault="005A46E7" w:rsidP="005A46E7">
      <w:pPr>
        <w:pStyle w:val="Chapter"/>
      </w:pPr>
      <w:bookmarkStart w:id="1697" w:name="_Toc224819049"/>
      <w:r w:rsidRPr="00A1145E">
        <w:t>Chapter 5.</w:t>
      </w:r>
      <w:r w:rsidRPr="00A1145E">
        <w:tab/>
        <w:t>Entry Requirements to admit Animals into this State and into Events</w:t>
      </w:r>
      <w:bookmarkEnd w:id="1697"/>
    </w:p>
    <w:p w14:paraId="26942D6A" w14:textId="77777777" w:rsidR="005A46E7" w:rsidRPr="00A1145E" w:rsidRDefault="005A46E7" w:rsidP="005A46E7">
      <w:pPr>
        <w:pStyle w:val="Chapter"/>
      </w:pPr>
      <w:bookmarkStart w:id="1698" w:name="_Toc224819050"/>
      <w:r w:rsidRPr="00A1145E">
        <w:t>Subchapter A.</w:t>
      </w:r>
      <w:r w:rsidRPr="00A1145E">
        <w:tab/>
        <w:t>General Entry Requirements</w:t>
      </w:r>
      <w:bookmarkEnd w:id="1698"/>
    </w:p>
    <w:p w14:paraId="1D9EF1FC" w14:textId="77777777" w:rsidR="005A46E7" w:rsidRPr="00A1145E" w:rsidRDefault="005A46E7" w:rsidP="005A46E7">
      <w:pPr>
        <w:pStyle w:val="Section"/>
      </w:pPr>
      <w:bookmarkStart w:id="1699" w:name="_Toc256754684"/>
      <w:bookmarkStart w:id="1700" w:name="_Toc375025468"/>
      <w:bookmarkStart w:id="1701" w:name="_Toc224819051"/>
      <w:r w:rsidRPr="00A1145E">
        <w:t>§501.</w:t>
      </w:r>
      <w:r w:rsidRPr="00A1145E">
        <w:tab/>
        <w:t>General Health Requirements Governing Admission of Livestock and Poultry</w:t>
      </w:r>
      <w:bookmarkEnd w:id="1699"/>
      <w:bookmarkEnd w:id="1700"/>
      <w:r>
        <w:br/>
        <w:t>(</w:t>
      </w:r>
      <w:r w:rsidRPr="00A1145E">
        <w:t>Formerly §107</w:t>
      </w:r>
      <w:r>
        <w:t>)</w:t>
      </w:r>
      <w:bookmarkEnd w:id="1701"/>
    </w:p>
    <w:p w14:paraId="75B6060B" w14:textId="77777777" w:rsidR="005A46E7" w:rsidRPr="00A1145E" w:rsidRDefault="005A46E7" w:rsidP="005A46E7">
      <w:pPr>
        <w:pStyle w:val="A"/>
      </w:pPr>
      <w:r w:rsidRPr="00A1145E">
        <w:t>A.</w:t>
      </w:r>
      <w:r w:rsidRPr="00A1145E">
        <w:tab/>
        <w:t xml:space="preserve">All livestock brought into the state shall be accompanied by an official health certificate stating that the animals are healthy, free from signs of infectious or contagious diseases and signs of internal and/or external </w:t>
      </w:r>
      <w:r w:rsidRPr="00A1145E">
        <w:t>parasites, and meet the specific requirements stated in this regulation. Health certificates are valid for 30 days only. Livestock consigned to an approved slaughter establishment or an approved livestock auction market are exempt from this requirement. No livestock affected with, or carrying the contagion of, screwworms shall be moved into Louisiana for any purpose.</w:t>
      </w:r>
    </w:p>
    <w:p w14:paraId="6312C85C" w14:textId="77777777" w:rsidR="005A46E7" w:rsidRPr="00A1145E" w:rsidRDefault="005A46E7" w:rsidP="005A46E7">
      <w:pPr>
        <w:pStyle w:val="AuthorityNote"/>
      </w:pPr>
      <w:r w:rsidRPr="00A1145E">
        <w:t>AUTHORITY NOTE:</w:t>
      </w:r>
      <w:r w:rsidRPr="00A1145E">
        <w:tab/>
        <w:t>Promulgated in accordance with R.S. 3:2093.</w:t>
      </w:r>
    </w:p>
    <w:p w14:paraId="629D4EB5"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14:paraId="47E15510" w14:textId="77777777" w:rsidR="005A46E7" w:rsidRPr="00A1145E" w:rsidRDefault="005A46E7" w:rsidP="005A46E7">
      <w:pPr>
        <w:pStyle w:val="Section"/>
      </w:pPr>
      <w:bookmarkStart w:id="1702" w:name="_Toc256754685"/>
      <w:bookmarkStart w:id="1703" w:name="_Toc375025469"/>
      <w:bookmarkStart w:id="1704" w:name="_Toc224819052"/>
      <w:r w:rsidRPr="00A1145E">
        <w:t>§503.</w:t>
      </w:r>
      <w:r w:rsidRPr="00A1145E">
        <w:tab/>
        <w:t>Admittance of Livestock to Fairs, Livestock Shows, Breeders' Association Sales, Rodeos and Racetracks</w:t>
      </w:r>
      <w:bookmarkEnd w:id="1702"/>
      <w:bookmarkEnd w:id="1703"/>
      <w:r>
        <w:br/>
        <w:t>(</w:t>
      </w:r>
      <w:r w:rsidRPr="00A1145E">
        <w:t>Formerly §109</w:t>
      </w:r>
      <w:r>
        <w:t>)</w:t>
      </w:r>
      <w:bookmarkEnd w:id="1704"/>
    </w:p>
    <w:p w14:paraId="2A892274" w14:textId="77777777" w:rsidR="005A46E7" w:rsidRPr="00A1145E" w:rsidRDefault="005A46E7" w:rsidP="005A46E7">
      <w:pPr>
        <w:pStyle w:val="A"/>
      </w:pPr>
      <w:r w:rsidRPr="00A1145E">
        <w:t>A.</w:t>
      </w:r>
      <w:r w:rsidRPr="00A1145E">
        <w:tab/>
        <w:t>All interstate movements of livestock consigned to Louisiana fairs, livestock shows, breeders' association sales, rodeos and racetracks must meet federal interstate requirements and the requirements of §501.</w:t>
      </w:r>
    </w:p>
    <w:p w14:paraId="69FB753C" w14:textId="77777777" w:rsidR="005A46E7" w:rsidRPr="00A1145E" w:rsidRDefault="005A46E7" w:rsidP="005A46E7">
      <w:pPr>
        <w:pStyle w:val="A"/>
      </w:pPr>
      <w:r w:rsidRPr="00A1145E">
        <w:t>B.</w:t>
      </w:r>
      <w:r w:rsidRPr="00A1145E">
        <w:tab/>
        <w:t>All livestock to be admitted to fair grounds, livestock show grounds, breeders' association sale grounds, rodeos or racetracks must be accompanied by an official health certificate, issued by an accredited veterinarian, asserting that the animals are showing no evidence of infectious, contagious or parasitic disease and are apparently healthy and have met all the specific requirements of this regulation. However, horses not congregated overnight are exempt from being accompanied by a health certificate, but must meet the requirements as stipulated in equine requirements §523.</w:t>
      </w:r>
    </w:p>
    <w:p w14:paraId="6ECD685E" w14:textId="77777777" w:rsidR="005A46E7" w:rsidRPr="00A1145E" w:rsidRDefault="005A46E7" w:rsidP="005A46E7">
      <w:pPr>
        <w:pStyle w:val="A"/>
      </w:pPr>
      <w:r w:rsidRPr="00A1145E">
        <w:t>C.</w:t>
      </w:r>
      <w:r w:rsidRPr="00A1145E">
        <w:tab/>
        <w:t>Upon inspection, all livestock revealing symptoms of infectious, contagious or parasitic diseases, including external parasites such as mange mites, lice, etc., shall (at the discretion of the board's representative) be either separated and held in isolation or removed from the fair ground, livestock show grounds, breeders' association sale grounds, rodeos or racetracks and returned to the owner's premises under quarantine.</w:t>
      </w:r>
    </w:p>
    <w:p w14:paraId="5929DBBA" w14:textId="77777777" w:rsidR="005A46E7" w:rsidRPr="00A1145E" w:rsidRDefault="005A46E7" w:rsidP="005A46E7">
      <w:pPr>
        <w:pStyle w:val="AuthorityNote"/>
      </w:pPr>
      <w:r w:rsidRPr="00A1145E">
        <w:t>AUTHORITY NOTE:</w:t>
      </w:r>
      <w:r w:rsidRPr="00A1145E">
        <w:tab/>
        <w:t>Promulgated in accordance with R.S. 3:2093.</w:t>
      </w:r>
    </w:p>
    <w:p w14:paraId="35DF58E5"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11:233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14:paraId="5462195D" w14:textId="77777777" w:rsidR="005A46E7" w:rsidRPr="00A1145E" w:rsidRDefault="005A46E7" w:rsidP="005A46E7">
      <w:pPr>
        <w:pStyle w:val="Section"/>
      </w:pPr>
      <w:bookmarkStart w:id="1705" w:name="_Toc388358230"/>
      <w:bookmarkStart w:id="1706" w:name="_Toc396115132"/>
      <w:bookmarkStart w:id="1707" w:name="_Toc411855523"/>
      <w:bookmarkStart w:id="1708" w:name="_Toc419795725"/>
      <w:bookmarkStart w:id="1709" w:name="_Toc427737113"/>
      <w:bookmarkStart w:id="1710" w:name="_Toc438546915"/>
      <w:bookmarkStart w:id="1711" w:name="_Toc446326902"/>
      <w:bookmarkStart w:id="1712" w:name="_Toc448825092"/>
      <w:bookmarkStart w:id="1713" w:name="_Toc451506136"/>
      <w:bookmarkStart w:id="1714" w:name="_Toc462212559"/>
      <w:bookmarkStart w:id="1715" w:name="_Toc468096479"/>
      <w:bookmarkStart w:id="1716" w:name="_Toc477853944"/>
      <w:bookmarkStart w:id="1717" w:name="_Toc488735888"/>
      <w:bookmarkStart w:id="1718" w:name="_Toc491176705"/>
      <w:bookmarkStart w:id="1719" w:name="_Toc509393628"/>
      <w:bookmarkStart w:id="1720" w:name="_Toc525114797"/>
      <w:bookmarkStart w:id="1721" w:name="_Toc535997194"/>
      <w:bookmarkStart w:id="1722" w:name="_Toc224819053"/>
      <w:r w:rsidRPr="00A1145E">
        <w:lastRenderedPageBreak/>
        <w:t>§§505</w:t>
      </w:r>
      <w:r>
        <w:t>-509.</w:t>
      </w:r>
      <w:r>
        <w:tab/>
        <w:t>Reserved.</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5273EC43" w14:textId="77777777" w:rsidR="005A46E7" w:rsidRPr="00A1145E" w:rsidRDefault="005A46E7" w:rsidP="005A46E7">
      <w:pPr>
        <w:pStyle w:val="Chapter"/>
      </w:pPr>
      <w:bookmarkStart w:id="1723" w:name="_Toc224819054"/>
      <w:r w:rsidRPr="00A1145E">
        <w:t>Subchapter B.</w:t>
      </w:r>
      <w:r w:rsidRPr="00A1145E">
        <w:tab/>
        <w:t>Specific Entry Requirements for Cattle, Bison, and other Bovines</w:t>
      </w:r>
      <w:bookmarkEnd w:id="1723"/>
      <w:r w:rsidRPr="00A1145E">
        <w:t xml:space="preserve"> </w:t>
      </w:r>
    </w:p>
    <w:p w14:paraId="443B9A42" w14:textId="77777777" w:rsidR="005A46E7" w:rsidRPr="00A1145E" w:rsidRDefault="005A46E7" w:rsidP="005A46E7">
      <w:pPr>
        <w:pStyle w:val="Section"/>
      </w:pPr>
      <w:bookmarkStart w:id="1724" w:name="_Toc256754699"/>
      <w:bookmarkStart w:id="1725" w:name="_Toc375025483"/>
      <w:bookmarkStart w:id="1726" w:name="_Toc224819055"/>
      <w:r w:rsidRPr="00A1145E">
        <w:t>§511.</w:t>
      </w:r>
      <w:r w:rsidRPr="00A1145E">
        <w:tab/>
        <w:t>Admission of Cattle into Louisiana</w:t>
      </w:r>
      <w:bookmarkEnd w:id="1724"/>
      <w:bookmarkEnd w:id="1725"/>
      <w:r>
        <w:br/>
        <w:t>(</w:t>
      </w:r>
      <w:r w:rsidRPr="00A1145E">
        <w:t>Formerly §301</w:t>
      </w:r>
      <w:r>
        <w:t>)</w:t>
      </w:r>
      <w:bookmarkEnd w:id="1726"/>
    </w:p>
    <w:p w14:paraId="3D99C09A" w14:textId="77777777" w:rsidR="005A46E7" w:rsidRPr="00A1145E" w:rsidRDefault="005A46E7" w:rsidP="005A46E7">
      <w:pPr>
        <w:pStyle w:val="A"/>
      </w:pPr>
      <w:r w:rsidRPr="00A1145E">
        <w:t>A.</w:t>
      </w:r>
      <w:r w:rsidRPr="00A1145E">
        <w:tab/>
        <w:t>All cattle entering the state must meet the general requirements of §501 and the following specific requirements.</w:t>
      </w:r>
    </w:p>
    <w:p w14:paraId="4E7E99A1" w14:textId="77777777" w:rsidR="005A46E7" w:rsidRPr="00A1145E" w:rsidRDefault="005A46E7" w:rsidP="005A46E7">
      <w:pPr>
        <w:pStyle w:val="1"/>
      </w:pPr>
      <w:r w:rsidRPr="00A1145E">
        <w:t>1.</w:t>
      </w:r>
      <w:r w:rsidRPr="00A1145E">
        <w:tab/>
        <w:t>Tuberculosis Requirements. All cattle over one year of age must show a negative test for tuberculosis within 30 days prior to entry. The date and results of the test and the individual identification of each animal must be recorded on the health certificate. The following are exempt from this requirement:</w:t>
      </w:r>
    </w:p>
    <w:p w14:paraId="69D88C7A" w14:textId="77777777" w:rsidR="005A46E7" w:rsidRPr="00A1145E" w:rsidRDefault="005A46E7" w:rsidP="005A46E7">
      <w:pPr>
        <w:pStyle w:val="a0"/>
      </w:pPr>
      <w:r w:rsidRPr="00A1145E">
        <w:t>a.</w:t>
      </w:r>
      <w:r w:rsidRPr="00A1145E">
        <w:tab/>
        <w:t>cattle that originate from a tuberculosis free accredited herd; however, they must be individually identified and the accredited herd number furnished on the health certificate;</w:t>
      </w:r>
    </w:p>
    <w:p w14:paraId="3392201A" w14:textId="77777777" w:rsidR="005A46E7" w:rsidRPr="00A1145E" w:rsidRDefault="005A46E7" w:rsidP="005A46E7">
      <w:pPr>
        <w:pStyle w:val="a0"/>
      </w:pPr>
      <w:r w:rsidRPr="00A1145E">
        <w:t>b.</w:t>
      </w:r>
      <w:r w:rsidRPr="00A1145E">
        <w:tab/>
        <w:t>beef cattle that originate from a tuberculosis free state or from a herd, not under quarantine, in a modified accredited tuberculosis free state or area;</w:t>
      </w:r>
    </w:p>
    <w:p w14:paraId="07E661FC" w14:textId="77777777" w:rsidR="005A46E7" w:rsidRPr="00A1145E" w:rsidRDefault="005A46E7" w:rsidP="005A46E7">
      <w:pPr>
        <w:pStyle w:val="a0"/>
      </w:pPr>
      <w:r w:rsidRPr="00A1145E">
        <w:t>c.</w:t>
      </w:r>
      <w:r w:rsidRPr="00A1145E">
        <w:tab/>
        <w:t>cattle consigned to a recognized slaughter establishment or to an approved livestock auction market to be sold directly for immediate slaughter only.</w:t>
      </w:r>
    </w:p>
    <w:p w14:paraId="2C49C08A" w14:textId="77777777" w:rsidR="005A46E7" w:rsidRPr="00A1145E" w:rsidRDefault="005A46E7" w:rsidP="005A46E7">
      <w:pPr>
        <w:pStyle w:val="1"/>
      </w:pPr>
      <w:r w:rsidRPr="00A1145E">
        <w:t>2.</w:t>
      </w:r>
      <w:r w:rsidRPr="00A1145E">
        <w:tab/>
      </w:r>
      <w:r w:rsidRPr="002248D5">
        <w:rPr>
          <w:i/>
        </w:rPr>
        <w:t>Brucellosis</w:t>
      </w:r>
    </w:p>
    <w:p w14:paraId="246C2642" w14:textId="77777777" w:rsidR="005A46E7" w:rsidRPr="00A1145E" w:rsidRDefault="005A46E7" w:rsidP="005A46E7">
      <w:pPr>
        <w:pStyle w:val="a0"/>
      </w:pPr>
      <w:r w:rsidRPr="00A1145E">
        <w:t>a.</w:t>
      </w:r>
      <w:r w:rsidRPr="00A1145E">
        <w:tab/>
        <w:t xml:space="preserve">In addition to the above requirements, cattle entering Louisiana must meet the </w:t>
      </w:r>
      <w:r w:rsidRPr="002248D5">
        <w:rPr>
          <w:i/>
        </w:rPr>
        <w:t>Brucellosis</w:t>
      </w:r>
      <w:r w:rsidRPr="00A1145E">
        <w:t xml:space="preserve"> requirements found in part 78 of the </w:t>
      </w:r>
      <w:r w:rsidRPr="00A1145E">
        <w:rPr>
          <w:i/>
          <w:iCs/>
        </w:rPr>
        <w:t>Code of Federal Regulations</w:t>
      </w:r>
      <w:r w:rsidRPr="00A1145E">
        <w:t>.</w:t>
      </w:r>
    </w:p>
    <w:p w14:paraId="64046753" w14:textId="77777777" w:rsidR="005A46E7" w:rsidRPr="00A1145E" w:rsidRDefault="005A46E7" w:rsidP="005A46E7">
      <w:pPr>
        <w:pStyle w:val="a0"/>
      </w:pPr>
      <w:r w:rsidRPr="00A1145E">
        <w:t>b.</w:t>
      </w:r>
      <w:r w:rsidRPr="00A1145E">
        <w:tab/>
        <w:t xml:space="preserve">No cattle from </w:t>
      </w:r>
      <w:r w:rsidRPr="002248D5">
        <w:rPr>
          <w:i/>
        </w:rPr>
        <w:t>Brucellosis</w:t>
      </w:r>
      <w:r w:rsidRPr="00A1145E">
        <w:t xml:space="preserve"> quarantined herds may move into Louisiana except those cattle moving to an approved livestock auction market or to an approved slaughter establishment and accompanied by the required federal form VS 1-27.</w:t>
      </w:r>
    </w:p>
    <w:p w14:paraId="17FCC195" w14:textId="77777777" w:rsidR="005A46E7" w:rsidRPr="00A1145E" w:rsidRDefault="005A46E7" w:rsidP="005A46E7">
      <w:pPr>
        <w:pStyle w:val="a0"/>
      </w:pPr>
      <w:r w:rsidRPr="00A1145E">
        <w:t>c.</w:t>
      </w:r>
      <w:r w:rsidRPr="00A1145E">
        <w:tab/>
        <w:t>In addition to the requirements of §511.</w:t>
      </w:r>
      <w:r>
        <w:t>A.</w:t>
      </w:r>
      <w:r w:rsidRPr="00A1145E">
        <w:t>2.a, cattle must meet the following requirements.</w:t>
      </w:r>
    </w:p>
    <w:p w14:paraId="569B3038" w14:textId="77777777" w:rsidR="005A46E7" w:rsidRPr="00A1145E" w:rsidRDefault="005A46E7" w:rsidP="005A46E7">
      <w:pPr>
        <w:pStyle w:val="i0"/>
      </w:pPr>
      <w:r>
        <w:tab/>
      </w:r>
      <w:r w:rsidRPr="00A1145E">
        <w:t>i.</w:t>
      </w:r>
      <w:r w:rsidRPr="00A1145E">
        <w:tab/>
        <w:t xml:space="preserve">Heifers between the ages of 4 and 12 months of age must be official </w:t>
      </w:r>
      <w:r w:rsidRPr="002248D5">
        <w:rPr>
          <w:i/>
        </w:rPr>
        <w:t>Brucellosis</w:t>
      </w:r>
      <w:r w:rsidRPr="00A1145E">
        <w:t xml:space="preserve"> calfhood vaccinates to be eligible to be brought into Louisiana. Exceptions to this Subparagraph are:</w:t>
      </w:r>
    </w:p>
    <w:p w14:paraId="1A95ABF0" w14:textId="77777777" w:rsidR="005A46E7" w:rsidRPr="00A1145E" w:rsidRDefault="005A46E7" w:rsidP="005A46E7">
      <w:pPr>
        <w:pStyle w:val="a1"/>
      </w:pPr>
      <w:r w:rsidRPr="00A1145E">
        <w:t>(a).</w:t>
      </w:r>
      <w:r w:rsidRPr="00A1145E">
        <w:tab/>
        <w:t>heifers moving from a farm to an approved stock-yard or an approved slaughter establishment;</w:t>
      </w:r>
    </w:p>
    <w:p w14:paraId="7AF1D69F" w14:textId="77777777" w:rsidR="005A46E7" w:rsidRPr="00A1145E" w:rsidRDefault="005A46E7" w:rsidP="005A46E7">
      <w:pPr>
        <w:pStyle w:val="a1"/>
      </w:pPr>
      <w:r w:rsidRPr="00A1145E">
        <w:t>(b).</w:t>
      </w:r>
      <w:r w:rsidRPr="00A1145E">
        <w:tab/>
        <w:t>individually identified heifers, less than 12 months of age, entering the state for exhibition purposes and returning to the state of origin.</w:t>
      </w:r>
    </w:p>
    <w:p w14:paraId="2AC39A0F" w14:textId="77777777" w:rsidR="005A46E7" w:rsidRPr="00A1145E" w:rsidRDefault="005A46E7" w:rsidP="005A46E7">
      <w:pPr>
        <w:pStyle w:val="i0"/>
      </w:pPr>
      <w:r>
        <w:tab/>
      </w:r>
      <w:r w:rsidRPr="00A1145E">
        <w:t>ii.</w:t>
      </w:r>
      <w:r w:rsidRPr="00A1145E">
        <w:tab/>
        <w:t xml:space="preserve">Effective January 1, 1989, all heifers and cows over 12 months of age, entering Louisiana, must be official </w:t>
      </w:r>
      <w:r w:rsidRPr="002248D5">
        <w:rPr>
          <w:i/>
        </w:rPr>
        <w:t>Brucellosis</w:t>
      </w:r>
      <w:r w:rsidRPr="00A1145E">
        <w:t xml:space="preserve"> vaccinates or originate from a herd that has had a complete negative herd test within the previous 12 months. A copy of the herd test record, which includes the animal(s) </w:t>
      </w:r>
      <w:r w:rsidRPr="00A1145E">
        <w:t>entering the state, must accompany the health certificate. Exceptions to this Subparagraph are:</w:t>
      </w:r>
    </w:p>
    <w:p w14:paraId="2CF9F483" w14:textId="77777777" w:rsidR="005A46E7" w:rsidRPr="00A1145E" w:rsidRDefault="005A46E7" w:rsidP="005A46E7">
      <w:pPr>
        <w:pStyle w:val="a1"/>
      </w:pPr>
      <w:r w:rsidRPr="00A1145E">
        <w:t>(a).</w:t>
      </w:r>
      <w:r w:rsidRPr="00A1145E">
        <w:tab/>
        <w:t>heifers and cows moving directly from a farm to an approved stockyard or an approved slaughter establishment;</w:t>
      </w:r>
    </w:p>
    <w:p w14:paraId="0C260EE0" w14:textId="77777777" w:rsidR="005A46E7" w:rsidRPr="00A1145E" w:rsidRDefault="005A46E7" w:rsidP="005A46E7">
      <w:pPr>
        <w:pStyle w:val="a1"/>
      </w:pPr>
      <w:r w:rsidRPr="00A1145E">
        <w:t>(b).</w:t>
      </w:r>
      <w:r w:rsidRPr="00A1145E">
        <w:tab/>
        <w:t>individually identified heifers and cows entering the state for exhibition purposes and returning to the state of origin;</w:t>
      </w:r>
    </w:p>
    <w:p w14:paraId="2B154D37" w14:textId="77777777" w:rsidR="005A46E7" w:rsidRPr="00A1145E" w:rsidRDefault="005A46E7" w:rsidP="005A46E7">
      <w:pPr>
        <w:pStyle w:val="a1"/>
      </w:pPr>
      <w:r w:rsidRPr="00A1145E">
        <w:t>(c).</w:t>
      </w:r>
      <w:r w:rsidRPr="00A1145E">
        <w:tab/>
        <w:t xml:space="preserve">individually identified heifers and cows originating from a certified </w:t>
      </w:r>
      <w:r w:rsidRPr="002248D5">
        <w:rPr>
          <w:i/>
        </w:rPr>
        <w:t>Brucellosis</w:t>
      </w:r>
      <w:r w:rsidRPr="00A1145E">
        <w:t xml:space="preserve"> free herd, a </w:t>
      </w:r>
      <w:r w:rsidRPr="002248D5">
        <w:rPr>
          <w:i/>
        </w:rPr>
        <w:t>Brucellosis</w:t>
      </w:r>
      <w:r w:rsidRPr="00A1145E">
        <w:t xml:space="preserve"> class free state, or a </w:t>
      </w:r>
      <w:r w:rsidRPr="002248D5">
        <w:rPr>
          <w:i/>
        </w:rPr>
        <w:t>Brucellosis</w:t>
      </w:r>
      <w:r w:rsidRPr="00A1145E">
        <w:t xml:space="preserve"> </w:t>
      </w:r>
      <w:r>
        <w:t>class</w:t>
      </w:r>
      <w:r w:rsidRPr="00A1145E">
        <w:t xml:space="preserve"> A state.</w:t>
      </w:r>
    </w:p>
    <w:p w14:paraId="6B400667" w14:textId="77777777" w:rsidR="005A46E7" w:rsidRPr="00A1145E" w:rsidRDefault="005A46E7" w:rsidP="005A46E7">
      <w:pPr>
        <w:pStyle w:val="a0"/>
      </w:pPr>
      <w:r w:rsidRPr="00A1145E">
        <w:t>d.</w:t>
      </w:r>
      <w:r w:rsidRPr="00A1145E">
        <w:tab/>
        <w:t xml:space="preserve">All intact male and female cattle over 12 months of age moving into the state of Louisiana from </w:t>
      </w:r>
      <w:r>
        <w:t>class</w:t>
      </w:r>
      <w:r w:rsidRPr="00A1145E">
        <w:t xml:space="preserve"> B states must have a permit for entry prior to coming into Louisiana. These test eligible cattle must be quarantined and retested 45 to 120 days after movement into Louisiana. The following are exempt from this requirement:</w:t>
      </w:r>
    </w:p>
    <w:p w14:paraId="12428BF1" w14:textId="77777777" w:rsidR="005A46E7" w:rsidRPr="00A1145E" w:rsidRDefault="005A46E7" w:rsidP="005A46E7">
      <w:pPr>
        <w:pStyle w:val="i0"/>
      </w:pPr>
      <w:r>
        <w:tab/>
      </w:r>
      <w:r w:rsidRPr="00A1145E">
        <w:t>i.</w:t>
      </w:r>
      <w:r w:rsidRPr="00A1145E">
        <w:tab/>
        <w:t xml:space="preserve">individually identified, officially calfhood vaccinated females under 20 months of age for dairy breeds and under 24 months of age for beef breeds which are not preparturient (springers) or post-parturient, and the herd of origin is not known to be infected with </w:t>
      </w:r>
      <w:r w:rsidRPr="002248D5">
        <w:rPr>
          <w:i/>
        </w:rPr>
        <w:t>Brucellosis</w:t>
      </w:r>
      <w:r w:rsidRPr="00A1145E">
        <w:t>;</w:t>
      </w:r>
    </w:p>
    <w:p w14:paraId="1DFF4D08" w14:textId="77777777" w:rsidR="005A46E7" w:rsidRPr="00A1145E" w:rsidRDefault="005A46E7" w:rsidP="005A46E7">
      <w:pPr>
        <w:pStyle w:val="i0"/>
      </w:pPr>
      <w:r>
        <w:tab/>
      </w:r>
      <w:r w:rsidRPr="00A1145E">
        <w:t>ii.</w:t>
      </w:r>
      <w:r w:rsidRPr="00A1145E">
        <w:tab/>
        <w:t xml:space="preserve">individually identified cattle originating from a certified </w:t>
      </w:r>
      <w:r w:rsidRPr="002248D5">
        <w:rPr>
          <w:i/>
        </w:rPr>
        <w:t>Brucellosis</w:t>
      </w:r>
      <w:r w:rsidRPr="00A1145E">
        <w:t xml:space="preserve">-free herd or certified </w:t>
      </w:r>
      <w:r w:rsidRPr="002248D5">
        <w:rPr>
          <w:i/>
        </w:rPr>
        <w:t>Brucellosis</w:t>
      </w:r>
      <w:r w:rsidRPr="00A1145E">
        <w:t>-free area, and moving directly to a Louisiana farm. The certified herd number must be recorded on the health certificate;</w:t>
      </w:r>
    </w:p>
    <w:p w14:paraId="663AF363" w14:textId="77777777" w:rsidR="005A46E7" w:rsidRPr="00A1145E" w:rsidRDefault="005A46E7" w:rsidP="005A46E7">
      <w:pPr>
        <w:pStyle w:val="i0"/>
      </w:pPr>
      <w:r>
        <w:tab/>
      </w:r>
      <w:r w:rsidRPr="00A1145E">
        <w:t>iii.</w:t>
      </w:r>
      <w:r w:rsidRPr="00A1145E">
        <w:tab/>
        <w:t>cattle accompanied by a waybill to a recognized slaughter establishment for immediate slaughter only or to an approved livestock auction market for sale for immediate slaughter, for sale to a quarantined feedlot;</w:t>
      </w:r>
    </w:p>
    <w:p w14:paraId="7E9801BD" w14:textId="77777777" w:rsidR="005A46E7" w:rsidRPr="00A1145E" w:rsidRDefault="005A46E7" w:rsidP="005A46E7">
      <w:pPr>
        <w:pStyle w:val="i0"/>
      </w:pPr>
      <w:r>
        <w:tab/>
      </w:r>
      <w:r w:rsidRPr="00A1145E">
        <w:t>iv.</w:t>
      </w:r>
      <w:r w:rsidRPr="00A1145E">
        <w:tab/>
        <w:t>steers and spayed heifers;</w:t>
      </w:r>
    </w:p>
    <w:p w14:paraId="2887BBA1" w14:textId="77777777" w:rsidR="005A46E7" w:rsidRPr="00A1145E" w:rsidRDefault="005A46E7" w:rsidP="005A46E7">
      <w:pPr>
        <w:pStyle w:val="i0"/>
      </w:pPr>
      <w:r>
        <w:tab/>
      </w:r>
      <w:r w:rsidRPr="00A1145E">
        <w:t>v.</w:t>
      </w:r>
      <w:r w:rsidRPr="00A1145E">
        <w:tab/>
        <w:t>test-eligible cattle moving directly to a Louisiana auction market must have a permit for entry.</w:t>
      </w:r>
    </w:p>
    <w:p w14:paraId="7A35CEA6" w14:textId="77777777" w:rsidR="005A46E7" w:rsidRPr="00A1145E" w:rsidRDefault="005A46E7" w:rsidP="005A46E7">
      <w:pPr>
        <w:pStyle w:val="AuthorityNote"/>
      </w:pPr>
      <w:r w:rsidRPr="00A1145E">
        <w:t>AUTHORITY NOTE:</w:t>
      </w:r>
      <w:r w:rsidRPr="00A1145E">
        <w:tab/>
        <w:t>Promulgated in accordance with R.S. 3:2093 and R</w:t>
      </w:r>
      <w:r>
        <w:t>.</w:t>
      </w:r>
      <w:r w:rsidRPr="00A1145E">
        <w:t>S. 3:2221.</w:t>
      </w:r>
    </w:p>
    <w:p w14:paraId="7D45BB39" w14:textId="77777777"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11:236 (March 1985), amended LR 11:615 (June 1985), amended by the Department of Agriculture and Forestry, Livestock Sanitary Board, LR 13:555 (October 1987), LR 17:354 (April 1991), LR 18:835 (August 1992)</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14:paraId="772C82E6" w14:textId="77777777" w:rsidR="005A46E7" w:rsidRPr="00A1145E" w:rsidRDefault="005A46E7" w:rsidP="005A46E7">
      <w:pPr>
        <w:pStyle w:val="Section"/>
      </w:pPr>
      <w:bookmarkStart w:id="1727" w:name="_Toc256754700"/>
      <w:bookmarkStart w:id="1728" w:name="_Toc375025484"/>
      <w:bookmarkStart w:id="1729" w:name="_Toc224819056"/>
      <w:r w:rsidRPr="00A1145E">
        <w:t>§513.</w:t>
      </w:r>
      <w:r w:rsidRPr="00A1145E">
        <w:tab/>
        <w:t>Admittance of Louisiana Cattle to Fairs, Livestock Shows, Breeders</w:t>
      </w:r>
      <w:r w:rsidR="006352F5">
        <w:t>’</w:t>
      </w:r>
      <w:r w:rsidRPr="00A1145E">
        <w:t xml:space="preserve"> Association Sales and Rodeos Held in Louisiana</w:t>
      </w:r>
      <w:bookmarkEnd w:id="1727"/>
      <w:bookmarkEnd w:id="1728"/>
      <w:r>
        <w:br/>
        <w:t>(</w:t>
      </w:r>
      <w:r w:rsidRPr="00A1145E">
        <w:t>Formerly §303</w:t>
      </w:r>
      <w:r>
        <w:t>)</w:t>
      </w:r>
      <w:bookmarkEnd w:id="1729"/>
    </w:p>
    <w:p w14:paraId="01A6A1E0" w14:textId="77777777" w:rsidR="005A46E7" w:rsidRPr="00A1145E" w:rsidRDefault="005A46E7" w:rsidP="005A46E7">
      <w:pPr>
        <w:pStyle w:val="A"/>
      </w:pPr>
      <w:r w:rsidRPr="00A1145E">
        <w:t>A.</w:t>
      </w:r>
      <w:r w:rsidRPr="00A1145E">
        <w:tab/>
        <w:t>All cattle consigned to fairgrounds, livestock show grounds, sale grounds, and rodeos must meet the general requirements of §503 and the following specific requirements.</w:t>
      </w:r>
    </w:p>
    <w:p w14:paraId="709CCCA3" w14:textId="77777777" w:rsidR="005A46E7" w:rsidRPr="00653211" w:rsidRDefault="005A46E7" w:rsidP="005A46E7">
      <w:pPr>
        <w:pStyle w:val="RegDoubleIndent"/>
        <w:rPr>
          <w:sz w:val="16"/>
          <w:szCs w:val="16"/>
        </w:rPr>
      </w:pPr>
      <w:r w:rsidRPr="00653211">
        <w:rPr>
          <w:sz w:val="16"/>
          <w:szCs w:val="16"/>
        </w:rPr>
        <w:t>NOTE: The word "cattle" as used in this regulation refers to cattle for exhibition and/or sale and the nurse cows that may accompany them.</w:t>
      </w:r>
    </w:p>
    <w:p w14:paraId="4A63873F" w14:textId="77777777" w:rsidR="005A46E7" w:rsidRPr="00A1145E" w:rsidRDefault="005A46E7" w:rsidP="005A46E7">
      <w:pPr>
        <w:pStyle w:val="1"/>
      </w:pPr>
      <w:r w:rsidRPr="00A1145E">
        <w:t>1.</w:t>
      </w:r>
      <w:r w:rsidRPr="00A1145E">
        <w:tab/>
      </w:r>
      <w:r w:rsidRPr="002248D5">
        <w:rPr>
          <w:i/>
        </w:rPr>
        <w:t>Brucellosis</w:t>
      </w:r>
    </w:p>
    <w:p w14:paraId="67484ED5" w14:textId="77777777" w:rsidR="005A46E7" w:rsidRPr="00A1145E" w:rsidRDefault="005A46E7" w:rsidP="005A46E7">
      <w:pPr>
        <w:pStyle w:val="a0"/>
      </w:pPr>
      <w:r w:rsidRPr="00A1145E">
        <w:lastRenderedPageBreak/>
        <w:t>a.</w:t>
      </w:r>
      <w:r w:rsidRPr="00A1145E">
        <w:tab/>
        <w:t xml:space="preserve">No cattle from </w:t>
      </w:r>
      <w:r w:rsidRPr="002248D5">
        <w:rPr>
          <w:i/>
        </w:rPr>
        <w:t>Brucellosis</w:t>
      </w:r>
      <w:r w:rsidRPr="00A1145E">
        <w:t xml:space="preserve"> quarantined herds or </w:t>
      </w:r>
      <w:r w:rsidRPr="002248D5">
        <w:rPr>
          <w:i/>
        </w:rPr>
        <w:t>Brucellosis</w:t>
      </w:r>
      <w:r w:rsidRPr="00A1145E">
        <w:t xml:space="preserve"> quarantined areas are allowed to be exhibited in the state of Louisiana or consigned to breeders' association sales in Louisiana.</w:t>
      </w:r>
    </w:p>
    <w:p w14:paraId="5C051E24" w14:textId="77777777" w:rsidR="005A46E7" w:rsidRPr="00A1145E" w:rsidRDefault="005A46E7" w:rsidP="005A46E7">
      <w:pPr>
        <w:pStyle w:val="a0"/>
      </w:pPr>
      <w:r w:rsidRPr="00A1145E">
        <w:t>b.</w:t>
      </w:r>
      <w:r w:rsidRPr="00A1145E">
        <w:tab/>
        <w:t xml:space="preserve">All heifers between four and 12 months of age, must be official </w:t>
      </w:r>
      <w:r w:rsidRPr="002248D5">
        <w:rPr>
          <w:i/>
        </w:rPr>
        <w:t>Brucellosis</w:t>
      </w:r>
      <w:r w:rsidRPr="00A1145E">
        <w:t xml:space="preserve"> calfhood vaccinates to be eligible to be shown in Louisiana.</w:t>
      </w:r>
    </w:p>
    <w:p w14:paraId="4B621FF9" w14:textId="77777777" w:rsidR="005A46E7" w:rsidRPr="00A1145E" w:rsidRDefault="005A46E7" w:rsidP="005A46E7">
      <w:pPr>
        <w:pStyle w:val="a0"/>
      </w:pPr>
      <w:r w:rsidRPr="00A1145E">
        <w:t>c.</w:t>
      </w:r>
      <w:r w:rsidRPr="00A1145E">
        <w:tab/>
        <w:t xml:space="preserve">All heifers and cows over 12 months of age must be official </w:t>
      </w:r>
      <w:r w:rsidRPr="002248D5">
        <w:rPr>
          <w:i/>
        </w:rPr>
        <w:t>Brucellosis</w:t>
      </w:r>
      <w:r w:rsidRPr="00A1145E">
        <w:t xml:space="preserve"> vaccinates or be from a herd that has had a complete negative herd test within the past 12 months and be tested negative to the </w:t>
      </w:r>
      <w:r w:rsidRPr="002248D5">
        <w:rPr>
          <w:i/>
        </w:rPr>
        <w:t>Brucellosis</w:t>
      </w:r>
      <w:r w:rsidRPr="00A1145E">
        <w:t xml:space="preserve"> card test within 30 days prior to admission to fairs, livestock shows, and breeders' association sales. A copy of the herd test record, which includes the animal(s) on the health certificate, must accompany the health certificate. Exceptions to this paragraph are:</w:t>
      </w:r>
    </w:p>
    <w:p w14:paraId="0E716595" w14:textId="77777777" w:rsidR="005A46E7" w:rsidRPr="00A1145E" w:rsidRDefault="005A46E7" w:rsidP="005A46E7">
      <w:pPr>
        <w:pStyle w:val="i0"/>
      </w:pPr>
      <w:r>
        <w:tab/>
      </w:r>
      <w:r w:rsidRPr="00A1145E">
        <w:t>i.</w:t>
      </w:r>
      <w:r w:rsidRPr="00A1145E">
        <w:tab/>
        <w:t xml:space="preserve">individually identified, official </w:t>
      </w:r>
      <w:r w:rsidRPr="002248D5">
        <w:rPr>
          <w:i/>
        </w:rPr>
        <w:t>Brucellosis</w:t>
      </w:r>
      <w:r w:rsidRPr="00A1145E">
        <w:t xml:space="preserve"> calfhood vaccinates under 20 months of age for dairy breeds and under 24 months of age for beef breeds, which are not pre-parturient (springers) or post-parturient. The vaccination tattoo must be recorded on the health certificate;</w:t>
      </w:r>
    </w:p>
    <w:p w14:paraId="2F52BB9A" w14:textId="77777777" w:rsidR="005A46E7" w:rsidRPr="00A1145E" w:rsidRDefault="005A46E7" w:rsidP="005A46E7">
      <w:pPr>
        <w:pStyle w:val="i0"/>
      </w:pPr>
      <w:r>
        <w:tab/>
      </w:r>
      <w:r w:rsidRPr="00A1145E">
        <w:t>ii.</w:t>
      </w:r>
      <w:r w:rsidRPr="00A1145E">
        <w:tab/>
        <w:t xml:space="preserve">individually identified heifers and cows originating from a Louisiana farm, which have been tested within 60 days prior to admission to fairs and livestock shows and are official </w:t>
      </w:r>
      <w:r w:rsidRPr="002248D5">
        <w:rPr>
          <w:i/>
        </w:rPr>
        <w:t>Brucellosis</w:t>
      </w:r>
      <w:r w:rsidRPr="00A1145E">
        <w:t xml:space="preserve"> vaccinates or have been part of a complete negative herd test, conducted in the past 12 months. A copy of the herd test record, which includes the animal(s) on the health certificate, must accompany the health certificate;</w:t>
      </w:r>
    </w:p>
    <w:p w14:paraId="13F3DECF" w14:textId="77777777" w:rsidR="005A46E7" w:rsidRPr="00A1145E" w:rsidRDefault="005A46E7" w:rsidP="005A46E7">
      <w:pPr>
        <w:pStyle w:val="i0"/>
      </w:pPr>
      <w:r>
        <w:tab/>
      </w:r>
      <w:r w:rsidRPr="00A1145E">
        <w:t>iii.</w:t>
      </w:r>
      <w:r w:rsidRPr="00A1145E">
        <w:tab/>
        <w:t xml:space="preserve">individually identified cattle, moving directly from a certified </w:t>
      </w:r>
      <w:r w:rsidRPr="002248D5">
        <w:rPr>
          <w:i/>
        </w:rPr>
        <w:t>Brucellosis</w:t>
      </w:r>
      <w:r w:rsidRPr="00A1145E">
        <w:t xml:space="preserve"> free herd. The certified herd number must be recorded on the health certificate;</w:t>
      </w:r>
    </w:p>
    <w:p w14:paraId="0DB77934" w14:textId="77777777" w:rsidR="005A46E7" w:rsidRPr="00A1145E" w:rsidRDefault="005A46E7" w:rsidP="005A46E7">
      <w:pPr>
        <w:pStyle w:val="i0"/>
      </w:pPr>
      <w:r>
        <w:tab/>
      </w:r>
      <w:r w:rsidRPr="00A1145E">
        <w:t>iv.</w:t>
      </w:r>
      <w:r w:rsidRPr="00A1145E">
        <w:tab/>
        <w:t>individually identified heifers and cows entering the state for exhibition purposes and returning to the state of origin.</w:t>
      </w:r>
    </w:p>
    <w:p w14:paraId="52B176BD" w14:textId="77777777" w:rsidR="005A46E7" w:rsidRPr="00A1145E" w:rsidRDefault="005A46E7" w:rsidP="005A46E7">
      <w:pPr>
        <w:pStyle w:val="a0"/>
      </w:pPr>
      <w:r w:rsidRPr="00A1145E">
        <w:t>d.</w:t>
      </w:r>
      <w:r w:rsidRPr="00A1145E">
        <w:tab/>
        <w:t>Individually identified cattle originating in and moving directly from a certified herd. The certified herd number must be recorded on the health certificate.</w:t>
      </w:r>
    </w:p>
    <w:p w14:paraId="7D2508FF" w14:textId="77777777" w:rsidR="005A46E7" w:rsidRPr="00A1145E" w:rsidRDefault="005A46E7" w:rsidP="005A46E7">
      <w:pPr>
        <w:pStyle w:val="a0"/>
      </w:pPr>
      <w:r w:rsidRPr="00A1145E">
        <w:t>e.</w:t>
      </w:r>
      <w:r w:rsidRPr="00A1145E">
        <w:tab/>
        <w:t xml:space="preserve">All bulls, 12 months of age and over, must be tested negative to the </w:t>
      </w:r>
      <w:r w:rsidRPr="002248D5">
        <w:rPr>
          <w:i/>
        </w:rPr>
        <w:t>Brucellosis</w:t>
      </w:r>
      <w:r w:rsidRPr="00A1145E">
        <w:t xml:space="preserve"> card test, within 30 days prior to admission to all fairs, livestock shows, breeders' association sales, and rodeos. All bulls must be accompanied by a current health certificate.</w:t>
      </w:r>
    </w:p>
    <w:p w14:paraId="10D724C3" w14:textId="77777777" w:rsidR="005A46E7" w:rsidRPr="00A1145E" w:rsidRDefault="005A46E7" w:rsidP="005A46E7">
      <w:pPr>
        <w:pStyle w:val="1"/>
      </w:pPr>
      <w:r w:rsidRPr="00A1145E">
        <w:t>2.</w:t>
      </w:r>
      <w:r w:rsidRPr="00A1145E">
        <w:tab/>
        <w:t>Tuberculosis. All cattle must originate from herds not under quarantine for tuberculosis.</w:t>
      </w:r>
    </w:p>
    <w:p w14:paraId="28AA05B6" w14:textId="77777777" w:rsidR="005A46E7" w:rsidRPr="00A1145E" w:rsidRDefault="005A46E7" w:rsidP="005A46E7">
      <w:pPr>
        <w:pStyle w:val="AuthorityNote"/>
      </w:pPr>
      <w:r w:rsidRPr="00A1145E">
        <w:t>AUTHORITY NOTE:</w:t>
      </w:r>
      <w:r w:rsidRPr="00A1145E">
        <w:tab/>
        <w:t>Promulgated in accordance with R.S. 3:2221 and R.S. 3:2093.</w:t>
      </w:r>
    </w:p>
    <w:p w14:paraId="1DA9EBCA" w14:textId="77777777" w:rsidR="005A46E7" w:rsidRPr="00A1145E" w:rsidRDefault="005A46E7" w:rsidP="005A46E7">
      <w:pPr>
        <w:pStyle w:val="HistoricalNote"/>
      </w:pPr>
      <w:r w:rsidRPr="00A1145E">
        <w:t>HISTORICAL NOTE:</w:t>
      </w:r>
      <w:r w:rsidRPr="00A1145E">
        <w:tab/>
        <w:t xml:space="preserve">Promulgated by the Department of Agriculture, Livestock Sanitary Board, LR 11:236 (March 1985), amended LR 11:615 (June 1985), amended by the Department of Agriculture and Forestry, Livestock Sanitary Board, LR 12:500 (August 1986), LR 13:556 (October 1987), LR 17:29 (January 1991), repromulgated by the Department of Agriculture and Forestry, </w:t>
      </w:r>
      <w:r w:rsidR="007356F4">
        <w:t>Office of Animal Health and Food Safety and the Board of Animal Health,</w:t>
      </w:r>
      <w:r w:rsidRPr="00A1145E">
        <w:t xml:space="preserve"> LR </w:t>
      </w:r>
      <w:r>
        <w:t>40:945 (May 2014).</w:t>
      </w:r>
    </w:p>
    <w:p w14:paraId="1AC7619A" w14:textId="77777777" w:rsidR="005A46E7" w:rsidRPr="00A1145E" w:rsidRDefault="005A46E7" w:rsidP="005A46E7">
      <w:pPr>
        <w:pStyle w:val="Section"/>
      </w:pPr>
      <w:bookmarkStart w:id="1730" w:name="_Toc388358234"/>
      <w:bookmarkStart w:id="1731" w:name="_Toc396115136"/>
      <w:bookmarkStart w:id="1732" w:name="_Toc411855527"/>
      <w:bookmarkStart w:id="1733" w:name="_Toc419795729"/>
      <w:bookmarkStart w:id="1734" w:name="_Toc427737117"/>
      <w:bookmarkStart w:id="1735" w:name="_Toc438546919"/>
      <w:bookmarkStart w:id="1736" w:name="_Toc446326906"/>
      <w:bookmarkStart w:id="1737" w:name="_Toc448825096"/>
      <w:bookmarkStart w:id="1738" w:name="_Toc451506140"/>
      <w:bookmarkStart w:id="1739" w:name="_Toc462212563"/>
      <w:bookmarkStart w:id="1740" w:name="_Toc468096483"/>
      <w:bookmarkStart w:id="1741" w:name="_Toc477853948"/>
      <w:bookmarkStart w:id="1742" w:name="_Toc488735892"/>
      <w:bookmarkStart w:id="1743" w:name="_Toc491176709"/>
      <w:bookmarkStart w:id="1744" w:name="_Toc509393632"/>
      <w:bookmarkStart w:id="1745" w:name="_Toc525114801"/>
      <w:bookmarkStart w:id="1746" w:name="_Toc535997198"/>
      <w:bookmarkStart w:id="1747" w:name="_Toc224819057"/>
      <w:r w:rsidRPr="00A1145E">
        <w:t xml:space="preserve">§§515 </w:t>
      </w:r>
      <w:r>
        <w:t>-519.</w:t>
      </w:r>
      <w:r>
        <w:tab/>
        <w:t>Reserved.</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6DF813C7" w14:textId="77777777" w:rsidR="005A46E7" w:rsidRPr="00A1145E" w:rsidRDefault="005A46E7" w:rsidP="005A46E7">
      <w:pPr>
        <w:pStyle w:val="Chapter"/>
      </w:pPr>
      <w:bookmarkStart w:id="1748" w:name="_Toc224819058"/>
      <w:r w:rsidRPr="00A1145E">
        <w:t>Subchapter C.</w:t>
      </w:r>
      <w:r w:rsidRPr="00A1145E">
        <w:tab/>
        <w:t>Specific Entry Requireme</w:t>
      </w:r>
      <w:r>
        <w:t>nts for Horses and other Equine</w:t>
      </w:r>
      <w:bookmarkEnd w:id="1748"/>
    </w:p>
    <w:p w14:paraId="611BBA65" w14:textId="77777777" w:rsidR="005A46E7" w:rsidRPr="00A1145E" w:rsidRDefault="005A46E7" w:rsidP="005A46E7">
      <w:pPr>
        <w:pStyle w:val="Section"/>
      </w:pPr>
      <w:bookmarkStart w:id="1749" w:name="_Toc256754719"/>
      <w:bookmarkStart w:id="1750" w:name="_Toc375025504"/>
      <w:bookmarkStart w:id="1751" w:name="_Toc224819059"/>
      <w:r w:rsidRPr="00A1145E">
        <w:t>§521.</w:t>
      </w:r>
      <w:r w:rsidRPr="00A1145E">
        <w:tab/>
        <w:t>General Requirements Governing the Admission of Equine</w:t>
      </w:r>
      <w:bookmarkEnd w:id="1749"/>
      <w:bookmarkEnd w:id="1750"/>
      <w:r w:rsidR="00BD7A84">
        <w:t xml:space="preserve"> </w:t>
      </w:r>
      <w:r>
        <w:t>(</w:t>
      </w:r>
      <w:r w:rsidRPr="00A1145E">
        <w:t>Formerly §501</w:t>
      </w:r>
      <w:r>
        <w:t>)</w:t>
      </w:r>
      <w:bookmarkEnd w:id="1751"/>
    </w:p>
    <w:p w14:paraId="7FCA8D54" w14:textId="77777777" w:rsidR="000C38DC" w:rsidRPr="000E4182" w:rsidRDefault="000C38DC" w:rsidP="000C38DC">
      <w:pPr>
        <w:pStyle w:val="A"/>
      </w:pPr>
      <w:r w:rsidRPr="000E4182">
        <w:t>A.</w:t>
      </w:r>
      <w:r w:rsidRPr="000E4182">
        <w:tab/>
        <w:t>All equine imported into the state shall meet the general requirements of §501 and the following specific requirements.</w:t>
      </w:r>
    </w:p>
    <w:p w14:paraId="189CCB26" w14:textId="77777777" w:rsidR="000C38DC" w:rsidRPr="000E4182" w:rsidRDefault="000C38DC" w:rsidP="000C38DC">
      <w:pPr>
        <w:pStyle w:val="1"/>
      </w:pPr>
      <w:r w:rsidRPr="000E4182">
        <w:t>1.</w:t>
      </w:r>
      <w:r w:rsidRPr="000E4182">
        <w:tab/>
        <w:t>All equine moving into Louisiana for any purpose other than consignment to an approved Louisiana livestock auction market or an approved slaughter establishment for immediate slaughter shall be accompanied by a record of a negative official test for equine infectious anemia (EIA) conducted within the past 12 months. The official test shall be conducted by an approved laboratory. The name of the laboratory, the case number and the date of the official test shall appear on the health certificate as required in §523.</w:t>
      </w:r>
    </w:p>
    <w:p w14:paraId="522A3F8E" w14:textId="77777777" w:rsidR="005A46E7" w:rsidRPr="00A1145E" w:rsidRDefault="000C38DC" w:rsidP="000C38DC">
      <w:pPr>
        <w:pStyle w:val="AuthorityNote"/>
      </w:pPr>
      <w:r w:rsidRPr="000E4182">
        <w:t>AUTHORITY NOTE:</w:t>
      </w:r>
      <w:r w:rsidRPr="000E4182">
        <w:tab/>
        <w:t>Promulgated in accordance with R.S. 3:2053.</w:t>
      </w:r>
    </w:p>
    <w:p w14:paraId="39D500C1" w14:textId="77777777" w:rsidR="005A46E7" w:rsidRPr="00A1145E" w:rsidRDefault="005A46E7" w:rsidP="005A46E7">
      <w:pPr>
        <w:pStyle w:val="HistoricalNote"/>
      </w:pPr>
      <w:r w:rsidRPr="00A1145E">
        <w:t>HISTORICAL NOTE:</w:t>
      </w:r>
      <w:r w:rsidRPr="00A1145E">
        <w:tab/>
      </w:r>
      <w:r w:rsidR="001D0109" w:rsidRPr="001531CD">
        <w:t>Promulgated by the Department of Agriculture and Forestry, Office of Animal Health Services, Livestock Sanitary Board, LR 11:242 (March 1985), amended LR 11:615 (June 1985), LR 14:222 (April 1988), LR 20:405 (April 1994)</w:t>
      </w:r>
      <w:r w:rsidRPr="00A1145E">
        <w:t xml:space="preserve">, repromulgated by the Department of Agriculture and Forestry, </w:t>
      </w:r>
      <w:r w:rsidR="007356F4">
        <w:t>Office of Animal Health and Food Safety and the Board of Animal Health,</w:t>
      </w:r>
      <w:r w:rsidRPr="00A1145E">
        <w:t xml:space="preserve"> LR </w:t>
      </w:r>
      <w:r>
        <w:t xml:space="preserve">40:945 </w:t>
      </w:r>
      <w:r w:rsidR="000C38DC">
        <w:t xml:space="preserve">(May 2014), </w:t>
      </w:r>
      <w:r w:rsidR="000C38DC" w:rsidRPr="000E4182">
        <w:t>LR 43:</w:t>
      </w:r>
      <w:r w:rsidR="000C38DC">
        <w:t>1272 (July 2017).</w:t>
      </w:r>
    </w:p>
    <w:p w14:paraId="3B8AC19B" w14:textId="77777777" w:rsidR="005A46E7" w:rsidRPr="00A1145E" w:rsidRDefault="005A46E7" w:rsidP="005A46E7">
      <w:pPr>
        <w:pStyle w:val="Section"/>
      </w:pPr>
      <w:bookmarkStart w:id="1752" w:name="_Toc256754720"/>
      <w:bookmarkStart w:id="1753" w:name="_Toc375025505"/>
      <w:bookmarkStart w:id="1754" w:name="_Toc224819060"/>
      <w:r w:rsidRPr="00A1145E">
        <w:t>§523.</w:t>
      </w:r>
      <w:r w:rsidRPr="00A1145E">
        <w:tab/>
        <w:t>Admission of Equine to Fairs, Livestock Shows, Breeders Association Sales, Rodeos and Racetracks</w:t>
      </w:r>
      <w:bookmarkEnd w:id="1752"/>
      <w:bookmarkEnd w:id="1753"/>
      <w:r>
        <w:br/>
        <w:t>(</w:t>
      </w:r>
      <w:r w:rsidRPr="00A1145E">
        <w:t>Formerly §503</w:t>
      </w:r>
      <w:r>
        <w:t>)</w:t>
      </w:r>
      <w:bookmarkEnd w:id="1754"/>
    </w:p>
    <w:p w14:paraId="55323AD0" w14:textId="77777777" w:rsidR="000C38DC" w:rsidRPr="000E4182" w:rsidRDefault="000C38DC" w:rsidP="000C38DC">
      <w:pPr>
        <w:pStyle w:val="A"/>
      </w:pPr>
      <w:r w:rsidRPr="000E4182">
        <w:t>A.</w:t>
      </w:r>
      <w:r w:rsidRPr="000E4182">
        <w:tab/>
        <w:t>All equine moving into and within the state of Louisiana to fairs, livestock shows, breeder's association sales, rodeos, racetracks or any other concentration point, must meet general requirements of §503 and shall be accompanied by a record of a negative official test for equine infectious anemia (EIA), conducted within the past 12 months. The official test shall be conducted at an approved laboratory and the name of the laboratory, the case number, and the date of the official test shall appear on the record.</w:t>
      </w:r>
    </w:p>
    <w:p w14:paraId="03071FCC" w14:textId="77777777" w:rsidR="005A46E7" w:rsidRPr="00A1145E" w:rsidRDefault="000C38DC" w:rsidP="000C38DC">
      <w:pPr>
        <w:pStyle w:val="A"/>
      </w:pPr>
      <w:r w:rsidRPr="000E4182">
        <w:t>B.</w:t>
      </w:r>
      <w:r w:rsidRPr="000E4182">
        <w:tab/>
        <w:t>Representatives of the Board of Animal Health may inspect equine at the shows periodically, and any equine showing evidence of a contagious or infectious disease shall be isolated and/or removed from the show.</w:t>
      </w:r>
    </w:p>
    <w:p w14:paraId="435B8D9B" w14:textId="77777777" w:rsidR="005A46E7" w:rsidRPr="00A1145E" w:rsidRDefault="005A46E7" w:rsidP="005A46E7">
      <w:pPr>
        <w:pStyle w:val="AuthorityNote"/>
      </w:pPr>
      <w:r w:rsidRPr="00A1145E">
        <w:t>AUTHORITY NOTE:</w:t>
      </w:r>
      <w:r w:rsidRPr="00A1145E">
        <w:tab/>
        <w:t>Promulgated in accordance with R.S. 3:2093.</w:t>
      </w:r>
    </w:p>
    <w:p w14:paraId="2A544B81" w14:textId="77777777" w:rsidR="005A46E7" w:rsidRPr="00A1145E" w:rsidRDefault="005A46E7" w:rsidP="005A46E7">
      <w:pPr>
        <w:pStyle w:val="HistoricalNote"/>
      </w:pPr>
      <w:r w:rsidRPr="00A1145E">
        <w:t>HISTORICAL NOTE:</w:t>
      </w:r>
      <w:r w:rsidRPr="00A1145E">
        <w:tab/>
      </w:r>
      <w:r w:rsidR="001D0109" w:rsidRPr="001531CD">
        <w:t>Promulgated by the Department of Agriculture, Office of Animal Health Services, Livestock Sanitary Board, LR 11:242 (March 1985), amended LR 11:615 (June 1985), amended by the Department of Agriculture and Forestry, Livestock Sanitary Board, LR 14:222 (April 1988), LR 20:405 (April 1994)</w:t>
      </w:r>
      <w:r w:rsidRPr="00A1145E">
        <w:t xml:space="preserve">, repromulgated by the Department of Agriculture and Forestry, </w:t>
      </w:r>
      <w:r w:rsidR="007356F4">
        <w:t>Office of Animal Health and Food Safety and the Board of Animal Health,</w:t>
      </w:r>
      <w:r w:rsidRPr="00A1145E">
        <w:t xml:space="preserve"> LR </w:t>
      </w:r>
      <w:r w:rsidR="000C38DC">
        <w:t>40:946 (May 2014), LR 43:1272 (July 2017).</w:t>
      </w:r>
    </w:p>
    <w:p w14:paraId="7EE15652" w14:textId="77777777" w:rsidR="005A46E7" w:rsidRPr="00A1145E" w:rsidRDefault="005A46E7" w:rsidP="005A46E7">
      <w:pPr>
        <w:pStyle w:val="Section"/>
      </w:pPr>
      <w:bookmarkStart w:id="1755" w:name="_Toc256754721"/>
      <w:bookmarkStart w:id="1756" w:name="_Toc375025506"/>
      <w:bookmarkStart w:id="1757" w:name="_Toc224819061"/>
      <w:r w:rsidRPr="00A1145E">
        <w:lastRenderedPageBreak/>
        <w:t>§525.</w:t>
      </w:r>
      <w:r w:rsidRPr="00A1145E">
        <w:tab/>
        <w:t>Movement of Equine in Louisiana by Livestock Dealers</w:t>
      </w:r>
      <w:bookmarkEnd w:id="1755"/>
      <w:bookmarkEnd w:id="1756"/>
      <w:r w:rsidR="00BD7A84">
        <w:t xml:space="preserve"> </w:t>
      </w:r>
      <w:r>
        <w:t>(</w:t>
      </w:r>
      <w:r w:rsidRPr="00A1145E">
        <w:t>Formerly §505</w:t>
      </w:r>
      <w:r>
        <w:t>)</w:t>
      </w:r>
      <w:bookmarkEnd w:id="1757"/>
    </w:p>
    <w:p w14:paraId="25B98C6A" w14:textId="77777777" w:rsidR="000C38DC" w:rsidRPr="000E4182" w:rsidRDefault="000C38DC" w:rsidP="000C38DC">
      <w:pPr>
        <w:pStyle w:val="A"/>
      </w:pPr>
      <w:r w:rsidRPr="000E4182">
        <w:t>A.</w:t>
      </w:r>
      <w:r w:rsidRPr="000E4182">
        <w:tab/>
        <w:t>All equine which are sold or offered for sale by livestock dealers, must meet the general requirements of §305 and the following specific requirements.</w:t>
      </w:r>
    </w:p>
    <w:p w14:paraId="5A4C8577" w14:textId="77777777" w:rsidR="000C38DC" w:rsidRPr="000E4182" w:rsidRDefault="000C38DC" w:rsidP="000C38DC">
      <w:pPr>
        <w:pStyle w:val="1"/>
      </w:pPr>
      <w:r w:rsidRPr="000E4182">
        <w:t>1.</w:t>
      </w:r>
      <w:r w:rsidRPr="000E4182">
        <w:tab/>
        <w:t>All equine sold or offered for sale by permitted Louisiana livestock dealers must be accompanied by an official record of a negative official test for equine infectious anemia, conducted at an approved laboratory, within the past 12 months. The record shall include the name of the laboratory, the case number and the date of the official test.</w:t>
      </w:r>
    </w:p>
    <w:p w14:paraId="44A90098" w14:textId="77777777" w:rsidR="005A46E7" w:rsidRPr="00A1145E" w:rsidRDefault="000C38DC" w:rsidP="000C38DC">
      <w:pPr>
        <w:pStyle w:val="AuthorityNote"/>
      </w:pPr>
      <w:r w:rsidRPr="000E4182">
        <w:t>AUTHORITY NOTE:</w:t>
      </w:r>
      <w:r w:rsidRPr="000E4182">
        <w:tab/>
        <w:t>Promulgated in accordance with R.S. 3:502.</w:t>
      </w:r>
    </w:p>
    <w:p w14:paraId="2288A34F" w14:textId="77777777" w:rsidR="005A46E7" w:rsidRPr="00A1145E" w:rsidRDefault="005A46E7" w:rsidP="005A46E7">
      <w:pPr>
        <w:pStyle w:val="HistoricalNote"/>
      </w:pPr>
      <w:r w:rsidRPr="00A1145E">
        <w:t>HISTORICAL NOTE:</w:t>
      </w:r>
      <w:r w:rsidRPr="00A1145E">
        <w:tab/>
      </w:r>
      <w:r w:rsidR="001D0109" w:rsidRPr="001531CD">
        <w:t>Promulgated by the Department of Agriculture, Office of Animal Health Services, Livestock Sanitary Board, LR 11:243 (March 1985), amended LR 11:615 (June 1985), amended by the Department of Agriculture and Forestry, Livestock Sanitary Board, LR 14:223 (April 1988), LR 20:406 (April 1994)</w:t>
      </w:r>
      <w:r w:rsidRPr="00A1145E">
        <w:t xml:space="preserve">, repromulgated by the Department of Agriculture and Forestry, </w:t>
      </w:r>
      <w:r w:rsidR="007356F4">
        <w:t>Office of Animal Health and Food Safety and the Board of Animal Health,</w:t>
      </w:r>
      <w:r w:rsidRPr="00A1145E">
        <w:t xml:space="preserve"> LR </w:t>
      </w:r>
      <w:r w:rsidR="000C38DC">
        <w:t>40:946 (May 2014), LR 43:1272 (July 2017).</w:t>
      </w:r>
    </w:p>
    <w:p w14:paraId="6EEDCA3D" w14:textId="77777777" w:rsidR="005A46E7" w:rsidRPr="00A1145E" w:rsidRDefault="005A46E7" w:rsidP="005A46E7">
      <w:pPr>
        <w:pStyle w:val="Section"/>
      </w:pPr>
      <w:bookmarkStart w:id="1758" w:name="_Toc388358239"/>
      <w:bookmarkStart w:id="1759" w:name="_Toc396115141"/>
      <w:bookmarkStart w:id="1760" w:name="_Toc411855532"/>
      <w:bookmarkStart w:id="1761" w:name="_Toc419795734"/>
      <w:bookmarkStart w:id="1762" w:name="_Toc427737122"/>
      <w:bookmarkStart w:id="1763" w:name="_Toc438546924"/>
      <w:bookmarkStart w:id="1764" w:name="_Toc446326911"/>
      <w:bookmarkStart w:id="1765" w:name="_Toc448825101"/>
      <w:bookmarkStart w:id="1766" w:name="_Toc451506145"/>
      <w:bookmarkStart w:id="1767" w:name="_Toc462212568"/>
      <w:bookmarkStart w:id="1768" w:name="_Toc468096488"/>
      <w:bookmarkStart w:id="1769" w:name="_Toc477853953"/>
      <w:bookmarkStart w:id="1770" w:name="_Toc488735897"/>
      <w:bookmarkStart w:id="1771" w:name="_Toc491176714"/>
      <w:bookmarkStart w:id="1772" w:name="_Toc509393637"/>
      <w:bookmarkStart w:id="1773" w:name="_Toc525114806"/>
      <w:bookmarkStart w:id="1774" w:name="_Toc535997203"/>
      <w:bookmarkStart w:id="1775" w:name="_Toc224819062"/>
      <w:r>
        <w:t>§§527-</w:t>
      </w:r>
      <w:r w:rsidRPr="00A1145E">
        <w:t>529.</w:t>
      </w:r>
      <w:r w:rsidRPr="00A1145E">
        <w:tab/>
        <w:t>Reserved</w:t>
      </w:r>
      <w:r>
        <w:t>.</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33747D5F" w14:textId="77777777" w:rsidR="005A46E7" w:rsidRPr="00A1145E" w:rsidRDefault="005A46E7" w:rsidP="005A46E7">
      <w:pPr>
        <w:pStyle w:val="Chapter"/>
      </w:pPr>
      <w:bookmarkStart w:id="1776" w:name="_Toc224819063"/>
      <w:r w:rsidRPr="00A1145E">
        <w:t>Subchapter D.</w:t>
      </w:r>
      <w:r w:rsidRPr="00A1145E">
        <w:tab/>
        <w:t>Specific Entr</w:t>
      </w:r>
      <w:r>
        <w:t>y Requirements for Poultry and O</w:t>
      </w:r>
      <w:r w:rsidRPr="00A1145E">
        <w:t xml:space="preserve">ther </w:t>
      </w:r>
      <w:r>
        <w:t>Birds</w:t>
      </w:r>
      <w:bookmarkEnd w:id="1776"/>
    </w:p>
    <w:p w14:paraId="16FA7F0E" w14:textId="77777777" w:rsidR="005A46E7" w:rsidRPr="00A1145E" w:rsidRDefault="005A46E7" w:rsidP="005A46E7">
      <w:pPr>
        <w:pStyle w:val="Section"/>
      </w:pPr>
      <w:bookmarkStart w:id="1777" w:name="_Toc256754737"/>
      <w:bookmarkStart w:id="1778" w:name="_Toc375025522"/>
      <w:bookmarkStart w:id="1779" w:name="_Toc224819064"/>
      <w:r w:rsidRPr="00A1145E">
        <w:t>§531.</w:t>
      </w:r>
      <w:r w:rsidRPr="00A1145E">
        <w:tab/>
        <w:t>Health Requirement Governing Admission of Poultry</w:t>
      </w:r>
      <w:bookmarkEnd w:id="1777"/>
      <w:bookmarkEnd w:id="1778"/>
      <w:r>
        <w:br/>
        <w:t>(</w:t>
      </w:r>
      <w:r w:rsidRPr="00A1145E">
        <w:t>Formerly §701</w:t>
      </w:r>
      <w:r>
        <w:t>)</w:t>
      </w:r>
      <w:bookmarkEnd w:id="1779"/>
    </w:p>
    <w:p w14:paraId="22E8F1E3" w14:textId="77777777" w:rsidR="00D80634" w:rsidRPr="00EA2E74" w:rsidRDefault="00D80634" w:rsidP="00D80634">
      <w:pPr>
        <w:pStyle w:val="A"/>
      </w:pPr>
      <w:r w:rsidRPr="00EA2E74">
        <w:t>A.</w:t>
      </w:r>
      <w:r w:rsidRPr="00EA2E74">
        <w:tab/>
        <w:t>All poultry entering the state must meet the general requirements of §501 and the following specific requirements.</w:t>
      </w:r>
    </w:p>
    <w:p w14:paraId="5D9454F9" w14:textId="77777777" w:rsidR="00D80634" w:rsidRPr="00EA2E74" w:rsidRDefault="00D80634" w:rsidP="00D80634">
      <w:pPr>
        <w:pStyle w:val="1"/>
      </w:pPr>
      <w:r w:rsidRPr="00EA2E74">
        <w:t>1.</w:t>
      </w:r>
      <w:r w:rsidRPr="00EA2E74">
        <w:tab/>
        <w:t>All out of state poultry or poultry eggs for hatching, shall not be imported into Louisiana unless they originate from pullorum/typhoid negative tested flocks under the supervision of the national poultry improvement plan (NPIP) or in flocks that have passed a negative blood test for pullorum/typhoid disease, under the supervision of the proper official state agency,</w:t>
      </w:r>
      <w:r>
        <w:t xml:space="preserve"> within 30 days prior to entry.</w:t>
      </w:r>
    </w:p>
    <w:p w14:paraId="1E8CC78D" w14:textId="77777777" w:rsidR="00D80634" w:rsidRPr="00EA2E74" w:rsidRDefault="00D80634" w:rsidP="00D80634">
      <w:pPr>
        <w:pStyle w:val="1"/>
      </w:pPr>
      <w:r w:rsidRPr="00EA2E74">
        <w:t>2.</w:t>
      </w:r>
      <w:r w:rsidRPr="00EA2E74">
        <w:tab/>
        <w:t xml:space="preserve">All out of state poultry consigned to a recognized slaughter establishment may enter the state on a </w:t>
      </w:r>
      <w:r>
        <w:t>w</w:t>
      </w:r>
      <w:r w:rsidRPr="00EA2E74">
        <w:t xml:space="preserve">aybill, which must include the name and address of the consignor (seller), the number of birds, and the name and address of the slaughter establishment. If, in the opinion of an authorized agent of the Board of Animal Health, poultry consigned to a recognized slaughter establishment is of questionable health, the entire shipment will be quarantined immediately, and consigned to a poultry establishment maintaining federal inspection for wholesomeness, or be returned to the state of origin. </w:t>
      </w:r>
    </w:p>
    <w:p w14:paraId="19D01FB3" w14:textId="77777777" w:rsidR="00D80634" w:rsidRPr="00EA2E74" w:rsidRDefault="00D80634" w:rsidP="00D80634">
      <w:pPr>
        <w:pStyle w:val="1"/>
      </w:pPr>
      <w:r w:rsidRPr="00EA2E74">
        <w:t>3.</w:t>
      </w:r>
      <w:r w:rsidRPr="00EA2E74">
        <w:tab/>
        <w:t>The state veterinarian may prohibit the entry of birds, eggs, or poultry by-products into Louisiana from any state which has an area under quarantine due to a contagious and/or infectious disease which, in his/her opinion, may seriously threaten the health of Louisiana poultry.</w:t>
      </w:r>
    </w:p>
    <w:p w14:paraId="605CE7B3" w14:textId="77777777" w:rsidR="00D80634" w:rsidRPr="00EA2E74" w:rsidRDefault="00D80634" w:rsidP="00D80634">
      <w:pPr>
        <w:pStyle w:val="1"/>
      </w:pPr>
      <w:r w:rsidRPr="00EA2E74">
        <w:t>4.</w:t>
      </w:r>
      <w:r w:rsidRPr="00EA2E74">
        <w:tab/>
        <w:t>All pet stores or vendors selling psittacines must report any increased mortalities to the office of the state veterinarian to determine if birds/samples should be examined for evidence of chlamydiosis.</w:t>
      </w:r>
      <w:r>
        <w:t xml:space="preserve"> </w:t>
      </w:r>
    </w:p>
    <w:p w14:paraId="6731976A" w14:textId="77777777" w:rsidR="00D80634" w:rsidRPr="00EA2E74" w:rsidRDefault="00D80634" w:rsidP="00D80634">
      <w:pPr>
        <w:pStyle w:val="1"/>
      </w:pPr>
      <w:r w:rsidRPr="00EA2E74">
        <w:t>5.</w:t>
      </w:r>
      <w:r w:rsidRPr="00EA2E74">
        <w:tab/>
        <w:t>Birds determined to be infected with, or exposed to, exotic new-castle disease, shall be destroyed without compensation to the owner.</w:t>
      </w:r>
    </w:p>
    <w:p w14:paraId="748AB218" w14:textId="77777777" w:rsidR="00D80634" w:rsidRPr="00EA2E74" w:rsidRDefault="00D80634" w:rsidP="00D80634">
      <w:pPr>
        <w:pStyle w:val="1"/>
      </w:pPr>
      <w:r w:rsidRPr="00EA2E74">
        <w:t>6.</w:t>
      </w:r>
      <w:r w:rsidRPr="00EA2E74">
        <w:tab/>
        <w:t xml:space="preserve">All poultry brought into Louisiana shall be accompanied by a VS Form 9-2 or 9-3, indicating the flock of origin is under the national poultry improvement plan and is free of </w:t>
      </w:r>
      <w:r w:rsidRPr="00EA2E74">
        <w:rPr>
          <w:i/>
        </w:rPr>
        <w:t>S</w:t>
      </w:r>
      <w:r w:rsidRPr="00EA2E74">
        <w:rPr>
          <w:i/>
          <w:iCs/>
        </w:rPr>
        <w:t>almonella pullorum</w:t>
      </w:r>
      <w:r w:rsidRPr="00EA2E74">
        <w:t xml:space="preserve"> (pullorum) and </w:t>
      </w:r>
      <w:r w:rsidRPr="00EA2E74">
        <w:rPr>
          <w:i/>
          <w:iCs/>
        </w:rPr>
        <w:t xml:space="preserve">Salmonella gallinarum </w:t>
      </w:r>
      <w:r w:rsidRPr="00EA2E74">
        <w:t xml:space="preserve">(typhoid) or a certificate of veterinary inspection (CVI) that reports those negative results. If the flock of origin is not under the national poultry improvement plan, the birds must be accompanied by a test report (9-2) from an approved laboratory or official state agent, or CVI indicating the birds were tested negative for </w:t>
      </w:r>
      <w:r w:rsidRPr="00EA2E74">
        <w:rPr>
          <w:i/>
        </w:rPr>
        <w:t>Salmonella</w:t>
      </w:r>
      <w:r w:rsidRPr="00EA2E74">
        <w:t xml:space="preserve"> </w:t>
      </w:r>
      <w:r w:rsidRPr="00EA2E74">
        <w:rPr>
          <w:i/>
        </w:rPr>
        <w:t>pullorum/typhoid</w:t>
      </w:r>
      <w:r w:rsidRPr="00EA2E74">
        <w:t xml:space="preserve"> within 30 days prior to entry into Louisiana.</w:t>
      </w:r>
      <w:r>
        <w:t xml:space="preserve"> </w:t>
      </w:r>
      <w:r w:rsidRPr="00EA2E74">
        <w:t>See §533 for show, fair, trade days, and swap meet requirements.</w:t>
      </w:r>
    </w:p>
    <w:p w14:paraId="07DF34D7" w14:textId="77777777" w:rsidR="005A46E7" w:rsidRPr="00A1145E" w:rsidRDefault="00D80634" w:rsidP="00D80634">
      <w:pPr>
        <w:pStyle w:val="AuthorityNote"/>
      </w:pPr>
      <w:r w:rsidRPr="00EA2E74">
        <w:t>AUTHORITY NOTE:</w:t>
      </w:r>
      <w:r w:rsidRPr="00EA2E74">
        <w:tab/>
        <w:t>Promulgated in accordance with R.S. 3:2093.</w:t>
      </w:r>
    </w:p>
    <w:p w14:paraId="18FAC1CC" w14:textId="77777777" w:rsidR="005A46E7" w:rsidRPr="00A1145E" w:rsidRDefault="005A46E7" w:rsidP="005A46E7">
      <w:pPr>
        <w:pStyle w:val="HistoricalNote"/>
      </w:pPr>
      <w:r w:rsidRPr="00A1145E">
        <w:t>HISTORICAL NOTE:</w:t>
      </w:r>
      <w:r w:rsidRPr="00A1145E">
        <w:tab/>
      </w:r>
      <w:r w:rsidR="001D0109" w:rsidRPr="001531CD">
        <w:t>Promulgated by the Department of Agriculture, Livestock Sanitary Board, LR 11:244 (March 1985), amended LR 11:615 (June 1985), LR 14:224 (April 1988)</w:t>
      </w:r>
      <w:r w:rsidRPr="00A1145E">
        <w:t xml:space="preserve">, repromulgated by the Department of Agriculture and Forestry, </w:t>
      </w:r>
      <w:r w:rsidR="007356F4">
        <w:t>Office of Animal Health and Food Safety and the Board of Animal Health,</w:t>
      </w:r>
      <w:r w:rsidRPr="00A1145E">
        <w:t xml:space="preserve"> LR </w:t>
      </w:r>
      <w:r w:rsidR="00D80634">
        <w:t>40:946 (May 2014), amended</w:t>
      </w:r>
      <w:r w:rsidR="00D80634" w:rsidRPr="00EA2E74">
        <w:t xml:space="preserve"> </w:t>
      </w:r>
      <w:r w:rsidR="00D80634">
        <w:t>LR 43:1277 (July 2017).</w:t>
      </w:r>
    </w:p>
    <w:p w14:paraId="66E97098" w14:textId="77777777" w:rsidR="005A46E7" w:rsidRPr="00A1145E" w:rsidRDefault="005A46E7" w:rsidP="005A46E7">
      <w:pPr>
        <w:pStyle w:val="Section"/>
      </w:pPr>
      <w:bookmarkStart w:id="1780" w:name="_Toc256754738"/>
      <w:bookmarkStart w:id="1781" w:name="_Toc375025523"/>
      <w:bookmarkStart w:id="1782" w:name="_Toc224819065"/>
      <w:r w:rsidRPr="00A1145E">
        <w:t>§533.</w:t>
      </w:r>
      <w:r w:rsidRPr="00A1145E">
        <w:tab/>
      </w:r>
      <w:bookmarkEnd w:id="1780"/>
      <w:bookmarkEnd w:id="1781"/>
      <w:r w:rsidR="00D80634" w:rsidRPr="00EA2E74">
        <w:t>Admittance of Poultry to Fairs, Livestock and Poultry Shows, Trade Days and Swap Meets</w:t>
      </w:r>
      <w:r>
        <w:br/>
        <w:t>(</w:t>
      </w:r>
      <w:r w:rsidRPr="00A1145E">
        <w:t>Formerly §703</w:t>
      </w:r>
      <w:r>
        <w:t>)</w:t>
      </w:r>
      <w:bookmarkEnd w:id="1782"/>
    </w:p>
    <w:p w14:paraId="24916DFB" w14:textId="77777777" w:rsidR="00D80634" w:rsidRPr="00EA2E74" w:rsidRDefault="00D80634" w:rsidP="00D80634">
      <w:pPr>
        <w:pStyle w:val="A"/>
        <w:rPr>
          <w:sz w:val="18"/>
        </w:rPr>
      </w:pPr>
      <w:r w:rsidRPr="00EA2E74">
        <w:t>A.</w:t>
      </w:r>
      <w:r w:rsidRPr="00EA2E74">
        <w:tab/>
        <w:t xml:space="preserve">All poultry of Louisiana origin going to Louisiana fairs, livestock and poultry shows, trade meets, and swap meets shall be accompanied by a Form VS 9-2 or CVI, indicating the flock of origin is a participant under the NPIP and has tested free of </w:t>
      </w:r>
      <w:r w:rsidRPr="00EA2E74">
        <w:rPr>
          <w:i/>
        </w:rPr>
        <w:t>Salmonella</w:t>
      </w:r>
      <w:r w:rsidRPr="00EA2E74">
        <w:t xml:space="preserve"> </w:t>
      </w:r>
      <w:r w:rsidRPr="00EA2E74">
        <w:rPr>
          <w:i/>
        </w:rPr>
        <w:t>pullorum</w:t>
      </w:r>
      <w:r w:rsidRPr="00EA2E74">
        <w:t xml:space="preserve"> (pullorum) and </w:t>
      </w:r>
      <w:r w:rsidRPr="00EA2E74">
        <w:rPr>
          <w:i/>
        </w:rPr>
        <w:t>Salmonella gallinarum</w:t>
      </w:r>
      <w:r w:rsidRPr="00EA2E74">
        <w:t xml:space="preserve"> (typhoid). If the flock of origin is not a participant under the NPIP, the birds of breeding age must be accompanied by a Form VS 9-2 or CVI indicating the birds were tested negative for pullorum/typhoid (P/T) within 60 days prior to admittance to in-state fairs, livestock and poultry shows, trade days, or swap meets.</w:t>
      </w:r>
      <w:r>
        <w:t xml:space="preserve"> </w:t>
      </w:r>
      <w:r w:rsidRPr="00EA2E74">
        <w:t>These birds must have leg or wing band identification or a group/lot identification number recorded on a CVI.</w:t>
      </w:r>
    </w:p>
    <w:p w14:paraId="7A350C33" w14:textId="77777777" w:rsidR="00D80634" w:rsidRDefault="00D80634" w:rsidP="00D80634">
      <w:pPr>
        <w:pStyle w:val="A"/>
        <w:rPr>
          <w:sz w:val="18"/>
        </w:rPr>
      </w:pPr>
      <w:r w:rsidRPr="00EA2E74">
        <w:t>B.</w:t>
      </w:r>
      <w:r w:rsidRPr="00EA2E74">
        <w:tab/>
        <w:t xml:space="preserve">All poultry from states other than Louisiana, going to Louisiana fairs, livestock and poultry shows, trade meets, and swap meets shall be accompanied by a Form VS 9-2, 9-3, or CVI indicating the flock of origin is a participant under the NPIP and has tested free of </w:t>
      </w:r>
      <w:r w:rsidRPr="00EA2E74">
        <w:rPr>
          <w:i/>
        </w:rPr>
        <w:t>Salmonella pullorum</w:t>
      </w:r>
      <w:r w:rsidRPr="00EA2E74">
        <w:t xml:space="preserve"> (pullorum) and </w:t>
      </w:r>
      <w:r w:rsidRPr="00EA2E74">
        <w:rPr>
          <w:i/>
        </w:rPr>
        <w:t>Salmonella gallinarum</w:t>
      </w:r>
      <w:r w:rsidRPr="00EA2E74">
        <w:t xml:space="preserve"> (typhoid). If the flock of origin is not a participant under the NPIP, the birds of breeding age must be accompanied by a Form VS 9-2, 9-3, or CVI indicating the birds were tested negative for pullorum/typhoid (P/T) within 30 days prior to admittance to Louisiana fairs, livestock and poultry shows, trade days, or swap meets.</w:t>
      </w:r>
      <w:r>
        <w:t xml:space="preserve"> </w:t>
      </w:r>
      <w:r w:rsidRPr="00EA2E74">
        <w:t>These birds must have leg or wing band identification or a group/lot identification number recorded on a CVI.</w:t>
      </w:r>
      <w:r>
        <w:t xml:space="preserve"> </w:t>
      </w:r>
    </w:p>
    <w:p w14:paraId="6021EE72" w14:textId="77777777" w:rsidR="00D80634" w:rsidRPr="00EA2E74" w:rsidRDefault="00D80634" w:rsidP="00D80634">
      <w:pPr>
        <w:pStyle w:val="A"/>
      </w:pPr>
      <w:r w:rsidRPr="00EA2E74">
        <w:lastRenderedPageBreak/>
        <w:t>C.</w:t>
      </w:r>
      <w:r w:rsidRPr="00EA2E74">
        <w:tab/>
        <w:t>All sanctioned American Poultry Association and American Bantam Association shows held in Louisiana may provide a licensed, accredited private veterinarian to inspect birds at coop-in at these shows, at the expense of the sponsoring club, in lieu of a CVI.</w:t>
      </w:r>
      <w:r>
        <w:t xml:space="preserve"> </w:t>
      </w:r>
      <w:r w:rsidRPr="00EA2E74">
        <w:t xml:space="preserve">They must show proof of test negative status for P/T as stated in </w:t>
      </w:r>
      <w:r>
        <w:t>Subsection</w:t>
      </w:r>
      <w:r w:rsidRPr="00EA2E74">
        <w:t xml:space="preserve"> A </w:t>
      </w:r>
      <w:r>
        <w:t>of this Section</w:t>
      </w:r>
      <w:r w:rsidRPr="00EA2E74">
        <w:t>.</w:t>
      </w:r>
      <w:r>
        <w:t xml:space="preserve"> </w:t>
      </w:r>
      <w:r w:rsidRPr="00EA2E74">
        <w:t>Any bird showing signs of illness will be quarantined or barred from entry if suspected to have a contagious disease (at the sole discretion of the veterinarian).</w:t>
      </w:r>
      <w:r>
        <w:t xml:space="preserve"> </w:t>
      </w:r>
      <w:r w:rsidRPr="00EA2E74">
        <w:t>No bird without proof of negative P/T status will be allowed to show.</w:t>
      </w:r>
      <w:r>
        <w:t xml:space="preserve"> </w:t>
      </w:r>
      <w:r w:rsidRPr="00EA2E74">
        <w:t>The event sponsor should call the state veterinarian office at (225) 925-3980 to ensure there are no travel restrictions for entry into Louisiana.</w:t>
      </w:r>
    </w:p>
    <w:p w14:paraId="10C5773D" w14:textId="77777777" w:rsidR="005A46E7" w:rsidRPr="00A1145E" w:rsidRDefault="00D80634" w:rsidP="00D80634">
      <w:pPr>
        <w:pStyle w:val="AuthorityNote"/>
      </w:pPr>
      <w:r w:rsidRPr="00EA2E74">
        <w:t>AUTHORITY NOTE:</w:t>
      </w:r>
      <w:r w:rsidRPr="00EA2E74">
        <w:tab/>
        <w:t>Promulgated in accordance with R.S. 3:2093.</w:t>
      </w:r>
    </w:p>
    <w:p w14:paraId="027C2140" w14:textId="77777777" w:rsidR="005A46E7" w:rsidRPr="00A1145E" w:rsidRDefault="005A46E7" w:rsidP="005A46E7">
      <w:pPr>
        <w:pStyle w:val="HistoricalNote"/>
      </w:pPr>
      <w:r w:rsidRPr="00A1145E">
        <w:t>HISTORICAL NOTE:</w:t>
      </w:r>
      <w:r w:rsidRPr="00A1145E">
        <w:tab/>
      </w:r>
      <w:r w:rsidR="001D0109" w:rsidRPr="001531CD">
        <w:t>Promulgated by the Department of Agriculture, Livestock Sanitary Board, LR 12:503 (August 1986)</w:t>
      </w:r>
      <w:r w:rsidRPr="00A1145E">
        <w:t xml:space="preserve">, repromulgated by the Department of Agriculture and Forestry, </w:t>
      </w:r>
      <w:r w:rsidR="007356F4">
        <w:t>Office of Animal Health and Food Safety and the Board of Animal Health,</w:t>
      </w:r>
      <w:r w:rsidRPr="00A1145E">
        <w:t xml:space="preserve"> LR </w:t>
      </w:r>
      <w:r w:rsidR="00D80634">
        <w:t>40:947 (May 2014), amended</w:t>
      </w:r>
      <w:r w:rsidR="00D80634" w:rsidRPr="00EA2E74">
        <w:t xml:space="preserve"> </w:t>
      </w:r>
      <w:r w:rsidR="00D80634">
        <w:t>LR 43:1278 (July 2017).</w:t>
      </w:r>
    </w:p>
    <w:p w14:paraId="6F144FAA" w14:textId="77777777" w:rsidR="005A46E7" w:rsidRPr="00A1145E" w:rsidRDefault="005A46E7" w:rsidP="005A46E7">
      <w:pPr>
        <w:pStyle w:val="Section"/>
      </w:pPr>
      <w:bookmarkStart w:id="1783" w:name="_Toc388358243"/>
      <w:bookmarkStart w:id="1784" w:name="_Toc396115145"/>
      <w:bookmarkStart w:id="1785" w:name="_Toc411855536"/>
      <w:bookmarkStart w:id="1786" w:name="_Toc419795738"/>
      <w:bookmarkStart w:id="1787" w:name="_Toc427737126"/>
      <w:bookmarkStart w:id="1788" w:name="_Toc438546928"/>
      <w:bookmarkStart w:id="1789" w:name="_Toc446326915"/>
      <w:bookmarkStart w:id="1790" w:name="_Toc448825105"/>
      <w:bookmarkStart w:id="1791" w:name="_Toc451506149"/>
      <w:bookmarkStart w:id="1792" w:name="_Toc462212572"/>
      <w:bookmarkStart w:id="1793" w:name="_Toc468096492"/>
      <w:bookmarkStart w:id="1794" w:name="_Toc477853957"/>
      <w:bookmarkStart w:id="1795" w:name="_Toc488735901"/>
      <w:bookmarkStart w:id="1796" w:name="_Toc491176718"/>
      <w:bookmarkStart w:id="1797" w:name="_Toc509393641"/>
      <w:bookmarkStart w:id="1798" w:name="_Toc525114810"/>
      <w:bookmarkStart w:id="1799" w:name="_Toc535997207"/>
      <w:bookmarkStart w:id="1800" w:name="_Toc224819066"/>
      <w:r w:rsidRPr="00A1145E">
        <w:t>§§535</w:t>
      </w:r>
      <w:r>
        <w:t>-</w:t>
      </w:r>
      <w:r w:rsidRPr="00A1145E">
        <w:t>539.</w:t>
      </w:r>
      <w:r w:rsidRPr="00A1145E">
        <w:tab/>
        <w:t>Reserved</w:t>
      </w:r>
      <w:r>
        <w:t>.</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79412E88" w14:textId="77777777" w:rsidR="005A46E7" w:rsidRPr="00A1145E" w:rsidRDefault="005A46E7" w:rsidP="005A46E7">
      <w:pPr>
        <w:pStyle w:val="Chapter"/>
      </w:pPr>
      <w:bookmarkStart w:id="1801" w:name="_Toc224819067"/>
      <w:r w:rsidRPr="00A1145E">
        <w:t>Subchapter E.</w:t>
      </w:r>
      <w:r w:rsidRPr="00A1145E">
        <w:tab/>
        <w:t>Specif</w:t>
      </w:r>
      <w:r w:rsidR="001D0109">
        <w:t>ic Entry Requirements for Swine</w:t>
      </w:r>
      <w:bookmarkEnd w:id="1801"/>
    </w:p>
    <w:p w14:paraId="54A31F66" w14:textId="77777777" w:rsidR="005A46E7" w:rsidRPr="00A1145E" w:rsidRDefault="005A46E7" w:rsidP="005A46E7">
      <w:pPr>
        <w:pStyle w:val="Section"/>
      </w:pPr>
      <w:bookmarkStart w:id="1802" w:name="_Toc256754742"/>
      <w:bookmarkStart w:id="1803" w:name="_Toc375025527"/>
      <w:bookmarkStart w:id="1804" w:name="_Toc224819068"/>
      <w:r w:rsidRPr="00A1145E">
        <w:t>§541.</w:t>
      </w:r>
      <w:r w:rsidRPr="00A1145E">
        <w:tab/>
        <w:t>Health Requirements Governing Admission of Livestock</w:t>
      </w:r>
      <w:bookmarkEnd w:id="1802"/>
      <w:bookmarkEnd w:id="1803"/>
      <w:r>
        <w:br/>
        <w:t>(</w:t>
      </w:r>
      <w:r w:rsidRPr="00A1145E">
        <w:t>Formerly §901</w:t>
      </w:r>
      <w:r>
        <w:t>)</w:t>
      </w:r>
      <w:bookmarkEnd w:id="1804"/>
    </w:p>
    <w:p w14:paraId="10F87FF9" w14:textId="77777777" w:rsidR="005A46E7" w:rsidRPr="00A1145E" w:rsidRDefault="005A46E7" w:rsidP="005A46E7">
      <w:pPr>
        <w:pStyle w:val="A"/>
      </w:pPr>
      <w:r w:rsidRPr="00A1145E">
        <w:t>A.</w:t>
      </w:r>
      <w:r w:rsidRPr="00A1145E">
        <w:tab/>
        <w:t>General Swine Requirements</w:t>
      </w:r>
    </w:p>
    <w:p w14:paraId="285226DC" w14:textId="77777777" w:rsidR="005A46E7" w:rsidRPr="00A1145E" w:rsidRDefault="005A46E7" w:rsidP="005A46E7">
      <w:pPr>
        <w:pStyle w:val="1"/>
      </w:pPr>
      <w:r w:rsidRPr="00A1145E">
        <w:t>1.</w:t>
      </w:r>
      <w:r w:rsidRPr="00A1145E">
        <w:tab/>
        <w:t>All swine imported into Louisiana must meet the general requirements of §501 and the specific requirements of this Section.</w:t>
      </w:r>
    </w:p>
    <w:p w14:paraId="72A9909F" w14:textId="77777777" w:rsidR="005A46E7" w:rsidRPr="00A1145E" w:rsidRDefault="005A46E7" w:rsidP="005A46E7">
      <w:pPr>
        <w:pStyle w:val="1"/>
      </w:pPr>
      <w:r w:rsidRPr="00A1145E">
        <w:t>2.</w:t>
      </w:r>
      <w:r w:rsidRPr="00A1145E">
        <w:tab/>
        <w:t>No swine originating from an out-of-state livestock auction market, feeder pig sale or concentration point are eligible to move to a Louisiana livestock auction market, feeder pig sale or concentration point.</w:t>
      </w:r>
    </w:p>
    <w:p w14:paraId="6E1E27A2" w14:textId="77777777" w:rsidR="005A46E7" w:rsidRPr="00A1145E" w:rsidRDefault="005A46E7" w:rsidP="005A46E7">
      <w:pPr>
        <w:pStyle w:val="1"/>
      </w:pPr>
      <w:r w:rsidRPr="00A1145E">
        <w:t>3.</w:t>
      </w:r>
      <w:r w:rsidRPr="00A1145E">
        <w:tab/>
        <w:t>All swine consigned to Louisiana for feeding or breeding purposes or for exhibition must be permanently identified to the herd of origin by ear tag or tattoo (unless prohibited by federal regulation). Ear notch identification will be accepted in lieu of tag or tattoo on registered, purebred animals.</w:t>
      </w:r>
    </w:p>
    <w:p w14:paraId="15E36611" w14:textId="77777777" w:rsidR="005A46E7" w:rsidRPr="00A1145E" w:rsidRDefault="005A46E7" w:rsidP="005A46E7">
      <w:pPr>
        <w:pStyle w:val="1"/>
      </w:pPr>
      <w:r w:rsidRPr="00A1145E">
        <w:t>4.</w:t>
      </w:r>
      <w:r w:rsidRPr="00A1145E">
        <w:tab/>
        <w:t>Feeding and/or breeding swine moving into Louisiana from an out-of-state specifically approved livestock auction market, feeder pig sale or concentration point, shall move to a Louisiana farm.</w:t>
      </w:r>
    </w:p>
    <w:p w14:paraId="4FCF6986" w14:textId="77777777" w:rsidR="005A46E7" w:rsidRPr="00A1145E" w:rsidRDefault="005A46E7" w:rsidP="005A46E7">
      <w:pPr>
        <w:pStyle w:val="1"/>
      </w:pPr>
      <w:r w:rsidRPr="00A1145E">
        <w:t>5.</w:t>
      </w:r>
      <w:r w:rsidRPr="00A1145E">
        <w:tab/>
        <w:t>All eligible swine moving into Louisiana for slaughter purposes must be consigned to a specifically approved slaughter establishment maintaining state or federal meat inspection or livestock auction market specifically approved to handle slaughter hogs from out-of-state.</w:t>
      </w:r>
    </w:p>
    <w:p w14:paraId="6310213B" w14:textId="77777777" w:rsidR="005A46E7" w:rsidRPr="00A1145E" w:rsidRDefault="005A46E7" w:rsidP="005A46E7">
      <w:pPr>
        <w:pStyle w:val="A"/>
      </w:pPr>
      <w:r w:rsidRPr="00A1145E">
        <w:t>B.</w:t>
      </w:r>
      <w:r w:rsidRPr="00A1145E">
        <w:tab/>
      </w:r>
      <w:r w:rsidRPr="002248D5">
        <w:rPr>
          <w:i/>
        </w:rPr>
        <w:t>Brucellosis</w:t>
      </w:r>
      <w:r w:rsidRPr="00A1145E">
        <w:t xml:space="preserve">. In addition to the general requirements of §121 and the swine requirements of this Section, all swine for breeding purposes must show an official, negative test for </w:t>
      </w:r>
      <w:r w:rsidRPr="002248D5">
        <w:rPr>
          <w:i/>
        </w:rPr>
        <w:t>Brucellosis</w:t>
      </w:r>
      <w:r w:rsidRPr="00A1145E">
        <w:t xml:space="preserve"> in the 1:25 dilution or a negative swine </w:t>
      </w:r>
      <w:r w:rsidRPr="002248D5">
        <w:rPr>
          <w:i/>
        </w:rPr>
        <w:t>Brucellosis</w:t>
      </w:r>
      <w:r w:rsidRPr="00A1145E">
        <w:t xml:space="preserve"> card test within 30 days prior to date of shipment. </w:t>
      </w:r>
      <w:r w:rsidRPr="00A1145E">
        <w:t xml:space="preserve">Each animal must be individually identified to herd of origin by ear tag or tattoo unless prohibited by federal regulations (ear notch identification will be accepted in lieu of tag or tattoo on registered, purebred animals), and this identification must be recorded on the health certificate. An exception to this Section are swine from a validated </w:t>
      </w:r>
      <w:r w:rsidRPr="002248D5">
        <w:rPr>
          <w:i/>
        </w:rPr>
        <w:t>Brucellosis</w:t>
      </w:r>
      <w:r w:rsidRPr="00A1145E">
        <w:t xml:space="preserve"> free herd. The validated herd number and individual identification of each animal must appear on the health certificate.</w:t>
      </w:r>
    </w:p>
    <w:p w14:paraId="7CD7AF51" w14:textId="77777777" w:rsidR="005A46E7" w:rsidRPr="00A1145E" w:rsidRDefault="005A46E7" w:rsidP="005A46E7">
      <w:pPr>
        <w:pStyle w:val="A"/>
      </w:pPr>
      <w:r w:rsidRPr="00A1145E">
        <w:t>C.</w:t>
      </w:r>
      <w:r w:rsidRPr="00A1145E">
        <w:tab/>
        <w:t>Pseudorabies Requirements</w:t>
      </w:r>
    </w:p>
    <w:p w14:paraId="796DC34A" w14:textId="77777777" w:rsidR="005A46E7" w:rsidRPr="00A1145E" w:rsidRDefault="005A46E7" w:rsidP="005A46E7">
      <w:pPr>
        <w:pStyle w:val="1"/>
      </w:pPr>
      <w:r w:rsidRPr="00A1145E">
        <w:t>1.</w:t>
      </w:r>
      <w:r w:rsidRPr="00A1145E">
        <w:tab/>
        <w:t>All swine moving into Louisiana must originate from herds not known to be infected with pseudorabies. A permit is required for all swine entering the state for breeding or feeding purposes. The permit number is valid for 15 days and must be recorded on the health certificate. All breeding swine, entering the state on a permit, will be quarantined at destination, to be retested in 30 to 60 days at the owner's expense.</w:t>
      </w:r>
    </w:p>
    <w:p w14:paraId="02E9DA4F" w14:textId="77777777" w:rsidR="005A46E7" w:rsidRPr="00A1145E" w:rsidRDefault="005A46E7" w:rsidP="005A46E7">
      <w:pPr>
        <w:pStyle w:val="1"/>
      </w:pPr>
      <w:r w:rsidRPr="00A1145E">
        <w:t>2.</w:t>
      </w:r>
      <w:r w:rsidRPr="00A1145E">
        <w:tab/>
        <w:t>Swine moving into Louisiana for breeding or exhibition must:</w:t>
      </w:r>
    </w:p>
    <w:p w14:paraId="6068B5E1" w14:textId="77777777" w:rsidR="005A46E7" w:rsidRPr="00A1145E" w:rsidRDefault="005A46E7" w:rsidP="005A46E7">
      <w:pPr>
        <w:pStyle w:val="a0"/>
      </w:pPr>
      <w:r w:rsidRPr="00A1145E">
        <w:t>a.</w:t>
      </w:r>
      <w:r w:rsidRPr="00A1145E">
        <w:tab/>
        <w:t>originate from herds not known to be infected with pseudorabies, and are negative to an official test for pseudorabies within 30 days of movement; or</w:t>
      </w:r>
    </w:p>
    <w:p w14:paraId="2C1666E3" w14:textId="77777777" w:rsidR="005A46E7" w:rsidRPr="00A1145E" w:rsidRDefault="005A46E7" w:rsidP="005A46E7">
      <w:pPr>
        <w:pStyle w:val="a0"/>
      </w:pPr>
      <w:r w:rsidRPr="00A1145E">
        <w:t>b.</w:t>
      </w:r>
      <w:r w:rsidRPr="00A1145E">
        <w:tab/>
        <w:t>originate from a qualified pseudorabies herd. The qualified herd number must be recorded on the health certificate; or</w:t>
      </w:r>
    </w:p>
    <w:p w14:paraId="7275DD64" w14:textId="77777777" w:rsidR="005A46E7" w:rsidRPr="00A1145E" w:rsidRDefault="005A46E7" w:rsidP="005A46E7">
      <w:pPr>
        <w:pStyle w:val="a0"/>
      </w:pPr>
      <w:r w:rsidRPr="00A1145E">
        <w:t>c.</w:t>
      </w:r>
      <w:r w:rsidRPr="00A1145E">
        <w:tab/>
        <w:t>be shipped directly from the farm of origin in a State IV or Free State.</w:t>
      </w:r>
    </w:p>
    <w:p w14:paraId="2EBB37BF" w14:textId="77777777" w:rsidR="005A46E7" w:rsidRPr="00A1145E" w:rsidRDefault="005A46E7" w:rsidP="005A46E7">
      <w:pPr>
        <w:pStyle w:val="1"/>
      </w:pPr>
      <w:r w:rsidRPr="00A1145E">
        <w:t>3.</w:t>
      </w:r>
      <w:r w:rsidRPr="00A1145E">
        <w:tab/>
        <w:t>Swine moving into Louisiana for feeding purposes, must meet one or more of the following requirements:</w:t>
      </w:r>
    </w:p>
    <w:p w14:paraId="5F565BF3" w14:textId="77777777" w:rsidR="005A46E7" w:rsidRPr="00A1145E" w:rsidRDefault="005A46E7" w:rsidP="005A46E7">
      <w:pPr>
        <w:pStyle w:val="a0"/>
      </w:pPr>
      <w:r w:rsidRPr="00A1145E">
        <w:t>a.</w:t>
      </w:r>
      <w:r w:rsidRPr="00A1145E">
        <w:tab/>
        <w:t>pass a negative official pseudorabies serologic test within 30 days prior to interstate shipment; or</w:t>
      </w:r>
    </w:p>
    <w:p w14:paraId="0F1250A6" w14:textId="77777777" w:rsidR="005A46E7" w:rsidRPr="00A1145E" w:rsidRDefault="005A46E7" w:rsidP="005A46E7">
      <w:pPr>
        <w:pStyle w:val="a0"/>
      </w:pPr>
      <w:r w:rsidRPr="00A1145E">
        <w:t>b.</w:t>
      </w:r>
      <w:r w:rsidRPr="00A1145E">
        <w:tab/>
        <w:t>originate in a pseudorabies qualified negative herd; or</w:t>
      </w:r>
    </w:p>
    <w:p w14:paraId="4CAC9BD6" w14:textId="77777777" w:rsidR="005A46E7" w:rsidRPr="00A1145E" w:rsidRDefault="005A46E7" w:rsidP="005A46E7">
      <w:pPr>
        <w:pStyle w:val="a0"/>
      </w:pPr>
      <w:r w:rsidRPr="00A1145E">
        <w:t>c.</w:t>
      </w:r>
      <w:r w:rsidRPr="00A1145E">
        <w:tab/>
        <w:t>originate in a pseudorabies monitored feeder pig herd; or</w:t>
      </w:r>
    </w:p>
    <w:p w14:paraId="14E34F0A" w14:textId="77777777" w:rsidR="005A46E7" w:rsidRPr="00A1145E" w:rsidRDefault="005A46E7" w:rsidP="005A46E7">
      <w:pPr>
        <w:pStyle w:val="a0"/>
      </w:pPr>
      <w:r w:rsidRPr="00A1145E">
        <w:t>d.</w:t>
      </w:r>
      <w:r w:rsidRPr="00A1145E">
        <w:tab/>
        <w:t>be shipped directly from the farm of origin in a state III, IV, or free state; or</w:t>
      </w:r>
    </w:p>
    <w:p w14:paraId="6F5BF47E" w14:textId="77777777" w:rsidR="005A46E7" w:rsidRPr="00A1145E" w:rsidRDefault="005A46E7" w:rsidP="005A46E7">
      <w:pPr>
        <w:pStyle w:val="a0"/>
      </w:pPr>
      <w:r w:rsidRPr="00A1145E">
        <w:t>e.</w:t>
      </w:r>
      <w:r w:rsidRPr="00A1145E">
        <w:tab/>
        <w:t>be sold at an approved all class market or approved slaughter market and imported for feeding in a quarantined feedlot; or</w:t>
      </w:r>
    </w:p>
    <w:p w14:paraId="35BF7904" w14:textId="77777777" w:rsidR="005A46E7" w:rsidRPr="00A1145E" w:rsidRDefault="005A46E7" w:rsidP="005A46E7">
      <w:pPr>
        <w:pStyle w:val="a0"/>
      </w:pPr>
      <w:r w:rsidRPr="00A1145E">
        <w:t>f.</w:t>
      </w:r>
      <w:r w:rsidRPr="00A1145E">
        <w:tab/>
        <w:t>be sold at an approved feeder pig market and imported for feeding without restrictions.</w:t>
      </w:r>
    </w:p>
    <w:p w14:paraId="0D925005" w14:textId="77777777" w:rsidR="005A46E7" w:rsidRPr="00A1145E" w:rsidRDefault="005A46E7" w:rsidP="005A46E7">
      <w:pPr>
        <w:pStyle w:val="1"/>
      </w:pPr>
      <w:r w:rsidRPr="00A1145E">
        <w:t>4.</w:t>
      </w:r>
      <w:r w:rsidRPr="00A1145E">
        <w:tab/>
        <w:t>Slaughter hogs moving into Louisiana, in addition to a waybill, must move:</w:t>
      </w:r>
    </w:p>
    <w:p w14:paraId="411480D2" w14:textId="77777777" w:rsidR="005A46E7" w:rsidRPr="00A1145E" w:rsidRDefault="005A46E7" w:rsidP="005A46E7">
      <w:pPr>
        <w:pStyle w:val="a0"/>
      </w:pPr>
      <w:r w:rsidRPr="00A1145E">
        <w:t>a.</w:t>
      </w:r>
      <w:r w:rsidRPr="00A1145E">
        <w:tab/>
        <w:t>directly to a recognized slaughter establishment; or</w:t>
      </w:r>
    </w:p>
    <w:p w14:paraId="4A9ECA2F" w14:textId="77777777" w:rsidR="005A46E7" w:rsidRPr="00A1145E" w:rsidRDefault="005A46E7" w:rsidP="005A46E7">
      <w:pPr>
        <w:pStyle w:val="a0"/>
      </w:pPr>
      <w:r w:rsidRPr="00A1145E">
        <w:t>b.</w:t>
      </w:r>
      <w:r w:rsidRPr="00A1145E">
        <w:tab/>
        <w:t>directly to an approved slaughter market or approved all class market, and then directly to another approved slaughter market, or to a recognized slaughter establishment or quarantined feedlot; or</w:t>
      </w:r>
    </w:p>
    <w:p w14:paraId="48BF5B5E" w14:textId="77777777" w:rsidR="005A46E7" w:rsidRPr="00A1145E" w:rsidRDefault="005A46E7" w:rsidP="005A46E7">
      <w:pPr>
        <w:pStyle w:val="a0"/>
      </w:pPr>
      <w:r w:rsidRPr="00A1145E">
        <w:lastRenderedPageBreak/>
        <w:t>c.</w:t>
      </w:r>
      <w:r w:rsidRPr="00A1145E">
        <w:tab/>
        <w:t>directly to an approved slaughter market and then to a quarantined feedlot.</w:t>
      </w:r>
    </w:p>
    <w:p w14:paraId="70210D5F" w14:textId="77777777" w:rsidR="005A46E7" w:rsidRPr="00A1145E" w:rsidRDefault="005A46E7" w:rsidP="005A46E7">
      <w:pPr>
        <w:pStyle w:val="AuthorityNote"/>
      </w:pPr>
      <w:r w:rsidRPr="00A1145E">
        <w:t>AUTHORITY NOTE:</w:t>
      </w:r>
      <w:r w:rsidRPr="00A1145E">
        <w:tab/>
        <w:t>Promulgated in accordance with R.S. 3:2093.</w:t>
      </w:r>
    </w:p>
    <w:p w14:paraId="3F0AE8C0" w14:textId="77777777" w:rsidR="005A46E7" w:rsidRPr="00A1145E" w:rsidRDefault="005A46E7" w:rsidP="005A46E7">
      <w:pPr>
        <w:pStyle w:val="HistoricalNote"/>
      </w:pPr>
      <w:r w:rsidRPr="00A1145E">
        <w:t>HISTORICAL NOTE:</w:t>
      </w:r>
      <w:r w:rsidRPr="00A1145E">
        <w:tab/>
      </w:r>
      <w:r w:rsidR="001D0109" w:rsidRPr="001531CD">
        <w:t>Promulgated by the Department of Agriculture and Forestry, Livestock Sanitary Board, LR 11:244 (March 1985), amended LR 11:615 (June 1985), LR 16:391 (May 1990)</w:t>
      </w:r>
      <w:r w:rsidRPr="00A1145E">
        <w:t xml:space="preserve">, repromulgated by the Department of Agriculture and Forestry, </w:t>
      </w:r>
      <w:r w:rsidR="007356F4">
        <w:t>Office of Animal Health and Food Safety and the Board of Animal Health,</w:t>
      </w:r>
      <w:r w:rsidRPr="00A1145E">
        <w:t xml:space="preserve"> LR </w:t>
      </w:r>
      <w:r>
        <w:t>40:947 (May 2014).</w:t>
      </w:r>
    </w:p>
    <w:p w14:paraId="208FF5AE" w14:textId="77777777" w:rsidR="005A46E7" w:rsidRPr="00A1145E" w:rsidRDefault="005A46E7" w:rsidP="005A46E7">
      <w:pPr>
        <w:pStyle w:val="Section"/>
      </w:pPr>
      <w:bookmarkStart w:id="1805" w:name="_Toc256754743"/>
      <w:bookmarkStart w:id="1806" w:name="_Toc375025528"/>
      <w:bookmarkStart w:id="1807" w:name="_Toc224819069"/>
      <w:r w:rsidRPr="00A1145E">
        <w:t>§543.</w:t>
      </w:r>
      <w:r w:rsidRPr="00A1145E">
        <w:tab/>
        <w:t>Admittance of Livestock to Fairs, Livestock Shows, Breeders' Association Sales</w:t>
      </w:r>
      <w:bookmarkEnd w:id="1805"/>
      <w:bookmarkEnd w:id="1806"/>
      <w:r>
        <w:br/>
        <w:t>(</w:t>
      </w:r>
      <w:r w:rsidRPr="00A1145E">
        <w:t>Formerly §903</w:t>
      </w:r>
      <w:r>
        <w:t>)</w:t>
      </w:r>
      <w:bookmarkEnd w:id="1807"/>
    </w:p>
    <w:p w14:paraId="4DD0C537" w14:textId="77777777" w:rsidR="005A46E7" w:rsidRPr="00A1145E" w:rsidRDefault="005A46E7" w:rsidP="005A46E7">
      <w:pPr>
        <w:pStyle w:val="A"/>
      </w:pPr>
      <w:r w:rsidRPr="00A1145E">
        <w:t>A.</w:t>
      </w:r>
      <w:r w:rsidRPr="00A1145E">
        <w:tab/>
        <w:t>All swine consigned to fairs, livestock shows and/or breeders' association sales must meet state and federal interstate requirements if they move in interstate commerce. Louisiana swine must meet the general requirements of §503 and the specific requirements outlined in this Section.</w:t>
      </w:r>
    </w:p>
    <w:p w14:paraId="5D2AA0E0" w14:textId="77777777" w:rsidR="005A46E7" w:rsidRPr="00A1145E" w:rsidRDefault="005A46E7" w:rsidP="005A46E7">
      <w:pPr>
        <w:pStyle w:val="A"/>
      </w:pPr>
      <w:r w:rsidRPr="00A1145E">
        <w:t>B.</w:t>
      </w:r>
      <w:r w:rsidRPr="00A1145E">
        <w:tab/>
        <w:t>All swine consigned for exhibition or sale must be permanently identified as to the herd of origin by official ear tag or tattoo, (ear notch identification will be accepted in lieu of ear tag or tattoo on registered, purebred animals), and this identification must be shown on the health certificate which accompanies the animals.</w:t>
      </w:r>
    </w:p>
    <w:p w14:paraId="476A9FAB" w14:textId="77777777" w:rsidR="005A46E7" w:rsidRPr="00A1145E" w:rsidRDefault="005A46E7" w:rsidP="005A46E7">
      <w:pPr>
        <w:pStyle w:val="A"/>
      </w:pPr>
      <w:r w:rsidRPr="00A1145E">
        <w:t>C.</w:t>
      </w:r>
      <w:r w:rsidRPr="00A1145E">
        <w:tab/>
        <w:t xml:space="preserve">Swine </w:t>
      </w:r>
      <w:r w:rsidRPr="002248D5">
        <w:rPr>
          <w:i/>
        </w:rPr>
        <w:t>Brucellosis</w:t>
      </w:r>
      <w:r w:rsidRPr="00A1145E">
        <w:t xml:space="preserve">. All breedings age swine moving within the state to fairs, livestock shows, or breeders' association sales must show an official negative card test for </w:t>
      </w:r>
      <w:r w:rsidRPr="002248D5">
        <w:rPr>
          <w:i/>
        </w:rPr>
        <w:t>Brucellosis</w:t>
      </w:r>
      <w:r w:rsidRPr="00A1145E">
        <w:t xml:space="preserve"> within 60 days prior to arrival at the fairgrounds or livestock show grounds, and within 30 days prior to arrival at breeders' association sale grounds. Swine moving to shows within the state that were purchased from validated or monitored herds are exempt from this testing requirement. Proof of purchase and validated/monitored herd numbers of the swine herd will be required.</w:t>
      </w:r>
    </w:p>
    <w:p w14:paraId="607C4B58" w14:textId="77777777" w:rsidR="005A46E7" w:rsidRPr="00A1145E" w:rsidRDefault="005A46E7" w:rsidP="005A46E7">
      <w:pPr>
        <w:pStyle w:val="A"/>
      </w:pPr>
      <w:r w:rsidRPr="00A1145E">
        <w:t>D.</w:t>
      </w:r>
      <w:r w:rsidRPr="00A1145E">
        <w:tab/>
        <w:t>Pseudorabies Requirements. All swine moving within the state to fairs, livestock shows, or breeders' association sales must show an official test for pseudorabies within 60 days prior to arrival at the fairgrounds or livestock show grounds, and within 30 days prior to arrival at breeder's association sale grounds. Swine moving to shows within the state they were purchased from qualified or monitored herds are exempt from this testing requirement. Proof or purchase and qualified/monitored herd numbers of the swine herd will be required.</w:t>
      </w:r>
    </w:p>
    <w:p w14:paraId="1B636236" w14:textId="77777777" w:rsidR="005A46E7" w:rsidRPr="00A1145E" w:rsidRDefault="005A46E7" w:rsidP="005A46E7">
      <w:pPr>
        <w:pStyle w:val="AuthorityNote"/>
      </w:pPr>
      <w:r w:rsidRPr="00A1145E">
        <w:t>AUTHORITY NOTE:</w:t>
      </w:r>
      <w:r w:rsidRPr="00A1145E">
        <w:tab/>
        <w:t>Promulgated in accordance with R.S. 3:2093.</w:t>
      </w:r>
    </w:p>
    <w:p w14:paraId="4EBB7307" w14:textId="77777777" w:rsidR="005A46E7" w:rsidRPr="00A1145E" w:rsidRDefault="005A46E7" w:rsidP="005A46E7">
      <w:pPr>
        <w:pStyle w:val="HistoricalNote"/>
      </w:pPr>
      <w:r w:rsidRPr="00A1145E">
        <w:t>HISTORICAL NOTE:</w:t>
      </w:r>
      <w:r w:rsidRPr="00A1145E">
        <w:tab/>
      </w:r>
      <w:r w:rsidR="001D0109" w:rsidRPr="001531CD">
        <w:t>Promulgated by the Department of Agriculture and Forestry, Livestock Sanitary Board, LR 11:245 (March 1985), amended LR 11:615 (June 1985), LR 16:392 (May 1990), LR 20:1258 (November 1994)</w:t>
      </w:r>
      <w:r w:rsidRPr="00A1145E">
        <w:t xml:space="preserve">, repromulgated by the Department of Agriculture and Forestry, </w:t>
      </w:r>
      <w:r w:rsidR="007356F4">
        <w:t>Office of Animal Health and Food Safety and the Board of Animal Health,</w:t>
      </w:r>
      <w:r w:rsidRPr="00A1145E">
        <w:t xml:space="preserve"> LR </w:t>
      </w:r>
      <w:r>
        <w:t>40:947 (May 2014).</w:t>
      </w:r>
    </w:p>
    <w:p w14:paraId="0838C357" w14:textId="77777777" w:rsidR="005A46E7" w:rsidRPr="00A1145E" w:rsidRDefault="005A46E7" w:rsidP="005A46E7">
      <w:pPr>
        <w:pStyle w:val="Section"/>
      </w:pPr>
      <w:bookmarkStart w:id="1808" w:name="_Toc388358247"/>
      <w:bookmarkStart w:id="1809" w:name="_Toc396115149"/>
      <w:bookmarkStart w:id="1810" w:name="_Toc411855540"/>
      <w:bookmarkStart w:id="1811" w:name="_Toc419795742"/>
      <w:bookmarkStart w:id="1812" w:name="_Toc427737130"/>
      <w:bookmarkStart w:id="1813" w:name="_Toc438546932"/>
      <w:bookmarkStart w:id="1814" w:name="_Toc446326919"/>
      <w:bookmarkStart w:id="1815" w:name="_Toc448825109"/>
      <w:bookmarkStart w:id="1816" w:name="_Toc451506153"/>
      <w:bookmarkStart w:id="1817" w:name="_Toc462212576"/>
      <w:bookmarkStart w:id="1818" w:name="_Toc468096496"/>
      <w:bookmarkStart w:id="1819" w:name="_Toc477853961"/>
      <w:bookmarkStart w:id="1820" w:name="_Toc488735905"/>
      <w:bookmarkStart w:id="1821" w:name="_Toc491176722"/>
      <w:bookmarkStart w:id="1822" w:name="_Toc509393645"/>
      <w:bookmarkStart w:id="1823" w:name="_Toc525114814"/>
      <w:bookmarkStart w:id="1824" w:name="_Toc535997211"/>
      <w:bookmarkStart w:id="1825" w:name="_Toc224819070"/>
      <w:r w:rsidRPr="00A1145E">
        <w:t>§§545</w:t>
      </w:r>
      <w:r>
        <w:t>-</w:t>
      </w:r>
      <w:r w:rsidRPr="00A1145E">
        <w:t>549.</w:t>
      </w:r>
      <w:r w:rsidRPr="00A1145E">
        <w:tab/>
        <w:t>Reserved</w:t>
      </w:r>
      <w:r>
        <w:t>.</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04AA9463" w14:textId="77777777" w:rsidR="005A46E7" w:rsidRPr="00A1145E" w:rsidRDefault="005A46E7" w:rsidP="005A46E7">
      <w:pPr>
        <w:pStyle w:val="Chapter"/>
      </w:pPr>
      <w:bookmarkStart w:id="1826" w:name="_Toc224819071"/>
      <w:r w:rsidRPr="00A1145E">
        <w:t>Subchapter F.</w:t>
      </w:r>
      <w:r w:rsidRPr="00A1145E">
        <w:tab/>
        <w:t>Specific Entry R</w:t>
      </w:r>
      <w:r w:rsidR="001D0109">
        <w:t>equirements for Sheep and Goats</w:t>
      </w:r>
      <w:bookmarkEnd w:id="1826"/>
    </w:p>
    <w:p w14:paraId="1F0B3AC9" w14:textId="77777777" w:rsidR="005A46E7" w:rsidRPr="00A1145E" w:rsidRDefault="005A46E7" w:rsidP="005A46E7">
      <w:pPr>
        <w:pStyle w:val="Section"/>
      </w:pPr>
      <w:bookmarkStart w:id="1827" w:name="_Toc256754749"/>
      <w:bookmarkStart w:id="1828" w:name="_Toc375025534"/>
      <w:bookmarkStart w:id="1829" w:name="_Toc224819072"/>
      <w:r w:rsidRPr="00A1145E">
        <w:t>§551.</w:t>
      </w:r>
      <w:r w:rsidRPr="00A1145E">
        <w:tab/>
        <w:t>Health Requirements Governing Admission of Livestock</w:t>
      </w:r>
      <w:bookmarkEnd w:id="1827"/>
      <w:bookmarkEnd w:id="1828"/>
      <w:r>
        <w:br/>
        <w:t>(</w:t>
      </w:r>
      <w:r w:rsidRPr="00A1145E">
        <w:t>Formerly §1101</w:t>
      </w:r>
      <w:r>
        <w:t>)</w:t>
      </w:r>
      <w:bookmarkEnd w:id="1829"/>
    </w:p>
    <w:p w14:paraId="0CDAF9EE" w14:textId="77777777" w:rsidR="005A46E7" w:rsidRPr="00A1145E" w:rsidRDefault="005A46E7" w:rsidP="005A46E7">
      <w:pPr>
        <w:pStyle w:val="A"/>
      </w:pPr>
      <w:r w:rsidRPr="00A1145E">
        <w:t>A.</w:t>
      </w:r>
      <w:r w:rsidRPr="00A1145E">
        <w:tab/>
        <w:t>All sheep entering the state must meet the general requirements of §501. In addition, all sheep entering Louisiana from a state in which scabies is known to exist must be dipped within 15 days prior to shipment in a dip preparation approved for this purpose by the United States Department of Agriculture. The date and name of the dip must be recorded on the health certificate covering this movement.</w:t>
      </w:r>
    </w:p>
    <w:p w14:paraId="47B2C8D2" w14:textId="77777777" w:rsidR="005A46E7" w:rsidRPr="00A1145E" w:rsidRDefault="005A46E7" w:rsidP="005A46E7">
      <w:pPr>
        <w:pStyle w:val="AuthorityNote"/>
      </w:pPr>
      <w:r w:rsidRPr="00A1145E">
        <w:t>AUTHORITY NOTE:</w:t>
      </w:r>
      <w:r w:rsidRPr="00A1145E">
        <w:tab/>
        <w:t>Promulgated in accordance with R.S. 3:2093.</w:t>
      </w:r>
    </w:p>
    <w:p w14:paraId="30CF0452"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14:paraId="10E58413" w14:textId="77777777" w:rsidR="005A46E7" w:rsidRPr="00A1145E" w:rsidRDefault="005A46E7" w:rsidP="005A46E7">
      <w:pPr>
        <w:pStyle w:val="Section"/>
      </w:pPr>
      <w:bookmarkStart w:id="1830" w:name="_Toc256754750"/>
      <w:bookmarkStart w:id="1831" w:name="_Toc375025535"/>
      <w:bookmarkStart w:id="1832" w:name="_Toc224819073"/>
      <w:r w:rsidRPr="00A1145E">
        <w:t>§553.</w:t>
      </w:r>
      <w:r w:rsidRPr="00A1145E">
        <w:tab/>
        <w:t>Admission of Livestock to Fairs, Livestock Shows, Breeders' Association Sales and Rodeos</w:t>
      </w:r>
      <w:bookmarkEnd w:id="1830"/>
      <w:bookmarkEnd w:id="1831"/>
      <w:r>
        <w:br/>
        <w:t>(</w:t>
      </w:r>
      <w:r w:rsidRPr="00A1145E">
        <w:t>Formerly §1103</w:t>
      </w:r>
      <w:r>
        <w:t>)</w:t>
      </w:r>
      <w:bookmarkEnd w:id="1832"/>
    </w:p>
    <w:p w14:paraId="50088EEA" w14:textId="77777777" w:rsidR="005A46E7" w:rsidRPr="00A1145E" w:rsidRDefault="005A46E7" w:rsidP="005A46E7">
      <w:pPr>
        <w:pStyle w:val="A"/>
      </w:pPr>
      <w:r w:rsidRPr="00A1145E">
        <w:t>A.</w:t>
      </w:r>
      <w:r w:rsidRPr="00A1145E">
        <w:tab/>
        <w:t>All sheep consigned to fairgrounds, livestock showgrounds, sale grounds and rodeos must meet the general requirements of §503. In addition, all sheep to be admitted to fairgrounds, livestock show grounds, salegrounds or rodeos must be accompanied by an official health certificate, issued by an accredited veterinarian, stating the animals are healthy and free from infectious, contagious or parasitic disease.</w:t>
      </w:r>
    </w:p>
    <w:p w14:paraId="735F81D1" w14:textId="77777777" w:rsidR="005A46E7" w:rsidRPr="00A1145E" w:rsidRDefault="005A46E7" w:rsidP="005A46E7">
      <w:pPr>
        <w:pStyle w:val="AuthorityNote"/>
      </w:pPr>
      <w:r w:rsidRPr="00A1145E">
        <w:t>AUTHORITY NOTE:</w:t>
      </w:r>
      <w:r w:rsidRPr="00A1145E">
        <w:tab/>
        <w:t>Promulgated in accordance with R.S. 3:2093.</w:t>
      </w:r>
    </w:p>
    <w:p w14:paraId="320434D3"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14:paraId="666B4CE7" w14:textId="77777777" w:rsidR="005A46E7" w:rsidRPr="00A1145E" w:rsidRDefault="005A46E7" w:rsidP="005A46E7">
      <w:pPr>
        <w:pStyle w:val="Section"/>
      </w:pPr>
      <w:bookmarkStart w:id="1833" w:name="_Toc256754753"/>
      <w:bookmarkStart w:id="1834" w:name="_Toc375025538"/>
      <w:bookmarkStart w:id="1835" w:name="_Toc224819074"/>
      <w:r w:rsidRPr="00A1145E">
        <w:t>§555.</w:t>
      </w:r>
      <w:r w:rsidRPr="00A1145E">
        <w:tab/>
        <w:t>Health Requirements Governing Admission of Livestock</w:t>
      </w:r>
      <w:bookmarkEnd w:id="1833"/>
      <w:bookmarkEnd w:id="1834"/>
      <w:r>
        <w:br/>
        <w:t>(</w:t>
      </w:r>
      <w:r w:rsidRPr="00A1145E">
        <w:t>Formerly §1301</w:t>
      </w:r>
      <w:r>
        <w:t>)</w:t>
      </w:r>
      <w:bookmarkEnd w:id="1835"/>
    </w:p>
    <w:p w14:paraId="3D723A58" w14:textId="77777777" w:rsidR="005A46E7" w:rsidRPr="00A1145E" w:rsidRDefault="005A46E7" w:rsidP="005A46E7">
      <w:pPr>
        <w:pStyle w:val="A"/>
      </w:pPr>
      <w:r w:rsidRPr="00A1145E">
        <w:t>A.</w:t>
      </w:r>
      <w:r w:rsidRPr="00A1145E">
        <w:tab/>
        <w:t xml:space="preserve">All goats imported into the state must meet the general requirements of §501. In addition, dairy goats must meet the </w:t>
      </w:r>
      <w:r w:rsidRPr="002248D5">
        <w:rPr>
          <w:i/>
        </w:rPr>
        <w:t>Brucellosis</w:t>
      </w:r>
      <w:r w:rsidRPr="00A1145E">
        <w:t xml:space="preserve"> and tuberculosis requirements stipulated for cattle.</w:t>
      </w:r>
    </w:p>
    <w:p w14:paraId="6235288B" w14:textId="77777777" w:rsidR="005A46E7" w:rsidRPr="00A1145E" w:rsidRDefault="005A46E7" w:rsidP="005A46E7">
      <w:pPr>
        <w:pStyle w:val="AuthorityNote"/>
      </w:pPr>
      <w:r w:rsidRPr="00A1145E">
        <w:t>AUTHORITY NOTE:</w:t>
      </w:r>
      <w:r w:rsidRPr="00A1145E">
        <w:tab/>
        <w:t>Promulgated in accordance with R.S. 3:2093.</w:t>
      </w:r>
    </w:p>
    <w:p w14:paraId="2C614FE3"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14:paraId="2C4286D1" w14:textId="77777777" w:rsidR="005A46E7" w:rsidRPr="00A1145E" w:rsidRDefault="005A46E7" w:rsidP="005A46E7">
      <w:pPr>
        <w:pStyle w:val="Section"/>
      </w:pPr>
      <w:bookmarkStart w:id="1836" w:name="_Toc388358252"/>
      <w:bookmarkStart w:id="1837" w:name="_Toc396115154"/>
      <w:bookmarkStart w:id="1838" w:name="_Toc411855545"/>
      <w:bookmarkStart w:id="1839" w:name="_Toc419795747"/>
      <w:bookmarkStart w:id="1840" w:name="_Toc427737135"/>
      <w:bookmarkStart w:id="1841" w:name="_Toc438546937"/>
      <w:bookmarkStart w:id="1842" w:name="_Toc446326924"/>
      <w:bookmarkStart w:id="1843" w:name="_Toc448825114"/>
      <w:bookmarkStart w:id="1844" w:name="_Toc451506158"/>
      <w:bookmarkStart w:id="1845" w:name="_Toc462212581"/>
      <w:bookmarkStart w:id="1846" w:name="_Toc468096501"/>
      <w:bookmarkStart w:id="1847" w:name="_Toc477853966"/>
      <w:bookmarkStart w:id="1848" w:name="_Toc488735910"/>
      <w:bookmarkStart w:id="1849" w:name="_Toc491176727"/>
      <w:bookmarkStart w:id="1850" w:name="_Toc509393650"/>
      <w:bookmarkStart w:id="1851" w:name="_Toc525114819"/>
      <w:bookmarkStart w:id="1852" w:name="_Toc535997216"/>
      <w:bookmarkStart w:id="1853" w:name="_Toc224819075"/>
      <w:r w:rsidRPr="00A1145E">
        <w:lastRenderedPageBreak/>
        <w:t>§§557</w:t>
      </w:r>
      <w:r>
        <w:t>-</w:t>
      </w:r>
      <w:r w:rsidRPr="00A1145E">
        <w:t>559.</w:t>
      </w:r>
      <w:r w:rsidRPr="00A1145E">
        <w:tab/>
        <w:t>Reserved</w:t>
      </w:r>
      <w:r>
        <w:t>.</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0F3AC11E" w14:textId="77777777" w:rsidR="005A46E7" w:rsidRPr="00A1145E" w:rsidRDefault="005A46E7" w:rsidP="005A46E7">
      <w:pPr>
        <w:pStyle w:val="Chapter"/>
      </w:pPr>
      <w:bookmarkStart w:id="1854" w:name="_Toc224819076"/>
      <w:r>
        <w:t>Subchapter G.</w:t>
      </w:r>
      <w:r>
        <w:tab/>
      </w:r>
      <w:r w:rsidRPr="00A1145E">
        <w:t xml:space="preserve">Specific Entry Requirements for White-Tailed Deer </w:t>
      </w:r>
      <w:r>
        <w:t>and Captive Cervids</w:t>
      </w:r>
      <w:r w:rsidR="000C2EE9">
        <w:t>.</w:t>
      </w:r>
      <w:r w:rsidR="000C2EE9">
        <w:tab/>
        <w:t>Reserved.</w:t>
      </w:r>
      <w:bookmarkEnd w:id="1854"/>
    </w:p>
    <w:p w14:paraId="5C0F506C" w14:textId="77777777" w:rsidR="005A46E7" w:rsidRPr="00A1145E" w:rsidRDefault="005A46E7" w:rsidP="005A46E7">
      <w:pPr>
        <w:pStyle w:val="Section"/>
      </w:pPr>
      <w:bookmarkStart w:id="1855" w:name="_Toc419795749"/>
      <w:bookmarkStart w:id="1856" w:name="_Toc427737137"/>
      <w:bookmarkStart w:id="1857" w:name="_Toc438546939"/>
      <w:bookmarkStart w:id="1858" w:name="_Toc446326926"/>
      <w:bookmarkStart w:id="1859" w:name="_Toc451506160"/>
      <w:bookmarkStart w:id="1860" w:name="_Toc462212583"/>
      <w:bookmarkStart w:id="1861" w:name="_Toc468096503"/>
      <w:bookmarkStart w:id="1862" w:name="_Toc477853968"/>
      <w:bookmarkStart w:id="1863" w:name="_Toc488735912"/>
      <w:bookmarkStart w:id="1864" w:name="_Toc491176729"/>
      <w:bookmarkStart w:id="1865" w:name="_Toc509393652"/>
      <w:bookmarkStart w:id="1866" w:name="_Toc525114821"/>
      <w:bookmarkStart w:id="1867" w:name="_Toc535997218"/>
      <w:bookmarkStart w:id="1868" w:name="_Toc224819077"/>
      <w:r w:rsidRPr="00A1145E">
        <w:t>§§561</w:t>
      </w:r>
      <w:r>
        <w:t>-</w:t>
      </w:r>
      <w:r w:rsidRPr="00A1145E">
        <w:t>569.</w:t>
      </w:r>
      <w:r w:rsidRPr="00A1145E">
        <w:tab/>
        <w:t>Reserved</w:t>
      </w:r>
      <w:r>
        <w:t>.</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528D25BC" w14:textId="77777777" w:rsidR="005A46E7" w:rsidRPr="00A1145E" w:rsidRDefault="005A46E7" w:rsidP="005A46E7">
      <w:pPr>
        <w:pStyle w:val="Chapter"/>
      </w:pPr>
      <w:bookmarkStart w:id="1869" w:name="_Toc224819078"/>
      <w:r w:rsidRPr="00A1145E">
        <w:t>Subchapter H.</w:t>
      </w:r>
      <w:r w:rsidRPr="00A1145E">
        <w:tab/>
        <w:t>Specific Entry</w:t>
      </w:r>
      <w:r>
        <w:t xml:space="preserve"> Requirements for Dogs and Cats</w:t>
      </w:r>
      <w:bookmarkEnd w:id="1869"/>
    </w:p>
    <w:p w14:paraId="0BED89B9" w14:textId="77777777" w:rsidR="005A46E7" w:rsidRPr="00A1145E" w:rsidRDefault="005A46E7" w:rsidP="005A46E7">
      <w:pPr>
        <w:pStyle w:val="Section"/>
      </w:pPr>
      <w:bookmarkStart w:id="1870" w:name="_Toc256754770"/>
      <w:bookmarkStart w:id="1871" w:name="_Toc375025555"/>
      <w:bookmarkStart w:id="1872" w:name="_Toc224819079"/>
      <w:r w:rsidRPr="00A1145E">
        <w:t>§571.</w:t>
      </w:r>
      <w:r w:rsidRPr="00A1145E">
        <w:tab/>
        <w:t>Health Requirements Governing Admission</w:t>
      </w:r>
      <w:bookmarkEnd w:id="1870"/>
      <w:bookmarkEnd w:id="1871"/>
      <w:r>
        <w:br/>
        <w:t>(</w:t>
      </w:r>
      <w:r w:rsidRPr="00A1145E">
        <w:t>Formerly §1901</w:t>
      </w:r>
      <w:r>
        <w:t>)</w:t>
      </w:r>
      <w:bookmarkEnd w:id="1872"/>
    </w:p>
    <w:p w14:paraId="32C92B51" w14:textId="77777777" w:rsidR="005A46E7" w:rsidRPr="00A1145E" w:rsidRDefault="005A46E7" w:rsidP="005A46E7">
      <w:pPr>
        <w:pStyle w:val="A"/>
      </w:pPr>
      <w:r w:rsidRPr="00A1145E">
        <w:t>A.</w:t>
      </w:r>
      <w:r w:rsidRPr="00A1145E">
        <w:tab/>
        <w:t>All dogs and cats imported into Louisiana for any purpose must meet the general requirements of §501 and must be accompanied by an official health certificate, issued by an accredited veterinarian, showing they have been immunized against rabies within 12 months prior to entry. Exceptions to this Section are dogs and cats which are 3 months of age or younger are exempt from the rabies vaccination requirement.</w:t>
      </w:r>
    </w:p>
    <w:p w14:paraId="6A8F833D" w14:textId="77777777" w:rsidR="005A46E7" w:rsidRPr="00A1145E" w:rsidRDefault="005A46E7" w:rsidP="005A46E7">
      <w:pPr>
        <w:pStyle w:val="AuthorityNote"/>
      </w:pPr>
      <w:r w:rsidRPr="00A1145E">
        <w:t>AUTHORITY NOTE:</w:t>
      </w:r>
      <w:r w:rsidRPr="00A1145E">
        <w:tab/>
        <w:t>Promulgated in accordance with R.S. 3:2093.</w:t>
      </w:r>
    </w:p>
    <w:p w14:paraId="1EAA9992"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14:paraId="11D24AC9" w14:textId="77777777" w:rsidR="005A46E7" w:rsidRPr="00A1145E" w:rsidRDefault="005A46E7" w:rsidP="005A46E7">
      <w:pPr>
        <w:pStyle w:val="Section"/>
      </w:pPr>
      <w:bookmarkStart w:id="1873" w:name="_Toc388358257"/>
      <w:bookmarkStart w:id="1874" w:name="_Toc396115159"/>
      <w:bookmarkStart w:id="1875" w:name="_Toc411855550"/>
      <w:bookmarkStart w:id="1876" w:name="_Toc419795752"/>
      <w:bookmarkStart w:id="1877" w:name="_Toc427737140"/>
      <w:bookmarkStart w:id="1878" w:name="_Toc438546942"/>
      <w:bookmarkStart w:id="1879" w:name="_Toc446326929"/>
      <w:bookmarkStart w:id="1880" w:name="_Toc448825119"/>
      <w:bookmarkStart w:id="1881" w:name="_Toc451506163"/>
      <w:bookmarkStart w:id="1882" w:name="_Toc462212586"/>
      <w:bookmarkStart w:id="1883" w:name="_Toc468096506"/>
      <w:bookmarkStart w:id="1884" w:name="_Toc477853971"/>
      <w:bookmarkStart w:id="1885" w:name="_Toc488735915"/>
      <w:bookmarkStart w:id="1886" w:name="_Toc491176732"/>
      <w:bookmarkStart w:id="1887" w:name="_Toc509393655"/>
      <w:bookmarkStart w:id="1888" w:name="_Toc525114824"/>
      <w:bookmarkStart w:id="1889" w:name="_Toc535997221"/>
      <w:bookmarkStart w:id="1890" w:name="_Toc224819080"/>
      <w:r w:rsidRPr="00A1145E">
        <w:t>§§573</w:t>
      </w:r>
      <w:r>
        <w:t>-</w:t>
      </w:r>
      <w:r w:rsidRPr="00A1145E">
        <w:t>579.</w:t>
      </w:r>
      <w:r w:rsidRPr="00A1145E">
        <w:tab/>
        <w:t>Reserved</w:t>
      </w:r>
      <w:r>
        <w:t>.</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B8BC534" w14:textId="77777777" w:rsidR="005A46E7" w:rsidRPr="00A1145E" w:rsidRDefault="005A46E7" w:rsidP="005A46E7">
      <w:pPr>
        <w:pStyle w:val="Chapter"/>
      </w:pPr>
      <w:bookmarkStart w:id="1891" w:name="_Toc224819081"/>
      <w:r w:rsidRPr="00A1145E">
        <w:t>Subchapter I.</w:t>
      </w:r>
      <w:r w:rsidRPr="00A1145E">
        <w:tab/>
        <w:t>Specific Entry Requirements for Wild Animals</w:t>
      </w:r>
      <w:bookmarkEnd w:id="1891"/>
    </w:p>
    <w:p w14:paraId="4C1940F8" w14:textId="77777777" w:rsidR="005A46E7" w:rsidRPr="00A1145E" w:rsidRDefault="005A46E7" w:rsidP="005A46E7">
      <w:pPr>
        <w:pStyle w:val="Section"/>
      </w:pPr>
      <w:bookmarkStart w:id="1892" w:name="_Toc256754772"/>
      <w:bookmarkStart w:id="1893" w:name="_Toc375025557"/>
      <w:bookmarkStart w:id="1894" w:name="_Toc224819082"/>
      <w:r w:rsidRPr="00A1145E">
        <w:t>§581.</w:t>
      </w:r>
      <w:r w:rsidRPr="00A1145E">
        <w:tab/>
        <w:t>Health Requirements Governing Admission</w:t>
      </w:r>
      <w:bookmarkEnd w:id="1892"/>
      <w:bookmarkEnd w:id="1893"/>
      <w:r>
        <w:br/>
        <w:t>(</w:t>
      </w:r>
      <w:r w:rsidRPr="00A1145E">
        <w:t>Formerly §2101</w:t>
      </w:r>
      <w:r>
        <w:t>)</w:t>
      </w:r>
      <w:bookmarkEnd w:id="1894"/>
    </w:p>
    <w:p w14:paraId="7FDE4534" w14:textId="77777777" w:rsidR="005A46E7" w:rsidRPr="00A1145E" w:rsidRDefault="005A46E7" w:rsidP="005A46E7">
      <w:pPr>
        <w:pStyle w:val="A"/>
      </w:pPr>
      <w:r w:rsidRPr="00A1145E">
        <w:t>A.</w:t>
      </w:r>
      <w:r w:rsidRPr="00A1145E">
        <w:tab/>
        <w:t>Wild or semi-wild animals, under domestication or in custody, may be imported into the state of Louisiana provided that these animals meet the general requirements of §501 and a report of the number of animals to be imported are made to state veterinarian of Louisiana within 10 days of the date of shipment and immediate opportunity for examination is afforded a representative of the Livestock Sanitary Board to determine the health status of such animals.</w:t>
      </w:r>
    </w:p>
    <w:p w14:paraId="0D11D74D" w14:textId="77777777" w:rsidR="005A46E7" w:rsidRPr="00A1145E" w:rsidRDefault="005A46E7" w:rsidP="005A46E7">
      <w:pPr>
        <w:pStyle w:val="AuthorityNote"/>
      </w:pPr>
      <w:r w:rsidRPr="00A1145E">
        <w:t>AUTHORITY NOTE:</w:t>
      </w:r>
      <w:r w:rsidRPr="00A1145E">
        <w:tab/>
        <w:t>Promulgated in accordance with R.S. 3:2093.</w:t>
      </w:r>
    </w:p>
    <w:p w14:paraId="007D5EBF"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14:paraId="64A87A95" w14:textId="77777777" w:rsidR="005A46E7" w:rsidRPr="00A1145E" w:rsidRDefault="005A46E7" w:rsidP="005A46E7">
      <w:pPr>
        <w:pStyle w:val="Chapter"/>
      </w:pPr>
      <w:bookmarkStart w:id="1895" w:name="_Toc224819083"/>
      <w:r w:rsidRPr="00A1145E">
        <w:t>Chapter 7.</w:t>
      </w:r>
      <w:r w:rsidRPr="00A1145E">
        <w:tab/>
        <w:t>Cattl</w:t>
      </w:r>
      <w:r>
        <w:t>e, Bison, and other Bovines</w:t>
      </w:r>
      <w:r>
        <w:br/>
        <w:t>(Formerly Chapter 3)</w:t>
      </w:r>
      <w:bookmarkEnd w:id="1895"/>
    </w:p>
    <w:p w14:paraId="2E73A4FC" w14:textId="77777777" w:rsidR="005A46E7" w:rsidRPr="00A1145E" w:rsidRDefault="005A46E7" w:rsidP="005A46E7">
      <w:pPr>
        <w:pStyle w:val="Chapter"/>
      </w:pPr>
      <w:bookmarkStart w:id="1896" w:name="_Toc224819084"/>
      <w:r w:rsidRPr="00A1145E">
        <w:t>S</w:t>
      </w:r>
      <w:r>
        <w:t>ubchapter A.</w:t>
      </w:r>
      <w:r>
        <w:tab/>
        <w:t>General Provisions</w:t>
      </w:r>
      <w:bookmarkEnd w:id="1896"/>
    </w:p>
    <w:p w14:paraId="258D2A58" w14:textId="77777777" w:rsidR="0097119C" w:rsidRPr="00B3579C" w:rsidRDefault="0097119C" w:rsidP="0097119C">
      <w:pPr>
        <w:pStyle w:val="Section"/>
      </w:pPr>
      <w:bookmarkStart w:id="1897" w:name="_Toc224819085"/>
      <w:r w:rsidRPr="00B3579C">
        <w:t>§701.</w:t>
      </w:r>
      <w:r w:rsidRPr="00B3579C">
        <w:tab/>
        <w:t>Definitions</w:t>
      </w:r>
      <w:bookmarkEnd w:id="1897"/>
    </w:p>
    <w:p w14:paraId="339E40CB" w14:textId="77777777" w:rsidR="0097119C" w:rsidRPr="002024DD" w:rsidRDefault="0097119C" w:rsidP="0097119C">
      <w:pPr>
        <w:pStyle w:val="A"/>
      </w:pPr>
      <w:r w:rsidRPr="002024DD">
        <w:t>A.</w:t>
      </w:r>
      <w:r w:rsidRPr="002024DD">
        <w:tab/>
        <w:t>As used in this Chapter, the following terms shall have the following meanings ascribed to them, unless otherwise indicated herein:</w:t>
      </w:r>
    </w:p>
    <w:p w14:paraId="592888E1" w14:textId="77777777" w:rsidR="0097119C" w:rsidRPr="002024DD" w:rsidRDefault="0097119C" w:rsidP="0097119C">
      <w:pPr>
        <w:pStyle w:val="1"/>
      </w:pPr>
      <w:r w:rsidRPr="002024DD">
        <w:rPr>
          <w:i/>
          <w:iCs/>
        </w:rPr>
        <w:t>Annual Test—</w:t>
      </w:r>
      <w:r w:rsidRPr="002024DD">
        <w:t xml:space="preserve">tests conducted at intervals of not less than 10 months or more than 14 months. </w:t>
      </w:r>
    </w:p>
    <w:p w14:paraId="0318177A" w14:textId="77777777" w:rsidR="0097119C" w:rsidRPr="002024DD" w:rsidRDefault="0097119C" w:rsidP="0097119C">
      <w:pPr>
        <w:pStyle w:val="1"/>
      </w:pPr>
      <w:r w:rsidRPr="002024DD">
        <w:rPr>
          <w:i/>
        </w:rPr>
        <w:t>Bovine Tuberculosis—</w:t>
      </w:r>
      <w:r w:rsidRPr="002024DD">
        <w:t xml:space="preserve">a disease in cattle, bison, or dairy goats caused by </w:t>
      </w:r>
      <w:r w:rsidRPr="002024DD">
        <w:rPr>
          <w:i/>
        </w:rPr>
        <w:t>Mycobacterium bovis</w:t>
      </w:r>
      <w:r w:rsidRPr="002024DD">
        <w:t>.</w:t>
      </w:r>
    </w:p>
    <w:p w14:paraId="4E4960D6" w14:textId="77777777" w:rsidR="0097119C" w:rsidRPr="002024DD" w:rsidRDefault="0097119C" w:rsidP="0097119C">
      <w:pPr>
        <w:pStyle w:val="1"/>
      </w:pPr>
      <w:r w:rsidRPr="002024DD">
        <w:rPr>
          <w:i/>
        </w:rPr>
        <w:t>Confirmatory Test—</w:t>
      </w:r>
      <w:r w:rsidRPr="002024DD">
        <w:rPr>
          <w:iCs/>
        </w:rPr>
        <w:t xml:space="preserve">an </w:t>
      </w:r>
      <w:r w:rsidRPr="002024DD">
        <w:t>additional PCR test requested by the owner of an animal that has previously tested positive for trichomoniasis; the test must be requested within five business days of receipt of positive result from lab to the state veterinarian and samples must be submitted to LADDL. If the confirmatory test is positive, the animal will be classified as infected with Trichomoniasis. If the confirmatory test is negative, the animal shall be tested again in not less than seven days of receipt of positive test from lab to determine its disease status. Two negative tests are required to reclassify a positive bull as negative.</w:t>
      </w:r>
    </w:p>
    <w:p w14:paraId="7014D074" w14:textId="77777777" w:rsidR="0097119C" w:rsidRPr="002024DD" w:rsidRDefault="0097119C" w:rsidP="0097119C">
      <w:pPr>
        <w:pStyle w:val="1"/>
      </w:pPr>
      <w:r w:rsidRPr="002024DD">
        <w:rPr>
          <w:i/>
        </w:rPr>
        <w:t>Department—</w:t>
      </w:r>
      <w:r w:rsidRPr="002024DD">
        <w:t>Louisiana Department of Agriculture and Forestry.</w:t>
      </w:r>
      <w:r w:rsidRPr="002024DD">
        <w:tab/>
      </w:r>
    </w:p>
    <w:p w14:paraId="698DD365" w14:textId="77777777" w:rsidR="0097119C" w:rsidRPr="002024DD" w:rsidRDefault="0097119C" w:rsidP="0097119C">
      <w:pPr>
        <w:pStyle w:val="1"/>
      </w:pPr>
      <w:r w:rsidRPr="002024DD">
        <w:rPr>
          <w:i/>
        </w:rPr>
        <w:t>Mexican Cattle—</w:t>
      </w:r>
      <w:r w:rsidRPr="002024DD">
        <w:rPr>
          <w:iCs/>
        </w:rPr>
        <w:t xml:space="preserve">cattle </w:t>
      </w:r>
      <w:r w:rsidRPr="002024DD">
        <w:t xml:space="preserve">that originated in Mexico. </w:t>
      </w:r>
    </w:p>
    <w:p w14:paraId="00F3C135" w14:textId="77777777" w:rsidR="0097119C" w:rsidRPr="002024DD" w:rsidRDefault="0097119C" w:rsidP="0097119C">
      <w:pPr>
        <w:pStyle w:val="1"/>
      </w:pPr>
      <w:r w:rsidRPr="002024DD">
        <w:rPr>
          <w:i/>
        </w:rPr>
        <w:t>PCR Test—Polymerase</w:t>
      </w:r>
      <w:r w:rsidRPr="002024DD">
        <w:t>-Chain Reaction Test</w:t>
      </w:r>
    </w:p>
    <w:p w14:paraId="2247B6DE" w14:textId="77777777" w:rsidR="0097119C" w:rsidRPr="002024DD" w:rsidRDefault="0097119C" w:rsidP="0097119C">
      <w:pPr>
        <w:pStyle w:val="1"/>
        <w:rPr>
          <w:strike/>
        </w:rPr>
      </w:pPr>
      <w:r w:rsidRPr="002024DD">
        <w:rPr>
          <w:i/>
        </w:rPr>
        <w:t>Trichomoniasis-Infected Herd—</w:t>
      </w:r>
      <w:r w:rsidRPr="002024DD">
        <w:t>a herd in which any cattle have been determined by an official test to be infected with trichomoniasis</w:t>
      </w:r>
      <w:r w:rsidRPr="002024DD">
        <w:rPr>
          <w:strike/>
        </w:rPr>
        <w:t>.</w:t>
      </w:r>
    </w:p>
    <w:p w14:paraId="343F275C" w14:textId="77777777" w:rsidR="0097119C" w:rsidRPr="002024DD" w:rsidRDefault="0097119C" w:rsidP="0097119C">
      <w:pPr>
        <w:pStyle w:val="1"/>
      </w:pPr>
      <w:r w:rsidRPr="002024DD">
        <w:rPr>
          <w:i/>
        </w:rPr>
        <w:t>Virgin Bull</w:t>
      </w:r>
      <w:r w:rsidRPr="002024DD">
        <w:t>—a bull of less than 18 months of age, whose permanent central incisor teeth are not present, and who has never been commingled with breeding females.</w:t>
      </w:r>
    </w:p>
    <w:p w14:paraId="75D5C90D" w14:textId="77777777" w:rsidR="0097119C" w:rsidRPr="002024DD" w:rsidRDefault="0097119C" w:rsidP="0097119C">
      <w:pPr>
        <w:pStyle w:val="AuthorityNote"/>
      </w:pPr>
      <w:r w:rsidRPr="002024DD">
        <w:t>AUTHORITY NOTE:</w:t>
      </w:r>
      <w:r w:rsidRPr="002024DD">
        <w:tab/>
        <w:t xml:space="preserve">Promulgated in accordance with R.S. 3:2093. </w:t>
      </w:r>
    </w:p>
    <w:p w14:paraId="258EEB00" w14:textId="77777777" w:rsidR="005A46E7" w:rsidRPr="00A1145E" w:rsidRDefault="0097119C" w:rsidP="0097119C">
      <w:pPr>
        <w:pStyle w:val="HistoricalNote"/>
      </w:pPr>
      <w:r w:rsidRPr="002024DD">
        <w:t>HISTORICAL NOTE:</w:t>
      </w:r>
      <w:r w:rsidRPr="002024DD">
        <w:tab/>
        <w:t xml:space="preserve">Promulgated by the Department of Agriculture and Forestry, Office of Animal Health and Food Safety and the Board of Animal Health, </w:t>
      </w:r>
      <w:r>
        <w:t>LR 49:237 (February 2023).</w:t>
      </w:r>
    </w:p>
    <w:p w14:paraId="76DA3730" w14:textId="77777777" w:rsidR="005A46E7" w:rsidRPr="00A1145E" w:rsidRDefault="005A46E7" w:rsidP="005A46E7">
      <w:pPr>
        <w:pStyle w:val="Section"/>
      </w:pPr>
      <w:bookmarkStart w:id="1898" w:name="_Toc256754710"/>
      <w:bookmarkStart w:id="1899" w:name="_Toc375025494"/>
      <w:bookmarkStart w:id="1900" w:name="_Toc224819086"/>
      <w:r w:rsidRPr="00A1145E">
        <w:t>§705.</w:t>
      </w:r>
      <w:r w:rsidRPr="00A1145E">
        <w:tab/>
        <w:t>Quarantined Cattle Feedlots</w:t>
      </w:r>
      <w:bookmarkEnd w:id="1898"/>
      <w:bookmarkEnd w:id="1899"/>
      <w:r>
        <w:br/>
        <w:t>(</w:t>
      </w:r>
      <w:r w:rsidRPr="00A1145E">
        <w:t>Formerly §325</w:t>
      </w:r>
      <w:r>
        <w:t>)</w:t>
      </w:r>
      <w:bookmarkEnd w:id="1900"/>
    </w:p>
    <w:p w14:paraId="2C8424A0" w14:textId="77777777" w:rsidR="005A46E7" w:rsidRPr="00A1145E" w:rsidRDefault="005A46E7" w:rsidP="005A46E7">
      <w:pPr>
        <w:pStyle w:val="A"/>
      </w:pPr>
      <w:r w:rsidRPr="00A1145E">
        <w:t>A.</w:t>
      </w:r>
      <w:r w:rsidRPr="00A1145E">
        <w:tab/>
        <w:t>Permit Required. No person may operate a quarantined cattle feedlot without first obtaining a permit from the Livestock Sanitary Board. Any person operating a cattle feedlot without a valid permit will be in violation of this regulation and subject to prosecution.</w:t>
      </w:r>
    </w:p>
    <w:p w14:paraId="647DCF16" w14:textId="77777777" w:rsidR="005A46E7" w:rsidRPr="00A1145E" w:rsidRDefault="005A46E7" w:rsidP="005A46E7">
      <w:pPr>
        <w:pStyle w:val="A"/>
      </w:pPr>
      <w:r w:rsidRPr="00A1145E">
        <w:t>B.</w:t>
      </w:r>
      <w:r w:rsidRPr="00A1145E">
        <w:tab/>
        <w:t>Conditions for Issuing a Quarantined Feedlot Permit</w:t>
      </w:r>
    </w:p>
    <w:p w14:paraId="497E6B57" w14:textId="77777777" w:rsidR="005A46E7" w:rsidRPr="00A1145E" w:rsidRDefault="005A46E7" w:rsidP="005A46E7">
      <w:pPr>
        <w:pStyle w:val="1"/>
      </w:pPr>
      <w:r w:rsidRPr="00A1145E">
        <w:t>1.</w:t>
      </w:r>
      <w:r w:rsidRPr="00A1145E">
        <w:tab/>
        <w:t>The operation must not constitute a health hazard to livestock on surrounding premises, or create a public nuisance.</w:t>
      </w:r>
    </w:p>
    <w:p w14:paraId="11E8B51C" w14:textId="77777777" w:rsidR="005A46E7" w:rsidRPr="00A1145E" w:rsidRDefault="005A46E7" w:rsidP="005A46E7">
      <w:pPr>
        <w:pStyle w:val="1"/>
      </w:pPr>
      <w:r w:rsidRPr="00A1145E">
        <w:lastRenderedPageBreak/>
        <w:t>2.</w:t>
      </w:r>
      <w:r w:rsidRPr="00A1145E">
        <w:tab/>
        <w:t>The operator must agree to abide by the provisions of this regulation and all other regulations of the Livestock Sanitary Board and United States Department of Agriculture governing such operations and movements.</w:t>
      </w:r>
    </w:p>
    <w:p w14:paraId="2778B81C" w14:textId="77777777" w:rsidR="005A46E7" w:rsidRPr="00A1145E" w:rsidRDefault="005A46E7" w:rsidP="005A46E7">
      <w:pPr>
        <w:pStyle w:val="A"/>
      </w:pPr>
      <w:r w:rsidRPr="00A1145E">
        <w:t>C.</w:t>
      </w:r>
      <w:r w:rsidRPr="00A1145E">
        <w:tab/>
        <w:t>Requirements for Operation of Quarantined Feedlots</w:t>
      </w:r>
    </w:p>
    <w:p w14:paraId="5D3BC1D8" w14:textId="77777777" w:rsidR="005A46E7" w:rsidRPr="00A1145E" w:rsidRDefault="005A46E7" w:rsidP="005A46E7">
      <w:pPr>
        <w:pStyle w:val="1"/>
      </w:pPr>
      <w:r w:rsidRPr="00A1145E">
        <w:t>1.</w:t>
      </w:r>
      <w:r w:rsidRPr="00A1145E">
        <w:tab/>
        <w:t>All cattle must be maintained separately and apart from all other cattle. There can be no fence line contact with cattle not in the quarantined feedlot. An exception to this regulation are steers and spayed heifers.</w:t>
      </w:r>
    </w:p>
    <w:p w14:paraId="588853BC" w14:textId="77777777" w:rsidR="005A46E7" w:rsidRPr="00A1145E" w:rsidRDefault="005A46E7" w:rsidP="005A46E7">
      <w:pPr>
        <w:pStyle w:val="1"/>
      </w:pPr>
      <w:r w:rsidRPr="00A1145E">
        <w:t>2.</w:t>
      </w:r>
      <w:r w:rsidRPr="00A1145E">
        <w:tab/>
        <w:t>Complete records must be maintained on all transactions showing dates, identification, origin and disposition of each animal. These records shall be made available to state-federal personnel upon receipt.</w:t>
      </w:r>
    </w:p>
    <w:p w14:paraId="01012C17" w14:textId="77777777" w:rsidR="005A46E7" w:rsidRPr="00A1145E" w:rsidRDefault="005A46E7" w:rsidP="005A46E7">
      <w:pPr>
        <w:pStyle w:val="1"/>
      </w:pPr>
      <w:r w:rsidRPr="00A1145E">
        <w:t>3.</w:t>
      </w:r>
      <w:r w:rsidRPr="00A1145E">
        <w:tab/>
        <w:t>All male and female cattle except steers and spayed heifers must be "S" branded prior to or on arrival at the feedlot.</w:t>
      </w:r>
    </w:p>
    <w:p w14:paraId="25052B33" w14:textId="77777777" w:rsidR="005A46E7" w:rsidRPr="00A1145E" w:rsidRDefault="005A46E7" w:rsidP="005A46E7">
      <w:pPr>
        <w:pStyle w:val="1"/>
      </w:pPr>
      <w:r w:rsidRPr="00A1145E">
        <w:t>4.</w:t>
      </w:r>
      <w:r w:rsidRPr="00A1145E">
        <w:tab/>
        <w:t>Necessary facilities and personnel shall be provided to enable state-federal personnel to "S" brand cattle and to determine the identification of animals that are being permitted to a slaughter establishment, quarantined feedlot, or to a stockyard to be sold for slaughter or to another quarantined feedlot.</w:t>
      </w:r>
    </w:p>
    <w:p w14:paraId="525709E3" w14:textId="77777777" w:rsidR="005A46E7" w:rsidRPr="00A1145E" w:rsidRDefault="005A46E7" w:rsidP="005A46E7">
      <w:pPr>
        <w:pStyle w:val="1"/>
      </w:pPr>
      <w:r w:rsidRPr="00A1145E">
        <w:t>5.</w:t>
      </w:r>
      <w:r w:rsidRPr="00A1145E">
        <w:tab/>
        <w:t>All cattle movements from a quarantined feedlot must be on a Form VS 1-27 or similar document issued by state-federal personnel and shall be consigned directly to a slaughtering establishment operating under approved state or federal meat inspection, to a quarantined feedlot, to a stockyard to be sold to a slaughter establishment or to a quarantined feedlot.</w:t>
      </w:r>
    </w:p>
    <w:p w14:paraId="70231DF2" w14:textId="77777777" w:rsidR="005A46E7" w:rsidRPr="00A1145E" w:rsidRDefault="005A46E7" w:rsidP="005A46E7">
      <w:pPr>
        <w:pStyle w:val="1"/>
      </w:pPr>
      <w:r w:rsidRPr="00A1145E">
        <w:t>6.</w:t>
      </w:r>
      <w:r w:rsidRPr="00A1145E">
        <w:tab/>
        <w:t>All tuberculosis exposed animals shall be fed and maintained as a group and shall not be allowed to mix with other animals in the feedlot.</w:t>
      </w:r>
    </w:p>
    <w:p w14:paraId="0E40B238" w14:textId="77777777" w:rsidR="005A46E7" w:rsidRPr="00A1145E" w:rsidRDefault="005A46E7" w:rsidP="005A46E7">
      <w:pPr>
        <w:pStyle w:val="1"/>
      </w:pPr>
      <w:r w:rsidRPr="00A1145E">
        <w:t>7.</w:t>
      </w:r>
      <w:r w:rsidRPr="00A1145E">
        <w:tab/>
        <w:t>Feeder calves under 12 months of age from tuberculosis quarantined herds will be required to be negative to a tuberculin test within 60 days prior to shipment to the feedlot.</w:t>
      </w:r>
    </w:p>
    <w:p w14:paraId="6301D7FF" w14:textId="77777777" w:rsidR="005A46E7" w:rsidRPr="00A1145E" w:rsidRDefault="005A46E7" w:rsidP="005A46E7">
      <w:pPr>
        <w:pStyle w:val="1"/>
      </w:pPr>
      <w:r w:rsidRPr="00A1145E">
        <w:t>8.</w:t>
      </w:r>
      <w:r w:rsidRPr="00A1145E">
        <w:tab/>
        <w:t>Animals will be permitted to Louisiana livestock auction markets for sale for slaughter or to a quarantined feedlot provided no tuberculosis exposed animals are received or fed on feedlot premises.</w:t>
      </w:r>
    </w:p>
    <w:p w14:paraId="58C840AE" w14:textId="77777777" w:rsidR="005A46E7" w:rsidRPr="00A1145E" w:rsidRDefault="005A46E7" w:rsidP="005A46E7">
      <w:pPr>
        <w:pStyle w:val="A"/>
      </w:pPr>
      <w:r w:rsidRPr="00A1145E">
        <w:t>D.</w:t>
      </w:r>
      <w:r w:rsidRPr="00A1145E">
        <w:tab/>
        <w:t>Cancellation of Quarantined Feedlot Permit. A quarantined feedlot permit may be canceled upon written</w:t>
      </w:r>
      <w:r w:rsidR="001175EB">
        <w:t xml:space="preserve"> </w:t>
      </w:r>
      <w:r w:rsidRPr="00A1145E">
        <w:t>notice that the operation does not meet the requirements of this regulation, or has violated one or more provisions of this regulation.</w:t>
      </w:r>
    </w:p>
    <w:p w14:paraId="15663465" w14:textId="77777777" w:rsidR="005A46E7" w:rsidRPr="00A1145E" w:rsidRDefault="005A46E7" w:rsidP="005A46E7">
      <w:pPr>
        <w:pStyle w:val="AuthorityNote"/>
      </w:pPr>
      <w:r w:rsidRPr="00A1145E">
        <w:t>AUTHORITY NOTE:</w:t>
      </w:r>
      <w:r w:rsidRPr="00A1145E">
        <w:tab/>
        <w:t>Promulgated in accordance with R.S. 3:2093.</w:t>
      </w:r>
    </w:p>
    <w:p w14:paraId="0CF4D0B9"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11:241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40:949 (May 2014).</w:t>
      </w:r>
    </w:p>
    <w:p w14:paraId="26F80E5E" w14:textId="77777777" w:rsidR="005A46E7" w:rsidRPr="00A1145E" w:rsidRDefault="005A46E7" w:rsidP="005A46E7">
      <w:pPr>
        <w:pStyle w:val="Section"/>
      </w:pPr>
      <w:bookmarkStart w:id="1901" w:name="_Toc388358264"/>
      <w:bookmarkStart w:id="1902" w:name="_Toc396115166"/>
      <w:bookmarkStart w:id="1903" w:name="_Toc411855557"/>
      <w:bookmarkStart w:id="1904" w:name="_Toc419795759"/>
      <w:bookmarkStart w:id="1905" w:name="_Toc427737147"/>
      <w:bookmarkStart w:id="1906" w:name="_Toc438546949"/>
      <w:bookmarkStart w:id="1907" w:name="_Toc446326936"/>
      <w:bookmarkStart w:id="1908" w:name="_Toc448825126"/>
      <w:bookmarkStart w:id="1909" w:name="_Toc451506170"/>
      <w:bookmarkStart w:id="1910" w:name="_Toc462212593"/>
      <w:bookmarkStart w:id="1911" w:name="_Toc468096513"/>
      <w:bookmarkStart w:id="1912" w:name="_Toc477853978"/>
      <w:bookmarkStart w:id="1913" w:name="_Toc488735922"/>
      <w:bookmarkStart w:id="1914" w:name="_Toc491176739"/>
      <w:bookmarkStart w:id="1915" w:name="_Toc509393662"/>
      <w:bookmarkStart w:id="1916" w:name="_Toc525114831"/>
      <w:bookmarkStart w:id="1917" w:name="_Toc535997228"/>
      <w:bookmarkStart w:id="1918" w:name="_Toc224819087"/>
      <w:r w:rsidRPr="00A1145E">
        <w:t>§§707</w:t>
      </w:r>
      <w:r>
        <w:t>-</w:t>
      </w:r>
      <w:r w:rsidRPr="00A1145E">
        <w:t>709.</w:t>
      </w:r>
      <w:r w:rsidRPr="00A1145E">
        <w:tab/>
        <w:t>Reserved</w:t>
      </w:r>
      <w:r>
        <w:t>.</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154BF8BA" w14:textId="77777777" w:rsidR="005A46E7" w:rsidRPr="00A1145E" w:rsidRDefault="005A46E7" w:rsidP="005A46E7">
      <w:pPr>
        <w:pStyle w:val="Chapter"/>
      </w:pPr>
      <w:bookmarkStart w:id="1919" w:name="_Toc224819088"/>
      <w:r w:rsidRPr="00A1145E">
        <w:t>Subchapter B.</w:t>
      </w:r>
      <w:r w:rsidRPr="00A1145E">
        <w:tab/>
      </w:r>
      <w:r w:rsidRPr="002248D5">
        <w:rPr>
          <w:i/>
        </w:rPr>
        <w:t>Brucellosis</w:t>
      </w:r>
      <w:r w:rsidR="00C54059">
        <w:t xml:space="preserve"> Regulations</w:t>
      </w:r>
      <w:bookmarkEnd w:id="1919"/>
    </w:p>
    <w:p w14:paraId="1E91C37A" w14:textId="77777777" w:rsidR="005A46E7" w:rsidRPr="00A1145E" w:rsidRDefault="005A46E7" w:rsidP="005A46E7">
      <w:pPr>
        <w:pStyle w:val="Section"/>
      </w:pPr>
      <w:bookmarkStart w:id="1920" w:name="_Toc256754701"/>
      <w:bookmarkStart w:id="1921" w:name="_Toc375025485"/>
      <w:bookmarkStart w:id="1922" w:name="_Toc224819089"/>
      <w:r w:rsidRPr="00A1145E">
        <w:t>§711.</w:t>
      </w:r>
      <w:r w:rsidRPr="00A1145E">
        <w:tab/>
        <w:t>Livestock Auction Market Requirements</w:t>
      </w:r>
      <w:bookmarkEnd w:id="1920"/>
      <w:bookmarkEnd w:id="1921"/>
      <w:r>
        <w:br/>
        <w:t>(</w:t>
      </w:r>
      <w:r w:rsidRPr="00A1145E">
        <w:t>Formerly §307</w:t>
      </w:r>
      <w:r>
        <w:t>)</w:t>
      </w:r>
      <w:bookmarkEnd w:id="1922"/>
    </w:p>
    <w:p w14:paraId="5904D2DF" w14:textId="77777777" w:rsidR="005A46E7" w:rsidRPr="00A1145E" w:rsidRDefault="005A46E7" w:rsidP="005A46E7">
      <w:pPr>
        <w:pStyle w:val="A"/>
      </w:pPr>
      <w:r w:rsidRPr="00A1145E">
        <w:t>A.</w:t>
      </w:r>
      <w:r w:rsidRPr="00A1145E">
        <w:tab/>
        <w:t>All cattle which are sold or offered for sale in livestock auction markets must meet the general requirements of §111 and the following specific requirements.</w:t>
      </w:r>
    </w:p>
    <w:p w14:paraId="291A8DA7" w14:textId="77777777" w:rsidR="005A46E7" w:rsidRPr="00A1145E" w:rsidRDefault="005A46E7" w:rsidP="005A46E7">
      <w:pPr>
        <w:pStyle w:val="1"/>
      </w:pPr>
      <w:r w:rsidRPr="00A1145E">
        <w:t>1.</w:t>
      </w:r>
      <w:r w:rsidRPr="00A1145E">
        <w:tab/>
      </w:r>
      <w:r w:rsidRPr="002248D5">
        <w:rPr>
          <w:i/>
        </w:rPr>
        <w:t>Brucellosis</w:t>
      </w:r>
    </w:p>
    <w:p w14:paraId="7AB914EF" w14:textId="77777777" w:rsidR="005A46E7" w:rsidRPr="00A1145E" w:rsidRDefault="005A46E7" w:rsidP="005A46E7">
      <w:pPr>
        <w:pStyle w:val="a0"/>
      </w:pPr>
      <w:r w:rsidRPr="00A1145E">
        <w:t>a.</w:t>
      </w:r>
      <w:r w:rsidRPr="00A1145E">
        <w:tab/>
        <w:t xml:space="preserve">Cattle from quarantined herds or from non-qualified herds from quarantined areas are not eligible for sale in the state of Louisiana except as provided in §727, which governs </w:t>
      </w:r>
      <w:r w:rsidRPr="002248D5">
        <w:rPr>
          <w:i/>
        </w:rPr>
        <w:t>Brucellosis</w:t>
      </w:r>
      <w:r w:rsidRPr="00A1145E">
        <w:t xml:space="preserve"> quarantined herds.</w:t>
      </w:r>
    </w:p>
    <w:p w14:paraId="296509CA" w14:textId="77777777" w:rsidR="005A46E7" w:rsidRPr="00A1145E" w:rsidRDefault="005A46E7" w:rsidP="005A46E7">
      <w:pPr>
        <w:pStyle w:val="a0"/>
      </w:pPr>
      <w:r w:rsidRPr="00A1145E">
        <w:t>b.i.</w:t>
      </w:r>
      <w:r w:rsidRPr="00A1145E">
        <w:tab/>
        <w:t xml:space="preserve">All cattle that are offered for sale through Louisiana livestock auction markets, which are </w:t>
      </w:r>
      <w:r w:rsidRPr="002248D5">
        <w:rPr>
          <w:i/>
        </w:rPr>
        <w:t>Brucellosis</w:t>
      </w:r>
      <w:r w:rsidRPr="00A1145E">
        <w:t xml:space="preserve"> test eligible, must be identified by an official back tag; those animals two years of age or older, shall have this official back tag placed immediately behind the shoulder of the animal. The market shall furnish the Livestock Sanitary Board's official representative a copy of each check-in slip, showing the name of the auction market, the date, the name and complete address of each consignor, and the official back tag numbers applied to the consignor's livestock. The check-in slip shall be made available to the Livestock Sanitary Board's official representative, before the animals can be tested for </w:t>
      </w:r>
      <w:r w:rsidRPr="002248D5">
        <w:rPr>
          <w:i/>
        </w:rPr>
        <w:t>Brucellosis</w:t>
      </w:r>
      <w:r w:rsidRPr="00A1145E">
        <w:t>.</w:t>
      </w:r>
    </w:p>
    <w:p w14:paraId="243552B1" w14:textId="77777777" w:rsidR="005A46E7" w:rsidRPr="00A1145E" w:rsidRDefault="005A46E7" w:rsidP="005A46E7">
      <w:pPr>
        <w:pStyle w:val="i0"/>
      </w:pPr>
      <w:r>
        <w:tab/>
      </w:r>
      <w:r w:rsidRPr="00A1145E">
        <w:t>ii.</w:t>
      </w:r>
      <w:r w:rsidRPr="00A1145E">
        <w:tab/>
        <w:t xml:space="preserve">It shall be a violation of this regulation for anyone to consign livestock to a Louisiana livestock auction market and give a name and address that are not the name and address of the owner consigning the livestock to the auction market. </w:t>
      </w:r>
    </w:p>
    <w:p w14:paraId="2CB20EA5" w14:textId="77777777" w:rsidR="005A46E7" w:rsidRPr="00A1145E" w:rsidRDefault="005A46E7" w:rsidP="005A46E7">
      <w:pPr>
        <w:pStyle w:val="a0"/>
      </w:pPr>
      <w:r w:rsidRPr="00A1145E">
        <w:t>c.</w:t>
      </w:r>
      <w:r w:rsidRPr="00A1145E">
        <w:tab/>
        <w:t>All cattle over 12 months of age are subject to the following provisions regarding testing for brucellosis.</w:t>
      </w:r>
    </w:p>
    <w:p w14:paraId="45E88836" w14:textId="77777777" w:rsidR="005A46E7" w:rsidRPr="00A1145E" w:rsidRDefault="005A46E7" w:rsidP="005A46E7">
      <w:pPr>
        <w:pStyle w:val="i0"/>
      </w:pPr>
      <w:r>
        <w:tab/>
      </w:r>
      <w:r w:rsidRPr="00A1145E">
        <w:t>i.</w:t>
      </w:r>
      <w:r w:rsidRPr="00A1145E">
        <w:tab/>
        <w:t>Cattle that are required to be tested for brucellosis prior to sale are those which:</w:t>
      </w:r>
    </w:p>
    <w:p w14:paraId="04BE6945" w14:textId="77777777" w:rsidR="005A46E7" w:rsidRPr="00A1145E" w:rsidRDefault="005A46E7" w:rsidP="005A46E7">
      <w:pPr>
        <w:pStyle w:val="a1"/>
      </w:pPr>
      <w:r w:rsidRPr="00A1145E">
        <w:t>(a).</w:t>
      </w:r>
      <w:r w:rsidRPr="00A1145E">
        <w:tab/>
        <w:t>are eligible to be returned to a farm after sale;</w:t>
      </w:r>
    </w:p>
    <w:p w14:paraId="17D933E4" w14:textId="77777777" w:rsidR="005A46E7" w:rsidRPr="00A1145E" w:rsidRDefault="005A46E7" w:rsidP="005A46E7">
      <w:pPr>
        <w:pStyle w:val="a1"/>
      </w:pPr>
      <w:r w:rsidRPr="00A1145E">
        <w:t>(b).</w:t>
      </w:r>
      <w:r w:rsidRPr="00A1145E">
        <w:tab/>
        <w:t>originate from a state declared brucellosis free less for than 5 years prior to the sale date; and</w:t>
      </w:r>
    </w:p>
    <w:p w14:paraId="02A871AC" w14:textId="77777777" w:rsidR="005A46E7" w:rsidRPr="00A1145E" w:rsidRDefault="005A46E7" w:rsidP="005A46E7">
      <w:pPr>
        <w:pStyle w:val="a1"/>
      </w:pPr>
      <w:r w:rsidRPr="00A1145E">
        <w:t>(c).</w:t>
      </w:r>
      <w:r w:rsidRPr="00A1145E">
        <w:tab/>
        <w:t>are tested for brucellosis are to be identified by an official metal ear tag and official back tag.</w:t>
      </w:r>
    </w:p>
    <w:p w14:paraId="131D7DAC" w14:textId="77777777" w:rsidR="005A46E7" w:rsidRPr="00A1145E" w:rsidRDefault="005A46E7" w:rsidP="005A46E7">
      <w:pPr>
        <w:pStyle w:val="i0"/>
      </w:pPr>
      <w:r>
        <w:tab/>
      </w:r>
      <w:r w:rsidRPr="00A1145E">
        <w:t>ii.</w:t>
      </w:r>
      <w:r w:rsidRPr="00A1145E">
        <w:tab/>
        <w:t>Cattle that are not required to be tested for brucellosis are those that are:</w:t>
      </w:r>
    </w:p>
    <w:p w14:paraId="6D6AED13" w14:textId="77777777" w:rsidR="005A46E7" w:rsidRPr="00A1145E" w:rsidRDefault="005A46E7" w:rsidP="005A46E7">
      <w:pPr>
        <w:pStyle w:val="a1"/>
      </w:pPr>
      <w:r w:rsidRPr="00A1145E">
        <w:t>(a).</w:t>
      </w:r>
      <w:r w:rsidRPr="00A1145E">
        <w:tab/>
        <w:t>steers and spayed heifers;</w:t>
      </w:r>
    </w:p>
    <w:p w14:paraId="3A15EE95" w14:textId="77777777" w:rsidR="005A46E7" w:rsidRPr="00A1145E" w:rsidRDefault="005A46E7" w:rsidP="005A46E7">
      <w:pPr>
        <w:pStyle w:val="a1"/>
      </w:pPr>
      <w:r w:rsidRPr="00A1145E">
        <w:t>(b).</w:t>
      </w:r>
      <w:r w:rsidRPr="00A1145E">
        <w:tab/>
        <w:t>"S" branded and listed on a permit prior to shipment from a quarantine feedlot to an auction barn;</w:t>
      </w:r>
    </w:p>
    <w:p w14:paraId="766EAD8E" w14:textId="77777777" w:rsidR="005A46E7" w:rsidRPr="00A1145E" w:rsidRDefault="005A46E7" w:rsidP="005A46E7">
      <w:pPr>
        <w:pStyle w:val="a1"/>
      </w:pPr>
      <w:r w:rsidRPr="00A1145E">
        <w:t>(c).</w:t>
      </w:r>
      <w:r w:rsidRPr="00A1145E">
        <w:tab/>
        <w:t>individually identified cattle which are less than 24 months of age for beef breeds and less than 20 months of age for dairy breeds, that have received an official brucellosis calfhood vaccination and which are not preparturient or post-parturient;</w:t>
      </w:r>
    </w:p>
    <w:p w14:paraId="0F052237" w14:textId="77777777" w:rsidR="005A46E7" w:rsidRPr="00A1145E" w:rsidRDefault="005A46E7" w:rsidP="005A46E7">
      <w:pPr>
        <w:pStyle w:val="a1"/>
      </w:pPr>
      <w:r w:rsidRPr="00A1145E">
        <w:lastRenderedPageBreak/>
        <w:t>(d).</w:t>
      </w:r>
      <w:r w:rsidRPr="00A1145E">
        <w:tab/>
        <w:t>individually identified cattle originating in and moving directly from a certified brucellosis free herd and accompanied by a copy of the last herd test record which includes the animal or animals being offered for sale;</w:t>
      </w:r>
    </w:p>
    <w:p w14:paraId="52FE54BF" w14:textId="77777777" w:rsidR="005A46E7" w:rsidRPr="00A1145E" w:rsidRDefault="005A46E7" w:rsidP="005A46E7">
      <w:pPr>
        <w:pStyle w:val="a1"/>
      </w:pPr>
      <w:r w:rsidRPr="00A1145E">
        <w:t>(e).</w:t>
      </w:r>
      <w:r w:rsidRPr="00A1145E">
        <w:tab/>
        <w:t>consigned to slaughter. These cattle are to be identified by an official back tag.</w:t>
      </w:r>
    </w:p>
    <w:p w14:paraId="02060925" w14:textId="77777777" w:rsidR="005A46E7" w:rsidRPr="00A1145E" w:rsidRDefault="005A46E7" w:rsidP="005A46E7">
      <w:pPr>
        <w:pStyle w:val="a0"/>
      </w:pPr>
      <w:r w:rsidRPr="00A1145E">
        <w:t>d.</w:t>
      </w:r>
      <w:r w:rsidRPr="00A1145E">
        <w:tab/>
        <w:t xml:space="preserve">All heifer calves, between 4 and 12 months of age not vaccinated for </w:t>
      </w:r>
      <w:r w:rsidRPr="002248D5">
        <w:rPr>
          <w:i/>
        </w:rPr>
        <w:t>Brucellosis</w:t>
      </w:r>
      <w:r w:rsidRPr="00A1145E">
        <w:t xml:space="preserve"> must be vaccinated with USDA approved </w:t>
      </w:r>
      <w:r w:rsidRPr="002248D5">
        <w:rPr>
          <w:i/>
        </w:rPr>
        <w:t>Brucellosis</w:t>
      </w:r>
      <w:r w:rsidRPr="00A1145E">
        <w:t xml:space="preserve"> vaccine prior to being sold. Failure to accomplish this vaccination shall be a violation of this regulation and violators shall be subject to penalties which may be imposed by the Louisiana Livestock Sanitary Board as granted in R.S. 3:2093.</w:t>
      </w:r>
    </w:p>
    <w:p w14:paraId="3C99772E" w14:textId="77777777" w:rsidR="005A46E7" w:rsidRPr="00A1145E" w:rsidRDefault="005A46E7" w:rsidP="005A46E7">
      <w:pPr>
        <w:pStyle w:val="i0"/>
      </w:pPr>
      <w:r>
        <w:tab/>
      </w:r>
      <w:r w:rsidRPr="00A1145E">
        <w:t>i.</w:t>
      </w:r>
      <w:r w:rsidRPr="00A1145E">
        <w:tab/>
        <w:t xml:space="preserve">All nonvaccinated heifer calves, between 4 and 12 months of age, must be vaccinated with USDA approved </w:t>
      </w:r>
      <w:r w:rsidRPr="002248D5">
        <w:rPr>
          <w:i/>
        </w:rPr>
        <w:t>Brucellosis</w:t>
      </w:r>
      <w:r w:rsidRPr="00A1145E">
        <w:t xml:space="preserve"> vaccine prior to being sold or at the first point of sale, but in no case shall any heifer calf 4 to 12 months of age remain unvaccinated for </w:t>
      </w:r>
      <w:r w:rsidRPr="002248D5">
        <w:rPr>
          <w:i/>
        </w:rPr>
        <w:t>Brucellosis</w:t>
      </w:r>
      <w:r w:rsidRPr="00A1145E">
        <w:t xml:space="preserve"> more than 15 days after the date of sale. Exceptions to this Clause are heifer calves 4 to 12 months of age which are transported out of the state within 15 days of the date of their sale.</w:t>
      </w:r>
    </w:p>
    <w:p w14:paraId="667DF607" w14:textId="77777777" w:rsidR="005A46E7" w:rsidRPr="00A1145E" w:rsidRDefault="005A46E7" w:rsidP="005A46E7">
      <w:pPr>
        <w:pStyle w:val="a0"/>
      </w:pPr>
      <w:r w:rsidRPr="00A1145E">
        <w:t>e.</w:t>
      </w:r>
      <w:r w:rsidRPr="00A1145E">
        <w:tab/>
        <w:t>Disposition of Animals Tested at an Auction Market</w:t>
      </w:r>
    </w:p>
    <w:p w14:paraId="095464FB" w14:textId="77777777" w:rsidR="005A46E7" w:rsidRPr="00A1145E" w:rsidRDefault="005A46E7" w:rsidP="005A46E7">
      <w:pPr>
        <w:pStyle w:val="i0"/>
      </w:pPr>
      <w:r>
        <w:tab/>
      </w:r>
      <w:r w:rsidRPr="00A1145E">
        <w:t>i.</w:t>
      </w:r>
      <w:r w:rsidRPr="00A1145E">
        <w:tab/>
        <w:t>Reactor animals vaccinated or non-vaccinated, disclosed must be branded with a 3-inch hot brand on the left jaw, tagged and removed to slaughter with a properly executed VS Form 1-27.</w:t>
      </w:r>
    </w:p>
    <w:p w14:paraId="05B29D05" w14:textId="77777777" w:rsidR="005A46E7" w:rsidRPr="00A1145E" w:rsidRDefault="005A46E7" w:rsidP="005A46E7">
      <w:pPr>
        <w:pStyle w:val="i0"/>
      </w:pPr>
      <w:r>
        <w:tab/>
      </w:r>
      <w:r w:rsidRPr="00A1145E">
        <w:t>ii.</w:t>
      </w:r>
      <w:r w:rsidRPr="00A1145E">
        <w:tab/>
        <w:t xml:space="preserve">Suspect animals, adult vaccinated or calfhood vaccinated animals, which are card test positive and either rivanol test negative or have a CITE test reaction, which is in the suspect range established by a designated epidemiologist, can be "S" branded and sold for slaughter or, at the choice of the owner, returned to the farm of origin under quarantine for retest in no less than 30 days. Additional animals in the same consignment with the vaccinated suspect(s), which are negative on the </w:t>
      </w:r>
      <w:r w:rsidRPr="002248D5">
        <w:rPr>
          <w:i/>
        </w:rPr>
        <w:t>Brucellosis</w:t>
      </w:r>
      <w:r w:rsidRPr="00A1145E">
        <w:t xml:space="preserve"> test, may move without restriction, provided they are in compliance with other appropriate regulations.</w:t>
      </w:r>
    </w:p>
    <w:p w14:paraId="303E8642" w14:textId="77777777" w:rsidR="005A46E7" w:rsidRPr="00A1145E" w:rsidRDefault="005A46E7" w:rsidP="005A46E7">
      <w:pPr>
        <w:pStyle w:val="i0"/>
      </w:pPr>
      <w:r>
        <w:tab/>
      </w:r>
      <w:r w:rsidRPr="00A1145E">
        <w:t>iii.</w:t>
      </w:r>
      <w:r w:rsidRPr="00A1145E">
        <w:tab/>
        <w:t>All exposed animals in a consignment must be "S" branded for removal to slaughter or, at the choice of the owner, can be returned to the farm of origin under quarantine.</w:t>
      </w:r>
    </w:p>
    <w:p w14:paraId="69B169B7" w14:textId="77777777" w:rsidR="005A46E7" w:rsidRPr="00A1145E" w:rsidRDefault="005A46E7" w:rsidP="005A46E7">
      <w:pPr>
        <w:pStyle w:val="a0"/>
      </w:pPr>
      <w:r w:rsidRPr="00A1145E">
        <w:t>f.</w:t>
      </w:r>
      <w:r w:rsidRPr="00A1145E">
        <w:tab/>
        <w:t xml:space="preserve">Cattle originating from </w:t>
      </w:r>
      <w:r w:rsidRPr="002248D5">
        <w:rPr>
          <w:i/>
        </w:rPr>
        <w:t>Brucellosis</w:t>
      </w:r>
      <w:r w:rsidRPr="00A1145E">
        <w:t xml:space="preserve"> quarantined herds shall be identified by ear tag and branded with a 3-inch hot "S" brand on the left jaw and accompanied by a properly executed VS Form 1-27. The branding and the issuance of VS Form 1-27 will be completed on the farm of origin prior to movement. The VS Form 1-27 will be delivered to authorized representatives at the livestock auction market. In cases where it is impractical to have the exposed cattle branded on the farm of origin, the state Veterinarian can authorize the movement of the cattle to the livestock auction market and the branding will be accomplished at this point.</w:t>
      </w:r>
    </w:p>
    <w:p w14:paraId="56318638" w14:textId="77777777" w:rsidR="005A46E7" w:rsidRPr="00A1145E" w:rsidRDefault="005A46E7" w:rsidP="005A46E7">
      <w:pPr>
        <w:pStyle w:val="i0"/>
      </w:pPr>
      <w:r>
        <w:tab/>
      </w:r>
      <w:r w:rsidRPr="00A1145E">
        <w:t>i.</w:t>
      </w:r>
      <w:r w:rsidRPr="00A1145E">
        <w:tab/>
        <w:t xml:space="preserve">Cattle from </w:t>
      </w:r>
      <w:r w:rsidRPr="002248D5">
        <w:rPr>
          <w:i/>
        </w:rPr>
        <w:t>Brucellosis</w:t>
      </w:r>
      <w:r w:rsidRPr="00A1145E">
        <w:t xml:space="preserve"> quarantined areas may be moved to Louisiana livestock auction markets on a permit. </w:t>
      </w:r>
      <w:r w:rsidRPr="00A1145E">
        <w:t>These animals will be "S" branded after arrival at the Louisiana livestock auction market.</w:t>
      </w:r>
    </w:p>
    <w:p w14:paraId="44F6EC08" w14:textId="77777777" w:rsidR="005A46E7" w:rsidRPr="00A1145E" w:rsidRDefault="005A46E7" w:rsidP="005A46E7">
      <w:pPr>
        <w:pStyle w:val="i0"/>
      </w:pPr>
      <w:r>
        <w:tab/>
      </w:r>
      <w:r w:rsidRPr="00A1145E">
        <w:t>ii.</w:t>
      </w:r>
      <w:r w:rsidRPr="00A1145E">
        <w:tab/>
        <w:t xml:space="preserve">Cattle from quarantined areas and from </w:t>
      </w:r>
      <w:r w:rsidRPr="002248D5">
        <w:rPr>
          <w:i/>
        </w:rPr>
        <w:t>Brucellosis</w:t>
      </w:r>
      <w:r w:rsidRPr="00A1145E">
        <w:t xml:space="preserve"> quarantined herds must be sold to approved slaughtering establishments or to approved quarantined feedlots. Exceptions to §307.A.1.f.ii are:</w:t>
      </w:r>
    </w:p>
    <w:p w14:paraId="4FC9D901" w14:textId="77777777" w:rsidR="005A46E7" w:rsidRPr="00A1145E" w:rsidRDefault="005A46E7" w:rsidP="005A46E7">
      <w:pPr>
        <w:pStyle w:val="a1"/>
      </w:pPr>
      <w:r w:rsidRPr="00A1145E">
        <w:t>(a).</w:t>
      </w:r>
      <w:r w:rsidRPr="00A1145E">
        <w:tab/>
        <w:t>steers and spayed heifers;</w:t>
      </w:r>
    </w:p>
    <w:p w14:paraId="0D96DD00" w14:textId="77777777" w:rsidR="005A46E7" w:rsidRPr="00A1145E" w:rsidRDefault="005A46E7" w:rsidP="005A46E7">
      <w:pPr>
        <w:pStyle w:val="a1"/>
      </w:pPr>
      <w:r w:rsidRPr="00A1145E">
        <w:t>(b).</w:t>
      </w:r>
      <w:r w:rsidRPr="00A1145E">
        <w:tab/>
        <w:t xml:space="preserve">heifer calves eight months of age or less, from </w:t>
      </w:r>
      <w:r w:rsidRPr="002248D5">
        <w:rPr>
          <w:i/>
        </w:rPr>
        <w:t>Brucellosis</w:t>
      </w:r>
      <w:r w:rsidRPr="00A1145E">
        <w:t xml:space="preserve"> quarantined beef herds and heifer calves 6 months of age or less, from </w:t>
      </w:r>
      <w:r w:rsidRPr="002248D5">
        <w:rPr>
          <w:i/>
        </w:rPr>
        <w:t>Brucellosis</w:t>
      </w:r>
      <w:r w:rsidRPr="00A1145E">
        <w:t xml:space="preserve"> quarantined dairy herds, provided the herd is participating in an approved herd plan to eliminate </w:t>
      </w:r>
      <w:r w:rsidRPr="002248D5">
        <w:rPr>
          <w:i/>
        </w:rPr>
        <w:t>Brucellosis</w:t>
      </w:r>
      <w:r w:rsidRPr="00A1145E">
        <w:t xml:space="preserve"> from the herd;</w:t>
      </w:r>
    </w:p>
    <w:p w14:paraId="6FA8F01C" w14:textId="77777777" w:rsidR="005A46E7" w:rsidRPr="00A1145E" w:rsidRDefault="005A46E7" w:rsidP="005A46E7">
      <w:pPr>
        <w:pStyle w:val="a1"/>
      </w:pPr>
      <w:r w:rsidRPr="00A1145E">
        <w:t>(c).</w:t>
      </w:r>
      <w:r w:rsidRPr="00A1145E">
        <w:tab/>
        <w:t xml:space="preserve">bull calves under 6 months of age, that are nursed by </w:t>
      </w:r>
      <w:r w:rsidRPr="002248D5">
        <w:rPr>
          <w:i/>
        </w:rPr>
        <w:t>Brucellosis</w:t>
      </w:r>
      <w:r w:rsidRPr="00A1145E">
        <w:t xml:space="preserve"> reactor or exposed cows, may move from the quarantined premises under permit, provided they have been weaned for not less than 30 days immediately preceding movement;</w:t>
      </w:r>
    </w:p>
    <w:p w14:paraId="3F105B55" w14:textId="77777777" w:rsidR="005A46E7" w:rsidRPr="00A1145E" w:rsidRDefault="005A46E7" w:rsidP="005A46E7">
      <w:pPr>
        <w:pStyle w:val="a1"/>
      </w:pPr>
      <w:r w:rsidRPr="00A1145E">
        <w:t>(d).</w:t>
      </w:r>
      <w:r w:rsidRPr="00A1145E">
        <w:tab/>
        <w:t xml:space="preserve">exceptions Clauses ii and iii above will be deleted when part 78 of the </w:t>
      </w:r>
      <w:r w:rsidRPr="00A1145E">
        <w:rPr>
          <w:i/>
          <w:iCs/>
        </w:rPr>
        <w:t>Code of Federal Regulations</w:t>
      </w:r>
      <w:r w:rsidRPr="00A1145E">
        <w:t xml:space="preserve"> is amended to restrict the movement of all sexually intact heifer calves from </w:t>
      </w:r>
      <w:r w:rsidRPr="002248D5">
        <w:rPr>
          <w:i/>
        </w:rPr>
        <w:t>Brucellosis</w:t>
      </w:r>
      <w:r w:rsidRPr="00A1145E">
        <w:t xml:space="preserve"> quarantined herds.</w:t>
      </w:r>
    </w:p>
    <w:p w14:paraId="718C9AC7" w14:textId="77777777" w:rsidR="005A46E7" w:rsidRPr="00A1145E" w:rsidRDefault="005A46E7" w:rsidP="005A46E7">
      <w:pPr>
        <w:pStyle w:val="a0"/>
      </w:pPr>
      <w:r w:rsidRPr="00A1145E">
        <w:t>g.</w:t>
      </w:r>
      <w:r w:rsidRPr="00A1145E">
        <w:tab/>
        <w:t xml:space="preserve">When </w:t>
      </w:r>
      <w:r w:rsidRPr="002248D5">
        <w:rPr>
          <w:i/>
        </w:rPr>
        <w:t>Brucellosis</w:t>
      </w:r>
      <w:r w:rsidRPr="00A1145E">
        <w:t xml:space="preserve"> reactors are found in a consignment, all remaining negative cattle in the consignment are considered exposed and shall be handled by one of the following ways.</w:t>
      </w:r>
    </w:p>
    <w:p w14:paraId="3A1AA866" w14:textId="77777777" w:rsidR="005A46E7" w:rsidRPr="00A1145E" w:rsidRDefault="005A46E7" w:rsidP="005A46E7">
      <w:pPr>
        <w:pStyle w:val="i0"/>
      </w:pPr>
      <w:r>
        <w:tab/>
      </w:r>
      <w:r w:rsidRPr="00A1145E">
        <w:t>i.</w:t>
      </w:r>
      <w:r w:rsidRPr="00A1145E">
        <w:tab/>
        <w:t>The exposed cattle shall be identified by a 3-inch, hot brand on the left jaw with the letter "S" and sold directly to a recognized slaughter establishment for immediate slaughter or to a state-federal approved quarantined feedlot and shall be accompanied by a VS Form 1-27.</w:t>
      </w:r>
    </w:p>
    <w:p w14:paraId="2BBB1E4F" w14:textId="77777777" w:rsidR="005A46E7" w:rsidRPr="00A1145E" w:rsidRDefault="005A46E7" w:rsidP="005A46E7">
      <w:pPr>
        <w:pStyle w:val="i0"/>
      </w:pPr>
      <w:r>
        <w:tab/>
      </w:r>
      <w:r w:rsidRPr="00A1145E">
        <w:t>ii.</w:t>
      </w:r>
      <w:r w:rsidRPr="00A1145E">
        <w:tab/>
        <w:t>The exposed cattle may be identified by a yellow paint mark on the left ear and returned to the original owner's premises under quarantine. All such movements will be accompanied by a quarantine notice listing the ear tag and auction tag identification numbers of the animals moving to Louisiana farms.</w:t>
      </w:r>
    </w:p>
    <w:p w14:paraId="44867A97" w14:textId="77777777" w:rsidR="005A46E7" w:rsidRPr="00A1145E" w:rsidRDefault="005A46E7" w:rsidP="005A46E7">
      <w:pPr>
        <w:pStyle w:val="AuthorityNote"/>
      </w:pPr>
      <w:r w:rsidRPr="00A1145E">
        <w:t>AUTHORITY NOTE:</w:t>
      </w:r>
      <w:r w:rsidRPr="00A1145E">
        <w:tab/>
        <w:t>Promulgated in accordance with R.S. 3:2093, R.S. 3:2221, and R.S. 3:2228.</w:t>
      </w:r>
    </w:p>
    <w:p w14:paraId="7619CE0A" w14:textId="77777777"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11:237 (March 1985), amended LR 11:615 (June 1985), LR 12:501 (August 1986), LR 12:598 (September 1986), LR 13:556 (October 1987), LR 14:220 (April 1988), LR 14:695 (October 1988), LR 15:810 (October 1989), LR 17:31 (January 1991), LR 18:837 (August 1992), LR 22:960 (October 1996), amended by the Department of Agriculture and Forestry, Office of the Commissioner, LR 24:1677 (September 1998), LR 25:1083 (June 1999), LR 27:182 (February 2001), amended by the Department of Agriculture and Forestry, Board of Animal Health, LR 34:2337 (November 2008)</w:t>
      </w:r>
      <w:r w:rsidRPr="00A1145E">
        <w:t xml:space="preserve">, repromulgated by the Department of Agriculture and Forestry, </w:t>
      </w:r>
      <w:r w:rsidR="007356F4">
        <w:t>Office of Animal Health and Food Safety and the Board of Animal Health,</w:t>
      </w:r>
      <w:r w:rsidRPr="00A1145E">
        <w:t xml:space="preserve"> LR </w:t>
      </w:r>
      <w:r>
        <w:t>40:949 (May 2014).</w:t>
      </w:r>
    </w:p>
    <w:p w14:paraId="57025802" w14:textId="77777777" w:rsidR="005A46E7" w:rsidRPr="00A1145E" w:rsidRDefault="005A46E7" w:rsidP="005A46E7">
      <w:pPr>
        <w:pStyle w:val="Section"/>
      </w:pPr>
      <w:bookmarkStart w:id="1923" w:name="_Toc256754702"/>
      <w:bookmarkStart w:id="1924" w:name="_Toc375025486"/>
      <w:bookmarkStart w:id="1925" w:name="_Toc224819090"/>
      <w:r w:rsidRPr="00A1145E">
        <w:lastRenderedPageBreak/>
        <w:t>§713.</w:t>
      </w:r>
      <w:r w:rsidRPr="00A1145E">
        <w:tab/>
        <w:t>Governing the Sale of Cattle in Louisiana by Livestock Dealers</w:t>
      </w:r>
      <w:bookmarkEnd w:id="1923"/>
      <w:bookmarkEnd w:id="1924"/>
      <w:r>
        <w:br/>
        <w:t>(</w:t>
      </w:r>
      <w:r w:rsidRPr="00A1145E">
        <w:t>Formerly §309</w:t>
      </w:r>
      <w:r>
        <w:t>)</w:t>
      </w:r>
      <w:bookmarkEnd w:id="1925"/>
    </w:p>
    <w:p w14:paraId="0FF720AB" w14:textId="77777777" w:rsidR="005A46E7" w:rsidRPr="00A1145E" w:rsidRDefault="005A46E7" w:rsidP="005A46E7">
      <w:pPr>
        <w:pStyle w:val="A"/>
      </w:pPr>
      <w:r w:rsidRPr="00A1145E">
        <w:t>A.</w:t>
      </w:r>
      <w:r w:rsidRPr="00A1145E">
        <w:tab/>
        <w:t>All cattle which are sold or offered for sale by livestock dealers must meet the general requirements of §305 and the following specific requirements.</w:t>
      </w:r>
    </w:p>
    <w:p w14:paraId="16ACEEBB" w14:textId="77777777" w:rsidR="005A46E7" w:rsidRPr="00A1145E" w:rsidRDefault="005A46E7" w:rsidP="005A46E7">
      <w:pPr>
        <w:pStyle w:val="1"/>
      </w:pPr>
      <w:r w:rsidRPr="00A1145E">
        <w:t>1.</w:t>
      </w:r>
      <w:r w:rsidRPr="00A1145E">
        <w:tab/>
      </w:r>
      <w:r w:rsidRPr="002248D5">
        <w:rPr>
          <w:i/>
        </w:rPr>
        <w:t>Brucellosis</w:t>
      </w:r>
    </w:p>
    <w:p w14:paraId="034F2EAA" w14:textId="77777777" w:rsidR="005A46E7" w:rsidRPr="00A1145E" w:rsidRDefault="005A46E7" w:rsidP="005A46E7">
      <w:pPr>
        <w:pStyle w:val="a0"/>
      </w:pPr>
      <w:r w:rsidRPr="00A1145E">
        <w:t>a.</w:t>
      </w:r>
      <w:r w:rsidRPr="00A1145E">
        <w:tab/>
        <w:t xml:space="preserve">No cattle may be sold or purchased from </w:t>
      </w:r>
      <w:r w:rsidRPr="002248D5">
        <w:rPr>
          <w:i/>
        </w:rPr>
        <w:t>Brucellosis</w:t>
      </w:r>
      <w:r w:rsidRPr="00A1145E">
        <w:t xml:space="preserve"> quarantined herds</w:t>
      </w:r>
      <w:r>
        <w:t>, except as provided for in §729</w:t>
      </w:r>
      <w:r w:rsidRPr="00A1145E">
        <w:t>.</w:t>
      </w:r>
    </w:p>
    <w:p w14:paraId="0FBDE21D" w14:textId="77777777" w:rsidR="005A46E7" w:rsidRPr="00A1145E" w:rsidRDefault="005A46E7" w:rsidP="005A46E7">
      <w:pPr>
        <w:pStyle w:val="a0"/>
      </w:pPr>
      <w:r w:rsidRPr="00A1145E">
        <w:t>b.i.</w:t>
      </w:r>
      <w:r w:rsidRPr="00A1145E">
        <w:tab/>
        <w:t xml:space="preserve">All cattle 12 months of age are to be </w:t>
      </w:r>
      <w:r w:rsidRPr="002248D5">
        <w:rPr>
          <w:i/>
        </w:rPr>
        <w:t>Brucellosis</w:t>
      </w:r>
      <w:r w:rsidRPr="00A1145E">
        <w:t xml:space="preserve"> test negative 30 days prior to sale. Exceptions are:</w:t>
      </w:r>
    </w:p>
    <w:p w14:paraId="0298286A" w14:textId="77777777" w:rsidR="005A46E7" w:rsidRPr="00A1145E" w:rsidRDefault="005A46E7" w:rsidP="005A46E7">
      <w:pPr>
        <w:pStyle w:val="a1"/>
      </w:pPr>
      <w:r>
        <w:t>(a</w:t>
      </w:r>
      <w:r w:rsidRPr="00A1145E">
        <w:t>)</w:t>
      </w:r>
      <w:r>
        <w:t>.</w:t>
      </w:r>
      <w:r w:rsidRPr="00A1145E">
        <w:tab/>
        <w:t>steers and spayed heifers;</w:t>
      </w:r>
    </w:p>
    <w:p w14:paraId="225325A1" w14:textId="77777777" w:rsidR="005A46E7" w:rsidRPr="00A1145E" w:rsidRDefault="005A46E7" w:rsidP="005A46E7">
      <w:pPr>
        <w:pStyle w:val="a1"/>
      </w:pPr>
      <w:r>
        <w:t>(b</w:t>
      </w:r>
      <w:r w:rsidRPr="00A1145E">
        <w:t>)</w:t>
      </w:r>
      <w:r>
        <w:t>.</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which are not parturient or post-parturient, that originate in and move directly from, a herd known not to be infected. The vaccination tattoo must be recorded on the health certificate;</w:t>
      </w:r>
    </w:p>
    <w:p w14:paraId="6AD75107" w14:textId="77777777" w:rsidR="005A46E7" w:rsidRPr="00A1145E" w:rsidRDefault="005A46E7" w:rsidP="005A46E7">
      <w:pPr>
        <w:pStyle w:val="a1"/>
      </w:pPr>
      <w:r w:rsidRPr="00A1145E">
        <w:t>(c).</w:t>
      </w:r>
      <w:r w:rsidRPr="00A1145E">
        <w:tab/>
        <w:t xml:space="preserve">individually identified cattle originating in and moving directly from a </w:t>
      </w:r>
      <w:r w:rsidRPr="002248D5">
        <w:rPr>
          <w:i/>
        </w:rPr>
        <w:t>Brucellosis</w:t>
      </w:r>
      <w:r w:rsidRPr="00A1145E">
        <w:t xml:space="preserve"> certified free herd. The certified herd number must be recorded on the health certificate;</w:t>
      </w:r>
    </w:p>
    <w:p w14:paraId="614C6B95" w14:textId="77777777" w:rsidR="005A46E7" w:rsidRPr="00A1145E" w:rsidRDefault="005A46E7" w:rsidP="005A46E7">
      <w:pPr>
        <w:pStyle w:val="a1"/>
      </w:pPr>
      <w:r w:rsidRPr="00A1145E">
        <w:t>(d).</w:t>
      </w:r>
      <w:r w:rsidRPr="00A1145E">
        <w:tab/>
        <w:t>bulls less than 18 months of age.</w:t>
      </w:r>
    </w:p>
    <w:p w14:paraId="4BC81EA7" w14:textId="77777777" w:rsidR="005A46E7" w:rsidRPr="00A1145E" w:rsidRDefault="005A46E7" w:rsidP="005A46E7">
      <w:pPr>
        <w:pStyle w:val="a1"/>
      </w:pPr>
      <w:r w:rsidRPr="00A1145E">
        <w:t>(e).</w:t>
      </w:r>
      <w:r w:rsidRPr="00A1145E">
        <w:tab/>
        <w:t>those consigned to slaughter. An official back tag shall be applied prior to sale.</w:t>
      </w:r>
    </w:p>
    <w:p w14:paraId="574CB93E" w14:textId="77777777" w:rsidR="005A46E7" w:rsidRPr="00A1145E" w:rsidRDefault="005A46E7" w:rsidP="005A46E7">
      <w:pPr>
        <w:pStyle w:val="i0"/>
      </w:pPr>
      <w:r>
        <w:tab/>
      </w:r>
      <w:r w:rsidRPr="00A1145E">
        <w:t>ii.</w:t>
      </w:r>
      <w:r w:rsidRPr="00A1145E">
        <w:tab/>
        <w:t xml:space="preserve">In instances where </w:t>
      </w:r>
      <w:r w:rsidRPr="002248D5">
        <w:rPr>
          <w:i/>
        </w:rPr>
        <w:t>Brucellosis</w:t>
      </w:r>
      <w:r w:rsidRPr="00A1145E">
        <w:t xml:space="preserve"> reactors are found, the reactor animals must be branded with a 3-inch hot brand on the left jaw with the letter "B" and a </w:t>
      </w:r>
      <w:r w:rsidRPr="002248D5">
        <w:rPr>
          <w:i/>
        </w:rPr>
        <w:t>Brucellosis</w:t>
      </w:r>
      <w:r w:rsidRPr="00A1145E">
        <w:t xml:space="preserve"> reactor tag must be placed in the left ear. The branding of reactors and placement of reactor tags must be accomplished immediately after the animals are found to be </w:t>
      </w:r>
      <w:r w:rsidRPr="002248D5">
        <w:rPr>
          <w:i/>
        </w:rPr>
        <w:t>Brucellosis</w:t>
      </w:r>
      <w:r w:rsidRPr="00A1145E">
        <w:t xml:space="preserve"> reactors. All other cattle that have been commingled with the reactor animals for more than 24 hours are considered exposed and must be branded on the left jaw or high on the tail head by a 3-inch hot brand with the letter "S." The reactor and exposed cattle shall be separated from all other cattle immediately and placed in quarantine pens, identified as such by conspicuously placed signs. The movement of such cattle shall be restricted to:</w:t>
      </w:r>
    </w:p>
    <w:p w14:paraId="356B71CA" w14:textId="77777777" w:rsidR="005A46E7" w:rsidRPr="00A1145E" w:rsidRDefault="005A46E7" w:rsidP="005A46E7">
      <w:pPr>
        <w:pStyle w:val="a1"/>
      </w:pPr>
      <w:r w:rsidRPr="00A1145E">
        <w:t>(a).</w:t>
      </w:r>
      <w:r w:rsidRPr="00A1145E">
        <w:tab/>
        <w:t>the reactor cattle must be sold directly to an approved slaughter establishment or to an approved livestock auction market for sale to an approved slaughter establishment. These animals must be accompanied by a VS Form 1-27;</w:t>
      </w:r>
    </w:p>
    <w:p w14:paraId="75F92C4B" w14:textId="77777777" w:rsidR="005A46E7" w:rsidRPr="00A1145E" w:rsidRDefault="005A46E7" w:rsidP="005A46E7">
      <w:pPr>
        <w:pStyle w:val="a1"/>
      </w:pPr>
      <w:r w:rsidRPr="00A1145E">
        <w:t>(b).</w:t>
      </w:r>
      <w:r w:rsidRPr="00A1145E">
        <w:tab/>
        <w:t>the exposed cattle may be moved to an approved slaughter establishment or to a state-federal approved quarantine feedlot, or to an approved livestock auction market to be sold to an approved slaughter establishment or to an approved quarantine feedlot. These animals must move on a VS Form 1-27. The exceptions to these restrictions are steers and spayed heifers.</w:t>
      </w:r>
    </w:p>
    <w:p w14:paraId="7325383F" w14:textId="77777777" w:rsidR="005A46E7" w:rsidRPr="00A1145E" w:rsidRDefault="005A46E7" w:rsidP="005A46E7">
      <w:pPr>
        <w:pStyle w:val="a0"/>
      </w:pPr>
      <w:r w:rsidRPr="00A1145E">
        <w:t>c.i.</w:t>
      </w:r>
      <w:r w:rsidRPr="00A1145E">
        <w:tab/>
        <w:t xml:space="preserve">All heifer calves between 4 and 12 months of age must be vaccinated with USDA approved </w:t>
      </w:r>
      <w:r w:rsidRPr="002248D5">
        <w:rPr>
          <w:i/>
        </w:rPr>
        <w:t>Brucellosis</w:t>
      </w:r>
      <w:r w:rsidRPr="00A1145E">
        <w:t xml:space="preserve"> vaccine </w:t>
      </w:r>
      <w:r w:rsidRPr="00A1145E">
        <w:t xml:space="preserve">prior to being sold or at the first point of sale but in no case shall any heifer calf 4 to 12 months of age remain unvaccinated for </w:t>
      </w:r>
      <w:r w:rsidRPr="002248D5">
        <w:rPr>
          <w:i/>
        </w:rPr>
        <w:t>Brucellosis</w:t>
      </w:r>
      <w:r w:rsidRPr="00A1145E">
        <w:t xml:space="preserve"> more that 15 days after the date of sale. Exceptions to this paragraph are heifer calves 4 to 12 months of age which are transported out of the state within 15 days of the date of their sale.</w:t>
      </w:r>
    </w:p>
    <w:p w14:paraId="75EBC497" w14:textId="77777777" w:rsidR="005A46E7" w:rsidRPr="00A1145E" w:rsidRDefault="005A46E7" w:rsidP="005A46E7">
      <w:pPr>
        <w:pStyle w:val="i0"/>
      </w:pPr>
      <w:r>
        <w:tab/>
      </w:r>
      <w:r w:rsidRPr="00A1145E">
        <w:t>ii.</w:t>
      </w:r>
      <w:r w:rsidRPr="00A1145E">
        <w:tab/>
        <w:t xml:space="preserve">Until Louisiana is officially classified as </w:t>
      </w:r>
      <w:r w:rsidRPr="002248D5">
        <w:rPr>
          <w:i/>
        </w:rPr>
        <w:t>Brucellosis</w:t>
      </w:r>
      <w:r w:rsidRPr="00A1145E">
        <w:t xml:space="preserve"> </w:t>
      </w:r>
      <w:r>
        <w:t>class</w:t>
      </w:r>
      <w:r w:rsidRPr="00A1145E">
        <w:t xml:space="preserve"> A in the </w:t>
      </w:r>
      <w:r w:rsidRPr="00A1145E">
        <w:rPr>
          <w:i/>
          <w:iCs/>
        </w:rPr>
        <w:t>Code of Federal Regulations</w:t>
      </w:r>
      <w:r w:rsidRPr="00A1145E">
        <w:t xml:space="preserve"> by the USDA Animal and Plant Health Inspection Service, Veterinary Services, all heifers and cows over 12 months of age, must be official </w:t>
      </w:r>
      <w:r w:rsidRPr="002248D5">
        <w:rPr>
          <w:i/>
        </w:rPr>
        <w:t>Brucellosis</w:t>
      </w:r>
      <w:r w:rsidRPr="00A1145E">
        <w:t xml:space="preserve"> vaccinates, (calfhood or adult), or be from a producer's herd, (not a herd owned by the dealer), that has had a complete negative </w:t>
      </w:r>
      <w:r w:rsidRPr="002248D5">
        <w:rPr>
          <w:i/>
        </w:rPr>
        <w:t>Brucellosis</w:t>
      </w:r>
      <w:r w:rsidRPr="00A1145E">
        <w:t xml:space="preserve"> herd test conducted in the past 12 months, be negative to a </w:t>
      </w:r>
      <w:r w:rsidRPr="002248D5">
        <w:rPr>
          <w:i/>
        </w:rPr>
        <w:t>Brucellosis</w:t>
      </w:r>
      <w:r w:rsidRPr="00A1145E">
        <w:t xml:space="preserve"> test within 30 days prior to, or at the time of purchase by the dealer and the animals do not come in contact with animals other than those from the herd of origin. The dealer must keep a copy of the complete negative </w:t>
      </w:r>
      <w:r w:rsidRPr="002248D5">
        <w:rPr>
          <w:i/>
        </w:rPr>
        <w:t>Brucellosis</w:t>
      </w:r>
      <w:r w:rsidRPr="00A1145E">
        <w:t xml:space="preserve"> herd test with his records, to show that the animals have met the above requirements.</w:t>
      </w:r>
    </w:p>
    <w:p w14:paraId="70E1D0DC" w14:textId="77777777" w:rsidR="005A46E7" w:rsidRPr="00A1145E" w:rsidRDefault="005A46E7" w:rsidP="005A46E7">
      <w:pPr>
        <w:pStyle w:val="i0"/>
      </w:pPr>
      <w:r>
        <w:tab/>
      </w:r>
      <w:r w:rsidRPr="00A1145E">
        <w:t>iii.</w:t>
      </w:r>
      <w:r w:rsidRPr="00A1145E">
        <w:tab/>
        <w:t>All livestock dealers must do the following with all of their cattle herds in order for them to be in compliance with this regulation and before they can sell any heifers and cows over 12 months of age from cattle herds owned by them.</w:t>
      </w:r>
    </w:p>
    <w:p w14:paraId="22167971" w14:textId="77777777" w:rsidR="005A46E7" w:rsidRPr="00A1145E" w:rsidRDefault="005A46E7" w:rsidP="005A46E7">
      <w:pPr>
        <w:pStyle w:val="a1"/>
      </w:pPr>
      <w:r w:rsidRPr="00A1145E">
        <w:t>(a).</w:t>
      </w:r>
      <w:r w:rsidRPr="00A1145E">
        <w:tab/>
        <w:t>All livestock dealers must identify and record with the Livestock Sanitary Board all of their cattle herds.</w:t>
      </w:r>
    </w:p>
    <w:p w14:paraId="533D9EB8" w14:textId="77777777" w:rsidR="005A46E7" w:rsidRPr="00A1145E" w:rsidRDefault="005A46E7" w:rsidP="005A46E7">
      <w:pPr>
        <w:pStyle w:val="a1"/>
      </w:pPr>
      <w:r w:rsidRPr="00A1145E">
        <w:t>(b).</w:t>
      </w:r>
      <w:r w:rsidRPr="00A1145E">
        <w:tab/>
        <w:t>All livestock dealers must test all of their cattle herds annually.</w:t>
      </w:r>
    </w:p>
    <w:p w14:paraId="7DFEDB4C" w14:textId="77777777" w:rsidR="005A46E7" w:rsidRPr="00A1145E" w:rsidRDefault="005A46E7" w:rsidP="005A46E7">
      <w:pPr>
        <w:pStyle w:val="a1"/>
      </w:pPr>
      <w:r w:rsidRPr="00A1145E">
        <w:t>(c).</w:t>
      </w:r>
      <w:r w:rsidRPr="00A1145E">
        <w:tab/>
        <w:t xml:space="preserve">All permitted livestock dealers must maintain records and appropriate documents to show that purchased heifers and cows added to their herds met the </w:t>
      </w:r>
      <w:r w:rsidRPr="002248D5">
        <w:rPr>
          <w:i/>
        </w:rPr>
        <w:t>Brucellosis</w:t>
      </w:r>
      <w:r w:rsidRPr="00A1145E">
        <w:t xml:space="preserve"> testing requirements in effect at the time of purchase.</w:t>
      </w:r>
    </w:p>
    <w:p w14:paraId="352FE660" w14:textId="77777777" w:rsidR="005A46E7" w:rsidRPr="00A1145E" w:rsidRDefault="005A46E7" w:rsidP="005A46E7">
      <w:pPr>
        <w:pStyle w:val="a0"/>
      </w:pPr>
      <w:r w:rsidRPr="00A1145E">
        <w:t>d.</w:t>
      </w:r>
      <w:r w:rsidRPr="00A1145E">
        <w:tab/>
        <w:t xml:space="preserve">Cattle over 6 months of age originating in </w:t>
      </w:r>
      <w:r w:rsidRPr="002248D5">
        <w:rPr>
          <w:i/>
        </w:rPr>
        <w:t>Brucellosis</w:t>
      </w:r>
      <w:r w:rsidRPr="00A1145E">
        <w:t xml:space="preserve"> quarantined areas must originate from a qualified herd (known not to be infected), and must be </w:t>
      </w:r>
      <w:r w:rsidRPr="002248D5">
        <w:rPr>
          <w:i/>
        </w:rPr>
        <w:t>Brucellosis</w:t>
      </w:r>
      <w:r w:rsidRPr="00A1145E">
        <w:t xml:space="preserve"> test negative not less than 30 days from the date of herd qualification and within 30 days of the date of sale. The date and results of the test and individual identification of each animal must be recorded on the official health certificate.</w:t>
      </w:r>
    </w:p>
    <w:p w14:paraId="09A5BCC8" w14:textId="77777777" w:rsidR="005A46E7" w:rsidRPr="00A1145E" w:rsidRDefault="005A46E7" w:rsidP="005A46E7">
      <w:pPr>
        <w:pStyle w:val="a0"/>
      </w:pPr>
      <w:r w:rsidRPr="00A1145E">
        <w:t>e.</w:t>
      </w:r>
      <w:r w:rsidRPr="00A1145E">
        <w:tab/>
        <w:t xml:space="preserve">All cattle over 12 months of age must be </w:t>
      </w:r>
      <w:r w:rsidRPr="002248D5">
        <w:rPr>
          <w:i/>
        </w:rPr>
        <w:t>Brucellosis</w:t>
      </w:r>
      <w:r w:rsidRPr="00A1145E">
        <w:t xml:space="preserve"> test negative within 30 days prior to purchase from herds not under quarantine for </w:t>
      </w:r>
      <w:r w:rsidRPr="002248D5">
        <w:rPr>
          <w:i/>
        </w:rPr>
        <w:t>Brucellosis</w:t>
      </w:r>
      <w:r w:rsidRPr="00A1145E">
        <w:t xml:space="preserve">. The official test chart, health certificate, or a certificate of veterinary inspection, or an individual </w:t>
      </w:r>
      <w:r w:rsidRPr="002248D5">
        <w:rPr>
          <w:i/>
        </w:rPr>
        <w:t>Brucellosis</w:t>
      </w:r>
      <w:r w:rsidRPr="00A1145E">
        <w:t xml:space="preserve"> test record, must be kept for a period of 24 months following the purchase of any </w:t>
      </w:r>
      <w:r w:rsidRPr="002248D5">
        <w:rPr>
          <w:i/>
        </w:rPr>
        <w:t>Brucellosis</w:t>
      </w:r>
      <w:r w:rsidRPr="00A1145E">
        <w:t xml:space="preserve"> tested cattle. Exceptions to this Paragraph are:</w:t>
      </w:r>
    </w:p>
    <w:p w14:paraId="3647F835" w14:textId="77777777" w:rsidR="005A46E7" w:rsidRPr="00A1145E" w:rsidRDefault="005A46E7" w:rsidP="005A46E7">
      <w:pPr>
        <w:pStyle w:val="i0"/>
      </w:pPr>
      <w:r>
        <w:tab/>
      </w:r>
      <w:r w:rsidRPr="00A1145E">
        <w:t>i.</w:t>
      </w:r>
      <w:r w:rsidRPr="00A1145E">
        <w:tab/>
        <w:t>steers and spayed heifers;</w:t>
      </w:r>
    </w:p>
    <w:p w14:paraId="0209E1E6" w14:textId="77777777" w:rsidR="005A46E7" w:rsidRPr="00A1145E" w:rsidRDefault="005A46E7" w:rsidP="005A46E7">
      <w:pPr>
        <w:pStyle w:val="i0"/>
      </w:pPr>
      <w:r>
        <w:tab/>
      </w:r>
      <w:r w:rsidRPr="00A1145E">
        <w:t>ii.</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w:t>
      </w:r>
    </w:p>
    <w:p w14:paraId="502BE376" w14:textId="77777777" w:rsidR="005A46E7" w:rsidRPr="00A1145E" w:rsidRDefault="005A46E7" w:rsidP="005A46E7">
      <w:pPr>
        <w:pStyle w:val="i0"/>
      </w:pPr>
      <w:r>
        <w:tab/>
      </w:r>
      <w:r w:rsidRPr="00A1145E">
        <w:t>iii.</w:t>
      </w:r>
      <w:r w:rsidRPr="00A1145E">
        <w:tab/>
        <w:t xml:space="preserve">individually identified cattle originating in and moving directly from a certified </w:t>
      </w:r>
      <w:r w:rsidRPr="002248D5">
        <w:rPr>
          <w:i/>
        </w:rPr>
        <w:t>Brucellosis</w:t>
      </w:r>
      <w:r w:rsidRPr="00A1145E">
        <w:t xml:space="preserve"> free herd;</w:t>
      </w:r>
    </w:p>
    <w:p w14:paraId="3EC1F478" w14:textId="77777777" w:rsidR="005A46E7" w:rsidRPr="00A1145E" w:rsidRDefault="005A46E7" w:rsidP="005A46E7">
      <w:pPr>
        <w:pStyle w:val="i0"/>
      </w:pPr>
      <w:r>
        <w:tab/>
      </w:r>
      <w:r w:rsidRPr="00A1145E">
        <w:t>iv.</w:t>
      </w:r>
      <w:r w:rsidRPr="00A1145E">
        <w:tab/>
        <w:t xml:space="preserve">test eligible cattle may be moved from a producer's premises to a dealer's premises en route to an </w:t>
      </w:r>
      <w:r w:rsidRPr="00A1145E">
        <w:lastRenderedPageBreak/>
        <w:t xml:space="preserve">approved stockyard or approved slaughter establishment without being tested for </w:t>
      </w:r>
      <w:r w:rsidRPr="002248D5">
        <w:rPr>
          <w:i/>
        </w:rPr>
        <w:t>Brucellosis</w:t>
      </w:r>
      <w:r w:rsidRPr="00A1145E">
        <w:t>, provided the test is completed within 72 hours of movement from the producer's premises and records are maintained to identify the animals and identify the herd of origin. Contact with other cattle is not permitted.</w:t>
      </w:r>
    </w:p>
    <w:p w14:paraId="31CC7ED4" w14:textId="77777777" w:rsidR="005A46E7" w:rsidRPr="00A1145E" w:rsidRDefault="005A46E7" w:rsidP="005A46E7">
      <w:pPr>
        <w:pStyle w:val="i0"/>
      </w:pPr>
      <w:r>
        <w:tab/>
      </w:r>
      <w:r w:rsidRPr="00A1145E">
        <w:t>v.</w:t>
      </w:r>
      <w:r w:rsidRPr="00A1145E">
        <w:tab/>
        <w:t xml:space="preserve">those consigned to slaughter. An official back tag shall be applied prior to sale. </w:t>
      </w:r>
    </w:p>
    <w:p w14:paraId="0D2A5FB0" w14:textId="77777777" w:rsidR="005A46E7" w:rsidRPr="00A1145E" w:rsidRDefault="005A46E7" w:rsidP="005A46E7">
      <w:pPr>
        <w:pStyle w:val="1"/>
      </w:pPr>
      <w:r w:rsidRPr="00A1145E">
        <w:t>2.</w:t>
      </w:r>
      <w:r w:rsidRPr="00A1145E">
        <w:tab/>
        <w:t>Tuberculosis. No cattle shall be purchased from tuberculosis quarantined herds unless moving directly to slaughter and must be "S" branded and accompanied by a VS Form 1-27.</w:t>
      </w:r>
    </w:p>
    <w:p w14:paraId="2DA5A028" w14:textId="77777777" w:rsidR="005A46E7" w:rsidRPr="00A1145E" w:rsidRDefault="005A46E7" w:rsidP="005A46E7">
      <w:pPr>
        <w:pStyle w:val="AuthorityNote"/>
      </w:pPr>
      <w:r w:rsidRPr="00A1145E">
        <w:t>AUTHORITY NOTE:</w:t>
      </w:r>
      <w:r w:rsidRPr="00A1145E">
        <w:tab/>
        <w:t>Promulgated in accordance with R.S. 3:562, R.S. 3:2221 and R.S. 3:2228.</w:t>
      </w:r>
    </w:p>
    <w:p w14:paraId="45FDE15E" w14:textId="77777777" w:rsidR="005A46E7" w:rsidRPr="000F789E" w:rsidRDefault="005A46E7" w:rsidP="005A46E7">
      <w:pPr>
        <w:pStyle w:val="HistoricalNote"/>
      </w:pPr>
      <w:r w:rsidRPr="00A1145E">
        <w:t>HISTORICAL NOTE:</w:t>
      </w:r>
      <w:r w:rsidRPr="00A1145E">
        <w:tab/>
      </w:r>
      <w:r w:rsidR="00D943FE" w:rsidRPr="001531CD">
        <w:t>Promulgated by the Department of Agriculture and Forestry, Livestock Sanitary Board, LR 11:237 (March 1985), amended LR 11:615 (June 1985), LR 12:502 (August 1986), LR 13:558 (October 1987), LR 14:221 (April 1988), LR 17:31 (January 1991), LR 18:838 (August 1992), LR 22:960 (October 1996), amended by the Department of Agriculture and Forestry, Office of the Commissioner, LR 24:1678 (September 1998), LR 25:1083 (June 1999), LR 27:182 (February 2001), amended by the Department of Agriculture and Forestry, Board of Animal Health, LR 34:2337 (November 2008)</w:t>
      </w:r>
      <w:r w:rsidRPr="00A1145E">
        <w:t xml:space="preserve">, repromulgated by the Department of Agriculture and Forestry, </w:t>
      </w:r>
      <w:r w:rsidR="007356F4">
        <w:t>Office of Animal Health and Food Safety and the Board of Animal Health,</w:t>
      </w:r>
      <w:r w:rsidRPr="000F789E">
        <w:t xml:space="preserve"> LR 40:</w:t>
      </w:r>
      <w:r>
        <w:t>950</w:t>
      </w:r>
      <w:r w:rsidRPr="000F789E">
        <w:t xml:space="preserve"> (May 2014).</w:t>
      </w:r>
    </w:p>
    <w:p w14:paraId="37BBADE3" w14:textId="77777777" w:rsidR="005A46E7" w:rsidRPr="000F789E" w:rsidRDefault="005A46E7" w:rsidP="005A46E7">
      <w:pPr>
        <w:pStyle w:val="Section"/>
      </w:pPr>
      <w:bookmarkStart w:id="1926" w:name="_Toc256754703"/>
      <w:bookmarkStart w:id="1927" w:name="_Toc375025487"/>
      <w:bookmarkStart w:id="1928" w:name="_Toc224819091"/>
      <w:r w:rsidRPr="000F789E">
        <w:t>§715.</w:t>
      </w:r>
      <w:r w:rsidRPr="000F789E">
        <w:tab/>
        <w:t>Governing the Sale of Purchases, within Louisiana, of all Livestock not Governed by Other Regulations (</w:t>
      </w:r>
      <w:r w:rsidRPr="000F789E">
        <w:rPr>
          <w:i/>
        </w:rPr>
        <w:t>Brucellosis</w:t>
      </w:r>
      <w:r w:rsidRPr="000F789E">
        <w:t xml:space="preserve"> Requirements)</w:t>
      </w:r>
      <w:bookmarkEnd w:id="1926"/>
      <w:bookmarkEnd w:id="1927"/>
      <w:r w:rsidRPr="000F789E">
        <w:br/>
        <w:t>(Formerly §311)</w:t>
      </w:r>
      <w:bookmarkEnd w:id="1928"/>
    </w:p>
    <w:p w14:paraId="360AB608" w14:textId="77777777" w:rsidR="005A46E7" w:rsidRPr="000F789E" w:rsidRDefault="005A46E7" w:rsidP="005A46E7">
      <w:pPr>
        <w:pStyle w:val="A"/>
      </w:pPr>
      <w:r w:rsidRPr="000F789E">
        <w:t>A.</w:t>
      </w:r>
      <w:r w:rsidRPr="000F789E">
        <w:tab/>
        <w:t>It is a violation of this regulation to sell or purchase cattle, not governed by other regulations of the Livestock Sanitary Board, in Louisiana, for any purpose other than immediate slaughter, unless they meet one of the following requirements.</w:t>
      </w:r>
    </w:p>
    <w:p w14:paraId="53F61F35" w14:textId="77777777" w:rsidR="005A46E7" w:rsidRPr="000F789E" w:rsidRDefault="005A46E7" w:rsidP="005A46E7">
      <w:pPr>
        <w:pStyle w:val="1"/>
      </w:pPr>
      <w:r w:rsidRPr="000F789E">
        <w:t>1.a.</w:t>
      </w:r>
      <w:r w:rsidRPr="000F789E">
        <w:tab/>
        <w:t xml:space="preserve">Heifers 4 to 12 months of age, are to be official </w:t>
      </w:r>
      <w:r w:rsidRPr="000F789E">
        <w:rPr>
          <w:i/>
        </w:rPr>
        <w:t>Brucellosis</w:t>
      </w:r>
      <w:r w:rsidRPr="000F789E">
        <w:t xml:space="preserve"> calfhood vaccinates prior to being sold or be vaccinated at the first point of sale but in no case shall any heifer 4 to 12 months of age remain unvaccinated for </w:t>
      </w:r>
      <w:r w:rsidRPr="000F789E">
        <w:rPr>
          <w:i/>
        </w:rPr>
        <w:t>Brucellosis</w:t>
      </w:r>
      <w:r w:rsidRPr="000F789E">
        <w:t xml:space="preserve"> more than 15 days after the date of sale. Exceptions to this paragraph are:</w:t>
      </w:r>
    </w:p>
    <w:p w14:paraId="241806FA" w14:textId="77777777" w:rsidR="005A46E7" w:rsidRPr="000F789E" w:rsidRDefault="005A46E7" w:rsidP="005A46E7">
      <w:pPr>
        <w:pStyle w:val="i0"/>
      </w:pPr>
      <w:r w:rsidRPr="000F789E">
        <w:tab/>
        <w:t>i.</w:t>
      </w:r>
      <w:r w:rsidRPr="000F789E">
        <w:tab/>
        <w:t>heifers sold to move directly to slaughter;</w:t>
      </w:r>
    </w:p>
    <w:p w14:paraId="48D06CAD" w14:textId="77777777" w:rsidR="005A46E7" w:rsidRPr="000F789E" w:rsidRDefault="005A46E7" w:rsidP="005A46E7">
      <w:pPr>
        <w:pStyle w:val="i0"/>
      </w:pPr>
      <w:r w:rsidRPr="000F789E">
        <w:tab/>
        <w:t>ii.</w:t>
      </w:r>
      <w:r w:rsidRPr="000F789E">
        <w:tab/>
        <w:t>heifers sold to be moved directly to a quarantine feed lot;</w:t>
      </w:r>
    </w:p>
    <w:p w14:paraId="7EE60A1A" w14:textId="77777777" w:rsidR="005A46E7" w:rsidRPr="000F789E" w:rsidRDefault="005A46E7" w:rsidP="005A46E7">
      <w:pPr>
        <w:pStyle w:val="i0"/>
      </w:pPr>
      <w:r w:rsidRPr="000F789E">
        <w:tab/>
        <w:t>iii.</w:t>
      </w:r>
      <w:r w:rsidRPr="000F789E">
        <w:tab/>
        <w:t>heifers which are transported out of Louisiana within 15 days of the date of their sale.</w:t>
      </w:r>
    </w:p>
    <w:p w14:paraId="5A1E7ECE" w14:textId="77777777" w:rsidR="005A46E7" w:rsidRPr="00A1145E" w:rsidRDefault="005A46E7" w:rsidP="005A46E7">
      <w:pPr>
        <w:pStyle w:val="a0"/>
      </w:pPr>
      <w:r w:rsidRPr="000F789E">
        <w:t>b.</w:t>
      </w:r>
      <w:r w:rsidRPr="000F789E">
        <w:tab/>
        <w:t>Any</w:t>
      </w:r>
      <w:r w:rsidRPr="00A1145E">
        <w:t xml:space="preserve"> person found in violation of Subparagraph 1.a of this regulation shall be fined no less than $1,000 or more than $5,000 for each count. Each nonvaccinated heifer shall be considered a separate violation and each day on which the violation occurs shall be considered a separate count.</w:t>
      </w:r>
    </w:p>
    <w:p w14:paraId="5EF38C4F" w14:textId="77777777" w:rsidR="005A46E7" w:rsidRPr="00A1145E" w:rsidRDefault="005A46E7" w:rsidP="005A46E7">
      <w:pPr>
        <w:pStyle w:val="a0"/>
      </w:pPr>
      <w:r w:rsidRPr="00A1145E">
        <w:t>c.</w:t>
      </w:r>
      <w:r w:rsidRPr="00A1145E">
        <w:tab/>
        <w:t xml:space="preserve">Any person who has knowledge of and does not report to the LDAF any violation of Subparagraph 1.a of this regulation shall be considered in violation of this regulation </w:t>
      </w:r>
      <w:r w:rsidRPr="00A1145E">
        <w:t>and subject to the same penalties as stated in Subparagraph 1.b of this regulation.</w:t>
      </w:r>
    </w:p>
    <w:p w14:paraId="405AACFC" w14:textId="77777777" w:rsidR="005A46E7" w:rsidRPr="00A1145E" w:rsidRDefault="005A46E7" w:rsidP="005A46E7">
      <w:pPr>
        <w:pStyle w:val="1"/>
      </w:pPr>
      <w:r w:rsidRPr="00A1145E">
        <w:t>2.</w:t>
      </w:r>
      <w:r w:rsidRPr="00A1145E">
        <w:tab/>
        <w:t xml:space="preserve">Effective while Louisiana is officially classified as </w:t>
      </w:r>
      <w:r w:rsidRPr="002248D5">
        <w:rPr>
          <w:i/>
        </w:rPr>
        <w:t>Brucellosis</w:t>
      </w:r>
      <w:r w:rsidRPr="00A1145E">
        <w:t xml:space="preserve"> </w:t>
      </w:r>
      <w:r>
        <w:t>class</w:t>
      </w:r>
      <w:r w:rsidRPr="00A1145E">
        <w:t xml:space="preserve"> B in the </w:t>
      </w:r>
      <w:r w:rsidRPr="00A1145E">
        <w:rPr>
          <w:i/>
          <w:iCs/>
        </w:rPr>
        <w:t>Code of Federal Regulations</w:t>
      </w:r>
      <w:r w:rsidRPr="00A1145E">
        <w:t xml:space="preserve"> by the USDA Animal and Plant Health Inspection Service, Veterinary Services, all heifers and cows over 12 months of age must originate from a herd not quarantined for </w:t>
      </w:r>
      <w:r w:rsidRPr="002248D5">
        <w:rPr>
          <w:i/>
        </w:rPr>
        <w:t>Brucellosis</w:t>
      </w:r>
      <w:r w:rsidRPr="00A1145E">
        <w:t xml:space="preserve"> and must be official </w:t>
      </w:r>
      <w:r w:rsidRPr="002248D5">
        <w:rPr>
          <w:i/>
        </w:rPr>
        <w:t>Brucellosis</w:t>
      </w:r>
      <w:r w:rsidRPr="00A1145E">
        <w:t xml:space="preserve"> vaccinates (calfhood or adult) or part of a herd that has had a complete negative </w:t>
      </w:r>
      <w:r w:rsidRPr="002248D5">
        <w:rPr>
          <w:i/>
        </w:rPr>
        <w:t>Brucellosis</w:t>
      </w:r>
      <w:r w:rsidRPr="00A1145E">
        <w:t xml:space="preserve"> test, conducted within the previous </w:t>
      </w:r>
      <w:r w:rsidRPr="00A1145E">
        <w:br/>
        <w:t xml:space="preserve">12 months and be tested negative for </w:t>
      </w:r>
      <w:r w:rsidRPr="002248D5">
        <w:rPr>
          <w:i/>
        </w:rPr>
        <w:t>Brucellosis</w:t>
      </w:r>
      <w:r w:rsidRPr="00A1145E">
        <w:t xml:space="preserve"> 30 days prior to, or at the time of, being sold or purchased. Exceptions to this Paragraph are:</w:t>
      </w:r>
    </w:p>
    <w:p w14:paraId="71AB03CE" w14:textId="77777777" w:rsidR="005A46E7" w:rsidRPr="00A1145E" w:rsidRDefault="005A46E7" w:rsidP="005A46E7">
      <w:pPr>
        <w:pStyle w:val="a0"/>
      </w:pPr>
      <w:r w:rsidRPr="00A1145E">
        <w:t>a.</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that are not preparturient (springers) or post-parturient;</w:t>
      </w:r>
    </w:p>
    <w:p w14:paraId="48BDE1E2" w14:textId="77777777" w:rsidR="005A46E7" w:rsidRPr="00A1145E" w:rsidRDefault="005A46E7" w:rsidP="005A46E7">
      <w:pPr>
        <w:pStyle w:val="a0"/>
      </w:pPr>
      <w:r w:rsidRPr="00A1145E">
        <w:t>b.</w:t>
      </w:r>
      <w:r w:rsidRPr="00A1145E">
        <w:tab/>
        <w:t xml:space="preserve">individually identified heifers and cows, originating in and moving directly from a certified </w:t>
      </w:r>
      <w:r w:rsidRPr="002248D5">
        <w:rPr>
          <w:i/>
        </w:rPr>
        <w:t>Brucellosis</w:t>
      </w:r>
      <w:r w:rsidRPr="00A1145E">
        <w:t xml:space="preserve"> free herd.</w:t>
      </w:r>
    </w:p>
    <w:p w14:paraId="378F723E" w14:textId="77777777" w:rsidR="005A46E7" w:rsidRPr="00A1145E" w:rsidRDefault="005A46E7" w:rsidP="005A46E7">
      <w:pPr>
        <w:pStyle w:val="1"/>
      </w:pPr>
      <w:r w:rsidRPr="00A1145E">
        <w:t>3.</w:t>
      </w:r>
      <w:r w:rsidRPr="00A1145E">
        <w:tab/>
        <w:t xml:space="preserve">Effective after Louisiana is officially classified as </w:t>
      </w:r>
      <w:r w:rsidRPr="002248D5">
        <w:rPr>
          <w:i/>
        </w:rPr>
        <w:t>Brucellosis</w:t>
      </w:r>
      <w:r w:rsidRPr="00A1145E">
        <w:t xml:space="preserve"> </w:t>
      </w:r>
      <w:r>
        <w:t>class</w:t>
      </w:r>
      <w:r w:rsidRPr="00A1145E">
        <w:t xml:space="preserve"> A in the </w:t>
      </w:r>
      <w:r w:rsidRPr="00A1145E">
        <w:rPr>
          <w:i/>
          <w:iCs/>
        </w:rPr>
        <w:t>Code of Federal Regulations</w:t>
      </w:r>
      <w:r w:rsidRPr="00A1145E">
        <w:t xml:space="preserve"> by the USDA Animal and Plant Health Inspection Service, Veterinary Services, all heifers and cows over 12 months of age must originate from a herd not quarantined for </w:t>
      </w:r>
      <w:r w:rsidRPr="002248D5">
        <w:rPr>
          <w:i/>
        </w:rPr>
        <w:t>Brucellosis</w:t>
      </w:r>
      <w:r w:rsidRPr="00A1145E">
        <w:t xml:space="preserve"> and be tested negative for </w:t>
      </w:r>
      <w:r w:rsidRPr="002248D5">
        <w:rPr>
          <w:i/>
        </w:rPr>
        <w:t>Brucellosis</w:t>
      </w:r>
      <w:r w:rsidRPr="00A1145E">
        <w:t xml:space="preserve"> 30 days prior to, or at the time of being sold or purchased. Exceptions to this Paragraph are:</w:t>
      </w:r>
    </w:p>
    <w:p w14:paraId="151E97E2" w14:textId="77777777" w:rsidR="005A46E7" w:rsidRPr="00A1145E" w:rsidRDefault="005A46E7" w:rsidP="005A46E7">
      <w:pPr>
        <w:pStyle w:val="a0"/>
      </w:pPr>
      <w:r w:rsidRPr="00A1145E">
        <w:t>a.</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that are not preparturient (springers) or post-parturient;</w:t>
      </w:r>
    </w:p>
    <w:p w14:paraId="51B56708" w14:textId="77777777" w:rsidR="005A46E7" w:rsidRPr="00A1145E" w:rsidRDefault="005A46E7" w:rsidP="005A46E7">
      <w:pPr>
        <w:pStyle w:val="a0"/>
      </w:pPr>
      <w:r w:rsidRPr="00A1145E">
        <w:t>b.</w:t>
      </w:r>
      <w:r w:rsidRPr="00A1145E">
        <w:tab/>
        <w:t xml:space="preserve">individually identified heifers and cows, originating in and moving directly from a certified </w:t>
      </w:r>
      <w:r w:rsidRPr="002248D5">
        <w:rPr>
          <w:i/>
        </w:rPr>
        <w:t>Brucellosis</w:t>
      </w:r>
      <w:r w:rsidRPr="00A1145E">
        <w:t xml:space="preserve"> free herd.</w:t>
      </w:r>
    </w:p>
    <w:p w14:paraId="373E8502" w14:textId="77777777" w:rsidR="005A46E7" w:rsidRPr="00A1145E" w:rsidRDefault="005A46E7" w:rsidP="005A46E7">
      <w:pPr>
        <w:pStyle w:val="1"/>
      </w:pPr>
      <w:r w:rsidRPr="00A1145E">
        <w:t>4.</w:t>
      </w:r>
      <w:r w:rsidRPr="00A1145E">
        <w:tab/>
        <w:t xml:space="preserve">Bulls over 12 months of age must be </w:t>
      </w:r>
      <w:r w:rsidRPr="002248D5">
        <w:rPr>
          <w:i/>
        </w:rPr>
        <w:t>Brucellosis</w:t>
      </w:r>
      <w:r w:rsidRPr="00A1145E">
        <w:t xml:space="preserve"> test negative 30 days prior to, or at the time of sale or purchase. </w:t>
      </w:r>
      <w:r>
        <w:t>Exception to this Subsection is</w:t>
      </w:r>
      <w:r w:rsidRPr="00A1145E">
        <w:t xml:space="preserve"> individually identified bulls originating in and moving directly from a certified </w:t>
      </w:r>
      <w:r w:rsidRPr="002248D5">
        <w:rPr>
          <w:i/>
        </w:rPr>
        <w:t>Brucellosis</w:t>
      </w:r>
      <w:r w:rsidRPr="00A1145E">
        <w:t xml:space="preserve"> free herd.</w:t>
      </w:r>
    </w:p>
    <w:p w14:paraId="7481752A" w14:textId="77777777" w:rsidR="005A46E7" w:rsidRPr="00A1145E" w:rsidRDefault="005A46E7" w:rsidP="005A46E7">
      <w:pPr>
        <w:pStyle w:val="1"/>
      </w:pPr>
      <w:r w:rsidRPr="00A1145E">
        <w:t>5.</w:t>
      </w:r>
      <w:r w:rsidRPr="00A1145E">
        <w:tab/>
        <w:t>Steers and spayed heifers may move unrestricted.</w:t>
      </w:r>
    </w:p>
    <w:p w14:paraId="2578CB7D" w14:textId="77777777" w:rsidR="005A46E7" w:rsidRPr="00A1145E" w:rsidRDefault="005A46E7" w:rsidP="005A46E7">
      <w:pPr>
        <w:pStyle w:val="AuthorityNote"/>
      </w:pPr>
      <w:r w:rsidRPr="00A1145E">
        <w:t>AUTHORITY NOTE:</w:t>
      </w:r>
      <w:r w:rsidRPr="00A1145E">
        <w:tab/>
        <w:t>Promulgated in accordance with R.S. 3:2093, R.S. 2221 and R.S. 3:2228.</w:t>
      </w:r>
    </w:p>
    <w:p w14:paraId="26233E5F"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11:238 (March 1985), amended LR 11:615 (June 1985), 12:502 (August 1986), LR 13:559 (October 1987), LR 17:29 (January 1991), LR 18:837 (August 1992), amended by the Department of Agriculture and Forestry, Office of the Commissioner, LR 24:1678 (September 1998), LR 25:1083 (June 1999), LR 27:182 (February 2001)</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14:paraId="311C92B0" w14:textId="77777777" w:rsidR="005A46E7" w:rsidRPr="00A1145E" w:rsidRDefault="005A46E7" w:rsidP="005A46E7">
      <w:pPr>
        <w:pStyle w:val="Section"/>
      </w:pPr>
      <w:bookmarkStart w:id="1929" w:name="_Toc256754704"/>
      <w:bookmarkStart w:id="1930" w:name="_Toc375025488"/>
      <w:bookmarkStart w:id="1931" w:name="_Toc224819092"/>
      <w:r w:rsidRPr="00A1145E">
        <w:lastRenderedPageBreak/>
        <w:t>§717.</w:t>
      </w:r>
      <w:r w:rsidRPr="00A1145E">
        <w:tab/>
        <w:t xml:space="preserve">Testing of Cattle for </w:t>
      </w:r>
      <w:r w:rsidRPr="002248D5">
        <w:rPr>
          <w:i/>
        </w:rPr>
        <w:t>Brucellosis</w:t>
      </w:r>
      <w:bookmarkEnd w:id="1929"/>
      <w:bookmarkEnd w:id="1930"/>
      <w:r>
        <w:rPr>
          <w:i/>
        </w:rPr>
        <w:br/>
      </w:r>
      <w:r>
        <w:t>(</w:t>
      </w:r>
      <w:r w:rsidRPr="00A1145E">
        <w:t>Formerly §313</w:t>
      </w:r>
      <w:r>
        <w:t>)</w:t>
      </w:r>
      <w:bookmarkEnd w:id="1931"/>
    </w:p>
    <w:p w14:paraId="30342B0D" w14:textId="77777777" w:rsidR="005A46E7" w:rsidRPr="00A1145E" w:rsidRDefault="005A46E7" w:rsidP="005A46E7">
      <w:pPr>
        <w:pStyle w:val="A"/>
      </w:pPr>
      <w:r w:rsidRPr="00A1145E">
        <w:t>A.</w:t>
      </w:r>
      <w:r w:rsidRPr="00A1145E">
        <w:tab/>
        <w:t xml:space="preserve">The testing of any cattle for </w:t>
      </w:r>
      <w:r w:rsidRPr="002248D5">
        <w:rPr>
          <w:i/>
        </w:rPr>
        <w:t>Brucellosis</w:t>
      </w:r>
      <w:r w:rsidRPr="00A1145E">
        <w:t xml:space="preserve"> shall be done by:</w:t>
      </w:r>
    </w:p>
    <w:p w14:paraId="5C6465A4" w14:textId="77777777" w:rsidR="005A46E7" w:rsidRPr="00A1145E" w:rsidRDefault="005A46E7" w:rsidP="005A46E7">
      <w:pPr>
        <w:pStyle w:val="1"/>
      </w:pPr>
      <w:r w:rsidRPr="00A1145E">
        <w:t>1.</w:t>
      </w:r>
      <w:r w:rsidRPr="00A1145E">
        <w:tab/>
        <w:t>a USDA accredited veterinarian;</w:t>
      </w:r>
    </w:p>
    <w:p w14:paraId="129C2F34" w14:textId="77777777" w:rsidR="005A46E7" w:rsidRPr="00A1145E" w:rsidRDefault="005A46E7" w:rsidP="005A46E7">
      <w:pPr>
        <w:pStyle w:val="1"/>
      </w:pPr>
      <w:r w:rsidRPr="00A1145E">
        <w:t>2.</w:t>
      </w:r>
      <w:r w:rsidRPr="00A1145E">
        <w:tab/>
        <w:t>an employee of the Department of Agriculture and Forestry, Livestock Sanitary Board; or</w:t>
      </w:r>
    </w:p>
    <w:p w14:paraId="0CCBA394" w14:textId="77777777" w:rsidR="005A46E7" w:rsidRPr="00A1145E" w:rsidRDefault="005A46E7" w:rsidP="005A46E7">
      <w:pPr>
        <w:pStyle w:val="1"/>
      </w:pPr>
      <w:r w:rsidRPr="00A1145E">
        <w:t>3.</w:t>
      </w:r>
      <w:r w:rsidRPr="00A1145E">
        <w:tab/>
        <w:t>an employee of the USDA, Animal and Plant Health Inspection Service, Veterinary Services.</w:t>
      </w:r>
    </w:p>
    <w:p w14:paraId="7B4F1564" w14:textId="77777777" w:rsidR="005A46E7" w:rsidRPr="00A1145E" w:rsidRDefault="005A46E7" w:rsidP="005A46E7">
      <w:pPr>
        <w:pStyle w:val="A"/>
      </w:pPr>
      <w:r w:rsidRPr="00A1145E">
        <w:t>B.</w:t>
      </w:r>
      <w:r w:rsidRPr="00A1145E">
        <w:tab/>
        <w:t xml:space="preserve">All cattle tested for </w:t>
      </w:r>
      <w:r w:rsidRPr="002248D5">
        <w:rPr>
          <w:i/>
        </w:rPr>
        <w:t>Brucellosis</w:t>
      </w:r>
      <w:r w:rsidRPr="00A1145E">
        <w:t xml:space="preserve"> shall be individually identified by an official USDA ear tag, individual brand, or individual tattoo. The identification shall be recorded on the official </w:t>
      </w:r>
      <w:r w:rsidRPr="002248D5">
        <w:rPr>
          <w:i/>
        </w:rPr>
        <w:t>Brucellosis</w:t>
      </w:r>
      <w:r w:rsidRPr="00A1145E">
        <w:t xml:space="preserve"> test chart (Form VS 4-33).</w:t>
      </w:r>
    </w:p>
    <w:p w14:paraId="23F4991D" w14:textId="77777777" w:rsidR="005A46E7" w:rsidRPr="00A1145E" w:rsidRDefault="005A46E7" w:rsidP="005A46E7">
      <w:pPr>
        <w:pStyle w:val="A"/>
      </w:pPr>
      <w:r w:rsidRPr="00A1145E">
        <w:t>C.</w:t>
      </w:r>
      <w:r w:rsidRPr="00A1145E">
        <w:tab/>
        <w:t xml:space="preserve">All blood samples drawn for </w:t>
      </w:r>
      <w:r w:rsidRPr="002248D5">
        <w:rPr>
          <w:i/>
        </w:rPr>
        <w:t>Brucellosis</w:t>
      </w:r>
      <w:r w:rsidRPr="00A1145E">
        <w:t xml:space="preserve"> testing shall be submitted to the state/federal laboratory. Each sample shall be identified and the identity recorded on the official </w:t>
      </w:r>
      <w:r w:rsidRPr="002248D5">
        <w:rPr>
          <w:i/>
        </w:rPr>
        <w:t>Brucellosis</w:t>
      </w:r>
      <w:r w:rsidRPr="00A1145E">
        <w:t xml:space="preserve"> test chart. The test chart shall accompany the blood sample(s) to the state/federal laboratory.</w:t>
      </w:r>
    </w:p>
    <w:p w14:paraId="79A2A3B5" w14:textId="77777777" w:rsidR="005A46E7" w:rsidRPr="00A1145E" w:rsidRDefault="005A46E7" w:rsidP="005A46E7">
      <w:pPr>
        <w:pStyle w:val="AuthorityNote"/>
      </w:pPr>
      <w:r w:rsidRPr="00A1145E">
        <w:t>AUTHORITY NOTE:</w:t>
      </w:r>
      <w:r w:rsidRPr="00A1145E">
        <w:tab/>
        <w:t>Promulgated in accordance with R.S. 3:2221 and R.S. 3:2093.</w:t>
      </w:r>
    </w:p>
    <w:p w14:paraId="6F6F3D1A" w14:textId="77777777"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18:836 (August 1992), repromulgated LR 18:1115 (October 1992)</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14:paraId="19881372" w14:textId="77777777" w:rsidR="005A46E7" w:rsidRPr="00A1145E" w:rsidRDefault="005A46E7" w:rsidP="005A46E7">
      <w:pPr>
        <w:pStyle w:val="Section"/>
      </w:pPr>
      <w:bookmarkStart w:id="1932" w:name="_Toc256754705"/>
      <w:bookmarkStart w:id="1933" w:name="_Toc375025489"/>
      <w:bookmarkStart w:id="1934" w:name="_Toc224819093"/>
      <w:r w:rsidRPr="00A1145E">
        <w:t>§719.</w:t>
      </w:r>
      <w:r w:rsidRPr="00A1145E">
        <w:tab/>
        <w:t xml:space="preserve">Sale and Use of </w:t>
      </w:r>
      <w:r w:rsidRPr="00E672B9">
        <w:rPr>
          <w:i/>
        </w:rPr>
        <w:t>Brucella abortus</w:t>
      </w:r>
      <w:r w:rsidRPr="00A1145E">
        <w:t xml:space="preserve"> Antigen</w:t>
      </w:r>
      <w:bookmarkEnd w:id="1932"/>
      <w:bookmarkEnd w:id="1933"/>
      <w:r>
        <w:br/>
        <w:t>(</w:t>
      </w:r>
      <w:r w:rsidRPr="00A1145E">
        <w:t>Formerly §315</w:t>
      </w:r>
      <w:r>
        <w:t>)</w:t>
      </w:r>
      <w:bookmarkEnd w:id="1934"/>
    </w:p>
    <w:p w14:paraId="145EBFC7" w14:textId="77777777" w:rsidR="005A46E7" w:rsidRPr="00A1145E" w:rsidRDefault="005A46E7" w:rsidP="005A46E7">
      <w:pPr>
        <w:pStyle w:val="A"/>
      </w:pPr>
      <w:r w:rsidRPr="00A1145E">
        <w:t>A.</w:t>
      </w:r>
      <w:r w:rsidRPr="00A1145E">
        <w:tab/>
        <w:t xml:space="preserve">The sale of </w:t>
      </w:r>
      <w:r w:rsidRPr="008D71AF">
        <w:rPr>
          <w:i/>
        </w:rPr>
        <w:t>Brucella</w:t>
      </w:r>
      <w:r w:rsidRPr="00A1145E">
        <w:t xml:space="preserve"> antigen, manufactured for the purpose of detecting </w:t>
      </w:r>
      <w:r w:rsidRPr="002248D5">
        <w:rPr>
          <w:i/>
        </w:rPr>
        <w:t>Brucellosis</w:t>
      </w:r>
      <w:r w:rsidRPr="00A1145E">
        <w:t xml:space="preserve"> in food producing animals, shall be restricted, in Louisiana, to either the Department of Agriculture and Forestry, Livestock Sanitary Board or the USDA Animal and Plant Health Inspection Service, Veterinary Services.</w:t>
      </w:r>
    </w:p>
    <w:p w14:paraId="11EFF416" w14:textId="77777777" w:rsidR="005A46E7" w:rsidRPr="00A1145E" w:rsidRDefault="005A46E7" w:rsidP="005A46E7">
      <w:pPr>
        <w:pStyle w:val="A"/>
        <w:tabs>
          <w:tab w:val="left" w:pos="630"/>
        </w:tabs>
      </w:pPr>
      <w:r w:rsidRPr="00A1145E">
        <w:t>B.1.</w:t>
      </w:r>
      <w:r w:rsidRPr="00A1145E">
        <w:tab/>
        <w:t xml:space="preserve">The use of </w:t>
      </w:r>
      <w:r w:rsidRPr="008D71AF">
        <w:rPr>
          <w:i/>
        </w:rPr>
        <w:t>Brucella</w:t>
      </w:r>
      <w:r w:rsidRPr="00A1145E">
        <w:t xml:space="preserve"> antigen manufactured for the purpose of detecting </w:t>
      </w:r>
      <w:r w:rsidRPr="002248D5">
        <w:rPr>
          <w:i/>
        </w:rPr>
        <w:t>Brucellosis</w:t>
      </w:r>
      <w:r w:rsidRPr="00A1145E">
        <w:t xml:space="preserve"> in food producing animals is restricted, in Louisiana, to authorized accredited veterinarians; authorized employees of the Department of Agriculture and Forestry, Livestock Sanitary Board; authorized employees of the USDA, Animal and Plant Health Inspection Service, Veterinary Services, and research projects approved by the state veterinarian.</w:t>
      </w:r>
    </w:p>
    <w:p w14:paraId="3D73ABB6" w14:textId="77777777" w:rsidR="005A46E7" w:rsidRPr="00A1145E" w:rsidRDefault="005A46E7" w:rsidP="005A46E7">
      <w:pPr>
        <w:pStyle w:val="1"/>
      </w:pPr>
      <w:r w:rsidRPr="00A1145E">
        <w:t>2.</w:t>
      </w:r>
      <w:r w:rsidRPr="00A1145E">
        <w:tab/>
        <w:t xml:space="preserve">It is a violation of the regulation for anyone other than authorized individuals to use and/or possess </w:t>
      </w:r>
      <w:r w:rsidRPr="008D71AF">
        <w:rPr>
          <w:i/>
        </w:rPr>
        <w:t>Brucella</w:t>
      </w:r>
      <w:r w:rsidRPr="00A1145E">
        <w:t xml:space="preserve"> antigen. Accredited veterinarians; employees of the Department of Agriculture and Forestry, Livestock Sanitary Board; and employees of USDA Animal and Plant Health Inspection Service, Veterinary Services, are considered authorized to use </w:t>
      </w:r>
      <w:r w:rsidRPr="003C0E20">
        <w:rPr>
          <w:i/>
        </w:rPr>
        <w:t>Brucella abortus</w:t>
      </w:r>
      <w:r w:rsidRPr="00A1145E">
        <w:t xml:space="preserve"> antigen to conduct a </w:t>
      </w:r>
      <w:r w:rsidRPr="002248D5">
        <w:rPr>
          <w:i/>
        </w:rPr>
        <w:t>Brucellosis</w:t>
      </w:r>
      <w:r w:rsidRPr="00A1145E">
        <w:t xml:space="preserve"> test only when proper documentation of the test (VS Form 4-33) and all blood samples are submitted to the state/federal laboratory.</w:t>
      </w:r>
    </w:p>
    <w:p w14:paraId="198F360B" w14:textId="77777777" w:rsidR="005A46E7" w:rsidRPr="00A1145E" w:rsidRDefault="005A46E7" w:rsidP="005A46E7">
      <w:pPr>
        <w:pStyle w:val="1"/>
      </w:pPr>
      <w:r w:rsidRPr="00A1145E">
        <w:t>3.</w:t>
      </w:r>
      <w:r w:rsidRPr="00A1145E">
        <w:tab/>
        <w:t xml:space="preserve">Use and/or possession of </w:t>
      </w:r>
      <w:r w:rsidRPr="008A070F">
        <w:rPr>
          <w:i/>
        </w:rPr>
        <w:t>Brucella</w:t>
      </w:r>
      <w:r w:rsidRPr="00A1145E">
        <w:t xml:space="preserve"> antigen shall include any person that is present at the time an unauthorized test for </w:t>
      </w:r>
      <w:r w:rsidRPr="002248D5">
        <w:rPr>
          <w:i/>
        </w:rPr>
        <w:t>Brucellosis</w:t>
      </w:r>
      <w:r w:rsidRPr="00A1145E">
        <w:t xml:space="preserve"> is conducted.</w:t>
      </w:r>
    </w:p>
    <w:p w14:paraId="2618FE11" w14:textId="77777777" w:rsidR="005A46E7" w:rsidRPr="00A1145E" w:rsidRDefault="005A46E7" w:rsidP="002338E9">
      <w:pPr>
        <w:pStyle w:val="A"/>
        <w:tabs>
          <w:tab w:val="clear" w:pos="540"/>
          <w:tab w:val="clear" w:pos="4500"/>
          <w:tab w:val="clear" w:pos="4680"/>
          <w:tab w:val="clear" w:pos="4860"/>
          <w:tab w:val="clear" w:pos="5040"/>
          <w:tab w:val="clear" w:pos="7200"/>
          <w:tab w:val="left" w:pos="144"/>
          <w:tab w:val="left" w:pos="720"/>
          <w:tab w:val="left" w:pos="810"/>
          <w:tab w:val="left" w:pos="1080"/>
        </w:tabs>
      </w:pPr>
      <w:r w:rsidRPr="00A1145E">
        <w:t>C.1.</w:t>
      </w:r>
      <w:r w:rsidR="002338E9">
        <w:tab/>
      </w:r>
      <w:r w:rsidRPr="00A1145E">
        <w:t xml:space="preserve">All cattle tested for </w:t>
      </w:r>
      <w:r w:rsidRPr="002248D5">
        <w:rPr>
          <w:i/>
        </w:rPr>
        <w:t>Brucellosis</w:t>
      </w:r>
      <w:r w:rsidRPr="00A1145E">
        <w:t xml:space="preserve"> shall be individually identified by official ear tag, individual brand number or individual tattoo (identification such as chain numbers is not acceptable).</w:t>
      </w:r>
    </w:p>
    <w:p w14:paraId="27D7A340" w14:textId="77777777" w:rsidR="005A46E7" w:rsidRPr="00A1145E" w:rsidRDefault="005A46E7" w:rsidP="005A46E7">
      <w:pPr>
        <w:pStyle w:val="1"/>
      </w:pPr>
      <w:r w:rsidRPr="00A1145E">
        <w:t>2.</w:t>
      </w:r>
      <w:r w:rsidRPr="00A1145E">
        <w:tab/>
        <w:t>The individual identification shall be recorded on the official test chart (Form VS 4-33) and be submitted to the state/federal laboratory with the blood samples taken from each of the individually identified animal(s).</w:t>
      </w:r>
    </w:p>
    <w:p w14:paraId="169E9642" w14:textId="77777777" w:rsidR="005A46E7" w:rsidRPr="00A1145E" w:rsidRDefault="005A46E7" w:rsidP="005A46E7">
      <w:pPr>
        <w:pStyle w:val="AuthorityNote"/>
      </w:pPr>
      <w:r w:rsidRPr="00A1145E">
        <w:t>AUTHORITY NOTE:</w:t>
      </w:r>
      <w:r w:rsidRPr="00A1145E">
        <w:tab/>
        <w:t>Promulgated in accordance with R.S. 3:2093.</w:t>
      </w:r>
    </w:p>
    <w:p w14:paraId="5CF72ACE"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11:239 (March 1985), amended LR 11:615 (June 1985), amended by the Department of Agriculture and Forestry, Livestock Sanitary Board, LR 13:559 (October 1987), LR 18:838 (August 1992)</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14:paraId="11320FF5" w14:textId="77777777" w:rsidR="005A46E7" w:rsidRPr="00A1145E" w:rsidRDefault="005A46E7" w:rsidP="005A46E7">
      <w:pPr>
        <w:pStyle w:val="Section"/>
      </w:pPr>
      <w:bookmarkStart w:id="1935" w:name="_Toc256754706"/>
      <w:bookmarkStart w:id="1936" w:name="_Toc375025490"/>
      <w:bookmarkStart w:id="1937" w:name="_Toc224819094"/>
      <w:r w:rsidRPr="00A1145E">
        <w:t>§721.</w:t>
      </w:r>
      <w:r w:rsidRPr="00A1145E">
        <w:tab/>
        <w:t xml:space="preserve">Identification and Movement of Cattle Reacting to the </w:t>
      </w:r>
      <w:r w:rsidRPr="002248D5">
        <w:rPr>
          <w:i/>
        </w:rPr>
        <w:t>Brucellosis</w:t>
      </w:r>
      <w:r w:rsidRPr="00A1145E">
        <w:t xml:space="preserve"> Test</w:t>
      </w:r>
      <w:bookmarkEnd w:id="1935"/>
      <w:bookmarkEnd w:id="1936"/>
      <w:r>
        <w:br/>
        <w:t>(</w:t>
      </w:r>
      <w:r w:rsidRPr="00A1145E">
        <w:t>Formerly §317</w:t>
      </w:r>
      <w:r>
        <w:t>)</w:t>
      </w:r>
      <w:bookmarkEnd w:id="1937"/>
    </w:p>
    <w:p w14:paraId="489AEBCA" w14:textId="77777777" w:rsidR="005A46E7" w:rsidRPr="00A1145E" w:rsidRDefault="005A46E7" w:rsidP="005A46E7">
      <w:pPr>
        <w:pStyle w:val="A"/>
      </w:pPr>
      <w:r w:rsidRPr="00A1145E">
        <w:t>A.</w:t>
      </w:r>
      <w:r w:rsidRPr="00A1145E">
        <w:tab/>
        <w:t xml:space="preserve">All cattle showing a positive reaction to the </w:t>
      </w:r>
      <w:r w:rsidRPr="002248D5">
        <w:rPr>
          <w:i/>
        </w:rPr>
        <w:t>Brucellosis</w:t>
      </w:r>
      <w:r w:rsidRPr="00A1145E">
        <w:t xml:space="preserve"> test shall be immediately branded on the left jaw with a hot B brand no less than 3 inches in height. In addition, a reactor tag shall be placed in the left ear. (Reactors should be slaughtered as soon as possible; however, slaughter may be delayed for 45 days after the date of test provided the animals have been identified </w:t>
      </w:r>
      <w:r w:rsidRPr="00A1145E">
        <w:br/>
        <w:t xml:space="preserve">and branded and separated from the remainder of the herd. A 45-day delay in slaughter of </w:t>
      </w:r>
      <w:r w:rsidRPr="002248D5">
        <w:rPr>
          <w:i/>
        </w:rPr>
        <w:t>Brucellosis</w:t>
      </w:r>
      <w:r w:rsidRPr="00A1145E">
        <w:t xml:space="preserve"> reactors nullifies owner's eligibility for federal indemnity which requires slaughter within 15 days from the date the animal is tagged and branded as a reactive.)</w:t>
      </w:r>
    </w:p>
    <w:p w14:paraId="7A5490A7" w14:textId="77777777" w:rsidR="005A46E7" w:rsidRPr="00A1145E" w:rsidRDefault="005A46E7" w:rsidP="005A46E7">
      <w:pPr>
        <w:pStyle w:val="A"/>
      </w:pPr>
      <w:r w:rsidRPr="00A1145E">
        <w:t>B.</w:t>
      </w:r>
      <w:r w:rsidRPr="00A1145E">
        <w:tab/>
        <w:t xml:space="preserve">All </w:t>
      </w:r>
      <w:r w:rsidRPr="002248D5">
        <w:rPr>
          <w:i/>
        </w:rPr>
        <w:t>Brucellosis</w:t>
      </w:r>
      <w:r w:rsidRPr="00A1145E">
        <w:t xml:space="preserve"> reactors moving from the quarantined premises must be accompanied by Form VS 1-27. These movements shall be limited to slaughter establishments specifically approved to handle </w:t>
      </w:r>
      <w:r w:rsidRPr="002248D5">
        <w:rPr>
          <w:i/>
        </w:rPr>
        <w:t>Brucellosis</w:t>
      </w:r>
      <w:r w:rsidRPr="00A1145E">
        <w:t xml:space="preserve"> reactors or to approved livestock auction markets to be offered for sale specifically approved slaughter establishments only.</w:t>
      </w:r>
    </w:p>
    <w:p w14:paraId="193E4291" w14:textId="77777777" w:rsidR="005A46E7" w:rsidRPr="00A1145E" w:rsidRDefault="005A46E7" w:rsidP="005A46E7">
      <w:pPr>
        <w:pStyle w:val="AuthorityNote"/>
      </w:pPr>
      <w:r w:rsidRPr="00A1145E">
        <w:t>AUTHORITY NOTE:</w:t>
      </w:r>
      <w:r w:rsidRPr="00A1145E">
        <w:tab/>
        <w:t>Promulgated in accordance with R.S. 3:2093, R.S. 3:2226 and R.S. 3:2227.</w:t>
      </w:r>
    </w:p>
    <w:p w14:paraId="048C7DBC"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11:239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40:952 (May 2014).</w:t>
      </w:r>
    </w:p>
    <w:p w14:paraId="1CC04C99" w14:textId="77777777" w:rsidR="005A46E7" w:rsidRPr="00A1145E" w:rsidRDefault="005A46E7" w:rsidP="005A46E7">
      <w:pPr>
        <w:pStyle w:val="Section"/>
      </w:pPr>
      <w:bookmarkStart w:id="1938" w:name="_Toc256754707"/>
      <w:bookmarkStart w:id="1939" w:name="_Toc375025491"/>
      <w:bookmarkStart w:id="1940" w:name="_Toc224819095"/>
      <w:r w:rsidRPr="00A1145E">
        <w:t>§723.</w:t>
      </w:r>
      <w:r w:rsidRPr="00A1145E">
        <w:tab/>
        <w:t xml:space="preserve">Sale and Use of </w:t>
      </w:r>
      <w:r w:rsidRPr="002248D5">
        <w:rPr>
          <w:i/>
        </w:rPr>
        <w:t>Brucella abortus</w:t>
      </w:r>
      <w:r w:rsidRPr="00A1145E">
        <w:t xml:space="preserve"> Vaccine</w:t>
      </w:r>
      <w:bookmarkEnd w:id="1938"/>
      <w:bookmarkEnd w:id="1939"/>
      <w:r>
        <w:br/>
        <w:t>(</w:t>
      </w:r>
      <w:r w:rsidRPr="00A1145E">
        <w:t>Formerly §319</w:t>
      </w:r>
      <w:r>
        <w:t>)</w:t>
      </w:r>
      <w:bookmarkEnd w:id="1940"/>
    </w:p>
    <w:p w14:paraId="18473F02" w14:textId="77777777" w:rsidR="005A46E7" w:rsidRPr="00A1145E" w:rsidRDefault="005A46E7" w:rsidP="005A46E7">
      <w:pPr>
        <w:pStyle w:val="A"/>
      </w:pPr>
      <w:r w:rsidRPr="00A1145E">
        <w:t>A.</w:t>
      </w:r>
      <w:r w:rsidRPr="00A1145E">
        <w:tab/>
        <w:t xml:space="preserve">The sale and use of </w:t>
      </w:r>
      <w:r w:rsidRPr="003C0E20">
        <w:rPr>
          <w:i/>
        </w:rPr>
        <w:t>Brucella abortus</w:t>
      </w:r>
      <w:r w:rsidRPr="00A1145E">
        <w:t xml:space="preserve"> vaccine shall be restricted to Louisiana accredited veterinarians and to Livestock Sanitary Board approved non-veterinary personnel who administer the vaccine under the supervision of state-federal veterinarians.</w:t>
      </w:r>
    </w:p>
    <w:p w14:paraId="0048F6C3" w14:textId="77777777" w:rsidR="005A46E7" w:rsidRPr="00A1145E" w:rsidRDefault="005A46E7" w:rsidP="005A46E7">
      <w:pPr>
        <w:pStyle w:val="A"/>
      </w:pPr>
      <w:r w:rsidRPr="00A1145E">
        <w:t>B.</w:t>
      </w:r>
      <w:r w:rsidRPr="00A1145E">
        <w:tab/>
        <w:t xml:space="preserve">Biological supply houses and their distributors are hereby required to send to the Livestock Sanitary Board a copy of the invoices on all shipments of </w:t>
      </w:r>
      <w:r w:rsidRPr="003C0E20">
        <w:rPr>
          <w:i/>
        </w:rPr>
        <w:t>Brucella abortus</w:t>
      </w:r>
      <w:r w:rsidRPr="00A1145E">
        <w:t xml:space="preserve"> vaccine into and within, the state of Louisiana.</w:t>
      </w:r>
    </w:p>
    <w:p w14:paraId="0A2F51D0" w14:textId="77777777" w:rsidR="005A46E7" w:rsidRPr="00A1145E" w:rsidRDefault="005A46E7" w:rsidP="005A46E7">
      <w:pPr>
        <w:pStyle w:val="A"/>
      </w:pPr>
      <w:r w:rsidRPr="00A1145E">
        <w:lastRenderedPageBreak/>
        <w:t>C.</w:t>
      </w:r>
      <w:r w:rsidRPr="00A1145E">
        <w:tab/>
        <w:t xml:space="preserve">Veterinarians, drug stores, biological houses, and all other wholesale and retail distributors of </w:t>
      </w:r>
      <w:r w:rsidRPr="003C0E20">
        <w:rPr>
          <w:i/>
        </w:rPr>
        <w:t>Brucella abortus</w:t>
      </w:r>
      <w:r w:rsidRPr="00A1145E">
        <w:t xml:space="preserve"> vaccine, who sell </w:t>
      </w:r>
      <w:r w:rsidRPr="003C0E20">
        <w:rPr>
          <w:i/>
        </w:rPr>
        <w:t>Brucella abortus</w:t>
      </w:r>
      <w:r w:rsidRPr="00A1145E">
        <w:t xml:space="preserve"> vaccine to persons other than Louisiana accredited veterinarians, shall be prosecuted as prescribed by state law.</w:t>
      </w:r>
    </w:p>
    <w:p w14:paraId="54624A2A" w14:textId="77777777" w:rsidR="005A46E7" w:rsidRPr="00A1145E" w:rsidRDefault="005A46E7" w:rsidP="005A46E7">
      <w:pPr>
        <w:pStyle w:val="A"/>
      </w:pPr>
      <w:r w:rsidRPr="00A1145E">
        <w:t>D.</w:t>
      </w:r>
      <w:r w:rsidRPr="00A1145E">
        <w:tab/>
      </w:r>
      <w:r w:rsidRPr="003C0E20">
        <w:rPr>
          <w:i/>
        </w:rPr>
        <w:t>Brucella abortus</w:t>
      </w:r>
      <w:r w:rsidRPr="00A1145E">
        <w:t xml:space="preserve"> vaccine will be administered in accordance with the method approved by the United States Department of Agriculture.</w:t>
      </w:r>
    </w:p>
    <w:p w14:paraId="59C41EEA" w14:textId="77777777" w:rsidR="005A46E7" w:rsidRPr="00A1145E" w:rsidRDefault="005A46E7" w:rsidP="005A46E7">
      <w:pPr>
        <w:pStyle w:val="A"/>
      </w:pPr>
      <w:r w:rsidRPr="00A1145E">
        <w:t>E.</w:t>
      </w:r>
      <w:r w:rsidRPr="00A1145E">
        <w:tab/>
        <w:t xml:space="preserve">All heifer calves between 4 and 12 months of age must be official </w:t>
      </w:r>
      <w:r w:rsidRPr="002248D5">
        <w:rPr>
          <w:i/>
        </w:rPr>
        <w:t>Brucellosis</w:t>
      </w:r>
      <w:r w:rsidRPr="00A1145E">
        <w:t xml:space="preserve"> calfhood vaccinated, prior to being sold.</w:t>
      </w:r>
    </w:p>
    <w:p w14:paraId="53E2D69E" w14:textId="77777777" w:rsidR="005A46E7" w:rsidRPr="00A1145E" w:rsidRDefault="005A46E7" w:rsidP="005A46E7">
      <w:pPr>
        <w:pStyle w:val="A"/>
      </w:pPr>
      <w:r w:rsidRPr="00A1145E">
        <w:t>F.</w:t>
      </w:r>
      <w:r w:rsidRPr="00A1145E">
        <w:tab/>
        <w:t>Adult Vaccination of Cattle</w:t>
      </w:r>
    </w:p>
    <w:p w14:paraId="40503C8C" w14:textId="77777777" w:rsidR="005A46E7" w:rsidRPr="00A1145E" w:rsidRDefault="005A46E7" w:rsidP="005A46E7">
      <w:pPr>
        <w:pStyle w:val="1"/>
      </w:pPr>
      <w:r w:rsidRPr="00A1145E">
        <w:t>1.</w:t>
      </w:r>
      <w:r w:rsidRPr="00A1145E">
        <w:tab/>
        <w:t xml:space="preserve">Adult vaccination of female cattle 12 months old or older, for </w:t>
      </w:r>
      <w:r w:rsidRPr="002248D5">
        <w:rPr>
          <w:i/>
        </w:rPr>
        <w:t>Brucellosis</w:t>
      </w:r>
      <w:r w:rsidRPr="00A1145E">
        <w:t>, may be performed on an individual herd plan by state or federal veterinarians, provided the owner signs the official agreement to comply with the following provisions:</w:t>
      </w:r>
    </w:p>
    <w:p w14:paraId="612F95D5" w14:textId="77777777" w:rsidR="005A46E7" w:rsidRPr="00A1145E" w:rsidRDefault="005A46E7" w:rsidP="005A46E7">
      <w:pPr>
        <w:pStyle w:val="a0"/>
      </w:pPr>
      <w:r w:rsidRPr="00A1145E">
        <w:t>a.</w:t>
      </w:r>
      <w:r w:rsidRPr="00A1145E">
        <w:tab/>
        <w:t xml:space="preserve">test of entire herd and removal of </w:t>
      </w:r>
      <w:r w:rsidRPr="002248D5">
        <w:rPr>
          <w:i/>
        </w:rPr>
        <w:t>Brucellosis</w:t>
      </w:r>
      <w:r w:rsidRPr="00A1145E">
        <w:t xml:space="preserve"> reactors with </w:t>
      </w:r>
      <w:r w:rsidRPr="002248D5">
        <w:rPr>
          <w:i/>
        </w:rPr>
        <w:t>Brucellosis</w:t>
      </w:r>
      <w:r w:rsidRPr="00A1145E">
        <w:t xml:space="preserve"> vaccination completed within 10 days following herd test and removal of </w:t>
      </w:r>
      <w:r w:rsidRPr="002248D5">
        <w:rPr>
          <w:i/>
        </w:rPr>
        <w:t>Brucellosis</w:t>
      </w:r>
      <w:r w:rsidRPr="00A1145E">
        <w:t xml:space="preserve"> reactors;</w:t>
      </w:r>
    </w:p>
    <w:p w14:paraId="7993F773" w14:textId="77777777" w:rsidR="005A46E7" w:rsidRPr="00A1145E" w:rsidRDefault="005A46E7" w:rsidP="005A46E7">
      <w:pPr>
        <w:pStyle w:val="a0"/>
      </w:pPr>
      <w:r w:rsidRPr="00A1145E">
        <w:t>b.</w:t>
      </w:r>
      <w:r w:rsidRPr="00A1145E">
        <w:tab/>
        <w:t>all animals vaccinated as adults will be identified with an official AV tattoo in the right ear, preceded by the quarter of the year and followed by the last digit of the year, as well as the official metal ear tag (or individual animal registration tattoo or individual animal registration brand) and plastic bangle tag, which are to be correlated on test records with the official ear tag;</w:t>
      </w:r>
    </w:p>
    <w:p w14:paraId="3C88E645" w14:textId="77777777" w:rsidR="005A46E7" w:rsidRPr="00A1145E" w:rsidRDefault="005A46E7" w:rsidP="005A46E7">
      <w:pPr>
        <w:pStyle w:val="a0"/>
      </w:pPr>
      <w:r w:rsidRPr="00A1145E">
        <w:t>c.</w:t>
      </w:r>
      <w:r w:rsidRPr="00A1145E">
        <w:tab/>
        <w:t>animals so vaccinated will be quarantined and tested on the schedule established in the herd plan. The quarantine will be released when the herd has a negative test, at least 180 days after the last reactor is removed from the herd. Exceptions to this regulation are steers and spayed heifers over 6 months of age.</w:t>
      </w:r>
    </w:p>
    <w:p w14:paraId="6AF6C9B1" w14:textId="77777777" w:rsidR="005A46E7" w:rsidRPr="00A1145E" w:rsidRDefault="005A46E7" w:rsidP="005A46E7">
      <w:pPr>
        <w:pStyle w:val="1"/>
      </w:pPr>
      <w:r w:rsidRPr="00A1145E">
        <w:t>2.</w:t>
      </w:r>
      <w:r w:rsidRPr="00A1145E">
        <w:tab/>
        <w:t xml:space="preserve">Guidelines to conduct a referendum which would make </w:t>
      </w:r>
      <w:r w:rsidRPr="002248D5">
        <w:rPr>
          <w:i/>
        </w:rPr>
        <w:t>Brucellosis</w:t>
      </w:r>
      <w:r w:rsidRPr="00A1145E">
        <w:t xml:space="preserve"> testing and </w:t>
      </w:r>
      <w:r w:rsidRPr="002248D5">
        <w:rPr>
          <w:i/>
        </w:rPr>
        <w:t>Brucellosis</w:t>
      </w:r>
      <w:r w:rsidRPr="00A1145E">
        <w:t xml:space="preserve"> vaccination of all adult cows mandatory on a parish-wide basis.</w:t>
      </w:r>
    </w:p>
    <w:p w14:paraId="18A48955" w14:textId="77777777" w:rsidR="005A46E7" w:rsidRPr="00A1145E" w:rsidRDefault="005A46E7" w:rsidP="005A46E7">
      <w:pPr>
        <w:pStyle w:val="a0"/>
      </w:pPr>
      <w:r w:rsidRPr="00A1145E">
        <w:t>a.</w:t>
      </w:r>
      <w:r w:rsidRPr="00A1145E">
        <w:tab/>
        <w:t>The referendum shall be conducted by the Livestock Sanitary Board, in conjunction with the cattle producers' organizations. The referendum will be held within 90 days after issuance of the call for the referendum. All producers of cattle in the affected area shall be eligible to participate in the referendum.</w:t>
      </w:r>
    </w:p>
    <w:p w14:paraId="7B35496F" w14:textId="77777777" w:rsidR="005A46E7" w:rsidRPr="00A1145E" w:rsidRDefault="005A46E7" w:rsidP="005A46E7">
      <w:pPr>
        <w:pStyle w:val="a0"/>
      </w:pPr>
      <w:r w:rsidRPr="00A1145E">
        <w:t>b.</w:t>
      </w:r>
      <w:r w:rsidRPr="00A1145E">
        <w:tab/>
        <w:t xml:space="preserve">The referendum would give all producers of cattle in the parish an opportunity to vote for or against the referendum, which would require all cattle to be tested for </w:t>
      </w:r>
      <w:r w:rsidRPr="002248D5">
        <w:rPr>
          <w:i/>
        </w:rPr>
        <w:t>Brucellosis</w:t>
      </w:r>
      <w:r w:rsidRPr="00A1145E">
        <w:t xml:space="preserve"> and any herd which has one or more reactors, on more than one herd test, would have to be adult vaccinated for </w:t>
      </w:r>
      <w:r w:rsidRPr="002248D5">
        <w:rPr>
          <w:i/>
        </w:rPr>
        <w:t>Brucellosis</w:t>
      </w:r>
      <w:r w:rsidRPr="00A1145E">
        <w:t xml:space="preserve"> and tested according to the herd plan and adult vaccination agreement. In the absence of a herd plan, the herd would have to be tested at intervals of 180 days or less.</w:t>
      </w:r>
    </w:p>
    <w:p w14:paraId="464F1312" w14:textId="77777777" w:rsidR="005A46E7" w:rsidRPr="00A1145E" w:rsidRDefault="005A46E7" w:rsidP="005A46E7">
      <w:pPr>
        <w:pStyle w:val="a0"/>
      </w:pPr>
      <w:r w:rsidRPr="00A1145E">
        <w:t>c.</w:t>
      </w:r>
      <w:r w:rsidRPr="00A1145E">
        <w:tab/>
        <w:t>If a majority of the eligible cattle producers vote in favor of the referendum, all producers of cattle in the area shall be required to test all their cattle and adult vaccinate any infected herds as described in §723.F.1.</w:t>
      </w:r>
    </w:p>
    <w:p w14:paraId="629B7B2B" w14:textId="77777777" w:rsidR="005A46E7" w:rsidRPr="00A1145E" w:rsidRDefault="005A46E7" w:rsidP="005A46E7">
      <w:pPr>
        <w:pStyle w:val="a0"/>
      </w:pPr>
      <w:r w:rsidRPr="00A1145E">
        <w:t>d.</w:t>
      </w:r>
      <w:r w:rsidRPr="00A1145E">
        <w:tab/>
        <w:t>The following herds would be exempt from the testing requirements:</w:t>
      </w:r>
    </w:p>
    <w:p w14:paraId="01D11477" w14:textId="77777777" w:rsidR="005A46E7" w:rsidRPr="00A1145E" w:rsidRDefault="005A46E7" w:rsidP="005A46E7">
      <w:pPr>
        <w:pStyle w:val="i0"/>
      </w:pPr>
      <w:r>
        <w:tab/>
      </w:r>
      <w:r w:rsidRPr="00A1145E">
        <w:t>i.</w:t>
      </w:r>
      <w:r w:rsidRPr="00A1145E">
        <w:tab/>
        <w:t xml:space="preserve">certified </w:t>
      </w:r>
      <w:r w:rsidRPr="002248D5">
        <w:rPr>
          <w:i/>
        </w:rPr>
        <w:t>Brucellosis</w:t>
      </w:r>
      <w:r w:rsidRPr="00A1145E">
        <w:t xml:space="preserve"> free herds; and</w:t>
      </w:r>
    </w:p>
    <w:p w14:paraId="4D0AC5AA" w14:textId="77777777" w:rsidR="005A46E7" w:rsidRPr="00A1145E" w:rsidRDefault="005A46E7" w:rsidP="005A46E7">
      <w:pPr>
        <w:pStyle w:val="i0"/>
      </w:pPr>
      <w:r>
        <w:tab/>
      </w:r>
      <w:r w:rsidRPr="00A1145E">
        <w:t>ii.</w:t>
      </w:r>
      <w:r w:rsidRPr="00A1145E">
        <w:tab/>
        <w:t xml:space="preserve">dairy herds identified as having negative </w:t>
      </w:r>
      <w:r w:rsidRPr="002248D5">
        <w:rPr>
          <w:i/>
        </w:rPr>
        <w:t>Brucellosis</w:t>
      </w:r>
      <w:r w:rsidRPr="00A1145E">
        <w:t xml:space="preserve"> ring test.</w:t>
      </w:r>
    </w:p>
    <w:p w14:paraId="314DD996" w14:textId="77777777" w:rsidR="005A46E7" w:rsidRPr="00A1145E" w:rsidRDefault="005A46E7" w:rsidP="005A46E7">
      <w:pPr>
        <w:pStyle w:val="a0"/>
      </w:pPr>
      <w:r w:rsidRPr="00A1145E">
        <w:t>e.</w:t>
      </w:r>
      <w:r w:rsidRPr="00A1145E">
        <w:tab/>
        <w:t>The following infected herds would be exempt from mandatory adult vaccination:</w:t>
      </w:r>
    </w:p>
    <w:p w14:paraId="12A11D45" w14:textId="77777777" w:rsidR="005A46E7" w:rsidRPr="00A1145E" w:rsidRDefault="005A46E7" w:rsidP="005A46E7">
      <w:pPr>
        <w:pStyle w:val="i0"/>
      </w:pPr>
      <w:r>
        <w:tab/>
      </w:r>
      <w:r w:rsidRPr="00A1145E">
        <w:t>i.</w:t>
      </w:r>
      <w:r w:rsidRPr="00A1145E">
        <w:tab/>
        <w:t>herds of registered cattle; and</w:t>
      </w:r>
    </w:p>
    <w:p w14:paraId="49ECA85F" w14:textId="77777777" w:rsidR="005A46E7" w:rsidRPr="00A1145E" w:rsidRDefault="005A46E7" w:rsidP="005A46E7">
      <w:pPr>
        <w:pStyle w:val="i0"/>
      </w:pPr>
      <w:r>
        <w:tab/>
      </w:r>
      <w:r w:rsidRPr="00A1145E">
        <w:t>ii.</w:t>
      </w:r>
      <w:r w:rsidRPr="00A1145E">
        <w:tab/>
        <w:t>herds of cattle comprised of all calfhood vaccinated cows.</w:t>
      </w:r>
    </w:p>
    <w:p w14:paraId="17042938" w14:textId="77777777" w:rsidR="005A46E7" w:rsidRPr="00A1145E" w:rsidRDefault="005A46E7" w:rsidP="005A46E7">
      <w:pPr>
        <w:pStyle w:val="AuthorityNote"/>
      </w:pPr>
      <w:r w:rsidRPr="00A1145E">
        <w:t>AUTHORITY NOTE:</w:t>
      </w:r>
      <w:r w:rsidRPr="00A1145E">
        <w:tab/>
        <w:t>Promulgated in accordance with R.S. 3:2093.</w:t>
      </w:r>
    </w:p>
    <w:p w14:paraId="15AE019E" w14:textId="77777777" w:rsidR="005A46E7" w:rsidRPr="00A1145E" w:rsidRDefault="005A46E7" w:rsidP="005A46E7">
      <w:pPr>
        <w:pStyle w:val="HistoricalNote"/>
      </w:pPr>
      <w:r w:rsidRPr="00A1145E">
        <w:t>HISTORICAL NOTE:</w:t>
      </w:r>
      <w:r w:rsidRPr="00A1145E">
        <w:tab/>
      </w:r>
      <w:r w:rsidR="00D943FE" w:rsidRPr="0022448A">
        <w:t>Promulgated</w:t>
      </w:r>
      <w:r w:rsidR="00D943FE" w:rsidRPr="001531CD">
        <w:t xml:space="preserve"> by the Department of Agriculture, Livestock Sanitary Board, LR 11:239 (March 1985), amended LR 11:615 (June 1985), LR 12:289 (May 1986), LR 14:222 (April 1988)</w:t>
      </w:r>
      <w:r w:rsidRPr="00A1145E">
        <w:t xml:space="preserve">, repromulgated by the Department of Agriculture and Forestry, </w:t>
      </w:r>
      <w:r w:rsidR="007356F4">
        <w:t>Office of Animal Health and Food Safety and the Board of Animal Health,</w:t>
      </w:r>
      <w:r w:rsidRPr="00A1145E">
        <w:t xml:space="preserve"> LR </w:t>
      </w:r>
      <w:r>
        <w:t>40:952 (May 2014).</w:t>
      </w:r>
    </w:p>
    <w:p w14:paraId="4F80CDAF" w14:textId="77777777" w:rsidR="005A46E7" w:rsidRPr="00A1145E" w:rsidRDefault="005A46E7" w:rsidP="005A46E7">
      <w:pPr>
        <w:pStyle w:val="Section"/>
      </w:pPr>
      <w:bookmarkStart w:id="1941" w:name="_Toc256754708"/>
      <w:bookmarkStart w:id="1942" w:name="_Toc375025492"/>
      <w:bookmarkStart w:id="1943" w:name="_Toc224819096"/>
      <w:r w:rsidRPr="00A1145E">
        <w:t>§725.</w:t>
      </w:r>
      <w:r w:rsidRPr="00A1145E">
        <w:tab/>
        <w:t xml:space="preserve">Establishing the Official Tests for </w:t>
      </w:r>
      <w:r w:rsidRPr="002248D5">
        <w:rPr>
          <w:i/>
        </w:rPr>
        <w:t>Brucellosis</w:t>
      </w:r>
      <w:r w:rsidRPr="00A1145E">
        <w:t xml:space="preserve"> in Cattle</w:t>
      </w:r>
      <w:bookmarkEnd w:id="1941"/>
      <w:bookmarkEnd w:id="1942"/>
      <w:r>
        <w:br/>
        <w:t>(</w:t>
      </w:r>
      <w:r w:rsidRPr="00A1145E">
        <w:t>Formerly §321</w:t>
      </w:r>
      <w:r>
        <w:t>)</w:t>
      </w:r>
      <w:bookmarkEnd w:id="1943"/>
    </w:p>
    <w:p w14:paraId="1B5F90C3" w14:textId="77777777" w:rsidR="005A46E7" w:rsidRPr="00A1145E" w:rsidRDefault="005A46E7" w:rsidP="005A46E7">
      <w:pPr>
        <w:pStyle w:val="A"/>
      </w:pPr>
      <w:r w:rsidRPr="00A1145E">
        <w:t>A.</w:t>
      </w:r>
      <w:r w:rsidRPr="00A1145E">
        <w:tab/>
        <w:t>Screening Test</w:t>
      </w:r>
    </w:p>
    <w:p w14:paraId="3C4148AE" w14:textId="77777777" w:rsidR="005A46E7" w:rsidRPr="00A1145E" w:rsidRDefault="005A46E7" w:rsidP="005A46E7">
      <w:pPr>
        <w:pStyle w:val="1"/>
      </w:pPr>
      <w:r w:rsidRPr="00A1145E">
        <w:t>1.</w:t>
      </w:r>
      <w:r w:rsidRPr="00A1145E">
        <w:tab/>
        <w:t>Milk Ring Test (BRT). This test is conducted by the state-federal laboratory on a composite sample of milk collected at dairy farms. A follow-up individual serological test shall be conducted on all cattle represented in a composite sample which reacts to the test.</w:t>
      </w:r>
    </w:p>
    <w:p w14:paraId="2F8E0BC3" w14:textId="77777777" w:rsidR="005A46E7" w:rsidRPr="00A1145E" w:rsidRDefault="005A46E7" w:rsidP="005A46E7">
      <w:pPr>
        <w:pStyle w:val="a0"/>
      </w:pPr>
      <w:r w:rsidRPr="00A1145E">
        <w:t>a.</w:t>
      </w:r>
      <w:r w:rsidRPr="00A1145E">
        <w:tab/>
        <w:t>A commercial dairy herd that has passed four consecutive, negative milk ring tests within the last 12 months, the tests being no less than two months or more than four months apart, will be considered a negative herd and will not be required to be blood tested as long as the herd continues to have milk ring tests four times each year, the tests being no less than two months or more than four months apart, and the results of the tests remain negative.</w:t>
      </w:r>
    </w:p>
    <w:p w14:paraId="7765F56E" w14:textId="77777777" w:rsidR="005A46E7" w:rsidRPr="00A1145E" w:rsidRDefault="005A46E7" w:rsidP="005A46E7">
      <w:pPr>
        <w:pStyle w:val="a0"/>
      </w:pPr>
      <w:r w:rsidRPr="00A1145E">
        <w:t>b.</w:t>
      </w:r>
      <w:r w:rsidRPr="00A1145E">
        <w:tab/>
        <w:t xml:space="preserve">A commercial dairy herd showing a positive milk ring test will be considered </w:t>
      </w:r>
      <w:r w:rsidRPr="002248D5">
        <w:rPr>
          <w:i/>
        </w:rPr>
        <w:t>Brucellosis</w:t>
      </w:r>
      <w:r w:rsidRPr="00A1145E">
        <w:t xml:space="preserve"> infected and will be quarantined and blood tested. The </w:t>
      </w:r>
      <w:r w:rsidRPr="002248D5">
        <w:rPr>
          <w:i/>
        </w:rPr>
        <w:t>Brucellosis</w:t>
      </w:r>
      <w:r w:rsidRPr="00A1145E">
        <w:t xml:space="preserve"> status of the herd will then be determined by the results of the blood test which shall be conducted within 30 days of official notification.</w:t>
      </w:r>
    </w:p>
    <w:p w14:paraId="1D8562A4" w14:textId="77777777" w:rsidR="005A46E7" w:rsidRPr="00A1145E" w:rsidRDefault="005A46E7" w:rsidP="005A46E7">
      <w:pPr>
        <w:pStyle w:val="1"/>
      </w:pPr>
      <w:r w:rsidRPr="00A1145E">
        <w:t>2.</w:t>
      </w:r>
      <w:r w:rsidRPr="00A1145E">
        <w:tab/>
        <w:t xml:space="preserve">Card Test. This test will be used by approved personnel to classify cattle negative on surveillance samples collected at slaughter or at livestock auction markets on routine samples collected on farms and on tests of suspicious and infected herds. Positive samples from </w:t>
      </w:r>
      <w:r w:rsidRPr="002248D5">
        <w:rPr>
          <w:i/>
        </w:rPr>
        <w:t>Brucellosis</w:t>
      </w:r>
      <w:r w:rsidRPr="00A1145E">
        <w:t xml:space="preserve"> vaccinated animals will be given supplemental testing when possible to aid in classification of cattle as reactors.</w:t>
      </w:r>
    </w:p>
    <w:p w14:paraId="2125F3CA" w14:textId="77777777" w:rsidR="005A46E7" w:rsidRPr="00A1145E" w:rsidRDefault="005A46E7" w:rsidP="005A46E7">
      <w:pPr>
        <w:pStyle w:val="A"/>
      </w:pPr>
      <w:r w:rsidRPr="00A1145E">
        <w:t>B.</w:t>
      </w:r>
      <w:r w:rsidRPr="00A1145E">
        <w:tab/>
        <w:t>Supplemental Tests</w:t>
      </w:r>
    </w:p>
    <w:p w14:paraId="4806476D" w14:textId="77777777" w:rsidR="005A46E7" w:rsidRPr="00A1145E" w:rsidRDefault="005A46E7" w:rsidP="005A46E7">
      <w:pPr>
        <w:pStyle w:val="1"/>
      </w:pPr>
      <w:r w:rsidRPr="00A1145E">
        <w:t>1.</w:t>
      </w:r>
      <w:r w:rsidRPr="00A1145E">
        <w:tab/>
        <w:t>Standard Plate Agglutination Test. This test may classify as negative, suspect or reactors.</w:t>
      </w:r>
    </w:p>
    <w:p w14:paraId="33EEFF88" w14:textId="77777777" w:rsidR="005A46E7" w:rsidRPr="00A1145E" w:rsidRDefault="005A46E7" w:rsidP="005A46E7">
      <w:pPr>
        <w:pStyle w:val="1"/>
      </w:pPr>
      <w:r w:rsidRPr="00A1145E">
        <w:t>2.</w:t>
      </w:r>
      <w:r w:rsidRPr="00A1145E">
        <w:tab/>
        <w:t>Rivanol Test. This test may classify cattle as negative or reactor.</w:t>
      </w:r>
    </w:p>
    <w:p w14:paraId="72CDE390" w14:textId="77777777" w:rsidR="005A46E7" w:rsidRPr="00A1145E" w:rsidRDefault="005A46E7" w:rsidP="005A46E7">
      <w:pPr>
        <w:pStyle w:val="1"/>
      </w:pPr>
      <w:r w:rsidRPr="00A1145E">
        <w:lastRenderedPageBreak/>
        <w:t>3.</w:t>
      </w:r>
      <w:r w:rsidRPr="00A1145E">
        <w:tab/>
        <w:t>Complement Fixation Test. This test may classify cattle as negative, suspect or reactor.</w:t>
      </w:r>
    </w:p>
    <w:p w14:paraId="5F9FFF60" w14:textId="77777777" w:rsidR="005A46E7" w:rsidRPr="00A1145E" w:rsidRDefault="005A46E7" w:rsidP="005A46E7">
      <w:pPr>
        <w:pStyle w:val="1"/>
      </w:pPr>
      <w:r w:rsidRPr="00A1145E">
        <w:t>4.</w:t>
      </w:r>
      <w:r w:rsidRPr="00A1145E">
        <w:tab/>
        <w:t>Particle Concentration Fluorescence Immunoassay Test (PCFlA). This test may classify as negative, suspect, or reactor.</w:t>
      </w:r>
    </w:p>
    <w:p w14:paraId="1814EDA7" w14:textId="77777777" w:rsidR="005A46E7" w:rsidRPr="00A1145E" w:rsidRDefault="005A46E7" w:rsidP="005A46E7">
      <w:pPr>
        <w:pStyle w:val="1"/>
      </w:pPr>
      <w:r w:rsidRPr="00A1145E">
        <w:t>5.</w:t>
      </w:r>
      <w:r w:rsidRPr="00A1145E">
        <w:tab/>
        <w:t>Concentration Immunoassay Technology Test (CITE). This test may classify as negative or reactor.</w:t>
      </w:r>
    </w:p>
    <w:p w14:paraId="75EDE918" w14:textId="77777777" w:rsidR="005A46E7" w:rsidRPr="00A1145E" w:rsidRDefault="005A46E7" w:rsidP="005A46E7">
      <w:pPr>
        <w:pStyle w:val="1"/>
      </w:pPr>
      <w:r w:rsidRPr="00A1145E">
        <w:t>6.</w:t>
      </w:r>
      <w:r w:rsidRPr="00A1145E">
        <w:tab/>
        <w:t>Any test officially approved by the USDA and recommended by the state veterinarian and the designated epidemiologist.</w:t>
      </w:r>
    </w:p>
    <w:p w14:paraId="43143E39" w14:textId="77777777" w:rsidR="005A46E7" w:rsidRPr="00A1145E" w:rsidRDefault="005A46E7" w:rsidP="005A46E7">
      <w:pPr>
        <w:pStyle w:val="AuthorityNote"/>
      </w:pPr>
      <w:r w:rsidRPr="00A1145E">
        <w:t>AUTHORITY NOTE:</w:t>
      </w:r>
      <w:r w:rsidRPr="00A1145E">
        <w:tab/>
        <w:t>Promulgated in accordance with R.S. 3:2221 and R.S. 3:2093.</w:t>
      </w:r>
    </w:p>
    <w:p w14:paraId="7AA3D7F6"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11:240 (March 1985), amended LR 11:615 (June 1985), amended by the Department of Agriculture and Forestry, Livestock Sanitary Board, LR 18:836 (August 1992)</w:t>
      </w:r>
      <w:r w:rsidRPr="00A1145E">
        <w:t xml:space="preserve">, repromulgated by the Department of Agriculture and Forestry, </w:t>
      </w:r>
      <w:r w:rsidR="007356F4">
        <w:t>Office of Animal Health and Food Safety and the Board of Animal Health,</w:t>
      </w:r>
      <w:r w:rsidRPr="00A1145E">
        <w:t xml:space="preserve"> LR </w:t>
      </w:r>
      <w:r>
        <w:t>40:953 (May 2014).</w:t>
      </w:r>
    </w:p>
    <w:p w14:paraId="7AA0EE9A" w14:textId="77777777" w:rsidR="005A46E7" w:rsidRPr="00A1145E" w:rsidRDefault="005A46E7" w:rsidP="005A46E7">
      <w:pPr>
        <w:pStyle w:val="Section"/>
      </w:pPr>
      <w:bookmarkStart w:id="1944" w:name="_Toc256754709"/>
      <w:bookmarkStart w:id="1945" w:name="_Toc375025493"/>
      <w:bookmarkStart w:id="1946" w:name="_Toc224819097"/>
      <w:r w:rsidRPr="00A1145E">
        <w:t>§727.</w:t>
      </w:r>
      <w:r w:rsidRPr="00A1145E">
        <w:tab/>
        <w:t xml:space="preserve">Testing and Vaccination of Cattle and the Movement of Cattle from </w:t>
      </w:r>
      <w:r w:rsidRPr="002248D5">
        <w:rPr>
          <w:i/>
        </w:rPr>
        <w:t>Brucellosis</w:t>
      </w:r>
      <w:r w:rsidRPr="00A1145E">
        <w:t xml:space="preserve"> Quarantined Herds</w:t>
      </w:r>
      <w:bookmarkEnd w:id="1944"/>
      <w:bookmarkEnd w:id="1945"/>
      <w:r>
        <w:br/>
        <w:t>(</w:t>
      </w:r>
      <w:r w:rsidRPr="00A1145E">
        <w:t>Formerly §323</w:t>
      </w:r>
      <w:r>
        <w:t>)</w:t>
      </w:r>
      <w:bookmarkEnd w:id="1946"/>
    </w:p>
    <w:p w14:paraId="0AEE7C11" w14:textId="77777777" w:rsidR="005A46E7" w:rsidRPr="00A1145E" w:rsidRDefault="005A46E7" w:rsidP="005A46E7">
      <w:pPr>
        <w:pStyle w:val="A"/>
      </w:pPr>
      <w:r w:rsidRPr="00A1145E">
        <w:t>A.</w:t>
      </w:r>
      <w:r w:rsidRPr="00A1145E">
        <w:tab/>
        <w:t>Testing of Cattle in Quarantined Herds</w:t>
      </w:r>
    </w:p>
    <w:p w14:paraId="7A1A3DDD" w14:textId="77777777" w:rsidR="005A46E7" w:rsidRPr="00A1145E" w:rsidRDefault="005A46E7" w:rsidP="005A46E7">
      <w:pPr>
        <w:pStyle w:val="1"/>
      </w:pPr>
      <w:r w:rsidRPr="00A1145E">
        <w:t>1.</w:t>
      </w:r>
      <w:r w:rsidRPr="00A1145E">
        <w:tab/>
        <w:t>Within six months of the date the quarantine was issued, an exposed herd will be tested at a date agreed upon by the owner or his representative and an authorized agent of the Livestock Sanitary Board. If a date to test an exposed herd cannot be agreed upon, the state veterinarian will establish a date to test the exposed herd and notify the owner in writing 30 days prior to the date established. An exposed herd will remain under quarantine and be tested until it has passed one complete negative test. When more than one herd test is required to obtain a complete negative test, the test date will be established by the procedures used to establish the initial herd test.</w:t>
      </w:r>
    </w:p>
    <w:p w14:paraId="5BC42F22" w14:textId="77777777" w:rsidR="005A46E7" w:rsidRPr="00A1145E" w:rsidRDefault="005A46E7" w:rsidP="005A46E7">
      <w:pPr>
        <w:pStyle w:val="1"/>
      </w:pPr>
      <w:r w:rsidRPr="00A1145E">
        <w:t>2.a.</w:t>
      </w:r>
      <w:r w:rsidRPr="00A1145E">
        <w:tab/>
        <w:t xml:space="preserve">An infected herd will be tested on a schedule established in an approved herd plan or be tested at intervals of 60 days or less. The adult herd will be tested and continue to be classified as infected and under quarantine until it has passed one complete negative herd test, not less than 30 days following the date the last reactor was removed from the herd, and, in addition, a second negative herd test, no less than 180 days from the date the last reactor was removed from the herd. In addition, all infected herds must be tested six to 12 months following their release from </w:t>
      </w:r>
      <w:r w:rsidRPr="002248D5">
        <w:rPr>
          <w:i/>
        </w:rPr>
        <w:t>Brucellosis</w:t>
      </w:r>
      <w:r w:rsidRPr="00A1145E">
        <w:t xml:space="preserve"> quarantine, provided that some or all of their herd is still intact;</w:t>
      </w:r>
    </w:p>
    <w:p w14:paraId="10512244" w14:textId="77777777" w:rsidR="005A46E7" w:rsidRPr="00A1145E" w:rsidRDefault="005A46E7" w:rsidP="005A46E7">
      <w:pPr>
        <w:pStyle w:val="a0"/>
      </w:pPr>
      <w:r w:rsidRPr="00A1145E">
        <w:t>b.</w:t>
      </w:r>
      <w:r w:rsidRPr="00A1145E">
        <w:tab/>
        <w:t xml:space="preserve">heifer calves weaned after 8 months of age, from a known </w:t>
      </w:r>
      <w:r w:rsidRPr="002248D5">
        <w:rPr>
          <w:i/>
        </w:rPr>
        <w:t>Brucellosis</w:t>
      </w:r>
      <w:r w:rsidRPr="00A1145E">
        <w:t xml:space="preserve"> infected herd, must be quarantined and held separate and apart from the known infected adult herd until they test negative for </w:t>
      </w:r>
      <w:r w:rsidRPr="002248D5">
        <w:rPr>
          <w:i/>
        </w:rPr>
        <w:t>Brucellosis</w:t>
      </w:r>
      <w:r w:rsidRPr="00A1145E">
        <w:t xml:space="preserve"> following their first calving; or</w:t>
      </w:r>
    </w:p>
    <w:p w14:paraId="139C484C" w14:textId="77777777" w:rsidR="005A46E7" w:rsidRPr="00A1145E" w:rsidRDefault="005A46E7" w:rsidP="005A46E7">
      <w:pPr>
        <w:pStyle w:val="a0"/>
      </w:pPr>
      <w:r w:rsidRPr="00A1145E">
        <w:t>c.</w:t>
      </w:r>
      <w:r w:rsidRPr="00A1145E">
        <w:tab/>
        <w:t xml:space="preserve">if heifer calves remain in a </w:t>
      </w:r>
      <w:r w:rsidRPr="002248D5">
        <w:rPr>
          <w:i/>
        </w:rPr>
        <w:t>Brucellosis</w:t>
      </w:r>
      <w:r w:rsidRPr="00A1145E">
        <w:t xml:space="preserve"> infected adult herd, the entire herd shall remain under quarantine until all the heifer calves have calved and the entire herd is tested negative for </w:t>
      </w:r>
      <w:r w:rsidRPr="002248D5">
        <w:rPr>
          <w:i/>
        </w:rPr>
        <w:t>Brucellosis</w:t>
      </w:r>
      <w:r w:rsidRPr="00A1145E">
        <w:t>.</w:t>
      </w:r>
    </w:p>
    <w:p w14:paraId="6D8E4AEC" w14:textId="77777777" w:rsidR="005A46E7" w:rsidRPr="00A1145E" w:rsidRDefault="005A46E7" w:rsidP="005A46E7">
      <w:pPr>
        <w:pStyle w:val="1"/>
      </w:pPr>
      <w:r w:rsidRPr="00A1145E">
        <w:t>3.</w:t>
      </w:r>
      <w:r w:rsidRPr="00A1145E">
        <w:tab/>
        <w:t xml:space="preserve">Any </w:t>
      </w:r>
      <w:r w:rsidRPr="002248D5">
        <w:rPr>
          <w:i/>
        </w:rPr>
        <w:t>Brucellosis</w:t>
      </w:r>
      <w:r w:rsidRPr="00A1145E">
        <w:t xml:space="preserve"> infected herd which has one or more reactors on more than one herd test, would be required to be adult vaccinated against </w:t>
      </w:r>
      <w:r w:rsidRPr="002248D5">
        <w:rPr>
          <w:i/>
        </w:rPr>
        <w:t>Brucellosis</w:t>
      </w:r>
      <w:r w:rsidRPr="00A1145E">
        <w:t xml:space="preserve"> and will be tested on a schedule established in an approved herd plan or be tested at intervals of 60 days or less. The herd will be tested and continue to be classified as infected and under quarantine until it has passed one complete negative test, not less than 30 days following the date the last reactor was removed from the herd and a second negative herd test, not less than 180 days from the date the last reactor was removed from the herd. In addition, the herd must be tested six to 12 months following its release from </w:t>
      </w:r>
      <w:r w:rsidRPr="002248D5">
        <w:rPr>
          <w:i/>
        </w:rPr>
        <w:t>Brucellosis</w:t>
      </w:r>
      <w:r w:rsidRPr="00A1145E">
        <w:t xml:space="preserve"> quarantine, provided that some or all of the herd is still intact.</w:t>
      </w:r>
    </w:p>
    <w:p w14:paraId="06DD2C3C" w14:textId="77777777" w:rsidR="005A46E7" w:rsidRPr="00A1145E" w:rsidRDefault="005A46E7" w:rsidP="005A46E7">
      <w:pPr>
        <w:pStyle w:val="A"/>
      </w:pPr>
      <w:r w:rsidRPr="00A1145E">
        <w:t>B.</w:t>
      </w:r>
      <w:r w:rsidRPr="00A1145E">
        <w:tab/>
        <w:t>Movement of Cattle from Quarantined Herds</w:t>
      </w:r>
    </w:p>
    <w:p w14:paraId="6DF6ADDF" w14:textId="77777777" w:rsidR="005A46E7" w:rsidRPr="00A1145E" w:rsidRDefault="005A46E7" w:rsidP="005A46E7">
      <w:pPr>
        <w:pStyle w:val="1"/>
      </w:pPr>
      <w:r w:rsidRPr="00A1145E">
        <w:t>1.</w:t>
      </w:r>
      <w:r w:rsidRPr="00A1145E">
        <w:tab/>
      </w:r>
      <w:r w:rsidRPr="002248D5">
        <w:rPr>
          <w:i/>
        </w:rPr>
        <w:t>Brucellosis</w:t>
      </w:r>
      <w:r w:rsidRPr="00A1145E">
        <w:t xml:space="preserve"> reactors disclosed in a quarantined herd will be:</w:t>
      </w:r>
    </w:p>
    <w:p w14:paraId="2B792712" w14:textId="77777777" w:rsidR="005A46E7" w:rsidRPr="00A1145E" w:rsidRDefault="005A46E7" w:rsidP="005A46E7">
      <w:pPr>
        <w:pStyle w:val="a0"/>
      </w:pPr>
      <w:r w:rsidRPr="00A1145E">
        <w:t>a.</w:t>
      </w:r>
      <w:r w:rsidRPr="00A1145E">
        <w:tab/>
        <w:t>"B" branded on the left jaw;</w:t>
      </w:r>
    </w:p>
    <w:p w14:paraId="61DC961C" w14:textId="77777777" w:rsidR="005A46E7" w:rsidRPr="00A1145E" w:rsidRDefault="005A46E7" w:rsidP="005A46E7">
      <w:pPr>
        <w:pStyle w:val="a0"/>
      </w:pPr>
      <w:r w:rsidRPr="00A1145E">
        <w:t>b.</w:t>
      </w:r>
      <w:r w:rsidRPr="00A1145E">
        <w:tab/>
        <w:t>identified with a reactor tag; and</w:t>
      </w:r>
    </w:p>
    <w:p w14:paraId="66778F54" w14:textId="77777777" w:rsidR="005A46E7" w:rsidRPr="00A1145E" w:rsidRDefault="005A46E7" w:rsidP="005A46E7">
      <w:pPr>
        <w:pStyle w:val="a0"/>
      </w:pPr>
      <w:r w:rsidRPr="00A1145E">
        <w:t>c.</w:t>
      </w:r>
      <w:r w:rsidRPr="00A1145E">
        <w:tab/>
        <w:t xml:space="preserve">removed from the herd and sold directly to slaughter or to an approved stockyard for sale to slaughter within 45 days from the date the animal is classified as a </w:t>
      </w:r>
      <w:r w:rsidRPr="002248D5">
        <w:rPr>
          <w:i/>
        </w:rPr>
        <w:t>Brucellosis</w:t>
      </w:r>
      <w:r w:rsidRPr="00A1145E">
        <w:t xml:space="preserve"> reactor.</w:t>
      </w:r>
    </w:p>
    <w:p w14:paraId="13C27D95" w14:textId="77777777" w:rsidR="005A46E7" w:rsidRPr="00A1145E" w:rsidRDefault="005A46E7" w:rsidP="005A46E7">
      <w:pPr>
        <w:pStyle w:val="1"/>
      </w:pPr>
      <w:r w:rsidRPr="00A1145E">
        <w:t>2.a.</w:t>
      </w:r>
      <w:r w:rsidRPr="00A1145E">
        <w:tab/>
        <w:t>All cattle over 6 months of age in beef herds, will be "S" branded and identified prior to movement from the quarantined premises by an authorized agent of the Livestock Sanitary Board. In cases where it is impractical to have exposed cattle branded on the farm of origin, the state veterinarian can authorize the movement of cattle from quarantined herds to a livestock auction market for branding and identification. Exceptions to this Subparagraph are:</w:t>
      </w:r>
    </w:p>
    <w:p w14:paraId="27587E78" w14:textId="77777777" w:rsidR="005A46E7" w:rsidRPr="00A1145E" w:rsidRDefault="005A46E7" w:rsidP="005A46E7">
      <w:pPr>
        <w:pStyle w:val="i0"/>
      </w:pPr>
      <w:r>
        <w:tab/>
      </w:r>
      <w:r w:rsidRPr="00A1145E">
        <w:t>i.</w:t>
      </w:r>
      <w:r w:rsidRPr="00A1145E">
        <w:tab/>
        <w:t>steers and spayed heifers;</w:t>
      </w:r>
    </w:p>
    <w:p w14:paraId="08F8840F" w14:textId="77777777" w:rsidR="005A46E7" w:rsidRPr="00A1145E" w:rsidRDefault="005A46E7" w:rsidP="005A46E7">
      <w:pPr>
        <w:pStyle w:val="i0"/>
      </w:pPr>
      <w:r>
        <w:tab/>
      </w:r>
      <w:r w:rsidRPr="00A1145E">
        <w:t>ii.</w:t>
      </w:r>
      <w:r w:rsidRPr="00A1145E">
        <w:tab/>
        <w:t xml:space="preserve">official </w:t>
      </w:r>
      <w:r w:rsidRPr="002248D5">
        <w:rPr>
          <w:i/>
        </w:rPr>
        <w:t>Brucellosis</w:t>
      </w:r>
      <w:r w:rsidRPr="00A1145E">
        <w:t xml:space="preserve"> calfhood vaccinated heifers, no more than 8 months of age and in a herd participating in an approved herd plan to eliminate </w:t>
      </w:r>
      <w:r w:rsidRPr="002248D5">
        <w:rPr>
          <w:i/>
        </w:rPr>
        <w:t>Brucellosis</w:t>
      </w:r>
      <w:r w:rsidRPr="00A1145E">
        <w:t xml:space="preserve"> from the herd.</w:t>
      </w:r>
    </w:p>
    <w:p w14:paraId="40EEEB59" w14:textId="77777777" w:rsidR="005A46E7" w:rsidRPr="00A1145E" w:rsidRDefault="005A46E7" w:rsidP="005A46E7">
      <w:pPr>
        <w:pStyle w:val="a0"/>
      </w:pPr>
      <w:r w:rsidRPr="00A1145E">
        <w:t>b.</w:t>
      </w:r>
      <w:r w:rsidRPr="00A1145E">
        <w:tab/>
        <w:t>All cattle over 6 months of age in dairy herds, will be "S" branded and identified prior to movement from the quarantined premises by an authorized agent of the Livestock Sanitary Board. Exceptions to this Subparagraph are:</w:t>
      </w:r>
    </w:p>
    <w:p w14:paraId="28C77C24" w14:textId="77777777" w:rsidR="005A46E7" w:rsidRPr="00A1145E" w:rsidRDefault="005A46E7" w:rsidP="005A46E7">
      <w:pPr>
        <w:pStyle w:val="i0"/>
      </w:pPr>
      <w:r>
        <w:tab/>
      </w:r>
      <w:r w:rsidRPr="00A1145E">
        <w:t>i.</w:t>
      </w:r>
      <w:r w:rsidRPr="00A1145E">
        <w:tab/>
        <w:t>steers and spayed heifers;</w:t>
      </w:r>
    </w:p>
    <w:p w14:paraId="07F23D82" w14:textId="77777777" w:rsidR="005A46E7" w:rsidRPr="00A1145E" w:rsidRDefault="005A46E7" w:rsidP="005A46E7">
      <w:pPr>
        <w:pStyle w:val="i0"/>
      </w:pPr>
      <w:r>
        <w:tab/>
      </w:r>
      <w:r w:rsidRPr="00A1145E">
        <w:t>ii.</w:t>
      </w:r>
      <w:r w:rsidRPr="00A1145E">
        <w:tab/>
        <w:t xml:space="preserve">calves, no more than 6 months of age which were separated from the dam at no more than seven days of age, held separate and apart from the infected herd for at least 30 days, and be identified with an official ear tag prior to movement from the premises. In addition, they must be from a herd participating in an approved herd plan to eliminate </w:t>
      </w:r>
      <w:r w:rsidRPr="002248D5">
        <w:rPr>
          <w:i/>
        </w:rPr>
        <w:t>Brucellosis</w:t>
      </w:r>
      <w:r w:rsidRPr="00A1145E">
        <w:t>.</w:t>
      </w:r>
    </w:p>
    <w:p w14:paraId="732E6231" w14:textId="77777777" w:rsidR="005A46E7" w:rsidRPr="00A1145E" w:rsidRDefault="005A46E7" w:rsidP="005A46E7">
      <w:pPr>
        <w:pStyle w:val="1"/>
      </w:pPr>
      <w:r w:rsidRPr="00A1145E">
        <w:t>3.</w:t>
      </w:r>
      <w:r w:rsidRPr="00A1145E">
        <w:tab/>
        <w:t xml:space="preserve">When part 78, of the </w:t>
      </w:r>
      <w:r w:rsidRPr="00A1145E">
        <w:rPr>
          <w:i/>
          <w:iCs/>
        </w:rPr>
        <w:t>Code of Federal Regulations</w:t>
      </w:r>
      <w:r w:rsidRPr="00A1145E">
        <w:t xml:space="preserve">, is amended to restrict the movement of all sexually intact heifer calves from </w:t>
      </w:r>
      <w:r w:rsidRPr="002248D5">
        <w:rPr>
          <w:i/>
        </w:rPr>
        <w:t>Brucellosis</w:t>
      </w:r>
      <w:r w:rsidRPr="00A1145E">
        <w:t xml:space="preserve"> quarantined herds, all cattle, regardless of age or vaccination status, will be "S" branded and identified prior to movement from any </w:t>
      </w:r>
      <w:r w:rsidRPr="002248D5">
        <w:rPr>
          <w:i/>
        </w:rPr>
        <w:t>Brucellosis</w:t>
      </w:r>
      <w:r w:rsidRPr="00A1145E">
        <w:t xml:space="preserve"> quarantined premises by an authorized agent of the Louisiana Livestock Sanitary Board. In cases where it is impractical to have exposed cattle branded on the farm of origin, the state </w:t>
      </w:r>
      <w:r w:rsidRPr="00A1145E">
        <w:lastRenderedPageBreak/>
        <w:t>veterinarian can authorize the movement of cattle from quarantined herds to a livestock auction market for branding and identification. Exceptions are steers and spayed heifers.</w:t>
      </w:r>
    </w:p>
    <w:p w14:paraId="5579D3F5" w14:textId="77777777" w:rsidR="005A46E7" w:rsidRPr="00A1145E" w:rsidRDefault="005A46E7" w:rsidP="005A46E7">
      <w:pPr>
        <w:pStyle w:val="A"/>
      </w:pPr>
      <w:r w:rsidRPr="00A1145E">
        <w:t>C.</w:t>
      </w:r>
      <w:r w:rsidRPr="00A1145E">
        <w:tab/>
        <w:t xml:space="preserve">All movements from </w:t>
      </w:r>
      <w:r w:rsidRPr="002248D5">
        <w:rPr>
          <w:i/>
        </w:rPr>
        <w:t>Brucellosis</w:t>
      </w:r>
      <w:r w:rsidRPr="00A1145E">
        <w:t xml:space="preserve"> quarantined herds must be accompanied by a VS Form 1-27, listing the individual identification of each animal to be moved. This form must be delivered to an authorized representative at destination. These permits will be issued by an agent of the Livestock Sanitary Board.</w:t>
      </w:r>
    </w:p>
    <w:p w14:paraId="3DC5360C" w14:textId="77777777" w:rsidR="005A46E7" w:rsidRPr="00A1145E" w:rsidRDefault="005A46E7" w:rsidP="005A46E7">
      <w:pPr>
        <w:pStyle w:val="A"/>
      </w:pPr>
      <w:r w:rsidRPr="00A1145E">
        <w:t>D.</w:t>
      </w:r>
      <w:r w:rsidRPr="00A1145E">
        <w:tab/>
        <w:t xml:space="preserve">All intrastate and interstate movements from </w:t>
      </w:r>
      <w:r w:rsidRPr="002248D5">
        <w:rPr>
          <w:i/>
        </w:rPr>
        <w:t>Brucellosis</w:t>
      </w:r>
      <w:r w:rsidRPr="00A1145E">
        <w:t xml:space="preserve"> quarantined herds are restricted to an approved slaughtering establishment for immediate slaughter, directly to an approved quarantined feedlot, or to an approved livestock auction market for sale to an approved slaughtering establishment or quarantined feedlot. (</w:t>
      </w:r>
      <w:r w:rsidRPr="002248D5">
        <w:rPr>
          <w:i/>
        </w:rPr>
        <w:t>Brucellosis</w:t>
      </w:r>
      <w:r w:rsidRPr="00A1145E">
        <w:t xml:space="preserve"> reactors must be sold for slaughter only, either directly to an approved slaughtering establishment or through an approved livestock auction market for sale to such establishment.) Exceptions to §727.D are:</w:t>
      </w:r>
    </w:p>
    <w:p w14:paraId="51B72E3E" w14:textId="77777777" w:rsidR="005A46E7" w:rsidRPr="00A1145E" w:rsidRDefault="005A46E7" w:rsidP="005A46E7">
      <w:pPr>
        <w:pStyle w:val="1"/>
      </w:pPr>
      <w:r w:rsidRPr="00A1145E">
        <w:t>1.</w:t>
      </w:r>
      <w:r w:rsidRPr="00A1145E">
        <w:tab/>
        <w:t>steers and spayed heifers over 6 months of age;</w:t>
      </w:r>
    </w:p>
    <w:p w14:paraId="7B75F017" w14:textId="77777777" w:rsidR="005A46E7" w:rsidRPr="00A1145E" w:rsidRDefault="005A46E7" w:rsidP="005A46E7">
      <w:pPr>
        <w:pStyle w:val="1"/>
      </w:pPr>
      <w:r w:rsidRPr="00A1145E">
        <w:t>2.</w:t>
      </w:r>
      <w:r w:rsidRPr="00A1145E">
        <w:tab/>
        <w:t xml:space="preserve">heifer calves under 12 months of age that are official calfhood vaccinates, and they originate from herds participating in an approved herd plan to eliminate </w:t>
      </w:r>
      <w:r w:rsidRPr="002248D5">
        <w:rPr>
          <w:i/>
        </w:rPr>
        <w:t>Brucellosis</w:t>
      </w:r>
      <w:r w:rsidRPr="00A1145E">
        <w:t xml:space="preserve"> from the herd.</w:t>
      </w:r>
    </w:p>
    <w:p w14:paraId="76888DF3" w14:textId="77777777" w:rsidR="005A46E7" w:rsidRPr="00A1145E" w:rsidRDefault="005A46E7" w:rsidP="005A46E7">
      <w:pPr>
        <w:pStyle w:val="A"/>
      </w:pPr>
      <w:r w:rsidRPr="00A1145E">
        <w:t>E.</w:t>
      </w:r>
      <w:r w:rsidRPr="00A1145E">
        <w:tab/>
        <w:t xml:space="preserve">Bull calves under 6 months of age that are nursed by </w:t>
      </w:r>
      <w:r w:rsidRPr="002248D5">
        <w:rPr>
          <w:i/>
        </w:rPr>
        <w:t>Brucellosis</w:t>
      </w:r>
      <w:r w:rsidRPr="00A1145E">
        <w:t xml:space="preserve"> reactor or exposed cows, may move from the quarantined premises under permit, provided they have been weaned for not less than 30 days immediately preceding movement. Exceptions to this Subparagraph are:</w:t>
      </w:r>
    </w:p>
    <w:p w14:paraId="6FBA9D2F" w14:textId="77777777" w:rsidR="005A46E7" w:rsidRPr="00A1145E" w:rsidRDefault="005A46E7" w:rsidP="005A46E7">
      <w:pPr>
        <w:pStyle w:val="1"/>
      </w:pPr>
      <w:r w:rsidRPr="00A1145E">
        <w:t>1.</w:t>
      </w:r>
      <w:r w:rsidRPr="00A1145E">
        <w:tab/>
        <w:t>steers and spayed heifers;</w:t>
      </w:r>
    </w:p>
    <w:p w14:paraId="652D024B" w14:textId="77777777" w:rsidR="005A46E7" w:rsidRPr="00A1145E" w:rsidRDefault="005A46E7" w:rsidP="005A46E7">
      <w:pPr>
        <w:pStyle w:val="1"/>
      </w:pPr>
      <w:r w:rsidRPr="00A1145E">
        <w:t>2.</w:t>
      </w:r>
      <w:r w:rsidRPr="00A1145E">
        <w:tab/>
        <w:t xml:space="preserve">heifer calves from beef herds that are no more than eight months of age and are in a herd participating in an approved herd plan to eliminate </w:t>
      </w:r>
      <w:r w:rsidRPr="002248D5">
        <w:rPr>
          <w:i/>
        </w:rPr>
        <w:t>Brucellosis</w:t>
      </w:r>
      <w:r w:rsidRPr="00A1145E">
        <w:t xml:space="preserve"> from the herd;</w:t>
      </w:r>
    </w:p>
    <w:p w14:paraId="0ABDD895" w14:textId="77777777" w:rsidR="005A46E7" w:rsidRPr="00A1145E" w:rsidRDefault="005A46E7" w:rsidP="005A46E7">
      <w:pPr>
        <w:pStyle w:val="1"/>
      </w:pPr>
      <w:r w:rsidRPr="00A1145E">
        <w:t>3.</w:t>
      </w:r>
      <w:r w:rsidRPr="00A1145E">
        <w:tab/>
        <w:t xml:space="preserve">calves from dairy herds that are not more than 6 months of age which were separated from the dam at no more than 7 days of age, held separate and apart from the infected herd for at least 30 days, and be identified with an official ear tag prior to movement from the premises. In addition, they must be from a herd participating in an approved herd plan to eliminate </w:t>
      </w:r>
      <w:r w:rsidRPr="002248D5">
        <w:rPr>
          <w:i/>
        </w:rPr>
        <w:t>Brucellosis</w:t>
      </w:r>
      <w:r w:rsidRPr="00A1145E">
        <w:t>.</w:t>
      </w:r>
    </w:p>
    <w:p w14:paraId="302A7DBC" w14:textId="77777777" w:rsidR="005A46E7" w:rsidRPr="00A1145E" w:rsidRDefault="005A46E7" w:rsidP="005A46E7">
      <w:pPr>
        <w:pStyle w:val="AuthorityNote"/>
      </w:pPr>
      <w:r w:rsidRPr="00A1145E">
        <w:t>AUTHORITY NOTE:</w:t>
      </w:r>
      <w:r w:rsidRPr="00A1145E">
        <w:tab/>
        <w:t>Promulgated in accordance with R.S. 3:2093 and R.S. 3:2221.</w:t>
      </w:r>
    </w:p>
    <w:p w14:paraId="69265236"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11:240 (March 1985), amended LR 11:615 (June 1985), amended by the Department of Agriculture and Forestry, Livestock Sanitary Board, LR 12:289 (May 1986), LR 13:559 (October 1987), LR 14:696 (October 1988)</w:t>
      </w:r>
      <w:r w:rsidRPr="00A1145E">
        <w:t xml:space="preserve">, repromulgated by the Department of Agriculture and Forestry, </w:t>
      </w:r>
      <w:r w:rsidR="007356F4">
        <w:t>Office of Animal Health and Food Safety and the Board of Animal Health,</w:t>
      </w:r>
      <w:r w:rsidRPr="00A1145E">
        <w:t xml:space="preserve"> LR </w:t>
      </w:r>
      <w:r>
        <w:t>40:953 (May 2014).</w:t>
      </w:r>
    </w:p>
    <w:p w14:paraId="7E2CD54E" w14:textId="77777777" w:rsidR="005A46E7" w:rsidRPr="00A1145E" w:rsidRDefault="005A46E7" w:rsidP="005A46E7">
      <w:pPr>
        <w:pStyle w:val="Section"/>
      </w:pPr>
      <w:bookmarkStart w:id="1947" w:name="_Toc256754713"/>
      <w:bookmarkStart w:id="1948" w:name="_Toc375025497"/>
      <w:bookmarkStart w:id="1949" w:name="_Toc224819098"/>
      <w:r w:rsidRPr="00A1145E">
        <w:t>§729.</w:t>
      </w:r>
      <w:r w:rsidRPr="00A1145E">
        <w:tab/>
        <w:t>Payment of Indemnities</w:t>
      </w:r>
      <w:bookmarkEnd w:id="1947"/>
      <w:bookmarkEnd w:id="1948"/>
      <w:r>
        <w:br/>
        <w:t>(</w:t>
      </w:r>
      <w:r w:rsidRPr="00A1145E">
        <w:t>Formerly §331</w:t>
      </w:r>
      <w:r>
        <w:t>)</w:t>
      </w:r>
      <w:bookmarkEnd w:id="1949"/>
    </w:p>
    <w:p w14:paraId="18FFFC90" w14:textId="77777777" w:rsidR="005A46E7" w:rsidRPr="00A1145E" w:rsidRDefault="005A46E7" w:rsidP="005A46E7">
      <w:pPr>
        <w:pStyle w:val="A"/>
      </w:pPr>
      <w:r w:rsidRPr="00A1145E">
        <w:t>A.</w:t>
      </w:r>
      <w:r w:rsidRPr="00A1145E">
        <w:tab/>
        <w:t>In addition to the general requirements stipulated in §113, the following are specific requirements for the payment of indemnities.</w:t>
      </w:r>
    </w:p>
    <w:p w14:paraId="2F88D118" w14:textId="77777777" w:rsidR="005A46E7" w:rsidRPr="00A1145E" w:rsidRDefault="005A46E7" w:rsidP="005A46E7">
      <w:pPr>
        <w:pStyle w:val="1"/>
      </w:pPr>
      <w:r w:rsidRPr="00A1145E">
        <w:t>1.</w:t>
      </w:r>
      <w:r w:rsidRPr="00A1145E">
        <w:tab/>
        <w:t xml:space="preserve">Eligibility for Payment. Producers of registered and grade cattle found to be infected with </w:t>
      </w:r>
      <w:r w:rsidRPr="002248D5">
        <w:rPr>
          <w:i/>
        </w:rPr>
        <w:t>Brucellosis</w:t>
      </w:r>
      <w:r w:rsidRPr="00A1145E">
        <w:t xml:space="preserve"> and dairymen whose herds are found to be infected with </w:t>
      </w:r>
      <w:r w:rsidRPr="002248D5">
        <w:rPr>
          <w:i/>
        </w:rPr>
        <w:t>Brucellosis</w:t>
      </w:r>
      <w:r w:rsidRPr="00A1145E">
        <w:t xml:space="preserve"> shall be eligible for an indemnity payment for each infected animal slaughtered regardless of the point of concentration where the </w:t>
      </w:r>
      <w:r w:rsidRPr="002248D5">
        <w:rPr>
          <w:i/>
        </w:rPr>
        <w:t>Brucellosis</w:t>
      </w:r>
      <w:r w:rsidRPr="00A1145E">
        <w:t xml:space="preserve"> is first identified.</w:t>
      </w:r>
    </w:p>
    <w:p w14:paraId="2ECA42B6" w14:textId="77777777" w:rsidR="005A46E7" w:rsidRPr="00A1145E" w:rsidRDefault="005A46E7" w:rsidP="005A46E7">
      <w:pPr>
        <w:pStyle w:val="1"/>
      </w:pPr>
      <w:r w:rsidRPr="00A1145E">
        <w:t>2.</w:t>
      </w:r>
      <w:r w:rsidRPr="00A1145E">
        <w:tab/>
        <w:t>Source and Amount of Indemnification. Indemnities may be paid by either the state or federal government. When indemnities are paid by the state of Louisiana, the amount of the payments shall be set by motion of the Livestock Sanitary Board and information concerning the level of indemnification shall be made available to all producers of livestock and dairymen.</w:t>
      </w:r>
    </w:p>
    <w:p w14:paraId="206E146A" w14:textId="77777777" w:rsidR="005A46E7" w:rsidRPr="00A1145E" w:rsidRDefault="005A46E7" w:rsidP="005A46E7">
      <w:pPr>
        <w:pStyle w:val="1"/>
      </w:pPr>
      <w:r w:rsidRPr="00A1145E">
        <w:t>3.</w:t>
      </w:r>
      <w:r w:rsidRPr="00A1145E">
        <w:tab/>
        <w:t>Cattle Owners Not Eligible for Indemnification. No indemnity shall be paid to livestock owners who do not own the cattle 120 days prior to the testing. The owner must prove ownership of the cows tested.</w:t>
      </w:r>
    </w:p>
    <w:p w14:paraId="3A11E73F" w14:textId="77777777" w:rsidR="005A46E7" w:rsidRPr="00A1145E" w:rsidRDefault="005A46E7" w:rsidP="005A46E7">
      <w:pPr>
        <w:pStyle w:val="AuthorityNote"/>
      </w:pPr>
      <w:r w:rsidRPr="00A1145E">
        <w:t>AUTHORITY NOTE:</w:t>
      </w:r>
      <w:r w:rsidRPr="00A1145E">
        <w:tab/>
        <w:t>Promulgated in accordance with R.S. 3:2093 and R.S. 3:2224.</w:t>
      </w:r>
    </w:p>
    <w:p w14:paraId="5BE13354"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40:955 (May 2014).</w:t>
      </w:r>
    </w:p>
    <w:p w14:paraId="697AF661" w14:textId="77777777" w:rsidR="005A46E7" w:rsidRPr="00A1145E" w:rsidRDefault="005A46E7" w:rsidP="005A46E7">
      <w:pPr>
        <w:pStyle w:val="Chapter"/>
      </w:pPr>
      <w:bookmarkStart w:id="1950" w:name="_Toc224819099"/>
      <w:r w:rsidRPr="00A1145E">
        <w:t>Subchapter C.</w:t>
      </w:r>
      <w:r w:rsidRPr="00A1145E">
        <w:tab/>
        <w:t>Tuberculosis</w:t>
      </w:r>
      <w:bookmarkEnd w:id="1950"/>
    </w:p>
    <w:p w14:paraId="2D4AD16A" w14:textId="77777777" w:rsidR="005A46E7" w:rsidRPr="00A1145E" w:rsidRDefault="005A46E7" w:rsidP="005A46E7">
      <w:pPr>
        <w:pStyle w:val="Section"/>
      </w:pPr>
      <w:bookmarkStart w:id="1951" w:name="_Toc256754711"/>
      <w:bookmarkStart w:id="1952" w:name="_Toc375025495"/>
      <w:bookmarkStart w:id="1953" w:name="_Toc224819100"/>
      <w:r w:rsidRPr="00A1145E">
        <w:t>§731.</w:t>
      </w:r>
      <w:r w:rsidRPr="00A1145E">
        <w:tab/>
        <w:t>Testing of Cattle and the Movement of Cattle from Tuberculosis Quarantined Herds and the Establishment and Maintenance of All Tuberculosis Accredited Herd</w:t>
      </w:r>
      <w:bookmarkEnd w:id="1951"/>
      <w:bookmarkEnd w:id="1952"/>
      <w:r>
        <w:t>s</w:t>
      </w:r>
      <w:r>
        <w:br/>
        <w:t>(</w:t>
      </w:r>
      <w:r w:rsidRPr="00A1145E">
        <w:t>Formerly §327</w:t>
      </w:r>
      <w:r>
        <w:t>)</w:t>
      </w:r>
      <w:bookmarkEnd w:id="1953"/>
    </w:p>
    <w:p w14:paraId="2A5091BF" w14:textId="77777777" w:rsidR="005A46E7" w:rsidRPr="00A1145E" w:rsidRDefault="005A46E7" w:rsidP="005A46E7">
      <w:pPr>
        <w:pStyle w:val="A"/>
      </w:pPr>
      <w:r w:rsidRPr="00A1145E">
        <w:t>A.</w:t>
      </w:r>
      <w:r w:rsidRPr="00A1145E">
        <w:tab/>
        <w:t>Quarantine Procedures and Disposition of Movement from Quarantined Herds</w:t>
      </w:r>
    </w:p>
    <w:p w14:paraId="6FF415BD" w14:textId="77777777" w:rsidR="005A46E7" w:rsidRPr="00A1145E" w:rsidRDefault="005A46E7" w:rsidP="005A46E7">
      <w:pPr>
        <w:pStyle w:val="1"/>
      </w:pPr>
      <w:r w:rsidRPr="00A1145E">
        <w:t>1.</w:t>
      </w:r>
      <w:r w:rsidRPr="00A1145E">
        <w:tab/>
        <w:t xml:space="preserve">All herds in which reactor animals are disclosed shall be quarantined. All animals in a </w:t>
      </w:r>
      <w:r w:rsidRPr="00A1145E">
        <w:rPr>
          <w:i/>
          <w:iCs/>
        </w:rPr>
        <w:t>Mycobacterium bovis</w:t>
      </w:r>
      <w:r w:rsidRPr="00A1145E">
        <w:t xml:space="preserve"> herd shall be tested.</w:t>
      </w:r>
    </w:p>
    <w:p w14:paraId="01F2ED33" w14:textId="77777777" w:rsidR="005A46E7" w:rsidRPr="00A1145E" w:rsidRDefault="005A46E7" w:rsidP="005A46E7">
      <w:pPr>
        <w:pStyle w:val="1"/>
      </w:pPr>
      <w:r w:rsidRPr="00A1145E">
        <w:t>2.</w:t>
      </w:r>
      <w:r w:rsidRPr="00A1145E">
        <w:tab/>
        <w:t>Reactors must remain on the premises where disclosed until a state or federal permit has been obtained. Movement for immediate slaughter must be direct to a slaughter establishment where approved state or federal inspection is maintained within 15 days of classification. Upon delivery to the slaughtering establishment, reactors shall be slaughtered as soon as practicable.</w:t>
      </w:r>
    </w:p>
    <w:p w14:paraId="5F82629E" w14:textId="77777777" w:rsidR="005A46E7" w:rsidRPr="00A1145E" w:rsidRDefault="005A46E7" w:rsidP="005A46E7">
      <w:pPr>
        <w:pStyle w:val="1"/>
      </w:pPr>
      <w:r w:rsidRPr="00A1145E">
        <w:t>3.</w:t>
      </w:r>
      <w:r w:rsidRPr="00A1145E">
        <w:tab/>
        <w:t>No animals classified as a reactor shall be retained.</w:t>
      </w:r>
    </w:p>
    <w:p w14:paraId="280E1DDF" w14:textId="77777777" w:rsidR="005A46E7" w:rsidRPr="00A1145E" w:rsidRDefault="005A46E7" w:rsidP="005A46E7">
      <w:pPr>
        <w:pStyle w:val="1"/>
      </w:pPr>
      <w:r w:rsidRPr="00A1145E">
        <w:t>4.</w:t>
      </w:r>
      <w:r w:rsidRPr="00A1145E">
        <w:tab/>
        <w:t>Suspects to the tuberculin test shall be quarantined to the herd where found or shipped under permit to slaughter in accordance with the state and federal laws and regulations. Suspects to the caudal fold tuberculin test shall be quarantined to the premises where found until:</w:t>
      </w:r>
    </w:p>
    <w:p w14:paraId="409CAFA8" w14:textId="77777777" w:rsidR="005A46E7" w:rsidRPr="00A1145E" w:rsidRDefault="005A46E7" w:rsidP="005A46E7">
      <w:pPr>
        <w:pStyle w:val="a0"/>
      </w:pPr>
      <w:r w:rsidRPr="00A1145E">
        <w:t>a.</w:t>
      </w:r>
      <w:r w:rsidRPr="00A1145E">
        <w:tab/>
        <w:t>retested by the comparative-cervical tuberculin test within 10 days of the caudal fold injection;</w:t>
      </w:r>
    </w:p>
    <w:p w14:paraId="560B89FC" w14:textId="77777777" w:rsidR="005A46E7" w:rsidRPr="00A1145E" w:rsidRDefault="005A46E7" w:rsidP="005A46E7">
      <w:pPr>
        <w:pStyle w:val="a0"/>
      </w:pPr>
      <w:r w:rsidRPr="00A1145E">
        <w:t>b.</w:t>
      </w:r>
      <w:r w:rsidRPr="00A1145E">
        <w:tab/>
        <w:t>retested by the comparative-cervical tuberculin test after 60 days; or</w:t>
      </w:r>
    </w:p>
    <w:p w14:paraId="13B96D1B" w14:textId="77777777" w:rsidR="005A46E7" w:rsidRPr="00A1145E" w:rsidRDefault="005A46E7" w:rsidP="005A46E7">
      <w:pPr>
        <w:pStyle w:val="a0"/>
      </w:pPr>
      <w:r w:rsidRPr="00A1145E">
        <w:lastRenderedPageBreak/>
        <w:t>c.</w:t>
      </w:r>
      <w:r w:rsidRPr="00A1145E">
        <w:tab/>
        <w:t>shipped under permit direct to slaughter in accordance with state and federal laws and regulations.</w:t>
      </w:r>
    </w:p>
    <w:p w14:paraId="4B9B4F25" w14:textId="77777777" w:rsidR="005A46E7" w:rsidRPr="00A1145E" w:rsidRDefault="005A46E7" w:rsidP="005A46E7">
      <w:pPr>
        <w:pStyle w:val="1"/>
      </w:pPr>
      <w:r w:rsidRPr="00A1145E">
        <w:t>5.</w:t>
      </w:r>
      <w:r w:rsidRPr="00A1145E">
        <w:tab/>
        <w:t>Exposed animals must remain on the premises where disclosed unless a state or federal permit has been obtained. Movement for immediate slaughter must be direct to a slaughtering establishment where approved state or federal inspection is maintained.</w:t>
      </w:r>
    </w:p>
    <w:p w14:paraId="203809F9" w14:textId="77777777" w:rsidR="005A46E7" w:rsidRPr="00A1145E" w:rsidRDefault="005A46E7" w:rsidP="005A46E7">
      <w:pPr>
        <w:pStyle w:val="1"/>
      </w:pPr>
      <w:r w:rsidRPr="00A1145E">
        <w:t>6.</w:t>
      </w:r>
      <w:r w:rsidRPr="00A1145E">
        <w:tab/>
        <w:t>Sale of feeder calves from quarantined herds will be restricted. Feeder calves under 12 months of age that have passed a tuberculin test within 60 days of movement may be permitted to move intrastate to a quarantined feedlot.</w:t>
      </w:r>
    </w:p>
    <w:p w14:paraId="20E34C88" w14:textId="77777777" w:rsidR="005A46E7" w:rsidRPr="00A1145E" w:rsidRDefault="005A46E7" w:rsidP="005A46E7">
      <w:pPr>
        <w:pStyle w:val="1"/>
      </w:pPr>
      <w:r w:rsidRPr="00A1145E">
        <w:t>7.</w:t>
      </w:r>
      <w:r w:rsidRPr="00A1145E">
        <w:tab/>
        <w:t xml:space="preserve">Herds in which </w:t>
      </w:r>
      <w:r w:rsidRPr="00A1145E">
        <w:rPr>
          <w:i/>
          <w:iCs/>
        </w:rPr>
        <w:t>Mycobacterium bovis</w:t>
      </w:r>
      <w:r w:rsidRPr="00A1145E">
        <w:t xml:space="preserve"> infection has been disclosed shall remain under quarantine and must pass two tuberculin tests at intervals of at least 60 days and one additional test after six months. The minimum quarantine period shall be 10 months from slaughter of lesion reactors.</w:t>
      </w:r>
    </w:p>
    <w:p w14:paraId="4AFBC44A" w14:textId="77777777" w:rsidR="005A46E7" w:rsidRPr="00A1145E" w:rsidRDefault="005A46E7" w:rsidP="005A46E7">
      <w:pPr>
        <w:pStyle w:val="1"/>
      </w:pPr>
      <w:r w:rsidRPr="00A1145E">
        <w:t>8.</w:t>
      </w:r>
      <w:r w:rsidRPr="00A1145E">
        <w:tab/>
        <w:t xml:space="preserve">Herds in which NGL reactor(s) only occur and no evidence of </w:t>
      </w:r>
      <w:r w:rsidRPr="00A1145E">
        <w:rPr>
          <w:i/>
        </w:rPr>
        <w:t>Mycobacterium bovis</w:t>
      </w:r>
      <w:r w:rsidRPr="00A1145E">
        <w:t xml:space="preserve"> infection has been disclosed may be released from quarantine after a 60 day retest on the entire herd.</w:t>
      </w:r>
    </w:p>
    <w:p w14:paraId="37A61E47" w14:textId="77777777" w:rsidR="005A46E7" w:rsidRPr="00A1145E" w:rsidRDefault="005A46E7" w:rsidP="005A46E7">
      <w:pPr>
        <w:pStyle w:val="1"/>
      </w:pPr>
      <w:r w:rsidRPr="00A1145E">
        <w:t>9.</w:t>
      </w:r>
      <w:r w:rsidRPr="00A1145E">
        <w:tab/>
        <w:t xml:space="preserve">In herds where </w:t>
      </w:r>
      <w:r w:rsidRPr="00A1145E">
        <w:rPr>
          <w:i/>
          <w:iCs/>
        </w:rPr>
        <w:t>Mycobacterium bovis</w:t>
      </w:r>
      <w:r w:rsidRPr="00A1145E">
        <w:t xml:space="preserve"> infection has been confirmed but the herd not depopulated, five annual tests on the entire herd followed by two tests at three year intervals shall be applied following the release of quarantine.</w:t>
      </w:r>
    </w:p>
    <w:p w14:paraId="7AE469FF" w14:textId="77777777" w:rsidR="005A46E7" w:rsidRPr="00A1145E" w:rsidRDefault="005A46E7" w:rsidP="005A46E7">
      <w:pPr>
        <w:pStyle w:val="1"/>
      </w:pPr>
      <w:r w:rsidRPr="00A1145E">
        <w:t>10.</w:t>
      </w:r>
      <w:r w:rsidRPr="00A1145E">
        <w:tab/>
        <w:t>In herds with history lesions suspicious of bovine tuberculosis (not confirmed), two complete annual herd tests shall be applied after release of quarantine; the first test to be applied approximately one year after release of quarantine.</w:t>
      </w:r>
    </w:p>
    <w:p w14:paraId="27C36488" w14:textId="77777777" w:rsidR="005A46E7" w:rsidRPr="00A1145E" w:rsidRDefault="005A46E7" w:rsidP="005A46E7">
      <w:pPr>
        <w:pStyle w:val="1"/>
      </w:pPr>
      <w:r w:rsidRPr="00A1145E">
        <w:t>11.</w:t>
      </w:r>
      <w:r w:rsidRPr="00A1145E">
        <w:tab/>
        <w:t>In a newly assembled herd on a premises where a tuberculous herd has been depopulated, two annual herd tests shall be applied to all cattle, the first test to be applied approximately six months after assembly of the new herd. These tests shall be followed by two complete herd tests at three year intervals.</w:t>
      </w:r>
    </w:p>
    <w:p w14:paraId="0DF489DB" w14:textId="77777777" w:rsidR="005A46E7" w:rsidRPr="00A1145E" w:rsidRDefault="005A46E7" w:rsidP="005A46E7">
      <w:pPr>
        <w:pStyle w:val="A"/>
      </w:pPr>
      <w:r w:rsidRPr="00A1145E">
        <w:t>B.</w:t>
      </w:r>
      <w:r w:rsidRPr="00A1145E">
        <w:tab/>
        <w:t>Accredited Herd Plan</w:t>
      </w:r>
    </w:p>
    <w:p w14:paraId="79593EDE" w14:textId="77777777" w:rsidR="005A46E7" w:rsidRPr="00A1145E" w:rsidRDefault="005A46E7" w:rsidP="005A46E7">
      <w:pPr>
        <w:pStyle w:val="1"/>
      </w:pPr>
      <w:r w:rsidRPr="00A1145E">
        <w:t>1.</w:t>
      </w:r>
      <w:r w:rsidRPr="00A1145E">
        <w:tab/>
        <w:t>Testing of herds for accreditation or re-accreditation shall include all cattle over 24 months of age and any animals other than natural additions under 24 months of age. All natural additions shall be individually identified and recorded on the test report as members of the herd at the time of the annual test.</w:t>
      </w:r>
    </w:p>
    <w:p w14:paraId="6FCDC035" w14:textId="77777777" w:rsidR="005A46E7" w:rsidRPr="00A1145E" w:rsidRDefault="005A46E7" w:rsidP="005A46E7">
      <w:pPr>
        <w:pStyle w:val="1"/>
      </w:pPr>
      <w:r w:rsidRPr="00A1145E">
        <w:t>2.</w:t>
      </w:r>
      <w:r w:rsidRPr="00A1145E">
        <w:tab/>
        <w:t>Herd additions must originate directly from one of the following:</w:t>
      </w:r>
    </w:p>
    <w:p w14:paraId="4353B14E" w14:textId="77777777" w:rsidR="005A46E7" w:rsidRPr="00A1145E" w:rsidRDefault="005A46E7" w:rsidP="005A46E7">
      <w:pPr>
        <w:pStyle w:val="a0"/>
      </w:pPr>
      <w:r w:rsidRPr="00A1145E">
        <w:t>a.</w:t>
      </w:r>
      <w:r w:rsidRPr="00A1145E">
        <w:tab/>
        <w:t>accredited herd;</w:t>
      </w:r>
    </w:p>
    <w:p w14:paraId="7CC5E782" w14:textId="77777777" w:rsidR="005A46E7" w:rsidRPr="00A1145E" w:rsidRDefault="005A46E7" w:rsidP="005A46E7">
      <w:pPr>
        <w:pStyle w:val="a0"/>
      </w:pPr>
      <w:r w:rsidRPr="00A1145E">
        <w:t>b.</w:t>
      </w:r>
      <w:r w:rsidRPr="00A1145E">
        <w:tab/>
        <w:t>herd in an accredited free state;</w:t>
      </w:r>
    </w:p>
    <w:p w14:paraId="4F4F4ED3" w14:textId="77777777" w:rsidR="005A46E7" w:rsidRPr="00A1145E" w:rsidRDefault="005A46E7" w:rsidP="005A46E7">
      <w:pPr>
        <w:pStyle w:val="a0"/>
      </w:pPr>
      <w:r w:rsidRPr="00A1145E">
        <w:t>c.</w:t>
      </w:r>
      <w:r w:rsidRPr="00A1145E">
        <w:tab/>
        <w:t>herd in a modified accredited area that has passed a herd test of all animals over 24 months of age within 12 months and the individual animals for addition were negative to the tuberculin test conducted within 60 days; or</w:t>
      </w:r>
    </w:p>
    <w:p w14:paraId="308FE45F" w14:textId="77777777" w:rsidR="005A46E7" w:rsidRPr="00A1145E" w:rsidRDefault="005A46E7" w:rsidP="005A46E7">
      <w:pPr>
        <w:pStyle w:val="a0"/>
      </w:pPr>
      <w:r w:rsidRPr="00A1145E">
        <w:t>d.</w:t>
      </w:r>
      <w:r w:rsidRPr="00A1145E">
        <w:tab/>
        <w:t xml:space="preserve">herd in a modified accredited area not meeting requirements of Subparagraph B.2.a, b, or c of this Section, individual animals for addition must pass a negative test within 60 days prior to entering the premises of the accredited </w:t>
      </w:r>
      <w:r w:rsidRPr="00A1145E">
        <w:t>herd and must be kept in isolation from all members of the accredited herd until negative to a test conducted after 60 days of date of entry. Animals added under Subparagraph B.2.b, c, or d of this Section shall not receive accredited herd status for sale purposes until they have been members of the herd at least 60 days and are included in a herd retest.</w:t>
      </w:r>
    </w:p>
    <w:p w14:paraId="1B38E3AF" w14:textId="77777777" w:rsidR="005A46E7" w:rsidRPr="00A1145E" w:rsidRDefault="005A46E7" w:rsidP="005A46E7">
      <w:pPr>
        <w:pStyle w:val="1"/>
      </w:pPr>
      <w:r w:rsidRPr="00A1145E">
        <w:t>3.</w:t>
      </w:r>
      <w:r w:rsidRPr="00A1145E">
        <w:tab/>
        <w:t>To qualify for accredited herd status, the herd must pass at least two consecutive annual tuberculin tests with no evidence of bovine tuberculosis disclosed. All animals must be bonafide members of the herd. Qualified herds may be issued a certificate by the local state and federal officials. The accreditation period will be 12 months (365 days) from the anniversary date and not 12 months from the date of the re-accreditation test. To qualify for re-accreditation, the herd must pass an annual test within a period of 10 to 14 months of the anniversary date.</w:t>
      </w:r>
    </w:p>
    <w:p w14:paraId="70837BE0" w14:textId="77777777" w:rsidR="005A46E7" w:rsidRPr="00A1145E" w:rsidRDefault="005A46E7" w:rsidP="005A46E7">
      <w:pPr>
        <w:pStyle w:val="AuthorityNote"/>
      </w:pPr>
      <w:r w:rsidRPr="00A1145E">
        <w:t>AUTHORITY NOTE:</w:t>
      </w:r>
      <w:r w:rsidRPr="00A1145E">
        <w:tab/>
        <w:t>Promulgated in accordance with R.S. 3:2093.</w:t>
      </w:r>
    </w:p>
    <w:p w14:paraId="7F342F44"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11:615 (June 1985), amended LR 12:289 (May 1986)</w:t>
      </w:r>
      <w:r w:rsidRPr="00A1145E">
        <w:t xml:space="preserve">, repromulgated by the Department of Agriculture and Forestry, </w:t>
      </w:r>
      <w:r w:rsidR="007356F4">
        <w:t>Office of Animal Health and Food Safety and the Board of Animal Health,</w:t>
      </w:r>
      <w:r w:rsidRPr="00A1145E">
        <w:t xml:space="preserve"> LR </w:t>
      </w:r>
      <w:r>
        <w:t>40:956 (May 2014).</w:t>
      </w:r>
    </w:p>
    <w:p w14:paraId="10063D51" w14:textId="77777777" w:rsidR="005A46E7" w:rsidRPr="00A1145E" w:rsidRDefault="005A46E7" w:rsidP="005A46E7">
      <w:pPr>
        <w:pStyle w:val="Section"/>
      </w:pPr>
      <w:bookmarkStart w:id="1954" w:name="_Toc375025502"/>
      <w:bookmarkStart w:id="1955" w:name="_Toc224819101"/>
      <w:r w:rsidRPr="00A1145E">
        <w:t>§733.</w:t>
      </w:r>
      <w:r w:rsidRPr="00A1145E">
        <w:tab/>
        <w:t>Tuberculosis Testing of Mexican Cattle; Documentation</w:t>
      </w:r>
      <w:bookmarkEnd w:id="1954"/>
      <w:r>
        <w:br/>
        <w:t>(</w:t>
      </w:r>
      <w:r w:rsidRPr="00A1145E">
        <w:t>Formerly §341</w:t>
      </w:r>
      <w:r>
        <w:t>)</w:t>
      </w:r>
      <w:bookmarkEnd w:id="1955"/>
    </w:p>
    <w:p w14:paraId="5A6AF868" w14:textId="77777777" w:rsidR="005A46E7" w:rsidRPr="00A1145E" w:rsidRDefault="005A46E7" w:rsidP="005A46E7">
      <w:pPr>
        <w:pStyle w:val="A"/>
      </w:pPr>
      <w:r w:rsidRPr="00A1145E">
        <w:t>A.</w:t>
      </w:r>
      <w:r w:rsidRPr="00A1145E">
        <w:tab/>
        <w:t>Mexican cattle which are used, or intended to be used, at rodeos, timed events, team events, or other similar events or as roping stock.</w:t>
      </w:r>
    </w:p>
    <w:p w14:paraId="54C89F85" w14:textId="77777777" w:rsidR="005A46E7" w:rsidRPr="00A1145E" w:rsidRDefault="005A46E7" w:rsidP="005A46E7">
      <w:pPr>
        <w:pStyle w:val="1"/>
      </w:pPr>
      <w:r w:rsidRPr="00A1145E">
        <w:t>1.</w:t>
      </w:r>
      <w:r w:rsidRPr="00A1145E">
        <w:tab/>
        <w:t xml:space="preserve">Mexican cattle in this category entering Louisiana from another state shall be accompanied by the following documents: </w:t>
      </w:r>
    </w:p>
    <w:p w14:paraId="2F9CA72E" w14:textId="77777777" w:rsidR="005A46E7" w:rsidRPr="00A1145E" w:rsidRDefault="005A46E7" w:rsidP="005A46E7">
      <w:pPr>
        <w:pStyle w:val="a0"/>
      </w:pPr>
      <w:r w:rsidRPr="00A1145E">
        <w:t>a.</w:t>
      </w:r>
      <w:r w:rsidRPr="00A1145E">
        <w:tab/>
        <w:t>a certificate of veterinary inspection (CVI) that includes, in legible marking:</w:t>
      </w:r>
    </w:p>
    <w:p w14:paraId="27C65ED6" w14:textId="77777777" w:rsidR="005A46E7" w:rsidRPr="00A1145E" w:rsidRDefault="005A46E7" w:rsidP="005A46E7">
      <w:pPr>
        <w:pStyle w:val="i0"/>
      </w:pPr>
      <w:r>
        <w:tab/>
      </w:r>
      <w:r w:rsidRPr="00A1145E">
        <w:t>i.</w:t>
      </w:r>
      <w:r w:rsidRPr="00A1145E">
        <w:tab/>
        <w:t>an official identification eartag (840 RFID tag or metal brite tag); and</w:t>
      </w:r>
    </w:p>
    <w:p w14:paraId="00310A64" w14:textId="77777777" w:rsidR="005A46E7" w:rsidRPr="00A1145E" w:rsidRDefault="005A46E7" w:rsidP="005A46E7">
      <w:pPr>
        <w:pStyle w:val="i0"/>
      </w:pPr>
      <w:r>
        <w:tab/>
      </w:r>
      <w:r w:rsidRPr="00A1145E">
        <w:t>ii.</w:t>
      </w:r>
      <w:r w:rsidRPr="00A1145E">
        <w:tab/>
        <w:t>an official entry permit number issued by the department;</w:t>
      </w:r>
    </w:p>
    <w:p w14:paraId="74685F37" w14:textId="77777777" w:rsidR="005A46E7" w:rsidRPr="00A1145E" w:rsidRDefault="005A46E7" w:rsidP="005A46E7">
      <w:pPr>
        <w:pStyle w:val="a0"/>
      </w:pPr>
      <w:r w:rsidRPr="00A1145E">
        <w:t>b.</w:t>
      </w:r>
      <w:r w:rsidRPr="00A1145E">
        <w:tab/>
        <w:t>proof of a negative test for bovine tuberculosis taken within 60 days prior to the cattle entering the state;</w:t>
      </w:r>
    </w:p>
    <w:p w14:paraId="6319A65C" w14:textId="77777777" w:rsidR="005A46E7" w:rsidRPr="00A1145E" w:rsidRDefault="005A46E7" w:rsidP="005A46E7">
      <w:pPr>
        <w:pStyle w:val="a0"/>
      </w:pPr>
      <w:r w:rsidRPr="00A1145E">
        <w:t>c.</w:t>
      </w:r>
      <w:r w:rsidRPr="00A1145E">
        <w:tab/>
        <w:t>the original or a certified copy of the tuberculosis test chart.</w:t>
      </w:r>
    </w:p>
    <w:p w14:paraId="6A0FF681" w14:textId="77777777" w:rsidR="005A46E7" w:rsidRPr="00A1145E" w:rsidRDefault="005A46E7" w:rsidP="005A46E7">
      <w:pPr>
        <w:pStyle w:val="1"/>
      </w:pPr>
      <w:r w:rsidRPr="00A1145E">
        <w:t>2.</w:t>
      </w:r>
      <w:r w:rsidRPr="00A1145E">
        <w:tab/>
        <w:t xml:space="preserve">Mexican cattle in this category entering Louisiana directly from Mexico shall be accompanied by the documents listed in Paragraph A.1 of this Section and shall: </w:t>
      </w:r>
    </w:p>
    <w:p w14:paraId="01709FF7" w14:textId="77777777" w:rsidR="005A46E7" w:rsidRPr="00A1145E" w:rsidRDefault="005A46E7" w:rsidP="005A46E7">
      <w:pPr>
        <w:pStyle w:val="a0"/>
      </w:pPr>
      <w:r w:rsidRPr="00A1145E">
        <w:t>a.</w:t>
      </w:r>
      <w:r w:rsidRPr="00A1145E">
        <w:tab/>
        <w:t>enter into quarantine at the first destination premises in the state;</w:t>
      </w:r>
    </w:p>
    <w:p w14:paraId="58B565D3" w14:textId="77777777" w:rsidR="005A46E7" w:rsidRPr="00A1145E" w:rsidRDefault="005A46E7" w:rsidP="005A46E7">
      <w:pPr>
        <w:pStyle w:val="a0"/>
      </w:pPr>
      <w:r w:rsidRPr="00A1145E">
        <w:t>b.</w:t>
      </w:r>
      <w:r w:rsidRPr="00A1145E">
        <w:tab/>
        <w:t>test negative for tuberculosis within 60-120 days of arrival in this state, with all testing to be at the expense of the owner of the cattle;</w:t>
      </w:r>
    </w:p>
    <w:p w14:paraId="4210381B" w14:textId="77777777" w:rsidR="005A46E7" w:rsidRPr="00A1145E" w:rsidRDefault="005A46E7" w:rsidP="005A46E7">
      <w:pPr>
        <w:pStyle w:val="a0"/>
      </w:pPr>
      <w:r w:rsidRPr="00A1145E">
        <w:t>c.</w:t>
      </w:r>
      <w:r w:rsidRPr="00A1145E">
        <w:tab/>
        <w:t xml:space="preserve">not move from quarantine except with specific permission from the department and then only to events or activities where commingling with other cattle will not occur </w:t>
      </w:r>
      <w:r w:rsidRPr="00A1145E">
        <w:lastRenderedPageBreak/>
        <w:t>until confirmation of a negative post entry re-test for tuberculosis is obtained.</w:t>
      </w:r>
    </w:p>
    <w:p w14:paraId="03452AB2" w14:textId="77777777" w:rsidR="005A46E7" w:rsidRPr="00A1145E" w:rsidRDefault="005A46E7" w:rsidP="005A46E7">
      <w:pPr>
        <w:pStyle w:val="A"/>
      </w:pPr>
      <w:r w:rsidRPr="00A1145E">
        <w:t>B.</w:t>
      </w:r>
      <w:r w:rsidRPr="00A1145E">
        <w:tab/>
        <w:t xml:space="preserve">Mexican cattle that are under 18 months of age and which are brought into this state, either from another state or directly from Mexico, for grazing purposes prior to shipment to a feedlot or to slaughter shall be: </w:t>
      </w:r>
    </w:p>
    <w:p w14:paraId="0F839BB3" w14:textId="77777777" w:rsidR="005A46E7" w:rsidRPr="00A1145E" w:rsidRDefault="005A46E7" w:rsidP="005A46E7">
      <w:pPr>
        <w:pStyle w:val="1"/>
      </w:pPr>
      <w:r w:rsidRPr="00A1145E">
        <w:t>1.</w:t>
      </w:r>
      <w:r w:rsidRPr="00A1145E">
        <w:tab/>
        <w:t>accompanied by a certificate of veterinary inspection (CVI);</w:t>
      </w:r>
    </w:p>
    <w:p w14:paraId="46F8DBE0" w14:textId="77777777" w:rsidR="005A46E7" w:rsidRPr="00A1145E" w:rsidRDefault="005A46E7" w:rsidP="005A46E7">
      <w:pPr>
        <w:pStyle w:val="1"/>
      </w:pPr>
      <w:r w:rsidRPr="00A1145E">
        <w:t>2.</w:t>
      </w:r>
      <w:r w:rsidRPr="00A1145E">
        <w:tab/>
        <w:t>moved under permit from the department only to a pasture or pen which has fencing sturdy enough to contain the cattle and to prevent co-mingling with other cattle and which pasture or pen has been approved by the department; and</w:t>
      </w:r>
    </w:p>
    <w:p w14:paraId="5417F38B" w14:textId="77777777" w:rsidR="005A46E7" w:rsidRPr="00A1145E" w:rsidRDefault="005A46E7" w:rsidP="005A46E7">
      <w:pPr>
        <w:pStyle w:val="1"/>
      </w:pPr>
      <w:r w:rsidRPr="00A1145E">
        <w:t>3.</w:t>
      </w:r>
      <w:r w:rsidRPr="00A1145E">
        <w:tab/>
        <w:t>subsequently moved from the pasture or pen only to a feedlot prior to going directly to slaughter or to a stockya</w:t>
      </w:r>
      <w:r>
        <w:t>rd for sale for slaughter only.</w:t>
      </w:r>
    </w:p>
    <w:p w14:paraId="35E70D2A" w14:textId="77777777" w:rsidR="005A46E7" w:rsidRPr="00A1145E" w:rsidRDefault="005A46E7" w:rsidP="005A46E7">
      <w:pPr>
        <w:pStyle w:val="A"/>
      </w:pPr>
      <w:r w:rsidRPr="00A1145E">
        <w:t>C.</w:t>
      </w:r>
      <w:r w:rsidRPr="00A1145E">
        <w:tab/>
        <w:t>At any time Mexican cattle enter the state and any time they are in the state, the latest tuberculosis test chart shall be, upon request, presented for inspection to a duly authorized officer, employee, or agent of the department or APHIS.</w:t>
      </w:r>
    </w:p>
    <w:p w14:paraId="7BF0CCC9" w14:textId="77777777" w:rsidR="005A46E7" w:rsidRPr="00A1145E" w:rsidRDefault="005A46E7" w:rsidP="005A46E7">
      <w:pPr>
        <w:pStyle w:val="A"/>
      </w:pPr>
      <w:r w:rsidRPr="00A1145E">
        <w:t>D.</w:t>
      </w:r>
      <w:r w:rsidRPr="00A1145E">
        <w:tab/>
        <w:t>All Mexican cattle permanently located in this state shall be retested annually for tuberculosis at the expense of their owner.</w:t>
      </w:r>
    </w:p>
    <w:p w14:paraId="5FED34A0" w14:textId="77777777" w:rsidR="005A46E7" w:rsidRPr="00A1145E" w:rsidRDefault="005A46E7" w:rsidP="005A46E7">
      <w:pPr>
        <w:pStyle w:val="A"/>
      </w:pPr>
      <w:r w:rsidRPr="00A1145E">
        <w:t>E.</w:t>
      </w:r>
      <w:r w:rsidRPr="00A1145E">
        <w:tab/>
        <w:t>All tuberculosis tests shall be conducted by a USDA accredited veterinarian, the test records shall be maintained with the cattle and, upon request, presented for inspection to a duly authorized officer, employee, or agent of the department or APHIS.</w:t>
      </w:r>
    </w:p>
    <w:p w14:paraId="2A08D6D6" w14:textId="77777777" w:rsidR="005A46E7" w:rsidRPr="00A1145E" w:rsidRDefault="005A46E7" w:rsidP="005A46E7">
      <w:pPr>
        <w:pStyle w:val="AuthorityNote"/>
      </w:pPr>
      <w:r w:rsidRPr="00A1145E">
        <w:t>AUTHORITY NOTE:</w:t>
      </w:r>
      <w:r w:rsidRPr="00A1145E">
        <w:tab/>
        <w:t>Promulgated in accordance with R.S. 3:2093 and 3:2135.</w:t>
      </w:r>
    </w:p>
    <w:p w14:paraId="30269B1F" w14:textId="77777777" w:rsidR="005A46E7" w:rsidRPr="00A1145E" w:rsidRDefault="005A46E7" w:rsidP="005A46E7">
      <w:pPr>
        <w:pStyle w:val="HistoricalNote"/>
      </w:pPr>
      <w:r w:rsidRPr="00A1145E">
        <w:t>HISTORICAL NOTE:</w:t>
      </w:r>
      <w:r w:rsidRPr="00A1145E">
        <w:tab/>
      </w:r>
      <w:r w:rsidR="00D943FE" w:rsidRPr="00EF2EC0">
        <w:t xml:space="preserve">Promulgated by the Department of Agriculture and Forestry, </w:t>
      </w:r>
      <w:r w:rsidR="00D943FE">
        <w:t xml:space="preserve">Office of Animal Health and Food Safety, </w:t>
      </w:r>
      <w:r w:rsidR="00D943FE" w:rsidRPr="00EF2EC0">
        <w:t>Board of Animal Health, LR 39:</w:t>
      </w:r>
      <w:r w:rsidR="00D943FE">
        <w:t>3246 (December 2013)</w:t>
      </w:r>
      <w:r w:rsidRPr="00A1145E">
        <w:t xml:space="preserve">, repromulgated by the Department of Agriculture and Forestry, </w:t>
      </w:r>
      <w:r w:rsidR="007356F4">
        <w:t>Office of Animal Health and Food Safety and the Board of Animal Health,</w:t>
      </w:r>
      <w:r w:rsidRPr="00A1145E">
        <w:t xml:space="preserve"> LR </w:t>
      </w:r>
      <w:r>
        <w:t>40:956 (May 2014).</w:t>
      </w:r>
    </w:p>
    <w:p w14:paraId="5419C3C2" w14:textId="77777777" w:rsidR="005A46E7" w:rsidRPr="00A1145E" w:rsidRDefault="005A46E7" w:rsidP="005A46E7">
      <w:pPr>
        <w:pStyle w:val="Section"/>
      </w:pPr>
      <w:bookmarkStart w:id="1956" w:name="_Toc388358279"/>
      <w:bookmarkStart w:id="1957" w:name="_Toc396115181"/>
      <w:bookmarkStart w:id="1958" w:name="_Toc411855572"/>
      <w:bookmarkStart w:id="1959" w:name="_Toc419795774"/>
      <w:bookmarkStart w:id="1960" w:name="_Toc427737162"/>
      <w:bookmarkStart w:id="1961" w:name="_Toc438546964"/>
      <w:bookmarkStart w:id="1962" w:name="_Toc446326951"/>
      <w:bookmarkStart w:id="1963" w:name="_Toc448825141"/>
      <w:bookmarkStart w:id="1964" w:name="_Toc451506185"/>
      <w:bookmarkStart w:id="1965" w:name="_Toc462212608"/>
      <w:bookmarkStart w:id="1966" w:name="_Toc468096528"/>
      <w:bookmarkStart w:id="1967" w:name="_Toc477853993"/>
      <w:bookmarkStart w:id="1968" w:name="_Toc488735937"/>
      <w:bookmarkStart w:id="1969" w:name="_Toc491176754"/>
      <w:bookmarkStart w:id="1970" w:name="_Toc509393677"/>
      <w:bookmarkStart w:id="1971" w:name="_Toc525114846"/>
      <w:bookmarkStart w:id="1972" w:name="_Toc535997243"/>
      <w:bookmarkStart w:id="1973" w:name="_Toc224819102"/>
      <w:r w:rsidRPr="00A1145E">
        <w:t>§§735</w:t>
      </w:r>
      <w:r>
        <w:t>-</w:t>
      </w:r>
      <w:r w:rsidRPr="00A1145E">
        <w:t>739.</w:t>
      </w:r>
      <w:r w:rsidRPr="00A1145E">
        <w:tab/>
        <w:t>Reserved</w:t>
      </w:r>
      <w:r>
        <w:t>.</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7B77DEF6" w14:textId="77777777" w:rsidR="005A46E7" w:rsidRPr="00A1145E" w:rsidRDefault="005A46E7" w:rsidP="005A46E7">
      <w:pPr>
        <w:pStyle w:val="Chapter"/>
      </w:pPr>
      <w:bookmarkStart w:id="1974" w:name="_Toc224819103"/>
      <w:r w:rsidRPr="00A1145E">
        <w:t>Subchapter D.</w:t>
      </w:r>
      <w:r w:rsidRPr="00A1145E">
        <w:tab/>
        <w:t>Mycoplasma in Dairy Cattle Regulations</w:t>
      </w:r>
      <w:bookmarkEnd w:id="1974"/>
    </w:p>
    <w:p w14:paraId="40B17C60" w14:textId="77777777" w:rsidR="005A46E7" w:rsidRPr="00A1145E" w:rsidRDefault="005A46E7" w:rsidP="005A46E7">
      <w:pPr>
        <w:pStyle w:val="Section"/>
      </w:pPr>
      <w:bookmarkStart w:id="1975" w:name="_Toc256754714"/>
      <w:bookmarkStart w:id="1976" w:name="_Toc375025498"/>
      <w:bookmarkStart w:id="1977" w:name="_Toc224819104"/>
      <w:r w:rsidRPr="00A1145E">
        <w:t>§741.</w:t>
      </w:r>
      <w:r w:rsidRPr="00A1145E">
        <w:tab/>
        <w:t>Routine Testing of Dairy Herds</w:t>
      </w:r>
      <w:bookmarkEnd w:id="1975"/>
      <w:bookmarkEnd w:id="1976"/>
      <w:r>
        <w:br/>
        <w:t>(</w:t>
      </w:r>
      <w:r w:rsidRPr="00A1145E">
        <w:t>Formerly §333</w:t>
      </w:r>
      <w:r>
        <w:t>)</w:t>
      </w:r>
      <w:bookmarkEnd w:id="1977"/>
    </w:p>
    <w:p w14:paraId="73FD5633" w14:textId="77777777" w:rsidR="005A46E7" w:rsidRPr="00A1145E" w:rsidRDefault="005A46E7" w:rsidP="005A46E7">
      <w:pPr>
        <w:pStyle w:val="A"/>
      </w:pPr>
      <w:r w:rsidRPr="00A1145E">
        <w:t>A.</w:t>
      </w:r>
      <w:r w:rsidRPr="00A1145E">
        <w:tab/>
        <w:t xml:space="preserve">All dairy herds in Louisiana shall be tested for </w:t>
      </w:r>
      <w:r w:rsidRPr="00A1145E">
        <w:rPr>
          <w:i/>
          <w:iCs/>
        </w:rPr>
        <w:t>Mycoplasma bovis</w:t>
      </w:r>
      <w:r w:rsidRPr="00A1145E">
        <w:t>, ("Mycoplasma"), which causes an incurable form of mastitis in dairy cattle, in accordance with the following provisions.</w:t>
      </w:r>
    </w:p>
    <w:p w14:paraId="58E0CEDF" w14:textId="77777777" w:rsidR="005A46E7" w:rsidRPr="00A1145E" w:rsidRDefault="005A46E7" w:rsidP="005A46E7">
      <w:pPr>
        <w:pStyle w:val="1"/>
      </w:pPr>
      <w:r w:rsidRPr="00A1145E">
        <w:t>1.</w:t>
      </w:r>
      <w:r w:rsidRPr="00A1145E">
        <w:tab/>
        <w:t>The Louisiana Department of Agriculture and Forestry, ("department"), shall collect milk samples from a bulk tank sample collected by the milk hauler.</w:t>
      </w:r>
    </w:p>
    <w:p w14:paraId="436D3407" w14:textId="77777777" w:rsidR="005A46E7" w:rsidRPr="00A1145E" w:rsidRDefault="005A46E7" w:rsidP="005A46E7">
      <w:pPr>
        <w:pStyle w:val="1"/>
      </w:pPr>
      <w:r w:rsidRPr="00A1145E">
        <w:t>2.</w:t>
      </w:r>
      <w:r w:rsidRPr="00A1145E">
        <w:tab/>
        <w:t>The department shall forward the samples to the Mastitis Lab at the Hill Farm Research Station ("HFRS") in Homer, Louisiana for testing.</w:t>
      </w:r>
    </w:p>
    <w:p w14:paraId="4F71C36A" w14:textId="77777777" w:rsidR="005A46E7" w:rsidRPr="00A1145E" w:rsidRDefault="005A46E7" w:rsidP="005A46E7">
      <w:pPr>
        <w:pStyle w:val="1"/>
      </w:pPr>
      <w:r w:rsidRPr="00A1145E">
        <w:t>3.</w:t>
      </w:r>
      <w:r w:rsidRPr="00A1145E">
        <w:tab/>
        <w:t>HFRS shall forward the test report for each dairy herd to the department and to the owner of the dairy herd.</w:t>
      </w:r>
    </w:p>
    <w:p w14:paraId="5A628F4D" w14:textId="77777777" w:rsidR="005A46E7" w:rsidRPr="00A1145E" w:rsidRDefault="005A46E7" w:rsidP="005A46E7">
      <w:pPr>
        <w:pStyle w:val="A"/>
      </w:pPr>
      <w:r w:rsidRPr="00A1145E">
        <w:t>B.</w:t>
      </w:r>
      <w:r w:rsidRPr="00A1145E">
        <w:tab/>
        <w:t xml:space="preserve">If a sample from a dairy herd tests positive for </w:t>
      </w:r>
      <w:r w:rsidRPr="00DF115E">
        <w:rPr>
          <w:i/>
        </w:rPr>
        <w:t>Mycoplasma mastitis</w:t>
      </w:r>
      <w:r w:rsidRPr="00A1145E">
        <w:t xml:space="preserve"> the department shall collect a second sample directly from the bulk tank holding the dairy herd's milk and send the sample to HFRS for testing. HFRS will send the test result directly to the department, who will then notify the dairy herd’s owner of the test results.</w:t>
      </w:r>
    </w:p>
    <w:p w14:paraId="122055FE" w14:textId="77777777" w:rsidR="005A46E7" w:rsidRPr="00A1145E" w:rsidRDefault="005A46E7" w:rsidP="005A46E7">
      <w:pPr>
        <w:pStyle w:val="A"/>
      </w:pPr>
      <w:r w:rsidRPr="00A1145E">
        <w:t>C.</w:t>
      </w:r>
      <w:r w:rsidRPr="00A1145E">
        <w:tab/>
        <w:t xml:space="preserve">All dairy herds shall be tested monthly for 12 months. Any dairy herd that tests negative each month for 12 months will then be tested quarterly so long as each test is negative for </w:t>
      </w:r>
      <w:r w:rsidRPr="00DF115E">
        <w:rPr>
          <w:i/>
        </w:rPr>
        <w:t>Mycoplasma mastitis</w:t>
      </w:r>
      <w:r w:rsidRPr="00A1145E">
        <w:t>.</w:t>
      </w:r>
    </w:p>
    <w:p w14:paraId="7D8F9CA7" w14:textId="77777777" w:rsidR="005A46E7" w:rsidRPr="00A1145E" w:rsidRDefault="005A46E7" w:rsidP="005A46E7">
      <w:pPr>
        <w:pStyle w:val="AuthorityNote"/>
      </w:pPr>
      <w:r w:rsidRPr="00A1145E">
        <w:t>AUTHORITY NOTE:</w:t>
      </w:r>
      <w:r w:rsidRPr="00A1145E">
        <w:tab/>
        <w:t>Promulgated in accordance with R.S. 3:2093 and R.S. 3:2224.</w:t>
      </w:r>
    </w:p>
    <w:p w14:paraId="0979B965" w14:textId="77777777"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14:paraId="1DC9FB96" w14:textId="77777777" w:rsidR="005A46E7" w:rsidRPr="00A1145E" w:rsidRDefault="005A46E7" w:rsidP="005A46E7">
      <w:pPr>
        <w:pStyle w:val="Section"/>
      </w:pPr>
      <w:bookmarkStart w:id="1978" w:name="_Toc256754715"/>
      <w:bookmarkStart w:id="1979" w:name="_Toc375025499"/>
      <w:bookmarkStart w:id="1980" w:name="_Toc224819105"/>
      <w:r w:rsidRPr="00A1145E">
        <w:t>§743.</w:t>
      </w:r>
      <w:r w:rsidRPr="00A1145E">
        <w:tab/>
        <w:t>Restrictions on Dairy Herds Testing Positive for Mycoplasma Mastitis</w:t>
      </w:r>
      <w:bookmarkEnd w:id="1978"/>
      <w:bookmarkEnd w:id="1979"/>
      <w:r>
        <w:br/>
        <w:t>(</w:t>
      </w:r>
      <w:r w:rsidRPr="00A1145E">
        <w:t>Formerly §335</w:t>
      </w:r>
      <w:r>
        <w:t>)</w:t>
      </w:r>
      <w:bookmarkEnd w:id="1980"/>
    </w:p>
    <w:p w14:paraId="68C55D31" w14:textId="77777777" w:rsidR="005A46E7" w:rsidRPr="00A1145E" w:rsidRDefault="005A46E7" w:rsidP="005A46E7">
      <w:pPr>
        <w:pStyle w:val="A"/>
      </w:pPr>
      <w:r w:rsidRPr="00A1145E">
        <w:t>A.</w:t>
      </w:r>
      <w:r w:rsidRPr="00A1145E">
        <w:tab/>
        <w:t xml:space="preserve">If the second sample from a dairy herd tests positive for </w:t>
      </w:r>
      <w:r w:rsidRPr="00DF115E">
        <w:rPr>
          <w:i/>
        </w:rPr>
        <w:t>Mycoplasma mastitis</w:t>
      </w:r>
      <w:r w:rsidRPr="00A1145E">
        <w:t xml:space="preserve"> then that dairy herd shall be placed on a "Mycoplasma restricted list."</w:t>
      </w:r>
    </w:p>
    <w:p w14:paraId="76950760" w14:textId="77777777" w:rsidR="005A46E7" w:rsidRPr="00A1145E" w:rsidRDefault="005A46E7" w:rsidP="005A46E7">
      <w:pPr>
        <w:pStyle w:val="1"/>
      </w:pPr>
      <w:r w:rsidRPr="00A1145E">
        <w:t>1.</w:t>
      </w:r>
      <w:r w:rsidRPr="00A1145E">
        <w:tab/>
        <w:t>Individual members, male and female, of any dairy herd placed on the Mycoplasma restricted list shall be tested to identify infected animals.</w:t>
      </w:r>
    </w:p>
    <w:p w14:paraId="4E48E144" w14:textId="77777777" w:rsidR="005A46E7" w:rsidRPr="00A1145E" w:rsidRDefault="005A46E7" w:rsidP="005A46E7">
      <w:pPr>
        <w:pStyle w:val="1"/>
      </w:pPr>
      <w:r w:rsidRPr="00A1145E">
        <w:t>2.</w:t>
      </w:r>
      <w:r w:rsidRPr="00A1145E">
        <w:tab/>
        <w:t>Any animal found to be infected with Mycoplasma shall be either immediately sold for slaughter or branded with a mark acceptable to the department to show that the animal can only be sold for slaughter. If any such animal is sold at a livestock auction market, it shall be kept in quarantine separate from any other cattle.</w:t>
      </w:r>
    </w:p>
    <w:p w14:paraId="5CF6BD0D" w14:textId="77777777" w:rsidR="005A46E7" w:rsidRPr="00A1145E" w:rsidRDefault="005A46E7" w:rsidP="005A46E7">
      <w:pPr>
        <w:pStyle w:val="1"/>
      </w:pPr>
      <w:r w:rsidRPr="00A1145E">
        <w:t>3.</w:t>
      </w:r>
      <w:r w:rsidRPr="00A1145E">
        <w:tab/>
        <w:t>No animal from a dairy herd that is on the Mycoplasma restricted list shall be sold or moved for any purpose other than slaughter unless accompanied by a health certificate showing that the animal has had a negative test for Mycoplasma within the 30 days prior to the date of sale or movement.</w:t>
      </w:r>
    </w:p>
    <w:p w14:paraId="00BF8347" w14:textId="77777777" w:rsidR="005A46E7" w:rsidRPr="00A1145E" w:rsidRDefault="005A46E7" w:rsidP="005A46E7">
      <w:pPr>
        <w:pStyle w:val="A"/>
      </w:pPr>
      <w:r w:rsidRPr="00A1145E">
        <w:t>B.</w:t>
      </w:r>
      <w:r w:rsidRPr="00A1145E">
        <w:tab/>
        <w:t>Any dairy herd found to be infected with Mycoplasma shall remain on the Mycoplasma restricted list until all infected animals are removed and bulk tank samples test negative for six months.</w:t>
      </w:r>
    </w:p>
    <w:p w14:paraId="4E1BEF51" w14:textId="77777777" w:rsidR="005A46E7" w:rsidRPr="00A1145E" w:rsidRDefault="005A46E7" w:rsidP="005A46E7">
      <w:pPr>
        <w:pStyle w:val="AuthorityNote"/>
      </w:pPr>
      <w:r w:rsidRPr="00A1145E">
        <w:t>AUTHORITY NOTE:</w:t>
      </w:r>
      <w:r w:rsidRPr="00A1145E">
        <w:tab/>
        <w:t>Promulgated in accordance with R.S. 3:2093 and R.S. 3:2224.</w:t>
      </w:r>
    </w:p>
    <w:p w14:paraId="20B8DCEE" w14:textId="77777777"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14:paraId="6F0067FB" w14:textId="77777777" w:rsidR="005A46E7" w:rsidRPr="00A1145E" w:rsidRDefault="005A46E7" w:rsidP="005A46E7">
      <w:pPr>
        <w:pStyle w:val="Section"/>
      </w:pPr>
      <w:bookmarkStart w:id="1981" w:name="_Toc256754716"/>
      <w:bookmarkStart w:id="1982" w:name="_Toc375025500"/>
      <w:bookmarkStart w:id="1983" w:name="_Toc224819106"/>
      <w:r w:rsidRPr="00A1145E">
        <w:t>§745.</w:t>
      </w:r>
      <w:r w:rsidRPr="00A1145E">
        <w:tab/>
        <w:t>Fees</w:t>
      </w:r>
      <w:bookmarkEnd w:id="1981"/>
      <w:bookmarkEnd w:id="1982"/>
      <w:r>
        <w:br/>
        <w:t>(</w:t>
      </w:r>
      <w:r w:rsidRPr="00A1145E">
        <w:t>Formerly §337</w:t>
      </w:r>
      <w:r>
        <w:t>)</w:t>
      </w:r>
      <w:bookmarkEnd w:id="1983"/>
    </w:p>
    <w:p w14:paraId="7DA1F9FF" w14:textId="77777777" w:rsidR="005A46E7" w:rsidRPr="00A1145E" w:rsidRDefault="005A46E7" w:rsidP="005A46E7">
      <w:pPr>
        <w:pStyle w:val="A"/>
      </w:pPr>
      <w:r w:rsidRPr="00A1145E">
        <w:t>A.</w:t>
      </w:r>
      <w:r w:rsidRPr="00A1145E">
        <w:tab/>
        <w:t>The department shall collect from each owner of a dairy herd a fee of no more than $15 per milk sample to defray the cost of the testing and quarantine programs necessary to prevent, control or eradicate Mycoplasma in dairy cattle.</w:t>
      </w:r>
    </w:p>
    <w:p w14:paraId="4A00A88B" w14:textId="77777777" w:rsidR="005A46E7" w:rsidRPr="00A1145E" w:rsidRDefault="005A46E7" w:rsidP="005A46E7">
      <w:pPr>
        <w:pStyle w:val="AuthorityNote"/>
      </w:pPr>
      <w:r w:rsidRPr="00A1145E">
        <w:lastRenderedPageBreak/>
        <w:t>AUTHORITY NOTE:</w:t>
      </w:r>
      <w:r w:rsidRPr="00A1145E">
        <w:tab/>
        <w:t>Promulgated in accordance with R.S. 3:2093 and R.S. 3:2224.</w:t>
      </w:r>
    </w:p>
    <w:p w14:paraId="164EAE8C" w14:textId="77777777"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14:paraId="638AE05D" w14:textId="77777777" w:rsidR="005A46E7" w:rsidRPr="00A1145E" w:rsidRDefault="005A46E7" w:rsidP="005A46E7">
      <w:pPr>
        <w:pStyle w:val="Section"/>
      </w:pPr>
      <w:bookmarkStart w:id="1984" w:name="_Toc388358284"/>
      <w:bookmarkStart w:id="1985" w:name="_Toc396115186"/>
      <w:bookmarkStart w:id="1986" w:name="_Toc411855577"/>
      <w:bookmarkStart w:id="1987" w:name="_Toc419795779"/>
      <w:bookmarkStart w:id="1988" w:name="_Toc427737167"/>
      <w:bookmarkStart w:id="1989" w:name="_Toc438546969"/>
      <w:bookmarkStart w:id="1990" w:name="_Toc446326956"/>
      <w:bookmarkStart w:id="1991" w:name="_Toc448825146"/>
      <w:bookmarkStart w:id="1992" w:name="_Toc451506190"/>
      <w:bookmarkStart w:id="1993" w:name="_Toc462212613"/>
      <w:bookmarkStart w:id="1994" w:name="_Toc468096533"/>
      <w:bookmarkStart w:id="1995" w:name="_Toc477853998"/>
      <w:bookmarkStart w:id="1996" w:name="_Toc488735942"/>
      <w:bookmarkStart w:id="1997" w:name="_Toc491176759"/>
      <w:bookmarkStart w:id="1998" w:name="_Toc509393682"/>
      <w:bookmarkStart w:id="1999" w:name="_Toc525114851"/>
      <w:bookmarkStart w:id="2000" w:name="_Toc535997248"/>
      <w:bookmarkStart w:id="2001" w:name="_Toc224819107"/>
      <w:r w:rsidRPr="00A1145E">
        <w:t>§§747</w:t>
      </w:r>
      <w:r>
        <w:t>-749.</w:t>
      </w:r>
      <w:r>
        <w:tab/>
        <w:t>Reserved.</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14:paraId="61CE2FC4" w14:textId="77777777" w:rsidR="005A46E7" w:rsidRPr="00A1145E" w:rsidRDefault="005A46E7" w:rsidP="005A46E7">
      <w:pPr>
        <w:pStyle w:val="Chapter"/>
      </w:pPr>
      <w:bookmarkStart w:id="2002" w:name="_Toc224819108"/>
      <w:r w:rsidRPr="00A1145E">
        <w:t>Subchapte</w:t>
      </w:r>
      <w:r>
        <w:t>r E.</w:t>
      </w:r>
      <w:r>
        <w:tab/>
        <w:t>Trichomoniasis</w:t>
      </w:r>
      <w:bookmarkEnd w:id="2002"/>
    </w:p>
    <w:p w14:paraId="3E0B6631" w14:textId="77777777" w:rsidR="005A46E7" w:rsidRPr="00A1145E" w:rsidRDefault="005A46E7" w:rsidP="005A46E7">
      <w:pPr>
        <w:pStyle w:val="Section"/>
      </w:pPr>
      <w:bookmarkStart w:id="2003" w:name="_Toc256754717"/>
      <w:bookmarkStart w:id="2004" w:name="_Toc375025501"/>
      <w:bookmarkStart w:id="2005" w:name="_Toc224819109"/>
      <w:r w:rsidRPr="00A1145E">
        <w:t>§751.</w:t>
      </w:r>
      <w:r w:rsidRPr="00A1145E">
        <w:tab/>
        <w:t>Trichomoniasis Testing and Movement Requirements for Cattle</w:t>
      </w:r>
      <w:bookmarkEnd w:id="2003"/>
      <w:bookmarkEnd w:id="2004"/>
      <w:r>
        <w:br/>
        <w:t>(</w:t>
      </w:r>
      <w:r w:rsidRPr="00A1145E">
        <w:t>Formerly §339</w:t>
      </w:r>
      <w:r>
        <w:t>)</w:t>
      </w:r>
      <w:bookmarkEnd w:id="2005"/>
    </w:p>
    <w:p w14:paraId="565C4688" w14:textId="77777777" w:rsidR="0097119C" w:rsidRPr="002024DD" w:rsidRDefault="005A46E7" w:rsidP="0097119C">
      <w:pPr>
        <w:pStyle w:val="A"/>
      </w:pPr>
      <w:r w:rsidRPr="00A1145E">
        <w:t>A.</w:t>
      </w:r>
      <w:r w:rsidRPr="00A1145E">
        <w:tab/>
      </w:r>
      <w:r w:rsidR="0097119C" w:rsidRPr="002024DD">
        <w:t>Every bull moved into this state and every bull which is sold, exchanged, leased, rented, or otherwise transferred in ownership or possession (hereinafter collectively referred to as “transferred”) from one person or entity to another within this state shall be accompanied by a test result showing that the bull is free from trichomoniasis (hereinafter referred to as “negative test result” or “testing negative”) except for the following bulls:</w:t>
      </w:r>
    </w:p>
    <w:p w14:paraId="2D0ABC5A" w14:textId="77777777" w:rsidR="0097119C" w:rsidRPr="002024DD" w:rsidRDefault="0097119C" w:rsidP="0097119C">
      <w:pPr>
        <w:pStyle w:val="1"/>
      </w:pPr>
      <w:r w:rsidRPr="002024DD">
        <w:rPr>
          <w:bCs/>
        </w:rPr>
        <w:t>1.</w:t>
      </w:r>
      <w:r w:rsidRPr="002024DD">
        <w:rPr>
          <w:bCs/>
        </w:rPr>
        <w:tab/>
      </w:r>
      <w:r w:rsidRPr="002024DD">
        <w:t>exhibition and rodeo bulls that are temporarily in the state for the sole purpose of an event and will be leaving the state immediately after the event;</w:t>
      </w:r>
    </w:p>
    <w:p w14:paraId="0FE8A695" w14:textId="77777777" w:rsidR="0097119C" w:rsidRPr="002024DD" w:rsidRDefault="0097119C" w:rsidP="0097119C">
      <w:pPr>
        <w:pStyle w:val="1"/>
      </w:pPr>
      <w:r w:rsidRPr="002024DD">
        <w:t>2.</w:t>
      </w:r>
      <w:r w:rsidRPr="002024DD">
        <w:tab/>
        <w:t>bulls going directly to slaughter or sold to go directly to slaughter;</w:t>
      </w:r>
    </w:p>
    <w:p w14:paraId="6B4B6C75" w14:textId="77777777" w:rsidR="0097119C" w:rsidRPr="002024DD" w:rsidRDefault="0097119C" w:rsidP="0097119C">
      <w:pPr>
        <w:pStyle w:val="1"/>
      </w:pPr>
      <w:r w:rsidRPr="002024DD">
        <w:t>3.</w:t>
      </w:r>
      <w:r w:rsidRPr="002024DD">
        <w:tab/>
        <w:t>virgin bulls accompanied by a certificate of virgin status, including the bull’s official animal identification number (“AIN”), and signed by the owner of the bull, the owner's agent, or a Category II accredited veterinarian;</w:t>
      </w:r>
    </w:p>
    <w:p w14:paraId="478CA589" w14:textId="77777777" w:rsidR="0097119C" w:rsidRPr="002024DD" w:rsidRDefault="0097119C" w:rsidP="0097119C">
      <w:pPr>
        <w:pStyle w:val="1"/>
      </w:pPr>
      <w:r w:rsidRPr="002024DD">
        <w:t>4.</w:t>
      </w:r>
      <w:r w:rsidRPr="002024DD">
        <w:tab/>
        <w:t>bulls being transported through this state in interstate commerce, unless offloaded and commingled with female cattle already in this state that are not going directly to slaughter; and</w:t>
      </w:r>
    </w:p>
    <w:p w14:paraId="79B75B4C" w14:textId="77777777" w:rsidR="0097119C" w:rsidRPr="002024DD" w:rsidRDefault="0097119C" w:rsidP="0097119C">
      <w:pPr>
        <w:pStyle w:val="1"/>
      </w:pPr>
      <w:r w:rsidRPr="002024DD">
        <w:t>5.</w:t>
      </w:r>
      <w:r w:rsidRPr="002024DD">
        <w:tab/>
        <w:t>untested bulls traveling to a trichomoniasis quarantine facility with an official permit or quarantine notice.</w:t>
      </w:r>
    </w:p>
    <w:p w14:paraId="0A366D58" w14:textId="77777777" w:rsidR="0097119C" w:rsidRPr="002024DD" w:rsidRDefault="0097119C" w:rsidP="0097119C">
      <w:pPr>
        <w:pStyle w:val="A"/>
      </w:pPr>
      <w:r w:rsidRPr="002024DD">
        <w:t>B.</w:t>
      </w:r>
      <w:r w:rsidRPr="002024DD">
        <w:tab/>
        <w:t>Every bull required to be accompanied by a negative test result shall be tested no later than 60 days prior to being moved into the state or the date of transfer, except for bulls that are in a trichomoniasis-free certification program or a semen certification program recognized by the state veterinarian. Such bulls must not have commingled with breeding females within 60 days from the date the lab reported the sample.</w:t>
      </w:r>
      <w:r w:rsidRPr="002024DD">
        <w:rPr>
          <w:b/>
        </w:rPr>
        <w:t xml:space="preserve"> </w:t>
      </w:r>
    </w:p>
    <w:p w14:paraId="650D90D3" w14:textId="77777777" w:rsidR="0097119C" w:rsidRPr="002024DD" w:rsidRDefault="0097119C" w:rsidP="0097119C">
      <w:pPr>
        <w:pStyle w:val="A"/>
      </w:pPr>
      <w:r w:rsidRPr="002024DD">
        <w:t>C.</w:t>
      </w:r>
      <w:r w:rsidRPr="002024DD">
        <w:tab/>
        <w:t xml:space="preserve">Every bull moved into this state and every bull within this state which is transferred from one person or entity to another shall have official animal identification. This requirement does not apply to bulls going directly to slaughter or to bulls being sold to go directly to slaughter. </w:t>
      </w:r>
    </w:p>
    <w:p w14:paraId="5479CFE9" w14:textId="77777777" w:rsidR="0097119C" w:rsidRPr="002024DD" w:rsidRDefault="0097119C" w:rsidP="0097119C">
      <w:pPr>
        <w:pStyle w:val="A"/>
      </w:pPr>
      <w:r w:rsidRPr="002024DD">
        <w:t>D.</w:t>
      </w:r>
      <w:r w:rsidRPr="002024DD">
        <w:tab/>
        <w:t>The requirements for testing cattle for trichomoniasis are as follows.</w:t>
      </w:r>
    </w:p>
    <w:p w14:paraId="6029EEA4" w14:textId="77777777" w:rsidR="0097119C" w:rsidRPr="002024DD" w:rsidRDefault="0097119C" w:rsidP="0097119C">
      <w:pPr>
        <w:pStyle w:val="1"/>
      </w:pPr>
      <w:r w:rsidRPr="002024DD">
        <w:t>1.</w:t>
      </w:r>
      <w:r w:rsidRPr="002024DD">
        <w:tab/>
        <w:t>All test samples shall be drawn by a Category II accredited veterinarian.</w:t>
      </w:r>
    </w:p>
    <w:p w14:paraId="43B4F0FB" w14:textId="77777777" w:rsidR="0097119C" w:rsidRPr="002024DD" w:rsidRDefault="0097119C" w:rsidP="0097119C">
      <w:pPr>
        <w:pStyle w:val="1"/>
      </w:pPr>
      <w:r w:rsidRPr="002024DD">
        <w:t>2.</w:t>
      </w:r>
      <w:r w:rsidRPr="002024DD">
        <w:tab/>
        <w:t xml:space="preserve">The official test for </w:t>
      </w:r>
      <w:r w:rsidRPr="002024DD">
        <w:rPr>
          <w:i/>
        </w:rPr>
        <w:t xml:space="preserve">trichomoniasis </w:t>
      </w:r>
      <w:r w:rsidRPr="002024DD">
        <w:t xml:space="preserve">shall be one negative PCR for </w:t>
      </w:r>
      <w:r w:rsidRPr="002024DD">
        <w:rPr>
          <w:i/>
        </w:rPr>
        <w:t>Trichomonas foetus</w:t>
      </w:r>
      <w:r w:rsidRPr="002024DD">
        <w:t xml:space="preserve"> that is performed at an NAHLN-approved laboratory. Pooled tests are not considered official tests in Louisiana;</w:t>
      </w:r>
    </w:p>
    <w:p w14:paraId="0F8D9A23" w14:textId="77777777" w:rsidR="0097119C" w:rsidRPr="002024DD" w:rsidRDefault="0097119C" w:rsidP="0097119C">
      <w:pPr>
        <w:pStyle w:val="1"/>
      </w:pPr>
      <w:r w:rsidRPr="002024DD">
        <w:t>3.</w:t>
      </w:r>
      <w:r w:rsidRPr="002024DD">
        <w:tab/>
        <w:t>Test results indicating that the tested animal has trichomoniasis (hereinafter referred to as “positive test results” or “testing positive”) shall immediately cause the tested animal to be classified as trichomoniasis-infected and subject to the restrictions of this Subchapter.</w:t>
      </w:r>
    </w:p>
    <w:p w14:paraId="465EF918" w14:textId="77777777" w:rsidR="0097119C" w:rsidRPr="002024DD" w:rsidRDefault="0097119C" w:rsidP="0097119C">
      <w:pPr>
        <w:pStyle w:val="1"/>
      </w:pPr>
      <w:r w:rsidRPr="002024DD">
        <w:t>4.</w:t>
      </w:r>
      <w:r w:rsidRPr="002024DD">
        <w:tab/>
        <w:t xml:space="preserve">For trichomoniasis-positive bulls to be reclassified as negative or non-infected, two additional negative PCR tests must be obtained. The request for the confirmatory testing must be made to the </w:t>
      </w:r>
      <w:bookmarkStart w:id="2006" w:name="_Hlk113542281"/>
      <w:r w:rsidRPr="002024DD">
        <w:t xml:space="preserve">state veterinarian </w:t>
      </w:r>
      <w:bookmarkEnd w:id="2006"/>
      <w:r w:rsidRPr="002024DD">
        <w:t>within 5 business days of notification of the positive test result. Samples for retesting must be drawn a minimum of 7 days apart and must be submitted to the LADDL for testing.</w:t>
      </w:r>
    </w:p>
    <w:p w14:paraId="4486F964" w14:textId="77777777" w:rsidR="0097119C" w:rsidRPr="002024DD" w:rsidRDefault="0097119C" w:rsidP="0097119C">
      <w:pPr>
        <w:pStyle w:val="a0"/>
      </w:pPr>
      <w:r w:rsidRPr="002024DD">
        <w:t>a.</w:t>
      </w:r>
      <w:r w:rsidRPr="002024DD">
        <w:tab/>
        <w:t xml:space="preserve">If the confirming tests are negative, then the tested animal is considered negative for trichomoniasis and may be moved as such. </w:t>
      </w:r>
    </w:p>
    <w:p w14:paraId="091A4BD8" w14:textId="77777777" w:rsidR="0097119C" w:rsidRPr="002024DD" w:rsidRDefault="0097119C" w:rsidP="0097119C">
      <w:pPr>
        <w:pStyle w:val="a0"/>
      </w:pPr>
      <w:r w:rsidRPr="002024DD">
        <w:t>b.</w:t>
      </w:r>
      <w:r w:rsidRPr="002024DD">
        <w:tab/>
        <w:t>If either of the confirming tests reveal a positive result, then the tested animal shall be classified as trichomoniasis-positive and is subject to the restrictions for trichomoniasis-positive animals set forth in this Subchapter.</w:t>
      </w:r>
    </w:p>
    <w:p w14:paraId="50DC6121" w14:textId="77777777" w:rsidR="0097119C" w:rsidRPr="002024DD" w:rsidRDefault="0097119C" w:rsidP="0097119C">
      <w:pPr>
        <w:pStyle w:val="1"/>
      </w:pPr>
      <w:r w:rsidRPr="002024DD">
        <w:t>5.</w:t>
      </w:r>
      <w:r w:rsidRPr="002024DD">
        <w:tab/>
        <w:t xml:space="preserve">A bull tested for trichomoniasis shall be kept separate from female cattle at all times during the entire test period from the sample collection until receipt of the results from the initial test. A bull testing negative on the initial test shall be kept separate from all female cattle prior to change of possession. If a bull has been commingled with female cattle, all official tests for trichomoniasis prior to the commingling are invalid. </w:t>
      </w:r>
    </w:p>
    <w:p w14:paraId="318709A7" w14:textId="77777777" w:rsidR="0097119C" w:rsidRPr="002024DD" w:rsidRDefault="0097119C" w:rsidP="0097119C">
      <w:pPr>
        <w:pStyle w:val="1"/>
      </w:pPr>
      <w:r w:rsidRPr="002024DD">
        <w:t>6.</w:t>
      </w:r>
      <w:r w:rsidRPr="002024DD">
        <w:tab/>
        <w:t>All test results for trichomoniasis, whether negative or positive, shall be reported to the state veterinarian within 24 hours after receipt of the results.</w:t>
      </w:r>
    </w:p>
    <w:p w14:paraId="248A1D44" w14:textId="77777777" w:rsidR="0097119C" w:rsidRPr="002024DD" w:rsidRDefault="0097119C" w:rsidP="0097119C">
      <w:pPr>
        <w:pStyle w:val="1"/>
      </w:pPr>
      <w:r w:rsidRPr="002024DD">
        <w:t>7.</w:t>
      </w:r>
      <w:r w:rsidRPr="002024DD">
        <w:tab/>
        <w:t xml:space="preserve">When a positive test result is received, the attending veterinarian shall consult with the state veterinarian on the first business day after receipt of the test results to determine a plan of action regarding the animal testing positive. </w:t>
      </w:r>
    </w:p>
    <w:p w14:paraId="61918C1F" w14:textId="77777777" w:rsidR="0097119C" w:rsidRPr="002024DD" w:rsidRDefault="0097119C" w:rsidP="0097119C">
      <w:pPr>
        <w:pStyle w:val="A"/>
      </w:pPr>
      <w:r w:rsidRPr="002024DD">
        <w:t>E.</w:t>
      </w:r>
      <w:r w:rsidRPr="002024DD">
        <w:tab/>
        <w:t>Bulls that are required to be tested for trichomoniasis prior to being moved into this state or prior to being transferred from one person to another but which have not been tested, shall be kept separate from female cattle over 12 months of age until a negative result is obtained.</w:t>
      </w:r>
    </w:p>
    <w:p w14:paraId="27B979F9" w14:textId="77777777" w:rsidR="0097119C" w:rsidRPr="002024DD" w:rsidRDefault="0097119C" w:rsidP="0097119C">
      <w:pPr>
        <w:pStyle w:val="A"/>
      </w:pPr>
      <w:r w:rsidRPr="002024DD">
        <w:t>F.</w:t>
      </w:r>
      <w:r w:rsidRPr="002024DD">
        <w:tab/>
        <w:t xml:space="preserve">A bull being moved directly to slaughter or sold to go directly to slaughter may be comingled with breedable-type cattle also being moved directly to slaughter or being sold to go direct to slaughter. </w:t>
      </w:r>
    </w:p>
    <w:p w14:paraId="118910D7" w14:textId="77777777" w:rsidR="0097119C" w:rsidRPr="002024DD" w:rsidRDefault="0097119C" w:rsidP="0097119C">
      <w:pPr>
        <w:pStyle w:val="A"/>
      </w:pPr>
      <w:r w:rsidRPr="002024DD">
        <w:rPr>
          <w:lang w:eastAsia="x-none"/>
        </w:rPr>
        <w:t>G.</w:t>
      </w:r>
      <w:r w:rsidRPr="002024DD">
        <w:rPr>
          <w:lang w:eastAsia="x-none"/>
        </w:rPr>
        <w:tab/>
      </w:r>
      <w:r w:rsidRPr="002024DD">
        <w:t>Bulls classified as trichomoniasis-infected are subject to the following restrictions:</w:t>
      </w:r>
    </w:p>
    <w:p w14:paraId="5257B13E" w14:textId="77777777" w:rsidR="0097119C" w:rsidRPr="002024DD" w:rsidRDefault="0097119C" w:rsidP="0097119C">
      <w:pPr>
        <w:pStyle w:val="1"/>
      </w:pPr>
      <w:r w:rsidRPr="002024DD">
        <w:t>1.</w:t>
      </w:r>
      <w:r w:rsidRPr="002024DD">
        <w:tab/>
        <w:t xml:space="preserve">no known trichomoniasis-infected bull shall be moved into or within this state or transferred within this state from one person to another, unless the bull is going directly to slaughter or sold to go directly to slaughter; </w:t>
      </w:r>
    </w:p>
    <w:p w14:paraId="093766A7" w14:textId="77777777" w:rsidR="0097119C" w:rsidRPr="002024DD" w:rsidRDefault="0097119C" w:rsidP="0097119C">
      <w:pPr>
        <w:pStyle w:val="1"/>
      </w:pPr>
      <w:r w:rsidRPr="002024DD">
        <w:lastRenderedPageBreak/>
        <w:t>2.</w:t>
      </w:r>
      <w:r w:rsidRPr="002024DD">
        <w:tab/>
        <w:t>no known trichomoniasis-infected bull, whether being moved into or within this state, shall be used for breeding purposes and shall be kept separate from female cattle, from the time the first positive test result is received;</w:t>
      </w:r>
    </w:p>
    <w:p w14:paraId="2D69C0F4" w14:textId="77777777" w:rsidR="0097119C" w:rsidRPr="002024DD" w:rsidRDefault="0097119C" w:rsidP="0097119C">
      <w:pPr>
        <w:pStyle w:val="1"/>
      </w:pPr>
      <w:r w:rsidRPr="002024DD">
        <w:t>3.</w:t>
      </w:r>
      <w:r w:rsidRPr="002024DD">
        <w:tab/>
        <w:t xml:space="preserve">a </w:t>
      </w:r>
      <w:r w:rsidRPr="002024DD">
        <w:rPr>
          <w:lang w:eastAsia="x-none"/>
        </w:rPr>
        <w:t>trichomoniasis-infected</w:t>
      </w:r>
      <w:r w:rsidRPr="002024DD">
        <w:t xml:space="preserve"> bull shall be moved directly to slaughter or sold to go directly to slaughter within</w:t>
      </w:r>
      <w:r>
        <w:t xml:space="preserve"> </w:t>
      </w:r>
      <w:r w:rsidRPr="002024DD">
        <w:t>30 days from receipt of the positive results of the original test or the results of the confirming test, whichever is later, unless otherwise specified by the state veterinarian; and</w:t>
      </w:r>
    </w:p>
    <w:p w14:paraId="4D1C1187" w14:textId="77777777" w:rsidR="0097119C" w:rsidRPr="002024DD" w:rsidRDefault="0097119C" w:rsidP="0097119C">
      <w:pPr>
        <w:pStyle w:val="1"/>
      </w:pPr>
      <w:r w:rsidRPr="002024DD">
        <w:t>4.</w:t>
      </w:r>
      <w:r w:rsidRPr="002024DD">
        <w:tab/>
        <w:t xml:space="preserve">a </w:t>
      </w:r>
      <w:r w:rsidRPr="002024DD">
        <w:rPr>
          <w:lang w:eastAsia="x-none"/>
        </w:rPr>
        <w:t xml:space="preserve">trichomoniasis-infected </w:t>
      </w:r>
      <w:r w:rsidRPr="002024DD">
        <w:t xml:space="preserve">bull may be moved only after a USDA form VS 1-27 permit is issued by the state veterinarian, or the state veterinarian’s representative. The VS 1-27 permit shall accompany the bull upon movement of the animal. </w:t>
      </w:r>
    </w:p>
    <w:p w14:paraId="48D94D6C" w14:textId="77777777" w:rsidR="0097119C" w:rsidRDefault="0097119C" w:rsidP="0097119C">
      <w:pPr>
        <w:pStyle w:val="A"/>
      </w:pPr>
      <w:r w:rsidRPr="002024DD">
        <w:t>H.</w:t>
      </w:r>
      <w:r w:rsidRPr="002024DD">
        <w:tab/>
        <w:t>If a trichomoniasis-infected bull has been in a herd with female cattle, then the infected bull and the other bulls in the herd, are subject to the following requirements.</w:t>
      </w:r>
    </w:p>
    <w:p w14:paraId="537BF8DB" w14:textId="77777777" w:rsidR="0097119C" w:rsidRPr="002024DD" w:rsidRDefault="0097119C" w:rsidP="0097119C">
      <w:pPr>
        <w:pStyle w:val="1"/>
      </w:pPr>
      <w:r w:rsidRPr="002024DD">
        <w:t>1.</w:t>
      </w:r>
      <w:r w:rsidRPr="002024DD">
        <w:tab/>
        <w:t>The trichomoniasis-infected bull shall be immediately separated from the herd and all other bulls in the herd and shall be moved or transferred only as allowed by this Section.</w:t>
      </w:r>
    </w:p>
    <w:p w14:paraId="5606D47B" w14:textId="77777777" w:rsidR="0097119C" w:rsidRPr="002024DD" w:rsidRDefault="0097119C" w:rsidP="0097119C">
      <w:pPr>
        <w:pStyle w:val="1"/>
      </w:pPr>
      <w:r w:rsidRPr="002024DD">
        <w:t>2.</w:t>
      </w:r>
      <w:r w:rsidRPr="002024DD">
        <w:tab/>
        <w:t>If there is any other bull or bulls in the herd, then those bulls shall be immediately separated from, and kept separate from, all female cattle.</w:t>
      </w:r>
    </w:p>
    <w:p w14:paraId="5F12543D" w14:textId="77777777" w:rsidR="0097119C" w:rsidRPr="002024DD" w:rsidRDefault="0097119C" w:rsidP="0097119C">
      <w:pPr>
        <w:pStyle w:val="1"/>
      </w:pPr>
      <w:r w:rsidRPr="002024DD">
        <w:t>3.</w:t>
      </w:r>
      <w:r w:rsidRPr="002024DD">
        <w:tab/>
        <w:t>Each bull shall be tested for trichomoniasis within 30 days from separation from all female cattle. Test samples shall not be pooled.</w:t>
      </w:r>
    </w:p>
    <w:p w14:paraId="5D369508" w14:textId="77777777" w:rsidR="0097119C" w:rsidRPr="002024DD" w:rsidRDefault="0097119C" w:rsidP="0097119C">
      <w:pPr>
        <w:pStyle w:val="1"/>
      </w:pPr>
      <w:r w:rsidRPr="002024DD">
        <w:t>4.</w:t>
      </w:r>
      <w:r w:rsidRPr="002024DD">
        <w:tab/>
        <w:t xml:space="preserve">A bull testing negative in an infected herd shall be immediately removed from all other bulls that have not been tested, or for which the test results have not been received, and shall have one additional official test with negative results, for a total of two negative tests, to be considered negative for trichomoniasis. The additional official test sample shall be drawn a minimum of seven days from the original test and must be submitted to LADDL for testing. </w:t>
      </w:r>
    </w:p>
    <w:p w14:paraId="12002AD4" w14:textId="77777777" w:rsidR="0097119C" w:rsidRPr="002024DD" w:rsidRDefault="0097119C" w:rsidP="0097119C">
      <w:pPr>
        <w:pStyle w:val="1"/>
      </w:pPr>
      <w:r w:rsidRPr="002024DD">
        <w:t>5.</w:t>
      </w:r>
      <w:r w:rsidRPr="002024DD">
        <w:tab/>
        <w:t xml:space="preserve">Bulls testing positive in an infected herd may be retested but shall have two additional negative PCR tests to be reclassified as negative or non-infected bulls and the request for the confirmatory testing must be made to the state veterinarian within five business days of notification of the positive test result. Samples for retesting shall be drawn a minimum of seven days apart and shall be submitted to the LADDL for testing. </w:t>
      </w:r>
    </w:p>
    <w:p w14:paraId="2B77AF1B" w14:textId="77777777" w:rsidR="0097119C" w:rsidRPr="002024DD" w:rsidRDefault="0097119C" w:rsidP="0097119C">
      <w:pPr>
        <w:pStyle w:val="a0"/>
      </w:pPr>
      <w:r>
        <w:t>a.</w:t>
      </w:r>
      <w:r>
        <w:tab/>
      </w:r>
      <w:r w:rsidRPr="002024DD">
        <w:t>If the confirming tests are negative, then the tested animal is considered negative for trichomoniasis and may be moved as such.</w:t>
      </w:r>
    </w:p>
    <w:p w14:paraId="2985591B" w14:textId="77777777" w:rsidR="0097119C" w:rsidRPr="002024DD" w:rsidRDefault="0097119C" w:rsidP="0097119C">
      <w:pPr>
        <w:pStyle w:val="a0"/>
      </w:pPr>
      <w:r>
        <w:t>b.</w:t>
      </w:r>
      <w:r>
        <w:tab/>
      </w:r>
      <w:r w:rsidRPr="002024DD">
        <w:t>If either of the confirming tests reveal a positive result, then the tested animal shall be classified as trichomoniasis-infected and subject to the restrictions for trichomoniasis-infected animals set forth in this Subchapter.</w:t>
      </w:r>
    </w:p>
    <w:p w14:paraId="7BB8206B" w14:textId="77777777" w:rsidR="0097119C" w:rsidRPr="002024DD" w:rsidRDefault="0097119C" w:rsidP="0097119C">
      <w:pPr>
        <w:pStyle w:val="A"/>
      </w:pPr>
      <w:r>
        <w:t>I.</w:t>
      </w:r>
      <w:r>
        <w:tab/>
      </w:r>
      <w:r w:rsidRPr="002024DD">
        <w:t xml:space="preserve">A trichomoniasis infected herd is a herd known to contain or have contained a trichomoniasis infected bull or cow. If a virgin bull or bull that has tested negative for trichomoniasis is commingled with female cattle from a </w:t>
      </w:r>
      <w:r w:rsidRPr="002024DD">
        <w:t>trichomoniasis-infected herd, then the virgin bull or bull with a negative test result</w:t>
      </w:r>
      <w:r w:rsidRPr="002024DD">
        <w:rPr>
          <w:strike/>
        </w:rPr>
        <w:t>s</w:t>
      </w:r>
      <w:r w:rsidRPr="002024DD">
        <w:t xml:space="preserve"> shall be tested twice for and found to be free of trichomoniasis as set forth in this Subchapter before being moved, placed into another herd, or transferred from one person to another.</w:t>
      </w:r>
    </w:p>
    <w:p w14:paraId="61C0B13D" w14:textId="77777777" w:rsidR="0097119C" w:rsidRPr="002024DD" w:rsidRDefault="0097119C" w:rsidP="0097119C">
      <w:pPr>
        <w:pStyle w:val="A"/>
      </w:pPr>
      <w:r w:rsidRPr="002024DD">
        <w:rPr>
          <w:lang w:eastAsia="x-none"/>
        </w:rPr>
        <w:t>J.</w:t>
      </w:r>
      <w:r>
        <w:rPr>
          <w:lang w:eastAsia="x-none"/>
        </w:rPr>
        <w:tab/>
      </w:r>
      <w:r w:rsidRPr="002024DD">
        <w:t xml:space="preserve"> A cow is not required to be tested for trichomoniasis before being moved into this state or transferred from one person to another; but if a cow is tested then the same procedure set forth in this Section for testing a bull shall apply to testing a cow. </w:t>
      </w:r>
    </w:p>
    <w:p w14:paraId="385C617A" w14:textId="77777777" w:rsidR="0097119C" w:rsidRPr="002024DD" w:rsidRDefault="0097119C" w:rsidP="0097119C">
      <w:pPr>
        <w:pStyle w:val="A"/>
      </w:pPr>
      <w:r w:rsidRPr="002024DD">
        <w:t>K.</w:t>
      </w:r>
      <w:r w:rsidRPr="002024DD">
        <w:tab/>
        <w:t>A cow testing positive for trichomoniasis shall be subject to the following restrictions.</w:t>
      </w:r>
    </w:p>
    <w:p w14:paraId="4B1469E0" w14:textId="77777777" w:rsidR="0097119C" w:rsidRPr="002024DD" w:rsidRDefault="0097119C" w:rsidP="0097119C">
      <w:pPr>
        <w:pStyle w:val="1"/>
      </w:pPr>
      <w:r w:rsidRPr="002024DD">
        <w:t>1.</w:t>
      </w:r>
      <w:r w:rsidRPr="002024DD">
        <w:tab/>
        <w:t>A cow testing positive for trichomoniasis shall not be moved into this state, except to go directly to slaughter or sold to go directly to slaughter.</w:t>
      </w:r>
    </w:p>
    <w:p w14:paraId="692E8712" w14:textId="77777777" w:rsidR="0097119C" w:rsidRPr="002024DD" w:rsidRDefault="0097119C" w:rsidP="0097119C">
      <w:pPr>
        <w:pStyle w:val="1"/>
      </w:pPr>
      <w:r w:rsidRPr="002024DD">
        <w:t>2.</w:t>
      </w:r>
      <w:r w:rsidRPr="002024DD">
        <w:tab/>
        <w:t>A cow within this state that has tested positive for trichomoniasis shall be immediately separated from, and kept separate from, all bulls.</w:t>
      </w:r>
    </w:p>
    <w:p w14:paraId="3900AF6E" w14:textId="77777777" w:rsidR="0097119C" w:rsidRPr="002024DD" w:rsidRDefault="0097119C" w:rsidP="0097119C">
      <w:pPr>
        <w:pStyle w:val="a0"/>
      </w:pPr>
      <w:r w:rsidRPr="002024DD">
        <w:t>a.</w:t>
      </w:r>
      <w:r w:rsidRPr="002024DD">
        <w:tab/>
        <w:t xml:space="preserve">The cow shall be moved directly to slaughter or sold to go directly to slaughter within 30 days from receipt of the positive result of the original test or the confirmatory test, whichever is later, unless placed under a quarantine program approved by the </w:t>
      </w:r>
      <w:bookmarkStart w:id="2007" w:name="_Hlk113543551"/>
      <w:r w:rsidRPr="002024DD">
        <w:t>state veterinarian.</w:t>
      </w:r>
      <w:bookmarkEnd w:id="2007"/>
    </w:p>
    <w:p w14:paraId="6A56EC65" w14:textId="77777777" w:rsidR="0097119C" w:rsidRPr="002024DD" w:rsidRDefault="0097119C" w:rsidP="0097119C">
      <w:pPr>
        <w:pStyle w:val="a0"/>
      </w:pPr>
      <w:r w:rsidRPr="002024DD">
        <w:t>b.</w:t>
      </w:r>
      <w:r w:rsidRPr="002024DD">
        <w:tab/>
        <w:t>If the cow is quarantined, it may not be removed from quarantine until released in writing by the state veterinarian. The cow may be released from quarantine only by an order from the state veterinarian or the state veterinarian’s representative if the cow is subsequently tested in accordance with the procedures set forth in this Subchapter and found to be free from trichomoniasis, or if the cow is to be moved directly to slaughter or sold to go directly to slaughter.</w:t>
      </w:r>
    </w:p>
    <w:p w14:paraId="23B7CBF0" w14:textId="77777777" w:rsidR="0097119C" w:rsidRPr="002024DD" w:rsidRDefault="0097119C" w:rsidP="0097119C">
      <w:pPr>
        <w:pStyle w:val="1"/>
      </w:pPr>
      <w:r w:rsidRPr="002024DD">
        <w:t>3.</w:t>
      </w:r>
      <w:r w:rsidRPr="002024DD">
        <w:tab/>
        <w:t xml:space="preserve">A trichomoniasis-infected cow may be moved only after a VS 1-27 permit is issued by the state veterinarian, or the state veterinarian’s representative. The VS 1-27 permit shall accompany the cow upon movement. </w:t>
      </w:r>
    </w:p>
    <w:p w14:paraId="5D178995" w14:textId="62F8CAC0" w:rsidR="005A46E7" w:rsidRPr="00A1145E" w:rsidRDefault="0097119C" w:rsidP="0097119C">
      <w:pPr>
        <w:pStyle w:val="A"/>
      </w:pPr>
      <w:r w:rsidRPr="002024DD">
        <w:t>L.</w:t>
      </w:r>
      <w:r w:rsidRPr="002024DD">
        <w:tab/>
      </w:r>
      <w:r w:rsidR="00896CC7" w:rsidRPr="000B260D">
        <w:t>The state veterinarian may grant a written exception or variance to the provisions of this Subchapter, with such conditions as the state veterinarian deems appropriate, if such action is necessary to provide for unforeseen situations or circumstances. Any exception or variance shall balance the need to protect cattle from trichomoniasis with the need to allow cattle to move in commerce</w:t>
      </w:r>
      <w:r w:rsidRPr="002024DD">
        <w:t>.</w:t>
      </w:r>
      <w:r w:rsidR="005A46E7" w:rsidRPr="00A1145E">
        <w:t xml:space="preserve"> </w:t>
      </w:r>
    </w:p>
    <w:p w14:paraId="6B05F956" w14:textId="77777777" w:rsidR="005A46E7" w:rsidRPr="00A1145E" w:rsidRDefault="005A46E7" w:rsidP="005A46E7">
      <w:pPr>
        <w:pStyle w:val="AuthorityNote"/>
      </w:pPr>
      <w:r w:rsidRPr="00A1145E">
        <w:t>AUTHORITY NOTE:</w:t>
      </w:r>
      <w:r w:rsidRPr="00A1145E">
        <w:tab/>
        <w:t>Promulgated in accordance with R.S. 3:2093, 3:2095, and 3:2097.</w:t>
      </w:r>
    </w:p>
    <w:p w14:paraId="5F3B3AC5" w14:textId="20CC406C" w:rsidR="005A46E7" w:rsidRDefault="005A46E7" w:rsidP="005A46E7">
      <w:pPr>
        <w:pStyle w:val="HistoricalNote"/>
      </w:pPr>
      <w:r w:rsidRPr="00A1145E">
        <w:t>HISTORICAL NOTE:</w:t>
      </w:r>
      <w:r w:rsidRPr="00A1145E">
        <w:tab/>
      </w:r>
      <w:r w:rsidR="00D943FE" w:rsidRPr="001531CD">
        <w:t>Promulgated by the Department of Agriculture and Forestry, Board of Animal Health, LR 35:1466 (August 2009), amended LR 36:2518 (November 2010)</w:t>
      </w:r>
      <w:r w:rsidRPr="00A1145E">
        <w:t xml:space="preserve">, repromulgated by the Department of Agriculture and Forestry, </w:t>
      </w:r>
      <w:r w:rsidR="007356F4">
        <w:t>Office of Animal Health and Food Safety and the Board of Animal Health,</w:t>
      </w:r>
      <w:r w:rsidRPr="00A1145E">
        <w:t xml:space="preserve"> LR </w:t>
      </w:r>
      <w:r>
        <w:t>40:958 (May 2014</w:t>
      </w:r>
      <w:r w:rsidR="0097119C" w:rsidRPr="002024DD">
        <w:t xml:space="preserve">), </w:t>
      </w:r>
      <w:r w:rsidR="0097119C">
        <w:t>LR 49:237 (February 2023)</w:t>
      </w:r>
      <w:r w:rsidR="00896CC7">
        <w:t xml:space="preserve">, </w:t>
      </w:r>
      <w:r w:rsidR="00896CC7" w:rsidRPr="000B260D">
        <w:t xml:space="preserve">amended </w:t>
      </w:r>
      <w:r w:rsidR="00896CC7">
        <w:t>LR 51:1823 (November 2025).</w:t>
      </w:r>
    </w:p>
    <w:p w14:paraId="7E4A925F" w14:textId="77777777" w:rsidR="0097119C" w:rsidRPr="00B3579C" w:rsidRDefault="0097119C" w:rsidP="0097119C">
      <w:pPr>
        <w:pStyle w:val="Section"/>
      </w:pPr>
      <w:bookmarkStart w:id="2008" w:name="_Toc224819110"/>
      <w:r w:rsidRPr="00B3579C">
        <w:t>§752.</w:t>
      </w:r>
      <w:r w:rsidRPr="00B3579C">
        <w:tab/>
        <w:t>Trichomoniasis Quarantine Facility</w:t>
      </w:r>
      <w:bookmarkEnd w:id="2008"/>
    </w:p>
    <w:p w14:paraId="0DDE3B8E" w14:textId="77777777" w:rsidR="0097119C" w:rsidRPr="002024DD" w:rsidRDefault="0097119C" w:rsidP="0097119C">
      <w:pPr>
        <w:pStyle w:val="A"/>
      </w:pPr>
      <w:r w:rsidRPr="002024DD">
        <w:t>A.</w:t>
      </w:r>
      <w:r w:rsidRPr="002024DD">
        <w:tab/>
        <w:t xml:space="preserve">Permit Required. No person may operate a trichomoniasis quarantine facility without first obtaining a </w:t>
      </w:r>
      <w:r w:rsidRPr="002024DD">
        <w:lastRenderedPageBreak/>
        <w:t>permit from the Board of Animal Health. Approval for a trichomoniasis quarantine facility may be given after initial inspection by an authorized agent of the board. The purpose of a facility shall be to hold bulls being moved into this state or being sold in this state until they can be tested for trichomoniasis.</w:t>
      </w:r>
    </w:p>
    <w:p w14:paraId="219F5F93" w14:textId="77777777" w:rsidR="0097119C" w:rsidRPr="002024DD" w:rsidRDefault="0097119C" w:rsidP="0097119C">
      <w:pPr>
        <w:pStyle w:val="A"/>
      </w:pPr>
      <w:r w:rsidRPr="002024DD">
        <w:t>B.</w:t>
      </w:r>
      <w:r w:rsidRPr="002024DD">
        <w:tab/>
        <w:t>A trichomoniasis quarantine facility shall meet the following requirements:</w:t>
      </w:r>
    </w:p>
    <w:p w14:paraId="7A224B96" w14:textId="77777777" w:rsidR="0097119C" w:rsidRPr="002024DD" w:rsidRDefault="0097119C" w:rsidP="0097119C">
      <w:pPr>
        <w:pStyle w:val="1"/>
      </w:pPr>
      <w:r w:rsidRPr="002024DD">
        <w:t>1.</w:t>
      </w:r>
      <w:r w:rsidRPr="002024DD">
        <w:tab/>
        <w:t>The fencing or railing of the facility must be of sufficient strength to keep bulls properly contained and prevent escape from the facility. There shall be no adjacent fence-line contact between quarantine bulls and female cattle.</w:t>
      </w:r>
    </w:p>
    <w:p w14:paraId="10BABABF" w14:textId="77777777" w:rsidR="0097119C" w:rsidRPr="002024DD" w:rsidRDefault="0097119C" w:rsidP="0097119C">
      <w:pPr>
        <w:pStyle w:val="1"/>
      </w:pPr>
      <w:r w:rsidRPr="002024DD">
        <w:t>2.</w:t>
      </w:r>
      <w:r w:rsidRPr="002024DD">
        <w:tab/>
        <w:t>Facility owners and operators shall generate and maintain records for a minimum of 12 months. All records shall be provided to an authorized agent of the Department upon request. The records shall in</w:t>
      </w:r>
      <w:r>
        <w:t>clude the following information.</w:t>
      </w:r>
    </w:p>
    <w:p w14:paraId="669AF199" w14:textId="77777777" w:rsidR="0097119C" w:rsidRPr="002024DD" w:rsidRDefault="0097119C" w:rsidP="0097119C">
      <w:pPr>
        <w:pStyle w:val="a0"/>
      </w:pPr>
      <w:r w:rsidRPr="002024DD">
        <w:t>a.</w:t>
      </w:r>
      <w:r w:rsidRPr="002024DD">
        <w:tab/>
        <w:t>first and last name of the seller of the animal;</w:t>
      </w:r>
    </w:p>
    <w:p w14:paraId="61336DF8" w14:textId="77777777" w:rsidR="0097119C" w:rsidRPr="002024DD" w:rsidRDefault="0097119C" w:rsidP="0097119C">
      <w:pPr>
        <w:pStyle w:val="a0"/>
      </w:pPr>
      <w:r w:rsidRPr="002024DD">
        <w:t>b.</w:t>
      </w:r>
      <w:r w:rsidRPr="002024DD">
        <w:tab/>
        <w:t xml:space="preserve">address of the seller; </w:t>
      </w:r>
    </w:p>
    <w:p w14:paraId="0D0EB8CF" w14:textId="77777777" w:rsidR="0097119C" w:rsidRPr="002024DD" w:rsidRDefault="0097119C" w:rsidP="0097119C">
      <w:pPr>
        <w:pStyle w:val="a0"/>
      </w:pPr>
      <w:r w:rsidRPr="002024DD">
        <w:t>c.</w:t>
      </w:r>
      <w:r w:rsidRPr="002024DD">
        <w:tab/>
        <w:t>first and last name of the owner of the animal;</w:t>
      </w:r>
    </w:p>
    <w:p w14:paraId="08D49E64" w14:textId="77777777" w:rsidR="0097119C" w:rsidRPr="002024DD" w:rsidRDefault="0097119C" w:rsidP="0097119C">
      <w:pPr>
        <w:pStyle w:val="a0"/>
      </w:pPr>
      <w:r w:rsidRPr="002024DD">
        <w:t>d.</w:t>
      </w:r>
      <w:r w:rsidRPr="002024DD">
        <w:tab/>
        <w:t>address of the owner;</w:t>
      </w:r>
    </w:p>
    <w:p w14:paraId="5FCD16DA" w14:textId="77777777" w:rsidR="0097119C" w:rsidRPr="002024DD" w:rsidRDefault="0097119C" w:rsidP="0097119C">
      <w:pPr>
        <w:pStyle w:val="a0"/>
      </w:pPr>
      <w:r w:rsidRPr="002024DD">
        <w:t>e.</w:t>
      </w:r>
      <w:r w:rsidRPr="002024DD">
        <w:tab/>
        <w:t>date each bull was placed into and removed from the facility;</w:t>
      </w:r>
    </w:p>
    <w:p w14:paraId="59F28FB2" w14:textId="77777777" w:rsidR="0097119C" w:rsidRPr="002024DD" w:rsidRDefault="0097119C" w:rsidP="0097119C">
      <w:pPr>
        <w:pStyle w:val="a0"/>
      </w:pPr>
      <w:r w:rsidRPr="002024DD">
        <w:t>f.</w:t>
      </w:r>
      <w:r w:rsidRPr="002024DD">
        <w:tab/>
        <w:t xml:space="preserve">official animal identification; </w:t>
      </w:r>
    </w:p>
    <w:p w14:paraId="497F8C16" w14:textId="77777777" w:rsidR="0097119C" w:rsidRPr="002024DD" w:rsidRDefault="0097119C" w:rsidP="0097119C">
      <w:pPr>
        <w:pStyle w:val="a0"/>
      </w:pPr>
      <w:r w:rsidRPr="002024DD">
        <w:t>g.</w:t>
      </w:r>
      <w:r w:rsidRPr="002024DD">
        <w:tab/>
        <w:t>trichomoniasis testing date, testing veterinarian and results; and</w:t>
      </w:r>
    </w:p>
    <w:p w14:paraId="3D2DFB76" w14:textId="77777777" w:rsidR="0097119C" w:rsidRPr="002024DD" w:rsidRDefault="0097119C" w:rsidP="0097119C">
      <w:pPr>
        <w:pStyle w:val="a0"/>
      </w:pPr>
      <w:r w:rsidRPr="002024DD">
        <w:t>h.</w:t>
      </w:r>
      <w:r w:rsidRPr="002024DD">
        <w:tab/>
        <w:t xml:space="preserve">disposition after testing, including resale date and destination. </w:t>
      </w:r>
    </w:p>
    <w:p w14:paraId="2814C50C" w14:textId="77777777" w:rsidR="0097119C" w:rsidRPr="002024DD" w:rsidRDefault="0097119C" w:rsidP="0097119C">
      <w:pPr>
        <w:pStyle w:val="A"/>
      </w:pPr>
      <w:r w:rsidRPr="002024DD">
        <w:t>C.</w:t>
      </w:r>
      <w:r w:rsidRPr="002024DD">
        <w:tab/>
        <w:t xml:space="preserve">The facility shall be inspected and approved by the state veterinarian or the state veterinarian’s representative prior to being placed into use and may be inspected thereafter as deemed necessary. </w:t>
      </w:r>
    </w:p>
    <w:p w14:paraId="3FD81568" w14:textId="77777777" w:rsidR="0097119C" w:rsidRPr="002024DD" w:rsidRDefault="0097119C" w:rsidP="0097119C">
      <w:pPr>
        <w:pStyle w:val="A"/>
      </w:pPr>
      <w:r w:rsidRPr="002024DD">
        <w:t>D.</w:t>
      </w:r>
      <w:r w:rsidRPr="002024DD">
        <w:tab/>
        <w:t xml:space="preserve">Bulls in a facility shall not be used for breeding purposes of any kind. </w:t>
      </w:r>
    </w:p>
    <w:p w14:paraId="5FBA0B86" w14:textId="29DB0CD4" w:rsidR="0097119C" w:rsidRPr="002024DD" w:rsidRDefault="0097119C" w:rsidP="0097119C">
      <w:pPr>
        <w:pStyle w:val="A"/>
      </w:pPr>
      <w:r w:rsidRPr="002024DD">
        <w:t>E.</w:t>
      </w:r>
      <w:r w:rsidRPr="002024DD">
        <w:tab/>
      </w:r>
      <w:r w:rsidR="00896CC7" w:rsidRPr="000B260D">
        <w:t>Bulls in a facility shall be tested for Trichomoniasis in accordance with this Subchapter or resold to slaughter at a USDA-approved livestock market or recognized slaughter establishment.</w:t>
      </w:r>
    </w:p>
    <w:p w14:paraId="7F58FE39" w14:textId="77777777" w:rsidR="0097119C" w:rsidRPr="002024DD" w:rsidRDefault="0097119C" w:rsidP="0097119C">
      <w:pPr>
        <w:pStyle w:val="A"/>
      </w:pPr>
      <w:r w:rsidRPr="002024DD">
        <w:t>F.</w:t>
      </w:r>
      <w:r w:rsidRPr="002024DD">
        <w:tab/>
        <w:t xml:space="preserve">A trichomoniasis quarantine facility permit may be canceled upon written notice that the operation does not meet the requirements of this Section, or when the owner or operator of such facility has been found to be in violation of a rule in this Subchapter or has been found to be in violation of any provision of Chapter 16 of Title 3 of the Louisiana Revised Statutes. </w:t>
      </w:r>
    </w:p>
    <w:p w14:paraId="141DDC27" w14:textId="77777777" w:rsidR="0097119C" w:rsidRPr="002024DD" w:rsidRDefault="0097119C" w:rsidP="0097119C">
      <w:pPr>
        <w:pStyle w:val="1"/>
      </w:pPr>
      <w:r w:rsidRPr="002024DD">
        <w:t>1.</w:t>
      </w:r>
      <w:r w:rsidRPr="002024DD">
        <w:tab/>
        <w:t>The board shall give written notice of the cancellation of a facility permit to the operator thereof.</w:t>
      </w:r>
    </w:p>
    <w:p w14:paraId="589378FE" w14:textId="77777777" w:rsidR="0097119C" w:rsidRPr="002024DD" w:rsidRDefault="0097119C" w:rsidP="0097119C">
      <w:pPr>
        <w:pStyle w:val="1"/>
      </w:pPr>
      <w:r w:rsidRPr="002024DD">
        <w:t>2.</w:t>
      </w:r>
      <w:r w:rsidRPr="002024DD">
        <w:tab/>
        <w:t xml:space="preserve">Any owner or operator of a trichomoniasis quarantine facility whose permit is canceled may appeal the cancellation thereof by written notice to the board within ten days of receipt of the notice of cancellation. Any owner or </w:t>
      </w:r>
      <w:r w:rsidRPr="002024DD">
        <w:t xml:space="preserve">operator of a facility who appeals cancellation of his permit shall be entitled to a hearing before the board. The decision of the board will be final and may be appealed to a court of competent jurisdiction in accordance with the Administrative Procedure Act, R.S. 49:961 et seq. </w:t>
      </w:r>
    </w:p>
    <w:p w14:paraId="2C958449" w14:textId="77777777" w:rsidR="0097119C" w:rsidRPr="002024DD" w:rsidRDefault="0097119C" w:rsidP="0097119C">
      <w:pPr>
        <w:pStyle w:val="A"/>
      </w:pPr>
      <w:r w:rsidRPr="002024DD">
        <w:t>G.</w:t>
      </w:r>
      <w:r w:rsidRPr="002024DD">
        <w:tab/>
        <w:t>Closure of a Trichomoniasis Quarantine Facility</w:t>
      </w:r>
    </w:p>
    <w:p w14:paraId="7F00C074" w14:textId="77777777" w:rsidR="0097119C" w:rsidRPr="002024DD" w:rsidRDefault="0097119C" w:rsidP="0097119C">
      <w:pPr>
        <w:pStyle w:val="1"/>
      </w:pPr>
      <w:r w:rsidRPr="002024DD">
        <w:t>1.</w:t>
      </w:r>
      <w:r w:rsidRPr="002024DD">
        <w:tab/>
        <w:t>Upon termination of a permit, the owner or operator shall dispose of all animals at the facility in accordance with the provisions of this Subchapter within 14 days of receipt of the notice of cancellation.</w:t>
      </w:r>
    </w:p>
    <w:p w14:paraId="5AE41D79" w14:textId="77777777" w:rsidR="0097119C" w:rsidRPr="002024DD" w:rsidRDefault="0097119C" w:rsidP="0097119C">
      <w:pPr>
        <w:pStyle w:val="AuthorityNote"/>
      </w:pPr>
      <w:r w:rsidRPr="002024DD">
        <w:t>AUTHORITY NOTE:</w:t>
      </w:r>
      <w:r w:rsidRPr="002024DD">
        <w:tab/>
        <w:t>Promulgated in accordance with R.S. 3:2093 and 3:2133.</w:t>
      </w:r>
    </w:p>
    <w:p w14:paraId="7C4B8431" w14:textId="7E7D00C0" w:rsidR="0097119C" w:rsidRPr="00A1145E" w:rsidRDefault="0097119C" w:rsidP="0097119C">
      <w:pPr>
        <w:pStyle w:val="HistoricalNote"/>
      </w:pPr>
      <w:r w:rsidRPr="002024DD">
        <w:t>HISTORICAL NOTE:</w:t>
      </w:r>
      <w:r w:rsidRPr="002024DD">
        <w:tab/>
        <w:t xml:space="preserve">Promulgated by the Department of Agriculture and Forestry, Office of Animal Health and Food Safety and the Board of Animal Health, </w:t>
      </w:r>
      <w:r>
        <w:t>LR 49:239 (February 2023)</w:t>
      </w:r>
      <w:r w:rsidR="00896CC7">
        <w:t xml:space="preserve">, </w:t>
      </w:r>
      <w:r w:rsidR="00896CC7" w:rsidRPr="000B260D">
        <w:t xml:space="preserve">amended </w:t>
      </w:r>
      <w:r w:rsidR="00896CC7">
        <w:t>LR 51:1823 (November 2025).</w:t>
      </w:r>
    </w:p>
    <w:p w14:paraId="781B58D0" w14:textId="77777777" w:rsidR="005A46E7" w:rsidRPr="00A1145E" w:rsidRDefault="005A46E7" w:rsidP="005A46E7">
      <w:pPr>
        <w:pStyle w:val="Section"/>
      </w:pPr>
      <w:bookmarkStart w:id="2009" w:name="_Toc388358287"/>
      <w:bookmarkStart w:id="2010" w:name="_Toc396115189"/>
      <w:bookmarkStart w:id="2011" w:name="_Toc411855580"/>
      <w:bookmarkStart w:id="2012" w:name="_Toc419795782"/>
      <w:bookmarkStart w:id="2013" w:name="_Toc427737170"/>
      <w:bookmarkStart w:id="2014" w:name="_Toc438546972"/>
      <w:bookmarkStart w:id="2015" w:name="_Toc446326959"/>
      <w:bookmarkStart w:id="2016" w:name="_Toc448825149"/>
      <w:bookmarkStart w:id="2017" w:name="_Toc451506193"/>
      <w:bookmarkStart w:id="2018" w:name="_Toc462212616"/>
      <w:bookmarkStart w:id="2019" w:name="_Toc468096536"/>
      <w:bookmarkStart w:id="2020" w:name="_Toc477854001"/>
      <w:bookmarkStart w:id="2021" w:name="_Toc488735945"/>
      <w:bookmarkStart w:id="2022" w:name="_Toc491176762"/>
      <w:bookmarkStart w:id="2023" w:name="_Toc509393685"/>
      <w:bookmarkStart w:id="2024" w:name="_Toc525114854"/>
      <w:bookmarkStart w:id="2025" w:name="_Toc535997251"/>
      <w:bookmarkStart w:id="2026" w:name="_Toc224819111"/>
      <w:r w:rsidRPr="00A1145E">
        <w:t>§§753-759.</w:t>
      </w:r>
      <w:r w:rsidRPr="00A1145E">
        <w:tab/>
        <w:t>Reserved</w:t>
      </w:r>
      <w:r>
        <w:t>.</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4C2B1E12" w14:textId="77777777" w:rsidR="005A46E7" w:rsidRPr="00A1145E" w:rsidRDefault="005A46E7" w:rsidP="005A46E7">
      <w:pPr>
        <w:pStyle w:val="Chapter"/>
      </w:pPr>
      <w:bookmarkStart w:id="2027" w:name="_Toc224819112"/>
      <w:r w:rsidRPr="00A1145E">
        <w:t>Subchapter F.</w:t>
      </w:r>
      <w:r w:rsidRPr="00A1145E">
        <w:tab/>
        <w:t>Slaughterhouse Requirements for Identification, Sampling, and Records</w:t>
      </w:r>
      <w:bookmarkEnd w:id="2027"/>
    </w:p>
    <w:p w14:paraId="2D2D71C8" w14:textId="77777777" w:rsidR="005A46E7" w:rsidRPr="00A1145E" w:rsidRDefault="005A46E7" w:rsidP="005A46E7">
      <w:pPr>
        <w:pStyle w:val="Section"/>
      </w:pPr>
      <w:bookmarkStart w:id="2028" w:name="_Toc256754712"/>
      <w:bookmarkStart w:id="2029" w:name="_Toc375025496"/>
      <w:bookmarkStart w:id="2030" w:name="_Toc224819113"/>
      <w:r w:rsidRPr="00A1145E">
        <w:t>§761.</w:t>
      </w:r>
      <w:r w:rsidRPr="00A1145E">
        <w:tab/>
        <w:t>Identification of Cattle with Official Backtags and the Collection of Blood Samples from Officially Backtagged Cattle at Slaughter Establishments under State or Federal Meat Inspection</w:t>
      </w:r>
      <w:bookmarkEnd w:id="2028"/>
      <w:bookmarkEnd w:id="2029"/>
      <w:r>
        <w:br/>
        <w:t>(</w:t>
      </w:r>
      <w:r w:rsidRPr="00A1145E">
        <w:t>Formerly §329</w:t>
      </w:r>
      <w:r>
        <w:t>)</w:t>
      </w:r>
      <w:bookmarkEnd w:id="2030"/>
    </w:p>
    <w:p w14:paraId="4372C5F2" w14:textId="77777777" w:rsidR="005A46E7" w:rsidRPr="00A1145E" w:rsidRDefault="005A46E7" w:rsidP="005A46E7">
      <w:pPr>
        <w:pStyle w:val="A"/>
      </w:pPr>
      <w:r w:rsidRPr="00A1145E">
        <w:t>A.</w:t>
      </w:r>
      <w:r w:rsidRPr="00A1145E">
        <w:tab/>
        <w:t>Official Backtagging of Cattle</w:t>
      </w:r>
    </w:p>
    <w:p w14:paraId="2520A8E9" w14:textId="77777777" w:rsidR="005A46E7" w:rsidRPr="00A1145E" w:rsidRDefault="005A46E7" w:rsidP="005A46E7">
      <w:pPr>
        <w:pStyle w:val="1"/>
      </w:pPr>
      <w:r w:rsidRPr="00A1145E">
        <w:t>1.</w:t>
      </w:r>
      <w:r w:rsidRPr="00A1145E">
        <w:tab/>
        <w:t>All cattle over 24 months of age that are not officially backtagged when received by a slaughter establishment under state or federal meat inspection shall be identified by official backtag, properly placed. The name and address of the consignor, and the name and address of the owner of the herd of origin, if different from that of the consignor, shall be recorded, along with the official backtag numbers, on forms provided for this purpose. A copy shall be retained by the slaughter establishment for their records; the original is to be furnished the meat inspector to accompany blood samples to the laboratory.</w:t>
      </w:r>
    </w:p>
    <w:p w14:paraId="70FCBDDF" w14:textId="77777777" w:rsidR="005A46E7" w:rsidRPr="00A1145E" w:rsidRDefault="005A46E7" w:rsidP="005A46E7">
      <w:pPr>
        <w:pStyle w:val="1"/>
      </w:pPr>
      <w:r w:rsidRPr="00A1145E">
        <w:t>2.</w:t>
      </w:r>
      <w:r w:rsidRPr="00A1145E">
        <w:tab/>
        <w:t>The slaughter establishment shall be responsible for the identification of the animals and for maintaining required records.</w:t>
      </w:r>
    </w:p>
    <w:p w14:paraId="2B0CFBF0" w14:textId="77777777" w:rsidR="005A46E7" w:rsidRPr="00A1145E" w:rsidRDefault="005A46E7" w:rsidP="005A46E7">
      <w:pPr>
        <w:pStyle w:val="1"/>
      </w:pPr>
      <w:r w:rsidRPr="00A1145E">
        <w:t>3.</w:t>
      </w:r>
      <w:r w:rsidRPr="00A1145E">
        <w:tab/>
        <w:t>Exemptions from this regulation are:</w:t>
      </w:r>
    </w:p>
    <w:p w14:paraId="2C29FDA1" w14:textId="77777777" w:rsidR="005A46E7" w:rsidRPr="00A1145E" w:rsidRDefault="005A46E7" w:rsidP="005A46E7">
      <w:pPr>
        <w:pStyle w:val="a0"/>
      </w:pPr>
      <w:r w:rsidRPr="00A1145E">
        <w:t>a.</w:t>
      </w:r>
      <w:r w:rsidRPr="00A1145E">
        <w:tab/>
        <w:t>steers and spayed females;</w:t>
      </w:r>
    </w:p>
    <w:p w14:paraId="61F3E25A" w14:textId="77777777" w:rsidR="005A46E7" w:rsidRPr="00A1145E" w:rsidRDefault="005A46E7" w:rsidP="005A46E7">
      <w:pPr>
        <w:pStyle w:val="a0"/>
      </w:pPr>
      <w:r w:rsidRPr="00A1145E">
        <w:t>b.</w:t>
      </w:r>
      <w:r w:rsidRPr="00A1145E">
        <w:tab/>
      </w:r>
      <w:r w:rsidRPr="002248D5">
        <w:rPr>
          <w:i/>
        </w:rPr>
        <w:t>Brucellosis</w:t>
      </w:r>
      <w:r w:rsidRPr="00A1145E">
        <w:t xml:space="preserve"> branded animals; or</w:t>
      </w:r>
    </w:p>
    <w:p w14:paraId="643F80DE" w14:textId="77777777" w:rsidR="005A46E7" w:rsidRPr="00A1145E" w:rsidRDefault="005A46E7" w:rsidP="005A46E7">
      <w:pPr>
        <w:pStyle w:val="a0"/>
      </w:pPr>
      <w:r w:rsidRPr="00A1145E">
        <w:t>c.</w:t>
      </w:r>
      <w:r w:rsidRPr="00A1145E">
        <w:tab/>
      </w:r>
      <w:r w:rsidRPr="002248D5">
        <w:rPr>
          <w:i/>
        </w:rPr>
        <w:t>Brucellosis</w:t>
      </w:r>
      <w:r w:rsidRPr="00A1145E">
        <w:t xml:space="preserve"> exposed ("S" branded) animals.</w:t>
      </w:r>
    </w:p>
    <w:p w14:paraId="733FAD3F" w14:textId="77777777" w:rsidR="005A46E7" w:rsidRPr="00A1145E" w:rsidRDefault="005A46E7" w:rsidP="005A46E7">
      <w:pPr>
        <w:pStyle w:val="A"/>
      </w:pPr>
      <w:r w:rsidRPr="00A1145E">
        <w:t>B.</w:t>
      </w:r>
      <w:r w:rsidRPr="00A1145E">
        <w:tab/>
        <w:t>Records. All records pertaining to the identification of the cattle, name and address of consignor and the name and address of the owner of the herd of origin, if different from that of the consignor, shall be maintained and made available to representatives of the Livestock Sanitary Board upon request.</w:t>
      </w:r>
    </w:p>
    <w:p w14:paraId="6CE6399A" w14:textId="77777777" w:rsidR="005A46E7" w:rsidRPr="00A1145E" w:rsidRDefault="005A46E7" w:rsidP="005A46E7">
      <w:pPr>
        <w:pStyle w:val="A"/>
      </w:pPr>
      <w:r w:rsidRPr="00A1145E">
        <w:lastRenderedPageBreak/>
        <w:t>C.</w:t>
      </w:r>
      <w:r w:rsidRPr="00A1145E">
        <w:tab/>
        <w:t xml:space="preserve">Blood Sample Collection. A blood sample shall be collected from each head of backtagged cattle over </w:t>
      </w:r>
      <w:r w:rsidRPr="00A1145E">
        <w:br/>
        <w:t xml:space="preserve">24 months of age, except steers, spayed females and branded </w:t>
      </w:r>
      <w:r w:rsidRPr="002248D5">
        <w:rPr>
          <w:i/>
        </w:rPr>
        <w:t>Brucellosis</w:t>
      </w:r>
      <w:r w:rsidRPr="00A1145E">
        <w:t xml:space="preserve"> reactors. State and federal meat inspection personnel shall be responsible for the collection of the blood samples; the identification of the samples; and the packaging and mailing of the blood samples, corresponding backtags and forms to the state-federal livestock diagnostic laboratory in Baton Rouge, Louisiana.</w:t>
      </w:r>
    </w:p>
    <w:p w14:paraId="573CC28E" w14:textId="77777777" w:rsidR="005A46E7" w:rsidRPr="00A1145E" w:rsidRDefault="005A46E7" w:rsidP="005A46E7">
      <w:pPr>
        <w:pStyle w:val="AuthorityNote"/>
      </w:pPr>
      <w:r w:rsidRPr="00A1145E">
        <w:t>AUTHORITY NOTE:</w:t>
      </w:r>
      <w:r w:rsidRPr="00A1145E">
        <w:tab/>
        <w:t>Promulgated in accordance with R.S. 3:2093.</w:t>
      </w:r>
    </w:p>
    <w:p w14:paraId="510093EE" w14:textId="77777777"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40:959 (May 2014).</w:t>
      </w:r>
    </w:p>
    <w:p w14:paraId="1E380334" w14:textId="77777777" w:rsidR="005A46E7" w:rsidRPr="00A1145E" w:rsidRDefault="005A46E7" w:rsidP="005A46E7">
      <w:pPr>
        <w:pStyle w:val="Chapter"/>
      </w:pPr>
      <w:bookmarkStart w:id="2031" w:name="_Toc224819114"/>
      <w:r w:rsidRPr="00A1145E">
        <w:t>Chapter 9.</w:t>
      </w:r>
      <w:r w:rsidR="004C41B8">
        <w:tab/>
      </w:r>
      <w:r w:rsidRPr="00A1145E">
        <w:tab/>
        <w:t>Horses and other Equines</w:t>
      </w:r>
      <w:r>
        <w:br/>
        <w:t>(Formerly Chapter 5)</w:t>
      </w:r>
      <w:bookmarkEnd w:id="2031"/>
    </w:p>
    <w:p w14:paraId="65DFB163" w14:textId="77777777" w:rsidR="005A46E7" w:rsidRPr="00A1145E" w:rsidRDefault="005A46E7" w:rsidP="005A46E7">
      <w:pPr>
        <w:pStyle w:val="Chapter"/>
      </w:pPr>
      <w:bookmarkStart w:id="2032" w:name="_Toc224819115"/>
      <w:r w:rsidRPr="00A1145E">
        <w:t>Subchapter A.</w:t>
      </w:r>
      <w:r w:rsidRPr="00A1145E">
        <w:tab/>
        <w:t>General Provisions</w:t>
      </w:r>
      <w:bookmarkEnd w:id="2032"/>
    </w:p>
    <w:p w14:paraId="51A51874" w14:textId="77777777" w:rsidR="005A46E7" w:rsidRPr="00A1145E" w:rsidRDefault="005A46E7" w:rsidP="005A46E7">
      <w:pPr>
        <w:pStyle w:val="Section"/>
      </w:pPr>
      <w:bookmarkStart w:id="2033" w:name="_Toc388358292"/>
      <w:bookmarkStart w:id="2034" w:name="_Toc419795787"/>
      <w:bookmarkStart w:id="2035" w:name="_Toc438546977"/>
      <w:bookmarkStart w:id="2036" w:name="_Toc446326964"/>
      <w:bookmarkStart w:id="2037" w:name="_Toc448825154"/>
      <w:bookmarkStart w:id="2038" w:name="_Toc451506198"/>
      <w:bookmarkStart w:id="2039" w:name="_Toc462212621"/>
      <w:bookmarkStart w:id="2040" w:name="_Toc468096541"/>
      <w:bookmarkStart w:id="2041" w:name="_Toc477854006"/>
      <w:bookmarkStart w:id="2042" w:name="_Toc488735950"/>
      <w:bookmarkStart w:id="2043" w:name="_Toc491176767"/>
      <w:bookmarkStart w:id="2044" w:name="_Toc509393690"/>
      <w:bookmarkStart w:id="2045" w:name="_Toc525114859"/>
      <w:bookmarkStart w:id="2046" w:name="_Toc224819116"/>
      <w:r>
        <w:t>§901.</w:t>
      </w:r>
      <w:r>
        <w:tab/>
        <w:t>Reserved.</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45A7ECC9" w14:textId="77777777" w:rsidR="005A46E7" w:rsidRPr="00A1145E" w:rsidRDefault="005A46E7" w:rsidP="005A46E7">
      <w:pPr>
        <w:pStyle w:val="Section"/>
      </w:pPr>
      <w:bookmarkStart w:id="2047" w:name="_Toc256754724"/>
      <w:bookmarkStart w:id="2048" w:name="_Toc375025509"/>
      <w:bookmarkStart w:id="2049" w:name="_Toc224819117"/>
      <w:r w:rsidRPr="00A1145E">
        <w:t>§903.</w:t>
      </w:r>
      <w:r w:rsidRPr="00A1145E">
        <w:tab/>
        <w:t>Definitions</w:t>
      </w:r>
      <w:bookmarkEnd w:id="2047"/>
      <w:bookmarkEnd w:id="2048"/>
      <w:r>
        <w:br/>
        <w:t>(</w:t>
      </w:r>
      <w:r w:rsidRPr="00A1145E">
        <w:t>Formerly §511</w:t>
      </w:r>
      <w:r>
        <w:t>)</w:t>
      </w:r>
      <w:bookmarkEnd w:id="2049"/>
    </w:p>
    <w:p w14:paraId="5633C245" w14:textId="77777777" w:rsidR="005A46E7" w:rsidRPr="00A1145E" w:rsidRDefault="004C41B8" w:rsidP="005A46E7">
      <w:pPr>
        <w:pStyle w:val="A"/>
      </w:pPr>
      <w:r w:rsidRPr="000E4182">
        <w:t>A.</w:t>
      </w:r>
      <w:r w:rsidRPr="000E4182">
        <w:tab/>
        <w:t>Wherever in these EIA rules and regulations the masculine is used, it includes the feminine and vice versa; wherever the singular is used, it includes the plural and vice versa.</w:t>
      </w:r>
    </w:p>
    <w:p w14:paraId="1AB0B672" w14:textId="77777777" w:rsidR="005A46E7" w:rsidRPr="00A1145E" w:rsidRDefault="005A46E7" w:rsidP="005A46E7">
      <w:pPr>
        <w:pStyle w:val="1"/>
      </w:pPr>
      <w:r w:rsidRPr="00A1145E">
        <w:rPr>
          <w:i/>
          <w:iCs/>
        </w:rPr>
        <w:t>Approved EIA Testing Laboratory</w:t>
      </w:r>
      <w:r w:rsidRPr="00A1145E">
        <w:t>―a laboratory which is authorized by the board to conduct the EIA test analysis on equine blood samples.</w:t>
      </w:r>
    </w:p>
    <w:p w14:paraId="0854040A" w14:textId="77777777" w:rsidR="005A46E7" w:rsidRPr="00A1145E" w:rsidRDefault="005A46E7" w:rsidP="005A46E7">
      <w:pPr>
        <w:pStyle w:val="1"/>
      </w:pPr>
      <w:r w:rsidRPr="00A1145E">
        <w:rPr>
          <w:i/>
          <w:iCs/>
        </w:rPr>
        <w:t>Board</w:t>
      </w:r>
      <w:r w:rsidRPr="00A1145E">
        <w:t>―the Louisiana State Livestock Sanitary Board.</w:t>
      </w:r>
    </w:p>
    <w:p w14:paraId="1A2BB832" w14:textId="77777777" w:rsidR="005A46E7" w:rsidRPr="00A1145E" w:rsidRDefault="005A46E7" w:rsidP="005A46E7">
      <w:pPr>
        <w:pStyle w:val="1"/>
      </w:pPr>
      <w:r w:rsidRPr="00A1145E">
        <w:rPr>
          <w:i/>
          <w:iCs/>
        </w:rPr>
        <w:t>Buyer</w:t>
      </w:r>
      <w:r w:rsidRPr="00A1145E">
        <w:t>―any person who purchases EIA positive or S branded equine for slaughter.</w:t>
      </w:r>
    </w:p>
    <w:p w14:paraId="1A46115C" w14:textId="77777777" w:rsidR="005A46E7" w:rsidRPr="00A1145E" w:rsidRDefault="005A46E7" w:rsidP="005A46E7">
      <w:pPr>
        <w:pStyle w:val="1"/>
      </w:pPr>
      <w:r w:rsidRPr="00A1145E">
        <w:rPr>
          <w:i/>
          <w:iCs/>
        </w:rPr>
        <w:t>Direct to Slaughter</w:t>
      </w:r>
      <w:r w:rsidRPr="00A1145E">
        <w:t>―for shipment or movement from the premises of origin directly to an approved slaughter establishment for the purpose of slaughter without any stopping or diversion except as is necessary or incidental to such shipment.</w:t>
      </w:r>
    </w:p>
    <w:p w14:paraId="0D14BCEF" w14:textId="77777777" w:rsidR="005A46E7" w:rsidRPr="00A1145E" w:rsidRDefault="005A46E7" w:rsidP="005A46E7">
      <w:pPr>
        <w:pStyle w:val="1"/>
      </w:pPr>
      <w:r w:rsidRPr="00A1145E">
        <w:rPr>
          <w:i/>
          <w:iCs/>
        </w:rPr>
        <w:t>EIA Negative Equine</w:t>
      </w:r>
      <w:r w:rsidRPr="00A1145E">
        <w:t>―equine that is currently tested for EIA with a negative test result in accordance with these EIA rules and regulations.</w:t>
      </w:r>
    </w:p>
    <w:p w14:paraId="6FA0CD60" w14:textId="77777777" w:rsidR="005A46E7" w:rsidRPr="00A1145E" w:rsidRDefault="004C41B8" w:rsidP="005A46E7">
      <w:pPr>
        <w:pStyle w:val="1"/>
      </w:pPr>
      <w:r w:rsidRPr="000E4182">
        <w:rPr>
          <w:i/>
          <w:iCs/>
        </w:rPr>
        <w:t>EIA Positive Equine</w:t>
      </w:r>
      <w:r>
        <w:sym w:font="Symbol" w:char="F0BE"/>
      </w:r>
      <w:r w:rsidRPr="000E4182">
        <w:t>an equine that has completed an EIA test with a positive ELISA test result, confirmed with a positive AGID test result at Louisiana Animal Disease Diagnostic Laboratory or National Veterinary Services Laboratory.</w:t>
      </w:r>
    </w:p>
    <w:p w14:paraId="06F3D0B1" w14:textId="77777777" w:rsidR="005A46E7" w:rsidRPr="00A1145E" w:rsidRDefault="005A46E7" w:rsidP="005A46E7">
      <w:pPr>
        <w:pStyle w:val="1"/>
      </w:pPr>
      <w:r w:rsidRPr="00A1145E">
        <w:rPr>
          <w:i/>
          <w:iCs/>
        </w:rPr>
        <w:t>EIA Quarantine</w:t>
      </w:r>
      <w:r w:rsidRPr="00A1145E">
        <w:t>―the secure and physical isolation of EIA positive equine, S branded equine or both in a specific confined area the perimeter of which is at all times at least 200 yards away from all other equine.</w:t>
      </w:r>
    </w:p>
    <w:p w14:paraId="5299D0AB" w14:textId="77777777" w:rsidR="005A46E7" w:rsidRPr="00A1145E" w:rsidRDefault="005A46E7" w:rsidP="005A46E7">
      <w:pPr>
        <w:pStyle w:val="1"/>
      </w:pPr>
      <w:r w:rsidRPr="00A1145E">
        <w:rPr>
          <w:i/>
          <w:iCs/>
        </w:rPr>
        <w:t>EIA Test</w:t>
      </w:r>
      <w:r w:rsidRPr="00A1145E">
        <w:t xml:space="preserve">―has the same meaning as </w:t>
      </w:r>
      <w:r w:rsidRPr="006F168C">
        <w:rPr>
          <w:i/>
        </w:rPr>
        <w:t>test for EIA</w:t>
      </w:r>
      <w:r w:rsidRPr="00A1145E">
        <w:t xml:space="preserve"> defined hereinafter.</w:t>
      </w:r>
    </w:p>
    <w:p w14:paraId="71E71D10" w14:textId="77777777" w:rsidR="005A46E7" w:rsidRPr="00A1145E" w:rsidRDefault="005A46E7" w:rsidP="005A46E7">
      <w:pPr>
        <w:pStyle w:val="1"/>
      </w:pPr>
      <w:r w:rsidRPr="00A1145E">
        <w:rPr>
          <w:i/>
          <w:iCs/>
        </w:rPr>
        <w:t>Equine</w:t>
      </w:r>
      <w:r w:rsidRPr="00A1145E">
        <w:t xml:space="preserve">―any member of the family of </w:t>
      </w:r>
      <w:r w:rsidRPr="00A1145E">
        <w:rPr>
          <w:i/>
          <w:iCs/>
        </w:rPr>
        <w:t>Equidae</w:t>
      </w:r>
      <w:r w:rsidRPr="00A1145E">
        <w:t xml:space="preserve"> including horses, mules, burros, donkeys, asses, and zebra.</w:t>
      </w:r>
    </w:p>
    <w:p w14:paraId="4A52F310" w14:textId="77777777" w:rsidR="005A46E7" w:rsidRPr="00A1145E" w:rsidRDefault="005A46E7" w:rsidP="005A46E7">
      <w:pPr>
        <w:pStyle w:val="1"/>
      </w:pPr>
      <w:r w:rsidRPr="00A1145E">
        <w:rPr>
          <w:i/>
          <w:iCs/>
        </w:rPr>
        <w:t>Equine Infectious Anemia</w:t>
      </w:r>
      <w:r w:rsidRPr="00A1145E">
        <w:t>―a contagious and infectious disease of equine caused by a lentivirus the symptoms of which can include intermittent fever, depression, weakness, edema, anemia and sometimes death. The disease is also known as swamp fever and is sometimes referred to herein as "EIA."</w:t>
      </w:r>
    </w:p>
    <w:p w14:paraId="6B437737" w14:textId="77777777" w:rsidR="005A46E7" w:rsidRPr="00A1145E" w:rsidRDefault="005A46E7" w:rsidP="005A46E7">
      <w:pPr>
        <w:pStyle w:val="1"/>
      </w:pPr>
      <w:r w:rsidRPr="00A1145E">
        <w:rPr>
          <w:i/>
          <w:iCs/>
        </w:rPr>
        <w:t>Equine Quarantined Holding Area</w:t>
      </w:r>
      <w:r w:rsidRPr="00A1145E">
        <w:t>―an area where the secure and physical isolation of only EIA positive equine, S branded equine, or both are confined, the perimeter of which provides for separating by at least 440 yards from all other equine that are not EIA positive equine, S branded equine, or both.</w:t>
      </w:r>
    </w:p>
    <w:p w14:paraId="164160FC" w14:textId="77777777" w:rsidR="005A46E7" w:rsidRPr="00A1145E" w:rsidRDefault="005A46E7" w:rsidP="005A46E7">
      <w:pPr>
        <w:pStyle w:val="1"/>
      </w:pPr>
      <w:r w:rsidRPr="00A1145E">
        <w:rPr>
          <w:i/>
          <w:iCs/>
        </w:rPr>
        <w:t>Exposure to EIA</w:t>
      </w:r>
      <w:r w:rsidRPr="00A1145E">
        <w:t>―in the presence of an EIA positive equine.</w:t>
      </w:r>
    </w:p>
    <w:p w14:paraId="65325B84" w14:textId="77777777" w:rsidR="005A46E7" w:rsidRPr="00A1145E" w:rsidRDefault="005A46E7" w:rsidP="005A46E7">
      <w:pPr>
        <w:pStyle w:val="1"/>
      </w:pPr>
      <w:r w:rsidRPr="00A1145E">
        <w:rPr>
          <w:i/>
          <w:iCs/>
        </w:rPr>
        <w:t>Foal</w:t>
      </w:r>
      <w:r w:rsidRPr="00A1145E">
        <w:t xml:space="preserve">―an equine less than </w:t>
      </w:r>
      <w:r>
        <w:t>one</w:t>
      </w:r>
      <w:r w:rsidRPr="00A1145E">
        <w:t xml:space="preserve"> year old.</w:t>
      </w:r>
    </w:p>
    <w:p w14:paraId="57EDCB17" w14:textId="77777777" w:rsidR="004C41B8" w:rsidRPr="000E4182" w:rsidRDefault="004C41B8" w:rsidP="004C41B8">
      <w:pPr>
        <w:pStyle w:val="1"/>
      </w:pPr>
      <w:r w:rsidRPr="000E4182">
        <w:rPr>
          <w:i/>
          <w:iCs/>
        </w:rPr>
        <w:t>In the Presence of</w:t>
      </w:r>
      <w:r>
        <w:sym w:font="Symbol" w:char="F0BE"/>
      </w:r>
      <w:r w:rsidRPr="000E4182">
        <w:t>coming within 200 yards of the animal or object referred to.</w:t>
      </w:r>
    </w:p>
    <w:p w14:paraId="58952006" w14:textId="77777777" w:rsidR="004C41B8" w:rsidRPr="000E4182" w:rsidRDefault="004C41B8" w:rsidP="004C41B8">
      <w:pPr>
        <w:pStyle w:val="1"/>
      </w:pPr>
      <w:r w:rsidRPr="000E4182">
        <w:rPr>
          <w:i/>
        </w:rPr>
        <w:t>Livestock Dealer</w:t>
      </w:r>
      <w:r>
        <w:sym w:font="Symbol" w:char="F0BE"/>
      </w:r>
      <w:r w:rsidRPr="000E4182">
        <w:t>any person engaged in the buying and selling of livestock permitted by the board. Any person, who buys and sells the same livestock within 30 days and has engaged in five or more purchases and/or sales of the same livestock within any 12-month period, is said to be engaged in the business of buying and selling livestock.</w:t>
      </w:r>
    </w:p>
    <w:p w14:paraId="6BFA6AE2" w14:textId="77777777" w:rsidR="005A46E7" w:rsidRPr="00A1145E" w:rsidRDefault="004C41B8" w:rsidP="004C41B8">
      <w:pPr>
        <w:pStyle w:val="1"/>
      </w:pPr>
      <w:r w:rsidRPr="000E4182">
        <w:rPr>
          <w:i/>
          <w:iCs/>
        </w:rPr>
        <w:t>Owner</w:t>
      </w:r>
      <w:r>
        <w:sym w:font="Symbol" w:char="F0BE"/>
      </w:r>
      <w:r w:rsidRPr="000E4182">
        <w:t xml:space="preserve">any person who, in any form, possesses, has custody of, or has an ownership interest in an equine. A person is an </w:t>
      </w:r>
      <w:r w:rsidRPr="005813F8">
        <w:t>owner</w:t>
      </w:r>
      <w:r w:rsidRPr="000E4182">
        <w:t xml:space="preserve"> during the period of time of the described relationship. A parent or tutor of an </w:t>
      </w:r>
      <w:r w:rsidRPr="005813F8">
        <w:t>owner</w:t>
      </w:r>
      <w:r w:rsidRPr="000E4182">
        <w:t xml:space="preserve"> who is a minor is also an </w:t>
      </w:r>
      <w:r w:rsidRPr="005813F8">
        <w:t>owner</w:t>
      </w:r>
      <w:r w:rsidRPr="000E4182">
        <w:t xml:space="preserve"> during the period of time that the owner-parent or tutor's minor resides with the parent or tutor. A curator of an </w:t>
      </w:r>
      <w:r w:rsidRPr="005813F8">
        <w:t>owner</w:t>
      </w:r>
      <w:r w:rsidRPr="000E4182">
        <w:t xml:space="preserve"> who has been interdicted is an </w:t>
      </w:r>
      <w:r w:rsidRPr="005813F8">
        <w:t>owner</w:t>
      </w:r>
      <w:r w:rsidRPr="000E4182">
        <w:t xml:space="preserve"> during the period of time that the interdict is an </w:t>
      </w:r>
      <w:r w:rsidRPr="005813F8">
        <w:t>owner</w:t>
      </w:r>
      <w:r w:rsidRPr="000E4182">
        <w:t>.</w:t>
      </w:r>
    </w:p>
    <w:p w14:paraId="00E33EBD" w14:textId="77777777" w:rsidR="005A46E7" w:rsidRPr="00A1145E" w:rsidRDefault="005A46E7" w:rsidP="005A46E7">
      <w:pPr>
        <w:pStyle w:val="1"/>
      </w:pPr>
      <w:r w:rsidRPr="00A1145E">
        <w:rPr>
          <w:i/>
          <w:iCs/>
        </w:rPr>
        <w:t>Permanent Individual Equine Identification</w:t>
      </w:r>
      <w:r w:rsidRPr="00A1145E">
        <w:t>―one of the following methods of identifying equine:</w:t>
      </w:r>
    </w:p>
    <w:p w14:paraId="28EA9C06" w14:textId="77777777" w:rsidR="005A46E7" w:rsidRPr="00A1145E" w:rsidRDefault="005A46E7" w:rsidP="005A46E7">
      <w:pPr>
        <w:pStyle w:val="a0"/>
      </w:pPr>
      <w:r w:rsidRPr="00A1145E">
        <w:t>a.</w:t>
      </w:r>
      <w:r w:rsidRPr="00A1145E">
        <w:tab/>
        <w:t>operational implanted electronic identification transponder with individual number;</w:t>
      </w:r>
    </w:p>
    <w:p w14:paraId="4B7050F8" w14:textId="77777777" w:rsidR="005A46E7" w:rsidRPr="00A1145E" w:rsidRDefault="005A46E7" w:rsidP="005A46E7">
      <w:pPr>
        <w:pStyle w:val="a0"/>
      </w:pPr>
      <w:r w:rsidRPr="00A1145E">
        <w:t>b.</w:t>
      </w:r>
      <w:r w:rsidRPr="00A1145E">
        <w:tab/>
        <w:t>legible individual lip tattoo; or</w:t>
      </w:r>
    </w:p>
    <w:p w14:paraId="2EDF27AE" w14:textId="77777777" w:rsidR="005A46E7" w:rsidRPr="00A1145E" w:rsidRDefault="005A46E7" w:rsidP="005A46E7">
      <w:pPr>
        <w:pStyle w:val="a0"/>
      </w:pPr>
      <w:r w:rsidRPr="00A1145E">
        <w:t>c.</w:t>
      </w:r>
      <w:r w:rsidRPr="00A1145E">
        <w:tab/>
        <w:t>legible individual hot brand or freeze brand other than the brand S or 72A on the left shoulder.</w:t>
      </w:r>
    </w:p>
    <w:p w14:paraId="4201F775" w14:textId="77777777" w:rsidR="005A46E7" w:rsidRPr="00A1145E" w:rsidRDefault="005A46E7" w:rsidP="005A46E7">
      <w:pPr>
        <w:pStyle w:val="1"/>
      </w:pPr>
      <w:r w:rsidRPr="00A1145E">
        <w:rPr>
          <w:i/>
          <w:iCs/>
        </w:rPr>
        <w:t>Person</w:t>
      </w:r>
      <w:r w:rsidRPr="00A1145E">
        <w:t xml:space="preserve">―any natural </w:t>
      </w:r>
      <w:r w:rsidRPr="006F168C">
        <w:rPr>
          <w:i/>
        </w:rPr>
        <w:t>person</w:t>
      </w:r>
      <w:r w:rsidRPr="00A1145E">
        <w:t>, partnership, limited partnership, limited liability company, corporation, association or any legal entity whatsoever.</w:t>
      </w:r>
    </w:p>
    <w:p w14:paraId="607F14A6" w14:textId="77777777" w:rsidR="005A46E7" w:rsidRPr="00A1145E" w:rsidRDefault="005A46E7" w:rsidP="005A46E7">
      <w:pPr>
        <w:pStyle w:val="1"/>
      </w:pPr>
      <w:r w:rsidRPr="00A1145E">
        <w:rPr>
          <w:i/>
          <w:iCs/>
        </w:rPr>
        <w:t>Premises</w:t>
      </w:r>
      <w:r w:rsidRPr="00A1145E">
        <w:t>―any immovable or movable property in which or upon which an equine is, was or could be located.</w:t>
      </w:r>
    </w:p>
    <w:p w14:paraId="064819A5" w14:textId="77777777" w:rsidR="005A46E7" w:rsidRPr="00A1145E" w:rsidRDefault="005A46E7" w:rsidP="005A46E7">
      <w:pPr>
        <w:pStyle w:val="1"/>
      </w:pPr>
      <w:r w:rsidRPr="00A1145E">
        <w:rPr>
          <w:i/>
          <w:iCs/>
        </w:rPr>
        <w:t>Public Livestock Market</w:t>
      </w:r>
      <w:r w:rsidRPr="00A1145E">
        <w:t>―any place, establishment or facility commonly known as a "livestock market," "livestock auction market," "sales ring," "stockyard," or the like, operated for compensation or profit as a public market for livestock, consisting of pens, or other enclosures, and their appurtenances, in which livestock are received, held, sold, or kept for sale or shipment.</w:t>
      </w:r>
    </w:p>
    <w:p w14:paraId="170C93A7" w14:textId="77777777" w:rsidR="005A46E7" w:rsidRPr="00A1145E" w:rsidRDefault="005A46E7" w:rsidP="005A46E7">
      <w:pPr>
        <w:pStyle w:val="1"/>
      </w:pPr>
      <w:r w:rsidRPr="00A1145E">
        <w:rPr>
          <w:i/>
          <w:iCs/>
        </w:rPr>
        <w:lastRenderedPageBreak/>
        <w:t>Quarantine</w:t>
      </w:r>
      <w:r w:rsidRPr="00A1145E">
        <w:t>―the secure and physical isolation of equine in a specific confined area the perimeter of which is at all times at least 200 yards away from other equine.</w:t>
      </w:r>
    </w:p>
    <w:p w14:paraId="588936CC" w14:textId="77777777" w:rsidR="005A46E7" w:rsidRPr="00A1145E" w:rsidRDefault="005A46E7" w:rsidP="005A46E7">
      <w:pPr>
        <w:pStyle w:val="1"/>
      </w:pPr>
      <w:r w:rsidRPr="00A1145E">
        <w:rPr>
          <w:i/>
          <w:iCs/>
        </w:rPr>
        <w:t>S Branded Equine</w:t>
      </w:r>
      <w:r w:rsidRPr="00A1145E">
        <w:t>―an equine which has been branded with the letter S at least 3 inches in height on the left shoulder.</w:t>
      </w:r>
    </w:p>
    <w:p w14:paraId="230814BD" w14:textId="77777777" w:rsidR="005A46E7" w:rsidRPr="00A1145E" w:rsidRDefault="005A46E7" w:rsidP="005A46E7">
      <w:pPr>
        <w:pStyle w:val="1"/>
      </w:pPr>
      <w:r w:rsidRPr="00A1145E">
        <w:rPr>
          <w:i/>
          <w:iCs/>
        </w:rPr>
        <w:t>Stall Barn</w:t>
      </w:r>
      <w:r w:rsidRPr="00A1145E">
        <w:t>―a building in which equine are customarily housed.</w:t>
      </w:r>
    </w:p>
    <w:p w14:paraId="08106E54" w14:textId="77777777" w:rsidR="005A46E7" w:rsidRPr="00A1145E" w:rsidRDefault="005A46E7" w:rsidP="005A46E7">
      <w:pPr>
        <w:pStyle w:val="1"/>
      </w:pPr>
      <w:r w:rsidRPr="00A1145E">
        <w:rPr>
          <w:i/>
          <w:iCs/>
        </w:rPr>
        <w:t>Test for EIA</w:t>
      </w:r>
      <w:r w:rsidRPr="00A1145E">
        <w:t xml:space="preserve">―a test, approved by the United States Department of Agriculture, Animal and Plant Health Inspection Service, Veterinary Services, for scientifically testing equine for the presence of EIA. The </w:t>
      </w:r>
      <w:r w:rsidRPr="006F168C">
        <w:rPr>
          <w:i/>
        </w:rPr>
        <w:t>test for EIA</w:t>
      </w:r>
      <w:r w:rsidRPr="00A1145E">
        <w:t xml:space="preserve"> is also sometimes herein referred to as the "EIA test."</w:t>
      </w:r>
    </w:p>
    <w:p w14:paraId="796553EB" w14:textId="77777777" w:rsidR="005A46E7" w:rsidRPr="00A1145E" w:rsidRDefault="005A46E7" w:rsidP="005A46E7">
      <w:pPr>
        <w:pStyle w:val="1"/>
      </w:pPr>
      <w:r w:rsidRPr="00A1145E">
        <w:rPr>
          <w:i/>
          <w:iCs/>
        </w:rPr>
        <w:t>Testing Veterinarian</w:t>
      </w:r>
      <w:r w:rsidRPr="00A1145E">
        <w:t>―a veterinarian accredited by the United States Department of Agriculture who draws an equine's blood for an EIA test and who submits the blood sample to an approved EIA testing laboratory.</w:t>
      </w:r>
    </w:p>
    <w:p w14:paraId="3F51628C" w14:textId="77777777" w:rsidR="005A46E7" w:rsidRPr="00A1145E" w:rsidRDefault="005A46E7" w:rsidP="005A46E7">
      <w:pPr>
        <w:pStyle w:val="1"/>
      </w:pPr>
      <w:r w:rsidRPr="00A1145E">
        <w:rPr>
          <w:i/>
          <w:iCs/>
        </w:rPr>
        <w:t>Verification</w:t>
      </w:r>
      <w:r w:rsidRPr="00A1145E">
        <w:t>―a written statement signed by each owner which includes the name, address, telephone number of each owner, the name of the equine, if any, the permanent individual identification of the equine, and an affirmative attestation of the date, place and the manner of ending the life of the equine.</w:t>
      </w:r>
    </w:p>
    <w:p w14:paraId="303E5839" w14:textId="77777777" w:rsidR="005A46E7" w:rsidRPr="00A1145E" w:rsidRDefault="005A46E7" w:rsidP="005A46E7">
      <w:pPr>
        <w:pStyle w:val="1"/>
      </w:pPr>
      <w:r w:rsidRPr="00A1145E">
        <w:rPr>
          <w:i/>
          <w:iCs/>
        </w:rPr>
        <w:t>VS Form 10-11</w:t>
      </w:r>
      <w:r w:rsidRPr="00A1145E">
        <w:t>―the form provided by the board or the United States Department of Agriculture utilized in EIA testing which provides for information including the name of the laboratory, the case number, the date of completion of the EIA test, the equine owner's name, address, telephone number and the permanent individual identification of the equine and the test results.</w:t>
      </w:r>
    </w:p>
    <w:p w14:paraId="62CB417F" w14:textId="77777777" w:rsidR="005A46E7" w:rsidRPr="00A1145E" w:rsidRDefault="005A46E7" w:rsidP="005A46E7">
      <w:pPr>
        <w:pStyle w:val="1"/>
      </w:pPr>
      <w:r w:rsidRPr="00A1145E">
        <w:rPr>
          <w:i/>
          <w:iCs/>
        </w:rPr>
        <w:t>VS Form 1-27 Permit</w:t>
      </w:r>
      <w:r w:rsidRPr="00A1145E">
        <w:t>―a form provided, completed and issued by the board or the United States Department of Agriculture which is required before certain livestock may be moved from the premises of origin.</w:t>
      </w:r>
    </w:p>
    <w:p w14:paraId="2A9C8738" w14:textId="77777777" w:rsidR="004C41B8" w:rsidRPr="000E4182" w:rsidRDefault="004C41B8" w:rsidP="004C41B8">
      <w:pPr>
        <w:pStyle w:val="1"/>
      </w:pPr>
      <w:r w:rsidRPr="000E4182">
        <w:rPr>
          <w:i/>
          <w:iCs/>
        </w:rPr>
        <w:t>Written Proof of EIA Test</w:t>
      </w:r>
      <w:r>
        <w:sym w:font="Symbol" w:char="F0BE"/>
      </w:r>
      <w:r w:rsidRPr="000E4182">
        <w:t>the VS Form 10-11 or electronic equivalent, approved by the board, completed by an approved EIA testing laboratory which, when completed, provides the name of the laboratory, the case number, the date of completion of the EIA test, the equine owner's name, address, telephone number and permanent individual identification of the equine and the test results.</w:t>
      </w:r>
      <w:r>
        <w:t xml:space="preserve"> </w:t>
      </w:r>
    </w:p>
    <w:p w14:paraId="51FC4044" w14:textId="77777777" w:rsidR="005A46E7" w:rsidRPr="00A1145E" w:rsidRDefault="004C41B8" w:rsidP="004C41B8">
      <w:pPr>
        <w:pStyle w:val="AuthorityNote"/>
      </w:pPr>
      <w:r w:rsidRPr="000E4182">
        <w:t>AUTHORITY NOTE:</w:t>
      </w:r>
      <w:r w:rsidRPr="000E4182">
        <w:tab/>
        <w:t>Promulgated in accordance with R.S. 3:2091-2097.</w:t>
      </w:r>
    </w:p>
    <w:p w14:paraId="553A5123" w14:textId="77777777" w:rsidR="005A46E7" w:rsidRPr="00A1145E" w:rsidRDefault="005A46E7" w:rsidP="005A46E7">
      <w:pPr>
        <w:pStyle w:val="HistoricalNote"/>
      </w:pPr>
      <w:r w:rsidRPr="00A1145E">
        <w:t>HISTORICAL NOTE:</w:t>
      </w:r>
      <w:r w:rsidRPr="00A1145E">
        <w:tab/>
      </w:r>
      <w:r w:rsidR="007B0B58" w:rsidRPr="001531CD">
        <w:t>Promulgated by the Department of Agriculture and Forestry, Office of Animal Health Services, Livestock Sanitary Board, LR 23:943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4C41B8">
        <w:t>40:960 (May 2014), LR 43:1272 (July 2017).</w:t>
      </w:r>
    </w:p>
    <w:p w14:paraId="39477CCA" w14:textId="77777777" w:rsidR="005A46E7" w:rsidRPr="00A1145E" w:rsidRDefault="005A46E7" w:rsidP="005A46E7">
      <w:pPr>
        <w:pStyle w:val="Section"/>
      </w:pPr>
      <w:bookmarkStart w:id="2050" w:name="_Toc388358294"/>
      <w:bookmarkStart w:id="2051" w:name="_Toc396115196"/>
      <w:bookmarkStart w:id="2052" w:name="_Toc411855587"/>
      <w:bookmarkStart w:id="2053" w:name="_Toc419795789"/>
      <w:bookmarkStart w:id="2054" w:name="_Toc427737177"/>
      <w:bookmarkStart w:id="2055" w:name="_Toc438546979"/>
      <w:bookmarkStart w:id="2056" w:name="_Toc446326966"/>
      <w:bookmarkStart w:id="2057" w:name="_Toc448825156"/>
      <w:bookmarkStart w:id="2058" w:name="_Toc451506200"/>
      <w:bookmarkStart w:id="2059" w:name="_Toc462212623"/>
      <w:bookmarkStart w:id="2060" w:name="_Toc468096543"/>
      <w:bookmarkStart w:id="2061" w:name="_Toc477854008"/>
      <w:bookmarkStart w:id="2062" w:name="_Toc488735952"/>
      <w:bookmarkStart w:id="2063" w:name="_Toc491176769"/>
      <w:bookmarkStart w:id="2064" w:name="_Toc509393692"/>
      <w:bookmarkStart w:id="2065" w:name="_Toc525114861"/>
      <w:bookmarkStart w:id="2066" w:name="_Toc535997258"/>
      <w:bookmarkStart w:id="2067" w:name="_Toc224819118"/>
      <w:r w:rsidRPr="00A1145E">
        <w:t>§§905</w:t>
      </w:r>
      <w:r>
        <w:t>-</w:t>
      </w:r>
      <w:r w:rsidRPr="00A1145E">
        <w:t>909.</w:t>
      </w:r>
      <w:r w:rsidRPr="00A1145E">
        <w:tab/>
        <w:t>Reserved</w:t>
      </w:r>
      <w:r>
        <w:t>.</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068B1965" w14:textId="77777777" w:rsidR="005A46E7" w:rsidRPr="00A1145E" w:rsidRDefault="005A46E7" w:rsidP="005A46E7">
      <w:pPr>
        <w:pStyle w:val="Chapter"/>
      </w:pPr>
      <w:bookmarkStart w:id="2068" w:name="_Toc224819119"/>
      <w:r w:rsidRPr="00A1145E">
        <w:t>Subchapter B.</w:t>
      </w:r>
      <w:r w:rsidRPr="00A1145E">
        <w:tab/>
        <w:t>Equine Infectious Anemia (EIA)</w:t>
      </w:r>
      <w:bookmarkEnd w:id="2068"/>
    </w:p>
    <w:p w14:paraId="2159DA29" w14:textId="77777777" w:rsidR="005A46E7" w:rsidRPr="00A1145E" w:rsidRDefault="005A46E7" w:rsidP="005A46E7">
      <w:pPr>
        <w:pStyle w:val="Section"/>
      </w:pPr>
      <w:bookmarkStart w:id="2069" w:name="_Toc256754725"/>
      <w:bookmarkStart w:id="2070" w:name="_Toc375025510"/>
      <w:bookmarkStart w:id="2071" w:name="_Toc224819120"/>
      <w:r w:rsidRPr="00A1145E">
        <w:t>§911.</w:t>
      </w:r>
      <w:r w:rsidRPr="00A1145E">
        <w:tab/>
        <w:t>Statement of Purpose</w:t>
      </w:r>
      <w:bookmarkEnd w:id="2069"/>
      <w:bookmarkEnd w:id="2070"/>
      <w:r>
        <w:br/>
        <w:t>(</w:t>
      </w:r>
      <w:r w:rsidRPr="00A1145E">
        <w:t>Formerly §513</w:t>
      </w:r>
      <w:r>
        <w:t>)</w:t>
      </w:r>
      <w:bookmarkEnd w:id="2071"/>
    </w:p>
    <w:p w14:paraId="0F131FA7" w14:textId="77777777" w:rsidR="005A46E7" w:rsidRPr="00A1145E" w:rsidRDefault="005A46E7" w:rsidP="005A46E7">
      <w:pPr>
        <w:pStyle w:val="A"/>
      </w:pPr>
      <w:r w:rsidRPr="00A1145E">
        <w:t>A.</w:t>
      </w:r>
      <w:r w:rsidRPr="00A1145E">
        <w:tab/>
        <w:t>The purpose of these EIA rules and regulations is to better identify and control EIA infected equine and to remove EIA infected equine from the population in order to prevent the spread of EIA. Due to the persistent incidence of EIA in the equine population, a more stringent eradication program for removal of infected equine, which includes ending the life of EIA infected equine, is necessary. These EIA rules and regulations should be liberally construed in favor of ending the life of EIA infected equine. The authority granted therein is to be exercised only in carrying out this necessary EIA eradication program.</w:t>
      </w:r>
    </w:p>
    <w:p w14:paraId="6BB20B74" w14:textId="77777777" w:rsidR="005A46E7" w:rsidRPr="00A1145E" w:rsidRDefault="005A46E7" w:rsidP="005A46E7">
      <w:pPr>
        <w:pStyle w:val="A"/>
      </w:pPr>
      <w:r w:rsidRPr="00A1145E">
        <w:t>B.</w:t>
      </w:r>
      <w:r w:rsidRPr="00A1145E">
        <w:tab/>
        <w:t>It is understood that title to an equine can be difficult to discern, that custodians and possessors are frequently the only persons exercising authority over nontitled equine and, therefore, effective enforcement of these EIA rules and regulations requires that possessors, custodians, and owners of equine share responsibility for eradication of a disease that has proven destructive to the industry and to equine. It is further understood that if in the board's view effective enforcement would not be jeopardized, the board should direct enforcement against titled owners over custodians and custodians over possessors. Notwithstanding the foregoing, the board may direct enforcement against any or all owners as defined in these EIA rules and regulations in any given case as it shall deem fit in its sole and exclusive judgment.</w:t>
      </w:r>
    </w:p>
    <w:p w14:paraId="286E4D6A" w14:textId="77777777" w:rsidR="005A46E7" w:rsidRPr="00A1145E" w:rsidRDefault="005A46E7" w:rsidP="005A46E7">
      <w:pPr>
        <w:pStyle w:val="AuthorityNote"/>
      </w:pPr>
      <w:r w:rsidRPr="00A1145E">
        <w:t>AUTHORITY NOTE:</w:t>
      </w:r>
      <w:r w:rsidRPr="00A1145E">
        <w:tab/>
        <w:t>Promulgated in accordance with R.S. 3:2091-2097.</w:t>
      </w:r>
    </w:p>
    <w:p w14:paraId="2A9CA11E" w14:textId="77777777" w:rsidR="005A46E7" w:rsidRPr="00A1145E" w:rsidRDefault="005A46E7" w:rsidP="005A46E7">
      <w:pPr>
        <w:pStyle w:val="HistoricalNote"/>
      </w:pPr>
      <w:r w:rsidRPr="00A1145E">
        <w:t>HISTORICAL NOTE:</w:t>
      </w:r>
      <w:r w:rsidRPr="00A1145E">
        <w:tab/>
      </w:r>
      <w:r w:rsidR="007B0B58" w:rsidRPr="001531CD">
        <w:t>Promulgated by the Department of Agriculture and Forestry, Office of Animal Health Services, Livestock Sanitary Board, LR 23:944 (August 1997)</w:t>
      </w:r>
      <w:r w:rsidRPr="00A1145E">
        <w:t xml:space="preserve">, repromulgated by the Department of Agriculture and Forestry, </w:t>
      </w:r>
      <w:r w:rsidR="007356F4">
        <w:t>Office of Animal Health and Food Safety and the Board of Animal Health,</w:t>
      </w:r>
      <w:r w:rsidRPr="00A1145E">
        <w:t xml:space="preserve"> LR </w:t>
      </w:r>
      <w:r>
        <w:t>40:961 (May 2014).</w:t>
      </w:r>
    </w:p>
    <w:p w14:paraId="55DDCBEC" w14:textId="77777777" w:rsidR="005A46E7" w:rsidRPr="00A1145E" w:rsidRDefault="005A46E7" w:rsidP="005A46E7">
      <w:pPr>
        <w:pStyle w:val="Section"/>
      </w:pPr>
      <w:bookmarkStart w:id="2072" w:name="_Toc256754722"/>
      <w:bookmarkStart w:id="2073" w:name="_Toc375025507"/>
      <w:bookmarkStart w:id="2074" w:name="_Toc224819121"/>
      <w:r w:rsidRPr="00A1145E">
        <w:t>§913.</w:t>
      </w:r>
      <w:r w:rsidRPr="00A1145E">
        <w:tab/>
        <w:t>Equine Infectious Anemia</w:t>
      </w:r>
      <w:bookmarkEnd w:id="2072"/>
      <w:bookmarkEnd w:id="2073"/>
      <w:r>
        <w:br/>
        <w:t>(</w:t>
      </w:r>
      <w:r w:rsidR="004C41B8">
        <w:t>F</w:t>
      </w:r>
      <w:r w:rsidR="004C41B8" w:rsidRPr="000E4182">
        <w:t>ormerly §§</w:t>
      </w:r>
      <w:r w:rsidR="004C41B8">
        <w:t>507</w:t>
      </w:r>
      <w:r w:rsidR="004C41B8" w:rsidRPr="000E4182">
        <w:t xml:space="preserve">, </w:t>
      </w:r>
      <w:r w:rsidR="004C41B8">
        <w:t xml:space="preserve">917 and </w:t>
      </w:r>
      <w:r w:rsidR="004C41B8" w:rsidRPr="000E4182">
        <w:t>919)</w:t>
      </w:r>
      <w:bookmarkEnd w:id="2074"/>
    </w:p>
    <w:p w14:paraId="38E4F646" w14:textId="77777777" w:rsidR="004C41B8" w:rsidRPr="000E4182" w:rsidRDefault="004C41B8" w:rsidP="004C41B8">
      <w:pPr>
        <w:pStyle w:val="A"/>
      </w:pPr>
      <w:r w:rsidRPr="000E4182">
        <w:t>A.</w:t>
      </w:r>
      <w:r w:rsidRPr="000E4182">
        <w:tab/>
        <w:t>Identification. Beginning February 1, 1994, all equine prior to an official test for equine infectious anemia (EIA) shall be individually and permanently identified by one of the following means:</w:t>
      </w:r>
    </w:p>
    <w:p w14:paraId="42C8B797" w14:textId="77777777" w:rsidR="004C41B8" w:rsidRPr="000E4182" w:rsidRDefault="004C41B8" w:rsidP="004C41B8">
      <w:pPr>
        <w:pStyle w:val="1"/>
      </w:pPr>
      <w:r w:rsidRPr="000E4182">
        <w:t>1.</w:t>
      </w:r>
      <w:r w:rsidRPr="000E4182">
        <w:tab/>
        <w:t>implanted electronic identification transponder with individual number;</w:t>
      </w:r>
    </w:p>
    <w:p w14:paraId="293805BB" w14:textId="77777777" w:rsidR="004C41B8" w:rsidRPr="000E4182" w:rsidRDefault="004C41B8" w:rsidP="004C41B8">
      <w:pPr>
        <w:pStyle w:val="1"/>
      </w:pPr>
      <w:r w:rsidRPr="000E4182">
        <w:t>2.</w:t>
      </w:r>
      <w:r w:rsidRPr="000E4182">
        <w:tab/>
        <w:t>individual lip tattoo;</w:t>
      </w:r>
    </w:p>
    <w:p w14:paraId="6540A3A9" w14:textId="77777777" w:rsidR="004C41B8" w:rsidRPr="000E4182" w:rsidRDefault="004C41B8" w:rsidP="004C41B8">
      <w:pPr>
        <w:pStyle w:val="1"/>
      </w:pPr>
      <w:r w:rsidRPr="000E4182">
        <w:t>3.</w:t>
      </w:r>
      <w:r w:rsidRPr="000E4182">
        <w:tab/>
        <w:t>individual hot brand or freeze brand.</w:t>
      </w:r>
    </w:p>
    <w:p w14:paraId="7BD3643B" w14:textId="77777777" w:rsidR="004C41B8" w:rsidRPr="000E4182" w:rsidRDefault="004C41B8" w:rsidP="004C41B8">
      <w:pPr>
        <w:pStyle w:val="A"/>
      </w:pPr>
      <w:r w:rsidRPr="000E4182">
        <w:t>B.</w:t>
      </w:r>
      <w:r w:rsidRPr="000E4182">
        <w:tab/>
        <w:t>Equine Required to be Tested</w:t>
      </w:r>
    </w:p>
    <w:p w14:paraId="77B92377" w14:textId="77777777" w:rsidR="004C41B8" w:rsidRPr="000E4182" w:rsidRDefault="004C41B8" w:rsidP="004C41B8">
      <w:pPr>
        <w:pStyle w:val="1"/>
      </w:pPr>
      <w:r w:rsidRPr="000E4182">
        <w:t>1.</w:t>
      </w:r>
      <w:r w:rsidRPr="000E4182">
        <w:tab/>
        <w:t>All equine residing in Louisiana shall be tested for EIA at least every 12 months.</w:t>
      </w:r>
      <w:r>
        <w:t xml:space="preserve"> </w:t>
      </w:r>
      <w:r w:rsidRPr="000E4182">
        <w:t>It shall be the responsibility of the owner to ensure any and all testing of equine in their possession.</w:t>
      </w:r>
    </w:p>
    <w:p w14:paraId="14928C23" w14:textId="77777777" w:rsidR="004C41B8" w:rsidRPr="000E4182" w:rsidRDefault="004C41B8" w:rsidP="004C41B8">
      <w:pPr>
        <w:pStyle w:val="1"/>
      </w:pPr>
      <w:r w:rsidRPr="000E4182">
        <w:lastRenderedPageBreak/>
        <w:t>2.</w:t>
      </w:r>
      <w:r w:rsidRPr="000E4182">
        <w:tab/>
        <w:t>All equine moving into the state of Louisiana for any purpose other than immediate slaughter, shall be accompanied by a record of a negative official test for EIA, conducted within the past 12 months. The official test shall be conducted by an approved laboratory. The name of the laboratory, the case number, and the date of the official test shall appear on the health certificate, as required in §523 except nursing foals under 7 months of age accompanying its dam.</w:t>
      </w:r>
    </w:p>
    <w:p w14:paraId="5516D096" w14:textId="77777777" w:rsidR="004C41B8" w:rsidRPr="000E4182" w:rsidRDefault="004C41B8" w:rsidP="004C41B8">
      <w:pPr>
        <w:pStyle w:val="1"/>
      </w:pPr>
      <w:r w:rsidRPr="000E4182">
        <w:t>3.</w:t>
      </w:r>
      <w:r w:rsidRPr="000E4182">
        <w:tab/>
        <w:t>All equine within the state or moving within the state to fairs, livestock shows, breeder’s association sales, rodeos, racetracks, or to any other concentration point, shall be accompanied by a record of a negative official test for EIA, conducted within the past 12 months. The official test shall be conducted by an approved laboratory and the name of the laboratory, the case number, and the date of the test shall appear on the official record of the test.</w:t>
      </w:r>
    </w:p>
    <w:p w14:paraId="674CFB55" w14:textId="77777777" w:rsidR="004C41B8" w:rsidRPr="000E4182" w:rsidRDefault="004C41B8" w:rsidP="004C41B8">
      <w:pPr>
        <w:pStyle w:val="1"/>
      </w:pPr>
      <w:r w:rsidRPr="000E4182">
        <w:t>4.</w:t>
      </w:r>
      <w:r w:rsidRPr="000E4182">
        <w:tab/>
        <w:t>All equine, except nursing foals under 7 months of age accompanying its dam, sold or purchased in Louisiana shall have been officially tested negative for EIA within 12 months of the date of the sale or shall be officially tested negative for EIA at the time of sale or purchase. The official test shall be conducted at an approved laboratory. The official test record shall accompany the horse at the time of the sale or purchase and the name of the laboratory, the case number, and the date of the test shall appear on the official record of the test, except as provided in this Subsection.</w:t>
      </w:r>
    </w:p>
    <w:p w14:paraId="0F52DADA" w14:textId="77777777" w:rsidR="004C41B8" w:rsidRPr="000E4182" w:rsidRDefault="004C41B8" w:rsidP="004C41B8">
      <w:pPr>
        <w:pStyle w:val="a0"/>
      </w:pPr>
      <w:r>
        <w:t>a</w:t>
      </w:r>
      <w:r w:rsidRPr="000E4182">
        <w:t>.</w:t>
      </w:r>
      <w:r w:rsidRPr="000E4182">
        <w:tab/>
        <w:t>An equine offered for sale at a Louisiana public livestock auction market shall be tested for EIA at the auction market prior to sale if the equine has not been tested or is not accompanied by a current negative</w:t>
      </w:r>
      <w:r>
        <w:t xml:space="preserve"> </w:t>
      </w:r>
      <w:r w:rsidRPr="000E4182">
        <w:t>official EIA test record.</w:t>
      </w:r>
      <w:r>
        <w:t xml:space="preserve"> </w:t>
      </w:r>
      <w:r w:rsidRPr="000E4182">
        <w:t>The blood sample for the EIA test shall be drawn by an accredited veterinarian</w:t>
      </w:r>
      <w:r>
        <w:t xml:space="preserve"> </w:t>
      </w:r>
      <w:r w:rsidRPr="000E4182">
        <w:t>and submitted for an official EIA test in accordance with these regulations. The veterinarian's</w:t>
      </w:r>
      <w:r>
        <w:t xml:space="preserve"> </w:t>
      </w:r>
      <w:r w:rsidRPr="000E4182">
        <w:t>fee for this service shall be collected from the seller by the auction market and paid directly to the veterinarian.</w:t>
      </w:r>
      <w:r>
        <w:t xml:space="preserve"> </w:t>
      </w:r>
      <w:r w:rsidRPr="000E4182">
        <w:t>An equine without a current negative official EIA test record that is sold at an auction market may be moved to the buyer's premises under a Board of Animal Health quarantine after the blood sample is taken and the veterinarian and identification fees are paid. The equine shall remain under quarantine until the official test results show that the animal is an EIA negative equine.</w:t>
      </w:r>
    </w:p>
    <w:p w14:paraId="78A2910B" w14:textId="77777777" w:rsidR="004C41B8" w:rsidRPr="000E4182" w:rsidRDefault="004C41B8" w:rsidP="004C41B8">
      <w:pPr>
        <w:pStyle w:val="A"/>
      </w:pPr>
      <w:r w:rsidRPr="000E4182">
        <w:t>C.</w:t>
      </w:r>
      <w:r w:rsidRPr="000E4182">
        <w:tab/>
        <w:t>Equine Positive to the Official EIA Test</w:t>
      </w:r>
    </w:p>
    <w:p w14:paraId="0FA34783" w14:textId="77777777" w:rsidR="004C41B8" w:rsidRPr="000E4182" w:rsidRDefault="004C41B8" w:rsidP="004C41B8">
      <w:pPr>
        <w:pStyle w:val="1"/>
      </w:pPr>
      <w:r w:rsidRPr="000E4182">
        <w:t>1.</w:t>
      </w:r>
      <w:r>
        <w:tab/>
      </w:r>
      <w:r w:rsidRPr="000E4182">
        <w:t xml:space="preserve">With the exception of the equine stabled at a racetrack regulated by the state Racing Commission, all equine testing positive to the official test for EIA shall be quarantined to the owner's premises and shall be destroyed or sold for immediate slaughter within 20 days of the date of the official test for EIA. If destroyed, verification of said destruction by written and signed statement must be furnished to the office of the state veterinarian. If sold for slaughter, the equine shall be accompanied by a VS Form 1-27 permit issued by Board of Animal Health personnel from the owner's premises to an approved Louisiana livestock auction market or to an approved slaughter facility. The owner or trainer of all equine stabled at a racetrack regulated by the state Racing Commission testing positive to an official EIA test shall be </w:t>
      </w:r>
      <w:r w:rsidRPr="000E4182">
        <w:t>notified immediately by the testing veterinarian, or by racetrack officials, or by Board of Animal Health personnel and the equine testing positive shall be removed from the racetrack premises immediately. Exceptions are:</w:t>
      </w:r>
    </w:p>
    <w:p w14:paraId="05FB3174" w14:textId="77777777" w:rsidR="004C41B8" w:rsidRPr="000E4182" w:rsidRDefault="004C41B8" w:rsidP="004C41B8">
      <w:pPr>
        <w:pStyle w:val="a0"/>
      </w:pPr>
      <w:r>
        <w:t>a</w:t>
      </w:r>
      <w:r w:rsidRPr="000E4182">
        <w:t>.</w:t>
      </w:r>
      <w:r w:rsidRPr="000E4182">
        <w:tab/>
        <w:t>upon request by the owner, any female equine testing positive to the official test for EIA that is at least 270 days pregnant or has a nursing foal no more than 120 days of age at her side may be quarantined to the owner's premises and kept at least 200 yards away from any other equine. The female equ</w:t>
      </w:r>
      <w:r>
        <w:t>ine shall be identified with a “72A”</w:t>
      </w:r>
      <w:r w:rsidRPr="000E4182">
        <w:t xml:space="preserve"> brand at least 3 inches in height on the left shoulder. The female equine may remain in quarantine until her foal dies or reaches an age of 120 days at which time the female equine shall be destroyed or sold for immediate slaughter within 20 days. If destroyed, verification of said destruction by written and signed statement must be furnished to the office of the state veterinarian. If sold for slaughter, the female equine shall be accompanied by a VS Form 1-27 permit issued by Board of Animal Health personnel from the owner's premises to an approved Louisiana livestock auction market or to an approved slaughter facility;</w:t>
      </w:r>
    </w:p>
    <w:p w14:paraId="10A4DFD9" w14:textId="77777777" w:rsidR="004C41B8" w:rsidRPr="000E4182" w:rsidRDefault="004C41B8" w:rsidP="004C41B8">
      <w:pPr>
        <w:pStyle w:val="a0"/>
      </w:pPr>
      <w:r>
        <w:t>b.</w:t>
      </w:r>
      <w:r w:rsidRPr="000E4182">
        <w:tab/>
        <w:t>any foal kept in quarantine with its EIA positive dam shall be officially tested for EIA no later t</w:t>
      </w:r>
      <w:r>
        <w:t>han 150 days after it is weaned.</w:t>
      </w:r>
    </w:p>
    <w:p w14:paraId="202C3DDC" w14:textId="77777777" w:rsidR="004C41B8" w:rsidRPr="000E4182" w:rsidRDefault="004C41B8" w:rsidP="004C41B8">
      <w:pPr>
        <w:pStyle w:val="1"/>
      </w:pPr>
      <w:r w:rsidRPr="000E4182">
        <w:t>2.</w:t>
      </w:r>
      <w:r>
        <w:tab/>
      </w:r>
      <w:r w:rsidRPr="000E4182">
        <w:t>All equine stabled at a racetrack regulated by the state Racing Commission, testing positive to the official EIA test and immediately removed from the racetrack shall be quarantined to the premises to which they are moved and shall be destroyed or sold for immediate slaughter within 20 days of the date of the official test for EIA. If destroyed, verification of said destruction by written and signed statement must be furnished to the office of the state veterinarian. If sold for slaughter, the equine shall be accompanied by a VS Form 1-27 permit issued by Board of Animal Health personnel from the owner's premises to an approved Louisiana livestock auction market or to an approved slaughter facility.</w:t>
      </w:r>
    </w:p>
    <w:p w14:paraId="5C4DD2F9" w14:textId="77777777" w:rsidR="004C41B8" w:rsidRPr="000E4182" w:rsidRDefault="004C41B8" w:rsidP="004C41B8">
      <w:pPr>
        <w:pStyle w:val="1"/>
      </w:pPr>
      <w:r w:rsidRPr="000E4182">
        <w:t>3.</w:t>
      </w:r>
      <w:r>
        <w:tab/>
      </w:r>
      <w:r w:rsidRPr="000E4182">
        <w:t>With the exception of the equine stabled at a racetrack regulated by the state Racing Commission, the following shall be quarantined and officially tested for EIA no sooner than 30 days after the positive equine has been removed:</w:t>
      </w:r>
    </w:p>
    <w:p w14:paraId="30A3812F" w14:textId="77777777" w:rsidR="004C41B8" w:rsidRPr="000E4182" w:rsidRDefault="004C41B8" w:rsidP="004C41B8">
      <w:pPr>
        <w:pStyle w:val="a0"/>
      </w:pPr>
      <w:r>
        <w:t>a</w:t>
      </w:r>
      <w:r w:rsidRPr="000E4182">
        <w:t>.</w:t>
      </w:r>
      <w:r w:rsidRPr="000E4182">
        <w:tab/>
        <w:t>all equine on the same premises as an equine testing positive to the official EIA test;</w:t>
      </w:r>
    </w:p>
    <w:p w14:paraId="0B9FC30A" w14:textId="77777777" w:rsidR="004C41B8" w:rsidRPr="000E4182" w:rsidRDefault="004C41B8" w:rsidP="004C41B8">
      <w:pPr>
        <w:pStyle w:val="a0"/>
      </w:pPr>
      <w:r>
        <w:t>b</w:t>
      </w:r>
      <w:r w:rsidRPr="000E4182">
        <w:t>.</w:t>
      </w:r>
      <w:r w:rsidRPr="000E4182">
        <w:tab/>
        <w:t>all equine on all premises within 200 yards of the premises of the equine testing positive to the official EIA test; and</w:t>
      </w:r>
    </w:p>
    <w:p w14:paraId="0B0A1DBE" w14:textId="77777777" w:rsidR="004C41B8" w:rsidRPr="000E4182" w:rsidRDefault="004C41B8" w:rsidP="004C41B8">
      <w:pPr>
        <w:pStyle w:val="a0"/>
      </w:pPr>
      <w:r>
        <w:t>c</w:t>
      </w:r>
      <w:r w:rsidRPr="000E4182">
        <w:t>.</w:t>
      </w:r>
      <w:r w:rsidRPr="000E4182">
        <w:tab/>
        <w:t>all equine which have been on these aforementioned premises within the past 30 days at the time the equine which is positive to the official EIA test was tested.</w:t>
      </w:r>
    </w:p>
    <w:p w14:paraId="1E23C3F6" w14:textId="77777777" w:rsidR="004C41B8" w:rsidRPr="000E4182" w:rsidRDefault="004C41B8" w:rsidP="004C41B8">
      <w:pPr>
        <w:pStyle w:val="1"/>
      </w:pPr>
      <w:r w:rsidRPr="000E4182">
        <w:t>4.</w:t>
      </w:r>
      <w:r>
        <w:tab/>
      </w:r>
      <w:r w:rsidRPr="000E4182">
        <w:t>All equine stabled at a racetrack regulated by the state Racing Commission which are stabled in the same barn or in a directly adjacent barn of an equine which tests positive to the official EIA test shall be quarantined until the positive equine is removed and all other horses in the aforementioned barns are tested negative to the official EIA test.</w:t>
      </w:r>
    </w:p>
    <w:p w14:paraId="5D218836" w14:textId="77777777" w:rsidR="004C41B8" w:rsidRPr="000E4182" w:rsidRDefault="004C41B8" w:rsidP="004C41B8">
      <w:pPr>
        <w:pStyle w:val="1"/>
      </w:pPr>
      <w:r w:rsidRPr="000E4182">
        <w:lastRenderedPageBreak/>
        <w:t>5.</w:t>
      </w:r>
      <w:r>
        <w:tab/>
      </w:r>
      <w:r w:rsidRPr="000E4182">
        <w:t xml:space="preserve">Equine which are required to be officially tested for EIA as a result of being quarantined due to the circumstances described in </w:t>
      </w:r>
      <w:r>
        <w:t>Paragraphs 3 and 4 of this Subs</w:t>
      </w:r>
      <w:r w:rsidRPr="000E4182">
        <w:t>ection may be tested by an accredited veterinarian chosen by the owner or by a state employed veterinarian if requested by the owner of the quarantined equine. In the event that the official testing for EIA is done by a state employed veterinarian, the official record (VS Form 10-11) will not be made available to the owner.</w:t>
      </w:r>
    </w:p>
    <w:p w14:paraId="6A736345" w14:textId="77777777" w:rsidR="004C41B8" w:rsidRPr="000E4182" w:rsidRDefault="004C41B8" w:rsidP="004C41B8">
      <w:pPr>
        <w:pStyle w:val="1"/>
      </w:pPr>
      <w:r w:rsidRPr="000E4182">
        <w:t>6.</w:t>
      </w:r>
      <w:r>
        <w:tab/>
      </w:r>
      <w:r w:rsidRPr="000E4182">
        <w:t>Equine positive to the official test for EIA shall be identified wi</w:t>
      </w:r>
      <w:r>
        <w:t>th a “72A”</w:t>
      </w:r>
      <w:r w:rsidRPr="000E4182">
        <w:t xml:space="preserve"> brand on the left shoulder at least 3 inches in height, by Board of Animal Health personnel. Equine positive to the official test for EIA will be retested prior to identification by branding upon request by the owner, by Board of Animal Health personnel and the blood sample submitted to the Louisiana Veterinary Medical Diagnostic Laboratory for confirmation.</w:t>
      </w:r>
    </w:p>
    <w:p w14:paraId="67B43E3B" w14:textId="77777777" w:rsidR="005A46E7" w:rsidRPr="00A1145E" w:rsidRDefault="004C41B8" w:rsidP="004C41B8">
      <w:pPr>
        <w:pStyle w:val="AuthorityNote"/>
      </w:pPr>
      <w:r>
        <w:t>AUTHORITY NOTE:</w:t>
      </w:r>
      <w:r>
        <w:tab/>
      </w:r>
      <w:r w:rsidRPr="000E4182">
        <w:t>Promulgated in accordance with R.S. 3:2091-2097.</w:t>
      </w:r>
    </w:p>
    <w:p w14:paraId="08C45A6B" w14:textId="77777777" w:rsidR="005A46E7" w:rsidRPr="00A1145E" w:rsidRDefault="005A46E7" w:rsidP="005A46E7">
      <w:pPr>
        <w:pStyle w:val="HistoricalNote"/>
      </w:pPr>
      <w:r w:rsidRPr="00A1145E">
        <w:t>HISTORICAL NOTE:</w:t>
      </w:r>
      <w:r w:rsidRPr="00A1145E">
        <w:tab/>
      </w:r>
      <w:r w:rsidR="007B0B58" w:rsidRPr="001531CD">
        <w:t>Promulgated by the Department of Agriculture, Office of Animal Health Services, Livestock Sanitary Board, LR 11:243 (March 1985), amended LR 11:615 (June 1985), LR 14:223 (April 1988), LR 14:697 (October 1988), LR 20:406 (April 1994), LR 20:1257 (November 1994), amended by the Department of Agriculture and Forestry, Board of Animal Health, LR 35:406 (March 2009)</w:t>
      </w:r>
      <w:r w:rsidRPr="00A1145E">
        <w:t xml:space="preserve">, repromulgated by the Department of Agriculture and Forestry, </w:t>
      </w:r>
      <w:r w:rsidR="007356F4">
        <w:t>Office of Animal Health and Food Safety and the Board of Animal Health,</w:t>
      </w:r>
      <w:r w:rsidRPr="00A1145E">
        <w:t xml:space="preserve"> LR </w:t>
      </w:r>
      <w:r w:rsidR="004C41B8">
        <w:t>40:961 (May 2014), LR 43:1273 (July 2017).</w:t>
      </w:r>
    </w:p>
    <w:p w14:paraId="6FCD6D72" w14:textId="77777777" w:rsidR="004C41B8" w:rsidRPr="000E4182" w:rsidRDefault="005A46E7" w:rsidP="004C41B8">
      <w:pPr>
        <w:pStyle w:val="Section"/>
      </w:pPr>
      <w:bookmarkStart w:id="2075" w:name="_Toc256754723"/>
      <w:bookmarkStart w:id="2076" w:name="_Toc375025508"/>
      <w:bookmarkStart w:id="2077" w:name="_Toc224819122"/>
      <w:r w:rsidRPr="00A1145E">
        <w:t>§915.</w:t>
      </w:r>
      <w:r w:rsidRPr="00A1145E">
        <w:tab/>
      </w:r>
      <w:bookmarkEnd w:id="2075"/>
      <w:bookmarkEnd w:id="2076"/>
      <w:r w:rsidR="004C41B8" w:rsidRPr="000E4182">
        <w:t>Equine Quarantine Holding Area</w:t>
      </w:r>
      <w:r w:rsidR="004C41B8">
        <w:br/>
      </w:r>
      <w:r w:rsidR="004C41B8" w:rsidRPr="000E4182">
        <w:t>(</w:t>
      </w:r>
      <w:r w:rsidR="004C41B8">
        <w:t>F</w:t>
      </w:r>
      <w:r w:rsidR="004C41B8" w:rsidRPr="000E4182">
        <w:t>ormerly §931)</w:t>
      </w:r>
      <w:bookmarkEnd w:id="2077"/>
    </w:p>
    <w:p w14:paraId="36EC9F8F" w14:textId="77777777" w:rsidR="004C41B8" w:rsidRPr="000E4182" w:rsidRDefault="004C41B8" w:rsidP="004C41B8">
      <w:pPr>
        <w:pStyle w:val="A"/>
      </w:pPr>
      <w:r w:rsidRPr="000E4182">
        <w:t>A.</w:t>
      </w:r>
      <w:r w:rsidRPr="000E4182">
        <w:tab/>
        <w:t>Any person desiring to operate an equine quarantined holding area must file a written application for approval of the facility to the board and shall have:</w:t>
      </w:r>
    </w:p>
    <w:p w14:paraId="2EB1EF37" w14:textId="77777777" w:rsidR="004C41B8" w:rsidRPr="000E4182" w:rsidRDefault="004C41B8" w:rsidP="004C41B8">
      <w:pPr>
        <w:pStyle w:val="1"/>
      </w:pPr>
      <w:r w:rsidRPr="000E4182">
        <w:t>1.</w:t>
      </w:r>
      <w:r>
        <w:tab/>
      </w:r>
      <w:r w:rsidRPr="000E4182">
        <w:t>the equine quarantined holding facility and area inspected and approved by the board; and</w:t>
      </w:r>
    </w:p>
    <w:p w14:paraId="7B32E8A5" w14:textId="77777777" w:rsidR="004C41B8" w:rsidRPr="000E4182" w:rsidRDefault="004C41B8" w:rsidP="004C41B8">
      <w:pPr>
        <w:pStyle w:val="1"/>
      </w:pPr>
      <w:r w:rsidRPr="000E4182">
        <w:t>2.</w:t>
      </w:r>
      <w:r>
        <w:tab/>
      </w:r>
      <w:r w:rsidRPr="000E4182">
        <w:t>agree</w:t>
      </w:r>
      <w:r>
        <w:t>d</w:t>
      </w:r>
      <w:r w:rsidRPr="000E4182">
        <w:t>, in writing, to comply with these EIA rules and regulations.</w:t>
      </w:r>
    </w:p>
    <w:p w14:paraId="6B13EFB6" w14:textId="77777777" w:rsidR="004C41B8" w:rsidRPr="000E4182" w:rsidRDefault="004C41B8" w:rsidP="004C41B8">
      <w:pPr>
        <w:pStyle w:val="A"/>
      </w:pPr>
      <w:r w:rsidRPr="000E4182">
        <w:t>B.</w:t>
      </w:r>
      <w:r w:rsidRPr="000E4182">
        <w:tab/>
        <w:t xml:space="preserve">No other equine except equine consigned for slaughter shall be kept in an equine quarantined holding area and all equine held therein shall be </w:t>
      </w:r>
      <w:r>
        <w:t>“</w:t>
      </w:r>
      <w:r w:rsidRPr="000E4182">
        <w:t>S</w:t>
      </w:r>
      <w:r>
        <w:t>”</w:t>
      </w:r>
      <w:r w:rsidRPr="000E4182">
        <w:t xml:space="preserve"> branded.</w:t>
      </w:r>
    </w:p>
    <w:p w14:paraId="76DFF700" w14:textId="77777777" w:rsidR="004C41B8" w:rsidRPr="000E4182" w:rsidRDefault="004C41B8" w:rsidP="004C41B8">
      <w:pPr>
        <w:pStyle w:val="A"/>
      </w:pPr>
      <w:r w:rsidRPr="000E4182">
        <w:t>C.</w:t>
      </w:r>
      <w:r w:rsidRPr="000E4182">
        <w:tab/>
        <w:t>No equine shall be kept in the equine quarantined holding area longer than 60 days by which time the life of any such equine shall be ended.</w:t>
      </w:r>
    </w:p>
    <w:p w14:paraId="0913ABC5" w14:textId="77777777" w:rsidR="004C41B8" w:rsidRPr="000E4182" w:rsidRDefault="004C41B8" w:rsidP="004C41B8">
      <w:pPr>
        <w:pStyle w:val="A"/>
      </w:pPr>
      <w:r w:rsidRPr="000E4182">
        <w:t>D.</w:t>
      </w:r>
      <w:r w:rsidRPr="000E4182">
        <w:tab/>
        <w:t>No equine shall be released from an equine quarantined holding area except to be delivered direct to slaughter.</w:t>
      </w:r>
    </w:p>
    <w:p w14:paraId="52B16647" w14:textId="77777777" w:rsidR="004C41B8" w:rsidRPr="000E4182" w:rsidRDefault="004C41B8" w:rsidP="004C41B8">
      <w:pPr>
        <w:pStyle w:val="A"/>
      </w:pPr>
      <w:r w:rsidRPr="000E4182">
        <w:t>E.</w:t>
      </w:r>
      <w:r w:rsidRPr="000E4182">
        <w:tab/>
        <w:t xml:space="preserve">The equine quarantined holding area shall be an area where EIA positive equine, </w:t>
      </w:r>
      <w:r>
        <w:t>“</w:t>
      </w:r>
      <w:r w:rsidRPr="000E4182">
        <w:t>S</w:t>
      </w:r>
      <w:r>
        <w:t>”</w:t>
      </w:r>
      <w:r w:rsidRPr="000E4182">
        <w:t xml:space="preserve"> branded equine or both are kept at least 440 yards from all other equine at all times.</w:t>
      </w:r>
    </w:p>
    <w:p w14:paraId="7AAD9718" w14:textId="77777777" w:rsidR="005A46E7" w:rsidRPr="00A1145E" w:rsidRDefault="004C41B8" w:rsidP="004C41B8">
      <w:pPr>
        <w:pStyle w:val="AuthorityNote"/>
      </w:pPr>
      <w:r w:rsidRPr="000E4182">
        <w:t>AUTHORITY NOTE:</w:t>
      </w:r>
      <w:r w:rsidRPr="000E4182">
        <w:tab/>
        <w:t>Promulgated in accordance with R.S. 3:2091-2097.</w:t>
      </w:r>
    </w:p>
    <w:p w14:paraId="708A63BC" w14:textId="77777777"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 xml:space="preserve">Office of Animal </w:t>
      </w:r>
      <w:r w:rsidR="00490EB0">
        <w:t>Health and Food Safety and the Board of Animal Health,</w:t>
      </w:r>
      <w:r w:rsidR="00490EB0" w:rsidRPr="00A1145E">
        <w:t xml:space="preserve"> LR </w:t>
      </w:r>
      <w:r w:rsidR="00490EB0">
        <w:t>40:967 (May 2014)</w:t>
      </w:r>
      <w:r w:rsidR="004C41B8">
        <w:t>, LR 43:1274 (July 2017).</w:t>
      </w:r>
    </w:p>
    <w:p w14:paraId="0821126B" w14:textId="77777777" w:rsidR="005A46E7" w:rsidRPr="00A1145E" w:rsidRDefault="005A46E7" w:rsidP="005A46E7">
      <w:pPr>
        <w:pStyle w:val="Section"/>
      </w:pPr>
      <w:bookmarkStart w:id="2078" w:name="_Toc256754726"/>
      <w:bookmarkStart w:id="2079" w:name="_Toc375025511"/>
      <w:bookmarkStart w:id="2080" w:name="_Toc224819123"/>
      <w:r w:rsidRPr="00A1145E">
        <w:t>§917.</w:t>
      </w:r>
      <w:r w:rsidRPr="00A1145E">
        <w:tab/>
      </w:r>
      <w:bookmarkEnd w:id="2078"/>
      <w:bookmarkEnd w:id="2079"/>
      <w:r w:rsidR="00490EB0" w:rsidRPr="00490EB0">
        <w:t>Approved Equine Infectious Anemia Testing Laboratories</w:t>
      </w:r>
      <w:r w:rsidR="00490EB0" w:rsidRPr="00490EB0">
        <w:br/>
        <w:t>(Formerly §915)</w:t>
      </w:r>
      <w:bookmarkEnd w:id="2080"/>
    </w:p>
    <w:p w14:paraId="77CC54BB" w14:textId="77777777" w:rsidR="00490EB0" w:rsidRPr="000E4182" w:rsidRDefault="00490EB0" w:rsidP="00490EB0">
      <w:pPr>
        <w:pStyle w:val="A"/>
      </w:pPr>
      <w:r w:rsidRPr="000E4182">
        <w:t>A.</w:t>
      </w:r>
      <w:r w:rsidRPr="000E4182">
        <w:tab/>
        <w:t>No person shall operate an approved EIA testing laboratory without first obtaining approval from the United States Department of Agriculture, Animal and Plant Health Inspection Service, Veterinary Services, and from the Board of Animal Health.</w:t>
      </w:r>
    </w:p>
    <w:p w14:paraId="74DB7D2C" w14:textId="77777777" w:rsidR="00490EB0" w:rsidRPr="000E4182" w:rsidRDefault="00490EB0" w:rsidP="00490EB0">
      <w:pPr>
        <w:pStyle w:val="A"/>
      </w:pPr>
      <w:r w:rsidRPr="000E4182">
        <w:t>B.</w:t>
      </w:r>
      <w:r w:rsidRPr="000E4182">
        <w:tab/>
        <w:t>The conditions for approving an EIA te</w:t>
      </w:r>
      <w:r>
        <w:t>sting laboratory are as follows.</w:t>
      </w:r>
    </w:p>
    <w:p w14:paraId="235DE8E9" w14:textId="77777777" w:rsidR="00490EB0" w:rsidRPr="000E4182" w:rsidRDefault="00490EB0" w:rsidP="00490EB0">
      <w:pPr>
        <w:pStyle w:val="1"/>
      </w:pPr>
      <w:r w:rsidRPr="000E4182">
        <w:t>1.</w:t>
      </w:r>
      <w:r w:rsidRPr="000E4182">
        <w:tab/>
        <w:t>Any person applying for an EIA testing laboratory approval must submit a written application for approval by the board to the office of the state veterinarian.</w:t>
      </w:r>
    </w:p>
    <w:p w14:paraId="64BD0A15" w14:textId="77777777" w:rsidR="00490EB0" w:rsidRPr="000E4182" w:rsidRDefault="00490EB0" w:rsidP="00490EB0">
      <w:pPr>
        <w:pStyle w:val="1"/>
        <w:rPr>
          <w:strike/>
        </w:rPr>
      </w:pPr>
      <w:r w:rsidRPr="000E4182">
        <w:t>2.</w:t>
      </w:r>
      <w:r w:rsidRPr="000E4182">
        <w:tab/>
        <w:t>An inspection of the facility must be made by a representative of the Office of the State Veterinarian or the USDA/APHIS/VS who shall submit a report to the board indicating whether or not the person applying for an EIA testing laboratory approval has the facilities and equipment which are called for by the United States Department of Agriculture, Veterinary Services. Any person or laboratory that performs an official EIA test must meet and be in compliance with the requirements found in title 9, CFR 75.4(c) and with protocols in the latest USDA VS EIA laboratory guidance</w:t>
      </w:r>
      <w:r>
        <w:t>.</w:t>
      </w:r>
    </w:p>
    <w:p w14:paraId="4338C6DB" w14:textId="77777777" w:rsidR="00490EB0" w:rsidRPr="000E4182" w:rsidRDefault="00490EB0" w:rsidP="00490EB0">
      <w:pPr>
        <w:pStyle w:val="1"/>
      </w:pPr>
      <w:r w:rsidRPr="000E4182">
        <w:t>3.</w:t>
      </w:r>
      <w:r w:rsidRPr="000E4182">
        <w:tab/>
        <w:t>If the application is given preliminary approval by the board, the person applying will proceed with successful completion of training, examination, and inspection by the United States Department of Agriculture.</w:t>
      </w:r>
    </w:p>
    <w:p w14:paraId="7431A9BB" w14:textId="77777777" w:rsidR="00490EB0" w:rsidRPr="000E4182" w:rsidRDefault="00490EB0" w:rsidP="00490EB0">
      <w:pPr>
        <w:pStyle w:val="A"/>
      </w:pPr>
      <w:r w:rsidRPr="000E4182">
        <w:t>C.</w:t>
      </w:r>
      <w:r w:rsidRPr="000E4182">
        <w:tab/>
        <w:t>Conditions for Maintaining Equine Infectious Anemia Testing Laboratory Approval</w:t>
      </w:r>
    </w:p>
    <w:p w14:paraId="30495389" w14:textId="77777777" w:rsidR="00490EB0" w:rsidRPr="000E4182" w:rsidRDefault="00490EB0" w:rsidP="00490EB0">
      <w:pPr>
        <w:pStyle w:val="1"/>
      </w:pPr>
      <w:r w:rsidRPr="000E4182">
        <w:t>1.</w:t>
      </w:r>
      <w:r>
        <w:tab/>
      </w:r>
      <w:r w:rsidRPr="000E4182">
        <w:t>Approved EIA testing laboratories must maintain a work log clearly identifying each individual blood sample, EIA test result and VS Form 10-11 or electronic equivalent approved by the board, all of which must be preserved and available for inspection, for a period of time of not less than 24 months from the date of the EIA test.</w:t>
      </w:r>
    </w:p>
    <w:p w14:paraId="08167821" w14:textId="77777777" w:rsidR="00490EB0" w:rsidRPr="000E4182" w:rsidRDefault="00490EB0" w:rsidP="00490EB0">
      <w:pPr>
        <w:pStyle w:val="1"/>
      </w:pPr>
      <w:r w:rsidRPr="000E4182">
        <w:t>2.</w:t>
      </w:r>
      <w:r w:rsidRPr="000E4182">
        <w:tab/>
        <w:t>Approved EIA testing laboratories must maintain on file and make available for inspection a copy of all VS 10-11 forms or electronic equivalent approved by the board, for a period of 24 months.</w:t>
      </w:r>
    </w:p>
    <w:p w14:paraId="610B36CB" w14:textId="77777777" w:rsidR="00490EB0" w:rsidRPr="000E4182" w:rsidRDefault="00490EB0" w:rsidP="00490EB0">
      <w:pPr>
        <w:pStyle w:val="1"/>
      </w:pPr>
      <w:r w:rsidRPr="000E4182">
        <w:t>3.</w:t>
      </w:r>
      <w:r w:rsidRPr="000E4182">
        <w:tab/>
        <w:t>Approved EIA testing laboratories shall immediately report by telephone and facsimile or email all positive EIA test results to the state veterinarian's office within 24 hours of detection.</w:t>
      </w:r>
    </w:p>
    <w:p w14:paraId="0641FB6B" w14:textId="77777777" w:rsidR="00490EB0" w:rsidRPr="002A1BD7" w:rsidRDefault="00490EB0" w:rsidP="00490EB0">
      <w:pPr>
        <w:pStyle w:val="1"/>
        <w:rPr>
          <w:strike/>
        </w:rPr>
      </w:pPr>
      <w:r w:rsidRPr="000E4182">
        <w:t>4.</w:t>
      </w:r>
      <w:r w:rsidRPr="000E4182">
        <w:tab/>
        <w:t xml:space="preserve">The state veterinarian shall renew the approval of approved EIA testing laboratories in January of each year, provided the approved EIA testing laboratories maintain the standards required by this regulation and by the </w:t>
      </w:r>
      <w:r w:rsidRPr="002A1BD7">
        <w:t>United States Department of Agriculture</w:t>
      </w:r>
      <w:r w:rsidRPr="002A1BD7">
        <w:rPr>
          <w:color w:val="FF0000"/>
        </w:rPr>
        <w:t xml:space="preserve"> </w:t>
      </w:r>
      <w:r w:rsidRPr="002A1BD7">
        <w:t>requirements found in 9 CFR 75.4(c) and with protocols in the latest USDA VS EIA laboratory guidance</w:t>
      </w:r>
      <w:r w:rsidRPr="002A1BD7">
        <w:rPr>
          <w:color w:val="FF0000"/>
        </w:rPr>
        <w:t>.</w:t>
      </w:r>
      <w:r w:rsidRPr="002A1BD7">
        <w:t xml:space="preserve"> </w:t>
      </w:r>
    </w:p>
    <w:p w14:paraId="2C56DA0A" w14:textId="77777777" w:rsidR="00490EB0" w:rsidRPr="002A1BD7" w:rsidRDefault="00490EB0" w:rsidP="00490EB0">
      <w:pPr>
        <w:pStyle w:val="1"/>
      </w:pPr>
      <w:r w:rsidRPr="002A1BD7">
        <w:lastRenderedPageBreak/>
        <w:t>5.</w:t>
      </w:r>
      <w:r w:rsidRPr="002A1BD7">
        <w:tab/>
        <w:t xml:space="preserve">Approved EIA testing laboratories must submit a report of all positive and negative testing numbers to the Office of the State Veterinarian each month in a reporting format as prescribed by the board. </w:t>
      </w:r>
    </w:p>
    <w:p w14:paraId="1AF784E1" w14:textId="77777777" w:rsidR="00490EB0" w:rsidRPr="002A1BD7" w:rsidRDefault="00490EB0" w:rsidP="00490EB0">
      <w:pPr>
        <w:pStyle w:val="1"/>
      </w:pPr>
      <w:r w:rsidRPr="002A1BD7">
        <w:t>6.</w:t>
      </w:r>
      <w:r w:rsidRPr="002A1BD7">
        <w:tab/>
        <w:t xml:space="preserve">Approved EIA testing laboratories must submit the white original of each VS Form 10-11 or electronic equivalent approved by the board each month to the Office of the State Veterinarian. </w:t>
      </w:r>
    </w:p>
    <w:p w14:paraId="24B17E03" w14:textId="77777777" w:rsidR="00490EB0" w:rsidRPr="002A1BD7" w:rsidRDefault="00490EB0" w:rsidP="00490EB0">
      <w:pPr>
        <w:pStyle w:val="1"/>
      </w:pPr>
      <w:r w:rsidRPr="002A1BD7">
        <w:t>7.</w:t>
      </w:r>
      <w:r w:rsidRPr="002A1BD7">
        <w:tab/>
        <w:t>Approved EIA testing laboratories may charge a fee to the testing veterinarian for conducting an EIA test.</w:t>
      </w:r>
    </w:p>
    <w:p w14:paraId="483BFD80" w14:textId="77777777" w:rsidR="00490EB0" w:rsidRPr="002A1BD7" w:rsidRDefault="00490EB0" w:rsidP="00490EB0">
      <w:pPr>
        <w:pStyle w:val="A"/>
      </w:pPr>
      <w:r w:rsidRPr="002A1BD7">
        <w:t>D.</w:t>
      </w:r>
      <w:r w:rsidRPr="002A1BD7">
        <w:tab/>
        <w:t>All records of EIA tests conducted by an approved EIA testing laboratory shall contain the name of the approved EIA testing laboratory.</w:t>
      </w:r>
    </w:p>
    <w:p w14:paraId="4078EB1F" w14:textId="77777777" w:rsidR="00490EB0" w:rsidRPr="000E4182" w:rsidRDefault="00490EB0" w:rsidP="00490EB0">
      <w:pPr>
        <w:pStyle w:val="A"/>
        <w:rPr>
          <w:strike/>
        </w:rPr>
      </w:pPr>
      <w:r w:rsidRPr="002A1BD7">
        <w:t>E.</w:t>
      </w:r>
      <w:r w:rsidRPr="002A1BD7">
        <w:tab/>
        <w:t>An approved EIA testing laboratory may have its approval canceled if the board finds that the approved laboratory has failed to meet the requirements of the EIA rules and regulations, has falsified its records or reports, or has failed to maintain the standards required by this regulation and by the United States Department of Agriculture requirements</w:t>
      </w:r>
      <w:r w:rsidRPr="000E4182">
        <w:t xml:space="preserve"> found in title </w:t>
      </w:r>
      <w:r>
        <w:t>9, CFR 75.4</w:t>
      </w:r>
      <w:r w:rsidRPr="000E4182">
        <w:t>(c) and with protocols in the latest USDA VS EIA laboratory guidance.</w:t>
      </w:r>
    </w:p>
    <w:p w14:paraId="79E0D302" w14:textId="77777777" w:rsidR="005A46E7" w:rsidRPr="00A1145E" w:rsidRDefault="00490EB0" w:rsidP="00490EB0">
      <w:pPr>
        <w:pStyle w:val="AuthorityNote"/>
      </w:pPr>
      <w:r w:rsidRPr="000E4182">
        <w:t>AUTHORITY NOTE:</w:t>
      </w:r>
      <w:r w:rsidRPr="000E4182">
        <w:tab/>
        <w:t>Promulgated in accordance with R.S. 3:2091-2097.</w:t>
      </w:r>
    </w:p>
    <w:p w14:paraId="410BF042" w14:textId="77777777" w:rsidR="005A46E7" w:rsidRPr="00A1145E" w:rsidRDefault="005A46E7" w:rsidP="005A46E7">
      <w:pPr>
        <w:pStyle w:val="HistoricalNote"/>
      </w:pPr>
      <w:r w:rsidRPr="00A1145E">
        <w:t>HISTORICAL NOTE:</w:t>
      </w:r>
      <w:r w:rsidRPr="00A1145E">
        <w:tab/>
      </w:r>
      <w:r w:rsidR="007B0B58" w:rsidRPr="00C51CD9">
        <w:t>Promulgated by the Department of Agriculture and Forestry, Office of Animal Health Services, Livestock Sanitary Board, LR 23:945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490EB0">
        <w:t>40:964 (May 2014), LR 43:1274 (July 2017).</w:t>
      </w:r>
    </w:p>
    <w:p w14:paraId="020CE9A0" w14:textId="77777777" w:rsidR="00490EB0" w:rsidRPr="000E4182" w:rsidRDefault="005A46E7" w:rsidP="00490EB0">
      <w:pPr>
        <w:pStyle w:val="Section"/>
      </w:pPr>
      <w:bookmarkStart w:id="2081" w:name="_Toc256754727"/>
      <w:bookmarkStart w:id="2082" w:name="_Toc375025512"/>
      <w:bookmarkStart w:id="2083" w:name="_Toc224819124"/>
      <w:r w:rsidRPr="00A1145E">
        <w:t>§919.</w:t>
      </w:r>
      <w:r w:rsidRPr="00A1145E">
        <w:tab/>
      </w:r>
      <w:bookmarkEnd w:id="2081"/>
      <w:bookmarkEnd w:id="2082"/>
      <w:r w:rsidR="00490EB0" w:rsidRPr="00490EB0">
        <w:t>Penalties</w:t>
      </w:r>
      <w:r w:rsidR="00490EB0" w:rsidRPr="00490EB0">
        <w:br/>
        <w:t>(Formerly §923)</w:t>
      </w:r>
      <w:bookmarkEnd w:id="2083"/>
      <w:r w:rsidR="00490EB0" w:rsidRPr="000E4182">
        <w:t xml:space="preserve"> </w:t>
      </w:r>
    </w:p>
    <w:p w14:paraId="446B43D7" w14:textId="77777777" w:rsidR="00490EB0" w:rsidRPr="000E4182" w:rsidRDefault="00490EB0" w:rsidP="00490EB0">
      <w:pPr>
        <w:pStyle w:val="A"/>
      </w:pPr>
      <w:r>
        <w:t>A.</w:t>
      </w:r>
      <w:r>
        <w:tab/>
      </w:r>
      <w:r w:rsidRPr="000E4182">
        <w:t>The penalty for a violation of these EIA rules and regulations shall be a fine of up to $1,000 for each violation. With regard to continuing violations, whether acts or omissions, each day a violation occurs or continues shall be a separate violation.</w:t>
      </w:r>
    </w:p>
    <w:p w14:paraId="62166918" w14:textId="77777777" w:rsidR="00490EB0" w:rsidRPr="000E4182" w:rsidRDefault="00490EB0" w:rsidP="00490EB0">
      <w:pPr>
        <w:pStyle w:val="A"/>
      </w:pPr>
      <w:r>
        <w:t>B.</w:t>
      </w:r>
      <w:r>
        <w:tab/>
      </w:r>
      <w:r w:rsidRPr="000E4182">
        <w:t>Any person, whom knowingly falsifies information on an official EIA document, alters an official EIA document or uses falsified/altered EIA documents for the purpose of fraud shall be in violation of these regulations and subject to a fine of up to $1,000 for each violation.</w:t>
      </w:r>
      <w:r>
        <w:t xml:space="preserve"> </w:t>
      </w:r>
    </w:p>
    <w:p w14:paraId="10CAB455" w14:textId="77777777" w:rsidR="005A46E7" w:rsidRPr="00A1145E" w:rsidRDefault="00490EB0" w:rsidP="00490EB0">
      <w:pPr>
        <w:pStyle w:val="AuthorityNote"/>
      </w:pPr>
      <w:r w:rsidRPr="000E4182">
        <w:t>AUTHORITY NOTE:</w:t>
      </w:r>
      <w:r w:rsidRPr="000E4182">
        <w:tab/>
        <w:t>Promulgated in accordance with R.S. 3:2091-2097.</w:t>
      </w:r>
    </w:p>
    <w:p w14:paraId="4B74E8F6" w14:textId="77777777"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Office of Animal Health and Food Safety and the Board of Animal Health,</w:t>
      </w:r>
      <w:r w:rsidR="00490EB0" w:rsidRPr="00A1145E">
        <w:t xml:space="preserve"> LR </w:t>
      </w:r>
      <w:r w:rsidR="00490EB0">
        <w:t>40:966 (May 2014), LR 43:1275 (July 2017).</w:t>
      </w:r>
    </w:p>
    <w:p w14:paraId="5F19F52A" w14:textId="77777777" w:rsidR="00490EB0" w:rsidRPr="000E4182" w:rsidRDefault="005A46E7" w:rsidP="00490EB0">
      <w:pPr>
        <w:pStyle w:val="Section"/>
      </w:pPr>
      <w:bookmarkStart w:id="2084" w:name="_Toc256754728"/>
      <w:bookmarkStart w:id="2085" w:name="_Toc375025513"/>
      <w:bookmarkStart w:id="2086" w:name="_Toc224819125"/>
      <w:r w:rsidRPr="00A1145E">
        <w:t>§921.</w:t>
      </w:r>
      <w:r w:rsidRPr="00A1145E">
        <w:tab/>
      </w:r>
      <w:bookmarkEnd w:id="2084"/>
      <w:bookmarkEnd w:id="2085"/>
      <w:r w:rsidR="00490EB0" w:rsidRPr="000E4182">
        <w:t>Enforcement</w:t>
      </w:r>
      <w:r w:rsidR="00490EB0">
        <w:br/>
        <w:t>(Formerly §925)</w:t>
      </w:r>
      <w:bookmarkEnd w:id="2086"/>
    </w:p>
    <w:p w14:paraId="01DF3742" w14:textId="77777777" w:rsidR="00490EB0" w:rsidRPr="000E4182" w:rsidRDefault="00490EB0" w:rsidP="00490EB0">
      <w:pPr>
        <w:pStyle w:val="A"/>
      </w:pPr>
      <w:r w:rsidRPr="000E4182">
        <w:t>A.</w:t>
      </w:r>
      <w:r w:rsidRPr="000E4182">
        <w:tab/>
        <w:t>In addition to those relevant provisions of law, the board may do the following, as is necessary, to carry out the board's powers and duties and to accomplish the purpose of the EIA eradication program.</w:t>
      </w:r>
    </w:p>
    <w:p w14:paraId="6B57A123" w14:textId="77777777" w:rsidR="00490EB0" w:rsidRPr="000E4182" w:rsidRDefault="00490EB0" w:rsidP="00490EB0">
      <w:pPr>
        <w:pStyle w:val="1"/>
      </w:pPr>
      <w:r w:rsidRPr="000E4182">
        <w:t>1.</w:t>
      </w:r>
      <w:r w:rsidRPr="000E4182">
        <w:tab/>
        <w:t>The board may brand and permanently, individually identify equine.</w:t>
      </w:r>
    </w:p>
    <w:p w14:paraId="1BCDA478" w14:textId="77777777" w:rsidR="00490EB0" w:rsidRPr="000E4182" w:rsidRDefault="00490EB0" w:rsidP="00490EB0">
      <w:pPr>
        <w:pStyle w:val="1"/>
      </w:pPr>
      <w:r w:rsidRPr="000E4182">
        <w:t>2.</w:t>
      </w:r>
      <w:r w:rsidRPr="000E4182">
        <w:tab/>
        <w:t>The b</w:t>
      </w:r>
      <w:r>
        <w:t>oard may quarantine equine, EIA-</w:t>
      </w:r>
      <w:r w:rsidRPr="000E4182">
        <w:t>positive equine and equine in their prese</w:t>
      </w:r>
      <w:r>
        <w:t>nce, cause euthanization of EIA-</w:t>
      </w:r>
      <w:r w:rsidRPr="000E4182">
        <w:t>pos</w:t>
      </w:r>
      <w:r>
        <w:t>itive equine, euthanize the EIA-</w:t>
      </w:r>
      <w:r w:rsidRPr="000E4182">
        <w:t xml:space="preserve">positive </w:t>
      </w:r>
      <w:r>
        <w:t>equine or cause the sale of EIA-</w:t>
      </w:r>
      <w:r w:rsidRPr="000E4182">
        <w:t>positive equine for slaughter.</w:t>
      </w:r>
    </w:p>
    <w:p w14:paraId="3B2B579A" w14:textId="77777777" w:rsidR="00490EB0" w:rsidRPr="000E4182" w:rsidRDefault="00490EB0" w:rsidP="00490EB0">
      <w:pPr>
        <w:pStyle w:val="1"/>
      </w:pPr>
      <w:r w:rsidRPr="000E4182">
        <w:t>3.</w:t>
      </w:r>
      <w:r w:rsidRPr="000E4182">
        <w:tab/>
        <w:t>An authorized agent of the board may enter any premises or place where equine are present during reasonable hours with or without prior notice for the purpose of determining whether these EIA rules and regulations have been violated and to inspect the equine for the presence of EIA and exposure related to EIA. A testing veterinarian employed by the board may draw blood samples from the equine present for the EIA test.</w:t>
      </w:r>
    </w:p>
    <w:p w14:paraId="08CC77C8" w14:textId="77777777" w:rsidR="00490EB0" w:rsidRPr="000E4182" w:rsidRDefault="00490EB0" w:rsidP="00490EB0">
      <w:pPr>
        <w:pStyle w:val="1"/>
      </w:pPr>
      <w:r w:rsidRPr="000E4182">
        <w:t>4.a.</w:t>
      </w:r>
      <w:r w:rsidRPr="000E4182">
        <w:tab/>
        <w:t>Any authorized agent of the board shall have access to, and may enter at all reasonable hours, all places of business dealing in or with equine and all places of business where books, papers, accounts, records, or other documents related to equine are maintained.</w:t>
      </w:r>
    </w:p>
    <w:p w14:paraId="271BD60D" w14:textId="77777777" w:rsidR="00490EB0" w:rsidRPr="000E4182" w:rsidRDefault="00490EB0" w:rsidP="00490EB0">
      <w:pPr>
        <w:pStyle w:val="a0"/>
      </w:pPr>
      <w:r w:rsidRPr="000E4182">
        <w:t>b.</w:t>
      </w:r>
      <w:r w:rsidRPr="000E4182">
        <w:tab/>
        <w:t>The board may subpoena, and any authorized agent of the board may inspect, copy, audit or investigate any of the books, papers, accounts, records, or other documents pertaining to equine, all for the purpose of determining whether there is compliance with the provisions of R.S. 3:2091-2100, and with these EIA rules and regulations.</w:t>
      </w:r>
    </w:p>
    <w:p w14:paraId="71EF7282" w14:textId="77777777" w:rsidR="00490EB0" w:rsidRPr="000E4182" w:rsidRDefault="00490EB0" w:rsidP="00490EB0">
      <w:pPr>
        <w:pStyle w:val="a0"/>
      </w:pPr>
      <w:r w:rsidRPr="000E4182">
        <w:t>c.</w:t>
      </w:r>
      <w:r w:rsidRPr="000E4182">
        <w:tab/>
        <w:t xml:space="preserve">The authority granted in </w:t>
      </w:r>
      <w:r>
        <w:t>Subparagraph b of this Paragraph</w:t>
      </w:r>
      <w:r w:rsidRPr="000E4182">
        <w:t xml:space="preserve"> shall also extend to books, papers, accounts, records, or other documents of persons doing business with the above referenced places of business.</w:t>
      </w:r>
    </w:p>
    <w:p w14:paraId="0A08D180" w14:textId="77777777" w:rsidR="00490EB0" w:rsidRPr="000E4182" w:rsidRDefault="00490EB0" w:rsidP="00490EB0">
      <w:pPr>
        <w:pStyle w:val="1"/>
      </w:pPr>
      <w:r w:rsidRPr="000E4182">
        <w:t>5.</w:t>
      </w:r>
      <w:r w:rsidRPr="000E4182">
        <w:tab/>
        <w:t>The board may apply to a court of competent jurisdiction for a warrant to conduct any reasonable searches and seizures as is necessary to carry out the board's powers and duties not already provided for in these EIA rules and regulations.</w:t>
      </w:r>
    </w:p>
    <w:p w14:paraId="0F59E11D" w14:textId="77777777" w:rsidR="00490EB0" w:rsidRPr="000E4182" w:rsidRDefault="00490EB0" w:rsidP="00490EB0">
      <w:pPr>
        <w:pStyle w:val="1"/>
      </w:pPr>
      <w:r w:rsidRPr="000E4182">
        <w:t>6.</w:t>
      </w:r>
      <w:r w:rsidRPr="000E4182">
        <w:tab/>
        <w:t>The board may issue written orders in preventing, controlling or eradicating EIA, and a violation of any such order shall constitute a violation of these EIA rules and regulations.</w:t>
      </w:r>
    </w:p>
    <w:p w14:paraId="061DBF33" w14:textId="77777777" w:rsidR="005A46E7" w:rsidRPr="00A1145E" w:rsidRDefault="00490EB0" w:rsidP="00490EB0">
      <w:pPr>
        <w:pStyle w:val="AuthorityNote"/>
      </w:pPr>
      <w:r w:rsidRPr="000E4182">
        <w:t>AUTHORITY NOTE:</w:t>
      </w:r>
      <w:r w:rsidRPr="000E4182">
        <w:tab/>
        <w:t>Promulgated in accordance with R.S. 3:2091-2097.</w:t>
      </w:r>
    </w:p>
    <w:p w14:paraId="3E3CBAB4" w14:textId="77777777"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Office of Animal Health and Food Safety and the Board of Animal Health,</w:t>
      </w:r>
      <w:r w:rsidR="00490EB0" w:rsidRPr="00A1145E">
        <w:t xml:space="preserve"> LR </w:t>
      </w:r>
      <w:r w:rsidR="00490EB0">
        <w:t>40:966 (May 2014), LR 43:1275 (July 2017).</w:t>
      </w:r>
    </w:p>
    <w:p w14:paraId="3AD3678E" w14:textId="77777777" w:rsidR="00490EB0" w:rsidRPr="000E4182" w:rsidRDefault="005A46E7" w:rsidP="00490EB0">
      <w:pPr>
        <w:pStyle w:val="Section"/>
      </w:pPr>
      <w:bookmarkStart w:id="2087" w:name="_Toc256754729"/>
      <w:bookmarkStart w:id="2088" w:name="_Toc375025514"/>
      <w:bookmarkStart w:id="2089" w:name="_Toc224819126"/>
      <w:r w:rsidRPr="00A1145E">
        <w:t>§923.</w:t>
      </w:r>
      <w:r w:rsidRPr="00A1145E">
        <w:tab/>
      </w:r>
      <w:bookmarkEnd w:id="2087"/>
      <w:bookmarkEnd w:id="2088"/>
      <w:r w:rsidR="00490EB0" w:rsidRPr="000E4182">
        <w:t>Severability</w:t>
      </w:r>
      <w:r w:rsidR="00490EB0">
        <w:br/>
      </w:r>
      <w:r w:rsidR="00490EB0" w:rsidRPr="000E4182">
        <w:t>(Formerly §935)</w:t>
      </w:r>
      <w:bookmarkEnd w:id="2089"/>
    </w:p>
    <w:p w14:paraId="5B387618" w14:textId="77777777" w:rsidR="00490EB0" w:rsidRPr="000E4182" w:rsidRDefault="00490EB0" w:rsidP="00490EB0">
      <w:pPr>
        <w:pStyle w:val="A"/>
      </w:pPr>
      <w:r w:rsidRPr="000E4182">
        <w:t>A.</w:t>
      </w:r>
      <w:r w:rsidRPr="000E4182">
        <w:tab/>
        <w:t>If any part of these EIA rules and regulations is declared to be invalid for any reason by any court of competent jurisdiction, said declaration shall not affect the validity of any other part not so declared.</w:t>
      </w:r>
    </w:p>
    <w:p w14:paraId="201769D0" w14:textId="77777777" w:rsidR="00490EB0" w:rsidRPr="000E4182" w:rsidRDefault="00490EB0" w:rsidP="00490EB0">
      <w:pPr>
        <w:pStyle w:val="AuthorityNote"/>
      </w:pPr>
      <w:r w:rsidRPr="000E4182">
        <w:t>AUTHORITY NOTE:</w:t>
      </w:r>
      <w:r w:rsidRPr="000E4182">
        <w:tab/>
        <w:t>Promulgated in accordance with R.S. 3:2091-2097.</w:t>
      </w:r>
    </w:p>
    <w:p w14:paraId="3D43040A" w14:textId="77777777" w:rsidR="005A46E7" w:rsidRPr="00A1145E" w:rsidRDefault="005A46E7" w:rsidP="005A46E7">
      <w:pPr>
        <w:pStyle w:val="HistoricalNote"/>
      </w:pPr>
      <w:r w:rsidRPr="00A1145E">
        <w:t>HISTORICAL NOTE:</w:t>
      </w:r>
      <w:r w:rsidRPr="00A1145E">
        <w:tab/>
      </w:r>
      <w:r w:rsidR="00490EB0" w:rsidRPr="001531CD">
        <w:t xml:space="preserve">Promulgated by the Department of Agriculture and Forestry, Office of Animal Health Services, </w:t>
      </w:r>
      <w:r w:rsidR="00490EB0" w:rsidRPr="001531CD">
        <w:lastRenderedPageBreak/>
        <w:t>Livestock Sanitary Board, LR 23:949 (August 1997)</w:t>
      </w:r>
      <w:r w:rsidR="00490EB0" w:rsidRPr="00A1145E">
        <w:t xml:space="preserve">, repromulgated by </w:t>
      </w:r>
      <w:r w:rsidR="00490EB0" w:rsidRPr="00490EB0">
        <w:t>the Department of Agriculture and Forestry, Office of Animal Health and Food Safety and the Board of Animal Health, LR 40:968 (May 2014), LR 43:1275 (July 2017).</w:t>
      </w:r>
    </w:p>
    <w:p w14:paraId="4EFEC54E" w14:textId="77777777" w:rsidR="005A46E7" w:rsidRPr="00A1145E" w:rsidRDefault="005A46E7" w:rsidP="005A46E7">
      <w:pPr>
        <w:pStyle w:val="Chapter"/>
      </w:pPr>
      <w:bookmarkStart w:id="2090" w:name="_Toc224819127"/>
      <w:r w:rsidRPr="00A1145E">
        <w:t>Chapter 11.</w:t>
      </w:r>
      <w:r w:rsidRPr="00A1145E">
        <w:tab/>
        <w:t>Poultry and Other Birds</w:t>
      </w:r>
      <w:r>
        <w:br/>
        <w:t>(Formerly Chapter 7)</w:t>
      </w:r>
      <w:bookmarkEnd w:id="2090"/>
    </w:p>
    <w:p w14:paraId="1EE41ABA" w14:textId="77777777" w:rsidR="005A46E7" w:rsidRPr="00A1145E" w:rsidRDefault="005A46E7" w:rsidP="005A46E7">
      <w:pPr>
        <w:pStyle w:val="Section"/>
      </w:pPr>
      <w:bookmarkStart w:id="2091" w:name="_Toc388358310"/>
      <w:bookmarkStart w:id="2092" w:name="_Toc396115212"/>
      <w:bookmarkStart w:id="2093" w:name="_Toc411855603"/>
      <w:bookmarkStart w:id="2094" w:name="_Toc419795805"/>
      <w:bookmarkStart w:id="2095" w:name="_Toc427737193"/>
      <w:bookmarkStart w:id="2096" w:name="_Toc438546995"/>
      <w:bookmarkStart w:id="2097" w:name="_Toc446326982"/>
      <w:bookmarkStart w:id="2098" w:name="_Toc448825172"/>
      <w:bookmarkStart w:id="2099" w:name="_Toc451506216"/>
      <w:bookmarkStart w:id="2100" w:name="_Toc462212639"/>
      <w:bookmarkStart w:id="2101" w:name="_Toc468096559"/>
      <w:bookmarkStart w:id="2102" w:name="_Toc477854024"/>
      <w:bookmarkStart w:id="2103" w:name="_Toc488735968"/>
      <w:bookmarkStart w:id="2104" w:name="_Toc491176779"/>
      <w:bookmarkStart w:id="2105" w:name="_Toc509393702"/>
      <w:bookmarkStart w:id="2106" w:name="_Toc525114871"/>
      <w:bookmarkStart w:id="2107" w:name="_Toc224819128"/>
      <w:r w:rsidRPr="00A1145E">
        <w:t>§1101.</w:t>
      </w:r>
      <w:r w:rsidRPr="00A1145E">
        <w:tab/>
        <w:t>Reserved</w:t>
      </w:r>
      <w:r>
        <w:t>.</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2FE21FCC" w14:textId="77777777" w:rsidR="005A46E7" w:rsidRPr="00A1145E" w:rsidRDefault="005A46E7" w:rsidP="005A46E7">
      <w:pPr>
        <w:pStyle w:val="Section"/>
      </w:pPr>
      <w:bookmarkStart w:id="2108" w:name="_Toc256754739"/>
      <w:bookmarkStart w:id="2109" w:name="_Toc375025524"/>
      <w:bookmarkStart w:id="2110" w:name="_Toc224819129"/>
      <w:r w:rsidRPr="00A1145E">
        <w:t>§1103.</w:t>
      </w:r>
      <w:r w:rsidRPr="00A1145E">
        <w:tab/>
        <w:t>Slaughter and Testing of Poultry of Questionable Health</w:t>
      </w:r>
      <w:bookmarkEnd w:id="2108"/>
      <w:bookmarkEnd w:id="2109"/>
      <w:r w:rsidR="00550BA0">
        <w:t xml:space="preserve"> </w:t>
      </w:r>
      <w:r>
        <w:t>(</w:t>
      </w:r>
      <w:r w:rsidRPr="00A1145E">
        <w:t>Formerly §705</w:t>
      </w:r>
      <w:r>
        <w:t>)</w:t>
      </w:r>
      <w:bookmarkEnd w:id="2110"/>
    </w:p>
    <w:p w14:paraId="10EAA0DD" w14:textId="77777777" w:rsidR="009F4891" w:rsidRPr="00EA2E74" w:rsidRDefault="009F4891" w:rsidP="009F4891">
      <w:pPr>
        <w:pStyle w:val="A"/>
      </w:pPr>
      <w:r w:rsidRPr="00EA2E74">
        <w:t>A.</w:t>
      </w:r>
      <w:r w:rsidRPr="00EA2E74">
        <w:tab/>
        <w:t>Poultry of questionable health in the opinion of an authorized agent of the Board of Animal Health that are consigned to a recognized slaughter establishment within Louisiana will be quarantined and the entire shipment</w:t>
      </w:r>
      <w:r>
        <w:t xml:space="preserve"> </w:t>
      </w:r>
      <w:r w:rsidRPr="00EA2E74">
        <w:t>reconsigned to a slaughter establishment maintaining federal inspection for wholesomeness, or returned to the place of origin.</w:t>
      </w:r>
    </w:p>
    <w:p w14:paraId="142A0A44" w14:textId="77777777" w:rsidR="009F4891" w:rsidRPr="00EA2E74" w:rsidRDefault="009F4891" w:rsidP="009F4891">
      <w:pPr>
        <w:pStyle w:val="A"/>
      </w:pPr>
      <w:r w:rsidRPr="00EA2E74">
        <w:t>B.</w:t>
      </w:r>
      <w:r w:rsidRPr="00EA2E74">
        <w:tab/>
        <w:t>All hatcheries and hatchery supply flocks within the state must be qualified as U.S. pullorum/typhoid clean or have met equivalent requirements for pullorum/typhoid control under official state supervision. If other domesticated fowl, with the exception of waterfowl, are maintained on the same premises as the participating flock, freedom from pullorum/typhoid infection shall be demonstrated by an official blood test of each of these fowl.</w:t>
      </w:r>
    </w:p>
    <w:p w14:paraId="2BD88D39" w14:textId="77777777" w:rsidR="009F4891" w:rsidRPr="00EA2E74" w:rsidRDefault="009F4891" w:rsidP="009F4891">
      <w:pPr>
        <w:pStyle w:val="A"/>
      </w:pPr>
      <w:r w:rsidRPr="00EA2E74">
        <w:t>C.</w:t>
      </w:r>
      <w:r w:rsidRPr="00EA2E74">
        <w:tab/>
        <w:t xml:space="preserve">All flocks which test positive for </w:t>
      </w:r>
      <w:r w:rsidRPr="00EA2E74">
        <w:rPr>
          <w:i/>
          <w:iCs/>
        </w:rPr>
        <w:t xml:space="preserve">Salmonella pullorum </w:t>
      </w:r>
      <w:r w:rsidRPr="00EA2E74">
        <w:t xml:space="preserve">or </w:t>
      </w:r>
      <w:r w:rsidRPr="00EA2E74">
        <w:rPr>
          <w:i/>
          <w:iCs/>
        </w:rPr>
        <w:t xml:space="preserve">Salmonella galinarum </w:t>
      </w:r>
      <w:r w:rsidRPr="00EA2E74">
        <w:t>shall be followed by an investigation by the official state agency to determine the origin of the infection.</w:t>
      </w:r>
    </w:p>
    <w:p w14:paraId="2DAE983A" w14:textId="77777777" w:rsidR="009F4891" w:rsidRPr="00EA2E74" w:rsidRDefault="009F4891" w:rsidP="009F4891">
      <w:pPr>
        <w:pStyle w:val="A"/>
      </w:pPr>
      <w:r w:rsidRPr="00EA2E74">
        <w:t>D.</w:t>
      </w:r>
      <w:r w:rsidRPr="00EA2E74">
        <w:tab/>
        <w:t>All flocks found to test positive for pullorum or typhoid shall be quarantined until marketed or destroyed under the supervision of the official state agency or until subsequently blood tested at intervals of at least 21 days and until two consecutive negatives tests are obtained.</w:t>
      </w:r>
    </w:p>
    <w:p w14:paraId="1E12BEB7" w14:textId="77777777" w:rsidR="005A46E7" w:rsidRPr="00A1145E" w:rsidRDefault="009F4891" w:rsidP="009F4891">
      <w:pPr>
        <w:pStyle w:val="AuthorityNote"/>
      </w:pPr>
      <w:r w:rsidRPr="00EA2E74">
        <w:t>AUTHORITY NOTE:</w:t>
      </w:r>
      <w:r w:rsidRPr="00EA2E74">
        <w:tab/>
        <w:t>Promulgated in accordance with R.S. 3:2093.</w:t>
      </w:r>
    </w:p>
    <w:p w14:paraId="502B3D8F" w14:textId="77777777" w:rsidR="005A46E7" w:rsidRPr="00A1145E" w:rsidRDefault="005A46E7" w:rsidP="005A46E7">
      <w:pPr>
        <w:pStyle w:val="HistoricalNote"/>
      </w:pPr>
      <w:r w:rsidRPr="00A1145E">
        <w:t>HISTORICAL NOTE:</w:t>
      </w:r>
      <w:r w:rsidRPr="00A1145E">
        <w:tab/>
      </w:r>
      <w:r w:rsidR="00FD1E32" w:rsidRPr="001531CD">
        <w:t>Promulgated by the Department of Agriculture, Livestock Sanitary Board, LR 11:244 (March 1985), amended LR 11:615 (June 1985), amended by the Department of Agriculture and Forestry, Livestock Sanitary Board, LR 15:812 (October 1989)</w:t>
      </w:r>
      <w:r w:rsidRPr="00A1145E">
        <w:t xml:space="preserve">, repromulgated by the Department of Agriculture and Forestry, </w:t>
      </w:r>
      <w:r w:rsidR="007356F4">
        <w:t>Office of Animal Health and Food Safety and the Board of Animal Health,</w:t>
      </w:r>
      <w:r w:rsidRPr="00A1145E">
        <w:t xml:space="preserve"> LR </w:t>
      </w:r>
      <w:r w:rsidR="009F4891">
        <w:t>40:968 (May 2014), amended LR 43:1278 (July 2017).</w:t>
      </w:r>
    </w:p>
    <w:p w14:paraId="25E570F1" w14:textId="77777777" w:rsidR="005A46E7" w:rsidRPr="00A1145E" w:rsidRDefault="005A46E7" w:rsidP="005A46E7">
      <w:pPr>
        <w:pStyle w:val="Section"/>
      </w:pPr>
      <w:bookmarkStart w:id="2111" w:name="_Toc256754740"/>
      <w:bookmarkStart w:id="2112" w:name="_Toc375025525"/>
      <w:bookmarkStart w:id="2113" w:name="_Toc224819130"/>
      <w:r w:rsidRPr="00A1145E">
        <w:t>§1105.</w:t>
      </w:r>
      <w:r w:rsidRPr="00A1145E">
        <w:tab/>
        <w:t>Sanitary Disposal of Dead Poultry</w:t>
      </w:r>
      <w:bookmarkEnd w:id="2111"/>
      <w:bookmarkEnd w:id="2112"/>
      <w:r>
        <w:br/>
        <w:t>(</w:t>
      </w:r>
      <w:r w:rsidRPr="00A1145E">
        <w:t>Formerly §707</w:t>
      </w:r>
      <w:r>
        <w:t>)</w:t>
      </w:r>
      <w:bookmarkEnd w:id="2113"/>
    </w:p>
    <w:p w14:paraId="6E2A86CB" w14:textId="77777777" w:rsidR="009F4891" w:rsidRPr="00EA2E74" w:rsidRDefault="009F4891" w:rsidP="009F4891">
      <w:pPr>
        <w:pStyle w:val="A"/>
      </w:pPr>
      <w:r w:rsidRPr="00EA2E74">
        <w:t>A.</w:t>
      </w:r>
      <w:r w:rsidRPr="00EA2E74">
        <w:tab/>
        <w:t>All commercial poultry producers are required to obtain a certificate of approval for their disposal method from the Louisiana Department of Agriculture and Forestry (LDAF). Failure to obtain a certificate shall be considered a violation of this regulation. Certificates of approval are continuous, but subject to review and cancellation should the poultry producer fail to dispose of dead poultry in accordance with this regulation.</w:t>
      </w:r>
    </w:p>
    <w:p w14:paraId="70821141" w14:textId="77777777" w:rsidR="009F4891" w:rsidRPr="00EA2E74" w:rsidRDefault="009F4891" w:rsidP="009F4891">
      <w:pPr>
        <w:pStyle w:val="A"/>
      </w:pPr>
      <w:r w:rsidRPr="00EA2E74">
        <w:t>B.</w:t>
      </w:r>
      <w:r w:rsidRPr="00EA2E74">
        <w:tab/>
        <w:t xml:space="preserve">Dead poultry must be removed from the presence of live poultry within 24 hours after death. The carcasses, parts </w:t>
      </w:r>
      <w:r w:rsidRPr="00EA2E74">
        <w:t>of carcasses and offal must be held in covered containers until disposal is made by one of the approved methods. In no instance, however, will the storage of dead poultry be allowed to create sanitary problems. Commercial poultry producers shall be required to dispose of dead poultry by one of the following methods.</w:t>
      </w:r>
    </w:p>
    <w:p w14:paraId="48DCE007" w14:textId="77777777" w:rsidR="009F4891" w:rsidRPr="00EA2E74" w:rsidRDefault="009F4891" w:rsidP="009F4891">
      <w:pPr>
        <w:pStyle w:val="1"/>
      </w:pPr>
      <w:r w:rsidRPr="00EA2E74">
        <w:t>1.</w:t>
      </w:r>
      <w:r w:rsidRPr="00EA2E74">
        <w:tab/>
        <w:t>Incinerators. Incinerators shall be constructed in a manner and design capable of providing a method of disposal of dead poultry to prevent the spread of diseases. The design and construction must be approved by an authorized representative of the Board of Animal Health.</w:t>
      </w:r>
    </w:p>
    <w:p w14:paraId="5C8B384B" w14:textId="77777777" w:rsidR="009F4891" w:rsidRPr="00EA2E74" w:rsidRDefault="009F4891" w:rsidP="009F4891">
      <w:pPr>
        <w:pStyle w:val="1"/>
      </w:pPr>
      <w:r w:rsidRPr="00EA2E74">
        <w:t>2.</w:t>
      </w:r>
      <w:r w:rsidRPr="00EA2E74">
        <w:tab/>
        <w:t>Rendering Plant. Dead poultry, parts of carcasses and poultry offal may be transported in covered containers to approved rendering plants. Poultry carcasses may be held on the premises of commercial poultry producers for up to 24 hours as long as the storage does not create a sanitary problem. All such methods of storage and transportation of dead poultry to approved rendering plants must be approved by an authorized representative of the Board of Animal Health.</w:t>
      </w:r>
    </w:p>
    <w:p w14:paraId="63FB8796" w14:textId="77777777" w:rsidR="009F4891" w:rsidRPr="00EA2E74" w:rsidRDefault="009F4891" w:rsidP="009F4891">
      <w:pPr>
        <w:pStyle w:val="1"/>
      </w:pPr>
      <w:r>
        <w:t>3.</w:t>
      </w:r>
      <w:r w:rsidRPr="00EA2E74">
        <w:tab/>
        <w:t>Composting. The design, construction, and use of compost units such as sheds or drums must be approved by an authorized representative of the Board of Animal Health.</w:t>
      </w:r>
    </w:p>
    <w:p w14:paraId="438D6660" w14:textId="77777777" w:rsidR="009F4891" w:rsidRPr="00C843A7" w:rsidRDefault="009F4891" w:rsidP="009F4891">
      <w:pPr>
        <w:pStyle w:val="A"/>
      </w:pPr>
      <w:r w:rsidRPr="00EA2E74">
        <w:t>C.</w:t>
      </w:r>
      <w:r w:rsidRPr="00EA2E74">
        <w:tab/>
        <w:t>Burial. In the event of the death of more than 1 percent of broilers or 0.5 percent of pullets or breeders over four weeks of age on the same premises within a 24-hour period of time, the dead poultry may be disposed of by on-site</w:t>
      </w:r>
      <w:r>
        <w:t xml:space="preserve"> burial. The state veterinarian’</w:t>
      </w:r>
      <w:r w:rsidRPr="00EA2E74">
        <w:t>s office must be notified immediately by telephone or facsimile in the event of excessive mortality requiring on-site burial.</w:t>
      </w:r>
      <w:r>
        <w:t xml:space="preserve"> </w:t>
      </w:r>
      <w:r w:rsidRPr="00EA2E74">
        <w:t xml:space="preserve">An exemption waiver will be submitted to the grower, LDAF and commercial poultry management once a burial site has been </w:t>
      </w:r>
      <w:r w:rsidRPr="00C843A7">
        <w:t>inspected and appro</w:t>
      </w:r>
      <w:r>
        <w:t>ved by the LDAF representative.</w:t>
      </w:r>
    </w:p>
    <w:p w14:paraId="229D4565" w14:textId="77777777" w:rsidR="005A46E7" w:rsidRPr="00A1145E" w:rsidRDefault="009F4891" w:rsidP="009F4891">
      <w:pPr>
        <w:pStyle w:val="AuthorityNote"/>
      </w:pPr>
      <w:r w:rsidRPr="00EA2E74">
        <w:t>AUTHORITY NOTE:</w:t>
      </w:r>
      <w:r w:rsidRPr="00EA2E74">
        <w:tab/>
        <w:t>Promulgated in accordance with R.S. 3:2093.</w:t>
      </w:r>
    </w:p>
    <w:p w14:paraId="067C0957" w14:textId="77777777" w:rsidR="005A46E7" w:rsidRPr="00A1145E" w:rsidRDefault="005A46E7" w:rsidP="005A46E7">
      <w:pPr>
        <w:pStyle w:val="HistoricalNote"/>
      </w:pPr>
      <w:r w:rsidRPr="00A1145E">
        <w:t>HISTORICAL NOTE:</w:t>
      </w:r>
      <w:r w:rsidRPr="00A1145E">
        <w:tab/>
      </w:r>
      <w:r w:rsidR="00FD1E32" w:rsidRPr="001531CD">
        <w:t>Promulgated by the Department of Agriculture, Livestock Sanitary Board, LR 11:244 (March 1985), amended LR 11:615 (June 1985), LR 17:874 (September 1991), LR 18:1355 (December 1992), LR 20:863 (August 1994), LR 23:949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9F4891">
        <w:t>40:968 (May 2014), amended</w:t>
      </w:r>
      <w:r w:rsidR="009F4891" w:rsidRPr="00EA2E74">
        <w:t xml:space="preserve"> </w:t>
      </w:r>
      <w:r w:rsidR="009F4891">
        <w:t>LR 43:1278 (July 2017).</w:t>
      </w:r>
    </w:p>
    <w:p w14:paraId="5F7EF352" w14:textId="77777777" w:rsidR="005A46E7" w:rsidRPr="00A1145E" w:rsidRDefault="005A46E7" w:rsidP="005A46E7">
      <w:pPr>
        <w:pStyle w:val="Chapter"/>
      </w:pPr>
      <w:bookmarkStart w:id="2114" w:name="_Toc224819131"/>
      <w:r w:rsidRPr="00A1145E">
        <w:t>Chapter 13.</w:t>
      </w:r>
      <w:r w:rsidRPr="00A1145E">
        <w:tab/>
        <w:t>Swine</w:t>
      </w:r>
      <w:r>
        <w:br/>
        <w:t>(Formerly Chapter 9)</w:t>
      </w:r>
      <w:bookmarkEnd w:id="2114"/>
    </w:p>
    <w:p w14:paraId="24496AC8" w14:textId="77777777" w:rsidR="005A46E7" w:rsidRPr="00A1145E" w:rsidRDefault="005A46E7" w:rsidP="005A46E7">
      <w:pPr>
        <w:pStyle w:val="Chapter"/>
      </w:pPr>
      <w:bookmarkStart w:id="2115" w:name="_Toc224819132"/>
      <w:r w:rsidRPr="00A1145E">
        <w:t>S</w:t>
      </w:r>
      <w:r>
        <w:t>ubchapter A.</w:t>
      </w:r>
      <w:r>
        <w:tab/>
        <w:t>General Provisions</w:t>
      </w:r>
      <w:bookmarkEnd w:id="2115"/>
    </w:p>
    <w:p w14:paraId="2F9233E7" w14:textId="77777777" w:rsidR="009F50CE" w:rsidRPr="00FD2E5C" w:rsidRDefault="009F50CE" w:rsidP="009F50CE">
      <w:pPr>
        <w:pStyle w:val="Section"/>
      </w:pPr>
      <w:bookmarkStart w:id="2116" w:name="_Toc224819133"/>
      <w:bookmarkStart w:id="2117" w:name="_Toc419795810"/>
      <w:r>
        <w:t>§1301.</w:t>
      </w:r>
      <w:r>
        <w:tab/>
      </w:r>
      <w:r w:rsidRPr="00FD2E5C">
        <w:t>Definitions</w:t>
      </w:r>
      <w:bookmarkEnd w:id="2116"/>
    </w:p>
    <w:bookmarkEnd w:id="2117"/>
    <w:p w14:paraId="16DDF611" w14:textId="77777777" w:rsidR="009F50CE" w:rsidRPr="00FD2E5C" w:rsidRDefault="009F50CE" w:rsidP="009F50CE">
      <w:pPr>
        <w:pStyle w:val="A"/>
      </w:pPr>
      <w:r w:rsidRPr="00FD2E5C">
        <w:t>A.</w:t>
      </w:r>
      <w:r w:rsidRPr="00FD2E5C">
        <w:tab/>
        <w:t>For purposes of this Chapter, the following words shall have the following meanings unless the context clearly indicates otherwise.</w:t>
      </w:r>
    </w:p>
    <w:p w14:paraId="5C35B926" w14:textId="77777777" w:rsidR="009F50CE" w:rsidRPr="00FD2E5C" w:rsidRDefault="009F50CE" w:rsidP="009F50CE">
      <w:pPr>
        <w:pStyle w:val="1"/>
      </w:pPr>
      <w:r w:rsidRPr="00FD2E5C">
        <w:rPr>
          <w:i/>
        </w:rPr>
        <w:t>Approved Holding Facility</w:t>
      </w:r>
      <w:r>
        <w:t>—</w:t>
      </w:r>
      <w:r w:rsidRPr="00FD2E5C">
        <w:t>a pen or pens approved by LDAF to temporarily hold feral swine pending movement to a recognized slaughter facility or reclassification</w:t>
      </w:r>
      <w:r>
        <w:t>.</w:t>
      </w:r>
    </w:p>
    <w:p w14:paraId="140CD1E1" w14:textId="77777777" w:rsidR="009F50CE" w:rsidRPr="00FD2E5C" w:rsidRDefault="009F50CE" w:rsidP="009F50CE">
      <w:pPr>
        <w:pStyle w:val="1"/>
      </w:pPr>
      <w:r w:rsidRPr="00FD2E5C">
        <w:rPr>
          <w:i/>
        </w:rPr>
        <w:lastRenderedPageBreak/>
        <w:t>Domestic Swine</w:t>
      </w:r>
      <w:r>
        <w:t>—</w:t>
      </w:r>
      <w:r w:rsidRPr="00FD2E5C">
        <w:t>swine (</w:t>
      </w:r>
      <w:r w:rsidRPr="00FD2E5C">
        <w:rPr>
          <w:i/>
        </w:rPr>
        <w:t>Sus scrofa</w:t>
      </w:r>
      <w:r w:rsidRPr="00FD2E5C">
        <w:t>) other than feral swine.</w:t>
      </w:r>
    </w:p>
    <w:p w14:paraId="4ADC6DDE" w14:textId="77777777" w:rsidR="009F50CE" w:rsidRPr="00FD2E5C" w:rsidRDefault="009F50CE" w:rsidP="009F50CE">
      <w:pPr>
        <w:pStyle w:val="1"/>
      </w:pPr>
      <w:r w:rsidRPr="00FD2E5C">
        <w:rPr>
          <w:i/>
        </w:rPr>
        <w:t>Feral Swine</w:t>
      </w:r>
      <w:r>
        <w:t>—</w:t>
      </w:r>
      <w:r w:rsidRPr="00FD2E5C">
        <w:t>any hog, pig, or swine species (</w:t>
      </w:r>
      <w:r w:rsidRPr="00FD2E5C">
        <w:rPr>
          <w:i/>
        </w:rPr>
        <w:t>Sus scrofa</w:t>
      </w:r>
      <w:r w:rsidRPr="00FD2E5C">
        <w:t>) including, but not limited to, Russian and European wild boar and their hybrids that are running at large, free roaming, or wild upon public or private lands in this state, and shall also include any hog, pig, or swine species that has lived any part of its life running at large, free roaming, or wild.</w:t>
      </w:r>
      <w:r>
        <w:t xml:space="preserve"> </w:t>
      </w:r>
      <w:r w:rsidRPr="00FD2E5C">
        <w:t>The term feral swine shall also include any feral phenotype swine, whether or not running at large, free roaming, or wild.</w:t>
      </w:r>
    </w:p>
    <w:p w14:paraId="056FC248" w14:textId="77777777" w:rsidR="009F50CE" w:rsidRPr="00FD2E5C" w:rsidRDefault="009F50CE" w:rsidP="009F50CE">
      <w:pPr>
        <w:pStyle w:val="1"/>
      </w:pPr>
      <w:r w:rsidRPr="00FD2E5C">
        <w:rPr>
          <w:i/>
        </w:rPr>
        <w:t>Feral Swine Authorized Transporter</w:t>
      </w:r>
      <w:r>
        <w:t>—</w:t>
      </w:r>
      <w:r w:rsidRPr="00FD2E5C">
        <w:t>a person authorized by the Board of Animal Health to transport live feral swine to state or federally inspected slaughter facilities, quarantine swine feedlots and feral swine approved holding facilities.</w:t>
      </w:r>
      <w:r>
        <w:t xml:space="preserve"> </w:t>
      </w:r>
    </w:p>
    <w:p w14:paraId="2B7CF576" w14:textId="77777777" w:rsidR="009F50CE" w:rsidRPr="00FD2E5C" w:rsidRDefault="009F50CE" w:rsidP="009F50CE">
      <w:pPr>
        <w:pStyle w:val="1"/>
      </w:pPr>
      <w:r w:rsidRPr="00FD2E5C">
        <w:rPr>
          <w:i/>
        </w:rPr>
        <w:t>Recognized Slaughter Facility</w:t>
      </w:r>
      <w:r>
        <w:t>—</w:t>
      </w:r>
      <w:r w:rsidRPr="00FD2E5C">
        <w:t>a slaughter facility operated under the state or federal meat inspection laws and regulations.</w:t>
      </w:r>
    </w:p>
    <w:p w14:paraId="73E17745" w14:textId="77777777" w:rsidR="009F50CE" w:rsidRPr="00FD2E5C" w:rsidRDefault="009F50CE" w:rsidP="009F50CE">
      <w:pPr>
        <w:pStyle w:val="1"/>
      </w:pPr>
      <w:r w:rsidRPr="00FD2E5C">
        <w:rPr>
          <w:i/>
        </w:rPr>
        <w:t>Swine-Proof Fence</w:t>
      </w:r>
      <w:r>
        <w:t>—</w:t>
      </w:r>
      <w:r w:rsidRPr="00FD2E5C">
        <w:t>a fence constructed to sufficient construction standards; with materials of hog-proof net, woven or welded wire and wood, metal or other approved posts and, be maintained to prevent egress of swine over, through, or under the fence.</w:t>
      </w:r>
    </w:p>
    <w:p w14:paraId="2BA9963E" w14:textId="77777777" w:rsidR="009F50CE" w:rsidRPr="00FD2E5C" w:rsidRDefault="009F50CE" w:rsidP="009F50CE">
      <w:pPr>
        <w:pStyle w:val="AuthorityNote"/>
      </w:pPr>
      <w:r w:rsidRPr="00FD2E5C">
        <w:t>AUTHORITY NOTE:</w:t>
      </w:r>
      <w:r w:rsidRPr="00FD2E5C">
        <w:tab/>
        <w:t>Promulgated in accordance with R.S. 3:2093.</w:t>
      </w:r>
    </w:p>
    <w:p w14:paraId="23F58BE3" w14:textId="77777777" w:rsidR="009F50CE" w:rsidRDefault="009F50CE" w:rsidP="009F50CE">
      <w:pPr>
        <w:pStyle w:val="HistoricalNote"/>
      </w:pPr>
      <w:r w:rsidRPr="00FD2E5C">
        <w:t>HISTORICAL NOTE:</w:t>
      </w:r>
      <w:r w:rsidRPr="00FD2E5C">
        <w:tab/>
        <w:t>Promulgated by the Department of Agriculture and Forestry, Office of Animal Health and Food Safety</w:t>
      </w:r>
      <w:r>
        <w:t xml:space="preserve">, </w:t>
      </w:r>
      <w:r w:rsidRPr="00FD2E5C">
        <w:t>Board of Animal Health, LR 4</w:t>
      </w:r>
      <w:r w:rsidR="00823600">
        <w:t>2:391</w:t>
      </w:r>
      <w:r>
        <w:t xml:space="preserve"> (March 2016).</w:t>
      </w:r>
    </w:p>
    <w:p w14:paraId="1E044242" w14:textId="77777777" w:rsidR="009F50CE" w:rsidRDefault="009F50CE" w:rsidP="009F50CE">
      <w:pPr>
        <w:pStyle w:val="Section"/>
      </w:pPr>
      <w:bookmarkStart w:id="2118" w:name="_Toc446326988"/>
      <w:bookmarkStart w:id="2119" w:name="_Toc448825178"/>
      <w:bookmarkStart w:id="2120" w:name="_Toc451506222"/>
      <w:bookmarkStart w:id="2121" w:name="_Toc462212645"/>
      <w:bookmarkStart w:id="2122" w:name="_Toc468096565"/>
      <w:bookmarkStart w:id="2123" w:name="_Toc477854030"/>
      <w:bookmarkStart w:id="2124" w:name="_Toc488735974"/>
      <w:bookmarkStart w:id="2125" w:name="_Toc491176785"/>
      <w:bookmarkStart w:id="2126" w:name="_Toc509393708"/>
      <w:bookmarkStart w:id="2127" w:name="_Toc525114877"/>
      <w:bookmarkStart w:id="2128" w:name="_Toc535997274"/>
      <w:bookmarkStart w:id="2129" w:name="_Toc224819134"/>
      <w:r>
        <w:t>§§</w:t>
      </w:r>
      <w:r w:rsidRPr="00FD2E5C">
        <w:t>1303-1309.</w:t>
      </w:r>
      <w:r w:rsidRPr="00FD2E5C">
        <w:tab/>
        <w:t>Reserved.</w:t>
      </w:r>
      <w:bookmarkEnd w:id="2118"/>
      <w:bookmarkEnd w:id="2119"/>
      <w:bookmarkEnd w:id="2120"/>
      <w:bookmarkEnd w:id="2121"/>
      <w:bookmarkEnd w:id="2122"/>
      <w:bookmarkEnd w:id="2123"/>
      <w:bookmarkEnd w:id="2124"/>
      <w:bookmarkEnd w:id="2125"/>
      <w:bookmarkEnd w:id="2126"/>
      <w:bookmarkEnd w:id="2127"/>
      <w:bookmarkEnd w:id="2128"/>
      <w:bookmarkEnd w:id="2129"/>
    </w:p>
    <w:p w14:paraId="246E99B2" w14:textId="77777777" w:rsidR="005A46E7" w:rsidRPr="00A1145E" w:rsidRDefault="005A46E7" w:rsidP="009F50CE">
      <w:pPr>
        <w:pStyle w:val="Chapter"/>
      </w:pPr>
      <w:bookmarkStart w:id="2130" w:name="_Toc224819135"/>
      <w:r w:rsidRPr="00A1145E">
        <w:t>Subchapter B.</w:t>
      </w:r>
      <w:r w:rsidRPr="00A1145E">
        <w:tab/>
      </w:r>
      <w:r w:rsidRPr="007159FF">
        <w:t>Brucellosis</w:t>
      </w:r>
      <w:r>
        <w:t xml:space="preserve"> and Pseudorabies</w:t>
      </w:r>
      <w:bookmarkEnd w:id="2130"/>
    </w:p>
    <w:p w14:paraId="420B1296" w14:textId="77777777" w:rsidR="009F50CE" w:rsidRPr="00FD2E5C" w:rsidRDefault="009F50CE" w:rsidP="009F50CE">
      <w:pPr>
        <w:pStyle w:val="Section"/>
      </w:pPr>
      <w:bookmarkStart w:id="2131" w:name="_Toc256754744"/>
      <w:bookmarkStart w:id="2132" w:name="_Toc375025529"/>
      <w:bookmarkStart w:id="2133" w:name="_Toc419795812"/>
      <w:bookmarkStart w:id="2134" w:name="_Toc224819136"/>
      <w:r w:rsidRPr="00FD2E5C">
        <w:t>§1311.</w:t>
      </w:r>
      <w:r w:rsidRPr="00FD2E5C">
        <w:tab/>
        <w:t xml:space="preserve">Quarantining, Vaccinating and Testing Swine for </w:t>
      </w:r>
      <w:r w:rsidRPr="007159FF">
        <w:t>Brucellosis</w:t>
      </w:r>
      <w:r w:rsidRPr="00FD2E5C">
        <w:t xml:space="preserve"> and Pseudorabies</w:t>
      </w:r>
      <w:bookmarkEnd w:id="2131"/>
      <w:bookmarkEnd w:id="2132"/>
      <w:r w:rsidRPr="00FD2E5C">
        <w:br/>
        <w:t>(Formerly §905)</w:t>
      </w:r>
      <w:bookmarkEnd w:id="2133"/>
      <w:bookmarkEnd w:id="2134"/>
    </w:p>
    <w:p w14:paraId="3DD4E4ED" w14:textId="77777777" w:rsidR="00083621" w:rsidRPr="009E0116" w:rsidRDefault="00083621" w:rsidP="00083621">
      <w:pPr>
        <w:pStyle w:val="A"/>
      </w:pPr>
      <w:r w:rsidRPr="009E0116">
        <w:t>A.</w:t>
      </w:r>
      <w:r w:rsidRPr="009E0116">
        <w:tab/>
        <w:t>The state veterinarian or his representative shall have the authority to conduct epidemiologic investigations and quarantine of:</w:t>
      </w:r>
    </w:p>
    <w:p w14:paraId="2B5F292C" w14:textId="77777777" w:rsidR="00083621" w:rsidRPr="009E0116" w:rsidRDefault="00083621" w:rsidP="00083621">
      <w:pPr>
        <w:pStyle w:val="1"/>
      </w:pPr>
      <w:r w:rsidRPr="009E0116">
        <w:t>1.</w:t>
      </w:r>
      <w:r w:rsidRPr="009E0116">
        <w:tab/>
        <w:t>swine herds in which one or more of the animals are found to be positive to</w:t>
      </w:r>
      <w:r w:rsidRPr="009E0116">
        <w:rPr>
          <w:i/>
        </w:rPr>
        <w:t xml:space="preserve"> </w:t>
      </w:r>
      <w:r>
        <w:t>brucellosis</w:t>
      </w:r>
      <w:r w:rsidRPr="009E0116">
        <w:t xml:space="preserve"> or pseudorabies, as determined by the epidemiologist, based on the interpretation of official tests;</w:t>
      </w:r>
    </w:p>
    <w:p w14:paraId="7CBB44FD" w14:textId="77777777" w:rsidR="00083621" w:rsidRPr="009E0116" w:rsidRDefault="00083621" w:rsidP="00083621">
      <w:pPr>
        <w:pStyle w:val="1"/>
      </w:pPr>
      <w:r w:rsidRPr="009E0116">
        <w:t>2.</w:t>
      </w:r>
      <w:r w:rsidRPr="009E0116">
        <w:tab/>
        <w:t>the herd of origin of swine that have been added to a herd that becomes quarantined because of</w:t>
      </w:r>
      <w:r w:rsidRPr="00113C26">
        <w:t xml:space="preserve"> </w:t>
      </w:r>
      <w:r>
        <w:t>brucellosis</w:t>
      </w:r>
      <w:r w:rsidRPr="009E0116">
        <w:t xml:space="preserve"> or pseudorabies, if swine have been acquired from said herd of origin within the last 12 months;</w:t>
      </w:r>
    </w:p>
    <w:p w14:paraId="37528D1B" w14:textId="77777777" w:rsidR="00083621" w:rsidRPr="009E0116" w:rsidRDefault="00083621" w:rsidP="00083621">
      <w:pPr>
        <w:pStyle w:val="1"/>
      </w:pPr>
      <w:r w:rsidRPr="009E0116">
        <w:t>3.</w:t>
      </w:r>
      <w:r w:rsidRPr="009E0116">
        <w:tab/>
        <w:t>herds which have received swine from herds found to have</w:t>
      </w:r>
      <w:r w:rsidRPr="009E0116">
        <w:rPr>
          <w:i/>
        </w:rPr>
        <w:t xml:space="preserve"> </w:t>
      </w:r>
      <w:r>
        <w:t>brucellosis</w:t>
      </w:r>
      <w:r w:rsidRPr="009E0116">
        <w:t xml:space="preserve"> or pseudorabies.</w:t>
      </w:r>
    </w:p>
    <w:p w14:paraId="74FC0D90" w14:textId="77777777" w:rsidR="00083621" w:rsidRPr="009E0116" w:rsidRDefault="00083621" w:rsidP="00083621">
      <w:pPr>
        <w:pStyle w:val="A"/>
      </w:pPr>
      <w:r w:rsidRPr="009E0116">
        <w:t>B.</w:t>
      </w:r>
      <w:r w:rsidRPr="009E0116">
        <w:tab/>
        <w:t>Herds of swine including feedlots, within a 1.5-mile radius of the quarantined herd, will be monitored in accordance with the recommendation of the state veterinarian and/or epidemiologist by either a test of all breeding swine or by an official random sample test.</w:t>
      </w:r>
    </w:p>
    <w:p w14:paraId="04A13577" w14:textId="77777777" w:rsidR="00083621" w:rsidRPr="009E0116" w:rsidRDefault="00083621" w:rsidP="00083621">
      <w:pPr>
        <w:pStyle w:val="A"/>
      </w:pPr>
      <w:r w:rsidRPr="009E0116">
        <w:t>C.</w:t>
      </w:r>
      <w:r w:rsidRPr="009E0116">
        <w:tab/>
        <w:t>A herd plan and epidemiology report must be completed within 30 days from the date an animal that originated from the herd was found to be a reactor at slaughter. A herd test must be completed within 45 days from the date an animal that originated from the herd was found to be a reactor at slaughter.</w:t>
      </w:r>
    </w:p>
    <w:p w14:paraId="378CDC4A" w14:textId="77777777" w:rsidR="00083621" w:rsidRPr="009E0116" w:rsidRDefault="00083621" w:rsidP="00083621">
      <w:pPr>
        <w:pStyle w:val="A"/>
      </w:pPr>
      <w:r w:rsidRPr="009E0116">
        <w:t>D.</w:t>
      </w:r>
      <w:r w:rsidRPr="009E0116">
        <w:tab/>
        <w:t>To be eligible for release from quarantine due to positive pseudorabies, a swine herd must meet the following requirements.</w:t>
      </w:r>
    </w:p>
    <w:p w14:paraId="31EBD65B" w14:textId="77777777" w:rsidR="00083621" w:rsidRPr="009E0116" w:rsidRDefault="00083621" w:rsidP="00083621">
      <w:pPr>
        <w:pStyle w:val="1"/>
      </w:pPr>
      <w:r w:rsidRPr="009E0116">
        <w:t>1.</w:t>
      </w:r>
      <w:r w:rsidRPr="009E0116">
        <w:tab/>
        <w:t>All swine positive to an official pseudorabies test must be tagged with an official reactor tag in the left ear and permitted on Form VS 1-27 to recognized slaughter establishment, rendering plant, or disposed of on the herd premises or other "approved" location by disposal means authorized by applicable state laws within 15 days. All swine, over 6 months of age and a random sampling of any growing/finishing swine which remain in the herd, must be tested negative 30 days or more after removal of reactors. No livestock on the premises shall have shown signs of pseudorabies after removal of reactors.</w:t>
      </w:r>
    </w:p>
    <w:p w14:paraId="3F8B21DF" w14:textId="77777777" w:rsidR="00083621" w:rsidRPr="009E0116" w:rsidRDefault="00083621" w:rsidP="00083621">
      <w:pPr>
        <w:pStyle w:val="1"/>
      </w:pPr>
      <w:r w:rsidRPr="009E0116">
        <w:t>2.</w:t>
      </w:r>
      <w:r w:rsidRPr="009E0116">
        <w:tab/>
        <w:t>Whole Herd Depopulation. All swine on the premises must be tagged with an official reactor tag in the left ear and permitted on a Form VS 1-27 to a recognized slaughter establishment, rendering plant, or disposed of on the herd premises or other "approved" location by disposal means authorized by applicable state laws. The premises must remain depopulated for 30 days and the herd premises must be cleaned and disinfected with an approved disinfectant prior to putting swine back on the premises.</w:t>
      </w:r>
    </w:p>
    <w:p w14:paraId="579F466C" w14:textId="77777777" w:rsidR="00083621" w:rsidRPr="009E0116" w:rsidRDefault="00083621" w:rsidP="00083621">
      <w:pPr>
        <w:pStyle w:val="A"/>
      </w:pPr>
      <w:r w:rsidRPr="009E0116">
        <w:t>E.</w:t>
      </w:r>
      <w:r w:rsidRPr="009E0116">
        <w:tab/>
        <w:t xml:space="preserve">To be eligible for release from quarantine due to positive </w:t>
      </w:r>
      <w:r>
        <w:t>brucellosis</w:t>
      </w:r>
      <w:r w:rsidRPr="009E0116">
        <w:t xml:space="preserve">, a swine heard must meet one of the following requirements. </w:t>
      </w:r>
    </w:p>
    <w:p w14:paraId="145D71FB" w14:textId="77777777" w:rsidR="00083621" w:rsidRPr="009E0116" w:rsidRDefault="00083621" w:rsidP="00083621">
      <w:pPr>
        <w:pStyle w:val="1"/>
      </w:pPr>
      <w:r w:rsidRPr="009E0116">
        <w:t>1.</w:t>
      </w:r>
      <w:r w:rsidRPr="009E0116">
        <w:tab/>
        <w:t xml:space="preserve">All swine positive to an official </w:t>
      </w:r>
      <w:r>
        <w:t>brucellosis</w:t>
      </w:r>
      <w:r w:rsidRPr="009E0116">
        <w:t xml:space="preserve"> test must be tagged with an official reactor tag in the left ear and permitted on Form VS 1-27 to a recognized slaughter establishment, rendering plant, or disposed of on the herd premises by disposal means authorized by applicable state laws within 15 days.</w:t>
      </w:r>
    </w:p>
    <w:p w14:paraId="5FEA6E5E" w14:textId="77777777" w:rsidR="00083621" w:rsidRPr="009E0116" w:rsidRDefault="00083621" w:rsidP="00083621">
      <w:pPr>
        <w:pStyle w:val="a0"/>
      </w:pPr>
      <w:r w:rsidRPr="009E0116">
        <w:t>a.</w:t>
      </w:r>
      <w:r w:rsidRPr="009E0116">
        <w:tab/>
        <w:t>All swine over six months of age which remain in the herd, must be tested according to an approved herd plan.</w:t>
      </w:r>
    </w:p>
    <w:p w14:paraId="3F98F13A" w14:textId="77777777" w:rsidR="00083621" w:rsidRPr="009E0116" w:rsidRDefault="00083621" w:rsidP="00083621">
      <w:pPr>
        <w:pStyle w:val="a0"/>
      </w:pPr>
      <w:r w:rsidRPr="009E0116">
        <w:t>b.</w:t>
      </w:r>
      <w:r w:rsidRPr="009E0116">
        <w:tab/>
        <w:t>A herd may be released from quarantine upon completion of three negative complete herd tests (CHT):</w:t>
      </w:r>
    </w:p>
    <w:p w14:paraId="696B192E" w14:textId="77777777" w:rsidR="00083621" w:rsidRPr="009E0116" w:rsidRDefault="00083621" w:rsidP="00083621">
      <w:pPr>
        <w:pStyle w:val="i0"/>
      </w:pPr>
      <w:r>
        <w:tab/>
      </w:r>
      <w:r w:rsidRPr="009E0116">
        <w:t>i.</w:t>
      </w:r>
      <w:r w:rsidRPr="009E0116">
        <w:tab/>
        <w:t>the first test must be completed at least 30 days after removal of the last reactor;</w:t>
      </w:r>
    </w:p>
    <w:p w14:paraId="4CB1F51E" w14:textId="77777777" w:rsidR="00083621" w:rsidRPr="009E0116" w:rsidRDefault="00083621" w:rsidP="00083621">
      <w:pPr>
        <w:pStyle w:val="i0"/>
      </w:pPr>
      <w:r>
        <w:tab/>
      </w:r>
      <w:r w:rsidRPr="009E0116">
        <w:t>ii.</w:t>
      </w:r>
      <w:r w:rsidRPr="009E0116">
        <w:tab/>
        <w:t>a second CHT must be conducted 60-90 days following the first CHT;</w:t>
      </w:r>
    </w:p>
    <w:p w14:paraId="62155FF4" w14:textId="77777777" w:rsidR="00083621" w:rsidRPr="009E0116" w:rsidRDefault="00083621" w:rsidP="00083621">
      <w:pPr>
        <w:pStyle w:val="i0"/>
      </w:pPr>
      <w:r>
        <w:tab/>
      </w:r>
      <w:r w:rsidRPr="009E0116">
        <w:t>iii.</w:t>
      </w:r>
      <w:r w:rsidRPr="009E0116">
        <w:tab/>
        <w:t>a third CHT is required 60-90 days following the second CHT;</w:t>
      </w:r>
    </w:p>
    <w:p w14:paraId="690F0E99" w14:textId="77777777" w:rsidR="00083621" w:rsidRPr="009E0116" w:rsidRDefault="00083621" w:rsidP="00083621">
      <w:pPr>
        <w:pStyle w:val="i0"/>
      </w:pPr>
      <w:r>
        <w:tab/>
      </w:r>
      <w:r w:rsidRPr="009E0116">
        <w:t>iv.</w:t>
      </w:r>
      <w:r w:rsidRPr="009E0116">
        <w:tab/>
        <w:t>a fourth CHT is required six months after the third CHT.</w:t>
      </w:r>
    </w:p>
    <w:p w14:paraId="01AFE033" w14:textId="77777777" w:rsidR="00083621" w:rsidRPr="009E0116" w:rsidRDefault="00083621" w:rsidP="00083621">
      <w:pPr>
        <w:pStyle w:val="1"/>
      </w:pPr>
      <w:r w:rsidRPr="009E0116">
        <w:t>2.</w:t>
      </w:r>
      <w:r w:rsidRPr="009E0116">
        <w:tab/>
        <w:t>Whole Herd Depopulation</w:t>
      </w:r>
    </w:p>
    <w:p w14:paraId="5338A51F" w14:textId="77777777" w:rsidR="00083621" w:rsidRPr="009E0116" w:rsidRDefault="00083621" w:rsidP="00083621">
      <w:pPr>
        <w:pStyle w:val="a0"/>
      </w:pPr>
      <w:r w:rsidRPr="009E0116">
        <w:t>a.</w:t>
      </w:r>
      <w:r w:rsidRPr="009E0116">
        <w:tab/>
        <w:t xml:space="preserve">All swine on the premises must be tagged with an official reactor tag in the left ear and permitted on a Form VS </w:t>
      </w:r>
      <w:r w:rsidRPr="009E0116">
        <w:lastRenderedPageBreak/>
        <w:t>1-27 to a recognized slaughter establishment, rendering plant, or disposed of on the herd premises or other "approved" location by disposal means authorized by applicable state laws.</w:t>
      </w:r>
    </w:p>
    <w:p w14:paraId="3F2370A1" w14:textId="77777777" w:rsidR="00083621" w:rsidRPr="009E0116" w:rsidRDefault="00083621" w:rsidP="00083621">
      <w:pPr>
        <w:pStyle w:val="a0"/>
      </w:pPr>
      <w:r w:rsidRPr="009E0116">
        <w:t>b.</w:t>
      </w:r>
      <w:r w:rsidRPr="009E0116">
        <w:tab/>
        <w:t>The premises must remain depopulated for 30 days and the herd premises must be cleaned and disinfected with an approved disinfectant prior to putting swine back on the premises.</w:t>
      </w:r>
    </w:p>
    <w:p w14:paraId="4DA49D37" w14:textId="77777777" w:rsidR="00083621" w:rsidRPr="009E0116" w:rsidRDefault="00083621" w:rsidP="00083621">
      <w:pPr>
        <w:pStyle w:val="A"/>
      </w:pPr>
      <w:r w:rsidRPr="009E0116">
        <w:t>F.</w:t>
      </w:r>
      <w:r w:rsidRPr="009E0116">
        <w:tab/>
        <w:t xml:space="preserve">All movement from pseudorabies or </w:t>
      </w:r>
      <w:r>
        <w:t>brucellosis</w:t>
      </w:r>
      <w:r w:rsidRPr="009E0116">
        <w:t xml:space="preserve"> quarantined herds, must be accompanied by a VS Form 1-27, permit for movement of restricted animals, listing the official, individual identification of each animal to be removed.</w:t>
      </w:r>
    </w:p>
    <w:p w14:paraId="3F3020D2" w14:textId="77777777" w:rsidR="00083621" w:rsidRPr="009E0116" w:rsidRDefault="00083621" w:rsidP="00083621">
      <w:pPr>
        <w:pStyle w:val="1"/>
      </w:pPr>
      <w:r w:rsidRPr="009E0116">
        <w:t>1.</w:t>
      </w:r>
      <w:r w:rsidRPr="009E0116">
        <w:tab/>
        <w:t>This form must be delivered to an authorized representative at destination.</w:t>
      </w:r>
    </w:p>
    <w:p w14:paraId="3467E9F6" w14:textId="77777777" w:rsidR="00083621" w:rsidRPr="009E0116" w:rsidRDefault="00083621" w:rsidP="00083621">
      <w:pPr>
        <w:pStyle w:val="1"/>
      </w:pPr>
      <w:r w:rsidRPr="009E0116">
        <w:t>2.</w:t>
      </w:r>
      <w:r w:rsidRPr="009E0116">
        <w:tab/>
        <w:t>These permits will be issued by a representative of the Board of Animal Health.</w:t>
      </w:r>
    </w:p>
    <w:p w14:paraId="11875BC3" w14:textId="77777777" w:rsidR="00083621" w:rsidRPr="009E0116" w:rsidRDefault="00083621" w:rsidP="00083621">
      <w:pPr>
        <w:pStyle w:val="A"/>
      </w:pPr>
      <w:r w:rsidRPr="009E0116">
        <w:t>G.</w:t>
      </w:r>
      <w:r w:rsidRPr="009E0116">
        <w:tab/>
        <w:t>All exposed swine moving from quarantined premises in interstate or intrastate commerce, must move directly to a recognized slaughter establishment or to an approved swine quarantined feedlot or rendering plant.</w:t>
      </w:r>
    </w:p>
    <w:p w14:paraId="10D7EFB4" w14:textId="77777777" w:rsidR="00083621" w:rsidRPr="009E0116" w:rsidRDefault="00083621" w:rsidP="00083621">
      <w:pPr>
        <w:pStyle w:val="A"/>
      </w:pPr>
      <w:r w:rsidRPr="009E0116">
        <w:t>H.</w:t>
      </w:r>
      <w:r w:rsidRPr="009E0116">
        <w:tab/>
        <w:t>The use of pseudorabies vaccine is prohibited, except by permission of the state veterinarian.</w:t>
      </w:r>
    </w:p>
    <w:p w14:paraId="47139825" w14:textId="77777777" w:rsidR="00083621" w:rsidRPr="009E0116" w:rsidRDefault="00083621" w:rsidP="00083621">
      <w:pPr>
        <w:pStyle w:val="A"/>
      </w:pPr>
      <w:r w:rsidRPr="009E0116">
        <w:t>I.</w:t>
      </w:r>
      <w:r w:rsidRPr="009E0116">
        <w:tab/>
        <w:t>Reclassification of Feral Swine</w:t>
      </w:r>
    </w:p>
    <w:p w14:paraId="55C08F6B" w14:textId="77777777" w:rsidR="00083621" w:rsidRPr="009E0116" w:rsidRDefault="00083621" w:rsidP="00083621">
      <w:pPr>
        <w:pStyle w:val="1"/>
      </w:pPr>
      <w:r w:rsidRPr="009E0116">
        <w:t>1.</w:t>
      </w:r>
      <w:r w:rsidRPr="009E0116">
        <w:tab/>
        <w:t>Free-roaming or feral swine may be qualified for reclassification as domestic swine upon completion of the following test protocol</w:t>
      </w:r>
      <w:r>
        <w:t>.</w:t>
      </w:r>
    </w:p>
    <w:p w14:paraId="574ADCC1" w14:textId="77777777" w:rsidR="00083621" w:rsidRPr="009E0116" w:rsidRDefault="00083621" w:rsidP="00083621">
      <w:pPr>
        <w:pStyle w:val="a0"/>
      </w:pPr>
      <w:r w:rsidRPr="009E0116">
        <w:t>a.</w:t>
      </w:r>
      <w:r w:rsidRPr="009E0116">
        <w:tab/>
        <w:t xml:space="preserve">Three consecutive complete herd tests (CHT) for brucellosis and pseudorabies, with negative results, shall be conducted in order </w:t>
      </w:r>
      <w:r>
        <w:t>to qualify for reclassification.</w:t>
      </w:r>
    </w:p>
    <w:p w14:paraId="6E03ACA1" w14:textId="77777777" w:rsidR="00083621" w:rsidRPr="009E0116" w:rsidRDefault="00083621" w:rsidP="00083621">
      <w:pPr>
        <w:pStyle w:val="a0"/>
      </w:pPr>
      <w:r w:rsidRPr="009E0116">
        <w:t>b.</w:t>
      </w:r>
      <w:r w:rsidRPr="009E0116">
        <w:tab/>
        <w:t>The first test must be completed at least 30 days af</w:t>
      </w:r>
      <w:r>
        <w:t>ter removal of the last reactor.</w:t>
      </w:r>
    </w:p>
    <w:p w14:paraId="1E02987F" w14:textId="77777777" w:rsidR="00083621" w:rsidRPr="009E0116" w:rsidRDefault="00083621" w:rsidP="00083621">
      <w:pPr>
        <w:pStyle w:val="a0"/>
      </w:pPr>
      <w:r w:rsidRPr="009E0116">
        <w:t>c.</w:t>
      </w:r>
      <w:r w:rsidRPr="009E0116">
        <w:tab/>
        <w:t>A second CHT must be conducted 60-</w:t>
      </w:r>
      <w:r>
        <w:t>90 days following the first CHT.</w:t>
      </w:r>
    </w:p>
    <w:p w14:paraId="64A10B4A" w14:textId="77777777" w:rsidR="00083621" w:rsidRPr="009E0116" w:rsidRDefault="00083621" w:rsidP="00083621">
      <w:pPr>
        <w:pStyle w:val="a0"/>
      </w:pPr>
      <w:r w:rsidRPr="009E0116">
        <w:t>d.</w:t>
      </w:r>
      <w:r w:rsidRPr="009E0116">
        <w:tab/>
        <w:t>A third CHT is required 60-9</w:t>
      </w:r>
      <w:r>
        <w:t>0 days following the second CHT.</w:t>
      </w:r>
    </w:p>
    <w:p w14:paraId="113AF6D8" w14:textId="77777777" w:rsidR="00083621" w:rsidRPr="009E0116" w:rsidRDefault="00083621" w:rsidP="00083621">
      <w:pPr>
        <w:pStyle w:val="a0"/>
      </w:pPr>
      <w:r w:rsidRPr="009E0116">
        <w:t>e.</w:t>
      </w:r>
      <w:r w:rsidRPr="009E0116">
        <w:tab/>
        <w:t>In addition, any sexually intact female swine must also undergo a brucellosis and pseudorabies test, with negative results, not less than 30 days after their initial farrowing.</w:t>
      </w:r>
    </w:p>
    <w:p w14:paraId="1E1C7198" w14:textId="77777777" w:rsidR="009F50CE" w:rsidRPr="00FD2E5C" w:rsidRDefault="00083621" w:rsidP="00083621">
      <w:pPr>
        <w:pStyle w:val="AuthorityNote"/>
      </w:pPr>
      <w:r w:rsidRPr="009E0116">
        <w:t>AUTHORITY NOTE:</w:t>
      </w:r>
      <w:r w:rsidRPr="009E0116">
        <w:tab/>
        <w:t>Promulgated in accordance with R.S. 3:2093 and R.S. 3:2135.</w:t>
      </w:r>
    </w:p>
    <w:p w14:paraId="443EA5BE" w14:textId="77777777"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16:392 (May 1990), amended LR 18:839 (August 1992), LR 20:1258 (November 1994), LR 23:1493 (November 1997)</w:t>
      </w:r>
      <w:r w:rsidRPr="00A1145E">
        <w:t xml:space="preserve">, repromulgated by the Department of Agriculture and Forestry, </w:t>
      </w:r>
      <w:r w:rsidR="007356F4">
        <w:t>Office of Animal Health and Food Safety and the Board of Animal Health,</w:t>
      </w:r>
      <w:r w:rsidRPr="00A1145E">
        <w:t xml:space="preserve"> LR </w:t>
      </w:r>
      <w:r w:rsidR="009F50CE">
        <w:t xml:space="preserve">40:969 (May 2014), amended </w:t>
      </w:r>
      <w:r w:rsidR="00823600" w:rsidRPr="00FD2E5C">
        <w:t>by the Department of Agriculture and Forestry, Office of Animal Health and Food Safety</w:t>
      </w:r>
      <w:r w:rsidR="00823600">
        <w:t xml:space="preserve">, </w:t>
      </w:r>
      <w:r w:rsidR="00823600" w:rsidRPr="00FD2E5C">
        <w:t>Board of Animal Health,</w:t>
      </w:r>
      <w:r w:rsidR="00823600">
        <w:t xml:space="preserve"> </w:t>
      </w:r>
      <w:r w:rsidR="009F50CE" w:rsidRPr="00FD2E5C">
        <w:t>LR 42:</w:t>
      </w:r>
      <w:r w:rsidR="00823600">
        <w:t>391</w:t>
      </w:r>
      <w:r w:rsidR="00083621">
        <w:t xml:space="preserve"> (March 2016), LR 42:2169 (December 2016).</w:t>
      </w:r>
    </w:p>
    <w:p w14:paraId="3269357A" w14:textId="77777777" w:rsidR="009F50CE" w:rsidRPr="00FD2E5C" w:rsidRDefault="009F50CE" w:rsidP="009F50CE">
      <w:pPr>
        <w:pStyle w:val="Section"/>
      </w:pPr>
      <w:bookmarkStart w:id="2135" w:name="_Toc224819137"/>
      <w:bookmarkStart w:id="2136" w:name="_Toc256754745"/>
      <w:bookmarkStart w:id="2137" w:name="_Toc375025530"/>
      <w:r w:rsidRPr="00FD2E5C">
        <w:t>§1312.</w:t>
      </w:r>
      <w:r w:rsidRPr="00FD2E5C">
        <w:tab/>
        <w:t>Swine Movement Restrictions and Feral Swine Authorized Transporter Authorization</w:t>
      </w:r>
      <w:bookmarkEnd w:id="2135"/>
    </w:p>
    <w:p w14:paraId="09355FCB" w14:textId="77777777" w:rsidR="009F50CE" w:rsidRPr="00FD2E5C" w:rsidRDefault="009F50CE" w:rsidP="009F50CE">
      <w:pPr>
        <w:pStyle w:val="A"/>
        <w:tabs>
          <w:tab w:val="left" w:pos="2340"/>
        </w:tabs>
      </w:pPr>
      <w:r w:rsidRPr="00FD2E5C">
        <w:t>A.</w:t>
      </w:r>
      <w:r w:rsidRPr="00FD2E5C">
        <w:rPr>
          <w:sz w:val="18"/>
        </w:rPr>
        <w:tab/>
      </w:r>
      <w:r w:rsidRPr="00FD2E5C">
        <w:t>No person shall import live feral swine into this state unless the live feral swine are going directly to a state or federally inspected slaughter establishment, a quarantine swine feedlot or a feral swine approved holding facility in a sealed trailer accompanied by a USDA VS Form 1-27 permit for the movement of restricted animals.</w:t>
      </w:r>
      <w:r>
        <w:t xml:space="preserve"> </w:t>
      </w:r>
    </w:p>
    <w:p w14:paraId="5FA89362" w14:textId="77777777" w:rsidR="009F50CE" w:rsidRPr="00FD2E5C" w:rsidRDefault="009F50CE" w:rsidP="009F50CE">
      <w:pPr>
        <w:pStyle w:val="A"/>
        <w:tabs>
          <w:tab w:val="left" w:pos="2340"/>
        </w:tabs>
      </w:pPr>
      <w:r w:rsidRPr="00FD2E5C">
        <w:t>B.</w:t>
      </w:r>
      <w:r w:rsidRPr="00FD2E5C">
        <w:tab/>
        <w:t>No person shall transport live feral swine within the state of Louisiana without first registering as a feral swine authorized transporter with the Board of Animal Health.</w:t>
      </w:r>
      <w:r>
        <w:t xml:space="preserve"> </w:t>
      </w:r>
      <w:r w:rsidRPr="00FD2E5C">
        <w:t>Registration as a feral swine authorized transporter shall not be transferrable</w:t>
      </w:r>
      <w:r>
        <w:t xml:space="preserve"> and shall be active for a five-</w:t>
      </w:r>
      <w:r w:rsidRPr="00FD2E5C">
        <w:t>year period.</w:t>
      </w:r>
    </w:p>
    <w:p w14:paraId="612B0FFC" w14:textId="77777777" w:rsidR="009F50CE" w:rsidRPr="00FD2E5C" w:rsidRDefault="009F50CE" w:rsidP="009F50CE">
      <w:pPr>
        <w:pStyle w:val="A"/>
        <w:tabs>
          <w:tab w:val="left" w:pos="2340"/>
        </w:tabs>
      </w:pPr>
      <w:r w:rsidRPr="00FD2E5C">
        <w:t>C.</w:t>
      </w:r>
      <w:r w:rsidRPr="00FD2E5C">
        <w:tab/>
        <w:t>Application to become a feral swine authorized transporter shall be on a form prescribed by the Board of Animal Health and shall include the following information:</w:t>
      </w:r>
    </w:p>
    <w:p w14:paraId="4C111A47" w14:textId="77777777" w:rsidR="009F50CE" w:rsidRPr="00FD2E5C" w:rsidRDefault="009F50CE" w:rsidP="009F50CE">
      <w:pPr>
        <w:pStyle w:val="1"/>
        <w:tabs>
          <w:tab w:val="left" w:pos="2340"/>
        </w:tabs>
      </w:pPr>
      <w:r w:rsidRPr="00FD2E5C">
        <w:t>1.</w:t>
      </w:r>
      <w:r w:rsidRPr="00FD2E5C">
        <w:tab/>
        <w:t>name, mailing address, physical address, email address, and telephone number of the applicant;</w:t>
      </w:r>
    </w:p>
    <w:p w14:paraId="4729E691" w14:textId="77777777" w:rsidR="009F50CE" w:rsidRPr="00FD2E5C" w:rsidRDefault="009F50CE" w:rsidP="009F50CE">
      <w:pPr>
        <w:pStyle w:val="1"/>
        <w:tabs>
          <w:tab w:val="left" w:pos="2340"/>
        </w:tabs>
      </w:pPr>
      <w:r w:rsidRPr="00FD2E5C">
        <w:t>2.</w:t>
      </w:r>
      <w:r w:rsidRPr="00FD2E5C">
        <w:tab/>
        <w:t>driver’s license number of the applicant;</w:t>
      </w:r>
    </w:p>
    <w:p w14:paraId="2D7F1B2C" w14:textId="77777777" w:rsidR="009F50CE" w:rsidRPr="00FD2E5C" w:rsidRDefault="009F50CE" w:rsidP="009F50CE">
      <w:pPr>
        <w:pStyle w:val="1"/>
        <w:tabs>
          <w:tab w:val="left" w:pos="2340"/>
        </w:tabs>
      </w:pPr>
      <w:r w:rsidRPr="00FD2E5C">
        <w:t>3.</w:t>
      </w:r>
      <w:r w:rsidRPr="00FD2E5C">
        <w:tab/>
        <w:t>brief statement describing the area and parishes wherein the applicant typically transports feral swine;</w:t>
      </w:r>
    </w:p>
    <w:p w14:paraId="0042404E" w14:textId="77777777" w:rsidR="009F50CE" w:rsidRPr="00FD2E5C" w:rsidRDefault="009F50CE" w:rsidP="009F50CE">
      <w:pPr>
        <w:pStyle w:val="1"/>
        <w:tabs>
          <w:tab w:val="left" w:pos="2340"/>
        </w:tabs>
      </w:pPr>
      <w:r w:rsidRPr="00FD2E5C">
        <w:t>4.</w:t>
      </w:r>
      <w:r w:rsidRPr="00FD2E5C">
        <w:tab/>
        <w:t>description of the vehicles used to transport live feral swine in</w:t>
      </w:r>
      <w:r>
        <w:t>cluding any license tag numbers.</w:t>
      </w:r>
    </w:p>
    <w:p w14:paraId="08A9913C" w14:textId="77777777" w:rsidR="009F50CE" w:rsidRPr="00FD2E5C" w:rsidRDefault="009F50CE" w:rsidP="009F50CE">
      <w:pPr>
        <w:pStyle w:val="A"/>
        <w:tabs>
          <w:tab w:val="left" w:pos="2340"/>
        </w:tabs>
      </w:pPr>
      <w:r w:rsidRPr="00FD2E5C">
        <w:t>D.</w:t>
      </w:r>
      <w:r w:rsidRPr="00FD2E5C">
        <w:tab/>
        <w:t>Live feral swine shall only be transported to the following:</w:t>
      </w:r>
    </w:p>
    <w:p w14:paraId="6C35544E" w14:textId="77777777" w:rsidR="009F50CE" w:rsidRPr="00FD2E5C" w:rsidRDefault="009F50CE" w:rsidP="009F50CE">
      <w:pPr>
        <w:pStyle w:val="1"/>
        <w:tabs>
          <w:tab w:val="left" w:pos="2340"/>
        </w:tabs>
      </w:pPr>
      <w:r w:rsidRPr="00FD2E5C">
        <w:t>1.</w:t>
      </w:r>
      <w:r w:rsidRPr="00FD2E5C">
        <w:tab/>
        <w:t>approved holding facilities;</w:t>
      </w:r>
    </w:p>
    <w:p w14:paraId="54F034AE" w14:textId="77777777" w:rsidR="009F50CE" w:rsidRPr="00FD2E5C" w:rsidRDefault="009F50CE" w:rsidP="009F50CE">
      <w:pPr>
        <w:pStyle w:val="1"/>
        <w:tabs>
          <w:tab w:val="left" w:pos="2340"/>
        </w:tabs>
      </w:pPr>
      <w:r>
        <w:t>2.</w:t>
      </w:r>
      <w:r>
        <w:tab/>
      </w:r>
      <w:r w:rsidR="00823600">
        <w:t>quarantine swine feedlot;</w:t>
      </w:r>
    </w:p>
    <w:p w14:paraId="1E21C79D" w14:textId="77777777" w:rsidR="009F50CE" w:rsidRPr="00FD2E5C" w:rsidRDefault="009F50CE" w:rsidP="009F50CE">
      <w:pPr>
        <w:pStyle w:val="1"/>
        <w:tabs>
          <w:tab w:val="left" w:pos="2340"/>
        </w:tabs>
      </w:pPr>
      <w:r w:rsidRPr="00FD2E5C">
        <w:t>3.</w:t>
      </w:r>
      <w:r w:rsidRPr="00FD2E5C">
        <w:tab/>
        <w:t>a state or federally inspected slaughter facility;</w:t>
      </w:r>
    </w:p>
    <w:p w14:paraId="10F381B1" w14:textId="77777777" w:rsidR="009F50CE" w:rsidRPr="00FD2E5C" w:rsidRDefault="009F50CE" w:rsidP="009F50CE">
      <w:pPr>
        <w:pStyle w:val="1"/>
        <w:tabs>
          <w:tab w:val="left" w:pos="2340"/>
        </w:tabs>
      </w:pPr>
      <w:r w:rsidRPr="00FD2E5C">
        <w:t>4.</w:t>
      </w:r>
      <w:r w:rsidRPr="00FD2E5C">
        <w:tab/>
        <w:t xml:space="preserve">pursuant to an order issued by the </w:t>
      </w:r>
      <w:r>
        <w:t>state veterinarian.</w:t>
      </w:r>
    </w:p>
    <w:p w14:paraId="68C32ADB" w14:textId="77777777" w:rsidR="009F50CE" w:rsidRPr="00FD2E5C" w:rsidRDefault="009F50CE" w:rsidP="009F50CE">
      <w:pPr>
        <w:pStyle w:val="AuthorityNote"/>
      </w:pPr>
      <w:r w:rsidRPr="00FD2E5C">
        <w:t>AUTHORITY NOTE:</w:t>
      </w:r>
      <w:r w:rsidRPr="00FD2E5C">
        <w:tab/>
        <w:t>Promulgated</w:t>
      </w:r>
      <w:r>
        <w:t xml:space="preserve"> in accordance with R.S. 3:2135 and R.S.</w:t>
      </w:r>
      <w:r w:rsidRPr="00FD2E5C">
        <w:t xml:space="preserve"> 3:2137.</w:t>
      </w:r>
    </w:p>
    <w:p w14:paraId="224FFF4F" w14:textId="77777777" w:rsidR="009F50CE" w:rsidRPr="00FD2E5C" w:rsidRDefault="009F50CE" w:rsidP="009F50CE">
      <w:pPr>
        <w:pStyle w:val="HistoricalNote"/>
      </w:pPr>
      <w:r w:rsidRPr="00FD2E5C">
        <w:t>HISTORICAL NOTE:</w:t>
      </w:r>
      <w:r w:rsidRPr="00FD2E5C">
        <w:tab/>
        <w:t>Promulgated by the Department of Agriculture and Forestry, Office of Animal Health and Food Safety</w:t>
      </w:r>
      <w:r>
        <w:t>,</w:t>
      </w:r>
      <w:r w:rsidRPr="00FD2E5C">
        <w:t xml:space="preserve"> Board of Animal Health, LR 42:</w:t>
      </w:r>
      <w:r w:rsidR="00823600">
        <w:t>391</w:t>
      </w:r>
      <w:r>
        <w:t xml:space="preserve"> (March 2016).</w:t>
      </w:r>
    </w:p>
    <w:p w14:paraId="720234D1" w14:textId="77777777" w:rsidR="005A46E7" w:rsidRPr="00A1145E" w:rsidRDefault="005A46E7" w:rsidP="005A46E7">
      <w:pPr>
        <w:pStyle w:val="Section"/>
      </w:pPr>
      <w:bookmarkStart w:id="2138" w:name="_Toc224819138"/>
      <w:r>
        <w:t>§1313.</w:t>
      </w:r>
      <w:r>
        <w:tab/>
      </w:r>
      <w:r w:rsidRPr="00A1145E">
        <w:t>Operation of Livestock Auction Markets</w:t>
      </w:r>
      <w:bookmarkEnd w:id="2136"/>
      <w:bookmarkEnd w:id="2137"/>
      <w:r>
        <w:br/>
        <w:t>(</w:t>
      </w:r>
      <w:r w:rsidRPr="00A1145E">
        <w:t>Formerly §907</w:t>
      </w:r>
      <w:r>
        <w:t>)</w:t>
      </w:r>
      <w:bookmarkEnd w:id="2138"/>
    </w:p>
    <w:p w14:paraId="59B11BD4" w14:textId="77777777" w:rsidR="00083621" w:rsidRPr="009E0116" w:rsidRDefault="00083621" w:rsidP="00083621">
      <w:pPr>
        <w:pStyle w:val="A"/>
      </w:pPr>
      <w:r w:rsidRPr="009E0116">
        <w:t>A.</w:t>
      </w:r>
      <w:r w:rsidRPr="009E0116">
        <w:tab/>
        <w:t>All swine which are sold or offered for sale in livestock auction markets must meet the general requirements of §131 and the following specific pseudorabies/</w:t>
      </w:r>
      <w:r>
        <w:t>brucellosis</w:t>
      </w:r>
      <w:r w:rsidRPr="009E0116">
        <w:t xml:space="preserve"> requirements.</w:t>
      </w:r>
    </w:p>
    <w:p w14:paraId="7A856F0D" w14:textId="77777777" w:rsidR="00083621" w:rsidRPr="009E0116" w:rsidRDefault="00083621" w:rsidP="00083621">
      <w:pPr>
        <w:pStyle w:val="1"/>
      </w:pPr>
      <w:r w:rsidRPr="009E0116">
        <w:t>1.</w:t>
      </w:r>
      <w:r w:rsidRPr="009E0116">
        <w:tab/>
        <w:t>All breeder and feeder swine moving to Louisiana auction markets from farms outside Louisiana must meet the requirements of §131.</w:t>
      </w:r>
    </w:p>
    <w:p w14:paraId="6C023A29" w14:textId="77777777" w:rsidR="00083621" w:rsidRPr="009E0116" w:rsidRDefault="00083621" w:rsidP="00083621">
      <w:pPr>
        <w:pStyle w:val="1"/>
      </w:pPr>
      <w:r w:rsidRPr="009E0116">
        <w:t>2.</w:t>
      </w:r>
      <w:r w:rsidRPr="009E0116">
        <w:tab/>
        <w:t>All swine over six months of age, being sold at Louisiana livestock auction markets must be identified by an official swine back tag, placed on the animals' forehead and an official metal ear tag.</w:t>
      </w:r>
    </w:p>
    <w:p w14:paraId="2C7E1B3A" w14:textId="77777777" w:rsidR="00083621" w:rsidRPr="009E0116" w:rsidRDefault="00083621" w:rsidP="00083621">
      <w:pPr>
        <w:pStyle w:val="1"/>
      </w:pPr>
      <w:r w:rsidRPr="009E0116">
        <w:t>3.</w:t>
      </w:r>
      <w:r w:rsidRPr="009E0116">
        <w:tab/>
        <w:t xml:space="preserve">The market shall furnish the Board of Animal Health’s official representative a copy of each check-in slip, showing the name of the auction market, the date, the name and complete address of each consignor, and the official back </w:t>
      </w:r>
      <w:r w:rsidRPr="009E0116">
        <w:lastRenderedPageBreak/>
        <w:t>tag numbers applied to the consignor's livestock. It shall be a violation of this regulation for anyone to consign livestock to a Louisiana livestock auction market and give a name and address that is not the name and address of the owner consigning the livestock to the auction market.</w:t>
      </w:r>
    </w:p>
    <w:p w14:paraId="7CE73BEF" w14:textId="77777777" w:rsidR="005A46E7" w:rsidRPr="00A1145E" w:rsidRDefault="00083621" w:rsidP="00083621">
      <w:pPr>
        <w:pStyle w:val="AuthorityNote"/>
      </w:pPr>
      <w:r w:rsidRPr="009E0116">
        <w:t>AUTHORITY NOTE:</w:t>
      </w:r>
      <w:r w:rsidRPr="009E0116">
        <w:tab/>
        <w:t>Promulgated in accordance with R.S. 3:2093.</w:t>
      </w:r>
    </w:p>
    <w:p w14:paraId="4DF3450C" w14:textId="77777777" w:rsidR="005A46E7" w:rsidRPr="00A1145E" w:rsidRDefault="005A46E7" w:rsidP="005A46E7">
      <w:pPr>
        <w:pStyle w:val="HistoricalNote"/>
      </w:pPr>
      <w:r w:rsidRPr="00A1145E">
        <w:t>HISTORICAL NOTE:</w:t>
      </w:r>
      <w:r w:rsidRPr="00A1145E">
        <w:tab/>
      </w:r>
      <w:r w:rsidRPr="00FD1E32">
        <w:t xml:space="preserve">Promulgated by the Department of Agriculture, Livestock Sanitary Board, LR 11:245 (March 1985), amended LR 11:615 (June 1985), amended by the Department of Agriculture and Forestry, Livestock Sanitary Board, LR 16:392 (May 1990), LR 18:839 (August 1992), LR 23:1494 (November 1997), repromulgated by the Department of Agriculture and Forestry, </w:t>
      </w:r>
      <w:r w:rsidR="007356F4" w:rsidRPr="00FD1E32">
        <w:t>Office of Animal Health and Food Safety</w:t>
      </w:r>
      <w:r w:rsidR="007356F4">
        <w:t xml:space="preserve"> and the Board of Animal Health,</w:t>
      </w:r>
      <w:r w:rsidRPr="00A1145E">
        <w:t xml:space="preserve"> LR </w:t>
      </w:r>
      <w:r w:rsidR="00083621">
        <w:t>40:970 (May 2014), LR 42:2170 (December 2016).</w:t>
      </w:r>
    </w:p>
    <w:p w14:paraId="08ACB5B4" w14:textId="77777777" w:rsidR="005A46E7" w:rsidRPr="00A1145E" w:rsidRDefault="005A46E7" w:rsidP="005A46E7">
      <w:pPr>
        <w:pStyle w:val="Section"/>
      </w:pPr>
      <w:bookmarkStart w:id="2139" w:name="_Toc388358319"/>
      <w:bookmarkStart w:id="2140" w:name="_Toc396115221"/>
      <w:bookmarkStart w:id="2141" w:name="_Toc411855612"/>
      <w:bookmarkStart w:id="2142" w:name="_Toc419795814"/>
      <w:bookmarkStart w:id="2143" w:name="_Toc427737202"/>
      <w:bookmarkStart w:id="2144" w:name="_Toc438547004"/>
      <w:bookmarkStart w:id="2145" w:name="_Toc446326993"/>
      <w:bookmarkStart w:id="2146" w:name="_Toc448825183"/>
      <w:bookmarkStart w:id="2147" w:name="_Toc451506227"/>
      <w:bookmarkStart w:id="2148" w:name="_Toc462212650"/>
      <w:bookmarkStart w:id="2149" w:name="_Toc468096570"/>
      <w:bookmarkStart w:id="2150" w:name="_Toc477854035"/>
      <w:bookmarkStart w:id="2151" w:name="_Toc488735979"/>
      <w:bookmarkStart w:id="2152" w:name="_Toc491176790"/>
      <w:bookmarkStart w:id="2153" w:name="_Toc509393713"/>
      <w:bookmarkStart w:id="2154" w:name="_Toc525114882"/>
      <w:bookmarkStart w:id="2155" w:name="_Toc535997279"/>
      <w:bookmarkStart w:id="2156" w:name="_Toc224819139"/>
      <w:r w:rsidRPr="00A1145E">
        <w:t>§§1315</w:t>
      </w:r>
      <w:r>
        <w:t>-</w:t>
      </w:r>
      <w:r w:rsidRPr="00A1145E">
        <w:t>1319.</w:t>
      </w:r>
      <w:r w:rsidRPr="00A1145E">
        <w:tab/>
        <w:t>Reserved</w:t>
      </w:r>
      <w:r>
        <w:t>.</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64C373C9" w14:textId="77777777" w:rsidR="005A46E7" w:rsidRPr="00A1145E" w:rsidRDefault="005A46E7" w:rsidP="005A46E7">
      <w:pPr>
        <w:pStyle w:val="Chapter"/>
      </w:pPr>
      <w:bookmarkStart w:id="2157" w:name="_Toc224819140"/>
      <w:r>
        <w:t>Subchapter C</w:t>
      </w:r>
      <w:r w:rsidRPr="00A1145E">
        <w:t>.</w:t>
      </w:r>
      <w:r w:rsidRPr="00A1145E">
        <w:tab/>
      </w:r>
      <w:r w:rsidR="00823600" w:rsidRPr="00FD2E5C">
        <w:t>Quarantine Swine Feedlots and Feral Swine Approved Holding Facilities</w:t>
      </w:r>
      <w:bookmarkEnd w:id="2157"/>
    </w:p>
    <w:p w14:paraId="393DC51B" w14:textId="77777777" w:rsidR="009F50CE" w:rsidRPr="00FD2E5C" w:rsidRDefault="009F50CE" w:rsidP="009F50CE">
      <w:pPr>
        <w:pStyle w:val="Section"/>
      </w:pPr>
      <w:bookmarkStart w:id="2158" w:name="_Toc224819141"/>
      <w:r w:rsidRPr="00FD2E5C">
        <w:t>§1321.</w:t>
      </w:r>
      <w:r w:rsidRPr="00FD2E5C">
        <w:tab/>
        <w:t>Quarantine Swine Feedlots and Feral Sw</w:t>
      </w:r>
      <w:r w:rsidR="001F3803">
        <w:t>ine Approved Holding Facilities</w:t>
      </w:r>
      <w:r w:rsidRPr="00FD2E5C">
        <w:br/>
        <w:t>(Formerly §909)</w:t>
      </w:r>
      <w:bookmarkEnd w:id="2158"/>
    </w:p>
    <w:p w14:paraId="11BF638B" w14:textId="77777777" w:rsidR="00083621" w:rsidRPr="009E0116" w:rsidRDefault="00083621" w:rsidP="00083621">
      <w:pPr>
        <w:pStyle w:val="A"/>
      </w:pPr>
      <w:r w:rsidRPr="009E0116">
        <w:t>A.</w:t>
      </w:r>
      <w:r w:rsidRPr="009E0116">
        <w:tab/>
        <w:t>Permit Required. No person may operate a quarantined swine feedlot or feral swine holding facility without first obtaining a permit from the Board of Animal Health. Any person operating a feedlot or holding facility without a valid permit will be in violation of this regulation and subject to prosecution.</w:t>
      </w:r>
      <w:r>
        <w:t xml:space="preserve"> </w:t>
      </w:r>
      <w:r w:rsidRPr="009E0116">
        <w:t xml:space="preserve">Approval for a quarantine swine feedlot or feral swine holding facility may be given after initial inspection by an authorized agent of the Board of Animal Health. </w:t>
      </w:r>
    </w:p>
    <w:p w14:paraId="765A90F4" w14:textId="77777777" w:rsidR="00083621" w:rsidRPr="009E0116" w:rsidRDefault="00083621" w:rsidP="00083621">
      <w:pPr>
        <w:pStyle w:val="A"/>
      </w:pPr>
      <w:r w:rsidRPr="009E0116">
        <w:t>B.</w:t>
      </w:r>
      <w:r w:rsidRPr="009E0116">
        <w:tab/>
        <w:t>Requirements for Operation of Quarantined Swine Feedlots and Approved Feral Swine Holding Facilities</w:t>
      </w:r>
    </w:p>
    <w:p w14:paraId="0B77C918" w14:textId="77777777" w:rsidR="00083621" w:rsidRPr="009E0116" w:rsidRDefault="00083621" w:rsidP="00083621">
      <w:pPr>
        <w:pStyle w:val="1"/>
      </w:pPr>
      <w:r w:rsidRPr="009E0116">
        <w:t>1.</w:t>
      </w:r>
      <w:r w:rsidRPr="009E0116">
        <w:tab/>
        <w:t>All swine must be maintained at a minimum 200 yards from all other domestic swine pens.</w:t>
      </w:r>
    </w:p>
    <w:p w14:paraId="0D6A594A" w14:textId="77777777" w:rsidR="00083621" w:rsidRPr="009E0116" w:rsidRDefault="00083621" w:rsidP="00083621">
      <w:pPr>
        <w:pStyle w:val="1"/>
      </w:pPr>
      <w:r w:rsidRPr="009E0116">
        <w:t>2.</w:t>
      </w:r>
      <w:r w:rsidRPr="009E0116">
        <w:tab/>
        <w:t xml:space="preserve">Complete records must be maintained on all transactions as described in Subsection C of this </w:t>
      </w:r>
      <w:r>
        <w:t>S</w:t>
      </w:r>
      <w:r w:rsidRPr="009E0116">
        <w:t>ection. These records shall be made available to state-federal personnel upon request.</w:t>
      </w:r>
    </w:p>
    <w:p w14:paraId="43F02EDE" w14:textId="77777777" w:rsidR="00083621" w:rsidRPr="009E0116" w:rsidRDefault="00083621" w:rsidP="00083621">
      <w:pPr>
        <w:pStyle w:val="1"/>
      </w:pPr>
      <w:r w:rsidRPr="009E0116">
        <w:t>3.</w:t>
      </w:r>
      <w:r w:rsidRPr="009E0116">
        <w:tab/>
        <w:t>No feral swine shall be comingled with domestic swine unless the facility is operating as a quarantine swine feedlot and all swine movements from the quarantine swine feedlot facility must be directly to a slaughtering establishment operating under approved state or federal meat inspection.</w:t>
      </w:r>
    </w:p>
    <w:p w14:paraId="7042E352" w14:textId="77777777" w:rsidR="00083621" w:rsidRPr="009E0116" w:rsidRDefault="00083621" w:rsidP="00083621">
      <w:pPr>
        <w:pStyle w:val="1"/>
      </w:pPr>
      <w:r w:rsidRPr="009E0116">
        <w:t>4.</w:t>
      </w:r>
      <w:r w:rsidRPr="009E0116">
        <w:tab/>
        <w:t>Only feral swine may be placed in an approved feral swine holding facility.</w:t>
      </w:r>
    </w:p>
    <w:p w14:paraId="5117B77A" w14:textId="77777777" w:rsidR="00083621" w:rsidRPr="009E0116" w:rsidRDefault="00083621" w:rsidP="00083621">
      <w:pPr>
        <w:pStyle w:val="1"/>
      </w:pPr>
      <w:r w:rsidRPr="009E0116">
        <w:t>5.</w:t>
      </w:r>
      <w:r w:rsidRPr="009E0116">
        <w:tab/>
        <w:t>Quarantine swine feedlots and approved feral swine holding facilities must be fenced with swine-proof fence to prevent any swine from escaping and the fencing must be continually maintained by the owner/operator to prevent escape of swine.</w:t>
      </w:r>
    </w:p>
    <w:p w14:paraId="15E6925F" w14:textId="77777777" w:rsidR="00083621" w:rsidRPr="009E0116" w:rsidRDefault="00083621" w:rsidP="00083621">
      <w:pPr>
        <w:pStyle w:val="1"/>
      </w:pPr>
      <w:r w:rsidRPr="009E0116">
        <w:t>6.</w:t>
      </w:r>
      <w:r w:rsidRPr="009E0116">
        <w:tab/>
        <w:t xml:space="preserve">Feral swine </w:t>
      </w:r>
      <w:r>
        <w:t>shall not be fed garbage as per</w:t>
      </w:r>
      <w:r>
        <w:br/>
      </w:r>
      <w:r w:rsidRPr="009E0116">
        <w:t xml:space="preserve">LAC </w:t>
      </w:r>
      <w:r>
        <w:t>7:XXI.</w:t>
      </w:r>
      <w:r w:rsidRPr="009E0116">
        <w:t>2305.</w:t>
      </w:r>
    </w:p>
    <w:p w14:paraId="498A1230" w14:textId="77777777" w:rsidR="00083621" w:rsidRPr="009E0116" w:rsidRDefault="00083621" w:rsidP="00083621">
      <w:pPr>
        <w:pStyle w:val="1"/>
      </w:pPr>
      <w:r w:rsidRPr="009E0116">
        <w:t>7.</w:t>
      </w:r>
      <w:r w:rsidRPr="009E0116">
        <w:tab/>
        <w:t>Each quarantine swine feedlot or feral swine holding facility shall be inspected at least annually by an authorized agent of the Board of Animal Health.</w:t>
      </w:r>
    </w:p>
    <w:p w14:paraId="50E8A6CF" w14:textId="77777777" w:rsidR="00083621" w:rsidRPr="009E0116" w:rsidRDefault="00083621" w:rsidP="00083621">
      <w:pPr>
        <w:pStyle w:val="A"/>
      </w:pPr>
      <w:r w:rsidRPr="009E0116">
        <w:t>C.</w:t>
      </w:r>
      <w:r w:rsidRPr="009E0116">
        <w:tab/>
        <w:t>Records</w:t>
      </w:r>
    </w:p>
    <w:p w14:paraId="08543835" w14:textId="77777777" w:rsidR="00083621" w:rsidRPr="009E0116" w:rsidRDefault="00083621" w:rsidP="00083621">
      <w:pPr>
        <w:pStyle w:val="1"/>
      </w:pPr>
      <w:r w:rsidRPr="009E0116">
        <w:t>1.</w:t>
      </w:r>
      <w:r w:rsidRPr="009E0116">
        <w:tab/>
        <w:t>records shall be generated and maintained by owner/operators of quarantine swine feedlots and approved feral swine holding facilities.</w:t>
      </w:r>
      <w:r>
        <w:t xml:space="preserve"> </w:t>
      </w:r>
      <w:r w:rsidRPr="009E0116">
        <w:t>The records shall include the following:</w:t>
      </w:r>
    </w:p>
    <w:p w14:paraId="21FCF70A" w14:textId="77777777" w:rsidR="00083621" w:rsidRPr="009E0116" w:rsidRDefault="00083621" w:rsidP="00083621">
      <w:pPr>
        <w:pStyle w:val="a0"/>
      </w:pPr>
      <w:r w:rsidRPr="009E0116">
        <w:t>a.</w:t>
      </w:r>
      <w:r w:rsidRPr="009E0116">
        <w:tab/>
        <w:t>number of swine placed in and removed from the facility quarterly;</w:t>
      </w:r>
    </w:p>
    <w:p w14:paraId="009DED70" w14:textId="77777777" w:rsidR="00083621" w:rsidRPr="009E0116" w:rsidRDefault="00083621" w:rsidP="00083621">
      <w:pPr>
        <w:pStyle w:val="a0"/>
      </w:pPr>
      <w:r w:rsidRPr="009E0116">
        <w:t>b.</w:t>
      </w:r>
      <w:r w:rsidRPr="009E0116">
        <w:tab/>
        <w:t>trapper/transporter name and license number for feral swine;</w:t>
      </w:r>
    </w:p>
    <w:p w14:paraId="45AA9B02" w14:textId="77777777" w:rsidR="00083621" w:rsidRPr="009E0116" w:rsidRDefault="00083621" w:rsidP="00083621">
      <w:pPr>
        <w:pStyle w:val="a0"/>
      </w:pPr>
      <w:r w:rsidRPr="009E0116">
        <w:t>c.</w:t>
      </w:r>
      <w:r w:rsidRPr="009E0116">
        <w:tab/>
        <w:t>weight, color, sex and any applied identification for each animal;</w:t>
      </w:r>
    </w:p>
    <w:p w14:paraId="3D0973D8" w14:textId="77777777" w:rsidR="00083621" w:rsidRPr="009E0116" w:rsidRDefault="00083621" w:rsidP="00083621">
      <w:pPr>
        <w:pStyle w:val="a0"/>
      </w:pPr>
      <w:r w:rsidRPr="009E0116">
        <w:t>d.</w:t>
      </w:r>
      <w:r w:rsidRPr="009E0116">
        <w:tab/>
        <w:t>date each animal was placed in and removed from the facility;</w:t>
      </w:r>
    </w:p>
    <w:p w14:paraId="2EADFBCA" w14:textId="77777777" w:rsidR="00083621" w:rsidRPr="009E0116" w:rsidRDefault="00083621" w:rsidP="00083621">
      <w:pPr>
        <w:pStyle w:val="a0"/>
      </w:pPr>
      <w:r w:rsidRPr="009E0116">
        <w:t>e.</w:t>
      </w:r>
      <w:r w:rsidRPr="009E0116">
        <w:tab/>
        <w:t>parish where</w:t>
      </w:r>
      <w:r>
        <w:t xml:space="preserve"> feral swine were trapped.</w:t>
      </w:r>
    </w:p>
    <w:p w14:paraId="63A13173" w14:textId="77777777" w:rsidR="00083621" w:rsidRPr="009E0116" w:rsidRDefault="00083621" w:rsidP="00083621">
      <w:pPr>
        <w:pStyle w:val="1"/>
      </w:pPr>
      <w:r w:rsidRPr="009E0116">
        <w:t>2.</w:t>
      </w:r>
      <w:r w:rsidRPr="009E0116">
        <w:tab/>
        <w:t>All records shall be provided to an authorized agent of the commission upon request.</w:t>
      </w:r>
      <w:r>
        <w:t xml:space="preserve"> </w:t>
      </w:r>
      <w:r w:rsidRPr="009E0116">
        <w:t>All records shall be maintained for not less than five years.</w:t>
      </w:r>
    </w:p>
    <w:p w14:paraId="39F2E40A" w14:textId="77777777" w:rsidR="00083621" w:rsidRPr="009E0116" w:rsidRDefault="00083621" w:rsidP="00083621">
      <w:pPr>
        <w:pStyle w:val="A"/>
      </w:pPr>
      <w:r w:rsidRPr="009E0116">
        <w:t>D.</w:t>
      </w:r>
      <w:r w:rsidRPr="009E0116">
        <w:tab/>
        <w:t>Cancellation of Quarantined Swine Feedlot or Approved Feral Swine Holding Facility Permit</w:t>
      </w:r>
    </w:p>
    <w:p w14:paraId="3623369D" w14:textId="77777777" w:rsidR="00083621" w:rsidRPr="009E0116" w:rsidRDefault="00083621" w:rsidP="00083621">
      <w:pPr>
        <w:pStyle w:val="1"/>
      </w:pPr>
      <w:r w:rsidRPr="009E0116">
        <w:t>1.</w:t>
      </w:r>
      <w:r w:rsidRPr="009E0116">
        <w:tab/>
        <w:t>A quarantined swine feedlot permit may be canceled upon written notice that the operation does not meet the requirements of this regulation, or the operator of such quarantined swine feedlot has violated the provisions of this regulation in any respect.</w:t>
      </w:r>
    </w:p>
    <w:p w14:paraId="7FF2FCD9" w14:textId="77777777" w:rsidR="00083621" w:rsidRPr="009E0116" w:rsidRDefault="00083621" w:rsidP="00083621">
      <w:pPr>
        <w:pStyle w:val="1"/>
      </w:pPr>
      <w:r w:rsidRPr="009E0116">
        <w:t>2.</w:t>
      </w:r>
      <w:r w:rsidRPr="009E0116">
        <w:tab/>
        <w:t>The board shall give written notice of the cancellation of a quarantined swine feedlot permit to the operator thereof.</w:t>
      </w:r>
    </w:p>
    <w:p w14:paraId="27DB0C8A" w14:textId="77777777" w:rsidR="00083621" w:rsidRPr="009E0116" w:rsidRDefault="00083621" w:rsidP="00083621">
      <w:pPr>
        <w:pStyle w:val="1"/>
      </w:pPr>
      <w:r w:rsidRPr="009E0116">
        <w:t>3.</w:t>
      </w:r>
      <w:r w:rsidRPr="009E0116">
        <w:tab/>
        <w:t>Any operator of a quarantined swine feedlot whose permit is so canceled may appeal the cancellation thereof by written notice to the board within 10 days of receipt of the notice of cancellation. Any operator of a quarantined swine feedlot who appeals cancellation of his permit shall be entitled to a full hearing before the board, and the decision of the board at such hearing will be final unless the operator appeals to a court of competent jurisdiction.</w:t>
      </w:r>
    </w:p>
    <w:p w14:paraId="197CDFC7" w14:textId="77777777" w:rsidR="00083621" w:rsidRPr="009E0116" w:rsidRDefault="00083621" w:rsidP="00083621">
      <w:pPr>
        <w:pStyle w:val="1"/>
      </w:pPr>
      <w:r w:rsidRPr="009E0116">
        <w:t>4.</w:t>
      </w:r>
      <w:r w:rsidRPr="009E0116">
        <w:tab/>
        <w:t>Closure of a Quarantine Swine Feedlot or Approved Feral Swine Holding Facility</w:t>
      </w:r>
    </w:p>
    <w:p w14:paraId="66A1A05E" w14:textId="77777777" w:rsidR="00083621" w:rsidRPr="009E0116" w:rsidRDefault="00083621" w:rsidP="00083621">
      <w:pPr>
        <w:pStyle w:val="a0"/>
      </w:pPr>
      <w:r w:rsidRPr="009E0116">
        <w:t>a.</w:t>
      </w:r>
      <w:r w:rsidRPr="009E0116">
        <w:tab/>
        <w:t>Upon termination of a permit, the owner/operator may take up to 14 days to dispose of all feral swine at the facility.</w:t>
      </w:r>
    </w:p>
    <w:p w14:paraId="61923680" w14:textId="77777777" w:rsidR="00083621" w:rsidRPr="009E0116" w:rsidRDefault="00083621" w:rsidP="00083621">
      <w:pPr>
        <w:pStyle w:val="a0"/>
      </w:pPr>
      <w:r w:rsidRPr="009E0116">
        <w:t>b.</w:t>
      </w:r>
      <w:r w:rsidRPr="009E0116">
        <w:tab/>
        <w:t>No person shall release feral swine, or a</w:t>
      </w:r>
      <w:r>
        <w:t>ny swine species, into the wild.</w:t>
      </w:r>
    </w:p>
    <w:p w14:paraId="4141AC1C" w14:textId="77777777" w:rsidR="00083621" w:rsidRPr="009E0116" w:rsidRDefault="00083621" w:rsidP="00083621">
      <w:pPr>
        <w:pStyle w:val="a0"/>
      </w:pPr>
      <w:r w:rsidRPr="009E0116">
        <w:t>c.</w:t>
      </w:r>
      <w:r w:rsidRPr="009E0116">
        <w:tab/>
        <w:t>Cleaning and disinfection of the premises shall be completed immediately upon closure of the facility if required by the Board of Animal Health.</w:t>
      </w:r>
    </w:p>
    <w:p w14:paraId="0F747F53" w14:textId="77777777" w:rsidR="005A46E7" w:rsidRPr="00A1145E" w:rsidRDefault="00083621" w:rsidP="00083621">
      <w:pPr>
        <w:pStyle w:val="AuthorityNote"/>
      </w:pPr>
      <w:r w:rsidRPr="009E0116">
        <w:t>AUTHORITY NOTE:</w:t>
      </w:r>
      <w:r w:rsidRPr="009E0116">
        <w:tab/>
        <w:t>Promulgated in accordance with R.S. 3:2093 and R.S. 3:2135.</w:t>
      </w:r>
    </w:p>
    <w:p w14:paraId="03453BC4" w14:textId="77777777" w:rsidR="005A46E7" w:rsidRPr="00A1145E" w:rsidRDefault="005A46E7" w:rsidP="005A46E7">
      <w:pPr>
        <w:pStyle w:val="HistoricalNote"/>
      </w:pPr>
      <w:r w:rsidRPr="00A1145E">
        <w:lastRenderedPageBreak/>
        <w:t>HISTORICAL NOTE:</w:t>
      </w:r>
      <w:r w:rsidRPr="00A1145E">
        <w:tab/>
      </w:r>
      <w:r w:rsidR="00FD1E32"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rsidR="009F50CE">
        <w:t xml:space="preserve">40:970 (May 2014), amended </w:t>
      </w:r>
      <w:r w:rsidR="00D47781" w:rsidRPr="00FD2E5C">
        <w:t>by the Department of Agriculture and Forestry, Office of Animal Health and Food Safety</w:t>
      </w:r>
      <w:r w:rsidR="00D47781">
        <w:t>,</w:t>
      </w:r>
      <w:r w:rsidR="00D47781" w:rsidRPr="00FD2E5C">
        <w:t xml:space="preserve"> Board of Animal Health,</w:t>
      </w:r>
      <w:r w:rsidR="00D47781">
        <w:t xml:space="preserve"> </w:t>
      </w:r>
      <w:r w:rsidR="009F50CE" w:rsidRPr="00FD2E5C">
        <w:t>LR 42:</w:t>
      </w:r>
      <w:r w:rsidR="00D47781">
        <w:t>392</w:t>
      </w:r>
      <w:r w:rsidR="00083621">
        <w:t xml:space="preserve"> (March 2016), LR 42:2170 (December 2016).</w:t>
      </w:r>
    </w:p>
    <w:p w14:paraId="121292EA" w14:textId="77777777" w:rsidR="005A46E7" w:rsidRPr="00A1145E" w:rsidRDefault="005A46E7" w:rsidP="005A46E7">
      <w:pPr>
        <w:pStyle w:val="Chapter"/>
      </w:pPr>
      <w:bookmarkStart w:id="2159" w:name="_Toc224819142"/>
      <w:r>
        <w:t>Subchapter D</w:t>
      </w:r>
      <w:r w:rsidRPr="00A1145E">
        <w:t>.</w:t>
      </w:r>
      <w:r w:rsidRPr="00A1145E">
        <w:tab/>
        <w:t xml:space="preserve">Slaughterhouse Requirements for Identification, Sampling </w:t>
      </w:r>
      <w:r>
        <w:t>and</w:t>
      </w:r>
      <w:r w:rsidRPr="00A1145E">
        <w:t xml:space="preserve"> Records</w:t>
      </w:r>
      <w:bookmarkEnd w:id="2159"/>
    </w:p>
    <w:p w14:paraId="6D9AE423" w14:textId="77777777" w:rsidR="005A46E7" w:rsidRPr="00A1145E" w:rsidRDefault="005A46E7" w:rsidP="005A46E7">
      <w:pPr>
        <w:pStyle w:val="Section"/>
      </w:pPr>
      <w:bookmarkStart w:id="2160" w:name="_Toc256754747"/>
      <w:bookmarkStart w:id="2161" w:name="_Toc375025532"/>
      <w:bookmarkStart w:id="2162" w:name="_Toc224819143"/>
      <w:r>
        <w:t>§1323.</w:t>
      </w:r>
      <w:r>
        <w:tab/>
      </w:r>
      <w:r w:rsidRPr="00A1145E">
        <w:t>Identification of Swine with Official Backtags and the Collection of Blood Samples from Officially Backtagged Swine at Slaughter Establishments under State or Federal Meat Inspection</w:t>
      </w:r>
      <w:bookmarkEnd w:id="2160"/>
      <w:bookmarkEnd w:id="2161"/>
      <w:r>
        <w:br/>
        <w:t>(</w:t>
      </w:r>
      <w:r w:rsidRPr="00A1145E">
        <w:t>Formerly §911</w:t>
      </w:r>
      <w:r>
        <w:t>)</w:t>
      </w:r>
      <w:bookmarkEnd w:id="2162"/>
    </w:p>
    <w:p w14:paraId="6A2F0E58" w14:textId="77777777" w:rsidR="00083621" w:rsidRPr="009E0116" w:rsidRDefault="00083621" w:rsidP="00083621">
      <w:pPr>
        <w:pStyle w:val="A"/>
      </w:pPr>
      <w:r w:rsidRPr="009E0116">
        <w:t>A.</w:t>
      </w:r>
      <w:r w:rsidRPr="009E0116">
        <w:tab/>
        <w:t>Official Backtagging of Swine</w:t>
      </w:r>
    </w:p>
    <w:p w14:paraId="2A463B15" w14:textId="77777777" w:rsidR="00083621" w:rsidRPr="009E0116" w:rsidRDefault="00083621" w:rsidP="00083621">
      <w:pPr>
        <w:pStyle w:val="1"/>
      </w:pPr>
      <w:r w:rsidRPr="009E0116">
        <w:t>1.</w:t>
      </w:r>
      <w:r w:rsidRPr="009E0116">
        <w:tab/>
        <w:t>All swine over six months of age that are not officially tagged when received by a slaughter establishment, under state or federal meat inspection, shall be identified by an official backtag, properly placed. The name and address of the consignor, the name and address of the owner of the herd of origin, (if different from that of the consignor), shall be recorded, along with the official backtag numbers, on forms provided for this purpose. A copy of the completed form shall be retained by the slaughter establishment for their records; the original is to be furnished to the meat inspector to accompany blood samples to the state-federal livestock diagnostic laboratory.</w:t>
      </w:r>
    </w:p>
    <w:p w14:paraId="63556ACB" w14:textId="77777777" w:rsidR="00083621" w:rsidRPr="009E0116" w:rsidRDefault="00083621" w:rsidP="00083621">
      <w:pPr>
        <w:pStyle w:val="1"/>
      </w:pPr>
      <w:r w:rsidRPr="009E0116">
        <w:t>2.</w:t>
      </w:r>
      <w:r w:rsidRPr="009E0116">
        <w:tab/>
        <w:t>The slaughter establishment shall be responsible for the identification of the animals and for maintaining required records.</w:t>
      </w:r>
    </w:p>
    <w:p w14:paraId="5EEEE99A" w14:textId="77777777" w:rsidR="00083621" w:rsidRPr="009E0116" w:rsidRDefault="00083621" w:rsidP="00083621">
      <w:pPr>
        <w:pStyle w:val="A"/>
      </w:pPr>
      <w:r w:rsidRPr="009E0116">
        <w:t>B.</w:t>
      </w:r>
      <w:r w:rsidRPr="009E0116">
        <w:tab/>
        <w:t>Records. All records pertaining to the identification of the swine, the name and address of the owner of the herd of origin, (if different from that of the consignor), shall be maintained and made available to representatives of the Board of Animal Health, upon request.</w:t>
      </w:r>
    </w:p>
    <w:p w14:paraId="0E849C74" w14:textId="77777777" w:rsidR="005A46E7" w:rsidRPr="00A1145E" w:rsidRDefault="00083621" w:rsidP="00083621">
      <w:pPr>
        <w:pStyle w:val="AuthorityNote"/>
      </w:pPr>
      <w:r w:rsidRPr="009E0116">
        <w:t>AUTHORITY NOTE:</w:t>
      </w:r>
      <w:r w:rsidRPr="009E0116">
        <w:tab/>
        <w:t>Promulgated in accordance with R.S. 3:2093.</w:t>
      </w:r>
    </w:p>
    <w:p w14:paraId="1072CA03" w14:textId="77777777"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16:392 (May 1990)</w:t>
      </w:r>
      <w:r w:rsidRPr="00A1145E">
        <w:t xml:space="preserve">, repromulgated by the Department of Agriculture and Forestry, </w:t>
      </w:r>
      <w:r w:rsidR="007356F4">
        <w:t>Office of Animal Health and Food Safety and the Board of Animal Health,</w:t>
      </w:r>
      <w:r w:rsidRPr="00A1145E">
        <w:t xml:space="preserve"> LR </w:t>
      </w:r>
      <w:r w:rsidR="00083621">
        <w:t>40:970 (May 2014), LR 42:2171 (December 2016).</w:t>
      </w:r>
    </w:p>
    <w:p w14:paraId="1EBC8D97" w14:textId="77777777" w:rsidR="005A46E7" w:rsidRPr="00A1145E" w:rsidRDefault="005A46E7" w:rsidP="005A46E7">
      <w:pPr>
        <w:pStyle w:val="Chapter"/>
      </w:pPr>
      <w:bookmarkStart w:id="2163" w:name="_Toc224819144"/>
      <w:r w:rsidRPr="00A1145E">
        <w:t>Chapter 15.</w:t>
      </w:r>
      <w:r w:rsidRPr="00A1145E">
        <w:tab/>
        <w:t>Sheep and Goats</w:t>
      </w:r>
      <w:r>
        <w:br/>
        <w:t>(Formerly Chapter</w:t>
      </w:r>
      <w:r w:rsidR="000F777B">
        <w:t>s</w:t>
      </w:r>
      <w:r>
        <w:t xml:space="preserve"> 11 and 13)</w:t>
      </w:r>
      <w:bookmarkEnd w:id="2163"/>
    </w:p>
    <w:p w14:paraId="42908BAF" w14:textId="77777777" w:rsidR="005A46E7" w:rsidRPr="00A1145E" w:rsidRDefault="005A46E7" w:rsidP="005A46E7">
      <w:pPr>
        <w:pStyle w:val="Chapter"/>
      </w:pPr>
      <w:bookmarkStart w:id="2164" w:name="_Toc224819145"/>
      <w:r w:rsidRPr="00A1145E">
        <w:t>Subchapter A.</w:t>
      </w:r>
      <w:r w:rsidRPr="00A1145E">
        <w:tab/>
        <w:t>Sheep</w:t>
      </w:r>
      <w:bookmarkEnd w:id="2164"/>
    </w:p>
    <w:p w14:paraId="3E4B8A65" w14:textId="77777777" w:rsidR="005A46E7" w:rsidRPr="00A1145E" w:rsidRDefault="005A46E7" w:rsidP="005A46E7">
      <w:pPr>
        <w:pStyle w:val="Section"/>
      </w:pPr>
      <w:bookmarkStart w:id="2165" w:name="_Toc388358326"/>
      <w:bookmarkStart w:id="2166" w:name="_Toc396115228"/>
      <w:bookmarkStart w:id="2167" w:name="_Toc411855619"/>
      <w:bookmarkStart w:id="2168" w:name="_Toc419795821"/>
      <w:bookmarkStart w:id="2169" w:name="_Toc438547011"/>
      <w:bookmarkStart w:id="2170" w:name="_Toc446327000"/>
      <w:bookmarkStart w:id="2171" w:name="_Toc448825190"/>
      <w:bookmarkStart w:id="2172" w:name="_Toc451506234"/>
      <w:bookmarkStart w:id="2173" w:name="_Toc462212657"/>
      <w:bookmarkStart w:id="2174" w:name="_Toc468096577"/>
      <w:bookmarkStart w:id="2175" w:name="_Toc477854042"/>
      <w:bookmarkStart w:id="2176" w:name="_Toc488735986"/>
      <w:bookmarkStart w:id="2177" w:name="_Toc491176797"/>
      <w:bookmarkStart w:id="2178" w:name="_Toc509393720"/>
      <w:bookmarkStart w:id="2179" w:name="_Toc525114889"/>
      <w:bookmarkStart w:id="2180" w:name="_Toc535997286"/>
      <w:bookmarkStart w:id="2181" w:name="_Toc224819146"/>
      <w:r w:rsidRPr="00A1145E">
        <w:t>§1501.</w:t>
      </w:r>
      <w:r w:rsidRPr="00A1145E">
        <w:tab/>
        <w:t>Reserved</w:t>
      </w:r>
      <w:r>
        <w:t>.</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14:paraId="73092C04" w14:textId="77777777" w:rsidR="005A46E7" w:rsidRPr="00A1145E" w:rsidRDefault="005A46E7" w:rsidP="005A46E7">
      <w:pPr>
        <w:pStyle w:val="Section"/>
      </w:pPr>
      <w:bookmarkStart w:id="2182" w:name="_Toc256754751"/>
      <w:bookmarkStart w:id="2183" w:name="_Toc375025536"/>
      <w:bookmarkStart w:id="2184" w:name="_Toc224819147"/>
      <w:r w:rsidRPr="00A1145E">
        <w:t>§1503.</w:t>
      </w:r>
      <w:r w:rsidRPr="00A1145E">
        <w:tab/>
        <w:t>Identification of Sheep</w:t>
      </w:r>
      <w:bookmarkEnd w:id="2182"/>
      <w:bookmarkEnd w:id="2183"/>
      <w:r>
        <w:br/>
        <w:t>(</w:t>
      </w:r>
      <w:r w:rsidRPr="00A1145E">
        <w:t>Formerly §1105</w:t>
      </w:r>
      <w:r>
        <w:t>)</w:t>
      </w:r>
      <w:bookmarkEnd w:id="2184"/>
    </w:p>
    <w:p w14:paraId="41EA81CD" w14:textId="77777777" w:rsidR="005A46E7" w:rsidRPr="00A1145E" w:rsidRDefault="005A46E7" w:rsidP="005A46E7">
      <w:pPr>
        <w:pStyle w:val="A"/>
      </w:pPr>
      <w:r w:rsidRPr="00A1145E">
        <w:t>A.</w:t>
      </w:r>
      <w:r w:rsidRPr="00A1145E">
        <w:tab/>
        <w:t xml:space="preserve">All sheep changing ownership shall be individually identified by means of an official identification for </w:t>
      </w:r>
      <w:r w:rsidRPr="00166C26">
        <w:rPr>
          <w:i/>
        </w:rPr>
        <w:t>scrapie</w:t>
      </w:r>
      <w:r w:rsidRPr="00A1145E">
        <w:t xml:space="preserve"> as defined in §101.</w:t>
      </w:r>
    </w:p>
    <w:p w14:paraId="5C82621F" w14:textId="77777777" w:rsidR="005A46E7" w:rsidRPr="00A1145E" w:rsidRDefault="005A46E7" w:rsidP="005A46E7">
      <w:pPr>
        <w:pStyle w:val="A"/>
      </w:pPr>
      <w:r w:rsidRPr="00A1145E">
        <w:t>B.</w:t>
      </w:r>
      <w:r w:rsidRPr="00A1145E">
        <w:tab/>
        <w:t>The following sheep shall be individually identified with official identification for scrapie:</w:t>
      </w:r>
    </w:p>
    <w:p w14:paraId="10FB3880" w14:textId="77777777" w:rsidR="005A46E7" w:rsidRPr="00A1145E" w:rsidRDefault="005A46E7" w:rsidP="005A46E7">
      <w:pPr>
        <w:pStyle w:val="1"/>
      </w:pPr>
      <w:r w:rsidRPr="00A1145E">
        <w:t>1.</w:t>
      </w:r>
      <w:r w:rsidRPr="00A1145E">
        <w:tab/>
        <w:t>live scrapie positive sheep;</w:t>
      </w:r>
    </w:p>
    <w:p w14:paraId="10B335EF" w14:textId="77777777" w:rsidR="005A46E7" w:rsidRPr="00A1145E" w:rsidRDefault="005A46E7" w:rsidP="005A46E7">
      <w:pPr>
        <w:pStyle w:val="1"/>
      </w:pPr>
      <w:r w:rsidRPr="00A1145E">
        <w:t>2.</w:t>
      </w:r>
      <w:r w:rsidRPr="00A1145E">
        <w:tab/>
        <w:t>suspect scrapie positive sheep;</w:t>
      </w:r>
    </w:p>
    <w:p w14:paraId="4628C47A" w14:textId="77777777" w:rsidR="005A46E7" w:rsidRPr="00A1145E" w:rsidRDefault="005A46E7" w:rsidP="005A46E7">
      <w:pPr>
        <w:pStyle w:val="1"/>
      </w:pPr>
      <w:r w:rsidRPr="00A1145E">
        <w:t>3.</w:t>
      </w:r>
      <w:r w:rsidRPr="00A1145E">
        <w:tab/>
        <w:t>all sheep considered as high risk for developing scrapie, as defined by USDA;</w:t>
      </w:r>
    </w:p>
    <w:p w14:paraId="25064E12" w14:textId="77777777" w:rsidR="005A46E7" w:rsidRPr="00A1145E" w:rsidRDefault="005A46E7" w:rsidP="005A46E7">
      <w:pPr>
        <w:pStyle w:val="1"/>
      </w:pPr>
      <w:r w:rsidRPr="00A1145E">
        <w:t>4.</w:t>
      </w:r>
      <w:r w:rsidRPr="00A1145E">
        <w:tab/>
        <w:t>all sheep exposed to scrapie.</w:t>
      </w:r>
    </w:p>
    <w:p w14:paraId="7DEDC288" w14:textId="77777777" w:rsidR="005A46E7" w:rsidRPr="00A1145E" w:rsidRDefault="005A46E7" w:rsidP="005A46E7">
      <w:pPr>
        <w:pStyle w:val="AuthorityNote"/>
      </w:pPr>
      <w:r w:rsidRPr="00A1145E">
        <w:t>AUTHORITY NOTE:</w:t>
      </w:r>
      <w:r w:rsidRPr="00A1145E">
        <w:tab/>
        <w:t>Promulgated in accordance with R.S. 3:2093 and 2095.</w:t>
      </w:r>
    </w:p>
    <w:p w14:paraId="254CCBE0" w14:textId="77777777"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31:1971 (August 2005)</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p>
    <w:p w14:paraId="0E361C95" w14:textId="77777777" w:rsidR="005A46E7" w:rsidRPr="00A1145E" w:rsidRDefault="005A46E7" w:rsidP="005A46E7">
      <w:pPr>
        <w:pStyle w:val="Section"/>
      </w:pPr>
      <w:bookmarkStart w:id="2185" w:name="_Toc388358328"/>
      <w:bookmarkStart w:id="2186" w:name="_Toc396115230"/>
      <w:bookmarkStart w:id="2187" w:name="_Toc411855621"/>
      <w:bookmarkStart w:id="2188" w:name="_Toc419795823"/>
      <w:bookmarkStart w:id="2189" w:name="_Toc427737211"/>
      <w:bookmarkStart w:id="2190" w:name="_Toc438547013"/>
      <w:bookmarkStart w:id="2191" w:name="_Toc446327002"/>
      <w:bookmarkStart w:id="2192" w:name="_Toc448825192"/>
      <w:bookmarkStart w:id="2193" w:name="_Toc451506236"/>
      <w:bookmarkStart w:id="2194" w:name="_Toc462212659"/>
      <w:bookmarkStart w:id="2195" w:name="_Toc468096579"/>
      <w:bookmarkStart w:id="2196" w:name="_Toc477854044"/>
      <w:bookmarkStart w:id="2197" w:name="_Toc488735988"/>
      <w:bookmarkStart w:id="2198" w:name="_Toc491176799"/>
      <w:bookmarkStart w:id="2199" w:name="_Toc509393722"/>
      <w:bookmarkStart w:id="2200" w:name="_Toc525114891"/>
      <w:bookmarkStart w:id="2201" w:name="_Toc535997288"/>
      <w:bookmarkStart w:id="2202" w:name="_Toc224819148"/>
      <w:r w:rsidRPr="00A1145E">
        <w:t>§§1505</w:t>
      </w:r>
      <w:r>
        <w:t>-</w:t>
      </w:r>
      <w:r w:rsidRPr="00A1145E">
        <w:t>1509.</w:t>
      </w:r>
      <w:r w:rsidRPr="00A1145E">
        <w:tab/>
        <w:t>Reserved</w:t>
      </w:r>
      <w:r>
        <w:t>.</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14:paraId="4CF32930" w14:textId="77777777" w:rsidR="005A46E7" w:rsidRPr="00A1145E" w:rsidRDefault="005A46E7" w:rsidP="005A46E7">
      <w:pPr>
        <w:pStyle w:val="Chapter"/>
      </w:pPr>
      <w:bookmarkStart w:id="2203" w:name="_Toc224819149"/>
      <w:r w:rsidRPr="00A1145E">
        <w:t>Subchapter B.</w:t>
      </w:r>
      <w:r w:rsidRPr="00A1145E">
        <w:tab/>
        <w:t>Goats</w:t>
      </w:r>
      <w:bookmarkEnd w:id="2203"/>
    </w:p>
    <w:p w14:paraId="278004F5" w14:textId="77777777" w:rsidR="005A46E7" w:rsidRPr="00A1145E" w:rsidRDefault="005A46E7" w:rsidP="005A46E7">
      <w:pPr>
        <w:pStyle w:val="Section"/>
      </w:pPr>
      <w:bookmarkStart w:id="2204" w:name="_Toc388358330"/>
      <w:bookmarkStart w:id="2205" w:name="_Toc396115232"/>
      <w:bookmarkStart w:id="2206" w:name="_Toc419795825"/>
      <w:bookmarkStart w:id="2207" w:name="_Toc427737213"/>
      <w:bookmarkStart w:id="2208" w:name="_Toc438547015"/>
      <w:bookmarkStart w:id="2209" w:name="_Toc446327004"/>
      <w:bookmarkStart w:id="2210" w:name="_Toc448825194"/>
      <w:bookmarkStart w:id="2211" w:name="_Toc451506238"/>
      <w:bookmarkStart w:id="2212" w:name="_Toc462212661"/>
      <w:bookmarkStart w:id="2213" w:name="_Toc468096581"/>
      <w:bookmarkStart w:id="2214" w:name="_Toc477854046"/>
      <w:bookmarkStart w:id="2215" w:name="_Toc488735990"/>
      <w:bookmarkStart w:id="2216" w:name="_Toc491176801"/>
      <w:bookmarkStart w:id="2217" w:name="_Toc509393724"/>
      <w:bookmarkStart w:id="2218" w:name="_Toc525114893"/>
      <w:bookmarkStart w:id="2219" w:name="_Toc224819150"/>
      <w:r>
        <w:t>§1511.</w:t>
      </w:r>
      <w:r>
        <w:tab/>
        <w:t>Reserved.</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754B01C5" w14:textId="77777777" w:rsidR="005A46E7" w:rsidRPr="00A1145E" w:rsidRDefault="005A46E7" w:rsidP="005A46E7">
      <w:pPr>
        <w:pStyle w:val="Section"/>
      </w:pPr>
      <w:bookmarkStart w:id="2220" w:name="_Toc256754754"/>
      <w:bookmarkStart w:id="2221" w:name="_Toc375025539"/>
      <w:bookmarkStart w:id="2222" w:name="_Toc224819151"/>
      <w:r w:rsidRPr="00A1145E">
        <w:t>§1513.</w:t>
      </w:r>
      <w:r w:rsidRPr="00A1145E">
        <w:tab/>
        <w:t>Identification of Goats</w:t>
      </w:r>
      <w:bookmarkEnd w:id="2220"/>
      <w:bookmarkEnd w:id="2221"/>
      <w:r>
        <w:br/>
        <w:t>(</w:t>
      </w:r>
      <w:r w:rsidRPr="00A1145E">
        <w:t>Formerly §1303</w:t>
      </w:r>
      <w:r>
        <w:t>)</w:t>
      </w:r>
      <w:bookmarkEnd w:id="2222"/>
    </w:p>
    <w:p w14:paraId="598FC971" w14:textId="77777777" w:rsidR="0005191F" w:rsidRPr="00FB452A" w:rsidRDefault="005A46E7" w:rsidP="0005191F">
      <w:pPr>
        <w:pStyle w:val="A"/>
      </w:pPr>
      <w:r w:rsidRPr="00A1145E">
        <w:t>A.</w:t>
      </w:r>
      <w:r w:rsidRPr="00A1145E">
        <w:tab/>
      </w:r>
      <w:r w:rsidR="0005191F" w:rsidRPr="00FB452A">
        <w:t xml:space="preserve">All goats changing ownership shall be individually identified by means of an official identification for scrapie as defined in </w:t>
      </w:r>
      <w:r w:rsidR="0005191F">
        <w:t>§</w:t>
      </w:r>
      <w:r w:rsidR="0005191F" w:rsidRPr="00FB452A">
        <w:t>101 of this Part.</w:t>
      </w:r>
    </w:p>
    <w:p w14:paraId="7C2FDD06" w14:textId="77777777" w:rsidR="0005191F" w:rsidRPr="00FB452A" w:rsidRDefault="0005191F" w:rsidP="0005191F">
      <w:pPr>
        <w:pStyle w:val="A"/>
      </w:pPr>
      <w:r w:rsidRPr="00FB452A">
        <w:t>B.</w:t>
      </w:r>
      <w:r w:rsidRPr="00FB452A">
        <w:tab/>
        <w:t>The following goats shall be individually identified by means of an offi</w:t>
      </w:r>
      <w:r>
        <w:t>cial identification for scrapie:</w:t>
      </w:r>
    </w:p>
    <w:p w14:paraId="533F1B60" w14:textId="77777777" w:rsidR="0005191F" w:rsidRPr="00FB452A" w:rsidRDefault="0005191F" w:rsidP="0005191F">
      <w:pPr>
        <w:pStyle w:val="1"/>
      </w:pPr>
      <w:r w:rsidRPr="00FB452A">
        <w:t>1.</w:t>
      </w:r>
      <w:r w:rsidRPr="00FB452A">
        <w:tab/>
        <w:t xml:space="preserve">live scrapie positive goats; </w:t>
      </w:r>
    </w:p>
    <w:p w14:paraId="370A16CE" w14:textId="77777777" w:rsidR="0005191F" w:rsidRPr="00FB452A" w:rsidRDefault="0005191F" w:rsidP="0005191F">
      <w:pPr>
        <w:pStyle w:val="1"/>
      </w:pPr>
      <w:r w:rsidRPr="00FB452A">
        <w:t>2.</w:t>
      </w:r>
      <w:r w:rsidRPr="00FB452A">
        <w:tab/>
        <w:t xml:space="preserve">suspect scrapie positive goats; </w:t>
      </w:r>
    </w:p>
    <w:p w14:paraId="1919AA04" w14:textId="77777777" w:rsidR="0005191F" w:rsidRPr="00FB452A" w:rsidRDefault="0005191F" w:rsidP="0005191F">
      <w:pPr>
        <w:pStyle w:val="1"/>
      </w:pPr>
      <w:r w:rsidRPr="00FB452A">
        <w:t>3.</w:t>
      </w:r>
      <w:r w:rsidRPr="00FB452A">
        <w:tab/>
        <w:t xml:space="preserve">all goats considered as high risk for developing scrapie, as defined by USDA; </w:t>
      </w:r>
    </w:p>
    <w:p w14:paraId="089C1261" w14:textId="77777777" w:rsidR="005A46E7" w:rsidRPr="00A1145E" w:rsidRDefault="0005191F" w:rsidP="0005191F">
      <w:pPr>
        <w:pStyle w:val="1"/>
      </w:pPr>
      <w:r w:rsidRPr="00FB452A">
        <w:t>4.</w:t>
      </w:r>
      <w:r w:rsidRPr="00FB452A">
        <w:tab/>
        <w:t>all goats exposed to scrapie.</w:t>
      </w:r>
    </w:p>
    <w:p w14:paraId="6679CC2F" w14:textId="77777777" w:rsidR="005A46E7" w:rsidRPr="00A1145E" w:rsidRDefault="005A46E7" w:rsidP="005A46E7">
      <w:pPr>
        <w:pStyle w:val="AuthorityNote"/>
      </w:pPr>
      <w:r w:rsidRPr="00A1145E">
        <w:t>AUTHORITY NOTE:</w:t>
      </w:r>
      <w:r w:rsidRPr="00A1145E">
        <w:tab/>
        <w:t>Promulgated in accordance with R.S. 3:2093 and 2095.</w:t>
      </w:r>
    </w:p>
    <w:p w14:paraId="699B02B6" w14:textId="77777777"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31:1971 (August 2005)</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r w:rsidR="0005191F">
        <w:t>),</w:t>
      </w:r>
      <w:r w:rsidR="0005191F" w:rsidRPr="00FB452A">
        <w:t xml:space="preserve"> amended by the Department of Agriculture and Forestry, Office of Animal Health and Food Safety</w:t>
      </w:r>
      <w:r w:rsidR="0005191F">
        <w:t xml:space="preserve"> and the Board of Animal Health,</w:t>
      </w:r>
      <w:r w:rsidR="0005191F" w:rsidRPr="00FB452A">
        <w:t xml:space="preserve"> LR </w:t>
      </w:r>
      <w:r w:rsidR="0005191F">
        <w:t>50</w:t>
      </w:r>
      <w:r w:rsidR="0005191F" w:rsidRPr="00FB452A">
        <w:t>:</w:t>
      </w:r>
      <w:r w:rsidR="0005191F">
        <w:t>3</w:t>
      </w:r>
      <w:r w:rsidR="003A5AA1">
        <w:t>50</w:t>
      </w:r>
      <w:r w:rsidR="0005191F">
        <w:t xml:space="preserve"> (March 2024).</w:t>
      </w:r>
    </w:p>
    <w:p w14:paraId="7AC3DF93" w14:textId="77777777" w:rsidR="005A46E7" w:rsidRPr="00A1145E" w:rsidRDefault="005A46E7" w:rsidP="005A46E7">
      <w:pPr>
        <w:pStyle w:val="Chapter"/>
      </w:pPr>
      <w:bookmarkStart w:id="2223" w:name="_Toc224819152"/>
      <w:r w:rsidRPr="00A1145E">
        <w:lastRenderedPageBreak/>
        <w:t>Chapter 17.</w:t>
      </w:r>
      <w:r w:rsidRPr="00A1145E">
        <w:tab/>
        <w:t>Alternative Livestock</w:t>
      </w:r>
      <w:r>
        <w:sym w:font="Symbol" w:char="F0BE"/>
      </w:r>
      <w:r w:rsidRPr="00A1145E">
        <w:t>White-tailed Deer and other Captive Cervids</w:t>
      </w:r>
      <w:r>
        <w:br/>
        <w:t>(Formerly Chapter 15)</w:t>
      </w:r>
      <w:bookmarkEnd w:id="2223"/>
    </w:p>
    <w:p w14:paraId="4764F3FA" w14:textId="77777777" w:rsidR="005A46E7" w:rsidRPr="00A1145E" w:rsidRDefault="005A46E7" w:rsidP="005A46E7">
      <w:pPr>
        <w:pStyle w:val="Section"/>
      </w:pPr>
      <w:bookmarkStart w:id="2224" w:name="_Toc256754756"/>
      <w:bookmarkStart w:id="2225" w:name="_Toc375025541"/>
      <w:bookmarkStart w:id="2226" w:name="_Toc224819153"/>
      <w:r>
        <w:t>§1701.</w:t>
      </w:r>
      <w:r>
        <w:tab/>
      </w:r>
      <w:r w:rsidRPr="00A1145E">
        <w:t>Statement of Authority and Purpose</w:t>
      </w:r>
      <w:bookmarkEnd w:id="2224"/>
      <w:bookmarkEnd w:id="2225"/>
      <w:r>
        <w:br/>
        <w:t>(</w:t>
      </w:r>
      <w:r w:rsidRPr="00A1145E">
        <w:t>Formerly §1501</w:t>
      </w:r>
      <w:r>
        <w:t>)</w:t>
      </w:r>
      <w:bookmarkEnd w:id="2226"/>
    </w:p>
    <w:p w14:paraId="06F0951E" w14:textId="77777777" w:rsidR="005A46E7" w:rsidRPr="00A1145E" w:rsidRDefault="005A46E7" w:rsidP="005A46E7">
      <w:pPr>
        <w:pStyle w:val="A"/>
      </w:pPr>
      <w:r w:rsidRPr="00A1145E">
        <w:t>A.</w:t>
      </w:r>
      <w:r w:rsidRPr="00A1145E">
        <w:tab/>
        <w:t xml:space="preserve">The commissioner of agriculture and forestry heads and directs the Department of Agriculture and Forestry and exercises all functions of the state relating to the promotion, protection and advancement of agriculture and forestry. The commissioner is authorized by law and does hereby adopt these rules and regulations for the purposes of promoting, protecting and advancing agriculture and to implement the laws adopted by the legislature, including those in part I of chapter 19-A of title 3 of the </w:t>
      </w:r>
      <w:r w:rsidRPr="00166C26">
        <w:rPr>
          <w:i/>
        </w:rPr>
        <w:t>Revised Statutes</w:t>
      </w:r>
      <w:r w:rsidRPr="00A1145E">
        <w:t>, giving the commissioner the specific power to regulate farm-raised exotic animals, including imported exotic deer and imported exotic antelope, elk and farm-raised white-tailed deer.</w:t>
      </w:r>
    </w:p>
    <w:p w14:paraId="56954476" w14:textId="77777777" w:rsidR="005A46E7" w:rsidRPr="00A1145E" w:rsidRDefault="005A46E7" w:rsidP="005A46E7">
      <w:pPr>
        <w:pStyle w:val="AuthorityNote"/>
      </w:pPr>
      <w:r w:rsidRPr="00A1145E">
        <w:t>AUTHORITY NOTE:</w:t>
      </w:r>
      <w:r w:rsidRPr="00A1145E">
        <w:tab/>
        <w:t>Promulgated in accordance with R.S. 3:3101.</w:t>
      </w:r>
    </w:p>
    <w:p w14:paraId="37705549" w14:textId="77777777" w:rsidR="005A46E7" w:rsidRPr="00A1145E" w:rsidRDefault="005A46E7" w:rsidP="005A46E7">
      <w:pPr>
        <w:pStyle w:val="HistoricalNote"/>
      </w:pPr>
      <w:r w:rsidRPr="00A1145E">
        <w:t>HISTORICAL NOTE:</w:t>
      </w:r>
      <w:r w:rsidRPr="00A1145E">
        <w:tab/>
      </w:r>
      <w:r w:rsidR="00FD1E32" w:rsidRPr="001531CD">
        <w:t>Promulgated by the Department of Agriculture and Forestry, Office of the Commissioner, LR 24:282 (February 1998), amended LR 24:1671 (September 1998)</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p>
    <w:p w14:paraId="6B849301" w14:textId="77777777" w:rsidR="005A46E7" w:rsidRPr="00A1145E" w:rsidRDefault="005A46E7" w:rsidP="005A46E7">
      <w:pPr>
        <w:pStyle w:val="Section"/>
      </w:pPr>
      <w:bookmarkStart w:id="2227" w:name="_Toc388358334"/>
      <w:bookmarkStart w:id="2228" w:name="_Toc396115236"/>
      <w:bookmarkStart w:id="2229" w:name="_Toc411855627"/>
      <w:bookmarkStart w:id="2230" w:name="_Toc419795829"/>
      <w:bookmarkStart w:id="2231" w:name="_Toc438547019"/>
      <w:bookmarkStart w:id="2232" w:name="_Toc446327008"/>
      <w:bookmarkStart w:id="2233" w:name="_Toc448825198"/>
      <w:bookmarkStart w:id="2234" w:name="_Toc451506242"/>
      <w:bookmarkStart w:id="2235" w:name="_Toc462212665"/>
      <w:bookmarkStart w:id="2236" w:name="_Toc468096585"/>
      <w:bookmarkStart w:id="2237" w:name="_Toc477854050"/>
      <w:bookmarkStart w:id="2238" w:name="_Toc488735994"/>
      <w:bookmarkStart w:id="2239" w:name="_Toc491176805"/>
      <w:bookmarkStart w:id="2240" w:name="_Toc509393728"/>
      <w:bookmarkStart w:id="2241" w:name="_Toc525114897"/>
      <w:bookmarkStart w:id="2242" w:name="_Toc535997294"/>
      <w:bookmarkStart w:id="2243" w:name="_Toc224819154"/>
      <w:bookmarkStart w:id="2244" w:name="_Toc256754757"/>
      <w:bookmarkStart w:id="2245" w:name="_Toc375025542"/>
      <w:r>
        <w:t>§1703.</w:t>
      </w:r>
      <w:r>
        <w:tab/>
      </w:r>
      <w:r w:rsidRPr="00A1145E">
        <w:t>Reserved</w:t>
      </w:r>
      <w:r>
        <w: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58088420" w14:textId="77777777" w:rsidR="00910814" w:rsidRPr="00A1145E" w:rsidRDefault="00910814" w:rsidP="00910814">
      <w:pPr>
        <w:pStyle w:val="Section"/>
      </w:pPr>
      <w:bookmarkStart w:id="2246" w:name="_Toc224819155"/>
      <w:bookmarkEnd w:id="2244"/>
      <w:bookmarkEnd w:id="2245"/>
      <w:r>
        <w:t>§1705.</w:t>
      </w:r>
      <w:r>
        <w:tab/>
      </w:r>
      <w:r w:rsidRPr="00A1145E">
        <w:t>Definitions</w:t>
      </w:r>
      <w:r>
        <w:br/>
        <w:t>(</w:t>
      </w:r>
      <w:r w:rsidRPr="00A1145E">
        <w:t>Formerly §1503</w:t>
      </w:r>
      <w:r>
        <w:t>)</w:t>
      </w:r>
      <w:bookmarkEnd w:id="2246"/>
    </w:p>
    <w:p w14:paraId="59C195B7" w14:textId="77777777" w:rsidR="00910814" w:rsidRPr="0087283E" w:rsidRDefault="00910814" w:rsidP="00910814">
      <w:pPr>
        <w:pStyle w:val="A"/>
      </w:pPr>
      <w:r w:rsidRPr="0087283E">
        <w:t>A.</w:t>
      </w:r>
      <w:r w:rsidRPr="0087283E">
        <w:tab/>
        <w:t>For purposes of these rules and regulations</w:t>
      </w:r>
      <w:r>
        <w:t>,</w:t>
      </w:r>
      <w:r w:rsidRPr="0087283E">
        <w:t xml:space="preserve"> the following words and phrases shall have the meaning given herein.</w:t>
      </w:r>
    </w:p>
    <w:p w14:paraId="7299825E" w14:textId="77777777" w:rsidR="00910814" w:rsidRPr="0087283E" w:rsidRDefault="00910814" w:rsidP="00910814">
      <w:pPr>
        <w:pStyle w:val="1"/>
      </w:pPr>
      <w:r w:rsidRPr="0087283E">
        <w:rPr>
          <w:i/>
          <w:iCs/>
        </w:rPr>
        <w:t>Alternative Livestock</w:t>
      </w:r>
      <w:r>
        <w:t>—</w:t>
      </w:r>
      <w:r w:rsidRPr="0087283E">
        <w:t>any imported or domestically raised exotic deer and antelope, elk or farm-raised white-tailed deer.</w:t>
      </w:r>
    </w:p>
    <w:p w14:paraId="062B37C7" w14:textId="77777777" w:rsidR="00E4630A" w:rsidRPr="001D786E" w:rsidRDefault="00E4630A" w:rsidP="00E4630A">
      <w:pPr>
        <w:pStyle w:val="1"/>
        <w:rPr>
          <w:i/>
          <w:iCs/>
        </w:rPr>
      </w:pPr>
      <w:r w:rsidRPr="00796616">
        <w:rPr>
          <w:i/>
          <w:iCs/>
        </w:rPr>
        <w:t>Certified Herds</w:t>
      </w:r>
      <w:r w:rsidRPr="00796616">
        <w:rPr>
          <w:iCs/>
        </w:rPr>
        <w:t>—</w:t>
      </w:r>
      <w:r w:rsidRPr="00796616">
        <w:t xml:space="preserve">a herd that has enrolled in the Herd </w:t>
      </w:r>
      <w:r w:rsidRPr="001B6730">
        <w:rPr>
          <w:iCs/>
        </w:rPr>
        <w:t>Certification Program and has attained certified status as defined in 9 CFR part 55.</w:t>
      </w:r>
      <w:r w:rsidRPr="001D786E">
        <w:rPr>
          <w:i/>
          <w:iCs/>
        </w:rPr>
        <w:t xml:space="preserve"> </w:t>
      </w:r>
    </w:p>
    <w:p w14:paraId="430788DC" w14:textId="77777777" w:rsidR="00910814" w:rsidRPr="0087283E" w:rsidRDefault="00E4630A" w:rsidP="00E4630A">
      <w:pPr>
        <w:pStyle w:val="1"/>
      </w:pPr>
      <w:r w:rsidRPr="001D786E">
        <w:rPr>
          <w:i/>
          <w:iCs/>
        </w:rPr>
        <w:t>Chronic Wasting Disease (CWD)—</w:t>
      </w:r>
      <w:r w:rsidRPr="001B6730">
        <w:rPr>
          <w:iCs/>
        </w:rPr>
        <w:t>a neurodegenerative disease found in most deer species, including white-tailed deer, mule deer, elk, red deer, moose, and caribou. It is infectious, always, fatal, and has no treatment. CWD is part of a group of diseases known as transmissible spongiform</w:t>
      </w:r>
      <w:r w:rsidRPr="00796616">
        <w:t xml:space="preserve"> encephalopathies (TSEs) and is similar to BSE (mad cow disease) in cattle and scrapie in sheep.</w:t>
      </w:r>
      <w:r>
        <w:t xml:space="preserve"> </w:t>
      </w:r>
      <w:r w:rsidRPr="00796616">
        <w:t>These diseases cause irreversible damage to brain tissue in the animal, which leads to excessive salivation, neurological symptoms, emaciation, and death of the animal.</w:t>
      </w:r>
    </w:p>
    <w:p w14:paraId="131A4946" w14:textId="77777777" w:rsidR="00910814" w:rsidRPr="00A1145E" w:rsidRDefault="00910814" w:rsidP="00910814">
      <w:pPr>
        <w:pStyle w:val="1"/>
      </w:pPr>
      <w:r w:rsidRPr="0087283E">
        <w:rPr>
          <w:i/>
          <w:iCs/>
        </w:rPr>
        <w:t>Commissioner</w:t>
      </w:r>
      <w:r>
        <w:t>—</w:t>
      </w:r>
      <w:r w:rsidRPr="0087283E">
        <w:t>the commissioner of agriculture and forestry.</w:t>
      </w:r>
    </w:p>
    <w:p w14:paraId="7279C4BD" w14:textId="77777777" w:rsidR="00910814" w:rsidRPr="0087283E" w:rsidRDefault="00910814" w:rsidP="00910814">
      <w:pPr>
        <w:pStyle w:val="1"/>
      </w:pPr>
      <w:r w:rsidRPr="0087283E">
        <w:rPr>
          <w:i/>
          <w:iCs/>
        </w:rPr>
        <w:t>Department</w:t>
      </w:r>
      <w:r>
        <w:t>—</w:t>
      </w:r>
      <w:r w:rsidRPr="0087283E">
        <w:t>the Louisiana Department of Agriculture and Forestry.</w:t>
      </w:r>
    </w:p>
    <w:p w14:paraId="447D7D59" w14:textId="77777777" w:rsidR="00910814" w:rsidRDefault="00910814" w:rsidP="00910814">
      <w:pPr>
        <w:pStyle w:val="1"/>
      </w:pPr>
      <w:r w:rsidRPr="0087283E">
        <w:rPr>
          <w:i/>
          <w:iCs/>
        </w:rPr>
        <w:t>Elk</w:t>
      </w:r>
      <w:r>
        <w:t>—</w:t>
      </w:r>
      <w:r w:rsidRPr="0087283E">
        <w:t xml:space="preserve">any animal of the species and genus </w:t>
      </w:r>
      <w:r w:rsidRPr="0087283E">
        <w:rPr>
          <w:i/>
        </w:rPr>
        <w:t>C</w:t>
      </w:r>
      <w:r w:rsidRPr="0087283E">
        <w:rPr>
          <w:i/>
          <w:iCs/>
        </w:rPr>
        <w:t>ervus canadensis</w:t>
      </w:r>
      <w:r w:rsidRPr="0087283E">
        <w:t>.</w:t>
      </w:r>
    </w:p>
    <w:p w14:paraId="1D3E8E62" w14:textId="77777777" w:rsidR="00E4630A" w:rsidRPr="00A1145E" w:rsidRDefault="00E4630A" w:rsidP="00910814">
      <w:pPr>
        <w:pStyle w:val="1"/>
      </w:pPr>
      <w:r>
        <w:rPr>
          <w:i/>
          <w:iCs/>
        </w:rPr>
        <w:t>Enrolled H</w:t>
      </w:r>
      <w:r w:rsidRPr="00796616">
        <w:rPr>
          <w:i/>
          <w:iCs/>
        </w:rPr>
        <w:t>erds</w:t>
      </w:r>
      <w:r w:rsidRPr="00796616">
        <w:rPr>
          <w:bCs/>
          <w:iCs/>
        </w:rPr>
        <w:t>—</w:t>
      </w:r>
      <w:r w:rsidRPr="00796616">
        <w:t>a herd that has enrolled in a Herd Certification Program and met the minimum requirements defined in 9 CFR part 55.</w:t>
      </w:r>
    </w:p>
    <w:p w14:paraId="03E91148" w14:textId="77777777" w:rsidR="00910814" w:rsidRPr="00A1145E" w:rsidRDefault="00910814" w:rsidP="00910814">
      <w:pPr>
        <w:pStyle w:val="1"/>
      </w:pPr>
      <w:r w:rsidRPr="00A1145E">
        <w:rPr>
          <w:i/>
          <w:iCs/>
        </w:rPr>
        <w:t>Farm</w:t>
      </w:r>
      <w:r w:rsidR="008207CA" w:rsidRPr="00796616">
        <w:rPr>
          <w:bCs/>
          <w:iCs/>
        </w:rPr>
        <w:t>—</w:t>
      </w:r>
      <w:r w:rsidRPr="00A1145E">
        <w:t xml:space="preserve">any area of land or water, regardless of size, used to breed, raise or keep farm-raised alternative livestock for a commercial purpose, including but not limited to breeding </w:t>
      </w:r>
      <w:r w:rsidRPr="00166C26">
        <w:rPr>
          <w:i/>
        </w:rPr>
        <w:t>farms</w:t>
      </w:r>
      <w:r w:rsidRPr="00A1145E">
        <w:t xml:space="preserve"> or propagating preserves. This definition does not include areas of land or water which are part of a zoo, game park or wildlife exhibit where the primary purpose is the exhibition of alternative livestock or other animals.</w:t>
      </w:r>
    </w:p>
    <w:p w14:paraId="1F48BC2B" w14:textId="77777777" w:rsidR="00910814" w:rsidRPr="00A1145E" w:rsidRDefault="00910814" w:rsidP="00910814">
      <w:pPr>
        <w:pStyle w:val="1"/>
      </w:pPr>
      <w:r w:rsidRPr="00A1145E">
        <w:rPr>
          <w:i/>
          <w:iCs/>
        </w:rPr>
        <w:t>Farm-Raised</w:t>
      </w:r>
      <w:r w:rsidR="008207CA" w:rsidRPr="00796616">
        <w:rPr>
          <w:bCs/>
          <w:iCs/>
        </w:rPr>
        <w:t>—</w:t>
      </w:r>
      <w:r w:rsidRPr="00A1145E">
        <w:t>any alternative livestock born, raised, or kept within a closed circumscribed fenced area for a commercial purpose. This definition does not include alternative livestock which are part of a zoo, game park or wildlife exhibit where the primary purpose is the exhibition of the alternative livestock or other animals.</w:t>
      </w:r>
    </w:p>
    <w:p w14:paraId="44677C43" w14:textId="77777777" w:rsidR="00910814" w:rsidRPr="00A1145E" w:rsidRDefault="00910814" w:rsidP="00910814">
      <w:pPr>
        <w:pStyle w:val="1"/>
      </w:pPr>
      <w:r w:rsidRPr="00A1145E">
        <w:rPr>
          <w:i/>
          <w:iCs/>
        </w:rPr>
        <w:t>Farm-Raised White-Tailed Deer</w:t>
      </w:r>
      <w:r w:rsidR="008207CA" w:rsidRPr="00796616">
        <w:rPr>
          <w:bCs/>
          <w:iCs/>
        </w:rPr>
        <w:t>—</w:t>
      </w:r>
      <w:r w:rsidRPr="00A1145E">
        <w:t xml:space="preserve">any animal of species and genus </w:t>
      </w:r>
      <w:r w:rsidRPr="00A1145E">
        <w:rPr>
          <w:i/>
          <w:iCs/>
        </w:rPr>
        <w:t>Odocoileus virginianus</w:t>
      </w:r>
      <w:r w:rsidRPr="00A1145E">
        <w:t xml:space="preserve"> which is bred, born, raised and/or kept within a closed circumscribed fenced area for the purpose of buying, sellin</w:t>
      </w:r>
      <w:r>
        <w:t xml:space="preserve">g, or trading in commerce. </w:t>
      </w:r>
      <w:r w:rsidRPr="00166C26">
        <w:rPr>
          <w:i/>
        </w:rPr>
        <w:t>Farm-raised</w:t>
      </w:r>
      <w:r w:rsidRPr="00A1145E">
        <w:t xml:space="preserve"> white-tailed deer does not include any white-tailed deer which is part of any zoo, game park, or wildlife exhibit where the primary purpose of the same is the exhibition of white-tailed deer and/or other animals.</w:t>
      </w:r>
    </w:p>
    <w:p w14:paraId="5116EA7C" w14:textId="77777777" w:rsidR="00910814" w:rsidRPr="00A1145E" w:rsidRDefault="00910814" w:rsidP="00910814">
      <w:pPr>
        <w:pStyle w:val="1"/>
      </w:pPr>
      <w:r w:rsidRPr="00A1145E">
        <w:rPr>
          <w:i/>
          <w:iCs/>
        </w:rPr>
        <w:t>Harvesting</w:t>
      </w:r>
      <w:r w:rsidR="008207CA" w:rsidRPr="00796616">
        <w:rPr>
          <w:bCs/>
          <w:iCs/>
        </w:rPr>
        <w:t>—</w:t>
      </w:r>
      <w:r w:rsidRPr="00A1145E">
        <w:t xml:space="preserve">the attempt or act of shooting, wounding or killing farm-raised alternative livestock within the enclosure system of a farm in a manner consistent with those techniques commonly referred to as hunting in title 56 of the </w:t>
      </w:r>
      <w:r w:rsidRPr="00166C26">
        <w:rPr>
          <w:i/>
        </w:rPr>
        <w:t>Louisiana Revised Statutes</w:t>
      </w:r>
      <w:r w:rsidRPr="00A1145E">
        <w:t>.</w:t>
      </w:r>
    </w:p>
    <w:p w14:paraId="772E7035" w14:textId="77777777" w:rsidR="00910814" w:rsidRPr="00A1145E" w:rsidRDefault="00910814" w:rsidP="00910814">
      <w:pPr>
        <w:pStyle w:val="1"/>
      </w:pPr>
      <w:r w:rsidRPr="00A1145E">
        <w:rPr>
          <w:i/>
          <w:iCs/>
        </w:rPr>
        <w:t>Imported Exotic Antelope</w:t>
      </w:r>
      <w:r w:rsidR="008207CA" w:rsidRPr="00796616">
        <w:rPr>
          <w:bCs/>
          <w:iCs/>
        </w:rPr>
        <w:t>—</w:t>
      </w:r>
      <w:r w:rsidRPr="00A1145E">
        <w:t xml:space="preserve">any animal of the family </w:t>
      </w:r>
      <w:r w:rsidRPr="00A1145E">
        <w:rPr>
          <w:i/>
          <w:iCs/>
        </w:rPr>
        <w:t>Bovidae</w:t>
      </w:r>
      <w:r w:rsidRPr="00A1145E">
        <w:t xml:space="preserve"> which are not indigenous to North America, except animals of the tribes </w:t>
      </w:r>
      <w:r w:rsidRPr="00A1145E">
        <w:rPr>
          <w:i/>
          <w:iCs/>
        </w:rPr>
        <w:t>Bovine</w:t>
      </w:r>
      <w:r w:rsidRPr="00A1145E">
        <w:t xml:space="preserve"> (cattle) and </w:t>
      </w:r>
      <w:r w:rsidRPr="00A1145E">
        <w:rPr>
          <w:i/>
          <w:iCs/>
        </w:rPr>
        <w:t>Caprine</w:t>
      </w:r>
      <w:r w:rsidRPr="00A1145E">
        <w:t xml:space="preserve"> (sheep and goats).</w:t>
      </w:r>
    </w:p>
    <w:p w14:paraId="4B93A74D" w14:textId="77777777" w:rsidR="00910814" w:rsidRPr="00A1145E" w:rsidRDefault="00910814" w:rsidP="00910814">
      <w:pPr>
        <w:pStyle w:val="1"/>
      </w:pPr>
      <w:r w:rsidRPr="00A1145E">
        <w:rPr>
          <w:i/>
          <w:iCs/>
        </w:rPr>
        <w:t>Imported Exotic Deer</w:t>
      </w:r>
      <w:r w:rsidR="008207CA" w:rsidRPr="00796616">
        <w:rPr>
          <w:bCs/>
          <w:iCs/>
        </w:rPr>
        <w:t>—</w:t>
      </w:r>
      <w:r w:rsidRPr="00A1145E">
        <w:t xml:space="preserve">any animal of the family </w:t>
      </w:r>
      <w:r w:rsidRPr="00A1145E">
        <w:rPr>
          <w:i/>
          <w:iCs/>
        </w:rPr>
        <w:t>Cervidae</w:t>
      </w:r>
      <w:r w:rsidRPr="00A1145E">
        <w:t xml:space="preserve"> which are not indigenous to North America, including but not limited to red deer, Seika deer and fallow deer.</w:t>
      </w:r>
    </w:p>
    <w:p w14:paraId="7A860D29" w14:textId="77777777" w:rsidR="00910814" w:rsidRPr="00A1145E" w:rsidRDefault="00910814" w:rsidP="00910814">
      <w:pPr>
        <w:pStyle w:val="1"/>
      </w:pPr>
      <w:r w:rsidRPr="00A1145E">
        <w:rPr>
          <w:i/>
          <w:iCs/>
        </w:rPr>
        <w:t>LDWF</w:t>
      </w:r>
      <w:r w:rsidRPr="00A1145E">
        <w:t>―the Louisiana Department of Wildlife and Fisheries.</w:t>
      </w:r>
    </w:p>
    <w:p w14:paraId="03B3D615" w14:textId="77777777" w:rsidR="00910814" w:rsidRPr="00A1145E" w:rsidRDefault="00910814" w:rsidP="00910814">
      <w:pPr>
        <w:pStyle w:val="1"/>
      </w:pPr>
      <w:r w:rsidRPr="00A1145E">
        <w:rPr>
          <w:i/>
          <w:iCs/>
        </w:rPr>
        <w:t>Person</w:t>
      </w:r>
      <w:r w:rsidRPr="00A1145E">
        <w:t>―any individual, corporation, partnership or other legal entity.</w:t>
      </w:r>
    </w:p>
    <w:p w14:paraId="2528A498" w14:textId="77777777" w:rsidR="00910814" w:rsidRDefault="00910814" w:rsidP="00910814">
      <w:pPr>
        <w:pStyle w:val="1"/>
      </w:pPr>
      <w:r w:rsidRPr="00771FEF">
        <w:rPr>
          <w:i/>
        </w:rPr>
        <w:t>Quarantine</w:t>
      </w:r>
      <w:r w:rsidRPr="005000A2">
        <w:t>—the requirement, resulting from an order of the department or the state veterinarian's office, to secure and physically isolate an animal or animals in a specified confined are.</w:t>
      </w:r>
    </w:p>
    <w:p w14:paraId="61AE9894" w14:textId="77777777" w:rsidR="00182D22" w:rsidRPr="004C0BBE" w:rsidRDefault="00182D22" w:rsidP="00182D22">
      <w:pPr>
        <w:pStyle w:val="1"/>
      </w:pPr>
      <w:r w:rsidRPr="004C0BBE">
        <w:rPr>
          <w:i/>
          <w:iCs/>
        </w:rPr>
        <w:t>Quarantined Facility</w:t>
      </w:r>
      <w:r>
        <w:t>—</w:t>
      </w:r>
      <w:r w:rsidRPr="004C0BBE">
        <w:t xml:space="preserve">any farm or deer pen that has been placed under quarantine by order of the state veterinarian. </w:t>
      </w:r>
    </w:p>
    <w:p w14:paraId="233F2134" w14:textId="77777777" w:rsidR="00E4630A" w:rsidRDefault="00E4630A" w:rsidP="00910814">
      <w:pPr>
        <w:pStyle w:val="1"/>
      </w:pPr>
      <w:r w:rsidRPr="00796616">
        <w:rPr>
          <w:i/>
          <w:iCs/>
        </w:rPr>
        <w:t>Surveillance Zone</w:t>
      </w:r>
      <w:r w:rsidRPr="00796616">
        <w:rPr>
          <w:bCs/>
          <w:iCs/>
        </w:rPr>
        <w:t>—</w:t>
      </w:r>
      <w:r w:rsidRPr="00796616">
        <w:t>an LDAF-designated area consisting of a 25-</w:t>
      </w:r>
      <w:r w:rsidRPr="001D786E">
        <w:rPr>
          <w:i/>
          <w:iCs/>
        </w:rPr>
        <w:t>mile</w:t>
      </w:r>
      <w:r w:rsidRPr="00796616">
        <w:t xml:space="preserve"> radius from the positive animal in which mitigation measures and regulations are applied to alternative livestock facilities.</w:t>
      </w:r>
    </w:p>
    <w:p w14:paraId="47E99464" w14:textId="77777777" w:rsidR="00E4630A" w:rsidRPr="005000A2" w:rsidRDefault="00E4630A" w:rsidP="00910814">
      <w:pPr>
        <w:pStyle w:val="1"/>
      </w:pPr>
      <w:r w:rsidRPr="001D786E">
        <w:rPr>
          <w:i/>
          <w:iCs/>
        </w:rPr>
        <w:lastRenderedPageBreak/>
        <w:t>USDA</w:t>
      </w:r>
      <w:r w:rsidRPr="00D840D7">
        <w:t>—</w:t>
      </w:r>
      <w:r w:rsidRPr="00796616">
        <w:t>the United States Department of Agriculture.</w:t>
      </w:r>
    </w:p>
    <w:p w14:paraId="66EEABA0" w14:textId="77777777" w:rsidR="00910814" w:rsidRPr="0087283E" w:rsidRDefault="00910814" w:rsidP="00910814">
      <w:pPr>
        <w:pStyle w:val="1"/>
      </w:pPr>
      <w:r w:rsidRPr="006C0188">
        <w:rPr>
          <w:i/>
          <w:iCs/>
        </w:rPr>
        <w:t>White-Tailed Deer</w:t>
      </w:r>
      <w:r>
        <w:t>—</w:t>
      </w:r>
      <w:r w:rsidRPr="0087283E">
        <w:t xml:space="preserve">any animal of the species and genus </w:t>
      </w:r>
      <w:r w:rsidRPr="00F441A2">
        <w:rPr>
          <w:i/>
        </w:rPr>
        <w:t>O</w:t>
      </w:r>
      <w:r w:rsidRPr="00F441A2">
        <w:rPr>
          <w:i/>
          <w:iCs/>
        </w:rPr>
        <w:t>docoileus virginianus</w:t>
      </w:r>
      <w:r w:rsidRPr="0087283E">
        <w:t>.</w:t>
      </w:r>
    </w:p>
    <w:p w14:paraId="6D3AF728" w14:textId="77777777" w:rsidR="00910814" w:rsidRPr="00A1145E" w:rsidRDefault="00910814" w:rsidP="00910814">
      <w:pPr>
        <w:pStyle w:val="AuthorityNote"/>
      </w:pPr>
      <w:r w:rsidRPr="0087283E">
        <w:t>AUTHORITY NOTE:</w:t>
      </w:r>
      <w:r w:rsidRPr="0087283E">
        <w:tab/>
        <w:t>Promulgated in accordance with R.S. 3:3101.</w:t>
      </w:r>
    </w:p>
    <w:p w14:paraId="0A28B82A" w14:textId="64CC0222"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24:1671 (September 1998), amended by the Department of Agriculture and Forestry, Board of Animal Health, LR 38:961 (April 2012)</w:t>
      </w:r>
      <w:r w:rsidRPr="00A1145E">
        <w:t xml:space="preserve">, repromulgated by the Department of Agriculture and Forestry, </w:t>
      </w:r>
      <w:r>
        <w:t>Office of Animal Health and Food Safety and the Board of Animal Health,</w:t>
      </w:r>
      <w:r w:rsidRPr="00A1145E">
        <w:t xml:space="preserve"> LR </w:t>
      </w:r>
      <w:r>
        <w:t>40:971 (May 2014), amended LR 42:1864 (November 2016</w:t>
      </w:r>
      <w:r w:rsidR="00E4630A">
        <w:t>),</w:t>
      </w:r>
      <w:r w:rsidR="00E4630A" w:rsidRPr="00796616">
        <w:t xml:space="preserve"> amended LR 4</w:t>
      </w:r>
      <w:r w:rsidR="00E4630A">
        <w:t>9:234 (February 2023)</w:t>
      </w:r>
      <w:r w:rsidR="00182D22">
        <w:t xml:space="preserve">, </w:t>
      </w:r>
      <w:r w:rsidR="00182D22" w:rsidRPr="004C0BBE">
        <w:t xml:space="preserve">amended </w:t>
      </w:r>
      <w:r w:rsidR="00182D22">
        <w:t>LR 51:1820 (November 2025).</w:t>
      </w:r>
    </w:p>
    <w:p w14:paraId="572DD5D5" w14:textId="77777777" w:rsidR="00910814" w:rsidRPr="00A1145E" w:rsidRDefault="00910814" w:rsidP="00910814">
      <w:pPr>
        <w:pStyle w:val="Section"/>
      </w:pPr>
      <w:bookmarkStart w:id="2247" w:name="_Toc256754758"/>
      <w:bookmarkStart w:id="2248" w:name="_Toc375025543"/>
      <w:bookmarkStart w:id="2249" w:name="_Toc224819156"/>
      <w:r>
        <w:t>§1707.</w:t>
      </w:r>
      <w:r>
        <w:tab/>
      </w:r>
      <w:r w:rsidRPr="00A1145E">
        <w:t>Issuance of Farm-Raising License; Renewals</w:t>
      </w:r>
      <w:bookmarkEnd w:id="2247"/>
      <w:bookmarkEnd w:id="2248"/>
      <w:r>
        <w:br/>
        <w:t>(</w:t>
      </w:r>
      <w:r w:rsidRPr="00A1145E">
        <w:t>Formerly §1505</w:t>
      </w:r>
      <w:r>
        <w:t>)</w:t>
      </w:r>
      <w:bookmarkEnd w:id="2249"/>
    </w:p>
    <w:p w14:paraId="14713D86" w14:textId="77777777" w:rsidR="00910814" w:rsidRPr="00A1145E" w:rsidRDefault="00910814" w:rsidP="00910814">
      <w:pPr>
        <w:pStyle w:val="A"/>
      </w:pPr>
      <w:r w:rsidRPr="00A1145E">
        <w:t>A.</w:t>
      </w:r>
      <w:r w:rsidRPr="00A1145E">
        <w:tab/>
        <w:t>Any person who keeps, breeds, raises, contains, harvests, kills, slaughters, buys, sells, trades, or transfers ownership of any type of farm-raised alternative livestock for commercial purposes shall obtain a farm-raising license, from the department prior to engaging in such activity.</w:t>
      </w:r>
    </w:p>
    <w:p w14:paraId="5751FBCB" w14:textId="77777777" w:rsidR="00910814" w:rsidRPr="0087283E" w:rsidRDefault="00910814" w:rsidP="00910814">
      <w:pPr>
        <w:pStyle w:val="A"/>
      </w:pPr>
      <w:r w:rsidRPr="0087283E">
        <w:t>B.</w:t>
      </w:r>
      <w:r w:rsidRPr="0087283E">
        <w:tab/>
        <w:t>The department shall not issue any farm-raising license until the application for the farm-raising license and the information requested, including the required plan for the operation of the farm, is approved by the department and the proposed farm passes the department's requirements and inspection.</w:t>
      </w:r>
    </w:p>
    <w:p w14:paraId="7F358AD6" w14:textId="77777777" w:rsidR="00910814" w:rsidRPr="00A1145E" w:rsidRDefault="00910814" w:rsidP="00910814">
      <w:pPr>
        <w:pStyle w:val="A"/>
      </w:pPr>
      <w:r w:rsidRPr="0087283E">
        <w:t>C.</w:t>
      </w:r>
      <w:r w:rsidRPr="0087283E">
        <w:tab/>
        <w:t>Any changes in any information submitted in the original application, occurring during or after the application process, shall be submitted in writing to the department. The department must approve, in writing, any change or modification, which shall be in writing, in the written farm operation plan submitted with the original application before such change or modification, may go into effect.</w:t>
      </w:r>
    </w:p>
    <w:p w14:paraId="441C29C1" w14:textId="77777777" w:rsidR="00910814" w:rsidRPr="00A1145E" w:rsidRDefault="00910814" w:rsidP="00910814">
      <w:pPr>
        <w:pStyle w:val="A"/>
      </w:pPr>
      <w:r w:rsidRPr="00A1145E">
        <w:t>D.</w:t>
      </w:r>
      <w:r w:rsidRPr="00A1145E">
        <w:tab/>
        <w:t>A farm-raising license shall be valid for the period beginning with the date of issuance and ending the following June 30 or from July 1 of the year of renewal through the following June 30.</w:t>
      </w:r>
    </w:p>
    <w:p w14:paraId="077AAE41" w14:textId="77777777" w:rsidR="00910814" w:rsidRPr="00A1145E" w:rsidRDefault="00910814" w:rsidP="00910814">
      <w:pPr>
        <w:pStyle w:val="A"/>
      </w:pPr>
      <w:r w:rsidRPr="00A1145E">
        <w:t>E.</w:t>
      </w:r>
      <w:r w:rsidRPr="00A1145E">
        <w:tab/>
        <w:t xml:space="preserve">A farm-raising license may be renewed each year by the department. A licensee shall submit a written request for renewal, the renewal fee, any proposed modification, which shall be in writing, of the written farm operation plan previously submitted to and approved by the department and any proof requested by the department of compliance by the licensee with part I of chapter 19-A of title 3 of the </w:t>
      </w:r>
      <w:r w:rsidRPr="00FA7C64">
        <w:rPr>
          <w:i/>
        </w:rPr>
        <w:t>Revised Statutes</w:t>
      </w:r>
      <w:r w:rsidRPr="00A1145E">
        <w:t xml:space="preserve">, these rules and regulations, the written farm operation plan submitted to and approved by the department and any quarantine. If either the written request for renewal or the renewal fee is received by the department after July 31, the farm-raising license shall be deemed expired, </w:t>
      </w:r>
      <w:r w:rsidRPr="00A1145E">
        <w:rPr>
          <w:i/>
          <w:iCs/>
        </w:rPr>
        <w:t>ipso facto</w:t>
      </w:r>
      <w:r w:rsidRPr="00A1145E">
        <w:t>, retroactive to June 30.</w:t>
      </w:r>
    </w:p>
    <w:p w14:paraId="087B9EA0" w14:textId="77777777" w:rsidR="00910814" w:rsidRPr="00A1145E" w:rsidRDefault="00910814" w:rsidP="00910814">
      <w:pPr>
        <w:pStyle w:val="A"/>
      </w:pPr>
      <w:r w:rsidRPr="00A1145E">
        <w:t>F.</w:t>
      </w:r>
      <w:r w:rsidRPr="00A1145E">
        <w:tab/>
        <w:t xml:space="preserve">In the event that the department determines that a farm does not meet the requirements of or was not complying with part I of chapter 19-A of title 3 of the </w:t>
      </w:r>
      <w:r w:rsidRPr="00FA7C64">
        <w:rPr>
          <w:i/>
        </w:rPr>
        <w:t>Revised Statutes</w:t>
      </w:r>
      <w:r w:rsidRPr="00A1145E">
        <w:t xml:space="preserve">, these rules and regulations, the written farm operation plan submitted to and approved by the department and any </w:t>
      </w:r>
      <w:r w:rsidRPr="00A1145E">
        <w:t>quarantine the farm-raising license may not be renewed by the department.</w:t>
      </w:r>
    </w:p>
    <w:p w14:paraId="09811DA5" w14:textId="77777777" w:rsidR="00910814" w:rsidRDefault="00910814" w:rsidP="00910814">
      <w:pPr>
        <w:pStyle w:val="A"/>
      </w:pPr>
      <w:r w:rsidRPr="00A1145E">
        <w:t>G.</w:t>
      </w:r>
      <w:r w:rsidRPr="00A1145E">
        <w:tab/>
        <w:t>The licensee may contest the department's decision not to renew a farm-raising license by filing a written request for an adjudicatory hearing with the department within 15 days from receipt of the notice of nonrenewal. Such a hearing is to be held in accordance with the provisions of the Administrative Procedure Act. Any such hearing shall be held within 30 days of the request, unless continued for good cause.</w:t>
      </w:r>
    </w:p>
    <w:p w14:paraId="395AFB4A" w14:textId="77777777" w:rsidR="00910814" w:rsidRPr="0087283E" w:rsidRDefault="00910814" w:rsidP="00910814">
      <w:pPr>
        <w:pStyle w:val="A"/>
      </w:pPr>
      <w:r w:rsidRPr="0087283E">
        <w:t>H.</w:t>
      </w:r>
      <w:r w:rsidRPr="0087283E">
        <w:tab/>
        <w:t>A farm-raising license is non-transferrable without written approval from the department.</w:t>
      </w:r>
      <w:r>
        <w:t xml:space="preserve"> </w:t>
      </w:r>
      <w:r w:rsidRPr="0087283E">
        <w:t>In the event of a change in ownership of a farm, the new owner or operator shall submit a transfer application to the department.</w:t>
      </w:r>
      <w:r>
        <w:t xml:space="preserve"> </w:t>
      </w:r>
      <w:r w:rsidRPr="0087283E">
        <w:t>The transfer application shall detail any changes in the approved farm operation plan.</w:t>
      </w:r>
      <w:r>
        <w:t xml:space="preserve"> </w:t>
      </w:r>
      <w:r w:rsidRPr="0087283E">
        <w:t>The transferee shall meet all requirements set forth in this Chapter in order for the transfer to be approved.</w:t>
      </w:r>
    </w:p>
    <w:p w14:paraId="72671022" w14:textId="77777777" w:rsidR="00910814" w:rsidRPr="0087283E" w:rsidRDefault="00910814" w:rsidP="00910814">
      <w:pPr>
        <w:pStyle w:val="1"/>
      </w:pPr>
      <w:r w:rsidRPr="0087283E">
        <w:t>1.</w:t>
      </w:r>
      <w:r w:rsidRPr="0087283E">
        <w:tab/>
        <w:t xml:space="preserve">Upon receipt of the transfer application and all additional requested information, the department shall issue approval or denial of the transfer request within </w:t>
      </w:r>
      <w:r>
        <w:t>30</w:t>
      </w:r>
      <w:r w:rsidRPr="0087283E">
        <w:t xml:space="preserve"> days.</w:t>
      </w:r>
      <w:r>
        <w:t xml:space="preserve"> </w:t>
      </w:r>
      <w:r w:rsidRPr="0087283E">
        <w:t>If a transfer is denied, the applicant may, within 7 days of receipt of the denial, file an appeal of the department’s decision with the Board of Animal Health.</w:t>
      </w:r>
      <w:r>
        <w:t xml:space="preserve"> </w:t>
      </w:r>
      <w:r w:rsidRPr="0087283E">
        <w:t>The appeal will be conducted in accordance with the Administrative Procedure Act.</w:t>
      </w:r>
    </w:p>
    <w:p w14:paraId="76E2E8C7" w14:textId="77777777" w:rsidR="00910814" w:rsidRPr="00A1145E" w:rsidRDefault="00910814" w:rsidP="00910814">
      <w:pPr>
        <w:pStyle w:val="AuthorityNote"/>
      </w:pPr>
      <w:r w:rsidRPr="0087283E">
        <w:t>AUTHORITY NOTE:</w:t>
      </w:r>
      <w:r w:rsidRPr="0087283E">
        <w:tab/>
        <w:t>Promulgated in accordance with R.S. 3:3101.</w:t>
      </w:r>
    </w:p>
    <w:p w14:paraId="7A090104"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24:1672 (September 1998)</w:t>
      </w:r>
      <w:r w:rsidRPr="00A1145E">
        <w:t xml:space="preserve">, repromulgated by the Department of Agriculture and Forestry, </w:t>
      </w:r>
      <w:r>
        <w:t>Office of Animal Health and Food Safety and the Board of Animal Health,</w:t>
      </w:r>
      <w:r w:rsidRPr="00A1145E">
        <w:t xml:space="preserve"> LR </w:t>
      </w:r>
      <w:r>
        <w:t>40:972 (May 2014), amended LR 42:1864 (November 2016).</w:t>
      </w:r>
    </w:p>
    <w:p w14:paraId="4678F7DB" w14:textId="77777777" w:rsidR="00910814" w:rsidRPr="00A1145E" w:rsidRDefault="00910814" w:rsidP="00910814">
      <w:pPr>
        <w:pStyle w:val="Section"/>
      </w:pPr>
      <w:bookmarkStart w:id="2250" w:name="_Toc256754759"/>
      <w:bookmarkStart w:id="2251" w:name="_Toc375025544"/>
      <w:bookmarkStart w:id="2252" w:name="_Toc224819157"/>
      <w:r>
        <w:t>§1709.</w:t>
      </w:r>
      <w:r>
        <w:tab/>
      </w:r>
      <w:r w:rsidRPr="00A1145E">
        <w:t>Fees</w:t>
      </w:r>
      <w:bookmarkEnd w:id="2250"/>
      <w:bookmarkEnd w:id="2251"/>
      <w:r>
        <w:br/>
        <w:t>(</w:t>
      </w:r>
      <w:r w:rsidRPr="00A1145E">
        <w:t>Formerly §1507</w:t>
      </w:r>
      <w:r>
        <w:t>)</w:t>
      </w:r>
      <w:bookmarkEnd w:id="2252"/>
    </w:p>
    <w:p w14:paraId="29C95AB6" w14:textId="77777777" w:rsidR="00910814" w:rsidRPr="00A1145E" w:rsidRDefault="00910814" w:rsidP="00910814">
      <w:pPr>
        <w:pStyle w:val="A"/>
      </w:pPr>
      <w:r w:rsidRPr="00A1145E">
        <w:t>A.</w:t>
      </w:r>
      <w:r w:rsidRPr="00A1145E">
        <w:tab/>
        <w:t>Farm-Raising License Fees</w:t>
      </w:r>
    </w:p>
    <w:p w14:paraId="2CA9BCE7" w14:textId="77777777" w:rsidR="00910814" w:rsidRPr="00A1145E" w:rsidRDefault="00910814" w:rsidP="00910814">
      <w:pPr>
        <w:pStyle w:val="1"/>
      </w:pPr>
      <w:r w:rsidRPr="00A1145E">
        <w:t>1.</w:t>
      </w:r>
      <w:r w:rsidRPr="00A1145E">
        <w:tab/>
        <w:t>The fee for a new farm-raising license shall be $250.</w:t>
      </w:r>
    </w:p>
    <w:p w14:paraId="06C0BA05" w14:textId="77777777" w:rsidR="00910814" w:rsidRPr="00A1145E" w:rsidRDefault="00910814" w:rsidP="00910814">
      <w:pPr>
        <w:pStyle w:val="1"/>
      </w:pPr>
      <w:r w:rsidRPr="00A1145E">
        <w:t>2.</w:t>
      </w:r>
      <w:r w:rsidRPr="00A1145E">
        <w:tab/>
        <w:t>The farm-raising license renewal fee shall be $250.</w:t>
      </w:r>
    </w:p>
    <w:p w14:paraId="2AAD0BF6" w14:textId="77777777" w:rsidR="00910814" w:rsidRPr="0087283E" w:rsidRDefault="00910814" w:rsidP="00910814">
      <w:pPr>
        <w:pStyle w:val="A"/>
      </w:pPr>
      <w:r w:rsidRPr="0087283E">
        <w:t>B.</w:t>
      </w:r>
      <w:r w:rsidRPr="0087283E">
        <w:tab/>
        <w:t>Delinquent Fees</w:t>
      </w:r>
    </w:p>
    <w:p w14:paraId="4BB0B468" w14:textId="77777777" w:rsidR="00910814" w:rsidRPr="0087283E" w:rsidRDefault="00910814" w:rsidP="00910814">
      <w:pPr>
        <w:pStyle w:val="1"/>
      </w:pPr>
      <w:r w:rsidRPr="0087283E">
        <w:t>1.</w:t>
      </w:r>
      <w:r w:rsidRPr="0087283E">
        <w:tab/>
        <w:t>Any farm raised license renewal not received by August 31 may be assessed a late fee of $125.</w:t>
      </w:r>
    </w:p>
    <w:p w14:paraId="5505E407" w14:textId="77777777" w:rsidR="00910814" w:rsidRPr="0087283E" w:rsidRDefault="00910814" w:rsidP="00910814">
      <w:pPr>
        <w:pStyle w:val="A"/>
      </w:pPr>
      <w:r w:rsidRPr="0087283E">
        <w:t>C.</w:t>
      </w:r>
      <w:r w:rsidRPr="0087283E">
        <w:tab/>
        <w:t>Farm-Raised Alternative Livestock Tag Fee</w:t>
      </w:r>
    </w:p>
    <w:p w14:paraId="5E09D01C" w14:textId="77777777" w:rsidR="00910814" w:rsidRPr="0087283E" w:rsidRDefault="00910814" w:rsidP="00910814">
      <w:pPr>
        <w:pStyle w:val="1"/>
      </w:pPr>
      <w:r w:rsidRPr="0087283E">
        <w:t>1.</w:t>
      </w:r>
      <w:r w:rsidRPr="0087283E">
        <w:tab/>
        <w:t>Each farm-raised alternative livestock harvested or killed shall have a farm- raised harvest tag attached to the left ear or left antler of the carcass at the time of kill and the tag shall remain with the carcass at all times, except as provided in §1709.C.3.</w:t>
      </w:r>
    </w:p>
    <w:p w14:paraId="3981ADC5" w14:textId="77777777" w:rsidR="00910814" w:rsidRPr="0087283E" w:rsidRDefault="00910814" w:rsidP="00910814">
      <w:pPr>
        <w:pStyle w:val="1"/>
      </w:pPr>
      <w:r w:rsidRPr="0087283E">
        <w:t>2.</w:t>
      </w:r>
      <w:r w:rsidRPr="0087283E">
        <w:tab/>
        <w:t>The farm-raised alternative livestock tag shall be provided by the department at a cost of $5 per tag.</w:t>
      </w:r>
    </w:p>
    <w:p w14:paraId="3EF4321D" w14:textId="77777777" w:rsidR="00910814" w:rsidRPr="0087283E" w:rsidRDefault="00910814" w:rsidP="00910814">
      <w:pPr>
        <w:pStyle w:val="1"/>
      </w:pPr>
      <w:r w:rsidRPr="0087283E">
        <w:t>3.</w:t>
      </w:r>
      <w:r w:rsidRPr="0087283E">
        <w:tab/>
        <w:t>No farm-raised tag shall be required for farm-raised alternative livestock which are to be taken directly to a state or federally approved slaughter facility or which are sold or traded alive for breeding or stocking purposes.</w:t>
      </w:r>
    </w:p>
    <w:p w14:paraId="39334A51" w14:textId="77777777" w:rsidR="00910814" w:rsidRPr="00A1145E" w:rsidRDefault="00910814" w:rsidP="00910814">
      <w:pPr>
        <w:pStyle w:val="AuthorityNote"/>
      </w:pPr>
      <w:r w:rsidRPr="0087283E">
        <w:lastRenderedPageBreak/>
        <w:t>AUTHORITY NOTE:</w:t>
      </w:r>
      <w:r w:rsidRPr="0087283E">
        <w:tab/>
        <w:t>Promulgated in accordance with R.S. 3:3101 and R.S. 3:3107.</w:t>
      </w:r>
    </w:p>
    <w:p w14:paraId="7FB6DFB6"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w:t>
      </w:r>
      <w:r>
        <w:t xml:space="preserve">ded LR 24:1672 (September 1998), </w:t>
      </w:r>
      <w:r w:rsidRPr="00307C86">
        <w:t>LR 39:</w:t>
      </w:r>
      <w:r>
        <w:t>3060 (November 2013)</w:t>
      </w:r>
      <w:r w:rsidRPr="00A1145E">
        <w:t xml:space="preserve">, repromulgated by the Department of Agriculture and Forestry, </w:t>
      </w:r>
      <w:r>
        <w:t>Office of Animal Health and Food Safety and the Board of Animal Health,</w:t>
      </w:r>
      <w:r w:rsidRPr="00A1145E">
        <w:t xml:space="preserve"> LR </w:t>
      </w:r>
      <w:r>
        <w:t>40:972 (May 2014), amended LR 42:1865 (November 2016).</w:t>
      </w:r>
    </w:p>
    <w:p w14:paraId="25B1449A" w14:textId="77777777" w:rsidR="00910814" w:rsidRPr="00A1145E" w:rsidRDefault="00910814" w:rsidP="00910814">
      <w:pPr>
        <w:pStyle w:val="Section"/>
      </w:pPr>
      <w:bookmarkStart w:id="2253" w:name="_Toc256754760"/>
      <w:bookmarkStart w:id="2254" w:name="_Toc375025545"/>
      <w:bookmarkStart w:id="2255" w:name="_Toc224819158"/>
      <w:r>
        <w:t>§1711.</w:t>
      </w:r>
      <w:r>
        <w:tab/>
      </w:r>
      <w:r w:rsidRPr="00A1145E">
        <w:t>Farm-Raising Licensing Requirements</w:t>
      </w:r>
      <w:bookmarkEnd w:id="2253"/>
      <w:bookmarkEnd w:id="2254"/>
      <w:r>
        <w:br/>
        <w:t>(</w:t>
      </w:r>
      <w:r w:rsidRPr="00A1145E">
        <w:t>Formerly §1509</w:t>
      </w:r>
      <w:r>
        <w:t>)</w:t>
      </w:r>
      <w:bookmarkEnd w:id="2255"/>
    </w:p>
    <w:p w14:paraId="1CA1889C" w14:textId="77777777" w:rsidR="00910814" w:rsidRPr="00A1145E" w:rsidRDefault="00910814" w:rsidP="00910814">
      <w:pPr>
        <w:pStyle w:val="A"/>
      </w:pPr>
      <w:r w:rsidRPr="00A1145E">
        <w:t>A.</w:t>
      </w:r>
      <w:r w:rsidRPr="00A1145E">
        <w:tab/>
        <w:t>Written Application. Each applicant for a farm-raising license shall submit a completed written application on a form supplied by the department. In addition to any other information that may be requested by the department the applicant shall provide the following information:</w:t>
      </w:r>
    </w:p>
    <w:p w14:paraId="7C029924" w14:textId="77777777" w:rsidR="00910814" w:rsidRPr="00A1145E" w:rsidRDefault="00910814" w:rsidP="00910814">
      <w:pPr>
        <w:pStyle w:val="1"/>
      </w:pPr>
      <w:r w:rsidRPr="00A1145E">
        <w:t>1.</w:t>
      </w:r>
      <w:r w:rsidRPr="00A1145E">
        <w:tab/>
        <w:t>name, physical address, mailing address and telephone number of the applicant and whether the applicant will own or lease the land. If the land is leased then a copy of the lease shall be provided to the department;</w:t>
      </w:r>
    </w:p>
    <w:p w14:paraId="0AB9FD6E" w14:textId="77777777" w:rsidR="00910814" w:rsidRPr="00A1145E" w:rsidRDefault="00910814" w:rsidP="00910814">
      <w:pPr>
        <w:pStyle w:val="1"/>
      </w:pPr>
      <w:r w:rsidRPr="00A1145E">
        <w:t>2.</w:t>
      </w:r>
      <w:r w:rsidRPr="00A1145E">
        <w:tab/>
        <w:t>the name under which the business will operate, the physical address, mailing address and telephone number of the business, if different than the information provided in §1711.A.1;</w:t>
      </w:r>
    </w:p>
    <w:p w14:paraId="1C3C2879" w14:textId="77777777" w:rsidR="00910814" w:rsidRPr="00A1145E" w:rsidRDefault="00910814" w:rsidP="00910814">
      <w:pPr>
        <w:pStyle w:val="1"/>
      </w:pPr>
      <w:r w:rsidRPr="00A1145E">
        <w:t>3.</w:t>
      </w:r>
      <w:r w:rsidRPr="00A1145E">
        <w:tab/>
        <w:t>the business structure, (sole proprietorship, partnership, corporation, limited liability company, joint venture, or otherwise);</w:t>
      </w:r>
    </w:p>
    <w:p w14:paraId="4AE976AF" w14:textId="77777777" w:rsidR="00910814" w:rsidRPr="00A1145E" w:rsidRDefault="00910814" w:rsidP="00910814">
      <w:pPr>
        <w:pStyle w:val="1"/>
      </w:pPr>
      <w:r w:rsidRPr="00A1145E">
        <w:t>4.</w:t>
      </w:r>
      <w:r w:rsidRPr="00A1145E">
        <w:tab/>
        <w:t>the name of the person or persons in charge, position (e.g., owner, manager, etc.), residence address and phone number;</w:t>
      </w:r>
    </w:p>
    <w:p w14:paraId="797AF169" w14:textId="77777777" w:rsidR="00910814" w:rsidRPr="00A1145E" w:rsidRDefault="00910814" w:rsidP="00910814">
      <w:pPr>
        <w:pStyle w:val="1"/>
      </w:pPr>
      <w:r w:rsidRPr="00A1145E">
        <w:t>5.</w:t>
      </w:r>
      <w:r w:rsidRPr="00A1145E">
        <w:tab/>
        <w:t>the physical location and size of the farm;</w:t>
      </w:r>
    </w:p>
    <w:p w14:paraId="7C8C412D" w14:textId="77777777" w:rsidR="00910814" w:rsidRPr="00A1145E" w:rsidRDefault="00910814" w:rsidP="00910814">
      <w:pPr>
        <w:pStyle w:val="1"/>
      </w:pPr>
      <w:r w:rsidRPr="00A1145E">
        <w:t>6.</w:t>
      </w:r>
      <w:r w:rsidRPr="00A1145E">
        <w:tab/>
        <w:t>a topographical map of the farm if 50 acres or more;</w:t>
      </w:r>
    </w:p>
    <w:p w14:paraId="2BAD5B40" w14:textId="77777777" w:rsidR="00910814" w:rsidRPr="00A1145E" w:rsidRDefault="00910814" w:rsidP="00910814">
      <w:pPr>
        <w:pStyle w:val="1"/>
      </w:pPr>
      <w:r w:rsidRPr="00A1145E">
        <w:t>7.</w:t>
      </w:r>
      <w:r w:rsidRPr="00A1145E">
        <w:tab/>
        <w:t>the species of alternative livestock to be farm-raised;</w:t>
      </w:r>
    </w:p>
    <w:p w14:paraId="3492827D" w14:textId="77777777" w:rsidR="00910814" w:rsidRPr="00A1145E" w:rsidRDefault="00910814" w:rsidP="00910814">
      <w:pPr>
        <w:pStyle w:val="1"/>
      </w:pPr>
      <w:r w:rsidRPr="00A1145E">
        <w:t>8.</w:t>
      </w:r>
      <w:r w:rsidRPr="00A1145E">
        <w:tab/>
        <w:t>the approximate number of animals to be farm-raised;</w:t>
      </w:r>
    </w:p>
    <w:p w14:paraId="73A4BFE3" w14:textId="77777777" w:rsidR="00910814" w:rsidRPr="00A1145E" w:rsidRDefault="00910814" w:rsidP="00910814">
      <w:pPr>
        <w:pStyle w:val="1"/>
      </w:pPr>
      <w:r w:rsidRPr="00A1145E">
        <w:t>9.</w:t>
      </w:r>
      <w:r w:rsidRPr="00A1145E">
        <w:tab/>
        <w:t>the complete plan for the operation of the farm including:</w:t>
      </w:r>
    </w:p>
    <w:p w14:paraId="12625670" w14:textId="77777777" w:rsidR="00910814" w:rsidRPr="00A1145E" w:rsidRDefault="00910814" w:rsidP="00910814">
      <w:pPr>
        <w:pStyle w:val="a0"/>
      </w:pPr>
      <w:r w:rsidRPr="00A1145E">
        <w:t>a.</w:t>
      </w:r>
      <w:r w:rsidRPr="00A1145E">
        <w:tab/>
        <w:t>an enclosure system, including fencing the farm, indicating the location, size, nature and extent of the fencing material and of any right of way related to the farm property;</w:t>
      </w:r>
    </w:p>
    <w:p w14:paraId="619ABA9C" w14:textId="77777777" w:rsidR="00910814" w:rsidRPr="00A1145E" w:rsidRDefault="00910814" w:rsidP="00910814">
      <w:pPr>
        <w:pStyle w:val="a0"/>
      </w:pPr>
      <w:r w:rsidRPr="00A1145E">
        <w:t>b.</w:t>
      </w:r>
      <w:r w:rsidRPr="00A1145E">
        <w:tab/>
        <w:t>systematic inspection of the enclosure system, including the fence, maintenance, repair and replacement of the fence, keeping the fence and any clearance along either side of the fence clear and verification to the department of compliance with this provision;</w:t>
      </w:r>
    </w:p>
    <w:p w14:paraId="07F5EE28" w14:textId="77777777" w:rsidR="00910814" w:rsidRPr="00A1145E" w:rsidRDefault="00910814" w:rsidP="00910814">
      <w:pPr>
        <w:pStyle w:val="a0"/>
      </w:pPr>
      <w:r w:rsidRPr="00A1145E">
        <w:t>c.</w:t>
      </w:r>
      <w:r w:rsidRPr="00A1145E">
        <w:tab/>
        <w:t>the capture of any farm-raised alternative livestock that may escape from or wild white-tailed deer that may enter the farm through a breach or opening in the enclosure system or fence;</w:t>
      </w:r>
    </w:p>
    <w:p w14:paraId="00BE3533" w14:textId="77777777" w:rsidR="00910814" w:rsidRPr="00A1145E" w:rsidRDefault="00910814" w:rsidP="00910814">
      <w:pPr>
        <w:pStyle w:val="a0"/>
      </w:pPr>
      <w:r w:rsidRPr="00A1145E">
        <w:t>d.</w:t>
      </w:r>
      <w:r w:rsidRPr="00A1145E">
        <w:tab/>
        <w:t>removal of white-tailed deer from the farm prior to completion of the enclosure of the farm;</w:t>
      </w:r>
    </w:p>
    <w:p w14:paraId="1C0B8FA4" w14:textId="77777777" w:rsidR="00910814" w:rsidRPr="00A1145E" w:rsidRDefault="00910814" w:rsidP="00910814">
      <w:pPr>
        <w:pStyle w:val="a0"/>
      </w:pPr>
      <w:r w:rsidRPr="00A1145E">
        <w:t>e.</w:t>
      </w:r>
      <w:r w:rsidRPr="00A1145E">
        <w:tab/>
        <w:t>controlling farm-raised alternative livestock population;</w:t>
      </w:r>
    </w:p>
    <w:p w14:paraId="02923D35" w14:textId="77777777" w:rsidR="00910814" w:rsidRPr="00A1145E" w:rsidRDefault="00910814" w:rsidP="00910814">
      <w:pPr>
        <w:pStyle w:val="a0"/>
      </w:pPr>
      <w:r w:rsidRPr="00A1145E">
        <w:t>f.</w:t>
      </w:r>
      <w:r w:rsidRPr="00A1145E">
        <w:tab/>
        <w:t>identification by means of an electronic implant of all white-tail deer born, bought, sold, traded or which otherwise become farm-raised white-tailed deer, which shall include the systematic capture of farm-raised white-tailed deer for implantation purposes;</w:t>
      </w:r>
    </w:p>
    <w:p w14:paraId="3F42C2D4" w14:textId="77777777" w:rsidR="00910814" w:rsidRPr="00A1145E" w:rsidRDefault="00910814" w:rsidP="00910814">
      <w:pPr>
        <w:pStyle w:val="a0"/>
      </w:pPr>
      <w:r w:rsidRPr="00A1145E">
        <w:t>g.</w:t>
      </w:r>
      <w:r w:rsidRPr="00A1145E">
        <w:tab/>
        <w:t>the removal and disposal of all alternative livestock in the event that the farm ceases operation for any reason or upon revocation or nonrenewal of the farm-raising license, including a provision for written notice to the department prior to cessation of farming operation;</w:t>
      </w:r>
    </w:p>
    <w:p w14:paraId="7F39136C" w14:textId="77777777" w:rsidR="00910814" w:rsidRPr="00A1145E" w:rsidRDefault="00910814" w:rsidP="00910814">
      <w:pPr>
        <w:pStyle w:val="a0"/>
      </w:pPr>
      <w:r w:rsidRPr="00A1145E">
        <w:t>h.</w:t>
      </w:r>
      <w:r w:rsidRPr="00A1145E">
        <w:tab/>
        <w:t>the type of farming operation records that will be kept;</w:t>
      </w:r>
    </w:p>
    <w:p w14:paraId="4BAB0B92" w14:textId="77777777" w:rsidR="00910814" w:rsidRPr="00A1145E" w:rsidRDefault="00910814" w:rsidP="00910814">
      <w:pPr>
        <w:pStyle w:val="1"/>
      </w:pPr>
      <w:r w:rsidRPr="00A1145E">
        <w:t>10.</w:t>
      </w:r>
      <w:r w:rsidRPr="00A1145E">
        <w:tab/>
        <w:t xml:space="preserve">a statement that the applicant shall abide by the requirements of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14:paraId="7BE7CB42" w14:textId="77777777" w:rsidR="00910814" w:rsidRPr="00A1145E" w:rsidRDefault="00910814" w:rsidP="00910814">
      <w:pPr>
        <w:pStyle w:val="1"/>
      </w:pPr>
      <w:r w:rsidRPr="00A1145E">
        <w:t>11.</w:t>
      </w:r>
      <w:r w:rsidRPr="00A1145E">
        <w:tab/>
        <w:t>a certified statement that all representations contained in the application, the farm operation plan and attachments are true and correct.</w:t>
      </w:r>
    </w:p>
    <w:p w14:paraId="066DA069" w14:textId="77777777" w:rsidR="00910814" w:rsidRPr="0087283E" w:rsidRDefault="00910814" w:rsidP="00910814">
      <w:pPr>
        <w:pStyle w:val="A"/>
      </w:pPr>
      <w:r w:rsidRPr="0087283E">
        <w:t>B.</w:t>
      </w:r>
      <w:r w:rsidRPr="0087283E">
        <w:tab/>
        <w:t>Farm Inspection. An applicant shall have the proposed farm physically inspected and approved by the department before a farm-raising license may be issued by the department. To obtain department approval a proposed farm shall:</w:t>
      </w:r>
    </w:p>
    <w:p w14:paraId="36AF9252" w14:textId="77777777" w:rsidR="00910814" w:rsidRPr="0087283E" w:rsidRDefault="00910814" w:rsidP="00910814">
      <w:pPr>
        <w:pStyle w:val="1"/>
      </w:pPr>
      <w:r w:rsidRPr="0087283E">
        <w:t>1.</w:t>
      </w:r>
      <w:r w:rsidRPr="0087283E">
        <w:tab/>
        <w:t>be located in a rural area of the state;</w:t>
      </w:r>
    </w:p>
    <w:p w14:paraId="088D13C8" w14:textId="77777777" w:rsidR="00910814" w:rsidRPr="0087283E" w:rsidRDefault="00910814" w:rsidP="00910814">
      <w:pPr>
        <w:pStyle w:val="1"/>
      </w:pPr>
      <w:r w:rsidRPr="0087283E">
        <w:t>2.</w:t>
      </w:r>
      <w:r w:rsidRPr="0087283E">
        <w:tab/>
        <w:t>be securely enclosed by an enclosure system, including fencing, that meets the following specifications:</w:t>
      </w:r>
    </w:p>
    <w:p w14:paraId="273C97C8" w14:textId="77777777" w:rsidR="00910814" w:rsidRPr="0087283E" w:rsidRDefault="00910814" w:rsidP="00910814">
      <w:pPr>
        <w:pStyle w:val="a0"/>
      </w:pPr>
      <w:r w:rsidRPr="0087283E">
        <w:t>a.</w:t>
      </w:r>
      <w:r w:rsidRPr="0087283E">
        <w:tab/>
        <w:t>a minimum height, above the relevant ground, of 8 feet;</w:t>
      </w:r>
    </w:p>
    <w:p w14:paraId="5A978901" w14:textId="77777777" w:rsidR="00910814" w:rsidRPr="0087283E" w:rsidRDefault="00910814" w:rsidP="00910814">
      <w:pPr>
        <w:pStyle w:val="a0"/>
      </w:pPr>
      <w:r w:rsidRPr="0087283E">
        <w:t>b.</w:t>
      </w:r>
      <w:r w:rsidRPr="0087283E">
        <w:tab/>
        <w:t xml:space="preserve">enclose an area of not less than 250 acres to be eligible for harvesting as provided by §1709 of these rules and regulations. Applicants seeking eligibility to harvest on farms with enclosures of less than 300 acres must demonstrate good cause why an enclosure of a different size is not inconsistent with the intent of part I of chapter 19-A of title 3 of the </w:t>
      </w:r>
      <w:r w:rsidRPr="0087283E">
        <w:rPr>
          <w:i/>
        </w:rPr>
        <w:t>Revised Statutes</w:t>
      </w:r>
      <w:r w:rsidRPr="0087283E">
        <w:t>; No farm less than 300 acres will be approved unless more than 60</w:t>
      </w:r>
      <w:r>
        <w:t xml:space="preserve"> percent</w:t>
      </w:r>
      <w:r w:rsidRPr="0087283E">
        <w:t xml:space="preserve"> of the farm is wooded or heavy brush.</w:t>
      </w:r>
    </w:p>
    <w:p w14:paraId="026FD1CB" w14:textId="77777777" w:rsidR="00910814" w:rsidRPr="0087283E" w:rsidRDefault="00910814" w:rsidP="00910814">
      <w:pPr>
        <w:pStyle w:val="a0"/>
      </w:pPr>
      <w:r w:rsidRPr="0087283E">
        <w:t>c.</w:t>
      </w:r>
      <w:r w:rsidRPr="0087283E">
        <w:tab/>
        <w:t>a minimum gauge wire of 12 1/2;</w:t>
      </w:r>
    </w:p>
    <w:p w14:paraId="16D017D7" w14:textId="77777777" w:rsidR="00910814" w:rsidRPr="0087283E" w:rsidRDefault="00910814" w:rsidP="00910814">
      <w:pPr>
        <w:pStyle w:val="a0"/>
      </w:pPr>
      <w:r w:rsidRPr="0087283E">
        <w:t>d.</w:t>
      </w:r>
      <w:r w:rsidRPr="0087283E">
        <w:tab/>
        <w:t>fencing material of chain link, woven wire, solid panel or welded panel or, if made with any other material, approved in writing by the department, however, welded wire fences shall not be used unless it was approved by LDWF and installed prior to April 22, 1997, but, such welded wire fences, when replaced or partially replaced, shall be replaced by fencing required by these rules and regulations;</w:t>
      </w:r>
    </w:p>
    <w:p w14:paraId="482F4456" w14:textId="77777777" w:rsidR="00910814" w:rsidRPr="0087283E" w:rsidRDefault="00910814" w:rsidP="00910814">
      <w:pPr>
        <w:pStyle w:val="1"/>
      </w:pPr>
      <w:r w:rsidRPr="0087283E">
        <w:t>3.</w:t>
      </w:r>
      <w:r w:rsidRPr="0087283E">
        <w:tab/>
        <w:t>have drainage sufficient to leave a majority of the farm free from extended periods of standing water;</w:t>
      </w:r>
    </w:p>
    <w:p w14:paraId="585D6EAF" w14:textId="77777777" w:rsidR="00910814" w:rsidRPr="0087283E" w:rsidRDefault="00910814" w:rsidP="00910814">
      <w:pPr>
        <w:pStyle w:val="1"/>
      </w:pPr>
      <w:r w:rsidRPr="0087283E">
        <w:t>4.</w:t>
      </w:r>
      <w:r w:rsidRPr="0087283E">
        <w:tab/>
        <w:t>have adequate space and if the total enclosed area of the farm is less than 50 acres, allow at least 5,000 square feet for the first elk or farm-raised white-tailed deer placed on the farm and at least 2,500 square feet for each subsequent elk or farm-raised white-tailed deer;</w:t>
      </w:r>
    </w:p>
    <w:p w14:paraId="136C0871" w14:textId="77777777" w:rsidR="00910814" w:rsidRPr="0087283E" w:rsidRDefault="00910814" w:rsidP="00910814">
      <w:pPr>
        <w:pStyle w:val="1"/>
      </w:pPr>
      <w:r w:rsidRPr="0087283E">
        <w:lastRenderedPageBreak/>
        <w:t>5.</w:t>
      </w:r>
      <w:r w:rsidRPr="0087283E">
        <w:tab/>
        <w:t xml:space="preserve">have no condition which may cause noncompliance with or substantial difficulty in complying with part I of chapter 19-A of title 3 of the </w:t>
      </w:r>
      <w:r w:rsidRPr="0087283E">
        <w:rPr>
          <w:i/>
        </w:rPr>
        <w:t>Revised Statutes</w:t>
      </w:r>
      <w:r w:rsidRPr="0087283E">
        <w:t>, these rules and regulations, the written farm operation plan submitted to and approved by the department and any quarantine;</w:t>
      </w:r>
    </w:p>
    <w:p w14:paraId="328C9ADD" w14:textId="77777777" w:rsidR="00910814" w:rsidRPr="00A1145E" w:rsidRDefault="00910814" w:rsidP="00910814">
      <w:pPr>
        <w:pStyle w:val="AuthorityNote"/>
      </w:pPr>
      <w:r w:rsidRPr="0087283E">
        <w:t>AUTHORITY NOTE:</w:t>
      </w:r>
      <w:r w:rsidRPr="0087283E">
        <w:tab/>
        <w:t>Promulgated in accordance with R.S. 3:3101.</w:t>
      </w:r>
    </w:p>
    <w:p w14:paraId="571DD285"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24:1673 (September 1998)</w:t>
      </w:r>
      <w:r w:rsidRPr="00A1145E">
        <w:t xml:space="preserve">, repromulgated by the Department of Agriculture and Forestry, </w:t>
      </w:r>
      <w:r>
        <w:t>Office of Animal Health and Food Safety and the Board of Animal Health,</w:t>
      </w:r>
      <w:r w:rsidRPr="00A1145E">
        <w:t xml:space="preserve"> LR </w:t>
      </w:r>
      <w:r>
        <w:t>40:973 (May 2014), amended LR 42:1865 (November 2016).</w:t>
      </w:r>
    </w:p>
    <w:p w14:paraId="2E222809" w14:textId="77777777" w:rsidR="00910814" w:rsidRPr="00A1145E" w:rsidRDefault="00910814" w:rsidP="00910814">
      <w:pPr>
        <w:pStyle w:val="Section"/>
      </w:pPr>
      <w:bookmarkStart w:id="2256" w:name="_Toc256754761"/>
      <w:bookmarkStart w:id="2257" w:name="_Toc375025546"/>
      <w:bookmarkStart w:id="2258" w:name="_Toc224819159"/>
      <w:r>
        <w:t>§1713.</w:t>
      </w:r>
      <w:r>
        <w:tab/>
      </w:r>
      <w:r w:rsidRPr="00A1145E">
        <w:t>Grounds for Refusal to Issue or Renew a Farm-Raising License</w:t>
      </w:r>
      <w:bookmarkEnd w:id="2256"/>
      <w:bookmarkEnd w:id="2257"/>
      <w:r>
        <w:br/>
        <w:t>(</w:t>
      </w:r>
      <w:r w:rsidRPr="00A1145E">
        <w:t>Formerly §1511</w:t>
      </w:r>
      <w:r>
        <w:t>)</w:t>
      </w:r>
      <w:bookmarkEnd w:id="2258"/>
    </w:p>
    <w:p w14:paraId="6F66B470" w14:textId="77777777" w:rsidR="00910814" w:rsidRPr="00A1145E" w:rsidRDefault="00910814" w:rsidP="00910814">
      <w:pPr>
        <w:pStyle w:val="A"/>
      </w:pPr>
      <w:r w:rsidRPr="00A1145E">
        <w:t>A.</w:t>
      </w:r>
      <w:r w:rsidRPr="00A1145E">
        <w:tab/>
        <w:t>The commissioner may refuse to issue or renew a farm-raising license for any of the following circumstances:</w:t>
      </w:r>
    </w:p>
    <w:p w14:paraId="52251E5A" w14:textId="77777777" w:rsidR="00910814" w:rsidRPr="00A1145E" w:rsidRDefault="00910814" w:rsidP="00910814">
      <w:pPr>
        <w:pStyle w:val="1"/>
      </w:pPr>
      <w:r w:rsidRPr="00A1145E">
        <w:t>1.</w:t>
      </w:r>
      <w:r w:rsidRPr="00A1145E">
        <w:tab/>
        <w:t>the applicant cannot demonstrate to the satisfaction of the commissioner a competency to operate an alternative livestock farm;</w:t>
      </w:r>
    </w:p>
    <w:p w14:paraId="750A51A9" w14:textId="77777777" w:rsidR="00910814" w:rsidRPr="00A1145E" w:rsidRDefault="00910814" w:rsidP="00910814">
      <w:pPr>
        <w:pStyle w:val="1"/>
      </w:pPr>
      <w:r w:rsidRPr="00A1145E">
        <w:t>2.</w:t>
      </w:r>
      <w:r w:rsidRPr="00A1145E">
        <w:tab/>
        <w:t>the applicant has failed to provide all of the information required in or with the farm-raising license or renewal application, or has provided false information to the department;</w:t>
      </w:r>
    </w:p>
    <w:p w14:paraId="27EBC0F9" w14:textId="77777777" w:rsidR="00910814" w:rsidRPr="00A1145E" w:rsidRDefault="00910814" w:rsidP="00910814">
      <w:pPr>
        <w:pStyle w:val="1"/>
      </w:pPr>
      <w:r w:rsidRPr="00A1145E">
        <w:t>3.</w:t>
      </w:r>
      <w:r w:rsidRPr="00A1145E">
        <w:tab/>
        <w:t xml:space="preserve">the applicant has previously refused to permit the department to inspect the farm or to inspect farm records or the applicant has otherwise failed to comply with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14:paraId="1A56DE9C" w14:textId="77777777" w:rsidR="00910814" w:rsidRPr="00A1145E" w:rsidRDefault="00910814" w:rsidP="00910814">
      <w:pPr>
        <w:pStyle w:val="1"/>
      </w:pPr>
      <w:r w:rsidRPr="00A1145E">
        <w:t>4.</w:t>
      </w:r>
      <w:r w:rsidRPr="00A1145E">
        <w:tab/>
        <w:t>the department does not approve the farm operation plan;</w:t>
      </w:r>
    </w:p>
    <w:p w14:paraId="11A6CB76" w14:textId="77777777" w:rsidR="00910814" w:rsidRPr="00A1145E" w:rsidRDefault="00910814" w:rsidP="00910814">
      <w:pPr>
        <w:pStyle w:val="1"/>
      </w:pPr>
      <w:r w:rsidRPr="0087283E">
        <w:t>5.</w:t>
      </w:r>
      <w:r w:rsidRPr="0087283E">
        <w:tab/>
        <w:t>the proposed farm does not pass the department's inspection;</w:t>
      </w:r>
    </w:p>
    <w:p w14:paraId="46D8179A" w14:textId="77777777" w:rsidR="00910814" w:rsidRPr="00A1145E" w:rsidRDefault="00910814" w:rsidP="00910814">
      <w:pPr>
        <w:pStyle w:val="1"/>
      </w:pPr>
      <w:r w:rsidRPr="00A1145E">
        <w:t>6.</w:t>
      </w:r>
      <w:r w:rsidRPr="00A1145E">
        <w:tab/>
        <w:t xml:space="preserve">the applicant has previously been found in violation of either </w:t>
      </w:r>
      <w:r>
        <w:t xml:space="preserve">part I of chapter 19-A of title 3 of the </w:t>
      </w:r>
      <w:r w:rsidRPr="00FA7C64">
        <w:rPr>
          <w:i/>
        </w:rPr>
        <w:t>Revised Statutes</w:t>
      </w:r>
      <w:r w:rsidRPr="00A1145E">
        <w:t>, these rules and regulations, the written farm operation plan submitted to and approved by the department or any quarantine.</w:t>
      </w:r>
    </w:p>
    <w:p w14:paraId="6B0E4F73" w14:textId="77777777" w:rsidR="00910814" w:rsidRPr="00A1145E" w:rsidRDefault="00910814" w:rsidP="00910814">
      <w:pPr>
        <w:pStyle w:val="AuthorityNote"/>
      </w:pPr>
      <w:r w:rsidRPr="00A1145E">
        <w:t>AUTHORITY NOTE:</w:t>
      </w:r>
      <w:r w:rsidRPr="00A1145E">
        <w:tab/>
        <w:t>Promulgated in accordance with R.S. 3:3101.</w:t>
      </w:r>
    </w:p>
    <w:p w14:paraId="1F0AED2F"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24:1673 (September 1998)</w:t>
      </w:r>
      <w:r w:rsidRPr="00A1145E">
        <w:t xml:space="preserve">, repromulgated by the Department of Agriculture and Forestry, </w:t>
      </w:r>
      <w:r>
        <w:t>Office of Animal Health and Food Safety and the Board of Animal Health,</w:t>
      </w:r>
      <w:r w:rsidRPr="00A1145E">
        <w:t xml:space="preserve"> LR </w:t>
      </w:r>
      <w:r>
        <w:t>40:974 (May 2014), amended LR 42:1865 (November 2016).</w:t>
      </w:r>
    </w:p>
    <w:p w14:paraId="0139E80A" w14:textId="77777777" w:rsidR="00910814" w:rsidRPr="00A1145E" w:rsidRDefault="00910814" w:rsidP="00910814">
      <w:pPr>
        <w:pStyle w:val="Section"/>
      </w:pPr>
      <w:bookmarkStart w:id="2259" w:name="_Toc256754762"/>
      <w:bookmarkStart w:id="2260" w:name="_Toc375025547"/>
      <w:bookmarkStart w:id="2261" w:name="_Toc224819160"/>
      <w:r>
        <w:t>§1715.</w:t>
      </w:r>
      <w:r>
        <w:tab/>
      </w:r>
      <w:r w:rsidRPr="00A1145E">
        <w:t>Obligations of the Farm-Raising Licensee</w:t>
      </w:r>
      <w:bookmarkEnd w:id="2259"/>
      <w:bookmarkEnd w:id="2260"/>
      <w:r>
        <w:br/>
        <w:t>(</w:t>
      </w:r>
      <w:r w:rsidRPr="00A1145E">
        <w:t>Formerly §1513</w:t>
      </w:r>
      <w:r>
        <w:t>)</w:t>
      </w:r>
      <w:bookmarkEnd w:id="2261"/>
    </w:p>
    <w:p w14:paraId="25877172" w14:textId="77777777" w:rsidR="00910814" w:rsidRPr="0087283E" w:rsidRDefault="00910814" w:rsidP="00910814">
      <w:pPr>
        <w:pStyle w:val="A"/>
      </w:pPr>
      <w:r w:rsidRPr="0087283E">
        <w:t>A.</w:t>
      </w:r>
      <w:r w:rsidRPr="0087283E">
        <w:tab/>
        <w:t>Identification of Farm-Raised Alternative Livestock</w:t>
      </w:r>
    </w:p>
    <w:p w14:paraId="5817E387" w14:textId="77777777" w:rsidR="00910814" w:rsidRPr="0087283E" w:rsidRDefault="00910814" w:rsidP="00910814">
      <w:pPr>
        <w:pStyle w:val="1"/>
      </w:pPr>
      <w:r w:rsidRPr="0087283E">
        <w:t>1.</w:t>
      </w:r>
      <w:r w:rsidRPr="0087283E">
        <w:tab/>
        <w:t>All farm-raised white-tailed deer shall be identified by means of an electronic implant implanted as follows:</w:t>
      </w:r>
    </w:p>
    <w:p w14:paraId="27809177" w14:textId="77777777" w:rsidR="00910814" w:rsidRPr="0087283E" w:rsidRDefault="00910814" w:rsidP="00910814">
      <w:pPr>
        <w:pStyle w:val="a0"/>
      </w:pPr>
      <w:r w:rsidRPr="0087283E">
        <w:t>a.</w:t>
      </w:r>
      <w:r w:rsidRPr="0087283E">
        <w:tab/>
        <w:t>the electronic implant shall be implanted into the subcutaneous tissue at the base of the left ear;</w:t>
      </w:r>
    </w:p>
    <w:p w14:paraId="0A59551B" w14:textId="77777777" w:rsidR="00910814" w:rsidRPr="0087283E" w:rsidRDefault="00910814" w:rsidP="00910814">
      <w:pPr>
        <w:pStyle w:val="a0"/>
      </w:pPr>
      <w:r w:rsidRPr="0087283E">
        <w:t>b.</w:t>
      </w:r>
      <w:r w:rsidRPr="0087283E">
        <w:tab/>
        <w:t>all farm-raised white-tailed deer being brought into Louisiana shall have the electronic implant implanted before entering this state and prior to being released on the farm;</w:t>
      </w:r>
    </w:p>
    <w:p w14:paraId="20229C3E" w14:textId="77777777" w:rsidR="00910814" w:rsidRPr="0087283E" w:rsidRDefault="00910814" w:rsidP="00910814">
      <w:pPr>
        <w:pStyle w:val="a0"/>
      </w:pPr>
      <w:r w:rsidRPr="0087283E">
        <w:t>c.</w:t>
      </w:r>
      <w:r w:rsidRPr="0087283E">
        <w:tab/>
        <w:t>farm-raised white-tailed deer born in this state shall have an electronic implant implanted the first time the farm raised white-tailed deer is captured alive and before the farm-raised white-tailed deer leaves the farm;</w:t>
      </w:r>
    </w:p>
    <w:p w14:paraId="6AD0A92C" w14:textId="77777777" w:rsidR="00910814" w:rsidRPr="0087283E" w:rsidRDefault="00910814" w:rsidP="00910814">
      <w:pPr>
        <w:pStyle w:val="a0"/>
      </w:pPr>
      <w:r w:rsidRPr="0087283E">
        <w:t>d.</w:t>
      </w:r>
      <w:r w:rsidRPr="0087283E">
        <w:tab/>
        <w:t>each electronic implant code shall be listed on the farm-raised white-tailed deer's health certificate and on the bill of sale or certificate of transfer.</w:t>
      </w:r>
    </w:p>
    <w:p w14:paraId="61F6F518" w14:textId="77777777" w:rsidR="00910814" w:rsidRPr="0087283E" w:rsidRDefault="00910814" w:rsidP="00910814">
      <w:pPr>
        <w:pStyle w:val="1"/>
      </w:pPr>
      <w:r w:rsidRPr="0087283E">
        <w:t>2.</w:t>
      </w:r>
      <w:r w:rsidRPr="0087283E">
        <w:tab/>
        <w:t>All farm-raised alternative livestock other than farm-raised white-tailed deer shall be permanently and individually identified as follows:</w:t>
      </w:r>
    </w:p>
    <w:p w14:paraId="5A257A26" w14:textId="77777777" w:rsidR="00910814" w:rsidRPr="0087283E" w:rsidRDefault="00910814" w:rsidP="00910814">
      <w:pPr>
        <w:pStyle w:val="a0"/>
      </w:pPr>
      <w:r w:rsidRPr="0087283E">
        <w:t>a.</w:t>
      </w:r>
      <w:r w:rsidRPr="0087283E">
        <w:tab/>
        <w:t>by means of an electronic implant or by a permanent ear tattoo and ear tag;</w:t>
      </w:r>
    </w:p>
    <w:p w14:paraId="6ACBFB3D" w14:textId="77777777" w:rsidR="00910814" w:rsidRPr="0087283E" w:rsidRDefault="00910814" w:rsidP="00910814">
      <w:pPr>
        <w:pStyle w:val="a0"/>
      </w:pPr>
      <w:r w:rsidRPr="0087283E">
        <w:t>b.</w:t>
      </w:r>
      <w:r w:rsidRPr="0087283E">
        <w:tab/>
        <w:t>the electronic implant shall be implanted into the subcutaneous tissue at the base of the left ear;</w:t>
      </w:r>
    </w:p>
    <w:p w14:paraId="2E724188" w14:textId="77777777" w:rsidR="00910814" w:rsidRPr="0087283E" w:rsidRDefault="00910814" w:rsidP="00910814">
      <w:pPr>
        <w:pStyle w:val="a0"/>
      </w:pPr>
      <w:r w:rsidRPr="0087283E">
        <w:t>c.</w:t>
      </w:r>
      <w:r w:rsidRPr="0087283E">
        <w:tab/>
        <w:t>prior to entering the state, alternative livestock, other than farm-raised white-tailed deer, shall be identified as required herein;</w:t>
      </w:r>
    </w:p>
    <w:p w14:paraId="7048C74F" w14:textId="77777777" w:rsidR="00910814" w:rsidRPr="0087283E" w:rsidRDefault="00910814" w:rsidP="00910814">
      <w:pPr>
        <w:pStyle w:val="a0"/>
      </w:pPr>
      <w:r w:rsidRPr="0087283E">
        <w:t>d.</w:t>
      </w:r>
      <w:r w:rsidRPr="0087283E">
        <w:tab/>
        <w:t>alternative livestock born in this state, other than farm-raised white-tailed deer, shall be identified as required herein, the first time any such animal is captured alive and before any such animal leaves the farm;</w:t>
      </w:r>
    </w:p>
    <w:p w14:paraId="331317CA" w14:textId="77777777" w:rsidR="00910814" w:rsidRPr="00A1145E" w:rsidRDefault="00910814" w:rsidP="00910814">
      <w:pPr>
        <w:pStyle w:val="a0"/>
      </w:pPr>
      <w:r w:rsidRPr="0087283E">
        <w:t>e.</w:t>
      </w:r>
      <w:r w:rsidRPr="0087283E">
        <w:tab/>
        <w:t>the identification number or electronic implant code, and the location thereof, shall be listed on the health certificate and the bill of sale or certificate of transfer.</w:t>
      </w:r>
    </w:p>
    <w:p w14:paraId="7E845E0C" w14:textId="77777777" w:rsidR="00910814" w:rsidRPr="00A1145E" w:rsidRDefault="00910814" w:rsidP="00910814">
      <w:pPr>
        <w:pStyle w:val="1"/>
      </w:pPr>
      <w:r w:rsidRPr="00A1145E">
        <w:t>3.</w:t>
      </w:r>
      <w:r w:rsidRPr="00A1145E">
        <w:tab/>
        <w:t>Farm-raised alternative livestock, other than farm-raised white-tailed deer, that will be transported directly to a state or federally approved slaughter facility are exempt from this identification requirement.</w:t>
      </w:r>
    </w:p>
    <w:p w14:paraId="3718DF02" w14:textId="77777777" w:rsidR="00910814" w:rsidRPr="00A1145E" w:rsidRDefault="00910814" w:rsidP="00910814">
      <w:pPr>
        <w:pStyle w:val="1"/>
      </w:pPr>
      <w:r w:rsidRPr="00A1145E">
        <w:t>4.</w:t>
      </w:r>
      <w:r w:rsidRPr="00A1145E">
        <w:tab/>
        <w:t>Farm-raised alternative livestock placed on a farm prior to the effective date of these regulations, other than farm-raised white-tailed deer, are not required to be identified by a permanent ear tattoo and ear tag or electronic implant unless removed alive from the farm.</w:t>
      </w:r>
    </w:p>
    <w:p w14:paraId="503011E3" w14:textId="77777777" w:rsidR="00910814" w:rsidRPr="0087283E" w:rsidRDefault="00910814" w:rsidP="00910814">
      <w:pPr>
        <w:pStyle w:val="A"/>
      </w:pPr>
      <w:r w:rsidRPr="0087283E">
        <w:t>B.</w:t>
      </w:r>
      <w:r w:rsidRPr="0087283E">
        <w:tab/>
        <w:t>Record Keeping</w:t>
      </w:r>
    </w:p>
    <w:p w14:paraId="5F2B1A37" w14:textId="77777777" w:rsidR="00910814" w:rsidRPr="00A1145E" w:rsidRDefault="00910814" w:rsidP="00910814">
      <w:pPr>
        <w:pStyle w:val="1"/>
      </w:pPr>
      <w:r w:rsidRPr="0087283E">
        <w:t>1.</w:t>
      </w:r>
      <w:r w:rsidRPr="0087283E">
        <w:tab/>
        <w:t>Each licensee shall maintain records, for not less than 60 months, of all sales, deaths, kills, trades, purchases, or transfers of any farm-raised alternative livestock. The records shall include:</w:t>
      </w:r>
    </w:p>
    <w:p w14:paraId="13998746" w14:textId="77777777" w:rsidR="00910814" w:rsidRPr="00A1145E" w:rsidRDefault="00910814" w:rsidP="00910814">
      <w:pPr>
        <w:pStyle w:val="a0"/>
      </w:pPr>
      <w:r w:rsidRPr="00A1145E">
        <w:t>a.</w:t>
      </w:r>
      <w:r w:rsidRPr="00A1145E">
        <w:tab/>
        <w:t>total number of farm-raised alternative livestock, carcasses, or parts thereof, killed, sold, traded, purchased or transported;</w:t>
      </w:r>
    </w:p>
    <w:p w14:paraId="03E7535D" w14:textId="77777777" w:rsidR="00910814" w:rsidRPr="00A1145E" w:rsidRDefault="00910814" w:rsidP="00910814">
      <w:pPr>
        <w:pStyle w:val="a0"/>
      </w:pPr>
      <w:r w:rsidRPr="00A1145E">
        <w:t>b.</w:t>
      </w:r>
      <w:r w:rsidRPr="00A1145E">
        <w:tab/>
        <w:t>name and address of the person to whom each farm-raised alternative livestock, or any carcass, or parts thereof, was sold, traded, delivered, presented or transported;</w:t>
      </w:r>
    </w:p>
    <w:p w14:paraId="5C75BC79" w14:textId="77777777" w:rsidR="00910814" w:rsidRPr="00A1145E" w:rsidRDefault="00910814" w:rsidP="00910814">
      <w:pPr>
        <w:pStyle w:val="a0"/>
      </w:pPr>
      <w:r w:rsidRPr="00A1145E">
        <w:t>c.</w:t>
      </w:r>
      <w:r w:rsidRPr="00A1145E">
        <w:tab/>
        <w:t>the electronic implant code or identification number of the farm-raised alternative livestock;</w:t>
      </w:r>
    </w:p>
    <w:p w14:paraId="2BCC55CF" w14:textId="77777777" w:rsidR="00910814" w:rsidRPr="00A1145E" w:rsidRDefault="00910814" w:rsidP="00910814">
      <w:pPr>
        <w:pStyle w:val="a0"/>
      </w:pPr>
      <w:r w:rsidRPr="00A1145E">
        <w:t>d.</w:t>
      </w:r>
      <w:r w:rsidRPr="00A1145E">
        <w:tab/>
        <w:t>copies of any health certificates issued;</w:t>
      </w:r>
    </w:p>
    <w:p w14:paraId="5904B699" w14:textId="77777777" w:rsidR="00910814" w:rsidRPr="00A1145E" w:rsidRDefault="00910814" w:rsidP="00910814">
      <w:pPr>
        <w:pStyle w:val="a0"/>
      </w:pPr>
      <w:r w:rsidRPr="00A1145E">
        <w:lastRenderedPageBreak/>
        <w:t>e.</w:t>
      </w:r>
      <w:r w:rsidRPr="00A1145E">
        <w:tab/>
        <w:t>accurate records showing all inspections, maintenance, repairs and replacement to the enclosure system, including the fence and such records shall include the dates and times of each, names of the persons performing services, the location of any breaches of the enclosure system, including the fence and nature and location of any repairs or replacements made to the fence;</w:t>
      </w:r>
    </w:p>
    <w:p w14:paraId="24DDE19A" w14:textId="77777777" w:rsidR="00910814" w:rsidRPr="00A1145E" w:rsidRDefault="00910814" w:rsidP="00910814">
      <w:pPr>
        <w:pStyle w:val="a0"/>
      </w:pPr>
      <w:r w:rsidRPr="00A1145E">
        <w:t>f.</w:t>
      </w:r>
      <w:r w:rsidRPr="00A1145E">
        <w:tab/>
        <w:t>records customarily kept in the normal course of conducting business and those records required by these rules and regulations.</w:t>
      </w:r>
    </w:p>
    <w:p w14:paraId="6F249880" w14:textId="77777777" w:rsidR="00910814" w:rsidRPr="00B0068D" w:rsidRDefault="00910814" w:rsidP="00910814">
      <w:pPr>
        <w:pStyle w:val="1"/>
        <w:rPr>
          <w:rStyle w:val="Strong"/>
        </w:rPr>
      </w:pPr>
      <w:r w:rsidRPr="0087283E">
        <w:t>2.</w:t>
      </w:r>
      <w:r w:rsidRPr="0087283E">
        <w:tab/>
        <w:t>Sellers, traders or transferors of farm-raised alternative livestock, any carcass, or any part thereof, shall furnish the purchaser or transferee with a bill of sale or letter of transfer as verification of the farm-raised status. A copy of the bill of sale shall be submitted to the department within 10 business days of the transaction.</w:t>
      </w:r>
    </w:p>
    <w:p w14:paraId="69FB523F" w14:textId="77777777" w:rsidR="00910814" w:rsidRPr="00A1145E" w:rsidRDefault="00910814" w:rsidP="00910814">
      <w:pPr>
        <w:pStyle w:val="1"/>
      </w:pPr>
      <w:r w:rsidRPr="0087283E">
        <w:t>3.</w:t>
      </w:r>
      <w:r w:rsidRPr="0087283E">
        <w:tab/>
        <w:t>The furnishing of any false information shall be a violation of these rules and regulations.</w:t>
      </w:r>
    </w:p>
    <w:p w14:paraId="698F1C84" w14:textId="77777777" w:rsidR="00910814" w:rsidRPr="00A1145E" w:rsidRDefault="00910814" w:rsidP="00910814">
      <w:pPr>
        <w:pStyle w:val="A"/>
      </w:pPr>
      <w:r w:rsidRPr="00A1145E">
        <w:t>C.</w:t>
      </w:r>
      <w:r w:rsidRPr="00A1145E">
        <w:tab/>
        <w:t>Enclosure System and Fence Inspection and Maintenance</w:t>
      </w:r>
    </w:p>
    <w:p w14:paraId="3245E7CB" w14:textId="77777777" w:rsidR="00910814" w:rsidRPr="00A1145E" w:rsidRDefault="00910814" w:rsidP="00910814">
      <w:pPr>
        <w:pStyle w:val="1"/>
      </w:pPr>
      <w:r w:rsidRPr="00A1145E">
        <w:t>1.</w:t>
      </w:r>
      <w:r w:rsidRPr="00A1145E">
        <w:tab/>
        <w:t>Any licensee shall conduct or shall have conducted a visual ground inspection of the enclosure system, including the fence, along the entire perimeter of the fenced area of the farm not less than weekly. An inspection shall be conducted immediately after any major storm or occurrence of any other force of nature that would cause a reasonable person to be concerned about the integrity of the enclosure system, including the fence.</w:t>
      </w:r>
    </w:p>
    <w:p w14:paraId="3EDA298B" w14:textId="77777777" w:rsidR="00910814" w:rsidRPr="00A1145E" w:rsidRDefault="00910814" w:rsidP="00910814">
      <w:pPr>
        <w:pStyle w:val="1"/>
      </w:pPr>
      <w:r w:rsidRPr="00A1145E">
        <w:t>2.</w:t>
      </w:r>
      <w:r w:rsidRPr="00A1145E">
        <w:tab/>
        <w:t>Any licensee shall maintain the enclosure system, including the fence in good repair at all times. Good repair means that farm-raised alternative livestock are not able to leave and wild white-tailed deer are not able to enter through the enclosure system, including the fence, or otherwise.</w:t>
      </w:r>
    </w:p>
    <w:p w14:paraId="52788852" w14:textId="77777777" w:rsidR="00910814" w:rsidRPr="0087283E" w:rsidRDefault="00910814" w:rsidP="00910814">
      <w:pPr>
        <w:pStyle w:val="1"/>
      </w:pPr>
      <w:r w:rsidRPr="0087283E">
        <w:t>3.</w:t>
      </w:r>
      <w:r w:rsidRPr="0087283E">
        <w:tab/>
        <w:t>Any licensee who discovers a breach or opening in the enclosure system or fence that would allow farm-raised alternative livestock to leave from or wild white-tailed deer to enter into the enclosed area shall notify, orally and in writing, the department</w:t>
      </w:r>
      <w:r>
        <w:t xml:space="preserve"> </w:t>
      </w:r>
      <w:r w:rsidRPr="0087283E">
        <w:t>of the breach or opening and the department shall notify LDWF within 12 hours.</w:t>
      </w:r>
    </w:p>
    <w:p w14:paraId="75128EEC" w14:textId="77777777" w:rsidR="00910814" w:rsidRPr="0087283E" w:rsidRDefault="00910814" w:rsidP="00910814">
      <w:pPr>
        <w:pStyle w:val="1"/>
      </w:pPr>
      <w:r w:rsidRPr="0087283E">
        <w:t>4.</w:t>
      </w:r>
      <w:r w:rsidRPr="0087283E">
        <w:tab/>
        <w:t>In the event of such a breach or opening the licensee shall immediately close the breach or opening and make all reasonable efforts to determine if farm-raised alternative livestock left from or wild white-tailed deer entered into the area enclosed by the fence.</w:t>
      </w:r>
    </w:p>
    <w:p w14:paraId="6401EB78" w14:textId="77777777" w:rsidR="00910814" w:rsidRPr="0087283E" w:rsidRDefault="00910814" w:rsidP="00910814">
      <w:pPr>
        <w:pStyle w:val="A"/>
      </w:pPr>
      <w:r w:rsidRPr="0087283E">
        <w:t>D.</w:t>
      </w:r>
      <w:r w:rsidRPr="0087283E">
        <w:tab/>
        <w:t>Other Obligations of the Farm Licensee</w:t>
      </w:r>
    </w:p>
    <w:p w14:paraId="38B33EA0" w14:textId="77777777" w:rsidR="00910814" w:rsidRPr="0087283E" w:rsidRDefault="00910814" w:rsidP="00910814">
      <w:pPr>
        <w:pStyle w:val="1"/>
      </w:pPr>
      <w:r w:rsidRPr="0087283E">
        <w:t>1.</w:t>
      </w:r>
      <w:r w:rsidRPr="0087283E">
        <w:tab/>
        <w:t>A licensee shall make all reasonable efforts to remove white-tailed deer from the farm prior to completion of the fencing and enclosure system of the farm. Removal of the white-tailed deer may include the following steps:</w:t>
      </w:r>
    </w:p>
    <w:p w14:paraId="4F764668" w14:textId="77777777" w:rsidR="00910814" w:rsidRPr="0087283E" w:rsidRDefault="00910814" w:rsidP="00910814">
      <w:pPr>
        <w:pStyle w:val="a0"/>
      </w:pPr>
      <w:r w:rsidRPr="0087283E">
        <w:t>a.</w:t>
      </w:r>
      <w:r w:rsidRPr="0087283E">
        <w:tab/>
        <w:t>upon completion of fencing and enclosure, LDAF shall inspect the enclosure for the presence of native white-tailed deer and inspection of enclosure;</w:t>
      </w:r>
    </w:p>
    <w:p w14:paraId="0777EC29" w14:textId="77777777" w:rsidR="00910814" w:rsidRPr="0087283E" w:rsidRDefault="00910814" w:rsidP="00910814">
      <w:pPr>
        <w:pStyle w:val="a0"/>
      </w:pPr>
      <w:r w:rsidRPr="0087283E">
        <w:t>b.</w:t>
      </w:r>
      <w:r w:rsidRPr="0087283E">
        <w:tab/>
        <w:t>if the inspection reveals the presence of native white-tailed deer, the licensee shall attempt to eradicate the deer concurren</w:t>
      </w:r>
      <w:r>
        <w:t>t with one legal hunting season:</w:t>
      </w:r>
    </w:p>
    <w:p w14:paraId="1EAB9559" w14:textId="77777777" w:rsidR="00910814" w:rsidRPr="0087283E" w:rsidRDefault="00910814" w:rsidP="00910814">
      <w:pPr>
        <w:pStyle w:val="i0"/>
      </w:pPr>
      <w:r>
        <w:tab/>
        <w:t>i.</w:t>
      </w:r>
      <w:r>
        <w:tab/>
      </w:r>
      <w:r w:rsidRPr="0087283E">
        <w:t>the licensee may enroll in LDWF’s DMAP for harvest</w:t>
      </w:r>
      <w:r>
        <w:t xml:space="preserve"> tags to facilitate eradication;</w:t>
      </w:r>
    </w:p>
    <w:p w14:paraId="378D3081" w14:textId="77777777" w:rsidR="00910814" w:rsidRPr="0087283E" w:rsidRDefault="00910814" w:rsidP="00910814">
      <w:pPr>
        <w:pStyle w:val="a0"/>
      </w:pPr>
      <w:r w:rsidRPr="0087283E">
        <w:t>c.</w:t>
      </w:r>
      <w:r w:rsidRPr="0087283E">
        <w:tab/>
        <w:t>final inspection of the premises for the presence of native white-tailed deer shall be performed by the department, with input from LDWF.</w:t>
      </w:r>
      <w:r>
        <w:t xml:space="preserve"> </w:t>
      </w:r>
      <w:r w:rsidRPr="0087283E">
        <w:t>The final decision regarding licensure shall be made by the department.</w:t>
      </w:r>
    </w:p>
    <w:p w14:paraId="3E8A8F0B" w14:textId="77777777" w:rsidR="00910814" w:rsidRPr="0087283E" w:rsidRDefault="00910814" w:rsidP="00910814">
      <w:pPr>
        <w:pStyle w:val="1"/>
      </w:pPr>
      <w:r w:rsidRPr="0087283E">
        <w:t>2.</w:t>
      </w:r>
      <w:r w:rsidRPr="0087283E">
        <w:tab/>
        <w:t>A licensee shall control the population of farm-raised alternative livestock on the farm.</w:t>
      </w:r>
    </w:p>
    <w:p w14:paraId="649E6C17" w14:textId="77777777" w:rsidR="00910814" w:rsidRPr="0087283E" w:rsidRDefault="00910814" w:rsidP="00910814">
      <w:pPr>
        <w:pStyle w:val="1"/>
      </w:pPr>
      <w:r w:rsidRPr="0087283E">
        <w:t>3.</w:t>
      </w:r>
      <w:r w:rsidRPr="0087283E">
        <w:tab/>
        <w:t>A licensee shall make all efforts that a reasonable licensee would make to capture any farm-raised alternative livestock that escapes from the fenced area of the farm and to remove wild white-tailed deer that enters the fenced area of the farm.</w:t>
      </w:r>
    </w:p>
    <w:p w14:paraId="2CA5990E" w14:textId="77777777" w:rsidR="00910814" w:rsidRPr="0087283E" w:rsidRDefault="00910814" w:rsidP="00910814">
      <w:pPr>
        <w:pStyle w:val="1"/>
        <w:rPr>
          <w:strike/>
        </w:rPr>
      </w:pPr>
      <w:r w:rsidRPr="0087283E">
        <w:t>4.</w:t>
      </w:r>
      <w:r w:rsidRPr="0087283E">
        <w:tab/>
        <w:t xml:space="preserve">A licensee shall, in writing, notify the department, at least 10 days prior to placing any alternative livestock on the farm if such alternative livestock was not listed on the original application or on any modification previously approved, in writing, by the department. </w:t>
      </w:r>
    </w:p>
    <w:p w14:paraId="67ED7ABC" w14:textId="77777777" w:rsidR="00910814" w:rsidRPr="0087283E" w:rsidRDefault="00910814" w:rsidP="00910814">
      <w:pPr>
        <w:pStyle w:val="1"/>
      </w:pPr>
      <w:r w:rsidRPr="0087283E">
        <w:t>5.</w:t>
      </w:r>
      <w:r w:rsidRPr="0087283E">
        <w:tab/>
        <w:t>A licensee upon cessation of operations, or upon revocation or nonrenewal of the farm-raising license shall make all reasonable efforts to remove and dispose of all farm-raised alternative livestock on the farm in accordance with the farm operation plan submitted to and approved by the department or in accordance with specific written instructions issued by the department in the event that circumstances warrant removal and disposal of the farm-raised alternative livestock to be made in a manner different from the farm operation plan.</w:t>
      </w:r>
      <w:r>
        <w:t xml:space="preserve"> </w:t>
      </w:r>
      <w:r w:rsidRPr="0087283E">
        <w:t>Farm-raised alternative livestock on the farm may be transferred to another licensed farm or eradicated concurrent with one legal hunting season.</w:t>
      </w:r>
      <w:r>
        <w:t xml:space="preserve"> </w:t>
      </w:r>
      <w:r w:rsidRPr="0087283E">
        <w:t>If, at the end of one legal hunting season, farm-raised alternative livestock remain on the property, the licensee may request LDAF harvest tags as needed.</w:t>
      </w:r>
    </w:p>
    <w:p w14:paraId="1C8A7789" w14:textId="77777777" w:rsidR="00910814" w:rsidRPr="0087283E" w:rsidRDefault="00910814" w:rsidP="00910814">
      <w:pPr>
        <w:pStyle w:val="a0"/>
      </w:pPr>
      <w:r w:rsidRPr="0087283E">
        <w:t>a.</w:t>
      </w:r>
      <w:r w:rsidRPr="0087283E">
        <w:tab/>
        <w:t>Prior to decommissioning of the farm and removal of the enclosure, the licensee shall test 10</w:t>
      </w:r>
      <w:r>
        <w:t xml:space="preserve"> percent</w:t>
      </w:r>
      <w:r w:rsidRPr="0087283E">
        <w:t xml:space="preserve"> of cervids 12 months and older for CWD using a USDA approved method of testing.</w:t>
      </w:r>
    </w:p>
    <w:p w14:paraId="07187234" w14:textId="77777777" w:rsidR="00910814" w:rsidRPr="00A1145E" w:rsidRDefault="00910814" w:rsidP="00E4297A">
      <w:pPr>
        <w:pStyle w:val="a0"/>
      </w:pPr>
      <w:r w:rsidRPr="0087283E">
        <w:t>b.</w:t>
      </w:r>
      <w:r w:rsidRPr="0087283E">
        <w:tab/>
        <w:t>Prior to decommissioning of the farm and removal of the enclosure, LDWF and LDAF shall conduct a final inspection of the farm to ensure that all reasonable efforts to remove and dispose of all farm-raised alternative livestock on the farm have been made.</w:t>
      </w:r>
      <w:r>
        <w:t xml:space="preserve"> </w:t>
      </w:r>
      <w:r w:rsidRPr="0087283E">
        <w:t>Final approval for decommissioning of the farm and removal of the enclosure shall be granted by LDAF.</w:t>
      </w:r>
    </w:p>
    <w:p w14:paraId="4FE1E78B" w14:textId="77777777" w:rsidR="00910814" w:rsidRPr="00A1145E" w:rsidRDefault="00910814" w:rsidP="00910814">
      <w:pPr>
        <w:pStyle w:val="1"/>
      </w:pPr>
      <w:r w:rsidRPr="00A1145E">
        <w:t>6.</w:t>
      </w:r>
      <w:r w:rsidRPr="00A1145E">
        <w:tab/>
        <w:t>A licensee shall be responsible for ensuring that any individual who harvests or kills any farm-raised alternative livestock on the licensee's farm does so in accordance with these rules and regulations.</w:t>
      </w:r>
    </w:p>
    <w:p w14:paraId="287C913F" w14:textId="77777777" w:rsidR="00910814" w:rsidRPr="00A1145E" w:rsidRDefault="00910814" w:rsidP="00910814">
      <w:pPr>
        <w:pStyle w:val="1"/>
      </w:pPr>
      <w:r w:rsidRPr="00A1145E">
        <w:t>7.</w:t>
      </w:r>
      <w:r w:rsidRPr="00A1145E">
        <w:tab/>
        <w:t>A licensee shall harvest or kill farm-raised alternative livestock in accordance with these rules and regulations.</w:t>
      </w:r>
    </w:p>
    <w:p w14:paraId="4DDCD7E1" w14:textId="77777777" w:rsidR="00910814" w:rsidRPr="00A1145E" w:rsidRDefault="00910814" w:rsidP="00910814">
      <w:pPr>
        <w:pStyle w:val="1"/>
      </w:pPr>
      <w:r w:rsidRPr="00A1145E">
        <w:lastRenderedPageBreak/>
        <w:t>8.</w:t>
      </w:r>
      <w:r w:rsidRPr="00A1145E">
        <w:tab/>
        <w:t>A licensee shall provide that all farm-raised alternative livestock have the necessary health certificates and that the farm-raised alternative livestock meet all applicable health requirements.</w:t>
      </w:r>
    </w:p>
    <w:p w14:paraId="2C52C335" w14:textId="77777777" w:rsidR="00910814" w:rsidRPr="00A1145E" w:rsidRDefault="00910814" w:rsidP="00910814">
      <w:pPr>
        <w:pStyle w:val="1"/>
      </w:pPr>
      <w:r w:rsidRPr="0087283E">
        <w:t>9.</w:t>
      </w:r>
      <w:r w:rsidRPr="0087283E">
        <w:tab/>
        <w:t>A licensee shall allow authorized representatives of LDAF to inspect the farm at any time and all books and records at any reasonable time.</w:t>
      </w:r>
    </w:p>
    <w:p w14:paraId="7E179461" w14:textId="77777777" w:rsidR="00910814" w:rsidRPr="00A1145E" w:rsidRDefault="00910814" w:rsidP="00910814">
      <w:pPr>
        <w:pStyle w:val="1"/>
      </w:pPr>
      <w:r w:rsidRPr="00A1145E">
        <w:t>10.</w:t>
      </w:r>
      <w:r w:rsidRPr="00A1145E">
        <w:tab/>
        <w:t xml:space="preserve">A licensee shall comply with all provisions of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14:paraId="69A43C0E" w14:textId="77777777" w:rsidR="00910814" w:rsidRPr="00A1145E" w:rsidRDefault="00910814" w:rsidP="00910814">
      <w:pPr>
        <w:pStyle w:val="AuthorityNote"/>
      </w:pPr>
      <w:r w:rsidRPr="00A1145E">
        <w:t>AUTHORITY NOTE:</w:t>
      </w:r>
      <w:r w:rsidRPr="00A1145E">
        <w:tab/>
        <w:t>Promulgated in accordance with R.S. 3:3101.</w:t>
      </w:r>
    </w:p>
    <w:p w14:paraId="5CA0D7CD"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24:1674 (September 1998)</w:t>
      </w:r>
      <w:r w:rsidRPr="00A1145E">
        <w:t xml:space="preserve">, repromulgated by the Department of Agriculture and Forestry, </w:t>
      </w:r>
      <w:r>
        <w:t>Office of Animal Health and Food Safety and the Board of Animal Health,</w:t>
      </w:r>
      <w:r w:rsidRPr="00A1145E">
        <w:t xml:space="preserve"> LR </w:t>
      </w:r>
      <w:r>
        <w:t>40:974 (May 2014), amended LR 42:1865 (November 2016).</w:t>
      </w:r>
    </w:p>
    <w:p w14:paraId="2183B0D6" w14:textId="77777777" w:rsidR="00910814" w:rsidRPr="00A1145E" w:rsidRDefault="00910814" w:rsidP="00910814">
      <w:pPr>
        <w:pStyle w:val="Section"/>
      </w:pPr>
      <w:bookmarkStart w:id="2262" w:name="_Toc256754763"/>
      <w:bookmarkStart w:id="2263" w:name="_Toc375025548"/>
      <w:bookmarkStart w:id="2264" w:name="_Toc224819161"/>
      <w:r>
        <w:t>§1717.</w:t>
      </w:r>
      <w:r>
        <w:tab/>
      </w:r>
      <w:r w:rsidRPr="00A1145E">
        <w:t>Health Certificates and Health Requirements</w:t>
      </w:r>
      <w:bookmarkEnd w:id="2262"/>
      <w:bookmarkEnd w:id="2263"/>
      <w:r>
        <w:br/>
        <w:t>(</w:t>
      </w:r>
      <w:r w:rsidRPr="00A1145E">
        <w:t>Formerly §1515</w:t>
      </w:r>
      <w:r>
        <w:t>)</w:t>
      </w:r>
      <w:bookmarkEnd w:id="2264"/>
    </w:p>
    <w:p w14:paraId="5423C1A8" w14:textId="77777777" w:rsidR="00910814" w:rsidRPr="00A1145E" w:rsidRDefault="00910814" w:rsidP="00910814">
      <w:pPr>
        <w:pStyle w:val="A"/>
      </w:pPr>
      <w:r w:rsidRPr="00A1145E">
        <w:t>A.</w:t>
      </w:r>
      <w:r w:rsidRPr="00A1145E">
        <w:tab/>
        <w:t>Prior to entering Louisiana, all alternative livestock, except those being transported directly to a state or federally approved slaughter facility, shall:</w:t>
      </w:r>
    </w:p>
    <w:p w14:paraId="7AC9218B" w14:textId="77777777" w:rsidR="00910814" w:rsidRPr="00A1145E" w:rsidRDefault="00910814" w:rsidP="00910814">
      <w:pPr>
        <w:pStyle w:val="1"/>
      </w:pPr>
      <w:r w:rsidRPr="00A1145E">
        <w:t>1.</w:t>
      </w:r>
      <w:r w:rsidRPr="00A1145E">
        <w:tab/>
        <w:t>meet the general health requirements promulgated in §501 of this Part</w:t>
      </w:r>
    </w:p>
    <w:p w14:paraId="1118D7B2" w14:textId="77777777" w:rsidR="00910814" w:rsidRPr="00A1145E" w:rsidRDefault="00910814" w:rsidP="00910814">
      <w:pPr>
        <w:pStyle w:val="1"/>
      </w:pPr>
      <w:r w:rsidRPr="00A1145E">
        <w:t>2.</w:t>
      </w:r>
      <w:r w:rsidRPr="00A1145E">
        <w:tab/>
        <w:t>have an entry permit number issued by the state veterinarian's office no more than 15 days before entry into Louisiana which entry number shall be included on the certificate of veterinary inspection;</w:t>
      </w:r>
    </w:p>
    <w:p w14:paraId="0117876F" w14:textId="77777777" w:rsidR="00910814" w:rsidRPr="00A1145E" w:rsidRDefault="00910814" w:rsidP="00910814">
      <w:pPr>
        <w:pStyle w:val="1"/>
      </w:pPr>
      <w:r w:rsidRPr="00A1145E">
        <w:t>3.</w:t>
      </w:r>
      <w:r w:rsidRPr="00A1145E">
        <w:tab/>
        <w:t xml:space="preserve">have written proof of a negative test for </w:t>
      </w:r>
      <w:r w:rsidRPr="002248D5">
        <w:rPr>
          <w:i/>
        </w:rPr>
        <w:t>Brucellosis</w:t>
      </w:r>
      <w:r w:rsidRPr="00A1145E">
        <w:t xml:space="preserve"> in accordance with the </w:t>
      </w:r>
      <w:r w:rsidRPr="002248D5">
        <w:rPr>
          <w:i/>
          <w:iCs/>
        </w:rPr>
        <w:t>Brucellosis</w:t>
      </w:r>
      <w:r w:rsidRPr="00A1145E">
        <w:rPr>
          <w:i/>
          <w:iCs/>
        </w:rPr>
        <w:t xml:space="preserve"> Eradication in Cervidae Uniform Methods and Rules</w:t>
      </w:r>
      <w:r w:rsidRPr="00A1145E">
        <w:t xml:space="preserve"> as and when published by the United States Department of Agriculture, Animal and Plant Health Inspection Service. Until such time as the </w:t>
      </w:r>
      <w:r w:rsidRPr="002248D5">
        <w:rPr>
          <w:i/>
          <w:iCs/>
        </w:rPr>
        <w:t>Brucellosis</w:t>
      </w:r>
      <w:r w:rsidRPr="00A1145E">
        <w:rPr>
          <w:i/>
          <w:iCs/>
        </w:rPr>
        <w:t xml:space="preserve"> Eradication in Cervidae Uniform Methods and Rules</w:t>
      </w:r>
      <w:r w:rsidRPr="00A1145E">
        <w:t xml:space="preserve"> are published, all alternative livestock six months of age and older entering Louisiana, except those being transported directly to a state or federally approved slaughter facility, shall be tested negative for </w:t>
      </w:r>
      <w:r w:rsidRPr="002248D5">
        <w:rPr>
          <w:i/>
        </w:rPr>
        <w:t>Brucellosis</w:t>
      </w:r>
      <w:r w:rsidRPr="00A1145E">
        <w:t xml:space="preserve"> within 30 days prior to entry into Louisiana, and written proof thereof shall be provided, unless the alternative livestock originate from a herd which has been officially declared a certified </w:t>
      </w:r>
      <w:r w:rsidRPr="002248D5">
        <w:rPr>
          <w:i/>
        </w:rPr>
        <w:t>Brucellosis</w:t>
      </w:r>
      <w:r w:rsidRPr="00A1145E">
        <w:t xml:space="preserve"> free herd by the state of origin;</w:t>
      </w:r>
    </w:p>
    <w:p w14:paraId="7EB35089" w14:textId="77777777" w:rsidR="00910814" w:rsidRPr="0087283E" w:rsidRDefault="00910814" w:rsidP="00910814">
      <w:pPr>
        <w:pStyle w:val="1"/>
      </w:pPr>
      <w:r w:rsidRPr="0087283E">
        <w:t>4.</w:t>
      </w:r>
      <w:r w:rsidRPr="0087283E">
        <w:tab/>
        <w:t xml:space="preserve">have written proof of a negative tuberculin skin test or a serological test for tuberculosis that meets the following </w:t>
      </w:r>
      <w:r>
        <w:t>requirements:</w:t>
      </w:r>
    </w:p>
    <w:p w14:paraId="4025A636" w14:textId="77777777" w:rsidR="00910814" w:rsidRPr="0087283E" w:rsidRDefault="00910814" w:rsidP="00910814">
      <w:pPr>
        <w:pStyle w:val="a0"/>
      </w:pPr>
      <w:r w:rsidRPr="0087283E">
        <w:t>a.</w:t>
      </w:r>
      <w:r w:rsidRPr="0087283E">
        <w:tab/>
        <w:t>the tuberculin skin test or serological test for tuberculosis is one of the official tuberculosis tests approved by the U.S. Department of Agriculture for use on the species of alternative livestock for which permission to enter the state is being sought;</w:t>
      </w:r>
    </w:p>
    <w:p w14:paraId="7F66302B" w14:textId="77777777" w:rsidR="00910814" w:rsidRPr="00A1145E" w:rsidRDefault="00910814" w:rsidP="00910814">
      <w:pPr>
        <w:pStyle w:val="a0"/>
      </w:pPr>
      <w:r w:rsidRPr="0087283E">
        <w:t>b.</w:t>
      </w:r>
      <w:r w:rsidRPr="0087283E">
        <w:tab/>
        <w:t>the test was administered and read in accordance with the USDA requirements for the adminis</w:t>
      </w:r>
      <w:r>
        <w:t>tering and reading of that test.</w:t>
      </w:r>
    </w:p>
    <w:p w14:paraId="0E52D790" w14:textId="77777777" w:rsidR="00910814" w:rsidRPr="00A1145E" w:rsidRDefault="00910814" w:rsidP="00910814">
      <w:pPr>
        <w:pStyle w:val="A"/>
      </w:pPr>
      <w:r w:rsidRPr="00A1145E">
        <w:t>B.</w:t>
      </w:r>
      <w:r w:rsidRPr="00A1145E">
        <w:tab/>
        <w:t xml:space="preserve">Any alternative livestock which has been exposed to </w:t>
      </w:r>
      <w:r w:rsidRPr="002248D5">
        <w:rPr>
          <w:i/>
        </w:rPr>
        <w:t>Brucellosis</w:t>
      </w:r>
      <w:r w:rsidRPr="00A1145E">
        <w:t xml:space="preserve"> or tuberculosis shall be quarantined and tested for the diseases to which it has been exposed within 60 days of the date of the quarantine. The quarantine shall remain in effect until removed, in writing, by the State Veterinary Office.</w:t>
      </w:r>
    </w:p>
    <w:p w14:paraId="1B245F32" w14:textId="77777777" w:rsidR="00910814" w:rsidRPr="00A1145E" w:rsidRDefault="00910814" w:rsidP="00910814">
      <w:pPr>
        <w:pStyle w:val="A"/>
      </w:pPr>
      <w:r w:rsidRPr="00A1145E">
        <w:t>C.</w:t>
      </w:r>
      <w:r w:rsidRPr="00A1145E">
        <w:tab/>
        <w:t>Elk, black-tailed deer, mule deer, red deer, white-tailed deer, and any imported exotic deer as defined in LAC 7:XXI.1705 (collectively referred to in this Section as “deer”) shall not be admitted or readmitted (collectively referred to as “admitted”) into this state without specific written authorization from the commissioner or his designee.</w:t>
      </w:r>
    </w:p>
    <w:p w14:paraId="5D64B743" w14:textId="77777777" w:rsidR="00910814" w:rsidRPr="00A1145E" w:rsidRDefault="00910814" w:rsidP="00910814">
      <w:pPr>
        <w:pStyle w:val="1"/>
      </w:pPr>
      <w:r w:rsidRPr="00A1145E">
        <w:t>1.</w:t>
      </w:r>
      <w:r w:rsidRPr="00A1145E">
        <w:tab/>
        <w:t>Deer being transported through this state in interstate commerce shall be exempt from the provisions of this Section if there are no scheduled stops for offloading the deer or if such stops would reasonably place the deer in contact with other deer or cattle.</w:t>
      </w:r>
    </w:p>
    <w:p w14:paraId="7BD764B8" w14:textId="77777777" w:rsidR="00910814" w:rsidRPr="00A1145E" w:rsidRDefault="00910814" w:rsidP="00910814">
      <w:pPr>
        <w:pStyle w:val="a0"/>
      </w:pPr>
      <w:r w:rsidRPr="00A1145E">
        <w:t>a.</w:t>
      </w:r>
      <w:r w:rsidRPr="00A1145E">
        <w:tab/>
        <w:t>If deer being transported through this state in interstate commerce must be offloaded due to a mechanical breakdown or an emergency situation then the state veterinarian shall be immediately notified of the situation.</w:t>
      </w:r>
    </w:p>
    <w:p w14:paraId="113FEFD1" w14:textId="77777777" w:rsidR="00910814" w:rsidRPr="00A1145E" w:rsidRDefault="00910814" w:rsidP="00910814">
      <w:pPr>
        <w:pStyle w:val="a0"/>
      </w:pPr>
      <w:r w:rsidRPr="00A1145E">
        <w:t>b.</w:t>
      </w:r>
      <w:r w:rsidRPr="00A1145E">
        <w:tab/>
        <w:t>No deer shall be offloaded without authorization from the state veterinarian to offload the deer.</w:t>
      </w:r>
    </w:p>
    <w:p w14:paraId="5CDFD9E6" w14:textId="77777777" w:rsidR="00910814" w:rsidRPr="00A1145E" w:rsidRDefault="00910814" w:rsidP="00910814">
      <w:pPr>
        <w:pStyle w:val="a0"/>
      </w:pPr>
      <w:r w:rsidRPr="00A1145E">
        <w:t>c.</w:t>
      </w:r>
      <w:r w:rsidRPr="00A1145E">
        <w:tab/>
        <w:t>The deer shall be offloaded, confined, and quarantined in strict compliance with the instructions provided by the state veterinarian and shall be kept confined, quarantined and re-loaded under the direct supervision of the state veterinarian’s representative.</w:t>
      </w:r>
    </w:p>
    <w:p w14:paraId="12B73682" w14:textId="77777777" w:rsidR="00910814" w:rsidRPr="00A1145E" w:rsidRDefault="00910814" w:rsidP="00910814">
      <w:pPr>
        <w:pStyle w:val="1"/>
      </w:pPr>
      <w:r w:rsidRPr="00A1145E">
        <w:t>2.</w:t>
      </w:r>
      <w:r w:rsidRPr="00A1145E">
        <w:tab/>
        <w:t>Deer within this state that are moved or transported out of this state, even temporarily, shall not be admitted back into this state without the specific written authorization of the commissioner or his designee.</w:t>
      </w:r>
    </w:p>
    <w:p w14:paraId="19B2C690" w14:textId="77777777" w:rsidR="00910814" w:rsidRPr="00A1145E" w:rsidRDefault="00910814" w:rsidP="00910814">
      <w:pPr>
        <w:pStyle w:val="A"/>
      </w:pPr>
      <w:r w:rsidRPr="00A1145E">
        <w:t>D.</w:t>
      </w:r>
      <w:r w:rsidRPr="00A1145E">
        <w:tab/>
        <w:t>A person must provide the state veterinarian the following documentation or information as to each animal in order to obtain the authorization necessary for admission of the deer into this state.</w:t>
      </w:r>
    </w:p>
    <w:p w14:paraId="7A7831AA" w14:textId="77777777" w:rsidR="00910814" w:rsidRPr="00A1145E" w:rsidRDefault="00910814" w:rsidP="00910814">
      <w:pPr>
        <w:pStyle w:val="1"/>
      </w:pPr>
      <w:r w:rsidRPr="00A1145E">
        <w:t>1.</w:t>
      </w:r>
      <w:r w:rsidRPr="00A1145E">
        <w:tab/>
        <w:t>A request stating the number and type of deer to be admitted, the origin of the deer, the destination of the deer, any stops made or anticipated to be made between the origination point and the final destination where the deer will be offloaded or held in proximity to other deer, the name and address of the requestor, the name and address of the owner of the deer and the reason for the admission of the deer.</w:t>
      </w:r>
    </w:p>
    <w:p w14:paraId="70163F2A" w14:textId="77777777" w:rsidR="00910814" w:rsidRPr="00A1145E" w:rsidRDefault="00910814" w:rsidP="00910814">
      <w:pPr>
        <w:pStyle w:val="1"/>
      </w:pPr>
      <w:r w:rsidRPr="00A1145E">
        <w:t>2.</w:t>
      </w:r>
      <w:r w:rsidRPr="00A1145E">
        <w:tab/>
        <w:t>A certificate of veterinary inspection issued within the preceding 30 days by an accredited veterinarian on the deer listed in the written request which includes a permit number obtained from the department’s office of animal health services.</w:t>
      </w:r>
    </w:p>
    <w:p w14:paraId="20822A91" w14:textId="77777777" w:rsidR="00910814" w:rsidRPr="00A1145E" w:rsidRDefault="00910814" w:rsidP="00910814">
      <w:pPr>
        <w:pStyle w:val="1"/>
      </w:pPr>
      <w:r w:rsidRPr="00A1145E">
        <w:t>3.</w:t>
      </w:r>
      <w:r w:rsidRPr="00A1145E">
        <w:tab/>
        <w:t>A statement by the owner of the deer that he will reimburse all costs incurred by the commissioner or the department for feeding, sheltering, caring, and disposing or destroying of any deer seized and quarantined by the department for violation of any conditions, quarantines, or restrictions placed on deer admitted to the state.</w:t>
      </w:r>
    </w:p>
    <w:p w14:paraId="3CA7BD57" w14:textId="77777777" w:rsidR="00910814" w:rsidRPr="00A1145E" w:rsidRDefault="00910814" w:rsidP="00910814">
      <w:pPr>
        <w:pStyle w:val="1"/>
      </w:pPr>
      <w:r w:rsidRPr="00A1145E">
        <w:lastRenderedPageBreak/>
        <w:t>4.</w:t>
      </w:r>
      <w:r w:rsidRPr="00A1145E">
        <w:tab/>
        <w:t>Written and signed certification, whether signed jointly or separately, by both the owner of the deer and the inspecting veterinarian of the following information:</w:t>
      </w:r>
    </w:p>
    <w:p w14:paraId="0A178315" w14:textId="77777777" w:rsidR="00910814" w:rsidRPr="00A1145E" w:rsidRDefault="00910814" w:rsidP="00910814">
      <w:pPr>
        <w:pStyle w:val="a0"/>
      </w:pPr>
      <w:r w:rsidRPr="00A1145E">
        <w:t>a.</w:t>
      </w:r>
      <w:r w:rsidRPr="00A1145E">
        <w:tab/>
        <w:t>the distance to the nearest confirmed case of CWD if the deer are to be admitted from any state that has reported a CWD case within the last five years;</w:t>
      </w:r>
    </w:p>
    <w:p w14:paraId="430C7340" w14:textId="77777777" w:rsidR="00910814" w:rsidRPr="00A1145E" w:rsidRDefault="00910814" w:rsidP="00910814">
      <w:pPr>
        <w:pStyle w:val="a0"/>
      </w:pPr>
      <w:r w:rsidRPr="00A1145E">
        <w:t>b.</w:t>
      </w:r>
      <w:r w:rsidRPr="00A1145E">
        <w:tab/>
        <w:t>whether the facility the deer are coming from is enclosed by a single fence or double fence;</w:t>
      </w:r>
    </w:p>
    <w:p w14:paraId="4FAE480C" w14:textId="77777777" w:rsidR="00910814" w:rsidRPr="00A1145E" w:rsidRDefault="00910814" w:rsidP="00910814">
      <w:pPr>
        <w:pStyle w:val="a0"/>
      </w:pPr>
      <w:r w:rsidRPr="00A1145E">
        <w:t>c.</w:t>
      </w:r>
      <w:r w:rsidRPr="00A1145E">
        <w:tab/>
        <w:t>that each deer:</w:t>
      </w:r>
    </w:p>
    <w:p w14:paraId="6C0EE07B" w14:textId="77777777" w:rsidR="00910814" w:rsidRPr="00A1145E" w:rsidRDefault="00910814" w:rsidP="00910814">
      <w:pPr>
        <w:pStyle w:val="i0"/>
      </w:pPr>
      <w:r>
        <w:tab/>
      </w:r>
      <w:r w:rsidRPr="00A1145E">
        <w:t>i.</w:t>
      </w:r>
      <w:r w:rsidRPr="00A1145E">
        <w:tab/>
        <w:t>is from a herd that has participated in a recognized CWD surveillance and monitoring program for at least 60 months;</w:t>
      </w:r>
    </w:p>
    <w:p w14:paraId="11C6ACA6" w14:textId="77777777" w:rsidR="00910814" w:rsidRPr="00A1145E" w:rsidRDefault="00910814" w:rsidP="00910814">
      <w:pPr>
        <w:pStyle w:val="i0"/>
      </w:pPr>
      <w:r>
        <w:tab/>
      </w:r>
      <w:r w:rsidRPr="00A1145E">
        <w:t>ii.</w:t>
      </w:r>
      <w:r w:rsidRPr="00A1145E">
        <w:tab/>
        <w:t xml:space="preserve">has been in the herd from which the deer is being moved for at least 60 months, or has been in the herd for its entire life if younger than 60 months of age, or was placed in the herd from a herd that had participated in a recognized CWD surveillance and monitoring program for at least 60 months prior to the removal of the deer from the second herd and placement in the first herd; </w:t>
      </w:r>
    </w:p>
    <w:p w14:paraId="0DDA0764" w14:textId="77777777" w:rsidR="00910814" w:rsidRPr="00A1145E" w:rsidRDefault="00910814" w:rsidP="00910814">
      <w:pPr>
        <w:pStyle w:val="i0"/>
      </w:pPr>
      <w:r>
        <w:tab/>
      </w:r>
      <w:r w:rsidRPr="00A1145E">
        <w:t>iii.</w:t>
      </w:r>
      <w:r w:rsidRPr="00A1145E">
        <w:tab/>
        <w:t>comes from a herd that is not within 25 miles of a confirmed case of CWD occurring within the previous 60 months if the facility that the deer is coming from is a single fenced facility; or</w:t>
      </w:r>
    </w:p>
    <w:p w14:paraId="005A4BD1" w14:textId="77777777" w:rsidR="00910814" w:rsidRPr="00A1145E" w:rsidRDefault="00910814" w:rsidP="00910814">
      <w:pPr>
        <w:pStyle w:val="i0"/>
      </w:pPr>
      <w:r>
        <w:tab/>
      </w:r>
      <w:r w:rsidRPr="00A1145E">
        <w:t>iv.</w:t>
      </w:r>
      <w:r w:rsidRPr="00A1145E">
        <w:tab/>
        <w:t>comes from a herd that is not within five miles of a confirmed case of CWD occurring within the previous 60 months if the facility that the deer is coming from is a double fenced facility.</w:t>
      </w:r>
    </w:p>
    <w:p w14:paraId="231B4527" w14:textId="77777777" w:rsidR="00910814" w:rsidRPr="00A1145E" w:rsidRDefault="00910814" w:rsidP="00910814">
      <w:pPr>
        <w:pStyle w:val="1"/>
      </w:pPr>
      <w:r w:rsidRPr="00A1145E">
        <w:t>5.</w:t>
      </w:r>
      <w:r w:rsidRPr="00A1145E">
        <w:tab/>
        <w:t>Documentation that shows that each deer meets the health requirements set out in LAC 7:XXI.501 and 7:XXI.1717.</w:t>
      </w:r>
    </w:p>
    <w:p w14:paraId="6838B3CC" w14:textId="77777777" w:rsidR="00910814" w:rsidRPr="00A1145E" w:rsidRDefault="00910814" w:rsidP="00910814">
      <w:pPr>
        <w:pStyle w:val="A"/>
      </w:pPr>
      <w:r w:rsidRPr="00A1145E">
        <w:t>E.</w:t>
      </w:r>
      <w:r w:rsidRPr="00A1145E">
        <w:tab/>
        <w:t>The commissioner or his designee shall have the discretion to refuse to authorize the admission of deer into this state, even if all the criteria set out in Subsection D have been met, if in his informed opinion based on advice and recommendations from accredited veterinarians on staff with the department or employed by the federal government or from reliable veterinarian research or other credible information, he believes that admission of the deer may jeopardized the health of the deer population in this state or run the risk of bring CWD into the state.</w:t>
      </w:r>
    </w:p>
    <w:p w14:paraId="62567E09" w14:textId="77777777" w:rsidR="00910814" w:rsidRPr="00A1145E" w:rsidRDefault="00910814" w:rsidP="00910814">
      <w:pPr>
        <w:pStyle w:val="A"/>
      </w:pPr>
      <w:r w:rsidRPr="00A1145E">
        <w:t>F.</w:t>
      </w:r>
      <w:r w:rsidRPr="00A1145E">
        <w:tab/>
        <w:t>The commissioner or his designee may, at his discretion, impose conditions, quarantines, and restrictions on the admission of any deer into this state if he believes that such conditions, quarantines, and restrictions are necessary to protect the health of this state’s deer population or to control the risk of bringing CWD into the state.</w:t>
      </w:r>
    </w:p>
    <w:p w14:paraId="2B2E12D0" w14:textId="77777777" w:rsidR="00910814" w:rsidRPr="00A1145E" w:rsidRDefault="00910814" w:rsidP="00910814">
      <w:pPr>
        <w:pStyle w:val="1"/>
      </w:pPr>
      <w:r w:rsidRPr="00A1145E">
        <w:t>1.</w:t>
      </w:r>
      <w:r w:rsidRPr="00A1145E">
        <w:tab/>
        <w:t>Deer admitted into the state subject to any condition, quarantine or restriction may be seized by the department and placed in quarantine on order of the commissioner, at the owner’s expense, for any violation of any condition, quarantine or restriction.</w:t>
      </w:r>
    </w:p>
    <w:p w14:paraId="21946C7D" w14:textId="77777777" w:rsidR="00910814" w:rsidRPr="00A1145E" w:rsidRDefault="00910814" w:rsidP="00910814">
      <w:pPr>
        <w:pStyle w:val="1"/>
      </w:pPr>
      <w:r w:rsidRPr="00A1145E">
        <w:t>2.</w:t>
      </w:r>
      <w:r w:rsidRPr="00A1145E">
        <w:tab/>
        <w:t>The commissioner, on behalf of the board, may take any legal action necessary to obtain a court order to dispose of or destroy any such deer seized by the department.</w:t>
      </w:r>
    </w:p>
    <w:p w14:paraId="5612B05B" w14:textId="77777777" w:rsidR="00910814" w:rsidRPr="00A1145E" w:rsidRDefault="00910814" w:rsidP="00910814">
      <w:pPr>
        <w:pStyle w:val="AuthorityNote"/>
      </w:pPr>
      <w:r w:rsidRPr="00A1145E">
        <w:t>AUTHORITY NOTE:</w:t>
      </w:r>
      <w:r w:rsidRPr="00A1145E">
        <w:tab/>
        <w:t>Promulgated in accordance with R.S. 3:3101.</w:t>
      </w:r>
    </w:p>
    <w:p w14:paraId="26046EB3"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24:1675 (September 1998), amended by the Department of Agriculture and Forestry, Board of Animal</w:t>
      </w:r>
      <w:r>
        <w:t xml:space="preserve"> Health, LR 38:961 (April 2012), </w:t>
      </w:r>
      <w:r w:rsidRPr="00715D10">
        <w:t>amended by the Department of Agriculture and Forestry, Office of the Commissioner, LR 39:</w:t>
      </w:r>
      <w:r>
        <w:t>3247 (December 2013)</w:t>
      </w:r>
      <w:r w:rsidRPr="00A1145E">
        <w:t xml:space="preserve">, repromulgated by the Department of Agriculture and Forestry, </w:t>
      </w:r>
      <w:r>
        <w:t>Office of Animal Health and Food Safety and the Board of Animal Health,</w:t>
      </w:r>
      <w:r w:rsidRPr="00A1145E">
        <w:t xml:space="preserve"> LR </w:t>
      </w:r>
      <w:r>
        <w:t>40:975 (May 2014), amended LR 42:1866 (November 2016).</w:t>
      </w:r>
    </w:p>
    <w:p w14:paraId="13178220" w14:textId="77777777" w:rsidR="00910814" w:rsidRPr="00A1145E" w:rsidRDefault="00910814" w:rsidP="00910814">
      <w:pPr>
        <w:pStyle w:val="Section"/>
      </w:pPr>
      <w:bookmarkStart w:id="2265" w:name="_Toc256754764"/>
      <w:bookmarkStart w:id="2266" w:name="_Toc375025549"/>
      <w:bookmarkStart w:id="2267" w:name="_Toc224819162"/>
      <w:r>
        <w:t>§1719.</w:t>
      </w:r>
      <w:r>
        <w:tab/>
      </w:r>
      <w:r w:rsidRPr="00A1145E">
        <w:t>Harvesting or Killing of Farm-Raised Alternative Livestock</w:t>
      </w:r>
      <w:bookmarkEnd w:id="2265"/>
      <w:bookmarkEnd w:id="2266"/>
      <w:r>
        <w:br/>
        <w:t>(</w:t>
      </w:r>
      <w:r w:rsidRPr="00A1145E">
        <w:t>Formerly §1517</w:t>
      </w:r>
      <w:r>
        <w:t>)</w:t>
      </w:r>
      <w:bookmarkEnd w:id="2267"/>
    </w:p>
    <w:p w14:paraId="07E7C8D7" w14:textId="77777777" w:rsidR="00910814" w:rsidRPr="00A1145E" w:rsidRDefault="00910814" w:rsidP="00910814">
      <w:pPr>
        <w:pStyle w:val="A"/>
      </w:pPr>
      <w:r w:rsidRPr="00A1145E">
        <w:t>A.</w:t>
      </w:r>
      <w:r w:rsidRPr="00A1145E">
        <w:tab/>
        <w:t>Farm-raised white-tailed deer shall be harvested by killing only from one-half hour before sunrise to one-half hour after sunset during the period of October 1 through January 31 of the following year, as established by the Louisiana Wildlife and Fisheries Commission. Licensees may also harvest at will at any other time from one-half hour before sunrise to one-half hour after sunset upon 48 hours notice to and written approval of the department. Upon receipt of any such notice the department shall, no later than 24 hours before the harvest, notify LDWF.</w:t>
      </w:r>
    </w:p>
    <w:p w14:paraId="621090F5" w14:textId="77777777" w:rsidR="00910814" w:rsidRPr="00A1145E" w:rsidRDefault="00910814" w:rsidP="00910814">
      <w:pPr>
        <w:pStyle w:val="A"/>
      </w:pPr>
      <w:r w:rsidRPr="00A1145E">
        <w:t>B.</w:t>
      </w:r>
      <w:r w:rsidRPr="00A1145E">
        <w:tab/>
        <w:t>Except for farm-raised white-tailed deer, farm-raised alternative livestock may be harvested or killed at any time from one-half hour before sunrise to one-half hour after sunset unless the commissioner provides otherwise in accordance with the provisions of §1719.C.</w:t>
      </w:r>
    </w:p>
    <w:p w14:paraId="3095F154" w14:textId="77777777" w:rsidR="00910814" w:rsidRPr="0087283E" w:rsidRDefault="00910814" w:rsidP="00910814">
      <w:pPr>
        <w:pStyle w:val="A"/>
      </w:pPr>
      <w:r w:rsidRPr="0087283E">
        <w:t>C.</w:t>
      </w:r>
      <w:r w:rsidRPr="0087283E">
        <w:tab/>
        <w:t xml:space="preserve">The commissioner may establish, by written order, other dates and conditions for the harvesting or killing of farm-raised alternative livestock as the commissioner deems necessary to carry out the purposes of part I of chapter 19-A of title 3 of the </w:t>
      </w:r>
      <w:r w:rsidRPr="0087283E">
        <w:rPr>
          <w:i/>
        </w:rPr>
        <w:t>Revised Statutes</w:t>
      </w:r>
      <w:r w:rsidRPr="0087283E">
        <w:t xml:space="preserve">. Such orders shall be issued by the commissioner in January of each year or as soon thereafter as is practical and published in the January issue of the </w:t>
      </w:r>
      <w:r w:rsidRPr="0087283E">
        <w:rPr>
          <w:i/>
          <w:iCs/>
        </w:rPr>
        <w:t>Louisiana Register</w:t>
      </w:r>
      <w:r w:rsidRPr="0087283E">
        <w:t xml:space="preserve"> or in the first available issue after any such order is issued.</w:t>
      </w:r>
    </w:p>
    <w:p w14:paraId="0357F3B1" w14:textId="77777777" w:rsidR="00910814" w:rsidRPr="0087283E" w:rsidRDefault="00910814" w:rsidP="00910814">
      <w:pPr>
        <w:pStyle w:val="A"/>
      </w:pPr>
      <w:r w:rsidRPr="0087283E">
        <w:t>D. Except as provided by §1709.C.3 of these regulations, any farm-raised alternative livestock harvested or killed, shall have a farm-raised tag attached to the left ear or left antler of the carcass at the time of the kill and the tag shall remain with the carcass at all times.</w:t>
      </w:r>
    </w:p>
    <w:p w14:paraId="602C8E69" w14:textId="77777777" w:rsidR="00910814" w:rsidRPr="00A1145E" w:rsidRDefault="00910814" w:rsidP="00910814">
      <w:pPr>
        <w:pStyle w:val="AuthorityNote"/>
      </w:pPr>
      <w:r w:rsidRPr="0087283E">
        <w:t>AUTHORITY NOTE:</w:t>
      </w:r>
      <w:r w:rsidRPr="0087283E">
        <w:tab/>
        <w:t>Promulgated in accordance with R.S. 3:3101.</w:t>
      </w:r>
    </w:p>
    <w:p w14:paraId="28604C6E"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24:1675 (Sept</w:t>
      </w:r>
      <w:r>
        <w: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14:paraId="1160DC39" w14:textId="77777777" w:rsidR="00910814" w:rsidRPr="00A1145E" w:rsidRDefault="00910814" w:rsidP="00910814">
      <w:pPr>
        <w:pStyle w:val="Section"/>
      </w:pPr>
      <w:bookmarkStart w:id="2268" w:name="_Toc256754765"/>
      <w:bookmarkStart w:id="2269" w:name="_Toc375025550"/>
      <w:bookmarkStart w:id="2270" w:name="_Toc224819163"/>
      <w:r>
        <w:t>§1721.</w:t>
      </w:r>
      <w:r>
        <w:tab/>
      </w:r>
      <w:r w:rsidRPr="00A1145E">
        <w:t>Prohibitions</w:t>
      </w:r>
      <w:bookmarkEnd w:id="2268"/>
      <w:bookmarkEnd w:id="2269"/>
      <w:r>
        <w:br/>
        <w:t>(</w:t>
      </w:r>
      <w:r w:rsidRPr="00A1145E">
        <w:t>Formerly §1519</w:t>
      </w:r>
      <w:r>
        <w:t>)</w:t>
      </w:r>
      <w:bookmarkEnd w:id="2270"/>
    </w:p>
    <w:p w14:paraId="4BED3C64" w14:textId="77777777" w:rsidR="00910814" w:rsidRPr="0087283E" w:rsidRDefault="00910814" w:rsidP="00910814">
      <w:pPr>
        <w:pStyle w:val="A"/>
        <w:rPr>
          <w:strike/>
        </w:rPr>
      </w:pPr>
      <w:r w:rsidRPr="0087283E">
        <w:t>A.</w:t>
      </w:r>
      <w:r w:rsidRPr="0087283E">
        <w:tab/>
        <w:t xml:space="preserve">No farm-raised alternative livestock shall be released into the wild. </w:t>
      </w:r>
    </w:p>
    <w:p w14:paraId="67329F51" w14:textId="77777777" w:rsidR="00910814" w:rsidRPr="0087283E" w:rsidRDefault="00910814" w:rsidP="00910814">
      <w:pPr>
        <w:pStyle w:val="A"/>
      </w:pPr>
      <w:r w:rsidRPr="0087283E">
        <w:t>B.</w:t>
      </w:r>
      <w:r w:rsidRPr="0087283E">
        <w:tab/>
        <w:t xml:space="preserve">Farm-raised white-tailed deer meat shall not be bought, sold, traded, or moved in commerce in any way except when </w:t>
      </w:r>
      <w:r w:rsidRPr="0087283E">
        <w:lastRenderedPageBreak/>
        <w:t>taken to state or federally approved slaughter house.</w:t>
      </w:r>
      <w:r>
        <w:t xml:space="preserve"> </w:t>
      </w:r>
      <w:r w:rsidRPr="0087283E">
        <w:t>Whitetail deer antlers and capes may be sold if the farm of origin is not under quarantine by the department.</w:t>
      </w:r>
    </w:p>
    <w:p w14:paraId="1C16E236" w14:textId="77777777" w:rsidR="00910814" w:rsidRPr="0087283E" w:rsidRDefault="00910814" w:rsidP="00910814">
      <w:pPr>
        <w:pStyle w:val="A"/>
      </w:pPr>
      <w:r w:rsidRPr="0087283E">
        <w:t>C.</w:t>
      </w:r>
      <w:r w:rsidRPr="0087283E">
        <w:tab/>
        <w:t>Farm-raised alternative livestock sold for slaughter, the sale of which is prohibited, shall be handled in accordance with state and federal meat inspection laws and regulations.</w:t>
      </w:r>
    </w:p>
    <w:p w14:paraId="34F0E7CB" w14:textId="77777777" w:rsidR="00910814" w:rsidRPr="0087283E" w:rsidRDefault="00910814" w:rsidP="00910814">
      <w:pPr>
        <w:pStyle w:val="A"/>
      </w:pPr>
      <w:r w:rsidRPr="0087283E">
        <w:t>D.</w:t>
      </w:r>
      <w:r w:rsidRPr="0087283E">
        <w:tab/>
        <w:t xml:space="preserve">It is a violation of these regulations to sell, purchase, trade, transport, or otherwise transfer any farm-raised alternative livestock for any purpose other than immediate slaughter at a state or federally approved slaughter facility if such farm-raised alternative livestock originates from a herd which is under quarantine for </w:t>
      </w:r>
      <w:r w:rsidRPr="0087283E">
        <w:rPr>
          <w:i/>
        </w:rPr>
        <w:t>Brucellosis</w:t>
      </w:r>
      <w:r w:rsidRPr="0087283E">
        <w:t xml:space="preserve"> or tuberculosis.</w:t>
      </w:r>
    </w:p>
    <w:p w14:paraId="18F916BD" w14:textId="77777777" w:rsidR="00910814" w:rsidRPr="0087283E" w:rsidRDefault="00910814" w:rsidP="00910814">
      <w:pPr>
        <w:pStyle w:val="A"/>
      </w:pPr>
      <w:r w:rsidRPr="0087283E">
        <w:t>E.</w:t>
      </w:r>
      <w:r w:rsidRPr="0087283E">
        <w:tab/>
        <w:t xml:space="preserve">Failure to comply with any provision of part I of chapter 19-A of title 3 of the </w:t>
      </w:r>
      <w:r w:rsidRPr="0087283E">
        <w:rPr>
          <w:i/>
        </w:rPr>
        <w:t>Revised Statutes</w:t>
      </w:r>
      <w:r w:rsidRPr="0087283E">
        <w:t>, these rules and regulations, the written farm operation plan submitted to and approved by the department and any quarantine is prohibited and each act or omission or each day of a continuing violation shall constitute a separate violation.</w:t>
      </w:r>
    </w:p>
    <w:p w14:paraId="26EA08C9" w14:textId="77777777" w:rsidR="00910814" w:rsidRPr="00A1145E" w:rsidRDefault="00910814" w:rsidP="00910814">
      <w:pPr>
        <w:pStyle w:val="AuthorityNote"/>
      </w:pPr>
      <w:r w:rsidRPr="0087283E">
        <w:t>AUTHORITY NOTE:</w:t>
      </w:r>
      <w:r w:rsidRPr="0087283E">
        <w:tab/>
        <w:t>Promulgated in accordance with R.S. 3:3101.</w:t>
      </w:r>
    </w:p>
    <w:p w14:paraId="7B5FBC5D"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14:paraId="22CA4894" w14:textId="77777777" w:rsidR="00910814" w:rsidRPr="00A1145E" w:rsidRDefault="00910814" w:rsidP="00910814">
      <w:pPr>
        <w:pStyle w:val="Section"/>
      </w:pPr>
      <w:bookmarkStart w:id="2271" w:name="_Toc256754766"/>
      <w:bookmarkStart w:id="2272" w:name="_Toc375025551"/>
      <w:bookmarkStart w:id="2273" w:name="_Toc224819164"/>
      <w:r>
        <w:t>§1723.</w:t>
      </w:r>
      <w:r>
        <w:tab/>
      </w:r>
      <w:r w:rsidRPr="00A1145E">
        <w:t>Enforcement</w:t>
      </w:r>
      <w:bookmarkEnd w:id="2271"/>
      <w:bookmarkEnd w:id="2272"/>
      <w:r>
        <w:br/>
        <w:t>(</w:t>
      </w:r>
      <w:r w:rsidRPr="00A1145E">
        <w:t>Formerly §1521</w:t>
      </w:r>
      <w:r>
        <w:t>)</w:t>
      </w:r>
      <w:bookmarkEnd w:id="2273"/>
    </w:p>
    <w:p w14:paraId="454F14EE" w14:textId="77777777" w:rsidR="00910814" w:rsidRPr="0087283E" w:rsidRDefault="00910814" w:rsidP="00910814">
      <w:pPr>
        <w:pStyle w:val="A"/>
      </w:pPr>
      <w:r w:rsidRPr="0087283E">
        <w:t>A.</w:t>
      </w:r>
      <w:r w:rsidRPr="0087283E">
        <w:tab/>
        <w:t xml:space="preserve">The department's authorized representatives may, at any time, enter and inspect all farms on which farm-raised alternative livestock are located for the purposes of issuing, renewing or reviewing farm-raising licenses and to insure compliance with part I of chapter 19-A of title 3 of the </w:t>
      </w:r>
      <w:r w:rsidRPr="0087283E">
        <w:rPr>
          <w:i/>
        </w:rPr>
        <w:t>Revised Statutes</w:t>
      </w:r>
      <w:r w:rsidRPr="0087283E">
        <w:t>, these rules and regulations, the written farm operation plan submitted to and approved by the department and any quarantine.</w:t>
      </w:r>
    </w:p>
    <w:p w14:paraId="05E2CD06" w14:textId="77777777" w:rsidR="00910814" w:rsidRPr="0087283E" w:rsidRDefault="00910814" w:rsidP="00910814">
      <w:pPr>
        <w:pStyle w:val="A"/>
      </w:pPr>
      <w:r w:rsidRPr="0087283E">
        <w:t>B.</w:t>
      </w:r>
      <w:r w:rsidRPr="0087283E">
        <w:tab/>
        <w:t>Authorized representatives of the department may inspect, during any reasonable hours, any records regarding or relating to any farm-raised alternative livestock.</w:t>
      </w:r>
    </w:p>
    <w:p w14:paraId="68E01B7F" w14:textId="77777777" w:rsidR="00910814" w:rsidRPr="0087283E" w:rsidRDefault="00910814" w:rsidP="00910814">
      <w:pPr>
        <w:pStyle w:val="A"/>
      </w:pPr>
      <w:r w:rsidRPr="0087283E">
        <w:t>C.</w:t>
      </w:r>
      <w:r w:rsidRPr="0087283E">
        <w:tab/>
        <w:t>Farm-raised alternative livestock which escapes from the enclosure system of the farm, if not captured by a licensee within 96 hours of the escape, may be captured or killed by authorized representatives of the department or by</w:t>
      </w:r>
      <w:r w:rsidRPr="0087283E">
        <w:rPr>
          <w:color w:val="FF0000"/>
        </w:rPr>
        <w:t xml:space="preserve"> </w:t>
      </w:r>
      <w:r w:rsidRPr="0087283E">
        <w:t>LDWF or any law enforcement agency by whatever means deemed necessary by that agency.</w:t>
      </w:r>
    </w:p>
    <w:p w14:paraId="788BB971" w14:textId="77777777" w:rsidR="00910814" w:rsidRPr="00A1145E" w:rsidRDefault="00910814" w:rsidP="00910814">
      <w:pPr>
        <w:pStyle w:val="AuthorityNote"/>
      </w:pPr>
      <w:r w:rsidRPr="0087283E">
        <w:t>AUTHORITY NOTE:</w:t>
      </w:r>
      <w:r w:rsidRPr="0087283E">
        <w:tab/>
        <w:t>Promulgated in accordance with R.S. 3:3101.</w:t>
      </w:r>
    </w:p>
    <w:p w14:paraId="235609E1" w14:textId="77777777"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14:paraId="36C5D0E2" w14:textId="77777777" w:rsidR="00910814" w:rsidRPr="00A1145E" w:rsidRDefault="00910814" w:rsidP="00910814">
      <w:pPr>
        <w:pStyle w:val="Section"/>
      </w:pPr>
      <w:bookmarkStart w:id="2274" w:name="_Toc256754767"/>
      <w:bookmarkStart w:id="2275" w:name="_Toc375025552"/>
      <w:bookmarkStart w:id="2276" w:name="_Toc224819165"/>
      <w:r>
        <w:t>§1725.</w:t>
      </w:r>
      <w:r>
        <w:tab/>
      </w:r>
      <w:r w:rsidRPr="00A1145E">
        <w:t>Penalties</w:t>
      </w:r>
      <w:bookmarkEnd w:id="2274"/>
      <w:bookmarkEnd w:id="2275"/>
      <w:r>
        <w:br/>
        <w:t>(</w:t>
      </w:r>
      <w:r w:rsidRPr="00A1145E">
        <w:t>Formerly §1523</w:t>
      </w:r>
      <w:r>
        <w:t>)</w:t>
      </w:r>
      <w:bookmarkEnd w:id="2276"/>
    </w:p>
    <w:p w14:paraId="5DEB4744" w14:textId="77777777" w:rsidR="00910814" w:rsidRPr="00A1145E" w:rsidRDefault="00910814" w:rsidP="00910814">
      <w:pPr>
        <w:pStyle w:val="A"/>
      </w:pPr>
      <w:r w:rsidRPr="00A1145E">
        <w:t>A.</w:t>
      </w:r>
      <w:r w:rsidRPr="00A1145E">
        <w:tab/>
        <w:t xml:space="preserve">The commissioner may suspend or revoke the farm-raising license of any licensee and the harvesting permit issued to any person found guilty of violating </w:t>
      </w:r>
      <w:r>
        <w:t xml:space="preserve">part I of chapter 19-A of title 3 of the </w:t>
      </w:r>
      <w:r w:rsidRPr="00FA7C64">
        <w:rPr>
          <w:i/>
        </w:rPr>
        <w:t>Revised Statutes</w:t>
      </w:r>
      <w:r w:rsidRPr="00A1145E">
        <w:t xml:space="preserve">, those portions of title 56 of the </w:t>
      </w:r>
      <w:r w:rsidRPr="00FA7C64">
        <w:rPr>
          <w:i/>
        </w:rPr>
        <w:t>Revised Statutes</w:t>
      </w:r>
      <w:r w:rsidRPr="00A1145E">
        <w:t xml:space="preserve"> related to wildlife, these rules and regulations, the written farm operation plan submitted to and approved by the department and any quarantine.</w:t>
      </w:r>
    </w:p>
    <w:p w14:paraId="2619DB63" w14:textId="77777777" w:rsidR="00910814" w:rsidRPr="00A1145E" w:rsidRDefault="00910814" w:rsidP="00910814">
      <w:pPr>
        <w:pStyle w:val="A"/>
      </w:pPr>
      <w:r w:rsidRPr="0087283E">
        <w:t>B.</w:t>
      </w:r>
      <w:r w:rsidRPr="0087283E">
        <w:tab/>
        <w:t xml:space="preserve">The commissioner may, in addition to suspending or revoking any farm-raising license, impose upon any person charged with violating any provisions of part I of chapter 19-A of title 3 of the </w:t>
      </w:r>
      <w:r w:rsidRPr="0087283E">
        <w:rPr>
          <w:i/>
        </w:rPr>
        <w:t>Revised Statutes</w:t>
      </w:r>
      <w:r w:rsidRPr="0087283E">
        <w:t>, these rules and regulations, the written farm operation plan submitted to and approved by the department and any quarantine, a fine for up to $100 per violation for each violation such person is found guilty.</w:t>
      </w:r>
    </w:p>
    <w:p w14:paraId="49023D15" w14:textId="77777777" w:rsidR="00910814" w:rsidRPr="00A1145E" w:rsidRDefault="00910814" w:rsidP="00910814">
      <w:pPr>
        <w:pStyle w:val="A"/>
      </w:pPr>
      <w:r w:rsidRPr="00A1145E">
        <w:t>C.</w:t>
      </w:r>
      <w:r w:rsidRPr="00A1145E">
        <w:tab/>
        <w:t>These civil penalties may be assessed only by a ruling of the commissioner based on an adjudicatory hearing held in accordance with the Administrative Procedure Act.</w:t>
      </w:r>
    </w:p>
    <w:p w14:paraId="75EE197B" w14:textId="77777777" w:rsidR="00910814" w:rsidRPr="00A1145E" w:rsidRDefault="00910814" w:rsidP="00910814">
      <w:pPr>
        <w:pStyle w:val="A"/>
      </w:pPr>
      <w:r w:rsidRPr="00A1145E">
        <w:t>D.</w:t>
      </w:r>
      <w:r w:rsidRPr="00A1145E">
        <w:tab/>
        <w:t>Any person or licensee subject to an order or decision made pursuant to these regulations may request and receive an adjudicatory hearing before the department to be held in accordance with the Administrative Procedure Act by making written application for same to the department within 15 days of issuance of such order or decision.</w:t>
      </w:r>
    </w:p>
    <w:p w14:paraId="4A546F21" w14:textId="77777777" w:rsidR="00910814" w:rsidRPr="00A1145E" w:rsidRDefault="00910814" w:rsidP="00910814">
      <w:pPr>
        <w:pStyle w:val="A"/>
      </w:pPr>
      <w:r w:rsidRPr="00A1145E">
        <w:t>E.</w:t>
      </w:r>
      <w:r w:rsidRPr="00A1145E">
        <w:tab/>
        <w:t xml:space="preserve">The commissioner may seek a restraining order, injunctive relief or other relief in a proper court of law to restrain violations of or to compel compliance with </w:t>
      </w:r>
      <w:r>
        <w:t xml:space="preserve">part I of chapter 19-A of title 3 of the </w:t>
      </w:r>
      <w:r w:rsidRPr="00FA7C64">
        <w:rPr>
          <w:i/>
        </w:rPr>
        <w:t>Revised Statutes</w:t>
      </w:r>
      <w:r w:rsidRPr="00A1145E">
        <w:t>, these rules and regulations, the written farm operation plan submitted to and approved by the department or any quarantine or to enforce any order or ruling made by him in an adjudicatory proceedings.</w:t>
      </w:r>
    </w:p>
    <w:p w14:paraId="2438311D" w14:textId="77777777" w:rsidR="00910814" w:rsidRPr="00A1145E" w:rsidRDefault="00910814" w:rsidP="00910814">
      <w:pPr>
        <w:pStyle w:val="AuthorityNote"/>
      </w:pPr>
      <w:r w:rsidRPr="00A1145E">
        <w:t>AUTHORITY NOTE:</w:t>
      </w:r>
      <w:r w:rsidRPr="00A1145E">
        <w:tab/>
        <w:t>Promulgated in accordance with R.S. 3:3101.</w:t>
      </w:r>
    </w:p>
    <w:p w14:paraId="1AC0DD22" w14:textId="77777777" w:rsidR="005A46E7" w:rsidRDefault="00910814" w:rsidP="005A46E7">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40:978 (May 2014), amended LR 42:1867 (November 2016).</w:t>
      </w:r>
    </w:p>
    <w:p w14:paraId="73F032A5" w14:textId="77777777" w:rsidR="00E4630A" w:rsidRDefault="00E4630A" w:rsidP="00E4630A">
      <w:pPr>
        <w:pStyle w:val="Section"/>
      </w:pPr>
      <w:bookmarkStart w:id="2277" w:name="_Toc224819166"/>
      <w:r w:rsidRPr="00796616">
        <w:t>§1727.</w:t>
      </w:r>
      <w:r w:rsidRPr="00796616">
        <w:tab/>
        <w:t>Chronic Wasting Disease; Surveillance Zones</w:t>
      </w:r>
      <w:bookmarkEnd w:id="2277"/>
    </w:p>
    <w:p w14:paraId="60D3E737" w14:textId="77777777" w:rsidR="00E4630A" w:rsidRPr="00796616" w:rsidRDefault="00E4630A" w:rsidP="00E4630A">
      <w:pPr>
        <w:pStyle w:val="A"/>
      </w:pPr>
      <w:r w:rsidRPr="00796616">
        <w:t>A.</w:t>
      </w:r>
      <w:r w:rsidRPr="00796616">
        <w:tab/>
        <w:t>Whenever the commissioner or his designee has been notified that any cervid, whether in an alternative livestock facility or not, has tested positive for CWD anywhere within</w:t>
      </w:r>
      <w:r>
        <w:t xml:space="preserve"> </w:t>
      </w:r>
      <w:r w:rsidRPr="00796616">
        <w:t xml:space="preserve">the state, he may establish a surveillance zone by the following procedures: </w:t>
      </w:r>
    </w:p>
    <w:p w14:paraId="3C5A0BD0" w14:textId="77777777" w:rsidR="00E4630A" w:rsidRPr="00796616" w:rsidRDefault="00E4630A" w:rsidP="00E4630A">
      <w:pPr>
        <w:pStyle w:val="1"/>
      </w:pPr>
      <w:r>
        <w:t>1.</w:t>
      </w:r>
      <w:r>
        <w:tab/>
      </w:r>
      <w:r w:rsidRPr="00796616">
        <w:t xml:space="preserve">by giving notice, in writing, to any and all alternative livestock facilities within the surveillance zone; </w:t>
      </w:r>
    </w:p>
    <w:p w14:paraId="6583F471" w14:textId="77777777" w:rsidR="00E4630A" w:rsidRPr="00796616" w:rsidRDefault="00E4630A" w:rsidP="00E4630A">
      <w:pPr>
        <w:pStyle w:val="1"/>
      </w:pPr>
      <w:r>
        <w:t>2,</w:t>
      </w:r>
      <w:r>
        <w:tab/>
      </w:r>
      <w:r w:rsidRPr="00796616">
        <w:t xml:space="preserve">by publishing notice of the surveillance zone in the </w:t>
      </w:r>
      <w:r w:rsidRPr="00796616">
        <w:rPr>
          <w:i/>
          <w:iCs/>
        </w:rPr>
        <w:t>Louisiana Register</w:t>
      </w:r>
      <w:r w:rsidRPr="00796616">
        <w:t>; and</w:t>
      </w:r>
    </w:p>
    <w:p w14:paraId="124570A4" w14:textId="77777777" w:rsidR="00E4630A" w:rsidRPr="00796616" w:rsidRDefault="00E4630A" w:rsidP="00E4630A">
      <w:pPr>
        <w:pStyle w:val="1"/>
      </w:pPr>
      <w:r w:rsidRPr="00796616">
        <w:t>3.</w:t>
      </w:r>
      <w:r w:rsidRPr="00796616">
        <w:tab/>
        <w:t>by posting notice of the surveillance zone on the LDAF website.</w:t>
      </w:r>
      <w:r>
        <w:t xml:space="preserve"> </w:t>
      </w:r>
    </w:p>
    <w:p w14:paraId="0CFEF20A" w14:textId="77777777" w:rsidR="00E4630A" w:rsidRPr="00796616" w:rsidRDefault="00E4630A" w:rsidP="00E4630A">
      <w:pPr>
        <w:pStyle w:val="A"/>
      </w:pPr>
      <w:r w:rsidRPr="00796616">
        <w:lastRenderedPageBreak/>
        <w:t>B.</w:t>
      </w:r>
      <w:r w:rsidRPr="00796616">
        <w:tab/>
        <w:t xml:space="preserve">Once imposed, a surveillance zone will remain in effect unless and until otherwise cancelled or modified by the commissioner or his designee. </w:t>
      </w:r>
    </w:p>
    <w:p w14:paraId="2B980E6D" w14:textId="77777777" w:rsidR="00E4630A" w:rsidRPr="00796616" w:rsidRDefault="00E4630A" w:rsidP="00E4630A">
      <w:pPr>
        <w:pStyle w:val="A"/>
      </w:pPr>
      <w:r w:rsidRPr="00796616">
        <w:t>C.</w:t>
      </w:r>
      <w:r>
        <w:tab/>
      </w:r>
      <w:r w:rsidRPr="00796616">
        <w:t xml:space="preserve">LDAF shall annually, on or before December 31, publish in the </w:t>
      </w:r>
      <w:r w:rsidRPr="00796616">
        <w:rPr>
          <w:i/>
          <w:iCs/>
        </w:rPr>
        <w:t>Louisiana Register</w:t>
      </w:r>
      <w:r w:rsidRPr="00796616">
        <w:t xml:space="preserve"> a list of all areas of Louisiana which are included in surveillance zones.</w:t>
      </w:r>
    </w:p>
    <w:p w14:paraId="036E2632" w14:textId="77777777" w:rsidR="00E4630A" w:rsidRPr="00796616" w:rsidRDefault="00E4630A" w:rsidP="00E4630A">
      <w:pPr>
        <w:pStyle w:val="A"/>
      </w:pPr>
      <w:r w:rsidRPr="00796616">
        <w:t>D.</w:t>
      </w:r>
      <w:r w:rsidRPr="00796616">
        <w:tab/>
        <w:t xml:space="preserve">The commissioner or his designee may, at his discretion, cancel a surveillance zone or modify an area from a surveillance zone when it is proven to his satisfaction that the area has been mitigated and no longer warrants surveillance zone restrictions, by the following procedures: </w:t>
      </w:r>
    </w:p>
    <w:p w14:paraId="33BC014A" w14:textId="77777777" w:rsidR="00E4630A" w:rsidRPr="00796616" w:rsidRDefault="00E4630A" w:rsidP="00E4630A">
      <w:pPr>
        <w:pStyle w:val="1"/>
      </w:pPr>
      <w:r w:rsidRPr="00796616">
        <w:t>1.</w:t>
      </w:r>
      <w:r w:rsidRPr="00796616">
        <w:tab/>
        <w:t xml:space="preserve">by giving notice, in writing, to any and all alternative livestock facilities within the surveillance zone; </w:t>
      </w:r>
    </w:p>
    <w:p w14:paraId="4E8A4567" w14:textId="77777777" w:rsidR="00E4630A" w:rsidRPr="00796616" w:rsidRDefault="00E4630A" w:rsidP="00E4630A">
      <w:pPr>
        <w:pStyle w:val="1"/>
      </w:pPr>
      <w:r w:rsidRPr="00796616">
        <w:t>2.</w:t>
      </w:r>
      <w:r w:rsidRPr="00796616">
        <w:tab/>
        <w:t xml:space="preserve">by publishing notice of the surveillance zone in the </w:t>
      </w:r>
      <w:r w:rsidRPr="00796616">
        <w:rPr>
          <w:i/>
          <w:iCs/>
        </w:rPr>
        <w:t>Louisiana Register</w:t>
      </w:r>
      <w:r w:rsidRPr="00796616">
        <w:t>; and</w:t>
      </w:r>
    </w:p>
    <w:p w14:paraId="2995723C" w14:textId="77777777" w:rsidR="00E4630A" w:rsidRPr="00796616" w:rsidRDefault="00E4630A" w:rsidP="00E4630A">
      <w:pPr>
        <w:pStyle w:val="1"/>
      </w:pPr>
      <w:r w:rsidRPr="00796616">
        <w:t>3.</w:t>
      </w:r>
      <w:r w:rsidRPr="00796616">
        <w:tab/>
        <w:t>by posting notice of the surveillance zone on the LDAF website.</w:t>
      </w:r>
      <w:r>
        <w:t xml:space="preserve"> </w:t>
      </w:r>
    </w:p>
    <w:p w14:paraId="654C3E43" w14:textId="77777777" w:rsidR="00E4630A" w:rsidRPr="00796616" w:rsidRDefault="00E4630A" w:rsidP="00E4630A">
      <w:pPr>
        <w:pStyle w:val="A"/>
      </w:pPr>
      <w:r w:rsidRPr="00796616">
        <w:t>E.</w:t>
      </w:r>
      <w:r w:rsidRPr="00796616">
        <w:tab/>
        <w:t xml:space="preserve">Surveillance zones in this state include: </w:t>
      </w:r>
    </w:p>
    <w:p w14:paraId="38FD81B5" w14:textId="77777777" w:rsidR="00E4630A" w:rsidRDefault="00E4630A" w:rsidP="00E4630A">
      <w:pPr>
        <w:pStyle w:val="1"/>
      </w:pPr>
      <w:r w:rsidRPr="00796616">
        <w:t>1.</w:t>
      </w:r>
      <w:r w:rsidRPr="00796616">
        <w:tab/>
        <w:t>an area consisting of a 25-mile radius from the positive animal.</w:t>
      </w:r>
    </w:p>
    <w:p w14:paraId="7065CFC6" w14:textId="77777777" w:rsidR="00E4630A" w:rsidRPr="00796616" w:rsidRDefault="00E4630A" w:rsidP="00E4630A">
      <w:pPr>
        <w:pStyle w:val="AuthorityNote"/>
      </w:pPr>
      <w:r w:rsidRPr="00796616">
        <w:t>AUTHORITY NOTE:</w:t>
      </w:r>
      <w:r w:rsidRPr="00796616">
        <w:tab/>
        <w:t>Promulgated in accordance with R.S. 3:3101.</w:t>
      </w:r>
    </w:p>
    <w:p w14:paraId="0CE0C2AA" w14:textId="77777777" w:rsidR="00E4630A" w:rsidRDefault="00E4630A" w:rsidP="00E4630A">
      <w:pPr>
        <w:pStyle w:val="HistoricalNote"/>
      </w:pPr>
      <w:r w:rsidRPr="00796616">
        <w:t>HISTORICAL NOTE:</w:t>
      </w:r>
      <w:r w:rsidRPr="00796616">
        <w:tab/>
        <w:t>Promulgated by the Department of Agriculture and Forestry, Office of Animal Health and Food Safety, LR 4</w:t>
      </w:r>
      <w:r>
        <w:t>9:234 (February 2023).</w:t>
      </w:r>
    </w:p>
    <w:p w14:paraId="25989E3E" w14:textId="77777777" w:rsidR="00E4630A" w:rsidRDefault="00E4630A" w:rsidP="00E4630A">
      <w:pPr>
        <w:pStyle w:val="Section"/>
      </w:pPr>
      <w:bookmarkStart w:id="2278" w:name="_Toc224819167"/>
      <w:r w:rsidRPr="00796616">
        <w:t>§1729.</w:t>
      </w:r>
      <w:r w:rsidRPr="00796616">
        <w:tab/>
        <w:t>Chronic Wasting Disease; Export of Carc</w:t>
      </w:r>
      <w:r>
        <w:t>asses from a Surveillance Zone</w:t>
      </w:r>
      <w:bookmarkEnd w:id="2278"/>
    </w:p>
    <w:p w14:paraId="6AFB89FC" w14:textId="77777777" w:rsidR="00E4630A" w:rsidRPr="00796616" w:rsidRDefault="00E4630A" w:rsidP="00E4630A">
      <w:pPr>
        <w:pStyle w:val="A"/>
      </w:pPr>
      <w:r w:rsidRPr="00796616">
        <w:t>A.</w:t>
      </w:r>
      <w:r w:rsidRPr="00796616">
        <w:tab/>
        <w:t xml:space="preserve">The export of any cervid carcass or part of a cervid carcass originating from a facility, as defined in this Chapter, located within a surveillance zone, is prohibited, except for: </w:t>
      </w:r>
      <w:bookmarkStart w:id="2279" w:name="_Hlk114126377"/>
    </w:p>
    <w:p w14:paraId="4EE9841A" w14:textId="77777777" w:rsidR="00E4630A" w:rsidRPr="00796616" w:rsidRDefault="00E4630A" w:rsidP="00E4630A">
      <w:pPr>
        <w:pStyle w:val="1"/>
      </w:pPr>
      <w:r w:rsidRPr="00796616">
        <w:t>1.</w:t>
      </w:r>
      <w:r w:rsidRPr="00796616">
        <w:tab/>
        <w:t>meat that has been cut and wrapped;</w:t>
      </w:r>
    </w:p>
    <w:p w14:paraId="6F7DC783" w14:textId="77777777" w:rsidR="00E4630A" w:rsidRPr="00796616" w:rsidRDefault="00E4630A" w:rsidP="00E4630A">
      <w:pPr>
        <w:pStyle w:val="1"/>
      </w:pPr>
      <w:r w:rsidRPr="00796616">
        <w:t>2.</w:t>
      </w:r>
      <w:r w:rsidRPr="00796616">
        <w:tab/>
        <w:t xml:space="preserve">meat that has been boned out; </w:t>
      </w:r>
    </w:p>
    <w:p w14:paraId="475BE646" w14:textId="77777777" w:rsidR="00E4630A" w:rsidRPr="00796616" w:rsidRDefault="00E4630A" w:rsidP="00E4630A">
      <w:pPr>
        <w:pStyle w:val="1"/>
      </w:pPr>
      <w:r w:rsidRPr="00796616">
        <w:t>3.</w:t>
      </w:r>
      <w:r w:rsidRPr="00796616">
        <w:tab/>
        <w:t xml:space="preserve">quarters or other portions of meat with no spinal column or head attached; </w:t>
      </w:r>
    </w:p>
    <w:p w14:paraId="2B9DE4AC" w14:textId="77777777" w:rsidR="00E4630A" w:rsidRPr="00796616" w:rsidRDefault="00E4630A" w:rsidP="00E4630A">
      <w:pPr>
        <w:pStyle w:val="1"/>
      </w:pPr>
      <w:r w:rsidRPr="00796616">
        <w:t>4.</w:t>
      </w:r>
      <w:r w:rsidRPr="00796616">
        <w:tab/>
        <w:t xml:space="preserve">antlers; </w:t>
      </w:r>
    </w:p>
    <w:p w14:paraId="635A5AC5" w14:textId="77777777" w:rsidR="00E4630A" w:rsidRPr="00796616" w:rsidRDefault="00E4630A" w:rsidP="00E4630A">
      <w:pPr>
        <w:pStyle w:val="1"/>
      </w:pPr>
      <w:r w:rsidRPr="00796616">
        <w:t>5.</w:t>
      </w:r>
      <w:r w:rsidRPr="00796616">
        <w:tab/>
        <w:t xml:space="preserve">cleaned skull plates with antlers; </w:t>
      </w:r>
    </w:p>
    <w:p w14:paraId="1C5931ED" w14:textId="77777777" w:rsidR="00E4630A" w:rsidRPr="00796616" w:rsidRDefault="00E4630A" w:rsidP="00E4630A">
      <w:pPr>
        <w:pStyle w:val="1"/>
      </w:pPr>
      <w:r w:rsidRPr="00796616">
        <w:t>6.</w:t>
      </w:r>
      <w:r w:rsidRPr="00796616">
        <w:tab/>
        <w:t xml:space="preserve">cleaned skulls without tissue attached; </w:t>
      </w:r>
    </w:p>
    <w:p w14:paraId="24DD1C54" w14:textId="77777777" w:rsidR="00E4630A" w:rsidRPr="00796616" w:rsidRDefault="00E4630A" w:rsidP="00E4630A">
      <w:pPr>
        <w:pStyle w:val="1"/>
      </w:pPr>
      <w:r w:rsidRPr="00796616">
        <w:t>7.</w:t>
      </w:r>
      <w:r w:rsidRPr="00796616">
        <w:tab/>
        <w:t xml:space="preserve">capes; </w:t>
      </w:r>
    </w:p>
    <w:p w14:paraId="51948414" w14:textId="77777777" w:rsidR="00E4630A" w:rsidRPr="00796616" w:rsidRDefault="00E4630A" w:rsidP="00E4630A">
      <w:pPr>
        <w:pStyle w:val="1"/>
      </w:pPr>
      <w:r w:rsidRPr="00796616">
        <w:t>8.</w:t>
      </w:r>
      <w:r w:rsidRPr="00796616">
        <w:tab/>
        <w:t xml:space="preserve">tanned hides; </w:t>
      </w:r>
    </w:p>
    <w:p w14:paraId="499BCAA2" w14:textId="77777777" w:rsidR="00E4630A" w:rsidRPr="00796616" w:rsidRDefault="00E4630A" w:rsidP="00E4630A">
      <w:pPr>
        <w:pStyle w:val="1"/>
      </w:pPr>
      <w:r w:rsidRPr="00796616">
        <w:t>9.</w:t>
      </w:r>
      <w:r w:rsidRPr="00796616">
        <w:tab/>
        <w:t xml:space="preserve">finished taxidermy mounts; and </w:t>
      </w:r>
    </w:p>
    <w:p w14:paraId="78B97ABF" w14:textId="77777777" w:rsidR="00E4630A" w:rsidRDefault="00E4630A" w:rsidP="00E4630A">
      <w:pPr>
        <w:pStyle w:val="1"/>
        <w:rPr>
          <w:bCs/>
        </w:rPr>
      </w:pPr>
      <w:r w:rsidRPr="00796616">
        <w:t>10.</w:t>
      </w:r>
      <w:r w:rsidRPr="00796616">
        <w:tab/>
        <w:t>cleaned cervid teeth.</w:t>
      </w:r>
      <w:bookmarkEnd w:id="2279"/>
    </w:p>
    <w:p w14:paraId="7EA6DFAD" w14:textId="77777777" w:rsidR="00E4630A" w:rsidRPr="00796616" w:rsidRDefault="00E4630A" w:rsidP="00E4630A">
      <w:pPr>
        <w:pStyle w:val="AuthorityNote"/>
      </w:pPr>
      <w:r w:rsidRPr="00796616">
        <w:t>AUTHORITY NOTE:</w:t>
      </w:r>
      <w:r w:rsidRPr="00796616">
        <w:tab/>
        <w:t>Promulgated in accordance with R.S. 3:3101.</w:t>
      </w:r>
    </w:p>
    <w:p w14:paraId="62DFFE6F" w14:textId="77777777" w:rsidR="00E4630A"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49:235 (February 2023).</w:t>
      </w:r>
    </w:p>
    <w:p w14:paraId="40C426C4" w14:textId="77777777" w:rsidR="00182D22" w:rsidRPr="004C0BBE" w:rsidRDefault="00182D22" w:rsidP="00182D22">
      <w:pPr>
        <w:pStyle w:val="Section"/>
        <w:rPr>
          <w:rFonts w:eastAsia="Aptos"/>
        </w:rPr>
      </w:pPr>
      <w:bookmarkStart w:id="2280" w:name="_Toc224819168"/>
      <w:r w:rsidRPr="004C0BBE">
        <w:rPr>
          <w:rFonts w:eastAsia="Aptos"/>
        </w:rPr>
        <w:t>§1730.</w:t>
      </w:r>
      <w:r w:rsidRPr="004C0BBE">
        <w:rPr>
          <w:rFonts w:eastAsia="Aptos"/>
        </w:rPr>
        <w:tab/>
        <w:t>Chronic Wasting Disease; Transport of Deer Heads from Quarantined Facility within Louisiana for Taxidermy Purposes.</w:t>
      </w:r>
      <w:bookmarkEnd w:id="2280"/>
      <w:r w:rsidRPr="004C0BBE">
        <w:rPr>
          <w:rFonts w:eastAsia="Aptos"/>
        </w:rPr>
        <w:t xml:space="preserve"> </w:t>
      </w:r>
    </w:p>
    <w:p w14:paraId="4010113C" w14:textId="77777777" w:rsidR="00182D22" w:rsidRPr="004C0BBE" w:rsidRDefault="00182D22" w:rsidP="00182D22">
      <w:pPr>
        <w:pStyle w:val="A"/>
        <w:rPr>
          <w:rFonts w:eastAsia="Aptos"/>
        </w:rPr>
      </w:pPr>
      <w:r w:rsidRPr="004C0BBE">
        <w:rPr>
          <w:rFonts w:eastAsia="Aptos"/>
        </w:rPr>
        <w:t>A.</w:t>
      </w:r>
      <w:r w:rsidRPr="004C0BBE">
        <w:rPr>
          <w:rFonts w:eastAsia="Aptos"/>
        </w:rPr>
        <w:tab/>
        <w:t xml:space="preserve">Except as otherwise indicated herein, the transport of intact deer heads from within a LDAF-designated CWD Quarantined Facility to areas outside of the CWD Quarantined Facility is prohibited and shall be subject to enforcement action as set forth in this Chapter, including but not limited to seizure of deer parts. </w:t>
      </w:r>
    </w:p>
    <w:p w14:paraId="4371F114" w14:textId="77777777" w:rsidR="00182D22" w:rsidRPr="004C0BBE" w:rsidRDefault="00182D22" w:rsidP="00182D22">
      <w:pPr>
        <w:pStyle w:val="A"/>
        <w:rPr>
          <w:rFonts w:eastAsia="Aptos"/>
        </w:rPr>
      </w:pPr>
      <w:r w:rsidRPr="004C0BBE">
        <w:rPr>
          <w:rFonts w:eastAsia="Aptos"/>
        </w:rPr>
        <w:t>B.</w:t>
      </w:r>
      <w:r w:rsidRPr="004C0BBE">
        <w:rPr>
          <w:rFonts w:eastAsia="Aptos"/>
        </w:rPr>
        <w:tab/>
        <w:t xml:space="preserve">Intact deer heads from within a LDAF-designated CWD Quarantined Facility may be transported to taxidermists within Louisiana for taxidermy purposes outside of the CWD Quarantined Facility only if: </w:t>
      </w:r>
    </w:p>
    <w:p w14:paraId="053A74A5" w14:textId="77777777" w:rsidR="00182D22" w:rsidRPr="004C0BBE" w:rsidRDefault="00182D22" w:rsidP="00182D22">
      <w:pPr>
        <w:pStyle w:val="1"/>
        <w:rPr>
          <w:rFonts w:eastAsia="Aptos"/>
        </w:rPr>
      </w:pPr>
      <w:r w:rsidRPr="004C0BBE">
        <w:rPr>
          <w:rFonts w:eastAsia="Aptos"/>
        </w:rPr>
        <w:t>1.</w:t>
      </w:r>
      <w:r w:rsidRPr="004C0BBE">
        <w:rPr>
          <w:rFonts w:eastAsia="Aptos"/>
        </w:rPr>
        <w:tab/>
        <w:t xml:space="preserve">a permit is first obtained from LDAF, specifically authorizing the transport of that particular intact deer head from the Quarantined Facility to a specified Louisiana taxidermist or taxidermy business; </w:t>
      </w:r>
    </w:p>
    <w:p w14:paraId="2E999265" w14:textId="77777777" w:rsidR="00182D22" w:rsidRPr="004C0BBE" w:rsidRDefault="00182D22" w:rsidP="00182D22">
      <w:pPr>
        <w:pStyle w:val="1"/>
        <w:rPr>
          <w:rFonts w:eastAsia="Aptos"/>
        </w:rPr>
      </w:pPr>
      <w:r w:rsidRPr="004C0BBE">
        <w:rPr>
          <w:rFonts w:eastAsia="Aptos"/>
        </w:rPr>
        <w:t>2.</w:t>
      </w:r>
      <w:r w:rsidRPr="004C0BBE">
        <w:rPr>
          <w:rFonts w:eastAsia="Aptos"/>
        </w:rPr>
        <w:tab/>
        <w:t>the permit is obtained prior to transport of the intact deer head; and</w:t>
      </w:r>
    </w:p>
    <w:p w14:paraId="5491E5DC" w14:textId="77777777" w:rsidR="00182D22" w:rsidRPr="004C0BBE" w:rsidRDefault="00182D22" w:rsidP="00182D22">
      <w:pPr>
        <w:pStyle w:val="1"/>
        <w:rPr>
          <w:rFonts w:eastAsia="Aptos"/>
        </w:rPr>
      </w:pPr>
      <w:r w:rsidRPr="004C0BBE">
        <w:rPr>
          <w:rFonts w:eastAsia="Aptos"/>
        </w:rPr>
        <w:t>3.</w:t>
      </w:r>
      <w:r w:rsidRPr="004C0BBE">
        <w:rPr>
          <w:rFonts w:eastAsia="Aptos"/>
        </w:rPr>
        <w:tab/>
        <w:t xml:space="preserve">the intact deer head must be delivered to the taxidermist or taxidermy business within 72 hours of the issuance of the permit. </w:t>
      </w:r>
    </w:p>
    <w:p w14:paraId="7C2C1976" w14:textId="77777777" w:rsidR="00182D22" w:rsidRPr="004C0BBE" w:rsidRDefault="00182D22" w:rsidP="00182D22">
      <w:pPr>
        <w:pStyle w:val="AuthorityNote"/>
      </w:pPr>
      <w:r w:rsidRPr="004C0BBE">
        <w:t>AUTHORITY NOTE:</w:t>
      </w:r>
      <w:r w:rsidRPr="004C0BBE">
        <w:tab/>
        <w:t>Promulgated in accordance with R.S. 3:3101.</w:t>
      </w:r>
    </w:p>
    <w:p w14:paraId="42D9BD53" w14:textId="77777777" w:rsidR="00182D22" w:rsidRPr="004C0BBE" w:rsidRDefault="00182D22" w:rsidP="00182D22">
      <w:pPr>
        <w:pStyle w:val="HistoricalNote"/>
      </w:pPr>
      <w:r w:rsidRPr="004C0BBE">
        <w:t>HISTORICAL NOTE:</w:t>
      </w:r>
      <w:r w:rsidRPr="004C0BBE">
        <w:tab/>
        <w:t xml:space="preserve">Promulgated by the Department of Agriculture and Forestry, Office of Animal Health and Food Safety </w:t>
      </w:r>
      <w:r>
        <w:t>LR 51:1820 (November 2025).</w:t>
      </w:r>
      <w:r w:rsidRPr="004C0BBE">
        <w:t xml:space="preserve"> </w:t>
      </w:r>
    </w:p>
    <w:p w14:paraId="4630DBA4" w14:textId="77777777" w:rsidR="00E4630A" w:rsidRPr="00796616" w:rsidRDefault="00E4630A" w:rsidP="00E4630A">
      <w:pPr>
        <w:pStyle w:val="Section"/>
      </w:pPr>
      <w:bookmarkStart w:id="2281" w:name="_Toc224819169"/>
      <w:r w:rsidRPr="00796616">
        <w:t>§1731.</w:t>
      </w:r>
      <w:r w:rsidRPr="00796616">
        <w:tab/>
        <w:t>Chronic Wasting Disease; Transport o</w:t>
      </w:r>
      <w:r>
        <w:t>f Cervids in Surveillance Zone</w:t>
      </w:r>
      <w:bookmarkEnd w:id="2281"/>
    </w:p>
    <w:p w14:paraId="5B66EAF5" w14:textId="77777777" w:rsidR="00E4630A" w:rsidRPr="00796616" w:rsidRDefault="00E4630A" w:rsidP="00E4630A">
      <w:pPr>
        <w:pStyle w:val="A"/>
      </w:pPr>
      <w:r w:rsidRPr="00796616">
        <w:t>A</w:t>
      </w:r>
      <w:r w:rsidRPr="00796616">
        <w:rPr>
          <w:bCs/>
        </w:rPr>
        <w:t>.</w:t>
      </w:r>
      <w:r w:rsidRPr="00796616">
        <w:rPr>
          <w:bCs/>
        </w:rPr>
        <w:tab/>
      </w:r>
      <w:r w:rsidRPr="00796616">
        <w:t>The transport of alternative livestock into, out of, and within an LDAF-designated surveillance zone is prohibited, except as indicated in this Chapter.</w:t>
      </w:r>
    </w:p>
    <w:p w14:paraId="1650A4AE" w14:textId="77777777" w:rsidR="00E4630A" w:rsidRPr="00796616" w:rsidRDefault="00E4630A" w:rsidP="00E4630A">
      <w:pPr>
        <w:pStyle w:val="A"/>
      </w:pPr>
      <w:r w:rsidRPr="00796616">
        <w:t>B.</w:t>
      </w:r>
      <w:r w:rsidRPr="00796616">
        <w:tab/>
        <w:t>Alternative livestock may be transported into, out of, and within an LDAF-designated surveillance zone only with</w:t>
      </w:r>
      <w:r>
        <w:t xml:space="preserve"> </w:t>
      </w:r>
      <w:r w:rsidRPr="00796616">
        <w:t xml:space="preserve">prior authorization of LDAF in the form of an LDAF-issued permit. </w:t>
      </w:r>
    </w:p>
    <w:p w14:paraId="2ECA5B5D" w14:textId="77777777" w:rsidR="00E4630A" w:rsidRPr="00796616" w:rsidRDefault="00E4630A" w:rsidP="00E4630A">
      <w:pPr>
        <w:pStyle w:val="A"/>
      </w:pPr>
      <w:r w:rsidRPr="00796616">
        <w:t>C.</w:t>
      </w:r>
      <w:r w:rsidRPr="00796616">
        <w:tab/>
        <w:t>Permits to transport into, out of, or within an LDAF-designated surveillance zone may be obtained by contacting the Office of Animal Health.</w:t>
      </w:r>
    </w:p>
    <w:p w14:paraId="241FC273" w14:textId="77777777" w:rsidR="00E4630A" w:rsidRDefault="00E4630A" w:rsidP="00E4630A">
      <w:pPr>
        <w:pStyle w:val="A"/>
      </w:pPr>
      <w:r w:rsidRPr="00796616">
        <w:t>D.</w:t>
      </w:r>
      <w:r w:rsidRPr="00796616">
        <w:tab/>
        <w:t xml:space="preserve">Failure to obtain a permit prior to transporting alternative livestock to or from a facility located within an LDAF-designated surveillance zone shall constitute a violation of this Chapter. </w:t>
      </w:r>
    </w:p>
    <w:p w14:paraId="71736A13" w14:textId="77777777" w:rsidR="00E4630A" w:rsidRPr="00796616" w:rsidRDefault="00E4630A" w:rsidP="00E4630A">
      <w:pPr>
        <w:pStyle w:val="AuthorityNote"/>
      </w:pPr>
      <w:r w:rsidRPr="00796616">
        <w:t>AUTHORITY NOTE:</w:t>
      </w:r>
      <w:r w:rsidRPr="00796616">
        <w:tab/>
        <w:t>Promulgated in accordance with R.S. 3:3101.</w:t>
      </w:r>
    </w:p>
    <w:p w14:paraId="73B952DC" w14:textId="77777777" w:rsidR="00E4630A" w:rsidRDefault="00E4630A" w:rsidP="00E4630A">
      <w:pPr>
        <w:pStyle w:val="HistoricalNote"/>
      </w:pPr>
      <w:r w:rsidRPr="00796616">
        <w:t>HISTORICAL NOTE:</w:t>
      </w:r>
      <w:r w:rsidRPr="00796616">
        <w:tab/>
        <w:t xml:space="preserve">Promulgated by the Department of Agriculture and Forestry, Office of Animal Health and Food Safety, </w:t>
      </w:r>
      <w:r>
        <w:t>LR 49:235 (February 2023).</w:t>
      </w:r>
    </w:p>
    <w:p w14:paraId="27ACBAC8" w14:textId="77777777" w:rsidR="00E4630A" w:rsidRDefault="00E4630A" w:rsidP="00E4630A">
      <w:pPr>
        <w:pStyle w:val="Section"/>
      </w:pPr>
      <w:bookmarkStart w:id="2282" w:name="_Toc224819170"/>
      <w:r w:rsidRPr="00796616">
        <w:t>§1733.</w:t>
      </w:r>
      <w:r w:rsidRPr="00796616">
        <w:tab/>
        <w:t>Chronic Wasting Disease; Certified Herds; N</w:t>
      </w:r>
      <w:r>
        <w:t>on-Certified/Non-Enrolled Herds</w:t>
      </w:r>
      <w:bookmarkEnd w:id="2282"/>
    </w:p>
    <w:p w14:paraId="2886640C" w14:textId="77777777" w:rsidR="00E4630A" w:rsidRPr="00796616" w:rsidRDefault="00E4630A" w:rsidP="00E4630A">
      <w:pPr>
        <w:pStyle w:val="A"/>
      </w:pPr>
      <w:r w:rsidRPr="00796616">
        <w:t>A.</w:t>
      </w:r>
      <w:r w:rsidRPr="00796616">
        <w:tab/>
        <w:t>Alternative livestock facilities who have voluntarily enrolled in the USDA/APHIS Herd Certification Program may transport cervids into, out of, and within the surveillance zone subject to the following requirements</w:t>
      </w:r>
      <w:r>
        <w:t>.</w:t>
      </w:r>
      <w:r w:rsidRPr="00796616">
        <w:t xml:space="preserve"> </w:t>
      </w:r>
    </w:p>
    <w:p w14:paraId="46B8EE96" w14:textId="77777777" w:rsidR="00E4630A" w:rsidRPr="00796616" w:rsidRDefault="00E4630A" w:rsidP="00E4630A">
      <w:pPr>
        <w:pStyle w:val="1"/>
      </w:pPr>
      <w:r w:rsidRPr="00796616">
        <w:lastRenderedPageBreak/>
        <w:t>1.</w:t>
      </w:r>
      <w:r w:rsidRPr="00796616">
        <w:tab/>
        <w:t xml:space="preserve">Certified Herds who have been in good standing with the USDA/APHIS CWD Program for a period of at least 60 months may transport cervids into, out of and within the surveillance zone only upon the prior issuance of an LDAF-issued movement permit. </w:t>
      </w:r>
    </w:p>
    <w:p w14:paraId="3FA5BC3F" w14:textId="77777777" w:rsidR="00E4630A" w:rsidRPr="00796616" w:rsidRDefault="00E4630A" w:rsidP="00E4630A">
      <w:pPr>
        <w:pStyle w:val="1"/>
      </w:pPr>
      <w:r w:rsidRPr="00796616">
        <w:t>2.</w:t>
      </w:r>
      <w:r w:rsidRPr="00796616">
        <w:tab/>
        <w:t>Enrolled Herds who have been in good standing with the USDA/APHIS CWD Program for a period of at least 24 months may transport cervids into, out of, and within the surveillance zone only:</w:t>
      </w:r>
    </w:p>
    <w:p w14:paraId="543388DD" w14:textId="77777777" w:rsidR="00E4630A" w:rsidRPr="00796616" w:rsidRDefault="00E4630A" w:rsidP="00E4630A">
      <w:pPr>
        <w:pStyle w:val="a0"/>
      </w:pPr>
      <w:r w:rsidRPr="00796616">
        <w:t>a.</w:t>
      </w:r>
      <w:r w:rsidRPr="00796616">
        <w:tab/>
        <w:t xml:space="preserve">upon the prior issuance of an LDAF-issued transport permit; and </w:t>
      </w:r>
    </w:p>
    <w:p w14:paraId="5816672B" w14:textId="77777777" w:rsidR="00E4630A" w:rsidRPr="00796616" w:rsidRDefault="00E4630A" w:rsidP="00E4630A">
      <w:pPr>
        <w:pStyle w:val="a0"/>
      </w:pPr>
      <w:r w:rsidRPr="00796616">
        <w:t>b.</w:t>
      </w:r>
      <w:r w:rsidRPr="00796616">
        <w:tab/>
        <w:t>in accordance with same guidelines and procedures set forth in Appendix II</w:t>
      </w:r>
      <w:r>
        <w:t>,</w:t>
      </w:r>
      <w:r w:rsidRPr="00796616">
        <w:t xml:space="preserve"> USDA-APHIS CWD Program Standards (May 2019). </w:t>
      </w:r>
    </w:p>
    <w:p w14:paraId="6E80B123" w14:textId="77777777" w:rsidR="00E4630A" w:rsidRPr="00796616" w:rsidRDefault="00E4630A" w:rsidP="00E4630A">
      <w:pPr>
        <w:pStyle w:val="A"/>
      </w:pPr>
      <w:r w:rsidRPr="00796616">
        <w:t>B.</w:t>
      </w:r>
      <w:r w:rsidRPr="00796616">
        <w:tab/>
        <w:t>Alternative livestock facilities located within a surveillance zone shall stock any new herds with cervids from a USDA/APHIS-certified herd and shall first obtain a license from LDAF to do so.</w:t>
      </w:r>
    </w:p>
    <w:p w14:paraId="5A1887B8" w14:textId="77777777" w:rsidR="00E4630A" w:rsidRDefault="00E4630A" w:rsidP="00E4630A">
      <w:pPr>
        <w:pStyle w:val="A"/>
      </w:pPr>
      <w:r w:rsidRPr="00796616">
        <w:t>C.</w:t>
      </w:r>
      <w:r w:rsidRPr="00796616">
        <w:tab/>
        <w:t>Movement is prohibited in non-enrolled herds.</w:t>
      </w:r>
    </w:p>
    <w:p w14:paraId="7A1B8F5B" w14:textId="77777777" w:rsidR="00E4630A" w:rsidRPr="00796616" w:rsidRDefault="00E4630A" w:rsidP="00E4630A">
      <w:pPr>
        <w:pStyle w:val="AuthorityNote"/>
      </w:pPr>
      <w:r w:rsidRPr="00796616">
        <w:t>AUTHORITY NOTE:</w:t>
      </w:r>
      <w:r w:rsidRPr="00796616">
        <w:tab/>
        <w:t>Promulgated in accordance with R.S. 3:3101.</w:t>
      </w:r>
    </w:p>
    <w:p w14:paraId="0E579D62" w14:textId="77777777" w:rsidR="00E4630A"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49:235 (February 2023).</w:t>
      </w:r>
    </w:p>
    <w:p w14:paraId="523D6DE0" w14:textId="77777777" w:rsidR="00E4630A" w:rsidRPr="00796616" w:rsidRDefault="00E4630A" w:rsidP="00E4630A">
      <w:pPr>
        <w:pStyle w:val="Section"/>
      </w:pPr>
      <w:bookmarkStart w:id="2283" w:name="_Toc224819171"/>
      <w:r w:rsidRPr="00796616">
        <w:t>§1735.</w:t>
      </w:r>
      <w:r w:rsidRPr="00796616">
        <w:tab/>
        <w:t>Chronic Wasting Disease: Permits and Licenses</w:t>
      </w:r>
      <w:bookmarkEnd w:id="2283"/>
    </w:p>
    <w:p w14:paraId="19AD09D6" w14:textId="77777777" w:rsidR="00E4630A" w:rsidRPr="00796616" w:rsidRDefault="00E4630A" w:rsidP="00E4630A">
      <w:pPr>
        <w:pStyle w:val="A"/>
      </w:pPr>
      <w:r w:rsidRPr="00796616">
        <w:t>A.</w:t>
      </w:r>
      <w:r w:rsidRPr="00796616">
        <w:tab/>
        <w:t>Permits to transport alternative livestock within an LDAF-designated surveillance zone, and licenses to establish new herds, may be obtained by application to the Office of Animal Health.</w:t>
      </w:r>
    </w:p>
    <w:p w14:paraId="1E5F19F5" w14:textId="77777777" w:rsidR="00E4630A" w:rsidRPr="00796616" w:rsidRDefault="00E4630A" w:rsidP="00E4630A">
      <w:pPr>
        <w:pStyle w:val="A"/>
      </w:pPr>
      <w:r w:rsidRPr="00796616">
        <w:t>B.</w:t>
      </w:r>
      <w:r w:rsidRPr="00796616">
        <w:tab/>
        <w:t xml:space="preserve">Permits to transport and/or permits to establish new herds may be cancelled by the commissioner or his designee whenever, in his sole judgment, such cancellation is necessary to prevent the spread of CWD. </w:t>
      </w:r>
    </w:p>
    <w:p w14:paraId="41737CDB" w14:textId="77777777" w:rsidR="00E4630A" w:rsidRDefault="00E4630A" w:rsidP="00E4630A">
      <w:pPr>
        <w:pStyle w:val="A"/>
      </w:pPr>
      <w:r w:rsidRPr="00796616">
        <w:t>C.</w:t>
      </w:r>
      <w:r w:rsidRPr="00796616">
        <w:tab/>
        <w:t>Permits to transport shall specify the origin, destination, proposed date(s) of transport, and individual official identification for each animal being transported.</w:t>
      </w:r>
      <w:r>
        <w:t xml:space="preserve"> </w:t>
      </w:r>
    </w:p>
    <w:p w14:paraId="0689C7E3" w14:textId="77777777" w:rsidR="00E4630A" w:rsidRPr="00796616" w:rsidRDefault="00E4630A" w:rsidP="00E4630A">
      <w:pPr>
        <w:pStyle w:val="AuthorityNote"/>
      </w:pPr>
      <w:r w:rsidRPr="00796616">
        <w:t>AUTHORITY NOTE:</w:t>
      </w:r>
      <w:r w:rsidRPr="00796616">
        <w:tab/>
        <w:t>Promulgated in accordance with R.S. 3:3101.</w:t>
      </w:r>
    </w:p>
    <w:p w14:paraId="6EC5F946" w14:textId="77777777" w:rsidR="00E4630A" w:rsidRDefault="00E4630A" w:rsidP="00E4630A">
      <w:pPr>
        <w:pStyle w:val="HistoricalNote"/>
      </w:pPr>
      <w:r w:rsidRPr="00796616">
        <w:t>HISTORICAL NOTE:</w:t>
      </w:r>
      <w:r w:rsidRPr="00796616">
        <w:tab/>
        <w:t xml:space="preserve">Promulgated by the Department of Agriculture and Forestry, Office of Animal Health and Food Safety, </w:t>
      </w:r>
      <w:r>
        <w:t>LR 49:235 (February 2023).</w:t>
      </w:r>
    </w:p>
    <w:p w14:paraId="3BF8D9E8" w14:textId="77777777" w:rsidR="00E4630A" w:rsidRPr="00796616" w:rsidRDefault="00E4630A" w:rsidP="00E4630A">
      <w:pPr>
        <w:pStyle w:val="Section"/>
      </w:pPr>
      <w:bookmarkStart w:id="2284" w:name="_Toc224819172"/>
      <w:r w:rsidRPr="00796616">
        <w:t>§1737.</w:t>
      </w:r>
      <w:r w:rsidRPr="00796616">
        <w:tab/>
        <w:t>Chron</w:t>
      </w:r>
      <w:r>
        <w:t>ic Wasting Disease; Enforcement</w:t>
      </w:r>
      <w:bookmarkEnd w:id="2284"/>
    </w:p>
    <w:p w14:paraId="54CC6D46" w14:textId="77777777" w:rsidR="00E4630A" w:rsidRPr="00796616" w:rsidRDefault="00E4630A" w:rsidP="00E4630A">
      <w:pPr>
        <w:pStyle w:val="A"/>
      </w:pPr>
      <w:r w:rsidRPr="00796616">
        <w:t>A.</w:t>
      </w:r>
      <w:r w:rsidRPr="00796616">
        <w:tab/>
        <w:t xml:space="preserve">Any person violating the provisions of R.S. 3:3101 et seq. or this Chapter shall be subject to enforcement action </w:t>
      </w:r>
    </w:p>
    <w:p w14:paraId="41890805" w14:textId="77777777" w:rsidR="00E4630A" w:rsidRPr="00796616" w:rsidRDefault="00E4630A" w:rsidP="00E4630A">
      <w:pPr>
        <w:pStyle w:val="A"/>
      </w:pPr>
      <w:r w:rsidRPr="00796616">
        <w:t>B.</w:t>
      </w:r>
      <w:r w:rsidRPr="00796616">
        <w:tab/>
        <w:t xml:space="preserve">The commissioner may suspend or revoke any license issued under the provisions of R.S. 3:3108 and this Chapter. The commissioner may also assess a civil penalty for violation of any provision of R.S. 3:1461 et seq., or any violation of any regulation enacted under the authority of said statutes. </w:t>
      </w:r>
    </w:p>
    <w:p w14:paraId="41058FBE" w14:textId="77777777" w:rsidR="00E4630A" w:rsidRPr="00796616" w:rsidRDefault="00E4630A" w:rsidP="00E4630A">
      <w:pPr>
        <w:pStyle w:val="A"/>
      </w:pPr>
      <w:r w:rsidRPr="00796616">
        <w:t>C.</w:t>
      </w:r>
      <w:r w:rsidRPr="00796616">
        <w:tab/>
        <w:t xml:space="preserve">Whenever the commissioner has reason to believe that any person has violated any provision of the R.S. 3:3101 et seq., or this Chapter, the commissioner shall notify the person </w:t>
      </w:r>
      <w:r w:rsidRPr="00796616">
        <w:t xml:space="preserve">of the alleged violation as well as an opportunity to respond thereto, by certified mail, prior to any scheduled hearing date. </w:t>
      </w:r>
    </w:p>
    <w:p w14:paraId="0D684365" w14:textId="77777777" w:rsidR="00E4630A" w:rsidRPr="00796616" w:rsidRDefault="00E4630A" w:rsidP="00E4630A">
      <w:pPr>
        <w:pStyle w:val="A"/>
      </w:pPr>
      <w:r w:rsidRPr="00796616">
        <w:t>D.</w:t>
      </w:r>
      <w:r w:rsidRPr="00796616">
        <w:tab/>
        <w:t xml:space="preserve">Each separate day on which any violation occurs shall be considered a separate violation. </w:t>
      </w:r>
    </w:p>
    <w:p w14:paraId="73EE2539" w14:textId="77777777" w:rsidR="00E4630A" w:rsidRPr="00796616" w:rsidRDefault="00E4630A" w:rsidP="00E4630A">
      <w:pPr>
        <w:pStyle w:val="A"/>
      </w:pPr>
      <w:r w:rsidRPr="00796616">
        <w:t>E.</w:t>
      </w:r>
      <w:r w:rsidRPr="00796616">
        <w:tab/>
        <w:t>No penalty may be assessed, nor may any license be suspended or revoked by the commissioner, prior to the holding of an adjudicatory hearing before a hearing officer. Such adjudicatory hearing shall be conducted in accordance with the requirements of the Administrative Procedure Act; any person alleged to have violated any provision of R.S. 3:3101 et seq., or this Chapter shall be accorded all rights and privileges under said Act.</w:t>
      </w:r>
    </w:p>
    <w:p w14:paraId="1216EA01" w14:textId="77777777" w:rsidR="00E4630A" w:rsidRPr="00796616" w:rsidRDefault="00E4630A" w:rsidP="00E4630A">
      <w:pPr>
        <w:pStyle w:val="A"/>
      </w:pPr>
      <w:r w:rsidRPr="00796616">
        <w:t>F.</w:t>
      </w:r>
      <w:r w:rsidRPr="00796616">
        <w:tab/>
        <w:t xml:space="preserve">The hearing officer shall make an initial determination on alleged violations and recommend findings of fact and conclusions of law together with penalties, if applicable, in writing. </w:t>
      </w:r>
    </w:p>
    <w:p w14:paraId="141BEA3A" w14:textId="77777777" w:rsidR="00E4630A" w:rsidRPr="00796616" w:rsidRDefault="00E4630A" w:rsidP="00E4630A">
      <w:pPr>
        <w:pStyle w:val="A"/>
      </w:pPr>
      <w:r w:rsidRPr="00796616">
        <w:t>G.</w:t>
      </w:r>
      <w:r>
        <w:tab/>
      </w:r>
      <w:r w:rsidRPr="00796616">
        <w:t>The commissioner shall make the final determination on the disposition of alleged violations.</w:t>
      </w:r>
    </w:p>
    <w:p w14:paraId="0DF57FF3" w14:textId="77777777" w:rsidR="00E4630A" w:rsidRDefault="00E4630A" w:rsidP="00E4630A">
      <w:pPr>
        <w:pStyle w:val="A"/>
      </w:pPr>
      <w:r w:rsidRPr="00796616">
        <w:t>H.</w:t>
      </w:r>
      <w:r w:rsidRPr="00796616">
        <w:tab/>
        <w:t>Reinstatement of a revoked license shall be by a formal hearing before a hearing officer held pursuant to the Administrative Procedure Act and shall require the approval of the commissioner.</w:t>
      </w:r>
    </w:p>
    <w:p w14:paraId="1E3A4EB1" w14:textId="77777777" w:rsidR="00E4630A" w:rsidRPr="00796616" w:rsidRDefault="00E4630A" w:rsidP="00E4630A">
      <w:pPr>
        <w:pStyle w:val="AuthorityNote"/>
      </w:pPr>
      <w:r w:rsidRPr="00796616">
        <w:t>AUTHORITY NOTE:</w:t>
      </w:r>
      <w:r w:rsidRPr="00796616">
        <w:tab/>
        <w:t>Promulgated in accordance with R.S. 3:3101.</w:t>
      </w:r>
    </w:p>
    <w:p w14:paraId="3DE9A5BB" w14:textId="77777777" w:rsidR="00E4630A" w:rsidRPr="00A1145E"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49:236 (February 2023).</w:t>
      </w:r>
    </w:p>
    <w:p w14:paraId="4787D112" w14:textId="77777777" w:rsidR="00687985" w:rsidRDefault="005A46E7" w:rsidP="00687985">
      <w:pPr>
        <w:pStyle w:val="Chapter"/>
      </w:pPr>
      <w:bookmarkStart w:id="2285" w:name="_Toc224819173"/>
      <w:r w:rsidRPr="00A1145E">
        <w:t>Chapter 19.</w:t>
      </w:r>
      <w:r w:rsidRPr="00A1145E">
        <w:tab/>
        <w:t>Turtles</w:t>
      </w:r>
      <w:bookmarkStart w:id="2286" w:name="_Toc256754774"/>
      <w:bookmarkStart w:id="2287" w:name="_Toc375025559"/>
      <w:bookmarkEnd w:id="2285"/>
    </w:p>
    <w:p w14:paraId="406C8D16" w14:textId="77777777" w:rsidR="005A46E7" w:rsidRDefault="00687985" w:rsidP="00687985">
      <w:pPr>
        <w:pStyle w:val="Section"/>
      </w:pPr>
      <w:bookmarkStart w:id="2288" w:name="_Toc224819174"/>
      <w:r>
        <w:t>§</w:t>
      </w:r>
      <w:r w:rsidR="005A46E7" w:rsidRPr="00A1145E">
        <w:t>1901.</w:t>
      </w:r>
      <w:r w:rsidR="005A46E7" w:rsidRPr="00A1145E">
        <w:tab/>
        <w:t>Definitions</w:t>
      </w:r>
      <w:bookmarkEnd w:id="2286"/>
      <w:bookmarkEnd w:id="2287"/>
      <w:bookmarkEnd w:id="2288"/>
    </w:p>
    <w:p w14:paraId="1F6D4DE6" w14:textId="77777777" w:rsidR="00687985" w:rsidRPr="00D33F99" w:rsidRDefault="00687985" w:rsidP="00687985">
      <w:pPr>
        <w:pStyle w:val="A"/>
      </w:pPr>
      <w:r w:rsidRPr="00D33F99">
        <w:t>A.</w:t>
      </w:r>
      <w:r w:rsidRPr="00D33F99">
        <w:tab/>
      </w:r>
      <w:r w:rsidR="00827678" w:rsidRPr="00D33F99">
        <w:t>In addition to the definitions listed below, the definitions in R.S. 3:2358.3 shall apply to these regulations.</w:t>
      </w:r>
    </w:p>
    <w:p w14:paraId="3F524047" w14:textId="77777777" w:rsidR="00687985" w:rsidRDefault="00687985" w:rsidP="00687985">
      <w:pPr>
        <w:pStyle w:val="1"/>
      </w:pPr>
      <w:r w:rsidRPr="00D33F99">
        <w:rPr>
          <w:i/>
          <w:iCs/>
        </w:rPr>
        <w:t>Agent</w:t>
      </w:r>
      <w:r w:rsidRPr="00D33F99">
        <w:t>―</w:t>
      </w:r>
      <w:r w:rsidR="00827678" w:rsidRPr="00D33F99">
        <w:t>an authorized representative of the Department of Agriculture and Forestry.</w:t>
      </w:r>
    </w:p>
    <w:p w14:paraId="5178C7D2" w14:textId="77777777" w:rsidR="00827678" w:rsidRPr="00827678" w:rsidRDefault="00827678" w:rsidP="00827678">
      <w:pPr>
        <w:pStyle w:val="1"/>
        <w:rPr>
          <w:strike/>
        </w:rPr>
      </w:pPr>
      <w:r w:rsidRPr="00827678">
        <w:rPr>
          <w:i/>
        </w:rPr>
        <w:t>Certified Laboratory</w:t>
      </w:r>
      <w:r w:rsidRPr="00827678">
        <w:t>―a laboratory which has a current certification or accreditation by the Federal Food and Drug Administration or other national certifying or accrediting agency to perform microbiological or residue testing of organic or inorganic samples and has a microbiologist on staff, and has been approved by the Department of Agriculture and Forestry.</w:t>
      </w:r>
    </w:p>
    <w:p w14:paraId="2196AFF0" w14:textId="77777777" w:rsidR="00827678" w:rsidRPr="00827678" w:rsidRDefault="00827678" w:rsidP="00827678">
      <w:pPr>
        <w:pStyle w:val="1"/>
      </w:pPr>
      <w:r w:rsidRPr="00827678">
        <w:rPr>
          <w:i/>
          <w:iCs/>
        </w:rPr>
        <w:t>Certified Turtle Farmer</w:t>
      </w:r>
      <w:r w:rsidRPr="00827678">
        <w:t>―a Louisiana individual, partnership, corporation or entity engaged in the breeding, hatching, propagating, raising, growing, receiving, shipping, transporting, exporting, distribution or sale of farm raised turtles and which have been licensed by the Department of Agriculture and Forestry.</w:t>
      </w:r>
    </w:p>
    <w:p w14:paraId="2CE84C33" w14:textId="77777777" w:rsidR="00827678" w:rsidRPr="00827678" w:rsidRDefault="00827678" w:rsidP="00827678">
      <w:pPr>
        <w:pStyle w:val="1"/>
      </w:pPr>
      <w:r w:rsidRPr="00827678">
        <w:rPr>
          <w:i/>
        </w:rPr>
        <w:t>Chain of Custody Form</w:t>
      </w:r>
      <w:r w:rsidRPr="00827678">
        <w:t>―a document approved by the department which verifies species, destination, origin, and turtle lot and which is used for transporting turtles within the state of Louisiana only.</w:t>
      </w:r>
    </w:p>
    <w:p w14:paraId="66C01B57" w14:textId="77777777" w:rsidR="00687985" w:rsidRDefault="00827678" w:rsidP="00827678">
      <w:pPr>
        <w:pStyle w:val="1"/>
      </w:pPr>
      <w:r w:rsidRPr="00827678">
        <w:rPr>
          <w:i/>
          <w:iCs/>
          <w:kern w:val="0"/>
        </w:rPr>
        <w:t>Department</w:t>
      </w:r>
      <w:r w:rsidRPr="00827678">
        <w:rPr>
          <w:kern w:val="0"/>
        </w:rPr>
        <w:t>―the Department of Agriculture and Forestry.</w:t>
      </w:r>
    </w:p>
    <w:p w14:paraId="72E5B823" w14:textId="77777777" w:rsidR="00687985" w:rsidRDefault="00687985" w:rsidP="00687985">
      <w:pPr>
        <w:pStyle w:val="1"/>
      </w:pPr>
      <w:r w:rsidRPr="00D33F99">
        <w:rPr>
          <w:i/>
        </w:rPr>
        <w:lastRenderedPageBreak/>
        <w:t>Exporter</w:t>
      </w:r>
      <w:r w:rsidRPr="00D33F99">
        <w:rPr>
          <w:iCs/>
        </w:rPr>
        <w:t>―</w:t>
      </w:r>
      <w:r w:rsidRPr="00D33F99">
        <w:t>a person who is licensed by the U.S. Fish and Wildlife Service to engage in the business of exporting groups of turtles or groups of turtle eggs.</w:t>
      </w:r>
    </w:p>
    <w:p w14:paraId="71D60741" w14:textId="77777777" w:rsidR="00827678" w:rsidRPr="00827678" w:rsidRDefault="00827678" w:rsidP="00827678">
      <w:pPr>
        <w:pStyle w:val="1"/>
      </w:pPr>
      <w:r w:rsidRPr="00827678">
        <w:rPr>
          <w:i/>
        </w:rPr>
        <w:t>Exporter</w:t>
      </w:r>
      <w:r w:rsidRPr="00827678">
        <w:rPr>
          <w:iCs/>
        </w:rPr>
        <w:t>―</w:t>
      </w:r>
      <w:r w:rsidRPr="00827678">
        <w:t>a person who is licensed by the U.S. Fish and Wildlife Service to engage in the business of exporting groups of turtles or groups of turtle eggs.</w:t>
      </w:r>
    </w:p>
    <w:p w14:paraId="3AE14239" w14:textId="77777777" w:rsidR="00827678" w:rsidRPr="00827678" w:rsidRDefault="00827678" w:rsidP="00827678">
      <w:pPr>
        <w:pStyle w:val="1"/>
      </w:pPr>
      <w:r w:rsidRPr="00827678">
        <w:rPr>
          <w:i/>
        </w:rPr>
        <w:t>Farm-Raised Turtle</w:t>
      </w:r>
      <w:r w:rsidRPr="00827678">
        <w:t>―any reptile of the order Testudines which is bred, born, raised, or kept, by a licensed turtle farmer within a closed circumscribed pond for the purpose of buying, selling, or trading in commerce.</w:t>
      </w:r>
    </w:p>
    <w:p w14:paraId="6EB6570D" w14:textId="77777777" w:rsidR="00827678" w:rsidRPr="00827678" w:rsidRDefault="00827678" w:rsidP="00827678">
      <w:pPr>
        <w:pStyle w:val="1"/>
      </w:pPr>
      <w:r w:rsidRPr="00827678">
        <w:rPr>
          <w:i/>
        </w:rPr>
        <w:t>Farmer-Exporter</w:t>
      </w:r>
      <w:r w:rsidRPr="00827678">
        <w:t>―a certified turtle farmer that is also licensed by the U.S. Fish and Wildlife Service to engage in the business of exporting groups of turtles or groups of turtle eggs.</w:t>
      </w:r>
    </w:p>
    <w:p w14:paraId="64367F76" w14:textId="77777777" w:rsidR="00687985" w:rsidRDefault="00827678" w:rsidP="00827678">
      <w:pPr>
        <w:pStyle w:val="1"/>
      </w:pPr>
      <w:r w:rsidRPr="00827678">
        <w:rPr>
          <w:i/>
          <w:iCs/>
          <w:kern w:val="0"/>
        </w:rPr>
        <w:t>Health Certificate</w:t>
      </w:r>
      <w:r w:rsidRPr="00827678">
        <w:rPr>
          <w:kern w:val="0"/>
        </w:rPr>
        <w:t xml:space="preserve">―a document which certifies that the turtles or turtle eggs are free of visible signs of infectious, contagious or communicable disease, </w:t>
      </w:r>
      <w:r w:rsidRPr="00827678">
        <w:rPr>
          <w:kern w:val="0"/>
          <w:lang w:eastAsia="x-none"/>
        </w:rPr>
        <w:t>and which is signed by a veterinarian who is licensed in this state, federally accredited and approved by the Department of Agriculture and Forestry</w:t>
      </w:r>
      <w:r w:rsidRPr="00827678">
        <w:rPr>
          <w:kern w:val="0"/>
        </w:rPr>
        <w:t>.</w:t>
      </w:r>
    </w:p>
    <w:p w14:paraId="19C4C7E2" w14:textId="77777777" w:rsidR="00827678" w:rsidRPr="00827678" w:rsidRDefault="00827678" w:rsidP="00827678">
      <w:pPr>
        <w:pStyle w:val="1"/>
      </w:pPr>
      <w:r w:rsidRPr="00827678">
        <w:rPr>
          <w:i/>
        </w:rPr>
        <w:t>Licensed Turtle Farmer</w:t>
      </w:r>
      <w:r w:rsidRPr="00827678">
        <w:t>―a person engaged in the collection, hatching, sale or distribution of farm raised turtles or turtle eggs.</w:t>
      </w:r>
    </w:p>
    <w:p w14:paraId="2D34DFCD" w14:textId="77777777" w:rsidR="00827678" w:rsidRPr="00827678" w:rsidRDefault="00827678" w:rsidP="00827678">
      <w:pPr>
        <w:pStyle w:val="1"/>
      </w:pPr>
      <w:r w:rsidRPr="00827678">
        <w:rPr>
          <w:i/>
        </w:rPr>
        <w:t>Person</w:t>
      </w:r>
      <w:r w:rsidRPr="00827678">
        <w:t xml:space="preserve">―any individual, partnership, association, organization, or corporation engaged in any phase of the farm raised turtle industry. </w:t>
      </w:r>
    </w:p>
    <w:p w14:paraId="607A85E0" w14:textId="77777777" w:rsidR="00827678" w:rsidRPr="00827678" w:rsidRDefault="00827678" w:rsidP="00827678">
      <w:pPr>
        <w:pStyle w:val="1"/>
      </w:pPr>
      <w:r w:rsidRPr="00827678">
        <w:rPr>
          <w:i/>
          <w:iCs/>
        </w:rPr>
        <w:t>Quarantined Area</w:t>
      </w:r>
      <w:r w:rsidRPr="00827678">
        <w:t xml:space="preserve">―any area or premises which has been designated as quarantined by the department due to a finding of contamination with </w:t>
      </w:r>
      <w:r w:rsidRPr="00827678">
        <w:rPr>
          <w:i/>
        </w:rPr>
        <w:t xml:space="preserve">Salmonella spp., </w:t>
      </w:r>
      <w:r w:rsidRPr="00827678">
        <w:t>or other bacteria harmful to other turtles or humans by a Louisiana licensed, accredited veterinarian or agent of the department.</w:t>
      </w:r>
      <w:r w:rsidRPr="00827678">
        <w:rPr>
          <w:color w:val="222222"/>
          <w:shd w:val="clear" w:color="auto" w:fill="FFFFFF"/>
        </w:rPr>
        <w:t xml:space="preserve"> </w:t>
      </w:r>
    </w:p>
    <w:p w14:paraId="576ECA60" w14:textId="77777777" w:rsidR="00827678" w:rsidRPr="00827678" w:rsidRDefault="00827678" w:rsidP="00827678">
      <w:pPr>
        <w:pStyle w:val="1"/>
      </w:pPr>
      <w:r w:rsidRPr="00827678">
        <w:rPr>
          <w:i/>
        </w:rPr>
        <w:t>Turtle Farm</w:t>
      </w:r>
      <w:r w:rsidRPr="00827678">
        <w:t>―any area of land or water used to breed, raise or keep farm-raised turtles.</w:t>
      </w:r>
    </w:p>
    <w:p w14:paraId="5056A336" w14:textId="77777777" w:rsidR="005A46E7" w:rsidRPr="00A1145E" w:rsidRDefault="00827678" w:rsidP="00827678">
      <w:pPr>
        <w:pStyle w:val="1"/>
      </w:pPr>
      <w:r w:rsidRPr="00827678">
        <w:rPr>
          <w:i/>
          <w:iCs/>
          <w:kern w:val="0"/>
        </w:rPr>
        <w:t>Turtle Lot</w:t>
      </w:r>
      <w:r w:rsidRPr="00827678">
        <w:rPr>
          <w:kern w:val="0"/>
        </w:rPr>
        <w:t>―any amount of turtles or eggs up to 20,000 in number, and may be used interchangeably with the term turtle group.</w:t>
      </w:r>
    </w:p>
    <w:p w14:paraId="26C01C65" w14:textId="77777777" w:rsidR="005A46E7" w:rsidRPr="00A1145E" w:rsidRDefault="005A46E7" w:rsidP="005A46E7">
      <w:pPr>
        <w:pStyle w:val="1"/>
      </w:pPr>
      <w:r w:rsidRPr="00A1145E">
        <w:rPr>
          <w:i/>
          <w:iCs/>
        </w:rPr>
        <w:t>Turtles</w:t>
      </w:r>
      <w:r w:rsidRPr="00A1145E">
        <w:t xml:space="preserve">―any animals commonly known as turtles, tortoises, terrapins and all other animals of the order </w:t>
      </w:r>
      <w:r w:rsidRPr="00BF5FB7">
        <w:rPr>
          <w:i/>
        </w:rPr>
        <w:t>Testudinata</w:t>
      </w:r>
      <w:r w:rsidRPr="00A1145E">
        <w:t xml:space="preserve">, class </w:t>
      </w:r>
      <w:r w:rsidRPr="00BF5FB7">
        <w:rPr>
          <w:i/>
        </w:rPr>
        <w:t>Reptilia</w:t>
      </w:r>
      <w:r w:rsidRPr="00A1145E">
        <w:t xml:space="preserve"> except marine species (families </w:t>
      </w:r>
      <w:r w:rsidRPr="00BF5FB7">
        <w:rPr>
          <w:i/>
        </w:rPr>
        <w:t>Dermochelidae</w:t>
      </w:r>
      <w:r w:rsidRPr="00A1145E">
        <w:t xml:space="preserve"> and </w:t>
      </w:r>
      <w:r w:rsidRPr="00BF5FB7">
        <w:rPr>
          <w:i/>
        </w:rPr>
        <w:t>Cheloniidae</w:t>
      </w:r>
      <w:r w:rsidRPr="00A1145E">
        <w:t>).</w:t>
      </w:r>
    </w:p>
    <w:p w14:paraId="330E1700" w14:textId="77777777" w:rsidR="005A46E7" w:rsidRPr="00A1145E" w:rsidRDefault="005A46E7" w:rsidP="005A46E7">
      <w:pPr>
        <w:pStyle w:val="AuthorityNote"/>
      </w:pPr>
      <w:r w:rsidRPr="00A1145E">
        <w:t>AUTHORITY NOTE:</w:t>
      </w:r>
      <w:r w:rsidRPr="00A1145E">
        <w:tab/>
        <w:t>Promulgated in accordance with R.S. 3:2358.2.</w:t>
      </w:r>
    </w:p>
    <w:p w14:paraId="3E951957" w14:textId="77777777" w:rsidR="005A46E7" w:rsidRPr="00A1145E" w:rsidRDefault="005A46E7" w:rsidP="005A46E7">
      <w:pPr>
        <w:pStyle w:val="HistoricalNote"/>
      </w:pPr>
      <w:r w:rsidRPr="00A1145E">
        <w:t>HISTORICAL NOTE:</w:t>
      </w:r>
      <w:r w:rsidRPr="00A1145E">
        <w:tab/>
      </w:r>
      <w:r w:rsidR="000830FF" w:rsidRPr="001531CD">
        <w:t>Promulgated by the Department of Agriculture, Office of Animal Health Services, LR 12:224 (April 1986), amended by the Department of Agriculture and Forestry, Office of Animal Health Services, LR 17:350 (April 1991), amended by the Department of Agriculture and Forestry, Office of the Commissioner, LR 26:1567 (August 2000), amended by the Department of Agriculture and Forestry, Livestock Sanitary Board, LR 31:2210 (September 2005)</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40:978 (May 2014), </w:t>
      </w:r>
      <w:r w:rsidR="00687985" w:rsidRPr="00D33F99">
        <w:t xml:space="preserve">amended by the Department of Agriculture and Forestry, Office of Animal Health </w:t>
      </w:r>
      <w:r w:rsidR="00687985">
        <w:t>and Food Safety, LR 45</w:t>
      </w:r>
      <w:r w:rsidR="00687985" w:rsidRPr="00D33F99">
        <w:t>:</w:t>
      </w:r>
      <w:r w:rsidR="00687985">
        <w:t>31 (January 2019)</w:t>
      </w:r>
      <w:r w:rsidR="00827678" w:rsidRPr="00D33F99">
        <w:t xml:space="preserve">, </w:t>
      </w:r>
      <w:r w:rsidR="00BC4B5A">
        <w:t>repromulgated</w:t>
      </w:r>
      <w:r w:rsidR="00827678" w:rsidRPr="00D33F99">
        <w:t xml:space="preserve"> by the Department of Agriculture and Forestry, Office of Animal Health </w:t>
      </w:r>
      <w:r w:rsidR="00827678">
        <w:t>and Food Safety</w:t>
      </w:r>
      <w:r w:rsidR="00827678" w:rsidRPr="00D33F99">
        <w:t xml:space="preserve">, </w:t>
      </w:r>
      <w:r w:rsidR="00827678">
        <w:t>LR 45:504 (April 2019).</w:t>
      </w:r>
    </w:p>
    <w:p w14:paraId="78F9FD3D" w14:textId="77777777" w:rsidR="00687985" w:rsidRPr="00D33F99" w:rsidRDefault="00687985" w:rsidP="00687985">
      <w:pPr>
        <w:pStyle w:val="Section"/>
      </w:pPr>
      <w:bookmarkStart w:id="2289" w:name="_Toc256754775"/>
      <w:bookmarkStart w:id="2290" w:name="_Toc375025560"/>
      <w:bookmarkStart w:id="2291" w:name="_Toc224819175"/>
      <w:bookmarkStart w:id="2292" w:name="_Toc509393742"/>
      <w:r w:rsidRPr="00D33F99">
        <w:t>§1903.</w:t>
      </w:r>
      <w:r w:rsidRPr="00D33F99">
        <w:tab/>
        <w:t>Requirements for Turtle Farms</w:t>
      </w:r>
      <w:bookmarkEnd w:id="2289"/>
      <w:bookmarkEnd w:id="2290"/>
      <w:bookmarkEnd w:id="2291"/>
      <w:r>
        <w:t xml:space="preserve"> </w:t>
      </w:r>
      <w:bookmarkEnd w:id="2292"/>
    </w:p>
    <w:p w14:paraId="2974F6D0" w14:textId="77777777" w:rsidR="007A6A69" w:rsidRPr="007A6A69" w:rsidRDefault="00687985" w:rsidP="007A6A69">
      <w:pPr>
        <w:pStyle w:val="A"/>
      </w:pPr>
      <w:r w:rsidRPr="00D33F99">
        <w:t>A.</w:t>
      </w:r>
      <w:r w:rsidRPr="00D33F99">
        <w:tab/>
      </w:r>
      <w:r w:rsidR="007A6A69" w:rsidRPr="007A6A69">
        <w:t xml:space="preserve">Each facility which houses farm-raised turtles or turtle eggs for the purpose of buying, selling, or trading in commerce shall contain the following: turtle pond(s), turtle laying area, egg washing area, treatment areas, hatching area, holding or post-hatching area, and inventory storage. </w:t>
      </w:r>
    </w:p>
    <w:p w14:paraId="072D418A" w14:textId="77777777" w:rsidR="007A6A69" w:rsidRPr="007A6A69" w:rsidRDefault="007A6A69" w:rsidP="007A6A69">
      <w:pPr>
        <w:pStyle w:val="A"/>
      </w:pPr>
      <w:r w:rsidRPr="007A6A69">
        <w:t>B.</w:t>
      </w:r>
      <w:r w:rsidRPr="007A6A69">
        <w:tab/>
        <w:t>Each facility shall possess hot and cold water, hand washing facilities, cooling and ventilation capability, be free of rodents and pests, be properly disinfected, utilize stainless steel or non-porous tables, buckets and baskets, and have access to restroom facilities.</w:t>
      </w:r>
    </w:p>
    <w:p w14:paraId="6E37F28B" w14:textId="77777777" w:rsidR="007A6A69" w:rsidRPr="007A6A69" w:rsidRDefault="007A6A69" w:rsidP="007A6A69">
      <w:pPr>
        <w:pStyle w:val="A"/>
      </w:pPr>
      <w:r w:rsidRPr="007A6A69">
        <w:t>C.</w:t>
      </w:r>
      <w:r w:rsidRPr="007A6A69">
        <w:tab/>
        <w:t>The facility shall be free of debris, trash and offensive odors.</w:t>
      </w:r>
    </w:p>
    <w:p w14:paraId="7360AD2A" w14:textId="77777777" w:rsidR="007A6A69" w:rsidRDefault="007A6A69" w:rsidP="007A6A69">
      <w:pPr>
        <w:pStyle w:val="A"/>
        <w:rPr>
          <w:kern w:val="0"/>
        </w:rPr>
      </w:pPr>
      <w:r w:rsidRPr="007A6A69">
        <w:rPr>
          <w:kern w:val="0"/>
        </w:rPr>
        <w:t>D.</w:t>
      </w:r>
      <w:r w:rsidRPr="007A6A69">
        <w:rPr>
          <w:kern w:val="0"/>
        </w:rPr>
        <w:tab/>
        <w:t>Egg Washing and Treatment Areas of the Facility</w:t>
      </w:r>
    </w:p>
    <w:p w14:paraId="5EE00909" w14:textId="77777777" w:rsidR="007A6A69" w:rsidRPr="007A6A69" w:rsidRDefault="007A6A69" w:rsidP="007A6A69">
      <w:pPr>
        <w:pStyle w:val="1"/>
      </w:pPr>
      <w:r w:rsidRPr="007A6A69">
        <w:t>1.</w:t>
      </w:r>
      <w:r w:rsidRPr="007A6A69">
        <w:tab/>
        <w:t xml:space="preserve">All egg washing and treatment areas shall be lighted and ventilated. </w:t>
      </w:r>
    </w:p>
    <w:p w14:paraId="53C783F2" w14:textId="77777777" w:rsidR="007A6A69" w:rsidRPr="007A6A69" w:rsidRDefault="007A6A69" w:rsidP="007A6A69">
      <w:pPr>
        <w:pStyle w:val="1"/>
      </w:pPr>
      <w:r w:rsidRPr="007A6A69">
        <w:t>2.</w:t>
      </w:r>
      <w:r w:rsidRPr="007A6A69">
        <w:tab/>
        <w:t xml:space="preserve">All floors in the egg washing and treatment areas shall consist of concrete or non-porous covering with drainage sufficient to prevent the accumulation of water. </w:t>
      </w:r>
    </w:p>
    <w:p w14:paraId="281DC769" w14:textId="77777777" w:rsidR="007A6A69" w:rsidRDefault="007A6A69" w:rsidP="007A6A69">
      <w:pPr>
        <w:pStyle w:val="1"/>
        <w:rPr>
          <w:kern w:val="0"/>
        </w:rPr>
      </w:pPr>
      <w:r w:rsidRPr="007A6A69">
        <w:rPr>
          <w:kern w:val="0"/>
        </w:rPr>
        <w:t>3.</w:t>
      </w:r>
      <w:r w:rsidRPr="007A6A69">
        <w:rPr>
          <w:kern w:val="0"/>
        </w:rPr>
        <w:tab/>
        <w:t>All surfaces in the egg washing and treatment areas which come in contact with turtles or turtle eggs shall be non-porous.</w:t>
      </w:r>
    </w:p>
    <w:p w14:paraId="1977E196" w14:textId="77777777" w:rsidR="007A6A69" w:rsidRPr="007A6A69" w:rsidRDefault="007A6A69" w:rsidP="007A6A69">
      <w:pPr>
        <w:pStyle w:val="A"/>
      </w:pPr>
      <w:r w:rsidRPr="007A6A69">
        <w:t>E.</w:t>
      </w:r>
      <w:r w:rsidRPr="007A6A69">
        <w:tab/>
        <w:t>Hatching, Holding, and Post-Hatching Area of the Facility</w:t>
      </w:r>
    </w:p>
    <w:p w14:paraId="2715F430" w14:textId="77777777" w:rsidR="007A6A69" w:rsidRPr="007A6A69" w:rsidRDefault="007A6A69" w:rsidP="007A6A69">
      <w:pPr>
        <w:pStyle w:val="1"/>
      </w:pPr>
      <w:r w:rsidRPr="007A6A69">
        <w:t>1.</w:t>
      </w:r>
      <w:r w:rsidRPr="007A6A69">
        <w:tab/>
        <w:t xml:space="preserve">The hatching, holding, post-hatching area shall be a separate identifiable room in which the temperature can be maintained and controlled. </w:t>
      </w:r>
    </w:p>
    <w:p w14:paraId="10458DDD" w14:textId="77777777" w:rsidR="007A6A69" w:rsidRDefault="007A6A69" w:rsidP="007A6A69">
      <w:pPr>
        <w:pStyle w:val="1"/>
        <w:rPr>
          <w:kern w:val="0"/>
        </w:rPr>
      </w:pPr>
      <w:r w:rsidRPr="007A6A69">
        <w:rPr>
          <w:kern w:val="0"/>
        </w:rPr>
        <w:t>2.</w:t>
      </w:r>
      <w:r w:rsidRPr="007A6A69">
        <w:rPr>
          <w:kern w:val="0"/>
        </w:rPr>
        <w:tab/>
        <w:t>The hatching, holding, post-hatching area shall be large enough to accommodate all designated groups of turtles that have not been sold.</w:t>
      </w:r>
    </w:p>
    <w:p w14:paraId="57600225" w14:textId="77777777" w:rsidR="00687985" w:rsidRPr="00D33F99" w:rsidRDefault="00687985" w:rsidP="007A6A69">
      <w:pPr>
        <w:pStyle w:val="AuthorityNote"/>
      </w:pPr>
      <w:r w:rsidRPr="00D33F99">
        <w:t>AUTHORITY NOTE:</w:t>
      </w:r>
      <w:r w:rsidRPr="00D33F99">
        <w:tab/>
        <w:t>Promulgated in accordance with R.S. 3:2358.2.</w:t>
      </w:r>
    </w:p>
    <w:p w14:paraId="193F1B63" w14:textId="77777777" w:rsidR="005A46E7" w:rsidRPr="00A1145E" w:rsidRDefault="005A46E7" w:rsidP="005A46E7">
      <w:pPr>
        <w:pStyle w:val="HistoricalNote"/>
      </w:pPr>
      <w:r w:rsidRPr="00A1145E">
        <w:t>HISTORICAL NOTE:</w:t>
      </w:r>
      <w:r w:rsidRPr="00A1145E">
        <w:tab/>
      </w:r>
      <w:r w:rsidR="000830FF" w:rsidRPr="001531CD">
        <w:t>Promulgated by the Department of Agriculture and Forestry, Office of the Commissioner, LR 26:1567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40:979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31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45:504 (April 2019).</w:t>
      </w:r>
    </w:p>
    <w:p w14:paraId="250A658E" w14:textId="77777777" w:rsidR="00687985" w:rsidRPr="00D33F99" w:rsidRDefault="00687985" w:rsidP="00687985">
      <w:pPr>
        <w:pStyle w:val="Section"/>
        <w:rPr>
          <w:strike/>
        </w:rPr>
      </w:pPr>
      <w:bookmarkStart w:id="2293" w:name="_Toc224819176"/>
      <w:bookmarkStart w:id="2294" w:name="_Toc256754776"/>
      <w:bookmarkStart w:id="2295" w:name="_Toc375025561"/>
      <w:bookmarkStart w:id="2296" w:name="_Toc509393743"/>
      <w:r w:rsidRPr="00D33F99">
        <w:t>§1905.</w:t>
      </w:r>
      <w:r w:rsidRPr="00D33F99">
        <w:tab/>
        <w:t>Inspections</w:t>
      </w:r>
      <w:bookmarkEnd w:id="2293"/>
      <w:r w:rsidRPr="00D33F99">
        <w:t xml:space="preserve"> </w:t>
      </w:r>
      <w:bookmarkEnd w:id="2294"/>
      <w:bookmarkEnd w:id="2295"/>
      <w:bookmarkEnd w:id="2296"/>
    </w:p>
    <w:p w14:paraId="1AE6C218" w14:textId="77777777" w:rsidR="007A6A69" w:rsidRPr="007A6A69" w:rsidRDefault="007A6A69" w:rsidP="007A6A69">
      <w:pPr>
        <w:pStyle w:val="A"/>
      </w:pPr>
      <w:r w:rsidRPr="007A6A69">
        <w:t>A.</w:t>
      </w:r>
      <w:r w:rsidRPr="007A6A69">
        <w:tab/>
        <w:t>All persons, licensed turtle farmers, turtle farms, farmer-exporters, exporters, and certified turtle farmers</w:t>
      </w:r>
      <w:r w:rsidRPr="007A6A69">
        <w:rPr>
          <w:i/>
          <w:iCs/>
        </w:rPr>
        <w:t xml:space="preserve"> </w:t>
      </w:r>
      <w:r w:rsidRPr="007A6A69">
        <w:t xml:space="preserve">are subject to inspection by agents of the Louisiana Department of Agriculture and Forestry to insure compliance with this Chapter. </w:t>
      </w:r>
    </w:p>
    <w:p w14:paraId="21B0CD77" w14:textId="77777777" w:rsidR="007A6A69" w:rsidRPr="007A6A69" w:rsidRDefault="007A6A69" w:rsidP="007A6A69">
      <w:pPr>
        <w:pStyle w:val="A"/>
      </w:pPr>
      <w:r w:rsidRPr="007A6A69">
        <w:t>B.</w:t>
      </w:r>
      <w:r w:rsidRPr="007A6A69">
        <w:tab/>
        <w:t xml:space="preserve">Inspections may include but are not limited to the following actions. </w:t>
      </w:r>
    </w:p>
    <w:p w14:paraId="16C7114B" w14:textId="77777777" w:rsidR="007A6A69" w:rsidRPr="007A6A69" w:rsidRDefault="007A6A69" w:rsidP="007A6A69">
      <w:pPr>
        <w:pStyle w:val="1"/>
      </w:pPr>
      <w:r w:rsidRPr="007A6A69">
        <w:t>1.</w:t>
      </w:r>
      <w:r w:rsidRPr="007A6A69">
        <w:tab/>
        <w:t xml:space="preserve">An agent may inspect the premises of persons, turtle farms, farmer-exporters, exporters, and certified turtle farmers to insure that no turtles or eggs belonging to different groups are commingled without first receiving the </w:t>
      </w:r>
      <w:r w:rsidRPr="007A6A69">
        <w:lastRenderedPageBreak/>
        <w:t>documentation required by La. R.S. 3:2358.7 and §1919 of this Chapter.</w:t>
      </w:r>
    </w:p>
    <w:p w14:paraId="6DEF3386" w14:textId="77777777" w:rsidR="007A6A69" w:rsidRPr="007A6A69" w:rsidRDefault="007A6A69" w:rsidP="007A6A69">
      <w:pPr>
        <w:pStyle w:val="1"/>
      </w:pPr>
      <w:r w:rsidRPr="007A6A69">
        <w:t>2.</w:t>
      </w:r>
      <w:r w:rsidRPr="007A6A69">
        <w:tab/>
        <w:t>An agent may inspect the premises of persons, turtle farms, farmer-exporters, exporters, and certified turtle farmers</w:t>
      </w:r>
      <w:r w:rsidRPr="007A6A69">
        <w:rPr>
          <w:i/>
          <w:iCs/>
        </w:rPr>
        <w:t xml:space="preserve"> </w:t>
      </w:r>
      <w:r w:rsidRPr="007A6A69">
        <w:t>to insure that each turtle lot is clearly identified and is not improperly commingled with saleable or hatchable eggs of other turtle lots.</w:t>
      </w:r>
    </w:p>
    <w:p w14:paraId="0C988E40" w14:textId="77777777" w:rsidR="007A6A69" w:rsidRPr="007A6A69" w:rsidRDefault="007A6A69" w:rsidP="007A6A69">
      <w:pPr>
        <w:pStyle w:val="1"/>
        <w:rPr>
          <w:lang w:eastAsia="x-none"/>
        </w:rPr>
      </w:pPr>
      <w:r w:rsidRPr="007A6A69">
        <w:rPr>
          <w:lang w:eastAsia="x-none"/>
        </w:rPr>
        <w:t>3.</w:t>
      </w:r>
      <w:r w:rsidRPr="007A6A69">
        <w:rPr>
          <w:lang w:eastAsia="x-none"/>
        </w:rPr>
        <w:tab/>
        <w:t xml:space="preserve">An agent may inspect the records of </w:t>
      </w:r>
      <w:r w:rsidRPr="007A6A69">
        <w:t>persons, turtle farms, farmer-exporters, exporters, and certified turtle farmers</w:t>
      </w:r>
      <w:r w:rsidRPr="007A6A69">
        <w:rPr>
          <w:lang w:eastAsia="x-none"/>
        </w:rPr>
        <w:t xml:space="preserve"> to verify that all documentation required by La. R.S. 3:2358.7 and </w:t>
      </w:r>
      <w:r w:rsidRPr="007A6A69">
        <w:t>§1919 of this Chapter is current</w:t>
      </w:r>
      <w:r w:rsidRPr="007A6A69">
        <w:rPr>
          <w:lang w:eastAsia="x-none"/>
        </w:rPr>
        <w:t>.</w:t>
      </w:r>
    </w:p>
    <w:p w14:paraId="5395D663" w14:textId="77777777" w:rsidR="00687985" w:rsidRPr="00D33F99" w:rsidRDefault="007A6A69" w:rsidP="007A6A69">
      <w:pPr>
        <w:pStyle w:val="1"/>
      </w:pPr>
      <w:r w:rsidRPr="007A6A69">
        <w:rPr>
          <w:kern w:val="0"/>
        </w:rPr>
        <w:t>4.</w:t>
      </w:r>
      <w:r w:rsidRPr="007A6A69">
        <w:rPr>
          <w:kern w:val="0"/>
        </w:rPr>
        <w:tab/>
        <w:t>An agent may take samples of water from ponds, turtles, and turtle eggs which shall be transmitted to a certified laboratory for chemical and microbiological analysis, including, but not limited to pH, antibiotic and pesticide contaminants, and potentially pathogenic bacteria.</w:t>
      </w:r>
    </w:p>
    <w:p w14:paraId="364E6317" w14:textId="77777777" w:rsidR="00687985" w:rsidRPr="00D33F99" w:rsidRDefault="00687985" w:rsidP="00687985">
      <w:pPr>
        <w:pStyle w:val="AuthorityNote"/>
      </w:pPr>
      <w:r w:rsidRPr="00D33F99">
        <w:t>AUTHORITY NOTE:</w:t>
      </w:r>
      <w:r w:rsidRPr="00D33F99">
        <w:tab/>
        <w:t>Promulgated in accordance with R.S. 3:2358.2.</w:t>
      </w:r>
    </w:p>
    <w:p w14:paraId="783C3C00" w14:textId="77777777" w:rsidR="005A46E7" w:rsidRPr="00A1145E" w:rsidRDefault="005A46E7" w:rsidP="005A46E7">
      <w:pPr>
        <w:pStyle w:val="HistoricalNote"/>
      </w:pPr>
      <w:r w:rsidRPr="00A1145E">
        <w:t>HISTORICAL NOTE:</w:t>
      </w:r>
      <w:r w:rsidRPr="00A1145E">
        <w:tab/>
      </w:r>
      <w:r w:rsidR="00041065" w:rsidRPr="001531CD">
        <w:t>Promulgated by the Department of Agriculture, Office of Animal Health Services, LR 12:224 (April 1986), amended by the Department of Agriculture and Forestry, Office of Animal Health Services, LR 17:350 (April 1991), amended by the Department of Agriculture and Forestry, Office of the Commissioner, LR 26:1568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40:979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45:505 (April 2019).</w:t>
      </w:r>
    </w:p>
    <w:p w14:paraId="39D6B340" w14:textId="77777777" w:rsidR="00687985" w:rsidRPr="00D33F99" w:rsidRDefault="00687985" w:rsidP="00687985">
      <w:pPr>
        <w:pStyle w:val="Section"/>
      </w:pPr>
      <w:bookmarkStart w:id="2297" w:name="_Toc256754778"/>
      <w:bookmarkStart w:id="2298" w:name="_Toc375025563"/>
      <w:bookmarkStart w:id="2299" w:name="_Toc509393745"/>
      <w:bookmarkStart w:id="2300" w:name="_Toc224819177"/>
      <w:r w:rsidRPr="00D33F99">
        <w:t>§1909.</w:t>
      </w:r>
      <w:r w:rsidRPr="00D33F99">
        <w:tab/>
      </w:r>
      <w:bookmarkEnd w:id="2297"/>
      <w:bookmarkEnd w:id="2298"/>
      <w:r w:rsidRPr="00D33F99">
        <w:t>Prohibitions</w:t>
      </w:r>
      <w:bookmarkEnd w:id="2299"/>
      <w:bookmarkEnd w:id="2300"/>
    </w:p>
    <w:p w14:paraId="7CA783C6" w14:textId="77777777" w:rsidR="007A6A69" w:rsidRPr="007A6A69" w:rsidRDefault="007A6A69" w:rsidP="007A6A69">
      <w:pPr>
        <w:pStyle w:val="A"/>
      </w:pPr>
      <w:r w:rsidRPr="007A6A69">
        <w:t>A.</w:t>
      </w:r>
      <w:r w:rsidRPr="007A6A69">
        <w:tab/>
        <w:t xml:space="preserve">No person may import turtles or turtle eggs of any species from any other state or foreign country unless they are a certified turtle farmer. </w:t>
      </w:r>
    </w:p>
    <w:p w14:paraId="417747DA" w14:textId="77777777" w:rsidR="007A6A69" w:rsidRPr="007A6A69" w:rsidRDefault="007A6A69" w:rsidP="007A6A69">
      <w:pPr>
        <w:pStyle w:val="A"/>
      </w:pPr>
      <w:r w:rsidRPr="007A6A69">
        <w:t>B.</w:t>
      </w:r>
      <w:r w:rsidRPr="007A6A69">
        <w:tab/>
        <w:t xml:space="preserve">Viable turtle eggs and live turtles with a carapace length of less than four inches shall not be sold or offered for any other type of commercial or public distribution within the state of Louisiana. </w:t>
      </w:r>
    </w:p>
    <w:p w14:paraId="180C5907" w14:textId="77777777" w:rsidR="007A6A69" w:rsidRPr="007A6A69" w:rsidRDefault="007A6A69" w:rsidP="007A6A69">
      <w:pPr>
        <w:pStyle w:val="1"/>
      </w:pPr>
      <w:r w:rsidRPr="007A6A69">
        <w:t>1.</w:t>
      </w:r>
      <w:r w:rsidRPr="007A6A69">
        <w:tab/>
        <w:t>Exceptions:</w:t>
      </w:r>
    </w:p>
    <w:p w14:paraId="2CC02B6C" w14:textId="77777777" w:rsidR="007A6A69" w:rsidRPr="007A6A69" w:rsidRDefault="007A6A69" w:rsidP="007A6A69">
      <w:pPr>
        <w:pStyle w:val="a0"/>
      </w:pPr>
      <w:r w:rsidRPr="007A6A69">
        <w:t>a.</w:t>
      </w:r>
      <w:r w:rsidRPr="007A6A69">
        <w:tab/>
        <w:t>the sale, holding for sale, and distribution of viable turtle eggs and live turtles with a carapace length of less than four inches for bona fide scientific, educational, or exhibitional purposes, other than use as pets;</w:t>
      </w:r>
    </w:p>
    <w:p w14:paraId="634EABD1" w14:textId="77777777" w:rsidR="00687985" w:rsidRPr="00D33F99" w:rsidRDefault="007A6A69" w:rsidP="007A6A69">
      <w:pPr>
        <w:pStyle w:val="a0"/>
      </w:pPr>
      <w:r w:rsidRPr="007A6A69">
        <w:rPr>
          <w:kern w:val="0"/>
        </w:rPr>
        <w:t>b.</w:t>
      </w:r>
      <w:r w:rsidRPr="007A6A69">
        <w:rPr>
          <w:kern w:val="0"/>
        </w:rPr>
        <w:tab/>
        <w:t>the sale and distribution of viable turtle eggs and live turtles with a carapace length of less than four inches to a certified turtle farmer.</w:t>
      </w:r>
    </w:p>
    <w:p w14:paraId="5C226C1B" w14:textId="77777777" w:rsidR="005A46E7" w:rsidRPr="00A1145E" w:rsidRDefault="00687985" w:rsidP="00687985">
      <w:pPr>
        <w:pStyle w:val="AuthorityNote"/>
      </w:pPr>
      <w:r w:rsidRPr="00D33F99">
        <w:t>AUTHORITY NOTE:</w:t>
      </w:r>
      <w:r w:rsidRPr="00D33F99">
        <w:tab/>
        <w:t>Promulgated in accordance with R.S. 3:2358.2 and 3:2358.</w:t>
      </w:r>
    </w:p>
    <w:p w14:paraId="2F9A3954" w14:textId="77777777"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17:351 (April 1991), amended by the Department of Agriculture and Forestry, Office of the Commissioner, LR 26:1569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40:980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w:t>
      </w:r>
      <w:r w:rsidR="007A6A69" w:rsidRPr="00D33F99">
        <w:t xml:space="preserve">Forestry, Office of Animal Health </w:t>
      </w:r>
      <w:r w:rsidR="007A6A69">
        <w:t>and Food Safety</w:t>
      </w:r>
      <w:r w:rsidR="007A6A69" w:rsidRPr="00D33F99">
        <w:t xml:space="preserve">, </w:t>
      </w:r>
      <w:r w:rsidR="007A6A69">
        <w:t>LR 45:505 (April 2019).</w:t>
      </w:r>
    </w:p>
    <w:p w14:paraId="4A96061C" w14:textId="77777777" w:rsidR="00687985" w:rsidRPr="00D33F99" w:rsidRDefault="00687985" w:rsidP="00687985">
      <w:pPr>
        <w:pStyle w:val="Section"/>
      </w:pPr>
      <w:bookmarkStart w:id="2301" w:name="_Toc256754779"/>
      <w:bookmarkStart w:id="2302" w:name="_Toc375025564"/>
      <w:bookmarkStart w:id="2303" w:name="_Toc509393746"/>
      <w:bookmarkStart w:id="2304" w:name="_Toc224819178"/>
      <w:r w:rsidRPr="00D33F99">
        <w:t>§1911.</w:t>
      </w:r>
      <w:r w:rsidRPr="00D33F99">
        <w:tab/>
        <w:t>Identification of Lots of Turtles and Turtle Eggs</w:t>
      </w:r>
      <w:bookmarkEnd w:id="2301"/>
      <w:bookmarkEnd w:id="2302"/>
      <w:bookmarkEnd w:id="2303"/>
      <w:bookmarkEnd w:id="2304"/>
    </w:p>
    <w:p w14:paraId="78753BA8" w14:textId="77777777" w:rsidR="007A6A69" w:rsidRPr="007A6A69" w:rsidRDefault="007A6A69" w:rsidP="007A6A69">
      <w:pPr>
        <w:pStyle w:val="A"/>
      </w:pPr>
      <w:r w:rsidRPr="007A6A69">
        <w:t>A.</w:t>
      </w:r>
      <w:r w:rsidRPr="007A6A69">
        <w:tab/>
        <w:t>All lots of turtles or turtle eggs produced by persons in Louisiana shall be assigned a lot number on a department-approved form.</w:t>
      </w:r>
    </w:p>
    <w:p w14:paraId="447E93EB" w14:textId="77777777" w:rsidR="007A6A69" w:rsidRPr="007A6A69" w:rsidRDefault="007A6A69" w:rsidP="007A6A69">
      <w:pPr>
        <w:pStyle w:val="A"/>
      </w:pPr>
      <w:r w:rsidRPr="007A6A69">
        <w:t>B.</w:t>
      </w:r>
      <w:r w:rsidRPr="007A6A69">
        <w:tab/>
        <w:t>No turtle lot shall exceed 20,000 viable hatchlings or eggs.</w:t>
      </w:r>
    </w:p>
    <w:p w14:paraId="46FD69D3" w14:textId="77777777" w:rsidR="007A6A69" w:rsidRPr="007A6A69" w:rsidRDefault="007A6A69" w:rsidP="007A6A69">
      <w:pPr>
        <w:pStyle w:val="A"/>
      </w:pPr>
      <w:r w:rsidRPr="007A6A69">
        <w:t>C.</w:t>
      </w:r>
      <w:r w:rsidRPr="007A6A69">
        <w:tab/>
        <w:t>All farm-raised turtle eggs shall originate from certified turtle farmers. They shall be identifiable by lot number.</w:t>
      </w:r>
    </w:p>
    <w:p w14:paraId="02D19A20" w14:textId="77777777" w:rsidR="00687985" w:rsidRPr="00D33F99" w:rsidRDefault="007A6A69" w:rsidP="007A6A69">
      <w:pPr>
        <w:pStyle w:val="A"/>
        <w:rPr>
          <w:color w:val="000000"/>
        </w:rPr>
      </w:pPr>
      <w:r w:rsidRPr="007A6A69">
        <w:rPr>
          <w:kern w:val="0"/>
        </w:rPr>
        <w:t>D.</w:t>
      </w:r>
      <w:r w:rsidRPr="007A6A69">
        <w:rPr>
          <w:kern w:val="0"/>
        </w:rPr>
        <w:tab/>
        <w:t>All farm-raised turtles, including but not limited to turtles raised to replenish pond stock and turtles raised to a four- inch carapace length for the pet trade, shall be placed in a designated lot and remain a component of the same lot until they are sold, destroyed or removed from the facility’s premises</w:t>
      </w:r>
      <w:r w:rsidR="00121C4F">
        <w:t>.</w:t>
      </w:r>
    </w:p>
    <w:p w14:paraId="3E126244" w14:textId="77777777" w:rsidR="005A46E7" w:rsidRPr="00A1145E" w:rsidRDefault="00687985" w:rsidP="00687985">
      <w:pPr>
        <w:pStyle w:val="AuthorityNote"/>
      </w:pPr>
      <w:r w:rsidRPr="00D33F99">
        <w:t>AUTHORITY NOTE:</w:t>
      </w:r>
      <w:r w:rsidRPr="00D33F99">
        <w:tab/>
        <w:t>Promulgated in accordance with R.S. 3:2358.2 and 3:2358.7.</w:t>
      </w:r>
    </w:p>
    <w:p w14:paraId="62509DB9" w14:textId="77777777"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17:351 (April 1991), amended by the Department of Agriculture and Forestry, Office of the Commissioner, LR 26:1569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45:505 (April 2019).</w:t>
      </w:r>
    </w:p>
    <w:p w14:paraId="49BFBCF0" w14:textId="77777777" w:rsidR="00687985" w:rsidRPr="00D33F99" w:rsidRDefault="00687985" w:rsidP="00687985">
      <w:pPr>
        <w:pStyle w:val="Section"/>
      </w:pPr>
      <w:bookmarkStart w:id="2305" w:name="_Toc256754780"/>
      <w:bookmarkStart w:id="2306" w:name="_Toc375025565"/>
      <w:bookmarkStart w:id="2307" w:name="_Toc509393747"/>
      <w:bookmarkStart w:id="2308" w:name="_Toc224819179"/>
      <w:r w:rsidRPr="00D33F99">
        <w:t>§1913.</w:t>
      </w:r>
      <w:r w:rsidRPr="00D33F99">
        <w:tab/>
        <w:t>Microbiological Test Procedures</w:t>
      </w:r>
      <w:bookmarkEnd w:id="2305"/>
      <w:bookmarkEnd w:id="2306"/>
      <w:bookmarkEnd w:id="2307"/>
      <w:bookmarkEnd w:id="2308"/>
    </w:p>
    <w:p w14:paraId="5BC03141" w14:textId="77777777" w:rsidR="007A6A69" w:rsidRPr="007A6A69" w:rsidRDefault="007A6A69" w:rsidP="007A6A69">
      <w:pPr>
        <w:pStyle w:val="A"/>
      </w:pPr>
      <w:r w:rsidRPr="007A6A69">
        <w:t>A.</w:t>
      </w:r>
      <w:r w:rsidRPr="007A6A69">
        <w:tab/>
        <w:t xml:space="preserve">Samples of turtles or turtle eggs may be subjected to microbiological examination using approved procedures and techniques based upon procedures </w:t>
      </w:r>
      <w:r w:rsidRPr="007A6A69">
        <w:rPr>
          <w:lang w:eastAsia="x-none"/>
        </w:rPr>
        <w:t xml:space="preserve">used by the certified laboratory. </w:t>
      </w:r>
    </w:p>
    <w:p w14:paraId="772E844B" w14:textId="77777777" w:rsidR="007A6A69" w:rsidRPr="007A6A69" w:rsidRDefault="007A6A69" w:rsidP="007A6A69">
      <w:pPr>
        <w:pStyle w:val="A"/>
      </w:pPr>
      <w:r w:rsidRPr="007A6A69">
        <w:t>B.</w:t>
      </w:r>
      <w:r w:rsidRPr="007A6A69">
        <w:tab/>
        <w:t xml:space="preserve">Turtle lots identified as testing positive for </w:t>
      </w:r>
      <w:r w:rsidRPr="007A6A69">
        <w:rPr>
          <w:i/>
          <w:iCs/>
        </w:rPr>
        <w:t>Salmonella spp.</w:t>
      </w:r>
      <w:r w:rsidRPr="007A6A69">
        <w:t xml:space="preserve"> or any other microorganisms pathogenic to humans, domestic animals or aquatic species shall be reported to the Office of the State Veterinarian and the lot number verified by the Department.</w:t>
      </w:r>
      <w:r w:rsidRPr="007A6A69">
        <w:rPr>
          <w:strike/>
        </w:rPr>
        <w:t xml:space="preserve"> </w:t>
      </w:r>
    </w:p>
    <w:p w14:paraId="4E9630D9" w14:textId="77777777" w:rsidR="00687985" w:rsidRPr="00D33F99" w:rsidRDefault="007A6A69" w:rsidP="007A6A69">
      <w:pPr>
        <w:pStyle w:val="A"/>
        <w:rPr>
          <w:strike/>
        </w:rPr>
      </w:pPr>
      <w:r w:rsidRPr="007A6A69">
        <w:rPr>
          <w:kern w:val="0"/>
        </w:rPr>
        <w:t>C.</w:t>
      </w:r>
      <w:r w:rsidRPr="007A6A69">
        <w:rPr>
          <w:kern w:val="0"/>
        </w:rPr>
        <w:tab/>
        <w:t xml:space="preserve">If any </w:t>
      </w:r>
      <w:r w:rsidRPr="007A6A69">
        <w:rPr>
          <w:kern w:val="0"/>
          <w:lang w:eastAsia="x-none"/>
        </w:rPr>
        <w:t xml:space="preserve">turtle or turtle lot </w:t>
      </w:r>
      <w:r w:rsidRPr="007A6A69">
        <w:rPr>
          <w:kern w:val="0"/>
        </w:rPr>
        <w:t>tests positive for</w:t>
      </w:r>
      <w:r w:rsidRPr="007A6A69">
        <w:rPr>
          <w:i/>
          <w:iCs/>
          <w:kern w:val="0"/>
        </w:rPr>
        <w:t xml:space="preserve"> Salmonella spp.</w:t>
      </w:r>
      <w:r w:rsidRPr="007A6A69">
        <w:rPr>
          <w:kern w:val="0"/>
        </w:rPr>
        <w:t>, then the person may request a retest. Samples of the retest must be submitted when requested by agents of the department. The person may request a retest of the lot as a whole</w:t>
      </w:r>
      <w:r w:rsidRPr="007A6A69">
        <w:rPr>
          <w:bCs/>
          <w:i/>
          <w:iCs/>
          <w:kern w:val="0"/>
        </w:rPr>
        <w:t xml:space="preserve"> </w:t>
      </w:r>
      <w:r w:rsidRPr="007A6A69">
        <w:rPr>
          <w:kern w:val="0"/>
        </w:rPr>
        <w:t>using the same sampling procedures as used for the original test or the person may</w:t>
      </w:r>
      <w:r w:rsidRPr="007A6A69">
        <w:rPr>
          <w:bCs/>
          <w:kern w:val="0"/>
        </w:rPr>
        <w:t xml:space="preserve"> </w:t>
      </w:r>
      <w:r w:rsidRPr="007A6A69">
        <w:rPr>
          <w:kern w:val="0"/>
        </w:rPr>
        <w:t xml:space="preserve">subdivide the affected positive lot into a maximum of four equal subgroups. Each such subgroup shall be separately identified, simultaneously randomly sampled and tested. The Louisiana Veterinary Medical Diagnostic Laboratory shall conduct the retesting, whether from the lot as a whole or from any of the subgroups. The Louisiana </w:t>
      </w:r>
      <w:r w:rsidRPr="007A6A69">
        <w:rPr>
          <w:kern w:val="0"/>
          <w:lang w:eastAsia="x-none"/>
        </w:rPr>
        <w:t>Animal Disease Diagnostic Laboratory</w:t>
      </w:r>
      <w:r w:rsidRPr="007A6A69">
        <w:rPr>
          <w:kern w:val="0"/>
        </w:rPr>
        <w:t xml:space="preserve"> test results, shall be the final and conclusive test results.</w:t>
      </w:r>
      <w:r w:rsidR="00687985">
        <w:t xml:space="preserve"> </w:t>
      </w:r>
    </w:p>
    <w:p w14:paraId="72DCDB8E" w14:textId="77777777" w:rsidR="005A46E7" w:rsidRPr="00A1145E" w:rsidRDefault="00687985" w:rsidP="00687985">
      <w:pPr>
        <w:pStyle w:val="AuthorityNote"/>
      </w:pPr>
      <w:r w:rsidRPr="00D33F99">
        <w:t>AUTHORITY NOTE:</w:t>
      </w:r>
      <w:r w:rsidRPr="00D33F99">
        <w:tab/>
        <w:t>Promulgated in accordance with R.S. 3:2358.2.</w:t>
      </w:r>
    </w:p>
    <w:p w14:paraId="1DDFD7EA" w14:textId="77777777" w:rsidR="005A46E7" w:rsidRPr="00A1145E" w:rsidRDefault="005A46E7" w:rsidP="005A46E7">
      <w:pPr>
        <w:pStyle w:val="HistoricalNote"/>
      </w:pPr>
      <w:r w:rsidRPr="00A1145E">
        <w:t>HISTORICAL NOTE:</w:t>
      </w:r>
      <w:r w:rsidRPr="00A1145E">
        <w:tab/>
      </w:r>
      <w:r w:rsidR="00041065" w:rsidRPr="001531CD">
        <w:t xml:space="preserve">Promulgated by the Department of Agriculture and Forestry, Office of Animal Health Services, LR </w:t>
      </w:r>
      <w:r w:rsidR="00041065" w:rsidRPr="001531CD">
        <w:lastRenderedPageBreak/>
        <w:t>17:351 (April 1991), amended by the Department of Agriculture and Forestry, Office of the Commissioner, LR 26:1570 (August 2000), LR 30:1445 (July 2004), amended by the Department of Agriculture and Forestry, Livestock Sanitary Board, LR 31:2210 (September 2005)</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45:506 (April 2019).</w:t>
      </w:r>
    </w:p>
    <w:p w14:paraId="2F6AF344" w14:textId="77777777" w:rsidR="00687985" w:rsidRPr="00D33F99" w:rsidRDefault="00687985" w:rsidP="00687985">
      <w:pPr>
        <w:pStyle w:val="Section"/>
      </w:pPr>
      <w:bookmarkStart w:id="2309" w:name="_Toc256754782"/>
      <w:bookmarkStart w:id="2310" w:name="_Toc375025567"/>
      <w:bookmarkStart w:id="2311" w:name="_Toc509393749"/>
      <w:bookmarkStart w:id="2312" w:name="_Toc224819180"/>
      <w:r w:rsidRPr="00D33F99">
        <w:t>§1917.</w:t>
      </w:r>
      <w:r w:rsidRPr="00D33F99">
        <w:tab/>
        <w:t>Quarantine</w:t>
      </w:r>
      <w:bookmarkEnd w:id="2309"/>
      <w:bookmarkEnd w:id="2310"/>
      <w:r w:rsidRPr="00D33F99">
        <w:br/>
        <w:t>(Formerly §2315)</w:t>
      </w:r>
      <w:bookmarkEnd w:id="2311"/>
      <w:bookmarkEnd w:id="2312"/>
    </w:p>
    <w:p w14:paraId="35034794" w14:textId="77777777" w:rsidR="007A6A69" w:rsidRPr="007A6A69" w:rsidRDefault="007A6A69" w:rsidP="007A6A69">
      <w:pPr>
        <w:pStyle w:val="A"/>
      </w:pPr>
      <w:r w:rsidRPr="007A6A69">
        <w:t>A.</w:t>
      </w:r>
      <w:r w:rsidRPr="007A6A69">
        <w:tab/>
        <w:t xml:space="preserve">Upon testing positive for </w:t>
      </w:r>
      <w:r w:rsidRPr="007A6A69">
        <w:rPr>
          <w:i/>
        </w:rPr>
        <w:t>Salmonella</w:t>
      </w:r>
      <w:r w:rsidRPr="007A6A69">
        <w:t xml:space="preserve"> </w:t>
      </w:r>
      <w:r w:rsidRPr="007A6A69">
        <w:rPr>
          <w:i/>
        </w:rPr>
        <w:t>ssp.</w:t>
      </w:r>
      <w:r w:rsidRPr="007A6A69">
        <w:t xml:space="preserve"> or other pathogenic bacteria, eggs and turtles shall be subject to quarantine, inventory and verification by agents of the department. </w:t>
      </w:r>
    </w:p>
    <w:p w14:paraId="59DDC45E" w14:textId="77777777" w:rsidR="007A6A69" w:rsidRPr="007A6A69" w:rsidRDefault="007A6A69" w:rsidP="007A6A69">
      <w:pPr>
        <w:pStyle w:val="A"/>
      </w:pPr>
      <w:r w:rsidRPr="007A6A69">
        <w:t>B.</w:t>
      </w:r>
      <w:r w:rsidRPr="007A6A69">
        <w:tab/>
        <w:t>Quarantined turtles and eggs shall be sealed under supervision of agents of the department to prevent the spread of pathogenic bacteria until the person receives notice of either:</w:t>
      </w:r>
    </w:p>
    <w:p w14:paraId="2BC32E8E" w14:textId="77777777" w:rsidR="007A6A69" w:rsidRPr="007A6A69" w:rsidRDefault="007A6A69" w:rsidP="00553E56">
      <w:pPr>
        <w:pStyle w:val="1"/>
      </w:pPr>
      <w:r w:rsidRPr="007A6A69">
        <w:t>1.</w:t>
      </w:r>
      <w:r w:rsidRPr="007A6A69">
        <w:tab/>
        <w:t>the lifting of the quarantine; or</w:t>
      </w:r>
    </w:p>
    <w:p w14:paraId="79DDC058" w14:textId="77777777" w:rsidR="00687985" w:rsidRPr="00D33F99" w:rsidRDefault="007A6A69" w:rsidP="00553E56">
      <w:pPr>
        <w:pStyle w:val="1"/>
      </w:pPr>
      <w:r w:rsidRPr="007A6A69">
        <w:rPr>
          <w:kern w:val="0"/>
        </w:rPr>
        <w:t>2.</w:t>
      </w:r>
      <w:r w:rsidRPr="007A6A69">
        <w:rPr>
          <w:kern w:val="0"/>
        </w:rPr>
        <w:tab/>
        <w:t>instructions dealing with the disposal of the quarantined turtle or egg lot.</w:t>
      </w:r>
    </w:p>
    <w:p w14:paraId="4B28EA1A" w14:textId="77777777" w:rsidR="005A46E7" w:rsidRPr="00A1145E" w:rsidRDefault="00687985" w:rsidP="00687985">
      <w:pPr>
        <w:pStyle w:val="AuthorityNote"/>
      </w:pPr>
      <w:r w:rsidRPr="00D33F99">
        <w:t>AUTHORITY NOTE:</w:t>
      </w:r>
      <w:r w:rsidRPr="00D33F99">
        <w:tab/>
        <w:t>Promulgated in accordance with R.S. 3:2358.2,</w:t>
      </w:r>
    </w:p>
    <w:p w14:paraId="7BA9C447" w14:textId="77777777"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26:1570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 LR 45</w:t>
      </w:r>
      <w:r w:rsidR="00553E56" w:rsidRPr="00D33F99">
        <w:t>:</w:t>
      </w:r>
      <w:r w:rsidR="00553E56">
        <w:t>506 (April 2019).</w:t>
      </w:r>
    </w:p>
    <w:p w14:paraId="3ADBDA05" w14:textId="77777777" w:rsidR="00687985" w:rsidRPr="00D33F99" w:rsidRDefault="00687985" w:rsidP="00687985">
      <w:pPr>
        <w:pStyle w:val="Section"/>
      </w:pPr>
      <w:bookmarkStart w:id="2313" w:name="_Toc256754783"/>
      <w:bookmarkStart w:id="2314" w:name="_Toc375025568"/>
      <w:bookmarkStart w:id="2315" w:name="_Toc509393750"/>
      <w:bookmarkStart w:id="2316" w:name="_Toc224819181"/>
      <w:r w:rsidRPr="00D33F99">
        <w:t>§1919.</w:t>
      </w:r>
      <w:r w:rsidRPr="00D33F99">
        <w:tab/>
        <w:t>Form and Content of Records</w:t>
      </w:r>
      <w:bookmarkEnd w:id="2313"/>
      <w:bookmarkEnd w:id="2314"/>
      <w:bookmarkEnd w:id="2315"/>
      <w:bookmarkEnd w:id="2316"/>
    </w:p>
    <w:p w14:paraId="1F47BFF8" w14:textId="77777777" w:rsidR="00687985" w:rsidRPr="00D33F99" w:rsidRDefault="00687985" w:rsidP="00687985">
      <w:pPr>
        <w:pStyle w:val="A"/>
      </w:pPr>
      <w:r w:rsidRPr="00D33F99">
        <w:t>A.</w:t>
      </w:r>
      <w:r w:rsidRPr="00D33F99">
        <w:tab/>
      </w:r>
      <w:r w:rsidR="00553E56" w:rsidRPr="00D33F99">
        <w:t>All farm</w:t>
      </w:r>
      <w:r w:rsidR="00553E56">
        <w:t>-</w:t>
      </w:r>
      <w:r w:rsidR="00553E56" w:rsidRPr="00D33F99">
        <w:t>raised turtles imported into this state shall be accompanied by a health certificate and meet the specific requirements of LAC 7:XXI.501.</w:t>
      </w:r>
    </w:p>
    <w:p w14:paraId="1E9C51E1" w14:textId="77777777" w:rsidR="00553E56" w:rsidRPr="00553E56" w:rsidRDefault="00687985" w:rsidP="00553E56">
      <w:pPr>
        <w:pStyle w:val="A"/>
      </w:pPr>
      <w:r w:rsidRPr="00D33F99">
        <w:t>B.</w:t>
      </w:r>
      <w:r w:rsidRPr="00D33F99">
        <w:tab/>
      </w:r>
      <w:r w:rsidR="00553E56" w:rsidRPr="00553E56">
        <w:t xml:space="preserve">Any person engaged in the breeding, hatching, propagating, raising, growing, receiving, shipping, transporting, exporting, or sale of farm raise turtles shall maintain the following applicable documentation: </w:t>
      </w:r>
    </w:p>
    <w:p w14:paraId="6DFDF4D6" w14:textId="77777777" w:rsidR="00553E56" w:rsidRPr="00553E56" w:rsidRDefault="00553E56" w:rsidP="00553E56">
      <w:pPr>
        <w:pStyle w:val="1"/>
      </w:pPr>
      <w:r w:rsidRPr="00553E56">
        <w:t>1.</w:t>
      </w:r>
      <w:r w:rsidRPr="00553E56">
        <w:tab/>
        <w:t>Turtle Group Distribution Document (AHS-24-99);</w:t>
      </w:r>
    </w:p>
    <w:p w14:paraId="42A69640" w14:textId="77777777" w:rsidR="00553E56" w:rsidRPr="00553E56" w:rsidRDefault="00553E56" w:rsidP="00553E56">
      <w:pPr>
        <w:pStyle w:val="1"/>
      </w:pPr>
      <w:r w:rsidRPr="00553E56">
        <w:t>2.</w:t>
      </w:r>
      <w:r w:rsidRPr="00553E56">
        <w:tab/>
        <w:t>Daily Record Keeping for Turtles and Eggs (AHS-67-01);</w:t>
      </w:r>
    </w:p>
    <w:p w14:paraId="0BDEED4B" w14:textId="77777777" w:rsidR="00553E56" w:rsidRPr="00553E56" w:rsidRDefault="00553E56" w:rsidP="00553E56">
      <w:pPr>
        <w:pStyle w:val="1"/>
      </w:pPr>
      <w:r w:rsidRPr="00553E56">
        <w:t>3.</w:t>
      </w:r>
      <w:r w:rsidRPr="00553E56">
        <w:tab/>
        <w:t>department-issued license;</w:t>
      </w:r>
    </w:p>
    <w:p w14:paraId="02421A23" w14:textId="77777777" w:rsidR="00553E56" w:rsidRPr="00553E56" w:rsidRDefault="00553E56" w:rsidP="00553E56">
      <w:pPr>
        <w:pStyle w:val="1"/>
      </w:pPr>
      <w:r w:rsidRPr="00553E56">
        <w:t>4.</w:t>
      </w:r>
      <w:r w:rsidRPr="00553E56">
        <w:tab/>
        <w:t>facility inspection reports;</w:t>
      </w:r>
    </w:p>
    <w:p w14:paraId="3CF1538F" w14:textId="77777777" w:rsidR="00553E56" w:rsidRPr="00553E56" w:rsidRDefault="00553E56" w:rsidP="00553E56">
      <w:pPr>
        <w:pStyle w:val="1"/>
      </w:pPr>
      <w:r w:rsidRPr="00553E56">
        <w:t>5.</w:t>
      </w:r>
      <w:r w:rsidRPr="00553E56">
        <w:tab/>
        <w:t>laboratory results and reports;</w:t>
      </w:r>
    </w:p>
    <w:p w14:paraId="111F5A30" w14:textId="77777777" w:rsidR="00553E56" w:rsidRPr="00553E56" w:rsidRDefault="00553E56" w:rsidP="00553E56">
      <w:pPr>
        <w:pStyle w:val="1"/>
      </w:pPr>
      <w:r w:rsidRPr="00553E56">
        <w:t>6.</w:t>
      </w:r>
      <w:r w:rsidRPr="00553E56">
        <w:tab/>
        <w:t>U.S. Fish and Wildlife Service Form 3-177 (for exporters only);</w:t>
      </w:r>
    </w:p>
    <w:p w14:paraId="7AD3A79E" w14:textId="77777777" w:rsidR="00553E56" w:rsidRPr="00553E56" w:rsidRDefault="00553E56" w:rsidP="00553E56">
      <w:pPr>
        <w:pStyle w:val="1"/>
      </w:pPr>
      <w:r w:rsidRPr="00553E56">
        <w:t>6.</w:t>
      </w:r>
      <w:r w:rsidRPr="00553E56">
        <w:tab/>
        <w:t>health certificates; b</w:t>
      </w:r>
    </w:p>
    <w:p w14:paraId="24D263D8" w14:textId="77777777" w:rsidR="00553E56" w:rsidRPr="00553E56" w:rsidRDefault="00553E56" w:rsidP="00553E56">
      <w:pPr>
        <w:pStyle w:val="1"/>
      </w:pPr>
      <w:r w:rsidRPr="00553E56">
        <w:t>8.</w:t>
      </w:r>
      <w:r w:rsidRPr="00553E56">
        <w:tab/>
        <w:t>chain of custody form.</w:t>
      </w:r>
    </w:p>
    <w:p w14:paraId="364D0A4B" w14:textId="77777777" w:rsidR="00553E56" w:rsidRPr="00553E56" w:rsidRDefault="00553E56" w:rsidP="00553E56">
      <w:pPr>
        <w:pStyle w:val="A"/>
      </w:pPr>
      <w:r w:rsidRPr="00553E56">
        <w:t>C.</w:t>
      </w:r>
      <w:r w:rsidRPr="00553E56">
        <w:tab/>
        <w:t>All records shall be maintained for a period of three years.</w:t>
      </w:r>
    </w:p>
    <w:p w14:paraId="4490BB42" w14:textId="77777777" w:rsidR="00553E56" w:rsidRPr="00553E56" w:rsidRDefault="00553E56" w:rsidP="00553E56">
      <w:pPr>
        <w:pStyle w:val="A"/>
      </w:pPr>
      <w:r w:rsidRPr="00553E56">
        <w:t>D.</w:t>
      </w:r>
      <w:r w:rsidRPr="00553E56">
        <w:tab/>
        <w:t>Falsification or misrepresentation of turtle groups or lots for sampling, testing or retesting is prohibited.</w:t>
      </w:r>
    </w:p>
    <w:p w14:paraId="7F6CAEE9" w14:textId="77777777" w:rsidR="00687985" w:rsidRPr="00D33F99" w:rsidRDefault="00553E56" w:rsidP="00553E56">
      <w:pPr>
        <w:pStyle w:val="A"/>
      </w:pPr>
      <w:r w:rsidRPr="00553E56">
        <w:rPr>
          <w:kern w:val="0"/>
        </w:rPr>
        <w:t>E.</w:t>
      </w:r>
      <w:r w:rsidRPr="00553E56">
        <w:rPr>
          <w:kern w:val="0"/>
        </w:rPr>
        <w:tab/>
        <w:t>Alteration or falsification of records of turtle groups or lots and providing records for alteration or falsification of turtle groups or lots is prohibited.</w:t>
      </w:r>
    </w:p>
    <w:p w14:paraId="077F1BFB" w14:textId="77777777" w:rsidR="005A46E7" w:rsidRPr="00A1145E" w:rsidRDefault="00687985" w:rsidP="00687985">
      <w:pPr>
        <w:pStyle w:val="AuthorityNote"/>
      </w:pPr>
      <w:r w:rsidRPr="00D33F99">
        <w:t>AUTHORITY NOTE:</w:t>
      </w:r>
      <w:r w:rsidRPr="00D33F99">
        <w:tab/>
        <w:t>Promulgated in accordance with R.S. 3:2358.2 and 3:2358.7.</w:t>
      </w:r>
    </w:p>
    <w:p w14:paraId="32611F10" w14:textId="77777777"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26:1570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40:982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45:506 (April 2019).</w:t>
      </w:r>
    </w:p>
    <w:p w14:paraId="52F1691A" w14:textId="77777777" w:rsidR="00F74FB7" w:rsidRPr="00D33F99" w:rsidRDefault="00F74FB7" w:rsidP="00F74FB7">
      <w:pPr>
        <w:pStyle w:val="Section"/>
      </w:pPr>
      <w:bookmarkStart w:id="2317" w:name="_Toc224819182"/>
      <w:r w:rsidRPr="00D33F99">
        <w:t>§1921.</w:t>
      </w:r>
      <w:r w:rsidRPr="00D33F99">
        <w:tab/>
        <w:t>Certified Turtle Farmers; Licensing</w:t>
      </w:r>
      <w:bookmarkEnd w:id="2317"/>
    </w:p>
    <w:p w14:paraId="1259DE71" w14:textId="77777777" w:rsidR="00553E56" w:rsidRPr="00553E56" w:rsidRDefault="00553E56" w:rsidP="00553E56">
      <w:pPr>
        <w:pStyle w:val="A"/>
      </w:pPr>
      <w:r w:rsidRPr="00553E56">
        <w:t>A.</w:t>
      </w:r>
      <w:r w:rsidRPr="00553E56">
        <w:tab/>
        <w:t>No person shall breed, hatch, propagate, raise, grow, receive, ship, transport, export, or sell turtles or turtle eggs without possessing a turtle farmer license.</w:t>
      </w:r>
    </w:p>
    <w:p w14:paraId="1CB76048" w14:textId="77777777" w:rsidR="00553E56" w:rsidRPr="00553E56" w:rsidRDefault="00553E56" w:rsidP="00553E56">
      <w:pPr>
        <w:pStyle w:val="A"/>
      </w:pPr>
      <w:r w:rsidRPr="00553E56">
        <w:t>B.</w:t>
      </w:r>
      <w:r w:rsidRPr="00553E56">
        <w:tab/>
        <w:t xml:space="preserve">Each person applying for a turtle farmer license shall annually complete an application as provided by the department accompanied by an application fee of $250. The application shall include the following information: </w:t>
      </w:r>
    </w:p>
    <w:p w14:paraId="41F56BB8" w14:textId="77777777" w:rsidR="00553E56" w:rsidRPr="00553E56" w:rsidRDefault="00553E56" w:rsidP="00553E56">
      <w:pPr>
        <w:pStyle w:val="1"/>
      </w:pPr>
      <w:r w:rsidRPr="00553E56">
        <w:t>1.</w:t>
      </w:r>
      <w:r w:rsidRPr="00553E56">
        <w:tab/>
        <w:t>name of applicant;</w:t>
      </w:r>
    </w:p>
    <w:p w14:paraId="7F324935" w14:textId="77777777" w:rsidR="00553E56" w:rsidRPr="00553E56" w:rsidRDefault="00553E56" w:rsidP="00553E56">
      <w:pPr>
        <w:pStyle w:val="1"/>
      </w:pPr>
      <w:r w:rsidRPr="00553E56">
        <w:t>2.</w:t>
      </w:r>
      <w:r w:rsidRPr="00553E56">
        <w:tab/>
        <w:t>date of application;</w:t>
      </w:r>
    </w:p>
    <w:p w14:paraId="472F6E84" w14:textId="77777777" w:rsidR="00553E56" w:rsidRPr="00553E56" w:rsidRDefault="00553E56" w:rsidP="00553E56">
      <w:pPr>
        <w:pStyle w:val="1"/>
      </w:pPr>
      <w:r w:rsidRPr="00553E56">
        <w:t>3.</w:t>
      </w:r>
      <w:r w:rsidRPr="00553E56">
        <w:tab/>
        <w:t>address of applicant;</w:t>
      </w:r>
    </w:p>
    <w:p w14:paraId="01AF85F7" w14:textId="77777777" w:rsidR="00553E56" w:rsidRPr="00553E56" w:rsidRDefault="00553E56" w:rsidP="00553E56">
      <w:pPr>
        <w:pStyle w:val="1"/>
      </w:pPr>
      <w:r w:rsidRPr="00553E56">
        <w:t>4.</w:t>
      </w:r>
      <w:r w:rsidRPr="00553E56">
        <w:tab/>
        <w:t>telephone number of applicant;</w:t>
      </w:r>
    </w:p>
    <w:p w14:paraId="45B2F733" w14:textId="77777777" w:rsidR="00553E56" w:rsidRPr="00553E56" w:rsidRDefault="00553E56" w:rsidP="00553E56">
      <w:pPr>
        <w:pStyle w:val="1"/>
      </w:pPr>
      <w:r w:rsidRPr="00553E56">
        <w:t>5.</w:t>
      </w:r>
      <w:r w:rsidRPr="00553E56">
        <w:tab/>
        <w:t>whether the applicant is an individual, corporation, subchapter "S" corporation, cooperative or partnership;</w:t>
      </w:r>
    </w:p>
    <w:p w14:paraId="7DC22848" w14:textId="77777777" w:rsidR="00553E56" w:rsidRPr="00553E56" w:rsidRDefault="00553E56" w:rsidP="00553E56">
      <w:pPr>
        <w:pStyle w:val="1"/>
      </w:pPr>
      <w:r w:rsidRPr="00553E56">
        <w:t>6.</w:t>
      </w:r>
      <w:r w:rsidRPr="00553E56">
        <w:tab/>
        <w:t>principal officers of the applicant, if any;</w:t>
      </w:r>
    </w:p>
    <w:p w14:paraId="1C905150" w14:textId="77777777" w:rsidR="00553E56" w:rsidRPr="00553E56" w:rsidRDefault="00553E56" w:rsidP="00553E56">
      <w:pPr>
        <w:pStyle w:val="1"/>
      </w:pPr>
      <w:r w:rsidRPr="00553E56">
        <w:t>7.</w:t>
      </w:r>
      <w:r w:rsidRPr="00553E56">
        <w:tab/>
        <w:t>location of applicant's principal office and farming premises;</w:t>
      </w:r>
    </w:p>
    <w:p w14:paraId="678C26FA" w14:textId="77777777" w:rsidR="00553E56" w:rsidRPr="00553E56" w:rsidRDefault="00553E56" w:rsidP="00553E56">
      <w:pPr>
        <w:pStyle w:val="1"/>
      </w:pPr>
      <w:r w:rsidRPr="00553E56">
        <w:t>8.</w:t>
      </w:r>
      <w:r w:rsidRPr="00553E56">
        <w:tab/>
        <w:t>location of all offices operated by applicant, along with the name of the manager and phone number of each;</w:t>
      </w:r>
    </w:p>
    <w:p w14:paraId="06C03883" w14:textId="77777777" w:rsidR="00553E56" w:rsidRPr="00553E56" w:rsidRDefault="00553E56" w:rsidP="00553E56">
      <w:pPr>
        <w:pStyle w:val="1"/>
      </w:pPr>
      <w:r w:rsidRPr="00553E56">
        <w:t>9.</w:t>
      </w:r>
      <w:r w:rsidRPr="00553E56">
        <w:tab/>
        <w:t>the dates upon which the applicant begins and ends its fiscal year;</w:t>
      </w:r>
    </w:p>
    <w:p w14:paraId="1744BE74" w14:textId="77777777" w:rsidR="00553E56" w:rsidRPr="00553E56" w:rsidRDefault="00553E56" w:rsidP="00553E56">
      <w:pPr>
        <w:pStyle w:val="1"/>
      </w:pPr>
      <w:r w:rsidRPr="00553E56">
        <w:t>10.</w:t>
      </w:r>
      <w:r w:rsidRPr="00553E56">
        <w:tab/>
        <w:t>a map or schematic showing the location of ponds or other breeding habitats, storage, treatment and incubation buildings and facilities shall be included with all applications for a turtle farmer license. Each pond or breeding habitat shall be designated by a letter, beginning with "A", and shall be designated in sequential order and properly labeled on the map or schematic.</w:t>
      </w:r>
    </w:p>
    <w:p w14:paraId="434B18D8" w14:textId="77777777" w:rsidR="00553E56" w:rsidRPr="00553E56" w:rsidRDefault="00553E56" w:rsidP="00553E56">
      <w:pPr>
        <w:pStyle w:val="A"/>
      </w:pPr>
      <w:r w:rsidRPr="00553E56">
        <w:t>C.</w:t>
      </w:r>
      <w:r w:rsidRPr="00553E56">
        <w:tab/>
        <w:t xml:space="preserve">Prior to the issuance of an initial turtle farmer license, an inspection of the turtle farm facilities shall be made by an </w:t>
      </w:r>
      <w:r w:rsidRPr="00553E56">
        <w:lastRenderedPageBreak/>
        <w:t>agent of the Department to insure compliance with this Chapter.</w:t>
      </w:r>
    </w:p>
    <w:p w14:paraId="3304F2DB" w14:textId="77777777" w:rsidR="00553E56" w:rsidRPr="00553E56" w:rsidRDefault="00553E56" w:rsidP="00553E56">
      <w:pPr>
        <w:pStyle w:val="A"/>
      </w:pPr>
      <w:r w:rsidRPr="00553E56">
        <w:rPr>
          <w:lang w:eastAsia="x-none"/>
        </w:rPr>
        <w:t>D.</w:t>
      </w:r>
      <w:r w:rsidRPr="00553E56">
        <w:tab/>
        <w:t>Upon issuance of an initial license by the department, certified turtle farmers shall be assigned a permanent licensed farmer identification code for use on all documents related to turtle farming.</w:t>
      </w:r>
    </w:p>
    <w:p w14:paraId="5FE593F9" w14:textId="77777777" w:rsidR="00F74FB7" w:rsidRPr="00D33F99" w:rsidRDefault="00553E56" w:rsidP="00553E56">
      <w:pPr>
        <w:pStyle w:val="A"/>
      </w:pPr>
      <w:r w:rsidRPr="00553E56">
        <w:rPr>
          <w:kern w:val="0"/>
        </w:rPr>
        <w:t>E.</w:t>
      </w:r>
      <w:r w:rsidRPr="00553E56">
        <w:rPr>
          <w:kern w:val="0"/>
        </w:rPr>
        <w:tab/>
        <w:t xml:space="preserve">In the case of the transfer of ownership of the person or entity that is the certified turtle farmer that person must reapply with the department for licensing </w:t>
      </w:r>
      <w:r w:rsidRPr="00553E56">
        <w:rPr>
          <w:kern w:val="0"/>
          <w:lang w:eastAsia="x-none"/>
        </w:rPr>
        <w:t xml:space="preserve">as a certified turtle farmer </w:t>
      </w:r>
      <w:r w:rsidRPr="00553E56">
        <w:rPr>
          <w:kern w:val="0"/>
        </w:rPr>
        <w:t>and must meet all of the qualifications required for the issuance of an initial license.</w:t>
      </w:r>
    </w:p>
    <w:p w14:paraId="056A9E30" w14:textId="77777777" w:rsidR="00F74FB7" w:rsidRDefault="00F74FB7" w:rsidP="00F74FB7">
      <w:pPr>
        <w:pStyle w:val="AuthorityNote"/>
      </w:pPr>
      <w:r w:rsidRPr="00D33F99">
        <w:t>AUTHORITY NOTE:</w:t>
      </w:r>
      <w:r w:rsidRPr="00D33F99">
        <w:tab/>
        <w:t>Promulgated in accordance with R.S. 3:2358.2 and 3:2358.4.</w:t>
      </w:r>
    </w:p>
    <w:p w14:paraId="66434C09" w14:textId="77777777" w:rsidR="005A46E7" w:rsidRPr="00A1145E" w:rsidRDefault="005A46E7" w:rsidP="00F74FB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26:1571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40:982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33 (January 2019)</w:t>
      </w:r>
      <w:r w:rsidR="00553E56" w:rsidRPr="00D33F99">
        <w:t xml:space="preserve">, </w:t>
      </w:r>
      <w:r w:rsidR="00A12D22">
        <w:t>repromulgated</w:t>
      </w:r>
      <w:r w:rsidR="00A12D22" w:rsidRPr="00D33F99">
        <w:t xml:space="preserve"> </w:t>
      </w:r>
      <w:r w:rsidR="00A12D22">
        <w:t xml:space="preserve">by the </w:t>
      </w:r>
      <w:r w:rsidR="00553E56" w:rsidRPr="00D33F99">
        <w:t xml:space="preserve">Office of Animal Health </w:t>
      </w:r>
      <w:r w:rsidR="00553E56">
        <w:t>and Food Safety</w:t>
      </w:r>
      <w:r w:rsidR="00553E56" w:rsidRPr="00D33F99">
        <w:t xml:space="preserve">, </w:t>
      </w:r>
      <w:r w:rsidR="00553E56">
        <w:t>LR 45:506 (April 2019).</w:t>
      </w:r>
    </w:p>
    <w:p w14:paraId="3EC8E2BD" w14:textId="77777777" w:rsidR="00F74FB7" w:rsidRPr="00D33F99" w:rsidRDefault="00F74FB7" w:rsidP="00F74FB7">
      <w:pPr>
        <w:pStyle w:val="Section"/>
      </w:pPr>
      <w:bookmarkStart w:id="2318" w:name="_Toc256754786"/>
      <w:bookmarkStart w:id="2319" w:name="_Toc375025571"/>
      <w:bookmarkStart w:id="2320" w:name="_Toc224819183"/>
      <w:bookmarkStart w:id="2321" w:name="_Toc509393753"/>
      <w:r w:rsidRPr="00D33F99">
        <w:t>§1925.</w:t>
      </w:r>
      <w:r w:rsidRPr="00D33F99">
        <w:tab/>
        <w:t xml:space="preserve">Authority of Agents to Enter </w:t>
      </w:r>
      <w:bookmarkEnd w:id="2318"/>
      <w:bookmarkEnd w:id="2319"/>
      <w:r w:rsidRPr="00D33F99">
        <w:t>Premises</w:t>
      </w:r>
      <w:bookmarkEnd w:id="2320"/>
      <w:r w:rsidRPr="00D33F99">
        <w:t xml:space="preserve"> </w:t>
      </w:r>
      <w:bookmarkEnd w:id="2321"/>
    </w:p>
    <w:p w14:paraId="3BAF54F6" w14:textId="77777777" w:rsidR="00F74FB7" w:rsidRPr="00D33F99" w:rsidRDefault="00F74FB7" w:rsidP="00F74FB7">
      <w:pPr>
        <w:pStyle w:val="A"/>
      </w:pPr>
      <w:r w:rsidRPr="00D33F99">
        <w:t>A.</w:t>
      </w:r>
      <w:r w:rsidRPr="00D33F99">
        <w:tab/>
      </w:r>
      <w:r w:rsidR="00553E56" w:rsidRPr="00D33F99">
        <w:t>Agents of the department are authorized and shall be allowed entry onto any property or premises in the state of Louisiana for the purpose of carrying out the provisions of these regulations. Whenever reasonably possible, agents shall notify the person before performing any inspections.</w:t>
      </w:r>
    </w:p>
    <w:p w14:paraId="505B3536" w14:textId="77777777" w:rsidR="005A46E7" w:rsidRPr="00041065" w:rsidRDefault="00F74FB7" w:rsidP="00F74FB7">
      <w:pPr>
        <w:pStyle w:val="A"/>
      </w:pPr>
      <w:r w:rsidRPr="00D33F99">
        <w:t>B.</w:t>
      </w:r>
      <w:r w:rsidRPr="00D33F99">
        <w:tab/>
      </w:r>
      <w:r w:rsidR="00553E56" w:rsidRPr="00D33F99">
        <w:t>Agents of the department are authorized to inspect all records and premises in order to enforce the provisions of R.S. 3:2358.1 et seq., and these regulations.</w:t>
      </w:r>
    </w:p>
    <w:p w14:paraId="56153C45" w14:textId="77777777" w:rsidR="005A46E7" w:rsidRPr="00041065" w:rsidRDefault="005A46E7" w:rsidP="005A46E7">
      <w:pPr>
        <w:pStyle w:val="A"/>
      </w:pPr>
      <w:r w:rsidRPr="00041065">
        <w:t>C.</w:t>
      </w:r>
      <w:r w:rsidRPr="00041065">
        <w:tab/>
        <w:t>No person shall in any way interfere with an agent in making inspections on properties or premises in carrying out the provisions of these regulations.</w:t>
      </w:r>
    </w:p>
    <w:p w14:paraId="07B6133D" w14:textId="77777777" w:rsidR="005A46E7" w:rsidRPr="00041065" w:rsidRDefault="00F74FB7" w:rsidP="005A46E7">
      <w:pPr>
        <w:pStyle w:val="AuthorityNote"/>
      </w:pPr>
      <w:r w:rsidRPr="00D33F99">
        <w:t>AUTHORITY NOTE:</w:t>
      </w:r>
      <w:r w:rsidRPr="00D33F99">
        <w:tab/>
        <w:t>Promulgated in accordance with R.S. 3:2358.2.</w:t>
      </w:r>
    </w:p>
    <w:p w14:paraId="6F0CBB69" w14:textId="77777777" w:rsidR="005A46E7" w:rsidRPr="00A1145E" w:rsidRDefault="005A46E7" w:rsidP="005A46E7">
      <w:pPr>
        <w:pStyle w:val="HistoricalNote"/>
      </w:pPr>
      <w:r w:rsidRPr="00041065">
        <w:t>HISTORICAL NOTE:</w:t>
      </w:r>
      <w:r w:rsidRPr="00041065">
        <w:tab/>
      </w:r>
      <w:r w:rsidR="00041065" w:rsidRPr="00041065">
        <w:t>Promulgated by the Department</w:t>
      </w:r>
      <w:r w:rsidR="00041065" w:rsidRPr="001531CD">
        <w:t xml:space="preserve"> of Agriculture and Forestry, Office of Animal Health Services, LR 17:353 (April 1991), amended by the Department of Agriculture and Forestry, Office of the Commissioner, LR 26:1571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40:983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34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45:507 (April 2019).</w:t>
      </w:r>
    </w:p>
    <w:p w14:paraId="567EAA72" w14:textId="77777777" w:rsidR="00F74FB7" w:rsidRPr="00D33F99" w:rsidRDefault="00F74FB7" w:rsidP="00F74FB7">
      <w:pPr>
        <w:pStyle w:val="Section"/>
      </w:pPr>
      <w:bookmarkStart w:id="2322" w:name="_Toc256754788"/>
      <w:bookmarkStart w:id="2323" w:name="_Toc375025573"/>
      <w:bookmarkStart w:id="2324" w:name="_Toc509393755"/>
      <w:bookmarkStart w:id="2325" w:name="_Toc224819184"/>
      <w:r w:rsidRPr="00D33F99">
        <w:t>§1929.</w:t>
      </w:r>
      <w:r w:rsidRPr="00D33F99">
        <w:tab/>
        <w:t>Penalties</w:t>
      </w:r>
      <w:bookmarkEnd w:id="2322"/>
      <w:bookmarkEnd w:id="2323"/>
      <w:bookmarkEnd w:id="2324"/>
      <w:bookmarkEnd w:id="2325"/>
    </w:p>
    <w:p w14:paraId="545DC8A1" w14:textId="77777777" w:rsidR="00F74FB7" w:rsidRPr="00D33F99" w:rsidRDefault="00F74FB7" w:rsidP="00F74FB7">
      <w:pPr>
        <w:pStyle w:val="A"/>
      </w:pPr>
      <w:r w:rsidRPr="00D33F99">
        <w:t>A.</w:t>
      </w:r>
      <w:r>
        <w:tab/>
      </w:r>
      <w:r w:rsidR="00553E56" w:rsidRPr="00D33F99">
        <w:t xml:space="preserve">A penalty of not more than </w:t>
      </w:r>
      <w:r w:rsidR="00553E56">
        <w:t>$1000</w:t>
      </w:r>
      <w:r w:rsidR="00553E56" w:rsidRPr="00D33F99">
        <w:t xml:space="preserve"> may be assessed for any violation of this Chapter, by a ruling of the commissioner based on an adjudicatory hearing held in accordance with the Administrative Procedure Act. Each day on which a violation occurs shall be considered a separate offen</w:t>
      </w:r>
      <w:r w:rsidR="00553E56">
        <w:t>c</w:t>
      </w:r>
      <w:r w:rsidR="00553E56" w:rsidRPr="00D33F99">
        <w:t>e.</w:t>
      </w:r>
      <w:r w:rsidRPr="00D33F99">
        <w:t xml:space="preserve"> </w:t>
      </w:r>
    </w:p>
    <w:p w14:paraId="2CE6B3F0" w14:textId="77777777" w:rsidR="00F74FB7" w:rsidRPr="00D33F99" w:rsidRDefault="00F74FB7" w:rsidP="00F74FB7">
      <w:pPr>
        <w:pStyle w:val="A"/>
      </w:pPr>
      <w:r w:rsidRPr="00D33F99">
        <w:t>B.</w:t>
      </w:r>
      <w:r>
        <w:tab/>
      </w:r>
      <w:r w:rsidR="00553E56" w:rsidRPr="00D33F99">
        <w:t xml:space="preserve">The commissioner may deny renewal or revoke the license of a certified turtle farmer for any violation of the provisions of R.S. 3:2358.1 </w:t>
      </w:r>
      <w:r w:rsidR="00553E56" w:rsidRPr="006D3A58">
        <w:t>et seq.</w:t>
      </w:r>
      <w:r w:rsidR="00553E56" w:rsidRPr="00D33F99">
        <w:rPr>
          <w:i/>
        </w:rPr>
        <w:t xml:space="preserve"> </w:t>
      </w:r>
      <w:r w:rsidR="00553E56" w:rsidRPr="00D33F99">
        <w:t xml:space="preserve">or for any violation of this </w:t>
      </w:r>
      <w:r w:rsidR="00553E56" w:rsidRPr="00D33F99">
        <w:t>Chapter after an adjudicatory hearing held in accordance with the Administrative Procedure Act.</w:t>
      </w:r>
      <w:r w:rsidRPr="00D33F99">
        <w:t xml:space="preserve"> </w:t>
      </w:r>
    </w:p>
    <w:p w14:paraId="2991C3CC" w14:textId="77777777" w:rsidR="005A46E7" w:rsidRPr="00A1145E" w:rsidRDefault="00F74FB7" w:rsidP="00F74FB7">
      <w:pPr>
        <w:pStyle w:val="AuthorityNote"/>
      </w:pPr>
      <w:r w:rsidRPr="00D33F99">
        <w:t>AUTHORITY NOTE:</w:t>
      </w:r>
      <w:r w:rsidRPr="00D33F99">
        <w:tab/>
        <w:t>Promulgated in accordance with R.S. 3:2358.2 and 3:2358.14.</w:t>
      </w:r>
    </w:p>
    <w:p w14:paraId="58113922" w14:textId="77777777" w:rsidR="005A46E7" w:rsidRPr="00A1145E" w:rsidRDefault="005A46E7" w:rsidP="005A46E7">
      <w:pPr>
        <w:pStyle w:val="HistoricalNote"/>
      </w:pPr>
      <w:r w:rsidRPr="00A1145E">
        <w:t>HISTORICAL NOTE:</w:t>
      </w:r>
      <w:r w:rsidRPr="00A1145E">
        <w:tab/>
      </w:r>
      <w:r w:rsidR="00041065" w:rsidRPr="001531CD">
        <w:t>Promulgated by the Department of Agriculture, Office of Animal Health Services, LR 12:225 (April 1986), amended by the Department of Agriculture and Forestry, Office of Animal Health Services, LR 17:353 (April 1991), amended by the Department of Agriculture and Forestry, Office of the Commissioner, LR 26:1572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40:983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34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45:507 (April 2019).</w:t>
      </w:r>
    </w:p>
    <w:p w14:paraId="27C9A6E5" w14:textId="77777777" w:rsidR="005A46E7" w:rsidRPr="00A1145E" w:rsidRDefault="005A46E7" w:rsidP="005A46E7">
      <w:pPr>
        <w:pStyle w:val="Chapter"/>
      </w:pPr>
      <w:bookmarkStart w:id="2326" w:name="_Toc224819185"/>
      <w:r w:rsidRPr="00A1145E">
        <w:t>Chapter 21.</w:t>
      </w:r>
      <w:r w:rsidRPr="00A1145E">
        <w:tab/>
        <w:t>Animal Care Standards for Bovine, Equine, Poultry, Porcine, Ovine, and Caprine</w:t>
      </w:r>
      <w:r>
        <w:br/>
        <w:t>(Formerly Chapter 31)</w:t>
      </w:r>
      <w:bookmarkEnd w:id="2326"/>
    </w:p>
    <w:p w14:paraId="7E1454FD" w14:textId="77777777" w:rsidR="005A46E7" w:rsidRPr="00A1145E" w:rsidRDefault="005A46E7" w:rsidP="005A46E7">
      <w:pPr>
        <w:pStyle w:val="Section"/>
        <w:rPr>
          <w:rFonts w:eastAsia="Calibri"/>
        </w:rPr>
      </w:pPr>
      <w:bookmarkStart w:id="2327" w:name="_Toc375025604"/>
      <w:bookmarkStart w:id="2328" w:name="_Toc224819186"/>
      <w:r w:rsidRPr="00A1145E">
        <w:rPr>
          <w:rFonts w:eastAsia="Calibri"/>
        </w:rPr>
        <w:t>§2101.</w:t>
      </w:r>
      <w:r w:rsidRPr="00A1145E">
        <w:rPr>
          <w:rFonts w:eastAsia="Calibri"/>
        </w:rPr>
        <w:tab/>
        <w:t>Definitions</w:t>
      </w:r>
      <w:bookmarkEnd w:id="2327"/>
      <w:r>
        <w:rPr>
          <w:rFonts w:eastAsia="Calibri"/>
        </w:rPr>
        <w:br/>
        <w:t>(</w:t>
      </w:r>
      <w:r w:rsidRPr="00A1145E">
        <w:rPr>
          <w:rFonts w:eastAsia="Calibri"/>
        </w:rPr>
        <w:t>Formerly §3101</w:t>
      </w:r>
      <w:r>
        <w:rPr>
          <w:rFonts w:eastAsia="Calibri"/>
        </w:rPr>
        <w:t>)</w:t>
      </w:r>
      <w:bookmarkEnd w:id="2328"/>
    </w:p>
    <w:p w14:paraId="6D0D57C8" w14:textId="77777777" w:rsidR="005A46E7" w:rsidRPr="00A1145E" w:rsidRDefault="005A46E7" w:rsidP="005A46E7">
      <w:pPr>
        <w:pStyle w:val="A"/>
      </w:pPr>
      <w:r w:rsidRPr="00A1145E">
        <w:t>A.</w:t>
      </w:r>
      <w:r w:rsidRPr="00A1145E">
        <w:tab/>
        <w:t>In addition to the definitions listed below, and unless otherwise provided, the definitions in §101 of this Part shall apply to this Chapter.</w:t>
      </w:r>
    </w:p>
    <w:p w14:paraId="33ED86D2" w14:textId="77777777" w:rsidR="005A46E7" w:rsidRPr="00A1145E" w:rsidRDefault="005A46E7" w:rsidP="005A46E7">
      <w:pPr>
        <w:pStyle w:val="A"/>
      </w:pPr>
      <w:r w:rsidRPr="00A1145E">
        <w:t>B.</w:t>
      </w:r>
      <w:r w:rsidRPr="00A1145E">
        <w:tab/>
        <w:t>The terms defined in this Chapter have the meanings given to them in this Section, except where the context expressly indicates otherwise.</w:t>
      </w:r>
    </w:p>
    <w:p w14:paraId="3A5A072C" w14:textId="77777777" w:rsidR="005A46E7" w:rsidRPr="00A1145E" w:rsidRDefault="005A46E7" w:rsidP="005A46E7">
      <w:pPr>
        <w:pStyle w:val="A"/>
      </w:pPr>
      <w:r w:rsidRPr="00A1145E">
        <w:t>C.</w:t>
      </w:r>
      <w:r w:rsidRPr="00A1145E">
        <w:tab/>
        <w:t>Terms Defined in this Section</w:t>
      </w:r>
    </w:p>
    <w:p w14:paraId="2AD1F781" w14:textId="77777777" w:rsidR="005A46E7" w:rsidRPr="00A1145E" w:rsidRDefault="005A46E7" w:rsidP="005A46E7">
      <w:pPr>
        <w:pStyle w:val="1"/>
        <w:rPr>
          <w:rFonts w:eastAsia="Calibri"/>
        </w:rPr>
      </w:pPr>
      <w:r w:rsidRPr="00A1145E">
        <w:rPr>
          <w:rFonts w:eastAsia="Calibri"/>
          <w:i/>
        </w:rPr>
        <w:t>Ambulatory</w:t>
      </w:r>
      <w:r w:rsidRPr="00A1145E">
        <w:t>―</w:t>
      </w:r>
      <w:r w:rsidRPr="00A1145E">
        <w:rPr>
          <w:rFonts w:eastAsia="Calibri"/>
        </w:rPr>
        <w:t>state of biological function where an animal is capable of walking without pain for an extended period of time.</w:t>
      </w:r>
    </w:p>
    <w:p w14:paraId="5410E581" w14:textId="77777777" w:rsidR="005A46E7" w:rsidRPr="00A1145E" w:rsidRDefault="005A46E7" w:rsidP="005A46E7">
      <w:pPr>
        <w:pStyle w:val="1"/>
        <w:rPr>
          <w:rFonts w:eastAsia="Calibri"/>
        </w:rPr>
      </w:pPr>
      <w:r w:rsidRPr="00A1145E">
        <w:rPr>
          <w:rFonts w:eastAsia="Calibri"/>
          <w:i/>
        </w:rPr>
        <w:t>Animal Care and Well-Being Plan</w:t>
      </w:r>
      <w:r w:rsidRPr="00A1145E">
        <w:t xml:space="preserve">―a program or method for </w:t>
      </w:r>
      <w:r w:rsidRPr="00A1145E">
        <w:rPr>
          <w:rFonts w:eastAsia="Calibri"/>
        </w:rPr>
        <w:t>providing or ensuring that an animal’s basic needs are met to maintain their health, biological function, and physical and behavioral needs.</w:t>
      </w:r>
    </w:p>
    <w:p w14:paraId="2741774E" w14:textId="77777777" w:rsidR="005A46E7" w:rsidRPr="00A1145E" w:rsidRDefault="005A46E7" w:rsidP="005A46E7">
      <w:pPr>
        <w:pStyle w:val="1"/>
        <w:rPr>
          <w:rFonts w:eastAsia="Calibri"/>
        </w:rPr>
      </w:pPr>
      <w:r w:rsidRPr="00A1145E">
        <w:rPr>
          <w:rFonts w:eastAsia="Calibri"/>
          <w:i/>
        </w:rPr>
        <w:t>Animal Health</w:t>
      </w:r>
      <w:r w:rsidRPr="00A1145E">
        <w:t>―</w:t>
      </w:r>
      <w:r w:rsidRPr="00A1145E">
        <w:rPr>
          <w:rFonts w:eastAsia="Calibri"/>
        </w:rPr>
        <w:t>physical state of an animal.</w:t>
      </w:r>
    </w:p>
    <w:p w14:paraId="158AC554" w14:textId="77777777" w:rsidR="005A46E7" w:rsidRPr="00A1145E" w:rsidRDefault="005A46E7" w:rsidP="005A46E7">
      <w:pPr>
        <w:pStyle w:val="1"/>
        <w:rPr>
          <w:rFonts w:eastAsia="Calibri"/>
        </w:rPr>
      </w:pPr>
      <w:r w:rsidRPr="00A1145E">
        <w:rPr>
          <w:rFonts w:eastAsia="Calibri"/>
          <w:i/>
        </w:rPr>
        <w:t>Animal Husbandry</w:t>
      </w:r>
      <w:r w:rsidRPr="00A1145E">
        <w:t xml:space="preserve">―the </w:t>
      </w:r>
      <w:r w:rsidRPr="00A1145E">
        <w:rPr>
          <w:rFonts w:eastAsia="Calibri"/>
        </w:rPr>
        <w:t>branch of agriculture concerned with the care and breeding of domestic animals such as cattle, horses, pigs, and sheep.</w:t>
      </w:r>
    </w:p>
    <w:p w14:paraId="07C0E0C4" w14:textId="77777777" w:rsidR="005A46E7" w:rsidRPr="00A1145E" w:rsidRDefault="005A46E7" w:rsidP="005A46E7">
      <w:pPr>
        <w:pStyle w:val="1"/>
        <w:rPr>
          <w:rFonts w:eastAsia="Calibri"/>
        </w:rPr>
      </w:pPr>
      <w:r w:rsidRPr="00A1145E">
        <w:rPr>
          <w:rFonts w:eastAsia="Calibri"/>
          <w:i/>
        </w:rPr>
        <w:t>Animal Husbandry Procedures</w:t>
      </w:r>
      <w:r w:rsidRPr="00A1145E">
        <w:t>―</w:t>
      </w:r>
      <w:r w:rsidRPr="00A1145E">
        <w:rPr>
          <w:rFonts w:eastAsia="Calibri"/>
        </w:rPr>
        <w:t>a way of performing or effecting the care and breeding of livestock.</w:t>
      </w:r>
    </w:p>
    <w:p w14:paraId="0D7B69FE" w14:textId="77777777" w:rsidR="005A46E7" w:rsidRPr="00A1145E" w:rsidRDefault="005A46E7" w:rsidP="005A46E7">
      <w:pPr>
        <w:pStyle w:val="1"/>
        <w:rPr>
          <w:rFonts w:eastAsia="Calibri"/>
        </w:rPr>
      </w:pPr>
      <w:r w:rsidRPr="00A1145E">
        <w:rPr>
          <w:rFonts w:eastAsia="Calibri"/>
          <w:i/>
        </w:rPr>
        <w:t>Beef Quality Assurance Guidelines (BQA)</w:t>
      </w:r>
      <w:r w:rsidRPr="00A1145E">
        <w:t>―</w:t>
      </w:r>
      <w:r w:rsidRPr="00A1145E">
        <w:rPr>
          <w:rFonts w:eastAsia="Calibri"/>
        </w:rPr>
        <w:t>accepted production standards for quality and safety, including biosecurity, animal health and well-being, production performance and environmental stewardship, that are appropriate to an operation and which can be met or exceeded in an objective manner.</w:t>
      </w:r>
    </w:p>
    <w:p w14:paraId="529DDDE2" w14:textId="77777777" w:rsidR="005A46E7" w:rsidRPr="00A1145E" w:rsidRDefault="005A46E7" w:rsidP="005A46E7">
      <w:pPr>
        <w:pStyle w:val="1"/>
        <w:rPr>
          <w:rFonts w:eastAsia="Calibri"/>
        </w:rPr>
      </w:pPr>
      <w:r w:rsidRPr="00A1145E">
        <w:rPr>
          <w:rFonts w:eastAsia="Calibri"/>
          <w:i/>
        </w:rPr>
        <w:t>Behavioral Needs</w:t>
      </w:r>
      <w:r w:rsidRPr="00A1145E">
        <w:t>―</w:t>
      </w:r>
      <w:r w:rsidRPr="00A1145E">
        <w:rPr>
          <w:rFonts w:eastAsia="Calibri"/>
        </w:rPr>
        <w:t>a particular animal’s need to express behaviors given their species, age, sex, and physiologic state.</w:t>
      </w:r>
    </w:p>
    <w:p w14:paraId="0D56122D" w14:textId="77777777" w:rsidR="005A46E7" w:rsidRPr="00A1145E" w:rsidRDefault="005A46E7" w:rsidP="005A46E7">
      <w:pPr>
        <w:pStyle w:val="1"/>
        <w:rPr>
          <w:rFonts w:eastAsia="Calibri"/>
        </w:rPr>
      </w:pPr>
      <w:r w:rsidRPr="00A1145E">
        <w:rPr>
          <w:rFonts w:eastAsia="Calibri"/>
          <w:i/>
        </w:rPr>
        <w:t>Biosecurity</w:t>
      </w:r>
      <w:r w:rsidRPr="00A1145E">
        <w:t>―</w:t>
      </w:r>
      <w:r w:rsidRPr="00A1145E">
        <w:rPr>
          <w:rFonts w:eastAsia="Calibri"/>
        </w:rPr>
        <w:t>preventive measures designed to reduce the risk of transmission of infectious diseases, parasites and pests.</w:t>
      </w:r>
    </w:p>
    <w:p w14:paraId="3A04117A" w14:textId="77777777" w:rsidR="005A46E7" w:rsidRPr="00A1145E" w:rsidRDefault="005A46E7" w:rsidP="005A46E7">
      <w:pPr>
        <w:pStyle w:val="1"/>
        <w:rPr>
          <w:rFonts w:eastAsia="Calibri"/>
        </w:rPr>
      </w:pPr>
      <w:r w:rsidRPr="00A1145E">
        <w:rPr>
          <w:rFonts w:eastAsia="Calibri"/>
          <w:i/>
        </w:rPr>
        <w:lastRenderedPageBreak/>
        <w:t>Body Condition</w:t>
      </w:r>
      <w:r w:rsidRPr="00A1145E">
        <w:t>―</w:t>
      </w:r>
      <w:r w:rsidRPr="00A1145E">
        <w:rPr>
          <w:rFonts w:eastAsia="Calibri"/>
        </w:rPr>
        <w:t>refers to the health or physical fitness of the animal.</w:t>
      </w:r>
    </w:p>
    <w:p w14:paraId="491F59F3" w14:textId="77777777" w:rsidR="005A46E7" w:rsidRPr="00A1145E" w:rsidRDefault="005A46E7" w:rsidP="005A46E7">
      <w:pPr>
        <w:pStyle w:val="1"/>
        <w:rPr>
          <w:rFonts w:eastAsia="Calibri"/>
        </w:rPr>
      </w:pPr>
      <w:r w:rsidRPr="00A1145E">
        <w:rPr>
          <w:rFonts w:eastAsia="Calibri"/>
          <w:i/>
        </w:rPr>
        <w:t>Body Condition Score (BCS)</w:t>
      </w:r>
      <w:r w:rsidRPr="00A1145E">
        <w:t>―</w:t>
      </w:r>
      <w:r w:rsidRPr="00A1145E">
        <w:rPr>
          <w:rFonts w:eastAsia="Calibri"/>
        </w:rPr>
        <w:t>accepted management tool used by producers, veterinarians, extension personnel, and researchers to evaluate the nutritional level of livestock based on a numerical scale.</w:t>
      </w:r>
    </w:p>
    <w:p w14:paraId="52CA96F1" w14:textId="77777777" w:rsidR="005A46E7" w:rsidRPr="00A1145E" w:rsidRDefault="005A46E7" w:rsidP="005A46E7">
      <w:pPr>
        <w:pStyle w:val="1"/>
        <w:rPr>
          <w:rFonts w:eastAsia="Calibri"/>
        </w:rPr>
      </w:pPr>
      <w:r w:rsidRPr="00A1145E">
        <w:rPr>
          <w:rFonts w:eastAsia="Calibri"/>
          <w:i/>
        </w:rPr>
        <w:t>Conspecific Aggression</w:t>
      </w:r>
      <w:r w:rsidRPr="00A1145E">
        <w:t>―</w:t>
      </w:r>
      <w:r w:rsidRPr="00A1145E">
        <w:rPr>
          <w:rFonts w:eastAsia="Calibri"/>
        </w:rPr>
        <w:t>hostile actions or fighting among a group of animals of the same species.</w:t>
      </w:r>
    </w:p>
    <w:p w14:paraId="410D8952" w14:textId="77777777" w:rsidR="005A46E7" w:rsidRPr="00A1145E" w:rsidRDefault="005A46E7" w:rsidP="005A46E7">
      <w:pPr>
        <w:pStyle w:val="1"/>
        <w:rPr>
          <w:rFonts w:eastAsia="Calibri"/>
        </w:rPr>
      </w:pPr>
      <w:r w:rsidRPr="00A1145E">
        <w:rPr>
          <w:rFonts w:eastAsia="Calibri"/>
          <w:i/>
        </w:rPr>
        <w:t>Discomfort</w:t>
      </w:r>
      <w:r w:rsidRPr="00A1145E">
        <w:t>―</w:t>
      </w:r>
      <w:r w:rsidRPr="00A1145E">
        <w:rPr>
          <w:rFonts w:eastAsia="Calibri"/>
        </w:rPr>
        <w:t>unpleasant sensations other than pain caused by a disruption of normal biologic function or psychological needs.</w:t>
      </w:r>
    </w:p>
    <w:p w14:paraId="3F59EC9A" w14:textId="77777777" w:rsidR="005A46E7" w:rsidRPr="00A1145E" w:rsidRDefault="005A46E7" w:rsidP="005A46E7">
      <w:pPr>
        <w:pStyle w:val="1"/>
        <w:rPr>
          <w:rFonts w:eastAsia="Calibri"/>
        </w:rPr>
      </w:pPr>
      <w:r w:rsidRPr="00A1145E">
        <w:rPr>
          <w:rFonts w:eastAsia="Calibri"/>
          <w:i/>
        </w:rPr>
        <w:t>Disease</w:t>
      </w:r>
      <w:r w:rsidRPr="00A1145E">
        <w:t>―</w:t>
      </w:r>
      <w:r w:rsidRPr="00A1145E">
        <w:rPr>
          <w:rFonts w:eastAsia="Calibri"/>
        </w:rPr>
        <w:t>pathologic condition of any part of an animal’s biology.</w:t>
      </w:r>
    </w:p>
    <w:p w14:paraId="77D6934E" w14:textId="77777777" w:rsidR="005A46E7" w:rsidRPr="00A1145E" w:rsidRDefault="005A46E7" w:rsidP="005A46E7">
      <w:pPr>
        <w:pStyle w:val="1"/>
        <w:rPr>
          <w:rFonts w:eastAsia="Calibri"/>
        </w:rPr>
      </w:pPr>
      <w:r w:rsidRPr="00A1145E">
        <w:rPr>
          <w:rFonts w:eastAsia="Calibri"/>
          <w:i/>
        </w:rPr>
        <w:t>Distress</w:t>
      </w:r>
      <w:r w:rsidRPr="00A1145E">
        <w:t>―</w:t>
      </w:r>
      <w:r w:rsidRPr="00A1145E">
        <w:rPr>
          <w:rFonts w:eastAsia="Calibri"/>
        </w:rPr>
        <w:t>state of mental or physical pain, intense anxiety, or suffering affecting the animal that may require immediate attention.</w:t>
      </w:r>
    </w:p>
    <w:p w14:paraId="7DDDFC7C" w14:textId="77777777" w:rsidR="005A46E7" w:rsidRPr="00A1145E" w:rsidRDefault="005A46E7" w:rsidP="005A46E7">
      <w:pPr>
        <w:pStyle w:val="1"/>
        <w:rPr>
          <w:rFonts w:eastAsia="Calibri"/>
        </w:rPr>
      </w:pPr>
      <w:r w:rsidRPr="00A1145E">
        <w:rPr>
          <w:rFonts w:eastAsia="Calibri"/>
          <w:i/>
        </w:rPr>
        <w:t>Electric Stunning</w:t>
      </w:r>
      <w:r w:rsidRPr="00A1145E">
        <w:t>―</w:t>
      </w:r>
      <w:r w:rsidRPr="00A1145E">
        <w:rPr>
          <w:rFonts w:eastAsia="Calibri"/>
        </w:rPr>
        <w:t>application of high amperage current passed through the brain which renders the animal instantly unconscious.</w:t>
      </w:r>
    </w:p>
    <w:p w14:paraId="482C29A4" w14:textId="77777777" w:rsidR="005A46E7" w:rsidRPr="00A1145E" w:rsidRDefault="005A46E7" w:rsidP="005A46E7">
      <w:pPr>
        <w:pStyle w:val="1"/>
        <w:rPr>
          <w:rFonts w:eastAsia="Calibri"/>
        </w:rPr>
      </w:pPr>
      <w:r w:rsidRPr="00A1145E">
        <w:rPr>
          <w:rFonts w:eastAsia="Calibri"/>
          <w:i/>
        </w:rPr>
        <w:t>Electro-Immobilization</w:t>
      </w:r>
      <w:r w:rsidRPr="00A1145E">
        <w:t>―</w:t>
      </w:r>
      <w:r w:rsidRPr="00A1145E">
        <w:rPr>
          <w:rFonts w:eastAsia="Calibri"/>
        </w:rPr>
        <w:t>use of electricity to immobilize and paralyze animals that does not render them unconscious or insensible to pain.</w:t>
      </w:r>
    </w:p>
    <w:p w14:paraId="61465783" w14:textId="77777777" w:rsidR="005A46E7" w:rsidRPr="00A1145E" w:rsidRDefault="005A46E7" w:rsidP="005A46E7">
      <w:pPr>
        <w:pStyle w:val="1"/>
        <w:rPr>
          <w:rFonts w:eastAsia="Calibri"/>
        </w:rPr>
      </w:pPr>
      <w:r w:rsidRPr="00A1145E">
        <w:rPr>
          <w:rFonts w:eastAsia="Calibri"/>
          <w:i/>
        </w:rPr>
        <w:t>Euthanasia</w:t>
      </w:r>
      <w:r w:rsidRPr="00A1145E">
        <w:t>―</w:t>
      </w:r>
      <w:r w:rsidRPr="00A1145E">
        <w:rPr>
          <w:rFonts w:eastAsia="Calibri"/>
        </w:rPr>
        <w:t>intentional causing humane death of an animal in order to relieve pain and suffering.</w:t>
      </w:r>
    </w:p>
    <w:p w14:paraId="62981BBF" w14:textId="77777777" w:rsidR="005A46E7" w:rsidRPr="00A1145E" w:rsidRDefault="005A46E7" w:rsidP="005A46E7">
      <w:pPr>
        <w:pStyle w:val="1"/>
        <w:rPr>
          <w:rFonts w:eastAsia="Calibri"/>
        </w:rPr>
      </w:pPr>
      <w:r w:rsidRPr="00A1145E">
        <w:rPr>
          <w:rFonts w:eastAsia="Calibri"/>
          <w:i/>
        </w:rPr>
        <w:t>Facility</w:t>
      </w:r>
      <w:r w:rsidRPr="00A1145E">
        <w:t>―</w:t>
      </w:r>
      <w:r w:rsidRPr="00A1145E">
        <w:rPr>
          <w:rFonts w:eastAsia="Calibri"/>
        </w:rPr>
        <w:t>premises or something such as a fenced in area or a structure or structures constructed to serve a function related to livestock.</w:t>
      </w:r>
    </w:p>
    <w:p w14:paraId="006D6274" w14:textId="77777777" w:rsidR="005A46E7" w:rsidRPr="00A1145E" w:rsidRDefault="005A46E7" w:rsidP="005A46E7">
      <w:pPr>
        <w:pStyle w:val="1"/>
        <w:rPr>
          <w:rFonts w:eastAsia="Calibri"/>
        </w:rPr>
      </w:pPr>
      <w:r w:rsidRPr="00A1145E">
        <w:rPr>
          <w:rFonts w:eastAsia="Calibri"/>
          <w:i/>
        </w:rPr>
        <w:t>Good Animal Health</w:t>
      </w:r>
      <w:r w:rsidRPr="00A1145E">
        <w:t>―</w:t>
      </w:r>
      <w:r w:rsidRPr="00A1145E">
        <w:rPr>
          <w:rFonts w:eastAsia="Calibri"/>
        </w:rPr>
        <w:t>having good biological function and being free of disease and injury.</w:t>
      </w:r>
    </w:p>
    <w:p w14:paraId="7F66BD79" w14:textId="77777777" w:rsidR="005A46E7" w:rsidRPr="00A1145E" w:rsidRDefault="005A46E7" w:rsidP="005A46E7">
      <w:pPr>
        <w:pStyle w:val="1"/>
        <w:rPr>
          <w:rFonts w:eastAsia="Calibri"/>
        </w:rPr>
      </w:pPr>
      <w:r w:rsidRPr="00A1145E">
        <w:rPr>
          <w:rFonts w:eastAsia="Calibri"/>
          <w:i/>
        </w:rPr>
        <w:t>Handling</w:t>
      </w:r>
      <w:r w:rsidRPr="00A1145E">
        <w:t>―</w:t>
      </w:r>
      <w:r w:rsidRPr="00A1145E">
        <w:rPr>
          <w:rFonts w:eastAsia="Calibri"/>
        </w:rPr>
        <w:t>actions involving hands on treatment of livestock such as loading or unloading, restraining, or moving animals in a pen or chute.</w:t>
      </w:r>
    </w:p>
    <w:p w14:paraId="237FDA26" w14:textId="77777777" w:rsidR="005A46E7" w:rsidRPr="00A1145E" w:rsidRDefault="005A46E7" w:rsidP="005A46E7">
      <w:pPr>
        <w:pStyle w:val="1"/>
        <w:rPr>
          <w:rFonts w:eastAsia="Calibri"/>
        </w:rPr>
      </w:pPr>
      <w:r w:rsidRPr="00A1145E">
        <w:rPr>
          <w:rFonts w:eastAsia="Calibri"/>
          <w:i/>
        </w:rPr>
        <w:t>Health</w:t>
      </w:r>
      <w:r w:rsidRPr="00A1145E">
        <w:t>―</w:t>
      </w:r>
      <w:r w:rsidRPr="00A1145E">
        <w:rPr>
          <w:rFonts w:eastAsia="Calibri"/>
        </w:rPr>
        <w:t>normal biologic and physiologic function free of disease.</w:t>
      </w:r>
    </w:p>
    <w:p w14:paraId="7AE0A750" w14:textId="77777777" w:rsidR="005A46E7" w:rsidRPr="00A1145E" w:rsidRDefault="005A46E7" w:rsidP="005A46E7">
      <w:pPr>
        <w:pStyle w:val="1"/>
        <w:rPr>
          <w:rFonts w:eastAsia="Calibri"/>
        </w:rPr>
      </w:pPr>
      <w:r w:rsidRPr="00A1145E">
        <w:rPr>
          <w:rFonts w:eastAsia="Calibri"/>
          <w:i/>
        </w:rPr>
        <w:t xml:space="preserve">Heat </w:t>
      </w:r>
      <w:r w:rsidRPr="00A1145E">
        <w:rPr>
          <w:rFonts w:eastAsia="Calibri"/>
        </w:rPr>
        <w:t xml:space="preserve">or </w:t>
      </w:r>
      <w:r w:rsidRPr="00A1145E">
        <w:rPr>
          <w:rFonts w:eastAsia="Calibri"/>
          <w:i/>
        </w:rPr>
        <w:t>Cold Stress</w:t>
      </w:r>
      <w:r w:rsidRPr="00A1145E">
        <w:t>―</w:t>
      </w:r>
      <w:r w:rsidRPr="00A1145E">
        <w:rPr>
          <w:rFonts w:eastAsia="Calibri"/>
        </w:rPr>
        <w:t>external temperature and/or humidity causing change of an animal’s physiologic function and/or causing distress.</w:t>
      </w:r>
    </w:p>
    <w:p w14:paraId="177F9B28" w14:textId="77777777" w:rsidR="005A46E7" w:rsidRPr="00A1145E" w:rsidRDefault="005A46E7" w:rsidP="005A46E7">
      <w:pPr>
        <w:pStyle w:val="1"/>
        <w:rPr>
          <w:rFonts w:eastAsia="Calibri"/>
        </w:rPr>
      </w:pPr>
      <w:r w:rsidRPr="00A1145E">
        <w:rPr>
          <w:rFonts w:eastAsia="Calibri"/>
          <w:i/>
        </w:rPr>
        <w:t>Humane Death</w:t>
      </w:r>
      <w:r w:rsidRPr="00A1145E">
        <w:t>―</w:t>
      </w:r>
      <w:r w:rsidRPr="00A1145E">
        <w:rPr>
          <w:rFonts w:eastAsia="Calibri"/>
        </w:rPr>
        <w:t>when an animal dies with minimum pain and suffering that may result through utilization of methods such as inhalant agents, injectable euthanasia agents, or other physical methods.</w:t>
      </w:r>
    </w:p>
    <w:p w14:paraId="15700103" w14:textId="77777777" w:rsidR="005A46E7" w:rsidRPr="00A1145E" w:rsidRDefault="005A46E7" w:rsidP="005A46E7">
      <w:pPr>
        <w:pStyle w:val="1"/>
        <w:rPr>
          <w:rFonts w:eastAsia="Calibri"/>
        </w:rPr>
      </w:pPr>
      <w:r w:rsidRPr="00A1145E">
        <w:rPr>
          <w:rFonts w:eastAsia="Calibri"/>
          <w:i/>
        </w:rPr>
        <w:t>Humane Treatment</w:t>
      </w:r>
      <w:r w:rsidRPr="00A1145E">
        <w:t>―</w:t>
      </w:r>
      <w:r w:rsidRPr="00A1145E">
        <w:rPr>
          <w:rFonts w:eastAsia="Calibri"/>
        </w:rPr>
        <w:t>care an animal receives with the intention and result of promoting animal health as balanced with considerations of human health, food safety, and animal production.</w:t>
      </w:r>
    </w:p>
    <w:p w14:paraId="04E37B67" w14:textId="77777777" w:rsidR="005A46E7" w:rsidRPr="00A1145E" w:rsidRDefault="005A46E7" w:rsidP="005A46E7">
      <w:pPr>
        <w:pStyle w:val="1"/>
        <w:rPr>
          <w:rFonts w:eastAsia="Calibri"/>
        </w:rPr>
      </w:pPr>
      <w:r w:rsidRPr="00A1145E">
        <w:rPr>
          <w:rFonts w:eastAsia="Calibri"/>
          <w:i/>
        </w:rPr>
        <w:t>Injury</w:t>
      </w:r>
      <w:r w:rsidRPr="00A1145E">
        <w:t>―</w:t>
      </w:r>
      <w:r w:rsidRPr="00A1145E">
        <w:rPr>
          <w:rFonts w:eastAsia="Calibri"/>
        </w:rPr>
        <w:t>disruption of tissue causing pain or impaired function.</w:t>
      </w:r>
    </w:p>
    <w:p w14:paraId="2601D172" w14:textId="77777777" w:rsidR="005A46E7" w:rsidRPr="00A1145E" w:rsidRDefault="005A46E7" w:rsidP="005A46E7">
      <w:pPr>
        <w:pStyle w:val="1"/>
        <w:rPr>
          <w:rFonts w:eastAsia="Calibri"/>
        </w:rPr>
      </w:pPr>
      <w:r w:rsidRPr="00A1145E">
        <w:rPr>
          <w:rFonts w:eastAsia="Calibri"/>
          <w:i/>
        </w:rPr>
        <w:t>Insensible</w:t>
      </w:r>
      <w:r w:rsidRPr="00A1145E">
        <w:t>―</w:t>
      </w:r>
      <w:r w:rsidRPr="00A1145E">
        <w:rPr>
          <w:rFonts w:eastAsia="Calibri"/>
        </w:rPr>
        <w:t>unable to perceive any stimulus or having no cortical brain function.</w:t>
      </w:r>
    </w:p>
    <w:p w14:paraId="2ECCD0A4" w14:textId="77777777" w:rsidR="005A46E7" w:rsidRPr="00A1145E" w:rsidRDefault="005A46E7" w:rsidP="005A46E7">
      <w:pPr>
        <w:pStyle w:val="1"/>
        <w:rPr>
          <w:rFonts w:eastAsia="Calibri"/>
        </w:rPr>
      </w:pPr>
      <w:r w:rsidRPr="00A1145E">
        <w:rPr>
          <w:rFonts w:eastAsia="Calibri"/>
          <w:i/>
        </w:rPr>
        <w:t>Knowledge</w:t>
      </w:r>
      <w:r w:rsidRPr="00A1145E">
        <w:t>―</w:t>
      </w:r>
      <w:r w:rsidRPr="00A1145E">
        <w:rPr>
          <w:rFonts w:eastAsia="Calibri"/>
        </w:rPr>
        <w:t xml:space="preserve">having an awareness of scientifically valid facts regarding animal health and animal husbandry and the </w:t>
      </w:r>
      <w:r w:rsidRPr="00A1145E">
        <w:rPr>
          <w:rFonts w:eastAsia="Calibri"/>
        </w:rPr>
        <w:t xml:space="preserve">ability to apply these facts so as to ensure the care and well-being of animals. </w:t>
      </w:r>
    </w:p>
    <w:p w14:paraId="026CEF56" w14:textId="77777777" w:rsidR="005A46E7" w:rsidRPr="00A1145E" w:rsidRDefault="005A46E7" w:rsidP="005A46E7">
      <w:pPr>
        <w:pStyle w:val="1"/>
        <w:rPr>
          <w:rFonts w:eastAsia="Calibri"/>
        </w:rPr>
      </w:pPr>
      <w:r w:rsidRPr="00A1145E">
        <w:rPr>
          <w:rFonts w:eastAsia="Calibri"/>
          <w:i/>
        </w:rPr>
        <w:t>LDAF</w:t>
      </w:r>
      <w:r w:rsidRPr="00A1145E">
        <w:t>―</w:t>
      </w:r>
      <w:r w:rsidRPr="00A1145E">
        <w:rPr>
          <w:rFonts w:eastAsia="Calibri"/>
        </w:rPr>
        <w:t>Louisiana Department of Agriculture and Forestry.</w:t>
      </w:r>
    </w:p>
    <w:p w14:paraId="28265BDC" w14:textId="77777777" w:rsidR="005A46E7" w:rsidRPr="00A1145E" w:rsidRDefault="005A46E7" w:rsidP="005A46E7">
      <w:pPr>
        <w:pStyle w:val="1"/>
        <w:rPr>
          <w:rFonts w:eastAsia="Calibri"/>
        </w:rPr>
      </w:pPr>
      <w:r w:rsidRPr="00A1145E">
        <w:rPr>
          <w:rFonts w:eastAsia="Calibri"/>
          <w:i/>
        </w:rPr>
        <w:t>Livestock</w:t>
      </w:r>
      <w:r w:rsidRPr="00A1145E">
        <w:t>―</w:t>
      </w:r>
      <w:r w:rsidRPr="00A1145E">
        <w:rPr>
          <w:rFonts w:eastAsia="Calibri"/>
        </w:rPr>
        <w:t xml:space="preserve">bovine, equine, porcine, ovine, caprine, and poultry used for show, profit, selling, or producing crops, plant or animal products for market. </w:t>
      </w:r>
    </w:p>
    <w:p w14:paraId="629EC171" w14:textId="77777777" w:rsidR="005A46E7" w:rsidRPr="00A1145E" w:rsidRDefault="005A46E7" w:rsidP="005A46E7">
      <w:pPr>
        <w:pStyle w:val="1"/>
        <w:rPr>
          <w:rFonts w:eastAsia="Calibri"/>
        </w:rPr>
      </w:pPr>
      <w:r w:rsidRPr="00A1145E">
        <w:rPr>
          <w:rFonts w:eastAsia="Calibri"/>
          <w:i/>
        </w:rPr>
        <w:t>Livestock Personnel</w:t>
      </w:r>
      <w:r w:rsidRPr="00A1145E">
        <w:t>―</w:t>
      </w:r>
      <w:r w:rsidRPr="00A1145E">
        <w:rPr>
          <w:rFonts w:eastAsia="Calibri"/>
        </w:rPr>
        <w:t>producer or person in charge of animals.</w:t>
      </w:r>
    </w:p>
    <w:p w14:paraId="7F6FF792" w14:textId="77777777" w:rsidR="005A46E7" w:rsidRPr="00A1145E" w:rsidRDefault="005A46E7" w:rsidP="005A46E7">
      <w:pPr>
        <w:pStyle w:val="1"/>
        <w:rPr>
          <w:rFonts w:eastAsia="Calibri"/>
        </w:rPr>
      </w:pPr>
      <w:r w:rsidRPr="00A1145E">
        <w:rPr>
          <w:rFonts w:eastAsia="Calibri"/>
          <w:i/>
        </w:rPr>
        <w:t>Mass Euthanasia</w:t>
      </w:r>
      <w:r w:rsidRPr="00A1145E">
        <w:t>―</w:t>
      </w:r>
      <w:r w:rsidRPr="00A1145E">
        <w:rPr>
          <w:rFonts w:eastAsia="Calibri"/>
        </w:rPr>
        <w:t xml:space="preserve">putting to death populations of animals in unusual conditions such as wide spread disease eradication and circumstances resulting from natural disasters, as authorized by the state veterinarian. </w:t>
      </w:r>
    </w:p>
    <w:p w14:paraId="05798EFC" w14:textId="77777777" w:rsidR="005A46E7" w:rsidRPr="00A1145E" w:rsidRDefault="005A46E7" w:rsidP="005A46E7">
      <w:pPr>
        <w:pStyle w:val="1"/>
        <w:rPr>
          <w:rFonts w:eastAsia="Calibri"/>
        </w:rPr>
      </w:pPr>
      <w:r w:rsidRPr="00A1145E">
        <w:rPr>
          <w:rFonts w:eastAsia="Calibri"/>
          <w:i/>
        </w:rPr>
        <w:t>Minimize Heat Stress</w:t>
      </w:r>
      <w:r w:rsidRPr="00A1145E">
        <w:t>―</w:t>
      </w:r>
      <w:r w:rsidRPr="00A1145E">
        <w:rPr>
          <w:rFonts w:eastAsia="Calibri"/>
        </w:rPr>
        <w:t>systems utilizing one or more of the following to reduce the negative impact on animals due to heat stress- shade, facility design to improve air flow and ambient temperature from outside temperature and airflow, fans or forced air movement, water cooling systems such as misters, evaporative cooling systems, and climate controlled air conditioning.</w:t>
      </w:r>
    </w:p>
    <w:p w14:paraId="236EFF3D" w14:textId="77777777" w:rsidR="005A46E7" w:rsidRPr="00A1145E" w:rsidRDefault="005A46E7" w:rsidP="005A46E7">
      <w:pPr>
        <w:pStyle w:val="1"/>
        <w:rPr>
          <w:rFonts w:eastAsia="Calibri"/>
        </w:rPr>
      </w:pPr>
      <w:r w:rsidRPr="00A1145E">
        <w:rPr>
          <w:rFonts w:eastAsia="Calibri"/>
          <w:i/>
        </w:rPr>
        <w:t>Minimize Pain and Distress</w:t>
      </w:r>
      <w:r w:rsidRPr="00A1145E">
        <w:t>―</w:t>
      </w:r>
      <w:r w:rsidRPr="00A1145E">
        <w:rPr>
          <w:rFonts w:eastAsia="Calibri"/>
        </w:rPr>
        <w:t>actions taken to reduce or eliminate those stimuli resulting in pain or distress.</w:t>
      </w:r>
    </w:p>
    <w:p w14:paraId="744288A5" w14:textId="77777777" w:rsidR="005A46E7" w:rsidRPr="00A1145E" w:rsidRDefault="005A46E7" w:rsidP="005A46E7">
      <w:pPr>
        <w:pStyle w:val="1"/>
        <w:rPr>
          <w:rFonts w:eastAsia="Calibri"/>
        </w:rPr>
      </w:pPr>
      <w:r w:rsidRPr="00A1145E">
        <w:rPr>
          <w:rFonts w:eastAsia="Calibri"/>
          <w:i/>
        </w:rPr>
        <w:t>National Chicken Council (NCC) Guidelines</w:t>
      </w:r>
      <w:r w:rsidRPr="00A1145E">
        <w:t>―</w:t>
      </w:r>
      <w:r w:rsidRPr="00A1145E">
        <w:rPr>
          <w:rFonts w:eastAsia="Calibri"/>
        </w:rPr>
        <w:t>industry standard program for assessment of animal programs and practices in broiler and broiler breeder operations.</w:t>
      </w:r>
    </w:p>
    <w:p w14:paraId="378118B4" w14:textId="77777777" w:rsidR="005A46E7" w:rsidRPr="00A1145E" w:rsidRDefault="005A46E7" w:rsidP="005A46E7">
      <w:pPr>
        <w:pStyle w:val="1"/>
        <w:rPr>
          <w:rFonts w:eastAsia="Calibri"/>
        </w:rPr>
      </w:pPr>
      <w:r w:rsidRPr="00A1145E">
        <w:rPr>
          <w:rFonts w:eastAsia="Calibri"/>
          <w:i/>
        </w:rPr>
        <w:t>Pain</w:t>
      </w:r>
      <w:r w:rsidRPr="00A1145E">
        <w:t>―</w:t>
      </w:r>
      <w:r w:rsidRPr="00A1145E">
        <w:rPr>
          <w:rFonts w:eastAsia="Calibri"/>
        </w:rPr>
        <w:t>unpleasant stimulus associated with actual or potential tissue damage that is perceived as unpleasant.</w:t>
      </w:r>
    </w:p>
    <w:p w14:paraId="6E9D877B" w14:textId="77777777" w:rsidR="005A46E7" w:rsidRPr="00A1145E" w:rsidRDefault="005A46E7" w:rsidP="005A46E7">
      <w:pPr>
        <w:pStyle w:val="1"/>
        <w:rPr>
          <w:rFonts w:eastAsia="Calibri"/>
        </w:rPr>
      </w:pPr>
      <w:r w:rsidRPr="00A1145E">
        <w:rPr>
          <w:rFonts w:eastAsia="Calibri"/>
          <w:i/>
        </w:rPr>
        <w:t>Parturition</w:t>
      </w:r>
      <w:r w:rsidRPr="00A1145E">
        <w:t>―</w:t>
      </w:r>
      <w:r w:rsidRPr="00A1145E">
        <w:rPr>
          <w:rFonts w:eastAsia="Calibri"/>
        </w:rPr>
        <w:t>act of giving birth (i.e. calving, foaling, lambing, farrowing).</w:t>
      </w:r>
    </w:p>
    <w:p w14:paraId="2C636E93" w14:textId="77777777" w:rsidR="005A46E7" w:rsidRPr="00A1145E" w:rsidRDefault="005A46E7" w:rsidP="005A46E7">
      <w:pPr>
        <w:pStyle w:val="1"/>
        <w:rPr>
          <w:rFonts w:eastAsia="Calibri"/>
        </w:rPr>
      </w:pPr>
      <w:r w:rsidRPr="00A1145E">
        <w:rPr>
          <w:rFonts w:eastAsia="Calibri"/>
          <w:i/>
        </w:rPr>
        <w:t>Person in Charge</w:t>
      </w:r>
      <w:r w:rsidRPr="00A1145E">
        <w:t>―</w:t>
      </w:r>
      <w:r w:rsidRPr="00A1145E">
        <w:rPr>
          <w:rFonts w:eastAsia="Calibri"/>
        </w:rPr>
        <w:t xml:space="preserve">person who has animal(s) under his supervision or control. </w:t>
      </w:r>
    </w:p>
    <w:p w14:paraId="7D95BEA9" w14:textId="77777777" w:rsidR="005A46E7" w:rsidRPr="00A1145E" w:rsidRDefault="005A46E7" w:rsidP="005A46E7">
      <w:pPr>
        <w:pStyle w:val="1"/>
        <w:rPr>
          <w:rFonts w:eastAsia="Calibri"/>
        </w:rPr>
      </w:pPr>
      <w:r w:rsidRPr="00A1145E">
        <w:rPr>
          <w:rFonts w:eastAsia="Calibri"/>
          <w:i/>
        </w:rPr>
        <w:t>Physiologic Requirements</w:t>
      </w:r>
      <w:r w:rsidRPr="00A1145E">
        <w:t>―</w:t>
      </w:r>
      <w:r w:rsidRPr="00A1145E">
        <w:rPr>
          <w:rFonts w:eastAsia="Calibri"/>
        </w:rPr>
        <w:t>conditions needed to maintain an animal’s normal body function given their physical, metabolic, and hormonal demands.</w:t>
      </w:r>
    </w:p>
    <w:p w14:paraId="74C0619C" w14:textId="77777777" w:rsidR="005A46E7" w:rsidRPr="00A1145E" w:rsidRDefault="005A46E7" w:rsidP="005A46E7">
      <w:pPr>
        <w:pStyle w:val="1"/>
        <w:rPr>
          <w:rFonts w:eastAsia="Calibri"/>
        </w:rPr>
      </w:pPr>
      <w:r w:rsidRPr="00A1145E">
        <w:rPr>
          <w:rFonts w:eastAsia="Calibri"/>
          <w:i/>
        </w:rPr>
        <w:t>Physiologic State</w:t>
      </w:r>
      <w:r w:rsidRPr="00A1145E">
        <w:t>―</w:t>
      </w:r>
      <w:r w:rsidRPr="00A1145E">
        <w:rPr>
          <w:rFonts w:eastAsia="Calibri"/>
        </w:rPr>
        <w:t xml:space="preserve">functioning of an animal’s body, including its current body systems, metabolism, and homeostasis. </w:t>
      </w:r>
    </w:p>
    <w:p w14:paraId="136DA692" w14:textId="77777777" w:rsidR="005A46E7" w:rsidRPr="00A1145E" w:rsidRDefault="005A46E7" w:rsidP="005A46E7">
      <w:pPr>
        <w:pStyle w:val="1"/>
        <w:rPr>
          <w:rFonts w:eastAsia="Calibri"/>
        </w:rPr>
      </w:pPr>
      <w:r w:rsidRPr="00A1145E">
        <w:rPr>
          <w:rFonts w:eastAsia="Calibri"/>
          <w:i/>
        </w:rPr>
        <w:t>Practical</w:t>
      </w:r>
      <w:r w:rsidRPr="00A1145E">
        <w:t>―</w:t>
      </w:r>
      <w:r w:rsidRPr="00A1145E">
        <w:rPr>
          <w:rFonts w:eastAsia="Calibri"/>
        </w:rPr>
        <w:t>method or technology which is easily available and economically viable as determined by acceptable standards.</w:t>
      </w:r>
    </w:p>
    <w:p w14:paraId="709BDD1E" w14:textId="77777777" w:rsidR="005A46E7" w:rsidRPr="00A1145E" w:rsidRDefault="005A46E7" w:rsidP="005A46E7">
      <w:pPr>
        <w:pStyle w:val="1"/>
        <w:rPr>
          <w:rFonts w:eastAsia="Calibri"/>
        </w:rPr>
      </w:pPr>
      <w:r w:rsidRPr="00A1145E">
        <w:rPr>
          <w:rFonts w:eastAsia="Calibri"/>
          <w:i/>
        </w:rPr>
        <w:t>Producer</w:t>
      </w:r>
      <w:r w:rsidRPr="00A1145E">
        <w:t>―</w:t>
      </w:r>
      <w:r w:rsidRPr="00A1145E">
        <w:rPr>
          <w:rFonts w:eastAsia="Calibri"/>
        </w:rPr>
        <w:t>person who owns and is responsible for the care of livestock that are raised for home use or for profit, especially on a farm.</w:t>
      </w:r>
    </w:p>
    <w:p w14:paraId="267EBCF0" w14:textId="77777777" w:rsidR="005A46E7" w:rsidRPr="00A1145E" w:rsidRDefault="005A46E7" w:rsidP="005A46E7">
      <w:pPr>
        <w:pStyle w:val="1"/>
        <w:rPr>
          <w:rFonts w:eastAsia="Calibri"/>
        </w:rPr>
      </w:pPr>
      <w:r w:rsidRPr="00A1145E">
        <w:rPr>
          <w:rFonts w:eastAsia="Calibri"/>
          <w:i/>
        </w:rPr>
        <w:t>Rapid Loss of Consciousness</w:t>
      </w:r>
      <w:r w:rsidRPr="00A1145E">
        <w:t>―</w:t>
      </w:r>
      <w:r w:rsidRPr="00A1145E">
        <w:rPr>
          <w:rFonts w:eastAsia="Calibri"/>
        </w:rPr>
        <w:t xml:space="preserve">that which causes an animal to lose consciousness within 60 seconds. </w:t>
      </w:r>
    </w:p>
    <w:p w14:paraId="67231289" w14:textId="77777777" w:rsidR="005A46E7" w:rsidRPr="00A1145E" w:rsidRDefault="005A46E7" w:rsidP="005A46E7">
      <w:pPr>
        <w:pStyle w:val="1"/>
        <w:rPr>
          <w:rFonts w:eastAsia="Calibri"/>
        </w:rPr>
      </w:pPr>
      <w:r w:rsidRPr="00A1145E">
        <w:rPr>
          <w:rFonts w:eastAsia="Calibri"/>
          <w:i/>
        </w:rPr>
        <w:t>Remedial Action</w:t>
      </w:r>
      <w:r w:rsidRPr="00A1145E">
        <w:t>―</w:t>
      </w:r>
      <w:r w:rsidRPr="00A1145E">
        <w:rPr>
          <w:rFonts w:eastAsia="Calibri"/>
        </w:rPr>
        <w:t>any action taken to provide care, nutrition, treatment, veterinary treatment, or other action in order to eliminate the cause of compromised animal health.</w:t>
      </w:r>
    </w:p>
    <w:p w14:paraId="478AF952" w14:textId="77777777" w:rsidR="005A46E7" w:rsidRPr="00A1145E" w:rsidRDefault="005A46E7" w:rsidP="005A46E7">
      <w:pPr>
        <w:pStyle w:val="1"/>
        <w:rPr>
          <w:rFonts w:eastAsia="Calibri"/>
        </w:rPr>
      </w:pPr>
      <w:r w:rsidRPr="00A1145E">
        <w:rPr>
          <w:rFonts w:eastAsia="Calibri"/>
          <w:i/>
        </w:rPr>
        <w:t>Shelter</w:t>
      </w:r>
      <w:r w:rsidRPr="00A1145E">
        <w:t>―</w:t>
      </w:r>
      <w:r w:rsidRPr="00A1145E">
        <w:rPr>
          <w:rFonts w:eastAsia="Calibri"/>
        </w:rPr>
        <w:t xml:space="preserve">physical object or construct that provides protection from weather and climate to a specific animal; </w:t>
      </w:r>
      <w:r w:rsidRPr="00A1145E">
        <w:rPr>
          <w:rFonts w:eastAsia="Calibri"/>
          <w:i/>
        </w:rPr>
        <w:t>shelter</w:t>
      </w:r>
      <w:r w:rsidRPr="00A1145E">
        <w:rPr>
          <w:rFonts w:eastAsia="Calibri"/>
        </w:rPr>
        <w:t xml:space="preserve"> may include manmade constructions, variations in the </w:t>
      </w:r>
      <w:r w:rsidRPr="00A1145E">
        <w:rPr>
          <w:rFonts w:eastAsia="Calibri"/>
        </w:rPr>
        <w:lastRenderedPageBreak/>
        <w:t xml:space="preserve">topography of land, plants, trees, and shrubbery as conditions may require. </w:t>
      </w:r>
    </w:p>
    <w:p w14:paraId="398B99AE" w14:textId="77777777" w:rsidR="005A46E7" w:rsidRPr="00A1145E" w:rsidRDefault="005A46E7" w:rsidP="005A46E7">
      <w:pPr>
        <w:pStyle w:val="1"/>
        <w:rPr>
          <w:rFonts w:eastAsia="Calibri"/>
        </w:rPr>
      </w:pPr>
      <w:r w:rsidRPr="00A1145E">
        <w:rPr>
          <w:rFonts w:eastAsia="Calibri"/>
          <w:i/>
        </w:rPr>
        <w:t>Stress</w:t>
      </w:r>
      <w:r w:rsidRPr="00A1145E">
        <w:t>―</w:t>
      </w:r>
      <w:r w:rsidRPr="00A1145E">
        <w:rPr>
          <w:rFonts w:eastAsia="Calibri"/>
        </w:rPr>
        <w:t>reaction by an animal to an uncomfortable or unfamiliar physical or psychological stimulus that may include an increased state of alertness, anxiety, increased heart rate, or sweating.</w:t>
      </w:r>
    </w:p>
    <w:p w14:paraId="3B93685A" w14:textId="77777777" w:rsidR="005A46E7" w:rsidRPr="00A1145E" w:rsidRDefault="005A46E7" w:rsidP="005A46E7">
      <w:pPr>
        <w:pStyle w:val="1"/>
        <w:rPr>
          <w:rFonts w:eastAsia="Calibri"/>
        </w:rPr>
      </w:pPr>
      <w:r w:rsidRPr="00A1145E">
        <w:rPr>
          <w:rFonts w:eastAsia="Calibri"/>
          <w:i/>
        </w:rPr>
        <w:t>Sufficient</w:t>
      </w:r>
      <w:r w:rsidRPr="00A1145E">
        <w:t>―</w:t>
      </w:r>
      <w:r w:rsidRPr="00A1145E">
        <w:rPr>
          <w:rFonts w:eastAsia="Calibri"/>
        </w:rPr>
        <w:t xml:space="preserve">enough to meet the physiological needs of the animal (i.e. adequate nutrition to maintain an average BCS). </w:t>
      </w:r>
    </w:p>
    <w:p w14:paraId="21170AC1" w14:textId="77777777" w:rsidR="005A46E7" w:rsidRPr="00A1145E" w:rsidRDefault="005A46E7" w:rsidP="005A46E7">
      <w:pPr>
        <w:pStyle w:val="1"/>
        <w:rPr>
          <w:rFonts w:eastAsia="Calibri"/>
        </w:rPr>
      </w:pPr>
      <w:r w:rsidRPr="00A1145E">
        <w:rPr>
          <w:rFonts w:eastAsia="Calibri"/>
          <w:i/>
        </w:rPr>
        <w:t>Supervision</w:t>
      </w:r>
      <w:r w:rsidRPr="00A1145E">
        <w:t>―</w:t>
      </w:r>
      <w:r w:rsidRPr="00A1145E">
        <w:rPr>
          <w:rFonts w:eastAsia="Calibri"/>
        </w:rPr>
        <w:t xml:space="preserve">act or having the responsibility to ensure an animal is provided care. </w:t>
      </w:r>
    </w:p>
    <w:p w14:paraId="0C046196" w14:textId="77777777" w:rsidR="005A46E7" w:rsidRPr="00A1145E" w:rsidRDefault="005A46E7" w:rsidP="005A46E7">
      <w:pPr>
        <w:pStyle w:val="1"/>
        <w:rPr>
          <w:rFonts w:eastAsia="Calibri"/>
        </w:rPr>
      </w:pPr>
      <w:r w:rsidRPr="00A1145E">
        <w:rPr>
          <w:rFonts w:eastAsia="Calibri"/>
          <w:i/>
        </w:rPr>
        <w:t>Timely Manner</w:t>
      </w:r>
      <w:r w:rsidRPr="00A1145E">
        <w:t>―</w:t>
      </w:r>
      <w:r w:rsidRPr="00A1145E">
        <w:rPr>
          <w:rFonts w:eastAsia="Calibri"/>
        </w:rPr>
        <w:t>soon enough that is not too late.</w:t>
      </w:r>
    </w:p>
    <w:p w14:paraId="1F20784F" w14:textId="77777777" w:rsidR="005A46E7" w:rsidRPr="00A1145E" w:rsidRDefault="005A46E7" w:rsidP="005A46E7">
      <w:pPr>
        <w:pStyle w:val="1"/>
        <w:rPr>
          <w:rFonts w:eastAsia="Calibri"/>
        </w:rPr>
      </w:pPr>
      <w:r w:rsidRPr="00A1145E">
        <w:rPr>
          <w:rFonts w:eastAsia="Calibri"/>
          <w:i/>
        </w:rPr>
        <w:t>Veterinary Treatment</w:t>
      </w:r>
      <w:r w:rsidRPr="00A1145E">
        <w:t>―</w:t>
      </w:r>
      <w:r w:rsidRPr="00A1145E">
        <w:rPr>
          <w:rFonts w:eastAsia="Calibri"/>
        </w:rPr>
        <w:t xml:space="preserve">procedure or care performed by or on the order of a licensed veterinarian. </w:t>
      </w:r>
    </w:p>
    <w:p w14:paraId="3BB426BF"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093F4222" w14:textId="77777777"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3238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40:984 (May 2014).</w:t>
      </w:r>
    </w:p>
    <w:p w14:paraId="5AD8D689" w14:textId="77777777" w:rsidR="005A46E7" w:rsidRPr="00A1145E" w:rsidRDefault="005A46E7" w:rsidP="005A46E7">
      <w:pPr>
        <w:pStyle w:val="Section"/>
        <w:rPr>
          <w:rFonts w:eastAsia="Calibri"/>
        </w:rPr>
      </w:pPr>
      <w:bookmarkStart w:id="2329" w:name="_Toc375025605"/>
      <w:bookmarkStart w:id="2330" w:name="_Toc224819187"/>
      <w:r>
        <w:rPr>
          <w:rFonts w:eastAsia="Calibri"/>
        </w:rPr>
        <w:t>§2103.</w:t>
      </w:r>
      <w:r>
        <w:rPr>
          <w:rFonts w:eastAsia="Calibri"/>
        </w:rPr>
        <w:tab/>
      </w:r>
      <w:r w:rsidRPr="00A1145E">
        <w:rPr>
          <w:rFonts w:eastAsia="Calibri"/>
        </w:rPr>
        <w:t>General Standards that Apply to the Production of All Animals</w:t>
      </w:r>
      <w:bookmarkEnd w:id="2329"/>
      <w:r>
        <w:rPr>
          <w:rFonts w:eastAsia="Calibri"/>
        </w:rPr>
        <w:br/>
        <w:t>(</w:t>
      </w:r>
      <w:r w:rsidRPr="00A1145E">
        <w:rPr>
          <w:rFonts w:eastAsia="Calibri"/>
        </w:rPr>
        <w:t>Formerly §3103</w:t>
      </w:r>
      <w:r>
        <w:rPr>
          <w:rFonts w:eastAsia="Calibri"/>
        </w:rPr>
        <w:t>)</w:t>
      </w:r>
      <w:bookmarkEnd w:id="2330"/>
    </w:p>
    <w:p w14:paraId="4BAB2AD9" w14:textId="77777777" w:rsidR="005A46E7" w:rsidRPr="00A1145E" w:rsidRDefault="005A46E7" w:rsidP="005A46E7">
      <w:pPr>
        <w:pStyle w:val="A"/>
        <w:rPr>
          <w:rFonts w:eastAsia="Calibri"/>
        </w:rPr>
      </w:pPr>
      <w:r w:rsidRPr="00A1145E">
        <w:rPr>
          <w:rFonts w:eastAsia="Calibri"/>
        </w:rPr>
        <w:t>A.</w:t>
      </w:r>
      <w:r w:rsidRPr="00A1145E">
        <w:rPr>
          <w:rFonts w:eastAsia="Calibri"/>
        </w:rPr>
        <w:tab/>
        <w:t>Producer or person in charge of animals shall ensure that a sufficient level of animal health and animal care and well-being is maintained for the livestock.</w:t>
      </w:r>
    </w:p>
    <w:p w14:paraId="0097A1F3" w14:textId="77777777" w:rsidR="005A46E7" w:rsidRPr="00A1145E" w:rsidRDefault="005A46E7" w:rsidP="005A46E7">
      <w:pPr>
        <w:pStyle w:val="1"/>
        <w:rPr>
          <w:rFonts w:eastAsia="Calibri"/>
        </w:rPr>
      </w:pPr>
      <w:r w:rsidRPr="00A1145E">
        <w:rPr>
          <w:rFonts w:eastAsia="Calibri"/>
        </w:rPr>
        <w:t>1.</w:t>
      </w:r>
      <w:r w:rsidRPr="00A1145E">
        <w:rPr>
          <w:rFonts w:eastAsia="Calibri"/>
        </w:rPr>
        <w:tab/>
        <w:t>Livestock personnel shall have the proper level of knowledge, ability, and competency to maintain the health and care and well-being of livestock as specified in this Code.</w:t>
      </w:r>
    </w:p>
    <w:p w14:paraId="542C95F5" w14:textId="77777777" w:rsidR="005A46E7" w:rsidRPr="00A1145E" w:rsidRDefault="005A46E7" w:rsidP="005A46E7">
      <w:pPr>
        <w:pStyle w:val="1"/>
        <w:rPr>
          <w:rFonts w:eastAsia="Calibri"/>
        </w:rPr>
      </w:pPr>
      <w:r w:rsidRPr="00A1145E">
        <w:rPr>
          <w:rFonts w:eastAsia="Calibri"/>
        </w:rPr>
        <w:t>2.</w:t>
      </w:r>
      <w:r w:rsidRPr="00A1145E">
        <w:rPr>
          <w:rFonts w:eastAsia="Calibri"/>
        </w:rPr>
        <w:tab/>
        <w:t>Livestock shall be inspected as determined by livestock personnel based on their age and physiologic state to ensure they remain healthy and to allow for timely remedial action for those livestock found to be diseased or distressed.</w:t>
      </w:r>
    </w:p>
    <w:p w14:paraId="4D81B810" w14:textId="77777777" w:rsidR="005A46E7" w:rsidRPr="00A1145E" w:rsidRDefault="005A46E7" w:rsidP="005A46E7">
      <w:pPr>
        <w:pStyle w:val="A"/>
        <w:rPr>
          <w:rFonts w:eastAsia="Calibri"/>
        </w:rPr>
      </w:pPr>
      <w:r w:rsidRPr="00A1145E">
        <w:rPr>
          <w:rFonts w:eastAsia="Calibri"/>
        </w:rPr>
        <w:t>B.</w:t>
      </w:r>
      <w:r w:rsidRPr="00A1145E">
        <w:rPr>
          <w:rFonts w:eastAsia="Calibri"/>
        </w:rPr>
        <w:tab/>
        <w:t>Exceptions</w:t>
      </w:r>
    </w:p>
    <w:p w14:paraId="047F1DE0" w14:textId="77777777" w:rsidR="005A46E7" w:rsidRPr="00A1145E" w:rsidRDefault="005A46E7" w:rsidP="005A46E7">
      <w:pPr>
        <w:pStyle w:val="1"/>
        <w:rPr>
          <w:rFonts w:eastAsia="Calibri"/>
        </w:rPr>
      </w:pPr>
      <w:r w:rsidRPr="00A1145E">
        <w:rPr>
          <w:rFonts w:eastAsia="Calibri"/>
        </w:rPr>
        <w:t>1.</w:t>
      </w:r>
      <w:r w:rsidRPr="00A1145E">
        <w:rPr>
          <w:rFonts w:eastAsia="Calibri"/>
        </w:rPr>
        <w:tab/>
        <w:t>Any standard in this code may be excepted by or under the advice of a licensed veterinarian as required for the prevention, diagnosis, management, treatment, or control of disease or injury.</w:t>
      </w:r>
    </w:p>
    <w:p w14:paraId="1BA9C89C" w14:textId="77777777" w:rsidR="005A46E7" w:rsidRPr="00A1145E" w:rsidRDefault="005A46E7" w:rsidP="005A46E7">
      <w:pPr>
        <w:pStyle w:val="1"/>
        <w:rPr>
          <w:rFonts w:eastAsia="Calibri"/>
        </w:rPr>
      </w:pPr>
      <w:r w:rsidRPr="00A1145E">
        <w:rPr>
          <w:rFonts w:eastAsia="Calibri"/>
        </w:rPr>
        <w:t>2.</w:t>
      </w:r>
      <w:r w:rsidRPr="00A1145E">
        <w:rPr>
          <w:rFonts w:eastAsia="Calibri"/>
        </w:rPr>
        <w:tab/>
        <w:t>Any standard in this code may be excepted during a declared disaster, foreign animal disease outbreak, or other exceptional circumstance as deemed necessary by LDAF.</w:t>
      </w:r>
    </w:p>
    <w:p w14:paraId="5B81BEEB" w14:textId="77777777" w:rsidR="005A46E7" w:rsidRPr="00A1145E" w:rsidRDefault="005A46E7" w:rsidP="005A46E7">
      <w:pPr>
        <w:pStyle w:val="1"/>
        <w:rPr>
          <w:rFonts w:eastAsia="Calibri"/>
        </w:rPr>
      </w:pPr>
      <w:r w:rsidRPr="00A1145E">
        <w:rPr>
          <w:rFonts w:eastAsia="Calibri"/>
        </w:rPr>
        <w:t>3.</w:t>
      </w:r>
      <w:r w:rsidRPr="00A1145E">
        <w:rPr>
          <w:rFonts w:eastAsia="Calibri"/>
        </w:rPr>
        <w:tab/>
        <w:t>Any standards in this code may be excepted by LDAF as deemed necessary to promote animal health or care, human health, agriculture, food safety, or other compelling need of the people or resources of the state of Louisiana.</w:t>
      </w:r>
    </w:p>
    <w:p w14:paraId="1B862AB2" w14:textId="77777777" w:rsidR="005A46E7" w:rsidRPr="00A1145E" w:rsidRDefault="005A46E7" w:rsidP="005A46E7">
      <w:pPr>
        <w:pStyle w:val="A"/>
        <w:rPr>
          <w:rFonts w:eastAsia="Calibri"/>
        </w:rPr>
      </w:pPr>
      <w:r w:rsidRPr="00A1145E">
        <w:rPr>
          <w:rFonts w:eastAsia="Calibri"/>
        </w:rPr>
        <w:t>C.</w:t>
      </w:r>
      <w:r w:rsidRPr="00A1145E">
        <w:rPr>
          <w:rFonts w:eastAsia="Calibri"/>
        </w:rPr>
        <w:tab/>
        <w:t>Housing</w:t>
      </w:r>
    </w:p>
    <w:p w14:paraId="0520A2AB"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Shelter as defined in this document may be a necessary requirement for livestock. All facilities in which livestock are maintained shall be kept clean and ventilated so as to minimize injury or pain caused by noxious gases. All facilities in which livestock are maintained shall be </w:t>
      </w:r>
      <w:r w:rsidRPr="00A1145E">
        <w:rPr>
          <w:rFonts w:eastAsia="Calibri"/>
        </w:rPr>
        <w:t>constructed and maintained so as to minimize disease and injury to animals.</w:t>
      </w:r>
    </w:p>
    <w:p w14:paraId="500D2FD8" w14:textId="77777777" w:rsidR="005A46E7" w:rsidRPr="00A1145E" w:rsidRDefault="005A46E7" w:rsidP="005A46E7">
      <w:pPr>
        <w:pStyle w:val="1"/>
        <w:rPr>
          <w:rFonts w:eastAsia="Calibri"/>
        </w:rPr>
      </w:pPr>
      <w:r w:rsidRPr="00A1145E">
        <w:rPr>
          <w:rFonts w:eastAsia="Calibri"/>
        </w:rPr>
        <w:t>2.</w:t>
      </w:r>
      <w:r w:rsidRPr="00A1145E">
        <w:rPr>
          <w:rFonts w:eastAsia="Calibri"/>
        </w:rPr>
        <w:tab/>
        <w:t>All facilities in which livestock are maintained shall be constructed and maintained so as to securely contain the livestock within.</w:t>
      </w:r>
    </w:p>
    <w:p w14:paraId="24F15460" w14:textId="77777777" w:rsidR="005A46E7" w:rsidRPr="00A1145E" w:rsidRDefault="005A46E7" w:rsidP="005A46E7">
      <w:pPr>
        <w:pStyle w:val="1"/>
        <w:rPr>
          <w:rFonts w:eastAsia="Calibri"/>
        </w:rPr>
      </w:pPr>
      <w:r w:rsidRPr="00A1145E">
        <w:rPr>
          <w:rFonts w:eastAsia="Calibri"/>
        </w:rPr>
        <w:t>3.</w:t>
      </w:r>
      <w:r w:rsidRPr="00A1145E">
        <w:rPr>
          <w:rFonts w:eastAsia="Calibri"/>
        </w:rPr>
        <w:tab/>
        <w:t xml:space="preserve">Livestock shall be able to lie down and rest comfortably so as to meet their behavioral needs for rest. </w:t>
      </w:r>
    </w:p>
    <w:p w14:paraId="593EB7B9" w14:textId="77777777" w:rsidR="005A46E7" w:rsidRPr="00A1145E" w:rsidRDefault="005A46E7" w:rsidP="005A46E7">
      <w:pPr>
        <w:pStyle w:val="1"/>
        <w:rPr>
          <w:rFonts w:eastAsia="Calibri"/>
        </w:rPr>
      </w:pPr>
      <w:r w:rsidRPr="00A1145E">
        <w:rPr>
          <w:rFonts w:eastAsia="Calibri"/>
        </w:rPr>
        <w:t>4.</w:t>
      </w:r>
      <w:r w:rsidRPr="00A1145E">
        <w:rPr>
          <w:rFonts w:eastAsia="Calibri"/>
        </w:rPr>
        <w:tab/>
        <w:t>For livestock housed in an indoor facility with concrete floor, dry bedding shall be provided for the comfort and warmth of the livestock.</w:t>
      </w:r>
    </w:p>
    <w:p w14:paraId="561B0DAC" w14:textId="77777777" w:rsidR="005A46E7" w:rsidRPr="00A1145E" w:rsidRDefault="005A46E7" w:rsidP="005A46E7">
      <w:pPr>
        <w:pStyle w:val="A"/>
        <w:rPr>
          <w:rFonts w:eastAsia="Calibri"/>
        </w:rPr>
      </w:pPr>
      <w:r w:rsidRPr="00A1145E">
        <w:rPr>
          <w:rFonts w:eastAsia="Calibri"/>
        </w:rPr>
        <w:t>D.</w:t>
      </w:r>
      <w:r w:rsidRPr="00A1145E">
        <w:rPr>
          <w:rFonts w:eastAsia="Calibri"/>
        </w:rPr>
        <w:tab/>
        <w:t>Nutrition and Water</w:t>
      </w:r>
    </w:p>
    <w:p w14:paraId="66E854AD" w14:textId="77777777" w:rsidR="005A46E7" w:rsidRPr="00A1145E" w:rsidRDefault="005A46E7" w:rsidP="005A46E7">
      <w:pPr>
        <w:pStyle w:val="1"/>
        <w:rPr>
          <w:rFonts w:eastAsia="Calibri"/>
        </w:rPr>
      </w:pPr>
      <w:r w:rsidRPr="00A1145E">
        <w:rPr>
          <w:rFonts w:eastAsia="Calibri"/>
        </w:rPr>
        <w:t>1.</w:t>
      </w:r>
      <w:r w:rsidRPr="00A1145E">
        <w:rPr>
          <w:rFonts w:eastAsia="Calibri"/>
        </w:rPr>
        <w:tab/>
        <w:t>All livestock shall be provided sufficient food to maintain good health, meet their physiological requirements, and minimize nutritional or metabolic disease.</w:t>
      </w:r>
    </w:p>
    <w:p w14:paraId="7A055ED7" w14:textId="77777777" w:rsidR="005A46E7" w:rsidRPr="00A1145E" w:rsidRDefault="005A46E7" w:rsidP="005A46E7">
      <w:pPr>
        <w:pStyle w:val="1"/>
        <w:rPr>
          <w:rFonts w:eastAsia="Calibri"/>
        </w:rPr>
      </w:pPr>
      <w:r w:rsidRPr="00A1145E">
        <w:rPr>
          <w:rFonts w:eastAsia="Calibri"/>
        </w:rPr>
        <w:t>2.</w:t>
      </w:r>
      <w:r w:rsidRPr="00A1145E">
        <w:rPr>
          <w:rFonts w:eastAsia="Calibri"/>
        </w:rPr>
        <w:tab/>
        <w:t>All livestock shall have access to water, including ponds, so as to maintain adequate hydration.</w:t>
      </w:r>
    </w:p>
    <w:p w14:paraId="3B1450D2" w14:textId="77777777" w:rsidR="005A46E7" w:rsidRPr="00A1145E" w:rsidRDefault="005A46E7" w:rsidP="005A46E7">
      <w:pPr>
        <w:pStyle w:val="1"/>
        <w:rPr>
          <w:rFonts w:eastAsia="Calibri"/>
        </w:rPr>
      </w:pPr>
      <w:r w:rsidRPr="00A1145E">
        <w:rPr>
          <w:rFonts w:eastAsia="Calibri"/>
        </w:rPr>
        <w:t>3.</w:t>
      </w:r>
      <w:r w:rsidRPr="00A1145E">
        <w:rPr>
          <w:rFonts w:eastAsia="Calibri"/>
        </w:rPr>
        <w:tab/>
        <w:t>Nutritional standards for livestock may vary with level of activity, pregnancy/nursing status, age, or medical status; veterinary or nutritional consultation may be required to establish these standards.</w:t>
      </w:r>
    </w:p>
    <w:p w14:paraId="156D65BA" w14:textId="77777777" w:rsidR="005A46E7" w:rsidRPr="00A1145E" w:rsidRDefault="005A46E7" w:rsidP="005A46E7">
      <w:pPr>
        <w:pStyle w:val="1"/>
        <w:rPr>
          <w:rFonts w:eastAsia="Calibri"/>
        </w:rPr>
      </w:pPr>
      <w:r w:rsidRPr="00A1145E">
        <w:rPr>
          <w:rFonts w:eastAsia="Calibri"/>
        </w:rPr>
        <w:t>4.</w:t>
      </w:r>
      <w:r w:rsidRPr="00A1145E">
        <w:rPr>
          <w:rFonts w:eastAsia="Calibri"/>
        </w:rPr>
        <w:tab/>
        <w:t xml:space="preserve">Exception. Food and water may be temporarily withheld when handling, treating, or transporting livestock. </w:t>
      </w:r>
    </w:p>
    <w:p w14:paraId="20E45774" w14:textId="77777777" w:rsidR="005A46E7" w:rsidRPr="00A1145E" w:rsidRDefault="005A46E7" w:rsidP="005A46E7">
      <w:pPr>
        <w:pStyle w:val="A"/>
        <w:rPr>
          <w:rFonts w:eastAsia="Calibri"/>
        </w:rPr>
      </w:pPr>
      <w:r w:rsidRPr="00A1145E">
        <w:rPr>
          <w:rFonts w:eastAsia="Calibri"/>
        </w:rPr>
        <w:t>E.</w:t>
      </w:r>
      <w:r w:rsidRPr="00A1145E">
        <w:rPr>
          <w:rFonts w:eastAsia="Calibri"/>
        </w:rPr>
        <w:tab/>
        <w:t>Health and Veterinary Care</w:t>
      </w:r>
    </w:p>
    <w:p w14:paraId="72FBD088"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All producers shall develop and implement an animal care and well-being plan to promote the health of the livestock. </w:t>
      </w:r>
    </w:p>
    <w:p w14:paraId="417BF7FA" w14:textId="77777777" w:rsidR="005A46E7" w:rsidRPr="00A1145E" w:rsidRDefault="005A46E7" w:rsidP="005A46E7">
      <w:pPr>
        <w:pStyle w:val="1"/>
        <w:rPr>
          <w:rFonts w:eastAsia="Calibri"/>
        </w:rPr>
      </w:pPr>
      <w:r w:rsidRPr="00A1145E">
        <w:rPr>
          <w:rFonts w:eastAsia="Calibri"/>
        </w:rPr>
        <w:t>2.</w:t>
      </w:r>
      <w:r w:rsidRPr="00A1145E">
        <w:rPr>
          <w:rFonts w:eastAsia="Calibri"/>
        </w:rPr>
        <w:tab/>
        <w:t>Livestock shall be monitored regularly as determined by producers and livestock personnel so signs of injury or disease are identified in a timely fashion.</w:t>
      </w:r>
    </w:p>
    <w:p w14:paraId="4BE5145A" w14:textId="77777777" w:rsidR="005A46E7" w:rsidRPr="00A1145E" w:rsidRDefault="005A46E7" w:rsidP="005A46E7">
      <w:pPr>
        <w:pStyle w:val="1"/>
        <w:rPr>
          <w:rFonts w:eastAsia="Calibri"/>
        </w:rPr>
      </w:pPr>
      <w:r w:rsidRPr="00A1145E">
        <w:rPr>
          <w:rFonts w:eastAsia="Calibri"/>
        </w:rPr>
        <w:t>3.</w:t>
      </w:r>
      <w:r w:rsidRPr="00A1145E">
        <w:rPr>
          <w:rFonts w:eastAsia="Calibri"/>
        </w:rPr>
        <w:tab/>
        <w:t>Producers shall treat signs of injury or disease in a timely manner to prevent or control compromised health of cattle.</w:t>
      </w:r>
    </w:p>
    <w:p w14:paraId="2E4A9511" w14:textId="77777777" w:rsidR="005A46E7" w:rsidRPr="00A1145E" w:rsidRDefault="005A46E7" w:rsidP="005A46E7">
      <w:pPr>
        <w:pStyle w:val="a0"/>
        <w:rPr>
          <w:rFonts w:eastAsia="Calibri"/>
        </w:rPr>
      </w:pPr>
      <w:r w:rsidRPr="00A1145E">
        <w:rPr>
          <w:rFonts w:eastAsia="Calibri"/>
        </w:rPr>
        <w:t>a.</w:t>
      </w:r>
      <w:r w:rsidRPr="00A1145E">
        <w:rPr>
          <w:rFonts w:eastAsia="Calibri"/>
        </w:rPr>
        <w:tab/>
        <w:t>Producers shall determine when a licensed veterinarian shall be consulted in the diagnosis, treatment, management, and prevention of injury or disease as necessary to minimize pain and distress of livestock.</w:t>
      </w:r>
    </w:p>
    <w:p w14:paraId="7E4574E1" w14:textId="77777777" w:rsidR="005A46E7" w:rsidRPr="00A1145E" w:rsidRDefault="005A46E7" w:rsidP="005A46E7">
      <w:pPr>
        <w:pStyle w:val="1"/>
        <w:rPr>
          <w:rFonts w:eastAsia="Calibri"/>
        </w:rPr>
      </w:pPr>
      <w:r w:rsidRPr="00A1145E">
        <w:rPr>
          <w:rFonts w:eastAsia="Calibri"/>
        </w:rPr>
        <w:t>4.</w:t>
      </w:r>
      <w:r w:rsidRPr="00A1145E">
        <w:rPr>
          <w:rFonts w:eastAsia="Calibri"/>
        </w:rPr>
        <w:tab/>
        <w:t xml:space="preserve">Livestock other than dairy cattle with a body condition score less than three, and dairy cattle with a BCS less than two shall receive prompt care and/or treatment (see BCS charts below). </w:t>
      </w:r>
    </w:p>
    <w:p w14:paraId="49A1D56C" w14:textId="77777777" w:rsidR="005A46E7" w:rsidRPr="00A1145E" w:rsidRDefault="005A46E7" w:rsidP="005A46E7">
      <w:pPr>
        <w:pStyle w:val="1"/>
        <w:rPr>
          <w:rFonts w:eastAsia="Calibri"/>
        </w:rPr>
      </w:pPr>
      <w:r w:rsidRPr="00A1145E">
        <w:rPr>
          <w:rFonts w:eastAsia="Calibri"/>
        </w:rPr>
        <w:t>5.</w:t>
      </w:r>
      <w:r w:rsidRPr="00A1145E">
        <w:rPr>
          <w:rFonts w:eastAsia="Calibri"/>
        </w:rPr>
        <w:tab/>
        <w:t xml:space="preserve">Livestock suffering from severe lameness shall receive prompt remedial action. </w:t>
      </w:r>
    </w:p>
    <w:p w14:paraId="60856979" w14:textId="77777777" w:rsidR="005A46E7" w:rsidRPr="00A1145E" w:rsidRDefault="005A46E7" w:rsidP="005A46E7">
      <w:pPr>
        <w:pStyle w:val="1"/>
        <w:rPr>
          <w:rFonts w:eastAsia="Calibri"/>
        </w:rPr>
      </w:pPr>
      <w:r w:rsidRPr="00A1145E">
        <w:rPr>
          <w:rFonts w:eastAsia="Calibri"/>
        </w:rPr>
        <w:t>6.</w:t>
      </w:r>
      <w:r w:rsidRPr="00A1145E">
        <w:rPr>
          <w:rFonts w:eastAsia="Calibri"/>
        </w:rPr>
        <w:tab/>
        <w:t xml:space="preserve">Livestock suffering from extreme pain or distress shall be examined by a licensed veterinarian or properly euthanized in a timely fashion as to minimize pain and distress. </w:t>
      </w:r>
    </w:p>
    <w:p w14:paraId="792C2D9B" w14:textId="77777777" w:rsidR="005A46E7" w:rsidRPr="00A1145E" w:rsidRDefault="005A46E7" w:rsidP="005A46E7">
      <w:pPr>
        <w:pStyle w:val="1"/>
        <w:rPr>
          <w:rFonts w:eastAsia="Calibri"/>
        </w:rPr>
      </w:pPr>
      <w:r w:rsidRPr="00A1145E">
        <w:rPr>
          <w:rFonts w:eastAsia="Calibri"/>
        </w:rPr>
        <w:t>7.</w:t>
      </w:r>
      <w:r w:rsidRPr="00A1145E">
        <w:rPr>
          <w:rFonts w:eastAsia="Calibri"/>
        </w:rPr>
        <w:tab/>
        <w:t>Non-ambulatory livestock may be moved in the most effective manner deemed necessary by the producer or person in charge.</w:t>
      </w:r>
    </w:p>
    <w:p w14:paraId="2EDE8DAB" w14:textId="77777777" w:rsidR="005A46E7" w:rsidRPr="00A1145E" w:rsidRDefault="005A46E7" w:rsidP="005A46E7">
      <w:pPr>
        <w:pStyle w:val="A"/>
        <w:rPr>
          <w:rFonts w:eastAsia="Calibri"/>
        </w:rPr>
      </w:pPr>
      <w:r w:rsidRPr="00A1145E">
        <w:rPr>
          <w:rFonts w:eastAsia="Calibri"/>
        </w:rPr>
        <w:t>F.</w:t>
      </w:r>
      <w:r w:rsidRPr="00A1145E">
        <w:rPr>
          <w:rFonts w:eastAsia="Calibri"/>
        </w:rPr>
        <w:tab/>
        <w:t>Parturition Management</w:t>
      </w:r>
    </w:p>
    <w:p w14:paraId="2AEDA46D" w14:textId="77777777" w:rsidR="005A46E7" w:rsidRPr="00A1145E" w:rsidRDefault="005A46E7" w:rsidP="005A46E7">
      <w:pPr>
        <w:pStyle w:val="1"/>
        <w:rPr>
          <w:rFonts w:eastAsia="Calibri"/>
        </w:rPr>
      </w:pPr>
      <w:r w:rsidRPr="00A1145E">
        <w:rPr>
          <w:rFonts w:eastAsia="Calibri"/>
        </w:rPr>
        <w:lastRenderedPageBreak/>
        <w:t>1.</w:t>
      </w:r>
      <w:r w:rsidRPr="00A1145E">
        <w:rPr>
          <w:rFonts w:eastAsia="Calibri"/>
        </w:rPr>
        <w:tab/>
        <w:t>Livestock observed to have vigorous straining and/or abdominal contractions while giving birth without progress shall have remedial action taken.</w:t>
      </w:r>
    </w:p>
    <w:p w14:paraId="79C9B220" w14:textId="77777777" w:rsidR="005A46E7" w:rsidRPr="00A1145E" w:rsidRDefault="005A46E7" w:rsidP="005A46E7">
      <w:pPr>
        <w:pStyle w:val="1"/>
        <w:rPr>
          <w:rFonts w:eastAsia="Calibri"/>
        </w:rPr>
      </w:pPr>
      <w:r w:rsidRPr="00A1145E">
        <w:rPr>
          <w:rFonts w:eastAsia="Calibri"/>
        </w:rPr>
        <w:t>2.</w:t>
      </w:r>
      <w:r w:rsidRPr="00A1145E">
        <w:rPr>
          <w:rFonts w:eastAsia="Calibri"/>
        </w:rPr>
        <w:tab/>
        <w:t>No motor vehicle shall be used to provide traction to assist parturition.</w:t>
      </w:r>
    </w:p>
    <w:p w14:paraId="49C36F3C" w14:textId="77777777" w:rsidR="005A46E7" w:rsidRPr="00A1145E" w:rsidRDefault="005A46E7" w:rsidP="005A46E7">
      <w:pPr>
        <w:pStyle w:val="A"/>
        <w:rPr>
          <w:rFonts w:eastAsia="Calibri"/>
        </w:rPr>
      </w:pPr>
      <w:r w:rsidRPr="00A1145E">
        <w:rPr>
          <w:rFonts w:eastAsia="Calibri"/>
        </w:rPr>
        <w:t>G.</w:t>
      </w:r>
      <w:r w:rsidRPr="00A1145E">
        <w:rPr>
          <w:rFonts w:eastAsia="Calibri"/>
        </w:rPr>
        <w:tab/>
        <w:t>Sanitation</w:t>
      </w:r>
    </w:p>
    <w:p w14:paraId="698F2324" w14:textId="77777777" w:rsidR="005A46E7" w:rsidRPr="00A1145E" w:rsidRDefault="005A46E7" w:rsidP="005A46E7">
      <w:pPr>
        <w:pStyle w:val="1"/>
        <w:rPr>
          <w:rFonts w:eastAsia="Calibri"/>
        </w:rPr>
      </w:pPr>
      <w:r w:rsidRPr="00A1145E">
        <w:rPr>
          <w:rFonts w:eastAsia="Calibri"/>
        </w:rPr>
        <w:t>1.</w:t>
      </w:r>
      <w:r w:rsidRPr="00A1145E">
        <w:rPr>
          <w:rFonts w:eastAsia="Calibri"/>
        </w:rPr>
        <w:tab/>
        <w:t>All facilities in which livestock are maintained shall be kept clean so as to minimize the spread of infectious disease to animals.</w:t>
      </w:r>
    </w:p>
    <w:p w14:paraId="33440DD2" w14:textId="77777777" w:rsidR="005A46E7" w:rsidRPr="00A1145E" w:rsidRDefault="005A46E7" w:rsidP="005A46E7">
      <w:pPr>
        <w:pStyle w:val="1"/>
        <w:rPr>
          <w:rFonts w:eastAsia="Calibri"/>
        </w:rPr>
      </w:pPr>
      <w:r w:rsidRPr="00A1145E">
        <w:rPr>
          <w:rFonts w:eastAsia="Calibri"/>
        </w:rPr>
        <w:t>2.</w:t>
      </w:r>
      <w:r w:rsidRPr="00A1145E">
        <w:rPr>
          <w:rFonts w:eastAsia="Calibri"/>
        </w:rPr>
        <w:tab/>
        <w:t>All facilities in which livestock are maintained shall have pest control so as to minimize the spread of infectious disease to animals.</w:t>
      </w:r>
    </w:p>
    <w:p w14:paraId="54D300C9" w14:textId="77777777" w:rsidR="005A46E7" w:rsidRPr="00A1145E" w:rsidRDefault="005A46E7" w:rsidP="005A46E7">
      <w:pPr>
        <w:pStyle w:val="1"/>
        <w:rPr>
          <w:rFonts w:eastAsia="Calibri"/>
        </w:rPr>
      </w:pPr>
      <w:r w:rsidRPr="00A1145E">
        <w:rPr>
          <w:rFonts w:eastAsia="Calibri"/>
        </w:rPr>
        <w:t>3.</w:t>
      </w:r>
      <w:r w:rsidRPr="00A1145E">
        <w:rPr>
          <w:rFonts w:eastAsia="Calibri"/>
        </w:rPr>
        <w:tab/>
        <w:t>All equipment used in managing livestock shall be kept clean so as to minimize the spread of infectious disease to livestock and to minimize pain.</w:t>
      </w:r>
    </w:p>
    <w:p w14:paraId="3DD21482" w14:textId="77777777" w:rsidR="005A46E7" w:rsidRPr="00A1145E" w:rsidRDefault="005A46E7" w:rsidP="005A46E7">
      <w:pPr>
        <w:pStyle w:val="1"/>
        <w:rPr>
          <w:rFonts w:eastAsia="Calibri"/>
        </w:rPr>
      </w:pPr>
      <w:r w:rsidRPr="00A1145E">
        <w:rPr>
          <w:rFonts w:eastAsia="Calibri"/>
        </w:rPr>
        <w:t>4.</w:t>
      </w:r>
      <w:r w:rsidRPr="00A1145E">
        <w:rPr>
          <w:rFonts w:eastAsia="Calibri"/>
        </w:rPr>
        <w:tab/>
        <w:t>All personnel shall maintain adequate biosecurity in facilities to minimize the spread of infectious disease to livestock.</w:t>
      </w:r>
    </w:p>
    <w:p w14:paraId="3F6991DF" w14:textId="77777777" w:rsidR="005A46E7" w:rsidRPr="00A1145E" w:rsidRDefault="005A46E7" w:rsidP="005A46E7">
      <w:pPr>
        <w:pStyle w:val="A"/>
        <w:rPr>
          <w:rFonts w:eastAsia="Calibri"/>
        </w:rPr>
      </w:pPr>
      <w:r w:rsidRPr="00A1145E">
        <w:rPr>
          <w:rFonts w:eastAsia="Calibri"/>
        </w:rPr>
        <w:t>H.</w:t>
      </w:r>
      <w:r w:rsidRPr="00A1145E">
        <w:rPr>
          <w:rFonts w:eastAsia="Calibri"/>
        </w:rPr>
        <w:tab/>
        <w:t>Handling</w:t>
      </w:r>
    </w:p>
    <w:p w14:paraId="500DFF43" w14:textId="77777777" w:rsidR="005A46E7" w:rsidRPr="00A1145E" w:rsidRDefault="005A46E7" w:rsidP="005A46E7">
      <w:pPr>
        <w:pStyle w:val="1"/>
        <w:rPr>
          <w:rFonts w:eastAsia="Calibri"/>
        </w:rPr>
      </w:pPr>
      <w:r w:rsidRPr="00A1145E">
        <w:rPr>
          <w:rFonts w:eastAsia="Calibri"/>
        </w:rPr>
        <w:t>1.</w:t>
      </w:r>
      <w:r w:rsidRPr="00A1145E">
        <w:rPr>
          <w:rFonts w:eastAsia="Calibri"/>
        </w:rPr>
        <w:tab/>
        <w:t>Livestock shall be handled in a manner so as to minimize stress, risk of injury, and risk of exhaustion or heat stress to the livestock.</w:t>
      </w:r>
    </w:p>
    <w:p w14:paraId="440692B8" w14:textId="77777777" w:rsidR="005A46E7" w:rsidRPr="00A1145E" w:rsidRDefault="005A46E7" w:rsidP="005A46E7">
      <w:pPr>
        <w:pStyle w:val="1"/>
        <w:rPr>
          <w:rFonts w:eastAsia="Calibri"/>
        </w:rPr>
      </w:pPr>
      <w:r w:rsidRPr="00A1145E">
        <w:rPr>
          <w:rFonts w:eastAsia="Calibri"/>
        </w:rPr>
        <w:t>2.</w:t>
      </w:r>
      <w:r w:rsidRPr="00A1145E">
        <w:rPr>
          <w:rFonts w:eastAsia="Calibri"/>
        </w:rPr>
        <w:tab/>
        <w:t>Only the minimum force necessary shall be used to move or restrain livestock.</w:t>
      </w:r>
    </w:p>
    <w:p w14:paraId="4B376D77" w14:textId="77777777" w:rsidR="005A46E7" w:rsidRPr="00A1145E" w:rsidRDefault="005A46E7" w:rsidP="005A46E7">
      <w:pPr>
        <w:pStyle w:val="1"/>
        <w:rPr>
          <w:rFonts w:eastAsia="Calibri"/>
        </w:rPr>
      </w:pPr>
      <w:r w:rsidRPr="00A1145E">
        <w:rPr>
          <w:rFonts w:eastAsia="Calibri"/>
        </w:rPr>
        <w:t>3.</w:t>
      </w:r>
      <w:r w:rsidRPr="00A1145E">
        <w:rPr>
          <w:rFonts w:eastAsia="Calibri"/>
        </w:rPr>
        <w:tab/>
        <w:t>Handling of livestock shall be performed with knowledge of the point of balance and flight zone when possible.</w:t>
      </w:r>
    </w:p>
    <w:p w14:paraId="286F5928" w14:textId="77777777" w:rsidR="005A46E7" w:rsidRPr="00A1145E" w:rsidRDefault="005A46E7" w:rsidP="005A46E7">
      <w:pPr>
        <w:pStyle w:val="1"/>
        <w:rPr>
          <w:rFonts w:eastAsia="Calibri"/>
        </w:rPr>
      </w:pPr>
      <w:r w:rsidRPr="00A1145E">
        <w:rPr>
          <w:rFonts w:eastAsia="Calibri"/>
        </w:rPr>
        <w:t>4.</w:t>
      </w:r>
      <w:r w:rsidRPr="00A1145E">
        <w:rPr>
          <w:rFonts w:eastAsia="Calibri"/>
        </w:rPr>
        <w:tab/>
        <w:t>All facilities used to move or restrain livestock shall be designed and maintained so as to minimize stress, risk of injury, risk of exhaustion, risk of heat stress and shall allow livestock to be released rapidly if necessary.</w:t>
      </w:r>
    </w:p>
    <w:p w14:paraId="52BC0EB9" w14:textId="77777777" w:rsidR="005A46E7" w:rsidRPr="00A1145E" w:rsidRDefault="005A46E7" w:rsidP="005A46E7">
      <w:pPr>
        <w:pStyle w:val="1"/>
        <w:rPr>
          <w:rFonts w:eastAsia="Calibri"/>
        </w:rPr>
      </w:pPr>
      <w:r w:rsidRPr="00A1145E">
        <w:rPr>
          <w:rFonts w:eastAsia="Calibri"/>
        </w:rPr>
        <w:t>5.</w:t>
      </w:r>
      <w:r w:rsidRPr="00A1145E">
        <w:rPr>
          <w:rFonts w:eastAsia="Calibri"/>
        </w:rPr>
        <w:tab/>
        <w:t>Electric prodders shall not be used in the most sensitive areas of livestock: udder, eyes, nose, anus, prepuce, vulva, or testicles.</w:t>
      </w:r>
    </w:p>
    <w:p w14:paraId="138DBC15" w14:textId="77777777" w:rsidR="005A46E7" w:rsidRPr="00A1145E" w:rsidRDefault="005A46E7" w:rsidP="005A46E7">
      <w:pPr>
        <w:pStyle w:val="1"/>
        <w:rPr>
          <w:rFonts w:eastAsia="Calibri"/>
        </w:rPr>
      </w:pPr>
      <w:r w:rsidRPr="00A1145E">
        <w:rPr>
          <w:rFonts w:eastAsia="Calibri"/>
        </w:rPr>
        <w:t>6.</w:t>
      </w:r>
      <w:r w:rsidRPr="00A1145E">
        <w:rPr>
          <w:rFonts w:eastAsia="Calibri"/>
        </w:rPr>
        <w:tab/>
        <w:t>Livestock physically restrained in handling facilities shall be supervised at all times.</w:t>
      </w:r>
    </w:p>
    <w:p w14:paraId="3F75222F" w14:textId="77777777" w:rsidR="005A46E7" w:rsidRPr="00A1145E" w:rsidRDefault="005A46E7" w:rsidP="005A46E7">
      <w:pPr>
        <w:pStyle w:val="1"/>
        <w:rPr>
          <w:rFonts w:eastAsia="Calibri"/>
        </w:rPr>
      </w:pPr>
      <w:r w:rsidRPr="00A1145E">
        <w:rPr>
          <w:rFonts w:eastAsia="Calibri"/>
        </w:rPr>
        <w:t>7.</w:t>
      </w:r>
      <w:r w:rsidRPr="00A1145E">
        <w:rPr>
          <w:rFonts w:eastAsia="Calibri"/>
        </w:rPr>
        <w:tab/>
        <w:t>Electro-immobilization shall not be an acceptable handling technique for livestock.</w:t>
      </w:r>
    </w:p>
    <w:p w14:paraId="0BAD3387" w14:textId="77777777" w:rsidR="005A46E7" w:rsidRPr="00A1145E" w:rsidRDefault="005A46E7" w:rsidP="005A46E7">
      <w:pPr>
        <w:pStyle w:val="A"/>
        <w:rPr>
          <w:rFonts w:eastAsia="Calibri"/>
        </w:rPr>
      </w:pPr>
      <w:r w:rsidRPr="00A1145E">
        <w:rPr>
          <w:rFonts w:eastAsia="Calibri"/>
        </w:rPr>
        <w:t>I.</w:t>
      </w:r>
      <w:r w:rsidRPr="00A1145E">
        <w:rPr>
          <w:rFonts w:eastAsia="Calibri"/>
        </w:rPr>
        <w:tab/>
        <w:t>Animal Husbandry Procedures</w:t>
      </w:r>
    </w:p>
    <w:p w14:paraId="0E9E7C57" w14:textId="77777777" w:rsidR="005A46E7" w:rsidRPr="00A1145E" w:rsidRDefault="005A46E7" w:rsidP="005A46E7">
      <w:pPr>
        <w:pStyle w:val="1"/>
        <w:rPr>
          <w:rFonts w:eastAsia="Calibri"/>
        </w:rPr>
      </w:pPr>
      <w:r w:rsidRPr="00A1145E">
        <w:rPr>
          <w:rFonts w:eastAsia="Calibri"/>
        </w:rPr>
        <w:t>1.</w:t>
      </w:r>
      <w:r w:rsidRPr="00A1145E">
        <w:rPr>
          <w:rFonts w:eastAsia="Calibri"/>
        </w:rPr>
        <w:tab/>
        <w:t>Certain animal husbandry procedures shall be performed only as necessary to protect animal and human health, allow animal management and production, and allow product attributes.</w:t>
      </w:r>
    </w:p>
    <w:p w14:paraId="7114D538" w14:textId="77777777" w:rsidR="005A46E7" w:rsidRPr="00A1145E" w:rsidRDefault="005A46E7" w:rsidP="005A46E7">
      <w:pPr>
        <w:pStyle w:val="a0"/>
        <w:rPr>
          <w:rFonts w:eastAsia="Calibri"/>
        </w:rPr>
      </w:pPr>
      <w:r w:rsidRPr="00A1145E">
        <w:rPr>
          <w:rFonts w:eastAsia="Calibri"/>
        </w:rPr>
        <w:t>a.</w:t>
      </w:r>
      <w:r w:rsidRPr="00A1145E">
        <w:rPr>
          <w:rFonts w:eastAsia="Calibri"/>
        </w:rPr>
        <w:tab/>
        <w:t>Necessary animal husbandry procedures include, but are not limited to: castration, disbudding, dehorning, branding, tattooing, and ear tagging.</w:t>
      </w:r>
    </w:p>
    <w:p w14:paraId="4744A75A" w14:textId="77777777" w:rsidR="005A46E7" w:rsidRPr="00A1145E" w:rsidRDefault="005A46E7" w:rsidP="005A46E7">
      <w:pPr>
        <w:pStyle w:val="1"/>
        <w:rPr>
          <w:rFonts w:eastAsia="Calibri"/>
        </w:rPr>
      </w:pPr>
      <w:r w:rsidRPr="00A1145E">
        <w:rPr>
          <w:rFonts w:eastAsia="Calibri"/>
        </w:rPr>
        <w:t>2.</w:t>
      </w:r>
      <w:r w:rsidRPr="00A1145E">
        <w:rPr>
          <w:rFonts w:eastAsia="Calibri"/>
        </w:rPr>
        <w:tab/>
        <w:t>Animal husbandry procedures shall only be performed by personnel with sufficient knowledge to minimize pain and distress.</w:t>
      </w:r>
    </w:p>
    <w:p w14:paraId="2FD4F1A7" w14:textId="77777777" w:rsidR="005A46E7" w:rsidRPr="00A1145E" w:rsidRDefault="005A46E7" w:rsidP="005A46E7">
      <w:pPr>
        <w:pStyle w:val="1"/>
        <w:rPr>
          <w:rFonts w:eastAsia="Calibri"/>
        </w:rPr>
      </w:pPr>
      <w:r w:rsidRPr="00A1145E">
        <w:rPr>
          <w:rFonts w:eastAsia="Calibri"/>
        </w:rPr>
        <w:t>3.</w:t>
      </w:r>
      <w:r w:rsidRPr="00A1145E">
        <w:rPr>
          <w:rFonts w:eastAsia="Calibri"/>
        </w:rPr>
        <w:tab/>
        <w:t>Animal husbandry procedures shall be performed in a timely manner and physiologic state so as to minimize pain and distress.</w:t>
      </w:r>
    </w:p>
    <w:p w14:paraId="174751DC" w14:textId="77777777" w:rsidR="005A46E7" w:rsidRPr="00A1145E" w:rsidRDefault="005A46E7" w:rsidP="005A46E7">
      <w:pPr>
        <w:pStyle w:val="A"/>
        <w:rPr>
          <w:rFonts w:eastAsia="Calibri"/>
        </w:rPr>
      </w:pPr>
      <w:r w:rsidRPr="00A1145E">
        <w:rPr>
          <w:rFonts w:eastAsia="Calibri"/>
        </w:rPr>
        <w:t>J.</w:t>
      </w:r>
      <w:r w:rsidRPr="00A1145E">
        <w:rPr>
          <w:rFonts w:eastAsia="Calibri"/>
        </w:rPr>
        <w:tab/>
        <w:t>Selection for Transport</w:t>
      </w:r>
    </w:p>
    <w:p w14:paraId="261C359F"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Livestock transported for any reason shall be ambulatory at the time of loading. </w:t>
      </w:r>
    </w:p>
    <w:p w14:paraId="2341E04B" w14:textId="77777777" w:rsidR="005A46E7" w:rsidRPr="00A1145E" w:rsidRDefault="005A46E7" w:rsidP="005A46E7">
      <w:pPr>
        <w:pStyle w:val="1"/>
        <w:rPr>
          <w:rFonts w:eastAsia="Calibri"/>
        </w:rPr>
      </w:pPr>
      <w:r w:rsidRPr="00A1145E">
        <w:rPr>
          <w:rFonts w:eastAsia="Calibri"/>
        </w:rPr>
        <w:t>2.</w:t>
      </w:r>
      <w:r w:rsidRPr="00A1145E">
        <w:rPr>
          <w:rFonts w:eastAsia="Calibri"/>
        </w:rPr>
        <w:tab/>
        <w:t>Exception shall be when livestock need to be transported on-farm, farm-to-farm, or for veterinary care.</w:t>
      </w:r>
    </w:p>
    <w:p w14:paraId="31465452" w14:textId="77777777" w:rsidR="005A46E7" w:rsidRPr="00A1145E" w:rsidRDefault="005A46E7" w:rsidP="005A46E7">
      <w:pPr>
        <w:pStyle w:val="A"/>
        <w:rPr>
          <w:rFonts w:eastAsia="Calibri"/>
        </w:rPr>
      </w:pPr>
      <w:r w:rsidRPr="00A1145E">
        <w:rPr>
          <w:rFonts w:eastAsia="Calibri"/>
        </w:rPr>
        <w:t>K.</w:t>
      </w:r>
      <w:r w:rsidRPr="00A1145E">
        <w:rPr>
          <w:rFonts w:eastAsia="Calibri"/>
        </w:rPr>
        <w:tab/>
        <w:t>Transportation by land shall:</w:t>
      </w:r>
    </w:p>
    <w:p w14:paraId="721D94AB" w14:textId="77777777" w:rsidR="005A46E7" w:rsidRPr="00A1145E" w:rsidRDefault="005A46E7" w:rsidP="005A46E7">
      <w:pPr>
        <w:pStyle w:val="1"/>
        <w:rPr>
          <w:rFonts w:eastAsia="Calibri"/>
        </w:rPr>
      </w:pPr>
      <w:r w:rsidRPr="00A1145E">
        <w:rPr>
          <w:rFonts w:eastAsia="Calibri"/>
        </w:rPr>
        <w:t>1.</w:t>
      </w:r>
      <w:r w:rsidRPr="00A1145E">
        <w:rPr>
          <w:rFonts w:eastAsia="Calibri"/>
        </w:rPr>
        <w:tab/>
        <w:t>be loaded and unloaded in a manner and with proper equipment and personnel so as to minimize stress and injury. Have sufficient headroom so as to not come into contact with the roof of the vehicle in a normal standing position;</w:t>
      </w:r>
    </w:p>
    <w:p w14:paraId="73DD5DE0" w14:textId="77777777" w:rsidR="005A46E7" w:rsidRPr="00A1145E" w:rsidRDefault="005A46E7" w:rsidP="005A46E7">
      <w:pPr>
        <w:pStyle w:val="1"/>
        <w:rPr>
          <w:rFonts w:eastAsia="Calibri"/>
        </w:rPr>
      </w:pPr>
      <w:r w:rsidRPr="00A1145E">
        <w:rPr>
          <w:rFonts w:eastAsia="Calibri"/>
        </w:rPr>
        <w:t>2.</w:t>
      </w:r>
      <w:r w:rsidRPr="00A1145E">
        <w:rPr>
          <w:rFonts w:eastAsia="Calibri"/>
        </w:rPr>
        <w:tab/>
        <w:t>transportation vehicle shall:</w:t>
      </w:r>
    </w:p>
    <w:p w14:paraId="0E676106" w14:textId="77777777" w:rsidR="005A46E7" w:rsidRPr="00A1145E" w:rsidRDefault="005A46E7" w:rsidP="005A46E7">
      <w:pPr>
        <w:pStyle w:val="a0"/>
        <w:rPr>
          <w:rFonts w:eastAsia="Calibri"/>
        </w:rPr>
      </w:pPr>
      <w:r w:rsidRPr="00A1145E">
        <w:rPr>
          <w:rFonts w:eastAsia="Calibri"/>
        </w:rPr>
        <w:t>a.</w:t>
      </w:r>
      <w:r w:rsidRPr="00A1145E">
        <w:rPr>
          <w:rFonts w:eastAsia="Calibri"/>
        </w:rPr>
        <w:tab/>
        <w:t>have floors that are constructed and kept clean so as to minimize the slipping and falling of livestock; and Be constructed to allow visual inspection of all livestock during transport; and</w:t>
      </w:r>
    </w:p>
    <w:p w14:paraId="2F01E664" w14:textId="77777777" w:rsidR="005A46E7" w:rsidRPr="00A1145E" w:rsidRDefault="005A46E7" w:rsidP="005A46E7">
      <w:pPr>
        <w:pStyle w:val="a0"/>
        <w:rPr>
          <w:rFonts w:eastAsia="Calibri"/>
        </w:rPr>
      </w:pPr>
      <w:r w:rsidRPr="00A1145E">
        <w:rPr>
          <w:rFonts w:eastAsia="Calibri"/>
        </w:rPr>
        <w:t>b.</w:t>
      </w:r>
      <w:r w:rsidRPr="00A1145E">
        <w:rPr>
          <w:rFonts w:eastAsia="Calibri"/>
        </w:rPr>
        <w:tab/>
        <w:t>be constructed to allow ventilation and protection in order to minimize the harmful effects of weather and climate;</w:t>
      </w:r>
    </w:p>
    <w:p w14:paraId="76F0618B" w14:textId="77777777" w:rsidR="005A46E7" w:rsidRPr="00A1145E" w:rsidRDefault="005A46E7" w:rsidP="005A46E7">
      <w:pPr>
        <w:pStyle w:val="1"/>
        <w:rPr>
          <w:rFonts w:eastAsia="Calibri"/>
        </w:rPr>
      </w:pPr>
      <w:r w:rsidRPr="00A1145E">
        <w:rPr>
          <w:rFonts w:eastAsia="Calibri"/>
        </w:rPr>
        <w:t>3.</w:t>
      </w:r>
      <w:r w:rsidRPr="00A1145E">
        <w:rPr>
          <w:rFonts w:eastAsia="Calibri"/>
        </w:rPr>
        <w:tab/>
        <w:t>livestock shall be segregated into groups based on age, size, and other attributes so as to minimize injury, distress, and conspecific aggression;</w:t>
      </w:r>
    </w:p>
    <w:p w14:paraId="7EDAFBD1" w14:textId="77777777" w:rsidR="005A46E7" w:rsidRPr="00A1145E" w:rsidRDefault="005A46E7" w:rsidP="005A46E7">
      <w:pPr>
        <w:pStyle w:val="1"/>
        <w:rPr>
          <w:rFonts w:eastAsia="Calibri"/>
        </w:rPr>
      </w:pPr>
      <w:r w:rsidRPr="00A1145E">
        <w:rPr>
          <w:rFonts w:eastAsia="Calibri"/>
        </w:rPr>
        <w:t>4.</w:t>
      </w:r>
      <w:r w:rsidRPr="00A1145E">
        <w:rPr>
          <w:rFonts w:eastAsia="Calibri"/>
        </w:rPr>
        <w:tab/>
        <w:t>livestock shall be loaded at a density that minimizes injury and falling, but that allows animals to rise unassisted if fallen;</w:t>
      </w:r>
    </w:p>
    <w:p w14:paraId="31FB778A" w14:textId="77777777" w:rsidR="005A46E7" w:rsidRPr="00A1145E" w:rsidRDefault="005A46E7" w:rsidP="005A46E7">
      <w:pPr>
        <w:pStyle w:val="1"/>
        <w:rPr>
          <w:rFonts w:eastAsia="Calibri"/>
        </w:rPr>
      </w:pPr>
      <w:r w:rsidRPr="00A1145E">
        <w:rPr>
          <w:rFonts w:eastAsia="Calibri"/>
        </w:rPr>
        <w:t>5.</w:t>
      </w:r>
      <w:r w:rsidRPr="00A1145E">
        <w:rPr>
          <w:rFonts w:eastAsia="Calibri"/>
        </w:rPr>
        <w:tab/>
        <w:t>livestock shall be transported as quickly as possible to their final destination and transported to their final destination directly when possible;</w:t>
      </w:r>
    </w:p>
    <w:p w14:paraId="1725B14B" w14:textId="77777777" w:rsidR="005A46E7" w:rsidRPr="00A1145E" w:rsidRDefault="005A46E7" w:rsidP="005A46E7">
      <w:pPr>
        <w:pStyle w:val="1"/>
        <w:rPr>
          <w:rFonts w:eastAsia="Calibri"/>
        </w:rPr>
      </w:pPr>
      <w:r w:rsidRPr="00A1145E">
        <w:rPr>
          <w:rFonts w:eastAsia="Calibri"/>
        </w:rPr>
        <w:t>6.</w:t>
      </w:r>
      <w:r w:rsidRPr="00A1145E">
        <w:rPr>
          <w:rFonts w:eastAsia="Calibri"/>
        </w:rPr>
        <w:tab/>
        <w:t>pursuant to 49 USC §80502, the transportation of livestock shall be planned so that animals are unloaded and provided rest, water, and feed on travel more than 28 hours.</w:t>
      </w:r>
    </w:p>
    <w:p w14:paraId="1C0F3AA7" w14:textId="77777777" w:rsidR="005A46E7" w:rsidRPr="00A1145E" w:rsidRDefault="005A46E7" w:rsidP="005A46E7">
      <w:pPr>
        <w:pStyle w:val="A"/>
        <w:rPr>
          <w:rFonts w:eastAsia="Calibri"/>
        </w:rPr>
      </w:pPr>
      <w:r w:rsidRPr="00A1145E">
        <w:rPr>
          <w:rFonts w:eastAsia="Calibri"/>
        </w:rPr>
        <w:t>L.</w:t>
      </w:r>
      <w:r w:rsidRPr="00A1145E">
        <w:rPr>
          <w:rFonts w:eastAsia="Calibri"/>
        </w:rPr>
        <w:tab/>
        <w:t>On-Farm Euthanasia</w:t>
      </w:r>
    </w:p>
    <w:p w14:paraId="0F49D92F" w14:textId="77777777" w:rsidR="005A46E7" w:rsidRPr="00A1145E" w:rsidRDefault="005A46E7" w:rsidP="005A46E7">
      <w:pPr>
        <w:pStyle w:val="1"/>
        <w:rPr>
          <w:rFonts w:eastAsia="Calibri"/>
        </w:rPr>
      </w:pPr>
      <w:r w:rsidRPr="00A1145E">
        <w:rPr>
          <w:rFonts w:eastAsia="Calibri"/>
        </w:rPr>
        <w:t>1.</w:t>
      </w:r>
      <w:r w:rsidRPr="00A1145E">
        <w:rPr>
          <w:rFonts w:eastAsia="Calibri"/>
        </w:rPr>
        <w:tab/>
        <w:t>Livestock shall be euthanized in a method that results in rapid loss of consciousness and animals must remain insensible until death. The following methods of euthanasia are approved for on farm use:</w:t>
      </w:r>
    </w:p>
    <w:p w14:paraId="1F1DA29D" w14:textId="77777777" w:rsidR="005A46E7" w:rsidRPr="00A1145E" w:rsidRDefault="005A46E7" w:rsidP="005A46E7">
      <w:pPr>
        <w:pStyle w:val="a0"/>
        <w:rPr>
          <w:rFonts w:eastAsia="Calibri"/>
        </w:rPr>
      </w:pPr>
      <w:r w:rsidRPr="00A1145E">
        <w:rPr>
          <w:rFonts w:eastAsia="Calibri"/>
        </w:rPr>
        <w:t>a.</w:t>
      </w:r>
      <w:r w:rsidRPr="00A1145E">
        <w:rPr>
          <w:rFonts w:eastAsia="Calibri"/>
        </w:rPr>
        <w:tab/>
        <w:t>captive bolt or rifle shot of at least .22 caliber administered so as to disrupt the cerebral cortex and brainstem; and</w:t>
      </w:r>
    </w:p>
    <w:p w14:paraId="4EF41FE6" w14:textId="77777777" w:rsidR="005A46E7" w:rsidRPr="00A1145E" w:rsidRDefault="005A46E7" w:rsidP="005A46E7">
      <w:pPr>
        <w:pStyle w:val="a0"/>
        <w:rPr>
          <w:rFonts w:eastAsia="Calibri"/>
        </w:rPr>
      </w:pPr>
      <w:r w:rsidRPr="00A1145E">
        <w:rPr>
          <w:rFonts w:eastAsia="Calibri"/>
        </w:rPr>
        <w:t>b.</w:t>
      </w:r>
      <w:r w:rsidRPr="00A1145E">
        <w:rPr>
          <w:rFonts w:eastAsia="Calibri"/>
        </w:rPr>
        <w:tab/>
        <w:t>barbiturate overdose administered by a licensed veterinarian or other licensed professional.</w:t>
      </w:r>
    </w:p>
    <w:p w14:paraId="0678A39C" w14:textId="77777777" w:rsidR="005A46E7" w:rsidRPr="00A1145E" w:rsidRDefault="005A46E7" w:rsidP="005A46E7">
      <w:pPr>
        <w:pStyle w:val="1"/>
        <w:rPr>
          <w:rFonts w:eastAsia="Calibri"/>
        </w:rPr>
      </w:pPr>
      <w:r w:rsidRPr="00A1145E">
        <w:rPr>
          <w:rFonts w:eastAsia="Calibri"/>
        </w:rPr>
        <w:t>2.</w:t>
      </w:r>
      <w:r w:rsidRPr="00A1145E">
        <w:rPr>
          <w:rFonts w:eastAsia="Calibri"/>
        </w:rPr>
        <w:tab/>
        <w:t>The carcass of any livestock euthanized shall be disposed of in a manner as to prevent the spread of infectious disease or if euthanized by barbiturate overdose to prevent other animal exposure to the carcass.</w:t>
      </w:r>
    </w:p>
    <w:p w14:paraId="5D293E1C" w14:textId="77777777" w:rsidR="005A46E7" w:rsidRPr="00A1145E" w:rsidRDefault="005A46E7" w:rsidP="005A46E7">
      <w:pPr>
        <w:pStyle w:val="1"/>
        <w:rPr>
          <w:rFonts w:eastAsia="Calibri"/>
        </w:rPr>
      </w:pPr>
      <w:r w:rsidRPr="00A1145E">
        <w:rPr>
          <w:rFonts w:eastAsia="Calibri"/>
        </w:rPr>
        <w:t>3.</w:t>
      </w:r>
      <w:r w:rsidRPr="00A1145E">
        <w:rPr>
          <w:rFonts w:eastAsia="Calibri"/>
        </w:rPr>
        <w:tab/>
        <w:t>The carcasses of all livestock shall be disposed of in a sanitary manner by cremation or burial of at least 6 feet according to R.S. 3:2131.</w:t>
      </w:r>
    </w:p>
    <w:p w14:paraId="124098FB" w14:textId="77777777" w:rsidR="005A46E7" w:rsidRPr="00A1145E" w:rsidRDefault="005A46E7" w:rsidP="005A46E7">
      <w:pPr>
        <w:pStyle w:val="A"/>
        <w:rPr>
          <w:rFonts w:eastAsia="Calibri"/>
        </w:rPr>
      </w:pPr>
      <w:r w:rsidRPr="00A1145E">
        <w:rPr>
          <w:rFonts w:eastAsia="Calibri"/>
        </w:rPr>
        <w:lastRenderedPageBreak/>
        <w:t>M.</w:t>
      </w:r>
      <w:r w:rsidRPr="00A1145E">
        <w:rPr>
          <w:rFonts w:eastAsia="Calibri"/>
        </w:rPr>
        <w:tab/>
        <w:t>Body condition scoring for livestock is intended to be used as a practical guideline by which producers can measure animal care and well-being based on the animal’s physical appearance as determined in the charts below.</w:t>
      </w:r>
    </w:p>
    <w:p w14:paraId="5339A2BC" w14:textId="77777777" w:rsidR="005A46E7" w:rsidRDefault="005A46E7" w:rsidP="005A46E7">
      <w:pPr>
        <w:pStyle w:val="1"/>
        <w:rPr>
          <w:rFonts w:eastAsia="Calibri"/>
        </w:rPr>
      </w:pPr>
      <w:r w:rsidRPr="00A1145E">
        <w:rPr>
          <w:rFonts w:eastAsia="Calibri"/>
        </w:rPr>
        <w:t>1.</w:t>
      </w:r>
      <w:r w:rsidRPr="00A1145E">
        <w:rPr>
          <w:rFonts w:eastAsia="Calibri"/>
        </w:rPr>
        <w:tab/>
        <w:t>Body Condition Scoring for Livestock Other than Dairy Cattle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36"/>
        <w:gridCol w:w="3614"/>
      </w:tblGrid>
      <w:tr w:rsidR="005A46E7" w:rsidRPr="00BD0035" w14:paraId="7418F576" w14:textId="77777777" w:rsidTr="005A46E7">
        <w:trPr>
          <w:cantSplit/>
          <w:tblHeader/>
          <w:jc w:val="center"/>
        </w:trPr>
        <w:tc>
          <w:tcPr>
            <w:tcW w:w="1242" w:type="dxa"/>
            <w:tcBorders>
              <w:top w:val="double" w:sz="6" w:space="0" w:color="auto"/>
              <w:bottom w:val="single" w:sz="6" w:space="0" w:color="auto"/>
            </w:tcBorders>
            <w:shd w:val="pct25" w:color="auto" w:fill="auto"/>
            <w:vAlign w:val="center"/>
          </w:tcPr>
          <w:p w14:paraId="6524E00F" w14:textId="77777777" w:rsidR="005A46E7" w:rsidRPr="00BD0035" w:rsidRDefault="005A46E7" w:rsidP="005A46E7">
            <w:pPr>
              <w:keepNext/>
              <w:jc w:val="center"/>
              <w:rPr>
                <w:rFonts w:eastAsia="Calibri"/>
                <w:b/>
                <w:sz w:val="16"/>
                <w:szCs w:val="16"/>
              </w:rPr>
            </w:pPr>
            <w:r w:rsidRPr="00BD0035">
              <w:rPr>
                <w:rFonts w:eastAsia="Calibri"/>
                <w:b/>
                <w:sz w:val="16"/>
                <w:szCs w:val="16"/>
              </w:rPr>
              <w:t>Score</w:t>
            </w:r>
          </w:p>
        </w:tc>
        <w:tc>
          <w:tcPr>
            <w:tcW w:w="3672" w:type="dxa"/>
            <w:tcBorders>
              <w:top w:val="double" w:sz="6" w:space="0" w:color="auto"/>
              <w:bottom w:val="single" w:sz="6" w:space="0" w:color="auto"/>
            </w:tcBorders>
            <w:shd w:val="pct25" w:color="auto" w:fill="auto"/>
            <w:vAlign w:val="center"/>
          </w:tcPr>
          <w:p w14:paraId="52B49084" w14:textId="77777777" w:rsidR="005A46E7" w:rsidRPr="00BD0035" w:rsidRDefault="005A46E7" w:rsidP="005A46E7">
            <w:pPr>
              <w:keepNext/>
              <w:jc w:val="center"/>
              <w:rPr>
                <w:rFonts w:eastAsia="Calibri"/>
                <w:b/>
                <w:sz w:val="16"/>
                <w:szCs w:val="16"/>
              </w:rPr>
            </w:pPr>
            <w:r w:rsidRPr="00BD0035">
              <w:rPr>
                <w:rFonts w:eastAsia="Calibri"/>
                <w:b/>
                <w:sz w:val="16"/>
                <w:szCs w:val="16"/>
              </w:rPr>
              <w:t>Description</w:t>
            </w:r>
          </w:p>
        </w:tc>
      </w:tr>
      <w:tr w:rsidR="005A46E7" w:rsidRPr="00BD0035" w14:paraId="077FC673" w14:textId="77777777" w:rsidTr="005A46E7">
        <w:trPr>
          <w:cantSplit/>
          <w:jc w:val="center"/>
        </w:trPr>
        <w:tc>
          <w:tcPr>
            <w:tcW w:w="1242" w:type="dxa"/>
            <w:tcBorders>
              <w:top w:val="single" w:sz="6" w:space="0" w:color="auto"/>
            </w:tcBorders>
          </w:tcPr>
          <w:p w14:paraId="7C8DA414" w14:textId="77777777" w:rsidR="005A46E7" w:rsidRPr="00BD0035" w:rsidRDefault="005A46E7" w:rsidP="005A46E7">
            <w:pPr>
              <w:tabs>
                <w:tab w:val="left" w:pos="202"/>
              </w:tabs>
              <w:rPr>
                <w:rFonts w:eastAsia="Calibri"/>
                <w:sz w:val="16"/>
                <w:szCs w:val="16"/>
              </w:rPr>
            </w:pPr>
            <w:r w:rsidRPr="00BD0035">
              <w:rPr>
                <w:rFonts w:eastAsia="Calibri"/>
                <w:sz w:val="16"/>
                <w:szCs w:val="16"/>
              </w:rPr>
              <w:t>1.</w:t>
            </w:r>
            <w:r w:rsidRPr="00BD0035">
              <w:rPr>
                <w:rFonts w:eastAsia="Calibri"/>
                <w:sz w:val="16"/>
                <w:szCs w:val="16"/>
              </w:rPr>
              <w:tab/>
              <w:t>Poor</w:t>
            </w:r>
          </w:p>
        </w:tc>
        <w:tc>
          <w:tcPr>
            <w:tcW w:w="3672" w:type="dxa"/>
            <w:tcBorders>
              <w:top w:val="single" w:sz="6" w:space="0" w:color="auto"/>
            </w:tcBorders>
            <w:vAlign w:val="center"/>
          </w:tcPr>
          <w:p w14:paraId="60DC88FA" w14:textId="77777777" w:rsidR="005A46E7" w:rsidRPr="00BD0035" w:rsidRDefault="005A46E7" w:rsidP="005A46E7">
            <w:pPr>
              <w:rPr>
                <w:rFonts w:eastAsia="Calibri"/>
                <w:sz w:val="16"/>
                <w:szCs w:val="16"/>
              </w:rPr>
            </w:pPr>
            <w:r w:rsidRPr="00BD0035">
              <w:rPr>
                <w:rFonts w:eastAsia="Calibri"/>
                <w:sz w:val="16"/>
                <w:szCs w:val="16"/>
              </w:rPr>
              <w:t>Severely emaciated; no fatty tissue; vertebrae, ribs, tail head, and bones of withers, shoulder, and neck are visible All rib and bone structures easily visible. No fat over backbone, edge of loin, hip bones, or ribs. Tailhead and ribs project prominently. Animal has difficulty standing or walking.</w:t>
            </w:r>
          </w:p>
        </w:tc>
      </w:tr>
      <w:tr w:rsidR="005A46E7" w:rsidRPr="00BD0035" w14:paraId="42148436" w14:textId="77777777" w:rsidTr="005A46E7">
        <w:trPr>
          <w:cantSplit/>
          <w:jc w:val="center"/>
        </w:trPr>
        <w:tc>
          <w:tcPr>
            <w:tcW w:w="1242" w:type="dxa"/>
          </w:tcPr>
          <w:p w14:paraId="4BECE545" w14:textId="77777777" w:rsidR="005A46E7" w:rsidRPr="00BD0035" w:rsidRDefault="005A46E7" w:rsidP="005A46E7">
            <w:pPr>
              <w:tabs>
                <w:tab w:val="left" w:pos="202"/>
              </w:tabs>
              <w:rPr>
                <w:rFonts w:eastAsia="Calibri"/>
                <w:sz w:val="16"/>
                <w:szCs w:val="16"/>
              </w:rPr>
            </w:pPr>
            <w:r w:rsidRPr="00BD0035">
              <w:rPr>
                <w:rFonts w:eastAsia="Calibri"/>
                <w:sz w:val="16"/>
                <w:szCs w:val="16"/>
              </w:rPr>
              <w:t>2.</w:t>
            </w:r>
            <w:r w:rsidRPr="00BD0035">
              <w:rPr>
                <w:rFonts w:eastAsia="Calibri"/>
                <w:sz w:val="16"/>
                <w:szCs w:val="16"/>
              </w:rPr>
              <w:tab/>
              <w:t>Emaciated</w:t>
            </w:r>
          </w:p>
        </w:tc>
        <w:tc>
          <w:tcPr>
            <w:tcW w:w="3672" w:type="dxa"/>
            <w:vAlign w:val="center"/>
          </w:tcPr>
          <w:p w14:paraId="5A246A72" w14:textId="77777777" w:rsidR="005A46E7" w:rsidRPr="00BD0035" w:rsidRDefault="005A46E7" w:rsidP="005A46E7">
            <w:pPr>
              <w:rPr>
                <w:rFonts w:eastAsia="Calibri"/>
                <w:sz w:val="16"/>
                <w:szCs w:val="16"/>
              </w:rPr>
            </w:pPr>
            <w:r w:rsidRPr="00BD0035">
              <w:rPr>
                <w:rFonts w:eastAsia="Calibri"/>
                <w:sz w:val="16"/>
                <w:szCs w:val="16"/>
              </w:rPr>
              <w:t>Appears emaciated but tailhead and ribs are less prominent. Individual spinous processes are sharp to touch, but some tissue exists along the spine. Animal not weak, but no fat detectable.</w:t>
            </w:r>
          </w:p>
        </w:tc>
      </w:tr>
      <w:tr w:rsidR="005A46E7" w:rsidRPr="00BD0035" w14:paraId="400C7D2B" w14:textId="77777777" w:rsidTr="005A46E7">
        <w:trPr>
          <w:cantSplit/>
          <w:jc w:val="center"/>
        </w:trPr>
        <w:tc>
          <w:tcPr>
            <w:tcW w:w="1242" w:type="dxa"/>
          </w:tcPr>
          <w:p w14:paraId="2820DB91" w14:textId="77777777" w:rsidR="005A46E7" w:rsidRPr="00BD0035" w:rsidRDefault="005A46E7" w:rsidP="005A46E7">
            <w:pPr>
              <w:tabs>
                <w:tab w:val="left" w:pos="202"/>
              </w:tabs>
              <w:rPr>
                <w:rFonts w:eastAsia="Calibri"/>
                <w:sz w:val="16"/>
                <w:szCs w:val="16"/>
              </w:rPr>
            </w:pPr>
            <w:r w:rsidRPr="00BD0035">
              <w:rPr>
                <w:rFonts w:eastAsia="Calibri"/>
                <w:sz w:val="16"/>
                <w:szCs w:val="16"/>
              </w:rPr>
              <w:t>3.</w:t>
            </w:r>
            <w:r w:rsidRPr="00BD0035">
              <w:rPr>
                <w:rFonts w:eastAsia="Calibri"/>
                <w:sz w:val="16"/>
                <w:szCs w:val="16"/>
              </w:rPr>
              <w:tab/>
              <w:t>Very Thin</w:t>
            </w:r>
          </w:p>
        </w:tc>
        <w:tc>
          <w:tcPr>
            <w:tcW w:w="3672" w:type="dxa"/>
            <w:vAlign w:val="center"/>
          </w:tcPr>
          <w:p w14:paraId="0F941C40" w14:textId="77777777" w:rsidR="005A46E7" w:rsidRPr="00BD0035" w:rsidRDefault="005A46E7" w:rsidP="005A46E7">
            <w:pPr>
              <w:rPr>
                <w:rFonts w:eastAsia="Calibri"/>
                <w:sz w:val="16"/>
                <w:szCs w:val="16"/>
              </w:rPr>
            </w:pPr>
            <w:r w:rsidRPr="00BD0035">
              <w:rPr>
                <w:rFonts w:eastAsia="Calibri"/>
                <w:sz w:val="16"/>
                <w:szCs w:val="16"/>
              </w:rPr>
              <w:t>Ribs are individually identifiable, but not sharply. No fat on ribs, brisket, spine or over tailhead. Individual hindquarter muscles easily visible, spinous processes apparent.</w:t>
            </w:r>
          </w:p>
        </w:tc>
      </w:tr>
      <w:tr w:rsidR="005A46E7" w:rsidRPr="00BD0035" w14:paraId="021DCEAD" w14:textId="77777777" w:rsidTr="005A46E7">
        <w:trPr>
          <w:cantSplit/>
          <w:jc w:val="center"/>
        </w:trPr>
        <w:tc>
          <w:tcPr>
            <w:tcW w:w="1242" w:type="dxa"/>
          </w:tcPr>
          <w:p w14:paraId="3A2AC41F" w14:textId="77777777" w:rsidR="005A46E7" w:rsidRPr="00BD0035" w:rsidRDefault="005A46E7" w:rsidP="005A46E7">
            <w:pPr>
              <w:tabs>
                <w:tab w:val="left" w:pos="202"/>
              </w:tabs>
              <w:rPr>
                <w:rFonts w:eastAsia="Calibri"/>
                <w:sz w:val="16"/>
                <w:szCs w:val="16"/>
              </w:rPr>
            </w:pPr>
            <w:r w:rsidRPr="00BD0035">
              <w:rPr>
                <w:rFonts w:eastAsia="Calibri"/>
                <w:sz w:val="16"/>
                <w:szCs w:val="16"/>
              </w:rPr>
              <w:t>4.</w:t>
            </w:r>
            <w:r w:rsidRPr="00BD0035">
              <w:rPr>
                <w:rFonts w:eastAsia="Calibri"/>
                <w:sz w:val="16"/>
                <w:szCs w:val="16"/>
              </w:rPr>
              <w:tab/>
              <w:t>Thin</w:t>
            </w:r>
          </w:p>
        </w:tc>
        <w:tc>
          <w:tcPr>
            <w:tcW w:w="3672" w:type="dxa"/>
            <w:vAlign w:val="center"/>
          </w:tcPr>
          <w:p w14:paraId="15B2A983" w14:textId="77777777" w:rsidR="005A46E7" w:rsidRPr="00BD0035" w:rsidRDefault="005A46E7" w:rsidP="005A46E7">
            <w:pPr>
              <w:rPr>
                <w:rFonts w:eastAsia="Calibri"/>
                <w:sz w:val="16"/>
                <w:szCs w:val="16"/>
              </w:rPr>
            </w:pPr>
            <w:r w:rsidRPr="00BD0035">
              <w:rPr>
                <w:rFonts w:eastAsia="Calibri"/>
                <w:sz w:val="16"/>
                <w:szCs w:val="16"/>
              </w:rPr>
              <w:t>Individual ribs are not visibly apparent except the last two ribs. Backbone can be identified with slight pressure; individual spinous processes are rounded rather than sharp. Individual muscles in the hindquarter are apparent, but the quarter is straight.</w:t>
            </w:r>
          </w:p>
        </w:tc>
      </w:tr>
      <w:tr w:rsidR="005A46E7" w:rsidRPr="00BD0035" w14:paraId="4D1C64B2" w14:textId="77777777" w:rsidTr="005A46E7">
        <w:trPr>
          <w:cantSplit/>
          <w:jc w:val="center"/>
        </w:trPr>
        <w:tc>
          <w:tcPr>
            <w:tcW w:w="1242" w:type="dxa"/>
          </w:tcPr>
          <w:p w14:paraId="4C8E6C48" w14:textId="77777777" w:rsidR="005A46E7" w:rsidRPr="00BD0035" w:rsidRDefault="005A46E7" w:rsidP="005A46E7">
            <w:pPr>
              <w:tabs>
                <w:tab w:val="left" w:pos="202"/>
              </w:tabs>
              <w:rPr>
                <w:rFonts w:eastAsia="Calibri"/>
                <w:sz w:val="16"/>
                <w:szCs w:val="16"/>
              </w:rPr>
            </w:pPr>
            <w:r w:rsidRPr="00BD0035">
              <w:rPr>
                <w:rFonts w:eastAsia="Calibri"/>
                <w:sz w:val="16"/>
                <w:szCs w:val="16"/>
              </w:rPr>
              <w:t>5.</w:t>
            </w:r>
            <w:r w:rsidRPr="00BD0035">
              <w:rPr>
                <w:rFonts w:eastAsia="Calibri"/>
                <w:sz w:val="16"/>
                <w:szCs w:val="16"/>
              </w:rPr>
              <w:tab/>
              <w:t>Moderate</w:t>
            </w:r>
          </w:p>
        </w:tc>
        <w:tc>
          <w:tcPr>
            <w:tcW w:w="3672" w:type="dxa"/>
            <w:vAlign w:val="center"/>
          </w:tcPr>
          <w:p w14:paraId="0EDCF129" w14:textId="77777777" w:rsidR="005A46E7" w:rsidRPr="00BD0035" w:rsidRDefault="005A46E7" w:rsidP="005A46E7">
            <w:pPr>
              <w:rPr>
                <w:rFonts w:eastAsia="Calibri"/>
                <w:sz w:val="16"/>
                <w:szCs w:val="16"/>
              </w:rPr>
            </w:pPr>
            <w:r w:rsidRPr="00BD0035">
              <w:rPr>
                <w:rFonts w:eastAsia="Calibri"/>
                <w:sz w:val="16"/>
                <w:szCs w:val="16"/>
              </w:rPr>
              <w:t>Good overall appearance. The last two ribs are not visible but can be easily felt. Hindquarter individual muscles are not apparent. Areas on either side of the tail head are filled and fat cover is palpable.</w:t>
            </w:r>
          </w:p>
        </w:tc>
      </w:tr>
      <w:tr w:rsidR="005A46E7" w:rsidRPr="00BD0035" w14:paraId="6A8B9CA1" w14:textId="77777777" w:rsidTr="005A46E7">
        <w:trPr>
          <w:cantSplit/>
          <w:jc w:val="center"/>
        </w:trPr>
        <w:tc>
          <w:tcPr>
            <w:tcW w:w="1242" w:type="dxa"/>
          </w:tcPr>
          <w:p w14:paraId="554FE059" w14:textId="77777777" w:rsidR="005A46E7" w:rsidRPr="00BD0035" w:rsidRDefault="005A46E7" w:rsidP="005A46E7">
            <w:pPr>
              <w:tabs>
                <w:tab w:val="left" w:pos="202"/>
              </w:tabs>
              <w:rPr>
                <w:rFonts w:eastAsia="Calibri"/>
                <w:sz w:val="16"/>
                <w:szCs w:val="16"/>
              </w:rPr>
            </w:pPr>
            <w:r w:rsidRPr="00BD0035">
              <w:rPr>
                <w:rFonts w:eastAsia="Calibri"/>
                <w:sz w:val="16"/>
                <w:szCs w:val="16"/>
              </w:rPr>
              <w:t>6.</w:t>
            </w:r>
            <w:r w:rsidRPr="00BD0035">
              <w:rPr>
                <w:rFonts w:eastAsia="Calibri"/>
                <w:sz w:val="16"/>
                <w:szCs w:val="16"/>
              </w:rPr>
              <w:tab/>
              <w:t>High Moderate</w:t>
            </w:r>
          </w:p>
        </w:tc>
        <w:tc>
          <w:tcPr>
            <w:tcW w:w="3672" w:type="dxa"/>
            <w:vAlign w:val="center"/>
          </w:tcPr>
          <w:p w14:paraId="745E8E72" w14:textId="77777777" w:rsidR="005A46E7" w:rsidRPr="00BD0035" w:rsidRDefault="005A46E7" w:rsidP="005A46E7">
            <w:pPr>
              <w:rPr>
                <w:rFonts w:eastAsia="Calibri"/>
                <w:sz w:val="16"/>
                <w:szCs w:val="16"/>
              </w:rPr>
            </w:pPr>
            <w:r w:rsidRPr="00BD0035">
              <w:rPr>
                <w:rFonts w:eastAsia="Calibri"/>
                <w:sz w:val="16"/>
                <w:szCs w:val="16"/>
              </w:rPr>
              <w:t>Good smooth appearance throughout. Ribs are not visible and are fully covered. Some fat deposition in the brisket. Spongy fat on ribs and pin bones and sides of tailhead. Firm pressure is needed to feel the spinous processes.</w:t>
            </w:r>
          </w:p>
        </w:tc>
      </w:tr>
      <w:tr w:rsidR="005A46E7" w:rsidRPr="00BD0035" w14:paraId="36CC0B18" w14:textId="77777777" w:rsidTr="005A46E7">
        <w:trPr>
          <w:cantSplit/>
          <w:jc w:val="center"/>
        </w:trPr>
        <w:tc>
          <w:tcPr>
            <w:tcW w:w="1242" w:type="dxa"/>
          </w:tcPr>
          <w:p w14:paraId="0904B804" w14:textId="77777777" w:rsidR="005A46E7" w:rsidRPr="00BD0035" w:rsidRDefault="005A46E7" w:rsidP="005A46E7">
            <w:pPr>
              <w:tabs>
                <w:tab w:val="left" w:pos="202"/>
              </w:tabs>
              <w:rPr>
                <w:rFonts w:eastAsia="Calibri"/>
                <w:sz w:val="16"/>
                <w:szCs w:val="16"/>
              </w:rPr>
            </w:pPr>
            <w:r w:rsidRPr="00BD0035">
              <w:rPr>
                <w:rFonts w:eastAsia="Calibri"/>
                <w:sz w:val="16"/>
                <w:szCs w:val="16"/>
              </w:rPr>
              <w:t>7.</w:t>
            </w:r>
            <w:r w:rsidRPr="00BD0035">
              <w:rPr>
                <w:rFonts w:eastAsia="Calibri"/>
                <w:sz w:val="16"/>
                <w:szCs w:val="16"/>
              </w:rPr>
              <w:tab/>
              <w:t>Good</w:t>
            </w:r>
          </w:p>
        </w:tc>
        <w:tc>
          <w:tcPr>
            <w:tcW w:w="3672" w:type="dxa"/>
            <w:vAlign w:val="center"/>
          </w:tcPr>
          <w:p w14:paraId="151417AB" w14:textId="77777777" w:rsidR="005A46E7" w:rsidRPr="00BD0035" w:rsidRDefault="005A46E7" w:rsidP="005A46E7">
            <w:pPr>
              <w:rPr>
                <w:rFonts w:eastAsia="Calibri"/>
                <w:sz w:val="16"/>
                <w:szCs w:val="16"/>
              </w:rPr>
            </w:pPr>
            <w:r w:rsidRPr="00BD0035">
              <w:rPr>
                <w:rFonts w:eastAsia="Calibri"/>
                <w:sz w:val="16"/>
                <w:szCs w:val="16"/>
              </w:rPr>
              <w:t>Livestock appear fleshy and obviously carry considerable fat. Brisket is full.</w:t>
            </w:r>
          </w:p>
          <w:p w14:paraId="3EDCC706" w14:textId="77777777" w:rsidR="005A46E7" w:rsidRPr="00BD0035" w:rsidRDefault="005A46E7" w:rsidP="005A46E7">
            <w:pPr>
              <w:rPr>
                <w:rFonts w:eastAsia="Calibri"/>
                <w:sz w:val="16"/>
                <w:szCs w:val="16"/>
              </w:rPr>
            </w:pPr>
            <w:r w:rsidRPr="00BD0035">
              <w:rPr>
                <w:rFonts w:eastAsia="Calibri"/>
                <w:sz w:val="16"/>
                <w:szCs w:val="16"/>
              </w:rPr>
              <w:t>Tailhead and pin bones have protruding fat deposits. Back appears square.</w:t>
            </w:r>
          </w:p>
        </w:tc>
      </w:tr>
      <w:tr w:rsidR="005A46E7" w:rsidRPr="00BD0035" w14:paraId="2530AAE7" w14:textId="77777777" w:rsidTr="005A46E7">
        <w:trPr>
          <w:cantSplit/>
          <w:jc w:val="center"/>
        </w:trPr>
        <w:tc>
          <w:tcPr>
            <w:tcW w:w="1242" w:type="dxa"/>
          </w:tcPr>
          <w:p w14:paraId="4CD2705C" w14:textId="77777777" w:rsidR="005A46E7" w:rsidRPr="00BD0035" w:rsidRDefault="005A46E7" w:rsidP="005A46E7">
            <w:pPr>
              <w:tabs>
                <w:tab w:val="left" w:pos="202"/>
              </w:tabs>
              <w:rPr>
                <w:rFonts w:eastAsia="Calibri"/>
                <w:sz w:val="16"/>
                <w:szCs w:val="16"/>
              </w:rPr>
            </w:pPr>
            <w:r w:rsidRPr="00BD0035">
              <w:rPr>
                <w:rFonts w:eastAsia="Calibri"/>
                <w:sz w:val="16"/>
                <w:szCs w:val="16"/>
              </w:rPr>
              <w:t>8.</w:t>
            </w:r>
            <w:r w:rsidRPr="00BD0035">
              <w:rPr>
                <w:rFonts w:eastAsia="Calibri"/>
                <w:sz w:val="16"/>
                <w:szCs w:val="16"/>
              </w:rPr>
              <w:tab/>
              <w:t>Obese</w:t>
            </w:r>
          </w:p>
        </w:tc>
        <w:tc>
          <w:tcPr>
            <w:tcW w:w="3672" w:type="dxa"/>
            <w:vAlign w:val="center"/>
          </w:tcPr>
          <w:p w14:paraId="402D4EB1" w14:textId="77777777" w:rsidR="005A46E7" w:rsidRPr="00BD0035" w:rsidRDefault="005A46E7" w:rsidP="005A46E7">
            <w:pPr>
              <w:rPr>
                <w:rFonts w:eastAsia="Calibri"/>
                <w:sz w:val="16"/>
                <w:szCs w:val="16"/>
              </w:rPr>
            </w:pPr>
            <w:r w:rsidRPr="00BD0035">
              <w:rPr>
                <w:rFonts w:eastAsia="Calibri"/>
                <w:sz w:val="16"/>
                <w:szCs w:val="16"/>
              </w:rPr>
              <w:t>Protruding fat deposits on tailhead and pin bones. Spinous processes almost impossible to feel. Brisket is distended and neck is thick.</w:t>
            </w:r>
          </w:p>
        </w:tc>
      </w:tr>
      <w:tr w:rsidR="005A46E7" w:rsidRPr="00BD0035" w14:paraId="7F61EBE3" w14:textId="77777777" w:rsidTr="005A46E7">
        <w:trPr>
          <w:cantSplit/>
          <w:jc w:val="center"/>
        </w:trPr>
        <w:tc>
          <w:tcPr>
            <w:tcW w:w="1242" w:type="dxa"/>
          </w:tcPr>
          <w:p w14:paraId="57192826" w14:textId="77777777" w:rsidR="005A46E7" w:rsidRPr="00BD0035" w:rsidRDefault="005A46E7" w:rsidP="005A46E7">
            <w:pPr>
              <w:tabs>
                <w:tab w:val="left" w:pos="202"/>
              </w:tabs>
              <w:rPr>
                <w:rFonts w:eastAsia="Calibri"/>
                <w:sz w:val="16"/>
                <w:szCs w:val="16"/>
              </w:rPr>
            </w:pPr>
            <w:r w:rsidRPr="00BD0035">
              <w:rPr>
                <w:rFonts w:eastAsia="Calibri"/>
                <w:sz w:val="16"/>
                <w:szCs w:val="16"/>
              </w:rPr>
              <w:t>9.</w:t>
            </w:r>
            <w:r w:rsidRPr="00BD0035">
              <w:rPr>
                <w:rFonts w:eastAsia="Calibri"/>
                <w:sz w:val="16"/>
                <w:szCs w:val="16"/>
              </w:rPr>
              <w:tab/>
              <w:t>Very Obese</w:t>
            </w:r>
          </w:p>
        </w:tc>
        <w:tc>
          <w:tcPr>
            <w:tcW w:w="3672" w:type="dxa"/>
            <w:vAlign w:val="center"/>
          </w:tcPr>
          <w:p w14:paraId="7B261789" w14:textId="77777777" w:rsidR="005A46E7" w:rsidRPr="00BD0035" w:rsidRDefault="005A46E7" w:rsidP="005A46E7">
            <w:pPr>
              <w:rPr>
                <w:rFonts w:eastAsia="Calibri"/>
                <w:sz w:val="16"/>
                <w:szCs w:val="16"/>
              </w:rPr>
            </w:pPr>
            <w:r w:rsidRPr="00BD0035">
              <w:rPr>
                <w:rFonts w:eastAsia="Calibri"/>
                <w:sz w:val="16"/>
                <w:szCs w:val="16"/>
              </w:rPr>
              <w:t>The body has lost definition and contours disappear across back and sides as animal takes on a block-like smooth appearance. Tailhead and hips buried in fat deposits. Bony structures no longer visible or palpable.</w:t>
            </w:r>
          </w:p>
        </w:tc>
      </w:tr>
    </w:tbl>
    <w:p w14:paraId="6AA34CE3" w14:textId="77777777" w:rsidR="005A46E7" w:rsidRPr="00BD0035" w:rsidRDefault="005A46E7" w:rsidP="00041065">
      <w:pPr>
        <w:pStyle w:val="A"/>
        <w:spacing w:after="0"/>
        <w:rPr>
          <w:rFonts w:eastAsia="Calibri"/>
        </w:rPr>
      </w:pPr>
    </w:p>
    <w:p w14:paraId="15C99030" w14:textId="77777777" w:rsidR="005A46E7" w:rsidRDefault="005A46E7" w:rsidP="005A46E7">
      <w:pPr>
        <w:pStyle w:val="1"/>
        <w:rPr>
          <w:rFonts w:eastAsia="Calibri"/>
        </w:rPr>
      </w:pPr>
      <w:r w:rsidRPr="00A1145E">
        <w:rPr>
          <w:rFonts w:eastAsia="Calibri"/>
        </w:rPr>
        <w:t>2.</w:t>
      </w:r>
      <w:r w:rsidRPr="00A1145E">
        <w:rPr>
          <w:rFonts w:eastAsia="Calibri"/>
        </w:rPr>
        <w:tab/>
        <w:t>Body Condition Scoring for Dairy Cattle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170"/>
        <w:gridCol w:w="3654"/>
      </w:tblGrid>
      <w:tr w:rsidR="005A46E7" w:rsidRPr="00BD0035" w14:paraId="63FF0A68" w14:textId="77777777" w:rsidTr="005A46E7">
        <w:trPr>
          <w:cantSplit/>
          <w:tblHeader/>
          <w:jc w:val="center"/>
        </w:trPr>
        <w:tc>
          <w:tcPr>
            <w:tcW w:w="1170" w:type="dxa"/>
            <w:tcBorders>
              <w:top w:val="double" w:sz="6" w:space="0" w:color="auto"/>
              <w:bottom w:val="single" w:sz="6" w:space="0" w:color="auto"/>
            </w:tcBorders>
            <w:shd w:val="pct25" w:color="auto" w:fill="auto"/>
            <w:vAlign w:val="center"/>
          </w:tcPr>
          <w:p w14:paraId="70AD2E3E" w14:textId="77777777" w:rsidR="005A46E7" w:rsidRPr="001B17A9" w:rsidRDefault="005A46E7" w:rsidP="005A46E7">
            <w:pPr>
              <w:keepNext/>
              <w:jc w:val="center"/>
              <w:rPr>
                <w:rFonts w:eastAsia="Calibri"/>
                <w:b/>
                <w:sz w:val="16"/>
                <w:szCs w:val="16"/>
              </w:rPr>
            </w:pPr>
            <w:r w:rsidRPr="001B17A9">
              <w:rPr>
                <w:rFonts w:eastAsia="Calibri"/>
                <w:b/>
                <w:sz w:val="16"/>
                <w:szCs w:val="16"/>
              </w:rPr>
              <w:t>Score</w:t>
            </w:r>
          </w:p>
        </w:tc>
        <w:tc>
          <w:tcPr>
            <w:tcW w:w="3654" w:type="dxa"/>
            <w:tcBorders>
              <w:top w:val="double" w:sz="6" w:space="0" w:color="auto"/>
              <w:bottom w:val="single" w:sz="6" w:space="0" w:color="auto"/>
            </w:tcBorders>
            <w:shd w:val="pct25" w:color="auto" w:fill="auto"/>
            <w:vAlign w:val="center"/>
          </w:tcPr>
          <w:p w14:paraId="3ED3F231" w14:textId="77777777" w:rsidR="005A46E7" w:rsidRPr="001B17A9" w:rsidRDefault="005A46E7" w:rsidP="005A46E7">
            <w:pPr>
              <w:keepNext/>
              <w:jc w:val="center"/>
              <w:rPr>
                <w:rFonts w:eastAsia="Calibri"/>
                <w:b/>
                <w:sz w:val="16"/>
                <w:szCs w:val="16"/>
              </w:rPr>
            </w:pPr>
            <w:r w:rsidRPr="001B17A9">
              <w:rPr>
                <w:rFonts w:eastAsia="Calibri"/>
                <w:b/>
                <w:sz w:val="16"/>
                <w:szCs w:val="16"/>
              </w:rPr>
              <w:t>Description</w:t>
            </w:r>
          </w:p>
        </w:tc>
      </w:tr>
      <w:tr w:rsidR="005A46E7" w:rsidRPr="00BD0035" w14:paraId="195CD72B" w14:textId="77777777" w:rsidTr="005A46E7">
        <w:trPr>
          <w:cantSplit/>
          <w:jc w:val="center"/>
        </w:trPr>
        <w:tc>
          <w:tcPr>
            <w:tcW w:w="1170" w:type="dxa"/>
            <w:tcBorders>
              <w:top w:val="single" w:sz="6" w:space="0" w:color="auto"/>
            </w:tcBorders>
          </w:tcPr>
          <w:p w14:paraId="4A3F11FF" w14:textId="77777777" w:rsidR="005A46E7" w:rsidRPr="00BD0035" w:rsidRDefault="005A46E7" w:rsidP="005A46E7">
            <w:pPr>
              <w:tabs>
                <w:tab w:val="left" w:pos="202"/>
              </w:tabs>
              <w:rPr>
                <w:rFonts w:eastAsia="Calibri"/>
                <w:sz w:val="16"/>
                <w:szCs w:val="16"/>
              </w:rPr>
            </w:pPr>
            <w:r w:rsidRPr="00BD0035">
              <w:rPr>
                <w:rFonts w:eastAsia="Calibri"/>
                <w:sz w:val="16"/>
                <w:szCs w:val="16"/>
              </w:rPr>
              <w:t>1.</w:t>
            </w:r>
            <w:r w:rsidRPr="00BD0035">
              <w:rPr>
                <w:rFonts w:eastAsia="Calibri"/>
                <w:sz w:val="16"/>
                <w:szCs w:val="16"/>
              </w:rPr>
              <w:tab/>
              <w:t>Emaciated</w:t>
            </w:r>
          </w:p>
        </w:tc>
        <w:tc>
          <w:tcPr>
            <w:tcW w:w="3654" w:type="dxa"/>
            <w:tcBorders>
              <w:top w:val="single" w:sz="6" w:space="0" w:color="auto"/>
            </w:tcBorders>
            <w:vAlign w:val="center"/>
          </w:tcPr>
          <w:p w14:paraId="70A231C9" w14:textId="77777777" w:rsidR="005A46E7" w:rsidRPr="00BD0035" w:rsidRDefault="005A46E7" w:rsidP="005A46E7">
            <w:pPr>
              <w:rPr>
                <w:rFonts w:eastAsia="Calibri"/>
                <w:sz w:val="16"/>
                <w:szCs w:val="16"/>
              </w:rPr>
            </w:pPr>
            <w:r w:rsidRPr="00BD0035">
              <w:rPr>
                <w:rFonts w:eastAsia="Calibri"/>
                <w:sz w:val="16"/>
                <w:szCs w:val="16"/>
              </w:rPr>
              <w:t>Deep cavity around tailhead. Bones of pelvis and short ribs are easily felt. No fatty tissue in pelvic or loin area. Deep depression in loins.</w:t>
            </w:r>
          </w:p>
        </w:tc>
      </w:tr>
      <w:tr w:rsidR="005A46E7" w:rsidRPr="00BD0035" w14:paraId="0A4E2B85" w14:textId="77777777" w:rsidTr="005A46E7">
        <w:trPr>
          <w:cantSplit/>
          <w:jc w:val="center"/>
        </w:trPr>
        <w:tc>
          <w:tcPr>
            <w:tcW w:w="1170" w:type="dxa"/>
          </w:tcPr>
          <w:p w14:paraId="19B75CDF" w14:textId="77777777" w:rsidR="005A46E7" w:rsidRPr="00BD0035" w:rsidRDefault="005A46E7" w:rsidP="005A46E7">
            <w:pPr>
              <w:tabs>
                <w:tab w:val="left" w:pos="202"/>
              </w:tabs>
              <w:rPr>
                <w:rFonts w:eastAsia="Calibri"/>
                <w:sz w:val="16"/>
                <w:szCs w:val="16"/>
              </w:rPr>
            </w:pPr>
            <w:r w:rsidRPr="00BD0035">
              <w:rPr>
                <w:rFonts w:eastAsia="Calibri"/>
                <w:sz w:val="16"/>
                <w:szCs w:val="16"/>
              </w:rPr>
              <w:t>2.</w:t>
            </w:r>
            <w:r w:rsidRPr="00BD0035">
              <w:rPr>
                <w:rFonts w:eastAsia="Calibri"/>
                <w:sz w:val="16"/>
                <w:szCs w:val="16"/>
              </w:rPr>
              <w:tab/>
              <w:t>Thin</w:t>
            </w:r>
          </w:p>
        </w:tc>
        <w:tc>
          <w:tcPr>
            <w:tcW w:w="3654" w:type="dxa"/>
            <w:vAlign w:val="center"/>
          </w:tcPr>
          <w:p w14:paraId="2A729F18" w14:textId="77777777" w:rsidR="005A46E7" w:rsidRPr="00BD0035" w:rsidRDefault="005A46E7" w:rsidP="005A46E7">
            <w:pPr>
              <w:rPr>
                <w:rFonts w:eastAsia="Calibri"/>
                <w:sz w:val="16"/>
                <w:szCs w:val="16"/>
              </w:rPr>
            </w:pPr>
            <w:r w:rsidRPr="00BD0035">
              <w:rPr>
                <w:rFonts w:eastAsia="Calibri"/>
                <w:sz w:val="16"/>
                <w:szCs w:val="16"/>
              </w:rPr>
              <w:t>Shallow cavity around tailhead with some fatty tissue lining it and covering pin bones. Pelvis easily felt. Ends of short ribs feel rounded and upper surfaces can be felt with slight pressure. Depression viable in loin area.</w:t>
            </w:r>
          </w:p>
        </w:tc>
      </w:tr>
      <w:tr w:rsidR="005A46E7" w:rsidRPr="00BD0035" w14:paraId="4277044C" w14:textId="77777777" w:rsidTr="005A46E7">
        <w:trPr>
          <w:cantSplit/>
          <w:jc w:val="center"/>
        </w:trPr>
        <w:tc>
          <w:tcPr>
            <w:tcW w:w="1170" w:type="dxa"/>
          </w:tcPr>
          <w:p w14:paraId="73E851F3" w14:textId="77777777" w:rsidR="005A46E7" w:rsidRPr="00BD0035" w:rsidRDefault="005A46E7" w:rsidP="005A46E7">
            <w:pPr>
              <w:tabs>
                <w:tab w:val="left" w:pos="202"/>
              </w:tabs>
              <w:rPr>
                <w:rFonts w:eastAsia="Calibri"/>
                <w:sz w:val="16"/>
                <w:szCs w:val="16"/>
              </w:rPr>
            </w:pPr>
            <w:r w:rsidRPr="00BD0035">
              <w:rPr>
                <w:rFonts w:eastAsia="Calibri"/>
                <w:sz w:val="16"/>
                <w:szCs w:val="16"/>
              </w:rPr>
              <w:t>3.</w:t>
            </w:r>
            <w:r w:rsidRPr="00BD0035">
              <w:rPr>
                <w:rFonts w:eastAsia="Calibri"/>
                <w:sz w:val="16"/>
                <w:szCs w:val="16"/>
              </w:rPr>
              <w:tab/>
              <w:t>Ideal</w:t>
            </w:r>
          </w:p>
        </w:tc>
        <w:tc>
          <w:tcPr>
            <w:tcW w:w="3654" w:type="dxa"/>
            <w:vAlign w:val="center"/>
          </w:tcPr>
          <w:p w14:paraId="329CBFCE" w14:textId="77777777" w:rsidR="005A46E7" w:rsidRPr="00BD0035" w:rsidRDefault="005A46E7" w:rsidP="005A46E7">
            <w:pPr>
              <w:rPr>
                <w:rFonts w:eastAsia="Calibri"/>
                <w:sz w:val="16"/>
                <w:szCs w:val="16"/>
              </w:rPr>
            </w:pPr>
            <w:r w:rsidRPr="00BD0035">
              <w:rPr>
                <w:rFonts w:eastAsia="Calibri"/>
                <w:sz w:val="16"/>
                <w:szCs w:val="16"/>
              </w:rPr>
              <w:t>No cavity around tailhead and fatty tissue easily felt over entire area. Pelvis felt with slight pressure. Thick layer of tissue covering top of short ribs which is felt with pressure. Slight depression over loin area.</w:t>
            </w:r>
          </w:p>
        </w:tc>
      </w:tr>
      <w:tr w:rsidR="005A46E7" w:rsidRPr="00BD0035" w14:paraId="3FD0E6AE" w14:textId="77777777" w:rsidTr="005A46E7">
        <w:trPr>
          <w:cantSplit/>
          <w:jc w:val="center"/>
        </w:trPr>
        <w:tc>
          <w:tcPr>
            <w:tcW w:w="1170" w:type="dxa"/>
          </w:tcPr>
          <w:p w14:paraId="6AECB5DE" w14:textId="77777777" w:rsidR="005A46E7" w:rsidRPr="00BD0035" w:rsidRDefault="005A46E7" w:rsidP="005A46E7">
            <w:pPr>
              <w:tabs>
                <w:tab w:val="left" w:pos="202"/>
              </w:tabs>
              <w:rPr>
                <w:rFonts w:eastAsia="Calibri"/>
                <w:sz w:val="16"/>
                <w:szCs w:val="16"/>
              </w:rPr>
            </w:pPr>
            <w:r w:rsidRPr="00BD0035">
              <w:rPr>
                <w:rFonts w:eastAsia="Calibri"/>
                <w:sz w:val="16"/>
                <w:szCs w:val="16"/>
              </w:rPr>
              <w:t>4.</w:t>
            </w:r>
            <w:r w:rsidRPr="00BD0035">
              <w:rPr>
                <w:rFonts w:eastAsia="Calibri"/>
                <w:sz w:val="16"/>
                <w:szCs w:val="16"/>
              </w:rPr>
              <w:tab/>
              <w:t>Fat</w:t>
            </w:r>
          </w:p>
        </w:tc>
        <w:tc>
          <w:tcPr>
            <w:tcW w:w="3654" w:type="dxa"/>
            <w:vAlign w:val="center"/>
          </w:tcPr>
          <w:p w14:paraId="1609F2D2" w14:textId="77777777" w:rsidR="005A46E7" w:rsidRPr="00BD0035" w:rsidRDefault="005A46E7" w:rsidP="005A46E7">
            <w:pPr>
              <w:rPr>
                <w:rFonts w:eastAsia="Calibri"/>
                <w:sz w:val="16"/>
                <w:szCs w:val="16"/>
              </w:rPr>
            </w:pPr>
            <w:r w:rsidRPr="00BD0035">
              <w:rPr>
                <w:rFonts w:eastAsia="Calibri"/>
                <w:sz w:val="16"/>
                <w:szCs w:val="16"/>
              </w:rPr>
              <w:t>Fold of fatty tissue around tailhead with patches of fat covering pin bones.</w:t>
            </w:r>
          </w:p>
          <w:p w14:paraId="16B52ECB" w14:textId="77777777" w:rsidR="005A46E7" w:rsidRPr="00BD0035" w:rsidRDefault="005A46E7" w:rsidP="005A46E7">
            <w:pPr>
              <w:rPr>
                <w:rFonts w:eastAsia="Calibri"/>
                <w:sz w:val="16"/>
                <w:szCs w:val="16"/>
              </w:rPr>
            </w:pPr>
            <w:r w:rsidRPr="00BD0035">
              <w:rPr>
                <w:rFonts w:eastAsia="Calibri"/>
                <w:sz w:val="16"/>
                <w:szCs w:val="16"/>
              </w:rPr>
              <w:t>Short ribs cannot be felt. No depression in loin area.</w:t>
            </w:r>
          </w:p>
        </w:tc>
      </w:tr>
      <w:tr w:rsidR="005A46E7" w:rsidRPr="00BD0035" w14:paraId="2645ECF6" w14:textId="77777777" w:rsidTr="005A46E7">
        <w:trPr>
          <w:cantSplit/>
          <w:jc w:val="center"/>
        </w:trPr>
        <w:tc>
          <w:tcPr>
            <w:tcW w:w="1170" w:type="dxa"/>
          </w:tcPr>
          <w:p w14:paraId="4C2E7F3F" w14:textId="77777777" w:rsidR="005A46E7" w:rsidRPr="00BD0035" w:rsidRDefault="005A46E7" w:rsidP="005A46E7">
            <w:pPr>
              <w:tabs>
                <w:tab w:val="left" w:pos="202"/>
              </w:tabs>
              <w:rPr>
                <w:rFonts w:eastAsia="Calibri"/>
                <w:sz w:val="16"/>
                <w:szCs w:val="16"/>
              </w:rPr>
            </w:pPr>
            <w:r w:rsidRPr="00BD0035">
              <w:rPr>
                <w:rFonts w:eastAsia="Calibri"/>
                <w:sz w:val="16"/>
                <w:szCs w:val="16"/>
              </w:rPr>
              <w:t>5.</w:t>
            </w:r>
            <w:r w:rsidRPr="00BD0035">
              <w:rPr>
                <w:rFonts w:eastAsia="Calibri"/>
                <w:sz w:val="16"/>
                <w:szCs w:val="16"/>
              </w:rPr>
              <w:tab/>
              <w:t>Obese</w:t>
            </w:r>
          </w:p>
        </w:tc>
        <w:tc>
          <w:tcPr>
            <w:tcW w:w="3654" w:type="dxa"/>
            <w:vAlign w:val="center"/>
          </w:tcPr>
          <w:p w14:paraId="2ED46C27" w14:textId="77777777" w:rsidR="005A46E7" w:rsidRPr="00BD0035" w:rsidRDefault="005A46E7" w:rsidP="005A46E7">
            <w:pPr>
              <w:rPr>
                <w:rFonts w:eastAsia="Calibri"/>
                <w:sz w:val="16"/>
                <w:szCs w:val="16"/>
              </w:rPr>
            </w:pPr>
            <w:r w:rsidRPr="00BD0035">
              <w:rPr>
                <w:rFonts w:eastAsia="Calibri"/>
                <w:sz w:val="16"/>
                <w:szCs w:val="16"/>
              </w:rPr>
              <w:t>Tailhead buried in thick layer of fatty tissue. Pelvic bones cannot be felt with firm pressure. Short ribs covered with thick layer of fatty tissue.</w:t>
            </w:r>
          </w:p>
        </w:tc>
      </w:tr>
    </w:tbl>
    <w:p w14:paraId="63A05635" w14:textId="77777777" w:rsidR="00041065" w:rsidRPr="00BD0035" w:rsidRDefault="00041065" w:rsidP="00041065">
      <w:pPr>
        <w:pStyle w:val="A"/>
        <w:spacing w:after="0"/>
        <w:rPr>
          <w:rFonts w:eastAsia="Calibri"/>
        </w:rPr>
      </w:pPr>
    </w:p>
    <w:p w14:paraId="19181BFA"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4CF60ECD" w14:textId="77777777"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3240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40:985 (May 2014).</w:t>
      </w:r>
    </w:p>
    <w:p w14:paraId="16A2A52B" w14:textId="77777777" w:rsidR="005A46E7" w:rsidRPr="00A1145E" w:rsidRDefault="005A46E7" w:rsidP="005A46E7">
      <w:pPr>
        <w:pStyle w:val="Section"/>
        <w:rPr>
          <w:rFonts w:eastAsia="Calibri"/>
        </w:rPr>
      </w:pPr>
      <w:bookmarkStart w:id="2331" w:name="_Toc375025606"/>
      <w:bookmarkStart w:id="2332" w:name="_Toc224819188"/>
      <w:r>
        <w:rPr>
          <w:rFonts w:eastAsia="Calibri"/>
        </w:rPr>
        <w:t>§2105.</w:t>
      </w:r>
      <w:r>
        <w:rPr>
          <w:rFonts w:eastAsia="Calibri"/>
        </w:rPr>
        <w:tab/>
      </w:r>
      <w:r w:rsidRPr="00A1145E">
        <w:rPr>
          <w:rFonts w:eastAsia="Calibri"/>
        </w:rPr>
        <w:t>Beef and Dairy Cattle</w:t>
      </w:r>
      <w:bookmarkEnd w:id="2331"/>
      <w:r>
        <w:rPr>
          <w:rFonts w:eastAsia="Calibri"/>
        </w:rPr>
        <w:br/>
        <w:t>(</w:t>
      </w:r>
      <w:r w:rsidRPr="00A1145E">
        <w:rPr>
          <w:rFonts w:eastAsia="Calibri"/>
        </w:rPr>
        <w:t>Formerly §3105</w:t>
      </w:r>
      <w:r>
        <w:rPr>
          <w:rFonts w:eastAsia="Calibri"/>
        </w:rPr>
        <w:t>)</w:t>
      </w:r>
      <w:bookmarkEnd w:id="2332"/>
    </w:p>
    <w:p w14:paraId="78A71C2A" w14:textId="77777777" w:rsidR="005A46E7" w:rsidRPr="00A1145E" w:rsidRDefault="005A46E7" w:rsidP="005A46E7">
      <w:pPr>
        <w:pStyle w:val="A"/>
        <w:rPr>
          <w:rFonts w:eastAsia="Calibri"/>
        </w:rPr>
      </w:pPr>
      <w:r w:rsidRPr="00A1145E">
        <w:rPr>
          <w:rFonts w:eastAsia="Calibri"/>
        </w:rPr>
        <w:t>A.</w:t>
      </w:r>
      <w:r w:rsidRPr="00A1145E">
        <w:rPr>
          <w:rFonts w:eastAsia="Calibri"/>
        </w:rPr>
        <w:tab/>
        <w:t>Body Condition Scoring (BCS) of Cattle</w:t>
      </w:r>
    </w:p>
    <w:p w14:paraId="3DF06447" w14:textId="77777777" w:rsidR="005A46E7" w:rsidRPr="00A1145E" w:rsidRDefault="005A46E7" w:rsidP="005A46E7">
      <w:pPr>
        <w:pStyle w:val="1"/>
        <w:rPr>
          <w:rFonts w:eastAsia="Calibri"/>
        </w:rPr>
      </w:pPr>
      <w:r w:rsidRPr="00A1145E">
        <w:rPr>
          <w:rFonts w:eastAsia="Calibri"/>
        </w:rPr>
        <w:t>1.a.</w:t>
      </w:r>
      <w:r w:rsidRPr="00A1145E">
        <w:rPr>
          <w:rFonts w:eastAsia="Calibri"/>
        </w:rPr>
        <w:tab/>
      </w:r>
      <w:r w:rsidRPr="00A1145E">
        <w:rPr>
          <w:rFonts w:eastAsia="Calibri"/>
          <w:i/>
        </w:rPr>
        <w:t>BCS</w:t>
      </w:r>
      <w:r w:rsidRPr="00A1145E">
        <w:rPr>
          <w:rFonts w:eastAsia="Calibri"/>
        </w:rPr>
        <w:sym w:font="Symbol" w:char="F0BE"/>
      </w:r>
      <w:r w:rsidRPr="00A1145E">
        <w:rPr>
          <w:rFonts w:eastAsia="Calibri"/>
        </w:rPr>
        <w:t>a standardized, objective method of evaluating the body condition of cattle regardless of breed, age, gender, or body type.</w:t>
      </w:r>
    </w:p>
    <w:p w14:paraId="4A43DCB9" w14:textId="77777777" w:rsidR="005A46E7" w:rsidRPr="00A1145E" w:rsidRDefault="005A46E7" w:rsidP="005A46E7">
      <w:pPr>
        <w:pStyle w:val="a0"/>
        <w:rPr>
          <w:rFonts w:eastAsia="Calibri"/>
        </w:rPr>
      </w:pPr>
      <w:r w:rsidRPr="00A1145E">
        <w:rPr>
          <w:rFonts w:eastAsia="Calibri"/>
        </w:rPr>
        <w:t>b.</w:t>
      </w:r>
      <w:r w:rsidRPr="00A1145E">
        <w:rPr>
          <w:rFonts w:eastAsia="Calibri"/>
        </w:rPr>
        <w:tab/>
      </w:r>
      <w:r w:rsidRPr="00A1145E">
        <w:rPr>
          <w:rFonts w:eastAsia="Calibri"/>
          <w:i/>
        </w:rPr>
        <w:t>Body Condition</w:t>
      </w:r>
      <w:r w:rsidRPr="00A1145E">
        <w:rPr>
          <w:rFonts w:eastAsia="Calibri"/>
        </w:rPr>
        <w:sym w:font="Symbol" w:char="F0BE"/>
      </w:r>
      <w:r w:rsidRPr="00A1145E">
        <w:rPr>
          <w:rFonts w:eastAsia="Calibri"/>
        </w:rPr>
        <w:t>a measure of fat cover and scores are indicative of energy reserves in the body.</w:t>
      </w:r>
    </w:p>
    <w:p w14:paraId="28777263" w14:textId="77777777" w:rsidR="005A46E7" w:rsidRPr="00A1145E" w:rsidRDefault="005A46E7" w:rsidP="005A46E7">
      <w:pPr>
        <w:pStyle w:val="1"/>
        <w:rPr>
          <w:rFonts w:eastAsia="Calibri"/>
        </w:rPr>
      </w:pPr>
      <w:r w:rsidRPr="00A1145E">
        <w:rPr>
          <w:rFonts w:eastAsia="Calibri"/>
        </w:rPr>
        <w:t>2.</w:t>
      </w:r>
      <w:r w:rsidRPr="00A1145E">
        <w:rPr>
          <w:rFonts w:eastAsia="Calibri"/>
        </w:rPr>
        <w:tab/>
        <w:t xml:space="preserve">Several conditions may affect </w:t>
      </w:r>
      <w:r w:rsidRPr="00A1145E">
        <w:rPr>
          <w:rFonts w:eastAsia="Calibri"/>
          <w:i/>
        </w:rPr>
        <w:t>body condition</w:t>
      </w:r>
      <w:r w:rsidRPr="00A1145E">
        <w:rPr>
          <w:rFonts w:eastAsia="Calibri"/>
        </w:rPr>
        <w:t>:</w:t>
      </w:r>
    </w:p>
    <w:p w14:paraId="096BF6E4" w14:textId="77777777" w:rsidR="005A46E7" w:rsidRPr="00A1145E" w:rsidRDefault="005A46E7" w:rsidP="005A46E7">
      <w:pPr>
        <w:pStyle w:val="a0"/>
        <w:rPr>
          <w:rFonts w:eastAsia="Calibri"/>
        </w:rPr>
      </w:pPr>
      <w:r w:rsidRPr="00A1145E">
        <w:rPr>
          <w:rFonts w:eastAsia="Calibri"/>
        </w:rPr>
        <w:t>a.</w:t>
      </w:r>
      <w:r w:rsidRPr="00A1145E">
        <w:rPr>
          <w:rFonts w:eastAsia="Calibri"/>
        </w:rPr>
        <w:tab/>
        <w:t>lack of proper nutrition;</w:t>
      </w:r>
    </w:p>
    <w:p w14:paraId="0DEB41C7" w14:textId="77777777" w:rsidR="005A46E7" w:rsidRPr="00A1145E" w:rsidRDefault="005A46E7" w:rsidP="005A46E7">
      <w:pPr>
        <w:pStyle w:val="a0"/>
        <w:rPr>
          <w:rFonts w:eastAsia="Calibri"/>
        </w:rPr>
      </w:pPr>
      <w:r w:rsidRPr="00A1145E">
        <w:rPr>
          <w:rFonts w:eastAsia="Calibri"/>
        </w:rPr>
        <w:t>b.</w:t>
      </w:r>
      <w:r w:rsidRPr="00A1145E">
        <w:rPr>
          <w:rFonts w:eastAsia="Calibri"/>
        </w:rPr>
        <w:tab/>
        <w:t>severe parasitism;</w:t>
      </w:r>
    </w:p>
    <w:p w14:paraId="15472492" w14:textId="77777777" w:rsidR="005A46E7" w:rsidRPr="00A1145E" w:rsidRDefault="005A46E7" w:rsidP="005A46E7">
      <w:pPr>
        <w:pStyle w:val="a0"/>
        <w:rPr>
          <w:rFonts w:eastAsia="Calibri"/>
        </w:rPr>
      </w:pPr>
      <w:r w:rsidRPr="00A1145E">
        <w:rPr>
          <w:rFonts w:eastAsia="Calibri"/>
        </w:rPr>
        <w:t>c.</w:t>
      </w:r>
      <w:r w:rsidRPr="00A1145E">
        <w:rPr>
          <w:rFonts w:eastAsia="Calibri"/>
        </w:rPr>
        <w:tab/>
        <w:t>infectious disease;</w:t>
      </w:r>
    </w:p>
    <w:p w14:paraId="6552AE22" w14:textId="77777777" w:rsidR="005A46E7" w:rsidRPr="00A1145E" w:rsidRDefault="005A46E7" w:rsidP="005A46E7">
      <w:pPr>
        <w:pStyle w:val="a0"/>
        <w:rPr>
          <w:rFonts w:eastAsia="Calibri"/>
        </w:rPr>
      </w:pPr>
      <w:r w:rsidRPr="00A1145E">
        <w:rPr>
          <w:rFonts w:eastAsia="Calibri"/>
        </w:rPr>
        <w:t>d.</w:t>
      </w:r>
      <w:r w:rsidRPr="00A1145E">
        <w:rPr>
          <w:rFonts w:eastAsia="Calibri"/>
        </w:rPr>
        <w:tab/>
        <w:t>older animals.</w:t>
      </w:r>
    </w:p>
    <w:p w14:paraId="2FEF37ED" w14:textId="77777777" w:rsidR="005A46E7" w:rsidRPr="00A1145E" w:rsidRDefault="005A46E7" w:rsidP="005A46E7">
      <w:pPr>
        <w:pStyle w:val="1"/>
        <w:rPr>
          <w:rFonts w:eastAsia="Calibri"/>
        </w:rPr>
      </w:pPr>
      <w:r w:rsidRPr="00A1145E">
        <w:rPr>
          <w:rFonts w:eastAsia="Calibri"/>
        </w:rPr>
        <w:t>3.</w:t>
      </w:r>
      <w:r w:rsidRPr="00A1145E">
        <w:rPr>
          <w:rFonts w:eastAsia="Calibri"/>
        </w:rPr>
        <w:tab/>
        <w:t xml:space="preserve">Starvation shall not be ascertained by </w:t>
      </w:r>
      <w:r w:rsidRPr="00A1145E">
        <w:rPr>
          <w:rFonts w:eastAsia="Calibri"/>
          <w:i/>
        </w:rPr>
        <w:t>body condition</w:t>
      </w:r>
      <w:r w:rsidRPr="00A1145E">
        <w:rPr>
          <w:rFonts w:eastAsia="Calibri"/>
        </w:rPr>
        <w:t xml:space="preserve"> alone but may be determined by amount of feed and forage available.</w:t>
      </w:r>
    </w:p>
    <w:p w14:paraId="07415651" w14:textId="77777777" w:rsidR="005A46E7" w:rsidRPr="00A1145E" w:rsidRDefault="005A46E7" w:rsidP="005A46E7">
      <w:pPr>
        <w:pStyle w:val="1"/>
        <w:rPr>
          <w:rFonts w:eastAsia="Calibri"/>
        </w:rPr>
      </w:pPr>
      <w:r w:rsidRPr="00A1145E">
        <w:rPr>
          <w:rFonts w:eastAsia="Calibri"/>
        </w:rPr>
        <w:t>4.</w:t>
      </w:r>
      <w:r w:rsidRPr="00A1145E">
        <w:rPr>
          <w:rFonts w:eastAsia="Calibri"/>
        </w:rPr>
        <w:tab/>
        <w:t>Consultation with a licensed veterinarian and or a knowledgeable livestock professional may be suitable in remedying the situation.</w:t>
      </w:r>
    </w:p>
    <w:p w14:paraId="70992562" w14:textId="77777777" w:rsidR="005A46E7" w:rsidRPr="00A1145E" w:rsidRDefault="005A46E7" w:rsidP="005A46E7">
      <w:pPr>
        <w:pStyle w:val="1"/>
        <w:rPr>
          <w:rFonts w:eastAsia="Calibri"/>
        </w:rPr>
      </w:pPr>
      <w:r w:rsidRPr="00A1145E">
        <w:rPr>
          <w:rFonts w:eastAsia="Calibri"/>
        </w:rPr>
        <w:t>5.</w:t>
      </w:r>
      <w:r w:rsidRPr="00A1145E">
        <w:rPr>
          <w:rFonts w:eastAsia="Calibri"/>
        </w:rPr>
        <w:tab/>
      </w:r>
      <w:r w:rsidRPr="00A1145E">
        <w:rPr>
          <w:rFonts w:eastAsia="Calibri"/>
          <w:i/>
        </w:rPr>
        <w:t>Body condition</w:t>
      </w:r>
      <w:r w:rsidRPr="00A1145E">
        <w:rPr>
          <w:rFonts w:eastAsia="Calibri"/>
        </w:rPr>
        <w:t xml:space="preserve"> shall be evaluated by visual appraisal and by feeling six areas of the animal’s body and then assigning an overall score.</w:t>
      </w:r>
    </w:p>
    <w:p w14:paraId="3E3C1723" w14:textId="77777777" w:rsidR="005A46E7" w:rsidRPr="00A1145E" w:rsidRDefault="005A46E7" w:rsidP="005A46E7">
      <w:pPr>
        <w:pStyle w:val="1"/>
        <w:rPr>
          <w:rFonts w:eastAsia="Calibri"/>
        </w:rPr>
      </w:pPr>
      <w:r w:rsidRPr="00A1145E">
        <w:rPr>
          <w:rFonts w:eastAsia="Calibri"/>
        </w:rPr>
        <w:t>6.</w:t>
      </w:r>
      <w:r w:rsidRPr="00A1145E">
        <w:rPr>
          <w:rFonts w:eastAsia="Calibri"/>
        </w:rPr>
        <w:tab/>
        <w:t>Beef cattle scores range from one (severely emaciated) to nine (very obese).</w:t>
      </w:r>
    </w:p>
    <w:p w14:paraId="22508158" w14:textId="77777777" w:rsidR="005A46E7" w:rsidRPr="00A1145E" w:rsidRDefault="005A46E7" w:rsidP="005A46E7">
      <w:pPr>
        <w:pStyle w:val="1"/>
        <w:rPr>
          <w:rFonts w:eastAsia="Calibri"/>
        </w:rPr>
      </w:pPr>
      <w:r w:rsidRPr="00A1145E">
        <w:rPr>
          <w:rFonts w:eastAsia="Calibri"/>
        </w:rPr>
        <w:t>7.</w:t>
      </w:r>
      <w:r w:rsidRPr="00A1145E">
        <w:rPr>
          <w:rFonts w:eastAsia="Calibri"/>
        </w:rPr>
        <w:tab/>
        <w:t>Dairy cattle scores range from one (emaciated) to five (obese).</w:t>
      </w:r>
    </w:p>
    <w:p w14:paraId="057EC877" w14:textId="77777777" w:rsidR="005A46E7" w:rsidRPr="00A1145E" w:rsidRDefault="005A46E7" w:rsidP="005A46E7">
      <w:pPr>
        <w:pStyle w:val="1"/>
        <w:rPr>
          <w:rFonts w:eastAsia="Calibri"/>
        </w:rPr>
      </w:pPr>
      <w:r w:rsidRPr="00A1145E">
        <w:rPr>
          <w:rFonts w:eastAsia="Calibri"/>
        </w:rPr>
        <w:t>8.</w:t>
      </w:r>
      <w:r w:rsidRPr="00A1145E">
        <w:rPr>
          <w:rFonts w:eastAsia="Calibri"/>
        </w:rPr>
        <w:tab/>
      </w:r>
      <w:r w:rsidRPr="00A1145E">
        <w:rPr>
          <w:rFonts w:eastAsia="Calibri"/>
          <w:i/>
        </w:rPr>
        <w:t>BCS</w:t>
      </w:r>
      <w:r w:rsidRPr="00A1145E">
        <w:rPr>
          <w:rFonts w:eastAsia="Calibri"/>
        </w:rPr>
        <w:t xml:space="preserve"> below two for beef or dairy scoring indicate emaciated cattle.</w:t>
      </w:r>
    </w:p>
    <w:p w14:paraId="6BDD393F" w14:textId="77777777" w:rsidR="005A46E7" w:rsidRPr="00A1145E" w:rsidRDefault="005A46E7" w:rsidP="005A46E7">
      <w:pPr>
        <w:pStyle w:val="A"/>
        <w:rPr>
          <w:rFonts w:eastAsia="Calibri"/>
        </w:rPr>
      </w:pPr>
      <w:r w:rsidRPr="00A1145E">
        <w:rPr>
          <w:rFonts w:eastAsia="Calibri"/>
        </w:rPr>
        <w:t>B.</w:t>
      </w:r>
      <w:r w:rsidRPr="00A1145E">
        <w:rPr>
          <w:rFonts w:eastAsia="Calibri"/>
        </w:rPr>
        <w:tab/>
        <w:t>BQA guidelines may be used as a standard reference for all cattle producers (beef and dairy) as a reference in areas of cattle management and record keeping.</w:t>
      </w:r>
    </w:p>
    <w:p w14:paraId="20EA12AF"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4EDB9386" w14:textId="77777777"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3242 (December 2013)</w:t>
      </w:r>
      <w:r w:rsidRPr="00A1145E">
        <w:t>,</w:t>
      </w:r>
      <w:r w:rsidR="00041065">
        <w:t xml:space="preserve"> </w:t>
      </w:r>
      <w:r w:rsidRPr="00A1145E">
        <w:t xml:space="preserve">repromulgated by the Department of Agriculture and Forestry, </w:t>
      </w:r>
      <w:r w:rsidR="007356F4">
        <w:t>Office of Animal Health and Food Safety and the Board of Animal Health,</w:t>
      </w:r>
      <w:r w:rsidRPr="00A1145E">
        <w:t xml:space="preserve"> LR </w:t>
      </w:r>
      <w:r>
        <w:t>40:987 (May 2014).</w:t>
      </w:r>
    </w:p>
    <w:p w14:paraId="58B74E40" w14:textId="77777777" w:rsidR="005A46E7" w:rsidRPr="00A1145E" w:rsidRDefault="005A46E7" w:rsidP="005A46E7">
      <w:pPr>
        <w:pStyle w:val="Section"/>
        <w:rPr>
          <w:rFonts w:eastAsia="Calibri"/>
        </w:rPr>
      </w:pPr>
      <w:bookmarkStart w:id="2333" w:name="_Toc375025607"/>
      <w:bookmarkStart w:id="2334" w:name="_Toc224819189"/>
      <w:r>
        <w:rPr>
          <w:rFonts w:eastAsia="Calibri"/>
        </w:rPr>
        <w:t>§2107.</w:t>
      </w:r>
      <w:r>
        <w:rPr>
          <w:rFonts w:eastAsia="Calibri"/>
        </w:rPr>
        <w:tab/>
      </w:r>
      <w:r w:rsidRPr="00A1145E">
        <w:rPr>
          <w:rFonts w:eastAsia="Calibri"/>
        </w:rPr>
        <w:t>Equine</w:t>
      </w:r>
      <w:bookmarkEnd w:id="2333"/>
      <w:r>
        <w:rPr>
          <w:rFonts w:eastAsia="Calibri"/>
        </w:rPr>
        <w:br/>
        <w:t>(</w:t>
      </w:r>
      <w:r w:rsidRPr="00A1145E">
        <w:rPr>
          <w:rFonts w:eastAsia="Calibri"/>
        </w:rPr>
        <w:t>Formerly §3107</w:t>
      </w:r>
      <w:r>
        <w:rPr>
          <w:rFonts w:eastAsia="Calibri"/>
        </w:rPr>
        <w:t>)</w:t>
      </w:r>
      <w:bookmarkEnd w:id="2334"/>
    </w:p>
    <w:p w14:paraId="0B41CD89" w14:textId="77777777" w:rsidR="005A46E7" w:rsidRPr="00A1145E" w:rsidRDefault="005A46E7" w:rsidP="005A46E7">
      <w:pPr>
        <w:pStyle w:val="A"/>
        <w:rPr>
          <w:rFonts w:eastAsia="Calibri"/>
        </w:rPr>
      </w:pPr>
      <w:r w:rsidRPr="00A1145E">
        <w:rPr>
          <w:rFonts w:eastAsia="Calibri"/>
        </w:rPr>
        <w:t>A.</w:t>
      </w:r>
      <w:r w:rsidRPr="00A1145E">
        <w:rPr>
          <w:rFonts w:eastAsia="Calibri"/>
        </w:rPr>
        <w:tab/>
        <w:t>Housing</w:t>
      </w:r>
    </w:p>
    <w:p w14:paraId="7676C3E7" w14:textId="77777777" w:rsidR="005A46E7" w:rsidRPr="00A1145E" w:rsidRDefault="005A46E7" w:rsidP="005A46E7">
      <w:pPr>
        <w:pStyle w:val="1"/>
        <w:rPr>
          <w:rFonts w:eastAsia="Calibri"/>
        </w:rPr>
      </w:pPr>
      <w:r w:rsidRPr="00A1145E">
        <w:rPr>
          <w:rFonts w:eastAsia="Calibri"/>
        </w:rPr>
        <w:lastRenderedPageBreak/>
        <w:t>1.</w:t>
      </w:r>
      <w:r w:rsidRPr="00A1145E">
        <w:rPr>
          <w:rFonts w:eastAsia="Calibri"/>
        </w:rPr>
        <w:tab/>
        <w:t>All facilities in which horses are maintained shall be kept free of excessive feces, urine, mud, or other waste products.</w:t>
      </w:r>
    </w:p>
    <w:p w14:paraId="45466B88" w14:textId="77777777" w:rsidR="005A46E7" w:rsidRPr="00A1145E" w:rsidRDefault="005A46E7" w:rsidP="005A46E7">
      <w:pPr>
        <w:pStyle w:val="1"/>
        <w:rPr>
          <w:rFonts w:eastAsia="Calibri"/>
        </w:rPr>
      </w:pPr>
      <w:r w:rsidRPr="00A1145E">
        <w:rPr>
          <w:rFonts w:eastAsia="Calibri"/>
        </w:rPr>
        <w:t>2.</w:t>
      </w:r>
      <w:r w:rsidRPr="00A1145E">
        <w:rPr>
          <w:rFonts w:eastAsia="Calibri"/>
        </w:rPr>
        <w:tab/>
        <w:t>All facilities in which horses are maintained shall be constructed and maintained to minimize hazards that may cause injury to the horses confined within.</w:t>
      </w:r>
    </w:p>
    <w:p w14:paraId="39980890" w14:textId="77777777" w:rsidR="005A46E7" w:rsidRPr="00A1145E" w:rsidRDefault="005A46E7" w:rsidP="005A46E7">
      <w:pPr>
        <w:pStyle w:val="1"/>
        <w:rPr>
          <w:rFonts w:eastAsia="Calibri"/>
        </w:rPr>
      </w:pPr>
      <w:r w:rsidRPr="00A1145E">
        <w:rPr>
          <w:rFonts w:eastAsia="Calibri"/>
        </w:rPr>
        <w:t>3.</w:t>
      </w:r>
      <w:r w:rsidRPr="00A1145E">
        <w:rPr>
          <w:rFonts w:eastAsia="Calibri"/>
        </w:rPr>
        <w:tab/>
        <w:t>For horses housed in an indoor facility with concrete floor, dry bedding shall be provided for the comfort and warmth of the horses.</w:t>
      </w:r>
    </w:p>
    <w:p w14:paraId="188D5315" w14:textId="77777777" w:rsidR="005A46E7" w:rsidRPr="00A1145E" w:rsidRDefault="005A46E7" w:rsidP="005A46E7">
      <w:pPr>
        <w:pStyle w:val="1"/>
        <w:rPr>
          <w:rFonts w:eastAsia="Calibri"/>
        </w:rPr>
      </w:pPr>
      <w:r w:rsidRPr="00A1145E">
        <w:rPr>
          <w:rFonts w:eastAsia="Calibri"/>
        </w:rPr>
        <w:t>4.</w:t>
      </w:r>
      <w:r w:rsidRPr="00A1145E">
        <w:rPr>
          <w:rFonts w:eastAsia="Calibri"/>
        </w:rPr>
        <w:tab/>
        <w:t>Horses confined to minimal enclosed areas shall receive sufficient turnout time or controlled exercise (e.g., hand-walking, lunging, riding, driving, hot walker, treadmill) unless directed otherwise by a veterinarian.</w:t>
      </w:r>
    </w:p>
    <w:p w14:paraId="00B90D25" w14:textId="77777777" w:rsidR="005A46E7" w:rsidRPr="00A1145E" w:rsidRDefault="005A46E7" w:rsidP="005A46E7">
      <w:pPr>
        <w:pStyle w:val="1"/>
        <w:rPr>
          <w:rFonts w:eastAsia="Calibri"/>
        </w:rPr>
      </w:pPr>
      <w:r w:rsidRPr="00A1145E">
        <w:rPr>
          <w:rFonts w:eastAsia="Calibri"/>
        </w:rPr>
        <w:t>5.</w:t>
      </w:r>
      <w:r w:rsidRPr="00A1145E">
        <w:rPr>
          <w:rFonts w:eastAsia="Calibri"/>
        </w:rPr>
        <w:tab/>
        <w:t xml:space="preserve">When housed in groups, horses shall be segregated so as to minimize conspecific aggression. </w:t>
      </w:r>
    </w:p>
    <w:p w14:paraId="563A06FA" w14:textId="77777777" w:rsidR="005A46E7" w:rsidRPr="00A1145E" w:rsidRDefault="005A46E7" w:rsidP="005A46E7">
      <w:pPr>
        <w:pStyle w:val="A"/>
        <w:rPr>
          <w:rFonts w:eastAsia="Calibri"/>
        </w:rPr>
      </w:pPr>
      <w:r w:rsidRPr="00A1145E">
        <w:rPr>
          <w:rFonts w:eastAsia="Calibri"/>
        </w:rPr>
        <w:t>B.</w:t>
      </w:r>
      <w:r w:rsidRPr="00A1145E">
        <w:rPr>
          <w:rFonts w:eastAsia="Calibri"/>
        </w:rPr>
        <w:tab/>
        <w:t>Nutrition</w:t>
      </w:r>
    </w:p>
    <w:p w14:paraId="0B2A8A0E" w14:textId="77777777" w:rsidR="005A46E7" w:rsidRPr="00A1145E" w:rsidRDefault="005A46E7" w:rsidP="005A46E7">
      <w:pPr>
        <w:pStyle w:val="1"/>
        <w:rPr>
          <w:rFonts w:eastAsia="Calibri"/>
        </w:rPr>
      </w:pPr>
      <w:r w:rsidRPr="00A1145E">
        <w:rPr>
          <w:rFonts w:eastAsia="Calibri"/>
        </w:rPr>
        <w:t>1.</w:t>
      </w:r>
      <w:r w:rsidRPr="00A1145E">
        <w:rPr>
          <w:rFonts w:eastAsia="Calibri"/>
        </w:rPr>
        <w:tab/>
        <w:t>Concentrates, trace minerals, and salt may be used to balance the diet.</w:t>
      </w:r>
    </w:p>
    <w:p w14:paraId="79FEE2DF" w14:textId="77777777" w:rsidR="005A46E7" w:rsidRPr="00A1145E" w:rsidRDefault="005A46E7" w:rsidP="005A46E7">
      <w:pPr>
        <w:pStyle w:val="1"/>
        <w:rPr>
          <w:rFonts w:eastAsia="Calibri"/>
        </w:rPr>
      </w:pPr>
      <w:r w:rsidRPr="00A1145E">
        <w:rPr>
          <w:rFonts w:eastAsia="Calibri"/>
        </w:rPr>
        <w:t>2.</w:t>
      </w:r>
      <w:r w:rsidRPr="00A1145E">
        <w:rPr>
          <w:rFonts w:eastAsia="Calibri"/>
        </w:rPr>
        <w:tab/>
        <w:t>Horses confined without available pasture to graze may need daily supplemental feed; horses on pasture may need supplemental feed if the pasture is insufficient to maintain body weight and health.</w:t>
      </w:r>
    </w:p>
    <w:p w14:paraId="42527029" w14:textId="77777777" w:rsidR="005A46E7" w:rsidRPr="00A1145E" w:rsidRDefault="005A46E7" w:rsidP="005A46E7">
      <w:pPr>
        <w:pStyle w:val="A"/>
        <w:rPr>
          <w:rFonts w:eastAsia="Calibri"/>
        </w:rPr>
      </w:pPr>
      <w:r w:rsidRPr="00A1145E">
        <w:rPr>
          <w:rFonts w:eastAsia="Calibri"/>
        </w:rPr>
        <w:t>C.</w:t>
      </w:r>
      <w:r w:rsidRPr="00A1145E">
        <w:rPr>
          <w:rFonts w:eastAsia="Calibri"/>
        </w:rPr>
        <w:tab/>
        <w:t>Water</w:t>
      </w:r>
    </w:p>
    <w:p w14:paraId="6FA5A524" w14:textId="77777777" w:rsidR="005A46E7" w:rsidRPr="00A1145E" w:rsidRDefault="005A46E7" w:rsidP="005A46E7">
      <w:pPr>
        <w:pStyle w:val="1"/>
        <w:rPr>
          <w:rFonts w:eastAsia="Calibri"/>
        </w:rPr>
      </w:pPr>
      <w:r w:rsidRPr="00A1145E">
        <w:rPr>
          <w:rFonts w:eastAsia="Calibri"/>
        </w:rPr>
        <w:t>1.</w:t>
      </w:r>
      <w:r w:rsidRPr="00A1145E">
        <w:rPr>
          <w:rFonts w:eastAsia="Calibri"/>
        </w:rPr>
        <w:tab/>
        <w:t>Water troughs, water containers, and any automatic watering devices shall be cleaned and maintained on a regular basis.</w:t>
      </w:r>
    </w:p>
    <w:p w14:paraId="40BD4486" w14:textId="77777777" w:rsidR="005A46E7" w:rsidRPr="00A1145E" w:rsidRDefault="005A46E7" w:rsidP="005A46E7">
      <w:pPr>
        <w:pStyle w:val="1"/>
        <w:rPr>
          <w:rFonts w:eastAsia="Calibri"/>
        </w:rPr>
      </w:pPr>
      <w:r w:rsidRPr="00A1145E">
        <w:rPr>
          <w:rFonts w:eastAsia="Calibri"/>
        </w:rPr>
        <w:t>2.</w:t>
      </w:r>
      <w:r w:rsidRPr="00A1145E">
        <w:rPr>
          <w:rFonts w:eastAsia="Calibri"/>
        </w:rPr>
        <w:tab/>
        <w:t>Transportation of Equine</w:t>
      </w:r>
    </w:p>
    <w:p w14:paraId="37FA98A1" w14:textId="77777777" w:rsidR="005A46E7" w:rsidRPr="00A1145E" w:rsidRDefault="005A46E7" w:rsidP="005A46E7">
      <w:pPr>
        <w:pStyle w:val="a0"/>
        <w:rPr>
          <w:rFonts w:eastAsia="Calibri"/>
        </w:rPr>
      </w:pPr>
      <w:r w:rsidRPr="00A1145E">
        <w:rPr>
          <w:rFonts w:eastAsia="Calibri"/>
        </w:rPr>
        <w:t>a.</w:t>
      </w:r>
      <w:r w:rsidRPr="00A1145E">
        <w:rPr>
          <w:rFonts w:eastAsia="Calibri"/>
        </w:rPr>
        <w:tab/>
        <w:t>The following horses shall not be transported:</w:t>
      </w:r>
    </w:p>
    <w:p w14:paraId="23BE2B10"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those that are non-ambulatory (cannot walk unassisted), weak and/or debilitated, cannot bear weight on one or more legs, blind in both eyes, or, unless being transported for veterinary care;</w:t>
      </w:r>
    </w:p>
    <w:p w14:paraId="5186BEBB" w14:textId="77777777"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foals shall not be transported until their navels are closed unless being transported for veterinary care.</w:t>
      </w:r>
    </w:p>
    <w:p w14:paraId="394FF56F" w14:textId="77777777" w:rsidR="005A46E7" w:rsidRPr="00A1145E" w:rsidRDefault="005A46E7" w:rsidP="005A46E7">
      <w:pPr>
        <w:pStyle w:val="1"/>
        <w:rPr>
          <w:rFonts w:eastAsia="Calibri"/>
        </w:rPr>
      </w:pPr>
      <w:r w:rsidRPr="00A1145E">
        <w:rPr>
          <w:rFonts w:eastAsia="Calibri"/>
        </w:rPr>
        <w:t>3.</w:t>
      </w:r>
      <w:r w:rsidRPr="00A1145E">
        <w:rPr>
          <w:rFonts w:eastAsia="Calibri"/>
        </w:rPr>
        <w:tab/>
        <w:t>Transportation by land shall:</w:t>
      </w:r>
    </w:p>
    <w:p w14:paraId="4B877392" w14:textId="77777777" w:rsidR="005A46E7" w:rsidRPr="00A1145E" w:rsidRDefault="005A46E7" w:rsidP="005A46E7">
      <w:pPr>
        <w:pStyle w:val="a0"/>
        <w:rPr>
          <w:rFonts w:eastAsia="Calibri"/>
        </w:rPr>
      </w:pPr>
      <w:r w:rsidRPr="00A1145E">
        <w:rPr>
          <w:rFonts w:eastAsia="Calibri"/>
        </w:rPr>
        <w:t>a.</w:t>
      </w:r>
      <w:r w:rsidRPr="00A1145E">
        <w:rPr>
          <w:rFonts w:eastAsia="Calibri"/>
        </w:rPr>
        <w:tab/>
        <w:t>load horses at a density that minimizes injury and falling, but that allows them to rise unassisted if fallen;</w:t>
      </w:r>
    </w:p>
    <w:p w14:paraId="2669967C" w14:textId="77777777" w:rsidR="005A46E7" w:rsidRPr="00A1145E" w:rsidRDefault="005A46E7" w:rsidP="005A46E7">
      <w:pPr>
        <w:pStyle w:val="a0"/>
        <w:rPr>
          <w:rFonts w:eastAsia="Calibri"/>
        </w:rPr>
      </w:pPr>
      <w:r w:rsidRPr="00A1145E">
        <w:rPr>
          <w:rFonts w:eastAsia="Calibri"/>
        </w:rPr>
        <w:t>b.</w:t>
      </w:r>
      <w:r w:rsidRPr="00A1145E">
        <w:rPr>
          <w:rFonts w:eastAsia="Calibri"/>
        </w:rPr>
        <w:tab/>
        <w:t>horses destined for slaughter shall be transported pursuant to USDA’s Slaughter Horse Transport Program in addition to the regulations above.</w:t>
      </w:r>
    </w:p>
    <w:p w14:paraId="3BBEE2D9"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25116378" w14:textId="77777777"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3242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40:988 (May 2014).</w:t>
      </w:r>
    </w:p>
    <w:p w14:paraId="2721B4C2" w14:textId="77777777" w:rsidR="005A46E7" w:rsidRPr="00A1145E" w:rsidRDefault="005A46E7" w:rsidP="005A46E7">
      <w:pPr>
        <w:pStyle w:val="Section"/>
      </w:pPr>
      <w:bookmarkStart w:id="2335" w:name="_Toc375025610"/>
      <w:bookmarkStart w:id="2336" w:name="_Toc224819190"/>
      <w:r>
        <w:rPr>
          <w:rFonts w:eastAsia="Calibri"/>
        </w:rPr>
        <w:t>§2109.</w:t>
      </w:r>
      <w:r>
        <w:rPr>
          <w:rFonts w:eastAsia="Calibri"/>
        </w:rPr>
        <w:tab/>
      </w:r>
      <w:r w:rsidRPr="00A1145E">
        <w:rPr>
          <w:rFonts w:eastAsia="Calibri"/>
        </w:rPr>
        <w:t>Poultry</w:t>
      </w:r>
      <w:bookmarkEnd w:id="2335"/>
      <w:r>
        <w:rPr>
          <w:rFonts w:eastAsia="Calibri"/>
        </w:rPr>
        <w:br/>
      </w:r>
      <w:r>
        <w:t>(</w:t>
      </w:r>
      <w:r w:rsidRPr="00A1145E">
        <w:t>Formerly §3113</w:t>
      </w:r>
      <w:r>
        <w:t>)</w:t>
      </w:r>
      <w:bookmarkEnd w:id="2336"/>
    </w:p>
    <w:p w14:paraId="532038DD" w14:textId="77777777" w:rsidR="005A46E7" w:rsidRPr="00A1145E" w:rsidRDefault="005A46E7" w:rsidP="005A46E7">
      <w:pPr>
        <w:pStyle w:val="A"/>
        <w:rPr>
          <w:rFonts w:eastAsia="Calibri"/>
        </w:rPr>
      </w:pPr>
      <w:r w:rsidRPr="00A1145E">
        <w:rPr>
          <w:rFonts w:eastAsia="Calibri"/>
        </w:rPr>
        <w:t>A.</w:t>
      </w:r>
      <w:r w:rsidRPr="00A1145E">
        <w:rPr>
          <w:rFonts w:eastAsia="Calibri"/>
        </w:rPr>
        <w:tab/>
        <w:t>Housing and Environment</w:t>
      </w:r>
    </w:p>
    <w:p w14:paraId="16324D94" w14:textId="77777777" w:rsidR="005A46E7" w:rsidRPr="00A1145E" w:rsidRDefault="005A46E7" w:rsidP="005A46E7">
      <w:pPr>
        <w:pStyle w:val="1"/>
        <w:rPr>
          <w:rFonts w:eastAsia="Calibri"/>
        </w:rPr>
      </w:pPr>
      <w:r w:rsidRPr="00A1145E">
        <w:rPr>
          <w:rFonts w:eastAsia="Calibri"/>
        </w:rPr>
        <w:t>1.</w:t>
      </w:r>
      <w:r w:rsidRPr="00A1145E">
        <w:rPr>
          <w:rFonts w:eastAsia="Calibri"/>
        </w:rPr>
        <w:tab/>
        <w:t>Any facilities in which poultry are housed shall provide shelter so as to minimize the compromise to poultry health from heat, cold, adverse weather, and predation.</w:t>
      </w:r>
    </w:p>
    <w:p w14:paraId="22D6F1B2" w14:textId="77777777" w:rsidR="005A46E7" w:rsidRPr="00A1145E" w:rsidRDefault="005A46E7" w:rsidP="005A46E7">
      <w:pPr>
        <w:pStyle w:val="1"/>
        <w:rPr>
          <w:rFonts w:eastAsia="Calibri"/>
        </w:rPr>
      </w:pPr>
      <w:r w:rsidRPr="00A1145E">
        <w:rPr>
          <w:rFonts w:eastAsia="Calibri"/>
        </w:rPr>
        <w:t>2.</w:t>
      </w:r>
      <w:r w:rsidRPr="00A1145E">
        <w:rPr>
          <w:rFonts w:eastAsia="Calibri"/>
        </w:rPr>
        <w:tab/>
        <w:t>All (commercial) facilities in which poultry are housed shall be maintained so as to limit the exposure of feeding and watering devices and poultry to feces and urine.</w:t>
      </w:r>
    </w:p>
    <w:p w14:paraId="2B0305B8" w14:textId="77777777" w:rsidR="005A46E7" w:rsidRPr="00A1145E" w:rsidRDefault="005A46E7" w:rsidP="005A46E7">
      <w:pPr>
        <w:pStyle w:val="1"/>
        <w:rPr>
          <w:rFonts w:eastAsia="Calibri"/>
        </w:rPr>
      </w:pPr>
      <w:r w:rsidRPr="00A1145E">
        <w:rPr>
          <w:rFonts w:eastAsia="Calibri"/>
        </w:rPr>
        <w:t>3.</w:t>
      </w:r>
      <w:r w:rsidRPr="00A1145E">
        <w:rPr>
          <w:rFonts w:eastAsia="Calibri"/>
        </w:rPr>
        <w:tab/>
        <w:t>All facilities in which poultry are maintained shall be designed, lighted, and stocked so as to allow visual inspections of poultry at any point in time.</w:t>
      </w:r>
    </w:p>
    <w:p w14:paraId="2DFF2555" w14:textId="77777777" w:rsidR="005A46E7" w:rsidRPr="00A1145E" w:rsidRDefault="005A46E7" w:rsidP="005A46E7">
      <w:pPr>
        <w:pStyle w:val="1"/>
        <w:rPr>
          <w:rFonts w:eastAsia="Calibri"/>
        </w:rPr>
      </w:pPr>
      <w:r w:rsidRPr="00A1145E">
        <w:rPr>
          <w:rFonts w:eastAsia="Calibri"/>
        </w:rPr>
        <w:t>4.</w:t>
      </w:r>
      <w:r w:rsidRPr="00A1145E">
        <w:rPr>
          <w:rFonts w:eastAsia="Calibri"/>
        </w:rPr>
        <w:tab/>
        <w:t>Natural or artificial lighting mimicking the intensity and duration of daylight shall be provided, or other artificial lighting program exceeding this shall be provided, except as necessary for animal husbandry practices or introduction of new poultry. Any change in artificial lighting program shall be introduced gradually so as to prevent distress of poultry.</w:t>
      </w:r>
    </w:p>
    <w:p w14:paraId="3047FE47" w14:textId="77777777" w:rsidR="005A46E7" w:rsidRPr="00A1145E" w:rsidRDefault="005A46E7" w:rsidP="005A46E7">
      <w:pPr>
        <w:pStyle w:val="1"/>
        <w:rPr>
          <w:rFonts w:eastAsia="Calibri"/>
        </w:rPr>
      </w:pPr>
      <w:r w:rsidRPr="00A1145E">
        <w:rPr>
          <w:rFonts w:eastAsia="Calibri"/>
        </w:rPr>
        <w:t>5.</w:t>
      </w:r>
      <w:r w:rsidRPr="00A1145E">
        <w:rPr>
          <w:rFonts w:eastAsia="Calibri"/>
        </w:rPr>
        <w:tab/>
        <w:t xml:space="preserve">Stocking density shall follow NCC guidelines of pounds per square foot for commercial enterprises and for backyard flocks and shall not exceed that which does not allow all poultry to lie down simultaneously without being forced to lie on top of other poultry. Environmental moisture and dust shall be minimized in order to prevent the spread of infectious disease or compromise the health, care, and well-being of poultry. </w:t>
      </w:r>
    </w:p>
    <w:p w14:paraId="54F2BFCF" w14:textId="77777777" w:rsidR="005A46E7" w:rsidRPr="00A1145E" w:rsidRDefault="005A46E7" w:rsidP="005A46E7">
      <w:pPr>
        <w:pStyle w:val="1"/>
        <w:rPr>
          <w:rFonts w:eastAsia="Calibri"/>
        </w:rPr>
      </w:pPr>
      <w:r w:rsidRPr="00A1145E">
        <w:rPr>
          <w:rFonts w:eastAsia="Calibri"/>
        </w:rPr>
        <w:t>6.</w:t>
      </w:r>
      <w:r w:rsidRPr="00A1145E">
        <w:rPr>
          <w:rFonts w:eastAsia="Calibri"/>
        </w:rPr>
        <w:tab/>
        <w:t>Environmental temperature shall be controlled at a level that minimizes heat stress or cold stress to the poultry.</w:t>
      </w:r>
    </w:p>
    <w:p w14:paraId="7FB5561E" w14:textId="77777777" w:rsidR="005A46E7" w:rsidRPr="00A1145E" w:rsidRDefault="005A46E7" w:rsidP="005A46E7">
      <w:pPr>
        <w:pStyle w:val="1"/>
        <w:rPr>
          <w:rFonts w:eastAsia="Calibri"/>
        </w:rPr>
      </w:pPr>
      <w:r w:rsidRPr="00A1145E">
        <w:rPr>
          <w:rFonts w:eastAsia="Calibri"/>
        </w:rPr>
        <w:t>7.</w:t>
      </w:r>
      <w:r w:rsidRPr="00A1145E">
        <w:rPr>
          <w:rFonts w:eastAsia="Calibri"/>
        </w:rPr>
        <w:tab/>
        <w:t>The following are acceptable housing systems.</w:t>
      </w:r>
    </w:p>
    <w:p w14:paraId="6AB5A8A5" w14:textId="77777777" w:rsidR="005A46E7" w:rsidRPr="00A1145E" w:rsidRDefault="005A46E7" w:rsidP="005A46E7">
      <w:pPr>
        <w:pStyle w:val="a0"/>
        <w:rPr>
          <w:rFonts w:eastAsia="Calibri"/>
        </w:rPr>
      </w:pPr>
      <w:r w:rsidRPr="00A1145E">
        <w:rPr>
          <w:rFonts w:eastAsia="Calibri"/>
        </w:rPr>
        <w:t>a.</w:t>
      </w:r>
      <w:r w:rsidRPr="00A1145E">
        <w:rPr>
          <w:rFonts w:eastAsia="Calibri"/>
        </w:rPr>
        <w:tab/>
        <w:t>Cages (Conventional and Enriched)</w:t>
      </w:r>
    </w:p>
    <w:p w14:paraId="5613A392"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Cages shall be arranged so as to protect exposure of poultry in one cage from feces or urine from poultry in any other cage.</w:t>
      </w:r>
    </w:p>
    <w:p w14:paraId="4A770BE1" w14:textId="77777777"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Maximum slope for any cage shall be designed to support forward facing claws.</w:t>
      </w:r>
    </w:p>
    <w:p w14:paraId="540F8988" w14:textId="77777777" w:rsidR="005A46E7" w:rsidRPr="00A1145E" w:rsidRDefault="005A46E7" w:rsidP="005A46E7">
      <w:pPr>
        <w:pStyle w:val="a0"/>
        <w:rPr>
          <w:rFonts w:eastAsia="Calibri"/>
        </w:rPr>
      </w:pPr>
      <w:r w:rsidRPr="00A1145E">
        <w:rPr>
          <w:rFonts w:eastAsia="Calibri"/>
        </w:rPr>
        <w:t>b.</w:t>
      </w:r>
      <w:r w:rsidRPr="00A1145E">
        <w:rPr>
          <w:rFonts w:eastAsia="Calibri"/>
        </w:rPr>
        <w:tab/>
        <w:t>Barns/Aviaries</w:t>
      </w:r>
    </w:p>
    <w:p w14:paraId="731C1B97"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Flooring shall be such that minimizes claw injuries to birds.</w:t>
      </w:r>
    </w:p>
    <w:p w14:paraId="185B735B" w14:textId="77777777"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Flooring shall be designed so as to support forward facing claws.</w:t>
      </w:r>
    </w:p>
    <w:p w14:paraId="07653B82" w14:textId="77777777" w:rsidR="005A46E7" w:rsidRPr="00A1145E" w:rsidRDefault="005A46E7" w:rsidP="005A46E7">
      <w:pPr>
        <w:pStyle w:val="i0"/>
        <w:rPr>
          <w:rFonts w:eastAsia="Calibri"/>
        </w:rPr>
      </w:pPr>
      <w:r>
        <w:rPr>
          <w:rFonts w:eastAsia="Calibri"/>
        </w:rPr>
        <w:tab/>
      </w:r>
      <w:r w:rsidRPr="00A1145E">
        <w:rPr>
          <w:rFonts w:eastAsia="Calibri"/>
        </w:rPr>
        <w:t>iii.</w:t>
      </w:r>
      <w:r w:rsidRPr="00A1145E">
        <w:rPr>
          <w:rFonts w:eastAsia="Calibri"/>
        </w:rPr>
        <w:tab/>
        <w:t>Perches shall be designed so as to minimize injury to the poultry.</w:t>
      </w:r>
    </w:p>
    <w:p w14:paraId="51A8AEB6" w14:textId="77777777" w:rsidR="005A46E7" w:rsidRPr="00A1145E" w:rsidRDefault="005A46E7" w:rsidP="005A46E7">
      <w:pPr>
        <w:pStyle w:val="a0"/>
        <w:rPr>
          <w:rFonts w:eastAsia="Calibri"/>
        </w:rPr>
      </w:pPr>
      <w:r w:rsidRPr="00A1145E">
        <w:rPr>
          <w:rFonts w:eastAsia="Calibri"/>
        </w:rPr>
        <w:t>c.</w:t>
      </w:r>
      <w:r w:rsidRPr="00A1145E">
        <w:rPr>
          <w:rFonts w:eastAsia="Calibri"/>
        </w:rPr>
        <w:tab/>
        <w:t>Free Range</w:t>
      </w:r>
    </w:p>
    <w:p w14:paraId="4F4356B4"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For those facilities with an indoor and outdoor component, openings shall be designed so as to facilitate movement of the poultry in a manner that minimizes injury and death to the poultry.</w:t>
      </w:r>
    </w:p>
    <w:p w14:paraId="65622861" w14:textId="77777777" w:rsidR="005A46E7" w:rsidRPr="00A1145E" w:rsidRDefault="005A46E7" w:rsidP="005A46E7">
      <w:pPr>
        <w:pStyle w:val="A"/>
        <w:rPr>
          <w:rFonts w:eastAsia="Calibri"/>
        </w:rPr>
      </w:pPr>
      <w:r w:rsidRPr="00A1145E">
        <w:rPr>
          <w:rFonts w:eastAsia="Calibri"/>
        </w:rPr>
        <w:t>B.</w:t>
      </w:r>
      <w:r w:rsidRPr="00A1145E">
        <w:rPr>
          <w:rFonts w:eastAsia="Calibri"/>
        </w:rPr>
        <w:tab/>
        <w:t>Nutrition and Water</w:t>
      </w:r>
    </w:p>
    <w:p w14:paraId="01B40E26" w14:textId="77777777" w:rsidR="005A46E7" w:rsidRPr="00A1145E" w:rsidRDefault="005A46E7" w:rsidP="005A46E7">
      <w:pPr>
        <w:pStyle w:val="1"/>
        <w:rPr>
          <w:rFonts w:eastAsia="Calibri"/>
        </w:rPr>
      </w:pPr>
      <w:r w:rsidRPr="00A1145E">
        <w:rPr>
          <w:rFonts w:eastAsia="Calibri"/>
        </w:rPr>
        <w:t>1.</w:t>
      </w:r>
      <w:r w:rsidRPr="00A1145E">
        <w:rPr>
          <w:rFonts w:eastAsia="Calibri"/>
        </w:rPr>
        <w:tab/>
        <w:t>All poultry shall be provided sufficient food daily so as to maintain good health, meet their physiological requirements, and minimize nutritional or metabolic disease (see exceptions).</w:t>
      </w:r>
    </w:p>
    <w:p w14:paraId="738F7369" w14:textId="77777777" w:rsidR="005A46E7" w:rsidRPr="00A1145E" w:rsidRDefault="005A46E7" w:rsidP="005A46E7">
      <w:pPr>
        <w:pStyle w:val="1"/>
        <w:rPr>
          <w:rFonts w:eastAsia="Calibri"/>
        </w:rPr>
      </w:pPr>
      <w:r w:rsidRPr="00A1145E">
        <w:rPr>
          <w:rFonts w:eastAsia="Calibri"/>
        </w:rPr>
        <w:t>2.</w:t>
      </w:r>
      <w:r w:rsidRPr="00A1145E">
        <w:rPr>
          <w:rFonts w:eastAsia="Calibri"/>
        </w:rPr>
        <w:tab/>
        <w:t>All poultry shall have continual access to water so as to maintain adequate hydration (see exceptions).</w:t>
      </w:r>
    </w:p>
    <w:p w14:paraId="614B7868" w14:textId="77777777" w:rsidR="005A46E7" w:rsidRPr="00A1145E" w:rsidRDefault="005A46E7" w:rsidP="005A46E7">
      <w:pPr>
        <w:pStyle w:val="1"/>
        <w:rPr>
          <w:rFonts w:eastAsia="Calibri"/>
        </w:rPr>
      </w:pPr>
      <w:r w:rsidRPr="00A1145E">
        <w:rPr>
          <w:rFonts w:eastAsia="Calibri"/>
        </w:rPr>
        <w:lastRenderedPageBreak/>
        <w:t>3.</w:t>
      </w:r>
      <w:r w:rsidRPr="00A1145E">
        <w:rPr>
          <w:rFonts w:eastAsia="Calibri"/>
        </w:rPr>
        <w:tab/>
        <w:t>All food and water shall be provided in means that minimize aggression or competition.</w:t>
      </w:r>
    </w:p>
    <w:p w14:paraId="275728E4" w14:textId="77777777" w:rsidR="005A46E7" w:rsidRPr="00A1145E" w:rsidRDefault="005A46E7" w:rsidP="005A46E7">
      <w:pPr>
        <w:pStyle w:val="1"/>
        <w:rPr>
          <w:rFonts w:eastAsia="Calibri"/>
        </w:rPr>
      </w:pPr>
      <w:r w:rsidRPr="00A1145E">
        <w:rPr>
          <w:rFonts w:eastAsia="Calibri"/>
        </w:rPr>
        <w:t>4.</w:t>
      </w:r>
      <w:r w:rsidRPr="00A1145E">
        <w:rPr>
          <w:rFonts w:eastAsia="Calibri"/>
        </w:rPr>
        <w:tab/>
        <w:t>Any mechanical devices used to deliver feed or water shall be kept clean so as to minimize the spread of infectious disease and shall be regularly inspected to ensure proper function.</w:t>
      </w:r>
    </w:p>
    <w:p w14:paraId="55C87703" w14:textId="77777777" w:rsidR="005A46E7" w:rsidRPr="00A1145E" w:rsidRDefault="005A46E7" w:rsidP="005A46E7">
      <w:pPr>
        <w:pStyle w:val="1"/>
        <w:rPr>
          <w:rFonts w:eastAsia="Calibri"/>
        </w:rPr>
      </w:pPr>
      <w:r w:rsidRPr="00A1145E">
        <w:rPr>
          <w:rFonts w:eastAsia="Calibri"/>
        </w:rPr>
        <w:t>5.</w:t>
      </w:r>
      <w:r w:rsidRPr="00A1145E">
        <w:rPr>
          <w:rFonts w:eastAsia="Calibri"/>
        </w:rPr>
        <w:tab/>
        <w:t>Poultry shall be regularly monitored, and those found not to be consuming adequate food or water shall be removed and either raised alternatively or euthanized.</w:t>
      </w:r>
    </w:p>
    <w:p w14:paraId="068A932C" w14:textId="77777777" w:rsidR="005A46E7" w:rsidRPr="00A1145E" w:rsidRDefault="005A46E7" w:rsidP="005A46E7">
      <w:pPr>
        <w:pStyle w:val="1"/>
        <w:rPr>
          <w:rFonts w:eastAsia="Calibri"/>
        </w:rPr>
      </w:pPr>
      <w:r w:rsidRPr="00A1145E">
        <w:rPr>
          <w:rFonts w:eastAsia="Calibri"/>
        </w:rPr>
        <w:t>6.</w:t>
      </w:r>
      <w:r w:rsidRPr="00A1145E">
        <w:rPr>
          <w:rFonts w:eastAsia="Calibri"/>
        </w:rPr>
        <w:tab/>
        <w:t>Exception. Food and water may be temporarily withheld up to 48 hours as prescribed by the NCC, allowing for five days feed, and two skipped days, along with limitation of water when handling, performing management practices, treating, transporting, or depopulating poultry.</w:t>
      </w:r>
    </w:p>
    <w:p w14:paraId="0D3CB3BD" w14:textId="77777777" w:rsidR="005A46E7" w:rsidRPr="00A1145E" w:rsidRDefault="005A46E7" w:rsidP="005A46E7">
      <w:pPr>
        <w:pStyle w:val="A"/>
        <w:rPr>
          <w:rFonts w:eastAsia="Calibri"/>
        </w:rPr>
      </w:pPr>
      <w:r w:rsidRPr="00A1145E">
        <w:rPr>
          <w:rFonts w:eastAsia="Calibri"/>
        </w:rPr>
        <w:t>C.</w:t>
      </w:r>
      <w:r w:rsidRPr="00A1145E">
        <w:rPr>
          <w:rFonts w:eastAsia="Calibri"/>
        </w:rPr>
        <w:tab/>
        <w:t>Health and Veterinary Care</w:t>
      </w:r>
    </w:p>
    <w:p w14:paraId="6CC80857" w14:textId="77777777" w:rsidR="005A46E7" w:rsidRPr="00A1145E" w:rsidRDefault="005A46E7" w:rsidP="005A46E7">
      <w:pPr>
        <w:pStyle w:val="1"/>
        <w:rPr>
          <w:rFonts w:eastAsia="Calibri"/>
        </w:rPr>
      </w:pPr>
      <w:r w:rsidRPr="00A1145E">
        <w:rPr>
          <w:rFonts w:eastAsia="Calibri"/>
        </w:rPr>
        <w:t>1.</w:t>
      </w:r>
      <w:r w:rsidRPr="00A1145E">
        <w:rPr>
          <w:rFonts w:eastAsia="Calibri"/>
        </w:rPr>
        <w:tab/>
        <w:t>Disabled poultry shall be removed from their environment in a timely fashion to minimize compromise to their health and have remedial action taken, including euthanasia.</w:t>
      </w:r>
    </w:p>
    <w:p w14:paraId="50F4D1AA" w14:textId="77777777" w:rsidR="005A46E7" w:rsidRPr="00A1145E" w:rsidRDefault="005A46E7" w:rsidP="005A46E7">
      <w:pPr>
        <w:pStyle w:val="1"/>
        <w:rPr>
          <w:rFonts w:eastAsia="Calibri"/>
        </w:rPr>
      </w:pPr>
      <w:r w:rsidRPr="00A1145E">
        <w:rPr>
          <w:rFonts w:eastAsia="Calibri"/>
        </w:rPr>
        <w:t>2.</w:t>
      </w:r>
      <w:r w:rsidRPr="00A1145E">
        <w:rPr>
          <w:rFonts w:eastAsia="Calibri"/>
        </w:rPr>
        <w:tab/>
        <w:t>Any dead poultry shall be removed from any facilities and disposed of according to LDAF protocols so as to minimize the spread of infectious disease between poultry and so as to minimize pests.</w:t>
      </w:r>
    </w:p>
    <w:p w14:paraId="5B1C3B80" w14:textId="77777777" w:rsidR="005A46E7" w:rsidRPr="00A1145E" w:rsidRDefault="005A46E7" w:rsidP="005A46E7">
      <w:pPr>
        <w:pStyle w:val="A"/>
        <w:rPr>
          <w:rFonts w:eastAsia="Calibri"/>
        </w:rPr>
      </w:pPr>
      <w:r w:rsidRPr="00A1145E">
        <w:rPr>
          <w:rFonts w:eastAsia="Calibri"/>
        </w:rPr>
        <w:t>D.</w:t>
      </w:r>
      <w:r w:rsidRPr="00A1145E">
        <w:rPr>
          <w:rFonts w:eastAsia="Calibri"/>
        </w:rPr>
        <w:tab/>
        <w:t>Handling</w:t>
      </w:r>
    </w:p>
    <w:p w14:paraId="6523880C" w14:textId="77777777" w:rsidR="005A46E7" w:rsidRPr="00A1145E" w:rsidRDefault="005A46E7" w:rsidP="005A46E7">
      <w:pPr>
        <w:pStyle w:val="1"/>
        <w:rPr>
          <w:rFonts w:eastAsia="Calibri"/>
        </w:rPr>
      </w:pPr>
      <w:r w:rsidRPr="00A1145E">
        <w:rPr>
          <w:rFonts w:eastAsia="Calibri"/>
        </w:rPr>
        <w:t>1.</w:t>
      </w:r>
      <w:r w:rsidRPr="00A1145E">
        <w:rPr>
          <w:rFonts w:eastAsia="Calibri"/>
        </w:rPr>
        <w:tab/>
        <w:t>Poultry shall be caught and handled so as to minimize stress, risk of injury, and risk of exhaustion.</w:t>
      </w:r>
    </w:p>
    <w:p w14:paraId="1F271971" w14:textId="77777777" w:rsidR="005A46E7" w:rsidRPr="00A1145E" w:rsidRDefault="005A46E7" w:rsidP="005A46E7">
      <w:pPr>
        <w:pStyle w:val="a0"/>
        <w:rPr>
          <w:rFonts w:eastAsia="Calibri"/>
        </w:rPr>
      </w:pPr>
      <w:r w:rsidRPr="00A1145E">
        <w:rPr>
          <w:rFonts w:eastAsia="Calibri"/>
        </w:rPr>
        <w:t>a.</w:t>
      </w:r>
      <w:r w:rsidRPr="00A1145E">
        <w:rPr>
          <w:rFonts w:eastAsia="Calibri"/>
        </w:rPr>
        <w:tab/>
        <w:t>Poultry shall never be picked up by a single wing.</w:t>
      </w:r>
    </w:p>
    <w:p w14:paraId="3A07B8CD" w14:textId="77777777" w:rsidR="005A46E7" w:rsidRPr="00A1145E" w:rsidRDefault="005A46E7" w:rsidP="005A46E7">
      <w:pPr>
        <w:pStyle w:val="1"/>
        <w:rPr>
          <w:rFonts w:eastAsia="Calibri"/>
        </w:rPr>
      </w:pPr>
      <w:r w:rsidRPr="00A1145E">
        <w:rPr>
          <w:rFonts w:eastAsia="Calibri"/>
        </w:rPr>
        <w:t>2.</w:t>
      </w:r>
      <w:r w:rsidRPr="00A1145E">
        <w:rPr>
          <w:rFonts w:eastAsia="Calibri"/>
        </w:rPr>
        <w:tab/>
        <w:t>Only the minimum force necessary shall be used to move or restrain poultry.</w:t>
      </w:r>
    </w:p>
    <w:p w14:paraId="55496584" w14:textId="77777777" w:rsidR="005A46E7" w:rsidRPr="00A1145E" w:rsidRDefault="005A46E7" w:rsidP="005A46E7">
      <w:pPr>
        <w:pStyle w:val="1"/>
        <w:rPr>
          <w:rFonts w:eastAsia="Calibri"/>
        </w:rPr>
      </w:pPr>
      <w:r w:rsidRPr="00A1145E">
        <w:rPr>
          <w:rFonts w:eastAsia="Calibri"/>
        </w:rPr>
        <w:t>3.</w:t>
      </w:r>
      <w:r w:rsidRPr="00A1145E">
        <w:rPr>
          <w:rFonts w:eastAsia="Calibri"/>
        </w:rPr>
        <w:tab/>
        <w:t xml:space="preserve">All equipment used to move or restrain poultry shall be designed and maintained so as to minimize stress, risk of injury, risk of exhaustion, risk of heat stress. </w:t>
      </w:r>
    </w:p>
    <w:p w14:paraId="7BC85902" w14:textId="77777777" w:rsidR="005A46E7" w:rsidRPr="00A1145E" w:rsidRDefault="005A46E7" w:rsidP="005A46E7">
      <w:pPr>
        <w:pStyle w:val="1"/>
        <w:rPr>
          <w:rFonts w:eastAsia="Calibri"/>
        </w:rPr>
      </w:pPr>
      <w:r w:rsidRPr="00A1145E">
        <w:rPr>
          <w:rFonts w:eastAsia="Calibri"/>
        </w:rPr>
        <w:t>4.</w:t>
      </w:r>
      <w:r w:rsidRPr="00A1145E">
        <w:rPr>
          <w:rFonts w:eastAsia="Calibri"/>
        </w:rPr>
        <w:tab/>
        <w:t>Poultry that are seriously injured during handling (such as, but not limited to, broken legs) shall have remedial action taken, including euthanasia.</w:t>
      </w:r>
    </w:p>
    <w:p w14:paraId="500B9CAF" w14:textId="77777777" w:rsidR="005A46E7" w:rsidRPr="00A1145E" w:rsidRDefault="005A46E7" w:rsidP="005A46E7">
      <w:pPr>
        <w:pStyle w:val="A"/>
        <w:rPr>
          <w:rFonts w:eastAsia="Calibri"/>
        </w:rPr>
      </w:pPr>
      <w:r w:rsidRPr="00A1145E">
        <w:rPr>
          <w:rFonts w:eastAsia="Calibri"/>
        </w:rPr>
        <w:t>E.</w:t>
      </w:r>
      <w:r w:rsidRPr="00A1145E">
        <w:rPr>
          <w:rFonts w:eastAsia="Calibri"/>
        </w:rPr>
        <w:tab/>
        <w:t>Hatching, and Chick/Poult Management</w:t>
      </w:r>
    </w:p>
    <w:p w14:paraId="6886C242" w14:textId="77777777" w:rsidR="005A46E7" w:rsidRPr="00A1145E" w:rsidRDefault="005A46E7" w:rsidP="005A46E7">
      <w:pPr>
        <w:pStyle w:val="1"/>
        <w:rPr>
          <w:rFonts w:eastAsia="Calibri"/>
        </w:rPr>
      </w:pPr>
      <w:r w:rsidRPr="00A1145E">
        <w:rPr>
          <w:rFonts w:eastAsia="Calibri"/>
        </w:rPr>
        <w:t>1.</w:t>
      </w:r>
      <w:r w:rsidRPr="00A1145E">
        <w:rPr>
          <w:rFonts w:eastAsia="Calibri"/>
        </w:rPr>
        <w:tab/>
        <w:t>All chicks/poults shall have access to adequate nutrition and water within 48 hours of hatching or have other remedial action taken.</w:t>
      </w:r>
    </w:p>
    <w:p w14:paraId="14D75245" w14:textId="77777777" w:rsidR="005A46E7" w:rsidRPr="00A1145E" w:rsidRDefault="005A46E7" w:rsidP="005A46E7">
      <w:pPr>
        <w:pStyle w:val="1"/>
        <w:rPr>
          <w:rFonts w:eastAsia="Calibri"/>
        </w:rPr>
      </w:pPr>
      <w:r w:rsidRPr="00A1145E">
        <w:rPr>
          <w:rFonts w:eastAsia="Calibri"/>
        </w:rPr>
        <w:t>2.</w:t>
      </w:r>
      <w:r w:rsidRPr="00A1145E">
        <w:rPr>
          <w:rFonts w:eastAsia="Calibri"/>
        </w:rPr>
        <w:tab/>
        <w:t>Environmental temperature control and air flow control shall be present before arrival of new chicks/poults into an area and maintained for newly placed chicks/poults so as to support normal body temperature and minimize health compromise.</w:t>
      </w:r>
    </w:p>
    <w:p w14:paraId="237BD0F3" w14:textId="77777777" w:rsidR="005A46E7" w:rsidRPr="00A1145E" w:rsidRDefault="005A46E7" w:rsidP="005A46E7">
      <w:pPr>
        <w:pStyle w:val="A"/>
        <w:rPr>
          <w:rFonts w:eastAsia="Calibri"/>
        </w:rPr>
      </w:pPr>
      <w:r w:rsidRPr="00A1145E">
        <w:rPr>
          <w:rFonts w:eastAsia="Calibri"/>
        </w:rPr>
        <w:t>F.</w:t>
      </w:r>
      <w:r w:rsidRPr="00A1145E">
        <w:rPr>
          <w:rFonts w:eastAsia="Calibri"/>
        </w:rPr>
        <w:tab/>
        <w:t>Animal Husbandry Procedures</w:t>
      </w:r>
    </w:p>
    <w:p w14:paraId="600BB060" w14:textId="77777777" w:rsidR="005A46E7" w:rsidRPr="00A1145E" w:rsidRDefault="005A46E7" w:rsidP="005A46E7">
      <w:pPr>
        <w:pStyle w:val="1"/>
        <w:rPr>
          <w:rFonts w:eastAsia="Calibri"/>
        </w:rPr>
      </w:pPr>
      <w:r w:rsidRPr="00A1145E">
        <w:rPr>
          <w:rFonts w:eastAsia="Calibri"/>
        </w:rPr>
        <w:t>1.</w:t>
      </w:r>
      <w:r w:rsidRPr="00A1145E">
        <w:rPr>
          <w:rFonts w:eastAsia="Calibri"/>
        </w:rPr>
        <w:tab/>
        <w:t>Certain animal husbandry procedures include, but are not limited to, beak trimming, male claw removal, and dubbing.</w:t>
      </w:r>
    </w:p>
    <w:p w14:paraId="3B7A3242" w14:textId="77777777" w:rsidR="005A46E7" w:rsidRPr="00A1145E" w:rsidRDefault="005A46E7" w:rsidP="005A46E7">
      <w:pPr>
        <w:pStyle w:val="a0"/>
        <w:rPr>
          <w:rFonts w:eastAsia="Calibri"/>
        </w:rPr>
      </w:pPr>
      <w:r w:rsidRPr="00A1145E">
        <w:rPr>
          <w:rFonts w:eastAsia="Calibri"/>
        </w:rPr>
        <w:t>a.</w:t>
      </w:r>
      <w:r w:rsidRPr="00A1145E">
        <w:rPr>
          <w:rFonts w:eastAsia="Calibri"/>
        </w:rPr>
        <w:tab/>
        <w:t>Animal husbandry procedures shall be performed at an age and physiologic state so as to minimize pain and distress.</w:t>
      </w:r>
    </w:p>
    <w:p w14:paraId="59E6F095"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Beak trimming shall be performed by or before 10 days of age.</w:t>
      </w:r>
    </w:p>
    <w:p w14:paraId="0BA85F78" w14:textId="77777777"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Male claw removal and dubbing (in commercial operations) shall be performed by or before 3 days of age.</w:t>
      </w:r>
    </w:p>
    <w:p w14:paraId="5563422E" w14:textId="77777777" w:rsidR="005A46E7" w:rsidRPr="00A1145E" w:rsidRDefault="005A46E7" w:rsidP="005A46E7">
      <w:pPr>
        <w:pStyle w:val="a0"/>
        <w:rPr>
          <w:rFonts w:eastAsia="Calibri"/>
        </w:rPr>
      </w:pPr>
      <w:r w:rsidRPr="00A1145E">
        <w:rPr>
          <w:rFonts w:eastAsia="Calibri"/>
        </w:rPr>
        <w:t>b.</w:t>
      </w:r>
      <w:r w:rsidRPr="00A1145E">
        <w:rPr>
          <w:rFonts w:eastAsia="Calibri"/>
        </w:rPr>
        <w:tab/>
        <w:t xml:space="preserve">Necessary stressful procedures include induced molting. </w:t>
      </w:r>
    </w:p>
    <w:p w14:paraId="5BEEB268" w14:textId="77777777"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 xml:space="preserve">Induced molting shall be performed and birds sufficiently supervised to prevent health compromise, weight loss, and flock mortality. </w:t>
      </w:r>
    </w:p>
    <w:p w14:paraId="6F3F157F" w14:textId="77777777" w:rsidR="005A46E7" w:rsidRPr="00A1145E" w:rsidRDefault="005A46E7" w:rsidP="005A46E7">
      <w:pPr>
        <w:pStyle w:val="A"/>
        <w:rPr>
          <w:rFonts w:eastAsia="Calibri"/>
        </w:rPr>
      </w:pPr>
      <w:r w:rsidRPr="00A1145E">
        <w:rPr>
          <w:rFonts w:eastAsia="Calibri"/>
        </w:rPr>
        <w:t>G.</w:t>
      </w:r>
      <w:r w:rsidRPr="00A1145E">
        <w:rPr>
          <w:rFonts w:eastAsia="Calibri"/>
        </w:rPr>
        <w:tab/>
        <w:t>Transportation</w:t>
      </w:r>
    </w:p>
    <w:p w14:paraId="6228A18B" w14:textId="77777777" w:rsidR="005A46E7" w:rsidRPr="00A1145E" w:rsidRDefault="005A46E7" w:rsidP="005A46E7">
      <w:pPr>
        <w:pStyle w:val="1"/>
        <w:rPr>
          <w:rFonts w:eastAsia="Calibri"/>
        </w:rPr>
      </w:pPr>
      <w:r w:rsidRPr="00A1145E">
        <w:rPr>
          <w:rFonts w:eastAsia="Calibri"/>
        </w:rPr>
        <w:t>1.</w:t>
      </w:r>
      <w:r w:rsidRPr="00A1145E">
        <w:rPr>
          <w:rFonts w:eastAsia="Calibri"/>
        </w:rPr>
        <w:tab/>
        <w:t>Transportation by land shall:</w:t>
      </w:r>
    </w:p>
    <w:p w14:paraId="4BCA4DCD" w14:textId="77777777" w:rsidR="005A46E7" w:rsidRPr="00A1145E" w:rsidRDefault="005A46E7" w:rsidP="005A46E7">
      <w:pPr>
        <w:pStyle w:val="a0"/>
        <w:rPr>
          <w:rFonts w:eastAsia="Calibri"/>
        </w:rPr>
      </w:pPr>
      <w:r w:rsidRPr="00A1145E">
        <w:rPr>
          <w:rFonts w:eastAsia="Calibri"/>
        </w:rPr>
        <w:t>a.</w:t>
      </w:r>
      <w:r w:rsidRPr="00A1145E">
        <w:rPr>
          <w:rFonts w:eastAsia="Calibri"/>
        </w:rPr>
        <w:tab/>
        <w:t>have stocking density that allows all poultry to lie down simultaneously without being forced to lie on top of other poultry;</w:t>
      </w:r>
    </w:p>
    <w:p w14:paraId="2B17986D" w14:textId="77777777" w:rsidR="005A46E7" w:rsidRPr="00A1145E" w:rsidRDefault="005A46E7" w:rsidP="005A46E7">
      <w:pPr>
        <w:pStyle w:val="a0"/>
        <w:rPr>
          <w:rFonts w:eastAsia="Calibri"/>
        </w:rPr>
      </w:pPr>
      <w:r w:rsidRPr="00A1145E">
        <w:rPr>
          <w:rFonts w:eastAsia="Calibri"/>
        </w:rPr>
        <w:t>b.</w:t>
      </w:r>
      <w:r w:rsidRPr="00A1145E">
        <w:rPr>
          <w:rFonts w:eastAsia="Calibri"/>
        </w:rPr>
        <w:tab/>
        <w:t>have transportation vehicle design, maintenance, arrangement of poultry, and time of transport to minimize injury, distress, or death to the poultry;</w:t>
      </w:r>
    </w:p>
    <w:p w14:paraId="433F571A" w14:textId="77777777" w:rsidR="005A46E7" w:rsidRPr="00A1145E" w:rsidRDefault="005A46E7" w:rsidP="005A46E7">
      <w:pPr>
        <w:pStyle w:val="a0"/>
        <w:rPr>
          <w:rFonts w:eastAsia="Calibri"/>
        </w:rPr>
      </w:pPr>
      <w:r w:rsidRPr="00A1145E">
        <w:rPr>
          <w:rFonts w:eastAsia="Calibri"/>
        </w:rPr>
        <w:t>c.</w:t>
      </w:r>
      <w:r w:rsidRPr="00A1145E">
        <w:rPr>
          <w:rFonts w:eastAsia="Calibri"/>
        </w:rPr>
        <w:tab/>
        <w:t>have vehicle transporting poultry designed to provide adequate ventilation to minimize injury, distress, heat or cold stress, or death to the poultry;</w:t>
      </w:r>
    </w:p>
    <w:p w14:paraId="6FFD618D" w14:textId="77777777" w:rsidR="005A46E7" w:rsidRPr="00A1145E" w:rsidRDefault="005A46E7" w:rsidP="005A46E7">
      <w:pPr>
        <w:pStyle w:val="a0"/>
        <w:rPr>
          <w:rFonts w:eastAsia="Calibri"/>
        </w:rPr>
      </w:pPr>
      <w:r w:rsidRPr="00A1145E">
        <w:rPr>
          <w:rFonts w:eastAsia="Calibri"/>
        </w:rPr>
        <w:t>d.</w:t>
      </w:r>
      <w:r w:rsidRPr="00A1145E">
        <w:rPr>
          <w:rFonts w:eastAsia="Calibri"/>
        </w:rPr>
        <w:tab/>
        <w:t>have crates or other devices used to transport poultry designed to minimize injury and movement must allow poultry to rapidly reposition in an upright position.</w:t>
      </w:r>
    </w:p>
    <w:p w14:paraId="669447A5" w14:textId="77777777" w:rsidR="005A46E7" w:rsidRPr="00A1145E" w:rsidRDefault="005A46E7" w:rsidP="005A46E7">
      <w:pPr>
        <w:pStyle w:val="A"/>
        <w:rPr>
          <w:rFonts w:eastAsia="Calibri"/>
        </w:rPr>
      </w:pPr>
      <w:r w:rsidRPr="00A1145E">
        <w:rPr>
          <w:rFonts w:eastAsia="Calibri"/>
        </w:rPr>
        <w:t>H.</w:t>
      </w:r>
      <w:r w:rsidRPr="00A1145E">
        <w:rPr>
          <w:rFonts w:eastAsia="Calibri"/>
        </w:rPr>
        <w:tab/>
        <w:t>On-Farm Euthanasia</w:t>
      </w:r>
    </w:p>
    <w:p w14:paraId="618D74A8"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The following methods of euthanasia shall be approved for on-farm use: </w:t>
      </w:r>
    </w:p>
    <w:p w14:paraId="0AC14A92" w14:textId="77777777" w:rsidR="005A46E7" w:rsidRPr="00A1145E" w:rsidRDefault="005A46E7" w:rsidP="005A46E7">
      <w:pPr>
        <w:pStyle w:val="a0"/>
        <w:rPr>
          <w:rFonts w:eastAsia="Calibri"/>
        </w:rPr>
      </w:pPr>
      <w:r w:rsidRPr="00A1145E">
        <w:rPr>
          <w:rFonts w:eastAsia="Calibri"/>
        </w:rPr>
        <w:t>a.</w:t>
      </w:r>
      <w:r w:rsidRPr="00A1145E">
        <w:rPr>
          <w:rFonts w:eastAsia="Calibri"/>
        </w:rPr>
        <w:tab/>
        <w:t>carbon dioxide;</w:t>
      </w:r>
    </w:p>
    <w:p w14:paraId="345667FB" w14:textId="77777777" w:rsidR="005A46E7" w:rsidRPr="00A1145E" w:rsidRDefault="005A46E7" w:rsidP="005A46E7">
      <w:pPr>
        <w:pStyle w:val="a0"/>
        <w:rPr>
          <w:rFonts w:eastAsia="Calibri"/>
        </w:rPr>
      </w:pPr>
      <w:r w:rsidRPr="00A1145E">
        <w:rPr>
          <w:rFonts w:eastAsia="Calibri"/>
        </w:rPr>
        <w:t>b.</w:t>
      </w:r>
      <w:r w:rsidRPr="00A1145E">
        <w:rPr>
          <w:rFonts w:eastAsia="Calibri"/>
        </w:rPr>
        <w:tab/>
        <w:t>cervical dislocation;</w:t>
      </w:r>
    </w:p>
    <w:p w14:paraId="71DFD0B6" w14:textId="77777777" w:rsidR="005A46E7" w:rsidRPr="00A1145E" w:rsidRDefault="005A46E7" w:rsidP="005A46E7">
      <w:pPr>
        <w:pStyle w:val="a0"/>
        <w:rPr>
          <w:rFonts w:eastAsia="Calibri"/>
        </w:rPr>
      </w:pPr>
      <w:r w:rsidRPr="00A1145E">
        <w:rPr>
          <w:rFonts w:eastAsia="Calibri"/>
        </w:rPr>
        <w:t>c.</w:t>
      </w:r>
      <w:r w:rsidRPr="00A1145E">
        <w:rPr>
          <w:rFonts w:eastAsia="Calibri"/>
        </w:rPr>
        <w:tab/>
        <w:t>cecapitation;</w:t>
      </w:r>
    </w:p>
    <w:p w14:paraId="3256CFBA" w14:textId="77777777" w:rsidR="005A46E7" w:rsidRPr="00A1145E" w:rsidRDefault="005A46E7" w:rsidP="005A46E7">
      <w:pPr>
        <w:pStyle w:val="a0"/>
        <w:rPr>
          <w:rFonts w:eastAsia="Calibri"/>
        </w:rPr>
      </w:pPr>
      <w:r w:rsidRPr="00A1145E">
        <w:rPr>
          <w:rFonts w:eastAsia="Calibri"/>
        </w:rPr>
        <w:t>d.</w:t>
      </w:r>
      <w:r w:rsidRPr="00A1145E">
        <w:rPr>
          <w:rFonts w:eastAsia="Calibri"/>
        </w:rPr>
        <w:tab/>
        <w:t>water based foam for mass euthanasia;</w:t>
      </w:r>
    </w:p>
    <w:p w14:paraId="476BE4EB" w14:textId="77777777" w:rsidR="005A46E7" w:rsidRPr="00A1145E" w:rsidRDefault="005A46E7" w:rsidP="005A46E7">
      <w:pPr>
        <w:pStyle w:val="a0"/>
        <w:rPr>
          <w:rFonts w:eastAsia="Calibri"/>
        </w:rPr>
      </w:pPr>
      <w:r w:rsidRPr="00A1145E">
        <w:rPr>
          <w:rFonts w:eastAsia="Calibri"/>
        </w:rPr>
        <w:t>e.</w:t>
      </w:r>
      <w:r w:rsidRPr="00A1145E">
        <w:rPr>
          <w:rFonts w:eastAsia="Calibri"/>
        </w:rPr>
        <w:tab/>
        <w:t>instantaneous fragmentation may be used for one day old chicks and poults, and for pipped and embyonated eggs. Sufficient flow to and through the instantaneous fragmentation device shall prevent backlog at the point of entry to the device;</w:t>
      </w:r>
    </w:p>
    <w:p w14:paraId="1139D6C1" w14:textId="77777777" w:rsidR="005A46E7" w:rsidRPr="00A1145E" w:rsidRDefault="005A46E7" w:rsidP="005A46E7">
      <w:pPr>
        <w:pStyle w:val="a0"/>
        <w:rPr>
          <w:rFonts w:eastAsia="Calibri"/>
        </w:rPr>
      </w:pPr>
      <w:r w:rsidRPr="00A1145E">
        <w:rPr>
          <w:rFonts w:eastAsia="Calibri"/>
        </w:rPr>
        <w:t>f.</w:t>
      </w:r>
      <w:r w:rsidRPr="00A1145E">
        <w:rPr>
          <w:rFonts w:eastAsia="Calibri"/>
        </w:rPr>
        <w:tab/>
        <w:t>barbiturate overdose is an acceptable form of euthanasia administered by a licensed veterinarian or other licensed professional.</w:t>
      </w:r>
    </w:p>
    <w:p w14:paraId="72F0533F" w14:textId="77777777" w:rsidR="005A46E7" w:rsidRPr="00A1145E" w:rsidRDefault="005A46E7" w:rsidP="005A46E7">
      <w:pPr>
        <w:pStyle w:val="1"/>
        <w:rPr>
          <w:rFonts w:eastAsia="Calibri"/>
        </w:rPr>
      </w:pPr>
      <w:r w:rsidRPr="00A1145E">
        <w:rPr>
          <w:rFonts w:eastAsia="Calibri"/>
        </w:rPr>
        <w:t>2.</w:t>
      </w:r>
      <w:r w:rsidRPr="00A1145E">
        <w:rPr>
          <w:rFonts w:eastAsia="Calibri"/>
        </w:rPr>
        <w:tab/>
        <w:t>The carcasses of all poultry shall be disposed of in a sanitary manner by cremation or burial of at least six feet according to RS 3:2131 or by following LAC 7:XXI.Chapter 7, Sanitary Disposal of Dead Poultry.</w:t>
      </w:r>
    </w:p>
    <w:p w14:paraId="08B68D61"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5E5A6E85" w14:textId="77777777"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3243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40:988 (May 2014).</w:t>
      </w:r>
    </w:p>
    <w:p w14:paraId="4E4ECB91" w14:textId="77777777" w:rsidR="005A46E7" w:rsidRPr="00A1145E" w:rsidRDefault="005A46E7" w:rsidP="005A46E7">
      <w:pPr>
        <w:pStyle w:val="Section"/>
        <w:rPr>
          <w:rFonts w:eastAsia="Calibri"/>
        </w:rPr>
      </w:pPr>
      <w:bookmarkStart w:id="2337" w:name="_Toc375025608"/>
      <w:bookmarkStart w:id="2338" w:name="_Toc224819191"/>
      <w:r>
        <w:rPr>
          <w:rFonts w:eastAsia="Calibri"/>
        </w:rPr>
        <w:lastRenderedPageBreak/>
        <w:t>§2111.</w:t>
      </w:r>
      <w:r>
        <w:rPr>
          <w:rFonts w:eastAsia="Calibri"/>
        </w:rPr>
        <w:tab/>
      </w:r>
      <w:r w:rsidRPr="00A1145E">
        <w:rPr>
          <w:rFonts w:eastAsia="Calibri"/>
        </w:rPr>
        <w:t>Porcine</w:t>
      </w:r>
      <w:bookmarkEnd w:id="2337"/>
      <w:r>
        <w:rPr>
          <w:rFonts w:eastAsia="Calibri"/>
        </w:rPr>
        <w:br/>
        <w:t>(</w:t>
      </w:r>
      <w:r w:rsidRPr="00A1145E">
        <w:rPr>
          <w:rFonts w:eastAsia="Calibri"/>
        </w:rPr>
        <w:t>Formerly §3109</w:t>
      </w:r>
      <w:r>
        <w:rPr>
          <w:rFonts w:eastAsia="Calibri"/>
        </w:rPr>
        <w:t>)</w:t>
      </w:r>
      <w:bookmarkEnd w:id="2338"/>
    </w:p>
    <w:p w14:paraId="3FE45F0E" w14:textId="77777777" w:rsidR="005A46E7" w:rsidRPr="00A1145E" w:rsidRDefault="005A46E7" w:rsidP="005A46E7">
      <w:pPr>
        <w:pStyle w:val="A"/>
        <w:rPr>
          <w:rFonts w:eastAsia="Calibri"/>
        </w:rPr>
      </w:pPr>
      <w:r w:rsidRPr="00A1145E">
        <w:rPr>
          <w:rFonts w:eastAsia="Calibri"/>
        </w:rPr>
        <w:t>A.</w:t>
      </w:r>
      <w:r w:rsidRPr="00A1145E">
        <w:rPr>
          <w:rFonts w:eastAsia="Calibri"/>
        </w:rPr>
        <w:tab/>
        <w:t>Housing</w:t>
      </w:r>
    </w:p>
    <w:p w14:paraId="371F6CB6" w14:textId="77777777" w:rsidR="005A46E7" w:rsidRPr="00A1145E" w:rsidRDefault="005A46E7" w:rsidP="005A46E7">
      <w:pPr>
        <w:pStyle w:val="1"/>
        <w:rPr>
          <w:rFonts w:eastAsia="Calibri"/>
        </w:rPr>
      </w:pPr>
      <w:r w:rsidRPr="00A1145E">
        <w:rPr>
          <w:rFonts w:eastAsia="Calibri"/>
        </w:rPr>
        <w:t>1.</w:t>
      </w:r>
      <w:r w:rsidRPr="00A1145E">
        <w:rPr>
          <w:rFonts w:eastAsia="Calibri"/>
        </w:rPr>
        <w:tab/>
        <w:t>If housed outdoors, shelter shall be readily available to swine so as to minimize the compromise to their health from heat and adverse weather.</w:t>
      </w:r>
    </w:p>
    <w:p w14:paraId="4B9A46AD" w14:textId="77777777" w:rsidR="005A46E7" w:rsidRPr="00A1145E" w:rsidRDefault="005A46E7" w:rsidP="005A46E7">
      <w:pPr>
        <w:pStyle w:val="1"/>
        <w:rPr>
          <w:rFonts w:eastAsia="Calibri"/>
        </w:rPr>
      </w:pPr>
      <w:r w:rsidRPr="00A1145E">
        <w:rPr>
          <w:rFonts w:eastAsia="Calibri"/>
        </w:rPr>
        <w:t>2.</w:t>
      </w:r>
      <w:r w:rsidRPr="00A1145E">
        <w:rPr>
          <w:rFonts w:eastAsia="Calibri"/>
        </w:rPr>
        <w:tab/>
        <w:t>If housed indoors, facilities shall be maintained so as to minimize the compromise to health from heat and adverse weather.</w:t>
      </w:r>
    </w:p>
    <w:p w14:paraId="78963C67" w14:textId="77777777" w:rsidR="005A46E7" w:rsidRPr="00A1145E" w:rsidRDefault="005A46E7" w:rsidP="005A46E7">
      <w:pPr>
        <w:pStyle w:val="1"/>
        <w:rPr>
          <w:rFonts w:eastAsia="Calibri"/>
        </w:rPr>
      </w:pPr>
      <w:r w:rsidRPr="00A1145E">
        <w:rPr>
          <w:rFonts w:eastAsia="Calibri"/>
        </w:rPr>
        <w:t>3.</w:t>
      </w:r>
      <w:r w:rsidRPr="00A1145E">
        <w:rPr>
          <w:rFonts w:eastAsia="Calibri"/>
        </w:rPr>
        <w:tab/>
        <w:t>For any swine housed in a primary enclosure, such as a farrowing stall or gestation crate, the swine shall be able to:</w:t>
      </w:r>
    </w:p>
    <w:p w14:paraId="3698284A" w14:textId="77777777" w:rsidR="005A46E7" w:rsidRPr="00A1145E" w:rsidRDefault="005A46E7" w:rsidP="005A46E7">
      <w:pPr>
        <w:pStyle w:val="a0"/>
        <w:rPr>
          <w:rFonts w:eastAsia="Calibri"/>
        </w:rPr>
      </w:pPr>
      <w:r w:rsidRPr="00A1145E">
        <w:rPr>
          <w:rFonts w:eastAsia="Calibri"/>
        </w:rPr>
        <w:t>a.</w:t>
      </w:r>
      <w:r w:rsidRPr="00A1145E">
        <w:rPr>
          <w:rFonts w:eastAsia="Calibri"/>
        </w:rPr>
        <w:tab/>
        <w:t>lie in full recumbency without its head touching a feeder;</w:t>
      </w:r>
    </w:p>
    <w:p w14:paraId="064E75E1" w14:textId="77777777" w:rsidR="005A46E7" w:rsidRPr="00A1145E" w:rsidRDefault="005A46E7" w:rsidP="005A46E7">
      <w:pPr>
        <w:pStyle w:val="a0"/>
        <w:rPr>
          <w:rFonts w:eastAsia="Calibri"/>
        </w:rPr>
      </w:pPr>
      <w:r w:rsidRPr="00A1145E">
        <w:rPr>
          <w:rFonts w:eastAsia="Calibri"/>
        </w:rPr>
        <w:t>b.</w:t>
      </w:r>
      <w:r w:rsidRPr="00A1145E">
        <w:rPr>
          <w:rFonts w:eastAsia="Calibri"/>
        </w:rPr>
        <w:tab/>
        <w:t>rise and lie down comfortably at will; and</w:t>
      </w:r>
    </w:p>
    <w:p w14:paraId="0B0CE7CC" w14:textId="77777777" w:rsidR="005A46E7" w:rsidRPr="00A1145E" w:rsidRDefault="005A46E7" w:rsidP="005A46E7">
      <w:pPr>
        <w:pStyle w:val="a0"/>
        <w:rPr>
          <w:rFonts w:eastAsia="Calibri"/>
        </w:rPr>
      </w:pPr>
      <w:r w:rsidRPr="00A1145E">
        <w:rPr>
          <w:rFonts w:eastAsia="Calibri"/>
        </w:rPr>
        <w:t>c.</w:t>
      </w:r>
      <w:r w:rsidRPr="00A1145E">
        <w:rPr>
          <w:rFonts w:eastAsia="Calibri"/>
        </w:rPr>
        <w:tab/>
        <w:t>stand so as to not touch more than one side of the enclosure simultaneously and so as to not touch the top of the primary enclosure.</w:t>
      </w:r>
    </w:p>
    <w:p w14:paraId="09253349" w14:textId="77777777" w:rsidR="005A46E7" w:rsidRPr="00A1145E" w:rsidRDefault="005A46E7" w:rsidP="005A46E7">
      <w:pPr>
        <w:pStyle w:val="1"/>
        <w:rPr>
          <w:rFonts w:eastAsia="Calibri"/>
        </w:rPr>
      </w:pPr>
      <w:r w:rsidRPr="00A1145E">
        <w:rPr>
          <w:rFonts w:eastAsia="Calibri"/>
        </w:rPr>
        <w:t>4.</w:t>
      </w:r>
      <w:r w:rsidRPr="00A1145E">
        <w:rPr>
          <w:rFonts w:eastAsia="Calibri"/>
        </w:rPr>
        <w:tab/>
        <w:t>Flooring shall be designed or managed so as to minimize slipping and so as to prevent urine scald to the swine.</w:t>
      </w:r>
    </w:p>
    <w:p w14:paraId="732D3781" w14:textId="77777777" w:rsidR="005A46E7" w:rsidRPr="00A1145E" w:rsidRDefault="005A46E7" w:rsidP="005A46E7">
      <w:pPr>
        <w:pStyle w:val="1"/>
        <w:rPr>
          <w:rFonts w:eastAsia="Calibri"/>
        </w:rPr>
      </w:pPr>
      <w:r w:rsidRPr="00A1145E">
        <w:rPr>
          <w:rFonts w:eastAsia="Calibri"/>
        </w:rPr>
        <w:t>5.</w:t>
      </w:r>
      <w:r w:rsidRPr="00A1145E">
        <w:rPr>
          <w:rFonts w:eastAsia="Calibri"/>
        </w:rPr>
        <w:tab/>
        <w:t>If nursing piglets, the enclosure shall allow the sow to lie down as to minimize injury or death of her piglets.</w:t>
      </w:r>
    </w:p>
    <w:p w14:paraId="28B754B7" w14:textId="77777777" w:rsidR="005A46E7" w:rsidRPr="00A1145E" w:rsidRDefault="005A46E7" w:rsidP="005A46E7">
      <w:pPr>
        <w:pStyle w:val="A"/>
        <w:rPr>
          <w:rFonts w:eastAsia="Calibri"/>
        </w:rPr>
      </w:pPr>
      <w:r w:rsidRPr="00A1145E">
        <w:rPr>
          <w:rFonts w:eastAsia="Calibri"/>
        </w:rPr>
        <w:t>B.</w:t>
      </w:r>
      <w:r w:rsidRPr="00A1145E">
        <w:rPr>
          <w:rFonts w:eastAsia="Calibri"/>
        </w:rPr>
        <w:tab/>
        <w:t>Nutrition and Water</w:t>
      </w:r>
    </w:p>
    <w:p w14:paraId="1C39A5E8" w14:textId="77777777" w:rsidR="005A46E7" w:rsidRPr="00A1145E" w:rsidRDefault="005A46E7" w:rsidP="005A46E7">
      <w:pPr>
        <w:pStyle w:val="1"/>
        <w:rPr>
          <w:rFonts w:eastAsia="Calibri"/>
        </w:rPr>
      </w:pPr>
      <w:r w:rsidRPr="00A1145E">
        <w:rPr>
          <w:rFonts w:eastAsia="Calibri"/>
        </w:rPr>
        <w:t>1.</w:t>
      </w:r>
      <w:r w:rsidRPr="00A1145E">
        <w:rPr>
          <w:rFonts w:eastAsia="Calibri"/>
        </w:rPr>
        <w:tab/>
        <w:t>Feed shall be provided in methods so as to minimize aggression and resultant injury to swine.</w:t>
      </w:r>
    </w:p>
    <w:p w14:paraId="6A9E7C50" w14:textId="77777777" w:rsidR="005A46E7" w:rsidRPr="00A1145E" w:rsidRDefault="005A46E7" w:rsidP="005A46E7">
      <w:pPr>
        <w:pStyle w:val="1"/>
        <w:rPr>
          <w:rFonts w:eastAsia="Calibri"/>
        </w:rPr>
      </w:pPr>
      <w:r w:rsidRPr="00A1145E">
        <w:rPr>
          <w:rFonts w:eastAsia="Calibri"/>
        </w:rPr>
        <w:t>2.</w:t>
      </w:r>
      <w:r w:rsidRPr="00A1145E">
        <w:rPr>
          <w:rFonts w:eastAsia="Calibri"/>
        </w:rPr>
        <w:tab/>
        <w:t>Any mechanical devices used to deliver feed or water shall be kept clean so as to minimize the spread of infectious disease, and shall be regularly inspected to ensure proper function.</w:t>
      </w:r>
    </w:p>
    <w:p w14:paraId="5D13EA65" w14:textId="77777777" w:rsidR="005A46E7" w:rsidRPr="00A1145E" w:rsidRDefault="005A46E7" w:rsidP="005A46E7">
      <w:pPr>
        <w:pStyle w:val="A"/>
        <w:rPr>
          <w:rFonts w:eastAsia="Calibri"/>
        </w:rPr>
      </w:pPr>
      <w:r w:rsidRPr="00A1145E">
        <w:rPr>
          <w:rFonts w:eastAsia="Calibri"/>
        </w:rPr>
        <w:t>C.</w:t>
      </w:r>
      <w:r w:rsidRPr="00A1145E">
        <w:rPr>
          <w:rFonts w:eastAsia="Calibri"/>
        </w:rPr>
        <w:tab/>
        <w:t>Animal Husbandry Procedures</w:t>
      </w:r>
    </w:p>
    <w:p w14:paraId="6013FCA8" w14:textId="77777777" w:rsidR="005A46E7" w:rsidRPr="00A1145E" w:rsidRDefault="005A46E7" w:rsidP="005A46E7">
      <w:pPr>
        <w:pStyle w:val="1"/>
        <w:rPr>
          <w:rFonts w:eastAsia="Calibri"/>
        </w:rPr>
      </w:pPr>
      <w:r w:rsidRPr="00A1145E">
        <w:rPr>
          <w:rFonts w:eastAsia="Calibri"/>
        </w:rPr>
        <w:t>1.</w:t>
      </w:r>
      <w:r w:rsidRPr="00A1145E">
        <w:rPr>
          <w:rFonts w:eastAsia="Calibri"/>
        </w:rPr>
        <w:tab/>
        <w:t>Animal husbandry procedures include, but are not limited to:</w:t>
      </w:r>
    </w:p>
    <w:p w14:paraId="79D09C4F" w14:textId="77777777" w:rsidR="005A46E7" w:rsidRPr="00A1145E" w:rsidRDefault="005A46E7" w:rsidP="005A46E7">
      <w:pPr>
        <w:pStyle w:val="a0"/>
        <w:rPr>
          <w:rFonts w:eastAsia="Calibri"/>
        </w:rPr>
      </w:pPr>
      <w:r w:rsidRPr="00A1145E">
        <w:rPr>
          <w:rFonts w:eastAsia="Calibri"/>
        </w:rPr>
        <w:t>a.</w:t>
      </w:r>
      <w:r w:rsidRPr="00A1145E">
        <w:rPr>
          <w:rFonts w:eastAsia="Calibri"/>
        </w:rPr>
        <w:tab/>
        <w:t>castration, needle teeth clipping, tail docking, ear notching, tattooing, and ear tagging;</w:t>
      </w:r>
    </w:p>
    <w:p w14:paraId="53097663" w14:textId="77777777" w:rsidR="005A46E7" w:rsidRPr="00A1145E" w:rsidRDefault="005A46E7" w:rsidP="005A46E7">
      <w:pPr>
        <w:pStyle w:val="a0"/>
        <w:rPr>
          <w:rFonts w:eastAsia="Calibri"/>
        </w:rPr>
      </w:pPr>
      <w:r w:rsidRPr="00A1145E">
        <w:rPr>
          <w:rFonts w:eastAsia="Calibri"/>
        </w:rPr>
        <w:t>b.</w:t>
      </w:r>
      <w:r w:rsidRPr="00A1145E">
        <w:rPr>
          <w:rFonts w:eastAsia="Calibri"/>
        </w:rPr>
        <w:tab/>
        <w:t>shall be performed only as necessary to protect animal and human health;</w:t>
      </w:r>
    </w:p>
    <w:p w14:paraId="2D0F9F30" w14:textId="77777777" w:rsidR="005A46E7" w:rsidRPr="00A1145E" w:rsidRDefault="005A46E7" w:rsidP="005A46E7">
      <w:pPr>
        <w:pStyle w:val="a0"/>
        <w:rPr>
          <w:rFonts w:eastAsia="Calibri"/>
        </w:rPr>
      </w:pPr>
      <w:r w:rsidRPr="00A1145E">
        <w:rPr>
          <w:rFonts w:eastAsia="Calibri"/>
        </w:rPr>
        <w:t>c.</w:t>
      </w:r>
      <w:r w:rsidRPr="00A1145E">
        <w:rPr>
          <w:rFonts w:eastAsia="Calibri"/>
        </w:rPr>
        <w:tab/>
        <w:t>allow animal management and production; and</w:t>
      </w:r>
    </w:p>
    <w:p w14:paraId="4B5ACB81" w14:textId="77777777" w:rsidR="005A46E7" w:rsidRPr="00A1145E" w:rsidRDefault="005A46E7" w:rsidP="005A46E7">
      <w:pPr>
        <w:pStyle w:val="a0"/>
        <w:rPr>
          <w:rFonts w:eastAsia="Calibri"/>
        </w:rPr>
      </w:pPr>
      <w:r w:rsidRPr="00A1145E">
        <w:rPr>
          <w:rFonts w:eastAsia="Calibri"/>
        </w:rPr>
        <w:t>d.</w:t>
      </w:r>
      <w:r w:rsidRPr="00A1145E">
        <w:rPr>
          <w:rFonts w:eastAsia="Calibri"/>
        </w:rPr>
        <w:tab/>
        <w:t>allow product attributes.</w:t>
      </w:r>
    </w:p>
    <w:p w14:paraId="753DF03F" w14:textId="77777777" w:rsidR="005A46E7" w:rsidRPr="00A1145E" w:rsidRDefault="005A46E7" w:rsidP="005A46E7">
      <w:pPr>
        <w:pStyle w:val="1"/>
        <w:rPr>
          <w:rFonts w:eastAsia="Calibri"/>
        </w:rPr>
      </w:pPr>
      <w:r w:rsidRPr="00A1145E">
        <w:rPr>
          <w:rFonts w:eastAsia="Calibri"/>
        </w:rPr>
        <w:t>2.</w:t>
      </w:r>
      <w:r w:rsidRPr="00A1145E">
        <w:rPr>
          <w:rFonts w:eastAsia="Calibri"/>
        </w:rPr>
        <w:tab/>
        <w:t>Animal husbandry procedures shall be performed in a timely manner and physiologic state so as to minimize pain and distress including:</w:t>
      </w:r>
    </w:p>
    <w:p w14:paraId="64369FAA" w14:textId="77777777" w:rsidR="005A46E7" w:rsidRPr="00A1145E" w:rsidRDefault="005A46E7" w:rsidP="005A46E7">
      <w:pPr>
        <w:pStyle w:val="a0"/>
        <w:rPr>
          <w:rFonts w:eastAsia="Calibri"/>
        </w:rPr>
      </w:pPr>
      <w:r w:rsidRPr="00A1145E">
        <w:rPr>
          <w:rFonts w:eastAsia="Calibri"/>
        </w:rPr>
        <w:t>a.</w:t>
      </w:r>
      <w:r w:rsidRPr="00A1145E">
        <w:rPr>
          <w:rFonts w:eastAsia="Calibri"/>
        </w:rPr>
        <w:tab/>
        <w:t>clipping of needle teeth performed before five days of age;</w:t>
      </w:r>
    </w:p>
    <w:p w14:paraId="1E98237D" w14:textId="77777777" w:rsidR="005A46E7" w:rsidRPr="00A1145E" w:rsidRDefault="005A46E7" w:rsidP="005A46E7">
      <w:pPr>
        <w:pStyle w:val="a0"/>
        <w:rPr>
          <w:rFonts w:eastAsia="Calibri"/>
        </w:rPr>
      </w:pPr>
      <w:r w:rsidRPr="00A1145E">
        <w:rPr>
          <w:rFonts w:eastAsia="Calibri"/>
        </w:rPr>
        <w:t>b.</w:t>
      </w:r>
      <w:r w:rsidRPr="00A1145E">
        <w:rPr>
          <w:rFonts w:eastAsia="Calibri"/>
        </w:rPr>
        <w:tab/>
        <w:t>teeth clipped at the tip of the tooth rather than the gum line;</w:t>
      </w:r>
    </w:p>
    <w:p w14:paraId="4D962702" w14:textId="77777777" w:rsidR="005A46E7" w:rsidRPr="00A1145E" w:rsidRDefault="005A46E7" w:rsidP="005A46E7">
      <w:pPr>
        <w:pStyle w:val="a0"/>
        <w:rPr>
          <w:rFonts w:eastAsia="Calibri"/>
        </w:rPr>
      </w:pPr>
      <w:r w:rsidRPr="00A1145E">
        <w:rPr>
          <w:rFonts w:eastAsia="Calibri"/>
        </w:rPr>
        <w:t>c.</w:t>
      </w:r>
      <w:r w:rsidRPr="00A1145E">
        <w:rPr>
          <w:rFonts w:eastAsia="Calibri"/>
        </w:rPr>
        <w:tab/>
        <w:t>ear notching, tail docking, and castration performed before five days of age.</w:t>
      </w:r>
    </w:p>
    <w:p w14:paraId="14636533" w14:textId="77777777" w:rsidR="005A46E7" w:rsidRPr="00A1145E" w:rsidRDefault="005A46E7" w:rsidP="005A46E7">
      <w:pPr>
        <w:pStyle w:val="A"/>
        <w:rPr>
          <w:rFonts w:eastAsia="Calibri"/>
        </w:rPr>
      </w:pPr>
      <w:r w:rsidRPr="00A1145E">
        <w:rPr>
          <w:rFonts w:eastAsia="Calibri"/>
        </w:rPr>
        <w:t>D.</w:t>
      </w:r>
      <w:r w:rsidRPr="00A1145E">
        <w:rPr>
          <w:rFonts w:eastAsia="Calibri"/>
        </w:rPr>
        <w:tab/>
        <w:t>Farrowing and Piglet Management</w:t>
      </w:r>
    </w:p>
    <w:p w14:paraId="442E1777" w14:textId="77777777" w:rsidR="005A46E7" w:rsidRPr="00A1145E" w:rsidRDefault="005A46E7" w:rsidP="005A46E7">
      <w:pPr>
        <w:pStyle w:val="1"/>
        <w:rPr>
          <w:rFonts w:eastAsia="Calibri"/>
        </w:rPr>
      </w:pPr>
      <w:r w:rsidRPr="00A1145E">
        <w:rPr>
          <w:rFonts w:eastAsia="Calibri"/>
        </w:rPr>
        <w:t>1.</w:t>
      </w:r>
      <w:r w:rsidRPr="00A1145E">
        <w:rPr>
          <w:rFonts w:eastAsia="Calibri"/>
        </w:rPr>
        <w:tab/>
        <w:t>Temperature control shall be provided in order to allow newborn pigs to maintain normal body temperature.</w:t>
      </w:r>
    </w:p>
    <w:p w14:paraId="37470413" w14:textId="77777777" w:rsidR="005A46E7" w:rsidRPr="00BD0035" w:rsidRDefault="005A46E7" w:rsidP="005A46E7">
      <w:pPr>
        <w:pStyle w:val="A"/>
        <w:rPr>
          <w:rFonts w:eastAsia="Calibri"/>
        </w:rPr>
      </w:pPr>
      <w:r w:rsidRPr="00BD0035">
        <w:rPr>
          <w:rFonts w:eastAsia="Calibri"/>
        </w:rPr>
        <w:t>E.</w:t>
      </w:r>
      <w:r w:rsidRPr="00BD0035">
        <w:rPr>
          <w:rFonts w:eastAsia="Calibri"/>
        </w:rPr>
        <w:tab/>
        <w:t>Specific Recommendations on All Aspects of Swine Production</w:t>
      </w:r>
    </w:p>
    <w:p w14:paraId="3A74308F" w14:textId="77777777" w:rsidR="005A46E7" w:rsidRPr="00BD0035" w:rsidRDefault="005A46E7" w:rsidP="005A46E7">
      <w:pPr>
        <w:pStyle w:val="1"/>
        <w:rPr>
          <w:rFonts w:eastAsia="Calibri"/>
        </w:rPr>
      </w:pPr>
      <w:r w:rsidRPr="00BD0035">
        <w:rPr>
          <w:rFonts w:eastAsia="Calibri"/>
        </w:rPr>
        <w:t>1.</w:t>
      </w:r>
      <w:r w:rsidRPr="00BD0035">
        <w:rPr>
          <w:rFonts w:eastAsia="Calibri"/>
        </w:rPr>
        <w:tab/>
        <w:t xml:space="preserve">Producers shall consult the current </w:t>
      </w:r>
      <w:r w:rsidRPr="00BD0035">
        <w:rPr>
          <w:rFonts w:eastAsia="Calibri"/>
          <w:i/>
        </w:rPr>
        <w:t xml:space="preserve">Swine Care Handbook </w:t>
      </w:r>
      <w:r w:rsidRPr="00BD0035">
        <w:rPr>
          <w:rFonts w:eastAsia="Calibri"/>
        </w:rPr>
        <w:t>published by the National Pork Board.</w:t>
      </w:r>
    </w:p>
    <w:p w14:paraId="1677A7C2" w14:textId="77777777" w:rsidR="005A46E7" w:rsidRPr="00A1145E" w:rsidRDefault="005A46E7" w:rsidP="005A46E7">
      <w:pPr>
        <w:pStyle w:val="AuthorityNote"/>
        <w:rPr>
          <w:rFonts w:eastAsia="Calibri"/>
        </w:rPr>
      </w:pPr>
      <w:r w:rsidRPr="00BD0035">
        <w:rPr>
          <w:rFonts w:eastAsia="Calibri"/>
        </w:rPr>
        <w:t>AUTHORITY NOTE:</w:t>
      </w:r>
      <w:r w:rsidRPr="00BD0035">
        <w:rPr>
          <w:rFonts w:eastAsia="Calibri"/>
        </w:rPr>
        <w:tab/>
        <w:t>Promulgated in accordance with R.S. 3:2095.1.</w:t>
      </w:r>
    </w:p>
    <w:p w14:paraId="076B6DBC" w14:textId="77777777"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3242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40:989 (May 2014).</w:t>
      </w:r>
    </w:p>
    <w:p w14:paraId="3F5D77E0" w14:textId="77777777" w:rsidR="005A46E7" w:rsidRPr="00A1145E" w:rsidRDefault="005A46E7" w:rsidP="005A46E7">
      <w:pPr>
        <w:pStyle w:val="Section"/>
        <w:rPr>
          <w:rFonts w:eastAsia="Calibri"/>
        </w:rPr>
      </w:pPr>
      <w:bookmarkStart w:id="2339" w:name="_Toc375025609"/>
      <w:bookmarkStart w:id="2340" w:name="_Toc224819192"/>
      <w:r>
        <w:rPr>
          <w:rFonts w:eastAsia="Calibri"/>
        </w:rPr>
        <w:t>§2113.</w:t>
      </w:r>
      <w:r>
        <w:rPr>
          <w:rFonts w:eastAsia="Calibri"/>
        </w:rPr>
        <w:tab/>
      </w:r>
      <w:r w:rsidRPr="00A1145E">
        <w:rPr>
          <w:rFonts w:eastAsia="Calibri"/>
        </w:rPr>
        <w:t>Ovine and Caprine (Small Ruminants)</w:t>
      </w:r>
      <w:bookmarkEnd w:id="2339"/>
      <w:r>
        <w:rPr>
          <w:rFonts w:eastAsia="Calibri"/>
        </w:rPr>
        <w:br/>
        <w:t>(</w:t>
      </w:r>
      <w:r w:rsidRPr="00A1145E">
        <w:rPr>
          <w:rFonts w:eastAsia="Calibri"/>
        </w:rPr>
        <w:t>Formerly §3111</w:t>
      </w:r>
      <w:r>
        <w:rPr>
          <w:rFonts w:eastAsia="Calibri"/>
        </w:rPr>
        <w:t>)</w:t>
      </w:r>
      <w:bookmarkEnd w:id="2340"/>
    </w:p>
    <w:p w14:paraId="7FCC9726" w14:textId="77777777" w:rsidR="005A46E7" w:rsidRPr="00A1145E" w:rsidRDefault="005A46E7" w:rsidP="005A46E7">
      <w:pPr>
        <w:pStyle w:val="A"/>
        <w:rPr>
          <w:rFonts w:eastAsia="Calibri"/>
        </w:rPr>
      </w:pPr>
      <w:r w:rsidRPr="00A1145E">
        <w:rPr>
          <w:rFonts w:eastAsia="Calibri"/>
        </w:rPr>
        <w:t>A.</w:t>
      </w:r>
      <w:r w:rsidRPr="00A1145E">
        <w:rPr>
          <w:rFonts w:eastAsia="Calibri"/>
        </w:rPr>
        <w:tab/>
        <w:t>Housing</w:t>
      </w:r>
    </w:p>
    <w:p w14:paraId="66CF97A5"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Shelter shall be readily available to small ruminants so as to minimize the compromise to their health from heat or adverse weather. </w:t>
      </w:r>
    </w:p>
    <w:p w14:paraId="44F9851C" w14:textId="77777777" w:rsidR="005A46E7" w:rsidRPr="00A1145E" w:rsidRDefault="005A46E7" w:rsidP="005A46E7">
      <w:pPr>
        <w:pStyle w:val="A"/>
        <w:rPr>
          <w:rFonts w:eastAsia="Calibri"/>
        </w:rPr>
      </w:pPr>
      <w:r w:rsidRPr="00A1145E">
        <w:rPr>
          <w:rFonts w:eastAsia="Calibri"/>
        </w:rPr>
        <w:t>B.</w:t>
      </w:r>
      <w:r w:rsidRPr="00A1145E">
        <w:rPr>
          <w:rFonts w:eastAsia="Calibri"/>
        </w:rPr>
        <w:tab/>
        <w:t>Health and Veterinary Care</w:t>
      </w:r>
    </w:p>
    <w:p w14:paraId="337459CA" w14:textId="77777777" w:rsidR="005A46E7" w:rsidRPr="00A1145E" w:rsidRDefault="005A46E7" w:rsidP="005A46E7">
      <w:pPr>
        <w:pStyle w:val="1"/>
        <w:rPr>
          <w:rFonts w:eastAsia="Calibri"/>
        </w:rPr>
      </w:pPr>
      <w:r w:rsidRPr="00A1145E">
        <w:rPr>
          <w:rFonts w:eastAsia="Calibri"/>
        </w:rPr>
        <w:t>1.</w:t>
      </w:r>
      <w:r w:rsidRPr="00A1145E">
        <w:rPr>
          <w:rFonts w:eastAsia="Calibri"/>
        </w:rPr>
        <w:tab/>
        <w:t xml:space="preserve">Management procedures shall be in place to minimize the distress or disease caused by </w:t>
      </w:r>
      <w:r w:rsidRPr="00A1145E">
        <w:rPr>
          <w:rFonts w:eastAsia="Calibri"/>
          <w:i/>
        </w:rPr>
        <w:t>Haemonchus contortus</w:t>
      </w:r>
      <w:r w:rsidRPr="00A1145E">
        <w:rPr>
          <w:rFonts w:eastAsia="Calibri"/>
        </w:rPr>
        <w:t>.</w:t>
      </w:r>
    </w:p>
    <w:p w14:paraId="11A57353" w14:textId="77777777" w:rsidR="005A46E7" w:rsidRPr="00A1145E" w:rsidRDefault="005A46E7" w:rsidP="005A46E7">
      <w:pPr>
        <w:pStyle w:val="1"/>
        <w:rPr>
          <w:rFonts w:eastAsia="Calibri"/>
        </w:rPr>
      </w:pPr>
      <w:r w:rsidRPr="00A1145E">
        <w:rPr>
          <w:rFonts w:eastAsia="Calibri"/>
        </w:rPr>
        <w:t>2.</w:t>
      </w:r>
      <w:r w:rsidRPr="00A1145E">
        <w:rPr>
          <w:rFonts w:eastAsia="Calibri"/>
        </w:rPr>
        <w:tab/>
        <w:t>Management procedures shall be in place to minimize fly strike.</w:t>
      </w:r>
    </w:p>
    <w:p w14:paraId="134601EF" w14:textId="77777777" w:rsidR="005A46E7" w:rsidRPr="00A1145E" w:rsidRDefault="005A46E7" w:rsidP="005A46E7">
      <w:pPr>
        <w:pStyle w:val="1"/>
        <w:rPr>
          <w:rFonts w:eastAsia="Calibri"/>
        </w:rPr>
      </w:pPr>
      <w:r w:rsidRPr="00A1145E">
        <w:rPr>
          <w:rFonts w:eastAsia="Calibri"/>
        </w:rPr>
        <w:t>3.</w:t>
      </w:r>
      <w:r w:rsidRPr="00A1145E">
        <w:rPr>
          <w:rFonts w:eastAsia="Calibri"/>
        </w:rPr>
        <w:tab/>
        <w:t>Small ruminants with a body condition score of or less than three shall receive prompt care and/or treatment by or on the advice of a licensed veterinarian to improve their body condition.</w:t>
      </w:r>
    </w:p>
    <w:p w14:paraId="7FC4EBF0" w14:textId="77777777" w:rsidR="005A46E7" w:rsidRPr="00A1145E" w:rsidRDefault="005A46E7" w:rsidP="005A46E7">
      <w:pPr>
        <w:pStyle w:val="A"/>
        <w:rPr>
          <w:rFonts w:eastAsia="Calibri"/>
        </w:rPr>
      </w:pPr>
      <w:r w:rsidRPr="00A1145E">
        <w:rPr>
          <w:rFonts w:eastAsia="Calibri"/>
        </w:rPr>
        <w:t>C.</w:t>
      </w:r>
      <w:r w:rsidRPr="00A1145E">
        <w:rPr>
          <w:rFonts w:eastAsia="Calibri"/>
        </w:rPr>
        <w:tab/>
        <w:t>Parturition and Lamb/Kid Management</w:t>
      </w:r>
    </w:p>
    <w:p w14:paraId="409C4648" w14:textId="77777777" w:rsidR="005A46E7" w:rsidRPr="00A1145E" w:rsidRDefault="005A46E7" w:rsidP="005A46E7">
      <w:pPr>
        <w:pStyle w:val="1"/>
        <w:rPr>
          <w:rFonts w:eastAsia="Calibri"/>
        </w:rPr>
      </w:pPr>
      <w:r w:rsidRPr="00A1145E">
        <w:rPr>
          <w:rFonts w:eastAsia="Calibri"/>
        </w:rPr>
        <w:t>1.</w:t>
      </w:r>
      <w:r w:rsidRPr="00A1145E">
        <w:rPr>
          <w:rFonts w:eastAsia="Calibri"/>
        </w:rPr>
        <w:tab/>
        <w:t>All lambs or kids shall receive adequate nutrition from a lactating ewe or doe or shall be provided adequate nutrition by hand rearing if rejected, or have other remedial action taken.</w:t>
      </w:r>
    </w:p>
    <w:p w14:paraId="464107CE" w14:textId="77777777" w:rsidR="005A46E7" w:rsidRPr="00A1145E" w:rsidRDefault="005A46E7" w:rsidP="005A46E7">
      <w:pPr>
        <w:pStyle w:val="A"/>
        <w:rPr>
          <w:rFonts w:eastAsia="Calibri"/>
        </w:rPr>
      </w:pPr>
      <w:r w:rsidRPr="00A1145E">
        <w:rPr>
          <w:rFonts w:eastAsia="Calibri"/>
        </w:rPr>
        <w:t>D.</w:t>
      </w:r>
      <w:r w:rsidRPr="00A1145E">
        <w:rPr>
          <w:rFonts w:eastAsia="Calibri"/>
        </w:rPr>
        <w:tab/>
        <w:t>Shearing</w:t>
      </w:r>
    </w:p>
    <w:p w14:paraId="47D546E6" w14:textId="77777777" w:rsidR="005A46E7" w:rsidRPr="00A1145E" w:rsidRDefault="005A46E7" w:rsidP="005A46E7">
      <w:pPr>
        <w:pStyle w:val="1"/>
        <w:rPr>
          <w:rFonts w:eastAsia="Calibri"/>
        </w:rPr>
      </w:pPr>
      <w:r w:rsidRPr="00A1145E">
        <w:rPr>
          <w:rFonts w:eastAsia="Calibri"/>
        </w:rPr>
        <w:t>1.</w:t>
      </w:r>
      <w:r w:rsidRPr="00A1145E">
        <w:rPr>
          <w:rFonts w:eastAsia="Calibri"/>
        </w:rPr>
        <w:tab/>
        <w:t>Shearing shall be performed carefully so as to minimize distress and injury to the small ruminant.</w:t>
      </w:r>
    </w:p>
    <w:p w14:paraId="5C0DAFF5" w14:textId="77777777" w:rsidR="005A46E7" w:rsidRPr="00A1145E" w:rsidRDefault="005A46E7" w:rsidP="005A46E7">
      <w:pPr>
        <w:pStyle w:val="A"/>
        <w:rPr>
          <w:rFonts w:eastAsia="Calibri"/>
        </w:rPr>
      </w:pPr>
      <w:r w:rsidRPr="00A1145E">
        <w:rPr>
          <w:rFonts w:eastAsia="Calibri"/>
        </w:rPr>
        <w:t>E.</w:t>
      </w:r>
      <w:r w:rsidRPr="00A1145E">
        <w:rPr>
          <w:rFonts w:eastAsia="Calibri"/>
        </w:rPr>
        <w:tab/>
        <w:t>Animal Husbandry Procedures</w:t>
      </w:r>
    </w:p>
    <w:p w14:paraId="14243202" w14:textId="77777777" w:rsidR="005A46E7" w:rsidRPr="00A1145E" w:rsidRDefault="005A46E7" w:rsidP="005A46E7">
      <w:pPr>
        <w:pStyle w:val="1"/>
        <w:rPr>
          <w:rFonts w:eastAsia="Calibri"/>
        </w:rPr>
      </w:pPr>
      <w:r w:rsidRPr="00A1145E">
        <w:rPr>
          <w:rFonts w:eastAsia="Calibri"/>
        </w:rPr>
        <w:t>1.</w:t>
      </w:r>
      <w:r w:rsidRPr="00A1145E">
        <w:rPr>
          <w:rFonts w:eastAsia="Calibri"/>
        </w:rPr>
        <w:tab/>
        <w:t>Animal husbandry procedures include, but are not limited to:</w:t>
      </w:r>
    </w:p>
    <w:p w14:paraId="4B9F2EB3" w14:textId="77777777" w:rsidR="005A46E7" w:rsidRPr="00A1145E" w:rsidRDefault="005A46E7" w:rsidP="005A46E7">
      <w:pPr>
        <w:pStyle w:val="a0"/>
        <w:rPr>
          <w:rFonts w:eastAsia="Calibri"/>
        </w:rPr>
      </w:pPr>
      <w:r w:rsidRPr="00A1145E">
        <w:rPr>
          <w:rFonts w:eastAsia="Calibri"/>
        </w:rPr>
        <w:t>a.</w:t>
      </w:r>
      <w:r w:rsidRPr="00A1145E">
        <w:rPr>
          <w:rFonts w:eastAsia="Calibri"/>
        </w:rPr>
        <w:tab/>
        <w:t>castration;</w:t>
      </w:r>
    </w:p>
    <w:p w14:paraId="34CF56CE" w14:textId="77777777" w:rsidR="005A46E7" w:rsidRPr="00A1145E" w:rsidRDefault="005A46E7" w:rsidP="005A46E7">
      <w:pPr>
        <w:pStyle w:val="a0"/>
        <w:rPr>
          <w:rFonts w:eastAsia="Calibri"/>
        </w:rPr>
      </w:pPr>
      <w:r w:rsidRPr="00A1145E">
        <w:rPr>
          <w:rFonts w:eastAsia="Calibri"/>
        </w:rPr>
        <w:t>b.</w:t>
      </w:r>
      <w:r w:rsidRPr="00A1145E">
        <w:rPr>
          <w:rFonts w:eastAsia="Calibri"/>
        </w:rPr>
        <w:tab/>
        <w:t>disbudding;</w:t>
      </w:r>
    </w:p>
    <w:p w14:paraId="1141E525" w14:textId="77777777" w:rsidR="005A46E7" w:rsidRPr="00A1145E" w:rsidRDefault="005A46E7" w:rsidP="005A46E7">
      <w:pPr>
        <w:pStyle w:val="a0"/>
        <w:rPr>
          <w:rFonts w:eastAsia="Calibri"/>
        </w:rPr>
      </w:pPr>
      <w:r w:rsidRPr="00A1145E">
        <w:rPr>
          <w:rFonts w:eastAsia="Calibri"/>
        </w:rPr>
        <w:t>c.</w:t>
      </w:r>
      <w:r w:rsidRPr="00A1145E">
        <w:rPr>
          <w:rFonts w:eastAsia="Calibri"/>
        </w:rPr>
        <w:tab/>
        <w:t>dehorning;</w:t>
      </w:r>
    </w:p>
    <w:p w14:paraId="28007AC9" w14:textId="77777777" w:rsidR="005A46E7" w:rsidRPr="00A1145E" w:rsidRDefault="005A46E7" w:rsidP="005A46E7">
      <w:pPr>
        <w:pStyle w:val="a0"/>
        <w:rPr>
          <w:rFonts w:eastAsia="Calibri"/>
        </w:rPr>
      </w:pPr>
      <w:r w:rsidRPr="00A1145E">
        <w:rPr>
          <w:rFonts w:eastAsia="Calibri"/>
        </w:rPr>
        <w:t>d.</w:t>
      </w:r>
      <w:r w:rsidRPr="00A1145E">
        <w:rPr>
          <w:rFonts w:eastAsia="Calibri"/>
        </w:rPr>
        <w:tab/>
        <w:t>foot trimming;</w:t>
      </w:r>
    </w:p>
    <w:p w14:paraId="3573294B" w14:textId="77777777" w:rsidR="005A46E7" w:rsidRPr="00A1145E" w:rsidRDefault="005A46E7" w:rsidP="005A46E7">
      <w:pPr>
        <w:pStyle w:val="a0"/>
        <w:rPr>
          <w:rFonts w:eastAsia="Calibri"/>
        </w:rPr>
      </w:pPr>
      <w:r w:rsidRPr="00A1145E">
        <w:rPr>
          <w:rFonts w:eastAsia="Calibri"/>
        </w:rPr>
        <w:t>e.</w:t>
      </w:r>
      <w:r w:rsidRPr="00A1145E">
        <w:rPr>
          <w:rFonts w:eastAsia="Calibri"/>
        </w:rPr>
        <w:tab/>
        <w:t>injections;</w:t>
      </w:r>
    </w:p>
    <w:p w14:paraId="1E03E589" w14:textId="77777777" w:rsidR="005A46E7" w:rsidRPr="00A1145E" w:rsidRDefault="005A46E7" w:rsidP="005A46E7">
      <w:pPr>
        <w:pStyle w:val="a0"/>
        <w:rPr>
          <w:rFonts w:eastAsia="Calibri"/>
        </w:rPr>
      </w:pPr>
      <w:r w:rsidRPr="00A1145E">
        <w:rPr>
          <w:rFonts w:eastAsia="Calibri"/>
        </w:rPr>
        <w:t>f.</w:t>
      </w:r>
      <w:r w:rsidRPr="00A1145E">
        <w:rPr>
          <w:rFonts w:eastAsia="Calibri"/>
        </w:rPr>
        <w:tab/>
        <w:t>drenching;</w:t>
      </w:r>
    </w:p>
    <w:p w14:paraId="16897098" w14:textId="77777777" w:rsidR="005A46E7" w:rsidRPr="00A1145E" w:rsidRDefault="005A46E7" w:rsidP="005A46E7">
      <w:pPr>
        <w:pStyle w:val="a0"/>
        <w:rPr>
          <w:rFonts w:eastAsia="Calibri"/>
        </w:rPr>
      </w:pPr>
      <w:r w:rsidRPr="00A1145E">
        <w:rPr>
          <w:rFonts w:eastAsia="Calibri"/>
        </w:rPr>
        <w:lastRenderedPageBreak/>
        <w:t>g.</w:t>
      </w:r>
      <w:r w:rsidRPr="00A1145E">
        <w:rPr>
          <w:rFonts w:eastAsia="Calibri"/>
        </w:rPr>
        <w:tab/>
        <w:t>shearing;</w:t>
      </w:r>
    </w:p>
    <w:p w14:paraId="31B1370F" w14:textId="77777777" w:rsidR="005A46E7" w:rsidRPr="00A1145E" w:rsidRDefault="005A46E7" w:rsidP="005A46E7">
      <w:pPr>
        <w:pStyle w:val="a0"/>
        <w:rPr>
          <w:rFonts w:eastAsia="Calibri"/>
        </w:rPr>
      </w:pPr>
      <w:r w:rsidRPr="00A1145E">
        <w:rPr>
          <w:rFonts w:eastAsia="Calibri"/>
        </w:rPr>
        <w:t>h.</w:t>
      </w:r>
      <w:r w:rsidRPr="00A1145E">
        <w:rPr>
          <w:rFonts w:eastAsia="Calibri"/>
        </w:rPr>
        <w:tab/>
        <w:t>tail docking of wool sheep;</w:t>
      </w:r>
    </w:p>
    <w:p w14:paraId="769A0AFE" w14:textId="77777777" w:rsidR="005A46E7" w:rsidRPr="00A1145E" w:rsidRDefault="005A46E7" w:rsidP="005A46E7">
      <w:pPr>
        <w:pStyle w:val="a0"/>
        <w:rPr>
          <w:rFonts w:eastAsia="Calibri"/>
        </w:rPr>
      </w:pPr>
      <w:r w:rsidRPr="00A1145E">
        <w:rPr>
          <w:rFonts w:eastAsia="Calibri"/>
        </w:rPr>
        <w:t>i.</w:t>
      </w:r>
      <w:r w:rsidRPr="00A1145E">
        <w:rPr>
          <w:rFonts w:eastAsia="Calibri"/>
        </w:rPr>
        <w:tab/>
        <w:t>tattooing; and</w:t>
      </w:r>
    </w:p>
    <w:p w14:paraId="0EA4BC98" w14:textId="77777777" w:rsidR="005A46E7" w:rsidRPr="00A1145E" w:rsidRDefault="005A46E7" w:rsidP="005A46E7">
      <w:pPr>
        <w:pStyle w:val="a0"/>
        <w:rPr>
          <w:rFonts w:eastAsia="Calibri"/>
        </w:rPr>
      </w:pPr>
      <w:r w:rsidRPr="00A1145E">
        <w:rPr>
          <w:rFonts w:eastAsia="Calibri"/>
        </w:rPr>
        <w:t>j.</w:t>
      </w:r>
      <w:r w:rsidRPr="00A1145E">
        <w:rPr>
          <w:rFonts w:eastAsia="Calibri"/>
        </w:rPr>
        <w:tab/>
        <w:t>ear tagging.</w:t>
      </w:r>
    </w:p>
    <w:p w14:paraId="60E3D2AE" w14:textId="77777777" w:rsidR="005A46E7" w:rsidRPr="00A1145E" w:rsidRDefault="005A46E7" w:rsidP="005A46E7">
      <w:pPr>
        <w:pStyle w:val="A"/>
        <w:rPr>
          <w:rFonts w:eastAsia="Calibri"/>
        </w:rPr>
      </w:pPr>
      <w:r w:rsidRPr="00A1145E">
        <w:rPr>
          <w:rFonts w:eastAsia="Calibri"/>
        </w:rPr>
        <w:t>F.</w:t>
      </w:r>
      <w:r w:rsidRPr="00A1145E">
        <w:rPr>
          <w:rFonts w:eastAsia="Calibri"/>
        </w:rPr>
        <w:tab/>
        <w:t>Selection for Transport</w:t>
      </w:r>
    </w:p>
    <w:p w14:paraId="1F1657A5" w14:textId="77777777" w:rsidR="005A46E7" w:rsidRPr="00A1145E" w:rsidRDefault="005A46E7" w:rsidP="005A46E7">
      <w:pPr>
        <w:pStyle w:val="1"/>
        <w:rPr>
          <w:rFonts w:eastAsia="Calibri"/>
        </w:rPr>
      </w:pPr>
      <w:r w:rsidRPr="00A1145E">
        <w:rPr>
          <w:rFonts w:eastAsia="Calibri"/>
        </w:rPr>
        <w:t>1.</w:t>
      </w:r>
      <w:r w:rsidRPr="00A1145E">
        <w:rPr>
          <w:rFonts w:eastAsia="Calibri"/>
        </w:rPr>
        <w:tab/>
        <w:t>The following small ruminants are not fit for transport:</w:t>
      </w:r>
    </w:p>
    <w:p w14:paraId="372D2723" w14:textId="77777777" w:rsidR="005A46E7" w:rsidRPr="00A1145E" w:rsidRDefault="005A46E7" w:rsidP="005A46E7">
      <w:pPr>
        <w:pStyle w:val="a0"/>
        <w:rPr>
          <w:rFonts w:eastAsia="Calibri"/>
        </w:rPr>
      </w:pPr>
      <w:r w:rsidRPr="00A1145E">
        <w:rPr>
          <w:rFonts w:eastAsia="Calibri"/>
        </w:rPr>
        <w:t>a.</w:t>
      </w:r>
      <w:r w:rsidRPr="00A1145E">
        <w:rPr>
          <w:rFonts w:eastAsia="Calibri"/>
        </w:rPr>
        <w:tab/>
        <w:t>those unable to bear weight, unless transported for veterinary care.</w:t>
      </w:r>
    </w:p>
    <w:p w14:paraId="5A434D85"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6301BF0E" w14:textId="77777777"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3243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14:paraId="550B70D3" w14:textId="77777777" w:rsidR="005A46E7" w:rsidRPr="00A1145E" w:rsidRDefault="005A46E7" w:rsidP="005A46E7">
      <w:pPr>
        <w:pStyle w:val="Section"/>
      </w:pPr>
      <w:bookmarkStart w:id="2341" w:name="_Toc375025611"/>
      <w:bookmarkStart w:id="2342" w:name="_Toc224819193"/>
      <w:r>
        <w:rPr>
          <w:rFonts w:eastAsia="Calibri"/>
        </w:rPr>
        <w:t>§2115.</w:t>
      </w:r>
      <w:r>
        <w:rPr>
          <w:rFonts w:eastAsia="Calibri"/>
        </w:rPr>
        <w:tab/>
      </w:r>
      <w:r w:rsidRPr="00A1145E">
        <w:rPr>
          <w:rFonts w:eastAsia="Calibri"/>
        </w:rPr>
        <w:t>Emergency Standards</w:t>
      </w:r>
      <w:bookmarkEnd w:id="2341"/>
      <w:r>
        <w:rPr>
          <w:rFonts w:eastAsia="Calibri"/>
        </w:rPr>
        <w:br/>
      </w:r>
      <w:r>
        <w:t>(</w:t>
      </w:r>
      <w:r w:rsidRPr="00A1145E">
        <w:t>Formerly §3115</w:t>
      </w:r>
      <w:r>
        <w:t>)</w:t>
      </w:r>
      <w:bookmarkEnd w:id="2342"/>
    </w:p>
    <w:p w14:paraId="32F42858" w14:textId="77777777" w:rsidR="005A46E7" w:rsidRPr="00A1145E" w:rsidRDefault="005A46E7" w:rsidP="005A46E7">
      <w:pPr>
        <w:pStyle w:val="A"/>
        <w:rPr>
          <w:rFonts w:eastAsia="Calibri"/>
        </w:rPr>
      </w:pPr>
      <w:r w:rsidRPr="00A1145E">
        <w:rPr>
          <w:rFonts w:eastAsia="Calibri"/>
        </w:rPr>
        <w:t>A.</w:t>
      </w:r>
      <w:r w:rsidRPr="00A1145E">
        <w:rPr>
          <w:rFonts w:eastAsia="Calibri"/>
        </w:rPr>
        <w:tab/>
        <w:t>Standards for management and destruction of animals during an emergency may be extended during a declared disaster or animal disease event. In such cases mass euthanasia may be necessary.</w:t>
      </w:r>
    </w:p>
    <w:p w14:paraId="5BBC7BB4" w14:textId="77777777" w:rsidR="005A46E7" w:rsidRPr="00A1145E" w:rsidRDefault="005A46E7" w:rsidP="005A46E7">
      <w:pPr>
        <w:pStyle w:val="1"/>
        <w:rPr>
          <w:rFonts w:eastAsia="Calibri"/>
        </w:rPr>
      </w:pPr>
      <w:r w:rsidRPr="00A1145E">
        <w:rPr>
          <w:rFonts w:eastAsia="Calibri"/>
        </w:rPr>
        <w:t>1.</w:t>
      </w:r>
      <w:r w:rsidRPr="00A1145E">
        <w:rPr>
          <w:rFonts w:eastAsia="Calibri"/>
        </w:rPr>
        <w:tab/>
        <w:t>Mass euthanasia shall be used for unusual conditions which require depopulation, such as wide-spread disease eradication and exigent circumstance resulting from natural disasters; the state veterinarian may authorize alternate methods if necessary.</w:t>
      </w:r>
    </w:p>
    <w:p w14:paraId="68E28A05"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55D5D5A8" w14:textId="77777777" w:rsidR="005A46E7" w:rsidRPr="00A1145E" w:rsidRDefault="005A46E7" w:rsidP="005A46E7">
      <w:pPr>
        <w:pStyle w:val="HistoricalNote"/>
      </w:pPr>
      <w:r w:rsidRPr="00A1145E">
        <w:t>HISTORICAL NOTE:</w:t>
      </w:r>
      <w:r w:rsidRPr="00A1145E">
        <w:tab/>
      </w:r>
      <w:r w:rsidR="00451726" w:rsidRPr="00A8409F">
        <w:t>Promulgated by the Department of Agriculture and Forestry, Office of Animal Health and Food Safety, Board of Animal Health, LR 39:</w:t>
      </w:r>
      <w:r w:rsidR="00451726">
        <w:t>3245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14:paraId="077260D5" w14:textId="77777777" w:rsidR="005A46E7" w:rsidRPr="00A1145E" w:rsidRDefault="005A46E7" w:rsidP="005A46E7">
      <w:pPr>
        <w:pStyle w:val="Section"/>
      </w:pPr>
      <w:bookmarkStart w:id="2343" w:name="_Toc375025612"/>
      <w:bookmarkStart w:id="2344" w:name="_Toc224819194"/>
      <w:r>
        <w:rPr>
          <w:rFonts w:eastAsia="Calibri"/>
        </w:rPr>
        <w:t>§2117.</w:t>
      </w:r>
      <w:r>
        <w:rPr>
          <w:rFonts w:eastAsia="Calibri"/>
        </w:rPr>
        <w:tab/>
      </w:r>
      <w:r w:rsidRPr="00A1145E">
        <w:rPr>
          <w:rFonts w:eastAsia="Calibri"/>
        </w:rPr>
        <w:t>Accepted Methods for Mass Euthanasia</w:t>
      </w:r>
      <w:bookmarkEnd w:id="2343"/>
      <w:r>
        <w:rPr>
          <w:rFonts w:eastAsia="Calibri"/>
        </w:rPr>
        <w:br/>
      </w:r>
      <w:r>
        <w:t>(</w:t>
      </w:r>
      <w:r w:rsidRPr="00A1145E">
        <w:t>Formerly §3117</w:t>
      </w:r>
      <w:r>
        <w:t>)</w:t>
      </w:r>
      <w:bookmarkEnd w:id="2344"/>
    </w:p>
    <w:p w14:paraId="49F973D7" w14:textId="77777777" w:rsidR="005A46E7" w:rsidRPr="00A1145E" w:rsidRDefault="005A46E7" w:rsidP="005A46E7">
      <w:pPr>
        <w:pStyle w:val="A"/>
        <w:rPr>
          <w:rFonts w:eastAsia="Calibri"/>
        </w:rPr>
      </w:pPr>
      <w:r w:rsidRPr="00A1145E">
        <w:rPr>
          <w:rFonts w:eastAsia="Calibri"/>
        </w:rPr>
        <w:t>A.</w:t>
      </w:r>
      <w:r w:rsidRPr="00A1145E">
        <w:rPr>
          <w:rFonts w:eastAsia="Calibri"/>
        </w:rPr>
        <w:tab/>
        <w:t>Inhalant Agents</w:t>
      </w:r>
    </w:p>
    <w:p w14:paraId="01DDDC3F" w14:textId="77777777" w:rsidR="005A46E7" w:rsidRPr="00A1145E" w:rsidRDefault="005A46E7" w:rsidP="005A46E7">
      <w:pPr>
        <w:pStyle w:val="1"/>
        <w:rPr>
          <w:rFonts w:eastAsia="Calibri"/>
        </w:rPr>
      </w:pPr>
      <w:r w:rsidRPr="00A1145E">
        <w:rPr>
          <w:rFonts w:eastAsia="Calibri"/>
        </w:rPr>
        <w:t>1.</w:t>
      </w:r>
      <w:r w:rsidRPr="00A1145E">
        <w:rPr>
          <w:rFonts w:eastAsia="Calibri"/>
        </w:rPr>
        <w:tab/>
        <w:t>Carbon Dioxide (CO</w:t>
      </w:r>
      <w:r w:rsidRPr="00A1145E">
        <w:rPr>
          <w:rFonts w:eastAsia="Calibri"/>
          <w:vertAlign w:val="subscript"/>
        </w:rPr>
        <w:t>2</w:t>
      </w:r>
      <w:r w:rsidRPr="00A1145E">
        <w:rPr>
          <w:rFonts w:eastAsia="Calibri"/>
        </w:rPr>
        <w:t>)</w:t>
      </w:r>
    </w:p>
    <w:p w14:paraId="375707E5" w14:textId="77777777" w:rsidR="005A46E7" w:rsidRPr="00A1145E" w:rsidRDefault="005A46E7" w:rsidP="005A46E7">
      <w:pPr>
        <w:pStyle w:val="a0"/>
        <w:rPr>
          <w:rFonts w:eastAsia="Calibri"/>
        </w:rPr>
      </w:pPr>
      <w:r w:rsidRPr="00A1145E">
        <w:rPr>
          <w:rFonts w:eastAsia="Calibri"/>
        </w:rPr>
        <w:t>a.</w:t>
      </w:r>
      <w:r w:rsidRPr="00A1145E">
        <w:rPr>
          <w:rFonts w:eastAsia="Calibri"/>
        </w:rPr>
        <w:tab/>
        <w:t>Compressed CO</w:t>
      </w:r>
      <w:r w:rsidRPr="00A1145E">
        <w:rPr>
          <w:rFonts w:eastAsia="Calibri"/>
          <w:vertAlign w:val="subscript"/>
        </w:rPr>
        <w:t>2</w:t>
      </w:r>
      <w:r w:rsidRPr="00A1145E">
        <w:rPr>
          <w:rFonts w:eastAsia="Calibri"/>
        </w:rPr>
        <w:t xml:space="preserve"> gas in cylinders shall be the only allowed source of carbon dioxide. </w:t>
      </w:r>
    </w:p>
    <w:p w14:paraId="20D6C013" w14:textId="77777777" w:rsidR="005A46E7" w:rsidRPr="00A1145E" w:rsidRDefault="005A46E7" w:rsidP="005A46E7">
      <w:pPr>
        <w:pStyle w:val="a0"/>
        <w:rPr>
          <w:rFonts w:eastAsia="Calibri"/>
        </w:rPr>
      </w:pPr>
      <w:r w:rsidRPr="00A1145E">
        <w:rPr>
          <w:rFonts w:eastAsia="Calibri"/>
        </w:rPr>
        <w:t>b.</w:t>
      </w:r>
      <w:r w:rsidRPr="00A1145E">
        <w:rPr>
          <w:rFonts w:eastAsia="Calibri"/>
        </w:rPr>
        <w:tab/>
        <w:t xml:space="preserve">Gas concentration shall be maintained for at least one minute after death. </w:t>
      </w:r>
    </w:p>
    <w:p w14:paraId="69936840" w14:textId="77777777" w:rsidR="005A46E7" w:rsidRPr="00A1145E" w:rsidRDefault="005A46E7" w:rsidP="005A46E7">
      <w:pPr>
        <w:pStyle w:val="a0"/>
        <w:rPr>
          <w:rFonts w:eastAsia="Calibri"/>
        </w:rPr>
      </w:pPr>
      <w:r w:rsidRPr="00A1145E">
        <w:rPr>
          <w:rFonts w:eastAsia="Calibri"/>
        </w:rPr>
        <w:t>c.</w:t>
      </w:r>
      <w:r w:rsidRPr="00A1145E">
        <w:rPr>
          <w:rFonts w:eastAsia="Calibri"/>
        </w:rPr>
        <w:tab/>
        <w:t>CO</w:t>
      </w:r>
      <w:r w:rsidRPr="00A1145E">
        <w:rPr>
          <w:rFonts w:eastAsia="Calibri"/>
          <w:vertAlign w:val="subscript"/>
        </w:rPr>
        <w:t>2</w:t>
      </w:r>
      <w:r w:rsidRPr="00A1145E">
        <w:rPr>
          <w:rFonts w:eastAsia="Calibri"/>
        </w:rPr>
        <w:t xml:space="preserve"> shall be the only chemical to be used for euthanasia of animals intended for human or animal consumption.</w:t>
      </w:r>
    </w:p>
    <w:p w14:paraId="571346CD" w14:textId="77777777" w:rsidR="005A46E7" w:rsidRPr="00A1145E" w:rsidRDefault="005A46E7" w:rsidP="005A46E7">
      <w:pPr>
        <w:pStyle w:val="A"/>
        <w:rPr>
          <w:rFonts w:eastAsia="Calibri"/>
        </w:rPr>
      </w:pPr>
      <w:r w:rsidRPr="00A1145E">
        <w:rPr>
          <w:rFonts w:eastAsia="Calibri"/>
        </w:rPr>
        <w:t>B.</w:t>
      </w:r>
      <w:r w:rsidRPr="00A1145E">
        <w:rPr>
          <w:rFonts w:eastAsia="Calibri"/>
        </w:rPr>
        <w:tab/>
        <w:t>Injectable Euthanasia Agents</w:t>
      </w:r>
    </w:p>
    <w:p w14:paraId="1990015D" w14:textId="77777777" w:rsidR="005A46E7" w:rsidRPr="00A1145E" w:rsidRDefault="005A46E7" w:rsidP="005A46E7">
      <w:pPr>
        <w:pStyle w:val="1"/>
        <w:rPr>
          <w:rFonts w:eastAsia="Calibri"/>
        </w:rPr>
      </w:pPr>
      <w:r w:rsidRPr="00A1145E">
        <w:rPr>
          <w:rFonts w:eastAsia="Calibri"/>
        </w:rPr>
        <w:t>1.</w:t>
      </w:r>
      <w:r w:rsidRPr="00A1145E">
        <w:rPr>
          <w:rFonts w:eastAsia="Calibri"/>
        </w:rPr>
        <w:tab/>
        <w:t>All injectable agents, including all barbiturate derivatives, shall be used by or under the direct supervision of a licensed veterinarian.</w:t>
      </w:r>
    </w:p>
    <w:p w14:paraId="44910CEC" w14:textId="77777777" w:rsidR="005A46E7" w:rsidRPr="00A1145E" w:rsidRDefault="005A46E7" w:rsidP="005A46E7">
      <w:pPr>
        <w:pStyle w:val="A"/>
        <w:rPr>
          <w:rFonts w:eastAsia="Calibri"/>
        </w:rPr>
      </w:pPr>
      <w:r w:rsidRPr="00A1145E">
        <w:rPr>
          <w:rFonts w:eastAsia="Calibri"/>
        </w:rPr>
        <w:t>C.</w:t>
      </w:r>
      <w:r w:rsidRPr="00A1145E">
        <w:rPr>
          <w:rFonts w:eastAsia="Calibri"/>
        </w:rPr>
        <w:tab/>
        <w:t>Physical Methods</w:t>
      </w:r>
    </w:p>
    <w:p w14:paraId="0BA9A629" w14:textId="77777777" w:rsidR="005A46E7" w:rsidRPr="00A1145E" w:rsidRDefault="005A46E7" w:rsidP="005A46E7">
      <w:pPr>
        <w:pStyle w:val="1"/>
        <w:rPr>
          <w:rFonts w:eastAsia="Calibri"/>
        </w:rPr>
      </w:pPr>
      <w:r w:rsidRPr="00A1145E">
        <w:rPr>
          <w:rFonts w:eastAsia="Calibri"/>
        </w:rPr>
        <w:t>1.</w:t>
      </w:r>
      <w:r w:rsidRPr="00A1145E">
        <w:rPr>
          <w:rFonts w:eastAsia="Calibri"/>
        </w:rPr>
        <w:tab/>
        <w:t>Penetrating Captive Bolt</w:t>
      </w:r>
    </w:p>
    <w:p w14:paraId="06582001" w14:textId="77777777" w:rsidR="005A46E7" w:rsidRPr="00A1145E" w:rsidRDefault="005A46E7" w:rsidP="005A46E7">
      <w:pPr>
        <w:pStyle w:val="a0"/>
        <w:rPr>
          <w:rFonts w:eastAsia="Calibri"/>
        </w:rPr>
      </w:pPr>
      <w:r w:rsidRPr="00A1145E">
        <w:rPr>
          <w:rFonts w:eastAsia="Calibri"/>
        </w:rPr>
        <w:t>a.</w:t>
      </w:r>
      <w:r w:rsidRPr="00A1145E">
        <w:rPr>
          <w:rFonts w:eastAsia="Calibri"/>
        </w:rPr>
        <w:tab/>
        <w:t>Captive bolt guns shall be powered by gunpowder or compressed air and shall provide sufficient energy to penetrate the skull of the species on which they are being used.</w:t>
      </w:r>
    </w:p>
    <w:p w14:paraId="7DD0872C" w14:textId="77777777" w:rsidR="005A46E7" w:rsidRPr="00A1145E" w:rsidRDefault="005A46E7" w:rsidP="005A46E7">
      <w:pPr>
        <w:pStyle w:val="a0"/>
        <w:rPr>
          <w:rFonts w:eastAsia="Calibri"/>
        </w:rPr>
      </w:pPr>
      <w:r w:rsidRPr="00A1145E">
        <w:rPr>
          <w:rFonts w:eastAsia="Calibri"/>
        </w:rPr>
        <w:t>b.</w:t>
      </w:r>
      <w:r w:rsidRPr="00A1145E">
        <w:rPr>
          <w:rFonts w:eastAsia="Calibri"/>
        </w:rPr>
        <w:tab/>
        <w:t>Penetrating captive bolt shall be suitably placed so that the projectile sufficiently disrupts a cerebral hemisphere and the brain stem causing a sudden loss of consciousness and resulting in humane death.</w:t>
      </w:r>
    </w:p>
    <w:p w14:paraId="43DEA7C2" w14:textId="77777777" w:rsidR="005A46E7" w:rsidRPr="00A1145E" w:rsidRDefault="005A46E7" w:rsidP="005A46E7">
      <w:pPr>
        <w:pStyle w:val="a0"/>
        <w:rPr>
          <w:rFonts w:eastAsia="Calibri"/>
        </w:rPr>
      </w:pPr>
      <w:r w:rsidRPr="00A1145E">
        <w:rPr>
          <w:rFonts w:eastAsia="Calibri"/>
        </w:rPr>
        <w:t>c.</w:t>
      </w:r>
      <w:r w:rsidRPr="00A1145E">
        <w:rPr>
          <w:rFonts w:eastAsia="Calibri"/>
        </w:rPr>
        <w:tab/>
        <w:t xml:space="preserve">The penetrating captive bolt gun shall be held firmly against the head. </w:t>
      </w:r>
    </w:p>
    <w:p w14:paraId="4FD69238" w14:textId="77777777" w:rsidR="005A46E7" w:rsidRPr="00A1145E" w:rsidRDefault="005A46E7" w:rsidP="005A46E7">
      <w:pPr>
        <w:pStyle w:val="a0"/>
        <w:rPr>
          <w:rFonts w:eastAsia="Calibri"/>
        </w:rPr>
      </w:pPr>
      <w:r w:rsidRPr="00A1145E">
        <w:rPr>
          <w:rFonts w:eastAsia="Calibri"/>
        </w:rPr>
        <w:t>d.</w:t>
      </w:r>
      <w:r w:rsidRPr="00A1145E">
        <w:rPr>
          <w:rFonts w:eastAsia="Calibri"/>
        </w:rPr>
        <w:tab/>
        <w:t>All manufacturers’ directions regarding caliber and powerload shall be followed.</w:t>
      </w:r>
    </w:p>
    <w:p w14:paraId="75B458E4" w14:textId="77777777" w:rsidR="005A46E7" w:rsidRPr="00A1145E" w:rsidRDefault="005A46E7" w:rsidP="005A46E7">
      <w:pPr>
        <w:pStyle w:val="1"/>
        <w:rPr>
          <w:rFonts w:eastAsia="Calibri"/>
        </w:rPr>
      </w:pPr>
      <w:r w:rsidRPr="00A1145E">
        <w:rPr>
          <w:rFonts w:eastAsia="Calibri"/>
        </w:rPr>
        <w:t>2.</w:t>
      </w:r>
      <w:r w:rsidRPr="00A1145E">
        <w:rPr>
          <w:rFonts w:eastAsia="Calibri"/>
        </w:rPr>
        <w:tab/>
        <w:t>Non-Penetrating Captive Bolt</w:t>
      </w:r>
    </w:p>
    <w:p w14:paraId="22C307E9" w14:textId="77777777" w:rsidR="005A46E7" w:rsidRPr="00A1145E" w:rsidRDefault="005A46E7" w:rsidP="005A46E7">
      <w:pPr>
        <w:pStyle w:val="a0"/>
        <w:rPr>
          <w:rFonts w:eastAsia="Calibri"/>
        </w:rPr>
      </w:pPr>
      <w:r w:rsidRPr="00A1145E">
        <w:rPr>
          <w:rFonts w:eastAsia="Calibri"/>
        </w:rPr>
        <w:t>a.</w:t>
      </w:r>
      <w:r w:rsidRPr="00A1145E">
        <w:rPr>
          <w:rFonts w:eastAsia="Calibri"/>
        </w:rPr>
        <w:tab/>
        <w:t>The non-penetrating captive bolt does not have a projectile, is powered by gunpowder or compressed air, and shall deliver a percussive blow which produces unconsciousness.</w:t>
      </w:r>
    </w:p>
    <w:p w14:paraId="2F132A78" w14:textId="77777777" w:rsidR="005A46E7" w:rsidRPr="00A1145E" w:rsidRDefault="005A46E7" w:rsidP="005A46E7">
      <w:pPr>
        <w:pStyle w:val="a0"/>
        <w:rPr>
          <w:rFonts w:eastAsia="Calibri"/>
        </w:rPr>
      </w:pPr>
      <w:r w:rsidRPr="00A1145E">
        <w:rPr>
          <w:rFonts w:eastAsia="Calibri"/>
        </w:rPr>
        <w:t>b.</w:t>
      </w:r>
      <w:r w:rsidRPr="00A1145E">
        <w:rPr>
          <w:rFonts w:eastAsia="Calibri"/>
        </w:rPr>
        <w:tab/>
        <w:t>The non-penetrating captive bolt gun shall be held firmly against the head and shall not be used as a sole means of euthanasia, except for animals weighing equal to or less than 12 pounds and poultry.</w:t>
      </w:r>
    </w:p>
    <w:p w14:paraId="0D51199C" w14:textId="77777777" w:rsidR="005A46E7" w:rsidRPr="00A1145E" w:rsidRDefault="005A46E7" w:rsidP="005A46E7">
      <w:pPr>
        <w:pStyle w:val="a0"/>
        <w:rPr>
          <w:rFonts w:eastAsia="Calibri"/>
        </w:rPr>
      </w:pPr>
      <w:r w:rsidRPr="00A1145E">
        <w:rPr>
          <w:rFonts w:eastAsia="Calibri"/>
        </w:rPr>
        <w:t>c.</w:t>
      </w:r>
      <w:r w:rsidRPr="00A1145E">
        <w:rPr>
          <w:rFonts w:eastAsia="Calibri"/>
        </w:rPr>
        <w:tab/>
        <w:t>All manufacturers’ directions regarding caliber and powerload shall be followed.</w:t>
      </w:r>
    </w:p>
    <w:p w14:paraId="7B502B3E" w14:textId="77777777" w:rsidR="005A46E7" w:rsidRPr="00A1145E" w:rsidRDefault="005A46E7" w:rsidP="005A46E7">
      <w:pPr>
        <w:pStyle w:val="1"/>
        <w:rPr>
          <w:rFonts w:eastAsia="Calibri"/>
        </w:rPr>
      </w:pPr>
      <w:r w:rsidRPr="00A1145E">
        <w:rPr>
          <w:rFonts w:eastAsia="Calibri"/>
        </w:rPr>
        <w:t>3.</w:t>
      </w:r>
      <w:r w:rsidRPr="00A1145E">
        <w:rPr>
          <w:rFonts w:eastAsia="Calibri"/>
        </w:rPr>
        <w:tab/>
        <w:t>Blunt Force Trauma</w:t>
      </w:r>
    </w:p>
    <w:p w14:paraId="4D97E4DB" w14:textId="77777777" w:rsidR="005A46E7" w:rsidRPr="00A1145E" w:rsidRDefault="005A46E7" w:rsidP="005A46E7">
      <w:pPr>
        <w:pStyle w:val="a0"/>
        <w:rPr>
          <w:rFonts w:eastAsia="Calibri"/>
        </w:rPr>
      </w:pPr>
      <w:r w:rsidRPr="00A1145E">
        <w:rPr>
          <w:rFonts w:eastAsia="Calibri"/>
        </w:rPr>
        <w:t>a.</w:t>
      </w:r>
      <w:r w:rsidRPr="00A1145E">
        <w:rPr>
          <w:rFonts w:eastAsia="Calibri"/>
        </w:rPr>
        <w:tab/>
        <w:t>A single decisive blow shall produce immediate depression of the central nervous system and destruction of brain tissue resulting in rapid unconsciousness and humane death.</w:t>
      </w:r>
    </w:p>
    <w:p w14:paraId="57337ECC" w14:textId="77777777" w:rsidR="005A46E7" w:rsidRPr="00A1145E" w:rsidRDefault="005A46E7" w:rsidP="005A46E7">
      <w:pPr>
        <w:pStyle w:val="1"/>
        <w:rPr>
          <w:rFonts w:eastAsia="Calibri"/>
        </w:rPr>
      </w:pPr>
      <w:r w:rsidRPr="00A1145E">
        <w:rPr>
          <w:rFonts w:eastAsia="Calibri"/>
        </w:rPr>
        <w:t>4.</w:t>
      </w:r>
      <w:r w:rsidRPr="00A1145E">
        <w:rPr>
          <w:rFonts w:eastAsia="Calibri"/>
        </w:rPr>
        <w:tab/>
        <w:t>Gunshot</w:t>
      </w:r>
    </w:p>
    <w:p w14:paraId="6D943EC2" w14:textId="77777777" w:rsidR="005A46E7" w:rsidRPr="00A1145E" w:rsidRDefault="005A46E7" w:rsidP="005A46E7">
      <w:pPr>
        <w:pStyle w:val="a0"/>
        <w:rPr>
          <w:rFonts w:eastAsia="Calibri"/>
        </w:rPr>
      </w:pPr>
      <w:r w:rsidRPr="00A1145E">
        <w:rPr>
          <w:rFonts w:eastAsia="Calibri"/>
        </w:rPr>
        <w:t>a.</w:t>
      </w:r>
      <w:r w:rsidRPr="00A1145E">
        <w:rPr>
          <w:rFonts w:eastAsia="Calibri"/>
        </w:rPr>
        <w:tab/>
        <w:t>Shooting shall only be performed by personnel proficient in the use of firearms and only in jurisdictions that allow legal firearm use. Personnel, the public, and nearby animal safety and well-being shall be considered as well as control of the animal whenever feasible.</w:t>
      </w:r>
    </w:p>
    <w:p w14:paraId="6B3892D5" w14:textId="77777777" w:rsidR="005A46E7" w:rsidRPr="00A1145E" w:rsidRDefault="005A46E7" w:rsidP="005A46E7">
      <w:pPr>
        <w:pStyle w:val="a0"/>
        <w:rPr>
          <w:rFonts w:eastAsia="Calibri"/>
        </w:rPr>
      </w:pPr>
      <w:r w:rsidRPr="00A1145E">
        <w:rPr>
          <w:rFonts w:eastAsia="Calibri"/>
        </w:rPr>
        <w:t>b.</w:t>
      </w:r>
      <w:r w:rsidRPr="00A1145E">
        <w:rPr>
          <w:rFonts w:eastAsia="Calibri"/>
        </w:rPr>
        <w:tab/>
        <w:t>Gunshot shall utilize bullets of suitable caliber that depend on the size of the animal to be euthanized and that expand on impact. The projectile shall enter the brain causing instant loss of consciousness and humane death.</w:t>
      </w:r>
    </w:p>
    <w:p w14:paraId="7465E70B" w14:textId="77777777" w:rsidR="005A46E7" w:rsidRPr="00A1145E" w:rsidRDefault="005A46E7" w:rsidP="005A46E7">
      <w:pPr>
        <w:pStyle w:val="a0"/>
        <w:rPr>
          <w:rFonts w:eastAsia="Calibri"/>
        </w:rPr>
      </w:pPr>
      <w:r w:rsidRPr="00A1145E">
        <w:rPr>
          <w:rFonts w:eastAsia="Calibri"/>
        </w:rPr>
        <w:t>c.</w:t>
      </w:r>
      <w:r w:rsidRPr="00A1145E">
        <w:rPr>
          <w:rFonts w:eastAsia="Calibri"/>
        </w:rPr>
        <w:tab/>
        <w:t xml:space="preserve">Ammunition for most animals shall be a minimum caliber .22 hollow point for long rifles. For large mature animals, such as cattle and swine, the minimum caliber shall be .22 magnum hollow point for long rifles. </w:t>
      </w:r>
    </w:p>
    <w:p w14:paraId="045D7FF8" w14:textId="77777777" w:rsidR="005A46E7" w:rsidRPr="00A1145E" w:rsidRDefault="005A46E7" w:rsidP="005A46E7">
      <w:pPr>
        <w:pStyle w:val="a0"/>
        <w:rPr>
          <w:rFonts w:eastAsia="Calibri"/>
        </w:rPr>
      </w:pPr>
      <w:r w:rsidRPr="00A1145E">
        <w:rPr>
          <w:rFonts w:eastAsia="Calibri"/>
        </w:rPr>
        <w:t>d.</w:t>
      </w:r>
      <w:r w:rsidRPr="00A1145E">
        <w:rPr>
          <w:rFonts w:eastAsia="Calibri"/>
        </w:rPr>
        <w:tab/>
        <w:t>The gun shall be held as close as reasonably possible but not less than 2 inches from the head of the animal.</w:t>
      </w:r>
    </w:p>
    <w:p w14:paraId="12030106" w14:textId="77777777" w:rsidR="005A46E7" w:rsidRPr="00A1145E" w:rsidRDefault="005A46E7" w:rsidP="005A46E7">
      <w:pPr>
        <w:pStyle w:val="1"/>
        <w:rPr>
          <w:rFonts w:eastAsia="Calibri"/>
        </w:rPr>
      </w:pPr>
      <w:r w:rsidRPr="00A1145E">
        <w:rPr>
          <w:rFonts w:eastAsia="Calibri"/>
        </w:rPr>
        <w:t>5.</w:t>
      </w:r>
      <w:r w:rsidRPr="00A1145E">
        <w:rPr>
          <w:rFonts w:eastAsia="Calibri"/>
        </w:rPr>
        <w:tab/>
      </w:r>
      <w:r w:rsidRPr="00A1145E">
        <w:rPr>
          <w:rFonts w:eastAsia="Calibri"/>
          <w:i/>
        </w:rPr>
        <w:t>Cervical Dislocation</w:t>
      </w:r>
      <w:r w:rsidRPr="00A1145E">
        <w:rPr>
          <w:rFonts w:eastAsia="Calibri"/>
        </w:rPr>
        <w:sym w:font="Symbol" w:char="F0BE"/>
      </w:r>
      <w:r w:rsidRPr="00A1145E">
        <w:rPr>
          <w:rFonts w:eastAsia="Calibri"/>
        </w:rPr>
        <w:t>the manual stretching or instrument assisted separation of the cervical vertebrae from the skull.</w:t>
      </w:r>
    </w:p>
    <w:p w14:paraId="184AF1F0" w14:textId="77777777" w:rsidR="005A46E7" w:rsidRPr="00A1145E" w:rsidRDefault="005A46E7" w:rsidP="005A46E7">
      <w:pPr>
        <w:pStyle w:val="1"/>
        <w:rPr>
          <w:rFonts w:eastAsia="Calibri"/>
        </w:rPr>
      </w:pPr>
      <w:r w:rsidRPr="00A1145E">
        <w:rPr>
          <w:rFonts w:eastAsia="Calibri"/>
        </w:rPr>
        <w:lastRenderedPageBreak/>
        <w:t>6.</w:t>
      </w:r>
      <w:r w:rsidRPr="00A1145E">
        <w:rPr>
          <w:rFonts w:eastAsia="Calibri"/>
        </w:rPr>
        <w:tab/>
      </w:r>
      <w:r w:rsidRPr="00A1145E">
        <w:rPr>
          <w:rFonts w:eastAsia="Calibri"/>
          <w:i/>
        </w:rPr>
        <w:t>Decapitation</w:t>
      </w:r>
      <w:r w:rsidRPr="00A1145E">
        <w:rPr>
          <w:rFonts w:eastAsia="Calibri"/>
        </w:rPr>
        <w:sym w:font="Symbol" w:char="F0BE"/>
      </w:r>
      <w:r w:rsidRPr="00A1145E">
        <w:rPr>
          <w:rFonts w:eastAsia="Calibri"/>
        </w:rPr>
        <w:t>the rapid separation of the head from the neck.</w:t>
      </w:r>
    </w:p>
    <w:p w14:paraId="0E3044DB" w14:textId="77777777" w:rsidR="005A46E7" w:rsidRPr="00A1145E" w:rsidRDefault="005A46E7" w:rsidP="005A46E7">
      <w:pPr>
        <w:pStyle w:val="1"/>
        <w:rPr>
          <w:rFonts w:eastAsia="Calibri"/>
        </w:rPr>
      </w:pPr>
      <w:r w:rsidRPr="00A1145E">
        <w:rPr>
          <w:rFonts w:eastAsia="Calibri"/>
        </w:rPr>
        <w:t>7.</w:t>
      </w:r>
      <w:r w:rsidRPr="00A1145E">
        <w:rPr>
          <w:rFonts w:eastAsia="Calibri"/>
        </w:rPr>
        <w:tab/>
        <w:t>Electrocution</w:t>
      </w:r>
    </w:p>
    <w:p w14:paraId="6CCE2FAA" w14:textId="77777777" w:rsidR="005A46E7" w:rsidRPr="00A1145E" w:rsidRDefault="005A46E7" w:rsidP="005A46E7">
      <w:pPr>
        <w:pStyle w:val="a0"/>
        <w:rPr>
          <w:rFonts w:eastAsia="Calibri"/>
        </w:rPr>
      </w:pPr>
      <w:r w:rsidRPr="00A1145E">
        <w:rPr>
          <w:rFonts w:eastAsia="Calibri"/>
        </w:rPr>
        <w:t>a.</w:t>
      </w:r>
      <w:r w:rsidRPr="00A1145E">
        <w:rPr>
          <w:rFonts w:eastAsia="Calibri"/>
        </w:rPr>
        <w:tab/>
        <w:t>One-step electrocution shall use alternating current applied to the head and the opposite side of the body behind the heart at the flank skin fold, causing simultaneous stunning and inducing cardiac fibrillation resulting in cerebral hypoxia.</w:t>
      </w:r>
    </w:p>
    <w:p w14:paraId="3D07901C" w14:textId="77777777" w:rsidR="005A46E7" w:rsidRPr="00A1145E" w:rsidRDefault="005A46E7" w:rsidP="005A46E7">
      <w:pPr>
        <w:pStyle w:val="a0"/>
        <w:rPr>
          <w:rFonts w:eastAsia="Calibri"/>
        </w:rPr>
      </w:pPr>
      <w:r w:rsidRPr="00A1145E">
        <w:rPr>
          <w:rFonts w:eastAsia="Calibri"/>
        </w:rPr>
        <w:t>b.</w:t>
      </w:r>
      <w:r w:rsidRPr="00A1145E">
        <w:rPr>
          <w:rFonts w:eastAsia="Calibri"/>
        </w:rPr>
        <w:tab/>
        <w:t>Two-step stunning and electrocution shall first render the animal unconscious by passing an alternating current across the head and followed immediately, in less than 15 seconds, by passing the current from the head to the opposite side of the body behind the heart.</w:t>
      </w:r>
    </w:p>
    <w:p w14:paraId="663045AE" w14:textId="77777777" w:rsidR="005A46E7" w:rsidRPr="00A1145E" w:rsidRDefault="005A46E7" w:rsidP="005A46E7">
      <w:pPr>
        <w:pStyle w:val="1"/>
        <w:rPr>
          <w:rFonts w:eastAsia="Calibri"/>
        </w:rPr>
      </w:pPr>
      <w:r w:rsidRPr="00A1145E">
        <w:rPr>
          <w:rFonts w:eastAsia="Calibri"/>
        </w:rPr>
        <w:t>8.</w:t>
      </w:r>
      <w:r w:rsidRPr="00A1145E">
        <w:rPr>
          <w:rFonts w:eastAsia="Calibri"/>
        </w:rPr>
        <w:tab/>
      </w:r>
      <w:r w:rsidRPr="00A1145E">
        <w:rPr>
          <w:rFonts w:eastAsia="Calibri"/>
          <w:i/>
        </w:rPr>
        <w:t>Foam</w:t>
      </w:r>
      <w:r w:rsidRPr="00A1145E">
        <w:rPr>
          <w:rFonts w:eastAsia="Calibri"/>
        </w:rPr>
        <w:sym w:font="Symbol" w:char="F0BE"/>
      </w:r>
      <w:r w:rsidRPr="00A1145E">
        <w:rPr>
          <w:rFonts w:eastAsia="Calibri"/>
        </w:rPr>
        <w:t xml:space="preserve">a water-based product utilizing a specialized delivery system that produces </w:t>
      </w:r>
      <w:r w:rsidRPr="00A1145E">
        <w:rPr>
          <w:rFonts w:eastAsia="Calibri"/>
          <w:i/>
        </w:rPr>
        <w:t>foam</w:t>
      </w:r>
      <w:r w:rsidRPr="00A1145E">
        <w:rPr>
          <w:rFonts w:eastAsia="Calibri"/>
        </w:rPr>
        <w:t xml:space="preserve"> of the appropriate consistency to occlude the upper respiratory tract causing hypoxia in a rapid and humane manner.</w:t>
      </w:r>
    </w:p>
    <w:p w14:paraId="64EE174D" w14:textId="77777777" w:rsidR="005A46E7" w:rsidRPr="00A1145E" w:rsidRDefault="005A46E7" w:rsidP="005A46E7">
      <w:pPr>
        <w:pStyle w:val="1"/>
        <w:rPr>
          <w:rFonts w:eastAsia="Calibri"/>
        </w:rPr>
      </w:pPr>
      <w:r w:rsidRPr="00A1145E">
        <w:rPr>
          <w:rFonts w:eastAsia="Calibri"/>
        </w:rPr>
        <w:t>9.</w:t>
      </w:r>
      <w:r w:rsidRPr="00A1145E">
        <w:rPr>
          <w:rFonts w:eastAsia="Calibri"/>
        </w:rPr>
        <w:tab/>
      </w:r>
      <w:r w:rsidRPr="00A1145E">
        <w:rPr>
          <w:rFonts w:eastAsia="Calibri"/>
          <w:i/>
        </w:rPr>
        <w:t>Maceration</w:t>
      </w:r>
      <w:r w:rsidRPr="00A1145E">
        <w:rPr>
          <w:rFonts w:eastAsia="Calibri"/>
        </w:rPr>
        <w:sym w:font="Symbol" w:char="F0BE"/>
      </w:r>
      <w:r w:rsidRPr="00A1145E">
        <w:rPr>
          <w:rFonts w:eastAsia="Calibri"/>
        </w:rPr>
        <w:t>the use of a mechanical apparatus having rotating blades or projections that causes immediate fragmentation and death.</w:t>
      </w:r>
    </w:p>
    <w:p w14:paraId="1D00BED0" w14:textId="77777777" w:rsidR="005A46E7" w:rsidRPr="00A1145E" w:rsidRDefault="005A46E7" w:rsidP="005A46E7">
      <w:pPr>
        <w:pStyle w:val="1"/>
        <w:rPr>
          <w:rFonts w:eastAsia="Calibri"/>
        </w:rPr>
      </w:pPr>
      <w:r w:rsidRPr="00A1145E">
        <w:rPr>
          <w:rFonts w:eastAsia="Calibri"/>
        </w:rPr>
        <w:t>10.</w:t>
      </w:r>
      <w:r w:rsidRPr="00A1145E">
        <w:rPr>
          <w:rFonts w:eastAsia="Calibri"/>
        </w:rPr>
        <w:tab/>
      </w:r>
      <w:r w:rsidRPr="00A1145E">
        <w:rPr>
          <w:rFonts w:eastAsia="Calibri"/>
          <w:i/>
        </w:rPr>
        <w:t>Exsanguination</w:t>
      </w:r>
      <w:r w:rsidRPr="00A1145E">
        <w:rPr>
          <w:rFonts w:eastAsia="Calibri"/>
        </w:rPr>
        <w:sym w:font="Symbol" w:char="F0BE"/>
      </w:r>
      <w:r w:rsidRPr="00A1145E">
        <w:rPr>
          <w:rFonts w:eastAsia="Calibri"/>
        </w:rPr>
        <w:t xml:space="preserve">to drain of blood as a stand-alone method of euthanasia shall be limited to use for ritual slaughter pursuant to ORC, chapter 945.01 and 945.02. </w:t>
      </w:r>
      <w:r w:rsidRPr="00A1145E">
        <w:rPr>
          <w:rFonts w:eastAsia="Calibri"/>
          <w:i/>
        </w:rPr>
        <w:t>Exsanguination</w:t>
      </w:r>
      <w:r w:rsidRPr="00A1145E">
        <w:rPr>
          <w:rFonts w:eastAsia="Calibri"/>
        </w:rPr>
        <w:t xml:space="preserve"> may be used to ensure death subsequent to stunning or in otherwise unconscious animals.</w:t>
      </w:r>
    </w:p>
    <w:p w14:paraId="40A5033C" w14:textId="77777777"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14:paraId="1579EE30" w14:textId="77777777" w:rsidR="005A46E7" w:rsidRPr="00A1145E" w:rsidRDefault="005A46E7" w:rsidP="005A46E7">
      <w:pPr>
        <w:pStyle w:val="HistoricalNote"/>
      </w:pPr>
      <w:r w:rsidRPr="00A1145E">
        <w:t>HISTORICAL NOTE:</w:t>
      </w:r>
      <w:r w:rsidRPr="00A1145E">
        <w:tab/>
      </w:r>
      <w:r w:rsidR="00451726" w:rsidRPr="00A8409F">
        <w:t>Promulgated by the Department of Agriculture and Forestry, Office of Animal Health and Food Safety, Board of Animal Health, LR 39:</w:t>
      </w:r>
      <w:r w:rsidR="00451726">
        <w:t>3245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14:paraId="01B375AB" w14:textId="77777777" w:rsidR="005A46E7" w:rsidRPr="00A1145E" w:rsidRDefault="005A46E7" w:rsidP="005A46E7">
      <w:pPr>
        <w:pStyle w:val="Chapter"/>
      </w:pPr>
      <w:bookmarkStart w:id="2345" w:name="_Toc224819195"/>
      <w:r w:rsidRPr="00A1145E">
        <w:t>Chapter 23.</w:t>
      </w:r>
      <w:r w:rsidRPr="00A1145E">
        <w:tab/>
        <w:t>Rendering Plants; Waste Food Processing; Garbage Disposal</w:t>
      </w:r>
      <w:bookmarkEnd w:id="2345"/>
    </w:p>
    <w:p w14:paraId="5CB5C682" w14:textId="77777777" w:rsidR="005A46E7" w:rsidRPr="00A1145E" w:rsidRDefault="005A46E7" w:rsidP="005A46E7">
      <w:pPr>
        <w:pStyle w:val="Section"/>
      </w:pPr>
      <w:bookmarkStart w:id="2346" w:name="_Toc256754690"/>
      <w:bookmarkStart w:id="2347" w:name="_Toc375025474"/>
      <w:bookmarkStart w:id="2348" w:name="_Toc224819196"/>
      <w:r>
        <w:t>§2301.</w:t>
      </w:r>
      <w:r>
        <w:tab/>
      </w:r>
      <w:r w:rsidRPr="00A1145E">
        <w:t>Rendering Plant</w:t>
      </w:r>
      <w:bookmarkEnd w:id="2346"/>
      <w:bookmarkEnd w:id="2347"/>
      <w:r>
        <w:br/>
        <w:t>(</w:t>
      </w:r>
      <w:r w:rsidRPr="00A1145E">
        <w:t>Formerly §119</w:t>
      </w:r>
      <w:r>
        <w:t>)</w:t>
      </w:r>
      <w:bookmarkEnd w:id="2348"/>
    </w:p>
    <w:p w14:paraId="448D5B92" w14:textId="77777777" w:rsidR="005A46E7" w:rsidRPr="00A1145E" w:rsidRDefault="005A46E7" w:rsidP="005A46E7">
      <w:pPr>
        <w:pStyle w:val="A"/>
      </w:pPr>
      <w:r w:rsidRPr="00A1145E">
        <w:t>A.</w:t>
      </w:r>
      <w:r w:rsidRPr="00A1145E">
        <w:tab/>
        <w:t>Permit</w:t>
      </w:r>
    </w:p>
    <w:p w14:paraId="7DFEC18F" w14:textId="77777777" w:rsidR="005A46E7" w:rsidRPr="00A1145E" w:rsidRDefault="005A46E7" w:rsidP="005A46E7">
      <w:pPr>
        <w:pStyle w:val="1"/>
      </w:pPr>
      <w:r w:rsidRPr="00A1145E">
        <w:t>1.</w:t>
      </w:r>
      <w:r w:rsidRPr="00A1145E">
        <w:tab/>
        <w:t>No person shall operate a rendering plant without first obtaining a permit to operate from the board.</w:t>
      </w:r>
    </w:p>
    <w:p w14:paraId="31547CC4" w14:textId="77777777" w:rsidR="005A46E7" w:rsidRPr="00A1145E" w:rsidRDefault="005A46E7" w:rsidP="005A46E7">
      <w:pPr>
        <w:pStyle w:val="1"/>
      </w:pPr>
      <w:r w:rsidRPr="00A1145E">
        <w:t>2.</w:t>
      </w:r>
      <w:r w:rsidRPr="00A1145E">
        <w:tab/>
        <w:t>Upon receipt of application for permit, the board shall make a thorough inspection of the rendering plant, its equipment and general sanitation. If found satisfactory, the board shall issue to the applicant a permit to operate.</w:t>
      </w:r>
    </w:p>
    <w:p w14:paraId="114341C0" w14:textId="77777777" w:rsidR="005A46E7" w:rsidRPr="00A1145E" w:rsidRDefault="005A46E7" w:rsidP="005A46E7">
      <w:pPr>
        <w:pStyle w:val="1"/>
      </w:pPr>
      <w:r w:rsidRPr="00A1145E">
        <w:t>3.</w:t>
      </w:r>
      <w:r w:rsidRPr="00A1145E">
        <w:tab/>
        <w:t>The permit shall be issued to the person responsible for the operation of the rendering plant and shall not be transferable.</w:t>
      </w:r>
    </w:p>
    <w:p w14:paraId="5C3E0E5B" w14:textId="77777777" w:rsidR="005A46E7" w:rsidRPr="00A1145E" w:rsidRDefault="005A46E7" w:rsidP="005A46E7">
      <w:pPr>
        <w:pStyle w:val="1"/>
      </w:pPr>
      <w:r w:rsidRPr="00A1145E">
        <w:t>4.</w:t>
      </w:r>
      <w:r w:rsidRPr="00A1145E">
        <w:tab/>
        <w:t>The management shall furnish, upon request, to the board an up-to-date list of establishments from which dead animals or animal by-products are regularly collected.</w:t>
      </w:r>
    </w:p>
    <w:p w14:paraId="53B9AE52" w14:textId="77777777" w:rsidR="005A46E7" w:rsidRPr="00A1145E" w:rsidRDefault="005A46E7" w:rsidP="005A46E7">
      <w:pPr>
        <w:pStyle w:val="A"/>
      </w:pPr>
      <w:r w:rsidRPr="00A1145E">
        <w:t>B.</w:t>
      </w:r>
      <w:r w:rsidRPr="00A1145E">
        <w:tab/>
        <w:t>Vehicles and Containers</w:t>
      </w:r>
    </w:p>
    <w:p w14:paraId="156163E5" w14:textId="77777777" w:rsidR="005A46E7" w:rsidRPr="00A1145E" w:rsidRDefault="005A46E7" w:rsidP="005A46E7">
      <w:pPr>
        <w:pStyle w:val="1"/>
      </w:pPr>
      <w:r w:rsidRPr="00A1145E">
        <w:t>1.</w:t>
      </w:r>
      <w:r w:rsidRPr="00A1145E">
        <w:tab/>
        <w:t>Vehicles and containers used in the transportation of dead animals or offal used in a rendering plant shall meet the following requirements.</w:t>
      </w:r>
    </w:p>
    <w:p w14:paraId="54421571" w14:textId="77777777" w:rsidR="005A46E7" w:rsidRPr="00A1145E" w:rsidRDefault="005A46E7" w:rsidP="005A46E7">
      <w:pPr>
        <w:pStyle w:val="a0"/>
      </w:pPr>
      <w:r w:rsidRPr="00A1145E">
        <w:t>a.</w:t>
      </w:r>
      <w:r w:rsidRPr="00A1145E">
        <w:tab/>
        <w:t>The body of the vehicle used to transport carcasses must be constructed of, or lined with, metal in such a way it is water-tight, and no leakage or drainage may escape from the vehicle.</w:t>
      </w:r>
    </w:p>
    <w:p w14:paraId="063D744F" w14:textId="77777777" w:rsidR="005A46E7" w:rsidRPr="00A1145E" w:rsidRDefault="005A46E7" w:rsidP="005A46E7">
      <w:pPr>
        <w:pStyle w:val="a0"/>
      </w:pPr>
      <w:r w:rsidRPr="00A1145E">
        <w:t>b.</w:t>
      </w:r>
      <w:r w:rsidRPr="00A1145E">
        <w:tab/>
        <w:t>The body of the vehicle shall have sides constructed of, or lined with, metal and shall not be less than 24 inches high to prevent the escape of any material.</w:t>
      </w:r>
    </w:p>
    <w:p w14:paraId="7EA3AF85" w14:textId="77777777" w:rsidR="005A46E7" w:rsidRPr="00A1145E" w:rsidRDefault="005A46E7" w:rsidP="005A46E7">
      <w:pPr>
        <w:pStyle w:val="1"/>
      </w:pPr>
      <w:r w:rsidRPr="00A1145E">
        <w:t>2.</w:t>
      </w:r>
      <w:r w:rsidRPr="00A1145E">
        <w:tab/>
        <w:t>Any vehicle used for hauling dead animals or offal shall be provided with a tarpaulin or other covering or be so constructed so as to shut off from view all such dead animals or offal, and said conveyance shall not stop by the way unless detained by unavoidable circumstances.</w:t>
      </w:r>
    </w:p>
    <w:p w14:paraId="689183B1" w14:textId="77777777" w:rsidR="005A46E7" w:rsidRPr="00A1145E" w:rsidRDefault="005A46E7" w:rsidP="005A46E7">
      <w:pPr>
        <w:pStyle w:val="1"/>
      </w:pPr>
      <w:r w:rsidRPr="00A1145E">
        <w:t>3.</w:t>
      </w:r>
      <w:r w:rsidRPr="00A1145E">
        <w:tab/>
        <w:t>All vehicles and containers shall be thoroughly cleaned and disinfected after each trip with a disinfectant approved by the board or by live steam.</w:t>
      </w:r>
    </w:p>
    <w:p w14:paraId="3175F93D" w14:textId="77777777" w:rsidR="005A46E7" w:rsidRPr="00A1145E" w:rsidRDefault="005A46E7" w:rsidP="005A46E7">
      <w:pPr>
        <w:pStyle w:val="A"/>
      </w:pPr>
      <w:r w:rsidRPr="00A1145E">
        <w:t>C.</w:t>
      </w:r>
      <w:r w:rsidRPr="00A1145E">
        <w:tab/>
        <w:t>General Sanitation. General sanitation in the operation of a rendering plant shall meet the following requirements.</w:t>
      </w:r>
    </w:p>
    <w:p w14:paraId="15E76E22" w14:textId="77777777" w:rsidR="005A46E7" w:rsidRPr="00A1145E" w:rsidRDefault="005A46E7" w:rsidP="005A46E7">
      <w:pPr>
        <w:pStyle w:val="1"/>
      </w:pPr>
      <w:r w:rsidRPr="00A1145E">
        <w:t>1.</w:t>
      </w:r>
      <w:r w:rsidRPr="00A1145E">
        <w:tab/>
        <w:t>Incoming dead animals, offal and all other rendering material shall be processed immediately.</w:t>
      </w:r>
    </w:p>
    <w:p w14:paraId="6A78C113" w14:textId="77777777" w:rsidR="005A46E7" w:rsidRPr="00A1145E" w:rsidRDefault="005A46E7" w:rsidP="005A46E7">
      <w:pPr>
        <w:pStyle w:val="1"/>
      </w:pPr>
      <w:r w:rsidRPr="00A1145E">
        <w:t>2.</w:t>
      </w:r>
      <w:r w:rsidRPr="00A1145E">
        <w:tab/>
        <w:t>The finished products shall be handled and stored in such a manner as to avoid contamination.</w:t>
      </w:r>
    </w:p>
    <w:p w14:paraId="3593F4FB" w14:textId="77777777" w:rsidR="005A46E7" w:rsidRPr="00A1145E" w:rsidRDefault="005A46E7" w:rsidP="005A46E7">
      <w:pPr>
        <w:pStyle w:val="1"/>
      </w:pPr>
      <w:r w:rsidRPr="00A1145E">
        <w:t>3.</w:t>
      </w:r>
      <w:r w:rsidRPr="00A1145E">
        <w:tab/>
        <w:t>Disposal of waste materials shall be done in a satisfactory manner.</w:t>
      </w:r>
    </w:p>
    <w:p w14:paraId="082A1D6D" w14:textId="77777777" w:rsidR="005A46E7" w:rsidRPr="00A1145E" w:rsidRDefault="005A46E7" w:rsidP="005A46E7">
      <w:pPr>
        <w:pStyle w:val="AuthorityNote"/>
      </w:pPr>
      <w:r w:rsidRPr="00A1145E">
        <w:t>AUTHORITY NOTE:</w:t>
      </w:r>
      <w:r w:rsidRPr="00A1145E">
        <w:tab/>
        <w:t>Promulgated in accordance with R.S. 3:2093 and R.S. 3:2131.</w:t>
      </w:r>
    </w:p>
    <w:p w14:paraId="52B782B6" w14:textId="77777777"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11:234 (March 1985), amended LR 11:615 (June 1985), amended by the Department of Agriculture and Forestry, Livestock Sanitary Board, LR 23:196 (February 1997)</w:t>
      </w:r>
      <w:r w:rsidRPr="00A1145E">
        <w:t xml:space="preserve">, repromulgated by the Department of Agriculture and Forestry, </w:t>
      </w:r>
      <w:r w:rsidR="007356F4">
        <w:t>Office of Animal Health and Food Safety and the Board of Animal Health,</w:t>
      </w:r>
      <w:r w:rsidRPr="00A1145E">
        <w:t xml:space="preserve"> LR </w:t>
      </w:r>
      <w:r>
        <w:t>40:991 (May 2014).</w:t>
      </w:r>
    </w:p>
    <w:p w14:paraId="651E6F16" w14:textId="77777777" w:rsidR="005A46E7" w:rsidRPr="00A1145E" w:rsidRDefault="005A46E7" w:rsidP="005A46E7">
      <w:pPr>
        <w:pStyle w:val="Section"/>
      </w:pPr>
      <w:bookmarkStart w:id="2349" w:name="_Toc256754695"/>
      <w:bookmarkStart w:id="2350" w:name="_Toc375025479"/>
      <w:bookmarkStart w:id="2351" w:name="_Toc224819197"/>
      <w:r>
        <w:t>§2303.</w:t>
      </w:r>
      <w:r>
        <w:tab/>
      </w:r>
      <w:r w:rsidRPr="00A1145E">
        <w:t>Waste Food Processing Unit</w:t>
      </w:r>
      <w:bookmarkEnd w:id="2349"/>
      <w:bookmarkEnd w:id="2350"/>
      <w:r>
        <w:br/>
        <w:t>(</w:t>
      </w:r>
      <w:r w:rsidRPr="00A1145E">
        <w:t>Formerly §129</w:t>
      </w:r>
      <w:r>
        <w:t>)</w:t>
      </w:r>
      <w:bookmarkEnd w:id="2351"/>
    </w:p>
    <w:p w14:paraId="5B987934" w14:textId="77777777" w:rsidR="005A46E7" w:rsidRPr="00A1145E" w:rsidRDefault="005A46E7" w:rsidP="005A46E7">
      <w:pPr>
        <w:pStyle w:val="A"/>
      </w:pPr>
      <w:r w:rsidRPr="00A1145E">
        <w:t>A.</w:t>
      </w:r>
      <w:r w:rsidRPr="00A1145E">
        <w:tab/>
        <w:t>Permit</w:t>
      </w:r>
    </w:p>
    <w:p w14:paraId="036EB468" w14:textId="77777777" w:rsidR="005A46E7" w:rsidRPr="00A1145E" w:rsidRDefault="005A46E7" w:rsidP="005A46E7">
      <w:pPr>
        <w:pStyle w:val="1"/>
      </w:pPr>
      <w:r w:rsidRPr="00A1145E">
        <w:t>1.</w:t>
      </w:r>
      <w:r w:rsidRPr="00A1145E">
        <w:tab/>
        <w:t>No person shall operate a waste food processing unit unless first obtaining a permit from the board.</w:t>
      </w:r>
    </w:p>
    <w:p w14:paraId="490BBE91" w14:textId="77777777" w:rsidR="005A46E7" w:rsidRPr="00A1145E" w:rsidRDefault="005A46E7" w:rsidP="005A46E7">
      <w:pPr>
        <w:pStyle w:val="1"/>
      </w:pPr>
      <w:r w:rsidRPr="00A1145E">
        <w:t>2.</w:t>
      </w:r>
      <w:r w:rsidRPr="00A1145E">
        <w:tab/>
        <w:t>Upon receipt of an application for a permit, a representative of the board shall make a thorough inspection of the premises and equipment and if found satisfactory to meet the requirements for the preparation of sterilized and dehydrated food (see definition), the board shall issue a permit to the applicant at its discretion.</w:t>
      </w:r>
    </w:p>
    <w:p w14:paraId="629A90C6" w14:textId="77777777" w:rsidR="005A46E7" w:rsidRPr="00A1145E" w:rsidRDefault="005A46E7" w:rsidP="005A46E7">
      <w:pPr>
        <w:pStyle w:val="1"/>
      </w:pPr>
      <w:r w:rsidRPr="00A1145E">
        <w:t>3.</w:t>
      </w:r>
      <w:r w:rsidRPr="00A1145E">
        <w:tab/>
        <w:t>The permit shall be issued to the person responsible for the operation and this permit shall not be transferable.</w:t>
      </w:r>
    </w:p>
    <w:p w14:paraId="5EB0DC70" w14:textId="77777777" w:rsidR="005A46E7" w:rsidRPr="00A1145E" w:rsidRDefault="005A46E7" w:rsidP="005A46E7">
      <w:pPr>
        <w:pStyle w:val="1"/>
      </w:pPr>
      <w:r w:rsidRPr="00A1145E">
        <w:t>4.</w:t>
      </w:r>
      <w:r w:rsidRPr="00A1145E">
        <w:tab/>
        <w:t>The waste food processor shall furnish the board, upon request, an up-to-date listing of establishments from which waste food is collected and individuals or establishments to which processed food is sold or otherwise disposed.</w:t>
      </w:r>
    </w:p>
    <w:p w14:paraId="42058CBA" w14:textId="77777777" w:rsidR="005A46E7" w:rsidRPr="00A1145E" w:rsidRDefault="005A46E7" w:rsidP="005A46E7">
      <w:pPr>
        <w:pStyle w:val="A"/>
      </w:pPr>
      <w:r w:rsidRPr="00A1145E">
        <w:lastRenderedPageBreak/>
        <w:t>B.</w:t>
      </w:r>
      <w:r w:rsidRPr="00A1145E">
        <w:tab/>
        <w:t>Vehicles and Containers</w:t>
      </w:r>
    </w:p>
    <w:p w14:paraId="69F4A5D1" w14:textId="77777777" w:rsidR="005A46E7" w:rsidRPr="00A1145E" w:rsidRDefault="005A46E7" w:rsidP="005A46E7">
      <w:pPr>
        <w:pStyle w:val="1"/>
      </w:pPr>
      <w:r w:rsidRPr="00A1145E">
        <w:t>1.</w:t>
      </w:r>
      <w:r w:rsidRPr="00A1145E">
        <w:tab/>
        <w:t>Vehicles and containers used in the transportation of waste food to the processing unit shall meet the following requirements.</w:t>
      </w:r>
    </w:p>
    <w:p w14:paraId="698A327E" w14:textId="77777777" w:rsidR="005A46E7" w:rsidRPr="00A1145E" w:rsidRDefault="005A46E7" w:rsidP="005A46E7">
      <w:pPr>
        <w:pStyle w:val="a0"/>
      </w:pPr>
      <w:r w:rsidRPr="00A1145E">
        <w:t>a.</w:t>
      </w:r>
      <w:r w:rsidRPr="00A1145E">
        <w:tab/>
        <w:t>The body of the vehicle used to transport waste food must be constructed of or lined with metal or other good impervious material in such a way that it is leak-proof so that the waste matter will not escape from the vehicle.</w:t>
      </w:r>
    </w:p>
    <w:p w14:paraId="75BFF75E" w14:textId="77777777" w:rsidR="005A46E7" w:rsidRPr="00A1145E" w:rsidRDefault="005A46E7" w:rsidP="005A46E7">
      <w:pPr>
        <w:pStyle w:val="a0"/>
      </w:pPr>
      <w:r w:rsidRPr="00A1145E">
        <w:t>b.</w:t>
      </w:r>
      <w:r w:rsidRPr="00A1145E">
        <w:tab/>
        <w:t>Any container used to haul waste shall be in good condition, leak-proof with a tight lid during transit and storage.</w:t>
      </w:r>
    </w:p>
    <w:p w14:paraId="6081CB0E" w14:textId="77777777" w:rsidR="005A46E7" w:rsidRPr="00A1145E" w:rsidRDefault="005A46E7" w:rsidP="005A46E7">
      <w:pPr>
        <w:pStyle w:val="a0"/>
      </w:pPr>
      <w:r w:rsidRPr="00A1145E">
        <w:t>c.</w:t>
      </w:r>
      <w:r w:rsidRPr="00A1145E">
        <w:tab/>
        <w:t>All vehicles and containers shall be thoroughly cleaned and disinfected after each trip by live steam or with approved disinfectant approved by the board.</w:t>
      </w:r>
    </w:p>
    <w:p w14:paraId="6E57C64E" w14:textId="77777777" w:rsidR="005A46E7" w:rsidRPr="00A1145E" w:rsidRDefault="005A46E7" w:rsidP="005A46E7">
      <w:pPr>
        <w:pStyle w:val="A"/>
      </w:pPr>
      <w:r w:rsidRPr="00A1145E">
        <w:t>C.</w:t>
      </w:r>
      <w:r w:rsidRPr="00A1145E">
        <w:tab/>
        <w:t>General Sanitation. General sanitation in the operation of a processing unit shall meet the following requirements.</w:t>
      </w:r>
    </w:p>
    <w:p w14:paraId="385F7F98" w14:textId="77777777" w:rsidR="005A46E7" w:rsidRPr="00A1145E" w:rsidRDefault="005A46E7" w:rsidP="005A46E7">
      <w:pPr>
        <w:pStyle w:val="1"/>
      </w:pPr>
      <w:r w:rsidRPr="00A1145E">
        <w:t>1.</w:t>
      </w:r>
      <w:r w:rsidRPr="00A1145E">
        <w:tab/>
        <w:t>Incoming waste material shall be processed immediately.</w:t>
      </w:r>
    </w:p>
    <w:p w14:paraId="42AEBB5E" w14:textId="77777777" w:rsidR="005A46E7" w:rsidRPr="00A1145E" w:rsidRDefault="005A46E7" w:rsidP="005A46E7">
      <w:pPr>
        <w:pStyle w:val="1"/>
      </w:pPr>
      <w:r w:rsidRPr="00A1145E">
        <w:t>2.</w:t>
      </w:r>
      <w:r w:rsidRPr="00A1145E">
        <w:tab/>
        <w:t>The finished product shall be handled and stored in such a manner as to avoid contamination from other sources or from the unfinished product.</w:t>
      </w:r>
    </w:p>
    <w:p w14:paraId="4456D41F" w14:textId="77777777" w:rsidR="005A46E7" w:rsidRPr="00A1145E" w:rsidRDefault="005A46E7" w:rsidP="005A46E7">
      <w:pPr>
        <w:pStyle w:val="1"/>
      </w:pPr>
      <w:r w:rsidRPr="00A1145E">
        <w:t>3.</w:t>
      </w:r>
      <w:r w:rsidRPr="00A1145E">
        <w:tab/>
        <w:t>Feeding and processing will not be allowed on the same premises unless a sufficient distance is maintained between the processing area and feeding area to prohibit the introduction of any unprocessed waste material into the feeding area. This will be determined by a representative of the board.</w:t>
      </w:r>
    </w:p>
    <w:p w14:paraId="52149455" w14:textId="77777777" w:rsidR="005A46E7" w:rsidRPr="00A1145E" w:rsidRDefault="005A46E7" w:rsidP="005A46E7">
      <w:pPr>
        <w:pStyle w:val="1"/>
      </w:pPr>
      <w:r w:rsidRPr="00A1145E">
        <w:t>4.</w:t>
      </w:r>
      <w:r w:rsidRPr="00A1145E">
        <w:tab/>
        <w:t>Disposal of inedible materials shall be done in a satisfactory manner in order to maintain good sanitation and animal husbandry practices.</w:t>
      </w:r>
    </w:p>
    <w:p w14:paraId="7A8B705E" w14:textId="77777777" w:rsidR="005A46E7" w:rsidRPr="00A1145E" w:rsidRDefault="005A46E7" w:rsidP="005A46E7">
      <w:pPr>
        <w:pStyle w:val="AuthorityNote"/>
      </w:pPr>
      <w:r w:rsidRPr="00A1145E">
        <w:t>AUTHORITY NOTE:</w:t>
      </w:r>
      <w:r w:rsidRPr="00A1145E">
        <w:tab/>
        <w:t>Promulgated in accordance with R.S. 3:2093.</w:t>
      </w:r>
    </w:p>
    <w:p w14:paraId="5262D124" w14:textId="77777777"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11:235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40:992 (May 2014).</w:t>
      </w:r>
    </w:p>
    <w:p w14:paraId="33FE29D2" w14:textId="77777777" w:rsidR="005A46E7" w:rsidRPr="00A1145E" w:rsidRDefault="005A46E7" w:rsidP="005A46E7">
      <w:pPr>
        <w:pStyle w:val="Section"/>
      </w:pPr>
      <w:bookmarkStart w:id="2352" w:name="_Toc256754689"/>
      <w:bookmarkStart w:id="2353" w:name="_Toc375025473"/>
      <w:bookmarkStart w:id="2354" w:name="_Toc224819198"/>
      <w:r>
        <w:t>§2305.</w:t>
      </w:r>
      <w:r>
        <w:tab/>
      </w:r>
      <w:r w:rsidRPr="00A1145E">
        <w:t>Disposal of Garbage</w:t>
      </w:r>
      <w:bookmarkEnd w:id="2352"/>
      <w:bookmarkEnd w:id="2353"/>
      <w:r>
        <w:br/>
        <w:t>(</w:t>
      </w:r>
      <w:r w:rsidRPr="00A1145E">
        <w:t>Formerly §117</w:t>
      </w:r>
      <w:r>
        <w:t>)</w:t>
      </w:r>
      <w:bookmarkEnd w:id="2354"/>
    </w:p>
    <w:p w14:paraId="38972BAA" w14:textId="77777777" w:rsidR="005A46E7" w:rsidRPr="00A1145E" w:rsidRDefault="005A46E7" w:rsidP="005A46E7">
      <w:pPr>
        <w:pStyle w:val="A"/>
      </w:pPr>
      <w:r w:rsidRPr="00A1145E">
        <w:t>A.</w:t>
      </w:r>
      <w:r w:rsidRPr="00A1145E">
        <w:tab/>
        <w:t>It is unlawful for any person, firm, corporation or partnership, or agent or employee thereof, to feed or allow to be fed garbage to swine.</w:t>
      </w:r>
    </w:p>
    <w:p w14:paraId="1A72F273" w14:textId="77777777" w:rsidR="005A46E7" w:rsidRPr="00A1145E" w:rsidRDefault="005A46E7" w:rsidP="005A46E7">
      <w:pPr>
        <w:pStyle w:val="A"/>
      </w:pPr>
      <w:r w:rsidRPr="00A1145E">
        <w:t>B.</w:t>
      </w:r>
      <w:r w:rsidRPr="00A1145E">
        <w:tab/>
        <w:t>All public and private establishments from which garbage is produced shall be required to furnish the board with information as to the manner by which garbage is disposed of, and must furnish names and addresses of those persons, firms and corporations collecting and/or disposing of the garbage.</w:t>
      </w:r>
    </w:p>
    <w:p w14:paraId="46CBE983" w14:textId="77777777" w:rsidR="005A46E7" w:rsidRPr="00A1145E" w:rsidRDefault="005A46E7" w:rsidP="005A46E7">
      <w:pPr>
        <w:pStyle w:val="A"/>
      </w:pPr>
      <w:r w:rsidRPr="00A1145E">
        <w:t>C.</w:t>
      </w:r>
      <w:r w:rsidRPr="00A1145E">
        <w:tab/>
        <w:t>All garbage disposal operations must be operated in a sanitary manner and in a way that will not place animal or human health in jeopardy, nor shall it create a public nuisance. Such operations must be in full compliance with other regulations of the board and State Department of Health requirements.</w:t>
      </w:r>
    </w:p>
    <w:p w14:paraId="17CA2839" w14:textId="77777777" w:rsidR="005A46E7" w:rsidRPr="00A1145E" w:rsidRDefault="005A46E7" w:rsidP="005A46E7">
      <w:pPr>
        <w:pStyle w:val="AuthorityNote"/>
      </w:pPr>
      <w:r w:rsidRPr="00A1145E">
        <w:t>AUTHORITY NOTE:</w:t>
      </w:r>
      <w:r w:rsidRPr="00A1145E">
        <w:tab/>
        <w:t>Promulgated in accordance with R.S. 3:2093.</w:t>
      </w:r>
    </w:p>
    <w:p w14:paraId="4175E02F" w14:textId="77777777"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11:234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40:992 (May 2014).</w:t>
      </w:r>
    </w:p>
    <w:p w14:paraId="62263DDE" w14:textId="77777777" w:rsidR="008547F7" w:rsidRPr="001531CD" w:rsidRDefault="008547F7" w:rsidP="008547F7">
      <w:pPr>
        <w:pStyle w:val="HistoricalNote"/>
      </w:pPr>
    </w:p>
    <w:p w14:paraId="702062D5" w14:textId="77777777" w:rsidR="00CF626A" w:rsidRPr="001531CD" w:rsidRDefault="00CF626A">
      <w:pPr>
        <w:pStyle w:val="Chapter"/>
        <w:sectPr w:rsidR="00CF626A" w:rsidRPr="001531CD" w:rsidSect="00167E2E">
          <w:headerReference w:type="even" r:id="rId49"/>
          <w:headerReference w:type="default" r:id="rId50"/>
          <w:type w:val="continuous"/>
          <w:pgSz w:w="12240" w:h="15840" w:code="1"/>
          <w:pgMar w:top="1080" w:right="864" w:bottom="864" w:left="864" w:header="576" w:footer="432" w:gutter="0"/>
          <w:cols w:num="2" w:space="720"/>
        </w:sectPr>
      </w:pPr>
    </w:p>
    <w:p w14:paraId="257C88E1"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359BF130" w14:textId="77777777" w:rsidR="00CF626A" w:rsidRPr="001531CD" w:rsidRDefault="00CF626A" w:rsidP="00F03863">
      <w:pPr>
        <w:pStyle w:val="Title1"/>
        <w:outlineLvl w:val="0"/>
      </w:pPr>
      <w:r w:rsidRPr="001531CD">
        <w:lastRenderedPageBreak/>
        <w:t>Title 7</w:t>
      </w:r>
    </w:p>
    <w:p w14:paraId="3A8082EC" w14:textId="77777777" w:rsidR="00CF626A" w:rsidRPr="001531CD" w:rsidRDefault="00CF626A">
      <w:pPr>
        <w:pStyle w:val="Title2"/>
      </w:pPr>
      <w:r w:rsidRPr="001531CD">
        <w:t>AGRICULTURE AND ANIMALS</w:t>
      </w:r>
    </w:p>
    <w:p w14:paraId="6F2B7252" w14:textId="77777777" w:rsidR="00CF626A" w:rsidRPr="001531CD" w:rsidRDefault="00CF626A">
      <w:pPr>
        <w:pStyle w:val="Part"/>
      </w:pPr>
      <w:bookmarkStart w:id="2355" w:name="TOC_Part10"/>
      <w:bookmarkStart w:id="2356" w:name="_Toc77840134"/>
      <w:bookmarkStart w:id="2357" w:name="_Toc224819199"/>
      <w:r w:rsidRPr="001531CD">
        <w:t>Part XXIII.  Pesticide</w:t>
      </w:r>
      <w:r w:rsidR="00C71B61" w:rsidRPr="001531CD">
        <w:t>s</w:t>
      </w:r>
      <w:bookmarkEnd w:id="2355"/>
      <w:bookmarkEnd w:id="2356"/>
      <w:bookmarkEnd w:id="2357"/>
    </w:p>
    <w:p w14:paraId="70CDA4C7" w14:textId="77777777" w:rsidR="00CF626A" w:rsidRPr="001531CD" w:rsidRDefault="00CF626A">
      <w:pPr>
        <w:pStyle w:val="Part"/>
      </w:pPr>
    </w:p>
    <w:p w14:paraId="1C376333" w14:textId="77777777" w:rsidR="00CF626A" w:rsidRPr="001531CD" w:rsidRDefault="00CF626A">
      <w:pPr>
        <w:pStyle w:val="Part"/>
        <w:sectPr w:rsidR="00CF626A" w:rsidRPr="001531CD" w:rsidSect="00167E2E">
          <w:headerReference w:type="default" r:id="rId51"/>
          <w:type w:val="oddPage"/>
          <w:pgSz w:w="12240" w:h="15840" w:code="1"/>
          <w:pgMar w:top="1080" w:right="864" w:bottom="864" w:left="864" w:header="576" w:footer="432" w:gutter="0"/>
          <w:cols w:space="720"/>
          <w:docGrid w:linePitch="326"/>
        </w:sectPr>
      </w:pPr>
    </w:p>
    <w:p w14:paraId="13E56D94" w14:textId="77777777" w:rsidR="00490763" w:rsidRPr="001531CD" w:rsidRDefault="00CF626A" w:rsidP="00490763">
      <w:pPr>
        <w:pStyle w:val="Chapter"/>
      </w:pPr>
      <w:bookmarkStart w:id="2358" w:name="TOC_Chap164"/>
      <w:bookmarkStart w:id="2359" w:name="_Toc256754818"/>
      <w:bookmarkStart w:id="2360" w:name="_Toc224819200"/>
      <w:r w:rsidRPr="001531CD">
        <w:t>Chapter 1.</w:t>
      </w:r>
      <w:bookmarkStart w:id="2361" w:name="_Toc256754820"/>
      <w:bookmarkEnd w:id="2358"/>
      <w:bookmarkEnd w:id="2359"/>
      <w:r w:rsidR="009D1B46">
        <w:tab/>
      </w:r>
      <w:r w:rsidR="00490763" w:rsidRPr="001531CD">
        <w:t>Authority, Pesticide Declarations, Definitions</w:t>
      </w:r>
      <w:bookmarkEnd w:id="2360"/>
      <w:r w:rsidR="00490763" w:rsidRPr="001531CD">
        <w:t xml:space="preserve"> </w:t>
      </w:r>
    </w:p>
    <w:p w14:paraId="63A97645" w14:textId="77777777" w:rsidR="00CF626A" w:rsidRPr="001531CD" w:rsidRDefault="00490763" w:rsidP="00490763">
      <w:pPr>
        <w:pStyle w:val="Section"/>
      </w:pPr>
      <w:bookmarkStart w:id="2362" w:name="_Toc224819201"/>
      <w:r w:rsidRPr="001531CD">
        <w:t>§</w:t>
      </w:r>
      <w:r w:rsidR="00CF626A" w:rsidRPr="001531CD">
        <w:t>101.</w:t>
      </w:r>
      <w:r w:rsidR="00CF626A" w:rsidRPr="001531CD">
        <w:tab/>
        <w:t>Authority</w:t>
      </w:r>
      <w:bookmarkEnd w:id="2361"/>
      <w:bookmarkEnd w:id="2362"/>
    </w:p>
    <w:p w14:paraId="772B150C" w14:textId="77777777" w:rsidR="00507D1B" w:rsidRPr="001531CD" w:rsidRDefault="00507D1B" w:rsidP="00507D1B">
      <w:pPr>
        <w:pStyle w:val="A"/>
      </w:pPr>
      <w:r w:rsidRPr="001531CD">
        <w:t>A.</w:t>
      </w:r>
      <w:r w:rsidRPr="001531CD">
        <w:tab/>
        <w:t>Under the authority of the Louisiana Pesticide Law, R.S. 3:3201 et seq., and in accordance with the provisions in R.S. 49:950 et seq., the commissioner of Agriculture and Forestry adopts the following regulations.</w:t>
      </w:r>
    </w:p>
    <w:p w14:paraId="4AD36159" w14:textId="77777777" w:rsidR="00507D1B" w:rsidRPr="001531CD" w:rsidRDefault="00507D1B" w:rsidP="00507D1B">
      <w:pPr>
        <w:pStyle w:val="A"/>
      </w:pPr>
      <w:r w:rsidRPr="001531CD">
        <w:t>B.</w:t>
      </w:r>
      <w:r w:rsidRPr="001531CD">
        <w:tab/>
        <w:t>The commissioner of Agriculture and Forestry, in accordance with R.S. 3:3203(E) has determined that pharmaceuticals administered to livestock used for agriculture purposes are pesticides. Pharmaceuticals administered to livestock used for agricultural purposes shall be registered with the department in accordance with the Louisiana Pesticide Law and the rules and regulations found in this Chapter.</w:t>
      </w:r>
    </w:p>
    <w:p w14:paraId="2A4A7411" w14:textId="77777777" w:rsidR="00CF626A" w:rsidRPr="001531CD" w:rsidRDefault="00507D1B" w:rsidP="00507D1B">
      <w:pPr>
        <w:pStyle w:val="AuthorityNote"/>
      </w:pPr>
      <w:r w:rsidRPr="001531CD">
        <w:t>AUTHORITY NOTE: Promulgated in accordance with R.S. 3:3203.</w:t>
      </w:r>
    </w:p>
    <w:p w14:paraId="055376C3" w14:textId="77777777" w:rsidR="00CF626A" w:rsidRPr="001531CD" w:rsidRDefault="00CF626A">
      <w:pPr>
        <w:pStyle w:val="HistoricalNote"/>
      </w:pPr>
      <w:r w:rsidRPr="001531CD">
        <w:t>HISTORICAL NOTE:</w:t>
      </w:r>
      <w:r w:rsidRPr="001531CD">
        <w:tab/>
        <w:t>Promulgated by the Department of Agriculture, Advisory Commission on Pesticides, LR 9:171 (April 1983), ame</w:t>
      </w:r>
      <w:r w:rsidR="00507D1B" w:rsidRPr="001531CD">
        <w:t>nded LR 27:2084 (December 2001), ), repromulgated by Department of Agriculture and Forestry, Office of Agricultural and Environmental Sciences, Advisory Commission on Pesticides, LR 37:3466 (December 2011).</w:t>
      </w:r>
    </w:p>
    <w:p w14:paraId="6DFFCE5C" w14:textId="77777777" w:rsidR="00CF626A" w:rsidRPr="001531CD" w:rsidRDefault="00CF626A">
      <w:pPr>
        <w:pStyle w:val="Section"/>
      </w:pPr>
      <w:bookmarkStart w:id="2363" w:name="_Toc256754822"/>
      <w:bookmarkStart w:id="2364" w:name="_Toc224819202"/>
      <w:r w:rsidRPr="001531CD">
        <w:t>§103.</w:t>
      </w:r>
      <w:r w:rsidRPr="001531CD">
        <w:tab/>
        <w:t>Definitions</w:t>
      </w:r>
      <w:bookmarkEnd w:id="2363"/>
      <w:bookmarkEnd w:id="2364"/>
    </w:p>
    <w:p w14:paraId="099C901E" w14:textId="77777777" w:rsidR="003B0576" w:rsidRPr="0077705B" w:rsidRDefault="003B0576" w:rsidP="003B0576">
      <w:pPr>
        <w:pStyle w:val="A"/>
      </w:pPr>
      <w:r w:rsidRPr="0077705B">
        <w:t>A.</w:t>
      </w:r>
      <w:r w:rsidRPr="0077705B">
        <w:tab/>
        <w:t>The definitions in R.S. 3:3202 are applicable to this Part.</w:t>
      </w:r>
    </w:p>
    <w:p w14:paraId="56518991" w14:textId="77777777" w:rsidR="003B0576" w:rsidRDefault="003B0576" w:rsidP="003B0576">
      <w:pPr>
        <w:pStyle w:val="A"/>
      </w:pPr>
      <w:r w:rsidRPr="0077705B">
        <w:t>B.</w:t>
      </w:r>
      <w:r w:rsidRPr="0077705B">
        <w:tab/>
        <w:t>The following words and terms are defined for the purposes of this Part.</w:t>
      </w:r>
    </w:p>
    <w:p w14:paraId="11176222" w14:textId="77777777" w:rsidR="00780C74" w:rsidRPr="0077705B" w:rsidRDefault="00780C74" w:rsidP="00780C74">
      <w:pPr>
        <w:pStyle w:val="1"/>
      </w:pPr>
      <w:r w:rsidRPr="00780C74">
        <w:rPr>
          <w:i/>
          <w:iCs/>
        </w:rPr>
        <w:t>Aerial Applicator</w:t>
      </w:r>
      <w:r w:rsidRPr="00780C74">
        <w:rPr>
          <w:i/>
        </w:rPr>
        <w:t>—</w:t>
      </w:r>
      <w:r w:rsidRPr="00780C74">
        <w:t>a certified commercial applicator involved in or supervising the mixing, loading, spraying, and dispensing of pesticides and fertilizers from low-flying manned or unmanned aircraft.</w:t>
      </w:r>
    </w:p>
    <w:p w14:paraId="491C7FC1" w14:textId="77777777" w:rsidR="003B0576" w:rsidRPr="0077705B" w:rsidRDefault="003B0576" w:rsidP="003B0576">
      <w:pPr>
        <w:pStyle w:val="1"/>
      </w:pPr>
      <w:r w:rsidRPr="0077705B">
        <w:rPr>
          <w:i/>
        </w:rPr>
        <w:t>Agricultural Pesticide</w:t>
      </w:r>
      <w:r w:rsidRPr="0077705B">
        <w:t>—any pesticide product labeled for use in or on a farm, forest, nursery, or greenhouse.</w:t>
      </w:r>
    </w:p>
    <w:p w14:paraId="655DDAF0" w14:textId="77777777" w:rsidR="003B0576" w:rsidRPr="00930B3A" w:rsidRDefault="003B0576" w:rsidP="003B0576">
      <w:pPr>
        <w:pStyle w:val="1"/>
      </w:pPr>
      <w:r w:rsidRPr="00930B3A">
        <w:rPr>
          <w:i/>
        </w:rPr>
        <w:t>Application</w:t>
      </w:r>
      <w:r w:rsidRPr="00930B3A">
        <w:sym w:font="Symbol" w:char="F0BE"/>
      </w:r>
      <w:r w:rsidRPr="00930B3A">
        <w:t>the activities directly related to the administering of a pesticide, including activities leading up to the actual administration of the pesticide (pre-application activities), the actual administering of the pesticide (application activities), and those occurring after the administering of the pesticide (post-application activities).</w:t>
      </w:r>
      <w:r>
        <w:t xml:space="preserve"> </w:t>
      </w:r>
      <w:r w:rsidRPr="00930B3A">
        <w:t xml:space="preserve">Application activities include those such as the actual administering of the pesticide by any method, such as spraying or topical use. </w:t>
      </w:r>
    </w:p>
    <w:p w14:paraId="5CA5227F" w14:textId="77777777" w:rsidR="003B0576" w:rsidRPr="00930B3A" w:rsidRDefault="003B0576" w:rsidP="003B0576">
      <w:pPr>
        <w:pStyle w:val="a0"/>
      </w:pPr>
      <w:r>
        <w:t>a</w:t>
      </w:r>
      <w:r w:rsidRPr="00930B3A">
        <w:t>.</w:t>
      </w:r>
      <w:r w:rsidRPr="00930B3A">
        <w:tab/>
        <w:t xml:space="preserve">Pre-application activities include those such as: arranging for the application; mixing and loading the pesticide; transporting or storing the pesticides; and necessary preparations for the application of the pesticide such as </w:t>
      </w:r>
      <w:r w:rsidRPr="00930B3A">
        <w:t>employee notification, workers and handlers training, decontamination, use and care of personal protective equipment, emergency information, and heat stress management.</w:t>
      </w:r>
      <w:r>
        <w:t xml:space="preserve"> </w:t>
      </w:r>
    </w:p>
    <w:p w14:paraId="46293EE6" w14:textId="77777777" w:rsidR="003B0576" w:rsidRDefault="003B0576" w:rsidP="003B0576">
      <w:pPr>
        <w:pStyle w:val="1"/>
        <w:rPr>
          <w:i/>
        </w:rPr>
      </w:pPr>
      <w:r>
        <w:t>b</w:t>
      </w:r>
      <w:r w:rsidRPr="00930B3A">
        <w:t>.</w:t>
      </w:r>
      <w:r w:rsidRPr="00930B3A">
        <w:tab/>
        <w:t>Post-application activities include those such as: restricted-entry intervals; responsibilities related to worker training, notification, and decontamination; providing emergency assistance; transporting or storing the pesticides; and disposing of any excess pesticides, spray mix, equipment wash waters, pesticide containers, and other materials containing the pesticide.</w:t>
      </w:r>
    </w:p>
    <w:p w14:paraId="375ED273" w14:textId="77777777" w:rsidR="003B0576" w:rsidRDefault="003B0576" w:rsidP="003B0576">
      <w:pPr>
        <w:pStyle w:val="1"/>
      </w:pPr>
      <w:r w:rsidRPr="0077705B">
        <w:rPr>
          <w:i/>
        </w:rPr>
        <w:t>Bulk Facilities</w:t>
      </w:r>
      <w:r w:rsidRPr="0077705B">
        <w:t>—any person, except registrants, who engage in the activity of repackaging any agricultural pesticide product, except manufacturing use products and plant-incorporated protectants into refillable and non-refillable containers. This includes certified commercial applicators and licensed owner-operators dispensing agricultural pesticides from a stationary container.</w:t>
      </w:r>
      <w:r>
        <w:t xml:space="preserve"> </w:t>
      </w:r>
    </w:p>
    <w:p w14:paraId="4BBC57E6" w14:textId="77777777" w:rsidR="00780C74" w:rsidRPr="0077705B" w:rsidRDefault="00780C74" w:rsidP="003B0576">
      <w:pPr>
        <w:pStyle w:val="1"/>
      </w:pPr>
      <w:r w:rsidRPr="00780C74">
        <w:rPr>
          <w:i/>
          <w:iCs/>
        </w:rPr>
        <w:t>Commercial Applicator</w:t>
      </w:r>
      <w:r w:rsidRPr="00780C74">
        <w:rPr>
          <w:i/>
        </w:rPr>
        <w:t>—</w:t>
      </w:r>
      <w:r w:rsidRPr="00780C74">
        <w:t>means an individual who is certified to apply or supervise the application of restricted use pesticides in the course of his employment.</w:t>
      </w:r>
    </w:p>
    <w:p w14:paraId="1384EF65" w14:textId="77777777" w:rsidR="003B0576" w:rsidRPr="0077705B" w:rsidRDefault="003B0576" w:rsidP="003B0576">
      <w:pPr>
        <w:pStyle w:val="1"/>
      </w:pPr>
      <w:r w:rsidRPr="0077705B">
        <w:rPr>
          <w:i/>
        </w:rPr>
        <w:t>Containment Pad</w:t>
      </w:r>
      <w:r w:rsidRPr="0077705B">
        <w:t>—a containment structure that meets the design, construction materials and capacity requirements of 750 gallons or 100 percent of the capacity of the largest container/equipment used on the pad (whichever is less), for new and existing containment structures and accommodates pesticide spills or leaks in dispensing areas at bulk facilities.</w:t>
      </w:r>
    </w:p>
    <w:p w14:paraId="6DE0AB30" w14:textId="77777777" w:rsidR="003B0576" w:rsidRPr="0077705B" w:rsidRDefault="003B0576" w:rsidP="003B0576">
      <w:pPr>
        <w:pStyle w:val="1"/>
      </w:pPr>
      <w:r w:rsidRPr="0077705B">
        <w:rPr>
          <w:i/>
          <w:iCs/>
        </w:rPr>
        <w:t>Containment Structure</w:t>
      </w:r>
      <w:r w:rsidRPr="0077705B">
        <w:rPr>
          <w:i/>
        </w:rPr>
        <w:t xml:space="preserve"> </w:t>
      </w:r>
      <w:r w:rsidRPr="0077705B">
        <w:t>or</w:t>
      </w:r>
      <w:r w:rsidRPr="0077705B">
        <w:rPr>
          <w:i/>
        </w:rPr>
        <w:t xml:space="preserve"> Structure</w:t>
      </w:r>
      <w:r w:rsidRPr="0077705B">
        <w:t xml:space="preserve">—new and existing structures, at bulk facilities, that meets the design, construction materials and capacity requirements to contain spills or leaks from stationary pesticide containers or pesticide dispensing activities. </w:t>
      </w:r>
    </w:p>
    <w:p w14:paraId="5F1444CD" w14:textId="77777777" w:rsidR="003B0576" w:rsidRPr="0077705B" w:rsidRDefault="003B0576" w:rsidP="003B0576">
      <w:pPr>
        <w:pStyle w:val="a0"/>
      </w:pPr>
      <w:r w:rsidRPr="0077705B">
        <w:t>a.</w:t>
      </w:r>
      <w:r w:rsidRPr="0077705B">
        <w:tab/>
        <w:t xml:space="preserve">An existing containment structure is a structure for which installation began on or before July 1, 2011. </w:t>
      </w:r>
    </w:p>
    <w:p w14:paraId="27A049C3" w14:textId="77777777" w:rsidR="003B0576" w:rsidRPr="0077705B" w:rsidRDefault="003B0576" w:rsidP="003B0576">
      <w:pPr>
        <w:pStyle w:val="a0"/>
      </w:pPr>
      <w:r w:rsidRPr="0077705B">
        <w:t>b.</w:t>
      </w:r>
      <w:r w:rsidRPr="0077705B">
        <w:tab/>
        <w:t>A new containment structure is a structure for which installation began after July 1, 2011 if certain conditions regarding permits, construction and contracts are met.</w:t>
      </w:r>
    </w:p>
    <w:p w14:paraId="4B3A76C9" w14:textId="77777777" w:rsidR="003B0576" w:rsidRPr="0077705B" w:rsidRDefault="003B0576" w:rsidP="003B0576">
      <w:pPr>
        <w:pStyle w:val="1"/>
      </w:pPr>
      <w:r w:rsidRPr="0077705B">
        <w:rPr>
          <w:i/>
          <w:iCs/>
        </w:rPr>
        <w:t>Director</w:t>
      </w:r>
      <w:r>
        <w:t>―the director of the D</w:t>
      </w:r>
      <w:r w:rsidRPr="0077705B">
        <w:t>ivision of Pesticide and Environmental Programs or his duly authorized representatives acting at his direction.</w:t>
      </w:r>
    </w:p>
    <w:p w14:paraId="1CEBD8A9" w14:textId="77777777" w:rsidR="003B0576" w:rsidRPr="0077705B" w:rsidRDefault="003B0576" w:rsidP="003B0576">
      <w:pPr>
        <w:pStyle w:val="1"/>
      </w:pPr>
      <w:r w:rsidRPr="0077705B">
        <w:rPr>
          <w:i/>
          <w:iCs/>
        </w:rPr>
        <w:t>District Office</w:t>
      </w:r>
      <w:r>
        <w:t>―</w:t>
      </w:r>
      <w:r w:rsidRPr="0077705B">
        <w:t>any office of the department other than the Baton Rouge main office.</w:t>
      </w:r>
    </w:p>
    <w:p w14:paraId="1EE3847E" w14:textId="77777777" w:rsidR="0019696D" w:rsidRPr="00DE6387" w:rsidRDefault="0019696D" w:rsidP="0019696D">
      <w:pPr>
        <w:pStyle w:val="1"/>
      </w:pPr>
      <w:r w:rsidRPr="00DE6387">
        <w:rPr>
          <w:i/>
        </w:rPr>
        <w:t>Division</w:t>
      </w:r>
      <w:r w:rsidRPr="00DE6387">
        <w:t>—the Division of Pesticide and Environmental Programs in the Office of Agricultural and Environmental Sciences of the department.</w:t>
      </w:r>
    </w:p>
    <w:p w14:paraId="195E98FD" w14:textId="77777777" w:rsidR="003B0576" w:rsidRDefault="0019696D" w:rsidP="0019696D">
      <w:pPr>
        <w:pStyle w:val="1"/>
      </w:pPr>
      <w:r w:rsidRPr="00DE6387">
        <w:rPr>
          <w:i/>
        </w:rPr>
        <w:lastRenderedPageBreak/>
        <w:t>Drift—</w:t>
      </w:r>
      <w:r w:rsidRPr="00DE6387">
        <w:t>the physical movement of pesticides either in particulate, liquid or vapor form beyond the target area where the pesticide was applied.</w:t>
      </w:r>
    </w:p>
    <w:p w14:paraId="5D1FD2C3" w14:textId="77777777" w:rsidR="00780C74" w:rsidRPr="00780C74" w:rsidRDefault="00780C74" w:rsidP="00780C74">
      <w:pPr>
        <w:pStyle w:val="1"/>
      </w:pPr>
      <w:r w:rsidRPr="00780C74">
        <w:rPr>
          <w:bCs/>
          <w:i/>
        </w:rPr>
        <w:t>Fumigant</w:t>
      </w:r>
      <w:r w:rsidRPr="00780C74">
        <w:rPr>
          <w:i/>
        </w:rPr>
        <w:t>—</w:t>
      </w:r>
      <w:r w:rsidRPr="00780C74">
        <w:t>any restricted use pesticide which either by itself or in combination with any other substance:</w:t>
      </w:r>
    </w:p>
    <w:p w14:paraId="28E56D2A" w14:textId="77777777" w:rsidR="00780C74" w:rsidRPr="00780C74" w:rsidRDefault="00780C74" w:rsidP="00780C74">
      <w:pPr>
        <w:pStyle w:val="a0"/>
      </w:pPr>
      <w:r w:rsidRPr="00780C74">
        <w:t>a.</w:t>
      </w:r>
      <w:r w:rsidRPr="00780C74">
        <w:tab/>
        <w:t>Emits or liberates gas, fumes, or vapors which will destroy pests;</w:t>
      </w:r>
    </w:p>
    <w:p w14:paraId="0499B46F" w14:textId="77777777" w:rsidR="00780C74" w:rsidRPr="00780C74" w:rsidRDefault="00780C74" w:rsidP="00780C74">
      <w:pPr>
        <w:pStyle w:val="a0"/>
      </w:pPr>
      <w:r w:rsidRPr="00780C74">
        <w:t>b.</w:t>
      </w:r>
      <w:r w:rsidRPr="00780C74">
        <w:tab/>
        <w:t>Is usually lethal, poisonous, or noxious;</w:t>
      </w:r>
    </w:p>
    <w:p w14:paraId="17ABC771" w14:textId="77777777" w:rsidR="00780C74" w:rsidRPr="00780C74" w:rsidRDefault="00780C74" w:rsidP="00780C74">
      <w:pPr>
        <w:pStyle w:val="a0"/>
      </w:pPr>
      <w:r w:rsidRPr="00780C74">
        <w:t>c.</w:t>
      </w:r>
      <w:r w:rsidRPr="00780C74">
        <w:tab/>
        <w:t>May be dangerous to human life; and/or</w:t>
      </w:r>
    </w:p>
    <w:p w14:paraId="340EE79C" w14:textId="77777777" w:rsidR="00780C74" w:rsidRPr="0077705B" w:rsidRDefault="00780C74" w:rsidP="00780C74">
      <w:pPr>
        <w:pStyle w:val="a0"/>
      </w:pPr>
      <w:r w:rsidRPr="00780C74">
        <w:t>d.</w:t>
      </w:r>
      <w:r w:rsidRPr="00780C74">
        <w:tab/>
        <w:t>Emits or releases any chilled or heated gas into the atmosphere.</w:t>
      </w:r>
    </w:p>
    <w:p w14:paraId="3AD80FEF" w14:textId="77777777" w:rsidR="003B0576" w:rsidRPr="0077705B" w:rsidRDefault="003B0576" w:rsidP="003B0576">
      <w:pPr>
        <w:pStyle w:val="1"/>
      </w:pPr>
      <w:r w:rsidRPr="0077705B">
        <w:rPr>
          <w:i/>
          <w:iCs/>
        </w:rPr>
        <w:t>Herbicide</w:t>
      </w:r>
      <w:r w:rsidRPr="0077705B">
        <w:t xml:space="preserve">―any substance or mixture of substances intended for use in preventing or inhibiting the growth of, killing, or destroying plants and plant parts defined to be pests by the commissioner. The term </w:t>
      </w:r>
      <w:r w:rsidRPr="0077705B">
        <w:rPr>
          <w:iCs/>
        </w:rPr>
        <w:t>herbicide</w:t>
      </w:r>
      <w:r w:rsidRPr="0077705B">
        <w:t xml:space="preserve"> shall for the purposes of these regulations include a substance or mixture of substances intended for use as a plant growth regulator, defoliant, or desiccant.</w:t>
      </w:r>
    </w:p>
    <w:p w14:paraId="0DE80983" w14:textId="77777777" w:rsidR="003B0576" w:rsidRPr="0077705B" w:rsidRDefault="003B0576" w:rsidP="003B0576">
      <w:pPr>
        <w:pStyle w:val="1"/>
      </w:pPr>
      <w:r w:rsidRPr="0077705B">
        <w:rPr>
          <w:i/>
          <w:iCs/>
        </w:rPr>
        <w:t>Inorganic Arsenical</w:t>
      </w:r>
      <w:r w:rsidRPr="0077705B">
        <w:t>―any herbicide containing a compound formed by a reaction between arsenic and any substance which does not contain a carbon-hydrogen (organic) group (radical). Examples are arsenic trioxide, sodium arsenate, and arsenic acid.</w:t>
      </w:r>
    </w:p>
    <w:p w14:paraId="19C19739" w14:textId="77777777" w:rsidR="003B0576" w:rsidRPr="0077705B" w:rsidRDefault="003B0576" w:rsidP="003B0576">
      <w:pPr>
        <w:pStyle w:val="1"/>
      </w:pPr>
      <w:r w:rsidRPr="0077705B">
        <w:rPr>
          <w:i/>
          <w:iCs/>
        </w:rPr>
        <w:t>Insecticide</w:t>
      </w:r>
      <w:r w:rsidRPr="0077705B">
        <w:t>―any substance or mixture of substances intended for preventing or inhibiting the establishment, reproduction, development, or growth of; destroying; or repelling any member of the class insecta or other allied classes in the phylum arthropoda that is defined as a pest by the commission.</w:t>
      </w:r>
    </w:p>
    <w:p w14:paraId="32D314C3" w14:textId="77777777" w:rsidR="003B0576" w:rsidRDefault="003B0576" w:rsidP="003B0576">
      <w:pPr>
        <w:pStyle w:val="1"/>
      </w:pPr>
      <w:r w:rsidRPr="0077705B">
        <w:rPr>
          <w:i/>
          <w:iCs/>
        </w:rPr>
        <w:t>Livestock used for Agricultural Purposes</w:t>
      </w:r>
      <w:r w:rsidRPr="0077705B">
        <w:t>―any animal bred, kept, maintained, raised or used for profit or for the purpose of selling or otherwise producing crops, animals, or plant or animal products for market. This definition includes cattle, buffalo, bison, oxen and other bovine; horses, mules, donkeys, and other equine; sheep; goats; swine; domestic rabbits; fish, pet turtles and other animals identified with aquaculture which are located in artificial reservoirs or enclosures that are both on privately owned property and constructed so as to prevent, at all times, the ingress and egress of fish life from public waters; imported exotic deer and antelope, elk, farm-raised white-tailed deer, farm-raised ratites and other farm-raised exotic animals; chickens, turkeys and other poultry; any animals placed under the jurisdiction of the commissioner or the department; and any hybrid, mixture or mutation of any type of animal if used for an agricultural purpose. However, dogs and cats shall not be considered livestock under these regulations.</w:t>
      </w:r>
    </w:p>
    <w:p w14:paraId="66D05960" w14:textId="77777777" w:rsidR="00780C74" w:rsidRPr="00780C74" w:rsidRDefault="00780C74" w:rsidP="00780C74">
      <w:pPr>
        <w:pStyle w:val="1"/>
      </w:pPr>
      <w:r w:rsidRPr="00780C74">
        <w:rPr>
          <w:bCs/>
          <w:i/>
        </w:rPr>
        <w:t>Mechanically Powered Pesticide Application Equipment</w:t>
      </w:r>
      <w:r w:rsidRPr="00780C74">
        <w:rPr>
          <w:i/>
          <w:iCs/>
        </w:rPr>
        <w:t>—</w:t>
      </w:r>
      <w:r w:rsidRPr="00780C74">
        <w:t>any device that has an electric or internal combustion motor and is used to dispense a pesticide. Control of the device may be directly by human action or autonomously by computer by direction of the applicator.</w:t>
      </w:r>
    </w:p>
    <w:p w14:paraId="62019E3A" w14:textId="77777777" w:rsidR="00780C74" w:rsidRPr="0077705B" w:rsidRDefault="00780C74" w:rsidP="00780C74">
      <w:pPr>
        <w:pStyle w:val="1"/>
      </w:pPr>
      <w:r w:rsidRPr="00780C74">
        <w:rPr>
          <w:i/>
          <w:iCs/>
        </w:rPr>
        <w:t>Nonfee Commercial Applicator—</w:t>
      </w:r>
      <w:r w:rsidRPr="00780C74">
        <w:t xml:space="preserve">a commercial pesticide applicator who may use restricted use pesticides as a </w:t>
      </w:r>
      <w:r w:rsidRPr="00780C74">
        <w:t>requirement of their employment in an agricultural and/or institutional setting. These applicators are not for hire and shall not use restricted use pesticides outside of their employment setting.</w:t>
      </w:r>
    </w:p>
    <w:p w14:paraId="731FF58D" w14:textId="77777777" w:rsidR="003B0576" w:rsidRPr="0077705B" w:rsidRDefault="003B0576" w:rsidP="003B0576">
      <w:pPr>
        <w:pStyle w:val="1"/>
      </w:pPr>
      <w:r w:rsidRPr="0077705B">
        <w:rPr>
          <w:i/>
          <w:iCs/>
        </w:rPr>
        <w:t>Pharmaceuticals</w:t>
      </w:r>
      <w:r>
        <w:t>―</w:t>
      </w:r>
      <w:r w:rsidRPr="0077705B">
        <w:t>any substance intended for use in the diagnosis, cure, mitigation, treatment or prevention of plant or animal pests, diseases, viruses, bacteria or other microorganisms in or on livestock and any substance other than food intended to affect the structure or any function of the body of any livestock.</w:t>
      </w:r>
    </w:p>
    <w:p w14:paraId="2C1C244D" w14:textId="77777777" w:rsidR="003B0576" w:rsidRDefault="003B0576" w:rsidP="003B0576">
      <w:pPr>
        <w:pStyle w:val="1"/>
      </w:pPr>
      <w:r w:rsidRPr="0077705B">
        <w:rPr>
          <w:i/>
          <w:iCs/>
        </w:rPr>
        <w:t>Phenoxy Herbicides</w:t>
      </w:r>
      <w:r w:rsidRPr="0077705B">
        <w:t>―any herbicide as defined above that contains a phenoxy derivative of lower aliphatic acid as an ingredient thereof.</w:t>
      </w:r>
    </w:p>
    <w:p w14:paraId="4EA95E09" w14:textId="77777777" w:rsidR="00780C74" w:rsidRPr="0077705B" w:rsidRDefault="00780C74" w:rsidP="003B0576">
      <w:pPr>
        <w:pStyle w:val="1"/>
      </w:pPr>
      <w:r w:rsidRPr="00780C74">
        <w:rPr>
          <w:i/>
          <w:iCs/>
        </w:rPr>
        <w:t>Private Applicator—</w:t>
      </w:r>
      <w:r w:rsidRPr="00780C74">
        <w:t>means an individual who is certified to apply or supervise the application of any restricted use pesticide for the purpose of producing any agricultural commodity on land owned or leased by the private applicator or for the purpose of applying or supervising the application of any restricted use pesticide on lands owned by another without compensation. Producing an agricultural commodity shall include related aspects of production, such as storage or transportation of an agricultural commodity produced by the private applicator.</w:t>
      </w:r>
    </w:p>
    <w:p w14:paraId="528964B9" w14:textId="77777777" w:rsidR="003B0576" w:rsidRPr="0077705B" w:rsidRDefault="003B0576" w:rsidP="003B0576">
      <w:pPr>
        <w:pStyle w:val="1"/>
      </w:pPr>
      <w:r w:rsidRPr="0077705B">
        <w:rPr>
          <w:i/>
          <w:iCs/>
        </w:rPr>
        <w:t>Public Utility</w:t>
      </w:r>
      <w:r w:rsidRPr="0077705B">
        <w:t>―a business or service which is engaged in regularly supplying the public with a service which is of public consequence and need, such as electricity, gas, water, transportation, or telephone or telegraph service.</w:t>
      </w:r>
    </w:p>
    <w:p w14:paraId="7BE9E4CB" w14:textId="77777777" w:rsidR="003B0576" w:rsidRPr="0077705B" w:rsidRDefault="003B0576" w:rsidP="003B0576">
      <w:pPr>
        <w:pStyle w:val="1"/>
      </w:pPr>
      <w:r w:rsidRPr="0077705B">
        <w:rPr>
          <w:i/>
          <w:iCs/>
        </w:rPr>
        <w:t>Resident</w:t>
      </w:r>
      <w:r w:rsidRPr="0077705B">
        <w:t>―any person who has been domiciled in Louisiana for a period of at least 90 days immediately preceding the date of application for the license and/or certification and has not claimed residence elsewhere for any purpose.</w:t>
      </w:r>
    </w:p>
    <w:p w14:paraId="56FB4CE9" w14:textId="77777777" w:rsidR="003B0576" w:rsidRPr="0077705B" w:rsidRDefault="003B0576" w:rsidP="003B0576">
      <w:pPr>
        <w:pStyle w:val="1"/>
      </w:pPr>
      <w:r w:rsidRPr="0077705B">
        <w:rPr>
          <w:i/>
        </w:rPr>
        <w:t>Rinsate</w:t>
      </w:r>
      <w:r w:rsidRPr="0077705B">
        <w:t>—the liquid produced from the rinsing of the interior of any equipment or container that has come in direct contact with any pesticide.</w:t>
      </w:r>
    </w:p>
    <w:p w14:paraId="01C26894" w14:textId="77777777" w:rsidR="003B0576" w:rsidRPr="0077705B" w:rsidRDefault="003B0576" w:rsidP="003B0576">
      <w:pPr>
        <w:pStyle w:val="1"/>
      </w:pPr>
      <w:r w:rsidRPr="0077705B">
        <w:rPr>
          <w:i/>
        </w:rPr>
        <w:t>Secondary Containment Structure</w:t>
      </w:r>
      <w:r w:rsidRPr="0077705B">
        <w:t xml:space="preserve"> (for the purposes of Subpart J)—a structure, including rigid diking, that is designed</w:t>
      </w:r>
      <w:r>
        <w:t xml:space="preserve"> </w:t>
      </w:r>
      <w:r w:rsidRPr="0077705B">
        <w:t>and constructed to intercept and contain agricultural pesticide spills and leaks and to prevent runoff and leaching from stationary agricultural pesticide containers. These are described as new or existing with the required capacities in the following:</w:t>
      </w:r>
    </w:p>
    <w:p w14:paraId="1A32B8C1" w14:textId="77777777" w:rsidR="003B0576" w:rsidRPr="0077705B" w:rsidRDefault="003B0576" w:rsidP="003B0576">
      <w:pPr>
        <w:pStyle w:val="a0"/>
      </w:pPr>
      <w:r>
        <w:t>a</w:t>
      </w:r>
      <w:r w:rsidRPr="0077705B">
        <w:t>.</w:t>
      </w:r>
      <w:r w:rsidRPr="0077705B">
        <w:tab/>
        <w:t xml:space="preserve">new containment structures, un-protected from precipitation, 110 percent of the largest stationary container plus the displaced volume of other tanks and appurtenances within the containment area; or </w:t>
      </w:r>
    </w:p>
    <w:p w14:paraId="26E6866E" w14:textId="77777777" w:rsidR="003B0576" w:rsidRPr="0077705B" w:rsidRDefault="003B0576" w:rsidP="003B0576">
      <w:pPr>
        <w:pStyle w:val="a0"/>
      </w:pPr>
      <w:r>
        <w:t>b</w:t>
      </w:r>
      <w:r w:rsidRPr="0077705B">
        <w:t>.</w:t>
      </w:r>
      <w:r w:rsidRPr="0077705B">
        <w:tab/>
        <w:t xml:space="preserve">existing structures, un-protected from precipitation, 100 percent of the largest stationary container plus the displaced volume of other tanks and appurtenances within the containment area; or </w:t>
      </w:r>
    </w:p>
    <w:p w14:paraId="74BFEAEC" w14:textId="77777777" w:rsidR="003B0576" w:rsidRPr="0077705B" w:rsidRDefault="003B0576" w:rsidP="003B0576">
      <w:pPr>
        <w:pStyle w:val="a0"/>
      </w:pPr>
      <w:r>
        <w:t>c</w:t>
      </w:r>
      <w:r w:rsidRPr="0077705B">
        <w:t>.</w:t>
      </w:r>
      <w:r w:rsidRPr="0077705B">
        <w:tab/>
        <w:t>new or existing structures, protected from precipitation, 100 percent of the largest stationary container plus the displaced volume of other tanks and appurtenances within a containment area.</w:t>
      </w:r>
    </w:p>
    <w:p w14:paraId="01A44C16" w14:textId="77777777" w:rsidR="003B0576" w:rsidRPr="0077705B" w:rsidRDefault="003B0576" w:rsidP="003B0576">
      <w:pPr>
        <w:pStyle w:val="1"/>
      </w:pPr>
      <w:r w:rsidRPr="0077705B">
        <w:rPr>
          <w:i/>
        </w:rPr>
        <w:lastRenderedPageBreak/>
        <w:t>Stationary Pesticide Container</w:t>
      </w:r>
      <w:r w:rsidRPr="0077705B">
        <w:t>—a refillable container that is fixed at a single bulk facility or, if not fixed, remains at the bulk facility for at least 30 consecutive days, and that holds pesticide during the entire time. Stationary pesticide containers are subject to the regulations if they are designed to hold undivided quantities of pesticides equal to or greater than 500 gallons for liquids or 4000 pounds for dry pesticides.</w:t>
      </w:r>
    </w:p>
    <w:p w14:paraId="17078E49" w14:textId="77777777" w:rsidR="00CF626A" w:rsidRPr="001531CD" w:rsidRDefault="003B0576" w:rsidP="003B0576">
      <w:pPr>
        <w:pStyle w:val="AuthorityNote"/>
      </w:pPr>
      <w:r w:rsidRPr="0077705B">
        <w:t>AUTHORITY NOTE: Promulgated in accordance with R.S. 3:3202 and 3:3203.</w:t>
      </w:r>
    </w:p>
    <w:p w14:paraId="17EA3308" w14:textId="77777777" w:rsidR="00CF626A" w:rsidRPr="001531CD" w:rsidRDefault="00CF626A">
      <w:pPr>
        <w:pStyle w:val="HistoricalNote"/>
      </w:pPr>
      <w:r w:rsidRPr="001531CD">
        <w:t>HISTORICAL NOTE:</w:t>
      </w:r>
      <w:r w:rsidRPr="001531CD">
        <w:tab/>
        <w:t>Promulgated by the Department of Agriculture, Advisory Commission on Pesticides, LR 9:171 (April 1983), amended by the Department of Agriculture and Forestry, Advisory Commission on Pesticides, LR 15:76 (February 19</w:t>
      </w:r>
      <w:r w:rsidR="00326E2D" w:rsidRPr="001531CD">
        <w:t>89), LR 27:2085 (December 2001), amended by the Department of Agriculture and Forestry, Office of Agriculture and Environmental Sciences, Advisory Commission on Pesticides, LR 35:</w:t>
      </w:r>
      <w:r w:rsidR="00507D1B" w:rsidRPr="001531CD">
        <w:t>626 (April 2009), amended by</w:t>
      </w:r>
      <w:r w:rsidR="00E6129C">
        <w:t xml:space="preserve"> the</w:t>
      </w:r>
      <w:r w:rsidR="00507D1B" w:rsidRPr="001531CD">
        <w:t xml:space="preserve"> Department of Agriculture and Forestry, Office of Agricultural and Environmental Sciences, Advisory Commission on Pesticides, LR 37:</w:t>
      </w:r>
      <w:r w:rsidR="003312FE" w:rsidRPr="001531CD">
        <w:t xml:space="preserve">3466 (December 2011), </w:t>
      </w:r>
      <w:r w:rsidR="00E6129C">
        <w:t xml:space="preserve">amended </w:t>
      </w:r>
      <w:r w:rsidR="00871796" w:rsidRPr="001531CD">
        <w:t xml:space="preserve">by </w:t>
      </w:r>
      <w:r w:rsidR="00E6129C">
        <w:t xml:space="preserve">the </w:t>
      </w:r>
      <w:r w:rsidR="00871796" w:rsidRPr="001531CD">
        <w:t xml:space="preserve">Department of Agriculture and Forestry, Office of Agricultural and Environmental Sciences, </w:t>
      </w:r>
      <w:r w:rsidR="003312FE" w:rsidRPr="001531CD">
        <w:t>LR 38:</w:t>
      </w:r>
      <w:r w:rsidR="0085188F">
        <w:t xml:space="preserve">3103 (December 2012), </w:t>
      </w:r>
      <w:r w:rsidR="0085188F" w:rsidRPr="00DE6387">
        <w:t>LR 42:</w:t>
      </w:r>
      <w:r w:rsidR="0085188F">
        <w:t>730 (May 2016</w:t>
      </w:r>
      <w:r w:rsidR="00780C74" w:rsidRPr="003F655B">
        <w:t xml:space="preserve">), </w:t>
      </w:r>
      <w:r w:rsidR="00780C74">
        <w:t>amended by t</w:t>
      </w:r>
      <w:r w:rsidR="00780C74" w:rsidRPr="003F655B">
        <w:t xml:space="preserve">he Department of Agriculture and Forestry, Office of Agricultural and Environmental Sciences, Advisory Commission on Pesticides </w:t>
      </w:r>
      <w:r w:rsidR="00780C74">
        <w:t>LR 51:772 (June 2025).</w:t>
      </w:r>
    </w:p>
    <w:p w14:paraId="0EB474D7" w14:textId="77777777" w:rsidR="00507D1B" w:rsidRPr="001531CD" w:rsidRDefault="00507D1B" w:rsidP="00507D1B">
      <w:pPr>
        <w:pStyle w:val="Chapter"/>
      </w:pPr>
      <w:bookmarkStart w:id="2365" w:name="_Toc224819203"/>
      <w:r w:rsidRPr="001531CD">
        <w:t>Chapter 3.</w:t>
      </w:r>
      <w:r w:rsidRPr="001531CD">
        <w:tab/>
        <w:t>Advisory Commission on Pesticides</w:t>
      </w:r>
      <w:bookmarkEnd w:id="2365"/>
    </w:p>
    <w:p w14:paraId="3BF31D68" w14:textId="77777777" w:rsidR="00507D1B" w:rsidRPr="001531CD" w:rsidRDefault="00507D1B" w:rsidP="00507D1B">
      <w:pPr>
        <w:pStyle w:val="Section"/>
      </w:pPr>
      <w:bookmarkStart w:id="2366" w:name="_Toc194293938"/>
      <w:bookmarkStart w:id="2367" w:name="_Toc224819204"/>
      <w:r w:rsidRPr="001531CD">
        <w:t>§301.</w:t>
      </w:r>
      <w:r w:rsidRPr="001531CD">
        <w:tab/>
        <w:t>Filings with the Commission</w:t>
      </w:r>
      <w:bookmarkEnd w:id="2366"/>
      <w:bookmarkEnd w:id="2367"/>
    </w:p>
    <w:p w14:paraId="78BBF0F0" w14:textId="77777777" w:rsidR="00507D1B" w:rsidRPr="001531CD" w:rsidRDefault="00507D1B" w:rsidP="00507D1B">
      <w:pPr>
        <w:pStyle w:val="A"/>
      </w:pPr>
      <w:r w:rsidRPr="001531CD">
        <w:t>A.</w:t>
      </w:r>
      <w:r w:rsidRPr="001531CD">
        <w:tab/>
        <w:t>All notices, petitions, documents, or other correspondence to the commission or the commissioner shall be addressed and mailed to Department of Agriculture and Forestry, Office of Agricultural and Environmental Sciences, Advisory Commission on Pesticides, 5825 Florida Blvd, Baton Rouge, LA 70806.</w:t>
      </w:r>
    </w:p>
    <w:p w14:paraId="5D171ABA" w14:textId="77777777" w:rsidR="00CF626A" w:rsidRPr="001531CD" w:rsidRDefault="00507D1B" w:rsidP="00507D1B">
      <w:pPr>
        <w:pStyle w:val="AuthorityNote"/>
      </w:pPr>
      <w:r w:rsidRPr="001531CD">
        <w:t>AUTHORITY NOTE: Promulgated in accordance with R.S. 3:3203.</w:t>
      </w:r>
    </w:p>
    <w:p w14:paraId="5A692F01" w14:textId="77777777" w:rsidR="00CF626A" w:rsidRPr="001531CD" w:rsidRDefault="00CF626A">
      <w:pPr>
        <w:pStyle w:val="HistoricalNote"/>
      </w:pPr>
      <w:r w:rsidRPr="001531CD">
        <w:t>HISTORICAL NOTE:</w:t>
      </w:r>
      <w:r w:rsidRPr="001531CD">
        <w:tab/>
        <w:t>Promulgated by the Department of Agriculture, Advisory Commission on Pe</w:t>
      </w:r>
      <w:r w:rsidR="00507D1B" w:rsidRPr="001531CD">
        <w:t xml:space="preserve">sticides, LR 9:172 (April 1983), </w:t>
      </w:r>
      <w:r w:rsidR="00280EC9" w:rsidRPr="001531CD">
        <w:t>repromulgated by Department of Agriculture and Forestry, Office of Agricultural and Environmental Sciences, Advisory Commission on Pesticides, LR 37:3467 (December 2011).</w:t>
      </w:r>
    </w:p>
    <w:p w14:paraId="103D269D" w14:textId="77777777" w:rsidR="00CF626A" w:rsidRPr="001531CD" w:rsidRDefault="00280EC9" w:rsidP="0094787D">
      <w:pPr>
        <w:pStyle w:val="Section"/>
        <w:spacing w:after="80"/>
      </w:pPr>
      <w:bookmarkStart w:id="2368" w:name="_Toc256754825"/>
      <w:bookmarkStart w:id="2369" w:name="_Toc224819205"/>
      <w:r w:rsidRPr="001531CD">
        <w:t>§303.</w:t>
      </w:r>
      <w:r w:rsidR="00CF626A" w:rsidRPr="001531CD">
        <w:tab/>
        <w:t>Chairman; Presiding Officer</w:t>
      </w:r>
      <w:bookmarkEnd w:id="2368"/>
      <w:bookmarkEnd w:id="2369"/>
    </w:p>
    <w:p w14:paraId="14FF0212" w14:textId="77777777" w:rsidR="00280EC9" w:rsidRPr="001531CD" w:rsidRDefault="00280EC9" w:rsidP="00280EC9">
      <w:pPr>
        <w:pStyle w:val="A"/>
      </w:pPr>
      <w:r w:rsidRPr="001531CD">
        <w:t>A.</w:t>
      </w:r>
      <w:r w:rsidRPr="001531CD">
        <w:tab/>
        <w:t>The chairman shall serve a term of one year or until a successor is elected. In the absence of the chairman, the vice-chairman shall preside. In the absence of both the chairman and the vice-chairman, the chairman's duly appointed representative shall preside.</w:t>
      </w:r>
    </w:p>
    <w:p w14:paraId="15FF2663" w14:textId="77777777" w:rsidR="00CF626A" w:rsidRPr="001531CD" w:rsidRDefault="00280EC9" w:rsidP="00280EC9">
      <w:pPr>
        <w:pStyle w:val="AuthorityNote"/>
      </w:pPr>
      <w:r w:rsidRPr="001531CD">
        <w:t>AUTHORITY NOTE: Promulgated in accordance with R.S. 3:3203 and R.S. 3:3212.</w:t>
      </w:r>
    </w:p>
    <w:p w14:paraId="78706021" w14:textId="77777777" w:rsidR="00CF626A" w:rsidRPr="001531CD" w:rsidRDefault="00CF626A">
      <w:pPr>
        <w:pStyle w:val="HistoricalNote"/>
      </w:pPr>
      <w:r w:rsidRPr="001531CD">
        <w:t>HISTORICAL NOTE:</w:t>
      </w:r>
      <w:r w:rsidRPr="001531CD">
        <w:tab/>
        <w:t>Promulgated by the Department of Agriculture, Advisory Commission on Pe</w:t>
      </w:r>
      <w:r w:rsidR="00280EC9" w:rsidRPr="001531CD">
        <w:t>sticides, LR 9:172 (April 1983), repromulgated by Department of Agriculture and Forestry, Office of Agricultural and Environmental Sciences, Advisory Commission on Pesticides, LR 37:3467 (December 2011).</w:t>
      </w:r>
    </w:p>
    <w:p w14:paraId="0A24CCB9" w14:textId="77777777" w:rsidR="00280EC9" w:rsidRPr="001531CD" w:rsidRDefault="00280EC9" w:rsidP="00280EC9">
      <w:pPr>
        <w:pStyle w:val="Section"/>
      </w:pPr>
      <w:bookmarkStart w:id="2370" w:name="_Toc194293940"/>
      <w:bookmarkStart w:id="2371" w:name="_Toc224819206"/>
      <w:r w:rsidRPr="001531CD">
        <w:t>§305.</w:t>
      </w:r>
      <w:r w:rsidRPr="001531CD">
        <w:tab/>
        <w:t>Expulsion</w:t>
      </w:r>
      <w:bookmarkEnd w:id="2370"/>
      <w:bookmarkEnd w:id="2371"/>
    </w:p>
    <w:p w14:paraId="40CE9D10" w14:textId="77777777" w:rsidR="00280EC9" w:rsidRPr="001531CD" w:rsidRDefault="00280EC9" w:rsidP="00280EC9">
      <w:pPr>
        <w:pStyle w:val="A"/>
      </w:pPr>
      <w:r w:rsidRPr="001531CD">
        <w:t>A.</w:t>
      </w:r>
      <w:r w:rsidRPr="001531CD">
        <w:tab/>
        <w:t xml:space="preserve">Each member being considered for expulsion and his sponsoring group, if any, shall be notified of the upcoming action at least 15 days before the commission meeting at </w:t>
      </w:r>
      <w:r w:rsidRPr="001531CD">
        <w:t>which the action is to be considered. This notice shall be by certified mail. The commission may excuse an absence of a member.</w:t>
      </w:r>
    </w:p>
    <w:p w14:paraId="516C5012" w14:textId="77777777" w:rsidR="00CF626A" w:rsidRPr="001531CD" w:rsidRDefault="00280EC9" w:rsidP="00280EC9">
      <w:pPr>
        <w:pStyle w:val="AuthorityNote"/>
      </w:pPr>
      <w:r w:rsidRPr="001531CD">
        <w:t>AUTHORITY NOTE: Promulgated in accordance with R.S. 3:3203 and R.S. 3:3211.</w:t>
      </w:r>
    </w:p>
    <w:p w14:paraId="43489389" w14:textId="77777777" w:rsidR="00CF626A" w:rsidRPr="001531CD" w:rsidRDefault="00CF626A">
      <w:pPr>
        <w:pStyle w:val="HistoricalNote"/>
      </w:pPr>
      <w:r w:rsidRPr="001531CD">
        <w:t>HISTORICAL NOTE:</w:t>
      </w:r>
      <w:r w:rsidRPr="001531CD">
        <w:tab/>
        <w:t>Promulgated by the Department of Agriculture, Advisory Commission on Pe</w:t>
      </w:r>
      <w:r w:rsidR="00280EC9" w:rsidRPr="001531CD">
        <w:t>sticides, LR 9:172 (April 1983), repromulgated by Department of Agriculture and Forestry, Office of Agricultural and Environmental Sciences, Advisory Commission on Pesticides, LR 37:3467 (December 2011).</w:t>
      </w:r>
    </w:p>
    <w:p w14:paraId="5250D62B" w14:textId="77777777" w:rsidR="0085188F" w:rsidRPr="00DE6387" w:rsidRDefault="0085188F" w:rsidP="0085188F">
      <w:pPr>
        <w:pStyle w:val="Section"/>
      </w:pPr>
      <w:bookmarkStart w:id="2372" w:name="_Toc419795880"/>
      <w:bookmarkStart w:id="2373" w:name="_Toc224819207"/>
      <w:r w:rsidRPr="00DE6387">
        <w:t>§307.</w:t>
      </w:r>
      <w:r w:rsidRPr="00DE6387">
        <w:tab/>
        <w:t xml:space="preserve">Requests for </w:t>
      </w:r>
      <w:bookmarkEnd w:id="2372"/>
      <w:r w:rsidRPr="00DE6387">
        <w:t>Adoption, Amendment or Repeal of a Rule</w:t>
      </w:r>
      <w:bookmarkEnd w:id="2373"/>
    </w:p>
    <w:p w14:paraId="023522F1" w14:textId="77777777" w:rsidR="0085188F" w:rsidRPr="00DE6387" w:rsidRDefault="0085188F" w:rsidP="0085188F">
      <w:pPr>
        <w:pStyle w:val="A"/>
      </w:pPr>
      <w:r w:rsidRPr="00DE6387">
        <w:t>A.</w:t>
      </w:r>
      <w:r>
        <w:tab/>
      </w:r>
      <w:r w:rsidRPr="00DE6387">
        <w:t>Any interested person may, pursuant to R.S. 49:953(C), request the commissioner adopt, amend, or repeal a rule (“rule change”) that the commissioner has the authority to make.</w:t>
      </w:r>
    </w:p>
    <w:p w14:paraId="4B8A1991" w14:textId="77777777" w:rsidR="0085188F" w:rsidRPr="00DE6387" w:rsidRDefault="0085188F" w:rsidP="0085188F">
      <w:pPr>
        <w:pStyle w:val="A"/>
      </w:pPr>
      <w:r>
        <w:t>B.</w:t>
      </w:r>
      <w:r>
        <w:tab/>
      </w:r>
      <w:r w:rsidRPr="00DE6387">
        <w:t>A request for a rule change shall be in writing, be signed by the person making the request, and shall contain the following information:</w:t>
      </w:r>
    </w:p>
    <w:p w14:paraId="0C03BB5B" w14:textId="77777777" w:rsidR="0085188F" w:rsidRPr="00DE6387" w:rsidRDefault="0085188F" w:rsidP="0085188F">
      <w:pPr>
        <w:pStyle w:val="1"/>
      </w:pPr>
      <w:r w:rsidRPr="00DE6387">
        <w:t>1.</w:t>
      </w:r>
      <w:r>
        <w:tab/>
      </w:r>
      <w:r w:rsidRPr="00DE6387">
        <w:t>a statement of whether the requested rule change involves the adoption, amendment, or repeal of a r</w:t>
      </w:r>
      <w:r>
        <w:t>ule, or any combination thereof;</w:t>
      </w:r>
    </w:p>
    <w:p w14:paraId="063736DA" w14:textId="77777777" w:rsidR="0085188F" w:rsidRPr="00DE6387" w:rsidRDefault="0085188F" w:rsidP="0085188F">
      <w:pPr>
        <w:pStyle w:val="1"/>
      </w:pPr>
      <w:r>
        <w:t>2.</w:t>
      </w:r>
      <w:r>
        <w:tab/>
      </w:r>
      <w:r w:rsidRPr="00DE6387">
        <w:t xml:space="preserve">a citation to the existing rule for which an amendment or repeal is being requested or a statement that the rule will be a new </w:t>
      </w:r>
      <w:r>
        <w:t>rule, if proposed for adoption;</w:t>
      </w:r>
    </w:p>
    <w:p w14:paraId="0F4003CB" w14:textId="77777777" w:rsidR="0085188F" w:rsidRPr="00DE6387" w:rsidRDefault="0085188F" w:rsidP="0085188F">
      <w:pPr>
        <w:pStyle w:val="1"/>
      </w:pPr>
      <w:r w:rsidRPr="00DE6387">
        <w:t>3.</w:t>
      </w:r>
      <w:r>
        <w:tab/>
      </w:r>
      <w:r w:rsidRPr="00DE6387">
        <w:t>a draft of the proposed wording of the requested rule change or a statement detailing the content of the requ</w:t>
      </w:r>
      <w:r>
        <w:t>ested rule change;</w:t>
      </w:r>
    </w:p>
    <w:p w14:paraId="25DE37DF" w14:textId="77777777" w:rsidR="0085188F" w:rsidRPr="00DE6387" w:rsidRDefault="0085188F" w:rsidP="0085188F">
      <w:pPr>
        <w:pStyle w:val="1"/>
      </w:pPr>
      <w:r w:rsidRPr="00DE6387">
        <w:t>4.</w:t>
      </w:r>
      <w:r>
        <w:tab/>
      </w:r>
      <w:r w:rsidRPr="00DE6387">
        <w:t>a statement o</w:t>
      </w:r>
      <w:r>
        <w:t>f why the request is being made;</w:t>
      </w:r>
    </w:p>
    <w:p w14:paraId="59123788" w14:textId="77777777" w:rsidR="0085188F" w:rsidRPr="00DE6387" w:rsidRDefault="0085188F" w:rsidP="0085188F">
      <w:pPr>
        <w:pStyle w:val="1"/>
      </w:pPr>
      <w:r w:rsidRPr="00DE6387">
        <w:t>5.</w:t>
      </w:r>
      <w:r>
        <w:tab/>
      </w:r>
      <w:r w:rsidRPr="00DE6387">
        <w:t>a simple, concise and direct statement of the material facts that the requesting party believes su</w:t>
      </w:r>
      <w:r>
        <w:t>pport the requested rule change;</w:t>
      </w:r>
    </w:p>
    <w:p w14:paraId="2AE94E39" w14:textId="77777777" w:rsidR="0085188F" w:rsidRPr="00DE6387" w:rsidRDefault="0085188F" w:rsidP="0085188F">
      <w:pPr>
        <w:pStyle w:val="1"/>
      </w:pPr>
      <w:r w:rsidRPr="00DE6387">
        <w:t>6.</w:t>
      </w:r>
      <w:r>
        <w:tab/>
      </w:r>
      <w:r w:rsidRPr="00DE6387">
        <w:t>a statement of who would benefit from the requested rule change and how they would be benefited if not already included in any of the</w:t>
      </w:r>
      <w:r>
        <w:t xml:space="preserve"> previously required statements;</w:t>
      </w:r>
    </w:p>
    <w:p w14:paraId="536AB72C" w14:textId="77777777" w:rsidR="0085188F" w:rsidRPr="00DE6387" w:rsidRDefault="0085188F" w:rsidP="0085188F">
      <w:pPr>
        <w:pStyle w:val="1"/>
      </w:pPr>
      <w:r w:rsidRPr="00DE6387">
        <w:t>7.</w:t>
      </w:r>
      <w:r>
        <w:tab/>
      </w:r>
      <w:r w:rsidRPr="00DE6387">
        <w:t>if known, the specific citation to any statute(s) that specifically relates to the conte</w:t>
      </w:r>
      <w:r>
        <w:t>nt of the requested rule change;</w:t>
      </w:r>
    </w:p>
    <w:p w14:paraId="4002045A" w14:textId="77777777" w:rsidR="0085188F" w:rsidRPr="00DE6387" w:rsidRDefault="0085188F" w:rsidP="0085188F">
      <w:pPr>
        <w:pStyle w:val="1"/>
      </w:pPr>
      <w:r>
        <w:t>8.</w:t>
      </w:r>
      <w:r>
        <w:tab/>
      </w:r>
      <w:r w:rsidRPr="00DE6387">
        <w:t>the name, address, telephone number, and, if available, a fax number and e-mail address o</w:t>
      </w:r>
      <w:r>
        <w:t>f the person making the request;</w:t>
      </w:r>
    </w:p>
    <w:p w14:paraId="286DC3B8" w14:textId="77777777" w:rsidR="0085188F" w:rsidRPr="00DE6387" w:rsidRDefault="0085188F" w:rsidP="0085188F">
      <w:pPr>
        <w:pStyle w:val="1"/>
      </w:pPr>
      <w:r>
        <w:t>9.</w:t>
      </w:r>
      <w:r>
        <w:tab/>
      </w:r>
      <w:r w:rsidRPr="00DE6387">
        <w:t>a request that does not comply with the Paragraphs in this Subsection shall be returned to the requesting party with an attached statement explaining why the request is incomplete.</w:t>
      </w:r>
    </w:p>
    <w:p w14:paraId="15FA2737" w14:textId="77777777" w:rsidR="0085188F" w:rsidRPr="00DE6387" w:rsidRDefault="0085188F" w:rsidP="0085188F">
      <w:pPr>
        <w:pStyle w:val="A"/>
      </w:pPr>
      <w:r>
        <w:t>C.</w:t>
      </w:r>
      <w:r>
        <w:tab/>
      </w:r>
      <w:r w:rsidRPr="00DE6387">
        <w:t>The written request for a rule change shall be addressed to the director of the Advisory Commission on Pesticides and shall be mailed or hand delivered to 5825 Florida Boulevard, Suite 3003, Baton Rouge, LA 70806.</w:t>
      </w:r>
    </w:p>
    <w:p w14:paraId="38BF1364" w14:textId="77777777" w:rsidR="0085188F" w:rsidRPr="00DE6387" w:rsidRDefault="0085188F" w:rsidP="0085188F">
      <w:pPr>
        <w:pStyle w:val="A"/>
      </w:pPr>
      <w:r>
        <w:t>D.</w:t>
      </w:r>
      <w:r>
        <w:tab/>
      </w:r>
      <w:r w:rsidRPr="00DE6387">
        <w:t>The request for a rule change shall be presented to the commissioner for due consideration.</w:t>
      </w:r>
    </w:p>
    <w:p w14:paraId="1557B5D4" w14:textId="77777777" w:rsidR="0085188F" w:rsidRPr="00DE6387" w:rsidRDefault="0085188F" w:rsidP="0085188F">
      <w:pPr>
        <w:pStyle w:val="1"/>
      </w:pPr>
      <w:r w:rsidRPr="00DE6387">
        <w:t>1.</w:t>
      </w:r>
      <w:r>
        <w:tab/>
      </w:r>
      <w:r w:rsidRPr="00DE6387">
        <w:t xml:space="preserve">The commissioner or an officer of the department statutorily authorized to make the rule change may make a </w:t>
      </w:r>
      <w:r w:rsidRPr="00DE6387">
        <w:lastRenderedPageBreak/>
        <w:t>decision regarding the requested rule change without the necessity of meeting with the requesting party in person.</w:t>
      </w:r>
    </w:p>
    <w:p w14:paraId="60E738F7" w14:textId="77777777" w:rsidR="0085188F" w:rsidRPr="00DE6387" w:rsidRDefault="0085188F" w:rsidP="0085188F">
      <w:pPr>
        <w:pStyle w:val="a0"/>
      </w:pPr>
      <w:r>
        <w:t>a.</w:t>
      </w:r>
      <w:r>
        <w:tab/>
      </w:r>
      <w:r w:rsidRPr="00DE6387">
        <w:t>A decision will be made within 30 days of receipt of the written request unless referred to the commission as provided in Paragraph 2 of this Subsection or unless taken under consideration.</w:t>
      </w:r>
    </w:p>
    <w:p w14:paraId="2181495A" w14:textId="77777777" w:rsidR="0085188F" w:rsidRPr="00DE6387" w:rsidRDefault="0085188F" w:rsidP="0085188F">
      <w:pPr>
        <w:pStyle w:val="a0"/>
      </w:pPr>
      <w:r>
        <w:t>b.</w:t>
      </w:r>
      <w:r>
        <w:tab/>
      </w:r>
      <w:r w:rsidRPr="00DE6387">
        <w:t>The requesting party shall be notified in writing or by electronic means of the commissioner’s decision.</w:t>
      </w:r>
    </w:p>
    <w:p w14:paraId="77E7D191" w14:textId="77777777" w:rsidR="0085188F" w:rsidRPr="00DE6387" w:rsidRDefault="0085188F" w:rsidP="0085188F">
      <w:pPr>
        <w:pStyle w:val="1"/>
      </w:pPr>
      <w:r w:rsidRPr="00DE6387">
        <w:t>2.</w:t>
      </w:r>
      <w:r>
        <w:tab/>
      </w:r>
      <w:r w:rsidRPr="00DE6387">
        <w:t>The commissioner may direct that the request for a rule change be presented to the commission for review and recommendation.</w:t>
      </w:r>
      <w:r>
        <w:t xml:space="preserve"> </w:t>
      </w:r>
      <w:r w:rsidRPr="00DE6387">
        <w:t>In such case, the request shall be presented to the commission at its next regularly scheduled meeting.</w:t>
      </w:r>
      <w:r>
        <w:t xml:space="preserve"> </w:t>
      </w:r>
      <w:r w:rsidRPr="00DE6387">
        <w:t xml:space="preserve">If the next regularly scheduled meeting is more than </w:t>
      </w:r>
      <w:r>
        <w:t>30</w:t>
      </w:r>
      <w:r w:rsidRPr="00DE6387">
        <w:t xml:space="preserve"> days from the date the request for a rule change was received by the department, the chairman of the commission may call a special meeting for the purpose of hearing the request. The proposed rule change shall be reviewed by the agency’s staff which may participate in any discussion and make any recommendations to the commission that the staff deems proper.</w:t>
      </w:r>
    </w:p>
    <w:p w14:paraId="135F99A5" w14:textId="77777777" w:rsidR="0085188F" w:rsidRPr="00DE6387" w:rsidRDefault="0085188F" w:rsidP="0085188F">
      <w:pPr>
        <w:pStyle w:val="a0"/>
      </w:pPr>
      <w:r>
        <w:t>a.</w:t>
      </w:r>
      <w:r>
        <w:tab/>
      </w:r>
      <w:r w:rsidRPr="00DE6387">
        <w:t xml:space="preserve">Notice of the meeting and the placement of the request on the agenda shall be provided to the person submitting the request at least 10 days prior to the meeting. </w:t>
      </w:r>
    </w:p>
    <w:p w14:paraId="55960D0E" w14:textId="77777777" w:rsidR="0085188F" w:rsidRPr="00DE6387" w:rsidRDefault="0085188F" w:rsidP="0085188F">
      <w:pPr>
        <w:pStyle w:val="a0"/>
      </w:pPr>
      <w:r>
        <w:t>b.</w:t>
      </w:r>
      <w:r>
        <w:tab/>
      </w:r>
      <w:r w:rsidRPr="00DE6387">
        <w:t>Failure of the requesting party to attend the meeting for purposes of discussing the proposed rule change may be cause for the request to be denied.</w:t>
      </w:r>
    </w:p>
    <w:p w14:paraId="787FC22D" w14:textId="77777777" w:rsidR="0085188F" w:rsidRPr="00DE6387" w:rsidRDefault="0085188F" w:rsidP="0085188F">
      <w:pPr>
        <w:pStyle w:val="a0"/>
      </w:pPr>
      <w:r>
        <w:t>c.</w:t>
      </w:r>
      <w:r>
        <w:tab/>
      </w:r>
      <w:r w:rsidRPr="00DE6387">
        <w:t>The commission may take the matter under consideration or defer action pending further information.</w:t>
      </w:r>
      <w:r>
        <w:t xml:space="preserve"> </w:t>
      </w:r>
      <w:r w:rsidRPr="00DE6387">
        <w:t xml:space="preserve">If the matter is taken under consideration or action is deferred, then it will be taken up again at the next regularly scheduled meeting of the agency. </w:t>
      </w:r>
    </w:p>
    <w:p w14:paraId="58492E5C" w14:textId="77777777" w:rsidR="0085188F" w:rsidRPr="00DE6387" w:rsidRDefault="0085188F" w:rsidP="0085188F">
      <w:pPr>
        <w:pStyle w:val="a0"/>
      </w:pPr>
      <w:r>
        <w:t>d.</w:t>
      </w:r>
      <w:r>
        <w:tab/>
      </w:r>
      <w:r w:rsidRPr="00DE6387">
        <w:t>The commission shall make a recommendation to the commissioner on the request for a rule change.</w:t>
      </w:r>
      <w:r>
        <w:t xml:space="preserve"> </w:t>
      </w:r>
      <w:r w:rsidRPr="00DE6387">
        <w:t>The person requesting the rule change shall be notified in writing or by electronic means of the commissioner’s decision.</w:t>
      </w:r>
    </w:p>
    <w:p w14:paraId="0A845C90" w14:textId="77777777" w:rsidR="00280EC9" w:rsidRPr="001531CD" w:rsidRDefault="0085188F" w:rsidP="0085188F">
      <w:pPr>
        <w:pStyle w:val="A"/>
      </w:pPr>
      <w:r w:rsidRPr="00DE6387">
        <w:t>E.</w:t>
      </w:r>
      <w:r>
        <w:tab/>
      </w:r>
      <w:r w:rsidRPr="00DE6387">
        <w:t>The agency, in its review of the requested rule change, shall be exercising its rulemaking powers under the Administrative Procedure Act (R.S. 49:950</w:t>
      </w:r>
      <w:r w:rsidRPr="001C49B1">
        <w:t xml:space="preserve"> et seq.)</w:t>
      </w:r>
      <w:r w:rsidRPr="00DE6387">
        <w:t xml:space="preserve"> and its decision shall be a discretionary exercise of its rulemaking powers and shall not be a “decision” or “order” as defined in the Administrative Procedure Act.</w:t>
      </w:r>
    </w:p>
    <w:p w14:paraId="12DFAB53" w14:textId="77777777" w:rsidR="0085188F" w:rsidRDefault="0085188F" w:rsidP="0085188F">
      <w:pPr>
        <w:pStyle w:val="AuthorityNote"/>
      </w:pPr>
      <w:r w:rsidRPr="00DE6387">
        <w:t>AUTHORITY</w:t>
      </w:r>
      <w:r>
        <w:t xml:space="preserve"> NOTE:</w:t>
      </w:r>
      <w:r>
        <w:tab/>
      </w:r>
      <w:r w:rsidRPr="00DE6387">
        <w:t>Promulgated in accordance with R.S. 3:3203 and R.S. 49:953.</w:t>
      </w:r>
    </w:p>
    <w:p w14:paraId="29BC4CAC" w14:textId="77777777" w:rsidR="00280EC9" w:rsidRDefault="004A74D9" w:rsidP="00280EC9">
      <w:pPr>
        <w:pStyle w:val="HistoricalNote"/>
      </w:pPr>
      <w:r>
        <w:t>HISTORICAL NOTE:</w:t>
      </w:r>
      <w:r>
        <w:tab/>
      </w:r>
      <w:r w:rsidR="00280EC9" w:rsidRPr="001531CD">
        <w:t>Promulgated by the Department of Agriculture and Forestry, Office of Agricultural and Environmental Sciences, Advisory Commission on Pestici</w:t>
      </w:r>
      <w:r w:rsidR="0085188F">
        <w:t xml:space="preserve">des, LR 37:3467 (December 2011), </w:t>
      </w:r>
      <w:r w:rsidR="00BC52D2">
        <w:t xml:space="preserve">amended </w:t>
      </w:r>
      <w:r w:rsidR="00BC52D2" w:rsidRPr="00DE6387">
        <w:t>by the Department of Agriculture and Forestry, Office of Agricultural and Environmental Sciences,</w:t>
      </w:r>
      <w:r w:rsidR="00BC52D2">
        <w:t xml:space="preserve"> </w:t>
      </w:r>
      <w:r w:rsidR="00BC52D2" w:rsidRPr="00DE6387">
        <w:t>LR 42:</w:t>
      </w:r>
      <w:r w:rsidR="00BC52D2">
        <w:t>731 (May 2016).</w:t>
      </w:r>
    </w:p>
    <w:p w14:paraId="37D61AD5" w14:textId="77777777" w:rsidR="00BC52D2" w:rsidRPr="00DE6387" w:rsidRDefault="00BC52D2" w:rsidP="00BC52D2">
      <w:pPr>
        <w:pStyle w:val="Section"/>
      </w:pPr>
      <w:bookmarkStart w:id="2374" w:name="_Toc224819208"/>
      <w:r w:rsidRPr="00DE6387">
        <w:t>§309.</w:t>
      </w:r>
      <w:r>
        <w:tab/>
      </w:r>
      <w:r w:rsidRPr="00DE6387">
        <w:t>Procedure for Declaratory Orders and Rulings</w:t>
      </w:r>
      <w:bookmarkEnd w:id="2374"/>
    </w:p>
    <w:p w14:paraId="2BD027A2" w14:textId="77777777" w:rsidR="00BC52D2" w:rsidRPr="00DE6387" w:rsidRDefault="00BC52D2" w:rsidP="00BC52D2">
      <w:pPr>
        <w:pStyle w:val="A"/>
      </w:pPr>
      <w:r w:rsidRPr="00DE6387">
        <w:t>A.</w:t>
      </w:r>
      <w:r>
        <w:tab/>
      </w:r>
      <w:r w:rsidRPr="00DE6387">
        <w:t xml:space="preserve">This rule provides for the filing and prompt disposition of petitions or requests for declaratory orders and rulings as to the applicability of any statutory provision or as to the applicability or validity of any rule or order of the agency, as </w:t>
      </w:r>
      <w:r w:rsidRPr="00DE6387">
        <w:t>required by R.S.</w:t>
      </w:r>
      <w:r>
        <w:t xml:space="preserve"> </w:t>
      </w:r>
      <w:r w:rsidRPr="00DE6387">
        <w:t>49:962 and 49:963(D) of the Administrative Procedure Act.</w:t>
      </w:r>
    </w:p>
    <w:p w14:paraId="6B8D4BEA" w14:textId="77777777" w:rsidR="00BC52D2" w:rsidRPr="00DE6387" w:rsidRDefault="00BC52D2" w:rsidP="00BC52D2">
      <w:pPr>
        <w:pStyle w:val="A"/>
      </w:pPr>
      <w:r w:rsidRPr="00DE6387">
        <w:t>B.</w:t>
      </w:r>
      <w:r>
        <w:tab/>
      </w:r>
      <w:r w:rsidRPr="00DE6387">
        <w:t>No technical form of making a request is required but a request for a declaratory order or ruling shall be made in writing, shall be signed by the person making the request, and shall contain the following information:</w:t>
      </w:r>
    </w:p>
    <w:p w14:paraId="26A63696" w14:textId="77777777" w:rsidR="00BC52D2" w:rsidRPr="00DE6387" w:rsidRDefault="00BC52D2" w:rsidP="00BC52D2">
      <w:pPr>
        <w:pStyle w:val="1"/>
      </w:pPr>
      <w:r w:rsidRPr="00DE6387">
        <w:t>1.</w:t>
      </w:r>
      <w:r>
        <w:tab/>
      </w:r>
      <w:r w:rsidRPr="00DE6387">
        <w:t>a citation to the specific statutory provision, rule or order that will be the subject of t</w:t>
      </w:r>
      <w:r>
        <w:t>he declaratory order or ruling;</w:t>
      </w:r>
    </w:p>
    <w:p w14:paraId="5188E598" w14:textId="77777777" w:rsidR="00BC52D2" w:rsidRPr="00DE6387" w:rsidRDefault="00BC52D2" w:rsidP="00BC52D2">
      <w:pPr>
        <w:pStyle w:val="1"/>
      </w:pPr>
      <w:r w:rsidRPr="00DE6387">
        <w:t>2.</w:t>
      </w:r>
      <w:r>
        <w:tab/>
      </w:r>
      <w:r w:rsidRPr="00DE6387">
        <w:t>a simple, concise, and direct statement of the material facts that the requesting party believes the agency should be awa</w:t>
      </w:r>
      <w:r>
        <w:t>re of in making a determination;</w:t>
      </w:r>
    </w:p>
    <w:p w14:paraId="0BDCCE8A" w14:textId="77777777" w:rsidR="00BC52D2" w:rsidRPr="00DE6387" w:rsidRDefault="00BC52D2" w:rsidP="00BC52D2">
      <w:pPr>
        <w:pStyle w:val="1"/>
      </w:pPr>
      <w:r w:rsidRPr="00DE6387">
        <w:t>3.</w:t>
      </w:r>
      <w:r>
        <w:tab/>
      </w:r>
      <w:r w:rsidRPr="00DE6387">
        <w:t>a concise statement of why the declaratory ord</w:t>
      </w:r>
      <w:r>
        <w:t>er or ruling is being requested;</w:t>
      </w:r>
    </w:p>
    <w:p w14:paraId="30EC4133" w14:textId="77777777" w:rsidR="00BC52D2" w:rsidRPr="00DE6387" w:rsidRDefault="00BC52D2" w:rsidP="00BC52D2">
      <w:pPr>
        <w:pStyle w:val="1"/>
      </w:pPr>
      <w:r w:rsidRPr="00DE6387">
        <w:t>4.</w:t>
      </w:r>
      <w:r>
        <w:tab/>
      </w:r>
      <w:r w:rsidRPr="00DE6387">
        <w:t>a short, simple and direct statement of how the requesting part</w:t>
      </w:r>
      <w:r>
        <w:t>y would like the agency to rule;</w:t>
      </w:r>
    </w:p>
    <w:p w14:paraId="728E1CCA" w14:textId="77777777" w:rsidR="00BC52D2" w:rsidRPr="00DE6387" w:rsidRDefault="00BC52D2" w:rsidP="00BC52D2">
      <w:pPr>
        <w:pStyle w:val="1"/>
      </w:pPr>
      <w:r>
        <w:t>5.</w:t>
      </w:r>
      <w:r>
        <w:tab/>
      </w:r>
      <w:r w:rsidRPr="00DE6387">
        <w:t>a short, simple, and direct statement of the statute, cases, opinions, or other legal authority that the requesting party believes support the reques</w:t>
      </w:r>
      <w:r>
        <w:t>ted declaratory order or ruling;</w:t>
      </w:r>
    </w:p>
    <w:p w14:paraId="50F3545D" w14:textId="77777777" w:rsidR="00BC52D2" w:rsidRPr="00DE6387" w:rsidRDefault="00BC52D2" w:rsidP="00BC52D2">
      <w:pPr>
        <w:pStyle w:val="1"/>
      </w:pPr>
      <w:r w:rsidRPr="00DE6387">
        <w:t>6.</w:t>
      </w:r>
      <w:r>
        <w:tab/>
      </w:r>
      <w:r w:rsidRPr="00DE6387">
        <w:t>a list of all persons that the requesting party may call to testify and a list of all documents that may be submitted as evidence, if the agency decides to h</w:t>
      </w:r>
      <w:r>
        <w:t>ear testimony and take evidence;</w:t>
      </w:r>
    </w:p>
    <w:p w14:paraId="21F84BAE" w14:textId="77777777" w:rsidR="00BC52D2" w:rsidRPr="00DE6387" w:rsidRDefault="00BC52D2" w:rsidP="00BC52D2">
      <w:pPr>
        <w:pStyle w:val="1"/>
      </w:pPr>
      <w:r w:rsidRPr="00DE6387">
        <w:t>7.</w:t>
      </w:r>
      <w:r>
        <w:tab/>
      </w:r>
      <w:r w:rsidRPr="00DE6387">
        <w:t>the name, address, telephone number, and, if available, a fax number and e-mail address of the person making the request.</w:t>
      </w:r>
      <w:r>
        <w:t xml:space="preserve"> </w:t>
      </w:r>
      <w:r w:rsidRPr="00DE6387">
        <w:t xml:space="preserve">This information shall be either printed on any letterhead or provided in the written request in </w:t>
      </w:r>
      <w:r>
        <w:t>legible form;</w:t>
      </w:r>
    </w:p>
    <w:p w14:paraId="4D7C0829" w14:textId="77777777" w:rsidR="00BC52D2" w:rsidRPr="00DE6387" w:rsidRDefault="00BC52D2" w:rsidP="00BC52D2">
      <w:pPr>
        <w:pStyle w:val="1"/>
      </w:pPr>
      <w:r>
        <w:t>8.</w:t>
      </w:r>
      <w:r>
        <w:tab/>
      </w:r>
      <w:r w:rsidRPr="00DE6387">
        <w:t>a request that does not comply with the Paragraphs in this Subsection shall be returned to the requesting party with an attached statement explaining why the request is incomplete.</w:t>
      </w:r>
    </w:p>
    <w:p w14:paraId="2A51DE58" w14:textId="77777777" w:rsidR="00BC52D2" w:rsidRPr="00DE6387" w:rsidRDefault="00BC52D2" w:rsidP="00BC52D2">
      <w:pPr>
        <w:pStyle w:val="A"/>
      </w:pPr>
      <w:r>
        <w:t>C.</w:t>
      </w:r>
      <w:r>
        <w:tab/>
      </w:r>
      <w:r w:rsidRPr="00DE6387">
        <w:t>A written request for a declaratory order or ruling shall be addressed to the director of the Advisory Commission on Pesticides and shall be mailed or delivered to 5825 Florida Boulevard, Suite 3003, Baton Rouge, LA 708</w:t>
      </w:r>
      <w:r>
        <w:t>06.</w:t>
      </w:r>
    </w:p>
    <w:p w14:paraId="21CB9A75" w14:textId="77777777" w:rsidR="00BC52D2" w:rsidRPr="00DE6387" w:rsidRDefault="00BC52D2" w:rsidP="00BC52D2">
      <w:pPr>
        <w:pStyle w:val="A"/>
      </w:pPr>
      <w:r>
        <w:t>D.</w:t>
      </w:r>
      <w:r>
        <w:tab/>
      </w:r>
      <w:r w:rsidRPr="00DE6387">
        <w:t>The request for a declaratory order or</w:t>
      </w:r>
      <w:r>
        <w:t xml:space="preserve"> ruling</w:t>
      </w:r>
      <w:r w:rsidRPr="00DE6387">
        <w:t xml:space="preserve"> shall be referred by the commissioner to the commission for review and recommendation.</w:t>
      </w:r>
      <w:r>
        <w:t xml:space="preserve"> </w:t>
      </w:r>
      <w:r w:rsidRPr="00DE6387">
        <w:t xml:space="preserve">The commission shall </w:t>
      </w:r>
      <w:r>
        <w:t>consider the request as follows.</w:t>
      </w:r>
    </w:p>
    <w:p w14:paraId="1AF12EBB" w14:textId="77777777" w:rsidR="00BC52D2" w:rsidRPr="00DE6387" w:rsidRDefault="00BC52D2" w:rsidP="00BC52D2">
      <w:pPr>
        <w:pStyle w:val="1"/>
      </w:pPr>
      <w:r w:rsidRPr="00DE6387">
        <w:t>1.</w:t>
      </w:r>
      <w:r>
        <w:tab/>
      </w:r>
      <w:r w:rsidRPr="00DE6387">
        <w:t>The request for a declaratory order shall be presented to the commission at its next regularly scheduled meeting that is more than 30 days after the request is received unless the department’s staff determines that the matter can be fairly heard at a meeting that is scheduled to be held less than 30 days after the request is received.</w:t>
      </w:r>
    </w:p>
    <w:p w14:paraId="319A8690" w14:textId="77777777" w:rsidR="00BC52D2" w:rsidRPr="00DE6387" w:rsidRDefault="00BC52D2" w:rsidP="00BC52D2">
      <w:pPr>
        <w:pStyle w:val="1"/>
      </w:pPr>
      <w:r>
        <w:t>2.</w:t>
      </w:r>
      <w:r>
        <w:tab/>
      </w:r>
      <w:r w:rsidRPr="00DE6387">
        <w:t>Notice of the meeting and the placement of the request on the agenda shall be provided at least 10 days prior to the meeting to the person submitting the requesting party.</w:t>
      </w:r>
    </w:p>
    <w:p w14:paraId="102918DC" w14:textId="77777777" w:rsidR="00BC52D2" w:rsidRPr="00DE6387" w:rsidRDefault="00BC52D2" w:rsidP="00BC52D2">
      <w:pPr>
        <w:pStyle w:val="1"/>
      </w:pPr>
      <w:r w:rsidRPr="00DE6387">
        <w:t>3</w:t>
      </w:r>
      <w:r>
        <w:t>.</w:t>
      </w:r>
      <w:r>
        <w:tab/>
      </w:r>
      <w:r w:rsidRPr="00DE6387">
        <w:t>Failure of the requesting party to attend the meeting for purposes of presenting the matter to the agency may be cause for the request to be denied.</w:t>
      </w:r>
    </w:p>
    <w:p w14:paraId="13AB5B88" w14:textId="77777777" w:rsidR="00BC52D2" w:rsidRPr="00DE6387" w:rsidRDefault="00BC52D2" w:rsidP="00BC52D2">
      <w:pPr>
        <w:pStyle w:val="1"/>
      </w:pPr>
      <w:r>
        <w:lastRenderedPageBreak/>
        <w:t>4.</w:t>
      </w:r>
      <w:r>
        <w:tab/>
      </w:r>
      <w:r w:rsidRPr="00DE6387">
        <w:t>The requesting party and the department may both call witnesses and present documentary evidence in regard to the matter.</w:t>
      </w:r>
      <w:r>
        <w:t xml:space="preserve"> </w:t>
      </w:r>
      <w:r w:rsidRPr="00DE6387">
        <w:t>The administrative proceeding shall be conducted in accordance with the Administrative Procedure Act.</w:t>
      </w:r>
      <w:r>
        <w:t xml:space="preserve"> </w:t>
      </w:r>
      <w:r w:rsidRPr="00DE6387">
        <w:t>The administrative proceeding shall be recorded and the decision of the agency shall be based on the record and evidence presented.</w:t>
      </w:r>
    </w:p>
    <w:p w14:paraId="2FE33F4F" w14:textId="77777777" w:rsidR="00BC52D2" w:rsidRPr="00DE6387" w:rsidRDefault="00BC52D2" w:rsidP="00BC52D2">
      <w:pPr>
        <w:pStyle w:val="1"/>
      </w:pPr>
      <w:r>
        <w:t>5.</w:t>
      </w:r>
      <w:r>
        <w:tab/>
      </w:r>
      <w:r w:rsidRPr="00DE6387">
        <w:t xml:space="preserve">The commission may take the matter under consideration or defer action pending further information. </w:t>
      </w:r>
    </w:p>
    <w:p w14:paraId="3C007771" w14:textId="77777777" w:rsidR="00BC52D2" w:rsidRPr="00DE6387" w:rsidRDefault="00BC52D2" w:rsidP="00BC52D2">
      <w:pPr>
        <w:pStyle w:val="1"/>
      </w:pPr>
      <w:r>
        <w:t>6.</w:t>
      </w:r>
      <w:r>
        <w:tab/>
      </w:r>
      <w:r w:rsidRPr="00DE6387">
        <w:t>The commission shall make a recommendation to the commissioner. The person requesting the declaratory meeting shall be notified in writing of the commissioner’s decision.</w:t>
      </w:r>
    </w:p>
    <w:p w14:paraId="78F2F74C" w14:textId="77777777" w:rsidR="00BC52D2" w:rsidRPr="00DE6387" w:rsidRDefault="00BC52D2" w:rsidP="00BC52D2">
      <w:pPr>
        <w:pStyle w:val="A"/>
      </w:pPr>
      <w:r w:rsidRPr="00DE6387">
        <w:t>E.</w:t>
      </w:r>
      <w:r>
        <w:tab/>
      </w:r>
      <w:r w:rsidRPr="00DE6387">
        <w:t>Judicial review of any declaratory order or ruling of the department shall be as provided by the Administrative Procedure Act.</w:t>
      </w:r>
    </w:p>
    <w:p w14:paraId="1C06293B" w14:textId="77777777" w:rsidR="00BC52D2" w:rsidRPr="00DE6387" w:rsidRDefault="00BC52D2" w:rsidP="00BC52D2">
      <w:pPr>
        <w:pStyle w:val="AuthorityNote"/>
      </w:pPr>
      <w:r>
        <w:t>AUTHORITY NOTE:</w:t>
      </w:r>
      <w:r>
        <w:tab/>
      </w:r>
      <w:r w:rsidRPr="00DE6387">
        <w:t>Promulgated in accordance with R.S. 3:3203, R.S. 49:962 and R.S. 49:953.</w:t>
      </w:r>
    </w:p>
    <w:p w14:paraId="33687169" w14:textId="77777777" w:rsidR="00BC52D2" w:rsidRPr="001531CD" w:rsidRDefault="00BC52D2" w:rsidP="00BC52D2">
      <w:pPr>
        <w:pStyle w:val="HistoricalNote"/>
      </w:pPr>
      <w:r w:rsidRPr="00DE6387">
        <w:t xml:space="preserve">HISTORICAL </w:t>
      </w:r>
      <w:r>
        <w:t>NOTE:</w:t>
      </w:r>
      <w:r>
        <w:tab/>
      </w:r>
      <w:r w:rsidRPr="00DE6387">
        <w:t>Promulgated by the Department of Agriculture and Forestry, Office of Agricultural and Environmental Sciences, LR 42:</w:t>
      </w:r>
      <w:r>
        <w:t>731 (May 2016).</w:t>
      </w:r>
    </w:p>
    <w:p w14:paraId="48D38CBB" w14:textId="77777777" w:rsidR="00280EC9" w:rsidRPr="001531CD" w:rsidRDefault="00280EC9" w:rsidP="00280EC9">
      <w:pPr>
        <w:pStyle w:val="Chapter"/>
      </w:pPr>
      <w:bookmarkStart w:id="2375" w:name="_Toc194293941"/>
      <w:bookmarkStart w:id="2376" w:name="TOCT_SubC163"/>
      <w:bookmarkStart w:id="2377" w:name="TOCT_SubC169"/>
      <w:bookmarkStart w:id="2378" w:name="_Toc224819209"/>
      <w:r w:rsidRPr="001531CD">
        <w:t>Chapter 5.</w:t>
      </w:r>
      <w:r w:rsidRPr="001531CD">
        <w:tab/>
        <w:t>Registration of Pesticides</w:t>
      </w:r>
      <w:bookmarkEnd w:id="2375"/>
      <w:bookmarkEnd w:id="2376"/>
      <w:bookmarkEnd w:id="2377"/>
      <w:bookmarkEnd w:id="2378"/>
    </w:p>
    <w:p w14:paraId="76CAB5A0" w14:textId="77777777" w:rsidR="00280EC9" w:rsidRPr="001531CD" w:rsidRDefault="00280EC9" w:rsidP="00280EC9">
      <w:pPr>
        <w:pStyle w:val="Section"/>
      </w:pPr>
      <w:bookmarkStart w:id="2379" w:name="_Toc194293942"/>
      <w:bookmarkStart w:id="2380" w:name="_Toc224819210"/>
      <w:r w:rsidRPr="001531CD">
        <w:t>§501.</w:t>
      </w:r>
      <w:r w:rsidRPr="001531CD">
        <w:tab/>
        <w:t>Registration Required</w:t>
      </w:r>
      <w:bookmarkEnd w:id="2379"/>
      <w:bookmarkEnd w:id="2380"/>
    </w:p>
    <w:p w14:paraId="59A6B734" w14:textId="77777777" w:rsidR="00280EC9" w:rsidRPr="001531CD" w:rsidRDefault="00280EC9" w:rsidP="00280EC9">
      <w:pPr>
        <w:pStyle w:val="A"/>
      </w:pPr>
      <w:r w:rsidRPr="001531CD">
        <w:t>A.</w:t>
      </w:r>
      <w:r w:rsidRPr="001531CD">
        <w:tab/>
        <w:t>No pesticide, including pharmaceuticals administered to livestock used for agricultural purposes, shall be sold, offered for sale, or distributed in this state without being registered by the manufacturer annually with the department. This registration shall expire on December 31 of each year.</w:t>
      </w:r>
    </w:p>
    <w:p w14:paraId="6BCF3E4C" w14:textId="77777777" w:rsidR="00CF626A" w:rsidRPr="001531CD" w:rsidRDefault="00280EC9" w:rsidP="00280EC9">
      <w:pPr>
        <w:pStyle w:val="AuthorityNote"/>
      </w:pPr>
      <w:r w:rsidRPr="001531CD">
        <w:t>AUTHORITY NOTE: Promulgated in accordance with R.S. 3:3203 and R.S. 3:3221.</w:t>
      </w:r>
    </w:p>
    <w:p w14:paraId="0895E5D8" w14:textId="77777777" w:rsidR="00CF626A" w:rsidRPr="001531CD" w:rsidRDefault="00CF626A">
      <w:pPr>
        <w:pStyle w:val="HistoricalNote"/>
      </w:pPr>
      <w:r w:rsidRPr="001531CD">
        <w:t>HISTORICAL NOTE:</w:t>
      </w:r>
      <w:r w:rsidRPr="001531CD">
        <w:tab/>
        <w:t>Promulgated by the Department of Agriculture, Advisory Commission on Pesticides, LR 9:172 (April 1983), amended by the Department of Agriculture and Forestry, Office of Agricultural and Environmental Scien</w:t>
      </w:r>
      <w:r w:rsidR="00280EC9" w:rsidRPr="001531CD">
        <w:t>ces, LR 27:2085 (December 2001), repromulgated by Department of Agriculture and Forestry, Office of Agricultural and Environmental Sciences, Advisory Commission on Pesticides, LR 37</w:t>
      </w:r>
      <w:r w:rsidR="00280EC9" w:rsidRPr="001531CD">
        <w:rPr>
          <w:noProof/>
        </w:rPr>
        <w:t>:3468 (December 2011).</w:t>
      </w:r>
    </w:p>
    <w:p w14:paraId="799F493C" w14:textId="77777777" w:rsidR="00280EC9" w:rsidRPr="001531CD" w:rsidRDefault="00280EC9" w:rsidP="00280EC9">
      <w:pPr>
        <w:pStyle w:val="Section"/>
      </w:pPr>
      <w:bookmarkStart w:id="2381" w:name="_Toc194293943"/>
      <w:bookmarkStart w:id="2382" w:name="_Toc224819211"/>
      <w:r w:rsidRPr="001531CD">
        <w:t>§503.</w:t>
      </w:r>
      <w:r w:rsidRPr="001531CD">
        <w:tab/>
        <w:t>Chart of Tolerances</w:t>
      </w:r>
      <w:bookmarkEnd w:id="2381"/>
      <w:bookmarkEnd w:id="2382"/>
    </w:p>
    <w:p w14:paraId="6EC984B8" w14:textId="77777777" w:rsidR="00280EC9" w:rsidRPr="001531CD" w:rsidRDefault="00280EC9" w:rsidP="00280EC9">
      <w:pPr>
        <w:pStyle w:val="A"/>
      </w:pPr>
      <w:r w:rsidRPr="001531CD">
        <w:t>A.</w:t>
      </w:r>
      <w:r w:rsidRPr="001531CD">
        <w:tab/>
        <w:t>Content of active ingredients on all pesticides should be at the level of guarantee. However, determination of compliance based on assay of a single sample shall be made as follows.</w:t>
      </w:r>
    </w:p>
    <w:p w14:paraId="43F585D9" w14:textId="77777777" w:rsidR="00280EC9" w:rsidRPr="001531CD" w:rsidRDefault="00280EC9" w:rsidP="00280EC9">
      <w:pPr>
        <w:pStyle w:val="1"/>
      </w:pPr>
      <w:r w:rsidRPr="001531CD">
        <w:t>1.</w:t>
      </w:r>
      <w:r w:rsidRPr="001531CD">
        <w:tab/>
        <w:t>A single sample whose assay deviates below the stated guarantee shall be considered in compliance except as noted in Paragraph 2, below, if its active ingredients are found to be within the following ranges.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62"/>
        <w:gridCol w:w="2363"/>
      </w:tblGrid>
      <w:tr w:rsidR="00280EC9" w:rsidRPr="001531CD" w14:paraId="13DFA57C" w14:textId="77777777" w:rsidTr="00280EC9">
        <w:trPr>
          <w:cantSplit/>
          <w:jc w:val="center"/>
        </w:trPr>
        <w:tc>
          <w:tcPr>
            <w:tcW w:w="2362" w:type="dxa"/>
            <w:shd w:val="clear" w:color="auto" w:fill="BFBFBF"/>
          </w:tcPr>
          <w:p w14:paraId="3D1CAB2D" w14:textId="77777777" w:rsidR="00280EC9" w:rsidRPr="001531CD" w:rsidRDefault="00280EC9" w:rsidP="00280EC9">
            <w:pPr>
              <w:keepNext/>
              <w:tabs>
                <w:tab w:val="left" w:pos="180"/>
                <w:tab w:val="left" w:pos="360"/>
                <w:tab w:val="left" w:pos="540"/>
                <w:tab w:val="left" w:pos="720"/>
                <w:tab w:val="left" w:pos="900"/>
                <w:tab w:val="left" w:pos="1080"/>
                <w:tab w:val="left" w:pos="1260"/>
              </w:tabs>
              <w:jc w:val="center"/>
              <w:rPr>
                <w:b/>
                <w:bCs/>
                <w:kern w:val="2"/>
                <w:sz w:val="16"/>
                <w:szCs w:val="16"/>
              </w:rPr>
            </w:pPr>
            <w:r w:rsidRPr="001531CD">
              <w:rPr>
                <w:b/>
                <w:bCs/>
                <w:kern w:val="2"/>
                <w:sz w:val="16"/>
                <w:szCs w:val="16"/>
              </w:rPr>
              <w:t xml:space="preserve">Active Ingredient </w:t>
            </w:r>
            <w:r w:rsidRPr="001531CD">
              <w:rPr>
                <w:b/>
                <w:bCs/>
                <w:kern w:val="2"/>
                <w:sz w:val="16"/>
                <w:szCs w:val="16"/>
              </w:rPr>
              <w:br/>
              <w:t>Percent Guaranteed</w:t>
            </w:r>
          </w:p>
        </w:tc>
        <w:tc>
          <w:tcPr>
            <w:tcW w:w="2363" w:type="dxa"/>
            <w:shd w:val="clear" w:color="auto" w:fill="BFBFBF"/>
          </w:tcPr>
          <w:p w14:paraId="0FDFB2EB" w14:textId="77777777" w:rsidR="00280EC9" w:rsidRPr="001531CD" w:rsidRDefault="00280EC9" w:rsidP="00280EC9">
            <w:pPr>
              <w:keepNext/>
              <w:tabs>
                <w:tab w:val="left" w:pos="180"/>
                <w:tab w:val="left" w:pos="360"/>
                <w:tab w:val="left" w:pos="540"/>
                <w:tab w:val="left" w:pos="720"/>
                <w:tab w:val="left" w:pos="900"/>
                <w:tab w:val="left" w:pos="1080"/>
                <w:tab w:val="left" w:pos="1260"/>
              </w:tabs>
              <w:jc w:val="center"/>
              <w:rPr>
                <w:b/>
                <w:bCs/>
                <w:kern w:val="2"/>
                <w:sz w:val="16"/>
                <w:szCs w:val="16"/>
              </w:rPr>
            </w:pPr>
            <w:r w:rsidRPr="001531CD">
              <w:rPr>
                <w:b/>
                <w:bCs/>
                <w:kern w:val="2"/>
                <w:sz w:val="16"/>
                <w:szCs w:val="16"/>
              </w:rPr>
              <w:t xml:space="preserve">Allowable Deviation </w:t>
            </w:r>
            <w:r w:rsidRPr="001531CD">
              <w:rPr>
                <w:b/>
                <w:bCs/>
                <w:kern w:val="2"/>
                <w:sz w:val="16"/>
                <w:szCs w:val="16"/>
              </w:rPr>
              <w:br/>
              <w:t>below Guarantee</w:t>
            </w:r>
          </w:p>
        </w:tc>
      </w:tr>
      <w:tr w:rsidR="00280EC9" w:rsidRPr="001531CD" w14:paraId="1CDD38DB" w14:textId="77777777" w:rsidTr="00280EC9">
        <w:trPr>
          <w:cantSplit/>
          <w:jc w:val="center"/>
        </w:trPr>
        <w:tc>
          <w:tcPr>
            <w:tcW w:w="2362" w:type="dxa"/>
          </w:tcPr>
          <w:p w14:paraId="05DC3DCC"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Up to 1.00 percent</w:t>
            </w:r>
          </w:p>
        </w:tc>
        <w:tc>
          <w:tcPr>
            <w:tcW w:w="2363" w:type="dxa"/>
          </w:tcPr>
          <w:p w14:paraId="6D3B73FA"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15 percent of Guarantee</w:t>
            </w:r>
          </w:p>
        </w:tc>
      </w:tr>
      <w:tr w:rsidR="00280EC9" w:rsidRPr="001531CD" w14:paraId="1EE157A9" w14:textId="77777777" w:rsidTr="00280EC9">
        <w:trPr>
          <w:cantSplit/>
          <w:jc w:val="center"/>
        </w:trPr>
        <w:tc>
          <w:tcPr>
            <w:tcW w:w="2362" w:type="dxa"/>
          </w:tcPr>
          <w:p w14:paraId="6DDAE6EC"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 xml:space="preserve"> 1.01 percent-19.99 percent</w:t>
            </w:r>
          </w:p>
        </w:tc>
        <w:tc>
          <w:tcPr>
            <w:tcW w:w="2363" w:type="dxa"/>
          </w:tcPr>
          <w:p w14:paraId="01D9E2E0"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0.1 plus 5 percent of Guarantee</w:t>
            </w:r>
          </w:p>
        </w:tc>
      </w:tr>
      <w:tr w:rsidR="00280EC9" w:rsidRPr="001531CD" w14:paraId="2F30CAB1" w14:textId="77777777" w:rsidTr="00280EC9">
        <w:trPr>
          <w:cantSplit/>
          <w:jc w:val="center"/>
        </w:trPr>
        <w:tc>
          <w:tcPr>
            <w:tcW w:w="2362" w:type="dxa"/>
          </w:tcPr>
          <w:p w14:paraId="45ECAF49"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20.00 percent-49.99 percent</w:t>
            </w:r>
          </w:p>
        </w:tc>
        <w:tc>
          <w:tcPr>
            <w:tcW w:w="2363" w:type="dxa"/>
          </w:tcPr>
          <w:p w14:paraId="240D598A" w14:textId="77777777"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0.5 plus 3 percent of Guarantee</w:t>
            </w:r>
          </w:p>
        </w:tc>
      </w:tr>
      <w:tr w:rsidR="00280EC9" w:rsidRPr="001531CD" w14:paraId="1742A311" w14:textId="77777777" w:rsidTr="00280EC9">
        <w:trPr>
          <w:cantSplit/>
          <w:jc w:val="center"/>
        </w:trPr>
        <w:tc>
          <w:tcPr>
            <w:tcW w:w="2362" w:type="dxa"/>
          </w:tcPr>
          <w:p w14:paraId="7DDCADAE" w14:textId="77777777" w:rsidR="00280EC9" w:rsidRPr="001531CD" w:rsidRDefault="00280EC9" w:rsidP="00280EC9">
            <w:pPr>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 xml:space="preserve"> 50.00 percent-100.00 percent</w:t>
            </w:r>
          </w:p>
        </w:tc>
        <w:tc>
          <w:tcPr>
            <w:tcW w:w="2363" w:type="dxa"/>
          </w:tcPr>
          <w:p w14:paraId="15FFF40F" w14:textId="77777777" w:rsidR="00280EC9" w:rsidRPr="001531CD" w:rsidRDefault="00280EC9" w:rsidP="00280EC9">
            <w:pPr>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1.0 plus 2 percent of Guarantee</w:t>
            </w:r>
          </w:p>
        </w:tc>
      </w:tr>
    </w:tbl>
    <w:p w14:paraId="72767ED1" w14:textId="77777777" w:rsidR="00280EC9" w:rsidRPr="001531CD" w:rsidRDefault="00280EC9" w:rsidP="00490763">
      <w:pPr>
        <w:pStyle w:val="1"/>
        <w:tabs>
          <w:tab w:val="clear" w:pos="979"/>
          <w:tab w:val="clear" w:pos="1152"/>
          <w:tab w:val="left" w:pos="180"/>
          <w:tab w:val="left" w:pos="360"/>
          <w:tab w:val="left" w:pos="540"/>
          <w:tab w:val="left" w:pos="900"/>
          <w:tab w:val="left" w:pos="1080"/>
          <w:tab w:val="left" w:pos="1260"/>
        </w:tabs>
        <w:spacing w:after="0"/>
        <w:ind w:firstLine="0"/>
        <w:rPr>
          <w:sz w:val="24"/>
          <w:szCs w:val="24"/>
        </w:rPr>
      </w:pPr>
    </w:p>
    <w:p w14:paraId="46EC083E" w14:textId="77777777" w:rsidR="00280EC9" w:rsidRPr="001531CD" w:rsidRDefault="00280EC9" w:rsidP="00280EC9">
      <w:pPr>
        <w:pStyle w:val="1"/>
      </w:pPr>
      <w:r w:rsidRPr="001531CD">
        <w:t>2.</w:t>
      </w:r>
      <w:r w:rsidRPr="001531CD">
        <w:tab/>
        <w:t xml:space="preserve">A single sample whose assay deviates below the stated guarantee beyond the above limits may not be </w:t>
      </w:r>
      <w:r w:rsidRPr="001531CD">
        <w:t xml:space="preserve">considered </w:t>
      </w:r>
      <w:r w:rsidRPr="001531CD">
        <w:rPr>
          <w:iCs/>
        </w:rPr>
        <w:t>deficient</w:t>
      </w:r>
      <w:r w:rsidRPr="001531CD">
        <w:t xml:space="preserve"> if special sampling problems such as those associated with fertilizer-pesticide mixtures and granular formulations or if problems associated with accuracy, specificity or reproducibility of the method of analysis can reasonably be expected to have contributed to the lower assay.</w:t>
      </w:r>
    </w:p>
    <w:p w14:paraId="68051726" w14:textId="77777777" w:rsidR="00280EC9" w:rsidRPr="001531CD" w:rsidRDefault="00280EC9" w:rsidP="00280EC9">
      <w:pPr>
        <w:pStyle w:val="1"/>
      </w:pPr>
      <w:r w:rsidRPr="001531CD">
        <w:t>3.</w:t>
      </w:r>
      <w:r w:rsidRPr="001531CD">
        <w:tab/>
        <w:t>A single sample whose assay ranges above the stated guarantee shall be judged individually. However, an assay ranging above the stated guarantee shall not be considered violative if:</w:t>
      </w:r>
    </w:p>
    <w:p w14:paraId="26560AD6" w14:textId="77777777" w:rsidR="00280EC9" w:rsidRPr="001531CD" w:rsidRDefault="00280EC9" w:rsidP="00280EC9">
      <w:pPr>
        <w:pStyle w:val="a0"/>
      </w:pPr>
      <w:r w:rsidRPr="001531CD">
        <w:t>a.</w:t>
      </w:r>
      <w:r w:rsidRPr="001531CD">
        <w:tab/>
        <w:t>no illegal residue can be expected to result when product is used according to label directions;</w:t>
      </w:r>
    </w:p>
    <w:p w14:paraId="4DEA7B26" w14:textId="77777777" w:rsidR="00280EC9" w:rsidRPr="001531CD" w:rsidRDefault="00280EC9" w:rsidP="00280EC9">
      <w:pPr>
        <w:pStyle w:val="a0"/>
      </w:pPr>
      <w:r w:rsidRPr="001531CD">
        <w:t>b.</w:t>
      </w:r>
      <w:r w:rsidRPr="001531CD">
        <w:tab/>
        <w:t>no significant increase in hazard to man or the environment can be expected to result when product is used according to label directions;</w:t>
      </w:r>
    </w:p>
    <w:p w14:paraId="37833E9E" w14:textId="77777777" w:rsidR="00280EC9" w:rsidRPr="001531CD" w:rsidRDefault="00280EC9" w:rsidP="00280EC9">
      <w:pPr>
        <w:pStyle w:val="a0"/>
      </w:pPr>
      <w:r w:rsidRPr="001531CD">
        <w:t>c.</w:t>
      </w:r>
      <w:r w:rsidRPr="001531CD">
        <w:tab/>
        <w:t>stability of the formulation or ingredients thereof require over-formulation to insure that assay over a period stated on the label shall not fall below the minimum provided in Paragraph 1, above.</w:t>
      </w:r>
    </w:p>
    <w:p w14:paraId="4105F6C2" w14:textId="77777777" w:rsidR="00CF626A" w:rsidRPr="001531CD" w:rsidRDefault="00280EC9" w:rsidP="00280EC9">
      <w:pPr>
        <w:pStyle w:val="AuthorityNote"/>
      </w:pPr>
      <w:r w:rsidRPr="001531CD">
        <w:t>AUTHORITY NOTE:</w:t>
      </w:r>
      <w:r w:rsidRPr="001531CD">
        <w:tab/>
        <w:t>Promulgated in accordance with R.S. 3:3225 and R.S. 3:3271.</w:t>
      </w:r>
    </w:p>
    <w:p w14:paraId="1CD855A2" w14:textId="77777777" w:rsidR="00CF626A" w:rsidRPr="001531CD" w:rsidRDefault="00CF626A">
      <w:pPr>
        <w:pStyle w:val="HistoricalNote"/>
      </w:pPr>
      <w:r w:rsidRPr="001531CD">
        <w:t>HISTORICAL NOTE:</w:t>
      </w:r>
      <w:r w:rsidRPr="001531CD">
        <w:tab/>
        <w:t>Promulgated by the Department of Agriculture, Advisory Commission of Pesti</w:t>
      </w:r>
      <w:r w:rsidR="00280EC9" w:rsidRPr="001531CD">
        <w:t>cides, LR 11:943 (October 1985), repromulgated by Department of Agriculture and Forestry, Office of Agricultural and Environmental Sciences, Advisory Commission on Pesticides, LR 37:3468 (December 2011).</w:t>
      </w:r>
    </w:p>
    <w:p w14:paraId="3259E392" w14:textId="77777777" w:rsidR="00280EC9" w:rsidRPr="001531CD" w:rsidRDefault="00280EC9" w:rsidP="00280EC9">
      <w:pPr>
        <w:pStyle w:val="Section"/>
      </w:pPr>
      <w:bookmarkStart w:id="2383" w:name="_Toc194293944"/>
      <w:bookmarkStart w:id="2384" w:name="_Toc224819212"/>
      <w:r w:rsidRPr="001531CD">
        <w:t>§505.</w:t>
      </w:r>
      <w:r w:rsidRPr="001531CD">
        <w:tab/>
        <w:t>Standard Registrations</w:t>
      </w:r>
      <w:bookmarkEnd w:id="2383"/>
      <w:bookmarkEnd w:id="2384"/>
    </w:p>
    <w:p w14:paraId="3D7C28F6" w14:textId="77777777" w:rsidR="00280EC9" w:rsidRPr="001531CD" w:rsidRDefault="00280EC9" w:rsidP="00280EC9">
      <w:pPr>
        <w:pStyle w:val="A"/>
      </w:pPr>
      <w:r w:rsidRPr="001531CD">
        <w:t>A.</w:t>
      </w:r>
      <w:r w:rsidRPr="001531CD">
        <w:tab/>
        <w:t>Application for registration shall consist of two types, namely initial registration and renewal registration. Initial registration application may be filed at any time of the year. Renewal registration application shall be filed by the first day of December each year. Application shall be made on forms or formats prescribed by the commissioner; or on forms or formats which have the prior, written approval of the commissioner.</w:t>
      </w:r>
    </w:p>
    <w:p w14:paraId="5F3C45CC" w14:textId="77777777" w:rsidR="00280EC9" w:rsidRPr="001531CD" w:rsidRDefault="00280EC9" w:rsidP="00280EC9">
      <w:pPr>
        <w:pStyle w:val="1"/>
      </w:pPr>
      <w:r w:rsidRPr="001531CD">
        <w:t>1.</w:t>
      </w:r>
      <w:r w:rsidRPr="001531CD">
        <w:tab/>
        <w:t>Each application for the initial registration of a pesticide and for the re-registration of a pesticide for which the label has been changed shall be accompanied by the following information:</w:t>
      </w:r>
    </w:p>
    <w:p w14:paraId="264E9A8C" w14:textId="77777777" w:rsidR="00280EC9" w:rsidRPr="001531CD" w:rsidRDefault="00280EC9" w:rsidP="00280EC9">
      <w:pPr>
        <w:pStyle w:val="a0"/>
      </w:pPr>
      <w:r w:rsidRPr="001531CD">
        <w:t>a.</w:t>
      </w:r>
      <w:r w:rsidRPr="001531CD">
        <w:tab/>
        <w:t>the brand of the pesticide;</w:t>
      </w:r>
    </w:p>
    <w:p w14:paraId="308BB4DE" w14:textId="77777777" w:rsidR="00280EC9" w:rsidRPr="001531CD" w:rsidRDefault="00280EC9" w:rsidP="00280EC9">
      <w:pPr>
        <w:pStyle w:val="a0"/>
      </w:pPr>
      <w:r w:rsidRPr="001531CD">
        <w:t>b.</w:t>
      </w:r>
      <w:r w:rsidRPr="001531CD">
        <w:tab/>
        <w:t>the name, address and contact person of the manufacturer of the pesticide;</w:t>
      </w:r>
    </w:p>
    <w:p w14:paraId="7AA6717A" w14:textId="77777777" w:rsidR="00280EC9" w:rsidRPr="001531CD" w:rsidRDefault="00280EC9" w:rsidP="00280EC9">
      <w:pPr>
        <w:pStyle w:val="a0"/>
      </w:pPr>
      <w:r w:rsidRPr="001531CD">
        <w:t>c.</w:t>
      </w:r>
      <w:r w:rsidRPr="001531CD">
        <w:tab/>
        <w:t>two complete copies of the labeling of the pesticide, containing:</w:t>
      </w:r>
    </w:p>
    <w:p w14:paraId="5E5C4470" w14:textId="77777777" w:rsidR="00280EC9" w:rsidRPr="001531CD" w:rsidRDefault="00280EC9" w:rsidP="00280EC9">
      <w:pPr>
        <w:pStyle w:val="i0"/>
      </w:pPr>
      <w:r w:rsidRPr="001531CD">
        <w:tab/>
        <w:t>i.</w:t>
      </w:r>
      <w:r w:rsidRPr="001531CD">
        <w:tab/>
        <w:t>the specific name of each active ingredient in the pesticide;</w:t>
      </w:r>
    </w:p>
    <w:p w14:paraId="14BA64EA" w14:textId="77777777" w:rsidR="00280EC9" w:rsidRPr="001531CD" w:rsidRDefault="00280EC9" w:rsidP="00280EC9">
      <w:pPr>
        <w:pStyle w:val="i0"/>
      </w:pPr>
      <w:r w:rsidRPr="001531CD">
        <w:tab/>
        <w:t>ii.</w:t>
      </w:r>
      <w:r w:rsidRPr="001531CD">
        <w:tab/>
        <w:t>the percentage of the active ingredients in the pesticide unless the proportion of the active ingredients are expressed in international units, or some other form of scientifically recognized and accepted measurement; in which case the proportion of active ingredients may be reported in that manner;</w:t>
      </w:r>
    </w:p>
    <w:p w14:paraId="4DBE31E2" w14:textId="77777777" w:rsidR="00280EC9" w:rsidRPr="001531CD" w:rsidRDefault="00280EC9" w:rsidP="00280EC9">
      <w:pPr>
        <w:pStyle w:val="i0"/>
      </w:pPr>
      <w:r w:rsidRPr="001531CD">
        <w:tab/>
        <w:t>iii.</w:t>
      </w:r>
      <w:r w:rsidRPr="001531CD">
        <w:tab/>
        <w:t xml:space="preserve">the percentage of the inert ingredients in the pesticide unless the proportion of the active ingredients in the </w:t>
      </w:r>
      <w:r w:rsidRPr="001531CD">
        <w:lastRenderedPageBreak/>
        <w:t>pesticide are expressed in international units, or some other form of scientifically recognized and accepted measurement; in which case the proportion of inert ingredients may be reported in that manner;</w:t>
      </w:r>
    </w:p>
    <w:p w14:paraId="148C92E1" w14:textId="77777777" w:rsidR="00280EC9" w:rsidRPr="001531CD" w:rsidRDefault="00280EC9" w:rsidP="00280EC9">
      <w:pPr>
        <w:pStyle w:val="i0"/>
      </w:pPr>
      <w:r w:rsidRPr="001531CD">
        <w:tab/>
        <w:t>iv.</w:t>
      </w:r>
      <w:r w:rsidRPr="001531CD">
        <w:tab/>
        <w:t>the net contents of each package in which the pesticide will be sold;</w:t>
      </w:r>
    </w:p>
    <w:p w14:paraId="6FEB8B2A" w14:textId="77777777" w:rsidR="00280EC9" w:rsidRPr="001531CD" w:rsidRDefault="00280EC9" w:rsidP="00280EC9">
      <w:pPr>
        <w:pStyle w:val="i0"/>
      </w:pPr>
      <w:r w:rsidRPr="001531CD">
        <w:tab/>
        <w:t>v.</w:t>
      </w:r>
      <w:r w:rsidRPr="001531CD">
        <w:tab/>
        <w:t>a statement of claims made for the pesticide;</w:t>
      </w:r>
    </w:p>
    <w:p w14:paraId="3A46CAC3" w14:textId="77777777" w:rsidR="00280EC9" w:rsidRPr="001531CD" w:rsidRDefault="00280EC9" w:rsidP="00280EC9">
      <w:pPr>
        <w:pStyle w:val="i0"/>
      </w:pPr>
      <w:r w:rsidRPr="001531CD">
        <w:tab/>
        <w:t>vi.</w:t>
      </w:r>
      <w:r w:rsidRPr="001531CD">
        <w:tab/>
        <w:t>directions for the use of the pesticide, including warnings or caution statements;</w:t>
      </w:r>
    </w:p>
    <w:p w14:paraId="48DD6219" w14:textId="77777777" w:rsidR="00280EC9" w:rsidRPr="001531CD" w:rsidRDefault="00280EC9" w:rsidP="00280EC9">
      <w:pPr>
        <w:pStyle w:val="a0"/>
      </w:pPr>
      <w:r w:rsidRPr="001531CD">
        <w:t>d.</w:t>
      </w:r>
      <w:r w:rsidRPr="001531CD">
        <w:tab/>
        <w:t>the material safety data sheet prepared in accordance with the requirements of the Environmental Protection Agency;</w:t>
      </w:r>
    </w:p>
    <w:p w14:paraId="700928F4" w14:textId="77777777" w:rsidR="00280EC9" w:rsidRPr="001531CD" w:rsidRDefault="00280EC9" w:rsidP="00280EC9">
      <w:pPr>
        <w:pStyle w:val="a0"/>
      </w:pPr>
      <w:r w:rsidRPr="001531CD">
        <w:t>e.</w:t>
      </w:r>
      <w:r w:rsidRPr="001531CD">
        <w:tab/>
        <w:t>the method for laboratory analysis if the pesticide is a pharmaceutical administered to livestock used for agricultural purposes;</w:t>
      </w:r>
    </w:p>
    <w:p w14:paraId="2A750A9C" w14:textId="77777777" w:rsidR="00280EC9" w:rsidRPr="001531CD" w:rsidRDefault="00280EC9" w:rsidP="00280EC9">
      <w:pPr>
        <w:pStyle w:val="a0"/>
      </w:pPr>
      <w:r w:rsidRPr="001531CD">
        <w:t>f.</w:t>
      </w:r>
      <w:r w:rsidRPr="001531CD">
        <w:tab/>
        <w:t>such other information as the commissioner may require.</w:t>
      </w:r>
    </w:p>
    <w:p w14:paraId="6724C0C9" w14:textId="77777777" w:rsidR="00280EC9" w:rsidRPr="001531CD" w:rsidRDefault="00280EC9" w:rsidP="00280EC9">
      <w:pPr>
        <w:pStyle w:val="1"/>
      </w:pPr>
      <w:r w:rsidRPr="001531CD">
        <w:t>2.</w:t>
      </w:r>
      <w:r w:rsidRPr="001531CD">
        <w:tab/>
        <w:t>Application for re-registration of a pesticide for which the label has not been changed shall be accompanied by the following information:</w:t>
      </w:r>
    </w:p>
    <w:p w14:paraId="0804CF1E" w14:textId="77777777" w:rsidR="00280EC9" w:rsidRPr="001531CD" w:rsidRDefault="00280EC9" w:rsidP="00280EC9">
      <w:pPr>
        <w:pStyle w:val="a0"/>
      </w:pPr>
      <w:r w:rsidRPr="001531CD">
        <w:t>a.</w:t>
      </w:r>
      <w:r w:rsidRPr="001531CD">
        <w:tab/>
        <w:t>the brand of the pesticide;</w:t>
      </w:r>
    </w:p>
    <w:p w14:paraId="3B8A5B2F" w14:textId="77777777" w:rsidR="00280EC9" w:rsidRPr="001531CD" w:rsidRDefault="00280EC9" w:rsidP="00280EC9">
      <w:pPr>
        <w:pStyle w:val="a0"/>
      </w:pPr>
      <w:r w:rsidRPr="001531CD">
        <w:t>b.</w:t>
      </w:r>
      <w:r w:rsidRPr="001531CD">
        <w:tab/>
        <w:t>the name, address and contact person of the manufacturer of the pesticide;</w:t>
      </w:r>
    </w:p>
    <w:p w14:paraId="45D8F723" w14:textId="77777777" w:rsidR="00280EC9" w:rsidRPr="001531CD" w:rsidRDefault="00280EC9" w:rsidP="00280EC9">
      <w:pPr>
        <w:pStyle w:val="a0"/>
      </w:pPr>
      <w:r w:rsidRPr="001531CD">
        <w:t>c.</w:t>
      </w:r>
      <w:r w:rsidRPr="001531CD">
        <w:tab/>
        <w:t>such other information as the commissioner may require.</w:t>
      </w:r>
    </w:p>
    <w:p w14:paraId="2F8DC41F" w14:textId="77777777" w:rsidR="00280EC9" w:rsidRPr="001531CD" w:rsidRDefault="00280EC9" w:rsidP="00280EC9">
      <w:pPr>
        <w:pStyle w:val="1"/>
      </w:pPr>
      <w:r w:rsidRPr="001531CD">
        <w:t>3.</w:t>
      </w:r>
      <w:r w:rsidRPr="001531CD">
        <w:tab/>
        <w:t>The registration requirements as described in Subsection A shall be resubmitted for any pesticide for which the label has been changed within 60 days of the change.</w:t>
      </w:r>
    </w:p>
    <w:p w14:paraId="6CA99AE6" w14:textId="77777777" w:rsidR="00280EC9" w:rsidRPr="001531CD" w:rsidRDefault="00280EC9" w:rsidP="00280EC9">
      <w:pPr>
        <w:pStyle w:val="A"/>
      </w:pPr>
      <w:r w:rsidRPr="001531CD">
        <w:t>B.</w:t>
      </w:r>
      <w:r w:rsidRPr="001531CD">
        <w:tab/>
        <w:t>Any registration may be denied by the commissioner if he determines that:</w:t>
      </w:r>
    </w:p>
    <w:p w14:paraId="41A847E4" w14:textId="77777777" w:rsidR="00280EC9" w:rsidRPr="001531CD" w:rsidRDefault="00280EC9" w:rsidP="00280EC9">
      <w:pPr>
        <w:pStyle w:val="1"/>
      </w:pPr>
      <w:r w:rsidRPr="001531CD">
        <w:t>1.</w:t>
      </w:r>
      <w:r w:rsidRPr="001531CD">
        <w:tab/>
        <w:t>the composition of the pesticide is not sufficient to support the claims made for the pesticide;</w:t>
      </w:r>
    </w:p>
    <w:p w14:paraId="6FDAC3AD" w14:textId="77777777" w:rsidR="00280EC9" w:rsidRPr="001531CD" w:rsidRDefault="00280EC9" w:rsidP="00280EC9">
      <w:pPr>
        <w:pStyle w:val="1"/>
      </w:pPr>
      <w:r w:rsidRPr="001531CD">
        <w:t>2.</w:t>
      </w:r>
      <w:r w:rsidRPr="001531CD">
        <w:tab/>
        <w:t>the label on the pesticide does not comply with state and federal requirements;</w:t>
      </w:r>
    </w:p>
    <w:p w14:paraId="3691B97C" w14:textId="77777777" w:rsidR="00280EC9" w:rsidRPr="001531CD" w:rsidRDefault="00280EC9" w:rsidP="00280EC9">
      <w:pPr>
        <w:pStyle w:val="1"/>
      </w:pPr>
      <w:r w:rsidRPr="001531CD">
        <w:t>3.</w:t>
      </w:r>
      <w:r w:rsidRPr="001531CD">
        <w:tab/>
        <w:t>use of the pesticide may produce unreasonable adverse effects on the environment;</w:t>
      </w:r>
    </w:p>
    <w:p w14:paraId="0F85AAC8" w14:textId="77777777" w:rsidR="00280EC9" w:rsidRPr="001531CD" w:rsidRDefault="00280EC9" w:rsidP="00280EC9">
      <w:pPr>
        <w:pStyle w:val="1"/>
      </w:pPr>
      <w:r w:rsidRPr="001531CD">
        <w:t>4.</w:t>
      </w:r>
      <w:r w:rsidRPr="001531CD">
        <w:tab/>
        <w:t>information required in Subsection A has not been furnished to the commissioner by the manufacturer.</w:t>
      </w:r>
    </w:p>
    <w:p w14:paraId="15F5813E" w14:textId="77777777" w:rsidR="00280EC9" w:rsidRPr="001531CD" w:rsidRDefault="00280EC9" w:rsidP="00280EC9">
      <w:pPr>
        <w:pStyle w:val="A"/>
      </w:pPr>
      <w:r w:rsidRPr="001531CD">
        <w:t>C.</w:t>
      </w:r>
      <w:r w:rsidRPr="001531CD">
        <w:tab/>
        <w:t>Any pesticide registered in Louisiana must comply with the following.</w:t>
      </w:r>
    </w:p>
    <w:p w14:paraId="066BDF0D" w14:textId="77777777" w:rsidR="00280EC9" w:rsidRPr="001531CD" w:rsidRDefault="00280EC9" w:rsidP="00280EC9">
      <w:pPr>
        <w:pStyle w:val="1"/>
      </w:pPr>
      <w:r w:rsidRPr="001531CD">
        <w:t>1.</w:t>
      </w:r>
      <w:r w:rsidRPr="001531CD">
        <w:tab/>
        <w:t>Any pesticide sold or offered for sale or distribution must bear a label consistent with the label submitted in the registration application.</w:t>
      </w:r>
    </w:p>
    <w:p w14:paraId="735899AF" w14:textId="77777777" w:rsidR="00280EC9" w:rsidRPr="001531CD" w:rsidRDefault="00280EC9" w:rsidP="00280EC9">
      <w:pPr>
        <w:pStyle w:val="1"/>
      </w:pPr>
      <w:r w:rsidRPr="001531CD">
        <w:t>2.</w:t>
      </w:r>
      <w:r w:rsidRPr="001531CD">
        <w:tab/>
        <w:t>Each shipping container must bear the lot or batch number of the pesticide.</w:t>
      </w:r>
    </w:p>
    <w:p w14:paraId="290CD5F9" w14:textId="77777777" w:rsidR="00CF626A" w:rsidRPr="001531CD" w:rsidRDefault="00280EC9" w:rsidP="00280EC9">
      <w:pPr>
        <w:pStyle w:val="AuthorityNote"/>
      </w:pPr>
      <w:r w:rsidRPr="001531CD">
        <w:t>AUTHORITY NOTE:</w:t>
      </w:r>
      <w:r w:rsidRPr="001531CD">
        <w:tab/>
        <w:t>Promulgated in accordance with R.S. 3:3203 and R.S. 3:3221.</w:t>
      </w:r>
    </w:p>
    <w:p w14:paraId="6C796D9F" w14:textId="77777777" w:rsidR="00CF626A" w:rsidRPr="001531CD" w:rsidRDefault="00CF626A">
      <w:pPr>
        <w:pStyle w:val="HistoricalNote"/>
      </w:pPr>
      <w:r w:rsidRPr="001531CD">
        <w:t>HISTORICAL NOTE:</w:t>
      </w:r>
      <w:r w:rsidRPr="001531CD">
        <w:tab/>
        <w:t xml:space="preserve">Promulgated by the Department of Agriculture, Advisory Commission on Pesticides, LR 9:172 (April l983), amended by the Department of Agriculture and Forestry, </w:t>
      </w:r>
      <w:r w:rsidRPr="001531CD">
        <w:t>Advisory Commission on Pesticides, LR 15:76 (February l989), LR 23:192 (February 1997), LR 23:853 (July 1997), amended by the Department of Agriculture and Forestry, Office of Agricultural and Environmental Scien</w:t>
      </w:r>
      <w:r w:rsidR="00CA398A" w:rsidRPr="001531CD">
        <w:t>ces, LR 27:2085 (December 2001), repromulgated by Department of Agriculture and Forestry, Office of Agricultural and Environmental Sciences, Advisory Commission on Pesticides, LR 37:3468 (December 2011).</w:t>
      </w:r>
    </w:p>
    <w:p w14:paraId="096F677F" w14:textId="77777777" w:rsidR="00CA398A" w:rsidRPr="001531CD" w:rsidRDefault="00CA398A" w:rsidP="00CA398A">
      <w:pPr>
        <w:pStyle w:val="Section"/>
      </w:pPr>
      <w:bookmarkStart w:id="2385" w:name="_Toc194293945"/>
      <w:bookmarkStart w:id="2386" w:name="_Toc224819213"/>
      <w:r w:rsidRPr="001531CD">
        <w:t>§507.</w:t>
      </w:r>
      <w:r w:rsidRPr="001531CD">
        <w:tab/>
        <w:t>Special Registrations</w:t>
      </w:r>
      <w:bookmarkEnd w:id="2385"/>
      <w:bookmarkEnd w:id="2386"/>
    </w:p>
    <w:p w14:paraId="11E23AFF" w14:textId="77777777" w:rsidR="00CA398A" w:rsidRPr="001531CD" w:rsidRDefault="00CA398A" w:rsidP="00CA398A">
      <w:pPr>
        <w:pStyle w:val="A"/>
      </w:pPr>
      <w:r w:rsidRPr="001531CD">
        <w:t>A.</w:t>
      </w:r>
      <w:r w:rsidRPr="001531CD">
        <w:tab/>
        <w:t>The commissioner may issue the following registrations.</w:t>
      </w:r>
    </w:p>
    <w:p w14:paraId="2EFE0388" w14:textId="77777777" w:rsidR="00CA398A" w:rsidRPr="001531CD" w:rsidRDefault="00CA398A" w:rsidP="00CA398A">
      <w:pPr>
        <w:pStyle w:val="1"/>
      </w:pPr>
      <w:r w:rsidRPr="001531CD">
        <w:t>1.</w:t>
      </w:r>
      <w:r w:rsidRPr="001531CD">
        <w:tab/>
        <w:t>State Experimental Use Permits (5f, FIFRA). If the EPA authorizes the commissioner to issue state experimental use permits, the following terms and conditions shall apply.</w:t>
      </w:r>
    </w:p>
    <w:p w14:paraId="61DA4967" w14:textId="77777777" w:rsidR="00CA398A" w:rsidRPr="001531CD" w:rsidRDefault="00CA398A" w:rsidP="00CA398A">
      <w:pPr>
        <w:pStyle w:val="a0"/>
      </w:pPr>
      <w:r w:rsidRPr="001531CD">
        <w:t>a.</w:t>
      </w:r>
      <w:r w:rsidRPr="001531CD">
        <w:tab/>
        <w:t>Each person wishing to accumulate information necessary to register a pesticide for a special local need in this state shall file five copies of an application containing the following information:</w:t>
      </w:r>
    </w:p>
    <w:p w14:paraId="0E3EDBD3" w14:textId="77777777" w:rsidR="00CA398A" w:rsidRPr="001531CD" w:rsidRDefault="00CA398A" w:rsidP="00CA398A">
      <w:pPr>
        <w:pStyle w:val="i0"/>
      </w:pPr>
      <w:r w:rsidRPr="001531CD">
        <w:tab/>
        <w:t>i.</w:t>
      </w:r>
      <w:r w:rsidRPr="001531CD">
        <w:tab/>
        <w:t>the manufacturer's name;</w:t>
      </w:r>
    </w:p>
    <w:p w14:paraId="1C83D43E" w14:textId="77777777" w:rsidR="00CA398A" w:rsidRPr="001531CD" w:rsidRDefault="00CA398A" w:rsidP="00CA398A">
      <w:pPr>
        <w:pStyle w:val="i0"/>
      </w:pPr>
      <w:r w:rsidRPr="001531CD">
        <w:tab/>
        <w:t>ii.</w:t>
      </w:r>
      <w:r w:rsidRPr="001531CD">
        <w:tab/>
        <w:t>the name, address and telephone number of the applicant;</w:t>
      </w:r>
    </w:p>
    <w:p w14:paraId="087216E8" w14:textId="77777777" w:rsidR="00CA398A" w:rsidRPr="001531CD" w:rsidRDefault="00CA398A" w:rsidP="00CA398A">
      <w:pPr>
        <w:pStyle w:val="i0"/>
      </w:pPr>
      <w:r w:rsidRPr="001531CD">
        <w:tab/>
        <w:t>iii.</w:t>
      </w:r>
      <w:r w:rsidRPr="001531CD">
        <w:tab/>
        <w:t>the proposed date of shipment or proposed shipping period not to exceed one year;</w:t>
      </w:r>
    </w:p>
    <w:p w14:paraId="1BE58798" w14:textId="77777777" w:rsidR="00CA398A" w:rsidRPr="001531CD" w:rsidRDefault="00CA398A" w:rsidP="00CA398A">
      <w:pPr>
        <w:pStyle w:val="i0"/>
      </w:pPr>
      <w:r w:rsidRPr="001531CD">
        <w:tab/>
        <w:t>iv.</w:t>
      </w:r>
      <w:r w:rsidRPr="001531CD">
        <w:tab/>
        <w:t>the percentage of the active ingredients in the pesticide;</w:t>
      </w:r>
    </w:p>
    <w:p w14:paraId="4F8F865E" w14:textId="77777777" w:rsidR="00CA398A" w:rsidRPr="001531CD" w:rsidRDefault="00CA398A" w:rsidP="00CA398A">
      <w:pPr>
        <w:pStyle w:val="i0"/>
      </w:pPr>
      <w:r w:rsidRPr="001531CD">
        <w:tab/>
        <w:t>v.</w:t>
      </w:r>
      <w:r w:rsidRPr="001531CD">
        <w:tab/>
        <w:t>the percentage of the inert ingredients of the pesticide;</w:t>
      </w:r>
    </w:p>
    <w:p w14:paraId="5022AE2C" w14:textId="77777777" w:rsidR="00CA398A" w:rsidRPr="001531CD" w:rsidRDefault="00CA398A" w:rsidP="00CA398A">
      <w:pPr>
        <w:pStyle w:val="i0"/>
      </w:pPr>
      <w:r w:rsidRPr="001531CD">
        <w:tab/>
        <w:t>vi.</w:t>
      </w:r>
      <w:r w:rsidRPr="001531CD">
        <w:tab/>
        <w:t>a statement of the approximate quantity to be tested;</w:t>
      </w:r>
    </w:p>
    <w:p w14:paraId="5D80A8A5" w14:textId="77777777" w:rsidR="00CA398A" w:rsidRPr="001531CD" w:rsidRDefault="00CA398A" w:rsidP="00CA398A">
      <w:pPr>
        <w:pStyle w:val="i0"/>
      </w:pPr>
      <w:r w:rsidRPr="001531CD">
        <w:tab/>
        <w:t>vii.</w:t>
      </w:r>
      <w:r w:rsidRPr="001531CD">
        <w:tab/>
        <w:t>available summary of test results on the acute toxicity of the pesticide;</w:t>
      </w:r>
    </w:p>
    <w:p w14:paraId="2BD2B9E7" w14:textId="77777777" w:rsidR="00CA398A" w:rsidRPr="001531CD" w:rsidRDefault="00CA398A" w:rsidP="00CA398A">
      <w:pPr>
        <w:pStyle w:val="i0"/>
      </w:pPr>
      <w:r w:rsidRPr="001531CD">
        <w:tab/>
        <w:t>viii.</w:t>
      </w:r>
      <w:r w:rsidRPr="001531CD">
        <w:tab/>
        <w:t>a statement of the scope of the proposed experimental program, including:</w:t>
      </w:r>
    </w:p>
    <w:p w14:paraId="4E32A557" w14:textId="77777777" w:rsidR="00CA398A" w:rsidRPr="001531CD" w:rsidRDefault="00CA398A" w:rsidP="00CA398A">
      <w:pPr>
        <w:pStyle w:val="a1"/>
      </w:pPr>
      <w:r w:rsidRPr="001531CD">
        <w:t>(a).</w:t>
      </w:r>
      <w:r w:rsidRPr="001531CD">
        <w:tab/>
        <w:t>the type of pests or organisms included in the study;</w:t>
      </w:r>
    </w:p>
    <w:p w14:paraId="07FDCCF5" w14:textId="77777777" w:rsidR="00CA398A" w:rsidRPr="001531CD" w:rsidRDefault="00CA398A" w:rsidP="00CA398A">
      <w:pPr>
        <w:pStyle w:val="a1"/>
      </w:pPr>
      <w:r w:rsidRPr="001531CD">
        <w:t>(b).</w:t>
      </w:r>
      <w:r w:rsidRPr="001531CD">
        <w:tab/>
        <w:t>the crops, animals or commodities to be included in the study;</w:t>
      </w:r>
    </w:p>
    <w:p w14:paraId="2EAC7805" w14:textId="77777777" w:rsidR="00CA398A" w:rsidRPr="001531CD" w:rsidRDefault="00CA398A" w:rsidP="00CA398A">
      <w:pPr>
        <w:pStyle w:val="a1"/>
      </w:pPr>
      <w:r w:rsidRPr="001531CD">
        <w:t>(c).</w:t>
      </w:r>
      <w:r w:rsidRPr="001531CD">
        <w:tab/>
        <w:t>the areas of the state in which the study is to be conducted;</w:t>
      </w:r>
    </w:p>
    <w:p w14:paraId="29852751" w14:textId="77777777" w:rsidR="00CA398A" w:rsidRPr="001531CD" w:rsidRDefault="00CA398A" w:rsidP="00CA398A">
      <w:pPr>
        <w:pStyle w:val="a1"/>
      </w:pPr>
      <w:r w:rsidRPr="001531CD">
        <w:t>(d).</w:t>
      </w:r>
      <w:r w:rsidRPr="001531CD">
        <w:tab/>
        <w:t>the results of any previous tests conducted by the applicant of the pesticide in this or any other state;</w:t>
      </w:r>
    </w:p>
    <w:p w14:paraId="74421D8C" w14:textId="77777777" w:rsidR="00CA398A" w:rsidRPr="001531CD" w:rsidRDefault="00CA398A" w:rsidP="00CA398A">
      <w:pPr>
        <w:pStyle w:val="i0"/>
      </w:pPr>
      <w:r w:rsidRPr="001531CD">
        <w:tab/>
        <w:t>ix.</w:t>
      </w:r>
      <w:r w:rsidRPr="001531CD">
        <w:tab/>
        <w:t>when the pesticide is to be used on food or feed, a temporary tolerance must be obtained from the EPA or evidence that the proposed experiment will not result in injury to man or animals, or in illegal residues entering the food chain;</w:t>
      </w:r>
    </w:p>
    <w:p w14:paraId="27747CDF" w14:textId="77777777" w:rsidR="00CA398A" w:rsidRPr="001531CD" w:rsidRDefault="00CA398A" w:rsidP="00CA398A">
      <w:pPr>
        <w:pStyle w:val="i0"/>
      </w:pPr>
      <w:r w:rsidRPr="001531CD">
        <w:tab/>
        <w:t>x.</w:t>
      </w:r>
      <w:r w:rsidRPr="001531CD">
        <w:tab/>
        <w:t>the proposed labeling which must bear:</w:t>
      </w:r>
    </w:p>
    <w:p w14:paraId="3AE737FA" w14:textId="77777777" w:rsidR="00CA398A" w:rsidRPr="001531CD" w:rsidRDefault="00CA398A" w:rsidP="00CA398A">
      <w:pPr>
        <w:pStyle w:val="a1"/>
      </w:pPr>
      <w:r w:rsidRPr="001531CD">
        <w:t>(a).</w:t>
      </w:r>
      <w:r w:rsidRPr="001531CD">
        <w:tab/>
        <w:t>the prominent statement “</w:t>
      </w:r>
      <w:r w:rsidRPr="001531CD">
        <w:rPr>
          <w:iCs/>
        </w:rPr>
        <w:t>For Distribution and Experimental Use Only Within Louisiana”</w:t>
      </w:r>
      <w:r w:rsidRPr="001531CD">
        <w:t xml:space="preserve"> on each container label and any labeling that accompanies the pesticide;</w:t>
      </w:r>
    </w:p>
    <w:p w14:paraId="535B37CD" w14:textId="77777777" w:rsidR="00CA398A" w:rsidRPr="001531CD" w:rsidRDefault="00CA398A" w:rsidP="00CA398A">
      <w:pPr>
        <w:pStyle w:val="a1"/>
      </w:pPr>
      <w:r w:rsidRPr="001531CD">
        <w:lastRenderedPageBreak/>
        <w:t>(b).</w:t>
      </w:r>
      <w:r w:rsidRPr="001531CD">
        <w:tab/>
        <w:t>an adequate caution or warning statement to protect those who may handle or be exposed to the pesticide;</w:t>
      </w:r>
    </w:p>
    <w:p w14:paraId="6D78A656" w14:textId="77777777" w:rsidR="00CA398A" w:rsidRPr="001531CD" w:rsidRDefault="00CA398A" w:rsidP="00CA398A">
      <w:pPr>
        <w:pStyle w:val="a1"/>
      </w:pPr>
      <w:r w:rsidRPr="001531CD">
        <w:t>(c).</w:t>
      </w:r>
      <w:r w:rsidRPr="001531CD">
        <w:tab/>
        <w:t>the name and address of the manufacturer;</w:t>
      </w:r>
    </w:p>
    <w:p w14:paraId="48921C8A" w14:textId="77777777" w:rsidR="00CA398A" w:rsidRPr="001531CD" w:rsidRDefault="00CA398A" w:rsidP="00CA398A">
      <w:pPr>
        <w:pStyle w:val="a1"/>
      </w:pPr>
      <w:r w:rsidRPr="001531CD">
        <w:t>(d).</w:t>
      </w:r>
      <w:r w:rsidRPr="001531CD">
        <w:tab/>
        <w:t>the point of destination of the pesticide;</w:t>
      </w:r>
    </w:p>
    <w:p w14:paraId="285DB82B" w14:textId="77777777" w:rsidR="00CA398A" w:rsidRPr="001531CD" w:rsidRDefault="00CA398A" w:rsidP="00CA398A">
      <w:pPr>
        <w:pStyle w:val="a1"/>
      </w:pPr>
      <w:r w:rsidRPr="001531CD">
        <w:t>(e).</w:t>
      </w:r>
      <w:r w:rsidRPr="001531CD">
        <w:tab/>
        <w:t>directions for use;</w:t>
      </w:r>
    </w:p>
    <w:p w14:paraId="2E6F21E3" w14:textId="77777777" w:rsidR="00CA398A" w:rsidRPr="001531CD" w:rsidRDefault="00CA398A" w:rsidP="00CA398A">
      <w:pPr>
        <w:pStyle w:val="a1"/>
      </w:pPr>
      <w:r w:rsidRPr="001531CD">
        <w:t>(f).</w:t>
      </w:r>
      <w:r w:rsidRPr="001531CD">
        <w:tab/>
        <w:t>a statement listing the name and percentage of each active ingredient and the total percentage of inert ingredients.</w:t>
      </w:r>
    </w:p>
    <w:p w14:paraId="7873DA40" w14:textId="77777777" w:rsidR="00CA398A" w:rsidRPr="001531CD" w:rsidRDefault="00CA398A" w:rsidP="00CA398A">
      <w:pPr>
        <w:pStyle w:val="a0"/>
      </w:pPr>
      <w:r w:rsidRPr="001531CD">
        <w:t>b.</w:t>
      </w:r>
      <w:r w:rsidRPr="001531CD">
        <w:tab/>
        <w:t>After an application has been received, the commissioner shall review it for completeness. If the commissioner determines that an application is not complete, the applicant shall be allowed to submit such subsequent data as required by the commissioner for review. If the commissioner determines that an application is complete, he may assign the application to an ad hoc advisory committee consisting of:</w:t>
      </w:r>
    </w:p>
    <w:p w14:paraId="0F88D2D2" w14:textId="77777777" w:rsidR="00CA398A" w:rsidRPr="001531CD" w:rsidRDefault="00CA398A" w:rsidP="00CA398A">
      <w:pPr>
        <w:pStyle w:val="i0"/>
      </w:pPr>
      <w:r w:rsidRPr="001531CD">
        <w:tab/>
        <w:t>i.</w:t>
      </w:r>
      <w:r w:rsidRPr="001531CD">
        <w:tab/>
        <w:t>director, or his designee;</w:t>
      </w:r>
    </w:p>
    <w:p w14:paraId="0F0C88A6" w14:textId="77777777" w:rsidR="00CA398A" w:rsidRPr="001531CD" w:rsidRDefault="00CA398A" w:rsidP="00CA398A">
      <w:pPr>
        <w:pStyle w:val="i0"/>
      </w:pPr>
      <w:r w:rsidRPr="001531CD">
        <w:tab/>
        <w:t>ii.</w:t>
      </w:r>
      <w:r w:rsidRPr="001531CD">
        <w:tab/>
        <w:t>assistant commissioner, Office of Agricultural and Environmental Sciences, department, or his designee;</w:t>
      </w:r>
    </w:p>
    <w:p w14:paraId="6EE31148" w14:textId="77777777" w:rsidR="00CA398A" w:rsidRPr="001531CD" w:rsidRDefault="00CA398A" w:rsidP="00CA398A">
      <w:pPr>
        <w:pStyle w:val="i0"/>
      </w:pPr>
      <w:r w:rsidRPr="001531CD">
        <w:tab/>
        <w:t>iii.</w:t>
      </w:r>
      <w:r w:rsidRPr="001531CD">
        <w:tab/>
        <w:t>director, Louisiana Cooperative Extension Service, or his designee;</w:t>
      </w:r>
    </w:p>
    <w:p w14:paraId="181AF437" w14:textId="77777777" w:rsidR="00CA398A" w:rsidRPr="001531CD" w:rsidRDefault="00CA398A" w:rsidP="00CA398A">
      <w:pPr>
        <w:pStyle w:val="i0"/>
      </w:pPr>
      <w:r w:rsidRPr="001531CD">
        <w:tab/>
        <w:t>iv.</w:t>
      </w:r>
      <w:r w:rsidRPr="001531CD">
        <w:tab/>
        <w:t>director, Louisiana Agricultural Experiment Station, or his designee;</w:t>
      </w:r>
    </w:p>
    <w:p w14:paraId="5D179B99" w14:textId="77777777" w:rsidR="00CA398A" w:rsidRPr="001531CD" w:rsidRDefault="00CA398A" w:rsidP="00CA398A">
      <w:pPr>
        <w:pStyle w:val="i0"/>
      </w:pPr>
      <w:r w:rsidRPr="001531CD">
        <w:tab/>
        <w:t>v.</w:t>
      </w:r>
      <w:r w:rsidRPr="001531CD">
        <w:tab/>
        <w:t>the member of the commission who represents the Louisiana Wildlife Federation, or his designee (R.S. 3:3211(B)9).</w:t>
      </w:r>
    </w:p>
    <w:p w14:paraId="6DB93092" w14:textId="77777777" w:rsidR="00CA398A" w:rsidRPr="001531CD" w:rsidRDefault="00CA398A" w:rsidP="00CA398A">
      <w:pPr>
        <w:pStyle w:val="a0"/>
      </w:pPr>
      <w:r w:rsidRPr="001531CD">
        <w:t>c.</w:t>
      </w:r>
      <w:r w:rsidRPr="001531CD">
        <w:tab/>
        <w:t>The committee shall consider the application based on the following criteria:</w:t>
      </w:r>
    </w:p>
    <w:p w14:paraId="748931C5" w14:textId="77777777" w:rsidR="00CA398A" w:rsidRPr="001531CD" w:rsidRDefault="00CA398A" w:rsidP="00CA398A">
      <w:pPr>
        <w:pStyle w:val="i0"/>
      </w:pPr>
      <w:r w:rsidRPr="001531CD">
        <w:tab/>
        <w:t>i.</w:t>
      </w:r>
      <w:r w:rsidRPr="001531CD">
        <w:tab/>
        <w:t>the applicant's need for the permit in order to accumulate data to support a special local needs registration;</w:t>
      </w:r>
    </w:p>
    <w:p w14:paraId="4E473F96" w14:textId="77777777" w:rsidR="00CA398A" w:rsidRPr="001531CD" w:rsidRDefault="00CA398A" w:rsidP="00CA398A">
      <w:pPr>
        <w:pStyle w:val="i0"/>
      </w:pPr>
      <w:r w:rsidRPr="001531CD">
        <w:tab/>
        <w:t>ii.</w:t>
      </w:r>
      <w:r w:rsidRPr="001531CD">
        <w:tab/>
        <w:t>that the labeling is complete and correct as required in §507.A.1.a.x;</w:t>
      </w:r>
    </w:p>
    <w:p w14:paraId="1E5F426C" w14:textId="77777777" w:rsidR="00CA398A" w:rsidRPr="001531CD" w:rsidRDefault="00CA398A" w:rsidP="00CA398A">
      <w:pPr>
        <w:pStyle w:val="i0"/>
      </w:pPr>
      <w:r w:rsidRPr="001531CD">
        <w:tab/>
        <w:t>iii.</w:t>
      </w:r>
      <w:r w:rsidRPr="001531CD">
        <w:tab/>
        <w:t>that use of the pesticide under the permit will not cause unreasonable adverse effects on the environment;</w:t>
      </w:r>
    </w:p>
    <w:p w14:paraId="4783F669" w14:textId="77777777" w:rsidR="00CA398A" w:rsidRPr="001531CD" w:rsidRDefault="00CA398A" w:rsidP="00CA398A">
      <w:pPr>
        <w:pStyle w:val="i0"/>
      </w:pPr>
      <w:r w:rsidRPr="001531CD">
        <w:tab/>
        <w:t>iv.</w:t>
      </w:r>
      <w:r w:rsidRPr="001531CD">
        <w:tab/>
        <w:t>that either the applicant has supplied evidence that a tolerance or exemption from the requirement of a tolerance has been established for residues of the pesticide on such food or feed under section 408 of the Federal Food, Drug and Cosmetic Act; or that the applicant shall destroy all food or feed crops involved in the project.</w:t>
      </w:r>
    </w:p>
    <w:p w14:paraId="2C90F76F" w14:textId="77777777" w:rsidR="00CA398A" w:rsidRPr="001531CD" w:rsidRDefault="00CA398A" w:rsidP="00CA398A">
      <w:pPr>
        <w:pStyle w:val="a0"/>
      </w:pPr>
      <w:r w:rsidRPr="001531CD">
        <w:t>d.</w:t>
      </w:r>
      <w:r w:rsidRPr="001531CD">
        <w:tab/>
        <w:t>After receiving the recommendations of the committee, the commissioner may: grant the request, in which event he shall prescribe the terms, conditions, and period of time of the permit; or deny the permit.</w:t>
      </w:r>
    </w:p>
    <w:p w14:paraId="50711645" w14:textId="77777777" w:rsidR="00CA398A" w:rsidRPr="001531CD" w:rsidRDefault="00CA398A" w:rsidP="00CA398A">
      <w:pPr>
        <w:pStyle w:val="a0"/>
      </w:pPr>
      <w:r w:rsidRPr="001531CD">
        <w:t>e.</w:t>
      </w:r>
      <w:r w:rsidRPr="001531CD">
        <w:tab/>
        <w:t>The commissioner may revoke a permit if he finds that:</w:t>
      </w:r>
    </w:p>
    <w:p w14:paraId="1D7030B5" w14:textId="77777777" w:rsidR="00CA398A" w:rsidRPr="001531CD" w:rsidRDefault="00CA398A" w:rsidP="00CA398A">
      <w:pPr>
        <w:pStyle w:val="i0"/>
      </w:pPr>
      <w:r w:rsidRPr="001531CD">
        <w:tab/>
        <w:t>i.</w:t>
      </w:r>
      <w:r w:rsidRPr="001531CD">
        <w:tab/>
        <w:t>the terms and conditions of the permit have been violated, or are inadequate to avoid unreasonable adverse effects on the environment;</w:t>
      </w:r>
    </w:p>
    <w:p w14:paraId="740948D9" w14:textId="77777777" w:rsidR="00CA398A" w:rsidRPr="001531CD" w:rsidRDefault="00CA398A" w:rsidP="00CA398A">
      <w:pPr>
        <w:pStyle w:val="i0"/>
      </w:pPr>
      <w:r w:rsidRPr="001531CD">
        <w:tab/>
        <w:t>ii.</w:t>
      </w:r>
      <w:r w:rsidRPr="001531CD">
        <w:tab/>
        <w:t>any required tolerance under the Federal Food, Drug, and Cosmetic Act (12 U.S.C. 301 et seq.) has been revoked by EPA or any exemption from the requirements for tolerance has been withdrawn by EPA;</w:t>
      </w:r>
    </w:p>
    <w:p w14:paraId="233C9668" w14:textId="77777777" w:rsidR="00CA398A" w:rsidRPr="001531CD" w:rsidRDefault="00CA398A" w:rsidP="00CA398A">
      <w:pPr>
        <w:pStyle w:val="i0"/>
      </w:pPr>
      <w:r w:rsidRPr="001531CD">
        <w:tab/>
        <w:t>iii.</w:t>
      </w:r>
      <w:r w:rsidRPr="001531CD">
        <w:tab/>
        <w:t>the permittee or any cooperator has failed to comply with any other federal or state law or regulation concerning state experimental use permits.</w:t>
      </w:r>
    </w:p>
    <w:p w14:paraId="6662EB12" w14:textId="77777777" w:rsidR="00CA398A" w:rsidRPr="001531CD" w:rsidRDefault="00CA398A" w:rsidP="00CA398A">
      <w:pPr>
        <w:pStyle w:val="1"/>
      </w:pPr>
      <w:r w:rsidRPr="001531CD">
        <w:t>2.</w:t>
      </w:r>
      <w:r w:rsidRPr="001531CD">
        <w:tab/>
        <w:t>Special Local Needs Registration (24-C FIFRA)</w:t>
      </w:r>
    </w:p>
    <w:p w14:paraId="7BE102D4" w14:textId="77777777" w:rsidR="00CA398A" w:rsidRPr="001531CD" w:rsidRDefault="00CA398A" w:rsidP="00CA398A">
      <w:pPr>
        <w:pStyle w:val="a0"/>
      </w:pPr>
      <w:r w:rsidRPr="001531CD">
        <w:t>a.</w:t>
      </w:r>
      <w:r w:rsidRPr="001531CD">
        <w:tab/>
        <w:t>Each person wishing to register a pesticide for a special local need in this state shall file five copies of an application containing the following:</w:t>
      </w:r>
    </w:p>
    <w:p w14:paraId="0236716F" w14:textId="77777777" w:rsidR="00CA398A" w:rsidRPr="001531CD" w:rsidRDefault="00CA398A" w:rsidP="00CA398A">
      <w:pPr>
        <w:pStyle w:val="i0"/>
      </w:pPr>
      <w:r w:rsidRPr="001531CD">
        <w:tab/>
        <w:t>i.</w:t>
      </w:r>
      <w:r w:rsidRPr="001531CD">
        <w:tab/>
        <w:t>name and address of the applicant and any other person whose name will appear on the labeling or in the directions for use;</w:t>
      </w:r>
    </w:p>
    <w:p w14:paraId="7DAA70E2" w14:textId="77777777" w:rsidR="00CA398A" w:rsidRPr="001531CD" w:rsidRDefault="00CA398A" w:rsidP="00CA398A">
      <w:pPr>
        <w:pStyle w:val="i0"/>
      </w:pPr>
      <w:r w:rsidRPr="001531CD">
        <w:tab/>
        <w:t>ii.</w:t>
      </w:r>
      <w:r w:rsidRPr="001531CD">
        <w:tab/>
        <w:t>the name of the pesticide product, and, if the application is for an amendment to a federally registered product, the EPA registration number of that product;</w:t>
      </w:r>
    </w:p>
    <w:p w14:paraId="0EB98BD6" w14:textId="77777777" w:rsidR="00CA398A" w:rsidRPr="001531CD" w:rsidRDefault="00CA398A" w:rsidP="00CA398A">
      <w:pPr>
        <w:pStyle w:val="i0"/>
      </w:pPr>
      <w:r w:rsidRPr="001531CD">
        <w:tab/>
        <w:t>iii.</w:t>
      </w:r>
      <w:r w:rsidRPr="001531CD">
        <w:tab/>
        <w:t>a copy of proposed labeling, including all claims made for the product as well as directions for its use to meet the special local need, consisting of:</w:t>
      </w:r>
    </w:p>
    <w:p w14:paraId="7F36535A" w14:textId="77777777" w:rsidR="00CA398A" w:rsidRPr="001531CD" w:rsidRDefault="00CA398A" w:rsidP="00CA398A">
      <w:pPr>
        <w:pStyle w:val="a1"/>
      </w:pPr>
      <w:r w:rsidRPr="001531CD">
        <w:t>(a).</w:t>
      </w:r>
      <w:r w:rsidRPr="001531CD">
        <w:tab/>
        <w:t>for a new product, a copy of the complete proposed labeling; or</w:t>
      </w:r>
    </w:p>
    <w:p w14:paraId="62288FE4" w14:textId="77777777" w:rsidR="00CA398A" w:rsidRPr="001531CD" w:rsidRDefault="00CA398A" w:rsidP="00CA398A">
      <w:pPr>
        <w:pStyle w:val="a1"/>
      </w:pPr>
      <w:r w:rsidRPr="001531CD">
        <w:t>(b).</w:t>
      </w:r>
      <w:r w:rsidRPr="001531CD">
        <w:tab/>
        <w:t>for an additional use of a federally registered product, a copy of proposed supplemental labeling and a copy of the labeling for the federally registered product;</w:t>
      </w:r>
    </w:p>
    <w:p w14:paraId="492502C2" w14:textId="77777777" w:rsidR="00CA398A" w:rsidRPr="001531CD" w:rsidRDefault="00CA398A" w:rsidP="00CA398A">
      <w:pPr>
        <w:pStyle w:val="i0"/>
      </w:pPr>
      <w:r w:rsidRPr="001531CD">
        <w:tab/>
        <w:t>iv.</w:t>
      </w:r>
      <w:r w:rsidRPr="001531CD">
        <w:tab/>
        <w:t>the active ingredients of the product, if the application is for a new product registration;</w:t>
      </w:r>
    </w:p>
    <w:p w14:paraId="2BE799A7" w14:textId="77777777" w:rsidR="00CA398A" w:rsidRPr="001531CD" w:rsidRDefault="00CA398A" w:rsidP="00CA398A">
      <w:pPr>
        <w:pStyle w:val="i0"/>
      </w:pPr>
      <w:r w:rsidRPr="001531CD">
        <w:tab/>
        <w:t>v.</w:t>
      </w:r>
      <w:r w:rsidRPr="001531CD">
        <w:tab/>
        <w:t>the appropriate application fees as required by §901 of these regulations.</w:t>
      </w:r>
    </w:p>
    <w:p w14:paraId="6EFE78F3" w14:textId="77777777" w:rsidR="00CA398A" w:rsidRPr="001531CD" w:rsidRDefault="00CA398A" w:rsidP="00CA398A">
      <w:pPr>
        <w:pStyle w:val="a0"/>
      </w:pPr>
      <w:r w:rsidRPr="001531CD">
        <w:t>b.</w:t>
      </w:r>
      <w:r w:rsidRPr="001531CD">
        <w:tab/>
        <w:t>The issuance or denial of a registration of a pesticide under this Section shall be done in accordance with federal regulations. The commissioner may refer this application to an ad hoc committee composed of:</w:t>
      </w:r>
    </w:p>
    <w:p w14:paraId="337307F3" w14:textId="77777777" w:rsidR="00CA398A" w:rsidRPr="001531CD" w:rsidRDefault="00CA398A" w:rsidP="00CA398A">
      <w:pPr>
        <w:pStyle w:val="i0"/>
      </w:pPr>
      <w:r w:rsidRPr="001531CD">
        <w:tab/>
        <w:t>i.</w:t>
      </w:r>
      <w:r w:rsidRPr="001531CD">
        <w:tab/>
        <w:t>director, commission, or his designee;</w:t>
      </w:r>
    </w:p>
    <w:p w14:paraId="5F04D0EA" w14:textId="77777777" w:rsidR="00CA398A" w:rsidRPr="001531CD" w:rsidRDefault="00CA398A" w:rsidP="00CA398A">
      <w:pPr>
        <w:pStyle w:val="i0"/>
      </w:pPr>
      <w:r w:rsidRPr="001531CD">
        <w:tab/>
        <w:t>ii.</w:t>
      </w:r>
      <w:r w:rsidRPr="001531CD">
        <w:tab/>
        <w:t>director, Louisiana Cooperative Extension Service, or his designee;</w:t>
      </w:r>
    </w:p>
    <w:p w14:paraId="56CF8077" w14:textId="77777777" w:rsidR="00CA398A" w:rsidRPr="001531CD" w:rsidRDefault="00CA398A" w:rsidP="00CA398A">
      <w:pPr>
        <w:pStyle w:val="i0"/>
      </w:pPr>
      <w:r w:rsidRPr="001531CD">
        <w:tab/>
        <w:t>iii.</w:t>
      </w:r>
      <w:r w:rsidRPr="001531CD">
        <w:tab/>
        <w:t>director, Louisiana Agricultural Experiment Station, or his designee;</w:t>
      </w:r>
    </w:p>
    <w:p w14:paraId="71803ECD" w14:textId="77777777" w:rsidR="00CA398A" w:rsidRPr="001531CD" w:rsidRDefault="00CA398A" w:rsidP="00CA398A">
      <w:pPr>
        <w:pStyle w:val="i0"/>
      </w:pPr>
      <w:r w:rsidRPr="001531CD">
        <w:tab/>
        <w:t>iv.</w:t>
      </w:r>
      <w:r w:rsidRPr="001531CD">
        <w:tab/>
        <w:t>one agricultural consultant;</w:t>
      </w:r>
    </w:p>
    <w:p w14:paraId="5FF63C0D" w14:textId="77777777" w:rsidR="00CA398A" w:rsidRPr="001531CD" w:rsidRDefault="00CA398A" w:rsidP="00CA398A">
      <w:pPr>
        <w:pStyle w:val="i0"/>
      </w:pPr>
      <w:r w:rsidRPr="001531CD">
        <w:tab/>
        <w:t>v.</w:t>
      </w:r>
      <w:r w:rsidRPr="001531CD">
        <w:tab/>
        <w:t>one farmer;</w:t>
      </w:r>
    </w:p>
    <w:p w14:paraId="046AA90D" w14:textId="77777777" w:rsidR="00CA398A" w:rsidRPr="001531CD" w:rsidRDefault="00CA398A" w:rsidP="00CA398A">
      <w:pPr>
        <w:pStyle w:val="i0"/>
      </w:pPr>
      <w:r w:rsidRPr="001531CD">
        <w:tab/>
        <w:t>vi.</w:t>
      </w:r>
      <w:r w:rsidRPr="001531CD">
        <w:tab/>
        <w:t>such other members appointed by the commissioner as the commissioner deems necessary.</w:t>
      </w:r>
    </w:p>
    <w:p w14:paraId="0AE40189" w14:textId="77777777" w:rsidR="00CA398A" w:rsidRPr="001531CD" w:rsidRDefault="00CA398A" w:rsidP="00CA398A">
      <w:pPr>
        <w:pStyle w:val="a0"/>
      </w:pPr>
      <w:r w:rsidRPr="001531CD">
        <w:t>c.</w:t>
      </w:r>
      <w:r w:rsidRPr="001531CD">
        <w:tab/>
        <w:t>The committee shall consider the application based on the following criteria:</w:t>
      </w:r>
    </w:p>
    <w:p w14:paraId="681BA5E1" w14:textId="77777777" w:rsidR="00CA398A" w:rsidRPr="001531CD" w:rsidRDefault="00CA398A" w:rsidP="00CA398A">
      <w:pPr>
        <w:pStyle w:val="i0"/>
      </w:pPr>
      <w:r w:rsidRPr="001531CD">
        <w:tab/>
        <w:t>i.</w:t>
      </w:r>
      <w:r w:rsidRPr="001531CD">
        <w:tab/>
        <w:t>that the labeling is complete and correct;</w:t>
      </w:r>
    </w:p>
    <w:p w14:paraId="07B7A306" w14:textId="77777777" w:rsidR="00CA398A" w:rsidRPr="001531CD" w:rsidRDefault="00CA398A" w:rsidP="00CA398A">
      <w:pPr>
        <w:pStyle w:val="i0"/>
      </w:pPr>
      <w:r w:rsidRPr="001531CD">
        <w:tab/>
        <w:t>ii.</w:t>
      </w:r>
      <w:r w:rsidRPr="001531CD">
        <w:tab/>
        <w:t>that use of the pesticide under the permit will not cause unreasonable adverse effects on the environment;</w:t>
      </w:r>
    </w:p>
    <w:p w14:paraId="2AF5E171" w14:textId="77777777" w:rsidR="00CA398A" w:rsidRPr="001531CD" w:rsidRDefault="00CA398A" w:rsidP="00CA398A">
      <w:pPr>
        <w:pStyle w:val="i0"/>
      </w:pPr>
      <w:r w:rsidRPr="001531CD">
        <w:tab/>
        <w:t>iii.</w:t>
      </w:r>
      <w:r w:rsidRPr="001531CD">
        <w:tab/>
        <w:t>that there is no other pesticide product registered with EPA for the same use;</w:t>
      </w:r>
    </w:p>
    <w:p w14:paraId="35D671BC" w14:textId="77777777" w:rsidR="00CA398A" w:rsidRPr="001531CD" w:rsidRDefault="00CA398A" w:rsidP="00CA398A">
      <w:pPr>
        <w:pStyle w:val="i0"/>
      </w:pPr>
      <w:r w:rsidRPr="001531CD">
        <w:lastRenderedPageBreak/>
        <w:tab/>
        <w:t>iv.</w:t>
      </w:r>
      <w:r w:rsidRPr="001531CD">
        <w:tab/>
        <w:t>that no other pesticide product is registered with EPA which would be as safe and as efficacious, under the conditions of use proposed for a special local need;</w:t>
      </w:r>
    </w:p>
    <w:p w14:paraId="7ED61049" w14:textId="77777777" w:rsidR="00CA398A" w:rsidRPr="001531CD" w:rsidRDefault="00CA398A" w:rsidP="00CA398A">
      <w:pPr>
        <w:pStyle w:val="i0"/>
      </w:pPr>
      <w:r w:rsidRPr="001531CD">
        <w:tab/>
        <w:t>v.</w:t>
      </w:r>
      <w:r w:rsidRPr="001531CD">
        <w:tab/>
        <w:t>that there is no EPA registered product available;</w:t>
      </w:r>
    </w:p>
    <w:p w14:paraId="753BBC4C" w14:textId="77777777" w:rsidR="00CA398A" w:rsidRPr="001531CD" w:rsidRDefault="00CA398A" w:rsidP="00CA398A">
      <w:pPr>
        <w:pStyle w:val="i0"/>
      </w:pPr>
      <w:r w:rsidRPr="001531CD">
        <w:tab/>
        <w:t>vi.</w:t>
      </w:r>
      <w:r w:rsidRPr="001531CD">
        <w:tab/>
        <w:t>that there is an EPA tolerance established for the product, if it is to be used on a food or a feed crop;</w:t>
      </w:r>
    </w:p>
    <w:p w14:paraId="0FB3B283" w14:textId="77777777" w:rsidR="00CA398A" w:rsidRPr="001531CD" w:rsidRDefault="00CA398A" w:rsidP="00CA398A">
      <w:pPr>
        <w:pStyle w:val="i0"/>
      </w:pPr>
      <w:r w:rsidRPr="001531CD">
        <w:tab/>
        <w:t>vii.</w:t>
      </w:r>
      <w:r w:rsidRPr="001531CD">
        <w:tab/>
        <w:t>that the special local needs application is based on a changed use pattern;</w:t>
      </w:r>
    </w:p>
    <w:p w14:paraId="7BD40BA6" w14:textId="77777777" w:rsidR="00CA398A" w:rsidRPr="001531CD" w:rsidRDefault="00CA398A" w:rsidP="00CA398A">
      <w:pPr>
        <w:pStyle w:val="i0"/>
      </w:pPr>
      <w:r w:rsidRPr="001531CD">
        <w:tab/>
        <w:t>viii.</w:t>
      </w:r>
      <w:r w:rsidRPr="001531CD">
        <w:tab/>
        <w:t>that the product shows promise of efficacy for the condition under which it will be used;</w:t>
      </w:r>
    </w:p>
    <w:p w14:paraId="10CFEB20" w14:textId="77777777" w:rsidR="00CA398A" w:rsidRPr="001531CD" w:rsidRDefault="00CA398A" w:rsidP="00CA398A">
      <w:pPr>
        <w:pStyle w:val="i0"/>
      </w:pPr>
      <w:r w:rsidRPr="001531CD">
        <w:tab/>
        <w:t>ix.</w:t>
      </w:r>
      <w:r w:rsidRPr="001531CD">
        <w:tab/>
        <w:t>such other considerations as the commissioner deems appropriate.</w:t>
      </w:r>
    </w:p>
    <w:p w14:paraId="137BDC01" w14:textId="77777777" w:rsidR="00CA398A" w:rsidRPr="001531CD" w:rsidRDefault="00CA398A" w:rsidP="00CA398A">
      <w:pPr>
        <w:pStyle w:val="a0"/>
      </w:pPr>
      <w:r w:rsidRPr="001531CD">
        <w:t>d.</w:t>
      </w:r>
      <w:r w:rsidRPr="001531CD">
        <w:tab/>
        <w:t>After receiving the recommendation of the committee the commissioner may:</w:t>
      </w:r>
    </w:p>
    <w:p w14:paraId="11B3E0BE" w14:textId="77777777" w:rsidR="00CA398A" w:rsidRPr="001531CD" w:rsidRDefault="00CA398A" w:rsidP="00CA398A">
      <w:pPr>
        <w:pStyle w:val="i0"/>
      </w:pPr>
      <w:r w:rsidRPr="001531CD">
        <w:tab/>
        <w:t>i.</w:t>
      </w:r>
      <w:r w:rsidRPr="001531CD">
        <w:tab/>
        <w:t>grant the registration, in which event he may prescribe the terms and conditions of use; or</w:t>
      </w:r>
    </w:p>
    <w:p w14:paraId="3CC18C5A" w14:textId="77777777" w:rsidR="00CA398A" w:rsidRPr="001531CD" w:rsidRDefault="00CA398A" w:rsidP="00CA398A">
      <w:pPr>
        <w:pStyle w:val="i0"/>
      </w:pPr>
      <w:r w:rsidRPr="001531CD">
        <w:tab/>
        <w:t>ii.</w:t>
      </w:r>
      <w:r w:rsidRPr="001531CD">
        <w:tab/>
        <w:t>deny the registration.</w:t>
      </w:r>
    </w:p>
    <w:p w14:paraId="68321C6E" w14:textId="77777777" w:rsidR="00CA398A" w:rsidRPr="001531CD" w:rsidRDefault="00CA398A" w:rsidP="00CA398A">
      <w:pPr>
        <w:pStyle w:val="a0"/>
      </w:pPr>
      <w:r w:rsidRPr="001531CD">
        <w:t>e.</w:t>
      </w:r>
      <w:r w:rsidRPr="001531CD">
        <w:tab/>
        <w:t>The commissioner may amend or revoke a registration if he finds that:</w:t>
      </w:r>
    </w:p>
    <w:p w14:paraId="65798997" w14:textId="77777777" w:rsidR="00CA398A" w:rsidRPr="001531CD" w:rsidRDefault="00CA398A" w:rsidP="00CA398A">
      <w:pPr>
        <w:pStyle w:val="i0"/>
      </w:pPr>
      <w:r w:rsidRPr="001531CD">
        <w:tab/>
        <w:t>i.</w:t>
      </w:r>
      <w:r w:rsidRPr="001531CD">
        <w:tab/>
        <w:t>the terms and conditions of the registration have been violated, or are inadequate to avoid unreasonably adverse effects on the environment;</w:t>
      </w:r>
    </w:p>
    <w:p w14:paraId="02A059B3" w14:textId="77777777" w:rsidR="00CA398A" w:rsidRPr="001531CD" w:rsidRDefault="00CA398A" w:rsidP="00CA398A">
      <w:pPr>
        <w:pStyle w:val="i0"/>
      </w:pPr>
      <w:r w:rsidRPr="001531CD">
        <w:tab/>
        <w:t>ii.</w:t>
      </w:r>
      <w:r w:rsidRPr="001531CD">
        <w:tab/>
        <w:t>any required tolerance under the Federal Food, Drug, and Cosmetic Act (12 U.S.C. 301 et seq.) has been revoked by EPA or any exemption from the requirements for tolerance has been withdrawn by EPA;</w:t>
      </w:r>
    </w:p>
    <w:p w14:paraId="5C9DD475" w14:textId="77777777" w:rsidR="00CA398A" w:rsidRPr="001531CD" w:rsidRDefault="00CA398A" w:rsidP="00CA398A">
      <w:pPr>
        <w:pStyle w:val="i0"/>
      </w:pPr>
      <w:r w:rsidRPr="001531CD">
        <w:tab/>
        <w:t>iii.</w:t>
      </w:r>
      <w:r w:rsidRPr="001531CD">
        <w:tab/>
        <w:t>the registrant has failed to comply with any other federal or state law or regulation concerning state experimental use permits.</w:t>
      </w:r>
    </w:p>
    <w:p w14:paraId="2DEC81B2" w14:textId="77777777" w:rsidR="00CA398A" w:rsidRPr="001531CD" w:rsidRDefault="00CA398A" w:rsidP="00CA398A">
      <w:pPr>
        <w:pStyle w:val="1"/>
      </w:pPr>
      <w:r w:rsidRPr="001531CD">
        <w:t>3.</w:t>
      </w:r>
      <w:r w:rsidRPr="001531CD">
        <w:tab/>
        <w:t>Special Exemptions</w:t>
      </w:r>
    </w:p>
    <w:p w14:paraId="65385770" w14:textId="77777777" w:rsidR="00CA398A" w:rsidRPr="001531CD" w:rsidRDefault="00CA398A" w:rsidP="00CA398A">
      <w:pPr>
        <w:pStyle w:val="a0"/>
      </w:pPr>
      <w:r w:rsidRPr="001531CD">
        <w:t>a.</w:t>
      </w:r>
      <w:r w:rsidRPr="001531CD">
        <w:tab/>
        <w:t>Specific exemption applications shall be completed in accordance with federal requirements after receiving the recommendations of the director the Louisiana Cooperative Extension Service or his designee and the director of the Louisiana Agricultural Experiment Station, or his designee.</w:t>
      </w:r>
    </w:p>
    <w:p w14:paraId="3D7F525B" w14:textId="77777777" w:rsidR="00CA398A" w:rsidRPr="001531CD" w:rsidRDefault="00CA398A" w:rsidP="00CA398A">
      <w:pPr>
        <w:pStyle w:val="a0"/>
      </w:pPr>
      <w:r w:rsidRPr="001531CD">
        <w:t>b.</w:t>
      </w:r>
      <w:r w:rsidRPr="001531CD">
        <w:tab/>
        <w:t>Quarantine-Public Health Exemption. The commissioner may apply to EPA for a quarantine and/or public health exemption to allow the application of a pesticide if the commissioner finds that a foreign pest or a pest not previously known to be established in Louisiana threatens to become established. This application will be completed in accordance with federal requirements.</w:t>
      </w:r>
    </w:p>
    <w:p w14:paraId="588751C3" w14:textId="77777777" w:rsidR="00CA398A" w:rsidRPr="001531CD" w:rsidRDefault="00CA398A" w:rsidP="00CA398A">
      <w:pPr>
        <w:pStyle w:val="a0"/>
      </w:pPr>
      <w:r w:rsidRPr="001531CD">
        <w:t>c.</w:t>
      </w:r>
      <w:r w:rsidRPr="001531CD">
        <w:tab/>
        <w:t>Crisis Exemption. The commissioner may issue a crisis exemption in accordance with federal regulations for the use of an unregistered pesticide if he finds that:</w:t>
      </w:r>
    </w:p>
    <w:p w14:paraId="5A588479" w14:textId="77777777" w:rsidR="00CA398A" w:rsidRPr="001531CD" w:rsidRDefault="00CA398A" w:rsidP="00CA398A">
      <w:pPr>
        <w:pStyle w:val="i0"/>
      </w:pPr>
      <w:r w:rsidRPr="001531CD">
        <w:tab/>
        <w:t>i.</w:t>
      </w:r>
      <w:r w:rsidRPr="001531CD">
        <w:tab/>
        <w:t>a situation involving the unpredictable outbreak of pests in the state is occurring;</w:t>
      </w:r>
    </w:p>
    <w:p w14:paraId="10DEFF9C" w14:textId="77777777" w:rsidR="00CA398A" w:rsidRPr="001531CD" w:rsidRDefault="00CA398A" w:rsidP="00CA398A">
      <w:pPr>
        <w:pStyle w:val="i0"/>
      </w:pPr>
      <w:r w:rsidRPr="001531CD">
        <w:tab/>
        <w:t>ii.</w:t>
      </w:r>
      <w:r w:rsidRPr="001531CD">
        <w:tab/>
        <w:t>there is no readily available pesticide registered for the particular use to eradicate or control the pest; and</w:t>
      </w:r>
    </w:p>
    <w:p w14:paraId="5600BB7E" w14:textId="77777777" w:rsidR="00CA398A" w:rsidRPr="001531CD" w:rsidRDefault="00CA398A" w:rsidP="00CA398A">
      <w:pPr>
        <w:pStyle w:val="i0"/>
      </w:pPr>
      <w:r w:rsidRPr="001531CD">
        <w:tab/>
        <w:t>iii.</w:t>
      </w:r>
      <w:r w:rsidRPr="001531CD">
        <w:tab/>
        <w:t>the time element with respect to the application of the pesticide is so critical that there is no time to request a registration under any other Section of this Subchapter.</w:t>
      </w:r>
    </w:p>
    <w:p w14:paraId="7525B6F9" w14:textId="77777777" w:rsidR="00CA398A" w:rsidRPr="001531CD" w:rsidRDefault="00CA398A" w:rsidP="00CA398A">
      <w:pPr>
        <w:pStyle w:val="a0"/>
      </w:pPr>
      <w:r w:rsidRPr="001531CD">
        <w:t>d.</w:t>
      </w:r>
      <w:r w:rsidRPr="001531CD">
        <w:tab/>
        <w:t>Pharmaceuticals in Custom Blended Feed(s) Exemption. It shall not be necessary to register a feed as a pesticide that contains a pharmaceutical ingredient if the following conditions are met.</w:t>
      </w:r>
    </w:p>
    <w:p w14:paraId="42E9655E" w14:textId="77777777" w:rsidR="00CA398A" w:rsidRPr="001531CD" w:rsidRDefault="00CA398A" w:rsidP="00CA398A">
      <w:pPr>
        <w:pStyle w:val="i0"/>
      </w:pPr>
      <w:r w:rsidRPr="001531CD">
        <w:tab/>
        <w:t>i.</w:t>
      </w:r>
      <w:r w:rsidRPr="001531CD">
        <w:tab/>
        <w:t>The feed blend is prepared to the order of the customer and is not held in inventory by the blender.</w:t>
      </w:r>
    </w:p>
    <w:p w14:paraId="0EE2AB2E" w14:textId="77777777" w:rsidR="00CA398A" w:rsidRPr="001531CD" w:rsidRDefault="00CA398A" w:rsidP="00CA398A">
      <w:pPr>
        <w:pStyle w:val="i0"/>
      </w:pPr>
      <w:r w:rsidRPr="001531CD">
        <w:tab/>
        <w:t>ii.</w:t>
      </w:r>
      <w:r w:rsidRPr="001531CD">
        <w:tab/>
        <w:t>The blend is to be used on the customer's property or fed to the customer's livestock.</w:t>
      </w:r>
    </w:p>
    <w:p w14:paraId="28CDC9FF" w14:textId="77777777" w:rsidR="00CA398A" w:rsidRPr="001531CD" w:rsidRDefault="00CA398A" w:rsidP="00CA398A">
      <w:pPr>
        <w:pStyle w:val="i0"/>
      </w:pPr>
      <w:r w:rsidRPr="001531CD">
        <w:tab/>
        <w:t>iii.</w:t>
      </w:r>
      <w:r w:rsidRPr="001531CD">
        <w:tab/>
        <w:t>The pharmaceutical(s) used in the blend bears end-use labeling directions that do not prohibit use of the product in such a blend.</w:t>
      </w:r>
    </w:p>
    <w:p w14:paraId="79CAFDA5" w14:textId="77777777" w:rsidR="00CA398A" w:rsidRPr="001531CD" w:rsidRDefault="00CA398A" w:rsidP="00CA398A">
      <w:pPr>
        <w:pStyle w:val="i0"/>
      </w:pPr>
      <w:r w:rsidRPr="001531CD">
        <w:tab/>
        <w:t>iv.</w:t>
      </w:r>
      <w:r w:rsidRPr="001531CD">
        <w:tab/>
        <w:t>The blend is prepared from a pharmaceutical registered with the department.</w:t>
      </w:r>
    </w:p>
    <w:p w14:paraId="7B71A41D" w14:textId="77777777" w:rsidR="00CA398A" w:rsidRPr="001531CD" w:rsidRDefault="00CA398A" w:rsidP="00CA398A">
      <w:pPr>
        <w:pStyle w:val="i0"/>
      </w:pPr>
      <w:r w:rsidRPr="001531CD">
        <w:tab/>
        <w:t>v.</w:t>
      </w:r>
      <w:r w:rsidRPr="001531CD">
        <w:tab/>
        <w:t>The blend is delivered to the end-user along with a copy of the end-use labeling of each pharmaceutical used in the blend and a statement specifying the composition of mixture.</w:t>
      </w:r>
    </w:p>
    <w:p w14:paraId="51B1F26E" w14:textId="77777777" w:rsidR="00CA398A" w:rsidRPr="001531CD" w:rsidRDefault="00CA398A" w:rsidP="00CA398A">
      <w:pPr>
        <w:pStyle w:val="a0"/>
      </w:pPr>
      <w:r w:rsidRPr="001531CD">
        <w:t>e.</w:t>
      </w:r>
      <w:r w:rsidRPr="001531CD">
        <w:tab/>
        <w:t>Commercial feeds, as defined in R.S. 3:1891(1), which are manufactured or distributed as feed to livestock and which contain pharmaceutical ingredients are hereby declared to be pharmaceuticals administered to livestock. Each such commercial feed shall be registered with the department in accordance with the provisions of these regulations except for the following commercial feeds.</w:t>
      </w:r>
    </w:p>
    <w:p w14:paraId="32AE5694" w14:textId="77777777" w:rsidR="00CA398A" w:rsidRPr="001531CD" w:rsidRDefault="00CA398A" w:rsidP="00CA398A">
      <w:pPr>
        <w:pStyle w:val="i0"/>
      </w:pPr>
      <w:r w:rsidRPr="001531CD">
        <w:tab/>
        <w:t>i.</w:t>
      </w:r>
      <w:r w:rsidRPr="001531CD">
        <w:tab/>
        <w:t>Commercial feeds registered with the department in accordance with the requirements of the Commercial Feeds Law found at Chapter 14 of Title 3 of the Louisiana Revised Statutes of 1950, (R.S. 3:1891-1907) as long as those registration and inspection fees and tonnage reports are current.</w:t>
      </w:r>
    </w:p>
    <w:p w14:paraId="653C45D4" w14:textId="77777777" w:rsidR="00CA398A" w:rsidRPr="001531CD" w:rsidRDefault="00CA398A" w:rsidP="00CA398A">
      <w:pPr>
        <w:pStyle w:val="i0"/>
      </w:pPr>
      <w:r w:rsidRPr="001531CD">
        <w:tab/>
        <w:t>ii.</w:t>
      </w:r>
      <w:r w:rsidRPr="001531CD">
        <w:tab/>
        <w:t>Commercial feeds that have been manufactured or produced by any person for the purpose of feeding his own livestock.</w:t>
      </w:r>
    </w:p>
    <w:p w14:paraId="544FBC97" w14:textId="77777777" w:rsidR="00CF626A" w:rsidRPr="001531CD" w:rsidRDefault="00CA398A" w:rsidP="00CA398A">
      <w:pPr>
        <w:pStyle w:val="AuthorityNote"/>
      </w:pPr>
      <w:r w:rsidRPr="001531CD">
        <w:t>AUTHORITY NOTE:</w:t>
      </w:r>
      <w:r w:rsidRPr="001531CD">
        <w:tab/>
        <w:t>Promulgated in accordance with R.S. 3:3203 and R.S. 3:3221.</w:t>
      </w:r>
    </w:p>
    <w:p w14:paraId="1202E040" w14:textId="77777777" w:rsidR="00CF626A" w:rsidRPr="001531CD" w:rsidRDefault="00CF626A">
      <w:pPr>
        <w:pStyle w:val="HistoricalNote"/>
      </w:pPr>
      <w:r w:rsidRPr="001531CD">
        <w:t>HISTORICAL NOTE:</w:t>
      </w:r>
      <w:r w:rsidRPr="001531CD">
        <w:tab/>
        <w:t>Promulgated by the Department of Agriculture, Advisory Commission on Pesticides, LR 9:175 (April l983), amended by the Department of Agriculture and Forestry, Advisory Commission on Pestic</w:t>
      </w:r>
      <w:r w:rsidR="00167E2E">
        <w:t>ides, LR 15:76 (February l989),</w:t>
      </w:r>
      <w:r w:rsidRPr="001531CD">
        <w:t xml:space="preserve"> amended by the Department of Agriculture and Forestry, Office of Agricultural and Environmental Scien</w:t>
      </w:r>
      <w:r w:rsidR="00CA398A" w:rsidRPr="001531CD">
        <w:t>ces, LR 27:2085 (December 2001), amended by Department of Agriculture and Forestry, Office of Agricultural and Environmental Sciences, Advisory Commission on Pesticides, LR 37:3469 (December 2011).</w:t>
      </w:r>
    </w:p>
    <w:p w14:paraId="1361A03D" w14:textId="77777777" w:rsidR="00CA398A" w:rsidRPr="001531CD" w:rsidRDefault="00CA398A" w:rsidP="00CA398A">
      <w:pPr>
        <w:pStyle w:val="Section"/>
      </w:pPr>
      <w:bookmarkStart w:id="2387" w:name="_Toc194293946"/>
      <w:bookmarkStart w:id="2388" w:name="_Toc224819214"/>
      <w:r w:rsidRPr="001531CD">
        <w:t>§509.</w:t>
      </w:r>
      <w:r w:rsidRPr="001531CD">
        <w:tab/>
        <w:t>Supervision of Use</w:t>
      </w:r>
      <w:bookmarkEnd w:id="2387"/>
      <w:bookmarkEnd w:id="2388"/>
    </w:p>
    <w:p w14:paraId="234D055A" w14:textId="77777777" w:rsidR="00CA398A" w:rsidRPr="001531CD" w:rsidRDefault="00CA398A" w:rsidP="00CA398A">
      <w:pPr>
        <w:pStyle w:val="A"/>
      </w:pPr>
      <w:r w:rsidRPr="001531CD">
        <w:t>A.</w:t>
      </w:r>
      <w:r w:rsidRPr="001531CD">
        <w:tab/>
        <w:t>The sale, use, storage, distribution, transportation, or disposal of pesticides registered under this Subchapter shall be subject to the supervision by the department.</w:t>
      </w:r>
    </w:p>
    <w:p w14:paraId="5CD30238" w14:textId="77777777" w:rsidR="00CF626A" w:rsidRPr="001531CD" w:rsidRDefault="00CA398A" w:rsidP="00CA398A">
      <w:pPr>
        <w:pStyle w:val="AuthorityNote"/>
      </w:pPr>
      <w:r w:rsidRPr="001531CD">
        <w:t>AUTHORITY NOTE: Promulgated in accordance with R.S. 3:3203.</w:t>
      </w:r>
    </w:p>
    <w:p w14:paraId="260904D9" w14:textId="77777777" w:rsidR="00CF626A" w:rsidRPr="001531CD" w:rsidRDefault="00CF626A">
      <w:pPr>
        <w:pStyle w:val="HistoricalNote"/>
      </w:pPr>
      <w:r w:rsidRPr="001531CD">
        <w:t>HISTORICAL NOTE:</w:t>
      </w:r>
      <w:r w:rsidRPr="001531CD">
        <w:tab/>
        <w:t>Promulgated by the Department of Agriculture, Advisory Commission Pe</w:t>
      </w:r>
      <w:r w:rsidR="00CA398A" w:rsidRPr="001531CD">
        <w:t xml:space="preserve">sticides, LR 9:178 (April </w:t>
      </w:r>
      <w:r w:rsidR="00CA398A" w:rsidRPr="001531CD">
        <w:lastRenderedPageBreak/>
        <w:t>1983), repromulgated by Department of Agriculture and Forestry, Office of Agricultural and Environmental Sciences, Advisory Commission on Pesticides, LR 37:3471 (December 2011).</w:t>
      </w:r>
    </w:p>
    <w:p w14:paraId="430BBEE4" w14:textId="77777777" w:rsidR="00CA398A" w:rsidRPr="001531CD" w:rsidRDefault="00CA398A" w:rsidP="00CA398A">
      <w:pPr>
        <w:pStyle w:val="Chapter"/>
      </w:pPr>
      <w:bookmarkStart w:id="2389" w:name="_Toc224819215"/>
      <w:r w:rsidRPr="001531CD">
        <w:t>Chapter 7.</w:t>
      </w:r>
      <w:r w:rsidRPr="001531CD">
        <w:tab/>
        <w:t>Examinations, Certification and Licensing</w:t>
      </w:r>
      <w:bookmarkEnd w:id="2389"/>
    </w:p>
    <w:p w14:paraId="34A7044D" w14:textId="77777777" w:rsidR="00CA398A" w:rsidRPr="001531CD" w:rsidRDefault="00CA398A" w:rsidP="00CA398A">
      <w:pPr>
        <w:pStyle w:val="Chapter"/>
      </w:pPr>
      <w:bookmarkStart w:id="2390" w:name="_Toc224819216"/>
      <w:r w:rsidRPr="001531CD">
        <w:t>Subchapter A.</w:t>
      </w:r>
      <w:r w:rsidRPr="001531CD">
        <w:tab/>
        <w:t>Examinations</w:t>
      </w:r>
      <w:bookmarkEnd w:id="2390"/>
    </w:p>
    <w:p w14:paraId="065CBECA" w14:textId="77777777" w:rsidR="00CA398A" w:rsidRPr="001531CD" w:rsidRDefault="00CA398A" w:rsidP="00E63178">
      <w:pPr>
        <w:pStyle w:val="Section"/>
      </w:pPr>
      <w:bookmarkStart w:id="2391" w:name="_Toc194293948"/>
      <w:bookmarkStart w:id="2392" w:name="_Toc224819217"/>
      <w:r w:rsidRPr="001531CD">
        <w:t>§701.</w:t>
      </w:r>
      <w:r w:rsidRPr="001531CD">
        <w:tab/>
      </w:r>
      <w:bookmarkEnd w:id="2391"/>
      <w:r w:rsidR="000B04D8" w:rsidRPr="00D85F63">
        <w:t>Examinations of Private Applicators, Commercial Applicators, Pesticide Salespersons, and Agricultural Consultants</w:t>
      </w:r>
      <w:bookmarkEnd w:id="2392"/>
    </w:p>
    <w:p w14:paraId="2F10036E" w14:textId="77777777" w:rsidR="00BC3154" w:rsidRPr="00BC3154" w:rsidRDefault="003551D9" w:rsidP="00BC3154">
      <w:pPr>
        <w:pStyle w:val="A"/>
      </w:pPr>
      <w:r w:rsidRPr="008E3694">
        <w:t>A</w:t>
      </w:r>
      <w:r>
        <w:tab/>
      </w:r>
      <w:r w:rsidR="00BC3154" w:rsidRPr="00BC3154">
        <w:t>Examinations for certification will be given during office hours upon request of the applicant, in Baton Rouge, at the division, at any district office of the department, or at any location approved by the director.</w:t>
      </w:r>
    </w:p>
    <w:p w14:paraId="146067B5" w14:textId="77777777" w:rsidR="00BC3154" w:rsidRPr="00BC3154" w:rsidRDefault="00BC3154" w:rsidP="00BC3154">
      <w:pPr>
        <w:pStyle w:val="A"/>
      </w:pPr>
      <w:r w:rsidRPr="00BC3154">
        <w:t>B.</w:t>
      </w:r>
      <w:r w:rsidRPr="00BC3154">
        <w:tab/>
        <w:t>The minimum score necessary for successful completion of examinations for certifications under these rules and regulations shall be 70 percent.</w:t>
      </w:r>
    </w:p>
    <w:p w14:paraId="51774EF0" w14:textId="77777777" w:rsidR="00BC3154" w:rsidRPr="00BC3154" w:rsidRDefault="00BC3154" w:rsidP="00BC3154">
      <w:pPr>
        <w:pStyle w:val="A"/>
      </w:pPr>
      <w:r w:rsidRPr="00BC3154">
        <w:t>C.</w:t>
      </w:r>
      <w:r w:rsidRPr="00BC3154">
        <w:tab/>
        <w:t>The director, in cooperation with the director of the Cooperative Extension Service or his designee, shall be responsible for the preparation of all examinations.</w:t>
      </w:r>
    </w:p>
    <w:p w14:paraId="691C3243" w14:textId="77777777" w:rsidR="00BC3154" w:rsidRPr="00BC3154" w:rsidRDefault="00BC3154" w:rsidP="00BC3154">
      <w:pPr>
        <w:pStyle w:val="A"/>
      </w:pPr>
      <w:r w:rsidRPr="00BC3154">
        <w:t>D.</w:t>
      </w:r>
      <w:r w:rsidRPr="00BC3154">
        <w:tab/>
        <w:t>The director shall be responsible for the administration and grading of all examinations.</w:t>
      </w:r>
    </w:p>
    <w:p w14:paraId="79C135D0" w14:textId="77777777" w:rsidR="00BC3154" w:rsidRPr="00BC3154" w:rsidRDefault="00BC3154" w:rsidP="00BC3154">
      <w:pPr>
        <w:pStyle w:val="A"/>
      </w:pPr>
      <w:r w:rsidRPr="00BC3154">
        <w:t>E.</w:t>
      </w:r>
      <w:r w:rsidRPr="00BC3154">
        <w:tab/>
        <w:t>Each applicant for the agricultural consultant examination who fails to receive a passing score shall wait a minimum of 10 days before being eligible for re-examination.</w:t>
      </w:r>
    </w:p>
    <w:p w14:paraId="043A67F9" w14:textId="77777777" w:rsidR="00BC3154" w:rsidRPr="00BC3154" w:rsidRDefault="00BC3154" w:rsidP="00BC3154">
      <w:pPr>
        <w:pStyle w:val="A"/>
      </w:pPr>
      <w:r w:rsidRPr="00BC3154">
        <w:t>F.</w:t>
      </w:r>
      <w:r w:rsidRPr="00BC3154">
        <w:tab/>
        <w:t>No person shall be allowed to take an agricultural consultant examination more than three times in a 12-month period.</w:t>
      </w:r>
    </w:p>
    <w:p w14:paraId="4FB3753A" w14:textId="77777777" w:rsidR="00BC3154" w:rsidRPr="00BC3154" w:rsidRDefault="00BC3154" w:rsidP="00BC3154">
      <w:pPr>
        <w:pStyle w:val="A"/>
      </w:pPr>
      <w:r w:rsidRPr="00BC3154">
        <w:t>G.</w:t>
      </w:r>
      <w:r w:rsidRPr="00BC3154">
        <w:tab/>
        <w:t>Applicants who fail to receive a passing score on the private applicator examination, commercial applicator examination, or pesticide salesperson examination shall be eligible for re-examination after completing and submitting an application for retesting.</w:t>
      </w:r>
    </w:p>
    <w:p w14:paraId="32A50DA2" w14:textId="77777777" w:rsidR="00BC3154" w:rsidRPr="00BC3154" w:rsidRDefault="00BC3154" w:rsidP="00BC3154">
      <w:pPr>
        <w:pStyle w:val="A"/>
      </w:pPr>
      <w:r w:rsidRPr="00BC3154">
        <w:t>H.</w:t>
      </w:r>
      <w:r w:rsidRPr="00BC3154">
        <w:tab/>
        <w:t>An applicant who took and did not pass an examination in this state under these standards shall not be permitted to receive certification in the occupation or category for which the examination was taken under a reciprocal agreement with another state.</w:t>
      </w:r>
    </w:p>
    <w:p w14:paraId="0108D859" w14:textId="77777777" w:rsidR="00BC3154" w:rsidRPr="00BC3154" w:rsidRDefault="00BC3154" w:rsidP="00BC3154">
      <w:pPr>
        <w:pStyle w:val="A"/>
      </w:pPr>
      <w:r w:rsidRPr="00BC3154">
        <w:t>I.</w:t>
      </w:r>
      <w:r w:rsidRPr="00BC3154">
        <w:tab/>
        <w:t>All applicants for salesperson, commercial applicator and private applicator certification must be at least 18 years of age.</w:t>
      </w:r>
    </w:p>
    <w:p w14:paraId="4B606F4D" w14:textId="77777777" w:rsidR="00BC3154" w:rsidRPr="00BC3154" w:rsidRDefault="00BC3154" w:rsidP="00BC3154">
      <w:pPr>
        <w:pStyle w:val="A"/>
      </w:pPr>
      <w:r w:rsidRPr="00BC3154">
        <w:t>J.</w:t>
      </w:r>
      <w:r w:rsidRPr="00BC3154">
        <w:tab/>
        <w:t>An applicant shall be disqualified from completing an examination or taking any other examination administered under these rules and regulations if the applicant is caught or found to be cheating on an examination or using any written materials, electronic devices, or other means during an examination, which have not been authorized or allowed by the director or person administering the examination.</w:t>
      </w:r>
    </w:p>
    <w:p w14:paraId="4D9AB3D1" w14:textId="77777777" w:rsidR="00BC3154" w:rsidRPr="00BC3154" w:rsidRDefault="00BC3154" w:rsidP="00BC3154">
      <w:pPr>
        <w:pStyle w:val="1"/>
      </w:pPr>
      <w:r w:rsidRPr="00BC3154">
        <w:t>1.</w:t>
      </w:r>
      <w:r w:rsidRPr="00BC3154">
        <w:tab/>
        <w:t xml:space="preserve">Any such applicant shall not be allowed to finish the examination and shall receive a score of zero. If an applicant finished the examination prior to the discovery of the cheating or use of unauthorized written materials, electronic devices, </w:t>
      </w:r>
      <w:r w:rsidRPr="00BC3154">
        <w:t>or other means the applicant's examination shall be voided and the applicant shall receive a score of zero.</w:t>
      </w:r>
    </w:p>
    <w:p w14:paraId="42F12BDF" w14:textId="77777777" w:rsidR="00BC3154" w:rsidRPr="00BC3154" w:rsidRDefault="00BC3154" w:rsidP="00BC3154">
      <w:pPr>
        <w:pStyle w:val="1"/>
      </w:pPr>
      <w:r w:rsidRPr="00BC3154">
        <w:t>2.</w:t>
      </w:r>
      <w:r w:rsidRPr="00BC3154">
        <w:tab/>
        <w:t>Any applicant who is not allowed under this subsection to finish an examination, or whose examination is voided, or who is disqualified from taking the examination or any other examination administered under these rules and regulations may appeal the action to the commission.</w:t>
      </w:r>
    </w:p>
    <w:p w14:paraId="392CE6C6" w14:textId="77777777" w:rsidR="00BC3154" w:rsidRPr="00BC3154" w:rsidRDefault="00BC3154" w:rsidP="00BC3154">
      <w:pPr>
        <w:pStyle w:val="a0"/>
      </w:pPr>
      <w:r w:rsidRPr="00BC3154">
        <w:t>a.</w:t>
      </w:r>
      <w:r w:rsidRPr="00BC3154">
        <w:tab/>
        <w:t>The appeal must be in writing, state the grounds for the appeal, and filed with the director within 30 days of the date of the action complained of.</w:t>
      </w:r>
    </w:p>
    <w:p w14:paraId="0A9E0ED4" w14:textId="77777777" w:rsidR="00BC3154" w:rsidRPr="00BC3154" w:rsidRDefault="00BC3154" w:rsidP="00BC3154">
      <w:pPr>
        <w:pStyle w:val="a0"/>
      </w:pPr>
      <w:r w:rsidRPr="00BC3154">
        <w:t>b.</w:t>
      </w:r>
      <w:r w:rsidRPr="00BC3154">
        <w:tab/>
        <w:t>The appeal will be placed on the agenda for the next meeting of the commission and the applicant will be notified of the date and place of the next meeting.</w:t>
      </w:r>
    </w:p>
    <w:p w14:paraId="6CAB86C5" w14:textId="77777777" w:rsidR="00BC3154" w:rsidRPr="00BC3154" w:rsidRDefault="00BC3154" w:rsidP="00BC3154">
      <w:pPr>
        <w:pStyle w:val="a0"/>
      </w:pPr>
      <w:r w:rsidRPr="00BC3154">
        <w:t>c.</w:t>
      </w:r>
      <w:r w:rsidRPr="00BC3154">
        <w:tab/>
        <w:t>The appeal will be heard by the commission, which will make a recommendation to the commissioner. The decision of the commissioner shall be the final administrative decision in the matter.</w:t>
      </w:r>
    </w:p>
    <w:p w14:paraId="0B5E36C5" w14:textId="77777777" w:rsidR="00BC3154" w:rsidRPr="00BC3154" w:rsidRDefault="00BC3154" w:rsidP="00BC3154">
      <w:pPr>
        <w:pStyle w:val="a0"/>
      </w:pPr>
      <w:r w:rsidRPr="00BC3154">
        <w:t>d.</w:t>
      </w:r>
      <w:r w:rsidRPr="00BC3154">
        <w:tab/>
        <w:t>An appeal from the decision of the commissioner shall be in accordance with the Administrative Procedure Act.</w:t>
      </w:r>
    </w:p>
    <w:p w14:paraId="3867D924" w14:textId="77777777" w:rsidR="00BC3154" w:rsidRPr="00BC3154" w:rsidRDefault="00BC3154" w:rsidP="00BC3154">
      <w:pPr>
        <w:pStyle w:val="a0"/>
      </w:pPr>
      <w:r w:rsidRPr="00BC3154">
        <w:t>e.</w:t>
      </w:r>
      <w:r w:rsidRPr="00BC3154">
        <w:tab/>
        <w:t>The action or administrative decision shall become final if no appeal is timely filed at any step in the proceedings or if the action is upheld on appeal.</w:t>
      </w:r>
    </w:p>
    <w:p w14:paraId="03020F0D" w14:textId="77777777" w:rsidR="00BC3154" w:rsidRPr="00BC3154" w:rsidRDefault="00BC3154" w:rsidP="00BC3154">
      <w:pPr>
        <w:pStyle w:val="1"/>
      </w:pPr>
      <w:r w:rsidRPr="00BC3154">
        <w:t>3.</w:t>
      </w:r>
      <w:r w:rsidRPr="00BC3154">
        <w:tab/>
        <w:t>During the pendency of any appeal or during the time limit for the filing of any appeal the applicant shall not be allowed to take any examination administered under these rules and regulations.</w:t>
      </w:r>
    </w:p>
    <w:p w14:paraId="01081874" w14:textId="77777777" w:rsidR="00EF32C3" w:rsidRPr="00EF32C3" w:rsidRDefault="00BC3154" w:rsidP="00BC3154">
      <w:pPr>
        <w:pStyle w:val="1"/>
      </w:pPr>
      <w:r w:rsidRPr="00BC3154">
        <w:t>4.</w:t>
      </w:r>
      <w:r w:rsidRPr="00BC3154">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14:paraId="2E9ECC7F" w14:textId="77777777" w:rsidR="00CF626A" w:rsidRPr="001531CD" w:rsidRDefault="00CA398A" w:rsidP="00CA398A">
      <w:pPr>
        <w:pStyle w:val="AuthorityNote"/>
      </w:pPr>
      <w:r w:rsidRPr="001531CD">
        <w:t>AUTHORITY NOTE:</w:t>
      </w:r>
      <w:r w:rsidRPr="001531CD">
        <w:tab/>
        <w:t>Promulgated in accordance with R.S. 3:3203 and R.S. 3:3241 and 3:3249.</w:t>
      </w:r>
    </w:p>
    <w:p w14:paraId="1D17F102" w14:textId="77777777" w:rsidR="00CF626A" w:rsidRPr="001531CD" w:rsidRDefault="00CF626A">
      <w:pPr>
        <w:pStyle w:val="HistoricalNote"/>
      </w:pPr>
      <w:r w:rsidRPr="001531CD">
        <w:t>HISTORICAL NOTE:</w:t>
      </w:r>
      <w:r w:rsidRPr="001531CD">
        <w:tab/>
        <w:t>Promulgated by the Department of Agriculture, Advisory Commission on Pesticides, LR 9:178 (April 1983), amended LR 11:943 (October 1985), amended by the Department of Agriculture and Forestry, amended by the Department of Agriculture and Forestry, Office of Agricultural and Environmental Sciences, LR 15:76 (February 1989), amended by the Department of Agriculture and Forestry, Office of Agricultural and Environmental Sciences, Advisory Commission on Pest</w:t>
      </w:r>
      <w:r w:rsidR="00326E2D" w:rsidRPr="001531CD">
        <w:t>icides, LR 28:39 (January 2002), amended by the Department of Agriculture and Forestry, Office of Agriculture and Environmental Sciences, Advisory Commission on Pesticides, LR 35:</w:t>
      </w:r>
      <w:r w:rsidR="00CA398A" w:rsidRPr="001531CD">
        <w:t>626 (April 2009), repromulgated by Department of Agriculture and Forestry, Office of Agricultural and Environmental Sciences, Advisory Commission on Pesticides, LR 37:3471 (December 2011)</w:t>
      </w:r>
      <w:r w:rsidR="003E05EC" w:rsidRPr="00D85F63">
        <w:t xml:space="preserve">, </w:t>
      </w:r>
      <w:r w:rsidR="003E05EC">
        <w:t xml:space="preserve">LR 47:437 (April 2021), repromulgated </w:t>
      </w:r>
      <w:r w:rsidR="003E05EC" w:rsidRPr="00D85F63">
        <w:t>LR 47:</w:t>
      </w:r>
      <w:r w:rsidR="003E05EC">
        <w:t>717 (June 2021</w:t>
      </w:r>
      <w:r w:rsidR="00BC3154" w:rsidRPr="003F655B">
        <w:t xml:space="preserve">), </w:t>
      </w:r>
      <w:r w:rsidR="00BC3154">
        <w:t>amended by t</w:t>
      </w:r>
      <w:r w:rsidR="00BC3154" w:rsidRPr="003F655B">
        <w:t xml:space="preserve">he Department of Agriculture and Forestry, Office of Agricultural and Environmental Sciences, Advisory Commission on Pesticides </w:t>
      </w:r>
      <w:r w:rsidR="00BC3154">
        <w:t>LR 51:772 (June 2025).</w:t>
      </w:r>
    </w:p>
    <w:p w14:paraId="3A85AE5C" w14:textId="77777777" w:rsidR="00CA398A" w:rsidRPr="001531CD" w:rsidRDefault="00CA398A" w:rsidP="00CA398A">
      <w:pPr>
        <w:pStyle w:val="Chapter"/>
      </w:pPr>
      <w:bookmarkStart w:id="2393" w:name="TOC_SubC174"/>
      <w:bookmarkStart w:id="2394" w:name="_Toc194293949"/>
      <w:bookmarkStart w:id="2395" w:name="_Toc224819218"/>
      <w:r w:rsidRPr="001531CD">
        <w:lastRenderedPageBreak/>
        <w:t>Subchapter B.</w:t>
      </w:r>
      <w:bookmarkStart w:id="2396" w:name="TOCT_SubC174"/>
      <w:bookmarkEnd w:id="2393"/>
      <w:r w:rsidRPr="001531CD">
        <w:tab/>
        <w:t>Certification</w:t>
      </w:r>
      <w:bookmarkEnd w:id="2394"/>
      <w:bookmarkEnd w:id="2395"/>
      <w:bookmarkEnd w:id="2396"/>
    </w:p>
    <w:p w14:paraId="357ECC56" w14:textId="77777777" w:rsidR="00CA398A" w:rsidRPr="001531CD" w:rsidRDefault="00CA398A" w:rsidP="00CA398A">
      <w:pPr>
        <w:pStyle w:val="Section"/>
      </w:pPr>
      <w:bookmarkStart w:id="2397" w:name="_Toc194293950"/>
      <w:bookmarkStart w:id="2398" w:name="_Toc224819219"/>
      <w:r w:rsidRPr="001531CD">
        <w:t>§709.</w:t>
      </w:r>
      <w:r w:rsidRPr="001531CD">
        <w:tab/>
        <w:t>Certification of Private Applicators</w:t>
      </w:r>
      <w:bookmarkEnd w:id="2397"/>
      <w:bookmarkEnd w:id="2398"/>
    </w:p>
    <w:p w14:paraId="5C71D75B" w14:textId="77777777" w:rsidR="00BC3154" w:rsidRPr="00BC3154" w:rsidRDefault="00CA398A" w:rsidP="00BC3154">
      <w:pPr>
        <w:pStyle w:val="A"/>
      </w:pPr>
      <w:r w:rsidRPr="001531CD">
        <w:t>A.</w:t>
      </w:r>
      <w:r w:rsidRPr="001531CD">
        <w:tab/>
      </w:r>
      <w:r w:rsidR="00BC3154" w:rsidRPr="00BC3154">
        <w:t>Certification for private applicators shall be issued only after the applicant has satisfactorily passed an examination or has satisfactorily completed a training course that meets or exceeds the standards for certification of private applicators pursuant to 40 CFR §171.105 and is approved by the commissioner.</w:t>
      </w:r>
    </w:p>
    <w:p w14:paraId="165FAF47" w14:textId="77777777" w:rsidR="00BC3154" w:rsidRPr="00BC3154" w:rsidRDefault="00BC3154" w:rsidP="00BC3154">
      <w:pPr>
        <w:pStyle w:val="A"/>
      </w:pPr>
      <w:r w:rsidRPr="00BC3154">
        <w:t>B.</w:t>
      </w:r>
      <w:r w:rsidRPr="00BC3154">
        <w:tab/>
        <w:t>Each person that has been certified as a private applicator and whose certification has not been revoked, suspended or expired may renew that certification by attending a recertification meeting or passing an examination as approved by the commissioner.</w:t>
      </w:r>
    </w:p>
    <w:p w14:paraId="6FD3FBE0" w14:textId="77777777" w:rsidR="00BC3154" w:rsidRPr="00BC3154" w:rsidRDefault="00BC3154" w:rsidP="00BC3154">
      <w:pPr>
        <w:pStyle w:val="A"/>
      </w:pPr>
      <w:r w:rsidRPr="00BC3154">
        <w:t>C.</w:t>
      </w:r>
      <w:r w:rsidRPr="00BC3154">
        <w:tab/>
        <w:t>Private applicators shall not use fumigants unless they pass the Soil or Non-Soil Fumigation Exams.</w:t>
      </w:r>
    </w:p>
    <w:p w14:paraId="3272AC59" w14:textId="77777777" w:rsidR="00CA398A" w:rsidRPr="001531CD" w:rsidRDefault="00BC3154" w:rsidP="00BC3154">
      <w:pPr>
        <w:pStyle w:val="A"/>
      </w:pPr>
      <w:r w:rsidRPr="00BC3154">
        <w:t>D.</w:t>
      </w:r>
      <w:r w:rsidRPr="00BC3154">
        <w:tab/>
        <w:t xml:space="preserve">Supervision of Noncertified Applicators. The certified applicator shall ensure that each noncertified applicator under their direct supervision meets all the requirements set forth in 40 CFR </w:t>
      </w:r>
      <w:bookmarkStart w:id="2399" w:name="_Hlk190952105"/>
      <w:r w:rsidRPr="00BC3154">
        <w:t xml:space="preserve">§171.201 </w:t>
      </w:r>
      <w:bookmarkEnd w:id="2399"/>
      <w:r w:rsidRPr="00BC3154">
        <w:t>before the noncertified applicator uses any restricted use pesticide. Noncertified applicators shall be trained within the last 12 months in the safe operation of any equipment they will use for moving, loading, transferring, or applying pesticides pursuant to 40 CFR §171.201.</w:t>
      </w:r>
    </w:p>
    <w:p w14:paraId="744AA26D" w14:textId="77777777" w:rsidR="00CF626A" w:rsidRPr="001531CD" w:rsidRDefault="00CA398A" w:rsidP="00CA398A">
      <w:pPr>
        <w:pStyle w:val="AuthorityNote"/>
      </w:pPr>
      <w:r w:rsidRPr="001531CD">
        <w:t>AUTHORITY NOTE:</w:t>
      </w:r>
      <w:r w:rsidRPr="001531CD">
        <w:tab/>
        <w:t>Promulgated in accordance with R.S. 3:3203, R.S. 3:3249.</w:t>
      </w:r>
    </w:p>
    <w:p w14:paraId="6E463677" w14:textId="77777777" w:rsidR="00CF626A" w:rsidRPr="001531CD" w:rsidRDefault="00CF626A">
      <w:pPr>
        <w:pStyle w:val="HistoricalNote"/>
      </w:pPr>
      <w:r w:rsidRPr="001531CD">
        <w:t>HISTORICAL NOTE:</w:t>
      </w:r>
      <w:r w:rsidRPr="001531CD">
        <w:tab/>
        <w:t>Promulgated by the Department of Agriculture, Advisory Commission on Pesticides, LR 9:179 (April 1983), amended by the Department of Agriculture and Forestry, Advisory Commission on Pestici</w:t>
      </w:r>
      <w:r w:rsidR="00CA398A" w:rsidRPr="001531CD">
        <w:t>des, LR 15:76 (February 1989), amended by Department of Agriculture and Forestry, Office of Agricultural and Environmental Sciences, Advisory Commission on Pesticides, LR 37:3471 (December 2011)</w:t>
      </w:r>
      <w:r w:rsidR="00796E37">
        <w:t>,</w:t>
      </w:r>
      <w:r w:rsidR="00796E37" w:rsidRPr="00796E37">
        <w:rPr>
          <w:kern w:val="0"/>
          <w:sz w:val="20"/>
        </w:rPr>
        <w:t xml:space="preserve"> </w:t>
      </w:r>
      <w:r w:rsidR="00796E37" w:rsidRPr="00796E37">
        <w:t>LR 44:2126</w:t>
      </w:r>
      <w:r w:rsidR="00796E37">
        <w:t xml:space="preserve"> (December 2018</w:t>
      </w:r>
      <w:r w:rsidR="00BC3154" w:rsidRPr="003F655B">
        <w:t xml:space="preserve">), </w:t>
      </w:r>
      <w:r w:rsidR="00BC3154">
        <w:t>amended by t</w:t>
      </w:r>
      <w:r w:rsidR="00BC3154" w:rsidRPr="003F655B">
        <w:t xml:space="preserve">he Department of Agriculture and Forestry, Office of Agricultural and Environmental Sciences, Advisory Commission on Pesticides </w:t>
      </w:r>
      <w:r w:rsidR="00BC3154">
        <w:t>LR 51:773 (June 2025).</w:t>
      </w:r>
    </w:p>
    <w:p w14:paraId="16A471A3" w14:textId="77777777" w:rsidR="00CA398A" w:rsidRPr="001531CD" w:rsidRDefault="00CA398A" w:rsidP="00CA398A">
      <w:pPr>
        <w:pStyle w:val="Section"/>
      </w:pPr>
      <w:bookmarkStart w:id="2400" w:name="_Toc194293951"/>
      <w:bookmarkStart w:id="2401" w:name="_Toc224819220"/>
      <w:r w:rsidRPr="001531CD">
        <w:t>§711.</w:t>
      </w:r>
      <w:r w:rsidRPr="001531CD">
        <w:tab/>
        <w:t>Certification of Commercial Applicators</w:t>
      </w:r>
      <w:bookmarkEnd w:id="2400"/>
      <w:bookmarkEnd w:id="2401"/>
    </w:p>
    <w:p w14:paraId="3DA83E2D" w14:textId="77777777" w:rsidR="00503917" w:rsidRPr="00503917" w:rsidRDefault="00CA398A" w:rsidP="00503917">
      <w:pPr>
        <w:pStyle w:val="A"/>
      </w:pPr>
      <w:r w:rsidRPr="001531CD">
        <w:t>A.</w:t>
      </w:r>
      <w:r w:rsidRPr="001531CD">
        <w:tab/>
      </w:r>
      <w:r w:rsidR="00503917" w:rsidRPr="00503917">
        <w:t>The commissioner hereby establishes the following standards as qualifications required for certification.</w:t>
      </w:r>
    </w:p>
    <w:p w14:paraId="7A661485" w14:textId="77777777" w:rsidR="00503917" w:rsidRPr="00503917" w:rsidRDefault="00503917" w:rsidP="00503917">
      <w:pPr>
        <w:pStyle w:val="1"/>
      </w:pPr>
      <w:r w:rsidRPr="00503917">
        <w:t>1.</w:t>
      </w:r>
      <w:r w:rsidRPr="00503917">
        <w:tab/>
        <w:t>Standards applicable to all categories:</w:t>
      </w:r>
    </w:p>
    <w:p w14:paraId="392E19CB" w14:textId="77777777" w:rsidR="00CA398A" w:rsidRPr="001531CD" w:rsidRDefault="00503917" w:rsidP="00503917">
      <w:pPr>
        <w:pStyle w:val="a0"/>
      </w:pPr>
      <w:r w:rsidRPr="00503917">
        <w:t>a.</w:t>
      </w:r>
      <w:r w:rsidRPr="00503917">
        <w:tab/>
        <w:t>must be at least 18 years of age;</w:t>
      </w:r>
    </w:p>
    <w:p w14:paraId="38A054BE" w14:textId="77777777" w:rsidR="00CA398A" w:rsidRPr="001531CD" w:rsidRDefault="00CA398A" w:rsidP="00CA398A">
      <w:pPr>
        <w:pStyle w:val="a0"/>
      </w:pPr>
      <w:r w:rsidRPr="001531CD">
        <w:t>b.</w:t>
      </w:r>
      <w:r w:rsidRPr="001531CD">
        <w:tab/>
        <w:t>must be able to read and write the English language with sufficient proficiency to demonstrate comprehension of label and labeling content and instructions;</w:t>
      </w:r>
    </w:p>
    <w:p w14:paraId="79DFC840" w14:textId="77777777" w:rsidR="00CA398A" w:rsidRPr="001531CD" w:rsidRDefault="00CA398A" w:rsidP="00CA398A">
      <w:pPr>
        <w:pStyle w:val="a0"/>
      </w:pPr>
      <w:r w:rsidRPr="001531CD">
        <w:t>c.</w:t>
      </w:r>
      <w:r w:rsidRPr="001531CD">
        <w:tab/>
        <w:t>must submit an application for certification in the form required by the commissioner;</w:t>
      </w:r>
    </w:p>
    <w:p w14:paraId="1912272E" w14:textId="77777777" w:rsidR="00CA398A" w:rsidRPr="001531CD" w:rsidRDefault="00CA398A" w:rsidP="00CA398A">
      <w:pPr>
        <w:pStyle w:val="a0"/>
      </w:pPr>
      <w:r w:rsidRPr="001531CD">
        <w:t>d.</w:t>
      </w:r>
      <w:r w:rsidRPr="001531CD">
        <w:tab/>
        <w:t>must be able to demonstrate knowledge of the principles and practices of pest control and the safe use of pesticides. Applicants must demonstrate these capabilities by successfully completing the general standards examinations;</w:t>
      </w:r>
    </w:p>
    <w:p w14:paraId="6875C0C9" w14:textId="77777777" w:rsidR="00CA398A" w:rsidRPr="001531CD" w:rsidRDefault="00CA398A" w:rsidP="00CA398A">
      <w:pPr>
        <w:pStyle w:val="a0"/>
      </w:pPr>
      <w:r w:rsidRPr="001531CD">
        <w:t>e.</w:t>
      </w:r>
      <w:r w:rsidRPr="001531CD">
        <w:tab/>
        <w:t>must be able to successfully complete an examination in the specific category in which certification is sought;</w:t>
      </w:r>
    </w:p>
    <w:p w14:paraId="0871DE40" w14:textId="77777777" w:rsidR="00CA398A" w:rsidRPr="001531CD" w:rsidRDefault="00CA398A" w:rsidP="00CA398A">
      <w:pPr>
        <w:pStyle w:val="a0"/>
      </w:pPr>
      <w:r w:rsidRPr="001531CD">
        <w:t>f.</w:t>
      </w:r>
      <w:r w:rsidRPr="001531CD">
        <w:tab/>
        <w:t>all prior certifications, if any, must be in good standing at the time that the application for any examination is filed;</w:t>
      </w:r>
    </w:p>
    <w:p w14:paraId="13680110" w14:textId="77777777" w:rsidR="00CA398A" w:rsidRPr="001531CD" w:rsidRDefault="00CA398A" w:rsidP="00CA398A">
      <w:pPr>
        <w:pStyle w:val="a0"/>
      </w:pPr>
      <w:r w:rsidRPr="001531CD">
        <w:t>g.</w:t>
      </w:r>
      <w:r w:rsidRPr="001531CD">
        <w:tab/>
        <w:t>aerial applicators shall successfully complete the aerial application of pesticides examination.</w:t>
      </w:r>
    </w:p>
    <w:p w14:paraId="17FD850D" w14:textId="77777777" w:rsidR="00CA398A" w:rsidRPr="001531CD" w:rsidRDefault="00CA398A" w:rsidP="00CA398A">
      <w:pPr>
        <w:pStyle w:val="1"/>
      </w:pPr>
      <w:r w:rsidRPr="001531CD">
        <w:t>2.</w:t>
      </w:r>
      <w:r w:rsidRPr="001531CD">
        <w:tab/>
      </w:r>
      <w:r w:rsidR="00503917" w:rsidRPr="00503917">
        <w:t>An individual applying for certification in subcategory 7c (§711.B.2.g.iii) must pass the Non-Soil Fumigation Exam.</w:t>
      </w:r>
    </w:p>
    <w:p w14:paraId="73E60D13" w14:textId="77777777" w:rsidR="00CA398A" w:rsidRPr="001531CD" w:rsidRDefault="00CA398A" w:rsidP="00CA398A">
      <w:pPr>
        <w:pStyle w:val="1"/>
      </w:pPr>
      <w:r w:rsidRPr="001531CD">
        <w:t>3.</w:t>
      </w:r>
      <w:r w:rsidRPr="001531CD">
        <w:tab/>
        <w:t>An individual applying for certification in subcategory 8d (§711 B.2.h.iv) must have either:</w:t>
      </w:r>
    </w:p>
    <w:p w14:paraId="5B908B6F" w14:textId="77777777" w:rsidR="00CA398A" w:rsidRPr="001531CD" w:rsidRDefault="00CA398A" w:rsidP="00CA398A">
      <w:pPr>
        <w:pStyle w:val="a0"/>
      </w:pPr>
      <w:r w:rsidRPr="001531CD">
        <w:t>a.</w:t>
      </w:r>
      <w:r w:rsidRPr="001531CD">
        <w:tab/>
        <w:t>a bachelor's degree with at least 12 hours in entomology; or</w:t>
      </w:r>
    </w:p>
    <w:p w14:paraId="53421324" w14:textId="77777777" w:rsidR="00CA398A" w:rsidRPr="001531CD" w:rsidRDefault="00CA398A" w:rsidP="00CA398A">
      <w:pPr>
        <w:pStyle w:val="a0"/>
      </w:pPr>
      <w:r w:rsidRPr="001531CD">
        <w:t>b.</w:t>
      </w:r>
      <w:r w:rsidRPr="001531CD">
        <w:tab/>
        <w:t>at least four years of experience in mosquito control working under supervision of a person certified in subcategory 8d. Required experience must be substantiated by a notarized statement acceptable to the commissioner.</w:t>
      </w:r>
    </w:p>
    <w:p w14:paraId="28E5228C" w14:textId="77777777" w:rsidR="00CA398A" w:rsidRPr="001531CD" w:rsidRDefault="00CA398A" w:rsidP="00CA398A">
      <w:pPr>
        <w:pStyle w:val="1"/>
      </w:pPr>
      <w:r w:rsidRPr="001531CD">
        <w:t>4.</w:t>
      </w:r>
      <w:r w:rsidRPr="001531CD">
        <w:tab/>
      </w:r>
      <w:r w:rsidR="00FA1878" w:rsidRPr="00C86722">
        <w:t>All certified pesticide applicators, with the single exception of aerial mosquito pest control applicators, who have been found to have violated a provision of the Louisiana Pesticide Law related to drift</w:t>
      </w:r>
      <w:r w:rsidR="00FA1878" w:rsidRPr="00C86722">
        <w:rPr>
          <w:color w:val="FF0000"/>
        </w:rPr>
        <w:t xml:space="preserve"> </w:t>
      </w:r>
      <w:r w:rsidR="00FA1878" w:rsidRPr="00C86722">
        <w:t>or any of the rules or regulations adopted pursuant to that law by the commission or the commissioner related to drift, or</w:t>
      </w:r>
      <w:r w:rsidR="00FA1878">
        <w:t xml:space="preserve"> who received a warning letter</w:t>
      </w:r>
      <w:r w:rsidR="00FA1878" w:rsidRPr="00C86722">
        <w:t xml:space="preserve"> from the department during the past calendar year related to drift, shall attend a department-approved off-target training course prior to making any application in the following year, in order to maintain their certification as a certified applicator.</w:t>
      </w:r>
    </w:p>
    <w:p w14:paraId="796B1FDC" w14:textId="77777777" w:rsidR="00CA398A" w:rsidRPr="001531CD" w:rsidRDefault="00CA398A" w:rsidP="00CA398A">
      <w:pPr>
        <w:pStyle w:val="1"/>
      </w:pPr>
      <w:r w:rsidRPr="001531CD">
        <w:t>5.</w:t>
      </w:r>
      <w:r w:rsidRPr="001531CD">
        <w:tab/>
        <w:t>Commercial aerial pesticide applicators who are certifying for the first time or who have not been certified within the past three years, with the single exception of aerial mosquito pest control applicators, must attend a department-approved off-target training course prior to making any application.</w:t>
      </w:r>
    </w:p>
    <w:p w14:paraId="1DB2344F" w14:textId="77777777" w:rsidR="00CA398A" w:rsidRPr="001531CD" w:rsidRDefault="00CA398A" w:rsidP="00CA398A">
      <w:pPr>
        <w:pStyle w:val="A"/>
      </w:pPr>
      <w:r w:rsidRPr="001531CD">
        <w:t>B.</w:t>
      </w:r>
      <w:r w:rsidRPr="001531CD">
        <w:tab/>
        <w:t>Categories are established on the basis of the location where the application of pesticides will be made, and each applicant for certification is required to successfully complete an examination in the category in which the applicant desires certification.</w:t>
      </w:r>
    </w:p>
    <w:p w14:paraId="588D7810" w14:textId="77777777" w:rsidR="00CA398A" w:rsidRDefault="00CA398A" w:rsidP="00CA398A">
      <w:pPr>
        <w:pStyle w:val="1"/>
      </w:pPr>
      <w:r w:rsidRPr="001531CD">
        <w:t>1.</w:t>
      </w:r>
      <w:r w:rsidRPr="001531CD">
        <w:tab/>
        <w:t>Certification in a category authorizes the commercial applicator to make application of or supervise the application of restricted use pesticides in the areas listed for each category.</w:t>
      </w:r>
    </w:p>
    <w:p w14:paraId="4643F4F3" w14:textId="77777777" w:rsidR="00503917" w:rsidRPr="001531CD" w:rsidRDefault="00503917" w:rsidP="00503917">
      <w:pPr>
        <w:pStyle w:val="a0"/>
      </w:pPr>
      <w:r w:rsidRPr="00C96928">
        <w:t>a.</w:t>
      </w:r>
      <w:r w:rsidRPr="00C96928">
        <w:tab/>
        <w:t>Supervision for Noncertified Applicators: the certified applicator shall ensure that each noncertified applicator under their direct supervision meets all the requirements set forth in 40 CFR §171.201 before using any restricted use pesticide. Noncertified applicators shall be trained within the last 12 months in the safe operation of any equipment they will use for moving, loading, transferring, or applying pesticides pursuant to §171.201.</w:t>
      </w:r>
    </w:p>
    <w:p w14:paraId="3818E0C6" w14:textId="77777777" w:rsidR="00CA398A" w:rsidRPr="001531CD" w:rsidRDefault="00CA398A" w:rsidP="002B76F7">
      <w:pPr>
        <w:pStyle w:val="1"/>
        <w:spacing w:after="60"/>
      </w:pPr>
      <w:r w:rsidRPr="001531CD">
        <w:t>2.</w:t>
      </w:r>
      <w:r w:rsidRPr="001531CD">
        <w:tab/>
        <w:t>The commissioner hereby establishes the following categories and subcategories of certification for commercial applicators.</w:t>
      </w:r>
    </w:p>
    <w:p w14:paraId="2D73E53F" w14:textId="77777777" w:rsidR="00CA398A" w:rsidRPr="001531CD" w:rsidRDefault="00CA398A" w:rsidP="002B76F7">
      <w:pPr>
        <w:pStyle w:val="RegDoubleIndent"/>
        <w:spacing w:after="60"/>
        <w:rPr>
          <w:sz w:val="16"/>
          <w:szCs w:val="16"/>
        </w:rPr>
      </w:pPr>
      <w:r w:rsidRPr="001531CD">
        <w:rPr>
          <w:sz w:val="16"/>
          <w:szCs w:val="16"/>
        </w:rPr>
        <w:lastRenderedPageBreak/>
        <w:t>NOTE: The classifications in this Subsection reflect national categories established by EPA.</w:t>
      </w:r>
    </w:p>
    <w:p w14:paraId="522E6925" w14:textId="77777777" w:rsidR="00503917" w:rsidRPr="00503917" w:rsidRDefault="00CA398A" w:rsidP="00503917">
      <w:pPr>
        <w:pStyle w:val="a0"/>
      </w:pPr>
      <w:r w:rsidRPr="001531CD">
        <w:t>a.</w:t>
      </w:r>
      <w:r w:rsidRPr="001531CD">
        <w:tab/>
      </w:r>
      <w:r w:rsidR="00503917" w:rsidRPr="00503917">
        <w:t>Agricultural Pest Control (category 1). This category includes commercial applicators using or supervising the use of restricted use pesticides on agricultural lands, grasslands and non-crop agricultural lands, and on animals and to places on or in which animals are confined. This category also includes Doctors of Veterinary Medicine engaged in the business of applying pesticides for hire, publicly holding themselves out as pesticide applicators, or engaged in large scale use of pesticides. This category does not include the use of fumigants.</w:t>
      </w:r>
    </w:p>
    <w:p w14:paraId="59848050" w14:textId="77777777" w:rsidR="00503917" w:rsidRPr="00503917" w:rsidRDefault="00503917" w:rsidP="00503917">
      <w:pPr>
        <w:pStyle w:val="a0"/>
      </w:pPr>
      <w:r w:rsidRPr="00503917">
        <w:t>b.</w:t>
      </w:r>
      <w:r w:rsidRPr="00503917">
        <w:tab/>
        <w:t>Forest Pest Control (category 2). This category has been subdivided into the following two subcategories.</w:t>
      </w:r>
    </w:p>
    <w:p w14:paraId="4B3B6F07" w14:textId="77777777" w:rsidR="00503917" w:rsidRPr="00503917" w:rsidRDefault="00503917" w:rsidP="00503917">
      <w:pPr>
        <w:pStyle w:val="i0"/>
      </w:pPr>
      <w:r w:rsidRPr="00503917">
        <w:tab/>
        <w:t>i.</w:t>
      </w:r>
      <w:r w:rsidRPr="00503917">
        <w:tab/>
        <w:t>Forestry Pest Control (subcategory 2a). This subcategory includes commercial applicators using or supervising the use of restricted use pesticides in forests, forest nurseries, and forest seed production. This subcategory does not include the use of fumigants.</w:t>
      </w:r>
    </w:p>
    <w:p w14:paraId="421F43F2" w14:textId="77777777" w:rsidR="00503917" w:rsidRPr="00503917" w:rsidRDefault="00503917" w:rsidP="00503917">
      <w:pPr>
        <w:pStyle w:val="i0"/>
      </w:pPr>
      <w:r w:rsidRPr="00503917">
        <w:tab/>
        <w:t>ii.</w:t>
      </w:r>
      <w:r w:rsidRPr="00503917">
        <w:tab/>
        <w:t>Wood Processing (subcategory 2b). This subcategory includes applicators who are using or supervising the use of restricted use pesticides to treat wood products (lumber, poles, ties) before their use in construction, or to field treat utility poles, bridge supports and similar elements of construction. This subcategory does not include the use of fumigants.</w:t>
      </w:r>
    </w:p>
    <w:p w14:paraId="447E840A" w14:textId="77777777" w:rsidR="00503917" w:rsidRPr="00503917" w:rsidRDefault="00503917" w:rsidP="00503917">
      <w:pPr>
        <w:pStyle w:val="a0"/>
      </w:pPr>
      <w:r w:rsidRPr="00503917">
        <w:t>c.</w:t>
      </w:r>
      <w:r w:rsidRPr="00503917">
        <w:tab/>
        <w:t>Ornamental and Turf Pest Control (category 3). This category includes commercial applicators using or supervising the use of restricted use pesticides to control pests in the maintenance and production of ornamental trees, shrubs, flowers and turf. This category does not include the use of fumigants.</w:t>
      </w:r>
    </w:p>
    <w:p w14:paraId="449C4767" w14:textId="77777777" w:rsidR="00CA398A" w:rsidRPr="001531CD" w:rsidRDefault="00503917" w:rsidP="00503917">
      <w:pPr>
        <w:pStyle w:val="a0"/>
      </w:pPr>
      <w:r w:rsidRPr="00503917">
        <w:t>d.</w:t>
      </w:r>
      <w:r w:rsidRPr="00503917">
        <w:tab/>
        <w:t>Seed Treatment (category 4). This category includes commercial applicators using or supervising the use of restricted use pesticides on seeds. This category does not include the use of fumigants.</w:t>
      </w:r>
    </w:p>
    <w:p w14:paraId="3A6C171B" w14:textId="77777777" w:rsidR="00CA398A" w:rsidRPr="001531CD" w:rsidRDefault="00CA398A" w:rsidP="00CA398A">
      <w:pPr>
        <w:pStyle w:val="a0"/>
      </w:pPr>
      <w:r w:rsidRPr="001531CD">
        <w:t>e.</w:t>
      </w:r>
      <w:r w:rsidRPr="001531CD">
        <w:tab/>
        <w:t>Aquatic Pest Control (category 5). This category is subdivided into two subcategories.</w:t>
      </w:r>
    </w:p>
    <w:p w14:paraId="5FBF34BB" w14:textId="77777777" w:rsidR="00503917" w:rsidRPr="00503917" w:rsidRDefault="00CA398A" w:rsidP="00503917">
      <w:pPr>
        <w:pStyle w:val="i0"/>
      </w:pPr>
      <w:r w:rsidRPr="001531CD">
        <w:tab/>
        <w:t>i.</w:t>
      </w:r>
      <w:r w:rsidRPr="001531CD">
        <w:tab/>
      </w:r>
      <w:r w:rsidR="00503917" w:rsidRPr="00503917">
        <w:t>Aquatic Pest Control (subcategory 5a). This subcategory includes commercial applicators using or supervising the use of any restricted use pesticide purposefully applied to standing or running water, excluding applicators engaged in public health related activities included in category 8 (Subparagraph B.2.h). This subcategory does not include the use of fumigants.</w:t>
      </w:r>
    </w:p>
    <w:p w14:paraId="4556E68A" w14:textId="77777777" w:rsidR="00503917" w:rsidRPr="00503917" w:rsidRDefault="00503917" w:rsidP="00503917">
      <w:pPr>
        <w:pStyle w:val="i0"/>
      </w:pPr>
      <w:r w:rsidRPr="00503917">
        <w:tab/>
        <w:t>ii.</w:t>
      </w:r>
      <w:r w:rsidRPr="00503917">
        <w:tab/>
        <w:t>Anti-Fouling Paints (subcategory 5b). This subcategory includes commercial applicators using restricted use pesticides in paints or coatings to be applied to vessel hulls and other marine structures to inhibit the growth of aquatic organisms such as barnacles and algae. This subcategory does not include the use of fumigants.</w:t>
      </w:r>
    </w:p>
    <w:p w14:paraId="31D71898" w14:textId="77777777" w:rsidR="00503917" w:rsidRPr="00503917" w:rsidRDefault="00503917" w:rsidP="00503917">
      <w:pPr>
        <w:pStyle w:val="a0"/>
      </w:pPr>
      <w:r w:rsidRPr="00503917">
        <w:t>f.</w:t>
      </w:r>
      <w:r w:rsidRPr="00503917">
        <w:tab/>
        <w:t xml:space="preserve">Right-of-Way Pest Control (category 6). This category includes commercial applicators using or supervising the use of restricted use pesticides in the maintenance of public roads, electric power lines, pipelines, </w:t>
      </w:r>
      <w:r w:rsidRPr="00503917">
        <w:t>railway rights-of-way or other similar areas. This category does not include the use of fumigants.</w:t>
      </w:r>
    </w:p>
    <w:p w14:paraId="23D75E9B" w14:textId="77777777" w:rsidR="00CA398A" w:rsidRPr="001531CD" w:rsidRDefault="00503917" w:rsidP="00503917">
      <w:pPr>
        <w:pStyle w:val="a0"/>
      </w:pPr>
      <w:r w:rsidRPr="00503917">
        <w:t>g.</w:t>
      </w:r>
      <w:r w:rsidRPr="00503917">
        <w:tab/>
        <w:t>Industrial, Institutional, and Structural Pest Control (category 7). This category includes structural applicators and nonfee commercial applicators using, or supervising the use of, pesticides with restricted uses in, on, or around food-handling establishments; human dwellings; institutions, such as schools and hospitals; industrial establishments, including warehouses and grain elevators; and any other structures and adjacent area, public or private; and for the protection of stored, processed or manufactured products. This category has been subdivided into four subcategories.</w:t>
      </w:r>
    </w:p>
    <w:p w14:paraId="18551C8E" w14:textId="77777777" w:rsidR="00503917" w:rsidRPr="00503917" w:rsidRDefault="00CA398A" w:rsidP="00503917">
      <w:pPr>
        <w:pStyle w:val="i0"/>
      </w:pPr>
      <w:r w:rsidRPr="001531CD">
        <w:tab/>
        <w:t>i.</w:t>
      </w:r>
      <w:r w:rsidRPr="001531CD">
        <w:tab/>
      </w:r>
      <w:r w:rsidR="00503917" w:rsidRPr="00503917">
        <w:t>Structural Pest Control (subcategory 7a). This subcategory is for pest control operators who are, or will be, certified and licensed by the Structural Pest Control Commission. The commissioner hereby delegates to the Structural Pest Control Commission the authority to examine and certify all persons in this subcategory. The commissioner hereby delegates to the Structural Pest Control Commission the authority to enforce all federal and state laws and regulations as they apply to persons certified under this subcategory.</w:t>
      </w:r>
    </w:p>
    <w:p w14:paraId="14352890" w14:textId="77777777" w:rsidR="00503917" w:rsidRPr="00503917" w:rsidRDefault="00503917" w:rsidP="00503917">
      <w:pPr>
        <w:pStyle w:val="i0"/>
      </w:pPr>
      <w:r w:rsidRPr="00503917">
        <w:tab/>
        <w:t>ii.</w:t>
      </w:r>
      <w:r w:rsidRPr="00503917">
        <w:tab/>
        <w:t>Industrial and Institutional Pest Control (subcategory 7b). This subcategory includes applicators using or supervising the use of restricted use pesticides on a nonfee basis in, on or around institutions, motels, hotels, hospitals, feed mills, flour mills, food processing plants where processed and unprocessed foods are stored, and like places as the owner or in the employ of the owner and for persons applying or supervising the application of any herbicide, rodenticide, or insecticide for grass and weed control and rodent and general pest control in, on, or around structures or grounds of government subsidized and administered housing and multiplex housing. This subcategory does not include the use of fumigants.</w:t>
      </w:r>
    </w:p>
    <w:p w14:paraId="5661DFE6" w14:textId="77777777" w:rsidR="00503917" w:rsidRPr="00503917" w:rsidRDefault="00503917" w:rsidP="00503917">
      <w:pPr>
        <w:pStyle w:val="i0"/>
      </w:pPr>
      <w:r w:rsidRPr="00503917">
        <w:tab/>
        <w:t>iii.</w:t>
      </w:r>
      <w:r w:rsidRPr="00503917">
        <w:tab/>
        <w:t>Stored Grain Pest Control (subcategory 7c). This subcategory includes applicators using or supervising the use of restricted use pesticides, including fumigants, on a nonfee basis in, on, or around commercial grain mills, grain elevators and other grain handling establishments as the owner or in the employ of the owner.</w:t>
      </w:r>
    </w:p>
    <w:p w14:paraId="03D74E41" w14:textId="77777777" w:rsidR="00503917" w:rsidRPr="00503917" w:rsidRDefault="00503917" w:rsidP="00503917">
      <w:pPr>
        <w:pStyle w:val="i0"/>
      </w:pPr>
      <w:r w:rsidRPr="00503917">
        <w:tab/>
        <w:t>iv.</w:t>
      </w:r>
      <w:r w:rsidRPr="00503917">
        <w:tab/>
        <w:t>Public Health Pest Control (subcategory 7d).This subcategory includes commercial applicators engaged in the control of public health pests outside of government sponsored health programs. These subcategories do not include the use of fumigants. This has been subdivided into three subcategories, as follows:</w:t>
      </w:r>
    </w:p>
    <w:p w14:paraId="75E1C2F7" w14:textId="77777777" w:rsidR="00503917" w:rsidRPr="00503917" w:rsidRDefault="00503917" w:rsidP="00503917">
      <w:pPr>
        <w:pStyle w:val="a1"/>
      </w:pPr>
      <w:r w:rsidRPr="00503917">
        <w:t>(a).</w:t>
      </w:r>
      <w:r w:rsidRPr="00503917">
        <w:tab/>
        <w:t>Mosquito Control Applicator (subcategory 7d1). This subcategory includes commercial applicators using or supervising the use of restricted use pesticides for mosquito control.</w:t>
      </w:r>
    </w:p>
    <w:p w14:paraId="71017623" w14:textId="77777777" w:rsidR="00503917" w:rsidRPr="00503917" w:rsidRDefault="00503917" w:rsidP="00503917">
      <w:pPr>
        <w:pStyle w:val="a1"/>
      </w:pPr>
      <w:r w:rsidRPr="00503917">
        <w:t>(b).</w:t>
      </w:r>
      <w:r w:rsidRPr="00503917">
        <w:tab/>
        <w:t xml:space="preserve">Antimicrobial Pest Control (subcategory 7d2). This subcategory includes commercial applicators, including those in subcategory 7(a) found at LAC 7:XXIII. </w:t>
      </w:r>
      <w:r w:rsidRPr="00503917">
        <w:lastRenderedPageBreak/>
        <w:t>§711.B.2.g.i, using or supervising the use of restricted use pesticides for antimicrobial pest control.</w:t>
      </w:r>
    </w:p>
    <w:p w14:paraId="601E1905" w14:textId="77777777" w:rsidR="00503917" w:rsidRPr="00503917" w:rsidRDefault="00503917" w:rsidP="00503917">
      <w:pPr>
        <w:pStyle w:val="a1"/>
      </w:pPr>
      <w:r w:rsidRPr="00503917">
        <w:t>(c).</w:t>
      </w:r>
      <w:r w:rsidRPr="00503917">
        <w:tab/>
        <w:t>Sewer Root Control (subcategory 7d3). This subcategory is for commercial applicators using or supervising the use of restricted use pesticides for root control areas in sewers.</w:t>
      </w:r>
    </w:p>
    <w:p w14:paraId="7DB2BBD7" w14:textId="77777777" w:rsidR="00503917" w:rsidRPr="00503917" w:rsidRDefault="00503917" w:rsidP="00503917">
      <w:pPr>
        <w:pStyle w:val="a0"/>
      </w:pPr>
      <w:r w:rsidRPr="00503917">
        <w:t>h.</w:t>
      </w:r>
      <w:r w:rsidRPr="00503917">
        <w:tab/>
        <w:t>Governmental and School Pest Control (category 8). This category is for state, federal, municipal, and school employees using or supervising the use of pesticides in public health programs for the management and control of pests having medical and public health importance. This category does not include the use of fumigants. This category has been subdivided into seven subcategories, as follows.</w:t>
      </w:r>
    </w:p>
    <w:p w14:paraId="4CDD1DF1" w14:textId="77777777" w:rsidR="00CA398A" w:rsidRPr="001531CD" w:rsidRDefault="00503917" w:rsidP="00503917">
      <w:pPr>
        <w:pStyle w:val="i0"/>
      </w:pPr>
      <w:r w:rsidRPr="00503917">
        <w:tab/>
        <w:t>i.</w:t>
      </w:r>
      <w:r w:rsidRPr="00503917">
        <w:tab/>
        <w:t>Mosquito Control―Applicator (subcategory 8a). This subcategory is for government employees who are applicators in mosquito control programs.</w:t>
      </w:r>
    </w:p>
    <w:p w14:paraId="59D283AF" w14:textId="77777777" w:rsidR="00503917" w:rsidRPr="00503917" w:rsidRDefault="00CA398A" w:rsidP="00503917">
      <w:pPr>
        <w:pStyle w:val="i0"/>
      </w:pPr>
      <w:r w:rsidRPr="001531CD">
        <w:tab/>
        <w:t>ii.</w:t>
      </w:r>
      <w:r w:rsidRPr="001531CD">
        <w:tab/>
      </w:r>
      <w:r w:rsidR="00503917" w:rsidRPr="00503917">
        <w:t>Rodent Control (Subcategory 8b). This subcategory is for government employees who are applicators in rodent control programs.</w:t>
      </w:r>
    </w:p>
    <w:p w14:paraId="7C12C84E" w14:textId="77777777" w:rsidR="00CA398A" w:rsidRPr="001531CD" w:rsidRDefault="00503917" w:rsidP="00503917">
      <w:pPr>
        <w:pStyle w:val="i0"/>
      </w:pPr>
      <w:r w:rsidRPr="00503917">
        <w:tab/>
        <w:t>iii.</w:t>
      </w:r>
      <w:r w:rsidRPr="00503917">
        <w:tab/>
        <w:t>Community Public Health (subcategory 8c). This subcategory is for government employees who are applicators concerned with the control of all arthropods and rodents of public health importance.</w:t>
      </w:r>
    </w:p>
    <w:p w14:paraId="779B6293" w14:textId="77777777" w:rsidR="00CA398A" w:rsidRPr="001531CD" w:rsidRDefault="00CA398A" w:rsidP="00CA398A">
      <w:pPr>
        <w:pStyle w:val="i0"/>
      </w:pPr>
      <w:r w:rsidRPr="001531CD">
        <w:tab/>
        <w:t>iv.</w:t>
      </w:r>
      <w:r w:rsidRPr="001531CD">
        <w:tab/>
        <w:t>Mosquito Control: Program Supervisor (subcategory 8d). This subcategory is for commercial applicators and government employees who are program supervisors in organized mosquito control programs.</w:t>
      </w:r>
    </w:p>
    <w:p w14:paraId="1F21A68D" w14:textId="77777777" w:rsidR="00503917" w:rsidRPr="00503917" w:rsidRDefault="00CA398A" w:rsidP="00503917">
      <w:pPr>
        <w:pStyle w:val="i0"/>
      </w:pPr>
      <w:r w:rsidRPr="001531CD">
        <w:tab/>
        <w:t>v.</w:t>
      </w:r>
      <w:r w:rsidRPr="001531CD">
        <w:tab/>
      </w:r>
      <w:r w:rsidR="00503917" w:rsidRPr="00503917">
        <w:t>Antimicrobial Pest Control (subcategory 8e). This subcategory is for government employees engaged in antimicrobial pest control using restricted use pesticides.</w:t>
      </w:r>
    </w:p>
    <w:p w14:paraId="68FF4085" w14:textId="77777777" w:rsidR="00503917" w:rsidRPr="00503917" w:rsidRDefault="00503917" w:rsidP="00503917">
      <w:pPr>
        <w:pStyle w:val="i0"/>
      </w:pPr>
      <w:r w:rsidRPr="00503917">
        <w:tab/>
        <w:t>vi.</w:t>
      </w:r>
      <w:r w:rsidRPr="00503917">
        <w:tab/>
        <w:t>Sewer Root Control (subcategory 8f). This subcategory is for government employees who are applicators engaged in root control in sewers using restricted use pesticides.</w:t>
      </w:r>
    </w:p>
    <w:p w14:paraId="235B0B3B" w14:textId="77777777" w:rsidR="00503917" w:rsidRPr="00503917" w:rsidRDefault="00503917" w:rsidP="00503917">
      <w:pPr>
        <w:pStyle w:val="i0"/>
      </w:pPr>
      <w:r w:rsidRPr="00503917">
        <w:tab/>
        <w:t>vii.</w:t>
      </w:r>
      <w:r w:rsidRPr="00503917">
        <w:tab/>
        <w:t>School Employee Pest Control (subcategory 8g). This subcategory is for employees of a school or school system who apply or supervise the application of pesticides on a nonfee basis for grass and weed control and rodent and general pest control (roaches, wasps, ants) or restricted use pesticides in, on, or around structures and grounds of schools that provide education for classes prekindergarten through grade 12. Pesticide applications for wood destroying insects shall be applied by licensed structural pest control operators. Each 8g certified applicator shall annually train all persons applying pesticides under their supervision in the proper handling, storage, use, application and disposal of pesticides.</w:t>
      </w:r>
    </w:p>
    <w:p w14:paraId="76CA92E6" w14:textId="77777777" w:rsidR="00503917" w:rsidRPr="00503917" w:rsidRDefault="00503917" w:rsidP="00503917">
      <w:pPr>
        <w:pStyle w:val="a0"/>
      </w:pPr>
      <w:r w:rsidRPr="00503917">
        <w:t>i.</w:t>
      </w:r>
      <w:r w:rsidRPr="00503917">
        <w:tab/>
        <w:t>Regulatory Pest Control (category 9). This category includes state, federal or other governmental employees using or supervising the use of pesticides with restricted uses in the control of regulated pests. This category does not include the use of fumigants.</w:t>
      </w:r>
    </w:p>
    <w:p w14:paraId="547271CC" w14:textId="77777777" w:rsidR="00CA398A" w:rsidRDefault="00503917" w:rsidP="00503917">
      <w:pPr>
        <w:pStyle w:val="a0"/>
      </w:pPr>
      <w:r w:rsidRPr="00503917">
        <w:t>j.</w:t>
      </w:r>
      <w:r w:rsidRPr="00503917">
        <w:tab/>
        <w:t xml:space="preserve">Demonstration and Research Pest Control (category 10). This category includes individuals who demonstrate to the public the proper use and techniques of </w:t>
      </w:r>
      <w:r w:rsidRPr="00503917">
        <w:t>application of pesticides with restricted uses, or supervise such demonstrations and persons conducting field research with pesticides, and in doing so, use or supervise the use of pesticides with restricted uses. This includes individuals such as extension specialists and county agents, commercial representatives demonstrating restricted use pesticide products, individuals demonstrating application or pest control methods used in public or private programs, and state, federal, commercial and other persons conducting field research on or involving restricted use pesticides.</w:t>
      </w:r>
    </w:p>
    <w:p w14:paraId="38752015" w14:textId="77777777" w:rsidR="00182D22" w:rsidRPr="00D768A5" w:rsidRDefault="00182D22" w:rsidP="00182D22">
      <w:pPr>
        <w:pStyle w:val="a0"/>
      </w:pPr>
      <w:r w:rsidRPr="00D768A5">
        <w:t>k.</w:t>
      </w:r>
      <w:r w:rsidRPr="00D768A5">
        <w:tab/>
        <w:t>Aerial Applicator (category 11). This category includes FAA licensed pilots involved in or supervising the mixing, loading, spraying and dispensing of pesticides and fertilizers from low flying manned or unmanned aircraft.</w:t>
      </w:r>
    </w:p>
    <w:p w14:paraId="005C8E50" w14:textId="77777777" w:rsidR="00182D22" w:rsidRPr="00D768A5" w:rsidRDefault="00182D22" w:rsidP="00182D22">
      <w:pPr>
        <w:pStyle w:val="a0"/>
      </w:pPr>
      <w:r w:rsidRPr="00D768A5">
        <w:t>l.</w:t>
      </w:r>
      <w:r w:rsidRPr="00D768A5">
        <w:tab/>
        <w:t>Agricultural Fumigation (category 12). This category is for the use of fumigants on areas not covered by the Structural Pest Control Commission. This category is divided into two subcategories;</w:t>
      </w:r>
    </w:p>
    <w:p w14:paraId="79CC4DE1" w14:textId="77777777" w:rsidR="00182D22" w:rsidRPr="00D768A5" w:rsidRDefault="00182D22" w:rsidP="00182D22">
      <w:pPr>
        <w:pStyle w:val="i0"/>
      </w:pPr>
      <w:r>
        <w:tab/>
      </w:r>
      <w:r w:rsidRPr="00D768A5">
        <w:t>i.</w:t>
      </w:r>
      <w:r w:rsidRPr="00D768A5">
        <w:tab/>
        <w:t>Soil Fumigation (subcategory 12a). This subcategory applies to commercial applicators who use or supervise the use of restricted use pesticides to fumigate soil.</w:t>
      </w:r>
    </w:p>
    <w:p w14:paraId="50066D0D" w14:textId="2DD4A122" w:rsidR="00182D22" w:rsidRPr="001531CD" w:rsidRDefault="00182D22" w:rsidP="00182D22">
      <w:pPr>
        <w:pStyle w:val="i0"/>
      </w:pPr>
      <w:r>
        <w:tab/>
        <w:t>ii.</w:t>
      </w:r>
      <w:r>
        <w:tab/>
      </w:r>
      <w:r w:rsidRPr="00D768A5">
        <w:t>Non-Soil Fumigation (subcategory 12b). This subcategory applies to commercial applicators who use or supervise the use of restricted use pesticides to fumigate agricultural products. This does not include fumigations regulated by the Structural Pest Control Commission</w:t>
      </w:r>
    </w:p>
    <w:p w14:paraId="45847CD8" w14:textId="77777777" w:rsidR="00CA398A" w:rsidRPr="001531CD" w:rsidRDefault="00CA398A" w:rsidP="00CA398A">
      <w:pPr>
        <w:pStyle w:val="A"/>
      </w:pPr>
      <w:r w:rsidRPr="001531CD">
        <w:t>C.</w:t>
      </w:r>
      <w:r w:rsidRPr="001531CD">
        <w:tab/>
        <w:t>In addition to a determination of competence in a specific category or subcategory, each commercial applicator shall demonstrate practical knowledge of the principles and practices of pest control and safe use of pesticides. In order to meet this requirement, each commercial applicator, at the time of initial certification in at least one category, must take a general standards exam.</w:t>
      </w:r>
    </w:p>
    <w:p w14:paraId="06B64D3A" w14:textId="77777777" w:rsidR="00503917" w:rsidRPr="00503917" w:rsidRDefault="00CA398A" w:rsidP="00503917">
      <w:pPr>
        <w:pStyle w:val="A"/>
      </w:pPr>
      <w:r w:rsidRPr="001531CD">
        <w:t>D.</w:t>
      </w:r>
      <w:r w:rsidRPr="001531CD">
        <w:tab/>
      </w:r>
      <w:r w:rsidR="00503917" w:rsidRPr="00503917">
        <w:t>Each person that has been certified in any category or subcategory as a commercial applicator, and whose certification has not been revoked or suspended or expired, may renew that certification by attending a recertification meeting or training course for that category as approved by the commissioner.</w:t>
      </w:r>
    </w:p>
    <w:p w14:paraId="1ABD6CFC" w14:textId="77777777" w:rsidR="00503917" w:rsidRPr="00503917" w:rsidRDefault="00503917" w:rsidP="00503917">
      <w:pPr>
        <w:pStyle w:val="1"/>
      </w:pPr>
      <w:r w:rsidRPr="00503917">
        <w:t>1.</w:t>
      </w:r>
      <w:r w:rsidRPr="00503917">
        <w:tab/>
      </w:r>
      <w:r w:rsidR="00894329" w:rsidRPr="00894329">
        <w:t>When a certification category has not been recertified, the applicator shall comply with all requirements for initial certification contained in §701 and §711.</w:t>
      </w:r>
    </w:p>
    <w:p w14:paraId="700ABAE3" w14:textId="77777777" w:rsidR="00894329" w:rsidRPr="00894329" w:rsidRDefault="00503917" w:rsidP="00894329">
      <w:pPr>
        <w:pStyle w:val="a0"/>
      </w:pPr>
      <w:r w:rsidRPr="00503917">
        <w:t>a.</w:t>
      </w:r>
      <w:r w:rsidRPr="00503917">
        <w:tab/>
      </w:r>
      <w:r w:rsidR="00894329" w:rsidRPr="00894329">
        <w:t>If the expired certification was granted based on a reciprocal agreement, the applicator shall have to take the certification exams administered by LDAF.</w:t>
      </w:r>
    </w:p>
    <w:p w14:paraId="66B09145" w14:textId="77777777" w:rsidR="00894329" w:rsidRPr="00894329" w:rsidRDefault="00894329" w:rsidP="00894329">
      <w:pPr>
        <w:pStyle w:val="A"/>
      </w:pPr>
      <w:r w:rsidRPr="00894329">
        <w:t>E.</w:t>
      </w:r>
      <w:r w:rsidRPr="00894329">
        <w:tab/>
        <w:t>The commissioner shall issue a certification card to each commercial applicator showing the categories or subcategories in which the applicator is certified. This certification card shall expire on December 31 of each year. Each person wishing to renew a certification card shall do so by submitting an application form prescribed by the commissioner and by submitting the proper fee.</w:t>
      </w:r>
    </w:p>
    <w:p w14:paraId="1EC1F92F" w14:textId="77777777" w:rsidR="00CA398A" w:rsidRPr="001531CD" w:rsidRDefault="00894329" w:rsidP="00894329">
      <w:pPr>
        <w:pStyle w:val="A"/>
      </w:pPr>
      <w:r w:rsidRPr="00894329">
        <w:t>F.</w:t>
      </w:r>
      <w:r w:rsidRPr="00894329">
        <w:tab/>
        <w:t xml:space="preserve">Each person who is certified as a commercial applicator need not be certified as a private applicator or a pesticide salesperson to apply or supervise the application of </w:t>
      </w:r>
      <w:r w:rsidRPr="00894329">
        <w:lastRenderedPageBreak/>
        <w:t>any restricted use pesticide as a private applicator, or to sell or supervise the sale of restricted use pesticides.</w:t>
      </w:r>
    </w:p>
    <w:p w14:paraId="12812FE2" w14:textId="77777777" w:rsidR="00EC4EC2" w:rsidRPr="001531CD" w:rsidRDefault="00CA398A" w:rsidP="00CA398A">
      <w:pPr>
        <w:pStyle w:val="AuthorityNote"/>
      </w:pPr>
      <w:r w:rsidRPr="001531CD">
        <w:t>AUTHORITY NOTE:</w:t>
      </w:r>
      <w:r w:rsidRPr="001531CD">
        <w:tab/>
        <w:t>Promulgated in accordance with R.S. 3:3203, R.S. 3:3242 and R.S. 3:324.</w:t>
      </w:r>
    </w:p>
    <w:p w14:paraId="0116A03C" w14:textId="5CC08960" w:rsidR="00CF626A" w:rsidRPr="001531CD" w:rsidRDefault="00EC4EC2" w:rsidP="00EC4EC2">
      <w:pPr>
        <w:pStyle w:val="HistoricalNote"/>
      </w:pPr>
      <w:r w:rsidRPr="001531CD">
        <w:t>HISTORICAL NOTE:</w:t>
      </w:r>
      <w:r w:rsidRPr="001531CD">
        <w:tab/>
      </w:r>
      <w:r w:rsidR="00A94F69" w:rsidRPr="001531CD">
        <w:t xml:space="preserve">Promulgated by the Department of Agriculture, Advisory Commission on Pesticides, LR 9:179 (April 1983), amended LR 10:193 (March 1984), amended by the Department of Agriculture and Forestry, Office of Agriculture and Environmental Sciences, LR 18:953 (September 1992), LR 19:735 (June 1993), LR 20:641 (June 1994), LR 21:928 (September 1995), amended by the Department of Agriculture and Forestry, Office of Agriculture and Environmental Sciences, Advisory Commission on Pesticides, LR 23:193 (February 1997), LR 24:280 (February 1998), LR 28:39 (January 2002), LR 32:794 (May 2006), </w:t>
      </w:r>
      <w:r w:rsidR="00DF0E7D" w:rsidRPr="001531CD">
        <w:t xml:space="preserve">repromulgated </w:t>
      </w:r>
      <w:r w:rsidR="00A94F69" w:rsidRPr="001531CD">
        <w:t>LR 32:1</w:t>
      </w:r>
      <w:r w:rsidR="0005548B" w:rsidRPr="001531CD">
        <w:t>011 (June 2006), amended LR 35:</w:t>
      </w:r>
      <w:r w:rsidR="00CA398A" w:rsidRPr="001531CD">
        <w:t>627 (April 2009), amended by Department of Agriculture and Forestry, Office of Agricultural and Environmental Sciences, Advisory Commission on Pesticides, LR 37:3471 (December 2011)</w:t>
      </w:r>
      <w:r w:rsidR="00796E37">
        <w:t xml:space="preserve">, </w:t>
      </w:r>
      <w:r w:rsidR="00796E37" w:rsidRPr="007F47E0">
        <w:t>LR 44:</w:t>
      </w:r>
      <w:r w:rsidR="001F5FEF">
        <w:t>2126 (December 2018), LR 46</w:t>
      </w:r>
      <w:r w:rsidR="001F5FEF" w:rsidRPr="00C86722">
        <w:t>:</w:t>
      </w:r>
      <w:r w:rsidR="001F5FEF">
        <w:t>169 (February 2020</w:t>
      </w:r>
      <w:r w:rsidR="00503917" w:rsidRPr="003F655B">
        <w:t xml:space="preserve">), </w:t>
      </w:r>
      <w:r w:rsidR="00503917">
        <w:t>amended by t</w:t>
      </w:r>
      <w:r w:rsidR="00503917" w:rsidRPr="003F655B">
        <w:t>he Department of Agriculture and Forestry, Office of Agricultural and Environmental Sciences, Advisory Commission on Pesticides</w:t>
      </w:r>
      <w:r w:rsidR="00503917">
        <w:t>,</w:t>
      </w:r>
      <w:r w:rsidR="00503917" w:rsidRPr="003F655B">
        <w:t xml:space="preserve"> </w:t>
      </w:r>
      <w:r w:rsidR="00503917">
        <w:t>LR 51:773 (June 2025)</w:t>
      </w:r>
      <w:r w:rsidR="00182D22">
        <w:t xml:space="preserve">, </w:t>
      </w:r>
      <w:r w:rsidR="00182D22" w:rsidRPr="00D768A5">
        <w:t>LR 51:</w:t>
      </w:r>
      <w:r w:rsidR="00182D22">
        <w:t>1819 (November 2025).</w:t>
      </w:r>
    </w:p>
    <w:p w14:paraId="5C0DDAF0" w14:textId="77777777" w:rsidR="00CA398A" w:rsidRPr="001531CD" w:rsidRDefault="00CA398A" w:rsidP="00CA398A">
      <w:pPr>
        <w:pStyle w:val="Section"/>
      </w:pPr>
      <w:bookmarkStart w:id="2402" w:name="_Toc194293952"/>
      <w:bookmarkStart w:id="2403" w:name="_Toc224819221"/>
      <w:r w:rsidRPr="001531CD">
        <w:t>§713.</w:t>
      </w:r>
      <w:r w:rsidRPr="001531CD">
        <w:tab/>
        <w:t>Certification of Pesticide Salespersons</w:t>
      </w:r>
      <w:bookmarkEnd w:id="2402"/>
      <w:bookmarkEnd w:id="2403"/>
    </w:p>
    <w:p w14:paraId="1A950B6C" w14:textId="77777777" w:rsidR="00CA398A" w:rsidRPr="001531CD" w:rsidRDefault="00CA398A" w:rsidP="00CA398A">
      <w:pPr>
        <w:pStyle w:val="A"/>
      </w:pPr>
      <w:r w:rsidRPr="001531CD">
        <w:t>A.</w:t>
      </w:r>
      <w:r w:rsidRPr="001531CD">
        <w:tab/>
        <w:t>Examinations for certification for pesticide salespersons will be given upon request of the applicant in Baton Rouge, at the division, or at any district office of the department. Each person who has been certified as a pesticide salesperson, and whose certification has not been revoked or suspended or expired, may renew that certification by attending a recertification meeting or training course for that category as approved by the commissioner. The commissioner shall issue a certification card to each pesticide salesperson. This card shall expire on December 31 of each year. Each person wishing to renew a certification card shall do so by submitting an application form and the proper fee, as prescribed by the commissioner.</w:t>
      </w:r>
    </w:p>
    <w:p w14:paraId="62E3F231" w14:textId="77777777" w:rsidR="00CA398A" w:rsidRPr="001531CD" w:rsidRDefault="00CA398A" w:rsidP="00CA398A">
      <w:pPr>
        <w:pStyle w:val="A"/>
      </w:pPr>
      <w:r w:rsidRPr="001531CD">
        <w:t>B.</w:t>
      </w:r>
      <w:r w:rsidRPr="001531CD">
        <w:tab/>
        <w:t>No pesticide salesperson shall sell or distribute any restricted use pesticide to any person who does not hold a valid certification card.</w:t>
      </w:r>
    </w:p>
    <w:p w14:paraId="5DCF3856" w14:textId="77777777" w:rsidR="00CF626A" w:rsidRPr="001531CD" w:rsidRDefault="00CA398A" w:rsidP="00CA398A">
      <w:pPr>
        <w:pStyle w:val="AuthorityNote"/>
      </w:pPr>
      <w:r w:rsidRPr="001531CD">
        <w:t>AUTHORITY NOTE:</w:t>
      </w:r>
      <w:r w:rsidRPr="001531CD">
        <w:tab/>
        <w:t>Promulgated In accordance with R.S. 3:3203, R.S. 3:3244 and R.S. 3:3249.</w:t>
      </w:r>
    </w:p>
    <w:p w14:paraId="71B122B7" w14:textId="77777777" w:rsidR="00CF626A" w:rsidRPr="001531CD" w:rsidRDefault="00CF626A">
      <w:pPr>
        <w:pStyle w:val="HistoricalNote"/>
      </w:pPr>
      <w:r w:rsidRPr="001531CD">
        <w:t>HISTORICAL NOTE:</w:t>
      </w:r>
      <w:r w:rsidRPr="001531CD">
        <w:tab/>
        <w:t>Promulgated by the Department of Agriculture, Advisory Commission on Pesticides, LR 9:184 (April 1983), amended LR 10:194 (March 1984), amended by the Department of Agriculture and Forestry, Advisory Commission on Pestic</w:t>
      </w:r>
      <w:r w:rsidR="00CA398A" w:rsidRPr="001531CD">
        <w:t>ides, LR 24:280 (February 1998), amended by Department of Agriculture and Forestry, Office of Agricultural and Environmental Sciences, Advisory Commission on Pesticides, LR 37:3474 (December 2011).</w:t>
      </w:r>
    </w:p>
    <w:p w14:paraId="338DC0C4" w14:textId="77777777" w:rsidR="002C0407" w:rsidRPr="001531CD" w:rsidRDefault="002C0407" w:rsidP="002C0407">
      <w:pPr>
        <w:pStyle w:val="Section"/>
      </w:pPr>
      <w:bookmarkStart w:id="2404" w:name="_Toc194293953"/>
      <w:bookmarkStart w:id="2405" w:name="_Toc224819222"/>
      <w:r w:rsidRPr="001531CD">
        <w:t>§715.</w:t>
      </w:r>
      <w:r w:rsidRPr="001531CD">
        <w:tab/>
        <w:t>Certification of Agricultural Consultants</w:t>
      </w:r>
      <w:bookmarkEnd w:id="2404"/>
      <w:bookmarkEnd w:id="2405"/>
    </w:p>
    <w:p w14:paraId="6028E376" w14:textId="77777777" w:rsidR="002C0407" w:rsidRPr="001531CD" w:rsidRDefault="002C0407" w:rsidP="002C0407">
      <w:pPr>
        <w:pStyle w:val="A"/>
      </w:pPr>
      <w:r w:rsidRPr="001531CD">
        <w:t>A.</w:t>
      </w:r>
      <w:r w:rsidRPr="001531CD">
        <w:tab/>
        <w:t>Each application for Agricultural consultant shall be in writing and shall be on forms prescribed by the commissioner.</w:t>
      </w:r>
    </w:p>
    <w:p w14:paraId="1BAB11EB" w14:textId="77777777" w:rsidR="002C0407" w:rsidRPr="001531CD" w:rsidRDefault="002C0407" w:rsidP="002C0407">
      <w:pPr>
        <w:pStyle w:val="A"/>
      </w:pPr>
      <w:r w:rsidRPr="001531CD">
        <w:t>B.</w:t>
      </w:r>
      <w:r w:rsidRPr="001531CD">
        <w:tab/>
        <w:t>The agricultural consultant application experience requirements shall be substantiated by a notarized statement from the person who was responsible for the applicant during the time this experience was gained.</w:t>
      </w:r>
    </w:p>
    <w:p w14:paraId="0CDB1501" w14:textId="77777777" w:rsidR="002C0407" w:rsidRPr="001531CD" w:rsidRDefault="002C0407" w:rsidP="002C0407">
      <w:pPr>
        <w:pStyle w:val="A"/>
      </w:pPr>
      <w:r w:rsidRPr="001531CD">
        <w:t>C.</w:t>
      </w:r>
      <w:r w:rsidRPr="001531CD">
        <w:tab/>
        <w:t xml:space="preserve">Each application for an agricultural consultant's examination shall be reviewed by an ad hoc committee appointed by the chairman of the commission. The committee </w:t>
      </w:r>
      <w:r w:rsidRPr="001531CD">
        <w:t>shall consider the application and make its recommendation to the commission.</w:t>
      </w:r>
    </w:p>
    <w:p w14:paraId="4BC1766B" w14:textId="77777777" w:rsidR="002C0407" w:rsidRPr="001531CD" w:rsidRDefault="002C0407" w:rsidP="002C0407">
      <w:pPr>
        <w:pStyle w:val="A"/>
      </w:pPr>
      <w:r w:rsidRPr="001531CD">
        <w:t>D.</w:t>
      </w:r>
      <w:r w:rsidRPr="001531CD">
        <w:tab/>
      </w:r>
      <w:r w:rsidR="007C42D4" w:rsidRPr="007C42D4">
        <w:t>Each application for an agricultural consultant's examination shall be approved by the commission before an examination is administered. Examinations for agricultural consultants shall be administered only in Baton Rouge at the division or at any district office of the department, during office hours and shall be administered only after payment of the proper fee.</w:t>
      </w:r>
    </w:p>
    <w:p w14:paraId="57E8C368" w14:textId="77777777" w:rsidR="002C0407" w:rsidRPr="001531CD" w:rsidRDefault="002C0407" w:rsidP="002C0407">
      <w:pPr>
        <w:pStyle w:val="A"/>
      </w:pPr>
      <w:r w:rsidRPr="001531CD">
        <w:t>E.</w:t>
      </w:r>
      <w:r w:rsidRPr="001531CD">
        <w:tab/>
        <w:t>Certification of Agricultural Consultants</w:t>
      </w:r>
    </w:p>
    <w:p w14:paraId="179D5323" w14:textId="77777777" w:rsidR="002C0407" w:rsidRPr="001531CD" w:rsidRDefault="002C0407" w:rsidP="002C0407">
      <w:pPr>
        <w:pStyle w:val="1"/>
      </w:pPr>
      <w:r w:rsidRPr="001531CD">
        <w:t>1.</w:t>
      </w:r>
      <w:r w:rsidRPr="001531CD">
        <w:tab/>
        <w:t>Certification in a category authorizes the agricultural consultant to make recommendations in the areas listed for each category.</w:t>
      </w:r>
    </w:p>
    <w:p w14:paraId="098B1DD7" w14:textId="77777777" w:rsidR="002C0407" w:rsidRPr="001531CD" w:rsidRDefault="002C0407" w:rsidP="002C0407">
      <w:pPr>
        <w:pStyle w:val="1"/>
      </w:pPr>
      <w:r w:rsidRPr="001531CD">
        <w:t>2.</w:t>
      </w:r>
      <w:r w:rsidRPr="001531CD">
        <w:tab/>
        <w:t>Applicants for certification as agricultural consultants shall elect to be examined in one or more of the following categories.</w:t>
      </w:r>
    </w:p>
    <w:p w14:paraId="39047675" w14:textId="77777777" w:rsidR="002C0407" w:rsidRPr="001531CD" w:rsidRDefault="002C0407" w:rsidP="002C0407">
      <w:pPr>
        <w:pStyle w:val="a0"/>
      </w:pPr>
      <w:r w:rsidRPr="001531CD">
        <w:t>a.</w:t>
      </w:r>
      <w:r w:rsidRPr="001531CD">
        <w:tab/>
        <w:t>Control of Insects, Mites, Nematodes or Other Invertebrates (category 1)</w:t>
      </w:r>
    </w:p>
    <w:p w14:paraId="7B412690" w14:textId="77777777" w:rsidR="002C0407" w:rsidRPr="001531CD" w:rsidRDefault="002C0407" w:rsidP="002C0407">
      <w:pPr>
        <w:pStyle w:val="i0"/>
      </w:pPr>
      <w:r w:rsidRPr="001531CD">
        <w:tab/>
        <w:t>i.</w:t>
      </w:r>
      <w:r w:rsidRPr="001531CD">
        <w:tab/>
        <w:t>Agricultural Entomology (subcategory 1a). Making recommendations for the control of pests of agronomic crops, especially cotton, rice, soybeans, sugarcane, vegetables, pasture and forage, and grain crops.</w:t>
      </w:r>
    </w:p>
    <w:p w14:paraId="0D716E22" w14:textId="77777777" w:rsidR="002C0407" w:rsidRPr="001531CD" w:rsidRDefault="002C0407" w:rsidP="002C0407">
      <w:pPr>
        <w:pStyle w:val="i0"/>
      </w:pPr>
      <w:r w:rsidRPr="001531CD">
        <w:tab/>
        <w:t>ii.</w:t>
      </w:r>
      <w:r w:rsidRPr="001531CD">
        <w:tab/>
        <w:t>Forest Entomology. Making recommendations for the control of forest pests.</w:t>
      </w:r>
    </w:p>
    <w:p w14:paraId="539ABFBA" w14:textId="77777777" w:rsidR="002C0407" w:rsidRPr="001531CD" w:rsidRDefault="002C0407" w:rsidP="002C0407">
      <w:pPr>
        <w:pStyle w:val="i0"/>
      </w:pPr>
      <w:r w:rsidRPr="001531CD">
        <w:tab/>
        <w:t>iii.</w:t>
      </w:r>
      <w:r w:rsidRPr="001531CD">
        <w:tab/>
        <w:t>Household, Structural and Industrial Entomology. Making recommendations for the control of household pests, structural and industrial pests (such as termites, in stores, warehouse and transportation facilities).</w:t>
      </w:r>
    </w:p>
    <w:p w14:paraId="72BA374E" w14:textId="77777777" w:rsidR="002C0407" w:rsidRPr="001531CD" w:rsidRDefault="002C0407" w:rsidP="002C0407">
      <w:pPr>
        <w:pStyle w:val="i0"/>
      </w:pPr>
      <w:r w:rsidRPr="001531CD">
        <w:tab/>
        <w:t>iv.</w:t>
      </w:r>
      <w:r w:rsidRPr="001531CD">
        <w:tab/>
        <w:t>Medical, Veterinary and Public Health Entomology. Making recommendations for control of arthropods affecting man and animals.</w:t>
      </w:r>
    </w:p>
    <w:p w14:paraId="6CE8AB63" w14:textId="77777777" w:rsidR="002C0407" w:rsidRPr="001531CD" w:rsidRDefault="002C0407" w:rsidP="002C0407">
      <w:pPr>
        <w:pStyle w:val="i0"/>
      </w:pPr>
      <w:r w:rsidRPr="001531CD">
        <w:tab/>
        <w:t>v.</w:t>
      </w:r>
      <w:r w:rsidRPr="001531CD">
        <w:tab/>
        <w:t>Orchard and Nut Tree Entomology. Making recommendations for the control of orchard pests.</w:t>
      </w:r>
    </w:p>
    <w:p w14:paraId="3503DF24" w14:textId="77777777" w:rsidR="002C0407" w:rsidRDefault="002C0407" w:rsidP="002C0407">
      <w:pPr>
        <w:pStyle w:val="i0"/>
      </w:pPr>
      <w:r w:rsidRPr="001531CD">
        <w:tab/>
        <w:t>vi.</w:t>
      </w:r>
      <w:r w:rsidRPr="001531CD">
        <w:tab/>
        <w:t>Ornamental Entomology. Making recommendations for the control of pests of ornamentals, lawns, turf and shade trees.</w:t>
      </w:r>
    </w:p>
    <w:p w14:paraId="70942A63" w14:textId="77777777" w:rsidR="007C42D4" w:rsidRPr="001531CD" w:rsidRDefault="007C42D4" w:rsidP="002C0407">
      <w:pPr>
        <w:pStyle w:val="i0"/>
      </w:pPr>
      <w:r w:rsidRPr="007C42D4">
        <w:tab/>
        <w:t>vii.</w:t>
      </w:r>
      <w:r w:rsidRPr="007C42D4">
        <w:tab/>
        <w:t>Mosquito Control Entomology. Making recommendations for the control of mosquito species.</w:t>
      </w:r>
    </w:p>
    <w:p w14:paraId="7F2B0EA6" w14:textId="77777777" w:rsidR="002C0407" w:rsidRPr="001531CD" w:rsidRDefault="002C0407" w:rsidP="002C0407">
      <w:pPr>
        <w:pStyle w:val="a0"/>
      </w:pPr>
      <w:r w:rsidRPr="001531CD">
        <w:t>b.</w:t>
      </w:r>
      <w:r w:rsidRPr="001531CD">
        <w:tab/>
        <w:t>Control of Plant Pathogens (category 2)</w:t>
      </w:r>
    </w:p>
    <w:p w14:paraId="31DDEBB8" w14:textId="77777777" w:rsidR="002C0407" w:rsidRPr="001531CD" w:rsidRDefault="002C0407" w:rsidP="002C0407">
      <w:pPr>
        <w:pStyle w:val="i0"/>
      </w:pPr>
      <w:r w:rsidRPr="001531CD">
        <w:tab/>
        <w:t>i.</w:t>
      </w:r>
      <w:r w:rsidRPr="001531CD">
        <w:tab/>
        <w:t>Agricultural Plant Pathology. Making recommendations for the control of diseases of agronomic crops, especially sugarcane, cotton, rice, soybeans and home garden plants.</w:t>
      </w:r>
    </w:p>
    <w:p w14:paraId="29A8BD99" w14:textId="77777777" w:rsidR="002C0407" w:rsidRPr="001531CD" w:rsidRDefault="002C0407" w:rsidP="002C0407">
      <w:pPr>
        <w:pStyle w:val="i0"/>
      </w:pPr>
      <w:r w:rsidRPr="001531CD">
        <w:tab/>
        <w:t>ii.</w:t>
      </w:r>
      <w:r w:rsidRPr="001531CD">
        <w:tab/>
        <w:t>Turf, Ornamental, Shade-tree and Floral Plant Pathology. Making recommendations for the control of diseases of turf, ornamentals, shade-trees and floral plants. Also includes greenhouse and nursery plant disease control.</w:t>
      </w:r>
    </w:p>
    <w:p w14:paraId="497E628F" w14:textId="77777777" w:rsidR="002C0407" w:rsidRPr="001531CD" w:rsidRDefault="002C0407" w:rsidP="002C0407">
      <w:pPr>
        <w:pStyle w:val="i0"/>
      </w:pPr>
      <w:r w:rsidRPr="001531CD">
        <w:tab/>
        <w:t>iii.</w:t>
      </w:r>
      <w:r w:rsidRPr="001531CD">
        <w:tab/>
        <w:t>Forest Pathology. Making recommendations for the control of diseases of trees in plantations, nurseries and managed or unmanaged forests wherein the principal value lies in the production of wood fiber.</w:t>
      </w:r>
    </w:p>
    <w:p w14:paraId="1097E8D6" w14:textId="77777777" w:rsidR="002C0407" w:rsidRPr="001531CD" w:rsidRDefault="002C0407" w:rsidP="002C0407">
      <w:pPr>
        <w:pStyle w:val="i0"/>
      </w:pPr>
      <w:r w:rsidRPr="001531CD">
        <w:lastRenderedPageBreak/>
        <w:tab/>
        <w:t>iv.</w:t>
      </w:r>
      <w:r w:rsidRPr="001531CD">
        <w:tab/>
        <w:t>Orchard Pathology. Making recommendations for the control of diseases of wood vines and trees wherein the principal value lies in the production of fruits or nuts.</w:t>
      </w:r>
    </w:p>
    <w:p w14:paraId="2ECC07E6" w14:textId="77777777" w:rsidR="002C0407" w:rsidRPr="001531CD" w:rsidRDefault="002C0407" w:rsidP="002C0407">
      <w:pPr>
        <w:pStyle w:val="a0"/>
      </w:pPr>
      <w:r w:rsidRPr="001531CD">
        <w:t>c.</w:t>
      </w:r>
      <w:r w:rsidRPr="001531CD">
        <w:tab/>
        <w:t>Control of Weeds (category 3)</w:t>
      </w:r>
    </w:p>
    <w:p w14:paraId="6457D832" w14:textId="77777777" w:rsidR="002C0407" w:rsidRPr="001531CD" w:rsidRDefault="002C0407" w:rsidP="002C0407">
      <w:pPr>
        <w:pStyle w:val="i0"/>
      </w:pPr>
      <w:r w:rsidRPr="001531CD">
        <w:tab/>
        <w:t>i.</w:t>
      </w:r>
      <w:r w:rsidRPr="001531CD">
        <w:tab/>
        <w:t>Agricultural Weed Control. Making recommendations for the control of weeds and grasses in field crops, vegetable crops, pastures and rangeland.</w:t>
      </w:r>
    </w:p>
    <w:p w14:paraId="190DE79C" w14:textId="77777777" w:rsidR="002C0407" w:rsidRPr="001531CD" w:rsidRDefault="002C0407" w:rsidP="002C0407">
      <w:pPr>
        <w:pStyle w:val="i0"/>
      </w:pPr>
      <w:r w:rsidRPr="001531CD">
        <w:tab/>
        <w:t>ii.</w:t>
      </w:r>
      <w:r w:rsidRPr="001531CD">
        <w:tab/>
        <w:t>Turf, Ornamental and Shade-Tree Weed Control. Making recommendations for the control</w:t>
      </w:r>
      <w:r w:rsidRPr="001531CD">
        <w:rPr>
          <w:vertAlign w:val="superscript"/>
        </w:rPr>
        <w:t xml:space="preserve"> </w:t>
      </w:r>
      <w:r w:rsidRPr="001531CD">
        <w:t>of weeds and grasses in ornamentals, turf areas, cemeteries and other similar areas.</w:t>
      </w:r>
    </w:p>
    <w:p w14:paraId="457AFF4C" w14:textId="77777777" w:rsidR="002C0407" w:rsidRPr="001531CD" w:rsidRDefault="002C0407" w:rsidP="002C0407">
      <w:pPr>
        <w:pStyle w:val="i0"/>
      </w:pPr>
      <w:r w:rsidRPr="001531CD">
        <w:tab/>
        <w:t>iii.</w:t>
      </w:r>
      <w:r w:rsidRPr="001531CD">
        <w:tab/>
        <w:t>Forest Weed Control. Making recommendations for the control of weeds and grasses in forest lands.</w:t>
      </w:r>
    </w:p>
    <w:p w14:paraId="1AA0E638" w14:textId="77777777" w:rsidR="002C0407" w:rsidRPr="001531CD" w:rsidRDefault="002C0407" w:rsidP="002C0407">
      <w:pPr>
        <w:pStyle w:val="i0"/>
      </w:pPr>
      <w:r w:rsidRPr="001531CD">
        <w:tab/>
        <w:t>iv.</w:t>
      </w:r>
      <w:r w:rsidRPr="001531CD">
        <w:tab/>
        <w:t>Right-of-Way and Industrial Weed Control. Making recommendations for the control of weeds and grasses in and around industrial and commercial sites.</w:t>
      </w:r>
    </w:p>
    <w:p w14:paraId="29ACC37E" w14:textId="77777777" w:rsidR="002C0407" w:rsidRPr="001531CD" w:rsidRDefault="002C0407" w:rsidP="002C0407">
      <w:pPr>
        <w:pStyle w:val="a0"/>
      </w:pPr>
      <w:r w:rsidRPr="001531CD">
        <w:t>d.</w:t>
      </w:r>
      <w:r w:rsidRPr="001531CD">
        <w:tab/>
        <w:t>Soil Management (category 4)</w:t>
      </w:r>
    </w:p>
    <w:p w14:paraId="63D487BF" w14:textId="77777777" w:rsidR="002C0407" w:rsidRPr="001531CD" w:rsidRDefault="002C0407" w:rsidP="002C0407">
      <w:pPr>
        <w:pStyle w:val="i0"/>
      </w:pPr>
      <w:r w:rsidRPr="001531CD">
        <w:tab/>
        <w:t>i.</w:t>
      </w:r>
      <w:r w:rsidRPr="001531CD">
        <w:tab/>
        <w:t>Agricultural Field Soil Management. Knowledgeable in symptoms of soil and/or tissue nutrient problems; sampling techniques for soil and/or tissue analysis; interpretation of laboratory results; and recommendations for soil and/or tissue amendments.</w:t>
      </w:r>
    </w:p>
    <w:p w14:paraId="6B689575" w14:textId="77777777" w:rsidR="002C0407" w:rsidRPr="001531CD" w:rsidRDefault="002C0407" w:rsidP="002C0407">
      <w:pPr>
        <w:pStyle w:val="i0"/>
      </w:pPr>
      <w:r w:rsidRPr="001531CD">
        <w:tab/>
        <w:t>ii.</w:t>
      </w:r>
      <w:r w:rsidRPr="001531CD">
        <w:tab/>
        <w:t>Agricultural Soil, Water and Tissue Laboratory Analysis. Knowledge of all diagnostic procedures pertaining to analysis of soil, water and/or tissue samples.</w:t>
      </w:r>
    </w:p>
    <w:p w14:paraId="263A9900" w14:textId="77777777" w:rsidR="002C0407" w:rsidRPr="001531CD" w:rsidRDefault="002C0407" w:rsidP="002C0407">
      <w:pPr>
        <w:pStyle w:val="i0"/>
      </w:pPr>
      <w:r w:rsidRPr="001531CD">
        <w:tab/>
        <w:t>iii.</w:t>
      </w:r>
      <w:r w:rsidRPr="001531CD">
        <w:tab/>
        <w:t>Agricultural Soil Reclamation. Knowledge of techniques, methods, etc., for restoring or attempting to restore soil productivity as a result of physical and/or chemical disturbance or natural causes such as severe erosion or contaminated soils.</w:t>
      </w:r>
    </w:p>
    <w:p w14:paraId="310C5344" w14:textId="77777777" w:rsidR="002C0407" w:rsidRPr="001531CD" w:rsidRDefault="002C0407" w:rsidP="002C0407">
      <w:pPr>
        <w:pStyle w:val="i0"/>
      </w:pPr>
      <w:r w:rsidRPr="001531CD">
        <w:tab/>
        <w:t>iv.</w:t>
      </w:r>
      <w:r w:rsidRPr="001531CD">
        <w:tab/>
        <w:t>Agricultural Water Management. Knowledge of irrigation scheduling practices and techniques for various enterprises requiring water on a regular or intermittent basis.</w:t>
      </w:r>
    </w:p>
    <w:p w14:paraId="40E32F5F" w14:textId="77777777" w:rsidR="00B34A01" w:rsidRPr="00B34A01" w:rsidRDefault="00E5255B" w:rsidP="00B34A01">
      <w:pPr>
        <w:pStyle w:val="A"/>
      </w:pPr>
      <w:r>
        <w:t>F</w:t>
      </w:r>
      <w:r w:rsidR="002C0407" w:rsidRPr="001531CD">
        <w:t>.</w:t>
      </w:r>
      <w:r w:rsidR="002C0407" w:rsidRPr="001531CD">
        <w:tab/>
      </w:r>
      <w:r w:rsidR="00B34A01" w:rsidRPr="00B34A01">
        <w:t xml:space="preserve">Each person that has been certified in any category or subcategory as an agricultural consultant, and whose certification has not been revoked, or suspended, or expired, may renew that certification by attending a recertification meeting or training course for that category as approved by the commissioner. </w:t>
      </w:r>
    </w:p>
    <w:p w14:paraId="669D16EB" w14:textId="77777777" w:rsidR="002C0407" w:rsidRPr="001531CD" w:rsidRDefault="00B34A01" w:rsidP="00B34A01">
      <w:pPr>
        <w:pStyle w:val="1"/>
      </w:pPr>
      <w:r w:rsidRPr="00B34A01">
        <w:t>1.</w:t>
      </w:r>
      <w:r w:rsidRPr="00B34A01">
        <w:tab/>
        <w:t>Each person that fails to renew their certification prior to the expiration of the certification shall submit an application to the commission for approval to take the agricultural consultant’s examination as set forth in this Section or submit a request in writing to the department and the ad hoc committee to retest.</w:t>
      </w:r>
    </w:p>
    <w:p w14:paraId="3385132F" w14:textId="77777777" w:rsidR="00CF626A" w:rsidRPr="001531CD" w:rsidRDefault="002C0407" w:rsidP="002C0407">
      <w:pPr>
        <w:pStyle w:val="AuthorityNote"/>
      </w:pPr>
      <w:r w:rsidRPr="001531CD">
        <w:t>AUTHORITY NOTE:</w:t>
      </w:r>
      <w:r w:rsidRPr="001531CD">
        <w:tab/>
        <w:t>Promulgated in accordance with R.S. 3:3203, R.S. 3:3246 and R.S. 3:3249.</w:t>
      </w:r>
    </w:p>
    <w:p w14:paraId="133DB570" w14:textId="77777777" w:rsidR="00CF626A" w:rsidRPr="001531CD" w:rsidRDefault="00CF626A">
      <w:pPr>
        <w:pStyle w:val="HistoricalNote"/>
      </w:pPr>
      <w:r w:rsidRPr="001531CD">
        <w:t>HISTORICAL NOTE:</w:t>
      </w:r>
      <w:r w:rsidRPr="001531CD">
        <w:tab/>
        <w:t>Promulgated by the Department of Agriculture, Advisory Commission on Pesticides, LR 9:184 (April 1983), amended LR 11:943 (October 1985), amended by the Department of Agriculture and Forestry, Advisory Commission on Pesticides, LR 24:281 (February 1998), amended by the Department of Agriculture and Forestry, Office of Agricultural and Environmental Sciences, Advisory Commission on Pes</w:t>
      </w:r>
      <w:r w:rsidR="0005548B" w:rsidRPr="001531CD">
        <w:t xml:space="preserve">ticides LR </w:t>
      </w:r>
      <w:r w:rsidR="0005548B" w:rsidRPr="001531CD">
        <w:t>28:39 (Januar</w:t>
      </w:r>
      <w:r w:rsidR="002C0407" w:rsidRPr="001531CD">
        <w:t>y 2002), LR 35:627 (April 2009), amended by Department of Agriculture and Forestry, Office of Agricultural and Environmental Sciences, Advisory Commission on Pesticides, LR 37:3474 (December 2011)</w:t>
      </w:r>
      <w:r w:rsidR="007C42D4" w:rsidRPr="007C42D4">
        <w:t>, LR 44:2126 (December 2018)</w:t>
      </w:r>
      <w:r w:rsidR="00B34A01" w:rsidRPr="001203E4">
        <w:t>, LR 4</w:t>
      </w:r>
      <w:r w:rsidR="00B34A01">
        <w:t>6</w:t>
      </w:r>
      <w:r w:rsidR="00B34A01" w:rsidRPr="001203E4">
        <w:t>:</w:t>
      </w:r>
      <w:r w:rsidR="00B34A01">
        <w:t>1540 (November 2020).</w:t>
      </w:r>
    </w:p>
    <w:p w14:paraId="4166487A" w14:textId="77777777" w:rsidR="002C0407" w:rsidRPr="001531CD" w:rsidRDefault="002C0407" w:rsidP="002C0407">
      <w:pPr>
        <w:pStyle w:val="Chapter"/>
        <w:tabs>
          <w:tab w:val="clear" w:pos="1440"/>
        </w:tabs>
        <w:ind w:left="1440" w:hanging="1440"/>
      </w:pPr>
      <w:bookmarkStart w:id="2406" w:name="TOC_SubC176"/>
      <w:bookmarkStart w:id="2407" w:name="_Toc194293956"/>
      <w:bookmarkStart w:id="2408" w:name="_Toc224819223"/>
      <w:r w:rsidRPr="001531CD">
        <w:t>Subchapter</w:t>
      </w:r>
      <w:bookmarkEnd w:id="2406"/>
      <w:r w:rsidRPr="001531CD">
        <w:t xml:space="preserve"> C</w:t>
      </w:r>
      <w:bookmarkStart w:id="2409" w:name="TOCT_SubC170"/>
      <w:bookmarkStart w:id="2410" w:name="TOCT_SubC176"/>
      <w:r w:rsidRPr="001531CD">
        <w:t>.</w:t>
      </w:r>
      <w:r w:rsidRPr="001531CD">
        <w:tab/>
        <w:t>Licensing Requirements</w:t>
      </w:r>
      <w:bookmarkEnd w:id="2407"/>
      <w:bookmarkEnd w:id="2408"/>
      <w:bookmarkEnd w:id="2409"/>
      <w:bookmarkEnd w:id="2410"/>
    </w:p>
    <w:p w14:paraId="0BF75268" w14:textId="77777777" w:rsidR="002C0407" w:rsidRPr="001531CD" w:rsidRDefault="002C0407" w:rsidP="002C0407">
      <w:pPr>
        <w:pStyle w:val="Section"/>
      </w:pPr>
      <w:bookmarkStart w:id="2411" w:name="_Toc194293957"/>
      <w:bookmarkStart w:id="2412" w:name="_Toc224819224"/>
      <w:r w:rsidRPr="001531CD">
        <w:t>§723.</w:t>
      </w:r>
      <w:r w:rsidRPr="001531CD">
        <w:tab/>
        <w:t>Owner-Operators</w:t>
      </w:r>
      <w:bookmarkEnd w:id="2411"/>
      <w:bookmarkEnd w:id="2412"/>
    </w:p>
    <w:p w14:paraId="2A210A58" w14:textId="77777777" w:rsidR="002C0407" w:rsidRPr="001531CD" w:rsidRDefault="002C0407" w:rsidP="002C0407">
      <w:pPr>
        <w:pStyle w:val="A"/>
      </w:pPr>
      <w:r w:rsidRPr="001531CD">
        <w:t>A.</w:t>
      </w:r>
      <w:r w:rsidRPr="001531CD">
        <w:tab/>
        <w:t>Every owner-operator of a pesticide application business must have a current license issued by the commissioner before making any applications of pesticides.</w:t>
      </w:r>
    </w:p>
    <w:p w14:paraId="50968C0A" w14:textId="77777777" w:rsidR="002C0407" w:rsidRPr="001531CD" w:rsidRDefault="002C0407" w:rsidP="002C0407">
      <w:pPr>
        <w:pStyle w:val="A"/>
      </w:pPr>
      <w:r w:rsidRPr="001531CD">
        <w:t>B.</w:t>
      </w:r>
      <w:r w:rsidRPr="001531CD">
        <w:tab/>
        <w:t>No person required by the provisions of R.S. 3:3243 to be licensed by the commissioner shall be licensed as an owner-operator unless such person:</w:t>
      </w:r>
    </w:p>
    <w:p w14:paraId="3A872CB5" w14:textId="77777777" w:rsidR="002C0407" w:rsidRPr="001531CD" w:rsidRDefault="002C0407" w:rsidP="002C0407">
      <w:pPr>
        <w:pStyle w:val="1"/>
      </w:pPr>
      <w:r w:rsidRPr="001531CD">
        <w:t>1.</w:t>
      </w:r>
      <w:r w:rsidRPr="001531CD">
        <w:tab/>
        <w:t>has a current commercial applicator certification; or</w:t>
      </w:r>
    </w:p>
    <w:p w14:paraId="6ECAE3C2" w14:textId="77777777" w:rsidR="002C0407" w:rsidRPr="001531CD" w:rsidRDefault="002C0407" w:rsidP="002C0407">
      <w:pPr>
        <w:pStyle w:val="1"/>
      </w:pPr>
      <w:r w:rsidRPr="001531CD">
        <w:t>2.</w:t>
      </w:r>
      <w:r w:rsidRPr="001531CD">
        <w:tab/>
        <w:t>employs a person having a current commercial applicator certification. All persons applying pesticides under an owner-operator license must maintain their commercial applicator certification in current status at all times.</w:t>
      </w:r>
    </w:p>
    <w:p w14:paraId="789078AB" w14:textId="77777777" w:rsidR="002C0407" w:rsidRPr="001531CD" w:rsidRDefault="002C0407" w:rsidP="002C0407">
      <w:pPr>
        <w:pStyle w:val="A"/>
      </w:pPr>
      <w:r w:rsidRPr="001531CD">
        <w:t>C.</w:t>
      </w:r>
      <w:r w:rsidRPr="001531CD">
        <w:tab/>
        <w:t>No person may apply pesticides under an owner-operator license unless:</w:t>
      </w:r>
    </w:p>
    <w:p w14:paraId="5972273D" w14:textId="77777777" w:rsidR="002C0407" w:rsidRPr="001531CD" w:rsidRDefault="002C0407" w:rsidP="002C0407">
      <w:pPr>
        <w:pStyle w:val="1"/>
      </w:pPr>
      <w:r w:rsidRPr="001531CD">
        <w:t>1.</w:t>
      </w:r>
      <w:r w:rsidRPr="001531CD">
        <w:tab/>
        <w:t>such person is named on the application for license; or</w:t>
      </w:r>
    </w:p>
    <w:p w14:paraId="0B583764" w14:textId="77777777" w:rsidR="002C0407" w:rsidRPr="001531CD" w:rsidRDefault="002C0407" w:rsidP="002C0407">
      <w:pPr>
        <w:pStyle w:val="1"/>
      </w:pPr>
      <w:r w:rsidRPr="001531CD">
        <w:t>2.</w:t>
      </w:r>
      <w:r w:rsidRPr="001531CD">
        <w:tab/>
        <w:t>if employed subsequent to issuance of the license or on a temporary basis, the owner-operator has notified the commissioner of such employment prior to the first day of such employment. Initial notification of employment subsequent to issuance of the license may be made by telephone but must be confirmed, in writing, by the owner-operator within three days after the first day of employment.</w:t>
      </w:r>
    </w:p>
    <w:p w14:paraId="52519DD7" w14:textId="77777777" w:rsidR="002C0407" w:rsidRPr="001531CD" w:rsidRDefault="002C0407" w:rsidP="002C0407">
      <w:pPr>
        <w:pStyle w:val="A"/>
      </w:pPr>
      <w:r w:rsidRPr="001531CD">
        <w:t>D.</w:t>
      </w:r>
      <w:r w:rsidRPr="001531CD">
        <w:tab/>
        <w:t>Prior to issuance of the license, the applicant for an owner-operator license shall file proof of financial responsibility wi</w:t>
      </w:r>
      <w:r w:rsidR="005E4B91" w:rsidRPr="001531CD">
        <w:t>th the commissioner, as follows:</w:t>
      </w:r>
    </w:p>
    <w:p w14:paraId="202128E2" w14:textId="77777777" w:rsidR="002C0407" w:rsidRPr="001531CD" w:rsidRDefault="005E4B91" w:rsidP="002C0407">
      <w:pPr>
        <w:pStyle w:val="1"/>
      </w:pPr>
      <w:r w:rsidRPr="001531CD">
        <w:t>1.</w:t>
      </w:r>
      <w:r w:rsidRPr="001531CD">
        <w:tab/>
        <w:t>ground a</w:t>
      </w:r>
      <w:r w:rsidR="002C0407" w:rsidRPr="001531CD">
        <w:t>pplicators―$25,000</w:t>
      </w:r>
      <w:r w:rsidRPr="001531CD">
        <w:t>;</w:t>
      </w:r>
    </w:p>
    <w:p w14:paraId="332A2F88" w14:textId="77777777" w:rsidR="002C0407" w:rsidRPr="001531CD" w:rsidRDefault="005E4B91" w:rsidP="002C0407">
      <w:pPr>
        <w:pStyle w:val="1"/>
      </w:pPr>
      <w:r w:rsidRPr="001531CD">
        <w:t>2.</w:t>
      </w:r>
      <w:r w:rsidRPr="001531CD">
        <w:tab/>
        <w:t>a</w:t>
      </w:r>
      <w:r w:rsidR="002C0407" w:rsidRPr="001531CD">
        <w:t>erial applicators who do not apply phenoxy herbicides―$25,000</w:t>
      </w:r>
      <w:r w:rsidRPr="001531CD">
        <w:t>;</w:t>
      </w:r>
    </w:p>
    <w:p w14:paraId="746E4E8B" w14:textId="77777777" w:rsidR="002C0407" w:rsidRPr="001531CD" w:rsidRDefault="002C0407" w:rsidP="002C0407">
      <w:pPr>
        <w:pStyle w:val="1"/>
      </w:pPr>
      <w:r w:rsidRPr="001531CD">
        <w:t>3.</w:t>
      </w:r>
      <w:r w:rsidRPr="001531CD">
        <w:tab/>
      </w:r>
      <w:r w:rsidR="005E4B91" w:rsidRPr="001531CD">
        <w:t>a</w:t>
      </w:r>
      <w:r w:rsidRPr="001531CD">
        <w:t>erial applicators who apply phenoxy herbicides―$50,000</w:t>
      </w:r>
      <w:r w:rsidR="005E4B91" w:rsidRPr="001531CD">
        <w:t>.</w:t>
      </w:r>
    </w:p>
    <w:p w14:paraId="46C8180B" w14:textId="77777777" w:rsidR="002C0407" w:rsidRPr="001531CD" w:rsidRDefault="002C0407" w:rsidP="002C0407">
      <w:pPr>
        <w:pStyle w:val="A"/>
      </w:pPr>
      <w:r w:rsidRPr="001531CD">
        <w:t>E.</w:t>
      </w:r>
      <w:r w:rsidRPr="001531CD">
        <w:tab/>
        <w:t>Proof of financial responsibility may be made by any of the following means:</w:t>
      </w:r>
    </w:p>
    <w:p w14:paraId="054F270E" w14:textId="77777777" w:rsidR="002C0407" w:rsidRPr="001531CD" w:rsidRDefault="002C0407" w:rsidP="002C0407">
      <w:pPr>
        <w:pStyle w:val="1"/>
      </w:pPr>
      <w:r w:rsidRPr="001531CD">
        <w:t>1.</w:t>
      </w:r>
      <w:r w:rsidRPr="001531CD">
        <w:tab/>
        <w:t>filing a surety bond in the proper amount, written by a company authorized to do business in Louisiana and conditioned upon the licensee fulfilling his obligations to persons proven to have suffered damages as a result of actions of the owner-operator or any of his employees. Such surety bond shall provide for 90 days written notice to the commissioner prior to cancellation;</w:t>
      </w:r>
    </w:p>
    <w:p w14:paraId="4899FB62" w14:textId="77777777" w:rsidR="002C0407" w:rsidRPr="001531CD" w:rsidRDefault="002C0407" w:rsidP="002C0407">
      <w:pPr>
        <w:pStyle w:val="1"/>
      </w:pPr>
      <w:r w:rsidRPr="001531CD">
        <w:t>2.</w:t>
      </w:r>
      <w:r w:rsidRPr="001531CD">
        <w:tab/>
        <w:t xml:space="preserve">filing a certificate of insurance, in the form prescribed by the commissioner, in the same amount as required for a surety bond. Such insurance shall be payable to the benefit of persons proven to have suffered damages as a result of the actions of the owner-operator or any of his employees and shall provide for 30 days written notice to the </w:t>
      </w:r>
      <w:r w:rsidRPr="001531CD">
        <w:lastRenderedPageBreak/>
        <w:t>commissioner. Such insurance shall not be applied to damages or injury to agricultural crops, plants, or land being worked upon by the commercial applicator. An owner-operator shall not change the amount of such insurance during the period of the license without the prior written approval of the commissioner;</w:t>
      </w:r>
    </w:p>
    <w:p w14:paraId="564DBA63" w14:textId="77777777" w:rsidR="002C0407" w:rsidRPr="001531CD" w:rsidRDefault="002C0407" w:rsidP="002C0407">
      <w:pPr>
        <w:pStyle w:val="1"/>
      </w:pPr>
      <w:r w:rsidRPr="001531CD">
        <w:t>3.</w:t>
      </w:r>
      <w:r w:rsidRPr="001531CD">
        <w:tab/>
        <w:t>filing a certificate(s) of deposit in the same amount as required for a surety bond. Such certificates of deposit shall be assigned to the commissioner, endorsed, and deposited with the commissioner. Holders of such certificates shall continue to draw all interest thereon. Upon the request of the certificate holder, certificates of deposit may be exchanged at maturity, under procedures acceptable to the commissioner;</w:t>
      </w:r>
    </w:p>
    <w:p w14:paraId="7EF4555B" w14:textId="77777777" w:rsidR="002C0407" w:rsidRPr="001531CD" w:rsidRDefault="002C0407" w:rsidP="002C0407">
      <w:pPr>
        <w:pStyle w:val="1"/>
      </w:pPr>
      <w:r w:rsidRPr="001531CD">
        <w:t>4.</w:t>
      </w:r>
      <w:r w:rsidRPr="001531CD">
        <w:tab/>
        <w:t>filing an irrevocable letter of credit, issued by a guarantor and in a form acceptable to the commissioner, which shall be non-cancelable during the term of the license for which the irrevocable letter is offered as security;</w:t>
      </w:r>
    </w:p>
    <w:p w14:paraId="7E7B8BC0" w14:textId="77777777" w:rsidR="002C0407" w:rsidRPr="001531CD" w:rsidRDefault="002C0407" w:rsidP="002C0407">
      <w:pPr>
        <w:pStyle w:val="1"/>
      </w:pPr>
      <w:r w:rsidRPr="001531CD">
        <w:t>5.</w:t>
      </w:r>
      <w:r w:rsidRPr="001531CD">
        <w:tab/>
        <w:t>depositing cash equal to the amount required for the surety bond with the commissioner, which cash shall remain on deposit until replaced by other security acceptable to the commissioner or until expiration, suspension, or revocation of the license.</w:t>
      </w:r>
    </w:p>
    <w:p w14:paraId="64AD4327" w14:textId="77777777" w:rsidR="002C0407" w:rsidRPr="001531CD" w:rsidRDefault="002C0407" w:rsidP="002C0407">
      <w:pPr>
        <w:pStyle w:val="A"/>
      </w:pPr>
      <w:r w:rsidRPr="001531CD">
        <w:t>F.</w:t>
      </w:r>
      <w:r w:rsidRPr="001531CD">
        <w:tab/>
        <w:t>Failure to maintain the required security in full force and effect throughout the license period, as required under Subsection D of this Section, shall subject a licensee to immediate suspension or revocation of his license.</w:t>
      </w:r>
    </w:p>
    <w:p w14:paraId="65F6197D" w14:textId="77777777" w:rsidR="002C0407" w:rsidRPr="001531CD" w:rsidRDefault="002C0407" w:rsidP="002C0407">
      <w:pPr>
        <w:pStyle w:val="A"/>
      </w:pPr>
      <w:r w:rsidRPr="001531CD">
        <w:t>G.</w:t>
      </w:r>
      <w:r w:rsidRPr="001531CD">
        <w:tab/>
        <w:t>Applicants for owner-operator license must satisfactorily complete the application form prescribed by the commissioner and pay the fee.</w:t>
      </w:r>
    </w:p>
    <w:p w14:paraId="2D3CC6F3" w14:textId="77777777" w:rsidR="002C0407" w:rsidRPr="001531CD" w:rsidRDefault="002C0407" w:rsidP="002C0407">
      <w:pPr>
        <w:pStyle w:val="A"/>
      </w:pPr>
      <w:r w:rsidRPr="001531CD">
        <w:t>H.</w:t>
      </w:r>
      <w:r w:rsidRPr="001531CD">
        <w:tab/>
        <w:t>Prior to issuance of the license and/or during the period of licensure, persons applying for owner-operator license under a corporate name must provide proof of compliance with Louisiana's Corporation Laws upon the commissioner's request.</w:t>
      </w:r>
    </w:p>
    <w:p w14:paraId="0FA91965" w14:textId="77777777" w:rsidR="002C0407" w:rsidRPr="001531CD" w:rsidRDefault="002C0407" w:rsidP="002C0407">
      <w:pPr>
        <w:pStyle w:val="A"/>
      </w:pPr>
      <w:r w:rsidRPr="001531CD">
        <w:t>I.</w:t>
      </w:r>
      <w:r w:rsidRPr="001531CD">
        <w:tab/>
        <w:t>Each application for owner-operator license must list all commercial applicators employed on a regular basis when the application is filed. Commercial applicators hired after the license is issued must be certified to the commissioner as required under this Section.</w:t>
      </w:r>
    </w:p>
    <w:p w14:paraId="653FE53F" w14:textId="77777777" w:rsidR="002C0407" w:rsidRPr="001531CD" w:rsidRDefault="002C0407" w:rsidP="002C0407">
      <w:pPr>
        <w:pStyle w:val="A"/>
        <w:rPr>
          <w:strike/>
        </w:rPr>
      </w:pPr>
      <w:r w:rsidRPr="001531CD">
        <w:t>J.</w:t>
      </w:r>
      <w:r w:rsidRPr="001531CD">
        <w:tab/>
        <w:t xml:space="preserve">All mechanically powered pesticide application equipment used by any person required by the provisions of R.S. 3:3243 to be licensed by the commissioner shall have a department issued decal affixed to the equipment. The equipment shall be registered and decalled annually with the department. </w:t>
      </w:r>
    </w:p>
    <w:p w14:paraId="5F4A8C82" w14:textId="77777777" w:rsidR="002C0407" w:rsidRPr="001531CD" w:rsidRDefault="002C0407" w:rsidP="002C0407">
      <w:pPr>
        <w:pStyle w:val="A"/>
      </w:pPr>
      <w:r w:rsidRPr="001531CD">
        <w:t>K.</w:t>
      </w:r>
      <w:r w:rsidRPr="001531CD">
        <w:tab/>
        <w:t>Owner-operator licenses shall be valid until December 31 following date of issue and must be renewed annually by filing the application form prescribed by the commissioner, together with the fee, prior to December 31. A late fee of $50 shall be imposed on any applicant filing application for renewal of an owner-operator license after December 31.</w:t>
      </w:r>
    </w:p>
    <w:p w14:paraId="49FD4346" w14:textId="77777777" w:rsidR="002C0407" w:rsidRPr="001531CD" w:rsidRDefault="002C0407" w:rsidP="002C0407">
      <w:pPr>
        <w:pStyle w:val="A"/>
      </w:pPr>
      <w:r w:rsidRPr="001531CD">
        <w:t>L.</w:t>
      </w:r>
      <w:r w:rsidRPr="001531CD">
        <w:tab/>
        <w:t xml:space="preserve">Licensed owner-operators who apply any pesticides which, upon disposal, are classified as hazardous wastes must comply with all rules adopted by the commissioner to regulate the handling of such pesticides prior to renewal of the license. </w:t>
      </w:r>
      <w:r w:rsidRPr="001531CD">
        <w:t>If licensed after January 1, the owner-operator must comply with all rules regulating the handling of pesticides, which upon disposal are classified as hazardous wastes, within 30 days after issuance of the license.</w:t>
      </w:r>
    </w:p>
    <w:p w14:paraId="140AAB6D" w14:textId="77777777" w:rsidR="002C0407" w:rsidRPr="001531CD" w:rsidRDefault="002C0407" w:rsidP="002C0407">
      <w:pPr>
        <w:pStyle w:val="A"/>
      </w:pPr>
      <w:r w:rsidRPr="001531CD">
        <w:t>M.</w:t>
      </w:r>
      <w:r w:rsidRPr="001531CD">
        <w:tab/>
        <w:t>Any person whose license or required certification has been suspended or revoked may be required to appear before the commission prior to issuance of a new license or certification. No owner-operator license or required certification shall be reinstated after suspension or revocation unless the applicant for reinstatement has complied fully with all requirements of this Rule.</w:t>
      </w:r>
    </w:p>
    <w:p w14:paraId="785F23A6" w14:textId="77777777" w:rsidR="002C0407" w:rsidRPr="001531CD" w:rsidRDefault="002C0407" w:rsidP="002C0407">
      <w:pPr>
        <w:pStyle w:val="A"/>
      </w:pPr>
      <w:r w:rsidRPr="001531CD">
        <w:t>N.</w:t>
      </w:r>
      <w:r w:rsidRPr="001531CD">
        <w:tab/>
        <w:t>The commissioner may deny an owner-operator license or commercial applicator certification to any person who:</w:t>
      </w:r>
    </w:p>
    <w:p w14:paraId="74E79A34" w14:textId="77777777" w:rsidR="002C0407" w:rsidRPr="001531CD" w:rsidRDefault="002C0407" w:rsidP="002C0407">
      <w:pPr>
        <w:pStyle w:val="1"/>
      </w:pPr>
      <w:r w:rsidRPr="001531CD">
        <w:t>1.</w:t>
      </w:r>
      <w:r w:rsidRPr="001531CD">
        <w:tab/>
        <w:t>fails to demonstrate a knowledge of pesticides necessary for the safe and efficacious use thereof;</w:t>
      </w:r>
    </w:p>
    <w:p w14:paraId="7413A351" w14:textId="77777777" w:rsidR="002C0407" w:rsidRPr="001531CD" w:rsidRDefault="002C0407" w:rsidP="002C0407">
      <w:pPr>
        <w:pStyle w:val="1"/>
      </w:pPr>
      <w:r w:rsidRPr="001531CD">
        <w:t>2.</w:t>
      </w:r>
      <w:r w:rsidRPr="001531CD">
        <w:tab/>
        <w:t>fails or has previously failed to comply with any requirement of these regulations and/or the pesticides statutes;</w:t>
      </w:r>
    </w:p>
    <w:p w14:paraId="306D3FF4" w14:textId="77777777" w:rsidR="002C0407" w:rsidRPr="001531CD" w:rsidRDefault="002C0407" w:rsidP="002C0407">
      <w:pPr>
        <w:pStyle w:val="1"/>
      </w:pPr>
      <w:r w:rsidRPr="001531CD">
        <w:t>3.</w:t>
      </w:r>
      <w:r w:rsidRPr="001531CD">
        <w:tab/>
        <w:t>has previously been adjudged, in a properly conducted adjudication procedure, to have violated any provisions of the pesticide statutes and/or these regulations; and/or</w:t>
      </w:r>
    </w:p>
    <w:p w14:paraId="6A3B5246" w14:textId="77777777" w:rsidR="002C0407" w:rsidRPr="001531CD" w:rsidRDefault="002C0407" w:rsidP="002C0407">
      <w:pPr>
        <w:pStyle w:val="1"/>
      </w:pPr>
      <w:r w:rsidRPr="001531CD">
        <w:t>4.</w:t>
      </w:r>
      <w:r w:rsidRPr="001531CD">
        <w:tab/>
        <w:t>has failed to apply for and receive a decal for every item of mechanically powered pesticide application equipment used in the operation of the business.</w:t>
      </w:r>
    </w:p>
    <w:p w14:paraId="00D03115" w14:textId="77777777" w:rsidR="002C0407" w:rsidRPr="001531CD" w:rsidRDefault="002C0407" w:rsidP="002C0407">
      <w:pPr>
        <w:pStyle w:val="A"/>
      </w:pPr>
      <w:r w:rsidRPr="001531CD">
        <w:t>O.</w:t>
      </w:r>
      <w:r w:rsidRPr="001531CD">
        <w:tab/>
        <w:t>Grass-Cutter Exemption. A person, when applying a general use pesticide to the lawn or ornamental plants of an individual residential property owner using pesticides and pesticide application equipment owned and supplied by the property owner, is exempt from licensing provided the person does not advertise for or solicit herbicide (grass or weed control) application business and does not hold oneself out to the public as being engaged in herbicide (grass or weed control) application. The person shall not supply his\her own pesticide application equipment, use pesticide applying power equipment, or use any equipment other than a hand held container when applying the pesticide.</w:t>
      </w:r>
    </w:p>
    <w:p w14:paraId="4DF7AA73" w14:textId="77777777" w:rsidR="002C0407" w:rsidRPr="001531CD" w:rsidRDefault="002C0407" w:rsidP="002C0407">
      <w:pPr>
        <w:pStyle w:val="A"/>
      </w:pPr>
      <w:r w:rsidRPr="001531CD">
        <w:t>P.</w:t>
      </w:r>
      <w:r w:rsidRPr="001531CD">
        <w:tab/>
        <w:t>Licensed owner-operators and any person working under the license shall not apply any pesticide(s) which is in any way excluded from the coverage required by Subsection E of this Section.</w:t>
      </w:r>
    </w:p>
    <w:p w14:paraId="3152E3FB" w14:textId="77777777" w:rsidR="00CF626A" w:rsidRPr="001531CD" w:rsidRDefault="002C0407" w:rsidP="002C0407">
      <w:pPr>
        <w:pStyle w:val="AuthorityNote"/>
      </w:pPr>
      <w:r w:rsidRPr="001531CD">
        <w:t>AUTHORITY NOTE:</w:t>
      </w:r>
      <w:r w:rsidRPr="001531CD">
        <w:tab/>
        <w:t>Promulgated in accordance with R.S. 3:3203 and R.S. 3:3243.</w:t>
      </w:r>
    </w:p>
    <w:p w14:paraId="5400F032" w14:textId="77777777" w:rsidR="00CF626A" w:rsidRPr="001531CD" w:rsidRDefault="00CF626A">
      <w:pPr>
        <w:pStyle w:val="HistoricalNote"/>
      </w:pPr>
      <w:r w:rsidRPr="001531CD">
        <w:t>HISTORICAL NOTE:</w:t>
      </w:r>
      <w:r w:rsidRPr="001531CD">
        <w:tab/>
        <w:t>Promulgated by the Department of Agriculture, Advisory Commission of Pesticides, LR 9:169 (April 1983), amended LR 10:194 (March 1984), LR 12:187 (February 1986), amended by the Department of Agriculture and Forestry, Advisory Commission on Pesticides, LR 23:194 (Febr</w:t>
      </w:r>
      <w:r w:rsidR="002C0407" w:rsidRPr="001531CD">
        <w:t>uary 1997), amended by Department of Agriculture and Forestry, Office of Agricultural and Environmental Sciences, Advisory Commission on Pesticides, LR 37:3475 (December 2011).</w:t>
      </w:r>
    </w:p>
    <w:p w14:paraId="430B8A1A" w14:textId="77777777" w:rsidR="002C0407" w:rsidRPr="001531CD" w:rsidRDefault="002C0407" w:rsidP="002C0407">
      <w:pPr>
        <w:pStyle w:val="Section"/>
      </w:pPr>
      <w:bookmarkStart w:id="2413" w:name="_Toc194293958"/>
      <w:bookmarkStart w:id="2414" w:name="_Toc224819225"/>
      <w:r w:rsidRPr="001531CD">
        <w:t>§725.</w:t>
      </w:r>
      <w:r w:rsidRPr="001531CD">
        <w:tab/>
        <w:t>Pesticide Dealers Selling Restricted Use Pesticides</w:t>
      </w:r>
      <w:bookmarkEnd w:id="2413"/>
      <w:bookmarkEnd w:id="2414"/>
    </w:p>
    <w:p w14:paraId="2CBDDC6A" w14:textId="77777777" w:rsidR="002C0407" w:rsidRPr="001531CD" w:rsidRDefault="002C0407" w:rsidP="002C0407">
      <w:pPr>
        <w:pStyle w:val="A"/>
      </w:pPr>
      <w:r w:rsidRPr="001531CD">
        <w:t>A.</w:t>
      </w:r>
      <w:r w:rsidRPr="001531CD">
        <w:tab/>
        <w:t>Pesticide dealers must be licensed by the commissioner prior to making any sale of restricted use pesticides.</w:t>
      </w:r>
    </w:p>
    <w:p w14:paraId="0ABDA79A" w14:textId="77777777" w:rsidR="002C0407" w:rsidRPr="001531CD" w:rsidRDefault="002C0407" w:rsidP="002C0407">
      <w:pPr>
        <w:pStyle w:val="A"/>
      </w:pPr>
      <w:r w:rsidRPr="001531CD">
        <w:lastRenderedPageBreak/>
        <w:t>B.</w:t>
      </w:r>
      <w:r w:rsidRPr="001531CD">
        <w:tab/>
        <w:t>No person shall be licensed as a pesticide dealer unless such person:</w:t>
      </w:r>
    </w:p>
    <w:p w14:paraId="28D3714D" w14:textId="77777777" w:rsidR="002C0407" w:rsidRPr="001531CD" w:rsidRDefault="002C0407" w:rsidP="002C0407">
      <w:pPr>
        <w:pStyle w:val="1"/>
      </w:pPr>
      <w:r w:rsidRPr="001531CD">
        <w:t>1.</w:t>
      </w:r>
      <w:r w:rsidRPr="001531CD">
        <w:tab/>
        <w:t>holds a current pesticide salesperson certification;</w:t>
      </w:r>
    </w:p>
    <w:p w14:paraId="52AE4CD8" w14:textId="77777777" w:rsidR="002C0407" w:rsidRPr="001531CD" w:rsidRDefault="002C0407" w:rsidP="002C0407">
      <w:pPr>
        <w:pStyle w:val="1"/>
      </w:pPr>
      <w:r w:rsidRPr="001531CD">
        <w:t>2.</w:t>
      </w:r>
      <w:r w:rsidRPr="001531CD">
        <w:tab/>
        <w:t>employs at least one person who holds a current pesticide salesperson certification; or</w:t>
      </w:r>
    </w:p>
    <w:p w14:paraId="03C6EB51" w14:textId="77777777" w:rsidR="002C0407" w:rsidRPr="001531CD" w:rsidRDefault="002C0407" w:rsidP="002C0407">
      <w:pPr>
        <w:pStyle w:val="1"/>
      </w:pPr>
      <w:r w:rsidRPr="001531CD">
        <w:t>3.</w:t>
      </w:r>
      <w:r w:rsidRPr="001531CD">
        <w:tab/>
        <w:t>holds a current commercial applicator certification.</w:t>
      </w:r>
    </w:p>
    <w:p w14:paraId="013E24AC" w14:textId="77777777" w:rsidR="002C0407" w:rsidRPr="001531CD" w:rsidRDefault="002C0407" w:rsidP="002C0407">
      <w:pPr>
        <w:pStyle w:val="A"/>
      </w:pPr>
      <w:r w:rsidRPr="001531CD">
        <w:t>C.</w:t>
      </w:r>
      <w:r w:rsidRPr="001531CD">
        <w:tab/>
        <w:t>No person shall sell restricted use pesticides unless:</w:t>
      </w:r>
    </w:p>
    <w:p w14:paraId="48118E56" w14:textId="77777777" w:rsidR="002C0407" w:rsidRPr="001531CD" w:rsidRDefault="002C0407" w:rsidP="002C0407">
      <w:pPr>
        <w:pStyle w:val="1"/>
      </w:pPr>
      <w:r w:rsidRPr="001531CD">
        <w:t>1.</w:t>
      </w:r>
      <w:r w:rsidRPr="001531CD">
        <w:tab/>
        <w:t>his/her name is listed on the application for pesticide dealer license; or</w:t>
      </w:r>
    </w:p>
    <w:p w14:paraId="648E4764" w14:textId="77777777" w:rsidR="002C0407" w:rsidRPr="001531CD" w:rsidRDefault="002C0407" w:rsidP="002C0407">
      <w:pPr>
        <w:pStyle w:val="1"/>
      </w:pPr>
      <w:r w:rsidRPr="001531CD">
        <w:t>2.</w:t>
      </w:r>
      <w:r w:rsidRPr="001531CD">
        <w:tab/>
        <w:t>if employed after issuance of the license, the licensed pesticide dealer has notified the commissioner of such employment, in writing, within 30 days after the first day of such employment. Such subsequent notification shall contain the name, address, and certificate number of certified pesticide salespersons who are employed after the license is issued.</w:t>
      </w:r>
    </w:p>
    <w:p w14:paraId="4155BDF1" w14:textId="77777777" w:rsidR="002C0407" w:rsidRPr="001531CD" w:rsidRDefault="002C0407" w:rsidP="002C0407">
      <w:pPr>
        <w:pStyle w:val="A"/>
      </w:pPr>
      <w:r w:rsidRPr="001531CD">
        <w:t>D.</w:t>
      </w:r>
      <w:r w:rsidRPr="001531CD">
        <w:tab/>
        <w:t>No licensed pesticide dealer may sell, offer for sale, or hold for distribution any pesticide which has not been registered with the department as required by R.S. 3:3221.</w:t>
      </w:r>
    </w:p>
    <w:p w14:paraId="11648EA3" w14:textId="77777777" w:rsidR="002C0407" w:rsidRPr="001531CD" w:rsidRDefault="002C0407" w:rsidP="002C0407">
      <w:pPr>
        <w:pStyle w:val="A"/>
      </w:pPr>
      <w:r w:rsidRPr="001531CD">
        <w:t>E.</w:t>
      </w:r>
      <w:r w:rsidRPr="001531CD">
        <w:tab/>
        <w:t>Applicants for pesticide dealer license shall satisfactorily complete the application form prescribed by the commissioner and pay the fee prior to issuance of the license.</w:t>
      </w:r>
    </w:p>
    <w:p w14:paraId="59C0ACA6" w14:textId="77777777" w:rsidR="002C0407" w:rsidRPr="001531CD" w:rsidRDefault="002C0407" w:rsidP="002C0407">
      <w:pPr>
        <w:pStyle w:val="A"/>
      </w:pPr>
      <w:r w:rsidRPr="001531CD">
        <w:t>F.</w:t>
      </w:r>
      <w:r w:rsidRPr="001531CD">
        <w:tab/>
      </w:r>
      <w:r w:rsidRPr="001531CD">
        <w:tab/>
        <w:t>Each application for pesticide dealer license shall contain the name, address, and certificate number of all certified pesticide salespersons.</w:t>
      </w:r>
    </w:p>
    <w:p w14:paraId="4FAC474D" w14:textId="77777777" w:rsidR="002C0407" w:rsidRPr="001531CD" w:rsidRDefault="002C0407" w:rsidP="002C0407">
      <w:pPr>
        <w:pStyle w:val="A"/>
      </w:pPr>
      <w:r w:rsidRPr="001531CD">
        <w:t>G.</w:t>
      </w:r>
      <w:r w:rsidRPr="001531CD">
        <w:tab/>
        <w:t>Within 30 days after the termination of any certified pesticide salesperson listed on the license application form and/or certified to the commissioner after issuance of the pesticide dealer license, the licensee must notify the commissioner, in writing, of such termination.</w:t>
      </w:r>
    </w:p>
    <w:p w14:paraId="1F383D80" w14:textId="77777777" w:rsidR="002C0407" w:rsidRPr="001531CD" w:rsidRDefault="002C0407" w:rsidP="002C0407">
      <w:pPr>
        <w:pStyle w:val="A"/>
      </w:pPr>
      <w:r w:rsidRPr="001531CD">
        <w:t>H.</w:t>
      </w:r>
      <w:r w:rsidRPr="001531CD">
        <w:tab/>
        <w:t xml:space="preserve">Whenever such termination results in no certified pesticide salesperson at a licensed pesticide dealer's business, the pesticide dealer license shall be revoked </w:t>
      </w:r>
      <w:r w:rsidRPr="001531CD">
        <w:br/>
        <w:t>30 days after such termination, unless the licensee employs another certified pesticide salesperson within 30 days after termination of the original employee. In such event, the licensee may request the administration of an examination for pesticide salesperson certification on a priority basis, and the examination shall be immediately administered.</w:t>
      </w:r>
    </w:p>
    <w:p w14:paraId="4B9C19E3" w14:textId="77777777" w:rsidR="002C0407" w:rsidRPr="001531CD" w:rsidRDefault="002C0407" w:rsidP="002C0407">
      <w:pPr>
        <w:pStyle w:val="A"/>
      </w:pPr>
      <w:r w:rsidRPr="001531CD">
        <w:t>I.</w:t>
      </w:r>
      <w:r w:rsidRPr="001531CD">
        <w:tab/>
        <w:t>Pesticide dealer licenses shall be valid until December 31 following date of issue and must be annually renewed by filing the application form prescribed by the commissioner, together with the fee, prior to December 31. A late fee of $50 shall be imposed on any applicant filing application for renewal of a pesticide dealer license after December 31.</w:t>
      </w:r>
    </w:p>
    <w:p w14:paraId="3E99F0C2" w14:textId="77777777" w:rsidR="002C0407" w:rsidRPr="001531CD" w:rsidRDefault="002C0407" w:rsidP="002C0407">
      <w:pPr>
        <w:pStyle w:val="A"/>
      </w:pPr>
      <w:r w:rsidRPr="001531CD">
        <w:t>J.</w:t>
      </w:r>
      <w:r w:rsidRPr="001531CD">
        <w:tab/>
        <w:t>Any person whose license or required certification has been suspended or revoked may be required to appear before the commission prior to issuance of a new license or certification. No pesticide dealer license shall be reinstated after suspension or revocation unless the applicant for reinstatement has complied fully with all requirements of this rule.</w:t>
      </w:r>
    </w:p>
    <w:p w14:paraId="32B60D68" w14:textId="77777777" w:rsidR="002C0407" w:rsidRPr="001531CD" w:rsidRDefault="002C0407" w:rsidP="002C0407">
      <w:pPr>
        <w:pStyle w:val="A"/>
      </w:pPr>
      <w:r w:rsidRPr="001531CD">
        <w:t>K.</w:t>
      </w:r>
      <w:r w:rsidRPr="001531CD">
        <w:tab/>
        <w:t>The commissioner may deny a pesticide dealer license or pesticide salesperson certification to any person who:</w:t>
      </w:r>
    </w:p>
    <w:p w14:paraId="0D2D1AD6" w14:textId="77777777" w:rsidR="002C0407" w:rsidRPr="001531CD" w:rsidRDefault="002C0407" w:rsidP="002C0407">
      <w:pPr>
        <w:pStyle w:val="1"/>
      </w:pPr>
      <w:r w:rsidRPr="001531CD">
        <w:t>1.</w:t>
      </w:r>
      <w:r w:rsidRPr="001531CD">
        <w:tab/>
        <w:t>fails to demonstrate a knowledge of pesticides necessary for the safe and efficacious use thereof;</w:t>
      </w:r>
    </w:p>
    <w:p w14:paraId="166B453B" w14:textId="77777777" w:rsidR="002C0407" w:rsidRPr="001531CD" w:rsidRDefault="002C0407" w:rsidP="002C0407">
      <w:pPr>
        <w:pStyle w:val="1"/>
      </w:pPr>
      <w:r w:rsidRPr="001531CD">
        <w:t>2.</w:t>
      </w:r>
      <w:r w:rsidRPr="001531CD">
        <w:tab/>
        <w:t>fails or has previously failed to comply with any requirement of these regulations and/or the pesticides statutes; and/or</w:t>
      </w:r>
    </w:p>
    <w:p w14:paraId="2C4BB8D5" w14:textId="77777777" w:rsidR="002C0407" w:rsidRPr="001531CD" w:rsidRDefault="002C0407" w:rsidP="002C0407">
      <w:pPr>
        <w:pStyle w:val="1"/>
      </w:pPr>
      <w:r w:rsidRPr="001531CD">
        <w:t>3.</w:t>
      </w:r>
      <w:r w:rsidRPr="001531CD">
        <w:tab/>
        <w:t>has previously been adjudged, in a properly conducted adjudication procedure, to have violated any provisions of the pesticides statutes and/or these regulations.</w:t>
      </w:r>
    </w:p>
    <w:p w14:paraId="6FFE9965" w14:textId="77777777" w:rsidR="002C0407" w:rsidRPr="001531CD" w:rsidRDefault="002C0407" w:rsidP="002C0407">
      <w:pPr>
        <w:pStyle w:val="A"/>
      </w:pPr>
      <w:r w:rsidRPr="001531CD">
        <w:t>L.</w:t>
      </w:r>
      <w:r w:rsidRPr="001531CD">
        <w:tab/>
        <w:t xml:space="preserve">Pesticide dealers shall maintain sufficient records to comply with the Hazardous Material Information Development, Preparedness, and Response Act (Act), for the required time as specified in the Act. </w:t>
      </w:r>
    </w:p>
    <w:p w14:paraId="154FA59D" w14:textId="77777777" w:rsidR="00CF626A" w:rsidRPr="001531CD" w:rsidRDefault="002C0407" w:rsidP="002C0407">
      <w:pPr>
        <w:pStyle w:val="AuthorityNote"/>
      </w:pPr>
      <w:r w:rsidRPr="001531CD">
        <w:t>AUTHORITY NOTE:</w:t>
      </w:r>
      <w:r w:rsidRPr="001531CD">
        <w:tab/>
        <w:t>Promulgated in accordance with R.S. 3:3203 and R.S. 3:3245.</w:t>
      </w:r>
    </w:p>
    <w:p w14:paraId="2B913D7F" w14:textId="77777777" w:rsidR="002C0407" w:rsidRPr="001531CD" w:rsidRDefault="00CF626A" w:rsidP="002C0407">
      <w:pPr>
        <w:pStyle w:val="HistoricalNote"/>
      </w:pPr>
      <w:r w:rsidRPr="001531CD">
        <w:t>HISTORICAL NOTE:</w:t>
      </w:r>
      <w:r w:rsidRPr="001531CD">
        <w:tab/>
        <w:t>Promulgated by the Department of Agriculture, Advisory Commission on Pesticides, LR 9:188 (April 1983),</w:t>
      </w:r>
      <w:r w:rsidR="002C0407" w:rsidRPr="001531CD">
        <w:t xml:space="preserve"> amended LR 10:195 (March 1984), amended by Department of Agriculture and Forestry, Office of Agricultural and Environmental Sciences, Advisory Commission on Pesticides, LR 37:3476 (December 2011).</w:t>
      </w:r>
    </w:p>
    <w:p w14:paraId="7DF0F338" w14:textId="77777777" w:rsidR="002C0407" w:rsidRPr="001531CD" w:rsidRDefault="002C0407" w:rsidP="002C0407">
      <w:pPr>
        <w:pStyle w:val="Section"/>
      </w:pPr>
      <w:bookmarkStart w:id="2415" w:name="_Toc194293960"/>
      <w:bookmarkStart w:id="2416" w:name="_Toc224819226"/>
      <w:r w:rsidRPr="001531CD">
        <w:t>§729.</w:t>
      </w:r>
      <w:r w:rsidRPr="001531CD">
        <w:tab/>
        <w:t>Agricultural Consultants</w:t>
      </w:r>
      <w:bookmarkEnd w:id="2415"/>
      <w:bookmarkEnd w:id="2416"/>
    </w:p>
    <w:p w14:paraId="1FAFB37E" w14:textId="77777777" w:rsidR="002C0407" w:rsidRPr="001531CD" w:rsidRDefault="002C0407" w:rsidP="002C0407">
      <w:pPr>
        <w:pStyle w:val="A"/>
      </w:pPr>
      <w:r w:rsidRPr="001531CD">
        <w:t>A.</w:t>
      </w:r>
      <w:r w:rsidRPr="001531CD">
        <w:tab/>
        <w:t>No person shall be licensed as an agricultural consultant unless such person:</w:t>
      </w:r>
    </w:p>
    <w:p w14:paraId="32859DE6" w14:textId="77777777" w:rsidR="002C0407" w:rsidRPr="001531CD" w:rsidRDefault="002C0407" w:rsidP="002C0407">
      <w:pPr>
        <w:pStyle w:val="1"/>
      </w:pPr>
      <w:r w:rsidRPr="001531CD">
        <w:t>1.</w:t>
      </w:r>
      <w:r w:rsidRPr="001531CD">
        <w:tab/>
        <w:t>is currently certified as an agricultural consultant; or</w:t>
      </w:r>
    </w:p>
    <w:p w14:paraId="4B075214" w14:textId="77777777" w:rsidR="002C0407" w:rsidRPr="001531CD" w:rsidRDefault="002C0407" w:rsidP="002C0407">
      <w:pPr>
        <w:pStyle w:val="1"/>
      </w:pPr>
      <w:r w:rsidRPr="001531CD">
        <w:t>2.</w:t>
      </w:r>
      <w:r w:rsidRPr="001531CD">
        <w:tab/>
        <w:t>employs a person currently certified as an agricultural consultant.</w:t>
      </w:r>
    </w:p>
    <w:p w14:paraId="72E494B7" w14:textId="77777777" w:rsidR="002C0407" w:rsidRPr="001531CD" w:rsidRDefault="002C0407" w:rsidP="002C0407">
      <w:pPr>
        <w:pStyle w:val="A"/>
      </w:pPr>
      <w:r w:rsidRPr="001531CD">
        <w:t>B.</w:t>
      </w:r>
      <w:r w:rsidRPr="001531CD">
        <w:tab/>
        <w:t>No person shall make pesticide recommendations for a fee unless:</w:t>
      </w:r>
    </w:p>
    <w:p w14:paraId="462A2D50" w14:textId="77777777" w:rsidR="002C0407" w:rsidRPr="001531CD" w:rsidRDefault="002C0407" w:rsidP="002C0407">
      <w:pPr>
        <w:pStyle w:val="1"/>
      </w:pPr>
      <w:r w:rsidRPr="001531CD">
        <w:t>1.</w:t>
      </w:r>
      <w:r w:rsidRPr="001531CD">
        <w:tab/>
        <w:t>his/her name is listed on the application for agricultural consultant license; or</w:t>
      </w:r>
    </w:p>
    <w:p w14:paraId="5B192137" w14:textId="77777777" w:rsidR="002C0407" w:rsidRPr="001531CD" w:rsidRDefault="002C0407" w:rsidP="002C0407">
      <w:pPr>
        <w:pStyle w:val="1"/>
      </w:pPr>
      <w:r w:rsidRPr="001531CD">
        <w:t>2.</w:t>
      </w:r>
      <w:r w:rsidRPr="001531CD">
        <w:tab/>
        <w:t>if employed after issuance of the agricultural consultant license, the licensee has notified the commissioner in writing within 30 days after the first day of such employment. Notification of employment after the license is issued shall include the name, address, and certificate number of agricultural consultants employed by the licensee.</w:t>
      </w:r>
    </w:p>
    <w:p w14:paraId="6E1C1BEF" w14:textId="77777777" w:rsidR="002C0407" w:rsidRPr="001531CD" w:rsidRDefault="002C0407" w:rsidP="002C0407">
      <w:pPr>
        <w:pStyle w:val="A"/>
      </w:pPr>
      <w:r w:rsidRPr="001531CD">
        <w:t>C.</w:t>
      </w:r>
      <w:r w:rsidRPr="001531CD">
        <w:tab/>
        <w:t>All applicants for agricultural consultant licenses shall complete the application form prescribed by the commissioner and pay the fee required prior to issuance of the license.</w:t>
      </w:r>
    </w:p>
    <w:p w14:paraId="4768A1AD" w14:textId="77777777" w:rsidR="002C0407" w:rsidRPr="001531CD" w:rsidRDefault="002C0407" w:rsidP="002C0407">
      <w:pPr>
        <w:pStyle w:val="A"/>
      </w:pPr>
      <w:r w:rsidRPr="001531CD">
        <w:t>D.</w:t>
      </w:r>
      <w:r w:rsidRPr="001531CD">
        <w:tab/>
        <w:t>Each application for agricultural consultant license shall include the name, address, and certificate number of all certified agricultural consultants and the name and address of all field scouts employed by the applicant when the application for license is filed.</w:t>
      </w:r>
    </w:p>
    <w:p w14:paraId="140F3B73" w14:textId="77777777" w:rsidR="002C0407" w:rsidRPr="001531CD" w:rsidRDefault="002C0407" w:rsidP="002C0407">
      <w:pPr>
        <w:pStyle w:val="A"/>
        <w:rPr>
          <w:strike/>
        </w:rPr>
      </w:pPr>
      <w:r w:rsidRPr="001531CD">
        <w:t>E.</w:t>
      </w:r>
      <w:r w:rsidRPr="001531CD">
        <w:tab/>
        <w:t xml:space="preserve">Each licensed agricultural consultant shall register every field scout employed under his/her license with the commissioner within 30 days after the first day of the scout's employment. </w:t>
      </w:r>
    </w:p>
    <w:p w14:paraId="276856D6" w14:textId="77777777" w:rsidR="002C0407" w:rsidRPr="001531CD" w:rsidRDefault="002C0407" w:rsidP="002C0407">
      <w:pPr>
        <w:pStyle w:val="A"/>
        <w:rPr>
          <w:strike/>
        </w:rPr>
      </w:pPr>
      <w:r w:rsidRPr="001531CD">
        <w:t>F.</w:t>
      </w:r>
      <w:r w:rsidRPr="001531CD">
        <w:tab/>
        <w:t>Reserved.</w:t>
      </w:r>
    </w:p>
    <w:p w14:paraId="68D82216" w14:textId="77777777" w:rsidR="002C0407" w:rsidRPr="001531CD" w:rsidRDefault="002C0407" w:rsidP="002C0407">
      <w:pPr>
        <w:pStyle w:val="A"/>
      </w:pPr>
      <w:r w:rsidRPr="001531CD">
        <w:lastRenderedPageBreak/>
        <w:t>G.</w:t>
      </w:r>
      <w:r w:rsidRPr="001531CD">
        <w:tab/>
        <w:t>Agricultural consultant licenses shall be valid until December 31 following date of issue and shall be renewed annually by filing the application form prescribed by the commissioner, together with the fee required prior to December 31 of each year. A late fee of $50 shall be imposed on any applicant filing application for renewal of an agricultural consultant license after December 31.</w:t>
      </w:r>
    </w:p>
    <w:p w14:paraId="46A097BC" w14:textId="77777777" w:rsidR="002C0407" w:rsidRPr="001531CD" w:rsidRDefault="002C0407" w:rsidP="002C0407">
      <w:pPr>
        <w:pStyle w:val="A"/>
      </w:pPr>
      <w:r w:rsidRPr="001531CD">
        <w:t>H.</w:t>
      </w:r>
      <w:r w:rsidRPr="001531CD">
        <w:tab/>
        <w:t>Any person whose license or required certification has been suspended or revoked may be required to appear before the commission prior to issuance of a new license or certification. No agricultural consultant license shall be reinstated after suspension or revocation unless the applicant for reinstatement has complied fully with all requirements of this Rule.</w:t>
      </w:r>
    </w:p>
    <w:p w14:paraId="19E9D6CC" w14:textId="77777777" w:rsidR="002C0407" w:rsidRPr="001531CD" w:rsidRDefault="002C0407" w:rsidP="002C0407">
      <w:pPr>
        <w:pStyle w:val="A"/>
      </w:pPr>
      <w:r w:rsidRPr="001531CD">
        <w:t>I.</w:t>
      </w:r>
      <w:r w:rsidRPr="001531CD">
        <w:tab/>
        <w:t>The commissioner may deny an agricultural consultant license or certification to any person who:</w:t>
      </w:r>
    </w:p>
    <w:p w14:paraId="3AE21F3C" w14:textId="77777777" w:rsidR="002C0407" w:rsidRPr="001531CD" w:rsidRDefault="002C0407" w:rsidP="002C0407">
      <w:pPr>
        <w:pStyle w:val="1"/>
      </w:pPr>
      <w:r w:rsidRPr="001531CD">
        <w:t>1.</w:t>
      </w:r>
      <w:r w:rsidRPr="001531CD">
        <w:tab/>
        <w:t>fails to demonstrate knowledge of pesticides necessary for the safe and efficacious use thereof;</w:t>
      </w:r>
    </w:p>
    <w:p w14:paraId="0FD51372" w14:textId="77777777" w:rsidR="002C0407" w:rsidRPr="001531CD" w:rsidRDefault="002C0407" w:rsidP="002C0407">
      <w:pPr>
        <w:pStyle w:val="1"/>
      </w:pPr>
      <w:r w:rsidRPr="001531CD">
        <w:t>2.</w:t>
      </w:r>
      <w:r w:rsidRPr="001531CD">
        <w:tab/>
        <w:t>fails or has previously failed to comply with any requirement of these regulations and/or the pesticides statutes; and/or</w:t>
      </w:r>
    </w:p>
    <w:p w14:paraId="7C57BD4C" w14:textId="77777777" w:rsidR="002C0407" w:rsidRPr="001531CD" w:rsidRDefault="002C0407" w:rsidP="002C0407">
      <w:pPr>
        <w:pStyle w:val="1"/>
      </w:pPr>
      <w:r w:rsidRPr="001531CD">
        <w:t>3.</w:t>
      </w:r>
      <w:r w:rsidRPr="001531CD">
        <w:tab/>
        <w:t>has previously been adjudged, in a properly conducted adjudication procedure, to have violated any provisions of the pesticides statutes and/or these regulations.</w:t>
      </w:r>
    </w:p>
    <w:p w14:paraId="4D06185A" w14:textId="77777777" w:rsidR="00CF626A" w:rsidRPr="001531CD" w:rsidRDefault="002C0407" w:rsidP="002C0407">
      <w:pPr>
        <w:pStyle w:val="AuthorityNote"/>
      </w:pPr>
      <w:r w:rsidRPr="001531CD">
        <w:t>AUTHORITY NOTE:</w:t>
      </w:r>
      <w:r w:rsidRPr="001531CD">
        <w:tab/>
        <w:t>Promulgated in accordance with R.S. 3:3203 and R.S. 3:3246.</w:t>
      </w:r>
    </w:p>
    <w:p w14:paraId="7DE10564" w14:textId="77777777" w:rsidR="00CF626A" w:rsidRPr="001531CD" w:rsidRDefault="00CF626A">
      <w:pPr>
        <w:pStyle w:val="HistoricalNote"/>
      </w:pPr>
      <w:r w:rsidRPr="001531CD">
        <w:t>HISTORICAL NOTE:</w:t>
      </w:r>
      <w:r w:rsidRPr="001531CD">
        <w:tab/>
        <w:t>Promulgated by the Department of Agriculture, Advisory Commission on Pesticides, LR 9:188 (April 1983),</w:t>
      </w:r>
      <w:r w:rsidR="002C0407" w:rsidRPr="001531CD">
        <w:t xml:space="preserve"> amended LR 10:195 (March 1984), </w:t>
      </w:r>
      <w:r w:rsidR="00025415" w:rsidRPr="001531CD">
        <w:t>amended by Department of Agriculture and Forestry, Office of Agricultural and Environmental Sciences, Advisory Commission on Pesticides, LR 37:3477 (December 2011).</w:t>
      </w:r>
    </w:p>
    <w:p w14:paraId="3C98BF38" w14:textId="77777777" w:rsidR="00025415" w:rsidRPr="001531CD" w:rsidRDefault="00025415" w:rsidP="00025415">
      <w:pPr>
        <w:pStyle w:val="Chapter"/>
      </w:pPr>
      <w:bookmarkStart w:id="2417" w:name="_Toc224819227"/>
      <w:r w:rsidRPr="001531CD">
        <w:t>Chapter 9.</w:t>
      </w:r>
      <w:r w:rsidRPr="001531CD">
        <w:tab/>
        <w:t>Fees</w:t>
      </w:r>
      <w:bookmarkEnd w:id="2417"/>
    </w:p>
    <w:p w14:paraId="4AECA4C7" w14:textId="77777777" w:rsidR="00025415" w:rsidRPr="001531CD" w:rsidRDefault="00025415" w:rsidP="00025415">
      <w:pPr>
        <w:pStyle w:val="Section"/>
      </w:pPr>
      <w:bookmarkStart w:id="2418" w:name="_Toc224819228"/>
      <w:r w:rsidRPr="001531CD">
        <w:t>§901.</w:t>
      </w:r>
      <w:r w:rsidRPr="001531CD">
        <w:tab/>
        <w:t>Fees</w:t>
      </w:r>
      <w:bookmarkEnd w:id="2418"/>
    </w:p>
    <w:p w14:paraId="737A5389" w14:textId="77777777" w:rsidR="00025415" w:rsidRPr="001531CD" w:rsidRDefault="00025415" w:rsidP="00025415">
      <w:pPr>
        <w:pStyle w:val="A"/>
      </w:pPr>
      <w:r w:rsidRPr="001531CD">
        <w:t>A.</w:t>
      </w:r>
      <w:r w:rsidRPr="001531CD">
        <w:tab/>
      </w:r>
      <w:r w:rsidR="00B92076" w:rsidRPr="00D85F63">
        <w:t>Fees required under the Louisiana Pesticide Law to be adopted by regulation are established as the following.</w:t>
      </w:r>
    </w:p>
    <w:tbl>
      <w:tblPr>
        <w:tblW w:w="49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341"/>
        <w:gridCol w:w="1583"/>
      </w:tblGrid>
      <w:tr w:rsidR="00025415" w:rsidRPr="001531CD" w14:paraId="63E910A6" w14:textId="77777777" w:rsidTr="002B76F7">
        <w:trPr>
          <w:trHeight w:val="324"/>
          <w:jc w:val="center"/>
        </w:trPr>
        <w:tc>
          <w:tcPr>
            <w:tcW w:w="3341" w:type="dxa"/>
            <w:vAlign w:val="bottom"/>
          </w:tcPr>
          <w:p w14:paraId="36E3A887" w14:textId="77777777" w:rsidR="00025415" w:rsidRPr="00824C43" w:rsidRDefault="00B92076" w:rsidP="00B92076">
            <w:pPr>
              <w:keepNext/>
              <w:tabs>
                <w:tab w:val="left" w:pos="144"/>
                <w:tab w:val="left" w:pos="907"/>
                <w:tab w:val="left" w:pos="1080"/>
              </w:tabs>
              <w:rPr>
                <w:sz w:val="16"/>
                <w:szCs w:val="24"/>
              </w:rPr>
            </w:pPr>
            <w:r w:rsidRPr="00D85F63">
              <w:rPr>
                <w:sz w:val="16"/>
                <w:szCs w:val="24"/>
              </w:rPr>
              <w:t xml:space="preserve">Special Local Need Registration </w:t>
            </w:r>
            <w:r w:rsidRPr="00D85F63">
              <w:rPr>
                <w:sz w:val="16"/>
                <w:szCs w:val="24"/>
              </w:rPr>
              <w:br/>
              <w:t>Application Fee</w:t>
            </w:r>
          </w:p>
        </w:tc>
        <w:tc>
          <w:tcPr>
            <w:tcW w:w="1583" w:type="dxa"/>
            <w:vAlign w:val="bottom"/>
          </w:tcPr>
          <w:p w14:paraId="56C52353" w14:textId="77777777"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$100</w:t>
            </w:r>
          </w:p>
        </w:tc>
      </w:tr>
      <w:tr w:rsidR="00025415" w:rsidRPr="001531CD" w14:paraId="430690F6" w14:textId="77777777" w:rsidTr="002B76F7">
        <w:trPr>
          <w:trHeight w:val="705"/>
          <w:jc w:val="center"/>
        </w:trPr>
        <w:tc>
          <w:tcPr>
            <w:tcW w:w="3341" w:type="dxa"/>
            <w:vAlign w:val="bottom"/>
          </w:tcPr>
          <w:p w14:paraId="7F30A6EA" w14:textId="77777777" w:rsidR="00B92076" w:rsidRPr="00B92076" w:rsidRDefault="00B92076" w:rsidP="00B92076">
            <w:pPr>
              <w:keepNext/>
              <w:tabs>
                <w:tab w:val="left" w:pos="144"/>
                <w:tab w:val="left" w:pos="907"/>
                <w:tab w:val="left" w:pos="1080"/>
              </w:tabs>
              <w:rPr>
                <w:sz w:val="16"/>
                <w:szCs w:val="24"/>
              </w:rPr>
            </w:pPr>
            <w:r w:rsidRPr="00B92076">
              <w:rPr>
                <w:sz w:val="16"/>
                <w:szCs w:val="24"/>
              </w:rPr>
              <w:t xml:space="preserve">Examination Fees </w:t>
            </w:r>
          </w:p>
          <w:p w14:paraId="08804D75" w14:textId="77777777" w:rsidR="00B92076" w:rsidRPr="00B92076" w:rsidRDefault="00B92076" w:rsidP="00B92076">
            <w:pPr>
              <w:keepNext/>
              <w:tabs>
                <w:tab w:val="left" w:pos="144"/>
                <w:tab w:val="left" w:pos="907"/>
                <w:tab w:val="left" w:pos="1080"/>
              </w:tabs>
              <w:rPr>
                <w:sz w:val="16"/>
                <w:szCs w:val="24"/>
              </w:rPr>
            </w:pPr>
            <w:r w:rsidRPr="00B92076">
              <w:rPr>
                <w:sz w:val="16"/>
                <w:szCs w:val="24"/>
              </w:rPr>
              <w:t xml:space="preserve"> Private Applicator Exam</w:t>
            </w:r>
          </w:p>
          <w:p w14:paraId="3D282B17" w14:textId="77777777" w:rsidR="00B92076" w:rsidRPr="00B92076" w:rsidRDefault="00B92076" w:rsidP="00B92076">
            <w:pPr>
              <w:keepNext/>
              <w:tabs>
                <w:tab w:val="left" w:pos="144"/>
                <w:tab w:val="left" w:pos="907"/>
                <w:tab w:val="left" w:pos="1080"/>
              </w:tabs>
              <w:rPr>
                <w:sz w:val="16"/>
                <w:szCs w:val="24"/>
              </w:rPr>
            </w:pPr>
            <w:r w:rsidRPr="00B92076">
              <w:rPr>
                <w:sz w:val="16"/>
                <w:szCs w:val="24"/>
              </w:rPr>
              <w:t xml:space="preserve"> Commercial Applicator Exam</w:t>
            </w:r>
          </w:p>
          <w:p w14:paraId="4909E3ED" w14:textId="77777777" w:rsidR="00B92076" w:rsidRPr="00B92076" w:rsidRDefault="00B92076" w:rsidP="00B92076">
            <w:pPr>
              <w:keepNext/>
              <w:tabs>
                <w:tab w:val="left" w:pos="144"/>
                <w:tab w:val="left" w:pos="907"/>
                <w:tab w:val="left" w:pos="1080"/>
              </w:tabs>
              <w:rPr>
                <w:sz w:val="16"/>
                <w:szCs w:val="24"/>
              </w:rPr>
            </w:pPr>
            <w:r w:rsidRPr="00B92076">
              <w:rPr>
                <w:sz w:val="16"/>
                <w:szCs w:val="24"/>
              </w:rPr>
              <w:t xml:space="preserve"> Pesticide Salesperson Exam</w:t>
            </w:r>
          </w:p>
          <w:p w14:paraId="1B79DB62" w14:textId="77777777" w:rsidR="00025415" w:rsidRPr="00824C43" w:rsidRDefault="00B92076" w:rsidP="00B92076">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B92076">
              <w:rPr>
                <w:kern w:val="0"/>
                <w:sz w:val="16"/>
                <w:szCs w:val="24"/>
              </w:rPr>
              <w:t xml:space="preserve"> Agricultural Consultant Exam</w:t>
            </w:r>
          </w:p>
        </w:tc>
        <w:tc>
          <w:tcPr>
            <w:tcW w:w="1583" w:type="dxa"/>
            <w:vAlign w:val="bottom"/>
          </w:tcPr>
          <w:p w14:paraId="2CE201BD" w14:textId="77777777" w:rsidR="00B92076" w:rsidRPr="00B92076" w:rsidRDefault="00B92076" w:rsidP="00B92076">
            <w:pPr>
              <w:keepNext/>
              <w:tabs>
                <w:tab w:val="left" w:pos="144"/>
                <w:tab w:val="left" w:pos="907"/>
                <w:tab w:val="left" w:pos="1080"/>
              </w:tabs>
              <w:rPr>
                <w:sz w:val="16"/>
                <w:szCs w:val="24"/>
              </w:rPr>
            </w:pPr>
            <w:r w:rsidRPr="00B92076">
              <w:rPr>
                <w:sz w:val="16"/>
                <w:szCs w:val="24"/>
              </w:rPr>
              <w:t>$50</w:t>
            </w:r>
          </w:p>
          <w:p w14:paraId="75697FE8" w14:textId="77777777" w:rsidR="00B92076" w:rsidRPr="00B92076" w:rsidRDefault="00B92076" w:rsidP="00B92076">
            <w:pPr>
              <w:keepNext/>
              <w:tabs>
                <w:tab w:val="left" w:pos="144"/>
                <w:tab w:val="left" w:pos="907"/>
                <w:tab w:val="left" w:pos="1080"/>
              </w:tabs>
              <w:rPr>
                <w:sz w:val="16"/>
                <w:szCs w:val="24"/>
              </w:rPr>
            </w:pPr>
            <w:r w:rsidRPr="00B92076">
              <w:rPr>
                <w:sz w:val="16"/>
                <w:szCs w:val="24"/>
              </w:rPr>
              <w:t>$50 per category</w:t>
            </w:r>
          </w:p>
          <w:p w14:paraId="6B5CD5B9" w14:textId="77777777" w:rsidR="00B92076" w:rsidRPr="00B92076" w:rsidRDefault="00B92076" w:rsidP="00B92076">
            <w:pPr>
              <w:keepNext/>
              <w:tabs>
                <w:tab w:val="left" w:pos="144"/>
                <w:tab w:val="left" w:pos="907"/>
                <w:tab w:val="left" w:pos="1080"/>
              </w:tabs>
              <w:rPr>
                <w:sz w:val="16"/>
                <w:szCs w:val="24"/>
              </w:rPr>
            </w:pPr>
            <w:r w:rsidRPr="00B92076">
              <w:rPr>
                <w:sz w:val="16"/>
                <w:szCs w:val="24"/>
              </w:rPr>
              <w:t>$50</w:t>
            </w:r>
          </w:p>
          <w:p w14:paraId="63801084" w14:textId="77777777" w:rsidR="00025415" w:rsidRPr="00824C43" w:rsidRDefault="00B92076" w:rsidP="00B92076">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B92076">
              <w:rPr>
                <w:kern w:val="0"/>
                <w:sz w:val="16"/>
                <w:szCs w:val="24"/>
              </w:rPr>
              <w:t>$50 per category</w:t>
            </w:r>
          </w:p>
        </w:tc>
      </w:tr>
      <w:tr w:rsidR="00025415" w:rsidRPr="001531CD" w14:paraId="588760FD" w14:textId="77777777" w:rsidTr="002B76F7">
        <w:trPr>
          <w:trHeight w:val="219"/>
          <w:jc w:val="center"/>
        </w:trPr>
        <w:tc>
          <w:tcPr>
            <w:tcW w:w="3341" w:type="dxa"/>
            <w:vAlign w:val="bottom"/>
          </w:tcPr>
          <w:p w14:paraId="6DF4149E" w14:textId="77777777"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Duplicate Licenses and/or Certification Cards</w:t>
            </w:r>
          </w:p>
        </w:tc>
        <w:tc>
          <w:tcPr>
            <w:tcW w:w="1583" w:type="dxa"/>
            <w:vAlign w:val="bottom"/>
          </w:tcPr>
          <w:p w14:paraId="47C7D6C7" w14:textId="77777777"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Same as Original</w:t>
            </w:r>
          </w:p>
        </w:tc>
      </w:tr>
      <w:tr w:rsidR="00025415" w:rsidRPr="001531CD" w14:paraId="5B64A586" w14:textId="77777777" w:rsidTr="002B76F7">
        <w:trPr>
          <w:trHeight w:val="390"/>
          <w:jc w:val="center"/>
        </w:trPr>
        <w:tc>
          <w:tcPr>
            <w:tcW w:w="3341" w:type="dxa"/>
            <w:vAlign w:val="bottom"/>
          </w:tcPr>
          <w:p w14:paraId="5CA0BBCD" w14:textId="77777777"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Requested Lists and Copies</w:t>
            </w:r>
          </w:p>
        </w:tc>
        <w:tc>
          <w:tcPr>
            <w:tcW w:w="1583" w:type="dxa"/>
            <w:vAlign w:val="bottom"/>
          </w:tcPr>
          <w:p w14:paraId="1D5184E9" w14:textId="77777777"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Postage + minimum of $1 or Postage + $0.25 /page</w:t>
            </w:r>
          </w:p>
        </w:tc>
      </w:tr>
    </w:tbl>
    <w:p w14:paraId="3F2EFF70" w14:textId="77777777" w:rsidR="002B76F7" w:rsidRPr="001531CD" w:rsidRDefault="002B76F7" w:rsidP="002B76F7">
      <w:pPr>
        <w:pStyle w:val="A"/>
        <w:spacing w:after="0"/>
      </w:pPr>
    </w:p>
    <w:p w14:paraId="090A4BE6" w14:textId="77777777" w:rsidR="00025415" w:rsidRPr="001531CD" w:rsidRDefault="00025415" w:rsidP="00025415">
      <w:pPr>
        <w:pStyle w:val="A"/>
      </w:pPr>
      <w:r w:rsidRPr="001531CD">
        <w:t>B.</w:t>
      </w:r>
      <w:r w:rsidRPr="001531CD">
        <w:tab/>
        <w:t>Fees for licensing shall be paid at the time of application for said license.</w:t>
      </w:r>
    </w:p>
    <w:p w14:paraId="6B0E72B8" w14:textId="77777777" w:rsidR="00025415" w:rsidRPr="001531CD" w:rsidRDefault="00025415" w:rsidP="00025415">
      <w:pPr>
        <w:pStyle w:val="A"/>
      </w:pPr>
      <w:r w:rsidRPr="001531CD">
        <w:t>C.</w:t>
      </w:r>
      <w:r w:rsidRPr="001531CD">
        <w:tab/>
        <w:t>Fees for registration for field scouts and for equipment inspections shall be paid at the time of application for the appropriate license.</w:t>
      </w:r>
    </w:p>
    <w:p w14:paraId="2453F794" w14:textId="77777777" w:rsidR="00025415" w:rsidRPr="001531CD" w:rsidRDefault="00025415" w:rsidP="00025415">
      <w:pPr>
        <w:pStyle w:val="A"/>
      </w:pPr>
      <w:r w:rsidRPr="001531CD">
        <w:t>D.</w:t>
      </w:r>
      <w:r w:rsidRPr="001531CD">
        <w:tab/>
        <w:t>Fees for registrations, examinations, and certifications shall be paid at the time the application is submitted.</w:t>
      </w:r>
    </w:p>
    <w:p w14:paraId="444DB09F" w14:textId="77777777" w:rsidR="00025415" w:rsidRPr="001531CD" w:rsidRDefault="00025415" w:rsidP="00025415">
      <w:pPr>
        <w:pStyle w:val="A"/>
      </w:pPr>
      <w:r w:rsidRPr="001531CD">
        <w:t>E.</w:t>
      </w:r>
      <w:r w:rsidRPr="001531CD">
        <w:tab/>
        <w:t>No application shall be processed until all criteria for which the application is made has been met.</w:t>
      </w:r>
    </w:p>
    <w:p w14:paraId="737DA504" w14:textId="77777777" w:rsidR="00025415" w:rsidRPr="001531CD" w:rsidRDefault="00025415" w:rsidP="00025415">
      <w:pPr>
        <w:pStyle w:val="AuthorityNote"/>
      </w:pPr>
      <w:r w:rsidRPr="001531CD">
        <w:t>AUTHORITY NOTE:</w:t>
      </w:r>
      <w:r w:rsidRPr="001531CD">
        <w:tab/>
        <w:t>Promulgated in accordance with R.S. 3:3203, R.S. 3:3221, R.S. 3:3222 and R.S. 3:3251.</w:t>
      </w:r>
    </w:p>
    <w:p w14:paraId="363081D1" w14:textId="77777777" w:rsidR="00025415" w:rsidRPr="001531CD" w:rsidRDefault="00025415" w:rsidP="00025415">
      <w:pPr>
        <w:pStyle w:val="HistoricalNote"/>
      </w:pPr>
      <w:r w:rsidRPr="001531CD">
        <w:t>HISTORICAL NOTE:</w:t>
      </w:r>
      <w:r w:rsidRPr="001531CD">
        <w:tab/>
        <w:t>Promulgated by the Department of Agriculture, Advisory Commission on Pesticides, LR 10:194 (March 1984), amended by the Department of Agriculture and Forestry, Advisory Commission on Pesticides, LR 15:76 (February 1989), LR 24:281 (February 1998), amended by the Department of Agriculture and Forestry, Office of Commissioner, Advisory Commission on Pesticides, LR 30:197 (February 2004), repromulgated by Department of Agriculture and Forestry, Office of Agricultural and Environmental Sciences, Advisory Commission on Pesticides, LR 37:3477 (December 2011)</w:t>
      </w:r>
      <w:r w:rsidR="00B92076" w:rsidRPr="00D85F63">
        <w:t>, LR 47:</w:t>
      </w:r>
      <w:r w:rsidR="00B92076">
        <w:t>437 (April 2021).</w:t>
      </w:r>
    </w:p>
    <w:p w14:paraId="7DF0F009" w14:textId="77777777" w:rsidR="00025415" w:rsidRPr="001531CD" w:rsidRDefault="00025415" w:rsidP="00025415">
      <w:pPr>
        <w:pStyle w:val="Chapter"/>
      </w:pPr>
      <w:bookmarkStart w:id="2419" w:name="_Toc194293961"/>
      <w:bookmarkStart w:id="2420" w:name="TOCT_SubC171"/>
      <w:bookmarkStart w:id="2421" w:name="TOCT_SubC177"/>
      <w:bookmarkStart w:id="2422" w:name="_Toc224819229"/>
      <w:r w:rsidRPr="001531CD">
        <w:t>Chapter 11.</w:t>
      </w:r>
      <w:r w:rsidRPr="001531CD">
        <w:tab/>
        <w:t>Regulations Governing Application of Pesticides</w:t>
      </w:r>
      <w:bookmarkEnd w:id="2419"/>
      <w:bookmarkEnd w:id="2420"/>
      <w:bookmarkEnd w:id="2421"/>
      <w:bookmarkEnd w:id="2422"/>
    </w:p>
    <w:p w14:paraId="1F35838E" w14:textId="77777777" w:rsidR="00025415" w:rsidRPr="001531CD" w:rsidRDefault="00025415" w:rsidP="00025415">
      <w:pPr>
        <w:pStyle w:val="Section"/>
      </w:pPr>
      <w:bookmarkStart w:id="2423" w:name="_Toc194293962"/>
      <w:bookmarkStart w:id="2424" w:name="_Toc224819230"/>
      <w:r w:rsidRPr="001531CD">
        <w:t>§1101.</w:t>
      </w:r>
      <w:r w:rsidRPr="001531CD">
        <w:tab/>
        <w:t>General Requirements</w:t>
      </w:r>
      <w:bookmarkEnd w:id="2423"/>
      <w:bookmarkEnd w:id="2424"/>
    </w:p>
    <w:p w14:paraId="6304A2D8" w14:textId="77777777" w:rsidR="00025415" w:rsidRPr="001531CD" w:rsidRDefault="00025415" w:rsidP="00025415">
      <w:pPr>
        <w:pStyle w:val="A"/>
      </w:pPr>
      <w:r w:rsidRPr="001531CD">
        <w:t>A.</w:t>
      </w:r>
      <w:r w:rsidRPr="001531CD">
        <w:tab/>
        <w:t>No person shall apply pesticides as a commercial applicator unless such person is:</w:t>
      </w:r>
    </w:p>
    <w:p w14:paraId="43E82484" w14:textId="77777777" w:rsidR="00025415" w:rsidRPr="001531CD" w:rsidRDefault="00025415" w:rsidP="00025415">
      <w:pPr>
        <w:pStyle w:val="1"/>
      </w:pPr>
      <w:r w:rsidRPr="001531CD">
        <w:t>1.</w:t>
      </w:r>
      <w:r w:rsidRPr="001531CD">
        <w:tab/>
        <w:t>licensed as required under §725 hereof;</w:t>
      </w:r>
    </w:p>
    <w:p w14:paraId="3BCDB2F2" w14:textId="77777777" w:rsidR="00025415" w:rsidRPr="001531CD" w:rsidRDefault="00025415" w:rsidP="00025415">
      <w:pPr>
        <w:pStyle w:val="1"/>
      </w:pPr>
      <w:r w:rsidRPr="001531CD">
        <w:t>2.</w:t>
      </w:r>
      <w:r w:rsidRPr="001531CD">
        <w:tab/>
        <w:t>employed by a person licensed as required by §725 hereof;</w:t>
      </w:r>
    </w:p>
    <w:p w14:paraId="5D56C355" w14:textId="77777777" w:rsidR="00025415" w:rsidRPr="001531CD" w:rsidRDefault="00025415" w:rsidP="00025415">
      <w:pPr>
        <w:pStyle w:val="1"/>
      </w:pPr>
      <w:r w:rsidRPr="001531CD">
        <w:t>3.</w:t>
      </w:r>
      <w:r w:rsidRPr="001531CD">
        <w:tab/>
        <w:t>making ground applications of pesticides under the direct supervision of a person certified as a commercial applicator; or</w:t>
      </w:r>
    </w:p>
    <w:p w14:paraId="6490706A" w14:textId="77777777" w:rsidR="00025415" w:rsidRPr="001531CD" w:rsidRDefault="00025415" w:rsidP="00025415">
      <w:pPr>
        <w:pStyle w:val="1"/>
      </w:pPr>
      <w:r w:rsidRPr="001531CD">
        <w:t>4.</w:t>
      </w:r>
      <w:r w:rsidRPr="001531CD">
        <w:tab/>
        <w:t>certified in demonstration and research.</w:t>
      </w:r>
    </w:p>
    <w:p w14:paraId="143578DD" w14:textId="77777777" w:rsidR="00025415" w:rsidRPr="001531CD" w:rsidRDefault="00025415" w:rsidP="00025415">
      <w:pPr>
        <w:pStyle w:val="A"/>
      </w:pPr>
      <w:r w:rsidRPr="001531CD">
        <w:t>B.</w:t>
      </w:r>
      <w:r w:rsidRPr="001531CD">
        <w:tab/>
        <w:t>No person shall apply any pesticide which is not registered with the department and the EPA, provided that this restriction shall not apply to:</w:t>
      </w:r>
    </w:p>
    <w:p w14:paraId="626A6E68" w14:textId="77777777" w:rsidR="00025415" w:rsidRPr="001531CD" w:rsidRDefault="00025415" w:rsidP="00025415">
      <w:pPr>
        <w:pStyle w:val="1"/>
      </w:pPr>
      <w:r w:rsidRPr="001531CD">
        <w:t>1.</w:t>
      </w:r>
      <w:r w:rsidRPr="001531CD">
        <w:tab/>
        <w:t>activities conducted by persons certified in demonstration and research; and</w:t>
      </w:r>
    </w:p>
    <w:p w14:paraId="281A677F" w14:textId="77777777" w:rsidR="00025415" w:rsidRPr="001531CD" w:rsidRDefault="00025415" w:rsidP="00025415">
      <w:pPr>
        <w:pStyle w:val="1"/>
      </w:pPr>
      <w:r w:rsidRPr="001531CD">
        <w:t>2.</w:t>
      </w:r>
      <w:r w:rsidRPr="001531CD">
        <w:tab/>
        <w:t>activities conducted under an approved experimental use permit.</w:t>
      </w:r>
    </w:p>
    <w:p w14:paraId="18013334" w14:textId="77777777" w:rsidR="00025415" w:rsidRPr="001531CD" w:rsidRDefault="00025415" w:rsidP="00025415">
      <w:pPr>
        <w:pStyle w:val="A"/>
      </w:pPr>
      <w:r w:rsidRPr="001531CD">
        <w:t>C.</w:t>
      </w:r>
      <w:r w:rsidRPr="001531CD">
        <w:tab/>
        <w:t>No person who is required under the provisions of R.S. 3:3243 to be licensed by the commissioner shall apply pesticides with mechanically powered pesticide application equipment which does not bear a current decal affixed by the commissioner, except as provided under §725.J.</w:t>
      </w:r>
    </w:p>
    <w:p w14:paraId="011610FC" w14:textId="77777777" w:rsidR="00025415" w:rsidRPr="001531CD" w:rsidRDefault="00025415" w:rsidP="00025415">
      <w:pPr>
        <w:pStyle w:val="A"/>
      </w:pPr>
      <w:r w:rsidRPr="001531CD">
        <w:t>D.</w:t>
      </w:r>
      <w:r w:rsidRPr="001531CD">
        <w:tab/>
        <w:t>No person shall apply any ester compound of phenoxy herbicide containing an aliphatic alcohol radical with less than six carbon atoms at any location within Louisiana.</w:t>
      </w:r>
    </w:p>
    <w:p w14:paraId="469644C6" w14:textId="77777777" w:rsidR="00025415" w:rsidRPr="001531CD" w:rsidRDefault="00025415" w:rsidP="00025415">
      <w:pPr>
        <w:pStyle w:val="A"/>
      </w:pPr>
      <w:r w:rsidRPr="001531CD">
        <w:t>E.</w:t>
      </w:r>
      <w:r w:rsidRPr="001531CD">
        <w:tab/>
        <w:t>All pesticides shall be applied in accordance with label and labeling requirements.</w:t>
      </w:r>
    </w:p>
    <w:p w14:paraId="0DD946BC" w14:textId="77777777" w:rsidR="00025415" w:rsidRPr="001531CD" w:rsidRDefault="00025415" w:rsidP="00025415">
      <w:pPr>
        <w:pStyle w:val="A"/>
      </w:pPr>
      <w:r w:rsidRPr="001531CD">
        <w:t>F.</w:t>
      </w:r>
      <w:r w:rsidRPr="001531CD">
        <w:tab/>
        <w:t>All persons who apply pesticides aerially must be certified as commercial applicators.</w:t>
      </w:r>
    </w:p>
    <w:p w14:paraId="637B6154" w14:textId="77777777" w:rsidR="00025415" w:rsidRPr="001531CD" w:rsidRDefault="00025415" w:rsidP="00025415">
      <w:pPr>
        <w:pStyle w:val="A"/>
      </w:pPr>
      <w:r w:rsidRPr="001531CD">
        <w:t>G.</w:t>
      </w:r>
      <w:r w:rsidRPr="001531CD">
        <w:tab/>
        <w:t>No person who is required under the provisions of R.S. 3:3243 to be licensed by the commissioner may dispose of any unused portions of pesticides and/or rinsate of pesticides at any location other than a site approved by the commissioner.</w:t>
      </w:r>
    </w:p>
    <w:p w14:paraId="0F51B4DA" w14:textId="77777777" w:rsidR="00025415" w:rsidRDefault="00025415" w:rsidP="00025415">
      <w:pPr>
        <w:pStyle w:val="A"/>
      </w:pPr>
      <w:r w:rsidRPr="001531CD">
        <w:t>H.</w:t>
      </w:r>
      <w:r w:rsidRPr="001531CD">
        <w:tab/>
        <w:t xml:space="preserve">Commercial pesticide applicators applying any concentrations of agricultural pesticides shall not make </w:t>
      </w:r>
      <w:r w:rsidRPr="001531CD">
        <w:lastRenderedPageBreak/>
        <w:t>applications from a height of greater than 18 feet for aerial applicators and 3 feet for ground applications, above the target field crops.</w:t>
      </w:r>
    </w:p>
    <w:p w14:paraId="4C93C0CC" w14:textId="77777777" w:rsidR="00170607" w:rsidRPr="001531CD" w:rsidRDefault="00170607" w:rsidP="00025415">
      <w:pPr>
        <w:pStyle w:val="A"/>
      </w:pPr>
      <w:r w:rsidRPr="00DE6387">
        <w:t>I.</w:t>
      </w:r>
      <w:r w:rsidRPr="00DE6387">
        <w:tab/>
        <w:t>No person shall make an application of any pesticide to a target site in such a manner or under such conditions that drift of the pesticide, which is avoidable through reasonable precautions, infringes on a non-target site.</w:t>
      </w:r>
    </w:p>
    <w:p w14:paraId="5B583563" w14:textId="77777777" w:rsidR="00CF626A" w:rsidRPr="001531CD" w:rsidRDefault="00025415" w:rsidP="00025415">
      <w:pPr>
        <w:pStyle w:val="AuthorityNote"/>
      </w:pPr>
      <w:r w:rsidRPr="001531CD">
        <w:t>AUTHORITY NOTE:</w:t>
      </w:r>
      <w:r w:rsidRPr="001531CD">
        <w:tab/>
        <w:t>Promulgated in accordance with R.S. 3:3203.</w:t>
      </w:r>
    </w:p>
    <w:p w14:paraId="62050AA7" w14:textId="77777777" w:rsidR="00CF626A" w:rsidRPr="001531CD" w:rsidRDefault="00CF626A">
      <w:pPr>
        <w:pStyle w:val="HistoricalNote"/>
      </w:pPr>
      <w:r w:rsidRPr="001531CD">
        <w:t>HISTORICAL NOTE:</w:t>
      </w:r>
      <w:r w:rsidRPr="001531CD">
        <w:tab/>
        <w:t>Promulgated by the Department of Agriculture, Advisory Commission on Pesticides, LR 9:189 (April 1983), amended LR 10</w:t>
      </w:r>
      <w:r w:rsidR="00025415" w:rsidRPr="001531CD">
        <w:t>:196 (March 1984), amended by Department of Agriculture and Forestry, Office of Agricultural and Environmental Sciences, Advisory Commission on Pestici</w:t>
      </w:r>
      <w:r w:rsidR="00170607">
        <w:t xml:space="preserve">des, LR 37:3477 (December 2011), </w:t>
      </w:r>
      <w:r w:rsidR="00170607" w:rsidRPr="00DE6387">
        <w:t>amended by Department of Agriculture and Forestry, Office of Agricultural and Environmental Sciences,</w:t>
      </w:r>
      <w:r w:rsidR="00170607">
        <w:t xml:space="preserve"> </w:t>
      </w:r>
      <w:r w:rsidR="00170607" w:rsidRPr="00DE6387">
        <w:t>LR 42:</w:t>
      </w:r>
      <w:r w:rsidR="00DD5869">
        <w:t>732 (May 2016).</w:t>
      </w:r>
    </w:p>
    <w:p w14:paraId="767693E3" w14:textId="77777777" w:rsidR="00025415" w:rsidRPr="001531CD" w:rsidRDefault="00025415" w:rsidP="00025415">
      <w:pPr>
        <w:pStyle w:val="Section"/>
      </w:pPr>
      <w:bookmarkStart w:id="2425" w:name="_Toc194293963"/>
      <w:bookmarkStart w:id="2426" w:name="_Toc224819231"/>
      <w:r w:rsidRPr="001531CD">
        <w:t>§1103.</w:t>
      </w:r>
      <w:r w:rsidRPr="001531CD">
        <w:tab/>
        <w:t>Restrictions on Application of Certain Pesticides</w:t>
      </w:r>
      <w:bookmarkEnd w:id="2425"/>
      <w:bookmarkEnd w:id="2426"/>
    </w:p>
    <w:p w14:paraId="3E1468E5" w14:textId="77777777" w:rsidR="00025415" w:rsidRPr="001531CD" w:rsidRDefault="00025415" w:rsidP="00025415">
      <w:pPr>
        <w:pStyle w:val="A"/>
      </w:pPr>
      <w:r w:rsidRPr="001531CD">
        <w:t>A.</w:t>
      </w:r>
      <w:r w:rsidRPr="001531CD">
        <w:tab/>
        <w:t>In addition to all other pesticides classified by EPA as restricted use pesticides, the pesticides listed in Subsection B of this Section are classified as restricted use pesticides within the state of Louisiana, except:</w:t>
      </w:r>
    </w:p>
    <w:p w14:paraId="3008F5BB" w14:textId="77777777" w:rsidR="00025415" w:rsidRPr="001531CD" w:rsidRDefault="00025415" w:rsidP="00025415">
      <w:pPr>
        <w:pStyle w:val="1"/>
      </w:pPr>
      <w:r w:rsidRPr="001531CD">
        <w:t>1.</w:t>
      </w:r>
      <w:r w:rsidRPr="001531CD">
        <w:tab/>
        <w:t>when formulated in concentration of 2 percent or less; or</w:t>
      </w:r>
    </w:p>
    <w:p w14:paraId="62C7C6EC" w14:textId="77777777" w:rsidR="00025415" w:rsidRPr="001531CD" w:rsidRDefault="00025415" w:rsidP="00025415">
      <w:pPr>
        <w:pStyle w:val="1"/>
      </w:pPr>
      <w:r w:rsidRPr="001531CD">
        <w:t>2.</w:t>
      </w:r>
      <w:r w:rsidRPr="001531CD">
        <w:tab/>
        <w:t>when formulated with fertilizer for use by homeowners; or</w:t>
      </w:r>
    </w:p>
    <w:p w14:paraId="25272A39" w14:textId="77777777" w:rsidR="00025415" w:rsidRPr="001531CD" w:rsidRDefault="00025415" w:rsidP="00025415">
      <w:pPr>
        <w:pStyle w:val="1"/>
      </w:pPr>
      <w:r w:rsidRPr="001531CD">
        <w:t>3.</w:t>
      </w:r>
      <w:r w:rsidRPr="001531CD">
        <w:tab/>
        <w:t>when formulated in containers of one quart or less or two pounds dry weight or less.</w:t>
      </w:r>
    </w:p>
    <w:p w14:paraId="6A8B820E" w14:textId="77777777" w:rsidR="00025415" w:rsidRDefault="00170607" w:rsidP="00025415">
      <w:pPr>
        <w:pStyle w:val="A"/>
      </w:pPr>
      <w:r w:rsidRPr="009C7B2D">
        <w:t>B.</w:t>
      </w:r>
      <w:r w:rsidRPr="009C7B2D">
        <w:tab/>
        <w:t>The following pesticides may not be applied by commercial applicators during the times set forth in this Rule in the areas listed in §1103.C, D and 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3996"/>
        <w:gridCol w:w="972"/>
      </w:tblGrid>
      <w:tr w:rsidR="00170607" w:rsidRPr="00604CD4" w14:paraId="143C4997" w14:textId="77777777" w:rsidTr="00170607">
        <w:trPr>
          <w:cantSplit/>
          <w:trHeight w:val="340"/>
          <w:jc w:val="center"/>
        </w:trPr>
        <w:tc>
          <w:tcPr>
            <w:tcW w:w="3996" w:type="dxa"/>
            <w:tcBorders>
              <w:top w:val="double" w:sz="6" w:space="0" w:color="000000"/>
              <w:bottom w:val="single" w:sz="6" w:space="0" w:color="000000"/>
            </w:tcBorders>
            <w:shd w:val="pct25" w:color="auto" w:fill="auto"/>
            <w:vAlign w:val="center"/>
          </w:tcPr>
          <w:p w14:paraId="05093984" w14:textId="77777777" w:rsidR="00170607" w:rsidRPr="009C7B2D" w:rsidRDefault="00170607" w:rsidP="00170607">
            <w:pPr>
              <w:keepNext/>
              <w:tabs>
                <w:tab w:val="left" w:pos="180"/>
                <w:tab w:val="left" w:pos="360"/>
                <w:tab w:val="left" w:pos="540"/>
                <w:tab w:val="left" w:pos="720"/>
                <w:tab w:val="left" w:pos="900"/>
                <w:tab w:val="left" w:pos="1080"/>
                <w:tab w:val="left" w:pos="1260"/>
              </w:tabs>
              <w:jc w:val="center"/>
              <w:rPr>
                <w:b/>
                <w:bCs/>
                <w:kern w:val="2"/>
                <w:sz w:val="16"/>
                <w:szCs w:val="16"/>
              </w:rPr>
            </w:pPr>
            <w:r w:rsidRPr="009C7B2D">
              <w:rPr>
                <w:b/>
                <w:bCs/>
                <w:kern w:val="2"/>
                <w:sz w:val="16"/>
                <w:szCs w:val="16"/>
              </w:rPr>
              <w:t>Chemical Name</w:t>
            </w:r>
          </w:p>
        </w:tc>
        <w:tc>
          <w:tcPr>
            <w:tcW w:w="972" w:type="dxa"/>
            <w:tcBorders>
              <w:top w:val="double" w:sz="6" w:space="0" w:color="000000"/>
              <w:bottom w:val="single" w:sz="6" w:space="0" w:color="000000"/>
            </w:tcBorders>
            <w:shd w:val="pct25" w:color="auto" w:fill="auto"/>
            <w:vAlign w:val="bottom"/>
          </w:tcPr>
          <w:p w14:paraId="4DF03C0B" w14:textId="77777777" w:rsidR="00170607" w:rsidRPr="009C7B2D" w:rsidRDefault="00170607" w:rsidP="00170607">
            <w:pPr>
              <w:keepNext/>
              <w:tabs>
                <w:tab w:val="left" w:pos="180"/>
                <w:tab w:val="left" w:pos="360"/>
                <w:tab w:val="left" w:pos="540"/>
                <w:tab w:val="left" w:pos="720"/>
                <w:tab w:val="left" w:pos="900"/>
                <w:tab w:val="left" w:pos="1080"/>
                <w:tab w:val="left" w:pos="1260"/>
              </w:tabs>
              <w:jc w:val="center"/>
              <w:rPr>
                <w:b/>
                <w:bCs/>
                <w:kern w:val="2"/>
                <w:sz w:val="16"/>
                <w:szCs w:val="16"/>
              </w:rPr>
            </w:pPr>
            <w:r w:rsidRPr="009C7B2D">
              <w:rPr>
                <w:b/>
                <w:bCs/>
                <w:kern w:val="2"/>
                <w:sz w:val="16"/>
                <w:szCs w:val="16"/>
              </w:rPr>
              <w:t>Common Name</w:t>
            </w:r>
          </w:p>
        </w:tc>
      </w:tr>
      <w:tr w:rsidR="00170607" w:rsidRPr="00604CD4" w14:paraId="7D0A80B2" w14:textId="77777777" w:rsidTr="00170607">
        <w:trPr>
          <w:cantSplit/>
          <w:trHeight w:val="171"/>
          <w:jc w:val="center"/>
        </w:trPr>
        <w:tc>
          <w:tcPr>
            <w:tcW w:w="3996" w:type="dxa"/>
            <w:tcBorders>
              <w:top w:val="single" w:sz="6" w:space="0" w:color="000000"/>
            </w:tcBorders>
          </w:tcPr>
          <w:p w14:paraId="67DFE64B"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1.</w:t>
            </w:r>
            <w:r w:rsidRPr="009C7B2D">
              <w:rPr>
                <w:kern w:val="2"/>
                <w:sz w:val="16"/>
                <w:szCs w:val="16"/>
              </w:rPr>
              <w:tab/>
              <w:t xml:space="preserve">4-amino-3, 5,6-trichloro-picolinic acid </w:t>
            </w:r>
          </w:p>
        </w:tc>
        <w:tc>
          <w:tcPr>
            <w:tcW w:w="972" w:type="dxa"/>
            <w:tcBorders>
              <w:top w:val="single" w:sz="6" w:space="0" w:color="000000"/>
            </w:tcBorders>
          </w:tcPr>
          <w:p w14:paraId="1392AD2E"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Picloram</w:t>
            </w:r>
          </w:p>
        </w:tc>
      </w:tr>
      <w:tr w:rsidR="00170607" w:rsidRPr="00604CD4" w14:paraId="2516AB62" w14:textId="77777777" w:rsidTr="00170607">
        <w:trPr>
          <w:cantSplit/>
          <w:trHeight w:val="163"/>
          <w:jc w:val="center"/>
        </w:trPr>
        <w:tc>
          <w:tcPr>
            <w:tcW w:w="3996" w:type="dxa"/>
          </w:tcPr>
          <w:p w14:paraId="16F81557"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2.</w:t>
            </w:r>
            <w:r w:rsidRPr="009C7B2D">
              <w:rPr>
                <w:kern w:val="2"/>
                <w:sz w:val="16"/>
                <w:szCs w:val="16"/>
              </w:rPr>
              <w:tab/>
              <w:t>Arsenic trioxide</w:t>
            </w:r>
          </w:p>
        </w:tc>
        <w:tc>
          <w:tcPr>
            <w:tcW w:w="972" w:type="dxa"/>
          </w:tcPr>
          <w:p w14:paraId="46577B01"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w:t>
            </w:r>
          </w:p>
        </w:tc>
      </w:tr>
      <w:tr w:rsidR="00170607" w:rsidRPr="00604CD4" w14:paraId="78274D6C" w14:textId="77777777" w:rsidTr="00170607">
        <w:trPr>
          <w:cantSplit/>
          <w:trHeight w:val="171"/>
          <w:jc w:val="center"/>
        </w:trPr>
        <w:tc>
          <w:tcPr>
            <w:tcW w:w="3996" w:type="dxa"/>
          </w:tcPr>
          <w:p w14:paraId="71B99628"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3.</w:t>
            </w:r>
            <w:r w:rsidRPr="009C7B2D">
              <w:rPr>
                <w:kern w:val="2"/>
                <w:sz w:val="16"/>
                <w:szCs w:val="16"/>
              </w:rPr>
              <w:tab/>
              <w:t>3-chlorophenoxy-alpha-propionamide</w:t>
            </w:r>
          </w:p>
        </w:tc>
        <w:tc>
          <w:tcPr>
            <w:tcW w:w="972" w:type="dxa"/>
          </w:tcPr>
          <w:p w14:paraId="77C26846"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3-CPA</w:t>
            </w:r>
          </w:p>
        </w:tc>
      </w:tr>
      <w:tr w:rsidR="00170607" w:rsidRPr="00604CD4" w14:paraId="1F28069E" w14:textId="77777777" w:rsidTr="00170607">
        <w:trPr>
          <w:cantSplit/>
          <w:trHeight w:val="163"/>
          <w:jc w:val="center"/>
        </w:trPr>
        <w:tc>
          <w:tcPr>
            <w:tcW w:w="3996" w:type="dxa"/>
          </w:tcPr>
          <w:p w14:paraId="16D21C27"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4.</w:t>
            </w:r>
            <w:r w:rsidRPr="009C7B2D">
              <w:rPr>
                <w:kern w:val="2"/>
                <w:sz w:val="16"/>
                <w:szCs w:val="16"/>
              </w:rPr>
              <w:tab/>
              <w:t>4-chlorophenoxy acetic acid</w:t>
            </w:r>
          </w:p>
        </w:tc>
        <w:tc>
          <w:tcPr>
            <w:tcW w:w="972" w:type="dxa"/>
          </w:tcPr>
          <w:p w14:paraId="158EB7A6"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4-CPA</w:t>
            </w:r>
          </w:p>
        </w:tc>
      </w:tr>
      <w:tr w:rsidR="00170607" w:rsidRPr="00604CD4" w14:paraId="64DB9F67" w14:textId="77777777" w:rsidTr="00170607">
        <w:trPr>
          <w:cantSplit/>
          <w:trHeight w:val="171"/>
          <w:jc w:val="center"/>
        </w:trPr>
        <w:tc>
          <w:tcPr>
            <w:tcW w:w="3996" w:type="dxa"/>
          </w:tcPr>
          <w:p w14:paraId="5D928E6C" w14:textId="77777777" w:rsidR="00170607" w:rsidRPr="009C7B2D" w:rsidRDefault="00170607" w:rsidP="00170607">
            <w:pPr>
              <w:tabs>
                <w:tab w:val="left" w:pos="360"/>
                <w:tab w:val="left" w:pos="540"/>
                <w:tab w:val="left" w:pos="720"/>
                <w:tab w:val="left" w:pos="900"/>
                <w:tab w:val="left" w:pos="1080"/>
                <w:tab w:val="left" w:pos="1260"/>
              </w:tabs>
              <w:ind w:left="367" w:hanging="360"/>
              <w:jc w:val="both"/>
              <w:rPr>
                <w:kern w:val="2"/>
                <w:sz w:val="16"/>
                <w:szCs w:val="16"/>
              </w:rPr>
            </w:pPr>
            <w:r w:rsidRPr="009C7B2D">
              <w:rPr>
                <w:kern w:val="2"/>
                <w:sz w:val="16"/>
                <w:szCs w:val="16"/>
              </w:rPr>
              <w:t>5.</w:t>
            </w:r>
            <w:r w:rsidRPr="009C7B2D">
              <w:rPr>
                <w:kern w:val="2"/>
                <w:sz w:val="16"/>
                <w:szCs w:val="16"/>
              </w:rPr>
              <w:tab/>
              <w:t>2,4-dichlorophenoxy acetic acid (all salts, all formulations)</w:t>
            </w:r>
          </w:p>
        </w:tc>
        <w:tc>
          <w:tcPr>
            <w:tcW w:w="972" w:type="dxa"/>
          </w:tcPr>
          <w:p w14:paraId="5A6EB9D2"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2,4-D</w:t>
            </w:r>
          </w:p>
        </w:tc>
      </w:tr>
      <w:tr w:rsidR="00170607" w:rsidRPr="00604CD4" w14:paraId="68D128F0" w14:textId="77777777" w:rsidTr="00170607">
        <w:trPr>
          <w:cantSplit/>
          <w:trHeight w:val="171"/>
          <w:jc w:val="center"/>
        </w:trPr>
        <w:tc>
          <w:tcPr>
            <w:tcW w:w="3996" w:type="dxa"/>
          </w:tcPr>
          <w:p w14:paraId="587F24C2"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6.</w:t>
            </w:r>
            <w:r>
              <w:rPr>
                <w:kern w:val="2"/>
                <w:sz w:val="16"/>
                <w:szCs w:val="16"/>
              </w:rPr>
              <w:tab/>
            </w:r>
            <w:r w:rsidRPr="009C7B2D">
              <w:rPr>
                <w:kern w:val="2"/>
                <w:sz w:val="16"/>
                <w:szCs w:val="16"/>
              </w:rPr>
              <w:t>4-(2,4-dichlorophenoxy) butyric</w:t>
            </w:r>
          </w:p>
        </w:tc>
        <w:tc>
          <w:tcPr>
            <w:tcW w:w="972" w:type="dxa"/>
          </w:tcPr>
          <w:p w14:paraId="20B2075C"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2,4-DB</w:t>
            </w:r>
          </w:p>
        </w:tc>
      </w:tr>
      <w:tr w:rsidR="00170607" w:rsidRPr="00604CD4" w14:paraId="29763C84" w14:textId="77777777" w:rsidTr="00170607">
        <w:trPr>
          <w:cantSplit/>
          <w:trHeight w:val="163"/>
          <w:jc w:val="center"/>
        </w:trPr>
        <w:tc>
          <w:tcPr>
            <w:tcW w:w="3996" w:type="dxa"/>
          </w:tcPr>
          <w:p w14:paraId="3B1C7B32" w14:textId="77777777" w:rsidR="00170607" w:rsidRPr="009C7B2D" w:rsidRDefault="00170607" w:rsidP="00170607">
            <w:pPr>
              <w:tabs>
                <w:tab w:val="left" w:pos="360"/>
                <w:tab w:val="left" w:pos="540"/>
                <w:tab w:val="left" w:pos="720"/>
                <w:tab w:val="left" w:pos="900"/>
                <w:tab w:val="left" w:pos="1080"/>
                <w:tab w:val="left" w:pos="1260"/>
              </w:tabs>
              <w:ind w:left="385" w:hanging="385"/>
              <w:jc w:val="both"/>
              <w:rPr>
                <w:kern w:val="2"/>
                <w:sz w:val="16"/>
                <w:szCs w:val="16"/>
              </w:rPr>
            </w:pPr>
            <w:r>
              <w:rPr>
                <w:kern w:val="2"/>
                <w:sz w:val="16"/>
                <w:szCs w:val="16"/>
              </w:rPr>
              <w:t>7.</w:t>
            </w:r>
            <w:r>
              <w:rPr>
                <w:kern w:val="2"/>
                <w:sz w:val="16"/>
                <w:szCs w:val="16"/>
              </w:rPr>
              <w:tab/>
            </w:r>
            <w:r w:rsidRPr="009C7B2D">
              <w:rPr>
                <w:kern w:val="2"/>
                <w:sz w:val="16"/>
                <w:szCs w:val="16"/>
              </w:rPr>
              <w:t>2,methoxy-3, 6-dichlorobenzoic acid (all salts, all formulations)</w:t>
            </w:r>
          </w:p>
        </w:tc>
        <w:tc>
          <w:tcPr>
            <w:tcW w:w="972" w:type="dxa"/>
          </w:tcPr>
          <w:p w14:paraId="4EAEF83E"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Dicamba</w:t>
            </w:r>
          </w:p>
        </w:tc>
      </w:tr>
      <w:tr w:rsidR="00170607" w:rsidRPr="00604CD4" w14:paraId="27E4B1D3" w14:textId="77777777" w:rsidTr="00170607">
        <w:trPr>
          <w:cantSplit/>
          <w:trHeight w:val="171"/>
          <w:jc w:val="center"/>
        </w:trPr>
        <w:tc>
          <w:tcPr>
            <w:tcW w:w="3996" w:type="dxa"/>
          </w:tcPr>
          <w:p w14:paraId="37FC4D33"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8.</w:t>
            </w:r>
            <w:r>
              <w:rPr>
                <w:kern w:val="2"/>
                <w:sz w:val="16"/>
                <w:szCs w:val="16"/>
              </w:rPr>
              <w:tab/>
            </w:r>
            <w:r w:rsidRPr="009C7B2D">
              <w:rPr>
                <w:kern w:val="2"/>
                <w:sz w:val="16"/>
                <w:szCs w:val="16"/>
              </w:rPr>
              <w:t>2-methyl-4-chlorophenoxyacetic acid</w:t>
            </w:r>
          </w:p>
        </w:tc>
        <w:tc>
          <w:tcPr>
            <w:tcW w:w="972" w:type="dxa"/>
          </w:tcPr>
          <w:p w14:paraId="652A6EAC"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 4-MCPA</w:t>
            </w:r>
          </w:p>
        </w:tc>
      </w:tr>
      <w:tr w:rsidR="00170607" w:rsidRPr="00604CD4" w14:paraId="37E4FDA3" w14:textId="77777777" w:rsidTr="00170607">
        <w:trPr>
          <w:cantSplit/>
          <w:trHeight w:val="163"/>
          <w:jc w:val="center"/>
        </w:trPr>
        <w:tc>
          <w:tcPr>
            <w:tcW w:w="3996" w:type="dxa"/>
          </w:tcPr>
          <w:p w14:paraId="0B86B05D"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9.</w:t>
            </w:r>
            <w:r>
              <w:rPr>
                <w:kern w:val="2"/>
                <w:sz w:val="16"/>
                <w:szCs w:val="16"/>
              </w:rPr>
              <w:tab/>
            </w:r>
            <w:r w:rsidRPr="009C7B2D">
              <w:rPr>
                <w:kern w:val="2"/>
                <w:sz w:val="16"/>
                <w:szCs w:val="16"/>
              </w:rPr>
              <w:t>4-(2 methyl-4-chlorophenoxy) butyric acid</w:t>
            </w:r>
          </w:p>
        </w:tc>
        <w:tc>
          <w:tcPr>
            <w:tcW w:w="972" w:type="dxa"/>
          </w:tcPr>
          <w:p w14:paraId="4928A8EA"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w:t>
            </w:r>
          </w:p>
        </w:tc>
      </w:tr>
      <w:tr w:rsidR="00170607" w:rsidRPr="00604CD4" w14:paraId="7B279F09" w14:textId="77777777" w:rsidTr="00170607">
        <w:trPr>
          <w:cantSplit/>
          <w:trHeight w:val="171"/>
          <w:jc w:val="center"/>
        </w:trPr>
        <w:tc>
          <w:tcPr>
            <w:tcW w:w="3996" w:type="dxa"/>
          </w:tcPr>
          <w:p w14:paraId="66E32DE1"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Pr>
                <w:kern w:val="2"/>
                <w:sz w:val="16"/>
                <w:szCs w:val="16"/>
              </w:rPr>
              <w:t>10.</w:t>
            </w:r>
            <w:r>
              <w:rPr>
                <w:kern w:val="2"/>
                <w:sz w:val="16"/>
                <w:szCs w:val="16"/>
              </w:rPr>
              <w:tab/>
            </w:r>
            <w:r w:rsidRPr="009C7B2D">
              <w:rPr>
                <w:kern w:val="2"/>
                <w:sz w:val="16"/>
                <w:szCs w:val="16"/>
              </w:rPr>
              <w:t>2-(2 methyl-4-chlorophenoxy)</w:t>
            </w:r>
          </w:p>
        </w:tc>
        <w:tc>
          <w:tcPr>
            <w:tcW w:w="972" w:type="dxa"/>
          </w:tcPr>
          <w:p w14:paraId="3463FE82"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2-MCPP</w:t>
            </w:r>
          </w:p>
        </w:tc>
      </w:tr>
      <w:tr w:rsidR="00170607" w:rsidRPr="00604CD4" w14:paraId="78EB058C" w14:textId="77777777" w:rsidTr="00170607">
        <w:trPr>
          <w:cantSplit/>
          <w:trHeight w:val="163"/>
          <w:jc w:val="center"/>
        </w:trPr>
        <w:tc>
          <w:tcPr>
            <w:tcW w:w="3996" w:type="dxa"/>
          </w:tcPr>
          <w:p w14:paraId="3A0D05FE" w14:textId="77777777"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11.</w:t>
            </w:r>
            <w:r>
              <w:rPr>
                <w:kern w:val="2"/>
                <w:sz w:val="16"/>
                <w:szCs w:val="16"/>
              </w:rPr>
              <w:tab/>
            </w:r>
            <w:r w:rsidRPr="009C7B2D">
              <w:rPr>
                <w:kern w:val="2"/>
                <w:sz w:val="16"/>
                <w:szCs w:val="16"/>
              </w:rPr>
              <w:t>Arsenic acid</w:t>
            </w:r>
          </w:p>
        </w:tc>
        <w:tc>
          <w:tcPr>
            <w:tcW w:w="972" w:type="dxa"/>
          </w:tcPr>
          <w:p w14:paraId="20ABC681" w14:textId="77777777"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Arsenic</w:t>
            </w:r>
          </w:p>
        </w:tc>
      </w:tr>
    </w:tbl>
    <w:p w14:paraId="6B40BF06" w14:textId="77777777" w:rsidR="00025415" w:rsidRPr="001531CD" w:rsidRDefault="00025415" w:rsidP="004528C4">
      <w:pPr>
        <w:pStyle w:val="A"/>
        <w:spacing w:after="0"/>
      </w:pPr>
    </w:p>
    <w:p w14:paraId="2DED2A10" w14:textId="77777777" w:rsidR="00606120" w:rsidRPr="009C7B2D" w:rsidRDefault="00606120" w:rsidP="00606120">
      <w:pPr>
        <w:pStyle w:val="A"/>
      </w:pPr>
      <w:r w:rsidRPr="009C7B2D">
        <w:t>C.</w:t>
      </w:r>
      <w:r w:rsidRPr="009C7B2D">
        <w:tab/>
        <w:t>The pesticides listed in §1103.B shall not be applied by commercial applicators between April 1 and September 15 in the following parishes, unless a waiver has been granted pursuant to §1107:</w:t>
      </w:r>
    </w:p>
    <w:p w14:paraId="7E737C67" w14:textId="77777777" w:rsidR="00606120" w:rsidRPr="009C7B2D" w:rsidRDefault="00606120" w:rsidP="00606120">
      <w:pPr>
        <w:pStyle w:val="1"/>
      </w:pPr>
      <w:r w:rsidRPr="009C7B2D">
        <w:t>1.</w:t>
      </w:r>
      <w:r w:rsidRPr="009C7B2D">
        <w:tab/>
        <w:t>Avoyelles;</w:t>
      </w:r>
    </w:p>
    <w:p w14:paraId="2F787E65" w14:textId="77777777" w:rsidR="00606120" w:rsidRPr="009C7B2D" w:rsidRDefault="00606120" w:rsidP="00606120">
      <w:pPr>
        <w:pStyle w:val="1"/>
      </w:pPr>
      <w:r w:rsidRPr="009C7B2D">
        <w:t>2.</w:t>
      </w:r>
      <w:r w:rsidRPr="009C7B2D">
        <w:tab/>
        <w:t>Bossier;</w:t>
      </w:r>
    </w:p>
    <w:p w14:paraId="3C95AFA6" w14:textId="77777777" w:rsidR="00606120" w:rsidRPr="009C7B2D" w:rsidRDefault="00606120" w:rsidP="00606120">
      <w:pPr>
        <w:pStyle w:val="1"/>
      </w:pPr>
      <w:r w:rsidRPr="009C7B2D">
        <w:t>3.</w:t>
      </w:r>
      <w:r w:rsidRPr="009C7B2D">
        <w:tab/>
        <w:t>Caddo;</w:t>
      </w:r>
    </w:p>
    <w:p w14:paraId="55804DAB" w14:textId="77777777" w:rsidR="00606120" w:rsidRPr="009C7B2D" w:rsidRDefault="00606120" w:rsidP="00606120">
      <w:pPr>
        <w:pStyle w:val="1"/>
      </w:pPr>
      <w:r w:rsidRPr="009C7B2D">
        <w:t>4.</w:t>
      </w:r>
      <w:r w:rsidRPr="009C7B2D">
        <w:tab/>
        <w:t>Caldwell;</w:t>
      </w:r>
    </w:p>
    <w:p w14:paraId="36307535" w14:textId="77777777" w:rsidR="00606120" w:rsidRPr="009C7B2D" w:rsidRDefault="00606120" w:rsidP="00606120">
      <w:pPr>
        <w:pStyle w:val="1"/>
      </w:pPr>
      <w:r w:rsidRPr="009C7B2D">
        <w:t>5.</w:t>
      </w:r>
      <w:r w:rsidRPr="009C7B2D">
        <w:tab/>
        <w:t>Catahoula;</w:t>
      </w:r>
    </w:p>
    <w:p w14:paraId="7C0D5528" w14:textId="77777777" w:rsidR="00606120" w:rsidRPr="002E0DAE" w:rsidRDefault="00606120" w:rsidP="00606120">
      <w:pPr>
        <w:pStyle w:val="1"/>
      </w:pPr>
      <w:r w:rsidRPr="009C7B2D">
        <w:t>6.</w:t>
      </w:r>
      <w:r w:rsidRPr="009C7B2D">
        <w:tab/>
        <w:t>Concordia;</w:t>
      </w:r>
    </w:p>
    <w:p w14:paraId="2688D6BE" w14:textId="77777777" w:rsidR="00606120" w:rsidRPr="009C7B2D" w:rsidRDefault="00606120" w:rsidP="00606120">
      <w:pPr>
        <w:pStyle w:val="1"/>
      </w:pPr>
      <w:r>
        <w:t>7</w:t>
      </w:r>
      <w:r w:rsidRPr="009C7B2D">
        <w:t>.</w:t>
      </w:r>
      <w:r w:rsidRPr="009C7B2D">
        <w:tab/>
        <w:t>East Carroll;</w:t>
      </w:r>
    </w:p>
    <w:p w14:paraId="6AA3108F" w14:textId="77777777" w:rsidR="00606120" w:rsidRPr="009C7B2D" w:rsidRDefault="00606120" w:rsidP="00606120">
      <w:pPr>
        <w:pStyle w:val="1"/>
      </w:pPr>
      <w:r>
        <w:t>8</w:t>
      </w:r>
      <w:r w:rsidRPr="009C7B2D">
        <w:t>.</w:t>
      </w:r>
      <w:r w:rsidRPr="009C7B2D">
        <w:tab/>
        <w:t>Evangeline</w:t>
      </w:r>
      <w:r>
        <w:t>, Wards 1, 3 and 5</w:t>
      </w:r>
      <w:r w:rsidRPr="009C7B2D">
        <w:t>;</w:t>
      </w:r>
    </w:p>
    <w:p w14:paraId="0CBF407A" w14:textId="77777777" w:rsidR="00606120" w:rsidRPr="009C7B2D" w:rsidRDefault="00606120" w:rsidP="00606120">
      <w:pPr>
        <w:pStyle w:val="1"/>
      </w:pPr>
      <w:r>
        <w:t>9</w:t>
      </w:r>
      <w:r w:rsidRPr="009C7B2D">
        <w:t>.</w:t>
      </w:r>
      <w:r w:rsidRPr="009C7B2D">
        <w:tab/>
        <w:t>Franklin;</w:t>
      </w:r>
    </w:p>
    <w:p w14:paraId="20194BD5" w14:textId="77777777" w:rsidR="00606120" w:rsidRPr="009C7B2D" w:rsidRDefault="00606120" w:rsidP="00606120">
      <w:pPr>
        <w:pStyle w:val="1"/>
      </w:pPr>
      <w:r>
        <w:t>10</w:t>
      </w:r>
      <w:r w:rsidRPr="009C7B2D">
        <w:t>.</w:t>
      </w:r>
      <w:r w:rsidRPr="009C7B2D">
        <w:tab/>
        <w:t>Grant;</w:t>
      </w:r>
    </w:p>
    <w:p w14:paraId="057EF71C" w14:textId="77777777" w:rsidR="00606120" w:rsidRPr="009C7B2D" w:rsidRDefault="00606120" w:rsidP="00606120">
      <w:pPr>
        <w:pStyle w:val="1"/>
      </w:pPr>
      <w:r>
        <w:t>11</w:t>
      </w:r>
      <w:r w:rsidRPr="009C7B2D">
        <w:t>.</w:t>
      </w:r>
      <w:r w:rsidRPr="009C7B2D">
        <w:tab/>
        <w:t>Madison;</w:t>
      </w:r>
    </w:p>
    <w:p w14:paraId="72DAA0A5" w14:textId="77777777" w:rsidR="00606120" w:rsidRPr="009C7B2D" w:rsidRDefault="00606120" w:rsidP="00606120">
      <w:pPr>
        <w:pStyle w:val="1"/>
      </w:pPr>
      <w:r>
        <w:t>12</w:t>
      </w:r>
      <w:r w:rsidRPr="009C7B2D">
        <w:t>.</w:t>
      </w:r>
      <w:r w:rsidRPr="009C7B2D">
        <w:tab/>
        <w:t>Morehouse;</w:t>
      </w:r>
    </w:p>
    <w:p w14:paraId="4851D1FA" w14:textId="77777777" w:rsidR="00606120" w:rsidRPr="009C7B2D" w:rsidRDefault="00606120" w:rsidP="00606120">
      <w:pPr>
        <w:pStyle w:val="1"/>
      </w:pPr>
      <w:r>
        <w:t>13</w:t>
      </w:r>
      <w:r w:rsidRPr="009C7B2D">
        <w:t>.</w:t>
      </w:r>
      <w:r w:rsidRPr="009C7B2D">
        <w:tab/>
        <w:t>Natchitoches;</w:t>
      </w:r>
    </w:p>
    <w:p w14:paraId="05F13D5D" w14:textId="77777777" w:rsidR="00606120" w:rsidRPr="009C7B2D" w:rsidRDefault="00606120" w:rsidP="00606120">
      <w:pPr>
        <w:pStyle w:val="1"/>
      </w:pPr>
      <w:r>
        <w:t>14</w:t>
      </w:r>
      <w:r w:rsidRPr="009C7B2D">
        <w:t>.</w:t>
      </w:r>
      <w:r w:rsidRPr="009C7B2D">
        <w:tab/>
        <w:t>Ouachita;</w:t>
      </w:r>
    </w:p>
    <w:p w14:paraId="12CBCE96" w14:textId="77777777" w:rsidR="00606120" w:rsidRPr="009C7B2D" w:rsidRDefault="00606120" w:rsidP="00606120">
      <w:pPr>
        <w:pStyle w:val="1"/>
      </w:pPr>
      <w:r>
        <w:t>15</w:t>
      </w:r>
      <w:r w:rsidRPr="009C7B2D">
        <w:t>.</w:t>
      </w:r>
      <w:r w:rsidRPr="009C7B2D">
        <w:tab/>
        <w:t>Pointe Coupee;</w:t>
      </w:r>
    </w:p>
    <w:p w14:paraId="2FC11401" w14:textId="77777777" w:rsidR="00606120" w:rsidRPr="009C7B2D" w:rsidRDefault="00606120" w:rsidP="00606120">
      <w:pPr>
        <w:pStyle w:val="1"/>
      </w:pPr>
      <w:r>
        <w:t>16</w:t>
      </w:r>
      <w:r w:rsidRPr="009C7B2D">
        <w:t>.</w:t>
      </w:r>
      <w:r w:rsidRPr="009C7B2D">
        <w:tab/>
        <w:t>Rapides;</w:t>
      </w:r>
    </w:p>
    <w:p w14:paraId="1D293718" w14:textId="77777777" w:rsidR="00606120" w:rsidRPr="009C7B2D" w:rsidRDefault="00606120" w:rsidP="00606120">
      <w:pPr>
        <w:pStyle w:val="1"/>
      </w:pPr>
      <w:r>
        <w:t>17</w:t>
      </w:r>
      <w:r w:rsidRPr="009C7B2D">
        <w:t>.</w:t>
      </w:r>
      <w:r w:rsidRPr="009C7B2D">
        <w:tab/>
        <w:t>Red River;</w:t>
      </w:r>
    </w:p>
    <w:p w14:paraId="51334732" w14:textId="77777777" w:rsidR="00606120" w:rsidRPr="009C7B2D" w:rsidRDefault="00606120" w:rsidP="00606120">
      <w:pPr>
        <w:pStyle w:val="1"/>
      </w:pPr>
      <w:r>
        <w:t>18</w:t>
      </w:r>
      <w:r w:rsidRPr="009C7B2D">
        <w:t>.</w:t>
      </w:r>
      <w:r w:rsidRPr="009C7B2D">
        <w:tab/>
        <w:t>Richland;</w:t>
      </w:r>
    </w:p>
    <w:p w14:paraId="373F1AD6" w14:textId="77777777" w:rsidR="00606120" w:rsidRPr="009C7B2D" w:rsidRDefault="00606120" w:rsidP="00606120">
      <w:pPr>
        <w:pStyle w:val="1"/>
      </w:pPr>
      <w:r>
        <w:t>19</w:t>
      </w:r>
      <w:r w:rsidRPr="009C7B2D">
        <w:t>.</w:t>
      </w:r>
      <w:r w:rsidRPr="009C7B2D">
        <w:tab/>
        <w:t>St. Landry;</w:t>
      </w:r>
    </w:p>
    <w:p w14:paraId="0AF55D23" w14:textId="77777777" w:rsidR="00606120" w:rsidRPr="009C7B2D" w:rsidRDefault="00606120" w:rsidP="00606120">
      <w:pPr>
        <w:pStyle w:val="1"/>
      </w:pPr>
      <w:r>
        <w:t>20</w:t>
      </w:r>
      <w:r w:rsidRPr="009C7B2D">
        <w:t>.</w:t>
      </w:r>
      <w:r w:rsidRPr="009C7B2D">
        <w:tab/>
        <w:t>Tensas;</w:t>
      </w:r>
    </w:p>
    <w:p w14:paraId="0202AF95" w14:textId="77777777" w:rsidR="00606120" w:rsidRPr="009C7B2D" w:rsidRDefault="00606120" w:rsidP="00606120">
      <w:pPr>
        <w:pStyle w:val="1"/>
      </w:pPr>
      <w:r>
        <w:t>21.</w:t>
      </w:r>
      <w:r>
        <w:tab/>
        <w:t>West Carroll.</w:t>
      </w:r>
    </w:p>
    <w:p w14:paraId="3C168C85" w14:textId="77777777" w:rsidR="00606120" w:rsidRPr="009C7B2D" w:rsidRDefault="00606120" w:rsidP="00606120">
      <w:pPr>
        <w:pStyle w:val="A"/>
      </w:pPr>
      <w:r w:rsidRPr="009C7B2D">
        <w:t>D.</w:t>
      </w:r>
      <w:r w:rsidRPr="009C7B2D">
        <w:tab/>
        <w:t>The pesticides listed in §1103.B shall not be applied by commercial applicators between March 1 and June 15 in the area between the Mississippi River and Highway 61 in the parishes of St. James and St. John the Baptist.</w:t>
      </w:r>
    </w:p>
    <w:p w14:paraId="4819964C" w14:textId="77777777" w:rsidR="00606120" w:rsidRPr="009C7B2D" w:rsidRDefault="00606120" w:rsidP="00606120">
      <w:pPr>
        <w:pStyle w:val="A"/>
      </w:pPr>
      <w:r w:rsidRPr="009C7B2D">
        <w:t>E.</w:t>
      </w:r>
      <w:r w:rsidRPr="009C7B2D">
        <w:tab/>
        <w:t>The pesticides listed in §1103.B shall not be applied by commercial applicators in the parish of Plaquemines.</w:t>
      </w:r>
    </w:p>
    <w:p w14:paraId="18A7B322" w14:textId="77777777" w:rsidR="00606120" w:rsidRPr="009C7B2D" w:rsidRDefault="00606120" w:rsidP="00606120">
      <w:pPr>
        <w:pStyle w:val="A"/>
      </w:pPr>
      <w:r w:rsidRPr="009C7B2D">
        <w:t>F.</w:t>
      </w:r>
      <w:r w:rsidRPr="009C7B2D">
        <w:tab/>
        <w:t>No commercial applicator may make application of the products listed in §1103.B and the following pesticides when the wind speed is at 10 miles per hour or above:</w:t>
      </w:r>
    </w:p>
    <w:p w14:paraId="748FEACD" w14:textId="77777777" w:rsidR="00606120" w:rsidRPr="009C7B2D" w:rsidRDefault="00606120" w:rsidP="00606120">
      <w:pPr>
        <w:pStyle w:val="1"/>
      </w:pPr>
      <w:r w:rsidRPr="009C7B2D">
        <w:t>1.</w:t>
      </w:r>
      <w:r w:rsidRPr="009C7B2D">
        <w:tab/>
        <w:t>3</w:t>
      </w:r>
      <w:r w:rsidRPr="00C7005D">
        <w:rPr>
          <w:vertAlign w:val="superscript"/>
        </w:rPr>
        <w:t>1</w:t>
      </w:r>
      <w:r w:rsidRPr="009C7B2D">
        <w:t>4</w:t>
      </w:r>
      <w:r w:rsidRPr="009C7B2D">
        <w:rPr>
          <w:vertAlign w:val="superscript"/>
        </w:rPr>
        <w:t>1</w:t>
      </w:r>
      <w:r w:rsidRPr="009C7B2D">
        <w:t>-Dichloropropionanilide―Propanil;</w:t>
      </w:r>
    </w:p>
    <w:p w14:paraId="502FB74D" w14:textId="77777777" w:rsidR="00606120" w:rsidRPr="009C7B2D" w:rsidRDefault="00606120" w:rsidP="00606120">
      <w:pPr>
        <w:pStyle w:val="1"/>
      </w:pPr>
      <w:r w:rsidRPr="009C7B2D">
        <w:t>2.</w:t>
      </w:r>
      <w:r w:rsidRPr="009C7B2D">
        <w:tab/>
        <w:t>1:1-Dimeth</w:t>
      </w:r>
      <w:r>
        <w:t xml:space="preserve">yl-4, 41-Bipyridinium (cation)― </w:t>
      </w:r>
      <w:r w:rsidRPr="009C7B2D">
        <w:t>Paraquat;</w:t>
      </w:r>
    </w:p>
    <w:p w14:paraId="5197F67D" w14:textId="77777777" w:rsidR="00606120" w:rsidRPr="009C7B2D" w:rsidRDefault="00606120" w:rsidP="00606120">
      <w:pPr>
        <w:pStyle w:val="1"/>
      </w:pPr>
      <w:r w:rsidRPr="009C7B2D">
        <w:t>3.</w:t>
      </w:r>
      <w:r w:rsidRPr="009C7B2D">
        <w:tab/>
        <w:t>Isopropylamine salt of glyphosate―Glyphosate and other salts of glyphosate;</w:t>
      </w:r>
    </w:p>
    <w:p w14:paraId="4DD7FA5E" w14:textId="77777777" w:rsidR="00606120" w:rsidRDefault="00606120" w:rsidP="00606120">
      <w:pPr>
        <w:pStyle w:val="1"/>
      </w:pPr>
      <w:r w:rsidRPr="009C7B2D">
        <w:t>4.</w:t>
      </w:r>
      <w:r w:rsidRPr="009C7B2D">
        <w:tab/>
        <w:t>Glufosinate-ammonium</w:t>
      </w:r>
      <w:r>
        <w:t>.</w:t>
      </w:r>
    </w:p>
    <w:p w14:paraId="71ACC3A2" w14:textId="77777777" w:rsidR="00A72651" w:rsidRDefault="00A72651" w:rsidP="00A72651">
      <w:pPr>
        <w:pStyle w:val="A"/>
      </w:pPr>
      <w:r>
        <w:rPr>
          <w:color w:val="000000"/>
        </w:rPr>
        <w:t>G.</w:t>
      </w:r>
      <w:r>
        <w:rPr>
          <w:color w:val="000000"/>
        </w:rPr>
        <w:tab/>
      </w:r>
      <w:r w:rsidRPr="006A7BD8">
        <w:rPr>
          <w:color w:val="000000"/>
        </w:rPr>
        <w:t xml:space="preserve">Those pesticides containing 2,4-D choline salt are exempt from the restrictions set forth in §1103.C only when being </w:t>
      </w:r>
      <w:r w:rsidRPr="00A72651">
        <w:t>applied</w:t>
      </w:r>
      <w:r w:rsidRPr="006A7BD8">
        <w:rPr>
          <w:color w:val="000000"/>
        </w:rPr>
        <w:t xml:space="preserve"> to the following 2,4-D resistant crops: soybeans, cotton or corn.</w:t>
      </w:r>
    </w:p>
    <w:p w14:paraId="0BDA15BE" w14:textId="77777777" w:rsidR="00025415" w:rsidRPr="001531CD" w:rsidRDefault="00606120" w:rsidP="00606120">
      <w:pPr>
        <w:pStyle w:val="A"/>
        <w:tabs>
          <w:tab w:val="clear" w:pos="4680"/>
          <w:tab w:val="left" w:pos="630"/>
          <w:tab w:val="left" w:pos="990"/>
        </w:tabs>
      </w:pPr>
      <w:r>
        <w:t>H.</w:t>
      </w:r>
      <w:r>
        <w:tab/>
      </w:r>
      <w:r w:rsidR="00025415" w:rsidRPr="001531CD">
        <w:t>Reserved.</w:t>
      </w:r>
    </w:p>
    <w:p w14:paraId="4880BF1D" w14:textId="77777777" w:rsidR="00025415" w:rsidRPr="001531CD" w:rsidRDefault="00025415" w:rsidP="00025415">
      <w:pPr>
        <w:pStyle w:val="A"/>
      </w:pPr>
      <w:r w:rsidRPr="001531CD">
        <w:t>I.</w:t>
      </w:r>
      <w:r w:rsidRPr="001531CD">
        <w:tab/>
        <w:t>Hand injections of pesticides are exempt from the requirements of §1103.C.</w:t>
      </w:r>
    </w:p>
    <w:p w14:paraId="0E309201" w14:textId="77777777" w:rsidR="00511675" w:rsidRPr="00F01A59" w:rsidRDefault="00511675" w:rsidP="00511675">
      <w:pPr>
        <w:pStyle w:val="A"/>
      </w:pPr>
      <w:r w:rsidRPr="00F01A59">
        <w:t>J.</w:t>
      </w:r>
      <w:r w:rsidRPr="00F01A59">
        <w:tab/>
        <w:t xml:space="preserve">No person shall apply, use, or incorporate the use of any herbicide, as defined in §103, including but not limited to, those registered with and/or approved by the U.S. Environmental Protection Agency or the department, for the management, control, eradication or maintenance of weeds, grass, trees, shrubs, foliage, vegetation or other natural growth in any parish right-of-way, ditch, servitude, drainage area, roadside, road shoulder, green area, buffer zone, </w:t>
      </w:r>
      <w:r w:rsidRPr="00F01A59">
        <w:lastRenderedPageBreak/>
        <w:t>waterway, neutral ground or median in the unincorporated areas of St. Tammany Parish.</w:t>
      </w:r>
    </w:p>
    <w:p w14:paraId="785DFB5D" w14:textId="77777777" w:rsidR="00511675" w:rsidRPr="00F01A59" w:rsidRDefault="00511675" w:rsidP="00511675">
      <w:pPr>
        <w:pStyle w:val="1"/>
      </w:pPr>
      <w:r w:rsidRPr="00F01A59">
        <w:t>1.</w:t>
      </w:r>
      <w:r w:rsidRPr="00F01A59">
        <w:tab/>
        <w:t>Definitions as used in this Subsection</w:t>
      </w:r>
    </w:p>
    <w:p w14:paraId="4881182B" w14:textId="77777777" w:rsidR="00511675" w:rsidRPr="00F01A59" w:rsidRDefault="00511675" w:rsidP="00511675">
      <w:pPr>
        <w:pStyle w:val="a0"/>
      </w:pPr>
      <w:r w:rsidRPr="00F01A59">
        <w:rPr>
          <w:i/>
          <w:iCs/>
        </w:rPr>
        <w:t>Ditch</w:t>
      </w:r>
      <w:r w:rsidRPr="00F01A59">
        <w:t>―natural or dedicated area which provides for the containment or flow of water from rain or adjacent drainage areas or waterways such as streams, creeks, ponds, lakes or rivers.</w:t>
      </w:r>
    </w:p>
    <w:p w14:paraId="1B890D5A" w14:textId="77777777" w:rsidR="00511675" w:rsidRPr="00F01A59" w:rsidRDefault="00511675" w:rsidP="00511675">
      <w:pPr>
        <w:pStyle w:val="a0"/>
      </w:pPr>
      <w:r w:rsidRPr="00F01A59">
        <w:rPr>
          <w:i/>
          <w:iCs/>
        </w:rPr>
        <w:t>Drainage Area</w:t>
      </w:r>
      <w:r w:rsidRPr="00F01A59">
        <w:t>―an area maintained for the purpose of channeling or preventing accumulation of water from surrounding land.</w:t>
      </w:r>
    </w:p>
    <w:p w14:paraId="73D20677" w14:textId="77777777" w:rsidR="00511675" w:rsidRPr="00F01A59" w:rsidRDefault="00511675" w:rsidP="00511675">
      <w:pPr>
        <w:pStyle w:val="a0"/>
      </w:pPr>
      <w:r w:rsidRPr="00F01A59">
        <w:rPr>
          <w:i/>
          <w:iCs/>
        </w:rPr>
        <w:t>Easement</w:t>
      </w:r>
      <w:r w:rsidRPr="00F01A59">
        <w:t>―a designated right to use the property of another for a specific purpose, i.e., drainage, utility easement.</w:t>
      </w:r>
    </w:p>
    <w:p w14:paraId="5B4EFC17" w14:textId="77777777" w:rsidR="00511675" w:rsidRPr="00F01A59" w:rsidRDefault="00511675" w:rsidP="00511675">
      <w:pPr>
        <w:pStyle w:val="a0"/>
      </w:pPr>
      <w:r w:rsidRPr="00F01A59">
        <w:rPr>
          <w:i/>
          <w:iCs/>
        </w:rPr>
        <w:t>Median/Neutral Ground</w:t>
      </w:r>
      <w:r w:rsidRPr="00F01A59">
        <w:t>―the area dividing or separating a roadway and not used for right of passage.</w:t>
      </w:r>
    </w:p>
    <w:p w14:paraId="0029D7C0" w14:textId="77777777" w:rsidR="00511675" w:rsidRPr="00F01A59" w:rsidRDefault="00511675" w:rsidP="00511675">
      <w:pPr>
        <w:pStyle w:val="a0"/>
      </w:pPr>
      <w:r w:rsidRPr="00F01A59">
        <w:rPr>
          <w:i/>
          <w:iCs/>
        </w:rPr>
        <w:t>Right-of-Way</w:t>
      </w:r>
      <w:r w:rsidRPr="00F01A59">
        <w:t>―any public way, street, road, alley, easement, servitude or access, which was dedicated to or acquired by the St. Tammany Parish to provide means of access to abutting properties; whether paved, improved or unimproved, including those areas dedicated for proposed or future uses.</w:t>
      </w:r>
    </w:p>
    <w:p w14:paraId="6046889C" w14:textId="77777777" w:rsidR="00511675" w:rsidRPr="00F01A59" w:rsidRDefault="00511675" w:rsidP="00511675">
      <w:pPr>
        <w:pStyle w:val="a0"/>
      </w:pPr>
      <w:r w:rsidRPr="00F01A59">
        <w:rPr>
          <w:i/>
          <w:iCs/>
        </w:rPr>
        <w:t>Roadside/Road Shoulder</w:t>
      </w:r>
      <w:r w:rsidRPr="00F01A59">
        <w:t>―natural or dedicated areas which are parallel, contiguous to, abut, adjoin, border, edge, connect or approach any public right-of-way, road, street or highway.</w:t>
      </w:r>
    </w:p>
    <w:p w14:paraId="0CF3BACB" w14:textId="77777777" w:rsidR="00511675" w:rsidRPr="00F01A59" w:rsidRDefault="00511675" w:rsidP="00511675">
      <w:pPr>
        <w:pStyle w:val="a0"/>
      </w:pPr>
      <w:r w:rsidRPr="00F01A59">
        <w:rPr>
          <w:i/>
          <w:iCs/>
        </w:rPr>
        <w:t>Servitude</w:t>
      </w:r>
      <w:r w:rsidRPr="00F01A59">
        <w:t>―a right-of-way through or across property belonging to another.</w:t>
      </w:r>
    </w:p>
    <w:p w14:paraId="7D51B1BE" w14:textId="77777777" w:rsidR="00511675" w:rsidRPr="00F01A59" w:rsidRDefault="00511675" w:rsidP="00511675">
      <w:pPr>
        <w:pStyle w:val="1"/>
      </w:pPr>
      <w:r w:rsidRPr="00F01A59">
        <w:t>2.</w:t>
      </w:r>
      <w:r w:rsidRPr="00F01A59">
        <w:tab/>
        <w:t>Exemptions are hand held manual pump sprayers up to a maximum three-gallon capacity.</w:t>
      </w:r>
    </w:p>
    <w:p w14:paraId="421CC879" w14:textId="77777777" w:rsidR="00511675" w:rsidRPr="00F01A59" w:rsidRDefault="00511675" w:rsidP="00511675">
      <w:pPr>
        <w:pStyle w:val="A"/>
        <w:rPr>
          <w:bCs/>
        </w:rPr>
      </w:pPr>
      <w:r w:rsidRPr="00F01A59">
        <w:t>K.</w:t>
      </w:r>
      <w:r>
        <w:tab/>
      </w:r>
      <w:r w:rsidRPr="00F01A59">
        <w:t>An ultra low volume (ULV) malathion and a ULV pyrethroid insecticide (tank mixed) may be applied to control plant bugs in cotton only between sunrise on May 15 through sunrise on September 15 of each year, subject to the following.</w:t>
      </w:r>
    </w:p>
    <w:p w14:paraId="6543ACEF" w14:textId="77777777" w:rsidR="00511675" w:rsidRPr="00F01A59" w:rsidRDefault="00511675" w:rsidP="00511675">
      <w:pPr>
        <w:pStyle w:val="1"/>
      </w:pPr>
      <w:r w:rsidRPr="00F01A59">
        <w:t>1.</w:t>
      </w:r>
      <w:r w:rsidRPr="00F01A59">
        <w:tab/>
        <w:t>Applications shall be made at no less than seven</w:t>
      </w:r>
      <w:r>
        <w:t>-</w:t>
      </w:r>
      <w:r w:rsidRPr="00F01A59">
        <w:t>day intervals at an application rate not to exceed the individual pesticide product labels and with no other dilutions or tank mixes.</w:t>
      </w:r>
    </w:p>
    <w:p w14:paraId="704E4B00" w14:textId="77777777" w:rsidR="00511675" w:rsidRPr="00F01A59" w:rsidRDefault="00511675" w:rsidP="00511675">
      <w:pPr>
        <w:pStyle w:val="1"/>
      </w:pPr>
      <w:r w:rsidRPr="00F01A59">
        <w:t>2.</w:t>
      </w:r>
      <w:r w:rsidRPr="00F01A59">
        <w:tab/>
        <w:t>Each application shall be reported, in writing and within 24 hours of the application, to the appropriate Boll Weevil Eradication Program district office by the farmer, agricultural consultant or owner/operator.</w:t>
      </w:r>
    </w:p>
    <w:p w14:paraId="06A03AB6" w14:textId="77777777" w:rsidR="00025415" w:rsidRPr="001531CD" w:rsidRDefault="00511675" w:rsidP="00511675">
      <w:pPr>
        <w:pStyle w:val="1"/>
      </w:pPr>
      <w:r w:rsidRPr="00F01A59">
        <w:t>3.</w:t>
      </w:r>
      <w:r w:rsidRPr="00F01A59">
        <w:tab/>
        <w:t>The report shall include the names and addresses of the farmer, agricultural consultant (if appropriate), owner/operator and applicator; the applicator’s number issued by the department; the field name or number; the number of acres treated; the name and EPA registration number of the pesticide product; and the application date and time.</w:t>
      </w:r>
    </w:p>
    <w:p w14:paraId="4BF90766" w14:textId="77777777" w:rsidR="00606120" w:rsidRDefault="00606120" w:rsidP="00606120">
      <w:pPr>
        <w:pStyle w:val="AuthorityNote"/>
      </w:pPr>
      <w:r w:rsidRPr="00DE6387">
        <w:t>AUTHORITY NOTE:</w:t>
      </w:r>
      <w:r w:rsidRPr="00DE6387">
        <w:tab/>
        <w:t>Promulgated in accordance with R.S. 3:3203, R.S. 3:3242 and R.S. 3:3249.</w:t>
      </w:r>
    </w:p>
    <w:p w14:paraId="2B9D9F22" w14:textId="77777777" w:rsidR="00C45A12" w:rsidRPr="001531CD" w:rsidRDefault="00CF626A" w:rsidP="00C45A12">
      <w:pPr>
        <w:pStyle w:val="HistoricalNote"/>
      </w:pPr>
      <w:r w:rsidRPr="001531CD">
        <w:t>HISTORICAL NOTE:</w:t>
      </w:r>
      <w:r w:rsidRPr="001531CD">
        <w:tab/>
        <w:t xml:space="preserve">Promulgated by the Department of Agriculture, Advisory Commission on Pesticides, LR 9:189 (April 1983), amended LR 10:196 (March 1984), LR 11:219 (March 1985), LR 11:942 (October 1985), amended by the Department of </w:t>
      </w:r>
      <w:r w:rsidRPr="001531CD">
        <w:t>Agriculture and Forestry, Office of Agricultural and Environmental Sciences, LR 18:953 (September 1992), LR 19:1119 (September 1993), LR 21:668 (July 1995), LR 24:281 (February 1998), LR 24:2076 (November 1998), LR 26:1428 (July 2000), LR 26:1966 (September 2000), LR 27:279 (March 2</w:t>
      </w:r>
      <w:r w:rsidR="00C93EED" w:rsidRPr="001531CD">
        <w:t>001), LR 27:1672 (October 200</w:t>
      </w:r>
      <w:r w:rsidR="0005548B" w:rsidRPr="001531CD">
        <w:t>1), LR 33:1855 (September 2007), LR 35:628 (April 2009)</w:t>
      </w:r>
      <w:r w:rsidR="002463BC" w:rsidRPr="001531CD">
        <w:t>, LR 36:1980 (September 2010)</w:t>
      </w:r>
      <w:r w:rsidR="00EF3FB6" w:rsidRPr="001531CD">
        <w:t>, LR 37:269 (January 2011)</w:t>
      </w:r>
      <w:r w:rsidR="00025415" w:rsidRPr="001531CD">
        <w:t>, LR 37:809 (March 2011), amended by Department of Agriculture and Forestry, Office of Agricultural and Environmental Sciences, Advisory Commission on Pesticides, LR 37:</w:t>
      </w:r>
      <w:r w:rsidR="000A0741" w:rsidRPr="001531CD">
        <w:t>3478 (December 2011), amended by the Department of Agriculture and Forestry, Advisory Commission on Pesticides, LR 38:1556 (</w:t>
      </w:r>
      <w:r w:rsidR="00ED507B" w:rsidRPr="001531CD">
        <w:t>July</w:t>
      </w:r>
      <w:r w:rsidR="000A0741" w:rsidRPr="001531CD">
        <w:t xml:space="preserve"> 2012)</w:t>
      </w:r>
      <w:r w:rsidR="00606120">
        <w:t xml:space="preserve">, </w:t>
      </w:r>
      <w:r w:rsidR="00606120" w:rsidRPr="00DE6387">
        <w:t xml:space="preserve">amended by the Department of Agriculture and Forestry, </w:t>
      </w:r>
      <w:r w:rsidR="00606120">
        <w:t xml:space="preserve">Office of Agriculture and Environmental Sciences, </w:t>
      </w:r>
      <w:r w:rsidR="00606120" w:rsidRPr="00DE6387">
        <w:t>LR 42:</w:t>
      </w:r>
      <w:r w:rsidR="00511675">
        <w:t>732 (May 2016)</w:t>
      </w:r>
      <w:r w:rsidR="00511675" w:rsidRPr="00511675">
        <w:t>, LR 47:1832 (December 2021</w:t>
      </w:r>
      <w:r w:rsidR="00A72651" w:rsidRPr="006A7BD8">
        <w:rPr>
          <w:color w:val="000000"/>
        </w:rPr>
        <w:t>), LR 49:</w:t>
      </w:r>
      <w:r w:rsidR="00A72651">
        <w:rPr>
          <w:color w:val="000000"/>
        </w:rPr>
        <w:t>641</w:t>
      </w:r>
      <w:r w:rsidR="00A72651" w:rsidRPr="006A7BD8">
        <w:rPr>
          <w:color w:val="000000"/>
        </w:rPr>
        <w:t xml:space="preserve"> (April 2023).</w:t>
      </w:r>
    </w:p>
    <w:p w14:paraId="58EEB557" w14:textId="77777777" w:rsidR="00025415" w:rsidRPr="001531CD" w:rsidRDefault="00025415" w:rsidP="00025415">
      <w:pPr>
        <w:pStyle w:val="Section"/>
      </w:pPr>
      <w:bookmarkStart w:id="2427" w:name="_Toc194293964"/>
      <w:bookmarkStart w:id="2428" w:name="_Toc224819232"/>
      <w:r w:rsidRPr="001531CD">
        <w:t>§1105.</w:t>
      </w:r>
      <w:r w:rsidRPr="001531CD">
        <w:tab/>
        <w:t>Fixed Wing Aircraft; Standards for Commercial Aerial Pesticide Applications</w:t>
      </w:r>
      <w:bookmarkEnd w:id="2427"/>
      <w:bookmarkEnd w:id="2428"/>
    </w:p>
    <w:p w14:paraId="58AFAA36" w14:textId="77777777" w:rsidR="00025415" w:rsidRPr="001531CD" w:rsidRDefault="00025415" w:rsidP="00025415">
      <w:pPr>
        <w:pStyle w:val="A"/>
      </w:pPr>
      <w:r w:rsidRPr="001531CD">
        <w:t>A.</w:t>
      </w:r>
      <w:r w:rsidRPr="001531CD">
        <w:tab/>
        <w:t>Commercial aerial pesticide applicators, with the single exception of aerial mosquito pest control applicators, shall adhere to the following standards for fixed wing aircraft, regarding boom configurations, nozzle angles, and volume of pesticides per acre.</w:t>
      </w:r>
    </w:p>
    <w:p w14:paraId="6621D120" w14:textId="77777777" w:rsidR="00025415" w:rsidRPr="001531CD" w:rsidRDefault="00025415" w:rsidP="00025415">
      <w:pPr>
        <w:pStyle w:val="1"/>
      </w:pPr>
      <w:r w:rsidRPr="001531CD">
        <w:t>1.</w:t>
      </w:r>
      <w:r w:rsidRPr="001531CD">
        <w:tab/>
        <w:t>The effective spray boom length shall not exceed 75 percent of the length of the wing (wing tip to wing tip) on which the boom is attached.</w:t>
      </w:r>
    </w:p>
    <w:p w14:paraId="3A60ADF7" w14:textId="77777777" w:rsidR="00025415" w:rsidRPr="001531CD" w:rsidRDefault="00025415" w:rsidP="00025415">
      <w:pPr>
        <w:pStyle w:val="1"/>
      </w:pPr>
      <w:r w:rsidRPr="001531CD">
        <w:t>2.</w:t>
      </w:r>
      <w:r w:rsidRPr="001531CD">
        <w:tab/>
        <w:t>Except as follows, all spray nozzles shall be oriented to discharge straight back toward the rear of the aircraft. When applying insecticides by aircraft, with a maximum flying speed of less than 120 miles per hour, the applicator shall have the option to position nozzles at an angle of 45 degrees down from straight back or 45 degrees back from straight down.</w:t>
      </w:r>
    </w:p>
    <w:p w14:paraId="29FEA171" w14:textId="77777777" w:rsidR="00025415" w:rsidRPr="001531CD" w:rsidRDefault="00025415" w:rsidP="00025415">
      <w:pPr>
        <w:pStyle w:val="1"/>
      </w:pPr>
      <w:r w:rsidRPr="001531CD">
        <w:t>3.</w:t>
      </w:r>
      <w:r w:rsidRPr="001531CD">
        <w:tab/>
        <w:t>The spray boom pressure shall not exceed a maximum of 40 pounds per square inch (40 PSI).</w:t>
      </w:r>
    </w:p>
    <w:p w14:paraId="2884352F" w14:textId="77777777" w:rsidR="00025415" w:rsidRPr="001531CD" w:rsidRDefault="00025415" w:rsidP="00025415">
      <w:pPr>
        <w:pStyle w:val="1"/>
      </w:pPr>
      <w:r w:rsidRPr="001531CD">
        <w:t>4.</w:t>
      </w:r>
      <w:r w:rsidRPr="001531CD">
        <w:tab/>
        <w:t>When disc and core type nozzles are used for herbicide, desiccant, or defoliant applications, a number 46 or larger core must be used.</w:t>
      </w:r>
    </w:p>
    <w:p w14:paraId="72F90A56" w14:textId="77777777" w:rsidR="00025415" w:rsidRPr="001531CD" w:rsidRDefault="00025415" w:rsidP="00025415">
      <w:pPr>
        <w:pStyle w:val="1"/>
        <w:rPr>
          <w:strike/>
        </w:rPr>
      </w:pPr>
      <w:r w:rsidRPr="001531CD">
        <w:t>5.</w:t>
      </w:r>
      <w:r w:rsidRPr="001531CD">
        <w:tab/>
        <w:t>Unless further restricted by other regulations or labeling herbicides shall be applied in a minimum of five gallons of total spray mix per acre.</w:t>
      </w:r>
    </w:p>
    <w:p w14:paraId="570E8345" w14:textId="77777777" w:rsidR="00025415" w:rsidRPr="001531CD" w:rsidRDefault="00025415" w:rsidP="00025415">
      <w:pPr>
        <w:pStyle w:val="1"/>
      </w:pPr>
      <w:r w:rsidRPr="001531CD">
        <w:t>6.</w:t>
      </w:r>
      <w:r w:rsidRPr="001531CD">
        <w:tab/>
        <w:t>Unless further provided for by other regulations or labeling all other pesticides shall be applied in a minimum of one gallon of total spray mix per acre. With the following exception:</w:t>
      </w:r>
    </w:p>
    <w:p w14:paraId="62CEDBFC" w14:textId="77777777" w:rsidR="00025415" w:rsidRPr="001531CD" w:rsidRDefault="00025415" w:rsidP="00025415">
      <w:pPr>
        <w:pStyle w:val="a0"/>
        <w:rPr>
          <w:strike/>
        </w:rPr>
      </w:pPr>
      <w:r w:rsidRPr="001531CD">
        <w:t>a.</w:t>
      </w:r>
      <w:r w:rsidRPr="001531CD">
        <w:tab/>
        <w:t>insecticides applied in the Boll Weevil Eradication Program, which shall be applied in accordance with their labels.</w:t>
      </w:r>
    </w:p>
    <w:p w14:paraId="34DA3E4B" w14:textId="77777777" w:rsidR="00CF626A" w:rsidRPr="001531CD" w:rsidRDefault="00025415" w:rsidP="00025415">
      <w:pPr>
        <w:pStyle w:val="AuthorityNote"/>
      </w:pPr>
      <w:r w:rsidRPr="001531CD">
        <w:t>AUTHORITY NOTE: Promulgated in accordance with R.S. 3:3203.</w:t>
      </w:r>
    </w:p>
    <w:p w14:paraId="3394A4BB"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LR 18:953 (September 1992), amended LR 21:927 (September 199</w:t>
      </w:r>
      <w:r w:rsidR="00025415" w:rsidRPr="001531CD">
        <w:t>5), LR 26:1964 (September 2000), amended by Department of Agriculture and Forestry, Office of Agricultural and Environmental Sciences, Advisory Commission on Pesticides, LR 37:3480 (December 2011).</w:t>
      </w:r>
    </w:p>
    <w:p w14:paraId="68805978" w14:textId="77777777" w:rsidR="00025415" w:rsidRPr="001531CD" w:rsidRDefault="00025415" w:rsidP="00025415">
      <w:pPr>
        <w:pStyle w:val="Section"/>
      </w:pPr>
      <w:bookmarkStart w:id="2429" w:name="_Toc194293965"/>
      <w:bookmarkStart w:id="2430" w:name="_Toc224819233"/>
      <w:r w:rsidRPr="001531CD">
        <w:lastRenderedPageBreak/>
        <w:t>§1107.</w:t>
      </w:r>
      <w:r w:rsidRPr="001531CD">
        <w:tab/>
        <w:t>Waiver of Restrictions</w:t>
      </w:r>
      <w:bookmarkEnd w:id="2429"/>
      <w:bookmarkEnd w:id="2430"/>
    </w:p>
    <w:p w14:paraId="1EF551FF" w14:textId="77777777" w:rsidR="00025415" w:rsidRPr="001531CD" w:rsidRDefault="00025415" w:rsidP="00025415">
      <w:pPr>
        <w:pStyle w:val="A"/>
      </w:pPr>
      <w:r w:rsidRPr="001531CD">
        <w:t>A.</w:t>
      </w:r>
      <w:r w:rsidRPr="001531CD">
        <w:tab/>
        <w:t>No commercial applicator shall apply any of the pesticides listed in §1103.B in the parishes and during the periods specified in §1103.C without written authorization from the commissioner prior to such application, except as described in §1103.P.</w:t>
      </w:r>
    </w:p>
    <w:p w14:paraId="445771B6" w14:textId="77777777" w:rsidR="00025415" w:rsidRPr="001531CD" w:rsidRDefault="00025415" w:rsidP="00025415">
      <w:pPr>
        <w:pStyle w:val="A"/>
      </w:pPr>
      <w:r w:rsidRPr="001531CD">
        <w:t>B.</w:t>
      </w:r>
      <w:r w:rsidRPr="001531CD">
        <w:tab/>
        <w:t>The commissioner may waive the time restrictions on application of pesticides listed in §1103.B upon written request, as follows.</w:t>
      </w:r>
    </w:p>
    <w:p w14:paraId="69B2374B" w14:textId="77777777" w:rsidR="00025415" w:rsidRPr="001531CD" w:rsidRDefault="00025415" w:rsidP="00025415">
      <w:pPr>
        <w:pStyle w:val="1"/>
      </w:pPr>
      <w:r w:rsidRPr="001531CD">
        <w:t>1.</w:t>
      </w:r>
      <w:r w:rsidRPr="001531CD">
        <w:tab/>
        <w:t>Any commercial applicator desiring a waiver of any restriction contained in §1103 shall apply to the commissioner at least 24 hours prior to the date scheduled for application of the pesticide.</w:t>
      </w:r>
    </w:p>
    <w:p w14:paraId="750032D3" w14:textId="77777777" w:rsidR="00025415" w:rsidRPr="001531CD" w:rsidRDefault="00025415" w:rsidP="00025415">
      <w:pPr>
        <w:pStyle w:val="1"/>
      </w:pPr>
      <w:r w:rsidRPr="001531CD">
        <w:t>2.</w:t>
      </w:r>
      <w:r w:rsidRPr="001531CD">
        <w:tab/>
        <w:t>The application for waiver shall be submitted on a form provided by the commissioner and shall contain the following information:</w:t>
      </w:r>
    </w:p>
    <w:p w14:paraId="23AACF27" w14:textId="77777777" w:rsidR="00025415" w:rsidRPr="001531CD" w:rsidRDefault="00025415" w:rsidP="00025415">
      <w:pPr>
        <w:pStyle w:val="a0"/>
      </w:pPr>
      <w:r w:rsidRPr="001531CD">
        <w:t>a.</w:t>
      </w:r>
      <w:r w:rsidRPr="001531CD">
        <w:tab/>
        <w:t>the name and address of the person requesting the application;</w:t>
      </w:r>
    </w:p>
    <w:p w14:paraId="6AD9C071" w14:textId="77777777" w:rsidR="00025415" w:rsidRPr="001531CD" w:rsidRDefault="00025415" w:rsidP="00025415">
      <w:pPr>
        <w:pStyle w:val="a0"/>
      </w:pPr>
      <w:r w:rsidRPr="001531CD">
        <w:t>b.</w:t>
      </w:r>
      <w:r w:rsidRPr="001531CD">
        <w:tab/>
        <w:t>the name of the applicator who will actually make the application;</w:t>
      </w:r>
    </w:p>
    <w:p w14:paraId="3EB88E83" w14:textId="77777777" w:rsidR="00025415" w:rsidRPr="001531CD" w:rsidRDefault="00025415" w:rsidP="00025415">
      <w:pPr>
        <w:pStyle w:val="a0"/>
      </w:pPr>
      <w:r w:rsidRPr="001531CD">
        <w:t>c.</w:t>
      </w:r>
      <w:r w:rsidRPr="001531CD">
        <w:tab/>
        <w:t>the name of the owner-operator, if different from the applicator making the application;</w:t>
      </w:r>
    </w:p>
    <w:p w14:paraId="493FFAF3" w14:textId="77777777" w:rsidR="00025415" w:rsidRPr="001531CD" w:rsidRDefault="00025415" w:rsidP="00025415">
      <w:pPr>
        <w:pStyle w:val="a0"/>
      </w:pPr>
      <w:r w:rsidRPr="001531CD">
        <w:t>d.</w:t>
      </w:r>
      <w:r w:rsidRPr="001531CD">
        <w:tab/>
        <w:t>the location where the application will be made, including the crop and name and address of the landowner;</w:t>
      </w:r>
    </w:p>
    <w:p w14:paraId="368B216E" w14:textId="77777777" w:rsidR="00025415" w:rsidRPr="001531CD" w:rsidRDefault="00025415" w:rsidP="00025415">
      <w:pPr>
        <w:pStyle w:val="a0"/>
      </w:pPr>
      <w:r w:rsidRPr="001531CD">
        <w:t>e.</w:t>
      </w:r>
      <w:r w:rsidRPr="001531CD">
        <w:tab/>
        <w:t>the proposed date and hour when the application is scheduled; and</w:t>
      </w:r>
    </w:p>
    <w:p w14:paraId="128E5B0C" w14:textId="77777777" w:rsidR="00025415" w:rsidRPr="001531CD" w:rsidRDefault="00025415" w:rsidP="00025415">
      <w:pPr>
        <w:pStyle w:val="a0"/>
      </w:pPr>
      <w:r w:rsidRPr="001531CD">
        <w:t>f.</w:t>
      </w:r>
      <w:r w:rsidRPr="001531CD">
        <w:tab/>
        <w:t>any other information pertinent to the specific waiver application which may be required by the commissioner.</w:t>
      </w:r>
    </w:p>
    <w:p w14:paraId="7A4785EA" w14:textId="77777777" w:rsidR="00025415" w:rsidRPr="001531CD" w:rsidRDefault="00025415" w:rsidP="00025415">
      <w:pPr>
        <w:pStyle w:val="A"/>
      </w:pPr>
      <w:r w:rsidRPr="001531CD">
        <w:t>C.</w:t>
      </w:r>
      <w:r w:rsidRPr="001531CD">
        <w:tab/>
        <w:t>Both the commercial applicator and the person for whom the pesticide application will be made must sign and date the waiver application.</w:t>
      </w:r>
    </w:p>
    <w:p w14:paraId="24E968CE" w14:textId="77777777" w:rsidR="00CF626A" w:rsidRPr="001531CD" w:rsidRDefault="00025415" w:rsidP="00025415">
      <w:pPr>
        <w:pStyle w:val="AuthorityNote"/>
      </w:pPr>
      <w:r w:rsidRPr="001531CD">
        <w:t>AUTHORITY NOTE: Promulgated in accordance with R.S. 3:3203.</w:t>
      </w:r>
    </w:p>
    <w:p w14:paraId="296677FC" w14:textId="77777777" w:rsidR="00CF626A" w:rsidRPr="001531CD" w:rsidRDefault="00CF626A">
      <w:pPr>
        <w:pStyle w:val="HistoricalNote"/>
      </w:pPr>
      <w:r w:rsidRPr="001531CD">
        <w:t>HISTORICAL NOTE:</w:t>
      </w:r>
      <w:r w:rsidRPr="001531CD">
        <w:tab/>
        <w:t>Promulgated by the Department of Agriculture, Advisory Commission on Pesticides, LR 10:197 (March 1984), amended by the Department of Agriculture and Forestry, Office of Agricultural and Environmental S</w:t>
      </w:r>
      <w:r w:rsidR="00025415" w:rsidRPr="001531CD">
        <w:t>ciences, LR 27:279 (March 2001), amended by Department of Agriculture and Forestry, Office of Agricultural and Environmental Sciences, Advisory Commission on Pesticides, LR 37:3480 (December 2011).</w:t>
      </w:r>
    </w:p>
    <w:p w14:paraId="5B15CD85" w14:textId="77777777" w:rsidR="00025415" w:rsidRPr="001531CD" w:rsidRDefault="00025415" w:rsidP="00025415">
      <w:pPr>
        <w:pStyle w:val="Section"/>
      </w:pPr>
      <w:bookmarkStart w:id="2431" w:name="_Toc194293966"/>
      <w:bookmarkStart w:id="2432" w:name="_Toc224819234"/>
      <w:r w:rsidRPr="001531CD">
        <w:t>§1109.</w:t>
      </w:r>
      <w:r w:rsidRPr="001531CD">
        <w:tab/>
        <w:t>Special Restrictions on Commercial Aerial Pesticide Applications; Applications in the Rain and Buffer Zones</w:t>
      </w:r>
      <w:bookmarkEnd w:id="2431"/>
      <w:bookmarkEnd w:id="2432"/>
    </w:p>
    <w:p w14:paraId="6E7A5263" w14:textId="77777777" w:rsidR="00025415" w:rsidRPr="001531CD" w:rsidRDefault="00025415" w:rsidP="00025415">
      <w:pPr>
        <w:pStyle w:val="A"/>
      </w:pPr>
      <w:r w:rsidRPr="001531CD">
        <w:t>A.</w:t>
      </w:r>
      <w:r w:rsidRPr="001531CD">
        <w:tab/>
        <w:t>All aerial pesticide applicators are prohibited from making an application of any pesticide while it is raining. This prohibition shall not apply to a drizzle of rain so light as to not cause puddling or run-off water from the field.</w:t>
      </w:r>
    </w:p>
    <w:p w14:paraId="65B78F75" w14:textId="77777777" w:rsidR="00025415" w:rsidRPr="001531CD" w:rsidRDefault="00025415" w:rsidP="00025415">
      <w:pPr>
        <w:pStyle w:val="A"/>
      </w:pPr>
      <w:r w:rsidRPr="001531CD">
        <w:t>B.</w:t>
      </w:r>
      <w:r w:rsidRPr="001531CD">
        <w:tab/>
        <w:t xml:space="preserve">Unless further restricted by other regulations or labeling, commercial aerial pesticide applicators, with the single exception of aerial mosquito pest control applicators, are prohibited from making an application of any pesticide within 100 feet from the edge of the swath to any inhabited </w:t>
      </w:r>
      <w:r w:rsidRPr="001531CD">
        <w:t>structure, including but not limited to inhabited dwellings, hospitals, nursing homes and places of business. No aerial applicator, with the single exception of aerial mosquito pest control applicators, shall apply pesticides within 1000 feet of any school grounds during normal school hours.</w:t>
      </w:r>
    </w:p>
    <w:p w14:paraId="4E076022" w14:textId="77777777" w:rsidR="00025415" w:rsidRPr="001531CD" w:rsidRDefault="00025415" w:rsidP="00025415">
      <w:pPr>
        <w:pStyle w:val="AuthorityNote"/>
      </w:pPr>
      <w:r w:rsidRPr="001531CD">
        <w:t>AUTHORITY NOTE:</w:t>
      </w:r>
      <w:r w:rsidRPr="001531CD">
        <w:tab/>
        <w:t>Promulgated in accordance with R.S. 3:3203.</w:t>
      </w:r>
    </w:p>
    <w:p w14:paraId="0BFFD005" w14:textId="77777777" w:rsidR="00CF626A" w:rsidRPr="001531CD" w:rsidRDefault="00CF626A">
      <w:pPr>
        <w:pStyle w:val="HistoricalNote"/>
      </w:pPr>
      <w:r w:rsidRPr="001531CD">
        <w:t>HISTORICAL NOTE:</w:t>
      </w:r>
      <w:r w:rsidRPr="001531CD">
        <w:tab/>
        <w:t>Promulgated by the Department of Agriculture and Forestry, Office of Agriculture and Environmental Scien</w:t>
      </w:r>
      <w:r w:rsidR="00025415" w:rsidRPr="001531CD">
        <w:t>ces, LR 18:953 (September 1992), repromulgated by Department of Agriculture and Forestry, Office of Agricultural and Environmental Sciences, Advisory Commission on Pesticides, LR 37:3481 (December 2011).</w:t>
      </w:r>
    </w:p>
    <w:p w14:paraId="6FDC1738" w14:textId="77777777" w:rsidR="00025415" w:rsidRPr="001531CD" w:rsidRDefault="00025415" w:rsidP="00025415">
      <w:pPr>
        <w:pStyle w:val="Section"/>
      </w:pPr>
      <w:bookmarkStart w:id="2433" w:name="_Toc194293968"/>
      <w:bookmarkStart w:id="2434" w:name="_Toc224819235"/>
      <w:r w:rsidRPr="001531CD">
        <w:t>§1111.</w:t>
      </w:r>
      <w:r w:rsidRPr="001531CD">
        <w:tab/>
        <w:t>Special Restrictions on Pesticide Applications in Schools</w:t>
      </w:r>
      <w:bookmarkEnd w:id="2433"/>
      <w:bookmarkEnd w:id="2434"/>
    </w:p>
    <w:p w14:paraId="6973C384" w14:textId="77777777" w:rsidR="00025415" w:rsidRPr="001531CD" w:rsidRDefault="00025415" w:rsidP="00025415">
      <w:pPr>
        <w:pStyle w:val="A"/>
      </w:pPr>
      <w:r w:rsidRPr="001531CD">
        <w:t>A.</w:t>
      </w:r>
      <w:r w:rsidRPr="001531CD">
        <w:tab/>
        <w:t>Any person who applies or supervises the application of pesticides on a nonfee basis for grass and weed control and rodent and general pest control (roaches, wasps, and ants) or restricted use pesticides, in, on, or around school structures and grounds shall be a certified commercial applicator or under the supervision of a certified commercial applicator.</w:t>
      </w:r>
    </w:p>
    <w:p w14:paraId="192088AE" w14:textId="77777777" w:rsidR="00025415" w:rsidRPr="001531CD" w:rsidRDefault="00025415" w:rsidP="00025415">
      <w:pPr>
        <w:pStyle w:val="A"/>
      </w:pPr>
      <w:r w:rsidRPr="001531CD">
        <w:t>B.</w:t>
      </w:r>
      <w:r w:rsidRPr="001531CD">
        <w:tab/>
        <w:t>School systems with 10 or more schools shall employ a minimum of two certified commercial applicators. School systems with less than 10 schools shall employ a minimum of one certified commercial applicator.</w:t>
      </w:r>
    </w:p>
    <w:p w14:paraId="10283A01" w14:textId="77777777" w:rsidR="00025415" w:rsidRPr="001531CD" w:rsidRDefault="00025415" w:rsidP="00025415">
      <w:pPr>
        <w:pStyle w:val="A"/>
      </w:pPr>
      <w:r w:rsidRPr="001531CD">
        <w:t>C.</w:t>
      </w:r>
      <w:r w:rsidRPr="001531CD">
        <w:tab/>
        <w:t xml:space="preserve">The governing authority (including but not limited to superintendents, headmasters, school boards, board of directors, chief executive officer, or principals) shall prepare and submit in writing, for each school under its authority, to the director, an annual integrated pest management (IPM) plan for pest control for grass and weed control and rodent and general pest control (roaches, wasps, and ants) in, on, or around school structures and grounds. The IPM plan shall include all pest control methods employed, including pesticide and non-pesticide methods and strongly recommends the least toxic methods of control. The first IPM plan shall be submitted prior to any application of pesticides beginning March 1, 1995 and shall be submitted on an annual year of August 1 through July 31. The plan </w:t>
      </w:r>
      <w:r w:rsidR="004528C4" w:rsidRPr="001531CD">
        <w:t>s</w:t>
      </w:r>
      <w:r w:rsidRPr="001531CD">
        <w:t>hall be available for review, upon request, by the commissioner and the general public, during normal school hours, at each school, in the business office. The annual IPM plan shall include, but not be limited to the following:</w:t>
      </w:r>
    </w:p>
    <w:p w14:paraId="7245F414" w14:textId="77777777" w:rsidR="00025415" w:rsidRPr="001531CD" w:rsidRDefault="00025415" w:rsidP="00025415">
      <w:pPr>
        <w:pStyle w:val="1"/>
      </w:pPr>
      <w:r w:rsidRPr="001531CD">
        <w:t>1.</w:t>
      </w:r>
      <w:r w:rsidRPr="001531CD">
        <w:tab/>
        <w:t>school name and mailing address, physical address, telephone number and contact person;</w:t>
      </w:r>
    </w:p>
    <w:p w14:paraId="00B19A8E" w14:textId="77777777" w:rsidR="00025415" w:rsidRPr="001531CD" w:rsidRDefault="00025415" w:rsidP="00025415">
      <w:pPr>
        <w:pStyle w:val="1"/>
      </w:pPr>
      <w:r w:rsidRPr="001531CD">
        <w:t>2.</w:t>
      </w:r>
      <w:r w:rsidRPr="001531CD">
        <w:tab/>
        <w:t>name and license or place of business number of company(s) and certification numbers of applicators, if contracted;</w:t>
      </w:r>
    </w:p>
    <w:p w14:paraId="3882F3A8" w14:textId="77777777" w:rsidR="00025415" w:rsidRPr="001531CD" w:rsidRDefault="00025415" w:rsidP="00025415">
      <w:pPr>
        <w:pStyle w:val="1"/>
      </w:pPr>
      <w:r w:rsidRPr="001531CD">
        <w:t>3.</w:t>
      </w:r>
      <w:r w:rsidRPr="001531CD">
        <w:tab/>
        <w:t>name and certification number of certified commercial applicator(s) of school system;</w:t>
      </w:r>
    </w:p>
    <w:p w14:paraId="12CA451C" w14:textId="77777777" w:rsidR="00025415" w:rsidRPr="001531CD" w:rsidRDefault="00025415" w:rsidP="00025415">
      <w:pPr>
        <w:pStyle w:val="1"/>
      </w:pPr>
      <w:r w:rsidRPr="001531CD">
        <w:t>4.</w:t>
      </w:r>
      <w:r w:rsidRPr="001531CD">
        <w:tab/>
        <w:t>brand name and EPA registration number of all pesticides to be used;</w:t>
      </w:r>
    </w:p>
    <w:p w14:paraId="74C9F047" w14:textId="77777777" w:rsidR="00025415" w:rsidRPr="001531CD" w:rsidRDefault="00025415" w:rsidP="00025415">
      <w:pPr>
        <w:pStyle w:val="1"/>
      </w:pPr>
      <w:r w:rsidRPr="001531CD">
        <w:t>5.</w:t>
      </w:r>
      <w:r w:rsidRPr="001531CD">
        <w:tab/>
        <w:t>for each pesticide to be used a list of the following:</w:t>
      </w:r>
    </w:p>
    <w:p w14:paraId="0213BAF9" w14:textId="77777777" w:rsidR="00025415" w:rsidRPr="001531CD" w:rsidRDefault="00025415" w:rsidP="00025415">
      <w:pPr>
        <w:pStyle w:val="a0"/>
      </w:pPr>
      <w:r w:rsidRPr="001531CD">
        <w:t>a.</w:t>
      </w:r>
      <w:r w:rsidRPr="001531CD">
        <w:tab/>
        <w:t>pest to be controlled;</w:t>
      </w:r>
    </w:p>
    <w:p w14:paraId="49F89A94" w14:textId="77777777" w:rsidR="00025415" w:rsidRPr="001531CD" w:rsidRDefault="00025415" w:rsidP="00025415">
      <w:pPr>
        <w:pStyle w:val="a0"/>
      </w:pPr>
      <w:r w:rsidRPr="001531CD">
        <w:t>b.</w:t>
      </w:r>
      <w:r w:rsidRPr="001531CD">
        <w:tab/>
        <w:t>type of application to be used;</w:t>
      </w:r>
    </w:p>
    <w:p w14:paraId="614EFB7A" w14:textId="77777777" w:rsidR="00025415" w:rsidRPr="001531CD" w:rsidRDefault="00025415" w:rsidP="00025415">
      <w:pPr>
        <w:pStyle w:val="a0"/>
      </w:pPr>
      <w:r w:rsidRPr="001531CD">
        <w:lastRenderedPageBreak/>
        <w:t>c.</w:t>
      </w:r>
      <w:r w:rsidRPr="001531CD">
        <w:tab/>
        <w:t>location of application;</w:t>
      </w:r>
    </w:p>
    <w:p w14:paraId="2E1274C0" w14:textId="77777777" w:rsidR="00025415" w:rsidRPr="001531CD" w:rsidRDefault="00025415" w:rsidP="00025415">
      <w:pPr>
        <w:pStyle w:val="a0"/>
      </w:pPr>
      <w:r w:rsidRPr="001531CD">
        <w:t>d.</w:t>
      </w:r>
      <w:r w:rsidRPr="001531CD">
        <w:tab/>
        <w:t>restricted use pesticide or general use pesticide;</w:t>
      </w:r>
    </w:p>
    <w:p w14:paraId="1515C624" w14:textId="77777777" w:rsidR="00025415" w:rsidRPr="001531CD" w:rsidRDefault="00025415" w:rsidP="00025415">
      <w:pPr>
        <w:pStyle w:val="1"/>
      </w:pPr>
      <w:r w:rsidRPr="001531CD">
        <w:t>6.</w:t>
      </w:r>
      <w:r w:rsidRPr="001531CD">
        <w:tab/>
        <w:t>proposed location and date for non-certified applicator training;</w:t>
      </w:r>
    </w:p>
    <w:p w14:paraId="7F5F0520" w14:textId="77777777" w:rsidR="00025415" w:rsidRPr="001531CD" w:rsidRDefault="00025415" w:rsidP="00025415">
      <w:pPr>
        <w:pStyle w:val="1"/>
      </w:pPr>
      <w:r w:rsidRPr="001531CD">
        <w:t>7.</w:t>
      </w:r>
      <w:r w:rsidRPr="001531CD">
        <w:tab/>
        <w:t>other methods of pest control.</w:t>
      </w:r>
    </w:p>
    <w:p w14:paraId="7B54A9B6" w14:textId="77777777" w:rsidR="00025415" w:rsidRPr="001531CD" w:rsidRDefault="00025415" w:rsidP="00025415">
      <w:pPr>
        <w:pStyle w:val="A"/>
      </w:pPr>
      <w:r w:rsidRPr="001531CD">
        <w:t>D.</w:t>
      </w:r>
      <w:r w:rsidRPr="001531CD">
        <w:tab/>
        <w:t>Any deviation from the integrated pest management plan submitted shall be submitted in writing to the director, within 24 hours after any application.</w:t>
      </w:r>
    </w:p>
    <w:p w14:paraId="79FFAC84" w14:textId="77777777" w:rsidR="00025415" w:rsidRPr="001531CD" w:rsidRDefault="00025415" w:rsidP="00025415">
      <w:pPr>
        <w:pStyle w:val="A"/>
      </w:pPr>
      <w:r w:rsidRPr="001531CD">
        <w:t>E.</w:t>
      </w:r>
      <w:r w:rsidRPr="001531CD">
        <w:tab/>
        <w:t>Records of pesticide applications shall be maintained according to §2101 and records of inspections, identification, monitoring, evaluations, and pesticide applications for grass and weed control and general pest control, shall be maintained by the school and submitted with the annual integrated pest management plan to the department annually on a form prescribed by the department in accordance with §2101.</w:t>
      </w:r>
    </w:p>
    <w:p w14:paraId="608A3877" w14:textId="77777777" w:rsidR="00025415" w:rsidRPr="001531CD" w:rsidRDefault="00025415" w:rsidP="00025415">
      <w:pPr>
        <w:pStyle w:val="A"/>
      </w:pPr>
      <w:r w:rsidRPr="001531CD">
        <w:t>F.</w:t>
      </w:r>
      <w:r w:rsidRPr="001531CD">
        <w:tab/>
        <w:t>No pesticides shall be applied for general pest control inside school buildings and no restricted use pesticides shall be applied in, on or around school grounds when students are present or expected to be present for normal academic instruction or extracurricular activity for at least eight hours after application.</w:t>
      </w:r>
    </w:p>
    <w:p w14:paraId="31A51874" w14:textId="77777777" w:rsidR="00CF626A" w:rsidRPr="001531CD" w:rsidRDefault="00025415" w:rsidP="00025415">
      <w:pPr>
        <w:pStyle w:val="AuthorityNote"/>
      </w:pPr>
      <w:r w:rsidRPr="001531CD">
        <w:t>AUTHORITY NOTE:</w:t>
      </w:r>
      <w:r w:rsidRPr="001531CD">
        <w:tab/>
        <w:t>Promulgated in accordance with R.S. 3:3203, R.S. 3:3242 and R.S. 3:3249.</w:t>
      </w:r>
    </w:p>
    <w:p w14:paraId="25A7F136" w14:textId="77777777" w:rsidR="00CF626A" w:rsidRPr="001531CD" w:rsidRDefault="00CF626A">
      <w:pPr>
        <w:pStyle w:val="HistoricalNote"/>
      </w:pPr>
      <w:r w:rsidRPr="001531CD">
        <w:t>HISTORICAL NOTE:</w:t>
      </w:r>
      <w:r w:rsidRPr="001531CD">
        <w:tab/>
        <w:t>Promulgated by the Department of Agriculture and Forestry, Advisory Commission on Pesticides, LR 21:928 (September 1995), am</w:t>
      </w:r>
      <w:r w:rsidR="00370E6F" w:rsidRPr="001531CD">
        <w:t>ended LR 23:194 (February 1997), amended by Department of Agriculture and Forestry, Office of Agricultural and Environmental Sciences, Advisory Commission on Pesticides, LR 37:3481 (December 2011).</w:t>
      </w:r>
    </w:p>
    <w:p w14:paraId="36DD5AA4" w14:textId="77777777" w:rsidR="00370E6F" w:rsidRPr="001531CD" w:rsidRDefault="00370E6F" w:rsidP="00370E6F">
      <w:pPr>
        <w:pStyle w:val="Section"/>
      </w:pPr>
      <w:bookmarkStart w:id="2435" w:name="_Toc194293969"/>
      <w:bookmarkStart w:id="2436" w:name="_Toc224819236"/>
      <w:r w:rsidRPr="001531CD">
        <w:t>§1113.</w:t>
      </w:r>
      <w:r w:rsidRPr="001531CD">
        <w:tab/>
        <w:t>Complaints</w:t>
      </w:r>
      <w:bookmarkEnd w:id="2435"/>
      <w:bookmarkEnd w:id="2436"/>
    </w:p>
    <w:p w14:paraId="64EB1DFE" w14:textId="77777777" w:rsidR="00370E6F" w:rsidRPr="001531CD" w:rsidRDefault="00370E6F" w:rsidP="00370E6F">
      <w:pPr>
        <w:pStyle w:val="A"/>
      </w:pPr>
      <w:r w:rsidRPr="001531CD">
        <w:t>A.</w:t>
      </w:r>
      <w:r w:rsidRPr="001531CD">
        <w:tab/>
        <w:t>Persons filing complaints shall, at the same time the complaint is filed, execute a consent form granting access to the property for the purpose of inspection.</w:t>
      </w:r>
    </w:p>
    <w:p w14:paraId="2AEA8000" w14:textId="77777777" w:rsidR="00370E6F" w:rsidRPr="001531CD" w:rsidRDefault="00370E6F" w:rsidP="00370E6F">
      <w:pPr>
        <w:pStyle w:val="A"/>
      </w:pPr>
      <w:r w:rsidRPr="001531CD">
        <w:t>B.</w:t>
      </w:r>
      <w:r w:rsidRPr="001531CD">
        <w:tab/>
        <w:t>Each person filing a crop injury complaint must notify the commissioner at least 24 hours before the start of harvest of the alleged injured crop.</w:t>
      </w:r>
    </w:p>
    <w:p w14:paraId="013D5AF8" w14:textId="77777777" w:rsidR="00CF626A" w:rsidRPr="001531CD" w:rsidRDefault="00370E6F" w:rsidP="00370E6F">
      <w:pPr>
        <w:pStyle w:val="AuthorityNote"/>
      </w:pPr>
      <w:r w:rsidRPr="001531CD">
        <w:t>AUTHORITY NOTE:</w:t>
      </w:r>
      <w:r w:rsidRPr="001531CD">
        <w:tab/>
        <w:t>Promulgated in accordance with R.S. 3:3203 and R.S. 3:3255.</w:t>
      </w:r>
    </w:p>
    <w:p w14:paraId="29D77CD7" w14:textId="77777777" w:rsidR="00CF626A" w:rsidRPr="001531CD" w:rsidRDefault="00CF626A">
      <w:pPr>
        <w:pStyle w:val="HistoricalNote"/>
      </w:pPr>
      <w:r w:rsidRPr="001531CD">
        <w:t>HISTORICAL NOTE:</w:t>
      </w:r>
      <w:r w:rsidRPr="001531CD">
        <w:tab/>
        <w:t>Promulgated by the Department of Agriculture, Advisory Commission on Pes</w:t>
      </w:r>
      <w:r w:rsidR="00370E6F" w:rsidRPr="001531CD">
        <w:t>ticides, LR 10:197 (March 1984), amended by Department of Agriculture and Forestry, Office of Agricultural and Environmental Sciences, Advisory Commission on Pesticides, LR 37:3481 (December 2011).</w:t>
      </w:r>
    </w:p>
    <w:p w14:paraId="4ADD060B" w14:textId="77777777" w:rsidR="00370E6F" w:rsidRPr="001531CD" w:rsidRDefault="00370E6F" w:rsidP="00370E6F">
      <w:pPr>
        <w:pStyle w:val="Chapter"/>
      </w:pPr>
      <w:bookmarkStart w:id="2437" w:name="_Toc224819237"/>
      <w:r w:rsidRPr="001531CD">
        <w:t>Chapter 13</w:t>
      </w:r>
      <w:bookmarkStart w:id="2438" w:name="TOCT_SubC178"/>
      <w:r w:rsidRPr="001531CD">
        <w:t>.</w:t>
      </w:r>
      <w:r w:rsidRPr="001531CD">
        <w:tab/>
        <w:t>Pesticide Containers and Bulk Facilities</w:t>
      </w:r>
      <w:bookmarkEnd w:id="2437"/>
      <w:bookmarkEnd w:id="2438"/>
      <w:r w:rsidRPr="001531CD">
        <w:t xml:space="preserve"> </w:t>
      </w:r>
    </w:p>
    <w:p w14:paraId="1C3DB358" w14:textId="77777777" w:rsidR="00370E6F" w:rsidRPr="001531CD" w:rsidRDefault="00370E6F" w:rsidP="00370E6F">
      <w:pPr>
        <w:pStyle w:val="Section"/>
      </w:pPr>
      <w:bookmarkStart w:id="2439" w:name="_Toc224819238"/>
      <w:r w:rsidRPr="001531CD">
        <w:t>§1301.</w:t>
      </w:r>
      <w:r w:rsidRPr="001531CD">
        <w:tab/>
        <w:t>Pesticide Containers</w:t>
      </w:r>
      <w:bookmarkEnd w:id="2439"/>
      <w:r w:rsidRPr="001531CD">
        <w:t xml:space="preserve"> </w:t>
      </w:r>
    </w:p>
    <w:p w14:paraId="061602F3" w14:textId="77777777" w:rsidR="00370E6F" w:rsidRPr="001531CD" w:rsidRDefault="00370E6F" w:rsidP="00370E6F">
      <w:pPr>
        <w:pStyle w:val="A"/>
      </w:pPr>
      <w:r w:rsidRPr="001531CD">
        <w:t>A.</w:t>
      </w:r>
      <w:r w:rsidRPr="001531CD">
        <w:tab/>
        <w:t>Storage Areas for Full or Partially Full Pesticide Containers</w:t>
      </w:r>
    </w:p>
    <w:p w14:paraId="157BDECD" w14:textId="77777777" w:rsidR="00370E6F" w:rsidRPr="001531CD" w:rsidRDefault="00370E6F" w:rsidP="00370E6F">
      <w:pPr>
        <w:pStyle w:val="1"/>
      </w:pPr>
      <w:r w:rsidRPr="001531CD">
        <w:t>1.</w:t>
      </w:r>
      <w:r w:rsidRPr="001531CD">
        <w:tab/>
        <w:t>Pesticide containers shall be stored in a secure enclosure.</w:t>
      </w:r>
    </w:p>
    <w:p w14:paraId="4C1F0CA1" w14:textId="77777777" w:rsidR="00370E6F" w:rsidRPr="001531CD" w:rsidRDefault="00370E6F" w:rsidP="00370E6F">
      <w:pPr>
        <w:pStyle w:val="1"/>
      </w:pPr>
      <w:r w:rsidRPr="001531CD">
        <w:t>2.</w:t>
      </w:r>
      <w:r w:rsidRPr="001531CD">
        <w:tab/>
        <w:t>Pesticide containers shall be free of leaks.</w:t>
      </w:r>
    </w:p>
    <w:p w14:paraId="5E345221" w14:textId="77777777" w:rsidR="00370E6F" w:rsidRPr="001531CD" w:rsidRDefault="00370E6F" w:rsidP="00370E6F">
      <w:pPr>
        <w:pStyle w:val="1"/>
      </w:pPr>
      <w:r w:rsidRPr="001531CD">
        <w:t>3.</w:t>
      </w:r>
      <w:r w:rsidRPr="001531CD">
        <w:tab/>
        <w:t>The storage area shall be maintained in good condition, without unnecessary debris.</w:t>
      </w:r>
    </w:p>
    <w:p w14:paraId="183FAD6F" w14:textId="77777777" w:rsidR="00370E6F" w:rsidRPr="001531CD" w:rsidRDefault="00370E6F" w:rsidP="00370E6F">
      <w:pPr>
        <w:pStyle w:val="A"/>
      </w:pPr>
      <w:r w:rsidRPr="001531CD">
        <w:t>B.</w:t>
      </w:r>
      <w:r w:rsidRPr="001531CD">
        <w:tab/>
        <w:t>Pesticide containers shall be cleaned and disposed of according to the product label.</w:t>
      </w:r>
    </w:p>
    <w:p w14:paraId="5DED2EF3" w14:textId="77777777" w:rsidR="00370E6F" w:rsidRPr="001531CD" w:rsidRDefault="00370E6F" w:rsidP="00370E6F">
      <w:pPr>
        <w:pStyle w:val="A"/>
      </w:pPr>
      <w:r w:rsidRPr="001531CD">
        <w:t>C.</w:t>
      </w:r>
      <w:r w:rsidRPr="001531CD">
        <w:tab/>
        <w:t>Pesticide containers, ready for disposal, shall be stored in a secured area and shall be kept for no more than 90 days after the end of the product spraying season or 180 days if held for recycling.</w:t>
      </w:r>
    </w:p>
    <w:p w14:paraId="6F2EFFE2" w14:textId="77777777" w:rsidR="00370E6F" w:rsidRPr="001531CD" w:rsidRDefault="00370E6F" w:rsidP="00370E6F">
      <w:pPr>
        <w:pStyle w:val="A"/>
      </w:pPr>
      <w:r w:rsidRPr="001531CD">
        <w:t>D.</w:t>
      </w:r>
      <w:r w:rsidRPr="001531CD">
        <w:tab/>
        <w:t>Rinsate from pesticide container cleaning shall be used in the following manner:</w:t>
      </w:r>
    </w:p>
    <w:p w14:paraId="791B789C" w14:textId="77777777" w:rsidR="00370E6F" w:rsidRPr="001531CD" w:rsidRDefault="00370E6F" w:rsidP="00370E6F">
      <w:pPr>
        <w:pStyle w:val="1"/>
      </w:pPr>
      <w:r w:rsidRPr="001531CD">
        <w:t>1.</w:t>
      </w:r>
      <w:r w:rsidRPr="001531CD">
        <w:tab/>
        <w:t xml:space="preserve">in subsequent applications of the pesticide; or </w:t>
      </w:r>
    </w:p>
    <w:p w14:paraId="2DEEEE16" w14:textId="77777777" w:rsidR="00370E6F" w:rsidRPr="001531CD" w:rsidRDefault="00370E6F" w:rsidP="00370E6F">
      <w:pPr>
        <w:pStyle w:val="1"/>
      </w:pPr>
      <w:r w:rsidRPr="001531CD">
        <w:t>2.</w:t>
      </w:r>
      <w:r w:rsidRPr="001531CD">
        <w:tab/>
        <w:t>placed in a rinsate collection system dedicated to that pesticide and used according to the label and labeling by the end of that applicable pesticide’s spray season; or</w:t>
      </w:r>
    </w:p>
    <w:p w14:paraId="42308DBF" w14:textId="77777777" w:rsidR="00370E6F" w:rsidRPr="001531CD" w:rsidRDefault="00370E6F" w:rsidP="00370E6F">
      <w:pPr>
        <w:pStyle w:val="1"/>
      </w:pPr>
      <w:r w:rsidRPr="001531CD">
        <w:t>3.</w:t>
      </w:r>
      <w:r w:rsidRPr="001531CD">
        <w:tab/>
        <w:t>disposed in a permitted waste facility.</w:t>
      </w:r>
    </w:p>
    <w:p w14:paraId="5BBAA45D" w14:textId="77777777" w:rsidR="00CF626A" w:rsidRPr="001531CD" w:rsidRDefault="00370E6F" w:rsidP="00370E6F">
      <w:pPr>
        <w:pStyle w:val="AuthorityNote"/>
      </w:pPr>
      <w:r w:rsidRPr="001531CD">
        <w:t>AUTHORITY NOTE:</w:t>
      </w:r>
      <w:r w:rsidRPr="001531CD">
        <w:tab/>
        <w:t>Promulgated in accordance with R.S. 3:3203.</w:t>
      </w:r>
    </w:p>
    <w:p w14:paraId="224064AB" w14:textId="77777777" w:rsidR="00CF626A" w:rsidRPr="001531CD" w:rsidRDefault="00CF626A">
      <w:pPr>
        <w:pStyle w:val="HistoricalNote"/>
      </w:pPr>
      <w:r w:rsidRPr="001531CD">
        <w:t>HISTORICAL NOTE:</w:t>
      </w:r>
      <w:r w:rsidRPr="001531CD">
        <w:tab/>
        <w:t>Promulgated by the Department of Agriculture, Advisory Commission on Pesticides, LR 10:197 (March 1984), a</w:t>
      </w:r>
      <w:r w:rsidR="00370E6F" w:rsidRPr="001531CD">
        <w:t>mended LR 11:943 (October 1985), amended by Department of Agriculture and Forestry, Office of Agricultural and Environmental Sciences, Advisory Commission on Pesticides, LR 37:3482 (December 2011).</w:t>
      </w:r>
    </w:p>
    <w:p w14:paraId="1B62C8A5" w14:textId="77777777" w:rsidR="00370E6F" w:rsidRPr="001531CD" w:rsidRDefault="00370E6F" w:rsidP="00370E6F">
      <w:pPr>
        <w:pStyle w:val="Section"/>
      </w:pPr>
      <w:bookmarkStart w:id="2440" w:name="_Toc224819239"/>
      <w:r w:rsidRPr="001531CD">
        <w:t>§1303.</w:t>
      </w:r>
      <w:r w:rsidRPr="001531CD">
        <w:tab/>
        <w:t>Bulk Facilities</w:t>
      </w:r>
      <w:bookmarkEnd w:id="2440"/>
    </w:p>
    <w:p w14:paraId="37B81139" w14:textId="77777777" w:rsidR="00370E6F" w:rsidRPr="001531CD" w:rsidRDefault="00370E6F" w:rsidP="00370E6F">
      <w:pPr>
        <w:pStyle w:val="A"/>
      </w:pPr>
      <w:r w:rsidRPr="001531CD">
        <w:t>A.</w:t>
      </w:r>
      <w:r w:rsidRPr="001531CD">
        <w:tab/>
        <w:t>Bulk facilities:</w:t>
      </w:r>
    </w:p>
    <w:p w14:paraId="2B7982C9" w14:textId="77777777" w:rsidR="00370E6F" w:rsidRPr="001531CD" w:rsidRDefault="00370E6F" w:rsidP="00370E6F">
      <w:pPr>
        <w:pStyle w:val="1"/>
      </w:pPr>
      <w:r w:rsidRPr="001531CD">
        <w:t>1.</w:t>
      </w:r>
      <w:r w:rsidRPr="001531CD">
        <w:tab/>
        <w:t>shall be registered with LDAF as a bulk facility and EPA as a producing establishment;</w:t>
      </w:r>
    </w:p>
    <w:p w14:paraId="6F9B3301" w14:textId="77777777" w:rsidR="00370E6F" w:rsidRPr="001531CD" w:rsidRDefault="00370E6F" w:rsidP="00370E6F">
      <w:pPr>
        <w:pStyle w:val="1"/>
      </w:pPr>
      <w:r w:rsidRPr="001531CD">
        <w:t>2.</w:t>
      </w:r>
      <w:r w:rsidRPr="001531CD">
        <w:tab/>
        <w:t>shall have a written contract/agreement from each pesticide’s registrant prior to repackaging a pesticide. The contract/agreement for each registrant’s product shall include but not be limited to the following:</w:t>
      </w:r>
    </w:p>
    <w:p w14:paraId="3000B356" w14:textId="77777777" w:rsidR="00370E6F" w:rsidRPr="001531CD" w:rsidRDefault="00370E6F" w:rsidP="00370E6F">
      <w:pPr>
        <w:pStyle w:val="a0"/>
      </w:pPr>
      <w:r w:rsidRPr="001531CD">
        <w:t>a.</w:t>
      </w:r>
      <w:r w:rsidRPr="001531CD">
        <w:tab/>
        <w:t>the label and labeling; and</w:t>
      </w:r>
    </w:p>
    <w:p w14:paraId="25ECBB64" w14:textId="77777777" w:rsidR="00370E6F" w:rsidRPr="001531CD" w:rsidRDefault="00370E6F" w:rsidP="00370E6F">
      <w:pPr>
        <w:pStyle w:val="a0"/>
      </w:pPr>
      <w:r w:rsidRPr="001531CD">
        <w:t>b.</w:t>
      </w:r>
      <w:r w:rsidRPr="001531CD">
        <w:tab/>
        <w:t xml:space="preserve">the residue removal procedure; and </w:t>
      </w:r>
    </w:p>
    <w:p w14:paraId="05DDBA4E" w14:textId="77777777" w:rsidR="00370E6F" w:rsidRPr="001531CD" w:rsidRDefault="00370E6F" w:rsidP="00370E6F">
      <w:pPr>
        <w:pStyle w:val="a0"/>
      </w:pPr>
      <w:r w:rsidRPr="001531CD">
        <w:t>c.</w:t>
      </w:r>
      <w:r w:rsidRPr="001531CD">
        <w:tab/>
        <w:t>a description of acceptable containers;</w:t>
      </w:r>
    </w:p>
    <w:p w14:paraId="2641070C" w14:textId="77777777" w:rsidR="00370E6F" w:rsidRPr="001531CD" w:rsidRDefault="00370E6F" w:rsidP="00370E6F">
      <w:pPr>
        <w:pStyle w:val="1"/>
      </w:pPr>
      <w:r w:rsidRPr="001531CD">
        <w:t>3.</w:t>
      </w:r>
      <w:r w:rsidRPr="001531CD">
        <w:tab/>
        <w:t>shall not change the pesticide formulation without an EPA registration for a new pesticide formulation;</w:t>
      </w:r>
    </w:p>
    <w:p w14:paraId="27B8207E" w14:textId="77777777" w:rsidR="00370E6F" w:rsidRPr="001531CD" w:rsidRDefault="00370E6F" w:rsidP="00370E6F">
      <w:pPr>
        <w:pStyle w:val="1"/>
      </w:pPr>
      <w:r w:rsidRPr="001531CD">
        <w:t>4.</w:t>
      </w:r>
      <w:r w:rsidRPr="001531CD">
        <w:tab/>
        <w:t>shall repackage the pesticide into containers that:</w:t>
      </w:r>
    </w:p>
    <w:p w14:paraId="5DC3400A" w14:textId="77777777" w:rsidR="00370E6F" w:rsidRPr="001531CD" w:rsidRDefault="00370E6F" w:rsidP="00370E6F">
      <w:pPr>
        <w:pStyle w:val="a0"/>
      </w:pPr>
      <w:r w:rsidRPr="001531CD">
        <w:t>a.</w:t>
      </w:r>
      <w:r w:rsidRPr="001531CD">
        <w:tab/>
        <w:t>are identified as acceptable by the registrant; and</w:t>
      </w:r>
    </w:p>
    <w:p w14:paraId="267C974D" w14:textId="77777777" w:rsidR="00370E6F" w:rsidRPr="001531CD" w:rsidRDefault="00370E6F" w:rsidP="00370E6F">
      <w:pPr>
        <w:pStyle w:val="a0"/>
      </w:pPr>
      <w:r w:rsidRPr="001531CD">
        <w:t>b.</w:t>
      </w:r>
      <w:r w:rsidRPr="001531CD">
        <w:tab/>
        <w:t>meet the specified criteria with respect to continued container integrity, required markings and openings;</w:t>
      </w:r>
    </w:p>
    <w:p w14:paraId="14C52C62" w14:textId="77777777" w:rsidR="00370E6F" w:rsidRPr="001531CD" w:rsidRDefault="00370E6F" w:rsidP="00370E6F">
      <w:pPr>
        <w:pStyle w:val="1"/>
      </w:pPr>
      <w:r w:rsidRPr="001531CD">
        <w:t>5.</w:t>
      </w:r>
      <w:r w:rsidRPr="001531CD">
        <w:tab/>
        <w:t>shall be responsible for:</w:t>
      </w:r>
    </w:p>
    <w:p w14:paraId="6B44630C" w14:textId="77777777" w:rsidR="00370E6F" w:rsidRPr="001531CD" w:rsidRDefault="00370E6F" w:rsidP="00370E6F">
      <w:pPr>
        <w:pStyle w:val="a0"/>
      </w:pPr>
      <w:r w:rsidRPr="001531CD">
        <w:t>a.</w:t>
      </w:r>
      <w:r w:rsidRPr="001531CD">
        <w:tab/>
        <w:t>the integrity of pesticides repackaged into containers; and</w:t>
      </w:r>
    </w:p>
    <w:p w14:paraId="3998AD15" w14:textId="77777777" w:rsidR="00370E6F" w:rsidRPr="001531CD" w:rsidRDefault="00370E6F" w:rsidP="00370E6F">
      <w:pPr>
        <w:pStyle w:val="a0"/>
      </w:pPr>
      <w:r w:rsidRPr="001531CD">
        <w:t>b.</w:t>
      </w:r>
      <w:r w:rsidRPr="001531CD">
        <w:tab/>
        <w:t>securely attaching the label containing the net contents and EPA establishment number to the container;</w:t>
      </w:r>
    </w:p>
    <w:p w14:paraId="3134E3DC" w14:textId="77777777" w:rsidR="00370E6F" w:rsidRPr="001531CD" w:rsidRDefault="00370E6F" w:rsidP="00370E6F">
      <w:pPr>
        <w:pStyle w:val="1"/>
      </w:pPr>
      <w:r w:rsidRPr="001531CD">
        <w:t>6.</w:t>
      </w:r>
      <w:r w:rsidRPr="001531CD">
        <w:tab/>
        <w:t>can repackage any quantity of pesticide into containers, up to the rated capacity of the container. There are no limits on the size of the containers;</w:t>
      </w:r>
    </w:p>
    <w:p w14:paraId="5516319B" w14:textId="77777777" w:rsidR="00370E6F" w:rsidRPr="001531CD" w:rsidRDefault="00370E6F" w:rsidP="00370E6F">
      <w:pPr>
        <w:pStyle w:val="1"/>
      </w:pPr>
      <w:r w:rsidRPr="001531CD">
        <w:lastRenderedPageBreak/>
        <w:t>7.</w:t>
      </w:r>
      <w:r w:rsidRPr="001531CD">
        <w:tab/>
        <w:t>shall clean a refillable container, according to the residue removal procedure, if one or more of the following occur:</w:t>
      </w:r>
    </w:p>
    <w:p w14:paraId="4F79FA79" w14:textId="77777777" w:rsidR="00370E6F" w:rsidRPr="001531CD" w:rsidRDefault="00370E6F" w:rsidP="00370E6F">
      <w:pPr>
        <w:pStyle w:val="a0"/>
      </w:pPr>
      <w:r w:rsidRPr="001531CD">
        <w:t>a.</w:t>
      </w:r>
      <w:r w:rsidRPr="001531CD">
        <w:tab/>
        <w:t>each tamper-evident device is not intact; or</w:t>
      </w:r>
    </w:p>
    <w:p w14:paraId="158AD4C4" w14:textId="77777777" w:rsidR="00370E6F" w:rsidRPr="001531CD" w:rsidRDefault="00370E6F" w:rsidP="00370E6F">
      <w:pPr>
        <w:pStyle w:val="a0"/>
      </w:pPr>
      <w:r w:rsidRPr="001531CD">
        <w:t>b.</w:t>
      </w:r>
      <w:r w:rsidRPr="001531CD">
        <w:tab/>
        <w:t xml:space="preserve">one-way valve (if equipped) is not intact; or </w:t>
      </w:r>
    </w:p>
    <w:p w14:paraId="0A1130C2" w14:textId="77777777" w:rsidR="00370E6F" w:rsidRPr="001531CD" w:rsidRDefault="00370E6F" w:rsidP="00370E6F">
      <w:pPr>
        <w:pStyle w:val="a0"/>
      </w:pPr>
      <w:r w:rsidRPr="001531CD">
        <w:t>c.</w:t>
      </w:r>
      <w:r w:rsidRPr="001531CD">
        <w:tab/>
        <w:t>the container previously held a pesticide product other than the pesticide product being refilled;</w:t>
      </w:r>
    </w:p>
    <w:p w14:paraId="508835E0" w14:textId="77777777" w:rsidR="00370E6F" w:rsidRPr="001531CD" w:rsidRDefault="00370E6F" w:rsidP="00370E6F">
      <w:pPr>
        <w:pStyle w:val="1"/>
      </w:pPr>
      <w:r w:rsidRPr="001531CD">
        <w:t>8.</w:t>
      </w:r>
      <w:r w:rsidRPr="001531CD">
        <w:tab/>
        <w:t>shall not refill a refillable container with an agricultural pesticide if it fails an inspection or is compromised in at least one of the following ways:</w:t>
      </w:r>
    </w:p>
    <w:p w14:paraId="1487C372" w14:textId="77777777" w:rsidR="00370E6F" w:rsidRPr="001531CD" w:rsidRDefault="00370E6F" w:rsidP="00370E6F">
      <w:pPr>
        <w:pStyle w:val="a0"/>
      </w:pPr>
      <w:r w:rsidRPr="001531CD">
        <w:t>a.</w:t>
      </w:r>
      <w:r w:rsidRPr="001531CD">
        <w:tab/>
        <w:t>the container shows signs of rupture or other damage which reduces its structural integrity; or</w:t>
      </w:r>
    </w:p>
    <w:p w14:paraId="3761A390" w14:textId="77777777" w:rsidR="00370E6F" w:rsidRPr="001531CD" w:rsidRDefault="00370E6F" w:rsidP="00370E6F">
      <w:pPr>
        <w:pStyle w:val="a0"/>
      </w:pPr>
      <w:r w:rsidRPr="001531CD">
        <w:t>b.</w:t>
      </w:r>
      <w:r w:rsidRPr="001531CD">
        <w:tab/>
        <w:t>the container has visible pitting, significant reduction in material thickness, metal fatigue, damaged threads or closures, or other significant defects; or</w:t>
      </w:r>
    </w:p>
    <w:p w14:paraId="37CC992A" w14:textId="77777777" w:rsidR="00370E6F" w:rsidRPr="001531CD" w:rsidRDefault="00370E6F" w:rsidP="00370E6F">
      <w:pPr>
        <w:pStyle w:val="a0"/>
      </w:pPr>
      <w:r w:rsidRPr="001531CD">
        <w:t>c.</w:t>
      </w:r>
      <w:r w:rsidRPr="001531CD">
        <w:tab/>
        <w:t>the container has cracks, warpage, corrosion or any other damage which might render it unsafe for transportation; or</w:t>
      </w:r>
    </w:p>
    <w:p w14:paraId="3F1CAF88" w14:textId="77777777" w:rsidR="00370E6F" w:rsidRPr="001531CD" w:rsidRDefault="00370E6F" w:rsidP="00370E6F">
      <w:pPr>
        <w:pStyle w:val="a0"/>
      </w:pPr>
      <w:r w:rsidRPr="001531CD">
        <w:t>d.</w:t>
      </w:r>
      <w:r w:rsidRPr="001531CD">
        <w:tab/>
        <w:t>there is damage to the fittings, valves, tamper-evident devices or other appurtenances; or</w:t>
      </w:r>
    </w:p>
    <w:p w14:paraId="4A86D4FD" w14:textId="77777777" w:rsidR="00370E6F" w:rsidRPr="001531CD" w:rsidRDefault="00370E6F" w:rsidP="00370E6F">
      <w:pPr>
        <w:pStyle w:val="a0"/>
      </w:pPr>
      <w:r w:rsidRPr="001531CD">
        <w:t>e.</w:t>
      </w:r>
      <w:r w:rsidRPr="001531CD">
        <w:tab/>
        <w:t>the integrity of the container cannot be repaired, reconditioned or remanufactured; or</w:t>
      </w:r>
    </w:p>
    <w:p w14:paraId="31A5CCEC" w14:textId="77777777" w:rsidR="00370E6F" w:rsidRPr="001531CD" w:rsidRDefault="00370E6F" w:rsidP="00370E6F">
      <w:pPr>
        <w:pStyle w:val="a0"/>
      </w:pPr>
      <w:r w:rsidRPr="001531CD">
        <w:t>f.</w:t>
      </w:r>
      <w:r w:rsidRPr="001531CD">
        <w:tab/>
        <w:t>The container does not bear a legible and durably marked serial number or other identifying code; or</w:t>
      </w:r>
    </w:p>
    <w:p w14:paraId="40B33980" w14:textId="77777777" w:rsidR="00370E6F" w:rsidRPr="001531CD" w:rsidRDefault="00370E6F" w:rsidP="00370E6F">
      <w:pPr>
        <w:pStyle w:val="a0"/>
      </w:pPr>
      <w:r w:rsidRPr="001531CD">
        <w:t>g.</w:t>
      </w:r>
      <w:r w:rsidRPr="001531CD">
        <w:tab/>
        <w:t>The container does not have an intact and functioning one-way valve, if required or tamper-evident device on each opening other than a vent;</w:t>
      </w:r>
    </w:p>
    <w:p w14:paraId="36B1AD15" w14:textId="77777777" w:rsidR="00370E6F" w:rsidRPr="001531CD" w:rsidRDefault="00370E6F" w:rsidP="00370E6F">
      <w:pPr>
        <w:pStyle w:val="1"/>
      </w:pPr>
      <w:r w:rsidRPr="001531CD">
        <w:t>9.</w:t>
      </w:r>
      <w:r w:rsidRPr="001531CD">
        <w:tab/>
        <w:t>shall keep and maintain for three years the following records:</w:t>
      </w:r>
    </w:p>
    <w:p w14:paraId="5949C057" w14:textId="77777777" w:rsidR="00370E6F" w:rsidRPr="001531CD" w:rsidRDefault="00370E6F" w:rsidP="00370E6F">
      <w:pPr>
        <w:pStyle w:val="a0"/>
      </w:pPr>
      <w:r w:rsidRPr="001531CD">
        <w:t>a.</w:t>
      </w:r>
      <w:r w:rsidRPr="001531CD">
        <w:tab/>
        <w:t>the registrant-bulk facility written contract/agreement; and</w:t>
      </w:r>
    </w:p>
    <w:p w14:paraId="7D64AEE8" w14:textId="77777777" w:rsidR="00370E6F" w:rsidRPr="001531CD" w:rsidRDefault="00370E6F" w:rsidP="00370E6F">
      <w:pPr>
        <w:pStyle w:val="a0"/>
      </w:pPr>
      <w:r w:rsidRPr="001531CD">
        <w:t>b.</w:t>
      </w:r>
      <w:r w:rsidRPr="001531CD">
        <w:tab/>
        <w:t xml:space="preserve">the residue removal procedure; and </w:t>
      </w:r>
    </w:p>
    <w:p w14:paraId="1A96EA4D" w14:textId="77777777" w:rsidR="00370E6F" w:rsidRPr="001531CD" w:rsidRDefault="00370E6F" w:rsidP="00370E6F">
      <w:pPr>
        <w:pStyle w:val="a0"/>
      </w:pPr>
      <w:r w:rsidRPr="001531CD">
        <w:t>c.</w:t>
      </w:r>
      <w:r w:rsidRPr="001531CD">
        <w:tab/>
        <w:t>the description of acceptable containers; and</w:t>
      </w:r>
    </w:p>
    <w:p w14:paraId="2AA754BB" w14:textId="77777777" w:rsidR="00370E6F" w:rsidRPr="001531CD" w:rsidRDefault="00370E6F" w:rsidP="00370E6F">
      <w:pPr>
        <w:pStyle w:val="a0"/>
      </w:pPr>
      <w:r w:rsidRPr="001531CD">
        <w:t>d.</w:t>
      </w:r>
      <w:r w:rsidRPr="001531CD">
        <w:tab/>
        <w:t>for each time a refillable container is refilled with an agricultural pesticide:</w:t>
      </w:r>
    </w:p>
    <w:p w14:paraId="706A4BB8" w14:textId="77777777" w:rsidR="00370E6F" w:rsidRPr="001531CD" w:rsidRDefault="00370E6F" w:rsidP="00370E6F">
      <w:pPr>
        <w:pStyle w:val="i0"/>
      </w:pPr>
      <w:r w:rsidRPr="001531CD">
        <w:tab/>
        <w:t>i.</w:t>
      </w:r>
      <w:r w:rsidRPr="001531CD">
        <w:tab/>
        <w:t>the EPA registration number of the pesticide product; and</w:t>
      </w:r>
    </w:p>
    <w:p w14:paraId="38E7BE1E" w14:textId="77777777" w:rsidR="00370E6F" w:rsidRPr="001531CD" w:rsidRDefault="00370E6F" w:rsidP="00370E6F">
      <w:pPr>
        <w:pStyle w:val="i0"/>
      </w:pPr>
      <w:r w:rsidRPr="001531CD">
        <w:tab/>
        <w:t>ii.</w:t>
      </w:r>
      <w:r w:rsidRPr="001531CD">
        <w:tab/>
        <w:t xml:space="preserve">the date of repackaging; and </w:t>
      </w:r>
    </w:p>
    <w:p w14:paraId="2D754A82" w14:textId="77777777" w:rsidR="00370E6F" w:rsidRPr="001531CD" w:rsidRDefault="00370E6F" w:rsidP="00370E6F">
      <w:pPr>
        <w:pStyle w:val="i0"/>
      </w:pPr>
      <w:r w:rsidRPr="001531CD">
        <w:tab/>
        <w:t>iii.</w:t>
      </w:r>
      <w:r w:rsidRPr="001531CD">
        <w:tab/>
        <w:t>the serial number or other identifying code of the container;</w:t>
      </w:r>
    </w:p>
    <w:p w14:paraId="07B82D41" w14:textId="77777777" w:rsidR="00370E6F" w:rsidRPr="001531CD" w:rsidRDefault="00370E6F" w:rsidP="00370E6F">
      <w:pPr>
        <w:pStyle w:val="a0"/>
      </w:pPr>
      <w:r w:rsidRPr="001531CD">
        <w:t>e.</w:t>
      </w:r>
      <w:r w:rsidRPr="001531CD">
        <w:tab/>
        <w:t>for containment structures:</w:t>
      </w:r>
    </w:p>
    <w:p w14:paraId="3FACC9CA" w14:textId="77777777" w:rsidR="00370E6F" w:rsidRPr="001531CD" w:rsidRDefault="00370E6F" w:rsidP="00370E6F">
      <w:pPr>
        <w:pStyle w:val="i0"/>
      </w:pPr>
      <w:r w:rsidRPr="001531CD">
        <w:tab/>
        <w:t>i.</w:t>
      </w:r>
      <w:r w:rsidRPr="001531CD">
        <w:tab/>
        <w:t>inspection date; and</w:t>
      </w:r>
    </w:p>
    <w:p w14:paraId="62C6268B" w14:textId="77777777" w:rsidR="00370E6F" w:rsidRPr="001531CD" w:rsidRDefault="00370E6F" w:rsidP="00370E6F">
      <w:pPr>
        <w:pStyle w:val="i0"/>
      </w:pPr>
      <w:r w:rsidRPr="001531CD">
        <w:tab/>
        <w:t>ii.</w:t>
      </w:r>
      <w:r w:rsidRPr="001531CD">
        <w:tab/>
        <w:t>name of person conducting inspection or maintenance; and</w:t>
      </w:r>
    </w:p>
    <w:p w14:paraId="66C18C5E" w14:textId="77777777" w:rsidR="00370E6F" w:rsidRPr="001531CD" w:rsidRDefault="00370E6F" w:rsidP="00370E6F">
      <w:pPr>
        <w:pStyle w:val="i0"/>
      </w:pPr>
      <w:r w:rsidRPr="001531CD">
        <w:tab/>
        <w:t>iii.</w:t>
      </w:r>
      <w:r w:rsidRPr="001531CD">
        <w:tab/>
        <w:t>conditions noted and specific maintenance performed; and</w:t>
      </w:r>
    </w:p>
    <w:p w14:paraId="2A32E53D" w14:textId="77777777" w:rsidR="00370E6F" w:rsidRPr="001531CD" w:rsidRDefault="00370E6F" w:rsidP="00370E6F">
      <w:pPr>
        <w:pStyle w:val="a0"/>
      </w:pPr>
      <w:r w:rsidRPr="001531CD">
        <w:t>f.</w:t>
      </w:r>
      <w:r w:rsidRPr="001531CD">
        <w:tab/>
        <w:t>records of how long non-stationary tanks (with the specified capacities) remain at the facility; and</w:t>
      </w:r>
    </w:p>
    <w:p w14:paraId="7D912EFF" w14:textId="77777777" w:rsidR="00370E6F" w:rsidRPr="001531CD" w:rsidRDefault="00370E6F" w:rsidP="00370E6F">
      <w:pPr>
        <w:pStyle w:val="a0"/>
      </w:pPr>
      <w:r w:rsidRPr="001531CD">
        <w:t>g.</w:t>
      </w:r>
      <w:r w:rsidRPr="001531CD">
        <w:tab/>
        <w:t>construction date of the structure (for as long as the structure is in use and for 3 years afterwards);</w:t>
      </w:r>
    </w:p>
    <w:p w14:paraId="45C4E4AC" w14:textId="77777777" w:rsidR="00370E6F" w:rsidRPr="001531CD" w:rsidRDefault="00370E6F" w:rsidP="00370E6F">
      <w:pPr>
        <w:pStyle w:val="1"/>
      </w:pPr>
      <w:r w:rsidRPr="001531CD">
        <w:t>10.</w:t>
      </w:r>
      <w:r w:rsidRPr="001531CD">
        <w:tab/>
        <w:t>shall have secondary containment structures for stationary pesticide containers except for the following:</w:t>
      </w:r>
    </w:p>
    <w:p w14:paraId="2D857406" w14:textId="77777777" w:rsidR="00370E6F" w:rsidRPr="001531CD" w:rsidRDefault="00370E6F" w:rsidP="00370E6F">
      <w:pPr>
        <w:pStyle w:val="a0"/>
      </w:pPr>
      <w:r w:rsidRPr="001531CD">
        <w:t>a.</w:t>
      </w:r>
      <w:r w:rsidRPr="001531CD">
        <w:tab/>
        <w:t>empty containers; or</w:t>
      </w:r>
    </w:p>
    <w:p w14:paraId="73C0E657" w14:textId="77777777" w:rsidR="00370E6F" w:rsidRPr="001531CD" w:rsidRDefault="00370E6F" w:rsidP="00370E6F">
      <w:pPr>
        <w:pStyle w:val="a0"/>
      </w:pPr>
      <w:r w:rsidRPr="001531CD">
        <w:t>b.</w:t>
      </w:r>
      <w:r w:rsidRPr="001531CD">
        <w:tab/>
        <w:t>containers holding only rinsate or wash water and so labeled; or</w:t>
      </w:r>
    </w:p>
    <w:p w14:paraId="4A51817B" w14:textId="77777777" w:rsidR="00370E6F" w:rsidRPr="001531CD" w:rsidRDefault="00370E6F" w:rsidP="00370E6F">
      <w:pPr>
        <w:pStyle w:val="a0"/>
      </w:pPr>
      <w:r w:rsidRPr="001531CD">
        <w:t>c.</w:t>
      </w:r>
      <w:r w:rsidRPr="001531CD">
        <w:tab/>
        <w:t>containers holding pesticides which are gaseous at atmospheric temperature and pressure; or</w:t>
      </w:r>
    </w:p>
    <w:p w14:paraId="33E1187C" w14:textId="77777777" w:rsidR="00370E6F" w:rsidRPr="001531CD" w:rsidRDefault="00370E6F" w:rsidP="00370E6F">
      <w:pPr>
        <w:pStyle w:val="a0"/>
      </w:pPr>
      <w:r w:rsidRPr="001531CD">
        <w:t>d.</w:t>
      </w:r>
      <w:r w:rsidRPr="001531CD">
        <w:tab/>
        <w:t>containers dedicated to non-pesticide use and so labeled;</w:t>
      </w:r>
    </w:p>
    <w:p w14:paraId="5D752DDA" w14:textId="77777777" w:rsidR="00370E6F" w:rsidRPr="001531CD" w:rsidRDefault="00370E6F" w:rsidP="00370E6F">
      <w:pPr>
        <w:pStyle w:val="1"/>
      </w:pPr>
      <w:r w:rsidRPr="001531CD">
        <w:t>11.</w:t>
      </w:r>
      <w:r w:rsidRPr="001531CD">
        <w:tab/>
        <w:t>shall have containment pads for dispensing areas if:</w:t>
      </w:r>
    </w:p>
    <w:p w14:paraId="736CF81B" w14:textId="77777777" w:rsidR="00370E6F" w:rsidRPr="001531CD" w:rsidRDefault="00370E6F" w:rsidP="00370E6F">
      <w:pPr>
        <w:pStyle w:val="a0"/>
      </w:pPr>
      <w:r w:rsidRPr="001531CD">
        <w:t>a.</w:t>
      </w:r>
      <w:r w:rsidRPr="001531CD">
        <w:tab/>
        <w:t>refillable containers of agricultural pesticide are emptied, cleaned or rinsed; or</w:t>
      </w:r>
    </w:p>
    <w:p w14:paraId="367723F0" w14:textId="77777777" w:rsidR="00370E6F" w:rsidRPr="001531CD" w:rsidRDefault="00370E6F" w:rsidP="00370E6F">
      <w:pPr>
        <w:pStyle w:val="a0"/>
      </w:pPr>
      <w:r w:rsidRPr="001531CD">
        <w:t>b.</w:t>
      </w:r>
      <w:r w:rsidRPr="001531CD">
        <w:tab/>
        <w:t>agricultural pesticides are dispensed from any stationary container; or</w:t>
      </w:r>
    </w:p>
    <w:p w14:paraId="13AA790B" w14:textId="77777777" w:rsidR="00370E6F" w:rsidRPr="001531CD" w:rsidRDefault="00370E6F" w:rsidP="00370E6F">
      <w:pPr>
        <w:pStyle w:val="a0"/>
      </w:pPr>
      <w:r w:rsidRPr="001531CD">
        <w:t>c.</w:t>
      </w:r>
      <w:r w:rsidRPr="001531CD">
        <w:tab/>
        <w:t>agricultural pesticides are dispensed from a transport vehicle into a refillable container; or</w:t>
      </w:r>
    </w:p>
    <w:p w14:paraId="0DF26015" w14:textId="77777777" w:rsidR="00370E6F" w:rsidRPr="001531CD" w:rsidRDefault="00370E6F" w:rsidP="00370E6F">
      <w:pPr>
        <w:pStyle w:val="a0"/>
      </w:pPr>
      <w:r w:rsidRPr="001531CD">
        <w:t>d.</w:t>
      </w:r>
      <w:r w:rsidRPr="001531CD">
        <w:tab/>
        <w:t>agricultural pesticides are dispensed from any other container for the purpose of refilling a refillable container or filling a non-refillable container for sale or distribution;</w:t>
      </w:r>
    </w:p>
    <w:p w14:paraId="265CCB3D" w14:textId="77777777" w:rsidR="00370E6F" w:rsidRPr="001531CD" w:rsidRDefault="00370E6F" w:rsidP="00370E6F">
      <w:pPr>
        <w:pStyle w:val="1"/>
      </w:pPr>
      <w:r w:rsidRPr="001531CD">
        <w:t>12.</w:t>
      </w:r>
      <w:r w:rsidRPr="001531CD">
        <w:tab/>
        <w:t>containment structures shall:</w:t>
      </w:r>
    </w:p>
    <w:p w14:paraId="50EDB32F" w14:textId="77777777" w:rsidR="00370E6F" w:rsidRPr="001531CD" w:rsidRDefault="00370E6F" w:rsidP="00370E6F">
      <w:pPr>
        <w:pStyle w:val="a0"/>
      </w:pPr>
      <w:r w:rsidRPr="001531CD">
        <w:t>a.</w:t>
      </w:r>
      <w:r w:rsidRPr="001531CD">
        <w:tab/>
        <w:t>be constructed of steel, reinforced concrete or other rigid material capable of withstanding the full hydrostatic head and load of any substances, equipment and appurtenances placed on the structure; and</w:t>
      </w:r>
    </w:p>
    <w:p w14:paraId="49FFEB9D" w14:textId="77777777" w:rsidR="00370E6F" w:rsidRPr="001531CD" w:rsidRDefault="00370E6F" w:rsidP="00370E6F">
      <w:pPr>
        <w:pStyle w:val="a0"/>
      </w:pPr>
      <w:r w:rsidRPr="001531CD">
        <w:t>b.</w:t>
      </w:r>
      <w:r w:rsidRPr="001531CD">
        <w:tab/>
        <w:t>be compatible with the pesticides stored; and</w:t>
      </w:r>
    </w:p>
    <w:p w14:paraId="79FEC232" w14:textId="77777777" w:rsidR="00370E6F" w:rsidRPr="001531CD" w:rsidRDefault="00370E6F" w:rsidP="00370E6F">
      <w:pPr>
        <w:pStyle w:val="a0"/>
      </w:pPr>
      <w:r w:rsidRPr="001531CD">
        <w:t>c.</w:t>
      </w:r>
      <w:r w:rsidRPr="001531CD">
        <w:tab/>
        <w:t>be liquid-tight with cracks, seams and joints sealed; and</w:t>
      </w:r>
    </w:p>
    <w:p w14:paraId="3D6CE20A" w14:textId="77777777" w:rsidR="00370E6F" w:rsidRPr="001531CD" w:rsidRDefault="00370E6F" w:rsidP="00370E6F">
      <w:pPr>
        <w:pStyle w:val="a0"/>
      </w:pPr>
      <w:r w:rsidRPr="001531CD">
        <w:t>d.</w:t>
      </w:r>
      <w:r w:rsidRPr="001531CD">
        <w:tab/>
        <w:t>not be constructed of Natural earthen material, unfired clay and asphalt;</w:t>
      </w:r>
    </w:p>
    <w:p w14:paraId="15286670" w14:textId="77777777" w:rsidR="00370E6F" w:rsidRPr="001531CD" w:rsidRDefault="00370E6F" w:rsidP="00370E6F">
      <w:pPr>
        <w:pStyle w:val="1"/>
      </w:pPr>
      <w:r w:rsidRPr="001531CD">
        <w:t>13.</w:t>
      </w:r>
      <w:r w:rsidRPr="001531CD">
        <w:tab/>
        <w:t>shall protect appurtenances and containers against damage from personnel and moving equipment.</w:t>
      </w:r>
    </w:p>
    <w:p w14:paraId="49EE9122" w14:textId="77777777" w:rsidR="00370E6F" w:rsidRPr="001531CD" w:rsidRDefault="00370E6F" w:rsidP="00370E6F">
      <w:pPr>
        <w:pStyle w:val="1"/>
      </w:pPr>
      <w:r w:rsidRPr="001531CD">
        <w:t>14.</w:t>
      </w:r>
      <w:r w:rsidRPr="001531CD">
        <w:tab/>
        <w:t>shall seal appurtenances, discharge outlets or drains through the base or wall of existing containment structures, except direct connections between containment structures.</w:t>
      </w:r>
    </w:p>
    <w:p w14:paraId="604292E7" w14:textId="77777777" w:rsidR="00370E6F" w:rsidRPr="001531CD" w:rsidRDefault="00370E6F" w:rsidP="00370E6F">
      <w:pPr>
        <w:pStyle w:val="1"/>
      </w:pPr>
      <w:r w:rsidRPr="001531CD">
        <w:t>15.</w:t>
      </w:r>
      <w:r w:rsidRPr="001531CD">
        <w:tab/>
        <w:t>shall not configure appurtenances, discharge outlets or drains through the base or wall of new containment structures, except direct connections between containment structures.</w:t>
      </w:r>
    </w:p>
    <w:p w14:paraId="750A81AE" w14:textId="77777777" w:rsidR="00370E6F" w:rsidRPr="001531CD" w:rsidRDefault="00370E6F" w:rsidP="00370E6F">
      <w:pPr>
        <w:pStyle w:val="1"/>
      </w:pPr>
      <w:r w:rsidRPr="001531CD">
        <w:t>16.</w:t>
      </w:r>
      <w:r w:rsidRPr="001531CD">
        <w:tab/>
        <w:t>shall control stormwater in all containment structures by constructing with sufficient freeboard to contain precipitation and prevent water and other liquids from seeping into or flowing onto them from adjacent land or structures.</w:t>
      </w:r>
    </w:p>
    <w:p w14:paraId="2F1DE147" w14:textId="77777777" w:rsidR="00370E6F" w:rsidRPr="001531CD" w:rsidRDefault="00370E6F" w:rsidP="00370E6F">
      <w:pPr>
        <w:pStyle w:val="1"/>
      </w:pPr>
      <w:r w:rsidRPr="001531CD">
        <w:t>17.</w:t>
      </w:r>
      <w:r w:rsidRPr="001531CD">
        <w:tab/>
        <w:t>shall have the following for new and existing secondary containment:</w:t>
      </w:r>
    </w:p>
    <w:p w14:paraId="28583E61" w14:textId="77777777" w:rsidR="00370E6F" w:rsidRPr="001531CD" w:rsidRDefault="00370E6F" w:rsidP="00370E6F">
      <w:pPr>
        <w:pStyle w:val="a0"/>
      </w:pPr>
      <w:r w:rsidRPr="001531CD">
        <w:lastRenderedPageBreak/>
        <w:t>a.</w:t>
      </w:r>
      <w:r w:rsidRPr="001531CD">
        <w:tab/>
        <w:t>liquid pesticide stationary containers shall be anchored or elevated to prevent flotation.</w:t>
      </w:r>
    </w:p>
    <w:p w14:paraId="5C5DE40E" w14:textId="77777777" w:rsidR="00370E6F" w:rsidRPr="001531CD" w:rsidRDefault="00370E6F" w:rsidP="00370E6F">
      <w:pPr>
        <w:pStyle w:val="a0"/>
      </w:pPr>
      <w:r w:rsidRPr="001531CD">
        <w:t>b.</w:t>
      </w:r>
      <w:r w:rsidRPr="001531CD">
        <w:tab/>
        <w:t>dry pesticide stationary containers shall:</w:t>
      </w:r>
    </w:p>
    <w:p w14:paraId="1902DE9B" w14:textId="77777777" w:rsidR="00370E6F" w:rsidRPr="001531CD" w:rsidRDefault="00370E6F" w:rsidP="00370E6F">
      <w:pPr>
        <w:pStyle w:val="i0"/>
      </w:pPr>
      <w:r w:rsidRPr="001531CD">
        <w:tab/>
        <w:t>i.</w:t>
      </w:r>
      <w:r w:rsidRPr="001531CD">
        <w:tab/>
        <w:t>be protected from wind and precipitation; and</w:t>
      </w:r>
    </w:p>
    <w:p w14:paraId="1E229AE8" w14:textId="77777777" w:rsidR="00370E6F" w:rsidRPr="001531CD" w:rsidRDefault="00370E6F" w:rsidP="00370E6F">
      <w:pPr>
        <w:pStyle w:val="i0"/>
      </w:pPr>
      <w:r w:rsidRPr="001531CD">
        <w:tab/>
        <w:t>ii.</w:t>
      </w:r>
      <w:r w:rsidRPr="001531CD">
        <w:tab/>
        <w:t>be on pallets or raised concrete; and have a floor that extends completely beneath the pallets or raised concrete platforms; and</w:t>
      </w:r>
    </w:p>
    <w:p w14:paraId="309D6B68" w14:textId="77777777" w:rsidR="00370E6F" w:rsidRPr="001531CD" w:rsidRDefault="00370E6F" w:rsidP="00370E6F">
      <w:pPr>
        <w:pStyle w:val="i0"/>
      </w:pPr>
      <w:r w:rsidRPr="001531CD">
        <w:tab/>
        <w:t>iii.</w:t>
      </w:r>
      <w:r w:rsidRPr="001531CD">
        <w:tab/>
        <w:t>be enclosed by a curb a minimum of 6 inches high that extends at least 2 feet beyond the perimeter of the container;</w:t>
      </w:r>
    </w:p>
    <w:p w14:paraId="222E464E" w14:textId="77777777" w:rsidR="00370E6F" w:rsidRPr="001531CD" w:rsidRDefault="00370E6F" w:rsidP="00370E6F">
      <w:pPr>
        <w:pStyle w:val="1"/>
      </w:pPr>
      <w:r w:rsidRPr="001531CD">
        <w:t>18.</w:t>
      </w:r>
      <w:r w:rsidRPr="001531CD">
        <w:tab/>
        <w:t xml:space="preserve">shall have the following for containment pads: </w:t>
      </w:r>
    </w:p>
    <w:p w14:paraId="644BE9C9" w14:textId="77777777" w:rsidR="00370E6F" w:rsidRPr="001531CD" w:rsidRDefault="00370E6F" w:rsidP="00370E6F">
      <w:pPr>
        <w:pStyle w:val="a0"/>
      </w:pPr>
      <w:r w:rsidRPr="001531CD">
        <w:t>a.</w:t>
      </w:r>
      <w:r w:rsidRPr="001531CD">
        <w:tab/>
        <w:t xml:space="preserve">for existing pads: </w:t>
      </w:r>
    </w:p>
    <w:p w14:paraId="4F54C0D9" w14:textId="77777777" w:rsidR="00370E6F" w:rsidRPr="001531CD" w:rsidRDefault="00370E6F" w:rsidP="00370E6F">
      <w:pPr>
        <w:pStyle w:val="i0"/>
      </w:pPr>
      <w:r w:rsidRPr="001531CD">
        <w:tab/>
        <w:t>i.</w:t>
      </w:r>
      <w:r w:rsidRPr="001531CD">
        <w:tab/>
        <w:t>intercept leaks and spills; and</w:t>
      </w:r>
    </w:p>
    <w:p w14:paraId="01773634" w14:textId="77777777" w:rsidR="00370E6F" w:rsidRPr="001531CD" w:rsidRDefault="00370E6F" w:rsidP="00370E6F">
      <w:pPr>
        <w:pStyle w:val="i0"/>
      </w:pPr>
      <w:r w:rsidRPr="001531CD">
        <w:tab/>
        <w:t>ii.</w:t>
      </w:r>
      <w:r w:rsidRPr="001531CD">
        <w:tab/>
        <w:t>have enough surface area to extend under containers on it; and</w:t>
      </w:r>
    </w:p>
    <w:p w14:paraId="5567158C" w14:textId="77777777" w:rsidR="00370E6F" w:rsidRPr="001531CD" w:rsidRDefault="00370E6F" w:rsidP="00370E6F">
      <w:pPr>
        <w:pStyle w:val="i0"/>
      </w:pPr>
      <w:r w:rsidRPr="001531CD">
        <w:tab/>
        <w:t>iii.</w:t>
      </w:r>
      <w:r w:rsidRPr="001531CD">
        <w:tab/>
        <w:t>accommodate at least the portion of the vehicle where the hose or device couples to it, for transport vehicles delivering pesticide; and</w:t>
      </w:r>
    </w:p>
    <w:p w14:paraId="6EB27F96" w14:textId="77777777" w:rsidR="00370E6F" w:rsidRPr="001531CD" w:rsidRDefault="00370E6F" w:rsidP="00370E6F">
      <w:pPr>
        <w:pStyle w:val="i0"/>
      </w:pPr>
      <w:r w:rsidRPr="001531CD">
        <w:tab/>
        <w:t>iv.</w:t>
      </w:r>
      <w:r w:rsidRPr="001531CD">
        <w:tab/>
        <w:t>allow for removal/recovery of spilled, leaked or discharged material and rainfall; and</w:t>
      </w:r>
    </w:p>
    <w:p w14:paraId="50D5A017" w14:textId="77777777" w:rsidR="00370E6F" w:rsidRPr="001531CD" w:rsidRDefault="00370E6F" w:rsidP="00370E6F">
      <w:pPr>
        <w:pStyle w:val="i0"/>
      </w:pPr>
      <w:r w:rsidRPr="001531CD">
        <w:tab/>
        <w:t>v.</w:t>
      </w:r>
      <w:r w:rsidRPr="001531CD">
        <w:tab/>
        <w:t>have no automatic pumps without overflow cutoffs.</w:t>
      </w:r>
    </w:p>
    <w:p w14:paraId="2E6B8346" w14:textId="77777777" w:rsidR="00370E6F" w:rsidRPr="001531CD" w:rsidRDefault="00370E6F" w:rsidP="00370E6F">
      <w:pPr>
        <w:pStyle w:val="a0"/>
      </w:pPr>
      <w:r w:rsidRPr="001531CD">
        <w:t>b.</w:t>
      </w:r>
      <w:r w:rsidRPr="001531CD">
        <w:tab/>
        <w:t>for new pads be designed and constructed to:</w:t>
      </w:r>
    </w:p>
    <w:p w14:paraId="6D97E400" w14:textId="77777777" w:rsidR="00370E6F" w:rsidRPr="001531CD" w:rsidRDefault="00370E6F" w:rsidP="00370E6F">
      <w:pPr>
        <w:pStyle w:val="i0"/>
      </w:pPr>
      <w:r w:rsidRPr="001531CD">
        <w:tab/>
        <w:t>i.</w:t>
      </w:r>
      <w:r w:rsidRPr="001531CD">
        <w:tab/>
        <w:t>intercept leaks and spills; and</w:t>
      </w:r>
    </w:p>
    <w:p w14:paraId="7712D074" w14:textId="77777777" w:rsidR="00370E6F" w:rsidRPr="001531CD" w:rsidRDefault="00370E6F" w:rsidP="00370E6F">
      <w:pPr>
        <w:pStyle w:val="i0"/>
      </w:pPr>
      <w:r w:rsidRPr="001531CD">
        <w:tab/>
        <w:t>ii.</w:t>
      </w:r>
      <w:r w:rsidRPr="001531CD">
        <w:tab/>
        <w:t>have enough surface area to extend under containers on it; and</w:t>
      </w:r>
    </w:p>
    <w:p w14:paraId="27D3E71B" w14:textId="77777777" w:rsidR="00370E6F" w:rsidRPr="001531CD" w:rsidRDefault="00370E6F" w:rsidP="00370E6F">
      <w:pPr>
        <w:pStyle w:val="i0"/>
      </w:pPr>
      <w:r w:rsidRPr="001531CD">
        <w:tab/>
        <w:t>iii.</w:t>
      </w:r>
      <w:r w:rsidRPr="001531CD">
        <w:tab/>
        <w:t>accommodate at least the portion of the vehicle where the hose or device couples to it, for transport vehicles delivering pesticide; and</w:t>
      </w:r>
    </w:p>
    <w:p w14:paraId="0755BF1E" w14:textId="77777777" w:rsidR="00370E6F" w:rsidRPr="001531CD" w:rsidRDefault="00370E6F" w:rsidP="00370E6F">
      <w:pPr>
        <w:pStyle w:val="i0"/>
      </w:pPr>
      <w:r w:rsidRPr="001531CD">
        <w:tab/>
        <w:t>iv.</w:t>
      </w:r>
      <w:r w:rsidRPr="001531CD">
        <w:tab/>
        <w:t xml:space="preserve">allow for removal/recovery of spilled, leaked or discharged material and rainfall; </w:t>
      </w:r>
    </w:p>
    <w:p w14:paraId="7F91A03C" w14:textId="77777777" w:rsidR="00370E6F" w:rsidRPr="001531CD" w:rsidRDefault="00370E6F" w:rsidP="00370E6F">
      <w:pPr>
        <w:pStyle w:val="i0"/>
      </w:pPr>
      <w:r w:rsidRPr="001531CD">
        <w:tab/>
        <w:t>v.</w:t>
      </w:r>
      <w:r w:rsidRPr="001531CD">
        <w:tab/>
        <w:t>have no automatic pumps without overflow cutoffs; and</w:t>
      </w:r>
    </w:p>
    <w:p w14:paraId="10BD22CC" w14:textId="77777777" w:rsidR="00370E6F" w:rsidRPr="001531CD" w:rsidRDefault="00370E6F" w:rsidP="00370E6F">
      <w:pPr>
        <w:pStyle w:val="i0"/>
      </w:pPr>
      <w:r w:rsidRPr="001531CD">
        <w:tab/>
        <w:t>vi.</w:t>
      </w:r>
      <w:r w:rsidRPr="001531CD">
        <w:tab/>
        <w:t>have their surface sloped toward an area where liquids can be collected for removal;</w:t>
      </w:r>
    </w:p>
    <w:p w14:paraId="42ECAF78" w14:textId="77777777" w:rsidR="00370E6F" w:rsidRPr="001531CD" w:rsidRDefault="00370E6F" w:rsidP="00370E6F">
      <w:pPr>
        <w:pStyle w:val="1"/>
      </w:pPr>
      <w:r w:rsidRPr="001531CD">
        <w:t>19.</w:t>
      </w:r>
      <w:r w:rsidRPr="001531CD">
        <w:tab/>
        <w:t>shall:</w:t>
      </w:r>
    </w:p>
    <w:p w14:paraId="0D1473C0" w14:textId="77777777" w:rsidR="00370E6F" w:rsidRPr="001531CD" w:rsidRDefault="00370E6F" w:rsidP="00370E6F">
      <w:pPr>
        <w:pStyle w:val="a0"/>
      </w:pPr>
      <w:r w:rsidRPr="001531CD">
        <w:t>a.</w:t>
      </w:r>
      <w:r w:rsidRPr="001531CD">
        <w:tab/>
        <w:t>prevent pesticides from escaping the structure;</w:t>
      </w:r>
    </w:p>
    <w:p w14:paraId="64A94877" w14:textId="77777777" w:rsidR="00370E6F" w:rsidRPr="001531CD" w:rsidRDefault="00370E6F" w:rsidP="00370E6F">
      <w:pPr>
        <w:pStyle w:val="a0"/>
      </w:pPr>
      <w:r w:rsidRPr="001531CD">
        <w:t>b.</w:t>
      </w:r>
      <w:r w:rsidRPr="001531CD">
        <w:tab/>
        <w:t>manage spilled and leaked materials no later than the end of the day of occurrence except in circumstances where a reasonable delay would significantly reduce the likelihood or severity of adverse effects to human health or the environment and according to the label and all regulations;</w:t>
      </w:r>
    </w:p>
    <w:p w14:paraId="4D4DF484" w14:textId="77777777" w:rsidR="00370E6F" w:rsidRPr="001531CD" w:rsidRDefault="00370E6F" w:rsidP="00370E6F">
      <w:pPr>
        <w:pStyle w:val="a0"/>
      </w:pPr>
      <w:r w:rsidRPr="001531CD">
        <w:t>c.</w:t>
      </w:r>
      <w:r w:rsidRPr="001531CD">
        <w:tab/>
        <w:t>ensure that transfers of pesticides are attended;</w:t>
      </w:r>
    </w:p>
    <w:p w14:paraId="42AA4C63" w14:textId="77777777" w:rsidR="00370E6F" w:rsidRPr="001531CD" w:rsidRDefault="00370E6F" w:rsidP="00370E6F">
      <w:pPr>
        <w:pStyle w:val="a0"/>
      </w:pPr>
      <w:r w:rsidRPr="001531CD">
        <w:t>d.</w:t>
      </w:r>
      <w:r w:rsidRPr="001531CD">
        <w:tab/>
        <w:t>lock valves on stationary pesticide containers or lock the facility, whenever the facility is unattended;</w:t>
      </w:r>
    </w:p>
    <w:p w14:paraId="1A41430A" w14:textId="77777777" w:rsidR="00370E6F" w:rsidRPr="001531CD" w:rsidRDefault="00370E6F" w:rsidP="00370E6F">
      <w:pPr>
        <w:pStyle w:val="a0"/>
      </w:pPr>
      <w:r w:rsidRPr="001531CD">
        <w:t>e.</w:t>
      </w:r>
      <w:r w:rsidRPr="001531CD">
        <w:tab/>
        <w:t xml:space="preserve">initiate repair to any areas showing damage and seal cracks and gaps no later than the end of the day on which </w:t>
      </w:r>
      <w:r w:rsidRPr="001531CD">
        <w:t>damage is noticed and complete repairs within a reasonable time frame, taking into account factors such as the weather, and the availability of cleanup materials, trained staff and equipment. Additional pesticides cannot be stored until repairs have been made; and Equip stationary containers with suitable sample points for official samples.</w:t>
      </w:r>
    </w:p>
    <w:p w14:paraId="54B59EA3" w14:textId="77777777" w:rsidR="00370E6F" w:rsidRPr="001531CD" w:rsidRDefault="00370E6F" w:rsidP="00370E6F">
      <w:pPr>
        <w:pStyle w:val="AuthorityNote"/>
      </w:pPr>
      <w:r w:rsidRPr="001531CD">
        <w:t>AUTHORITY NOTE:</w:t>
      </w:r>
      <w:r w:rsidRPr="001531CD">
        <w:tab/>
        <w:t xml:space="preserve">Promulgated in accordance with R.S. 3:3203 and R.S. 3:3243. </w:t>
      </w:r>
    </w:p>
    <w:p w14:paraId="5693C268" w14:textId="77777777" w:rsidR="00370E6F" w:rsidRPr="001531CD" w:rsidRDefault="00370E6F" w:rsidP="00370E6F">
      <w:pPr>
        <w:pStyle w:val="HistoricalNote"/>
      </w:pPr>
      <w:r w:rsidRPr="001531CD">
        <w:t>HISTORICAL NOTE:</w:t>
      </w:r>
      <w:r w:rsidRPr="001531CD">
        <w:tab/>
        <w:t>Promulgated by Department of Agriculture and Forestry, Office of Agricultural and Environmental Sciences, Advisory Commission on Pesticides, LR 37:3482 (December 2011).</w:t>
      </w:r>
    </w:p>
    <w:p w14:paraId="7D95FEE5" w14:textId="77777777" w:rsidR="00370E6F" w:rsidRPr="001531CD" w:rsidRDefault="00370E6F" w:rsidP="00370E6F">
      <w:pPr>
        <w:pStyle w:val="Chapter"/>
      </w:pPr>
      <w:bookmarkStart w:id="2441" w:name="_Toc194293972"/>
      <w:bookmarkStart w:id="2442" w:name="TOCT_SubC179"/>
      <w:bookmarkStart w:id="2443" w:name="_Toc224819240"/>
      <w:r w:rsidRPr="001531CD">
        <w:t>Chapter 15.</w:t>
      </w:r>
      <w:r w:rsidRPr="001531CD">
        <w:tab/>
        <w:t>Mechanically Powered Pesticide Application Equipment</w:t>
      </w:r>
      <w:bookmarkEnd w:id="2441"/>
      <w:bookmarkEnd w:id="2442"/>
      <w:bookmarkEnd w:id="2443"/>
    </w:p>
    <w:p w14:paraId="7E60A5B4" w14:textId="77777777" w:rsidR="00370E6F" w:rsidRPr="001531CD" w:rsidRDefault="00370E6F" w:rsidP="00370E6F">
      <w:pPr>
        <w:pStyle w:val="Section"/>
      </w:pPr>
      <w:bookmarkStart w:id="2444" w:name="_Toc194293973"/>
      <w:bookmarkStart w:id="2445" w:name="_Toc224819241"/>
      <w:r w:rsidRPr="001531CD">
        <w:t>§1501.</w:t>
      </w:r>
      <w:r w:rsidRPr="001531CD">
        <w:tab/>
        <w:t>Commercial Applicators</w:t>
      </w:r>
      <w:bookmarkEnd w:id="2444"/>
      <w:bookmarkEnd w:id="2445"/>
    </w:p>
    <w:p w14:paraId="5CC1D6CF" w14:textId="77777777" w:rsidR="00370E6F" w:rsidRPr="001531CD" w:rsidRDefault="00370E6F" w:rsidP="00370E6F">
      <w:pPr>
        <w:pStyle w:val="A"/>
      </w:pPr>
      <w:r w:rsidRPr="001531CD">
        <w:t>A.</w:t>
      </w:r>
      <w:r w:rsidRPr="001531CD">
        <w:tab/>
        <w:t>The following systems or controls must be present and in good operating order prior to the issuance of a decal.</w:t>
      </w:r>
    </w:p>
    <w:p w14:paraId="135ABD1C" w14:textId="77777777" w:rsidR="00370E6F" w:rsidRPr="001531CD" w:rsidRDefault="00370E6F" w:rsidP="00370E6F">
      <w:pPr>
        <w:pStyle w:val="1"/>
      </w:pPr>
      <w:r w:rsidRPr="001531CD">
        <w:t>1.</w:t>
      </w:r>
      <w:r w:rsidRPr="001531CD">
        <w:tab/>
        <w:t>Aerial and Ground Application Equipment</w:t>
      </w:r>
    </w:p>
    <w:p w14:paraId="1B15A2F5" w14:textId="77777777" w:rsidR="00370E6F" w:rsidRPr="001531CD" w:rsidRDefault="00370E6F" w:rsidP="00370E6F">
      <w:pPr>
        <w:pStyle w:val="a0"/>
      </w:pPr>
      <w:r w:rsidRPr="001531CD">
        <w:t>a.</w:t>
      </w:r>
      <w:r w:rsidRPr="001531CD">
        <w:tab/>
        <w:t>The hopper must be free of leaks and in good working order; and</w:t>
      </w:r>
    </w:p>
    <w:p w14:paraId="281944EE" w14:textId="77777777" w:rsidR="00370E6F" w:rsidRPr="001531CD" w:rsidRDefault="00370E6F" w:rsidP="00370E6F">
      <w:pPr>
        <w:pStyle w:val="a0"/>
      </w:pPr>
      <w:r w:rsidRPr="001531CD">
        <w:t>b.</w:t>
      </w:r>
      <w:r w:rsidRPr="001531CD">
        <w:tab/>
        <w:t>all equipment must include a properly functioning pressure gauge(s).</w:t>
      </w:r>
    </w:p>
    <w:p w14:paraId="6C763394" w14:textId="77777777" w:rsidR="00370E6F" w:rsidRPr="001531CD" w:rsidRDefault="00370E6F" w:rsidP="00370E6F">
      <w:pPr>
        <w:pStyle w:val="1"/>
      </w:pPr>
      <w:r w:rsidRPr="001531CD">
        <w:t>2.</w:t>
      </w:r>
      <w:r w:rsidRPr="001531CD">
        <w:tab/>
        <w:t>Aerial Application Equipment</w:t>
      </w:r>
    </w:p>
    <w:p w14:paraId="0DA59BCC" w14:textId="77777777" w:rsidR="00370E6F" w:rsidRPr="001531CD" w:rsidRDefault="00370E6F" w:rsidP="00370E6F">
      <w:pPr>
        <w:pStyle w:val="a0"/>
      </w:pPr>
      <w:r w:rsidRPr="001531CD">
        <w:t>a.</w:t>
      </w:r>
      <w:r w:rsidRPr="001531CD">
        <w:tab/>
        <w:t>The booms, nozzles, and hose fittings must be free of leaks;</w:t>
      </w:r>
    </w:p>
    <w:p w14:paraId="25568B4C" w14:textId="77777777" w:rsidR="00370E6F" w:rsidRPr="001531CD" w:rsidRDefault="00370E6F" w:rsidP="00370E6F">
      <w:pPr>
        <w:pStyle w:val="a0"/>
      </w:pPr>
      <w:r w:rsidRPr="001531CD">
        <w:t>b.</w:t>
      </w:r>
      <w:r w:rsidRPr="001531CD">
        <w:tab/>
        <w:t>the emergency dump, if present on an aircraft, must be free of leaks when in the closed position;</w:t>
      </w:r>
    </w:p>
    <w:p w14:paraId="042AA034" w14:textId="77777777" w:rsidR="00370E6F" w:rsidRPr="001531CD" w:rsidRDefault="00370E6F" w:rsidP="00370E6F">
      <w:pPr>
        <w:pStyle w:val="a0"/>
      </w:pPr>
      <w:r w:rsidRPr="001531CD">
        <w:t>c.</w:t>
      </w:r>
      <w:r w:rsidRPr="001531CD">
        <w:tab/>
        <w:t>there must be a main fluid filter between the main tank and the boom system; and</w:t>
      </w:r>
    </w:p>
    <w:p w14:paraId="7250AA34" w14:textId="77777777" w:rsidR="00370E6F" w:rsidRPr="001531CD" w:rsidRDefault="00370E6F" w:rsidP="00370E6F">
      <w:pPr>
        <w:pStyle w:val="a0"/>
      </w:pPr>
      <w:r w:rsidRPr="001531CD">
        <w:t>d.</w:t>
      </w:r>
      <w:r w:rsidRPr="001531CD">
        <w:tab/>
        <w:t>the distance between the outermost nozzles on the boom of a fixed wing aircraft shall not be more than 75 percent of the wing span of the aircraft. The boom on the rotary-wing aircraft may not exceed the rotor diameter. The commissioner may waive these requirements for specific aircraft.</w:t>
      </w:r>
    </w:p>
    <w:p w14:paraId="1B9E7964" w14:textId="77777777" w:rsidR="00370E6F" w:rsidRPr="001531CD" w:rsidRDefault="00370E6F" w:rsidP="00370E6F">
      <w:pPr>
        <w:pStyle w:val="1"/>
      </w:pPr>
      <w:r w:rsidRPr="001531CD">
        <w:t>3.</w:t>
      </w:r>
      <w:r w:rsidRPr="001531CD">
        <w:tab/>
        <w:t>secondary containment and containment pads are required for dispensing pesticides from stationary containers.</w:t>
      </w:r>
    </w:p>
    <w:p w14:paraId="29A3A568" w14:textId="77777777" w:rsidR="00CF626A" w:rsidRPr="001531CD" w:rsidRDefault="00370E6F" w:rsidP="00370E6F">
      <w:pPr>
        <w:pStyle w:val="AuthorityNote"/>
      </w:pPr>
      <w:r w:rsidRPr="001531CD">
        <w:t>AUTHORITY NOTE:</w:t>
      </w:r>
      <w:r w:rsidRPr="001531CD">
        <w:tab/>
        <w:t>Promulgated in accordance with R.S. 3:3203 and R.S. 3:3243.</w:t>
      </w:r>
    </w:p>
    <w:p w14:paraId="060D437A" w14:textId="77777777" w:rsidR="00CF626A" w:rsidRPr="001531CD" w:rsidRDefault="00CF626A">
      <w:pPr>
        <w:pStyle w:val="HistoricalNote"/>
      </w:pPr>
      <w:r w:rsidRPr="001531CD">
        <w:t>HISTORICAL NOTE:</w:t>
      </w:r>
      <w:r w:rsidRPr="001531CD">
        <w:tab/>
        <w:t>Promulgated by the Department of Agriculture, Advisory Commission on Pesticides, LR 10:198 (March 1984), amended by the Department of Agriculture and Forestry, Advisory Commission on Pestic</w:t>
      </w:r>
      <w:r w:rsidR="00370E6F" w:rsidRPr="001531CD">
        <w:t>ides, LR 24:281 (February 1998), amended by Department of Agriculture and Forestry, Office of Agricultural and Environmental Sciences, Advisory Commission on Pesticides, LR 37:3483 (December 2011).</w:t>
      </w:r>
    </w:p>
    <w:p w14:paraId="45E257BE" w14:textId="77777777" w:rsidR="00D06DAE" w:rsidRPr="001531CD" w:rsidRDefault="00D06DAE" w:rsidP="00D06DAE">
      <w:pPr>
        <w:pStyle w:val="Chapter"/>
      </w:pPr>
      <w:bookmarkStart w:id="2446" w:name="_Toc194293974"/>
      <w:bookmarkStart w:id="2447" w:name="_Toc224819242"/>
      <w:bookmarkStart w:id="2448" w:name="TOCT_SubC180"/>
      <w:r w:rsidRPr="001531CD">
        <w:lastRenderedPageBreak/>
        <w:t>Chapter 17.</w:t>
      </w:r>
      <w:r w:rsidRPr="001531CD">
        <w:tab/>
        <w:t>Monitoring of Commercial Applicator Operations</w:t>
      </w:r>
      <w:bookmarkEnd w:id="2446"/>
      <w:bookmarkEnd w:id="2447"/>
      <w:r w:rsidRPr="001531CD">
        <w:t xml:space="preserve"> </w:t>
      </w:r>
      <w:bookmarkEnd w:id="2448"/>
    </w:p>
    <w:p w14:paraId="174CE540" w14:textId="77777777" w:rsidR="00D06DAE" w:rsidRPr="001531CD" w:rsidRDefault="00D06DAE" w:rsidP="00D06DAE">
      <w:pPr>
        <w:pStyle w:val="Section"/>
      </w:pPr>
      <w:bookmarkStart w:id="2449" w:name="_Toc194293975"/>
      <w:bookmarkStart w:id="2450" w:name="_Toc224819243"/>
      <w:r w:rsidRPr="001531CD">
        <w:t>§1701.</w:t>
      </w:r>
      <w:r w:rsidRPr="001531CD">
        <w:tab/>
        <w:t>Monitoring of Commercial Applicator Operations</w:t>
      </w:r>
      <w:bookmarkEnd w:id="2449"/>
      <w:bookmarkEnd w:id="2450"/>
    </w:p>
    <w:p w14:paraId="7C0377D3" w14:textId="77777777" w:rsidR="00D06DAE" w:rsidRPr="001531CD" w:rsidRDefault="00D06DAE" w:rsidP="00D06DAE">
      <w:pPr>
        <w:pStyle w:val="A"/>
      </w:pPr>
      <w:r w:rsidRPr="001531CD">
        <w:t>A.</w:t>
      </w:r>
      <w:r w:rsidRPr="001531CD">
        <w:tab/>
        <w:t>Duly authorized representatives of the commissioner may inspect all pesticide applicator operations semi-annually, with or without prior notification, provided that the commissioner may monitor such sites on a more frequent basis whenever, in his sole discretion, he determines that there is a need for more frequent monitoring of any specific commercial applicator.</w:t>
      </w:r>
    </w:p>
    <w:p w14:paraId="2C18E6F8" w14:textId="77777777" w:rsidR="00D06DAE" w:rsidRPr="001531CD" w:rsidRDefault="00D06DAE" w:rsidP="00D06DAE">
      <w:pPr>
        <w:pStyle w:val="A"/>
      </w:pPr>
      <w:r w:rsidRPr="001531CD">
        <w:t>B.</w:t>
      </w:r>
      <w:r w:rsidRPr="001531CD">
        <w:tab/>
        <w:t>In such monitoring, the authorized representative of the commissioner shall:</w:t>
      </w:r>
    </w:p>
    <w:p w14:paraId="526181BF" w14:textId="77777777" w:rsidR="00D06DAE" w:rsidRPr="001531CD" w:rsidRDefault="00D06DAE" w:rsidP="00D06DAE">
      <w:pPr>
        <w:pStyle w:val="1"/>
      </w:pPr>
      <w:r w:rsidRPr="001531CD">
        <w:t>1.</w:t>
      </w:r>
      <w:r w:rsidRPr="001531CD">
        <w:tab/>
        <w:t>inspect the physical surroundings of the site to determine that all requirements of these regulations have been complied with;</w:t>
      </w:r>
    </w:p>
    <w:p w14:paraId="01BB6B6F" w14:textId="77777777" w:rsidR="00D06DAE" w:rsidRPr="001531CD" w:rsidRDefault="00D06DAE" w:rsidP="00D06DAE">
      <w:pPr>
        <w:pStyle w:val="1"/>
      </w:pPr>
      <w:r w:rsidRPr="001531CD">
        <w:t>2.</w:t>
      </w:r>
      <w:r w:rsidRPr="001531CD">
        <w:tab/>
        <w:t>inspect the records required by this Part;</w:t>
      </w:r>
    </w:p>
    <w:p w14:paraId="0E153C25" w14:textId="77777777" w:rsidR="00D06DAE" w:rsidRPr="001531CD" w:rsidRDefault="00D06DAE" w:rsidP="00D06DAE">
      <w:pPr>
        <w:pStyle w:val="1"/>
      </w:pPr>
      <w:r w:rsidRPr="001531CD">
        <w:t>3.</w:t>
      </w:r>
      <w:r w:rsidRPr="001531CD">
        <w:tab/>
        <w:t>take samples, as determined by the commissioner, at any of the following locations:</w:t>
      </w:r>
    </w:p>
    <w:p w14:paraId="5FB12179" w14:textId="77777777" w:rsidR="00D06DAE" w:rsidRPr="001531CD" w:rsidRDefault="00D06DAE" w:rsidP="00D06DAE">
      <w:pPr>
        <w:pStyle w:val="a0"/>
      </w:pPr>
      <w:r w:rsidRPr="001531CD">
        <w:t>a.</w:t>
      </w:r>
      <w:r w:rsidRPr="001531CD">
        <w:tab/>
        <w:t>any site where an application of pesticides has been made by the applicator;</w:t>
      </w:r>
    </w:p>
    <w:p w14:paraId="295DFB1F" w14:textId="77777777" w:rsidR="00D06DAE" w:rsidRPr="001531CD" w:rsidRDefault="00D06DAE" w:rsidP="00D06DAE">
      <w:pPr>
        <w:pStyle w:val="a0"/>
      </w:pPr>
      <w:r w:rsidRPr="001531CD">
        <w:t>b.</w:t>
      </w:r>
      <w:r w:rsidRPr="001531CD">
        <w:tab/>
        <w:t>any base storage;</w:t>
      </w:r>
    </w:p>
    <w:p w14:paraId="157797C6" w14:textId="77777777" w:rsidR="00D06DAE" w:rsidRPr="001531CD" w:rsidRDefault="00D06DAE" w:rsidP="00D06DAE">
      <w:pPr>
        <w:pStyle w:val="a0"/>
      </w:pPr>
      <w:r w:rsidRPr="001531CD">
        <w:t>c.</w:t>
      </w:r>
      <w:r w:rsidRPr="001531CD">
        <w:tab/>
        <w:t>any containment tank for pesticides which, upon disposal, are classified as hazardous wastes;</w:t>
      </w:r>
    </w:p>
    <w:p w14:paraId="280653A8" w14:textId="77777777" w:rsidR="00D06DAE" w:rsidRPr="001531CD" w:rsidRDefault="00D06DAE" w:rsidP="00D06DAE">
      <w:pPr>
        <w:pStyle w:val="a0"/>
      </w:pPr>
      <w:r w:rsidRPr="001531CD">
        <w:t>d.</w:t>
      </w:r>
      <w:r w:rsidRPr="001531CD">
        <w:tab/>
        <w:t>any surface impoundment;</w:t>
      </w:r>
    </w:p>
    <w:p w14:paraId="15C42DE0" w14:textId="77777777" w:rsidR="00D06DAE" w:rsidRPr="001531CD" w:rsidRDefault="00D06DAE" w:rsidP="00D06DAE">
      <w:pPr>
        <w:pStyle w:val="a0"/>
      </w:pPr>
      <w:r w:rsidRPr="001531CD">
        <w:t>e.</w:t>
      </w:r>
      <w:r w:rsidRPr="001531CD">
        <w:tab/>
        <w:t>any wash pad;</w:t>
      </w:r>
    </w:p>
    <w:p w14:paraId="222095B0" w14:textId="77777777" w:rsidR="00D06DAE" w:rsidRPr="001531CD" w:rsidRDefault="00D06DAE" w:rsidP="00D06DAE">
      <w:pPr>
        <w:pStyle w:val="a0"/>
      </w:pPr>
      <w:r w:rsidRPr="001531CD">
        <w:t>f.</w:t>
      </w:r>
      <w:r w:rsidRPr="001531CD">
        <w:tab/>
        <w:t>any soils or water, flowing or still, at any location on or adjacent to the base operation; or</w:t>
      </w:r>
    </w:p>
    <w:p w14:paraId="571B33F6" w14:textId="77777777" w:rsidR="00D06DAE" w:rsidRPr="001531CD" w:rsidRDefault="00D06DAE" w:rsidP="00D06DAE">
      <w:pPr>
        <w:pStyle w:val="a0"/>
      </w:pPr>
      <w:r w:rsidRPr="001531CD">
        <w:t>g.</w:t>
      </w:r>
      <w:r w:rsidRPr="001531CD">
        <w:tab/>
        <w:t>any application equipment (i.e., hopper tanks and connections, mixing tank, etc.).</w:t>
      </w:r>
    </w:p>
    <w:p w14:paraId="49A558F5" w14:textId="77777777" w:rsidR="00D06DAE" w:rsidRPr="001531CD" w:rsidRDefault="00D06DAE" w:rsidP="00D06DAE">
      <w:pPr>
        <w:pStyle w:val="A"/>
      </w:pPr>
      <w:r w:rsidRPr="001531CD">
        <w:t>C.</w:t>
      </w:r>
      <w:r w:rsidRPr="001531CD">
        <w:tab/>
        <w:t>Any samples taken as provided above shall be marked for identification under chain of custody procedures and shall be analyzed in accordance with procedures approved by the Association of Official Analytical Chemists and/or other methods approved by the U.S. Environmental Protection Agency.</w:t>
      </w:r>
    </w:p>
    <w:p w14:paraId="67527AC1" w14:textId="77777777" w:rsidR="00D06DAE" w:rsidRPr="001531CD" w:rsidRDefault="00D06DAE" w:rsidP="00D06DAE">
      <w:pPr>
        <w:pStyle w:val="A"/>
      </w:pPr>
      <w:r w:rsidRPr="001531CD">
        <w:t>D.</w:t>
      </w:r>
      <w:r w:rsidRPr="001531CD">
        <w:tab/>
        <w:t>The owner-operator from whose operations any sample is taken shall be provided with a copy of the analysis results within 30 days after the analysis is completed.</w:t>
      </w:r>
    </w:p>
    <w:p w14:paraId="623C3074" w14:textId="77777777" w:rsidR="00CF626A" w:rsidRPr="001531CD" w:rsidRDefault="00D06DAE" w:rsidP="00D06DAE">
      <w:pPr>
        <w:pStyle w:val="AuthorityNote"/>
      </w:pPr>
      <w:r w:rsidRPr="001531CD">
        <w:t>AUTHORITY NOTE:</w:t>
      </w:r>
      <w:r w:rsidRPr="001531CD">
        <w:tab/>
        <w:t>Promulgated in accordance with R.S. 3:3203 and R.S. 3:3201.</w:t>
      </w:r>
    </w:p>
    <w:p w14:paraId="3A1BB306" w14:textId="77777777" w:rsidR="00CF626A" w:rsidRPr="001531CD" w:rsidRDefault="00CF626A">
      <w:pPr>
        <w:pStyle w:val="HistoricalNote"/>
      </w:pPr>
      <w:r w:rsidRPr="001531CD">
        <w:t>HISTORICAL NOTE:</w:t>
      </w:r>
      <w:r w:rsidRPr="001531CD">
        <w:tab/>
        <w:t>Promulgated by the Department of Agriculture, Advisory Commission on Pes</w:t>
      </w:r>
      <w:r w:rsidR="00D06DAE" w:rsidRPr="001531CD">
        <w:t>ticides, LR 10:198 (March 1984), amended by Department of Agriculture and Forestry, Office of Agricultural and Environmental Sciences, Advisory Commission on Pesticides, LR 37:3484 (December 2011).</w:t>
      </w:r>
    </w:p>
    <w:p w14:paraId="53AFC1B3" w14:textId="77777777" w:rsidR="00D06DAE" w:rsidRPr="001531CD" w:rsidRDefault="00D06DAE" w:rsidP="00D06DAE">
      <w:pPr>
        <w:pStyle w:val="Chapter"/>
      </w:pPr>
      <w:bookmarkStart w:id="2451" w:name="_Toc224819244"/>
      <w:r w:rsidRPr="001531CD">
        <w:t>Chapter 19.</w:t>
      </w:r>
      <w:r w:rsidRPr="001531CD">
        <w:tab/>
        <w:t>Requirements for Access, Examination and Sampling</w:t>
      </w:r>
      <w:bookmarkEnd w:id="2451"/>
    </w:p>
    <w:p w14:paraId="18A6C5AC" w14:textId="77777777" w:rsidR="00D06DAE" w:rsidRPr="001531CD" w:rsidRDefault="00D06DAE" w:rsidP="00D06DAE">
      <w:pPr>
        <w:pStyle w:val="Section"/>
      </w:pPr>
      <w:bookmarkStart w:id="2452" w:name="_Toc194293977"/>
      <w:bookmarkStart w:id="2453" w:name="_Toc224819245"/>
      <w:r w:rsidRPr="001531CD">
        <w:t>§1901.</w:t>
      </w:r>
      <w:r w:rsidRPr="001531CD">
        <w:tab/>
        <w:t>Pesticide Dealers and Pesticide Salespersons</w:t>
      </w:r>
      <w:bookmarkEnd w:id="2452"/>
      <w:bookmarkEnd w:id="2453"/>
    </w:p>
    <w:p w14:paraId="50FA2290" w14:textId="77777777" w:rsidR="00D06DAE" w:rsidRPr="001531CD" w:rsidRDefault="00D06DAE" w:rsidP="00D06DAE">
      <w:pPr>
        <w:pStyle w:val="A"/>
      </w:pPr>
      <w:r w:rsidRPr="001531CD">
        <w:t>A.</w:t>
      </w:r>
      <w:r w:rsidRPr="001531CD">
        <w:tab/>
        <w:t>The commissioner, upon reasonable request, shall be permitted access to any premises where restricted use pesticides are sold, offered for sale, or held for distribution.</w:t>
      </w:r>
    </w:p>
    <w:p w14:paraId="270CC84E" w14:textId="77777777" w:rsidR="00D06DAE" w:rsidRPr="001531CD" w:rsidRDefault="00D06DAE" w:rsidP="00D06DAE">
      <w:pPr>
        <w:pStyle w:val="A"/>
      </w:pPr>
      <w:r w:rsidRPr="001531CD">
        <w:t>B.</w:t>
      </w:r>
      <w:r w:rsidRPr="001531CD">
        <w:tab/>
        <w:t>The commissioner may examine the records required under §2105 and may take samples of any restricted use pesticides found on the premises.</w:t>
      </w:r>
    </w:p>
    <w:p w14:paraId="306D1195" w14:textId="77777777" w:rsidR="00D06DAE" w:rsidRPr="001531CD" w:rsidRDefault="00D06DAE" w:rsidP="00D06DAE">
      <w:pPr>
        <w:pStyle w:val="A"/>
      </w:pPr>
      <w:r w:rsidRPr="001531CD">
        <w:t>C.</w:t>
      </w:r>
      <w:r w:rsidRPr="001531CD">
        <w:tab/>
        <w:t>Such samples shall be marked for identification by accepted chain of custody requirements and shall be analyzed in accordance with procedures approved by the Association of Official Analytical Chemists and/or other methods approved by the U.S. Environmental Protection Agency.</w:t>
      </w:r>
    </w:p>
    <w:p w14:paraId="63485246" w14:textId="77777777" w:rsidR="00D06DAE" w:rsidRPr="001531CD" w:rsidRDefault="00D06DAE" w:rsidP="00D06DAE">
      <w:pPr>
        <w:pStyle w:val="A"/>
      </w:pPr>
      <w:r w:rsidRPr="001531CD">
        <w:t>D.</w:t>
      </w:r>
      <w:r w:rsidRPr="001531CD">
        <w:tab/>
        <w:t>The owner of any restricted use pesticide from which such sample is taken shall be provided with a copy of the analysis results within 30 days after the analysis is completed.</w:t>
      </w:r>
    </w:p>
    <w:p w14:paraId="68893CC4" w14:textId="77777777" w:rsidR="00CF626A" w:rsidRPr="001531CD" w:rsidRDefault="00D06DAE" w:rsidP="00D06DAE">
      <w:pPr>
        <w:pStyle w:val="AuthorityNote"/>
      </w:pPr>
      <w:r w:rsidRPr="001531CD">
        <w:t>AUTHORITY NOTE:</w:t>
      </w:r>
      <w:r w:rsidRPr="001531CD">
        <w:tab/>
        <w:t>Promulgated in accordance with R.S. 3:3203 and R.S. 3:3245.</w:t>
      </w:r>
    </w:p>
    <w:p w14:paraId="73ED1646" w14:textId="77777777" w:rsidR="00CF626A" w:rsidRPr="001531CD" w:rsidRDefault="00CF626A">
      <w:pPr>
        <w:pStyle w:val="HistoricalNote"/>
      </w:pPr>
      <w:r w:rsidRPr="001531CD">
        <w:t>HISTORICAL NOTE:</w:t>
      </w:r>
      <w:r w:rsidRPr="001531CD">
        <w:tab/>
        <w:t>Promulgated by the Department of Agriculture, Advisory Commission on Pesticides, LR 10:198 (M</w:t>
      </w:r>
      <w:r w:rsidR="00D06DAE" w:rsidRPr="001531CD">
        <w:t>arch 1984), amended by Department of Agriculture and Forestry, Office of Agricultural and Environmental Sciences, Advisory Commission on Pesticides, LR 37:3484 (December 2011).</w:t>
      </w:r>
    </w:p>
    <w:p w14:paraId="697C6AEC" w14:textId="77777777" w:rsidR="00D06DAE" w:rsidRPr="001531CD" w:rsidRDefault="00D06DAE" w:rsidP="00D06DAE">
      <w:pPr>
        <w:pStyle w:val="Section"/>
      </w:pPr>
      <w:bookmarkStart w:id="2454" w:name="_Toc194293978"/>
      <w:bookmarkStart w:id="2455" w:name="_Toc224819246"/>
      <w:r w:rsidRPr="001531CD">
        <w:t>§1903.</w:t>
      </w:r>
      <w:r w:rsidRPr="001531CD">
        <w:tab/>
        <w:t>Agricultural Consultants</w:t>
      </w:r>
      <w:bookmarkEnd w:id="2454"/>
      <w:bookmarkEnd w:id="2455"/>
    </w:p>
    <w:p w14:paraId="651EC45C" w14:textId="77777777" w:rsidR="00D06DAE" w:rsidRPr="001531CD" w:rsidRDefault="00D06DAE" w:rsidP="00D06DAE">
      <w:pPr>
        <w:pStyle w:val="A"/>
      </w:pPr>
      <w:r w:rsidRPr="001531CD">
        <w:t>A.</w:t>
      </w:r>
      <w:r w:rsidRPr="001531CD">
        <w:tab/>
        <w:t>The commissioner, upon reasonable request, shall be permitted access to the records required under §2105.</w:t>
      </w:r>
    </w:p>
    <w:p w14:paraId="685FFB73" w14:textId="77777777" w:rsidR="00CF626A" w:rsidRPr="001531CD" w:rsidRDefault="00D06DAE" w:rsidP="00D06DAE">
      <w:pPr>
        <w:pStyle w:val="AuthorityNote"/>
      </w:pPr>
      <w:r w:rsidRPr="001531CD">
        <w:t>AUTHORITY NOTE:</w:t>
      </w:r>
      <w:r w:rsidRPr="001531CD">
        <w:tab/>
        <w:t>Promulgated in accordance with R.S. 3:3203 and R.S. 3:3246.</w:t>
      </w:r>
    </w:p>
    <w:p w14:paraId="453E588C" w14:textId="77777777" w:rsidR="00CF626A" w:rsidRPr="001531CD" w:rsidRDefault="00CF626A">
      <w:pPr>
        <w:pStyle w:val="HistoricalNote"/>
      </w:pPr>
      <w:r w:rsidRPr="001531CD">
        <w:t>HISTORICAL NOTE:</w:t>
      </w:r>
      <w:r w:rsidRPr="001531CD">
        <w:tab/>
        <w:t>Promulgated by the Department of Agriculture, Advisory Commission on Pes</w:t>
      </w:r>
      <w:r w:rsidR="00D06DAE" w:rsidRPr="001531CD">
        <w:t>ticides, LR 10:199 (March 1984), amended by Department of Agriculture and Forestry, Office of Agricultural and Environmental Sciences, Advisory Commission on Pesticides, LR:3484 (December 2011).</w:t>
      </w:r>
    </w:p>
    <w:p w14:paraId="03D7D0AC" w14:textId="77777777" w:rsidR="00260CFA" w:rsidRPr="001531CD" w:rsidRDefault="00260CFA" w:rsidP="00260CFA">
      <w:pPr>
        <w:pStyle w:val="Chapter"/>
      </w:pPr>
      <w:bookmarkStart w:id="2456" w:name="_Toc194293979"/>
      <w:bookmarkStart w:id="2457" w:name="TOCT_SubC182"/>
      <w:bookmarkStart w:id="2458" w:name="_Toc224819247"/>
      <w:r w:rsidRPr="001531CD">
        <w:t>Chapter 21.</w:t>
      </w:r>
      <w:r w:rsidRPr="001531CD">
        <w:tab/>
        <w:t>Record Keeping Requirements</w:t>
      </w:r>
      <w:bookmarkEnd w:id="2456"/>
      <w:bookmarkEnd w:id="2457"/>
      <w:bookmarkEnd w:id="2458"/>
    </w:p>
    <w:p w14:paraId="096D19D9" w14:textId="77777777" w:rsidR="00260CFA" w:rsidRPr="001531CD" w:rsidRDefault="00260CFA" w:rsidP="00260CFA">
      <w:pPr>
        <w:pStyle w:val="Section"/>
      </w:pPr>
      <w:bookmarkStart w:id="2459" w:name="_Toc194293980"/>
      <w:bookmarkStart w:id="2460" w:name="_Toc224819248"/>
      <w:r w:rsidRPr="001531CD">
        <w:t>§2101.</w:t>
      </w:r>
      <w:r w:rsidRPr="001531CD">
        <w:tab/>
      </w:r>
      <w:bookmarkEnd w:id="2459"/>
      <w:r w:rsidR="001631A3" w:rsidRPr="007F47E0">
        <w:t>Owne</w:t>
      </w:r>
      <w:r w:rsidR="001631A3" w:rsidRPr="007F47E0">
        <w:rPr>
          <w:spacing w:val="-7"/>
        </w:rPr>
        <w:t>r</w:t>
      </w:r>
      <w:r w:rsidR="001631A3" w:rsidRPr="007F47E0">
        <w:t>-Operators, Non-Fee Commercial</w:t>
      </w:r>
      <w:r w:rsidR="001631A3" w:rsidRPr="007F47E0">
        <w:rPr>
          <w:spacing w:val="-11"/>
        </w:rPr>
        <w:t xml:space="preserve"> </w:t>
      </w:r>
      <w:r w:rsidR="001631A3" w:rsidRPr="007F47E0">
        <w:t>Applicators, Private</w:t>
      </w:r>
      <w:r w:rsidR="001631A3" w:rsidRPr="007F47E0">
        <w:rPr>
          <w:spacing w:val="-11"/>
        </w:rPr>
        <w:t xml:space="preserve"> </w:t>
      </w:r>
      <w:r w:rsidR="001631A3" w:rsidRPr="007F47E0">
        <w:t>Applicators and Commercial</w:t>
      </w:r>
      <w:r w:rsidR="001631A3">
        <w:t xml:space="preserve"> </w:t>
      </w:r>
      <w:r w:rsidR="001631A3" w:rsidRPr="007F47E0">
        <w:t>Applicators</w:t>
      </w:r>
      <w:bookmarkEnd w:id="2460"/>
    </w:p>
    <w:p w14:paraId="3985589F" w14:textId="77777777" w:rsidR="001631A3" w:rsidRPr="007F47E0" w:rsidRDefault="001631A3" w:rsidP="001631A3">
      <w:pPr>
        <w:pStyle w:val="A"/>
      </w:pPr>
      <w:r w:rsidRPr="007F47E0">
        <w:t>A.</w:t>
      </w:r>
      <w:r w:rsidRPr="007F47E0">
        <w:rPr>
          <w:spacing w:val="109"/>
        </w:rPr>
        <w:tab/>
      </w:r>
      <w:r w:rsidR="00503917" w:rsidRPr="00503917">
        <w:t>Any person applying pesticides for a fee, private applicators described in §709, and commercial applicators described in §711, with the single exception of applicators listed in §711.B.2.g Category 7, shall accurately maintain, for a period of three years, records of pesticide applications on a record keeping form or record keeping format approved by the director. Records described herein must be maintained, within three days of the application, at the physical address of the employer or the physical address on the owner/operator license. A copy of these records shall be provided to any employee of department upon request at a reasonable time during normal working hours. The following information shall be included on that form:</w:t>
      </w:r>
    </w:p>
    <w:p w14:paraId="4BA5ADD8" w14:textId="77777777" w:rsidR="001631A3" w:rsidRPr="007F47E0" w:rsidRDefault="001631A3" w:rsidP="001631A3">
      <w:pPr>
        <w:pStyle w:val="1"/>
      </w:pPr>
      <w:r w:rsidRPr="007F47E0">
        <w:t>1.</w:t>
      </w:r>
      <w:r w:rsidRPr="007F47E0">
        <w:tab/>
        <w:t>owner/operator name, address, and license number;</w:t>
      </w:r>
    </w:p>
    <w:p w14:paraId="2E0B0865" w14:textId="77777777" w:rsidR="001631A3" w:rsidRPr="007F47E0" w:rsidRDefault="001631A3" w:rsidP="001631A3">
      <w:pPr>
        <w:pStyle w:val="1"/>
      </w:pPr>
      <w:r w:rsidRPr="007F47E0">
        <w:lastRenderedPageBreak/>
        <w:t>2.</w:t>
      </w:r>
      <w:r w:rsidRPr="007F47E0">
        <w:tab/>
        <w:t>certified applicato</w:t>
      </w:r>
      <w:r w:rsidRPr="007F47E0">
        <w:rPr>
          <w:spacing w:val="-8"/>
        </w:rPr>
        <w:t>r</w:t>
      </w:r>
      <w:r w:rsidRPr="007F47E0">
        <w:t>, name, address, and certification number;</w:t>
      </w:r>
    </w:p>
    <w:p w14:paraId="784DC4C2" w14:textId="77777777" w:rsidR="001631A3" w:rsidRPr="007F47E0" w:rsidRDefault="001631A3" w:rsidP="001631A3">
      <w:pPr>
        <w:pStyle w:val="1"/>
      </w:pPr>
      <w:r w:rsidRPr="007F47E0">
        <w:t>3.</w:t>
      </w:r>
      <w:r w:rsidRPr="007F47E0">
        <w:tab/>
        <w:t>customer name and address;</w:t>
      </w:r>
    </w:p>
    <w:p w14:paraId="5A823DE9" w14:textId="77777777" w:rsidR="001631A3" w:rsidRPr="007F47E0" w:rsidRDefault="001631A3" w:rsidP="001631A3">
      <w:pPr>
        <w:pStyle w:val="1"/>
      </w:pPr>
      <w:r w:rsidRPr="007F47E0">
        <w:t>4.</w:t>
      </w:r>
      <w:r w:rsidRPr="007F47E0">
        <w:tab/>
        <w:t>product/brand name;</w:t>
      </w:r>
    </w:p>
    <w:p w14:paraId="518E022A" w14:textId="77777777" w:rsidR="001631A3" w:rsidRPr="007F47E0" w:rsidRDefault="001631A3" w:rsidP="001631A3">
      <w:pPr>
        <w:pStyle w:val="1"/>
      </w:pPr>
      <w:r w:rsidRPr="007F47E0">
        <w:t>5.</w:t>
      </w:r>
      <w:r w:rsidRPr="007F47E0">
        <w:tab/>
        <w:t>E</w:t>
      </w:r>
      <w:r w:rsidRPr="007F47E0">
        <w:rPr>
          <w:spacing w:val="-18"/>
        </w:rPr>
        <w:t>P</w:t>
      </w:r>
      <w:r w:rsidRPr="007F47E0">
        <w:rPr>
          <w:spacing w:val="-11"/>
        </w:rPr>
        <w:t>A</w:t>
      </w:r>
      <w:r w:rsidRPr="007F47E0">
        <w:t xml:space="preserve"> registration number;</w:t>
      </w:r>
    </w:p>
    <w:p w14:paraId="4FF5DC06" w14:textId="77777777" w:rsidR="001631A3" w:rsidRPr="007F47E0" w:rsidRDefault="001631A3" w:rsidP="001631A3">
      <w:pPr>
        <w:pStyle w:val="1"/>
      </w:pPr>
      <w:r w:rsidRPr="007F47E0">
        <w:t>6.</w:t>
      </w:r>
      <w:r w:rsidRPr="007F47E0">
        <w:tab/>
        <w:t>restricted/general use pesticide;</w:t>
      </w:r>
    </w:p>
    <w:p w14:paraId="2606B90F" w14:textId="77777777" w:rsidR="001631A3" w:rsidRPr="007F47E0" w:rsidRDefault="001631A3" w:rsidP="001631A3">
      <w:pPr>
        <w:pStyle w:val="1"/>
      </w:pPr>
      <w:r w:rsidRPr="007F47E0">
        <w:t>7.</w:t>
      </w:r>
      <w:r w:rsidRPr="007F47E0">
        <w:tab/>
        <w:t>application date;</w:t>
      </w:r>
    </w:p>
    <w:p w14:paraId="6AF636FC" w14:textId="77777777" w:rsidR="00503917" w:rsidRPr="00503917" w:rsidRDefault="001631A3" w:rsidP="00503917">
      <w:pPr>
        <w:pStyle w:val="1"/>
      </w:pPr>
      <w:r w:rsidRPr="007F47E0">
        <w:t>8.</w:t>
      </w:r>
      <w:r w:rsidRPr="007F47E0">
        <w:tab/>
      </w:r>
      <w:r w:rsidR="00503917" w:rsidRPr="00503917">
        <w:t>time of application;</w:t>
      </w:r>
    </w:p>
    <w:p w14:paraId="02A846C7" w14:textId="77777777" w:rsidR="00503917" w:rsidRPr="00503917" w:rsidRDefault="00503917" w:rsidP="00503917">
      <w:pPr>
        <w:pStyle w:val="1"/>
      </w:pPr>
      <w:r w:rsidRPr="00503917">
        <w:t>9.</w:t>
      </w:r>
      <w:r w:rsidRPr="00503917">
        <w:tab/>
        <w:t>crop/type of application;</w:t>
      </w:r>
    </w:p>
    <w:p w14:paraId="0CB0030F" w14:textId="77777777" w:rsidR="00503917" w:rsidRPr="00503917" w:rsidRDefault="00503917" w:rsidP="00503917">
      <w:pPr>
        <w:pStyle w:val="1"/>
      </w:pPr>
      <w:r w:rsidRPr="00503917">
        <w:t>10.</w:t>
      </w:r>
      <w:r w:rsidRPr="00503917">
        <w:tab/>
        <w:t>location of application;</w:t>
      </w:r>
    </w:p>
    <w:p w14:paraId="577203DB" w14:textId="77777777" w:rsidR="00503917" w:rsidRPr="00503917" w:rsidRDefault="00503917" w:rsidP="00503917">
      <w:pPr>
        <w:pStyle w:val="1"/>
      </w:pPr>
      <w:r w:rsidRPr="00503917">
        <w:t>11.</w:t>
      </w:r>
      <w:r w:rsidRPr="00503917">
        <w:tab/>
        <w:t>size of area treated (acres, square feet, or minutes of spraying);</w:t>
      </w:r>
    </w:p>
    <w:p w14:paraId="4C0ADC3D" w14:textId="77777777" w:rsidR="00503917" w:rsidRPr="00503917" w:rsidRDefault="00503917" w:rsidP="00503917">
      <w:pPr>
        <w:pStyle w:val="1"/>
      </w:pPr>
      <w:r w:rsidRPr="00503917">
        <w:t>12.</w:t>
      </w:r>
      <w:r w:rsidRPr="00503917">
        <w:tab/>
        <w:t>rate of application;</w:t>
      </w:r>
    </w:p>
    <w:p w14:paraId="57AFEC19" w14:textId="77777777" w:rsidR="00503917" w:rsidRPr="00503917" w:rsidRDefault="00503917" w:rsidP="00503917">
      <w:pPr>
        <w:pStyle w:val="1"/>
      </w:pPr>
      <w:r w:rsidRPr="00503917">
        <w:t>13.</w:t>
      </w:r>
      <w:r w:rsidRPr="00503917">
        <w:tab/>
        <w:t>total amount of product (concentrate) applied per location, per application;</w:t>
      </w:r>
    </w:p>
    <w:p w14:paraId="1301500E" w14:textId="77777777" w:rsidR="00503917" w:rsidRPr="00503917" w:rsidRDefault="00503917" w:rsidP="00503917">
      <w:pPr>
        <w:pStyle w:val="1"/>
      </w:pPr>
      <w:r w:rsidRPr="00503917">
        <w:t>14.</w:t>
      </w:r>
      <w:r w:rsidRPr="00503917">
        <w:tab/>
        <w:t>applicator;</w:t>
      </w:r>
    </w:p>
    <w:p w14:paraId="3468DBD0" w14:textId="77777777" w:rsidR="00503917" w:rsidRPr="00503917" w:rsidRDefault="00503917" w:rsidP="00503917">
      <w:pPr>
        <w:pStyle w:val="1"/>
      </w:pPr>
      <w:r w:rsidRPr="00503917">
        <w:t>15.</w:t>
      </w:r>
      <w:r w:rsidRPr="00503917">
        <w:tab/>
        <w:t>certification number of applicator (if applicable).</w:t>
      </w:r>
    </w:p>
    <w:p w14:paraId="35C59347" w14:textId="77777777" w:rsidR="00260CFA" w:rsidRPr="001531CD" w:rsidRDefault="00503917" w:rsidP="00503917">
      <w:pPr>
        <w:pStyle w:val="A"/>
      </w:pPr>
      <w:r w:rsidRPr="00503917">
        <w:t>B.</w:t>
      </w:r>
      <w:r w:rsidRPr="00503917">
        <w:tab/>
        <w:t>Non-fee commercial applicators as described in §711.B.2.g, category 7, shall accurately maintain, for a period of three years, records of applications of all herbicides insecticides, rodenticide, and fumigants on the appropriate record keeping form as described in LAC 7:XXV.117.I and §2101.A and approved by the director. Records described herein shall be maintained, within seven days of the application, at the physical address of the employer. A copy of these records shall be provided to any employee of the department upon request, at a reasonable time during normal working hours.</w:t>
      </w:r>
    </w:p>
    <w:p w14:paraId="77AFE707" w14:textId="77777777" w:rsidR="00CF626A" w:rsidRPr="001531CD" w:rsidRDefault="00260CFA" w:rsidP="00260CFA">
      <w:pPr>
        <w:pStyle w:val="AuthorityNote"/>
      </w:pPr>
      <w:r w:rsidRPr="001531CD">
        <w:t>AUTHORITY NOTE:</w:t>
      </w:r>
      <w:r w:rsidRPr="001531CD">
        <w:tab/>
        <w:t>Promulgated in accordance with R.S. 3:3203.</w:t>
      </w:r>
    </w:p>
    <w:p w14:paraId="323EE863" w14:textId="77777777" w:rsidR="00CF626A" w:rsidRPr="001531CD" w:rsidRDefault="00CF626A">
      <w:pPr>
        <w:pStyle w:val="HistoricalNote"/>
      </w:pPr>
      <w:r w:rsidRPr="001531CD">
        <w:t>HISTORICAL NOTE:</w:t>
      </w:r>
      <w:r w:rsidRPr="001531CD">
        <w:tab/>
        <w:t>Promulgated by the Department of Agriculture, Advisory Commission on Pesticides, LR 10:199 (March 1984), amended by the Department of Agriculture and Forestry, Office of Agricultural and Environmental Scien</w:t>
      </w:r>
      <w:r w:rsidR="00260CFA" w:rsidRPr="001531CD">
        <w:t>ces, LR 21:929 (September 1995), amended by Department of Agriculture and Forestry, Office of Agricultural and Environmental Sciences, Advisory Commission on Pesticides, LR 37:3484 (December 2011)</w:t>
      </w:r>
      <w:r w:rsidR="007C42D4" w:rsidRPr="007C42D4">
        <w:t>, LR 44:2126 (December 2018</w:t>
      </w:r>
      <w:r w:rsidR="00503917" w:rsidRPr="00C96928">
        <w:t xml:space="preserve">), </w:t>
      </w:r>
      <w:r w:rsidR="00503917">
        <w:t>LR 51:775 (June 2025).</w:t>
      </w:r>
    </w:p>
    <w:p w14:paraId="3265E6B9" w14:textId="77777777" w:rsidR="00260CFA" w:rsidRPr="001531CD" w:rsidRDefault="00260CFA" w:rsidP="00260CFA">
      <w:pPr>
        <w:pStyle w:val="Section"/>
      </w:pPr>
      <w:bookmarkStart w:id="2461" w:name="_Toc194293981"/>
      <w:bookmarkStart w:id="2462" w:name="_Toc224819249"/>
      <w:r w:rsidRPr="001531CD">
        <w:t>§2103.</w:t>
      </w:r>
      <w:r w:rsidRPr="001531CD">
        <w:tab/>
        <w:t>Pesticide Dealers and Salespersons</w:t>
      </w:r>
      <w:bookmarkEnd w:id="2461"/>
      <w:bookmarkEnd w:id="2462"/>
    </w:p>
    <w:p w14:paraId="0A5108FF" w14:textId="77777777" w:rsidR="00260CFA" w:rsidRPr="001531CD" w:rsidRDefault="00260CFA" w:rsidP="00260CFA">
      <w:pPr>
        <w:pStyle w:val="A"/>
      </w:pPr>
      <w:r w:rsidRPr="001531CD">
        <w:t>A.</w:t>
      </w:r>
      <w:r w:rsidRPr="001531CD">
        <w:tab/>
        <w:t>The requirements of this rule apply to sales of:</w:t>
      </w:r>
    </w:p>
    <w:p w14:paraId="61D2E48B" w14:textId="77777777" w:rsidR="00260CFA" w:rsidRPr="001531CD" w:rsidRDefault="00260CFA" w:rsidP="00260CFA">
      <w:pPr>
        <w:pStyle w:val="1"/>
      </w:pPr>
      <w:r w:rsidRPr="001531CD">
        <w:t>1.</w:t>
      </w:r>
      <w:r w:rsidRPr="001531CD">
        <w:tab/>
        <w:t>pesticides classified as restricted use pesticides by the commissioner or the EPA;</w:t>
      </w:r>
    </w:p>
    <w:p w14:paraId="72969464" w14:textId="77777777" w:rsidR="00260CFA" w:rsidRPr="001531CD" w:rsidRDefault="00260CFA" w:rsidP="00260CFA">
      <w:pPr>
        <w:pStyle w:val="1"/>
      </w:pPr>
      <w:r w:rsidRPr="001531CD">
        <w:t>2.</w:t>
      </w:r>
      <w:r w:rsidRPr="001531CD">
        <w:tab/>
        <w:t>pesticides which, upon disposal, are classified as hazardous wastes; and</w:t>
      </w:r>
    </w:p>
    <w:p w14:paraId="15C7AFC0" w14:textId="77777777" w:rsidR="00260CFA" w:rsidRPr="001531CD" w:rsidRDefault="00260CFA" w:rsidP="00260CFA">
      <w:pPr>
        <w:pStyle w:val="1"/>
      </w:pPr>
      <w:r w:rsidRPr="001531CD">
        <w:t>3.</w:t>
      </w:r>
      <w:r w:rsidRPr="001531CD">
        <w:tab/>
        <w:t>pesticides listed in §1103.B, except when sales of pesticides listed in §1103.B are:</w:t>
      </w:r>
    </w:p>
    <w:p w14:paraId="28AE1020" w14:textId="77777777" w:rsidR="00260CFA" w:rsidRPr="001531CD" w:rsidRDefault="00260CFA" w:rsidP="00260CFA">
      <w:pPr>
        <w:pStyle w:val="a0"/>
      </w:pPr>
      <w:r w:rsidRPr="001531CD">
        <w:t>a.</w:t>
      </w:r>
      <w:r w:rsidRPr="001531CD">
        <w:tab/>
        <w:t>sold in concentrations of 2 percent or less; or</w:t>
      </w:r>
    </w:p>
    <w:p w14:paraId="38AD5805" w14:textId="77777777" w:rsidR="00260CFA" w:rsidRPr="001531CD" w:rsidRDefault="00260CFA" w:rsidP="00260CFA">
      <w:pPr>
        <w:pStyle w:val="a0"/>
      </w:pPr>
      <w:r w:rsidRPr="001531CD">
        <w:t>b.</w:t>
      </w:r>
      <w:r w:rsidRPr="001531CD">
        <w:tab/>
        <w:t>formulated with fertilizers for use by homeowners.</w:t>
      </w:r>
    </w:p>
    <w:p w14:paraId="6D167ABA" w14:textId="77777777" w:rsidR="000F35CF" w:rsidRPr="000F35CF" w:rsidRDefault="00260CFA" w:rsidP="000F35CF">
      <w:pPr>
        <w:pStyle w:val="A"/>
      </w:pPr>
      <w:r w:rsidRPr="001531CD">
        <w:t>B.</w:t>
      </w:r>
      <w:r w:rsidRPr="001531CD">
        <w:tab/>
      </w:r>
      <w:r w:rsidR="000F35CF" w:rsidRPr="000F35CF">
        <w:t>Licensed pesticide dealers, certified pesticide salespersons, and/or persons under the direct supervision of a certified dealer or salesperson shall maintain the following records on a current basis for a period of three years:</w:t>
      </w:r>
    </w:p>
    <w:p w14:paraId="126F1348" w14:textId="77777777" w:rsidR="00260CFA" w:rsidRPr="001531CD" w:rsidRDefault="000F35CF" w:rsidP="000F35CF">
      <w:pPr>
        <w:pStyle w:val="1"/>
      </w:pPr>
      <w:r w:rsidRPr="000F35CF">
        <w:t>1.</w:t>
      </w:r>
      <w:r w:rsidRPr="000F35CF">
        <w:tab/>
        <w:t>the name, amount and the EPA registration number of the pesticide purchased and/or sold;</w:t>
      </w:r>
    </w:p>
    <w:p w14:paraId="4A435F3D" w14:textId="77777777" w:rsidR="00260CFA" w:rsidRPr="001531CD" w:rsidRDefault="00260CFA" w:rsidP="00260CFA">
      <w:pPr>
        <w:pStyle w:val="1"/>
      </w:pPr>
      <w:r w:rsidRPr="001531CD">
        <w:t>2.</w:t>
      </w:r>
      <w:r w:rsidRPr="001531CD">
        <w:tab/>
        <w:t>the date of all purchase and/or sale transactions;</w:t>
      </w:r>
    </w:p>
    <w:p w14:paraId="15A975D6" w14:textId="77777777" w:rsidR="00260CFA" w:rsidRPr="001531CD" w:rsidRDefault="00260CFA" w:rsidP="00260CFA">
      <w:pPr>
        <w:pStyle w:val="1"/>
      </w:pPr>
      <w:r w:rsidRPr="001531CD">
        <w:t>3.</w:t>
      </w:r>
      <w:r w:rsidRPr="001531CD">
        <w:tab/>
        <w:t>the name, address, and certification number of the purchaser, including the purchaser's name, address, and certification number in all purchases made for cash;</w:t>
      </w:r>
    </w:p>
    <w:p w14:paraId="211A61F2" w14:textId="77777777" w:rsidR="00260CFA" w:rsidRPr="001531CD" w:rsidRDefault="00260CFA" w:rsidP="00260CFA">
      <w:pPr>
        <w:pStyle w:val="1"/>
      </w:pPr>
      <w:r w:rsidRPr="001531CD">
        <w:t>4.</w:t>
      </w:r>
      <w:r w:rsidRPr="001531CD">
        <w:tab/>
        <w:t>the name of the person handling any sales of pesticides covered by this Rule.</w:t>
      </w:r>
    </w:p>
    <w:p w14:paraId="0C2C342B" w14:textId="77777777" w:rsidR="00260CFA" w:rsidRPr="001531CD" w:rsidRDefault="00260CFA" w:rsidP="00260CFA">
      <w:pPr>
        <w:pStyle w:val="A"/>
      </w:pPr>
      <w:r w:rsidRPr="001531CD">
        <w:t>C.</w:t>
      </w:r>
      <w:r w:rsidRPr="001531CD">
        <w:tab/>
        <w:t>Whenever any pesticides which, upon disposal, are classified as hazardous wastes are delivered to a purchaser, the records required under this Rule shall include the name of the purchaser, amount of pesticide purchased, date of delivery, and location to which delivered.</w:t>
      </w:r>
    </w:p>
    <w:p w14:paraId="16DA1264" w14:textId="77777777" w:rsidR="00CF626A" w:rsidRPr="001531CD" w:rsidRDefault="00260CFA" w:rsidP="00260CFA">
      <w:pPr>
        <w:pStyle w:val="AuthorityNote"/>
      </w:pPr>
      <w:r w:rsidRPr="001531CD">
        <w:t>AUTHORITY NOTE:</w:t>
      </w:r>
      <w:r w:rsidRPr="001531CD">
        <w:tab/>
        <w:t>Promulgated in accordance with R.S. 3:3203 and R.S. 3:3245.</w:t>
      </w:r>
    </w:p>
    <w:p w14:paraId="470045B8" w14:textId="77777777" w:rsidR="00CF626A" w:rsidRPr="001531CD" w:rsidRDefault="00CF626A">
      <w:pPr>
        <w:pStyle w:val="HistoricalNote"/>
      </w:pPr>
      <w:r w:rsidRPr="001531CD">
        <w:t>HISTORICAL NOTE:</w:t>
      </w:r>
      <w:r w:rsidRPr="001531CD">
        <w:tab/>
        <w:t>Promulgated by the Department of Agriculture, Advisory Commission on Pes</w:t>
      </w:r>
      <w:r w:rsidR="00260CFA" w:rsidRPr="001531CD">
        <w:t>ticides, LR 10:199 (March 1984), amended by Department of Agriculture and Forestry, Office of Agricultural and Environmental Sciences, Advisory Commission on Pesticides, LR 37:3485 (December 2011</w:t>
      </w:r>
      <w:r w:rsidR="000F35CF" w:rsidRPr="000F35CF">
        <w:t>), amended by the Department of Agriculture and Forestry, Office of Agricultural and Environmental Sciences, Advisory Commission on Pesticides LR 51:776 (June 2025).</w:t>
      </w:r>
    </w:p>
    <w:p w14:paraId="707F70F1" w14:textId="77777777" w:rsidR="00260CFA" w:rsidRPr="001531CD" w:rsidRDefault="00260CFA" w:rsidP="00260CFA">
      <w:pPr>
        <w:pStyle w:val="Section"/>
      </w:pPr>
      <w:bookmarkStart w:id="2463" w:name="_Toc194293982"/>
      <w:bookmarkStart w:id="2464" w:name="_Toc224819250"/>
      <w:r w:rsidRPr="001531CD">
        <w:t>§2105.</w:t>
      </w:r>
      <w:r w:rsidRPr="001531CD">
        <w:tab/>
        <w:t>Agricultural Consultants</w:t>
      </w:r>
      <w:bookmarkEnd w:id="2463"/>
      <w:bookmarkEnd w:id="2464"/>
    </w:p>
    <w:p w14:paraId="641CCA3B" w14:textId="77777777" w:rsidR="00260CFA" w:rsidRPr="001531CD" w:rsidRDefault="00260CFA" w:rsidP="00260CFA">
      <w:pPr>
        <w:pStyle w:val="A"/>
      </w:pPr>
      <w:r w:rsidRPr="001531CD">
        <w:t>A.</w:t>
      </w:r>
      <w:r w:rsidRPr="001531CD">
        <w:tab/>
        <w:t>Every recommendation made by an agricultural consultant shall be in duplicate original and shall be dated and signed by the agricultural consultant.</w:t>
      </w:r>
    </w:p>
    <w:p w14:paraId="3F871CDD" w14:textId="77777777" w:rsidR="00260CFA" w:rsidRPr="001531CD" w:rsidRDefault="00260CFA" w:rsidP="00260CFA">
      <w:pPr>
        <w:pStyle w:val="A"/>
      </w:pPr>
      <w:r w:rsidRPr="001531CD">
        <w:t>B.</w:t>
      </w:r>
      <w:r w:rsidRPr="001531CD">
        <w:tab/>
        <w:t>Each recommendation made by an agricultural consultant shall include the following:</w:t>
      </w:r>
    </w:p>
    <w:p w14:paraId="3D6B258C" w14:textId="77777777" w:rsidR="00260CFA" w:rsidRPr="001531CD" w:rsidRDefault="00260CFA" w:rsidP="00260CFA">
      <w:pPr>
        <w:pStyle w:val="1"/>
      </w:pPr>
      <w:r w:rsidRPr="001531CD">
        <w:t>1.</w:t>
      </w:r>
      <w:r w:rsidRPr="001531CD">
        <w:tab/>
        <w:t>the name and address of person purchasing the consultant's services;</w:t>
      </w:r>
    </w:p>
    <w:p w14:paraId="528C4ED7" w14:textId="77777777" w:rsidR="00260CFA" w:rsidRPr="001531CD" w:rsidRDefault="00260CFA" w:rsidP="00260CFA">
      <w:pPr>
        <w:pStyle w:val="1"/>
      </w:pPr>
      <w:r w:rsidRPr="001531CD">
        <w:t>2.</w:t>
      </w:r>
      <w:r w:rsidRPr="001531CD">
        <w:tab/>
        <w:t>the location, including the crop, for which the recommendation is made;</w:t>
      </w:r>
    </w:p>
    <w:p w14:paraId="6BB965EB" w14:textId="77777777" w:rsidR="00260CFA" w:rsidRPr="001531CD" w:rsidRDefault="00260CFA" w:rsidP="00260CFA">
      <w:pPr>
        <w:pStyle w:val="1"/>
      </w:pPr>
      <w:r w:rsidRPr="001531CD">
        <w:t>3.</w:t>
      </w:r>
      <w:r w:rsidRPr="001531CD">
        <w:tab/>
        <w:t>the pesticide or pesticides recommended;</w:t>
      </w:r>
    </w:p>
    <w:p w14:paraId="4287E414" w14:textId="77777777" w:rsidR="00260CFA" w:rsidRPr="001531CD" w:rsidRDefault="00260CFA" w:rsidP="00260CFA">
      <w:pPr>
        <w:pStyle w:val="1"/>
      </w:pPr>
      <w:r w:rsidRPr="001531CD">
        <w:t>4.</w:t>
      </w:r>
      <w:r w:rsidRPr="001531CD">
        <w:tab/>
        <w:t>the recommended rate of application;</w:t>
      </w:r>
    </w:p>
    <w:p w14:paraId="7245A8E8" w14:textId="77777777" w:rsidR="00260CFA" w:rsidRPr="001531CD" w:rsidRDefault="00260CFA" w:rsidP="00260CFA">
      <w:pPr>
        <w:pStyle w:val="1"/>
      </w:pPr>
      <w:r w:rsidRPr="001531CD">
        <w:t>5.</w:t>
      </w:r>
      <w:r w:rsidRPr="001531CD">
        <w:tab/>
        <w:t>a brief statement as to the reasons for the recommendation; and</w:t>
      </w:r>
    </w:p>
    <w:p w14:paraId="756DBDB8" w14:textId="77777777" w:rsidR="00260CFA" w:rsidRPr="001531CD" w:rsidRDefault="00260CFA" w:rsidP="00260CFA">
      <w:pPr>
        <w:pStyle w:val="1"/>
      </w:pPr>
      <w:r w:rsidRPr="001531CD">
        <w:t>6.</w:t>
      </w:r>
      <w:r w:rsidRPr="001531CD">
        <w:tab/>
        <w:t>the date of when the recommendation is given.</w:t>
      </w:r>
    </w:p>
    <w:p w14:paraId="0E143C59" w14:textId="77777777" w:rsidR="00260CFA" w:rsidRPr="001531CD" w:rsidRDefault="00260CFA" w:rsidP="00260CFA">
      <w:pPr>
        <w:pStyle w:val="A"/>
      </w:pPr>
      <w:r w:rsidRPr="001531CD">
        <w:t>C.</w:t>
      </w:r>
      <w:r w:rsidRPr="001531CD">
        <w:tab/>
        <w:t>The pesticide recommendation shall be given to the purchaser of the consultant services or his designee and a copy shall be maintained in the records of the agricultural consultant.</w:t>
      </w:r>
    </w:p>
    <w:p w14:paraId="395BE997" w14:textId="77777777" w:rsidR="00260CFA" w:rsidRPr="001531CD" w:rsidRDefault="00260CFA" w:rsidP="00260CFA">
      <w:pPr>
        <w:pStyle w:val="A"/>
      </w:pPr>
      <w:r w:rsidRPr="001531CD">
        <w:t>D.</w:t>
      </w:r>
      <w:r w:rsidRPr="001531CD">
        <w:tab/>
        <w:t>The commissioner, or his duly authorized representative, shall be permitted access to such records upon reasonable request.</w:t>
      </w:r>
    </w:p>
    <w:p w14:paraId="161D15BB" w14:textId="77777777" w:rsidR="00CF626A" w:rsidRPr="001531CD" w:rsidRDefault="00260CFA" w:rsidP="00260CFA">
      <w:pPr>
        <w:pStyle w:val="AuthorityNote"/>
      </w:pPr>
      <w:r w:rsidRPr="001531CD">
        <w:t>AUTHORITY NOTE:</w:t>
      </w:r>
      <w:r w:rsidRPr="001531CD">
        <w:tab/>
        <w:t>Promulgated in accordance with R.S. 3:3203 and R.S. 3:3246.</w:t>
      </w:r>
    </w:p>
    <w:p w14:paraId="74D77289" w14:textId="77777777" w:rsidR="00CF626A" w:rsidRPr="001531CD" w:rsidRDefault="00CF626A">
      <w:pPr>
        <w:pStyle w:val="HistoricalNote"/>
      </w:pPr>
      <w:r w:rsidRPr="001531CD">
        <w:lastRenderedPageBreak/>
        <w:t>HISTORICAL NOTE:</w:t>
      </w:r>
      <w:r w:rsidRPr="001531CD">
        <w:tab/>
        <w:t>Promulgated by the Department of Agriculture, Advisory Commission on Pes</w:t>
      </w:r>
      <w:r w:rsidR="00260CFA" w:rsidRPr="001531CD">
        <w:t>ticides, LR 10:199 (March 1984), repromulgated by Department of Agriculture and Forestry, Office of Agricultural and Environmental Sciences, Advisory Commission on Pesticides, LR 37:3485 (December 2011).</w:t>
      </w:r>
    </w:p>
    <w:p w14:paraId="0851D62D" w14:textId="77777777" w:rsidR="00260CFA" w:rsidRPr="001531CD" w:rsidRDefault="00260CFA" w:rsidP="00260CFA">
      <w:pPr>
        <w:pStyle w:val="Chapter"/>
      </w:pPr>
      <w:bookmarkStart w:id="2465" w:name="TOC_SubC183"/>
      <w:bookmarkStart w:id="2466" w:name="_Toc194293983"/>
      <w:bookmarkStart w:id="2467" w:name="_Toc224819251"/>
      <w:r w:rsidRPr="001531CD">
        <w:t>Chapter 23.</w:t>
      </w:r>
      <w:bookmarkStart w:id="2468" w:name="TOCT_SubC183"/>
      <w:bookmarkEnd w:id="2465"/>
      <w:r w:rsidRPr="001531CD">
        <w:tab/>
        <w:t>Penalties</w:t>
      </w:r>
      <w:bookmarkEnd w:id="2466"/>
      <w:bookmarkEnd w:id="2467"/>
      <w:bookmarkEnd w:id="2468"/>
    </w:p>
    <w:p w14:paraId="46923F1C" w14:textId="77777777" w:rsidR="00260CFA" w:rsidRPr="001531CD" w:rsidRDefault="00260CFA" w:rsidP="00260CFA">
      <w:pPr>
        <w:pStyle w:val="Section"/>
      </w:pPr>
      <w:bookmarkStart w:id="2469" w:name="_Toc194293984"/>
      <w:bookmarkStart w:id="2470" w:name="_Toc224819252"/>
      <w:r w:rsidRPr="001531CD">
        <w:t>§2301.</w:t>
      </w:r>
      <w:r w:rsidRPr="001531CD">
        <w:tab/>
        <w:t>Penalties for Violation of Pesticide Statutes and These Regulations</w:t>
      </w:r>
      <w:bookmarkEnd w:id="2469"/>
      <w:bookmarkEnd w:id="2470"/>
    </w:p>
    <w:p w14:paraId="738BE8F0" w14:textId="77777777" w:rsidR="00260CFA" w:rsidRPr="001531CD" w:rsidRDefault="00260CFA" w:rsidP="00260CFA">
      <w:pPr>
        <w:pStyle w:val="A"/>
      </w:pPr>
      <w:r w:rsidRPr="001531CD">
        <w:t>A.</w:t>
      </w:r>
      <w:r w:rsidRPr="001531CD">
        <w:tab/>
        <w:t>The commissioner may suspend or revoke any license issued under the provisions of R.S. 3:3241-3257 and/or may assess a civil penalty not to exceed $5,000 for violation of any provision of R.S. 3:3201 through 3:3257 or any violation of any regulation enacted under the authority of said statutes.</w:t>
      </w:r>
    </w:p>
    <w:p w14:paraId="5974423C" w14:textId="77777777" w:rsidR="00260CFA" w:rsidRPr="001531CD" w:rsidRDefault="00260CFA" w:rsidP="00260CFA">
      <w:pPr>
        <w:pStyle w:val="A"/>
      </w:pPr>
      <w:r w:rsidRPr="001531CD">
        <w:t>B.</w:t>
      </w:r>
      <w:r w:rsidRPr="001531CD">
        <w:tab/>
        <w:t>Each separate day on which any violation occurs may be considered as a separate violation.</w:t>
      </w:r>
    </w:p>
    <w:p w14:paraId="5C1DEC29" w14:textId="77777777" w:rsidR="00260CFA" w:rsidRPr="001531CD" w:rsidRDefault="00260CFA" w:rsidP="00260CFA">
      <w:pPr>
        <w:pStyle w:val="A"/>
      </w:pPr>
      <w:r w:rsidRPr="001531CD">
        <w:t>C.</w:t>
      </w:r>
      <w:r w:rsidRPr="001531CD">
        <w:tab/>
        <w:t>No penalty may be assessed by the commissioner prior to the holding of an adjudicatory hearing before the commission. Such adjudicatory hearing shall be conducted in accordance with the requirements of the Administrative Procedure Act; any person alleged to have violated any provision of the pesticide statutes or these regulations shall be accorded all of the rights and privileges guaranteed under said Act.</w:t>
      </w:r>
    </w:p>
    <w:p w14:paraId="02F9BE1C" w14:textId="77777777" w:rsidR="00260CFA" w:rsidRPr="001531CD" w:rsidRDefault="00260CFA" w:rsidP="00260CFA">
      <w:pPr>
        <w:pStyle w:val="A"/>
      </w:pPr>
      <w:r w:rsidRPr="001531CD">
        <w:t>D.</w:t>
      </w:r>
      <w:r w:rsidRPr="001531CD">
        <w:tab/>
        <w:t>The commission shall recommend penalties to be imposed as a result of findings of fact and/or conclusions of law that a violation occurred.</w:t>
      </w:r>
    </w:p>
    <w:p w14:paraId="41FEEA26" w14:textId="77777777" w:rsidR="00260CFA" w:rsidRPr="001531CD" w:rsidRDefault="00260CFA" w:rsidP="00260CFA">
      <w:pPr>
        <w:pStyle w:val="A"/>
      </w:pPr>
      <w:r w:rsidRPr="001531CD">
        <w:t>E.</w:t>
      </w:r>
      <w:r w:rsidRPr="001531CD">
        <w:tab/>
        <w:t>Whenever the commissioner fails to accept the recommendations of the commission for the imposition of penalties following an adjudicatory proceeding, the commissioner shall notify the commission, in writing, of the reasons for his failure to accept the commission's recommendations.</w:t>
      </w:r>
    </w:p>
    <w:p w14:paraId="6B699390" w14:textId="77777777" w:rsidR="00CF626A" w:rsidRPr="001531CD" w:rsidRDefault="00260CFA" w:rsidP="00260CFA">
      <w:pPr>
        <w:pStyle w:val="AuthorityNote"/>
      </w:pPr>
      <w:r w:rsidRPr="001531CD">
        <w:t>AUTHORITY NOTE:</w:t>
      </w:r>
      <w:r w:rsidRPr="001531CD">
        <w:tab/>
        <w:t>Promulgated in accordance with R.S. 3:3203 and R.S. 3:3252.</w:t>
      </w:r>
    </w:p>
    <w:p w14:paraId="4C4EF166" w14:textId="77777777" w:rsidR="00CF626A" w:rsidRPr="001531CD" w:rsidRDefault="00CF626A">
      <w:pPr>
        <w:pStyle w:val="HistoricalNote"/>
      </w:pPr>
      <w:r w:rsidRPr="001531CD">
        <w:t>HISTORICAL NOTE:</w:t>
      </w:r>
      <w:r w:rsidRPr="001531CD">
        <w:tab/>
        <w:t>Promulgated by the Department of Agriculture, Advisory Commission on Pes</w:t>
      </w:r>
      <w:r w:rsidR="0005548B" w:rsidRPr="001531CD">
        <w:t>ticides, LR 10:199 (March 1984), amended by the Department of Agriculture and Forestry, Office of Agricultural and Environmental Sciences, Advisory Commission on Pesticides, LR 35:</w:t>
      </w:r>
      <w:r w:rsidR="00260CFA" w:rsidRPr="001531CD">
        <w:t>628 (April 2009), amended by Department of Agriculture and Forestry, Office of Agricultural and Environmental Sciences, Advisory Commission on Pesticides, LR 37:3485 (December 2011).</w:t>
      </w:r>
    </w:p>
    <w:p w14:paraId="0B8FBA16" w14:textId="77777777" w:rsidR="00260CFA" w:rsidRPr="001531CD" w:rsidRDefault="00D80634" w:rsidP="00260CFA">
      <w:pPr>
        <w:pStyle w:val="Chapter"/>
        <w:rPr>
          <w:strike/>
        </w:rPr>
      </w:pPr>
      <w:bookmarkStart w:id="2471" w:name="_Toc194293985"/>
      <w:bookmarkStart w:id="2472" w:name="TOCT_SubC184"/>
      <w:bookmarkStart w:id="2473" w:name="_Toc224819253"/>
      <w:r>
        <w:t>Chapter 25.</w:t>
      </w:r>
      <w:r>
        <w:tab/>
      </w:r>
      <w:r w:rsidR="00260CFA" w:rsidRPr="001531CD">
        <w:t xml:space="preserve">General Requirements for </w:t>
      </w:r>
      <w:bookmarkEnd w:id="2471"/>
      <w:bookmarkEnd w:id="2472"/>
      <w:r w:rsidR="00260CFA" w:rsidRPr="001531CD">
        <w:t>Rinsate Water</w:t>
      </w:r>
      <w:bookmarkEnd w:id="2473"/>
    </w:p>
    <w:p w14:paraId="23E2A447" w14:textId="77777777" w:rsidR="00260CFA" w:rsidRPr="001531CD" w:rsidRDefault="00260CFA" w:rsidP="00260CFA">
      <w:pPr>
        <w:pStyle w:val="Section"/>
      </w:pPr>
      <w:bookmarkStart w:id="2474" w:name="_Toc194293986"/>
      <w:bookmarkStart w:id="2475" w:name="_Toc224819254"/>
      <w:r w:rsidRPr="001531CD">
        <w:t>§2501.</w:t>
      </w:r>
      <w:r w:rsidRPr="001531CD">
        <w:tab/>
      </w:r>
      <w:bookmarkEnd w:id="2474"/>
      <w:r w:rsidRPr="001531CD">
        <w:t>Rinsate Water</w:t>
      </w:r>
      <w:bookmarkEnd w:id="2475"/>
    </w:p>
    <w:p w14:paraId="48C4F9CE" w14:textId="77777777" w:rsidR="00260CFA" w:rsidRPr="001531CD" w:rsidRDefault="00260CFA" w:rsidP="00260CFA">
      <w:pPr>
        <w:pStyle w:val="A"/>
      </w:pPr>
      <w:r w:rsidRPr="001531CD">
        <w:t>A.</w:t>
      </w:r>
      <w:r w:rsidRPr="001531CD">
        <w:tab/>
        <w:t>Rinsate from certified applicator’s cleaning pesticide application equipment shall be used in the following manner:</w:t>
      </w:r>
    </w:p>
    <w:p w14:paraId="47B02EA6" w14:textId="77777777" w:rsidR="00260CFA" w:rsidRPr="001531CD" w:rsidRDefault="00260CFA" w:rsidP="00260CFA">
      <w:pPr>
        <w:pStyle w:val="1"/>
      </w:pPr>
      <w:r w:rsidRPr="001531CD">
        <w:t>1.</w:t>
      </w:r>
      <w:r w:rsidRPr="001531CD">
        <w:tab/>
        <w:t xml:space="preserve">in subsequent applications of the pesticide; or </w:t>
      </w:r>
    </w:p>
    <w:p w14:paraId="4CFA75D6" w14:textId="77777777" w:rsidR="00260CFA" w:rsidRPr="001531CD" w:rsidRDefault="00260CFA" w:rsidP="00260CFA">
      <w:pPr>
        <w:pStyle w:val="1"/>
      </w:pPr>
      <w:r w:rsidRPr="001531CD">
        <w:t>2.</w:t>
      </w:r>
      <w:r w:rsidRPr="001531CD">
        <w:tab/>
        <w:t>placed in a rinsate collection system dedicated to that pesticide and used according to the label and labeling by the end of that applicable pesticide’s spray season; or</w:t>
      </w:r>
    </w:p>
    <w:p w14:paraId="3F878349" w14:textId="77777777" w:rsidR="00260CFA" w:rsidRPr="001531CD" w:rsidRDefault="00260CFA" w:rsidP="00260CFA">
      <w:pPr>
        <w:pStyle w:val="1"/>
      </w:pPr>
      <w:r w:rsidRPr="001531CD">
        <w:t>3.</w:t>
      </w:r>
      <w:r w:rsidRPr="001531CD">
        <w:tab/>
        <w:t>disposed in a permitted waste facility.</w:t>
      </w:r>
    </w:p>
    <w:p w14:paraId="4CC45A9D" w14:textId="77777777" w:rsidR="00CF626A" w:rsidRPr="001531CD" w:rsidRDefault="00260CFA" w:rsidP="00260CFA">
      <w:pPr>
        <w:pStyle w:val="AuthorityNote"/>
      </w:pPr>
      <w:r w:rsidRPr="001531CD">
        <w:t>AUTHORITY NOTE:</w:t>
      </w:r>
      <w:r w:rsidRPr="001531CD">
        <w:tab/>
        <w:t>Promulgated in accordance with R.S. 3:3271.</w:t>
      </w:r>
    </w:p>
    <w:p w14:paraId="23D523BC" w14:textId="77777777" w:rsidR="00CF626A" w:rsidRPr="001531CD" w:rsidRDefault="00CF626A">
      <w:pPr>
        <w:pStyle w:val="HistoricalNote"/>
      </w:pPr>
      <w:r w:rsidRPr="001531CD">
        <w:t>HISTORICAL NOTE:</w:t>
      </w:r>
      <w:r w:rsidRPr="001531CD">
        <w:tab/>
        <w:t>Promulgated by the Department of Agriculture, Advisory Commission on P</w:t>
      </w:r>
      <w:r w:rsidR="00260CFA" w:rsidRPr="001531CD">
        <w:t>esticides, LR 10:397 (May 1984), amended by Department of Agriculture and Forestry, Office of Agricultural and Environmental Sciences, Advisory Commission on Pesticides, LR 37:3485 (December 2011).</w:t>
      </w:r>
    </w:p>
    <w:p w14:paraId="42C8AFF3" w14:textId="77777777" w:rsidR="00260CFA" w:rsidRPr="001531CD" w:rsidRDefault="00260CFA" w:rsidP="00260CFA">
      <w:pPr>
        <w:pStyle w:val="Chapter"/>
      </w:pPr>
      <w:bookmarkStart w:id="2476" w:name="_Toc194293987"/>
      <w:bookmarkStart w:id="2477" w:name="_Toc224819255"/>
      <w:r w:rsidRPr="001531CD">
        <w:t>Chapter 27.</w:t>
      </w:r>
      <w:bookmarkStart w:id="2478" w:name="TOCT_SubC185"/>
      <w:r w:rsidRPr="001531CD">
        <w:tab/>
        <w:t>Handling Pesticide Spills by Applicators</w:t>
      </w:r>
      <w:bookmarkEnd w:id="2476"/>
      <w:bookmarkEnd w:id="2477"/>
      <w:bookmarkEnd w:id="2478"/>
    </w:p>
    <w:p w14:paraId="2812D026" w14:textId="77777777" w:rsidR="00260CFA" w:rsidRPr="001531CD" w:rsidRDefault="00260CFA" w:rsidP="00260CFA">
      <w:pPr>
        <w:pStyle w:val="Section"/>
      </w:pPr>
      <w:bookmarkStart w:id="2479" w:name="_Toc224819256"/>
      <w:bookmarkStart w:id="2480" w:name="_Toc194293988"/>
      <w:r w:rsidRPr="001531CD">
        <w:t>§2701.</w:t>
      </w:r>
      <w:r w:rsidRPr="001531CD">
        <w:tab/>
        <w:t>Handling Pesticide Spills</w:t>
      </w:r>
      <w:bookmarkEnd w:id="2479"/>
      <w:r w:rsidRPr="001531CD">
        <w:t xml:space="preserve"> </w:t>
      </w:r>
      <w:bookmarkEnd w:id="2480"/>
    </w:p>
    <w:p w14:paraId="74C81798" w14:textId="77777777" w:rsidR="00260CFA" w:rsidRPr="001531CD" w:rsidRDefault="00260CFA" w:rsidP="00260CFA">
      <w:pPr>
        <w:pStyle w:val="A"/>
      </w:pPr>
      <w:r w:rsidRPr="001531CD">
        <w:t>A.</w:t>
      </w:r>
      <w:r w:rsidRPr="001531CD">
        <w:tab/>
        <w:t>All uncontained spills of more than one gallon liquid or four pounds dry weight must be reported to the director of Pesticides and Environmental Programs within 24 hours by telephone and by written notice within three days.</w:t>
      </w:r>
    </w:p>
    <w:p w14:paraId="3B3E2199" w14:textId="77777777" w:rsidR="00260CFA" w:rsidRPr="001531CD" w:rsidRDefault="00260CFA" w:rsidP="00260CFA">
      <w:pPr>
        <w:pStyle w:val="A"/>
      </w:pPr>
      <w:r w:rsidRPr="001531CD">
        <w:t>B.</w:t>
      </w:r>
      <w:r w:rsidRPr="001531CD">
        <w:tab/>
        <w:t>The costs of cleanup resulting from pesticide spills are the responsibility of the person who spills the pesticide.</w:t>
      </w:r>
    </w:p>
    <w:p w14:paraId="599BBC54" w14:textId="77777777" w:rsidR="00260CFA" w:rsidRPr="001531CD" w:rsidRDefault="00260CFA" w:rsidP="00260CFA">
      <w:pPr>
        <w:pStyle w:val="A"/>
      </w:pPr>
      <w:r w:rsidRPr="001531CD">
        <w:t>C.</w:t>
      </w:r>
      <w:r w:rsidRPr="001531CD">
        <w:tab/>
        <w:t>Cleanup of pesticide spills shall be approved by the director.</w:t>
      </w:r>
    </w:p>
    <w:p w14:paraId="4694C2E0" w14:textId="77777777" w:rsidR="00CF626A" w:rsidRPr="001531CD" w:rsidRDefault="00260CFA" w:rsidP="00260CFA">
      <w:pPr>
        <w:pStyle w:val="AuthorityNote"/>
      </w:pPr>
      <w:r w:rsidRPr="001531CD">
        <w:t>AUTHORITY NOTE:</w:t>
      </w:r>
      <w:r w:rsidRPr="001531CD">
        <w:tab/>
        <w:t>Promulgated in accordance with R.S. 3:3271.</w:t>
      </w:r>
    </w:p>
    <w:p w14:paraId="5404D57A" w14:textId="77777777" w:rsidR="00CF626A" w:rsidRPr="001531CD" w:rsidRDefault="00CF626A">
      <w:pPr>
        <w:pStyle w:val="HistoricalNote"/>
      </w:pPr>
      <w:r w:rsidRPr="001531CD">
        <w:t>HISTORICAL NOTE:</w:t>
      </w:r>
      <w:r w:rsidRPr="001531CD">
        <w:tab/>
        <w:t>Promulgated by the Department of Agriculture, Advisory Commission on P</w:t>
      </w:r>
      <w:r w:rsidR="00260CFA" w:rsidRPr="001531CD">
        <w:t>esticides, LR 10:397 (May 1984), amended by Department of Agriculture and Forestry, Office of Agricultural and Environmental Sciences, Advisory Commission on Pesticides, LR 37:3486 (December 2011).</w:t>
      </w:r>
    </w:p>
    <w:p w14:paraId="587E9BCF" w14:textId="77777777" w:rsidR="00281D22" w:rsidRPr="001531CD" w:rsidRDefault="00281D22" w:rsidP="00281D22">
      <w:pPr>
        <w:pStyle w:val="Chapter"/>
      </w:pPr>
      <w:bookmarkStart w:id="2481" w:name="_Toc194293999"/>
      <w:bookmarkStart w:id="2482" w:name="_Toc224819257"/>
      <w:r w:rsidRPr="001531CD">
        <w:t>Chapter 29.</w:t>
      </w:r>
      <w:bookmarkStart w:id="2483" w:name="TOCT_SubC191"/>
      <w:r w:rsidRPr="001531CD">
        <w:tab/>
        <w:t>Emergency Procedures Related to Pesticides</w:t>
      </w:r>
      <w:bookmarkEnd w:id="2481"/>
      <w:bookmarkEnd w:id="2482"/>
      <w:bookmarkEnd w:id="2483"/>
    </w:p>
    <w:p w14:paraId="0C2C4306" w14:textId="77777777" w:rsidR="00281D22" w:rsidRPr="001531CD" w:rsidRDefault="00281D22" w:rsidP="00281D22">
      <w:pPr>
        <w:pStyle w:val="Section"/>
      </w:pPr>
      <w:bookmarkStart w:id="2484" w:name="_Toc194294000"/>
      <w:bookmarkStart w:id="2485" w:name="_Toc224819258"/>
      <w:r w:rsidRPr="001531CD">
        <w:t>§2901.</w:t>
      </w:r>
      <w:r w:rsidRPr="001531CD">
        <w:tab/>
        <w:t>Definitions</w:t>
      </w:r>
      <w:bookmarkEnd w:id="2484"/>
      <w:bookmarkEnd w:id="2485"/>
    </w:p>
    <w:p w14:paraId="1913E319" w14:textId="77777777" w:rsidR="00281D22" w:rsidRPr="001531CD" w:rsidRDefault="00281D22" w:rsidP="00281D22">
      <w:pPr>
        <w:pStyle w:val="A"/>
      </w:pPr>
      <w:r w:rsidRPr="001531CD">
        <w:t>A.</w:t>
      </w:r>
      <w:r w:rsidRPr="001531CD">
        <w:tab/>
        <w:t>In addition to the definitions listed below, and unless otherwise provided, the definitions in R.S. 3:3202 and §103 shall apply to this Subchapter of these regulations.</w:t>
      </w:r>
    </w:p>
    <w:p w14:paraId="2AFBE61D" w14:textId="77777777" w:rsidR="00281D22" w:rsidRPr="001531CD" w:rsidRDefault="00281D22" w:rsidP="00281D22">
      <w:pPr>
        <w:pStyle w:val="1"/>
      </w:pPr>
      <w:r w:rsidRPr="001531CD">
        <w:rPr>
          <w:i/>
          <w:iCs/>
        </w:rPr>
        <w:t>Complaint</w:t>
      </w:r>
      <w:r w:rsidRPr="001531CD">
        <w:t>―any information or report of any pesticide-related problem which could adversely affect human health or the environment.</w:t>
      </w:r>
    </w:p>
    <w:p w14:paraId="1CB7AA93" w14:textId="77777777" w:rsidR="00281D22" w:rsidRPr="001531CD" w:rsidRDefault="00281D22" w:rsidP="00281D22">
      <w:pPr>
        <w:pStyle w:val="1"/>
      </w:pPr>
      <w:r w:rsidRPr="001531CD">
        <w:rPr>
          <w:i/>
          <w:iCs/>
        </w:rPr>
        <w:t>Emergency</w:t>
      </w:r>
      <w:r w:rsidRPr="001531CD">
        <w:t>―a situation involving pesticides where there is imminent danger to human health or to the environment.</w:t>
      </w:r>
    </w:p>
    <w:p w14:paraId="4D177A2E" w14:textId="77777777" w:rsidR="00281D22" w:rsidRPr="001531CD" w:rsidRDefault="00281D22" w:rsidP="00281D22">
      <w:pPr>
        <w:pStyle w:val="1"/>
      </w:pPr>
      <w:r w:rsidRPr="001531CD">
        <w:rPr>
          <w:i/>
          <w:iCs/>
        </w:rPr>
        <w:t>Environment</w:t>
      </w:r>
      <w:r w:rsidRPr="001531CD">
        <w:t>―includes water, air and land and the interrelationship which exists among and between water, air, land and all living things.</w:t>
      </w:r>
    </w:p>
    <w:p w14:paraId="18B71A12" w14:textId="77777777" w:rsidR="00CF626A" w:rsidRPr="001531CD" w:rsidRDefault="00281D22" w:rsidP="00281D22">
      <w:pPr>
        <w:pStyle w:val="AuthorityNote"/>
      </w:pPr>
      <w:r w:rsidRPr="001531CD">
        <w:t>AUTHORITY NOTE:</w:t>
      </w:r>
      <w:r w:rsidRPr="001531CD">
        <w:tab/>
        <w:t>Promulgated in accordance with R.S. 3:3203(A).</w:t>
      </w:r>
    </w:p>
    <w:p w14:paraId="436FD278"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18:247 (March 1992), repromulgated by Department of Agriculture and Forestry, Office of Agricultural and Environmental Sciences, Advisory Commission on Pesticides, LR 37:3486 (December 2011).</w:t>
      </w:r>
    </w:p>
    <w:p w14:paraId="33EA2CB2" w14:textId="77777777" w:rsidR="00281D22" w:rsidRPr="001531CD" w:rsidRDefault="00281D22" w:rsidP="00281D22">
      <w:pPr>
        <w:pStyle w:val="Section"/>
      </w:pPr>
      <w:bookmarkStart w:id="2486" w:name="_Toc194294001"/>
      <w:bookmarkStart w:id="2487" w:name="_Toc224819259"/>
      <w:r w:rsidRPr="001531CD">
        <w:t>§2903.</w:t>
      </w:r>
      <w:r w:rsidRPr="001531CD">
        <w:tab/>
        <w:t>Identification of Emergency</w:t>
      </w:r>
      <w:bookmarkEnd w:id="2486"/>
      <w:bookmarkEnd w:id="2487"/>
    </w:p>
    <w:p w14:paraId="39C1801B" w14:textId="77777777" w:rsidR="00281D22" w:rsidRPr="001531CD" w:rsidRDefault="00281D22" w:rsidP="00281D22">
      <w:pPr>
        <w:pStyle w:val="A"/>
      </w:pPr>
      <w:r w:rsidRPr="001531CD">
        <w:t>A.</w:t>
      </w:r>
      <w:r w:rsidRPr="001531CD">
        <w:tab/>
        <w:t>Procedure</w:t>
      </w:r>
    </w:p>
    <w:p w14:paraId="4F5C64AC" w14:textId="77777777" w:rsidR="00281D22" w:rsidRPr="001531CD" w:rsidRDefault="00281D22" w:rsidP="00281D22">
      <w:pPr>
        <w:pStyle w:val="1"/>
      </w:pPr>
      <w:r w:rsidRPr="001531CD">
        <w:t>1.</w:t>
      </w:r>
      <w:r w:rsidRPr="001531CD">
        <w:tab/>
        <w:t xml:space="preserve">Persons detecting or discovering what they reasonably believe to be an emergency involving the use, misuse or storage of pesticides shall immediately contact </w:t>
      </w:r>
      <w:r w:rsidRPr="001531CD">
        <w:br/>
      </w:r>
      <w:r w:rsidRPr="001531CD">
        <w:lastRenderedPageBreak/>
        <w:t>the division via the 24-hour telephone hotline at (225) 925-3763.</w:t>
      </w:r>
    </w:p>
    <w:p w14:paraId="268F04A9" w14:textId="77777777" w:rsidR="00281D22" w:rsidRPr="001531CD" w:rsidRDefault="00281D22" w:rsidP="00281D22">
      <w:pPr>
        <w:pStyle w:val="1"/>
      </w:pPr>
      <w:r w:rsidRPr="001531CD">
        <w:t>2.</w:t>
      </w:r>
      <w:r w:rsidRPr="001531CD">
        <w:tab/>
        <w:t>Personnel receiving any complaint related to pesticides shall record the information required on department-approved telephone complaint forms.</w:t>
      </w:r>
    </w:p>
    <w:p w14:paraId="57B289A1" w14:textId="77777777" w:rsidR="00281D22" w:rsidRPr="001531CD" w:rsidRDefault="00281D22" w:rsidP="00281D22">
      <w:pPr>
        <w:pStyle w:val="1"/>
      </w:pPr>
      <w:r w:rsidRPr="001531CD">
        <w:t>3.</w:t>
      </w:r>
      <w:r w:rsidRPr="001531CD">
        <w:tab/>
        <w:t>Personnel receiving any complaint that could constitute an emergency shall immediately notify the director.</w:t>
      </w:r>
    </w:p>
    <w:p w14:paraId="7756D534" w14:textId="77777777" w:rsidR="00281D22" w:rsidRPr="001531CD" w:rsidRDefault="00281D22" w:rsidP="00281D22">
      <w:pPr>
        <w:pStyle w:val="1"/>
      </w:pPr>
      <w:r w:rsidRPr="001531CD">
        <w:t>4.</w:t>
      </w:r>
      <w:r w:rsidRPr="001531CD">
        <w:tab/>
        <w:t>Upon notification, the commissioner shall make a determination as to whether an emergency exists. This determination shall be made as soon as possible. In determining the gravity of the danger, the commissioner shall consider whether the pesticides have resulted in the death of marine life or wildlife and whether the maximum contaminant levels established by §3103 have been exceeded.</w:t>
      </w:r>
    </w:p>
    <w:p w14:paraId="593E256C" w14:textId="77777777" w:rsidR="00CF626A" w:rsidRPr="001531CD" w:rsidRDefault="00281D22" w:rsidP="00281D22">
      <w:pPr>
        <w:pStyle w:val="AuthorityNote"/>
      </w:pPr>
      <w:r w:rsidRPr="001531CD">
        <w:t>AUTHORITY NOTE:</w:t>
      </w:r>
      <w:r w:rsidRPr="001531CD">
        <w:tab/>
        <w:t>Promulgated in accordance with R.S. 3:3203(A).</w:t>
      </w:r>
    </w:p>
    <w:p w14:paraId="402E920D"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LR 18:247 (March 1</w:t>
      </w:r>
      <w:r w:rsidR="00281D22" w:rsidRPr="001531CD">
        <w:t>992), amended by Department of Agriculture and Forestry, Office of Agricultural and Environmental Sciences, Advisory Commission on Pesticides, LR 37:3486 (December 2011).</w:t>
      </w:r>
    </w:p>
    <w:p w14:paraId="55A5D330" w14:textId="77777777" w:rsidR="00281D22" w:rsidRPr="001531CD" w:rsidRDefault="00281D22" w:rsidP="00281D22">
      <w:pPr>
        <w:pStyle w:val="Section"/>
      </w:pPr>
      <w:bookmarkStart w:id="2488" w:name="_Toc194294002"/>
      <w:bookmarkStart w:id="2489" w:name="_Toc224819260"/>
      <w:r w:rsidRPr="001531CD">
        <w:t>§2905.</w:t>
      </w:r>
      <w:r w:rsidRPr="001531CD">
        <w:tab/>
        <w:t>Declaration of Emergency</w:t>
      </w:r>
      <w:bookmarkEnd w:id="2488"/>
      <w:bookmarkEnd w:id="2489"/>
    </w:p>
    <w:p w14:paraId="55A3C9CE" w14:textId="77777777" w:rsidR="00281D22" w:rsidRPr="001531CD" w:rsidRDefault="00281D22" w:rsidP="00281D22">
      <w:pPr>
        <w:pStyle w:val="A"/>
      </w:pPr>
      <w:r w:rsidRPr="001531CD">
        <w:t>A.</w:t>
      </w:r>
      <w:r w:rsidRPr="001531CD">
        <w:tab/>
        <w:t>Upon determining that an emergency exists, the director shall immediately declare in writing that an emergency exists and direct that the following emergency procedures be employed. The director shall notify the appropriate governmental agencies and the media as soon as is practical, and in no case later than eight hours after declaration of emergency.</w:t>
      </w:r>
    </w:p>
    <w:p w14:paraId="0781B6DC" w14:textId="77777777" w:rsidR="00CF626A" w:rsidRPr="001531CD" w:rsidRDefault="00281D22" w:rsidP="00281D22">
      <w:pPr>
        <w:pStyle w:val="AuthorityNote"/>
      </w:pPr>
      <w:r w:rsidRPr="001531CD">
        <w:t>AUTHORITY NOTE:</w:t>
      </w:r>
      <w:r w:rsidRPr="001531CD">
        <w:tab/>
        <w:t>Promulgated in accordance with R.S. 3:3203(A).</w:t>
      </w:r>
    </w:p>
    <w:p w14:paraId="1650D34B"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18:247 (March 1992), repromulgated by Department of Agriculture and Forestry, Office of Agricultural and Environmental Sciences, Advisory Commission on Pesticides, LR 37:3486 (December 2011).</w:t>
      </w:r>
    </w:p>
    <w:p w14:paraId="35C68EA8" w14:textId="77777777" w:rsidR="00281D22" w:rsidRPr="001531CD" w:rsidRDefault="00281D22" w:rsidP="00281D22">
      <w:pPr>
        <w:pStyle w:val="Section"/>
      </w:pPr>
      <w:bookmarkStart w:id="2490" w:name="_Toc194294003"/>
      <w:bookmarkStart w:id="2491" w:name="_Toc224819261"/>
      <w:r w:rsidRPr="001531CD">
        <w:t>§2907.</w:t>
      </w:r>
      <w:r w:rsidRPr="001531CD">
        <w:tab/>
        <w:t>Response to Emergency</w:t>
      </w:r>
      <w:bookmarkEnd w:id="2490"/>
      <w:bookmarkEnd w:id="2491"/>
    </w:p>
    <w:p w14:paraId="1D5B9588" w14:textId="77777777" w:rsidR="00281D22" w:rsidRPr="001531CD" w:rsidRDefault="00281D22" w:rsidP="00281D22">
      <w:pPr>
        <w:pStyle w:val="A"/>
      </w:pPr>
      <w:r w:rsidRPr="001531CD">
        <w:t>A.</w:t>
      </w:r>
      <w:r w:rsidRPr="001531CD">
        <w:tab/>
        <w:t>Containment. At the earliest possible time, the director shall direct and supervise efforts to accomplish the containment of the emergency.</w:t>
      </w:r>
    </w:p>
    <w:p w14:paraId="5D84355B" w14:textId="77777777" w:rsidR="00281D22" w:rsidRPr="001531CD" w:rsidRDefault="00281D22" w:rsidP="00281D22">
      <w:pPr>
        <w:pStyle w:val="A"/>
      </w:pPr>
      <w:r w:rsidRPr="001531CD">
        <w:t>B.</w:t>
      </w:r>
      <w:r w:rsidRPr="001531CD">
        <w:tab/>
        <w:t>Identification of Pesticide. The pesticide or pesticides involved in the emergency shall be identified. Efforts to identify the pesticide(s) shall include, but not be limited to the following:</w:t>
      </w:r>
    </w:p>
    <w:p w14:paraId="33FFD1AE" w14:textId="77777777" w:rsidR="00281D22" w:rsidRPr="001531CD" w:rsidRDefault="00281D22" w:rsidP="00281D22">
      <w:pPr>
        <w:pStyle w:val="1"/>
      </w:pPr>
      <w:r w:rsidRPr="001531CD">
        <w:t>1.</w:t>
      </w:r>
      <w:r w:rsidRPr="001531CD">
        <w:tab/>
        <w:t>labels of containers of the pesticides or other substances involved shall be consulted;</w:t>
      </w:r>
    </w:p>
    <w:p w14:paraId="781BD015" w14:textId="77777777" w:rsidR="00281D22" w:rsidRPr="001531CD" w:rsidRDefault="00281D22" w:rsidP="00281D22">
      <w:pPr>
        <w:pStyle w:val="1"/>
      </w:pPr>
      <w:r w:rsidRPr="001531CD">
        <w:t>2.</w:t>
      </w:r>
      <w:r w:rsidRPr="001531CD">
        <w:tab/>
        <w:t>the point source or non-point source shall be investigated and if determined, the relevant records and storage areas of that source examined;</w:t>
      </w:r>
    </w:p>
    <w:p w14:paraId="5E0AA798" w14:textId="77777777" w:rsidR="00281D22" w:rsidRPr="001531CD" w:rsidRDefault="00281D22" w:rsidP="00281D22">
      <w:pPr>
        <w:pStyle w:val="1"/>
      </w:pPr>
      <w:r w:rsidRPr="001531CD">
        <w:t>3.</w:t>
      </w:r>
      <w:r w:rsidRPr="001531CD">
        <w:tab/>
        <w:t>all emergency reports shall be reviewed by the director's staff;</w:t>
      </w:r>
    </w:p>
    <w:p w14:paraId="59CC56B2" w14:textId="77777777" w:rsidR="00281D22" w:rsidRPr="001531CD" w:rsidRDefault="00281D22" w:rsidP="00281D22">
      <w:pPr>
        <w:pStyle w:val="1"/>
      </w:pPr>
      <w:r w:rsidRPr="001531CD">
        <w:t>4.</w:t>
      </w:r>
      <w:r w:rsidRPr="001531CD">
        <w:tab/>
        <w:t>if indicated, an investigation shall be made relative to any recalled, suspended or canceled pesticides;</w:t>
      </w:r>
    </w:p>
    <w:p w14:paraId="0F26DAC3" w14:textId="77777777" w:rsidR="00281D22" w:rsidRPr="001531CD" w:rsidRDefault="00281D22" w:rsidP="00281D22">
      <w:pPr>
        <w:pStyle w:val="1"/>
      </w:pPr>
      <w:r w:rsidRPr="001531CD">
        <w:t>5.</w:t>
      </w:r>
      <w:r w:rsidRPr="001531CD">
        <w:tab/>
        <w:t>samples shall be obtained at the earliest possible time and analyzed in accordance with procedures approved by the Association of Official Analytical Chemists and/or other methods approved by the U.S. Environmental Protection Agency.</w:t>
      </w:r>
    </w:p>
    <w:p w14:paraId="60A31420" w14:textId="77777777" w:rsidR="00281D22" w:rsidRPr="001531CD" w:rsidRDefault="00281D22" w:rsidP="00281D22">
      <w:pPr>
        <w:pStyle w:val="A"/>
      </w:pPr>
      <w:r w:rsidRPr="001531CD">
        <w:t>C.</w:t>
      </w:r>
      <w:r w:rsidRPr="001531CD">
        <w:tab/>
        <w:t>Reporting Requirements. If it is reasonably believed that a pesticide emergency has taken place, all appropriate requirements for reporting to the department shall be complied with, according to §2903.</w:t>
      </w:r>
    </w:p>
    <w:p w14:paraId="6B47ECAF" w14:textId="77777777" w:rsidR="00281D22" w:rsidRPr="001531CD" w:rsidRDefault="00281D22" w:rsidP="00281D22">
      <w:pPr>
        <w:pStyle w:val="A"/>
      </w:pPr>
      <w:r w:rsidRPr="001531CD">
        <w:t>D.</w:t>
      </w:r>
      <w:r w:rsidRPr="001531CD">
        <w:tab/>
        <w:t>Investigation. In investigating any possible or known pesticide emergencies, the following information shall be sought and recorded:</w:t>
      </w:r>
    </w:p>
    <w:p w14:paraId="414FE657" w14:textId="77777777" w:rsidR="00281D22" w:rsidRPr="001531CD" w:rsidRDefault="00281D22" w:rsidP="00281D22">
      <w:pPr>
        <w:pStyle w:val="1"/>
      </w:pPr>
      <w:r w:rsidRPr="001531CD">
        <w:t>1.</w:t>
      </w:r>
      <w:r w:rsidRPr="001531CD">
        <w:tab/>
        <w:t>the date, time and location of the incident;</w:t>
      </w:r>
    </w:p>
    <w:p w14:paraId="31447FAF" w14:textId="77777777" w:rsidR="00281D22" w:rsidRPr="001531CD" w:rsidRDefault="00281D22" w:rsidP="00281D22">
      <w:pPr>
        <w:pStyle w:val="1"/>
      </w:pPr>
      <w:r w:rsidRPr="001531CD">
        <w:t>2.</w:t>
      </w:r>
      <w:r w:rsidRPr="001531CD">
        <w:tab/>
        <w:t>the date and time the incident was reported to the department;</w:t>
      </w:r>
    </w:p>
    <w:p w14:paraId="2BE31B84" w14:textId="77777777" w:rsidR="00281D22" w:rsidRPr="001531CD" w:rsidRDefault="00281D22" w:rsidP="00281D22">
      <w:pPr>
        <w:pStyle w:val="1"/>
      </w:pPr>
      <w:r w:rsidRPr="001531CD">
        <w:t>3.</w:t>
      </w:r>
      <w:r w:rsidRPr="001531CD">
        <w:tab/>
        <w:t>the department employee receiving the report;</w:t>
      </w:r>
    </w:p>
    <w:p w14:paraId="42A3609C" w14:textId="77777777" w:rsidR="00281D22" w:rsidRPr="001531CD" w:rsidRDefault="00281D22" w:rsidP="00281D22">
      <w:pPr>
        <w:pStyle w:val="1"/>
      </w:pPr>
      <w:r w:rsidRPr="001531CD">
        <w:t>4.</w:t>
      </w:r>
      <w:r w:rsidRPr="001531CD">
        <w:tab/>
        <w:t>from whom the report was received;</w:t>
      </w:r>
    </w:p>
    <w:p w14:paraId="10BE095B" w14:textId="77777777" w:rsidR="00281D22" w:rsidRPr="001531CD" w:rsidRDefault="00281D22" w:rsidP="00281D22">
      <w:pPr>
        <w:pStyle w:val="1"/>
      </w:pPr>
      <w:r w:rsidRPr="001531CD">
        <w:t>5.</w:t>
      </w:r>
      <w:r w:rsidRPr="001531CD">
        <w:tab/>
        <w:t>who initiated the investigation, along with the date, time and place the investigation was initiated;</w:t>
      </w:r>
    </w:p>
    <w:p w14:paraId="6579A2E0" w14:textId="77777777" w:rsidR="00281D22" w:rsidRPr="001531CD" w:rsidRDefault="00281D22" w:rsidP="00281D22">
      <w:pPr>
        <w:pStyle w:val="1"/>
      </w:pPr>
      <w:r w:rsidRPr="001531CD">
        <w:t>6.</w:t>
      </w:r>
      <w:r w:rsidRPr="001531CD">
        <w:tab/>
        <w:t>the identity and location of any witness(es);</w:t>
      </w:r>
    </w:p>
    <w:p w14:paraId="066A5BC5" w14:textId="77777777" w:rsidR="00281D22" w:rsidRPr="001531CD" w:rsidRDefault="00281D22" w:rsidP="00281D22">
      <w:pPr>
        <w:pStyle w:val="1"/>
      </w:pPr>
      <w:r w:rsidRPr="001531CD">
        <w:t>7.</w:t>
      </w:r>
      <w:r w:rsidRPr="001531CD">
        <w:tab/>
        <w:t>the time, place and circumstances under which each witness' statement was taken and whether such statement was confirmed;</w:t>
      </w:r>
    </w:p>
    <w:p w14:paraId="394F59BA" w14:textId="77777777" w:rsidR="00281D22" w:rsidRPr="001531CD" w:rsidRDefault="00281D22" w:rsidP="00281D22">
      <w:pPr>
        <w:pStyle w:val="1"/>
      </w:pPr>
      <w:r w:rsidRPr="001531CD">
        <w:t>8.</w:t>
      </w:r>
      <w:r w:rsidRPr="001531CD">
        <w:tab/>
        <w:t>the time, description and location of any samples taken;</w:t>
      </w:r>
    </w:p>
    <w:p w14:paraId="34320126" w14:textId="77777777" w:rsidR="00281D22" w:rsidRPr="001531CD" w:rsidRDefault="00281D22" w:rsidP="00281D22">
      <w:pPr>
        <w:pStyle w:val="1"/>
      </w:pPr>
      <w:r w:rsidRPr="001531CD">
        <w:t>9.</w:t>
      </w:r>
      <w:r w:rsidRPr="001531CD">
        <w:tab/>
        <w:t>the time, description and location of any other physical evidence; and</w:t>
      </w:r>
    </w:p>
    <w:p w14:paraId="7D62DAB4" w14:textId="77777777" w:rsidR="00281D22" w:rsidRPr="001531CD" w:rsidRDefault="00281D22" w:rsidP="00281D22">
      <w:pPr>
        <w:pStyle w:val="1"/>
      </w:pPr>
      <w:r w:rsidRPr="001531CD">
        <w:t>10.</w:t>
      </w:r>
      <w:r w:rsidRPr="001531CD">
        <w:tab/>
        <w:t>any information obtained, including that obtained through the inspection of records relevant to causation, identity of pesticide, containment, clean-up, and disposal.</w:t>
      </w:r>
    </w:p>
    <w:p w14:paraId="546D2BAB" w14:textId="77777777" w:rsidR="00281D22" w:rsidRPr="001531CD" w:rsidRDefault="00281D22" w:rsidP="00281D22">
      <w:pPr>
        <w:pStyle w:val="A"/>
      </w:pPr>
      <w:r w:rsidRPr="001531CD">
        <w:t>E.</w:t>
      </w:r>
      <w:r w:rsidRPr="001531CD">
        <w:tab/>
        <w:t>Remediation</w:t>
      </w:r>
    </w:p>
    <w:p w14:paraId="7B3117C2" w14:textId="77777777" w:rsidR="00281D22" w:rsidRPr="001531CD" w:rsidRDefault="00281D22" w:rsidP="00281D22">
      <w:pPr>
        <w:pStyle w:val="1"/>
      </w:pPr>
      <w:r w:rsidRPr="001531CD">
        <w:t>1.</w:t>
      </w:r>
      <w:r w:rsidRPr="001531CD">
        <w:tab/>
        <w:t>At the earliest possible time, the director shall develop a written plan for clean-up and disposal of pesticide waste as necessary to accomplish remediation of the emergency. In developing said plan, the director shall consider at a minimum, the following information if ascertainable:</w:t>
      </w:r>
    </w:p>
    <w:p w14:paraId="2569691C" w14:textId="77777777" w:rsidR="00281D22" w:rsidRPr="001531CD" w:rsidRDefault="00281D22" w:rsidP="00281D22">
      <w:pPr>
        <w:pStyle w:val="a0"/>
      </w:pPr>
      <w:r w:rsidRPr="001531CD">
        <w:t>a.</w:t>
      </w:r>
      <w:r w:rsidRPr="001531CD">
        <w:tab/>
        <w:t>the location of the land where the pesticide(s) was applied;</w:t>
      </w:r>
    </w:p>
    <w:p w14:paraId="57F225EC" w14:textId="77777777" w:rsidR="00281D22" w:rsidRPr="001531CD" w:rsidRDefault="00281D22" w:rsidP="00281D22">
      <w:pPr>
        <w:pStyle w:val="a0"/>
      </w:pPr>
      <w:r w:rsidRPr="001531CD">
        <w:t>b.</w:t>
      </w:r>
      <w:r w:rsidRPr="001531CD">
        <w:tab/>
        <w:t>the year, month, date and time the pesticide(s) was applied;</w:t>
      </w:r>
    </w:p>
    <w:p w14:paraId="7FA5A4E6" w14:textId="77777777" w:rsidR="00281D22" w:rsidRPr="001531CD" w:rsidRDefault="00281D22" w:rsidP="00281D22">
      <w:pPr>
        <w:pStyle w:val="a0"/>
      </w:pPr>
      <w:r w:rsidRPr="001531CD">
        <w:t>c.</w:t>
      </w:r>
      <w:r w:rsidRPr="001531CD">
        <w:tab/>
        <w:t>the product name(s) used on the registered label, and the scientific name(s);</w:t>
      </w:r>
    </w:p>
    <w:p w14:paraId="10B4076A" w14:textId="77777777" w:rsidR="00281D22" w:rsidRPr="001531CD" w:rsidRDefault="00281D22" w:rsidP="00281D22">
      <w:pPr>
        <w:pStyle w:val="a0"/>
      </w:pPr>
      <w:r w:rsidRPr="001531CD">
        <w:t>d.</w:t>
      </w:r>
      <w:r w:rsidRPr="001531CD">
        <w:tab/>
        <w:t>the inert ingredients contained in the pesticide(s);</w:t>
      </w:r>
    </w:p>
    <w:p w14:paraId="658D2AB9" w14:textId="77777777" w:rsidR="00281D22" w:rsidRPr="001531CD" w:rsidRDefault="00281D22" w:rsidP="00281D22">
      <w:pPr>
        <w:pStyle w:val="a0"/>
      </w:pPr>
      <w:r w:rsidRPr="001531CD">
        <w:t>e.</w:t>
      </w:r>
      <w:r w:rsidRPr="001531CD">
        <w:tab/>
        <w:t>the United States Environmental Protection Agency and state registration numbers of the pesticide(s) that were applied;</w:t>
      </w:r>
    </w:p>
    <w:p w14:paraId="73ACE467" w14:textId="77777777" w:rsidR="00281D22" w:rsidRPr="001531CD" w:rsidRDefault="00281D22" w:rsidP="00281D22">
      <w:pPr>
        <w:pStyle w:val="a0"/>
      </w:pPr>
      <w:r w:rsidRPr="001531CD">
        <w:t>f.</w:t>
      </w:r>
      <w:r w:rsidRPr="001531CD">
        <w:tab/>
        <w:t>the crop and site to which the pesticide(s) was applied;</w:t>
      </w:r>
    </w:p>
    <w:p w14:paraId="4AC34485" w14:textId="77777777" w:rsidR="00281D22" w:rsidRPr="001531CD" w:rsidRDefault="00281D22" w:rsidP="00281D22">
      <w:pPr>
        <w:pStyle w:val="a0"/>
      </w:pPr>
      <w:r w:rsidRPr="001531CD">
        <w:lastRenderedPageBreak/>
        <w:t>g.</w:t>
      </w:r>
      <w:r w:rsidRPr="001531CD">
        <w:tab/>
        <w:t>the amount of pesticide(s) applied per acre, or other appropriate measure;</w:t>
      </w:r>
    </w:p>
    <w:p w14:paraId="40287AF5" w14:textId="77777777" w:rsidR="00281D22" w:rsidRPr="001531CD" w:rsidRDefault="00281D22" w:rsidP="00281D22">
      <w:pPr>
        <w:pStyle w:val="a0"/>
      </w:pPr>
      <w:r w:rsidRPr="001531CD">
        <w:t>h.</w:t>
      </w:r>
      <w:r w:rsidRPr="001531CD">
        <w:tab/>
        <w:t>the concentration of pesticide(s) that was applied as well as concentrations in the soil and water to indicate extent of contamination;</w:t>
      </w:r>
    </w:p>
    <w:p w14:paraId="6C01DE45" w14:textId="77777777" w:rsidR="00281D22" w:rsidRPr="001531CD" w:rsidRDefault="00281D22" w:rsidP="00281D22">
      <w:pPr>
        <w:pStyle w:val="a0"/>
      </w:pPr>
      <w:r w:rsidRPr="001531CD">
        <w:t>i.</w:t>
      </w:r>
      <w:r w:rsidRPr="001531CD">
        <w:tab/>
        <w:t>the applicator's business name, if any;</w:t>
      </w:r>
    </w:p>
    <w:p w14:paraId="1EB8F208" w14:textId="77777777" w:rsidR="00281D22" w:rsidRPr="001531CD" w:rsidRDefault="00281D22" w:rsidP="00281D22">
      <w:pPr>
        <w:pStyle w:val="a0"/>
      </w:pPr>
      <w:r w:rsidRPr="001531CD">
        <w:t>j.</w:t>
      </w:r>
      <w:r w:rsidRPr="001531CD">
        <w:tab/>
        <w:t>the applicator's name, address, and telephone number;</w:t>
      </w:r>
    </w:p>
    <w:p w14:paraId="3829E536" w14:textId="77777777" w:rsidR="00281D22" w:rsidRPr="001531CD" w:rsidRDefault="00281D22" w:rsidP="00281D22">
      <w:pPr>
        <w:pStyle w:val="a0"/>
      </w:pPr>
      <w:r w:rsidRPr="001531CD">
        <w:t>k.</w:t>
      </w:r>
      <w:r w:rsidRPr="001531CD">
        <w:tab/>
        <w:t>if applied aerially, the direction and velocity of the wind at the time the pesticide(s) were applied; and</w:t>
      </w:r>
    </w:p>
    <w:p w14:paraId="3A4B2D52" w14:textId="77777777" w:rsidR="00281D22" w:rsidRPr="001531CD" w:rsidRDefault="00281D22" w:rsidP="00281D22">
      <w:pPr>
        <w:pStyle w:val="a0"/>
      </w:pPr>
      <w:r w:rsidRPr="001531CD">
        <w:t>l.</w:t>
      </w:r>
      <w:r w:rsidRPr="001531CD">
        <w:tab/>
        <w:t>possible hazards to human health that may result from the release considering both direct and indirect effects of the pesticide(s) application.</w:t>
      </w:r>
    </w:p>
    <w:p w14:paraId="7116816C" w14:textId="77777777" w:rsidR="00281D22" w:rsidRPr="001531CD" w:rsidRDefault="00281D22" w:rsidP="00281D22">
      <w:pPr>
        <w:pStyle w:val="1"/>
      </w:pPr>
      <w:r w:rsidRPr="001531CD">
        <w:t>2.</w:t>
      </w:r>
      <w:r w:rsidRPr="001531CD">
        <w:tab/>
        <w:t>The director shall issue appropriate remedial orders as are necessary to accomplish the plan for clean-up and disposal.</w:t>
      </w:r>
    </w:p>
    <w:p w14:paraId="076FF5E3" w14:textId="77777777" w:rsidR="00281D22" w:rsidRPr="001531CD" w:rsidRDefault="00281D22" w:rsidP="00281D22">
      <w:pPr>
        <w:pStyle w:val="A"/>
      </w:pPr>
      <w:r w:rsidRPr="001531CD">
        <w:t>F.</w:t>
      </w:r>
      <w:r w:rsidRPr="001531CD">
        <w:tab/>
        <w:t>Health Related Complaints. Any complaint involving a health-related emergency shall be handled according to the agreement entered into between the department and the Louisiana Department of Health and Hospitals.</w:t>
      </w:r>
    </w:p>
    <w:p w14:paraId="6D38BD6F" w14:textId="77777777" w:rsidR="00CF626A" w:rsidRPr="001531CD" w:rsidRDefault="00281D22" w:rsidP="00281D22">
      <w:pPr>
        <w:pStyle w:val="AuthorityNote"/>
      </w:pPr>
      <w:r w:rsidRPr="001531CD">
        <w:t>AUTHORITY NOTE:</w:t>
      </w:r>
      <w:r w:rsidRPr="001531CD">
        <w:tab/>
        <w:t>Promulgated in accordance with R.S. 3:3203(A).</w:t>
      </w:r>
    </w:p>
    <w:p w14:paraId="34C83F77" w14:textId="77777777" w:rsidR="00CF626A" w:rsidRPr="001531CD" w:rsidRDefault="00CF626A">
      <w:pPr>
        <w:pStyle w:val="HistoricalNote"/>
      </w:pPr>
      <w:r w:rsidRPr="001531CD">
        <w:t>HISTORICAL NOTE:</w:t>
      </w:r>
      <w:r w:rsidRPr="001531CD">
        <w:tab/>
        <w:t>Promulgated by the Department of Agriculture and Forestry, Agricultural and Environmental Sciences, LR 18:247 (March 1992)</w:t>
      </w:r>
      <w:r w:rsidR="00281D22" w:rsidRPr="001531CD">
        <w:t>, amended LR 20:641 (June 1994), amended by Department of Agriculture and Forestry, Office of Agricultural and Environmental Sciences, Advisory Commission on Pesticides, LR 37:3486 (December 2011).</w:t>
      </w:r>
    </w:p>
    <w:p w14:paraId="013780B1" w14:textId="77777777" w:rsidR="00281D22" w:rsidRPr="001531CD" w:rsidRDefault="00281D22" w:rsidP="00281D22">
      <w:pPr>
        <w:pStyle w:val="Section"/>
      </w:pPr>
      <w:bookmarkStart w:id="2492" w:name="_Toc194294004"/>
      <w:bookmarkStart w:id="2493" w:name="_Toc224819262"/>
      <w:r w:rsidRPr="001531CD">
        <w:t>§2909.</w:t>
      </w:r>
      <w:r w:rsidRPr="001531CD">
        <w:tab/>
        <w:t>Declaration of Termination of Emergency</w:t>
      </w:r>
      <w:bookmarkEnd w:id="2492"/>
      <w:bookmarkEnd w:id="2493"/>
    </w:p>
    <w:p w14:paraId="4950AC37" w14:textId="77777777" w:rsidR="00281D22" w:rsidRPr="001531CD" w:rsidRDefault="00281D22" w:rsidP="00281D22">
      <w:pPr>
        <w:pStyle w:val="A"/>
      </w:pPr>
      <w:r w:rsidRPr="001531CD">
        <w:t>A.</w:t>
      </w:r>
      <w:r w:rsidRPr="001531CD">
        <w:tab/>
        <w:t>When remediation is complete or there no longer exists a situation involving imminent danger to human health or the environment, the director shall declare in writing that the emergency has ended. The director shall notify the appropriate governmental agencies and the media as soon as it is practical.</w:t>
      </w:r>
    </w:p>
    <w:p w14:paraId="36EB9060" w14:textId="77777777" w:rsidR="00CF626A" w:rsidRPr="001531CD" w:rsidRDefault="00281D22" w:rsidP="00281D22">
      <w:pPr>
        <w:pStyle w:val="AuthorityNote"/>
      </w:pPr>
      <w:r w:rsidRPr="001531CD">
        <w:t>AUTHORITY NOTE:</w:t>
      </w:r>
      <w:r w:rsidRPr="001531CD">
        <w:tab/>
        <w:t>Promulgated in accordance with R.S. 3:3203(A).</w:t>
      </w:r>
    </w:p>
    <w:p w14:paraId="060E8261"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18:248 (March 1992), repromulgated by Department of Agriculture and Forestry, Office of Agricultural and Environmental Sciences, Advisory Commission on Pesticides, LR 37:3487 (December 2011).</w:t>
      </w:r>
    </w:p>
    <w:p w14:paraId="75AC6BFF" w14:textId="77777777" w:rsidR="00281D22" w:rsidRPr="001531CD" w:rsidRDefault="00281D22" w:rsidP="00281D22">
      <w:pPr>
        <w:pStyle w:val="Chapter"/>
      </w:pPr>
      <w:bookmarkStart w:id="2494" w:name="_Toc194294006"/>
      <w:bookmarkStart w:id="2495" w:name="TOCT_SubC192"/>
      <w:bookmarkStart w:id="2496" w:name="TOCT_SubC193"/>
      <w:bookmarkStart w:id="2497" w:name="_Toc224819263"/>
      <w:r w:rsidRPr="001531CD">
        <w:t>Chapter 31.</w:t>
      </w:r>
      <w:r w:rsidRPr="001531CD">
        <w:tab/>
        <w:t>Water Protection</w:t>
      </w:r>
      <w:bookmarkEnd w:id="2494"/>
      <w:bookmarkEnd w:id="2495"/>
      <w:bookmarkEnd w:id="2496"/>
      <w:bookmarkEnd w:id="2497"/>
    </w:p>
    <w:p w14:paraId="72B80EA5" w14:textId="77777777" w:rsidR="00281D22" w:rsidRPr="001531CD" w:rsidRDefault="00281D22" w:rsidP="00281D22">
      <w:pPr>
        <w:pStyle w:val="Section"/>
      </w:pPr>
      <w:bookmarkStart w:id="2498" w:name="_Toc194294007"/>
      <w:bookmarkStart w:id="2499" w:name="_Toc224819264"/>
      <w:r w:rsidRPr="001531CD">
        <w:t>§3101.</w:t>
      </w:r>
      <w:r w:rsidRPr="001531CD">
        <w:tab/>
        <w:t>Definitions</w:t>
      </w:r>
      <w:bookmarkEnd w:id="2498"/>
      <w:bookmarkEnd w:id="2499"/>
    </w:p>
    <w:p w14:paraId="1A16B745" w14:textId="77777777" w:rsidR="00281D22" w:rsidRPr="001531CD" w:rsidRDefault="00281D22" w:rsidP="00281D22">
      <w:pPr>
        <w:pStyle w:val="A"/>
      </w:pPr>
      <w:r w:rsidRPr="001531CD">
        <w:t>A.</w:t>
      </w:r>
      <w:r w:rsidRPr="001531CD">
        <w:tab/>
        <w:t>In addition to the definitions listed below, and unless otherwise provided, the definitions in R.S. 3:3202 and §103 shall apply to this Subchapter of these regulations.</w:t>
      </w:r>
    </w:p>
    <w:p w14:paraId="7481981F" w14:textId="77777777" w:rsidR="00281D22" w:rsidRPr="001531CD" w:rsidRDefault="00281D22" w:rsidP="00281D22">
      <w:pPr>
        <w:pStyle w:val="1"/>
      </w:pPr>
      <w:r w:rsidRPr="001531CD">
        <w:rPr>
          <w:i/>
          <w:iCs/>
        </w:rPr>
        <w:t>Base Line Conditions</w:t>
      </w:r>
      <w:r w:rsidRPr="001531CD">
        <w:t>―the pesticide level found in the water of a site immediately preceding the pesticide application season.</w:t>
      </w:r>
    </w:p>
    <w:p w14:paraId="2AB5D719" w14:textId="77777777" w:rsidR="00281D22" w:rsidRPr="001531CD" w:rsidRDefault="00281D22" w:rsidP="00281D22">
      <w:pPr>
        <w:pStyle w:val="1"/>
      </w:pPr>
      <w:r w:rsidRPr="001531CD">
        <w:rPr>
          <w:i/>
          <w:iCs/>
        </w:rPr>
        <w:t>Maximum Contaminant Level</w:t>
      </w:r>
      <w:r w:rsidRPr="001531CD">
        <w:t>―the maximum permissible concentration level of a pesticide in the waters of the state.</w:t>
      </w:r>
    </w:p>
    <w:p w14:paraId="1D099B0C" w14:textId="77777777" w:rsidR="00281D22" w:rsidRPr="001531CD" w:rsidRDefault="00281D22" w:rsidP="00281D22">
      <w:pPr>
        <w:pStyle w:val="1"/>
      </w:pPr>
      <w:r w:rsidRPr="001531CD">
        <w:rPr>
          <w:i/>
          <w:iCs/>
        </w:rPr>
        <w:t>Pesticide Application Season</w:t>
      </w:r>
      <w:r w:rsidRPr="001531CD">
        <w:t>―that period of time during the year that insecticides, herbicides or other pesticides are normally used on agricultural lands in a given area.</w:t>
      </w:r>
    </w:p>
    <w:p w14:paraId="148DE158" w14:textId="77777777" w:rsidR="00281D22" w:rsidRPr="001531CD" w:rsidRDefault="00281D22" w:rsidP="00281D22">
      <w:pPr>
        <w:pStyle w:val="1"/>
      </w:pPr>
      <w:r w:rsidRPr="001531CD">
        <w:rPr>
          <w:i/>
          <w:iCs/>
        </w:rPr>
        <w:t>Reasonable Expectation of a Threat</w:t>
      </w:r>
      <w:r w:rsidRPr="001531CD">
        <w:t>―a condition that is probable to lead to substantive injury to human health or the environment.</w:t>
      </w:r>
    </w:p>
    <w:p w14:paraId="220AB979" w14:textId="77777777" w:rsidR="00281D22" w:rsidRPr="001531CD" w:rsidRDefault="00281D22" w:rsidP="00281D22">
      <w:pPr>
        <w:pStyle w:val="1"/>
      </w:pPr>
      <w:r w:rsidRPr="001531CD">
        <w:rPr>
          <w:i/>
          <w:iCs/>
        </w:rPr>
        <w:t>Threat</w:t>
      </w:r>
      <w:r w:rsidRPr="001531CD">
        <w:t>―a condition that would lead to substantive injury to human health or the environment.</w:t>
      </w:r>
    </w:p>
    <w:p w14:paraId="107A1BE5" w14:textId="77777777" w:rsidR="00CF626A" w:rsidRPr="001531CD" w:rsidRDefault="00281D22" w:rsidP="00281D22">
      <w:pPr>
        <w:pStyle w:val="AuthorityNote"/>
      </w:pPr>
      <w:r w:rsidRPr="001531CD">
        <w:t>AUTHORITY NOTE:</w:t>
      </w:r>
      <w:r w:rsidRPr="001531CD">
        <w:tab/>
        <w:t>Promulgated in accordance with R.S. 3.3303(B) and R.S. 3:3306(B).</w:t>
      </w:r>
    </w:p>
    <w:p w14:paraId="378CD7DD"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ciences, LR 18:248 (March 1992), amended by Department of Agriculture and Forestry, Office of Agricultural and Environmental Sciences, Advisory Commission on Pesticides, LR 37:3487 (December 2011).</w:t>
      </w:r>
    </w:p>
    <w:p w14:paraId="3142118D" w14:textId="77777777" w:rsidR="00522741" w:rsidRPr="001531CD" w:rsidRDefault="00522741" w:rsidP="00522741">
      <w:pPr>
        <w:pStyle w:val="Section"/>
      </w:pPr>
      <w:bookmarkStart w:id="2500" w:name="_Toc194294008"/>
      <w:bookmarkStart w:id="2501" w:name="_Toc224819265"/>
      <w:r w:rsidRPr="001531CD">
        <w:t>§3103.</w:t>
      </w:r>
      <w:r w:rsidRPr="001531CD">
        <w:tab/>
        <w:t>Establishment of Standards for Pesticides in Water</w:t>
      </w:r>
      <w:bookmarkEnd w:id="2500"/>
      <w:bookmarkEnd w:id="2501"/>
    </w:p>
    <w:p w14:paraId="4EA82703" w14:textId="77777777" w:rsidR="00522741" w:rsidRPr="001531CD" w:rsidRDefault="00522741" w:rsidP="00522741">
      <w:pPr>
        <w:pStyle w:val="A"/>
      </w:pPr>
      <w:r w:rsidRPr="001531CD">
        <w:t>A.</w:t>
      </w:r>
      <w:r w:rsidRPr="001531CD">
        <w:tab/>
        <w:t>The maximum contaminant level standards as published by EPA shall be incorporated as standards for pesticides in waters of the state.</w:t>
      </w:r>
    </w:p>
    <w:p w14:paraId="23ED814C" w14:textId="77777777" w:rsidR="00CF626A" w:rsidRPr="001531CD" w:rsidRDefault="00522741" w:rsidP="00522741">
      <w:pPr>
        <w:pStyle w:val="AuthorityNote"/>
      </w:pPr>
      <w:r w:rsidRPr="001531CD">
        <w:t>AUTHORITY NOTE:</w:t>
      </w:r>
      <w:r w:rsidRPr="001531CD">
        <w:tab/>
        <w:t>Promulgated in accordance with R.S. 3.3303(B) and R.S. 3:3306(B).</w:t>
      </w:r>
    </w:p>
    <w:p w14:paraId="698606F7"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ciences, LR 18:248 (March 1992), amended by Department of Agriculture and Forestry, Office of Agricultural and Environmental Sciences, Advisory Commission on Pesticides, LR 37:3487 (December 2011).</w:t>
      </w:r>
    </w:p>
    <w:p w14:paraId="55C62113" w14:textId="77777777" w:rsidR="00522741" w:rsidRPr="001531CD" w:rsidRDefault="00522741" w:rsidP="00522741">
      <w:pPr>
        <w:pStyle w:val="Section"/>
      </w:pPr>
      <w:bookmarkStart w:id="2502" w:name="_Toc194294009"/>
      <w:bookmarkStart w:id="2503" w:name="_Toc224819266"/>
      <w:r w:rsidRPr="001531CD">
        <w:t>§3105.</w:t>
      </w:r>
      <w:r w:rsidRPr="001531CD">
        <w:tab/>
        <w:t>Procedures for the Determination of Threats</w:t>
      </w:r>
      <w:bookmarkEnd w:id="2502"/>
      <w:bookmarkEnd w:id="2503"/>
    </w:p>
    <w:p w14:paraId="2CEFAC99" w14:textId="77777777" w:rsidR="00522741" w:rsidRPr="001531CD" w:rsidRDefault="00522741" w:rsidP="00522741">
      <w:pPr>
        <w:pStyle w:val="A"/>
      </w:pPr>
      <w:r w:rsidRPr="001531CD">
        <w:t>A.</w:t>
      </w:r>
      <w:r w:rsidRPr="001531CD">
        <w:tab/>
        <w:t>The procedures for determining whether pesticide concentrations exceed maximum contaminant level standards or pose a threat or reasonable expectation of a threat to human health or the environment shall be:</w:t>
      </w:r>
    </w:p>
    <w:p w14:paraId="01BD2322" w14:textId="77777777" w:rsidR="00522741" w:rsidRPr="001531CD" w:rsidRDefault="00522741" w:rsidP="00522741">
      <w:pPr>
        <w:pStyle w:val="1"/>
      </w:pPr>
      <w:r w:rsidRPr="001531CD">
        <w:t>1.</w:t>
      </w:r>
      <w:r w:rsidRPr="001531CD">
        <w:tab/>
        <w:t>the department shall maintain a water monitoring program;</w:t>
      </w:r>
    </w:p>
    <w:p w14:paraId="4FF96FA5" w14:textId="77777777" w:rsidR="00522741" w:rsidRPr="001531CD" w:rsidRDefault="00522741" w:rsidP="00522741">
      <w:pPr>
        <w:pStyle w:val="a0"/>
      </w:pPr>
      <w:r w:rsidRPr="001531CD">
        <w:t>a.</w:t>
      </w:r>
      <w:r w:rsidRPr="001531CD">
        <w:tab/>
        <w:t>water sample collection sites shall be distributed throughout the state. The locations of said sites shall be selected by criteria including, but not limited to:</w:t>
      </w:r>
    </w:p>
    <w:p w14:paraId="2F3CF1CC" w14:textId="77777777" w:rsidR="00522741" w:rsidRPr="001531CD" w:rsidRDefault="00522741" w:rsidP="00522741">
      <w:pPr>
        <w:pStyle w:val="i0"/>
      </w:pPr>
      <w:r w:rsidRPr="001531CD">
        <w:tab/>
        <w:t>i.</w:t>
      </w:r>
      <w:r w:rsidRPr="001531CD">
        <w:tab/>
        <w:t>those areas that have agricultural land use;</w:t>
      </w:r>
    </w:p>
    <w:p w14:paraId="5014FC52" w14:textId="77777777" w:rsidR="00522741" w:rsidRPr="001531CD" w:rsidRDefault="00522741" w:rsidP="00522741">
      <w:pPr>
        <w:pStyle w:val="i0"/>
      </w:pPr>
      <w:r w:rsidRPr="001531CD">
        <w:tab/>
        <w:t>ii.</w:t>
      </w:r>
      <w:r w:rsidRPr="001531CD">
        <w:tab/>
        <w:t>those areas that have water drainage from agricultural lands;</w:t>
      </w:r>
    </w:p>
    <w:p w14:paraId="5020AE21" w14:textId="77777777" w:rsidR="00522741" w:rsidRPr="001531CD" w:rsidRDefault="00522741" w:rsidP="00522741">
      <w:pPr>
        <w:pStyle w:val="i0"/>
      </w:pPr>
      <w:r w:rsidRPr="001531CD">
        <w:tab/>
        <w:t>iii.</w:t>
      </w:r>
      <w:r w:rsidRPr="001531CD">
        <w:tab/>
        <w:t>the propensity for runoff due to topography, soil types and other characteristics;</w:t>
      </w:r>
    </w:p>
    <w:p w14:paraId="10C507C0" w14:textId="77777777" w:rsidR="00522741" w:rsidRPr="001531CD" w:rsidRDefault="00522741" w:rsidP="00522741">
      <w:pPr>
        <w:pStyle w:val="i0"/>
      </w:pPr>
      <w:r w:rsidRPr="001531CD">
        <w:tab/>
        <w:t>iv.</w:t>
      </w:r>
      <w:r w:rsidRPr="001531CD">
        <w:tab/>
        <w:t>data from aquifer potential maps used to locate well sampling sites in a wide spectrum of the state's aquifers; and</w:t>
      </w:r>
    </w:p>
    <w:p w14:paraId="71C70978" w14:textId="77777777" w:rsidR="00522741" w:rsidRPr="001531CD" w:rsidRDefault="00522741" w:rsidP="00522741">
      <w:pPr>
        <w:pStyle w:val="i0"/>
      </w:pPr>
      <w:r w:rsidRPr="001531CD">
        <w:tab/>
        <w:t>v.</w:t>
      </w:r>
      <w:r w:rsidRPr="001531CD">
        <w:tab/>
        <w:t>proximity to pesticide application of irrigation wells or shallow private water wells;</w:t>
      </w:r>
    </w:p>
    <w:p w14:paraId="7BC32DB0" w14:textId="77777777" w:rsidR="00522741" w:rsidRPr="001531CD" w:rsidRDefault="00522741" w:rsidP="00522741">
      <w:pPr>
        <w:pStyle w:val="a0"/>
      </w:pPr>
      <w:r w:rsidRPr="001531CD">
        <w:lastRenderedPageBreak/>
        <w:t>b.</w:t>
      </w:r>
      <w:r w:rsidRPr="001531CD">
        <w:tab/>
        <w:t>the water sampling frequency requirements shall be based upon criteria including, but not limited to:</w:t>
      </w:r>
    </w:p>
    <w:p w14:paraId="09BCA4C3" w14:textId="77777777" w:rsidR="00522741" w:rsidRPr="001531CD" w:rsidRDefault="00522741" w:rsidP="00522741">
      <w:pPr>
        <w:pStyle w:val="i0"/>
      </w:pPr>
      <w:r w:rsidRPr="001531CD">
        <w:tab/>
        <w:t>i.</w:t>
      </w:r>
      <w:r w:rsidRPr="001531CD">
        <w:tab/>
        <w:t>the pesticide application season in the area of the water collection sample site;</w:t>
      </w:r>
    </w:p>
    <w:p w14:paraId="25098F01" w14:textId="77777777" w:rsidR="00522741" w:rsidRPr="001531CD" w:rsidRDefault="00522741" w:rsidP="00522741">
      <w:pPr>
        <w:pStyle w:val="i0"/>
      </w:pPr>
      <w:r w:rsidRPr="001531CD">
        <w:tab/>
        <w:t>ii.</w:t>
      </w:r>
      <w:r w:rsidRPr="001531CD">
        <w:tab/>
        <w:t>sampling shall as determined by the commissioner;</w:t>
      </w:r>
    </w:p>
    <w:p w14:paraId="7ABFDBBF" w14:textId="77777777" w:rsidR="00522741" w:rsidRPr="001531CD" w:rsidRDefault="00522741" w:rsidP="00522741">
      <w:pPr>
        <w:pStyle w:val="a0"/>
      </w:pPr>
      <w:r w:rsidRPr="001531CD">
        <w:t>c.</w:t>
      </w:r>
      <w:r w:rsidRPr="001531CD">
        <w:tab/>
        <w:t>analytical parameters shall be established for each sampling site and shall be based upon, but not limited to, the following criteria:</w:t>
      </w:r>
    </w:p>
    <w:p w14:paraId="2D5E2C0B" w14:textId="77777777" w:rsidR="00522741" w:rsidRPr="001531CD" w:rsidRDefault="00522741" w:rsidP="00522741">
      <w:pPr>
        <w:pStyle w:val="i0"/>
      </w:pPr>
      <w:r w:rsidRPr="001531CD">
        <w:tab/>
        <w:t>i.</w:t>
      </w:r>
      <w:r w:rsidRPr="001531CD">
        <w:tab/>
        <w:t>the major crop(s) grown in the area of the monitoring site;</w:t>
      </w:r>
    </w:p>
    <w:p w14:paraId="10CC6D01" w14:textId="77777777" w:rsidR="00522741" w:rsidRPr="001531CD" w:rsidRDefault="00522741" w:rsidP="00522741">
      <w:pPr>
        <w:pStyle w:val="i0"/>
      </w:pPr>
      <w:r w:rsidRPr="001531CD">
        <w:tab/>
        <w:t>ii.</w:t>
      </w:r>
      <w:r w:rsidRPr="001531CD">
        <w:tab/>
        <w:t>the pesticide(s) most commonly used on the major crop(s) of the monitoring site area; and</w:t>
      </w:r>
    </w:p>
    <w:p w14:paraId="0D7E6C06" w14:textId="77777777" w:rsidR="00522741" w:rsidRPr="001531CD" w:rsidRDefault="00522741" w:rsidP="00522741">
      <w:pPr>
        <w:pStyle w:val="i0"/>
      </w:pPr>
      <w:r w:rsidRPr="001531CD">
        <w:tab/>
        <w:t>iii.</w:t>
      </w:r>
      <w:r w:rsidRPr="001531CD">
        <w:tab/>
        <w:t>the base line conditions existent prior to the pesticide application season;</w:t>
      </w:r>
    </w:p>
    <w:p w14:paraId="4602DF8C" w14:textId="77777777" w:rsidR="00522741" w:rsidRPr="001531CD" w:rsidRDefault="00522741" w:rsidP="00522741">
      <w:pPr>
        <w:pStyle w:val="a0"/>
      </w:pPr>
      <w:r w:rsidRPr="001531CD">
        <w:t>d.</w:t>
      </w:r>
      <w:r w:rsidRPr="001531CD">
        <w:tab/>
        <w:t>base line conditions at each water sampling site shall be established by water sampling and analysis prior to the pesticide application season;</w:t>
      </w:r>
    </w:p>
    <w:p w14:paraId="7746CEA1" w14:textId="77777777" w:rsidR="00522741" w:rsidRPr="001531CD" w:rsidRDefault="00522741" w:rsidP="00522741">
      <w:pPr>
        <w:pStyle w:val="a0"/>
      </w:pPr>
      <w:r w:rsidRPr="001531CD">
        <w:t>e.</w:t>
      </w:r>
      <w:r w:rsidRPr="001531CD">
        <w:tab/>
        <w:t>the analysis of water samples shall be accomplished in accordance with procedures of the Association of Official Analytical Chemists and/or other methods approved by the U.S. Environmental Protection Agency;</w:t>
      </w:r>
    </w:p>
    <w:p w14:paraId="7271EF58" w14:textId="77777777" w:rsidR="00522741" w:rsidRPr="001531CD" w:rsidRDefault="00522741" w:rsidP="00522741">
      <w:pPr>
        <w:pStyle w:val="1"/>
      </w:pPr>
      <w:r w:rsidRPr="001531CD">
        <w:t>2.</w:t>
      </w:r>
      <w:r w:rsidRPr="001531CD">
        <w:tab/>
        <w:t>the commissioner shall consider results of the analysis of the samples, the criteria established in R.S. 3:3306(C), and/or other relevant data and shall promptly determine whether a threat or reasonable expectation of a threat to human health or to the environment exists and whether the standards as adopted herein have been exceeded.</w:t>
      </w:r>
    </w:p>
    <w:p w14:paraId="17F802B9" w14:textId="77777777" w:rsidR="00522741" w:rsidRPr="001531CD" w:rsidRDefault="00522741" w:rsidP="00522741">
      <w:pPr>
        <w:pStyle w:val="AuthorityNote"/>
      </w:pPr>
      <w:r w:rsidRPr="001531CD">
        <w:t>AUTHORITY NOTE:</w:t>
      </w:r>
      <w:r w:rsidRPr="001531CD">
        <w:tab/>
        <w:t>Promulgated in accordance with R.S. 3:3303(B) and R.S. 3:3306(B).</w:t>
      </w:r>
    </w:p>
    <w:p w14:paraId="208D4182"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LR 18:248 (March 1992)</w:t>
      </w:r>
      <w:r w:rsidR="00CC6CC3" w:rsidRPr="001531CD">
        <w:t>, amended, LR 35:</w:t>
      </w:r>
      <w:r w:rsidR="00522741" w:rsidRPr="001531CD">
        <w:t>628 (April 2009), amended by Department of Agriculture and Forestry, Office of Agricultural and Environmental Sciences, Advisory Commission on Pesticides, LR 37:3487 (December 2011).</w:t>
      </w:r>
    </w:p>
    <w:p w14:paraId="6616EAF2" w14:textId="77777777" w:rsidR="00522741" w:rsidRPr="001531CD" w:rsidRDefault="00522741" w:rsidP="00522741">
      <w:pPr>
        <w:pStyle w:val="Section"/>
      </w:pPr>
      <w:bookmarkStart w:id="2504" w:name="_Toc194294010"/>
      <w:bookmarkStart w:id="2505" w:name="_Toc224819267"/>
      <w:r w:rsidRPr="001531CD">
        <w:t>§3107.</w:t>
      </w:r>
      <w:r w:rsidRPr="001531CD">
        <w:tab/>
        <w:t>Determination of Appropriate Action</w:t>
      </w:r>
      <w:bookmarkEnd w:id="2504"/>
      <w:bookmarkEnd w:id="2505"/>
    </w:p>
    <w:p w14:paraId="18403423" w14:textId="77777777" w:rsidR="00522741" w:rsidRPr="001531CD" w:rsidRDefault="00522741" w:rsidP="00522741">
      <w:pPr>
        <w:pStyle w:val="A"/>
      </w:pPr>
      <w:r w:rsidRPr="001531CD">
        <w:t>A.</w:t>
      </w:r>
      <w:r w:rsidRPr="001531CD">
        <w:tab/>
        <w:t>Upon determination by the commissioner that a threat or reasonable expectation of a threat to human health or to the environment exists or that the maximum contaminant level standards as adopted herein have been exceeded he shall:</w:t>
      </w:r>
    </w:p>
    <w:p w14:paraId="721CDD9B" w14:textId="77777777" w:rsidR="00522741" w:rsidRPr="001531CD" w:rsidRDefault="00522741" w:rsidP="00522741">
      <w:pPr>
        <w:pStyle w:val="1"/>
      </w:pPr>
      <w:r w:rsidRPr="001531CD">
        <w:t>1.</w:t>
      </w:r>
      <w:r w:rsidRPr="001531CD">
        <w:tab/>
        <w:t>promptly direct that thereafter the emergency procedures established by Chapter 29 of this Part be employed;</w:t>
      </w:r>
    </w:p>
    <w:p w14:paraId="586E7AAB" w14:textId="77777777" w:rsidR="00522741" w:rsidRPr="001531CD" w:rsidRDefault="00522741" w:rsidP="00522741">
      <w:pPr>
        <w:pStyle w:val="1"/>
      </w:pPr>
      <w:r w:rsidRPr="001531CD">
        <w:t>2.</w:t>
      </w:r>
      <w:r w:rsidRPr="001531CD">
        <w:tab/>
        <w:t>complete sufficient investigation as to permit appropriate action.</w:t>
      </w:r>
    </w:p>
    <w:p w14:paraId="2164D999" w14:textId="77777777" w:rsidR="00522741" w:rsidRPr="001531CD" w:rsidRDefault="00522741" w:rsidP="00522741">
      <w:pPr>
        <w:pStyle w:val="A"/>
      </w:pPr>
      <w:r w:rsidRPr="001531CD">
        <w:t>B.</w:t>
      </w:r>
      <w:r w:rsidRPr="001531CD">
        <w:tab/>
        <w:t>In determining appropriate action as to the pesticide involved the commissioner shall consider:</w:t>
      </w:r>
    </w:p>
    <w:p w14:paraId="34FC9681" w14:textId="77777777" w:rsidR="00522741" w:rsidRPr="001531CD" w:rsidRDefault="00522741" w:rsidP="00522741">
      <w:pPr>
        <w:pStyle w:val="1"/>
      </w:pPr>
      <w:r w:rsidRPr="001531CD">
        <w:t>1.</w:t>
      </w:r>
      <w:r w:rsidRPr="001531CD">
        <w:tab/>
        <w:t>registration denial;</w:t>
      </w:r>
    </w:p>
    <w:p w14:paraId="5926971F" w14:textId="77777777" w:rsidR="00522741" w:rsidRPr="001531CD" w:rsidRDefault="00522741" w:rsidP="00522741">
      <w:pPr>
        <w:pStyle w:val="1"/>
      </w:pPr>
      <w:r w:rsidRPr="001531CD">
        <w:t>2.</w:t>
      </w:r>
      <w:r w:rsidRPr="001531CD">
        <w:tab/>
        <w:t>stop orders for use, sales or application;</w:t>
      </w:r>
    </w:p>
    <w:p w14:paraId="38806C4F" w14:textId="77777777" w:rsidR="00522741" w:rsidRPr="001531CD" w:rsidRDefault="00522741" w:rsidP="00522741">
      <w:pPr>
        <w:pStyle w:val="1"/>
      </w:pPr>
      <w:r w:rsidRPr="001531CD">
        <w:t>3.</w:t>
      </w:r>
      <w:r w:rsidRPr="001531CD">
        <w:tab/>
        <w:t>label changes;</w:t>
      </w:r>
    </w:p>
    <w:p w14:paraId="31C7E9B1" w14:textId="77777777" w:rsidR="00522741" w:rsidRPr="001531CD" w:rsidRDefault="00522741" w:rsidP="00522741">
      <w:pPr>
        <w:pStyle w:val="1"/>
      </w:pPr>
      <w:r w:rsidRPr="001531CD">
        <w:t>4.</w:t>
      </w:r>
      <w:r w:rsidRPr="001531CD">
        <w:tab/>
        <w:t>remedial or protective orders;</w:t>
      </w:r>
    </w:p>
    <w:p w14:paraId="5D5D00B8" w14:textId="77777777" w:rsidR="00522741" w:rsidRPr="001531CD" w:rsidRDefault="00522741" w:rsidP="00522741">
      <w:pPr>
        <w:pStyle w:val="1"/>
      </w:pPr>
      <w:r w:rsidRPr="001531CD">
        <w:t>5.</w:t>
      </w:r>
      <w:r w:rsidRPr="001531CD">
        <w:tab/>
        <w:t>injunctive relief; and</w:t>
      </w:r>
    </w:p>
    <w:p w14:paraId="53F16F61" w14:textId="77777777" w:rsidR="00522741" w:rsidRPr="001531CD" w:rsidRDefault="00522741" w:rsidP="00522741">
      <w:pPr>
        <w:pStyle w:val="1"/>
      </w:pPr>
      <w:r w:rsidRPr="001531CD">
        <w:t>6.</w:t>
      </w:r>
      <w:r w:rsidRPr="001531CD">
        <w:tab/>
        <w:t>any other relevant remedies.</w:t>
      </w:r>
    </w:p>
    <w:p w14:paraId="704AC296" w14:textId="77777777" w:rsidR="00522741" w:rsidRPr="001531CD" w:rsidRDefault="00522741" w:rsidP="00522741">
      <w:pPr>
        <w:pStyle w:val="A"/>
      </w:pPr>
      <w:r w:rsidRPr="001531CD">
        <w:t>C.</w:t>
      </w:r>
      <w:r w:rsidRPr="001531CD">
        <w:tab/>
        <w:t>In determining appropriate action as to the responsible party the commissioner shall consider:</w:t>
      </w:r>
    </w:p>
    <w:p w14:paraId="7F17F956" w14:textId="77777777" w:rsidR="00522741" w:rsidRPr="001531CD" w:rsidRDefault="00522741" w:rsidP="00522741">
      <w:pPr>
        <w:pStyle w:val="1"/>
      </w:pPr>
      <w:r w:rsidRPr="001531CD">
        <w:t>1.</w:t>
      </w:r>
      <w:r w:rsidRPr="001531CD">
        <w:tab/>
        <w:t>referral for criminal prosecution;</w:t>
      </w:r>
    </w:p>
    <w:p w14:paraId="55C55A64" w14:textId="77777777" w:rsidR="00522741" w:rsidRPr="001531CD" w:rsidRDefault="00522741" w:rsidP="00522741">
      <w:pPr>
        <w:pStyle w:val="1"/>
      </w:pPr>
      <w:r w:rsidRPr="001531CD">
        <w:t>2.</w:t>
      </w:r>
      <w:r w:rsidRPr="001531CD">
        <w:tab/>
        <w:t>referral to the commission;</w:t>
      </w:r>
    </w:p>
    <w:p w14:paraId="0F299BCD" w14:textId="77777777" w:rsidR="00522741" w:rsidRPr="001531CD" w:rsidRDefault="00522741" w:rsidP="00522741">
      <w:pPr>
        <w:pStyle w:val="1"/>
      </w:pPr>
      <w:r w:rsidRPr="001531CD">
        <w:t>3.</w:t>
      </w:r>
      <w:r w:rsidRPr="001531CD">
        <w:tab/>
        <w:t xml:space="preserve">remedial or protective orders; </w:t>
      </w:r>
    </w:p>
    <w:p w14:paraId="4A4AC969" w14:textId="77777777" w:rsidR="00522741" w:rsidRPr="001531CD" w:rsidRDefault="00522741" w:rsidP="00522741">
      <w:pPr>
        <w:pStyle w:val="1"/>
      </w:pPr>
      <w:r w:rsidRPr="001531CD">
        <w:t>4.</w:t>
      </w:r>
      <w:r w:rsidRPr="001531CD">
        <w:tab/>
        <w:t>injunctive relief; and</w:t>
      </w:r>
    </w:p>
    <w:p w14:paraId="321D94FE" w14:textId="77777777" w:rsidR="00522741" w:rsidRPr="001531CD" w:rsidRDefault="00522741" w:rsidP="00522741">
      <w:pPr>
        <w:pStyle w:val="1"/>
      </w:pPr>
      <w:r w:rsidRPr="001531CD">
        <w:t>5.</w:t>
      </w:r>
      <w:r w:rsidRPr="001531CD">
        <w:tab/>
        <w:t>any other relevant remedies.</w:t>
      </w:r>
    </w:p>
    <w:p w14:paraId="33E99191" w14:textId="77777777" w:rsidR="00CF626A" w:rsidRPr="001531CD" w:rsidRDefault="00522741" w:rsidP="00522741">
      <w:pPr>
        <w:pStyle w:val="AuthorityNote"/>
      </w:pPr>
      <w:r w:rsidRPr="001531CD">
        <w:t>AUTHORITY NOTE:</w:t>
      </w:r>
      <w:r w:rsidRPr="001531CD">
        <w:tab/>
        <w:t>Promulgated in accordance with R.S. 3:3303(B) and R.S. 3:3306(B).</w:t>
      </w:r>
    </w:p>
    <w:p w14:paraId="2282317B"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ciences, LR 18:249 (March 1992), amended by Department of Agriculture and Forestry, Office of Agricultural and Environmental Sciences, Advisory Commission on Pesticides, LR 37:3488 (December 2011).</w:t>
      </w:r>
    </w:p>
    <w:p w14:paraId="77B1124C" w14:textId="77777777" w:rsidR="00522741" w:rsidRPr="001531CD" w:rsidRDefault="00522741" w:rsidP="00522741">
      <w:pPr>
        <w:pStyle w:val="Chapter"/>
      </w:pPr>
      <w:bookmarkStart w:id="2506" w:name="_Toc194294011"/>
      <w:bookmarkStart w:id="2507" w:name="TOCT_SubC194"/>
      <w:bookmarkStart w:id="2508" w:name="_Toc224819268"/>
      <w:bookmarkStart w:id="2509" w:name="_Toc256754898"/>
      <w:r w:rsidRPr="001531CD">
        <w:t>Chapter 33.</w:t>
      </w:r>
      <w:r w:rsidRPr="001531CD">
        <w:tab/>
        <w:t>Pesticide Wastes</w:t>
      </w:r>
      <w:bookmarkEnd w:id="2506"/>
      <w:bookmarkEnd w:id="2507"/>
      <w:bookmarkEnd w:id="2508"/>
    </w:p>
    <w:p w14:paraId="5F17ECE9" w14:textId="77777777" w:rsidR="00522741" w:rsidRPr="001531CD" w:rsidRDefault="00522741" w:rsidP="00522741">
      <w:pPr>
        <w:pStyle w:val="Section"/>
      </w:pPr>
      <w:bookmarkStart w:id="2510" w:name="_Toc224819269"/>
      <w:r w:rsidRPr="001531CD">
        <w:t>§3301.</w:t>
      </w:r>
      <w:r w:rsidRPr="001531CD">
        <w:tab/>
        <w:t>Listing of Hazardous Pesticide Wastes</w:t>
      </w:r>
      <w:bookmarkEnd w:id="2510"/>
    </w:p>
    <w:p w14:paraId="33E897DD" w14:textId="77777777" w:rsidR="00522741" w:rsidRPr="001531CD" w:rsidRDefault="00522741" w:rsidP="00522741">
      <w:pPr>
        <w:pStyle w:val="A"/>
      </w:pPr>
      <w:r w:rsidRPr="001531CD">
        <w:t>A.</w:t>
      </w:r>
      <w:r w:rsidRPr="001531CD">
        <w:tab/>
        <w:t xml:space="preserve">The commissioner shall annually, on or before December 31, publish in the </w:t>
      </w:r>
      <w:r w:rsidRPr="001531CD">
        <w:rPr>
          <w:i/>
          <w:iCs/>
        </w:rPr>
        <w:t>Louisiana Register</w:t>
      </w:r>
      <w:r w:rsidRPr="001531CD">
        <w:t xml:space="preserve"> a full and complete list of all pesticides which, upon disposal, are classified as hazardous wastes under regulations of EPA and may supplement such listing at any time when any changes in such classifications are made by EPA.</w:t>
      </w:r>
    </w:p>
    <w:p w14:paraId="7D16BE5E" w14:textId="77777777" w:rsidR="00522741" w:rsidRPr="001531CD" w:rsidRDefault="00522741" w:rsidP="00522741">
      <w:pPr>
        <w:pStyle w:val="AuthorityNote"/>
      </w:pPr>
      <w:r w:rsidRPr="001531CD">
        <w:t>AUTHORITY NOTE:</w:t>
      </w:r>
      <w:r w:rsidRPr="001531CD">
        <w:tab/>
        <w:t xml:space="preserve">Promulgated in accordance with R.S. 3:3203 and R.S. 3:3243. </w:t>
      </w:r>
    </w:p>
    <w:p w14:paraId="6C92081E" w14:textId="77777777" w:rsidR="00522741" w:rsidRPr="001531CD" w:rsidRDefault="00522741" w:rsidP="00522741">
      <w:pPr>
        <w:pStyle w:val="HistoricalNote"/>
      </w:pPr>
      <w:r w:rsidRPr="001531CD">
        <w:t>HISTORICAL NOTE:</w:t>
      </w:r>
      <w:r w:rsidRPr="001531CD">
        <w:tab/>
        <w:t>Promulgated by Department of Agriculture and Forestry, Office of Agricultural and Environmental Sciences, Advisory Commission on Pesticides, LR 37:3488 (December 2011).</w:t>
      </w:r>
    </w:p>
    <w:p w14:paraId="394E5D5C" w14:textId="77777777" w:rsidR="00522741" w:rsidRPr="001531CD" w:rsidRDefault="00522741" w:rsidP="00522741">
      <w:pPr>
        <w:pStyle w:val="Section"/>
      </w:pPr>
      <w:bookmarkStart w:id="2511" w:name="_Toc194294012"/>
      <w:bookmarkStart w:id="2512" w:name="_Toc224819270"/>
      <w:bookmarkEnd w:id="2509"/>
      <w:r w:rsidRPr="001531CD">
        <w:t>§3303.</w:t>
      </w:r>
      <w:r w:rsidRPr="001531CD">
        <w:tab/>
        <w:t>Procedures for Monitoring</w:t>
      </w:r>
      <w:bookmarkEnd w:id="2511"/>
      <w:bookmarkEnd w:id="2512"/>
    </w:p>
    <w:p w14:paraId="0E607302" w14:textId="77777777" w:rsidR="00522741" w:rsidRPr="001531CD" w:rsidRDefault="00522741" w:rsidP="00522741">
      <w:pPr>
        <w:pStyle w:val="A"/>
      </w:pPr>
      <w:r w:rsidRPr="001531CD">
        <w:t>A.</w:t>
      </w:r>
      <w:r w:rsidRPr="001531CD">
        <w:tab/>
        <w:t>In the course of conducting routine monitoring of pesticides, the commissioner shall monitor for the presence of pesticide wastes.</w:t>
      </w:r>
    </w:p>
    <w:p w14:paraId="2528CC60" w14:textId="77777777" w:rsidR="00522741" w:rsidRPr="001531CD" w:rsidRDefault="00522741" w:rsidP="00522741">
      <w:pPr>
        <w:pStyle w:val="A"/>
      </w:pPr>
      <w:r w:rsidRPr="001531CD">
        <w:t>B.</w:t>
      </w:r>
      <w:r w:rsidRPr="001531CD">
        <w:tab/>
        <w:t>Monitoring for the presence of pesticide wastes shall include, but not be limited to, investigations involving canceled or suspended products, spill responses, and citizen complaints.</w:t>
      </w:r>
    </w:p>
    <w:p w14:paraId="29353EA4" w14:textId="77777777" w:rsidR="00522741" w:rsidRPr="001531CD" w:rsidRDefault="00522741" w:rsidP="00522741">
      <w:pPr>
        <w:pStyle w:val="A"/>
      </w:pPr>
      <w:r w:rsidRPr="001531CD">
        <w:t>C.</w:t>
      </w:r>
      <w:r w:rsidRPr="001531CD">
        <w:tab/>
        <w:t>The procedures for monitoring pesticide wastes shall include but not be limited to the following activities:</w:t>
      </w:r>
    </w:p>
    <w:p w14:paraId="7AB0E328" w14:textId="77777777" w:rsidR="00522741" w:rsidRPr="001531CD" w:rsidRDefault="00522741" w:rsidP="00522741">
      <w:pPr>
        <w:pStyle w:val="1"/>
      </w:pPr>
      <w:r w:rsidRPr="001531CD">
        <w:t>1.</w:t>
      </w:r>
      <w:r w:rsidRPr="001531CD">
        <w:tab/>
        <w:t>visual or other sensory observations of conditions which may support the probability or actuality of the presence of pesticide wastes;</w:t>
      </w:r>
    </w:p>
    <w:p w14:paraId="6F075D9B" w14:textId="77777777" w:rsidR="00522741" w:rsidRPr="001531CD" w:rsidRDefault="00522741" w:rsidP="00522741">
      <w:pPr>
        <w:pStyle w:val="1"/>
      </w:pPr>
      <w:r w:rsidRPr="001531CD">
        <w:t>2.</w:t>
      </w:r>
      <w:r w:rsidRPr="001531CD">
        <w:tab/>
        <w:t>inquiries into the relevant circumstances surrounding the probability or actuality of the presence of pesticide wastes which may include sample taking and analysis; and</w:t>
      </w:r>
    </w:p>
    <w:p w14:paraId="089EE8B1" w14:textId="77777777" w:rsidR="00522741" w:rsidRPr="001531CD" w:rsidRDefault="00522741" w:rsidP="00522741">
      <w:pPr>
        <w:pStyle w:val="1"/>
      </w:pPr>
      <w:r w:rsidRPr="001531CD">
        <w:t>3.</w:t>
      </w:r>
      <w:r w:rsidRPr="001531CD">
        <w:tab/>
        <w:t xml:space="preserve">a preliminary determination as to whether or not there is a presence of pesticide wastes based upon the </w:t>
      </w:r>
      <w:r w:rsidRPr="001531CD">
        <w:lastRenderedPageBreak/>
        <w:t>observations and the inquiries or upon relevant data, shall be made by the director.</w:t>
      </w:r>
    </w:p>
    <w:p w14:paraId="535178A2" w14:textId="77777777" w:rsidR="00CF626A" w:rsidRPr="001531CD" w:rsidRDefault="00522741" w:rsidP="00522741">
      <w:pPr>
        <w:pStyle w:val="AuthorityNote"/>
      </w:pPr>
      <w:r w:rsidRPr="001531CD">
        <w:t>AUTHORITY NOTE:</w:t>
      </w:r>
      <w:r w:rsidRPr="001531CD">
        <w:tab/>
        <w:t>Promulgated in accordance with R.S. 3:3203, R.S. 3:3271 and R.S. 3:3273.</w:t>
      </w:r>
    </w:p>
    <w:p w14:paraId="778DD0BD" w14:textId="77777777" w:rsidR="00CF626A" w:rsidRPr="001531CD" w:rsidRDefault="00CF626A">
      <w:pPr>
        <w:pStyle w:val="HistoricalNote"/>
      </w:pPr>
      <w:r w:rsidRPr="001531CD">
        <w:t>HISTORICAL NOTE:</w:t>
      </w:r>
      <w:r w:rsidRPr="001531CD">
        <w:tab/>
        <w:t>Promulgated by the Department of Agriculture and Forestry, Office of Agricultural and Environmenta</w:t>
      </w:r>
      <w:r w:rsidR="00522741" w:rsidRPr="001531CD">
        <w:t>l Science, LR 19:609 (May 1993), amended by Department of Agriculture and Forestry, Office of Agricultural and Environmental Sciences, Advisory Commission on Pesticides, LR 37:3488 (December 2011).</w:t>
      </w:r>
    </w:p>
    <w:p w14:paraId="168DE676" w14:textId="77777777" w:rsidR="00522741" w:rsidRPr="001531CD" w:rsidRDefault="00522741" w:rsidP="00522741">
      <w:pPr>
        <w:pStyle w:val="Section"/>
      </w:pPr>
      <w:bookmarkStart w:id="2513" w:name="_Toc194294013"/>
      <w:bookmarkStart w:id="2514" w:name="_Toc224819271"/>
      <w:r w:rsidRPr="001531CD">
        <w:t>§3305.</w:t>
      </w:r>
      <w:r w:rsidRPr="001531CD">
        <w:tab/>
        <w:t>Procedures for Determinations</w:t>
      </w:r>
      <w:bookmarkEnd w:id="2513"/>
      <w:bookmarkEnd w:id="2514"/>
    </w:p>
    <w:p w14:paraId="5CCF03D3" w14:textId="77777777" w:rsidR="00522741" w:rsidRPr="001531CD" w:rsidRDefault="00522741" w:rsidP="00522741">
      <w:pPr>
        <w:pStyle w:val="A"/>
      </w:pPr>
      <w:r w:rsidRPr="001531CD">
        <w:t>A.</w:t>
      </w:r>
      <w:r w:rsidRPr="001531CD">
        <w:tab/>
        <w:t>When the director makes a preliminary determination as a result of monitoring or otherwise, that there is a presence of pesticide wastes as a result of monitoring or otherwise, the procedures for determining whether the concentrations of pesticide wastes exceed promulgated federal or state standards, or that the concentrations of pesticides pose a threat or reasonable expectations of a threat to human health or to the environment are as set out below.</w:t>
      </w:r>
    </w:p>
    <w:p w14:paraId="0CD29005" w14:textId="77777777" w:rsidR="00522741" w:rsidRPr="001531CD" w:rsidRDefault="00522741" w:rsidP="00522741">
      <w:pPr>
        <w:pStyle w:val="1"/>
      </w:pPr>
      <w:r w:rsidRPr="001531CD">
        <w:t>1.</w:t>
      </w:r>
      <w:r w:rsidRPr="001531CD">
        <w:tab/>
        <w:t>The commissioner shall take into consideration the following:</w:t>
      </w:r>
    </w:p>
    <w:p w14:paraId="04EBC58B" w14:textId="77777777" w:rsidR="00522741" w:rsidRPr="001531CD" w:rsidRDefault="00522741" w:rsidP="00522741">
      <w:pPr>
        <w:pStyle w:val="a0"/>
      </w:pPr>
      <w:r w:rsidRPr="001531CD">
        <w:t>a.</w:t>
      </w:r>
      <w:r w:rsidRPr="001531CD">
        <w:tab/>
        <w:t>the results of the analysis of samples, if available;</w:t>
      </w:r>
    </w:p>
    <w:p w14:paraId="64062209" w14:textId="77777777" w:rsidR="00522741" w:rsidRPr="001531CD" w:rsidRDefault="00522741" w:rsidP="00522741">
      <w:pPr>
        <w:pStyle w:val="a0"/>
      </w:pPr>
      <w:r w:rsidRPr="001531CD">
        <w:t>b.</w:t>
      </w:r>
      <w:r w:rsidRPr="001531CD">
        <w:tab/>
        <w:t>the criteria established in R.S. 3:3274; and</w:t>
      </w:r>
    </w:p>
    <w:p w14:paraId="5A54AA7B" w14:textId="77777777" w:rsidR="00522741" w:rsidRPr="001531CD" w:rsidRDefault="00522741" w:rsidP="00522741">
      <w:pPr>
        <w:pStyle w:val="a0"/>
      </w:pPr>
      <w:r w:rsidRPr="001531CD">
        <w:t>c.</w:t>
      </w:r>
      <w:r w:rsidRPr="001531CD">
        <w:tab/>
        <w:t>other relevant data.</w:t>
      </w:r>
    </w:p>
    <w:p w14:paraId="7D1D0A25" w14:textId="77777777" w:rsidR="00CF626A" w:rsidRPr="001531CD" w:rsidRDefault="00522741" w:rsidP="00522741">
      <w:pPr>
        <w:pStyle w:val="AuthorityNote"/>
      </w:pPr>
      <w:r w:rsidRPr="001531CD">
        <w:t>AUTHORITY NOTE:</w:t>
      </w:r>
      <w:r w:rsidRPr="001531CD">
        <w:tab/>
        <w:t>Promulgated in accordance with R.S. 3:3203, R.S. 3:3271 and R.S. 3:3274.</w:t>
      </w:r>
    </w:p>
    <w:p w14:paraId="5E1B28FF" w14:textId="77777777" w:rsidR="00CF626A" w:rsidRPr="001531CD" w:rsidRDefault="00CF626A">
      <w:pPr>
        <w:pStyle w:val="HistoricalNote"/>
      </w:pPr>
      <w:r w:rsidRPr="001531CD">
        <w:t>HISTORICAL NOTE:</w:t>
      </w:r>
      <w:r w:rsidRPr="001531CD">
        <w:tab/>
        <w:t>Promulgated by the Department of Agriculture and Forestry, Office of Agricultural and Environmenta</w:t>
      </w:r>
      <w:r w:rsidR="00522741" w:rsidRPr="001531CD">
        <w:t>l Science, LR 19:609 (May 1993), amended by Department of Agriculture and Forestry, Office of Agricultural and Environmental Sciences, Advisory Commission on Pesticides, LR 37:3488 (December 2011).</w:t>
      </w:r>
    </w:p>
    <w:p w14:paraId="5300ACB5" w14:textId="77777777" w:rsidR="00522741" w:rsidRPr="001531CD" w:rsidRDefault="00522741" w:rsidP="00522741">
      <w:pPr>
        <w:pStyle w:val="Section"/>
      </w:pPr>
      <w:bookmarkStart w:id="2515" w:name="_Toc194294014"/>
      <w:bookmarkStart w:id="2516" w:name="_Toc224819272"/>
      <w:r w:rsidRPr="001531CD">
        <w:t>§3307</w:t>
      </w:r>
      <w:r w:rsidRPr="001531CD">
        <w:tab/>
        <w:t>Appropriate Actions</w:t>
      </w:r>
      <w:bookmarkEnd w:id="2515"/>
      <w:bookmarkEnd w:id="2516"/>
    </w:p>
    <w:p w14:paraId="5BEE6F13" w14:textId="77777777" w:rsidR="00522741" w:rsidRPr="001531CD" w:rsidRDefault="00522741" w:rsidP="00522741">
      <w:pPr>
        <w:pStyle w:val="A"/>
      </w:pPr>
      <w:r w:rsidRPr="001531CD">
        <w:t>A.</w:t>
      </w:r>
      <w:r w:rsidRPr="001531CD">
        <w:tab/>
        <w:t>When the commissioner has determined that there is a presence of pesticide wastes and that the pesticide wastes do not exceed promulgated federal or state standards, or when the commissioner determines that the concentrations of pesticides do not pose a threat or reasonable expectation of a threat to human health or to the environment, the commissioner may take one or more of the following actions:</w:t>
      </w:r>
    </w:p>
    <w:p w14:paraId="65280524" w14:textId="77777777" w:rsidR="00522741" w:rsidRPr="001531CD" w:rsidRDefault="00522741" w:rsidP="00522741">
      <w:pPr>
        <w:pStyle w:val="1"/>
      </w:pPr>
      <w:r w:rsidRPr="001531CD">
        <w:t>1.</w:t>
      </w:r>
      <w:r w:rsidRPr="001531CD">
        <w:tab/>
        <w:t>issue appropriate orders to provide for proper disposal;</w:t>
      </w:r>
    </w:p>
    <w:p w14:paraId="4B5A1CBB" w14:textId="77777777" w:rsidR="00522741" w:rsidRPr="001531CD" w:rsidRDefault="00522741" w:rsidP="00522741">
      <w:pPr>
        <w:pStyle w:val="1"/>
      </w:pPr>
      <w:r w:rsidRPr="001531CD">
        <w:t>2.</w:t>
      </w:r>
      <w:r w:rsidRPr="001531CD">
        <w:tab/>
        <w:t>take such other action as the commissioner deems appropriate under circumstances.</w:t>
      </w:r>
    </w:p>
    <w:p w14:paraId="5B0D05ED" w14:textId="77777777" w:rsidR="00522741" w:rsidRPr="001531CD" w:rsidRDefault="00522741" w:rsidP="00522741">
      <w:pPr>
        <w:pStyle w:val="A"/>
      </w:pPr>
      <w:r w:rsidRPr="001531CD">
        <w:t>B.</w:t>
      </w:r>
      <w:r w:rsidRPr="001531CD">
        <w:tab/>
        <w:t>When the commissioner has determined that there is a presence of pesticide wastes and that the pesticide wastes exceed promulgated federal or state standards, or when the commissioner determines that the concentrations of pesticides pose a threat or reasonable expectation of a threat to human health or to the environment, the commissioner may take one or more of the following actions:</w:t>
      </w:r>
    </w:p>
    <w:p w14:paraId="1DA946B1" w14:textId="77777777" w:rsidR="00522741" w:rsidRPr="001531CD" w:rsidRDefault="00522741" w:rsidP="00522741">
      <w:pPr>
        <w:pStyle w:val="1"/>
      </w:pPr>
      <w:r w:rsidRPr="001531CD">
        <w:t>1.</w:t>
      </w:r>
      <w:r w:rsidRPr="001531CD">
        <w:tab/>
        <w:t>issue appropriate protective orders to mitigate the further contribution to the accumulation of the pesticide or pesticide wastes;</w:t>
      </w:r>
    </w:p>
    <w:p w14:paraId="0209B5DE" w14:textId="77777777" w:rsidR="00522741" w:rsidRPr="001531CD" w:rsidRDefault="00522741" w:rsidP="00522741">
      <w:pPr>
        <w:pStyle w:val="1"/>
      </w:pPr>
      <w:r w:rsidRPr="001531CD">
        <w:t>2.</w:t>
      </w:r>
      <w:r w:rsidRPr="001531CD">
        <w:tab/>
        <w:t>issue remedial orders directing prompt remedial action to correct the offending situation;</w:t>
      </w:r>
    </w:p>
    <w:p w14:paraId="4992B6A7" w14:textId="77777777" w:rsidR="00522741" w:rsidRPr="001531CD" w:rsidRDefault="00522741" w:rsidP="00522741">
      <w:pPr>
        <w:pStyle w:val="1"/>
      </w:pPr>
      <w:r w:rsidRPr="001531CD">
        <w:t>3.</w:t>
      </w:r>
      <w:r w:rsidRPr="001531CD">
        <w:tab/>
        <w:t>communicate his determination to any appropriate governmental agency;</w:t>
      </w:r>
    </w:p>
    <w:p w14:paraId="1C75F692" w14:textId="77777777" w:rsidR="00522741" w:rsidRPr="001531CD" w:rsidRDefault="00522741" w:rsidP="00522741">
      <w:pPr>
        <w:pStyle w:val="1"/>
      </w:pPr>
      <w:r w:rsidRPr="001531CD">
        <w:t>4.</w:t>
      </w:r>
      <w:r w:rsidRPr="001531CD">
        <w:tab/>
        <w:t>participate in issuing a public communication concerning the determination. Where a cooperative agreement exists, each public communication shall be issued in accordance with same;</w:t>
      </w:r>
    </w:p>
    <w:p w14:paraId="7480F79B" w14:textId="77777777" w:rsidR="00522741" w:rsidRPr="001531CD" w:rsidRDefault="00522741" w:rsidP="00522741">
      <w:pPr>
        <w:pStyle w:val="1"/>
      </w:pPr>
      <w:r w:rsidRPr="001531CD">
        <w:t>5.</w:t>
      </w:r>
      <w:r w:rsidRPr="001531CD">
        <w:tab/>
        <w:t>take such other action as the commissioner deems appropriate under circumstances.</w:t>
      </w:r>
    </w:p>
    <w:p w14:paraId="12A7FAD5" w14:textId="77777777" w:rsidR="00CF626A" w:rsidRPr="001531CD" w:rsidRDefault="00522741" w:rsidP="00522741">
      <w:pPr>
        <w:pStyle w:val="AuthorityNote"/>
      </w:pPr>
      <w:r w:rsidRPr="001531CD">
        <w:t>AUTHORITY NOTE:</w:t>
      </w:r>
      <w:r w:rsidRPr="001531CD">
        <w:tab/>
        <w:t>Promulgated in accordance with R.S. 3:3203 and R.S. 3:3271.</w:t>
      </w:r>
    </w:p>
    <w:p w14:paraId="514E8B3B"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 LR 19:610 (May 1993), amended LR 19:1120 (</w:t>
      </w:r>
      <w:r w:rsidR="00522741" w:rsidRPr="001531CD">
        <w:t>September 1993), repromulgated by Department of Agriculture and Forestry, Office of Agricultural and Environmental Sciences, Advisory Commission on Pesticides, LR 37:3489 (December 2011).</w:t>
      </w:r>
    </w:p>
    <w:p w14:paraId="4D4025B5" w14:textId="77777777" w:rsidR="005E4B91" w:rsidRPr="001531CD" w:rsidRDefault="005E4B91" w:rsidP="005E4B91">
      <w:pPr>
        <w:pStyle w:val="Section"/>
      </w:pPr>
      <w:bookmarkStart w:id="2517" w:name="_Toc224819273"/>
      <w:r w:rsidRPr="001531CD">
        <w:t>§3309.</w:t>
      </w:r>
      <w:r w:rsidRPr="001531CD">
        <w:tab/>
        <w:t>Record Keeping</w:t>
      </w:r>
      <w:bookmarkEnd w:id="2517"/>
    </w:p>
    <w:p w14:paraId="30F37156" w14:textId="77777777" w:rsidR="005E4B91" w:rsidRPr="001531CD" w:rsidRDefault="005E4B91" w:rsidP="005E4B91">
      <w:pPr>
        <w:pStyle w:val="A"/>
      </w:pPr>
      <w:r w:rsidRPr="001531CD">
        <w:t>A.</w:t>
      </w:r>
      <w:r w:rsidRPr="001531CD">
        <w:tab/>
        <w:t>In addition to the record keeping requirements set out in this Part, all persons conducting or having conducted activities of, generating, owning, possessing, storing, transporting, or disposing of pesticide wastes, shall keep copies of all records required by local, state or federal laws or regulations for a period of not less than three years from the receipt of any such record.</w:t>
      </w:r>
    </w:p>
    <w:p w14:paraId="064FCF41" w14:textId="77777777" w:rsidR="00CF626A" w:rsidRPr="001531CD" w:rsidRDefault="005E4B91" w:rsidP="005E4B91">
      <w:pPr>
        <w:pStyle w:val="AuthorityNote"/>
      </w:pPr>
      <w:r w:rsidRPr="001531CD">
        <w:t>AUTHORITY NOTE:</w:t>
      </w:r>
      <w:r w:rsidRPr="001531CD">
        <w:tab/>
        <w:t>Promulgated in accordance with R.S. 3:3203 and R.S. 3:3271.</w:t>
      </w:r>
    </w:p>
    <w:p w14:paraId="3ECEB061"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 LR 19</w:t>
      </w:r>
      <w:r w:rsidR="005E4B91" w:rsidRPr="001531CD">
        <w:t>:610 (May 1993), amended by Department of Agriculture and Forestry, Office of Agricultural and Environmental Sciences, Advisory Commission on Pesticides, LR 37:3489 (December 2011).</w:t>
      </w:r>
    </w:p>
    <w:p w14:paraId="1A5142D2" w14:textId="77777777" w:rsidR="005E4B91" w:rsidRPr="001531CD" w:rsidRDefault="005E4B91" w:rsidP="005E4B91">
      <w:pPr>
        <w:pStyle w:val="Section"/>
      </w:pPr>
      <w:bookmarkStart w:id="2518" w:name="_Toc194294016"/>
      <w:bookmarkStart w:id="2519" w:name="_Toc224819274"/>
      <w:r w:rsidRPr="001531CD">
        <w:t>§3311.</w:t>
      </w:r>
      <w:r w:rsidRPr="001531CD">
        <w:tab/>
        <w:t>Transportation of Pesticide Waste</w:t>
      </w:r>
      <w:bookmarkEnd w:id="2518"/>
      <w:bookmarkEnd w:id="2519"/>
    </w:p>
    <w:p w14:paraId="3A7D3400" w14:textId="77777777" w:rsidR="005E4B91" w:rsidRPr="001531CD" w:rsidRDefault="005E4B91" w:rsidP="005E4B91">
      <w:pPr>
        <w:pStyle w:val="A"/>
      </w:pPr>
      <w:r w:rsidRPr="001531CD">
        <w:t>A.</w:t>
      </w:r>
      <w:r w:rsidRPr="001531CD">
        <w:tab/>
        <w:t>All persons transporting pesticide wastes shall transport such wastes in a manner that conforms to the procedures and requirements set forth by the Louisiana Department of Environmental Quality and the Louisiana Department of Public Safety, in addition to all other applicable local, state and federal laws and regulations.</w:t>
      </w:r>
    </w:p>
    <w:p w14:paraId="7040C94D" w14:textId="77777777" w:rsidR="00CF626A" w:rsidRPr="001531CD" w:rsidRDefault="005E4B91" w:rsidP="005E4B91">
      <w:pPr>
        <w:pStyle w:val="AuthorityNote"/>
      </w:pPr>
      <w:r w:rsidRPr="001531CD">
        <w:t>AUTHORITY NOTE: Promulgated in accordance with R.S. 3:3203 and R.S. 3:3271.</w:t>
      </w:r>
    </w:p>
    <w:p w14:paraId="00777EFF" w14:textId="77777777" w:rsidR="00CF626A" w:rsidRPr="001531CD" w:rsidRDefault="00CF626A">
      <w:pPr>
        <w:pStyle w:val="HistoricalNote"/>
      </w:pPr>
      <w:r w:rsidRPr="001531CD">
        <w:t>HISTORICAL NOTE:</w:t>
      </w:r>
      <w:r w:rsidRPr="001531CD">
        <w:tab/>
        <w:t>Promulgated by the Department of Agriculture and Forestry, Office of Agricultural and Environmenta</w:t>
      </w:r>
      <w:r w:rsidR="005E4B91" w:rsidRPr="001531CD">
        <w:t>l Science, LR 19:610 (May 1993), repromulgated by Department of Agriculture and Forestry, Office of Agricultural and Environmental Sciences, Advisory Commission on Pesticides, LR 37:3489 (December 2011).</w:t>
      </w:r>
    </w:p>
    <w:p w14:paraId="034F9F08" w14:textId="77777777" w:rsidR="005E4B91" w:rsidRPr="001531CD" w:rsidRDefault="005E4B91" w:rsidP="005E4B91">
      <w:pPr>
        <w:pStyle w:val="Chapter"/>
      </w:pPr>
      <w:bookmarkStart w:id="2520" w:name="_Toc194294017"/>
      <w:bookmarkStart w:id="2521" w:name="_Toc224819275"/>
      <w:r w:rsidRPr="001531CD">
        <w:t>Chapter 35.</w:t>
      </w:r>
      <w:bookmarkStart w:id="2522" w:name="TOCT_SubC195"/>
      <w:r w:rsidRPr="001531CD">
        <w:tab/>
        <w:t>Health Complaints</w:t>
      </w:r>
      <w:bookmarkEnd w:id="2520"/>
      <w:bookmarkEnd w:id="2521"/>
      <w:bookmarkEnd w:id="2522"/>
    </w:p>
    <w:p w14:paraId="2094B7B2" w14:textId="77777777" w:rsidR="005E4B91" w:rsidRPr="001531CD" w:rsidRDefault="005E4B91" w:rsidP="005E4B91">
      <w:pPr>
        <w:pStyle w:val="Section"/>
      </w:pPr>
      <w:bookmarkStart w:id="2523" w:name="_Toc194294018"/>
      <w:bookmarkStart w:id="2524" w:name="_Toc224819276"/>
      <w:r w:rsidRPr="001531CD">
        <w:t>§3501.</w:t>
      </w:r>
      <w:r w:rsidRPr="001531CD">
        <w:tab/>
        <w:t>Notification of Pesticide Poisoning</w:t>
      </w:r>
      <w:bookmarkEnd w:id="2523"/>
      <w:bookmarkEnd w:id="2524"/>
    </w:p>
    <w:p w14:paraId="0457F913" w14:textId="77777777" w:rsidR="005E4B91" w:rsidRPr="001531CD" w:rsidRDefault="005E4B91" w:rsidP="005E4B91">
      <w:pPr>
        <w:pStyle w:val="A"/>
      </w:pPr>
      <w:r w:rsidRPr="001531CD">
        <w:t>A.</w:t>
      </w:r>
      <w:r w:rsidRPr="001531CD">
        <w:tab/>
        <w:t xml:space="preserve">Each physician who treats a health complaint that is diagnosed as caused by pesticide poisoning shall provide notice of the poisoning to the director of the division via the 24-hour telephone hotline, (225) 925-3763, within 24 hours </w:t>
      </w:r>
      <w:r w:rsidRPr="001531CD">
        <w:lastRenderedPageBreak/>
        <w:t>of the diagnosis and in writing posted within three days of the diagnosis. Each report shall contain the following:</w:t>
      </w:r>
    </w:p>
    <w:p w14:paraId="3DFB0B15" w14:textId="77777777" w:rsidR="005E4B91" w:rsidRPr="001531CD" w:rsidRDefault="005E4B91" w:rsidP="005E4B91">
      <w:pPr>
        <w:pStyle w:val="1"/>
      </w:pPr>
      <w:r w:rsidRPr="001531CD">
        <w:t>1.</w:t>
      </w:r>
      <w:r w:rsidRPr="001531CD">
        <w:tab/>
        <w:t>the name, address, and telephone number of the treating physician;</w:t>
      </w:r>
    </w:p>
    <w:p w14:paraId="62E4F729" w14:textId="77777777" w:rsidR="005E4B91" w:rsidRPr="001531CD" w:rsidRDefault="005E4B91" w:rsidP="005E4B91">
      <w:pPr>
        <w:pStyle w:val="1"/>
      </w:pPr>
      <w:r w:rsidRPr="001531CD">
        <w:t>2.</w:t>
      </w:r>
      <w:r w:rsidRPr="001531CD">
        <w:tab/>
        <w:t>the name, address, and telephone number of each patient treated;</w:t>
      </w:r>
    </w:p>
    <w:p w14:paraId="04EACFD7" w14:textId="77777777" w:rsidR="005E4B91" w:rsidRPr="001531CD" w:rsidRDefault="005E4B91" w:rsidP="005E4B91">
      <w:pPr>
        <w:pStyle w:val="1"/>
      </w:pPr>
      <w:r w:rsidRPr="001531CD">
        <w:t>3.</w:t>
      </w:r>
      <w:r w:rsidRPr="001531CD">
        <w:tab/>
        <w:t>date of treatment; and</w:t>
      </w:r>
    </w:p>
    <w:p w14:paraId="3F342CD1" w14:textId="77777777" w:rsidR="005E4B91" w:rsidRPr="001531CD" w:rsidRDefault="005E4B91" w:rsidP="005E4B91">
      <w:pPr>
        <w:pStyle w:val="1"/>
      </w:pPr>
      <w:r w:rsidRPr="001531CD">
        <w:t>4.</w:t>
      </w:r>
      <w:r w:rsidRPr="001531CD">
        <w:tab/>
        <w:t>the location of the facility where the reporting physician provided treatment.</w:t>
      </w:r>
    </w:p>
    <w:p w14:paraId="4FA8333A" w14:textId="77777777" w:rsidR="00CF626A" w:rsidRPr="001531CD" w:rsidRDefault="005E4B91" w:rsidP="005E4B91">
      <w:pPr>
        <w:pStyle w:val="AuthorityNote"/>
      </w:pPr>
      <w:r w:rsidRPr="001531CD">
        <w:t>AUTHORITY NOTE: Promulgated in accordance with R.S. 3:3203 and 3:3208.</w:t>
      </w:r>
    </w:p>
    <w:p w14:paraId="02C22818" w14:textId="77777777" w:rsidR="00CF626A" w:rsidRPr="001531CD" w:rsidRDefault="00CF626A">
      <w:pPr>
        <w:pStyle w:val="HistoricalNote"/>
      </w:pPr>
      <w:r w:rsidRPr="001531CD">
        <w:t>HISTORICAL NOTE:</w:t>
      </w:r>
      <w:r w:rsidRPr="001531CD">
        <w:tab/>
        <w:t xml:space="preserve">Promulgated by the Department of Agriculture and Forestry, Office of Agricultural and Environmental Sciences </w:t>
      </w:r>
      <w:r w:rsidR="005E4B91" w:rsidRPr="001531CD">
        <w:t>Programs, LR 20:642 (June 1994), amended by Department of Agriculture and Forestry, Office of Agricultural and Environmental Sciences, Advisory Commission on Pesticides, LR 37:3489 (December 2011).</w:t>
      </w:r>
    </w:p>
    <w:p w14:paraId="6D88C309" w14:textId="77777777" w:rsidR="00CF626A" w:rsidRPr="001531CD" w:rsidRDefault="00CF626A">
      <w:pPr>
        <w:pStyle w:val="Chapter"/>
        <w:sectPr w:rsidR="00CF626A" w:rsidRPr="001531CD" w:rsidSect="00167E2E">
          <w:headerReference w:type="even" r:id="rId52"/>
          <w:headerReference w:type="default" r:id="rId53"/>
          <w:type w:val="continuous"/>
          <w:pgSz w:w="12240" w:h="15840" w:code="1"/>
          <w:pgMar w:top="1080" w:right="864" w:bottom="864" w:left="864" w:header="576" w:footer="432" w:gutter="0"/>
          <w:cols w:num="2" w:space="720"/>
        </w:sectPr>
      </w:pPr>
    </w:p>
    <w:p w14:paraId="32AF1174"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013D702D" w14:textId="77777777" w:rsidR="00CF626A" w:rsidRPr="001531CD" w:rsidRDefault="00CF626A" w:rsidP="00F03863">
      <w:pPr>
        <w:pStyle w:val="Title1"/>
        <w:outlineLvl w:val="0"/>
      </w:pPr>
      <w:r w:rsidRPr="001531CD">
        <w:lastRenderedPageBreak/>
        <w:t>Title 7</w:t>
      </w:r>
    </w:p>
    <w:p w14:paraId="2D052A71" w14:textId="77777777" w:rsidR="00CF626A" w:rsidRPr="001531CD" w:rsidRDefault="00CF626A">
      <w:pPr>
        <w:pStyle w:val="Title2"/>
      </w:pPr>
      <w:r w:rsidRPr="001531CD">
        <w:t>AGRICULTURE AND ANIMALS</w:t>
      </w:r>
    </w:p>
    <w:p w14:paraId="3A39FE74" w14:textId="77777777" w:rsidR="00CF626A" w:rsidRPr="001531CD" w:rsidRDefault="00CF626A">
      <w:pPr>
        <w:pStyle w:val="Part"/>
      </w:pPr>
      <w:bookmarkStart w:id="2525" w:name="TOC_Part11"/>
      <w:bookmarkStart w:id="2526" w:name="_Toc77840212"/>
      <w:bookmarkStart w:id="2527" w:name="_Toc224819277"/>
      <w:r w:rsidRPr="001531CD">
        <w:t>Part XXV.  Structural Pest Control</w:t>
      </w:r>
      <w:bookmarkEnd w:id="2525"/>
      <w:bookmarkEnd w:id="2526"/>
      <w:bookmarkEnd w:id="2527"/>
    </w:p>
    <w:p w14:paraId="5DE37F78" w14:textId="77777777" w:rsidR="00CF626A" w:rsidRPr="001531CD" w:rsidRDefault="00CF626A">
      <w:pPr>
        <w:pStyle w:val="Part"/>
      </w:pPr>
    </w:p>
    <w:p w14:paraId="7B9E0026" w14:textId="77777777" w:rsidR="00CF626A" w:rsidRPr="001531CD" w:rsidRDefault="00CF626A">
      <w:pPr>
        <w:pStyle w:val="Part"/>
        <w:sectPr w:rsidR="00CF626A" w:rsidRPr="001531CD" w:rsidSect="00167E2E">
          <w:headerReference w:type="default" r:id="rId54"/>
          <w:type w:val="oddPage"/>
          <w:pgSz w:w="12240" w:h="15840" w:code="1"/>
          <w:pgMar w:top="1080" w:right="864" w:bottom="864" w:left="864" w:header="576" w:footer="432" w:gutter="0"/>
          <w:cols w:space="720"/>
          <w:docGrid w:linePitch="326"/>
        </w:sectPr>
      </w:pPr>
    </w:p>
    <w:p w14:paraId="77789EAC" w14:textId="77777777" w:rsidR="00CF626A" w:rsidRPr="001531CD" w:rsidRDefault="00CF626A">
      <w:pPr>
        <w:pStyle w:val="Chapter"/>
      </w:pPr>
      <w:bookmarkStart w:id="2528" w:name="TOC_Chap196"/>
      <w:bookmarkStart w:id="2529" w:name="_Toc256754905"/>
      <w:bookmarkStart w:id="2530" w:name="_Toc224819278"/>
      <w:r w:rsidRPr="001531CD">
        <w:t>Chapter 1.</w:t>
      </w:r>
      <w:bookmarkEnd w:id="2528"/>
      <w:r w:rsidR="00167E2E">
        <w:tab/>
      </w:r>
      <w:bookmarkStart w:id="2531" w:name="TOCT_Chap183"/>
      <w:bookmarkStart w:id="2532" w:name="TOCT_Chap187"/>
      <w:bookmarkStart w:id="2533" w:name="TOCT_Chap188"/>
      <w:bookmarkStart w:id="2534" w:name="TOCT_Chap190"/>
      <w:bookmarkStart w:id="2535" w:name="TOCT_Chap194"/>
      <w:bookmarkStart w:id="2536" w:name="TOCT_Chap195"/>
      <w:bookmarkStart w:id="2537" w:name="TOCT_Chap196"/>
      <w:r w:rsidRPr="001531CD">
        <w:t>Structural Pest Control Commission</w:t>
      </w:r>
      <w:bookmarkEnd w:id="2529"/>
      <w:bookmarkEnd w:id="2530"/>
      <w:bookmarkEnd w:id="2531"/>
      <w:bookmarkEnd w:id="2532"/>
      <w:bookmarkEnd w:id="2533"/>
      <w:bookmarkEnd w:id="2534"/>
      <w:bookmarkEnd w:id="2535"/>
      <w:bookmarkEnd w:id="2536"/>
      <w:bookmarkEnd w:id="2537"/>
    </w:p>
    <w:p w14:paraId="696C29D6" w14:textId="77777777" w:rsidR="00CF626A" w:rsidRPr="001531CD" w:rsidRDefault="00CF626A" w:rsidP="00F03863">
      <w:pPr>
        <w:pStyle w:val="Section"/>
        <w:outlineLvl w:val="0"/>
      </w:pPr>
      <w:bookmarkStart w:id="2538" w:name="_Toc256754906"/>
      <w:bookmarkStart w:id="2539" w:name="_Toc224819279"/>
      <w:r w:rsidRPr="001531CD">
        <w:t>§101.</w:t>
      </w:r>
      <w:r w:rsidRPr="001531CD">
        <w:tab/>
        <w:t>Definitions</w:t>
      </w:r>
      <w:bookmarkEnd w:id="2538"/>
      <w:bookmarkEnd w:id="2539"/>
    </w:p>
    <w:p w14:paraId="758DF299" w14:textId="77777777" w:rsidR="00E41C68" w:rsidRPr="00CF4F7E" w:rsidRDefault="00E41C68" w:rsidP="00E41C68">
      <w:pPr>
        <w:pStyle w:val="A"/>
      </w:pPr>
      <w:r w:rsidRPr="00CF4F7E">
        <w:t>A.</w:t>
      </w:r>
      <w:r w:rsidRPr="00CF4F7E">
        <w:tab/>
        <w:t>The definitions in R.S. 3:3362 are applicable to this Part.</w:t>
      </w:r>
    </w:p>
    <w:p w14:paraId="61A0BB16" w14:textId="77777777" w:rsidR="00E41C68" w:rsidRPr="00CF4F7E" w:rsidRDefault="00E41C68" w:rsidP="00E41C68">
      <w:pPr>
        <w:pStyle w:val="A"/>
      </w:pPr>
      <w:r w:rsidRPr="00CF4F7E">
        <w:t>B.</w:t>
      </w:r>
      <w:r w:rsidRPr="00CF4F7E">
        <w:tab/>
        <w:t>The following words and terms are defined for the purposes of this Part.</w:t>
      </w:r>
    </w:p>
    <w:p w14:paraId="6E361D38" w14:textId="77777777" w:rsidR="00757F38" w:rsidRDefault="00757F38" w:rsidP="00757F38">
      <w:pPr>
        <w:pStyle w:val="1"/>
      </w:pPr>
      <w:r w:rsidRPr="001531CD">
        <w:rPr>
          <w:i/>
          <w:iCs/>
        </w:rPr>
        <w:t>Act</w:t>
      </w:r>
      <w:r w:rsidRPr="001531CD">
        <w:rPr>
          <w:iCs/>
        </w:rPr>
        <w:t>—the</w:t>
      </w:r>
      <w:r w:rsidRPr="001531CD">
        <w:t xml:space="preserve"> Structural Pest Control Law, which is currently Part VII of Chapter 20 of Title 3 of the Louisiana Revised Statutes of 1950, (R.S. 3:3301 et seq.).</w:t>
      </w:r>
    </w:p>
    <w:p w14:paraId="2D0BF291" w14:textId="77777777" w:rsidR="00B34A01" w:rsidRPr="001531CD" w:rsidRDefault="00B34A01" w:rsidP="00757F38">
      <w:pPr>
        <w:pStyle w:val="1"/>
      </w:pPr>
      <w:r w:rsidRPr="00AE08CE">
        <w:rPr>
          <w:i/>
          <w:iCs/>
        </w:rPr>
        <w:t>Active Infestation</w:t>
      </w:r>
      <w:r w:rsidRPr="00AE08CE">
        <w:t>―the presence of living insects in or on a structure.</w:t>
      </w:r>
    </w:p>
    <w:p w14:paraId="3E657D04" w14:textId="77777777" w:rsidR="00757F38" w:rsidRPr="001531CD" w:rsidRDefault="00757F38" w:rsidP="00757F38">
      <w:pPr>
        <w:pStyle w:val="1"/>
      </w:pPr>
      <w:r w:rsidRPr="001531CD">
        <w:rPr>
          <w:i/>
          <w:iCs/>
        </w:rPr>
        <w:t>Adjudicatory Proceeding</w:t>
      </w:r>
      <w:r w:rsidR="00AF4541" w:rsidRPr="001531CD">
        <w:t>—</w:t>
      </w:r>
      <w:r w:rsidRPr="001531CD">
        <w:t>an open public hearing by the commission to determine whether violations of the Act or these rules and regulations have occurred.</w:t>
      </w:r>
    </w:p>
    <w:p w14:paraId="5679E236" w14:textId="77777777" w:rsidR="00757F38" w:rsidRPr="001531CD" w:rsidRDefault="00757F38" w:rsidP="00757F38">
      <w:pPr>
        <w:pStyle w:val="1"/>
      </w:pPr>
      <w:r w:rsidRPr="001531CD">
        <w:rPr>
          <w:i/>
          <w:iCs/>
        </w:rPr>
        <w:t>Applicant</w:t>
      </w:r>
      <w:r w:rsidR="00AF4541" w:rsidRPr="001531CD">
        <w:t>—</w:t>
      </w:r>
      <w:r w:rsidRPr="001531CD">
        <w:t>any person making application for a license to engage in operations coming under the provisions of this Part.</w:t>
      </w:r>
    </w:p>
    <w:p w14:paraId="1CE810B4" w14:textId="77777777" w:rsidR="00757F38" w:rsidRPr="001531CD" w:rsidRDefault="00757F38" w:rsidP="00757F38">
      <w:pPr>
        <w:pStyle w:val="1"/>
      </w:pPr>
      <w:r w:rsidRPr="001531CD">
        <w:rPr>
          <w:i/>
          <w:iCs/>
        </w:rPr>
        <w:t>Availability</w:t>
      </w:r>
      <w:r w:rsidRPr="001531CD">
        <w:t xml:space="preserve"> [with reference to </w:t>
      </w:r>
      <w:r w:rsidRPr="001531CD">
        <w:rPr>
          <w:i/>
          <w:iCs/>
        </w:rPr>
        <w:t>direct supervision</w:t>
      </w:r>
      <w:r w:rsidRPr="001531CD">
        <w:t>]</w:t>
      </w:r>
      <w:r w:rsidR="00AF4541" w:rsidRPr="001531CD">
        <w:t>—</w:t>
      </w:r>
      <w:r w:rsidRPr="001531CD">
        <w:t xml:space="preserve">that the licensee must be able to reach the job site within three hours after receipt of a call or have established another licensee to supervise his operations (see definition of </w:t>
      </w:r>
      <w:r w:rsidRPr="001531CD">
        <w:rPr>
          <w:i/>
          <w:iCs/>
        </w:rPr>
        <w:t>direct supervision</w:t>
      </w:r>
      <w:r w:rsidRPr="001531CD">
        <w:t xml:space="preserve"> in §101).</w:t>
      </w:r>
    </w:p>
    <w:p w14:paraId="0DD59020" w14:textId="77777777" w:rsidR="00757F38" w:rsidRPr="001531CD" w:rsidRDefault="00757F38" w:rsidP="00757F38">
      <w:pPr>
        <w:pStyle w:val="1"/>
      </w:pPr>
      <w:r w:rsidRPr="001531CD">
        <w:rPr>
          <w:i/>
          <w:iCs/>
        </w:rPr>
        <w:t>Bond</w:t>
      </w:r>
      <w:r w:rsidR="00AF4541" w:rsidRPr="001531CD">
        <w:t>—</w:t>
      </w:r>
      <w:r w:rsidRPr="001531CD">
        <w:t>a written instrument issued or executed by a bonding, surety or insurance company licensed to do business in this state, guaranteeing the fulfillment of the agreement between the licensee or business entity and his customer and insuring against fraudulent practices by the licensee or business entity.</w:t>
      </w:r>
    </w:p>
    <w:p w14:paraId="5506E115" w14:textId="77777777" w:rsidR="00757F38" w:rsidRPr="001531CD" w:rsidRDefault="00757F38" w:rsidP="00757F38">
      <w:pPr>
        <w:pStyle w:val="1"/>
      </w:pPr>
      <w:r w:rsidRPr="001531CD">
        <w:rPr>
          <w:i/>
          <w:iCs/>
        </w:rPr>
        <w:t>Branch Office</w:t>
      </w:r>
      <w:r w:rsidR="00AF4541" w:rsidRPr="001531CD">
        <w:t>—</w:t>
      </w:r>
      <w:r w:rsidRPr="001531CD">
        <w:t>any site, i.e., office, store, warehouse, etc., where any kind of structural pest control services are offered to the general public.</w:t>
      </w:r>
    </w:p>
    <w:p w14:paraId="03F5CB15" w14:textId="77777777" w:rsidR="00757F38" w:rsidRPr="001531CD" w:rsidRDefault="00757F38" w:rsidP="00757F38">
      <w:pPr>
        <w:pStyle w:val="1"/>
      </w:pPr>
      <w:r w:rsidRPr="001531CD">
        <w:rPr>
          <w:i/>
          <w:iCs/>
        </w:rPr>
        <w:t>Business</w:t>
      </w:r>
      <w:r w:rsidR="00AF4541" w:rsidRPr="001531CD">
        <w:t>—</w:t>
      </w:r>
      <w:r w:rsidRPr="001531CD">
        <w:t>either a single person or a group of persons organized to carry on the business of structural pest control.</w:t>
      </w:r>
    </w:p>
    <w:p w14:paraId="077CA00D" w14:textId="77777777" w:rsidR="00757F38" w:rsidRPr="001531CD" w:rsidRDefault="00757F38" w:rsidP="00757F38">
      <w:pPr>
        <w:pStyle w:val="1"/>
      </w:pPr>
      <w:r w:rsidRPr="001531CD">
        <w:rPr>
          <w:i/>
          <w:iCs/>
        </w:rPr>
        <w:t>Certified Applicator</w:t>
      </w:r>
      <w:r w:rsidRPr="001531CD">
        <w:t xml:space="preserve"> (for purposes of these regulations)</w:t>
      </w:r>
      <w:r w:rsidR="00AF4541" w:rsidRPr="00AF4541">
        <w:t xml:space="preserve"> </w:t>
      </w:r>
      <w:r w:rsidR="00AF4541" w:rsidRPr="001531CD">
        <w:t>—</w:t>
      </w:r>
      <w:r w:rsidRPr="001531CD">
        <w:t>any person who holds a valid license as herein provided or otherwise known as licensee.</w:t>
      </w:r>
    </w:p>
    <w:p w14:paraId="5314C7C5" w14:textId="77777777" w:rsidR="00757F38" w:rsidRPr="001531CD" w:rsidRDefault="00757F38" w:rsidP="00757F38">
      <w:pPr>
        <w:pStyle w:val="1"/>
      </w:pPr>
      <w:r w:rsidRPr="001531CD">
        <w:rPr>
          <w:i/>
          <w:iCs/>
        </w:rPr>
        <w:t>Chain Wall</w:t>
      </w:r>
      <w:r w:rsidR="00AF4541" w:rsidRPr="001531CD">
        <w:t>—</w:t>
      </w:r>
      <w:r w:rsidRPr="001531CD">
        <w:t>any wall constructed of any material that supports or skirts a structure.</w:t>
      </w:r>
    </w:p>
    <w:p w14:paraId="5F40C17B" w14:textId="77777777" w:rsidR="00757F38" w:rsidRPr="001531CD" w:rsidRDefault="00757F38" w:rsidP="00757F38">
      <w:pPr>
        <w:pStyle w:val="1"/>
      </w:pPr>
      <w:r w:rsidRPr="001531CD">
        <w:rPr>
          <w:i/>
        </w:rPr>
        <w:t>Commodity Fumigation</w:t>
      </w:r>
      <w:r w:rsidR="00AF4541" w:rsidRPr="001531CD">
        <w:t>—</w:t>
      </w:r>
      <w:r w:rsidRPr="001531CD">
        <w:t>the fumigation of food or non-food items stored in stacks, rail cars, containers, trucks, barges, boxes, bins, etc. that are not normally occupied by humans. No living quarters shall be in any of the above.</w:t>
      </w:r>
    </w:p>
    <w:p w14:paraId="524B819F" w14:textId="77777777" w:rsidR="00757F38" w:rsidRPr="001531CD" w:rsidRDefault="00B62AD7" w:rsidP="00757F38">
      <w:pPr>
        <w:pStyle w:val="1"/>
      </w:pPr>
      <w:r w:rsidRPr="00B62AD7">
        <w:rPr>
          <w:i/>
          <w:iCs/>
        </w:rPr>
        <w:t>Construction—</w:t>
      </w:r>
      <w:r w:rsidRPr="00B62AD7">
        <w:rPr>
          <w:iCs/>
        </w:rPr>
        <w:t>the act of building a structure from the start of the first stage of physical work until completion which is when a final inspection by an appropriate building inspector is completed.</w:t>
      </w:r>
    </w:p>
    <w:p w14:paraId="35B886DB" w14:textId="77777777" w:rsidR="0034191B" w:rsidRPr="001531CD" w:rsidRDefault="0034191B" w:rsidP="0034191B">
      <w:pPr>
        <w:pStyle w:val="1"/>
      </w:pPr>
      <w:r w:rsidRPr="001531CD">
        <w:rPr>
          <w:i/>
        </w:rPr>
        <w:t>Containment Pad</w:t>
      </w:r>
      <w:r w:rsidRPr="001531CD">
        <w:t xml:space="preserve">—a containment structure that: </w:t>
      </w:r>
    </w:p>
    <w:p w14:paraId="031A4E16" w14:textId="77777777" w:rsidR="0034191B" w:rsidRPr="001531CD" w:rsidRDefault="0034191B" w:rsidP="0034191B">
      <w:pPr>
        <w:pStyle w:val="a0"/>
      </w:pPr>
      <w:r w:rsidRPr="001531CD">
        <w:t>a.</w:t>
      </w:r>
      <w:r w:rsidRPr="001531CD">
        <w:tab/>
        <w:t xml:space="preserve">for new and existing containment structures, meets the design, construction materials and capacity requirements of 750 gallons or 100 percent of the capacity of the largest container/equipment used on the pad (whichever is less); and </w:t>
      </w:r>
    </w:p>
    <w:p w14:paraId="23326342" w14:textId="77777777" w:rsidR="0034191B" w:rsidRPr="001531CD" w:rsidRDefault="0034191B" w:rsidP="0034191B">
      <w:pPr>
        <w:pStyle w:val="a0"/>
      </w:pPr>
      <w:r w:rsidRPr="001531CD">
        <w:t>b.</w:t>
      </w:r>
      <w:r w:rsidRPr="001531CD">
        <w:tab/>
        <w:t>accommodates pesticide spills or leaks in dispensing areas at bulk facilities.</w:t>
      </w:r>
    </w:p>
    <w:p w14:paraId="5F169678" w14:textId="77777777" w:rsidR="0034191B" w:rsidRPr="001531CD" w:rsidRDefault="00B62AD7" w:rsidP="0034191B">
      <w:pPr>
        <w:pStyle w:val="1"/>
      </w:pPr>
      <w:r w:rsidRPr="00B62AD7">
        <w:rPr>
          <w:i/>
          <w:iCs/>
        </w:rPr>
        <w:t>Containment Structure—</w:t>
      </w:r>
      <w:r w:rsidRPr="00B62AD7">
        <w:rPr>
          <w:iCs/>
        </w:rPr>
        <w:t>new and existing structures at bulk facilities that meet the design, construction materials and capacity requirements used to contain spills or leaks from stationary pesticide containers or pesticide dispensing activities</w:t>
      </w:r>
      <w:r w:rsidRPr="00B62AD7">
        <w:rPr>
          <w:i/>
          <w:iCs/>
        </w:rPr>
        <w:t>.</w:t>
      </w:r>
    </w:p>
    <w:p w14:paraId="009772FB" w14:textId="77777777" w:rsidR="0034191B" w:rsidRPr="001531CD" w:rsidRDefault="0034191B" w:rsidP="0034191B">
      <w:pPr>
        <w:pStyle w:val="a0"/>
      </w:pPr>
      <w:r w:rsidRPr="001531CD">
        <w:t>a.</w:t>
      </w:r>
      <w:r w:rsidRPr="001531CD">
        <w:tab/>
        <w:t xml:space="preserve">An existing containment structure is a structure for which installation began on or before July 1, 2011. </w:t>
      </w:r>
    </w:p>
    <w:p w14:paraId="4D22C48D" w14:textId="77777777" w:rsidR="0034191B" w:rsidRPr="001531CD" w:rsidRDefault="0034191B" w:rsidP="0034191B">
      <w:pPr>
        <w:pStyle w:val="a0"/>
      </w:pPr>
      <w:r w:rsidRPr="001531CD">
        <w:t>b.</w:t>
      </w:r>
      <w:r w:rsidRPr="001531CD">
        <w:tab/>
        <w:t>A new containment structure is a structure for which installation began after July 1, 2011 if certain conditions regarding permits, construction and contracts are met.</w:t>
      </w:r>
    </w:p>
    <w:p w14:paraId="49DB25FF" w14:textId="77777777" w:rsidR="00757F38" w:rsidRPr="001531CD" w:rsidRDefault="00757F38" w:rsidP="00757F38">
      <w:pPr>
        <w:pStyle w:val="1"/>
      </w:pPr>
      <w:r w:rsidRPr="001531CD">
        <w:rPr>
          <w:i/>
        </w:rPr>
        <w:t>Contract</w:t>
      </w:r>
      <w:r w:rsidR="00AF4541" w:rsidRPr="001531CD">
        <w:t>—</w:t>
      </w:r>
      <w:r w:rsidRPr="001531CD">
        <w:t>a written agreement between two or more persons, one of whom is a pest control operator for services for the provision of a specific pest control service. Contracts for subterranean termites, dry wood termites, pow</w:t>
      </w:r>
      <w:r w:rsidR="003A3BED">
        <w:t>d</w:t>
      </w:r>
      <w:r w:rsidRPr="001531CD">
        <w:t xml:space="preserve">er post beetles or old house borers shall be approved by the </w:t>
      </w:r>
      <w:r w:rsidR="00E41FE7" w:rsidRPr="001531CD">
        <w:t>c</w:t>
      </w:r>
      <w:r w:rsidRPr="001531CD">
        <w:t>ommission prior to use.</w:t>
      </w:r>
    </w:p>
    <w:p w14:paraId="774D8598" w14:textId="77777777" w:rsidR="00757F38" w:rsidRPr="001531CD" w:rsidRDefault="00757F38" w:rsidP="00757F38">
      <w:pPr>
        <w:pStyle w:val="1"/>
      </w:pPr>
      <w:r w:rsidRPr="001531CD">
        <w:rPr>
          <w:i/>
        </w:rPr>
        <w:t>Curtain Wall</w:t>
      </w:r>
      <w:r w:rsidRPr="001531CD">
        <w:rPr>
          <w:i/>
        </w:rPr>
        <w:sym w:font="Symbol" w:char="F0BE"/>
      </w:r>
      <w:r w:rsidRPr="001531CD">
        <w:t xml:space="preserve">any non-supporting wall constructed of any material that skirts a structure. </w:t>
      </w:r>
    </w:p>
    <w:p w14:paraId="740B0FE0" w14:textId="77777777" w:rsidR="00757F38" w:rsidRPr="001531CD" w:rsidRDefault="00757F38" w:rsidP="00757F38">
      <w:pPr>
        <w:pStyle w:val="1"/>
      </w:pPr>
      <w:r w:rsidRPr="001531CD">
        <w:rPr>
          <w:i/>
        </w:rPr>
        <w:t>Department</w:t>
      </w:r>
      <w:r w:rsidR="00AF4541" w:rsidRPr="001531CD">
        <w:t>—</w:t>
      </w:r>
      <w:r w:rsidRPr="001531CD">
        <w:t>the Louisiana Department of Agriculture and Forestry.</w:t>
      </w:r>
    </w:p>
    <w:p w14:paraId="676D07B9" w14:textId="77777777" w:rsidR="00757F38" w:rsidRPr="001531CD" w:rsidRDefault="00757F38" w:rsidP="00757F38">
      <w:pPr>
        <w:pStyle w:val="1"/>
      </w:pPr>
      <w:r w:rsidRPr="001531CD">
        <w:rPr>
          <w:i/>
          <w:iCs/>
        </w:rPr>
        <w:t>Direct Supervision</w:t>
      </w:r>
      <w:r w:rsidR="00AF4541" w:rsidRPr="001531CD">
        <w:t>—</w:t>
      </w:r>
      <w:r w:rsidRPr="001531CD">
        <w:t xml:space="preserve">physical contact at least twice within five consecutive working days by a licensee with all employees registered under his supervision, including giving routine and/or special instructions, prescribing pesticides, calculating volume of pesticides to be applied, calibrating equipment and being available, whenever and wherever needed, to handle any emergency situations which might arise (see definition of </w:t>
      </w:r>
      <w:r w:rsidRPr="001531CD">
        <w:rPr>
          <w:i/>
          <w:iCs/>
        </w:rPr>
        <w:t>availability</w:t>
      </w:r>
      <w:r w:rsidRPr="001531CD">
        <w:t xml:space="preserve"> in §101).</w:t>
      </w:r>
    </w:p>
    <w:p w14:paraId="5CCE2E14" w14:textId="77777777" w:rsidR="00757F38" w:rsidRPr="001531CD" w:rsidRDefault="00757F38" w:rsidP="00757F38">
      <w:pPr>
        <w:pStyle w:val="1"/>
      </w:pPr>
      <w:r w:rsidRPr="001531CD">
        <w:rPr>
          <w:i/>
          <w:iCs/>
        </w:rPr>
        <w:t>Director</w:t>
      </w:r>
      <w:r w:rsidR="00AF4541" w:rsidRPr="001531CD">
        <w:t>—</w:t>
      </w:r>
      <w:r w:rsidRPr="001531CD">
        <w:t>the director of the Division of Pesticide and Environmental Programs or his duly authorized representatives acting at his direction.</w:t>
      </w:r>
    </w:p>
    <w:p w14:paraId="6CCAA85A" w14:textId="77777777" w:rsidR="00757F38" w:rsidRPr="001531CD" w:rsidRDefault="00757F38" w:rsidP="00757F38">
      <w:pPr>
        <w:pStyle w:val="1"/>
      </w:pPr>
      <w:r w:rsidRPr="001531CD">
        <w:rPr>
          <w:i/>
        </w:rPr>
        <w:t>Division</w:t>
      </w:r>
      <w:r w:rsidRPr="001531CD">
        <w:t>—the Department’s Division of Pesticide and Environmental Programs.</w:t>
      </w:r>
    </w:p>
    <w:p w14:paraId="35A984E6" w14:textId="77777777" w:rsidR="00D0533B" w:rsidRPr="00D0533B" w:rsidRDefault="00B62AD7" w:rsidP="00D0533B">
      <w:pPr>
        <w:pStyle w:val="1"/>
        <w:rPr>
          <w:bCs/>
        </w:rPr>
      </w:pPr>
      <w:r w:rsidRPr="00B62AD7">
        <w:rPr>
          <w:i/>
          <w:color w:val="000000"/>
        </w:rPr>
        <w:lastRenderedPageBreak/>
        <w:t>Employee—</w:t>
      </w:r>
      <w:r w:rsidRPr="00B62AD7">
        <w:rPr>
          <w:color w:val="000000"/>
        </w:rPr>
        <w:t>any person employed by a permittee, working under the supervision of, and engaged in structural pest control work as defined in La. R.S. 3:3362. Excluded are: clerical, janitorial or office maintenance employees or those employees completely disassociated with performing structural pest control work.</w:t>
      </w:r>
    </w:p>
    <w:p w14:paraId="435C3D4D" w14:textId="77777777" w:rsidR="00757F38" w:rsidRPr="001531CD" w:rsidRDefault="00757F38" w:rsidP="00757F38">
      <w:pPr>
        <w:pStyle w:val="1"/>
      </w:pPr>
      <w:r w:rsidRPr="001531CD">
        <w:rPr>
          <w:i/>
          <w:iCs/>
        </w:rPr>
        <w:t>Fumigation</w:t>
      </w:r>
      <w:r w:rsidRPr="001531CD">
        <w:t>―the application of a fumigant in residential and commercial structures, ships, railcars, trucks, commodities such as dunnage on wharves, silos or conveyors, vaults or the like.</w:t>
      </w:r>
    </w:p>
    <w:p w14:paraId="44A89355" w14:textId="77777777" w:rsidR="00757F38" w:rsidRPr="001531CD" w:rsidRDefault="00757F38" w:rsidP="00757F38">
      <w:pPr>
        <w:pStyle w:val="1"/>
      </w:pPr>
      <w:r w:rsidRPr="001531CD">
        <w:rPr>
          <w:i/>
          <w:iCs/>
        </w:rPr>
        <w:t>Gas—</w:t>
      </w:r>
      <w:r w:rsidRPr="001531CD">
        <w:rPr>
          <w:iCs/>
        </w:rPr>
        <w:t>m</w:t>
      </w:r>
      <w:r w:rsidRPr="001531CD">
        <w:t>atter in a vapor state which diffuses readily and is capable of indefinite expansion in all directions moving from an area of high concentration toward an area of lower concentration. Aerosols should not be confused with gas as they are particulate suspensions.</w:t>
      </w:r>
    </w:p>
    <w:p w14:paraId="1228EDFC" w14:textId="77777777" w:rsidR="00A06CA6" w:rsidRPr="00E73C80" w:rsidRDefault="00A06CA6" w:rsidP="00A06CA6">
      <w:pPr>
        <w:pStyle w:val="1"/>
      </w:pPr>
      <w:r w:rsidRPr="00E73C80">
        <w:rPr>
          <w:i/>
          <w:iCs/>
        </w:rPr>
        <w:t>Household Pest</w:t>
      </w:r>
      <w:r w:rsidR="00AF4541" w:rsidRPr="001531CD">
        <w:t>—</w:t>
      </w:r>
      <w:r w:rsidRPr="00E73C80">
        <w:t>all species of insects and other pests which infest residences and other types of buildings and their immediate premises, such as cockroaches, flies fleas, mosquitoes, clothes moths, spiders, carpenter ants, carpenter bees, rodents and so forth, but does not include wood-destroying insects.</w:t>
      </w:r>
    </w:p>
    <w:p w14:paraId="473EA8AD" w14:textId="77777777" w:rsidR="00A06CA6" w:rsidRDefault="00A06CA6" w:rsidP="00A06CA6">
      <w:pPr>
        <w:pStyle w:val="1"/>
      </w:pPr>
      <w:r w:rsidRPr="00E73C80">
        <w:rPr>
          <w:i/>
        </w:rPr>
        <w:t>Hydraulic Injection</w:t>
      </w:r>
      <w:r>
        <w:t>—</w:t>
      </w:r>
      <w:r w:rsidRPr="00E73C80">
        <w:t>the non-trenching application of a termiticide mixture by high pressure into the soil.</w:t>
      </w:r>
    </w:p>
    <w:p w14:paraId="49D9BD4E" w14:textId="77777777" w:rsidR="00F545F3" w:rsidRPr="00E73C80" w:rsidRDefault="00F545F3" w:rsidP="00A06CA6">
      <w:pPr>
        <w:pStyle w:val="1"/>
      </w:pPr>
      <w:r w:rsidRPr="00F545F3">
        <w:rPr>
          <w:i/>
        </w:rPr>
        <w:t>Inspection Diagram</w:t>
      </w:r>
      <w:r w:rsidRPr="00F545F3">
        <w:t>—a diagram that provides an accurate representation of the structure, including measurements, treatment types (trench and treat, rodding, bath trap, etc.), construction types, and specific treatment locations.</w:t>
      </w:r>
    </w:p>
    <w:p w14:paraId="4140259D" w14:textId="77777777" w:rsidR="00757F38" w:rsidRPr="001531CD" w:rsidRDefault="00A06CA6" w:rsidP="00A06CA6">
      <w:pPr>
        <w:pStyle w:val="1"/>
      </w:pPr>
      <w:r w:rsidRPr="00E73C80">
        <w:rPr>
          <w:i/>
          <w:iCs/>
        </w:rPr>
        <w:t>Label</w:t>
      </w:r>
      <w:r w:rsidR="00AF4541" w:rsidRPr="001531CD">
        <w:t>—</w:t>
      </w:r>
      <w:r w:rsidRPr="00E73C80">
        <w:t>the written, printed or graphic matter on or attached to a pesticide or device or any of its containers or wrappers.</w:t>
      </w:r>
    </w:p>
    <w:p w14:paraId="54EFCE6D" w14:textId="77777777" w:rsidR="00757F38" w:rsidRPr="001531CD" w:rsidRDefault="00757F38" w:rsidP="00757F38">
      <w:pPr>
        <w:pStyle w:val="1"/>
      </w:pPr>
      <w:r w:rsidRPr="001531CD">
        <w:rPr>
          <w:i/>
          <w:iCs/>
        </w:rPr>
        <w:t>Labeling</w:t>
      </w:r>
      <w:r w:rsidR="00AF4541" w:rsidRPr="001531CD">
        <w:t>—</w:t>
      </w:r>
      <w:r w:rsidRPr="001531CD">
        <w:t>all labels and other written, printed or graphic matter:</w:t>
      </w:r>
    </w:p>
    <w:p w14:paraId="0ECF1600" w14:textId="77777777" w:rsidR="00757F38" w:rsidRPr="001531CD" w:rsidRDefault="00757F38" w:rsidP="00757F38">
      <w:pPr>
        <w:pStyle w:val="a0"/>
      </w:pPr>
      <w:r w:rsidRPr="001531CD">
        <w:t>a.</w:t>
      </w:r>
      <w:r w:rsidRPr="001531CD">
        <w:tab/>
        <w:t>accompanying a pesticide or device at any time; or</w:t>
      </w:r>
    </w:p>
    <w:p w14:paraId="398BAEC7" w14:textId="77777777" w:rsidR="00757F38" w:rsidRPr="001531CD" w:rsidRDefault="00757F38" w:rsidP="00757F38">
      <w:pPr>
        <w:pStyle w:val="a0"/>
      </w:pPr>
      <w:r w:rsidRPr="001531CD">
        <w:t>b.</w:t>
      </w:r>
      <w:r w:rsidRPr="001531CD">
        <w:tab/>
        <w:t>to which reference is made on the label or in literature accompanying the pesticide or device, provided that the term does not apply to current official publications of the EPA; the U.S. Departments of Agriculture, Interior or Health, Education and Welfare; state experiment stations; state agriculture colleges; and other similar federal and state institutions and agencies authorized by law to conduct research in the field of pesticides.</w:t>
      </w:r>
    </w:p>
    <w:p w14:paraId="3EBCEBA6" w14:textId="77777777" w:rsidR="00750B71" w:rsidRPr="00395D03" w:rsidRDefault="00750B71" w:rsidP="00750B71">
      <w:pPr>
        <w:pStyle w:val="1"/>
      </w:pPr>
      <w:r w:rsidRPr="00395D03">
        <w:rPr>
          <w:i/>
          <w:iCs/>
        </w:rPr>
        <w:t>License</w:t>
      </w:r>
      <w:r w:rsidRPr="00395D03">
        <w:t xml:space="preserve">—a document issued by the commission which authorizes the practice and/or supervision of one or more phases of structural pest control work as follows: </w:t>
      </w:r>
    </w:p>
    <w:p w14:paraId="70A91399" w14:textId="77777777" w:rsidR="00757F38" w:rsidRPr="001531CD" w:rsidRDefault="00750B71" w:rsidP="00750B71">
      <w:pPr>
        <w:pStyle w:val="a0"/>
      </w:pPr>
      <w:r w:rsidRPr="00395D03">
        <w:t>a.</w:t>
      </w:r>
      <w:r w:rsidRPr="00395D03">
        <w:tab/>
      </w:r>
      <w:r w:rsidRPr="00395D03">
        <w:rPr>
          <w:i/>
          <w:iCs/>
        </w:rPr>
        <w:t>General Pest Control</w:t>
      </w:r>
      <w:r w:rsidR="00AF4541" w:rsidRPr="001531CD">
        <w:t>—</w:t>
      </w:r>
      <w:r w:rsidRPr="00395D03">
        <w:t>the application of remedial or preventive measures to control, prevent or eradicate household pests by use of pesticides used as sprays, dusts, aerosols, thermal fogs, barriers, traps and baits;</w:t>
      </w:r>
    </w:p>
    <w:p w14:paraId="2161BBB0" w14:textId="77777777" w:rsidR="00757F38" w:rsidRPr="001531CD" w:rsidRDefault="00757F38" w:rsidP="00757F38">
      <w:pPr>
        <w:pStyle w:val="a0"/>
      </w:pPr>
      <w:r w:rsidRPr="001531CD">
        <w:t>b.</w:t>
      </w:r>
      <w:r w:rsidRPr="001531CD">
        <w:tab/>
      </w:r>
      <w:r w:rsidRPr="001531CD">
        <w:rPr>
          <w:i/>
        </w:rPr>
        <w:t>Commercial Vertebrate Control</w:t>
      </w:r>
      <w:r w:rsidR="00AF4541" w:rsidRPr="001531CD">
        <w:t>—</w:t>
      </w:r>
      <w:r w:rsidRPr="001531CD">
        <w:t>the application of remedial or preventive measures to control, prevent or eradicate vertebrates, including baits, chemicals, barriers, gases and traps, in nonresidential establishments, but not including tarpaulin fumigation;</w:t>
      </w:r>
    </w:p>
    <w:p w14:paraId="3D6A0004" w14:textId="77777777" w:rsidR="00757F38" w:rsidRPr="001531CD" w:rsidRDefault="00757F38" w:rsidP="006C15F7">
      <w:pPr>
        <w:pStyle w:val="a0"/>
      </w:pPr>
      <w:r w:rsidRPr="001531CD">
        <w:t>c.</w:t>
      </w:r>
      <w:r w:rsidRPr="001531CD">
        <w:tab/>
      </w:r>
      <w:r w:rsidR="006C15F7" w:rsidRPr="00AE08CE">
        <w:rPr>
          <w:i/>
          <w:iCs/>
        </w:rPr>
        <w:t>Termite Control</w:t>
      </w:r>
      <w:r w:rsidR="00AF4541" w:rsidRPr="001531CD">
        <w:t>—</w:t>
      </w:r>
      <w:r w:rsidR="006C15F7" w:rsidRPr="00AE08CE">
        <w:t>the application of remedial or preventative measures for the control, prevention, or eradication of termites, powder post beetles, and old house borers and the inspection of structures for wood-destroying insects.</w:t>
      </w:r>
    </w:p>
    <w:p w14:paraId="268F7252" w14:textId="77777777" w:rsidR="00757F38" w:rsidRPr="001531CD" w:rsidRDefault="00757F38" w:rsidP="00757F38">
      <w:pPr>
        <w:pStyle w:val="a0"/>
      </w:pPr>
      <w:r w:rsidRPr="001531CD">
        <w:t>d.</w:t>
      </w:r>
      <w:r w:rsidRPr="001531CD">
        <w:tab/>
      </w:r>
      <w:r w:rsidRPr="001531CD">
        <w:rPr>
          <w:i/>
        </w:rPr>
        <w:t>Fumigation</w:t>
      </w:r>
      <w:r w:rsidR="00AF4541" w:rsidRPr="001531CD">
        <w:t>—</w:t>
      </w:r>
      <w:r w:rsidRPr="001531CD">
        <w:t>the use of lethal fumigants and/or rodenticides in a gaseous form for the control, prevention or eradication of insect pests, rodents, or other pests in a sealed enclosure with or without a tarpaulin;</w:t>
      </w:r>
    </w:p>
    <w:p w14:paraId="68217799" w14:textId="77777777" w:rsidR="00757F38" w:rsidRPr="001531CD" w:rsidRDefault="00757F38" w:rsidP="00757F38">
      <w:pPr>
        <w:pStyle w:val="a0"/>
      </w:pPr>
      <w:r w:rsidRPr="001531CD">
        <w:t>e.</w:t>
      </w:r>
      <w:r w:rsidRPr="001531CD">
        <w:tab/>
      </w:r>
      <w:r w:rsidRPr="001531CD">
        <w:rPr>
          <w:i/>
          <w:iCs/>
        </w:rPr>
        <w:t>Wood Destroying Insect Report (WDIR) Inspector</w:t>
      </w:r>
      <w:r w:rsidR="00AF4541" w:rsidRPr="001531CD">
        <w:t>—</w:t>
      </w:r>
      <w:r w:rsidRPr="001531CD">
        <w:t>the application of remedial or preventive measures for the control, prevention or eradication of termites and other wood-destroying insects and the inspection of structures for wood-destroying insects.</w:t>
      </w:r>
    </w:p>
    <w:p w14:paraId="66F6112E" w14:textId="77777777" w:rsidR="00757F38" w:rsidRPr="001531CD" w:rsidRDefault="00757F38" w:rsidP="00757F38">
      <w:pPr>
        <w:pStyle w:val="1"/>
      </w:pPr>
      <w:r w:rsidRPr="001531CD">
        <w:rPr>
          <w:i/>
          <w:iCs/>
        </w:rPr>
        <w:t>Licensee</w:t>
      </w:r>
      <w:r w:rsidR="00AF4541" w:rsidRPr="001531CD">
        <w:t>—</w:t>
      </w:r>
      <w:r w:rsidRPr="001531CD">
        <w:t>the person who holds a valid license as herein provided.</w:t>
      </w:r>
    </w:p>
    <w:p w14:paraId="08FE016F" w14:textId="77777777" w:rsidR="00757F38" w:rsidRPr="001531CD" w:rsidRDefault="00757F38" w:rsidP="00757F38">
      <w:pPr>
        <w:pStyle w:val="1"/>
      </w:pPr>
      <w:r w:rsidRPr="001531CD">
        <w:rPr>
          <w:i/>
          <w:iCs/>
        </w:rPr>
        <w:t>Material Safety Data Sheet (M.S.D.S.)</w:t>
      </w:r>
      <w:r w:rsidR="00AF4541" w:rsidRPr="001531CD">
        <w:t>—</w:t>
      </w:r>
      <w:r w:rsidRPr="001531CD">
        <w:t>a document which states chemical characteristics and safety precautions regarding a specific chemical.</w:t>
      </w:r>
    </w:p>
    <w:p w14:paraId="1389AC22" w14:textId="77777777" w:rsidR="00757F38" w:rsidRPr="001531CD" w:rsidRDefault="00757F38" w:rsidP="00757F38">
      <w:pPr>
        <w:pStyle w:val="1"/>
      </w:pPr>
      <w:r w:rsidRPr="001531CD">
        <w:rPr>
          <w:i/>
          <w:iCs/>
        </w:rPr>
        <w:t>Non-Residential Establishment</w:t>
      </w:r>
      <w:r w:rsidR="00AF4541" w:rsidRPr="001531CD">
        <w:t>—</w:t>
      </w:r>
      <w:r w:rsidRPr="001531CD">
        <w:t>includes, but shall not be limited to, hotels, motels, schools, hospitals and nursing homes.</w:t>
      </w:r>
    </w:p>
    <w:p w14:paraId="239D5FA8" w14:textId="77777777" w:rsidR="00757F38" w:rsidRPr="001531CD" w:rsidRDefault="00757F38" w:rsidP="00757F38">
      <w:pPr>
        <w:pStyle w:val="1"/>
        <w:rPr>
          <w:i/>
          <w:iCs/>
        </w:rPr>
      </w:pPr>
      <w:r w:rsidRPr="001531CD">
        <w:rPr>
          <w:i/>
        </w:rPr>
        <w:t>Permittee</w:t>
      </w:r>
      <w:r w:rsidR="00AF4541" w:rsidRPr="001531CD">
        <w:t>—</w:t>
      </w:r>
      <w:r w:rsidRPr="001531CD">
        <w:rPr>
          <w:iCs/>
        </w:rPr>
        <w:t>a</w:t>
      </w:r>
      <w:r w:rsidRPr="001531CD">
        <w:t>ny person who holds a place of business permit issued by the commission.</w:t>
      </w:r>
    </w:p>
    <w:p w14:paraId="676B788F" w14:textId="77777777" w:rsidR="00757F38" w:rsidRPr="001531CD" w:rsidRDefault="00757F38" w:rsidP="00757F38">
      <w:pPr>
        <w:pStyle w:val="1"/>
      </w:pPr>
      <w:r w:rsidRPr="001531CD">
        <w:rPr>
          <w:i/>
        </w:rPr>
        <w:t>Pest Control Operator</w:t>
      </w:r>
      <w:r w:rsidRPr="001531CD">
        <w:t>—any person conducting or performing structural pest control.</w:t>
      </w:r>
    </w:p>
    <w:p w14:paraId="20FCFF8F" w14:textId="77777777" w:rsidR="00757F38" w:rsidRPr="001531CD" w:rsidRDefault="00757F38" w:rsidP="00757F38">
      <w:pPr>
        <w:pStyle w:val="1"/>
      </w:pPr>
      <w:r w:rsidRPr="001531CD">
        <w:rPr>
          <w:i/>
          <w:iCs/>
        </w:rPr>
        <w:t>Place of Business</w:t>
      </w:r>
      <w:r w:rsidR="00AF4541" w:rsidRPr="001531CD">
        <w:t>—</w:t>
      </w:r>
      <w:r w:rsidRPr="001531CD">
        <w:t>the entire premises to which the pubic generally is expressly or impliedly invited for the purpose of transacting business with the owner and is simply a location where business is transacted, or a shop, office, warehouse or commercial establishment, and shall be indicated on the application and the permit and any license issued for that place of business.</w:t>
      </w:r>
    </w:p>
    <w:p w14:paraId="24E4E339" w14:textId="77777777" w:rsidR="00B34A01" w:rsidRDefault="00B34A01" w:rsidP="00757F38">
      <w:pPr>
        <w:pStyle w:val="1"/>
        <w:rPr>
          <w:i/>
          <w:iCs/>
        </w:rPr>
      </w:pPr>
      <w:r w:rsidRPr="00B34A01">
        <w:rPr>
          <w:i/>
          <w:iCs/>
          <w:kern w:val="0"/>
        </w:rPr>
        <w:t xml:space="preserve">Readily </w:t>
      </w:r>
      <w:r w:rsidRPr="00B34A01">
        <w:rPr>
          <w:i/>
          <w:iCs/>
          <w:color w:val="404040"/>
          <w:kern w:val="0"/>
        </w:rPr>
        <w:t>Accessible</w:t>
      </w:r>
      <w:r w:rsidRPr="00B34A01">
        <w:rPr>
          <w:i/>
          <w:iCs/>
          <w:kern w:val="0"/>
        </w:rPr>
        <w:t xml:space="preserve"> Area</w:t>
      </w:r>
      <w:r w:rsidR="00AF4541" w:rsidRPr="001531CD">
        <w:t>—</w:t>
      </w:r>
      <w:r w:rsidRPr="00B34A01">
        <w:rPr>
          <w:kern w:val="0"/>
        </w:rPr>
        <w:t>areas that are unobstructed and that are able to be reached and entered for visible examination at the time of inspection. Readily accessible areas do not include areas that are concealed by walls, ceilings, floor coverings, furniture, appliances, equipment, or stored articles; and crawl spaces and attics inaccessible due to openings too small to enter or without permanent ladders or staircases or due to undecked areas.</w:t>
      </w:r>
    </w:p>
    <w:p w14:paraId="7BEDC61D" w14:textId="77777777" w:rsidR="00757F38" w:rsidRPr="001531CD" w:rsidRDefault="00757F38" w:rsidP="00757F38">
      <w:pPr>
        <w:pStyle w:val="1"/>
      </w:pPr>
      <w:r w:rsidRPr="001531CD">
        <w:rPr>
          <w:i/>
          <w:iCs/>
        </w:rPr>
        <w:t>Registered Employee</w:t>
      </w:r>
      <w:r w:rsidR="00AF4541" w:rsidRPr="001531CD">
        <w:t>—</w:t>
      </w:r>
      <w:r w:rsidRPr="001531CD">
        <w:t>an employee registered as provided by this Chapter.</w:t>
      </w:r>
    </w:p>
    <w:p w14:paraId="6BD64084" w14:textId="77777777" w:rsidR="00757F38" w:rsidRPr="001531CD" w:rsidRDefault="00757F38" w:rsidP="00757F38">
      <w:pPr>
        <w:pStyle w:val="1"/>
      </w:pPr>
      <w:r w:rsidRPr="001531CD">
        <w:rPr>
          <w:i/>
          <w:iCs/>
        </w:rPr>
        <w:t>Registered Wood Destroying Insect Report (WDIR) Technician</w:t>
      </w:r>
      <w:r w:rsidR="00AF4541" w:rsidRPr="001531CD">
        <w:t>—</w:t>
      </w:r>
      <w:r w:rsidRPr="001531CD">
        <w:t>an employee qualified to conduct wood destroying insect report inspections.</w:t>
      </w:r>
    </w:p>
    <w:p w14:paraId="1575FD12" w14:textId="77777777" w:rsidR="00757F38" w:rsidRPr="001531CD" w:rsidRDefault="00757F38" w:rsidP="00757F38">
      <w:pPr>
        <w:pStyle w:val="1"/>
      </w:pPr>
      <w:r w:rsidRPr="001531CD">
        <w:rPr>
          <w:i/>
          <w:iCs/>
        </w:rPr>
        <w:t>Registration Certificate</w:t>
      </w:r>
      <w:r w:rsidR="00AF4541" w:rsidRPr="001531CD">
        <w:t>—</w:t>
      </w:r>
      <w:r w:rsidRPr="001531CD">
        <w:t>a document issued by the commission staff to a non-licensed employee of a business engaged in structural pest control work.</w:t>
      </w:r>
    </w:p>
    <w:p w14:paraId="6A7A4B6A" w14:textId="77777777" w:rsidR="00757F38" w:rsidRPr="001531CD" w:rsidRDefault="00757F38" w:rsidP="00757F38">
      <w:pPr>
        <w:pStyle w:val="1"/>
      </w:pPr>
      <w:r w:rsidRPr="001531CD">
        <w:rPr>
          <w:i/>
          <w:iCs/>
        </w:rPr>
        <w:t>Repellents</w:t>
      </w:r>
      <w:r w:rsidR="00AF4541" w:rsidRPr="001531CD">
        <w:t>—</w:t>
      </w:r>
      <w:r w:rsidRPr="001531CD">
        <w:t>substances, not fumigants, under whatever name known, which may be toxic to insects and related pests, but generally employed because of their capacity for preventing the entrance or attack of pests.</w:t>
      </w:r>
    </w:p>
    <w:p w14:paraId="70AC2454" w14:textId="77777777" w:rsidR="00757F38" w:rsidRPr="001531CD" w:rsidRDefault="00757F38" w:rsidP="00757F38">
      <w:pPr>
        <w:pStyle w:val="1"/>
      </w:pPr>
      <w:r w:rsidRPr="001531CD">
        <w:rPr>
          <w:i/>
          <w:iCs/>
        </w:rPr>
        <w:lastRenderedPageBreak/>
        <w:t>Residential Structure</w:t>
      </w:r>
      <w:r w:rsidRPr="001531CD">
        <w:t>—any structure, movable or immovable, permanent or temporary, that is adapted for both human residence and lodging whether occupied or not, such as, single-family homes, multi-family, apartments, townhouses, condominiums, and/or co-ops but excludes any structure built for the temporary residence of a human such as hotels, motels.</w:t>
      </w:r>
    </w:p>
    <w:p w14:paraId="16FAB044" w14:textId="77777777" w:rsidR="0034191B" w:rsidRPr="001531CD" w:rsidRDefault="0034191B" w:rsidP="00757F38">
      <w:pPr>
        <w:pStyle w:val="1"/>
      </w:pPr>
      <w:r w:rsidRPr="001531CD">
        <w:rPr>
          <w:i/>
        </w:rPr>
        <w:t>Rule</w:t>
      </w:r>
      <w:r w:rsidRPr="001531CD">
        <w:sym w:font="Symbol" w:char="F0BE"/>
      </w:r>
      <w:r w:rsidR="00F30F7C" w:rsidRPr="00F30F7C">
        <w:t>as defined in R.S. 49:951(8).</w:t>
      </w:r>
    </w:p>
    <w:p w14:paraId="2A48DD06" w14:textId="77777777" w:rsidR="00894329" w:rsidRDefault="00894329" w:rsidP="00757F38">
      <w:pPr>
        <w:pStyle w:val="1"/>
        <w:rPr>
          <w:i/>
          <w:iCs/>
        </w:rPr>
      </w:pPr>
      <w:r w:rsidRPr="00894329">
        <w:rPr>
          <w:i/>
          <w:iCs/>
        </w:rPr>
        <w:t>Safety Data Sheet (S.D.S.)—</w:t>
      </w:r>
      <w:r w:rsidRPr="00894329">
        <w:rPr>
          <w:iCs/>
        </w:rPr>
        <w:t>a document which states chemical characteristics and safety precautions regarding a specific chemical.</w:t>
      </w:r>
    </w:p>
    <w:p w14:paraId="4853EB1F" w14:textId="77777777" w:rsidR="00757F38" w:rsidRPr="001531CD" w:rsidRDefault="00757F38" w:rsidP="00757F38">
      <w:pPr>
        <w:pStyle w:val="1"/>
      </w:pPr>
      <w:r w:rsidRPr="001531CD">
        <w:rPr>
          <w:i/>
          <w:iCs/>
        </w:rPr>
        <w:t xml:space="preserve">Secretary </w:t>
      </w:r>
      <w:r w:rsidRPr="001531CD">
        <w:rPr>
          <w:iCs/>
        </w:rPr>
        <w:t>or</w:t>
      </w:r>
      <w:r w:rsidRPr="001531CD">
        <w:rPr>
          <w:i/>
          <w:iCs/>
        </w:rPr>
        <w:t xml:space="preserve"> Secretary of the Commission</w:t>
      </w:r>
      <w:r w:rsidR="00AF4541" w:rsidRPr="001531CD">
        <w:t>—</w:t>
      </w:r>
      <w:r w:rsidRPr="001531CD">
        <w:t xml:space="preserve">the </w:t>
      </w:r>
      <w:r w:rsidR="003F6D5C" w:rsidRPr="001531CD">
        <w:t xml:space="preserve">assistant commissioner </w:t>
      </w:r>
      <w:r w:rsidRPr="001531CD">
        <w:t>of Agricultural and Environmental Sciences (assistant commissioner).</w:t>
      </w:r>
    </w:p>
    <w:p w14:paraId="566FEA17" w14:textId="77777777" w:rsidR="00757F38" w:rsidRPr="001531CD" w:rsidRDefault="00757F38" w:rsidP="00757F38">
      <w:pPr>
        <w:pStyle w:val="1"/>
      </w:pPr>
      <w:r w:rsidRPr="001531CD">
        <w:rPr>
          <w:i/>
        </w:rPr>
        <w:t>Ship Fumigation</w:t>
      </w:r>
      <w:r w:rsidR="00AF4541" w:rsidRPr="001531CD">
        <w:t>—</w:t>
      </w:r>
      <w:r w:rsidRPr="001531CD">
        <w:t>the fumigation of a vessel capable of transporting or housing people and/or products. It is normally self-powered and shall have a crew or living quarters.</w:t>
      </w:r>
    </w:p>
    <w:p w14:paraId="1E74486D" w14:textId="77777777" w:rsidR="00757F38" w:rsidRDefault="00757F38" w:rsidP="00757F38">
      <w:pPr>
        <w:pStyle w:val="1"/>
      </w:pPr>
      <w:r w:rsidRPr="001531CD">
        <w:rPr>
          <w:i/>
        </w:rPr>
        <w:t>Spot Treatment</w:t>
      </w:r>
      <w:r w:rsidRPr="001531CD">
        <w:t xml:space="preserve"> (when used in reference to termite control work)</w:t>
      </w:r>
      <w:r w:rsidR="00AF4541" w:rsidRPr="00AF4541">
        <w:t xml:space="preserve"> </w:t>
      </w:r>
      <w:r w:rsidR="00AF4541" w:rsidRPr="001531CD">
        <w:t>—</w:t>
      </w:r>
      <w:r w:rsidRPr="001531CD">
        <w:t>a localized application of chemicals or other substances to control, prevent or eradicate termites in a residence or other structure that is not under a current contract.</w:t>
      </w:r>
    </w:p>
    <w:p w14:paraId="6E0B4FCB" w14:textId="77777777" w:rsidR="00F30F7C" w:rsidRDefault="00F30F7C" w:rsidP="00757F38">
      <w:pPr>
        <w:pStyle w:val="1"/>
      </w:pPr>
      <w:r w:rsidRPr="00F30F7C">
        <w:rPr>
          <w:i/>
        </w:rPr>
        <w:t>Standard Contract</w:t>
      </w:r>
      <w:r w:rsidRPr="00F30F7C">
        <w:sym w:font="Symbol" w:char="F0BE"/>
      </w:r>
      <w:r w:rsidRPr="00F30F7C">
        <w:t>see definition of “contract” in this Section.</w:t>
      </w:r>
    </w:p>
    <w:p w14:paraId="4301028D" w14:textId="77777777" w:rsidR="00F4600B" w:rsidRPr="009D41F2" w:rsidRDefault="00F4600B" w:rsidP="00F4600B">
      <w:pPr>
        <w:pStyle w:val="1"/>
      </w:pPr>
      <w:r w:rsidRPr="009D41F2">
        <w:rPr>
          <w:i/>
        </w:rPr>
        <w:t>Structural Fumigation</w:t>
      </w:r>
      <w:r w:rsidR="00AF4541" w:rsidRPr="001531CD">
        <w:t>—</w:t>
      </w:r>
      <w:r w:rsidRPr="009D41F2">
        <w:t>the fumigation by covering or sealing churches, schools, homes or any other buildings in which people are normally housed or work or is frequented by people. This also includes the covering or sealing of small boats or ships under 100 feet.</w:t>
      </w:r>
    </w:p>
    <w:p w14:paraId="18CBB2F7" w14:textId="77777777" w:rsidR="00F4600B" w:rsidRPr="009D41F2" w:rsidRDefault="00F4600B" w:rsidP="00F4600B">
      <w:pPr>
        <w:pStyle w:val="1"/>
      </w:pPr>
      <w:r w:rsidRPr="009D41F2">
        <w:rPr>
          <w:i/>
        </w:rPr>
        <w:t>Supervision</w:t>
      </w:r>
      <w:r w:rsidRPr="009D41F2">
        <w:t xml:space="preserve">—see definition of </w:t>
      </w:r>
      <w:r w:rsidRPr="009D41F2">
        <w:rPr>
          <w:i/>
        </w:rPr>
        <w:t>direct supervision</w:t>
      </w:r>
      <w:r w:rsidRPr="009D41F2">
        <w:t xml:space="preserve"> in </w:t>
      </w:r>
      <w:r>
        <w:t>this Section</w:t>
      </w:r>
      <w:r w:rsidRPr="009D41F2">
        <w:t>.</w:t>
      </w:r>
    </w:p>
    <w:p w14:paraId="599D7C1B" w14:textId="77777777" w:rsidR="00757F38" w:rsidRDefault="00F4600B" w:rsidP="00F4600B">
      <w:pPr>
        <w:pStyle w:val="1"/>
      </w:pPr>
      <w:r w:rsidRPr="009D41F2">
        <w:rPr>
          <w:i/>
        </w:rPr>
        <w:t>Supplemental Treatment—</w:t>
      </w:r>
      <w:r w:rsidRPr="009D41F2">
        <w:t>when used in connection with termite work, “supplemental treatment” means a localized application of chemicals or other substances and/or placement of baits to control, prevent or eradicate termites in a residence or other structure that is under a current contract.</w:t>
      </w:r>
    </w:p>
    <w:p w14:paraId="09AEF180" w14:textId="77777777" w:rsidR="00E41C68" w:rsidRPr="00CF4F7E" w:rsidRDefault="00E41C68" w:rsidP="00E41C68">
      <w:pPr>
        <w:pStyle w:val="1"/>
      </w:pPr>
      <w:r w:rsidRPr="005B031A">
        <w:rPr>
          <w:i/>
        </w:rPr>
        <w:t>Termites</w:t>
      </w:r>
      <w:r w:rsidR="00AF4541" w:rsidRPr="001531CD">
        <w:t>—</w:t>
      </w:r>
      <w:r w:rsidRPr="00CF4F7E">
        <w:t xml:space="preserve">all species of the order </w:t>
      </w:r>
      <w:r w:rsidRPr="00BC79E5">
        <w:rPr>
          <w:i/>
        </w:rPr>
        <w:t>Isoptera</w:t>
      </w:r>
      <w:r w:rsidRPr="00CF4F7E">
        <w:t xml:space="preserve"> which infest timbers and/or other materials containing cellulose in buildings and/or contents thereof, subdivided into two groups accord</w:t>
      </w:r>
      <w:r>
        <w:t>ing to their habits, as follows.</w:t>
      </w:r>
    </w:p>
    <w:p w14:paraId="17737F3D" w14:textId="77777777" w:rsidR="00E41C68" w:rsidRPr="00CF4F7E" w:rsidRDefault="00E41C68" w:rsidP="00E41C68">
      <w:pPr>
        <w:pStyle w:val="a0"/>
      </w:pPr>
      <w:r w:rsidRPr="00CF4F7E">
        <w:t>a.</w:t>
      </w:r>
      <w:r w:rsidRPr="00CF4F7E">
        <w:tab/>
      </w:r>
      <w:r w:rsidRPr="005B031A">
        <w:rPr>
          <w:i/>
        </w:rPr>
        <w:t>Subterranean Termites</w:t>
      </w:r>
      <w:r w:rsidR="00AF4541" w:rsidRPr="001531CD">
        <w:t>—</w:t>
      </w:r>
      <w:r w:rsidRPr="00CF4F7E">
        <w:t xml:space="preserve">all species of termites which make tubes, but not pellets, and normally require contact with soil; especially species of the genera </w:t>
      </w:r>
      <w:r w:rsidRPr="00BC79E5">
        <w:rPr>
          <w:i/>
        </w:rPr>
        <w:t>Reticulitermes</w:t>
      </w:r>
      <w:r w:rsidRPr="00CF4F7E">
        <w:t xml:space="preserve"> and </w:t>
      </w:r>
      <w:r w:rsidRPr="00BC79E5">
        <w:rPr>
          <w:i/>
        </w:rPr>
        <w:t>Coptotermes</w:t>
      </w:r>
      <w:r>
        <w:t>.</w:t>
      </w:r>
    </w:p>
    <w:p w14:paraId="44E5026E" w14:textId="77777777" w:rsidR="00E41C68" w:rsidRDefault="00E41C68" w:rsidP="00E41C68">
      <w:pPr>
        <w:pStyle w:val="a0"/>
      </w:pPr>
      <w:r w:rsidRPr="00CF4F7E">
        <w:t>b.</w:t>
      </w:r>
      <w:r w:rsidRPr="00CF4F7E">
        <w:tab/>
      </w:r>
      <w:r w:rsidRPr="005B031A">
        <w:rPr>
          <w:i/>
        </w:rPr>
        <w:t>Dry-Wood Termites</w:t>
      </w:r>
      <w:r w:rsidR="00AF4541" w:rsidRPr="001531CD">
        <w:t>—</w:t>
      </w:r>
      <w:r w:rsidRPr="00CF4F7E">
        <w:t xml:space="preserve">any of various termites that live and feed in dry wood without a soil connection and includes some which are destructive pests in domestic constructions, of the genera </w:t>
      </w:r>
      <w:r w:rsidRPr="00BC79E5">
        <w:rPr>
          <w:i/>
        </w:rPr>
        <w:t>Kalotermes</w:t>
      </w:r>
      <w:r w:rsidRPr="00CF4F7E">
        <w:t xml:space="preserve">, </w:t>
      </w:r>
      <w:r w:rsidRPr="00BC79E5">
        <w:rPr>
          <w:i/>
        </w:rPr>
        <w:t>Cryptotermes</w:t>
      </w:r>
      <w:r w:rsidRPr="00CF4F7E">
        <w:t xml:space="preserve"> and </w:t>
      </w:r>
      <w:r w:rsidRPr="00BC79E5">
        <w:rPr>
          <w:i/>
        </w:rPr>
        <w:t>Incisitermes</w:t>
      </w:r>
      <w:r w:rsidRPr="00CF4F7E">
        <w:t>.</w:t>
      </w:r>
    </w:p>
    <w:p w14:paraId="209B0370" w14:textId="77777777" w:rsidR="00757F38" w:rsidRPr="001531CD" w:rsidRDefault="00757F38" w:rsidP="00757F38">
      <w:pPr>
        <w:pStyle w:val="1"/>
      </w:pPr>
      <w:r w:rsidRPr="001531CD">
        <w:rPr>
          <w:i/>
          <w:iCs/>
        </w:rPr>
        <w:t>Termiticide</w:t>
      </w:r>
      <w:r w:rsidR="00AF4541" w:rsidRPr="001531CD">
        <w:t>—</w:t>
      </w:r>
      <w:r w:rsidRPr="001531CD">
        <w:t>any substance applied to buildings, wood products or soil for the treatment of termites.</w:t>
      </w:r>
    </w:p>
    <w:p w14:paraId="75DFB27B" w14:textId="77777777" w:rsidR="00757F38" w:rsidRPr="001531CD" w:rsidRDefault="00757F38" w:rsidP="00757F38">
      <w:pPr>
        <w:pStyle w:val="1"/>
      </w:pPr>
      <w:r w:rsidRPr="001531CD">
        <w:rPr>
          <w:i/>
        </w:rPr>
        <w:t>Termiticide Treatment</w:t>
      </w:r>
      <w:r w:rsidRPr="001531CD">
        <w:t>—application of a termiticide.</w:t>
      </w:r>
    </w:p>
    <w:p w14:paraId="21CF0DE0" w14:textId="77777777" w:rsidR="00757F38" w:rsidRPr="001531CD" w:rsidRDefault="00757F38" w:rsidP="00757F38">
      <w:pPr>
        <w:pStyle w:val="a0"/>
      </w:pPr>
      <w:r w:rsidRPr="001531CD">
        <w:t>a.</w:t>
      </w:r>
      <w:r w:rsidRPr="001531CD">
        <w:tab/>
      </w:r>
      <w:r w:rsidRPr="001531CD">
        <w:rPr>
          <w:i/>
        </w:rPr>
        <w:t>Pre-Construction Treatment</w:t>
      </w:r>
      <w:r w:rsidRPr="001531CD">
        <w:t>—a termiticide treatment for subterranean termites made with a commission approved termiticide prior to the stage of construction where a slab or concrete is poured or piers are being built or placed into position. Borate treatments during any stage of construction shall be considered a pre-construction treatment.</w:t>
      </w:r>
    </w:p>
    <w:p w14:paraId="1F540126" w14:textId="77777777" w:rsidR="00757F38" w:rsidRPr="001531CD" w:rsidRDefault="00757F38" w:rsidP="00757F38">
      <w:pPr>
        <w:pStyle w:val="a0"/>
      </w:pPr>
      <w:r w:rsidRPr="001531CD">
        <w:t>b.</w:t>
      </w:r>
      <w:r w:rsidRPr="001531CD">
        <w:tab/>
      </w:r>
      <w:r w:rsidRPr="001531CD">
        <w:rPr>
          <w:i/>
        </w:rPr>
        <w:t>New-Construction Treatment</w:t>
      </w:r>
      <w:r w:rsidRPr="001531CD">
        <w:t>—a termiticide treatment made with any commission approved termiticide(s) or baiting system that meets minimum specification requirements for that type of treatment and which is applied or installed during or after the stage of construction where a slab or concrete is poured or piers are being built or placed into position and up to 12 months after completion of construction. New-construction treatments are to be made in accordance with the post-construction treatment section of termiticide labels.</w:t>
      </w:r>
    </w:p>
    <w:p w14:paraId="74BCE02D" w14:textId="77777777" w:rsidR="00757F38" w:rsidRPr="001531CD" w:rsidRDefault="00757F38" w:rsidP="00757F38">
      <w:pPr>
        <w:pStyle w:val="a0"/>
      </w:pPr>
      <w:r w:rsidRPr="001531CD">
        <w:t>c.</w:t>
      </w:r>
      <w:r w:rsidRPr="001531CD">
        <w:tab/>
      </w:r>
      <w:r w:rsidRPr="001531CD">
        <w:rPr>
          <w:i/>
          <w:iCs/>
        </w:rPr>
        <w:t>Post-Construction Treatment</w:t>
      </w:r>
      <w:r w:rsidRPr="001531CD">
        <w:sym w:font="Symbol" w:char="F0BE"/>
      </w:r>
      <w:r w:rsidRPr="001531CD">
        <w:t>a termiticide treatment made with any commission approved termiticide(s), using the post construction section of a label, which is applied after the time frame of new-construction.</w:t>
      </w:r>
    </w:p>
    <w:p w14:paraId="0CF1023B" w14:textId="77777777" w:rsidR="00757F38" w:rsidRPr="001531CD" w:rsidRDefault="00757F38" w:rsidP="00757F38">
      <w:pPr>
        <w:pStyle w:val="1"/>
      </w:pPr>
      <w:r w:rsidRPr="001531CD">
        <w:rPr>
          <w:i/>
          <w:iCs/>
        </w:rPr>
        <w:t>Vertebrate</w:t>
      </w:r>
      <w:r w:rsidR="00AF4541" w:rsidRPr="001531CD">
        <w:t>—</w:t>
      </w:r>
      <w:r w:rsidRPr="001531CD">
        <w:t>those pests, such as rodents, bats and birds, belonging to the phylum vertebrata.</w:t>
      </w:r>
    </w:p>
    <w:p w14:paraId="14EF49DC" w14:textId="77777777" w:rsidR="00757F38" w:rsidRPr="001531CD" w:rsidRDefault="00757F38" w:rsidP="00757F38">
      <w:pPr>
        <w:pStyle w:val="1"/>
      </w:pPr>
      <w:r w:rsidRPr="001531CD">
        <w:rPr>
          <w:i/>
        </w:rPr>
        <w:t>Violation</w:t>
      </w:r>
      <w:r w:rsidR="00AF4541" w:rsidRPr="001531CD">
        <w:t>—</w:t>
      </w:r>
      <w:r w:rsidRPr="001531CD">
        <w:t>any act which is prohibited by the Act or any of these rules and regulations. Violations shall be classified in accordance with degree of severity, as follows:</w:t>
      </w:r>
    </w:p>
    <w:p w14:paraId="3AF127C8" w14:textId="77777777" w:rsidR="00757F38" w:rsidRPr="001531CD" w:rsidRDefault="00757F38" w:rsidP="00757F38">
      <w:pPr>
        <w:pStyle w:val="a0"/>
      </w:pPr>
      <w:r w:rsidRPr="001531CD">
        <w:t>a.</w:t>
      </w:r>
      <w:r w:rsidRPr="001531CD">
        <w:tab/>
      </w:r>
      <w:r w:rsidRPr="001531CD">
        <w:rPr>
          <w:i/>
        </w:rPr>
        <w:t>Minor Violation</w:t>
      </w:r>
      <w:r w:rsidR="00AF4541" w:rsidRPr="001531CD">
        <w:t>—</w:t>
      </w:r>
      <w:r w:rsidRPr="001531CD">
        <w:t>any act prohibited by the Act or these rules and regulations which does not result in danger to human health or damage to personal property, including, but not limited to, clerical errors or failure to make timely reports to the commission;</w:t>
      </w:r>
    </w:p>
    <w:p w14:paraId="508FF999" w14:textId="77777777" w:rsidR="00757F38" w:rsidRPr="001531CD" w:rsidRDefault="00757F38" w:rsidP="00757F38">
      <w:pPr>
        <w:pStyle w:val="a0"/>
      </w:pPr>
      <w:r w:rsidRPr="001531CD">
        <w:t>b.</w:t>
      </w:r>
      <w:r w:rsidRPr="001531CD">
        <w:tab/>
      </w:r>
      <w:r w:rsidRPr="001531CD">
        <w:rPr>
          <w:i/>
        </w:rPr>
        <w:t>Moderate Violation</w:t>
      </w:r>
      <w:r w:rsidR="00AF4541" w:rsidRPr="001531CD">
        <w:t>—</w:t>
      </w:r>
      <w:r w:rsidRPr="001531CD">
        <w:t>any act of negligence in meeting the guarantees of an agreement for structural pest control work in the licensure phase where the violation occurs, such as failure to apply chemicals in accordance with label and labeling requirements and minimum specifications:</w:t>
      </w:r>
    </w:p>
    <w:p w14:paraId="3E674989" w14:textId="77777777" w:rsidR="00757F38" w:rsidRPr="001531CD" w:rsidRDefault="00757F38" w:rsidP="00757F38">
      <w:pPr>
        <w:pStyle w:val="a0"/>
      </w:pPr>
      <w:r w:rsidRPr="001531CD">
        <w:t>c.</w:t>
      </w:r>
      <w:r w:rsidRPr="001531CD">
        <w:tab/>
      </w:r>
      <w:r w:rsidRPr="001531CD">
        <w:rPr>
          <w:i/>
        </w:rPr>
        <w:t>Major Violation</w:t>
      </w:r>
      <w:r w:rsidR="00AF4541" w:rsidRPr="001531CD">
        <w:t>—</w:t>
      </w:r>
      <w:r w:rsidRPr="001531CD">
        <w:t>any act which may adversely affect human health and safety. Any act performed without having the proper permit, license, or registration; any intentional misrepresentation of any matter involved in or related to structural pest control work; or any false or misleading statement knowingly make in a wood-destroying insect report or any failure to timely pay any civil penalty imposed buy the commission or any failure to timely pay any fee collected by the department.</w:t>
      </w:r>
    </w:p>
    <w:p w14:paraId="1B7CD647" w14:textId="77777777" w:rsidR="0034191B" w:rsidRPr="001531CD" w:rsidRDefault="0034191B" w:rsidP="0034191B">
      <w:pPr>
        <w:pStyle w:val="1"/>
      </w:pPr>
      <w:r w:rsidRPr="001531CD">
        <w:rPr>
          <w:i/>
        </w:rPr>
        <w:t>Wood Destroying Insect Report (WDIR)</w:t>
      </w:r>
      <w:r w:rsidR="00AF4541" w:rsidRPr="00AF4541">
        <w:t xml:space="preserve"> </w:t>
      </w:r>
      <w:r w:rsidR="00AF4541" w:rsidRPr="001531CD">
        <w:t>—</w:t>
      </w:r>
      <w:r w:rsidRPr="001531CD">
        <w:t>a document approved by the Structural Pest Control Commission issued by a pest control operator only for inspections made to determine the presence of wood destroying insects for acts of sale or refinance of structures. A wood destroying insect report shall not be renewable or issued for any other purpose.</w:t>
      </w:r>
    </w:p>
    <w:p w14:paraId="1F351C8A" w14:textId="77777777" w:rsidR="0050304A" w:rsidRPr="001531CD" w:rsidRDefault="00A06CA6" w:rsidP="0034191B">
      <w:pPr>
        <w:pStyle w:val="AuthorityNote"/>
      </w:pPr>
      <w:r w:rsidRPr="006C367C">
        <w:t>AUTHORITY NOTE:</w:t>
      </w:r>
      <w:r w:rsidRPr="006C367C">
        <w:tab/>
        <w:t>Promulgated in accordance with R.S. 3:3362 and R.S. 3:3366.</w:t>
      </w:r>
    </w:p>
    <w:p w14:paraId="53949D31" w14:textId="77777777" w:rsidR="00E41C68" w:rsidRPr="00CF4F7E" w:rsidRDefault="0050304A" w:rsidP="00E41C68">
      <w:pPr>
        <w:pStyle w:val="HistoricalNote"/>
      </w:pPr>
      <w:r w:rsidRPr="001531CD">
        <w:t>HISTORICAL NOTE:</w:t>
      </w:r>
      <w:r w:rsidRPr="001531CD">
        <w:tab/>
        <w:t xml:space="preserve">Promulgated by the Department of Agriculture, Structural Pest Control Commission, LR 11:323 (April 1985), amended by the Department of Agriculture and Forestry, Structural Pest Control Commission LR 15:954 (November 1989), </w:t>
      </w:r>
      <w:r w:rsidRPr="001531CD">
        <w:lastRenderedPageBreak/>
        <w:t>17:251 (March 1991), LR 23:855 (July 1997), LR 30:1143 (June 2004), amended by the Department of Agriculture and Forestry, Office of Agriculture and Environmental Sciences, LR 31:26 (January 2005), amended by the Department of Agriculture and Forestry, Structural Pest Control Commission, LR 32:796 (May 2006), repromulgated LR 32:1015 (June 2006), amended LR 33:39 (January 2007), LR 35:204 (February 2009), LR 35:1468 (August 2009)</w:t>
      </w:r>
      <w:r w:rsidR="00757F38" w:rsidRPr="001531CD">
        <w:t>, LR 37:272 (January 2011)</w:t>
      </w:r>
      <w:r w:rsidR="0034191B" w:rsidRPr="001531CD">
        <w:t>, amended by the Department of Agriculture and Forestry, Office of Agricultural and Environmental Sciences, Structural Pest Control Commis</w:t>
      </w:r>
      <w:r w:rsidR="00A06CA6">
        <w:t xml:space="preserve">sion, LR 39:300 (February 2013), </w:t>
      </w:r>
      <w:r w:rsidR="00A06CA6" w:rsidRPr="00E73C80">
        <w:t>LR 41:</w:t>
      </w:r>
      <w:r w:rsidR="00A06CA6">
        <w:t>333 (February 2015)</w:t>
      </w:r>
      <w:r w:rsidR="00E41C68">
        <w:t>, LR 42:213 (February 2016), LR 44:1235 (July 2018)</w:t>
      </w:r>
      <w:r w:rsidR="00B34A01" w:rsidRPr="00AE08CE">
        <w:t>, LR 46:</w:t>
      </w:r>
      <w:r w:rsidR="00B34A01">
        <w:t>1541 (November 2020)</w:t>
      </w:r>
      <w:r w:rsidR="00F545F3" w:rsidRPr="00EC2537">
        <w:rPr>
          <w:color w:val="000000"/>
        </w:rPr>
        <w:t>, LR 47:</w:t>
      </w:r>
      <w:r w:rsidR="00F545F3">
        <w:t>1100</w:t>
      </w:r>
      <w:r w:rsidR="00F545F3" w:rsidRPr="00426AF3">
        <w:t xml:space="preserve"> (August 2021</w:t>
      </w:r>
      <w:r w:rsidR="00750B71" w:rsidRPr="00395D03">
        <w:t>), LR 48:</w:t>
      </w:r>
      <w:r w:rsidR="00750B71">
        <w:t>2728</w:t>
      </w:r>
      <w:r w:rsidR="00750B71" w:rsidRPr="00395D03">
        <w:t xml:space="preserve"> (November 2022</w:t>
      </w:r>
      <w:r w:rsidR="00F30F7C" w:rsidRPr="00066C92">
        <w:t xml:space="preserve">), </w:t>
      </w:r>
      <w:r w:rsidR="00F30F7C">
        <w:t>LR 49:2074 (December 2023</w:t>
      </w:r>
      <w:r w:rsidR="00D0533B">
        <w:t>), repromulgated LR 50:171 (February 2024</w:t>
      </w:r>
      <w:r w:rsidR="00B62AD7">
        <w:t>), repromulgated LR 50:774 (June 2024</w:t>
      </w:r>
      <w:r w:rsidR="00894329" w:rsidRPr="005D1C2F">
        <w:t xml:space="preserve">), </w:t>
      </w:r>
      <w:r w:rsidR="00894329">
        <w:t>amended LR 51:776 (June 2025).</w:t>
      </w:r>
    </w:p>
    <w:p w14:paraId="075F5073" w14:textId="77777777" w:rsidR="00CF626A" w:rsidRPr="001531CD" w:rsidRDefault="00CF626A">
      <w:pPr>
        <w:pStyle w:val="Section"/>
      </w:pPr>
      <w:bookmarkStart w:id="2540" w:name="_Toc256754907"/>
      <w:bookmarkStart w:id="2541" w:name="_Toc224819280"/>
      <w:r w:rsidRPr="001531CD">
        <w:t>§103.</w:t>
      </w:r>
      <w:r w:rsidRPr="001531CD">
        <w:tab/>
        <w:t>Administration of the Affairs of the Commission; Adoption of Rules and Regulations</w:t>
      </w:r>
      <w:bookmarkEnd w:id="2540"/>
      <w:bookmarkEnd w:id="2541"/>
    </w:p>
    <w:p w14:paraId="6E9DF19D" w14:textId="77777777" w:rsidR="00757F38" w:rsidRPr="001531CD" w:rsidRDefault="00757F38" w:rsidP="00757F38">
      <w:pPr>
        <w:pStyle w:val="A"/>
      </w:pPr>
      <w:r w:rsidRPr="001531CD">
        <w:t>A.</w:t>
      </w:r>
      <w:r w:rsidRPr="001531CD">
        <w:tab/>
        <w:t>As provided by R.S. 3:3364, the commissioner or his designee shall serve as permanent chairman of the commission.</w:t>
      </w:r>
    </w:p>
    <w:p w14:paraId="3C4B09D3" w14:textId="77777777" w:rsidR="00757F38" w:rsidRPr="001531CD" w:rsidRDefault="00757F38" w:rsidP="00757F38">
      <w:pPr>
        <w:pStyle w:val="A"/>
      </w:pPr>
      <w:r w:rsidRPr="001531CD">
        <w:t>B.</w:t>
      </w:r>
      <w:r w:rsidRPr="001531CD">
        <w:tab/>
        <w:t>The assistant commissioner shall serve as secretary of the commission.</w:t>
      </w:r>
    </w:p>
    <w:p w14:paraId="25C4ABCF" w14:textId="77777777" w:rsidR="00757F38" w:rsidRPr="001531CD" w:rsidRDefault="00757F38" w:rsidP="00757F38">
      <w:pPr>
        <w:pStyle w:val="A"/>
      </w:pPr>
      <w:r w:rsidRPr="001531CD">
        <w:t>C.</w:t>
      </w:r>
      <w:r w:rsidRPr="001531CD">
        <w:tab/>
        <w:t>In the absence of the chairman, the secretary shall preside at meetings of the commission.</w:t>
      </w:r>
    </w:p>
    <w:p w14:paraId="04FFFAF8" w14:textId="77777777" w:rsidR="00757F38" w:rsidRPr="001531CD" w:rsidRDefault="00757F38" w:rsidP="00757F38">
      <w:pPr>
        <w:pStyle w:val="A"/>
      </w:pPr>
      <w:r w:rsidRPr="001531CD">
        <w:t>D.</w:t>
      </w:r>
      <w:r w:rsidRPr="001531CD">
        <w:tab/>
        <w:t>The chairman shall designate a hearing officer, who may or may not be a member of the commission, to preside at all adjudicatory proceedings of the commission.</w:t>
      </w:r>
    </w:p>
    <w:p w14:paraId="6B4BBC9B" w14:textId="77777777" w:rsidR="00757F38" w:rsidRPr="001531CD" w:rsidRDefault="00757F38" w:rsidP="00757F38">
      <w:pPr>
        <w:pStyle w:val="A"/>
      </w:pPr>
      <w:r w:rsidRPr="001531CD">
        <w:t>E.</w:t>
      </w:r>
      <w:r w:rsidRPr="001531CD">
        <w:tab/>
        <w:t>The commission shall serve as the hearing body in all adjudicatory proceedings and shall make the final decision with regard to the disposition of matters coming to adjudication.</w:t>
      </w:r>
    </w:p>
    <w:p w14:paraId="538F6F35" w14:textId="77777777" w:rsidR="00757F38" w:rsidRPr="001531CD" w:rsidRDefault="00757F38" w:rsidP="00757F38">
      <w:pPr>
        <w:pStyle w:val="A"/>
      </w:pPr>
      <w:r w:rsidRPr="001531CD">
        <w:t>F.</w:t>
      </w:r>
      <w:r w:rsidRPr="001531CD">
        <w:tab/>
        <w:t>The commission shall hold regular meetings at least once during each quarter.</w:t>
      </w:r>
    </w:p>
    <w:p w14:paraId="40AA297B" w14:textId="77777777" w:rsidR="00757F38" w:rsidRPr="001531CD" w:rsidRDefault="00757F38" w:rsidP="00757F38">
      <w:pPr>
        <w:pStyle w:val="A"/>
      </w:pPr>
      <w:r w:rsidRPr="001531CD">
        <w:t>G.</w:t>
      </w:r>
      <w:r w:rsidRPr="001531CD">
        <w:tab/>
        <w:t>Meetings of the commission shall normally be held in the domicile of the commission.</w:t>
      </w:r>
    </w:p>
    <w:p w14:paraId="5B063CBB" w14:textId="77777777" w:rsidR="00757F38" w:rsidRPr="001531CD" w:rsidRDefault="00757F38" w:rsidP="00757F38">
      <w:pPr>
        <w:pStyle w:val="A"/>
      </w:pPr>
      <w:r w:rsidRPr="001531CD">
        <w:t>H.</w:t>
      </w:r>
      <w:r w:rsidRPr="001531CD">
        <w:tab/>
        <w:t>Meetings may be held at locations other than the domicile of the commission upon the determination of the chairman or at the written request of any three members of the commission.</w:t>
      </w:r>
    </w:p>
    <w:p w14:paraId="1954C51A" w14:textId="77777777" w:rsidR="00757F38" w:rsidRPr="001531CD" w:rsidRDefault="00757F38" w:rsidP="00757F38">
      <w:pPr>
        <w:pStyle w:val="A"/>
      </w:pPr>
      <w:r w:rsidRPr="001531CD">
        <w:t>I.</w:t>
      </w:r>
      <w:r w:rsidRPr="001531CD">
        <w:tab/>
        <w:t>Special meetings of the commission may be called at any time by the chairman.</w:t>
      </w:r>
    </w:p>
    <w:p w14:paraId="641A30E3" w14:textId="77777777" w:rsidR="00757F38" w:rsidRPr="001531CD" w:rsidRDefault="00757F38" w:rsidP="00757F38">
      <w:pPr>
        <w:pStyle w:val="A"/>
      </w:pPr>
      <w:r w:rsidRPr="001531CD">
        <w:t>J.</w:t>
      </w:r>
      <w:r w:rsidRPr="001531CD">
        <w:tab/>
        <w:t>Whenever at least three members of the commission desire to call a special meeting, the three members shall so advise the chairman in writing and the chairman shall call a special meeting to be held within 30 days after receipt of the members' request.</w:t>
      </w:r>
    </w:p>
    <w:p w14:paraId="5BD26861" w14:textId="77777777" w:rsidR="00757F38" w:rsidRPr="001531CD" w:rsidRDefault="00757F38" w:rsidP="00757F38">
      <w:pPr>
        <w:pStyle w:val="A"/>
      </w:pPr>
      <w:r w:rsidRPr="001531CD">
        <w:t>K.</w:t>
      </w:r>
      <w:r w:rsidRPr="001531CD">
        <w:tab/>
        <w:t>If the chairman fails or refuses to call a special meeting upon the proper request of three members, the members may convene a special meeting of the commission by written notice to the remaining members.</w:t>
      </w:r>
    </w:p>
    <w:p w14:paraId="31FB2B01" w14:textId="77777777" w:rsidR="00757F38" w:rsidRPr="001531CD" w:rsidRDefault="00757F38" w:rsidP="00757F38">
      <w:pPr>
        <w:pStyle w:val="A"/>
      </w:pPr>
      <w:r w:rsidRPr="001531CD">
        <w:t>L.</w:t>
      </w:r>
      <w:r w:rsidRPr="001531CD">
        <w:tab/>
        <w:t>The secretary shall notify each member of the commission by in writing or by electronic means of any regular or special meeting at least one week prior to the meeting date.</w:t>
      </w:r>
    </w:p>
    <w:p w14:paraId="0BAD9012" w14:textId="77777777" w:rsidR="00757F38" w:rsidRPr="001531CD" w:rsidRDefault="00757F38" w:rsidP="00757F38">
      <w:pPr>
        <w:pStyle w:val="A"/>
      </w:pPr>
      <w:r w:rsidRPr="001531CD">
        <w:t>M.</w:t>
      </w:r>
      <w:r w:rsidRPr="001531CD">
        <w:tab/>
        <w:t>The secretary shall provide clerical and other support services as may be required by the commission and shall maintain and distribute appropriate minute records of all meetings of the commission.</w:t>
      </w:r>
    </w:p>
    <w:p w14:paraId="1C7CB9B0" w14:textId="77777777" w:rsidR="00757F38" w:rsidRPr="001531CD" w:rsidRDefault="00757F38" w:rsidP="00757F38">
      <w:pPr>
        <w:pStyle w:val="A"/>
      </w:pPr>
      <w:r w:rsidRPr="001531CD">
        <w:t>N.</w:t>
      </w:r>
      <w:r w:rsidRPr="001531CD">
        <w:tab/>
        <w:t>There shall be no voting by proxy.</w:t>
      </w:r>
    </w:p>
    <w:p w14:paraId="77EC62C9" w14:textId="77777777" w:rsidR="00757F38" w:rsidRPr="001531CD" w:rsidRDefault="00757F38" w:rsidP="00757F38">
      <w:pPr>
        <w:pStyle w:val="A"/>
      </w:pPr>
      <w:r w:rsidRPr="001531CD">
        <w:t>O.</w:t>
      </w:r>
      <w:r w:rsidRPr="001531CD">
        <w:tab/>
        <w:t>Three members of the commission shall constitute a quorum, and no action shall be taken without three votes in accord.</w:t>
      </w:r>
    </w:p>
    <w:p w14:paraId="4296AEA8" w14:textId="77777777" w:rsidR="00757F38" w:rsidRPr="001531CD" w:rsidRDefault="00757F38" w:rsidP="00757F38">
      <w:pPr>
        <w:pStyle w:val="A"/>
      </w:pPr>
      <w:r w:rsidRPr="001531CD">
        <w:t>P.</w:t>
      </w:r>
      <w:r w:rsidRPr="001531CD">
        <w:tab/>
        <w:t>Rules and regulations of the commission, and amendments thereto, shall be noticed, adopted and promulgated as required by the Administrative Procedure Act.</w:t>
      </w:r>
    </w:p>
    <w:p w14:paraId="29B743C4" w14:textId="77777777" w:rsidR="00CF626A" w:rsidRPr="001531CD" w:rsidRDefault="00CF626A">
      <w:pPr>
        <w:pStyle w:val="AuthorityNote"/>
      </w:pPr>
      <w:r w:rsidRPr="001531CD">
        <w:t>AUTHORITY NOTE:</w:t>
      </w:r>
      <w:r w:rsidRPr="001531CD">
        <w:tab/>
        <w:t>Promulgated in accordance with R.S. 3:3363, R.S. 3:3364 and R.S. 3:3366.</w:t>
      </w:r>
    </w:p>
    <w:p w14:paraId="76AF7CC8" w14:textId="77777777" w:rsidR="00373540" w:rsidRPr="001531CD" w:rsidRDefault="00CF626A" w:rsidP="00373540">
      <w:pPr>
        <w:pStyle w:val="HistoricalNote"/>
      </w:pPr>
      <w:r w:rsidRPr="001531CD">
        <w:t>HISTORICAL NOTE:</w:t>
      </w:r>
      <w:r w:rsidRPr="001531CD">
        <w:tab/>
        <w:t>Promulgated by the Department of Agriculture, Structural Pest Control Commission, LR 11:325 (April 1985), amended by the Department of Agriculture and Forestry, Structural Pest Control Co</w:t>
      </w:r>
      <w:r w:rsidR="00373540" w:rsidRPr="001531CD">
        <w:t>mmission, LR 20:644 (June 1994), LR 35:204 (February 2009)</w:t>
      </w:r>
      <w:r w:rsidR="00757F38" w:rsidRPr="001531CD">
        <w:t>, LR 37:275 (January 2011)</w:t>
      </w:r>
      <w:r w:rsidR="0034191B" w:rsidRPr="001531CD">
        <w:t>, amended by the Department of Agriculture and Forestry, Office of Agricultural and Environmental Sciences, Structural Pest Control Commission, LR 39:300 (February 2013).</w:t>
      </w:r>
    </w:p>
    <w:p w14:paraId="455308E8" w14:textId="77777777" w:rsidR="00B8109B" w:rsidRPr="001531CD" w:rsidRDefault="00CF626A" w:rsidP="00B8109B">
      <w:pPr>
        <w:pStyle w:val="Section"/>
      </w:pPr>
      <w:bookmarkStart w:id="2542" w:name="_Toc256754908"/>
      <w:bookmarkStart w:id="2543" w:name="_Toc224819281"/>
      <w:r w:rsidRPr="001531CD">
        <w:t>§105.</w:t>
      </w:r>
      <w:r w:rsidRPr="001531CD">
        <w:tab/>
      </w:r>
      <w:r w:rsidR="00B8109B" w:rsidRPr="001531CD">
        <w:t>Permit for Operation of Structural Pest Control Business; Changes in Structural Pest Control Business</w:t>
      </w:r>
      <w:bookmarkEnd w:id="2542"/>
      <w:bookmarkEnd w:id="2543"/>
    </w:p>
    <w:p w14:paraId="1D8976B0" w14:textId="77777777" w:rsidR="007911A6" w:rsidRPr="001531CD" w:rsidRDefault="007911A6" w:rsidP="007911A6">
      <w:pPr>
        <w:pStyle w:val="A"/>
        <w:rPr>
          <w:strike/>
        </w:rPr>
      </w:pPr>
      <w:r w:rsidRPr="001531CD">
        <w:t>A.</w:t>
      </w:r>
      <w:r w:rsidRPr="001531CD">
        <w:tab/>
        <w:t xml:space="preserve">Every place of business engaged in structural pest control work shall: </w:t>
      </w:r>
    </w:p>
    <w:p w14:paraId="3D9AFF93" w14:textId="77777777" w:rsidR="007911A6" w:rsidRPr="001531CD" w:rsidRDefault="007911A6" w:rsidP="007911A6">
      <w:pPr>
        <w:pStyle w:val="1"/>
      </w:pPr>
      <w:r w:rsidRPr="001531CD">
        <w:t>1.</w:t>
      </w:r>
      <w:r w:rsidRPr="001531CD">
        <w:tab/>
        <w:t>obtain a permit for operation from the commission prior to engaging in structural pest control work.</w:t>
      </w:r>
    </w:p>
    <w:p w14:paraId="7E4B88BC" w14:textId="77777777" w:rsidR="007911A6" w:rsidRPr="001531CD" w:rsidRDefault="007911A6" w:rsidP="007911A6">
      <w:pPr>
        <w:pStyle w:val="1"/>
      </w:pPr>
      <w:r w:rsidRPr="001531CD">
        <w:t>2.</w:t>
      </w:r>
      <w:r w:rsidRPr="001531CD">
        <w:tab/>
        <w:t>provide a certificate of insurance on a document provided by the department including but not limited to the following information:</w:t>
      </w:r>
    </w:p>
    <w:p w14:paraId="32C98870" w14:textId="77777777" w:rsidR="007911A6" w:rsidRPr="001531CD" w:rsidRDefault="007911A6" w:rsidP="007911A6">
      <w:pPr>
        <w:pStyle w:val="a0"/>
      </w:pPr>
      <w:r w:rsidRPr="001531CD">
        <w:t>a.</w:t>
      </w:r>
      <w:r w:rsidRPr="001531CD">
        <w:tab/>
        <w:t>not less than $250,000, general liability coverage, per occurrence for the following:</w:t>
      </w:r>
    </w:p>
    <w:p w14:paraId="7883F924" w14:textId="77777777" w:rsidR="007911A6" w:rsidRPr="001531CD" w:rsidRDefault="007911A6" w:rsidP="007911A6">
      <w:pPr>
        <w:pStyle w:val="i0"/>
      </w:pPr>
      <w:r w:rsidRPr="001531CD">
        <w:tab/>
        <w:t>i.</w:t>
      </w:r>
      <w:r w:rsidRPr="001531CD">
        <w:tab/>
        <w:t>all work performed under specific structural pest control license phases;</w:t>
      </w:r>
    </w:p>
    <w:p w14:paraId="79F9CCB7" w14:textId="77777777" w:rsidR="007911A6" w:rsidRPr="001531CD" w:rsidRDefault="007911A6" w:rsidP="007911A6">
      <w:pPr>
        <w:pStyle w:val="a0"/>
      </w:pPr>
      <w:r w:rsidRPr="001531CD">
        <w:t>b.</w:t>
      </w:r>
      <w:r w:rsidRPr="001531CD">
        <w:tab/>
        <w:t>not less than $100,000 coverage for property damage;</w:t>
      </w:r>
    </w:p>
    <w:p w14:paraId="7F2F8562" w14:textId="77777777" w:rsidR="007911A6" w:rsidRPr="001531CD" w:rsidRDefault="007911A6" w:rsidP="007911A6">
      <w:pPr>
        <w:pStyle w:val="a0"/>
      </w:pPr>
      <w:r w:rsidRPr="001531CD">
        <w:t>c.</w:t>
      </w:r>
      <w:r w:rsidRPr="001531CD">
        <w:tab/>
        <w:t>or combined single limits of $350,000;</w:t>
      </w:r>
    </w:p>
    <w:p w14:paraId="5D1CF903" w14:textId="77777777" w:rsidR="007911A6" w:rsidRPr="001531CD" w:rsidRDefault="007911A6" w:rsidP="007911A6">
      <w:pPr>
        <w:pStyle w:val="a0"/>
      </w:pPr>
      <w:r w:rsidRPr="001531CD">
        <w:t>d.</w:t>
      </w:r>
      <w:r w:rsidRPr="001531CD">
        <w:tab/>
        <w:t>definitions for purposes of this Section:</w:t>
      </w:r>
    </w:p>
    <w:p w14:paraId="3B89BE08" w14:textId="77777777" w:rsidR="007911A6" w:rsidRPr="001531CD" w:rsidRDefault="007911A6" w:rsidP="007911A6">
      <w:pPr>
        <w:pStyle w:val="i0"/>
      </w:pPr>
      <w:r w:rsidRPr="001531CD">
        <w:tab/>
        <w:t>i.</w:t>
      </w:r>
      <w:r w:rsidRPr="001531CD">
        <w:tab/>
      </w:r>
      <w:r w:rsidRPr="001531CD">
        <w:rPr>
          <w:i/>
          <w:iCs/>
        </w:rPr>
        <w:t>Public Liability</w:t>
      </w:r>
      <w:r w:rsidRPr="001531CD">
        <w:t>―general liability;</w:t>
      </w:r>
    </w:p>
    <w:p w14:paraId="2E4C1FDC" w14:textId="77777777" w:rsidR="007911A6" w:rsidRPr="001531CD" w:rsidRDefault="007911A6" w:rsidP="007911A6">
      <w:pPr>
        <w:pStyle w:val="i0"/>
      </w:pPr>
      <w:r w:rsidRPr="001531CD">
        <w:tab/>
        <w:t>ii.</w:t>
      </w:r>
      <w:r w:rsidRPr="001531CD">
        <w:tab/>
      </w:r>
      <w:r w:rsidRPr="001531CD">
        <w:rPr>
          <w:i/>
          <w:iCs/>
        </w:rPr>
        <w:t>Accident</w:t>
      </w:r>
      <w:r w:rsidRPr="001531CD">
        <w:t>―occurrence;</w:t>
      </w:r>
    </w:p>
    <w:p w14:paraId="396F046D" w14:textId="77777777" w:rsidR="007911A6" w:rsidRPr="001531CD" w:rsidRDefault="007911A6" w:rsidP="007911A6">
      <w:pPr>
        <w:pStyle w:val="a0"/>
      </w:pPr>
      <w:r w:rsidRPr="001531CD">
        <w:t>e.</w:t>
      </w:r>
      <w:r w:rsidRPr="001531CD">
        <w:tab/>
        <w:t>provide at least 10 days prior written notice to the commission before cancellation and 10 days written notice to the commission when paid claims reach or exceed the aggregate limit.</w:t>
      </w:r>
    </w:p>
    <w:p w14:paraId="7309AAB4" w14:textId="77777777" w:rsidR="007911A6" w:rsidRPr="001531CD" w:rsidRDefault="007911A6" w:rsidP="007911A6">
      <w:pPr>
        <w:pStyle w:val="1"/>
      </w:pPr>
      <w:r w:rsidRPr="001531CD">
        <w:t>3.</w:t>
      </w:r>
      <w:r w:rsidRPr="001531CD">
        <w:tab/>
        <w:t xml:space="preserve">Provide evidence of a surety or fidelity bond on a form provided by the department covering the business with which the applicant is connected, issued by a bonding, surety or insurance company authorized to do business in Louisiana, in the amount of $2,000, of tenor and solvency satisfactory to a majority of the commission. An applicant who is not connected with a business covered by the required surety or </w:t>
      </w:r>
      <w:r w:rsidRPr="001531CD">
        <w:lastRenderedPageBreak/>
        <w:t>fidelity bond shall secure the appropriate coverage prior to issuance of the license.</w:t>
      </w:r>
    </w:p>
    <w:p w14:paraId="54E6A4D0" w14:textId="77777777" w:rsidR="007911A6" w:rsidRPr="001531CD" w:rsidRDefault="007911A6" w:rsidP="007911A6">
      <w:pPr>
        <w:pStyle w:val="A"/>
      </w:pPr>
      <w:r w:rsidRPr="001531CD">
        <w:t>B.</w:t>
      </w:r>
      <w:r w:rsidRPr="001531CD">
        <w:tab/>
        <w:t>No permit for operation shall be issued by the commission unless there is a licensee for each phase of structural pest control work being conducted who is domiciled and designated as the primary licensee at the business location for which the permit is sought.</w:t>
      </w:r>
    </w:p>
    <w:p w14:paraId="2F4DAF48" w14:textId="77777777" w:rsidR="007911A6" w:rsidRPr="001531CD" w:rsidRDefault="007911A6" w:rsidP="007911A6">
      <w:pPr>
        <w:pStyle w:val="A"/>
      </w:pPr>
      <w:r w:rsidRPr="001531CD">
        <w:t>C.</w:t>
      </w:r>
      <w:r w:rsidRPr="001531CD">
        <w:tab/>
        <w:t>Each permit for operation shall be renewed annually, on or before June 30 of each year.</w:t>
      </w:r>
    </w:p>
    <w:p w14:paraId="524A3053" w14:textId="77777777" w:rsidR="007911A6" w:rsidRPr="001531CD" w:rsidRDefault="00F4600B" w:rsidP="007911A6">
      <w:pPr>
        <w:pStyle w:val="A"/>
      </w:pPr>
      <w:r w:rsidRPr="009D41F2">
        <w:t>D.</w:t>
      </w:r>
      <w:r w:rsidRPr="009D41F2">
        <w:tab/>
        <w:t>The fee for issuance of a permit for operation shall be $150 for firms which employ two or less employees and $200 for firms which employ three or more employees.</w:t>
      </w:r>
    </w:p>
    <w:p w14:paraId="032CD1D3" w14:textId="77777777" w:rsidR="007911A6" w:rsidRPr="001531CD" w:rsidRDefault="007911A6" w:rsidP="007911A6">
      <w:pPr>
        <w:pStyle w:val="A"/>
      </w:pPr>
      <w:r w:rsidRPr="001531CD">
        <w:t>E.</w:t>
      </w:r>
      <w:r w:rsidRPr="001531CD">
        <w:tab/>
        <w:t>When two or more businesses which are separate legal entities, even though owned by the same individual or the same legal entity, are operated at one physical location, each separate entity shall obtain a permit for operation.</w:t>
      </w:r>
    </w:p>
    <w:p w14:paraId="697A2DD1" w14:textId="77777777" w:rsidR="007911A6" w:rsidRPr="001531CD" w:rsidRDefault="007911A6" w:rsidP="007911A6">
      <w:pPr>
        <w:pStyle w:val="A"/>
      </w:pPr>
      <w:r w:rsidRPr="001531CD">
        <w:t>F.</w:t>
      </w:r>
      <w:r w:rsidRPr="001531CD">
        <w:tab/>
        <w:t>Whenever a license is suspended or revoked under §131, the commission may also revoke the permit to operate. In such cases, the commission shall recall the permit and require the licensee to immediately return the permit to the commission.</w:t>
      </w:r>
    </w:p>
    <w:p w14:paraId="0F3CA48A" w14:textId="77777777" w:rsidR="007911A6" w:rsidRPr="001531CD" w:rsidRDefault="007911A6" w:rsidP="007911A6">
      <w:pPr>
        <w:pStyle w:val="A"/>
      </w:pPr>
      <w:r w:rsidRPr="001531CD">
        <w:t>G.</w:t>
      </w:r>
      <w:r w:rsidRPr="001531CD">
        <w:tab/>
        <w:t>Whenever a permit is recalled by the commission as provided in §105.F, no structural pest control work of any kind shall be provided by persons domiciled at the location for which the recalled permit has been issued.</w:t>
      </w:r>
    </w:p>
    <w:p w14:paraId="2481050C" w14:textId="77777777" w:rsidR="007911A6" w:rsidRPr="001531CD" w:rsidRDefault="007911A6" w:rsidP="007911A6">
      <w:pPr>
        <w:pStyle w:val="A"/>
      </w:pPr>
      <w:r w:rsidRPr="001531CD">
        <w:t>H.</w:t>
      </w:r>
      <w:r w:rsidRPr="001531CD">
        <w:tab/>
        <w:t>Except as provided in this Subsection, any change in the status of a permittee (e.g., death, retirement, prolonged illness, merger, sale, change of ownership, etc.) shall be reported to the commission, in writing, within 14 days after the change in status occurs.</w:t>
      </w:r>
    </w:p>
    <w:p w14:paraId="04AB58B5" w14:textId="77777777" w:rsidR="007911A6" w:rsidRPr="001531CD" w:rsidRDefault="007911A6" w:rsidP="007911A6">
      <w:pPr>
        <w:pStyle w:val="1"/>
      </w:pPr>
      <w:r w:rsidRPr="001531CD">
        <w:t>1.</w:t>
      </w:r>
      <w:r w:rsidRPr="001531CD">
        <w:tab/>
        <w:t>If the change in the permittees status would result in the non-renewal of the place of business permit or would require the commission to issue a new place of business permit, then the notice shall be accompanied by the following information:</w:t>
      </w:r>
    </w:p>
    <w:p w14:paraId="3C76C5D6" w14:textId="77777777" w:rsidR="007911A6" w:rsidRPr="001531CD" w:rsidRDefault="007911A6" w:rsidP="007911A6">
      <w:pPr>
        <w:pStyle w:val="a0"/>
      </w:pPr>
      <w:r w:rsidRPr="001531CD">
        <w:t>a.</w:t>
      </w:r>
      <w:r w:rsidRPr="001531CD">
        <w:tab/>
        <w:t>the reason for the change in the status and the effective date of the change;</w:t>
      </w:r>
    </w:p>
    <w:p w14:paraId="3390716B" w14:textId="77777777" w:rsidR="007911A6" w:rsidRPr="001531CD" w:rsidRDefault="007911A6" w:rsidP="007911A6">
      <w:pPr>
        <w:pStyle w:val="a0"/>
      </w:pPr>
      <w:r w:rsidRPr="001531CD">
        <w:t>b.</w:t>
      </w:r>
      <w:r w:rsidRPr="001531CD">
        <w:tab/>
        <w:t>the status of all licensee(s) and registered and certified technicians;</w:t>
      </w:r>
    </w:p>
    <w:p w14:paraId="475BE512" w14:textId="77777777" w:rsidR="007911A6" w:rsidRPr="001531CD" w:rsidRDefault="007911A6" w:rsidP="007911A6">
      <w:pPr>
        <w:pStyle w:val="A"/>
      </w:pPr>
      <w:r w:rsidRPr="001531CD">
        <w:t>I.</w:t>
      </w:r>
      <w:r w:rsidRPr="001531CD">
        <w:tab/>
        <w:t>If a permittee sells or otherwise transfers any wood destroying insects contract then the commission and each customer whose contract was sold or transferred shall receive the following written notification.</w:t>
      </w:r>
    </w:p>
    <w:p w14:paraId="2B6FBD28" w14:textId="77777777" w:rsidR="007911A6" w:rsidRPr="001531CD" w:rsidRDefault="007911A6" w:rsidP="007911A6">
      <w:pPr>
        <w:pStyle w:val="1"/>
      </w:pPr>
      <w:r w:rsidRPr="001531CD">
        <w:t>1.</w:t>
      </w:r>
      <w:r w:rsidRPr="001531CD">
        <w:tab/>
        <w:t>The selling or transferring permittee and the person purchasing or receiving the wood destroying insects contract shall each provide the commission in writing the following information and statements.</w:t>
      </w:r>
    </w:p>
    <w:p w14:paraId="78B8644C" w14:textId="77777777" w:rsidR="007911A6" w:rsidRPr="001531CD" w:rsidRDefault="007911A6" w:rsidP="007911A6">
      <w:pPr>
        <w:pStyle w:val="a0"/>
      </w:pPr>
      <w:r w:rsidRPr="001531CD">
        <w:t>a.</w:t>
      </w:r>
      <w:r w:rsidRPr="001531CD">
        <w:tab/>
        <w:t xml:space="preserve">If all the wood destroying insects contracts of the permittee selling or transferring such contracts are being purchased or transferred then a statement that all wood destroying insects contracts are being sold or transferred and that all the contracts shall remain in full force and effect in </w:t>
      </w:r>
      <w:r w:rsidRPr="001531CD">
        <w:t>accordance with the terms and conditions of the customers' contracts shall be sufficient.</w:t>
      </w:r>
    </w:p>
    <w:p w14:paraId="54EC9D5C" w14:textId="77777777" w:rsidR="007911A6" w:rsidRPr="001531CD" w:rsidRDefault="007911A6" w:rsidP="007911A6">
      <w:pPr>
        <w:pStyle w:val="a0"/>
      </w:pPr>
      <w:r w:rsidRPr="001531CD">
        <w:t>b.</w:t>
      </w:r>
      <w:r w:rsidRPr="001531CD">
        <w:tab/>
        <w:t>If all the wood destroying insects contracts are not being sold or transferred then the information provided to the commission shall include:</w:t>
      </w:r>
    </w:p>
    <w:p w14:paraId="145DC60A" w14:textId="77777777" w:rsidR="007911A6" w:rsidRPr="001531CD" w:rsidRDefault="007911A6" w:rsidP="007911A6">
      <w:pPr>
        <w:pStyle w:val="i0"/>
      </w:pPr>
      <w:r w:rsidRPr="001531CD">
        <w:tab/>
        <w:t>i.</w:t>
      </w:r>
      <w:r w:rsidRPr="001531CD">
        <w:tab/>
        <w:t>a statement that all wood destroying insects contracts are being sold or transferred except for the specific contracts listed;</w:t>
      </w:r>
    </w:p>
    <w:p w14:paraId="6C832B85" w14:textId="77777777" w:rsidR="007911A6" w:rsidRPr="001531CD" w:rsidRDefault="007911A6" w:rsidP="007911A6">
      <w:pPr>
        <w:pStyle w:val="i0"/>
      </w:pPr>
      <w:r w:rsidRPr="001531CD">
        <w:tab/>
        <w:t>ii.</w:t>
      </w:r>
      <w:r w:rsidRPr="001531CD">
        <w:tab/>
        <w:t>a list of the specific contracts that are not being sold or transferred;</w:t>
      </w:r>
    </w:p>
    <w:p w14:paraId="7F298EDD" w14:textId="77777777" w:rsidR="007911A6" w:rsidRPr="001531CD" w:rsidRDefault="007911A6" w:rsidP="007911A6">
      <w:pPr>
        <w:pStyle w:val="i0"/>
      </w:pPr>
      <w:r w:rsidRPr="001531CD">
        <w:tab/>
        <w:t>iii.</w:t>
      </w:r>
      <w:r w:rsidRPr="001531CD">
        <w:tab/>
        <w:t>for each contract being sold or transferred, a statement that all contracts being sold or transferred shall remain in full force and effect in accordance with the terms and conditions of the customers' contracts.</w:t>
      </w:r>
    </w:p>
    <w:p w14:paraId="785AB6BB" w14:textId="77777777" w:rsidR="007911A6" w:rsidRPr="001531CD" w:rsidRDefault="007911A6" w:rsidP="007911A6">
      <w:pPr>
        <w:pStyle w:val="1"/>
      </w:pPr>
      <w:r w:rsidRPr="001531CD">
        <w:t>2.</w:t>
      </w:r>
      <w:r w:rsidRPr="001531CD">
        <w:tab/>
        <w:t>The person acquiring a wood destroying insects contract by a sale or transfer shall notify the customer in writing, within 30 days after the sale or transfer of:</w:t>
      </w:r>
    </w:p>
    <w:p w14:paraId="4B212D47" w14:textId="77777777" w:rsidR="007911A6" w:rsidRPr="001531CD" w:rsidRDefault="007911A6" w:rsidP="007911A6">
      <w:pPr>
        <w:pStyle w:val="a0"/>
      </w:pPr>
      <w:r w:rsidRPr="001531CD">
        <w:t>a.</w:t>
      </w:r>
      <w:r w:rsidRPr="001531CD">
        <w:tab/>
        <w:t>the effective date of the sale, transfer, or change in status; and</w:t>
      </w:r>
    </w:p>
    <w:p w14:paraId="52D2D4AF" w14:textId="77777777" w:rsidR="007911A6" w:rsidRPr="001531CD" w:rsidRDefault="007911A6" w:rsidP="007911A6">
      <w:pPr>
        <w:pStyle w:val="a0"/>
      </w:pPr>
      <w:r w:rsidRPr="001531CD">
        <w:t>b.</w:t>
      </w:r>
      <w:r w:rsidRPr="001531CD">
        <w:tab/>
        <w:t>the name, address, and telephone number of the person acquiring the customer's wood destroying insects contract;</w:t>
      </w:r>
    </w:p>
    <w:p w14:paraId="7D3619E2" w14:textId="77777777" w:rsidR="007911A6" w:rsidRPr="001531CD" w:rsidRDefault="007911A6" w:rsidP="007911A6">
      <w:pPr>
        <w:pStyle w:val="a0"/>
      </w:pPr>
      <w:r w:rsidRPr="001531CD">
        <w:t>c.</w:t>
      </w:r>
      <w:r w:rsidRPr="001531CD">
        <w:tab/>
        <w:t>a statement that the customer's contract shall remain in full force and effect in accordance with the terms and conditions of the contract.</w:t>
      </w:r>
    </w:p>
    <w:p w14:paraId="1F8BEAEA" w14:textId="77777777" w:rsidR="007911A6" w:rsidRPr="001531CD" w:rsidRDefault="007911A6" w:rsidP="007911A6">
      <w:pPr>
        <w:pStyle w:val="A"/>
      </w:pPr>
      <w:r w:rsidRPr="001531CD">
        <w:t>J.</w:t>
      </w:r>
      <w:r w:rsidRPr="001531CD">
        <w:tab/>
        <w:t>A permittee who is closing his business or is otherwise not going to honor or service existing wood destroying insects contracts shall, within 14 days of the time of the close of business or ceasing to honor or service existing wood destroying insects contracts shall provide certified written notification of the decision to affected customers along with the following information:</w:t>
      </w:r>
    </w:p>
    <w:p w14:paraId="55BFD791" w14:textId="77777777" w:rsidR="007911A6" w:rsidRPr="001531CD" w:rsidRDefault="007911A6" w:rsidP="007911A6">
      <w:pPr>
        <w:pStyle w:val="1"/>
      </w:pPr>
      <w:r w:rsidRPr="001531CD">
        <w:t>1.</w:t>
      </w:r>
      <w:r w:rsidRPr="001531CD">
        <w:tab/>
        <w:t>the commission's address and telephone number;</w:t>
      </w:r>
    </w:p>
    <w:p w14:paraId="3BBDB73C" w14:textId="77777777" w:rsidR="007911A6" w:rsidRPr="001531CD" w:rsidRDefault="007911A6" w:rsidP="007911A6">
      <w:pPr>
        <w:pStyle w:val="1"/>
      </w:pPr>
      <w:r w:rsidRPr="001531CD">
        <w:t>2.</w:t>
      </w:r>
      <w:r w:rsidRPr="001531CD">
        <w:tab/>
        <w:t>the date of closure or last date the contract will be honored or serviced;</w:t>
      </w:r>
    </w:p>
    <w:p w14:paraId="782B3F4D" w14:textId="77777777" w:rsidR="007911A6" w:rsidRPr="001531CD" w:rsidRDefault="007911A6" w:rsidP="007911A6">
      <w:pPr>
        <w:pStyle w:val="1"/>
      </w:pPr>
      <w:r w:rsidRPr="001531CD">
        <w:t>3.</w:t>
      </w:r>
      <w:r w:rsidRPr="001531CD">
        <w:tab/>
        <w:t>a statement of bond coverage; and</w:t>
      </w:r>
    </w:p>
    <w:p w14:paraId="2E286A41" w14:textId="77777777" w:rsidR="007911A6" w:rsidRPr="001531CD" w:rsidRDefault="007911A6" w:rsidP="007911A6">
      <w:pPr>
        <w:pStyle w:val="1"/>
      </w:pPr>
      <w:r w:rsidRPr="001531CD">
        <w:t>4.</w:t>
      </w:r>
      <w:r w:rsidRPr="001531CD">
        <w:tab/>
        <w:t>the bond company's name, address, telephone number, and contact person.</w:t>
      </w:r>
    </w:p>
    <w:p w14:paraId="5F810E10" w14:textId="77777777" w:rsidR="007911A6" w:rsidRPr="001531CD" w:rsidRDefault="007911A6" w:rsidP="007911A6">
      <w:pPr>
        <w:pStyle w:val="A"/>
      </w:pPr>
      <w:r w:rsidRPr="001531CD">
        <w:t>K.</w:t>
      </w:r>
      <w:r w:rsidRPr="001531CD">
        <w:tab/>
        <w:t>Any person who fails to comply with the provisions of this Section shall personally come before the commission prior to that person being granted a registration, certification, license, or permit, or renewal thereof. The commission may deny or defer action on a request to grant a registration, certification, license or permit, or renewal thereof. The commission may deny a renewal or impose civil penalties for violation of this Section only after the person has been brought to an adjudicatory proceeding and found guilty of violating the provisions of this Section.</w:t>
      </w:r>
    </w:p>
    <w:p w14:paraId="75055C78" w14:textId="77777777" w:rsidR="00B8109B" w:rsidRPr="001531CD" w:rsidRDefault="007911A6" w:rsidP="007911A6">
      <w:pPr>
        <w:pStyle w:val="A"/>
      </w:pPr>
      <w:r w:rsidRPr="001531CD">
        <w:t>L.</w:t>
      </w:r>
      <w:r w:rsidRPr="001531CD">
        <w:tab/>
        <w:t xml:space="preserve">All information and all documents relating to written contracts transmitted to the commission in accordance with the requirements of this Section shall be confidential and shall </w:t>
      </w:r>
      <w:r w:rsidRPr="001531CD">
        <w:lastRenderedPageBreak/>
        <w:t>be exempt from the Public Records Law, R.S. 44:1 et seq., as provided in R.S. 3:3370(E).</w:t>
      </w:r>
    </w:p>
    <w:p w14:paraId="69B94D92" w14:textId="77777777" w:rsidR="00E753BF" w:rsidRPr="001531CD" w:rsidRDefault="00F4600B" w:rsidP="00E753BF">
      <w:pPr>
        <w:pStyle w:val="AuthorityNote"/>
      </w:pPr>
      <w:r w:rsidRPr="009D41F2">
        <w:t>AUTHORITY NOTE:</w:t>
      </w:r>
      <w:r w:rsidRPr="009D41F2">
        <w:tab/>
        <w:t>Promulgated in accordance with R.S. 3:3366 and R.S. 3:3374.</w:t>
      </w:r>
    </w:p>
    <w:p w14:paraId="04E1BC20" w14:textId="77777777" w:rsidR="00CF626A" w:rsidRPr="001531CD" w:rsidRDefault="00B8109B" w:rsidP="00B8109B">
      <w:pPr>
        <w:pStyle w:val="HistoricalNote"/>
      </w:pPr>
      <w:r w:rsidRPr="001531CD">
        <w:t>HISTORICAL NOTE:</w:t>
      </w:r>
      <w:r w:rsidRPr="001531CD">
        <w:tab/>
        <w:t>Promulgated by the Department of Agriculture, Structural Pest Control Commission, LR 11:325 (April 1985), amended by the Department of Agriculture and Forestry, Structural Pest Control Commission, LR 15:954 (November 1989), LR 33:40 (January 2007)</w:t>
      </w:r>
      <w:r w:rsidR="004E1D8B" w:rsidRPr="001531CD">
        <w:t>, LR 37:275 (January 2011)</w:t>
      </w:r>
      <w:r w:rsidR="00F4600B">
        <w:t xml:space="preserve">, </w:t>
      </w:r>
      <w:r w:rsidR="00F4600B" w:rsidRPr="009D41F2">
        <w:t>amended by the Department of Agriculture and Forestry, Office of Agricultural and Environmental Sciences, Structural Pest Control Commission,</w:t>
      </w:r>
      <w:r w:rsidR="00F4600B">
        <w:t xml:space="preserve"> LR 42:213 (February 2016).</w:t>
      </w:r>
    </w:p>
    <w:p w14:paraId="62FAC22F" w14:textId="77777777" w:rsidR="00CF626A" w:rsidRPr="001531CD" w:rsidRDefault="00CF626A">
      <w:pPr>
        <w:pStyle w:val="Section"/>
      </w:pPr>
      <w:bookmarkStart w:id="2544" w:name="_Toc256754909"/>
      <w:bookmarkStart w:id="2545" w:name="_Toc224819282"/>
      <w:r w:rsidRPr="001531CD">
        <w:t>§107.</w:t>
      </w:r>
      <w:r w:rsidRPr="001531CD">
        <w:tab/>
        <w:t>License to Engage in Structural Pest Control Work Required</w:t>
      </w:r>
      <w:bookmarkEnd w:id="2544"/>
      <w:bookmarkEnd w:id="2545"/>
    </w:p>
    <w:p w14:paraId="48F86582" w14:textId="77777777" w:rsidR="00E41C68" w:rsidRPr="00CF4F7E" w:rsidRDefault="00E41C68" w:rsidP="00E41C68">
      <w:pPr>
        <w:pStyle w:val="A"/>
      </w:pPr>
      <w:r w:rsidRPr="00CF4F7E">
        <w:t>A.</w:t>
      </w:r>
      <w:r w:rsidRPr="00CF4F7E">
        <w:tab/>
        <w:t>No person shall perform structural pest control work until licensed and permitted to do so by the commission.</w:t>
      </w:r>
    </w:p>
    <w:p w14:paraId="7C5AFD4C" w14:textId="77777777" w:rsidR="00E41C68" w:rsidRPr="00CF4F7E" w:rsidRDefault="00E41C68" w:rsidP="00E41C68">
      <w:pPr>
        <w:pStyle w:val="A"/>
      </w:pPr>
      <w:r w:rsidRPr="00CF4F7E">
        <w:t>B.</w:t>
      </w:r>
      <w:r w:rsidRPr="00CF4F7E">
        <w:tab/>
        <w:t>Each applicant for license shall possess one of the following qualifications in order to take the examination(s):</w:t>
      </w:r>
    </w:p>
    <w:p w14:paraId="49B43AFA" w14:textId="77777777" w:rsidR="00E41C68" w:rsidRPr="00CF4F7E" w:rsidRDefault="00E41C68" w:rsidP="00E41C68">
      <w:pPr>
        <w:pStyle w:val="1"/>
      </w:pPr>
      <w:r w:rsidRPr="00CF4F7E">
        <w:t>1.</w:t>
      </w:r>
      <w:r w:rsidRPr="00CF4F7E">
        <w:tab/>
        <w:t>general pest control commercial vertebrate control and commodity fumigation:</w:t>
      </w:r>
    </w:p>
    <w:p w14:paraId="22477817" w14:textId="77777777" w:rsidR="00E41C68" w:rsidRPr="00CF4F7E" w:rsidRDefault="00E41C68" w:rsidP="00E41C68">
      <w:pPr>
        <w:pStyle w:val="a0"/>
      </w:pPr>
      <w:r w:rsidRPr="00CF4F7E">
        <w:t>a.</w:t>
      </w:r>
      <w:r w:rsidRPr="00CF4F7E">
        <w:tab/>
        <w:t>a degree from an accredited four-year college or university with a major in entomology; or</w:t>
      </w:r>
    </w:p>
    <w:p w14:paraId="2AD6DA15" w14:textId="77777777"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w:t>
      </w:r>
      <w:r>
        <w:t xml:space="preserve"> </w:t>
      </w:r>
      <w:r w:rsidRPr="00CF4F7E">
        <w:t>within the last six years as a registered technician under the supervision of a licensee in the licensee phase for which the applicant desires to take the examination; or</w:t>
      </w:r>
    </w:p>
    <w:p w14:paraId="0F79154C" w14:textId="77777777" w:rsidR="00E41C68" w:rsidRPr="00CF4F7E" w:rsidRDefault="00E41C68" w:rsidP="00E41C68">
      <w:pPr>
        <w:pStyle w:val="a0"/>
      </w:pPr>
      <w:r w:rsidRPr="00CF4F7E">
        <w:t>c.</w:t>
      </w:r>
      <w:r w:rsidRPr="00CF4F7E">
        <w:tab/>
        <w:t>four years of experience within the last six years as a registered technician under the supervision of a licensee in the licensee phase for which the applicant desires to take the examination; or</w:t>
      </w:r>
    </w:p>
    <w:p w14:paraId="3332CAE5" w14:textId="77777777" w:rsidR="00E41C68" w:rsidRPr="00CF4F7E" w:rsidRDefault="00E41C68" w:rsidP="00E41C68">
      <w:pPr>
        <w:pStyle w:val="a0"/>
      </w:pPr>
      <w:r w:rsidRPr="00CF4F7E">
        <w:t>d.</w:t>
      </w:r>
      <w:r w:rsidRPr="00CF4F7E">
        <w:tab/>
      </w:r>
      <w:r w:rsidR="00B62AD7" w:rsidRPr="00B62AD7">
        <w:t>four years of experience within the last six years as a technician under the supervision of a structural pest control operator in another state in the licensee phase for which the individual desires to take the examinations. Experience with an out-of-state structural pest control operator shall be substantiated by evidence acceptable to the commission or commission staff;</w:t>
      </w:r>
    </w:p>
    <w:p w14:paraId="3E9E7534" w14:textId="77777777" w:rsidR="00E41C68" w:rsidRPr="00CF4F7E" w:rsidRDefault="00E41C68" w:rsidP="00E41C68">
      <w:pPr>
        <w:pStyle w:val="1"/>
      </w:pPr>
      <w:r w:rsidRPr="00CF4F7E">
        <w:t>2.</w:t>
      </w:r>
      <w:r w:rsidRPr="00CF4F7E">
        <w:tab/>
        <w:t>termite control:</w:t>
      </w:r>
    </w:p>
    <w:p w14:paraId="600326B4" w14:textId="77777777" w:rsidR="00E41C68" w:rsidRPr="00CF4F7E" w:rsidRDefault="00E41C68" w:rsidP="00E41C68">
      <w:pPr>
        <w:pStyle w:val="a0"/>
      </w:pPr>
      <w:r w:rsidRPr="00CF4F7E">
        <w:t>a.</w:t>
      </w:r>
      <w:r w:rsidRPr="00CF4F7E">
        <w:tab/>
        <w:t>a degree from an accredited four-year college or university with a major in entomology and complete a commission approved comprehensive termite program; or</w:t>
      </w:r>
    </w:p>
    <w:p w14:paraId="73F0A6EC" w14:textId="77777777"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 within the last six years as a registered technician under the supervision of a licensee in the licensee phase for which the applicant desires to take the examination and complete a commission approved comprehensive termite program; or</w:t>
      </w:r>
    </w:p>
    <w:p w14:paraId="72409C46" w14:textId="77777777" w:rsidR="00E41C68" w:rsidRPr="00CF4F7E" w:rsidRDefault="00E41C68" w:rsidP="00E41C68">
      <w:pPr>
        <w:pStyle w:val="a0"/>
      </w:pPr>
      <w:r w:rsidRPr="00CF4F7E">
        <w:t>c.</w:t>
      </w:r>
      <w:r w:rsidRPr="00CF4F7E">
        <w:tab/>
        <w:t>four years of experience within the last six</w:t>
      </w:r>
      <w:r>
        <w:t xml:space="preserve"> </w:t>
      </w:r>
      <w:r w:rsidRPr="00CF4F7E">
        <w:t>years as a registered technician under the supervision of a licensee</w:t>
      </w:r>
      <w:r>
        <w:t xml:space="preserve"> </w:t>
      </w:r>
      <w:r w:rsidRPr="00CF4F7E">
        <w:t>in the licensee phase for which the applicant desires to take the examination and complete a commission approved comprehensive termite program; or</w:t>
      </w:r>
    </w:p>
    <w:p w14:paraId="33B8230A" w14:textId="77777777" w:rsidR="00E41C68" w:rsidRPr="00CF4F7E" w:rsidRDefault="00E41C68" w:rsidP="00E41C68">
      <w:pPr>
        <w:pStyle w:val="a0"/>
      </w:pPr>
      <w:r w:rsidRPr="00CF4F7E">
        <w:t>d.</w:t>
      </w:r>
      <w:r w:rsidRPr="00CF4F7E">
        <w:tab/>
      </w:r>
      <w:r w:rsidR="00B62AD7" w:rsidRPr="00B62AD7">
        <w:t>four years of experience within the last six years as a technician under the supervision of a structural pest control operator in another state in the licensee phase for which the individual desires to take the examinations and complete a commission approved comprehensive termite program. Experience with an out-of-state structural pest</w:t>
      </w:r>
      <w:r w:rsidR="00B62AD7">
        <w:t xml:space="preserve"> </w:t>
      </w:r>
      <w:r w:rsidR="00B62AD7" w:rsidRPr="00B62AD7">
        <w:t>control operator shall be substantiated by evidence acceptable to the commission or commission staff;</w:t>
      </w:r>
    </w:p>
    <w:p w14:paraId="3A2508FB" w14:textId="77777777" w:rsidR="00E41C68" w:rsidRPr="00CF4F7E" w:rsidRDefault="00E41C68" w:rsidP="00E41C68">
      <w:pPr>
        <w:pStyle w:val="1"/>
      </w:pPr>
      <w:r w:rsidRPr="00CF4F7E">
        <w:t>3.</w:t>
      </w:r>
      <w:r w:rsidRPr="00CF4F7E">
        <w:tab/>
        <w:t>structural fumigation:</w:t>
      </w:r>
    </w:p>
    <w:p w14:paraId="39D65090" w14:textId="77777777" w:rsidR="00E41C68" w:rsidRPr="00CF4F7E" w:rsidRDefault="00E41C68" w:rsidP="00E41C68">
      <w:pPr>
        <w:pStyle w:val="a0"/>
      </w:pPr>
      <w:r w:rsidRPr="00CF4F7E">
        <w:t>a.</w:t>
      </w:r>
      <w:r w:rsidRPr="00CF4F7E">
        <w:tab/>
        <w:t>a degree from an accredited four-year college or university with a major in entomology and having completed 30 jobs in structural fumigation within the last six years, as a registered technician under the supervision of a licensee in structural fumigation; or</w:t>
      </w:r>
    </w:p>
    <w:p w14:paraId="6DDD73CF" w14:textId="77777777"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 within the last six years, having completed 30 jobs in structural fumigation as a registered technician under the supervision of a licensee in structural fumigation; or</w:t>
      </w:r>
    </w:p>
    <w:p w14:paraId="63B0C1AF" w14:textId="77777777" w:rsidR="00E41C68" w:rsidRPr="00CF4F7E" w:rsidRDefault="00E41C68" w:rsidP="00E41C68">
      <w:pPr>
        <w:pStyle w:val="a0"/>
      </w:pPr>
      <w:r w:rsidRPr="00CF4F7E">
        <w:t>c.</w:t>
      </w:r>
      <w:r w:rsidRPr="00CF4F7E">
        <w:tab/>
        <w:t>four years of experience within the last six years, having completed 30 jobs in structural fumigation as a registered technician under the supervision of a licensee in structural fumigation; or</w:t>
      </w:r>
    </w:p>
    <w:p w14:paraId="0F034F96" w14:textId="77777777" w:rsidR="00E41C68" w:rsidRPr="00CF4F7E" w:rsidRDefault="00E41C68" w:rsidP="00E41C68">
      <w:pPr>
        <w:pStyle w:val="a0"/>
      </w:pPr>
      <w:r w:rsidRPr="00CF4F7E">
        <w:t>d.</w:t>
      </w:r>
      <w:r w:rsidRPr="00CF4F7E">
        <w:tab/>
      </w:r>
      <w:r w:rsidR="00B62AD7" w:rsidRPr="00B62AD7">
        <w:t>four years of experience within the last six years, having completed 30 jobs in structural fumigation as a technician under the supervision of a structural pest control operator in another state in the licensee phase for which the individual desires to take the examinations. Experience with an out-of-state structural pest control operator shall be substantiated by evidence acceptable to the commission or commission staff.</w:t>
      </w:r>
    </w:p>
    <w:p w14:paraId="0D10EE62" w14:textId="77777777" w:rsidR="00E41C68" w:rsidRPr="00CF4F7E" w:rsidRDefault="00E41C68" w:rsidP="00E41C68">
      <w:pPr>
        <w:pStyle w:val="A"/>
      </w:pPr>
      <w:r w:rsidRPr="00CF4F7E">
        <w:t>C.</w:t>
      </w:r>
      <w:r w:rsidRPr="00CF4F7E">
        <w:tab/>
        <w:t>Each applicant for a ship fumigation license shall possess one of the following qualifications in order to take the examination:</w:t>
      </w:r>
    </w:p>
    <w:p w14:paraId="5D95E49D" w14:textId="77777777" w:rsidR="00E41C68" w:rsidRPr="00CF4F7E" w:rsidRDefault="00E41C68" w:rsidP="00E41C68">
      <w:pPr>
        <w:pStyle w:val="1"/>
      </w:pPr>
      <w:r w:rsidRPr="00CF4F7E">
        <w:t>1.</w:t>
      </w:r>
      <w:r w:rsidRPr="00CF4F7E">
        <w:tab/>
        <w:t>a degree from an accredited four-year college or university with a major in entomology and</w:t>
      </w:r>
      <w:r>
        <w:t xml:space="preserve"> </w:t>
      </w:r>
      <w:r w:rsidRPr="00CF4F7E">
        <w:t>having completed 200 jobs in ship fumigation working under the supervision of a licensee in ship fumigation; or</w:t>
      </w:r>
    </w:p>
    <w:p w14:paraId="5A705205" w14:textId="77777777" w:rsidR="00E41C68" w:rsidRPr="00CF4F7E" w:rsidRDefault="00E41C68" w:rsidP="00E41C68">
      <w:pPr>
        <w:pStyle w:val="1"/>
      </w:pPr>
      <w:r w:rsidRPr="00CF4F7E">
        <w:t>2.</w:t>
      </w:r>
      <w:r w:rsidRPr="00CF4F7E">
        <w:tab/>
        <w:t>a degree from an accredited four-year college or university with at least 12 semester hours or the equivalent in quarter hours of course work in entomology and at least one year of experience, having completed 200 jobs in ship fumigation within the last six years as a registered technician under the supervision of a licensee in ship fumigation; or</w:t>
      </w:r>
    </w:p>
    <w:p w14:paraId="220774BE" w14:textId="77777777" w:rsidR="00E41C68" w:rsidRPr="00CF4F7E" w:rsidRDefault="00E41C68" w:rsidP="00E41C68">
      <w:pPr>
        <w:pStyle w:val="1"/>
      </w:pPr>
      <w:r w:rsidRPr="00CF4F7E">
        <w:t>3.</w:t>
      </w:r>
      <w:r w:rsidRPr="00CF4F7E">
        <w:tab/>
        <w:t>experience as a registered technician having completed 200 jobs in ship fumigation, working under the supervision of a licensee in ship fumigation, during a two-year p</w:t>
      </w:r>
      <w:r>
        <w:t>eriod within the last six years;</w:t>
      </w:r>
    </w:p>
    <w:p w14:paraId="13165838" w14:textId="77777777" w:rsidR="00E41C68" w:rsidRPr="00CF4F7E" w:rsidRDefault="00E41C68" w:rsidP="00E41C68">
      <w:pPr>
        <w:pStyle w:val="1"/>
      </w:pPr>
      <w:r w:rsidRPr="00CF4F7E">
        <w:lastRenderedPageBreak/>
        <w:t>4.</w:t>
      </w:r>
      <w:r w:rsidRPr="00CF4F7E">
        <w:tab/>
      </w:r>
      <w:r w:rsidR="00B62AD7" w:rsidRPr="00B62AD7">
        <w:t>four years of experience, having completed 200 jobs in ship fumigation within the last six years as a technician under the supervision of a structural pest control operator in another state in ship fumigation. Experience with an out-of-state structural pest control operator shall be substantiated by evidence acceptable to the commission or commission staff.</w:t>
      </w:r>
    </w:p>
    <w:p w14:paraId="5B4322DA" w14:textId="77777777" w:rsidR="007911A6" w:rsidRPr="001531CD" w:rsidRDefault="007911A6" w:rsidP="007911A6">
      <w:pPr>
        <w:pStyle w:val="A"/>
      </w:pPr>
      <w:r w:rsidRPr="001531CD">
        <w:t>D.</w:t>
      </w:r>
      <w:r w:rsidRPr="001531CD">
        <w:tab/>
        <w:t>Each applicant for licensure shall also demonstrate the following competencies:</w:t>
      </w:r>
    </w:p>
    <w:p w14:paraId="399CDC1D" w14:textId="77777777" w:rsidR="007911A6" w:rsidRPr="001531CD" w:rsidRDefault="007911A6" w:rsidP="007911A6">
      <w:pPr>
        <w:pStyle w:val="1"/>
      </w:pPr>
      <w:r w:rsidRPr="001531CD">
        <w:t>1.</w:t>
      </w:r>
      <w:r w:rsidRPr="001531CD">
        <w:tab/>
        <w:t>knowledge of the practical and scientific facts underlying the practice of structural pest control, control of wood</w:t>
      </w:r>
      <w:r w:rsidRPr="001531CD">
        <w:noBreakHyphen/>
        <w:t>destroying insects and/or fumigation; and</w:t>
      </w:r>
    </w:p>
    <w:p w14:paraId="51B512FC" w14:textId="77777777" w:rsidR="007911A6" w:rsidRPr="001531CD" w:rsidRDefault="007911A6" w:rsidP="007911A6">
      <w:pPr>
        <w:pStyle w:val="1"/>
      </w:pPr>
      <w:r w:rsidRPr="001531CD">
        <w:t>2.</w:t>
      </w:r>
      <w:r w:rsidRPr="001531CD">
        <w:tab/>
        <w:t>knowledge and ability to recognize and control hazardous conditions which might affect human life or health.</w:t>
      </w:r>
    </w:p>
    <w:p w14:paraId="2AA62E35" w14:textId="77777777" w:rsidR="007911A6" w:rsidRPr="001531CD" w:rsidRDefault="007911A6" w:rsidP="007911A6">
      <w:pPr>
        <w:pStyle w:val="A"/>
      </w:pPr>
      <w:r w:rsidRPr="001531CD">
        <w:t>E.</w:t>
      </w:r>
      <w:r w:rsidRPr="001531CD">
        <w:tab/>
        <w:t>Each applicant shall successfully complete the appropriate examination for certification prior to issuance of the structural pest control license.</w:t>
      </w:r>
    </w:p>
    <w:p w14:paraId="444766DE" w14:textId="77777777" w:rsidR="007911A6" w:rsidRPr="001531CD" w:rsidRDefault="007911A6" w:rsidP="007911A6">
      <w:pPr>
        <w:pStyle w:val="A"/>
      </w:pPr>
      <w:r w:rsidRPr="001531CD">
        <w:t>F.</w:t>
      </w:r>
      <w:r w:rsidRPr="001531CD">
        <w:tab/>
        <w:t>In addition to the qualifications required by §107.B-C, each applicant for licensure shall:</w:t>
      </w:r>
    </w:p>
    <w:p w14:paraId="024234A9" w14:textId="77777777" w:rsidR="007911A6" w:rsidRPr="001531CD" w:rsidRDefault="007911A6" w:rsidP="007911A6">
      <w:pPr>
        <w:pStyle w:val="1"/>
      </w:pPr>
      <w:r w:rsidRPr="001531CD">
        <w:t>1.</w:t>
      </w:r>
      <w:r w:rsidRPr="001531CD">
        <w:tab/>
        <w:t>submit a complete application for examination as required by §109 hereof;</w:t>
      </w:r>
    </w:p>
    <w:p w14:paraId="40EADAFC" w14:textId="77777777" w:rsidR="007911A6" w:rsidRPr="001531CD" w:rsidRDefault="007911A6" w:rsidP="007911A6">
      <w:pPr>
        <w:pStyle w:val="1"/>
      </w:pPr>
      <w:r w:rsidRPr="001531CD">
        <w:t>2.</w:t>
      </w:r>
      <w:r w:rsidRPr="001531CD">
        <w:tab/>
      </w:r>
      <w:r w:rsidR="00B62AD7" w:rsidRPr="00B62AD7">
        <w:t>be approved by the commission or commission staff to take the examination for licensure;</w:t>
      </w:r>
    </w:p>
    <w:p w14:paraId="0CDFDA1B" w14:textId="77777777" w:rsidR="007911A6" w:rsidRPr="001531CD" w:rsidRDefault="007911A6" w:rsidP="007911A6">
      <w:pPr>
        <w:pStyle w:val="1"/>
      </w:pPr>
      <w:r w:rsidRPr="001531CD">
        <w:t>3.</w:t>
      </w:r>
      <w:r w:rsidRPr="001531CD">
        <w:tab/>
      </w:r>
      <w:r w:rsidR="00750B71" w:rsidRPr="00395D03">
        <w:t>have successfully completed an examination for licensure no more than two years prior to the date of issuance of the license.</w:t>
      </w:r>
    </w:p>
    <w:p w14:paraId="02BEFF26" w14:textId="77777777" w:rsidR="00B62AD7" w:rsidRPr="00066C92" w:rsidRDefault="00E41C68" w:rsidP="00B62AD7">
      <w:pPr>
        <w:pStyle w:val="A"/>
      </w:pPr>
      <w:r w:rsidRPr="00CF4F7E">
        <w:t>G.</w:t>
      </w:r>
      <w:r w:rsidRPr="00CF4F7E">
        <w:tab/>
      </w:r>
      <w:r w:rsidR="00B62AD7" w:rsidRPr="00066C92">
        <w:t>Out-of-state applicants for licensure shall meet the educational requirements shown in Paragraph B.1 of this Section or produce evidence satisfactory to the commission or commission staff of four years of experience within the last six years, under the supervision of a recognized and reputable pest control operator. Experience in pest control work in another state will be verified with the appropriate regulatory agency of the other state before out-of-state applicant will be allowed to take the examination for licensure in Louisiana.</w:t>
      </w:r>
    </w:p>
    <w:p w14:paraId="744F1743" w14:textId="77777777" w:rsidR="00B62AD7" w:rsidRPr="00066C92" w:rsidRDefault="00B62AD7" w:rsidP="00B62AD7">
      <w:pPr>
        <w:pStyle w:val="A"/>
      </w:pPr>
      <w:r w:rsidRPr="00066C92">
        <w:t>H.</w:t>
      </w:r>
      <w:r w:rsidRPr="00066C92">
        <w:tab/>
        <w:t>Commission staff shall review each application for licensure. Commission staff may verify the contents of any application prior to taking final action to approve/disapprove the applicant to take the examination. Commission staff may disapprove an applicant, or defer action on the application to take the examination, in any instance with the contents of the application cannot be verified. Commission staff may defer an application for licensure to the commission for further review.</w:t>
      </w:r>
    </w:p>
    <w:p w14:paraId="193C69F8" w14:textId="77777777" w:rsidR="00B62AD7" w:rsidRPr="00066C92" w:rsidRDefault="00B62AD7" w:rsidP="00B62AD7">
      <w:pPr>
        <w:pStyle w:val="A"/>
      </w:pPr>
      <w:r w:rsidRPr="00066C92">
        <w:t>I.</w:t>
      </w:r>
      <w:r w:rsidRPr="00066C92">
        <w:tab/>
        <w:t xml:space="preserve">If commission staff defers review of the application for licensure to the commission, the commission shall consider each application for examination for licensure in open session. The commission may verify the contents of any application prior to taking final action to approve/disapprove the applicant to take the examination. The commission may disapprove an applicant, or defer action on the application to take the examination, in any instance when the contents of the application cannot be verified. Action to grant/deny approval for the applicant to take the examination shall be taken only upon the affirmative vote of three members of the </w:t>
      </w:r>
      <w:r w:rsidRPr="00066C92">
        <w:t>commission. No license shall be issued until the commission has approved the application.</w:t>
      </w:r>
    </w:p>
    <w:p w14:paraId="3DBA069E" w14:textId="77777777" w:rsidR="00B62AD7" w:rsidRPr="00066C92" w:rsidRDefault="00B62AD7" w:rsidP="00B62AD7">
      <w:pPr>
        <w:pStyle w:val="A"/>
      </w:pPr>
      <w:r w:rsidRPr="00066C92">
        <w:t>J.</w:t>
      </w:r>
      <w:r w:rsidRPr="00066C92">
        <w:tab/>
        <w:t>All applicants who are approved by the commission or commission staff will, upon successfully completing the examination for licensure as set forth in §109</w:t>
      </w:r>
      <w:r>
        <w:t xml:space="preserve"> of this Chapter </w:t>
      </w:r>
      <w:r w:rsidRPr="00066C92">
        <w:t xml:space="preserve">hereof, receive a single license to engage in structural pest control work, which license shall specify on the face thereof the specific phase or phases of structural pest control work for which the license is issued, as follows: </w:t>
      </w:r>
    </w:p>
    <w:p w14:paraId="249CA5BB" w14:textId="77777777" w:rsidR="00B62AD7" w:rsidRPr="00066C92" w:rsidRDefault="00B62AD7" w:rsidP="00B62AD7">
      <w:pPr>
        <w:pStyle w:val="1"/>
      </w:pPr>
      <w:r w:rsidRPr="00066C92">
        <w:t>1.</w:t>
      </w:r>
      <w:r w:rsidRPr="00066C92">
        <w:tab/>
        <w:t xml:space="preserve">general pest control; </w:t>
      </w:r>
    </w:p>
    <w:p w14:paraId="288EB19B" w14:textId="77777777" w:rsidR="00B62AD7" w:rsidRPr="00066C92" w:rsidRDefault="00B62AD7" w:rsidP="00B62AD7">
      <w:pPr>
        <w:pStyle w:val="1"/>
      </w:pPr>
      <w:r w:rsidRPr="00066C92">
        <w:t>2.</w:t>
      </w:r>
      <w:r w:rsidRPr="00066C92">
        <w:tab/>
        <w:t xml:space="preserve">commercial vertebrate control; </w:t>
      </w:r>
    </w:p>
    <w:p w14:paraId="05404368" w14:textId="77777777" w:rsidR="00B62AD7" w:rsidRPr="00066C92" w:rsidRDefault="00B62AD7" w:rsidP="00B62AD7">
      <w:pPr>
        <w:pStyle w:val="1"/>
      </w:pPr>
      <w:r w:rsidRPr="00066C92">
        <w:t>3.</w:t>
      </w:r>
      <w:r w:rsidRPr="00066C92">
        <w:tab/>
        <w:t xml:space="preserve">termite control; </w:t>
      </w:r>
    </w:p>
    <w:p w14:paraId="0D6693D3" w14:textId="77777777" w:rsidR="00B62AD7" w:rsidRPr="00066C92" w:rsidRDefault="00B62AD7" w:rsidP="00B62AD7">
      <w:pPr>
        <w:pStyle w:val="1"/>
      </w:pPr>
      <w:r w:rsidRPr="00066C92">
        <w:t>4.</w:t>
      </w:r>
      <w:r w:rsidRPr="00066C92">
        <w:tab/>
        <w:t xml:space="preserve">structural fumigation; </w:t>
      </w:r>
    </w:p>
    <w:p w14:paraId="3341AB1E" w14:textId="77777777" w:rsidR="00B62AD7" w:rsidRPr="00066C92" w:rsidRDefault="00B62AD7" w:rsidP="00B62AD7">
      <w:pPr>
        <w:pStyle w:val="1"/>
      </w:pPr>
      <w:r w:rsidRPr="00066C92">
        <w:t>5.</w:t>
      </w:r>
      <w:r w:rsidRPr="00066C92">
        <w:tab/>
        <w:t xml:space="preserve">ship fumigation; </w:t>
      </w:r>
    </w:p>
    <w:p w14:paraId="794E70D7" w14:textId="77777777" w:rsidR="00B62AD7" w:rsidRPr="00066C92" w:rsidRDefault="00B62AD7" w:rsidP="00B62AD7">
      <w:pPr>
        <w:pStyle w:val="1"/>
      </w:pPr>
      <w:r w:rsidRPr="00066C92">
        <w:t>6.</w:t>
      </w:r>
      <w:r w:rsidRPr="00066C92">
        <w:tab/>
        <w:t>commodity fumigation.</w:t>
      </w:r>
    </w:p>
    <w:p w14:paraId="514BEB3B" w14:textId="77777777" w:rsidR="00B62AD7" w:rsidRPr="00066C92" w:rsidRDefault="00B62AD7" w:rsidP="00B62AD7">
      <w:pPr>
        <w:pStyle w:val="A"/>
      </w:pPr>
      <w:r w:rsidRPr="00066C92">
        <w:t>K.</w:t>
      </w:r>
      <w:r w:rsidRPr="00066C92">
        <w:tab/>
        <w:t xml:space="preserve">A license to engage in structural pest control work is permanent unless suspended or revoked by the commission as provided in §131 of this Chapter. </w:t>
      </w:r>
    </w:p>
    <w:p w14:paraId="688C0B7A" w14:textId="77777777" w:rsidR="00B62AD7" w:rsidRPr="00066C92" w:rsidRDefault="00B62AD7" w:rsidP="00B62AD7">
      <w:pPr>
        <w:pStyle w:val="A"/>
      </w:pPr>
      <w:r w:rsidRPr="00066C92">
        <w:t>L.</w:t>
      </w:r>
      <w:r w:rsidRPr="00066C92">
        <w:tab/>
        <w:t>A licensee shall perform or supervise structural pest control work only in the phase or phases of the license for which he is licensed by the commission.</w:t>
      </w:r>
    </w:p>
    <w:p w14:paraId="5FA12760" w14:textId="77777777" w:rsidR="00B62AD7" w:rsidRPr="00066C92" w:rsidRDefault="00B62AD7" w:rsidP="00B62AD7">
      <w:pPr>
        <w:pStyle w:val="A"/>
      </w:pPr>
      <w:r w:rsidRPr="00066C92">
        <w:t>M.</w:t>
      </w:r>
      <w:r w:rsidRPr="00066C92">
        <w:tab/>
        <w:t xml:space="preserve">Each license is personal to the holder and shall not be transferred to another for any purpose or for any period of time and may not be utilized in any way by any person other than the licensee whose name appears on the face of the license. </w:t>
      </w:r>
    </w:p>
    <w:p w14:paraId="447088D5" w14:textId="77777777" w:rsidR="00B62AD7" w:rsidRPr="00066C92" w:rsidRDefault="00B62AD7" w:rsidP="00B62AD7">
      <w:pPr>
        <w:pStyle w:val="A"/>
      </w:pPr>
      <w:r w:rsidRPr="00066C92">
        <w:t>N.</w:t>
      </w:r>
      <w:r w:rsidRPr="00066C92">
        <w:rPr>
          <w:color w:val="FF0000"/>
        </w:rPr>
        <w:tab/>
      </w:r>
      <w:r w:rsidRPr="00066C92">
        <w:t xml:space="preserve">All licenses shall be displayed at the place of business at all times. </w:t>
      </w:r>
    </w:p>
    <w:p w14:paraId="2C3E2FFE" w14:textId="77777777" w:rsidR="00B62AD7" w:rsidRPr="00066C92" w:rsidRDefault="00B62AD7" w:rsidP="00B62AD7">
      <w:pPr>
        <w:pStyle w:val="A"/>
      </w:pPr>
      <w:r w:rsidRPr="00066C92">
        <w:t>O.</w:t>
      </w:r>
      <w:r w:rsidRPr="00066C92">
        <w:tab/>
        <w:t xml:space="preserve">The commission may deny a license to any person proven to have committed any of the violations set forth in §127 of this Chapter hereof. </w:t>
      </w:r>
    </w:p>
    <w:p w14:paraId="68C3EA3A" w14:textId="77777777" w:rsidR="00B62AD7" w:rsidRPr="00066C92" w:rsidRDefault="00B62AD7" w:rsidP="00B62AD7">
      <w:pPr>
        <w:pStyle w:val="A"/>
      </w:pPr>
      <w:r w:rsidRPr="00066C92">
        <w:t>P.</w:t>
      </w:r>
      <w:r w:rsidRPr="00066C92">
        <w:tab/>
        <w:t xml:space="preserve">A licensee approved in one phase of pest control work may be licensed in additional phases by successfully completing the examination for the additional phase. However, the license for additional phase or phases of structural pest control work shall not be issued until the commission or commission staff approves the licensee to take the examination for the additional phase or phases. </w:t>
      </w:r>
    </w:p>
    <w:p w14:paraId="3EFDB3CC" w14:textId="77777777" w:rsidR="00B62AD7" w:rsidRPr="00066C92" w:rsidRDefault="00B62AD7" w:rsidP="00B62AD7">
      <w:pPr>
        <w:pStyle w:val="A"/>
      </w:pPr>
      <w:r w:rsidRPr="00066C92">
        <w:t>Q.</w:t>
      </w:r>
      <w:r w:rsidRPr="00066C92">
        <w:tab/>
        <w:t xml:space="preserve">Any permittee\licensee utilizing telephone answering services and/or call centers other than at locations holding a place of business permit shall submit written notification to the department. </w:t>
      </w:r>
    </w:p>
    <w:p w14:paraId="25E77533" w14:textId="77777777" w:rsidR="00B62AD7" w:rsidRPr="00066C92" w:rsidRDefault="00B62AD7" w:rsidP="00B62AD7">
      <w:pPr>
        <w:pStyle w:val="A"/>
      </w:pPr>
      <w:r w:rsidRPr="00066C92">
        <w:t>R.</w:t>
      </w:r>
      <w:r w:rsidRPr="00066C92">
        <w:rPr>
          <w:color w:val="FF0000"/>
        </w:rPr>
        <w:tab/>
      </w:r>
      <w:r w:rsidRPr="00066C92">
        <w:t xml:space="preserve">A licensee shall only have one license with all phases for which he possesses issued at one place of business. </w:t>
      </w:r>
    </w:p>
    <w:p w14:paraId="3B87E212" w14:textId="77777777" w:rsidR="00CF626A" w:rsidRPr="001531CD" w:rsidRDefault="00B62AD7" w:rsidP="00B62AD7">
      <w:pPr>
        <w:pStyle w:val="A"/>
      </w:pPr>
      <w:r w:rsidRPr="00066C92">
        <w:t>S.</w:t>
      </w:r>
      <w:r w:rsidRPr="00066C92">
        <w:tab/>
        <w:t>When a license phase has not been recertified, the licensee shall comply with all requirements for initial licensing contained in §107 and §109 of this Chapter or in a written request to the department to retest.</w:t>
      </w:r>
    </w:p>
    <w:p w14:paraId="66F89D62" w14:textId="77777777" w:rsidR="00E753BF" w:rsidRPr="001531CD" w:rsidRDefault="00E753BF" w:rsidP="00E753BF">
      <w:pPr>
        <w:pStyle w:val="AuthorityNote"/>
      </w:pPr>
      <w:r w:rsidRPr="001531CD">
        <w:t>AUTHORITY NOTE:</w:t>
      </w:r>
      <w:r w:rsidRPr="001531CD">
        <w:tab/>
        <w:t>Promulgated in accordance with R.S. 3:3366 and 3:3368.</w:t>
      </w:r>
    </w:p>
    <w:p w14:paraId="6ABAB86D" w14:textId="77777777" w:rsidR="00E41C68" w:rsidRDefault="00CF626A" w:rsidP="00E41C68">
      <w:pPr>
        <w:pStyle w:val="HistoricalNote"/>
      </w:pPr>
      <w:r w:rsidRPr="001531CD">
        <w:lastRenderedPageBreak/>
        <w:t>HISTORICAL NOTE:</w:t>
      </w:r>
      <w:r w:rsidRPr="001531CD">
        <w:tab/>
        <w:t>Promulgated by the Department of Agriculture, Structural Pest Control Commission, LR 11:326 (April 1985), amended by the Department of Agriculture and Forestry, Structural Pest Control Commission, LR 15:955 (November 1989), LR 19:1009 (August 1993), LR 23:855 (July 1997), LR 23:1493 (November 1997</w:t>
      </w:r>
      <w:r w:rsidR="009A1C14" w:rsidRPr="001531CD">
        <w:t xml:space="preserve">), </w:t>
      </w:r>
      <w:r w:rsidR="00C731B7" w:rsidRPr="001531CD">
        <w:t xml:space="preserve">amended by the Department of Agriculture and Forestry, Office of Agricultural and Environmental Sciences, Structural Pest Control Commission, LR 31:2761 (November 2005), amended by the Department of Agriculture and Forestry, Structural Pest Control Commission, </w:t>
      </w:r>
      <w:r w:rsidR="009A1C14" w:rsidRPr="001531CD">
        <w:t>LR 32:796 (May 2006</w:t>
      </w:r>
      <w:r w:rsidR="002B6181" w:rsidRPr="001531CD">
        <w:t xml:space="preserve">), </w:t>
      </w:r>
      <w:r w:rsidR="002B6181" w:rsidRPr="001531CD">
        <w:rPr>
          <w:szCs w:val="18"/>
        </w:rPr>
        <w:t>repromulgated</w:t>
      </w:r>
      <w:r w:rsidR="002B6181" w:rsidRPr="001531CD">
        <w:t xml:space="preserve"> LR 32:1016 (June 2006)</w:t>
      </w:r>
      <w:r w:rsidR="007911A6" w:rsidRPr="001531CD">
        <w:t>, amended LR 37:276 (January 2011)</w:t>
      </w:r>
      <w:r w:rsidR="00F4600B">
        <w:t xml:space="preserve">, </w:t>
      </w:r>
      <w:r w:rsidR="00F4600B" w:rsidRPr="009D41F2">
        <w:t xml:space="preserve">amended by the Department of Agriculture and Forestry, Office of Agricultural and Environmental Sciences, Structural Pest Control Commission, </w:t>
      </w:r>
      <w:r w:rsidR="00E41C68">
        <w:t>LR 42:213 (February 2016), LR 44:1235 (July 2018</w:t>
      </w:r>
      <w:r w:rsidR="00750B71" w:rsidRPr="00395D03">
        <w:t>), LR 48:</w:t>
      </w:r>
      <w:r w:rsidR="00750B71">
        <w:t>2728</w:t>
      </w:r>
      <w:r w:rsidR="00750B71" w:rsidRPr="00395D03">
        <w:t xml:space="preserve"> (November 2022</w:t>
      </w:r>
      <w:r w:rsidR="00F30F7C" w:rsidRPr="00F30F7C">
        <w:t>), LR 49:2075 (December 2023</w:t>
      </w:r>
      <w:r w:rsidR="00B62AD7">
        <w:t>), repromulgated LR 50:774 (June 2024).</w:t>
      </w:r>
    </w:p>
    <w:p w14:paraId="18422928" w14:textId="77777777" w:rsidR="00CF626A" w:rsidRPr="001531CD" w:rsidRDefault="00CF626A">
      <w:pPr>
        <w:pStyle w:val="Section"/>
      </w:pPr>
      <w:bookmarkStart w:id="2546" w:name="_Toc256754910"/>
      <w:bookmarkStart w:id="2547" w:name="_Toc224819283"/>
      <w:r w:rsidRPr="001531CD">
        <w:t>§109.</w:t>
      </w:r>
      <w:r w:rsidRPr="001531CD">
        <w:tab/>
        <w:t>Application for Examination; Contents of Application</w:t>
      </w:r>
      <w:bookmarkEnd w:id="2546"/>
      <w:bookmarkEnd w:id="2547"/>
    </w:p>
    <w:p w14:paraId="3D31AB2A" w14:textId="77777777" w:rsidR="00013FB1" w:rsidRPr="001531CD" w:rsidRDefault="00013FB1" w:rsidP="00013FB1">
      <w:pPr>
        <w:pStyle w:val="A"/>
      </w:pPr>
      <w:r w:rsidRPr="001531CD">
        <w:t>A.</w:t>
      </w:r>
      <w:r w:rsidRPr="001531CD">
        <w:tab/>
        <w:t>An application for examination for licensure may be made at any time by filing a complete application, on forms provided by the commission.</w:t>
      </w:r>
    </w:p>
    <w:p w14:paraId="3580369C" w14:textId="77777777" w:rsidR="00B62AD7" w:rsidRPr="00B62AD7" w:rsidRDefault="00013FB1" w:rsidP="00B62AD7">
      <w:pPr>
        <w:pStyle w:val="A"/>
      </w:pPr>
      <w:r w:rsidRPr="001531CD">
        <w:t>B.</w:t>
      </w:r>
      <w:r w:rsidRPr="001531CD">
        <w:tab/>
      </w:r>
      <w:r w:rsidR="00B62AD7" w:rsidRPr="00B62AD7">
        <w:t xml:space="preserve">A complete application for examination shall be filed in the commission office. </w:t>
      </w:r>
    </w:p>
    <w:p w14:paraId="12BBDC09" w14:textId="77777777" w:rsidR="00013FB1" w:rsidRPr="001531CD" w:rsidRDefault="00B62AD7" w:rsidP="00B62AD7">
      <w:pPr>
        <w:pStyle w:val="A"/>
      </w:pPr>
      <w:r w:rsidRPr="00B62AD7">
        <w:t>C.</w:t>
      </w:r>
      <w:r w:rsidRPr="00B62AD7">
        <w:tab/>
        <w:t>Each applicant for examination shall pay a nonrefundable fee of $50 per examination upon the approval of the applicant's application for examination.</w:t>
      </w:r>
    </w:p>
    <w:p w14:paraId="4BF5052F" w14:textId="77777777" w:rsidR="00013FB1" w:rsidRPr="001531CD" w:rsidRDefault="00013FB1" w:rsidP="00013FB1">
      <w:pPr>
        <w:pStyle w:val="A"/>
      </w:pPr>
      <w:r w:rsidRPr="001531CD">
        <w:t>D.</w:t>
      </w:r>
      <w:r w:rsidRPr="001531CD">
        <w:tab/>
        <w:t>Each application for examination shall contain the following information:</w:t>
      </w:r>
    </w:p>
    <w:p w14:paraId="11D4B398" w14:textId="77777777" w:rsidR="00013FB1" w:rsidRPr="001531CD" w:rsidRDefault="00013FB1" w:rsidP="00013FB1">
      <w:pPr>
        <w:pStyle w:val="1"/>
      </w:pPr>
      <w:r w:rsidRPr="001531CD">
        <w:t>1.</w:t>
      </w:r>
      <w:r w:rsidRPr="001531CD">
        <w:tab/>
        <w:t>business name, address and phone number of the business domicile of the applicant;</w:t>
      </w:r>
    </w:p>
    <w:p w14:paraId="27FA87B1" w14:textId="77777777" w:rsidR="00013FB1" w:rsidRPr="001531CD" w:rsidRDefault="00013FB1" w:rsidP="00013FB1">
      <w:pPr>
        <w:pStyle w:val="1"/>
      </w:pPr>
      <w:r w:rsidRPr="001531CD">
        <w:t>2.</w:t>
      </w:r>
      <w:r w:rsidRPr="001531CD">
        <w:tab/>
        <w:t>name and residence address of the applicant;</w:t>
      </w:r>
    </w:p>
    <w:p w14:paraId="513450FD" w14:textId="77777777" w:rsidR="00013FB1" w:rsidRPr="001531CD" w:rsidRDefault="00013FB1" w:rsidP="00013FB1">
      <w:pPr>
        <w:pStyle w:val="1"/>
      </w:pPr>
      <w:r w:rsidRPr="001531CD">
        <w:t>3.</w:t>
      </w:r>
      <w:r w:rsidRPr="001531CD">
        <w:tab/>
        <w:t>educational qualifications. For applicants seeking licensure on the basis of educational qualifications, a certified copy of the applicant's college or university transcript shall be provided;</w:t>
      </w:r>
    </w:p>
    <w:p w14:paraId="5F13E2E2" w14:textId="77777777" w:rsidR="00013FB1" w:rsidRPr="001531CD" w:rsidRDefault="00013FB1" w:rsidP="00013FB1">
      <w:pPr>
        <w:pStyle w:val="1"/>
      </w:pPr>
      <w:r w:rsidRPr="001531CD">
        <w:t>4.</w:t>
      </w:r>
      <w:r w:rsidRPr="001531CD">
        <w:tab/>
        <w:t>proof of practical experience in pest control work:</w:t>
      </w:r>
    </w:p>
    <w:p w14:paraId="18F3E44D" w14:textId="77777777" w:rsidR="00013FB1" w:rsidRPr="001531CD" w:rsidRDefault="00013FB1" w:rsidP="00013FB1">
      <w:pPr>
        <w:pStyle w:val="a0"/>
      </w:pPr>
      <w:r w:rsidRPr="001531CD">
        <w:t>a.</w:t>
      </w:r>
      <w:r w:rsidRPr="001531CD">
        <w:tab/>
      </w:r>
      <w:r w:rsidR="00B62AD7" w:rsidRPr="00B62AD7">
        <w:t>upon request of the commission or commission staff, the applicant shall submit from the said supervising licensee, a written statement that the jobs have been participated in by the applicant under his supervision and that the applicant has demonstrated the requisite knowledge to perform and supervise such work;</w:t>
      </w:r>
    </w:p>
    <w:p w14:paraId="5F8A1C89" w14:textId="77777777" w:rsidR="00013FB1" w:rsidRPr="001531CD" w:rsidRDefault="00013FB1" w:rsidP="00013FB1">
      <w:pPr>
        <w:pStyle w:val="a0"/>
      </w:pPr>
      <w:r w:rsidRPr="001531CD">
        <w:t>b.</w:t>
      </w:r>
      <w:r w:rsidRPr="001531CD">
        <w:tab/>
        <w:t>experience in pest control work. Information to be provided includes, but is not limited to, business name and address where employed under supervision, name of the licensee providing supervision to the applicant and evidence of registration while in the claimed employment. Applicants seeking licensure on the basis of experience shall provide a notarized statement from the licensee who supervised the applicant, attesting to the period of supervised employment and the capacity in which the applicant was employed, said affidavit to be executed on a form to be provided by the department;</w:t>
      </w:r>
    </w:p>
    <w:p w14:paraId="5075A74F" w14:textId="77777777" w:rsidR="00013FB1" w:rsidRPr="001531CD" w:rsidRDefault="00013FB1" w:rsidP="00013FB1">
      <w:pPr>
        <w:pStyle w:val="a0"/>
      </w:pPr>
      <w:r w:rsidRPr="001531CD">
        <w:t>c.</w:t>
      </w:r>
      <w:r w:rsidRPr="001531CD">
        <w:tab/>
      </w:r>
      <w:r w:rsidR="00B62AD7" w:rsidRPr="00B62AD7">
        <w:t xml:space="preserve">if at the time of application, the licensee who provided supervision is deceased, his whereabouts are </w:t>
      </w:r>
      <w:r w:rsidR="00B62AD7" w:rsidRPr="00B62AD7">
        <w:t>unknown, or fails or refuses to supply the statement, affidavit, or both, required under Subparagraphs a. and b. above, then the commission or commission staff may waive the requirements for such statement, affidavit, or both upon:</w:t>
      </w:r>
    </w:p>
    <w:p w14:paraId="4CA05EFC" w14:textId="77777777" w:rsidR="00013FB1" w:rsidRPr="001531CD" w:rsidRDefault="00013FB1" w:rsidP="00013FB1">
      <w:pPr>
        <w:pStyle w:val="i0"/>
      </w:pPr>
      <w:r w:rsidRPr="001531CD">
        <w:tab/>
        <w:t>i.</w:t>
      </w:r>
      <w:r w:rsidRPr="001531CD">
        <w:tab/>
        <w:t>submission by the applicant of a notarized statement signed by the applicant that the licensee who provided supervision is deceased, his whereabouts are unknown, or fails or refuses to supply the statement, affidavit, or both, required under Subparagraphs a and b above, and</w:t>
      </w:r>
    </w:p>
    <w:p w14:paraId="3F68C8DB" w14:textId="77777777" w:rsidR="00B62AD7" w:rsidRPr="00B62AD7" w:rsidRDefault="00013FB1" w:rsidP="00B62AD7">
      <w:pPr>
        <w:pStyle w:val="i0"/>
      </w:pPr>
      <w:r w:rsidRPr="001531CD">
        <w:tab/>
        <w:t>ii.</w:t>
      </w:r>
      <w:r w:rsidRPr="001531CD">
        <w:tab/>
      </w:r>
      <w:r w:rsidR="00B62AD7" w:rsidRPr="00B62AD7">
        <w:t>verification by commission staff of the applicant's experience in pest control work.</w:t>
      </w:r>
    </w:p>
    <w:p w14:paraId="31EE5532" w14:textId="77777777" w:rsidR="00013FB1" w:rsidRPr="001531CD" w:rsidRDefault="00B62AD7" w:rsidP="00B62AD7">
      <w:pPr>
        <w:pStyle w:val="A"/>
      </w:pPr>
      <w:r w:rsidRPr="00B62AD7">
        <w:t>E.</w:t>
      </w:r>
      <w:r w:rsidRPr="00B62AD7">
        <w:tab/>
        <w:t>Any applicant who is not approved by the commission or commission staff to take the examination will be notified of the commission’s or commission staff’s decision. An applicant who has not been approved to take an examination will not be admitted to the examination.</w:t>
      </w:r>
    </w:p>
    <w:p w14:paraId="1F473EA0" w14:textId="77777777" w:rsidR="00013FB1" w:rsidRPr="001531CD" w:rsidRDefault="00013FB1" w:rsidP="00013FB1">
      <w:pPr>
        <w:pStyle w:val="A"/>
      </w:pPr>
      <w:r w:rsidRPr="001531CD">
        <w:t>F.</w:t>
      </w:r>
      <w:r w:rsidRPr="001531CD">
        <w:tab/>
        <w:t>Copies of applications for examinations may be provided to the commission members for informational purposes during the interim between commission meetings.</w:t>
      </w:r>
    </w:p>
    <w:p w14:paraId="0B3A4357" w14:textId="77777777" w:rsidR="00750B71" w:rsidRPr="00395D03" w:rsidRDefault="00013FB1" w:rsidP="00750B71">
      <w:pPr>
        <w:pStyle w:val="A"/>
      </w:pPr>
      <w:r w:rsidRPr="001531CD">
        <w:t>G.</w:t>
      </w:r>
      <w:r w:rsidRPr="001531CD">
        <w:tab/>
      </w:r>
      <w:r w:rsidR="00B62AD7" w:rsidRPr="00B62AD7">
        <w:t>Once the application has been approved by the commission or commission staff, examinations for a structural pest control license will be given upon request of the applicant at a department approved location, during business hours. Requests for exams shall be made at least seven days in advance and will be scheduled based on availability.</w:t>
      </w:r>
    </w:p>
    <w:p w14:paraId="55361175" w14:textId="77777777" w:rsidR="00013FB1" w:rsidRPr="001531CD" w:rsidRDefault="00750B71" w:rsidP="00750B71">
      <w:pPr>
        <w:pStyle w:val="A"/>
      </w:pPr>
      <w:r w:rsidRPr="00395D03">
        <w:t>H.</w:t>
      </w:r>
      <w:r w:rsidRPr="00395D03">
        <w:tab/>
        <w:t>The examination may be supplemented by oral examination and/or visual identification of specific pests and insects.</w:t>
      </w:r>
    </w:p>
    <w:p w14:paraId="16489FD4" w14:textId="77777777" w:rsidR="00013FB1" w:rsidRPr="001531CD" w:rsidRDefault="00013FB1" w:rsidP="00013FB1">
      <w:pPr>
        <w:pStyle w:val="A"/>
      </w:pPr>
      <w:r w:rsidRPr="001531CD">
        <w:t>I.</w:t>
      </w:r>
      <w:r w:rsidRPr="001531CD">
        <w:tab/>
        <w:t>The minimum score required for successful completion of the examination is 70 percent.</w:t>
      </w:r>
    </w:p>
    <w:p w14:paraId="7B285830" w14:textId="77777777" w:rsidR="00013FB1" w:rsidRPr="001531CD" w:rsidRDefault="00013FB1" w:rsidP="00013FB1">
      <w:pPr>
        <w:pStyle w:val="A"/>
      </w:pPr>
      <w:r w:rsidRPr="001531CD">
        <w:t>J.</w:t>
      </w:r>
      <w:r w:rsidRPr="001531CD">
        <w:tab/>
        <w:t>An applicant shall be disqualified from completing an examination or taking any other examination administered under these rules and regulations if the applicant is caught or found to be cheating on an examination or using any written materials, electronic devices, or other means during an examination, which have not been authorized or allowed by the director or person administering the examination.</w:t>
      </w:r>
    </w:p>
    <w:p w14:paraId="55CC10EA" w14:textId="77777777" w:rsidR="00013FB1" w:rsidRPr="001531CD" w:rsidRDefault="00013FB1" w:rsidP="00013FB1">
      <w:pPr>
        <w:pStyle w:val="1"/>
      </w:pPr>
      <w:r w:rsidRPr="001531CD">
        <w:t>1.</w:t>
      </w:r>
      <w:r w:rsidRPr="001531CD">
        <w:tab/>
        <w:t>Any such applicant shall not be allowed to finish the examination and shall receive a score of zero. If an applicant finished the examination prior to the discovery of the cheating or use of unauthorized written materials, electronic devices, or other means the applicant's examination shall be voided and the applicant shall receive a score of zero.</w:t>
      </w:r>
    </w:p>
    <w:p w14:paraId="10B1B501" w14:textId="77777777" w:rsidR="00013FB1" w:rsidRPr="001531CD" w:rsidRDefault="00013FB1" w:rsidP="00013FB1">
      <w:pPr>
        <w:pStyle w:val="1"/>
      </w:pPr>
      <w:r w:rsidRPr="001531CD">
        <w:t>2.</w:t>
      </w:r>
      <w:r w:rsidRPr="001531CD">
        <w:tab/>
        <w:t>Any applicant who is not allowed under this Subsection J to finish an examination, or whose examination is voided, or who is disqualified from taking the examination or any other examination administered under these rules and regulations may appeal the action to the commission.</w:t>
      </w:r>
    </w:p>
    <w:p w14:paraId="0C79B298" w14:textId="77777777" w:rsidR="00013FB1" w:rsidRPr="001531CD" w:rsidRDefault="00013FB1" w:rsidP="00013FB1">
      <w:pPr>
        <w:pStyle w:val="i0"/>
      </w:pPr>
      <w:r w:rsidRPr="001531CD">
        <w:tab/>
        <w:t>i.</w:t>
      </w:r>
      <w:r w:rsidRPr="001531CD">
        <w:tab/>
        <w:t>The appeal shall be in writing, state the grounds for the appeal, and filed with the director or secretary within 30 days of the date of the action complained of.</w:t>
      </w:r>
    </w:p>
    <w:p w14:paraId="33C532C8" w14:textId="77777777" w:rsidR="00013FB1" w:rsidRPr="001531CD" w:rsidRDefault="00013FB1" w:rsidP="00013FB1">
      <w:pPr>
        <w:pStyle w:val="i0"/>
      </w:pPr>
      <w:r w:rsidRPr="001531CD">
        <w:lastRenderedPageBreak/>
        <w:tab/>
        <w:t>ii.</w:t>
      </w:r>
      <w:r w:rsidRPr="001531CD">
        <w:tab/>
        <w:t>The appeal will be placed on the agenda for the next meeting of the commission and the applicant will be notified of the date and place of the next meeting.</w:t>
      </w:r>
    </w:p>
    <w:p w14:paraId="2F39FA06" w14:textId="77777777" w:rsidR="00013FB1" w:rsidRPr="001531CD" w:rsidRDefault="00013FB1" w:rsidP="00013FB1">
      <w:pPr>
        <w:pStyle w:val="i0"/>
      </w:pPr>
      <w:r w:rsidRPr="001531CD">
        <w:tab/>
        <w:t>iii.</w:t>
      </w:r>
      <w:r w:rsidRPr="001531CD">
        <w:tab/>
        <w:t>The appeal will be decided by the commission. The decision of the commission shall be the final administrative decision in the matter.</w:t>
      </w:r>
    </w:p>
    <w:p w14:paraId="5E398A13" w14:textId="77777777" w:rsidR="00013FB1" w:rsidRPr="001531CD" w:rsidRDefault="00013FB1" w:rsidP="00013FB1">
      <w:pPr>
        <w:pStyle w:val="i0"/>
      </w:pPr>
      <w:r w:rsidRPr="001531CD">
        <w:tab/>
        <w:t>iv.</w:t>
      </w:r>
      <w:r w:rsidRPr="001531CD">
        <w:tab/>
        <w:t>An appeal from the decision of the commission shall be in accordance with the Administrative Procedure Act.</w:t>
      </w:r>
    </w:p>
    <w:p w14:paraId="6072E932" w14:textId="77777777" w:rsidR="00013FB1" w:rsidRPr="001531CD" w:rsidRDefault="00013FB1" w:rsidP="00013FB1">
      <w:pPr>
        <w:pStyle w:val="i0"/>
      </w:pPr>
      <w:r w:rsidRPr="001531CD">
        <w:tab/>
        <w:t>v.</w:t>
      </w:r>
      <w:r w:rsidRPr="001531CD">
        <w:tab/>
        <w:t>The action or administrative decision shall become final if no appeal is timely filed at any step in the proceedings or if the action is upheld on appeal.</w:t>
      </w:r>
    </w:p>
    <w:p w14:paraId="33690B64" w14:textId="77777777" w:rsidR="00013FB1" w:rsidRPr="001531CD" w:rsidRDefault="00013FB1" w:rsidP="00013FB1">
      <w:pPr>
        <w:pStyle w:val="1"/>
      </w:pPr>
      <w:r w:rsidRPr="001531CD">
        <w:t>3.</w:t>
      </w:r>
      <w:r w:rsidRPr="001531CD">
        <w:tab/>
        <w:t>During the pendency of any appeal or during the time limit for the filing of any appeal the applicant shall not be allowed to take any examination administered under these rules and regulations.</w:t>
      </w:r>
    </w:p>
    <w:p w14:paraId="5FE6C834" w14:textId="77777777" w:rsidR="00013FB1" w:rsidRPr="001531CD" w:rsidRDefault="00013FB1" w:rsidP="00013FB1">
      <w:pPr>
        <w:pStyle w:val="1"/>
      </w:pPr>
      <w:r w:rsidRPr="001531CD">
        <w:t>4.</w:t>
      </w:r>
      <w:r w:rsidRPr="001531CD">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14:paraId="339B5AAB" w14:textId="77777777" w:rsidR="00013FB1" w:rsidRDefault="00013FB1" w:rsidP="00013FB1">
      <w:pPr>
        <w:pStyle w:val="A"/>
      </w:pPr>
      <w:r w:rsidRPr="001531CD">
        <w:t>K.</w:t>
      </w:r>
      <w:r w:rsidRPr="001531CD">
        <w:tab/>
        <w:t>Each applicant shall be sent written notification of his or her examination results within 30 days after completing of the examination.</w:t>
      </w:r>
    </w:p>
    <w:p w14:paraId="69F21B8C" w14:textId="77777777" w:rsidR="00454752" w:rsidRPr="001531CD" w:rsidRDefault="00454752" w:rsidP="00013FB1">
      <w:pPr>
        <w:pStyle w:val="A"/>
      </w:pPr>
      <w:r w:rsidRPr="00066C92">
        <w:t>L.</w:t>
      </w:r>
      <w:r w:rsidRPr="00066C92">
        <w:rPr>
          <w:bCs/>
        </w:rPr>
        <w:tab/>
      </w:r>
      <w:r w:rsidR="00B62AD7" w:rsidRPr="00B62AD7">
        <w:t>The approval of an application for examination is valid for six years. If the applicant does not take the license examination or fails to pass the license examination within six years from the date of application approval, the applicant must reapply according to requirements set forth in this Section and §107 of this Chapter.</w:t>
      </w:r>
    </w:p>
    <w:p w14:paraId="0817CA5D" w14:textId="77777777" w:rsidR="00013FB1" w:rsidRPr="001531CD" w:rsidRDefault="00013FB1" w:rsidP="00013FB1">
      <w:pPr>
        <w:pStyle w:val="AuthorityNote"/>
      </w:pPr>
      <w:r w:rsidRPr="001531CD">
        <w:t>AUTHORITY NOTE:</w:t>
      </w:r>
      <w:r w:rsidRPr="001531CD">
        <w:tab/>
        <w:t>Promulgated in accordance with R.S. 3:3366 and 3:3368.</w:t>
      </w:r>
    </w:p>
    <w:p w14:paraId="13BB18F8" w14:textId="77777777" w:rsidR="00CF626A" w:rsidRPr="001531CD" w:rsidRDefault="00CF626A">
      <w:pPr>
        <w:pStyle w:val="HistoricalNote"/>
      </w:pPr>
      <w:r w:rsidRPr="001531CD">
        <w:t>HISTORICAL NOTE:</w:t>
      </w:r>
      <w:r w:rsidRPr="001531CD">
        <w:tab/>
        <w:t>Promulgated by the Department of Agriculture, Structural Pest Control Commission, LR 11:326 (April 1985), amended by the Department of Agriculture and Forestry, Structural Pest Control Commission, LR 15:955 (November 198</w:t>
      </w:r>
      <w:r w:rsidR="00C635C0" w:rsidRPr="001531CD">
        <w:t>9), LR 35:206 (February 2009)</w:t>
      </w:r>
      <w:r w:rsidR="00646166" w:rsidRPr="001531CD">
        <w:t>, LR 37:278 (January 2011</w:t>
      </w:r>
      <w:r w:rsidR="00750B71" w:rsidRPr="00395D03">
        <w:t>), LR 48:</w:t>
      </w:r>
      <w:r w:rsidR="00750B71">
        <w:t>2728</w:t>
      </w:r>
      <w:r w:rsidR="00750B71" w:rsidRPr="00395D03">
        <w:t xml:space="preserve"> (November 2022</w:t>
      </w:r>
      <w:r w:rsidR="00454752" w:rsidRPr="00066C92">
        <w:t xml:space="preserve">), </w:t>
      </w:r>
      <w:r w:rsidR="00454752">
        <w:t>LR 49:2076 (December 2023</w:t>
      </w:r>
      <w:r w:rsidR="00B62AD7">
        <w:t>), repromulgated LR 50:776 (June 2024).</w:t>
      </w:r>
    </w:p>
    <w:p w14:paraId="0BB9AB01" w14:textId="77777777" w:rsidR="00CF626A" w:rsidRPr="001531CD" w:rsidRDefault="00CF626A">
      <w:pPr>
        <w:pStyle w:val="Section"/>
      </w:pPr>
      <w:bookmarkStart w:id="2548" w:name="_Toc256754912"/>
      <w:bookmarkStart w:id="2549" w:name="_Toc224819284"/>
      <w:r w:rsidRPr="001531CD">
        <w:t>§113.</w:t>
      </w:r>
      <w:r w:rsidRPr="001531CD">
        <w:tab/>
        <w:t>Registration of Employees; Duties of Licensee and Registered Employee with Respect to Registration</w:t>
      </w:r>
      <w:bookmarkEnd w:id="2548"/>
      <w:bookmarkEnd w:id="2549"/>
    </w:p>
    <w:p w14:paraId="6CE1EEB9" w14:textId="77777777" w:rsidR="00FA0247" w:rsidRPr="001531CD" w:rsidRDefault="00FA0247" w:rsidP="00FA0247">
      <w:pPr>
        <w:pStyle w:val="A"/>
      </w:pPr>
      <w:r w:rsidRPr="001531CD">
        <w:t>A.</w:t>
      </w:r>
      <w:r w:rsidRPr="001531CD">
        <w:tab/>
        <w:t>The permittee shall register, on a form to be provided by the commission, every employee under the supervision of a licensee with the commission within 30 days after the commencement of the employee's employment and shall test as required by R.S. 3:3369.H.</w:t>
      </w:r>
    </w:p>
    <w:p w14:paraId="3290133D" w14:textId="77777777" w:rsidR="00FA0247" w:rsidRPr="001531CD" w:rsidRDefault="00FA0247" w:rsidP="00FA0247">
      <w:pPr>
        <w:pStyle w:val="A"/>
      </w:pPr>
      <w:r w:rsidRPr="001531CD">
        <w:t>B.</w:t>
      </w:r>
      <w:r w:rsidRPr="001531CD">
        <w:tab/>
        <w:t>The registration application of each employee shall contain the following information:</w:t>
      </w:r>
    </w:p>
    <w:p w14:paraId="5C3ED184" w14:textId="77777777" w:rsidR="00FA0247" w:rsidRPr="001531CD" w:rsidRDefault="00FA0247" w:rsidP="00FA0247">
      <w:pPr>
        <w:pStyle w:val="1"/>
      </w:pPr>
      <w:r w:rsidRPr="001531CD">
        <w:t>1.</w:t>
      </w:r>
      <w:r w:rsidRPr="001531CD">
        <w:tab/>
        <w:t>name and address of the business location where the employee is domiciled;</w:t>
      </w:r>
    </w:p>
    <w:p w14:paraId="70F8A44B" w14:textId="77777777" w:rsidR="00FA0247" w:rsidRPr="001531CD" w:rsidRDefault="00FA0247" w:rsidP="00FA0247">
      <w:pPr>
        <w:pStyle w:val="1"/>
      </w:pPr>
      <w:r w:rsidRPr="001531CD">
        <w:t>2.</w:t>
      </w:r>
      <w:r w:rsidRPr="001531CD">
        <w:tab/>
        <w:t>name, address and phone number of the licensee providing supervision over the employee;</w:t>
      </w:r>
    </w:p>
    <w:p w14:paraId="0DC3CE4E" w14:textId="77777777" w:rsidR="00FA0247" w:rsidRPr="001531CD" w:rsidRDefault="00FA0247" w:rsidP="00FA0247">
      <w:pPr>
        <w:pStyle w:val="1"/>
      </w:pPr>
      <w:r w:rsidRPr="001531CD">
        <w:t>3.</w:t>
      </w:r>
      <w:r w:rsidRPr="001531CD">
        <w:tab/>
        <w:t>name and residence address of the employee to be registered;</w:t>
      </w:r>
    </w:p>
    <w:p w14:paraId="2BCE3FF5" w14:textId="77777777" w:rsidR="00FA0247" w:rsidRPr="001531CD" w:rsidRDefault="00FA0247" w:rsidP="00FA0247">
      <w:pPr>
        <w:pStyle w:val="1"/>
      </w:pPr>
      <w:r w:rsidRPr="001531CD">
        <w:t>4.</w:t>
      </w:r>
      <w:r w:rsidRPr="001531CD">
        <w:tab/>
        <w:t>phase(s) of pest control work in which the employee will work and be supervised;</w:t>
      </w:r>
    </w:p>
    <w:p w14:paraId="227867A2" w14:textId="77777777" w:rsidR="00FA0247" w:rsidRPr="001531CD" w:rsidRDefault="00FA0247" w:rsidP="00FA0247">
      <w:pPr>
        <w:pStyle w:val="1"/>
      </w:pPr>
      <w:r w:rsidRPr="001531CD">
        <w:t>5.</w:t>
      </w:r>
      <w:r w:rsidRPr="001531CD">
        <w:tab/>
        <w:t xml:space="preserve">date of employment of the employee; </w:t>
      </w:r>
    </w:p>
    <w:p w14:paraId="002C6C3A" w14:textId="77777777" w:rsidR="00FA0247" w:rsidRPr="001531CD" w:rsidRDefault="0034191B" w:rsidP="00FA0247">
      <w:pPr>
        <w:pStyle w:val="1"/>
      </w:pPr>
      <w:r w:rsidRPr="001531CD">
        <w:t>6.</w:t>
      </w:r>
      <w:r w:rsidRPr="001531CD">
        <w:tab/>
        <w:t>one photograph of the employee; and</w:t>
      </w:r>
    </w:p>
    <w:p w14:paraId="43408D4A" w14:textId="77777777" w:rsidR="00FA0247" w:rsidRPr="001531CD" w:rsidRDefault="00FA0247" w:rsidP="00FA0247">
      <w:pPr>
        <w:pStyle w:val="1"/>
      </w:pPr>
      <w:r w:rsidRPr="001531CD">
        <w:t>7.</w:t>
      </w:r>
      <w:r w:rsidRPr="001531CD">
        <w:tab/>
        <w:t>date of birth.</w:t>
      </w:r>
    </w:p>
    <w:p w14:paraId="1E792DC6" w14:textId="77777777" w:rsidR="00F00D4E" w:rsidRPr="009D41F2" w:rsidRDefault="00F00D4E" w:rsidP="00F00D4E">
      <w:pPr>
        <w:pStyle w:val="A"/>
      </w:pPr>
      <w:r w:rsidRPr="009D41F2">
        <w:t>C.</w:t>
      </w:r>
      <w:r w:rsidRPr="009D41F2">
        <w:tab/>
        <w:t>The fees for the registration of technician shall be as follows.</w:t>
      </w:r>
    </w:p>
    <w:p w14:paraId="29DDB748" w14:textId="77777777" w:rsidR="00FA0247" w:rsidRPr="001531CD" w:rsidRDefault="00F00D4E" w:rsidP="00F00D4E">
      <w:pPr>
        <w:pStyle w:val="1"/>
      </w:pPr>
      <w:r w:rsidRPr="009D41F2">
        <w:t>1.</w:t>
      </w:r>
      <w:r w:rsidRPr="009D41F2">
        <w:tab/>
        <w:t>The fee of the administrative processing of the registration certificate shall be $25. This fee shall be paid at the time of initial registration.</w:t>
      </w:r>
    </w:p>
    <w:p w14:paraId="39CD2165" w14:textId="77777777" w:rsidR="00FA0247" w:rsidRPr="001531CD" w:rsidRDefault="00FA0247" w:rsidP="00FA0247">
      <w:pPr>
        <w:pStyle w:val="1"/>
      </w:pPr>
      <w:r w:rsidRPr="001531CD">
        <w:t>2.</w:t>
      </w:r>
      <w:r w:rsidRPr="001531CD">
        <w:tab/>
        <w:t>The administrative processing of change of registration each time a registered technician is employed by a different pest control operator shall be $10.</w:t>
      </w:r>
    </w:p>
    <w:p w14:paraId="0D86EA2C" w14:textId="77777777" w:rsidR="00FA0247" w:rsidRPr="001531CD" w:rsidRDefault="00FA0247" w:rsidP="00FA0247">
      <w:pPr>
        <w:pStyle w:val="1"/>
      </w:pPr>
      <w:r w:rsidRPr="001531CD">
        <w:t>3.</w:t>
      </w:r>
      <w:r w:rsidRPr="001531CD">
        <w:tab/>
        <w:t>The fee for the examination for the technician registration shall be $25.</w:t>
      </w:r>
    </w:p>
    <w:p w14:paraId="0BD26298" w14:textId="77777777" w:rsidR="00FA0247" w:rsidRPr="001531CD" w:rsidRDefault="00FA0247" w:rsidP="00FA0247">
      <w:pPr>
        <w:pStyle w:val="A"/>
      </w:pPr>
      <w:r w:rsidRPr="001531CD">
        <w:t>D.</w:t>
      </w:r>
      <w:r w:rsidRPr="001531CD">
        <w:tab/>
        <w:t>An employee's registration certificate shall be issued within 20 working days after the department receives the completed registration form or the technician has successfully passed the examination, whichever is later.</w:t>
      </w:r>
    </w:p>
    <w:p w14:paraId="211D1512" w14:textId="77777777" w:rsidR="00FA0247" w:rsidRPr="001531CD" w:rsidRDefault="00FA0247" w:rsidP="00FA0247">
      <w:pPr>
        <w:pStyle w:val="A"/>
      </w:pPr>
      <w:r w:rsidRPr="001531CD">
        <w:t>E.</w:t>
      </w:r>
      <w:r w:rsidRPr="001531CD">
        <w:tab/>
        <w:t>The requirements for the examination are as follows.</w:t>
      </w:r>
    </w:p>
    <w:p w14:paraId="73BE21B0" w14:textId="77777777" w:rsidR="00FA0247" w:rsidRPr="001531CD" w:rsidRDefault="00FA0247" w:rsidP="00FA0247">
      <w:pPr>
        <w:pStyle w:val="1"/>
      </w:pPr>
      <w:r w:rsidRPr="001531CD">
        <w:t>1.</w:t>
      </w:r>
      <w:r w:rsidRPr="001531CD">
        <w:tab/>
        <w:t>Each employee requesting to take the examination will be notified by the department of the date, time, and location of the next available examination.</w:t>
      </w:r>
    </w:p>
    <w:p w14:paraId="601F4815" w14:textId="77777777" w:rsidR="00FA0247" w:rsidRPr="001531CD" w:rsidRDefault="00FA0247" w:rsidP="00FA0247">
      <w:pPr>
        <w:pStyle w:val="1"/>
      </w:pPr>
      <w:r w:rsidRPr="001531CD">
        <w:t>2.</w:t>
      </w:r>
      <w:r w:rsidRPr="001531CD">
        <w:tab/>
        <w:t>The minimum score required for successful completion of the examination is 70 percent.</w:t>
      </w:r>
    </w:p>
    <w:p w14:paraId="2B1D443E" w14:textId="77777777" w:rsidR="00FA0247" w:rsidRPr="001531CD" w:rsidRDefault="00FA0247" w:rsidP="00FA0247">
      <w:pPr>
        <w:pStyle w:val="1"/>
      </w:pPr>
      <w:r w:rsidRPr="001531CD">
        <w:t>3.</w:t>
      </w:r>
      <w:r w:rsidRPr="001531CD">
        <w:tab/>
        <w:t>The consequences and procedures that apply as a result of cheating on an examination or using any written materials, electronic devices, or other means during an examination, which have not been authorized or allowed by the director or person administering the examination are the same as are provided for in §109.J of this Chapter.</w:t>
      </w:r>
    </w:p>
    <w:p w14:paraId="1CCFC69B" w14:textId="77777777" w:rsidR="00FA0247" w:rsidRPr="001531CD" w:rsidRDefault="00FA0247" w:rsidP="00FA0247">
      <w:pPr>
        <w:pStyle w:val="1"/>
      </w:pPr>
      <w:r w:rsidRPr="001531CD">
        <w:t>4.</w:t>
      </w:r>
      <w:r w:rsidRPr="001531CD">
        <w:tab/>
        <w:t>Each employee who did not successfully pass the examination will be notified of the results in writing within twenty working days after the examination.</w:t>
      </w:r>
    </w:p>
    <w:p w14:paraId="6A02F81B" w14:textId="77777777" w:rsidR="00FA0247" w:rsidRPr="001531CD" w:rsidRDefault="00FA0247" w:rsidP="00FA0247">
      <w:pPr>
        <w:pStyle w:val="A"/>
      </w:pPr>
      <w:r w:rsidRPr="001531CD">
        <w:t>F.</w:t>
      </w:r>
      <w:r w:rsidRPr="001531CD">
        <w:tab/>
        <w:t>Each registration certificate is personal to the holder and shall not be transferred to another for any purpose or for any period of time and shall not be utilized in any way by any person other than the registered employee whose name appears on the certificate.</w:t>
      </w:r>
    </w:p>
    <w:p w14:paraId="0EF50ECF" w14:textId="77777777" w:rsidR="00FA0247" w:rsidRPr="001531CD" w:rsidRDefault="00FA0247" w:rsidP="00FA0247">
      <w:pPr>
        <w:pStyle w:val="A"/>
      </w:pPr>
      <w:r w:rsidRPr="001531CD">
        <w:t>G.</w:t>
      </w:r>
      <w:r w:rsidRPr="001531CD">
        <w:tab/>
        <w:t>A registration certificate is valid only while the registered employee remains under the supervision of a licensee at this place of business.</w:t>
      </w:r>
    </w:p>
    <w:p w14:paraId="6A45DD5C" w14:textId="77777777" w:rsidR="00FA0247" w:rsidRPr="001531CD" w:rsidRDefault="00FA0247" w:rsidP="00FA0247">
      <w:pPr>
        <w:pStyle w:val="A"/>
      </w:pPr>
      <w:r w:rsidRPr="001531CD">
        <w:t>H.</w:t>
      </w:r>
      <w:r w:rsidRPr="001531CD">
        <w:tab/>
        <w:t>The permittee\licensee shall require the registered employee to sign the registration certificate, in his presence, within five days after the permittee\licensee receives the registration certificate.</w:t>
      </w:r>
    </w:p>
    <w:p w14:paraId="1549FB2D" w14:textId="77777777" w:rsidR="00FA0247" w:rsidRPr="001531CD" w:rsidRDefault="00FA0247" w:rsidP="00FA0247">
      <w:pPr>
        <w:pStyle w:val="A"/>
      </w:pPr>
      <w:r w:rsidRPr="001531CD">
        <w:t>I.</w:t>
      </w:r>
      <w:r w:rsidRPr="001531CD">
        <w:tab/>
        <w:t xml:space="preserve">A registered employee shall have his registration certificate in his possession at all times while engaging in pest control work and shall display his registration certificate upon </w:t>
      </w:r>
      <w:r w:rsidRPr="001531CD">
        <w:lastRenderedPageBreak/>
        <w:t>reasonable request by any employee of the department and to any person for whom pest control work is being performed.</w:t>
      </w:r>
    </w:p>
    <w:p w14:paraId="52359E46" w14:textId="77777777" w:rsidR="00FA0247" w:rsidRPr="001531CD" w:rsidRDefault="00FA0247" w:rsidP="00FA0247">
      <w:pPr>
        <w:pStyle w:val="A"/>
      </w:pPr>
      <w:r w:rsidRPr="001531CD">
        <w:t>J.</w:t>
      </w:r>
      <w:r w:rsidRPr="001531CD">
        <w:tab/>
        <w:t>A registered employee shall perform pest control work only in the phase of pest control work for which he is registered.</w:t>
      </w:r>
    </w:p>
    <w:p w14:paraId="6E05D4B8" w14:textId="77777777" w:rsidR="00FA0247" w:rsidRPr="001531CD" w:rsidRDefault="00FA0247" w:rsidP="00FA0247">
      <w:pPr>
        <w:pStyle w:val="A"/>
      </w:pPr>
      <w:r w:rsidRPr="001531CD">
        <w:t>K.</w:t>
      </w:r>
      <w:r w:rsidRPr="001531CD">
        <w:tab/>
        <w:t>Upon termination of a registered employee, the licensee shall secure the employee's registration certificate, notify the department of the employee's termination and return the registration certificate to the department within five working days after the termination.</w:t>
      </w:r>
    </w:p>
    <w:p w14:paraId="70BE8942" w14:textId="77777777" w:rsidR="00FA0247" w:rsidRPr="001531CD" w:rsidRDefault="00FA0247" w:rsidP="00FA0247">
      <w:pPr>
        <w:pStyle w:val="A"/>
      </w:pPr>
      <w:r w:rsidRPr="001531CD">
        <w:t>L.</w:t>
      </w:r>
      <w:r w:rsidRPr="001531CD">
        <w:tab/>
        <w:t>If the licensee is unable to retrieve the registration certificate of a terminated employee, the licensee shall notify the department of the employee's termination within five working days after the termination and provide written reasons for the failure to retrieve the terminated employee's registration certificate.</w:t>
      </w:r>
    </w:p>
    <w:p w14:paraId="58A490E7" w14:textId="77777777" w:rsidR="00FA0247" w:rsidRPr="001531CD" w:rsidRDefault="00FA0247" w:rsidP="00FA0247">
      <w:pPr>
        <w:pStyle w:val="A"/>
      </w:pPr>
      <w:r w:rsidRPr="001531CD">
        <w:t>M.</w:t>
      </w:r>
      <w:r w:rsidRPr="001531CD">
        <w:tab/>
        <w:t>Each employee and/or registered technician shall remit to each employer all funds collected in connection with structural pest control work performed by the employee within 10 calendar days.</w:t>
      </w:r>
    </w:p>
    <w:p w14:paraId="3C57C55C" w14:textId="77777777" w:rsidR="00FA0247" w:rsidRPr="001531CD" w:rsidRDefault="00FA0247" w:rsidP="00FA0247">
      <w:pPr>
        <w:pStyle w:val="A"/>
      </w:pPr>
      <w:r w:rsidRPr="001531CD">
        <w:t>N.</w:t>
      </w:r>
      <w:r w:rsidRPr="001531CD">
        <w:tab/>
        <w:t>Each employer shall pay each employee and/or registered technician in accordance with the terms of the employment agreement between them.</w:t>
      </w:r>
    </w:p>
    <w:p w14:paraId="0E3B334A" w14:textId="77777777" w:rsidR="00894329" w:rsidRPr="00F95668" w:rsidRDefault="00FA0247" w:rsidP="00894329">
      <w:pPr>
        <w:pStyle w:val="A"/>
        <w:rPr>
          <w:strike/>
        </w:rPr>
      </w:pPr>
      <w:r w:rsidRPr="001531CD">
        <w:t>O.</w:t>
      </w:r>
      <w:r w:rsidRPr="001531CD">
        <w:tab/>
      </w:r>
      <w:r w:rsidR="00894329" w:rsidRPr="00F95668">
        <w:t xml:space="preserve">Each employer shall keep complete records at the place of business establishment of all structural pest control work performed as required in LAC 7:XXV.117.H. </w:t>
      </w:r>
    </w:p>
    <w:p w14:paraId="102B61B2" w14:textId="77777777" w:rsidR="00894329" w:rsidRPr="00F95668" w:rsidRDefault="00894329" w:rsidP="00894329">
      <w:pPr>
        <w:pStyle w:val="A"/>
      </w:pPr>
      <w:r w:rsidRPr="00F95668">
        <w:t>P.</w:t>
      </w:r>
      <w:r w:rsidRPr="00F95668">
        <w:tab/>
        <w:t>Each registered technician shall participate in a training as a condition of maintaining his or her status as a registered technician at least once annually (January 1 to December 31).</w:t>
      </w:r>
    </w:p>
    <w:p w14:paraId="6B4FABE6" w14:textId="77777777" w:rsidR="00FA0247" w:rsidRPr="001531CD" w:rsidRDefault="00894329" w:rsidP="00894329">
      <w:pPr>
        <w:pStyle w:val="1"/>
      </w:pPr>
      <w:r w:rsidRPr="00F95668">
        <w:t>1.</w:t>
      </w:r>
      <w:r w:rsidRPr="00F95668">
        <w:tab/>
        <w:t>The annual training shall be a minimum of four hours of technical training, shall be approved in advance by the department, and shall meet or exceed the requirements set forth in 40 CFR 171.201</w:t>
      </w:r>
      <w:r w:rsidRPr="00F95668">
        <w:rPr>
          <w:color w:val="000000"/>
        </w:rPr>
        <w:t>.</w:t>
      </w:r>
    </w:p>
    <w:p w14:paraId="6A828645" w14:textId="77777777" w:rsidR="00FA0247" w:rsidRPr="001531CD" w:rsidRDefault="0034191B" w:rsidP="00FA0247">
      <w:pPr>
        <w:pStyle w:val="1"/>
      </w:pPr>
      <w:r w:rsidRPr="001531CD">
        <w:t>2.</w:t>
      </w:r>
      <w:r w:rsidRPr="001531CD">
        <w:tab/>
        <w:t>Each continuing education program shall be a minimum of one hour in length per phase.</w:t>
      </w:r>
    </w:p>
    <w:p w14:paraId="2C65FEAD" w14:textId="77777777" w:rsidR="00C635C0" w:rsidRPr="001531CD" w:rsidRDefault="00FA0247" w:rsidP="00FA0247">
      <w:pPr>
        <w:pStyle w:val="1"/>
      </w:pPr>
      <w:r w:rsidRPr="001531CD">
        <w:t>3.</w:t>
      </w:r>
      <w:r w:rsidRPr="001531CD">
        <w:tab/>
        <w:t>Documentation of the technician attendance and participation shall be forwarded to the department and a copy retained at the technician's place of employment.</w:t>
      </w:r>
    </w:p>
    <w:p w14:paraId="5FE8051E" w14:textId="77777777" w:rsidR="00FA0247" w:rsidRPr="001531CD" w:rsidRDefault="00F00D4E" w:rsidP="00FA0247">
      <w:pPr>
        <w:pStyle w:val="AuthorityNote"/>
      </w:pPr>
      <w:r w:rsidRPr="009D41F2">
        <w:t>AUTHORITY NOTE:</w:t>
      </w:r>
      <w:r w:rsidRPr="009D41F2">
        <w:tab/>
        <w:t>Promulgated in accordance with R.S. 3:3366, 3368 and 3369.</w:t>
      </w:r>
    </w:p>
    <w:p w14:paraId="63193AAB" w14:textId="77777777" w:rsidR="00E41C68" w:rsidRPr="00CF4F7E" w:rsidRDefault="00CF626A" w:rsidP="00E41C68">
      <w:pPr>
        <w:pStyle w:val="HistoricalNote"/>
      </w:pPr>
      <w:r w:rsidRPr="001531CD">
        <w:t>HISTORICAL NOTE:</w:t>
      </w:r>
      <w:r w:rsidRPr="001531CD">
        <w:tab/>
        <w:t>Promulgated by the Department of Agriculture, Structural Pest Control Commission, LR 11:327 (April 1985), amended by the Department of Agriculture and Forestry, Structural Pest Control Commission, LR 15:956 (November 1989</w:t>
      </w:r>
      <w:r w:rsidR="009A1C14" w:rsidRPr="001531CD">
        <w:t>), LR 32:797 (May 2006</w:t>
      </w:r>
      <w:r w:rsidR="002B6181" w:rsidRPr="001531CD">
        <w:t xml:space="preserve">), </w:t>
      </w:r>
      <w:r w:rsidR="002B6181" w:rsidRPr="001531CD">
        <w:rPr>
          <w:szCs w:val="18"/>
        </w:rPr>
        <w:t>repromulgated</w:t>
      </w:r>
      <w:r w:rsidR="002B6181" w:rsidRPr="001531CD">
        <w:t xml:space="preserve"> LR 32:1016 (</w:t>
      </w:r>
      <w:r w:rsidR="00934F4A" w:rsidRPr="001531CD">
        <w:t>June 2006),</w:t>
      </w:r>
      <w:r w:rsidR="009D1BAE" w:rsidRPr="001531CD">
        <w:t xml:space="preserve"> amended</w:t>
      </w:r>
      <w:r w:rsidR="00934F4A" w:rsidRPr="001531CD">
        <w:t xml:space="preserve"> LR 35:207 (February 2009)</w:t>
      </w:r>
      <w:r w:rsidR="00FA0247" w:rsidRPr="001531CD">
        <w:t>, LR 37:279 (January 2011)</w:t>
      </w:r>
      <w:r w:rsidR="0034191B" w:rsidRPr="001531CD">
        <w:t>, amended by the Department of Agriculture and Forestry, Office of Agricultural and Environmental Sciences, Structural Pest Control Commis</w:t>
      </w:r>
      <w:r w:rsidR="00F00D4E">
        <w:t>sion, LR 39:301 (February 2</w:t>
      </w:r>
      <w:r w:rsidR="00E41C68">
        <w:t xml:space="preserve">013), LR 42:213 (February 2016), </w:t>
      </w:r>
      <w:bookmarkStart w:id="2550" w:name="_Toc256754913"/>
      <w:r w:rsidR="00E41C68">
        <w:t>LR 44:1236 (July 2018</w:t>
      </w:r>
      <w:r w:rsidR="00894329" w:rsidRPr="005D1C2F">
        <w:t>), LR 5</w:t>
      </w:r>
      <w:r w:rsidR="00894329">
        <w:t>1</w:t>
      </w:r>
      <w:r w:rsidR="00894329" w:rsidRPr="005D1C2F">
        <w:t>:</w:t>
      </w:r>
      <w:r w:rsidR="00894329">
        <w:t>776 (June 2025).</w:t>
      </w:r>
    </w:p>
    <w:p w14:paraId="59ECAC1A" w14:textId="77777777" w:rsidR="009A1C14" w:rsidRPr="001531CD" w:rsidRDefault="00E41C68" w:rsidP="00E41C68">
      <w:pPr>
        <w:pStyle w:val="Section"/>
      </w:pPr>
      <w:bookmarkStart w:id="2551" w:name="_Toc224819285"/>
      <w:r>
        <w:t>§</w:t>
      </w:r>
      <w:r w:rsidR="009A1C14" w:rsidRPr="001531CD">
        <w:t>115.</w:t>
      </w:r>
      <w:r w:rsidR="009A1C14" w:rsidRPr="001531CD">
        <w:tab/>
        <w:t>Certified WDIR Technician</w:t>
      </w:r>
      <w:bookmarkEnd w:id="2550"/>
      <w:bookmarkEnd w:id="2551"/>
    </w:p>
    <w:p w14:paraId="6793568E" w14:textId="77777777" w:rsidR="00F36990" w:rsidRPr="001531CD" w:rsidRDefault="00F36990" w:rsidP="00F36990">
      <w:pPr>
        <w:pStyle w:val="A"/>
      </w:pPr>
      <w:r w:rsidRPr="001531CD">
        <w:t>A.</w:t>
      </w:r>
      <w:r w:rsidRPr="001531CD">
        <w:tab/>
        <w:t>Requirements of a Certified WDIR technician, prior to conducting WDIR inspections, are as follows:</w:t>
      </w:r>
    </w:p>
    <w:p w14:paraId="1A6C821F" w14:textId="77777777" w:rsidR="00F36990" w:rsidRPr="001531CD" w:rsidRDefault="00F36990" w:rsidP="00F36990">
      <w:pPr>
        <w:pStyle w:val="1"/>
      </w:pPr>
      <w:r w:rsidRPr="001531CD">
        <w:t>1.</w:t>
      </w:r>
      <w:r w:rsidRPr="001531CD">
        <w:tab/>
        <w:t>shall be registered as a termite technician; and</w:t>
      </w:r>
    </w:p>
    <w:p w14:paraId="4FC88E64" w14:textId="77777777" w:rsidR="00F36990" w:rsidRPr="001531CD" w:rsidRDefault="00F36990" w:rsidP="00F36990">
      <w:pPr>
        <w:pStyle w:val="1"/>
      </w:pPr>
      <w:r w:rsidRPr="001531CD">
        <w:t>2.</w:t>
      </w:r>
      <w:r w:rsidRPr="001531CD">
        <w:tab/>
        <w:t>complete department approved WDIR training; and</w:t>
      </w:r>
    </w:p>
    <w:p w14:paraId="5C0B75D5" w14:textId="77777777" w:rsidR="00F36990" w:rsidRPr="001531CD" w:rsidRDefault="00F36990" w:rsidP="00F36990">
      <w:pPr>
        <w:pStyle w:val="1"/>
      </w:pPr>
      <w:r w:rsidRPr="001531CD">
        <w:t>3.</w:t>
      </w:r>
      <w:r w:rsidRPr="001531CD">
        <w:tab/>
        <w:t>pass WDIR technician test with a score of 70 or greater</w:t>
      </w:r>
      <w:r w:rsidRPr="001531CD">
        <w:rPr>
          <w:strike/>
        </w:rPr>
        <w:t>.</w:t>
      </w:r>
      <w:r w:rsidRPr="001531CD">
        <w:t xml:space="preserve"> ; and</w:t>
      </w:r>
    </w:p>
    <w:p w14:paraId="3EB44E9C" w14:textId="77777777" w:rsidR="00F36990" w:rsidRPr="001531CD" w:rsidRDefault="00F36990" w:rsidP="00F36990">
      <w:pPr>
        <w:pStyle w:val="1"/>
      </w:pPr>
      <w:r w:rsidRPr="001531CD">
        <w:t>4.</w:t>
      </w:r>
      <w:r w:rsidRPr="001531CD">
        <w:tab/>
        <w:t>pay the fee for the examination for the WDIR technician registration which shall be $25; and</w:t>
      </w:r>
    </w:p>
    <w:p w14:paraId="26389588" w14:textId="77777777" w:rsidR="009A1C14" w:rsidRPr="001531CD" w:rsidRDefault="00F36990" w:rsidP="00F36990">
      <w:pPr>
        <w:pStyle w:val="1"/>
      </w:pPr>
      <w:r w:rsidRPr="001531CD">
        <w:t>5.</w:t>
      </w:r>
      <w:r w:rsidRPr="001531CD">
        <w:tab/>
        <w:t>complete application form provided by the department.</w:t>
      </w:r>
    </w:p>
    <w:p w14:paraId="63CD5A98" w14:textId="77777777" w:rsidR="009A1C14" w:rsidRPr="001531CD" w:rsidRDefault="00F36990" w:rsidP="009A1C14">
      <w:pPr>
        <w:pStyle w:val="AuthorityNote"/>
      </w:pPr>
      <w:r w:rsidRPr="001531CD">
        <w:t>AUTHORITY NOTE: Promulgated in accordance with R.S. 3:3366 and 3:3369.</w:t>
      </w:r>
    </w:p>
    <w:p w14:paraId="58197167" w14:textId="77777777" w:rsidR="00CF626A" w:rsidRPr="001531CD" w:rsidRDefault="009A1C14" w:rsidP="009A1C14">
      <w:pPr>
        <w:pStyle w:val="HistoricalNote"/>
      </w:pPr>
      <w:r w:rsidRPr="001531CD">
        <w:t>HISTORICAL NOTE: Promulgated by the Department of Agriculture and Forestry, Structural Pest Control Commission, LR 23:855 (July 1997), amended LR 32:797 (May 2006</w:t>
      </w:r>
      <w:r w:rsidR="002B6181" w:rsidRPr="001531CD">
        <w:t xml:space="preserve">), </w:t>
      </w:r>
      <w:r w:rsidR="002B6181" w:rsidRPr="001531CD">
        <w:rPr>
          <w:szCs w:val="18"/>
        </w:rPr>
        <w:t>repromulgated</w:t>
      </w:r>
      <w:r w:rsidR="002B6181" w:rsidRPr="001531CD">
        <w:t xml:space="preserve"> LR 32:1016 (June 2006)</w:t>
      </w:r>
      <w:r w:rsidR="00F36990" w:rsidRPr="001531CD">
        <w:t>, amended LR 37:280 (January 2011)</w:t>
      </w:r>
      <w:r w:rsidR="002B6181" w:rsidRPr="001531CD">
        <w:t>.</w:t>
      </w:r>
    </w:p>
    <w:p w14:paraId="632063BE" w14:textId="77777777" w:rsidR="00CF626A" w:rsidRPr="001531CD" w:rsidRDefault="00CF626A">
      <w:pPr>
        <w:pStyle w:val="Section"/>
      </w:pPr>
      <w:bookmarkStart w:id="2552" w:name="_Toc256754914"/>
      <w:bookmarkStart w:id="2553" w:name="_Toc224819286"/>
      <w:r w:rsidRPr="001531CD">
        <w:t>§117.</w:t>
      </w:r>
      <w:r w:rsidRPr="001531CD">
        <w:tab/>
        <w:t>Obligations of the Licensee</w:t>
      </w:r>
      <w:bookmarkEnd w:id="2552"/>
      <w:r w:rsidR="00E41C68">
        <w:t>/</w:t>
      </w:r>
      <w:r w:rsidR="00F36990" w:rsidRPr="001531CD">
        <w:t>Permittee</w:t>
      </w:r>
      <w:bookmarkEnd w:id="2553"/>
    </w:p>
    <w:p w14:paraId="6C9F5C5E" w14:textId="77777777" w:rsidR="00F36990" w:rsidRPr="001531CD" w:rsidRDefault="00F36990" w:rsidP="00F36990">
      <w:pPr>
        <w:pStyle w:val="A"/>
      </w:pPr>
      <w:r w:rsidRPr="001531CD">
        <w:t>A.</w:t>
      </w:r>
      <w:r w:rsidRPr="001531CD">
        <w:tab/>
        <w:t>The permittee or the primary licensee shall keep the bond and general liability insurance required under §107.F in full force and effect at all times.</w:t>
      </w:r>
    </w:p>
    <w:p w14:paraId="38A77504" w14:textId="77777777" w:rsidR="00F36990" w:rsidRPr="001531CD" w:rsidRDefault="00F36990" w:rsidP="00F36990">
      <w:pPr>
        <w:pStyle w:val="A"/>
      </w:pPr>
      <w:r w:rsidRPr="001531CD">
        <w:t>B.</w:t>
      </w:r>
      <w:r w:rsidRPr="001531CD">
        <w:tab/>
        <w:t>The permittee or the primary licensee shall renew the permit for operation for each business location annually prior to June 30.</w:t>
      </w:r>
    </w:p>
    <w:p w14:paraId="0B40DF77" w14:textId="77777777" w:rsidR="00F36990" w:rsidRPr="001531CD" w:rsidRDefault="00F36990" w:rsidP="00F36990">
      <w:pPr>
        <w:pStyle w:val="A"/>
      </w:pPr>
      <w:r w:rsidRPr="001531CD">
        <w:t>C.</w:t>
      </w:r>
      <w:r w:rsidRPr="001531CD">
        <w:tab/>
        <w:t>The permittee or the primary licensee shall apply for a registration certificate for each employee under his supervision within 30 days after the employee is hired and shall comply with all other requirements pertaining to registration of employees set forth in §113.</w:t>
      </w:r>
    </w:p>
    <w:p w14:paraId="52C996DF" w14:textId="77777777" w:rsidR="00894329" w:rsidRPr="00894329" w:rsidRDefault="00F36990" w:rsidP="00894329">
      <w:pPr>
        <w:pStyle w:val="A"/>
      </w:pPr>
      <w:r w:rsidRPr="001531CD">
        <w:t>D.</w:t>
      </w:r>
      <w:r w:rsidRPr="001531CD">
        <w:tab/>
      </w:r>
      <w:r w:rsidR="00894329" w:rsidRPr="00894329">
        <w:t>The primary licensee shall be responsible for training the employee in the kind of work which he will perform. The training shall occur annually and meet or exceed the requirements set forth in 40 CFR 171.201.</w:t>
      </w:r>
    </w:p>
    <w:p w14:paraId="1AADBD29" w14:textId="77777777" w:rsidR="00894329" w:rsidRPr="00894329" w:rsidRDefault="00894329" w:rsidP="00894329">
      <w:pPr>
        <w:pStyle w:val="A"/>
      </w:pPr>
      <w:r w:rsidRPr="00894329">
        <w:t>E.</w:t>
      </w:r>
      <w:r w:rsidRPr="00894329">
        <w:tab/>
        <w:t xml:space="preserve">Maintenance of a commercial applicator certification by a licensee </w:t>
      </w:r>
    </w:p>
    <w:p w14:paraId="163E80B3" w14:textId="77777777" w:rsidR="00894329" w:rsidRPr="00894329" w:rsidRDefault="00894329" w:rsidP="00894329">
      <w:pPr>
        <w:pStyle w:val="1"/>
      </w:pPr>
      <w:r w:rsidRPr="00894329">
        <w:t>1.</w:t>
      </w:r>
      <w:r w:rsidRPr="00894329">
        <w:tab/>
        <w:t>A licensee shall maintain his commercial applicator certification in current status by:</w:t>
      </w:r>
    </w:p>
    <w:p w14:paraId="76DC0C58" w14:textId="77777777" w:rsidR="00F36990" w:rsidRPr="001531CD" w:rsidRDefault="00894329" w:rsidP="00894329">
      <w:pPr>
        <w:pStyle w:val="a0"/>
      </w:pPr>
      <w:r w:rsidRPr="00894329">
        <w:t>a.</w:t>
      </w:r>
      <w:r w:rsidRPr="00894329">
        <w:tab/>
        <w:t>attending a continuing educational program for recertification approved by the department that meets or exceeds the requirements set forth in 40 CFR 171.103;</w:t>
      </w:r>
    </w:p>
    <w:p w14:paraId="72D28A72" w14:textId="77777777" w:rsidR="00F36990" w:rsidRPr="001531CD" w:rsidRDefault="00F36990" w:rsidP="006C15F7">
      <w:pPr>
        <w:pStyle w:val="a0"/>
      </w:pPr>
      <w:r w:rsidRPr="001531CD">
        <w:t>b.</w:t>
      </w:r>
      <w:r w:rsidRPr="001531CD">
        <w:tab/>
      </w:r>
      <w:r w:rsidR="006C15F7" w:rsidRPr="00AE08CE">
        <w:t>recertification at least once every three years; such recertification shall be completed by December 31 of the third year following the original certification or the most recent recertification;</w:t>
      </w:r>
    </w:p>
    <w:p w14:paraId="121628A2" w14:textId="77777777" w:rsidR="00F36990" w:rsidRPr="001531CD" w:rsidRDefault="00F36990" w:rsidP="00F36990">
      <w:pPr>
        <w:pStyle w:val="a0"/>
      </w:pPr>
      <w:r w:rsidRPr="001531CD">
        <w:t>c.</w:t>
      </w:r>
      <w:r w:rsidRPr="001531CD">
        <w:tab/>
        <w:t>a minimum of six hours of technical training which shall include but not limited to the phases of general pest control, termite control and commercial vertebrate control;</w:t>
      </w:r>
    </w:p>
    <w:p w14:paraId="77219402" w14:textId="77777777" w:rsidR="00F36990" w:rsidRPr="001531CD" w:rsidRDefault="0034191B" w:rsidP="00F36990">
      <w:pPr>
        <w:pStyle w:val="a0"/>
      </w:pPr>
      <w:r w:rsidRPr="001531CD">
        <w:t>d.</w:t>
      </w:r>
      <w:r w:rsidRPr="001531CD">
        <w:tab/>
        <w:t>a minimum of six hours of technical training for the phase of fumigation.</w:t>
      </w:r>
    </w:p>
    <w:p w14:paraId="5E3803AA" w14:textId="77777777" w:rsidR="00F36990" w:rsidRPr="001531CD" w:rsidRDefault="00F36990" w:rsidP="00F36990">
      <w:pPr>
        <w:pStyle w:val="1"/>
      </w:pPr>
      <w:r w:rsidRPr="001531CD">
        <w:t>2.</w:t>
      </w:r>
      <w:r w:rsidRPr="001531CD">
        <w:tab/>
        <w:t>A licensee attending an approved recertification seminar shall attend the entire approved program; otherwise the licensee shall not be recertified at this approved seminar.</w:t>
      </w:r>
    </w:p>
    <w:p w14:paraId="25F1832D" w14:textId="77777777" w:rsidR="00F36990" w:rsidRPr="001531CD" w:rsidRDefault="00F36990" w:rsidP="00F36990">
      <w:pPr>
        <w:pStyle w:val="1"/>
      </w:pPr>
      <w:r w:rsidRPr="001531CD">
        <w:lastRenderedPageBreak/>
        <w:t>3.</w:t>
      </w:r>
      <w:r w:rsidRPr="001531CD">
        <w:tab/>
        <w:t>Time and location for each licensee recertification can be obtained by calling or writing to the department.</w:t>
      </w:r>
    </w:p>
    <w:p w14:paraId="3D4216D6" w14:textId="77777777" w:rsidR="00F36990" w:rsidRPr="001531CD" w:rsidRDefault="00F36990" w:rsidP="00F36990">
      <w:pPr>
        <w:pStyle w:val="A"/>
      </w:pPr>
      <w:r w:rsidRPr="001531CD">
        <w:t>F.</w:t>
      </w:r>
      <w:r w:rsidRPr="001531CD">
        <w:tab/>
        <w:t>A licensee shall be available to provide direct supervision over all employees registered under his license on a regular, ongoing basis.</w:t>
      </w:r>
    </w:p>
    <w:p w14:paraId="2B72E024" w14:textId="77777777" w:rsidR="00B34A01" w:rsidRPr="00AE08CE" w:rsidRDefault="00F36990" w:rsidP="00B34A01">
      <w:pPr>
        <w:pStyle w:val="A"/>
      </w:pPr>
      <w:r w:rsidRPr="001531CD">
        <w:t>G.</w:t>
      </w:r>
      <w:r w:rsidRPr="001531CD">
        <w:tab/>
      </w:r>
      <w:r w:rsidR="00B34A01" w:rsidRPr="00AE08CE">
        <w:t xml:space="preserve">The permittee or the primary licensee shall report all termite control contracts and all wood-destroying insect reports and pay all required fees as set forth in §119 hereof. </w:t>
      </w:r>
    </w:p>
    <w:p w14:paraId="710D9B18" w14:textId="77777777" w:rsidR="00B34A01" w:rsidRPr="00AE08CE" w:rsidRDefault="00B34A01" w:rsidP="00B34A01">
      <w:pPr>
        <w:pStyle w:val="A"/>
      </w:pPr>
      <w:r w:rsidRPr="00AE08CE">
        <w:t>H.</w:t>
      </w:r>
      <w:r w:rsidRPr="00AE08CE">
        <w:tab/>
      </w:r>
      <w:r w:rsidR="00894329" w:rsidRPr="00894329">
        <w:t>Any person applying pesticides for a fee and the permittee or the primary licensee shall maintain records according to LAC 7:XXV.117.H, at the physical address listed on the place of business permit of all applications of pesticides and inspections for wood destroying insects on a record keeping form or in a format approved by the director of pesticide and environmental programs of the department. These records shall be retained for a period of three years after the date of the pesticide application for ship and commodity fumigation, general pest control and commercial vertebrate control, and a period of three years after the expiration of applicable contracts for termite control and structural fumigation. The licensee shall make a copy of these records available to any employee of the department for inspection during normal working hours within 48 hours upon notification, excluding legal holidays.</w:t>
      </w:r>
    </w:p>
    <w:p w14:paraId="3203D5A4" w14:textId="77777777" w:rsidR="00F36990" w:rsidRPr="001531CD" w:rsidRDefault="00B34A01" w:rsidP="00B34A01">
      <w:pPr>
        <w:pStyle w:val="1"/>
      </w:pPr>
      <w:r w:rsidRPr="00AE08CE">
        <w:t>1.</w:t>
      </w:r>
      <w:r w:rsidRPr="00AE08CE">
        <w:tab/>
        <w:t>Records for applications of pesticides and inspections for termite control shall contain the following information:</w:t>
      </w:r>
    </w:p>
    <w:p w14:paraId="5827BA09" w14:textId="77777777" w:rsidR="00F36990" w:rsidRPr="001531CD" w:rsidRDefault="00F36990" w:rsidP="00F36990">
      <w:pPr>
        <w:pStyle w:val="a0"/>
      </w:pPr>
      <w:r w:rsidRPr="001531CD">
        <w:t>a.</w:t>
      </w:r>
      <w:r w:rsidRPr="001531CD">
        <w:tab/>
        <w:t>place of business name, address, and number;</w:t>
      </w:r>
    </w:p>
    <w:p w14:paraId="0718D3B9" w14:textId="77777777" w:rsidR="00F36990" w:rsidRPr="001531CD" w:rsidRDefault="00F36990" w:rsidP="00F36990">
      <w:pPr>
        <w:pStyle w:val="a0"/>
      </w:pPr>
      <w:r w:rsidRPr="001531CD">
        <w:t>b.</w:t>
      </w:r>
      <w:r w:rsidRPr="001531CD">
        <w:tab/>
        <w:t>primary licensee name, address, and department I.D. number;</w:t>
      </w:r>
    </w:p>
    <w:p w14:paraId="5E7F1BA0" w14:textId="77777777" w:rsidR="00F36990" w:rsidRPr="001531CD" w:rsidRDefault="00F36990" w:rsidP="00F36990">
      <w:pPr>
        <w:pStyle w:val="a0"/>
      </w:pPr>
      <w:r w:rsidRPr="001531CD">
        <w:t>c.</w:t>
      </w:r>
      <w:r w:rsidRPr="001531CD">
        <w:tab/>
        <w:t>customer name and address;</w:t>
      </w:r>
    </w:p>
    <w:p w14:paraId="4D53A489" w14:textId="77777777" w:rsidR="00F36990" w:rsidRPr="001531CD" w:rsidRDefault="00F36990" w:rsidP="00F36990">
      <w:pPr>
        <w:pStyle w:val="a0"/>
      </w:pPr>
      <w:r w:rsidRPr="001531CD">
        <w:t>d.</w:t>
      </w:r>
      <w:r w:rsidRPr="001531CD">
        <w:tab/>
        <w:t>location of application;</w:t>
      </w:r>
    </w:p>
    <w:p w14:paraId="1CDC0CB0" w14:textId="77777777" w:rsidR="00F36990" w:rsidRPr="001531CD" w:rsidRDefault="00F36990" w:rsidP="00F36990">
      <w:pPr>
        <w:pStyle w:val="a0"/>
      </w:pPr>
      <w:r w:rsidRPr="001531CD">
        <w:t>e.</w:t>
      </w:r>
      <w:r w:rsidRPr="001531CD">
        <w:tab/>
        <w:t>product\brand name;</w:t>
      </w:r>
    </w:p>
    <w:p w14:paraId="40DF8B83" w14:textId="77777777" w:rsidR="00F36990" w:rsidRPr="001531CD" w:rsidRDefault="00F36990" w:rsidP="00F36990">
      <w:pPr>
        <w:pStyle w:val="a0"/>
      </w:pPr>
      <w:r w:rsidRPr="001531CD">
        <w:t>f.</w:t>
      </w:r>
      <w:r w:rsidRPr="001531CD">
        <w:tab/>
        <w:t>EPA registration number;</w:t>
      </w:r>
    </w:p>
    <w:p w14:paraId="5AF7F6AE" w14:textId="77777777" w:rsidR="00F36990" w:rsidRPr="001531CD" w:rsidRDefault="00F36990" w:rsidP="00F36990">
      <w:pPr>
        <w:pStyle w:val="a0"/>
      </w:pPr>
      <w:r w:rsidRPr="001531CD">
        <w:t>g.</w:t>
      </w:r>
      <w:r w:rsidRPr="001531CD">
        <w:tab/>
        <w:t>restricted\general use pesticide;</w:t>
      </w:r>
    </w:p>
    <w:p w14:paraId="75BF6619" w14:textId="77777777" w:rsidR="00F36990" w:rsidRPr="001531CD" w:rsidRDefault="00F36990" w:rsidP="00F36990">
      <w:pPr>
        <w:pStyle w:val="a0"/>
      </w:pPr>
      <w:r w:rsidRPr="001531CD">
        <w:t>h.</w:t>
      </w:r>
      <w:r w:rsidRPr="001531CD">
        <w:tab/>
        <w:t>application date and time;</w:t>
      </w:r>
    </w:p>
    <w:p w14:paraId="4ABCB4B5" w14:textId="77777777" w:rsidR="00F36990" w:rsidRPr="001531CD" w:rsidRDefault="00F36990" w:rsidP="00F36990">
      <w:pPr>
        <w:pStyle w:val="a0"/>
      </w:pPr>
      <w:r w:rsidRPr="001531CD">
        <w:t>i.</w:t>
      </w:r>
      <w:r w:rsidRPr="001531CD">
        <w:tab/>
        <w:t>target pest;</w:t>
      </w:r>
    </w:p>
    <w:p w14:paraId="446D65AF" w14:textId="77777777" w:rsidR="00F36990" w:rsidRPr="001531CD" w:rsidRDefault="00F36990" w:rsidP="00F36990">
      <w:pPr>
        <w:pStyle w:val="a0"/>
      </w:pPr>
      <w:r w:rsidRPr="001531CD">
        <w:t>j.</w:t>
      </w:r>
      <w:r w:rsidRPr="001531CD">
        <w:tab/>
        <w:t>type of application (pre-treat, post, spot, etc.);</w:t>
      </w:r>
    </w:p>
    <w:p w14:paraId="33E2D3ED" w14:textId="77777777" w:rsidR="00F36990" w:rsidRPr="001531CD" w:rsidRDefault="00F36990" w:rsidP="00F36990">
      <w:pPr>
        <w:pStyle w:val="a0"/>
      </w:pPr>
      <w:r w:rsidRPr="001531CD">
        <w:t>k.</w:t>
      </w:r>
      <w:r w:rsidRPr="001531CD">
        <w:tab/>
        <w:t>size of area treated (square feet or linear feet);</w:t>
      </w:r>
    </w:p>
    <w:p w14:paraId="1FE8ED69" w14:textId="77777777" w:rsidR="00F36990" w:rsidRPr="001531CD" w:rsidRDefault="00F36990" w:rsidP="00F36990">
      <w:pPr>
        <w:pStyle w:val="a0"/>
      </w:pPr>
      <w:r w:rsidRPr="001531CD">
        <w:t>l.</w:t>
      </w:r>
      <w:r w:rsidRPr="001531CD">
        <w:tab/>
        <w:t>mixture concentration;</w:t>
      </w:r>
    </w:p>
    <w:p w14:paraId="45E8A578" w14:textId="77777777" w:rsidR="00F36990" w:rsidRPr="001531CD" w:rsidRDefault="00F36990" w:rsidP="00F36990">
      <w:pPr>
        <w:pStyle w:val="a0"/>
      </w:pPr>
      <w:r w:rsidRPr="001531CD">
        <w:t>m.</w:t>
      </w:r>
      <w:r w:rsidRPr="001531CD">
        <w:tab/>
      </w:r>
      <w:r w:rsidR="00894329" w:rsidRPr="00894329">
        <w:t>total amount of product applied per location, per application;</w:t>
      </w:r>
    </w:p>
    <w:p w14:paraId="0920BBA6" w14:textId="77777777" w:rsidR="0034191B" w:rsidRPr="001531CD" w:rsidRDefault="0034191B" w:rsidP="0034191B">
      <w:pPr>
        <w:pStyle w:val="a0"/>
      </w:pPr>
      <w:r w:rsidRPr="001531CD">
        <w:t>n.</w:t>
      </w:r>
      <w:r w:rsidRPr="001531CD">
        <w:tab/>
        <w:t>applicator and department I.D</w:t>
      </w:r>
      <w:r w:rsidRPr="001531CD">
        <w:rPr>
          <w:color w:val="0000FF"/>
        </w:rPr>
        <w:t>.</w:t>
      </w:r>
      <w:r w:rsidRPr="001531CD">
        <w:t xml:space="preserve"> number;</w:t>
      </w:r>
    </w:p>
    <w:p w14:paraId="47CB749E" w14:textId="77777777" w:rsidR="00F36990" w:rsidRDefault="0034191B" w:rsidP="0034191B">
      <w:pPr>
        <w:pStyle w:val="a0"/>
      </w:pPr>
      <w:r w:rsidRPr="001531CD">
        <w:t>o.</w:t>
      </w:r>
      <w:r w:rsidRPr="001531CD">
        <w:tab/>
        <w:t>contract.</w:t>
      </w:r>
    </w:p>
    <w:p w14:paraId="6345BCC5" w14:textId="77777777" w:rsidR="00B34A01" w:rsidRPr="00B34A01" w:rsidRDefault="00B34A01" w:rsidP="00B34A01">
      <w:pPr>
        <w:pStyle w:val="a0"/>
      </w:pPr>
      <w:r w:rsidRPr="00B34A01">
        <w:t>p.</w:t>
      </w:r>
      <w:r w:rsidRPr="00B34A01">
        <w:tab/>
        <w:t>inspection date and time;</w:t>
      </w:r>
    </w:p>
    <w:p w14:paraId="0567B693" w14:textId="77777777" w:rsidR="00B34A01" w:rsidRPr="00B34A01" w:rsidRDefault="00B34A01" w:rsidP="00B34A01">
      <w:pPr>
        <w:pStyle w:val="a0"/>
      </w:pPr>
      <w:r w:rsidRPr="00B34A01">
        <w:t>q.</w:t>
      </w:r>
      <w:r w:rsidRPr="00B34A01">
        <w:tab/>
        <w:t>waiver (if applicable); and</w:t>
      </w:r>
    </w:p>
    <w:p w14:paraId="76D3D32E" w14:textId="77777777" w:rsidR="00B34A01" w:rsidRPr="00B34A01" w:rsidRDefault="00B34A01" w:rsidP="00B34A01">
      <w:pPr>
        <w:pStyle w:val="a0"/>
      </w:pPr>
      <w:r w:rsidRPr="00B34A01">
        <w:t>r.</w:t>
      </w:r>
      <w:r w:rsidRPr="00B34A01">
        <w:tab/>
        <w:t>WDIR (if applicable).</w:t>
      </w:r>
    </w:p>
    <w:p w14:paraId="37598B3D" w14:textId="77777777" w:rsidR="00F36990" w:rsidRPr="001531CD" w:rsidRDefault="00F36990" w:rsidP="00F36990">
      <w:pPr>
        <w:pStyle w:val="1"/>
      </w:pPr>
      <w:r w:rsidRPr="001531CD">
        <w:t>2.</w:t>
      </w:r>
      <w:r w:rsidRPr="001531CD">
        <w:tab/>
        <w:t>Record keeping for applications of pesticides in the general pest and commercial vertebrate phases shall contain the following information:</w:t>
      </w:r>
    </w:p>
    <w:p w14:paraId="013F82FF" w14:textId="77777777" w:rsidR="00F36990" w:rsidRPr="001531CD" w:rsidRDefault="00F36990" w:rsidP="00F36990">
      <w:pPr>
        <w:pStyle w:val="a0"/>
      </w:pPr>
      <w:r w:rsidRPr="001531CD">
        <w:t>a.</w:t>
      </w:r>
      <w:r w:rsidRPr="001531CD">
        <w:tab/>
        <w:t>place of business name address, and number;</w:t>
      </w:r>
    </w:p>
    <w:p w14:paraId="7C913053" w14:textId="77777777" w:rsidR="00F36990" w:rsidRPr="001531CD" w:rsidRDefault="00F36990" w:rsidP="00F36990">
      <w:pPr>
        <w:pStyle w:val="a0"/>
      </w:pPr>
      <w:r w:rsidRPr="001531CD">
        <w:t>b.</w:t>
      </w:r>
      <w:r w:rsidRPr="001531CD">
        <w:tab/>
        <w:t>primary licensee name, address, and certification department I.D. number;</w:t>
      </w:r>
    </w:p>
    <w:p w14:paraId="68F7C920" w14:textId="77777777" w:rsidR="00F36990" w:rsidRPr="001531CD" w:rsidRDefault="00F36990" w:rsidP="00F36990">
      <w:pPr>
        <w:pStyle w:val="a0"/>
      </w:pPr>
      <w:r w:rsidRPr="001531CD">
        <w:t>c.</w:t>
      </w:r>
      <w:r w:rsidRPr="001531CD">
        <w:tab/>
        <w:t>customer name and address;</w:t>
      </w:r>
    </w:p>
    <w:p w14:paraId="04EBC870" w14:textId="77777777" w:rsidR="00F36990" w:rsidRPr="001531CD" w:rsidRDefault="00F36990" w:rsidP="00F36990">
      <w:pPr>
        <w:pStyle w:val="a0"/>
      </w:pPr>
      <w:r w:rsidRPr="001531CD">
        <w:t>d.</w:t>
      </w:r>
      <w:r w:rsidRPr="001531CD">
        <w:tab/>
        <w:t>location of application;</w:t>
      </w:r>
    </w:p>
    <w:p w14:paraId="6475352C" w14:textId="77777777" w:rsidR="00F36990" w:rsidRPr="001531CD" w:rsidRDefault="00F36990" w:rsidP="00F36990">
      <w:pPr>
        <w:pStyle w:val="a0"/>
      </w:pPr>
      <w:r w:rsidRPr="001531CD">
        <w:t>e.</w:t>
      </w:r>
      <w:r w:rsidRPr="001531CD">
        <w:tab/>
        <w:t>product/brand name;</w:t>
      </w:r>
    </w:p>
    <w:p w14:paraId="7F85B392" w14:textId="77777777" w:rsidR="00F36990" w:rsidRPr="001531CD" w:rsidRDefault="00F36990" w:rsidP="00F36990">
      <w:pPr>
        <w:pStyle w:val="a0"/>
      </w:pPr>
      <w:r w:rsidRPr="001531CD">
        <w:t>f.</w:t>
      </w:r>
      <w:r w:rsidRPr="001531CD">
        <w:tab/>
        <w:t>EPA registration number;</w:t>
      </w:r>
    </w:p>
    <w:p w14:paraId="4746D908" w14:textId="77777777" w:rsidR="00F36990" w:rsidRPr="001531CD" w:rsidRDefault="00F36990" w:rsidP="00F36990">
      <w:pPr>
        <w:pStyle w:val="a0"/>
      </w:pPr>
      <w:r w:rsidRPr="001531CD">
        <w:t>g.</w:t>
      </w:r>
      <w:r w:rsidRPr="001531CD">
        <w:tab/>
        <w:t xml:space="preserve">restricted/general use pesticide; </w:t>
      </w:r>
    </w:p>
    <w:p w14:paraId="0400DE74" w14:textId="77777777" w:rsidR="00F36990" w:rsidRPr="001531CD" w:rsidRDefault="00F36990" w:rsidP="00F36990">
      <w:pPr>
        <w:pStyle w:val="a0"/>
      </w:pPr>
      <w:r w:rsidRPr="001531CD">
        <w:t>h.</w:t>
      </w:r>
      <w:r w:rsidRPr="001531CD">
        <w:tab/>
        <w:t>application date and time;</w:t>
      </w:r>
    </w:p>
    <w:p w14:paraId="3062B3C0" w14:textId="77777777" w:rsidR="00F36990" w:rsidRPr="001531CD" w:rsidRDefault="00F36990" w:rsidP="00F36990">
      <w:pPr>
        <w:pStyle w:val="a0"/>
      </w:pPr>
      <w:r w:rsidRPr="001531CD">
        <w:t>i.</w:t>
      </w:r>
      <w:r w:rsidRPr="001531CD">
        <w:tab/>
        <w:t>pest treated/type of application;</w:t>
      </w:r>
    </w:p>
    <w:p w14:paraId="55969BA6" w14:textId="77777777" w:rsidR="00F36990" w:rsidRPr="001531CD" w:rsidRDefault="00F36990" w:rsidP="00F36990">
      <w:pPr>
        <w:pStyle w:val="a0"/>
      </w:pPr>
      <w:r w:rsidRPr="001531CD">
        <w:t>j.</w:t>
      </w:r>
      <w:r w:rsidRPr="001531CD">
        <w:tab/>
        <w:t>mixture concentration (percent);</w:t>
      </w:r>
    </w:p>
    <w:p w14:paraId="0DDE136A" w14:textId="77777777" w:rsidR="00F36990" w:rsidRDefault="00F36990" w:rsidP="00F36990">
      <w:pPr>
        <w:pStyle w:val="a0"/>
      </w:pPr>
      <w:r w:rsidRPr="001531CD">
        <w:t>k.</w:t>
      </w:r>
      <w:r w:rsidRPr="001531CD">
        <w:tab/>
        <w:t>applicator and department I.D</w:t>
      </w:r>
      <w:r w:rsidRPr="001531CD">
        <w:rPr>
          <w:color w:val="0000FF"/>
        </w:rPr>
        <w:t>.</w:t>
      </w:r>
      <w:r w:rsidRPr="001531CD">
        <w:t xml:space="preserve"> number.</w:t>
      </w:r>
    </w:p>
    <w:p w14:paraId="1B9B7066" w14:textId="77777777" w:rsidR="00894329" w:rsidRPr="00894329" w:rsidRDefault="00894329" w:rsidP="00894329">
      <w:pPr>
        <w:pStyle w:val="a0"/>
      </w:pPr>
      <w:r w:rsidRPr="00894329">
        <w:t>l.</w:t>
      </w:r>
      <w:r w:rsidRPr="00894329">
        <w:tab/>
        <w:t>total amount of a restricted use pesticide applied per location, per application; and</w:t>
      </w:r>
    </w:p>
    <w:p w14:paraId="3533B6F2" w14:textId="77777777" w:rsidR="00894329" w:rsidRPr="001531CD" w:rsidRDefault="00894329" w:rsidP="00894329">
      <w:pPr>
        <w:pStyle w:val="a0"/>
      </w:pPr>
      <w:r w:rsidRPr="00894329">
        <w:rPr>
          <w:kern w:val="0"/>
        </w:rPr>
        <w:t>m.</w:t>
      </w:r>
      <w:r w:rsidRPr="00894329">
        <w:rPr>
          <w:kern w:val="0"/>
        </w:rPr>
        <w:tab/>
        <w:t>size of area with a restricted use pesticide treated (square feet or linear feet).</w:t>
      </w:r>
    </w:p>
    <w:p w14:paraId="1BFE3D1B" w14:textId="77777777" w:rsidR="00F36990" w:rsidRPr="001531CD" w:rsidRDefault="00F36990" w:rsidP="00F36990">
      <w:pPr>
        <w:pStyle w:val="1"/>
      </w:pPr>
      <w:r w:rsidRPr="001531CD">
        <w:t>3.</w:t>
      </w:r>
      <w:r w:rsidRPr="001531CD">
        <w:tab/>
        <w:t>Records for applications of pesticides in the fumigation phase shall contain the following information:</w:t>
      </w:r>
    </w:p>
    <w:p w14:paraId="037AEA76" w14:textId="77777777" w:rsidR="00F36990" w:rsidRPr="001531CD" w:rsidRDefault="00F36990" w:rsidP="00F36990">
      <w:pPr>
        <w:pStyle w:val="a0"/>
      </w:pPr>
      <w:r w:rsidRPr="001531CD">
        <w:t>a.</w:t>
      </w:r>
      <w:r w:rsidRPr="001531CD">
        <w:tab/>
        <w:t>place of business name, address, and number;</w:t>
      </w:r>
    </w:p>
    <w:p w14:paraId="1D816671" w14:textId="77777777" w:rsidR="00F36990" w:rsidRPr="001531CD" w:rsidRDefault="00F36990" w:rsidP="00F36990">
      <w:pPr>
        <w:pStyle w:val="a0"/>
      </w:pPr>
      <w:r w:rsidRPr="001531CD">
        <w:t>b.</w:t>
      </w:r>
      <w:r w:rsidRPr="001531CD">
        <w:tab/>
        <w:t>primary licensee name, address, and department I.D. number;</w:t>
      </w:r>
    </w:p>
    <w:p w14:paraId="0843D206" w14:textId="77777777" w:rsidR="00F36990" w:rsidRPr="001531CD" w:rsidRDefault="00F36990" w:rsidP="00F36990">
      <w:pPr>
        <w:pStyle w:val="a0"/>
      </w:pPr>
      <w:r w:rsidRPr="001531CD">
        <w:t>c.</w:t>
      </w:r>
      <w:r w:rsidRPr="001531CD">
        <w:tab/>
        <w:t>customer name and address;</w:t>
      </w:r>
    </w:p>
    <w:p w14:paraId="2CDCE2E8" w14:textId="77777777" w:rsidR="00F36990" w:rsidRPr="001531CD" w:rsidRDefault="00F36990" w:rsidP="00F36990">
      <w:pPr>
        <w:pStyle w:val="a0"/>
      </w:pPr>
      <w:r w:rsidRPr="001531CD">
        <w:t>d.</w:t>
      </w:r>
      <w:r w:rsidRPr="001531CD">
        <w:tab/>
        <w:t>location of application;</w:t>
      </w:r>
    </w:p>
    <w:p w14:paraId="30F9B6FF" w14:textId="77777777" w:rsidR="00F36990" w:rsidRPr="001531CD" w:rsidRDefault="00F36990" w:rsidP="00F36990">
      <w:pPr>
        <w:pStyle w:val="a0"/>
      </w:pPr>
      <w:r w:rsidRPr="001531CD">
        <w:t>e.</w:t>
      </w:r>
      <w:r w:rsidRPr="001531CD">
        <w:tab/>
        <w:t>product/brand name;</w:t>
      </w:r>
    </w:p>
    <w:p w14:paraId="76EE30DF" w14:textId="77777777" w:rsidR="00F36990" w:rsidRPr="001531CD" w:rsidRDefault="00F36990" w:rsidP="00F36990">
      <w:pPr>
        <w:pStyle w:val="a0"/>
      </w:pPr>
      <w:r w:rsidRPr="001531CD">
        <w:t>f.</w:t>
      </w:r>
      <w:r w:rsidRPr="001531CD">
        <w:tab/>
        <w:t>EPA registration number;</w:t>
      </w:r>
    </w:p>
    <w:p w14:paraId="2AD5CBDB" w14:textId="77777777" w:rsidR="00F36990" w:rsidRPr="001531CD" w:rsidRDefault="00F36990" w:rsidP="00F36990">
      <w:pPr>
        <w:pStyle w:val="a0"/>
      </w:pPr>
      <w:r w:rsidRPr="001531CD">
        <w:t>g.</w:t>
      </w:r>
      <w:r w:rsidRPr="001531CD">
        <w:tab/>
        <w:t xml:space="preserve">restricted/general use pesticide; </w:t>
      </w:r>
    </w:p>
    <w:p w14:paraId="66FA5950" w14:textId="77777777" w:rsidR="00F36990" w:rsidRPr="001531CD" w:rsidRDefault="00F36990" w:rsidP="00F36990">
      <w:pPr>
        <w:pStyle w:val="a0"/>
      </w:pPr>
      <w:r w:rsidRPr="001531CD">
        <w:t>h.</w:t>
      </w:r>
      <w:r w:rsidRPr="001531CD">
        <w:tab/>
        <w:t>application date and time;</w:t>
      </w:r>
    </w:p>
    <w:p w14:paraId="2D413A37" w14:textId="77777777" w:rsidR="00F36990" w:rsidRPr="001531CD" w:rsidRDefault="00F36990" w:rsidP="00F36990">
      <w:pPr>
        <w:pStyle w:val="a0"/>
      </w:pPr>
      <w:r w:rsidRPr="001531CD">
        <w:t>i.</w:t>
      </w:r>
      <w:r w:rsidRPr="001531CD">
        <w:tab/>
        <w:t>pest treated;</w:t>
      </w:r>
    </w:p>
    <w:p w14:paraId="3A6315E4" w14:textId="77777777" w:rsidR="00F36990" w:rsidRPr="001531CD" w:rsidRDefault="00F36990" w:rsidP="00F36990">
      <w:pPr>
        <w:pStyle w:val="a0"/>
      </w:pPr>
      <w:r w:rsidRPr="001531CD">
        <w:t>j.</w:t>
      </w:r>
      <w:r w:rsidRPr="001531CD">
        <w:tab/>
        <w:t>type of application (ship, structure, commodity);</w:t>
      </w:r>
    </w:p>
    <w:p w14:paraId="064B915E" w14:textId="77777777" w:rsidR="00F36990" w:rsidRPr="001531CD" w:rsidRDefault="00F36990" w:rsidP="00F36990">
      <w:pPr>
        <w:pStyle w:val="a0"/>
      </w:pPr>
      <w:r w:rsidRPr="001531CD">
        <w:t>k.</w:t>
      </w:r>
      <w:r w:rsidRPr="001531CD">
        <w:tab/>
        <w:t>size of area treated (cubic feet);</w:t>
      </w:r>
    </w:p>
    <w:p w14:paraId="1C1465D8" w14:textId="77777777" w:rsidR="00F36990" w:rsidRPr="001531CD" w:rsidRDefault="00F36990" w:rsidP="00F36990">
      <w:pPr>
        <w:pStyle w:val="a0"/>
      </w:pPr>
      <w:r w:rsidRPr="001531CD">
        <w:t>l.</w:t>
      </w:r>
      <w:r w:rsidRPr="001531CD">
        <w:tab/>
        <w:t>rate applied;</w:t>
      </w:r>
    </w:p>
    <w:p w14:paraId="5593C6C4" w14:textId="77777777" w:rsidR="00F36990" w:rsidRPr="001531CD" w:rsidRDefault="00F36990" w:rsidP="00F36990">
      <w:pPr>
        <w:pStyle w:val="a0"/>
      </w:pPr>
      <w:r w:rsidRPr="001531CD">
        <w:t>m.</w:t>
      </w:r>
      <w:r w:rsidRPr="001531CD">
        <w:tab/>
      </w:r>
      <w:r w:rsidR="00894329" w:rsidRPr="00894329">
        <w:t>total amount of product applied per location, per application;</w:t>
      </w:r>
    </w:p>
    <w:p w14:paraId="213D28FE" w14:textId="77777777" w:rsidR="00E41C68" w:rsidRPr="00CF4F7E" w:rsidRDefault="00E41C68" w:rsidP="00E41C68">
      <w:pPr>
        <w:pStyle w:val="a0"/>
      </w:pPr>
      <w:r w:rsidRPr="00CF4F7E">
        <w:t>n.</w:t>
      </w:r>
      <w:r w:rsidRPr="00CF4F7E">
        <w:tab/>
        <w:t>applicator, department I.D. number; and</w:t>
      </w:r>
    </w:p>
    <w:p w14:paraId="425A5F4E" w14:textId="77777777" w:rsidR="00E41C68" w:rsidRDefault="00E41C68" w:rsidP="00E41C68">
      <w:pPr>
        <w:pStyle w:val="a0"/>
      </w:pPr>
      <w:r w:rsidRPr="00CF4F7E">
        <w:t>o.</w:t>
      </w:r>
      <w:r>
        <w:tab/>
      </w:r>
      <w:r w:rsidRPr="00CF4F7E">
        <w:t>fumigation instrument calibration.</w:t>
      </w:r>
    </w:p>
    <w:p w14:paraId="200714AC" w14:textId="77777777" w:rsidR="00F36990" w:rsidRPr="001531CD" w:rsidRDefault="00F36990" w:rsidP="00F36990">
      <w:pPr>
        <w:pStyle w:val="1"/>
      </w:pPr>
      <w:r w:rsidRPr="001531CD">
        <w:t>4.</w:t>
      </w:r>
      <w:r w:rsidRPr="001531CD">
        <w:tab/>
        <w:t>Records for using bait and baiting systems shall contain the following information:</w:t>
      </w:r>
    </w:p>
    <w:p w14:paraId="4AB0BC16" w14:textId="77777777" w:rsidR="00F36990" w:rsidRPr="001531CD" w:rsidRDefault="00F36990" w:rsidP="00F36990">
      <w:pPr>
        <w:pStyle w:val="a0"/>
      </w:pPr>
      <w:r w:rsidRPr="001531CD">
        <w:t>a.</w:t>
      </w:r>
      <w:r w:rsidRPr="001531CD">
        <w:tab/>
        <w:t>place of business name, address, and phone number;</w:t>
      </w:r>
    </w:p>
    <w:p w14:paraId="792C7B45" w14:textId="77777777" w:rsidR="00F36990" w:rsidRPr="001531CD" w:rsidRDefault="00F36990" w:rsidP="00F36990">
      <w:pPr>
        <w:pStyle w:val="a0"/>
      </w:pPr>
      <w:r w:rsidRPr="001531CD">
        <w:lastRenderedPageBreak/>
        <w:t>b.</w:t>
      </w:r>
      <w:r w:rsidRPr="001531CD">
        <w:tab/>
        <w:t>primary licensee name, address, and department I.D. number;</w:t>
      </w:r>
    </w:p>
    <w:p w14:paraId="3A81F9C2" w14:textId="77777777" w:rsidR="00F36990" w:rsidRPr="001531CD" w:rsidRDefault="00F36990" w:rsidP="00F36990">
      <w:pPr>
        <w:pStyle w:val="a0"/>
      </w:pPr>
      <w:r w:rsidRPr="001531CD">
        <w:t>c.</w:t>
      </w:r>
      <w:r w:rsidRPr="001531CD">
        <w:tab/>
        <w:t>customer name and address;</w:t>
      </w:r>
    </w:p>
    <w:p w14:paraId="27574C56" w14:textId="77777777" w:rsidR="00F36990" w:rsidRPr="001531CD" w:rsidRDefault="00F36990" w:rsidP="00F36990">
      <w:pPr>
        <w:pStyle w:val="a0"/>
      </w:pPr>
      <w:r w:rsidRPr="001531CD">
        <w:t>d.</w:t>
      </w:r>
      <w:r w:rsidRPr="001531CD">
        <w:tab/>
        <w:t>physical address of contracted structure;</w:t>
      </w:r>
    </w:p>
    <w:p w14:paraId="5B18564F" w14:textId="77777777" w:rsidR="00F36990" w:rsidRPr="001531CD" w:rsidRDefault="00F36990" w:rsidP="00F36990">
      <w:pPr>
        <w:pStyle w:val="a0"/>
      </w:pPr>
      <w:r w:rsidRPr="001531CD">
        <w:t>e.</w:t>
      </w:r>
      <w:r w:rsidRPr="001531CD">
        <w:tab/>
        <w:t>product\brand name;</w:t>
      </w:r>
    </w:p>
    <w:p w14:paraId="4FB3F116" w14:textId="77777777" w:rsidR="00F36990" w:rsidRPr="001531CD" w:rsidRDefault="00F36990" w:rsidP="00F36990">
      <w:pPr>
        <w:pStyle w:val="a0"/>
      </w:pPr>
      <w:r w:rsidRPr="001531CD">
        <w:t>f.</w:t>
      </w:r>
      <w:r w:rsidRPr="001531CD">
        <w:tab/>
        <w:t>EPA registration number;</w:t>
      </w:r>
    </w:p>
    <w:p w14:paraId="4534B168" w14:textId="77777777" w:rsidR="00F36990" w:rsidRPr="001531CD" w:rsidRDefault="00F36990" w:rsidP="00F36990">
      <w:pPr>
        <w:pStyle w:val="a0"/>
      </w:pPr>
      <w:r w:rsidRPr="001531CD">
        <w:t>g.</w:t>
      </w:r>
      <w:r w:rsidRPr="001531CD">
        <w:tab/>
        <w:t xml:space="preserve">restricted\general use pesticide; </w:t>
      </w:r>
    </w:p>
    <w:p w14:paraId="1186C983" w14:textId="77777777" w:rsidR="00F36990" w:rsidRPr="001531CD" w:rsidRDefault="00F36990" w:rsidP="00F36990">
      <w:pPr>
        <w:pStyle w:val="a0"/>
      </w:pPr>
      <w:r w:rsidRPr="001531CD">
        <w:t>h.</w:t>
      </w:r>
      <w:r w:rsidRPr="001531CD">
        <w:tab/>
        <w:t>linear feet of perimeter of the treated structure(s):</w:t>
      </w:r>
    </w:p>
    <w:p w14:paraId="7AED5B30" w14:textId="77777777" w:rsidR="00F36990" w:rsidRPr="001531CD" w:rsidRDefault="00F36990" w:rsidP="00F36990">
      <w:pPr>
        <w:pStyle w:val="a0"/>
      </w:pPr>
      <w:r w:rsidRPr="001531CD">
        <w:t>i.</w:t>
      </w:r>
      <w:r w:rsidRPr="001531CD">
        <w:tab/>
        <w:t>date each monitoring stations installed or inspected;</w:t>
      </w:r>
    </w:p>
    <w:p w14:paraId="7ED02DE7" w14:textId="77777777" w:rsidR="00F36990" w:rsidRPr="001531CD" w:rsidRDefault="00F36990" w:rsidP="00F36990">
      <w:pPr>
        <w:pStyle w:val="a0"/>
      </w:pPr>
      <w:r w:rsidRPr="001531CD">
        <w:t>j.</w:t>
      </w:r>
      <w:r w:rsidRPr="001531CD">
        <w:tab/>
        <w:t>date each ground bait station installed, inspected or replaced;</w:t>
      </w:r>
    </w:p>
    <w:p w14:paraId="137E05A9" w14:textId="77777777" w:rsidR="00F36990" w:rsidRPr="001531CD" w:rsidRDefault="00F36990" w:rsidP="00F36990">
      <w:pPr>
        <w:pStyle w:val="a0"/>
      </w:pPr>
      <w:r w:rsidRPr="001531CD">
        <w:t>k.</w:t>
      </w:r>
      <w:r w:rsidRPr="001531CD">
        <w:tab/>
        <w:t>date each above ground bait station installed, inspected or replaced;</w:t>
      </w:r>
    </w:p>
    <w:p w14:paraId="64ABD8EB" w14:textId="77777777" w:rsidR="00F36990" w:rsidRPr="001531CD" w:rsidRDefault="00F36990" w:rsidP="00F36990">
      <w:pPr>
        <w:pStyle w:val="a0"/>
      </w:pPr>
      <w:r w:rsidRPr="001531CD">
        <w:t>l.</w:t>
      </w:r>
      <w:r w:rsidRPr="001531CD">
        <w:tab/>
        <w:t>number of monitoring, ground and above ground bait stations inspected during each inspection;</w:t>
      </w:r>
    </w:p>
    <w:p w14:paraId="2FAD95E0" w14:textId="77777777" w:rsidR="00F36990" w:rsidRPr="001531CD" w:rsidRDefault="00F36990" w:rsidP="00F36990">
      <w:pPr>
        <w:pStyle w:val="a0"/>
      </w:pPr>
      <w:r w:rsidRPr="001531CD">
        <w:t>m.</w:t>
      </w:r>
      <w:r w:rsidRPr="001531CD">
        <w:tab/>
        <w:t>name and certification\registration number of person inspecting;</w:t>
      </w:r>
    </w:p>
    <w:p w14:paraId="315B786F" w14:textId="77777777" w:rsidR="0034191B" w:rsidRPr="001531CD" w:rsidRDefault="0034191B" w:rsidP="0034191B">
      <w:pPr>
        <w:pStyle w:val="a0"/>
      </w:pPr>
      <w:r w:rsidRPr="001531CD">
        <w:t>n.</w:t>
      </w:r>
      <w:r w:rsidRPr="001531CD">
        <w:tab/>
      </w:r>
      <w:r w:rsidR="00894329" w:rsidRPr="00894329">
        <w:t>inspection diagram; and</w:t>
      </w:r>
    </w:p>
    <w:p w14:paraId="1D280DCC" w14:textId="77777777" w:rsidR="00F36990" w:rsidRPr="001531CD" w:rsidRDefault="0034191B" w:rsidP="0034191B">
      <w:pPr>
        <w:pStyle w:val="a0"/>
        <w:rPr>
          <w:bCs/>
        </w:rPr>
      </w:pPr>
      <w:r w:rsidRPr="001531CD">
        <w:t>o.</w:t>
      </w:r>
      <w:r w:rsidRPr="001531CD">
        <w:tab/>
        <w:t>contract.</w:t>
      </w:r>
    </w:p>
    <w:p w14:paraId="24A60BED" w14:textId="77777777" w:rsidR="0034191B" w:rsidRPr="001531CD" w:rsidRDefault="0034191B" w:rsidP="0034191B">
      <w:pPr>
        <w:pStyle w:val="A"/>
      </w:pPr>
      <w:r w:rsidRPr="001531CD">
        <w:t>I.</w:t>
      </w:r>
      <w:r w:rsidRPr="001531CD">
        <w:tab/>
        <w:t>The licensee shall renew each phase in which he is licensed annually by June 30.</w:t>
      </w:r>
    </w:p>
    <w:p w14:paraId="11243B26" w14:textId="77777777" w:rsidR="00F36990" w:rsidRPr="001531CD" w:rsidRDefault="00F00D4E" w:rsidP="0034191B">
      <w:pPr>
        <w:pStyle w:val="A"/>
      </w:pPr>
      <w:r w:rsidRPr="009D41F2">
        <w:t>J.</w:t>
      </w:r>
      <w:r w:rsidRPr="009D41F2">
        <w:tab/>
        <w:t>The annual fee for licensed pest control operators shall be $10 for each phase in which the pest control operator is licensed.</w:t>
      </w:r>
    </w:p>
    <w:p w14:paraId="35FDCF30" w14:textId="77777777" w:rsidR="00F36990" w:rsidRPr="001531CD" w:rsidRDefault="00F36990" w:rsidP="00F36990">
      <w:pPr>
        <w:pStyle w:val="A"/>
      </w:pPr>
      <w:r w:rsidRPr="001531CD">
        <w:t>K.</w:t>
      </w:r>
      <w:r w:rsidRPr="001531CD">
        <w:tab/>
        <w:t>The permittee or the primary licensee shall report to the department all termite contracts, termite perimeter applications and wood destroying insect reports completed each month on the form provided by the department. The reports listed above are due in Division of Pesticide and Environmental Programs office in Baton Rouge on or before the tenth of the month following the contract or application or report.</w:t>
      </w:r>
    </w:p>
    <w:p w14:paraId="6502289F" w14:textId="5646C168" w:rsidR="00F36990" w:rsidRPr="001531CD" w:rsidRDefault="00F00D4E" w:rsidP="00F36990">
      <w:pPr>
        <w:pStyle w:val="A"/>
      </w:pPr>
      <w:r w:rsidRPr="009D41F2">
        <w:t>L.</w:t>
      </w:r>
      <w:r w:rsidRPr="009D41F2">
        <w:tab/>
      </w:r>
      <w:r w:rsidR="00E054E7" w:rsidRPr="00B7246F">
        <w:t>The fee for each standard contract and wood-destroying insect report that has been issued is $14. All such fees are due and payable to the department at the time the reports required by §119.E are due</w:t>
      </w:r>
      <w:r w:rsidRPr="009D41F2">
        <w:t>.</w:t>
      </w:r>
    </w:p>
    <w:p w14:paraId="1EDD40D8" w14:textId="77777777" w:rsidR="00F36990" w:rsidRPr="001531CD" w:rsidRDefault="00F36990" w:rsidP="00F36990">
      <w:pPr>
        <w:pStyle w:val="A"/>
      </w:pPr>
      <w:r w:rsidRPr="001531CD">
        <w:t>M.</w:t>
      </w:r>
      <w:r w:rsidRPr="001531CD">
        <w:tab/>
        <w:t>The permittee or the primary licensee shall have provisions for spill control including materials and tools on every vehicle transporting pesticides.</w:t>
      </w:r>
    </w:p>
    <w:p w14:paraId="290D5338" w14:textId="77777777" w:rsidR="00F00D4E" w:rsidRPr="009D41F2" w:rsidRDefault="00F00D4E" w:rsidP="00F00D4E">
      <w:pPr>
        <w:pStyle w:val="A"/>
      </w:pPr>
      <w:r w:rsidRPr="009D41F2">
        <w:t>N.</w:t>
      </w:r>
      <w:r w:rsidRPr="009D41F2">
        <w:tab/>
        <w:t>The pest control operator shall provide for an air space or a backflow preventer on the water hose used in supplying water to the chemical tank.</w:t>
      </w:r>
    </w:p>
    <w:p w14:paraId="7F3E6062" w14:textId="77777777" w:rsidR="00F00D4E" w:rsidRPr="009D41F2" w:rsidRDefault="00F00D4E" w:rsidP="00F00D4E">
      <w:pPr>
        <w:pStyle w:val="A"/>
      </w:pPr>
      <w:r w:rsidRPr="009D41F2">
        <w:t>O.</w:t>
      </w:r>
      <w:r w:rsidRPr="009D41F2">
        <w:tab/>
        <w:t>Signage of Vehicles</w:t>
      </w:r>
    </w:p>
    <w:p w14:paraId="17049607" w14:textId="77777777" w:rsidR="00F00D4E" w:rsidRPr="009D41F2" w:rsidRDefault="00F00D4E" w:rsidP="00F00D4E">
      <w:pPr>
        <w:pStyle w:val="1"/>
      </w:pPr>
      <w:r w:rsidRPr="009D41F2">
        <w:t>1.</w:t>
      </w:r>
      <w:r w:rsidRPr="009D41F2">
        <w:tab/>
        <w:t>General. A motor vehicle being operated by a place of business that is engaged in the transport or application of pesticides shall be marked as specified below:</w:t>
      </w:r>
    </w:p>
    <w:p w14:paraId="25FC38ED" w14:textId="77777777" w:rsidR="00F00D4E" w:rsidRPr="009D41F2" w:rsidRDefault="00F00D4E" w:rsidP="00F00D4E">
      <w:pPr>
        <w:pStyle w:val="a0"/>
      </w:pPr>
      <w:r w:rsidRPr="009D41F2">
        <w:t>a.</w:t>
      </w:r>
      <w:r w:rsidRPr="009D41F2">
        <w:tab/>
        <w:t>magnetic or removable signs may be used;</w:t>
      </w:r>
    </w:p>
    <w:p w14:paraId="5820A048" w14:textId="77777777" w:rsidR="00F00D4E" w:rsidRPr="009D41F2" w:rsidRDefault="00F00D4E" w:rsidP="00F00D4E">
      <w:pPr>
        <w:pStyle w:val="a0"/>
      </w:pPr>
      <w:r w:rsidRPr="009D41F2">
        <w:t>b.</w:t>
      </w:r>
      <w:r w:rsidRPr="009D41F2">
        <w:tab/>
        <w:t>size, shape, location and color of marking. The marking shall contain the following:</w:t>
      </w:r>
    </w:p>
    <w:p w14:paraId="76B1CF3B" w14:textId="77777777" w:rsidR="00F00D4E" w:rsidRPr="009D41F2" w:rsidRDefault="00F00D4E" w:rsidP="00F00D4E">
      <w:pPr>
        <w:pStyle w:val="i0"/>
      </w:pPr>
      <w:r w:rsidRPr="009D41F2">
        <w:tab/>
        <w:t>i.</w:t>
      </w:r>
      <w:r w:rsidRPr="009D41F2">
        <w:tab/>
        <w:t>appear on both sides of the vehicle;</w:t>
      </w:r>
    </w:p>
    <w:p w14:paraId="1E680BE9" w14:textId="77777777" w:rsidR="00F00D4E" w:rsidRPr="009D41F2" w:rsidRDefault="00F00D4E" w:rsidP="00F00D4E">
      <w:pPr>
        <w:pStyle w:val="i0"/>
      </w:pPr>
      <w:r w:rsidRPr="009D41F2">
        <w:tab/>
        <w:t>ii.</w:t>
      </w:r>
      <w:r w:rsidRPr="009D41F2">
        <w:tab/>
        <w:t>be in letters that contrast sharply in color with the background;</w:t>
      </w:r>
    </w:p>
    <w:p w14:paraId="189DBEB1" w14:textId="77777777" w:rsidR="00F00D4E" w:rsidRPr="009D41F2" w:rsidRDefault="00F00D4E" w:rsidP="00F00D4E">
      <w:pPr>
        <w:pStyle w:val="i0"/>
      </w:pPr>
      <w:r w:rsidRPr="009D41F2">
        <w:tab/>
        <w:t>iii.</w:t>
      </w:r>
      <w:r w:rsidRPr="009D41F2">
        <w:tab/>
        <w:t>be readily legible during daylight hours;</w:t>
      </w:r>
    </w:p>
    <w:p w14:paraId="76A945FE" w14:textId="77777777" w:rsidR="00F00D4E" w:rsidRPr="009D41F2" w:rsidRDefault="00F00D4E" w:rsidP="00F00D4E">
      <w:pPr>
        <w:pStyle w:val="i0"/>
      </w:pPr>
      <w:r w:rsidRPr="009D41F2">
        <w:tab/>
        <w:t>iv.</w:t>
      </w:r>
      <w:r w:rsidRPr="009D41F2">
        <w:tab/>
        <w:t>lettering shall be a minimum of 2 inches in height;</w:t>
      </w:r>
    </w:p>
    <w:p w14:paraId="56EF1C3B" w14:textId="77777777" w:rsidR="00F00D4E" w:rsidRPr="009D41F2" w:rsidRDefault="00F00D4E" w:rsidP="00F00D4E">
      <w:pPr>
        <w:pStyle w:val="i0"/>
      </w:pPr>
      <w:r w:rsidRPr="009D41F2">
        <w:tab/>
        <w:t>v.</w:t>
      </w:r>
      <w:r w:rsidRPr="009D41F2">
        <w:tab/>
        <w:t xml:space="preserve">be kept and maintained in a manner that retains the legibility of the information required by </w:t>
      </w:r>
      <w:r w:rsidRPr="009D41F2">
        <w:rPr>
          <w:bCs/>
        </w:rPr>
        <w:t>§</w:t>
      </w:r>
      <w:r w:rsidRPr="009D41F2">
        <w:t>117.O.1.c;</w:t>
      </w:r>
    </w:p>
    <w:p w14:paraId="2E1AE01F" w14:textId="77777777" w:rsidR="00F00D4E" w:rsidRPr="009D41F2" w:rsidRDefault="00F00D4E" w:rsidP="00F00D4E">
      <w:pPr>
        <w:pStyle w:val="a0"/>
      </w:pPr>
      <w:r w:rsidRPr="009D41F2">
        <w:t>c.</w:t>
      </w:r>
      <w:r w:rsidRPr="009D41F2">
        <w:tab/>
        <w:t>nature of marking. The marking shall display the following information:</w:t>
      </w:r>
    </w:p>
    <w:p w14:paraId="5814D330" w14:textId="77777777" w:rsidR="00F00D4E" w:rsidRPr="009D41F2" w:rsidRDefault="00F00D4E" w:rsidP="00F00D4E">
      <w:pPr>
        <w:pStyle w:val="1"/>
        <w:tabs>
          <w:tab w:val="clear" w:pos="979"/>
          <w:tab w:val="clear" w:pos="1152"/>
          <w:tab w:val="left" w:pos="1260"/>
          <w:tab w:val="left" w:pos="1350"/>
          <w:tab w:val="left" w:pos="1440"/>
        </w:tabs>
      </w:pPr>
      <w:r w:rsidRPr="009D41F2">
        <w:tab/>
        <w:t>i.</w:t>
      </w:r>
      <w:r w:rsidRPr="009D41F2">
        <w:tab/>
        <w:t>the name or trade name of the place of business operating the vehicle.</w:t>
      </w:r>
    </w:p>
    <w:p w14:paraId="31F6AEAE" w14:textId="77777777" w:rsidR="00F00D4E" w:rsidRPr="009D41F2" w:rsidRDefault="00F00D4E" w:rsidP="00F00D4E">
      <w:pPr>
        <w:pStyle w:val="A"/>
      </w:pPr>
      <w:r w:rsidRPr="009D41F2">
        <w:t>P.</w:t>
      </w:r>
      <w:r w:rsidRPr="009D41F2">
        <w:tab/>
        <w:t>No employee shall use a telephone number, other than the place of business permit phone number, to advertise or solicit business unless approved, in writing, by the permittee or licensee and reported in writing to the department.</w:t>
      </w:r>
    </w:p>
    <w:p w14:paraId="5F9825AC" w14:textId="77777777" w:rsidR="00A436FF" w:rsidRDefault="00F00D4E" w:rsidP="00F00D4E">
      <w:pPr>
        <w:pStyle w:val="A"/>
      </w:pPr>
      <w:r w:rsidRPr="009D41F2">
        <w:t>Q.</w:t>
      </w:r>
      <w:r w:rsidRPr="009D41F2">
        <w:tab/>
        <w:t xml:space="preserve">The pest control operator shall record the nature and date of the completion of new construction, as found in §101.B within the definition of </w:t>
      </w:r>
      <w:r w:rsidRPr="009D41F2">
        <w:rPr>
          <w:i/>
        </w:rPr>
        <w:t>construction</w:t>
      </w:r>
      <w:r w:rsidRPr="009D41F2">
        <w:t>, and maintain the date as part of the application records.</w:t>
      </w:r>
    </w:p>
    <w:p w14:paraId="6AEA16DE" w14:textId="77777777" w:rsidR="00F00D4E" w:rsidRPr="001531CD" w:rsidRDefault="00F00D4E" w:rsidP="00F00D4E">
      <w:pPr>
        <w:pStyle w:val="AuthorityNote"/>
      </w:pPr>
      <w:r w:rsidRPr="009D41F2">
        <w:t>AUTHORITY NOTE:</w:t>
      </w:r>
      <w:r w:rsidRPr="009D41F2">
        <w:tab/>
        <w:t>Promulgated in accordance with R.S. 3:3366 and 3:3368.</w:t>
      </w:r>
    </w:p>
    <w:p w14:paraId="317C2541" w14:textId="1330F0B2" w:rsidR="00E41C68" w:rsidRPr="00CF4F7E" w:rsidRDefault="00A436FF" w:rsidP="00E41C68">
      <w:pPr>
        <w:pStyle w:val="HistoricalNote"/>
      </w:pPr>
      <w:r w:rsidRPr="001531CD">
        <w:t>HISTORICAL NOTE:</w:t>
      </w:r>
      <w:r w:rsidRPr="001531CD">
        <w:tab/>
        <w:t>Promulgated by the Department of Agriculture, Structural Pest Control Commission, LR 11:327 (April 1985), amended by the Department of Agriculture and Forestry, Structural Pest Control Commission, LR 15:956 (November 1989), LR 21:930 (September 1995), LR 23:855 (July 1997), LR 26:2437 (November 2000), LR 29:1062 (July 2003), amended by the Department of Agriculture and Forestry, Office of Agricultural and Environmental Sciences, Structural Pest Control Commission, LR 30:196 (February 2004), LR 31:2761 (November 2005), LR 35:1468 (August 2009)</w:t>
      </w:r>
      <w:r w:rsidR="00F36990" w:rsidRPr="001531CD">
        <w:t>, LR 37:280 (January 2011)</w:t>
      </w:r>
      <w:r w:rsidR="00F00D4E">
        <w:t>, LR 39:301 (February 2</w:t>
      </w:r>
      <w:r w:rsidR="00E41C68">
        <w:t xml:space="preserve">013), LR 42:214 (February 2016), </w:t>
      </w:r>
      <w:bookmarkStart w:id="2554" w:name="_Toc256754915"/>
      <w:r w:rsidR="00E41C68">
        <w:t>LR 44:1236 (July 2018)</w:t>
      </w:r>
      <w:r w:rsidR="00B34A01">
        <w:t>, LR 46:1541 (November 2020</w:t>
      </w:r>
      <w:r w:rsidR="00985CF9" w:rsidRPr="00066C92">
        <w:t xml:space="preserve">), </w:t>
      </w:r>
      <w:r w:rsidR="00985CF9">
        <w:t>LR 49:2076 (December 2023</w:t>
      </w:r>
      <w:r w:rsidR="00B62AD7">
        <w:t>), repromulgated LR 50:776 (June 2024</w:t>
      </w:r>
      <w:r w:rsidR="00894329" w:rsidRPr="005D1C2F">
        <w:t xml:space="preserve">), </w:t>
      </w:r>
      <w:r w:rsidR="00894329">
        <w:t>amended LR 51:777 (June 2025)</w:t>
      </w:r>
      <w:r w:rsidR="00E054E7">
        <w:t xml:space="preserve">, </w:t>
      </w:r>
      <w:r w:rsidR="00E054E7" w:rsidRPr="00B7246F">
        <w:t>LR 52:349 (March 2026).</w:t>
      </w:r>
    </w:p>
    <w:p w14:paraId="02AE09F4" w14:textId="77777777" w:rsidR="00CF626A" w:rsidRPr="001531CD" w:rsidRDefault="00E41C68" w:rsidP="00E41C68">
      <w:pPr>
        <w:pStyle w:val="Section"/>
      </w:pPr>
      <w:bookmarkStart w:id="2555" w:name="_Toc224819287"/>
      <w:r>
        <w:t>§</w:t>
      </w:r>
      <w:r w:rsidR="00CF626A" w:rsidRPr="001531CD">
        <w:t>119.</w:t>
      </w:r>
      <w:r w:rsidR="00CF626A" w:rsidRPr="001531CD">
        <w:tab/>
        <w:t>Contracts for Termite Control Work</w:t>
      </w:r>
      <w:bookmarkEnd w:id="2554"/>
      <w:bookmarkEnd w:id="2555"/>
    </w:p>
    <w:p w14:paraId="69C09939" w14:textId="77777777" w:rsidR="00177C11" w:rsidRPr="001531CD" w:rsidRDefault="00177C11" w:rsidP="00177C11">
      <w:pPr>
        <w:pStyle w:val="A"/>
      </w:pPr>
      <w:r w:rsidRPr="001531CD">
        <w:t>A.</w:t>
      </w:r>
      <w:r w:rsidRPr="001531CD">
        <w:tab/>
      </w:r>
      <w:r w:rsidR="00B34A01" w:rsidRPr="00AE08CE">
        <w:t>The permittee or licensee shall enter into a written contract for termite control work with the property owner/agent employing him. The contract shall:</w:t>
      </w:r>
    </w:p>
    <w:p w14:paraId="1CC319C5" w14:textId="77777777" w:rsidR="00177C11" w:rsidRPr="001531CD" w:rsidRDefault="00177C11" w:rsidP="00177C11">
      <w:pPr>
        <w:pStyle w:val="1"/>
      </w:pPr>
      <w:r w:rsidRPr="001531CD">
        <w:t>1.</w:t>
      </w:r>
      <w:r w:rsidRPr="001531CD">
        <w:tab/>
        <w:t>be in a form provided or approved by the commission;</w:t>
      </w:r>
    </w:p>
    <w:p w14:paraId="03C060EE" w14:textId="77777777" w:rsidR="00177C11" w:rsidRPr="001531CD" w:rsidRDefault="00177C11" w:rsidP="00177C11">
      <w:pPr>
        <w:pStyle w:val="1"/>
      </w:pPr>
      <w:r w:rsidRPr="001531CD">
        <w:t>2.</w:t>
      </w:r>
      <w:r w:rsidRPr="001531CD">
        <w:tab/>
        <w:t>guarantee performance for a period of not less than 1 year after the treatment is made;</w:t>
      </w:r>
    </w:p>
    <w:p w14:paraId="06532D15" w14:textId="77777777" w:rsidR="00177C11" w:rsidRPr="001531CD" w:rsidRDefault="00177C11" w:rsidP="00177C11">
      <w:pPr>
        <w:pStyle w:val="1"/>
      </w:pPr>
      <w:r w:rsidRPr="001531CD">
        <w:t>3.</w:t>
      </w:r>
      <w:r w:rsidRPr="001531CD">
        <w:tab/>
        <w:t>guarantee treatment of the structure(s) in accordance with minimum specifications for termite control work set forth in §141 hereof;</w:t>
      </w:r>
    </w:p>
    <w:p w14:paraId="3FF52EF5" w14:textId="77777777" w:rsidR="00177C11" w:rsidRPr="001531CD" w:rsidRDefault="00177C11" w:rsidP="00177C11">
      <w:pPr>
        <w:pStyle w:val="1"/>
        <w:rPr>
          <w:strike/>
        </w:rPr>
      </w:pPr>
      <w:r w:rsidRPr="001531CD">
        <w:t>4.</w:t>
      </w:r>
      <w:r w:rsidRPr="001531CD">
        <w:tab/>
        <w:t>provide for at least one inspection of all unobstructed or accessible areas outside of the structure(s) prior to expiration of the agreement;</w:t>
      </w:r>
    </w:p>
    <w:p w14:paraId="3C174CEA" w14:textId="77777777" w:rsidR="00177C11" w:rsidRPr="001531CD" w:rsidRDefault="00177C11" w:rsidP="00177C11">
      <w:pPr>
        <w:pStyle w:val="1"/>
      </w:pPr>
      <w:r w:rsidRPr="001531CD">
        <w:lastRenderedPageBreak/>
        <w:t>5.</w:t>
      </w:r>
      <w:r w:rsidRPr="001531CD">
        <w:tab/>
      </w:r>
      <w:r w:rsidR="00B62AD7" w:rsidRPr="00B62AD7">
        <w:t>include inspection diagram(s) indicating all structure(s) covered;</w:t>
      </w:r>
    </w:p>
    <w:p w14:paraId="64EE73AA" w14:textId="77777777" w:rsidR="00177C11" w:rsidRPr="001531CD" w:rsidRDefault="00177C11" w:rsidP="00177C11">
      <w:pPr>
        <w:pStyle w:val="1"/>
      </w:pPr>
      <w:r w:rsidRPr="001531CD">
        <w:t>6.</w:t>
      </w:r>
      <w:r w:rsidRPr="001531CD">
        <w:tab/>
      </w:r>
      <w:r w:rsidR="00B34A01" w:rsidRPr="008B55AA">
        <w:t>provide for the treatment of all subterranean termites, dry-wood termites, powder post beetles, or old house borers; and</w:t>
      </w:r>
    </w:p>
    <w:p w14:paraId="2AD8259D" w14:textId="77777777" w:rsidR="00177C11" w:rsidRPr="001531CD" w:rsidRDefault="00177C11" w:rsidP="00177C11">
      <w:pPr>
        <w:pStyle w:val="1"/>
      </w:pPr>
      <w:r w:rsidRPr="001531CD">
        <w:t>7.</w:t>
      </w:r>
      <w:r w:rsidRPr="001531CD">
        <w:tab/>
      </w:r>
      <w:r w:rsidR="00B62AD7" w:rsidRPr="00B62AD7">
        <w:t>include a damage repair warranty for not less than $25,000 and be exclusive to the property owner for five years subject to the terms and conditions of the contract, if the contract is for pre-construction or new construction termiticide treatment.</w:t>
      </w:r>
    </w:p>
    <w:p w14:paraId="4127BE3E" w14:textId="77777777" w:rsidR="00177C11" w:rsidRPr="001531CD" w:rsidRDefault="00177C11" w:rsidP="00177C11">
      <w:pPr>
        <w:pStyle w:val="A"/>
      </w:pPr>
      <w:r w:rsidRPr="001531CD">
        <w:t>B.</w:t>
      </w:r>
      <w:r w:rsidRPr="001531CD">
        <w:tab/>
        <w:t>Each contract for termite control work shall cover only one unit or one individual property, provided that the contract may include a garage appurtenant to the unit or individual property.</w:t>
      </w:r>
    </w:p>
    <w:p w14:paraId="2CBA31EF" w14:textId="77777777" w:rsidR="00177C11" w:rsidRPr="001531CD" w:rsidRDefault="00177C11" w:rsidP="00177C11">
      <w:pPr>
        <w:pStyle w:val="A"/>
      </w:pPr>
      <w:r w:rsidRPr="001531CD">
        <w:t>C.</w:t>
      </w:r>
      <w:r w:rsidRPr="001531CD">
        <w:tab/>
        <w:t>Contracts for spot termite treatments shall guarantee the area treated for a period of one year.</w:t>
      </w:r>
    </w:p>
    <w:p w14:paraId="7E1A5664" w14:textId="77777777" w:rsidR="00177C11" w:rsidRPr="001531CD" w:rsidRDefault="00177C11" w:rsidP="00177C11">
      <w:pPr>
        <w:pStyle w:val="A"/>
      </w:pPr>
      <w:r w:rsidRPr="001531CD">
        <w:t>D.</w:t>
      </w:r>
      <w:r w:rsidRPr="001531CD">
        <w:tab/>
      </w:r>
      <w:r w:rsidR="00B34A01" w:rsidRPr="00AE08CE">
        <w:t>The permittee or a licensee shall report to the commission, no later than the tenth day of each month, each termite control contract and initial treatment for a pre-treatment contract for termite work which he has entered into, and performed or completed during the previous month. If no contracts were entered into or performed during the previous month, the permittee or a licensee shall report this fact to the commission no later than the tenth of each month.</w:t>
      </w:r>
    </w:p>
    <w:p w14:paraId="53713FD9" w14:textId="77777777" w:rsidR="00177C11" w:rsidRPr="001531CD" w:rsidRDefault="00177C11" w:rsidP="00177C11">
      <w:pPr>
        <w:pStyle w:val="A"/>
      </w:pPr>
      <w:r w:rsidRPr="001531CD">
        <w:t>E.</w:t>
      </w:r>
      <w:r w:rsidRPr="001531CD">
        <w:tab/>
        <w:t>A licensee or permittee shall pay to the department the required fee for each standard contract issued when the required monthly report is filed with the department.</w:t>
      </w:r>
    </w:p>
    <w:p w14:paraId="3AAB5C0C" w14:textId="77777777" w:rsidR="00177C11" w:rsidRPr="001531CD" w:rsidRDefault="00177C11" w:rsidP="00177C11">
      <w:pPr>
        <w:pStyle w:val="A"/>
      </w:pPr>
      <w:r w:rsidRPr="001531CD">
        <w:t>F.</w:t>
      </w:r>
      <w:r w:rsidRPr="001531CD">
        <w:tab/>
        <w:t>Termite treatment contracts that include termite monitoring stations shall include a contract addendum that provides the number of monitoring station(s) and the frequency of inspection(s). The contract addendum shall be approved by the commission prior to its use.</w:t>
      </w:r>
    </w:p>
    <w:p w14:paraId="5AF707A2" w14:textId="77777777" w:rsidR="00177C11" w:rsidRPr="001531CD" w:rsidRDefault="00177C11" w:rsidP="00177C11">
      <w:pPr>
        <w:pStyle w:val="A"/>
      </w:pPr>
      <w:r w:rsidRPr="001531CD">
        <w:t>G.</w:t>
      </w:r>
      <w:r w:rsidRPr="001531CD">
        <w:tab/>
        <w:t>A licensee or any technician working under the licensee's supervision shall enter into a written agreement for monitoring for subterranean termites with the structure owner\agent employing him\her, which agreement shall:</w:t>
      </w:r>
    </w:p>
    <w:p w14:paraId="51ECB26F" w14:textId="77777777" w:rsidR="00177C11" w:rsidRPr="001531CD" w:rsidRDefault="00177C11" w:rsidP="00177C11">
      <w:pPr>
        <w:pStyle w:val="1"/>
      </w:pPr>
      <w:r w:rsidRPr="001531CD">
        <w:t>1.</w:t>
      </w:r>
      <w:r w:rsidRPr="001531CD">
        <w:tab/>
        <w:t>be in a form approved by the commission;</w:t>
      </w:r>
    </w:p>
    <w:p w14:paraId="00862B56" w14:textId="77777777" w:rsidR="00177C11" w:rsidRPr="001531CD" w:rsidRDefault="00177C11" w:rsidP="00177C11">
      <w:pPr>
        <w:pStyle w:val="1"/>
      </w:pPr>
      <w:r w:rsidRPr="001531CD">
        <w:t>2.</w:t>
      </w:r>
      <w:r w:rsidRPr="001531CD">
        <w:tab/>
        <w:t>provide for the frequency of inspections that shall include at least one inspection of the structure prior to expiration of the agreement;</w:t>
      </w:r>
    </w:p>
    <w:p w14:paraId="36394202" w14:textId="77777777" w:rsidR="00177C11" w:rsidRPr="001531CD" w:rsidRDefault="00177C11" w:rsidP="00177C11">
      <w:pPr>
        <w:pStyle w:val="1"/>
      </w:pPr>
      <w:r w:rsidRPr="001531CD">
        <w:t>3.</w:t>
      </w:r>
      <w:r w:rsidRPr="001531CD">
        <w:tab/>
        <w:t>provide for the number of subterranean termite monitoring station(s);</w:t>
      </w:r>
    </w:p>
    <w:p w14:paraId="4DA6104F" w14:textId="77777777" w:rsidR="00177C11" w:rsidRPr="001531CD" w:rsidRDefault="00177C11" w:rsidP="00177C11">
      <w:pPr>
        <w:pStyle w:val="1"/>
      </w:pPr>
      <w:r w:rsidRPr="001531CD">
        <w:t>4.</w:t>
      </w:r>
      <w:r w:rsidRPr="001531CD">
        <w:tab/>
        <w:t>provide for the owner name, address, city, state, zip code of the structure;</w:t>
      </w:r>
    </w:p>
    <w:p w14:paraId="76CC73DF" w14:textId="77777777" w:rsidR="00177C11" w:rsidRPr="001531CD" w:rsidRDefault="00177C11" w:rsidP="00177C11">
      <w:pPr>
        <w:pStyle w:val="1"/>
      </w:pPr>
      <w:r w:rsidRPr="001531CD">
        <w:t>5.</w:t>
      </w:r>
      <w:r w:rsidRPr="001531CD">
        <w:tab/>
        <w:t>provide the name, address, city, state, zip code of the pest control company.</w:t>
      </w:r>
    </w:p>
    <w:p w14:paraId="1C8635AA" w14:textId="77777777" w:rsidR="00A436FF" w:rsidRPr="001531CD" w:rsidRDefault="00177C11" w:rsidP="00177C11">
      <w:pPr>
        <w:pStyle w:val="AuthorityNote"/>
      </w:pPr>
      <w:r w:rsidRPr="001531CD">
        <w:t>AUTHORITY NOTE:</w:t>
      </w:r>
      <w:r w:rsidRPr="001531CD">
        <w:tab/>
        <w:t>Promulgated in accordance with R.S. 3:3366 and R.S. 3:3370.</w:t>
      </w:r>
    </w:p>
    <w:p w14:paraId="63C573C7" w14:textId="77777777" w:rsidR="00A436FF" w:rsidRPr="001531CD" w:rsidRDefault="00A436FF" w:rsidP="00A436FF">
      <w:pPr>
        <w:pStyle w:val="HistoricalNote"/>
      </w:pPr>
      <w:r w:rsidRPr="001531CD">
        <w:t>HISTORICAL NOTE:</w:t>
      </w:r>
      <w:r w:rsidRPr="001531CD">
        <w:tab/>
        <w:t xml:space="preserve">Promulgated by the Department of Agriculture, Structural Pest Control Commission, LR 11:328 (April 1985), amended by the Department of Agriculture and Forestry, Structural Pest Control Commission, LR 15:957 (November 1989), LR 26:2437 (November 2000), LR 27:1179 (August 2001), LR </w:t>
      </w:r>
      <w:r w:rsidRPr="001531CD">
        <w:t>27:2084 (December 2001), LR 28:1171 (June 2002), amended by the Department of Agriculture and Forestry, Office of Agricultural and Environmental Sciences, Structural Pest Control Commission, LR 30:196 (February 2004), LR 30:1144 (June 2004), amended by the Department of Agriculture and Forestry, Office of Agriculture and Environmental Sciences, LR 31:26 (January 2005), amended by the Department of Agriculture and Forestry, Structural Pest Control Commission, LR 35:1468 (August 2009)</w:t>
      </w:r>
      <w:r w:rsidR="00177C11" w:rsidRPr="001531CD">
        <w:t>, LR 37:282 (January 2011)</w:t>
      </w:r>
      <w:r w:rsidR="00B34A01" w:rsidRPr="00AE08CE">
        <w:t>, LR 46:</w:t>
      </w:r>
      <w:r w:rsidR="00B34A01">
        <w:t>1541 (November 2020</w:t>
      </w:r>
      <w:r w:rsidR="004D49FF" w:rsidRPr="00066C92">
        <w:t xml:space="preserve">), </w:t>
      </w:r>
      <w:r w:rsidR="004D49FF">
        <w:t>LR 49:2077 (December 2023</w:t>
      </w:r>
      <w:r w:rsidR="00B62AD7">
        <w:t>), repromulgated LR 50:776 (June 2024).</w:t>
      </w:r>
    </w:p>
    <w:p w14:paraId="28F77BE6" w14:textId="77777777" w:rsidR="00540EAB" w:rsidRDefault="00CF626A" w:rsidP="00540EAB">
      <w:pPr>
        <w:pStyle w:val="Section"/>
        <w:spacing w:after="80"/>
      </w:pPr>
      <w:bookmarkStart w:id="2556" w:name="_Toc256754916"/>
      <w:bookmarkStart w:id="2557" w:name="_Toc224819288"/>
      <w:r w:rsidRPr="001531CD">
        <w:t>§121.</w:t>
      </w:r>
      <w:r w:rsidRPr="001531CD">
        <w:tab/>
        <w:t>Wood Destroying Insect Report</w:t>
      </w:r>
      <w:bookmarkEnd w:id="2556"/>
      <w:bookmarkEnd w:id="2557"/>
    </w:p>
    <w:p w14:paraId="395901E5" w14:textId="77777777" w:rsidR="00742CAC" w:rsidRPr="00BF69DE" w:rsidRDefault="00742CAC" w:rsidP="00540EAB">
      <w:pPr>
        <w:pStyle w:val="A"/>
      </w:pPr>
      <w:r w:rsidRPr="00BF69DE">
        <w:t>A.</w:t>
      </w:r>
      <w:r w:rsidRPr="00BF69DE">
        <w:tab/>
        <w:t>A wood destroying insect report approved by the commission shall be issued only for inspections made to determine the presence of wood destroying insects for acts of sale or refinance of structures.</w:t>
      </w:r>
    </w:p>
    <w:p w14:paraId="26AA71C7" w14:textId="77777777" w:rsidR="00742CAC" w:rsidRPr="00BF69DE" w:rsidRDefault="00742CAC" w:rsidP="00742CAC">
      <w:pPr>
        <w:pStyle w:val="1"/>
      </w:pPr>
      <w:r w:rsidRPr="00BF69DE">
        <w:t>1.</w:t>
      </w:r>
      <w:r w:rsidRPr="00BF69DE">
        <w:tab/>
        <w:t>A wood destroying insect report shall not be renewable or issued for any other purposes, and shall not provide a guarantee to repair damage caused by wood destroying insects.</w:t>
      </w:r>
    </w:p>
    <w:p w14:paraId="73DBB2FC" w14:textId="77777777" w:rsidR="0034191B" w:rsidRPr="001531CD" w:rsidRDefault="00742CAC" w:rsidP="008547F7">
      <w:pPr>
        <w:pStyle w:val="1"/>
      </w:pPr>
      <w:r w:rsidRPr="00BF69DE">
        <w:t>2.</w:t>
      </w:r>
      <w:r w:rsidRPr="00BF69DE">
        <w:tab/>
        <w:t>No licensee, pest control operator, or any person employed or supervised by a licensee or pest control operator, either before or after issuing a wood destroying insect report, shall represent, orally or in writing, to any customer or potential customer that if wood destroying insects are discovered more than 90 days after the date of the WDIR inspection the licensee or pest control operator will treat the property at no cost or repair any damage caused by the wood destroying insects.</w:t>
      </w:r>
    </w:p>
    <w:p w14:paraId="4E6E69A1" w14:textId="77777777" w:rsidR="00DD482E" w:rsidRPr="001531CD" w:rsidRDefault="0034191B" w:rsidP="0034191B">
      <w:pPr>
        <w:pStyle w:val="A"/>
      </w:pPr>
      <w:r w:rsidRPr="001531CD">
        <w:t>B.</w:t>
      </w:r>
      <w:r w:rsidRPr="001531CD">
        <w:tab/>
      </w:r>
      <w:r w:rsidR="00540EAB" w:rsidRPr="008B55AA">
        <w:t>A wood destroying insect report shall be issued by a person who is licensed by the commission in termite control or a certified WDIR technician who is working under the supervision of a person who is licensed by the commission in termite control. The report shall carry a guarantee that the property will be treated without charge should live subterranean termites covered by the report be found in any readily accessible area within 90 days from the date of inspection.</w:t>
      </w:r>
    </w:p>
    <w:p w14:paraId="7CD71788" w14:textId="77777777" w:rsidR="00DD482E" w:rsidRPr="001531CD" w:rsidRDefault="00DD482E" w:rsidP="00DD482E">
      <w:pPr>
        <w:pStyle w:val="1"/>
      </w:pPr>
      <w:r w:rsidRPr="001531CD">
        <w:t>1.</w:t>
      </w:r>
      <w:r w:rsidRPr="001531CD">
        <w:tab/>
        <w:t>A contract approved by the commission shall be issued on date of treatment.</w:t>
      </w:r>
    </w:p>
    <w:p w14:paraId="62AEB8A3" w14:textId="77777777" w:rsidR="00DD482E" w:rsidRPr="001531CD" w:rsidRDefault="00DD482E" w:rsidP="00DD482E">
      <w:pPr>
        <w:pStyle w:val="1"/>
      </w:pPr>
      <w:r w:rsidRPr="001531CD">
        <w:t>2.</w:t>
      </w:r>
      <w:r w:rsidRPr="001531CD">
        <w:tab/>
        <w:t>This contract shall be reported to the commission and a fee paid as required by the Structural Pest Control Law.</w:t>
      </w:r>
    </w:p>
    <w:p w14:paraId="63EE2559" w14:textId="77777777" w:rsidR="00DD482E" w:rsidRPr="001531CD" w:rsidRDefault="00DD482E" w:rsidP="00DD482E">
      <w:pPr>
        <w:pStyle w:val="A"/>
      </w:pPr>
      <w:r w:rsidRPr="001531CD">
        <w:t>C.</w:t>
      </w:r>
      <w:r w:rsidRPr="001531CD">
        <w:tab/>
        <w:t xml:space="preserve">Regulations for completing wood destroying insect reports LPCA-143 WDIR without the </w:t>
      </w:r>
      <w:r w:rsidR="0034191B" w:rsidRPr="001531CD">
        <w:t>a</w:t>
      </w:r>
      <w:r w:rsidRPr="001531CD">
        <w:t xml:space="preserve">rbitration clause and 143 A. with the </w:t>
      </w:r>
      <w:r w:rsidR="0034191B" w:rsidRPr="001531CD">
        <w:t>a</w:t>
      </w:r>
      <w:r w:rsidRPr="001531CD">
        <w:t>rbitration clause. The following numbered sections correspond to the numbered sections on WDIR Form LPCA 143 and 143 A. LPCA 143 and 143 A shall be completed as follows.</w:t>
      </w:r>
    </w:p>
    <w:p w14:paraId="421BA2E5" w14:textId="77777777" w:rsidR="00DD482E" w:rsidRPr="001531CD" w:rsidRDefault="00DD482E" w:rsidP="00DD482E">
      <w:pPr>
        <w:pStyle w:val="RegDoubleIndent"/>
        <w:rPr>
          <w:sz w:val="16"/>
          <w:szCs w:val="16"/>
        </w:rPr>
      </w:pPr>
      <w:r w:rsidRPr="001531CD">
        <w:rPr>
          <w:sz w:val="16"/>
          <w:szCs w:val="16"/>
        </w:rPr>
        <w:t>1.</w:t>
      </w:r>
      <w:r w:rsidRPr="001531CD">
        <w:rPr>
          <w:sz w:val="16"/>
          <w:szCs w:val="16"/>
        </w:rPr>
        <w:tab/>
        <w:t>Enter HUD/FHA/VA Case number (if available).</w:t>
      </w:r>
    </w:p>
    <w:p w14:paraId="394503AF" w14:textId="77777777" w:rsidR="00DD482E" w:rsidRPr="001531CD" w:rsidRDefault="00DD482E" w:rsidP="00DD482E">
      <w:pPr>
        <w:pStyle w:val="RegDoubleIndent"/>
        <w:rPr>
          <w:sz w:val="16"/>
          <w:szCs w:val="16"/>
        </w:rPr>
      </w:pPr>
      <w:r w:rsidRPr="001531CD">
        <w:rPr>
          <w:sz w:val="16"/>
          <w:szCs w:val="16"/>
        </w:rPr>
        <w:t>2.</w:t>
      </w:r>
      <w:r w:rsidRPr="001531CD">
        <w:rPr>
          <w:sz w:val="16"/>
          <w:szCs w:val="16"/>
        </w:rPr>
        <w:tab/>
        <w:t>Enter date of structure(s) inspection.</w:t>
      </w:r>
    </w:p>
    <w:p w14:paraId="27AB17E8" w14:textId="77777777" w:rsidR="00DD482E" w:rsidRPr="001531CD" w:rsidRDefault="00DD482E" w:rsidP="00DD482E">
      <w:pPr>
        <w:pStyle w:val="RegDoubleIndent"/>
        <w:rPr>
          <w:sz w:val="16"/>
          <w:szCs w:val="16"/>
        </w:rPr>
      </w:pPr>
      <w:r w:rsidRPr="001531CD">
        <w:rPr>
          <w:sz w:val="16"/>
          <w:szCs w:val="16"/>
        </w:rPr>
        <w:t>3.A.</w:t>
      </w:r>
      <w:r w:rsidRPr="001531CD">
        <w:rPr>
          <w:sz w:val="16"/>
          <w:szCs w:val="16"/>
        </w:rPr>
        <w:tab/>
        <w:t>Enter name of inspection company.</w:t>
      </w:r>
    </w:p>
    <w:p w14:paraId="69C0F61F" w14:textId="77777777" w:rsidR="00DD482E" w:rsidRPr="001531CD" w:rsidRDefault="00DD482E" w:rsidP="00DD482E">
      <w:pPr>
        <w:pStyle w:val="RegDoubleIndent"/>
        <w:rPr>
          <w:sz w:val="16"/>
          <w:szCs w:val="16"/>
        </w:rPr>
      </w:pPr>
      <w:r w:rsidRPr="001531CD">
        <w:rPr>
          <w:sz w:val="16"/>
          <w:szCs w:val="16"/>
        </w:rPr>
        <w:t>3.B.</w:t>
      </w:r>
      <w:r w:rsidRPr="001531CD">
        <w:rPr>
          <w:sz w:val="16"/>
          <w:szCs w:val="16"/>
        </w:rPr>
        <w:tab/>
        <w:t>Enter address (including street, city, state, and zip code) of inspection company.</w:t>
      </w:r>
    </w:p>
    <w:p w14:paraId="2AAEF11C" w14:textId="77777777" w:rsidR="00DD482E" w:rsidRPr="001531CD" w:rsidRDefault="00DD482E" w:rsidP="00DD482E">
      <w:pPr>
        <w:pStyle w:val="RegDoubleIndent"/>
        <w:rPr>
          <w:sz w:val="16"/>
          <w:szCs w:val="16"/>
        </w:rPr>
      </w:pPr>
      <w:r w:rsidRPr="001531CD">
        <w:rPr>
          <w:sz w:val="16"/>
          <w:szCs w:val="16"/>
        </w:rPr>
        <w:t>3.C.</w:t>
      </w:r>
      <w:r w:rsidRPr="001531CD">
        <w:rPr>
          <w:sz w:val="16"/>
          <w:szCs w:val="16"/>
        </w:rPr>
        <w:tab/>
        <w:t>Enter telephone number (include area code) of inspection company.</w:t>
      </w:r>
    </w:p>
    <w:p w14:paraId="14647D97" w14:textId="77777777" w:rsidR="00DD482E" w:rsidRPr="001531CD" w:rsidRDefault="00DD482E" w:rsidP="00DD482E">
      <w:pPr>
        <w:pStyle w:val="RegDoubleIndent"/>
        <w:rPr>
          <w:sz w:val="16"/>
          <w:szCs w:val="16"/>
        </w:rPr>
      </w:pPr>
      <w:r w:rsidRPr="001531CD">
        <w:rPr>
          <w:sz w:val="16"/>
          <w:szCs w:val="16"/>
        </w:rPr>
        <w:t>4.</w:t>
      </w:r>
      <w:r w:rsidRPr="001531CD">
        <w:rPr>
          <w:sz w:val="16"/>
          <w:szCs w:val="16"/>
        </w:rPr>
        <w:tab/>
        <w:t>Enter pest control inspector license number.</w:t>
      </w:r>
    </w:p>
    <w:p w14:paraId="6E32C918" w14:textId="77777777" w:rsidR="00DD482E" w:rsidRPr="001531CD" w:rsidRDefault="00DD482E" w:rsidP="00DD482E">
      <w:pPr>
        <w:pStyle w:val="RegDoubleIndent"/>
        <w:rPr>
          <w:sz w:val="16"/>
          <w:szCs w:val="16"/>
        </w:rPr>
      </w:pPr>
      <w:r w:rsidRPr="001531CD">
        <w:rPr>
          <w:sz w:val="16"/>
          <w:szCs w:val="16"/>
        </w:rPr>
        <w:t>5.A.</w:t>
      </w:r>
      <w:r w:rsidRPr="001531CD">
        <w:rPr>
          <w:sz w:val="16"/>
          <w:szCs w:val="16"/>
        </w:rPr>
        <w:tab/>
        <w:t>Enter name and address of property owner\seller at the time of inspection.</w:t>
      </w:r>
    </w:p>
    <w:p w14:paraId="2D598340" w14:textId="77777777" w:rsidR="00DD482E" w:rsidRPr="001531CD" w:rsidRDefault="00DD482E" w:rsidP="00DD482E">
      <w:pPr>
        <w:pStyle w:val="RegDoubleIndent"/>
        <w:rPr>
          <w:sz w:val="16"/>
          <w:szCs w:val="16"/>
        </w:rPr>
      </w:pPr>
      <w:r w:rsidRPr="001531CD">
        <w:rPr>
          <w:sz w:val="16"/>
          <w:szCs w:val="16"/>
        </w:rPr>
        <w:t>5.B.</w:t>
      </w:r>
      <w:r w:rsidRPr="001531CD">
        <w:rPr>
          <w:sz w:val="16"/>
          <w:szCs w:val="16"/>
        </w:rPr>
        <w:tab/>
        <w:t>Enter address of property inspected (including street, city, state, and zip code).</w:t>
      </w:r>
    </w:p>
    <w:p w14:paraId="5E0CE685" w14:textId="77777777" w:rsidR="00DD482E" w:rsidRPr="001531CD" w:rsidRDefault="00DD482E" w:rsidP="00DD482E">
      <w:pPr>
        <w:pStyle w:val="RegDoubleIndent"/>
        <w:rPr>
          <w:sz w:val="16"/>
          <w:szCs w:val="16"/>
        </w:rPr>
      </w:pPr>
      <w:r w:rsidRPr="001531CD">
        <w:rPr>
          <w:sz w:val="16"/>
          <w:szCs w:val="16"/>
        </w:rPr>
        <w:lastRenderedPageBreak/>
        <w:t>5.C.</w:t>
      </w:r>
      <w:r w:rsidRPr="001531CD">
        <w:rPr>
          <w:sz w:val="16"/>
          <w:szCs w:val="16"/>
        </w:rPr>
        <w:tab/>
        <w:t>List only structures located at address in 5B that are part of this report.</w:t>
      </w:r>
    </w:p>
    <w:p w14:paraId="2FF465F7" w14:textId="77777777" w:rsidR="00DD482E" w:rsidRPr="001531CD" w:rsidRDefault="00DD482E" w:rsidP="00DD482E">
      <w:pPr>
        <w:pStyle w:val="RegDoubleIndent"/>
        <w:rPr>
          <w:sz w:val="16"/>
          <w:szCs w:val="16"/>
        </w:rPr>
      </w:pPr>
      <w:r w:rsidRPr="001531CD">
        <w:rPr>
          <w:sz w:val="16"/>
          <w:szCs w:val="16"/>
        </w:rPr>
        <w:t>5.D.</w:t>
      </w:r>
      <w:r w:rsidRPr="001531CD">
        <w:rPr>
          <w:sz w:val="16"/>
          <w:szCs w:val="16"/>
        </w:rPr>
        <w:tab/>
        <w:t>Information only. This area shall not be checked, circled or marked in any way.</w:t>
      </w:r>
    </w:p>
    <w:p w14:paraId="4DF892EA" w14:textId="77777777" w:rsidR="00DD482E" w:rsidRPr="001531CD" w:rsidRDefault="00DD482E" w:rsidP="00DD482E">
      <w:pPr>
        <w:pStyle w:val="RegDoubleIndent"/>
        <w:rPr>
          <w:sz w:val="16"/>
          <w:szCs w:val="16"/>
        </w:rPr>
      </w:pPr>
      <w:r w:rsidRPr="001531CD">
        <w:rPr>
          <w:sz w:val="16"/>
          <w:szCs w:val="16"/>
        </w:rPr>
        <w:t>6.</w:t>
      </w:r>
      <w:r w:rsidRPr="001531CD">
        <w:rPr>
          <w:sz w:val="16"/>
          <w:szCs w:val="16"/>
        </w:rPr>
        <w:tab/>
        <w:t>If any areas of the structure(s) were obstructed or inaccessible mark box YES. If no, mark box NO.</w:t>
      </w:r>
    </w:p>
    <w:p w14:paraId="54290136" w14:textId="77777777" w:rsidR="00DD482E" w:rsidRPr="001531CD" w:rsidRDefault="00DD482E" w:rsidP="00DD482E">
      <w:pPr>
        <w:pStyle w:val="RegDoubleIndent"/>
        <w:rPr>
          <w:sz w:val="16"/>
          <w:szCs w:val="16"/>
        </w:rPr>
      </w:pPr>
      <w:r w:rsidRPr="001531CD">
        <w:rPr>
          <w:sz w:val="16"/>
          <w:szCs w:val="16"/>
        </w:rPr>
        <w:t>7.</w:t>
      </w:r>
      <w:r w:rsidRPr="001531CD">
        <w:rPr>
          <w:sz w:val="16"/>
          <w:szCs w:val="16"/>
        </w:rPr>
        <w:tab/>
        <w:t>Check the appropriate block as to the construction of the structure(s) inspected. More than one block can be checked.</w:t>
      </w:r>
    </w:p>
    <w:p w14:paraId="4420452A" w14:textId="77777777" w:rsidR="00DD482E" w:rsidRPr="001531CD" w:rsidRDefault="00DD482E" w:rsidP="00DD482E">
      <w:pPr>
        <w:pStyle w:val="RegDoubleIndent"/>
        <w:rPr>
          <w:sz w:val="16"/>
          <w:szCs w:val="16"/>
        </w:rPr>
      </w:pPr>
      <w:r w:rsidRPr="001531CD">
        <w:rPr>
          <w:sz w:val="16"/>
          <w:szCs w:val="16"/>
        </w:rPr>
        <w:t>8.A.</w:t>
      </w:r>
      <w:r w:rsidRPr="001531CD">
        <w:rPr>
          <w:sz w:val="16"/>
          <w:szCs w:val="16"/>
        </w:rPr>
        <w:tab/>
        <w:t xml:space="preserve">Check this block only when there is no visible evidence of wood destroying insects in accessible areas on the structure(s) inspected. Evidence includes but is not limited to: live or dead wood destroying insects, wood destroying insect parts, shelter tubes, shelter tube stains, frass, exit holes or damaged wood due to wood destroying insects. </w:t>
      </w:r>
    </w:p>
    <w:p w14:paraId="250A4037" w14:textId="77777777" w:rsidR="00DD482E" w:rsidRPr="001531CD" w:rsidRDefault="00DD482E" w:rsidP="00DD482E">
      <w:pPr>
        <w:pStyle w:val="RegDoubleIndent"/>
        <w:rPr>
          <w:sz w:val="16"/>
          <w:szCs w:val="16"/>
        </w:rPr>
      </w:pPr>
      <w:r w:rsidRPr="001531CD">
        <w:rPr>
          <w:sz w:val="16"/>
          <w:szCs w:val="16"/>
        </w:rPr>
        <w:t>8.B.</w:t>
      </w:r>
      <w:r w:rsidRPr="001531CD">
        <w:rPr>
          <w:sz w:val="16"/>
          <w:szCs w:val="16"/>
        </w:rPr>
        <w:tab/>
        <w:t>Check this block if evidence of wood destroying insects is observed. Evidence includes but is not limited to: live or dead wood destroying insects, wood destroying insect parts, shelter tubes, shelter tube stains, frass, exit holes or evidence of damage due to wood destroying insects. If live wood destroying insects are observed, identify and list the insect(s) observed and the location(s) in this Section.</w:t>
      </w:r>
    </w:p>
    <w:p w14:paraId="154E3D4C" w14:textId="77777777" w:rsidR="00DD482E" w:rsidRPr="001531CD" w:rsidRDefault="00DD482E" w:rsidP="00DD482E">
      <w:pPr>
        <w:pStyle w:val="RegDoubleIndent"/>
        <w:rPr>
          <w:sz w:val="16"/>
          <w:szCs w:val="16"/>
        </w:rPr>
      </w:pPr>
      <w:r w:rsidRPr="001531CD">
        <w:rPr>
          <w:sz w:val="16"/>
          <w:szCs w:val="16"/>
        </w:rPr>
        <w:t>8.C.</w:t>
      </w:r>
      <w:r w:rsidRPr="001531CD">
        <w:rPr>
          <w:sz w:val="16"/>
          <w:szCs w:val="16"/>
        </w:rPr>
        <w:tab/>
        <w:t>Check this box if visible evidence of damage due to wood destroying insects was observed. Evidence of damage is defined as obvious feeding or removal of wood by wood destroying insects including "etching" or "scabbing" marks on the wood surface(s). Identify the wood destroying insect and list the location(s) of evidence of damage caused by wood destroying insects in this Section.</w:t>
      </w:r>
    </w:p>
    <w:p w14:paraId="759252BD" w14:textId="77777777" w:rsidR="00DD482E" w:rsidRPr="001531CD" w:rsidRDefault="00DD482E" w:rsidP="00DD482E">
      <w:pPr>
        <w:pStyle w:val="RegDoubleIndent"/>
        <w:rPr>
          <w:sz w:val="16"/>
          <w:szCs w:val="16"/>
        </w:rPr>
      </w:pPr>
      <w:r w:rsidRPr="001531CD">
        <w:rPr>
          <w:sz w:val="16"/>
          <w:szCs w:val="16"/>
        </w:rPr>
        <w:t>8.D.</w:t>
      </w:r>
      <w:r w:rsidRPr="001531CD">
        <w:rPr>
          <w:sz w:val="16"/>
          <w:szCs w:val="16"/>
        </w:rPr>
        <w:tab/>
        <w:t>Treatment was or will be performed by inspection company? YES or No; If YES, explain as follows:</w:t>
      </w:r>
    </w:p>
    <w:p w14:paraId="097D1D77" w14:textId="77777777" w:rsidR="00DD482E" w:rsidRPr="001531CD" w:rsidRDefault="00DD482E" w:rsidP="00DD482E">
      <w:pPr>
        <w:pStyle w:val="RegDoubleIndent"/>
        <w:tabs>
          <w:tab w:val="left" w:pos="810"/>
        </w:tabs>
        <w:ind w:firstLine="198"/>
        <w:rPr>
          <w:sz w:val="16"/>
          <w:szCs w:val="16"/>
        </w:rPr>
      </w:pPr>
      <w:r w:rsidRPr="001531CD">
        <w:rPr>
          <w:sz w:val="16"/>
          <w:szCs w:val="16"/>
        </w:rPr>
        <w:t>a.</w:t>
      </w:r>
      <w:r w:rsidRPr="001531CD">
        <w:rPr>
          <w:sz w:val="16"/>
          <w:szCs w:val="16"/>
        </w:rPr>
        <w:tab/>
        <w:t>Inspecting company with a current treatment contract on the structure(s) inspected: list the original treatment date for all structures treated and the contract type.</w:t>
      </w:r>
    </w:p>
    <w:p w14:paraId="1FE01B00" w14:textId="77777777" w:rsidR="00DD482E" w:rsidRPr="001531CD" w:rsidRDefault="00DD482E" w:rsidP="00DD482E">
      <w:pPr>
        <w:pStyle w:val="RegDoubleIndent"/>
        <w:tabs>
          <w:tab w:val="left" w:pos="810"/>
        </w:tabs>
        <w:ind w:firstLine="198"/>
        <w:rPr>
          <w:sz w:val="16"/>
          <w:szCs w:val="16"/>
        </w:rPr>
      </w:pPr>
      <w:r w:rsidRPr="001531CD">
        <w:rPr>
          <w:sz w:val="16"/>
          <w:szCs w:val="16"/>
        </w:rPr>
        <w:t>b.</w:t>
      </w:r>
      <w:r w:rsidRPr="001531CD">
        <w:rPr>
          <w:sz w:val="16"/>
          <w:szCs w:val="16"/>
        </w:rPr>
        <w:tab/>
        <w:t>Inspecting company without a current treatment contract on the structure(s) inspected: list the structure(s) to be treated and the type of treatment and contract.</w:t>
      </w:r>
    </w:p>
    <w:p w14:paraId="73788E63" w14:textId="77777777" w:rsidR="00DD482E" w:rsidRPr="001531CD" w:rsidRDefault="008547F7" w:rsidP="00DD482E">
      <w:pPr>
        <w:pStyle w:val="RegDoubleIndent"/>
        <w:rPr>
          <w:sz w:val="16"/>
          <w:szCs w:val="16"/>
        </w:rPr>
      </w:pPr>
      <w:r w:rsidRPr="006F23D2">
        <w:rPr>
          <w:sz w:val="16"/>
          <w:szCs w:val="16"/>
        </w:rPr>
        <w:t>9.</w:t>
      </w:r>
      <w:r w:rsidRPr="006F23D2">
        <w:rPr>
          <w:sz w:val="16"/>
          <w:szCs w:val="16"/>
        </w:rPr>
        <w:tab/>
        <w:t>Additional comments shall not contain language that extends the time for treatment contained in the WDIR should termites be discovered, that provides for or incorporates documents that provide inspection guarantees, damage repair guarantees or treatment guarantees, or that amends, modifies, or deletes any terms and conditions of the WDIR. (If neces</w:t>
      </w:r>
      <w:r>
        <w:rPr>
          <w:sz w:val="16"/>
          <w:szCs w:val="16"/>
        </w:rPr>
        <w:t>sary, continue on reverse side.)</w:t>
      </w:r>
    </w:p>
    <w:p w14:paraId="72FB5F6D" w14:textId="77777777" w:rsidR="00DD482E" w:rsidRPr="001531CD" w:rsidRDefault="00DD482E" w:rsidP="00DD482E">
      <w:pPr>
        <w:pStyle w:val="RegDoubleIndent"/>
        <w:rPr>
          <w:sz w:val="16"/>
          <w:szCs w:val="16"/>
        </w:rPr>
      </w:pPr>
      <w:r w:rsidRPr="001531CD">
        <w:rPr>
          <w:sz w:val="16"/>
          <w:szCs w:val="16"/>
        </w:rPr>
        <w:t>10.</w:t>
      </w:r>
      <w:r w:rsidRPr="001531CD">
        <w:rPr>
          <w:sz w:val="16"/>
          <w:szCs w:val="16"/>
        </w:rPr>
        <w:tab/>
        <w:t>Make no marks in this section.</w:t>
      </w:r>
    </w:p>
    <w:p w14:paraId="3088D55B" w14:textId="77777777" w:rsidR="00DD482E" w:rsidRPr="001531CD" w:rsidRDefault="00DD482E" w:rsidP="00DD482E">
      <w:pPr>
        <w:pStyle w:val="RegDoubleIndent"/>
        <w:rPr>
          <w:sz w:val="16"/>
          <w:szCs w:val="16"/>
        </w:rPr>
      </w:pPr>
      <w:r w:rsidRPr="001531CD">
        <w:rPr>
          <w:sz w:val="16"/>
          <w:szCs w:val="16"/>
        </w:rPr>
        <w:t>11.</w:t>
      </w:r>
      <w:r w:rsidRPr="001531CD">
        <w:rPr>
          <w:sz w:val="16"/>
          <w:szCs w:val="16"/>
        </w:rPr>
        <w:tab/>
        <w:t>Do not mark in this section.</w:t>
      </w:r>
    </w:p>
    <w:p w14:paraId="0C6DC82C" w14:textId="77777777" w:rsidR="00DD482E" w:rsidRPr="001531CD" w:rsidRDefault="00DD482E" w:rsidP="00DD482E">
      <w:pPr>
        <w:pStyle w:val="RegDoubleIndent"/>
        <w:rPr>
          <w:sz w:val="16"/>
          <w:szCs w:val="16"/>
        </w:rPr>
      </w:pPr>
      <w:r w:rsidRPr="001531CD">
        <w:rPr>
          <w:sz w:val="16"/>
          <w:szCs w:val="16"/>
        </w:rPr>
        <w:t>a.</w:t>
      </w:r>
      <w:r w:rsidRPr="001531CD">
        <w:rPr>
          <w:sz w:val="16"/>
          <w:szCs w:val="16"/>
        </w:rPr>
        <w:tab/>
        <w:t>If any of the conditions listed in this paragraph on the WDIR (LPCA 143 &amp; 143 A) are present under or to within 12 inches of the inspected structure(s), list them in section #10 of this report.</w:t>
      </w:r>
    </w:p>
    <w:p w14:paraId="6AA4F7BB" w14:textId="77777777" w:rsidR="00DD482E" w:rsidRPr="001531CD" w:rsidRDefault="00DD482E" w:rsidP="00DD482E">
      <w:pPr>
        <w:pStyle w:val="RegDoubleIndent"/>
        <w:rPr>
          <w:sz w:val="16"/>
          <w:szCs w:val="16"/>
        </w:rPr>
      </w:pPr>
      <w:r w:rsidRPr="001531CD">
        <w:rPr>
          <w:sz w:val="16"/>
          <w:szCs w:val="16"/>
        </w:rPr>
        <w:t>12.</w:t>
      </w:r>
      <w:r w:rsidRPr="001531CD">
        <w:rPr>
          <w:sz w:val="16"/>
          <w:szCs w:val="16"/>
        </w:rPr>
        <w:tab/>
        <w:t>Signature and registration\licensee number of inspector conducting the inspection.</w:t>
      </w:r>
    </w:p>
    <w:p w14:paraId="55C0A02B" w14:textId="77777777" w:rsidR="00DD482E" w:rsidRPr="001531CD" w:rsidRDefault="00DD482E" w:rsidP="00DD482E">
      <w:pPr>
        <w:pStyle w:val="RegDoubleIndent"/>
        <w:rPr>
          <w:sz w:val="16"/>
          <w:szCs w:val="16"/>
        </w:rPr>
      </w:pPr>
      <w:r w:rsidRPr="001531CD">
        <w:rPr>
          <w:sz w:val="16"/>
          <w:szCs w:val="16"/>
        </w:rPr>
        <w:t>13.</w:t>
      </w:r>
      <w:r w:rsidRPr="001531CD">
        <w:rPr>
          <w:sz w:val="16"/>
          <w:szCs w:val="16"/>
        </w:rPr>
        <w:tab/>
        <w:t>Enter date of inspector signature.</w:t>
      </w:r>
    </w:p>
    <w:p w14:paraId="59CD664A" w14:textId="77777777" w:rsidR="00DD482E" w:rsidRPr="001531CD" w:rsidRDefault="00DD482E" w:rsidP="00DD482E">
      <w:pPr>
        <w:pStyle w:val="RegDoubleIndent"/>
        <w:rPr>
          <w:sz w:val="16"/>
          <w:szCs w:val="16"/>
        </w:rPr>
      </w:pPr>
      <w:r w:rsidRPr="001531CD">
        <w:rPr>
          <w:sz w:val="16"/>
          <w:szCs w:val="16"/>
        </w:rPr>
        <w:t>14.</w:t>
      </w:r>
      <w:r w:rsidRPr="001531CD">
        <w:rPr>
          <w:sz w:val="16"/>
          <w:szCs w:val="16"/>
        </w:rPr>
        <w:tab/>
        <w:t>Enter name of person requesting the WDIR (if available).</w:t>
      </w:r>
    </w:p>
    <w:p w14:paraId="37DA0877" w14:textId="77777777" w:rsidR="00DD482E" w:rsidRPr="001531CD" w:rsidRDefault="00DD482E" w:rsidP="00DD482E">
      <w:pPr>
        <w:pStyle w:val="RegDoubleIndent"/>
        <w:rPr>
          <w:sz w:val="16"/>
          <w:szCs w:val="16"/>
        </w:rPr>
      </w:pPr>
      <w:r w:rsidRPr="001531CD">
        <w:rPr>
          <w:sz w:val="16"/>
          <w:szCs w:val="16"/>
        </w:rPr>
        <w:t>15.</w:t>
      </w:r>
      <w:r w:rsidRPr="001531CD">
        <w:rPr>
          <w:sz w:val="16"/>
          <w:szCs w:val="16"/>
        </w:rPr>
        <w:tab/>
      </w:r>
      <w:r w:rsidRPr="001531CD">
        <w:rPr>
          <w:bCs/>
          <w:sz w:val="16"/>
          <w:szCs w:val="16"/>
        </w:rPr>
        <w:t>Enter name</w:t>
      </w:r>
      <w:r w:rsidRPr="001531CD">
        <w:rPr>
          <w:bCs/>
          <w:color w:val="0000FF"/>
          <w:sz w:val="16"/>
          <w:szCs w:val="16"/>
        </w:rPr>
        <w:t xml:space="preserve"> </w:t>
      </w:r>
      <w:r w:rsidRPr="001531CD">
        <w:rPr>
          <w:sz w:val="16"/>
          <w:szCs w:val="16"/>
        </w:rPr>
        <w:t>of person WDIR received by (if available).</w:t>
      </w:r>
    </w:p>
    <w:p w14:paraId="42838011" w14:textId="77777777" w:rsidR="00DD482E" w:rsidRPr="001531CD" w:rsidRDefault="00DD482E" w:rsidP="00DD482E">
      <w:pPr>
        <w:pStyle w:val="RegDoubleIndent"/>
        <w:rPr>
          <w:sz w:val="16"/>
          <w:szCs w:val="16"/>
        </w:rPr>
      </w:pPr>
      <w:r w:rsidRPr="001531CD">
        <w:rPr>
          <w:sz w:val="16"/>
          <w:szCs w:val="16"/>
        </w:rPr>
        <w:t>16.</w:t>
      </w:r>
      <w:r w:rsidRPr="001531CD">
        <w:rPr>
          <w:sz w:val="16"/>
          <w:szCs w:val="16"/>
        </w:rPr>
        <w:tab/>
        <w:t>Title of person in Number 15 (if available).</w:t>
      </w:r>
    </w:p>
    <w:p w14:paraId="49D4E6EA" w14:textId="77777777" w:rsidR="00DD482E" w:rsidRPr="001531CD" w:rsidRDefault="00DD482E" w:rsidP="00DD482E">
      <w:pPr>
        <w:pStyle w:val="RegDoubleIndent"/>
        <w:rPr>
          <w:sz w:val="16"/>
          <w:szCs w:val="16"/>
        </w:rPr>
      </w:pPr>
      <w:r w:rsidRPr="001531CD">
        <w:rPr>
          <w:sz w:val="16"/>
          <w:szCs w:val="16"/>
        </w:rPr>
        <w:t>17.</w:t>
      </w:r>
      <w:r w:rsidRPr="001531CD">
        <w:rPr>
          <w:sz w:val="16"/>
          <w:szCs w:val="16"/>
        </w:rPr>
        <w:tab/>
        <w:t>Date of signature of Number 15 (if available).</w:t>
      </w:r>
    </w:p>
    <w:p w14:paraId="07AB7794" w14:textId="77777777" w:rsidR="00DD482E" w:rsidRPr="001531CD" w:rsidRDefault="00DD482E" w:rsidP="00DD482E">
      <w:pPr>
        <w:pStyle w:val="A"/>
      </w:pPr>
      <w:r w:rsidRPr="001531CD">
        <w:t>D.</w:t>
      </w:r>
      <w:r w:rsidRPr="001531CD">
        <w:tab/>
        <w:t>Minimum Specifications for conducting a Wood Destroying Insect Report</w:t>
      </w:r>
    </w:p>
    <w:p w14:paraId="581710B4" w14:textId="77777777" w:rsidR="00DD482E" w:rsidRPr="001531CD" w:rsidRDefault="00DD482E" w:rsidP="00DD482E">
      <w:pPr>
        <w:pStyle w:val="1"/>
        <w:rPr>
          <w:strike/>
        </w:rPr>
      </w:pPr>
      <w:r w:rsidRPr="001531CD">
        <w:t>1.</w:t>
      </w:r>
      <w:r w:rsidRPr="001531CD">
        <w:tab/>
        <w:t xml:space="preserve">No person shall conduct a WDIR inspection unless that person is properly licensed in termite control or is a certified WDIR technician. </w:t>
      </w:r>
    </w:p>
    <w:p w14:paraId="07E89C1D" w14:textId="77777777" w:rsidR="00DD482E" w:rsidRPr="001531CD" w:rsidRDefault="00DD482E" w:rsidP="00DD482E">
      <w:pPr>
        <w:pStyle w:val="1"/>
      </w:pPr>
      <w:r w:rsidRPr="001531CD">
        <w:t>2.</w:t>
      </w:r>
      <w:r w:rsidRPr="001531CD">
        <w:tab/>
        <w:t>Persons described in LAC 7:XXIII.121.D.1 shall inspect all unobstructed or accessible areas including but not limited to bath traps with visible access, crawl spaces of raised pier construction, and attics having a permanent ladder or staircase specifically to provide access to the attic.</w:t>
      </w:r>
    </w:p>
    <w:p w14:paraId="01B9CC65" w14:textId="77777777" w:rsidR="00CF626A" w:rsidRPr="001531CD" w:rsidRDefault="008547F7" w:rsidP="00DD482E">
      <w:pPr>
        <w:pStyle w:val="AuthorityNote"/>
      </w:pPr>
      <w:r w:rsidRPr="00BF69DE">
        <w:t>AUTHORITY NOTE:</w:t>
      </w:r>
      <w:r w:rsidRPr="00BF69DE">
        <w:tab/>
        <w:t>Promulgated in accordance with R.S. 3:3366 and 3:3670.</w:t>
      </w:r>
    </w:p>
    <w:p w14:paraId="4FE2F996" w14:textId="77777777" w:rsidR="00CF626A" w:rsidRPr="001531CD" w:rsidRDefault="00CF626A">
      <w:pPr>
        <w:pStyle w:val="HistoricalNote"/>
      </w:pPr>
      <w:r w:rsidRPr="001531CD">
        <w:t>HISTORICAL NOTE:</w:t>
      </w:r>
      <w:r w:rsidRPr="001531CD">
        <w:tab/>
        <w:t xml:space="preserve">Promulgated by the Department of Agriculture, Structural Pest Control Commission, LR 12:285 (May </w:t>
      </w:r>
      <w:r w:rsidRPr="001531CD">
        <w:t>1986), amended by the Department of Agriculture and Forestry, Structural Pest Control Commission, LR 23:856 (July 1997), LR 24:631 (April 1998), LR 25:235 (February 1999), LR 25:829 (May 1999), amended by the Department of Agriculture and Forestry, Office of Agriculture and Environmental Sciences, LR 31:26 (January 2005</w:t>
      </w:r>
      <w:r w:rsidR="009A1C14" w:rsidRPr="001531CD">
        <w:t>), amended by the Department of Agriculture and Forestry, Structural Pest Control C</w:t>
      </w:r>
      <w:r w:rsidR="00DF0E7D" w:rsidRPr="001531CD">
        <w:t>ommission, LR 32:797 (May 2006), repromulgated LR 32:1017 (June 2006)</w:t>
      </w:r>
      <w:r w:rsidR="00DD482E" w:rsidRPr="001531CD">
        <w:t xml:space="preserve">, </w:t>
      </w:r>
      <w:r w:rsidR="00646166" w:rsidRPr="001531CD">
        <w:t xml:space="preserve">amended </w:t>
      </w:r>
      <w:r w:rsidR="00DD482E" w:rsidRPr="001531CD">
        <w:t>LR 37:282 (January 2011)</w:t>
      </w:r>
      <w:r w:rsidR="0034191B" w:rsidRPr="001531CD">
        <w:t>, amended by the Department of Agriculture and Forestry, Office of Agricultural and Environmental Sciences, Structural Pest Control Commis</w:t>
      </w:r>
      <w:r w:rsidR="008547F7">
        <w:t xml:space="preserve">sion, LR 39:301 (February 2013), </w:t>
      </w:r>
      <w:r w:rsidR="008547F7" w:rsidRPr="00BF69DE">
        <w:t>LR 39:</w:t>
      </w:r>
      <w:r w:rsidR="008547F7">
        <w:t>3238 (December 2013)</w:t>
      </w:r>
      <w:r w:rsidR="00540EAB" w:rsidRPr="00AE08CE">
        <w:t>, LR 46:</w:t>
      </w:r>
      <w:r w:rsidR="00540EAB">
        <w:t>1542 (November 2020).</w:t>
      </w:r>
    </w:p>
    <w:p w14:paraId="518DC07E" w14:textId="77777777" w:rsidR="00CF626A" w:rsidRPr="001531CD" w:rsidRDefault="00CF626A">
      <w:pPr>
        <w:pStyle w:val="Section"/>
      </w:pPr>
      <w:bookmarkStart w:id="2558" w:name="_Toc256754917"/>
      <w:bookmarkStart w:id="2559" w:name="_Toc224819289"/>
      <w:r w:rsidRPr="001531CD">
        <w:t>§123.</w:t>
      </w:r>
      <w:r w:rsidRPr="001531CD">
        <w:tab/>
        <w:t>Change in Status of Licensee</w:t>
      </w:r>
      <w:bookmarkEnd w:id="2558"/>
      <w:bookmarkEnd w:id="2559"/>
    </w:p>
    <w:p w14:paraId="461E79D0" w14:textId="77777777" w:rsidR="00B62AD7" w:rsidRPr="00B62AD7" w:rsidRDefault="001379CF" w:rsidP="00B62AD7">
      <w:pPr>
        <w:pStyle w:val="A"/>
      </w:pPr>
      <w:r w:rsidRPr="001531CD">
        <w:t>A.</w:t>
      </w:r>
      <w:r w:rsidRPr="001531CD">
        <w:tab/>
      </w:r>
      <w:r w:rsidR="00B62AD7" w:rsidRPr="00B62AD7">
        <w:t>Any change in a licensee's status (e.g., death, retirement, prolonged illness, merger of companies, sale, change of ownership, etc.) shall be reported to the department, in writing, within 14 days after the change in status occurs by the permittee or primary licensee.</w:t>
      </w:r>
    </w:p>
    <w:p w14:paraId="1A340AD0" w14:textId="77777777" w:rsidR="00B62AD7" w:rsidRPr="00B62AD7" w:rsidRDefault="00B62AD7" w:rsidP="00B62AD7">
      <w:pPr>
        <w:pStyle w:val="A"/>
      </w:pPr>
      <w:r w:rsidRPr="00B62AD7">
        <w:t>B.</w:t>
      </w:r>
      <w:r w:rsidRPr="00B62AD7">
        <w:tab/>
        <w:t>When any change in status occurs, provisions shall be made for supervision at any location where there is no licensee during the interim until another licensee is approved by the commission or commission staff for examination. The person in charge of the permitted location where the change in status occurred shall notify the department, in writing, of the name and address of the licensee providing supervision during the interim within 14 days after the change occurs. Supervising licensee shall notify the department of his acceptance of this supervision within 14 days of his acceptance.</w:t>
      </w:r>
    </w:p>
    <w:p w14:paraId="598F96C4" w14:textId="77777777" w:rsidR="001379CF" w:rsidRPr="001531CD" w:rsidRDefault="00B62AD7" w:rsidP="00B62AD7">
      <w:pPr>
        <w:pStyle w:val="A"/>
      </w:pPr>
      <w:r w:rsidRPr="00B62AD7">
        <w:t>C.</w:t>
      </w:r>
      <w:r w:rsidRPr="00B62AD7">
        <w:tab/>
        <w:t>When the change in status results in no licensee being domiciled at a permitted location, an applicant who is eligible for licensure shall be approved by the commission or commission staff for examination either:</w:t>
      </w:r>
    </w:p>
    <w:p w14:paraId="7497C8CC" w14:textId="77777777" w:rsidR="001379CF" w:rsidRPr="001531CD" w:rsidRDefault="001379CF" w:rsidP="001379CF">
      <w:pPr>
        <w:pStyle w:val="1"/>
      </w:pPr>
      <w:r w:rsidRPr="001531CD">
        <w:t>1.</w:t>
      </w:r>
      <w:r w:rsidRPr="001531CD">
        <w:tab/>
        <w:t>at the next meeting of the commission after the change in status occurs; or</w:t>
      </w:r>
    </w:p>
    <w:p w14:paraId="7DFF3404" w14:textId="77777777" w:rsidR="001379CF" w:rsidRPr="001531CD" w:rsidRDefault="001379CF" w:rsidP="001379CF">
      <w:pPr>
        <w:pStyle w:val="1"/>
      </w:pPr>
      <w:r w:rsidRPr="001531CD">
        <w:t>2.</w:t>
      </w:r>
      <w:r w:rsidRPr="001531CD">
        <w:tab/>
        <w:t>within 90 days after the change in status occurs, whichever is later. During this period no use of restricted-use pesticides is permitted.</w:t>
      </w:r>
    </w:p>
    <w:p w14:paraId="427B6BAC" w14:textId="77777777" w:rsidR="001379CF" w:rsidRPr="001531CD" w:rsidRDefault="001379CF" w:rsidP="001379CF">
      <w:pPr>
        <w:pStyle w:val="A"/>
      </w:pPr>
      <w:r w:rsidRPr="001531CD">
        <w:t>D.</w:t>
      </w:r>
      <w:r w:rsidRPr="001531CD">
        <w:tab/>
        <w:t>When the change of status is within the same company, there is no grace period.</w:t>
      </w:r>
    </w:p>
    <w:p w14:paraId="13DE86D2" w14:textId="77777777" w:rsidR="001379CF" w:rsidRPr="001531CD" w:rsidRDefault="001379CF" w:rsidP="001379CF">
      <w:pPr>
        <w:pStyle w:val="A"/>
      </w:pPr>
      <w:r w:rsidRPr="001531CD">
        <w:t>E.</w:t>
      </w:r>
      <w:r w:rsidRPr="001531CD">
        <w:tab/>
      </w:r>
      <w:r w:rsidR="00B62AD7" w:rsidRPr="00B62AD7">
        <w:t>When the death or disability of a licensee occurs, resulting in no licensee being domiciled at the permitted location, the commission or commission staff may extend the period for qualifying a new licensee for an additional 90 days before revoking or canceling the permit for operation.</w:t>
      </w:r>
    </w:p>
    <w:p w14:paraId="5AE6D7E4" w14:textId="77777777" w:rsidR="001372A7" w:rsidRPr="001531CD" w:rsidRDefault="001372A7" w:rsidP="001372A7">
      <w:pPr>
        <w:pStyle w:val="A"/>
      </w:pPr>
      <w:r w:rsidRPr="001531CD">
        <w:t>F.</w:t>
      </w:r>
      <w:r w:rsidRPr="001531CD">
        <w:tab/>
        <w:t>During the temporary absence of the licensee, the permittee/licensee shall designate another licensee(s), certified in the same phases as the licensee, to perform the duties that require the physical presence of a licensee for a period of time not to exceed 30 days. For the purpose of this Chapter, temporary absence shall mean any absence where the licensee would reasonably be expected to return to his duties. The licensee shall notify the department in writing of any such temporary absence giving the name of the substituting licensee jointly responsible with the licensee, and the dates of the temporary absence.</w:t>
      </w:r>
    </w:p>
    <w:p w14:paraId="64F5291B" w14:textId="77777777" w:rsidR="00CF626A" w:rsidRPr="001531CD" w:rsidRDefault="001372A7" w:rsidP="001372A7">
      <w:pPr>
        <w:pStyle w:val="AuthorityNote"/>
      </w:pPr>
      <w:r w:rsidRPr="001531CD">
        <w:lastRenderedPageBreak/>
        <w:t>AUTHORITY NOTE:</w:t>
      </w:r>
      <w:r w:rsidRPr="001531CD">
        <w:tab/>
        <w:t>Promulgated in accordance with R.S. 3:3366 and 3:3368.</w:t>
      </w:r>
    </w:p>
    <w:p w14:paraId="2C36E480" w14:textId="77777777" w:rsidR="00CF626A" w:rsidRPr="001531CD"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w:t>
      </w:r>
      <w:r w:rsidR="001379CF" w:rsidRPr="001531CD">
        <w:t>, LR 37:283 (January 2011)</w:t>
      </w:r>
      <w:r w:rsidR="001372A7" w:rsidRPr="001531CD">
        <w:t>, amended by the Department of Agriculture and Forestry, Office of Agricultural and Environmental Sciences, Structural Pest Control Commission, LR 39:301 (February 2013</w:t>
      </w:r>
      <w:r w:rsidR="004D49FF" w:rsidRPr="00066C92">
        <w:t xml:space="preserve">), </w:t>
      </w:r>
      <w:r w:rsidR="004D49FF">
        <w:t>LR 49:2077 (December 2023</w:t>
      </w:r>
      <w:r w:rsidR="00B62AD7">
        <w:t>), repromulgated LR 50:776 (June 2024).</w:t>
      </w:r>
    </w:p>
    <w:p w14:paraId="50E8C75C" w14:textId="77777777" w:rsidR="004005C1" w:rsidRPr="001531CD" w:rsidRDefault="00CF626A" w:rsidP="004005C1">
      <w:pPr>
        <w:pStyle w:val="Section"/>
      </w:pPr>
      <w:bookmarkStart w:id="2560" w:name="_Toc256754918"/>
      <w:bookmarkStart w:id="2561" w:name="_Toc224819290"/>
      <w:r w:rsidRPr="001531CD">
        <w:t>§125.</w:t>
      </w:r>
      <w:r w:rsidRPr="001531CD">
        <w:tab/>
      </w:r>
      <w:bookmarkEnd w:id="2560"/>
      <w:r w:rsidR="004005C1" w:rsidRPr="001531CD">
        <w:t>Inactive Status of License</w:t>
      </w:r>
      <w:bookmarkEnd w:id="2561"/>
    </w:p>
    <w:p w14:paraId="0D34EB7E" w14:textId="77777777" w:rsidR="004005C1" w:rsidRPr="001531CD" w:rsidRDefault="004005C1" w:rsidP="004005C1">
      <w:pPr>
        <w:pStyle w:val="A"/>
      </w:pPr>
      <w:r w:rsidRPr="001531CD">
        <w:t>A.</w:t>
      </w:r>
      <w:r w:rsidRPr="001531CD">
        <w:tab/>
        <w:t>Upon written notice to the commission, any licensee may place his license on inactive status during any period of time when he will not be directly engaged in pest control work.</w:t>
      </w:r>
    </w:p>
    <w:p w14:paraId="423AF6CC" w14:textId="77777777" w:rsidR="004005C1" w:rsidRPr="001531CD" w:rsidRDefault="004005C1" w:rsidP="004005C1">
      <w:pPr>
        <w:pStyle w:val="A"/>
      </w:pPr>
      <w:r w:rsidRPr="001531CD">
        <w:t>B.</w:t>
      </w:r>
      <w:r w:rsidRPr="001531CD">
        <w:tab/>
        <w:t>Notice to the commission shall include the period for which inactive status is requested and any information which may support the licensee's request for placement of his license on inactive status.</w:t>
      </w:r>
    </w:p>
    <w:p w14:paraId="6B1AC886" w14:textId="77777777" w:rsidR="004005C1" w:rsidRPr="001531CD" w:rsidRDefault="004005C1" w:rsidP="004005C1">
      <w:pPr>
        <w:pStyle w:val="A"/>
      </w:pPr>
      <w:r w:rsidRPr="001531CD">
        <w:t>C.</w:t>
      </w:r>
      <w:r w:rsidRPr="001531CD">
        <w:tab/>
        <w:t xml:space="preserve">The license of any licensee which has been placed on inactive status shall be maintained in current status as provided in §117.F. </w:t>
      </w:r>
    </w:p>
    <w:p w14:paraId="7D8BA367" w14:textId="77777777" w:rsidR="004005C1" w:rsidRPr="001531CD" w:rsidRDefault="004005C1" w:rsidP="004005C1">
      <w:pPr>
        <w:pStyle w:val="A"/>
      </w:pPr>
      <w:r w:rsidRPr="001531CD">
        <w:t>D.</w:t>
      </w:r>
      <w:r w:rsidRPr="001531CD">
        <w:tab/>
        <w:t>The commission may deny or defer action on a request to return a license to active status, regardless of the period of time when the license has been on inactive status, whenever the licensee on inactive status has been proven guilty in an adjudicatory proceeding of any of the violations.</w:t>
      </w:r>
    </w:p>
    <w:p w14:paraId="7108A7D1" w14:textId="77777777" w:rsidR="00CF626A" w:rsidRPr="001531CD" w:rsidRDefault="004005C1" w:rsidP="004005C1">
      <w:pPr>
        <w:pStyle w:val="AuthorityNote"/>
      </w:pPr>
      <w:r w:rsidRPr="001531CD">
        <w:t>AUTHORITY NOTE: Promulgated in accordance with R.S. R.S. 3:3366 and 3:3368.</w:t>
      </w:r>
    </w:p>
    <w:p w14:paraId="741AF170" w14:textId="77777777" w:rsidR="00CF626A"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w:t>
      </w:r>
      <w:r w:rsidR="004005C1" w:rsidRPr="001531CD">
        <w:t>, LR 37:283 (January 2011)</w:t>
      </w:r>
      <w:r w:rsidRPr="001531CD">
        <w:t>.</w:t>
      </w:r>
    </w:p>
    <w:p w14:paraId="2D9E9F9A" w14:textId="77777777" w:rsidR="00E054E7" w:rsidRPr="00B7246F" w:rsidRDefault="00E054E7" w:rsidP="00E054E7">
      <w:pPr>
        <w:pStyle w:val="Section"/>
      </w:pPr>
      <w:bookmarkStart w:id="2562" w:name="_Hlk214438175"/>
      <w:bookmarkStart w:id="2563" w:name="_Toc224819291"/>
      <w:r w:rsidRPr="00B7246F">
        <w:t>§</w:t>
      </w:r>
      <w:bookmarkEnd w:id="2562"/>
      <w:r w:rsidRPr="00B7246F">
        <w:t>126.</w:t>
      </w:r>
      <w:r w:rsidRPr="00B7246F">
        <w:tab/>
        <w:t>Enforcement</w:t>
      </w:r>
      <w:bookmarkEnd w:id="2563"/>
    </w:p>
    <w:p w14:paraId="395DB282" w14:textId="77777777" w:rsidR="00E054E7" w:rsidRPr="00B7246F" w:rsidRDefault="00E054E7" w:rsidP="00E054E7">
      <w:pPr>
        <w:pStyle w:val="A"/>
      </w:pPr>
      <w:r w:rsidRPr="00B7246F">
        <w:t>A.</w:t>
      </w:r>
      <w:r w:rsidRPr="00B7246F">
        <w:tab/>
        <w:t>Stop Orders</w:t>
      </w:r>
    </w:p>
    <w:p w14:paraId="5A95FDB7" w14:textId="77777777" w:rsidR="00E054E7" w:rsidRPr="00B7246F" w:rsidRDefault="00E054E7" w:rsidP="00E054E7">
      <w:pPr>
        <w:pStyle w:val="1"/>
      </w:pPr>
      <w:r w:rsidRPr="00B7246F">
        <w:t>1.</w:t>
      </w:r>
      <w:r w:rsidRPr="00B7246F">
        <w:tab/>
        <w:t>An alleged violator of Structural Pest Control laws, rules, and regulations may be issued a written stop order to prevent possible future violations from occurring.</w:t>
      </w:r>
    </w:p>
    <w:p w14:paraId="4733432D" w14:textId="77777777" w:rsidR="00E054E7" w:rsidRPr="00B7246F" w:rsidRDefault="00E054E7" w:rsidP="00E054E7">
      <w:pPr>
        <w:pStyle w:val="1"/>
      </w:pPr>
      <w:r w:rsidRPr="00B7246F">
        <w:t>2.</w:t>
      </w:r>
      <w:r w:rsidRPr="00B7246F">
        <w:tab/>
        <w:t>Enforcement of an issued stop order is not affected by failure to sign or accept. If an alleged violator refuses or fails to comply with an issued stop order, an adjudicatory hearing may commence.</w:t>
      </w:r>
    </w:p>
    <w:p w14:paraId="14A4EC31" w14:textId="77777777" w:rsidR="00E054E7" w:rsidRPr="00B7246F" w:rsidRDefault="00E054E7" w:rsidP="00E054E7">
      <w:pPr>
        <w:pStyle w:val="A"/>
      </w:pPr>
      <w:r w:rsidRPr="00B7246F">
        <w:t>B.</w:t>
      </w:r>
      <w:r w:rsidRPr="00B7246F">
        <w:tab/>
        <w:t>Notice of Noncompliance</w:t>
      </w:r>
    </w:p>
    <w:p w14:paraId="1605DB49" w14:textId="77777777" w:rsidR="00E054E7" w:rsidRPr="00B7246F" w:rsidRDefault="00E054E7" w:rsidP="00E054E7">
      <w:pPr>
        <w:pStyle w:val="1"/>
      </w:pPr>
      <w:r w:rsidRPr="00B7246F">
        <w:t>1.</w:t>
      </w:r>
      <w:r w:rsidRPr="00B7246F">
        <w:tab/>
        <w:t>The department may issue a notice of noncompliance.</w:t>
      </w:r>
    </w:p>
    <w:p w14:paraId="79BA3DEE" w14:textId="77777777" w:rsidR="00E054E7" w:rsidRPr="00B7246F" w:rsidRDefault="00E054E7" w:rsidP="00E054E7">
      <w:pPr>
        <w:pStyle w:val="1"/>
      </w:pPr>
      <w:r w:rsidRPr="00B7246F">
        <w:t>2.</w:t>
      </w:r>
      <w:r w:rsidRPr="00B7246F">
        <w:tab/>
        <w:t xml:space="preserve">A notice of noncompliance may be issued for a minor violation only. A notice of noncompliance shall not be issued for a moderate violation, nor a major violation. </w:t>
      </w:r>
    </w:p>
    <w:p w14:paraId="78E6DF6D" w14:textId="77777777" w:rsidR="00E054E7" w:rsidRPr="00B7246F" w:rsidRDefault="00E054E7" w:rsidP="00E054E7">
      <w:pPr>
        <w:pStyle w:val="1"/>
      </w:pPr>
      <w:r w:rsidRPr="00B7246F">
        <w:t>3.</w:t>
      </w:r>
      <w:r w:rsidRPr="00B7246F">
        <w:tab/>
        <w:t>A notice of noncompliance will be sent to the alleged violator and shall cite the specific violation, identify any corrective action for compliance and provide notice that continued noncompliance may result in enforcement action.</w:t>
      </w:r>
    </w:p>
    <w:p w14:paraId="4C163E20" w14:textId="77777777" w:rsidR="00E054E7" w:rsidRPr="00B7246F" w:rsidRDefault="00E054E7" w:rsidP="00E054E7">
      <w:pPr>
        <w:pStyle w:val="AuthorityNote"/>
        <w:rPr>
          <w:bCs/>
        </w:rPr>
      </w:pPr>
      <w:r w:rsidRPr="00B7246F">
        <w:t>AUTHORITY NOTE:</w:t>
      </w:r>
      <w:r w:rsidRPr="00B7246F">
        <w:tab/>
        <w:t>Promulgated in accordance with R.S. 3:3366.</w:t>
      </w:r>
    </w:p>
    <w:p w14:paraId="0C5A3043" w14:textId="77777777" w:rsidR="00E054E7" w:rsidRPr="00B7246F" w:rsidRDefault="00E054E7" w:rsidP="00E054E7">
      <w:pPr>
        <w:pStyle w:val="HistoricalNote"/>
      </w:pPr>
      <w:r w:rsidRPr="00B7246F">
        <w:t>HISTORICAL NOTE:</w:t>
      </w:r>
      <w:r w:rsidRPr="00B7246F">
        <w:tab/>
        <w:t>Promulgated by the Department of Agriculture, Structural Pest Control Commission, LR 52:350 (March 2026).</w:t>
      </w:r>
    </w:p>
    <w:p w14:paraId="48AD40E9" w14:textId="77777777" w:rsidR="00CF626A" w:rsidRPr="001531CD" w:rsidRDefault="00CF626A">
      <w:pPr>
        <w:pStyle w:val="Section"/>
      </w:pPr>
      <w:bookmarkStart w:id="2564" w:name="_Toc256754919"/>
      <w:bookmarkStart w:id="2565" w:name="_Toc224819292"/>
      <w:r w:rsidRPr="001531CD">
        <w:t>§127.</w:t>
      </w:r>
      <w:r w:rsidRPr="001531CD">
        <w:tab/>
        <w:t>Adjudicatory Proceedings of the Commission; Violations</w:t>
      </w:r>
      <w:bookmarkEnd w:id="2564"/>
      <w:bookmarkEnd w:id="2565"/>
    </w:p>
    <w:p w14:paraId="39A001C9" w14:textId="77777777" w:rsidR="00FF59DD" w:rsidRPr="001531CD" w:rsidRDefault="00FF59DD" w:rsidP="00FF59DD">
      <w:pPr>
        <w:pStyle w:val="A"/>
      </w:pPr>
      <w:r w:rsidRPr="001531CD">
        <w:t>A.</w:t>
      </w:r>
      <w:r w:rsidRPr="001531CD">
        <w:tab/>
        <w:t>The commission may place a licensee/registered employee on probationary status or suspend/revoke a license/registration certificate by holding an adjudicatory proceeding noticed and conducted in accordance with the requirements of the Administrative Procedure Act and the Structural Pest Control Law.</w:t>
      </w:r>
    </w:p>
    <w:p w14:paraId="4A715F60" w14:textId="77777777" w:rsidR="00FF59DD" w:rsidRPr="001531CD" w:rsidRDefault="00FF59DD" w:rsidP="00FF59DD">
      <w:pPr>
        <w:pStyle w:val="A"/>
      </w:pPr>
      <w:r w:rsidRPr="001531CD">
        <w:t>B.</w:t>
      </w:r>
      <w:r w:rsidRPr="001531CD">
        <w:tab/>
        <w:t>Whenever the commission has reason to believe that a licensee/registered employee has violated any provision of the Act or these rules and regulations, the commission shall notify the licensee/registered employee, by certified mail, at least 30 days prior to the scheduled hearing date.</w:t>
      </w:r>
    </w:p>
    <w:p w14:paraId="7A64BA2B" w14:textId="77777777" w:rsidR="00FF59DD" w:rsidRPr="001531CD" w:rsidRDefault="00FF59DD" w:rsidP="00FF59DD">
      <w:pPr>
        <w:pStyle w:val="A"/>
      </w:pPr>
      <w:r w:rsidRPr="001531CD">
        <w:t>C.</w:t>
      </w:r>
      <w:r w:rsidRPr="001531CD">
        <w:tab/>
        <w:t>In addition to providing all information required by the Administrative Procedure Act, the notice required in §125.B shall state that failure to appear at the scheduled hearing may result in the suspension or revocation of the license/registration certificate.</w:t>
      </w:r>
    </w:p>
    <w:p w14:paraId="0546EABA" w14:textId="77777777" w:rsidR="00FF59DD" w:rsidRPr="001531CD" w:rsidRDefault="00FF59DD" w:rsidP="00FF59DD">
      <w:pPr>
        <w:pStyle w:val="A"/>
      </w:pPr>
      <w:r w:rsidRPr="001531CD">
        <w:t>D.</w:t>
      </w:r>
      <w:r w:rsidRPr="001531CD">
        <w:tab/>
        <w:t>The commission may place a licensee/registered employee on probationary status or suspend/revoke his license/registration certificate when any of the following violations are sustained in a properly noticed adjudicatory proceeding:</w:t>
      </w:r>
    </w:p>
    <w:p w14:paraId="0CA792A7" w14:textId="77777777" w:rsidR="00FF59DD" w:rsidRPr="001531CD" w:rsidRDefault="00FF59DD" w:rsidP="00FF59DD">
      <w:pPr>
        <w:pStyle w:val="1"/>
      </w:pPr>
      <w:r w:rsidRPr="001531CD">
        <w:t>1.</w:t>
      </w:r>
      <w:r w:rsidRPr="001531CD">
        <w:tab/>
        <w:t>misrepresentation for the purpose of defrauding;</w:t>
      </w:r>
    </w:p>
    <w:p w14:paraId="13B1C32C" w14:textId="77777777" w:rsidR="00FF59DD" w:rsidRPr="001531CD" w:rsidRDefault="00FF59DD" w:rsidP="00FF59DD">
      <w:pPr>
        <w:pStyle w:val="1"/>
      </w:pPr>
      <w:r w:rsidRPr="001531CD">
        <w:t>2.</w:t>
      </w:r>
      <w:r w:rsidRPr="001531CD">
        <w:tab/>
        <w:t>deceiving or defrauding;</w:t>
      </w:r>
    </w:p>
    <w:p w14:paraId="259932CC" w14:textId="77777777" w:rsidR="00FF59DD" w:rsidRPr="001531CD" w:rsidRDefault="00FF59DD" w:rsidP="00FF59DD">
      <w:pPr>
        <w:pStyle w:val="1"/>
      </w:pPr>
      <w:r w:rsidRPr="001531CD">
        <w:t>3.</w:t>
      </w:r>
      <w:r w:rsidRPr="001531CD">
        <w:tab/>
        <w:t>knowingly making false statements;</w:t>
      </w:r>
    </w:p>
    <w:p w14:paraId="013E7E5A" w14:textId="77777777" w:rsidR="00FF59DD" w:rsidRPr="001531CD" w:rsidRDefault="00FF59DD" w:rsidP="00FF59DD">
      <w:pPr>
        <w:pStyle w:val="1"/>
      </w:pPr>
      <w:r w:rsidRPr="001531CD">
        <w:t>4.</w:t>
      </w:r>
      <w:r w:rsidRPr="001531CD">
        <w:tab/>
        <w:t>failure by a licensee to provide true and correct information to the commission;</w:t>
      </w:r>
    </w:p>
    <w:p w14:paraId="5581E5B0" w14:textId="77777777" w:rsidR="00FF59DD" w:rsidRPr="001531CD" w:rsidRDefault="00FF59DD" w:rsidP="00FF59DD">
      <w:pPr>
        <w:pStyle w:val="1"/>
      </w:pPr>
      <w:r w:rsidRPr="001531CD">
        <w:t>5.</w:t>
      </w:r>
      <w:r w:rsidRPr="001531CD">
        <w:tab/>
        <w:t>failure to comply with any of the requirements of the Act or these rules and regulations;</w:t>
      </w:r>
    </w:p>
    <w:p w14:paraId="7355641B" w14:textId="77777777" w:rsidR="00FF59DD" w:rsidRPr="001531CD" w:rsidRDefault="00FF59DD" w:rsidP="00FF59DD">
      <w:pPr>
        <w:pStyle w:val="1"/>
      </w:pPr>
      <w:r w:rsidRPr="001531CD">
        <w:t>6.</w:t>
      </w:r>
      <w:r w:rsidRPr="001531CD">
        <w:tab/>
        <w:t>failure to pay required fees;</w:t>
      </w:r>
    </w:p>
    <w:p w14:paraId="2DEE5CF1" w14:textId="77777777" w:rsidR="00FF59DD" w:rsidRPr="001531CD" w:rsidRDefault="00FF59DD" w:rsidP="00FF59DD">
      <w:pPr>
        <w:pStyle w:val="1"/>
      </w:pPr>
      <w:r w:rsidRPr="001531CD">
        <w:t>7.</w:t>
      </w:r>
      <w:r w:rsidRPr="001531CD">
        <w:tab/>
        <w:t>intentional misrepresentation in an application for license and/or employee registration;</w:t>
      </w:r>
    </w:p>
    <w:p w14:paraId="2C704A37" w14:textId="77777777" w:rsidR="00FF59DD" w:rsidRPr="001531CD" w:rsidRDefault="00FF59DD" w:rsidP="00FF59DD">
      <w:pPr>
        <w:pStyle w:val="1"/>
      </w:pPr>
      <w:r w:rsidRPr="001531CD">
        <w:t>8.</w:t>
      </w:r>
      <w:r w:rsidRPr="001531CD">
        <w:tab/>
        <w:t>conviction in any court of law violations of the Act or of any felony;</w:t>
      </w:r>
    </w:p>
    <w:p w14:paraId="6ADBF073" w14:textId="77777777" w:rsidR="00FF59DD" w:rsidRPr="001531CD" w:rsidRDefault="00FF59DD" w:rsidP="00FF59DD">
      <w:pPr>
        <w:pStyle w:val="1"/>
      </w:pPr>
      <w:r w:rsidRPr="001531CD">
        <w:t>9.</w:t>
      </w:r>
      <w:r w:rsidRPr="001531CD">
        <w:tab/>
        <w:t>knowingly permitting any person under the supervision of the offender to violate any provisions of the Act or these rules and regulations;</w:t>
      </w:r>
    </w:p>
    <w:p w14:paraId="12A46F21" w14:textId="77777777" w:rsidR="00FF59DD" w:rsidRPr="001531CD" w:rsidRDefault="00FF59DD" w:rsidP="00FF59DD">
      <w:pPr>
        <w:pStyle w:val="1"/>
      </w:pPr>
      <w:r w:rsidRPr="001531CD">
        <w:t>10.</w:t>
      </w:r>
      <w:r w:rsidRPr="001531CD">
        <w:tab/>
        <w:t>failure to enter into a written contract with the property owner employing the pest control operator for termite work;</w:t>
      </w:r>
    </w:p>
    <w:p w14:paraId="49480880" w14:textId="77777777" w:rsidR="00FF59DD" w:rsidRPr="001531CD" w:rsidRDefault="00FF59DD" w:rsidP="00FF59DD">
      <w:pPr>
        <w:pStyle w:val="1"/>
      </w:pPr>
      <w:r w:rsidRPr="001531CD">
        <w:t>11.</w:t>
      </w:r>
      <w:r w:rsidRPr="001531CD">
        <w:tab/>
        <w:t>failure to comply with the minimum specifications for termite control work set forth in §141;</w:t>
      </w:r>
    </w:p>
    <w:p w14:paraId="6B7AE339" w14:textId="77777777" w:rsidR="00FF59DD" w:rsidRPr="001531CD" w:rsidRDefault="00FF59DD" w:rsidP="00FF59DD">
      <w:pPr>
        <w:pStyle w:val="1"/>
      </w:pPr>
      <w:r w:rsidRPr="001531CD">
        <w:t>12.</w:t>
      </w:r>
      <w:r w:rsidRPr="001531CD">
        <w:tab/>
        <w:t>failure to follow the label and labeling requirement in the application of any pesticide not specifically covered in §141;</w:t>
      </w:r>
    </w:p>
    <w:p w14:paraId="646C01E8" w14:textId="77777777" w:rsidR="00FF59DD" w:rsidRPr="001531CD" w:rsidRDefault="00FF59DD" w:rsidP="00FF59DD">
      <w:pPr>
        <w:pStyle w:val="1"/>
      </w:pPr>
      <w:r w:rsidRPr="001531CD">
        <w:lastRenderedPageBreak/>
        <w:t>13.</w:t>
      </w:r>
      <w:r w:rsidRPr="001531CD">
        <w:tab/>
        <w:t>failure to maintain required insurance coverages and fidelity or surety bonds in full force and effect;</w:t>
      </w:r>
    </w:p>
    <w:p w14:paraId="1E921965" w14:textId="77777777" w:rsidR="00FF59DD" w:rsidRPr="001531CD" w:rsidRDefault="00FF59DD" w:rsidP="00FF59DD">
      <w:pPr>
        <w:pStyle w:val="1"/>
      </w:pPr>
      <w:r w:rsidRPr="001531CD">
        <w:t>14.</w:t>
      </w:r>
      <w:r w:rsidRPr="001531CD">
        <w:tab/>
        <w:t>failure to fulfill the terms of any written guarantees or agreements entered into;</w:t>
      </w:r>
    </w:p>
    <w:p w14:paraId="65E4F1AF" w14:textId="77777777" w:rsidR="00FF59DD" w:rsidRPr="001531CD" w:rsidRDefault="00FF59DD" w:rsidP="00FF59DD">
      <w:pPr>
        <w:pStyle w:val="1"/>
      </w:pPr>
      <w:r w:rsidRPr="001531CD">
        <w:t>15.</w:t>
      </w:r>
      <w:r w:rsidRPr="001531CD">
        <w:tab/>
        <w:t>failure to attend an approved training program for commercial applicator certification during any three-year period and failure to maintain current status as a commercial applicator;</w:t>
      </w:r>
    </w:p>
    <w:p w14:paraId="1B18B70B" w14:textId="77777777" w:rsidR="00FF59DD" w:rsidRPr="001531CD" w:rsidRDefault="00FF59DD" w:rsidP="00FF59DD">
      <w:pPr>
        <w:pStyle w:val="1"/>
      </w:pPr>
      <w:r w:rsidRPr="001531CD">
        <w:t>16.</w:t>
      </w:r>
      <w:r w:rsidRPr="001531CD">
        <w:tab/>
        <w:t>knowingly making any false or misleading statement in a wood-destroying report;</w:t>
      </w:r>
    </w:p>
    <w:p w14:paraId="1E32ED20" w14:textId="77777777" w:rsidR="00FF59DD" w:rsidRPr="001531CD" w:rsidRDefault="00FF59DD" w:rsidP="00FF59DD">
      <w:pPr>
        <w:pStyle w:val="1"/>
      </w:pPr>
      <w:r w:rsidRPr="001531CD">
        <w:t>17.</w:t>
      </w:r>
      <w:r w:rsidRPr="001531CD">
        <w:tab/>
        <w:t>gross negligence in conducting an inspection or failing to make an inspection prior to issuance of a wood-infestation report; or</w:t>
      </w:r>
    </w:p>
    <w:p w14:paraId="22BFAD15" w14:textId="77777777" w:rsidR="00FF59DD" w:rsidRPr="001531CD" w:rsidRDefault="00FF59DD" w:rsidP="00FF59DD">
      <w:pPr>
        <w:pStyle w:val="1"/>
      </w:pPr>
      <w:r w:rsidRPr="001531CD">
        <w:t>18.</w:t>
      </w:r>
      <w:r w:rsidRPr="001531CD">
        <w:tab/>
        <w:t>conviction of a violation or assessment of a civil penalty under FIFRA or Louisiana Pesticide Law;</w:t>
      </w:r>
    </w:p>
    <w:p w14:paraId="2E5FCAE8" w14:textId="77777777" w:rsidR="00FF59DD" w:rsidRPr="001531CD" w:rsidRDefault="00FF59DD" w:rsidP="00FF59DD">
      <w:pPr>
        <w:pStyle w:val="1"/>
      </w:pPr>
      <w:r w:rsidRPr="001531CD">
        <w:t>19.</w:t>
      </w:r>
      <w:r w:rsidRPr="001531CD">
        <w:tab/>
        <w:t>failure of a registered technician to attend an approved training program during any one-year period;</w:t>
      </w:r>
    </w:p>
    <w:p w14:paraId="2BF7FCAD" w14:textId="77777777" w:rsidR="00FF59DD" w:rsidRPr="001531CD" w:rsidRDefault="00FF59DD" w:rsidP="00FF59DD">
      <w:pPr>
        <w:pStyle w:val="1"/>
      </w:pPr>
      <w:r w:rsidRPr="001531CD">
        <w:t>20.</w:t>
      </w:r>
      <w:r w:rsidRPr="001531CD">
        <w:tab/>
        <w:t>failure to maintain proper signage on vehicles or;</w:t>
      </w:r>
    </w:p>
    <w:p w14:paraId="63A53CE1" w14:textId="77777777" w:rsidR="00FF59DD" w:rsidRPr="001531CD" w:rsidRDefault="00FF59DD" w:rsidP="00FF59DD">
      <w:pPr>
        <w:pStyle w:val="1"/>
      </w:pPr>
      <w:r w:rsidRPr="001531CD">
        <w:t>21.</w:t>
      </w:r>
      <w:r w:rsidRPr="001531CD">
        <w:tab/>
        <w:t>failure to keep records on all pesticide applications as required by §117.I;</w:t>
      </w:r>
    </w:p>
    <w:p w14:paraId="551D813E" w14:textId="77777777" w:rsidR="00FF59DD" w:rsidRPr="001531CD" w:rsidRDefault="00FF59DD" w:rsidP="00FF59DD">
      <w:pPr>
        <w:pStyle w:val="1"/>
      </w:pPr>
      <w:r w:rsidRPr="001531CD">
        <w:t>22.</w:t>
      </w:r>
      <w:r w:rsidRPr="001531CD">
        <w:tab/>
        <w:t>operating faulty or unsafe equipment;</w:t>
      </w:r>
    </w:p>
    <w:p w14:paraId="67F40AE0" w14:textId="77777777" w:rsidR="00FF59DD" w:rsidRPr="001531CD" w:rsidRDefault="00FF59DD" w:rsidP="00FF59DD">
      <w:pPr>
        <w:pStyle w:val="1"/>
      </w:pPr>
      <w:r w:rsidRPr="001531CD">
        <w:t>23.</w:t>
      </w:r>
      <w:r w:rsidRPr="001531CD">
        <w:tab/>
        <w:t>operating in a faulty, careless, or negligent manner;</w:t>
      </w:r>
    </w:p>
    <w:p w14:paraId="18522E09" w14:textId="77777777" w:rsidR="00FF59DD" w:rsidRPr="001531CD" w:rsidRDefault="00FF59DD" w:rsidP="00FF59DD">
      <w:pPr>
        <w:pStyle w:val="1"/>
      </w:pPr>
      <w:r w:rsidRPr="001531CD">
        <w:t>24.</w:t>
      </w:r>
      <w:r w:rsidRPr="001531CD">
        <w:tab/>
        <w:t>the intentional misrepresentation is the misrepresentation or suppression of a substantial fact with the intent either to obtain an unjust advantage for any person or to cause a loss or inconvenience to any person. Intentional misrepresentation may occur through words or actions, or by silence or inaction. The following acts are illustrative of intentional misrepresentation:</w:t>
      </w:r>
    </w:p>
    <w:p w14:paraId="23BCD002" w14:textId="77777777" w:rsidR="00CF626A" w:rsidRPr="001531CD" w:rsidRDefault="004005C1" w:rsidP="004005C1">
      <w:pPr>
        <w:pStyle w:val="a0"/>
      </w:pPr>
      <w:r w:rsidRPr="001531CD">
        <w:t>a</w:t>
      </w:r>
      <w:r w:rsidR="00FF59DD" w:rsidRPr="001531CD">
        <w:t>.</w:t>
      </w:r>
      <w:r w:rsidR="00FF59DD" w:rsidRPr="001531CD">
        <w:tab/>
        <w:t>failure of a registered technician to report structural pest control work performed by him or to remit any fees for structural pest control work collected by him, to his employer within 10 calendar days after performing the work or collecting the fee.</w:t>
      </w:r>
    </w:p>
    <w:p w14:paraId="1D84B42C" w14:textId="77777777" w:rsidR="00FF59DD" w:rsidRPr="001531CD" w:rsidRDefault="00FF59DD" w:rsidP="00FF59DD">
      <w:pPr>
        <w:pStyle w:val="AuthorityNote"/>
      </w:pPr>
      <w:r w:rsidRPr="001531CD">
        <w:t>AUTHORITY NOTE:</w:t>
      </w:r>
      <w:r w:rsidRPr="001531CD">
        <w:tab/>
        <w:t>Promulgated in accordance with R.S. 3:3366 and 3:3672.</w:t>
      </w:r>
    </w:p>
    <w:p w14:paraId="0700AE7D" w14:textId="77777777" w:rsidR="00CF626A" w:rsidRPr="001531CD"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 LR 23:854 (July 1997)</w:t>
      </w:r>
      <w:r w:rsidR="00FF59DD" w:rsidRPr="001531CD">
        <w:t>, LR 37:284 (January 2011)</w:t>
      </w:r>
      <w:r w:rsidRPr="001531CD">
        <w:t>.</w:t>
      </w:r>
    </w:p>
    <w:p w14:paraId="4032B538" w14:textId="77777777" w:rsidR="004A6FC8" w:rsidRPr="001531CD" w:rsidRDefault="00CF626A" w:rsidP="004A6FC8">
      <w:pPr>
        <w:pStyle w:val="Section"/>
      </w:pPr>
      <w:bookmarkStart w:id="2566" w:name="_Toc256754920"/>
      <w:bookmarkStart w:id="2567" w:name="_Toc224819293"/>
      <w:r w:rsidRPr="001531CD">
        <w:t>§129.</w:t>
      </w:r>
      <w:r w:rsidRPr="001531CD">
        <w:tab/>
      </w:r>
      <w:bookmarkEnd w:id="2566"/>
      <w:r w:rsidR="004A6FC8" w:rsidRPr="001531CD">
        <w:t>Probationary Status of Licensee/Registered Employee</w:t>
      </w:r>
      <w:bookmarkEnd w:id="2567"/>
    </w:p>
    <w:p w14:paraId="745F0DF1" w14:textId="77777777" w:rsidR="004A6FC8" w:rsidRPr="001531CD" w:rsidRDefault="004A6FC8" w:rsidP="004A6FC8">
      <w:pPr>
        <w:pStyle w:val="A"/>
      </w:pPr>
      <w:r w:rsidRPr="001531CD">
        <w:t>A.</w:t>
      </w:r>
      <w:r w:rsidRPr="001531CD">
        <w:tab/>
        <w:t>A license or registration certification may be placed on probationary status only upon the affirmative vote of three members of the commission at an adjudicatory proceeding noticed and conducted as required under §127.</w:t>
      </w:r>
    </w:p>
    <w:p w14:paraId="7DA6C644" w14:textId="77777777" w:rsidR="004A6FC8" w:rsidRPr="001531CD" w:rsidRDefault="004A6FC8" w:rsidP="004A6FC8">
      <w:pPr>
        <w:pStyle w:val="A"/>
      </w:pPr>
      <w:r w:rsidRPr="001531CD">
        <w:t>B.</w:t>
      </w:r>
      <w:r w:rsidRPr="001531CD">
        <w:tab/>
        <w:t>When a minor violation is sustained before the commission in an adjudicatory proceeding, a licensee or registered employee may be placed on probation for a period not to exceed six months.</w:t>
      </w:r>
    </w:p>
    <w:p w14:paraId="02111851" w14:textId="77777777" w:rsidR="004A6FC8" w:rsidRPr="001531CD" w:rsidRDefault="004A6FC8" w:rsidP="004A6FC8">
      <w:pPr>
        <w:pStyle w:val="A"/>
      </w:pPr>
      <w:r w:rsidRPr="001531CD">
        <w:t>C.</w:t>
      </w:r>
      <w:r w:rsidRPr="001531CD">
        <w:tab/>
        <w:t>When a moderate violation is sustained before the commission in an adjudicatory proceeding, the licensee or registered employee may be placed on probation for a period not to exceed one year.</w:t>
      </w:r>
    </w:p>
    <w:p w14:paraId="64DE8768" w14:textId="77777777" w:rsidR="004A6FC8" w:rsidRPr="001531CD" w:rsidRDefault="004A6FC8" w:rsidP="004A6FC8">
      <w:pPr>
        <w:pStyle w:val="A"/>
      </w:pPr>
      <w:r w:rsidRPr="001531CD">
        <w:t>D.</w:t>
      </w:r>
      <w:r w:rsidRPr="001531CD">
        <w:tab/>
        <w:t>When multiple violations (i.e., violations of more than one provision of the Act or these rules and regulations or more than one violation of the same provision of law or regulations) are sustained before the commission, the commission shall consider each separate violation and take appropriate action with respect thereto.</w:t>
      </w:r>
    </w:p>
    <w:p w14:paraId="47FD9286" w14:textId="77777777" w:rsidR="004A6FC8" w:rsidRPr="001531CD" w:rsidRDefault="004A6FC8" w:rsidP="004A6FC8">
      <w:pPr>
        <w:pStyle w:val="A"/>
      </w:pPr>
      <w:r w:rsidRPr="001531CD">
        <w:t>E.</w:t>
      </w:r>
      <w:r w:rsidRPr="001531CD">
        <w:tab/>
        <w:t>Whenever any licensee or registered employee is found in an adjudicatory proceeding to have committed a major violation or multiple violations of the Act or these rules and regulations, the commission may suspend or revoke the license/registration certificate without first imposing a period of probation.</w:t>
      </w:r>
    </w:p>
    <w:p w14:paraId="65EB052E" w14:textId="77777777" w:rsidR="004A6FC8" w:rsidRPr="001531CD" w:rsidRDefault="004A6FC8" w:rsidP="004A6FC8">
      <w:pPr>
        <w:pStyle w:val="A"/>
      </w:pPr>
      <w:r w:rsidRPr="001531CD">
        <w:t>F.</w:t>
      </w:r>
      <w:r w:rsidRPr="001531CD">
        <w:tab/>
        <w:t>Any violation of the Act or these rules and regulations during a period of probationary status will subject the offender to more severe penalties, including suspension and/or revocation of his license or registration certificate and/or the initiation of proceedings in a court of competent jurisdiction.</w:t>
      </w:r>
    </w:p>
    <w:p w14:paraId="0432A223" w14:textId="77777777" w:rsidR="004A6FC8" w:rsidRPr="001531CD" w:rsidRDefault="004A6FC8" w:rsidP="004A6FC8">
      <w:pPr>
        <w:pStyle w:val="A"/>
      </w:pPr>
      <w:r w:rsidRPr="001531CD">
        <w:t>G.</w:t>
      </w:r>
      <w:r w:rsidRPr="001531CD">
        <w:tab/>
        <w:t>If the violations resulting in the imposition of probationary status are corrected during the period of probationary status, the probationary period shall automatically expire, without notice, at the end of the probationary period specified by the commission.</w:t>
      </w:r>
    </w:p>
    <w:p w14:paraId="2582C5D3" w14:textId="77777777" w:rsidR="004A6FC8" w:rsidRPr="001531CD" w:rsidRDefault="004A6FC8" w:rsidP="004A6FC8">
      <w:pPr>
        <w:pStyle w:val="A"/>
      </w:pPr>
      <w:r w:rsidRPr="001531CD">
        <w:t>H.</w:t>
      </w:r>
      <w:r w:rsidRPr="001531CD">
        <w:tab/>
        <w:t>If the violations resulting in the imposition of the probationary status are not corrected during such period of probationary status, the commission may either:</w:t>
      </w:r>
    </w:p>
    <w:p w14:paraId="24EBF078" w14:textId="77777777" w:rsidR="004A6FC8" w:rsidRPr="001531CD" w:rsidRDefault="004A6FC8" w:rsidP="004A6FC8">
      <w:pPr>
        <w:pStyle w:val="1"/>
      </w:pPr>
      <w:r w:rsidRPr="001531CD">
        <w:t>1.</w:t>
      </w:r>
      <w:r w:rsidRPr="001531CD">
        <w:tab/>
        <w:t>renew the period of probationary status; or</w:t>
      </w:r>
    </w:p>
    <w:p w14:paraId="0A74E3A5" w14:textId="77777777" w:rsidR="004A6FC8" w:rsidRPr="001531CD" w:rsidRDefault="004A6FC8" w:rsidP="004A6FC8">
      <w:pPr>
        <w:pStyle w:val="1"/>
      </w:pPr>
      <w:r w:rsidRPr="001531CD">
        <w:t>2.</w:t>
      </w:r>
      <w:r w:rsidRPr="001531CD">
        <w:tab/>
        <w:t>suspend/revoke the license/registration certificate after an adjudicatory hearing noticed and conducted under §127.</w:t>
      </w:r>
    </w:p>
    <w:p w14:paraId="414DDF53" w14:textId="77777777" w:rsidR="004A6FC8" w:rsidRPr="001531CD" w:rsidRDefault="004A6FC8" w:rsidP="004A6FC8">
      <w:pPr>
        <w:pStyle w:val="A"/>
      </w:pPr>
      <w:r w:rsidRPr="001531CD">
        <w:t>I.</w:t>
      </w:r>
      <w:r w:rsidRPr="001531CD">
        <w:tab/>
        <w:t>The licensee/registered employee may continue to work during any period of probationary status.</w:t>
      </w:r>
    </w:p>
    <w:p w14:paraId="637D3756" w14:textId="77777777" w:rsidR="004A6FC8" w:rsidRPr="001531CD" w:rsidRDefault="004A6FC8" w:rsidP="004A6FC8">
      <w:pPr>
        <w:pStyle w:val="A"/>
      </w:pPr>
      <w:r w:rsidRPr="001531CD">
        <w:t>J.</w:t>
      </w:r>
      <w:r w:rsidRPr="001531CD">
        <w:tab/>
        <w:t>The commission may place a licensee/registered employee on probationary status for one phase of pest control work for which he is licensed/registered without effect upon any other phase of pest control work for which he is licensed/registered.</w:t>
      </w:r>
    </w:p>
    <w:p w14:paraId="55C0C352" w14:textId="77777777" w:rsidR="004A6FC8" w:rsidRPr="001531CD" w:rsidRDefault="004A6FC8" w:rsidP="004A6FC8">
      <w:pPr>
        <w:pStyle w:val="A"/>
      </w:pPr>
      <w:r w:rsidRPr="001531CD">
        <w:t>K.</w:t>
      </w:r>
      <w:r w:rsidRPr="001531CD">
        <w:tab/>
        <w:t>The commission may place on probation all phases of pest control work for which the licensee/employee is licensed/registered for a violation occurring in only one phase of pest control work.</w:t>
      </w:r>
    </w:p>
    <w:p w14:paraId="5F11FBE6" w14:textId="77777777" w:rsidR="004A6FC8" w:rsidRPr="001531CD" w:rsidRDefault="004A6FC8" w:rsidP="004A6FC8">
      <w:pPr>
        <w:pStyle w:val="A"/>
      </w:pPr>
      <w:r w:rsidRPr="001531CD">
        <w:t>L.</w:t>
      </w:r>
      <w:r w:rsidRPr="001531CD">
        <w:tab/>
        <w:t>The commission shall notify the licensee/registered employee, in writing, of:</w:t>
      </w:r>
    </w:p>
    <w:p w14:paraId="4FF9A1F6" w14:textId="77777777" w:rsidR="004A6FC8" w:rsidRPr="001531CD" w:rsidRDefault="004A6FC8" w:rsidP="004A6FC8">
      <w:pPr>
        <w:pStyle w:val="1"/>
      </w:pPr>
      <w:r w:rsidRPr="001531CD">
        <w:t>1.</w:t>
      </w:r>
      <w:r w:rsidRPr="001531CD">
        <w:tab/>
        <w:t>the nature of the violations sustained before the commission, including dates and places where the violations occurred;</w:t>
      </w:r>
    </w:p>
    <w:p w14:paraId="36C73A6D" w14:textId="77777777" w:rsidR="004A6FC8" w:rsidRPr="001531CD" w:rsidRDefault="004A6FC8" w:rsidP="004A6FC8">
      <w:pPr>
        <w:pStyle w:val="1"/>
      </w:pPr>
      <w:r w:rsidRPr="001531CD">
        <w:t>2.</w:t>
      </w:r>
      <w:r w:rsidRPr="001531CD">
        <w:tab/>
        <w:t>the period of probationary status;</w:t>
      </w:r>
    </w:p>
    <w:p w14:paraId="14193C32" w14:textId="77777777" w:rsidR="004A6FC8" w:rsidRPr="001531CD" w:rsidRDefault="004A6FC8" w:rsidP="004A6FC8">
      <w:pPr>
        <w:pStyle w:val="1"/>
      </w:pPr>
      <w:r w:rsidRPr="001531CD">
        <w:t>3.</w:t>
      </w:r>
      <w:r w:rsidRPr="001531CD">
        <w:tab/>
        <w:t>the phases of the license/registration certificate affected by the probationary status; and</w:t>
      </w:r>
    </w:p>
    <w:p w14:paraId="2727006A" w14:textId="77777777" w:rsidR="004A6FC8" w:rsidRPr="001531CD" w:rsidRDefault="004A6FC8" w:rsidP="004A6FC8">
      <w:pPr>
        <w:pStyle w:val="1"/>
      </w:pPr>
      <w:r w:rsidRPr="001531CD">
        <w:lastRenderedPageBreak/>
        <w:t>4.</w:t>
      </w:r>
      <w:r w:rsidRPr="001531CD">
        <w:tab/>
        <w:t>any additional terms and conditions imposed by the commission.</w:t>
      </w:r>
    </w:p>
    <w:p w14:paraId="1E47A978" w14:textId="77777777" w:rsidR="004A6FC8" w:rsidRPr="001531CD" w:rsidRDefault="004A6FC8" w:rsidP="004A6FC8">
      <w:pPr>
        <w:pStyle w:val="A"/>
        <w:rPr>
          <w:strike/>
        </w:rPr>
      </w:pPr>
      <w:r w:rsidRPr="001531CD">
        <w:t>M.</w:t>
      </w:r>
      <w:r w:rsidRPr="001531CD">
        <w:tab/>
        <w:t xml:space="preserve">A licensee/registered employee may be placed on probationary status for a cumulative total of no more than 24 months. </w:t>
      </w:r>
    </w:p>
    <w:p w14:paraId="3E3D1498" w14:textId="77777777" w:rsidR="00CF626A" w:rsidRPr="001531CD" w:rsidRDefault="004A6FC8" w:rsidP="004A6FC8">
      <w:pPr>
        <w:pStyle w:val="AuthorityNote"/>
      </w:pPr>
      <w:r w:rsidRPr="001531CD">
        <w:t>AUTHORITY NOTE:</w:t>
      </w:r>
      <w:r w:rsidRPr="001531CD">
        <w:tab/>
        <w:t>Promulgated in accordance with R.S. 3:3366 and 3:3370.</w:t>
      </w:r>
    </w:p>
    <w:p w14:paraId="484BE74E" w14:textId="77777777" w:rsidR="00CF626A" w:rsidRPr="001531CD" w:rsidRDefault="00CF626A">
      <w:pPr>
        <w:pStyle w:val="HistoricalNote"/>
      </w:pPr>
      <w:r w:rsidRPr="001531CD">
        <w:t>HISTORICAL NOTE:</w:t>
      </w:r>
      <w:r w:rsidRPr="001531CD">
        <w:tab/>
        <w:t>Promulgated by the Department of Agriculture, Structural Pest Control Commission, LR 11:329 (April 1985)</w:t>
      </w:r>
      <w:r w:rsidR="004A6FC8" w:rsidRPr="001531CD">
        <w:t>, amended by the Department of Agriculture and Forestry, Structural Pest Control Commission, LR 37:284 (January 2011)</w:t>
      </w:r>
      <w:r w:rsidRPr="001531CD">
        <w:t>.</w:t>
      </w:r>
    </w:p>
    <w:p w14:paraId="22F57E3E" w14:textId="77777777" w:rsidR="001056E9" w:rsidRPr="001531CD" w:rsidRDefault="00CF626A" w:rsidP="001056E9">
      <w:pPr>
        <w:pStyle w:val="Section"/>
      </w:pPr>
      <w:bookmarkStart w:id="2568" w:name="_Toc256754921"/>
      <w:bookmarkStart w:id="2569" w:name="_Toc224819294"/>
      <w:r w:rsidRPr="001531CD">
        <w:t>§131.</w:t>
      </w:r>
      <w:r w:rsidRPr="001531CD">
        <w:tab/>
      </w:r>
      <w:bookmarkEnd w:id="2568"/>
      <w:r w:rsidR="001056E9" w:rsidRPr="001531CD">
        <w:t>Suspension/Revocation of License/Registration</w:t>
      </w:r>
      <w:bookmarkEnd w:id="2569"/>
      <w:r w:rsidR="001056E9" w:rsidRPr="001531CD">
        <w:t xml:space="preserve"> </w:t>
      </w:r>
    </w:p>
    <w:p w14:paraId="3EF8E15F" w14:textId="77777777" w:rsidR="001056E9" w:rsidRPr="001531CD" w:rsidRDefault="001056E9" w:rsidP="001056E9">
      <w:pPr>
        <w:pStyle w:val="A"/>
      </w:pPr>
      <w:r w:rsidRPr="001531CD">
        <w:t>A.</w:t>
      </w:r>
      <w:r w:rsidRPr="001531CD">
        <w:tab/>
        <w:t>A license/registration may be suspended/revoked by the commission:</w:t>
      </w:r>
    </w:p>
    <w:p w14:paraId="6CEAD2F9" w14:textId="77777777" w:rsidR="001056E9" w:rsidRPr="001531CD" w:rsidRDefault="001056E9" w:rsidP="001056E9">
      <w:pPr>
        <w:pStyle w:val="1"/>
      </w:pPr>
      <w:r w:rsidRPr="001531CD">
        <w:t>1.</w:t>
      </w:r>
      <w:r w:rsidRPr="001531CD">
        <w:tab/>
        <w:t>only upon the unanimous vote of the commission; and</w:t>
      </w:r>
    </w:p>
    <w:p w14:paraId="07AC9604" w14:textId="77777777" w:rsidR="001056E9" w:rsidRPr="001531CD" w:rsidRDefault="001056E9" w:rsidP="001056E9">
      <w:pPr>
        <w:pStyle w:val="1"/>
      </w:pPr>
      <w:r w:rsidRPr="001531CD">
        <w:t>2.</w:t>
      </w:r>
      <w:r w:rsidRPr="001531CD">
        <w:tab/>
        <w:t>only for a violation of the Act or these rules and regulations sustained before the commission in an adjudicatory proceeding noticed and conducted as required under §127 hereof.</w:t>
      </w:r>
    </w:p>
    <w:p w14:paraId="0303DF2A" w14:textId="77777777" w:rsidR="001056E9" w:rsidRPr="001531CD" w:rsidRDefault="001056E9" w:rsidP="001056E9">
      <w:pPr>
        <w:pStyle w:val="A"/>
      </w:pPr>
      <w:r w:rsidRPr="001531CD">
        <w:t>B.</w:t>
      </w:r>
      <w:r w:rsidRPr="001531CD">
        <w:tab/>
        <w:t>The commission may suspend/revoke a license/registration for any major violation without previously imposing a period of probationary status.</w:t>
      </w:r>
    </w:p>
    <w:p w14:paraId="4694FB37" w14:textId="77777777" w:rsidR="001056E9" w:rsidRPr="001531CD" w:rsidRDefault="001056E9" w:rsidP="001056E9">
      <w:pPr>
        <w:pStyle w:val="A"/>
      </w:pPr>
      <w:r w:rsidRPr="001531CD">
        <w:t>C.</w:t>
      </w:r>
      <w:r w:rsidRPr="001531CD">
        <w:tab/>
        <w:t>Any suspension of a license/registration shall be for a specific period of time, and the licensee/registered employee shall be notified in writing of the period of time and any conditions which may be imposed on the reinstatement thereof.</w:t>
      </w:r>
    </w:p>
    <w:p w14:paraId="5C764639" w14:textId="77777777" w:rsidR="001056E9" w:rsidRPr="001531CD" w:rsidRDefault="001056E9" w:rsidP="001056E9">
      <w:pPr>
        <w:pStyle w:val="A"/>
      </w:pPr>
      <w:r w:rsidRPr="001531CD">
        <w:t>D.</w:t>
      </w:r>
      <w:r w:rsidRPr="001531CD">
        <w:tab/>
        <w:t>In addition to the period of suspension, the commission may impose additional terms and conditions which shall be met before the license/registration will be reinstated.</w:t>
      </w:r>
    </w:p>
    <w:p w14:paraId="4070D000" w14:textId="77777777" w:rsidR="001056E9" w:rsidRPr="001531CD" w:rsidRDefault="001056E9" w:rsidP="001056E9">
      <w:pPr>
        <w:pStyle w:val="A"/>
      </w:pPr>
      <w:r w:rsidRPr="001531CD">
        <w:t>E.</w:t>
      </w:r>
      <w:r w:rsidRPr="001531CD">
        <w:tab/>
        <w:t>The licensee/registered employee shall not perform any work in any phase of pest control work, including in the case of licensees the supervision of registered employees, when his license/registration for that phase of pest control work has been suspended by the commission.</w:t>
      </w:r>
    </w:p>
    <w:p w14:paraId="42E85AEE" w14:textId="77777777" w:rsidR="001056E9" w:rsidRPr="001531CD" w:rsidRDefault="001056E9" w:rsidP="001056E9">
      <w:pPr>
        <w:pStyle w:val="A"/>
      </w:pPr>
      <w:r w:rsidRPr="001531CD">
        <w:t>F.</w:t>
      </w:r>
      <w:r w:rsidRPr="001531CD">
        <w:tab/>
        <w:t>The commission may suspend the license/registration for one phase of pest control work without effect upon any other phase of pest control work for which the licensee/employee is licensed/registered.</w:t>
      </w:r>
    </w:p>
    <w:p w14:paraId="66F52883" w14:textId="77777777" w:rsidR="001056E9" w:rsidRPr="001531CD" w:rsidRDefault="001056E9" w:rsidP="001056E9">
      <w:pPr>
        <w:pStyle w:val="A"/>
      </w:pPr>
      <w:r w:rsidRPr="001531CD">
        <w:t>G.</w:t>
      </w:r>
      <w:r w:rsidRPr="001531CD">
        <w:tab/>
        <w:t>The commission may suspend all phases of pest control work for which the licensee/employee is licensed/registered for a major violation occurring in only one phase of pest control work.</w:t>
      </w:r>
    </w:p>
    <w:p w14:paraId="66201170" w14:textId="77777777" w:rsidR="001056E9" w:rsidRPr="001531CD" w:rsidRDefault="001056E9" w:rsidP="001056E9">
      <w:pPr>
        <w:pStyle w:val="A"/>
      </w:pPr>
      <w:r w:rsidRPr="001531CD">
        <w:t>H.</w:t>
      </w:r>
      <w:r w:rsidRPr="001531CD">
        <w:tab/>
        <w:t>Upon provision of evidence acceptable to the commission, either before or at the expiration date for the period of suspension, that the violations which resulted in the suspension have been corrected, the suspension may be terminated by the commission.</w:t>
      </w:r>
    </w:p>
    <w:p w14:paraId="7749EC72" w14:textId="77777777" w:rsidR="001056E9" w:rsidRPr="001531CD" w:rsidRDefault="001056E9" w:rsidP="001056E9">
      <w:pPr>
        <w:pStyle w:val="A"/>
      </w:pPr>
      <w:r w:rsidRPr="001531CD">
        <w:t>I.</w:t>
      </w:r>
      <w:r w:rsidRPr="001531CD">
        <w:tab/>
        <w:t xml:space="preserve">When a license/registration certificate has been revoked by the commission, the license/registration certificate may not be reinstated until such time as the former licensee meets all requirements set forth in §§105, 107, 109 hereof </w:t>
      </w:r>
      <w:r w:rsidRPr="001531CD">
        <w:t>and/or the former registered employee meets all requirements set forth in §113 hereof.</w:t>
      </w:r>
    </w:p>
    <w:p w14:paraId="6A00CDCB" w14:textId="77777777" w:rsidR="00CF626A" w:rsidRPr="001531CD" w:rsidRDefault="001056E9" w:rsidP="001056E9">
      <w:pPr>
        <w:pStyle w:val="AuthorityNote"/>
      </w:pPr>
      <w:r w:rsidRPr="001531CD">
        <w:t>AUTHORITY NOTE:</w:t>
      </w:r>
      <w:r w:rsidRPr="001531CD">
        <w:tab/>
        <w:t>Promulgated in accordance with R.S. 3:3366 and 3:3370.</w:t>
      </w:r>
    </w:p>
    <w:p w14:paraId="3BE3D2AB" w14:textId="77777777" w:rsidR="00CF626A" w:rsidRPr="001531CD" w:rsidRDefault="00CF626A">
      <w:pPr>
        <w:pStyle w:val="HistoricalNote"/>
      </w:pPr>
      <w:r w:rsidRPr="001531CD">
        <w:t>HISTORICAL NOTE:</w:t>
      </w:r>
      <w:r w:rsidRPr="001531CD">
        <w:tab/>
        <w:t>Promulgated by the Department of Agriculture, Structural Pest Control Commission, LR 11:329 (April 1985)</w:t>
      </w:r>
      <w:r w:rsidR="001056E9" w:rsidRPr="001531CD">
        <w:t>, amended by the Department of Agriculture and Forestry, Structural Pest Control Commission, LR 37:285 (January 2011)</w:t>
      </w:r>
      <w:r w:rsidRPr="001531CD">
        <w:t>.</w:t>
      </w:r>
    </w:p>
    <w:p w14:paraId="2E15AF82" w14:textId="77777777" w:rsidR="001056E9" w:rsidRPr="001531CD" w:rsidRDefault="00CF626A" w:rsidP="001056E9">
      <w:pPr>
        <w:pStyle w:val="Section"/>
      </w:pPr>
      <w:bookmarkStart w:id="2570" w:name="_Toc256754922"/>
      <w:bookmarkStart w:id="2571" w:name="_Toc224819295"/>
      <w:r w:rsidRPr="001531CD">
        <w:t>§133.</w:t>
      </w:r>
      <w:r w:rsidRPr="001531CD">
        <w:tab/>
      </w:r>
      <w:bookmarkEnd w:id="2570"/>
      <w:r w:rsidR="001056E9" w:rsidRPr="001531CD">
        <w:t>Inspection, Taking of Samples</w:t>
      </w:r>
      <w:bookmarkEnd w:id="2571"/>
    </w:p>
    <w:p w14:paraId="10FAC959" w14:textId="77777777" w:rsidR="001056E9" w:rsidRPr="001531CD" w:rsidRDefault="001056E9" w:rsidP="001056E9">
      <w:pPr>
        <w:pStyle w:val="A"/>
      </w:pPr>
      <w:r w:rsidRPr="001531CD">
        <w:t>A.</w:t>
      </w:r>
      <w:r w:rsidRPr="001531CD">
        <w:tab/>
        <w:t>During the course of their inspections, inspectors employed by the commission may take soil samples and/or chemical samples of tank mixes and/or rodenticide.</w:t>
      </w:r>
    </w:p>
    <w:p w14:paraId="000B1AE0" w14:textId="77777777" w:rsidR="001056E9" w:rsidRPr="001531CD" w:rsidRDefault="001056E9" w:rsidP="001056E9">
      <w:pPr>
        <w:pStyle w:val="A"/>
      </w:pPr>
      <w:r w:rsidRPr="001531CD">
        <w:t>B.</w:t>
      </w:r>
      <w:r w:rsidRPr="001531CD">
        <w:tab/>
        <w:t>Soil and chemical samples shall be properly marked to preserve a chain of custody record and shall be submitted to the laboratory at Louisiana State University for analysis.</w:t>
      </w:r>
    </w:p>
    <w:p w14:paraId="4512B80D" w14:textId="77777777" w:rsidR="001056E9" w:rsidRPr="001531CD" w:rsidRDefault="001056E9" w:rsidP="001056E9">
      <w:pPr>
        <w:pStyle w:val="A"/>
      </w:pPr>
      <w:r w:rsidRPr="001531CD">
        <w:t>C.</w:t>
      </w:r>
      <w:r w:rsidRPr="001531CD">
        <w:tab/>
        <w:t>Results of laboratory analysis of soil and/or chemical samples may be used in adjudicatory proceedings and shall be made available to the pest control operator upon request after the analysis is completed.</w:t>
      </w:r>
    </w:p>
    <w:p w14:paraId="7A2B98CC" w14:textId="77777777" w:rsidR="001056E9" w:rsidRPr="001531CD" w:rsidRDefault="001056E9" w:rsidP="001056E9">
      <w:pPr>
        <w:pStyle w:val="A"/>
      </w:pPr>
      <w:r w:rsidRPr="001531CD">
        <w:t>D.</w:t>
      </w:r>
      <w:r w:rsidRPr="001531CD">
        <w:tab/>
        <w:t xml:space="preserve">Samples that are requested by any other person other than for enforcement by the department shall be paid for by the person requesting the chemical sample. The fee shall be </w:t>
      </w:r>
      <w:r w:rsidRPr="001531CD">
        <w:rPr>
          <w:bCs/>
        </w:rPr>
        <w:t>$500</w:t>
      </w:r>
      <w:r w:rsidRPr="001531CD">
        <w:t xml:space="preserve"> per </w:t>
      </w:r>
      <w:r w:rsidRPr="001531CD">
        <w:rPr>
          <w:bCs/>
        </w:rPr>
        <w:t>sample which includes one (1)</w:t>
      </w:r>
      <w:r w:rsidRPr="001531CD">
        <w:t xml:space="preserve"> analysis </w:t>
      </w:r>
      <w:r w:rsidRPr="001531CD">
        <w:rPr>
          <w:bCs/>
        </w:rPr>
        <w:t>and</w:t>
      </w:r>
      <w:r w:rsidRPr="001531CD">
        <w:t xml:space="preserve"> the cost for obtaining the samples by the employee of the department.</w:t>
      </w:r>
    </w:p>
    <w:p w14:paraId="7591BBEC" w14:textId="77777777" w:rsidR="00CF626A" w:rsidRPr="001531CD" w:rsidRDefault="001056E9" w:rsidP="001056E9">
      <w:pPr>
        <w:pStyle w:val="AuthorityNote"/>
      </w:pPr>
      <w:r w:rsidRPr="001531CD">
        <w:t>AUTHORITY NOTE:</w:t>
      </w:r>
      <w:r w:rsidRPr="001531CD">
        <w:tab/>
        <w:t>Promulgated in accordance with R.S. 3:3366.</w:t>
      </w:r>
    </w:p>
    <w:p w14:paraId="72E349A3" w14:textId="77777777" w:rsidR="00CF626A" w:rsidRPr="001531CD" w:rsidRDefault="00CF626A">
      <w:pPr>
        <w:pStyle w:val="HistoricalNote"/>
      </w:pPr>
      <w:r w:rsidRPr="001531CD">
        <w:t>HISTORICAL NOTE:</w:t>
      </w:r>
      <w:r w:rsidRPr="001531CD">
        <w:tab/>
        <w:t>Promulgated by the Department of Agriculture, Structural Pest Control Commission, LR 11:330 (April 1985), amended by the Department of Agriculture and Forestry, Structural Pest Control Commission, LR 15:958 (November 1989)</w:t>
      </w:r>
      <w:r w:rsidR="001056E9" w:rsidRPr="001531CD">
        <w:t xml:space="preserve">, </w:t>
      </w:r>
      <w:r w:rsidR="00B3206A" w:rsidRPr="001531CD">
        <w:t>LR 37:285 (January 2011)</w:t>
      </w:r>
      <w:r w:rsidRPr="001531CD">
        <w:t>.</w:t>
      </w:r>
    </w:p>
    <w:p w14:paraId="148CEAA1" w14:textId="77777777" w:rsidR="00B3206A" w:rsidRPr="001531CD" w:rsidRDefault="00CF626A" w:rsidP="00B3206A">
      <w:pPr>
        <w:pStyle w:val="Section"/>
      </w:pPr>
      <w:bookmarkStart w:id="2572" w:name="_Toc256754923"/>
      <w:bookmarkStart w:id="2573" w:name="_Toc224819296"/>
      <w:r w:rsidRPr="001531CD">
        <w:t>§135.</w:t>
      </w:r>
      <w:r w:rsidRPr="001531CD">
        <w:tab/>
      </w:r>
      <w:bookmarkEnd w:id="2572"/>
      <w:r w:rsidR="00B3206A" w:rsidRPr="001531CD">
        <w:t>Prohibitions</w:t>
      </w:r>
      <w:bookmarkEnd w:id="2573"/>
    </w:p>
    <w:p w14:paraId="7D11D210" w14:textId="77777777" w:rsidR="00B3206A" w:rsidRPr="001531CD" w:rsidRDefault="00B3206A" w:rsidP="00B3206A">
      <w:pPr>
        <w:pStyle w:val="A"/>
      </w:pPr>
      <w:r w:rsidRPr="001531CD">
        <w:t>A.</w:t>
      </w:r>
      <w:r w:rsidRPr="001531CD">
        <w:tab/>
        <w:t>A pest control operator shall not engage in any phase of structural pest control work for which he is not specifically licensed by the commission.</w:t>
      </w:r>
    </w:p>
    <w:p w14:paraId="2FB4BD21" w14:textId="77777777" w:rsidR="00B3206A" w:rsidRPr="001531CD" w:rsidRDefault="00B3206A" w:rsidP="00B3206A">
      <w:pPr>
        <w:pStyle w:val="A"/>
      </w:pPr>
      <w:r w:rsidRPr="001531CD">
        <w:t>B.</w:t>
      </w:r>
      <w:r w:rsidRPr="001531CD">
        <w:tab/>
        <w:t>No person engaged in the sale of products for the eradication of household pests or wood-destroying insects shall demonstrate such products by applying the products to the premises of a customer without first obtaining a license from the commission.</w:t>
      </w:r>
    </w:p>
    <w:p w14:paraId="43C864A5" w14:textId="77777777" w:rsidR="00B3206A" w:rsidRPr="001531CD" w:rsidRDefault="00B3206A" w:rsidP="00B3206A">
      <w:pPr>
        <w:pStyle w:val="A"/>
      </w:pPr>
      <w:r w:rsidRPr="001531CD">
        <w:t>C.</w:t>
      </w:r>
      <w:r w:rsidRPr="001531CD">
        <w:tab/>
        <w:t>No examination for licensure will be given if the applicant is not eligible for licensure on the basis of education and/or experience.</w:t>
      </w:r>
    </w:p>
    <w:p w14:paraId="79C9D69E" w14:textId="77777777" w:rsidR="00B3206A" w:rsidRPr="001531CD" w:rsidRDefault="00B3206A" w:rsidP="00B3206A">
      <w:pPr>
        <w:pStyle w:val="A"/>
      </w:pPr>
      <w:r w:rsidRPr="001531CD">
        <w:t>D.</w:t>
      </w:r>
      <w:r w:rsidRPr="001531CD">
        <w:tab/>
        <w:t xml:space="preserve">No person shall assign a registered licensee\employee to perform structural pest control work in any phase for which he is not licensed or registered. </w:t>
      </w:r>
    </w:p>
    <w:p w14:paraId="4F3B72F1" w14:textId="77777777" w:rsidR="00CF626A" w:rsidRPr="001531CD" w:rsidRDefault="00B3206A" w:rsidP="00B3206A">
      <w:pPr>
        <w:pStyle w:val="AuthorityNote"/>
      </w:pPr>
      <w:r w:rsidRPr="001531CD">
        <w:t>AUTHORITY NOTE: Promulgated in accordance with R.S. 3:3366 and 3:3371.</w:t>
      </w:r>
    </w:p>
    <w:p w14:paraId="36B57805" w14:textId="77777777" w:rsidR="00CF626A" w:rsidRPr="001531CD" w:rsidRDefault="00CF626A">
      <w:pPr>
        <w:pStyle w:val="HistoricalNote"/>
      </w:pPr>
      <w:r w:rsidRPr="001531CD">
        <w:t>HISTORICAL NOTE:</w:t>
      </w:r>
      <w:r w:rsidRPr="001531CD">
        <w:tab/>
        <w:t>Promulgated by the Department of Agriculture, Structural Pest Control Commission, LR 11:330 (April 1985)</w:t>
      </w:r>
      <w:r w:rsidR="00B3206A" w:rsidRPr="001531CD">
        <w:t>, amended by the Department of Agriculture and Forestry, Structural Pest Control Commission, LR 37:285 (January 2011)</w:t>
      </w:r>
      <w:r w:rsidRPr="001531CD">
        <w:t>.</w:t>
      </w:r>
    </w:p>
    <w:p w14:paraId="6ACA23F1" w14:textId="77777777" w:rsidR="00567B4B" w:rsidRPr="001531CD" w:rsidRDefault="00CF626A" w:rsidP="00567B4B">
      <w:pPr>
        <w:pStyle w:val="Section"/>
      </w:pPr>
      <w:bookmarkStart w:id="2574" w:name="_Toc256754924"/>
      <w:bookmarkStart w:id="2575" w:name="_Toc224819297"/>
      <w:r w:rsidRPr="001531CD">
        <w:t>§137.</w:t>
      </w:r>
      <w:r w:rsidRPr="001531CD">
        <w:tab/>
      </w:r>
      <w:bookmarkEnd w:id="2574"/>
      <w:r w:rsidR="00567B4B" w:rsidRPr="001531CD">
        <w:t>Exceptions</w:t>
      </w:r>
      <w:bookmarkEnd w:id="2575"/>
    </w:p>
    <w:p w14:paraId="67D1C35E" w14:textId="77777777" w:rsidR="00567B4B" w:rsidRPr="001531CD" w:rsidRDefault="00567B4B" w:rsidP="00567B4B">
      <w:pPr>
        <w:pStyle w:val="A"/>
      </w:pPr>
      <w:r w:rsidRPr="001531CD">
        <w:t>A.</w:t>
      </w:r>
      <w:r w:rsidRPr="001531CD">
        <w:tab/>
        <w:t>These rules and regulations do not apply to the application of pesticides for the control of agricultural pests.</w:t>
      </w:r>
    </w:p>
    <w:p w14:paraId="7540DFDC" w14:textId="77777777" w:rsidR="00567B4B" w:rsidRPr="001531CD" w:rsidRDefault="00567B4B" w:rsidP="00567B4B">
      <w:pPr>
        <w:pStyle w:val="A"/>
      </w:pPr>
      <w:r w:rsidRPr="001531CD">
        <w:lastRenderedPageBreak/>
        <w:t>B.</w:t>
      </w:r>
      <w:r w:rsidRPr="001531CD">
        <w:tab/>
        <w:t>These rules and regulations do not apply to any person, firm, partnership, corporation, association or other organization or combination thereof engaged in the manufacturing or selling of products to the general public for the control of household pests and termites, provided that such entities shall not apply such products, by way of demonstration or otherwise, to a customer's premises or offer any services connected with pest control unless licensed to do so by the commission.</w:t>
      </w:r>
    </w:p>
    <w:p w14:paraId="54D8FEA5" w14:textId="77777777" w:rsidR="00567B4B" w:rsidRPr="001531CD" w:rsidRDefault="00567B4B" w:rsidP="00567B4B">
      <w:pPr>
        <w:pStyle w:val="A"/>
      </w:pPr>
      <w:r w:rsidRPr="001531CD">
        <w:t>C.</w:t>
      </w:r>
      <w:r w:rsidRPr="001531CD">
        <w:tab/>
        <w:t>These rules and regulations do not apply to persons who personally apply pesticides of any kind for the control of household pests or wood-destroying insects on property which they own, rent or lease.</w:t>
      </w:r>
    </w:p>
    <w:p w14:paraId="23ADE65F" w14:textId="77777777" w:rsidR="00CF626A" w:rsidRPr="001531CD" w:rsidRDefault="00567B4B" w:rsidP="00567B4B">
      <w:pPr>
        <w:pStyle w:val="AuthorityNote"/>
      </w:pPr>
      <w:r w:rsidRPr="001531CD">
        <w:t>AUTHORITY NOTE:</w:t>
      </w:r>
      <w:r w:rsidRPr="001531CD">
        <w:tab/>
        <w:t>Promulgated in accordance with R.S. 3:3366 and R.S. 3:3376.</w:t>
      </w:r>
    </w:p>
    <w:p w14:paraId="616B899A" w14:textId="77777777" w:rsidR="00CF626A" w:rsidRPr="001531CD" w:rsidRDefault="00CF626A">
      <w:pPr>
        <w:pStyle w:val="HistoricalNote"/>
      </w:pPr>
      <w:r w:rsidRPr="001531CD">
        <w:t>HISTORICAL NOTE:</w:t>
      </w:r>
      <w:r w:rsidRPr="001531CD">
        <w:tab/>
        <w:t>Promulgated by the Department of Agriculture, Structural Pest Control Commission, LR 11:330 (April 1985)</w:t>
      </w:r>
      <w:r w:rsidR="00567B4B" w:rsidRPr="001531CD">
        <w:t>, amended by the Department of Agriculture and Forestry, Structural Pest Control Commission, LR 37:286 (January 2011)</w:t>
      </w:r>
      <w:r w:rsidRPr="001531CD">
        <w:t>.</w:t>
      </w:r>
    </w:p>
    <w:p w14:paraId="758AB089" w14:textId="77777777" w:rsidR="00567B4B" w:rsidRPr="001531CD" w:rsidRDefault="00CF626A" w:rsidP="00567B4B">
      <w:pPr>
        <w:pStyle w:val="Section"/>
      </w:pPr>
      <w:bookmarkStart w:id="2576" w:name="_Toc256754925"/>
      <w:bookmarkStart w:id="2577" w:name="_Toc224819298"/>
      <w:r w:rsidRPr="001531CD">
        <w:t>§139.</w:t>
      </w:r>
      <w:r w:rsidRPr="001531CD">
        <w:tab/>
      </w:r>
      <w:bookmarkEnd w:id="2576"/>
      <w:r w:rsidR="00567B4B" w:rsidRPr="001531CD">
        <w:t>Complaints against Pest Control Operators</w:t>
      </w:r>
      <w:bookmarkEnd w:id="2577"/>
    </w:p>
    <w:p w14:paraId="64A35E92" w14:textId="77777777" w:rsidR="00567B4B" w:rsidRPr="001531CD" w:rsidRDefault="00567B4B" w:rsidP="00567B4B">
      <w:pPr>
        <w:pStyle w:val="A"/>
      </w:pPr>
      <w:r w:rsidRPr="001531CD">
        <w:t>A.</w:t>
      </w:r>
      <w:r w:rsidRPr="001531CD">
        <w:tab/>
        <w:t>Any citizen may file a complaint in writing against any pest control operator by contacting the commission’s office.</w:t>
      </w:r>
    </w:p>
    <w:p w14:paraId="6A6FE8F8" w14:textId="77777777" w:rsidR="00567B4B" w:rsidRPr="001531CD" w:rsidRDefault="00567B4B" w:rsidP="00567B4B">
      <w:pPr>
        <w:pStyle w:val="A"/>
      </w:pPr>
      <w:r w:rsidRPr="001531CD">
        <w:t>B.</w:t>
      </w:r>
      <w:r w:rsidRPr="001531CD">
        <w:tab/>
        <w:t>Upon receipt of a written complaint, the commission staff shall:</w:t>
      </w:r>
    </w:p>
    <w:p w14:paraId="62495B71" w14:textId="77777777" w:rsidR="00567B4B" w:rsidRPr="001531CD" w:rsidRDefault="00567B4B" w:rsidP="00567B4B">
      <w:pPr>
        <w:pStyle w:val="1"/>
      </w:pPr>
      <w:r w:rsidRPr="001531CD">
        <w:t>1.</w:t>
      </w:r>
      <w:r w:rsidRPr="001531CD">
        <w:tab/>
        <w:t>conduct an investigation of the incident involved in the complaint; and</w:t>
      </w:r>
    </w:p>
    <w:p w14:paraId="3345E6BA" w14:textId="77777777" w:rsidR="00567B4B" w:rsidRPr="001531CD" w:rsidRDefault="00567B4B" w:rsidP="00567B4B">
      <w:pPr>
        <w:pStyle w:val="1"/>
      </w:pPr>
      <w:r w:rsidRPr="001531CD">
        <w:t>2.</w:t>
      </w:r>
      <w:r w:rsidRPr="001531CD">
        <w:tab/>
        <w:t>inform the pest control operator against whom the complaint has been lodged.</w:t>
      </w:r>
    </w:p>
    <w:p w14:paraId="1BB13DE5" w14:textId="77777777" w:rsidR="00567B4B" w:rsidRPr="001531CD" w:rsidRDefault="00567B4B" w:rsidP="00567B4B">
      <w:pPr>
        <w:pStyle w:val="A"/>
      </w:pPr>
      <w:r w:rsidRPr="001531CD">
        <w:t>C.</w:t>
      </w:r>
      <w:r w:rsidRPr="001531CD">
        <w:tab/>
        <w:t>Upon completion of the investigation required under §139.B, the commission staff shall notify the complainant and the pest control operator of the results of its investigation when requested in writing.</w:t>
      </w:r>
    </w:p>
    <w:p w14:paraId="79A0493D" w14:textId="77777777" w:rsidR="00567B4B" w:rsidRPr="001531CD" w:rsidRDefault="00567B4B" w:rsidP="00567B4B">
      <w:pPr>
        <w:pStyle w:val="A"/>
      </w:pPr>
      <w:r w:rsidRPr="001531CD">
        <w:t>D.</w:t>
      </w:r>
      <w:r w:rsidRPr="001531CD">
        <w:tab/>
        <w:t>The department may bring any matter arising from a citizen's complaint to an adjudicatory hearing if, in the judgment of the department, the facts established in the investigation required under §139.B warrant such action.</w:t>
      </w:r>
    </w:p>
    <w:p w14:paraId="15269B34" w14:textId="77777777" w:rsidR="00567B4B" w:rsidRPr="001531CD" w:rsidRDefault="00567B4B" w:rsidP="00567B4B">
      <w:pPr>
        <w:pStyle w:val="A"/>
      </w:pPr>
      <w:r w:rsidRPr="001531CD">
        <w:t>E.</w:t>
      </w:r>
      <w:r w:rsidRPr="001531CD">
        <w:tab/>
        <w:t>In any instance where a citizen feels that the facts of his complaint warrant an adjudicatory hearing by the commission, the citizen may request, in writing, that the matter be placed on the agenda for consideration at the next meeting of the commission, provided that the citizen shall appear and give sworn testimony at such hearing called at the request of the citizen. In any instance where a citizen has filed a written petition for an adjudicatory proceeding but fails to appear, upon proper notice, and give testimony, the commission may cancel such adjudicatory proceedings without action.</w:t>
      </w:r>
    </w:p>
    <w:p w14:paraId="051CDF0E" w14:textId="77777777" w:rsidR="00CF626A" w:rsidRPr="001531CD" w:rsidRDefault="00567B4B" w:rsidP="00567B4B">
      <w:pPr>
        <w:pStyle w:val="AuthorityNote"/>
      </w:pPr>
      <w:r w:rsidRPr="001531CD">
        <w:t>AUTHORITY NOTE:</w:t>
      </w:r>
      <w:r w:rsidRPr="001531CD">
        <w:tab/>
        <w:t>Promulgated in accordance with R.S. 3:3366.</w:t>
      </w:r>
    </w:p>
    <w:p w14:paraId="3FA5C24D" w14:textId="77777777" w:rsidR="00CF626A" w:rsidRPr="001531CD" w:rsidRDefault="00CF626A">
      <w:pPr>
        <w:pStyle w:val="HistoricalNote"/>
      </w:pPr>
      <w:r w:rsidRPr="001531CD">
        <w:t>HISTORICAL NOTE:</w:t>
      </w:r>
      <w:r w:rsidRPr="001531CD">
        <w:tab/>
        <w:t>Promulgated by the Department of Agriculture, Structural Pest Control Commission, LR 11:330 (April 1985)</w:t>
      </w:r>
      <w:r w:rsidR="00567B4B" w:rsidRPr="001531CD">
        <w:t>, amended by the Department of Agriculture and Forestry, Structural Pest Control Commission, LR 37:286 (January 2011)</w:t>
      </w:r>
      <w:r w:rsidRPr="001531CD">
        <w:t>.</w:t>
      </w:r>
    </w:p>
    <w:p w14:paraId="551BCFE0" w14:textId="77777777" w:rsidR="00567B4B" w:rsidRPr="001531CD" w:rsidRDefault="00CF626A" w:rsidP="00567B4B">
      <w:pPr>
        <w:pStyle w:val="Section"/>
      </w:pPr>
      <w:bookmarkStart w:id="2578" w:name="_Toc256754926"/>
      <w:bookmarkStart w:id="2579" w:name="_Toc224819299"/>
      <w:r w:rsidRPr="001531CD">
        <w:t>§141.</w:t>
      </w:r>
      <w:r w:rsidRPr="001531CD">
        <w:tab/>
      </w:r>
      <w:bookmarkStart w:id="2580" w:name="ParasHere"/>
      <w:bookmarkEnd w:id="2578"/>
      <w:r w:rsidR="00567B4B" w:rsidRPr="001531CD">
        <w:t>Minimum Specifications for Termite Control Work</w:t>
      </w:r>
      <w:bookmarkEnd w:id="2579"/>
    </w:p>
    <w:p w14:paraId="27029E4A" w14:textId="77777777" w:rsidR="00567B4B" w:rsidRPr="001531CD" w:rsidRDefault="00567B4B" w:rsidP="00567B4B">
      <w:pPr>
        <w:pStyle w:val="A"/>
      </w:pPr>
      <w:r w:rsidRPr="001531CD">
        <w:t>A.</w:t>
      </w:r>
      <w:r w:rsidRPr="001531CD">
        <w:tab/>
        <w:t>All labels for products used for termite control work shall be registered by the EPA and the department and shall be approved by the commission prior to their use.</w:t>
      </w:r>
    </w:p>
    <w:p w14:paraId="2A7F5586" w14:textId="77777777" w:rsidR="00567B4B" w:rsidRPr="001531CD" w:rsidRDefault="00567B4B" w:rsidP="00567B4B">
      <w:pPr>
        <w:pStyle w:val="1"/>
      </w:pPr>
      <w:r w:rsidRPr="001531CD">
        <w:t>1.</w:t>
      </w:r>
      <w:r w:rsidRPr="001531CD">
        <w:tab/>
        <w:t>The department shall issue a listing of product labels approved by the commission for termite control work. The listing shall become effective upon approval by the commission. The list shall</w:t>
      </w:r>
      <w:r w:rsidR="006022F7" w:rsidRPr="001531CD">
        <w:t xml:space="preserve"> be published in the Potpourri s</w:t>
      </w:r>
      <w:r w:rsidRPr="001531CD">
        <w:t xml:space="preserve">ection of the </w:t>
      </w:r>
      <w:r w:rsidRPr="001531CD">
        <w:rPr>
          <w:i/>
        </w:rPr>
        <w:t>Louisiana Register</w:t>
      </w:r>
      <w:r w:rsidRPr="001531CD">
        <w:t xml:space="preserve"> and shall remain in effect until changed by the commission. The commission may add or delete any product labels from its list. The list shall</w:t>
      </w:r>
      <w:r w:rsidR="006022F7" w:rsidRPr="001531CD">
        <w:t xml:space="preserve"> be published in the Potpourri s</w:t>
      </w:r>
      <w:r w:rsidRPr="001531CD">
        <w:t xml:space="preserve">ection of the </w:t>
      </w:r>
      <w:r w:rsidRPr="001531CD">
        <w:rPr>
          <w:i/>
        </w:rPr>
        <w:t>Louisiana Register</w:t>
      </w:r>
      <w:r w:rsidRPr="001531CD">
        <w:t>. Upon publication of the list all previous listings shall be repealed.</w:t>
      </w:r>
    </w:p>
    <w:p w14:paraId="7200CAF2" w14:textId="77777777" w:rsidR="00567B4B" w:rsidRPr="001531CD" w:rsidRDefault="00567B4B" w:rsidP="00567B4B">
      <w:pPr>
        <w:pStyle w:val="1"/>
      </w:pPr>
      <w:r w:rsidRPr="001531CD">
        <w:t>2.</w:t>
      </w:r>
      <w:r w:rsidRPr="001531CD">
        <w:tab/>
        <w:t>The commission's list of product labels shall also contain the chemical concentration at which each product label is approved for usage, and shall be applied in accordance with label and labeling requirements and shall not be applied at any less than label and labeling requirements.</w:t>
      </w:r>
    </w:p>
    <w:p w14:paraId="23769AE1" w14:textId="77777777" w:rsidR="008F3409" w:rsidRPr="001531CD" w:rsidRDefault="008F3409" w:rsidP="008F3409">
      <w:pPr>
        <w:pStyle w:val="A"/>
      </w:pPr>
      <w:r w:rsidRPr="001531CD">
        <w:t>B.</w:t>
      </w:r>
      <w:r w:rsidRPr="001531CD">
        <w:tab/>
        <w:t>Requirements for Trench and Treat</w:t>
      </w:r>
    </w:p>
    <w:p w14:paraId="1820720C" w14:textId="77777777" w:rsidR="008F3409" w:rsidRPr="001531CD" w:rsidRDefault="008F3409" w:rsidP="008F3409">
      <w:pPr>
        <w:pStyle w:val="1"/>
      </w:pPr>
      <w:r w:rsidRPr="001531CD">
        <w:t>1.</w:t>
      </w:r>
      <w:r w:rsidRPr="001531CD">
        <w:tab/>
        <w:t>Calculations made for the rate and volume of the termiticide mixture being applied in all trenches shall be based on a minimum of one foot of depth.</w:t>
      </w:r>
    </w:p>
    <w:p w14:paraId="2FC3F4B3" w14:textId="77777777" w:rsidR="008F3409" w:rsidRPr="001531CD" w:rsidRDefault="008F3409" w:rsidP="008F3409">
      <w:pPr>
        <w:pStyle w:val="1"/>
      </w:pPr>
      <w:r w:rsidRPr="001531CD">
        <w:t>2.</w:t>
      </w:r>
      <w:r w:rsidRPr="001531CD">
        <w:tab/>
        <w:t>All trenches shall be a minimum of four inches wide at the top angled toward the foundation and a minimum of six inches deep in order to permit application of the required chemical.</w:t>
      </w:r>
    </w:p>
    <w:p w14:paraId="0B8F55AA" w14:textId="77777777" w:rsidR="008F3409" w:rsidRPr="001531CD" w:rsidRDefault="008F3409" w:rsidP="008F3409">
      <w:pPr>
        <w:pStyle w:val="1"/>
      </w:pPr>
      <w:r w:rsidRPr="001531CD">
        <w:t>3.</w:t>
      </w:r>
      <w:r w:rsidRPr="001531CD">
        <w:tab/>
        <w:t>Application of the product mixture into the trench shall be made at the rate and manner prescribed on the label and labeling.</w:t>
      </w:r>
    </w:p>
    <w:p w14:paraId="14D61E0C" w14:textId="77777777" w:rsidR="00567B4B" w:rsidRDefault="00F00D4E" w:rsidP="008F3409">
      <w:pPr>
        <w:pStyle w:val="1"/>
      </w:pPr>
      <w:r w:rsidRPr="009D41F2">
        <w:t>4.</w:t>
      </w:r>
      <w:r w:rsidRPr="009D41F2">
        <w:tab/>
        <w:t>Rodding shall be acceptable only when trenching will damage irrigation equipment, utility equipment flowers and/or shrubs.</w:t>
      </w:r>
    </w:p>
    <w:p w14:paraId="754B6A2E" w14:textId="77777777" w:rsidR="003106F5" w:rsidRDefault="003106F5" w:rsidP="008F3409">
      <w:pPr>
        <w:pStyle w:val="1"/>
      </w:pPr>
      <w:r w:rsidRPr="00E73C80">
        <w:t>5.</w:t>
      </w:r>
      <w:r w:rsidRPr="00E73C80">
        <w:tab/>
        <w:t>In lieu of trench and treat, a commission approved method of hydraulic injection shall be used in conjunction with an approved termiticide with label and labeling for hydraulic injection use.</w:t>
      </w:r>
    </w:p>
    <w:p w14:paraId="69354CE9" w14:textId="77777777" w:rsidR="00B62AD7" w:rsidRPr="00B62AD7" w:rsidRDefault="004D49FF" w:rsidP="00B62AD7">
      <w:pPr>
        <w:pStyle w:val="1"/>
      </w:pPr>
      <w:r w:rsidRPr="004D49FF">
        <w:t>6.</w:t>
      </w:r>
      <w:r w:rsidRPr="004D49FF">
        <w:tab/>
      </w:r>
      <w:r w:rsidR="00B62AD7" w:rsidRPr="00B62AD7">
        <w:t>Within 12 months of an initial supplemental treatment for a new construction contract, the perimeter shall be trenched and treated. The permittee or primary licensee shall report the completion of the perimeter trench and treat to the department on the termite perimeter application form no later than the tenth day of the month after the date of the perimeter application.</w:t>
      </w:r>
    </w:p>
    <w:p w14:paraId="3CD47D8E" w14:textId="77777777" w:rsidR="004D49FF" w:rsidRPr="001531CD" w:rsidRDefault="00B62AD7" w:rsidP="00B62AD7">
      <w:pPr>
        <w:pStyle w:val="1"/>
      </w:pPr>
      <w:r w:rsidRPr="00B62AD7">
        <w:t>7.</w:t>
      </w:r>
      <w:r w:rsidRPr="00B62AD7">
        <w:tab/>
        <w:t>All new construction and post construction liquid trench and treat applications shall be contracted and reported according to R.S. 3:3370 and LAC 7:XXV.119.D and pay the fee as described in LAC 7:XXV.119.E.</w:t>
      </w:r>
    </w:p>
    <w:p w14:paraId="3EE1948A" w14:textId="77777777" w:rsidR="00567B4B" w:rsidRPr="001531CD" w:rsidRDefault="00567B4B" w:rsidP="00567B4B">
      <w:pPr>
        <w:pStyle w:val="A"/>
      </w:pPr>
      <w:r w:rsidRPr="001531CD">
        <w:t>C.</w:t>
      </w:r>
      <w:r w:rsidRPr="001531CD">
        <w:tab/>
        <w:t>Treatment of Existing Pier Type Construction</w:t>
      </w:r>
    </w:p>
    <w:p w14:paraId="6F0C57CF" w14:textId="77777777" w:rsidR="00567B4B" w:rsidRPr="001531CD" w:rsidRDefault="00567B4B" w:rsidP="00567B4B">
      <w:pPr>
        <w:pStyle w:val="1"/>
      </w:pPr>
      <w:r w:rsidRPr="001531CD">
        <w:t>1.</w:t>
      </w:r>
      <w:r w:rsidRPr="001531CD">
        <w:tab/>
        <w:t>Access Openings</w:t>
      </w:r>
    </w:p>
    <w:p w14:paraId="47918CB2" w14:textId="77777777" w:rsidR="00567B4B" w:rsidRPr="001531CD" w:rsidRDefault="00567B4B" w:rsidP="00567B4B">
      <w:pPr>
        <w:pStyle w:val="a0"/>
      </w:pPr>
      <w:r w:rsidRPr="001531CD">
        <w:lastRenderedPageBreak/>
        <w:t>a.</w:t>
      </w:r>
      <w:r w:rsidRPr="001531CD">
        <w:tab/>
        <w:t>Provide suitable access openings to all crawl-space areas and to all other areas requiring inspection and/or treatment for termites.</w:t>
      </w:r>
    </w:p>
    <w:p w14:paraId="35CF631A" w14:textId="77777777" w:rsidR="00567B4B" w:rsidRPr="001531CD" w:rsidRDefault="00567B4B" w:rsidP="00567B4B">
      <w:pPr>
        <w:pStyle w:val="a0"/>
      </w:pPr>
      <w:r w:rsidRPr="001531CD">
        <w:t>b.</w:t>
      </w:r>
      <w:r w:rsidRPr="001531CD">
        <w:tab/>
        <w:t>A minimum clearance of 12 inches from the bottom of the sill.</w:t>
      </w:r>
    </w:p>
    <w:p w14:paraId="7019BF7F" w14:textId="77777777" w:rsidR="00567B4B" w:rsidRPr="001531CD" w:rsidRDefault="00567B4B" w:rsidP="00567B4B">
      <w:pPr>
        <w:pStyle w:val="1"/>
      </w:pPr>
      <w:r w:rsidRPr="001531CD">
        <w:t>2.</w:t>
      </w:r>
      <w:r w:rsidRPr="001531CD">
        <w:tab/>
        <w:t>Required Clean-Up</w:t>
      </w:r>
    </w:p>
    <w:p w14:paraId="26D47049" w14:textId="77777777" w:rsidR="00567B4B" w:rsidRPr="001531CD" w:rsidRDefault="00567B4B" w:rsidP="00567B4B">
      <w:pPr>
        <w:pStyle w:val="a0"/>
      </w:pPr>
      <w:r w:rsidRPr="001531CD">
        <w:t>a.</w:t>
      </w:r>
      <w:r w:rsidRPr="001531CD">
        <w:tab/>
        <w:t>Remove all cellulose-bearing debris, such as scrap wood, wood chips, paper, etc., from underneath buildings.</w:t>
      </w:r>
    </w:p>
    <w:p w14:paraId="3EE471D1" w14:textId="77777777" w:rsidR="00567B4B" w:rsidRPr="001531CD" w:rsidRDefault="00567B4B" w:rsidP="00567B4B">
      <w:pPr>
        <w:pStyle w:val="a0"/>
      </w:pPr>
      <w:r w:rsidRPr="001531CD">
        <w:t>b.</w:t>
      </w:r>
      <w:r w:rsidRPr="001531CD">
        <w:tab/>
        <w:t>Trench, rod and treat any large stumps or roots that are too sound to be removed, provided that such stumps or roots are at least 12 inches from the foundation timbers. Stumps or roots located less than 12 inches from foundation timbers shall be cut off to provide at least 12 inches clearance.</w:t>
      </w:r>
    </w:p>
    <w:p w14:paraId="5CEF3BD6" w14:textId="77777777" w:rsidR="00567B4B" w:rsidRPr="001531CD" w:rsidRDefault="00567B4B" w:rsidP="00567B4B">
      <w:pPr>
        <w:pStyle w:val="a0"/>
      </w:pPr>
      <w:r w:rsidRPr="001531CD">
        <w:t>c.</w:t>
      </w:r>
      <w:r w:rsidRPr="001531CD">
        <w:tab/>
        <w:t>Remove all form boards that are not embedded in concrete.</w:t>
      </w:r>
    </w:p>
    <w:p w14:paraId="60D76392" w14:textId="77777777" w:rsidR="00567B4B" w:rsidRPr="001531CD" w:rsidRDefault="00567B4B" w:rsidP="00567B4B">
      <w:pPr>
        <w:pStyle w:val="1"/>
      </w:pPr>
      <w:r w:rsidRPr="001531CD">
        <w:t>3.</w:t>
      </w:r>
      <w:r w:rsidRPr="001531CD">
        <w:tab/>
        <w:t>Elimination of Direct Contact of Wood with Ground</w:t>
      </w:r>
    </w:p>
    <w:p w14:paraId="4213C848" w14:textId="77777777" w:rsidR="00567B4B" w:rsidRPr="001531CD" w:rsidRDefault="00567B4B" w:rsidP="00567B4B">
      <w:pPr>
        <w:pStyle w:val="a0"/>
      </w:pPr>
      <w:r w:rsidRPr="001531CD">
        <w:t>a.</w:t>
      </w:r>
      <w:r w:rsidRPr="001531CD">
        <w:tab/>
        <w:t>Piers and stiff legs shall have concrete or metal-capped bases extending at least 3 inches above the ground. Pressure-treated piling foundations are exempt from this requirement.</w:t>
      </w:r>
    </w:p>
    <w:p w14:paraId="0BF74FBF" w14:textId="77777777" w:rsidR="00567B4B" w:rsidRPr="001531CD" w:rsidRDefault="00567B4B" w:rsidP="00567B4B">
      <w:pPr>
        <w:pStyle w:val="a0"/>
      </w:pPr>
      <w:r w:rsidRPr="001531CD">
        <w:t>b.</w:t>
      </w:r>
      <w:r w:rsidRPr="001531CD">
        <w:tab/>
        <w:t>Wood parts which extend through concrete or masonry (such as posts, door frames or stair carriages) shall</w:t>
      </w:r>
      <w:r w:rsidR="00EA5E44" w:rsidRPr="001531CD">
        <w:t xml:space="preserve"> </w:t>
      </w:r>
      <w:r w:rsidRPr="001531CD">
        <w:t>be cut off and set on metal or concrete bases at least three inches above ground level.</w:t>
      </w:r>
    </w:p>
    <w:p w14:paraId="29BB00D8" w14:textId="77777777" w:rsidR="00567B4B" w:rsidRPr="001531CD" w:rsidRDefault="00567B4B" w:rsidP="00567B4B">
      <w:pPr>
        <w:pStyle w:val="a0"/>
      </w:pPr>
      <w:r w:rsidRPr="001531CD">
        <w:t>c.</w:t>
      </w:r>
      <w:r w:rsidRPr="001531CD">
        <w:tab/>
        <w:t>Wood steps shall be placed on concrete or masonry bases which extend at least 1 inch above ground level, and beyond the steps in all directions. Multiple-course masonry step supports shall be treated as required in §141.C.7.a, b, c and d.</w:t>
      </w:r>
    </w:p>
    <w:p w14:paraId="061C29A0" w14:textId="77777777" w:rsidR="00567B4B" w:rsidRPr="001531CD" w:rsidRDefault="00567B4B" w:rsidP="00567B4B">
      <w:pPr>
        <w:pStyle w:val="1"/>
      </w:pPr>
      <w:r w:rsidRPr="001531CD">
        <w:t>4.</w:t>
      </w:r>
      <w:r w:rsidRPr="001531CD">
        <w:tab/>
        <w:t>Pipes</w:t>
      </w:r>
    </w:p>
    <w:p w14:paraId="017599B9" w14:textId="77777777" w:rsidR="00567B4B" w:rsidRPr="001531CD" w:rsidRDefault="00567B4B" w:rsidP="00567B4B">
      <w:pPr>
        <w:pStyle w:val="a0"/>
      </w:pPr>
      <w:r w:rsidRPr="001531CD">
        <w:t>a.</w:t>
      </w:r>
      <w:r w:rsidRPr="001531CD">
        <w:tab/>
        <w:t>Remove all packing around pipes for a distance of 3 inches above ground level and/or treat according to label and labeling.</w:t>
      </w:r>
    </w:p>
    <w:p w14:paraId="17970356" w14:textId="77777777" w:rsidR="00567B4B" w:rsidRPr="001531CD" w:rsidRDefault="00567B4B" w:rsidP="00567B4B">
      <w:pPr>
        <w:pStyle w:val="1"/>
      </w:pPr>
      <w:r w:rsidRPr="001531CD">
        <w:t>5.</w:t>
      </w:r>
      <w:r w:rsidRPr="001531CD">
        <w:tab/>
        <w:t>Skirting and Lattice-Work</w:t>
      </w:r>
    </w:p>
    <w:p w14:paraId="1767A568" w14:textId="77777777" w:rsidR="00567B4B" w:rsidRPr="001531CD" w:rsidRDefault="00567B4B" w:rsidP="00567B4B">
      <w:pPr>
        <w:pStyle w:val="a0"/>
      </w:pPr>
      <w:r w:rsidRPr="001531CD">
        <w:t>a.</w:t>
      </w:r>
      <w:r w:rsidRPr="001531CD">
        <w:tab/>
        <w:t>All skirting and lattice-work shall rest on solid concrete or brick extending at least 3 inches above the outside grade. This base will be trenched and treated.</w:t>
      </w:r>
    </w:p>
    <w:p w14:paraId="7E41375E" w14:textId="77777777" w:rsidR="00567B4B" w:rsidRPr="001531CD" w:rsidRDefault="00567B4B" w:rsidP="00567B4B">
      <w:pPr>
        <w:pStyle w:val="a0"/>
      </w:pPr>
      <w:r w:rsidRPr="001531CD">
        <w:t>b.</w:t>
      </w:r>
      <w:r w:rsidRPr="001531CD">
        <w:tab/>
        <w:t>All skirting and lattice-work resting on ground shall be treated by digging trenches below and under the edge of the skirting and lattice; or</w:t>
      </w:r>
    </w:p>
    <w:p w14:paraId="26F61CA1" w14:textId="77777777" w:rsidR="00567B4B" w:rsidRPr="001531CD" w:rsidRDefault="00567B4B" w:rsidP="00567B4B">
      <w:pPr>
        <w:pStyle w:val="a0"/>
      </w:pPr>
      <w:r w:rsidRPr="001531CD">
        <w:t>c.</w:t>
      </w:r>
      <w:r w:rsidRPr="001531CD">
        <w:tab/>
        <w:t>There shall be at least 3 inches clearance above outside grade if skirting or lattice-work is suspended.</w:t>
      </w:r>
    </w:p>
    <w:p w14:paraId="4AB517F1" w14:textId="77777777" w:rsidR="00567B4B" w:rsidRPr="001531CD" w:rsidRDefault="00567B4B" w:rsidP="00567B4B">
      <w:pPr>
        <w:pStyle w:val="1"/>
      </w:pPr>
      <w:r w:rsidRPr="001531CD">
        <w:t>6.</w:t>
      </w:r>
      <w:r w:rsidRPr="001531CD">
        <w:tab/>
        <w:t>Stucco</w:t>
      </w:r>
    </w:p>
    <w:p w14:paraId="20644F05" w14:textId="77777777" w:rsidR="00567B4B" w:rsidRPr="001531CD" w:rsidRDefault="00567B4B" w:rsidP="00567B4B">
      <w:pPr>
        <w:pStyle w:val="a0"/>
      </w:pPr>
      <w:r w:rsidRPr="001531CD">
        <w:t>a.</w:t>
      </w:r>
      <w:r w:rsidRPr="001531CD">
        <w:tab/>
        <w:t>Where stucco extends to or below grade, dig trenches below and under the edge of the stucco and apply chemical as required by label and labeling.</w:t>
      </w:r>
    </w:p>
    <w:p w14:paraId="43383DD2" w14:textId="77777777" w:rsidR="00567B4B" w:rsidRPr="001531CD" w:rsidRDefault="00567B4B" w:rsidP="00567B4B">
      <w:pPr>
        <w:pStyle w:val="a0"/>
      </w:pPr>
      <w:r w:rsidRPr="001531CD">
        <w:t>b.</w:t>
      </w:r>
      <w:r w:rsidRPr="001531CD">
        <w:tab/>
        <w:t>Where ground slabs prevent treatment as required in Subparagraph (a) above, drill and treat slab as required by label and labeling. Where slab is drilled the holes hall be no more than 18 inches apart (unless label requires closer distance).</w:t>
      </w:r>
    </w:p>
    <w:p w14:paraId="5FA8744F" w14:textId="77777777" w:rsidR="00EA5E44" w:rsidRPr="001531CD" w:rsidRDefault="00EA5E44" w:rsidP="00EA5E44">
      <w:pPr>
        <w:pStyle w:val="1"/>
      </w:pPr>
      <w:r w:rsidRPr="001531CD">
        <w:t>7.</w:t>
      </w:r>
      <w:r w:rsidRPr="001531CD">
        <w:tab/>
        <w:t>Masonry. Apply chemical to all porous areas, visible cracks and accessible voids in foundation walls, piers, chimneys, step</w:t>
      </w:r>
      <w:r w:rsidR="006022F7" w:rsidRPr="001531CD">
        <w:t>s, buttresses, etc., as follows:</w:t>
      </w:r>
    </w:p>
    <w:p w14:paraId="5C82DE6D" w14:textId="77777777" w:rsidR="00567B4B" w:rsidRPr="001531CD" w:rsidRDefault="006022F7" w:rsidP="00EA5E44">
      <w:pPr>
        <w:pStyle w:val="a0"/>
      </w:pPr>
      <w:r w:rsidRPr="001531CD">
        <w:t>a.</w:t>
      </w:r>
      <w:r w:rsidRPr="001531CD">
        <w:tab/>
        <w:t>treat all cracks in concrete;</w:t>
      </w:r>
    </w:p>
    <w:p w14:paraId="239BF2BC" w14:textId="77777777" w:rsidR="00567B4B" w:rsidRPr="001531CD" w:rsidRDefault="006022F7" w:rsidP="00567B4B">
      <w:pPr>
        <w:pStyle w:val="a0"/>
      </w:pPr>
      <w:r w:rsidRPr="001531CD">
        <w:t>b.</w:t>
      </w:r>
      <w:r w:rsidRPr="001531CD">
        <w:tab/>
        <w:t>d</w:t>
      </w:r>
      <w:r w:rsidR="00567B4B" w:rsidRPr="001531CD">
        <w:t xml:space="preserve">rill holes every second mortar joint, a minimum of </w:t>
      </w:r>
      <w:r w:rsidRPr="001531CD">
        <w:t>three</w:t>
      </w:r>
      <w:r w:rsidR="00567B4B" w:rsidRPr="001531CD">
        <w:t xml:space="preserve"> holes, in all two-course brick foundations (piers, foundation walls, steps, buttresses, L-shaped and T-shaped piers, etc.) and thoroughly treat wall voids. Holes shall be deep enough to reach the center mortar joint and chemical shall be applied under sufficient time and pressure to treat all cracks and voids. Drilling is not required when solid concrete footing extends above grade level or when wal</w:t>
      </w:r>
      <w:r w:rsidRPr="001531CD">
        <w:t>l is capped with solid concrete;</w:t>
      </w:r>
    </w:p>
    <w:p w14:paraId="30BBE8CB" w14:textId="77777777" w:rsidR="00567B4B" w:rsidRPr="001531CD" w:rsidRDefault="006022F7" w:rsidP="00567B4B">
      <w:pPr>
        <w:pStyle w:val="a0"/>
      </w:pPr>
      <w:r w:rsidRPr="001531CD">
        <w:t>c.</w:t>
      </w:r>
      <w:r w:rsidRPr="001531CD">
        <w:tab/>
        <w:t>d</w:t>
      </w:r>
      <w:r w:rsidR="00567B4B" w:rsidRPr="001531CD">
        <w:t>rill holes in mortar joints of all three-course brick foundation walls at the end of every second brick to the depth of the end of the second brick. Apply chemical under sufficient time and pressur</w:t>
      </w:r>
      <w:r w:rsidRPr="001531CD">
        <w:t>e to treat all cracks and voids;</w:t>
      </w:r>
    </w:p>
    <w:p w14:paraId="33DE8D10" w14:textId="77777777" w:rsidR="00F00D4E" w:rsidRPr="009D41F2" w:rsidRDefault="00F00D4E" w:rsidP="00F00D4E">
      <w:pPr>
        <w:pStyle w:val="a0"/>
      </w:pPr>
      <w:r w:rsidRPr="009D41F2">
        <w:t>d.</w:t>
      </w:r>
      <w:r w:rsidRPr="009D41F2">
        <w:tab/>
        <w:t>drill holes into each compartment of the lowest accessible block of hollow concrete (or other lightweight aggregate) blocks and apply chemical into the openings under sufficient time and pressure to treat the area of the bottom of the foundation. When hollow concrete (or other lightweight aggregate) blocks have been filled with mortar, additional holes may be drilled below the sill plate and apply chemical into the openings using reduced pressure to treat the area of the bottom of the foundation. On T-shaped or L-shaped piers the connecting mortar joints (crotches) shall be drilled and treated. Drilling is not required if the opening in the block is accessible.</w:t>
      </w:r>
    </w:p>
    <w:p w14:paraId="7BD66611" w14:textId="77777777" w:rsidR="00567B4B" w:rsidRPr="001531CD" w:rsidRDefault="00F00D4E" w:rsidP="00F00D4E">
      <w:pPr>
        <w:pStyle w:val="1"/>
      </w:pPr>
      <w:r w:rsidRPr="009D41F2">
        <w:t>8.</w:t>
      </w:r>
      <w:r w:rsidRPr="009D41F2">
        <w:tab/>
        <w:t>Ground treatment:</w:t>
      </w:r>
    </w:p>
    <w:p w14:paraId="6B169069" w14:textId="77777777" w:rsidR="00567B4B" w:rsidRPr="001531CD" w:rsidRDefault="00651B12" w:rsidP="00567B4B">
      <w:pPr>
        <w:pStyle w:val="a0"/>
      </w:pPr>
      <w:r w:rsidRPr="001531CD">
        <w:t>a.</w:t>
      </w:r>
      <w:r w:rsidRPr="001531CD">
        <w:tab/>
        <w:t>t</w:t>
      </w:r>
      <w:r w:rsidR="00567B4B" w:rsidRPr="001531CD">
        <w:t>rench around each pier and/or foundation</w:t>
      </w:r>
      <w:r w:rsidRPr="001531CD">
        <w:t xml:space="preserve"> of the structure being treated;</w:t>
      </w:r>
    </w:p>
    <w:p w14:paraId="5BAEFE42" w14:textId="77777777" w:rsidR="00567B4B" w:rsidRDefault="00F00D4E" w:rsidP="00567B4B">
      <w:pPr>
        <w:pStyle w:val="a0"/>
      </w:pPr>
      <w:r w:rsidRPr="009D41F2">
        <w:t>b.</w:t>
      </w:r>
      <w:r w:rsidRPr="009D41F2">
        <w:tab/>
        <w:t>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w:t>
      </w:r>
      <w:r>
        <w:t>een rod holes shall be 4 inches;</w:t>
      </w:r>
    </w:p>
    <w:p w14:paraId="635D1C64" w14:textId="77777777" w:rsidR="003106F5" w:rsidRDefault="003106F5" w:rsidP="00567B4B">
      <w:pPr>
        <w:pStyle w:val="a0"/>
      </w:pPr>
      <w:r w:rsidRPr="00E73C80">
        <w:t>c.</w:t>
      </w:r>
      <w:r w:rsidRPr="00E73C80">
        <w:tab/>
        <w:t>in lieu of trench and treat, a commission approved method of hydraulic injection shall be used in conjunction with an approved termiticide with label and labeling for hydraulic injection use.</w:t>
      </w:r>
      <w:r>
        <w:t xml:space="preserve"> </w:t>
      </w:r>
      <w:r w:rsidRPr="00E73C80">
        <w:t>Hydraulic injection shall be performed around th</w:t>
      </w:r>
      <w:r w:rsidR="00F00D4E">
        <w:t>e slab to form a treatment zone;</w:t>
      </w:r>
    </w:p>
    <w:p w14:paraId="0617102F" w14:textId="77777777" w:rsidR="00F00D4E" w:rsidRPr="001531CD" w:rsidRDefault="00F00D4E" w:rsidP="00567B4B">
      <w:pPr>
        <w:pStyle w:val="a0"/>
      </w:pPr>
      <w:r w:rsidRPr="009D41F2">
        <w:t>d.</w:t>
      </w:r>
      <w:r w:rsidRPr="009D41F2">
        <w:tab/>
        <w:t>rod under or drill through the slab and treat all areas beneath expansion joints and cracks of adjoining or abutting slab(s) as per label and labeling instructions. When the slab is drilled, the holes shall be no more than 18 inches (unless label requires closer distance) apart along the above stated areas.</w:t>
      </w:r>
    </w:p>
    <w:p w14:paraId="3DD4851C" w14:textId="77777777" w:rsidR="00567B4B" w:rsidRPr="001531CD" w:rsidRDefault="00567B4B" w:rsidP="00567B4B">
      <w:pPr>
        <w:pStyle w:val="1"/>
      </w:pPr>
      <w:r w:rsidRPr="001531CD">
        <w:t>9.</w:t>
      </w:r>
      <w:r w:rsidRPr="001531CD">
        <w:tab/>
        <w:t xml:space="preserve">Dirt </w:t>
      </w:r>
      <w:r w:rsidR="00651B12" w:rsidRPr="001531CD">
        <w:t>filled porches:</w:t>
      </w:r>
    </w:p>
    <w:p w14:paraId="1D035931" w14:textId="77777777" w:rsidR="00567B4B" w:rsidRPr="001531CD" w:rsidRDefault="00651B12" w:rsidP="00567B4B">
      <w:pPr>
        <w:pStyle w:val="a0"/>
      </w:pPr>
      <w:r w:rsidRPr="001531CD">
        <w:t>a.</w:t>
      </w:r>
      <w:r w:rsidRPr="001531CD">
        <w:tab/>
        <w:t>w</w:t>
      </w:r>
      <w:r w:rsidR="00567B4B" w:rsidRPr="001531CD">
        <w:t xml:space="preserve">here the sill or other wood extends to, or below, the under side of the concrete slab, the dirt shall be excavated </w:t>
      </w:r>
      <w:r w:rsidR="00567B4B" w:rsidRPr="001531CD">
        <w:lastRenderedPageBreak/>
        <w:t xml:space="preserve">so as to leave a horizontal tunnel at the junction of slab and foundation wall. The tunnel shall extend the full length of the fill and be at least 12 inches deep (or down to grade) and 12 inches wide. Soil in the tunnel shall be treated with chemical at all points of contact with wall and slab. Supports for the slab shall be erected in the tunnel if necessary. Tunnel shall be well ventilated, but care shall be taken to assure that water does not run into those tunnels (see </w:t>
      </w:r>
      <w:r w:rsidR="00567B4B" w:rsidRPr="001531CD">
        <w:rPr>
          <w:bCs/>
        </w:rPr>
        <w:t>Figure 1</w:t>
      </w:r>
      <w:r w:rsidRPr="001531CD">
        <w:t>);</w:t>
      </w:r>
    </w:p>
    <w:p w14:paraId="2481745C" w14:textId="77777777" w:rsidR="0069414B" w:rsidRPr="001531CD" w:rsidRDefault="00B31235" w:rsidP="0069414B">
      <w:pPr>
        <w:pStyle w:val="i0"/>
        <w:jc w:val="center"/>
      </w:pPr>
      <w:r w:rsidRPr="001531CD">
        <w:rPr>
          <w:noProof/>
          <w:sz w:val="16"/>
        </w:rPr>
        <w:drawing>
          <wp:inline distT="0" distB="0" distL="0" distR="0" wp14:anchorId="23FF9852" wp14:editId="1F833A36">
            <wp:extent cx="2990850" cy="1606550"/>
            <wp:effectExtent l="0" t="0" r="0" b="0"/>
            <wp:docPr id="13" name="Picture 1" descr="Black and white illustration of an excavation of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PCC Reg Diagrams\Figure 1.bmp"/>
                    <pic:cNvPicPr>
                      <a:picLocks noChangeAspect="1" noChangeArrowheads="1"/>
                    </pic:cNvPicPr>
                  </pic:nvPicPr>
                  <pic:blipFill>
                    <a:blip r:embed="rId55">
                      <a:extLst>
                        <a:ext uri="{28A0092B-C50C-407E-A947-70E740481C1C}">
                          <a14:useLocalDpi xmlns:a14="http://schemas.microsoft.com/office/drawing/2010/main" val="0"/>
                        </a:ext>
                      </a:extLst>
                    </a:blip>
                    <a:srcRect r="53166" b="65778"/>
                    <a:stretch>
                      <a:fillRect/>
                    </a:stretch>
                  </pic:blipFill>
                  <pic:spPr bwMode="auto">
                    <a:xfrm>
                      <a:off x="0" y="0"/>
                      <a:ext cx="2990850" cy="1606550"/>
                    </a:xfrm>
                    <a:prstGeom prst="rect">
                      <a:avLst/>
                    </a:prstGeom>
                    <a:noFill/>
                    <a:ln>
                      <a:noFill/>
                    </a:ln>
                  </pic:spPr>
                </pic:pic>
              </a:graphicData>
            </a:graphic>
          </wp:inline>
        </w:drawing>
      </w:r>
      <w:r w:rsidR="0069414B" w:rsidRPr="001531CD">
        <w:t>Figure 1</w:t>
      </w:r>
      <w:r w:rsidR="00DE40EC" w:rsidRPr="001531CD">
        <w:sym w:font="Symbol" w:char="F0BE"/>
      </w:r>
      <w:r w:rsidR="0069414B" w:rsidRPr="001531CD">
        <w:t>Excavation of Dirt Filled Porches</w:t>
      </w:r>
    </w:p>
    <w:p w14:paraId="1559B2CF" w14:textId="77777777" w:rsidR="00567B4B" w:rsidRPr="001531CD" w:rsidRDefault="00567B4B" w:rsidP="00651B12">
      <w:pPr>
        <w:pStyle w:val="RegDoubleIndent"/>
        <w:spacing w:after="120"/>
        <w:rPr>
          <w:sz w:val="16"/>
        </w:rPr>
      </w:pPr>
      <w:r w:rsidRPr="001531CD">
        <w:rPr>
          <w:sz w:val="16"/>
        </w:rPr>
        <w:t>Exception: If, due to construction, it is impractical to break into and excavate dirt-filled areas, a method of drilling, rodding and flooding as outlined in §141.C.9.b.ii below, may be employed.</w:t>
      </w:r>
    </w:p>
    <w:p w14:paraId="2D2D6A52" w14:textId="77777777" w:rsidR="00567B4B" w:rsidRPr="001531CD" w:rsidRDefault="00567B4B" w:rsidP="00567B4B">
      <w:pPr>
        <w:pStyle w:val="a0"/>
      </w:pPr>
      <w:r w:rsidRPr="001531CD">
        <w:t>b.</w:t>
      </w:r>
      <w:r w:rsidRPr="001531CD">
        <w:tab/>
        <w:t>Where the sill or other wood does not extend to or below the underside of the concrete slab, the fills shall be drilled, rodded and flooded as follows.</w:t>
      </w:r>
    </w:p>
    <w:p w14:paraId="42548B54" w14:textId="77777777" w:rsidR="00567B4B" w:rsidRPr="001531CD" w:rsidRDefault="00567B4B" w:rsidP="00567B4B">
      <w:pPr>
        <w:pStyle w:val="i0"/>
      </w:pPr>
      <w:r w:rsidRPr="001531CD">
        <w:tab/>
        <w:t>i.</w:t>
      </w:r>
      <w:r w:rsidRPr="001531CD">
        <w:tab/>
        <w:t>Drill floor slab at intervals of not more than 18 inches (unless label requires closer distance) along the junction of the porch and the buildings: rod and treat the fill along the foundation wall of the building.</w:t>
      </w:r>
    </w:p>
    <w:p w14:paraId="4071F08E" w14:textId="77777777" w:rsidR="00567B4B" w:rsidRPr="001531CD" w:rsidRDefault="00567B4B" w:rsidP="00567B4B">
      <w:pPr>
        <w:pStyle w:val="i0"/>
      </w:pPr>
      <w:r w:rsidRPr="001531CD">
        <w:tab/>
        <w:t>ii.</w:t>
      </w:r>
      <w:r w:rsidRPr="001531CD">
        <w:tab/>
        <w:t>When it is impossible to rod and treat fill because of broken concrete, rock or other non-porous material in the fill, drill the floor slab as outlined in §141.C.9.b.i and apply sufficient chemical to treat the surface areas beneath the floor slab. When non-porous materials are present in the fill, drill holes in a multi-course brick foundation at 8 inch intervals with every other hole extending into the fill. When there is a hollow-brick foundation, drill holes into the fill area every 16 inches along the foundation wall.</w:t>
      </w:r>
    </w:p>
    <w:p w14:paraId="6E2645A9" w14:textId="77777777" w:rsidR="00567B4B" w:rsidRPr="001531CD" w:rsidRDefault="00567B4B" w:rsidP="00651B12">
      <w:pPr>
        <w:pStyle w:val="RegDoubleIndent"/>
        <w:spacing w:after="120"/>
        <w:rPr>
          <w:sz w:val="16"/>
          <w:szCs w:val="16"/>
        </w:rPr>
      </w:pPr>
      <w:r w:rsidRPr="001531CD">
        <w:rPr>
          <w:sz w:val="16"/>
          <w:szCs w:val="16"/>
        </w:rPr>
        <w:t xml:space="preserve">NOTE: This is in addition to drilling and treating voids as outlined below (see </w:t>
      </w:r>
      <w:r w:rsidRPr="001531CD">
        <w:rPr>
          <w:bCs/>
          <w:sz w:val="16"/>
          <w:szCs w:val="16"/>
        </w:rPr>
        <w:t>Figure 2 and 3</w:t>
      </w:r>
      <w:r w:rsidRPr="001531CD">
        <w:rPr>
          <w:sz w:val="16"/>
          <w:szCs w:val="16"/>
        </w:rPr>
        <w:t>).</w:t>
      </w:r>
    </w:p>
    <w:p w14:paraId="4D4B4893" w14:textId="77777777" w:rsidR="00567B4B" w:rsidRPr="001531CD" w:rsidRDefault="00567B4B" w:rsidP="00AE6C26">
      <w:pPr>
        <w:pStyle w:val="Text"/>
        <w:keepNext/>
        <w:spacing w:after="1720"/>
        <w:jc w:val="left"/>
      </w:pPr>
      <w:r w:rsidRPr="001531CD">
        <w:t>Figure 2</w:t>
      </w:r>
      <w:r w:rsidR="00DE40EC" w:rsidRPr="001531CD">
        <w:sym w:font="Symbol" w:char="F0BE"/>
      </w:r>
      <w:r w:rsidRPr="001531CD">
        <w:t>Dirt Filled Porch (Hollow Block)</w:t>
      </w:r>
    </w:p>
    <w:p w14:paraId="5C2C03B2" w14:textId="77777777" w:rsidR="00BB0D27" w:rsidRDefault="00E95E85" w:rsidP="00567B4B">
      <w:pPr>
        <w:pStyle w:val="Text"/>
        <w:keepNext/>
      </w:pPr>
      <w:r w:rsidRPr="001531CD">
        <w:rPr>
          <w:noProof/>
        </w:rPr>
        <w:drawing>
          <wp:anchor distT="0" distB="0" distL="114300" distR="114300" simplePos="0" relativeHeight="251663872" behindDoc="0" locked="0" layoutInCell="1" allowOverlap="1" wp14:anchorId="085CFAD8" wp14:editId="720FE00C">
            <wp:simplePos x="0" y="0"/>
            <wp:positionH relativeFrom="column">
              <wp:posOffset>228874</wp:posOffset>
            </wp:positionH>
            <wp:positionV relativeFrom="paragraph">
              <wp:posOffset>-956781</wp:posOffset>
            </wp:positionV>
            <wp:extent cx="2760980" cy="1398905"/>
            <wp:effectExtent l="0" t="0" r="1270" b="0"/>
            <wp:wrapNone/>
            <wp:docPr id="12" name="Picture 2" descr="Black and white illustration of hollow block for a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CC Reg Diagrams\Figure 2.bmp"/>
                    <pic:cNvPicPr>
                      <a:picLocks noChangeAspect="1" noChangeArrowheads="1"/>
                    </pic:cNvPicPr>
                  </pic:nvPicPr>
                  <pic:blipFill>
                    <a:blip r:embed="rId56">
                      <a:extLst>
                        <a:ext uri="{28A0092B-C50C-407E-A947-70E740481C1C}">
                          <a14:useLocalDpi xmlns:a14="http://schemas.microsoft.com/office/drawing/2010/main" val="0"/>
                        </a:ext>
                      </a:extLst>
                    </a:blip>
                    <a:srcRect r="51833" b="67555"/>
                    <a:stretch>
                      <a:fillRect/>
                    </a:stretch>
                  </pic:blipFill>
                  <pic:spPr bwMode="auto">
                    <a:xfrm>
                      <a:off x="0" y="0"/>
                      <a:ext cx="276098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6AAC5" w14:textId="77777777" w:rsidR="00BB0D27" w:rsidRDefault="00BB0D27" w:rsidP="00AE6C26">
      <w:pPr>
        <w:pStyle w:val="Text"/>
        <w:keepNext/>
        <w:jc w:val="center"/>
      </w:pPr>
    </w:p>
    <w:p w14:paraId="7221F8A4" w14:textId="77777777" w:rsidR="00E95E85" w:rsidRDefault="00E95E85" w:rsidP="00AE6C26">
      <w:pPr>
        <w:pStyle w:val="Text"/>
        <w:keepNext/>
        <w:jc w:val="center"/>
      </w:pPr>
    </w:p>
    <w:p w14:paraId="1C4CAACF" w14:textId="77777777" w:rsidR="00567B4B" w:rsidRPr="001531CD" w:rsidRDefault="00567B4B" w:rsidP="00E95E85">
      <w:pPr>
        <w:pStyle w:val="Text"/>
        <w:keepNext/>
        <w:spacing w:after="2520"/>
      </w:pPr>
      <w:r w:rsidRPr="001531CD">
        <w:t>Figure 3</w:t>
      </w:r>
      <w:r w:rsidR="00DE40EC" w:rsidRPr="001531CD">
        <w:sym w:font="Symbol" w:char="F0BE"/>
      </w:r>
      <w:r w:rsidRPr="001531CD">
        <w:t>Dirt Filled Porch (Multi-Course Brick)</w:t>
      </w:r>
    </w:p>
    <w:p w14:paraId="44418B29" w14:textId="77777777" w:rsidR="00567B4B" w:rsidRPr="001531CD" w:rsidRDefault="00E95E85" w:rsidP="00BB0D27">
      <w:pPr>
        <w:pStyle w:val="a00"/>
        <w:keepNext/>
        <w:spacing w:after="0"/>
        <w:ind w:firstLine="0"/>
        <w:jc w:val="center"/>
        <w:rPr>
          <w:sz w:val="24"/>
          <w:szCs w:val="24"/>
        </w:rPr>
      </w:pPr>
      <w:r w:rsidRPr="001531CD">
        <w:rPr>
          <w:noProof/>
        </w:rPr>
        <w:drawing>
          <wp:anchor distT="0" distB="0" distL="114300" distR="114300" simplePos="0" relativeHeight="251664896" behindDoc="0" locked="0" layoutInCell="1" allowOverlap="1" wp14:anchorId="6613134F" wp14:editId="04D8ADB9">
            <wp:simplePos x="0" y="0"/>
            <wp:positionH relativeFrom="column">
              <wp:posOffset>91988</wp:posOffset>
            </wp:positionH>
            <wp:positionV relativeFrom="paragraph">
              <wp:posOffset>-1473299</wp:posOffset>
            </wp:positionV>
            <wp:extent cx="2779395" cy="1490980"/>
            <wp:effectExtent l="0" t="0" r="1905" b="0"/>
            <wp:wrapNone/>
            <wp:docPr id="11" name="Picture 3" descr="Black and white illustration of multi-course brick for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PCC Reg Diagrams\Figure 3.bmp"/>
                    <pic:cNvPicPr>
                      <a:picLocks noChangeAspect="1" noChangeArrowheads="1"/>
                    </pic:cNvPicPr>
                  </pic:nvPicPr>
                  <pic:blipFill>
                    <a:blip r:embed="rId57">
                      <a:extLst>
                        <a:ext uri="{28A0092B-C50C-407E-A947-70E740481C1C}">
                          <a14:useLocalDpi xmlns:a14="http://schemas.microsoft.com/office/drawing/2010/main" val="0"/>
                        </a:ext>
                      </a:extLst>
                    </a:blip>
                    <a:srcRect r="49303" b="63687"/>
                    <a:stretch>
                      <a:fillRect/>
                    </a:stretch>
                  </pic:blipFill>
                  <pic:spPr bwMode="auto">
                    <a:xfrm>
                      <a:off x="0" y="0"/>
                      <a:ext cx="277939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47412" w14:textId="77777777" w:rsidR="00567B4B" w:rsidRPr="001531CD" w:rsidRDefault="00567B4B" w:rsidP="00567B4B">
      <w:pPr>
        <w:pStyle w:val="a0"/>
      </w:pPr>
      <w:r w:rsidRPr="001531CD">
        <w:t>c.</w:t>
      </w:r>
      <w:r w:rsidRPr="001531CD">
        <w:tab/>
        <w:t>When treating earth fills (drilling, rodding and excavation), porch foundation walls will be treated as follows.</w:t>
      </w:r>
    </w:p>
    <w:p w14:paraId="716597A6" w14:textId="77777777" w:rsidR="00567B4B" w:rsidRPr="001531CD" w:rsidRDefault="00567B4B" w:rsidP="00567B4B">
      <w:pPr>
        <w:pStyle w:val="i0"/>
      </w:pPr>
      <w:r w:rsidRPr="001531CD">
        <w:tab/>
        <w:t>i.</w:t>
      </w:r>
      <w:r w:rsidRPr="001531CD">
        <w:tab/>
        <w:t>Drill hollow-block walls and apply sufficient chemical to penetrate mortar joints and flow into the trench at the bottom of the foundation wall.</w:t>
      </w:r>
    </w:p>
    <w:p w14:paraId="6177B596" w14:textId="77777777" w:rsidR="00567B4B" w:rsidRPr="001531CD" w:rsidRDefault="00567B4B" w:rsidP="00567B4B">
      <w:pPr>
        <w:pStyle w:val="i0"/>
      </w:pPr>
      <w:r w:rsidRPr="001531CD">
        <w:tab/>
        <w:t>ii.</w:t>
      </w:r>
      <w:r w:rsidRPr="001531CD">
        <w:tab/>
        <w:t>Drill multi-course brick walls at intervals of every second brick and treat all voids, making certain that the chemical flows into the voids on both sides of the hole being treated.</w:t>
      </w:r>
    </w:p>
    <w:p w14:paraId="487E261D" w14:textId="77777777" w:rsidR="00567B4B" w:rsidRPr="001531CD" w:rsidRDefault="00567B4B" w:rsidP="00567B4B">
      <w:pPr>
        <w:pStyle w:val="1"/>
      </w:pPr>
      <w:r w:rsidRPr="001531CD">
        <w:t>10.</w:t>
      </w:r>
      <w:r w:rsidRPr="001531CD">
        <w:tab/>
        <w:t xml:space="preserve">Chimney Bases and Dirt Filled Steps. Chimney bases and dirt filled steps shall be treated by drilling the foundation walls as outlined in Step 2 for dirt filled porches, </w:t>
      </w:r>
      <w:r w:rsidRPr="001531CD">
        <w:rPr>
          <w:bCs/>
        </w:rPr>
        <w:t>(see Figure 4 and 5)</w:t>
      </w:r>
      <w:r w:rsidRPr="001531CD">
        <w:t>.</w:t>
      </w:r>
    </w:p>
    <w:p w14:paraId="2A891295" w14:textId="77777777" w:rsidR="00567B4B" w:rsidRPr="001531CD" w:rsidRDefault="00567B4B" w:rsidP="003616D0">
      <w:pPr>
        <w:pStyle w:val="Text"/>
        <w:keepNext/>
        <w:spacing w:after="1200"/>
      </w:pPr>
      <w:r w:rsidRPr="001531CD">
        <w:t>Figure 4</w:t>
      </w:r>
      <w:r w:rsidR="00DE40EC" w:rsidRPr="001531CD">
        <w:sym w:font="Symbol" w:char="F0BE"/>
      </w:r>
      <w:r w:rsidRPr="001531CD">
        <w:t>Chimney Base</w:t>
      </w:r>
    </w:p>
    <w:p w14:paraId="679AB51E" w14:textId="77777777" w:rsidR="00943D36" w:rsidRDefault="00943D36" w:rsidP="00943D36">
      <w:pPr>
        <w:pStyle w:val="Text"/>
        <w:keepNext/>
      </w:pPr>
    </w:p>
    <w:p w14:paraId="35233BAE" w14:textId="77777777" w:rsidR="00943D36" w:rsidRDefault="00943D36" w:rsidP="00943D36">
      <w:pPr>
        <w:pStyle w:val="Text"/>
        <w:keepNext/>
      </w:pPr>
    </w:p>
    <w:p w14:paraId="23B55EC0" w14:textId="77777777" w:rsidR="00943D36" w:rsidRDefault="00943D36" w:rsidP="00943D36">
      <w:pPr>
        <w:pStyle w:val="Text"/>
        <w:keepNext/>
      </w:pPr>
    </w:p>
    <w:p w14:paraId="0000ABBE" w14:textId="77777777" w:rsidR="00567B4B" w:rsidRPr="001531CD" w:rsidRDefault="00BB0D27" w:rsidP="00567B4B">
      <w:pPr>
        <w:pStyle w:val="Text"/>
      </w:pPr>
      <w:r w:rsidRPr="003616D0">
        <w:rPr>
          <w:noProof/>
        </w:rPr>
        <w:drawing>
          <wp:anchor distT="0" distB="0" distL="114300" distR="114300" simplePos="0" relativeHeight="251662848" behindDoc="0" locked="0" layoutInCell="1" allowOverlap="1" wp14:anchorId="078D3487" wp14:editId="4F24D9DC">
            <wp:simplePos x="0" y="0"/>
            <wp:positionH relativeFrom="column">
              <wp:posOffset>117722</wp:posOffset>
            </wp:positionH>
            <wp:positionV relativeFrom="paragraph">
              <wp:posOffset>-1289468</wp:posOffset>
            </wp:positionV>
            <wp:extent cx="2228508" cy="1406340"/>
            <wp:effectExtent l="0" t="0" r="635" b="3810"/>
            <wp:wrapNone/>
            <wp:docPr id="23" name="Picture 23" descr="Black and white illustration of a chimney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28508" cy="1406340"/>
                    </a:xfrm>
                    <a:prstGeom prst="rect">
                      <a:avLst/>
                    </a:prstGeom>
                  </pic:spPr>
                </pic:pic>
              </a:graphicData>
            </a:graphic>
            <wp14:sizeRelH relativeFrom="page">
              <wp14:pctWidth>0</wp14:pctWidth>
            </wp14:sizeRelH>
            <wp14:sizeRelV relativeFrom="page">
              <wp14:pctHeight>0</wp14:pctHeight>
            </wp14:sizeRelV>
          </wp:anchor>
        </w:drawing>
      </w:r>
      <w:r w:rsidR="008B7D32">
        <w:br w:type="column"/>
      </w:r>
      <w:r w:rsidR="00567B4B" w:rsidRPr="001531CD">
        <w:lastRenderedPageBreak/>
        <w:t>Figure 5</w:t>
      </w:r>
      <w:r w:rsidR="00DE40EC" w:rsidRPr="001531CD">
        <w:sym w:font="Symbol" w:char="F0BE"/>
      </w:r>
      <w:r w:rsidR="00567B4B" w:rsidRPr="001531CD">
        <w:t>Dirt Filled Step</w:t>
      </w:r>
    </w:p>
    <w:p w14:paraId="34C95025" w14:textId="77777777" w:rsidR="00567B4B" w:rsidRPr="001531CD" w:rsidRDefault="001778C5" w:rsidP="00567B4B">
      <w:pPr>
        <w:pStyle w:val="Text"/>
      </w:pPr>
      <w:r w:rsidRPr="001531CD">
        <w:rPr>
          <w:noProof/>
        </w:rPr>
        <w:drawing>
          <wp:anchor distT="0" distB="0" distL="114300" distR="114300" simplePos="0" relativeHeight="251657728" behindDoc="0" locked="1" layoutInCell="1" allowOverlap="1" wp14:anchorId="53C6BD50" wp14:editId="0A599197">
            <wp:simplePos x="0" y="0"/>
            <wp:positionH relativeFrom="column">
              <wp:posOffset>171450</wp:posOffset>
            </wp:positionH>
            <wp:positionV relativeFrom="paragraph">
              <wp:posOffset>76200</wp:posOffset>
            </wp:positionV>
            <wp:extent cx="2477770" cy="1503045"/>
            <wp:effectExtent l="0" t="0" r="0" b="1905"/>
            <wp:wrapNone/>
            <wp:docPr id="10" name="Picture 5" descr="Black and white illustration of a dirt fille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PCC Reg Diagrams\Figure 5.bmp"/>
                    <pic:cNvPicPr>
                      <a:picLocks noChangeAspect="1" noChangeArrowheads="1"/>
                    </pic:cNvPicPr>
                  </pic:nvPicPr>
                  <pic:blipFill>
                    <a:blip r:embed="rId59">
                      <a:extLst>
                        <a:ext uri="{28A0092B-C50C-407E-A947-70E740481C1C}">
                          <a14:useLocalDpi xmlns:a14="http://schemas.microsoft.com/office/drawing/2010/main" val="0"/>
                        </a:ext>
                      </a:extLst>
                    </a:blip>
                    <a:srcRect r="54814" b="63391"/>
                    <a:stretch>
                      <a:fillRect/>
                    </a:stretch>
                  </pic:blipFill>
                  <pic:spPr bwMode="auto">
                    <a:xfrm>
                      <a:off x="0" y="0"/>
                      <a:ext cx="247777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47728" w14:textId="77777777" w:rsidR="00567B4B" w:rsidRPr="001531CD" w:rsidRDefault="00567B4B" w:rsidP="00567B4B">
      <w:pPr>
        <w:pStyle w:val="Text"/>
      </w:pPr>
    </w:p>
    <w:p w14:paraId="6E2C0761" w14:textId="77777777" w:rsidR="00567B4B" w:rsidRPr="001531CD" w:rsidRDefault="00567B4B" w:rsidP="00567B4B">
      <w:pPr>
        <w:pStyle w:val="Text"/>
      </w:pPr>
    </w:p>
    <w:p w14:paraId="2A2409E1" w14:textId="77777777" w:rsidR="00567B4B" w:rsidRPr="001531CD" w:rsidRDefault="00567B4B" w:rsidP="00567B4B">
      <w:pPr>
        <w:pStyle w:val="Text"/>
      </w:pPr>
    </w:p>
    <w:p w14:paraId="439BB71C" w14:textId="77777777" w:rsidR="00567B4B" w:rsidRPr="001531CD" w:rsidRDefault="00567B4B" w:rsidP="00567B4B">
      <w:pPr>
        <w:pStyle w:val="Text"/>
      </w:pPr>
    </w:p>
    <w:p w14:paraId="47CC73C1" w14:textId="77777777" w:rsidR="00567B4B" w:rsidRPr="001531CD" w:rsidRDefault="00567B4B" w:rsidP="00567B4B">
      <w:pPr>
        <w:pStyle w:val="Text"/>
      </w:pPr>
    </w:p>
    <w:p w14:paraId="09819101" w14:textId="77777777" w:rsidR="00567B4B" w:rsidRPr="001531CD" w:rsidRDefault="00567B4B" w:rsidP="00567B4B">
      <w:pPr>
        <w:pStyle w:val="Text"/>
      </w:pPr>
    </w:p>
    <w:p w14:paraId="4AA47754" w14:textId="77777777" w:rsidR="00526019" w:rsidRPr="001531CD" w:rsidRDefault="00526019" w:rsidP="00526019">
      <w:pPr>
        <w:pStyle w:val="A"/>
        <w:spacing w:after="0"/>
      </w:pPr>
    </w:p>
    <w:p w14:paraId="2282B28D" w14:textId="77777777" w:rsidR="00567B4B" w:rsidRPr="001531CD" w:rsidRDefault="00F00D4E" w:rsidP="00567B4B">
      <w:pPr>
        <w:pStyle w:val="A"/>
      </w:pPr>
      <w:r w:rsidRPr="009D41F2">
        <w:t>D.</w:t>
      </w:r>
      <w:r w:rsidRPr="009D41F2">
        <w:tab/>
        <w:t>Treatment of Existing Slab-Type Construction</w:t>
      </w:r>
    </w:p>
    <w:p w14:paraId="0B088752" w14:textId="77777777" w:rsidR="00567B4B" w:rsidRPr="001531CD" w:rsidRDefault="00567B4B" w:rsidP="00567B4B">
      <w:pPr>
        <w:pStyle w:val="1"/>
      </w:pPr>
      <w:r w:rsidRPr="001531CD">
        <w:t>1.</w:t>
      </w:r>
      <w:r w:rsidRPr="001531CD">
        <w:tab/>
        <w:t>Ground Treatment</w:t>
      </w:r>
    </w:p>
    <w:p w14:paraId="613BFBD3" w14:textId="77777777" w:rsidR="00567B4B" w:rsidRPr="001531CD" w:rsidRDefault="00567B4B" w:rsidP="00567B4B">
      <w:pPr>
        <w:pStyle w:val="a0"/>
      </w:pPr>
      <w:r w:rsidRPr="001531CD">
        <w:t>a.</w:t>
      </w:r>
      <w:r w:rsidRPr="001531CD">
        <w:tab/>
        <w:t>Trench around the entire perimeter of the structure being treated, adjacent to the foundation wall.</w:t>
      </w:r>
    </w:p>
    <w:p w14:paraId="5538BFD8" w14:textId="77777777" w:rsidR="00567B4B" w:rsidRDefault="00F00D4E" w:rsidP="00567B4B">
      <w:pPr>
        <w:pStyle w:val="a0"/>
      </w:pPr>
      <w:r w:rsidRPr="009D41F2">
        <w:t>b.</w:t>
      </w:r>
      <w:r w:rsidRPr="009D41F2">
        <w:tab/>
        <w:t>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only where trenching will damage irrigation equipment, utility equipment, flowers and/or shrubs. Maximum distance between rod holes shall be 4 inches.</w:t>
      </w:r>
    </w:p>
    <w:p w14:paraId="7D249469" w14:textId="77777777" w:rsidR="003106F5" w:rsidRDefault="003106F5" w:rsidP="00567B4B">
      <w:pPr>
        <w:pStyle w:val="a0"/>
      </w:pPr>
      <w:r w:rsidRPr="00E73C80">
        <w:t>c.</w:t>
      </w:r>
      <w:r w:rsidRPr="00E73C80">
        <w:tab/>
        <w:t>In lieu of trench and treat, a commission approved method of hydraulic injection shall be used in conjunction with an approved termiticide with label and labeling for hydraulic injection use.</w:t>
      </w:r>
      <w:r>
        <w:t xml:space="preserve"> </w:t>
      </w:r>
      <w:r w:rsidRPr="00E73C80">
        <w:t>Hydraulic injection shall be performed around the slab to form a treatment zone.</w:t>
      </w:r>
    </w:p>
    <w:p w14:paraId="7F5E8344" w14:textId="77777777" w:rsidR="00F00D4E" w:rsidRPr="001531CD" w:rsidRDefault="00F00D4E" w:rsidP="00567B4B">
      <w:pPr>
        <w:pStyle w:val="a0"/>
      </w:pPr>
      <w:r w:rsidRPr="009D41F2">
        <w:t>d.</w:t>
      </w:r>
      <w:r w:rsidRPr="009D41F2">
        <w:tab/>
        <w:t>Rod under or drill through the slab and treat all areas beneath expansion joints and cracks of adjoining or abutting slab(s) as per label and labeling instructions. When the slab is drilled, the holes shall be no more than 18 inches (unless label requires closer distance) apart along the above stated areas.</w:t>
      </w:r>
    </w:p>
    <w:p w14:paraId="67DEC31C" w14:textId="77777777" w:rsidR="00DE40EC" w:rsidRPr="001531CD" w:rsidRDefault="00DE40EC" w:rsidP="00DE40EC">
      <w:pPr>
        <w:pStyle w:val="1"/>
      </w:pPr>
      <w:r w:rsidRPr="001531CD">
        <w:t>2.</w:t>
      </w:r>
      <w:r w:rsidRPr="001531CD">
        <w:tab/>
        <w:t>Bath Traps</w:t>
      </w:r>
    </w:p>
    <w:p w14:paraId="67EFE94E" w14:textId="77777777" w:rsidR="00DE40EC" w:rsidRPr="001531CD" w:rsidRDefault="00DE40EC" w:rsidP="00DE40EC">
      <w:pPr>
        <w:pStyle w:val="a0"/>
      </w:pPr>
      <w:r w:rsidRPr="001531CD">
        <w:t>a.</w:t>
      </w:r>
      <w:r w:rsidRPr="001531CD">
        <w:tab/>
        <w:t xml:space="preserve">An access hole of a minimum of 6x8 inches shall be provided during the initial treatment to all bathtub plumbing. </w:t>
      </w:r>
    </w:p>
    <w:p w14:paraId="79D630E5" w14:textId="77777777" w:rsidR="00567B4B" w:rsidRPr="001531CD" w:rsidRDefault="00DE40EC" w:rsidP="00DE40EC">
      <w:pPr>
        <w:pStyle w:val="a0"/>
      </w:pPr>
      <w:r w:rsidRPr="001531CD">
        <w:t>b.</w:t>
      </w:r>
      <w:r w:rsidRPr="001531CD">
        <w:tab/>
        <w:t>If the soil in a trap does not reach the bottom of the slab, the trap shall be filled to within 2 inches of the top of the slab with soil prior to initial treatment. Treat bath trap(s) as required by label and labeling.</w:t>
      </w:r>
    </w:p>
    <w:p w14:paraId="291EC00C" w14:textId="77777777" w:rsidR="00567B4B" w:rsidRPr="001531CD" w:rsidRDefault="00567B4B" w:rsidP="00567B4B">
      <w:pPr>
        <w:pStyle w:val="a0"/>
      </w:pPr>
      <w:r w:rsidRPr="001531CD">
        <w:t>c.</w:t>
      </w:r>
      <w:r w:rsidRPr="001531CD">
        <w:tab/>
        <w:t>A tar filled bath trap shall also be drilled and treated as required by label and labeling.</w:t>
      </w:r>
    </w:p>
    <w:p w14:paraId="1BBA53C5" w14:textId="77777777" w:rsidR="00567B4B" w:rsidRPr="001531CD" w:rsidRDefault="00567B4B" w:rsidP="00567B4B">
      <w:pPr>
        <w:pStyle w:val="a0"/>
      </w:pPr>
      <w:r w:rsidRPr="001531CD">
        <w:t>d.</w:t>
      </w:r>
      <w:r w:rsidRPr="001531CD">
        <w:tab/>
        <w:t>If bath trap is solid concrete pour, it shall be drilled and treated as close as practical to the bathtub plumbing.</w:t>
      </w:r>
    </w:p>
    <w:p w14:paraId="562C6403" w14:textId="77777777" w:rsidR="00567B4B" w:rsidRPr="001531CD" w:rsidRDefault="00567B4B" w:rsidP="00567B4B">
      <w:pPr>
        <w:pStyle w:val="1"/>
      </w:pPr>
      <w:r w:rsidRPr="001531CD">
        <w:t>3.</w:t>
      </w:r>
      <w:r w:rsidRPr="001531CD">
        <w:tab/>
        <w:t>Other Openings in Slab</w:t>
      </w:r>
    </w:p>
    <w:p w14:paraId="0005B0D1" w14:textId="77777777" w:rsidR="00567B4B" w:rsidRPr="001531CD" w:rsidRDefault="00567B4B" w:rsidP="00567B4B">
      <w:pPr>
        <w:pStyle w:val="a0"/>
      </w:pPr>
      <w:r w:rsidRPr="001531CD">
        <w:t>a.</w:t>
      </w:r>
      <w:r w:rsidRPr="001531CD">
        <w:tab/>
        <w:t>All showers shall be drilled and treated as close as practical to shower plumbing.</w:t>
      </w:r>
    </w:p>
    <w:p w14:paraId="755D00B6" w14:textId="77777777" w:rsidR="00567B4B" w:rsidRPr="001531CD" w:rsidRDefault="00567B4B" w:rsidP="00567B4B">
      <w:pPr>
        <w:pStyle w:val="a0"/>
      </w:pPr>
      <w:r w:rsidRPr="001531CD">
        <w:t>b.</w:t>
      </w:r>
      <w:r w:rsidRPr="001531CD">
        <w:tab/>
        <w:t xml:space="preserve">Rod under or drill through the slab and treat all areas beneath expansion joints and cracks in the slab as per </w:t>
      </w:r>
      <w:r w:rsidRPr="001531CD">
        <w:t>label and labeling instructions. When the slab is drilled, the holes shall be no more than 18 inches (unless label requires closer distance) apart along the above stated areas.</w:t>
      </w:r>
    </w:p>
    <w:p w14:paraId="0BF14E91" w14:textId="77777777" w:rsidR="00DE40EC" w:rsidRPr="001531CD" w:rsidRDefault="00DE40EC" w:rsidP="00DE40EC">
      <w:pPr>
        <w:pStyle w:val="a0"/>
      </w:pPr>
      <w:r w:rsidRPr="001531CD">
        <w:t>c.</w:t>
      </w:r>
      <w:r w:rsidRPr="001531CD">
        <w:tab/>
        <w:t>All other openings (plumbing. etc.) shall be treated during the initial treatment as required by label and labeling.</w:t>
      </w:r>
    </w:p>
    <w:p w14:paraId="435FC919" w14:textId="77777777" w:rsidR="00DE40EC" w:rsidRPr="001531CD" w:rsidRDefault="00DE40EC" w:rsidP="00DE40EC">
      <w:pPr>
        <w:pStyle w:val="a0"/>
      </w:pPr>
      <w:r w:rsidRPr="001531CD">
        <w:t>d.</w:t>
      </w:r>
      <w:r w:rsidRPr="001531CD">
        <w:tab/>
        <w:t>Treat all visible cracks in slab.</w:t>
      </w:r>
    </w:p>
    <w:p w14:paraId="4CB2954E" w14:textId="77777777" w:rsidR="00DE40EC" w:rsidRPr="001531CD" w:rsidRDefault="00DE40EC" w:rsidP="00DE40EC">
      <w:pPr>
        <w:pStyle w:val="1"/>
      </w:pPr>
      <w:r w:rsidRPr="001531CD">
        <w:t>4.</w:t>
      </w:r>
      <w:r w:rsidRPr="001531CD">
        <w:tab/>
        <w:t>Eliminate direct contact of wood with ground.</w:t>
      </w:r>
    </w:p>
    <w:p w14:paraId="7A16A747" w14:textId="77777777" w:rsidR="00DE40EC" w:rsidRPr="001531CD" w:rsidRDefault="00DE40EC" w:rsidP="00DE40EC">
      <w:pPr>
        <w:pStyle w:val="a0"/>
      </w:pPr>
      <w:r w:rsidRPr="001531CD">
        <w:t>a.</w:t>
      </w:r>
      <w:r w:rsidRPr="001531CD">
        <w:tab/>
        <w:t>Remove all cellulose debris, such as scrap wood, vines, etc., from the foundation level of the structure or above the slab.</w:t>
      </w:r>
    </w:p>
    <w:p w14:paraId="521C35BE" w14:textId="77777777" w:rsidR="00DE40EC" w:rsidRPr="001531CD" w:rsidRDefault="00DE40EC" w:rsidP="00DE40EC">
      <w:pPr>
        <w:pStyle w:val="a0"/>
      </w:pPr>
      <w:r w:rsidRPr="001531CD">
        <w:t>b.</w:t>
      </w:r>
      <w:r w:rsidRPr="001531CD">
        <w:tab/>
        <w:t>Trench, rod and treat any large stumps or roots that are too sound to be removed, provided that such stumps or roots are at least 12 inches from the foundation timbers. Stumps or roots located less than 12 inches from foundation timbers shall be cut off to provide at least 12 inches clearance.</w:t>
      </w:r>
    </w:p>
    <w:p w14:paraId="1F46AA0B" w14:textId="77777777" w:rsidR="00DE40EC" w:rsidRPr="001531CD" w:rsidRDefault="00DE40EC" w:rsidP="00DE40EC">
      <w:pPr>
        <w:pStyle w:val="a0"/>
      </w:pPr>
      <w:r w:rsidRPr="001531CD">
        <w:t>c.</w:t>
      </w:r>
      <w:r w:rsidRPr="001531CD">
        <w:tab/>
        <w:t>Remove all form boards that are not embedded in concrete.</w:t>
      </w:r>
    </w:p>
    <w:p w14:paraId="74F630AC" w14:textId="77777777" w:rsidR="00F00D4E" w:rsidRPr="009D41F2" w:rsidRDefault="00F00D4E" w:rsidP="00F00D4E">
      <w:pPr>
        <w:pStyle w:val="A"/>
      </w:pPr>
      <w:r w:rsidRPr="009D41F2">
        <w:t>E.</w:t>
      </w:r>
      <w:r w:rsidRPr="009D41F2">
        <w:tab/>
        <w:t xml:space="preserve">Pre-Construction Treatment </w:t>
      </w:r>
    </w:p>
    <w:p w14:paraId="23B63E08" w14:textId="77777777" w:rsidR="00F00D4E" w:rsidRPr="009D41F2" w:rsidRDefault="00F00D4E" w:rsidP="00F00D4E">
      <w:pPr>
        <w:pStyle w:val="1"/>
      </w:pPr>
      <w:r w:rsidRPr="009D41F2">
        <w:t>1.</w:t>
      </w:r>
      <w:r w:rsidRPr="009D41F2">
        <w:tab/>
        <w:t>The permitee or primary licensee shall pre-treat all slab and pier type construction using the required chemical and making the application of the product mixture at a rate and manner prescribed on the label and labeling.</w:t>
      </w:r>
    </w:p>
    <w:p w14:paraId="21768303" w14:textId="77777777" w:rsidR="00F00D4E" w:rsidRPr="009D41F2" w:rsidRDefault="00F00D4E" w:rsidP="00F00D4E">
      <w:pPr>
        <w:pStyle w:val="1"/>
      </w:pPr>
      <w:r w:rsidRPr="009D41F2">
        <w:t>2.</w:t>
      </w:r>
      <w:r w:rsidRPr="009D41F2">
        <w:tab/>
        <w:t>The permittee or primary licensee shall report the completion of the application to the outside of the foundation slab or pier type construction to the department on the termite perimeter application form. Within 12 months after initial treatment, the outside perimeter of the foundation slab or pier type construction will be treated as follows:</w:t>
      </w:r>
    </w:p>
    <w:p w14:paraId="5A8CD637" w14:textId="77777777" w:rsidR="00F00D4E" w:rsidRPr="009D41F2" w:rsidRDefault="00F00D4E" w:rsidP="00F00D4E">
      <w:pPr>
        <w:pStyle w:val="a0"/>
      </w:pPr>
      <w:r w:rsidRPr="009D41F2">
        <w:t>a.</w:t>
      </w:r>
      <w:r w:rsidRPr="009D41F2">
        <w:tab/>
        <w:t>trench around the entire perimeter of the structure being treated, adjacent to the foundation wall or pier type construction. 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between rod holes shall be 4 inches;</w:t>
      </w:r>
    </w:p>
    <w:p w14:paraId="6802EACC" w14:textId="77777777" w:rsidR="00F00D4E" w:rsidRPr="009D41F2" w:rsidRDefault="00F00D4E" w:rsidP="00F00D4E">
      <w:pPr>
        <w:pStyle w:val="a0"/>
      </w:pPr>
      <w:r w:rsidRPr="009D41F2">
        <w:t>b.</w:t>
      </w:r>
      <w:r w:rsidRPr="009D41F2">
        <w:tab/>
        <w:t>rod under or drill through any slab(s) adjoining or abutting the initial pre-treated slab or pier type construction and treat all areas beneath adjoining or abutting slab(s) as per label and labeling instructions. When any slab(s) is drilled, the holes shall be no more than 18 inches (unless label requires closer distance) apart along the above stated areas;</w:t>
      </w:r>
    </w:p>
    <w:p w14:paraId="52F686C0" w14:textId="77777777" w:rsidR="00F00D4E" w:rsidRPr="009D41F2" w:rsidRDefault="00F00D4E" w:rsidP="00F00D4E">
      <w:pPr>
        <w:pStyle w:val="a0"/>
      </w:pPr>
      <w:r w:rsidRPr="009D41F2">
        <w:t>c.</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14:paraId="569C4A24" w14:textId="77777777" w:rsidR="00F00D4E" w:rsidRPr="009D41F2" w:rsidRDefault="00F00D4E" w:rsidP="00F00D4E">
      <w:pPr>
        <w:pStyle w:val="1"/>
      </w:pPr>
      <w:r w:rsidRPr="009D41F2">
        <w:t>3.</w:t>
      </w:r>
      <w:r w:rsidRPr="009D41F2">
        <w:tab/>
        <w:t xml:space="preserve">If, during the treatment of any area which will be beneath a slab foundation or pier type construction, the </w:t>
      </w:r>
      <w:r w:rsidRPr="009D41F2">
        <w:lastRenderedPageBreak/>
        <w:t>operator shall leave the site for any reason prior to the completion of the application, the operator shall prominently display a poster, approved by the department, which states that the treatment of the area under the slab or pier type construction is not complete.</w:t>
      </w:r>
    </w:p>
    <w:p w14:paraId="44D5317A" w14:textId="77777777" w:rsidR="002E62E9" w:rsidRPr="00BB7657" w:rsidRDefault="00F00D4E" w:rsidP="002E62E9">
      <w:pPr>
        <w:pStyle w:val="1"/>
        <w:rPr>
          <w:rFonts w:eastAsia="Calibri"/>
        </w:rPr>
      </w:pPr>
      <w:r w:rsidRPr="009D41F2">
        <w:t>4.</w:t>
      </w:r>
      <w:r w:rsidRPr="009D41F2">
        <w:tab/>
      </w:r>
      <w:r w:rsidR="00750B71" w:rsidRPr="00395D03">
        <w:t>All pre-treatment of slabs or pier type construction shall be submitted by online form or called in to the department’s district office in which the pretreat occurs, a minimum of one hour prior to beginning the application of termiticides. The information provided shall include treatment company name; treatment structure street address, city, zip code, parish; if available; and/or directions to the property being pre-treated; date and time of beginning the application of termiticides to the property; estimated square or linear footage of each structure to be treated; and number of reported structures. All pest control operators shall keep a log of all pretreats including the information noted. The following is a list of parishes in each of the department's eight district offices. Pretreatments in a parish shall be submitted by online form or called into the corresponding district office:</w:t>
      </w:r>
      <w:r w:rsidR="002E62E9" w:rsidRPr="00BB7657">
        <w:rPr>
          <w:rFonts w:eastAsia="Calibri"/>
        </w:rPr>
        <w:t xml:space="preserve"> </w:t>
      </w:r>
    </w:p>
    <w:p w14:paraId="41D7EC76" w14:textId="77777777" w:rsidR="002E62E9" w:rsidRPr="00BB7657" w:rsidRDefault="002E62E9" w:rsidP="002E62E9">
      <w:pPr>
        <w:pStyle w:val="a0"/>
        <w:rPr>
          <w:rFonts w:eastAsia="Calibri"/>
        </w:rPr>
      </w:pPr>
      <w:r w:rsidRPr="00BB7657">
        <w:rPr>
          <w:rFonts w:eastAsia="Calibri"/>
        </w:rPr>
        <w:t>a.</w:t>
      </w:r>
      <w:r w:rsidRPr="00BB7657">
        <w:rPr>
          <w:rFonts w:eastAsia="Calibri"/>
        </w:rPr>
        <w:tab/>
        <w:t>Shreveport District</w:t>
      </w:r>
      <w:r>
        <w:rPr>
          <w:rFonts w:eastAsia="Calibri"/>
        </w:rPr>
        <w:t>—</w:t>
      </w:r>
      <w:r w:rsidRPr="00BB7657">
        <w:rPr>
          <w:rFonts w:eastAsia="Calibri"/>
        </w:rPr>
        <w:t xml:space="preserve">Caddo, Bossier, Webster, Claiborne, Bienville, Jackson, Winn, Lincoln, Red River, and Desoto; </w:t>
      </w:r>
    </w:p>
    <w:p w14:paraId="13974E3A" w14:textId="77777777" w:rsidR="002E62E9" w:rsidRPr="00BB7657" w:rsidRDefault="002E62E9" w:rsidP="002E62E9">
      <w:pPr>
        <w:pStyle w:val="a0"/>
        <w:rPr>
          <w:rFonts w:eastAsia="Calibri"/>
        </w:rPr>
      </w:pPr>
      <w:r w:rsidRPr="00BB7657">
        <w:rPr>
          <w:rFonts w:eastAsia="Calibri"/>
        </w:rPr>
        <w:t>b.</w:t>
      </w:r>
      <w:r w:rsidRPr="00BB7657">
        <w:rPr>
          <w:rFonts w:eastAsia="Calibri"/>
        </w:rPr>
        <w:tab/>
        <w:t>Monroe District</w:t>
      </w:r>
      <w:r>
        <w:rPr>
          <w:rFonts w:eastAsia="Calibri"/>
        </w:rPr>
        <w:t>—</w:t>
      </w:r>
      <w:r w:rsidRPr="00BB7657">
        <w:rPr>
          <w:rFonts w:eastAsia="Calibri"/>
        </w:rPr>
        <w:t xml:space="preserve">Union, Morehouse, West Carroll, East Carroll, Madison, Richland, Ouachita, Caldwell, Franklin, Tensas; </w:t>
      </w:r>
    </w:p>
    <w:p w14:paraId="2EA0B501" w14:textId="77777777" w:rsidR="002E62E9" w:rsidRPr="00BB7657" w:rsidRDefault="002E62E9" w:rsidP="002E62E9">
      <w:pPr>
        <w:pStyle w:val="a0"/>
        <w:rPr>
          <w:rFonts w:eastAsia="Calibri"/>
        </w:rPr>
      </w:pPr>
      <w:r w:rsidRPr="00BB7657">
        <w:rPr>
          <w:rFonts w:eastAsia="Calibri"/>
        </w:rPr>
        <w:t>c.</w:t>
      </w:r>
      <w:r w:rsidRPr="00BB7657">
        <w:rPr>
          <w:rFonts w:eastAsia="Calibri"/>
        </w:rPr>
        <w:tab/>
        <w:t>Alexandria District</w:t>
      </w:r>
      <w:r>
        <w:rPr>
          <w:rFonts w:eastAsia="Calibri"/>
        </w:rPr>
        <w:t>—</w:t>
      </w:r>
      <w:r w:rsidRPr="00BB7657">
        <w:rPr>
          <w:rFonts w:eastAsia="Calibri"/>
        </w:rPr>
        <w:t xml:space="preserve">Sabine, Natchitoches, Grant, LaSalle, Catahoula, Concordia, Avoyelles, Rapides, and Vernon; </w:t>
      </w:r>
    </w:p>
    <w:p w14:paraId="664CA819" w14:textId="77777777" w:rsidR="002E62E9" w:rsidRPr="00BB7657" w:rsidRDefault="002E62E9" w:rsidP="002E62E9">
      <w:pPr>
        <w:pStyle w:val="a0"/>
        <w:rPr>
          <w:rFonts w:eastAsia="Calibri"/>
        </w:rPr>
      </w:pPr>
      <w:r w:rsidRPr="00BB7657">
        <w:rPr>
          <w:rFonts w:eastAsia="Calibri"/>
        </w:rPr>
        <w:t>d.</w:t>
      </w:r>
      <w:r w:rsidRPr="00BB7657">
        <w:rPr>
          <w:rFonts w:eastAsia="Calibri"/>
        </w:rPr>
        <w:tab/>
        <w:t>Crowley District</w:t>
      </w:r>
      <w:r>
        <w:rPr>
          <w:rFonts w:eastAsia="Calibri"/>
        </w:rPr>
        <w:t>—</w:t>
      </w:r>
      <w:r w:rsidRPr="00BB7657">
        <w:rPr>
          <w:rFonts w:eastAsia="Calibri"/>
        </w:rPr>
        <w:t xml:space="preserve">Beauregard, Allen, Acadia, Jefferson Davis, Cameron, Calcasieu; </w:t>
      </w:r>
    </w:p>
    <w:p w14:paraId="25D9C4E3" w14:textId="77777777" w:rsidR="002E62E9" w:rsidRPr="00BB7657" w:rsidRDefault="002E62E9" w:rsidP="002E62E9">
      <w:pPr>
        <w:pStyle w:val="a0"/>
        <w:rPr>
          <w:rFonts w:eastAsia="Calibri"/>
        </w:rPr>
      </w:pPr>
      <w:r w:rsidRPr="00BB7657">
        <w:rPr>
          <w:rFonts w:eastAsia="Calibri"/>
        </w:rPr>
        <w:t>e.</w:t>
      </w:r>
      <w:r w:rsidRPr="00BB7657">
        <w:rPr>
          <w:rFonts w:eastAsia="Calibri"/>
        </w:rPr>
        <w:tab/>
        <w:t>Opelousas District</w:t>
      </w:r>
      <w:r>
        <w:rPr>
          <w:rFonts w:eastAsia="Calibri"/>
        </w:rPr>
        <w:t>—</w:t>
      </w:r>
      <w:r w:rsidRPr="00BB7657">
        <w:rPr>
          <w:rFonts w:eastAsia="Calibri"/>
        </w:rPr>
        <w:t xml:space="preserve">Evangeline, St. Landry, St. Martin, Iberia, St. Mary, Vermilion, and Lafayette; </w:t>
      </w:r>
    </w:p>
    <w:p w14:paraId="2E631155" w14:textId="77777777" w:rsidR="002E62E9" w:rsidRPr="00BB7657" w:rsidRDefault="002E62E9" w:rsidP="002E62E9">
      <w:pPr>
        <w:pStyle w:val="a0"/>
        <w:rPr>
          <w:rFonts w:eastAsia="Calibri"/>
        </w:rPr>
      </w:pPr>
      <w:r w:rsidRPr="00BB7657">
        <w:rPr>
          <w:rFonts w:eastAsia="Calibri"/>
        </w:rPr>
        <w:t>f.</w:t>
      </w:r>
      <w:r w:rsidRPr="00BB7657">
        <w:rPr>
          <w:rFonts w:eastAsia="Calibri"/>
        </w:rPr>
        <w:tab/>
        <w:t>Baton Rouge District</w:t>
      </w:r>
      <w:r>
        <w:rPr>
          <w:rFonts w:eastAsia="Calibri"/>
        </w:rPr>
        <w:t>—</w:t>
      </w:r>
      <w:r w:rsidRPr="00BB7657">
        <w:rPr>
          <w:rFonts w:eastAsia="Calibri"/>
        </w:rPr>
        <w:t xml:space="preserve">Pointe Coupee, West Feliciana, East Feliciana, St. James, Lafourche, Terrebonne, Assumption, Ascension, Iberville, West Baton Rouge, and East Baton Rouge; </w:t>
      </w:r>
    </w:p>
    <w:p w14:paraId="299CADB1" w14:textId="77777777" w:rsidR="002E62E9" w:rsidRPr="00BB7657" w:rsidRDefault="002E62E9" w:rsidP="002E62E9">
      <w:pPr>
        <w:pStyle w:val="a0"/>
        <w:rPr>
          <w:rFonts w:eastAsia="Calibri"/>
        </w:rPr>
      </w:pPr>
      <w:r w:rsidRPr="00BB7657">
        <w:rPr>
          <w:rFonts w:eastAsia="Calibri"/>
        </w:rPr>
        <w:t>g.</w:t>
      </w:r>
      <w:r w:rsidRPr="00BB7657">
        <w:rPr>
          <w:rFonts w:eastAsia="Calibri"/>
        </w:rPr>
        <w:tab/>
        <w:t>Hammond District</w:t>
      </w:r>
      <w:r>
        <w:rPr>
          <w:rFonts w:eastAsia="Calibri"/>
        </w:rPr>
        <w:t>—</w:t>
      </w:r>
      <w:r w:rsidRPr="00BB7657">
        <w:rPr>
          <w:rFonts w:eastAsia="Calibri"/>
        </w:rPr>
        <w:t>Livingston, St. Helena, Tangipahoa, Washington, and St. Tammany;</w:t>
      </w:r>
    </w:p>
    <w:p w14:paraId="7AC02189" w14:textId="77777777" w:rsidR="00F00D4E" w:rsidRPr="009D41F2" w:rsidRDefault="002E62E9" w:rsidP="002E62E9">
      <w:pPr>
        <w:pStyle w:val="a0"/>
      </w:pPr>
      <w:r w:rsidRPr="00BB7657">
        <w:rPr>
          <w:rFonts w:eastAsia="Calibri"/>
        </w:rPr>
        <w:t>h.</w:t>
      </w:r>
      <w:r w:rsidRPr="00BB7657">
        <w:rPr>
          <w:rFonts w:eastAsia="Calibri"/>
        </w:rPr>
        <w:tab/>
        <w:t>New Orleans District</w:t>
      </w:r>
      <w:r>
        <w:rPr>
          <w:rFonts w:eastAsia="Calibri"/>
        </w:rPr>
        <w:t>—</w:t>
      </w:r>
      <w:r w:rsidRPr="00BB7657">
        <w:rPr>
          <w:rFonts w:eastAsia="Calibri"/>
        </w:rPr>
        <w:t>St. John the Baptist, St. Charles, Jefferson, Orleans, St. Bernard, and Plaquemines.</w:t>
      </w:r>
    </w:p>
    <w:p w14:paraId="37D3747D" w14:textId="77777777" w:rsidR="00F00D4E" w:rsidRPr="009D41F2" w:rsidRDefault="00F00D4E" w:rsidP="00F00D4E">
      <w:pPr>
        <w:pStyle w:val="A"/>
      </w:pPr>
      <w:r w:rsidRPr="009D41F2">
        <w:t>F.</w:t>
      </w:r>
      <w:r w:rsidRPr="009D41F2">
        <w:tab/>
        <w:t>Spot Treatment</w:t>
      </w:r>
    </w:p>
    <w:p w14:paraId="4628B2A8" w14:textId="77777777" w:rsidR="00F00D4E" w:rsidRPr="009D41F2" w:rsidRDefault="00F00D4E" w:rsidP="00F00D4E">
      <w:pPr>
        <w:pStyle w:val="1"/>
      </w:pPr>
      <w:r w:rsidRPr="009D41F2">
        <w:t>1.</w:t>
      </w:r>
      <w:r w:rsidRPr="009D41F2">
        <w:tab/>
        <w:t>Spot treatments shall not be done on pier-type or slab construction except where a waiver of minimum specifications has been obtained from the owner of the p</w:t>
      </w:r>
      <w:r>
        <w:t>roperty. All buildings that can</w:t>
      </w:r>
      <w:r w:rsidRPr="009D41F2">
        <w:t>not be treated according to the minimum specifications shall have a waiver of the item or items signed by the owner prior to the treatment. A copy of the signed waiver shall be filed with the department with the monthly termite eradication report.</w:t>
      </w:r>
    </w:p>
    <w:p w14:paraId="225AA94E" w14:textId="77777777" w:rsidR="00F00D4E" w:rsidRPr="009D41F2" w:rsidRDefault="00F00D4E" w:rsidP="00F00D4E">
      <w:pPr>
        <w:pStyle w:val="1"/>
      </w:pPr>
      <w:r w:rsidRPr="009D41F2">
        <w:t>2.</w:t>
      </w:r>
      <w:r w:rsidRPr="009D41F2">
        <w:tab/>
        <w:t xml:space="preserve">Treatment will be allowed to any additions to the main structure or exterior slab enclosures and a fee shall be paid and a contract issued on this addition unless the main </w:t>
      </w:r>
      <w:r w:rsidRPr="009D41F2">
        <w:t>structure is under contract with the firm performing the treatment on this addition.</w:t>
      </w:r>
    </w:p>
    <w:p w14:paraId="0B1DD9C0" w14:textId="77777777" w:rsidR="00F00D4E" w:rsidRPr="009D41F2" w:rsidRDefault="00F00D4E" w:rsidP="00F00D4E">
      <w:pPr>
        <w:pStyle w:val="1"/>
      </w:pPr>
      <w:r w:rsidRPr="009D41F2">
        <w:t>3.</w:t>
      </w:r>
      <w:r w:rsidRPr="009D41F2">
        <w:tab/>
        <w:t>Each spot treatment reported on the wood-destroying insect eradication report shall include a waiver of minimum specifications and a complete diagram of the area(s) treated.</w:t>
      </w:r>
    </w:p>
    <w:p w14:paraId="13374802" w14:textId="77777777" w:rsidR="00F00D4E" w:rsidRPr="009D41F2" w:rsidRDefault="00F00D4E" w:rsidP="00F00D4E">
      <w:pPr>
        <w:pStyle w:val="A"/>
      </w:pPr>
      <w:r w:rsidRPr="009D41F2">
        <w:t>G.</w:t>
      </w:r>
      <w:r w:rsidRPr="009D41F2">
        <w:tab/>
        <w:t>Infested Properties</w:t>
      </w:r>
    </w:p>
    <w:p w14:paraId="4AD2437A" w14:textId="77777777" w:rsidR="00F00D4E" w:rsidRPr="009D41F2" w:rsidRDefault="00F00D4E" w:rsidP="00F00D4E">
      <w:pPr>
        <w:pStyle w:val="1"/>
      </w:pPr>
      <w:r w:rsidRPr="009D41F2">
        <w:t>1.</w:t>
      </w:r>
      <w:r w:rsidRPr="009D41F2">
        <w:tab/>
      </w:r>
      <w:r w:rsidR="00540EAB" w:rsidRPr="008B55AA">
        <w:t>Whenever an active infestation of subterranean termites, dry-wood termites, powder post beetles, or old house borers is found at any property under a current contract for that type of wood destroying insect, the pest control business that is responsible for the contract shall retreat within 30 days of discovery or notification.</w:t>
      </w:r>
    </w:p>
    <w:p w14:paraId="7F73757C" w14:textId="77777777" w:rsidR="00F00D4E" w:rsidRPr="009D41F2" w:rsidRDefault="00F00D4E" w:rsidP="00F00D4E">
      <w:pPr>
        <w:pStyle w:val="A"/>
        <w:rPr>
          <w:strike/>
        </w:rPr>
      </w:pPr>
      <w:r>
        <w:t>H.</w:t>
      </w:r>
      <w:r>
        <w:tab/>
      </w:r>
      <w:r w:rsidR="00F545F3" w:rsidRPr="00EC2537">
        <w:t>Waiver of Requirements of Minimum Specifications for Termite Control Work</w:t>
      </w:r>
    </w:p>
    <w:p w14:paraId="0B6F11E8" w14:textId="77777777" w:rsidR="00F00D4E" w:rsidRPr="009D41F2" w:rsidRDefault="00F00D4E" w:rsidP="00F00D4E">
      <w:pPr>
        <w:pStyle w:val="1"/>
      </w:pPr>
      <w:r w:rsidRPr="009D41F2">
        <w:t>1.</w:t>
      </w:r>
      <w:r w:rsidRPr="009D41F2">
        <w:tab/>
      </w:r>
      <w:r w:rsidR="00540EAB" w:rsidRPr="00AE08CE">
        <w:t>A pest control operator shall request from the owner/agent of the structure(s) to be treated, a waiver of the requirements set out in these regulations whenever it is impossible or impractical to treat one or more areas of the structure in accordance with these minimum specifications for initial treatment or retreatment of properties. The waiver shall be signed by the owner/agent of the structure(s) to be treated prior to or during treatment. A signed copy of the waiver shall be given to the owner/agent. The waiver shall include, but not be limited to, the following information:</w:t>
      </w:r>
    </w:p>
    <w:p w14:paraId="3F0EAE80" w14:textId="77777777" w:rsidR="00F00D4E" w:rsidRPr="009D41F2" w:rsidRDefault="00F00D4E" w:rsidP="00F00D4E">
      <w:pPr>
        <w:pStyle w:val="a0"/>
      </w:pPr>
      <w:r w:rsidRPr="009D41F2">
        <w:t>a.</w:t>
      </w:r>
      <w:r w:rsidRPr="009D41F2">
        <w:tab/>
      </w:r>
      <w:r w:rsidR="00F545F3" w:rsidRPr="00EC2537">
        <w:rPr>
          <w:color w:val="000000"/>
        </w:rPr>
        <w:t>inspection diagram</w:t>
      </w:r>
      <w:r w:rsidR="00F545F3" w:rsidRPr="00EC2537">
        <w:rPr>
          <w:color w:val="FF0000"/>
        </w:rPr>
        <w:t xml:space="preserve"> </w:t>
      </w:r>
      <w:r w:rsidR="00F545F3" w:rsidRPr="00EC2537">
        <w:t>identifying the structure and the specific area(s) where treatment is waived;</w:t>
      </w:r>
    </w:p>
    <w:p w14:paraId="31492756" w14:textId="77777777" w:rsidR="00F00D4E" w:rsidRPr="009D41F2" w:rsidRDefault="00F00D4E" w:rsidP="00F00D4E">
      <w:pPr>
        <w:pStyle w:val="a0"/>
      </w:pPr>
      <w:r w:rsidRPr="009D41F2">
        <w:t>b.</w:t>
      </w:r>
      <w:r w:rsidRPr="009D41F2">
        <w:tab/>
        <w:t>a description of each area where treatment is waived; and</w:t>
      </w:r>
    </w:p>
    <w:p w14:paraId="5E76E8FB" w14:textId="77777777" w:rsidR="00F00D4E" w:rsidRPr="009D41F2" w:rsidRDefault="00F00D4E" w:rsidP="00F00D4E">
      <w:pPr>
        <w:pStyle w:val="a0"/>
      </w:pPr>
      <w:r w:rsidRPr="009D41F2">
        <w:t>c.</w:t>
      </w:r>
      <w:r w:rsidRPr="009D41F2">
        <w:tab/>
        <w:t>for each area, the reason treatment is being waived.</w:t>
      </w:r>
    </w:p>
    <w:p w14:paraId="12D4BDC0" w14:textId="77777777" w:rsidR="00F00D4E" w:rsidRPr="009D41F2" w:rsidRDefault="00540EAB" w:rsidP="00F00D4E">
      <w:pPr>
        <w:pStyle w:val="1"/>
      </w:pPr>
      <w:r>
        <w:t>2</w:t>
      </w:r>
      <w:r w:rsidR="00F00D4E" w:rsidRPr="009D41F2">
        <w:t>.</w:t>
      </w:r>
      <w:r w:rsidR="00F00D4E" w:rsidRPr="009D41F2">
        <w:tab/>
        <w:t>The requirements specified in §141.B.1-3 shall not be waived.</w:t>
      </w:r>
    </w:p>
    <w:p w14:paraId="06803D0E" w14:textId="77777777" w:rsidR="00F00D4E" w:rsidRPr="009D41F2" w:rsidRDefault="00F00D4E" w:rsidP="00F00D4E">
      <w:pPr>
        <w:pStyle w:val="A"/>
      </w:pPr>
      <w:r w:rsidRPr="009D41F2">
        <w:t>I.</w:t>
      </w:r>
      <w:r w:rsidRPr="009D41F2">
        <w:tab/>
        <w:t>Requirements for Baits and Baiting Systems</w:t>
      </w:r>
    </w:p>
    <w:p w14:paraId="00B2EE73" w14:textId="77777777" w:rsidR="00F00D4E" w:rsidRPr="009D41F2" w:rsidRDefault="00F00D4E" w:rsidP="00F00D4E">
      <w:pPr>
        <w:pStyle w:val="1"/>
        <w:rPr>
          <w:strike/>
        </w:rPr>
      </w:pPr>
      <w:r w:rsidRPr="009D41F2">
        <w:t>1.</w:t>
      </w:r>
      <w:r w:rsidRPr="009D41F2">
        <w:tab/>
        <w:t xml:space="preserve">Any licensee or any person working under the supervision of a licensee, who applies baits and/or baiting systems, shall be certified in the use of the baits and baiting systems, by the manufacturer of the product, prior to any application of the bait or baiting system. Manufacturer certification and training programs shall have department approval of the agenda prior to the program presentation. </w:t>
      </w:r>
    </w:p>
    <w:p w14:paraId="6B725345" w14:textId="77777777" w:rsidR="00F00D4E" w:rsidRPr="009D41F2" w:rsidRDefault="00F00D4E" w:rsidP="00F00D4E">
      <w:pPr>
        <w:pStyle w:val="1"/>
      </w:pPr>
      <w:r w:rsidRPr="009D41F2">
        <w:t>2.</w:t>
      </w:r>
      <w:r w:rsidRPr="009D41F2">
        <w:tab/>
        <w:t>All baits and baiting systems applications shall be contracted and reported according to R.S.</w:t>
      </w:r>
      <w:r>
        <w:t xml:space="preserve"> 3:3370 and LAC 7:XXV.119.</w:t>
      </w:r>
      <w:r w:rsidRPr="009D41F2">
        <w:t>D and pay the fee as described in LAC 7:XXV.119.E.</w:t>
      </w:r>
    </w:p>
    <w:p w14:paraId="1BF15F54" w14:textId="77777777" w:rsidR="00F00D4E" w:rsidRPr="009D41F2" w:rsidRDefault="00F00D4E" w:rsidP="00F00D4E">
      <w:pPr>
        <w:pStyle w:val="1"/>
      </w:pPr>
      <w:r w:rsidRPr="009D41F2">
        <w:t>3.</w:t>
      </w:r>
      <w:r w:rsidRPr="009D41F2">
        <w:tab/>
        <w:t>Bait and baiting systems shall be used according to label and labeling.</w:t>
      </w:r>
    </w:p>
    <w:p w14:paraId="15E2CFB1" w14:textId="77777777" w:rsidR="006C3DC7" w:rsidRPr="00066C92" w:rsidRDefault="00F00D4E" w:rsidP="006C3DC7">
      <w:pPr>
        <w:pStyle w:val="1"/>
      </w:pPr>
      <w:r w:rsidRPr="009D41F2">
        <w:t>4.</w:t>
      </w:r>
      <w:r w:rsidRPr="009D41F2">
        <w:tab/>
      </w:r>
      <w:r w:rsidR="006C3DC7" w:rsidRPr="00066C92">
        <w:t>Within 12 months of any supplemental treatment for a new construction contract, bait stations shall be installed.</w:t>
      </w:r>
      <w:r w:rsidR="006C3DC7">
        <w:t xml:space="preserve"> </w:t>
      </w:r>
      <w:r w:rsidR="006C3DC7" w:rsidRPr="00066C92">
        <w:t xml:space="preserve">The permittee or primary licensee shall report the completion of the bait station installation to the department on the termite perimeter application form in accordance with R.S. 3:3370 </w:t>
      </w:r>
      <w:r w:rsidR="006C3DC7" w:rsidRPr="00066C92">
        <w:lastRenderedPageBreak/>
        <w:t>and LAC 7:XXV.119.D. and pay the fee as described in LAC 7:XXV.119.E.</w:t>
      </w:r>
    </w:p>
    <w:p w14:paraId="3946794A" w14:textId="77777777" w:rsidR="006C3DC7" w:rsidRPr="00066C92" w:rsidRDefault="006C3DC7" w:rsidP="006C3DC7">
      <w:pPr>
        <w:pStyle w:val="1"/>
      </w:pPr>
      <w:r w:rsidRPr="00066C92">
        <w:t>5.</w:t>
      </w:r>
      <w:r w:rsidRPr="00066C92">
        <w:tab/>
        <w:t xml:space="preserve">Above-ground bait stations shall be used according to their label and labeling when the presence of subterranean termites are detected in the contracted structure and shall be monitored not less than quarterly. </w:t>
      </w:r>
    </w:p>
    <w:p w14:paraId="5FA7EA5E" w14:textId="77777777" w:rsidR="006C3DC7" w:rsidRPr="00066C92" w:rsidRDefault="006C3DC7" w:rsidP="006C3DC7">
      <w:pPr>
        <w:pStyle w:val="1"/>
      </w:pPr>
      <w:r w:rsidRPr="00066C92">
        <w:t>6.</w:t>
      </w:r>
      <w:r w:rsidRPr="00066C92">
        <w:tab/>
        <w:t xml:space="preserve">All bait stations shall be monitored\inspected according to the label and labeling. </w:t>
      </w:r>
    </w:p>
    <w:p w14:paraId="47D6F3DC" w14:textId="77777777" w:rsidR="004D49FF" w:rsidRPr="004D49FF" w:rsidRDefault="006C3DC7" w:rsidP="006C3DC7">
      <w:pPr>
        <w:pStyle w:val="1"/>
      </w:pPr>
      <w:r w:rsidRPr="00066C92">
        <w:t>7.</w:t>
      </w:r>
      <w:r w:rsidRPr="00066C92">
        <w:rPr>
          <w:color w:val="FF0000"/>
        </w:rPr>
        <w:tab/>
      </w:r>
      <w:r w:rsidRPr="00066C92">
        <w:t>Monitoring and ground bait stations shall surround the contracted structure and shall not be more than 20 feet apart, where soil is available unless the label requires stations closer and\or does not allow for "where soil is available."</w:t>
      </w:r>
      <w:r w:rsidR="004D49FF" w:rsidRPr="004D49FF">
        <w:t xml:space="preserve"> </w:t>
      </w:r>
    </w:p>
    <w:p w14:paraId="1C56255A" w14:textId="77777777" w:rsidR="006C3DC7" w:rsidRPr="006C3DC7" w:rsidRDefault="004D49FF" w:rsidP="006C3DC7">
      <w:pPr>
        <w:pStyle w:val="1"/>
      </w:pPr>
      <w:r w:rsidRPr="004D49FF">
        <w:t>8.</w:t>
      </w:r>
      <w:r w:rsidRPr="004D49FF">
        <w:tab/>
      </w:r>
      <w:r w:rsidR="006C3DC7" w:rsidRPr="006C3DC7">
        <w:t xml:space="preserve">Monitoring and ground bait stations, where soil is available, shall be no further than 20 feet from the slab or pier's outside perimeter except for non-structural wood elements including but not limited to trees, stumps, wood piles, landscape timbers and detached fences. </w:t>
      </w:r>
    </w:p>
    <w:p w14:paraId="2FE3ACC9" w14:textId="77777777" w:rsidR="006C3DC7" w:rsidRPr="006C3DC7" w:rsidRDefault="006C3DC7" w:rsidP="006C3DC7">
      <w:pPr>
        <w:pStyle w:val="1"/>
      </w:pPr>
      <w:r w:rsidRPr="006C3DC7">
        <w:t>9.</w:t>
      </w:r>
      <w:r w:rsidRPr="006C3DC7">
        <w:tab/>
        <w:t>Records of contracts, inspection diagrams, monitoring, and bait applications shall be kept according to LAC 7:XXV.117.H.4.</w:t>
      </w:r>
    </w:p>
    <w:p w14:paraId="4C68729C" w14:textId="77777777" w:rsidR="006C3DC7" w:rsidRPr="006C3DC7" w:rsidRDefault="006C3DC7" w:rsidP="006C3DC7">
      <w:pPr>
        <w:pStyle w:val="1"/>
      </w:pPr>
      <w:r w:rsidRPr="006C3DC7">
        <w:t>10.</w:t>
      </w:r>
      <w:r w:rsidRPr="006C3DC7">
        <w:tab/>
        <w:t xml:space="preserve">A consumer information sheet, supplied by the manufacturer and approved by the commission, shall be supplied to the registered pest control operator. The pest control operator shall, in turn, supply a copy of the consumer information sheet to all persons contracted. </w:t>
      </w:r>
    </w:p>
    <w:p w14:paraId="5E01B179" w14:textId="77777777" w:rsidR="00F00D4E" w:rsidRPr="009D41F2" w:rsidRDefault="006C3DC7" w:rsidP="006C3DC7">
      <w:pPr>
        <w:pStyle w:val="1"/>
      </w:pPr>
      <w:r w:rsidRPr="006C3DC7">
        <w:t>11.</w:t>
      </w:r>
      <w:r w:rsidRPr="006C3DC7">
        <w:tab/>
        <w:t>All monitoring and bait stations shall be removed by the pest control operator from the contracted property within 90 days of the termination of the contract, unless denied access to the property. In the event the bait and baiting system manufacturer stops the use by the pest control operator of their bait and baiting system; all monitoring and bait stations shall be removed by the pest control operator from the contracted property within 90 days of the stop use notification, unless denied access to the property.</w:t>
      </w:r>
    </w:p>
    <w:p w14:paraId="020250E4" w14:textId="77777777" w:rsidR="00F00D4E" w:rsidRPr="009D41F2" w:rsidRDefault="00F00D4E" w:rsidP="00F00D4E">
      <w:pPr>
        <w:pStyle w:val="A"/>
      </w:pPr>
      <w:r w:rsidRPr="009D41F2">
        <w:t>J.</w:t>
      </w:r>
      <w:r w:rsidRPr="009D41F2">
        <w:tab/>
      </w:r>
      <w:r w:rsidR="00F545F3" w:rsidRPr="00EC2537">
        <w:t>Requirements for Combination Liquid Spot and Baits and Baiting Systems Treatments</w:t>
      </w:r>
    </w:p>
    <w:p w14:paraId="2DE5FDD1" w14:textId="77777777" w:rsidR="00F00D4E" w:rsidRPr="009D41F2" w:rsidRDefault="00F00D4E" w:rsidP="00F00D4E">
      <w:pPr>
        <w:pStyle w:val="1"/>
      </w:pPr>
      <w:r w:rsidRPr="009D41F2">
        <w:t>1.</w:t>
      </w:r>
      <w:r w:rsidRPr="009D41F2">
        <w:tab/>
        <w:t>Any licensee or any person working under the supervision of a licensee, who applies a combination liquid spot and baits and/or baiting systems treatments, shall be certified in the use of the baits and baiting systems, by the manufacturer of the product, prior to any application of the bait or baiting system.</w:t>
      </w:r>
    </w:p>
    <w:p w14:paraId="6B46FD3D" w14:textId="77777777" w:rsidR="006C3DC7" w:rsidRPr="00066C92" w:rsidRDefault="00F00D4E" w:rsidP="006C3DC7">
      <w:pPr>
        <w:pStyle w:val="1"/>
      </w:pPr>
      <w:r w:rsidRPr="009D41F2">
        <w:t>2.</w:t>
      </w:r>
      <w:r w:rsidRPr="009D41F2">
        <w:tab/>
      </w:r>
      <w:r w:rsidR="006C3DC7" w:rsidRPr="00066C92">
        <w:t xml:space="preserve">All combination liquid spot and baits and baiting systems treatments shall be contracted and reported according to R.S. 3:3370 and LAC 7:XXV.119.D and pay the fee as described in LAC 7:XXV.119.E. </w:t>
      </w:r>
    </w:p>
    <w:p w14:paraId="1D6DF47D" w14:textId="77777777" w:rsidR="006C3DC7" w:rsidRPr="00066C92" w:rsidRDefault="006C3DC7" w:rsidP="006C3DC7">
      <w:pPr>
        <w:pStyle w:val="1"/>
      </w:pPr>
      <w:r w:rsidRPr="00066C92">
        <w:t>4.</w:t>
      </w:r>
      <w:r w:rsidRPr="00066C92">
        <w:tab/>
        <w:t>Within 12 months of any supplemental treatment for a new construction contract, bait stations shall be installed.</w:t>
      </w:r>
      <w:r>
        <w:t xml:space="preserve"> </w:t>
      </w:r>
      <w:r w:rsidRPr="00066C92">
        <w:t>The permittee or primary licensee shall report the completion of the bait station installation to the department on the termite perimeter application form in accordance with R.S. 3:3370 and LAC 7:XXV.119.D</w:t>
      </w:r>
      <w:r>
        <w:t>.</w:t>
      </w:r>
      <w:r w:rsidRPr="00066C92">
        <w:t xml:space="preserve"> and pay the fee as described in LAC 7:XXV.119.E .</w:t>
      </w:r>
    </w:p>
    <w:p w14:paraId="1E492578" w14:textId="77777777" w:rsidR="006C3DC7" w:rsidRPr="00066C92" w:rsidRDefault="006C3DC7" w:rsidP="006C3DC7">
      <w:pPr>
        <w:pStyle w:val="1"/>
      </w:pPr>
      <w:r w:rsidRPr="00066C92">
        <w:t>5.</w:t>
      </w:r>
      <w:r w:rsidRPr="00066C92">
        <w:tab/>
        <w:t xml:space="preserve">Records of contracts, inspection diagrams, monitoring (if required), and applications shall be kept according to LAC 7:XXV.117.I. At termination of the contract, the pest control operator shall remove all components of bait and baiting systems. </w:t>
      </w:r>
    </w:p>
    <w:p w14:paraId="772F4010" w14:textId="77777777" w:rsidR="006C3DC7" w:rsidRPr="00066C92" w:rsidRDefault="006C3DC7" w:rsidP="006C3DC7">
      <w:pPr>
        <w:pStyle w:val="1"/>
      </w:pPr>
      <w:r w:rsidRPr="00066C92">
        <w:t>6.</w:t>
      </w:r>
      <w:r w:rsidRPr="00066C92">
        <w:tab/>
        <w:t>All structures that cannot be treated according to the combination liquid spot and bait and baiting systems treatment minimum specifications shall have a waiver of the listed item or items signed by the owner prior to the baiting treatment.</w:t>
      </w:r>
    </w:p>
    <w:p w14:paraId="6AB98CFD" w14:textId="77777777" w:rsidR="006C3DC7" w:rsidRPr="00066C92" w:rsidRDefault="006C3DC7" w:rsidP="006C3DC7">
      <w:pPr>
        <w:pStyle w:val="1"/>
      </w:pPr>
      <w:r w:rsidRPr="00066C92">
        <w:t>7.</w:t>
      </w:r>
      <w:r w:rsidRPr="00066C92">
        <w:rPr>
          <w:color w:val="FF0000"/>
        </w:rPr>
        <w:tab/>
      </w:r>
      <w:r w:rsidRPr="00066C92">
        <w:t xml:space="preserve">A bait and baiting systems consumer information sheet, supplied by the manufacturer and approved by the commission, shall be supplied to the registered pest control operator. The pest control operator shall, in turn, supply a copy of the consumer information sheet to all persons contracted. </w:t>
      </w:r>
    </w:p>
    <w:p w14:paraId="6B62A464" w14:textId="77777777" w:rsidR="006C3DC7" w:rsidRPr="00066C92" w:rsidRDefault="006C3DC7" w:rsidP="006C3DC7">
      <w:pPr>
        <w:pStyle w:val="1"/>
      </w:pPr>
      <w:r w:rsidRPr="00066C92">
        <w:t>8.</w:t>
      </w:r>
      <w:bookmarkStart w:id="2581" w:name="_Hlk144971010"/>
      <w:r w:rsidRPr="00066C92">
        <w:tab/>
        <w:t>Combination liquid spot and bait and baiting systems treatment of existing slab-type con</w:t>
      </w:r>
      <w:bookmarkEnd w:id="2581"/>
      <w:r w:rsidRPr="00066C92">
        <w:t xml:space="preserve">struction shall bait following the label and labeling and liquid spot treat to the following minimum specifications. </w:t>
      </w:r>
    </w:p>
    <w:p w14:paraId="42499267" w14:textId="77777777" w:rsidR="006C3DC7" w:rsidRPr="00066C92" w:rsidRDefault="006C3DC7" w:rsidP="006C3DC7">
      <w:pPr>
        <w:pStyle w:val="a0"/>
      </w:pPr>
      <w:r w:rsidRPr="00066C92">
        <w:t>a.</w:t>
      </w:r>
      <w:r w:rsidRPr="00066C92">
        <w:tab/>
        <w:t>Trench and treat 10 feet on both sides of live subterranean termite infestation site(s) around the perimeter of the structure, adjacent to the foundation wall. All trenches shall be approximately 4 inches wide at the top, angled toward the foundation and sufficiently deep (minimum 6 inches) to permit application of the required chemical. Apply</w:t>
      </w:r>
      <w:r>
        <w:t xml:space="preserve"> </w:t>
      </w:r>
      <w:r w:rsidRPr="00066C92">
        <w:t xml:space="preserve">the emulsion into the trench at a rate and manner prescribed on the label and labeling. Rodding will be acceptable only where trenching will damage irrigation equipment, utility equipment, flowers and/or shrubs. Maximum distance between rod holes shall be 4 inches. </w:t>
      </w:r>
    </w:p>
    <w:p w14:paraId="1B825FD9" w14:textId="77777777" w:rsidR="006C3DC7" w:rsidRPr="00066C92" w:rsidRDefault="006C3DC7" w:rsidP="006C3DC7">
      <w:pPr>
        <w:pStyle w:val="a0"/>
      </w:pPr>
      <w:r w:rsidRPr="00066C92">
        <w:t>b.</w:t>
      </w:r>
      <w:r w:rsidRPr="00066C92">
        <w:tab/>
        <w:t xml:space="preserve">Rod under or drill through abutting slab(s) and treat all areas in the abutting slab(s) within the 20 feet as required in LAC 7:XXV.141.J.7.a. When the abutting slab is drilled, the holes shall be no more than 18 inches apart, unless label requires closer distance along the above stated areas. </w:t>
      </w:r>
    </w:p>
    <w:p w14:paraId="73A3C6EB" w14:textId="77777777" w:rsidR="006C3DC7" w:rsidRPr="00066C92" w:rsidRDefault="006C3DC7" w:rsidP="006C3DC7">
      <w:pPr>
        <w:pStyle w:val="a0"/>
      </w:pPr>
      <w:r w:rsidRPr="00066C92">
        <w:t>c.</w:t>
      </w:r>
      <w:r w:rsidRPr="00066C92">
        <w:tab/>
        <w:t>Treat bath trap(s) as per label and labeling. Bath trap(s) access hole of a minimum of 6 x 8 inches shall be provided to all bathtub plumbing.</w:t>
      </w:r>
    </w:p>
    <w:p w14:paraId="6D132353" w14:textId="77777777" w:rsidR="006C3DC7" w:rsidRPr="00066C92" w:rsidRDefault="006C3DC7" w:rsidP="006C3DC7">
      <w:pPr>
        <w:pStyle w:val="i0"/>
      </w:pPr>
      <w:r>
        <w:tab/>
      </w:r>
      <w:r w:rsidRPr="00066C92">
        <w:t>i.</w:t>
      </w:r>
      <w:r w:rsidRPr="00066C92">
        <w:tab/>
        <w:t xml:space="preserve">If the soil in a trap does not reach the bottom of the slab, the trap shall be filled to within 2 inches of the top of the slab with soil prior to treatment. Treat bath trap(s) as required by label and labeling. </w:t>
      </w:r>
    </w:p>
    <w:p w14:paraId="123F0E08" w14:textId="77777777" w:rsidR="006C3DC7" w:rsidRPr="00066C92" w:rsidRDefault="006C3DC7" w:rsidP="006C3DC7">
      <w:pPr>
        <w:pStyle w:val="i0"/>
      </w:pPr>
      <w:r>
        <w:tab/>
      </w:r>
      <w:r w:rsidRPr="00066C92">
        <w:t>ii.</w:t>
      </w:r>
      <w:r w:rsidRPr="00066C92">
        <w:tab/>
        <w:t xml:space="preserve">A tar filled bath trap shall also be drilled and treated as required by label and labeling. </w:t>
      </w:r>
    </w:p>
    <w:p w14:paraId="180A0B85" w14:textId="77777777" w:rsidR="006C3DC7" w:rsidRPr="00066C92" w:rsidRDefault="006C3DC7" w:rsidP="006C3DC7">
      <w:pPr>
        <w:pStyle w:val="i0"/>
      </w:pPr>
      <w:r>
        <w:tab/>
      </w:r>
      <w:r w:rsidRPr="00066C92">
        <w:t>iii.</w:t>
      </w:r>
      <w:r w:rsidRPr="00066C92">
        <w:tab/>
        <w:t xml:space="preserve">If bath trap is solid concrete pore, it shall be drilled and treated as close as practical to the bathtub plumbing. </w:t>
      </w:r>
    </w:p>
    <w:p w14:paraId="5468B326" w14:textId="77777777" w:rsidR="006C3DC7" w:rsidRPr="00066C92" w:rsidRDefault="006C3DC7" w:rsidP="006C3DC7">
      <w:pPr>
        <w:pStyle w:val="a0"/>
      </w:pPr>
      <w:r w:rsidRPr="00066C92">
        <w:t>d.</w:t>
      </w:r>
      <w:r w:rsidRPr="00066C92">
        <w:tab/>
        <w:t xml:space="preserve">All showers shall be drilled and treated as close as practical to shower plumbing according to label and labeling. </w:t>
      </w:r>
    </w:p>
    <w:p w14:paraId="4FAD9DBC" w14:textId="77777777" w:rsidR="006C3DC7" w:rsidRPr="00066C92" w:rsidRDefault="006C3DC7" w:rsidP="006C3DC7">
      <w:pPr>
        <w:pStyle w:val="a0"/>
      </w:pPr>
      <w:r w:rsidRPr="00066C92">
        <w:t>e.</w:t>
      </w:r>
      <w:r w:rsidRPr="00066C92">
        <w:tab/>
        <w:t xml:space="preserve">All other openings (plumbing, etc.) shall be treated as required by label and labeling. </w:t>
      </w:r>
    </w:p>
    <w:p w14:paraId="52890279" w14:textId="77777777" w:rsidR="006C3DC7" w:rsidRPr="00066C92" w:rsidRDefault="006C3DC7" w:rsidP="006C3DC7">
      <w:pPr>
        <w:pStyle w:val="a0"/>
      </w:pPr>
      <w:r w:rsidRPr="00066C92">
        <w:t>f.</w:t>
      </w:r>
      <w:r w:rsidRPr="00066C92">
        <w:tab/>
        <w:t xml:space="preserve">In lieu of trench and treat, a commission approved method of hydraulic injection shall be used in conjunction </w:t>
      </w:r>
      <w:r w:rsidRPr="00066C92">
        <w:lastRenderedPageBreak/>
        <w:t xml:space="preserve">with an approved termiticide with label and labeling for hydraulic injection use. Hydraulic injection shall be performed around the slab to form a treatment zone. </w:t>
      </w:r>
    </w:p>
    <w:p w14:paraId="6D30B93E" w14:textId="77777777" w:rsidR="006C3DC7" w:rsidRPr="00066C92" w:rsidRDefault="006C3DC7" w:rsidP="006C3DC7">
      <w:pPr>
        <w:pStyle w:val="1"/>
      </w:pPr>
      <w:r w:rsidRPr="00066C92">
        <w:t>9.</w:t>
      </w:r>
      <w:r w:rsidRPr="00066C92">
        <w:tab/>
        <w:t xml:space="preserve">Combination liquid spot and bait and baiting systems treatments of existing pier-type construction with live subterranean termite infestation(s) shall bait following the label and labeling and liquid treat to the following minimum specifications. </w:t>
      </w:r>
    </w:p>
    <w:p w14:paraId="013F5ED6" w14:textId="77777777" w:rsidR="006C3DC7" w:rsidRPr="00066C92" w:rsidRDefault="006C3DC7" w:rsidP="006C3DC7">
      <w:pPr>
        <w:pStyle w:val="a0"/>
      </w:pPr>
      <w:r w:rsidRPr="00066C92">
        <w:t>a.</w:t>
      </w:r>
      <w:r w:rsidRPr="00066C92">
        <w:tab/>
        <w:t xml:space="preserve">Trench and treat 10 feet on both sides of infestation site(s) on brick/block chain wall(s) and all piers within 10 feet of an infested pier or chain wall. Trench, drill, and treat as required in LAC 7:XXV.141. </w:t>
      </w:r>
    </w:p>
    <w:p w14:paraId="7725ED03" w14:textId="77777777" w:rsidR="006C3DC7" w:rsidRPr="00066C92" w:rsidRDefault="006C3DC7" w:rsidP="006C3DC7">
      <w:pPr>
        <w:pStyle w:val="a0"/>
      </w:pPr>
      <w:r w:rsidRPr="00066C92">
        <w:t>b.</w:t>
      </w:r>
      <w:r w:rsidRPr="00066C92">
        <w:tab/>
        <w:t xml:space="preserve">Above-ground bait stations shall be monitored not less than quarterly. </w:t>
      </w:r>
    </w:p>
    <w:p w14:paraId="050291EB" w14:textId="77777777" w:rsidR="006C3DC7" w:rsidRPr="00066C92" w:rsidRDefault="006C3DC7" w:rsidP="006C3DC7">
      <w:pPr>
        <w:pStyle w:val="a0"/>
      </w:pPr>
      <w:r w:rsidRPr="00066C92">
        <w:t>c.</w:t>
      </w:r>
      <w:r w:rsidRPr="00066C92">
        <w:tab/>
        <w:t xml:space="preserve">In lieu of trench and treat, a commission approved method of hydraulic injection shall be used in conjunction with an approved termiticide with label and labeling for hydraulic injection use. Hydraulic injection shall be performed around the slab to form a treatment zone. </w:t>
      </w:r>
    </w:p>
    <w:p w14:paraId="4EA48CC2" w14:textId="77777777" w:rsidR="006C3DC7" w:rsidRPr="00066C92" w:rsidRDefault="006C3DC7" w:rsidP="006C3DC7">
      <w:pPr>
        <w:pStyle w:val="1"/>
      </w:pPr>
      <w:r w:rsidRPr="00066C92">
        <w:t>10.</w:t>
      </w:r>
      <w:r w:rsidRPr="00066C92">
        <w:rPr>
          <w:color w:val="FF0000"/>
        </w:rPr>
        <w:tab/>
      </w:r>
      <w:r w:rsidRPr="00066C92">
        <w:t>Combination liquid spot and bait and baiting systems treatment of existing slab-type construction and pier-type construction without live subterranean termite infestation(s) shall bait following the label and labeling and liquid treat as required in LAC 7:XXV.141.J.7.c</w:t>
      </w:r>
      <w:r>
        <w:t xml:space="preserve"> </w:t>
      </w:r>
      <w:r w:rsidRPr="00066C92">
        <w:t>-</w:t>
      </w:r>
      <w:r>
        <w:t xml:space="preserve"> </w:t>
      </w:r>
      <w:r w:rsidRPr="00066C92">
        <w:t xml:space="preserve">e. </w:t>
      </w:r>
    </w:p>
    <w:p w14:paraId="19B8C4A6" w14:textId="77777777" w:rsidR="00F00D4E" w:rsidRPr="009D41F2" w:rsidRDefault="006C3DC7" w:rsidP="006C3DC7">
      <w:pPr>
        <w:pStyle w:val="1"/>
      </w:pPr>
      <w:r w:rsidRPr="00066C92">
        <w:t>11.</w:t>
      </w:r>
      <w:r w:rsidRPr="00066C92">
        <w:tab/>
        <w:t>Whenever any property under a combination liquid spot and bait and baiting systems treatment contract becomes infested with subterranean termites, the operator shall treat the property according to the minimum specifications as stated in LAC 7:XXV.141.J.</w:t>
      </w:r>
    </w:p>
    <w:p w14:paraId="605CC36F" w14:textId="77777777" w:rsidR="00F00D4E" w:rsidRPr="009D41F2" w:rsidRDefault="00F00D4E" w:rsidP="00F00D4E">
      <w:pPr>
        <w:pStyle w:val="A"/>
      </w:pPr>
      <w:r w:rsidRPr="009D41F2">
        <w:t>K.</w:t>
      </w:r>
      <w:r w:rsidRPr="009D41F2">
        <w:tab/>
        <w:t>Requirements for Retreats</w:t>
      </w:r>
    </w:p>
    <w:p w14:paraId="61C25CD4" w14:textId="77777777" w:rsidR="00F00D4E" w:rsidRPr="009D41F2" w:rsidRDefault="00F00D4E" w:rsidP="00F00D4E">
      <w:pPr>
        <w:pStyle w:val="1"/>
      </w:pPr>
      <w:r w:rsidRPr="009D41F2">
        <w:t>1.</w:t>
      </w:r>
      <w:r w:rsidRPr="009D41F2">
        <w:tab/>
        <w:t>Retreatment of existing slab-type construction shall treat following the label and labeling and the following minimum specifications.</w:t>
      </w:r>
    </w:p>
    <w:p w14:paraId="7870133E" w14:textId="77777777" w:rsidR="00F00D4E" w:rsidRPr="009D41F2" w:rsidRDefault="00F00D4E" w:rsidP="00F00D4E">
      <w:pPr>
        <w:pStyle w:val="a0"/>
      </w:pPr>
      <w:r w:rsidRPr="009D41F2">
        <w:t>a.</w:t>
      </w:r>
      <w:r w:rsidRPr="009D41F2">
        <w:tab/>
        <w:t>Trench and treat 10 feet on both sides of live subterranean termite infestation site(s) and/or a breach(s) in the treated zone around the perimeter of the structure, adjacent to the foundation wall. All trenches shall be approximately 4 inches wide at the top, angled toward the foundation and sufficiently deep (minimum 6 inches) to permit application of the required chemical. Apply the emulsion into the trench at a rate and manner prescribed on the label and labeling. Rodding will be acceptable only where trenching will damage irrigation equipment, e flowers and/or shrubs. Maximum distance between rod holes shall be 4 inches.</w:t>
      </w:r>
    </w:p>
    <w:p w14:paraId="7E9F36BE" w14:textId="77777777" w:rsidR="00F00D4E" w:rsidRPr="009D41F2" w:rsidRDefault="00F00D4E" w:rsidP="00F00D4E">
      <w:pPr>
        <w:pStyle w:val="a0"/>
      </w:pPr>
      <w:r w:rsidRPr="009D41F2">
        <w:t>b.</w:t>
      </w:r>
      <w:r w:rsidRPr="009D41F2">
        <w:tab/>
        <w:t>Rod under or drill through abutting slab(s) and treat all areas in the abutting slab(s) within the 20 feet as required in LAC 7:XXV.141.L.1.a. When the abutting slab is drilled, the holes shall be no more than 18 inches apart along the above stated areas unless the label requires closer distance.</w:t>
      </w:r>
    </w:p>
    <w:p w14:paraId="3D0415BA" w14:textId="77777777" w:rsidR="00F00D4E" w:rsidRPr="009D41F2" w:rsidRDefault="00F00D4E" w:rsidP="00F00D4E">
      <w:pPr>
        <w:pStyle w:val="a0"/>
      </w:pPr>
      <w:r w:rsidRPr="009D41F2">
        <w:t>c.</w:t>
      </w:r>
      <w:r w:rsidRPr="009D41F2">
        <w:tab/>
        <w:t xml:space="preserve">Treat bath trap(s) as per label and labeling when live subterranean termites or a breach(s) in the treated zone </w:t>
      </w:r>
      <w:r w:rsidRPr="009D41F2">
        <w:t>occur. Bath trap(s) access hole of a minimum of 6 x 8 inches shall be provided to all bathtub plumbing.</w:t>
      </w:r>
    </w:p>
    <w:p w14:paraId="60C26067" w14:textId="77777777" w:rsidR="00F00D4E" w:rsidRPr="009D41F2" w:rsidRDefault="00F00D4E" w:rsidP="00F00D4E">
      <w:pPr>
        <w:pStyle w:val="i0"/>
      </w:pPr>
      <w:r w:rsidRPr="009D41F2">
        <w:tab/>
        <w:t>i.</w:t>
      </w:r>
      <w:r w:rsidRPr="009D41F2">
        <w:tab/>
        <w:t>If the soil in a trap does not reach the bottom of the slab, the trap shall be filled to within 2 inches of the top of the slab with soil prior to treatment. Treat bath trap(s) as required by label and labeling.</w:t>
      </w:r>
    </w:p>
    <w:p w14:paraId="1BF93579" w14:textId="77777777" w:rsidR="00F00D4E" w:rsidRPr="009D41F2" w:rsidRDefault="00F00D4E" w:rsidP="00F00D4E">
      <w:pPr>
        <w:pStyle w:val="i0"/>
      </w:pPr>
      <w:r w:rsidRPr="009D41F2">
        <w:tab/>
        <w:t>ii.</w:t>
      </w:r>
      <w:r w:rsidRPr="009D41F2">
        <w:tab/>
        <w:t>A tar filled bath trap shall also be drilled and treated as required by label and labeling.</w:t>
      </w:r>
    </w:p>
    <w:p w14:paraId="42852592" w14:textId="77777777" w:rsidR="00F00D4E" w:rsidRPr="009D41F2" w:rsidRDefault="00F00D4E" w:rsidP="00F00D4E">
      <w:pPr>
        <w:pStyle w:val="i0"/>
      </w:pPr>
      <w:r w:rsidRPr="009D41F2">
        <w:tab/>
        <w:t>iii.</w:t>
      </w:r>
      <w:r w:rsidRPr="009D41F2">
        <w:tab/>
        <w:t>If bath trap is solid concrete pour, it shall be drilled and treated as close as practical to the bathtub plumbing.</w:t>
      </w:r>
    </w:p>
    <w:p w14:paraId="08FF17E0" w14:textId="77777777" w:rsidR="00F00D4E" w:rsidRPr="009D41F2" w:rsidRDefault="00F00D4E" w:rsidP="00F00D4E">
      <w:pPr>
        <w:pStyle w:val="a0"/>
      </w:pPr>
      <w:r w:rsidRPr="009D41F2">
        <w:t>d.</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14:paraId="3D43AAF1" w14:textId="77777777" w:rsidR="00F00D4E" w:rsidRPr="009D41F2" w:rsidRDefault="00F00D4E" w:rsidP="00F00D4E">
      <w:pPr>
        <w:pStyle w:val="1"/>
      </w:pPr>
      <w:r w:rsidRPr="009D41F2">
        <w:t>2.</w:t>
      </w:r>
      <w:r w:rsidRPr="009D41F2">
        <w:tab/>
        <w:t>Retreatments of existing pier-type construction with a live subterranean termite infestation(s) and/or a breach(s) in the treated zone shall liquid treat to the following minimum specifications.</w:t>
      </w:r>
    </w:p>
    <w:p w14:paraId="6801ACBA" w14:textId="77777777" w:rsidR="00F00D4E" w:rsidRPr="009D41F2" w:rsidRDefault="00F00D4E" w:rsidP="00F00D4E">
      <w:pPr>
        <w:pStyle w:val="a0"/>
      </w:pPr>
      <w:r w:rsidRPr="009D41F2">
        <w:t>a.</w:t>
      </w:r>
      <w:r w:rsidRPr="009D41F2">
        <w:tab/>
        <w:t>Trench and treat 10 feet on both sides of a breach(s) in the treated zone or an infestation site(s) on chain wall(s) and all piers within 10 feet of an infested or breached pier or chain wall. Trench, drill, and treat as required in LAC 7:XXV.141.</w:t>
      </w:r>
    </w:p>
    <w:p w14:paraId="234C38DC" w14:textId="77777777" w:rsidR="00F00D4E" w:rsidRPr="009D41F2" w:rsidRDefault="00F00D4E" w:rsidP="00F00D4E">
      <w:pPr>
        <w:pStyle w:val="a0"/>
      </w:pPr>
      <w:r w:rsidRPr="009D41F2">
        <w:t>b.</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14:paraId="3E2E08DE" w14:textId="77777777" w:rsidR="00F00D4E" w:rsidRPr="009D41F2" w:rsidRDefault="00F00D4E" w:rsidP="00F00D4E">
      <w:pPr>
        <w:pStyle w:val="1"/>
      </w:pPr>
      <w:r w:rsidRPr="009D41F2">
        <w:t>3.</w:t>
      </w:r>
      <w:r w:rsidRPr="009D41F2">
        <w:tab/>
        <w:t>Minimum specification treatments shall not include areas properly waivered in initial treatment contract.</w:t>
      </w:r>
    </w:p>
    <w:p w14:paraId="0717084A" w14:textId="77777777" w:rsidR="00F00D4E" w:rsidRPr="009D41F2" w:rsidRDefault="00F00D4E" w:rsidP="00F00D4E">
      <w:pPr>
        <w:pStyle w:val="A"/>
      </w:pPr>
      <w:r w:rsidRPr="009D41F2">
        <w:t>L.</w:t>
      </w:r>
      <w:r w:rsidRPr="009D41F2">
        <w:tab/>
      </w:r>
      <w:r w:rsidR="00F545F3" w:rsidRPr="00EC2537">
        <w:t xml:space="preserve">Requirements for </w:t>
      </w:r>
      <w:r w:rsidR="00F545F3" w:rsidRPr="00EC2537">
        <w:rPr>
          <w:color w:val="000000"/>
        </w:rPr>
        <w:t>Wood</w:t>
      </w:r>
      <w:r w:rsidR="00F545F3" w:rsidRPr="00EC2537">
        <w:t xml:space="preserve"> Pre-Construction Treatments</w:t>
      </w:r>
    </w:p>
    <w:p w14:paraId="19A5B7FB" w14:textId="77777777" w:rsidR="00F00D4E" w:rsidRPr="009D41F2" w:rsidRDefault="00F00D4E" w:rsidP="00F00D4E">
      <w:pPr>
        <w:pStyle w:val="1"/>
      </w:pPr>
      <w:r w:rsidRPr="009D41F2">
        <w:t>1.</w:t>
      </w:r>
      <w:r w:rsidRPr="009D41F2">
        <w:tab/>
      </w:r>
      <w:r w:rsidR="00F545F3" w:rsidRPr="00EC2537">
        <w:t>Treat according to the</w:t>
      </w:r>
      <w:r w:rsidR="00F545F3" w:rsidRPr="00EC2537">
        <w:rPr>
          <w:color w:val="FF0000"/>
        </w:rPr>
        <w:t xml:space="preserve"> </w:t>
      </w:r>
      <w:r w:rsidR="00F545F3" w:rsidRPr="00EC2537">
        <w:t>wood treatment label approved by the commission.</w:t>
      </w:r>
    </w:p>
    <w:p w14:paraId="058FDB66" w14:textId="77777777" w:rsidR="00F00D4E" w:rsidRPr="009D41F2" w:rsidRDefault="00F00D4E" w:rsidP="00F00D4E">
      <w:pPr>
        <w:pStyle w:val="1"/>
      </w:pPr>
      <w:r w:rsidRPr="009D41F2">
        <w:t>2.</w:t>
      </w:r>
      <w:r w:rsidRPr="009D41F2">
        <w:tab/>
        <w:t>A perimeter soil treatment shall be applied within 12 months after initial treatment, the outside perimeter of the foundation, shall be treated as follows:</w:t>
      </w:r>
    </w:p>
    <w:p w14:paraId="7AE088E8" w14:textId="77777777" w:rsidR="00F00D4E" w:rsidRPr="009D41F2" w:rsidRDefault="00F00D4E" w:rsidP="00F00D4E">
      <w:pPr>
        <w:pStyle w:val="a0"/>
      </w:pPr>
      <w:r w:rsidRPr="009D41F2">
        <w:t>a.</w:t>
      </w:r>
      <w:r w:rsidRPr="009D41F2">
        <w:tab/>
        <w:t>trench around the entire perimeter of the structure being treated, adjacent to the foundation wall. 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between rod holes shall be 4 inches;</w:t>
      </w:r>
    </w:p>
    <w:p w14:paraId="12F1169C" w14:textId="77777777" w:rsidR="00F00D4E" w:rsidRPr="009D41F2" w:rsidRDefault="00F00D4E" w:rsidP="00F00D4E">
      <w:pPr>
        <w:pStyle w:val="a0"/>
      </w:pPr>
      <w:r w:rsidRPr="009D41F2">
        <w:t>b.</w:t>
      </w:r>
      <w:r w:rsidRPr="009D41F2">
        <w:tab/>
        <w:t xml:space="preserve">rod under or drill through any slab(s) adjoining or abutting the slab and treat all areas beneath adjoining or abutting slab(s) as per label and labeling instructions. When any slab(s) is drilled, the holes shall be no more than 18 inches </w:t>
      </w:r>
      <w:r w:rsidRPr="009D41F2">
        <w:lastRenderedPageBreak/>
        <w:t>(unless label requires closer distance) apart along the above stated areas;</w:t>
      </w:r>
    </w:p>
    <w:p w14:paraId="45FD088F" w14:textId="77777777" w:rsidR="00F00D4E" w:rsidRPr="009D41F2" w:rsidRDefault="00F00D4E" w:rsidP="00F00D4E">
      <w:pPr>
        <w:pStyle w:val="a0"/>
      </w:pPr>
      <w:r w:rsidRPr="009D41F2">
        <w:t>c.</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14:paraId="173E1E08" w14:textId="77777777" w:rsidR="00F00D4E" w:rsidRPr="009D41F2" w:rsidRDefault="00F00D4E" w:rsidP="00F00D4E">
      <w:pPr>
        <w:pStyle w:val="1"/>
      </w:pPr>
      <w:r w:rsidRPr="009D41F2">
        <w:t>3.</w:t>
      </w:r>
      <w:r w:rsidRPr="009D41F2">
        <w:tab/>
        <w:t>Treat bath traps as per termiticide label and labeling or as follows:</w:t>
      </w:r>
    </w:p>
    <w:p w14:paraId="4512E8B4" w14:textId="77777777" w:rsidR="00F00D4E" w:rsidRPr="009D41F2" w:rsidRDefault="00F00D4E" w:rsidP="00F00D4E">
      <w:pPr>
        <w:pStyle w:val="a0"/>
      </w:pPr>
      <w:r w:rsidRPr="009D41F2">
        <w:t>a.</w:t>
      </w:r>
      <w:r w:rsidRPr="009D41F2">
        <w:tab/>
        <w:t>if the soil in a trap does not reach the bottom of the slab, the trap shall be filled to within 2 inches of the top of the slab with soil prior to treatment. Treat bath trap(s) as required by label and labeling;</w:t>
      </w:r>
    </w:p>
    <w:p w14:paraId="01762C64" w14:textId="77777777" w:rsidR="00F00D4E" w:rsidRPr="009D41F2" w:rsidRDefault="00F00D4E" w:rsidP="00F00D4E">
      <w:pPr>
        <w:pStyle w:val="a0"/>
      </w:pPr>
      <w:r w:rsidRPr="009D41F2">
        <w:t>b.</w:t>
      </w:r>
      <w:r w:rsidRPr="009D41F2">
        <w:tab/>
        <w:t>a tar filled bath trap shall also be drilled and treated as required by label and labeling;</w:t>
      </w:r>
    </w:p>
    <w:p w14:paraId="2D91BA7E" w14:textId="77777777" w:rsidR="00F00D4E" w:rsidRPr="009D41F2" w:rsidRDefault="00F00D4E" w:rsidP="00F00D4E">
      <w:pPr>
        <w:pStyle w:val="a0"/>
      </w:pPr>
      <w:r w:rsidRPr="009D41F2">
        <w:t>c.</w:t>
      </w:r>
      <w:r w:rsidRPr="009D41F2">
        <w:tab/>
        <w:t>if bath trap is solid concrete pour, it shall be drilled and treated as close as practical to the bathtub plumbing;</w:t>
      </w:r>
    </w:p>
    <w:p w14:paraId="4AAC3629" w14:textId="77777777" w:rsidR="00F00D4E" w:rsidRPr="009D41F2" w:rsidRDefault="00F00D4E" w:rsidP="00F00D4E">
      <w:pPr>
        <w:pStyle w:val="1"/>
      </w:pPr>
      <w:r w:rsidRPr="009D41F2">
        <w:t>4.</w:t>
      </w:r>
      <w:r w:rsidRPr="009D41F2">
        <w:tab/>
        <w:t>If, during the treatment of any area, the operator shall leave the site for any reason prior to the completion of the application, the operator shall prominently display a poster at the treatment site, which states that the treatm</w:t>
      </w:r>
      <w:r>
        <w:t>ent of the area is not complete.</w:t>
      </w:r>
    </w:p>
    <w:p w14:paraId="4BA6A5B0" w14:textId="77777777" w:rsidR="002E62E9" w:rsidRPr="00BB7657" w:rsidRDefault="00F00D4E" w:rsidP="002E62E9">
      <w:pPr>
        <w:pStyle w:val="1"/>
        <w:rPr>
          <w:rFonts w:eastAsia="Calibri"/>
        </w:rPr>
      </w:pPr>
      <w:r w:rsidRPr="009D41F2">
        <w:t>5.</w:t>
      </w:r>
      <w:r w:rsidRPr="009D41F2">
        <w:tab/>
      </w:r>
      <w:r w:rsidR="006C3DC7" w:rsidRPr="006C3DC7">
        <w:rPr>
          <w:rFonts w:eastAsia="Calibri"/>
        </w:rPr>
        <w:t>The treatments of structures required in this Section shall be submitted by online form or called in to the department's district office in which the treatment occurs, a minimum of one hour prior to beginning the application of termiticides. The information provided shall include: treatment company name; treatment structure street address, city, parish; directions to the property being pre-treated; date and time of beginning the application of termiticides to the property; square or linear footage of the each structure to be treated; and number of structures. Permitees or licensees shall keep a log of all pretreats including the information noted. The following is a list of parishes in each of the department's eight district offices. Treatments in a parish shall be called into the corresponding district office:</w:t>
      </w:r>
    </w:p>
    <w:p w14:paraId="532F2A8D" w14:textId="77777777" w:rsidR="002E62E9" w:rsidRPr="00BB7657" w:rsidRDefault="002E62E9" w:rsidP="002E62E9">
      <w:pPr>
        <w:pStyle w:val="a0"/>
        <w:rPr>
          <w:rFonts w:eastAsia="Calibri"/>
        </w:rPr>
      </w:pPr>
      <w:r w:rsidRPr="00BB7657">
        <w:rPr>
          <w:rFonts w:eastAsia="Calibri"/>
        </w:rPr>
        <w:t>a.</w:t>
      </w:r>
      <w:r w:rsidRPr="00BB7657">
        <w:rPr>
          <w:rFonts w:eastAsia="Calibri"/>
        </w:rPr>
        <w:tab/>
        <w:t>Shreveport District</w:t>
      </w:r>
      <w:r>
        <w:rPr>
          <w:rFonts w:eastAsia="Calibri"/>
        </w:rPr>
        <w:t>—</w:t>
      </w:r>
      <w:r w:rsidRPr="00BB7657">
        <w:rPr>
          <w:rFonts w:eastAsia="Calibri"/>
        </w:rPr>
        <w:t xml:space="preserve">Caddo, Bossier, Webster, Claiborne, Bienville, Jackson, Winn, Lincoln, Red River, and Desoto; </w:t>
      </w:r>
    </w:p>
    <w:p w14:paraId="5380465A" w14:textId="77777777" w:rsidR="002E62E9" w:rsidRPr="00BB7657" w:rsidRDefault="002E62E9" w:rsidP="002E62E9">
      <w:pPr>
        <w:pStyle w:val="a0"/>
        <w:rPr>
          <w:rFonts w:eastAsia="Calibri"/>
        </w:rPr>
      </w:pPr>
      <w:r w:rsidRPr="00BB7657">
        <w:rPr>
          <w:rFonts w:eastAsia="Calibri"/>
        </w:rPr>
        <w:t>b.</w:t>
      </w:r>
      <w:r w:rsidRPr="00BB7657">
        <w:rPr>
          <w:rFonts w:eastAsia="Calibri"/>
        </w:rPr>
        <w:tab/>
        <w:t>Monroe District</w:t>
      </w:r>
      <w:r>
        <w:rPr>
          <w:rFonts w:eastAsia="Calibri"/>
        </w:rPr>
        <w:t>—</w:t>
      </w:r>
      <w:r w:rsidRPr="00BB7657">
        <w:rPr>
          <w:rFonts w:eastAsia="Calibri"/>
        </w:rPr>
        <w:t xml:space="preserve">Union, Morehouse, West Carroll, East Carroll, Madison, Richland, Ouachita, Caldwell, Franklin, Tensas; </w:t>
      </w:r>
    </w:p>
    <w:p w14:paraId="7B17D072" w14:textId="77777777" w:rsidR="002E62E9" w:rsidRPr="00BB7657" w:rsidRDefault="002E62E9" w:rsidP="002E62E9">
      <w:pPr>
        <w:pStyle w:val="a0"/>
        <w:rPr>
          <w:rFonts w:eastAsia="Calibri"/>
        </w:rPr>
      </w:pPr>
      <w:r w:rsidRPr="00BB7657">
        <w:rPr>
          <w:rFonts w:eastAsia="Calibri"/>
        </w:rPr>
        <w:t>c.</w:t>
      </w:r>
      <w:r w:rsidRPr="00BB7657">
        <w:rPr>
          <w:rFonts w:eastAsia="Calibri"/>
        </w:rPr>
        <w:tab/>
        <w:t>Alexandria District</w:t>
      </w:r>
      <w:r>
        <w:rPr>
          <w:rFonts w:eastAsia="Calibri"/>
        </w:rPr>
        <w:t>—</w:t>
      </w:r>
      <w:r w:rsidRPr="00BB7657">
        <w:rPr>
          <w:rFonts w:eastAsia="Calibri"/>
        </w:rPr>
        <w:t xml:space="preserve">Sabine, Natchitoches, Grant, LaSalle, Catahoula, Concordia, Avoyelles, Rapides, and Vernon; </w:t>
      </w:r>
    </w:p>
    <w:p w14:paraId="5BA498E1" w14:textId="77777777" w:rsidR="002E62E9" w:rsidRPr="00BB7657" w:rsidRDefault="002E62E9" w:rsidP="002E62E9">
      <w:pPr>
        <w:pStyle w:val="a0"/>
        <w:rPr>
          <w:rFonts w:eastAsia="Calibri"/>
        </w:rPr>
      </w:pPr>
      <w:r w:rsidRPr="00BB7657">
        <w:rPr>
          <w:rFonts w:eastAsia="Calibri"/>
        </w:rPr>
        <w:t>d.</w:t>
      </w:r>
      <w:r w:rsidRPr="00BB7657">
        <w:rPr>
          <w:rFonts w:eastAsia="Calibri"/>
        </w:rPr>
        <w:tab/>
        <w:t>Crowley District</w:t>
      </w:r>
      <w:r>
        <w:rPr>
          <w:rFonts w:eastAsia="Calibri"/>
        </w:rPr>
        <w:t>—</w:t>
      </w:r>
      <w:r w:rsidRPr="00BB7657">
        <w:rPr>
          <w:rFonts w:eastAsia="Calibri"/>
        </w:rPr>
        <w:t xml:space="preserve">Beauregard, Allen, Acadia, Jefferson Davis, Cameron, Calcasieu; </w:t>
      </w:r>
    </w:p>
    <w:p w14:paraId="5489C621" w14:textId="77777777" w:rsidR="002E62E9" w:rsidRPr="00BB7657" w:rsidRDefault="002E62E9" w:rsidP="002E62E9">
      <w:pPr>
        <w:pStyle w:val="a0"/>
        <w:rPr>
          <w:rFonts w:eastAsia="Calibri"/>
        </w:rPr>
      </w:pPr>
      <w:r w:rsidRPr="00BB7657">
        <w:rPr>
          <w:rFonts w:eastAsia="Calibri"/>
        </w:rPr>
        <w:t>e.</w:t>
      </w:r>
      <w:r w:rsidRPr="00BB7657">
        <w:rPr>
          <w:rFonts w:eastAsia="Calibri"/>
        </w:rPr>
        <w:tab/>
        <w:t>Opelousas District</w:t>
      </w:r>
      <w:r>
        <w:rPr>
          <w:rFonts w:eastAsia="Calibri"/>
        </w:rPr>
        <w:t>—</w:t>
      </w:r>
      <w:r w:rsidRPr="00BB7657">
        <w:rPr>
          <w:rFonts w:eastAsia="Calibri"/>
        </w:rPr>
        <w:t xml:space="preserve">Evangeline, St. Landry, St. Martin, Iberia, St. Mary, Vermilion, and Lafayette; </w:t>
      </w:r>
    </w:p>
    <w:p w14:paraId="4482CA63" w14:textId="77777777" w:rsidR="002E62E9" w:rsidRPr="00BB7657" w:rsidRDefault="002E62E9" w:rsidP="002E62E9">
      <w:pPr>
        <w:pStyle w:val="a0"/>
        <w:rPr>
          <w:rFonts w:eastAsia="Calibri"/>
        </w:rPr>
      </w:pPr>
      <w:r w:rsidRPr="00BB7657">
        <w:rPr>
          <w:rFonts w:eastAsia="Calibri"/>
        </w:rPr>
        <w:t>f.</w:t>
      </w:r>
      <w:r w:rsidRPr="00BB7657">
        <w:rPr>
          <w:rFonts w:eastAsia="Calibri"/>
        </w:rPr>
        <w:tab/>
        <w:t>Baton Rouge District</w:t>
      </w:r>
      <w:r>
        <w:rPr>
          <w:rFonts w:eastAsia="Calibri"/>
        </w:rPr>
        <w:t>—</w:t>
      </w:r>
      <w:r w:rsidRPr="00BB7657">
        <w:rPr>
          <w:rFonts w:eastAsia="Calibri"/>
        </w:rPr>
        <w:t xml:space="preserve">Pointe Coupee, West Feliciana, East Feliciana, St. James, Lafourche, Terrebonne, Assumption, Ascension, Iberville, West Baton Rouge, and East Baton Rouge; </w:t>
      </w:r>
    </w:p>
    <w:p w14:paraId="689B0F1B" w14:textId="77777777" w:rsidR="002E62E9" w:rsidRPr="00BB7657" w:rsidRDefault="002E62E9" w:rsidP="002E62E9">
      <w:pPr>
        <w:pStyle w:val="a0"/>
        <w:rPr>
          <w:rFonts w:eastAsia="Calibri"/>
        </w:rPr>
      </w:pPr>
      <w:r w:rsidRPr="00BB7657">
        <w:rPr>
          <w:rFonts w:eastAsia="Calibri"/>
        </w:rPr>
        <w:t>g.</w:t>
      </w:r>
      <w:r w:rsidRPr="00BB7657">
        <w:rPr>
          <w:rFonts w:eastAsia="Calibri"/>
        </w:rPr>
        <w:tab/>
        <w:t>Hammond District</w:t>
      </w:r>
      <w:r>
        <w:rPr>
          <w:rFonts w:eastAsia="Calibri"/>
        </w:rPr>
        <w:t>—</w:t>
      </w:r>
      <w:r w:rsidRPr="00BB7657">
        <w:rPr>
          <w:rFonts w:eastAsia="Calibri"/>
        </w:rPr>
        <w:t>Livingston, St. Helena, Tangipahoa, Washington, and St. Tammany;</w:t>
      </w:r>
    </w:p>
    <w:p w14:paraId="1F9F622A" w14:textId="77777777" w:rsidR="00F00D4E" w:rsidRPr="009D41F2" w:rsidRDefault="002E62E9" w:rsidP="002E62E9">
      <w:pPr>
        <w:pStyle w:val="a0"/>
      </w:pPr>
      <w:r w:rsidRPr="00BB7657">
        <w:rPr>
          <w:rFonts w:eastAsia="Calibri"/>
        </w:rPr>
        <w:t>h.</w:t>
      </w:r>
      <w:r w:rsidRPr="00BB7657">
        <w:rPr>
          <w:rFonts w:eastAsia="Calibri"/>
        </w:rPr>
        <w:tab/>
        <w:t>New Orleans District</w:t>
      </w:r>
      <w:r>
        <w:rPr>
          <w:rFonts w:eastAsia="Calibri"/>
        </w:rPr>
        <w:t>—</w:t>
      </w:r>
      <w:r w:rsidRPr="00BB7657">
        <w:rPr>
          <w:rFonts w:eastAsia="Calibri"/>
        </w:rPr>
        <w:t>St. John the Baptist, St. Charles, Jefferson, Orleans, St. Bernard, and Plaquemines.</w:t>
      </w:r>
    </w:p>
    <w:p w14:paraId="4085B98D" w14:textId="77777777" w:rsidR="00F00D4E" w:rsidRPr="009D41F2" w:rsidRDefault="00F00D4E" w:rsidP="00F00D4E">
      <w:pPr>
        <w:pStyle w:val="1"/>
      </w:pPr>
      <w:r w:rsidRPr="009D41F2">
        <w:t>6.</w:t>
      </w:r>
      <w:r w:rsidRPr="009D41F2">
        <w:tab/>
        <w:t>All borate treatments shall be contracted and reported as provided by R.S. 3:3370 and §119.E of this Part and the fee for each such contract shall be paid in acco</w:t>
      </w:r>
      <w:r>
        <w:t>rdance with §119.F of this Part.</w:t>
      </w:r>
    </w:p>
    <w:p w14:paraId="652C3D52" w14:textId="77777777" w:rsidR="00F00D4E" w:rsidRPr="009D41F2" w:rsidRDefault="00F00D4E" w:rsidP="00F00D4E">
      <w:pPr>
        <w:pStyle w:val="1"/>
      </w:pPr>
      <w:r w:rsidRPr="009D41F2">
        <w:t>7.</w:t>
      </w:r>
      <w:r w:rsidRPr="009D41F2">
        <w:tab/>
        <w:t>Records of contracts, graphs, monitoring (if required), and applications shal</w:t>
      </w:r>
      <w:r>
        <w:t>l be kept as required by §117.I.</w:t>
      </w:r>
    </w:p>
    <w:p w14:paraId="6D397097" w14:textId="77777777" w:rsidR="00F00D4E" w:rsidRPr="009D41F2" w:rsidRDefault="00F00D4E" w:rsidP="00F00D4E">
      <w:pPr>
        <w:pStyle w:val="1"/>
      </w:pPr>
      <w:r w:rsidRPr="009D41F2">
        <w:t>8.</w:t>
      </w:r>
      <w:r w:rsidRPr="009D41F2">
        <w:tab/>
        <w:t xml:space="preserve">All retreatments shall be as </w:t>
      </w:r>
      <w:r>
        <w:t>required by §141.L of this Part.</w:t>
      </w:r>
    </w:p>
    <w:p w14:paraId="4FA15015" w14:textId="77777777" w:rsidR="00F00D4E" w:rsidRDefault="00F00D4E" w:rsidP="00F00D4E">
      <w:pPr>
        <w:pStyle w:val="1"/>
      </w:pPr>
      <w:r w:rsidRPr="009D41F2">
        <w:t>9.</w:t>
      </w:r>
      <w:r w:rsidRPr="009D41F2">
        <w:tab/>
        <w:t>The permittee or licensee shall report the completion of the application to the outside of the foundation to the department on the termite perimeter application form.</w:t>
      </w:r>
    </w:p>
    <w:p w14:paraId="7A8A1FF3" w14:textId="77777777" w:rsidR="00F545F3" w:rsidRDefault="00F545F3" w:rsidP="00F545F3">
      <w:pPr>
        <w:pStyle w:val="1"/>
      </w:pPr>
      <w:r>
        <w:t>M.</w:t>
      </w:r>
      <w:r>
        <w:tab/>
        <w:t>Requirements for Exterior Perimeter / Localized Interior (EP/LI) Treatments</w:t>
      </w:r>
    </w:p>
    <w:p w14:paraId="1FF8A3D1" w14:textId="77777777" w:rsidR="00F545F3" w:rsidRDefault="00F545F3" w:rsidP="00F545F3">
      <w:pPr>
        <w:pStyle w:val="1"/>
      </w:pPr>
      <w:r>
        <w:t>1.</w:t>
      </w:r>
      <w:r>
        <w:tab/>
        <w:t xml:space="preserve">Treat according to the EP/LI section of the product label that has been approved by the Commission for EP/LI use. </w:t>
      </w:r>
    </w:p>
    <w:p w14:paraId="20B14A31" w14:textId="77777777" w:rsidR="00F545F3" w:rsidRDefault="00F545F3" w:rsidP="00F545F3">
      <w:pPr>
        <w:pStyle w:val="1"/>
      </w:pPr>
      <w:r>
        <w:t>2.</w:t>
      </w:r>
      <w:r>
        <w:tab/>
        <w:t xml:space="preserve">EP/LI treatments may only be used for Post Construction treatments. </w:t>
      </w:r>
    </w:p>
    <w:p w14:paraId="4C77F54B" w14:textId="77777777" w:rsidR="00F545F3" w:rsidRDefault="00F545F3" w:rsidP="00F545F3">
      <w:pPr>
        <w:pStyle w:val="1"/>
      </w:pPr>
      <w:r>
        <w:t>3.</w:t>
      </w:r>
      <w:r>
        <w:tab/>
        <w:t>EP/LI treatment must be specified on the termite contract, inspection diagram and subsequent annual renewal documentation.</w:t>
      </w:r>
    </w:p>
    <w:p w14:paraId="310A20A1" w14:textId="77777777" w:rsidR="00F545F3" w:rsidRPr="009D41F2" w:rsidRDefault="00F545F3" w:rsidP="00F545F3">
      <w:pPr>
        <w:pStyle w:val="1"/>
      </w:pPr>
      <w:r>
        <w:t>4.</w:t>
      </w:r>
      <w:r>
        <w:tab/>
        <w:t>The pest control operator shall provide written information to the homeowner, detailing the EP/LI treatment, at the time of issuance of the contract and treatment.</w:t>
      </w:r>
    </w:p>
    <w:p w14:paraId="6C9286EB" w14:textId="77777777" w:rsidR="00A436FF" w:rsidRPr="001531CD" w:rsidRDefault="00F00D4E" w:rsidP="00F00D4E">
      <w:pPr>
        <w:pStyle w:val="AuthorityNote"/>
      </w:pPr>
      <w:r w:rsidRPr="009D41F2">
        <w:t>AUTHORITY NOTE:</w:t>
      </w:r>
      <w:r w:rsidRPr="009D41F2">
        <w:tab/>
        <w:t>Promulgated in accordance with R.S. 3:3366.</w:t>
      </w:r>
    </w:p>
    <w:p w14:paraId="4C4EDBAF" w14:textId="77777777" w:rsidR="00A436FF" w:rsidRPr="001531CD" w:rsidRDefault="00A436FF" w:rsidP="00A436FF">
      <w:pPr>
        <w:pStyle w:val="HistoricalNote"/>
      </w:pPr>
      <w:r w:rsidRPr="001531CD">
        <w:t>HISTORICAL NOTE:</w:t>
      </w:r>
      <w:r w:rsidRPr="001531CD">
        <w:tab/>
        <w:t xml:space="preserve">Promulgated by the Department of Agriculture, Structural Pest Control Commission, LR 11:330 (April 1985), amended by the Department of Agriculture and Forestry, Structural Pest Control Commission, LR 15:958 (November 1989), LR 20:644 (June 1994), LR 21:931 (September 1995), LR 23:1285 (October 1997), LR 25:235 (February 1999), LR 25:1620 (September 1999), LR 26:2437 (November 2000), LR 27:1180 (August 2001), LR 29:1063 (July 2003), LR 30:1145 (June 2004), repromulgated LR 30:1614 (August 2004), amended LR 35:207 (February </w:t>
      </w:r>
      <w:r w:rsidR="00941C70" w:rsidRPr="001531CD">
        <w:t>2009), LR 35:1469 (August 2009), repromulgated LR 35:1872 (September 2009)</w:t>
      </w:r>
      <w:r w:rsidR="00EC355E" w:rsidRPr="001531CD">
        <w:t>, amended, LR 37:286 (January 2011)</w:t>
      </w:r>
      <w:r w:rsidR="00526019" w:rsidRPr="001531CD">
        <w:t>, amended by the Department of Agriculture and Forestry, Office of Agricultural and Environmental Sciences, Structural Pest Control Commission, LR 39:3</w:t>
      </w:r>
      <w:r w:rsidR="008F3409" w:rsidRPr="001531CD">
        <w:t>01 (February 2013), amended by the Department of Agriculture and Forestry, Office of Agricultural and Environmental Sciences, Structural Pest Control Com</w:t>
      </w:r>
      <w:r w:rsidR="003106F5">
        <w:t xml:space="preserve">mission, LR 39:1413 (June 2013), LR </w:t>
      </w:r>
      <w:r w:rsidR="003106F5" w:rsidRPr="00E73C80">
        <w:t>41:</w:t>
      </w:r>
      <w:r w:rsidR="00142546">
        <w:t>333 (February 2015), LR 42:214 (February 2016)</w:t>
      </w:r>
      <w:r w:rsidR="00540EAB" w:rsidRPr="00AE08CE">
        <w:t>, LR 46:</w:t>
      </w:r>
      <w:r w:rsidR="00540EAB">
        <w:t>1542 (November 2020)</w:t>
      </w:r>
      <w:r w:rsidR="00F545F3" w:rsidRPr="00EC2537">
        <w:rPr>
          <w:color w:val="000000"/>
        </w:rPr>
        <w:t>, LR 47:</w:t>
      </w:r>
      <w:r w:rsidR="00F545F3">
        <w:rPr>
          <w:color w:val="000000"/>
        </w:rPr>
        <w:t>1100 (August 2021)</w:t>
      </w:r>
      <w:r w:rsidR="002E62E9" w:rsidRPr="001A1D8D">
        <w:rPr>
          <w:color w:val="000000"/>
        </w:rPr>
        <w:t>, LR 48:</w:t>
      </w:r>
      <w:r w:rsidR="002E62E9">
        <w:rPr>
          <w:color w:val="000000"/>
        </w:rPr>
        <w:t>994 (April 2022)</w:t>
      </w:r>
      <w:r w:rsidR="002E62E9" w:rsidRPr="00BB7657">
        <w:rPr>
          <w:rFonts w:eastAsia="Calibri"/>
        </w:rPr>
        <w:t>, LR 48:</w:t>
      </w:r>
      <w:r w:rsidR="002E62E9">
        <w:rPr>
          <w:rFonts w:eastAsia="Calibri"/>
        </w:rPr>
        <w:t>994 (April 2022</w:t>
      </w:r>
      <w:r w:rsidR="00750B71" w:rsidRPr="00395D03">
        <w:t>), LR 48:</w:t>
      </w:r>
      <w:r w:rsidR="00750B71">
        <w:t>2729</w:t>
      </w:r>
      <w:r w:rsidR="00750B71" w:rsidRPr="00395D03">
        <w:t xml:space="preserve"> (November 2022</w:t>
      </w:r>
      <w:r w:rsidR="004D49FF" w:rsidRPr="00066C92">
        <w:t xml:space="preserve">), </w:t>
      </w:r>
      <w:r w:rsidR="004D49FF">
        <w:t>LR 49:2077 (December 2023</w:t>
      </w:r>
      <w:r w:rsidR="006C3DC7">
        <w:t>), repromulgated LR 50:777 (June 2024).</w:t>
      </w:r>
    </w:p>
    <w:p w14:paraId="084E9B39" w14:textId="77777777" w:rsidR="005D4F79" w:rsidRPr="001531CD" w:rsidRDefault="00CF626A" w:rsidP="005D4F79">
      <w:pPr>
        <w:pStyle w:val="Section"/>
      </w:pPr>
      <w:bookmarkStart w:id="2582" w:name="_Toc256754927"/>
      <w:bookmarkStart w:id="2583" w:name="_Toc224819300"/>
      <w:bookmarkEnd w:id="2580"/>
      <w:r w:rsidRPr="001531CD">
        <w:t>§143.</w:t>
      </w:r>
      <w:r w:rsidRPr="001531CD">
        <w:tab/>
      </w:r>
      <w:bookmarkEnd w:id="2582"/>
      <w:r w:rsidR="005D4F79" w:rsidRPr="001531CD">
        <w:t>Termiticide Foam Applications</w:t>
      </w:r>
      <w:bookmarkEnd w:id="2583"/>
    </w:p>
    <w:p w14:paraId="4AA59A98" w14:textId="77777777" w:rsidR="005D4F79" w:rsidRPr="001531CD" w:rsidRDefault="005D4F79" w:rsidP="005D4F79">
      <w:pPr>
        <w:pStyle w:val="A"/>
      </w:pPr>
      <w:r w:rsidRPr="001531CD">
        <w:t>A.</w:t>
      </w:r>
      <w:r w:rsidRPr="001531CD">
        <w:tab/>
        <w:t>Termiticide foam applications may be used as a supplemental treatment to approved liquid applications on treatments for the control, prevention or eradication of termites and other wood destroying insects.</w:t>
      </w:r>
    </w:p>
    <w:p w14:paraId="4E289E99" w14:textId="77777777" w:rsidR="00CF626A" w:rsidRPr="001531CD" w:rsidRDefault="005D4F79" w:rsidP="005D4F79">
      <w:pPr>
        <w:pStyle w:val="AuthorityNote"/>
      </w:pPr>
      <w:r w:rsidRPr="001531CD">
        <w:lastRenderedPageBreak/>
        <w:t>AUTHORITY NOTE:</w:t>
      </w:r>
      <w:r w:rsidRPr="001531CD">
        <w:tab/>
        <w:t>Promulgated in accordance with R.S. 3:3366.</w:t>
      </w:r>
    </w:p>
    <w:p w14:paraId="07592435" w14:textId="77777777" w:rsidR="00CF626A" w:rsidRPr="001531CD" w:rsidRDefault="00CF626A">
      <w:pPr>
        <w:pStyle w:val="HistoricalNote"/>
      </w:pPr>
      <w:r w:rsidRPr="001531CD">
        <w:t>HISTORICAL NOTE:</w:t>
      </w:r>
      <w:r w:rsidRPr="001531CD">
        <w:tab/>
        <w:t>Promulgated by the Department of Agriculture and Forestry, Structural Pest Control Commission, LR 19:1010 (August 1993)</w:t>
      </w:r>
      <w:r w:rsidR="005D4F79" w:rsidRPr="001531CD">
        <w:t>, amended by the Department of Agriculture and Forestry, Structural Pest Control Commission, LR 37:292 (January 2011)</w:t>
      </w:r>
      <w:r w:rsidRPr="001531CD">
        <w:t>.</w:t>
      </w:r>
    </w:p>
    <w:p w14:paraId="01CEC9D1" w14:textId="77777777" w:rsidR="005D4F79" w:rsidRPr="001531CD" w:rsidRDefault="00CF626A" w:rsidP="005D4F79">
      <w:pPr>
        <w:pStyle w:val="Section"/>
      </w:pPr>
      <w:bookmarkStart w:id="2584" w:name="_Toc256754929"/>
      <w:bookmarkStart w:id="2585" w:name="_Toc224819301"/>
      <w:r w:rsidRPr="001531CD">
        <w:t>§147.</w:t>
      </w:r>
      <w:r w:rsidRPr="001531CD">
        <w:tab/>
      </w:r>
      <w:bookmarkEnd w:id="2584"/>
      <w:r w:rsidR="005D4F79" w:rsidRPr="001531CD">
        <w:t>Fumigation</w:t>
      </w:r>
      <w:bookmarkEnd w:id="2585"/>
    </w:p>
    <w:p w14:paraId="7521121E" w14:textId="77777777" w:rsidR="005D4F79" w:rsidRPr="001531CD" w:rsidRDefault="005D4F79" w:rsidP="005D4F79">
      <w:pPr>
        <w:pStyle w:val="A"/>
      </w:pPr>
      <w:r w:rsidRPr="001531CD">
        <w:t>A.</w:t>
      </w:r>
      <w:r w:rsidRPr="001531CD">
        <w:tab/>
        <w:t>General</w:t>
      </w:r>
    </w:p>
    <w:p w14:paraId="10C0F5C6" w14:textId="77777777" w:rsidR="005D4F79" w:rsidRPr="001531CD" w:rsidRDefault="005D4F79" w:rsidP="005D4F79">
      <w:pPr>
        <w:pStyle w:val="1"/>
      </w:pPr>
      <w:r w:rsidRPr="001531CD">
        <w:t>1.</w:t>
      </w:r>
      <w:r w:rsidRPr="001531CD">
        <w:tab/>
        <w:t>This rule governs all fumigation of residential and commercial structures, ships, railcars, trucks, commodity containers and vaults within the state of Louisiana, including ships at anchor in rivers within the borders of Louisiana and ships at anchor within a 3-mile limit off the coast of Louisiana.</w:t>
      </w:r>
    </w:p>
    <w:p w14:paraId="55A1747C" w14:textId="77777777" w:rsidR="005D4F79" w:rsidRPr="001531CD" w:rsidRDefault="005D4F79" w:rsidP="005D4F79">
      <w:pPr>
        <w:pStyle w:val="1"/>
      </w:pPr>
      <w:r w:rsidRPr="001531CD">
        <w:t>2.</w:t>
      </w:r>
      <w:r w:rsidRPr="001531CD">
        <w:tab/>
      </w:r>
      <w:r w:rsidR="00540EAB" w:rsidRPr="00AE08CE">
        <w:t>The licensee shall comply with the Structural Pest Control Commission rules and regulations and shall follow all other applicable state and federal rules and regulations.</w:t>
      </w:r>
    </w:p>
    <w:p w14:paraId="2DFEA4CC" w14:textId="77777777" w:rsidR="005D4F79" w:rsidRPr="001531CD" w:rsidRDefault="005D4F79" w:rsidP="005D4F79">
      <w:pPr>
        <w:pStyle w:val="1"/>
      </w:pPr>
      <w:r w:rsidRPr="001531CD">
        <w:t>3.</w:t>
      </w:r>
      <w:r w:rsidRPr="001531CD">
        <w:tab/>
        <w:t>The licensee is responsible for compliance with all label and labeling requirements.</w:t>
      </w:r>
    </w:p>
    <w:p w14:paraId="1D04E13B" w14:textId="77777777" w:rsidR="005D4F79" w:rsidRPr="001531CD" w:rsidRDefault="005D4F79" w:rsidP="005D4F79">
      <w:pPr>
        <w:pStyle w:val="1"/>
      </w:pPr>
      <w:r w:rsidRPr="001531CD">
        <w:t>4.</w:t>
      </w:r>
      <w:r w:rsidRPr="001531CD">
        <w:tab/>
        <w:t>The licensee is responsible for giving any notice to law enforcement and/or fire protection agencies required by any governing body of the locality in which the fumigation will take place.</w:t>
      </w:r>
    </w:p>
    <w:p w14:paraId="5F4153F9" w14:textId="77777777" w:rsidR="005D4F79" w:rsidRPr="001531CD" w:rsidRDefault="005D4F79" w:rsidP="005D4F79">
      <w:pPr>
        <w:pStyle w:val="1"/>
      </w:pPr>
      <w:r w:rsidRPr="001531CD">
        <w:t>5.</w:t>
      </w:r>
      <w:r w:rsidRPr="001531CD">
        <w:tab/>
        <w:t>The licensee shall make certain that personal protection equipment for the fumigant being used is immediately accessible where the fumigation is being done.</w:t>
      </w:r>
    </w:p>
    <w:p w14:paraId="683F527E" w14:textId="77777777" w:rsidR="005D4F79" w:rsidRDefault="005D4F79" w:rsidP="005D4F79">
      <w:pPr>
        <w:pStyle w:val="1"/>
      </w:pPr>
      <w:r w:rsidRPr="001531CD">
        <w:t>6.</w:t>
      </w:r>
      <w:r w:rsidRPr="001531CD">
        <w:tab/>
      </w:r>
      <w:r w:rsidR="00540EAB" w:rsidRPr="00AE08CE">
        <w:t>The licensee shall remove all signs, fumigation containers and/or materials, and any other debris which accumulated as a direct result from the fumigation.</w:t>
      </w:r>
    </w:p>
    <w:p w14:paraId="604CA036" w14:textId="77777777" w:rsidR="00E41C68" w:rsidRDefault="00E41C68" w:rsidP="00E41C68">
      <w:pPr>
        <w:pStyle w:val="1"/>
      </w:pPr>
      <w:r w:rsidRPr="00CF4F7E">
        <w:t>7.</w:t>
      </w:r>
      <w:r w:rsidRPr="00CF4F7E">
        <w:tab/>
        <w:t>The licensee shall have all gas detection/monitoring instruments for the fumigant being used properly calibrated to meet manufacturer standards prior to the application of the fumigant.</w:t>
      </w:r>
    </w:p>
    <w:p w14:paraId="76AB1BCB" w14:textId="77777777" w:rsidR="005D4F79" w:rsidRPr="001531CD" w:rsidRDefault="005D4F79" w:rsidP="005D4F79">
      <w:pPr>
        <w:pStyle w:val="A"/>
      </w:pPr>
      <w:r w:rsidRPr="001531CD">
        <w:t>B.</w:t>
      </w:r>
      <w:r w:rsidRPr="001531CD">
        <w:tab/>
        <w:t>Requirements for Structural Fumigation</w:t>
      </w:r>
    </w:p>
    <w:p w14:paraId="1D563555" w14:textId="77777777" w:rsidR="005D4F79" w:rsidRPr="001531CD" w:rsidRDefault="005D4F79" w:rsidP="005D4F79">
      <w:pPr>
        <w:pStyle w:val="1"/>
      </w:pPr>
      <w:r w:rsidRPr="001531CD">
        <w:t>1.</w:t>
      </w:r>
      <w:r w:rsidRPr="001531CD">
        <w:tab/>
        <w:t>The permittee or primary licensee shall give notice, in writing, to be received by the department at least 24 hours prior to structural fumigation. Notice to the department shall include the following items:</w:t>
      </w:r>
    </w:p>
    <w:p w14:paraId="0F48B7A7" w14:textId="77777777" w:rsidR="005D4F79" w:rsidRPr="001531CD" w:rsidRDefault="005D4F79" w:rsidP="005D4F79">
      <w:pPr>
        <w:pStyle w:val="a0"/>
      </w:pPr>
      <w:r w:rsidRPr="001531CD">
        <w:t>a.</w:t>
      </w:r>
      <w:r w:rsidRPr="001531CD">
        <w:tab/>
        <w:t>time and place where the fumigation will take place;</w:t>
      </w:r>
    </w:p>
    <w:p w14:paraId="73BA36DD" w14:textId="77777777" w:rsidR="005D4F79" w:rsidRPr="001531CD" w:rsidRDefault="005D4F79" w:rsidP="005D4F79">
      <w:pPr>
        <w:pStyle w:val="a0"/>
      </w:pPr>
      <w:r w:rsidRPr="001531CD">
        <w:t>b.</w:t>
      </w:r>
      <w:r w:rsidRPr="001531CD">
        <w:tab/>
        <w:t>name, address and emergency phone number of the licensee;</w:t>
      </w:r>
    </w:p>
    <w:p w14:paraId="49D7BB23" w14:textId="77777777" w:rsidR="005D4F79" w:rsidRPr="001531CD" w:rsidRDefault="005D4F79" w:rsidP="005D4F79">
      <w:pPr>
        <w:pStyle w:val="a0"/>
      </w:pPr>
      <w:r w:rsidRPr="001531CD">
        <w:t>c.</w:t>
      </w:r>
      <w:r w:rsidRPr="001531CD">
        <w:tab/>
        <w:t>name of the fumigant to be used;</w:t>
      </w:r>
    </w:p>
    <w:p w14:paraId="74331B7B" w14:textId="77777777" w:rsidR="005D4F79" w:rsidRPr="001531CD" w:rsidRDefault="005D4F79" w:rsidP="005D4F79">
      <w:pPr>
        <w:pStyle w:val="a0"/>
      </w:pPr>
      <w:r w:rsidRPr="001531CD">
        <w:t>d.</w:t>
      </w:r>
      <w:r w:rsidRPr="001531CD">
        <w:tab/>
        <w:t>a brief description of the property to be fumigated;</w:t>
      </w:r>
    </w:p>
    <w:p w14:paraId="67B241DB" w14:textId="77777777" w:rsidR="005D4F79" w:rsidRPr="001531CD" w:rsidRDefault="005D4F79" w:rsidP="005D4F79">
      <w:pPr>
        <w:pStyle w:val="a0"/>
      </w:pPr>
      <w:r w:rsidRPr="001531CD">
        <w:t>e.</w:t>
      </w:r>
      <w:r w:rsidRPr="001531CD">
        <w:tab/>
        <w:t>target pest;</w:t>
      </w:r>
    </w:p>
    <w:p w14:paraId="3C955848" w14:textId="77777777" w:rsidR="005D4F79" w:rsidRPr="001531CD" w:rsidRDefault="005D4F79" w:rsidP="005D4F79">
      <w:pPr>
        <w:pStyle w:val="a0"/>
      </w:pPr>
      <w:r w:rsidRPr="001531CD">
        <w:t>f.</w:t>
      </w:r>
      <w:r w:rsidRPr="001531CD">
        <w:tab/>
        <w:t>location of target pest; and</w:t>
      </w:r>
    </w:p>
    <w:p w14:paraId="4868A74F" w14:textId="77777777" w:rsidR="005D4F79" w:rsidRPr="001531CD" w:rsidRDefault="005D4F79" w:rsidP="005D4F79">
      <w:pPr>
        <w:pStyle w:val="a0"/>
      </w:pPr>
      <w:r w:rsidRPr="001531CD">
        <w:t>g.</w:t>
      </w:r>
      <w:r w:rsidRPr="001531CD">
        <w:tab/>
        <w:t>other information the commission requests.</w:t>
      </w:r>
    </w:p>
    <w:p w14:paraId="71E763C7" w14:textId="77777777" w:rsidR="005D4F79" w:rsidRPr="001531CD" w:rsidRDefault="005D4F79" w:rsidP="005D4F79">
      <w:pPr>
        <w:pStyle w:val="1"/>
      </w:pPr>
      <w:r w:rsidRPr="001531CD">
        <w:t>2.</w:t>
      </w:r>
      <w:r w:rsidRPr="001531CD">
        <w:tab/>
        <w:t xml:space="preserve">When notice cannot be given as required by §147.B.1, notice shall be given by phone but shall be </w:t>
      </w:r>
      <w:r w:rsidRPr="001531CD">
        <w:t>confirmed in writing, to be received by the commission within 24 hours after the telephone notice.</w:t>
      </w:r>
    </w:p>
    <w:p w14:paraId="54EBC094" w14:textId="77777777" w:rsidR="005D4F79" w:rsidRPr="001531CD" w:rsidRDefault="005D4F79" w:rsidP="005D4F79">
      <w:pPr>
        <w:pStyle w:val="1"/>
      </w:pPr>
      <w:r w:rsidRPr="001531CD">
        <w:t>3.</w:t>
      </w:r>
      <w:r w:rsidR="00540EAB">
        <w:tab/>
      </w:r>
      <w:r w:rsidRPr="001531CD">
        <w:t>A licensed fumigator shall personally inspect all structures that are to be fumigated while they are being tented or sealed after the structure has been evacuated.</w:t>
      </w:r>
    </w:p>
    <w:p w14:paraId="7347CE32" w14:textId="77777777" w:rsidR="00540EAB" w:rsidRPr="00540EAB" w:rsidRDefault="00540EAB" w:rsidP="00540EAB">
      <w:pPr>
        <w:pStyle w:val="1"/>
      </w:pPr>
      <w:r w:rsidRPr="00540EAB">
        <w:rPr>
          <w:lang w:eastAsia="x-none"/>
        </w:rPr>
        <w:t>4.</w:t>
      </w:r>
      <w:r w:rsidRPr="00540EAB">
        <w:rPr>
          <w:lang w:eastAsia="x-none"/>
        </w:rPr>
        <w:tab/>
        <w:t xml:space="preserve">A licensed fumigator shall seal </w:t>
      </w:r>
      <w:r w:rsidRPr="00540EAB">
        <w:t>or supervise the sealing or the area to be fumigated and assure that there is proper and secure sealing to confine the fumigant to the area that is to be fumigated, prior to the release of the fumigant.</w:t>
      </w:r>
    </w:p>
    <w:p w14:paraId="24BE4B9A" w14:textId="77777777" w:rsidR="00540EAB" w:rsidRPr="00540EAB" w:rsidRDefault="00540EAB" w:rsidP="00540EAB">
      <w:pPr>
        <w:pStyle w:val="1"/>
      </w:pPr>
      <w:r w:rsidRPr="00540EAB">
        <w:t>5.</w:t>
      </w:r>
      <w:r w:rsidRPr="00540EAB">
        <w:tab/>
        <w:t>A licensed fumigator shall see that a sign or signs of sufficient size as to be conspicuous and bearing the word "poison" and the skull-and-crossbones symbol, is prominently displayed at all entrances to the area being fumigated continuously from the time the area is sealed until ventilation is completed.</w:t>
      </w:r>
    </w:p>
    <w:p w14:paraId="33671B1A" w14:textId="77777777" w:rsidR="005D4F79" w:rsidRPr="001531CD" w:rsidRDefault="005D4F79" w:rsidP="005D4F79">
      <w:pPr>
        <w:pStyle w:val="1"/>
      </w:pPr>
      <w:r w:rsidRPr="001531CD">
        <w:t>6.</w:t>
      </w:r>
      <w:r w:rsidRPr="001531CD">
        <w:tab/>
        <w:t>When tarp fumigation is being used, in addition to the signs on each entrance of the building, there shall be at least one sign on each side of the exterior tarp. If any side of the building exceeds 35 feet, additional signs will be added. The maximum distance between signs of any side of a building will be 60 feet.</w:t>
      </w:r>
    </w:p>
    <w:p w14:paraId="15878B37" w14:textId="77777777" w:rsidR="005D4F79" w:rsidRPr="001531CD" w:rsidRDefault="005D4F79" w:rsidP="005D4F79">
      <w:pPr>
        <w:pStyle w:val="1"/>
      </w:pPr>
      <w:r w:rsidRPr="001531CD">
        <w:t>7.</w:t>
      </w:r>
      <w:r w:rsidRPr="001531CD">
        <w:tab/>
        <w:t>Two test lines with at least 1/4 inch outside diameter shall be appropriately located on the first floor of the structure(s) being fumigated to permit sufficient readings of the fumigant concentrate to determine its efficacy in destroying insects. They shall be on opposite sides of the building. In multi-story buildings the lines shall be on different floors. A written record of fumigant level readings shall be maintained during progress of job and will become part of job file.</w:t>
      </w:r>
    </w:p>
    <w:p w14:paraId="0BF47D7F" w14:textId="77777777" w:rsidR="005D4F79" w:rsidRPr="001531CD" w:rsidRDefault="005D4F79" w:rsidP="005D4F79">
      <w:pPr>
        <w:pStyle w:val="1"/>
      </w:pPr>
      <w:r w:rsidRPr="001531CD">
        <w:t>8.</w:t>
      </w:r>
      <w:r w:rsidRPr="001531CD">
        <w:tab/>
        <w:t>A licensed fumigator shall post a guard(s) to prevent entry by an unauthorized person into the area being fumigated. The guard is not required to be a licensed pest control operator or registered employee.</w:t>
      </w:r>
    </w:p>
    <w:p w14:paraId="3D7F33AC" w14:textId="77777777" w:rsidR="005D4F79" w:rsidRPr="001531CD" w:rsidRDefault="005D4F79" w:rsidP="005D4F79">
      <w:pPr>
        <w:pStyle w:val="1"/>
      </w:pPr>
      <w:r w:rsidRPr="001531CD">
        <w:t>9.</w:t>
      </w:r>
      <w:r w:rsidRPr="001531CD">
        <w:tab/>
        <w:t>Whenever one unit of a complex containing more than one unit is to be fumigated, all units of the building to be fumigated shall be evacuated during fumigation and until such time as the fumigated area is declared safe for occupancy. A licensed fumigator shall inspect all units of a complex.</w:t>
      </w:r>
    </w:p>
    <w:p w14:paraId="53EE32B6" w14:textId="77777777" w:rsidR="00540EAB" w:rsidRPr="00540EAB" w:rsidRDefault="005D4F79" w:rsidP="00540EAB">
      <w:pPr>
        <w:pStyle w:val="1"/>
      </w:pPr>
      <w:r w:rsidRPr="001531CD">
        <w:t>10.</w:t>
      </w:r>
      <w:r w:rsidRPr="001531CD">
        <w:tab/>
      </w:r>
      <w:r w:rsidR="00540EAB" w:rsidRPr="00540EAB">
        <w:t>A licensed fumigator shall be present when the fumigant is released and immediately prior to the time when the fumigated area is declared safe for occupancy. At least one other person, trained in fumigation in addition to the above, shall be present when the fumigant is released and immediately prior to the time when the fumigation area is declared safe for occupancy.</w:t>
      </w:r>
    </w:p>
    <w:p w14:paraId="741C592A" w14:textId="77777777" w:rsidR="00540EAB" w:rsidRPr="00540EAB" w:rsidRDefault="00540EAB" w:rsidP="00540EAB">
      <w:pPr>
        <w:pStyle w:val="1"/>
      </w:pPr>
      <w:r w:rsidRPr="00540EAB">
        <w:t>11.</w:t>
      </w:r>
      <w:r w:rsidRPr="00540EAB">
        <w:tab/>
        <w:t>A licensed fumigator shall personally inspect the area which was fumigated when ventilation is completed to assure that the fumigated area, and adjacent areas as appropriate, is safe for occupancy.</w:t>
      </w:r>
    </w:p>
    <w:p w14:paraId="7E95936B" w14:textId="77777777" w:rsidR="005D4F79" w:rsidRPr="001531CD" w:rsidRDefault="005D4F79" w:rsidP="005D4F79">
      <w:pPr>
        <w:pStyle w:val="A"/>
      </w:pPr>
      <w:r w:rsidRPr="001531CD">
        <w:t>C.</w:t>
      </w:r>
      <w:r w:rsidRPr="001531CD">
        <w:tab/>
        <w:t>Requirements for Shipboard Fumigation</w:t>
      </w:r>
    </w:p>
    <w:p w14:paraId="4B45771E" w14:textId="77777777" w:rsidR="005D4F79" w:rsidRPr="001531CD" w:rsidRDefault="005D4F79" w:rsidP="005D4F79">
      <w:pPr>
        <w:pStyle w:val="1"/>
      </w:pPr>
      <w:r w:rsidRPr="001531CD">
        <w:t>1.</w:t>
      </w:r>
      <w:r w:rsidRPr="001531CD">
        <w:tab/>
        <w:t>A licensed fumigator shall be present for the initial application of fumigant.</w:t>
      </w:r>
    </w:p>
    <w:p w14:paraId="42F78E7E" w14:textId="77777777" w:rsidR="005D4F79" w:rsidRPr="001531CD" w:rsidRDefault="005D4F79" w:rsidP="005D4F79">
      <w:pPr>
        <w:pStyle w:val="1"/>
      </w:pPr>
      <w:r w:rsidRPr="001531CD">
        <w:lastRenderedPageBreak/>
        <w:t>2.</w:t>
      </w:r>
      <w:r w:rsidRPr="001531CD">
        <w:tab/>
        <w:t>A licensed fumigator is responsible to declare the ship safe for occupancy.</w:t>
      </w:r>
    </w:p>
    <w:p w14:paraId="2E225463" w14:textId="77777777" w:rsidR="005D4F79" w:rsidRPr="001531CD" w:rsidRDefault="005D4F79" w:rsidP="005D4F79">
      <w:pPr>
        <w:pStyle w:val="A"/>
      </w:pPr>
      <w:r w:rsidRPr="001531CD">
        <w:t>D.</w:t>
      </w:r>
      <w:r w:rsidRPr="001531CD">
        <w:tab/>
      </w:r>
      <w:r w:rsidR="006C3DC7" w:rsidRPr="006C3DC7">
        <w:t>Requirements for Commodity Fumigation. A licensed fumigator shall:</w:t>
      </w:r>
    </w:p>
    <w:p w14:paraId="760C20EB" w14:textId="77777777" w:rsidR="005D4F79" w:rsidRPr="001531CD" w:rsidRDefault="005D4F79" w:rsidP="005D4F79">
      <w:pPr>
        <w:pStyle w:val="1"/>
      </w:pPr>
      <w:r w:rsidRPr="001531CD">
        <w:t>1.</w:t>
      </w:r>
      <w:r w:rsidRPr="001531CD">
        <w:tab/>
        <w:t>check inside the container along the junctures to be sealed before fumigation;</w:t>
      </w:r>
    </w:p>
    <w:p w14:paraId="4A57D819" w14:textId="77777777" w:rsidR="005D4F79" w:rsidRPr="001531CD" w:rsidRDefault="005D4F79" w:rsidP="005D4F79">
      <w:pPr>
        <w:pStyle w:val="1"/>
      </w:pPr>
      <w:r w:rsidRPr="001531CD">
        <w:t>2.</w:t>
      </w:r>
      <w:r w:rsidRPr="001531CD">
        <w:tab/>
        <w:t>all openings in vehicles being fumigated must be sealed;</w:t>
      </w:r>
    </w:p>
    <w:p w14:paraId="270A1352" w14:textId="77777777" w:rsidR="005D4F79" w:rsidRPr="001531CD" w:rsidRDefault="005D4F79" w:rsidP="005D4F79">
      <w:pPr>
        <w:pStyle w:val="1"/>
      </w:pPr>
      <w:r w:rsidRPr="001531CD">
        <w:t>3.</w:t>
      </w:r>
      <w:r w:rsidRPr="001531CD">
        <w:tab/>
        <w:t>inside and outside warning signs shall be posted as required by labeling and label requirements;</w:t>
      </w:r>
    </w:p>
    <w:p w14:paraId="4893FB45" w14:textId="77777777" w:rsidR="005D4F79" w:rsidRPr="001531CD" w:rsidRDefault="005D4F79" w:rsidP="005D4F79">
      <w:pPr>
        <w:pStyle w:val="1"/>
      </w:pPr>
      <w:r w:rsidRPr="001531CD">
        <w:t>4.</w:t>
      </w:r>
      <w:r w:rsidRPr="001531CD">
        <w:tab/>
        <w:t>after releasing the fumigant, check for leakage and repair any leaks which occur;</w:t>
      </w:r>
    </w:p>
    <w:p w14:paraId="701B4EAB" w14:textId="77777777" w:rsidR="005D4F79" w:rsidRPr="001531CD" w:rsidRDefault="005D4F79" w:rsidP="005D4F79">
      <w:pPr>
        <w:pStyle w:val="1"/>
      </w:pPr>
      <w:r w:rsidRPr="001531CD">
        <w:t>5.</w:t>
      </w:r>
      <w:r w:rsidRPr="001531CD">
        <w:tab/>
        <w:t>the permittee or licensed fumigator licensee shall notify the consignee, in writing, of the fumigant being used, antidotes and the proper procedures for handling any vehicle(s) or commodity container(s) which is shipped under gas.</w:t>
      </w:r>
    </w:p>
    <w:p w14:paraId="62A5F6B2" w14:textId="77777777" w:rsidR="00CF626A" w:rsidRPr="001531CD" w:rsidRDefault="005D4F79" w:rsidP="005D4F79">
      <w:pPr>
        <w:pStyle w:val="AuthorityNote"/>
      </w:pPr>
      <w:r w:rsidRPr="001531CD">
        <w:t>AUTHORITY NOTE:</w:t>
      </w:r>
      <w:r w:rsidRPr="001531CD">
        <w:tab/>
        <w:t>Promulgated in accordance with R.S. 3:3306.</w:t>
      </w:r>
    </w:p>
    <w:p w14:paraId="13F5FF2E" w14:textId="77777777" w:rsidR="00E41C68" w:rsidRPr="00CF4F7E" w:rsidRDefault="00CF626A" w:rsidP="00E41C68">
      <w:pPr>
        <w:pStyle w:val="HistoricalNote"/>
      </w:pPr>
      <w:r w:rsidRPr="001531CD">
        <w:t>HISTORICAL NOTE:</w:t>
      </w:r>
      <w:r w:rsidRPr="001531CD">
        <w:tab/>
        <w:t>Promulgated by the Department of Agriculture and Forestry, Structural Pest Control Commission, LR 11:332 (April 1985), amended LR 17:251 (March 1991)</w:t>
      </w:r>
      <w:r w:rsidR="005D4F79" w:rsidRPr="001531CD">
        <w:t>, LR 37:293 (January 2011)</w:t>
      </w:r>
      <w:r w:rsidR="00E41C68">
        <w:t>, LR 44:1237 (July 2018)</w:t>
      </w:r>
      <w:r w:rsidR="00540EAB" w:rsidRPr="00AE08CE">
        <w:t xml:space="preserve">, </w:t>
      </w:r>
      <w:r w:rsidR="00540EAB" w:rsidRPr="00AE08CE">
        <w:rPr>
          <w:lang w:eastAsia="x-none"/>
        </w:rPr>
        <w:t>LR 46:</w:t>
      </w:r>
      <w:r w:rsidR="00540EAB">
        <w:t>1542 (November 2020</w:t>
      </w:r>
      <w:r w:rsidR="006229B4" w:rsidRPr="006229B4">
        <w:t>), LR 49:2079 (December 2023</w:t>
      </w:r>
      <w:r w:rsidR="006C3DC7">
        <w:t>), repromulgated LR 50:778 (June 2024).</w:t>
      </w:r>
    </w:p>
    <w:p w14:paraId="5F4B4C7E" w14:textId="77777777" w:rsidR="005D4F79" w:rsidRPr="001531CD" w:rsidRDefault="00CF626A" w:rsidP="005D4F79">
      <w:pPr>
        <w:pStyle w:val="Section"/>
      </w:pPr>
      <w:bookmarkStart w:id="2586" w:name="_Toc256754930"/>
      <w:bookmarkStart w:id="2587" w:name="_Toc224819302"/>
      <w:r w:rsidRPr="001531CD">
        <w:t>§149.</w:t>
      </w:r>
      <w:r w:rsidRPr="001531CD">
        <w:tab/>
      </w:r>
      <w:bookmarkEnd w:id="2586"/>
      <w:r w:rsidR="005D4F79" w:rsidRPr="001531CD">
        <w:t>Repeal of Prior Rules and Regulations of the Commission</w:t>
      </w:r>
      <w:bookmarkEnd w:id="2587"/>
    </w:p>
    <w:p w14:paraId="66C2743C" w14:textId="77777777" w:rsidR="005D4F79" w:rsidRPr="001531CD" w:rsidRDefault="005D4F79" w:rsidP="005D4F79">
      <w:pPr>
        <w:pStyle w:val="A"/>
      </w:pPr>
      <w:r w:rsidRPr="001531CD">
        <w:t>A.</w:t>
      </w:r>
      <w:r w:rsidRPr="001531CD">
        <w:tab/>
        <w:t>Upon promulgation of these rules and regulations, all rules and regulations of the commission adopted prior to the effective date of these rules and regulations shall be repealed.</w:t>
      </w:r>
    </w:p>
    <w:p w14:paraId="4CF2024E" w14:textId="77777777" w:rsidR="00CF626A" w:rsidRPr="001531CD" w:rsidRDefault="005D4F79" w:rsidP="005D4F79">
      <w:pPr>
        <w:pStyle w:val="AuthorityNote"/>
      </w:pPr>
      <w:r w:rsidRPr="001531CD">
        <w:t>AUTHORITY NOTE:</w:t>
      </w:r>
      <w:r w:rsidRPr="001531CD">
        <w:tab/>
        <w:t>Promulgated in accordance with R.S. 3:3366.</w:t>
      </w:r>
    </w:p>
    <w:p w14:paraId="7B4F4260" w14:textId="77777777" w:rsidR="00CF626A" w:rsidRPr="001531CD" w:rsidRDefault="00CF626A">
      <w:pPr>
        <w:pStyle w:val="HistoricalNote"/>
      </w:pPr>
      <w:r w:rsidRPr="001531CD">
        <w:t>HISTORICAL NOTE:</w:t>
      </w:r>
      <w:r w:rsidRPr="001531CD">
        <w:tab/>
        <w:t>Promulgated by the Department of Agriculture, Structural Pest Control Commission, LR 11:334 (April 1985)</w:t>
      </w:r>
      <w:r w:rsidR="005D4F79" w:rsidRPr="001531CD">
        <w:t>, amended by the Department of Agriculture and Forestry, Structural Pest Control Commission, LR 37:294 (January 2011)</w:t>
      </w:r>
      <w:r w:rsidRPr="001531CD">
        <w:t>.</w:t>
      </w:r>
    </w:p>
    <w:p w14:paraId="2AB24720" w14:textId="77777777" w:rsidR="005D4F79" w:rsidRPr="001531CD" w:rsidRDefault="00CF626A" w:rsidP="005D4F79">
      <w:pPr>
        <w:pStyle w:val="Section"/>
      </w:pPr>
      <w:bookmarkStart w:id="2588" w:name="_Toc256754931"/>
      <w:bookmarkStart w:id="2589" w:name="_Toc224819303"/>
      <w:r w:rsidRPr="001531CD">
        <w:t>§151.</w:t>
      </w:r>
      <w:r w:rsidRPr="001531CD">
        <w:tab/>
      </w:r>
      <w:bookmarkEnd w:id="2588"/>
      <w:r w:rsidR="005D4F79" w:rsidRPr="001531CD">
        <w:t>General Requirements for Pesticide Waste</w:t>
      </w:r>
      <w:bookmarkEnd w:id="2589"/>
    </w:p>
    <w:p w14:paraId="145F5FFC" w14:textId="77777777" w:rsidR="00303B75" w:rsidRPr="001531CD" w:rsidRDefault="00303B75" w:rsidP="00303B75">
      <w:pPr>
        <w:pStyle w:val="A"/>
      </w:pPr>
      <w:r w:rsidRPr="001531CD">
        <w:t>A.</w:t>
      </w:r>
      <w:r w:rsidRPr="001531CD">
        <w:tab/>
        <w:t>All permittees, licensees, or registered persons shall implement a containment system for reuse or apply a pesticide waste immediately to a site of application per label and labeling.</w:t>
      </w:r>
    </w:p>
    <w:p w14:paraId="29F1F35B" w14:textId="77777777" w:rsidR="005D4F79" w:rsidRPr="001531CD" w:rsidRDefault="00303B75" w:rsidP="00303B75">
      <w:pPr>
        <w:pStyle w:val="A"/>
      </w:pPr>
      <w:r w:rsidRPr="001531CD">
        <w:t>B.</w:t>
      </w:r>
      <w:r w:rsidRPr="001531CD">
        <w:tab/>
        <w:t>Handling Spills by Applicators</w:t>
      </w:r>
    </w:p>
    <w:p w14:paraId="4211B55D" w14:textId="77777777" w:rsidR="00303B75" w:rsidRPr="001531CD" w:rsidRDefault="00303B75" w:rsidP="00303B75">
      <w:pPr>
        <w:pStyle w:val="1"/>
      </w:pPr>
      <w:r w:rsidRPr="001531CD">
        <w:t>1.</w:t>
      </w:r>
      <w:r w:rsidRPr="001531CD">
        <w:tab/>
        <w:t>All spills of more than 1 gallon liquid or 4 pounds dry weight shall be reported to the director by the applicator, primary licensee or permitee within 24 hours by telephone and by written notice within 3 days.</w:t>
      </w:r>
    </w:p>
    <w:p w14:paraId="3C677951" w14:textId="77777777" w:rsidR="00303B75" w:rsidRPr="001531CD" w:rsidRDefault="00303B75" w:rsidP="00303B75">
      <w:pPr>
        <w:pStyle w:val="1"/>
      </w:pPr>
      <w:r w:rsidRPr="001531CD">
        <w:t>2.</w:t>
      </w:r>
      <w:r w:rsidRPr="001531CD">
        <w:tab/>
        <w:t>The permitee is responsible for the cost of cleanup</w:t>
      </w:r>
      <w:r w:rsidRPr="001531CD">
        <w:rPr>
          <w:strike/>
        </w:rPr>
        <w:t>s</w:t>
      </w:r>
      <w:r w:rsidRPr="001531CD">
        <w:t xml:space="preserve"> resulting from pesticide spills in their operations.</w:t>
      </w:r>
    </w:p>
    <w:p w14:paraId="68A5EBAB" w14:textId="77777777" w:rsidR="00CF626A" w:rsidRPr="001531CD" w:rsidRDefault="00303B75" w:rsidP="00303B75">
      <w:pPr>
        <w:pStyle w:val="AuthorityNote"/>
      </w:pPr>
      <w:r w:rsidRPr="001531CD">
        <w:t>AUTHORITY NOTE:</w:t>
      </w:r>
      <w:r w:rsidRPr="001531CD">
        <w:tab/>
        <w:t>Promulgated in accordance with R.S. 3:3366.</w:t>
      </w:r>
    </w:p>
    <w:p w14:paraId="404EF7C2" w14:textId="77777777" w:rsidR="00CF626A" w:rsidRPr="001531CD" w:rsidRDefault="00CF626A">
      <w:pPr>
        <w:pStyle w:val="HistoricalNote"/>
      </w:pPr>
      <w:r w:rsidRPr="001531CD">
        <w:t>HISTORICAL NOTE:</w:t>
      </w:r>
      <w:r w:rsidRPr="001531CD">
        <w:tab/>
        <w:t>Promulgated by the Department of Agriculture, Structural Pest Control Commission, LR 12:285 (May 1986)</w:t>
      </w:r>
      <w:r w:rsidR="005D4F79" w:rsidRPr="001531CD">
        <w:t>, amended by the Department of Agriculture and Forestry, Structural Pest Control Commission, LR 37:294 (January 2011)</w:t>
      </w:r>
      <w:r w:rsidR="00303B75" w:rsidRPr="001531CD">
        <w:t xml:space="preserve">, </w:t>
      </w:r>
      <w:r w:rsidR="00303B75" w:rsidRPr="001531CD">
        <w:t>amended by the Department of Agriculture and Forestry, Office of Agricultural and Environmental Sciences, Structural Pest Control Commission, LR 39:302 (February 2013).</w:t>
      </w:r>
    </w:p>
    <w:p w14:paraId="308391E3" w14:textId="77777777" w:rsidR="00ED0BAA" w:rsidRPr="001531CD" w:rsidRDefault="00CF626A" w:rsidP="00ED0BAA">
      <w:pPr>
        <w:pStyle w:val="Section"/>
      </w:pPr>
      <w:bookmarkStart w:id="2590" w:name="_Toc256754932"/>
      <w:bookmarkStart w:id="2591" w:name="_Toc224819304"/>
      <w:r w:rsidRPr="001531CD">
        <w:t>§153.</w:t>
      </w:r>
      <w:r w:rsidRPr="001531CD">
        <w:tab/>
      </w:r>
      <w:bookmarkEnd w:id="2590"/>
      <w:r w:rsidR="00ED0BAA" w:rsidRPr="001531CD">
        <w:t>Handling of Pesticide Containers by Structural Pest Control Operators</w:t>
      </w:r>
      <w:bookmarkEnd w:id="2591"/>
    </w:p>
    <w:p w14:paraId="42808516" w14:textId="77777777" w:rsidR="00ED0BAA" w:rsidRPr="001531CD" w:rsidRDefault="00ED0BAA" w:rsidP="00ED0BAA">
      <w:pPr>
        <w:pStyle w:val="A"/>
      </w:pPr>
      <w:r w:rsidRPr="001531CD">
        <w:t>A.</w:t>
      </w:r>
      <w:r w:rsidRPr="001531CD">
        <w:tab/>
        <w:t>Storage Areas for Full or Partially Full Pesticides Containers</w:t>
      </w:r>
    </w:p>
    <w:p w14:paraId="577E6BBE" w14:textId="77777777" w:rsidR="005D4F79" w:rsidRPr="001531CD" w:rsidRDefault="00ED0BAA" w:rsidP="00ED0BAA">
      <w:pPr>
        <w:pStyle w:val="1"/>
      </w:pPr>
      <w:r w:rsidRPr="001531CD">
        <w:t>1.</w:t>
      </w:r>
      <w:r w:rsidRPr="001531CD">
        <w:tab/>
        <w:t>Pesticide containers shall be stored in a secure enclosure.</w:t>
      </w:r>
    </w:p>
    <w:p w14:paraId="27F82E31" w14:textId="77777777" w:rsidR="005D4F79" w:rsidRPr="001531CD" w:rsidRDefault="005D4F79" w:rsidP="005D4F79">
      <w:pPr>
        <w:pStyle w:val="1"/>
      </w:pPr>
      <w:r w:rsidRPr="001531CD">
        <w:t>2.</w:t>
      </w:r>
      <w:r w:rsidRPr="001531CD">
        <w:tab/>
        <w:t>Pesticide containers shall be free of leaks.</w:t>
      </w:r>
    </w:p>
    <w:p w14:paraId="7710E34A" w14:textId="77777777" w:rsidR="005D4F79" w:rsidRPr="001531CD" w:rsidRDefault="005D4F79" w:rsidP="005D4F79">
      <w:pPr>
        <w:pStyle w:val="1"/>
      </w:pPr>
      <w:r w:rsidRPr="001531CD">
        <w:t>3.</w:t>
      </w:r>
      <w:r w:rsidRPr="001531CD">
        <w:tab/>
        <w:t>The storage area shall be maintained in good condition, without unnecessary debris.</w:t>
      </w:r>
    </w:p>
    <w:p w14:paraId="5DEC97C0" w14:textId="77777777" w:rsidR="00CF626A" w:rsidRPr="001531CD" w:rsidRDefault="00ED0BAA" w:rsidP="00ED0BAA">
      <w:pPr>
        <w:pStyle w:val="A"/>
      </w:pPr>
      <w:r w:rsidRPr="001531CD">
        <w:t>B.</w:t>
      </w:r>
      <w:r w:rsidRPr="001531CD">
        <w:tab/>
        <w:t>Transportation of full or partially full pesticide containers shall be secure and not accessible by the general public.</w:t>
      </w:r>
    </w:p>
    <w:p w14:paraId="588682FB" w14:textId="77777777" w:rsidR="00ED0BAA" w:rsidRPr="001531CD" w:rsidRDefault="00ED0BAA" w:rsidP="005D4F79">
      <w:pPr>
        <w:pStyle w:val="AuthorityNote"/>
      </w:pPr>
      <w:r w:rsidRPr="001531CD">
        <w:t>AUTHORITY NOTE:</w:t>
      </w:r>
      <w:r w:rsidRPr="001531CD">
        <w:tab/>
        <w:t>Promulgated in accordance with R.S. 3:3366.</w:t>
      </w:r>
    </w:p>
    <w:p w14:paraId="3B5BB60B" w14:textId="77777777" w:rsidR="00CF626A" w:rsidRPr="001531CD" w:rsidRDefault="00CF626A">
      <w:pPr>
        <w:pStyle w:val="HistoricalNote"/>
      </w:pPr>
      <w:r w:rsidRPr="001531CD">
        <w:t>HISTORICAL NOTE:</w:t>
      </w:r>
      <w:r w:rsidRPr="001531CD">
        <w:tab/>
        <w:t>Promulgated by the Department of Agriculture, Structural Pest Control Commission, LR 12:285 (May 1986)</w:t>
      </w:r>
      <w:r w:rsidR="005D4F79" w:rsidRPr="001531CD">
        <w:t>, amended by the Department of Agriculture and Forestry, Structural Pest Control Commission, LR 37:294 (January 2011)</w:t>
      </w:r>
      <w:r w:rsidR="00ED0BAA" w:rsidRPr="001531CD">
        <w:t>, amended by the Department of Agriculture and Forestry, Office of Agricultural and Environmental Sciences, Structural Pest Control Commission, LR 39:302 (February 2013).</w:t>
      </w:r>
    </w:p>
    <w:p w14:paraId="48639C30" w14:textId="77777777" w:rsidR="00F25820" w:rsidRPr="001531CD" w:rsidRDefault="00CF626A" w:rsidP="00F25820">
      <w:pPr>
        <w:pStyle w:val="Section"/>
      </w:pPr>
      <w:bookmarkStart w:id="2592" w:name="_Toc256754933"/>
      <w:bookmarkStart w:id="2593" w:name="_Toc224819305"/>
      <w:r w:rsidRPr="001531CD">
        <w:t>§155.</w:t>
      </w:r>
      <w:r w:rsidRPr="001531CD">
        <w:tab/>
      </w:r>
      <w:bookmarkEnd w:id="2592"/>
      <w:r w:rsidR="00F25820" w:rsidRPr="001531CD">
        <w:t>Rinsate from Pesticide Containers</w:t>
      </w:r>
      <w:bookmarkEnd w:id="2593"/>
    </w:p>
    <w:p w14:paraId="306BAF43" w14:textId="77777777" w:rsidR="00F25820" w:rsidRPr="001531CD" w:rsidRDefault="00F25820" w:rsidP="00F25820">
      <w:pPr>
        <w:pStyle w:val="A"/>
      </w:pPr>
      <w:r w:rsidRPr="001531CD">
        <w:t>A.</w:t>
      </w:r>
      <w:r w:rsidRPr="001531CD">
        <w:tab/>
        <w:t>Pesticide containers shall be cleaned and disposed of according to the product label.</w:t>
      </w:r>
    </w:p>
    <w:p w14:paraId="2E2F5E4E" w14:textId="77777777" w:rsidR="00F25820" w:rsidRPr="001531CD" w:rsidRDefault="00F25820" w:rsidP="00F25820">
      <w:pPr>
        <w:pStyle w:val="A"/>
      </w:pPr>
      <w:r w:rsidRPr="001531CD">
        <w:t>B.</w:t>
      </w:r>
      <w:r w:rsidRPr="001531CD">
        <w:tab/>
        <w:t>Pesticide containers, ready for disposal, shall be stored in a secured area and shall be kept for no more than 90 days or 180 days if held for recycling.</w:t>
      </w:r>
    </w:p>
    <w:p w14:paraId="6A419C51" w14:textId="77777777" w:rsidR="00F25820" w:rsidRPr="001531CD" w:rsidRDefault="00F25820" w:rsidP="00F25820">
      <w:pPr>
        <w:pStyle w:val="A"/>
      </w:pPr>
      <w:r w:rsidRPr="001531CD">
        <w:t>C.</w:t>
      </w:r>
      <w:r w:rsidRPr="001531CD">
        <w:tab/>
        <w:t>Rinsate from pesticide container cleaning shall be used in the following manner:</w:t>
      </w:r>
    </w:p>
    <w:p w14:paraId="7216C24A" w14:textId="77777777" w:rsidR="00F25820" w:rsidRPr="001531CD" w:rsidRDefault="00F25820" w:rsidP="00F25820">
      <w:pPr>
        <w:pStyle w:val="1"/>
      </w:pPr>
      <w:r w:rsidRPr="001531CD">
        <w:t>1.</w:t>
      </w:r>
      <w:r w:rsidRPr="001531CD">
        <w:tab/>
        <w:t xml:space="preserve">in subsequent applications of the pesticide; or </w:t>
      </w:r>
    </w:p>
    <w:p w14:paraId="6E287C2D" w14:textId="77777777" w:rsidR="00F25820" w:rsidRPr="001531CD" w:rsidRDefault="00F25820" w:rsidP="00F25820">
      <w:pPr>
        <w:pStyle w:val="1"/>
      </w:pPr>
      <w:r w:rsidRPr="001531CD">
        <w:t>2.</w:t>
      </w:r>
      <w:r w:rsidRPr="001531CD">
        <w:tab/>
        <w:t>placed in a rinsate collection system dedicated to that pesticide and used according to the label and labeling and shall be removed from the system in less than 30 days after deposit therein; or</w:t>
      </w:r>
    </w:p>
    <w:p w14:paraId="2230CEC0" w14:textId="77777777" w:rsidR="00F25820" w:rsidRPr="001531CD" w:rsidRDefault="00F25820" w:rsidP="00F25820">
      <w:pPr>
        <w:pStyle w:val="1"/>
      </w:pPr>
      <w:r w:rsidRPr="001531CD">
        <w:t>3.</w:t>
      </w:r>
      <w:r w:rsidRPr="001531CD">
        <w:tab/>
        <w:t>disposed in a permitted waste facility.</w:t>
      </w:r>
    </w:p>
    <w:p w14:paraId="45784DBA" w14:textId="77777777" w:rsidR="00F25820" w:rsidRPr="001531CD" w:rsidRDefault="00F25820" w:rsidP="00F25820">
      <w:pPr>
        <w:pStyle w:val="AuthorityNote"/>
      </w:pPr>
      <w:r w:rsidRPr="001531CD">
        <w:t>AUTHORITY NOTE:</w:t>
      </w:r>
      <w:r w:rsidRPr="001531CD">
        <w:tab/>
        <w:t>Promulgated in accordance with R.S. 3:3366.</w:t>
      </w:r>
    </w:p>
    <w:p w14:paraId="334AB854" w14:textId="77777777" w:rsidR="00CF626A" w:rsidRPr="001531CD" w:rsidRDefault="00F25820" w:rsidP="00F25820">
      <w:pPr>
        <w:pStyle w:val="HistoricalNote"/>
      </w:pPr>
      <w:r w:rsidRPr="001531CD">
        <w:t>HISTORICAL NOTE:</w:t>
      </w:r>
      <w:r w:rsidRPr="001531CD">
        <w:tab/>
        <w:t>Promulgated by the Department of Agriculture and Forestry, Office of Agricultural and Environmental Sciences, Structural Pest Control Commission, LR 39:302 (February 2013).</w:t>
      </w:r>
    </w:p>
    <w:p w14:paraId="548E4D99" w14:textId="77777777" w:rsidR="00F25820" w:rsidRPr="001531CD" w:rsidRDefault="00CF626A" w:rsidP="00F25820">
      <w:pPr>
        <w:pStyle w:val="Section"/>
      </w:pPr>
      <w:bookmarkStart w:id="2594" w:name="_Toc256754934"/>
      <w:bookmarkStart w:id="2595" w:name="_Toc224819306"/>
      <w:r w:rsidRPr="001531CD">
        <w:t>§157.</w:t>
      </w:r>
      <w:r w:rsidRPr="001531CD">
        <w:tab/>
        <w:t xml:space="preserve">Containment </w:t>
      </w:r>
      <w:bookmarkEnd w:id="2594"/>
      <w:r w:rsidR="00F25820" w:rsidRPr="001531CD">
        <w:t>Structures</w:t>
      </w:r>
      <w:bookmarkEnd w:id="2595"/>
    </w:p>
    <w:p w14:paraId="7243D3AD" w14:textId="77777777" w:rsidR="00F25820" w:rsidRPr="001531CD" w:rsidRDefault="00F25820" w:rsidP="00F25820">
      <w:pPr>
        <w:pStyle w:val="A"/>
      </w:pPr>
      <w:r w:rsidRPr="001531CD">
        <w:t>A.</w:t>
      </w:r>
      <w:r w:rsidRPr="001531CD">
        <w:tab/>
        <w:t>Containment structures shall meet all of the following requirements:</w:t>
      </w:r>
    </w:p>
    <w:p w14:paraId="2F1C7FAC" w14:textId="77777777" w:rsidR="00F25820" w:rsidRPr="001531CD" w:rsidRDefault="00F25820" w:rsidP="00F25820">
      <w:pPr>
        <w:pStyle w:val="1"/>
      </w:pPr>
      <w:r w:rsidRPr="001531CD">
        <w:t>1.</w:t>
      </w:r>
      <w:r w:rsidRPr="001531CD">
        <w:tab/>
        <w:t xml:space="preserve">shall be constructed of steel, reinforced concrete or other rigid material capable of withstanding the full hydrostatic head and load of any substances, equipment and appurtenances placed on the structure; </w:t>
      </w:r>
    </w:p>
    <w:p w14:paraId="735AABA5" w14:textId="77777777" w:rsidR="00F25820" w:rsidRPr="001531CD" w:rsidRDefault="00F25820" w:rsidP="00F25820">
      <w:pPr>
        <w:pStyle w:val="1"/>
      </w:pPr>
      <w:r w:rsidRPr="001531CD">
        <w:lastRenderedPageBreak/>
        <w:t>2.</w:t>
      </w:r>
      <w:r w:rsidRPr="001531CD">
        <w:tab/>
        <w:t>shall be compatible with the pesticides stored within the structure;</w:t>
      </w:r>
    </w:p>
    <w:p w14:paraId="7877C1B0" w14:textId="77777777" w:rsidR="00F25820" w:rsidRPr="001531CD" w:rsidRDefault="00F25820" w:rsidP="00F25820">
      <w:pPr>
        <w:pStyle w:val="1"/>
      </w:pPr>
      <w:r w:rsidRPr="001531CD">
        <w:t>3.</w:t>
      </w:r>
      <w:r w:rsidRPr="001531CD">
        <w:tab/>
        <w:t>shall be liquid-tight with cracks, seams and joints sealed;</w:t>
      </w:r>
    </w:p>
    <w:p w14:paraId="254E7ABE" w14:textId="77777777" w:rsidR="00F25820" w:rsidRPr="001531CD" w:rsidRDefault="00F25820" w:rsidP="00F25820">
      <w:pPr>
        <w:pStyle w:val="1"/>
      </w:pPr>
      <w:r w:rsidRPr="001531CD">
        <w:t>4.</w:t>
      </w:r>
      <w:r w:rsidRPr="001531CD">
        <w:tab/>
        <w:t>shall not be constructed of natural earthen material, unfired clay and asphalt;</w:t>
      </w:r>
    </w:p>
    <w:p w14:paraId="4EC7A3F6" w14:textId="77777777" w:rsidR="00F25820" w:rsidRPr="001531CD" w:rsidRDefault="00F25820" w:rsidP="00F25820">
      <w:pPr>
        <w:pStyle w:val="1"/>
      </w:pPr>
      <w:r w:rsidRPr="001531CD">
        <w:t>5.</w:t>
      </w:r>
      <w:r w:rsidRPr="001531CD">
        <w:tab/>
        <w:t>shall protect appurtenances and containers against damage from personnel and moving equipment;</w:t>
      </w:r>
    </w:p>
    <w:p w14:paraId="5BEA0582" w14:textId="77777777" w:rsidR="00F25820" w:rsidRPr="001531CD" w:rsidRDefault="00F25820" w:rsidP="00F25820">
      <w:pPr>
        <w:pStyle w:val="1"/>
      </w:pPr>
      <w:r w:rsidRPr="001531CD">
        <w:t>6.</w:t>
      </w:r>
      <w:r w:rsidRPr="001531CD">
        <w:tab/>
        <w:t>shall seal appurtenances, discharge outlets or drains through the base or wall of existing containment structures, except direct connections between containment structures;</w:t>
      </w:r>
    </w:p>
    <w:p w14:paraId="3BE230B5" w14:textId="77777777" w:rsidR="00F25820" w:rsidRPr="001531CD" w:rsidRDefault="00F25820" w:rsidP="00F25820">
      <w:pPr>
        <w:pStyle w:val="1"/>
      </w:pPr>
      <w:r w:rsidRPr="001531CD">
        <w:t>7.</w:t>
      </w:r>
      <w:r w:rsidRPr="001531CD">
        <w:tab/>
        <w:t>shall not configure appurtenances, discharge outlets or drains through the base or wall of new containment structures, except direct connections between containment structures;</w:t>
      </w:r>
    </w:p>
    <w:p w14:paraId="6F73597B" w14:textId="77777777" w:rsidR="00F25820" w:rsidRPr="001531CD" w:rsidRDefault="00F25820" w:rsidP="00F25820">
      <w:pPr>
        <w:pStyle w:val="1"/>
      </w:pPr>
      <w:r w:rsidRPr="001531CD">
        <w:t>8.</w:t>
      </w:r>
      <w:r w:rsidRPr="001531CD">
        <w:tab/>
        <w:t>shall control stormwater in all containment structures by constructing with sufficient freeboard to contain precipitation and prevent water and other liquids from seeping into or flowing onto them from adjacent land or structures.</w:t>
      </w:r>
    </w:p>
    <w:p w14:paraId="373CB9B2" w14:textId="77777777" w:rsidR="00F25820" w:rsidRPr="001531CD" w:rsidRDefault="00F25820" w:rsidP="00F25820">
      <w:pPr>
        <w:pStyle w:val="A"/>
      </w:pPr>
      <w:r w:rsidRPr="001531CD">
        <w:t>B.</w:t>
      </w:r>
      <w:r w:rsidRPr="001531CD">
        <w:tab/>
        <w:t>Containment structures for new and existing secondary containment shall meet the following requirements.</w:t>
      </w:r>
    </w:p>
    <w:p w14:paraId="2FACBECD" w14:textId="77777777" w:rsidR="00F25820" w:rsidRPr="001531CD" w:rsidRDefault="00F25820" w:rsidP="00F25820">
      <w:pPr>
        <w:pStyle w:val="1"/>
      </w:pPr>
      <w:r w:rsidRPr="001531CD">
        <w:t>1.</w:t>
      </w:r>
      <w:r w:rsidRPr="001531CD">
        <w:tab/>
        <w:t>Liquid pesticide stationary containers shall be anchored or elevated to prevent flotation.</w:t>
      </w:r>
    </w:p>
    <w:p w14:paraId="11208FD9" w14:textId="77777777" w:rsidR="00F25820" w:rsidRPr="001531CD" w:rsidRDefault="00F25820" w:rsidP="00F25820">
      <w:pPr>
        <w:pStyle w:val="1"/>
      </w:pPr>
      <w:r w:rsidRPr="001531CD">
        <w:t>2.</w:t>
      </w:r>
      <w:r w:rsidRPr="001531CD">
        <w:tab/>
        <w:t>Dry pesticide stationary containers shall:</w:t>
      </w:r>
    </w:p>
    <w:p w14:paraId="293B355A" w14:textId="77777777" w:rsidR="00F25820" w:rsidRPr="001531CD" w:rsidRDefault="00F25820" w:rsidP="00F25820">
      <w:pPr>
        <w:pStyle w:val="a0"/>
      </w:pPr>
      <w:r w:rsidRPr="001531CD">
        <w:t>a.</w:t>
      </w:r>
      <w:r w:rsidRPr="001531CD">
        <w:tab/>
        <w:t>be protected from wind and precipitation; and</w:t>
      </w:r>
    </w:p>
    <w:p w14:paraId="5F7A760A" w14:textId="77777777" w:rsidR="00F25820" w:rsidRPr="001531CD" w:rsidRDefault="00F25820" w:rsidP="00F25820">
      <w:pPr>
        <w:pStyle w:val="a0"/>
      </w:pPr>
      <w:r w:rsidRPr="001531CD">
        <w:t>b.</w:t>
      </w:r>
      <w:r w:rsidRPr="001531CD">
        <w:tab/>
        <w:t>be on pallets or raised concrete; and</w:t>
      </w:r>
    </w:p>
    <w:p w14:paraId="780F4E3F" w14:textId="77777777" w:rsidR="00F25820" w:rsidRPr="001531CD" w:rsidRDefault="00F25820" w:rsidP="00F25820">
      <w:pPr>
        <w:pStyle w:val="a0"/>
      </w:pPr>
      <w:r w:rsidRPr="001531CD">
        <w:t>c.</w:t>
      </w:r>
      <w:r w:rsidRPr="001531CD">
        <w:tab/>
        <w:t>have a floor that extends completely beneath the pallets or raised concrete platforms; and</w:t>
      </w:r>
    </w:p>
    <w:p w14:paraId="7E39C74F" w14:textId="77777777" w:rsidR="00F25820" w:rsidRPr="001531CD" w:rsidRDefault="00F25820" w:rsidP="00F25820">
      <w:pPr>
        <w:pStyle w:val="a0"/>
      </w:pPr>
      <w:r w:rsidRPr="001531CD">
        <w:t>d.</w:t>
      </w:r>
      <w:r w:rsidRPr="001531CD">
        <w:tab/>
        <w:t>be enclosed by a curb a minimum of 6 inches high that extends at least 2 feet beyond the perimeter of the container.</w:t>
      </w:r>
    </w:p>
    <w:p w14:paraId="09A02ECB" w14:textId="77777777" w:rsidR="00CF626A" w:rsidRPr="001531CD" w:rsidRDefault="00F25820" w:rsidP="00F25820">
      <w:pPr>
        <w:pStyle w:val="AuthorityNote"/>
      </w:pPr>
      <w:r w:rsidRPr="001531CD">
        <w:t>AUTHORITY NOTE:</w:t>
      </w:r>
      <w:r w:rsidRPr="001531CD">
        <w:tab/>
        <w:t>Promulgated in accordance with R.S. 3:3366.</w:t>
      </w:r>
    </w:p>
    <w:p w14:paraId="612FD66B" w14:textId="77777777" w:rsidR="00F25820" w:rsidRPr="001531CD" w:rsidRDefault="00CF626A" w:rsidP="00F25820">
      <w:pPr>
        <w:pStyle w:val="HistoricalNote"/>
      </w:pPr>
      <w:r w:rsidRPr="001531CD">
        <w:t>HISTORICAL NOTE:</w:t>
      </w:r>
      <w:r w:rsidRPr="001531CD">
        <w:tab/>
        <w:t>Promulgated by the Department of Agriculture, Structural Pest Control Commission, LR 12:285 (May 1986)</w:t>
      </w:r>
      <w:r w:rsidR="00F0112F" w:rsidRPr="001531CD">
        <w:t>, amended by the Department of Agriculture and Forestry, Structural Pest Control Commission, LR 37:294 (January 2011)</w:t>
      </w:r>
      <w:r w:rsidR="00F25820" w:rsidRPr="001531CD">
        <w:t>, amended by the Department of Agriculture and Forestry, Office of Agricultur</w:t>
      </w:r>
      <w:r w:rsidR="008F4862" w:rsidRPr="001531CD">
        <w:t>al</w:t>
      </w:r>
      <w:r w:rsidR="00F25820" w:rsidRPr="001531CD">
        <w:t xml:space="preserve"> and Environmental Sciences, Structural Pest Control Commission, LR 39:303 (February 2013).</w:t>
      </w:r>
    </w:p>
    <w:p w14:paraId="0341BB50" w14:textId="77777777" w:rsidR="006C2E50" w:rsidRPr="001531CD" w:rsidRDefault="00CF626A" w:rsidP="006C2E50">
      <w:pPr>
        <w:pStyle w:val="Section"/>
      </w:pPr>
      <w:bookmarkStart w:id="2596" w:name="_Toc256754935"/>
      <w:bookmarkStart w:id="2597" w:name="_Toc224819307"/>
      <w:r w:rsidRPr="001531CD">
        <w:t>§159.</w:t>
      </w:r>
      <w:r w:rsidRPr="001531CD">
        <w:tab/>
      </w:r>
      <w:bookmarkEnd w:id="2596"/>
      <w:r w:rsidR="006C2E50" w:rsidRPr="001531CD">
        <w:t>Containment Pads</w:t>
      </w:r>
      <w:bookmarkEnd w:id="2597"/>
    </w:p>
    <w:p w14:paraId="0BBBA9E2" w14:textId="77777777" w:rsidR="006C2E50" w:rsidRPr="001531CD" w:rsidRDefault="006C2E50" w:rsidP="006C2E50">
      <w:pPr>
        <w:pStyle w:val="A"/>
      </w:pPr>
      <w:r w:rsidRPr="001531CD">
        <w:t>A.</w:t>
      </w:r>
      <w:r w:rsidRPr="001531CD">
        <w:tab/>
        <w:t>Existing containment pads shall:</w:t>
      </w:r>
    </w:p>
    <w:p w14:paraId="3970F0F6" w14:textId="77777777" w:rsidR="006C2E50" w:rsidRPr="001531CD" w:rsidRDefault="006C2E50" w:rsidP="006C2E50">
      <w:pPr>
        <w:pStyle w:val="1"/>
      </w:pPr>
      <w:r w:rsidRPr="001531CD">
        <w:t>1.</w:t>
      </w:r>
      <w:r w:rsidRPr="001531CD">
        <w:tab/>
        <w:t>intercept leaks and spills; and</w:t>
      </w:r>
    </w:p>
    <w:p w14:paraId="3CD8DE22" w14:textId="77777777" w:rsidR="006C2E50" w:rsidRPr="001531CD" w:rsidRDefault="006C2E50" w:rsidP="006C2E50">
      <w:pPr>
        <w:pStyle w:val="1"/>
      </w:pPr>
      <w:r w:rsidRPr="001531CD">
        <w:t>2.</w:t>
      </w:r>
      <w:r w:rsidRPr="001531CD">
        <w:tab/>
        <w:t>have enough surface area to extend under containers on it; and</w:t>
      </w:r>
    </w:p>
    <w:p w14:paraId="66CE818F" w14:textId="77777777" w:rsidR="006C2E50" w:rsidRPr="001531CD" w:rsidRDefault="006C2E50" w:rsidP="006C2E50">
      <w:pPr>
        <w:pStyle w:val="1"/>
      </w:pPr>
      <w:r w:rsidRPr="001531CD">
        <w:t>3.</w:t>
      </w:r>
      <w:r w:rsidRPr="001531CD">
        <w:tab/>
        <w:t>accommodate at least the portion of the vehicle where the hose or device couples to it, for transport vehicles delivering pesticide; and</w:t>
      </w:r>
    </w:p>
    <w:p w14:paraId="1B4D4888" w14:textId="77777777" w:rsidR="006C2E50" w:rsidRPr="001531CD" w:rsidRDefault="006C2E50" w:rsidP="006C2E50">
      <w:pPr>
        <w:pStyle w:val="1"/>
      </w:pPr>
      <w:r w:rsidRPr="001531CD">
        <w:t>4.</w:t>
      </w:r>
      <w:r w:rsidRPr="001531CD">
        <w:tab/>
        <w:t>allow for removal/recovery of spilled, leaked or discharged material and rainfall; and</w:t>
      </w:r>
    </w:p>
    <w:p w14:paraId="7EE44D5D" w14:textId="77777777" w:rsidR="006C2E50" w:rsidRPr="001531CD" w:rsidRDefault="006C2E50" w:rsidP="006C2E50">
      <w:pPr>
        <w:pStyle w:val="1"/>
      </w:pPr>
      <w:r w:rsidRPr="001531CD">
        <w:t>5.</w:t>
      </w:r>
      <w:r w:rsidRPr="001531CD">
        <w:tab/>
        <w:t>have no automatic pumps without overflow cutoffs.</w:t>
      </w:r>
    </w:p>
    <w:p w14:paraId="1778DF53" w14:textId="77777777" w:rsidR="006C2E50" w:rsidRPr="001531CD" w:rsidRDefault="006C2E50" w:rsidP="006C2E50">
      <w:pPr>
        <w:pStyle w:val="A"/>
      </w:pPr>
      <w:r w:rsidRPr="001531CD">
        <w:t>B.</w:t>
      </w:r>
      <w:r w:rsidRPr="001531CD">
        <w:tab/>
        <w:t>New containment pads to be designed and constructed shall:</w:t>
      </w:r>
    </w:p>
    <w:p w14:paraId="131C346B" w14:textId="77777777" w:rsidR="006C2E50" w:rsidRPr="001531CD" w:rsidRDefault="006C2E50" w:rsidP="006C2E50">
      <w:pPr>
        <w:pStyle w:val="1"/>
      </w:pPr>
      <w:r w:rsidRPr="001531CD">
        <w:t>1.</w:t>
      </w:r>
      <w:r w:rsidRPr="001531CD">
        <w:tab/>
        <w:t>intercept leaks and spills; and</w:t>
      </w:r>
    </w:p>
    <w:p w14:paraId="3C13A85D" w14:textId="77777777" w:rsidR="006C2E50" w:rsidRPr="001531CD" w:rsidRDefault="006C2E50" w:rsidP="006C2E50">
      <w:pPr>
        <w:pStyle w:val="1"/>
      </w:pPr>
      <w:r w:rsidRPr="001531CD">
        <w:t>2.</w:t>
      </w:r>
      <w:r w:rsidRPr="001531CD">
        <w:tab/>
        <w:t>have enough surface area to extend under containers on it; and</w:t>
      </w:r>
    </w:p>
    <w:p w14:paraId="592EDA2A" w14:textId="77777777" w:rsidR="006C2E50" w:rsidRPr="001531CD" w:rsidRDefault="006C2E50" w:rsidP="006C2E50">
      <w:pPr>
        <w:pStyle w:val="1"/>
      </w:pPr>
      <w:r w:rsidRPr="001531CD">
        <w:t>3.</w:t>
      </w:r>
      <w:r w:rsidRPr="001531CD">
        <w:tab/>
        <w:t>accommodate at least the portion of the vehicle where the hose or device couples to it, for transport vehicles delivering pesticide; and</w:t>
      </w:r>
    </w:p>
    <w:p w14:paraId="75746A0D" w14:textId="77777777" w:rsidR="006C2E50" w:rsidRPr="001531CD" w:rsidRDefault="006C2E50" w:rsidP="006C2E50">
      <w:pPr>
        <w:pStyle w:val="1"/>
      </w:pPr>
      <w:r w:rsidRPr="001531CD">
        <w:t>4.</w:t>
      </w:r>
      <w:r w:rsidRPr="001531CD">
        <w:tab/>
        <w:t xml:space="preserve">allow for removal/recovery of spilled, leaked or discharged material and rainfall; and </w:t>
      </w:r>
    </w:p>
    <w:p w14:paraId="0E156B0A" w14:textId="77777777" w:rsidR="006C2E50" w:rsidRPr="001531CD" w:rsidRDefault="006C2E50" w:rsidP="006C2E50">
      <w:pPr>
        <w:pStyle w:val="1"/>
      </w:pPr>
      <w:r w:rsidRPr="001531CD">
        <w:t>5.</w:t>
      </w:r>
      <w:r w:rsidRPr="001531CD">
        <w:tab/>
        <w:t>have no automatic pumps without overflow cutoffs; and</w:t>
      </w:r>
    </w:p>
    <w:p w14:paraId="66B80AEA" w14:textId="77777777" w:rsidR="006C2E50" w:rsidRPr="001531CD" w:rsidRDefault="006C2E50" w:rsidP="006C2E50">
      <w:pPr>
        <w:pStyle w:val="1"/>
      </w:pPr>
      <w:r w:rsidRPr="001531CD">
        <w:t>6.</w:t>
      </w:r>
      <w:r w:rsidRPr="001531CD">
        <w:tab/>
        <w:t>have their surface sloped toward an area where liquids can be collected for removal.</w:t>
      </w:r>
    </w:p>
    <w:p w14:paraId="3D879A42" w14:textId="77777777" w:rsidR="006C2E50" w:rsidRPr="001531CD" w:rsidRDefault="006C2E50" w:rsidP="006C2E50">
      <w:pPr>
        <w:pStyle w:val="AuthorityNote"/>
      </w:pPr>
      <w:r w:rsidRPr="001531CD">
        <w:t>AUTHORITY NOTE:</w:t>
      </w:r>
      <w:r w:rsidRPr="001531CD">
        <w:tab/>
        <w:t>Promulgated in accordance with R.S. 3:3366.</w:t>
      </w:r>
    </w:p>
    <w:p w14:paraId="1635BB5B" w14:textId="77777777" w:rsidR="00CF626A" w:rsidRPr="001531CD" w:rsidRDefault="006C2E50" w:rsidP="006C2E50">
      <w:pPr>
        <w:pStyle w:val="HistoricalNote"/>
      </w:pPr>
      <w:r w:rsidRPr="001531CD">
        <w:t>HISTORICAL NOTE:</w:t>
      </w:r>
      <w:r w:rsidRPr="001531CD">
        <w:tab/>
        <w:t>Promulgated by the Department of Agriculture and Forestry, Office of Agricultural and Environmental Sciences, Structural Pest Control Commission, LR 39:303 (February 2013).</w:t>
      </w:r>
    </w:p>
    <w:p w14:paraId="266162AF" w14:textId="77777777" w:rsidR="00CF626A" w:rsidRPr="001531CD" w:rsidRDefault="00CF626A">
      <w:pPr>
        <w:pStyle w:val="Section"/>
      </w:pPr>
      <w:bookmarkStart w:id="2598" w:name="_Toc256754937"/>
      <w:bookmarkStart w:id="2599" w:name="_Toc224819308"/>
      <w:r w:rsidRPr="001531CD">
        <w:t>§163.</w:t>
      </w:r>
      <w:r w:rsidRPr="001531CD">
        <w:tab/>
        <w:t>Donation of Structural Pest Control Work</w:t>
      </w:r>
      <w:bookmarkEnd w:id="2598"/>
      <w:bookmarkEnd w:id="2599"/>
    </w:p>
    <w:p w14:paraId="01139823" w14:textId="77777777" w:rsidR="00F0112F" w:rsidRPr="001531CD" w:rsidRDefault="00F0112F" w:rsidP="00F0112F">
      <w:pPr>
        <w:pStyle w:val="A"/>
      </w:pPr>
      <w:r w:rsidRPr="001531CD">
        <w:t>A.</w:t>
      </w:r>
      <w:r w:rsidRPr="001531CD">
        <w:tab/>
        <w:t>Structural pest control operators licensed by the commission may donate, in accordance with this Section, structural pest control work to eligible individuals or organizations who otherwise could not afford such services in order to improve living conditions and their quality of life.</w:t>
      </w:r>
    </w:p>
    <w:p w14:paraId="67C031E8" w14:textId="77777777" w:rsidR="00F0112F" w:rsidRPr="001531CD" w:rsidRDefault="00F0112F" w:rsidP="00F0112F">
      <w:pPr>
        <w:pStyle w:val="A"/>
      </w:pPr>
      <w:r w:rsidRPr="001531CD">
        <w:t>B.</w:t>
      </w:r>
      <w:r w:rsidRPr="001531CD">
        <w:tab/>
        <w:t>The commission, at the request of the Louisiana Pest Control Association or any other state or local not-for-profit association of pest control operators, may approve a plan for the donation of structural pest control work to individuals or organizations that are in need of, but unable to afford such services.</w:t>
      </w:r>
    </w:p>
    <w:p w14:paraId="53477E27" w14:textId="77777777" w:rsidR="00F0112F" w:rsidRPr="001531CD" w:rsidRDefault="00F0112F" w:rsidP="00F0112F">
      <w:pPr>
        <w:pStyle w:val="A"/>
      </w:pPr>
      <w:r w:rsidRPr="001531CD">
        <w:t>C.</w:t>
      </w:r>
      <w:r w:rsidRPr="001531CD">
        <w:tab/>
        <w:t>Any plan submitted to the commission shall state:</w:t>
      </w:r>
    </w:p>
    <w:p w14:paraId="78BF808C" w14:textId="77777777" w:rsidR="00F0112F" w:rsidRPr="001531CD" w:rsidRDefault="00F0112F" w:rsidP="00F0112F">
      <w:pPr>
        <w:pStyle w:val="1"/>
      </w:pPr>
      <w:r w:rsidRPr="001531CD">
        <w:t>1.</w:t>
      </w:r>
      <w:r w:rsidRPr="001531CD">
        <w:tab/>
        <w:t>the purpose of the plan;</w:t>
      </w:r>
    </w:p>
    <w:p w14:paraId="65B367A7" w14:textId="77777777" w:rsidR="00F0112F" w:rsidRPr="001531CD" w:rsidRDefault="00F0112F" w:rsidP="00F0112F">
      <w:pPr>
        <w:pStyle w:val="1"/>
      </w:pPr>
      <w:r w:rsidRPr="001531CD">
        <w:t>2.</w:t>
      </w:r>
      <w:r w:rsidRPr="001531CD">
        <w:tab/>
        <w:t>the organization(s) or group(s) of persons receiving such services;</w:t>
      </w:r>
    </w:p>
    <w:p w14:paraId="2E9C67FB" w14:textId="77777777" w:rsidR="00F0112F" w:rsidRPr="001531CD" w:rsidRDefault="00F0112F" w:rsidP="00F0112F">
      <w:pPr>
        <w:pStyle w:val="1"/>
      </w:pPr>
      <w:r w:rsidRPr="001531CD">
        <w:t>3.</w:t>
      </w:r>
      <w:r w:rsidRPr="001531CD">
        <w:tab/>
        <w:t>the nature of the services to be provided;</w:t>
      </w:r>
    </w:p>
    <w:p w14:paraId="414DDAC1" w14:textId="77777777" w:rsidR="00F0112F" w:rsidRPr="001531CD" w:rsidRDefault="00F0112F" w:rsidP="00F0112F">
      <w:pPr>
        <w:pStyle w:val="1"/>
      </w:pPr>
      <w:r w:rsidRPr="001531CD">
        <w:t>4.</w:t>
      </w:r>
      <w:r w:rsidRPr="001531CD">
        <w:tab/>
        <w:t>the location(s) at which the services are to be provided;</w:t>
      </w:r>
    </w:p>
    <w:p w14:paraId="62CDFE65" w14:textId="77777777" w:rsidR="00F0112F" w:rsidRPr="001531CD" w:rsidRDefault="00F0112F" w:rsidP="00F0112F">
      <w:pPr>
        <w:pStyle w:val="1"/>
      </w:pPr>
      <w:r w:rsidRPr="001531CD">
        <w:t>5.</w:t>
      </w:r>
      <w:r w:rsidRPr="001531CD">
        <w:tab/>
        <w:t>the length of time the program is to run;</w:t>
      </w:r>
    </w:p>
    <w:p w14:paraId="13A55232" w14:textId="77777777" w:rsidR="00F0112F" w:rsidRPr="001531CD" w:rsidRDefault="00F0112F" w:rsidP="00F0112F">
      <w:pPr>
        <w:pStyle w:val="1"/>
      </w:pPr>
      <w:r w:rsidRPr="001531CD">
        <w:t>6.</w:t>
      </w:r>
      <w:r w:rsidRPr="001531CD">
        <w:tab/>
        <w:t>the licensed pest control operators who are expected to participate;</w:t>
      </w:r>
    </w:p>
    <w:p w14:paraId="484EF20C" w14:textId="77777777" w:rsidR="00F0112F" w:rsidRPr="001531CD" w:rsidRDefault="00F0112F" w:rsidP="00F0112F">
      <w:pPr>
        <w:pStyle w:val="1"/>
      </w:pPr>
      <w:r w:rsidRPr="001531CD">
        <w:t>7.</w:t>
      </w:r>
      <w:r w:rsidRPr="001531CD">
        <w:tab/>
        <w:t>any other information the commission may deem necessary to properly evaluate the plan.</w:t>
      </w:r>
    </w:p>
    <w:p w14:paraId="17A8A4CE" w14:textId="77777777" w:rsidR="00F0112F" w:rsidRPr="001531CD" w:rsidRDefault="00F0112F" w:rsidP="00F0112F">
      <w:pPr>
        <w:pStyle w:val="A"/>
      </w:pPr>
      <w:r w:rsidRPr="001531CD">
        <w:t>D.</w:t>
      </w:r>
      <w:r w:rsidRPr="001531CD">
        <w:tab/>
        <w:t>Upon approval of any such plan by the commission, the department shall suspend:</w:t>
      </w:r>
    </w:p>
    <w:p w14:paraId="3BC742A3" w14:textId="77777777" w:rsidR="00F0112F" w:rsidRPr="001531CD" w:rsidRDefault="00F0112F" w:rsidP="00F0112F">
      <w:pPr>
        <w:pStyle w:val="1"/>
      </w:pPr>
      <w:r w:rsidRPr="001531CD">
        <w:t>1.</w:t>
      </w:r>
      <w:r w:rsidRPr="001531CD">
        <w:tab/>
        <w:t>the fee for termite contracts required under §117.M of this Part; and</w:t>
      </w:r>
    </w:p>
    <w:p w14:paraId="66542BD9" w14:textId="77777777" w:rsidR="00F0112F" w:rsidRPr="001531CD" w:rsidRDefault="00F0112F" w:rsidP="00F0112F">
      <w:pPr>
        <w:pStyle w:val="1"/>
      </w:pPr>
      <w:r w:rsidRPr="001531CD">
        <w:lastRenderedPageBreak/>
        <w:t>2.</w:t>
      </w:r>
      <w:r w:rsidRPr="001531CD">
        <w:tab/>
        <w:t>the requirements of §119 of this Part pertaining to contracts.</w:t>
      </w:r>
    </w:p>
    <w:p w14:paraId="46230C5B" w14:textId="77777777" w:rsidR="00F0112F" w:rsidRPr="001531CD" w:rsidRDefault="00F0112F" w:rsidP="00F0112F">
      <w:pPr>
        <w:pStyle w:val="A"/>
      </w:pPr>
      <w:r w:rsidRPr="001531CD">
        <w:t>E.</w:t>
      </w:r>
      <w:r w:rsidRPr="001531CD">
        <w:tab/>
        <w:t>The rules and regulations suspended by Subsection D above are waived only for the duration of the program and only in connection with structural pest control work performed by participating licensed pest control operators on buildings and structures at the specific locations listed in the approved plan.</w:t>
      </w:r>
    </w:p>
    <w:p w14:paraId="499DE7CF" w14:textId="77777777" w:rsidR="00F0112F" w:rsidRPr="001531CD" w:rsidRDefault="00F0112F" w:rsidP="00F0112F">
      <w:pPr>
        <w:pStyle w:val="A"/>
      </w:pPr>
      <w:r w:rsidRPr="001531CD">
        <w:t>F.</w:t>
      </w:r>
      <w:r w:rsidRPr="001531CD">
        <w:tab/>
        <w:t>The month of June is the Louisiana Pest Control Month. All programs for the donation of pest control work shall begin in June and end at the time specified in the plan that is submitted and approved by the Structural Pest Control Commission. The commissioner may, for exceptional circumstances, approve a plan to begin in a month other than June.</w:t>
      </w:r>
    </w:p>
    <w:p w14:paraId="49D2C77E" w14:textId="77777777" w:rsidR="00F0112F" w:rsidRPr="001531CD" w:rsidRDefault="00F0112F" w:rsidP="00F0112F">
      <w:pPr>
        <w:pStyle w:val="A"/>
      </w:pPr>
      <w:r w:rsidRPr="001531CD">
        <w:t>G.</w:t>
      </w:r>
      <w:r w:rsidRPr="001531CD">
        <w:tab/>
        <w:t xml:space="preserve">A copy of the approved plan, showing the list of specific eligible locations and the beginning and ending dates of the program shall be published in the potpourri Section of the </w:t>
      </w:r>
      <w:r w:rsidRPr="001531CD">
        <w:rPr>
          <w:i/>
          <w:iCs/>
        </w:rPr>
        <w:t>Louisiana Register</w:t>
      </w:r>
      <w:r w:rsidRPr="001531CD">
        <w:t xml:space="preserve"> at least 30 days prior to the beginning of the program.</w:t>
      </w:r>
    </w:p>
    <w:p w14:paraId="363BF7B4" w14:textId="77777777" w:rsidR="00CF626A" w:rsidRPr="001531CD" w:rsidRDefault="00F0112F" w:rsidP="00F0112F">
      <w:pPr>
        <w:pStyle w:val="AuthorityNote"/>
      </w:pPr>
      <w:r w:rsidRPr="001531CD">
        <w:t>AUTHORITY NOTE:</w:t>
      </w:r>
      <w:r w:rsidRPr="001531CD">
        <w:tab/>
        <w:t>Promulgated in accordance with R.S. 3:3366.</w:t>
      </w:r>
    </w:p>
    <w:p w14:paraId="359A8072"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Structural Pest Control Commission, LR 24:1262 (July 1998)</w:t>
      </w:r>
      <w:r w:rsidR="00F0112F" w:rsidRPr="001531CD">
        <w:t>, amended LR 37:295 (January 2011)</w:t>
      </w:r>
      <w:r w:rsidRPr="001531CD">
        <w:t>.</w:t>
      </w:r>
    </w:p>
    <w:p w14:paraId="033E56E8" w14:textId="77777777" w:rsidR="006C2E50" w:rsidRPr="001531CD" w:rsidRDefault="006C2E50" w:rsidP="006C2E50">
      <w:pPr>
        <w:pStyle w:val="Section"/>
      </w:pPr>
      <w:bookmarkStart w:id="2600" w:name="_Toc224819309"/>
      <w:r w:rsidRPr="001531CD">
        <w:t>§165.</w:t>
      </w:r>
      <w:r w:rsidRPr="001531CD">
        <w:tab/>
        <w:t>Requests for Adoption, Amendment, or Repeal of a Rule</w:t>
      </w:r>
      <w:bookmarkEnd w:id="2600"/>
    </w:p>
    <w:p w14:paraId="0998AC52" w14:textId="77777777" w:rsidR="006C2E50" w:rsidRPr="001531CD" w:rsidRDefault="006C2E50" w:rsidP="006C2E50">
      <w:pPr>
        <w:pStyle w:val="A"/>
      </w:pPr>
      <w:r w:rsidRPr="001531CD">
        <w:t>A.</w:t>
      </w:r>
      <w:r w:rsidRPr="001531CD">
        <w:tab/>
      </w:r>
      <w:r w:rsidR="006C3DC7" w:rsidRPr="006C3DC7">
        <w:t>Any interested person may, pursuant to R.S. 49:964, request the commission to adopt, amend, or repeal a rule (rule change) that the commission has the authority to make.</w:t>
      </w:r>
    </w:p>
    <w:p w14:paraId="41177572" w14:textId="77777777" w:rsidR="006C2E50" w:rsidRPr="001531CD" w:rsidRDefault="006C2E50" w:rsidP="006C2E50">
      <w:pPr>
        <w:pStyle w:val="A"/>
      </w:pPr>
      <w:r w:rsidRPr="001531CD">
        <w:t>B.</w:t>
      </w:r>
      <w:r w:rsidRPr="001531CD">
        <w:tab/>
        <w:t>A request for a rule change shall be in writing and shall contain the following information:</w:t>
      </w:r>
    </w:p>
    <w:p w14:paraId="3C0174F7" w14:textId="77777777" w:rsidR="006C2E50" w:rsidRPr="001531CD" w:rsidRDefault="006C2E50" w:rsidP="006C2E50">
      <w:pPr>
        <w:pStyle w:val="1"/>
      </w:pPr>
      <w:r w:rsidRPr="001531CD">
        <w:t>1.</w:t>
      </w:r>
      <w:r w:rsidRPr="001531CD">
        <w:tab/>
        <w:t>a draft of the proposed wording of the requested rule change or a statement detailing the content of the requested rule change;</w:t>
      </w:r>
    </w:p>
    <w:p w14:paraId="1EF0FB21" w14:textId="77777777" w:rsidR="006C2E50" w:rsidRPr="001531CD" w:rsidRDefault="006C2E50" w:rsidP="006C2E50">
      <w:pPr>
        <w:pStyle w:val="1"/>
        <w:rPr>
          <w:strike/>
        </w:rPr>
      </w:pPr>
      <w:r w:rsidRPr="001531CD">
        <w:t>2.</w:t>
      </w:r>
      <w:r w:rsidRPr="001531CD">
        <w:tab/>
        <w:t>the name, address, telephone number, fax number and e-mail address of the requesting party.</w:t>
      </w:r>
    </w:p>
    <w:p w14:paraId="1DDEDAD6" w14:textId="77777777" w:rsidR="006C2E50" w:rsidRPr="001531CD" w:rsidRDefault="006C2E50" w:rsidP="006C2E50">
      <w:pPr>
        <w:pStyle w:val="A"/>
      </w:pPr>
      <w:r w:rsidRPr="001531CD">
        <w:t>C.</w:t>
      </w:r>
      <w:r w:rsidRPr="001531CD">
        <w:tab/>
        <w:t xml:space="preserve">The request for a rule change shall be addressed to the commission and shall be mailed or delivered to 5825 Florida Boulevard, Baton Rouge, LA 70806. </w:t>
      </w:r>
    </w:p>
    <w:p w14:paraId="097DFFEA" w14:textId="77777777" w:rsidR="006C2E50" w:rsidRPr="001531CD" w:rsidRDefault="006C2E50" w:rsidP="006C2E50">
      <w:pPr>
        <w:pStyle w:val="A"/>
      </w:pPr>
      <w:r w:rsidRPr="001531CD">
        <w:t>D.</w:t>
      </w:r>
      <w:r w:rsidRPr="001531CD">
        <w:tab/>
        <w:t>The commission shall consider the request as follows.</w:t>
      </w:r>
    </w:p>
    <w:p w14:paraId="41CF6204" w14:textId="77777777" w:rsidR="006C2E50" w:rsidRPr="001531CD" w:rsidRDefault="006C2E50" w:rsidP="006C2E50">
      <w:pPr>
        <w:pStyle w:val="1"/>
      </w:pPr>
      <w:r w:rsidRPr="001531CD">
        <w:t>1.</w:t>
      </w:r>
      <w:r w:rsidRPr="001531CD">
        <w:tab/>
        <w:t>A request for rule change shall be considered by the commission within a reasonable time, not to exceed 90 days.</w:t>
      </w:r>
    </w:p>
    <w:p w14:paraId="4BEFFB29" w14:textId="77777777" w:rsidR="006C2E50" w:rsidRPr="001531CD" w:rsidRDefault="006C2E50" w:rsidP="006C2E50">
      <w:pPr>
        <w:pStyle w:val="a0"/>
      </w:pPr>
      <w:r w:rsidRPr="001531CD">
        <w:t>a.</w:t>
      </w:r>
      <w:r w:rsidRPr="001531CD">
        <w:tab/>
        <w:t xml:space="preserve">Notice of the meeting at which the request is to be considered shall be provided to the person submitting the request. </w:t>
      </w:r>
    </w:p>
    <w:p w14:paraId="50832737" w14:textId="77777777" w:rsidR="006C2E50" w:rsidRPr="001531CD" w:rsidRDefault="006C2E50" w:rsidP="006C2E50">
      <w:pPr>
        <w:pStyle w:val="a0"/>
      </w:pPr>
      <w:r w:rsidRPr="001531CD">
        <w:t>b.</w:t>
      </w:r>
      <w:r w:rsidRPr="001531CD">
        <w:tab/>
        <w:t>Failure of the requesting party to attend the meeting for purposes of discussing the proposed rule change may be cause for the request to be denied by the commission.</w:t>
      </w:r>
    </w:p>
    <w:p w14:paraId="52844238" w14:textId="77777777" w:rsidR="006C2E50" w:rsidRPr="001531CD" w:rsidRDefault="006C2E50" w:rsidP="006C2E50">
      <w:pPr>
        <w:pStyle w:val="a0"/>
      </w:pPr>
      <w:r w:rsidRPr="001531CD">
        <w:t>c.</w:t>
      </w:r>
      <w:r w:rsidRPr="001531CD">
        <w:tab/>
        <w:t xml:space="preserve">The request, with the consent of the requesting party, may be taken under consideration or action deferred pending further information. If the matter is taken under </w:t>
      </w:r>
      <w:r w:rsidRPr="001531CD">
        <w:t>consideration or action is deferred then it will be taken up again at the next regularly scheduled meeting of the commission or at a special meeting.</w:t>
      </w:r>
    </w:p>
    <w:p w14:paraId="36ED44FF" w14:textId="77777777" w:rsidR="006C2E50" w:rsidRPr="001531CD" w:rsidRDefault="006C2E50" w:rsidP="006C2E50">
      <w:pPr>
        <w:pStyle w:val="A"/>
      </w:pPr>
      <w:r w:rsidRPr="001531CD">
        <w:t>E.</w:t>
      </w:r>
      <w:r w:rsidRPr="001531CD">
        <w:tab/>
        <w:t>Any decision by the commission shall be in writing and shall state the reasons for the denial or action. Such notice may be delivered by hand, mail, electronically or by any other means reasonably assured to provide notice to the requesting party.</w:t>
      </w:r>
    </w:p>
    <w:p w14:paraId="477CBEA2" w14:textId="77777777" w:rsidR="006C2E50" w:rsidRPr="001531CD" w:rsidRDefault="006C2E50" w:rsidP="006C2E50">
      <w:pPr>
        <w:pStyle w:val="AuthorityNote"/>
      </w:pPr>
      <w:r w:rsidRPr="001531CD">
        <w:t>AUTHORITY NOTE:</w:t>
      </w:r>
      <w:r w:rsidRPr="001531CD">
        <w:tab/>
        <w:t>Promulgated in accordance with R.S. 3:3366 and R.S. 49:953(C).</w:t>
      </w:r>
    </w:p>
    <w:p w14:paraId="17AA1815" w14:textId="77777777" w:rsidR="006C2E50" w:rsidRPr="001531CD" w:rsidRDefault="006C2E50" w:rsidP="006C2E50">
      <w:pPr>
        <w:pStyle w:val="HistoricalNote"/>
      </w:pPr>
      <w:r w:rsidRPr="001531CD">
        <w:t>HISTORICAL NOTE:</w:t>
      </w:r>
      <w:r w:rsidRPr="001531CD">
        <w:tab/>
        <w:t>Promulgated by the Department of Agriculture and Forestry, Office of Agricultural and Environmental Sciences, Structural Pest Control Commission, LR 39:303 (February 2013</w:t>
      </w:r>
      <w:r w:rsidR="006E717E" w:rsidRPr="00066C92">
        <w:t xml:space="preserve">), </w:t>
      </w:r>
      <w:r w:rsidR="006E717E">
        <w:t>LR 49:2079 (December 2023</w:t>
      </w:r>
      <w:r w:rsidR="006C3DC7">
        <w:t>), repromulgated LR 50:778 (June 2024).</w:t>
      </w:r>
    </w:p>
    <w:p w14:paraId="736A9F30" w14:textId="77777777" w:rsidR="006C2E50" w:rsidRPr="001531CD" w:rsidRDefault="006C2E50" w:rsidP="006C2E50">
      <w:pPr>
        <w:pStyle w:val="Section"/>
      </w:pPr>
      <w:bookmarkStart w:id="2601" w:name="_Toc224819310"/>
      <w:r w:rsidRPr="001531CD">
        <w:t>§167.</w:t>
      </w:r>
      <w:r w:rsidRPr="001531CD">
        <w:tab/>
        <w:t>Procedure for Declaratory Orders and Rulings</w:t>
      </w:r>
      <w:bookmarkEnd w:id="2601"/>
    </w:p>
    <w:p w14:paraId="5C69F22A" w14:textId="77777777" w:rsidR="006C2E50" w:rsidRPr="001531CD" w:rsidRDefault="006C2E50" w:rsidP="006C2E50">
      <w:pPr>
        <w:pStyle w:val="A"/>
      </w:pPr>
      <w:r w:rsidRPr="001531CD">
        <w:t>A.</w:t>
      </w:r>
      <w:r w:rsidRPr="001531CD">
        <w:tab/>
      </w:r>
      <w:r w:rsidR="006C3DC7" w:rsidRPr="006C3DC7">
        <w:t>This rule provides for the filing and prompt disposition of requests for declaratory orders and rulings as to the applicability of any statutory provision or as to the applicability of any rule or order of the commission, as required by R.S. 49:977.4 and 49:968(D).</w:t>
      </w:r>
    </w:p>
    <w:p w14:paraId="677C2DAA" w14:textId="77777777" w:rsidR="006C2E50" w:rsidRPr="001531CD" w:rsidRDefault="006C2E50" w:rsidP="006C2E50">
      <w:pPr>
        <w:pStyle w:val="A"/>
      </w:pPr>
      <w:r w:rsidRPr="001531CD">
        <w:t>B.</w:t>
      </w:r>
      <w:r w:rsidRPr="001531CD">
        <w:tab/>
        <w:t>A request for a declaratory order or ruling shall be in writing and shall contain the following information:</w:t>
      </w:r>
    </w:p>
    <w:p w14:paraId="21F0CEFE" w14:textId="77777777" w:rsidR="006C2E50" w:rsidRPr="001531CD" w:rsidRDefault="006C2E50" w:rsidP="006C2E50">
      <w:pPr>
        <w:pStyle w:val="1"/>
      </w:pPr>
      <w:r w:rsidRPr="001531CD">
        <w:t>1.</w:t>
      </w:r>
      <w:r w:rsidRPr="001531CD">
        <w:tab/>
        <w:t>a citation to the specific statutory provision, rule or order that will be the subject of the declaratory order or ruling;</w:t>
      </w:r>
    </w:p>
    <w:p w14:paraId="2E419FE5" w14:textId="77777777" w:rsidR="006C2E50" w:rsidRPr="001531CD" w:rsidRDefault="006C2E50" w:rsidP="006C2E50">
      <w:pPr>
        <w:pStyle w:val="1"/>
      </w:pPr>
      <w:r w:rsidRPr="001531CD">
        <w:t>2.</w:t>
      </w:r>
      <w:r w:rsidRPr="001531CD">
        <w:tab/>
        <w:t>a concise statement of why the declaratory order or ruling is being requested;</w:t>
      </w:r>
    </w:p>
    <w:p w14:paraId="269FE1D2" w14:textId="77777777" w:rsidR="006C2E50" w:rsidRPr="001531CD" w:rsidRDefault="006C2E50" w:rsidP="006C2E50">
      <w:pPr>
        <w:pStyle w:val="1"/>
      </w:pPr>
      <w:r w:rsidRPr="001531CD">
        <w:t>3.</w:t>
      </w:r>
      <w:r w:rsidRPr="001531CD">
        <w:tab/>
        <w:t>a list of all persons that the requesting party may call to testify and a list of all documents that may be submitted as evidence, if a hearing is called to take evidence;</w:t>
      </w:r>
    </w:p>
    <w:p w14:paraId="5EA6EFA8" w14:textId="77777777" w:rsidR="006C2E50" w:rsidRPr="001531CD" w:rsidRDefault="006C2E50" w:rsidP="006C2E50">
      <w:pPr>
        <w:pStyle w:val="1"/>
      </w:pPr>
      <w:r w:rsidRPr="001531CD">
        <w:t>4.</w:t>
      </w:r>
      <w:r w:rsidRPr="001531CD">
        <w:tab/>
        <w:t>the name, address, telephone number, fax number and e-mail address of the requesting party, either printed or written in legible form.</w:t>
      </w:r>
    </w:p>
    <w:p w14:paraId="4544ECFA" w14:textId="77777777" w:rsidR="006C2E50" w:rsidRPr="001531CD" w:rsidRDefault="006C2E50" w:rsidP="006C2E50">
      <w:pPr>
        <w:pStyle w:val="A"/>
      </w:pPr>
      <w:r w:rsidRPr="001531CD">
        <w:t>C.</w:t>
      </w:r>
      <w:r w:rsidRPr="001531CD">
        <w:tab/>
        <w:t>The request for a declaratory order or ruling shall be addressed to the commission and shall be mailed or delivered to 5825 Florida Boulevard, Baton Rouge, LA 70806.</w:t>
      </w:r>
    </w:p>
    <w:p w14:paraId="004410B6" w14:textId="77777777" w:rsidR="006C2E50" w:rsidRPr="001531CD" w:rsidRDefault="006C2E50" w:rsidP="006C2E50">
      <w:pPr>
        <w:pStyle w:val="A"/>
      </w:pPr>
      <w:r w:rsidRPr="001531CD">
        <w:t>D.</w:t>
      </w:r>
      <w:r w:rsidRPr="001531CD">
        <w:tab/>
        <w:t>The commission shall consider the request as follows.</w:t>
      </w:r>
    </w:p>
    <w:p w14:paraId="4E41BA15" w14:textId="77777777" w:rsidR="006C2E50" w:rsidRPr="001531CD" w:rsidRDefault="006C2E50" w:rsidP="006C2E50">
      <w:pPr>
        <w:pStyle w:val="1"/>
      </w:pPr>
      <w:r w:rsidRPr="001531CD">
        <w:t>1.</w:t>
      </w:r>
      <w:r w:rsidRPr="001531CD">
        <w:tab/>
        <w:t>The request shall be considered by the commission within a reasonable time, not to exceed 90 days.</w:t>
      </w:r>
    </w:p>
    <w:p w14:paraId="4A8C98AA" w14:textId="77777777" w:rsidR="006C2E50" w:rsidRPr="001531CD" w:rsidRDefault="006C2E50" w:rsidP="006C2E50">
      <w:pPr>
        <w:pStyle w:val="1"/>
      </w:pPr>
      <w:r w:rsidRPr="001531CD">
        <w:t>2.</w:t>
      </w:r>
      <w:r w:rsidRPr="001531CD">
        <w:tab/>
        <w:t>Notice of the meeting at which the request is to be considered shall be provided to the person submitting the request.</w:t>
      </w:r>
    </w:p>
    <w:p w14:paraId="0EC97C3D" w14:textId="77777777" w:rsidR="006C2E50" w:rsidRPr="001531CD" w:rsidRDefault="006C2E50" w:rsidP="006C2E50">
      <w:pPr>
        <w:pStyle w:val="A"/>
      </w:pPr>
      <w:r w:rsidRPr="001531CD">
        <w:t>E.</w:t>
      </w:r>
      <w:r w:rsidRPr="001531CD">
        <w:tab/>
        <w:t>The commission’s decision shall be sent to the requesting party either by certified mail, return receipt requested; hand delivery; or commercial courier.</w:t>
      </w:r>
    </w:p>
    <w:p w14:paraId="62AFF8C4" w14:textId="77777777" w:rsidR="006C2E50" w:rsidRPr="001531CD" w:rsidRDefault="006C2E50" w:rsidP="006C2E50">
      <w:pPr>
        <w:pStyle w:val="A"/>
      </w:pPr>
      <w:r w:rsidRPr="001531CD">
        <w:t>F.</w:t>
      </w:r>
      <w:r w:rsidRPr="001531CD">
        <w:tab/>
        <w:t>Failure of the requesting party, after notice, to attend any hearing or meeting regarding the request may be cause for the request to be denied.</w:t>
      </w:r>
    </w:p>
    <w:p w14:paraId="13E7516B" w14:textId="77777777" w:rsidR="006C2E50" w:rsidRPr="001531CD" w:rsidRDefault="006C2E50" w:rsidP="006C2E50">
      <w:pPr>
        <w:pStyle w:val="AuthorityNote"/>
      </w:pPr>
      <w:r w:rsidRPr="001531CD">
        <w:t>AUTHORITY NOTE:</w:t>
      </w:r>
      <w:r w:rsidRPr="001531CD">
        <w:tab/>
        <w:t>Promulgated in accordance with R.S. 3:3366, R.S. 49:962 and R.S. 49:963(D).</w:t>
      </w:r>
    </w:p>
    <w:p w14:paraId="2C2B4406" w14:textId="77777777" w:rsidR="006C2E50" w:rsidRPr="001531CD" w:rsidRDefault="006C2E50" w:rsidP="006C2E50">
      <w:pPr>
        <w:pStyle w:val="HistoricalNote"/>
      </w:pPr>
      <w:r w:rsidRPr="001531CD">
        <w:t>HISTORICAL NOTE:</w:t>
      </w:r>
      <w:r w:rsidRPr="001531CD">
        <w:tab/>
        <w:t xml:space="preserve">Promulgated by the Department of Agriculture and Forestry, Office of Agricultural and Environmental Sciences, Structural Pest Control Commission, LR 39:304 (February </w:t>
      </w:r>
      <w:r w:rsidRPr="001531CD">
        <w:lastRenderedPageBreak/>
        <w:t>2013</w:t>
      </w:r>
      <w:r w:rsidR="006E717E" w:rsidRPr="00066C92">
        <w:t xml:space="preserve">), </w:t>
      </w:r>
      <w:r w:rsidR="006E717E">
        <w:t>LR 49:2079 (December 2023</w:t>
      </w:r>
      <w:r w:rsidR="006C3DC7">
        <w:t>), repromulgated LR 50:778 (June 2024).</w:t>
      </w:r>
    </w:p>
    <w:p w14:paraId="12DD5EF8" w14:textId="77777777" w:rsidR="00CF626A" w:rsidRPr="001531CD" w:rsidRDefault="00CF626A">
      <w:pPr>
        <w:pStyle w:val="HistoricalNote"/>
        <w:sectPr w:rsidR="00CF626A" w:rsidRPr="001531CD" w:rsidSect="00167E2E">
          <w:headerReference w:type="even" r:id="rId60"/>
          <w:headerReference w:type="default" r:id="rId61"/>
          <w:type w:val="continuous"/>
          <w:pgSz w:w="12240" w:h="15840" w:code="1"/>
          <w:pgMar w:top="1080" w:right="864" w:bottom="864" w:left="864" w:header="576" w:footer="432" w:gutter="0"/>
          <w:cols w:num="2" w:space="720"/>
        </w:sectPr>
      </w:pPr>
    </w:p>
    <w:p w14:paraId="5190F9D4" w14:textId="77777777" w:rsidR="00CF626A" w:rsidRPr="001531CD" w:rsidRDefault="00CF626A">
      <w:pPr>
        <w:pStyle w:val="HistoricalNote"/>
      </w:pPr>
    </w:p>
    <w:p w14:paraId="41CD1A86"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747F5EB8" w14:textId="77777777" w:rsidR="00CF626A" w:rsidRPr="001531CD" w:rsidRDefault="00CF626A" w:rsidP="00F03863">
      <w:pPr>
        <w:pStyle w:val="Title1"/>
        <w:outlineLvl w:val="0"/>
      </w:pPr>
      <w:r w:rsidRPr="001531CD">
        <w:lastRenderedPageBreak/>
        <w:t>Title 7</w:t>
      </w:r>
    </w:p>
    <w:p w14:paraId="5561A317" w14:textId="77777777" w:rsidR="00CF626A" w:rsidRPr="001531CD" w:rsidRDefault="00CF626A">
      <w:pPr>
        <w:pStyle w:val="Title2"/>
      </w:pPr>
      <w:r w:rsidRPr="001531CD">
        <w:t>AGRICULTURE AND ANIMALS</w:t>
      </w:r>
    </w:p>
    <w:p w14:paraId="1DBA9913" w14:textId="77777777" w:rsidR="00CF626A" w:rsidRPr="001531CD" w:rsidRDefault="00CF626A">
      <w:pPr>
        <w:pStyle w:val="Part"/>
      </w:pPr>
      <w:bookmarkStart w:id="2602" w:name="TOC_Part12"/>
      <w:bookmarkStart w:id="2603" w:name="_Toc77840246"/>
      <w:bookmarkStart w:id="2604" w:name="_Toc224819311"/>
      <w:r w:rsidRPr="001531CD">
        <w:t>Part XXVII.  Agricultural Commodity Dealer and Warehouse Law</w:t>
      </w:r>
      <w:bookmarkEnd w:id="2602"/>
      <w:bookmarkEnd w:id="2603"/>
      <w:bookmarkEnd w:id="2604"/>
    </w:p>
    <w:p w14:paraId="1A8F4113" w14:textId="77777777" w:rsidR="00CF626A" w:rsidRPr="001531CD" w:rsidRDefault="00CF626A">
      <w:pPr>
        <w:pStyle w:val="Part"/>
      </w:pPr>
    </w:p>
    <w:p w14:paraId="04C04136" w14:textId="77777777" w:rsidR="00CF626A" w:rsidRPr="001531CD" w:rsidRDefault="00CF626A">
      <w:pPr>
        <w:pStyle w:val="Part"/>
        <w:sectPr w:rsidR="00CF626A" w:rsidRPr="001531CD" w:rsidSect="00167E2E">
          <w:headerReference w:type="default" r:id="rId62"/>
          <w:type w:val="oddPage"/>
          <w:pgSz w:w="12240" w:h="15840" w:code="1"/>
          <w:pgMar w:top="1080" w:right="864" w:bottom="864" w:left="864" w:header="576" w:footer="432" w:gutter="0"/>
          <w:cols w:space="720"/>
          <w:docGrid w:linePitch="326"/>
        </w:sectPr>
      </w:pPr>
    </w:p>
    <w:p w14:paraId="5E9256C8" w14:textId="77777777" w:rsidR="00787787" w:rsidRPr="001531CD" w:rsidRDefault="00787787" w:rsidP="00787787">
      <w:pPr>
        <w:pStyle w:val="Chapter"/>
      </w:pPr>
      <w:bookmarkStart w:id="2605" w:name="_Toc224819312"/>
      <w:r w:rsidRPr="001531CD">
        <w:t>Chapter 1.</w:t>
      </w:r>
      <w:r w:rsidRPr="001531CD">
        <w:tab/>
        <w:t>Louisiana Agricultural Commodities Commission</w:t>
      </w:r>
      <w:bookmarkEnd w:id="2605"/>
      <w:r w:rsidRPr="001531CD">
        <w:t xml:space="preserve"> </w:t>
      </w:r>
    </w:p>
    <w:p w14:paraId="2F183044" w14:textId="77777777" w:rsidR="00787787" w:rsidRPr="001531CD" w:rsidRDefault="00787787" w:rsidP="00787787">
      <w:pPr>
        <w:pStyle w:val="Chapter"/>
      </w:pPr>
      <w:bookmarkStart w:id="2606" w:name="TOC_SubC202"/>
      <w:bookmarkStart w:id="2607" w:name="_Toc235870210"/>
      <w:bookmarkStart w:id="2608" w:name="_Toc224819313"/>
      <w:r w:rsidRPr="001531CD">
        <w:t>Subchapter A.</w:t>
      </w:r>
      <w:bookmarkStart w:id="2609" w:name="TOCT_SubC200"/>
      <w:bookmarkStart w:id="2610" w:name="TOCT_SubC199"/>
      <w:bookmarkStart w:id="2611" w:name="TOCT_SubC201"/>
      <w:bookmarkStart w:id="2612" w:name="TOCT_SubC202"/>
      <w:bookmarkEnd w:id="2606"/>
      <w:r w:rsidRPr="001531CD">
        <w:tab/>
        <w:t>General Provisions</w:t>
      </w:r>
      <w:bookmarkEnd w:id="2607"/>
      <w:bookmarkEnd w:id="2608"/>
      <w:bookmarkEnd w:id="2609"/>
      <w:bookmarkEnd w:id="2610"/>
      <w:bookmarkEnd w:id="2611"/>
      <w:bookmarkEnd w:id="2612"/>
    </w:p>
    <w:p w14:paraId="4E0072F9" w14:textId="77777777" w:rsidR="000402C5" w:rsidRPr="001531CD" w:rsidRDefault="000402C5" w:rsidP="000402C5">
      <w:pPr>
        <w:pStyle w:val="Section"/>
      </w:pPr>
      <w:bookmarkStart w:id="2613" w:name="_Toc224819314"/>
      <w:r w:rsidRPr="001531CD">
        <w:t>§101.</w:t>
      </w:r>
      <w:r w:rsidRPr="001531CD">
        <w:tab/>
        <w:t>Definitions</w:t>
      </w:r>
      <w:bookmarkEnd w:id="2613"/>
    </w:p>
    <w:p w14:paraId="0247A53C" w14:textId="77777777" w:rsidR="00787787" w:rsidRPr="001531CD" w:rsidRDefault="00D974AA" w:rsidP="00787787">
      <w:pPr>
        <w:pStyle w:val="A"/>
      </w:pPr>
      <w:r w:rsidRPr="0083260E">
        <w:rPr>
          <w:i/>
          <w:iCs/>
        </w:rPr>
        <w:t>Adjudicatory Proceeding</w:t>
      </w:r>
      <w:r>
        <w:t>—</w:t>
      </w:r>
      <w:r w:rsidRPr="0083260E">
        <w:t xml:space="preserve">an open public hearing by the commission to determine whether violations of R.S. </w:t>
      </w:r>
      <w:r>
        <w:t>3:</w:t>
      </w:r>
      <w:r w:rsidRPr="0083260E">
        <w:t>3401-3425 or the regulations contained in this Part have occurred. Such proceedings are conducted in accordance with the Administrative Procedure Act (R.S. 49:950 et seq.).</w:t>
      </w:r>
    </w:p>
    <w:p w14:paraId="119A9C0F" w14:textId="77777777" w:rsidR="00787787" w:rsidRPr="001531CD" w:rsidRDefault="00787787" w:rsidP="00787787">
      <w:pPr>
        <w:pStyle w:val="A"/>
      </w:pPr>
      <w:r w:rsidRPr="001531CD">
        <w:rPr>
          <w:i/>
          <w:iCs/>
        </w:rPr>
        <w:t>Advance</w:t>
      </w:r>
      <w:r w:rsidRPr="001531CD">
        <w:t>―a partial payment against total proceeds due to a seller.</w:t>
      </w:r>
    </w:p>
    <w:p w14:paraId="736193D6" w14:textId="77777777" w:rsidR="00787787" w:rsidRPr="001531CD" w:rsidRDefault="00787787" w:rsidP="00787787">
      <w:pPr>
        <w:pStyle w:val="A"/>
      </w:pPr>
      <w:r w:rsidRPr="001531CD">
        <w:rPr>
          <w:i/>
          <w:iCs/>
        </w:rPr>
        <w:t>Agricultural Commodities</w:t>
      </w:r>
      <w:r w:rsidRPr="001531CD">
        <w:t>―cotton, all agricultural products commonly classed as grain (rice, corn, wheat, oats, rye, soybeans, barley, and grain sorghum), and any other agricultural commodity which the commission may declare to be an agricultural commodity subject to regulation under R.S. 3:3401-3425.</w:t>
      </w:r>
    </w:p>
    <w:p w14:paraId="017165EB" w14:textId="77777777" w:rsidR="00787787" w:rsidRPr="001531CD" w:rsidRDefault="00787787" w:rsidP="00787787">
      <w:pPr>
        <w:pStyle w:val="A"/>
      </w:pPr>
      <w:r w:rsidRPr="001531CD">
        <w:rPr>
          <w:i/>
          <w:iCs/>
        </w:rPr>
        <w:t>Applicant</w:t>
      </w:r>
      <w:r w:rsidRPr="001531CD">
        <w:t>―any person making application for a license to engage in any of the activities regulated under R.S. 3:3401-3425 or anyone who requests official grain inspection services and/or grain weighing services of the department.</w:t>
      </w:r>
    </w:p>
    <w:p w14:paraId="765F8E82" w14:textId="77777777" w:rsidR="00787787" w:rsidRPr="001531CD" w:rsidRDefault="00787787" w:rsidP="00787787">
      <w:pPr>
        <w:pStyle w:val="A"/>
      </w:pPr>
      <w:r w:rsidRPr="001531CD">
        <w:rPr>
          <w:i/>
          <w:iCs/>
        </w:rPr>
        <w:t>Audited</w:t>
      </w:r>
      <w:r w:rsidR="007B525A" w:rsidRPr="001531CD">
        <w:t xml:space="preserve"> (</w:t>
      </w:r>
      <w:r w:rsidRPr="001531CD">
        <w:t>with r</w:t>
      </w:r>
      <w:r w:rsidR="007B525A" w:rsidRPr="001531CD">
        <w:t>espect to a financial statement)</w:t>
      </w:r>
      <w:r w:rsidRPr="001531CD">
        <w:t>―a financial statement prepared by an independent certified public accountant, the basis of which financial statement is the accountant's independent examination of the books and records of the business entity covered by the financial statement.</w:t>
      </w:r>
    </w:p>
    <w:p w14:paraId="4AEAFC86" w14:textId="77777777" w:rsidR="00787787" w:rsidRPr="001531CD" w:rsidRDefault="00787787" w:rsidP="00787787">
      <w:pPr>
        <w:pStyle w:val="A"/>
      </w:pPr>
      <w:r w:rsidRPr="001531CD">
        <w:rPr>
          <w:i/>
          <w:iCs/>
        </w:rPr>
        <w:t>Authentic Act</w:t>
      </w:r>
      <w:r w:rsidRPr="001531CD">
        <w:t>―a statement executed before a notary public and at least two witnesses.</w:t>
      </w:r>
    </w:p>
    <w:p w14:paraId="33E68A41" w14:textId="77777777" w:rsidR="00787787" w:rsidRPr="001531CD" w:rsidRDefault="00787787" w:rsidP="00787787">
      <w:pPr>
        <w:pStyle w:val="A"/>
      </w:pPr>
      <w:r w:rsidRPr="001531CD">
        <w:rPr>
          <w:i/>
          <w:iCs/>
        </w:rPr>
        <w:t>Authorized Agent</w:t>
      </w:r>
      <w:r w:rsidRPr="001531CD">
        <w:t>―with reference to the authorized agent of a warehouse or grain dealer, any representative thereof whose name has been filed with the commission as such. A person whose name has not been filed with the commission as an authorized agent will not be recognized by the commission as entitled to act for or on behalf of a warehouse or grain dealer.</w:t>
      </w:r>
    </w:p>
    <w:p w14:paraId="2E52B6D5" w14:textId="77777777" w:rsidR="00787787" w:rsidRPr="001531CD" w:rsidRDefault="00787787" w:rsidP="00787787">
      <w:pPr>
        <w:pStyle w:val="A"/>
      </w:pPr>
      <w:r w:rsidRPr="001531CD">
        <w:rPr>
          <w:i/>
          <w:iCs/>
        </w:rPr>
        <w:t>Bid Contract</w:t>
      </w:r>
      <w:r w:rsidRPr="001531CD">
        <w:t>―an agreement between a producer and a purchaser under which the purchaser examines samples of rice and extends to the producer an offer to purchase the rice at a price based on the quality of the sample.</w:t>
      </w:r>
    </w:p>
    <w:p w14:paraId="363CCD57" w14:textId="77777777" w:rsidR="00787787" w:rsidRPr="001531CD" w:rsidRDefault="00787787" w:rsidP="00787787">
      <w:pPr>
        <w:pStyle w:val="A"/>
      </w:pPr>
      <w:r w:rsidRPr="001531CD">
        <w:rPr>
          <w:i/>
          <w:iCs/>
        </w:rPr>
        <w:t>Capacity</w:t>
      </w:r>
      <w:r w:rsidRPr="001531CD">
        <w:t>―all of the area of a licensee which is in any kind of protected enclosure.</w:t>
      </w:r>
    </w:p>
    <w:p w14:paraId="559E52C7" w14:textId="77777777" w:rsidR="00787787" w:rsidRPr="001531CD" w:rsidRDefault="00787787" w:rsidP="00787787">
      <w:pPr>
        <w:pStyle w:val="A"/>
      </w:pPr>
      <w:r w:rsidRPr="001531CD">
        <w:rPr>
          <w:i/>
        </w:rPr>
        <w:t>CCC</w:t>
      </w:r>
      <w:r w:rsidRPr="001531CD">
        <w:t>―Commodity Credit Corporation.</w:t>
      </w:r>
    </w:p>
    <w:p w14:paraId="35DA83C5" w14:textId="77777777" w:rsidR="00787787" w:rsidRPr="001531CD" w:rsidRDefault="00787787" w:rsidP="00787787">
      <w:pPr>
        <w:pStyle w:val="A"/>
      </w:pPr>
      <w:r w:rsidRPr="001531CD">
        <w:rPr>
          <w:i/>
        </w:rPr>
        <w:t>Central Filing System (CFS)</w:t>
      </w:r>
      <w:r w:rsidRPr="001531CD">
        <w:rPr>
          <w:szCs w:val="24"/>
        </w:rPr>
        <w:t>―a</w:t>
      </w:r>
      <w:r w:rsidRPr="001531CD">
        <w:t>n electronic system operated and maintained by a provider where information relating to electronic warehouse receipts is recorded and maintained in a confidential and secure fashion independent of any outside influence or bias in action or appearance, and that is authorized by the director.</w:t>
      </w:r>
    </w:p>
    <w:p w14:paraId="1AFDF07D" w14:textId="77777777" w:rsidR="00787787" w:rsidRPr="001531CD" w:rsidRDefault="00787787" w:rsidP="00787787">
      <w:pPr>
        <w:pStyle w:val="A"/>
      </w:pPr>
      <w:r w:rsidRPr="001531CD">
        <w:rPr>
          <w:i/>
        </w:rPr>
        <w:t>Certified</w:t>
      </w:r>
      <w:r w:rsidRPr="001531CD">
        <w:t>―with respect to the financial statements required under the Act R.S. 3:3401-3425, a written statement signed by the independent certified public accountant preparing the financial statement.</w:t>
      </w:r>
    </w:p>
    <w:p w14:paraId="1AFFAFAC" w14:textId="77777777" w:rsidR="00787787" w:rsidRPr="001531CD" w:rsidRDefault="00787787" w:rsidP="00787787">
      <w:pPr>
        <w:pStyle w:val="A"/>
      </w:pPr>
      <w:r w:rsidRPr="001531CD">
        <w:rPr>
          <w:i/>
          <w:iCs/>
        </w:rPr>
        <w:t>Commission</w:t>
      </w:r>
      <w:r w:rsidRPr="001531CD">
        <w:t>―the Louisiana Agricultural Commodities Commission.</w:t>
      </w:r>
    </w:p>
    <w:p w14:paraId="5E031F2B" w14:textId="77777777" w:rsidR="00787787" w:rsidRPr="001531CD" w:rsidRDefault="00787787" w:rsidP="00787787">
      <w:pPr>
        <w:pStyle w:val="A"/>
      </w:pPr>
      <w:r w:rsidRPr="001531CD">
        <w:rPr>
          <w:i/>
          <w:iCs/>
        </w:rPr>
        <w:t>Commissioner</w:t>
      </w:r>
      <w:r w:rsidRPr="001531CD">
        <w:t>―the Louisiana Commissioner of Agriculture and Forestry.</w:t>
      </w:r>
    </w:p>
    <w:p w14:paraId="38CF8B9D" w14:textId="77777777" w:rsidR="00787787" w:rsidRPr="001531CD" w:rsidRDefault="00787787" w:rsidP="00787787">
      <w:pPr>
        <w:pStyle w:val="A"/>
      </w:pPr>
      <w:r w:rsidRPr="001531CD">
        <w:rPr>
          <w:i/>
          <w:iCs/>
        </w:rPr>
        <w:t>Compilation</w:t>
      </w:r>
      <w:r w:rsidRPr="001531CD">
        <w:t>―with respect to a financial statement, a financial statement prepared by an independent certified public accountant solely on the basis of representations of the management of the business entity covered by the financial statement.</w:t>
      </w:r>
    </w:p>
    <w:p w14:paraId="0D2BDB75" w14:textId="77777777" w:rsidR="00787787" w:rsidRPr="001531CD" w:rsidRDefault="00787787" w:rsidP="00787787">
      <w:pPr>
        <w:pStyle w:val="A"/>
      </w:pPr>
      <w:r w:rsidRPr="001531CD">
        <w:rPr>
          <w:i/>
          <w:iCs/>
        </w:rPr>
        <w:t>Confirmation Date</w:t>
      </w:r>
      <w:r w:rsidRPr="001531CD">
        <w:t>―the date on which the bid contract was confirmed.</w:t>
      </w:r>
    </w:p>
    <w:p w14:paraId="668ECDAD" w14:textId="77777777" w:rsidR="00787787" w:rsidRPr="001531CD" w:rsidRDefault="00787787" w:rsidP="00787787">
      <w:pPr>
        <w:pStyle w:val="A"/>
      </w:pPr>
      <w:r w:rsidRPr="001531CD">
        <w:rPr>
          <w:i/>
          <w:iCs/>
        </w:rPr>
        <w:t>Confirmed</w:t>
      </w:r>
      <w:r w:rsidRPr="001531CD">
        <w:t>―the bid contract has been agreed to by both parties. A bid contract is confirmed when the producer and the purchaser agree to the quantity and price of the rice to be sold.</w:t>
      </w:r>
    </w:p>
    <w:p w14:paraId="0F754C34" w14:textId="77777777" w:rsidR="00787787" w:rsidRPr="001531CD" w:rsidRDefault="00787787" w:rsidP="00787787">
      <w:pPr>
        <w:pStyle w:val="A"/>
      </w:pPr>
      <w:r w:rsidRPr="001531CD">
        <w:rPr>
          <w:i/>
          <w:iCs/>
        </w:rPr>
        <w:t>Cotton Agent</w:t>
      </w:r>
      <w:r w:rsidRPr="001531CD">
        <w:t>―every person, firm, corporation, association, or other legal entity which purchases or contracts to purchase cotton grown or to be grown by producers in this state for or on behalf of a cotton merchant and which is required to be a party to a notarized written agency agreement.</w:t>
      </w:r>
    </w:p>
    <w:p w14:paraId="21F91F04" w14:textId="77777777" w:rsidR="00787787" w:rsidRPr="001531CD" w:rsidRDefault="00787787" w:rsidP="00787787">
      <w:pPr>
        <w:pStyle w:val="A"/>
      </w:pPr>
      <w:r w:rsidRPr="001531CD">
        <w:rPr>
          <w:i/>
          <w:iCs/>
        </w:rPr>
        <w:t>Cotton Merchant</w:t>
      </w:r>
      <w:r w:rsidRPr="001531CD">
        <w:t>―every person, firm, corporation, association, or other legal entity which purchases or contracts to purchase, either directly or through a cotton agent, cotton grown or to be grown by producers in this state.</w:t>
      </w:r>
    </w:p>
    <w:p w14:paraId="6D2791CD" w14:textId="77777777" w:rsidR="00787787" w:rsidRPr="001531CD" w:rsidRDefault="00787787" w:rsidP="00787787">
      <w:pPr>
        <w:pStyle w:val="A"/>
      </w:pPr>
      <w:r w:rsidRPr="001531CD">
        <w:rPr>
          <w:i/>
          <w:iCs/>
        </w:rPr>
        <w:t>Current Financial Statement</w:t>
      </w:r>
      <w:r w:rsidRPr="001531CD">
        <w:t>―a financial statement containing all of the documents listed in §107.B of this Part and presenting financial position as of the close of the applicant's or licensee's most recent fiscal year.</w:t>
      </w:r>
    </w:p>
    <w:p w14:paraId="22114BE7" w14:textId="77777777" w:rsidR="00787787" w:rsidRPr="001531CD" w:rsidRDefault="00787787" w:rsidP="00787787">
      <w:pPr>
        <w:pStyle w:val="A"/>
      </w:pPr>
      <w:r w:rsidRPr="001531CD">
        <w:rPr>
          <w:i/>
          <w:iCs/>
        </w:rPr>
        <w:t>Deferred Price Commodities</w:t>
      </w:r>
      <w:r w:rsidRPr="001531CD">
        <w:t>―commodities purchased by a grain dealer from a producer for which the sale price will be established after date of the initial agreement between the parties. The agreement between the parties covering deferred price commodities shall be in writing. The term deferred price commodities is the same as the other following terms in general usage: price later, no price established (NPE), delayed price, basis contract, future settlement delivery, or contract for purchase.</w:t>
      </w:r>
    </w:p>
    <w:p w14:paraId="0C999C16" w14:textId="77777777" w:rsidR="00787787" w:rsidRPr="001531CD" w:rsidRDefault="00787787" w:rsidP="00787787">
      <w:pPr>
        <w:pStyle w:val="A"/>
      </w:pPr>
      <w:r w:rsidRPr="001531CD">
        <w:rPr>
          <w:i/>
          <w:iCs/>
        </w:rPr>
        <w:lastRenderedPageBreak/>
        <w:t>Delivery Date</w:t>
      </w:r>
      <w:r w:rsidRPr="001531CD">
        <w:t>―the date on which the purchaser is required to take delivery of the rice, either under the provisions of Subchapter O of this Chapter or under the provisions of a written agreement between the producer and the purchaser.</w:t>
      </w:r>
    </w:p>
    <w:p w14:paraId="7C05B02F" w14:textId="77777777" w:rsidR="00787787" w:rsidRPr="001531CD" w:rsidRDefault="00787787" w:rsidP="00787787">
      <w:pPr>
        <w:pStyle w:val="A"/>
      </w:pPr>
      <w:r w:rsidRPr="001531CD">
        <w:rPr>
          <w:i/>
          <w:iCs/>
        </w:rPr>
        <w:t>Department</w:t>
      </w:r>
      <w:r w:rsidRPr="001531CD">
        <w:t>―the Louisiana Department of Agriculture and Forestry.</w:t>
      </w:r>
    </w:p>
    <w:p w14:paraId="0145041F" w14:textId="77777777" w:rsidR="00787787" w:rsidRPr="001531CD" w:rsidRDefault="00787787" w:rsidP="00787787">
      <w:pPr>
        <w:pStyle w:val="A"/>
      </w:pPr>
      <w:r w:rsidRPr="001531CD">
        <w:rPr>
          <w:i/>
          <w:iCs/>
        </w:rPr>
        <w:t>Director</w:t>
      </w:r>
      <w:r w:rsidRPr="001531CD">
        <w:t>―the employee of the commission who is responsible for implementing the policies of the commission and performing the administrative responsibilities delegated to the commissioner under R.S. 3:3401-3425.</w:t>
      </w:r>
    </w:p>
    <w:p w14:paraId="4FBBD547" w14:textId="77777777" w:rsidR="00787787" w:rsidRPr="001531CD" w:rsidRDefault="00787787" w:rsidP="00787787">
      <w:pPr>
        <w:pStyle w:val="A"/>
        <w:rPr>
          <w:i/>
        </w:rPr>
      </w:pPr>
      <w:r w:rsidRPr="001531CD">
        <w:rPr>
          <w:i/>
        </w:rPr>
        <w:t>Electronic Warehouse Receipt (EWR)</w:t>
      </w:r>
      <w:r w:rsidRPr="001531CD">
        <w:t>― a receipt that is issued or transmitted in the form of an electronic document.</w:t>
      </w:r>
    </w:p>
    <w:p w14:paraId="73F1F196" w14:textId="77777777" w:rsidR="00787787" w:rsidRPr="001531CD" w:rsidRDefault="00787787" w:rsidP="00787787">
      <w:pPr>
        <w:pStyle w:val="A"/>
      </w:pPr>
      <w:r w:rsidRPr="001531CD">
        <w:rPr>
          <w:i/>
          <w:iCs/>
        </w:rPr>
        <w:t>Farm Products</w:t>
      </w:r>
      <w:r w:rsidRPr="001531CD">
        <w:t>―products employed directly in the cultivation, production, or harvesting of any agricultural commodities or containers for agricultural commodities or farm products.</w:t>
      </w:r>
    </w:p>
    <w:p w14:paraId="23CE0945" w14:textId="77777777" w:rsidR="00787787" w:rsidRPr="001531CD" w:rsidRDefault="00787787" w:rsidP="00787787">
      <w:pPr>
        <w:pStyle w:val="A"/>
      </w:pPr>
      <w:r w:rsidRPr="001531CD">
        <w:rPr>
          <w:i/>
          <w:iCs/>
        </w:rPr>
        <w:t>Fee</w:t>
      </w:r>
      <w:r w:rsidRPr="001531CD">
        <w:t>―any charge imposed by a warehouse, directly or indirectly, for care of agricultural commodities belonging to any person other than the warehouse owner, including but not limited to base price adjustments, storage, handling, dockage, commission, drying, and/or conditioning fees or any fees as listed on the latest approved schedule of fees (§128.D of this Part) for official grain inspections and weighing services provided by the department.</w:t>
      </w:r>
    </w:p>
    <w:p w14:paraId="3246669F" w14:textId="77777777" w:rsidR="00787787" w:rsidRPr="001531CD" w:rsidRDefault="00787787" w:rsidP="00787787">
      <w:pPr>
        <w:pStyle w:val="A"/>
      </w:pPr>
      <w:r w:rsidRPr="001531CD">
        <w:rPr>
          <w:i/>
          <w:iCs/>
        </w:rPr>
        <w:t>Field Warehouse</w:t>
      </w:r>
      <w:r w:rsidRPr="001531CD">
        <w:t>―a warehouse operated by a management organization under a contractual agreement between the management organization and the owner of the warehouse.</w:t>
      </w:r>
    </w:p>
    <w:p w14:paraId="51DBB156" w14:textId="77777777" w:rsidR="00787787" w:rsidRPr="001531CD" w:rsidRDefault="00787787" w:rsidP="00787787">
      <w:pPr>
        <w:pStyle w:val="A"/>
      </w:pPr>
      <w:r w:rsidRPr="001531CD">
        <w:rPr>
          <w:i/>
          <w:iCs/>
        </w:rPr>
        <w:t>First Point of Sale</w:t>
      </w:r>
      <w:r w:rsidR="00AE707A" w:rsidRPr="001531CD">
        <w:t>―</w:t>
      </w:r>
      <w:r w:rsidRPr="001531CD">
        <w:t xml:space="preserve">the initial time when title to agricultural commodities or farm products passes from a seller to a buyer. </w:t>
      </w:r>
    </w:p>
    <w:p w14:paraId="742F0655" w14:textId="77777777" w:rsidR="00787787" w:rsidRPr="001531CD" w:rsidRDefault="00787787" w:rsidP="00787787">
      <w:pPr>
        <w:pStyle w:val="A"/>
      </w:pPr>
      <w:r w:rsidRPr="001531CD">
        <w:rPr>
          <w:i/>
          <w:iCs/>
        </w:rPr>
        <w:t>Grain</w:t>
      </w:r>
      <w:r w:rsidR="00D974AA">
        <w:t>―</w:t>
      </w:r>
      <w:r w:rsidRPr="001531CD">
        <w:t>corn, wheat, oats, rye, soybeans, barley, and grain sorghum.</w:t>
      </w:r>
    </w:p>
    <w:p w14:paraId="4B12DFC4" w14:textId="77777777" w:rsidR="00787787" w:rsidRPr="001531CD" w:rsidRDefault="00787787" w:rsidP="00787787">
      <w:pPr>
        <w:pStyle w:val="A"/>
      </w:pPr>
      <w:r w:rsidRPr="001531CD">
        <w:rPr>
          <w:i/>
          <w:iCs/>
        </w:rPr>
        <w:t>Grain Dealer</w:t>
      </w:r>
      <w:r w:rsidRPr="001531CD">
        <w:t>―any person who purchases agricultural commodities from producers, sells agricultural commodities for producers, or represents producers in the purchase or sale of agricultural commodities. The term does not include producers who purchase grain commodities for their own use as feed or seed.</w:t>
      </w:r>
    </w:p>
    <w:p w14:paraId="2E1F49D5" w14:textId="77777777" w:rsidR="00787787" w:rsidRPr="001531CD" w:rsidRDefault="00787787" w:rsidP="00787787">
      <w:pPr>
        <w:pStyle w:val="A"/>
      </w:pPr>
      <w:r w:rsidRPr="001531CD">
        <w:rPr>
          <w:i/>
          <w:iCs/>
        </w:rPr>
        <w:t>Hedge</w:t>
      </w:r>
      <w:r w:rsidR="00AE707A" w:rsidRPr="001531CD">
        <w:t xml:space="preserve"> (</w:t>
      </w:r>
      <w:r w:rsidRPr="001531CD">
        <w:t>with respect to</w:t>
      </w:r>
      <w:r w:rsidR="00AE707A" w:rsidRPr="001531CD">
        <w:t xml:space="preserve"> a contract to sell commodities)</w:t>
      </w:r>
      <w:r w:rsidRPr="001531CD">
        <w:t>―a secondary contract to buy commodities to protect the obligations incurred with respect to the contract to sell. Hedge, with respect to a contract to buy commodities, means a secondary contract to sell commodities to protect the obligations incurred with respect to the contract to buy.</w:t>
      </w:r>
    </w:p>
    <w:p w14:paraId="01602BE0" w14:textId="77777777" w:rsidR="00787787" w:rsidRPr="001531CD" w:rsidRDefault="00787787" w:rsidP="00787787">
      <w:pPr>
        <w:pStyle w:val="A"/>
      </w:pPr>
      <w:r w:rsidRPr="001531CD">
        <w:rPr>
          <w:i/>
        </w:rPr>
        <w:t>Identity Preserve</w:t>
      </w:r>
      <w:r w:rsidRPr="001531CD">
        <w:t>―</w:t>
      </w:r>
    </w:p>
    <w:p w14:paraId="617FEC64" w14:textId="77777777" w:rsidR="00787787" w:rsidRPr="001531CD" w:rsidRDefault="00787787" w:rsidP="00787787">
      <w:pPr>
        <w:pStyle w:val="1"/>
      </w:pPr>
      <w:r w:rsidRPr="001531CD">
        <w:t>1.</w:t>
      </w:r>
      <w:r w:rsidRPr="001531CD">
        <w:tab/>
        <w:t xml:space="preserve"> instances in which a warehouse preserves the separate identities of different lots of agricultural commodities; or</w:t>
      </w:r>
    </w:p>
    <w:p w14:paraId="039CA521" w14:textId="77777777" w:rsidR="00787787" w:rsidRPr="001531CD" w:rsidRDefault="00787787" w:rsidP="00787787">
      <w:pPr>
        <w:pStyle w:val="1"/>
      </w:pPr>
      <w:r w:rsidRPr="001531CD">
        <w:t>2.</w:t>
      </w:r>
      <w:r w:rsidRPr="001531CD">
        <w:tab/>
        <w:t xml:space="preserve"> instances in which a warehouse preserves the separate identities of agricultural commodities belonging to different owners.</w:t>
      </w:r>
    </w:p>
    <w:p w14:paraId="2B77980A" w14:textId="77777777" w:rsidR="00787787" w:rsidRPr="001531CD" w:rsidRDefault="00787787" w:rsidP="00787787">
      <w:pPr>
        <w:pStyle w:val="A"/>
      </w:pPr>
      <w:r w:rsidRPr="001531CD">
        <w:rPr>
          <w:i/>
          <w:iCs/>
        </w:rPr>
        <w:t>Independent Certified Public Accountant</w:t>
      </w:r>
      <w:r w:rsidRPr="001531CD">
        <w:t xml:space="preserve">―a person who has completed all requirements established by the American </w:t>
      </w:r>
      <w:r w:rsidRPr="001531CD">
        <w:t>Institute of Certified Public Accountants and the state Society of Louisiana Certified Public Accountants. To be recognized as an independent public accountant, the accountant, members of his immediate family, and his accounting business associates shall be totally free of any obligation to or interest in the client, its management, or its owners.</w:t>
      </w:r>
    </w:p>
    <w:p w14:paraId="26108230" w14:textId="77777777" w:rsidR="00787787" w:rsidRPr="001531CD" w:rsidRDefault="00787787" w:rsidP="00787787">
      <w:pPr>
        <w:pStyle w:val="A"/>
      </w:pPr>
      <w:r w:rsidRPr="001531CD">
        <w:rPr>
          <w:i/>
          <w:iCs/>
        </w:rPr>
        <w:t>Licensed Capacity</w:t>
      </w:r>
      <w:r w:rsidRPr="001531CD">
        <w:t>―the warehouse area which is bonded for the storage of agricultural commodities or farm products belonging to a person other than the owner of the warehouse.</w:t>
      </w:r>
    </w:p>
    <w:p w14:paraId="625F3B02" w14:textId="77777777" w:rsidR="00787787" w:rsidRPr="001531CD" w:rsidRDefault="00787787" w:rsidP="00787787">
      <w:pPr>
        <w:pStyle w:val="A"/>
      </w:pPr>
      <w:r w:rsidRPr="001531CD">
        <w:rPr>
          <w:i/>
          <w:iCs/>
        </w:rPr>
        <w:t>Licensee</w:t>
      </w:r>
      <w:r w:rsidRPr="001531CD">
        <w:t>―any person holding a license as a warehouse, cotton merchant or grain dealer issued by the commission.</w:t>
      </w:r>
    </w:p>
    <w:p w14:paraId="7A67B82E" w14:textId="77777777" w:rsidR="00787787" w:rsidRPr="001531CD" w:rsidRDefault="00787787" w:rsidP="00787787">
      <w:pPr>
        <w:pStyle w:val="A"/>
      </w:pPr>
      <w:r w:rsidRPr="001531CD">
        <w:rPr>
          <w:i/>
          <w:iCs/>
        </w:rPr>
        <w:t>Open</w:t>
      </w:r>
      <w:r w:rsidRPr="001531CD">
        <w:t xml:space="preserve"> or</w:t>
      </w:r>
      <w:r w:rsidRPr="001531CD">
        <w:rPr>
          <w:i/>
          <w:iCs/>
        </w:rPr>
        <w:t xml:space="preserve"> Open Position</w:t>
      </w:r>
      <w:r w:rsidRPr="001531CD">
        <w:t>―the grain dealer's contracts for purchase or sale of agricultural commodities which are unhedged.</w:t>
      </w:r>
    </w:p>
    <w:p w14:paraId="7811B199" w14:textId="77777777" w:rsidR="00787787" w:rsidRPr="001531CD" w:rsidRDefault="00787787" w:rsidP="00787787">
      <w:pPr>
        <w:pStyle w:val="A"/>
      </w:pPr>
      <w:r w:rsidRPr="001531CD">
        <w:rPr>
          <w:i/>
          <w:iCs/>
        </w:rPr>
        <w:t>Person</w:t>
      </w:r>
      <w:r w:rsidRPr="001531CD">
        <w:t>―any individual, partnership, company, firm, association, corporation, cooperative association, or any other legal entity engaged in any of the activities regulated under R.S. 3:3401-3425.</w:t>
      </w:r>
    </w:p>
    <w:p w14:paraId="59D72235" w14:textId="77777777" w:rsidR="00787787" w:rsidRPr="001531CD" w:rsidRDefault="00787787" w:rsidP="00787787">
      <w:pPr>
        <w:pStyle w:val="A"/>
      </w:pPr>
      <w:r w:rsidRPr="001531CD">
        <w:rPr>
          <w:i/>
          <w:iCs/>
        </w:rPr>
        <w:t>Producer</w:t>
      </w:r>
      <w:r w:rsidRPr="001531CD">
        <w:t>―the owner, tenant, lessee, or operator of land within this state who has an interest in or receives all or any part of the proceeds from the sale of agricultural commodities produced thereon.</w:t>
      </w:r>
    </w:p>
    <w:p w14:paraId="2D482D30" w14:textId="77777777" w:rsidR="00787787" w:rsidRPr="001531CD" w:rsidRDefault="00787787" w:rsidP="00787787">
      <w:pPr>
        <w:pStyle w:val="A"/>
      </w:pPr>
      <w:r w:rsidRPr="001531CD">
        <w:rPr>
          <w:i/>
          <w:iCs/>
        </w:rPr>
        <w:t>Purchaser</w:t>
      </w:r>
      <w:r w:rsidRPr="001531CD">
        <w:t>―any person who purchases rice from a producer under a bid contract.</w:t>
      </w:r>
    </w:p>
    <w:p w14:paraId="44FA4D6C" w14:textId="77777777" w:rsidR="00787787" w:rsidRPr="001531CD" w:rsidRDefault="00787787" w:rsidP="00787787">
      <w:pPr>
        <w:pStyle w:val="A"/>
      </w:pPr>
      <w:r w:rsidRPr="001531CD">
        <w:rPr>
          <w:i/>
          <w:iCs/>
        </w:rPr>
        <w:t xml:space="preserve">Review </w:t>
      </w:r>
      <w:r w:rsidRPr="001531CD">
        <w:t>(with respect to a financial statement)―a financial statement prepared by an independent certified public accountant, in the preparation of which financial statement the accountant makes such inquiries of management and performs such analyses and/or comparisons as may appear appropriate to the accountant.</w:t>
      </w:r>
    </w:p>
    <w:p w14:paraId="517910E9" w14:textId="77777777" w:rsidR="00787787" w:rsidRPr="001531CD" w:rsidRDefault="00787787" w:rsidP="00787787">
      <w:pPr>
        <w:pStyle w:val="A"/>
      </w:pPr>
      <w:r w:rsidRPr="001531CD">
        <w:rPr>
          <w:i/>
          <w:iCs/>
        </w:rPr>
        <w:t>Risk Position</w:t>
      </w:r>
      <w:r w:rsidRPr="001531CD">
        <w:t>―the loss potential to the grain dealer resulting from bringing its open position to market.</w:t>
      </w:r>
    </w:p>
    <w:p w14:paraId="2C8A8AF8" w14:textId="77777777" w:rsidR="00D974AA" w:rsidRPr="0083260E" w:rsidRDefault="00D974AA" w:rsidP="00D974AA">
      <w:pPr>
        <w:pStyle w:val="A"/>
      </w:pPr>
      <w:r w:rsidRPr="0083260E">
        <w:rPr>
          <w:i/>
          <w:iCs/>
        </w:rPr>
        <w:t>Scale Ticket</w:t>
      </w:r>
      <w:r>
        <w:t>—</w:t>
      </w:r>
      <w:r w:rsidRPr="0083260E">
        <w:t>the document issued to a producer when agricultural commodities are delivered to a warehouse or grain dealer.</w:t>
      </w:r>
    </w:p>
    <w:p w14:paraId="5A021B24" w14:textId="77777777" w:rsidR="00D974AA" w:rsidRPr="0083260E" w:rsidRDefault="00D974AA" w:rsidP="00D974AA">
      <w:pPr>
        <w:pStyle w:val="A"/>
      </w:pPr>
      <w:r w:rsidRPr="0083260E">
        <w:rPr>
          <w:i/>
        </w:rPr>
        <w:t>Security—</w:t>
      </w:r>
      <w:r w:rsidRPr="0083260E">
        <w:t>any financial instrument or document issued for the benefit of or given to the commission by a licensee or participant in any self-insurance fund pr</w:t>
      </w:r>
      <w:r>
        <w:t>ogram authorized by R.S. 3:3402</w:t>
      </w:r>
      <w:r w:rsidRPr="0083260E">
        <w:t xml:space="preserve"> et seq., as assurance for the fulfillment of the obligations imposed on the licensee by applicable law or regulations.</w:t>
      </w:r>
    </w:p>
    <w:p w14:paraId="1DD8261F" w14:textId="77777777" w:rsidR="00D974AA" w:rsidRPr="0083260E" w:rsidRDefault="00D974AA" w:rsidP="00D974AA">
      <w:pPr>
        <w:pStyle w:val="A"/>
      </w:pPr>
      <w:r w:rsidRPr="0083260E">
        <w:rPr>
          <w:i/>
          <w:iCs/>
        </w:rPr>
        <w:t>Spot</w:t>
      </w:r>
      <w:r w:rsidRPr="0083260E">
        <w:t xml:space="preserve"> or </w:t>
      </w:r>
      <w:r w:rsidRPr="0083260E">
        <w:rPr>
          <w:i/>
          <w:iCs/>
        </w:rPr>
        <w:t>Spot Sale</w:t>
      </w:r>
      <w:r>
        <w:t>—</w:t>
      </w:r>
      <w:r w:rsidRPr="0083260E">
        <w:t>a transaction where title to agricultural commodities passes from the producer to the buyer on the day of delivery, in which transaction the producer is paid promptly at the market price established on the day of delivery.</w:t>
      </w:r>
    </w:p>
    <w:p w14:paraId="083B3846" w14:textId="77777777" w:rsidR="00D974AA" w:rsidRPr="0083260E" w:rsidRDefault="00D974AA" w:rsidP="00D974AA">
      <w:pPr>
        <w:pStyle w:val="A"/>
      </w:pPr>
      <w:r w:rsidRPr="0083260E">
        <w:rPr>
          <w:i/>
          <w:iCs/>
        </w:rPr>
        <w:t>Storage</w:t>
      </w:r>
      <w:r>
        <w:t>—</w:t>
      </w:r>
      <w:r w:rsidRPr="0083260E">
        <w:t xml:space="preserve">the physical possession by a warehouse, in any manner and/or under any type of fee arrangement, of agricultural commodities belonging to any person other than the owner of the warehouse. The term </w:t>
      </w:r>
      <w:r w:rsidRPr="000A691D">
        <w:rPr>
          <w:i/>
        </w:rPr>
        <w:t>storage</w:t>
      </w:r>
      <w:r w:rsidRPr="0083260E">
        <w:t xml:space="preserve"> does not apply to a transaction in which title passes from the seller to the buyer upon delivery.</w:t>
      </w:r>
    </w:p>
    <w:p w14:paraId="62EA9411" w14:textId="77777777" w:rsidR="00D974AA" w:rsidRPr="0083260E" w:rsidRDefault="00D974AA" w:rsidP="00D974AA">
      <w:pPr>
        <w:pStyle w:val="A"/>
      </w:pPr>
      <w:r w:rsidRPr="0083260E">
        <w:rPr>
          <w:i/>
        </w:rPr>
        <w:t>Temporary Storage</w:t>
      </w:r>
      <w:r w:rsidRPr="0083260E">
        <w:t xml:space="preserve">—storage of a commodity for a temporary period of time in a space approved by the </w:t>
      </w:r>
      <w:r w:rsidRPr="0083260E">
        <w:lastRenderedPageBreak/>
        <w:t>commission which does not meet standard requirements for conventional storage.</w:t>
      </w:r>
    </w:p>
    <w:p w14:paraId="5C3F4AAF" w14:textId="77777777" w:rsidR="00787787" w:rsidRPr="001531CD" w:rsidRDefault="00D974AA" w:rsidP="00D974AA">
      <w:pPr>
        <w:pStyle w:val="A"/>
      </w:pPr>
      <w:r w:rsidRPr="0083260E">
        <w:rPr>
          <w:i/>
          <w:iCs/>
        </w:rPr>
        <w:t>Warehouse</w:t>
      </w:r>
      <w:r>
        <w:t>—</w:t>
      </w:r>
      <w:r w:rsidRPr="0083260E">
        <w:t>any building, structure, or any other protected enclosure required to be licensed by the commission in which agricultural commodities or farm products are stored for the public for a fee. The term includes facilities which commingle commodities belonging to different owners and facilities which preserve the separate identities of different lots of agricultural commodities.</w:t>
      </w:r>
    </w:p>
    <w:p w14:paraId="0320F4BE" w14:textId="77777777" w:rsidR="00787787" w:rsidRPr="001531CD" w:rsidRDefault="00787787" w:rsidP="00787787">
      <w:pPr>
        <w:pStyle w:val="A"/>
      </w:pPr>
      <w:r w:rsidRPr="001531CD">
        <w:rPr>
          <w:i/>
          <w:iCs/>
        </w:rPr>
        <w:t>Warehouse Operator</w:t>
      </w:r>
      <w:r w:rsidRPr="001531CD">
        <w:t>―any person or other entity operating a warehouse.</w:t>
      </w:r>
    </w:p>
    <w:p w14:paraId="2259D659" w14:textId="77777777" w:rsidR="00787787" w:rsidRPr="001531CD" w:rsidRDefault="00787787" w:rsidP="00787787">
      <w:pPr>
        <w:pStyle w:val="A"/>
      </w:pPr>
      <w:r w:rsidRPr="001531CD">
        <w:rPr>
          <w:i/>
          <w:iCs/>
        </w:rPr>
        <w:t>Warehouse Receipts</w:t>
      </w:r>
      <w:r w:rsidRPr="001531CD">
        <w:t>―may be paper or electronic and may be negotiable or non-negotiable and are defined as follows.</w:t>
      </w:r>
    </w:p>
    <w:p w14:paraId="6B80C616" w14:textId="77777777" w:rsidR="00787787" w:rsidRPr="001531CD" w:rsidRDefault="00787787" w:rsidP="00787787">
      <w:pPr>
        <w:pStyle w:val="1"/>
      </w:pPr>
      <w:r w:rsidRPr="001531CD">
        <w:t>1.</w:t>
      </w:r>
      <w:r w:rsidRPr="001531CD">
        <w:tab/>
      </w:r>
      <w:r w:rsidRPr="001531CD">
        <w:rPr>
          <w:i/>
          <w:iCs/>
        </w:rPr>
        <w:t>Non-Negotiable Warehouse Receipts</w:t>
      </w:r>
      <w:r w:rsidRPr="001531CD">
        <w:t>―written evidence of the deposit of agricultural commodities or farm products in a warehouse, which cannot be sold or traded by the holder and cannot be used to secure a loan.</w:t>
      </w:r>
    </w:p>
    <w:p w14:paraId="463C1BD9" w14:textId="77777777" w:rsidR="00787787" w:rsidRPr="001531CD" w:rsidRDefault="00787787" w:rsidP="00787787">
      <w:pPr>
        <w:pStyle w:val="1"/>
      </w:pPr>
      <w:r w:rsidRPr="001531CD">
        <w:t>2.</w:t>
      </w:r>
      <w:r w:rsidRPr="001531CD">
        <w:tab/>
      </w:r>
      <w:r w:rsidRPr="001531CD">
        <w:rPr>
          <w:i/>
          <w:iCs/>
        </w:rPr>
        <w:t>Negotiable Warehouse Receipts</w:t>
      </w:r>
      <w:r w:rsidRPr="001531CD">
        <w:t>―written evidence of the deposit of agricultural commodities or farm products in a warehouse, which can be sold or traded by the holder and can be used to secure a loan.</w:t>
      </w:r>
    </w:p>
    <w:p w14:paraId="0B05365E" w14:textId="77777777" w:rsidR="00CF626A" w:rsidRPr="001531CD" w:rsidRDefault="00787787" w:rsidP="00787787">
      <w:pPr>
        <w:pStyle w:val="AuthorityNote"/>
      </w:pPr>
      <w:r w:rsidRPr="001531CD">
        <w:t>AUTHORITY NOTE:</w:t>
      </w:r>
      <w:r w:rsidRPr="001531CD">
        <w:tab/>
        <w:t>Promulgated in accordance with R.S. 3:3402 and R.S. 3:3405.</w:t>
      </w:r>
    </w:p>
    <w:p w14:paraId="62036227" w14:textId="77777777" w:rsidR="00CF626A" w:rsidRPr="001531CD" w:rsidRDefault="00CF626A">
      <w:pPr>
        <w:pStyle w:val="HistoricalNote"/>
      </w:pPr>
      <w:r w:rsidRPr="001531CD">
        <w:t>HISTORICAL NOTE:</w:t>
      </w:r>
      <w:r w:rsidRPr="001531CD">
        <w:tab/>
        <w:t>Promulgated by the Department of Agricultural, Office of Agro-Consumer Services, Agricultural Commodities Commission, LR 9:284 (May 1983), amended by the Department of Agriculture and Forestry, Office of Agro-Consumer Services, Agricultural Commodities Commission, LR 12:287 (May 1986), LR 19:1300 (October 1993), amended by the Department of Agriculture and Forestry, Office of the Commi</w:t>
      </w:r>
      <w:r w:rsidR="00787787" w:rsidRPr="001531CD">
        <w:t>s</w:t>
      </w:r>
      <w:r w:rsidR="000A4E1B" w:rsidRPr="001531CD">
        <w:t>sioner, LR 24:624 (April 1998),</w:t>
      </w:r>
      <w:r w:rsidR="00787787" w:rsidRPr="001531CD">
        <w:t xml:space="preserve"> amended by the Department of Agriculture and Forestry, Agricultural Commodities Commiss</w:t>
      </w:r>
      <w:r w:rsidR="00D974AA">
        <w:t xml:space="preserve">ion, LR 37:494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1498 (September 2016).</w:t>
      </w:r>
    </w:p>
    <w:p w14:paraId="36D9603D" w14:textId="77777777" w:rsidR="000402C5" w:rsidRPr="001531CD" w:rsidRDefault="000402C5" w:rsidP="000402C5">
      <w:pPr>
        <w:pStyle w:val="Section"/>
      </w:pPr>
      <w:bookmarkStart w:id="2614" w:name="_Toc235870212"/>
      <w:bookmarkStart w:id="2615" w:name="_Toc224819315"/>
      <w:r w:rsidRPr="001531CD">
        <w:t>§103.</w:t>
      </w:r>
      <w:r w:rsidRPr="001531CD">
        <w:tab/>
        <w:t>Administration of the Affairs of the Commission</w:t>
      </w:r>
      <w:bookmarkEnd w:id="2614"/>
      <w:bookmarkEnd w:id="2615"/>
    </w:p>
    <w:p w14:paraId="4C4DD77B" w14:textId="77777777" w:rsidR="007A0DCF" w:rsidRPr="00B96639" w:rsidRDefault="007A0DCF" w:rsidP="007A0DCF">
      <w:pPr>
        <w:pStyle w:val="A"/>
      </w:pPr>
      <w:r w:rsidRPr="00B96639">
        <w:t>A.</w:t>
      </w:r>
      <w:r w:rsidRPr="00B96639">
        <w:tab/>
        <w:t>The officers of the commission shall be a chairman and a vice-chairman, who shall serve for terms concurrent with the commissioner, but may be elected for an indefinite number of terms.</w:t>
      </w:r>
    </w:p>
    <w:p w14:paraId="615062EC" w14:textId="77777777" w:rsidR="007A0DCF" w:rsidRPr="00B96639" w:rsidRDefault="007A0DCF" w:rsidP="007A0DCF">
      <w:pPr>
        <w:pStyle w:val="A"/>
      </w:pPr>
      <w:r w:rsidRPr="00B96639">
        <w:t>B.</w:t>
      </w:r>
      <w:r w:rsidRPr="00B96639">
        <w:tab/>
        <w:t>After the initial election of officers, the chairman and vice-chairman shall be elected at the commission's regular meeting during the first quarter of each year.</w:t>
      </w:r>
    </w:p>
    <w:p w14:paraId="63EFDE62" w14:textId="77777777" w:rsidR="007A0DCF" w:rsidRPr="00B96639" w:rsidRDefault="007A0DCF" w:rsidP="007A0DCF">
      <w:pPr>
        <w:pStyle w:val="A"/>
      </w:pPr>
      <w:r w:rsidRPr="00B96639">
        <w:t>C.</w:t>
      </w:r>
      <w:r w:rsidRPr="00B96639">
        <w:tab/>
        <w:t>In the ab</w:t>
      </w:r>
      <w:r>
        <w:t>sen</w:t>
      </w:r>
      <w:r w:rsidRPr="00B96639">
        <w:t>ce of the chairman at any meeting of the commission, the vice-chairman shall preside.</w:t>
      </w:r>
    </w:p>
    <w:p w14:paraId="04334FF7" w14:textId="77777777" w:rsidR="007A0DCF" w:rsidRPr="00B96639" w:rsidRDefault="007A0DCF" w:rsidP="007A0DCF">
      <w:pPr>
        <w:pStyle w:val="A"/>
      </w:pPr>
      <w:r w:rsidRPr="00B96639">
        <w:t>D.</w:t>
      </w:r>
      <w:r w:rsidRPr="00B96639">
        <w:tab/>
        <w:t>Meetings of the commission shall normally be held in its domicile but may be held at other locations upon the determination of the chairman or the will of the commission.</w:t>
      </w:r>
    </w:p>
    <w:p w14:paraId="3F8F5B98" w14:textId="77777777" w:rsidR="007A0DCF" w:rsidRPr="00B96639" w:rsidRDefault="007A0DCF" w:rsidP="007A0DCF">
      <w:pPr>
        <w:pStyle w:val="A"/>
      </w:pPr>
      <w:r w:rsidRPr="00B96639">
        <w:t>E.</w:t>
      </w:r>
      <w:r w:rsidRPr="00B96639">
        <w:tab/>
        <w:t>There shall be no voting by proxy.</w:t>
      </w:r>
    </w:p>
    <w:p w14:paraId="79B9BE24" w14:textId="77777777" w:rsidR="007A0DCF" w:rsidRPr="00B96639" w:rsidRDefault="007A0DCF" w:rsidP="007A0DCF">
      <w:pPr>
        <w:pStyle w:val="A"/>
      </w:pPr>
      <w:r w:rsidRPr="00B96639">
        <w:t>F.</w:t>
      </w:r>
      <w:r w:rsidRPr="00B96639">
        <w:tab/>
        <w:t>The chairman shall designate a hearing officer, who may or may not be a member of the commission, to preside at all adjudicatory proceedings of the commission. The chairman may, if he so desires, serve as hearing officer at any adjudicatory proceeding.</w:t>
      </w:r>
    </w:p>
    <w:p w14:paraId="65C068CE" w14:textId="77777777" w:rsidR="007A0DCF" w:rsidRPr="00B96639" w:rsidRDefault="007A0DCF" w:rsidP="007A0DCF">
      <w:pPr>
        <w:pStyle w:val="A"/>
      </w:pPr>
      <w:r w:rsidRPr="00B96639">
        <w:t>G.</w:t>
      </w:r>
      <w:r w:rsidRPr="00B96639">
        <w:tab/>
        <w:t>The commission shall serve as the hearing body in all adjudicatory proceedings and shall make the final determination with regard to the disposition of all matters coming to adjudication.</w:t>
      </w:r>
    </w:p>
    <w:p w14:paraId="21819F3F" w14:textId="77777777" w:rsidR="007A0DCF" w:rsidRPr="00B96639" w:rsidRDefault="007A0DCF" w:rsidP="007A0DCF">
      <w:pPr>
        <w:pStyle w:val="A"/>
      </w:pPr>
      <w:r w:rsidRPr="00B96639">
        <w:t>H.</w:t>
      </w:r>
      <w:r w:rsidRPr="00B96639">
        <w:tab/>
        <w:t>The director shall provide clerical and other support services as may be required by the commission and shall maintain and distribute appropriate minute records of the commission.</w:t>
      </w:r>
    </w:p>
    <w:p w14:paraId="04C709C2" w14:textId="77777777" w:rsidR="007A0DCF" w:rsidRPr="00B96639" w:rsidRDefault="007A0DCF" w:rsidP="007A0DCF">
      <w:pPr>
        <w:pStyle w:val="A"/>
      </w:pPr>
      <w:r w:rsidRPr="00B96639">
        <w:t>I.</w:t>
      </w:r>
      <w:r w:rsidRPr="00B96639">
        <w:tab/>
        <w:t>No member of the commission shall participate in any discussion or vote concerning any matter before the commission in which such member has a personal or commercial interest.</w:t>
      </w:r>
    </w:p>
    <w:p w14:paraId="62CE1118" w14:textId="77777777" w:rsidR="007A0DCF" w:rsidRPr="00B96639" w:rsidRDefault="007A0DCF" w:rsidP="007A0DCF">
      <w:pPr>
        <w:pStyle w:val="A"/>
      </w:pPr>
      <w:r w:rsidRPr="00B96639">
        <w:t>J.</w:t>
      </w:r>
      <w:r w:rsidRPr="00B96639">
        <w:tab/>
        <w:t>No member of the commission or the staff shall disclose any financial information pertaining to any licensee or applicant for license.</w:t>
      </w:r>
    </w:p>
    <w:p w14:paraId="1672B9B6" w14:textId="77777777" w:rsidR="00D974AA" w:rsidRPr="0083260E" w:rsidRDefault="007A0DCF" w:rsidP="007A0DCF">
      <w:pPr>
        <w:pStyle w:val="A"/>
      </w:pPr>
      <w:r w:rsidRPr="00B96639">
        <w:t>K.</w:t>
      </w:r>
      <w:r w:rsidRPr="00B96639">
        <w:tab/>
        <w:t>The commission may, from time to time, delegate any of its responsibilities to subcommittees appointed by the chairman. Such subcommittees may perform such specific duties as may be assigned by the chairman but all actions of such subcommittees shall be subject to ratification by the full commission.</w:t>
      </w:r>
    </w:p>
    <w:p w14:paraId="4A4B357C" w14:textId="77777777" w:rsidR="00CF626A" w:rsidRPr="001531CD" w:rsidRDefault="00D974AA" w:rsidP="00D974AA">
      <w:pPr>
        <w:pStyle w:val="AuthorityNote"/>
      </w:pPr>
      <w:r w:rsidRPr="0083260E">
        <w:t>AUTHORITY NOTE:</w:t>
      </w:r>
      <w:r w:rsidRPr="0083260E">
        <w:tab/>
      </w:r>
      <w:r w:rsidR="007A0DCF" w:rsidRPr="00B96639">
        <w:t>Promulgated in accordance with R.S. 3:3403 and R.S. 3:3405.</w:t>
      </w:r>
    </w:p>
    <w:p w14:paraId="424FC2FE" w14:textId="77777777" w:rsidR="00CF626A" w:rsidRPr="001531CD" w:rsidRDefault="00CF626A">
      <w:pPr>
        <w:pStyle w:val="HistoricalNote"/>
      </w:pPr>
      <w:r w:rsidRPr="001531CD">
        <w:t>HISTORICAL NOTE:</w:t>
      </w:r>
      <w:r w:rsidRPr="001531CD">
        <w:tab/>
        <w:t>Promulgated by the Department of Agricultural, Agricultural Commodities Commission, LR 9:287 (May 1983), amended 12:287 (May 1986), amended by the Department of Agriculture and Forestry, Office of the Commi</w:t>
      </w:r>
      <w:r w:rsidR="00787787" w:rsidRPr="001531CD">
        <w:t>ssioner, LR 24:624 (April 1998), amended by the Department of Agriculture and Forestry, Agricultural Commodities Commis</w:t>
      </w:r>
      <w:r w:rsidR="00D974AA">
        <w:t xml:space="preserve">sion, LR 37:494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1498 (September 2016)</w:t>
      </w:r>
      <w:r w:rsidR="007A0DCF">
        <w:t xml:space="preserve">, </w:t>
      </w:r>
      <w:r w:rsidR="007A0DCF" w:rsidRPr="00B96639">
        <w:t>LR 4</w:t>
      </w:r>
      <w:r w:rsidR="007A0DCF">
        <w:t>6</w:t>
      </w:r>
      <w:r w:rsidR="007A0DCF" w:rsidRPr="00B96639">
        <w:t>:</w:t>
      </w:r>
      <w:r w:rsidR="007A0DCF">
        <w:t>312 (March 2020).</w:t>
      </w:r>
    </w:p>
    <w:p w14:paraId="08F8682A" w14:textId="77777777" w:rsidR="000402C5" w:rsidRPr="001531CD" w:rsidRDefault="000402C5" w:rsidP="000402C5">
      <w:pPr>
        <w:pStyle w:val="Section"/>
      </w:pPr>
      <w:bookmarkStart w:id="2616" w:name="_Toc235870213"/>
      <w:bookmarkStart w:id="2617" w:name="_Toc224819316"/>
      <w:r w:rsidRPr="001531CD">
        <w:t>§105.</w:t>
      </w:r>
      <w:r w:rsidRPr="001531CD">
        <w:tab/>
        <w:t>Agricultural Commodities and Other Farm Products Regulated by the Commission</w:t>
      </w:r>
      <w:bookmarkEnd w:id="2616"/>
      <w:bookmarkEnd w:id="2617"/>
    </w:p>
    <w:p w14:paraId="3CC0B739" w14:textId="77777777" w:rsidR="00787787" w:rsidRPr="001531CD" w:rsidRDefault="00787787" w:rsidP="00787787">
      <w:pPr>
        <w:pStyle w:val="A"/>
      </w:pPr>
      <w:r w:rsidRPr="001531CD">
        <w:t>A.</w:t>
      </w:r>
      <w:r w:rsidRPr="001531CD">
        <w:tab/>
        <w:t>The following agricultural commodities shall be regulated by the commission at all times:</w:t>
      </w:r>
    </w:p>
    <w:p w14:paraId="4841E6BD" w14:textId="77777777" w:rsidR="00787787" w:rsidRPr="001531CD" w:rsidRDefault="00787787" w:rsidP="00787787">
      <w:pPr>
        <w:pStyle w:val="1"/>
      </w:pPr>
      <w:r w:rsidRPr="001531CD">
        <w:t>1.</w:t>
      </w:r>
      <w:r w:rsidRPr="001531CD">
        <w:tab/>
        <w:t>rice;</w:t>
      </w:r>
    </w:p>
    <w:p w14:paraId="233DC31E" w14:textId="77777777" w:rsidR="00787787" w:rsidRPr="001531CD" w:rsidRDefault="00787787" w:rsidP="00787787">
      <w:pPr>
        <w:pStyle w:val="1"/>
      </w:pPr>
      <w:r w:rsidRPr="001531CD">
        <w:t>2.</w:t>
      </w:r>
      <w:r w:rsidRPr="001531CD">
        <w:tab/>
        <w:t>rough rice;</w:t>
      </w:r>
    </w:p>
    <w:p w14:paraId="1373234D" w14:textId="77777777" w:rsidR="00787787" w:rsidRPr="001531CD" w:rsidRDefault="00787787" w:rsidP="00787787">
      <w:pPr>
        <w:pStyle w:val="1"/>
      </w:pPr>
      <w:r w:rsidRPr="001531CD">
        <w:t>3.</w:t>
      </w:r>
      <w:r w:rsidRPr="001531CD">
        <w:tab/>
        <w:t>all agricultural commodities commonly classed as grain; including:</w:t>
      </w:r>
    </w:p>
    <w:p w14:paraId="431E0CCD" w14:textId="77777777" w:rsidR="00787787" w:rsidRPr="001531CD" w:rsidRDefault="00787787" w:rsidP="00787787">
      <w:pPr>
        <w:pStyle w:val="a0"/>
      </w:pPr>
      <w:r w:rsidRPr="001531CD">
        <w:t>a.</w:t>
      </w:r>
      <w:r w:rsidRPr="001531CD">
        <w:tab/>
        <w:t>wheat;</w:t>
      </w:r>
    </w:p>
    <w:p w14:paraId="72DDE76A" w14:textId="77777777" w:rsidR="00787787" w:rsidRPr="001531CD" w:rsidRDefault="00787787" w:rsidP="00787787">
      <w:pPr>
        <w:pStyle w:val="a0"/>
      </w:pPr>
      <w:r w:rsidRPr="001531CD">
        <w:t>b.</w:t>
      </w:r>
      <w:r w:rsidRPr="001531CD">
        <w:tab/>
        <w:t>corn;</w:t>
      </w:r>
    </w:p>
    <w:p w14:paraId="4603D0A2" w14:textId="77777777" w:rsidR="00787787" w:rsidRPr="001531CD" w:rsidRDefault="00787787" w:rsidP="00787787">
      <w:pPr>
        <w:pStyle w:val="a0"/>
      </w:pPr>
      <w:r w:rsidRPr="001531CD">
        <w:t>c.</w:t>
      </w:r>
      <w:r w:rsidRPr="001531CD">
        <w:tab/>
        <w:t>oats;</w:t>
      </w:r>
    </w:p>
    <w:p w14:paraId="1B67ABE6" w14:textId="77777777" w:rsidR="00787787" w:rsidRPr="001531CD" w:rsidRDefault="00787787" w:rsidP="00787787">
      <w:pPr>
        <w:pStyle w:val="a0"/>
      </w:pPr>
      <w:r w:rsidRPr="001531CD">
        <w:t>d.</w:t>
      </w:r>
      <w:r w:rsidRPr="001531CD">
        <w:tab/>
        <w:t>rye;</w:t>
      </w:r>
    </w:p>
    <w:p w14:paraId="733A503F" w14:textId="77777777" w:rsidR="00787787" w:rsidRPr="001531CD" w:rsidRDefault="00787787" w:rsidP="00787787">
      <w:pPr>
        <w:pStyle w:val="a0"/>
      </w:pPr>
      <w:r w:rsidRPr="001531CD">
        <w:t>e.</w:t>
      </w:r>
      <w:r w:rsidRPr="001531CD">
        <w:tab/>
        <w:t>soybeans;</w:t>
      </w:r>
    </w:p>
    <w:p w14:paraId="1F257BD9" w14:textId="77777777" w:rsidR="00787787" w:rsidRPr="001531CD" w:rsidRDefault="00787787" w:rsidP="00787787">
      <w:pPr>
        <w:pStyle w:val="a0"/>
      </w:pPr>
      <w:r w:rsidRPr="001531CD">
        <w:t>f.</w:t>
      </w:r>
      <w:r w:rsidRPr="001531CD">
        <w:tab/>
        <w:t>barley;</w:t>
      </w:r>
    </w:p>
    <w:p w14:paraId="7C0CEA27" w14:textId="77777777" w:rsidR="00787787" w:rsidRPr="001531CD" w:rsidRDefault="00787787" w:rsidP="00787787">
      <w:pPr>
        <w:pStyle w:val="a0"/>
      </w:pPr>
      <w:r w:rsidRPr="001531CD">
        <w:t>g.</w:t>
      </w:r>
      <w:r w:rsidRPr="001531CD">
        <w:tab/>
        <w:t>grain sorghum;</w:t>
      </w:r>
    </w:p>
    <w:p w14:paraId="167FCE76" w14:textId="77777777" w:rsidR="00787787" w:rsidRPr="001531CD" w:rsidRDefault="00787787" w:rsidP="00787787">
      <w:pPr>
        <w:pStyle w:val="1"/>
      </w:pPr>
      <w:r w:rsidRPr="001531CD">
        <w:t>4.</w:t>
      </w:r>
      <w:r w:rsidRPr="001531CD">
        <w:tab/>
        <w:t>cotton.</w:t>
      </w:r>
    </w:p>
    <w:p w14:paraId="402034BF" w14:textId="77777777" w:rsidR="00787787" w:rsidRPr="001531CD" w:rsidRDefault="00787787" w:rsidP="00787787">
      <w:pPr>
        <w:pStyle w:val="A"/>
      </w:pPr>
      <w:r w:rsidRPr="001531CD">
        <w:t>B.</w:t>
      </w:r>
      <w:r w:rsidRPr="001531CD">
        <w:tab/>
        <w:t xml:space="preserve">Whenever commission warehouse receipts are issued to cover any of the following agricultural commodities, the </w:t>
      </w:r>
      <w:r w:rsidRPr="001531CD">
        <w:lastRenderedPageBreak/>
        <w:t>following agricultural commodities shall be regulated by the commission:</w:t>
      </w:r>
    </w:p>
    <w:p w14:paraId="2E945FDA" w14:textId="77777777" w:rsidR="00787787" w:rsidRPr="001531CD" w:rsidRDefault="00787787" w:rsidP="00787787">
      <w:pPr>
        <w:pStyle w:val="1"/>
      </w:pPr>
      <w:r w:rsidRPr="001531CD">
        <w:t>1.</w:t>
      </w:r>
      <w:r w:rsidRPr="001531CD">
        <w:tab/>
        <w:t>peppers;</w:t>
      </w:r>
    </w:p>
    <w:p w14:paraId="0D2DE738" w14:textId="77777777" w:rsidR="00787787" w:rsidRPr="001531CD" w:rsidRDefault="00787787" w:rsidP="00787787">
      <w:pPr>
        <w:pStyle w:val="1"/>
      </w:pPr>
      <w:r w:rsidRPr="001531CD">
        <w:t>2.</w:t>
      </w:r>
      <w:r w:rsidRPr="001531CD">
        <w:tab/>
        <w:t>oils (vegetables and mineral);</w:t>
      </w:r>
    </w:p>
    <w:p w14:paraId="350C0B96" w14:textId="77777777" w:rsidR="00787787" w:rsidRPr="001531CD" w:rsidRDefault="00787787" w:rsidP="00787787">
      <w:pPr>
        <w:pStyle w:val="1"/>
      </w:pPr>
      <w:r w:rsidRPr="001531CD">
        <w:t>3.</w:t>
      </w:r>
      <w:r w:rsidRPr="001531CD">
        <w:tab/>
        <w:t>pecans;</w:t>
      </w:r>
    </w:p>
    <w:p w14:paraId="2A2554D5" w14:textId="77777777" w:rsidR="00787787" w:rsidRPr="001531CD" w:rsidRDefault="00787787" w:rsidP="00787787">
      <w:pPr>
        <w:pStyle w:val="1"/>
      </w:pPr>
      <w:r w:rsidRPr="001531CD">
        <w:t>4.</w:t>
      </w:r>
      <w:r w:rsidRPr="001531CD">
        <w:tab/>
        <w:t>molasses and/or syrup;</w:t>
      </w:r>
    </w:p>
    <w:p w14:paraId="753432F6" w14:textId="77777777" w:rsidR="00787787" w:rsidRPr="001531CD" w:rsidRDefault="00787787" w:rsidP="00787787">
      <w:pPr>
        <w:pStyle w:val="1"/>
      </w:pPr>
      <w:r w:rsidRPr="001531CD">
        <w:t>5.</w:t>
      </w:r>
      <w:r w:rsidRPr="001531CD">
        <w:tab/>
        <w:t>any canned and/or frozen vegetables/fruits/juices.</w:t>
      </w:r>
    </w:p>
    <w:p w14:paraId="6E94016C" w14:textId="77777777" w:rsidR="00787787" w:rsidRPr="001531CD" w:rsidRDefault="00787787" w:rsidP="00787787">
      <w:pPr>
        <w:pStyle w:val="A"/>
      </w:pPr>
      <w:r w:rsidRPr="001531CD">
        <w:t>C.</w:t>
      </w:r>
      <w:r w:rsidRPr="001531CD">
        <w:tab/>
        <w:t>Commodities and farm products enumerated in §105.B of this Part shall be subject to all requirements set forth in the regulations contained in this Part whenever commission warehouse receipts are issued.</w:t>
      </w:r>
    </w:p>
    <w:p w14:paraId="3F078864" w14:textId="77777777" w:rsidR="00CF626A" w:rsidRPr="001531CD" w:rsidRDefault="00787787" w:rsidP="00787787">
      <w:pPr>
        <w:pStyle w:val="AuthorityNote"/>
      </w:pPr>
      <w:r w:rsidRPr="001531CD">
        <w:t>AUTHORITY NOTE:</w:t>
      </w:r>
      <w:r w:rsidRPr="001531CD">
        <w:tab/>
        <w:t>Promulgated in accordance with R.S. 3:3405.</w:t>
      </w:r>
    </w:p>
    <w:p w14:paraId="1F083D6C"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9:288 (May 1983), amended by the Department of Agriculture and Forestry, Office of Agro-Consumer Services, Agricultural Commodities Commission, LR 19:1300 (October 1993), amended by the Department of Agriculture and Forestry, Office of the Commi</w:t>
      </w:r>
      <w:r w:rsidR="00787787" w:rsidRPr="001531CD">
        <w:t>ssioner, LR 24:624 (April 1998), amended by the Department of Agriculture and Forestry, Agricultural Commodities Commiss</w:t>
      </w:r>
      <w:r w:rsidR="000A4E1B" w:rsidRPr="001531CD">
        <w:t>ion, LR 37:497 (February 2011).</w:t>
      </w:r>
    </w:p>
    <w:p w14:paraId="1A290A97" w14:textId="77777777" w:rsidR="000402C5" w:rsidRPr="001531CD" w:rsidRDefault="000402C5" w:rsidP="000402C5">
      <w:pPr>
        <w:pStyle w:val="Chapter"/>
      </w:pPr>
      <w:bookmarkStart w:id="2618" w:name="TOC_SubC204"/>
      <w:bookmarkStart w:id="2619" w:name="_Toc235870214"/>
      <w:bookmarkStart w:id="2620" w:name="_Toc224819317"/>
      <w:r w:rsidRPr="001531CD">
        <w:t>Subchapter B.</w:t>
      </w:r>
      <w:bookmarkEnd w:id="2618"/>
      <w:r w:rsidRPr="001531CD">
        <w:tab/>
      </w:r>
      <w:bookmarkStart w:id="2621" w:name="TOCT_SubC197"/>
      <w:bookmarkStart w:id="2622" w:name="TOCT_SubC203"/>
      <w:bookmarkStart w:id="2623" w:name="TOCT_SubC204"/>
      <w:r w:rsidRPr="001531CD">
        <w:t>Application for Warehouse, Grain Dealer</w:t>
      </w:r>
      <w:bookmarkEnd w:id="2619"/>
      <w:bookmarkEnd w:id="2621"/>
      <w:bookmarkEnd w:id="2622"/>
      <w:bookmarkEnd w:id="2623"/>
      <w:r w:rsidRPr="001531CD">
        <w:t xml:space="preserve"> and Cotton Merchant Licenses</w:t>
      </w:r>
      <w:bookmarkEnd w:id="2620"/>
    </w:p>
    <w:p w14:paraId="3387F8BB" w14:textId="77777777" w:rsidR="00787787" w:rsidRPr="001531CD" w:rsidRDefault="000402C5" w:rsidP="000402C5">
      <w:pPr>
        <w:pStyle w:val="Section"/>
      </w:pPr>
      <w:bookmarkStart w:id="2624" w:name="_Toc235870215"/>
      <w:bookmarkStart w:id="2625" w:name="_Toc224819318"/>
      <w:r w:rsidRPr="001531CD">
        <w:t>§107.</w:t>
      </w:r>
      <w:r w:rsidRPr="001531CD">
        <w:tab/>
        <w:t>Application for License (Initial and Renewal); Time for Filing; Contents; Fees; Style of Document</w:t>
      </w:r>
      <w:bookmarkEnd w:id="2624"/>
      <w:bookmarkEnd w:id="2625"/>
    </w:p>
    <w:p w14:paraId="025DE86B" w14:textId="77777777" w:rsidR="00787787" w:rsidRPr="001531CD" w:rsidRDefault="00D974AA" w:rsidP="00787787">
      <w:pPr>
        <w:pStyle w:val="A"/>
      </w:pPr>
      <w:r w:rsidRPr="0083260E">
        <w:t>A.</w:t>
      </w:r>
      <w:r w:rsidRPr="0083260E">
        <w:tab/>
        <w:t>Applications for renewal of warehouse, cotton merchant and grain dealer licenses shall be received no later than April 30 of each year. Applications for initial license may be filed at any time during the year. For both initial and renewal licenses, the following information shall be furnished on the application form provided by the commission:</w:t>
      </w:r>
    </w:p>
    <w:p w14:paraId="67A9F31C" w14:textId="77777777" w:rsidR="00787787" w:rsidRPr="001531CD" w:rsidRDefault="00787787" w:rsidP="00787787">
      <w:pPr>
        <w:pStyle w:val="1"/>
      </w:pPr>
      <w:r w:rsidRPr="001531CD">
        <w:t>1.</w:t>
      </w:r>
      <w:r w:rsidRPr="001531CD">
        <w:tab/>
        <w:t>type of application:</w:t>
      </w:r>
    </w:p>
    <w:p w14:paraId="7DE079BF" w14:textId="77777777" w:rsidR="00787787" w:rsidRPr="001531CD" w:rsidRDefault="00787787" w:rsidP="00787787">
      <w:pPr>
        <w:pStyle w:val="a0"/>
      </w:pPr>
      <w:r w:rsidRPr="001531CD">
        <w:t>a.</w:t>
      </w:r>
      <w:r w:rsidRPr="001531CD">
        <w:tab/>
        <w:t>warehouse;</w:t>
      </w:r>
    </w:p>
    <w:p w14:paraId="27AB9FE8" w14:textId="77777777" w:rsidR="00787787" w:rsidRPr="001531CD" w:rsidRDefault="00787787" w:rsidP="00787787">
      <w:pPr>
        <w:pStyle w:val="a0"/>
      </w:pPr>
      <w:r w:rsidRPr="001531CD">
        <w:t>b.</w:t>
      </w:r>
      <w:r w:rsidRPr="001531CD">
        <w:tab/>
        <w:t>grain dealer;</w:t>
      </w:r>
    </w:p>
    <w:p w14:paraId="7E224325" w14:textId="77777777" w:rsidR="00787787" w:rsidRPr="001531CD" w:rsidRDefault="00787787" w:rsidP="00787787">
      <w:pPr>
        <w:pStyle w:val="a0"/>
      </w:pPr>
      <w:r w:rsidRPr="001531CD">
        <w:t>c.</w:t>
      </w:r>
      <w:r w:rsidRPr="001531CD">
        <w:tab/>
        <w:t>cotton merchant;</w:t>
      </w:r>
    </w:p>
    <w:p w14:paraId="0376E7AB" w14:textId="77777777" w:rsidR="00787787" w:rsidRPr="001531CD" w:rsidRDefault="00787787" w:rsidP="00787787">
      <w:pPr>
        <w:pStyle w:val="1"/>
      </w:pPr>
      <w:r w:rsidRPr="001531CD">
        <w:t>2.</w:t>
      </w:r>
      <w:r w:rsidRPr="001531CD">
        <w:tab/>
        <w:t>date of submission;</w:t>
      </w:r>
    </w:p>
    <w:p w14:paraId="03A23D1A" w14:textId="77777777" w:rsidR="00787787" w:rsidRPr="001531CD" w:rsidRDefault="00787787" w:rsidP="00787787">
      <w:pPr>
        <w:pStyle w:val="1"/>
      </w:pPr>
      <w:r w:rsidRPr="001531CD">
        <w:t>3.</w:t>
      </w:r>
      <w:r w:rsidRPr="001531CD">
        <w:tab/>
        <w:t>nature of application:</w:t>
      </w:r>
    </w:p>
    <w:p w14:paraId="020EC7D8" w14:textId="77777777" w:rsidR="00787787" w:rsidRPr="001531CD" w:rsidRDefault="00787787" w:rsidP="00787787">
      <w:pPr>
        <w:pStyle w:val="a0"/>
      </w:pPr>
      <w:r w:rsidRPr="001531CD">
        <w:t>a.</w:t>
      </w:r>
      <w:r w:rsidRPr="001531CD">
        <w:tab/>
        <w:t>initial application;</w:t>
      </w:r>
    </w:p>
    <w:p w14:paraId="0C156231" w14:textId="77777777" w:rsidR="00787787" w:rsidRPr="001531CD" w:rsidRDefault="00787787" w:rsidP="00787787">
      <w:pPr>
        <w:pStyle w:val="a0"/>
      </w:pPr>
      <w:r w:rsidRPr="001531CD">
        <w:t>b.</w:t>
      </w:r>
      <w:r w:rsidRPr="001531CD">
        <w:tab/>
        <w:t>renewal application;</w:t>
      </w:r>
    </w:p>
    <w:p w14:paraId="2B64B889" w14:textId="77777777" w:rsidR="00787787" w:rsidRPr="001531CD" w:rsidRDefault="00787787" w:rsidP="00787787">
      <w:pPr>
        <w:pStyle w:val="1"/>
      </w:pPr>
      <w:r w:rsidRPr="001531CD">
        <w:t>4.</w:t>
      </w:r>
      <w:r w:rsidRPr="001531CD">
        <w:tab/>
        <w:t>nature of applicant's business:</w:t>
      </w:r>
    </w:p>
    <w:p w14:paraId="52083C39" w14:textId="77777777" w:rsidR="00787787" w:rsidRPr="001531CD" w:rsidRDefault="00787787" w:rsidP="00787787">
      <w:pPr>
        <w:pStyle w:val="a0"/>
      </w:pPr>
      <w:r w:rsidRPr="001531CD">
        <w:t>a.</w:t>
      </w:r>
      <w:r w:rsidRPr="001531CD">
        <w:tab/>
        <w:t>sole proprietorship;</w:t>
      </w:r>
    </w:p>
    <w:p w14:paraId="20FB26D8" w14:textId="77777777" w:rsidR="00787787" w:rsidRPr="001531CD" w:rsidRDefault="00787787" w:rsidP="00787787">
      <w:pPr>
        <w:pStyle w:val="a0"/>
      </w:pPr>
      <w:r w:rsidRPr="001531CD">
        <w:t>b.</w:t>
      </w:r>
      <w:r w:rsidRPr="001531CD">
        <w:tab/>
        <w:t>partnership;</w:t>
      </w:r>
    </w:p>
    <w:p w14:paraId="5E0DFD3D" w14:textId="77777777" w:rsidR="00787787" w:rsidRPr="001531CD" w:rsidRDefault="00787787" w:rsidP="00787787">
      <w:pPr>
        <w:pStyle w:val="a0"/>
      </w:pPr>
      <w:r w:rsidRPr="001531CD">
        <w:t>c.</w:t>
      </w:r>
      <w:r w:rsidRPr="001531CD">
        <w:tab/>
        <w:t>corporation;</w:t>
      </w:r>
    </w:p>
    <w:p w14:paraId="59B90605" w14:textId="77777777" w:rsidR="00787787" w:rsidRPr="001531CD" w:rsidRDefault="00787787" w:rsidP="00787787">
      <w:pPr>
        <w:pStyle w:val="a0"/>
      </w:pPr>
      <w:r w:rsidRPr="001531CD">
        <w:t>d.</w:t>
      </w:r>
      <w:r w:rsidRPr="001531CD">
        <w:tab/>
        <w:t>association;</w:t>
      </w:r>
    </w:p>
    <w:p w14:paraId="2A28C722" w14:textId="77777777" w:rsidR="00787787" w:rsidRPr="001531CD" w:rsidRDefault="00787787" w:rsidP="00787787">
      <w:pPr>
        <w:pStyle w:val="a0"/>
      </w:pPr>
      <w:r w:rsidRPr="001531CD">
        <w:t>e.</w:t>
      </w:r>
      <w:r w:rsidRPr="001531CD">
        <w:tab/>
        <w:t>agricultural cooperative;</w:t>
      </w:r>
    </w:p>
    <w:p w14:paraId="796C2A9B" w14:textId="77777777" w:rsidR="00787787" w:rsidRPr="001531CD" w:rsidRDefault="00787787" w:rsidP="00787787">
      <w:pPr>
        <w:pStyle w:val="a0"/>
      </w:pPr>
      <w:r w:rsidRPr="001531CD">
        <w:t>f.</w:t>
      </w:r>
      <w:r w:rsidRPr="001531CD">
        <w:tab/>
        <w:t>other;</w:t>
      </w:r>
    </w:p>
    <w:p w14:paraId="45AB728C" w14:textId="77777777" w:rsidR="00787787" w:rsidRPr="001531CD" w:rsidRDefault="00787787" w:rsidP="00787787">
      <w:pPr>
        <w:pStyle w:val="1"/>
      </w:pPr>
      <w:r w:rsidRPr="001531CD">
        <w:t>5.</w:t>
      </w:r>
      <w:r w:rsidRPr="001531CD">
        <w:tab/>
        <w:t>name under which the business will operate;</w:t>
      </w:r>
    </w:p>
    <w:p w14:paraId="5D56309C" w14:textId="77777777" w:rsidR="00787787" w:rsidRPr="001531CD" w:rsidRDefault="00787787" w:rsidP="00787787">
      <w:pPr>
        <w:pStyle w:val="1"/>
      </w:pPr>
      <w:r w:rsidRPr="001531CD">
        <w:t>6.</w:t>
      </w:r>
      <w:r w:rsidRPr="001531CD">
        <w:tab/>
        <w:t>address of the principal office of the business, either in-state or out-of-state, including mailing address, physical location, and telephone number;</w:t>
      </w:r>
    </w:p>
    <w:p w14:paraId="4E93C303" w14:textId="77777777" w:rsidR="00787787" w:rsidRPr="001531CD" w:rsidRDefault="00787787" w:rsidP="00787787">
      <w:pPr>
        <w:pStyle w:val="1"/>
      </w:pPr>
      <w:r w:rsidRPr="001531CD">
        <w:t>7.</w:t>
      </w:r>
      <w:r w:rsidRPr="001531CD">
        <w:tab/>
        <w:t>name of the person in charge (e.g., manager, warehouse operator, principal dealer, etc.) and his residence address and telephone number;</w:t>
      </w:r>
    </w:p>
    <w:p w14:paraId="15AD2AFA" w14:textId="77777777" w:rsidR="00787787" w:rsidRPr="001531CD" w:rsidRDefault="00787787" w:rsidP="00787787">
      <w:pPr>
        <w:pStyle w:val="1"/>
      </w:pPr>
      <w:r w:rsidRPr="001531CD">
        <w:t>8.</w:t>
      </w:r>
      <w:r w:rsidRPr="001531CD">
        <w:tab/>
        <w:t>if a partnership, the names, addresses, and interests of all partners;</w:t>
      </w:r>
    </w:p>
    <w:p w14:paraId="2F5666FA" w14:textId="77777777" w:rsidR="00787787" w:rsidRPr="001531CD" w:rsidRDefault="00787787" w:rsidP="00787787">
      <w:pPr>
        <w:pStyle w:val="1"/>
      </w:pPr>
      <w:r w:rsidRPr="001531CD">
        <w:t>9.</w:t>
      </w:r>
      <w:r w:rsidRPr="001531CD">
        <w:tab/>
        <w:t>if a corporation, the names and addresses of all officers;</w:t>
      </w:r>
    </w:p>
    <w:p w14:paraId="20B95A77" w14:textId="77777777" w:rsidR="00787787" w:rsidRPr="001531CD" w:rsidRDefault="00787787" w:rsidP="00787787">
      <w:pPr>
        <w:pStyle w:val="1"/>
      </w:pPr>
      <w:r w:rsidRPr="001531CD">
        <w:t>10.</w:t>
      </w:r>
      <w:r w:rsidRPr="001531CD">
        <w:tab/>
        <w:t>if an association, including an agricultural cooperative, the names and addresses of all members of the board of directors;</w:t>
      </w:r>
    </w:p>
    <w:p w14:paraId="01D05250" w14:textId="77777777" w:rsidR="00787787" w:rsidRPr="001531CD" w:rsidRDefault="00787787" w:rsidP="00787787">
      <w:pPr>
        <w:pStyle w:val="1"/>
      </w:pPr>
      <w:r w:rsidRPr="001531CD">
        <w:t>11.</w:t>
      </w:r>
      <w:r w:rsidRPr="001531CD">
        <w:tab/>
        <w:t>name and address of the owner of the business, if not shown under §107.A.7, 8, and 9 of this Part;</w:t>
      </w:r>
    </w:p>
    <w:p w14:paraId="2FF27AB0" w14:textId="77777777" w:rsidR="00787787" w:rsidRPr="001531CD" w:rsidRDefault="00787787" w:rsidP="00787787">
      <w:pPr>
        <w:pStyle w:val="1"/>
      </w:pPr>
      <w:r w:rsidRPr="001531CD">
        <w:t>12.</w:t>
      </w:r>
      <w:r w:rsidRPr="001531CD">
        <w:tab/>
        <w:t>status of the facility in which the business will be operated:</w:t>
      </w:r>
    </w:p>
    <w:p w14:paraId="0459918D" w14:textId="77777777" w:rsidR="00787787" w:rsidRPr="001531CD" w:rsidRDefault="00787787" w:rsidP="00787787">
      <w:pPr>
        <w:pStyle w:val="a0"/>
      </w:pPr>
      <w:r w:rsidRPr="001531CD">
        <w:t>a.</w:t>
      </w:r>
      <w:r w:rsidRPr="001531CD">
        <w:tab/>
        <w:t>owned by applicant;</w:t>
      </w:r>
    </w:p>
    <w:p w14:paraId="7B319002" w14:textId="77777777" w:rsidR="00787787" w:rsidRPr="001531CD" w:rsidRDefault="00787787" w:rsidP="00787787">
      <w:pPr>
        <w:pStyle w:val="a0"/>
      </w:pPr>
      <w:r w:rsidRPr="001531CD">
        <w:t>b.</w:t>
      </w:r>
      <w:r w:rsidRPr="001531CD">
        <w:tab/>
        <w:t>leased by applicant (short term or long term);</w:t>
      </w:r>
    </w:p>
    <w:p w14:paraId="376E8900" w14:textId="77777777" w:rsidR="00787787" w:rsidRPr="001531CD" w:rsidRDefault="00787787" w:rsidP="00787787">
      <w:pPr>
        <w:pStyle w:val="a0"/>
      </w:pPr>
      <w:r w:rsidRPr="001531CD">
        <w:t>c.</w:t>
      </w:r>
      <w:r w:rsidRPr="001531CD">
        <w:tab/>
        <w:t>rented by applicant and name and address of owner;</w:t>
      </w:r>
    </w:p>
    <w:p w14:paraId="268A8A9C" w14:textId="77777777" w:rsidR="00787787" w:rsidRPr="001531CD" w:rsidRDefault="00787787" w:rsidP="00787787">
      <w:pPr>
        <w:pStyle w:val="a0"/>
      </w:pPr>
      <w:r w:rsidRPr="001531CD">
        <w:t>d.</w:t>
      </w:r>
      <w:r w:rsidRPr="001531CD">
        <w:tab/>
        <w:t>other;</w:t>
      </w:r>
    </w:p>
    <w:p w14:paraId="2BF452B2" w14:textId="77777777" w:rsidR="00787787" w:rsidRPr="001531CD" w:rsidRDefault="00787787" w:rsidP="00787787">
      <w:pPr>
        <w:pStyle w:val="1"/>
      </w:pPr>
      <w:r w:rsidRPr="001531CD">
        <w:t>13.</w:t>
      </w:r>
      <w:r w:rsidRPr="001531CD">
        <w:tab/>
        <w:t>type of agricultural commodities that the applicant will store or trade;</w:t>
      </w:r>
    </w:p>
    <w:p w14:paraId="57155034" w14:textId="77777777" w:rsidR="00787787" w:rsidRPr="001531CD" w:rsidRDefault="00787787" w:rsidP="00787787">
      <w:pPr>
        <w:pStyle w:val="1"/>
      </w:pPr>
      <w:r w:rsidRPr="001531CD">
        <w:t>14.</w:t>
      </w:r>
      <w:r w:rsidRPr="001531CD">
        <w:tab/>
        <w:t>for all business locations to be operated under one license:</w:t>
      </w:r>
    </w:p>
    <w:p w14:paraId="67B2B70D" w14:textId="77777777" w:rsidR="00787787" w:rsidRPr="001531CD" w:rsidRDefault="00787787" w:rsidP="00787787">
      <w:pPr>
        <w:pStyle w:val="a0"/>
      </w:pPr>
      <w:r w:rsidRPr="001531CD">
        <w:t>a.</w:t>
      </w:r>
      <w:r w:rsidRPr="001531CD">
        <w:tab/>
        <w:t>number of locations;</w:t>
      </w:r>
    </w:p>
    <w:p w14:paraId="4E255799" w14:textId="77777777" w:rsidR="00787787" w:rsidRPr="001531CD" w:rsidRDefault="00787787" w:rsidP="00787787">
      <w:pPr>
        <w:pStyle w:val="a0"/>
      </w:pPr>
      <w:r w:rsidRPr="001531CD">
        <w:t>b.</w:t>
      </w:r>
      <w:r w:rsidRPr="001531CD">
        <w:tab/>
        <w:t>address of each location;</w:t>
      </w:r>
    </w:p>
    <w:p w14:paraId="099E5550" w14:textId="77777777" w:rsidR="00787787" w:rsidRPr="001531CD" w:rsidRDefault="00787787" w:rsidP="00787787">
      <w:pPr>
        <w:pStyle w:val="a0"/>
      </w:pPr>
      <w:r w:rsidRPr="001531CD">
        <w:t>c.</w:t>
      </w:r>
      <w:r w:rsidRPr="001531CD">
        <w:tab/>
        <w:t>total capacity;</w:t>
      </w:r>
    </w:p>
    <w:p w14:paraId="1A3B918A" w14:textId="77777777" w:rsidR="00787787" w:rsidRPr="001531CD" w:rsidRDefault="00787787" w:rsidP="00787787">
      <w:pPr>
        <w:pStyle w:val="a0"/>
      </w:pPr>
      <w:r w:rsidRPr="001531CD">
        <w:t>d.</w:t>
      </w:r>
      <w:r w:rsidRPr="001531CD">
        <w:tab/>
        <w:t>capacity of each location to be licensed, if different from total capacity;</w:t>
      </w:r>
    </w:p>
    <w:p w14:paraId="7A4B2CCD" w14:textId="77777777" w:rsidR="00787787" w:rsidRPr="001531CD" w:rsidRDefault="00787787" w:rsidP="00787787">
      <w:pPr>
        <w:pStyle w:val="a0"/>
      </w:pPr>
      <w:r w:rsidRPr="001531CD">
        <w:t>e.</w:t>
      </w:r>
      <w:r w:rsidRPr="001531CD">
        <w:tab/>
        <w:t>name of person in charge of each facility;</w:t>
      </w:r>
    </w:p>
    <w:p w14:paraId="3102B43A" w14:textId="77777777" w:rsidR="00D974AA" w:rsidRPr="0083260E" w:rsidRDefault="00D974AA" w:rsidP="00D974AA">
      <w:pPr>
        <w:pStyle w:val="1"/>
      </w:pPr>
      <w:r w:rsidRPr="0083260E">
        <w:t>15.</w:t>
      </w:r>
      <w:r w:rsidRPr="0083260E">
        <w:tab/>
        <w:t>security status of the applicant:</w:t>
      </w:r>
    </w:p>
    <w:p w14:paraId="4FC8E35F" w14:textId="77777777" w:rsidR="00D974AA" w:rsidRPr="0083260E" w:rsidRDefault="00D974AA" w:rsidP="00D974AA">
      <w:pPr>
        <w:pStyle w:val="a0"/>
      </w:pPr>
      <w:r w:rsidRPr="0083260E">
        <w:t>a.</w:t>
      </w:r>
      <w:r w:rsidRPr="0083260E">
        <w:tab/>
        <w:t>amount of security posted;</w:t>
      </w:r>
    </w:p>
    <w:p w14:paraId="68C7863B" w14:textId="77777777" w:rsidR="00D974AA" w:rsidRPr="0083260E" w:rsidRDefault="00D974AA" w:rsidP="00D974AA">
      <w:pPr>
        <w:pStyle w:val="a0"/>
      </w:pPr>
      <w:r w:rsidRPr="0083260E">
        <w:t>b.</w:t>
      </w:r>
      <w:r w:rsidRPr="0083260E">
        <w:tab/>
        <w:t>name and address of issuing company providing the security;</w:t>
      </w:r>
    </w:p>
    <w:p w14:paraId="497573A7" w14:textId="77777777" w:rsidR="00787787" w:rsidRPr="001531CD" w:rsidRDefault="00D974AA" w:rsidP="00D974AA">
      <w:pPr>
        <w:pStyle w:val="a0"/>
      </w:pPr>
      <w:r w:rsidRPr="0083260E">
        <w:t>c.</w:t>
      </w:r>
      <w:r w:rsidRPr="0083260E">
        <w:tab/>
        <w:t>period for which the security is written;</w:t>
      </w:r>
    </w:p>
    <w:p w14:paraId="39E2AEED" w14:textId="77777777" w:rsidR="00787787" w:rsidRPr="001531CD" w:rsidRDefault="00787787" w:rsidP="00787787">
      <w:pPr>
        <w:pStyle w:val="1"/>
      </w:pPr>
      <w:r w:rsidRPr="001531CD">
        <w:t>16.</w:t>
      </w:r>
      <w:r w:rsidRPr="001531CD">
        <w:tab/>
        <w:t>insurance of applicant:</w:t>
      </w:r>
    </w:p>
    <w:p w14:paraId="485D8B18" w14:textId="77777777" w:rsidR="00787787" w:rsidRPr="001531CD" w:rsidRDefault="00787787" w:rsidP="00787787">
      <w:pPr>
        <w:pStyle w:val="a0"/>
      </w:pPr>
      <w:r w:rsidRPr="001531CD">
        <w:t>a.</w:t>
      </w:r>
      <w:r w:rsidRPr="001531CD">
        <w:tab/>
        <w:t>amount of provisional stock insurance carried;</w:t>
      </w:r>
    </w:p>
    <w:p w14:paraId="47ADFF1F" w14:textId="77777777" w:rsidR="00787787" w:rsidRPr="001531CD" w:rsidRDefault="00787787" w:rsidP="00787787">
      <w:pPr>
        <w:pStyle w:val="a0"/>
      </w:pPr>
      <w:r w:rsidRPr="001531CD">
        <w:t>b.</w:t>
      </w:r>
      <w:r w:rsidRPr="001531CD">
        <w:tab/>
        <w:t>name and address of carrier;</w:t>
      </w:r>
    </w:p>
    <w:p w14:paraId="79211536" w14:textId="77777777" w:rsidR="00787787" w:rsidRPr="001531CD" w:rsidRDefault="00787787" w:rsidP="00787787">
      <w:pPr>
        <w:pStyle w:val="a0"/>
      </w:pPr>
      <w:r w:rsidRPr="001531CD">
        <w:t>c.</w:t>
      </w:r>
      <w:r w:rsidRPr="001531CD">
        <w:tab/>
        <w:t>term of policy;</w:t>
      </w:r>
    </w:p>
    <w:p w14:paraId="0537A75D" w14:textId="77777777" w:rsidR="00787787" w:rsidRPr="001531CD" w:rsidRDefault="00787787" w:rsidP="00787787">
      <w:pPr>
        <w:pStyle w:val="a0"/>
      </w:pPr>
      <w:r w:rsidRPr="001531CD">
        <w:lastRenderedPageBreak/>
        <w:t>d.</w:t>
      </w:r>
      <w:r w:rsidRPr="001531CD">
        <w:tab/>
        <w:t>physical address of each location covered by stock insurance;</w:t>
      </w:r>
    </w:p>
    <w:p w14:paraId="431C603E" w14:textId="77777777" w:rsidR="00787787" w:rsidRPr="001531CD" w:rsidRDefault="00787787" w:rsidP="00787787">
      <w:pPr>
        <w:pStyle w:val="1"/>
      </w:pPr>
      <w:r w:rsidRPr="001531CD">
        <w:t>17.</w:t>
      </w:r>
      <w:r w:rsidRPr="001531CD">
        <w:tab/>
        <w:t>names of all authorized agents;</w:t>
      </w:r>
    </w:p>
    <w:p w14:paraId="32A512FA" w14:textId="77777777" w:rsidR="00787787" w:rsidRPr="001531CD" w:rsidRDefault="00787787" w:rsidP="00787787">
      <w:pPr>
        <w:pStyle w:val="1"/>
      </w:pPr>
      <w:r w:rsidRPr="001531CD">
        <w:t>18.</w:t>
      </w:r>
      <w:r w:rsidRPr="001531CD">
        <w:tab/>
        <w:t>a statement that the applicant will abide by the requirements of R.S. 3:3401-3425 and the regulations contained in this Part;</w:t>
      </w:r>
    </w:p>
    <w:p w14:paraId="01D5BC3E" w14:textId="77777777" w:rsidR="00787787" w:rsidRPr="001531CD" w:rsidRDefault="00787787" w:rsidP="00787787">
      <w:pPr>
        <w:pStyle w:val="1"/>
      </w:pPr>
      <w:r w:rsidRPr="001531CD">
        <w:t>19.</w:t>
      </w:r>
      <w:r w:rsidRPr="001531CD">
        <w:tab/>
        <w:t>a certified statement that all representations contained in the application and in all required attachments are true and correct;</w:t>
      </w:r>
    </w:p>
    <w:p w14:paraId="7FA34B92" w14:textId="77777777" w:rsidR="00787787" w:rsidRPr="001531CD" w:rsidRDefault="00787787" w:rsidP="00787787">
      <w:pPr>
        <w:pStyle w:val="1"/>
      </w:pPr>
      <w:r w:rsidRPr="001531CD">
        <w:t>20.</w:t>
      </w:r>
      <w:r w:rsidRPr="001531CD">
        <w:tab/>
        <w:t>grain dealer applicants only:</w:t>
      </w:r>
    </w:p>
    <w:p w14:paraId="369710F6" w14:textId="77777777" w:rsidR="00787787" w:rsidRPr="001531CD" w:rsidRDefault="00787787" w:rsidP="00787787">
      <w:pPr>
        <w:pStyle w:val="a0"/>
      </w:pPr>
      <w:r w:rsidRPr="001531CD">
        <w:t>a.</w:t>
      </w:r>
      <w:r w:rsidRPr="001531CD">
        <w:tab/>
        <w:t>name of person(s) on grain dealer's staff who is certified as a grain sampler and/or grader;</w:t>
      </w:r>
    </w:p>
    <w:p w14:paraId="5C726D94" w14:textId="77777777" w:rsidR="00787787" w:rsidRPr="001531CD" w:rsidRDefault="00787787" w:rsidP="00787787">
      <w:pPr>
        <w:pStyle w:val="1"/>
      </w:pPr>
      <w:r w:rsidRPr="001531CD">
        <w:t>21.</w:t>
      </w:r>
      <w:r w:rsidRPr="001531CD">
        <w:tab/>
        <w:t>warehouse applicant only:</w:t>
      </w:r>
    </w:p>
    <w:p w14:paraId="2CE2BA28" w14:textId="77777777" w:rsidR="00787787" w:rsidRPr="001531CD" w:rsidRDefault="00787787" w:rsidP="00787787">
      <w:pPr>
        <w:pStyle w:val="a0"/>
      </w:pPr>
      <w:r w:rsidRPr="001531CD">
        <w:t>a.</w:t>
      </w:r>
      <w:r w:rsidRPr="001531CD">
        <w:tab/>
        <w:t>if utilizing paper warehouse receipts, three signature cards, on card forms provided by the commission, completed by each person listed as an authorized agent of the applicant, together with a resolution from the board of directors naming each person, other than the owner or president, whose name is listed as an authorized agent;</w:t>
      </w:r>
    </w:p>
    <w:p w14:paraId="110C5FE2" w14:textId="77777777" w:rsidR="00787787" w:rsidRPr="001531CD" w:rsidRDefault="00787787" w:rsidP="00787787">
      <w:pPr>
        <w:pStyle w:val="a0"/>
      </w:pPr>
      <w:r w:rsidRPr="001531CD">
        <w:t>b.</w:t>
      </w:r>
      <w:r w:rsidRPr="001531CD">
        <w:tab/>
        <w:t>a copy of the warehouse's current schedule of tariffs or charges;</w:t>
      </w:r>
    </w:p>
    <w:p w14:paraId="22C7224B" w14:textId="77777777" w:rsidR="00787787" w:rsidRPr="001531CD" w:rsidRDefault="00787787" w:rsidP="00787787">
      <w:pPr>
        <w:pStyle w:val="1"/>
      </w:pPr>
      <w:r w:rsidRPr="001531CD">
        <w:t>22.</w:t>
      </w:r>
      <w:r w:rsidRPr="001531CD">
        <w:tab/>
        <w:t>cotton merchant applicants only:</w:t>
      </w:r>
    </w:p>
    <w:p w14:paraId="4C7B4BC5" w14:textId="77777777" w:rsidR="00787787" w:rsidRPr="001531CD" w:rsidRDefault="00787787" w:rsidP="00787787">
      <w:pPr>
        <w:pStyle w:val="a0"/>
      </w:pPr>
      <w:r w:rsidRPr="001531CD">
        <w:t>a.</w:t>
      </w:r>
      <w:r w:rsidRPr="001531CD">
        <w:tab/>
        <w:t>name and written notarized agency agreements of cotton agents buying cotton in the state;</w:t>
      </w:r>
    </w:p>
    <w:p w14:paraId="3116AB12" w14:textId="77777777" w:rsidR="00787787" w:rsidRPr="001531CD" w:rsidRDefault="00787787" w:rsidP="00787787">
      <w:pPr>
        <w:pStyle w:val="1"/>
      </w:pPr>
      <w:r w:rsidRPr="001531CD">
        <w:t>23.</w:t>
      </w:r>
      <w:r w:rsidRPr="001531CD">
        <w:tab/>
        <w:t>grain dealers and cotton merchant applicants only:</w:t>
      </w:r>
    </w:p>
    <w:p w14:paraId="4DAD9799" w14:textId="77777777" w:rsidR="00787787" w:rsidRPr="001531CD" w:rsidRDefault="00787787" w:rsidP="00787787">
      <w:pPr>
        <w:pStyle w:val="a0"/>
      </w:pPr>
      <w:r w:rsidRPr="001531CD">
        <w:t>a.</w:t>
      </w:r>
      <w:r w:rsidRPr="001531CD">
        <w:tab/>
        <w:t>aggregate amount paid to producers during applicant’s most recent fiscal year;</w:t>
      </w:r>
    </w:p>
    <w:p w14:paraId="179D9C0E" w14:textId="77777777" w:rsidR="00787787" w:rsidRPr="001531CD" w:rsidRDefault="00787787" w:rsidP="00787787">
      <w:pPr>
        <w:pStyle w:val="1"/>
      </w:pPr>
      <w:r w:rsidRPr="001531CD">
        <w:t>24.</w:t>
      </w:r>
      <w:r w:rsidRPr="001531CD">
        <w:tab/>
        <w:t>application for acceptance into the self-insurance fund, if applicable.</w:t>
      </w:r>
    </w:p>
    <w:p w14:paraId="147885E7" w14:textId="77777777" w:rsidR="00787787" w:rsidRPr="001531CD" w:rsidRDefault="00787787" w:rsidP="00787787">
      <w:pPr>
        <w:pStyle w:val="A"/>
      </w:pPr>
      <w:r w:rsidRPr="001531CD">
        <w:t>B.</w:t>
      </w:r>
      <w:r w:rsidRPr="001531CD">
        <w:tab/>
        <w:t>For initial licensure under R.S. 3:3401-3425, each applicant shall provide a financial statement as of the close of the applicant’s most recent fiscal year.</w:t>
      </w:r>
    </w:p>
    <w:p w14:paraId="6EB5A6F6" w14:textId="77777777" w:rsidR="00787787" w:rsidRPr="001531CD" w:rsidRDefault="00787787" w:rsidP="00787787">
      <w:pPr>
        <w:pStyle w:val="1"/>
      </w:pPr>
      <w:r w:rsidRPr="001531CD">
        <w:t>1.</w:t>
      </w:r>
      <w:r w:rsidRPr="001531CD">
        <w:tab/>
        <w:t>The financial statement shall be prepared by an accountant who is not a full-time employee of the applicant and who meets at least one of the following:</w:t>
      </w:r>
    </w:p>
    <w:p w14:paraId="49D32679" w14:textId="77777777" w:rsidR="00787787" w:rsidRPr="001531CD" w:rsidRDefault="00787787" w:rsidP="00787787">
      <w:pPr>
        <w:pStyle w:val="a0"/>
      </w:pPr>
      <w:r w:rsidRPr="001531CD">
        <w:t>a.</w:t>
      </w:r>
      <w:r w:rsidRPr="001531CD">
        <w:tab/>
        <w:t>a certified public accountant;</w:t>
      </w:r>
    </w:p>
    <w:p w14:paraId="4477DA94" w14:textId="77777777" w:rsidR="00787787" w:rsidRPr="001531CD" w:rsidRDefault="00787787" w:rsidP="00787787">
      <w:pPr>
        <w:pStyle w:val="a0"/>
      </w:pPr>
      <w:r w:rsidRPr="001531CD">
        <w:t>b.</w:t>
      </w:r>
      <w:r w:rsidRPr="001531CD">
        <w:tab/>
        <w:t>a graduate of an accredited four-year college or university with a degree in accounting; or</w:t>
      </w:r>
    </w:p>
    <w:p w14:paraId="45094BD0" w14:textId="77777777" w:rsidR="00787787" w:rsidRPr="001531CD" w:rsidRDefault="00787787" w:rsidP="00787787">
      <w:pPr>
        <w:pStyle w:val="a0"/>
      </w:pPr>
      <w:r w:rsidRPr="001531CD">
        <w:t>c.</w:t>
      </w:r>
      <w:r w:rsidRPr="001531CD">
        <w:tab/>
        <w:t>has passed the examination administered by the National Society of Accountants.</w:t>
      </w:r>
    </w:p>
    <w:p w14:paraId="10AE418F" w14:textId="77777777" w:rsidR="00787787" w:rsidRPr="001531CD" w:rsidRDefault="00787787" w:rsidP="00787787">
      <w:pPr>
        <w:pStyle w:val="1"/>
      </w:pPr>
      <w:r w:rsidRPr="001531CD">
        <w:t>2.</w:t>
      </w:r>
      <w:r w:rsidRPr="001531CD">
        <w:tab/>
        <w:t>The financial statement presented for initial licensure under R.S. 3:3401-3425 may be any of the following:</w:t>
      </w:r>
    </w:p>
    <w:p w14:paraId="0815BA02" w14:textId="77777777" w:rsidR="00787787" w:rsidRPr="001531CD" w:rsidRDefault="00787787" w:rsidP="00787787">
      <w:pPr>
        <w:pStyle w:val="a0"/>
      </w:pPr>
      <w:r w:rsidRPr="001531CD">
        <w:t>a.</w:t>
      </w:r>
      <w:r w:rsidRPr="001531CD">
        <w:tab/>
        <w:t>compilation;</w:t>
      </w:r>
    </w:p>
    <w:p w14:paraId="448D94E6" w14:textId="77777777" w:rsidR="00787787" w:rsidRPr="001531CD" w:rsidRDefault="00787787" w:rsidP="00787787">
      <w:pPr>
        <w:pStyle w:val="a0"/>
      </w:pPr>
      <w:r w:rsidRPr="001531CD">
        <w:t>b.</w:t>
      </w:r>
      <w:r w:rsidRPr="001531CD">
        <w:tab/>
        <w:t>review;</w:t>
      </w:r>
    </w:p>
    <w:p w14:paraId="069621E9" w14:textId="77777777" w:rsidR="00787787" w:rsidRPr="001531CD" w:rsidRDefault="00787787" w:rsidP="00787787">
      <w:pPr>
        <w:pStyle w:val="a0"/>
      </w:pPr>
      <w:r w:rsidRPr="001531CD">
        <w:t>c.</w:t>
      </w:r>
      <w:r w:rsidRPr="001531CD">
        <w:tab/>
        <w:t>audited.</w:t>
      </w:r>
    </w:p>
    <w:p w14:paraId="489F9FC4" w14:textId="77777777" w:rsidR="00787787" w:rsidRPr="001531CD" w:rsidRDefault="00787787" w:rsidP="00787787">
      <w:pPr>
        <w:pStyle w:val="1"/>
      </w:pPr>
      <w:r w:rsidRPr="001531CD">
        <w:t>3.</w:t>
      </w:r>
      <w:r w:rsidRPr="001531CD">
        <w:tab/>
        <w:t>The financial statement shall contain:</w:t>
      </w:r>
    </w:p>
    <w:p w14:paraId="2EC0FDEB" w14:textId="77777777" w:rsidR="00787787" w:rsidRPr="001531CD" w:rsidRDefault="00787787" w:rsidP="00787787">
      <w:pPr>
        <w:pStyle w:val="a0"/>
      </w:pPr>
      <w:r w:rsidRPr="001531CD">
        <w:t>a.</w:t>
      </w:r>
      <w:r w:rsidRPr="001531CD">
        <w:tab/>
        <w:t>a balance sheet;</w:t>
      </w:r>
    </w:p>
    <w:p w14:paraId="3CD9E06F" w14:textId="77777777" w:rsidR="00787787" w:rsidRPr="001531CD" w:rsidRDefault="00787787" w:rsidP="00787787">
      <w:pPr>
        <w:pStyle w:val="a0"/>
      </w:pPr>
      <w:r w:rsidRPr="001531CD">
        <w:t>b.</w:t>
      </w:r>
      <w:r w:rsidRPr="001531CD">
        <w:tab/>
        <w:t>a statement of income (profit and loss);</w:t>
      </w:r>
    </w:p>
    <w:p w14:paraId="0D83E7C8" w14:textId="77777777" w:rsidR="00787787" w:rsidRPr="001531CD" w:rsidRDefault="00787787" w:rsidP="00787787">
      <w:pPr>
        <w:pStyle w:val="a0"/>
      </w:pPr>
      <w:r w:rsidRPr="001531CD">
        <w:t>c.</w:t>
      </w:r>
      <w:r w:rsidRPr="001531CD">
        <w:tab/>
        <w:t>a statement of retained earnings;</w:t>
      </w:r>
    </w:p>
    <w:p w14:paraId="185F94E3" w14:textId="77777777" w:rsidR="00787787" w:rsidRPr="001531CD" w:rsidRDefault="00787787" w:rsidP="00787787">
      <w:pPr>
        <w:pStyle w:val="a0"/>
      </w:pPr>
      <w:r w:rsidRPr="001531CD">
        <w:t>d.</w:t>
      </w:r>
      <w:r w:rsidRPr="001531CD">
        <w:tab/>
        <w:t>a statement of changes in financial position;</w:t>
      </w:r>
    </w:p>
    <w:p w14:paraId="25DF88E8" w14:textId="77777777" w:rsidR="00787787" w:rsidRPr="001531CD" w:rsidRDefault="00787787" w:rsidP="00787787">
      <w:pPr>
        <w:pStyle w:val="a0"/>
      </w:pPr>
      <w:r w:rsidRPr="001531CD">
        <w:t>e.</w:t>
      </w:r>
      <w:r w:rsidRPr="001531CD">
        <w:tab/>
        <w:t>a certificate by the applicant or the chief executive officer of the applicant, in the form of an authentic act, that the financial statement accurately reflects the financial condition of the applicant for the period covered in the financial statement;</w:t>
      </w:r>
    </w:p>
    <w:p w14:paraId="0B93E7DA" w14:textId="77777777" w:rsidR="00787787" w:rsidRPr="001531CD" w:rsidRDefault="00787787" w:rsidP="00787787">
      <w:pPr>
        <w:pStyle w:val="a0"/>
      </w:pPr>
      <w:r w:rsidRPr="001531CD">
        <w:t>f.</w:t>
      </w:r>
      <w:r w:rsidRPr="001531CD">
        <w:tab/>
        <w:t>whenever the certificate required under §107.B.3.e of this Part is executed by a representative of the applicant other than the owner or president, a resolution of the board of directors authorizing such representative to execute the certificate is required.</w:t>
      </w:r>
    </w:p>
    <w:p w14:paraId="4432592E" w14:textId="77777777" w:rsidR="00787787" w:rsidRPr="001531CD" w:rsidRDefault="00787787" w:rsidP="00787787">
      <w:pPr>
        <w:pStyle w:val="1"/>
      </w:pPr>
      <w:r w:rsidRPr="001531CD">
        <w:t>4.</w:t>
      </w:r>
      <w:r w:rsidRPr="001531CD">
        <w:tab/>
        <w:t>Multi-state and/or multi-national corporations with subsidiary divisions located in Louisiana shall either:</w:t>
      </w:r>
    </w:p>
    <w:p w14:paraId="5A942262" w14:textId="77777777" w:rsidR="00787787" w:rsidRPr="001531CD" w:rsidRDefault="00787787" w:rsidP="00787787">
      <w:pPr>
        <w:pStyle w:val="a0"/>
      </w:pPr>
      <w:r w:rsidRPr="001531CD">
        <w:t>a.</w:t>
      </w:r>
      <w:r w:rsidRPr="001531CD">
        <w:tab/>
        <w:t>submit a fully audited financial statement showing the position of the parent company, together with sufficient financial information pertaining to the Louisiana subsidiary to reasonably reflect the corporation’s ability to satisfy all obligations to Louisiana producers; or</w:t>
      </w:r>
    </w:p>
    <w:p w14:paraId="7FF80049" w14:textId="77777777" w:rsidR="00787787" w:rsidRPr="001531CD" w:rsidRDefault="00787787" w:rsidP="00787787">
      <w:pPr>
        <w:pStyle w:val="a0"/>
      </w:pPr>
      <w:r w:rsidRPr="001531CD">
        <w:t>b.</w:t>
      </w:r>
      <w:r w:rsidRPr="001531CD">
        <w:tab/>
        <w:t>pay all expenses necessary for performance of a full audit, at one or more locations where pertinent corporation records are maintained, by the department’s Central Audit Committee.</w:t>
      </w:r>
    </w:p>
    <w:p w14:paraId="682FE5EE" w14:textId="77777777" w:rsidR="00787787" w:rsidRPr="001531CD" w:rsidRDefault="00787787" w:rsidP="00787787">
      <w:pPr>
        <w:pStyle w:val="1"/>
      </w:pPr>
      <w:r w:rsidRPr="001531CD">
        <w:t>5.</w:t>
      </w:r>
      <w:r w:rsidRPr="001531CD">
        <w:tab/>
        <w:t>The financial statement shall be prepared and signed by an accountant, as defined in §107.B of this Part, and shall be presented in accordance with generally accepted accounting principles.</w:t>
      </w:r>
    </w:p>
    <w:p w14:paraId="1094CD94" w14:textId="77777777" w:rsidR="00787787" w:rsidRPr="001531CD" w:rsidRDefault="00787787" w:rsidP="00787787">
      <w:pPr>
        <w:pStyle w:val="a0"/>
      </w:pPr>
      <w:r w:rsidRPr="001531CD">
        <w:t>a.</w:t>
      </w:r>
      <w:r w:rsidRPr="001531CD">
        <w:tab/>
        <w:t>Financial statements shall include contracts covering commodities which have not been delivered. Contracts covering commodities which have not been delivered to the licensee or applicant shall be brought to market in the financial statement. Contracts on commodities which have not been delivered to the licensee or applicant may be made a part of the financial statement by means of a footnote to the statement.</w:t>
      </w:r>
    </w:p>
    <w:p w14:paraId="379F72BE" w14:textId="77777777" w:rsidR="00787787" w:rsidRPr="001531CD" w:rsidRDefault="00787787" w:rsidP="00787787">
      <w:pPr>
        <w:pStyle w:val="a0"/>
      </w:pPr>
      <w:r w:rsidRPr="001531CD">
        <w:t>b.</w:t>
      </w:r>
      <w:r w:rsidRPr="001531CD">
        <w:tab/>
        <w:t>Fixed assets shall be presented at cost on financial statements.</w:t>
      </w:r>
    </w:p>
    <w:p w14:paraId="7B01C3E7" w14:textId="77777777" w:rsidR="00787787" w:rsidRPr="001531CD" w:rsidRDefault="00787787" w:rsidP="00787787">
      <w:pPr>
        <w:pStyle w:val="1"/>
      </w:pPr>
      <w:r w:rsidRPr="001531CD">
        <w:t>6.</w:t>
      </w:r>
      <w:r w:rsidRPr="001531CD">
        <w:tab/>
        <w:t>Only one financial statement shall be required for a chain of warehouses covered by a single warehouse license.</w:t>
      </w:r>
    </w:p>
    <w:p w14:paraId="0DC56FCE" w14:textId="77777777" w:rsidR="00787787" w:rsidRPr="001531CD" w:rsidRDefault="00787787" w:rsidP="00787787">
      <w:pPr>
        <w:pStyle w:val="A"/>
      </w:pPr>
      <w:r w:rsidRPr="001531CD">
        <w:t>C.</w:t>
      </w:r>
      <w:r w:rsidRPr="001531CD">
        <w:tab/>
        <w:t>Each licensee shall file a financial statement conforming to the requirements of §107.B of this Part within 90 days after the close of the licensee’s fiscal year.</w:t>
      </w:r>
    </w:p>
    <w:p w14:paraId="6A5EE11D" w14:textId="77777777" w:rsidR="00D974AA" w:rsidRPr="0083260E" w:rsidRDefault="00D974AA" w:rsidP="00D974AA">
      <w:pPr>
        <w:pStyle w:val="A"/>
      </w:pPr>
      <w:r w:rsidRPr="0083260E">
        <w:t>D.</w:t>
      </w:r>
      <w:r w:rsidRPr="0083260E">
        <w:tab/>
        <w:t>Each applicant shall also provide the following information, in addition to completing the required application form and providing a financial statement:</w:t>
      </w:r>
    </w:p>
    <w:p w14:paraId="54EF06FA" w14:textId="77777777" w:rsidR="00D974AA" w:rsidRPr="0083260E" w:rsidRDefault="00D974AA" w:rsidP="00D974AA">
      <w:pPr>
        <w:pStyle w:val="1"/>
      </w:pPr>
      <w:r w:rsidRPr="0083260E">
        <w:t>1.</w:t>
      </w:r>
      <w:r w:rsidRPr="0083260E">
        <w:tab/>
        <w:t>evidence of security which meets the requirements set forth in §115 of this Part (warehouse license applicants), §123.G of this Part (grain dealer license applicants) or R.S. 3:3411.1 (cotton merchant license applicants);</w:t>
      </w:r>
    </w:p>
    <w:p w14:paraId="70EB7ECE" w14:textId="77777777" w:rsidR="00D974AA" w:rsidRPr="0083260E" w:rsidRDefault="00D974AA" w:rsidP="00D974AA">
      <w:pPr>
        <w:pStyle w:val="1"/>
      </w:pPr>
      <w:r w:rsidRPr="0083260E">
        <w:lastRenderedPageBreak/>
        <w:t>2.</w:t>
      </w:r>
      <w:r w:rsidRPr="0083260E">
        <w:tab/>
        <w:t xml:space="preserve">evidence of provisional stock insurance which meets the requirements set forth in §117 of this Part (warehouses) or §123 of this Part (grain dealers); </w:t>
      </w:r>
    </w:p>
    <w:p w14:paraId="156CAAD0" w14:textId="77777777" w:rsidR="00D974AA" w:rsidRPr="0083260E" w:rsidRDefault="00D974AA" w:rsidP="00D974AA">
      <w:pPr>
        <w:pStyle w:val="1"/>
      </w:pPr>
      <w:r w:rsidRPr="0083260E">
        <w:t>3.</w:t>
      </w:r>
      <w:r w:rsidRPr="0083260E">
        <w:tab/>
        <w:t>copy of scale ticket. Applicants who do not use scale tickets in their business operations shall certify to that effect in lieu of filing a scale ticket;</w:t>
      </w:r>
    </w:p>
    <w:p w14:paraId="04E1985A" w14:textId="77777777" w:rsidR="00787787" w:rsidRPr="001531CD" w:rsidRDefault="00D974AA" w:rsidP="00D974AA">
      <w:pPr>
        <w:pStyle w:val="1"/>
      </w:pPr>
      <w:r w:rsidRPr="0083260E">
        <w:t>4.</w:t>
      </w:r>
      <w:r w:rsidRPr="0083260E">
        <w:tab/>
        <w:t>applicants who apply under corporate status shall provide evidence of compliance with Louisiana’s corporation laws.</w:t>
      </w:r>
    </w:p>
    <w:p w14:paraId="5D9E5D4E" w14:textId="77777777" w:rsidR="00787787" w:rsidRPr="001531CD" w:rsidRDefault="00787787" w:rsidP="00787787">
      <w:pPr>
        <w:pStyle w:val="A"/>
      </w:pPr>
      <w:r w:rsidRPr="001531CD">
        <w:t>E.</w:t>
      </w:r>
      <w:r w:rsidRPr="001531CD">
        <w:tab/>
        <w:t>A fee of $200, as required by R.S. 3:3401-3425, shall accompany each application at the time of filing. This fee is non-refundable, whether or not the license is granted.</w:t>
      </w:r>
    </w:p>
    <w:p w14:paraId="1F6E6469" w14:textId="77777777" w:rsidR="00D974AA" w:rsidRPr="0083260E" w:rsidRDefault="00D974AA" w:rsidP="00D974AA">
      <w:pPr>
        <w:pStyle w:val="A"/>
      </w:pPr>
      <w:r w:rsidRPr="0083260E">
        <w:t>F.</w:t>
      </w:r>
      <w:r w:rsidRPr="0083260E">
        <w:tab/>
        <w:t>All licenses shall signify on the face the following information:</w:t>
      </w:r>
    </w:p>
    <w:p w14:paraId="690ED946" w14:textId="77777777" w:rsidR="00D974AA" w:rsidRPr="0083260E" w:rsidRDefault="00D974AA" w:rsidP="00D974AA">
      <w:pPr>
        <w:pStyle w:val="1"/>
      </w:pPr>
      <w:r w:rsidRPr="0083260E">
        <w:t>1.</w:t>
      </w:r>
      <w:r w:rsidRPr="0083260E">
        <w:tab/>
        <w:t>name and address of licensee;</w:t>
      </w:r>
    </w:p>
    <w:p w14:paraId="79B2370E" w14:textId="77777777" w:rsidR="00D974AA" w:rsidRPr="0083260E" w:rsidRDefault="00D974AA" w:rsidP="00D974AA">
      <w:pPr>
        <w:pStyle w:val="1"/>
      </w:pPr>
      <w:r w:rsidRPr="0083260E">
        <w:t>2.</w:t>
      </w:r>
      <w:r w:rsidRPr="0083260E">
        <w:tab/>
        <w:t>if a cotton merchant or grain dealer, the location of the principal place of business;</w:t>
      </w:r>
    </w:p>
    <w:p w14:paraId="44F7121E" w14:textId="77777777" w:rsidR="00D974AA" w:rsidRPr="0083260E" w:rsidRDefault="00D974AA" w:rsidP="00D974AA">
      <w:pPr>
        <w:pStyle w:val="1"/>
      </w:pPr>
      <w:r w:rsidRPr="0083260E">
        <w:t>3.</w:t>
      </w:r>
      <w:r w:rsidRPr="0083260E">
        <w:tab/>
        <w:t>if a warehouse, the licensed capacity of the location covered by the license;</w:t>
      </w:r>
    </w:p>
    <w:p w14:paraId="557ED074" w14:textId="77777777" w:rsidR="00D974AA" w:rsidRPr="0083260E" w:rsidRDefault="00D974AA" w:rsidP="00D974AA">
      <w:pPr>
        <w:pStyle w:val="1"/>
      </w:pPr>
      <w:r w:rsidRPr="0083260E">
        <w:t>4.</w:t>
      </w:r>
      <w:r w:rsidRPr="0083260E">
        <w:tab/>
        <w:t>amount of security;</w:t>
      </w:r>
    </w:p>
    <w:p w14:paraId="7D0FDDE2" w14:textId="77777777" w:rsidR="00787787" w:rsidRPr="001531CD" w:rsidRDefault="00D974AA" w:rsidP="00D974AA">
      <w:pPr>
        <w:pStyle w:val="1"/>
      </w:pPr>
      <w:r w:rsidRPr="0083260E">
        <w:t>5.</w:t>
      </w:r>
      <w:r w:rsidRPr="0083260E">
        <w:tab/>
        <w:t>term of license.</w:t>
      </w:r>
    </w:p>
    <w:p w14:paraId="64C02EF2" w14:textId="77777777" w:rsidR="00787787" w:rsidRPr="001531CD" w:rsidRDefault="00787787" w:rsidP="00787787">
      <w:pPr>
        <w:pStyle w:val="A"/>
      </w:pPr>
      <w:r w:rsidRPr="001531CD">
        <w:t>G.</w:t>
      </w:r>
      <w:r w:rsidRPr="001531CD">
        <w:tab/>
        <w:t>Approved licenses shall be issued in the name of the commission and signed by the commissioner.</w:t>
      </w:r>
    </w:p>
    <w:p w14:paraId="3BD5DFE4" w14:textId="77777777" w:rsidR="00787787" w:rsidRPr="001531CD" w:rsidRDefault="00787787" w:rsidP="00787787">
      <w:pPr>
        <w:pStyle w:val="A"/>
      </w:pPr>
      <w:r w:rsidRPr="001531CD">
        <w:t>H.</w:t>
      </w:r>
      <w:r w:rsidRPr="001531CD">
        <w:tab/>
        <w:t>A late fee of $50 may be assessed per application per business day when the application is received after April 30.</w:t>
      </w:r>
    </w:p>
    <w:p w14:paraId="16FB0FD6" w14:textId="77777777" w:rsidR="00787787" w:rsidRPr="001531CD" w:rsidRDefault="00D974AA" w:rsidP="00787787">
      <w:pPr>
        <w:pStyle w:val="AuthorityNote"/>
      </w:pPr>
      <w:r w:rsidRPr="0083260E">
        <w:t>AUTHORITY NOTE:</w:t>
      </w:r>
      <w:r w:rsidRPr="0083260E">
        <w:tab/>
        <w:t>Promulgated in accordance with R.S. 3:3405, R.S. 3:3408, R.S. 3:3409, R.S. 3:3410, R.S. 3:3411 and R.S. 3:3411.1.</w:t>
      </w:r>
    </w:p>
    <w:p w14:paraId="389B4EB2" w14:textId="77777777" w:rsidR="00CF626A" w:rsidRPr="001531CD" w:rsidRDefault="00CF626A" w:rsidP="00114644">
      <w:pPr>
        <w:pStyle w:val="HistoricalNote"/>
        <w:spacing w:after="120"/>
      </w:pPr>
      <w:r w:rsidRPr="001531CD">
        <w:t>HISTORICAL NOTE:</w:t>
      </w:r>
      <w:r w:rsidRPr="001531CD">
        <w:tab/>
        <w:t>Promulgated by the Department of Agriculture, Office of Agro-Consumer Services, Agricultural Commodities Commission, LR 9:289 (May 1983), amended LR 10:75 (February 1984), LR 11:229 (March 1985), amended by the Department of Agriculture and Forestry, Office of Agro-Consumer Services, Agricultural Commodities Commission, LR 12:287 (May 1986), LR 19:1300 (October 1993), amended by the Department of Agriculture and Forestry, Office of the Commi</w:t>
      </w:r>
      <w:r w:rsidR="00787787" w:rsidRPr="001531CD">
        <w:t>ssioner, LR 24:624 (April 1998), amended by the Department of Agriculture and Forestry, Agricultural Commodities Commission,</w:t>
      </w:r>
      <w:r w:rsidR="00D974AA">
        <w:t xml:space="preserve"> LR 37:497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14:paraId="3926E738" w14:textId="77777777" w:rsidR="000402C5" w:rsidRPr="001531CD" w:rsidRDefault="000402C5" w:rsidP="000402C5">
      <w:pPr>
        <w:pStyle w:val="Section"/>
      </w:pPr>
      <w:bookmarkStart w:id="2626" w:name="_Toc235870216"/>
      <w:bookmarkStart w:id="2627" w:name="_Toc224819319"/>
      <w:r w:rsidRPr="001531CD">
        <w:t>§109.</w:t>
      </w:r>
      <w:r w:rsidRPr="001531CD">
        <w:tab/>
        <w:t>Grounds for Refusal to Issue or Renew a Warehouse, Cotton Merchant, or Grain Dealer License</w:t>
      </w:r>
      <w:bookmarkEnd w:id="2626"/>
      <w:bookmarkEnd w:id="2627"/>
    </w:p>
    <w:p w14:paraId="2481200B" w14:textId="77777777" w:rsidR="000402C5" w:rsidRPr="001531CD" w:rsidRDefault="000402C5" w:rsidP="000402C5">
      <w:pPr>
        <w:pStyle w:val="A"/>
      </w:pPr>
      <w:r w:rsidRPr="001531CD">
        <w:t>A.</w:t>
      </w:r>
      <w:r w:rsidRPr="001531CD">
        <w:tab/>
        <w:t>The commission may refuse to issue or renew a warehouse, cotton merchant, or grain dealer license in any of the following circumstances:</w:t>
      </w:r>
    </w:p>
    <w:p w14:paraId="08B71187" w14:textId="77777777" w:rsidR="000402C5" w:rsidRPr="001531CD" w:rsidRDefault="000402C5" w:rsidP="000402C5">
      <w:pPr>
        <w:pStyle w:val="1"/>
      </w:pPr>
      <w:r w:rsidRPr="001531CD">
        <w:t>1.</w:t>
      </w:r>
      <w:r w:rsidRPr="001531CD">
        <w:tab/>
        <w:t>the applicant cannot demonstrate to the satisfaction of the commission that he is competent to operate the business for which the license is sought;</w:t>
      </w:r>
    </w:p>
    <w:p w14:paraId="72281F1D" w14:textId="77777777" w:rsidR="000402C5" w:rsidRPr="001531CD" w:rsidRDefault="000402C5" w:rsidP="000402C5">
      <w:pPr>
        <w:pStyle w:val="1"/>
      </w:pPr>
      <w:r w:rsidRPr="001531CD">
        <w:t>2.</w:t>
      </w:r>
      <w:r w:rsidRPr="001531CD">
        <w:tab/>
        <w:t>the applicant cannot demonstrate a $100,000 net worth;</w:t>
      </w:r>
    </w:p>
    <w:p w14:paraId="083E88C9" w14:textId="77777777" w:rsidR="000402C5" w:rsidRPr="001531CD" w:rsidRDefault="000402C5" w:rsidP="000402C5">
      <w:pPr>
        <w:pStyle w:val="1"/>
      </w:pPr>
      <w:r w:rsidRPr="001531CD">
        <w:t>3.</w:t>
      </w:r>
      <w:r w:rsidRPr="001531CD">
        <w:tab/>
        <w:t>the applicant has failed to provide all of the information required in the application for licensure;</w:t>
      </w:r>
    </w:p>
    <w:p w14:paraId="62123433" w14:textId="77777777" w:rsidR="000402C5" w:rsidRPr="001531CD" w:rsidRDefault="000402C5" w:rsidP="000402C5">
      <w:pPr>
        <w:pStyle w:val="1"/>
      </w:pPr>
      <w:r w:rsidRPr="001531CD">
        <w:t>4.</w:t>
      </w:r>
      <w:r w:rsidRPr="001531CD">
        <w:tab/>
        <w:t>the applicant has previously refused to permit audit of his records;</w:t>
      </w:r>
    </w:p>
    <w:p w14:paraId="6F6976AB" w14:textId="77777777" w:rsidR="000402C5" w:rsidRPr="001531CD" w:rsidRDefault="00D974AA" w:rsidP="000402C5">
      <w:pPr>
        <w:pStyle w:val="1"/>
      </w:pPr>
      <w:r w:rsidRPr="0083260E">
        <w:t>5.</w:t>
      </w:r>
      <w:r w:rsidRPr="0083260E">
        <w:tab/>
        <w:t>the applicant has not or cannot provide the security required by R.S. 3:3401-3425;</w:t>
      </w:r>
    </w:p>
    <w:p w14:paraId="3BFA7EC6" w14:textId="77777777" w:rsidR="000402C5" w:rsidRPr="001531CD" w:rsidRDefault="000402C5" w:rsidP="000402C5">
      <w:pPr>
        <w:pStyle w:val="1"/>
      </w:pPr>
      <w:r w:rsidRPr="001531CD">
        <w:t>6.</w:t>
      </w:r>
      <w:r w:rsidRPr="001531CD">
        <w:tab/>
        <w:t>the applicant has not or cannot secure the insurance required by R.S. 3:3401-3425;</w:t>
      </w:r>
    </w:p>
    <w:p w14:paraId="13DE4720" w14:textId="77777777" w:rsidR="000402C5" w:rsidRPr="001531CD" w:rsidRDefault="000402C5" w:rsidP="000402C5">
      <w:pPr>
        <w:pStyle w:val="1"/>
      </w:pPr>
      <w:r w:rsidRPr="001531CD">
        <w:t>7.</w:t>
      </w:r>
      <w:r w:rsidRPr="001531CD">
        <w:tab/>
        <w:t>if an applicant for a warehouse license: the facilities in which the business will be operated are not suitable for storage of agricultural commodities;</w:t>
      </w:r>
    </w:p>
    <w:p w14:paraId="515B5E41" w14:textId="77777777" w:rsidR="000402C5" w:rsidRPr="001531CD" w:rsidRDefault="000402C5" w:rsidP="000402C5">
      <w:pPr>
        <w:pStyle w:val="1"/>
      </w:pPr>
      <w:r w:rsidRPr="001531CD">
        <w:t>8.</w:t>
      </w:r>
      <w:r w:rsidRPr="001531CD">
        <w:tab/>
        <w:t>if an applicant for a grain dealer license: the applicant has failed to hedge its obligations to producers as required by R.S. 3:3401-3425 and the rules contained in this Part.</w:t>
      </w:r>
    </w:p>
    <w:p w14:paraId="393BD654" w14:textId="77777777" w:rsidR="000402C5" w:rsidRPr="001531CD" w:rsidRDefault="000402C5" w:rsidP="000402C5">
      <w:pPr>
        <w:pStyle w:val="A"/>
      </w:pPr>
      <w:r w:rsidRPr="001531CD">
        <w:t>B.</w:t>
      </w:r>
      <w:r w:rsidRPr="001531CD">
        <w:tab/>
        <w:t>Any cotton merchant, warehouse or grain dealer whose application for license is refused by the commission may appeal the decision of the commission under the Administrative Procedure Act or through the judicial process.</w:t>
      </w:r>
    </w:p>
    <w:p w14:paraId="479A31E0" w14:textId="77777777" w:rsidR="00CF626A" w:rsidRPr="001531CD" w:rsidRDefault="00D974AA" w:rsidP="000402C5">
      <w:pPr>
        <w:pStyle w:val="AuthorityNote"/>
      </w:pPr>
      <w:r w:rsidRPr="0083260E">
        <w:t>AUTHORITY NOTE:</w:t>
      </w:r>
      <w:r w:rsidRPr="0083260E">
        <w:tab/>
        <w:t>Promulgated in accordance with R.S. 3:3405 and R.S. 3:3412.</w:t>
      </w:r>
    </w:p>
    <w:p w14:paraId="017844A8"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9:293 (May 1983), amended by the Department of Agriculture and Forestry, Office of Agro-Consumer Services, Agricultural Commodities Commission, LR 12:287 (May 1986), amended by the Department of Agriculture and Forestry, Office of the Commi</w:t>
      </w:r>
      <w:r w:rsidR="00787787" w:rsidRPr="001531CD">
        <w:t xml:space="preserve">ssioner, LR 24:625 (April 1998), </w:t>
      </w:r>
      <w:r w:rsidR="00114644" w:rsidRPr="0083260E">
        <w:t>amended by the Department of Agriculture and Forestry, Agricultural Commodities Commission, LR 37:499 (February</w:t>
      </w:r>
      <w:r w:rsidR="00114644">
        <w:t xml:space="preserve">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14:paraId="7DEE922E" w14:textId="77777777" w:rsidR="000402C5" w:rsidRPr="001531CD" w:rsidRDefault="000402C5" w:rsidP="000402C5">
      <w:pPr>
        <w:pStyle w:val="Chapter"/>
      </w:pPr>
      <w:bookmarkStart w:id="2628" w:name="TOC_SubC205"/>
      <w:bookmarkStart w:id="2629" w:name="_Toc235870217"/>
      <w:bookmarkStart w:id="2630" w:name="_Toc224819320"/>
      <w:bookmarkStart w:id="2631" w:name="_Toc256754952"/>
      <w:r w:rsidRPr="001531CD">
        <w:t>Subchapter C.</w:t>
      </w:r>
      <w:bookmarkStart w:id="2632" w:name="TOCT_SubC196"/>
      <w:bookmarkStart w:id="2633" w:name="TOCT_SubC198"/>
      <w:bookmarkStart w:id="2634" w:name="TOCT_SubC205"/>
      <w:bookmarkEnd w:id="2628"/>
      <w:r w:rsidRPr="001531CD">
        <w:tab/>
        <w:t>Warehouse Licenses</w:t>
      </w:r>
      <w:bookmarkEnd w:id="2629"/>
      <w:bookmarkEnd w:id="2630"/>
      <w:bookmarkEnd w:id="2632"/>
      <w:bookmarkEnd w:id="2633"/>
      <w:bookmarkEnd w:id="2634"/>
    </w:p>
    <w:p w14:paraId="446AF4E9" w14:textId="77777777" w:rsidR="000402C5" w:rsidRPr="001531CD" w:rsidRDefault="000402C5" w:rsidP="000402C5">
      <w:pPr>
        <w:pStyle w:val="Section"/>
      </w:pPr>
      <w:bookmarkStart w:id="2635" w:name="_Toc235870218"/>
      <w:bookmarkStart w:id="2636" w:name="_Toc224819321"/>
      <w:bookmarkEnd w:id="2631"/>
      <w:r w:rsidRPr="001531CD">
        <w:t>§111.</w:t>
      </w:r>
      <w:r w:rsidRPr="001531CD">
        <w:tab/>
        <w:t>Requirements Applicable to All Warehouses</w:t>
      </w:r>
      <w:bookmarkEnd w:id="2635"/>
      <w:bookmarkEnd w:id="2636"/>
    </w:p>
    <w:p w14:paraId="564259F2" w14:textId="77777777" w:rsidR="000402C5" w:rsidRPr="001531CD" w:rsidRDefault="000402C5" w:rsidP="000402C5">
      <w:pPr>
        <w:pStyle w:val="A"/>
      </w:pPr>
      <w:r w:rsidRPr="001531CD">
        <w:t>A.</w:t>
      </w:r>
      <w:r w:rsidRPr="001531CD">
        <w:tab/>
        <w:t xml:space="preserve">No person shall operate a warehouse subject to regulation under R.S. 3:3401-3425 unless licensed by the commission or under the U.S. Warehouse Act. The following types of warehouses are specifically defined as warehouses subject to regulation under R.S. 3:3401-3425: </w:t>
      </w:r>
    </w:p>
    <w:p w14:paraId="4A8187CF" w14:textId="77777777" w:rsidR="000402C5" w:rsidRPr="001531CD" w:rsidRDefault="000402C5" w:rsidP="000402C5">
      <w:pPr>
        <w:pStyle w:val="1"/>
      </w:pPr>
      <w:r w:rsidRPr="001531CD">
        <w:t>1.</w:t>
      </w:r>
      <w:r w:rsidRPr="001531CD">
        <w:tab/>
        <w:t>any facility offering storage as defined in §101 of this Part;</w:t>
      </w:r>
    </w:p>
    <w:p w14:paraId="6643E371" w14:textId="77777777" w:rsidR="000402C5" w:rsidRPr="001531CD" w:rsidRDefault="000402C5" w:rsidP="000402C5">
      <w:pPr>
        <w:pStyle w:val="1"/>
      </w:pPr>
      <w:r w:rsidRPr="001531CD">
        <w:t>2.</w:t>
      </w:r>
      <w:r w:rsidRPr="001531CD">
        <w:tab/>
        <w:t>any facility which issues state warehouse receipts covering agricultural commodities or farm products;</w:t>
      </w:r>
    </w:p>
    <w:p w14:paraId="55795EAF" w14:textId="77777777" w:rsidR="000402C5" w:rsidRPr="001531CD" w:rsidRDefault="000402C5" w:rsidP="000402C5">
      <w:pPr>
        <w:pStyle w:val="1"/>
      </w:pPr>
      <w:r w:rsidRPr="001531CD">
        <w:t>3.</w:t>
      </w:r>
      <w:r w:rsidRPr="001531CD">
        <w:tab/>
        <w:t>all field warehouses. The management organization operating a field warehouse shall secure a separate license for each location. Field warehouses shall be licensed in the same manner as any other warehouses and regulations governing other warehouses shall apply equally to field warehouses.</w:t>
      </w:r>
    </w:p>
    <w:p w14:paraId="2C324A59" w14:textId="77777777" w:rsidR="000402C5" w:rsidRPr="001531CD" w:rsidRDefault="000402C5" w:rsidP="000402C5">
      <w:pPr>
        <w:pStyle w:val="A"/>
      </w:pPr>
      <w:r w:rsidRPr="001531CD">
        <w:t>B.</w:t>
      </w:r>
      <w:r w:rsidRPr="001531CD">
        <w:tab/>
        <w:t>Warehouses licensed under the U.S. Warehouse Act are not required to submit the application required under R.S. 3401-3425 and are not subject to all other requirements of R.S. 3:3401-3425 unless licensed under the provisions of R.S. 3:3401-3425.</w:t>
      </w:r>
    </w:p>
    <w:p w14:paraId="205B0BF4" w14:textId="77777777" w:rsidR="000402C5" w:rsidRPr="001531CD" w:rsidRDefault="000402C5" w:rsidP="000402C5">
      <w:pPr>
        <w:pStyle w:val="A"/>
      </w:pPr>
      <w:r w:rsidRPr="001531CD">
        <w:lastRenderedPageBreak/>
        <w:t>C.</w:t>
      </w:r>
      <w:r w:rsidRPr="001531CD">
        <w:tab/>
        <w:t>No warehouse, whether licensed under R.S. 3:3401-3425 or the U.S. Warehouse Act, shall buy or sell agricultural commodities for producers unless such warehouse is also licensed by the commission as a grain dealer.</w:t>
      </w:r>
    </w:p>
    <w:p w14:paraId="5FE65E63" w14:textId="77777777" w:rsidR="000402C5" w:rsidRPr="001531CD" w:rsidRDefault="000402C5" w:rsidP="000402C5">
      <w:pPr>
        <w:pStyle w:val="A"/>
      </w:pPr>
      <w:r w:rsidRPr="001531CD">
        <w:t>D.</w:t>
      </w:r>
      <w:r w:rsidRPr="001531CD">
        <w:tab/>
        <w:t>A single business entity which operates warehouse facilities at more than one location may be covered by one license. In such instances, the applicant shall provide separate capacity and personnel information for each location but may submit a consolidated financial statement covering all locations.</w:t>
      </w:r>
    </w:p>
    <w:p w14:paraId="23BFF87F" w14:textId="77777777" w:rsidR="000402C5" w:rsidRPr="001531CD" w:rsidRDefault="000402C5" w:rsidP="000402C5">
      <w:pPr>
        <w:pStyle w:val="A"/>
      </w:pPr>
      <w:r w:rsidRPr="001531CD">
        <w:t>E.</w:t>
      </w:r>
      <w:r w:rsidRPr="001531CD">
        <w:tab/>
        <w:t>When two or more businesses which are separate legal entities, even though owned and/or operated by the same individual or the same legal entity, are operated at one or more physical locations, each separate legal entity shall obtain a separate license.</w:t>
      </w:r>
    </w:p>
    <w:p w14:paraId="16ACF5A2" w14:textId="77777777" w:rsidR="000402C5" w:rsidRPr="001531CD" w:rsidRDefault="000402C5" w:rsidP="000402C5">
      <w:pPr>
        <w:pStyle w:val="A"/>
      </w:pPr>
      <w:r w:rsidRPr="001531CD">
        <w:t>F.</w:t>
      </w:r>
      <w:r w:rsidRPr="001531CD">
        <w:tab/>
        <w:t>Each license is personal to the holder thereof and may not be transferred or assigned to another for any purpose or any period of time.</w:t>
      </w:r>
    </w:p>
    <w:p w14:paraId="045804FF" w14:textId="77777777" w:rsidR="000402C5" w:rsidRPr="001531CD" w:rsidRDefault="000402C5" w:rsidP="000402C5">
      <w:pPr>
        <w:pStyle w:val="A"/>
      </w:pPr>
      <w:r w:rsidRPr="001531CD">
        <w:t>G.</w:t>
      </w:r>
      <w:r w:rsidRPr="001531CD">
        <w:tab/>
        <w:t>Licenses issued by the commission shall be consecutively numbered and the number shall include a fiscal year designation.</w:t>
      </w:r>
    </w:p>
    <w:p w14:paraId="3FC46681" w14:textId="77777777" w:rsidR="000402C5" w:rsidRPr="001531CD" w:rsidRDefault="000402C5" w:rsidP="000402C5">
      <w:pPr>
        <w:pStyle w:val="A"/>
      </w:pPr>
      <w:r w:rsidRPr="001531CD">
        <w:t>H.</w:t>
      </w:r>
      <w:r w:rsidRPr="001531CD">
        <w:tab/>
        <w:t>All warehouse licenses issued by the commission shall expire on June 30 following the date of issue.</w:t>
      </w:r>
    </w:p>
    <w:p w14:paraId="6C9D41B8" w14:textId="77777777" w:rsidR="000402C5" w:rsidRPr="001531CD" w:rsidRDefault="000402C5" w:rsidP="000402C5">
      <w:pPr>
        <w:pStyle w:val="A"/>
      </w:pPr>
      <w:r w:rsidRPr="001531CD">
        <w:t>I.</w:t>
      </w:r>
      <w:r w:rsidRPr="001531CD">
        <w:tab/>
        <w:t>For initial and continuing licensure, the facility shall meet all requirements of §113 of this Part.</w:t>
      </w:r>
    </w:p>
    <w:p w14:paraId="67EF2E65" w14:textId="77777777" w:rsidR="000402C5" w:rsidRPr="001531CD" w:rsidRDefault="00D974AA" w:rsidP="000402C5">
      <w:pPr>
        <w:pStyle w:val="A"/>
      </w:pPr>
      <w:r w:rsidRPr="0083260E">
        <w:t>J.</w:t>
      </w:r>
      <w:r w:rsidRPr="0083260E">
        <w:tab/>
        <w:t>The warehouse shall meet all security and insurance requirements set forth in §§115 and 117 of this Part prior to issuance of the license. Failure to maintain the required security and insurance in full force and effect for the license period shall subject the licensee to revocation of its license.</w:t>
      </w:r>
    </w:p>
    <w:p w14:paraId="5DD3D0F3" w14:textId="77777777" w:rsidR="000402C5" w:rsidRPr="001531CD" w:rsidRDefault="00D974AA" w:rsidP="000402C5">
      <w:pPr>
        <w:pStyle w:val="A"/>
      </w:pPr>
      <w:r>
        <w:t>K.</w:t>
      </w:r>
      <w:r>
        <w:tab/>
      </w:r>
      <w:r w:rsidR="000402C5" w:rsidRPr="001531CD">
        <w:t>The person in charge of each warehouse unit shall possess the following qualifications:</w:t>
      </w:r>
    </w:p>
    <w:p w14:paraId="2203E893" w14:textId="77777777" w:rsidR="000402C5" w:rsidRPr="001531CD" w:rsidRDefault="000402C5" w:rsidP="000402C5">
      <w:pPr>
        <w:pStyle w:val="1"/>
      </w:pPr>
      <w:r w:rsidRPr="001531CD">
        <w:t>1.</w:t>
      </w:r>
      <w:r w:rsidRPr="001531CD">
        <w:tab/>
        <w:t>be of legal age;</w:t>
      </w:r>
    </w:p>
    <w:p w14:paraId="0AFE1145" w14:textId="77777777" w:rsidR="000402C5" w:rsidRPr="001531CD" w:rsidRDefault="000402C5" w:rsidP="000402C5">
      <w:pPr>
        <w:pStyle w:val="1"/>
      </w:pPr>
      <w:r w:rsidRPr="001531CD">
        <w:t>2.</w:t>
      </w:r>
      <w:r w:rsidRPr="001531CD">
        <w:tab/>
        <w:t>demonstrate the following:</w:t>
      </w:r>
    </w:p>
    <w:p w14:paraId="4FE92A94" w14:textId="77777777" w:rsidR="000402C5" w:rsidRPr="001531CD" w:rsidRDefault="000402C5" w:rsidP="000402C5">
      <w:pPr>
        <w:pStyle w:val="a0"/>
      </w:pPr>
      <w:r w:rsidRPr="001531CD">
        <w:t>a.</w:t>
      </w:r>
      <w:r w:rsidRPr="001531CD">
        <w:tab/>
        <w:t>knowledge of the practical facts of keeping accurate records regarding the storage of agricultural commodities;</w:t>
      </w:r>
    </w:p>
    <w:p w14:paraId="3F13578B" w14:textId="77777777" w:rsidR="000402C5" w:rsidRPr="001531CD" w:rsidRDefault="000402C5" w:rsidP="000402C5">
      <w:pPr>
        <w:pStyle w:val="a0"/>
      </w:pPr>
      <w:r w:rsidRPr="001531CD">
        <w:t>b.</w:t>
      </w:r>
      <w:r w:rsidRPr="001531CD">
        <w:tab/>
        <w:t>knowledge of proper pest control and fumigation procedures.</w:t>
      </w:r>
    </w:p>
    <w:p w14:paraId="641238ED" w14:textId="77777777" w:rsidR="000402C5" w:rsidRPr="001531CD" w:rsidRDefault="00284D35" w:rsidP="000402C5">
      <w:pPr>
        <w:pStyle w:val="A"/>
      </w:pPr>
      <w:r w:rsidRPr="001531CD">
        <w:t>L.</w:t>
      </w:r>
      <w:r w:rsidRPr="001531CD">
        <w:tab/>
      </w:r>
      <w:r w:rsidR="000402C5" w:rsidRPr="001531CD">
        <w:t>Provisions Relative to the Schedule of Tariffs or Charges</w:t>
      </w:r>
    </w:p>
    <w:p w14:paraId="2A1EB63D" w14:textId="77777777" w:rsidR="000402C5" w:rsidRPr="001531CD" w:rsidRDefault="000402C5" w:rsidP="000402C5">
      <w:pPr>
        <w:pStyle w:val="1"/>
      </w:pPr>
      <w:r w:rsidRPr="001531CD">
        <w:t>1.</w:t>
      </w:r>
      <w:r w:rsidRPr="001531CD">
        <w:tab/>
        <w:t>Each warehouse shall file its current tariff with the commission for the commission's approval as to form.</w:t>
      </w:r>
    </w:p>
    <w:p w14:paraId="77420957" w14:textId="77777777" w:rsidR="000402C5" w:rsidRPr="001531CD" w:rsidRDefault="000402C5" w:rsidP="000402C5">
      <w:pPr>
        <w:pStyle w:val="1"/>
      </w:pPr>
      <w:r w:rsidRPr="001531CD">
        <w:t>2.</w:t>
      </w:r>
      <w:r w:rsidRPr="001531CD">
        <w:tab/>
        <w:t>Whenever there is any change in any warehouse's tariff, the new tariff shall be filed with the commission prior to implementation of any changes.</w:t>
      </w:r>
    </w:p>
    <w:p w14:paraId="3B6D3DE0" w14:textId="77777777" w:rsidR="000402C5" w:rsidRPr="001531CD" w:rsidRDefault="000402C5" w:rsidP="000402C5">
      <w:pPr>
        <w:pStyle w:val="1"/>
      </w:pPr>
      <w:r w:rsidRPr="001531CD">
        <w:t>3.</w:t>
      </w:r>
      <w:r w:rsidRPr="001531CD">
        <w:tab/>
        <w:t>The director shall note on each warehouse's tariff the fact of its receipt by the commission. Upon the warehouse's receipt of the tariff bearing the director's notation, the warehouse shall post the copy bearing the director's signature in a conspicuous location at the warehouse.</w:t>
      </w:r>
    </w:p>
    <w:p w14:paraId="68EB8A2C" w14:textId="77777777" w:rsidR="000402C5" w:rsidRPr="001531CD" w:rsidRDefault="000402C5" w:rsidP="000402C5">
      <w:pPr>
        <w:pStyle w:val="1"/>
      </w:pPr>
      <w:r w:rsidRPr="001531CD">
        <w:t>4.</w:t>
      </w:r>
      <w:r w:rsidRPr="001531CD">
        <w:tab/>
        <w:t>Each tariff shall indicate whether charges are made on the basis of barrels, bushels, or hundredweights.</w:t>
      </w:r>
    </w:p>
    <w:p w14:paraId="2F20A4FC" w14:textId="77777777" w:rsidR="000402C5" w:rsidRPr="001531CD" w:rsidRDefault="000402C5" w:rsidP="000402C5">
      <w:pPr>
        <w:pStyle w:val="1"/>
      </w:pPr>
      <w:r w:rsidRPr="001531CD">
        <w:t>5.</w:t>
      </w:r>
      <w:r w:rsidRPr="001531CD">
        <w:tab/>
        <w:t>The tariff shall contain all fees routinely charged to depositors.</w:t>
      </w:r>
    </w:p>
    <w:p w14:paraId="126619B6" w14:textId="77777777" w:rsidR="000402C5" w:rsidRPr="001531CD" w:rsidRDefault="000402C5" w:rsidP="000402C5">
      <w:pPr>
        <w:pStyle w:val="1"/>
      </w:pPr>
      <w:r w:rsidRPr="001531CD">
        <w:t>6.</w:t>
      </w:r>
      <w:r w:rsidRPr="001531CD">
        <w:tab/>
        <w:t>The tariffs or charges shall be the same for the same class of services to each customer of the warehouse.</w:t>
      </w:r>
    </w:p>
    <w:p w14:paraId="71F51D80" w14:textId="77777777" w:rsidR="000402C5" w:rsidRPr="001531CD" w:rsidRDefault="000402C5" w:rsidP="000402C5">
      <w:pPr>
        <w:pStyle w:val="A"/>
      </w:pPr>
      <w:r w:rsidRPr="001531CD">
        <w:t>M.</w:t>
      </w:r>
      <w:r w:rsidRPr="001531CD">
        <w:tab/>
        <w:t>Each warehouse shall maintain a daily inventory report on forms provided by the commission.</w:t>
      </w:r>
    </w:p>
    <w:p w14:paraId="6379B527" w14:textId="77777777" w:rsidR="00CF626A" w:rsidRPr="001531CD" w:rsidRDefault="00D974AA" w:rsidP="000402C5">
      <w:pPr>
        <w:pStyle w:val="AuthorityNote"/>
      </w:pPr>
      <w:r w:rsidRPr="0083260E">
        <w:t>AUTHORITY NOTE:</w:t>
      </w:r>
      <w:r w:rsidRPr="0083260E">
        <w:tab/>
        <w:t>Promulgated in accordance with R.S. 3:3405, R.S. 3:3409, R.S. 3:3410 and R.S. 3:3420.</w:t>
      </w:r>
    </w:p>
    <w:p w14:paraId="4F278A89"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9:294 (May 1983), amended LR 11:229 (March 1985), amended by the Department of Agriculture and Forestry, Office of Agro-Consumer Services, Agricultural Commodities Commis</w:t>
      </w:r>
      <w:r w:rsidR="000402C5" w:rsidRPr="001531CD">
        <w:t>sion, LR 19:1301 (October 1993), amended by the Department of Agriculture and Forestry, Agricultural Commodities Commis</w:t>
      </w:r>
      <w:r w:rsidR="00D974AA">
        <w:t xml:space="preserve">sion, LR 37:499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14:paraId="3AFA7CCA" w14:textId="77777777" w:rsidR="000402C5" w:rsidRPr="001531CD" w:rsidRDefault="000402C5" w:rsidP="000402C5">
      <w:pPr>
        <w:pStyle w:val="Section"/>
      </w:pPr>
      <w:bookmarkStart w:id="2637" w:name="_Toc235870219"/>
      <w:bookmarkStart w:id="2638" w:name="_Toc224819322"/>
      <w:r w:rsidRPr="001531CD">
        <w:t>§113.</w:t>
      </w:r>
      <w:r w:rsidRPr="001531CD">
        <w:tab/>
        <w:t>Standards for Approval of Facilities for Storage of Agricultural Commodities</w:t>
      </w:r>
      <w:bookmarkEnd w:id="2637"/>
      <w:bookmarkEnd w:id="2638"/>
    </w:p>
    <w:p w14:paraId="3692351D" w14:textId="77777777" w:rsidR="000402C5" w:rsidRPr="001531CD" w:rsidRDefault="000402C5" w:rsidP="000402C5">
      <w:pPr>
        <w:pStyle w:val="A"/>
      </w:pPr>
      <w:r w:rsidRPr="001531CD">
        <w:t>A.</w:t>
      </w:r>
      <w:r w:rsidRPr="001531CD">
        <w:tab/>
        <w:t>The building shall be of sound construction, in good physical condition, and suitable for storage of the agricultural commodities to be stored therein.</w:t>
      </w:r>
    </w:p>
    <w:p w14:paraId="220C6A4F" w14:textId="77777777" w:rsidR="000402C5" w:rsidRPr="001531CD" w:rsidRDefault="000402C5" w:rsidP="000402C5">
      <w:pPr>
        <w:pStyle w:val="A"/>
      </w:pPr>
      <w:r w:rsidRPr="001531CD">
        <w:t>B.</w:t>
      </w:r>
      <w:r w:rsidRPr="001531CD">
        <w:tab/>
        <w:t>The building shall be weathertight so as to protect the commodities stored in it from the elements at all times.</w:t>
      </w:r>
    </w:p>
    <w:p w14:paraId="51572B32" w14:textId="77777777" w:rsidR="000402C5" w:rsidRPr="001531CD" w:rsidRDefault="000402C5" w:rsidP="000402C5">
      <w:pPr>
        <w:pStyle w:val="A"/>
      </w:pPr>
      <w:r w:rsidRPr="001531CD">
        <w:t>C.</w:t>
      </w:r>
      <w:r w:rsidRPr="001531CD">
        <w:tab/>
        <w:t>The building and the surroundings shall be reasonably clean and free of debris of any kind.</w:t>
      </w:r>
    </w:p>
    <w:p w14:paraId="1820F67B" w14:textId="77777777" w:rsidR="000402C5" w:rsidRPr="001531CD" w:rsidRDefault="000402C5" w:rsidP="000402C5">
      <w:pPr>
        <w:pStyle w:val="A"/>
      </w:pPr>
      <w:r w:rsidRPr="001531CD">
        <w:t>D.</w:t>
      </w:r>
      <w:r w:rsidRPr="001531CD">
        <w:tab/>
        <w:t>There shall be safe ingress and egress to all storage units.</w:t>
      </w:r>
    </w:p>
    <w:p w14:paraId="439C93F1" w14:textId="77777777" w:rsidR="000402C5" w:rsidRPr="001531CD" w:rsidRDefault="000402C5" w:rsidP="000402C5">
      <w:pPr>
        <w:pStyle w:val="A"/>
      </w:pPr>
      <w:r w:rsidRPr="001531CD">
        <w:t>E.</w:t>
      </w:r>
      <w:r w:rsidRPr="001531CD">
        <w:tab/>
        <w:t>Storage units having entrances more than 20 feet above ground or floor level shall be equipped with a safe and adequate lift or ladder.</w:t>
      </w:r>
    </w:p>
    <w:p w14:paraId="68E4546C" w14:textId="77777777" w:rsidR="000402C5" w:rsidRPr="001531CD" w:rsidRDefault="000402C5" w:rsidP="000402C5">
      <w:pPr>
        <w:pStyle w:val="A"/>
      </w:pPr>
      <w:r w:rsidRPr="001531CD">
        <w:t>F.</w:t>
      </w:r>
      <w:r w:rsidRPr="001531CD">
        <w:tab/>
        <w:t>All catwalks shall be equipped with railings, shall be structurally sound, and shall be kept free of all grain or other matter which might endanger human life.</w:t>
      </w:r>
    </w:p>
    <w:p w14:paraId="1A87A534" w14:textId="77777777" w:rsidR="000402C5" w:rsidRPr="001531CD" w:rsidRDefault="000402C5" w:rsidP="000402C5">
      <w:pPr>
        <w:pStyle w:val="A"/>
      </w:pPr>
      <w:r w:rsidRPr="001531CD">
        <w:t>G.</w:t>
      </w:r>
      <w:r w:rsidRPr="001531CD">
        <w:tab/>
        <w:t>The facility shall maintain reasonable provisions for rodent and insect control.</w:t>
      </w:r>
    </w:p>
    <w:p w14:paraId="60D979EE" w14:textId="77777777" w:rsidR="000402C5" w:rsidRPr="001531CD" w:rsidRDefault="000402C5" w:rsidP="000402C5">
      <w:pPr>
        <w:pStyle w:val="A"/>
      </w:pPr>
      <w:r w:rsidRPr="001531CD">
        <w:t>H.</w:t>
      </w:r>
      <w:r w:rsidRPr="001531CD">
        <w:tab/>
        <w:t>Commodities or farm products stored in containers rather than in bulk shall be separated by an aisle of sufficient width to permit passage for inspection.</w:t>
      </w:r>
    </w:p>
    <w:p w14:paraId="12278897" w14:textId="77777777" w:rsidR="000402C5" w:rsidRPr="001531CD" w:rsidRDefault="000402C5" w:rsidP="000402C5">
      <w:pPr>
        <w:pStyle w:val="A"/>
      </w:pPr>
      <w:r w:rsidRPr="001531CD">
        <w:t>I.</w:t>
      </w:r>
      <w:r w:rsidRPr="001531CD">
        <w:tab/>
        <w:t>When different agricultural commodities are stored in the same facility in bulk, the different commodities shall be separated by a substantial partition.</w:t>
      </w:r>
    </w:p>
    <w:p w14:paraId="11AFB644" w14:textId="77777777" w:rsidR="000402C5" w:rsidRPr="001531CD" w:rsidRDefault="000402C5" w:rsidP="000402C5">
      <w:pPr>
        <w:pStyle w:val="A"/>
      </w:pPr>
      <w:r w:rsidRPr="001531CD">
        <w:t>J.</w:t>
      </w:r>
      <w:r w:rsidRPr="001531CD">
        <w:tab/>
        <w:t>When a warehouse license covers more than one facility, each warehouse unit shall be designated by a number, beginning with the number 1, which number may not be changed without the prior approval of the commission.</w:t>
      </w:r>
    </w:p>
    <w:p w14:paraId="1CF00507" w14:textId="77777777" w:rsidR="000402C5" w:rsidRPr="001531CD" w:rsidRDefault="000402C5" w:rsidP="000402C5">
      <w:pPr>
        <w:pStyle w:val="A"/>
      </w:pPr>
      <w:r w:rsidRPr="001531CD">
        <w:t>K.</w:t>
      </w:r>
      <w:r w:rsidRPr="001531CD">
        <w:tab/>
        <w:t xml:space="preserve">Each storage unit, building, bin, or compartment shall have painted thereon or securely affixed, in a conspicuous manner and location, an identifying number or letter, or both, </w:t>
      </w:r>
      <w:r w:rsidRPr="001531CD">
        <w:lastRenderedPageBreak/>
        <w:t>which may not be changed without prior approval of the commission.</w:t>
      </w:r>
    </w:p>
    <w:p w14:paraId="3EFDAB78" w14:textId="77777777" w:rsidR="000402C5" w:rsidRPr="001531CD" w:rsidRDefault="000402C5" w:rsidP="000402C5">
      <w:pPr>
        <w:pStyle w:val="A"/>
      </w:pPr>
      <w:r w:rsidRPr="001531CD">
        <w:t>L.</w:t>
      </w:r>
      <w:r w:rsidRPr="001531CD">
        <w:tab/>
        <w:t>Bulk grain bins shall be numbered at all openings on top and also on or near all outlet valves underneath so as to be easily identified.</w:t>
      </w:r>
    </w:p>
    <w:p w14:paraId="24A7F0D7" w14:textId="77777777" w:rsidR="000402C5" w:rsidRPr="001531CD" w:rsidRDefault="000402C5" w:rsidP="000402C5">
      <w:pPr>
        <w:pStyle w:val="A"/>
      </w:pPr>
      <w:r w:rsidRPr="001531CD">
        <w:t>M.</w:t>
      </w:r>
      <w:r w:rsidRPr="001531CD">
        <w:tab/>
        <w:t>Each facility shall contain adequate and accurate weighing and sampling equipment. All scales in warehouses licensed by the commission are subject to examination by the Division of Weights and Measures of the department.</w:t>
      </w:r>
    </w:p>
    <w:p w14:paraId="59CF1E34" w14:textId="77777777" w:rsidR="000402C5" w:rsidRPr="001531CD" w:rsidRDefault="000402C5" w:rsidP="000402C5">
      <w:pPr>
        <w:pStyle w:val="A"/>
      </w:pPr>
      <w:r w:rsidRPr="001531CD">
        <w:t>N.</w:t>
      </w:r>
      <w:r w:rsidRPr="001531CD">
        <w:tab/>
        <w:t>Special Requirements for Rice. Provisions for identification cards shall be securely attached to all bins and when commodities are placed under receipt, an identification card showing the following information shall be firmly attached to the bin boards:</w:t>
      </w:r>
    </w:p>
    <w:p w14:paraId="79C69045" w14:textId="77777777" w:rsidR="000402C5" w:rsidRPr="001531CD" w:rsidRDefault="000402C5" w:rsidP="000402C5">
      <w:pPr>
        <w:pStyle w:val="1"/>
      </w:pPr>
      <w:r w:rsidRPr="001531CD">
        <w:t>1.</w:t>
      </w:r>
      <w:r w:rsidRPr="001531CD">
        <w:tab/>
        <w:t>the lot number;</w:t>
      </w:r>
    </w:p>
    <w:p w14:paraId="5199B009" w14:textId="77777777" w:rsidR="000402C5" w:rsidRPr="001531CD" w:rsidRDefault="000402C5" w:rsidP="000402C5">
      <w:pPr>
        <w:pStyle w:val="1"/>
      </w:pPr>
      <w:r w:rsidRPr="001531CD">
        <w:t>2.</w:t>
      </w:r>
      <w:r w:rsidRPr="001531CD">
        <w:tab/>
        <w:t>whether the receipt is negotiable or non-negotiable;</w:t>
      </w:r>
    </w:p>
    <w:p w14:paraId="1003249C" w14:textId="77777777" w:rsidR="000402C5" w:rsidRPr="001531CD" w:rsidRDefault="000402C5" w:rsidP="000402C5">
      <w:pPr>
        <w:pStyle w:val="1"/>
      </w:pPr>
      <w:r w:rsidRPr="001531CD">
        <w:t>3.</w:t>
      </w:r>
      <w:r w:rsidRPr="001531CD">
        <w:tab/>
        <w:t>the number of the receipt;</w:t>
      </w:r>
    </w:p>
    <w:p w14:paraId="63A03841" w14:textId="77777777" w:rsidR="000402C5" w:rsidRPr="001531CD" w:rsidRDefault="000402C5" w:rsidP="000402C5">
      <w:pPr>
        <w:pStyle w:val="1"/>
      </w:pPr>
      <w:r w:rsidRPr="001531CD">
        <w:t>4.</w:t>
      </w:r>
      <w:r w:rsidRPr="001531CD">
        <w:tab/>
        <w:t>the name of the person or company to whom the receipt was issued;</w:t>
      </w:r>
    </w:p>
    <w:p w14:paraId="149B0FAD" w14:textId="77777777" w:rsidR="000402C5" w:rsidRPr="001531CD" w:rsidRDefault="000402C5" w:rsidP="000402C5">
      <w:pPr>
        <w:pStyle w:val="1"/>
      </w:pPr>
      <w:r w:rsidRPr="001531CD">
        <w:t>5.</w:t>
      </w:r>
      <w:r w:rsidRPr="001531CD">
        <w:tab/>
        <w:t>the number of containers of commodities, if not in bulk, in the bin.</w:t>
      </w:r>
    </w:p>
    <w:p w14:paraId="1BB50F34" w14:textId="77777777" w:rsidR="00CF626A" w:rsidRPr="001531CD" w:rsidRDefault="000402C5" w:rsidP="000402C5">
      <w:pPr>
        <w:pStyle w:val="AuthorityNote"/>
      </w:pPr>
      <w:r w:rsidRPr="001531CD">
        <w:t>AUTHORITY NOTE:</w:t>
      </w:r>
      <w:r w:rsidRPr="001531CD">
        <w:tab/>
        <w:t>Promulgated in accordance with R.S. 3:3405 and R.S. 3:3409.</w:t>
      </w:r>
    </w:p>
    <w:p w14:paraId="0C150FF1" w14:textId="77777777" w:rsidR="000402C5" w:rsidRDefault="00CF626A" w:rsidP="000402C5">
      <w:pPr>
        <w:pStyle w:val="HistoricalNote"/>
      </w:pPr>
      <w:r w:rsidRPr="001531CD">
        <w:t>HISTORICAL NOTE:</w:t>
      </w:r>
      <w:r w:rsidRPr="001531CD">
        <w:tab/>
        <w:t>Promulgated by the Department of Agriculture, Office of Agro-Consumer Services, Agricultural Commodities Commission, LR 9:296 (May 1983),</w:t>
      </w:r>
      <w:r w:rsidR="000402C5" w:rsidRPr="001531CD">
        <w:t xml:space="preserve"> amended LR 11:229 (March 1985), amended LR 11:229 (March 1985), amended by the Department of Agriculture and Forestry, Agricultural Commodities Commission, LR 37:500 (February 2011).</w:t>
      </w:r>
    </w:p>
    <w:p w14:paraId="1F11400F" w14:textId="77777777" w:rsidR="00D974AA" w:rsidRPr="0083260E" w:rsidRDefault="00D974AA" w:rsidP="00D974AA">
      <w:pPr>
        <w:pStyle w:val="Section"/>
      </w:pPr>
      <w:bookmarkStart w:id="2639" w:name="_Toc224819323"/>
      <w:r w:rsidRPr="0083260E">
        <w:t>§114.</w:t>
      </w:r>
      <w:r w:rsidRPr="0083260E">
        <w:tab/>
        <w:t>Temporary Storage Facilities</w:t>
      </w:r>
      <w:bookmarkEnd w:id="2639"/>
    </w:p>
    <w:p w14:paraId="73D33911" w14:textId="77777777" w:rsidR="00D974AA" w:rsidRPr="0083260E" w:rsidRDefault="00D974AA" w:rsidP="00D974AA">
      <w:pPr>
        <w:pStyle w:val="A"/>
      </w:pPr>
      <w:r w:rsidRPr="0083260E">
        <w:t>A.</w:t>
      </w:r>
      <w:r w:rsidRPr="0083260E">
        <w:tab/>
        <w:t>Temporary storage facilities may be approved by the commission on a case by case basis.</w:t>
      </w:r>
      <w:r>
        <w:t xml:space="preserve"> </w:t>
      </w:r>
      <w:r w:rsidRPr="0083260E">
        <w:t xml:space="preserve">Temporary storage may only be operated in conjunction with an existing, licensed warehouse and the capacity to be approved shall be compatible with the warehouseman's operational and financial capabilities. </w:t>
      </w:r>
    </w:p>
    <w:p w14:paraId="0941352B" w14:textId="77777777" w:rsidR="00D974AA" w:rsidRPr="0083260E" w:rsidRDefault="00D974AA" w:rsidP="00D974AA">
      <w:pPr>
        <w:pStyle w:val="A"/>
      </w:pPr>
      <w:r w:rsidRPr="0083260E">
        <w:t>B.</w:t>
      </w:r>
      <w:r w:rsidRPr="0083260E">
        <w:tab/>
        <w:t>A warehouseman who desires to store commodities in temporary storage shall make written application to the commission for approval of temporary storage prior to placing any commodity in temporary storage.</w:t>
      </w:r>
      <w:r>
        <w:t xml:space="preserve"> </w:t>
      </w:r>
      <w:r w:rsidRPr="0083260E">
        <w:t>The warehouseman shall advise the commission of his intent to use temporary storage, with an application indicating location, construction, quantity to be stored and estimated time of storage.</w:t>
      </w:r>
      <w:r>
        <w:t xml:space="preserve"> </w:t>
      </w:r>
    </w:p>
    <w:p w14:paraId="25A16CFE" w14:textId="77777777" w:rsidR="00D974AA" w:rsidRPr="0083260E" w:rsidRDefault="00D974AA" w:rsidP="00D974AA">
      <w:pPr>
        <w:pStyle w:val="A"/>
      </w:pPr>
      <w:r w:rsidRPr="0083260E">
        <w:t>C.</w:t>
      </w:r>
      <w:r w:rsidRPr="0083260E">
        <w:tab/>
        <w:t>Application for approval of temporary storage shall be made only after completion of the temporary storage structure.</w:t>
      </w:r>
      <w:r>
        <w:t xml:space="preserve"> </w:t>
      </w:r>
      <w:r w:rsidRPr="0083260E">
        <w:t>All temporary storage structures approved by the commission must co</w:t>
      </w:r>
      <w:r>
        <w:t>mply with each of the following.</w:t>
      </w:r>
    </w:p>
    <w:p w14:paraId="3CDF12DB" w14:textId="77777777" w:rsidR="00D974AA" w:rsidRPr="0083260E" w:rsidRDefault="00D974AA" w:rsidP="00D974AA">
      <w:pPr>
        <w:pStyle w:val="1"/>
      </w:pPr>
      <w:r w:rsidRPr="0083260E">
        <w:t>1.</w:t>
      </w:r>
      <w:r w:rsidRPr="0083260E">
        <w:tab/>
        <w:t>Rigid, self-supporting sidewalls shall be used.</w:t>
      </w:r>
    </w:p>
    <w:p w14:paraId="54E33971" w14:textId="77777777" w:rsidR="00D974AA" w:rsidRPr="0083260E" w:rsidRDefault="00D974AA" w:rsidP="00D974AA">
      <w:pPr>
        <w:pStyle w:val="1"/>
      </w:pPr>
      <w:r w:rsidRPr="0083260E">
        <w:t>2.</w:t>
      </w:r>
      <w:r w:rsidRPr="0083260E">
        <w:tab/>
        <w:t>An asphalt or concrete floor or other suitable hard surface shall be used to preserve the quality and quantity of</w:t>
      </w:r>
      <w:r>
        <w:t xml:space="preserve"> </w:t>
      </w:r>
      <w:r w:rsidRPr="0083260E">
        <w:t>commodities.</w:t>
      </w:r>
    </w:p>
    <w:p w14:paraId="2C1F94BF" w14:textId="77777777" w:rsidR="00D974AA" w:rsidRPr="0083260E" w:rsidRDefault="00D974AA" w:rsidP="00D974AA">
      <w:pPr>
        <w:pStyle w:val="1"/>
      </w:pPr>
      <w:r w:rsidRPr="0083260E">
        <w:t>3.</w:t>
      </w:r>
      <w:r w:rsidRPr="0083260E">
        <w:tab/>
        <w:t xml:space="preserve">Proper covering shall be provided which shall preclude exposure of the commodities to normal exposure of all weather conditions. </w:t>
      </w:r>
    </w:p>
    <w:p w14:paraId="529A1E0E" w14:textId="77777777" w:rsidR="00D974AA" w:rsidRPr="0083260E" w:rsidRDefault="00D974AA" w:rsidP="00D974AA">
      <w:pPr>
        <w:pStyle w:val="1"/>
      </w:pPr>
      <w:r w:rsidRPr="0083260E">
        <w:t>4.</w:t>
      </w:r>
      <w:r w:rsidRPr="0083260E">
        <w:tab/>
        <w:t>The space shall have necessary equipment such as a leg, conveyers, portable augers, or vaculators for handling, receiving, and loading out of the commodities. All storage units shall have either empty storage space to turn and condition the commodities or be equipped with proper ventilation such as air ducts and ventilation fans to keep the commodities from going out of condition.</w:t>
      </w:r>
    </w:p>
    <w:p w14:paraId="7D7FE18A" w14:textId="77777777" w:rsidR="00D974AA" w:rsidRPr="0083260E" w:rsidRDefault="00D974AA" w:rsidP="00D974AA">
      <w:pPr>
        <w:pStyle w:val="1"/>
      </w:pPr>
      <w:r w:rsidRPr="0083260E">
        <w:t>5.</w:t>
      </w:r>
      <w:r w:rsidRPr="0083260E">
        <w:tab/>
        <w:t>The space shall be immobile.</w:t>
      </w:r>
    </w:p>
    <w:p w14:paraId="2DFC5EE6" w14:textId="77777777" w:rsidR="00D974AA" w:rsidRPr="0083260E" w:rsidRDefault="00D974AA" w:rsidP="00D974AA">
      <w:pPr>
        <w:pStyle w:val="A"/>
      </w:pPr>
      <w:r w:rsidRPr="0083260E">
        <w:t>D.</w:t>
      </w:r>
      <w:r w:rsidRPr="0083260E">
        <w:tab/>
        <w:t>Any warehouseman approved to use temporary storage must co</w:t>
      </w:r>
      <w:r>
        <w:t>mply with all of the following:</w:t>
      </w:r>
    </w:p>
    <w:p w14:paraId="45D16975" w14:textId="77777777" w:rsidR="00D974AA" w:rsidRPr="0083260E" w:rsidRDefault="00D974AA" w:rsidP="00D974AA">
      <w:pPr>
        <w:pStyle w:val="1"/>
      </w:pPr>
      <w:r w:rsidRPr="0083260E">
        <w:t>1.</w:t>
      </w:r>
      <w:r w:rsidRPr="0083260E">
        <w:tab/>
        <w:t>meet inspection, security, net worth and insurance requirements required for a</w:t>
      </w:r>
      <w:r>
        <w:t xml:space="preserve"> conventional warehouse license;</w:t>
      </w:r>
    </w:p>
    <w:p w14:paraId="0DC7876C" w14:textId="77777777" w:rsidR="00D974AA" w:rsidRPr="0083260E" w:rsidRDefault="00D974AA" w:rsidP="00D974AA">
      <w:pPr>
        <w:pStyle w:val="1"/>
      </w:pPr>
      <w:r w:rsidRPr="0083260E">
        <w:t>2.</w:t>
      </w:r>
      <w:r w:rsidRPr="0083260E">
        <w:tab/>
        <w:t>maintain a separate record of total commodities stored in temporary space in addition to accounting for the commoditi</w:t>
      </w:r>
      <w:r>
        <w:t>es in the daily position record;</w:t>
      </w:r>
    </w:p>
    <w:p w14:paraId="3AA2EC83" w14:textId="77777777" w:rsidR="00D974AA" w:rsidRPr="0083260E" w:rsidRDefault="00D974AA" w:rsidP="00D974AA">
      <w:pPr>
        <w:pStyle w:val="1"/>
      </w:pPr>
      <w:r w:rsidRPr="0083260E">
        <w:t>3.</w:t>
      </w:r>
      <w:r w:rsidRPr="0083260E">
        <w:tab/>
        <w:t xml:space="preserve">make the space intended for use as temporary storage accessible for examination by the commission, the </w:t>
      </w:r>
      <w:r>
        <w:t>department, or their designees.</w:t>
      </w:r>
    </w:p>
    <w:p w14:paraId="175832DC" w14:textId="77777777" w:rsidR="00D974AA" w:rsidRPr="0083260E" w:rsidRDefault="00D974AA" w:rsidP="00D974AA">
      <w:pPr>
        <w:pStyle w:val="a0"/>
      </w:pPr>
      <w:r w:rsidRPr="0083260E">
        <w:t>a.</w:t>
      </w:r>
      <w:r w:rsidRPr="0083260E">
        <w:tab/>
        <w:t>If ready access for inspection purposes is not available to the temporary structure, the warehouseman at the examiner's discretion shall remove the covering or any part of it as required by the examiner to determine quality, condition, and quantity of the commodities in storage.</w:t>
      </w:r>
    </w:p>
    <w:p w14:paraId="2DA3F086" w14:textId="77777777" w:rsidR="00D974AA" w:rsidRPr="0083260E" w:rsidRDefault="00D974AA" w:rsidP="00D974AA">
      <w:pPr>
        <w:pStyle w:val="a0"/>
      </w:pPr>
      <w:r w:rsidRPr="0083260E">
        <w:t>b.</w:t>
      </w:r>
      <w:r w:rsidRPr="0083260E">
        <w:tab/>
        <w:t>If the warehouseman and the examiner are not in agreement as to the quality of the commodities, the examiner with the assistance of the warehouseman shall take samples of the mass, agreeable to both, and submit at the warehouseman's expense to the nearest GIPSA or GIPSA-designated or delegated office for grading.</w:t>
      </w:r>
    </w:p>
    <w:p w14:paraId="054F0CEA" w14:textId="77777777" w:rsidR="00D974AA" w:rsidRPr="0083260E" w:rsidRDefault="00D974AA" w:rsidP="00D974AA">
      <w:pPr>
        <w:pStyle w:val="a0"/>
      </w:pPr>
      <w:r w:rsidRPr="0083260E">
        <w:t>c.</w:t>
      </w:r>
      <w:r w:rsidRPr="0083260E">
        <w:tab/>
        <w:t>The examiner shall issue written notice to the warehouseman for any temporary storage facility which no longer meets requirements. Failure of the warehouseman to place the facility in a suitable condition within a reasonable length of time shall result in the facility being eliminated from coverage from the warehouse approval.</w:t>
      </w:r>
    </w:p>
    <w:p w14:paraId="44AF2461" w14:textId="77777777" w:rsidR="00D974AA" w:rsidRPr="0083260E" w:rsidRDefault="00D974AA" w:rsidP="00D974AA">
      <w:pPr>
        <w:pStyle w:val="A"/>
      </w:pPr>
      <w:r w:rsidRPr="0083260E">
        <w:t>E.</w:t>
      </w:r>
      <w:r w:rsidRPr="0083260E">
        <w:tab/>
        <w:t>All commodities shall be removed from temporary storage by the following June 1, except as provided in this Subsection.</w:t>
      </w:r>
      <w:r>
        <w:t xml:space="preserve"> </w:t>
      </w:r>
      <w:r w:rsidRPr="0083260E">
        <w:t>Failure to remove commodities by June 1 shall constitute a violation of this Part unless an extension is granted as provided in this Subsection.</w:t>
      </w:r>
    </w:p>
    <w:p w14:paraId="0E137FFF" w14:textId="77777777" w:rsidR="00D974AA" w:rsidRPr="0083260E" w:rsidRDefault="00D974AA" w:rsidP="00D974AA">
      <w:pPr>
        <w:pStyle w:val="1"/>
      </w:pPr>
      <w:r w:rsidRPr="0083260E">
        <w:t>1.</w:t>
      </w:r>
      <w:r w:rsidRPr="0083260E">
        <w:tab/>
        <w:t>A warehouseman may continue to store commodities in temporary facilities beyond June 1, provided:</w:t>
      </w:r>
    </w:p>
    <w:p w14:paraId="1D221C8D" w14:textId="77777777" w:rsidR="00D974AA" w:rsidRPr="0083260E" w:rsidRDefault="00D974AA" w:rsidP="00D974AA">
      <w:pPr>
        <w:pStyle w:val="a0"/>
      </w:pPr>
      <w:r w:rsidRPr="0083260E">
        <w:t>a.</w:t>
      </w:r>
      <w:r w:rsidRPr="0083260E">
        <w:tab/>
        <w:t xml:space="preserve">application to continue use of temporary storage shall be made in writing by the warehouseman by May 1 or </w:t>
      </w:r>
      <w:r>
        <w:t>30</w:t>
      </w:r>
      <w:r w:rsidRPr="0083260E">
        <w:t xml:space="preserve"> days before the expiration of any extension.</w:t>
      </w:r>
      <w:r>
        <w:t xml:space="preserve"> </w:t>
      </w:r>
      <w:r w:rsidRPr="0083260E">
        <w:t xml:space="preserve">The commission or its designee shall inspect the temporary storage facility </w:t>
      </w:r>
      <w:r>
        <w:t>prior to granting the extension;</w:t>
      </w:r>
    </w:p>
    <w:p w14:paraId="40AE0891" w14:textId="77777777" w:rsidR="00D974AA" w:rsidRPr="0083260E" w:rsidRDefault="00D974AA" w:rsidP="00D974AA">
      <w:pPr>
        <w:pStyle w:val="i0"/>
      </w:pPr>
      <w:r>
        <w:tab/>
      </w:r>
      <w:r w:rsidRPr="0083260E">
        <w:t>i.</w:t>
      </w:r>
      <w:r w:rsidRPr="0083260E">
        <w:tab/>
        <w:t xml:space="preserve">based on a visual examination of the temporary structure and observation of the commodities for quantity and quality, the examiner shall report to the commission his </w:t>
      </w:r>
      <w:r w:rsidRPr="0083260E">
        <w:lastRenderedPageBreak/>
        <w:t>findings and recommendation regarding continued approval and/or detailing problems that shall be considered before an extension is granted. Adverse conditions shall be reported by telephone to the commission within 24 hours and in wri</w:t>
      </w:r>
      <w:r>
        <w:t>ting within 3 business days;</w:t>
      </w:r>
    </w:p>
    <w:p w14:paraId="6F8B771E" w14:textId="77777777" w:rsidR="00D974AA" w:rsidRPr="0083260E" w:rsidRDefault="00D974AA" w:rsidP="00D974AA">
      <w:pPr>
        <w:pStyle w:val="a0"/>
      </w:pPr>
      <w:r w:rsidRPr="0083260E">
        <w:t>b.</w:t>
      </w:r>
      <w:r w:rsidRPr="0083260E">
        <w:tab/>
        <w:t xml:space="preserve">the time granted on any extension </w:t>
      </w:r>
      <w:r>
        <w:t>shall not exceed 6 months;</w:t>
      </w:r>
    </w:p>
    <w:p w14:paraId="5465AEEF" w14:textId="77777777" w:rsidR="00D974AA" w:rsidRPr="0083260E" w:rsidRDefault="00D974AA" w:rsidP="00D974AA">
      <w:pPr>
        <w:pStyle w:val="a0"/>
      </w:pPr>
      <w:r w:rsidRPr="0083260E">
        <w:t>c.</w:t>
      </w:r>
      <w:r w:rsidRPr="0083260E">
        <w:tab/>
        <w:t>any approved extension shall be in writing, provide the date the extension shall end and</w:t>
      </w:r>
      <w:r>
        <w:t xml:space="preserve"> be signed by the warehouseman.</w:t>
      </w:r>
    </w:p>
    <w:p w14:paraId="5BF4FC89" w14:textId="77777777" w:rsidR="00D974AA" w:rsidRPr="0083260E" w:rsidRDefault="00D974AA" w:rsidP="00D974AA">
      <w:pPr>
        <w:pStyle w:val="1"/>
      </w:pPr>
      <w:r w:rsidRPr="0083260E">
        <w:t>2.</w:t>
      </w:r>
      <w:r w:rsidRPr="0083260E">
        <w:tab/>
        <w:t>If the warehouse chooses to continue using the temporary storage for company-owned commodities after June 1, the warehouse operator shall:</w:t>
      </w:r>
    </w:p>
    <w:p w14:paraId="6088FB52" w14:textId="77777777" w:rsidR="00D974AA" w:rsidRPr="0083260E" w:rsidRDefault="00D974AA" w:rsidP="00D974AA">
      <w:pPr>
        <w:pStyle w:val="a0"/>
      </w:pPr>
      <w:r>
        <w:t>a.</w:t>
      </w:r>
      <w:r w:rsidRPr="0083260E">
        <w:tab/>
      </w:r>
      <w:r>
        <w:t>r</w:t>
      </w:r>
      <w:r w:rsidRPr="0083260E">
        <w:t>emove that quantity of the commodity from the warehouse's</w:t>
      </w:r>
      <w:r>
        <w:t xml:space="preserve"> </w:t>
      </w:r>
      <w:r w:rsidRPr="0083260E">
        <w:t>official records;</w:t>
      </w:r>
    </w:p>
    <w:p w14:paraId="021E53AE" w14:textId="77777777" w:rsidR="00D974AA" w:rsidRPr="0083260E" w:rsidRDefault="00D974AA" w:rsidP="00D974AA">
      <w:pPr>
        <w:pStyle w:val="a0"/>
      </w:pPr>
      <w:r>
        <w:t>b.</w:t>
      </w:r>
      <w:r w:rsidRPr="0083260E">
        <w:tab/>
      </w:r>
      <w:r>
        <w:t>n</w:t>
      </w:r>
      <w:r w:rsidRPr="0083260E">
        <w:t>ot use the commodity to cover the storage or warehouse receipted obligations of the warehouse; and</w:t>
      </w:r>
    </w:p>
    <w:p w14:paraId="607CFA59" w14:textId="77777777" w:rsidR="00D974AA" w:rsidRPr="0083260E" w:rsidRDefault="00D974AA" w:rsidP="00D974AA">
      <w:pPr>
        <w:pStyle w:val="a0"/>
      </w:pPr>
      <w:r>
        <w:t>c.</w:t>
      </w:r>
      <w:r>
        <w:tab/>
        <w:t>a</w:t>
      </w:r>
      <w:r w:rsidRPr="0083260E">
        <w:t>gree that the quantity will not be included in any warehouse examination conducted by CCC.</w:t>
      </w:r>
    </w:p>
    <w:p w14:paraId="359D14C2" w14:textId="77777777" w:rsidR="00D974AA" w:rsidRPr="0083260E" w:rsidRDefault="00D974AA" w:rsidP="00D974AA">
      <w:pPr>
        <w:pStyle w:val="A"/>
      </w:pPr>
      <w:r w:rsidRPr="0083260E">
        <w:t>F.</w:t>
      </w:r>
      <w:r w:rsidRPr="0083260E">
        <w:tab/>
        <w:t>The licensing of a temporary storage space in no way relieves the warehouseman of any other obligations for wareho</w:t>
      </w:r>
      <w:r>
        <w:t>usemen set forth in R.S. 3:3401</w:t>
      </w:r>
      <w:r w:rsidRPr="006F24D4">
        <w:t xml:space="preserve"> et seq.</w:t>
      </w:r>
      <w:r>
        <w:t>,</w:t>
      </w:r>
      <w:r w:rsidRPr="0083260E">
        <w:t xml:space="preserve"> or LAC 7:XXVII.</w:t>
      </w:r>
    </w:p>
    <w:p w14:paraId="66321A96" w14:textId="77777777" w:rsidR="00D974AA" w:rsidRPr="007C1754" w:rsidRDefault="00D974AA" w:rsidP="00D974AA">
      <w:pPr>
        <w:pStyle w:val="AuthorityNote"/>
      </w:pPr>
      <w:r>
        <w:t>AUTHORITY NOTE:</w:t>
      </w:r>
      <w:r>
        <w:tab/>
      </w:r>
      <w:r w:rsidRPr="007C1754">
        <w:t>Promulgated in accordance with R.S. 3:3405 and R.S. 3:3409.</w:t>
      </w:r>
    </w:p>
    <w:p w14:paraId="2B32CA9B" w14:textId="77777777" w:rsidR="00D974AA" w:rsidRPr="001531CD" w:rsidRDefault="00D974AA" w:rsidP="00D974AA">
      <w:pPr>
        <w:pStyle w:val="HistoricalNote"/>
      </w:pPr>
      <w:r>
        <w:t>HISTORICAL NOTE:</w:t>
      </w:r>
      <w:r>
        <w:tab/>
      </w:r>
      <w:r w:rsidRPr="007C1754">
        <w:t xml:space="preserve">Promulgated by the Department of Agriculture, Office of Agro-Consumer Services, Agricultural Commodities Commission, </w:t>
      </w:r>
      <w:r w:rsidRPr="0083260E">
        <w:t>LR 42:</w:t>
      </w:r>
      <w:r>
        <w:t>1500 (September 2016).</w:t>
      </w:r>
    </w:p>
    <w:p w14:paraId="5693552E" w14:textId="77777777" w:rsidR="000402C5" w:rsidRPr="001531CD" w:rsidRDefault="000402C5" w:rsidP="000402C5">
      <w:pPr>
        <w:pStyle w:val="Section"/>
      </w:pPr>
      <w:bookmarkStart w:id="2640" w:name="_Toc235870220"/>
      <w:bookmarkStart w:id="2641" w:name="_Toc224819324"/>
      <w:r w:rsidRPr="001531CD">
        <w:t>§115.</w:t>
      </w:r>
      <w:r w:rsidRPr="001531CD">
        <w:tab/>
      </w:r>
      <w:bookmarkEnd w:id="2640"/>
      <w:r w:rsidR="00D974AA" w:rsidRPr="0083260E">
        <w:t>Security Required for Warehouse License; Provisions Relative to Licensed Capacities</w:t>
      </w:r>
      <w:bookmarkEnd w:id="2641"/>
    </w:p>
    <w:p w14:paraId="6D379A61" w14:textId="77777777" w:rsidR="00D974AA" w:rsidRPr="0083260E" w:rsidRDefault="00D974AA" w:rsidP="00D974AA">
      <w:pPr>
        <w:pStyle w:val="A"/>
      </w:pPr>
      <w:r w:rsidRPr="0083260E">
        <w:t>A.</w:t>
      </w:r>
      <w:r w:rsidRPr="0083260E">
        <w:tab/>
        <w:t>Each applicant shall execute and file security, on forms provided by the commission, which security shall be issued by a company authorized to do business in Louisiana prior to issuance of the license.</w:t>
      </w:r>
    </w:p>
    <w:p w14:paraId="092A5ED2" w14:textId="77777777" w:rsidR="00D974AA" w:rsidRPr="0083260E" w:rsidRDefault="00D974AA" w:rsidP="00D974AA">
      <w:pPr>
        <w:pStyle w:val="A"/>
      </w:pPr>
      <w:r w:rsidRPr="0083260E">
        <w:t>B.</w:t>
      </w:r>
      <w:r w:rsidRPr="0083260E">
        <w:tab/>
        <w:t>The security shall be conditioned upon:</w:t>
      </w:r>
    </w:p>
    <w:p w14:paraId="39846133" w14:textId="77777777" w:rsidR="00D974AA" w:rsidRPr="0083260E" w:rsidRDefault="00D974AA" w:rsidP="00D974AA">
      <w:pPr>
        <w:pStyle w:val="1"/>
      </w:pPr>
      <w:r w:rsidRPr="0083260E">
        <w:t>1.</w:t>
      </w:r>
      <w:r w:rsidRPr="0083260E">
        <w:tab/>
        <w:t>the faithful performance of all duties and obligations to patrons of the warehouse; and</w:t>
      </w:r>
    </w:p>
    <w:p w14:paraId="2691C33C" w14:textId="77777777" w:rsidR="00D974AA" w:rsidRPr="0083260E" w:rsidRDefault="00D974AA" w:rsidP="00D974AA">
      <w:pPr>
        <w:pStyle w:val="1"/>
      </w:pPr>
      <w:r w:rsidRPr="0083260E">
        <w:t>2.</w:t>
      </w:r>
      <w:r w:rsidRPr="0083260E">
        <w:tab/>
        <w:t>compliance with all requirements of R.S. 3:3401-3425 and the regulations contained in this Part.</w:t>
      </w:r>
    </w:p>
    <w:p w14:paraId="40FBA93E" w14:textId="77777777" w:rsidR="00D974AA" w:rsidRPr="0083260E" w:rsidRDefault="00D974AA" w:rsidP="00D974AA">
      <w:pPr>
        <w:pStyle w:val="A"/>
      </w:pPr>
      <w:r w:rsidRPr="0083260E">
        <w:t>C.</w:t>
      </w:r>
      <w:r w:rsidRPr="0083260E">
        <w:tab/>
        <w:t>The amount of the security shall be established on the basis of the capacity of the warehouse to be licensed.</w:t>
      </w:r>
    </w:p>
    <w:p w14:paraId="11987E34" w14:textId="77777777" w:rsidR="00D974AA" w:rsidRPr="0083260E" w:rsidRDefault="00D974AA" w:rsidP="00D974AA">
      <w:pPr>
        <w:pStyle w:val="1"/>
      </w:pPr>
      <w:r w:rsidRPr="0083260E">
        <w:t>1.</w:t>
      </w:r>
      <w:r w:rsidRPr="0083260E">
        <w:tab/>
        <w:t>The commission shall establish capacity records for all licensed facilities. Whenever there is a discrepancy between the capacity claimed by the applicant and the commission's capacity figures for the applicant, the security to be required shall be determined by the commission's</w:t>
      </w:r>
      <w:r>
        <w:t xml:space="preserve"> </w:t>
      </w:r>
      <w:r w:rsidRPr="0083260E">
        <w:t>capacity figures. A licensee may, however, appeal the decision of the commission whenever it disagrees with the capacity figures established by the commission for its facility.</w:t>
      </w:r>
    </w:p>
    <w:p w14:paraId="222E39BB" w14:textId="77777777" w:rsidR="00D974AA" w:rsidRPr="0083260E" w:rsidRDefault="00D974AA" w:rsidP="00D974AA">
      <w:pPr>
        <w:pStyle w:val="1"/>
      </w:pPr>
      <w:r w:rsidRPr="0083260E">
        <w:t>2.</w:t>
      </w:r>
      <w:r w:rsidRPr="0083260E">
        <w:tab/>
        <w:t xml:space="preserve">All facilities which commingle agricultural commodities shall secure 100 percent of their available </w:t>
      </w:r>
      <w:r w:rsidRPr="0083260E">
        <w:t>capacity, subject to the exemptions contained in §115.C.5 and 6 of this Part.</w:t>
      </w:r>
    </w:p>
    <w:p w14:paraId="62696E2F" w14:textId="77777777" w:rsidR="00D974AA" w:rsidRPr="0083260E" w:rsidRDefault="00D974AA" w:rsidP="00D974AA">
      <w:pPr>
        <w:pStyle w:val="1"/>
      </w:pPr>
      <w:r w:rsidRPr="0083260E">
        <w:t>3.</w:t>
      </w:r>
      <w:r w:rsidRPr="0083260E">
        <w:tab/>
        <w:t>Facilities which store identity-preserved commodities may, with the prior approval of the commission, secure 75 percent of their available capacity. In such event, the amount of the security shall be increased if commodities in storage exceed the licensed capacity.</w:t>
      </w:r>
    </w:p>
    <w:p w14:paraId="01B4E435" w14:textId="77777777" w:rsidR="00D974AA" w:rsidRPr="0083260E" w:rsidRDefault="00D974AA" w:rsidP="00D974AA">
      <w:pPr>
        <w:pStyle w:val="1"/>
      </w:pPr>
      <w:r w:rsidRPr="0083260E">
        <w:t>4.</w:t>
      </w:r>
      <w:r w:rsidRPr="0083260E">
        <w:tab/>
        <w:t>All capacity under one roof shall be secured.</w:t>
      </w:r>
    </w:p>
    <w:p w14:paraId="13A384A5" w14:textId="77777777" w:rsidR="00D974AA" w:rsidRPr="0083260E" w:rsidRDefault="00D974AA" w:rsidP="00D974AA">
      <w:pPr>
        <w:pStyle w:val="1"/>
      </w:pPr>
      <w:r w:rsidRPr="0083260E">
        <w:t>5.</w:t>
      </w:r>
      <w:r w:rsidRPr="0083260E">
        <w:tab/>
        <w:t>Outside tanks which are used solely for storage of company-owned commodities are not required to be secured.</w:t>
      </w:r>
    </w:p>
    <w:p w14:paraId="03247B0D" w14:textId="77777777" w:rsidR="00D974AA" w:rsidRPr="0083260E" w:rsidRDefault="00D974AA" w:rsidP="00D974AA">
      <w:pPr>
        <w:pStyle w:val="1"/>
      </w:pPr>
      <w:r w:rsidRPr="0083260E">
        <w:t>6.</w:t>
      </w:r>
      <w:r w:rsidRPr="0083260E">
        <w:tab/>
        <w:t>Buildings which are used solely for storage of company-owned commodities are not required to be secured.</w:t>
      </w:r>
    </w:p>
    <w:p w14:paraId="29914251" w14:textId="77777777" w:rsidR="00D974AA" w:rsidRPr="0083260E" w:rsidRDefault="00D974AA" w:rsidP="00D974AA">
      <w:pPr>
        <w:pStyle w:val="A"/>
      </w:pPr>
      <w:r w:rsidRPr="0083260E">
        <w:t>D.</w:t>
      </w:r>
      <w:r w:rsidRPr="0083260E">
        <w:tab/>
        <w:t>The amount of the security shall be as follows:</w:t>
      </w:r>
    </w:p>
    <w:p w14:paraId="44A9F7CB" w14:textId="77777777" w:rsidR="00D974AA" w:rsidRPr="0083260E" w:rsidRDefault="00D974AA" w:rsidP="00D974AA">
      <w:pPr>
        <w:pStyle w:val="1"/>
      </w:pPr>
      <w:r w:rsidRPr="0083260E">
        <w:t>1.</w:t>
      </w:r>
      <w:r w:rsidRPr="0083260E">
        <w:tab/>
        <w:t xml:space="preserve">$0.20 per bushel for the first </w:t>
      </w:r>
      <w:r>
        <w:t>1,000,000</w:t>
      </w:r>
      <w:r w:rsidRPr="0083260E">
        <w:t xml:space="preserve"> bushels of licensed capacity</w:t>
      </w:r>
      <w:r>
        <w:t>—</w:t>
      </w:r>
      <w:r w:rsidRPr="0083260E">
        <w:t xml:space="preserve">up to $200,000 for a licensed capacity of </w:t>
      </w:r>
      <w:r>
        <w:t>2,000,000</w:t>
      </w:r>
      <w:r w:rsidRPr="0083260E">
        <w:t xml:space="preserve"> bushels;</w:t>
      </w:r>
    </w:p>
    <w:p w14:paraId="4793F379" w14:textId="77777777" w:rsidR="00D974AA" w:rsidRPr="0083260E" w:rsidRDefault="00D974AA" w:rsidP="00D974AA">
      <w:pPr>
        <w:pStyle w:val="1"/>
      </w:pPr>
      <w:r w:rsidRPr="0083260E">
        <w:t>2.</w:t>
      </w:r>
      <w:r w:rsidRPr="0083260E">
        <w:tab/>
        <w:t xml:space="preserve">plus $0.15 per bushel for the second </w:t>
      </w:r>
      <w:r>
        <w:t>1,000,000</w:t>
      </w:r>
      <w:r w:rsidRPr="0083260E">
        <w:t xml:space="preserve"> </w:t>
      </w:r>
      <w:r>
        <w:t xml:space="preserve">bushels of licensed capacity, </w:t>
      </w:r>
      <w:r w:rsidRPr="0083260E">
        <w:t xml:space="preserve">a total of $350,000 for a facility with a licensed capacity of </w:t>
      </w:r>
      <w:r>
        <w:t>2,000,000</w:t>
      </w:r>
      <w:r w:rsidRPr="0083260E">
        <w:t xml:space="preserve"> bushels;</w:t>
      </w:r>
    </w:p>
    <w:p w14:paraId="11F042CD" w14:textId="77777777" w:rsidR="00D974AA" w:rsidRPr="0083260E" w:rsidRDefault="00D974AA" w:rsidP="00D974AA">
      <w:pPr>
        <w:pStyle w:val="1"/>
      </w:pPr>
      <w:r w:rsidRPr="0083260E">
        <w:t>3.</w:t>
      </w:r>
      <w:r w:rsidRPr="0083260E">
        <w:tab/>
        <w:t xml:space="preserve">plus $0.10 per bushel for all bushels over </w:t>
      </w:r>
      <w:r>
        <w:t>2,000,000</w:t>
      </w:r>
      <w:r w:rsidRPr="0083260E">
        <w:t xml:space="preserve"> bushels up to </w:t>
      </w:r>
      <w:r>
        <w:t>3,500,000</w:t>
      </w:r>
      <w:r w:rsidRPr="0083260E">
        <w:t xml:space="preserve"> milli</w:t>
      </w:r>
      <w:r>
        <w:t xml:space="preserve">on bushels of licensed capacity, </w:t>
      </w:r>
      <w:r w:rsidRPr="0083260E">
        <w:t>a maximum of an additional $150,000.</w:t>
      </w:r>
    </w:p>
    <w:p w14:paraId="493F5DC8" w14:textId="77777777" w:rsidR="00D974AA" w:rsidRPr="0083260E" w:rsidRDefault="00D974AA" w:rsidP="00D974AA">
      <w:pPr>
        <w:pStyle w:val="A"/>
      </w:pPr>
      <w:r w:rsidRPr="0083260E">
        <w:t>E.</w:t>
      </w:r>
      <w:r w:rsidRPr="0083260E">
        <w:tab/>
        <w:t>The amount of security shall not be less than $25,000 for all facilities of 125,000 bushels or less licensed capacity.</w:t>
      </w:r>
    </w:p>
    <w:p w14:paraId="1EFD9B0C" w14:textId="77777777" w:rsidR="00D974AA" w:rsidRPr="0083260E" w:rsidRDefault="00D974AA" w:rsidP="00D974AA">
      <w:pPr>
        <w:pStyle w:val="A"/>
      </w:pPr>
      <w:r w:rsidRPr="0083260E">
        <w:t>F.</w:t>
      </w:r>
      <w:r w:rsidRPr="0083260E">
        <w:tab/>
        <w:t xml:space="preserve">Maximum security of $500,000 is required for all facilities of </w:t>
      </w:r>
      <w:r>
        <w:t xml:space="preserve">3,500,000 </w:t>
      </w:r>
      <w:r w:rsidRPr="0083260E">
        <w:t>or more bushels of licensed capacity.</w:t>
      </w:r>
    </w:p>
    <w:p w14:paraId="0231E997" w14:textId="77777777" w:rsidR="00D974AA" w:rsidRPr="0083260E" w:rsidRDefault="00D974AA" w:rsidP="00D974AA">
      <w:pPr>
        <w:pStyle w:val="A"/>
      </w:pPr>
      <w:r w:rsidRPr="0083260E">
        <w:t>G.</w:t>
      </w:r>
      <w:r w:rsidRPr="0083260E">
        <w:tab/>
        <w:t>All security shall be written for a period of one year, beginning on July 1, or for such other period of time as the commission may require.</w:t>
      </w:r>
    </w:p>
    <w:p w14:paraId="4FDAEB3E" w14:textId="77777777" w:rsidR="00D974AA" w:rsidRPr="0083260E" w:rsidRDefault="00D974AA" w:rsidP="00D974AA">
      <w:pPr>
        <w:pStyle w:val="A"/>
      </w:pPr>
      <w:r w:rsidRPr="0083260E">
        <w:t>H.</w:t>
      </w:r>
      <w:r w:rsidRPr="0083260E">
        <w:tab/>
        <w:t>All security shall provide for at least 90 days written notice to the commission prior to cancellation.</w:t>
      </w:r>
    </w:p>
    <w:p w14:paraId="1C7F9BDE" w14:textId="77777777" w:rsidR="00D974AA" w:rsidRPr="0083260E" w:rsidRDefault="00D974AA" w:rsidP="00D974AA">
      <w:pPr>
        <w:pStyle w:val="A"/>
      </w:pPr>
      <w:r w:rsidRPr="0083260E">
        <w:t>I.</w:t>
      </w:r>
      <w:r w:rsidRPr="0083260E">
        <w:tab/>
        <w:t>All security is subject to final approval by the commission and shall be so approved prior to issuance of the license.</w:t>
      </w:r>
    </w:p>
    <w:p w14:paraId="668B652B" w14:textId="77777777" w:rsidR="00D974AA" w:rsidRPr="0083260E" w:rsidRDefault="00D974AA" w:rsidP="00D974AA">
      <w:pPr>
        <w:pStyle w:val="A"/>
        <w:rPr>
          <w:strike/>
        </w:rPr>
      </w:pPr>
      <w:r>
        <w:t>J.</w:t>
      </w:r>
      <w:r>
        <w:tab/>
        <w:t>Provisions for Security</w:t>
      </w:r>
    </w:p>
    <w:p w14:paraId="0CB51471" w14:textId="77777777" w:rsidR="00D974AA" w:rsidRPr="0083260E" w:rsidRDefault="00D974AA" w:rsidP="00D974AA">
      <w:pPr>
        <w:pStyle w:val="1"/>
      </w:pPr>
      <w:r w:rsidRPr="0083260E">
        <w:t>1.</w:t>
      </w:r>
      <w:r w:rsidRPr="0083260E">
        <w:tab/>
        <w:t>The commission may accept security in an amount equal to 100 percent of the required security.</w:t>
      </w:r>
    </w:p>
    <w:p w14:paraId="19DDE328" w14:textId="77777777" w:rsidR="00D974AA" w:rsidRPr="0083260E" w:rsidRDefault="00D974AA" w:rsidP="00D974AA">
      <w:pPr>
        <w:pStyle w:val="1"/>
      </w:pPr>
      <w:r w:rsidRPr="0083260E">
        <w:t>2.</w:t>
      </w:r>
      <w:r w:rsidRPr="0083260E">
        <w:tab/>
        <w:t>Security may be offered only by:</w:t>
      </w:r>
    </w:p>
    <w:p w14:paraId="70604088" w14:textId="77777777" w:rsidR="00D974AA" w:rsidRPr="0083260E" w:rsidRDefault="00D974AA" w:rsidP="00D974AA">
      <w:pPr>
        <w:pStyle w:val="a0"/>
      </w:pPr>
      <w:r w:rsidRPr="0083260E">
        <w:t>a.</w:t>
      </w:r>
      <w:r w:rsidRPr="0083260E">
        <w:tab/>
        <w:t>pledging of certificates of deposit;</w:t>
      </w:r>
    </w:p>
    <w:p w14:paraId="37989ACA" w14:textId="77777777" w:rsidR="00D974AA" w:rsidRPr="0083260E" w:rsidRDefault="00D974AA" w:rsidP="00D974AA">
      <w:pPr>
        <w:pStyle w:val="a0"/>
      </w:pPr>
      <w:r w:rsidRPr="0083260E">
        <w:t>b.</w:t>
      </w:r>
      <w:r w:rsidRPr="0083260E">
        <w:tab/>
        <w:t>filing of an irrevocable letter of credit, which shall be non-cancelable for a period of one year;</w:t>
      </w:r>
    </w:p>
    <w:p w14:paraId="74771B1C" w14:textId="77777777" w:rsidR="00D974AA" w:rsidRPr="0083260E" w:rsidRDefault="00D974AA" w:rsidP="00D974AA">
      <w:pPr>
        <w:pStyle w:val="a0"/>
      </w:pPr>
      <w:r w:rsidRPr="0083260E">
        <w:t>c.</w:t>
      </w:r>
      <w:r w:rsidRPr="0083260E">
        <w:tab/>
        <w:t xml:space="preserve">securing a first mortgage on immovable property which is located in Louisiana and which has an appraised value of at least </w:t>
      </w:r>
      <w:r>
        <w:t>150</w:t>
      </w:r>
      <w:r w:rsidRPr="0083260E">
        <w:t xml:space="preserve"> percent of the amount of the security. The appraisal shall be made by an independent appraiser jointly designated by the commission and the applicant. The applicant shall provide a title insurance policy issued by a company authorized to do business in Louisiana in the amount of the required security with the commission being an insured </w:t>
      </w:r>
      <w:r w:rsidRPr="0083260E">
        <w:lastRenderedPageBreak/>
        <w:t>under the policy. The applicant shall pay all fees invo</w:t>
      </w:r>
      <w:r>
        <w:t>lved in providing such security;</w:t>
      </w:r>
    </w:p>
    <w:p w14:paraId="1857F850" w14:textId="77777777" w:rsidR="00D974AA" w:rsidRPr="0083260E" w:rsidRDefault="00D974AA" w:rsidP="00D974AA">
      <w:pPr>
        <w:pStyle w:val="a0"/>
      </w:pPr>
      <w:r w:rsidRPr="0083260E">
        <w:t>d.</w:t>
      </w:r>
      <w:r w:rsidRPr="0083260E">
        <w:tab/>
        <w:t>a bond.</w:t>
      </w:r>
    </w:p>
    <w:p w14:paraId="01DDC159" w14:textId="77777777" w:rsidR="00D974AA" w:rsidRPr="0083260E" w:rsidRDefault="00D974AA" w:rsidP="00D974AA">
      <w:pPr>
        <w:pStyle w:val="1"/>
      </w:pPr>
      <w:r w:rsidRPr="0083260E">
        <w:t>3.</w:t>
      </w:r>
      <w:r w:rsidRPr="0083260E">
        <w:tab/>
        <w:t>Security is subject to the approval of the commission. Approval is required prior to issuance of a license.</w:t>
      </w:r>
    </w:p>
    <w:p w14:paraId="334F3439" w14:textId="77777777" w:rsidR="00D974AA" w:rsidRPr="0083260E" w:rsidRDefault="00D974AA" w:rsidP="00D974AA">
      <w:pPr>
        <w:pStyle w:val="1"/>
      </w:pPr>
      <w:r w:rsidRPr="0083260E">
        <w:t>4.</w:t>
      </w:r>
      <w:r w:rsidRPr="0083260E">
        <w:tab/>
        <w:t>All security instruments shall be assigned to the commission and maintained in the commission’s office in Baton Rouge. Holders of certificates of deposit will continue to draw the interest thereon.</w:t>
      </w:r>
    </w:p>
    <w:p w14:paraId="00932DBA" w14:textId="77777777" w:rsidR="00D974AA" w:rsidRPr="0083260E" w:rsidRDefault="00D974AA" w:rsidP="00D974AA">
      <w:pPr>
        <w:pStyle w:val="1"/>
      </w:pPr>
      <w:r w:rsidRPr="0083260E">
        <w:t>5.</w:t>
      </w:r>
      <w:r w:rsidRPr="0083260E">
        <w:tab/>
        <w:t>Whenever any warehouse ceases to operate as a licensed warehouse, the security shall be retained by the commission:</w:t>
      </w:r>
    </w:p>
    <w:p w14:paraId="294DF9D6" w14:textId="77777777" w:rsidR="00D974AA" w:rsidRPr="0083260E" w:rsidRDefault="00D974AA" w:rsidP="00D974AA">
      <w:pPr>
        <w:pStyle w:val="a0"/>
      </w:pPr>
      <w:r w:rsidRPr="0083260E">
        <w:t>a.</w:t>
      </w:r>
      <w:r w:rsidRPr="0083260E">
        <w:tab/>
        <w:t>until public notice, as herein required, is made; and</w:t>
      </w:r>
    </w:p>
    <w:p w14:paraId="2F76423D" w14:textId="77777777" w:rsidR="00D974AA" w:rsidRPr="0083260E" w:rsidRDefault="00D974AA" w:rsidP="00D974AA">
      <w:pPr>
        <w:pStyle w:val="a0"/>
      </w:pPr>
      <w:r w:rsidRPr="0083260E">
        <w:t>b.</w:t>
      </w:r>
      <w:r w:rsidRPr="0083260E">
        <w:tab/>
        <w:t>until completion of a final audit, which final audit shall be completed in not more than 120 days. Public notice of the commission's intent to release the security shall be made by publication in a newspaper of general circulation in the area where the licensee is located, as follows:</w:t>
      </w:r>
    </w:p>
    <w:p w14:paraId="66D7E5AD" w14:textId="77777777" w:rsidR="00D974AA" w:rsidRPr="0083260E" w:rsidRDefault="00D974AA" w:rsidP="00D974AA">
      <w:pPr>
        <w:pStyle w:val="i0"/>
      </w:pPr>
      <w:r>
        <w:tab/>
      </w:r>
      <w:r w:rsidRPr="0083260E">
        <w:t>i.</w:t>
      </w:r>
      <w:r w:rsidRPr="0083260E">
        <w:tab/>
        <w:t>if there is a daily newspaper in the area, such notice shall be published at least three times, beginning at least 15 days prior to the date on which the commission will release the security;</w:t>
      </w:r>
    </w:p>
    <w:p w14:paraId="0393194C" w14:textId="77777777" w:rsidR="00D974AA" w:rsidRPr="0083260E" w:rsidRDefault="00D974AA" w:rsidP="00D974AA">
      <w:pPr>
        <w:pStyle w:val="i0"/>
      </w:pPr>
      <w:r>
        <w:tab/>
      </w:r>
      <w:r w:rsidRPr="0083260E">
        <w:t>ii.</w:t>
      </w:r>
      <w:r w:rsidRPr="0083260E">
        <w:tab/>
        <w:t>if there is no daily newspaper in the area, such notice shall be published in a weekly newspaper and shall be published once each week for the three weeks preceding the date on which the commission will release the security.</w:t>
      </w:r>
    </w:p>
    <w:p w14:paraId="3D3E2292" w14:textId="77777777" w:rsidR="00CF626A" w:rsidRPr="001531CD" w:rsidRDefault="00D974AA" w:rsidP="00D974AA">
      <w:pPr>
        <w:pStyle w:val="AuthorityNote"/>
      </w:pPr>
      <w:r w:rsidRPr="0083260E">
        <w:t>AUTHORITY NOTE:</w:t>
      </w:r>
      <w:r w:rsidRPr="0083260E">
        <w:tab/>
        <w:t>Promulgated in accordance with R.S. 3:3405 and 3:3410.</w:t>
      </w:r>
    </w:p>
    <w:p w14:paraId="13C10A17"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9:297 (May 1983), amended LR 10:75 (February 1984), amended by the Department of Agriculture and Forestry, Office of Agro-Consumer Services, Agricultural Commodities Commis</w:t>
      </w:r>
      <w:r w:rsidR="000402C5" w:rsidRPr="001531CD">
        <w:t>sion, LR 19:1301 (October 1993), amended by the Department of Agriculture and Forestry, Agricultural Commodities Commis</w:t>
      </w:r>
      <w:r w:rsidR="00D974AA">
        <w:t xml:space="preserve">sion, LR 37:500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1500 (September 2016).</w:t>
      </w:r>
    </w:p>
    <w:p w14:paraId="6FACE008" w14:textId="77777777" w:rsidR="000402C5" w:rsidRPr="001531CD" w:rsidRDefault="000402C5" w:rsidP="000402C5">
      <w:pPr>
        <w:pStyle w:val="Section"/>
      </w:pPr>
      <w:bookmarkStart w:id="2642" w:name="_Toc235870221"/>
      <w:bookmarkStart w:id="2643" w:name="_Toc224819325"/>
      <w:r w:rsidRPr="001531CD">
        <w:t>§117.</w:t>
      </w:r>
      <w:r w:rsidRPr="001531CD">
        <w:tab/>
        <w:t>Provisional Stock Insurance Required for Warehouse License</w:t>
      </w:r>
      <w:bookmarkEnd w:id="2642"/>
      <w:bookmarkEnd w:id="2643"/>
    </w:p>
    <w:p w14:paraId="561B7E47" w14:textId="77777777" w:rsidR="000402C5" w:rsidRPr="001531CD" w:rsidRDefault="000402C5" w:rsidP="000402C5">
      <w:pPr>
        <w:pStyle w:val="A"/>
      </w:pPr>
      <w:r w:rsidRPr="001531CD">
        <w:t>A.</w:t>
      </w:r>
      <w:r w:rsidRPr="001531CD">
        <w:tab/>
        <w:t>At all times, each warehouse shall carry sufficient provisional stock insurance to assure protection against fire and other disasters for all agricultural commodities in storage in an amount proportionate to the licensed capacity of the facility. Provisional stock insurance records are subject to examination by the commission during audit of the facility.</w:t>
      </w:r>
    </w:p>
    <w:p w14:paraId="77C84EDE" w14:textId="77777777" w:rsidR="000402C5" w:rsidRPr="001531CD" w:rsidRDefault="000402C5" w:rsidP="000402C5">
      <w:pPr>
        <w:pStyle w:val="A"/>
      </w:pPr>
      <w:r w:rsidRPr="001531CD">
        <w:t>B.</w:t>
      </w:r>
      <w:r w:rsidRPr="001531CD">
        <w:tab/>
        <w:t>The provisional stock insurance shall be written for a period of at least one year by an insurance company authorized to do business in Louisiana and shall provide for 30 days written notice to the commission prior to cancellation.</w:t>
      </w:r>
    </w:p>
    <w:p w14:paraId="5A869C20" w14:textId="77777777" w:rsidR="000402C5" w:rsidRPr="001531CD" w:rsidRDefault="000402C5" w:rsidP="000402C5">
      <w:pPr>
        <w:pStyle w:val="A"/>
      </w:pPr>
      <w:r w:rsidRPr="001531CD">
        <w:t>C.</w:t>
      </w:r>
      <w:r w:rsidRPr="001531CD">
        <w:tab/>
        <w:t>A copy of the insurance policy or a certificate of insurance shall be filed with the commission prior to issuance of the license.</w:t>
      </w:r>
    </w:p>
    <w:p w14:paraId="79204CAA" w14:textId="77777777" w:rsidR="000402C5" w:rsidRPr="001531CD" w:rsidRDefault="000402C5" w:rsidP="000402C5">
      <w:pPr>
        <w:pStyle w:val="AuthorityNote"/>
      </w:pPr>
      <w:r w:rsidRPr="001531CD">
        <w:t>AUTHORITY NOTE:</w:t>
      </w:r>
      <w:r w:rsidRPr="001531CD">
        <w:tab/>
        <w:t>Promulgated in accordance with R.S. 3:3405 and R.S. 3:3410.</w:t>
      </w:r>
    </w:p>
    <w:p w14:paraId="672A1C2D" w14:textId="77777777"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w:t>
      </w:r>
      <w:r w:rsidR="000402C5" w:rsidRPr="001531CD">
        <w:t>Commission, LR 9:299 (May 1983), amended by the Department of Agriculture and Forestry, Agricultural Commodities Commission, LR 37:501 (February 2011).</w:t>
      </w:r>
    </w:p>
    <w:p w14:paraId="5587E574" w14:textId="77777777" w:rsidR="000402C5" w:rsidRPr="001531CD" w:rsidRDefault="000402C5" w:rsidP="000402C5">
      <w:pPr>
        <w:pStyle w:val="Section"/>
      </w:pPr>
      <w:bookmarkStart w:id="2644" w:name="_Toc235870222"/>
      <w:bookmarkStart w:id="2645" w:name="_Toc224819326"/>
      <w:r w:rsidRPr="001531CD">
        <w:t>§119.</w:t>
      </w:r>
      <w:r w:rsidRPr="001531CD">
        <w:tab/>
        <w:t>Amendment to License Required When Change of Status Occurs</w:t>
      </w:r>
      <w:bookmarkEnd w:id="2644"/>
      <w:bookmarkEnd w:id="2645"/>
    </w:p>
    <w:p w14:paraId="597A7DB0" w14:textId="77777777" w:rsidR="000402C5" w:rsidRPr="001531CD" w:rsidRDefault="000402C5" w:rsidP="000402C5">
      <w:pPr>
        <w:pStyle w:val="A"/>
      </w:pPr>
      <w:r w:rsidRPr="001531CD">
        <w:t>A.</w:t>
      </w:r>
      <w:r w:rsidRPr="001531CD">
        <w:tab/>
        <w:t>The licensee shall give written notice to the commission within three days after any of the following occurs:</w:t>
      </w:r>
    </w:p>
    <w:p w14:paraId="4B34AE04" w14:textId="77777777" w:rsidR="000402C5" w:rsidRPr="001531CD" w:rsidRDefault="000402C5" w:rsidP="000402C5">
      <w:pPr>
        <w:pStyle w:val="1"/>
      </w:pPr>
      <w:r w:rsidRPr="001531CD">
        <w:t>1.</w:t>
      </w:r>
      <w:r w:rsidRPr="001531CD">
        <w:tab/>
        <w:t>loss or damage to stored commodities or licensed facilities;</w:t>
      </w:r>
    </w:p>
    <w:p w14:paraId="3F04AA91" w14:textId="77777777" w:rsidR="000402C5" w:rsidRPr="001531CD" w:rsidRDefault="000402C5" w:rsidP="000402C5">
      <w:pPr>
        <w:pStyle w:val="1"/>
      </w:pPr>
      <w:r w:rsidRPr="001531CD">
        <w:t>2.</w:t>
      </w:r>
      <w:r w:rsidRPr="001531CD">
        <w:tab/>
        <w:t>change of ownership of a licensed warehouse, including a change in the members of a partnership or in the officers of a corporation;</w:t>
      </w:r>
    </w:p>
    <w:p w14:paraId="311051B8" w14:textId="77777777" w:rsidR="000402C5" w:rsidRPr="001531CD" w:rsidRDefault="000402C5" w:rsidP="000402C5">
      <w:pPr>
        <w:pStyle w:val="1"/>
      </w:pPr>
      <w:r w:rsidRPr="001531CD">
        <w:t>3.</w:t>
      </w:r>
      <w:r w:rsidRPr="001531CD">
        <w:tab/>
        <w:t>change in management personnel of a licensed warehouse;</w:t>
      </w:r>
    </w:p>
    <w:p w14:paraId="5A1BDFE7" w14:textId="77777777" w:rsidR="000402C5" w:rsidRPr="001531CD" w:rsidRDefault="000402C5" w:rsidP="000402C5">
      <w:pPr>
        <w:pStyle w:val="1"/>
      </w:pPr>
      <w:r w:rsidRPr="001531CD">
        <w:t>4.</w:t>
      </w:r>
      <w:r w:rsidRPr="001531CD">
        <w:tab/>
        <w:t>change in the name of the business operating the facility;</w:t>
      </w:r>
    </w:p>
    <w:p w14:paraId="7A697582" w14:textId="77777777" w:rsidR="000402C5" w:rsidRPr="001531CD" w:rsidRDefault="000402C5" w:rsidP="000402C5">
      <w:pPr>
        <w:pStyle w:val="1"/>
      </w:pPr>
      <w:r w:rsidRPr="001531CD">
        <w:t>5.</w:t>
      </w:r>
      <w:r w:rsidRPr="001531CD">
        <w:tab/>
        <w:t>any major structural change in the facility;</w:t>
      </w:r>
    </w:p>
    <w:p w14:paraId="3ACDFF34" w14:textId="77777777" w:rsidR="000402C5" w:rsidRPr="001531CD" w:rsidRDefault="000402C5" w:rsidP="000402C5">
      <w:pPr>
        <w:pStyle w:val="1"/>
      </w:pPr>
      <w:r w:rsidRPr="001531CD">
        <w:t>6.</w:t>
      </w:r>
      <w:r w:rsidRPr="001531CD">
        <w:tab/>
        <w:t>the termination of a lease covering a licensed facility;</w:t>
      </w:r>
    </w:p>
    <w:p w14:paraId="0BC434DA" w14:textId="77777777" w:rsidR="000402C5" w:rsidRPr="001531CD" w:rsidRDefault="000402C5" w:rsidP="000402C5">
      <w:pPr>
        <w:pStyle w:val="1"/>
      </w:pPr>
      <w:r w:rsidRPr="001531CD">
        <w:t>7.</w:t>
      </w:r>
      <w:r w:rsidRPr="001531CD">
        <w:tab/>
        <w:t>change of business address;</w:t>
      </w:r>
    </w:p>
    <w:p w14:paraId="012C4333" w14:textId="77777777" w:rsidR="000402C5" w:rsidRPr="001531CD" w:rsidRDefault="000402C5" w:rsidP="000402C5">
      <w:pPr>
        <w:pStyle w:val="1"/>
      </w:pPr>
      <w:r w:rsidRPr="001531CD">
        <w:t>8.</w:t>
      </w:r>
      <w:r w:rsidRPr="001531CD">
        <w:tab/>
        <w:t>filing of any legal action (except filing of suits for workmen's compensation) against the warehouse or the management personnel of the warehouse.</w:t>
      </w:r>
    </w:p>
    <w:p w14:paraId="1A1AB141" w14:textId="77777777" w:rsidR="000402C5" w:rsidRPr="001531CD" w:rsidRDefault="000402C5" w:rsidP="000402C5">
      <w:pPr>
        <w:pStyle w:val="A"/>
      </w:pPr>
      <w:r w:rsidRPr="001531CD">
        <w:t>B.</w:t>
      </w:r>
      <w:r w:rsidRPr="001531CD">
        <w:tab/>
        <w:t>The licensee shall give prior written or oral notice to the commission before use of the facilities for the storage of any agricultural commodity not listed on the application and before any change in the licensed capacity of the facility (except a change resulting from fire or other actions outside the control of the warehouse).</w:t>
      </w:r>
    </w:p>
    <w:p w14:paraId="0D0EC729" w14:textId="77777777" w:rsidR="000402C5" w:rsidRPr="001531CD" w:rsidRDefault="000402C5" w:rsidP="000402C5">
      <w:pPr>
        <w:pStyle w:val="A"/>
      </w:pPr>
      <w:r w:rsidRPr="001531CD">
        <w:t>C.</w:t>
      </w:r>
      <w:r w:rsidRPr="001531CD">
        <w:tab/>
        <w:t>Notice to the commission concerning a change in licensed capacity shall include:</w:t>
      </w:r>
    </w:p>
    <w:p w14:paraId="0AFB25E2" w14:textId="77777777" w:rsidR="000402C5" w:rsidRPr="001531CD" w:rsidRDefault="000402C5" w:rsidP="000402C5">
      <w:pPr>
        <w:pStyle w:val="1"/>
      </w:pPr>
      <w:r w:rsidRPr="001531CD">
        <w:t>1.</w:t>
      </w:r>
      <w:r w:rsidRPr="001531CD">
        <w:tab/>
        <w:t>name, address, and license number of the warehouse;</w:t>
      </w:r>
    </w:p>
    <w:p w14:paraId="5FE910D9" w14:textId="77777777" w:rsidR="000402C5" w:rsidRPr="001531CD" w:rsidRDefault="000402C5" w:rsidP="000402C5">
      <w:pPr>
        <w:pStyle w:val="1"/>
      </w:pPr>
      <w:r w:rsidRPr="001531CD">
        <w:t>2.</w:t>
      </w:r>
      <w:r w:rsidRPr="001531CD">
        <w:tab/>
        <w:t>warehouse or warehouses affected by the change in capacity;</w:t>
      </w:r>
    </w:p>
    <w:p w14:paraId="0B3850CE" w14:textId="77777777" w:rsidR="000402C5" w:rsidRPr="001531CD" w:rsidRDefault="000402C5" w:rsidP="000402C5">
      <w:pPr>
        <w:pStyle w:val="1"/>
      </w:pPr>
      <w:r w:rsidRPr="001531CD">
        <w:t>3.</w:t>
      </w:r>
      <w:r w:rsidRPr="001531CD">
        <w:tab/>
        <w:t>current licensed capacity of the affected facility(ies);</w:t>
      </w:r>
    </w:p>
    <w:p w14:paraId="0A80A34A" w14:textId="77777777" w:rsidR="000402C5" w:rsidRPr="001531CD" w:rsidRDefault="000402C5" w:rsidP="000402C5">
      <w:pPr>
        <w:pStyle w:val="1"/>
      </w:pPr>
      <w:r w:rsidRPr="001531CD">
        <w:t>4.</w:t>
      </w:r>
      <w:r w:rsidRPr="001531CD">
        <w:tab/>
        <w:t>proposed new capacity (whether increased or decreased).</w:t>
      </w:r>
    </w:p>
    <w:p w14:paraId="0405070F" w14:textId="77777777" w:rsidR="00D974AA" w:rsidRPr="0083260E" w:rsidRDefault="00D974AA" w:rsidP="00D974AA">
      <w:pPr>
        <w:pStyle w:val="A"/>
      </w:pPr>
      <w:r w:rsidRPr="0083260E">
        <w:t>D.</w:t>
      </w:r>
      <w:r w:rsidRPr="0083260E">
        <w:tab/>
        <w:t>Whenever the licensed capacity of a facility changes, the security required under §115 of this Part shall be changed within 45 days to conform to the new capacity. Failure to amend the security as required herein will subject the licensee to revocation of its license.</w:t>
      </w:r>
    </w:p>
    <w:p w14:paraId="4FEC6E44" w14:textId="77777777" w:rsidR="00CF626A" w:rsidRPr="001531CD" w:rsidRDefault="00D974AA" w:rsidP="00D974AA">
      <w:pPr>
        <w:pStyle w:val="AuthorityNote"/>
      </w:pPr>
      <w:r w:rsidRPr="0083260E">
        <w:lastRenderedPageBreak/>
        <w:t>AUTHORITY NOTE:</w:t>
      </w:r>
      <w:r w:rsidRPr="0083260E">
        <w:tab/>
        <w:t>Promulgated in accordance with R.S. 3:3405 and R.S. 3:3410.</w:t>
      </w:r>
    </w:p>
    <w:p w14:paraId="3C4EF9CD"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9:299 (May 1983), amended by the Department of Agriculture and Forestry, Office of Agro-Consumer Services, Agricultural Commodities Commis</w:t>
      </w:r>
      <w:r w:rsidR="000402C5" w:rsidRPr="001531CD">
        <w:t>sion, LR 19:1301 (October 1993), amended by the Department of Agriculture and Forestry, Agricultural Commodities Commiss</w:t>
      </w:r>
      <w:r w:rsidR="00D974AA">
        <w:t xml:space="preserve">ion, LR 37:501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1501 (September 2016).</w:t>
      </w:r>
    </w:p>
    <w:p w14:paraId="3CD1F1CF" w14:textId="77777777" w:rsidR="000402C5" w:rsidRPr="001531CD" w:rsidRDefault="000402C5" w:rsidP="000402C5">
      <w:pPr>
        <w:pStyle w:val="Chapter"/>
      </w:pPr>
      <w:bookmarkStart w:id="2646" w:name="TOC_SubC206"/>
      <w:bookmarkStart w:id="2647" w:name="_Toc235870223"/>
      <w:bookmarkStart w:id="2648" w:name="_Toc224819327"/>
      <w:r w:rsidRPr="001531CD">
        <w:t>Subchapter D.</w:t>
      </w:r>
      <w:bookmarkStart w:id="2649" w:name="TOCT_SubC206"/>
      <w:bookmarkEnd w:id="2646"/>
      <w:r w:rsidRPr="001531CD">
        <w:tab/>
        <w:t>Grain Dealers</w:t>
      </w:r>
      <w:bookmarkEnd w:id="2647"/>
      <w:bookmarkEnd w:id="2648"/>
      <w:bookmarkEnd w:id="2649"/>
    </w:p>
    <w:p w14:paraId="5D365ED9" w14:textId="77777777" w:rsidR="000402C5" w:rsidRPr="001531CD" w:rsidRDefault="000402C5" w:rsidP="000402C5">
      <w:pPr>
        <w:pStyle w:val="Section"/>
      </w:pPr>
      <w:bookmarkStart w:id="2650" w:name="_Toc235870224"/>
      <w:bookmarkStart w:id="2651" w:name="_Toc224819328"/>
      <w:r w:rsidRPr="001531CD">
        <w:t>§123.</w:t>
      </w:r>
      <w:r w:rsidRPr="001531CD">
        <w:tab/>
        <w:t>Requirements Applicable to All Grain Dealers</w:t>
      </w:r>
      <w:bookmarkEnd w:id="2650"/>
      <w:bookmarkEnd w:id="2651"/>
    </w:p>
    <w:p w14:paraId="09E1A412" w14:textId="77777777" w:rsidR="000402C5" w:rsidRPr="001531CD" w:rsidRDefault="000402C5" w:rsidP="000402C5">
      <w:pPr>
        <w:pStyle w:val="A"/>
      </w:pPr>
      <w:r w:rsidRPr="001531CD">
        <w:t>A.</w:t>
      </w:r>
      <w:r w:rsidRPr="001531CD">
        <w:tab/>
        <w:t>No person shall buy and/or sell agricultural commodities for producers, or represent producers in the purchase or sale of agricultural commodities, unless licensed as a grain dealer by the commission.</w:t>
      </w:r>
    </w:p>
    <w:p w14:paraId="305FF5F8" w14:textId="77777777" w:rsidR="000402C5" w:rsidRPr="001531CD" w:rsidRDefault="000402C5" w:rsidP="000402C5">
      <w:pPr>
        <w:pStyle w:val="A"/>
      </w:pPr>
      <w:r w:rsidRPr="001531CD">
        <w:t>B.</w:t>
      </w:r>
      <w:r w:rsidRPr="001531CD">
        <w:tab/>
        <w:t>No grain dealer may store agricultural commodities belonging to any other person unless such grain dealer is also licensed by the commission as a warehouse or licensed under the U.S. Warehouse Act.</w:t>
      </w:r>
    </w:p>
    <w:p w14:paraId="6C6C041B" w14:textId="77777777" w:rsidR="000402C5" w:rsidRPr="001531CD" w:rsidRDefault="000402C5" w:rsidP="000402C5">
      <w:pPr>
        <w:pStyle w:val="A"/>
      </w:pPr>
      <w:r w:rsidRPr="001531CD">
        <w:t>C.</w:t>
      </w:r>
      <w:r w:rsidRPr="001531CD">
        <w:tab/>
        <w:t>A single business entity which operates grain dealerships at more than one location may be covered by one license. In such instances, the applicant shall provide separate personnel information for each location but may submit a consolidated financial statement covering all locations.</w:t>
      </w:r>
    </w:p>
    <w:p w14:paraId="06E677EC" w14:textId="77777777" w:rsidR="000402C5" w:rsidRPr="001531CD" w:rsidRDefault="000402C5" w:rsidP="000402C5">
      <w:pPr>
        <w:pStyle w:val="A"/>
      </w:pPr>
      <w:r w:rsidRPr="001531CD">
        <w:t>D.</w:t>
      </w:r>
      <w:r w:rsidRPr="001531CD">
        <w:tab/>
        <w:t>When two or more businesses which are separate legal entities, even though owned and/or operated by the same individual or the same legal entity, are operated at one or more physical locations, each separate entity shall obtain a separate license.</w:t>
      </w:r>
    </w:p>
    <w:p w14:paraId="529352CE" w14:textId="77777777" w:rsidR="000402C5" w:rsidRPr="001531CD" w:rsidRDefault="000402C5" w:rsidP="000402C5">
      <w:pPr>
        <w:pStyle w:val="A"/>
      </w:pPr>
      <w:r w:rsidRPr="001531CD">
        <w:t>E.</w:t>
      </w:r>
      <w:r w:rsidRPr="001531CD">
        <w:tab/>
        <w:t>Each grain dealer license issued by the commission shall expire on June 30 following the date of issue.</w:t>
      </w:r>
    </w:p>
    <w:p w14:paraId="78DC79E8" w14:textId="77777777" w:rsidR="000402C5" w:rsidRPr="001531CD" w:rsidRDefault="000402C5" w:rsidP="000402C5">
      <w:pPr>
        <w:pStyle w:val="A"/>
      </w:pPr>
      <w:r w:rsidRPr="001531CD">
        <w:t>F.</w:t>
      </w:r>
      <w:r w:rsidRPr="001531CD">
        <w:tab/>
        <w:t>The applicant shall be of legal age and shall be able to demonstrate knowledge of the practical facts of keeping accurate records regarding the trading of agricultural commodities.</w:t>
      </w:r>
    </w:p>
    <w:p w14:paraId="3D3DA7A7" w14:textId="77777777" w:rsidR="00D974AA" w:rsidRPr="0083260E" w:rsidRDefault="00D974AA" w:rsidP="00D974AA">
      <w:pPr>
        <w:pStyle w:val="A"/>
      </w:pPr>
      <w:r w:rsidRPr="0083260E">
        <w:t>G.</w:t>
      </w:r>
      <w:r w:rsidRPr="0083260E">
        <w:tab/>
        <w:t>The applicant shall execute and file security, on forms provided by the commission, which is written by a company authorized to do business in Louisiana. The security shall be in an amount of $50,000 and shall provide for 90 days written notice to the commission prior to cancellation. The security shall be conditioned upon:</w:t>
      </w:r>
    </w:p>
    <w:p w14:paraId="01557A94" w14:textId="77777777" w:rsidR="00D974AA" w:rsidRPr="0083260E" w:rsidRDefault="00D974AA" w:rsidP="00D974AA">
      <w:pPr>
        <w:pStyle w:val="1"/>
      </w:pPr>
      <w:r w:rsidRPr="0083260E">
        <w:t>1.</w:t>
      </w:r>
      <w:r w:rsidRPr="0083260E">
        <w:tab/>
        <w:t>the faithful performance of all duties and obligations to producers; and</w:t>
      </w:r>
    </w:p>
    <w:p w14:paraId="474C2920" w14:textId="77777777" w:rsidR="00D974AA" w:rsidRPr="0083260E" w:rsidRDefault="00D974AA" w:rsidP="00D974AA">
      <w:pPr>
        <w:pStyle w:val="1"/>
      </w:pPr>
      <w:r w:rsidRPr="0083260E">
        <w:t>2.</w:t>
      </w:r>
      <w:r w:rsidRPr="0083260E">
        <w:tab/>
        <w:t>compliance with all requirements of R.S. 3:3401-3425 and the regulations contained in this Part. The security is subject to the approval of the commission and shall be so approved prior to issuance of the license. Failure to keep the security in full force and effect shall subject the grain dealer to suspension or revocation of its license.</w:t>
      </w:r>
    </w:p>
    <w:p w14:paraId="4FD294A8" w14:textId="77777777" w:rsidR="00D974AA" w:rsidRPr="0083260E" w:rsidRDefault="00D974AA" w:rsidP="00D974AA">
      <w:pPr>
        <w:pStyle w:val="A"/>
      </w:pPr>
      <w:r>
        <w:t>H.</w:t>
      </w:r>
      <w:r>
        <w:tab/>
        <w:t>Security Required</w:t>
      </w:r>
    </w:p>
    <w:p w14:paraId="5C9DC2C7" w14:textId="77777777" w:rsidR="00D974AA" w:rsidRPr="0083260E" w:rsidRDefault="00D974AA" w:rsidP="00D974AA">
      <w:pPr>
        <w:pStyle w:val="1"/>
      </w:pPr>
      <w:r w:rsidRPr="0083260E">
        <w:t>1.</w:t>
      </w:r>
      <w:r w:rsidRPr="0083260E">
        <w:tab/>
        <w:t>Security may be offered only by:</w:t>
      </w:r>
    </w:p>
    <w:p w14:paraId="2B462CA7" w14:textId="77777777" w:rsidR="00D974AA" w:rsidRPr="0083260E" w:rsidRDefault="00D974AA" w:rsidP="00D974AA">
      <w:pPr>
        <w:pStyle w:val="a0"/>
      </w:pPr>
      <w:r w:rsidRPr="0083260E">
        <w:t>a.</w:t>
      </w:r>
      <w:r w:rsidRPr="0083260E">
        <w:tab/>
        <w:t>pledging of certificates of deposit or other similar negotiable instruments; or</w:t>
      </w:r>
    </w:p>
    <w:p w14:paraId="3E2BCCC6" w14:textId="77777777" w:rsidR="00D974AA" w:rsidRPr="0083260E" w:rsidRDefault="00D974AA" w:rsidP="00D974AA">
      <w:pPr>
        <w:pStyle w:val="a0"/>
      </w:pPr>
      <w:r w:rsidRPr="0083260E">
        <w:t>b.</w:t>
      </w:r>
      <w:r w:rsidRPr="0083260E">
        <w:tab/>
        <w:t>filing of an irrevocable letter of credit, which shall be non-cancelable for a period of one year; or</w:t>
      </w:r>
    </w:p>
    <w:p w14:paraId="315B940F" w14:textId="77777777" w:rsidR="00D974AA" w:rsidRPr="0083260E" w:rsidRDefault="00D974AA" w:rsidP="00D974AA">
      <w:pPr>
        <w:pStyle w:val="a0"/>
      </w:pPr>
      <w:r>
        <w:t>c.</w:t>
      </w:r>
      <w:r>
        <w:tab/>
      </w:r>
      <w:r w:rsidRPr="0083260E">
        <w:t>securing a first mortgage on immovable property which is located in Louisiana and which has an appraised value of at least 150 percent of the amount of the bond. The appraisal shall be made by an independent appraiser jointly designated by the commission and the applicant. The applicant shall provide a title insurance policy issued by a company authorized to do business in Louisiana in the amount of the required bond with the commission being an insured under the policy. The applicant shall pay all fees involved in providing such security; or</w:t>
      </w:r>
    </w:p>
    <w:p w14:paraId="214BCBE8" w14:textId="77777777" w:rsidR="00D974AA" w:rsidRPr="0083260E" w:rsidRDefault="00D974AA" w:rsidP="00D974AA">
      <w:pPr>
        <w:pStyle w:val="a0"/>
      </w:pPr>
      <w:r w:rsidRPr="0083260E">
        <w:t>d.</w:t>
      </w:r>
      <w:r w:rsidRPr="0083260E">
        <w:tab/>
        <w:t>a bond.</w:t>
      </w:r>
    </w:p>
    <w:p w14:paraId="73DA4F8E" w14:textId="77777777" w:rsidR="00D974AA" w:rsidRPr="0083260E" w:rsidRDefault="00D974AA" w:rsidP="00D974AA">
      <w:pPr>
        <w:pStyle w:val="1"/>
      </w:pPr>
      <w:r>
        <w:t>2.</w:t>
      </w:r>
      <w:r>
        <w:tab/>
      </w:r>
      <w:r w:rsidRPr="0083260E">
        <w:t>All security instruments shall be assigned to the commission and will be maintained in the commission's office in Baton Rouge. Holders of certificates of deposit will continue to draw interest thereon.</w:t>
      </w:r>
    </w:p>
    <w:p w14:paraId="192AF758" w14:textId="77777777" w:rsidR="00D974AA" w:rsidRPr="0083260E" w:rsidRDefault="00D974AA" w:rsidP="00D974AA">
      <w:pPr>
        <w:pStyle w:val="1"/>
      </w:pPr>
      <w:r w:rsidRPr="0083260E">
        <w:t>3.</w:t>
      </w:r>
      <w:r w:rsidRPr="0083260E">
        <w:tab/>
        <w:t>Whenever any grain dealer ceases to operate as a licensed grain dealer, security shall be retained by the commission:</w:t>
      </w:r>
    </w:p>
    <w:p w14:paraId="205FAF15" w14:textId="77777777" w:rsidR="00D974AA" w:rsidRPr="0083260E" w:rsidRDefault="00D974AA" w:rsidP="00D974AA">
      <w:pPr>
        <w:pStyle w:val="a0"/>
      </w:pPr>
      <w:r w:rsidRPr="0083260E">
        <w:t>a.</w:t>
      </w:r>
      <w:r w:rsidRPr="0083260E">
        <w:tab/>
        <w:t>until public notice, as herein required, is made; and</w:t>
      </w:r>
    </w:p>
    <w:p w14:paraId="11CC7061" w14:textId="77777777" w:rsidR="00D974AA" w:rsidRPr="0083260E" w:rsidRDefault="00D974AA" w:rsidP="00D974AA">
      <w:pPr>
        <w:pStyle w:val="a0"/>
      </w:pPr>
      <w:r w:rsidRPr="0083260E">
        <w:t>b.</w:t>
      </w:r>
      <w:r w:rsidRPr="0083260E">
        <w:tab/>
        <w:t>until completion of a final audit, which final audit shall be completed in not more than 120 days. Public notice of the commission's intent to release the security shall be made by publication in a newspaper of general circulation in the area where the licensee is located as follows:</w:t>
      </w:r>
    </w:p>
    <w:p w14:paraId="6AFFF21B" w14:textId="77777777" w:rsidR="00D974AA" w:rsidRPr="0083260E" w:rsidRDefault="00D974AA" w:rsidP="00D974AA">
      <w:pPr>
        <w:pStyle w:val="i0"/>
      </w:pPr>
      <w:r>
        <w:tab/>
      </w:r>
      <w:r w:rsidRPr="0083260E">
        <w:t>i.</w:t>
      </w:r>
      <w:r w:rsidRPr="0083260E">
        <w:tab/>
        <w:t>if there is a daily newspaper in the area, such notice shall be published at least three times, beginning at least 15 days prior to the date on which the commission will release the security;</w:t>
      </w:r>
    </w:p>
    <w:p w14:paraId="77F7F0D6" w14:textId="77777777" w:rsidR="00D974AA" w:rsidRPr="0083260E" w:rsidRDefault="00D974AA" w:rsidP="00D974AA">
      <w:pPr>
        <w:pStyle w:val="i0"/>
      </w:pPr>
      <w:r>
        <w:tab/>
      </w:r>
      <w:r w:rsidRPr="0083260E">
        <w:t>ii.</w:t>
      </w:r>
      <w:r w:rsidRPr="0083260E">
        <w:tab/>
        <w:t>if there is no daily newspaper in the area, such notice shall be published in a weekly newspaper and shall be published once each week for the three weeks preceding the date on which the commission will release the security.</w:t>
      </w:r>
    </w:p>
    <w:p w14:paraId="7DDF4BD5" w14:textId="77777777" w:rsidR="00D974AA" w:rsidRPr="0083260E" w:rsidRDefault="00D974AA" w:rsidP="00D974AA">
      <w:pPr>
        <w:pStyle w:val="1"/>
      </w:pPr>
      <w:r w:rsidRPr="0083260E">
        <w:t>4.</w:t>
      </w:r>
      <w:r w:rsidRPr="0083260E">
        <w:tab/>
        <w:t>Security is subject to the approval of the commission and shall be approved prior to issuance of the license.</w:t>
      </w:r>
    </w:p>
    <w:p w14:paraId="7A6D2196" w14:textId="77777777" w:rsidR="00D974AA" w:rsidRPr="0083260E" w:rsidRDefault="00D974AA" w:rsidP="00D974AA">
      <w:pPr>
        <w:pStyle w:val="A"/>
      </w:pPr>
      <w:r w:rsidRPr="0083260E">
        <w:t>I.</w:t>
      </w:r>
      <w:r w:rsidRPr="0083260E">
        <w:tab/>
        <w:t>The applicant shall demonstrate a net worth which is reasonably sufficient to assure its ability to meet its obligations to producers. The commission shall be the final judge of the sufficiency of each applicant's net worth.</w:t>
      </w:r>
    </w:p>
    <w:p w14:paraId="47AE7765" w14:textId="77777777" w:rsidR="000402C5" w:rsidRPr="001531CD" w:rsidRDefault="00D974AA" w:rsidP="00D974AA">
      <w:pPr>
        <w:pStyle w:val="AuthorityNote"/>
      </w:pPr>
      <w:r w:rsidRPr="0083260E">
        <w:t>AUTHORITY NOTE:</w:t>
      </w:r>
      <w:r w:rsidRPr="0083260E">
        <w:tab/>
        <w:t>Promulgated in accordance with R.S. 3:3405 and R.S. 3:3411.</w:t>
      </w:r>
    </w:p>
    <w:p w14:paraId="0B2739EF" w14:textId="77777777" w:rsidR="00D84B9B" w:rsidRPr="001531CD" w:rsidRDefault="00CF626A" w:rsidP="00D84B9B">
      <w:pPr>
        <w:pStyle w:val="HistoricalNote"/>
      </w:pPr>
      <w:r w:rsidRPr="001531CD">
        <w:t>HISTORICAL NOTE:</w:t>
      </w:r>
      <w:r w:rsidRPr="001531CD">
        <w:tab/>
        <w:t>Promulgated by the Department of Agriculture, Agricultural Commodities Commission, LR 9:301 (May 1983), amended LR 10:75 (Febru</w:t>
      </w:r>
      <w:r w:rsidR="00D84B9B" w:rsidRPr="001531CD">
        <w:t>ary 1984), LR 12:287 (May 19</w:t>
      </w:r>
      <w:r w:rsidR="000402C5" w:rsidRPr="001531CD">
        <w:t>86), LR 35:2311 (November 2009), amended by the Department of Agriculture and Forestry, Agricultural Commodities Commission, L</w:t>
      </w:r>
      <w:r w:rsidR="00D974AA">
        <w:t xml:space="preserve">R 37:502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1501 (September 2016).</w:t>
      </w:r>
    </w:p>
    <w:p w14:paraId="7AE629F0" w14:textId="77777777" w:rsidR="00E77F55" w:rsidRPr="001531CD" w:rsidRDefault="00E77F55" w:rsidP="00E77F55">
      <w:pPr>
        <w:pStyle w:val="Section"/>
      </w:pPr>
      <w:bookmarkStart w:id="2652" w:name="_Toc235870225"/>
      <w:bookmarkStart w:id="2653" w:name="_Toc224819329"/>
      <w:r w:rsidRPr="001531CD">
        <w:lastRenderedPageBreak/>
        <w:t>§125.</w:t>
      </w:r>
      <w:r w:rsidRPr="001531CD">
        <w:tab/>
        <w:t>Risk Position Requirements</w:t>
      </w:r>
      <w:bookmarkEnd w:id="2652"/>
      <w:bookmarkEnd w:id="2653"/>
    </w:p>
    <w:p w14:paraId="6AE3CB27" w14:textId="77777777" w:rsidR="00E77F55" w:rsidRPr="001531CD" w:rsidRDefault="00E77F55" w:rsidP="00E77F55">
      <w:pPr>
        <w:pStyle w:val="A"/>
      </w:pPr>
      <w:r w:rsidRPr="001531CD">
        <w:t>A.</w:t>
      </w:r>
      <w:r w:rsidRPr="001531CD">
        <w:tab/>
        <w:t>Each grain dealer shall achieve and maintain a relatively even hedge position within no more than three business days after deposit of agricultural commodities by producer. Relatively even hedge position means that the grain dealer has entered into contracts to buy or sell commodities which are roughly equal in value to the amount of the dealer's outstanding obligations to producers.</w:t>
      </w:r>
    </w:p>
    <w:p w14:paraId="3FF597D2" w14:textId="77777777" w:rsidR="00E77F55" w:rsidRPr="001531CD" w:rsidRDefault="00E77F55" w:rsidP="00E77F55">
      <w:pPr>
        <w:pStyle w:val="A"/>
      </w:pPr>
      <w:r w:rsidRPr="001531CD">
        <w:t>B.</w:t>
      </w:r>
      <w:r w:rsidRPr="001531CD">
        <w:tab/>
        <w:t>Whenever a grain dealer's risk position is brought to market, its loss potential shall never exceed 30 percent of the grain dealer's current net worth. No grain dealer may maintain a risk position in excess of 30 percent of its current net worth, provided that the commission may specify a lower maximum risk position for any grain dealer in an amount having a reasonable relationship to that grain dealer's current net worth.</w:t>
      </w:r>
    </w:p>
    <w:p w14:paraId="4BCE287B" w14:textId="77777777" w:rsidR="00E77F55" w:rsidRPr="001531CD" w:rsidRDefault="00E77F55" w:rsidP="00E77F55">
      <w:pPr>
        <w:pStyle w:val="A"/>
      </w:pPr>
      <w:r w:rsidRPr="001531CD">
        <w:t>C.</w:t>
      </w:r>
      <w:r w:rsidRPr="001531CD">
        <w:tab/>
        <w:t>The commission may require a lower maximum risk position on any grain dealer by the following procedures.</w:t>
      </w:r>
    </w:p>
    <w:p w14:paraId="3EF3E4AE" w14:textId="77777777" w:rsidR="00E77F55" w:rsidRPr="001531CD" w:rsidRDefault="00E77F55" w:rsidP="00E77F55">
      <w:pPr>
        <w:pStyle w:val="1"/>
      </w:pPr>
      <w:r w:rsidRPr="001531CD">
        <w:t>1.</w:t>
      </w:r>
      <w:r w:rsidRPr="001531CD">
        <w:tab/>
        <w:t>The commission shall notify the grain dealer that a public hearing will be held, within five days after notice, to establish for such grain dealer a requirement that its risk position will be less than 30 percent of its current net worth.</w:t>
      </w:r>
    </w:p>
    <w:p w14:paraId="2D98B390" w14:textId="77777777" w:rsidR="00E77F55" w:rsidRPr="001531CD" w:rsidRDefault="00E77F55" w:rsidP="00E77F55">
      <w:pPr>
        <w:pStyle w:val="1"/>
      </w:pPr>
      <w:r w:rsidRPr="001531CD">
        <w:t>2.</w:t>
      </w:r>
      <w:r w:rsidRPr="001531CD">
        <w:tab/>
        <w:t>The grain dealer may appear on its own behalf or may be represented by counsel at the hearing, and may show cause why such lower maximum risk position shall not be established for such grain dealer.</w:t>
      </w:r>
    </w:p>
    <w:p w14:paraId="562D78AC" w14:textId="77777777" w:rsidR="00E77F55" w:rsidRPr="001531CD" w:rsidRDefault="00E77F55" w:rsidP="00E77F55">
      <w:pPr>
        <w:pStyle w:val="1"/>
      </w:pPr>
      <w:r w:rsidRPr="001531CD">
        <w:t>3.</w:t>
      </w:r>
      <w:r w:rsidRPr="001531CD">
        <w:tab/>
        <w:t>The commission may require the submission of interim financial statements in order to make a final determination with respect to establishment of a lower risk position requirement for such grain dealer.</w:t>
      </w:r>
    </w:p>
    <w:p w14:paraId="297B44C3" w14:textId="77777777" w:rsidR="00E77F55" w:rsidRPr="001531CD" w:rsidRDefault="00E77F55" w:rsidP="00E77F55">
      <w:pPr>
        <w:pStyle w:val="1"/>
      </w:pPr>
      <w:r w:rsidRPr="001531CD">
        <w:t>4.</w:t>
      </w:r>
      <w:r w:rsidRPr="001531CD">
        <w:tab/>
        <w:t>The commission shall make a determination at the public hearing and shall establish an exact risk position as a percentage of current net worth for such grain dealer. Written notice of the lower risk position requirement shall be given by the director immediately following such public hearing.</w:t>
      </w:r>
    </w:p>
    <w:p w14:paraId="7909C45A" w14:textId="77777777" w:rsidR="00E77F55" w:rsidRPr="001531CD" w:rsidRDefault="00E77F55" w:rsidP="00E77F55">
      <w:pPr>
        <w:pStyle w:val="A"/>
      </w:pPr>
      <w:r w:rsidRPr="001531CD">
        <w:t>D.</w:t>
      </w:r>
      <w:r w:rsidRPr="001531CD">
        <w:tab/>
        <w:t>Any grain dealer who does not adhere to the risk position requirement imposed for such grain dealer by the commission shall be subject to the penalties set forth in §149 of this Part.</w:t>
      </w:r>
    </w:p>
    <w:p w14:paraId="06BEB6E5" w14:textId="77777777" w:rsidR="00E77F55" w:rsidRPr="001531CD" w:rsidRDefault="00E77F55" w:rsidP="00E77F55">
      <w:pPr>
        <w:pStyle w:val="A"/>
      </w:pPr>
      <w:r w:rsidRPr="001531CD">
        <w:t>E.</w:t>
      </w:r>
      <w:r w:rsidRPr="001531CD">
        <w:tab/>
        <w:t>Any grain dealer whose risk position is established by the commission at less than 30 percent of its net worth may request reconsideration of the established risk position whenever its financial position changes. Such request shall be made in writing, setting forth the reasons therefore, and the commission shall consider the request at the next regularly scheduled quarterly meeting following receipt of such request.</w:t>
      </w:r>
    </w:p>
    <w:p w14:paraId="5D7B2EF4" w14:textId="77777777" w:rsidR="00CF626A" w:rsidRPr="001531CD" w:rsidRDefault="00E77F55" w:rsidP="00E77F55">
      <w:pPr>
        <w:pStyle w:val="AuthorityNote"/>
      </w:pPr>
      <w:r w:rsidRPr="001531CD">
        <w:t>AUTHORITY NOTE:</w:t>
      </w:r>
      <w:r w:rsidRPr="001531CD">
        <w:tab/>
        <w:t>Promulgated in accordance with R.S. 3:3405 and R.S. 3:3413.</w:t>
      </w:r>
    </w:p>
    <w:p w14:paraId="59C53695"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9:302 (May 1983), amended by the Department of Agriculture and Forestry, Office of Agro-Consumer Services, Agricultural Commodities Commis</w:t>
      </w:r>
      <w:r w:rsidR="00E77F55" w:rsidRPr="001531CD">
        <w:t xml:space="preserve">sion, LR 19:1301 (October 1993), </w:t>
      </w:r>
      <w:r w:rsidR="00F92EA2" w:rsidRPr="001531CD">
        <w:t>amended by the Department of Agriculture and Forestry, Agricultural Commodities Commission, LR 37:503 (February 2011).</w:t>
      </w:r>
    </w:p>
    <w:p w14:paraId="7DCBDA33" w14:textId="77777777" w:rsidR="00F92EA2" w:rsidRPr="001531CD" w:rsidRDefault="00F92EA2" w:rsidP="00F92EA2">
      <w:pPr>
        <w:pStyle w:val="Chapter"/>
      </w:pPr>
      <w:bookmarkStart w:id="2654" w:name="TOC_SubC207"/>
      <w:bookmarkStart w:id="2655" w:name="_Toc235870226"/>
      <w:bookmarkStart w:id="2656" w:name="_Toc224819330"/>
      <w:r w:rsidRPr="001531CD">
        <w:t>Subchapter E.</w:t>
      </w:r>
      <w:bookmarkStart w:id="2657" w:name="TOCT_SubC207"/>
      <w:bookmarkEnd w:id="2654"/>
      <w:r w:rsidRPr="001531CD">
        <w:tab/>
        <w:t>Assessments and Fees</w:t>
      </w:r>
      <w:bookmarkEnd w:id="2655"/>
      <w:bookmarkEnd w:id="2656"/>
      <w:bookmarkEnd w:id="2657"/>
    </w:p>
    <w:p w14:paraId="107EE232" w14:textId="77777777" w:rsidR="00F92EA2" w:rsidRPr="001531CD" w:rsidRDefault="00F92EA2" w:rsidP="00F92EA2">
      <w:pPr>
        <w:pStyle w:val="Section"/>
      </w:pPr>
      <w:bookmarkStart w:id="2658" w:name="_Toc235870227"/>
      <w:bookmarkStart w:id="2659" w:name="_Toc224819331"/>
      <w:r w:rsidRPr="001531CD">
        <w:t>§127.</w:t>
      </w:r>
      <w:r w:rsidRPr="001531CD">
        <w:tab/>
        <w:t>Assessments: Amount, Time of Payment, Payment under Special Conditions</w:t>
      </w:r>
      <w:bookmarkEnd w:id="2658"/>
      <w:bookmarkEnd w:id="2659"/>
    </w:p>
    <w:p w14:paraId="6EB861D1" w14:textId="77777777" w:rsidR="00F92EA2" w:rsidRPr="001531CD" w:rsidRDefault="00F92EA2" w:rsidP="00F92EA2">
      <w:pPr>
        <w:pStyle w:val="A"/>
      </w:pPr>
      <w:r w:rsidRPr="001531CD">
        <w:t>A.</w:t>
      </w:r>
      <w:r w:rsidRPr="001531CD">
        <w:tab/>
        <w:t>Assessments shall be due and payable from the producer at the first point of sale as defined in §101 of this Part.</w:t>
      </w:r>
    </w:p>
    <w:p w14:paraId="328D7DF8" w14:textId="77777777" w:rsidR="00F92EA2" w:rsidRPr="001531CD" w:rsidRDefault="00F92EA2" w:rsidP="00F92EA2">
      <w:pPr>
        <w:pStyle w:val="A"/>
      </w:pPr>
      <w:r w:rsidRPr="001531CD">
        <w:t>B.</w:t>
      </w:r>
      <w:r w:rsidRPr="001531CD">
        <w:tab/>
        <w:t>Each grain dealer shall deduct the assessments set forth in this rule and in R.S. 3:3422 from the proceeds to be paid to producers at the time of sale of commodities.</w:t>
      </w:r>
    </w:p>
    <w:p w14:paraId="7926746C" w14:textId="77777777" w:rsidR="00F92EA2" w:rsidRPr="001531CD" w:rsidRDefault="00F92EA2" w:rsidP="00F92EA2">
      <w:pPr>
        <w:pStyle w:val="A"/>
      </w:pPr>
      <w:r w:rsidRPr="001531CD">
        <w:t>C. Assessments on commodities normally weighed by hundredweight and on commodities normally weighed by bushels shall be as set forth in R.S. 3:3422. The weight of commodities normally weighed in barrels shall be converted to bushels by multiplying the barrel weight by 3.6.</w:t>
      </w:r>
    </w:p>
    <w:p w14:paraId="534D5190" w14:textId="77777777" w:rsidR="00F92EA2" w:rsidRPr="001531CD" w:rsidRDefault="00F92EA2" w:rsidP="00F92EA2">
      <w:pPr>
        <w:pStyle w:val="A"/>
      </w:pPr>
      <w:r w:rsidRPr="001531CD">
        <w:t>D.</w:t>
      </w:r>
      <w:r w:rsidRPr="001531CD">
        <w:tab/>
        <w:t>Rates of Assessments</w:t>
      </w:r>
    </w:p>
    <w:p w14:paraId="583EE4BE" w14:textId="77777777" w:rsidR="00F92EA2" w:rsidRPr="001531CD" w:rsidRDefault="00F92EA2" w:rsidP="00F92EA2">
      <w:pPr>
        <w:pStyle w:val="1"/>
      </w:pPr>
      <w:r w:rsidRPr="001531CD">
        <w:t>1.</w:t>
      </w:r>
      <w:r w:rsidRPr="001531CD">
        <w:tab/>
        <w:t xml:space="preserve">Assessments on regulated commodities listed in §105 of this Part shall be at rates comparable to the rates set forth in §127.E of this Part. The exact assessment on each commodity shall be promulgated in the </w:t>
      </w:r>
      <w:r w:rsidRPr="001531CD">
        <w:rPr>
          <w:i/>
          <w:iCs/>
        </w:rPr>
        <w:t>Louisiana Register</w:t>
      </w:r>
      <w:r w:rsidRPr="001531CD">
        <w:t xml:space="preserve"> and when so promulgated shall remain in full force and effect until changed by subsequent promulgation in the </w:t>
      </w:r>
      <w:r w:rsidRPr="001531CD">
        <w:rPr>
          <w:i/>
          <w:iCs/>
        </w:rPr>
        <w:t>Louisiana Register</w:t>
      </w:r>
      <w:r w:rsidRPr="001531CD">
        <w:t xml:space="preserve">. Such assessments may be collected as soon as promulgated in the </w:t>
      </w:r>
      <w:r w:rsidRPr="001531CD">
        <w:rPr>
          <w:i/>
          <w:iCs/>
        </w:rPr>
        <w:t>Louisiana Register</w:t>
      </w:r>
      <w:r w:rsidRPr="001531CD">
        <w:t xml:space="preserve"> and shall be collected in the same manner as the assessments listed in §127.C of this Part.</w:t>
      </w:r>
    </w:p>
    <w:p w14:paraId="7FDA2848" w14:textId="77777777" w:rsidR="00CF626A" w:rsidRPr="001531CD" w:rsidRDefault="00F92EA2" w:rsidP="00F92EA2">
      <w:pPr>
        <w:pStyle w:val="1"/>
        <w:spacing w:after="200"/>
      </w:pPr>
      <w:r w:rsidRPr="001531CD">
        <w:t>2.</w:t>
      </w:r>
      <w:r w:rsidRPr="001531CD">
        <w:tab/>
        <w:t>Rates of assessments to be levied at the first point of sale of agricultural commodities.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814"/>
        <w:gridCol w:w="3001"/>
      </w:tblGrid>
      <w:tr w:rsidR="00F92EA2" w:rsidRPr="001531CD" w14:paraId="66A079B6" w14:textId="77777777" w:rsidTr="00BB58CC">
        <w:trPr>
          <w:cantSplit/>
          <w:trHeight w:val="216"/>
          <w:jc w:val="center"/>
        </w:trPr>
        <w:tc>
          <w:tcPr>
            <w:tcW w:w="1814" w:type="dxa"/>
          </w:tcPr>
          <w:p w14:paraId="6F485B7F"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Rough Rice</w:t>
            </w:r>
          </w:p>
        </w:tc>
        <w:tc>
          <w:tcPr>
            <w:tcW w:w="3001" w:type="dxa"/>
          </w:tcPr>
          <w:p w14:paraId="45EB1564"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$.01 per hundredweight</w:t>
            </w:r>
          </w:p>
        </w:tc>
      </w:tr>
      <w:tr w:rsidR="00F92EA2" w:rsidRPr="001531CD" w14:paraId="60FCCE55" w14:textId="77777777" w:rsidTr="00BB58CC">
        <w:trPr>
          <w:cantSplit/>
          <w:trHeight w:val="75"/>
          <w:jc w:val="center"/>
        </w:trPr>
        <w:tc>
          <w:tcPr>
            <w:tcW w:w="1814" w:type="dxa"/>
          </w:tcPr>
          <w:p w14:paraId="356A39E6"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Corn</w:t>
            </w:r>
          </w:p>
        </w:tc>
        <w:tc>
          <w:tcPr>
            <w:tcW w:w="3001" w:type="dxa"/>
          </w:tcPr>
          <w:p w14:paraId="473BECEB"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14:paraId="186A20B3" w14:textId="77777777" w:rsidTr="00BB58CC">
        <w:trPr>
          <w:cantSplit/>
          <w:trHeight w:val="57"/>
          <w:jc w:val="center"/>
        </w:trPr>
        <w:tc>
          <w:tcPr>
            <w:tcW w:w="1814" w:type="dxa"/>
          </w:tcPr>
          <w:p w14:paraId="5D848059"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Soybeans</w:t>
            </w:r>
          </w:p>
        </w:tc>
        <w:tc>
          <w:tcPr>
            <w:tcW w:w="3001" w:type="dxa"/>
          </w:tcPr>
          <w:p w14:paraId="3F3CBEA2"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14:paraId="668434D5" w14:textId="77777777" w:rsidTr="00BB58CC">
        <w:trPr>
          <w:cantSplit/>
          <w:trHeight w:val="45"/>
          <w:jc w:val="center"/>
        </w:trPr>
        <w:tc>
          <w:tcPr>
            <w:tcW w:w="1814" w:type="dxa"/>
          </w:tcPr>
          <w:p w14:paraId="3A753052"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Oats</w:t>
            </w:r>
          </w:p>
        </w:tc>
        <w:tc>
          <w:tcPr>
            <w:tcW w:w="3001" w:type="dxa"/>
          </w:tcPr>
          <w:p w14:paraId="3CCB8398"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14:paraId="7D199352" w14:textId="77777777" w:rsidTr="00BB58CC">
        <w:trPr>
          <w:cantSplit/>
          <w:trHeight w:val="45"/>
          <w:jc w:val="center"/>
        </w:trPr>
        <w:tc>
          <w:tcPr>
            <w:tcW w:w="1814" w:type="dxa"/>
          </w:tcPr>
          <w:p w14:paraId="78EBCEAE"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Sorghum</w:t>
            </w:r>
          </w:p>
        </w:tc>
        <w:tc>
          <w:tcPr>
            <w:tcW w:w="3001" w:type="dxa"/>
          </w:tcPr>
          <w:p w14:paraId="0964DA5B"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14:paraId="0A35CB38" w14:textId="77777777" w:rsidTr="00BB58CC">
        <w:trPr>
          <w:cantSplit/>
          <w:trHeight w:val="45"/>
          <w:jc w:val="center"/>
        </w:trPr>
        <w:tc>
          <w:tcPr>
            <w:tcW w:w="1814" w:type="dxa"/>
          </w:tcPr>
          <w:p w14:paraId="5935AED1"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Wheat</w:t>
            </w:r>
          </w:p>
        </w:tc>
        <w:tc>
          <w:tcPr>
            <w:tcW w:w="3001" w:type="dxa"/>
          </w:tcPr>
          <w:p w14:paraId="7B8075D8"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14:paraId="62E84662" w14:textId="77777777" w:rsidTr="00BB58CC">
        <w:trPr>
          <w:cantSplit/>
          <w:trHeight w:val="45"/>
          <w:jc w:val="center"/>
        </w:trPr>
        <w:tc>
          <w:tcPr>
            <w:tcW w:w="1814" w:type="dxa"/>
          </w:tcPr>
          <w:p w14:paraId="4CC1DE9D"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Cotton</w:t>
            </w:r>
          </w:p>
        </w:tc>
        <w:tc>
          <w:tcPr>
            <w:tcW w:w="3001" w:type="dxa"/>
          </w:tcPr>
          <w:p w14:paraId="4485FA83" w14:textId="77777777"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$0.10 per bale</w:t>
            </w:r>
          </w:p>
        </w:tc>
      </w:tr>
    </w:tbl>
    <w:p w14:paraId="03E112CB" w14:textId="77777777" w:rsidR="00BB58CC" w:rsidRPr="001531CD" w:rsidRDefault="00BB58CC" w:rsidP="00F92EA2">
      <w:pPr>
        <w:pStyle w:val="1"/>
      </w:pPr>
    </w:p>
    <w:p w14:paraId="6C9AAC84" w14:textId="77777777" w:rsidR="00F92EA2" w:rsidRPr="001531CD" w:rsidRDefault="00F92EA2" w:rsidP="00F92EA2">
      <w:pPr>
        <w:pStyle w:val="1"/>
      </w:pPr>
      <w:r w:rsidRPr="001531CD">
        <w:t>3.</w:t>
      </w:r>
      <w:r w:rsidRPr="001531CD">
        <w:tab/>
        <w:t>All assessments collected by licensees of the commission shall be remitted to the commissioner, together with the report form required by the commission, no later than the fifteenth day of the month following the month in which the assessments are collected.</w:t>
      </w:r>
    </w:p>
    <w:p w14:paraId="04D93BB1" w14:textId="77777777" w:rsidR="00F92EA2" w:rsidRPr="001531CD" w:rsidRDefault="00F92EA2" w:rsidP="00F92EA2">
      <w:pPr>
        <w:pStyle w:val="1"/>
      </w:pPr>
      <w:r w:rsidRPr="001531CD">
        <w:t>4.</w:t>
      </w:r>
      <w:r w:rsidRPr="001531CD">
        <w:tab/>
        <w:t>The above assessments shall remain in effect until changed by the commission.</w:t>
      </w:r>
    </w:p>
    <w:p w14:paraId="1CD3B2F8" w14:textId="77777777" w:rsidR="00F92EA2" w:rsidRPr="001531CD" w:rsidRDefault="00F92EA2" w:rsidP="00F92EA2">
      <w:pPr>
        <w:pStyle w:val="A"/>
      </w:pPr>
      <w:r w:rsidRPr="001531CD">
        <w:t>E.</w:t>
      </w:r>
      <w:r w:rsidRPr="001531CD">
        <w:tab/>
        <w:t>Each cotton merchant, grain dealer and warehouse shall remit all assessments withheld from producers, or otherwise due under this rule, together with a report on the form provided by the commission, to the commissioner no later than the fifteenth day of each month.</w:t>
      </w:r>
    </w:p>
    <w:p w14:paraId="00859A61" w14:textId="77777777" w:rsidR="00CF626A" w:rsidRPr="001531CD" w:rsidRDefault="00F92EA2" w:rsidP="00F92EA2">
      <w:pPr>
        <w:pStyle w:val="AuthorityNote"/>
      </w:pPr>
      <w:r w:rsidRPr="001531CD">
        <w:t>AUTHORITY NOTE:</w:t>
      </w:r>
      <w:r w:rsidRPr="001531CD">
        <w:tab/>
        <w:t>Promulgated in accordance with R.S. 3:3405 and R.S. 3:3422.</w:t>
      </w:r>
    </w:p>
    <w:p w14:paraId="20803D41" w14:textId="77777777"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Commission, LR 9:303 (May 1983), amended LR 9:459 (July 1983), amended by the Department of Agriculture and Forestry, Office of Agro-Consumer Services, Agricultural </w:t>
      </w:r>
      <w:r w:rsidRPr="001531CD">
        <w:lastRenderedPageBreak/>
        <w:t>Commodities Commission, LR 19:1301 (October 1993), repromul</w:t>
      </w:r>
      <w:r w:rsidR="00F92EA2" w:rsidRPr="001531CD">
        <w:t>gated LR 20:154 (February 1994), amended by the Department of Agriculture and Forestry, Agricultural Commodities Commission, LR 37:503 (February 2011).</w:t>
      </w:r>
    </w:p>
    <w:p w14:paraId="72BA9B10" w14:textId="77777777" w:rsidR="00F92EA2" w:rsidRPr="001531CD" w:rsidRDefault="00F92EA2" w:rsidP="00F92EA2">
      <w:pPr>
        <w:pStyle w:val="Section"/>
      </w:pPr>
      <w:bookmarkStart w:id="2660" w:name="_Toc224819332"/>
      <w:r w:rsidRPr="001531CD">
        <w:t>§128.</w:t>
      </w:r>
      <w:r w:rsidRPr="001531CD">
        <w:tab/>
        <w:t>Fees: Amount, Time of Payment</w:t>
      </w:r>
      <w:bookmarkEnd w:id="2660"/>
    </w:p>
    <w:p w14:paraId="7BDB9FD8" w14:textId="77777777" w:rsidR="00F92EA2" w:rsidRPr="001531CD" w:rsidRDefault="00F92EA2" w:rsidP="00F92EA2">
      <w:pPr>
        <w:pStyle w:val="A"/>
      </w:pPr>
      <w:r w:rsidRPr="001531CD">
        <w:t>A.</w:t>
      </w:r>
      <w:r w:rsidRPr="001531CD">
        <w:tab/>
        <w:t>Fees are due and payable upon the receipt of an invoice from the department. A late payment shall be assessed for all invoices paid after 30 days from the date of the invoice. The amount which shall be assessed shall be 10 percent of the outstanding balance.</w:t>
      </w:r>
    </w:p>
    <w:p w14:paraId="339020C6" w14:textId="77777777" w:rsidR="00F92EA2" w:rsidRPr="001531CD" w:rsidRDefault="00F92EA2" w:rsidP="00F92EA2">
      <w:pPr>
        <w:pStyle w:val="A"/>
      </w:pPr>
      <w:r w:rsidRPr="001531CD">
        <w:t>B.</w:t>
      </w:r>
      <w:r w:rsidRPr="001531CD">
        <w:tab/>
        <w:t>Applicable fees shall be charged for each request for the department to provide official inspection service or weighing service.</w:t>
      </w:r>
    </w:p>
    <w:p w14:paraId="3B4616C9" w14:textId="77777777" w:rsidR="00F92EA2" w:rsidRPr="001531CD" w:rsidRDefault="00F92EA2" w:rsidP="00F92EA2">
      <w:pPr>
        <w:pStyle w:val="A"/>
      </w:pPr>
      <w:r w:rsidRPr="001531CD">
        <w:t>C.</w:t>
      </w:r>
      <w:r w:rsidRPr="001531CD">
        <w:tab/>
        <w:t>Schedule of Fees</w:t>
      </w:r>
    </w:p>
    <w:p w14:paraId="0AE4E21B" w14:textId="77777777" w:rsidR="00F92EA2" w:rsidRPr="001531CD" w:rsidRDefault="00F92EA2" w:rsidP="00F92EA2">
      <w:pPr>
        <w:pStyle w:val="1"/>
      </w:pPr>
      <w:r w:rsidRPr="001531CD">
        <w:t>1.</w:t>
      </w:r>
      <w:r w:rsidRPr="001531CD">
        <w:tab/>
        <w:t>The regular hours shall be 8 a.m. to 4:30 p.m., Monday through Friday, except legal holidays and declared half-holidays. All hours worked, that are not regular hours, shall be considered as overtime. Legal holidays and half-holidays shall be those legal holidays designated by the legislature in R.S. 1:55(B) and any other time declared to be a holiday or half-holiday by the governor of Louisiana in accordance with R.S. 1:55.</w:t>
      </w:r>
    </w:p>
    <w:p w14:paraId="09C2EB6C" w14:textId="77777777" w:rsidR="001D140E" w:rsidRPr="00A50E1C" w:rsidRDefault="00F92EA2" w:rsidP="001D140E">
      <w:pPr>
        <w:pStyle w:val="1"/>
      </w:pPr>
      <w:r w:rsidRPr="001531CD">
        <w:t>2.</w:t>
      </w:r>
      <w:r w:rsidRPr="001531CD">
        <w:tab/>
      </w:r>
      <w:r w:rsidR="001D140E" w:rsidRPr="00A50E1C">
        <w:t>The hourly rate shall be $30 per hour, including travel time. Overtime hours shall be billed at one and one-half times the hourly rate and shall be assessed in half-hour increments.</w:t>
      </w:r>
    </w:p>
    <w:p w14:paraId="15CE37E6" w14:textId="77777777" w:rsidR="00F92EA2" w:rsidRPr="001531CD" w:rsidRDefault="00F92EA2" w:rsidP="00F92EA2">
      <w:pPr>
        <w:pStyle w:val="1"/>
      </w:pPr>
      <w:r w:rsidRPr="001531CD">
        <w:t>3.</w:t>
      </w:r>
      <w:r w:rsidRPr="001531CD">
        <w:tab/>
        <w:t>Mileage shall be billed at the IRS standard mileage rate and applicable hourly rate for actual miles traveled from nearest inspection point. Changes to the mileage rate shall be effective when the IRS changes their standard mileage rate.</w:t>
      </w:r>
    </w:p>
    <w:p w14:paraId="234325BC" w14:textId="77777777" w:rsidR="001D140E" w:rsidRDefault="00D974AA" w:rsidP="001D140E">
      <w:pPr>
        <w:pStyle w:val="1"/>
      </w:pPr>
      <w:r w:rsidRPr="0083260E">
        <w:t>4.</w:t>
      </w:r>
      <w:r w:rsidRPr="0083260E">
        <w:tab/>
      </w:r>
      <w:r w:rsidR="001D140E" w:rsidRPr="00A50E1C">
        <w:t>Official Services (including sampling except as indicated)</w:t>
      </w:r>
    </w:p>
    <w:p w14:paraId="620B5318" w14:textId="77777777" w:rsidR="001D140E" w:rsidRPr="00A50E1C" w:rsidRDefault="001D140E" w:rsidP="001D140E">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00" w:firstRow="0" w:lastRow="0" w:firstColumn="0" w:lastColumn="1" w:noHBand="0" w:noVBand="0"/>
      </w:tblPr>
      <w:tblGrid>
        <w:gridCol w:w="3874"/>
        <w:gridCol w:w="992"/>
      </w:tblGrid>
      <w:tr w:rsidR="001D140E" w:rsidRPr="00A50E1C" w14:paraId="58F035C0" w14:textId="77777777" w:rsidTr="00076637">
        <w:trPr>
          <w:cantSplit/>
          <w:trHeight w:val="300"/>
          <w:jc w:val="center"/>
        </w:trPr>
        <w:tc>
          <w:tcPr>
            <w:tcW w:w="3874" w:type="dxa"/>
            <w:tcMar>
              <w:left w:w="120" w:type="dxa"/>
              <w:right w:w="120" w:type="dxa"/>
            </w:tcMar>
          </w:tcPr>
          <w:p w14:paraId="677FA997"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ind w:firstLine="15"/>
              <w:rPr>
                <w:rFonts w:eastAsia="Aptos"/>
              </w:rPr>
            </w:pPr>
            <w:r w:rsidRPr="00A50E1C">
              <w:rPr>
                <w:sz w:val="16"/>
                <w:szCs w:val="16"/>
              </w:rPr>
              <w:t>Online D/T sampling inspection service (sampling, grading and certification), per regular hour</w:t>
            </w:r>
          </w:p>
        </w:tc>
        <w:tc>
          <w:tcPr>
            <w:tcW w:w="992" w:type="dxa"/>
            <w:tcMar>
              <w:left w:w="120" w:type="dxa"/>
              <w:right w:w="120" w:type="dxa"/>
            </w:tcMar>
            <w:vAlign w:val="bottom"/>
          </w:tcPr>
          <w:p w14:paraId="2799F8F2" w14:textId="77777777" w:rsidR="001D140E" w:rsidRPr="00A50E1C" w:rsidRDefault="001D140E" w:rsidP="00076637">
            <w:pPr>
              <w:keepNext/>
              <w:tabs>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A50E1C">
              <w:rPr>
                <w:sz w:val="16"/>
                <w:szCs w:val="16"/>
              </w:rPr>
              <w:t>$30</w:t>
            </w:r>
          </w:p>
        </w:tc>
      </w:tr>
      <w:tr w:rsidR="001D140E" w:rsidRPr="00A50E1C" w14:paraId="16F0105F" w14:textId="77777777" w:rsidTr="00076637">
        <w:trPr>
          <w:cantSplit/>
          <w:trHeight w:val="105"/>
          <w:jc w:val="center"/>
        </w:trPr>
        <w:tc>
          <w:tcPr>
            <w:tcW w:w="3874" w:type="dxa"/>
            <w:tcMar>
              <w:left w:w="120" w:type="dxa"/>
              <w:right w:w="120" w:type="dxa"/>
            </w:tcMar>
          </w:tcPr>
          <w:p w14:paraId="124AFECA"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rFonts w:eastAsia="Aptos"/>
              </w:rPr>
            </w:pPr>
            <w:r w:rsidRPr="00A50E1C">
              <w:rPr>
                <w:sz w:val="16"/>
                <w:szCs w:val="16"/>
              </w:rPr>
              <w:t>Overtime hourly rate, per hour</w:t>
            </w:r>
          </w:p>
        </w:tc>
        <w:tc>
          <w:tcPr>
            <w:tcW w:w="992" w:type="dxa"/>
            <w:tcMar>
              <w:left w:w="120" w:type="dxa"/>
              <w:right w:w="120" w:type="dxa"/>
            </w:tcMar>
            <w:vAlign w:val="bottom"/>
          </w:tcPr>
          <w:p w14:paraId="621D3E68" w14:textId="77777777" w:rsidR="001D140E" w:rsidRPr="00A50E1C" w:rsidRDefault="001D140E" w:rsidP="00076637">
            <w:pPr>
              <w:keepNext/>
              <w:tabs>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A50E1C">
              <w:rPr>
                <w:sz w:val="16"/>
                <w:szCs w:val="16"/>
              </w:rPr>
              <w:t>$45</w:t>
            </w:r>
          </w:p>
        </w:tc>
      </w:tr>
      <w:tr w:rsidR="001D140E" w:rsidRPr="00A50E1C" w14:paraId="256574AF" w14:textId="77777777" w:rsidTr="00076637">
        <w:trPr>
          <w:cantSplit/>
          <w:trHeight w:val="165"/>
          <w:jc w:val="center"/>
        </w:trPr>
        <w:tc>
          <w:tcPr>
            <w:tcW w:w="4866" w:type="dxa"/>
            <w:gridSpan w:val="2"/>
            <w:tcMar>
              <w:left w:w="120" w:type="dxa"/>
              <w:right w:w="120" w:type="dxa"/>
            </w:tcMar>
          </w:tcPr>
          <w:p w14:paraId="12B0D844"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rFonts w:eastAsia="Aptos"/>
              </w:rPr>
            </w:pPr>
            <w:r w:rsidRPr="00A50E1C">
              <w:rPr>
                <w:sz w:val="16"/>
                <w:szCs w:val="16"/>
              </w:rPr>
              <w:t>Unit Inspection Fees:</w:t>
            </w:r>
          </w:p>
        </w:tc>
      </w:tr>
      <w:tr w:rsidR="001D140E" w:rsidRPr="00A50E1C" w14:paraId="19906ACE" w14:textId="77777777" w:rsidTr="00076637">
        <w:trPr>
          <w:cantSplit/>
          <w:trHeight w:val="60"/>
          <w:jc w:val="center"/>
        </w:trPr>
        <w:tc>
          <w:tcPr>
            <w:tcW w:w="3874" w:type="dxa"/>
            <w:tcMar>
              <w:left w:w="120" w:type="dxa"/>
              <w:right w:w="120" w:type="dxa"/>
            </w:tcMar>
          </w:tcPr>
          <w:p w14:paraId="403A1818"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Aflatoxin Testing, per sample</w:t>
            </w:r>
          </w:p>
        </w:tc>
        <w:tc>
          <w:tcPr>
            <w:tcW w:w="992" w:type="dxa"/>
            <w:tcMar>
              <w:left w:w="120" w:type="dxa"/>
              <w:right w:w="120" w:type="dxa"/>
            </w:tcMar>
            <w:vAlign w:val="bottom"/>
          </w:tcPr>
          <w:p w14:paraId="0FBB253E"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$30</w:t>
            </w:r>
          </w:p>
        </w:tc>
      </w:tr>
      <w:tr w:rsidR="001D140E" w:rsidRPr="00A50E1C" w14:paraId="7105DB3E" w14:textId="77777777" w:rsidTr="00076637">
        <w:trPr>
          <w:cantSplit/>
          <w:trHeight w:val="135"/>
          <w:jc w:val="center"/>
        </w:trPr>
        <w:tc>
          <w:tcPr>
            <w:tcW w:w="3874" w:type="dxa"/>
            <w:tcMar>
              <w:left w:w="120" w:type="dxa"/>
              <w:right w:w="120" w:type="dxa"/>
            </w:tcMar>
          </w:tcPr>
          <w:p w14:paraId="545E2BEA"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Rail Car, per car</w:t>
            </w:r>
          </w:p>
        </w:tc>
        <w:tc>
          <w:tcPr>
            <w:tcW w:w="992" w:type="dxa"/>
            <w:tcMar>
              <w:left w:w="120" w:type="dxa"/>
              <w:right w:w="120" w:type="dxa"/>
            </w:tcMar>
            <w:vAlign w:val="bottom"/>
          </w:tcPr>
          <w:p w14:paraId="3BC789FF"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$20.50</w:t>
            </w:r>
          </w:p>
        </w:tc>
      </w:tr>
      <w:tr w:rsidR="001D140E" w:rsidRPr="00A50E1C" w14:paraId="4396B677" w14:textId="77777777" w:rsidTr="00076637">
        <w:trPr>
          <w:cantSplit/>
          <w:trHeight w:val="105"/>
          <w:jc w:val="center"/>
        </w:trPr>
        <w:tc>
          <w:tcPr>
            <w:tcW w:w="3874" w:type="dxa"/>
            <w:tcMar>
              <w:left w:w="120" w:type="dxa"/>
              <w:right w:w="120" w:type="dxa"/>
            </w:tcMar>
          </w:tcPr>
          <w:p w14:paraId="08B8D10A"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Truck/Trailer, per carrier</w:t>
            </w:r>
          </w:p>
        </w:tc>
        <w:tc>
          <w:tcPr>
            <w:tcW w:w="992" w:type="dxa"/>
            <w:tcMar>
              <w:left w:w="120" w:type="dxa"/>
              <w:right w:w="120" w:type="dxa"/>
            </w:tcMar>
            <w:vAlign w:val="bottom"/>
          </w:tcPr>
          <w:p w14:paraId="35381552"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w:t>
            </w:r>
          </w:p>
        </w:tc>
      </w:tr>
      <w:tr w:rsidR="001D140E" w:rsidRPr="00A50E1C" w14:paraId="1F18A46D" w14:textId="77777777" w:rsidTr="00076637">
        <w:trPr>
          <w:cantSplit/>
          <w:trHeight w:val="180"/>
          <w:jc w:val="center"/>
        </w:trPr>
        <w:tc>
          <w:tcPr>
            <w:tcW w:w="3874" w:type="dxa"/>
            <w:tcMar>
              <w:left w:w="120" w:type="dxa"/>
              <w:right w:w="120" w:type="dxa"/>
            </w:tcMar>
          </w:tcPr>
          <w:p w14:paraId="07E2DE9B"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Barge, per 1,000 bushels</w:t>
            </w:r>
          </w:p>
        </w:tc>
        <w:tc>
          <w:tcPr>
            <w:tcW w:w="992" w:type="dxa"/>
            <w:tcMar>
              <w:left w:w="120" w:type="dxa"/>
              <w:right w:w="120" w:type="dxa"/>
            </w:tcMar>
            <w:vAlign w:val="bottom"/>
          </w:tcPr>
          <w:p w14:paraId="25829EF3"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$2.60</w:t>
            </w:r>
          </w:p>
        </w:tc>
      </w:tr>
      <w:tr w:rsidR="001D140E" w:rsidRPr="00A50E1C" w14:paraId="5AA22EC6" w14:textId="77777777" w:rsidTr="00076637">
        <w:trPr>
          <w:cantSplit/>
          <w:trHeight w:val="165"/>
          <w:jc w:val="center"/>
        </w:trPr>
        <w:tc>
          <w:tcPr>
            <w:tcW w:w="3874" w:type="dxa"/>
            <w:tcMar>
              <w:left w:w="120" w:type="dxa"/>
              <w:right w:w="120" w:type="dxa"/>
            </w:tcMar>
          </w:tcPr>
          <w:p w14:paraId="0F689C67"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Submitted sample inspection</w:t>
            </w:r>
          </w:p>
        </w:tc>
        <w:tc>
          <w:tcPr>
            <w:tcW w:w="992" w:type="dxa"/>
            <w:tcMar>
              <w:left w:w="120" w:type="dxa"/>
              <w:right w:w="120" w:type="dxa"/>
            </w:tcMar>
            <w:vAlign w:val="bottom"/>
          </w:tcPr>
          <w:p w14:paraId="3B44D4BD"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$12.30</w:t>
            </w:r>
          </w:p>
        </w:tc>
      </w:tr>
      <w:tr w:rsidR="001D140E" w:rsidRPr="00A50E1C" w14:paraId="7EE0F96F" w14:textId="77777777" w:rsidTr="00076637">
        <w:trPr>
          <w:cantSplit/>
          <w:trHeight w:val="60"/>
          <w:jc w:val="center"/>
        </w:trPr>
        <w:tc>
          <w:tcPr>
            <w:tcW w:w="3874" w:type="dxa"/>
            <w:tcMar>
              <w:left w:w="120" w:type="dxa"/>
              <w:right w:w="120" w:type="dxa"/>
            </w:tcMar>
          </w:tcPr>
          <w:p w14:paraId="1AE95326"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Rail Car (per sample)</w:t>
            </w:r>
          </w:p>
        </w:tc>
        <w:tc>
          <w:tcPr>
            <w:tcW w:w="992" w:type="dxa"/>
            <w:tcMar>
              <w:left w:w="120" w:type="dxa"/>
              <w:right w:w="120" w:type="dxa"/>
            </w:tcMar>
            <w:vAlign w:val="bottom"/>
          </w:tcPr>
          <w:p w14:paraId="04279DE4"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$10.30</w:t>
            </w:r>
          </w:p>
        </w:tc>
      </w:tr>
      <w:tr w:rsidR="001D140E" w:rsidRPr="00A50E1C" w14:paraId="70B48131" w14:textId="77777777" w:rsidTr="00076637">
        <w:trPr>
          <w:cantSplit/>
          <w:trHeight w:val="165"/>
          <w:jc w:val="center"/>
        </w:trPr>
        <w:tc>
          <w:tcPr>
            <w:tcW w:w="3874" w:type="dxa"/>
            <w:tcMar>
              <w:left w:w="120" w:type="dxa"/>
              <w:right w:w="120" w:type="dxa"/>
            </w:tcMar>
          </w:tcPr>
          <w:p w14:paraId="17CE0DB7"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Truck/Trailer (per sample)</w:t>
            </w:r>
          </w:p>
        </w:tc>
        <w:tc>
          <w:tcPr>
            <w:tcW w:w="992" w:type="dxa"/>
            <w:tcMar>
              <w:left w:w="120" w:type="dxa"/>
              <w:right w:w="120" w:type="dxa"/>
            </w:tcMar>
            <w:vAlign w:val="bottom"/>
          </w:tcPr>
          <w:p w14:paraId="56F0D8A8"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$5.30</w:t>
            </w:r>
          </w:p>
        </w:tc>
      </w:tr>
      <w:tr w:rsidR="001D140E" w:rsidRPr="00A50E1C" w14:paraId="78DF841C" w14:textId="77777777" w:rsidTr="00076637">
        <w:trPr>
          <w:cantSplit/>
          <w:trHeight w:val="150"/>
          <w:jc w:val="center"/>
        </w:trPr>
        <w:tc>
          <w:tcPr>
            <w:tcW w:w="3874" w:type="dxa"/>
            <w:tcMar>
              <w:left w:w="120" w:type="dxa"/>
              <w:right w:w="120" w:type="dxa"/>
            </w:tcMar>
          </w:tcPr>
          <w:p w14:paraId="57CD1EAC"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Barge (per sample)</w:t>
            </w:r>
          </w:p>
        </w:tc>
        <w:tc>
          <w:tcPr>
            <w:tcW w:w="992" w:type="dxa"/>
            <w:tcMar>
              <w:left w:w="120" w:type="dxa"/>
              <w:right w:w="120" w:type="dxa"/>
            </w:tcMar>
            <w:vAlign w:val="bottom"/>
          </w:tcPr>
          <w:p w14:paraId="731E9FA5"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$25.30</w:t>
            </w:r>
          </w:p>
        </w:tc>
      </w:tr>
      <w:tr w:rsidR="001D140E" w:rsidRPr="00A50E1C" w14:paraId="3FF8041D" w14:textId="77777777" w:rsidTr="00076637">
        <w:trPr>
          <w:cantSplit/>
          <w:trHeight w:val="195"/>
          <w:jc w:val="center"/>
        </w:trPr>
        <w:tc>
          <w:tcPr>
            <w:tcW w:w="3874" w:type="dxa"/>
            <w:tcMar>
              <w:left w:w="120" w:type="dxa"/>
              <w:right w:w="120" w:type="dxa"/>
            </w:tcMar>
          </w:tcPr>
          <w:p w14:paraId="31DC1A16"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Factor only determination, per factor</w:t>
            </w:r>
          </w:p>
          <w:p w14:paraId="63E197D4"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(not to exceed full grade fee)</w:t>
            </w:r>
          </w:p>
        </w:tc>
        <w:tc>
          <w:tcPr>
            <w:tcW w:w="992" w:type="dxa"/>
            <w:tcMar>
              <w:left w:w="120" w:type="dxa"/>
              <w:right w:w="120" w:type="dxa"/>
            </w:tcMar>
            <w:vAlign w:val="bottom"/>
          </w:tcPr>
          <w:p w14:paraId="608A980D" w14:textId="77777777"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$5.20</w:t>
            </w:r>
          </w:p>
        </w:tc>
      </w:tr>
      <w:tr w:rsidR="001D140E" w:rsidRPr="00A50E1C" w14:paraId="487BF132" w14:textId="77777777" w:rsidTr="00076637">
        <w:trPr>
          <w:cantSplit/>
          <w:trHeight w:val="60"/>
          <w:jc w:val="center"/>
        </w:trPr>
        <w:tc>
          <w:tcPr>
            <w:tcW w:w="3874" w:type="dxa"/>
            <w:tcMar>
              <w:left w:w="120" w:type="dxa"/>
              <w:right w:w="120" w:type="dxa"/>
            </w:tcMar>
          </w:tcPr>
          <w:p w14:paraId="28C29AC3"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Probe Sampling Barge (per barge)</w:t>
            </w:r>
          </w:p>
        </w:tc>
        <w:tc>
          <w:tcPr>
            <w:tcW w:w="992" w:type="dxa"/>
            <w:tcMar>
              <w:left w:w="120" w:type="dxa"/>
              <w:right w:w="120" w:type="dxa"/>
            </w:tcMar>
            <w:vAlign w:val="bottom"/>
          </w:tcPr>
          <w:p w14:paraId="4CB7F698" w14:textId="77777777"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$100</w:t>
            </w:r>
          </w:p>
        </w:tc>
      </w:tr>
      <w:tr w:rsidR="001D140E" w:rsidRPr="00A50E1C" w14:paraId="2B13F962" w14:textId="77777777" w:rsidTr="00076637">
        <w:trPr>
          <w:cantSplit/>
          <w:trHeight w:val="180"/>
          <w:jc w:val="center"/>
        </w:trPr>
        <w:tc>
          <w:tcPr>
            <w:tcW w:w="3874" w:type="dxa"/>
            <w:tcMar>
              <w:left w:w="120" w:type="dxa"/>
              <w:right w:w="120" w:type="dxa"/>
            </w:tcMar>
          </w:tcPr>
          <w:p w14:paraId="55E0EC0C"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On-Line Sampling Barge (per hour)</w:t>
            </w:r>
          </w:p>
        </w:tc>
        <w:tc>
          <w:tcPr>
            <w:tcW w:w="992" w:type="dxa"/>
            <w:tcMar>
              <w:left w:w="120" w:type="dxa"/>
              <w:right w:w="120" w:type="dxa"/>
            </w:tcMar>
            <w:vAlign w:val="bottom"/>
          </w:tcPr>
          <w:p w14:paraId="30CC5CE1" w14:textId="77777777"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$20</w:t>
            </w:r>
          </w:p>
        </w:tc>
      </w:tr>
      <w:tr w:rsidR="001D140E" w:rsidRPr="00A50E1C" w14:paraId="03F74424" w14:textId="77777777" w:rsidTr="00076637">
        <w:trPr>
          <w:cantSplit/>
          <w:trHeight w:val="180"/>
          <w:jc w:val="center"/>
        </w:trPr>
        <w:tc>
          <w:tcPr>
            <w:tcW w:w="3874" w:type="dxa"/>
            <w:tcMar>
              <w:left w:w="120" w:type="dxa"/>
              <w:right w:w="120" w:type="dxa"/>
            </w:tcMar>
          </w:tcPr>
          <w:p w14:paraId="3852EFAE" w14:textId="77777777"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Vomitoxin test (applicant supplies kit)</w:t>
            </w:r>
          </w:p>
        </w:tc>
        <w:tc>
          <w:tcPr>
            <w:tcW w:w="992" w:type="dxa"/>
            <w:tcMar>
              <w:left w:w="120" w:type="dxa"/>
              <w:right w:w="120" w:type="dxa"/>
            </w:tcMar>
            <w:vAlign w:val="bottom"/>
          </w:tcPr>
          <w:p w14:paraId="60C1C033" w14:textId="77777777"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$25</w:t>
            </w:r>
          </w:p>
        </w:tc>
      </w:tr>
      <w:tr w:rsidR="001D140E" w:rsidRPr="00A50E1C" w14:paraId="6029030C" w14:textId="77777777" w:rsidTr="00076637">
        <w:trPr>
          <w:cantSplit/>
          <w:trHeight w:val="60"/>
          <w:jc w:val="center"/>
        </w:trPr>
        <w:tc>
          <w:tcPr>
            <w:tcW w:w="3874" w:type="dxa"/>
            <w:tcMar>
              <w:left w:w="120" w:type="dxa"/>
              <w:right w:w="120" w:type="dxa"/>
            </w:tcMar>
          </w:tcPr>
          <w:p w14:paraId="3FFDC3DD" w14:textId="77777777" w:rsidR="001D140E" w:rsidRPr="00A50E1C" w:rsidRDefault="001D140E" w:rsidP="0007663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Vomitoxin test (LDAF supplies kit)</w:t>
            </w:r>
          </w:p>
        </w:tc>
        <w:tc>
          <w:tcPr>
            <w:tcW w:w="992" w:type="dxa"/>
            <w:tcMar>
              <w:left w:w="120" w:type="dxa"/>
              <w:right w:w="120" w:type="dxa"/>
            </w:tcMar>
            <w:vAlign w:val="bottom"/>
          </w:tcPr>
          <w:p w14:paraId="054FC443" w14:textId="77777777" w:rsidR="001D140E" w:rsidRPr="00A50E1C" w:rsidRDefault="001D140E" w:rsidP="00076637">
            <w:pPr>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$35</w:t>
            </w:r>
          </w:p>
        </w:tc>
      </w:tr>
    </w:tbl>
    <w:p w14:paraId="2066D2DB" w14:textId="77777777" w:rsidR="001D140E" w:rsidRDefault="001D140E" w:rsidP="001D140E">
      <w:pPr>
        <w:pStyle w:val="A"/>
      </w:pPr>
    </w:p>
    <w:p w14:paraId="23B3D9D3" w14:textId="77777777" w:rsidR="00F92EA2" w:rsidRPr="001531CD" w:rsidRDefault="00F92EA2" w:rsidP="001D140E">
      <w:pPr>
        <w:pStyle w:val="1"/>
      </w:pPr>
      <w:r w:rsidRPr="001531CD">
        <w:t>D.</w:t>
      </w:r>
      <w:r w:rsidRPr="001531CD">
        <w:tab/>
        <w:t>Moisture Meter Registration and Inspection Fee</w:t>
      </w:r>
    </w:p>
    <w:p w14:paraId="45B84B52" w14:textId="77777777" w:rsidR="00F92EA2" w:rsidRPr="001531CD" w:rsidRDefault="00F92EA2" w:rsidP="00F92EA2">
      <w:pPr>
        <w:pStyle w:val="1"/>
      </w:pPr>
      <w:r w:rsidRPr="001531CD">
        <w:t>1.</w:t>
      </w:r>
      <w:r w:rsidRPr="001531CD">
        <w:tab/>
        <w:t xml:space="preserve">A registration fee of $20 per meter and an inspection fee of $40 per meter to shall be paid by the owner or user of every moisture measuring device used or held for use at any commercial facility which receives, holds, dries, stores, mills, </w:t>
      </w:r>
      <w:r w:rsidRPr="001531CD">
        <w:t>processes or otherwise deals in agricultural commodities in the state, when such use or intended use is for the purpose of determining discounts or other price variances in connection with the purchase or sale of such commodity, said Each moisture meter device shall be registered with the Louisiana Department of Agriculture and Forestry.</w:t>
      </w:r>
    </w:p>
    <w:p w14:paraId="4A2E5032" w14:textId="77777777" w:rsidR="00F92EA2" w:rsidRPr="001531CD" w:rsidRDefault="00F92EA2" w:rsidP="00F92EA2">
      <w:pPr>
        <w:pStyle w:val="1"/>
      </w:pPr>
      <w:r w:rsidRPr="001531CD">
        <w:t>2.</w:t>
      </w:r>
      <w:r w:rsidRPr="001531CD">
        <w:tab/>
        <w:t>Registration shall be required on or before May 15 of each year or within five business days of acquisition of new or additional unregistered moisture measuring devices for the purpose set forth in Paragraph 1 of this Section. Registration forms shall be provided by the department and shall state the name and address of the commercial facility which owns or uses the device, the number of devices used and held for use, the brand name(s) of the device(s), and such other information as may be deemed necessary to carry out the provisions of this Subchapter.</w:t>
      </w:r>
    </w:p>
    <w:p w14:paraId="6DC76BF9" w14:textId="77777777" w:rsidR="00F92EA2" w:rsidRPr="001531CD" w:rsidRDefault="00F92EA2" w:rsidP="00F92EA2">
      <w:pPr>
        <w:pStyle w:val="1"/>
      </w:pPr>
      <w:r w:rsidRPr="001531CD">
        <w:t>3.</w:t>
      </w:r>
      <w:r w:rsidRPr="001531CD">
        <w:tab/>
        <w:t>A moisture measuring device shall be deemed defective when an inspector determines after an inspection and testing that:</w:t>
      </w:r>
    </w:p>
    <w:p w14:paraId="1686192F" w14:textId="77777777" w:rsidR="00F92EA2" w:rsidRPr="001531CD" w:rsidRDefault="00F92EA2" w:rsidP="00F92EA2">
      <w:pPr>
        <w:pStyle w:val="a0"/>
      </w:pPr>
      <w:r w:rsidRPr="001531CD">
        <w:t>a.</w:t>
      </w:r>
      <w:r w:rsidRPr="001531CD">
        <w:tab/>
        <w:t xml:space="preserve">the moisture measuring device varies in tolerance in excess of one-half of one per cent with the testing device used by the inspector; or </w:t>
      </w:r>
    </w:p>
    <w:p w14:paraId="3180DEF1" w14:textId="77777777" w:rsidR="00F92EA2" w:rsidRPr="001531CD" w:rsidRDefault="00F92EA2" w:rsidP="00F92EA2">
      <w:pPr>
        <w:pStyle w:val="a0"/>
      </w:pPr>
      <w:r w:rsidRPr="001531CD">
        <w:t>b.</w:t>
      </w:r>
      <w:r w:rsidRPr="001531CD">
        <w:tab/>
        <w:t>the commercial facility does not have available the latest charts and calibration data for the type of commodity being tested; or</w:t>
      </w:r>
    </w:p>
    <w:p w14:paraId="37F5863D" w14:textId="77777777" w:rsidR="00F92EA2" w:rsidRPr="001531CD" w:rsidRDefault="00F92EA2" w:rsidP="00F92EA2">
      <w:pPr>
        <w:pStyle w:val="a0"/>
      </w:pPr>
      <w:r w:rsidRPr="001531CD">
        <w:t>c.</w:t>
      </w:r>
      <w:r w:rsidRPr="001531CD">
        <w:tab/>
        <w:t xml:space="preserve">the facility does not have available accurate and proper scales and thermometers for use in conjunction with the type of moisture measuring device being used. </w:t>
      </w:r>
    </w:p>
    <w:p w14:paraId="612B9EF6" w14:textId="77777777" w:rsidR="00F92EA2" w:rsidRPr="001531CD" w:rsidRDefault="00F92EA2" w:rsidP="00F92EA2">
      <w:pPr>
        <w:pStyle w:val="1"/>
      </w:pPr>
      <w:r w:rsidRPr="001531CD">
        <w:t>4.a.</w:t>
      </w:r>
      <w:r w:rsidRPr="001531CD">
        <w:tab/>
        <w:t xml:space="preserve">A moisture measuring device which is determined to be defective and which the defect cannot be immediately corrected shall be tagged in such a manner as to warn the public that the device is not in compliance with the law. </w:t>
      </w:r>
    </w:p>
    <w:p w14:paraId="617E242C" w14:textId="77777777" w:rsidR="00F92EA2" w:rsidRPr="001531CD" w:rsidRDefault="00F92EA2" w:rsidP="00F92EA2">
      <w:pPr>
        <w:pStyle w:val="a0"/>
      </w:pPr>
      <w:r w:rsidRPr="001531CD">
        <w:t>b.</w:t>
      </w:r>
      <w:r w:rsidRPr="001531CD">
        <w:tab/>
        <w:t xml:space="preserve">Notice shall be conspicuously posted indicating that a moisture measuring device has been deemed defective and the percentage by which the device has been determined to be out of tolerance. </w:t>
      </w:r>
    </w:p>
    <w:p w14:paraId="3F3E9FE6" w14:textId="77777777" w:rsidR="00F92EA2" w:rsidRPr="001531CD" w:rsidRDefault="00F92EA2" w:rsidP="00F92EA2">
      <w:pPr>
        <w:pStyle w:val="1"/>
      </w:pPr>
      <w:r w:rsidRPr="001531CD">
        <w:t>5.</w:t>
      </w:r>
      <w:r w:rsidRPr="001531CD">
        <w:tab/>
        <w:t>Moisture measuring devices which have been registered and inspected and which have not been found defective shall bear an official tag or sticker from the department, placed on the devices by the inspector in such a manner as to be readily visible, bearing the year of inspection. Such tags or stickers shall be nontransferable.</w:t>
      </w:r>
    </w:p>
    <w:p w14:paraId="60891451" w14:textId="77777777" w:rsidR="00F92EA2" w:rsidRPr="001531CD" w:rsidRDefault="00F92EA2" w:rsidP="00F92EA2">
      <w:pPr>
        <w:pStyle w:val="1"/>
      </w:pPr>
      <w:r w:rsidRPr="001531CD">
        <w:t>6.</w:t>
      </w:r>
      <w:r w:rsidRPr="001531CD">
        <w:tab/>
        <w:t>All non-National Type Evaluation Program (NTEP) approved moisture measuring devices registered prior to May 15, 2010 shall be deemed suitable for use. In the event a non-NTEP moisture measuring device is deemed defective after May 15, 2010, it shall be taken out of service and replaced with an NTEP approved device.</w:t>
      </w:r>
    </w:p>
    <w:p w14:paraId="05DD587F" w14:textId="77777777" w:rsidR="00F92EA2" w:rsidRPr="001531CD" w:rsidRDefault="00F92EA2" w:rsidP="00F92EA2">
      <w:pPr>
        <w:pStyle w:val="1"/>
        <w:rPr>
          <w:szCs w:val="24"/>
        </w:rPr>
      </w:pPr>
      <w:r w:rsidRPr="001531CD">
        <w:t>7.</w:t>
      </w:r>
      <w:r w:rsidRPr="001531CD">
        <w:tab/>
        <w:t>Notwithstanding §128.D of this Part, all moisture measuring devices shall be NTEP approved devices.</w:t>
      </w:r>
    </w:p>
    <w:p w14:paraId="1798B749" w14:textId="77777777" w:rsidR="00CF626A" w:rsidRPr="001531CD" w:rsidRDefault="00D974AA" w:rsidP="00F92EA2">
      <w:pPr>
        <w:pStyle w:val="AuthorityNote"/>
      </w:pPr>
      <w:r w:rsidRPr="0083260E">
        <w:t>AUTHORITY NOTE: Promulgated in accordance with R.S. 3:3405, R.S. 3:3414.3 and R.S. 3:3422.</w:t>
      </w:r>
    </w:p>
    <w:p w14:paraId="58BC395E" w14:textId="77777777" w:rsidR="001D140E" w:rsidRDefault="00CF626A" w:rsidP="001D140E">
      <w:pPr>
        <w:pStyle w:val="HistoricalNote"/>
      </w:pPr>
      <w:r w:rsidRPr="001531CD">
        <w:t xml:space="preserve">HISTORICAL NOTE: Promulgated by the Department of Agriculture, Office of Agro-Consumer Services, Agricultural Commodities Commission, LR 12:287 (May 1986), amended LR </w:t>
      </w:r>
      <w:r w:rsidRPr="001531CD">
        <w:lastRenderedPageBreak/>
        <w:t>14:528 (August 1988), LR 19:889 (July 1993), LR 23:196 (February 1997), LR 27:815 (June 2001), amended by the Department of Agriculture and Forestry, Office of the Commissioner, Agricultural Commodities Commis</w:t>
      </w:r>
      <w:r w:rsidR="00F92EA2" w:rsidRPr="001531CD">
        <w:t>sion, LR 30:197 (February 2004), amended by the Department of Agriculture and Forestry, Agricultural Commodities Commis</w:t>
      </w:r>
      <w:r w:rsidR="00D974AA">
        <w:t xml:space="preserve">sion, LR 37:504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1D140E">
        <w:t xml:space="preserve">1502 (September 2016), </w:t>
      </w:r>
      <w:r w:rsidR="001D140E" w:rsidRPr="00A50E1C">
        <w:t>LR 50:</w:t>
      </w:r>
      <w:r w:rsidR="001D140E">
        <w:t>1811 (December 2024), effective January 1, 2025.</w:t>
      </w:r>
    </w:p>
    <w:p w14:paraId="47F1C0C9" w14:textId="77777777" w:rsidR="00F92EA2" w:rsidRPr="001531CD" w:rsidRDefault="00F92EA2" w:rsidP="00F92EA2">
      <w:pPr>
        <w:pStyle w:val="Chapter"/>
        <w:ind w:left="1440" w:hanging="1440"/>
      </w:pPr>
      <w:bookmarkStart w:id="2661" w:name="TOC_SubC209"/>
      <w:bookmarkStart w:id="2662" w:name="_Toc235870229"/>
      <w:bookmarkStart w:id="2663" w:name="_Toc224819333"/>
      <w:bookmarkStart w:id="2664" w:name="_Toc256754964"/>
      <w:r w:rsidRPr="001531CD">
        <w:t>Subchapter F.</w:t>
      </w:r>
      <w:bookmarkStart w:id="2665" w:name="TOCT_SubC208"/>
      <w:bookmarkStart w:id="2666" w:name="TOCT_SubC209"/>
      <w:bookmarkEnd w:id="2661"/>
      <w:r w:rsidRPr="001531CD">
        <w:tab/>
        <w:t>Scale Tickets</w:t>
      </w:r>
      <w:bookmarkEnd w:id="2662"/>
      <w:bookmarkEnd w:id="2663"/>
      <w:bookmarkEnd w:id="2665"/>
      <w:bookmarkEnd w:id="2666"/>
    </w:p>
    <w:p w14:paraId="207DBF9B" w14:textId="77777777" w:rsidR="00F92EA2" w:rsidRPr="001531CD" w:rsidRDefault="00F92EA2" w:rsidP="00F92EA2">
      <w:pPr>
        <w:pStyle w:val="Section"/>
      </w:pPr>
      <w:bookmarkStart w:id="2667" w:name="_Toc235870230"/>
      <w:bookmarkStart w:id="2668" w:name="_Toc224819334"/>
      <w:bookmarkEnd w:id="2664"/>
      <w:r w:rsidRPr="001531CD">
        <w:t>§129.</w:t>
      </w:r>
      <w:r w:rsidRPr="001531CD">
        <w:tab/>
        <w:t>Scale Tickets: Filing, Contents, Maintenance in Records</w:t>
      </w:r>
      <w:bookmarkEnd w:id="2667"/>
      <w:bookmarkEnd w:id="2668"/>
    </w:p>
    <w:p w14:paraId="132C55F5" w14:textId="77777777" w:rsidR="00D974AA" w:rsidRPr="0083260E" w:rsidRDefault="00D974AA" w:rsidP="00D974AA">
      <w:pPr>
        <w:pStyle w:val="A"/>
      </w:pPr>
      <w:r w:rsidRPr="0083260E">
        <w:t>A.</w:t>
      </w:r>
      <w:r w:rsidRPr="0083260E">
        <w:tab/>
        <w:t>Immediately upon deposit with a licensed warehouse or a licensed grain dealer of any agricultural commodity or farm product regulated under R.S. 3:3401-3425, the warehouse or grain dealer shall issue a scale ticket to the depositor which conforms to the requirements of this Rule. Warehouses licensed under the U.S. Warehouse Act may use scale tickets approved by the federal licensing agency.</w:t>
      </w:r>
    </w:p>
    <w:p w14:paraId="26EA57C5" w14:textId="77777777" w:rsidR="00D974AA" w:rsidRPr="0083260E" w:rsidRDefault="00D974AA" w:rsidP="00D974AA">
      <w:pPr>
        <w:pStyle w:val="A"/>
      </w:pPr>
      <w:r w:rsidRPr="0083260E">
        <w:t>B.</w:t>
      </w:r>
      <w:r w:rsidRPr="0083260E">
        <w:tab/>
        <w:t>Scale tickets shall be sequentially pre-numbered and shall be issued to depositors in numerical order. Different scale ticket books may be used for different scales.</w:t>
      </w:r>
    </w:p>
    <w:p w14:paraId="0735EA26" w14:textId="77777777" w:rsidR="00D974AA" w:rsidRPr="0083260E" w:rsidRDefault="00D974AA" w:rsidP="00D974AA">
      <w:pPr>
        <w:pStyle w:val="A"/>
      </w:pPr>
      <w:r w:rsidRPr="0083260E">
        <w:t>C.</w:t>
      </w:r>
      <w:r w:rsidRPr="0083260E">
        <w:tab/>
        <w:t>Each scale ticket shall consist of an original and at least one copy. The original or a copy of the scale ticket shall be maintained in numerical order in the licensee's records and shall be available for examination by the commission at all times.</w:t>
      </w:r>
    </w:p>
    <w:p w14:paraId="3A647584" w14:textId="77777777" w:rsidR="00D974AA" w:rsidRPr="0083260E" w:rsidRDefault="00D974AA" w:rsidP="00D974AA">
      <w:pPr>
        <w:pStyle w:val="A"/>
      </w:pPr>
      <w:r w:rsidRPr="0083260E">
        <w:t>D.</w:t>
      </w:r>
      <w:r w:rsidRPr="0083260E">
        <w:tab/>
        <w:t>Whenever a scale ticket is voided, all copies shall be so marked, dated, and signed by an authorized agent of the warehouse or grain dealer, and all copies of the voided scale ticket shall be maintained in the warehouse or grain dealer's records.</w:t>
      </w:r>
    </w:p>
    <w:p w14:paraId="3AFD2E42" w14:textId="77777777" w:rsidR="00CF626A" w:rsidRPr="001531CD" w:rsidRDefault="00D974AA" w:rsidP="00D974AA">
      <w:pPr>
        <w:pStyle w:val="AuthorityNote"/>
      </w:pPr>
      <w:r w:rsidRPr="0083260E">
        <w:t>AUTHORITY NOTE:</w:t>
      </w:r>
      <w:r w:rsidRPr="0083260E">
        <w:tab/>
        <w:t>Promulgated in</w:t>
      </w:r>
      <w:r>
        <w:t xml:space="preserve"> accordance with R.S. 3:3405,</w:t>
      </w:r>
      <w:r w:rsidRPr="0083260E">
        <w:t xml:space="preserve"> R.S. 3:3415,</w:t>
      </w:r>
      <w:r>
        <w:t xml:space="preserve"> and</w:t>
      </w:r>
      <w:r w:rsidRPr="0083260E">
        <w:t xml:space="preserve"> R.S. 3:3419.</w:t>
      </w:r>
    </w:p>
    <w:p w14:paraId="1DE463A2" w14:textId="77777777" w:rsidR="00CF626A" w:rsidRPr="001531CD" w:rsidRDefault="00CF626A">
      <w:pPr>
        <w:pStyle w:val="HistoricalNote"/>
      </w:pPr>
      <w:r w:rsidRPr="001531CD">
        <w:t>HISTORICAL NOTE:</w:t>
      </w:r>
      <w:r w:rsidRPr="001531CD">
        <w:tab/>
        <w:t xml:space="preserve">Promulgated by the Department of Agriculture, Agricultural Commodities </w:t>
      </w:r>
      <w:r w:rsidR="00F92EA2" w:rsidRPr="001531CD">
        <w:t>Commission, LR 9:304 (May 1983), amended by the Department of Agriculture and Forestry, Agricultural Commodities Commis</w:t>
      </w:r>
      <w:r w:rsidR="00D974AA">
        <w:t xml:space="preserve">sion, LR 37:504 (February 2011), </w:t>
      </w:r>
      <w:r w:rsidR="00F17615" w:rsidRPr="0083260E">
        <w:t>amended by the Department of Agriculture and Forestry,</w:t>
      </w:r>
      <w:r w:rsidR="00F17615">
        <w:t xml:space="preserve"> Office of Agro-Consumer Services, Agricultural Commodities Commission, </w:t>
      </w:r>
      <w:r w:rsidR="00F17615" w:rsidRPr="0083260E">
        <w:t>LR 42:</w:t>
      </w:r>
      <w:r w:rsidR="00F17615">
        <w:t>1502 (September 2016).</w:t>
      </w:r>
    </w:p>
    <w:p w14:paraId="5DCF0688" w14:textId="77777777" w:rsidR="00F92EA2" w:rsidRPr="001531CD" w:rsidRDefault="00F92EA2" w:rsidP="00F92EA2">
      <w:pPr>
        <w:pStyle w:val="Chapter"/>
        <w:ind w:left="1440" w:hanging="1440"/>
      </w:pPr>
      <w:bookmarkStart w:id="2669" w:name="TOC_SubC210"/>
      <w:bookmarkStart w:id="2670" w:name="_Toc235870231"/>
      <w:bookmarkStart w:id="2671" w:name="_Toc224819335"/>
      <w:bookmarkStart w:id="2672" w:name="_Toc256754966"/>
      <w:r w:rsidRPr="001531CD">
        <w:t>Subchapter G.</w:t>
      </w:r>
      <w:bookmarkStart w:id="2673" w:name="TOCT_SubC210"/>
      <w:bookmarkEnd w:id="2669"/>
      <w:r w:rsidRPr="001531CD">
        <w:tab/>
        <w:t>Warehouse Receipts</w:t>
      </w:r>
      <w:bookmarkEnd w:id="2670"/>
      <w:bookmarkEnd w:id="2671"/>
      <w:bookmarkEnd w:id="2673"/>
    </w:p>
    <w:p w14:paraId="6A3A7096" w14:textId="77777777" w:rsidR="00F92EA2" w:rsidRPr="001531CD" w:rsidRDefault="00F92EA2" w:rsidP="00F92EA2">
      <w:pPr>
        <w:pStyle w:val="Section"/>
      </w:pPr>
      <w:bookmarkStart w:id="2674" w:name="_Toc235870232"/>
      <w:bookmarkStart w:id="2675" w:name="_Toc224819336"/>
      <w:bookmarkEnd w:id="2672"/>
      <w:r w:rsidRPr="001531CD">
        <w:t>§131.</w:t>
      </w:r>
      <w:r w:rsidRPr="001531CD">
        <w:tab/>
        <w:t>Warehouse Receipts: Completion; Issuance; Open Storage; Cessation of Business; Other Applicable Laws; Cancellation of Receipts; Company-Owned Commodities; Form of Non-</w:t>
      </w:r>
      <w:r w:rsidR="001F3803" w:rsidRPr="001531CD">
        <w:t xml:space="preserve">Negotiable </w:t>
      </w:r>
      <w:r w:rsidRPr="001531CD">
        <w:t>Receipts</w:t>
      </w:r>
      <w:bookmarkEnd w:id="2674"/>
      <w:bookmarkEnd w:id="2675"/>
    </w:p>
    <w:p w14:paraId="5EFE1AE2" w14:textId="77777777" w:rsidR="003642E8" w:rsidRPr="001531CD" w:rsidRDefault="003642E8" w:rsidP="003642E8">
      <w:pPr>
        <w:pStyle w:val="A"/>
      </w:pPr>
      <w:r w:rsidRPr="001531CD">
        <w:t>A.</w:t>
      </w:r>
      <w:r w:rsidRPr="001531CD">
        <w:tab/>
        <w:t xml:space="preserve">A licensee may issue warehouse receipts by use of a paper warehouse receipt system, an electronic warehouse receipt system, or both. </w:t>
      </w:r>
    </w:p>
    <w:p w14:paraId="555A3B9F" w14:textId="77777777" w:rsidR="003642E8" w:rsidRPr="001531CD" w:rsidRDefault="003642E8" w:rsidP="003642E8">
      <w:pPr>
        <w:pStyle w:val="A"/>
      </w:pPr>
      <w:r w:rsidRPr="001531CD">
        <w:t>B.</w:t>
      </w:r>
      <w:r w:rsidRPr="001531CD">
        <w:tab/>
        <w:t>Except as herein provided, all warehouses shall use paper or electronic sequentially numbered warehouse receipts.</w:t>
      </w:r>
    </w:p>
    <w:p w14:paraId="01AE35B5" w14:textId="77777777" w:rsidR="003642E8" w:rsidRPr="001531CD" w:rsidRDefault="003642E8" w:rsidP="003642E8">
      <w:pPr>
        <w:pStyle w:val="A"/>
      </w:pPr>
      <w:r w:rsidRPr="001531CD">
        <w:t>C.</w:t>
      </w:r>
      <w:r w:rsidRPr="001531CD">
        <w:tab/>
        <w:t>Warehouses licensed under the U.S. Warehouse Act may use receipt forms approved b</w:t>
      </w:r>
      <w:r w:rsidR="00BB58CC" w:rsidRPr="001531CD">
        <w:t>y the federal licensing agency.</w:t>
      </w:r>
    </w:p>
    <w:p w14:paraId="134F064C" w14:textId="77777777" w:rsidR="003642E8" w:rsidRPr="001531CD" w:rsidRDefault="003642E8" w:rsidP="003642E8">
      <w:pPr>
        <w:pStyle w:val="A"/>
      </w:pPr>
      <w:r w:rsidRPr="001531CD">
        <w:t>D.</w:t>
      </w:r>
      <w:r w:rsidRPr="001531CD">
        <w:tab/>
        <w:t>Issuance of Receipts</w:t>
      </w:r>
    </w:p>
    <w:p w14:paraId="59B14529" w14:textId="77777777" w:rsidR="003642E8" w:rsidRPr="001531CD" w:rsidRDefault="003642E8" w:rsidP="003642E8">
      <w:pPr>
        <w:pStyle w:val="1"/>
      </w:pPr>
      <w:r w:rsidRPr="001531CD">
        <w:t>1.</w:t>
      </w:r>
      <w:r w:rsidRPr="001531CD">
        <w:tab/>
        <w:t>Each warehouse shall, on demand, issue a warehouse receipt for stored agricultural commodities or farm products.</w:t>
      </w:r>
    </w:p>
    <w:p w14:paraId="00B7258B" w14:textId="77777777" w:rsidR="003642E8" w:rsidRPr="001531CD" w:rsidRDefault="003642E8" w:rsidP="003642E8">
      <w:pPr>
        <w:pStyle w:val="1"/>
      </w:pPr>
      <w:r w:rsidRPr="001531CD">
        <w:t>2.</w:t>
      </w:r>
      <w:r w:rsidRPr="001531CD">
        <w:tab/>
        <w:t>No warehouse shall issue a warehouse receipt covering commodities which are already covered by an outstanding and uncanceled warehouse receipt, except as provided by §133.D of this Part.</w:t>
      </w:r>
    </w:p>
    <w:p w14:paraId="0D27EB57" w14:textId="77777777" w:rsidR="003642E8" w:rsidRPr="001531CD" w:rsidRDefault="003642E8" w:rsidP="003642E8">
      <w:pPr>
        <w:pStyle w:val="1"/>
      </w:pPr>
      <w:r w:rsidRPr="001531CD">
        <w:t>3.</w:t>
      </w:r>
      <w:r w:rsidRPr="001531CD">
        <w:tab/>
        <w:t>No warehouse may issue a warehouse receipt covering commodities which are not actually stored in the warehouse.</w:t>
      </w:r>
    </w:p>
    <w:p w14:paraId="4F7C11AB" w14:textId="77777777" w:rsidR="003642E8" w:rsidRPr="001531CD" w:rsidRDefault="003642E8" w:rsidP="003642E8">
      <w:pPr>
        <w:pStyle w:val="A"/>
      </w:pPr>
      <w:r w:rsidRPr="001531CD">
        <w:t>E.</w:t>
      </w:r>
      <w:r w:rsidRPr="001531CD">
        <w:tab/>
        <w:t>All spaces on the warehouse receipt shall be filled in with appropriate information or crossed out (xxxxx).</w:t>
      </w:r>
    </w:p>
    <w:p w14:paraId="65BEA0C7" w14:textId="77777777" w:rsidR="003642E8" w:rsidRPr="001531CD" w:rsidRDefault="003642E8" w:rsidP="003642E8">
      <w:pPr>
        <w:pStyle w:val="A"/>
      </w:pPr>
      <w:r w:rsidRPr="001531CD">
        <w:t>F.</w:t>
      </w:r>
      <w:r w:rsidRPr="001531CD">
        <w:tab/>
        <w:t>Warehouse receipts may be signed only by authorized agents of the warehouse.</w:t>
      </w:r>
    </w:p>
    <w:p w14:paraId="5D2AD7BF" w14:textId="77777777" w:rsidR="003642E8" w:rsidRPr="001531CD" w:rsidRDefault="003642E8" w:rsidP="003642E8">
      <w:pPr>
        <w:pStyle w:val="A"/>
      </w:pPr>
      <w:r w:rsidRPr="001531CD">
        <w:t>G.</w:t>
      </w:r>
      <w:r w:rsidRPr="001531CD">
        <w:tab/>
        <w:t>Open Storage</w:t>
      </w:r>
    </w:p>
    <w:p w14:paraId="4FA391FA" w14:textId="77777777" w:rsidR="003642E8" w:rsidRPr="001531CD" w:rsidRDefault="003642E8" w:rsidP="003642E8">
      <w:pPr>
        <w:pStyle w:val="1"/>
      </w:pPr>
      <w:r w:rsidRPr="001531CD">
        <w:t>1. A warehouse which has commodities under open storage shall, in all cases when such commodities are not physically stored in its facilities (i.e., forwarded), be able to produce or secure a warehouse receipt from the warehouse to which such commodities were forwarded. The physical whereabouts of all agricultural commodities in open storage are subject to verification by the commission.</w:t>
      </w:r>
    </w:p>
    <w:p w14:paraId="51240A9F" w14:textId="77777777" w:rsidR="003642E8" w:rsidRPr="001531CD" w:rsidRDefault="003642E8" w:rsidP="003642E8">
      <w:pPr>
        <w:pStyle w:val="A"/>
      </w:pPr>
      <w:r w:rsidRPr="001531CD">
        <w:t>H.</w:t>
      </w:r>
      <w:r w:rsidRPr="001531CD">
        <w:tab/>
        <w:t>Delivery of Commodities Covered by Warehouse Receipt or Scale Ticket Marked for Storage</w:t>
      </w:r>
    </w:p>
    <w:p w14:paraId="6EB857B1" w14:textId="77777777" w:rsidR="003642E8" w:rsidRPr="001531CD" w:rsidRDefault="003642E8" w:rsidP="003642E8">
      <w:pPr>
        <w:pStyle w:val="1"/>
      </w:pPr>
      <w:r w:rsidRPr="001531CD">
        <w:t>1.</w:t>
      </w:r>
      <w:r w:rsidRPr="001531CD">
        <w:tab/>
        <w:t>The holder of a warehouse receipt or a scale ticket marked for storage may request delivery of the agricultural commodities, or any portion thereof, at any time.</w:t>
      </w:r>
    </w:p>
    <w:p w14:paraId="31090AA7" w14:textId="77777777" w:rsidR="003642E8" w:rsidRPr="001531CD" w:rsidRDefault="003642E8" w:rsidP="003642E8">
      <w:pPr>
        <w:pStyle w:val="1"/>
      </w:pPr>
      <w:r w:rsidRPr="001531CD">
        <w:t>2.</w:t>
      </w:r>
      <w:r w:rsidRPr="001531CD">
        <w:tab/>
        <w:t>When the depositor of agricultural commodities removes such commodities from storage, the warehouse shall deliver to the depositor commodities of the same quantity and grade as designated on the warehouse receipt or scale ticket marked for storage.</w:t>
      </w:r>
    </w:p>
    <w:p w14:paraId="42EA6B21" w14:textId="77777777" w:rsidR="003642E8" w:rsidRPr="001531CD" w:rsidRDefault="003642E8" w:rsidP="003642E8">
      <w:pPr>
        <w:pStyle w:val="1"/>
      </w:pPr>
      <w:r w:rsidRPr="001531CD">
        <w:t>3.</w:t>
      </w:r>
      <w:r w:rsidRPr="001531CD">
        <w:tab/>
        <w:t>The warehouse shall, without unnecessary delay, deliver any agricultural commodities or farm products stored therein upon demand by the holder of a warehouse receipt or scale ticket marked for storage upon the following conditions:</w:t>
      </w:r>
    </w:p>
    <w:p w14:paraId="361CAF40" w14:textId="77777777" w:rsidR="003642E8" w:rsidRPr="001531CD" w:rsidRDefault="003642E8" w:rsidP="003642E8">
      <w:pPr>
        <w:pStyle w:val="a0"/>
      </w:pPr>
      <w:r w:rsidRPr="001531CD">
        <w:t>a.</w:t>
      </w:r>
      <w:r w:rsidRPr="001531CD">
        <w:tab/>
        <w:t>full payment of all amounts owed to the warehouse;</w:t>
      </w:r>
    </w:p>
    <w:p w14:paraId="057BF110" w14:textId="77777777" w:rsidR="003642E8" w:rsidRPr="001531CD" w:rsidRDefault="003642E8" w:rsidP="003642E8">
      <w:pPr>
        <w:pStyle w:val="a0"/>
      </w:pPr>
      <w:r w:rsidRPr="001531CD">
        <w:t>b.</w:t>
      </w:r>
      <w:r w:rsidRPr="001531CD">
        <w:tab/>
        <w:t>surrender of the warehouse receipt, if negotiable, for cancellation.</w:t>
      </w:r>
    </w:p>
    <w:p w14:paraId="7EDB98DF" w14:textId="77777777" w:rsidR="003642E8" w:rsidRPr="001531CD" w:rsidRDefault="003642E8" w:rsidP="003642E8">
      <w:pPr>
        <w:pStyle w:val="A"/>
      </w:pPr>
      <w:r w:rsidRPr="001531CD">
        <w:t>I.</w:t>
      </w:r>
      <w:r w:rsidRPr="001531CD">
        <w:tab/>
        <w:t>Cancellation of Warehouse Receipt</w:t>
      </w:r>
    </w:p>
    <w:p w14:paraId="4984ADB4" w14:textId="77777777" w:rsidR="003642E8" w:rsidRPr="001531CD" w:rsidRDefault="003642E8" w:rsidP="003642E8">
      <w:pPr>
        <w:pStyle w:val="1"/>
      </w:pPr>
      <w:r w:rsidRPr="001531CD">
        <w:t>1.</w:t>
      </w:r>
      <w:r w:rsidRPr="001531CD">
        <w:tab/>
        <w:t>When commodities or farm products are removed from storage, the warehouse shall promptly and plainly cancel the warehouse receipt covering such commodities or farm products.</w:t>
      </w:r>
    </w:p>
    <w:p w14:paraId="0208B4A0" w14:textId="77777777" w:rsidR="003642E8" w:rsidRPr="001531CD" w:rsidRDefault="003642E8" w:rsidP="003642E8">
      <w:pPr>
        <w:pStyle w:val="1"/>
      </w:pPr>
      <w:r w:rsidRPr="001531CD">
        <w:t>2.</w:t>
      </w:r>
      <w:r w:rsidRPr="001531CD">
        <w:tab/>
        <w:t>No warehouse receipt shall be canceled unless:</w:t>
      </w:r>
    </w:p>
    <w:p w14:paraId="2306169F" w14:textId="77777777" w:rsidR="003642E8" w:rsidRPr="001531CD" w:rsidRDefault="003642E8" w:rsidP="003642E8">
      <w:pPr>
        <w:pStyle w:val="a0"/>
      </w:pPr>
      <w:r w:rsidRPr="001531CD">
        <w:t>a.</w:t>
      </w:r>
      <w:r w:rsidRPr="001531CD">
        <w:tab/>
        <w:t>the commodities have been removed from storage, by sale or otherwise; or</w:t>
      </w:r>
    </w:p>
    <w:p w14:paraId="3B9EA9F5" w14:textId="77777777" w:rsidR="003642E8" w:rsidRPr="001531CD" w:rsidRDefault="003642E8" w:rsidP="003642E8">
      <w:pPr>
        <w:pStyle w:val="a0"/>
      </w:pPr>
      <w:r w:rsidRPr="001531CD">
        <w:lastRenderedPageBreak/>
        <w:t>b.</w:t>
      </w:r>
      <w:r w:rsidRPr="001531CD">
        <w:tab/>
        <w:t>a new warehouse receipt has been issued to replace a lost or destroyed warehouse receipt, as provided under §133.D of this Part.</w:t>
      </w:r>
    </w:p>
    <w:p w14:paraId="50EADE77" w14:textId="77777777" w:rsidR="003642E8" w:rsidRPr="001531CD" w:rsidRDefault="003642E8" w:rsidP="003642E8">
      <w:pPr>
        <w:pStyle w:val="A"/>
      </w:pPr>
      <w:r w:rsidRPr="001531CD">
        <w:t>J.</w:t>
      </w:r>
      <w:r w:rsidRPr="001531CD">
        <w:tab/>
        <w:t>Warehouse Receipt on Company-Owned Commodities</w:t>
      </w:r>
    </w:p>
    <w:p w14:paraId="5D65597D" w14:textId="77777777" w:rsidR="003642E8" w:rsidRPr="001531CD" w:rsidRDefault="003642E8" w:rsidP="003642E8">
      <w:pPr>
        <w:pStyle w:val="1"/>
      </w:pPr>
      <w:r w:rsidRPr="001531CD">
        <w:t>1.</w:t>
      </w:r>
      <w:r w:rsidRPr="001531CD">
        <w:tab/>
        <w:t>A warehouse may issue and hold a warehouse receipt for commodities which are company-owned, in whole or in part, and stored in the warehouse, provided that such warehouse receipts are subject to all requirements of the regulations contained in this Part.</w:t>
      </w:r>
    </w:p>
    <w:p w14:paraId="1426FD95" w14:textId="77777777" w:rsidR="003642E8" w:rsidRPr="001531CD" w:rsidRDefault="003642E8" w:rsidP="003642E8">
      <w:pPr>
        <w:pStyle w:val="A"/>
      </w:pPr>
      <w:r w:rsidRPr="001531CD">
        <w:t>K.</w:t>
      </w:r>
      <w:r w:rsidRPr="001531CD">
        <w:tab/>
        <w:t>Non-Negotiable Warehouse Receipts</w:t>
      </w:r>
    </w:p>
    <w:p w14:paraId="36DB098F" w14:textId="77777777" w:rsidR="003642E8" w:rsidRPr="001531CD" w:rsidRDefault="003642E8" w:rsidP="003642E8">
      <w:pPr>
        <w:pStyle w:val="1"/>
      </w:pPr>
      <w:r w:rsidRPr="001531CD">
        <w:t>1.</w:t>
      </w:r>
      <w:r w:rsidRPr="001531CD">
        <w:tab/>
        <w:t>Each person to whom a non-negotiable warehouse receipt is issued shall furnish the warehouse with a written statement naming persons having power to authorize delivery of the commodity covered by the non-negotiable warehouse receipt, together with a bona fide signature of such person. The warehouse shall not release the commodity except to persons so authorized by the owner of the commodities or farm products.</w:t>
      </w:r>
    </w:p>
    <w:p w14:paraId="0C0A70EB" w14:textId="77777777" w:rsidR="003642E8" w:rsidRPr="001531CD" w:rsidRDefault="003642E8" w:rsidP="003642E8">
      <w:pPr>
        <w:pStyle w:val="1"/>
      </w:pPr>
      <w:r w:rsidRPr="001531CD">
        <w:t>2.</w:t>
      </w:r>
      <w:r w:rsidRPr="001531CD">
        <w:tab/>
        <w:t>The warehouse may release a portion of the commodities or farm products covered by a non-negotiable warehouse receipt, upon presentation of authorization as above required, but may not release all of the commodities covered by a non-negotiable warehouse receipt until such time as the non-negotiable warehouse receipt is returned and canceled.</w:t>
      </w:r>
    </w:p>
    <w:p w14:paraId="079AA32B" w14:textId="77777777" w:rsidR="003642E8" w:rsidRPr="001531CD" w:rsidRDefault="003642E8" w:rsidP="003642E8">
      <w:pPr>
        <w:pStyle w:val="A"/>
      </w:pPr>
      <w:r w:rsidRPr="001531CD">
        <w:t>L.</w:t>
      </w:r>
      <w:r w:rsidRPr="001531CD">
        <w:tab/>
        <w:t>Cessation of Business</w:t>
      </w:r>
    </w:p>
    <w:p w14:paraId="52725A26" w14:textId="77777777" w:rsidR="003642E8" w:rsidRPr="001531CD" w:rsidRDefault="003642E8" w:rsidP="003642E8">
      <w:pPr>
        <w:pStyle w:val="1"/>
      </w:pPr>
      <w:r w:rsidRPr="001531CD">
        <w:t>1.</w:t>
      </w:r>
      <w:r w:rsidRPr="001531CD">
        <w:tab/>
        <w:t>Whenever any warehouse ceases to operate as a licensed warehouse, for any reason, the warehouse shall satisfy all outstanding obligations to producers and all outstanding warehouse receipts shall be canceled. The requirement for cancellation does not, however, apply when the warehouse is unable, for any reason, to satisfy obligations to producers.</w:t>
      </w:r>
    </w:p>
    <w:p w14:paraId="07F9401F" w14:textId="77777777" w:rsidR="003642E8" w:rsidRPr="001531CD" w:rsidRDefault="003642E8" w:rsidP="003642E8">
      <w:pPr>
        <w:pStyle w:val="A"/>
      </w:pPr>
      <w:r w:rsidRPr="001531CD">
        <w:t>M.</w:t>
      </w:r>
      <w:r w:rsidRPr="001531CD">
        <w:tab/>
        <w:t>Other Applicable Laws</w:t>
      </w:r>
    </w:p>
    <w:p w14:paraId="001D905A" w14:textId="77777777" w:rsidR="003642E8" w:rsidRPr="001531CD" w:rsidRDefault="003642E8" w:rsidP="003642E8">
      <w:pPr>
        <w:pStyle w:val="1"/>
      </w:pPr>
      <w:r w:rsidRPr="001531CD">
        <w:t>1.</w:t>
      </w:r>
      <w:r w:rsidRPr="001531CD">
        <w:tab/>
        <w:t>In any circumstances surrounding the issuance of warehouse receipts which are not covered by R.S. 3:3401-3425 or the regulations contained in this Part, Chapter 7 of Title 10 of the Louisiana Revised Statutes of 1950 shall control.</w:t>
      </w:r>
    </w:p>
    <w:p w14:paraId="09376AD2" w14:textId="77777777" w:rsidR="003642E8" w:rsidRPr="001531CD" w:rsidRDefault="003642E8" w:rsidP="003642E8">
      <w:pPr>
        <w:pStyle w:val="AuthorityNote"/>
      </w:pPr>
      <w:r w:rsidRPr="001531CD">
        <w:rPr>
          <w:szCs w:val="24"/>
        </w:rPr>
        <w:t>AUTHORITY NOTE:</w:t>
      </w:r>
      <w:r w:rsidRPr="001531CD">
        <w:rPr>
          <w:szCs w:val="24"/>
        </w:rPr>
        <w:tab/>
        <w:t>Promulgated in accordance</w:t>
      </w:r>
      <w:r w:rsidRPr="001531CD">
        <w:t xml:space="preserve"> with R.S. 3:3405, R.S. 3:3416, R.S. 3:3417 and R.S. 3:3418.</w:t>
      </w:r>
    </w:p>
    <w:p w14:paraId="2E09AE84" w14:textId="77777777" w:rsidR="00CF626A" w:rsidRPr="001531CD" w:rsidRDefault="00CF626A" w:rsidP="003642E8">
      <w:pPr>
        <w:pStyle w:val="HistoricalNote"/>
      </w:pPr>
      <w:r w:rsidRPr="001531CD">
        <w:t>HISTORICAL NOTE:</w:t>
      </w:r>
      <w:r w:rsidRPr="001531CD">
        <w:tab/>
        <w:t xml:space="preserve">Promulgated by the Department of Agriculture, Office of Agro-Consumer Services, Agricultural Commodities </w:t>
      </w:r>
      <w:r w:rsidR="003642E8" w:rsidRPr="001531CD">
        <w:t>Commission, LR 9:305 (May 1983), amended by the Department of Agriculture and Forestry, Agricultural Commodities Commission, LR 37:505 (February 2011).</w:t>
      </w:r>
    </w:p>
    <w:p w14:paraId="4478D6F5" w14:textId="77777777" w:rsidR="00CF626A" w:rsidRPr="001531CD" w:rsidRDefault="003642E8" w:rsidP="00105ABE">
      <w:pPr>
        <w:pStyle w:val="Section"/>
        <w:spacing w:after="80"/>
      </w:pPr>
      <w:bookmarkStart w:id="2676" w:name="_Toc235870233"/>
      <w:bookmarkStart w:id="2677" w:name="_Toc224819337"/>
      <w:r w:rsidRPr="001531CD">
        <w:t>§133.</w:t>
      </w:r>
      <w:r w:rsidRPr="001531CD">
        <w:tab/>
        <w:t xml:space="preserve">Paper Warehouse Receipts: Required Form; Issuance; Partial Delivery; Duplicate Receipts; </w:t>
      </w:r>
      <w:bookmarkEnd w:id="2676"/>
      <w:r w:rsidRPr="001531CD">
        <w:t>Non-Negotiable Receipts</w:t>
      </w:r>
      <w:bookmarkEnd w:id="2677"/>
    </w:p>
    <w:p w14:paraId="6ADB5DDD" w14:textId="77777777" w:rsidR="003642E8" w:rsidRPr="001531CD" w:rsidRDefault="003642E8" w:rsidP="003642E8">
      <w:pPr>
        <w:pStyle w:val="A"/>
      </w:pPr>
      <w:r w:rsidRPr="001531CD">
        <w:t>A.</w:t>
      </w:r>
      <w:r w:rsidRPr="001531CD">
        <w:tab/>
        <w:t>Except as herein provided, all paper warehouse receipts shall only be sequentially pre-numbered warehouse receipts on forms furnished by the commission.</w:t>
      </w:r>
    </w:p>
    <w:p w14:paraId="7CACDC2B" w14:textId="77777777" w:rsidR="003642E8" w:rsidRPr="001531CD" w:rsidRDefault="003642E8" w:rsidP="003642E8">
      <w:pPr>
        <w:pStyle w:val="A"/>
      </w:pPr>
      <w:r w:rsidRPr="001531CD">
        <w:t>B.</w:t>
      </w:r>
      <w:r w:rsidRPr="001531CD">
        <w:tab/>
        <w:t>Agents of the commission shall note the issuance of all partial releases, by number of each such partial release, on the original receipt.</w:t>
      </w:r>
    </w:p>
    <w:p w14:paraId="0E876B9D" w14:textId="77777777" w:rsidR="003642E8" w:rsidRPr="001531CD" w:rsidRDefault="003642E8" w:rsidP="003642E8">
      <w:pPr>
        <w:pStyle w:val="A"/>
      </w:pPr>
      <w:r w:rsidRPr="001531CD">
        <w:t>C.</w:t>
      </w:r>
      <w:r w:rsidRPr="001531CD">
        <w:tab/>
        <w:t>Whenever a warehouse receipt is voided, all copies shall be so marked, dated, and signed by an authorized agent of the warehouse; the green and yellow copies of the voided receipt shall be maintained in proper sequence in the warehouse's receipt records and the pink copy shall be mailed to the commission on the day voided.</w:t>
      </w:r>
    </w:p>
    <w:p w14:paraId="7C38219A" w14:textId="77777777" w:rsidR="003642E8" w:rsidRPr="001531CD" w:rsidRDefault="003642E8" w:rsidP="003642E8">
      <w:pPr>
        <w:pStyle w:val="A"/>
      </w:pPr>
      <w:r w:rsidRPr="001531CD">
        <w:t>D.</w:t>
      </w:r>
      <w:r w:rsidRPr="001531CD">
        <w:tab/>
        <w:t>Issuance of Duplicate Negotiable Warehouse Receipt</w:t>
      </w:r>
    </w:p>
    <w:p w14:paraId="106DFA4C" w14:textId="77777777" w:rsidR="003642E8" w:rsidRPr="001531CD" w:rsidRDefault="003642E8" w:rsidP="003642E8">
      <w:pPr>
        <w:pStyle w:val="1"/>
      </w:pPr>
      <w:r w:rsidRPr="001531CD">
        <w:t>1.</w:t>
      </w:r>
      <w:r w:rsidRPr="001531CD">
        <w:tab/>
        <w:t>If a negotiable warehouse receipt is lost or destroyed, the warehouse shall notify the commission of such loss or destruction prior to issuance of a duplicate warehouse receipt. A duplicate warehouse receipt replacing a lost or destroyed negotiable warehouse receipt may be issued by the warehouse only upon the written authorization of the commission.</w:t>
      </w:r>
    </w:p>
    <w:p w14:paraId="6627F812" w14:textId="77777777" w:rsidR="003642E8" w:rsidRPr="001531CD" w:rsidRDefault="003642E8" w:rsidP="003642E8">
      <w:pPr>
        <w:pStyle w:val="1"/>
      </w:pPr>
      <w:r w:rsidRPr="001531CD">
        <w:t>2.</w:t>
      </w:r>
      <w:r w:rsidRPr="001531CD">
        <w:tab/>
        <w:t>Before authorizing issuance of a duplicate negotiable warehouse receipt, the commission shall require that the person applying for authority to issue the duplicate warehouse receipt shall file with the commission a notarized statement that:</w:t>
      </w:r>
    </w:p>
    <w:p w14:paraId="2664A8CD" w14:textId="77777777" w:rsidR="003642E8" w:rsidRPr="001531CD" w:rsidRDefault="003642E8" w:rsidP="003642E8">
      <w:pPr>
        <w:pStyle w:val="a0"/>
      </w:pPr>
      <w:r w:rsidRPr="001531CD">
        <w:t>a.</w:t>
      </w:r>
      <w:r w:rsidRPr="001531CD">
        <w:tab/>
        <w:t>the applicant is lawfully entitled to possession of the duplicate warehouse receipt;</w:t>
      </w:r>
    </w:p>
    <w:p w14:paraId="7EAC8747" w14:textId="77777777" w:rsidR="003642E8" w:rsidRPr="001531CD" w:rsidRDefault="003642E8" w:rsidP="003642E8">
      <w:pPr>
        <w:pStyle w:val="a0"/>
      </w:pPr>
      <w:r w:rsidRPr="001531CD">
        <w:t>b.</w:t>
      </w:r>
      <w:r w:rsidRPr="001531CD">
        <w:tab/>
        <w:t>the applicant has not negotiated or assigned the lost or destroyed warehouse receipt; and</w:t>
      </w:r>
    </w:p>
    <w:p w14:paraId="3BCEA195" w14:textId="77777777" w:rsidR="003642E8" w:rsidRPr="001531CD" w:rsidRDefault="003642E8" w:rsidP="003642E8">
      <w:pPr>
        <w:pStyle w:val="a0"/>
      </w:pPr>
      <w:r w:rsidRPr="001531CD">
        <w:t>c.</w:t>
      </w:r>
      <w:r w:rsidRPr="001531CD">
        <w:tab/>
        <w:t>reports how the original was lost or destroyed.</w:t>
      </w:r>
    </w:p>
    <w:p w14:paraId="0119B576" w14:textId="77777777" w:rsidR="003642E8" w:rsidRPr="001531CD" w:rsidRDefault="003642E8" w:rsidP="003642E8">
      <w:pPr>
        <w:pStyle w:val="1"/>
      </w:pPr>
      <w:r w:rsidRPr="001531CD">
        <w:t>3.</w:t>
      </w:r>
      <w:r w:rsidRPr="001531CD">
        <w:tab/>
        <w:t>A duplicate negotiable warehouse receipt issued to replace a lost or destroyed receipt shall:</w:t>
      </w:r>
    </w:p>
    <w:p w14:paraId="52532BA9" w14:textId="77777777" w:rsidR="003642E8" w:rsidRPr="001531CD" w:rsidRDefault="003642E8" w:rsidP="003642E8">
      <w:pPr>
        <w:pStyle w:val="a0"/>
      </w:pPr>
      <w:r w:rsidRPr="001531CD">
        <w:t>a.</w:t>
      </w:r>
      <w:r w:rsidRPr="001531CD">
        <w:tab/>
        <w:t xml:space="preserve">be marked </w:t>
      </w:r>
      <w:r w:rsidRPr="001531CD">
        <w:rPr>
          <w:iCs/>
        </w:rPr>
        <w:t>duplicate</w:t>
      </w:r>
      <w:r w:rsidRPr="001531CD">
        <w:t>;</w:t>
      </w:r>
    </w:p>
    <w:p w14:paraId="5BBECA49" w14:textId="77777777" w:rsidR="003642E8" w:rsidRPr="001531CD" w:rsidRDefault="003642E8" w:rsidP="003642E8">
      <w:pPr>
        <w:pStyle w:val="a0"/>
      </w:pPr>
      <w:r w:rsidRPr="001531CD">
        <w:t>b.</w:t>
      </w:r>
      <w:r w:rsidRPr="001531CD">
        <w:tab/>
        <w:t>be distributed as required under §131.C of this Part;</w:t>
      </w:r>
    </w:p>
    <w:p w14:paraId="41633A4C" w14:textId="77777777" w:rsidR="003642E8" w:rsidRPr="001531CD" w:rsidRDefault="003642E8" w:rsidP="003642E8">
      <w:pPr>
        <w:pStyle w:val="a0"/>
      </w:pPr>
      <w:r w:rsidRPr="001531CD">
        <w:t>c.</w:t>
      </w:r>
      <w:r w:rsidRPr="001531CD">
        <w:tab/>
        <w:t>contain the same terms and conditions as the lost or destroyed warehouse receipt; and</w:t>
      </w:r>
    </w:p>
    <w:p w14:paraId="16C03F0B" w14:textId="77777777" w:rsidR="003642E8" w:rsidRPr="001531CD" w:rsidRDefault="003642E8" w:rsidP="003642E8">
      <w:pPr>
        <w:pStyle w:val="a0"/>
      </w:pPr>
      <w:r w:rsidRPr="001531CD">
        <w:t>d.</w:t>
      </w:r>
      <w:r w:rsidRPr="001531CD">
        <w:tab/>
        <w:t>bear on its face the number and date of the warehouse receipt which it replaces.</w:t>
      </w:r>
    </w:p>
    <w:p w14:paraId="683F3CC5" w14:textId="77777777" w:rsidR="003642E8" w:rsidRPr="001531CD" w:rsidRDefault="00DF1121" w:rsidP="003642E8">
      <w:pPr>
        <w:pStyle w:val="1"/>
      </w:pPr>
      <w:r w:rsidRPr="001531CD">
        <w:t>4</w:t>
      </w:r>
      <w:r w:rsidR="003642E8" w:rsidRPr="001531CD">
        <w:t>.</w:t>
      </w:r>
      <w:r w:rsidR="003642E8" w:rsidRPr="001531CD">
        <w:tab/>
        <w:t>The warehouse shall retain both the green and the yellow copies of canceled warehouse receipts in numerical order in the warehouse records for a period of at least three years after date of cancellation.</w:t>
      </w:r>
    </w:p>
    <w:p w14:paraId="5D0B3F1C" w14:textId="77777777" w:rsidR="003642E8" w:rsidRPr="001531CD" w:rsidRDefault="003642E8" w:rsidP="003642E8">
      <w:pPr>
        <w:pStyle w:val="AuthorityNote"/>
      </w:pPr>
      <w:r w:rsidRPr="001531CD">
        <w:t>AUTHORITY NOTE:</w:t>
      </w:r>
      <w:r w:rsidRPr="001531CD">
        <w:tab/>
        <w:t>Promulgated in accordance with R.S. 3:3405, R.S. 3:3416, R.S. 3:3417 and R.S. 3:3418.</w:t>
      </w:r>
    </w:p>
    <w:p w14:paraId="13810472" w14:textId="77777777" w:rsidR="00CF626A" w:rsidRPr="001531CD" w:rsidRDefault="00CF626A" w:rsidP="003642E8">
      <w:pPr>
        <w:pStyle w:val="HistoricalNote"/>
      </w:pPr>
      <w:r w:rsidRPr="001531CD">
        <w:t>HISTORICAL NOTE:</w:t>
      </w:r>
      <w:r w:rsidRPr="001531CD">
        <w:tab/>
        <w:t>Promulgated by the Department of Agriculture, Office of Agro-Consumer Services, Agricultural Commodities Commission, LR 9:306 (May 1983), amended LR 11:229 (March 1985), amended by the Department of Agriculture and Forestry, Office of Agro-Consumer Services, Agricultural Commodities Commis</w:t>
      </w:r>
      <w:r w:rsidR="003642E8" w:rsidRPr="001531CD">
        <w:t>sion, LR 19:1302 (October 1993), amended by the Department of Agriculture and Forestry, Agricultural Commodities Commission, LR 37:506 (February 2011).</w:t>
      </w:r>
    </w:p>
    <w:p w14:paraId="579432C6" w14:textId="77777777" w:rsidR="003642E8" w:rsidRPr="001531CD" w:rsidRDefault="003642E8" w:rsidP="003642E8">
      <w:pPr>
        <w:pStyle w:val="Section"/>
      </w:pPr>
      <w:bookmarkStart w:id="2678" w:name="_Toc224819338"/>
      <w:bookmarkStart w:id="2679" w:name="TOC_SubC212"/>
      <w:bookmarkStart w:id="2680" w:name="_Toc256754968"/>
      <w:r w:rsidRPr="001531CD">
        <w:rPr>
          <w:szCs w:val="24"/>
        </w:rPr>
        <w:lastRenderedPageBreak/>
        <w:t>§134.</w:t>
      </w:r>
      <w:r w:rsidRPr="001531CD">
        <w:rPr>
          <w:szCs w:val="24"/>
        </w:rPr>
        <w:tab/>
      </w:r>
      <w:r w:rsidRPr="001531CD">
        <w:t>Electronic Warehouse Receipts (EWR): Validity; Format; Issuance; Rights and Obligations; Printing; Records Retained; Duplicates</w:t>
      </w:r>
      <w:bookmarkEnd w:id="2678"/>
    </w:p>
    <w:p w14:paraId="6B6CB9F5" w14:textId="77777777" w:rsidR="003642E8" w:rsidRPr="001531CD" w:rsidRDefault="003642E8" w:rsidP="003642E8">
      <w:pPr>
        <w:pStyle w:val="A"/>
      </w:pPr>
      <w:r w:rsidRPr="001531CD">
        <w:t>A.</w:t>
      </w:r>
      <w:r w:rsidRPr="001531CD">
        <w:tab/>
        <w:t>The issuance and transfer of warehouse receipts in electronic form are specifically authorized by this Part. Any such warehouse receipts shall have the same validity and enforceability, for all purposes, as those in paper form.</w:t>
      </w:r>
    </w:p>
    <w:p w14:paraId="4526D8A6" w14:textId="77777777" w:rsidR="003642E8" w:rsidRPr="001531CD" w:rsidRDefault="003642E8" w:rsidP="003642E8">
      <w:pPr>
        <w:pStyle w:val="A"/>
      </w:pPr>
      <w:r w:rsidRPr="001531CD">
        <w:t>B.</w:t>
      </w:r>
      <w:r w:rsidRPr="001531CD">
        <w:tab/>
        <w:t>An EWR shall be in the format prescribed in the applicable provider agreement.</w:t>
      </w:r>
    </w:p>
    <w:p w14:paraId="7E5240D4" w14:textId="77777777" w:rsidR="003642E8" w:rsidRPr="001531CD" w:rsidRDefault="003642E8" w:rsidP="003642E8">
      <w:pPr>
        <w:pStyle w:val="A"/>
      </w:pPr>
      <w:r w:rsidRPr="001531CD">
        <w:t>C.</w:t>
      </w:r>
      <w:r w:rsidRPr="001531CD">
        <w:tab/>
        <w:t>An EWR issued in accordance with the R.S. 3:3401-3425 shall not be denied legal effect, validity, or enforceability on the grounds that the information is generated, sent, received or stored by electronic or similar means.</w:t>
      </w:r>
    </w:p>
    <w:p w14:paraId="348DEDC4" w14:textId="77777777" w:rsidR="003642E8" w:rsidRPr="001531CD" w:rsidRDefault="003642E8" w:rsidP="003642E8">
      <w:pPr>
        <w:pStyle w:val="A"/>
      </w:pPr>
      <w:r w:rsidRPr="001531CD">
        <w:t>D.</w:t>
      </w:r>
      <w:r w:rsidRPr="001531CD">
        <w:tab/>
        <w:t>A warehouse shall not be required to issue a warehouse receipt in electronic form.</w:t>
      </w:r>
    </w:p>
    <w:p w14:paraId="43E74FA5" w14:textId="77777777" w:rsidR="003642E8" w:rsidRPr="001531CD" w:rsidRDefault="003642E8" w:rsidP="003642E8">
      <w:pPr>
        <w:pStyle w:val="A"/>
      </w:pPr>
      <w:r w:rsidRPr="001531CD">
        <w:t>E.</w:t>
      </w:r>
      <w:r w:rsidRPr="001531CD">
        <w:tab/>
        <w:t>If a warehouse licensed under R.S. 3:3401-3425 elects to issue EWRs, and if the depositor or other holder prefers a paper receipt, the warehouse shall cancel the EWR and issue a paper receipt.</w:t>
      </w:r>
    </w:p>
    <w:p w14:paraId="1BE745CF" w14:textId="77777777" w:rsidR="003642E8" w:rsidRPr="001531CD" w:rsidRDefault="003642E8" w:rsidP="003642E8">
      <w:pPr>
        <w:pStyle w:val="A"/>
      </w:pPr>
      <w:r w:rsidRPr="001531CD">
        <w:t>F.</w:t>
      </w:r>
      <w:r w:rsidRPr="001531CD">
        <w:tab/>
        <w:t>A warehouse operator intending to issue or issuing EWRs under the R.S. 3:3401-3425 shall:</w:t>
      </w:r>
    </w:p>
    <w:p w14:paraId="126DDA03" w14:textId="77777777" w:rsidR="003642E8" w:rsidRPr="001531CD" w:rsidRDefault="003642E8" w:rsidP="003642E8">
      <w:pPr>
        <w:pStyle w:val="1"/>
      </w:pPr>
      <w:r w:rsidRPr="001531CD">
        <w:t>1.</w:t>
      </w:r>
      <w:r w:rsidRPr="001531CD">
        <w:tab/>
        <w:t>issue an EWR through only one authorized provider annually;</w:t>
      </w:r>
    </w:p>
    <w:p w14:paraId="1B516754" w14:textId="77777777" w:rsidR="003642E8" w:rsidRPr="001531CD" w:rsidRDefault="003642E8" w:rsidP="003642E8">
      <w:pPr>
        <w:pStyle w:val="1"/>
      </w:pPr>
      <w:r w:rsidRPr="001531CD">
        <w:t>2.</w:t>
      </w:r>
      <w:r w:rsidRPr="001531CD">
        <w:tab/>
        <w:t>inform the department of the identity of its provider 60 calendar days in advance of first issuing an EWR through that provider. The department may waive or modify this 60-day requirement;</w:t>
      </w:r>
    </w:p>
    <w:p w14:paraId="1CF5CADF" w14:textId="77777777" w:rsidR="003642E8" w:rsidRPr="001531CD" w:rsidRDefault="003642E8" w:rsidP="003642E8">
      <w:pPr>
        <w:pStyle w:val="1"/>
      </w:pPr>
      <w:r w:rsidRPr="001531CD">
        <w:t>3.</w:t>
      </w:r>
      <w:r w:rsidRPr="001531CD">
        <w:tab/>
        <w:t>before issuing an EWR, request and receive from the department a range of consecutive warehouse receipt numbers that the warehouse will use consecutively for issuing their EWRs;</w:t>
      </w:r>
    </w:p>
    <w:p w14:paraId="1C74A02F" w14:textId="77777777" w:rsidR="003642E8" w:rsidRPr="001531CD" w:rsidRDefault="003642E8" w:rsidP="003642E8">
      <w:pPr>
        <w:pStyle w:val="1"/>
      </w:pPr>
      <w:r w:rsidRPr="001531CD">
        <w:t>4.</w:t>
      </w:r>
      <w:r w:rsidRPr="001531CD">
        <w:tab/>
        <w:t>cancel an EWR only when it is the holder of the EWR;</w:t>
      </w:r>
    </w:p>
    <w:p w14:paraId="4131F661" w14:textId="77777777" w:rsidR="003642E8" w:rsidRPr="001531CD" w:rsidRDefault="003642E8" w:rsidP="003642E8">
      <w:pPr>
        <w:pStyle w:val="1"/>
      </w:pPr>
      <w:r w:rsidRPr="001531CD">
        <w:t>5.</w:t>
      </w:r>
      <w:r w:rsidRPr="001531CD">
        <w:tab/>
        <w:t>receive written authorization from the department at least 30 calendar days before changing providers. Upon authorization, a warehouse may request its current provider to transfer, and that provider shall transfer, its EWR data from the current provider's CFS to the CFS of the authorized provider it selects;</w:t>
      </w:r>
    </w:p>
    <w:p w14:paraId="34C5AFC5" w14:textId="77777777" w:rsidR="003642E8" w:rsidRPr="001531CD" w:rsidRDefault="003642E8" w:rsidP="003642E8">
      <w:pPr>
        <w:pStyle w:val="1"/>
      </w:pPr>
      <w:r w:rsidRPr="001531CD">
        <w:t>6.</w:t>
      </w:r>
      <w:r w:rsidRPr="001531CD">
        <w:tab/>
        <w:t>notify all holders of EWRs in the CFS at least 30 calendar days before changing providers, unless otherwise allowed or required by FSA; and</w:t>
      </w:r>
    </w:p>
    <w:p w14:paraId="1EF4EBD0" w14:textId="77777777" w:rsidR="003642E8" w:rsidRPr="001531CD" w:rsidRDefault="003642E8" w:rsidP="003642E8">
      <w:pPr>
        <w:pStyle w:val="1"/>
      </w:pPr>
      <w:r w:rsidRPr="001531CD">
        <w:t>7.</w:t>
      </w:r>
      <w:r w:rsidRPr="001531CD">
        <w:tab/>
        <w:t>for purposes of §134.F.4 of this Part, the warehouse is considered a "holder" solely for the purpose of canceling an electronic warehouse receipt on the electronic warehouse receipt system and the warehouse shall in no way be considered the owner of the grain that was covered by the canceled electronic warehouse receipt, absent evidence of sale of that grain to the warehouse.</w:t>
      </w:r>
    </w:p>
    <w:p w14:paraId="35075CD6" w14:textId="77777777" w:rsidR="003642E8" w:rsidRPr="001531CD" w:rsidRDefault="003642E8" w:rsidP="003642E8">
      <w:pPr>
        <w:pStyle w:val="A"/>
      </w:pPr>
      <w:r w:rsidRPr="001531CD">
        <w:t>G.</w:t>
      </w:r>
      <w:r w:rsidRPr="001531CD">
        <w:tab/>
        <w:t xml:space="preserve">EWR Rights and Obligations. An EWR establishes the same rights and obligations with respect to an agricultural </w:t>
      </w:r>
      <w:r w:rsidRPr="001531CD">
        <w:t>product as a paper warehouse receipt and possesses the following attributes.</w:t>
      </w:r>
    </w:p>
    <w:p w14:paraId="76814226" w14:textId="77777777" w:rsidR="003642E8" w:rsidRPr="001531CD" w:rsidRDefault="003642E8" w:rsidP="003642E8">
      <w:pPr>
        <w:pStyle w:val="1"/>
      </w:pPr>
      <w:r w:rsidRPr="001531CD">
        <w:t>1.</w:t>
      </w:r>
      <w:r w:rsidRPr="001531CD">
        <w:tab/>
        <w:t>The holder of an EWR will be entitled to the same rights and privileges as the holders of a paper warehouse receipt.</w:t>
      </w:r>
    </w:p>
    <w:p w14:paraId="57D3A5C9" w14:textId="77777777" w:rsidR="003642E8" w:rsidRPr="001531CD" w:rsidRDefault="003642E8" w:rsidP="003642E8">
      <w:pPr>
        <w:pStyle w:val="1"/>
      </w:pPr>
      <w:r w:rsidRPr="001531CD">
        <w:t>2.</w:t>
      </w:r>
      <w:r w:rsidRPr="001531CD">
        <w:tab/>
        <w:t xml:space="preserve">Only the current holder of the EWR may transfer the EWR to a new holder. </w:t>
      </w:r>
    </w:p>
    <w:p w14:paraId="6D8C0521" w14:textId="77777777" w:rsidR="003642E8" w:rsidRPr="001531CD" w:rsidRDefault="003642E8" w:rsidP="003642E8">
      <w:pPr>
        <w:pStyle w:val="1"/>
      </w:pPr>
      <w:r w:rsidRPr="001531CD">
        <w:t>3.</w:t>
      </w:r>
      <w:r w:rsidRPr="001531CD">
        <w:tab/>
        <w:t>The identity of the holder shall be kept confidential by the provider.</w:t>
      </w:r>
    </w:p>
    <w:p w14:paraId="2FADBF85" w14:textId="77777777" w:rsidR="003642E8" w:rsidRPr="001531CD" w:rsidRDefault="003642E8" w:rsidP="003642E8">
      <w:pPr>
        <w:pStyle w:val="1"/>
      </w:pPr>
      <w:r w:rsidRPr="001531CD">
        <w:t>4.</w:t>
      </w:r>
      <w:r w:rsidRPr="001531CD">
        <w:tab/>
        <w:t>Only one person may be designated as the holder of an EWR at any one time.</w:t>
      </w:r>
    </w:p>
    <w:p w14:paraId="379926F6" w14:textId="77777777" w:rsidR="003642E8" w:rsidRPr="001531CD" w:rsidRDefault="003642E8" w:rsidP="003642E8">
      <w:pPr>
        <w:pStyle w:val="1"/>
      </w:pPr>
      <w:r w:rsidRPr="001531CD">
        <w:t>5.</w:t>
      </w:r>
      <w:r w:rsidRPr="001531CD">
        <w:tab/>
        <w:t>A warehouse operator may not issue an EWR on a specific identity-preserved or commingled lot of grain or any portion thereof while another valid warehouse receipt representing the same specific identity-preserved or commingled lot of grain remains not canceled. No two warehouse receipts issued by a warehouse may have the same warehouse receipt number or represent the same lot of grain.</w:t>
      </w:r>
    </w:p>
    <w:p w14:paraId="09787673" w14:textId="77777777" w:rsidR="003642E8" w:rsidRPr="001531CD" w:rsidRDefault="003642E8" w:rsidP="003642E8">
      <w:pPr>
        <w:pStyle w:val="1"/>
      </w:pPr>
      <w:r w:rsidRPr="001531CD">
        <w:t>6.</w:t>
      </w:r>
      <w:r w:rsidRPr="001531CD">
        <w:tab/>
        <w:t>Holders and warehouse operators may authorize any other user of their provider to act on their behalf with respect to their activities with this provider. This authorization shall be in writing and acknowledged and retained by the warehouse and provider.</w:t>
      </w:r>
    </w:p>
    <w:p w14:paraId="6D64CD67" w14:textId="77777777" w:rsidR="003642E8" w:rsidRPr="001531CD" w:rsidRDefault="003642E8" w:rsidP="009A6198">
      <w:pPr>
        <w:pStyle w:val="A"/>
        <w:keepNext/>
      </w:pPr>
      <w:r w:rsidRPr="001531CD">
        <w:t>H.</w:t>
      </w:r>
      <w:r w:rsidRPr="001531CD">
        <w:tab/>
      </w:r>
      <w:r w:rsidR="00662B71" w:rsidRPr="001531CD">
        <w:t>Printing</w:t>
      </w:r>
    </w:p>
    <w:p w14:paraId="4F28C807" w14:textId="77777777" w:rsidR="003642E8" w:rsidRPr="001531CD" w:rsidRDefault="003642E8" w:rsidP="009A6198">
      <w:pPr>
        <w:pStyle w:val="1"/>
        <w:keepNext/>
      </w:pPr>
      <w:r w:rsidRPr="001531CD">
        <w:t>1.</w:t>
      </w:r>
      <w:r w:rsidRPr="001531CD">
        <w:tab/>
        <w:t>Electronic warehouse receipts may be printed by a person authorized by the department. The department shall authorize persons to print warehouse receipts if they are printed in accordance with R.S. 3:3401-3425 and the regulations contained in this Part.</w:t>
      </w:r>
    </w:p>
    <w:p w14:paraId="6A8E85B0" w14:textId="77777777" w:rsidR="003642E8" w:rsidRPr="001531CD" w:rsidRDefault="003642E8" w:rsidP="003642E8">
      <w:pPr>
        <w:pStyle w:val="1"/>
      </w:pPr>
      <w:r w:rsidRPr="001531CD">
        <w:t>2.</w:t>
      </w:r>
      <w:r w:rsidRPr="001531CD">
        <w:tab/>
        <w:t xml:space="preserve">All electronic warehouse receipts shall be: </w:t>
      </w:r>
    </w:p>
    <w:p w14:paraId="78ABA646" w14:textId="77777777" w:rsidR="003642E8" w:rsidRPr="001531CD" w:rsidRDefault="003642E8" w:rsidP="003642E8">
      <w:pPr>
        <w:pStyle w:val="a0"/>
      </w:pPr>
      <w:r w:rsidRPr="001531CD">
        <w:t>a.</w:t>
      </w:r>
      <w:r w:rsidRPr="001531CD">
        <w:tab/>
        <w:t>printed only for licensee;</w:t>
      </w:r>
    </w:p>
    <w:p w14:paraId="6C16B680" w14:textId="77777777" w:rsidR="003642E8" w:rsidRPr="001531CD" w:rsidRDefault="003642E8" w:rsidP="003642E8">
      <w:pPr>
        <w:pStyle w:val="a0"/>
      </w:pPr>
      <w:r w:rsidRPr="001531CD">
        <w:t>b.</w:t>
      </w:r>
      <w:r w:rsidRPr="001531CD">
        <w:tab/>
        <w:t xml:space="preserve">numbered consecutively either at the time of printing or through the control of a computer generated system, and the numbers shall not be duplicated. </w:t>
      </w:r>
    </w:p>
    <w:p w14:paraId="3E643C12" w14:textId="77777777" w:rsidR="003642E8" w:rsidRPr="001531CD" w:rsidRDefault="003642E8" w:rsidP="003642E8">
      <w:pPr>
        <w:pStyle w:val="A"/>
      </w:pPr>
      <w:r w:rsidRPr="001531CD">
        <w:t>I.</w:t>
      </w:r>
      <w:r w:rsidRPr="001531CD">
        <w:tab/>
        <w:t xml:space="preserve">A complete record of receipts printed shall be retained by the person printing them for five years, showing for whom printed, the number printed, and the consecutive numbers that were printed on the receipts. </w:t>
      </w:r>
    </w:p>
    <w:p w14:paraId="266143DA" w14:textId="77777777" w:rsidR="003642E8" w:rsidRPr="001531CD" w:rsidRDefault="003642E8" w:rsidP="003642E8">
      <w:pPr>
        <w:pStyle w:val="A"/>
      </w:pPr>
      <w:r w:rsidRPr="001531CD">
        <w:t>J.</w:t>
      </w:r>
      <w:r w:rsidRPr="001531CD">
        <w:tab/>
        <w:t xml:space="preserve">A duplicate copy of any invoice rendered for printing warehouse receipts shall be forwarded by the person printing them to the department at the same time as billing is made to the warehouse. The invoice shall show for whom printed, the consecutive numbers that were printed on the receipts, type of receipt (whether negotiable or non-negotiable), and number of receipts printed. </w:t>
      </w:r>
    </w:p>
    <w:p w14:paraId="7C74B658" w14:textId="77777777" w:rsidR="003642E8" w:rsidRPr="001531CD" w:rsidRDefault="003642E8" w:rsidP="003642E8">
      <w:pPr>
        <w:pStyle w:val="AuthorityNote"/>
      </w:pPr>
      <w:r w:rsidRPr="001531CD">
        <w:t>AUTHORITY NOTE:</w:t>
      </w:r>
      <w:r w:rsidRPr="001531CD">
        <w:tab/>
        <w:t>Promulgated in accordance with R.S. 3:3405, R.S. 3:3416, R.S. 3:3417 and R.S. 3:3418.</w:t>
      </w:r>
    </w:p>
    <w:p w14:paraId="248437FF" w14:textId="77777777" w:rsidR="003642E8" w:rsidRPr="001531CD" w:rsidRDefault="003642E8" w:rsidP="003642E8">
      <w:pPr>
        <w:pStyle w:val="HistoricalNote"/>
      </w:pPr>
      <w:r w:rsidRPr="001531CD">
        <w:t>HISTORICAL NOTE:</w:t>
      </w:r>
      <w:r w:rsidRPr="001531CD">
        <w:tab/>
        <w:t>Promulgated by the Department of Agriculture and Forestry, Office of Agro-Consumer Services, Agricultural Commodities Commission, LR 37:506 (February 2011).</w:t>
      </w:r>
    </w:p>
    <w:p w14:paraId="7F64E602" w14:textId="77777777" w:rsidR="003642E8" w:rsidRPr="001531CD" w:rsidRDefault="003642E8" w:rsidP="003642E8">
      <w:pPr>
        <w:pStyle w:val="Chapter"/>
      </w:pPr>
      <w:bookmarkStart w:id="2681" w:name="_Toc235870234"/>
      <w:bookmarkStart w:id="2682" w:name="_Toc224819339"/>
      <w:bookmarkStart w:id="2683" w:name="_Toc256754969"/>
      <w:bookmarkEnd w:id="2679"/>
      <w:bookmarkEnd w:id="2680"/>
      <w:r w:rsidRPr="001531CD">
        <w:lastRenderedPageBreak/>
        <w:t>Subchapter H.</w:t>
      </w:r>
      <w:bookmarkStart w:id="2684" w:name="TOCT_SubC211"/>
      <w:bookmarkStart w:id="2685" w:name="TOCT_SubC212"/>
      <w:r w:rsidRPr="001531CD">
        <w:tab/>
        <w:t>Grading; Sampling; Out-of-Condition Commodities</w:t>
      </w:r>
      <w:bookmarkEnd w:id="2681"/>
      <w:bookmarkEnd w:id="2682"/>
      <w:bookmarkEnd w:id="2684"/>
      <w:bookmarkEnd w:id="2685"/>
    </w:p>
    <w:p w14:paraId="5CD8D9A7" w14:textId="77777777" w:rsidR="003642E8" w:rsidRPr="001531CD" w:rsidRDefault="003642E8" w:rsidP="003642E8">
      <w:pPr>
        <w:pStyle w:val="Section"/>
      </w:pPr>
      <w:bookmarkStart w:id="2686" w:name="_Toc235870235"/>
      <w:bookmarkStart w:id="2687" w:name="_Toc224819340"/>
      <w:bookmarkEnd w:id="2683"/>
      <w:r w:rsidRPr="001531CD">
        <w:t>§135.</w:t>
      </w:r>
      <w:r w:rsidRPr="001531CD">
        <w:tab/>
        <w:t>Elevators: Official Grades and Sampling</w:t>
      </w:r>
      <w:bookmarkEnd w:id="2686"/>
      <w:bookmarkEnd w:id="2687"/>
      <w:r w:rsidRPr="001531CD">
        <w:t xml:space="preserve"> </w:t>
      </w:r>
    </w:p>
    <w:p w14:paraId="0622D07C" w14:textId="77777777" w:rsidR="003642E8" w:rsidRPr="001531CD" w:rsidRDefault="003642E8" w:rsidP="003642E8">
      <w:pPr>
        <w:pStyle w:val="A"/>
      </w:pPr>
      <w:r w:rsidRPr="001531CD">
        <w:t>A.</w:t>
      </w:r>
      <w:r w:rsidRPr="001531CD">
        <w:tab/>
        <w:t>All agricultural commodities shall be graded and sampled in accordance with official USDA grading standards, as detailed in The Official United States Standards for Grain handbook.</w:t>
      </w:r>
    </w:p>
    <w:p w14:paraId="00A4DF58" w14:textId="77777777" w:rsidR="003642E8" w:rsidRPr="001531CD" w:rsidRDefault="003642E8" w:rsidP="003642E8">
      <w:pPr>
        <w:pStyle w:val="A"/>
      </w:pPr>
      <w:r w:rsidRPr="001531CD">
        <w:t>B.</w:t>
      </w:r>
      <w:r w:rsidRPr="001531CD">
        <w:tab/>
        <w:t>Procedures that result in equivalent results to USDA procedures are acceptable.</w:t>
      </w:r>
    </w:p>
    <w:p w14:paraId="5018F295" w14:textId="77777777" w:rsidR="007736D6" w:rsidRPr="004B4DA6" w:rsidRDefault="003642E8" w:rsidP="007736D6">
      <w:pPr>
        <w:pStyle w:val="A"/>
      </w:pPr>
      <w:r w:rsidRPr="001531CD">
        <w:t>C.</w:t>
      </w:r>
      <w:r w:rsidRPr="001531CD">
        <w:tab/>
      </w:r>
      <w:r w:rsidR="007736D6" w:rsidRPr="004B4DA6">
        <w:t>Requirements for Certification as an Elevator Grain Sampler and/or Grader</w:t>
      </w:r>
    </w:p>
    <w:p w14:paraId="681F2022" w14:textId="77777777" w:rsidR="007736D6" w:rsidRPr="004B4DA6" w:rsidRDefault="007736D6" w:rsidP="007736D6">
      <w:pPr>
        <w:pStyle w:val="1"/>
      </w:pPr>
      <w:r w:rsidRPr="004B4DA6">
        <w:t>1.</w:t>
      </w:r>
      <w:r w:rsidRPr="004B4DA6">
        <w:tab/>
        <w:t>All grain shall be graded by a state or federally certified grader.</w:t>
      </w:r>
    </w:p>
    <w:p w14:paraId="0D20B423" w14:textId="77777777" w:rsidR="007736D6" w:rsidRPr="004B4DA6" w:rsidRDefault="007736D6" w:rsidP="007736D6">
      <w:pPr>
        <w:pStyle w:val="1"/>
      </w:pPr>
      <w:r>
        <w:t>2.</w:t>
      </w:r>
      <w:r>
        <w:tab/>
        <w:t>The c</w:t>
      </w:r>
      <w:r w:rsidRPr="004B4DA6">
        <w:t xml:space="preserve">ommission shall be responsible for the certification of grain samplers and graders. </w:t>
      </w:r>
    </w:p>
    <w:p w14:paraId="3AAB58E3" w14:textId="77777777" w:rsidR="007736D6" w:rsidRPr="004B4DA6" w:rsidRDefault="007736D6" w:rsidP="007736D6">
      <w:pPr>
        <w:pStyle w:val="1"/>
      </w:pPr>
      <w:r w:rsidRPr="004B4DA6">
        <w:t>3.</w:t>
      </w:r>
      <w:r w:rsidRPr="004B4DA6">
        <w:tab/>
        <w:t>All persons interested in being certified to grade or sample grain for an elevator shall apply on a form which shall be provided by the commission.</w:t>
      </w:r>
    </w:p>
    <w:p w14:paraId="5A7DE2D1" w14:textId="77777777" w:rsidR="007736D6" w:rsidRPr="004B4DA6" w:rsidRDefault="007736D6" w:rsidP="007736D6">
      <w:pPr>
        <w:pStyle w:val="1"/>
      </w:pPr>
      <w:r w:rsidRPr="004B4DA6">
        <w:t>4.</w:t>
      </w:r>
      <w:r w:rsidRPr="004B4DA6">
        <w:tab/>
        <w:t>All applicants shall be trained by a federally certified grader employed by the department.</w:t>
      </w:r>
    </w:p>
    <w:p w14:paraId="2A734A69" w14:textId="77777777" w:rsidR="007736D6" w:rsidRPr="004B4DA6" w:rsidRDefault="007736D6" w:rsidP="007736D6">
      <w:pPr>
        <w:pStyle w:val="1"/>
      </w:pPr>
      <w:r>
        <w:t>5.</w:t>
      </w:r>
      <w:r>
        <w:tab/>
      </w:r>
      <w:r w:rsidRPr="004B4DA6">
        <w:t>All applicants shall pass an examination which shall be given by the department. The examination fee shall be $5 and shall be submitted with the application. If the applicant successfully completes the examination, he will be required to pay a $25 fee in order to be certified.</w:t>
      </w:r>
    </w:p>
    <w:p w14:paraId="23FA79DC" w14:textId="77777777" w:rsidR="007736D6" w:rsidRPr="004B4DA6" w:rsidRDefault="007736D6" w:rsidP="007736D6">
      <w:pPr>
        <w:pStyle w:val="1"/>
      </w:pPr>
      <w:r>
        <w:t>6.</w:t>
      </w:r>
      <w:r w:rsidRPr="004B4DA6">
        <w:tab/>
        <w:t>Each person that has been certified and whose certification has not been revoked or suspended may renew that certification by applying to renew with a fee of $25.</w:t>
      </w:r>
    </w:p>
    <w:p w14:paraId="5B21ACFC" w14:textId="77777777" w:rsidR="007736D6" w:rsidRPr="004B4DA6" w:rsidRDefault="007736D6" w:rsidP="007736D6">
      <w:pPr>
        <w:pStyle w:val="1"/>
      </w:pPr>
      <w:r w:rsidRPr="004B4DA6">
        <w:t>7.</w:t>
      </w:r>
      <w:r w:rsidRPr="004B4DA6">
        <w:tab/>
        <w:t>All certifications shall expire on December 31 of each year and shall be renewed annually.</w:t>
      </w:r>
    </w:p>
    <w:p w14:paraId="35F62500" w14:textId="77777777" w:rsidR="007736D6" w:rsidRPr="004B4DA6" w:rsidRDefault="007736D6" w:rsidP="007736D6">
      <w:pPr>
        <w:pStyle w:val="1"/>
      </w:pPr>
      <w:r w:rsidRPr="004B4DA6">
        <w:t>8.</w:t>
      </w:r>
      <w:r w:rsidRPr="004B4DA6">
        <w:tab/>
        <w:t>The grain grader license number issued by the department shall be displayed at t</w:t>
      </w:r>
      <w:r>
        <w:t>he grain elevator at all times.</w:t>
      </w:r>
    </w:p>
    <w:p w14:paraId="3EF64897" w14:textId="77777777" w:rsidR="007736D6" w:rsidRPr="004B4DA6" w:rsidRDefault="007736D6" w:rsidP="007736D6">
      <w:pPr>
        <w:pStyle w:val="1"/>
      </w:pPr>
      <w:r w:rsidRPr="004B4DA6">
        <w:t>9.</w:t>
      </w:r>
      <w:r w:rsidRPr="004B4DA6">
        <w:tab/>
        <w:t>The grain grader license number as well as the weighmaster license number that verified the weight of the grain load shall be displayed on each g</w:t>
      </w:r>
      <w:r>
        <w:t xml:space="preserve">rain grading and scale ticket. </w:t>
      </w:r>
    </w:p>
    <w:p w14:paraId="094BAFA9" w14:textId="77777777" w:rsidR="007736D6" w:rsidRPr="004B4DA6" w:rsidRDefault="007736D6" w:rsidP="007736D6">
      <w:pPr>
        <w:pStyle w:val="A"/>
      </w:pPr>
      <w:r w:rsidRPr="004B4DA6">
        <w:t>D.</w:t>
      </w:r>
      <w:r w:rsidRPr="004B4DA6">
        <w:tab/>
        <w:t>Grain samplers and graders may have his or her state certification suspended or revoked for failure to comply with the provisions of this Section by a ruling of the commission based upon an adjudicatory hearing held in accordance with the Administrative Procedure Act, R.S. 49:950, et seq.</w:t>
      </w:r>
    </w:p>
    <w:p w14:paraId="379EA1F7" w14:textId="77777777" w:rsidR="003642E8" w:rsidRPr="001531CD" w:rsidRDefault="007736D6" w:rsidP="007736D6">
      <w:pPr>
        <w:pStyle w:val="A"/>
      </w:pPr>
      <w:r w:rsidRPr="004B4DA6">
        <w:t>E.</w:t>
      </w:r>
      <w:r w:rsidRPr="004B4DA6">
        <w:tab/>
        <w:t>The commission shall be required to provide each grain dealer with a copy of all changes to USDA standards prior to the effective date of such changes.</w:t>
      </w:r>
    </w:p>
    <w:p w14:paraId="5BB843B7" w14:textId="77777777" w:rsidR="00CF626A" w:rsidRPr="001531CD" w:rsidRDefault="003642E8" w:rsidP="003642E8">
      <w:pPr>
        <w:pStyle w:val="AuthorityNote"/>
      </w:pPr>
      <w:r w:rsidRPr="001531CD">
        <w:t>AUTHORITY NOTE:</w:t>
      </w:r>
      <w:r w:rsidRPr="001531CD">
        <w:tab/>
        <w:t>Promulgated in accordance with R.S.3:3405 and R.S. 3:3414.3</w:t>
      </w:r>
    </w:p>
    <w:p w14:paraId="470AAC28"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9:309 (May 1983), amended LR 12:288 (May 1986</w:t>
      </w:r>
      <w:r w:rsidR="003642E8" w:rsidRPr="001531CD">
        <w:t xml:space="preserve">), amended LR 12:288 (May 1986), amended by the Department of Agriculture and Forestry, Agricultural </w:t>
      </w:r>
      <w:r w:rsidR="003642E8" w:rsidRPr="001531CD">
        <w:t>Commodities Commission, LR 37:507 (February 2011</w:t>
      </w:r>
      <w:r w:rsidR="007736D6" w:rsidRPr="004B4DA6">
        <w:t>)</w:t>
      </w:r>
      <w:r w:rsidR="007736D6">
        <w:t>, LR 49:2073 (December 2023).</w:t>
      </w:r>
    </w:p>
    <w:p w14:paraId="7F7B4ADA" w14:textId="77777777" w:rsidR="003642E8" w:rsidRPr="001531CD" w:rsidRDefault="003642E8" w:rsidP="003642E8">
      <w:pPr>
        <w:pStyle w:val="Section"/>
      </w:pPr>
      <w:bookmarkStart w:id="2688" w:name="_Toc235870236"/>
      <w:bookmarkStart w:id="2689" w:name="_Toc224819341"/>
      <w:r w:rsidRPr="001531CD">
        <w:t>§136.</w:t>
      </w:r>
      <w:r w:rsidRPr="001531CD">
        <w:tab/>
        <w:t>State Official Grain Inspections</w:t>
      </w:r>
      <w:bookmarkEnd w:id="2688"/>
      <w:bookmarkEnd w:id="2689"/>
    </w:p>
    <w:p w14:paraId="37F3829C" w14:textId="77777777" w:rsidR="003642E8" w:rsidRPr="001531CD" w:rsidRDefault="003642E8" w:rsidP="003642E8">
      <w:pPr>
        <w:pStyle w:val="A"/>
      </w:pPr>
      <w:r w:rsidRPr="001531CD">
        <w:t>A.</w:t>
      </w:r>
      <w:r w:rsidRPr="001531CD">
        <w:tab/>
        <w:t xml:space="preserve">Standards established in </w:t>
      </w:r>
      <w:r w:rsidRPr="001531CD">
        <w:rPr>
          <w:i/>
          <w:iCs/>
        </w:rPr>
        <w:t>Regulations Under the United States Grain Standard Act, As Amended</w:t>
      </w:r>
      <w:r w:rsidRPr="001531CD">
        <w:t>, USDA, Federal Grain Inspection Service (CFR, Title 7, Chapter VIII, Pt. 800 (Section 800.0 to 800.219), 801 (Section 801.1-801.12), 802 (Section 802.0 to 802.13), and 810 (Section 810.201 to 810.555), shall apply to all Department of Agriculture and Forestry grain inspections.</w:t>
      </w:r>
    </w:p>
    <w:p w14:paraId="13E6666D" w14:textId="77777777" w:rsidR="00CF626A" w:rsidRPr="001531CD" w:rsidRDefault="003642E8" w:rsidP="003642E8">
      <w:pPr>
        <w:pStyle w:val="AuthorityNote"/>
      </w:pPr>
      <w:r w:rsidRPr="001531CD">
        <w:t>AUTHORITY NOTE:</w:t>
      </w:r>
      <w:r w:rsidRPr="001531CD">
        <w:tab/>
        <w:t xml:space="preserve">Promulgated in accordance with R.S.3:3405 and R.S. 3:3414.3. </w:t>
      </w:r>
    </w:p>
    <w:p w14:paraId="08F42F94" w14:textId="77777777" w:rsidR="00CF626A" w:rsidRPr="001531CD" w:rsidRDefault="00CF626A">
      <w:pPr>
        <w:pStyle w:val="HistoricalNote"/>
      </w:pPr>
      <w:r w:rsidRPr="001531CD">
        <w:t>HISTORICAL NOTE:</w:t>
      </w:r>
      <w:r w:rsidRPr="001531CD">
        <w:tab/>
        <w:t>Promulgated by the Louisiana Department of Agriculture, Office of Agro-Consumer Services, Agricultural Commodities C</w:t>
      </w:r>
      <w:r w:rsidR="003642E8" w:rsidRPr="001531CD">
        <w:t>ommission, LR 12:288 (May 1986), amended by the Department of Agriculture and Forestry, Agricultural Commodities Commission, LR 37:507 (February 2011).</w:t>
      </w:r>
    </w:p>
    <w:p w14:paraId="1AD1FB4A" w14:textId="77777777" w:rsidR="003642E8" w:rsidRPr="001531CD" w:rsidRDefault="003642E8" w:rsidP="003642E8">
      <w:pPr>
        <w:pStyle w:val="Section"/>
      </w:pPr>
      <w:bookmarkStart w:id="2690" w:name="_Toc235870237"/>
      <w:bookmarkStart w:id="2691" w:name="_Toc224819342"/>
      <w:r w:rsidRPr="001531CD">
        <w:t>§137.</w:t>
      </w:r>
      <w:r w:rsidRPr="001531CD">
        <w:tab/>
        <w:t>Out-of-Condition Commodities</w:t>
      </w:r>
      <w:bookmarkEnd w:id="2690"/>
      <w:bookmarkEnd w:id="2691"/>
    </w:p>
    <w:p w14:paraId="04A1F40B" w14:textId="77777777" w:rsidR="003642E8" w:rsidRPr="001531CD" w:rsidRDefault="003642E8" w:rsidP="003642E8">
      <w:pPr>
        <w:pStyle w:val="A"/>
      </w:pPr>
      <w:r w:rsidRPr="001531CD">
        <w:t>A.</w:t>
      </w:r>
      <w:r w:rsidRPr="001531CD">
        <w:tab/>
        <w:t>If a warehouse operator has reason to believe that any identity-preserved commodities are out-of-condition, or are becoming out-of-condition, he shall give immediate notice of such fact to the director of the commission and to the owner of the commodities.</w:t>
      </w:r>
    </w:p>
    <w:p w14:paraId="541BF946" w14:textId="77777777" w:rsidR="003642E8" w:rsidRPr="001531CD" w:rsidRDefault="003642E8" w:rsidP="003642E8">
      <w:pPr>
        <w:pStyle w:val="A"/>
      </w:pPr>
      <w:r w:rsidRPr="001531CD">
        <w:t>B.</w:t>
      </w:r>
      <w:r w:rsidRPr="001531CD">
        <w:tab/>
        <w:t>The director shall immediately send a representative to the warehouse to determine whether out-of-condition commodities shall be cleaned, at the cost of the warehouse, or disposed of as the law permits and the circumstances require.</w:t>
      </w:r>
    </w:p>
    <w:p w14:paraId="5036E3DF" w14:textId="77777777" w:rsidR="003642E8" w:rsidRPr="001531CD" w:rsidRDefault="003642E8" w:rsidP="003642E8">
      <w:pPr>
        <w:pStyle w:val="A"/>
      </w:pPr>
      <w:r w:rsidRPr="001531CD">
        <w:t>C.</w:t>
      </w:r>
      <w:r w:rsidRPr="001531CD">
        <w:tab/>
        <w:t>The storer of such commodities shall notify the warehouse operator, within 24 hours after receipt of notice, of the disposition to be made of such commodities. If the storer of the commodities fails to make such notice to the warehouse operator, the warehouse operator may dispose of the commodities as authorized by the commission.</w:t>
      </w:r>
    </w:p>
    <w:p w14:paraId="64D0BC00" w14:textId="77777777" w:rsidR="00CF626A" w:rsidRPr="001531CD" w:rsidRDefault="003642E8" w:rsidP="003642E8">
      <w:pPr>
        <w:pStyle w:val="AuthorityNote"/>
      </w:pPr>
      <w:r w:rsidRPr="001531CD">
        <w:t>AUTHORITY NOTE:</w:t>
      </w:r>
      <w:r w:rsidRPr="001531CD">
        <w:tab/>
        <w:t xml:space="preserve">Promulgated in accordance with R.S. 3:3405. </w:t>
      </w:r>
    </w:p>
    <w:p w14:paraId="36C92B9C" w14:textId="77777777" w:rsidR="003642E8" w:rsidRPr="001531CD" w:rsidRDefault="00CF626A" w:rsidP="003642E8">
      <w:pPr>
        <w:pStyle w:val="HistoricalNote"/>
      </w:pPr>
      <w:r w:rsidRPr="001531CD">
        <w:t>HISTORICAL NOTE:</w:t>
      </w:r>
      <w:r w:rsidRPr="001531CD">
        <w:tab/>
        <w:t>Promulgated by the Department of Agriculture, Office of Agro-Consumer Services, Agricultural Commodities Commission, LR 9:</w:t>
      </w:r>
      <w:r w:rsidR="003642E8" w:rsidRPr="001531CD">
        <w:t>309 (May 1983), amended by the Department of Agriculture and Forestry, Agricultural Commodities Commission, LR 37:507 (February 2011).</w:t>
      </w:r>
    </w:p>
    <w:p w14:paraId="5E9AD0D1" w14:textId="77777777" w:rsidR="003642E8" w:rsidRPr="001531CD" w:rsidRDefault="003642E8" w:rsidP="003642E8">
      <w:pPr>
        <w:pStyle w:val="Chapter"/>
      </w:pPr>
      <w:bookmarkStart w:id="2692" w:name="TOC_SubC214"/>
      <w:bookmarkStart w:id="2693" w:name="_Toc235870238"/>
      <w:bookmarkStart w:id="2694" w:name="_Toc224819343"/>
      <w:r w:rsidRPr="001531CD">
        <w:t>Subchapter I.</w:t>
      </w:r>
      <w:bookmarkStart w:id="2695" w:name="TOCT_SubC213"/>
      <w:bookmarkStart w:id="2696" w:name="TOCT_SubC214"/>
      <w:bookmarkEnd w:id="2692"/>
      <w:r w:rsidRPr="001531CD">
        <w:tab/>
        <w:t>Records and Reports</w:t>
      </w:r>
      <w:bookmarkEnd w:id="2693"/>
      <w:bookmarkEnd w:id="2694"/>
      <w:bookmarkEnd w:id="2695"/>
      <w:bookmarkEnd w:id="2696"/>
    </w:p>
    <w:p w14:paraId="7449D743" w14:textId="77777777" w:rsidR="003642E8" w:rsidRPr="001531CD" w:rsidRDefault="003642E8" w:rsidP="003642E8">
      <w:pPr>
        <w:pStyle w:val="Section"/>
      </w:pPr>
      <w:bookmarkStart w:id="2697" w:name="_Toc235870239"/>
      <w:bookmarkStart w:id="2698" w:name="_Toc224819344"/>
      <w:r w:rsidRPr="001531CD">
        <w:t>§141.</w:t>
      </w:r>
      <w:r w:rsidRPr="001531CD">
        <w:tab/>
        <w:t>Records Required to be Maintained</w:t>
      </w:r>
      <w:bookmarkEnd w:id="2697"/>
      <w:bookmarkEnd w:id="2698"/>
    </w:p>
    <w:p w14:paraId="4FD41069" w14:textId="77777777" w:rsidR="003642E8" w:rsidRPr="001531CD" w:rsidRDefault="003642E8" w:rsidP="003642E8">
      <w:pPr>
        <w:pStyle w:val="A"/>
      </w:pPr>
      <w:r w:rsidRPr="001531CD">
        <w:t>A.</w:t>
      </w:r>
      <w:r w:rsidRPr="001531CD">
        <w:tab/>
      </w:r>
      <w:r w:rsidR="007A0DCF" w:rsidRPr="00B96639">
        <w:t>Each grain dealer, cotton merchant and warehouse shall maintain the following records, when applicable to the commodity stored or traded, on a current basis in the company's principal office in this state at all times:</w:t>
      </w:r>
    </w:p>
    <w:p w14:paraId="15867BB7" w14:textId="77777777" w:rsidR="007A0DCF" w:rsidRPr="00B96639" w:rsidRDefault="007A0DCF" w:rsidP="007A0DCF">
      <w:pPr>
        <w:pStyle w:val="1"/>
      </w:pPr>
      <w:r w:rsidRPr="00B96639">
        <w:t>1.</w:t>
      </w:r>
      <w:r w:rsidRPr="00B96639">
        <w:tab/>
        <w:t>current financial statement;</w:t>
      </w:r>
    </w:p>
    <w:p w14:paraId="6344E0B6" w14:textId="77777777" w:rsidR="007A0DCF" w:rsidRPr="00B96639" w:rsidRDefault="007A0DCF" w:rsidP="007A0DCF">
      <w:pPr>
        <w:pStyle w:val="1"/>
      </w:pPr>
      <w:r w:rsidRPr="00B96639">
        <w:t>2.</w:t>
      </w:r>
      <w:r w:rsidRPr="00B96639">
        <w:tab/>
        <w:t>bank statements;</w:t>
      </w:r>
    </w:p>
    <w:p w14:paraId="646DA006" w14:textId="77777777" w:rsidR="007A0DCF" w:rsidRPr="00B96639" w:rsidRDefault="007A0DCF" w:rsidP="007A0DCF">
      <w:pPr>
        <w:pStyle w:val="1"/>
      </w:pPr>
      <w:r w:rsidRPr="00B96639">
        <w:t>3.</w:t>
      </w:r>
      <w:r w:rsidRPr="00B96639">
        <w:tab/>
        <w:t>bank reconciliations;</w:t>
      </w:r>
    </w:p>
    <w:p w14:paraId="5CA0F453" w14:textId="77777777" w:rsidR="007A0DCF" w:rsidRPr="00B96639" w:rsidRDefault="007A0DCF" w:rsidP="007A0DCF">
      <w:pPr>
        <w:pStyle w:val="1"/>
      </w:pPr>
      <w:r w:rsidRPr="00B96639">
        <w:t>4.</w:t>
      </w:r>
      <w:r w:rsidRPr="00B96639">
        <w:tab/>
        <w:t>broker's statements;</w:t>
      </w:r>
    </w:p>
    <w:p w14:paraId="25C9EE71" w14:textId="77777777" w:rsidR="007A0DCF" w:rsidRPr="00B96639" w:rsidRDefault="007A0DCF" w:rsidP="007A0DCF">
      <w:pPr>
        <w:pStyle w:val="1"/>
      </w:pPr>
      <w:r w:rsidRPr="00B96639">
        <w:t>5.</w:t>
      </w:r>
      <w:r w:rsidRPr="00B96639">
        <w:tab/>
        <w:t>current listing of unpriced commodities;</w:t>
      </w:r>
    </w:p>
    <w:p w14:paraId="4ECD3A2B" w14:textId="77777777" w:rsidR="007A0DCF" w:rsidRPr="00B96639" w:rsidRDefault="007A0DCF" w:rsidP="007A0DCF">
      <w:pPr>
        <w:pStyle w:val="1"/>
      </w:pPr>
      <w:r w:rsidRPr="00B96639">
        <w:t>6.</w:t>
      </w:r>
      <w:r w:rsidRPr="00B96639">
        <w:tab/>
        <w:t>sequential record of all scale tickets;</w:t>
      </w:r>
    </w:p>
    <w:p w14:paraId="323D6AA6" w14:textId="77777777" w:rsidR="007A0DCF" w:rsidRPr="00B96639" w:rsidRDefault="007A0DCF" w:rsidP="007A0DCF">
      <w:pPr>
        <w:pStyle w:val="1"/>
      </w:pPr>
      <w:r w:rsidRPr="00B96639">
        <w:lastRenderedPageBreak/>
        <w:t>7.</w:t>
      </w:r>
      <w:r w:rsidRPr="00B96639">
        <w:tab/>
        <w:t>sequential record of all warehouse receipts;</w:t>
      </w:r>
    </w:p>
    <w:p w14:paraId="793132C6" w14:textId="77777777" w:rsidR="007A0DCF" w:rsidRPr="00B96639" w:rsidRDefault="007A0DCF" w:rsidP="007A0DCF">
      <w:pPr>
        <w:pStyle w:val="1"/>
      </w:pPr>
      <w:r w:rsidRPr="00B96639">
        <w:t>8.</w:t>
      </w:r>
      <w:r w:rsidRPr="00B96639">
        <w:tab/>
        <w:t>settlement or distribution sheets;</w:t>
      </w:r>
    </w:p>
    <w:p w14:paraId="6F75D947" w14:textId="77777777" w:rsidR="007A0DCF" w:rsidRPr="00B96639" w:rsidRDefault="007A0DCF" w:rsidP="007A0DCF">
      <w:pPr>
        <w:pStyle w:val="1"/>
      </w:pPr>
      <w:r w:rsidRPr="00B96639">
        <w:t>9.</w:t>
      </w:r>
      <w:r w:rsidRPr="00B96639">
        <w:tab/>
        <w:t>weight sheets;</w:t>
      </w:r>
    </w:p>
    <w:p w14:paraId="171D62AB" w14:textId="77777777" w:rsidR="007A0DCF" w:rsidRPr="00B96639" w:rsidRDefault="007A0DCF" w:rsidP="007A0DCF">
      <w:pPr>
        <w:pStyle w:val="1"/>
      </w:pPr>
      <w:r w:rsidRPr="00B96639">
        <w:t>10.</w:t>
      </w:r>
      <w:r w:rsidRPr="00B96639">
        <w:tab/>
        <w:t>perpetual inventory record;</w:t>
      </w:r>
    </w:p>
    <w:p w14:paraId="5D5F06EC" w14:textId="77777777" w:rsidR="007A0DCF" w:rsidRPr="00B96639" w:rsidRDefault="007A0DCF" w:rsidP="007A0DCF">
      <w:pPr>
        <w:pStyle w:val="1"/>
      </w:pPr>
      <w:r w:rsidRPr="00B96639">
        <w:t>11.</w:t>
      </w:r>
      <w:r w:rsidRPr="00B96639">
        <w:tab/>
        <w:t>insurance file, including copies of monthly reports to the carrier;</w:t>
      </w:r>
    </w:p>
    <w:p w14:paraId="21996C8B" w14:textId="77777777" w:rsidR="007A0DCF" w:rsidRPr="00B96639" w:rsidRDefault="007A0DCF" w:rsidP="007A0DCF">
      <w:pPr>
        <w:pStyle w:val="1"/>
      </w:pPr>
      <w:r w:rsidRPr="00B96639">
        <w:t>12.</w:t>
      </w:r>
      <w:r w:rsidRPr="00B96639">
        <w:tab/>
        <w:t>record of all assessments collected and remitted;</w:t>
      </w:r>
    </w:p>
    <w:p w14:paraId="15E5DE0D" w14:textId="77777777" w:rsidR="007A0DCF" w:rsidRPr="00B96639" w:rsidRDefault="007A0DCF" w:rsidP="007A0DCF">
      <w:pPr>
        <w:pStyle w:val="1"/>
      </w:pPr>
      <w:r w:rsidRPr="00B96639">
        <w:t>13.</w:t>
      </w:r>
      <w:r w:rsidRPr="00B96639">
        <w:tab/>
        <w:t>copies of all outstanding contracts;</w:t>
      </w:r>
    </w:p>
    <w:p w14:paraId="2E844C20" w14:textId="77777777" w:rsidR="007A0DCF" w:rsidRPr="00B96639" w:rsidRDefault="007A0DCF" w:rsidP="007A0DCF">
      <w:pPr>
        <w:pStyle w:val="1"/>
      </w:pPr>
      <w:r w:rsidRPr="00B96639">
        <w:t>14.</w:t>
      </w:r>
      <w:r w:rsidRPr="00B96639">
        <w:tab/>
        <w:t>copies of all outstanding notes and mortgages affecting the business;</w:t>
      </w:r>
    </w:p>
    <w:p w14:paraId="24693255" w14:textId="77777777" w:rsidR="003642E8" w:rsidRPr="001531CD" w:rsidRDefault="007A0DCF" w:rsidP="007A0DCF">
      <w:pPr>
        <w:pStyle w:val="1"/>
      </w:pPr>
      <w:r w:rsidRPr="00B96639">
        <w:t>15.</w:t>
      </w:r>
      <w:r w:rsidRPr="00B96639">
        <w:tab/>
      </w:r>
      <w:r w:rsidRPr="00C23B9D">
        <w:t>a sample of each lot of grain, which contains</w:t>
      </w:r>
      <w:r w:rsidRPr="00B96639">
        <w:t xml:space="preserve"> grade factors equal to the level set forth for U.S. Sample Grade for each grain as published by the U.S. Department of Agriculture, Grain Inspection, Packers and Stockyards Administration, shall be:</w:t>
      </w:r>
    </w:p>
    <w:p w14:paraId="72BC9E06" w14:textId="77777777" w:rsidR="007A0DCF" w:rsidRPr="00B96639" w:rsidRDefault="007A0DCF" w:rsidP="007A0DCF">
      <w:pPr>
        <w:pStyle w:val="a0"/>
      </w:pPr>
      <w:r w:rsidRPr="00B96639">
        <w:t>a.</w:t>
      </w:r>
      <w:r w:rsidRPr="00B96639">
        <w:tab/>
        <w:t>maintained for five days from the original grade date; and</w:t>
      </w:r>
    </w:p>
    <w:p w14:paraId="49074065" w14:textId="77777777" w:rsidR="003642E8" w:rsidRPr="001531CD" w:rsidRDefault="007A0DCF" w:rsidP="007A0DCF">
      <w:pPr>
        <w:pStyle w:val="a0"/>
      </w:pPr>
      <w:r w:rsidRPr="00B96639">
        <w:t>b.</w:t>
      </w:r>
      <w:r w:rsidRPr="00B96639">
        <w:tab/>
        <w:t>maintained in separate containers.</w:t>
      </w:r>
    </w:p>
    <w:p w14:paraId="363E320B" w14:textId="77777777" w:rsidR="00D84B9B" w:rsidRPr="001531CD" w:rsidRDefault="003642E8" w:rsidP="003642E8">
      <w:pPr>
        <w:pStyle w:val="AuthorityNote"/>
      </w:pPr>
      <w:r w:rsidRPr="001531CD">
        <w:t>AUTHORITY NOTE:</w:t>
      </w:r>
      <w:r w:rsidRPr="001531CD">
        <w:tab/>
      </w:r>
      <w:r w:rsidR="007A0DCF" w:rsidRPr="00B96639">
        <w:t>Promulgated in accordance with R.S. 3:3405, R.S. 3:3419 and R.S. 3:3414.3.</w:t>
      </w:r>
    </w:p>
    <w:p w14:paraId="0B129130"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9:309 (May 1983), amended LR 12:288 (May 1986), amended by the Department of Agriculture and Forestry, Office of the Commissioner, LR 24:625</w:t>
      </w:r>
      <w:r w:rsidR="00D84B9B" w:rsidRPr="001531CD">
        <w:t xml:space="preserve"> (April 19</w:t>
      </w:r>
      <w:r w:rsidR="003642E8" w:rsidRPr="001531CD">
        <w:t>98), LR 35:2311 (November 2009), amended by the Department of Agriculture and Forestry, Agricultural Commodities Commission, LR 37:508 (February 2011)</w:t>
      </w:r>
      <w:r w:rsidR="007A0DCF">
        <w:t xml:space="preserve">, </w:t>
      </w:r>
      <w:r w:rsidR="007A0DCF" w:rsidRPr="00B96639">
        <w:t>LR 4</w:t>
      </w:r>
      <w:r w:rsidR="007A0DCF">
        <w:t>6</w:t>
      </w:r>
      <w:r w:rsidR="007A0DCF" w:rsidRPr="00B96639">
        <w:t>:</w:t>
      </w:r>
      <w:r w:rsidR="007A0DCF">
        <w:t>312 (March 2020</w:t>
      </w:r>
      <w:r w:rsidR="000F057E">
        <w:t>).</w:t>
      </w:r>
    </w:p>
    <w:p w14:paraId="625892F6" w14:textId="77777777" w:rsidR="002F586B" w:rsidRPr="001531CD" w:rsidRDefault="002F586B" w:rsidP="002F586B">
      <w:pPr>
        <w:pStyle w:val="Section"/>
      </w:pPr>
      <w:bookmarkStart w:id="2699" w:name="_Toc235870240"/>
      <w:bookmarkStart w:id="2700" w:name="_Toc224819345"/>
      <w:r w:rsidRPr="001531CD">
        <w:t>§143.</w:t>
      </w:r>
      <w:r w:rsidRPr="001531CD">
        <w:tab/>
        <w:t>Reports Required</w:t>
      </w:r>
      <w:bookmarkEnd w:id="2699"/>
      <w:bookmarkEnd w:id="2700"/>
    </w:p>
    <w:p w14:paraId="7B0ACDDE" w14:textId="77777777" w:rsidR="002F586B" w:rsidRPr="001531CD" w:rsidRDefault="002F586B" w:rsidP="002F586B">
      <w:pPr>
        <w:pStyle w:val="A"/>
      </w:pPr>
      <w:r w:rsidRPr="001531CD">
        <w:t>A.</w:t>
      </w:r>
      <w:r w:rsidRPr="001531CD">
        <w:tab/>
        <w:t>Each cotton merchant, grain dealer and warehouse shall file a report of assessments collected from producers, on the form provided by the commission, and remit such assessments to the commissioner no later than the fifteenth day of each month. The assessment report shall be filed each month whether or not any assessments were collected during the month.</w:t>
      </w:r>
    </w:p>
    <w:p w14:paraId="6888AA11" w14:textId="77777777" w:rsidR="002F586B" w:rsidRPr="001531CD" w:rsidRDefault="002F586B" w:rsidP="002F586B">
      <w:pPr>
        <w:pStyle w:val="A"/>
      </w:pPr>
      <w:r w:rsidRPr="001531CD">
        <w:t>B.</w:t>
      </w:r>
      <w:r w:rsidRPr="001531CD">
        <w:tab/>
        <w:t>No later than the fifteenth day of each month, each warehouse shall file a copy of his daily inventory report for the preceding month with the commission.</w:t>
      </w:r>
    </w:p>
    <w:p w14:paraId="5DF14815" w14:textId="77777777" w:rsidR="002F586B" w:rsidRPr="001531CD" w:rsidRDefault="002F586B" w:rsidP="002F586B">
      <w:pPr>
        <w:pStyle w:val="1"/>
      </w:pPr>
      <w:r w:rsidRPr="001531CD">
        <w:t>1.</w:t>
      </w:r>
      <w:r w:rsidRPr="001531CD">
        <w:tab/>
        <w:t>The reports shall be filed on forms provided by the commission.</w:t>
      </w:r>
    </w:p>
    <w:p w14:paraId="0C673BC7" w14:textId="77777777" w:rsidR="002F586B" w:rsidRPr="001531CD" w:rsidRDefault="002F586B" w:rsidP="002F586B">
      <w:pPr>
        <w:pStyle w:val="1"/>
      </w:pPr>
      <w:r w:rsidRPr="001531CD">
        <w:t>2.</w:t>
      </w:r>
      <w:r w:rsidRPr="001531CD">
        <w:tab/>
        <w:t>The commission may accept computer print-outs containing the same information as required by the commission's form.</w:t>
      </w:r>
    </w:p>
    <w:p w14:paraId="6F6CF537" w14:textId="77777777" w:rsidR="002F586B" w:rsidRPr="001531CD" w:rsidRDefault="002F586B" w:rsidP="002F586B">
      <w:pPr>
        <w:pStyle w:val="1"/>
      </w:pPr>
      <w:r w:rsidRPr="001531CD">
        <w:t>3.</w:t>
      </w:r>
      <w:r w:rsidRPr="001531CD">
        <w:tab/>
        <w:t>The commission may accept any report in substantially the same form which is prepared as a result of any federal requirement in lieu of the report on the commission's form.</w:t>
      </w:r>
    </w:p>
    <w:p w14:paraId="42083A76" w14:textId="77777777" w:rsidR="002F586B" w:rsidRPr="001531CD" w:rsidRDefault="002F586B" w:rsidP="002F586B">
      <w:pPr>
        <w:pStyle w:val="A"/>
      </w:pPr>
      <w:r w:rsidRPr="001531CD">
        <w:t>C.</w:t>
      </w:r>
      <w:r w:rsidRPr="001531CD">
        <w:tab/>
        <w:t xml:space="preserve">Subsequent to initial licensure under R.S. 3:3401-3425, each cotton merchant, grain dealer and warehouse shall file a financial statement, containing all of the information </w:t>
      </w:r>
      <w:r w:rsidRPr="001531CD">
        <w:t>required under §107.B of this Part, no later than 90 days after the last day of the warehouse's or grain dealer's fiscal year.</w:t>
      </w:r>
    </w:p>
    <w:p w14:paraId="50B7A7E5" w14:textId="77777777" w:rsidR="002F586B" w:rsidRPr="001531CD" w:rsidRDefault="002F586B" w:rsidP="002F586B">
      <w:pPr>
        <w:pStyle w:val="A"/>
      </w:pPr>
      <w:r w:rsidRPr="001531CD">
        <w:t>D.</w:t>
      </w:r>
      <w:r w:rsidRPr="001531CD">
        <w:tab/>
        <w:t>Each cotton merchant, grain dealer and warehouse shall file such unaudited financial statements as and when required by the commission.</w:t>
      </w:r>
    </w:p>
    <w:p w14:paraId="30B0CCAA" w14:textId="77777777" w:rsidR="001F5A51" w:rsidRPr="001531CD" w:rsidRDefault="002F586B" w:rsidP="002F586B">
      <w:pPr>
        <w:pStyle w:val="AuthorityNote"/>
      </w:pPr>
      <w:r w:rsidRPr="001531CD">
        <w:t>AUTHORITY NOTE:</w:t>
      </w:r>
      <w:r w:rsidRPr="001531CD">
        <w:tab/>
        <w:t xml:space="preserve">Promulgated in accordance with R.S. 3:3405, R.S. 3:3:3419 and R.S. 3:3422. </w:t>
      </w:r>
    </w:p>
    <w:p w14:paraId="09A872BF" w14:textId="77777777" w:rsidR="001F5A51" w:rsidRPr="001531CD" w:rsidRDefault="00CF626A" w:rsidP="001F5A51">
      <w:pPr>
        <w:pStyle w:val="HistoricalNote"/>
      </w:pPr>
      <w:r w:rsidRPr="001531CD">
        <w:t>HISTORICAL NOTE:</w:t>
      </w:r>
      <w:r w:rsidRPr="001531CD">
        <w:tab/>
        <w:t>Promulgated by the Department of Agriculture, Office of Agro-Consumer Services, Agricultural Commodities Commission, LR 9:310 (May 1983), amended by the Department of Agriculture and Forestry, Office of Agro-Consumer Services, Agricultural Commodities Commis</w:t>
      </w:r>
      <w:r w:rsidR="001F5A51" w:rsidRPr="001531CD">
        <w:t>sion, LR 19:1302 (October 1993), LR 35:231</w:t>
      </w:r>
      <w:r w:rsidR="002F586B" w:rsidRPr="001531CD">
        <w:t>1 (November 2009), amended by the Department of Agriculture and Forestry, Agricultural Commodities Commission, LR 37:508 (February 2011).</w:t>
      </w:r>
    </w:p>
    <w:p w14:paraId="1E46CCD3" w14:textId="77777777" w:rsidR="002F586B" w:rsidRPr="001531CD" w:rsidRDefault="002F586B" w:rsidP="002F586B">
      <w:pPr>
        <w:pStyle w:val="Chapter"/>
      </w:pPr>
      <w:bookmarkStart w:id="2701" w:name="TOC_SubC215"/>
      <w:bookmarkStart w:id="2702" w:name="_Toc235870241"/>
      <w:bookmarkStart w:id="2703" w:name="_Toc224819346"/>
      <w:r w:rsidRPr="001531CD">
        <w:t>Subchapter J.</w:t>
      </w:r>
      <w:bookmarkStart w:id="2704" w:name="TOCT_SubC215"/>
      <w:bookmarkEnd w:id="2701"/>
      <w:r w:rsidRPr="001531CD">
        <w:tab/>
        <w:t>Access Requirements</w:t>
      </w:r>
      <w:bookmarkEnd w:id="2702"/>
      <w:bookmarkEnd w:id="2703"/>
      <w:bookmarkEnd w:id="2704"/>
    </w:p>
    <w:p w14:paraId="1D2C806A" w14:textId="77777777" w:rsidR="002F586B" w:rsidRPr="001531CD" w:rsidRDefault="002F586B" w:rsidP="002F586B">
      <w:pPr>
        <w:pStyle w:val="Section"/>
      </w:pPr>
      <w:bookmarkStart w:id="2705" w:name="_Toc235870242"/>
      <w:bookmarkStart w:id="2706" w:name="_Toc224819347"/>
      <w:r w:rsidRPr="001531CD">
        <w:t>§145.</w:t>
      </w:r>
      <w:r w:rsidRPr="001531CD">
        <w:tab/>
        <w:t>Access Requirements</w:t>
      </w:r>
      <w:bookmarkEnd w:id="2705"/>
      <w:bookmarkEnd w:id="2706"/>
    </w:p>
    <w:p w14:paraId="4F471A1B" w14:textId="77777777" w:rsidR="002F586B" w:rsidRPr="001531CD" w:rsidRDefault="002F586B" w:rsidP="002F586B">
      <w:pPr>
        <w:pStyle w:val="A"/>
      </w:pPr>
      <w:r w:rsidRPr="001531CD">
        <w:t>A.</w:t>
      </w:r>
      <w:r w:rsidRPr="001531CD">
        <w:tab/>
        <w:t>Each licensee shall permit any officer or authorized representative of the commission or the commissioner to enter all locations listed on the application for license and inspect, examine, and/or audit all contents, facilities, equipment, records, books, accounts, samples, and grading and sampling practices relating thereto at any time during normal working hours, with or without notice.</w:t>
      </w:r>
    </w:p>
    <w:p w14:paraId="75C14F1A" w14:textId="77777777" w:rsidR="002F586B" w:rsidRPr="001531CD" w:rsidRDefault="002F586B" w:rsidP="002F586B">
      <w:pPr>
        <w:pStyle w:val="A"/>
      </w:pPr>
      <w:r w:rsidRPr="001531CD">
        <w:t>B.</w:t>
      </w:r>
      <w:r w:rsidRPr="001531CD">
        <w:tab/>
        <w:t>The warehouse operator, cotton merchant, or grain dealer shall provide the necessary assistance required for any inspection, examination, and/or audit made in accordance with R.S. 3:3401-3425.</w:t>
      </w:r>
    </w:p>
    <w:p w14:paraId="14049BB9" w14:textId="77777777" w:rsidR="002F586B" w:rsidRPr="001531CD" w:rsidRDefault="002F586B" w:rsidP="002F586B">
      <w:pPr>
        <w:pStyle w:val="A"/>
      </w:pPr>
      <w:r w:rsidRPr="001531CD">
        <w:t>C.</w:t>
      </w:r>
      <w:r w:rsidRPr="001531CD">
        <w:tab/>
        <w:t>Each licensee having physical custody of commodities shall permit any authorized representative of the commission or the commissioner to sample commodities at any time during normal business hours.</w:t>
      </w:r>
    </w:p>
    <w:p w14:paraId="0FD6C4AD" w14:textId="77777777" w:rsidR="00CF626A" w:rsidRPr="001531CD" w:rsidRDefault="002F586B" w:rsidP="002F586B">
      <w:pPr>
        <w:pStyle w:val="AuthorityNote"/>
      </w:pPr>
      <w:r w:rsidRPr="001531CD">
        <w:t>AUTHORITY NOTE:</w:t>
      </w:r>
      <w:r w:rsidRPr="001531CD">
        <w:tab/>
        <w:t>Promulgated in accordance with R.S. 3:3405, R.S. 3:3414.3 and R.S. 3:3419.</w:t>
      </w:r>
    </w:p>
    <w:p w14:paraId="3D43EABA" w14:textId="77777777"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Commission, LR 9:310 (May 1983), amended LR 12:288 (May 1986), amended by the Department of Agriculture and Forestry, Office of the Commissioner, </w:t>
      </w:r>
      <w:r w:rsidR="002F586B" w:rsidRPr="001531CD">
        <w:t>LR 24:625 (April 1998), amended by the Department of Agriculture and Forestry, Agricultural Commodities Commission, LR 37:508 (February 2011).</w:t>
      </w:r>
    </w:p>
    <w:p w14:paraId="7190BF27" w14:textId="77777777" w:rsidR="002F586B" w:rsidRPr="001531CD" w:rsidRDefault="002F586B" w:rsidP="002F586B">
      <w:pPr>
        <w:pStyle w:val="Chapter"/>
      </w:pPr>
      <w:bookmarkStart w:id="2707" w:name="TOC_SubC216"/>
      <w:bookmarkStart w:id="2708" w:name="_Toc235870243"/>
      <w:bookmarkStart w:id="2709" w:name="_Toc224819348"/>
      <w:r w:rsidRPr="001531CD">
        <w:t>Subchapter K.</w:t>
      </w:r>
      <w:bookmarkStart w:id="2710" w:name="TOCT_SubC216"/>
      <w:bookmarkEnd w:id="2707"/>
      <w:r w:rsidRPr="001531CD">
        <w:tab/>
        <w:t>Posting Requirements</w:t>
      </w:r>
      <w:bookmarkEnd w:id="2708"/>
      <w:bookmarkEnd w:id="2709"/>
      <w:bookmarkEnd w:id="2710"/>
    </w:p>
    <w:p w14:paraId="59023659" w14:textId="77777777" w:rsidR="002F586B" w:rsidRPr="001531CD" w:rsidRDefault="002F586B" w:rsidP="002F586B">
      <w:pPr>
        <w:pStyle w:val="Section"/>
      </w:pPr>
      <w:bookmarkStart w:id="2711" w:name="_Toc235870244"/>
      <w:bookmarkStart w:id="2712" w:name="_Toc224819349"/>
      <w:r w:rsidRPr="001531CD">
        <w:t>§147.</w:t>
      </w:r>
      <w:r w:rsidRPr="001531CD">
        <w:tab/>
        <w:t>Posting Requirements</w:t>
      </w:r>
      <w:bookmarkEnd w:id="2711"/>
      <w:bookmarkEnd w:id="2712"/>
    </w:p>
    <w:p w14:paraId="44EBE5D9" w14:textId="77777777" w:rsidR="002F586B" w:rsidRPr="001531CD" w:rsidRDefault="002F586B" w:rsidP="002F586B">
      <w:pPr>
        <w:pStyle w:val="A"/>
      </w:pPr>
      <w:r w:rsidRPr="001531CD">
        <w:t>A.</w:t>
      </w:r>
      <w:r w:rsidRPr="001531CD">
        <w:tab/>
        <w:t>Each grain dealer and cotton merchant shall post its original license issued by the commission in a conspicuous location at its principal place of business. A copy of the license shall be posted at all other locations covered by the license.</w:t>
      </w:r>
    </w:p>
    <w:p w14:paraId="28DD96CA" w14:textId="77777777" w:rsidR="002F586B" w:rsidRPr="001531CD" w:rsidRDefault="002F586B" w:rsidP="002F586B">
      <w:pPr>
        <w:pStyle w:val="A"/>
      </w:pPr>
      <w:r w:rsidRPr="001531CD">
        <w:rPr>
          <w:szCs w:val="24"/>
        </w:rPr>
        <w:t>B.</w:t>
      </w:r>
      <w:r w:rsidRPr="001531CD">
        <w:rPr>
          <w:szCs w:val="24"/>
        </w:rPr>
        <w:tab/>
      </w:r>
      <w:r w:rsidRPr="001531CD">
        <w:t>Each warehouse location shall post its original license issued by the commission so that it is clearly visible at the main entrance to the warehouse. When only a portion of a location is licensed by the commission, t</w:t>
      </w:r>
      <w:r w:rsidRPr="001531CD">
        <w:rPr>
          <w:szCs w:val="24"/>
        </w:rPr>
        <w:t>hat portion licensed by the commission shall be clearly marked.</w:t>
      </w:r>
    </w:p>
    <w:p w14:paraId="57EE9EDE" w14:textId="77777777" w:rsidR="002F586B" w:rsidRPr="001531CD" w:rsidRDefault="002F586B" w:rsidP="002F586B">
      <w:pPr>
        <w:pStyle w:val="A"/>
      </w:pPr>
      <w:r w:rsidRPr="001531CD">
        <w:lastRenderedPageBreak/>
        <w:t>C.</w:t>
      </w:r>
      <w:r w:rsidRPr="001531CD">
        <w:tab/>
        <w:t>The warehouse schedule of tariffs or charges shall be posted in a conspicuous location at each location.</w:t>
      </w:r>
    </w:p>
    <w:p w14:paraId="7851A288" w14:textId="77777777" w:rsidR="00CF626A" w:rsidRPr="001531CD" w:rsidRDefault="002F586B" w:rsidP="002F586B">
      <w:pPr>
        <w:pStyle w:val="AuthorityNote"/>
      </w:pPr>
      <w:r w:rsidRPr="001531CD">
        <w:t>AUTHORITY NOTE:</w:t>
      </w:r>
      <w:r w:rsidRPr="001531CD">
        <w:tab/>
        <w:t>Promulgated in accordance with R.S. 3:3405, R.S. 3:3409, R.S. 3:3411 and R.S. 3:3420.</w:t>
      </w:r>
    </w:p>
    <w:p w14:paraId="6ED52D38"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9:311 (May 1983), amended LR 11:229 (Ma</w:t>
      </w:r>
      <w:r w:rsidR="002F586B" w:rsidRPr="001531CD">
        <w:t>rch 1985), LR 12:287 (May 1986), amended by the Department of Agriculture and Forestry, Agricultural Commodities Commission, LR 37:508 (February 2011).</w:t>
      </w:r>
    </w:p>
    <w:p w14:paraId="0334BA41" w14:textId="77777777" w:rsidR="002F586B" w:rsidRPr="001531CD" w:rsidRDefault="002F586B" w:rsidP="002F586B">
      <w:pPr>
        <w:pStyle w:val="Chapter"/>
      </w:pPr>
      <w:bookmarkStart w:id="2713" w:name="TOC_SubC217"/>
      <w:bookmarkStart w:id="2714" w:name="_Toc235870245"/>
      <w:bookmarkStart w:id="2715" w:name="_Toc224819350"/>
      <w:r w:rsidRPr="001531CD">
        <w:t>Subchapter L.</w:t>
      </w:r>
      <w:bookmarkStart w:id="2716" w:name="TOCT_SubC217"/>
      <w:bookmarkEnd w:id="2713"/>
      <w:r w:rsidRPr="001531CD">
        <w:tab/>
        <w:t>Suspension/Revocation of License; Other Penalties</w:t>
      </w:r>
      <w:bookmarkEnd w:id="2714"/>
      <w:bookmarkEnd w:id="2715"/>
      <w:bookmarkEnd w:id="2716"/>
    </w:p>
    <w:p w14:paraId="18D9FB4D" w14:textId="77777777" w:rsidR="002F586B" w:rsidRPr="001531CD" w:rsidRDefault="002F586B" w:rsidP="002F586B">
      <w:pPr>
        <w:pStyle w:val="Section"/>
      </w:pPr>
      <w:bookmarkStart w:id="2717" w:name="_Toc235870246"/>
      <w:bookmarkStart w:id="2718" w:name="_Toc224819351"/>
      <w:r w:rsidRPr="001531CD">
        <w:t>§149.</w:t>
      </w:r>
      <w:r w:rsidRPr="001531CD">
        <w:tab/>
        <w:t>Adjudication Required Prior to Suspension/Revocation of License or Imposition of Other Penalties; Amount of Penalties; Surrender of License</w:t>
      </w:r>
      <w:bookmarkEnd w:id="2717"/>
      <w:bookmarkEnd w:id="2718"/>
    </w:p>
    <w:p w14:paraId="7D8A687A" w14:textId="77777777" w:rsidR="002F586B" w:rsidRPr="001531CD" w:rsidRDefault="002F586B" w:rsidP="002F586B">
      <w:pPr>
        <w:pStyle w:val="A"/>
      </w:pPr>
      <w:r w:rsidRPr="001531CD">
        <w:t>A.</w:t>
      </w:r>
      <w:r w:rsidRPr="001531CD">
        <w:tab/>
        <w:t>Whenever the chairman has any reason to believe that a violation of R.S. 3:3401-3425 or the regulations contained in this Part has occurred, he shall call a meeting of the commission for the purpose of conducting an adjudicatory hearing to make a determination with respect to the suspected violation.</w:t>
      </w:r>
    </w:p>
    <w:p w14:paraId="41D7074F" w14:textId="77777777" w:rsidR="002F586B" w:rsidRPr="001531CD" w:rsidRDefault="002F586B" w:rsidP="002F586B">
      <w:pPr>
        <w:pStyle w:val="A"/>
      </w:pPr>
      <w:r w:rsidRPr="001531CD">
        <w:t>B.</w:t>
      </w:r>
      <w:r w:rsidRPr="001531CD">
        <w:tab/>
        <w:t>Upon any directive of the chairman, the director shall give written notice to the person suspected of the violation, such notice to comply with the requirements of the Administrative Procedure Act, at least five days prior to the date set for such adjudicatory hearing.</w:t>
      </w:r>
    </w:p>
    <w:p w14:paraId="71402642" w14:textId="77777777" w:rsidR="002F586B" w:rsidRPr="001531CD" w:rsidRDefault="002F586B" w:rsidP="002F586B">
      <w:pPr>
        <w:pStyle w:val="A"/>
      </w:pPr>
      <w:r w:rsidRPr="001531CD">
        <w:t>C.</w:t>
      </w:r>
      <w:r w:rsidRPr="001531CD">
        <w:tab/>
        <w:t>At any such adjudicatory hearing, the person suspected of a violation of R.S. 3:3401-3425 or the regulations contained in this Part shall be accorded all of the rights set forth in the Administrative Procedure Act.</w:t>
      </w:r>
    </w:p>
    <w:p w14:paraId="45089389" w14:textId="77777777" w:rsidR="002F586B" w:rsidRPr="001531CD" w:rsidRDefault="002F586B" w:rsidP="002F586B">
      <w:pPr>
        <w:pStyle w:val="A"/>
      </w:pPr>
      <w:r w:rsidRPr="001531CD">
        <w:t>D.</w:t>
      </w:r>
      <w:r w:rsidRPr="001531CD">
        <w:tab/>
        <w:t>The commission may suspend or revoke a license for any of the grounds set forth in §109 of this Part, or any other violation of R.S. 3:3401-3425 or the regulations contained in this Part, whenever proof thereof is made at any adjudicatory proceeding noticed and conducted as required by the Administrative Procedure Act.</w:t>
      </w:r>
    </w:p>
    <w:p w14:paraId="7510B56D" w14:textId="77777777" w:rsidR="002F586B" w:rsidRPr="001531CD" w:rsidRDefault="002F586B" w:rsidP="002F586B">
      <w:pPr>
        <w:pStyle w:val="A"/>
      </w:pPr>
      <w:r w:rsidRPr="001531CD">
        <w:t>E.</w:t>
      </w:r>
      <w:r w:rsidRPr="001531CD">
        <w:tab/>
        <w:t>Whenever the commission makes a determination at an adjudicatory hearing that any violation of R.S. 3:3401-3425 or the regulations contained in this Part has occurred, the commission may:</w:t>
      </w:r>
    </w:p>
    <w:p w14:paraId="1D0CFB74" w14:textId="77777777" w:rsidR="002F586B" w:rsidRPr="001531CD" w:rsidRDefault="002F586B" w:rsidP="002F586B">
      <w:pPr>
        <w:pStyle w:val="1"/>
      </w:pPr>
      <w:r w:rsidRPr="001531CD">
        <w:t>1.</w:t>
      </w:r>
      <w:r w:rsidRPr="001531CD">
        <w:tab/>
        <w:t>suspend or revoke the license;</w:t>
      </w:r>
    </w:p>
    <w:p w14:paraId="16175780" w14:textId="77777777" w:rsidR="002F586B" w:rsidRPr="001531CD" w:rsidRDefault="002F586B" w:rsidP="002F586B">
      <w:pPr>
        <w:pStyle w:val="1"/>
      </w:pPr>
      <w:r w:rsidRPr="001531CD">
        <w:t>2.</w:t>
      </w:r>
      <w:r w:rsidRPr="001531CD">
        <w:tab/>
        <w:t>impose a monetary fine;</w:t>
      </w:r>
    </w:p>
    <w:p w14:paraId="1884927C" w14:textId="77777777" w:rsidR="002F586B" w:rsidRPr="001531CD" w:rsidRDefault="002F586B" w:rsidP="002F586B">
      <w:pPr>
        <w:pStyle w:val="1"/>
      </w:pPr>
      <w:r w:rsidRPr="001531CD">
        <w:t>3.</w:t>
      </w:r>
      <w:r w:rsidRPr="001531CD">
        <w:tab/>
        <w:t>place licensee on probation.</w:t>
      </w:r>
    </w:p>
    <w:p w14:paraId="30F44F60" w14:textId="77777777" w:rsidR="002F586B" w:rsidRPr="001531CD" w:rsidRDefault="002F586B" w:rsidP="002F586B">
      <w:pPr>
        <w:pStyle w:val="A"/>
      </w:pPr>
      <w:r w:rsidRPr="001531CD">
        <w:t>F.</w:t>
      </w:r>
      <w:r w:rsidRPr="001531CD">
        <w:tab/>
        <w:t>Any suspension of a license shall be for a definite period of time and the licensee shall be informed in writing of the period of suspension.</w:t>
      </w:r>
    </w:p>
    <w:p w14:paraId="2795F5C9" w14:textId="77777777" w:rsidR="002F586B" w:rsidRPr="001531CD" w:rsidRDefault="002F586B" w:rsidP="002F586B">
      <w:pPr>
        <w:pStyle w:val="A"/>
      </w:pPr>
      <w:r w:rsidRPr="001531CD">
        <w:t>G.</w:t>
      </w:r>
      <w:r w:rsidRPr="001531CD">
        <w:tab/>
        <w:t>The commission may impose a penalty of up to $1,000 for each violation of R.S. 3:3401-3425 or the regulations contained in this Part which is proven in an adjudicatory hearing.</w:t>
      </w:r>
    </w:p>
    <w:p w14:paraId="3F02E6AD" w14:textId="77777777" w:rsidR="002F586B" w:rsidRPr="001531CD" w:rsidRDefault="002F586B" w:rsidP="002F586B">
      <w:pPr>
        <w:pStyle w:val="A"/>
      </w:pPr>
      <w:r w:rsidRPr="001531CD">
        <w:t>H.</w:t>
      </w:r>
      <w:r w:rsidRPr="001531CD">
        <w:tab/>
        <w:t>Each separate day on which a violation occurs shall be considered a separate violation.</w:t>
      </w:r>
    </w:p>
    <w:p w14:paraId="6D585FB3" w14:textId="77777777" w:rsidR="002F586B" w:rsidRPr="001531CD" w:rsidRDefault="002F586B" w:rsidP="002F586B">
      <w:pPr>
        <w:pStyle w:val="A"/>
      </w:pPr>
      <w:r w:rsidRPr="001531CD">
        <w:t>I.</w:t>
      </w:r>
      <w:r w:rsidRPr="001531CD">
        <w:tab/>
        <w:t>Whenever the commission suspends or revokes a warehouse, cotton merchant, or grain dealer license, the former licensee shall immediately surrender the original and all copies of the license.</w:t>
      </w:r>
    </w:p>
    <w:p w14:paraId="725C4298" w14:textId="77777777" w:rsidR="002F586B" w:rsidRPr="001531CD" w:rsidRDefault="002F586B" w:rsidP="002F586B">
      <w:pPr>
        <w:pStyle w:val="A"/>
      </w:pPr>
      <w:r w:rsidRPr="001531CD">
        <w:t>J.</w:t>
      </w:r>
      <w:r w:rsidRPr="001531CD">
        <w:tab/>
        <w:t>No person whose license has been suspended or revoked may engage in any of the activities regulated under R.S. 3:3401-3425.</w:t>
      </w:r>
    </w:p>
    <w:p w14:paraId="5873C910" w14:textId="77777777" w:rsidR="002F586B" w:rsidRPr="001531CD" w:rsidRDefault="002F586B" w:rsidP="002F586B">
      <w:pPr>
        <w:pStyle w:val="A"/>
      </w:pPr>
      <w:r w:rsidRPr="001531CD">
        <w:t>K.</w:t>
      </w:r>
      <w:r w:rsidRPr="001531CD">
        <w:tab/>
        <w:t>Any licensee may appeal any action taken by the commission to suspend/revoke a license or impose a monetary penalty by either:</w:t>
      </w:r>
    </w:p>
    <w:p w14:paraId="6CF550CA" w14:textId="77777777" w:rsidR="002F586B" w:rsidRPr="001531CD" w:rsidRDefault="002F586B" w:rsidP="002F586B">
      <w:pPr>
        <w:pStyle w:val="1"/>
      </w:pPr>
      <w:r w:rsidRPr="001531CD">
        <w:t>1.</w:t>
      </w:r>
      <w:r w:rsidRPr="001531CD">
        <w:tab/>
        <w:t>applying for a rehearing under the procedures provided in the Administrative Procedure Act; or</w:t>
      </w:r>
    </w:p>
    <w:p w14:paraId="1A293764" w14:textId="77777777" w:rsidR="002F586B" w:rsidRPr="001531CD" w:rsidRDefault="002F586B" w:rsidP="002F586B">
      <w:pPr>
        <w:pStyle w:val="1"/>
      </w:pPr>
      <w:r w:rsidRPr="001531CD">
        <w:t>2.</w:t>
      </w:r>
      <w:r w:rsidRPr="001531CD">
        <w:tab/>
        <w:t>applying for judicial review of the commission's determination, under either the Administrative Procedure Act or other applicable laws.</w:t>
      </w:r>
    </w:p>
    <w:p w14:paraId="3A3EC148" w14:textId="77777777" w:rsidR="00CF626A" w:rsidRPr="001531CD" w:rsidRDefault="002F586B" w:rsidP="002F586B">
      <w:pPr>
        <w:pStyle w:val="AuthorityNote"/>
      </w:pPr>
      <w:r w:rsidRPr="001531CD">
        <w:t>AUTHORITY NOTE:</w:t>
      </w:r>
      <w:r w:rsidRPr="001531CD">
        <w:tab/>
        <w:t>Promulgated in accordance with R.S. 3:3405, R.S. 3:3410, R.S. 3:3411, R.S. 3:3417 and R.S. 3:3424.</w:t>
      </w:r>
    </w:p>
    <w:p w14:paraId="1489CBB7" w14:textId="77777777"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9:311 (May 1983), amended by the Department of Agriculture and Forestry, Office of Agro-Consumer Services, Agricultural Commodities Commission, LR 12:288 (May 1986), LR 19:1303 (October 1993), amended by the Department of Agriculture and Forestry, Office of the Commi</w:t>
      </w:r>
      <w:r w:rsidR="002F586B" w:rsidRPr="001531CD">
        <w:t>ssioner, LR 24:625 (April 1998), amended by the Department of Agriculture and Forestry, Agricultural Commodities Commission, LR 37:509 (February 2011).</w:t>
      </w:r>
    </w:p>
    <w:p w14:paraId="0558D5D2" w14:textId="77777777" w:rsidR="00913E80" w:rsidRPr="001531CD" w:rsidRDefault="00913E80" w:rsidP="00913E80">
      <w:pPr>
        <w:pStyle w:val="Chapter"/>
        <w:tabs>
          <w:tab w:val="clear" w:pos="2700"/>
          <w:tab w:val="left" w:pos="2790"/>
        </w:tabs>
      </w:pPr>
      <w:bookmarkStart w:id="2719" w:name="TOC_SubC218"/>
      <w:bookmarkStart w:id="2720" w:name="_Toc235870247"/>
      <w:bookmarkStart w:id="2721" w:name="_Toc224819352"/>
      <w:bookmarkStart w:id="2722" w:name="_Toc256754982"/>
      <w:r w:rsidRPr="001531CD">
        <w:t>Subchapter M.</w:t>
      </w:r>
      <w:bookmarkStart w:id="2723" w:name="TOCT_SubC218"/>
      <w:bookmarkEnd w:id="2719"/>
      <w:r w:rsidRPr="001531CD">
        <w:tab/>
        <w:t>Schedule of Inspections; Voluntary Inspection</w:t>
      </w:r>
      <w:bookmarkEnd w:id="2720"/>
      <w:bookmarkEnd w:id="2721"/>
      <w:bookmarkEnd w:id="2723"/>
    </w:p>
    <w:p w14:paraId="3C0F7E74" w14:textId="77777777" w:rsidR="00913E80" w:rsidRPr="001531CD" w:rsidRDefault="00913E80" w:rsidP="00913E80">
      <w:pPr>
        <w:pStyle w:val="Section"/>
      </w:pPr>
      <w:bookmarkStart w:id="2724" w:name="_Toc235870248"/>
      <w:bookmarkStart w:id="2725" w:name="_Toc224819353"/>
      <w:bookmarkEnd w:id="2722"/>
      <w:r w:rsidRPr="001531CD">
        <w:t>§151.</w:t>
      </w:r>
      <w:r w:rsidRPr="001531CD">
        <w:tab/>
        <w:t>Inspection of Physical Facilities and Contents; Schedule</w:t>
      </w:r>
      <w:bookmarkEnd w:id="2724"/>
      <w:bookmarkEnd w:id="2725"/>
    </w:p>
    <w:p w14:paraId="39730594" w14:textId="77777777" w:rsidR="00913E80" w:rsidRPr="001531CD" w:rsidRDefault="00913E80" w:rsidP="00913E80">
      <w:pPr>
        <w:pStyle w:val="A"/>
      </w:pPr>
      <w:r w:rsidRPr="001531CD">
        <w:t>A.</w:t>
      </w:r>
      <w:r w:rsidRPr="001531CD">
        <w:tab/>
        <w:t>A complete inspection of the physical facilities and the contents thereof shall be made of each licensee at least once during each license period, but may be made more frequently. Such inspection of facilities and contents may or may not be made in conjunction with an audit of the licensee's books and records.</w:t>
      </w:r>
    </w:p>
    <w:p w14:paraId="0CA9C5A7" w14:textId="77777777" w:rsidR="00CF626A" w:rsidRPr="001531CD" w:rsidRDefault="00913E80" w:rsidP="00913E80">
      <w:pPr>
        <w:pStyle w:val="AuthorityNote"/>
      </w:pPr>
      <w:r w:rsidRPr="001531CD">
        <w:t>AUTHORITY NOTE:</w:t>
      </w:r>
      <w:r w:rsidRPr="001531CD">
        <w:tab/>
        <w:t>Promulgated in accordance with R.S. 3:3405 and R.S. 3:3406.</w:t>
      </w:r>
    </w:p>
    <w:p w14:paraId="681044B3" w14:textId="77777777" w:rsidR="00913E80" w:rsidRPr="001531CD" w:rsidRDefault="00CF626A" w:rsidP="00913E80">
      <w:pPr>
        <w:pStyle w:val="HistoricalNote"/>
      </w:pPr>
      <w:r w:rsidRPr="001531CD">
        <w:t>HISTORICAL NOTE:</w:t>
      </w:r>
      <w:r w:rsidRPr="001531CD">
        <w:tab/>
        <w:t xml:space="preserve">Promulgated by the Department of Agriculture, Office of Agro-Consumer Services, Agricultural Commodities </w:t>
      </w:r>
      <w:r w:rsidR="00913E80" w:rsidRPr="001531CD">
        <w:t>Commission, LR 9:312 (May 1983), amended by the Department of Agriculture and Forestry, Agricultural Commodities Commission, LR 37:509 (February 2011).</w:t>
      </w:r>
    </w:p>
    <w:p w14:paraId="5328673C" w14:textId="77777777" w:rsidR="00CF626A" w:rsidRPr="001531CD" w:rsidRDefault="00CF626A">
      <w:pPr>
        <w:pStyle w:val="Section"/>
      </w:pPr>
      <w:bookmarkStart w:id="2726" w:name="_Toc256754983"/>
      <w:bookmarkStart w:id="2727" w:name="_Toc224819354"/>
      <w:r w:rsidRPr="001531CD">
        <w:t>§153.</w:t>
      </w:r>
      <w:r w:rsidRPr="001531CD">
        <w:tab/>
        <w:t>Voluntary Inspection Service</w:t>
      </w:r>
      <w:bookmarkEnd w:id="2726"/>
      <w:bookmarkEnd w:id="2727"/>
    </w:p>
    <w:p w14:paraId="500D4B54" w14:textId="77777777" w:rsidR="00913E80" w:rsidRPr="001531CD" w:rsidRDefault="00913E80" w:rsidP="00913E80">
      <w:pPr>
        <w:pStyle w:val="A"/>
      </w:pPr>
      <w:r w:rsidRPr="001531CD">
        <w:t>A.</w:t>
      </w:r>
      <w:r w:rsidRPr="001531CD">
        <w:tab/>
        <w:t>Warehouses which require more frequent inspection and verification of contents, for whatever reason, may secure such services by making an application to the commission.</w:t>
      </w:r>
    </w:p>
    <w:p w14:paraId="290FA9E3" w14:textId="77777777" w:rsidR="00913E80" w:rsidRPr="001531CD" w:rsidRDefault="00913E80" w:rsidP="00913E80">
      <w:pPr>
        <w:pStyle w:val="A"/>
      </w:pPr>
      <w:r w:rsidRPr="001531CD">
        <w:t>B.</w:t>
      </w:r>
      <w:r w:rsidRPr="001531CD">
        <w:tab/>
        <w:t xml:space="preserve">Voluntary inspection of facilities and contents, and verification thereof, on a schedule which shall be mutually agreed upon between the warehouse applying for voluntary inspection services and the commissioner, shall be made for a fee of $0.01 per hundredweight for commodities normally weighed by hundredweight, $.007 per bushel (or barrel weight converted to bushels as provided by R.S. 3:3422 and </w:t>
      </w:r>
      <w:r w:rsidRPr="001531CD">
        <w:lastRenderedPageBreak/>
        <w:t>§127.C of this Part) for commodities normally weighed by bushel, or such other fee as may be promulgated by the commission as an assessment fee on other agricultural commodities or farm products.</w:t>
      </w:r>
    </w:p>
    <w:p w14:paraId="58F5312C" w14:textId="77777777" w:rsidR="00913E80" w:rsidRPr="001531CD" w:rsidRDefault="00913E80" w:rsidP="00913E80">
      <w:pPr>
        <w:pStyle w:val="A"/>
      </w:pPr>
      <w:r w:rsidRPr="001531CD">
        <w:t>C.</w:t>
      </w:r>
      <w:r w:rsidRPr="001531CD">
        <w:tab/>
        <w:t>The fee for voluntary inspection services shall be due and payable within 15 days after each inspection is completed.</w:t>
      </w:r>
    </w:p>
    <w:p w14:paraId="516C384E" w14:textId="77777777" w:rsidR="00913E80" w:rsidRPr="001531CD" w:rsidRDefault="00913E80" w:rsidP="00913E80">
      <w:pPr>
        <w:pStyle w:val="A"/>
      </w:pPr>
      <w:r w:rsidRPr="001531CD">
        <w:t>D.</w:t>
      </w:r>
      <w:r w:rsidRPr="001531CD">
        <w:tab/>
        <w:t>The total fee for each voluntary inspection of facilities and contents shall be determined by multiplying the total amount of commodities under warehouse receipt at the time of voluntary inspection services times the fee set forth in §153.B of this Part.</w:t>
      </w:r>
    </w:p>
    <w:p w14:paraId="3FB8E193" w14:textId="77777777" w:rsidR="00913E80" w:rsidRPr="001531CD" w:rsidRDefault="00913E80" w:rsidP="00913E80">
      <w:pPr>
        <w:pStyle w:val="A"/>
      </w:pPr>
      <w:r w:rsidRPr="001531CD">
        <w:t>E.</w:t>
      </w:r>
      <w:r w:rsidRPr="001531CD">
        <w:tab/>
        <w:t>The minimum inspection fee applicable to voluntary inspection services, when performed for any licensee of the commission, shall be $100.</w:t>
      </w:r>
    </w:p>
    <w:p w14:paraId="32B2AB0E" w14:textId="77777777" w:rsidR="00CF626A" w:rsidRPr="001531CD" w:rsidRDefault="00913E80" w:rsidP="00913E80">
      <w:pPr>
        <w:pStyle w:val="AuthorityNote"/>
      </w:pPr>
      <w:r w:rsidRPr="001531CD">
        <w:t>AUTHORITY NOTE:</w:t>
      </w:r>
      <w:r w:rsidRPr="001531CD">
        <w:tab/>
        <w:t>Promulgated in accordance with R.S. 3:3405 and R.S. 3:3422.</w:t>
      </w:r>
    </w:p>
    <w:p w14:paraId="0B590C16" w14:textId="77777777" w:rsidR="00CF626A" w:rsidRPr="001531CD" w:rsidRDefault="00CF626A">
      <w:pPr>
        <w:pStyle w:val="HistoricalNote"/>
      </w:pPr>
      <w:r w:rsidRPr="001531CD">
        <w:t>HISTORICAL NOTE:</w:t>
      </w:r>
      <w:r w:rsidRPr="001531CD">
        <w:tab/>
        <w:t>Promulgated by the Department of Agriculture, Office of Agro-Consumer Services, Ag</w:t>
      </w:r>
      <w:r w:rsidRPr="001531CD">
        <w:softHyphen/>
        <w:t>ricultural Commodities Commission, LR 9:312 (May 1983), amended by the Department of Agriculture and Forestry, Office of Agro-Consumer Services, Agricultural Commodities Commis</w:t>
      </w:r>
      <w:r w:rsidR="00913E80" w:rsidRPr="001531CD">
        <w:t>sion, LR 19:1303 (October 1993), amended by the Department of Agriculture and Forestry, Agricultural Commodities Commission, LR 37:509 (February 2011).</w:t>
      </w:r>
    </w:p>
    <w:p w14:paraId="72314CDB" w14:textId="77777777" w:rsidR="00913E80" w:rsidRPr="001531CD" w:rsidRDefault="00913E80" w:rsidP="00913E80">
      <w:pPr>
        <w:pStyle w:val="Chapter"/>
      </w:pPr>
      <w:bookmarkStart w:id="2728" w:name="TOC_SubC219"/>
      <w:bookmarkStart w:id="2729" w:name="_Toc235870250"/>
      <w:bookmarkStart w:id="2730" w:name="_Toc224819355"/>
      <w:bookmarkStart w:id="2731" w:name="_Toc256754985"/>
      <w:r w:rsidRPr="001531CD">
        <w:t>Subchapter N.</w:t>
      </w:r>
      <w:bookmarkStart w:id="2732" w:name="TOCT_SubC219"/>
      <w:bookmarkEnd w:id="2728"/>
      <w:r w:rsidRPr="001531CD">
        <w:tab/>
        <w:t>Exemptions</w:t>
      </w:r>
      <w:bookmarkEnd w:id="2729"/>
      <w:bookmarkEnd w:id="2730"/>
      <w:bookmarkEnd w:id="2732"/>
      <w:r w:rsidRPr="001531CD">
        <w:t xml:space="preserve"> </w:t>
      </w:r>
    </w:p>
    <w:p w14:paraId="685E557B" w14:textId="77777777" w:rsidR="00913E80" w:rsidRPr="001531CD" w:rsidRDefault="00913E80" w:rsidP="00913E80">
      <w:pPr>
        <w:pStyle w:val="Section"/>
      </w:pPr>
      <w:bookmarkStart w:id="2733" w:name="_Toc235870251"/>
      <w:bookmarkStart w:id="2734" w:name="_Toc224819356"/>
      <w:bookmarkEnd w:id="2731"/>
      <w:r w:rsidRPr="001531CD">
        <w:t>§155.</w:t>
      </w:r>
      <w:r w:rsidRPr="001531CD">
        <w:tab/>
        <w:t>Exemptions</w:t>
      </w:r>
      <w:bookmarkEnd w:id="2733"/>
      <w:bookmarkEnd w:id="2734"/>
    </w:p>
    <w:p w14:paraId="06024D7E" w14:textId="77777777" w:rsidR="00913E80" w:rsidRPr="001531CD" w:rsidRDefault="00913E80" w:rsidP="00913E80">
      <w:pPr>
        <w:pStyle w:val="A"/>
      </w:pPr>
      <w:r w:rsidRPr="001531CD">
        <w:t>A.</w:t>
      </w:r>
      <w:r w:rsidRPr="001531CD">
        <w:tab/>
        <w:t>The regulations contained in this Part shall not apply to the following:</w:t>
      </w:r>
    </w:p>
    <w:p w14:paraId="21638D47" w14:textId="77777777" w:rsidR="00913E80" w:rsidRPr="001531CD" w:rsidRDefault="00913E80" w:rsidP="00913E80">
      <w:pPr>
        <w:pStyle w:val="1"/>
      </w:pPr>
      <w:r w:rsidRPr="001531CD">
        <w:t>1.</w:t>
      </w:r>
      <w:r w:rsidRPr="001531CD">
        <w:tab/>
        <w:t>cold storage facilities;</w:t>
      </w:r>
    </w:p>
    <w:p w14:paraId="032FA09B" w14:textId="77777777" w:rsidR="00913E80" w:rsidRPr="001531CD" w:rsidRDefault="00913E80" w:rsidP="00913E80">
      <w:pPr>
        <w:pStyle w:val="1"/>
      </w:pPr>
      <w:r w:rsidRPr="001531CD">
        <w:t>2.</w:t>
      </w:r>
      <w:r w:rsidRPr="001531CD">
        <w:tab/>
        <w:t>facilities which store only commodities which are imported from outside the boundaries of the continental United States;</w:t>
      </w:r>
    </w:p>
    <w:p w14:paraId="55311C8B" w14:textId="77777777" w:rsidR="00913E80" w:rsidRPr="001531CD" w:rsidRDefault="00913E80" w:rsidP="00913E80">
      <w:pPr>
        <w:pStyle w:val="1"/>
      </w:pPr>
      <w:r w:rsidRPr="001531CD">
        <w:t>3.</w:t>
      </w:r>
      <w:r w:rsidRPr="001531CD">
        <w:tab/>
        <w:t>seed dealers licensed under R.S. 3:1431 et seq., who store seed for producers, which is identifiable on the bag and in the seed dealer's records as to the owner thereof, but who do not engage in any other activities regulated under R.S. 3:3401-3425. This exemption does not apply to seed dealers who issue warehouse receipts.</w:t>
      </w:r>
    </w:p>
    <w:p w14:paraId="5820F037" w14:textId="77777777" w:rsidR="00CF626A" w:rsidRPr="001531CD" w:rsidRDefault="00913E80" w:rsidP="00913E80">
      <w:pPr>
        <w:pStyle w:val="AuthorityNote"/>
      </w:pPr>
      <w:r w:rsidRPr="001531CD">
        <w:t>AUTHORITY NOTE:</w:t>
      </w:r>
      <w:r w:rsidRPr="001531CD">
        <w:tab/>
        <w:t>Promulgated in accordance with R.S. 3:3425 and R.S. 3:3405.</w:t>
      </w:r>
    </w:p>
    <w:p w14:paraId="02AC5828" w14:textId="77777777"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w:t>
      </w:r>
      <w:r w:rsidR="00913E80" w:rsidRPr="001531CD">
        <w:t>Commission, LR 9:313 (May 1983), amended by the Department of Agriculture and Forestry, Agricultural Commodities Commission, LR 37:510 (February 2011).</w:t>
      </w:r>
    </w:p>
    <w:p w14:paraId="28BEB8C5" w14:textId="77777777" w:rsidR="00E13258" w:rsidRPr="001531CD" w:rsidRDefault="00E13258" w:rsidP="00E13258">
      <w:pPr>
        <w:pStyle w:val="Chapter"/>
      </w:pPr>
      <w:bookmarkStart w:id="2735" w:name="_Toc224819357"/>
      <w:bookmarkStart w:id="2736" w:name="_Toc198953463"/>
      <w:bookmarkStart w:id="2737" w:name="_Toc256754990"/>
      <w:r w:rsidRPr="001531CD">
        <w:t xml:space="preserve">Subchapter </w:t>
      </w:r>
      <w:bookmarkStart w:id="2738" w:name="TOCT_SubC223"/>
      <w:r w:rsidRPr="001531CD">
        <w:t>O.</w:t>
      </w:r>
      <w:r w:rsidRPr="001531CD">
        <w:tab/>
        <w:t>Grain and Cotton Indemnity Fund</w:t>
      </w:r>
      <w:bookmarkEnd w:id="2735"/>
      <w:bookmarkEnd w:id="2738"/>
      <w:r w:rsidRPr="001531CD">
        <w:t xml:space="preserve"> </w:t>
      </w:r>
    </w:p>
    <w:p w14:paraId="37C326ED" w14:textId="77777777" w:rsidR="00E13258" w:rsidRPr="001531CD" w:rsidRDefault="00E13258" w:rsidP="00E13258">
      <w:pPr>
        <w:pStyle w:val="Section"/>
      </w:pPr>
      <w:bookmarkStart w:id="2739" w:name="_Toc235870256"/>
      <w:bookmarkStart w:id="2740" w:name="_Toc224819358"/>
      <w:bookmarkEnd w:id="2736"/>
      <w:bookmarkEnd w:id="2737"/>
      <w:r w:rsidRPr="001531CD">
        <w:t>§191.</w:t>
      </w:r>
      <w:r w:rsidRPr="001531CD">
        <w:tab/>
        <w:t>Creation</w:t>
      </w:r>
      <w:bookmarkEnd w:id="2739"/>
      <w:bookmarkEnd w:id="2740"/>
      <w:r w:rsidRPr="001531CD">
        <w:t xml:space="preserve"> </w:t>
      </w:r>
    </w:p>
    <w:p w14:paraId="54B915E8" w14:textId="77777777" w:rsidR="00E13258" w:rsidRPr="001531CD" w:rsidRDefault="00E13258" w:rsidP="00E13258">
      <w:pPr>
        <w:pStyle w:val="A"/>
      </w:pPr>
      <w:r w:rsidRPr="001531CD">
        <w:t>A.</w:t>
      </w:r>
      <w:r w:rsidRPr="001531CD">
        <w:tab/>
        <w:t>The Grain and Cotton Indemnity Fund is hereby created pursuant to R.S. 3:3410.2.</w:t>
      </w:r>
    </w:p>
    <w:p w14:paraId="5B8A4DE1" w14:textId="77777777" w:rsidR="009E2FE3" w:rsidRPr="001531CD" w:rsidRDefault="00E13258" w:rsidP="00E13258">
      <w:pPr>
        <w:pStyle w:val="AuthorityNote"/>
      </w:pPr>
      <w:r w:rsidRPr="001531CD">
        <w:t>AUTHORITY NOTE:</w:t>
      </w:r>
      <w:r w:rsidRPr="001531CD">
        <w:tab/>
        <w:t>Promulgated in accordance with R.S. 3:3410.2.</w:t>
      </w:r>
    </w:p>
    <w:p w14:paraId="63DAA074"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14:paraId="554A7BAC" w14:textId="77777777" w:rsidR="00E13258" w:rsidRPr="001531CD" w:rsidRDefault="00E13258" w:rsidP="00E13258">
      <w:pPr>
        <w:pStyle w:val="Section"/>
      </w:pPr>
      <w:bookmarkStart w:id="2741" w:name="_Toc235870257"/>
      <w:bookmarkStart w:id="2742" w:name="_Toc224819359"/>
      <w:r w:rsidRPr="001531CD">
        <w:t>§193.</w:t>
      </w:r>
      <w:r w:rsidRPr="001531CD">
        <w:tab/>
        <w:t>Definitions</w:t>
      </w:r>
      <w:bookmarkEnd w:id="2741"/>
      <w:bookmarkEnd w:id="2742"/>
    </w:p>
    <w:p w14:paraId="25776727" w14:textId="77777777" w:rsidR="00E13258" w:rsidRPr="001531CD" w:rsidRDefault="00E13258" w:rsidP="00E13258">
      <w:pPr>
        <w:pStyle w:val="A"/>
      </w:pPr>
      <w:r w:rsidRPr="001531CD">
        <w:t>A.</w:t>
      </w:r>
      <w:r w:rsidRPr="001531CD">
        <w:tab/>
        <w:t>The following words and terms are defined for purposes of this Subchapter and supplement</w:t>
      </w:r>
      <w:r w:rsidRPr="001531CD">
        <w:rPr>
          <w:color w:val="FF0000"/>
        </w:rPr>
        <w:t xml:space="preserve"> </w:t>
      </w:r>
      <w:r w:rsidRPr="001531CD">
        <w:t>the words and terms defined in §101 of this Part.</w:t>
      </w:r>
    </w:p>
    <w:p w14:paraId="70BD0BB2" w14:textId="77777777" w:rsidR="00E13258" w:rsidRPr="001531CD" w:rsidRDefault="00E13258" w:rsidP="00E13258">
      <w:pPr>
        <w:pStyle w:val="1"/>
      </w:pPr>
      <w:r w:rsidRPr="001531CD">
        <w:rPr>
          <w:i/>
        </w:rPr>
        <w:t>Claimant</w:t>
      </w:r>
      <w:r w:rsidRPr="001531CD">
        <w:t>—a producer, as defined in §101 of this Part.</w:t>
      </w:r>
    </w:p>
    <w:p w14:paraId="1F76A546" w14:textId="77777777" w:rsidR="00E13258" w:rsidRPr="001531CD" w:rsidRDefault="00E13258" w:rsidP="00E13258">
      <w:pPr>
        <w:pStyle w:val="1"/>
        <w:rPr>
          <w:strike/>
        </w:rPr>
      </w:pPr>
      <w:r w:rsidRPr="001531CD">
        <w:rPr>
          <w:i/>
        </w:rPr>
        <w:t>Fund</w:t>
      </w:r>
      <w:r w:rsidRPr="001531CD">
        <w:t>—the Grain and Cotton Indemnity Fund.</w:t>
      </w:r>
    </w:p>
    <w:p w14:paraId="25AF40C7" w14:textId="77777777" w:rsidR="00E13258" w:rsidRPr="001531CD" w:rsidRDefault="00E13258" w:rsidP="00E13258">
      <w:pPr>
        <w:pStyle w:val="1"/>
      </w:pPr>
      <w:r w:rsidRPr="001531CD">
        <w:rPr>
          <w:i/>
        </w:rPr>
        <w:t>Insolvency</w:t>
      </w:r>
      <w:r w:rsidRPr="001531CD">
        <w:t>—the inability of a licensee to meet debts or discharge liabilities.</w:t>
      </w:r>
    </w:p>
    <w:p w14:paraId="4F54DDAC" w14:textId="77777777" w:rsidR="00E13258" w:rsidRPr="001531CD" w:rsidRDefault="00E13258" w:rsidP="00E13258">
      <w:pPr>
        <w:pStyle w:val="1"/>
      </w:pPr>
      <w:r w:rsidRPr="001531CD">
        <w:rPr>
          <w:i/>
        </w:rPr>
        <w:t>Licensee</w:t>
      </w:r>
      <w:r w:rsidRPr="001531CD">
        <w:t xml:space="preserve">—for purposes of this Subchapter only, a </w:t>
      </w:r>
      <w:r w:rsidRPr="001531CD">
        <w:rPr>
          <w:i/>
        </w:rPr>
        <w:t>Licensee</w:t>
      </w:r>
      <w:r w:rsidRPr="001531CD">
        <w:t xml:space="preserve"> is a cotton merchant as defined in R.S. 3:3402(6) or a grain dealer as defined in R.S. 3:3402(10).</w:t>
      </w:r>
    </w:p>
    <w:p w14:paraId="05C8DEFD" w14:textId="77777777" w:rsidR="00E13258" w:rsidRPr="001531CD" w:rsidRDefault="00E13258" w:rsidP="00E13258">
      <w:pPr>
        <w:pStyle w:val="1"/>
      </w:pPr>
      <w:r w:rsidRPr="001531CD">
        <w:rPr>
          <w:i/>
        </w:rPr>
        <w:t>Value of Commodity</w:t>
      </w:r>
      <w:r w:rsidRPr="001531CD">
        <w:t>—the quoted price plus or minus premiums or discounts such as moisture and quality factors.</w:t>
      </w:r>
    </w:p>
    <w:p w14:paraId="061F38AD" w14:textId="77777777" w:rsidR="009E2FE3" w:rsidRPr="001531CD" w:rsidRDefault="00E13258" w:rsidP="00E13258">
      <w:pPr>
        <w:pStyle w:val="AuthorityNote"/>
      </w:pPr>
      <w:r w:rsidRPr="001531CD">
        <w:t>AUTHORITY NOTE:</w:t>
      </w:r>
      <w:r w:rsidRPr="001531CD">
        <w:tab/>
        <w:t>Promulgated in accordance with R.S. 3:3410.2.</w:t>
      </w:r>
    </w:p>
    <w:p w14:paraId="76CDF121"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 xml:space="preserve">629 (April 2009), amended by the Department of Agriculture and Forestry, Agricultural Commodities Commission, LR 37:510 (February 2011). </w:t>
      </w:r>
    </w:p>
    <w:p w14:paraId="55A8663D" w14:textId="77777777" w:rsidR="00E13258" w:rsidRPr="001531CD" w:rsidRDefault="00E13258" w:rsidP="00E13258">
      <w:pPr>
        <w:pStyle w:val="Section"/>
      </w:pPr>
      <w:bookmarkStart w:id="2743" w:name="_Toc198953464"/>
      <w:bookmarkStart w:id="2744" w:name="_Toc235870258"/>
      <w:bookmarkStart w:id="2745" w:name="_Toc224819360"/>
      <w:r w:rsidRPr="001531CD">
        <w:t>§195.</w:t>
      </w:r>
      <w:r w:rsidRPr="001531CD">
        <w:tab/>
      </w:r>
      <w:bookmarkEnd w:id="2743"/>
      <w:r w:rsidRPr="001531CD">
        <w:t>Purpose</w:t>
      </w:r>
      <w:bookmarkEnd w:id="2744"/>
      <w:bookmarkEnd w:id="2745"/>
    </w:p>
    <w:p w14:paraId="386717B0" w14:textId="77777777" w:rsidR="00E13258" w:rsidRPr="001531CD" w:rsidRDefault="00E13258" w:rsidP="00E13258">
      <w:pPr>
        <w:pStyle w:val="A"/>
      </w:pPr>
      <w:r w:rsidRPr="001531CD">
        <w:t>A.</w:t>
      </w:r>
      <w:r w:rsidRPr="001531CD">
        <w:tab/>
        <w:t>Upon the insolvency of a licensee, the fund shall be used to reimburse a producer who has not otherwise been fully compensated for grain or cotton sold to the licensee.</w:t>
      </w:r>
    </w:p>
    <w:p w14:paraId="6604997F" w14:textId="77777777" w:rsidR="009E2FE3" w:rsidRPr="001531CD" w:rsidRDefault="00E13258" w:rsidP="00E13258">
      <w:pPr>
        <w:pStyle w:val="AuthorityNote"/>
      </w:pPr>
      <w:r w:rsidRPr="001531CD">
        <w:t>AUTHORITY NOTE:</w:t>
      </w:r>
      <w:r w:rsidRPr="001531CD">
        <w:tab/>
        <w:t>Promulgated in accordance with R.S. 3:3410.2.</w:t>
      </w:r>
    </w:p>
    <w:p w14:paraId="59817FD1"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14:paraId="5811573B" w14:textId="77777777" w:rsidR="00E13258" w:rsidRPr="001531CD" w:rsidRDefault="00E13258" w:rsidP="00E13258">
      <w:pPr>
        <w:pStyle w:val="Section"/>
      </w:pPr>
      <w:bookmarkStart w:id="2746" w:name="_Toc198953466"/>
      <w:bookmarkStart w:id="2747" w:name="_Toc235870259"/>
      <w:bookmarkStart w:id="2748" w:name="_Toc224819361"/>
      <w:bookmarkStart w:id="2749" w:name="_Toc198953468"/>
      <w:r w:rsidRPr="001531CD">
        <w:t>§197.</w:t>
      </w:r>
      <w:r w:rsidRPr="001531CD">
        <w:tab/>
        <w:t>Assessment</w:t>
      </w:r>
      <w:bookmarkEnd w:id="2746"/>
      <w:r w:rsidRPr="001531CD">
        <w:t>s</w:t>
      </w:r>
      <w:bookmarkEnd w:id="2747"/>
      <w:bookmarkEnd w:id="2748"/>
    </w:p>
    <w:p w14:paraId="2C4C5843" w14:textId="77777777" w:rsidR="00E13258" w:rsidRPr="001531CD" w:rsidRDefault="00E13258" w:rsidP="00E13258">
      <w:pPr>
        <w:pStyle w:val="A"/>
      </w:pPr>
      <w:r w:rsidRPr="001531CD">
        <w:t>A.</w:t>
      </w:r>
      <w:r w:rsidRPr="001531CD">
        <w:tab/>
        <w:t>The commission shall charge an assessment at the rate of 1/25 of one percent on the value of all agricultural commodities regulated under this Chapter which are purchased by grain dealers and cotton merchants licensed in this state.</w:t>
      </w:r>
    </w:p>
    <w:p w14:paraId="07E2D66A" w14:textId="77777777" w:rsidR="00E13258" w:rsidRPr="001531CD" w:rsidRDefault="00E13258" w:rsidP="00E13258">
      <w:pPr>
        <w:pStyle w:val="A"/>
      </w:pPr>
      <w:r w:rsidRPr="001531CD">
        <w:t>B.</w:t>
      </w:r>
      <w:r w:rsidRPr="001531CD">
        <w:tab/>
        <w:t>The assessments shall be levied only on commodities which are grown in Louisiana and that are regulated by the commission.</w:t>
      </w:r>
    </w:p>
    <w:p w14:paraId="24484C58" w14:textId="77777777" w:rsidR="00E13258" w:rsidRPr="001531CD" w:rsidRDefault="00E13258" w:rsidP="00E13258">
      <w:pPr>
        <w:pStyle w:val="A"/>
      </w:pPr>
      <w:r w:rsidRPr="001531CD">
        <w:t>C.</w:t>
      </w:r>
      <w:r w:rsidRPr="001531CD">
        <w:tab/>
        <w:t>The assessments shall be due and payable to the commission by the licensee at the first point of sale, except as otherwise provided for under §199 of this Part.</w:t>
      </w:r>
    </w:p>
    <w:p w14:paraId="04A5896A" w14:textId="77777777" w:rsidR="00E13258" w:rsidRPr="001531CD" w:rsidRDefault="00E13258" w:rsidP="00E13258">
      <w:pPr>
        <w:pStyle w:val="A"/>
      </w:pPr>
      <w:r w:rsidRPr="001531CD">
        <w:t>D.</w:t>
      </w:r>
      <w:r w:rsidRPr="001531CD">
        <w:tab/>
        <w:t>The assessments shall be due to the commission on a monthly basis.</w:t>
      </w:r>
    </w:p>
    <w:p w14:paraId="5D9558E2" w14:textId="77777777" w:rsidR="00E13258" w:rsidRPr="001531CD" w:rsidRDefault="00E13258" w:rsidP="00E13258">
      <w:pPr>
        <w:pStyle w:val="A"/>
      </w:pPr>
      <w:r w:rsidRPr="001531CD">
        <w:lastRenderedPageBreak/>
        <w:t>E.</w:t>
      </w:r>
      <w:r w:rsidRPr="001531CD">
        <w:tab/>
        <w:t>Each grain dealer and cotton merchant shall send a completed copy of the Louisiana Grain and Cotton Indemnity Fund Monthly Assessment Report (supplied by the commission) and assessment to the commission by the fifteenth of each month for the preceding month.</w:t>
      </w:r>
    </w:p>
    <w:p w14:paraId="457FCAD7" w14:textId="77777777" w:rsidR="00E13258" w:rsidRPr="001531CD" w:rsidRDefault="00E13258" w:rsidP="00E13258">
      <w:pPr>
        <w:pStyle w:val="A"/>
      </w:pPr>
      <w:r w:rsidRPr="001531CD">
        <w:t>F.</w:t>
      </w:r>
      <w:r w:rsidRPr="001531CD">
        <w:tab/>
        <w:t>In the event no assessments are collected by the licensee, the licensee shall still submit a report each month to the commission on the approved form.</w:t>
      </w:r>
    </w:p>
    <w:p w14:paraId="529573CB" w14:textId="77777777" w:rsidR="009E2FE3" w:rsidRPr="001531CD" w:rsidRDefault="00E13258" w:rsidP="00E13258">
      <w:pPr>
        <w:pStyle w:val="AuthorityNote"/>
      </w:pPr>
      <w:r w:rsidRPr="001531CD">
        <w:t>AUTHORITY NOTE:</w:t>
      </w:r>
      <w:r w:rsidRPr="001531CD">
        <w:tab/>
        <w:t>Promulgated in accordance with R.S. 3:3410.2.</w:t>
      </w:r>
    </w:p>
    <w:p w14:paraId="4A881CD8" w14:textId="77777777" w:rsidR="009E2FE3" w:rsidRPr="001531CD" w:rsidRDefault="009E2FE3" w:rsidP="009E2FE3">
      <w:pPr>
        <w:pStyle w:val="HistoricalNote"/>
      </w:pPr>
      <w:r w:rsidRPr="001531CD">
        <w:t>HISTORICAL NOTE:</w:t>
      </w:r>
      <w:r w:rsidRPr="001531CD">
        <w:tab/>
        <w:t xml:space="preserve">Promulgated by the Department of Agriculture and Forestry, Office of Agro-Consumer Services, Agricultural Commodities Commission, LR 35:629 </w:t>
      </w:r>
      <w:r w:rsidR="00E13258" w:rsidRPr="001531CD">
        <w:t>(April 2009), amended by the Department of Agriculture and Forestry, Agricultural Commodities Commission, LR 37:510 (February 2011).</w:t>
      </w:r>
    </w:p>
    <w:p w14:paraId="62C76C19" w14:textId="77777777" w:rsidR="00E13258" w:rsidRPr="001531CD" w:rsidRDefault="00E13258" w:rsidP="00E13258">
      <w:pPr>
        <w:pStyle w:val="Section"/>
      </w:pPr>
      <w:bookmarkStart w:id="2750" w:name="_Toc235870260"/>
      <w:bookmarkStart w:id="2751" w:name="_Toc224819362"/>
      <w:r w:rsidRPr="001531CD">
        <w:t>§199.</w:t>
      </w:r>
      <w:r w:rsidRPr="001531CD">
        <w:tab/>
        <w:t>Cotton Merchants Operating on a Cooperative Basis</w:t>
      </w:r>
      <w:bookmarkEnd w:id="2750"/>
      <w:bookmarkEnd w:id="2751"/>
    </w:p>
    <w:p w14:paraId="178AEEED" w14:textId="77777777" w:rsidR="00E13258" w:rsidRPr="001531CD" w:rsidRDefault="00E13258" w:rsidP="00E13258">
      <w:pPr>
        <w:pStyle w:val="A"/>
      </w:pPr>
      <w:r w:rsidRPr="001531CD">
        <w:t>A.</w:t>
      </w:r>
      <w:r w:rsidRPr="001531CD">
        <w:tab/>
        <w:t>Cotton merchants operating on a cooperative basis shall pay the assessment rate of 1/25 of one percent of the value of the commodity at the time of each payment, including any initial advance payment, progress payments and final payment to its members as proceeds of the crop.</w:t>
      </w:r>
    </w:p>
    <w:p w14:paraId="47FCA688" w14:textId="77777777" w:rsidR="00E13258" w:rsidRPr="001531CD" w:rsidRDefault="00E13258" w:rsidP="00E13258">
      <w:pPr>
        <w:pStyle w:val="AuthorityNote"/>
      </w:pPr>
      <w:r w:rsidRPr="001531CD">
        <w:t>AUTHORITY NOTE:</w:t>
      </w:r>
      <w:r w:rsidRPr="001531CD">
        <w:tab/>
        <w:t>Promulgated in accordance with R.S. 3:3410.2.</w:t>
      </w:r>
    </w:p>
    <w:p w14:paraId="428D7E3B"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14:paraId="49307A92" w14:textId="77777777" w:rsidR="00E13258" w:rsidRPr="001531CD" w:rsidRDefault="00E13258" w:rsidP="00E13258">
      <w:pPr>
        <w:pStyle w:val="Section"/>
      </w:pPr>
      <w:bookmarkStart w:id="2752" w:name="_Toc235870261"/>
      <w:bookmarkStart w:id="2753" w:name="_Toc224819363"/>
      <w:bookmarkStart w:id="2754" w:name="_Toc198953469"/>
      <w:bookmarkEnd w:id="2749"/>
      <w:r w:rsidRPr="001531CD">
        <w:t>§201.</w:t>
      </w:r>
      <w:r w:rsidRPr="001531CD">
        <w:tab/>
        <w:t>Claim Provisions</w:t>
      </w:r>
      <w:bookmarkEnd w:id="2752"/>
      <w:bookmarkEnd w:id="2753"/>
    </w:p>
    <w:p w14:paraId="63DB0469" w14:textId="77777777" w:rsidR="00E13258" w:rsidRPr="001531CD" w:rsidRDefault="00E13258" w:rsidP="00E13258">
      <w:pPr>
        <w:pStyle w:val="A"/>
      </w:pPr>
      <w:r w:rsidRPr="001531CD">
        <w:t>A.</w:t>
      </w:r>
      <w:r w:rsidRPr="001531CD">
        <w:tab/>
        <w:t>The monies in the Grain and Cotton Indemnity Fund shall be used solely for the administration and operation of the fund.</w:t>
      </w:r>
    </w:p>
    <w:p w14:paraId="64451406" w14:textId="77777777" w:rsidR="00E13258" w:rsidRPr="001531CD" w:rsidRDefault="00E13258" w:rsidP="00E13258">
      <w:pPr>
        <w:pStyle w:val="A"/>
      </w:pPr>
      <w:r w:rsidRPr="001531CD">
        <w:t>B.</w:t>
      </w:r>
      <w:r w:rsidRPr="001531CD">
        <w:tab/>
        <w:t>Any claimant who wishes to assert a claim shall provide, under oath, written and notarized proof of a loss covered by this fund within 60 days of the loss.</w:t>
      </w:r>
    </w:p>
    <w:p w14:paraId="491E08E4" w14:textId="77777777" w:rsidR="00E13258" w:rsidRPr="001531CD" w:rsidRDefault="00E13258" w:rsidP="00E13258">
      <w:pPr>
        <w:pStyle w:val="A"/>
      </w:pPr>
      <w:r w:rsidRPr="001531CD">
        <w:t>C.</w:t>
      </w:r>
      <w:r w:rsidRPr="001531CD">
        <w:tab/>
        <w:t>A written claim shall include all of the following information:</w:t>
      </w:r>
    </w:p>
    <w:p w14:paraId="2047DD16" w14:textId="77777777" w:rsidR="00E13258" w:rsidRPr="001531CD" w:rsidRDefault="00E13258" w:rsidP="00E13258">
      <w:pPr>
        <w:pStyle w:val="1"/>
      </w:pPr>
      <w:r w:rsidRPr="001531CD">
        <w:t>1.</w:t>
      </w:r>
      <w:r w:rsidRPr="001531CD">
        <w:tab/>
        <w:t>name and address of claimant;</w:t>
      </w:r>
    </w:p>
    <w:p w14:paraId="7FF948B0" w14:textId="77777777" w:rsidR="00E13258" w:rsidRPr="001531CD" w:rsidRDefault="00E13258" w:rsidP="00E13258">
      <w:pPr>
        <w:pStyle w:val="1"/>
      </w:pPr>
      <w:r w:rsidRPr="001531CD">
        <w:t>2.</w:t>
      </w:r>
      <w:r w:rsidRPr="001531CD">
        <w:tab/>
        <w:t>name of the licensee against whom claimant is asserting a loss;</w:t>
      </w:r>
    </w:p>
    <w:p w14:paraId="196694E1" w14:textId="77777777" w:rsidR="00E13258" w:rsidRPr="001531CD" w:rsidRDefault="00E13258" w:rsidP="00E13258">
      <w:pPr>
        <w:pStyle w:val="1"/>
      </w:pPr>
      <w:r w:rsidRPr="001531CD">
        <w:t>3.</w:t>
      </w:r>
      <w:r w:rsidRPr="001531CD">
        <w:tab/>
        <w:t>nature of the relationship and transaction between claimant and licensee;</w:t>
      </w:r>
    </w:p>
    <w:p w14:paraId="0F6A48D8" w14:textId="77777777" w:rsidR="00E13258" w:rsidRPr="001531CD" w:rsidRDefault="00E13258" w:rsidP="00E13258">
      <w:pPr>
        <w:pStyle w:val="1"/>
      </w:pPr>
      <w:r w:rsidRPr="001531CD">
        <w:t>4.</w:t>
      </w:r>
      <w:r w:rsidRPr="001531CD">
        <w:tab/>
        <w:t>the date of the loss which shall be defined as the date on which the claimant knew or should have known that a loss had occurred;</w:t>
      </w:r>
    </w:p>
    <w:p w14:paraId="7B79366B" w14:textId="77777777" w:rsidR="00E13258" w:rsidRPr="001531CD" w:rsidRDefault="00E13258" w:rsidP="00E13258">
      <w:pPr>
        <w:pStyle w:val="1"/>
      </w:pPr>
      <w:r w:rsidRPr="001531CD">
        <w:t>5.</w:t>
      </w:r>
      <w:r w:rsidRPr="001531CD">
        <w:tab/>
        <w:t>the amount of the loss and how calculated;</w:t>
      </w:r>
    </w:p>
    <w:p w14:paraId="7429B0A9" w14:textId="77777777" w:rsidR="00E13258" w:rsidRPr="001531CD" w:rsidRDefault="00E13258" w:rsidP="00E13258">
      <w:pPr>
        <w:pStyle w:val="1"/>
      </w:pPr>
      <w:r w:rsidRPr="001531CD">
        <w:t>6.</w:t>
      </w:r>
      <w:r w:rsidRPr="001531CD">
        <w:tab/>
        <w:t>a concise explanation of the circumstances that precipitated the loss;</w:t>
      </w:r>
    </w:p>
    <w:p w14:paraId="7E6B4518" w14:textId="77777777" w:rsidR="00E13258" w:rsidRPr="001531CD" w:rsidRDefault="00E13258" w:rsidP="00E13258">
      <w:pPr>
        <w:pStyle w:val="1"/>
      </w:pPr>
      <w:r w:rsidRPr="001531CD">
        <w:t>7.</w:t>
      </w:r>
      <w:r w:rsidRPr="001531CD">
        <w:tab/>
        <w:t>copies of those documents relied upon by claimant as proof of said loss.</w:t>
      </w:r>
    </w:p>
    <w:p w14:paraId="744693BD" w14:textId="77777777" w:rsidR="00E13258" w:rsidRPr="001531CD" w:rsidRDefault="00E13258" w:rsidP="00E13258">
      <w:pPr>
        <w:pStyle w:val="A"/>
      </w:pPr>
      <w:r w:rsidRPr="001531CD">
        <w:t>D.</w:t>
      </w:r>
      <w:r w:rsidRPr="001531CD">
        <w:tab/>
        <w:t>Failure to furnish such proof of loss within the required time shall not invalidate nor reduce the claim if it was not reasonably possible to give proof within such time, provided such proof is furnished as soon as reasonably possible.</w:t>
      </w:r>
    </w:p>
    <w:p w14:paraId="529EBAC3" w14:textId="77777777" w:rsidR="00E13258" w:rsidRPr="001531CD" w:rsidRDefault="00E13258" w:rsidP="00E13258">
      <w:pPr>
        <w:pStyle w:val="A"/>
      </w:pPr>
      <w:r w:rsidRPr="001531CD">
        <w:t>E.</w:t>
      </w:r>
      <w:r w:rsidRPr="001531CD">
        <w:tab/>
        <w:t>Upon receipt of a proof of loss, the commission shall review the claim to determine whether it is covered under the program. The burden of proof to establish the loss shall be upon the claimant.</w:t>
      </w:r>
    </w:p>
    <w:p w14:paraId="2E6FA37B" w14:textId="77777777" w:rsidR="00E13258" w:rsidRPr="001531CD" w:rsidRDefault="00E13258" w:rsidP="00E13258">
      <w:pPr>
        <w:pStyle w:val="A"/>
      </w:pPr>
      <w:r w:rsidRPr="001531CD">
        <w:t>F.</w:t>
      </w:r>
      <w:r w:rsidRPr="001531CD">
        <w:tab/>
        <w:t>Once proof of loss has been filed against a licensee, the commission may make a complete inspection of the licensee's physical facilities and the contents thereof, as well as an examination of all books and records of the licensee and/or claimant, subject to the confidentially requirements of R.S. 3:3421.</w:t>
      </w:r>
    </w:p>
    <w:p w14:paraId="0BDF7AF5" w14:textId="77777777" w:rsidR="00E13258" w:rsidRPr="001531CD" w:rsidRDefault="00E13258" w:rsidP="00E13258">
      <w:pPr>
        <w:pStyle w:val="A"/>
      </w:pPr>
      <w:r w:rsidRPr="001531CD">
        <w:t>G.</w:t>
      </w:r>
      <w:r w:rsidRPr="001531CD">
        <w:tab/>
        <w:t>Once proof of loss has been filed against a licensee, any other claimants alleging a loss caused by said licensee shall have a period of 60 days within which to post and thereby file a written claim.</w:t>
      </w:r>
    </w:p>
    <w:p w14:paraId="177CB13E" w14:textId="77777777" w:rsidR="00E13258" w:rsidRPr="001531CD" w:rsidRDefault="00E13258" w:rsidP="00E13258">
      <w:pPr>
        <w:pStyle w:val="A"/>
      </w:pPr>
      <w:r w:rsidRPr="001531CD">
        <w:t>H.</w:t>
      </w:r>
      <w:r w:rsidRPr="001531CD">
        <w:tab/>
        <w:t>The said 60 day period shall begin to run upon publication by the commission of the notice of claim in the official local journal for legal notices, or the print publication with the highest circulation in the area serviced by the licensee.</w:t>
      </w:r>
    </w:p>
    <w:p w14:paraId="25A85FC2" w14:textId="77777777" w:rsidR="00E13258" w:rsidRPr="001531CD" w:rsidRDefault="00E13258" w:rsidP="00E13258">
      <w:pPr>
        <w:pStyle w:val="A"/>
      </w:pPr>
      <w:r w:rsidRPr="001531CD">
        <w:t>I.</w:t>
      </w:r>
      <w:r w:rsidRPr="001531CD">
        <w:tab/>
        <w:t>If claims for indemnity payments from the fund exceed the amount in the fund, the commission shall prorate the claims and pay the prorated amounts. As future assessments are collected, the commission shall continue to forward indemnity payments to each eligible person until the person receives the maximum amount payable in accordance with this Subchapter.</w:t>
      </w:r>
    </w:p>
    <w:p w14:paraId="476E4CD9" w14:textId="77777777" w:rsidR="00E13258" w:rsidRPr="001531CD" w:rsidRDefault="00E13258" w:rsidP="00E13258">
      <w:pPr>
        <w:pStyle w:val="A"/>
      </w:pPr>
      <w:r w:rsidRPr="001531CD">
        <w:t>J.</w:t>
      </w:r>
      <w:r w:rsidRPr="001531CD">
        <w:tab/>
        <w:t>Distributions from the fund shall be made on a periodic basis as deemed necessary by the commission.</w:t>
      </w:r>
    </w:p>
    <w:p w14:paraId="6D870396" w14:textId="77777777" w:rsidR="009E2FE3" w:rsidRPr="001531CD" w:rsidRDefault="00E13258" w:rsidP="00E13258">
      <w:pPr>
        <w:pStyle w:val="AuthorityNote"/>
      </w:pPr>
      <w:r w:rsidRPr="001531CD">
        <w:t>AUTHORITY NOTE:</w:t>
      </w:r>
      <w:r w:rsidRPr="001531CD">
        <w:tab/>
        <w:t xml:space="preserve">Promulgated in accordance with R.S. 3:3410.2. </w:t>
      </w:r>
    </w:p>
    <w:p w14:paraId="6FA17AC4"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 xml:space="preserve">630 (April 2009), amended by the Department of Agriculture and Forestry, Agricultural Commodities Commission, LR 37:510 (February 2011). </w:t>
      </w:r>
    </w:p>
    <w:p w14:paraId="20EF92FD" w14:textId="77777777" w:rsidR="00E13258" w:rsidRPr="001531CD" w:rsidRDefault="00E13258" w:rsidP="00E13258">
      <w:pPr>
        <w:pStyle w:val="Section"/>
      </w:pPr>
      <w:bookmarkStart w:id="2755" w:name="_Toc235870262"/>
      <w:bookmarkStart w:id="2756" w:name="_Toc224819364"/>
      <w:r w:rsidRPr="001531CD">
        <w:t>§203.</w:t>
      </w:r>
      <w:r w:rsidRPr="001531CD">
        <w:tab/>
        <w:t>Distribution of Funds for Claims from Prior Insolvency</w:t>
      </w:r>
      <w:bookmarkEnd w:id="2755"/>
      <w:bookmarkEnd w:id="2756"/>
    </w:p>
    <w:p w14:paraId="21E6A909" w14:textId="77777777" w:rsidR="00E13258" w:rsidRPr="001531CD" w:rsidRDefault="00E13258" w:rsidP="00E13258">
      <w:pPr>
        <w:pStyle w:val="A"/>
      </w:pPr>
      <w:r w:rsidRPr="001531CD">
        <w:t>A.</w:t>
      </w:r>
      <w:r w:rsidRPr="001531CD">
        <w:tab/>
        <w:t>Any claimant who wishes to assert a claim against a licensee who became or becomes insolvent after January 1, 2008, but before the promulgation of these rules shall provide, under oath, written and notarized proof of a loss covered by this fund within 30 days of notification of claim process.</w:t>
      </w:r>
    </w:p>
    <w:p w14:paraId="28EF8FCB" w14:textId="77777777" w:rsidR="00E13258" w:rsidRPr="001531CD" w:rsidRDefault="00E13258" w:rsidP="00E13258">
      <w:pPr>
        <w:pStyle w:val="A"/>
      </w:pPr>
      <w:r w:rsidRPr="001531CD">
        <w:t>B.</w:t>
      </w:r>
      <w:r w:rsidRPr="001531CD">
        <w:tab/>
        <w:t>A written claim shall include all of the following information:</w:t>
      </w:r>
    </w:p>
    <w:p w14:paraId="096C2A34" w14:textId="77777777" w:rsidR="00E13258" w:rsidRPr="001531CD" w:rsidRDefault="00E13258" w:rsidP="00E13258">
      <w:pPr>
        <w:pStyle w:val="1"/>
      </w:pPr>
      <w:r w:rsidRPr="001531CD">
        <w:t>1.</w:t>
      </w:r>
      <w:r w:rsidRPr="001531CD">
        <w:tab/>
        <w:t>name and address of claimant;</w:t>
      </w:r>
    </w:p>
    <w:p w14:paraId="159BBCFF" w14:textId="77777777" w:rsidR="00E13258" w:rsidRPr="001531CD" w:rsidRDefault="00E13258" w:rsidP="00E13258">
      <w:pPr>
        <w:pStyle w:val="1"/>
      </w:pPr>
      <w:r w:rsidRPr="001531CD">
        <w:t>2.</w:t>
      </w:r>
      <w:r w:rsidRPr="001531CD">
        <w:tab/>
        <w:t>name of the licensee against whom claimant is asserting a loss;</w:t>
      </w:r>
    </w:p>
    <w:p w14:paraId="12AE4DA5" w14:textId="77777777" w:rsidR="00E13258" w:rsidRPr="001531CD" w:rsidRDefault="00E13258" w:rsidP="00E13258">
      <w:pPr>
        <w:pStyle w:val="1"/>
      </w:pPr>
      <w:r w:rsidRPr="001531CD">
        <w:t>3.</w:t>
      </w:r>
      <w:r w:rsidRPr="001531CD">
        <w:tab/>
        <w:t>nature of the relationship and transaction between claimant and licensee;</w:t>
      </w:r>
    </w:p>
    <w:p w14:paraId="43E55F99" w14:textId="77777777" w:rsidR="00E13258" w:rsidRPr="001531CD" w:rsidRDefault="00E13258" w:rsidP="00E13258">
      <w:pPr>
        <w:pStyle w:val="1"/>
      </w:pPr>
      <w:r w:rsidRPr="001531CD">
        <w:lastRenderedPageBreak/>
        <w:t>4.</w:t>
      </w:r>
      <w:r w:rsidRPr="001531CD">
        <w:tab/>
        <w:t>the date of the loss which shall be defined as the date on which the claimant knew or should have known that a loss had occurred;</w:t>
      </w:r>
    </w:p>
    <w:p w14:paraId="51915450" w14:textId="77777777" w:rsidR="00E13258" w:rsidRPr="001531CD" w:rsidRDefault="00E13258" w:rsidP="00E13258">
      <w:pPr>
        <w:pStyle w:val="1"/>
      </w:pPr>
      <w:r w:rsidRPr="001531CD">
        <w:t>5.</w:t>
      </w:r>
      <w:r w:rsidRPr="001531CD">
        <w:tab/>
        <w:t>the amount of the loss and how calculated;</w:t>
      </w:r>
    </w:p>
    <w:p w14:paraId="4F5C51D6" w14:textId="77777777" w:rsidR="00E13258" w:rsidRPr="001531CD" w:rsidRDefault="00E13258" w:rsidP="00E13258">
      <w:pPr>
        <w:pStyle w:val="1"/>
      </w:pPr>
      <w:r w:rsidRPr="001531CD">
        <w:t>6.</w:t>
      </w:r>
      <w:r w:rsidRPr="001531CD">
        <w:tab/>
        <w:t>a concise explanation of the circumstances that precipitated the loss;</w:t>
      </w:r>
    </w:p>
    <w:p w14:paraId="23BC513E" w14:textId="77777777" w:rsidR="00E13258" w:rsidRPr="001531CD" w:rsidRDefault="00E13258" w:rsidP="00E13258">
      <w:pPr>
        <w:pStyle w:val="1"/>
      </w:pPr>
      <w:r w:rsidRPr="001531CD">
        <w:t>7.</w:t>
      </w:r>
      <w:r w:rsidRPr="001531CD">
        <w:tab/>
        <w:t>copies of those documents relied upon by claimant as proof of said loss.</w:t>
      </w:r>
    </w:p>
    <w:p w14:paraId="0A856A7A" w14:textId="77777777" w:rsidR="00E13258" w:rsidRPr="001531CD" w:rsidRDefault="00E13258" w:rsidP="00E13258">
      <w:pPr>
        <w:pStyle w:val="A"/>
      </w:pPr>
      <w:r w:rsidRPr="001531CD">
        <w:t>C.</w:t>
      </w:r>
      <w:r w:rsidRPr="001531CD">
        <w:tab/>
        <w:t>Upon receipt of proof of loss, the commission shall review the claim to determine whether it is covered under the program. The burden of proof to establish the loss shall be upon the claimant.</w:t>
      </w:r>
    </w:p>
    <w:p w14:paraId="3B529194" w14:textId="77777777" w:rsidR="00E13258" w:rsidRPr="001531CD" w:rsidRDefault="00E13258" w:rsidP="00E13258">
      <w:pPr>
        <w:pStyle w:val="A"/>
      </w:pPr>
      <w:r w:rsidRPr="001531CD">
        <w:t>D.</w:t>
      </w:r>
      <w:r w:rsidRPr="001531CD">
        <w:tab/>
        <w:t>The said 30 day period shall begin to run upon publication by the commission of the notice of claim process in the official local journal for legal notices or the print publication with the highest circulation in the area serviced by the licensee.</w:t>
      </w:r>
    </w:p>
    <w:p w14:paraId="69A7AAA3" w14:textId="77777777" w:rsidR="009E2FE3" w:rsidRPr="001531CD" w:rsidRDefault="00E13258" w:rsidP="00E13258">
      <w:pPr>
        <w:pStyle w:val="AuthorityNote"/>
      </w:pPr>
      <w:r w:rsidRPr="001531CD">
        <w:t>AUTHORITY NOTE:</w:t>
      </w:r>
      <w:r w:rsidRPr="001531CD">
        <w:tab/>
        <w:t>Promulgated in accordance with R.S. 3:3410.2.</w:t>
      </w:r>
    </w:p>
    <w:p w14:paraId="604A212E"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630 (April 2009), amended by the Department of Agriculture and Forestry, Agricultural Commodities Commission, LR 37:511 (February 2011).</w:t>
      </w:r>
    </w:p>
    <w:p w14:paraId="16E7C61E" w14:textId="77777777" w:rsidR="00E13258" w:rsidRPr="001531CD" w:rsidRDefault="00E13258" w:rsidP="00E13258">
      <w:pPr>
        <w:pStyle w:val="Section"/>
      </w:pPr>
      <w:bookmarkStart w:id="2757" w:name="_Toc235870263"/>
      <w:bookmarkStart w:id="2758" w:name="_Toc224819365"/>
      <w:bookmarkStart w:id="2759" w:name="_Toc198953470"/>
      <w:bookmarkEnd w:id="2754"/>
      <w:r w:rsidRPr="001531CD">
        <w:t>§205.</w:t>
      </w:r>
      <w:r w:rsidRPr="001531CD">
        <w:tab/>
        <w:t>Appeal Procedure</w:t>
      </w:r>
      <w:bookmarkEnd w:id="2757"/>
      <w:bookmarkEnd w:id="2758"/>
    </w:p>
    <w:p w14:paraId="54A82FA9" w14:textId="77777777" w:rsidR="00E13258" w:rsidRPr="001531CD" w:rsidRDefault="00E13258" w:rsidP="00E13258">
      <w:pPr>
        <w:pStyle w:val="A"/>
      </w:pPr>
      <w:r w:rsidRPr="001531CD">
        <w:t>A.</w:t>
      </w:r>
      <w:r w:rsidRPr="001531CD">
        <w:tab/>
        <w:t>Any decision of the commission to deny or grant a claim for payment from the fund may be appealed to the commission by the licensee or claimant by seeking an adjudicatory hearing to have said decision reconsidered by the commission in accordance with Chapter 13 of Title 49 of the Louisiana Revised Statutes, as well as all subsequent appeals therefrom, provided said appellant files with the commission a written notice of appeal within 30 days of the mailing of the decision of the commission to the affected party.</w:t>
      </w:r>
    </w:p>
    <w:p w14:paraId="53393A2A" w14:textId="77777777" w:rsidR="00E13258" w:rsidRPr="001531CD" w:rsidRDefault="00E13258" w:rsidP="00E13258">
      <w:pPr>
        <w:pStyle w:val="A"/>
      </w:pPr>
      <w:r w:rsidRPr="001531CD">
        <w:t>B.</w:t>
      </w:r>
      <w:r w:rsidRPr="001531CD">
        <w:tab/>
        <w:t>The notice of appeal shall contain an expressed statement of each and every basis upon which said appeal is sought and the hearing to consider same shall be limited accordingly.</w:t>
      </w:r>
    </w:p>
    <w:p w14:paraId="557939F1" w14:textId="77777777" w:rsidR="009E2FE3" w:rsidRPr="001531CD" w:rsidRDefault="00E13258" w:rsidP="00E13258">
      <w:pPr>
        <w:pStyle w:val="AuthorityNote"/>
      </w:pPr>
      <w:r w:rsidRPr="001531CD">
        <w:t>AUTHORITY NOTE:</w:t>
      </w:r>
      <w:r w:rsidRPr="001531CD">
        <w:tab/>
        <w:t xml:space="preserve">Promulgated in accordance with R.S. 3:3410.2. </w:t>
      </w:r>
    </w:p>
    <w:p w14:paraId="26B0C6D7" w14:textId="77777777" w:rsidR="009E2FE3" w:rsidRPr="001531CD" w:rsidRDefault="009E2FE3" w:rsidP="009E2FE3">
      <w:pPr>
        <w:pStyle w:val="HistoricalNote"/>
      </w:pPr>
      <w:r w:rsidRPr="001531CD">
        <w:t>HISTORICAL NOTE</w:t>
      </w:r>
      <w:r w:rsidRPr="001531CD">
        <w:tab/>
        <w:t>:</w:t>
      </w:r>
      <w:r w:rsidRPr="001531CD">
        <w:tab/>
        <w:t>Promulgated by the Department of Agriculture and Forestry, Office of Agro-Consumer Services, Agricultural Commodities Commission, LR 35:</w:t>
      </w:r>
      <w:r w:rsidR="00E13258" w:rsidRPr="001531CD">
        <w:t>630 (April 2009), amended by the Department of Agriculture and Forestry, Agricultural Commodities Commission, LR 37:511 (February 2011).</w:t>
      </w:r>
    </w:p>
    <w:p w14:paraId="66C8FC59" w14:textId="77777777" w:rsidR="00E13258" w:rsidRPr="001531CD" w:rsidRDefault="00E13258" w:rsidP="00E13258">
      <w:pPr>
        <w:pStyle w:val="Section"/>
      </w:pPr>
      <w:bookmarkStart w:id="2760" w:name="_Toc235870264"/>
      <w:bookmarkStart w:id="2761" w:name="_Toc224819366"/>
      <w:bookmarkEnd w:id="2759"/>
      <w:r w:rsidRPr="001531CD">
        <w:t>§207.</w:t>
      </w:r>
      <w:r w:rsidRPr="001531CD">
        <w:tab/>
        <w:t>Subrogation</w:t>
      </w:r>
      <w:bookmarkEnd w:id="2760"/>
      <w:bookmarkEnd w:id="2761"/>
    </w:p>
    <w:p w14:paraId="4785BECB" w14:textId="77777777" w:rsidR="00E13258" w:rsidRPr="001531CD" w:rsidRDefault="00E13258" w:rsidP="00E13258">
      <w:pPr>
        <w:pStyle w:val="A"/>
      </w:pPr>
      <w:r w:rsidRPr="001531CD">
        <w:t>A.</w:t>
      </w:r>
      <w:r w:rsidRPr="001531CD">
        <w:tab/>
        <w:t>When a claim is paid by the commission from the fund, the claimant, by accepting said payment, subrogates his rights to the commission up to the full amount of payment.</w:t>
      </w:r>
    </w:p>
    <w:p w14:paraId="70F55121" w14:textId="77777777" w:rsidR="00E13258" w:rsidRPr="001531CD" w:rsidRDefault="00E13258" w:rsidP="00E13258">
      <w:pPr>
        <w:pStyle w:val="A"/>
      </w:pPr>
      <w:r w:rsidRPr="001531CD">
        <w:t>B.</w:t>
      </w:r>
      <w:r w:rsidRPr="001531CD">
        <w:tab/>
        <w:t>Any recovery for reimbursement to the fund shall include interest computed at the U.S. Treasury two-year note coupon rate as published in the Wall Street Journal on the date of the claim.</w:t>
      </w:r>
    </w:p>
    <w:p w14:paraId="0E364199" w14:textId="77777777" w:rsidR="009E2FE3" w:rsidRPr="001531CD" w:rsidRDefault="00E13258" w:rsidP="00E13258">
      <w:pPr>
        <w:pStyle w:val="AuthorityNote"/>
      </w:pPr>
      <w:r w:rsidRPr="001531CD">
        <w:t>AUTHORITY NOTE:</w:t>
      </w:r>
      <w:r w:rsidRPr="001531CD">
        <w:tab/>
        <w:t xml:space="preserve">Promulgated in accordance with R.S. 3:3410.2. </w:t>
      </w:r>
    </w:p>
    <w:p w14:paraId="527F3F8E"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Louisiana Agricultural Commodities Commission, LR 35:</w:t>
      </w:r>
      <w:r w:rsidR="00E13258" w:rsidRPr="001531CD">
        <w:t>631 (April 2009), amended by the Department of Agriculture and Forestry, Agricultural Commodities Commission, LR 37:511 (February 2011).</w:t>
      </w:r>
    </w:p>
    <w:p w14:paraId="76B61488" w14:textId="77777777" w:rsidR="00E13258" w:rsidRPr="001531CD" w:rsidRDefault="00E13258" w:rsidP="00E13258">
      <w:pPr>
        <w:pStyle w:val="Section"/>
      </w:pPr>
      <w:bookmarkStart w:id="2762" w:name="_Toc198953471"/>
      <w:bookmarkStart w:id="2763" w:name="_Toc235870265"/>
      <w:bookmarkStart w:id="2764" w:name="_Toc224819367"/>
      <w:r w:rsidRPr="001531CD">
        <w:t>§209.</w:t>
      </w:r>
      <w:r w:rsidRPr="001531CD">
        <w:tab/>
      </w:r>
      <w:bookmarkEnd w:id="2762"/>
      <w:r w:rsidRPr="001531CD">
        <w:t>Reimbursement Limitations</w:t>
      </w:r>
      <w:bookmarkEnd w:id="2763"/>
      <w:bookmarkEnd w:id="2764"/>
    </w:p>
    <w:p w14:paraId="423E9F77" w14:textId="77777777" w:rsidR="00E13258" w:rsidRPr="001531CD" w:rsidRDefault="00E13258" w:rsidP="00E13258">
      <w:pPr>
        <w:pStyle w:val="A"/>
      </w:pPr>
      <w:r w:rsidRPr="001531CD">
        <w:t>A.</w:t>
      </w:r>
      <w:r w:rsidRPr="001531CD">
        <w:tab/>
        <w:t>When any loss is or may be covered by other insurance or bond, the other insurance or bond is primary and the commission shall require the claimant to exhaust his remedies as to the other insurer before considering the payment of the claim.</w:t>
      </w:r>
    </w:p>
    <w:p w14:paraId="77786E05" w14:textId="77777777" w:rsidR="00E13258" w:rsidRPr="001531CD" w:rsidRDefault="00E13258" w:rsidP="00E13258">
      <w:pPr>
        <w:pStyle w:val="A"/>
      </w:pPr>
      <w:r w:rsidRPr="001531CD">
        <w:t>B.</w:t>
      </w:r>
      <w:r w:rsidRPr="001531CD">
        <w:tab/>
        <w:t>After all other remedies are exhausted, claimants shall be entitled to recover the full amount of claims filed against the fund.</w:t>
      </w:r>
    </w:p>
    <w:p w14:paraId="6221B531" w14:textId="77777777" w:rsidR="009E2FE3" w:rsidRPr="001531CD" w:rsidRDefault="00E13258" w:rsidP="00E13258">
      <w:pPr>
        <w:pStyle w:val="AuthorityNote"/>
      </w:pPr>
      <w:r w:rsidRPr="001531CD">
        <w:t>AUTHORITY NOTE:</w:t>
      </w:r>
      <w:r w:rsidRPr="001531CD">
        <w:tab/>
        <w:t>Promulgated in accordance with R.S. 3:3410.2.</w:t>
      </w:r>
    </w:p>
    <w:p w14:paraId="423110E9"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14:paraId="6F629B00" w14:textId="77777777" w:rsidR="00E13258" w:rsidRPr="001531CD" w:rsidRDefault="00E13258" w:rsidP="00E13258">
      <w:pPr>
        <w:pStyle w:val="Section"/>
      </w:pPr>
      <w:bookmarkStart w:id="2765" w:name="_Toc235870266"/>
      <w:bookmarkStart w:id="2766" w:name="_Toc224819368"/>
      <w:bookmarkStart w:id="2767" w:name="_Toc198953473"/>
      <w:r w:rsidRPr="001531CD">
        <w:t>§211.</w:t>
      </w:r>
      <w:r w:rsidRPr="001531CD">
        <w:tab/>
        <w:t>Pending Litigation or Arbitration; Stay of Claims</w:t>
      </w:r>
      <w:bookmarkEnd w:id="2765"/>
      <w:bookmarkEnd w:id="2766"/>
    </w:p>
    <w:p w14:paraId="34E13F78" w14:textId="77777777" w:rsidR="00E13258" w:rsidRPr="001531CD" w:rsidRDefault="00E13258" w:rsidP="00E13258">
      <w:pPr>
        <w:pStyle w:val="A"/>
      </w:pPr>
      <w:r w:rsidRPr="001531CD">
        <w:t>A.</w:t>
      </w:r>
      <w:r w:rsidRPr="001531CD">
        <w:tab/>
        <w:t>Where the commission finds that litigation is pending</w:t>
      </w:r>
      <w:r w:rsidRPr="001531CD">
        <w:rPr>
          <w:color w:val="FF0000"/>
        </w:rPr>
        <w:t>,</w:t>
      </w:r>
      <w:r w:rsidRPr="001531CD">
        <w:t xml:space="preserve"> which could determine whether payment of a claim is due or to whom payment of a claim is due, the claim in question may be stayed until the judgment in said litigation has become final and definitive. The commission shall give notice of the stay to any claimants whose claims have been stayed.</w:t>
      </w:r>
    </w:p>
    <w:p w14:paraId="404CAACC" w14:textId="77777777" w:rsidR="009E2FE3" w:rsidRPr="001531CD" w:rsidRDefault="00E13258" w:rsidP="00E13258">
      <w:pPr>
        <w:pStyle w:val="AuthorityNote"/>
      </w:pPr>
      <w:r w:rsidRPr="001531CD">
        <w:t>AUTHORITY NOTE:</w:t>
      </w:r>
      <w:r w:rsidRPr="001531CD">
        <w:tab/>
        <w:t>Promulgated in accordance with R.S. 3:3410.2.</w:t>
      </w:r>
    </w:p>
    <w:p w14:paraId="58412388" w14:textId="77777777" w:rsidR="009E2FE3" w:rsidRPr="001531CD" w:rsidRDefault="009E2FE3" w:rsidP="009E2FE3">
      <w:pPr>
        <w:pStyle w:val="HistoricalNote"/>
      </w:pPr>
      <w:r w:rsidRPr="001531CD">
        <w:t>HISTORICAL NOTE:</w:t>
      </w:r>
      <w:r w:rsidRPr="001531CD">
        <w:tab/>
        <w:t xml:space="preserve">Promulgated by the Department of Agriculture and Forestry, Office of Agro-Consumer Services, Agricultural Commodities Commission, LR </w:t>
      </w:r>
      <w:r w:rsidR="00E13258" w:rsidRPr="001531CD">
        <w:t>35:631 (April 2009), amended by the Department of Agriculture and Forestry, Agricultural Commodities Commission, LR 37:512 (February 2011).</w:t>
      </w:r>
    </w:p>
    <w:p w14:paraId="55FD06ED" w14:textId="77777777" w:rsidR="00E13258" w:rsidRPr="001531CD" w:rsidRDefault="00E13258" w:rsidP="00E13258">
      <w:pPr>
        <w:pStyle w:val="Section"/>
      </w:pPr>
      <w:bookmarkStart w:id="2768" w:name="_Toc235870267"/>
      <w:bookmarkStart w:id="2769" w:name="_Toc224819369"/>
      <w:r w:rsidRPr="001531CD">
        <w:t>§213.</w:t>
      </w:r>
      <w:r w:rsidRPr="001531CD">
        <w:tab/>
        <w:t>Violations</w:t>
      </w:r>
      <w:bookmarkEnd w:id="2768"/>
      <w:bookmarkEnd w:id="2769"/>
    </w:p>
    <w:p w14:paraId="66FF88DD" w14:textId="77777777" w:rsidR="00E13258" w:rsidRPr="001531CD" w:rsidRDefault="00E13258" w:rsidP="00E13258">
      <w:pPr>
        <w:pStyle w:val="A"/>
      </w:pPr>
      <w:r w:rsidRPr="001531CD">
        <w:t>A.</w:t>
      </w:r>
      <w:r w:rsidRPr="001531CD">
        <w:tab/>
        <w:t>Providing false information to the commission by a claimant or licensee regarding a claim for reimbursement from the fund is a violation of this Subchapter, if the person providing the information knew or should have known the information was false.</w:t>
      </w:r>
    </w:p>
    <w:p w14:paraId="74326D29" w14:textId="77777777" w:rsidR="009E2FE3" w:rsidRPr="001531CD" w:rsidRDefault="00E13258" w:rsidP="00E13258">
      <w:pPr>
        <w:pStyle w:val="AuthorityNote"/>
      </w:pPr>
      <w:r w:rsidRPr="001531CD">
        <w:t>AUTHORITY NOTE:</w:t>
      </w:r>
      <w:r w:rsidRPr="001531CD">
        <w:tab/>
        <w:t>Promulgated in accordance with R.S. 3:3410.2.</w:t>
      </w:r>
    </w:p>
    <w:p w14:paraId="4D92A6CB"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14:paraId="0E159EFA" w14:textId="77777777" w:rsidR="00E13258" w:rsidRPr="001531CD" w:rsidRDefault="00E13258" w:rsidP="00E13258">
      <w:pPr>
        <w:pStyle w:val="Section"/>
      </w:pPr>
      <w:bookmarkStart w:id="2770" w:name="_Toc235870268"/>
      <w:bookmarkStart w:id="2771" w:name="_Toc224819370"/>
      <w:r w:rsidRPr="001531CD">
        <w:t>§215.</w:t>
      </w:r>
      <w:r w:rsidRPr="001531CD">
        <w:tab/>
        <w:t>Adjudicatory Hearings</w:t>
      </w:r>
      <w:bookmarkEnd w:id="2770"/>
      <w:bookmarkEnd w:id="2771"/>
      <w:r w:rsidRPr="001531CD">
        <w:t xml:space="preserve"> </w:t>
      </w:r>
    </w:p>
    <w:p w14:paraId="6E809F81" w14:textId="77777777" w:rsidR="00E13258" w:rsidRPr="001531CD" w:rsidRDefault="00E13258" w:rsidP="00E13258">
      <w:pPr>
        <w:pStyle w:val="A"/>
      </w:pPr>
      <w:r w:rsidRPr="001531CD">
        <w:t>A.</w:t>
      </w:r>
      <w:r w:rsidRPr="001531CD">
        <w:tab/>
        <w:t xml:space="preserve">Findings of violations and imposition of penalties may be made only by a ruling of the commission based upon an </w:t>
      </w:r>
      <w:r w:rsidRPr="001531CD">
        <w:lastRenderedPageBreak/>
        <w:t>adjudicatory proceeding held in accordance with the provisions of the Administrative Procedure Act.</w:t>
      </w:r>
    </w:p>
    <w:p w14:paraId="57740B07" w14:textId="77777777" w:rsidR="00E13258" w:rsidRPr="001531CD" w:rsidRDefault="00E13258" w:rsidP="00E13258">
      <w:pPr>
        <w:pStyle w:val="A"/>
      </w:pPr>
      <w:r w:rsidRPr="001531CD">
        <w:t>B.</w:t>
      </w:r>
      <w:r w:rsidRPr="001531CD">
        <w:tab/>
        <w:t>Whenever the commissioner has any reason to believe that a violation of R.S. 3:3410.2, or of any rules and regulations adopted pursuant to this Part has occurred, the commissioner may present the alleged violations to the commission for a determination.</w:t>
      </w:r>
    </w:p>
    <w:p w14:paraId="19D7EC6E" w14:textId="77777777" w:rsidR="00E13258" w:rsidRPr="001531CD" w:rsidRDefault="00E13258" w:rsidP="00E13258">
      <w:pPr>
        <w:pStyle w:val="A"/>
      </w:pPr>
      <w:r w:rsidRPr="001531CD">
        <w:t>C.</w:t>
      </w:r>
      <w:r w:rsidRPr="001531CD">
        <w:tab/>
        <w:t>A hearing officer shall be appointed by the office of the attorney general to preside over the hearing.</w:t>
      </w:r>
    </w:p>
    <w:p w14:paraId="0B95E61F" w14:textId="77777777" w:rsidR="00E13258" w:rsidRPr="001531CD" w:rsidRDefault="00E13258" w:rsidP="00E13258">
      <w:pPr>
        <w:pStyle w:val="A"/>
      </w:pPr>
      <w:r w:rsidRPr="001531CD">
        <w:t>D.</w:t>
      </w:r>
      <w:r w:rsidRPr="001531CD">
        <w:tab/>
        <w:t>Notice of the alleged violation, the date of the adjudicatory hearing, and the conduct of discovery shall be as provided in the Administrative Procedure Act.</w:t>
      </w:r>
    </w:p>
    <w:p w14:paraId="10A9E28B" w14:textId="77777777" w:rsidR="00E13258" w:rsidRPr="001531CD" w:rsidRDefault="00E13258" w:rsidP="00E13258">
      <w:pPr>
        <w:pStyle w:val="A"/>
      </w:pPr>
      <w:r w:rsidRPr="001531CD">
        <w:t>E.</w:t>
      </w:r>
      <w:r w:rsidRPr="001531CD">
        <w:tab/>
        <w:t>The ruling of the commission shall be in writing and provided to the person charged with the violation, as provided by the Administrative Procedure Act.</w:t>
      </w:r>
    </w:p>
    <w:p w14:paraId="6064B993" w14:textId="77777777" w:rsidR="00E13258" w:rsidRPr="001531CD" w:rsidRDefault="00E13258" w:rsidP="00E13258">
      <w:pPr>
        <w:pStyle w:val="A"/>
      </w:pPr>
      <w:r w:rsidRPr="001531CD">
        <w:t>F.</w:t>
      </w:r>
      <w:r w:rsidRPr="001531CD">
        <w:tab/>
        <w:t>Any appeal from a ruling of the commission shall be in accordance with the Administrative Procedure Act.</w:t>
      </w:r>
    </w:p>
    <w:p w14:paraId="13301665" w14:textId="77777777" w:rsidR="009E2FE3" w:rsidRPr="001531CD" w:rsidRDefault="00E13258" w:rsidP="00E13258">
      <w:pPr>
        <w:pStyle w:val="AuthorityNote"/>
      </w:pPr>
      <w:r w:rsidRPr="001531CD">
        <w:t>AUTHORITY NOTE:</w:t>
      </w:r>
      <w:r w:rsidRPr="001531CD">
        <w:tab/>
        <w:t>Promulgated in accordance with R.S. 3:3410.2.</w:t>
      </w:r>
    </w:p>
    <w:p w14:paraId="36D7D9F0" w14:textId="77777777"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14:paraId="11D09D57" w14:textId="77777777" w:rsidR="00E13258" w:rsidRPr="001531CD" w:rsidRDefault="00E13258" w:rsidP="00E13258">
      <w:pPr>
        <w:pStyle w:val="Section"/>
      </w:pPr>
      <w:bookmarkStart w:id="2772" w:name="_Toc235870269"/>
      <w:bookmarkStart w:id="2773" w:name="_Toc224819371"/>
      <w:bookmarkStart w:id="2774" w:name="_Toc198953475"/>
      <w:bookmarkEnd w:id="2767"/>
      <w:r w:rsidRPr="001531CD">
        <w:t>§217.</w:t>
      </w:r>
      <w:r w:rsidRPr="001531CD">
        <w:tab/>
        <w:t>Civil Penalties</w:t>
      </w:r>
      <w:bookmarkEnd w:id="2772"/>
      <w:bookmarkEnd w:id="2773"/>
    </w:p>
    <w:p w14:paraId="0B30BB38" w14:textId="77777777" w:rsidR="00E13258" w:rsidRPr="001531CD" w:rsidRDefault="00E13258" w:rsidP="00E13258">
      <w:pPr>
        <w:pStyle w:val="A"/>
      </w:pPr>
      <w:r w:rsidRPr="001531CD">
        <w:t>A.</w:t>
      </w:r>
      <w:r w:rsidRPr="001531CD">
        <w:tab/>
        <w:t>Any claimant or licensee who has been found in an adjudicatory hearing to be in violation of the provisions of this Subchapter shall be subject to the following civil penalties.</w:t>
      </w:r>
    </w:p>
    <w:p w14:paraId="678B180D" w14:textId="77777777" w:rsidR="00E13258" w:rsidRPr="001531CD" w:rsidRDefault="00E13258" w:rsidP="00E13258">
      <w:pPr>
        <w:pStyle w:val="A"/>
      </w:pPr>
      <w:r w:rsidRPr="001531CD">
        <w:t>B.</w:t>
      </w:r>
      <w:r w:rsidRPr="001531CD">
        <w:tab/>
        <w:t>Any claimant or licensee who knew or should have known that he was providing the commission with false information regarding a claim may be denied payment of the claim on that basis.</w:t>
      </w:r>
    </w:p>
    <w:p w14:paraId="5E269A37" w14:textId="77777777" w:rsidR="00E13258" w:rsidRPr="001531CD" w:rsidRDefault="00E13258" w:rsidP="00E13258">
      <w:pPr>
        <w:pStyle w:val="A"/>
      </w:pPr>
      <w:r w:rsidRPr="001531CD">
        <w:t>C.</w:t>
      </w:r>
      <w:r w:rsidRPr="001531CD">
        <w:tab/>
        <w:t>Any claimant or licensee who knew or should have known that he was providing the commission with false information regarding a claim, or regarding any other matters pertaining to the fund, shall be subject to a maximum civil penalty of $1,000 for each violation. Each day the false information is with the commission without correction shall be considered a separate violation.</w:t>
      </w:r>
    </w:p>
    <w:p w14:paraId="09F7149D" w14:textId="77777777" w:rsidR="00E13258" w:rsidRPr="001531CD" w:rsidRDefault="00E13258" w:rsidP="00E13258">
      <w:pPr>
        <w:pStyle w:val="A"/>
      </w:pPr>
      <w:r w:rsidRPr="001531CD">
        <w:t>D.</w:t>
      </w:r>
      <w:r w:rsidRPr="001531CD">
        <w:tab/>
        <w:t>Any licensee who intentionally refuses or fails to collect the assessment or refuses to remit the collected assessment to the commission shall be subject to a maximum civil penalty of $1,000 for each violation. Each day the assessment is not collected shall be a separate violation. Each day the collected assessment is not remitted to the commission shall be a separate violation.</w:t>
      </w:r>
    </w:p>
    <w:p w14:paraId="66DE7C56" w14:textId="77777777" w:rsidR="00E13258" w:rsidRPr="001531CD" w:rsidRDefault="00E13258" w:rsidP="00122C4D">
      <w:pPr>
        <w:pStyle w:val="AuthorityNote"/>
        <w:keepNext/>
        <w:keepLines/>
      </w:pPr>
      <w:r w:rsidRPr="001531CD">
        <w:t>AUTHORITY NOTE:</w:t>
      </w:r>
      <w:r w:rsidRPr="001531CD">
        <w:tab/>
        <w:t>Promulgated in accordance with R.S. 3:3410.2.</w:t>
      </w:r>
    </w:p>
    <w:p w14:paraId="0054DD04" w14:textId="77777777" w:rsidR="009E2FE3" w:rsidRPr="001531CD" w:rsidRDefault="009E2FE3" w:rsidP="00122C4D">
      <w:pPr>
        <w:pStyle w:val="HistoricalNote"/>
        <w:keepNext/>
        <w:keepLines/>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bookmarkEnd w:id="2774"/>
    <w:p w14:paraId="52AF99E6" w14:textId="77777777" w:rsidR="00CF626A" w:rsidRPr="001531CD" w:rsidRDefault="00CF626A">
      <w:pPr>
        <w:pStyle w:val="Chapter"/>
        <w:sectPr w:rsidR="00CF626A" w:rsidRPr="001531CD" w:rsidSect="00167E2E">
          <w:headerReference w:type="even" r:id="rId63"/>
          <w:headerReference w:type="default" r:id="rId64"/>
          <w:type w:val="continuous"/>
          <w:pgSz w:w="12240" w:h="15840" w:code="1"/>
          <w:pgMar w:top="1080" w:right="864" w:bottom="864" w:left="864" w:header="576" w:footer="432" w:gutter="0"/>
          <w:cols w:num="2" w:space="720"/>
        </w:sectPr>
      </w:pPr>
    </w:p>
    <w:p w14:paraId="35AFF648"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3A87F555" w14:textId="77777777" w:rsidR="00CF626A" w:rsidRPr="001531CD" w:rsidRDefault="00CF626A" w:rsidP="00F03863">
      <w:pPr>
        <w:pStyle w:val="Title1"/>
        <w:outlineLvl w:val="0"/>
      </w:pPr>
      <w:r w:rsidRPr="001531CD">
        <w:lastRenderedPageBreak/>
        <w:t>Title 7</w:t>
      </w:r>
    </w:p>
    <w:p w14:paraId="0CDB9B2B" w14:textId="77777777" w:rsidR="00CF626A" w:rsidRPr="001531CD" w:rsidRDefault="00CF626A">
      <w:pPr>
        <w:pStyle w:val="Title2"/>
      </w:pPr>
      <w:r w:rsidRPr="001531CD">
        <w:t>AGRICULTURE AND ANIMALS</w:t>
      </w:r>
    </w:p>
    <w:p w14:paraId="5FDC7991" w14:textId="77777777" w:rsidR="00CF626A" w:rsidRPr="001531CD" w:rsidRDefault="00CF626A">
      <w:pPr>
        <w:pStyle w:val="Part"/>
      </w:pPr>
      <w:bookmarkStart w:id="2775" w:name="TOC_Part13"/>
      <w:bookmarkStart w:id="2776" w:name="_Toc77840307"/>
      <w:bookmarkStart w:id="2777" w:name="_Toc224819372"/>
      <w:r w:rsidRPr="001531CD">
        <w:t>Part XXIX.  Horticultur</w:t>
      </w:r>
      <w:r w:rsidR="008F637C">
        <w:t>e</w:t>
      </w:r>
      <w:r w:rsidRPr="001531CD">
        <w:t xml:space="preserve"> Commission</w:t>
      </w:r>
      <w:bookmarkEnd w:id="2775"/>
      <w:bookmarkEnd w:id="2776"/>
      <w:bookmarkEnd w:id="2777"/>
    </w:p>
    <w:p w14:paraId="28308B51" w14:textId="77777777" w:rsidR="00CF626A" w:rsidRPr="001531CD" w:rsidRDefault="00CF626A">
      <w:pPr>
        <w:pStyle w:val="Part"/>
      </w:pPr>
    </w:p>
    <w:p w14:paraId="695D5B85" w14:textId="77777777" w:rsidR="00CF626A" w:rsidRPr="001531CD" w:rsidRDefault="00CF626A">
      <w:pPr>
        <w:pStyle w:val="Part"/>
        <w:sectPr w:rsidR="00CF626A" w:rsidRPr="001531CD" w:rsidSect="00167E2E">
          <w:headerReference w:type="default" r:id="rId65"/>
          <w:type w:val="oddPage"/>
          <w:pgSz w:w="12240" w:h="15840" w:code="1"/>
          <w:pgMar w:top="1080" w:right="864" w:bottom="864" w:left="864" w:header="576" w:footer="432" w:gutter="0"/>
          <w:cols w:space="720"/>
          <w:docGrid w:linePitch="326"/>
        </w:sectPr>
      </w:pPr>
    </w:p>
    <w:p w14:paraId="3D8CE6E4" w14:textId="77777777" w:rsidR="00CF626A" w:rsidRPr="001531CD" w:rsidRDefault="00CF626A" w:rsidP="00F03863">
      <w:pPr>
        <w:pStyle w:val="Chapter"/>
        <w:outlineLvl w:val="0"/>
      </w:pPr>
      <w:bookmarkStart w:id="2778" w:name="TOC_Chap234"/>
      <w:bookmarkStart w:id="2779" w:name="_Toc256755004"/>
      <w:bookmarkStart w:id="2780" w:name="_Toc224819373"/>
      <w:r w:rsidRPr="001531CD">
        <w:t>Chapter 1.</w:t>
      </w:r>
      <w:bookmarkEnd w:id="2778"/>
      <w:r w:rsidR="00167E2E">
        <w:tab/>
      </w:r>
      <w:bookmarkStart w:id="2781" w:name="TOCT_Chap189"/>
      <w:bookmarkStart w:id="2782" w:name="TOCT_Chap209"/>
      <w:bookmarkStart w:id="2783" w:name="TOCT_Chap216"/>
      <w:bookmarkStart w:id="2784" w:name="TOCT_Chap217"/>
      <w:bookmarkStart w:id="2785" w:name="TOCT_Chap219"/>
      <w:bookmarkStart w:id="2786" w:name="TOCT_Chap220"/>
      <w:bookmarkStart w:id="2787" w:name="TOCT_Chap222"/>
      <w:bookmarkStart w:id="2788" w:name="TOCT_Chap234"/>
      <w:r w:rsidRPr="001531CD">
        <w:t>Horticulture</w:t>
      </w:r>
      <w:bookmarkEnd w:id="2779"/>
      <w:bookmarkEnd w:id="2780"/>
      <w:bookmarkEnd w:id="2781"/>
      <w:bookmarkEnd w:id="2782"/>
      <w:bookmarkEnd w:id="2783"/>
      <w:bookmarkEnd w:id="2784"/>
      <w:bookmarkEnd w:id="2785"/>
      <w:bookmarkEnd w:id="2786"/>
      <w:bookmarkEnd w:id="2787"/>
      <w:bookmarkEnd w:id="2788"/>
    </w:p>
    <w:p w14:paraId="6182900B" w14:textId="77777777" w:rsidR="00CF626A" w:rsidRPr="001531CD" w:rsidRDefault="00CF626A">
      <w:pPr>
        <w:pStyle w:val="Section"/>
      </w:pPr>
      <w:bookmarkStart w:id="2789" w:name="_Toc256755005"/>
      <w:bookmarkStart w:id="2790" w:name="_Toc224819374"/>
      <w:r w:rsidRPr="001531CD">
        <w:t>§101.</w:t>
      </w:r>
      <w:r w:rsidRPr="001531CD">
        <w:tab/>
        <w:t>Administration of the Affairs of the Horticulture Commission</w:t>
      </w:r>
      <w:bookmarkEnd w:id="2789"/>
      <w:bookmarkEnd w:id="2790"/>
    </w:p>
    <w:p w14:paraId="68DCE051" w14:textId="77777777" w:rsidR="00CF626A" w:rsidRPr="001531CD" w:rsidRDefault="00CF626A" w:rsidP="007B444A">
      <w:pPr>
        <w:pStyle w:val="A"/>
        <w:spacing w:after="80"/>
      </w:pPr>
      <w:r w:rsidRPr="001531CD">
        <w:t>A.</w:t>
      </w:r>
      <w:r w:rsidRPr="001531CD">
        <w:tab/>
        <w:t>In the absence of the chairman, the secretary shall preside at meetings of the commission.</w:t>
      </w:r>
    </w:p>
    <w:p w14:paraId="7C9679F5" w14:textId="77777777" w:rsidR="00CF626A" w:rsidRPr="001531CD" w:rsidRDefault="00CF626A" w:rsidP="007B444A">
      <w:pPr>
        <w:pStyle w:val="A"/>
        <w:spacing w:after="80"/>
      </w:pPr>
      <w:r w:rsidRPr="001531CD">
        <w:t>B.</w:t>
      </w:r>
      <w:r w:rsidRPr="001531CD">
        <w:tab/>
        <w:t>The chairman may designate a hearing officer, who may or may not be a member of the commission, to preside at all adjudicatory proceedings of the commission.</w:t>
      </w:r>
    </w:p>
    <w:p w14:paraId="33D1B9D8" w14:textId="77777777" w:rsidR="00CF626A" w:rsidRPr="001531CD" w:rsidRDefault="00CF626A" w:rsidP="007B444A">
      <w:pPr>
        <w:pStyle w:val="A"/>
        <w:spacing w:after="80"/>
      </w:pPr>
      <w:r w:rsidRPr="001531CD">
        <w:t>C.</w:t>
      </w:r>
      <w:r w:rsidRPr="001531CD">
        <w:tab/>
        <w:t>The commission shall serve as a hearing body in all adjudicatory proceedings and shall make the final decision with respect to the disposition of all matters brought to adjudication.</w:t>
      </w:r>
    </w:p>
    <w:p w14:paraId="0FD36777" w14:textId="77777777" w:rsidR="00CF626A" w:rsidRPr="001531CD" w:rsidRDefault="00CF626A" w:rsidP="007B444A">
      <w:pPr>
        <w:pStyle w:val="A"/>
        <w:spacing w:after="80"/>
      </w:pPr>
      <w:r w:rsidRPr="001531CD">
        <w:t>D.</w:t>
      </w:r>
      <w:r w:rsidRPr="001531CD">
        <w:tab/>
        <w:t>Whenever any member of the commission desires to be represented at any meeting of the commission, the member must give at least five working days prior written notice to the secretary, naming the individual who will represent the member at the meeting of the commission.</w:t>
      </w:r>
    </w:p>
    <w:p w14:paraId="3C350B76" w14:textId="77777777" w:rsidR="00CF626A" w:rsidRPr="001531CD" w:rsidRDefault="00CF626A" w:rsidP="007B444A">
      <w:pPr>
        <w:pStyle w:val="A"/>
        <w:spacing w:after="80"/>
      </w:pPr>
      <w:r w:rsidRPr="001531CD">
        <w:t>E.</w:t>
      </w:r>
      <w:r w:rsidRPr="001531CD">
        <w:tab/>
        <w:t>Meetings of the commission shall normally be held at the domicile of the commission but may be held at other locations throughout the state upon the determination of the chairman of the commission.</w:t>
      </w:r>
    </w:p>
    <w:p w14:paraId="5A056F6E" w14:textId="77777777" w:rsidR="00CF626A" w:rsidRPr="001531CD" w:rsidRDefault="00CF626A">
      <w:pPr>
        <w:pStyle w:val="A"/>
      </w:pPr>
      <w:r w:rsidRPr="001531CD">
        <w:t>F.</w:t>
      </w:r>
      <w:r w:rsidRPr="001531CD">
        <w:tab/>
        <w:t>The commission shall be convened upon the call of the chairman.</w:t>
      </w:r>
    </w:p>
    <w:p w14:paraId="1D90A654" w14:textId="77777777" w:rsidR="00CF626A" w:rsidRPr="001531CD" w:rsidRDefault="00CF626A">
      <w:pPr>
        <w:pStyle w:val="A"/>
      </w:pPr>
      <w:r w:rsidRPr="001531CD">
        <w:t>G.</w:t>
      </w:r>
      <w:r w:rsidRPr="001531CD">
        <w:tab/>
        <w:t>The commission may act to expel a member under the provisions of R.S. 3:3801(H) only after its intent to do so has been advertised to all members of the commission by placement of the expulsion matter on the agenda for the meeting at which the vote for expulsion will be taken.</w:t>
      </w:r>
    </w:p>
    <w:p w14:paraId="5149B669" w14:textId="77777777" w:rsidR="00CF626A" w:rsidRPr="001531CD" w:rsidRDefault="00CF626A">
      <w:pPr>
        <w:pStyle w:val="AuthorityNote"/>
      </w:pPr>
      <w:r w:rsidRPr="001531CD">
        <w:t>AUTHORITY NOTE:</w:t>
      </w:r>
      <w:r w:rsidRPr="001531CD">
        <w:tab/>
        <w:t>Promulgated in accordance with R.S. 3:3801 and R.S. 3:3814.</w:t>
      </w:r>
    </w:p>
    <w:p w14:paraId="13E7C871" w14:textId="77777777" w:rsidR="00CF626A" w:rsidRPr="001531CD" w:rsidRDefault="00CF626A">
      <w:pPr>
        <w:pStyle w:val="HistoricalNote"/>
      </w:pPr>
      <w:r w:rsidRPr="001531CD">
        <w:t>HISTORICAL NOTE:</w:t>
      </w:r>
      <w:r w:rsidRPr="001531CD">
        <w:tab/>
        <w:t>Promulgated by the Department of Agriculture, Horticulture Commission, LR 8:183 (April 1982).</w:t>
      </w:r>
    </w:p>
    <w:p w14:paraId="3E0158EA" w14:textId="77777777" w:rsidR="00C76FCC" w:rsidRPr="00AD4EAC" w:rsidRDefault="00C76FCC" w:rsidP="00C76FCC">
      <w:pPr>
        <w:pStyle w:val="Section"/>
      </w:pPr>
      <w:bookmarkStart w:id="2791" w:name="_Toc224819375"/>
      <w:r w:rsidRPr="00AD4EAC">
        <w:t>§102.</w:t>
      </w:r>
      <w:r w:rsidRPr="00AD4EAC">
        <w:tab/>
        <w:t>Definitions</w:t>
      </w:r>
      <w:bookmarkEnd w:id="2791"/>
    </w:p>
    <w:p w14:paraId="54BCD5E2" w14:textId="77777777" w:rsidR="00C76FCC" w:rsidRPr="00AD4EAC" w:rsidRDefault="00C76FCC" w:rsidP="00C76FCC">
      <w:pPr>
        <w:pStyle w:val="A"/>
      </w:pPr>
      <w:r w:rsidRPr="00AD4EAC">
        <w:t>A.</w:t>
      </w:r>
      <w:r w:rsidRPr="00AD4EAC">
        <w:tab/>
        <w:t>The terms defined in R.S. 3:3803 are applicable to this Part and have the meaning given to them in that statute, except where a regulation or the context expressly indicates otherwise.</w:t>
      </w:r>
    </w:p>
    <w:p w14:paraId="6B6626E0" w14:textId="77777777" w:rsidR="00C76FCC" w:rsidRPr="00AD4EAC" w:rsidRDefault="00C76FCC" w:rsidP="00C76FCC">
      <w:pPr>
        <w:pStyle w:val="A"/>
      </w:pPr>
      <w:r w:rsidRPr="00AD4EAC">
        <w:t>B.</w:t>
      </w:r>
      <w:r w:rsidRPr="00AD4EAC">
        <w:tab/>
        <w:t>The terms defined in this Section are applicable to this Part and have the meaning herein given to them, except where a regulation or the context expressly indicates otherwise.</w:t>
      </w:r>
    </w:p>
    <w:p w14:paraId="48EE4F2B" w14:textId="77777777" w:rsidR="00C76FCC" w:rsidRDefault="00C76FCC" w:rsidP="00C76FCC">
      <w:pPr>
        <w:pStyle w:val="A"/>
      </w:pPr>
      <w:r w:rsidRPr="00AD4EAC">
        <w:t>C.</w:t>
      </w:r>
      <w:r w:rsidRPr="00AD4EAC">
        <w:tab/>
        <w:t>The following terms are hereby defined for purposes of this Part.</w:t>
      </w:r>
    </w:p>
    <w:p w14:paraId="795FFEC2" w14:textId="77777777" w:rsidR="00C76FCC" w:rsidRDefault="00C76FCC" w:rsidP="00C76FCC">
      <w:pPr>
        <w:pStyle w:val="1"/>
      </w:pPr>
      <w:r>
        <w:rPr>
          <w:i/>
        </w:rPr>
        <w:t>Arborist</w:t>
      </w:r>
      <w:r>
        <w:t xml:space="preserve">―any person trained in the care and removal of shade and ornamental trees. Shade and ornamental trees may be defined as those on an existing homesite or commercial property and those on property permitted for development for </w:t>
      </w:r>
      <w:r>
        <w:t>commercial or residential purposes. This definition shall also apply to any tree within 100 feet of any improvements on these properties.</w:t>
      </w:r>
    </w:p>
    <w:p w14:paraId="72BD4605" w14:textId="77777777" w:rsidR="00C76FCC" w:rsidRPr="00AD4EAC" w:rsidRDefault="00C76FCC" w:rsidP="00C76FCC">
      <w:pPr>
        <w:pStyle w:val="1"/>
      </w:pPr>
      <w:r w:rsidRPr="00AD4EAC">
        <w:rPr>
          <w:i/>
        </w:rPr>
        <w:t>CLARB</w:t>
      </w:r>
      <w:r>
        <w:sym w:font="Symbol" w:char="F0BE"/>
      </w:r>
      <w:r w:rsidRPr="00AD4EAC">
        <w:t>the Council of Landscape Architectural Registration Boards or any successor.</w:t>
      </w:r>
    </w:p>
    <w:p w14:paraId="62341D3C" w14:textId="77777777" w:rsidR="00C76FCC" w:rsidRPr="007A3525" w:rsidRDefault="00C76FCC" w:rsidP="00C76FCC">
      <w:pPr>
        <w:pStyle w:val="1"/>
      </w:pPr>
      <w:r w:rsidRPr="007A3525">
        <w:rPr>
          <w:i/>
        </w:rPr>
        <w:t>Department</w:t>
      </w:r>
      <w:r>
        <w:rPr>
          <w:iCs/>
        </w:rPr>
        <w:t>―</w:t>
      </w:r>
      <w:r w:rsidRPr="007A3525">
        <w:t>the Louisiana Department of Agriculture and Forestry</w:t>
      </w:r>
      <w:r>
        <w:t>.</w:t>
      </w:r>
    </w:p>
    <w:p w14:paraId="04526489" w14:textId="77777777" w:rsidR="00C76FCC" w:rsidRPr="007A3525" w:rsidRDefault="00C76FCC" w:rsidP="00C76FCC">
      <w:pPr>
        <w:pStyle w:val="1"/>
      </w:pPr>
      <w:r w:rsidRPr="007A3525">
        <w:rPr>
          <w:i/>
        </w:rPr>
        <w:t>Horticulture Law</w:t>
      </w:r>
      <w:r>
        <w:rPr>
          <w:iCs/>
        </w:rPr>
        <w:t>―</w:t>
      </w:r>
      <w:r w:rsidRPr="007A3525">
        <w:t>Louisiana Revised Statutes of 1950, Title 3, Chapter 24, §3801 et seq.</w:t>
      </w:r>
    </w:p>
    <w:p w14:paraId="67E79829" w14:textId="77777777" w:rsidR="00C76FCC" w:rsidRDefault="00C76FCC" w:rsidP="00C76FCC">
      <w:pPr>
        <w:pStyle w:val="1"/>
        <w:rPr>
          <w:vertAlign w:val="superscript"/>
        </w:rPr>
      </w:pPr>
      <w:r>
        <w:rPr>
          <w:i/>
        </w:rPr>
        <w:t>Landscape Architect</w:t>
      </w:r>
      <w:r>
        <w:t>―any person that applies creative and technical skills and scientific, cultural and political knowledge in the planned arrangement of natural and constructed elements on the land with a concern for the stewardship and conservation of natural, constructed and human resources.</w:t>
      </w:r>
      <w:r>
        <w:rPr>
          <w:vertAlign w:val="superscript"/>
        </w:rPr>
        <w:t>1</w:t>
      </w:r>
    </w:p>
    <w:p w14:paraId="3AC5462B" w14:textId="77777777" w:rsidR="00C76FCC" w:rsidRDefault="00C76FCC" w:rsidP="00C76FCC">
      <w:pPr>
        <w:pStyle w:val="1"/>
        <w:rPr>
          <w:i/>
        </w:rPr>
      </w:pPr>
      <w:r w:rsidRPr="00AD4EAC">
        <w:rPr>
          <w:i/>
        </w:rPr>
        <w:t>LARE</w:t>
      </w:r>
      <w:r>
        <w:sym w:font="Symbol" w:char="F0BE"/>
      </w:r>
      <w:r w:rsidRPr="00AD4EAC">
        <w:t>the Landscape Architect Registration Examination.</w:t>
      </w:r>
    </w:p>
    <w:p w14:paraId="3D21C154" w14:textId="77777777" w:rsidR="00C76FCC" w:rsidRPr="00860A77" w:rsidRDefault="00C76FCC" w:rsidP="00C76FCC">
      <w:pPr>
        <w:pStyle w:val="1"/>
      </w:pPr>
      <w:r w:rsidRPr="007A3525">
        <w:rPr>
          <w:i/>
        </w:rPr>
        <w:t xml:space="preserve">Stop </w:t>
      </w:r>
      <w:r>
        <w:rPr>
          <w:i/>
        </w:rPr>
        <w:t>O</w:t>
      </w:r>
      <w:r w:rsidRPr="007A3525">
        <w:rPr>
          <w:i/>
        </w:rPr>
        <w:t xml:space="preserve">rder and </w:t>
      </w:r>
      <w:r>
        <w:rPr>
          <w:i/>
        </w:rPr>
        <w:t>N</w:t>
      </w:r>
      <w:r w:rsidRPr="007A3525">
        <w:rPr>
          <w:i/>
        </w:rPr>
        <w:t xml:space="preserve">otice of </w:t>
      </w:r>
      <w:r>
        <w:rPr>
          <w:i/>
        </w:rPr>
        <w:t>N</w:t>
      </w:r>
      <w:r w:rsidRPr="007A3525">
        <w:rPr>
          <w:i/>
        </w:rPr>
        <w:t>on-</w:t>
      </w:r>
      <w:r>
        <w:rPr>
          <w:i/>
        </w:rPr>
        <w:t>C</w:t>
      </w:r>
      <w:r w:rsidRPr="007A3525">
        <w:rPr>
          <w:i/>
        </w:rPr>
        <w:t>ompliance</w:t>
      </w:r>
      <w:r>
        <w:rPr>
          <w:iCs/>
        </w:rPr>
        <w:t>―</w:t>
      </w:r>
      <w:r w:rsidRPr="007A3525">
        <w:t>a directive issued by the commissioner or the department or authorized agent to a person prohibiting that person from continuing a particular course of conduct or prohibiting the advertisement, application, distribution, disturbance, movement, performance, sale or offer for sale of a service or material th</w:t>
      </w:r>
      <w:r>
        <w:t>ing, or both.</w:t>
      </w:r>
    </w:p>
    <w:p w14:paraId="530287F5" w14:textId="77777777" w:rsidR="00C76FCC" w:rsidRPr="00E37B91" w:rsidRDefault="00C76FCC" w:rsidP="00C76FCC">
      <w:pPr>
        <w:pStyle w:val="RegDoubleIndent"/>
        <w:spacing w:after="120"/>
        <w:rPr>
          <w:sz w:val="16"/>
          <w:szCs w:val="16"/>
        </w:rPr>
      </w:pPr>
      <w:r w:rsidRPr="00E37B91">
        <w:rPr>
          <w:sz w:val="16"/>
          <w:szCs w:val="16"/>
          <w:vertAlign w:val="superscript"/>
        </w:rPr>
        <w:t>1</w:t>
      </w:r>
      <w:r w:rsidRPr="00E37B91">
        <w:rPr>
          <w:sz w:val="16"/>
          <w:szCs w:val="16"/>
        </w:rPr>
        <w:t>American Society of Landscape Architects (ASLA) Definition of Landscape Architecture, ASLA Member Handbook, adopted November 18, 1983.</w:t>
      </w:r>
    </w:p>
    <w:p w14:paraId="2326B70B" w14:textId="77777777" w:rsidR="00CF626A" w:rsidRPr="001531CD" w:rsidRDefault="00C76FCC" w:rsidP="00C76FCC">
      <w:pPr>
        <w:pStyle w:val="AuthorityNote"/>
      </w:pPr>
      <w:r w:rsidRPr="00AD4EAC">
        <w:t>AUTHORITY NOTE:</w:t>
      </w:r>
      <w:r w:rsidRPr="00AD4EAC">
        <w:tab/>
        <w:t>Promulgated in accordance with R.S. 3:3801.</w:t>
      </w:r>
    </w:p>
    <w:p w14:paraId="1F48F033" w14:textId="77777777" w:rsidR="00C8044B" w:rsidRPr="005F0376" w:rsidRDefault="00CF626A" w:rsidP="00C8044B">
      <w:pPr>
        <w:pStyle w:val="HistoricalNote"/>
        <w:rPr>
          <w:lang w:eastAsia="x-none"/>
        </w:rPr>
      </w:pPr>
      <w:r w:rsidRPr="001531CD">
        <w:t>HISTORICAL NOTE:</w:t>
      </w:r>
      <w:r w:rsidRPr="001531CD">
        <w:tab/>
        <w:t>Promulgated by the Department of Agriculture and Forestry, Horticulture Com</w:t>
      </w:r>
      <w:r w:rsidR="00E62E86" w:rsidRPr="001531CD">
        <w:t>mission, LR 26:627 (April 2000), amen</w:t>
      </w:r>
      <w:r w:rsidR="00860A77" w:rsidRPr="001531CD">
        <w:t>ded LR 33:1854 (September 20</w:t>
      </w:r>
      <w:r w:rsidR="00C76FCC">
        <w:t>07), LR 34:2547 (Decembe</w:t>
      </w:r>
      <w:r w:rsidR="00C8044B">
        <w:t xml:space="preserve">r 2008), LR 40:758 (April 2014), </w:t>
      </w:r>
      <w:r w:rsidR="00C8044B">
        <w:rPr>
          <w:lang w:eastAsia="x-none"/>
        </w:rPr>
        <w:t>LR 51:26 (January 2025).</w:t>
      </w:r>
    </w:p>
    <w:p w14:paraId="4C3387C7" w14:textId="77777777" w:rsidR="00CF626A" w:rsidRPr="001531CD" w:rsidRDefault="00CF626A">
      <w:pPr>
        <w:pStyle w:val="Section"/>
      </w:pPr>
      <w:bookmarkStart w:id="2792" w:name="_Toc256755007"/>
      <w:bookmarkStart w:id="2793" w:name="_Toc224819376"/>
      <w:r w:rsidRPr="001531CD">
        <w:t>§103.</w:t>
      </w:r>
      <w:r w:rsidRPr="001531CD">
        <w:tab/>
        <w:t>Enforcement</w:t>
      </w:r>
      <w:bookmarkEnd w:id="2792"/>
      <w:bookmarkEnd w:id="2793"/>
    </w:p>
    <w:p w14:paraId="6FECC06C" w14:textId="77777777" w:rsidR="00CF626A" w:rsidRPr="001531CD" w:rsidRDefault="00CF626A">
      <w:pPr>
        <w:pStyle w:val="A"/>
      </w:pPr>
      <w:r w:rsidRPr="001531CD">
        <w:t>A.</w:t>
      </w:r>
      <w:r w:rsidRPr="001531CD">
        <w:tab/>
        <w:t>Hearings</w:t>
      </w:r>
    </w:p>
    <w:p w14:paraId="689ED4FC" w14:textId="03D359ED" w:rsidR="00CF626A" w:rsidRPr="001531CD" w:rsidRDefault="00CF626A">
      <w:pPr>
        <w:pStyle w:val="1"/>
      </w:pPr>
      <w:r w:rsidRPr="001531CD">
        <w:t>1.</w:t>
      </w:r>
      <w:r w:rsidRPr="001531CD">
        <w:tab/>
      </w:r>
      <w:r w:rsidR="00302B93" w:rsidRPr="00B7246F">
        <w:t>Investigative hearings shall be for the purpose of investigating alleged violations of the Horticulture Law or regulations promulgated by the commission</w:t>
      </w:r>
      <w:r w:rsidR="00860A77" w:rsidRPr="001531CD">
        <w:t>.</w:t>
      </w:r>
    </w:p>
    <w:p w14:paraId="305DBB2A" w14:textId="77777777" w:rsidR="00CF626A" w:rsidRPr="001531CD" w:rsidRDefault="00CF626A">
      <w:pPr>
        <w:pStyle w:val="1"/>
      </w:pPr>
      <w:r w:rsidRPr="001531CD">
        <w:t>2.</w:t>
      </w:r>
      <w:r w:rsidRPr="001531CD">
        <w:tab/>
        <w:t>Investigative hearings may be held upon the call of the commission. Such hearings may be held in any part of the state.</w:t>
      </w:r>
    </w:p>
    <w:p w14:paraId="16E1F827" w14:textId="77777777" w:rsidR="00CF626A" w:rsidRPr="001531CD" w:rsidRDefault="00CF626A">
      <w:pPr>
        <w:pStyle w:val="1"/>
      </w:pPr>
      <w:r w:rsidRPr="001531CD">
        <w:t>3.</w:t>
      </w:r>
      <w:r w:rsidRPr="001531CD">
        <w:tab/>
        <w:t>The chairman, the secretary, a member designated by the chairman, or a hearing officer designated by the commission who need not be a member of the commission, shall preside at investigative hearings. All witnesses shall be sworn or shall make affirmation.</w:t>
      </w:r>
    </w:p>
    <w:p w14:paraId="75F9A4FD" w14:textId="77777777" w:rsidR="00CF626A" w:rsidRPr="001531CD" w:rsidRDefault="00CF626A">
      <w:pPr>
        <w:pStyle w:val="1"/>
      </w:pPr>
      <w:r w:rsidRPr="001531CD">
        <w:lastRenderedPageBreak/>
        <w:t>4.</w:t>
      </w:r>
      <w:r w:rsidRPr="001531CD">
        <w:tab/>
        <w:t>Investigative hearings conducted by the commission shall be open to the general public.</w:t>
      </w:r>
    </w:p>
    <w:p w14:paraId="053B804A" w14:textId="77777777" w:rsidR="00CF626A" w:rsidRPr="001531CD" w:rsidRDefault="00CF626A">
      <w:pPr>
        <w:pStyle w:val="1"/>
      </w:pPr>
      <w:r w:rsidRPr="001531CD">
        <w:t>5.</w:t>
      </w:r>
      <w:r w:rsidRPr="001531CD">
        <w:tab/>
        <w:t>If the commission determines that evidence or testimony at an investigative hearing may tend to defame, degrade, or incriminate any person, it shall afford such person, upon request, an opportunity to appear as a witness; receive and dispose of requests from such persons to subpoena additional witnesses; and afford such person, or his attorney, upon request the opportunity to examine or cross-examine witnesses.</w:t>
      </w:r>
    </w:p>
    <w:p w14:paraId="56B54C75" w14:textId="77777777" w:rsidR="00CF626A" w:rsidRPr="001531CD" w:rsidRDefault="00CF626A">
      <w:pPr>
        <w:pStyle w:val="1"/>
      </w:pPr>
      <w:r w:rsidRPr="001531CD">
        <w:t>6.</w:t>
      </w:r>
      <w:r w:rsidRPr="001531CD">
        <w:tab/>
        <w:t>The director of the horticulture commission, upon approval of the chairman or secretary, is authorized to sign subpoenas which require the attendance and giving of testimony by persons who may possess any knowledge concerning any offense under investigation at an investigative hearing or for investigative purposes. The subpoena shall set forth reasonable grounds therefore, and shall order the person to appear at a designated time and place. The director may also order the issuance of a subpoena duces tecum as described above.</w:t>
      </w:r>
    </w:p>
    <w:p w14:paraId="0442F97A" w14:textId="77777777" w:rsidR="00CF626A" w:rsidRPr="001531CD" w:rsidRDefault="00CF626A">
      <w:pPr>
        <w:pStyle w:val="1"/>
      </w:pPr>
      <w:r w:rsidRPr="001531CD">
        <w:t>7.</w:t>
      </w:r>
      <w:r w:rsidRPr="001531CD">
        <w:tab/>
        <w:t>Whenever any person summoned under this regulation neglects or refuses to obey such summons or to produce books, papers, records or other data, or to give testimony as required, the commission may apply to the judge of the district court for the district within which the person so summoned resides or is found, for an attachment against him as for a contempt.</w:t>
      </w:r>
    </w:p>
    <w:p w14:paraId="1869700D" w14:textId="77777777" w:rsidR="00CF626A" w:rsidRPr="001531CD" w:rsidRDefault="00CF626A">
      <w:pPr>
        <w:pStyle w:val="1"/>
      </w:pPr>
      <w:r w:rsidRPr="001531CD">
        <w:t>8.</w:t>
      </w:r>
      <w:r w:rsidRPr="001531CD">
        <w:tab/>
        <w:t>A subpoena may be served by any person authorized by law to serve civil process, or by any agents of the commission, and the return made in writing by any such person shall be accepted as proof of service.</w:t>
      </w:r>
    </w:p>
    <w:p w14:paraId="1FFC5514" w14:textId="77777777" w:rsidR="00CF626A" w:rsidRPr="001531CD" w:rsidRDefault="00CF626A">
      <w:pPr>
        <w:pStyle w:val="1"/>
      </w:pPr>
      <w:r w:rsidRPr="001531CD">
        <w:t>9.</w:t>
      </w:r>
      <w:r w:rsidRPr="001531CD">
        <w:tab/>
        <w:t>The commission is the sole judge of the pertinency of testimony and evidence adduced at such hearings.</w:t>
      </w:r>
    </w:p>
    <w:p w14:paraId="2E589624" w14:textId="77777777" w:rsidR="00CF626A" w:rsidRPr="001531CD" w:rsidRDefault="00CF626A">
      <w:pPr>
        <w:pStyle w:val="1"/>
      </w:pPr>
      <w:r w:rsidRPr="001531CD">
        <w:t>10.</w:t>
      </w:r>
      <w:r w:rsidRPr="001531CD">
        <w:tab/>
        <w:t>The attorney for the commission and that of any public agency which may be participating in the investigation shall have the right to be present at all hearings and shall have the right to examine or cross-examine any witness.</w:t>
      </w:r>
    </w:p>
    <w:p w14:paraId="1784AD8F" w14:textId="77777777" w:rsidR="00CF626A" w:rsidRPr="001531CD" w:rsidRDefault="00CF626A">
      <w:pPr>
        <w:pStyle w:val="1"/>
      </w:pPr>
      <w:r w:rsidRPr="001531CD">
        <w:t>11.</w:t>
      </w:r>
      <w:r w:rsidRPr="001531CD">
        <w:tab/>
        <w:t>Witnesses at investigative hearings may be accompanied by their own counsel.</w:t>
      </w:r>
    </w:p>
    <w:p w14:paraId="58030F8E" w14:textId="77777777" w:rsidR="00CF626A" w:rsidRPr="001531CD" w:rsidRDefault="00CF626A">
      <w:pPr>
        <w:pStyle w:val="1"/>
      </w:pPr>
      <w:r w:rsidRPr="001531CD">
        <w:t>12.</w:t>
      </w:r>
      <w:r w:rsidRPr="001531CD">
        <w:tab/>
        <w:t>A copy of this regulation shall be made available to any witness and a copy shall be delivered at the time of making service, to each person upon whom a subpoena is served; in addition thereto each person upon whom a subpoena is served shall be informed in writing that the commission suggests that he consult his attorney and that his attorney should attend the hearing to advise him.</w:t>
      </w:r>
    </w:p>
    <w:p w14:paraId="087894CE" w14:textId="77777777" w:rsidR="00CF626A" w:rsidRPr="001531CD" w:rsidRDefault="00CF626A">
      <w:pPr>
        <w:pStyle w:val="1"/>
      </w:pPr>
      <w:r w:rsidRPr="001531CD">
        <w:t>13.</w:t>
      </w:r>
      <w:r w:rsidRPr="001531CD">
        <w:tab/>
        <w:t>The commission may, in its discretion, issue a report upon the conclusion of any such investigative hearing.</w:t>
      </w:r>
    </w:p>
    <w:p w14:paraId="14F14AA0" w14:textId="77777777" w:rsidR="00CF626A" w:rsidRPr="001531CD" w:rsidRDefault="00CF626A">
      <w:pPr>
        <w:pStyle w:val="1"/>
      </w:pPr>
      <w:r w:rsidRPr="001531CD">
        <w:t>14.</w:t>
      </w:r>
      <w:r w:rsidRPr="001531CD">
        <w:tab/>
        <w:t>As a result of such investigations, the commission may initiate adjudicatory proceedings against licensees, permittee, or persons engaged in any regulated profession or occupation, may refer matters to other public agencies and may take any other appropriate action.</w:t>
      </w:r>
    </w:p>
    <w:p w14:paraId="07C8A0EA" w14:textId="77777777" w:rsidR="00CF626A" w:rsidRPr="001531CD" w:rsidRDefault="00CF626A">
      <w:pPr>
        <w:pStyle w:val="1"/>
      </w:pPr>
      <w:r w:rsidRPr="001531CD">
        <w:t>15.</w:t>
      </w:r>
      <w:r w:rsidRPr="001531CD">
        <w:tab/>
        <w:t>Investigative hearings may be conducted jointly with other interested public agencies.</w:t>
      </w:r>
    </w:p>
    <w:p w14:paraId="36D1DABE" w14:textId="77777777" w:rsidR="00CF626A" w:rsidRPr="001531CD" w:rsidRDefault="00CF626A">
      <w:pPr>
        <w:pStyle w:val="1"/>
      </w:pPr>
      <w:r w:rsidRPr="001531CD">
        <w:t>16.</w:t>
      </w:r>
      <w:r w:rsidRPr="001531CD">
        <w:tab/>
        <w:t>It shall not be necessary to publish any advance notice of any investigative hearing and it shall be necessary that subpoenas disclose the general nature of the investigation.</w:t>
      </w:r>
    </w:p>
    <w:p w14:paraId="2BC18B88" w14:textId="77777777" w:rsidR="00CF626A" w:rsidRPr="001531CD" w:rsidRDefault="00CF626A">
      <w:pPr>
        <w:pStyle w:val="1"/>
      </w:pPr>
      <w:r w:rsidRPr="001531CD">
        <w:t>17.</w:t>
      </w:r>
      <w:r w:rsidRPr="001531CD">
        <w:tab/>
        <w:t>At all investigative hearings the testimony shall be recorded stenographically or otherwise. Upon payment of the costs thereof, and when authorized by the commission, a witness may obtain a transcript copy of his testimony given at a public session.</w:t>
      </w:r>
    </w:p>
    <w:p w14:paraId="3B12B873" w14:textId="77777777" w:rsidR="00CF626A" w:rsidRPr="001531CD" w:rsidRDefault="00CF626A">
      <w:pPr>
        <w:pStyle w:val="A"/>
      </w:pPr>
      <w:r w:rsidRPr="001531CD">
        <w:t>B.</w:t>
      </w:r>
      <w:r w:rsidRPr="001531CD">
        <w:tab/>
        <w:t>Access to Premises</w:t>
      </w:r>
    </w:p>
    <w:p w14:paraId="583AD7A9" w14:textId="77777777" w:rsidR="00CF626A" w:rsidRPr="001531CD" w:rsidRDefault="00CF626A">
      <w:pPr>
        <w:pStyle w:val="1"/>
      </w:pPr>
      <w:r w:rsidRPr="001531CD">
        <w:t>1.</w:t>
      </w:r>
      <w:r w:rsidRPr="001531CD">
        <w:tab/>
        <w:t>Any authorized representative of the commission or of the commissioner shall have access to, and may enter at all reasonable hours, all places of business operated by license or permit holders or persons engaged in any regulated profession or occupation to perform horticultural inspections and/or investigations. Any information gained through utilization of the authority granted hereinabove in this Subsection shall be treated as confidential and shall be used only for the administration of this Chapter, provided, that such information may be divulged by a person when called upon to testify in any adjudicatory proceeding before the commission or the commissioner or in any court proceedings, and provided further, that nothing contained in this Section shall prevent the use of any information procured by the commission or the commissioner in the compiling and dissemination of general statistical data containing information procured from a number of licensees or permittee and compiled in such a manner as not to reveal individual information of any licensee or permittee.</w:t>
      </w:r>
    </w:p>
    <w:p w14:paraId="64705DF6" w14:textId="77777777" w:rsidR="00CF626A" w:rsidRPr="001531CD" w:rsidRDefault="00CF626A">
      <w:pPr>
        <w:pStyle w:val="A"/>
      </w:pPr>
      <w:r w:rsidRPr="001531CD">
        <w:t>C.</w:t>
      </w:r>
      <w:r w:rsidRPr="001531CD">
        <w:tab/>
        <w:t>Cease and Desist. Upon determination of violation of law or rules and regulations, the commission may issue a cease and desist order describing with particularity the violative action and ordering the immediate cessation of said violative action.</w:t>
      </w:r>
    </w:p>
    <w:p w14:paraId="45D191F7" w14:textId="77777777" w:rsidR="00CF626A" w:rsidRPr="001531CD" w:rsidRDefault="00CF626A">
      <w:pPr>
        <w:pStyle w:val="AuthorityNote"/>
      </w:pPr>
      <w:r w:rsidRPr="001531CD">
        <w:t>AUTHORITY NOTE:</w:t>
      </w:r>
      <w:r w:rsidRPr="001531CD">
        <w:tab/>
        <w:t>Promulgated in accordance with R.S. 3:3801.</w:t>
      </w:r>
    </w:p>
    <w:p w14:paraId="13D98447" w14:textId="660CC647" w:rsidR="00CF626A" w:rsidRPr="001531CD" w:rsidRDefault="00CF626A">
      <w:pPr>
        <w:pStyle w:val="HistoricalNote"/>
      </w:pPr>
      <w:r w:rsidRPr="001531CD">
        <w:t>HISTORICAL NOTE:</w:t>
      </w:r>
      <w:r w:rsidRPr="001531CD">
        <w:tab/>
        <w:t>Promulgated by the Department of Agriculture, Horticulture Commission, LR 8:183 (April 1982</w:t>
      </w:r>
      <w:r w:rsidR="00860A77" w:rsidRPr="001531CD">
        <w:t>), amended LR 9:410 (June 1983), LR 34:2547 (December 2008)</w:t>
      </w:r>
      <w:r w:rsidR="00302B93">
        <w:t xml:space="preserve">, </w:t>
      </w:r>
      <w:r w:rsidR="00302B93" w:rsidRPr="00B7246F">
        <w:t>LR 52:348 (March 2026).</w:t>
      </w:r>
    </w:p>
    <w:p w14:paraId="1AB45F94" w14:textId="77777777" w:rsidR="00CF626A" w:rsidRPr="001531CD" w:rsidRDefault="00CF626A">
      <w:pPr>
        <w:pStyle w:val="Section"/>
      </w:pPr>
      <w:bookmarkStart w:id="2794" w:name="_Toc256755008"/>
      <w:bookmarkStart w:id="2795" w:name="_Toc224819377"/>
      <w:r w:rsidRPr="001531CD">
        <w:t>§105.</w:t>
      </w:r>
      <w:r w:rsidRPr="001531CD">
        <w:tab/>
        <w:t>Qualifications for Examination and Licensure or Permitting</w:t>
      </w:r>
      <w:bookmarkEnd w:id="2794"/>
      <w:bookmarkEnd w:id="2795"/>
    </w:p>
    <w:p w14:paraId="14C364B2" w14:textId="77777777" w:rsidR="00C76FCC" w:rsidRPr="00AD4EAC" w:rsidRDefault="00C76FCC" w:rsidP="00C76FCC">
      <w:pPr>
        <w:pStyle w:val="A"/>
      </w:pPr>
      <w:r w:rsidRPr="00AD4EAC">
        <w:t>A.</w:t>
      </w:r>
      <w:r w:rsidRPr="00AD4EAC">
        <w:tab/>
        <w:t>All persons applying for an examination for licensure or for a license or permit issued by the commission shall m</w:t>
      </w:r>
      <w:r>
        <w:t>eet the following requirements.</w:t>
      </w:r>
    </w:p>
    <w:p w14:paraId="26FAAF6C" w14:textId="77777777" w:rsidR="00C76FCC" w:rsidRPr="00AD4EAC" w:rsidRDefault="00C76FCC" w:rsidP="00C76FCC">
      <w:pPr>
        <w:pStyle w:val="1"/>
      </w:pPr>
      <w:r w:rsidRPr="00AD4EAC">
        <w:t>1.</w:t>
      </w:r>
      <w:r w:rsidRPr="00AD4EAC">
        <w:tab/>
        <w:t xml:space="preserve">An applicant must be 17 years of age or older to take an examination for licensure or apply for a permit, but must be 18 years of age or older before a license or permit will be issued to the applicant. </w:t>
      </w:r>
    </w:p>
    <w:p w14:paraId="7A2882E5" w14:textId="77777777" w:rsidR="00C76FCC" w:rsidRPr="00AD4EAC" w:rsidRDefault="00C76FCC" w:rsidP="00C76FCC">
      <w:pPr>
        <w:pStyle w:val="1"/>
      </w:pPr>
      <w:r w:rsidRPr="00AD4EAC">
        <w:t>2.</w:t>
      </w:r>
      <w:r w:rsidRPr="00AD4EAC">
        <w:tab/>
        <w:t>An applicant for licensure shall successfully complete the examination prescribed by the commission for the area in the practice of horticulture for which the license is sought.</w:t>
      </w:r>
    </w:p>
    <w:p w14:paraId="7F328206" w14:textId="77777777" w:rsidR="00C76FCC" w:rsidRPr="00AD4EAC" w:rsidRDefault="00C76FCC" w:rsidP="00C76FCC">
      <w:pPr>
        <w:pStyle w:val="A"/>
      </w:pPr>
      <w:r w:rsidRPr="00AD4EAC">
        <w:lastRenderedPageBreak/>
        <w:t>B.</w:t>
      </w:r>
      <w:r w:rsidRPr="00AD4EAC">
        <w:tab/>
        <w:t>Applicants for the landscape architect license shall also meet the following requirements:</w:t>
      </w:r>
    </w:p>
    <w:p w14:paraId="4FB323AE" w14:textId="77777777" w:rsidR="00C76FCC" w:rsidRPr="00AD4EAC" w:rsidRDefault="00C76FCC" w:rsidP="00C76FCC">
      <w:pPr>
        <w:pStyle w:val="1"/>
      </w:pPr>
      <w:r w:rsidRPr="00AD4EAC">
        <w:t>1.</w:t>
      </w:r>
      <w:r w:rsidRPr="00AD4EAC">
        <w:tab/>
        <w:t xml:space="preserve">pass the LARE or an </w:t>
      </w:r>
      <w:r>
        <w:t>exam approved by CLARB;</w:t>
      </w:r>
    </w:p>
    <w:p w14:paraId="266C9BA9" w14:textId="77777777" w:rsidR="00C76FCC" w:rsidRPr="00AD4EAC" w:rsidRDefault="00C76FCC" w:rsidP="00C76FCC">
      <w:pPr>
        <w:pStyle w:val="1"/>
      </w:pPr>
      <w:r w:rsidRPr="00AD4EAC">
        <w:t>2.</w:t>
      </w:r>
      <w:r w:rsidRPr="00AD4EAC">
        <w:tab/>
        <w:t>submit proof of passage of LARE or an exam approved by CLARB with the</w:t>
      </w:r>
      <w:r>
        <w:t xml:space="preserve"> </w:t>
      </w:r>
      <w:r w:rsidRPr="00AD4EAC">
        <w:t xml:space="preserve">application for the Louisiana </w:t>
      </w:r>
      <w:r>
        <w:t>Landscape Architect Examination;</w:t>
      </w:r>
    </w:p>
    <w:p w14:paraId="2F9C66E1" w14:textId="77777777" w:rsidR="00C76FCC" w:rsidRPr="00AD4EAC" w:rsidRDefault="00C76FCC" w:rsidP="00C76FCC">
      <w:pPr>
        <w:pStyle w:val="1"/>
      </w:pPr>
      <w:r w:rsidRPr="00AD4EAC">
        <w:t>3.</w:t>
      </w:r>
      <w:r w:rsidRPr="00AD4EAC">
        <w:tab/>
        <w:t xml:space="preserve">pass the Louisiana </w:t>
      </w:r>
      <w:r>
        <w:t>Landscape Architect Examination;</w:t>
      </w:r>
    </w:p>
    <w:p w14:paraId="1E23A054" w14:textId="77777777" w:rsidR="00C76FCC" w:rsidRPr="00AD4EAC" w:rsidRDefault="00C76FCC" w:rsidP="00C76FCC">
      <w:pPr>
        <w:pStyle w:val="1"/>
        <w:rPr>
          <w:strike/>
        </w:rPr>
      </w:pPr>
      <w:r w:rsidRPr="00AD4EAC">
        <w:t>4.</w:t>
      </w:r>
      <w:r w:rsidRPr="00AD4EAC">
        <w:tab/>
        <w:t>have at least one year of practical experience under the direct supervision of a licensed landscape architect, landscape horticulturist, engineer, architect, or a licensed professional with a design or contracting firm.</w:t>
      </w:r>
    </w:p>
    <w:p w14:paraId="57CA8125" w14:textId="77777777" w:rsidR="00CF626A" w:rsidRPr="001531CD" w:rsidRDefault="00C76FCC" w:rsidP="00C76FCC">
      <w:pPr>
        <w:pStyle w:val="AuthorityNote"/>
        <w:keepNext/>
      </w:pPr>
      <w:r w:rsidRPr="00AD4EAC">
        <w:t>AUTHORITY NOTE:</w:t>
      </w:r>
      <w:r w:rsidRPr="00AD4EAC">
        <w:tab/>
        <w:t>Promulgated in accordance with R.S. 3:3801, R.S. 3:3807, and R.S. 3:3808.</w:t>
      </w:r>
    </w:p>
    <w:p w14:paraId="0EC93EFD" w14:textId="77777777"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14:7 (January 1988), LR 20:639 (June 1</w:t>
      </w:r>
      <w:r w:rsidR="001E56A1" w:rsidRPr="001531CD">
        <w:t>994), LR 26:2240 (Octob</w:t>
      </w:r>
      <w:r w:rsidR="002B5477">
        <w:t>er 2000, LR 35:1227 (July 2009), LR 40:758 (April 2014).</w:t>
      </w:r>
    </w:p>
    <w:p w14:paraId="59821B84" w14:textId="77777777" w:rsidR="00CF626A" w:rsidRPr="001531CD" w:rsidRDefault="00CF626A">
      <w:pPr>
        <w:pStyle w:val="Section"/>
      </w:pPr>
      <w:bookmarkStart w:id="2796" w:name="_Toc256755009"/>
      <w:bookmarkStart w:id="2797" w:name="_Toc224819378"/>
      <w:r w:rsidRPr="001531CD">
        <w:t>§107.</w:t>
      </w:r>
      <w:r w:rsidRPr="001531CD">
        <w:tab/>
        <w:t>Application for Examination and Licensure or Permitting</w:t>
      </w:r>
      <w:bookmarkEnd w:id="2796"/>
      <w:bookmarkEnd w:id="2797"/>
    </w:p>
    <w:p w14:paraId="6F668C37" w14:textId="77777777" w:rsidR="002B5477" w:rsidRPr="00AD4EAC" w:rsidRDefault="002B5477" w:rsidP="002B5477">
      <w:pPr>
        <w:pStyle w:val="A"/>
      </w:pPr>
      <w:r w:rsidRPr="00AD4EAC">
        <w:t>A.</w:t>
      </w:r>
      <w:r w:rsidRPr="00AD4EAC">
        <w:tab/>
      </w:r>
      <w:r w:rsidR="00C8044B" w:rsidRPr="005F0376">
        <w:t>Each applicant must complete the application form prescribed by the commission for the area in the practice of horticulture for which the license or permit is sought and submit the application to the commission at 5825 Florida Boulevard, Baton Rouge, LA 70806 along with any other information required by the commission in this Chapter for an applicant to take the requested examination.</w:t>
      </w:r>
    </w:p>
    <w:p w14:paraId="4C1DFE16" w14:textId="77777777" w:rsidR="002B5477" w:rsidRDefault="002B5477" w:rsidP="002B5477">
      <w:pPr>
        <w:pStyle w:val="A"/>
      </w:pPr>
      <w:r w:rsidRPr="00AD4EAC">
        <w:t>B.</w:t>
      </w:r>
      <w:r w:rsidRPr="00AD4EAC">
        <w:tab/>
        <w:t>Applicants who desire to take an examination for licensure offered by the commission may apply at any time, in person or by writing, to the commission's state office at 5825 Florida Boulevard, Baton Rouge, LA 70806 or at any district office of the department. Applicants who apply in person, will be allowed, whenever feasible, to complete the written application form at the initial visit.</w:t>
      </w:r>
    </w:p>
    <w:p w14:paraId="35A95F3F" w14:textId="77777777" w:rsidR="00C8044B" w:rsidRPr="005F0376" w:rsidRDefault="00C8044B" w:rsidP="00C8044B">
      <w:pPr>
        <w:pStyle w:val="A"/>
      </w:pPr>
      <w:r w:rsidRPr="005F0376">
        <w:t>C.</w:t>
      </w:r>
      <w:r w:rsidRPr="005F0376">
        <w:tab/>
        <w:t xml:space="preserve">Applicants who have an occupational license or certification in a regulated profession or occupation from another state and reside in the state of Louisiana should refer to R.S. 37:51 </w:t>
      </w:r>
      <w:r w:rsidRPr="00E15279">
        <w:rPr>
          <w:iCs/>
        </w:rPr>
        <w:t>et seq.</w:t>
      </w:r>
      <w:r w:rsidRPr="005F0376">
        <w:t xml:space="preserve"> for the Welcome Home Act.</w:t>
      </w:r>
    </w:p>
    <w:p w14:paraId="3DB7B1C7" w14:textId="77777777" w:rsidR="00CF626A" w:rsidRPr="001531CD" w:rsidRDefault="002B5477" w:rsidP="002B5477">
      <w:pPr>
        <w:pStyle w:val="AuthorityNote"/>
      </w:pPr>
      <w:r w:rsidRPr="00AD4EAC">
        <w:t>AUTHORITY NOTE:</w:t>
      </w:r>
      <w:r w:rsidRPr="00AD4EAC">
        <w:tab/>
        <w:t>Promulgated in accordance with R.S. 3:3801, R.S. 3:3807, and R.S. 3:3808.</w:t>
      </w:r>
    </w:p>
    <w:p w14:paraId="4B2BFA7B" w14:textId="77777777"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14:7 (January 1988), LR 18:249 (March 1992), LR 20:639 (June 1994), LR 23:854 (July 1997), LR 29:1460 (August 2003</w:t>
      </w:r>
      <w:r w:rsidR="001E56A1" w:rsidRPr="001531CD">
        <w:t>), LR 31:1053 (May 2005), LR 35:1227</w:t>
      </w:r>
      <w:r w:rsidR="00B77189" w:rsidRPr="001531CD">
        <w:t xml:space="preserve">, 1228 </w:t>
      </w:r>
      <w:r w:rsidR="009C3C93" w:rsidRPr="001531CD">
        <w:t>(July 20</w:t>
      </w:r>
      <w:r w:rsidR="002B5477">
        <w:t>09), LR 37:3464 (Decembe</w:t>
      </w:r>
      <w:r w:rsidR="00C8044B">
        <w:t xml:space="preserve">r 2011), LR 40:758 (April 2014), </w:t>
      </w:r>
      <w:r w:rsidR="00C8044B">
        <w:rPr>
          <w:lang w:eastAsia="x-none"/>
        </w:rPr>
        <w:t>LR 51:26 (January 2025).</w:t>
      </w:r>
    </w:p>
    <w:p w14:paraId="71351CB1" w14:textId="77777777" w:rsidR="00CF626A" w:rsidRPr="001531CD" w:rsidRDefault="00CF626A">
      <w:pPr>
        <w:pStyle w:val="Section"/>
      </w:pPr>
      <w:bookmarkStart w:id="2798" w:name="_Toc256755010"/>
      <w:bookmarkStart w:id="2799" w:name="_Toc224819379"/>
      <w:r w:rsidRPr="001531CD">
        <w:t>§109.</w:t>
      </w:r>
      <w:r w:rsidRPr="001531CD">
        <w:tab/>
      </w:r>
      <w:bookmarkEnd w:id="2798"/>
      <w:r w:rsidR="00C8044B" w:rsidRPr="005F0376">
        <w:t>Examination and Licensure or Permitting Fees</w:t>
      </w:r>
      <w:bookmarkEnd w:id="2799"/>
    </w:p>
    <w:p w14:paraId="1D9AB49A" w14:textId="77777777" w:rsidR="002B5477" w:rsidRPr="00AD4EAC" w:rsidRDefault="002B5477" w:rsidP="002B5477">
      <w:pPr>
        <w:pStyle w:val="A"/>
      </w:pPr>
      <w:r w:rsidRPr="00AD4EAC">
        <w:t>A.</w:t>
      </w:r>
      <w:r w:rsidRPr="00AD4EAC">
        <w:tab/>
        <w:t>Landscape Architect</w:t>
      </w:r>
    </w:p>
    <w:p w14:paraId="530F4CFD" w14:textId="77777777" w:rsidR="002B5477" w:rsidRPr="00AD4EAC" w:rsidRDefault="002B5477" w:rsidP="002B5477">
      <w:pPr>
        <w:pStyle w:val="1"/>
      </w:pPr>
      <w:r w:rsidRPr="00AD4EAC">
        <w:t>1.</w:t>
      </w:r>
      <w:r w:rsidRPr="00AD4EAC">
        <w:tab/>
        <w:t xml:space="preserve">The initial fee for the Louisiana Landscape Architect Examination shall be $200. </w:t>
      </w:r>
    </w:p>
    <w:p w14:paraId="0D0965F9" w14:textId="77777777" w:rsidR="009C3C93" w:rsidRPr="001531CD" w:rsidRDefault="002B5477" w:rsidP="002B5477">
      <w:pPr>
        <w:pStyle w:val="1"/>
      </w:pPr>
      <w:r w:rsidRPr="00AD4EAC">
        <w:t>2.</w:t>
      </w:r>
      <w:r w:rsidRPr="00AD4EAC">
        <w:tab/>
        <w:t>The re-examination fee for the Louisiana Landscape Architect Examination shall be $100.</w:t>
      </w:r>
    </w:p>
    <w:p w14:paraId="3C99AFB0" w14:textId="77777777" w:rsidR="00C8044B" w:rsidRPr="005F0376" w:rsidRDefault="00F046DC" w:rsidP="00C8044B">
      <w:pPr>
        <w:pStyle w:val="A"/>
      </w:pPr>
      <w:r w:rsidRPr="00895467">
        <w:t>B.</w:t>
      </w:r>
      <w:r w:rsidRPr="00895467">
        <w:tab/>
      </w:r>
      <w:r w:rsidR="00C8044B" w:rsidRPr="005F0376">
        <w:t>Arborist, Landscape Horticulturist, Landscape Irrigation Contractor, Utility Arborist</w:t>
      </w:r>
    </w:p>
    <w:p w14:paraId="2D63B73A" w14:textId="77777777" w:rsidR="00CB6A9F" w:rsidRPr="00B7246F" w:rsidRDefault="00C8044B" w:rsidP="00CB6A9F">
      <w:pPr>
        <w:pStyle w:val="1"/>
      </w:pPr>
      <w:r w:rsidRPr="005F0376">
        <w:t>1.</w:t>
      </w:r>
      <w:r w:rsidRPr="005F0376">
        <w:tab/>
      </w:r>
      <w:r w:rsidR="00CB6A9F" w:rsidRPr="00B7246F">
        <w:t>The fee for examination or re-examination for licensure as an arborist, landscape horticulturist, landscape irrigation contractor, or utility arborist shall be $150.</w:t>
      </w:r>
    </w:p>
    <w:p w14:paraId="67281B2D" w14:textId="657907C8" w:rsidR="00C8044B" w:rsidRPr="005F0376" w:rsidRDefault="00CB6A9F" w:rsidP="00CB6A9F">
      <w:pPr>
        <w:pStyle w:val="1"/>
      </w:pPr>
      <w:r w:rsidRPr="00B7246F">
        <w:t>2.</w:t>
      </w:r>
      <w:r w:rsidRPr="00B7246F">
        <w:tab/>
        <w:t>The fee for issuance or renewal for licensure as an arborist, landscape horticulturist, landscape irrigation contractor, landscape architect, utility arborist</w:t>
      </w:r>
      <w:r w:rsidRPr="00B7246F">
        <w:rPr>
          <w:color w:val="FF0000"/>
        </w:rPr>
        <w:t xml:space="preserve"> </w:t>
      </w:r>
      <w:r w:rsidRPr="00B7246F">
        <w:t>shall be $125</w:t>
      </w:r>
      <w:r w:rsidR="00C8044B" w:rsidRPr="005F0376">
        <w:t>.</w:t>
      </w:r>
    </w:p>
    <w:p w14:paraId="08A78E27" w14:textId="77777777" w:rsidR="00C8044B" w:rsidRPr="005F0376" w:rsidRDefault="00C8044B" w:rsidP="00C8044B">
      <w:pPr>
        <w:pStyle w:val="A"/>
      </w:pPr>
      <w:r w:rsidRPr="005F0376">
        <w:t>C.</w:t>
      </w:r>
      <w:r w:rsidRPr="005F0376">
        <w:tab/>
        <w:t>Nursery Stock, Cut Flower, and Floral Dealer</w:t>
      </w:r>
    </w:p>
    <w:p w14:paraId="4F830F05" w14:textId="77777777" w:rsidR="00CB6A9F" w:rsidRPr="00B7246F" w:rsidRDefault="00C8044B" w:rsidP="00CB6A9F">
      <w:pPr>
        <w:pStyle w:val="1"/>
      </w:pPr>
      <w:r w:rsidRPr="005F0376">
        <w:t>1.</w:t>
      </w:r>
      <w:r w:rsidRPr="005F0376">
        <w:tab/>
      </w:r>
      <w:r w:rsidR="00CB6A9F" w:rsidRPr="00B7246F">
        <w:t>The fee for issuance or renewal of a nursery stock dealer permit shall be $175.</w:t>
      </w:r>
    </w:p>
    <w:p w14:paraId="244A18B5" w14:textId="71E4236E" w:rsidR="00C8044B" w:rsidRPr="005F0376" w:rsidRDefault="00CB6A9F" w:rsidP="00CB6A9F">
      <w:pPr>
        <w:pStyle w:val="1"/>
      </w:pPr>
      <w:r w:rsidRPr="00B7246F">
        <w:t>2.</w:t>
      </w:r>
      <w:r w:rsidRPr="00B7246F">
        <w:tab/>
        <w:t>The fee for issuance or renewal of a cut flower dealer permit shall be $120</w:t>
      </w:r>
      <w:r w:rsidR="00C8044B" w:rsidRPr="005F0376">
        <w:t>.</w:t>
      </w:r>
    </w:p>
    <w:p w14:paraId="49A2A8FA" w14:textId="77777777" w:rsidR="00C8044B" w:rsidRPr="005F0376" w:rsidRDefault="00C8044B" w:rsidP="00C8044B">
      <w:pPr>
        <w:pStyle w:val="1"/>
      </w:pPr>
      <w:r w:rsidRPr="005F0376">
        <w:t>3.</w:t>
      </w:r>
      <w:r w:rsidRPr="005F0376">
        <w:tab/>
        <w:t>The fee for issuance or renewal of a floral dealer permit shall be $100.</w:t>
      </w:r>
    </w:p>
    <w:p w14:paraId="003954C4" w14:textId="77777777" w:rsidR="00C8044B" w:rsidRPr="005F0376" w:rsidRDefault="00C8044B" w:rsidP="00C8044B">
      <w:pPr>
        <w:pStyle w:val="1"/>
      </w:pPr>
      <w:r w:rsidRPr="005F0376">
        <w:t>4.</w:t>
      </w:r>
      <w:r w:rsidRPr="005F0376">
        <w:tab/>
        <w:t>Governmental agencies, schools, and nonprofit organizations which are not in the business of commercial sales of nursery stock or cut flowers shall be exempt from the payment of fees by this section. However, entities engaged in sales shall apply for a permit and are subject to all commission laws and regulations.</w:t>
      </w:r>
    </w:p>
    <w:p w14:paraId="3275A3CB" w14:textId="77777777" w:rsidR="00C8044B" w:rsidRPr="005F0376" w:rsidRDefault="00C8044B" w:rsidP="00C8044B">
      <w:pPr>
        <w:pStyle w:val="A"/>
      </w:pPr>
      <w:r w:rsidRPr="005F0376">
        <w:t>D.</w:t>
      </w:r>
      <w:r w:rsidRPr="005F0376">
        <w:tab/>
        <w:t>A late fee of $25 shall be charged after the fifteenth working day after a license or permit has expired for the renewal thereof.</w:t>
      </w:r>
    </w:p>
    <w:p w14:paraId="66196C40" w14:textId="77777777" w:rsidR="00F046DC" w:rsidRPr="00895467" w:rsidRDefault="00C8044B" w:rsidP="00C8044B">
      <w:pPr>
        <w:pStyle w:val="A"/>
      </w:pPr>
      <w:r w:rsidRPr="005F0376">
        <w:t>E.</w:t>
      </w:r>
      <w:r w:rsidRPr="005F0376">
        <w:tab/>
        <w:t>All fees required under this rule must be submitted at the same time as the application; failure to submit any required fees will bar the applicant from taking the examination.</w:t>
      </w:r>
    </w:p>
    <w:p w14:paraId="785AC2BD" w14:textId="77777777" w:rsidR="00CF626A" w:rsidRPr="001531CD" w:rsidRDefault="00F046DC" w:rsidP="00F046DC">
      <w:pPr>
        <w:pStyle w:val="AuthorityNote"/>
      </w:pPr>
      <w:r w:rsidRPr="00895467">
        <w:t>AUTHORITY NOTE:</w:t>
      </w:r>
      <w:r w:rsidRPr="00895467">
        <w:tab/>
        <w:t>Promulgated in accordance with R.S. 3:3806, R.S. 3:3805, and R.S. 3:3801.</w:t>
      </w:r>
    </w:p>
    <w:p w14:paraId="4CEDD7A7" w14:textId="797FD81F"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14:8 (January 1988), LR 18:249 (March 1992), LR 20:640 (June 1994), LR 29:2297 (November 2003</w:t>
      </w:r>
      <w:r w:rsidR="004543B2" w:rsidRPr="001531CD">
        <w:t>), LR 31:1053 (May 2</w:t>
      </w:r>
      <w:r w:rsidR="009C3C93" w:rsidRPr="001531CD">
        <w:t>005), LR 35:1227 (July 20</w:t>
      </w:r>
      <w:r w:rsidR="002B5477">
        <w:t>09), LR 37:3464 (Decembe</w:t>
      </w:r>
      <w:r w:rsidR="008C7B85">
        <w:t xml:space="preserve">r 2011), LR 40:758 (April 2014), </w:t>
      </w:r>
      <w:r w:rsidR="008C7B85" w:rsidRPr="00450ED8">
        <w:t>amended by the Department of Agriculture and Forestry, Office of Agricultural and Environmental Sciences, Horticulture Commis</w:t>
      </w:r>
      <w:r w:rsidR="00F046DC">
        <w:t xml:space="preserve">sion, LR 41:2098 (October 2015), </w:t>
      </w:r>
      <w:r w:rsidR="00F046DC" w:rsidRPr="00895467">
        <w:t>LR 41:</w:t>
      </w:r>
      <w:r w:rsidR="00C8044B">
        <w:t>2578 (December 2015), LR 51:26 (January 2025)</w:t>
      </w:r>
      <w:r w:rsidR="00CB6A9F">
        <w:t xml:space="preserve">, </w:t>
      </w:r>
      <w:r w:rsidR="00CB6A9F" w:rsidRPr="00B7246F">
        <w:t>LR 52:348 (March 2026).</w:t>
      </w:r>
    </w:p>
    <w:p w14:paraId="5B76F968" w14:textId="77777777" w:rsidR="00CF626A" w:rsidRPr="001531CD" w:rsidRDefault="00CF626A">
      <w:pPr>
        <w:pStyle w:val="Section"/>
      </w:pPr>
      <w:bookmarkStart w:id="2800" w:name="_Toc256755011"/>
      <w:bookmarkStart w:id="2801" w:name="_Toc224819380"/>
      <w:r w:rsidRPr="001531CD">
        <w:t>§111.</w:t>
      </w:r>
      <w:r w:rsidRPr="001531CD">
        <w:tab/>
        <w:t>Minimum Examination Performance Levels Required</w:t>
      </w:r>
      <w:bookmarkEnd w:id="2800"/>
      <w:bookmarkEnd w:id="2801"/>
    </w:p>
    <w:p w14:paraId="7E4AFF84" w14:textId="77777777" w:rsidR="007204F4" w:rsidRPr="00CF47F9" w:rsidRDefault="002B5477" w:rsidP="007204F4">
      <w:pPr>
        <w:pStyle w:val="A"/>
      </w:pPr>
      <w:r w:rsidRPr="00AD4EAC">
        <w:t>A.</w:t>
      </w:r>
      <w:r w:rsidRPr="00AD4EAC">
        <w:tab/>
      </w:r>
      <w:r w:rsidR="007204F4" w:rsidRPr="00CF47F9">
        <w:t>Any person taking an examination for licensure must score a 70 percent or above to pass the examination.</w:t>
      </w:r>
    </w:p>
    <w:p w14:paraId="1E396B02" w14:textId="075DFE8A" w:rsidR="007204F4" w:rsidRPr="00CF47F9" w:rsidRDefault="007204F4" w:rsidP="007204F4">
      <w:pPr>
        <w:pStyle w:val="A"/>
      </w:pPr>
      <w:r w:rsidRPr="00CF47F9">
        <w:t>B.</w:t>
      </w:r>
      <w:r w:rsidRPr="00CF47F9">
        <w:tab/>
      </w:r>
      <w:r w:rsidR="00392E16" w:rsidRPr="00B7246F">
        <w:t>A passing score on an examination is valid for five years, after which time the applicant must apply to retake the examination</w:t>
      </w:r>
      <w:r w:rsidRPr="00CF47F9">
        <w:t xml:space="preserve">. </w:t>
      </w:r>
    </w:p>
    <w:p w14:paraId="5354435E" w14:textId="77777777" w:rsidR="00CF626A" w:rsidRPr="001531CD" w:rsidRDefault="007B0BA4" w:rsidP="002B5477">
      <w:pPr>
        <w:pStyle w:val="AuthorityNote"/>
      </w:pPr>
      <w:r w:rsidRPr="00E73B1B">
        <w:t>AUTHORITY NOTE:</w:t>
      </w:r>
      <w:r w:rsidRPr="00E73B1B">
        <w:tab/>
        <w:t>Promulgated in accordance with R.S. 3:3807 and R.S. 3:3801.</w:t>
      </w:r>
      <w:r>
        <w:t xml:space="preserve"> </w:t>
      </w:r>
    </w:p>
    <w:p w14:paraId="62A95CDD" w14:textId="6F59284A" w:rsidR="00CF626A" w:rsidRPr="001531CD" w:rsidRDefault="00CF626A">
      <w:pPr>
        <w:pStyle w:val="HistoricalNote"/>
      </w:pPr>
      <w:r w:rsidRPr="001531CD">
        <w:t>HISTORICAL NOTE:</w:t>
      </w:r>
      <w:r w:rsidRPr="001531CD">
        <w:tab/>
        <w:t xml:space="preserve">Promulgated by the Department of Agriculture, Horticulture Commission, LR 8:184 (April 1982), </w:t>
      </w:r>
      <w:r w:rsidRPr="001531CD">
        <w:lastRenderedPageBreak/>
        <w:t xml:space="preserve">amended </w:t>
      </w:r>
      <w:r w:rsidR="004543B2" w:rsidRPr="001531CD">
        <w:t xml:space="preserve">by the Department of Agriculture and Forestry, Horticulture Commission, </w:t>
      </w:r>
      <w:r w:rsidR="00B77189" w:rsidRPr="001531CD">
        <w:t>LR 20:153 (Februar</w:t>
      </w:r>
      <w:r w:rsidR="009C3C93" w:rsidRPr="001531CD">
        <w:t>y 1994), LR 35:1229 (July 20</w:t>
      </w:r>
      <w:r w:rsidR="002B5477">
        <w:t>09), LR 37:3464 (December 2011), LR 40:759 (April 2014)</w:t>
      </w:r>
      <w:r w:rsidR="007C42D4">
        <w:rPr>
          <w:kern w:val="0"/>
          <w:sz w:val="20"/>
          <w:lang w:eastAsia="x-none"/>
        </w:rPr>
        <w:t xml:space="preserve">, </w:t>
      </w:r>
      <w:r w:rsidR="007C42D4" w:rsidRPr="007C42D4">
        <w:t>amended by the Department of Agriculture and Forestry, Office of Agricultural and Environmental Sciences, Horticulture Commission, LR 44:2127 (December 2018)</w:t>
      </w:r>
      <w:r w:rsidR="007204F4" w:rsidRPr="00CF47F9">
        <w:rPr>
          <w:szCs w:val="18"/>
        </w:rPr>
        <w:t>, LR 47:</w:t>
      </w:r>
      <w:r w:rsidR="007204F4">
        <w:rPr>
          <w:szCs w:val="18"/>
        </w:rPr>
        <w:t>1274 (September 2021)</w:t>
      </w:r>
      <w:r w:rsidR="00392E16">
        <w:rPr>
          <w:szCs w:val="18"/>
        </w:rPr>
        <w:t xml:space="preserve">, </w:t>
      </w:r>
      <w:r w:rsidR="00392E16" w:rsidRPr="00B7246F">
        <w:t>LR 52:349 (March 2026).</w:t>
      </w:r>
    </w:p>
    <w:p w14:paraId="165C83D2" w14:textId="77777777" w:rsidR="002B5477" w:rsidRPr="00AD4EAC" w:rsidRDefault="002B5477" w:rsidP="002B5477">
      <w:pPr>
        <w:pStyle w:val="Section"/>
      </w:pPr>
      <w:bookmarkStart w:id="2802" w:name="_Toc224819381"/>
      <w:r w:rsidRPr="00AD4EAC">
        <w:t>§113.</w:t>
      </w:r>
      <w:r w:rsidRPr="00AD4EAC">
        <w:tab/>
      </w:r>
      <w:r w:rsidR="00C8044B" w:rsidRPr="005F0376">
        <w:t>Examination Schedule and Administration</w:t>
      </w:r>
      <w:bookmarkEnd w:id="2802"/>
    </w:p>
    <w:p w14:paraId="7639DA97" w14:textId="77777777" w:rsidR="008F513D" w:rsidRDefault="002B5477" w:rsidP="008F513D">
      <w:pPr>
        <w:pStyle w:val="A"/>
      </w:pPr>
      <w:r w:rsidRPr="00AD4EAC">
        <w:t>A.</w:t>
      </w:r>
      <w:r w:rsidRPr="00AD4EAC">
        <w:tab/>
      </w:r>
      <w:r w:rsidR="00C8044B" w:rsidRPr="005F0376">
        <w:t>Examinations for licensure shall be administered in the commission’s state office at 5825 Florida Boulevard, Baton Rouge, LA 70806 and, upon written request, in district offices of the department or at a site approved by the commission. Each applicant shall be notified of the date for the examination.</w:t>
      </w:r>
    </w:p>
    <w:p w14:paraId="2483C1C0" w14:textId="77777777" w:rsidR="008F513D" w:rsidRPr="007E1F3E" w:rsidRDefault="008F513D" w:rsidP="008F513D">
      <w:pPr>
        <w:pStyle w:val="A"/>
      </w:pPr>
      <w:r w:rsidRPr="007E1F3E">
        <w:rPr>
          <w:lang w:eastAsia="x-none"/>
        </w:rPr>
        <w:t>B.</w:t>
      </w:r>
      <w:r w:rsidRPr="007E1F3E">
        <w:rPr>
          <w:lang w:eastAsia="x-none"/>
        </w:rPr>
        <w:tab/>
      </w:r>
      <w:r w:rsidRPr="007E1F3E">
        <w:t>An applicant shall be disqualified from completing an examination or taking any other examination administered under these rules and regulations if the applicant is caught or found to be cheating on an examination. Cheating consists of:</w:t>
      </w:r>
    </w:p>
    <w:p w14:paraId="6DACB5FE" w14:textId="77777777" w:rsidR="008F513D" w:rsidRPr="007E1F3E" w:rsidRDefault="008F513D" w:rsidP="008F513D">
      <w:pPr>
        <w:pStyle w:val="1"/>
      </w:pPr>
      <w:r w:rsidRPr="007E1F3E">
        <w:t>1.</w:t>
      </w:r>
      <w:r w:rsidRPr="007E1F3E">
        <w:tab/>
        <w:t xml:space="preserve">giving or receiving unauthorized assistance to answer examination questions; </w:t>
      </w:r>
    </w:p>
    <w:p w14:paraId="15CEC9E9" w14:textId="77777777" w:rsidR="008F513D" w:rsidRPr="007E1F3E" w:rsidRDefault="008F513D" w:rsidP="008F513D">
      <w:pPr>
        <w:pStyle w:val="1"/>
      </w:pPr>
      <w:r w:rsidRPr="007E1F3E">
        <w:t>2.</w:t>
      </w:r>
      <w:r w:rsidRPr="007E1F3E">
        <w:tab/>
        <w:t xml:space="preserve">bringing unauthorized materials into the exam room or using unauthorized materials to answer examination questions; </w:t>
      </w:r>
    </w:p>
    <w:p w14:paraId="3924B434" w14:textId="77777777" w:rsidR="008F513D" w:rsidRPr="007E1F3E" w:rsidRDefault="008F513D" w:rsidP="008F513D">
      <w:pPr>
        <w:pStyle w:val="1"/>
      </w:pPr>
      <w:r w:rsidRPr="007E1F3E">
        <w:t>3.</w:t>
      </w:r>
      <w:r w:rsidRPr="007E1F3E">
        <w:tab/>
        <w:t xml:space="preserve">using answers from another examinee; </w:t>
      </w:r>
    </w:p>
    <w:p w14:paraId="50221072" w14:textId="77777777" w:rsidR="008F513D" w:rsidRPr="007E1F3E" w:rsidRDefault="008F513D" w:rsidP="008F513D">
      <w:pPr>
        <w:pStyle w:val="1"/>
      </w:pPr>
      <w:r w:rsidRPr="007E1F3E">
        <w:t>4.</w:t>
      </w:r>
      <w:r w:rsidRPr="007E1F3E">
        <w:tab/>
        <w:t xml:space="preserve">copying questions or answers to examination questions to take from the examination room; </w:t>
      </w:r>
    </w:p>
    <w:p w14:paraId="45DDD249" w14:textId="77777777" w:rsidR="008F513D" w:rsidRPr="007E1F3E" w:rsidRDefault="008F513D" w:rsidP="008F513D">
      <w:pPr>
        <w:pStyle w:val="1"/>
      </w:pPr>
      <w:r w:rsidRPr="007E1F3E">
        <w:t>5.</w:t>
      </w:r>
      <w:r w:rsidRPr="007E1F3E">
        <w:tab/>
        <w:t xml:space="preserve">removing an examination booklet, answer sheet, or scratch paper from the examination room; or </w:t>
      </w:r>
    </w:p>
    <w:p w14:paraId="69D9116F" w14:textId="77777777" w:rsidR="008F513D" w:rsidRPr="007E1F3E" w:rsidRDefault="008F513D" w:rsidP="008F513D">
      <w:pPr>
        <w:pStyle w:val="1"/>
      </w:pPr>
      <w:r w:rsidRPr="007E1F3E">
        <w:t>6.</w:t>
      </w:r>
      <w:r w:rsidRPr="007E1F3E">
        <w:tab/>
        <w:t>any other action which may undermine the integrity of the examination process.</w:t>
      </w:r>
    </w:p>
    <w:p w14:paraId="477EC423" w14:textId="77777777" w:rsidR="008F513D" w:rsidRPr="007E1F3E" w:rsidRDefault="008F513D" w:rsidP="008F513D">
      <w:pPr>
        <w:pStyle w:val="A"/>
      </w:pPr>
      <w:r w:rsidRPr="007E1F3E">
        <w:t>C.</w:t>
      </w:r>
      <w:r w:rsidRPr="007E1F3E">
        <w:tab/>
        <w:t>Any applicant caught or found to be cheating shall not be allowed to finish the examination and shall receive a score of zero. If an applicant finished the examination prior to the discovery of the cheating the applicant's examination shall be voided and the applicant shall receive a score of zero.</w:t>
      </w:r>
      <w:r w:rsidRPr="007E1F3E">
        <w:tab/>
      </w:r>
    </w:p>
    <w:p w14:paraId="6537535F" w14:textId="77777777" w:rsidR="008F513D" w:rsidRPr="007E1F3E" w:rsidRDefault="008F513D" w:rsidP="008F513D">
      <w:pPr>
        <w:pStyle w:val="A"/>
      </w:pPr>
      <w:r w:rsidRPr="007E1F3E">
        <w:t>D.</w:t>
      </w:r>
      <w:r w:rsidRPr="007E1F3E">
        <w:tab/>
        <w:t>Any applicant who is not allowed under this Subsection C to finish an examination, or whose examination is voided, or who is disqualified from taking the examination or any other examination administered under these rules and regulations may appeal the action to the commission.</w:t>
      </w:r>
    </w:p>
    <w:p w14:paraId="1686497E" w14:textId="77777777" w:rsidR="008F513D" w:rsidRPr="007E1F3E" w:rsidRDefault="008F513D" w:rsidP="008F513D">
      <w:pPr>
        <w:pStyle w:val="1"/>
      </w:pPr>
      <w:r w:rsidRPr="007E1F3E">
        <w:t>1.</w:t>
      </w:r>
      <w:r w:rsidRPr="007E1F3E">
        <w:tab/>
        <w:t>The appeal shall be in writing, state the grounds for the appeal, and filed with the director within 30 days after the date of the examination.</w:t>
      </w:r>
    </w:p>
    <w:p w14:paraId="38BE226B" w14:textId="77777777" w:rsidR="008F513D" w:rsidRPr="007E1F3E" w:rsidRDefault="008F513D" w:rsidP="008F513D">
      <w:pPr>
        <w:pStyle w:val="1"/>
      </w:pPr>
      <w:r w:rsidRPr="007E1F3E">
        <w:t>2.</w:t>
      </w:r>
      <w:r w:rsidRPr="007E1F3E">
        <w:tab/>
        <w:t>The appeal will be placed on the agenda for the next meeting of the commission and the applicant will be notified of the date and place of the next meeting.</w:t>
      </w:r>
    </w:p>
    <w:p w14:paraId="713B2CD3" w14:textId="77777777" w:rsidR="008F513D" w:rsidRPr="007E1F3E" w:rsidRDefault="008F513D" w:rsidP="008F513D">
      <w:pPr>
        <w:pStyle w:val="1"/>
      </w:pPr>
      <w:r w:rsidRPr="007E1F3E">
        <w:t>3.</w:t>
      </w:r>
      <w:r w:rsidRPr="007E1F3E">
        <w:tab/>
        <w:t>The appeal will be decided by the commission. The decision of the commission shall be the final administrative decision in the matter.</w:t>
      </w:r>
    </w:p>
    <w:p w14:paraId="06337F36" w14:textId="77777777" w:rsidR="008F513D" w:rsidRPr="007E1F3E" w:rsidRDefault="008F513D" w:rsidP="008F513D">
      <w:pPr>
        <w:pStyle w:val="1"/>
      </w:pPr>
      <w:r w:rsidRPr="007E1F3E">
        <w:t>4.</w:t>
      </w:r>
      <w:r w:rsidRPr="007E1F3E">
        <w:tab/>
        <w:t>An appeal from the decision of the commission shall be in accordance with the Administrative Procedure Act.</w:t>
      </w:r>
    </w:p>
    <w:p w14:paraId="00A3E51B" w14:textId="77777777" w:rsidR="008F513D" w:rsidRPr="007E1F3E" w:rsidRDefault="008F513D" w:rsidP="008F513D">
      <w:pPr>
        <w:pStyle w:val="1"/>
      </w:pPr>
      <w:r w:rsidRPr="007E1F3E">
        <w:t>5.</w:t>
      </w:r>
      <w:r w:rsidRPr="007E1F3E">
        <w:tab/>
        <w:t>The action or administrative decision shall become final if no appeal is timely filed at any step in the proceedings or if the action is upheld on appeal.</w:t>
      </w:r>
    </w:p>
    <w:p w14:paraId="2A98EFE9" w14:textId="77777777" w:rsidR="008F513D" w:rsidRPr="007E1F3E" w:rsidRDefault="008F513D" w:rsidP="008F513D">
      <w:pPr>
        <w:pStyle w:val="A"/>
      </w:pPr>
      <w:r w:rsidRPr="007E1F3E">
        <w:t>E.</w:t>
      </w:r>
      <w:r w:rsidRPr="007E1F3E">
        <w:tab/>
        <w:t>During the pendency of any appeal or during the time limit for the filing of any appeal the applicant shall not be allowed to take any examination administered under these rules and regulations.</w:t>
      </w:r>
    </w:p>
    <w:p w14:paraId="483892D7" w14:textId="77777777" w:rsidR="008F513D" w:rsidRPr="007E1F3E" w:rsidRDefault="008F513D" w:rsidP="008F513D">
      <w:pPr>
        <w:pStyle w:val="A"/>
      </w:pPr>
      <w:r w:rsidRPr="007E1F3E">
        <w:t>F.</w:t>
      </w:r>
      <w:r w:rsidRPr="007E1F3E">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14:paraId="3D66153D" w14:textId="77777777" w:rsidR="00CF626A" w:rsidRPr="001531CD" w:rsidRDefault="002B5477" w:rsidP="008F513D">
      <w:pPr>
        <w:pStyle w:val="AuthorityNote"/>
      </w:pPr>
      <w:r w:rsidRPr="00AD4EAC">
        <w:t>AUTHORITY NOTE:</w:t>
      </w:r>
      <w:r w:rsidRPr="00AD4EAC">
        <w:tab/>
        <w:t>Promulgated in accordance with R.S. 3:3807 and R.S. 3:3801.</w:t>
      </w:r>
    </w:p>
    <w:p w14:paraId="1049A020" w14:textId="77777777" w:rsidR="00CF626A" w:rsidRPr="001531CD" w:rsidRDefault="00CF626A">
      <w:pPr>
        <w:pStyle w:val="HistoricalNote"/>
      </w:pPr>
      <w:r w:rsidRPr="001531CD">
        <w:t>HISTORICAL NOTE:</w:t>
      </w:r>
      <w:r w:rsidRPr="001531CD">
        <w:tab/>
        <w:t xml:space="preserve">Promulgated by the Department of Agriculture, Horticulture Commission, LR 8:185 (April 1982), amended </w:t>
      </w:r>
      <w:r w:rsidR="004543B2" w:rsidRPr="001531CD">
        <w:t xml:space="preserve">by the Department of Agriculture and Forestry, Horticulture Commission, </w:t>
      </w:r>
      <w:r w:rsidRPr="001531CD">
        <w:t>LR 14:8 (January 1988), LR 18:250 (Marc</w:t>
      </w:r>
      <w:r w:rsidR="00627324" w:rsidRPr="001531CD">
        <w:t>h 1992), LR 20:640 (Ju</w:t>
      </w:r>
      <w:r w:rsidR="001E56A1" w:rsidRPr="001531CD">
        <w:t>ne 1994), LR 31:1053 (Ma</w:t>
      </w:r>
      <w:r w:rsidR="009C3C93" w:rsidRPr="001531CD">
        <w:t>y 2005), LR 35:1227 (July 20</w:t>
      </w:r>
      <w:r w:rsidR="002B5477">
        <w:t>09), LR 37:3465 (December 2011), LR 40:759 (April 2014)</w:t>
      </w:r>
      <w:r w:rsidR="007C42D4" w:rsidRPr="007C42D4">
        <w:t>, amended by the Department of Agriculture and Forestry, Office of Agricultural and Environmental Sciences, Horticulture Commiss</w:t>
      </w:r>
      <w:r w:rsidR="008F513D">
        <w:t>ion, LR 44:2127 (December 2018),</w:t>
      </w:r>
      <w:r w:rsidR="008F513D" w:rsidRPr="008F513D">
        <w:t xml:space="preserve"> </w:t>
      </w:r>
      <w:r w:rsidR="008F513D" w:rsidRPr="007E1F3E">
        <w:t>amended by the Department of Agriculture and Forestry, Office of Agricultural and Environmental Sciences, Horticulture Commission, LR 44:2127 (December 2018), LR 46:</w:t>
      </w:r>
      <w:r w:rsidR="008F513D">
        <w:t>1076 (August 2020)</w:t>
      </w:r>
      <w:r w:rsidR="00C8044B">
        <w:t>, LR 51:27 (January 2025).</w:t>
      </w:r>
    </w:p>
    <w:p w14:paraId="7390B2BB" w14:textId="77777777" w:rsidR="00CF626A" w:rsidRPr="001531CD" w:rsidRDefault="00CF626A">
      <w:pPr>
        <w:pStyle w:val="Section"/>
      </w:pPr>
      <w:bookmarkStart w:id="2803" w:name="_Toc256755013"/>
      <w:bookmarkStart w:id="2804" w:name="_Toc224819382"/>
      <w:r w:rsidRPr="001531CD">
        <w:t>§115.</w:t>
      </w:r>
      <w:r w:rsidRPr="001531CD">
        <w:tab/>
        <w:t>General Requirements for All Licensees or Permittee</w:t>
      </w:r>
      <w:bookmarkEnd w:id="2803"/>
      <w:bookmarkEnd w:id="2804"/>
    </w:p>
    <w:p w14:paraId="1125983D" w14:textId="77777777" w:rsidR="00CF626A" w:rsidRPr="001531CD" w:rsidRDefault="00CF626A">
      <w:pPr>
        <w:pStyle w:val="A"/>
      </w:pPr>
      <w:r w:rsidRPr="001531CD">
        <w:t>A.</w:t>
      </w:r>
      <w:r w:rsidRPr="001531CD">
        <w:tab/>
        <w:t>All licensees or permittees must cooperate with any representative of the commission in any inspection of the premises and/or any other reasonable request. The giving of a false statement to any representative of the commission by a licensee or permittee shall constitute a violation of this regulation.</w:t>
      </w:r>
    </w:p>
    <w:p w14:paraId="6A4E09A4" w14:textId="77777777" w:rsidR="00E668E1" w:rsidRPr="001531CD" w:rsidRDefault="00E668E1" w:rsidP="00E668E1">
      <w:pPr>
        <w:pStyle w:val="A"/>
      </w:pPr>
      <w:r w:rsidRPr="001531CD">
        <w:t>B.</w:t>
      </w:r>
      <w:r w:rsidRPr="001531CD">
        <w:tab/>
        <w:t>A person holding a license in a regulated profession may be the licensee for only one person or business. The licenses of all licensees regularly assigned to work in any outlet shall be prominently displayed at all times in a location accessible to the general public or any representative of the commission.</w:t>
      </w:r>
    </w:p>
    <w:p w14:paraId="4ED4BC3B" w14:textId="77777777" w:rsidR="00A44515" w:rsidRDefault="00CF626A" w:rsidP="00A44515">
      <w:pPr>
        <w:pStyle w:val="A"/>
      </w:pPr>
      <w:r w:rsidRPr="001531CD">
        <w:t>C.</w:t>
      </w:r>
      <w:r w:rsidRPr="001531CD">
        <w:tab/>
      </w:r>
      <w:r w:rsidR="00A44515" w:rsidRPr="005F0376">
        <w:t>The permits of cut flower, floral and nursery stock dealers must be prominently displayed at all times in a location accessible to the general public or any representative of the commission.</w:t>
      </w:r>
    </w:p>
    <w:p w14:paraId="5246139A" w14:textId="77777777" w:rsidR="00A44515" w:rsidRDefault="00A44515" w:rsidP="00A44515">
      <w:pPr>
        <w:pStyle w:val="A"/>
      </w:pPr>
      <w:r w:rsidRPr="005F0376">
        <w:t>D.</w:t>
      </w:r>
      <w:r w:rsidRPr="005F0376">
        <w:tab/>
        <w:t>Licensees must display at least one of their license numbers on both sides of all vehicles that have advertisement or signs and are used for business purposes with lettering at least 2 inches high and legible at the distance of 25 feet. The number to be displayed shall be the last four digits of the license number preceded by two letters indicating the type of license as follows.</w:t>
      </w:r>
    </w:p>
    <w:p w14:paraId="656AD18F" w14:textId="77777777"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AR―Arborist </w:t>
      </w:r>
    </w:p>
    <w:p w14:paraId="4DF65A40" w14:textId="77777777"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LH―Landscape Horticulturist </w:t>
      </w:r>
    </w:p>
    <w:p w14:paraId="7EF13A63" w14:textId="77777777"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LA―Landscape Architect</w:t>
      </w:r>
    </w:p>
    <w:p w14:paraId="0759F2D0" w14:textId="77777777"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IC―Landscape Irrigation Contractor </w:t>
      </w:r>
    </w:p>
    <w:p w14:paraId="20C4B901" w14:textId="77777777" w:rsidR="00A44515" w:rsidRPr="00A44515"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lastRenderedPageBreak/>
        <w:t xml:space="preserve">UA―Utility Arborist </w:t>
      </w:r>
    </w:p>
    <w:p w14:paraId="35FA31FB" w14:textId="77777777" w:rsidR="00561777" w:rsidRPr="001531CD" w:rsidRDefault="00561777" w:rsidP="00A44515">
      <w:pPr>
        <w:pStyle w:val="AuthorityNote"/>
      </w:pPr>
      <w:r w:rsidRPr="001531CD">
        <w:t>AUTHORITY NOTE:</w:t>
      </w:r>
      <w:r w:rsidRPr="001531CD">
        <w:tab/>
        <w:t>Promulgated in accordance with R.S. 3:3801 and R.S. 3:3808.</w:t>
      </w:r>
    </w:p>
    <w:p w14:paraId="5A5C431F" w14:textId="77777777" w:rsidR="00561777" w:rsidRPr="001531CD" w:rsidRDefault="00561777" w:rsidP="00561777">
      <w:pPr>
        <w:pStyle w:val="HistoricalNote"/>
      </w:pPr>
      <w:r w:rsidRPr="001531CD">
        <w:t>HISTORICAL NOTE:</w:t>
      </w:r>
      <w:r w:rsidRPr="001531CD">
        <w:tab/>
        <w:t>Promulgated by the Department of Agriculture, Horticulture Commission, LR 8:185 (April 1982), amended by the Department of Agriculture and Forestry, Horticulture Commission, LR 20:640 (June 1994), LR 21:548 (Ju</w:t>
      </w:r>
      <w:r w:rsidR="00E668E1" w:rsidRPr="001531CD">
        <w:t>ne 1995), LR 31:1053 (May 2005), LR 34:2547 (December 2008)</w:t>
      </w:r>
      <w:r w:rsidR="001E56A1" w:rsidRPr="001531CD">
        <w:t xml:space="preserve">, LR 35:1227 </w:t>
      </w:r>
      <w:r w:rsidR="008F513D">
        <w:t>(July 2009), a</w:t>
      </w:r>
      <w:r w:rsidR="00A44515">
        <w:t>mended LR 46:1076 (August 2020), LR 51:27 (January 2025).</w:t>
      </w:r>
    </w:p>
    <w:p w14:paraId="2087ED68" w14:textId="77777777" w:rsidR="00CF626A" w:rsidRPr="001531CD" w:rsidRDefault="00CF626A" w:rsidP="00561777">
      <w:pPr>
        <w:pStyle w:val="Section"/>
      </w:pPr>
      <w:bookmarkStart w:id="2805" w:name="_Toc256755014"/>
      <w:bookmarkStart w:id="2806" w:name="_Toc224819383"/>
      <w:r w:rsidRPr="001531CD">
        <w:t>§117.</w:t>
      </w:r>
      <w:r w:rsidRPr="001531CD">
        <w:tab/>
      </w:r>
      <w:r w:rsidR="0054160F" w:rsidRPr="001531CD">
        <w:t>Professional and Occupational Standards and Requirements</w:t>
      </w:r>
      <w:bookmarkEnd w:id="2805"/>
      <w:bookmarkEnd w:id="2806"/>
    </w:p>
    <w:p w14:paraId="19AB6CE6" w14:textId="77777777" w:rsidR="00A44515" w:rsidRPr="005F0376" w:rsidRDefault="006736E6" w:rsidP="00A44515">
      <w:pPr>
        <w:pStyle w:val="A"/>
      </w:pPr>
      <w:r w:rsidRPr="00AA09C9">
        <w:t>A.</w:t>
      </w:r>
      <w:r w:rsidRPr="00AA09C9">
        <w:tab/>
      </w:r>
      <w:r w:rsidR="00A44515" w:rsidRPr="005F0376">
        <w:t>Floral Dealer</w:t>
      </w:r>
    </w:p>
    <w:p w14:paraId="607D7D48" w14:textId="77777777" w:rsidR="00A44515" w:rsidRPr="005F0376" w:rsidRDefault="00A44515" w:rsidP="00A44515">
      <w:pPr>
        <w:pStyle w:val="1"/>
      </w:pPr>
      <w:r w:rsidRPr="005F0376">
        <w:t>1.</w:t>
      </w:r>
      <w:r w:rsidRPr="005F0376">
        <w:tab/>
        <w:t>All cut flowers, ornamental plants, and living or freshly cut plant materials sold or offered for sale shall be fresh, of high quality, and free from injurious insects, diseases, and other pests. No plant material of low quality and no wilted or dead plant materials may be offered for sale to the general public or sold to a consumer except when specifically requested by the consumer.</w:t>
      </w:r>
    </w:p>
    <w:p w14:paraId="493C292B" w14:textId="77777777" w:rsidR="00A44515" w:rsidRPr="005F0376" w:rsidRDefault="00A44515" w:rsidP="00A44515">
      <w:pPr>
        <w:pStyle w:val="1"/>
      </w:pPr>
      <w:r w:rsidRPr="005F0376">
        <w:t>2.</w:t>
      </w:r>
      <w:r w:rsidRPr="005F0376">
        <w:tab/>
        <w:t>Cut flowers and ornamental plants, and living or freshly cut plant materials shall be cared for in a manner that, to the extent reasonably possible, maintains their freshness and increases their longevity.</w:t>
      </w:r>
    </w:p>
    <w:p w14:paraId="240433AF" w14:textId="77777777" w:rsidR="00A44515" w:rsidRPr="005F0376" w:rsidRDefault="00A44515" w:rsidP="00A44515">
      <w:pPr>
        <w:pStyle w:val="1"/>
      </w:pPr>
      <w:r w:rsidRPr="005F0376">
        <w:t>3.</w:t>
      </w:r>
      <w:r w:rsidRPr="005F0376">
        <w:tab/>
        <w:t>Coolers where cut flowers, ornamental plants, or living or freshly cut plant materials, are kept or stored shall be clean and maintained at a temperature conducive to prolonging the freshness of the said products kept or stored in the coolers.</w:t>
      </w:r>
    </w:p>
    <w:p w14:paraId="503F8AFA" w14:textId="77777777" w:rsidR="00A44515" w:rsidRPr="005F0376" w:rsidRDefault="00A44515" w:rsidP="00A44515">
      <w:pPr>
        <w:pStyle w:val="1"/>
      </w:pPr>
      <w:r w:rsidRPr="005F0376">
        <w:t>4.</w:t>
      </w:r>
      <w:r w:rsidRPr="005F0376">
        <w:tab/>
        <w:t>Containers holding cut flowers or living or freshly cut plant materials shall be maintained in a manner that does not adversely affect the cut flowers or plant material. Water in containers shall be changed periodically so as to remain clean at all times.</w:t>
      </w:r>
    </w:p>
    <w:p w14:paraId="30C380D2" w14:textId="77777777" w:rsidR="00A44515" w:rsidRPr="005F0376" w:rsidRDefault="00A44515" w:rsidP="00A44515">
      <w:pPr>
        <w:pStyle w:val="1"/>
      </w:pPr>
      <w:r w:rsidRPr="005F0376">
        <w:t>5.</w:t>
      </w:r>
      <w:r w:rsidRPr="005F0376">
        <w:tab/>
        <w:t>Floral dealers may rent potted ornamental plants for special events such as weddings, conventions, trade shows, etc., if such plants are normally and customarily sold by floral dealers and such plants do not require maintenance, other than normal watering. Plants rented by floral dealers for a special event shall be rented only for the duration of that special event.</w:t>
      </w:r>
    </w:p>
    <w:p w14:paraId="5731D69F" w14:textId="77777777" w:rsidR="006736E6" w:rsidRPr="00AA09C9" w:rsidRDefault="006736E6" w:rsidP="00A44515">
      <w:pPr>
        <w:pStyle w:val="A"/>
      </w:pPr>
      <w:r w:rsidRPr="00AA09C9">
        <w:t>B.</w:t>
      </w:r>
      <w:r w:rsidRPr="00AA09C9">
        <w:tab/>
        <w:t>Landscape Architect</w:t>
      </w:r>
    </w:p>
    <w:p w14:paraId="2E0385E7" w14:textId="77777777" w:rsidR="006736E6" w:rsidRPr="00AA09C9" w:rsidRDefault="006736E6" w:rsidP="006736E6">
      <w:pPr>
        <w:pStyle w:val="1"/>
      </w:pPr>
      <w:r w:rsidRPr="00AA09C9">
        <w:t>1.</w:t>
      </w:r>
      <w:r w:rsidRPr="00AA09C9">
        <w:tab/>
        <w:t>Without good cause, all designs shall make use of plant materials commonly found growing in Louisiana or which are suitable for growth in Louisiana’s growing conditions.</w:t>
      </w:r>
    </w:p>
    <w:p w14:paraId="5834B739" w14:textId="77777777" w:rsidR="006736E6" w:rsidRPr="00AA09C9" w:rsidRDefault="006736E6" w:rsidP="006736E6">
      <w:pPr>
        <w:pStyle w:val="1"/>
      </w:pPr>
      <w:r w:rsidRPr="00AA09C9">
        <w:t>2.</w:t>
      </w:r>
      <w:r w:rsidRPr="00AA09C9">
        <w:tab/>
        <w:t>Licensees shall meet the standards established by the Council of Landscape Architects Registration Board.</w:t>
      </w:r>
    </w:p>
    <w:p w14:paraId="7965EA68" w14:textId="77777777" w:rsidR="006736E6" w:rsidRPr="00AA09C9" w:rsidRDefault="006736E6" w:rsidP="006736E6">
      <w:pPr>
        <w:pStyle w:val="1"/>
      </w:pPr>
      <w:r w:rsidRPr="00AA09C9">
        <w:t>3.</w:t>
      </w:r>
      <w:r w:rsidRPr="00AA09C9">
        <w:tab/>
        <w:t>Each landscape architect shall obtain a seal of the design authorized by the commission. The seal shall be placed on all professional documents, including contracts, maps, plans, designs, drawings, specifications, estimates and reports, issued by a licensed landscape architect for use in this state.</w:t>
      </w:r>
    </w:p>
    <w:p w14:paraId="55DE9CC7" w14:textId="77777777" w:rsidR="006736E6" w:rsidRPr="00AA09C9" w:rsidRDefault="006736E6" w:rsidP="006736E6">
      <w:pPr>
        <w:pStyle w:val="a0"/>
        <w:spacing w:after="240"/>
      </w:pPr>
      <w:r w:rsidRPr="00AA09C9">
        <w:t>a.</w:t>
      </w:r>
      <w:r w:rsidRPr="00AA09C9">
        <w:tab/>
        <w:t xml:space="preserve">The seal required shall be circular and </w:t>
      </w:r>
      <w:r w:rsidRPr="00AA09C9">
        <w:br/>
        <w:t>1 5/8 inches in diameter. The words “State of Louisiana” shall be along the top circumference and the words “Licensed Landscape Architect” shall be along the bottom circumference. The individual’s name shall be placed horizontally in the center of the field with his registration number below. Letters and figures shall be as shown on the example printed herein to insure uniformity.</w:t>
      </w:r>
    </w:p>
    <w:p w14:paraId="58316804" w14:textId="77777777" w:rsidR="006736E6" w:rsidRPr="00AA09C9" w:rsidRDefault="003616D0" w:rsidP="006736E6">
      <w:pPr>
        <w:pStyle w:val="A"/>
        <w:spacing w:before="120"/>
        <w:jc w:val="center"/>
      </w:pPr>
      <w:r>
        <w:rPr>
          <w:noProof/>
        </w:rPr>
        <w:drawing>
          <wp:inline distT="0" distB="0" distL="0" distR="0" wp14:anchorId="2932F412" wp14:editId="22CA2272">
            <wp:extent cx="1095528" cy="1095528"/>
            <wp:effectExtent l="0" t="0" r="9525" b="9525"/>
            <wp:docPr id="24" name="Picture 24" descr="Black and white image of required Licensed Landscape Architec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LAseal.png"/>
                    <pic:cNvPicPr/>
                  </pic:nvPicPr>
                  <pic:blipFill>
                    <a:blip r:embed="rId66">
                      <a:extLst>
                        <a:ext uri="{28A0092B-C50C-407E-A947-70E740481C1C}">
                          <a14:useLocalDpi xmlns:a14="http://schemas.microsoft.com/office/drawing/2010/main" val="0"/>
                        </a:ext>
                      </a:extLst>
                    </a:blip>
                    <a:stretch>
                      <a:fillRect/>
                    </a:stretch>
                  </pic:blipFill>
                  <pic:spPr>
                    <a:xfrm>
                      <a:off x="0" y="0"/>
                      <a:ext cx="1095528" cy="1095528"/>
                    </a:xfrm>
                    <a:prstGeom prst="rect">
                      <a:avLst/>
                    </a:prstGeom>
                  </pic:spPr>
                </pic:pic>
              </a:graphicData>
            </a:graphic>
          </wp:inline>
        </w:drawing>
      </w:r>
    </w:p>
    <w:p w14:paraId="7A70469A" w14:textId="77777777" w:rsidR="006736E6" w:rsidRPr="00AA09C9" w:rsidRDefault="006736E6" w:rsidP="006736E6">
      <w:pPr>
        <w:pStyle w:val="a0"/>
      </w:pPr>
      <w:r w:rsidRPr="00AA09C9">
        <w:t>b.</w:t>
      </w:r>
      <w:r w:rsidRPr="00AA09C9">
        <w:tab/>
        <w:t>A rubber stamp facsimile, which conforms to the official design of the seal described in §117.B.3.a of this Part, may be obtained and used in place of the seal by a licensed landscape architect.</w:t>
      </w:r>
    </w:p>
    <w:p w14:paraId="40518A64" w14:textId="77777777" w:rsidR="006736E6" w:rsidRPr="00AA09C9" w:rsidRDefault="006736E6" w:rsidP="006736E6">
      <w:pPr>
        <w:pStyle w:val="a0"/>
      </w:pPr>
      <w:r w:rsidRPr="00AA09C9">
        <w:t>c.</w:t>
      </w:r>
      <w:r w:rsidRPr="00AA09C9">
        <w:tab/>
        <w:t>The licensee shall sign his or her legal name on each document and shall then affix his or her seal over that signature. The presence of one’s seal over the signature on any document constitutes proof that he or she accepts all legal and professional responsibility for the work accomplished. The seal shall be used only by the licensee responsible to this commission for authorship of the documents thus identified. No person other than the licensee represented shall use or attempt to use the prescribed seal, and no unlicensed person shall be authorized to use the prescribed seal. Authorized use of the prescribed seal is an individual act whereby the licensee shall personally inscribe the seal over his or her signature. The licensee is responsible for the security of the seal when not in use.</w:t>
      </w:r>
    </w:p>
    <w:p w14:paraId="1336EF54" w14:textId="77777777" w:rsidR="006736E6" w:rsidRPr="00AA09C9" w:rsidRDefault="003E574E" w:rsidP="006736E6">
      <w:pPr>
        <w:pStyle w:val="1"/>
      </w:pPr>
      <w:r>
        <w:t>4</w:t>
      </w:r>
      <w:r w:rsidR="006736E6" w:rsidRPr="00AA09C9">
        <w:t>.</w:t>
      </w:r>
      <w:r w:rsidR="006736E6" w:rsidRPr="00AA09C9">
        <w:tab/>
        <w:t>Continuing Education Requirements</w:t>
      </w:r>
    </w:p>
    <w:p w14:paraId="3D882A8E" w14:textId="77777777" w:rsidR="006736E6" w:rsidRPr="00AA09C9" w:rsidRDefault="006736E6" w:rsidP="006736E6">
      <w:pPr>
        <w:pStyle w:val="a0"/>
      </w:pPr>
      <w:r w:rsidRPr="00AA09C9">
        <w:t>a.</w:t>
      </w:r>
      <w:r w:rsidRPr="00AA09C9">
        <w:tab/>
        <w:t>Compliance with these continuing education requirements is necessary for a landscape architect (“licensee”) to maintain a landscape architect license in this state.</w:t>
      </w:r>
    </w:p>
    <w:p w14:paraId="2BD5568A" w14:textId="77777777" w:rsidR="006736E6" w:rsidRPr="00AA09C9" w:rsidRDefault="006736E6" w:rsidP="006736E6">
      <w:pPr>
        <w:pStyle w:val="a0"/>
      </w:pPr>
      <w:r w:rsidRPr="00AA09C9">
        <w:t>b.</w:t>
      </w:r>
      <w:r w:rsidRPr="00AA09C9">
        <w:tab/>
        <w:t>The commission shall administer the continuing education requirements through a standing continuing education committee consisting of not more than two staff members and at least three licensed Louisiana landscape architects elected by mail ballot. The landscape architects on the committee will each serve a term of two years. The call for nominations and balloting for committee service will be conducted concurrent with annual balloting for members of the Louisiana Landscape Architects Selection Board.</w:t>
      </w:r>
    </w:p>
    <w:p w14:paraId="3265B484" w14:textId="77777777" w:rsidR="006736E6" w:rsidRPr="00AA09C9" w:rsidRDefault="006736E6" w:rsidP="006736E6">
      <w:pPr>
        <w:pStyle w:val="a0"/>
        <w:rPr>
          <w:strike/>
          <w:szCs w:val="24"/>
        </w:rPr>
      </w:pPr>
      <w:r w:rsidRPr="00AA09C9">
        <w:t>c.</w:t>
      </w:r>
      <w:r w:rsidRPr="00AA09C9">
        <w:tab/>
        <w:t xml:space="preserve">A licensee shall attend, or complete an approved substitute for attendance, a minimum of 8 credit hours of continuing education within each calendar year. If more than 8 credit hours are obtained during a calendar year, a licensee may carry over a maximum of 4 credit hours from one calendar year to the next. Any credit hours carried over into a following calendar year shall apply to that year only and may not be carried forward into subsequent years. A credit hour </w:t>
      </w:r>
      <w:r w:rsidRPr="00AA09C9">
        <w:lastRenderedPageBreak/>
        <w:t>shall contain at least 50 minutes of actual instruction or education.</w:t>
      </w:r>
    </w:p>
    <w:p w14:paraId="02CAF144" w14:textId="77777777" w:rsidR="006736E6" w:rsidRPr="00AA09C9" w:rsidRDefault="006736E6" w:rsidP="006736E6">
      <w:pPr>
        <w:pStyle w:val="a0"/>
      </w:pPr>
      <w:r w:rsidRPr="00AA09C9">
        <w:t>d.</w:t>
      </w:r>
      <w:r w:rsidRPr="00AA09C9">
        <w:tab/>
        <w:t>Activities that may be approved for continuing education credits shall contain instructional or educational components. Such activities include annual professional meetings, lectures, seminars, workshops, conferences, university or college courses, in-house training, and self-directed activities. The commission’s staff shall make the initial determination as to whether an activity qualifies for continuing education credit. If the commission’s staff determines that an activity may not qualify, that activity request will be automatically forwarded to the continuing education committee for review and the committee’s determination. Any licensee or other applicant for approval of an activity may appeal any committee rejection of an activity for continuing education credit to the commission. However, the commission retains the right to review and approve or disapprove any activity as a qualifying continuing education activity and the number of credit hours arising from such activity, even if there is no appeal. Any appeal from any decision of the commission shall be taken in accordance with the Administrative Procedure Act (R.S. 49:950 et seq.).</w:t>
      </w:r>
    </w:p>
    <w:p w14:paraId="3E9671DB" w14:textId="77777777" w:rsidR="006736E6" w:rsidRPr="00AA09C9" w:rsidRDefault="006736E6" w:rsidP="006736E6">
      <w:pPr>
        <w:pStyle w:val="a0"/>
      </w:pPr>
      <w:r w:rsidRPr="00AA09C9">
        <w:t>e.</w:t>
      </w:r>
      <w:r w:rsidRPr="00AA09C9">
        <w:tab/>
        <w:t>A licensee shall keep all records showing attendance, or completions of an approved substitute for attendance, at continuing education activities for three years following the year in which attendance or completion was done.</w:t>
      </w:r>
    </w:p>
    <w:p w14:paraId="2C9AA239" w14:textId="77777777" w:rsidR="006736E6" w:rsidRPr="00AA09C9" w:rsidRDefault="006736E6" w:rsidP="006736E6">
      <w:pPr>
        <w:pStyle w:val="a0"/>
      </w:pPr>
      <w:r w:rsidRPr="00AA09C9">
        <w:t>f.</w:t>
      </w:r>
      <w:r w:rsidRPr="00AA09C9">
        <w:tab/>
        <w:t>Each licensee shall annually submit a written certification signed by the licensee that the licensee has, during that calendar year, attended, or completed an approved substitute for attendance, the number of credit hours stated in the certification. If credit hours carried over from the previous year are being used as a substitute for attendance then the certification shall state the number of carried over credit hours that are being used. The certifications shall be attached to the licensee’s annual license renewal application. Any renewal application received without this certification shall not be processed for license renewal and the license fees submitted with the application shall be refunded to the licensee.</w:t>
      </w:r>
    </w:p>
    <w:p w14:paraId="434E3003" w14:textId="77777777" w:rsidR="006736E6" w:rsidRPr="00AA09C9" w:rsidRDefault="006736E6" w:rsidP="006736E6">
      <w:pPr>
        <w:pStyle w:val="a0"/>
      </w:pPr>
      <w:r w:rsidRPr="00AA09C9">
        <w:t>g.</w:t>
      </w:r>
      <w:r w:rsidRPr="00AA09C9">
        <w:tab/>
        <w:t xml:space="preserve">The commission shall cause an annual audit of licensees to be conducted. Licensees shall be selected for audit either by cross-section of licensees or by random audit. The provisions of this subsection notwithstanding, an investigation of a licensee for possible violation of these continuing education requirements may be conducted if there is reason to believe that a violation may have occurred. Licensees selected for audit will be required to provide documented proof of their having obtained the continuing education credits for the year being audited. A licensee’s failure to provide documented proof of having attended, or completed an approved substitute for attendance, for each credit hours certified for the year being audited shall be a violation of this Part. In the event that a licensee provides documented proof of having attended, or undertaken an approved substitute for attendance, any credit hour certified for the year being audited and such credit hour is disallowed then the licensee shall have six months from date of notification of the disallowance to attend, or complete an </w:t>
      </w:r>
      <w:r w:rsidRPr="00AA09C9">
        <w:t>approved substitute for attendance, a sufficient number of approved credit hours to make up for the disallowed credits. The credit hours attended to make up for any disallowed credit hours shall not count toward the minimum credit hours needed for any other year. Failure to timely make up for the disallowed credit hours shall be deemed a violation of this Part. An appeal from a disallowance of any credit hour may be taken as provided in Subparagraph d of this Paragraph.</w:t>
      </w:r>
    </w:p>
    <w:p w14:paraId="2994AB9F" w14:textId="77777777" w:rsidR="006736E6" w:rsidRPr="00AA09C9" w:rsidRDefault="006736E6" w:rsidP="006736E6">
      <w:pPr>
        <w:pStyle w:val="a0"/>
      </w:pPr>
      <w:r w:rsidRPr="00AA09C9">
        <w:t>h.</w:t>
      </w:r>
      <w:r w:rsidRPr="00AA09C9">
        <w:tab/>
        <w:t>A licensee may submit a written request for an approved substitute for attendance or for a hardship exemption or extension of time in which to obtain the minimum credit hours for the year in which the request is made. The licensee shall detail the reason for the request, such as the benefit of any substitution, any physical disability, illness, or extenuating circumstance, and a specification of the requested substitute for attendance, including number of credit hours, course of study, etc. The licensee shall also provide any additional information asked for in consideration of the request.</w:t>
      </w:r>
    </w:p>
    <w:p w14:paraId="4788C602" w14:textId="77777777" w:rsidR="00A44515" w:rsidRPr="005F0376" w:rsidRDefault="006736E6" w:rsidP="00A44515">
      <w:pPr>
        <w:pStyle w:val="A"/>
      </w:pPr>
      <w:r w:rsidRPr="00AA09C9">
        <w:t>C.</w:t>
      </w:r>
      <w:r w:rsidRPr="00AA09C9">
        <w:tab/>
      </w:r>
      <w:r w:rsidR="00A44515" w:rsidRPr="005F0376">
        <w:t>Landscape Irrigation Contractor</w:t>
      </w:r>
    </w:p>
    <w:p w14:paraId="65210CFF" w14:textId="77777777" w:rsidR="00A44515" w:rsidRPr="005F0376" w:rsidRDefault="00A44515" w:rsidP="00A44515">
      <w:pPr>
        <w:pStyle w:val="1"/>
      </w:pPr>
      <w:r w:rsidRPr="005F0376">
        <w:t>1.</w:t>
      </w:r>
      <w:r w:rsidRPr="005F0376">
        <w:tab/>
        <w:t>Before the commission issues a landscape irrigation contractor license the person to be licensed shall first furnish to the commission a certificate of insurance, written by an insurance company authorized to do business in Louisiana, covering the public liability of the applicant, as a licensee, for personal injuries and property damages. The insurance policy shall provide for not less than $25,000 per personal injuries and not less than $50,000 for property damages, both limits applicable to each separate accident. The certificate of insurance shall provide for 30 days' written notice to the commission prior to cancellation. The commission may, however, waive the requirement for the stated insurance coverage for any licensed landscape irrigation contractor who does not physically work on landscape irrigation systems or accept responsibility for work on landscape irrigation systems but only provides consultation or other associated services with respect to landscape irrigation systems or the work performed on such systems.</w:t>
      </w:r>
    </w:p>
    <w:p w14:paraId="3FFC7D69" w14:textId="77777777" w:rsidR="00A44515" w:rsidRPr="005F0376" w:rsidRDefault="00A44515" w:rsidP="00A44515">
      <w:pPr>
        <w:pStyle w:val="1"/>
      </w:pPr>
      <w:r w:rsidRPr="005F0376">
        <w:t>2.</w:t>
      </w:r>
      <w:r w:rsidRPr="005F0376">
        <w:tab/>
        <w:t>Failure to maintain the required insurance may constitute a violation of this Part.</w:t>
      </w:r>
    </w:p>
    <w:p w14:paraId="5463F8C3" w14:textId="77777777" w:rsidR="00A44515" w:rsidRPr="005F0376" w:rsidRDefault="00A44515" w:rsidP="00A44515">
      <w:pPr>
        <w:pStyle w:val="1"/>
      </w:pPr>
      <w:r w:rsidRPr="005F0376">
        <w:t>3.</w:t>
      </w:r>
      <w:r w:rsidRPr="005F0376">
        <w:tab/>
        <w:t>Licensees are required to attend and complete a commission approved continuing training seminar at least once every three years. Each licensee, prior to renewal of his or her license, shall provide the commission with certifiable evidence that the licensee has timely and successfully completed such a seminar.</w:t>
      </w:r>
    </w:p>
    <w:p w14:paraId="1A4B45F5" w14:textId="77777777" w:rsidR="00A44515" w:rsidRPr="005F0376" w:rsidRDefault="00A44515" w:rsidP="00A44515">
      <w:pPr>
        <w:pStyle w:val="1"/>
      </w:pPr>
      <w:r w:rsidRPr="005F0376">
        <w:t>4.</w:t>
      </w:r>
      <w:r w:rsidRPr="005F0376">
        <w:tab/>
        <w:t>Licensed landscape irrigation contractors shall enter into a written contract with the property owner, specifying the landscape irrigation services to be performed and the sum to be paid for the services. The contract shall include the following statement: "Any complaints regarding landscape irrigation installation should be directed to the Louisiana Horticulture Commission at 225/952-8100." Both parties shall receive a copy of the contract.</w:t>
      </w:r>
    </w:p>
    <w:p w14:paraId="54C777CF" w14:textId="77777777" w:rsidR="00A44515" w:rsidRPr="005F0376" w:rsidRDefault="00A44515" w:rsidP="00A44515">
      <w:pPr>
        <w:pStyle w:val="1"/>
      </w:pPr>
      <w:r w:rsidRPr="005F0376">
        <w:lastRenderedPageBreak/>
        <w:t>5.</w:t>
      </w:r>
      <w:r w:rsidRPr="005F0376">
        <w:tab/>
        <w:t>Licensees shall display their license at all times in a location accessible to the general public or any representative of the commission.</w:t>
      </w:r>
    </w:p>
    <w:p w14:paraId="034C15B2" w14:textId="77777777" w:rsidR="00A44515" w:rsidRPr="005F0376" w:rsidRDefault="00A44515" w:rsidP="00A44515">
      <w:pPr>
        <w:pStyle w:val="1"/>
      </w:pPr>
      <w:r w:rsidRPr="005F0376">
        <w:t>6.</w:t>
      </w:r>
      <w:r w:rsidRPr="005F0376">
        <w:tab/>
        <w:t>The following clarifications apply to licensed landscape irrigation contractors.</w:t>
      </w:r>
    </w:p>
    <w:p w14:paraId="18E90ACF" w14:textId="77777777" w:rsidR="00A44515" w:rsidRPr="005F0376" w:rsidRDefault="00A44515" w:rsidP="00A44515">
      <w:pPr>
        <w:pStyle w:val="a0"/>
      </w:pPr>
      <w:r w:rsidRPr="005F0376">
        <w:t>a.</w:t>
      </w:r>
      <w:r w:rsidRPr="005F0376">
        <w:tab/>
        <w:t>A licensed landscape irrigation contractor is not required to have a water supply protection specialist endorsement from the State Plumbing Board in order to install an irrigation system up to the point of connecting the irrigation system to a public or private water supply system or installing a backflow prevention device.</w:t>
      </w:r>
    </w:p>
    <w:p w14:paraId="3F506312" w14:textId="77777777" w:rsidR="00A44515" w:rsidRPr="005F0376" w:rsidRDefault="00A44515" w:rsidP="00A44515">
      <w:pPr>
        <w:pStyle w:val="a0"/>
      </w:pPr>
      <w:r w:rsidRPr="005F0376">
        <w:t>b.</w:t>
      </w:r>
      <w:r w:rsidRPr="005F0376">
        <w:tab/>
        <w:t>A licensed landscape irrigation contractor shall also have a water supply protection specialist endorsement from the State Plumbing Board before connecting any irrigation system to a public or private water supply system or installing a backflow prevention device, pursuant to R.S. 3:3808(Q)(4), (5).</w:t>
      </w:r>
    </w:p>
    <w:p w14:paraId="09F5790B" w14:textId="77777777" w:rsidR="00A44515" w:rsidRPr="005F0376" w:rsidRDefault="00A44515" w:rsidP="00A44515">
      <w:pPr>
        <w:pStyle w:val="a0"/>
      </w:pPr>
      <w:r w:rsidRPr="005F0376">
        <w:t>c.</w:t>
      </w:r>
      <w:r w:rsidRPr="005F0376">
        <w:tab/>
        <w:t>A governing authority, such as a parish or municipality, shall issue all necessary permits, including necessary electrical permits, to a licensed landscape irrigation contractor who does not hold a water supply protection specialist endorsement for the installation of an irrigation system, except for those permits that would allow such a licensed landscape irrigation contractor to connect the irrigation system to a public or private water supply system or install a backflow prevention device.</w:t>
      </w:r>
    </w:p>
    <w:p w14:paraId="293143C2" w14:textId="77777777" w:rsidR="00A44515" w:rsidRPr="005F0376" w:rsidRDefault="00A44515" w:rsidP="00A44515">
      <w:pPr>
        <w:pStyle w:val="a0"/>
      </w:pPr>
      <w:r w:rsidRPr="005F0376">
        <w:t>d.</w:t>
      </w:r>
      <w:r w:rsidRPr="005F0376">
        <w:tab/>
        <w:t>A governing authority, such as a parish or municipality shall issue all necessary permits to a licensed landscape irrigation contractor who holds a water supply protection specialist endorsement from the State Plumbing Board for the installation of an irrigation system, including necessary electrical permits and those permits that would allow such a licensed landscape irrigation contractor to connect the irrigation system to a public or private water supply system or install a backflow prevention device.</w:t>
      </w:r>
    </w:p>
    <w:p w14:paraId="62013C1F" w14:textId="77777777" w:rsidR="00A44515" w:rsidRDefault="00A44515" w:rsidP="00A44515">
      <w:pPr>
        <w:pStyle w:val="a0"/>
      </w:pPr>
      <w:r w:rsidRPr="005F0376">
        <w:t>e.</w:t>
      </w:r>
      <w:r w:rsidRPr="005F0376">
        <w:tab/>
        <w:t xml:space="preserve">A licensed landscape irrigation contractor who also holds a water supply protection specialist endorsement from the State Plumbing Board is required by R.S. 3:3816(6) to install backflow prevention devices in accordance with ordinances adopted by local governing authorities, such as parishes and municipalities, regulating the installation of backflow prevention devices. If a local governing authority does not have an ordinance regulating the installation of backflow prevention devices, such devices shall be installed in accordance with the requirements of Part XIV (Plumbing) of the Sanitary Code, </w:t>
      </w:r>
      <w:r>
        <w:t>s</w:t>
      </w:r>
      <w:r w:rsidRPr="005F0376">
        <w:t>tate of Louisiana.</w:t>
      </w:r>
    </w:p>
    <w:p w14:paraId="646C5883" w14:textId="77777777" w:rsidR="006736E6" w:rsidRPr="00AA09C9" w:rsidRDefault="006736E6" w:rsidP="00A44515">
      <w:pPr>
        <w:pStyle w:val="A"/>
      </w:pPr>
      <w:r w:rsidRPr="00AA09C9">
        <w:t>D.</w:t>
      </w:r>
      <w:r w:rsidRPr="00AA09C9">
        <w:tab/>
        <w:t>Landscape Horticulturist</w:t>
      </w:r>
    </w:p>
    <w:p w14:paraId="2B8C7EF8" w14:textId="77777777" w:rsidR="006736E6" w:rsidRPr="00AA09C9" w:rsidRDefault="006736E6" w:rsidP="006736E6">
      <w:pPr>
        <w:pStyle w:val="1"/>
      </w:pPr>
      <w:r w:rsidRPr="00AA09C9">
        <w:t>1.</w:t>
      </w:r>
      <w:r w:rsidRPr="00AA09C9">
        <w:tab/>
        <w:t>Any nursery stock used in landscaping, leased, or sold, or offered for use in landscaping, lease, or sale, shall be of high quality and free from injurious insects, diseases, and other pests. Nursery stock which is leased shall be maintained in high quality and free from injurious insects, diseases, and other pests.</w:t>
      </w:r>
    </w:p>
    <w:p w14:paraId="47EFC0B7" w14:textId="77777777" w:rsidR="006736E6" w:rsidRPr="00AA09C9" w:rsidRDefault="006736E6" w:rsidP="006736E6">
      <w:pPr>
        <w:pStyle w:val="1"/>
      </w:pPr>
      <w:r w:rsidRPr="00AA09C9">
        <w:t>2.</w:t>
      </w:r>
      <w:r w:rsidRPr="00AA09C9">
        <w:tab/>
        <w:t>All plant beds shall be properly prepared and shall allow for proper drainage.</w:t>
      </w:r>
    </w:p>
    <w:p w14:paraId="53C11767" w14:textId="77777777" w:rsidR="006736E6" w:rsidRPr="00AA09C9" w:rsidRDefault="006736E6" w:rsidP="006736E6">
      <w:pPr>
        <w:pStyle w:val="1"/>
      </w:pPr>
      <w:r w:rsidRPr="00AA09C9">
        <w:t>3.</w:t>
      </w:r>
      <w:r w:rsidRPr="00AA09C9">
        <w:tab/>
        <w:t>All recommendations and maintenance and planting practices shall incorporate sound horticultural practices.</w:t>
      </w:r>
    </w:p>
    <w:p w14:paraId="31ABABFA" w14:textId="77777777" w:rsidR="006736E6" w:rsidRPr="004418BF" w:rsidRDefault="003E574E" w:rsidP="006736E6">
      <w:pPr>
        <w:pStyle w:val="1"/>
      </w:pPr>
      <w:r>
        <w:t>4</w:t>
      </w:r>
      <w:r w:rsidR="006736E6" w:rsidRPr="004418BF">
        <w:t>.</w:t>
      </w:r>
      <w:r w:rsidR="006736E6" w:rsidRPr="004418BF">
        <w:tab/>
        <w:t xml:space="preserve">Recommendations and maintenance and planting practices shall meet the standards outlined in </w:t>
      </w:r>
      <w:r w:rsidR="006736E6" w:rsidRPr="004418BF">
        <w:rPr>
          <w:i/>
        </w:rPr>
        <w:t xml:space="preserve">The </w:t>
      </w:r>
      <w:r w:rsidR="006736E6" w:rsidRPr="004418BF">
        <w:rPr>
          <w:i/>
          <w:iCs/>
        </w:rPr>
        <w:t xml:space="preserve">Louisiana Manual for the Environmental Horticulture Industry </w:t>
      </w:r>
      <w:r w:rsidR="006736E6" w:rsidRPr="007C63AB">
        <w:rPr>
          <w:iCs/>
        </w:rPr>
        <w:t>(April 2014 ed.)</w:t>
      </w:r>
      <w:r w:rsidR="006736E6">
        <w:rPr>
          <w:i/>
          <w:iCs/>
        </w:rPr>
        <w:t xml:space="preserve"> </w:t>
      </w:r>
      <w:r w:rsidR="006736E6" w:rsidRPr="004418BF">
        <w:t>published by the Louisiana Nursery and Landscape Association.</w:t>
      </w:r>
    </w:p>
    <w:p w14:paraId="21F15C54" w14:textId="77777777" w:rsidR="006736E6" w:rsidRPr="00AA09C9" w:rsidRDefault="003E574E" w:rsidP="006736E6">
      <w:pPr>
        <w:pStyle w:val="1"/>
      </w:pPr>
      <w:r>
        <w:t>5</w:t>
      </w:r>
      <w:r w:rsidR="006736E6" w:rsidRPr="00AA09C9">
        <w:t>.</w:t>
      </w:r>
      <w:r w:rsidR="006736E6" w:rsidRPr="00AA09C9">
        <w:tab/>
        <w:t>Landscape horticulturists who prepare drawings to indicate the planting and location and arrangement of plant materials by that landscape horticulturist shall place his name, the words “Landscape Horticulturist,” and his license number on each drawing prepared by him. Drawings prepared by a landscape horticulturist may be used only by that landscape horticulturist and no one else in connection with the submission of a bid proposal.</w:t>
      </w:r>
    </w:p>
    <w:p w14:paraId="436FD96F" w14:textId="77777777" w:rsidR="006736E6" w:rsidRPr="00AA09C9" w:rsidRDefault="003E574E" w:rsidP="006736E6">
      <w:pPr>
        <w:pStyle w:val="1"/>
      </w:pPr>
      <w:r>
        <w:t>6</w:t>
      </w:r>
      <w:r w:rsidR="006736E6" w:rsidRPr="00AA09C9">
        <w:t>.</w:t>
      </w:r>
      <w:r w:rsidR="006736E6" w:rsidRPr="00AA09C9">
        <w:tab/>
        <w:t>Licensees shall display their license at all times in a location accessible to the general public or any representative of the commission.</w:t>
      </w:r>
    </w:p>
    <w:p w14:paraId="34F545C6" w14:textId="77777777" w:rsidR="006736E6" w:rsidRPr="00AA09C9" w:rsidRDefault="006736E6" w:rsidP="006736E6">
      <w:pPr>
        <w:pStyle w:val="A"/>
      </w:pPr>
      <w:r w:rsidRPr="00AA09C9">
        <w:t>E.</w:t>
      </w:r>
      <w:r w:rsidRPr="00AA09C9">
        <w:tab/>
        <w:t>Arborist</w:t>
      </w:r>
    </w:p>
    <w:p w14:paraId="40829D96" w14:textId="77777777" w:rsidR="006736E6" w:rsidRPr="00AA09C9" w:rsidRDefault="006736E6" w:rsidP="006736E6">
      <w:pPr>
        <w:pStyle w:val="1"/>
      </w:pPr>
      <w:r w:rsidRPr="00AA09C9">
        <w:t>1.</w:t>
      </w:r>
      <w:r w:rsidRPr="00AA09C9">
        <w:tab/>
        <w:t>Licensees may not use climbing irons in any trees which are not to be removed except as provided §117.E.3 of this Part hereof.</w:t>
      </w:r>
    </w:p>
    <w:p w14:paraId="6DE46978" w14:textId="77777777" w:rsidR="00A44515" w:rsidRPr="005F0376" w:rsidRDefault="006736E6" w:rsidP="00A44515">
      <w:pPr>
        <w:pStyle w:val="1"/>
      </w:pPr>
      <w:r w:rsidRPr="00AA09C9">
        <w:t>2.</w:t>
      </w:r>
      <w:r w:rsidRPr="00AA09C9">
        <w:tab/>
      </w:r>
      <w:r w:rsidR="00A44515" w:rsidRPr="005F0376">
        <w:t>Before the commission issues an arborist’s license, the person to be licensed shall first furnish to the commission a certificate of insurance, written by an insurance company authorized to do business in Louisiana, covering the public liability of the applicant for personal injuries and property damages, and workers’ compensation if applicable. The certificate of insurance shall provide for 30 days’ written notice to the commission prior to cancellation.</w:t>
      </w:r>
    </w:p>
    <w:p w14:paraId="6EAF0299" w14:textId="77777777" w:rsidR="00A44515" w:rsidRPr="005F0376" w:rsidRDefault="00A44515" w:rsidP="00A44515">
      <w:pPr>
        <w:pStyle w:val="a0"/>
      </w:pPr>
      <w:r w:rsidRPr="005F0376">
        <w:t>a.</w:t>
      </w:r>
      <w:r w:rsidRPr="005F0376">
        <w:tab/>
        <w:t>The commission may waive the requirement for the stated insurance coverages for any licensed arborist who does not physically work on trees or accept responsibility for work on trees but only provides consultation with respect to work on trees.</w:t>
      </w:r>
    </w:p>
    <w:p w14:paraId="4B0397E6" w14:textId="77777777" w:rsidR="006736E6" w:rsidRPr="00AA09C9" w:rsidRDefault="006736E6" w:rsidP="00A44515">
      <w:pPr>
        <w:pStyle w:val="a0"/>
      </w:pPr>
      <w:r w:rsidRPr="00AA09C9">
        <w:t>b.</w:t>
      </w:r>
      <w:r w:rsidRPr="00AA09C9">
        <w:tab/>
        <w:t>Failure to maintain the required insurance may constitute a violation of this Part.</w:t>
      </w:r>
    </w:p>
    <w:p w14:paraId="63E7372E" w14:textId="77777777" w:rsidR="006736E6" w:rsidRPr="00AA09C9" w:rsidRDefault="006736E6" w:rsidP="006736E6">
      <w:pPr>
        <w:pStyle w:val="1"/>
      </w:pPr>
      <w:r w:rsidRPr="00AA09C9">
        <w:t>3.</w:t>
      </w:r>
      <w:r w:rsidRPr="00AA09C9">
        <w:tab/>
        <w:t>When the characteristics of a tree require the use of climbing irons, the licensee may use climbing irons but only with the prior written permission of the owner of the tree.</w:t>
      </w:r>
    </w:p>
    <w:p w14:paraId="383CDDBE" w14:textId="77777777" w:rsidR="006736E6" w:rsidRPr="00AA09C9" w:rsidRDefault="006736E6" w:rsidP="006736E6">
      <w:pPr>
        <w:pStyle w:val="1"/>
      </w:pPr>
      <w:r w:rsidRPr="00AA09C9">
        <w:t>4.</w:t>
      </w:r>
      <w:r w:rsidRPr="00AA09C9">
        <w:tab/>
      </w:r>
      <w:r w:rsidR="00A44515" w:rsidRPr="005F0376">
        <w:t>Licensees shall enter into a written contract with the property owner employing him for arboricultural work, and the contract shall specify the services to be performed and the sum to be paid for the services. Both parties shall receive a copy of the contract.</w:t>
      </w:r>
    </w:p>
    <w:p w14:paraId="1213896F" w14:textId="77777777" w:rsidR="006736E6" w:rsidRPr="00AA09C9" w:rsidRDefault="006736E6" w:rsidP="006736E6">
      <w:pPr>
        <w:pStyle w:val="1"/>
      </w:pPr>
      <w:r w:rsidRPr="00AA09C9">
        <w:t>5.</w:t>
      </w:r>
      <w:r w:rsidRPr="00AA09C9">
        <w:tab/>
        <w:t>Licensees may apply pesticides only for the purposes of retarding decay or disease. See also §119.A of this Part relative to application of pesticides.</w:t>
      </w:r>
    </w:p>
    <w:p w14:paraId="128C1EC6" w14:textId="77777777" w:rsidR="006736E6" w:rsidRPr="00AA09C9" w:rsidRDefault="006736E6" w:rsidP="006736E6">
      <w:pPr>
        <w:pStyle w:val="1"/>
      </w:pPr>
      <w:r w:rsidRPr="00AA09C9">
        <w:t>6.</w:t>
      </w:r>
      <w:r w:rsidRPr="00AA09C9">
        <w:tab/>
        <w:t>Licensees engaged in the feeding of trees shall follow proper fertilizer schedules and rates according to label directions. Representatives of the commission may take a sample of the nutrients applied during any tree feeding operation for the purpose of verifying its chemical analysis.</w:t>
      </w:r>
    </w:p>
    <w:p w14:paraId="2485554B" w14:textId="77777777" w:rsidR="006736E6" w:rsidRPr="00AA09C9" w:rsidRDefault="006736E6" w:rsidP="006736E6">
      <w:pPr>
        <w:pStyle w:val="1"/>
      </w:pPr>
      <w:r w:rsidRPr="00AA09C9">
        <w:lastRenderedPageBreak/>
        <w:t>7.</w:t>
      </w:r>
      <w:r w:rsidRPr="00AA09C9">
        <w:tab/>
        <w:t>Licensees shall display their license at all times in a location accessible to the general public or any representative of the commission.</w:t>
      </w:r>
    </w:p>
    <w:p w14:paraId="2A25DD0A" w14:textId="77777777" w:rsidR="006736E6" w:rsidRPr="00AA09C9" w:rsidRDefault="006736E6" w:rsidP="006736E6">
      <w:pPr>
        <w:pStyle w:val="1"/>
      </w:pPr>
      <w:r w:rsidRPr="00AA09C9">
        <w:t>8.</w:t>
      </w:r>
      <w:r w:rsidRPr="00AA09C9">
        <w:tab/>
        <w:t>Prior to renewal of an arborist license, the licensee shall provide the commission with certifiable evidence of completion of a continuing training seminar which was previously approved by the commission.</w:t>
      </w:r>
    </w:p>
    <w:p w14:paraId="099D845B" w14:textId="29D54D74" w:rsidR="006736E6" w:rsidRPr="004418BF" w:rsidRDefault="006736E6" w:rsidP="00D14BA2">
      <w:pPr>
        <w:pStyle w:val="1"/>
      </w:pPr>
      <w:r w:rsidRPr="004418BF">
        <w:t>9.</w:t>
      </w:r>
      <w:r w:rsidRPr="004418BF">
        <w:tab/>
      </w:r>
      <w:r w:rsidR="00E84BEF" w:rsidRPr="00B7246F">
        <w:t xml:space="preserve">Recommendations and pruning practices shall meet the standards outlined in the </w:t>
      </w:r>
      <w:r w:rsidR="00E84BEF" w:rsidRPr="00B7246F">
        <w:rPr>
          <w:i/>
          <w:iCs/>
        </w:rPr>
        <w:t>Arborists’ Certification Study Guide (4</w:t>
      </w:r>
      <w:r w:rsidR="00E84BEF" w:rsidRPr="00B7246F">
        <w:rPr>
          <w:i/>
          <w:iCs/>
          <w:vertAlign w:val="superscript"/>
        </w:rPr>
        <w:t>th</w:t>
      </w:r>
      <w:r w:rsidR="00E84BEF" w:rsidRPr="00B7246F">
        <w:rPr>
          <w:i/>
          <w:iCs/>
        </w:rPr>
        <w:t xml:space="preserve"> ed. 2022) </w:t>
      </w:r>
      <w:r w:rsidR="00E84BEF" w:rsidRPr="00B7246F">
        <w:t>published by the International Society of Arboriculture</w:t>
      </w:r>
      <w:r w:rsidRPr="004418BF">
        <w:t>.</w:t>
      </w:r>
    </w:p>
    <w:p w14:paraId="7AEB419D" w14:textId="77777777" w:rsidR="006736E6" w:rsidRPr="00AA09C9" w:rsidRDefault="006736E6" w:rsidP="006736E6">
      <w:pPr>
        <w:pStyle w:val="A"/>
      </w:pPr>
      <w:r w:rsidRPr="00AA09C9">
        <w:t>F.</w:t>
      </w:r>
      <w:r w:rsidRPr="00AA09C9">
        <w:tab/>
        <w:t>Nursery Stock Dealer</w:t>
      </w:r>
    </w:p>
    <w:p w14:paraId="2E412AD5" w14:textId="77777777" w:rsidR="006736E6" w:rsidRPr="00AA09C9" w:rsidRDefault="006736E6" w:rsidP="006736E6">
      <w:pPr>
        <w:pStyle w:val="1"/>
      </w:pPr>
      <w:r w:rsidRPr="00AA09C9">
        <w:t>1.</w:t>
      </w:r>
      <w:r w:rsidRPr="00AA09C9">
        <w:tab/>
        <w:t>All nursery stock sold or offered for sale shall be fresh and of high quality and shall be free from injurious insects, diseases, and other pests. No low quality plant materials may be offered for sale to the general public.</w:t>
      </w:r>
    </w:p>
    <w:p w14:paraId="1514FE87" w14:textId="77777777" w:rsidR="006736E6" w:rsidRPr="00AA09C9" w:rsidRDefault="006736E6" w:rsidP="006736E6">
      <w:pPr>
        <w:pStyle w:val="1"/>
      </w:pPr>
      <w:r w:rsidRPr="00AA09C9">
        <w:t>2.</w:t>
      </w:r>
      <w:r w:rsidRPr="00AA09C9">
        <w:tab/>
        <w:t>All indoor nursery stock offered for sale shall be displayed or offered for sale under the protection of some type of covering, such as inside a building or under a carport, tent, or canopy, which will protect such plant material from exposure to sun, wind, or rain.</w:t>
      </w:r>
    </w:p>
    <w:p w14:paraId="61755004" w14:textId="77777777" w:rsidR="006736E6" w:rsidRPr="00AA09C9" w:rsidRDefault="006736E6" w:rsidP="006736E6">
      <w:pPr>
        <w:pStyle w:val="1"/>
      </w:pPr>
      <w:r w:rsidRPr="00AA09C9">
        <w:t>3.</w:t>
      </w:r>
      <w:r w:rsidRPr="00AA09C9">
        <w:tab/>
        <w:t>A clean source of water shall be provided at all times when plants are offered for sale.</w:t>
      </w:r>
    </w:p>
    <w:p w14:paraId="6C8B9486" w14:textId="77777777" w:rsidR="006736E6" w:rsidRPr="00AA09C9" w:rsidRDefault="006736E6" w:rsidP="006736E6">
      <w:pPr>
        <w:pStyle w:val="1"/>
      </w:pPr>
      <w:r w:rsidRPr="00AA09C9">
        <w:t>4.</w:t>
      </w:r>
      <w:r w:rsidRPr="00AA09C9">
        <w:tab/>
      </w:r>
      <w:r w:rsidR="00A44515" w:rsidRPr="005F0376">
        <w:t>Nursery stock dealers operating from a mobile unit shall not sell nursery stock within 300 feet of a place of business that holds a nursery stock or floral dealer’s permit, nursery certificate permit, or a landscape horticulturist license.</w:t>
      </w:r>
    </w:p>
    <w:p w14:paraId="41CDC82C" w14:textId="77777777" w:rsidR="006736E6" w:rsidRPr="00AA09C9" w:rsidRDefault="006736E6" w:rsidP="006736E6">
      <w:pPr>
        <w:pStyle w:val="1"/>
      </w:pPr>
      <w:r w:rsidRPr="00AA09C9">
        <w:t>5.</w:t>
      </w:r>
      <w:r w:rsidRPr="00AA09C9">
        <w:tab/>
        <w:t>The permit holder shall display his permit at all times in a location accessible to the general public or any representative of the commission.</w:t>
      </w:r>
    </w:p>
    <w:p w14:paraId="0E85249E" w14:textId="77777777" w:rsidR="006736E6" w:rsidRPr="00AA09C9" w:rsidRDefault="006736E6" w:rsidP="006736E6">
      <w:pPr>
        <w:pStyle w:val="A"/>
      </w:pPr>
      <w:r w:rsidRPr="00AA09C9">
        <w:t>G.</w:t>
      </w:r>
      <w:r w:rsidRPr="00AA09C9">
        <w:tab/>
        <w:t>Cut Flower Dealer</w:t>
      </w:r>
    </w:p>
    <w:p w14:paraId="24DA72B4" w14:textId="77777777" w:rsidR="006736E6" w:rsidRPr="00AA09C9" w:rsidRDefault="006736E6" w:rsidP="006736E6">
      <w:pPr>
        <w:pStyle w:val="1"/>
      </w:pPr>
      <w:r w:rsidRPr="00AA09C9">
        <w:t>1.</w:t>
      </w:r>
      <w:r w:rsidRPr="00AA09C9">
        <w:tab/>
        <w:t>All flowers or greenery offered for sale shall be fresh and of high quality. No wilted or dead plant materials may be offered for sale to the general public, save and except when specifically requested by consumer.</w:t>
      </w:r>
    </w:p>
    <w:p w14:paraId="6B6F2ACC" w14:textId="77777777" w:rsidR="006736E6" w:rsidRPr="00AA09C9" w:rsidRDefault="006736E6" w:rsidP="006736E6">
      <w:pPr>
        <w:pStyle w:val="1"/>
      </w:pPr>
      <w:r w:rsidRPr="00AA09C9">
        <w:t>2.</w:t>
      </w:r>
      <w:r w:rsidRPr="00AA09C9">
        <w:tab/>
        <w:t>A clean source of water shall be provided for all flowers or greenery that are offered for sale. Water in containers shall be changed regularly and kept clean at all times.</w:t>
      </w:r>
    </w:p>
    <w:p w14:paraId="22C9B1EC" w14:textId="77777777" w:rsidR="006736E6" w:rsidRPr="00AA09C9" w:rsidRDefault="006736E6" w:rsidP="006736E6">
      <w:pPr>
        <w:pStyle w:val="1"/>
      </w:pPr>
      <w:r w:rsidRPr="00AA09C9">
        <w:t>3.</w:t>
      </w:r>
      <w:r w:rsidRPr="00AA09C9">
        <w:tab/>
        <w:t>The permit holder shall display his decal and/or permit at all times in a location accessible to the general public or any representative of the commission.</w:t>
      </w:r>
    </w:p>
    <w:p w14:paraId="2EBB6E19" w14:textId="77777777" w:rsidR="006736E6" w:rsidRPr="00AA09C9" w:rsidRDefault="006736E6" w:rsidP="006736E6">
      <w:pPr>
        <w:pStyle w:val="1"/>
      </w:pPr>
      <w:r w:rsidRPr="00AA09C9">
        <w:t>4.</w:t>
      </w:r>
      <w:r w:rsidRPr="00AA09C9">
        <w:tab/>
      </w:r>
      <w:r w:rsidR="00A44515" w:rsidRPr="005F0376">
        <w:t>Cut flower dealers, operating from a mobile unit shall not sell cut flowers, within 300 feet of place of business that holds a cut flower dealer’s permit.</w:t>
      </w:r>
    </w:p>
    <w:p w14:paraId="677B73DF" w14:textId="77777777" w:rsidR="006736E6" w:rsidRPr="00AA09C9" w:rsidRDefault="006736E6" w:rsidP="006736E6">
      <w:pPr>
        <w:pStyle w:val="A"/>
      </w:pPr>
      <w:r w:rsidRPr="00AA09C9">
        <w:t>H.</w:t>
      </w:r>
      <w:r w:rsidRPr="00AA09C9">
        <w:tab/>
        <w:t>Utility Arborist</w:t>
      </w:r>
    </w:p>
    <w:p w14:paraId="06191419" w14:textId="77777777" w:rsidR="006736E6" w:rsidRPr="00AA09C9" w:rsidRDefault="006736E6" w:rsidP="006736E6">
      <w:pPr>
        <w:pStyle w:val="1"/>
      </w:pPr>
      <w:r w:rsidRPr="00AA09C9">
        <w:t>1.</w:t>
      </w:r>
      <w:r w:rsidRPr="00AA09C9">
        <w:tab/>
        <w:t>Licensees may not use climbing irons in any trees which are not to be removed except in remote utility rights-of-way that are inaccessible to tree trimming equipment where no other practical means of trimming the tree is available or as provided in §117.E.3 of this Part.</w:t>
      </w:r>
    </w:p>
    <w:p w14:paraId="0B24ADA5" w14:textId="77777777" w:rsidR="006736E6" w:rsidRPr="00AA09C9" w:rsidRDefault="006736E6" w:rsidP="006736E6">
      <w:pPr>
        <w:pStyle w:val="1"/>
      </w:pPr>
      <w:r w:rsidRPr="00AA09C9">
        <w:t>2.</w:t>
      </w:r>
      <w:r w:rsidRPr="00AA09C9">
        <w:tab/>
        <w:t>Before the commission issues a utility arborist license, the person to be licensed shall first furnish to the commission a certificate of insurance as provided in §117.E.2 of this Part.</w:t>
      </w:r>
    </w:p>
    <w:p w14:paraId="19264D03" w14:textId="77777777" w:rsidR="006736E6" w:rsidRPr="00AA09C9" w:rsidRDefault="006736E6" w:rsidP="006736E6">
      <w:pPr>
        <w:pStyle w:val="a0"/>
      </w:pPr>
      <w:r w:rsidRPr="00AA09C9">
        <w:t>a.</w:t>
      </w:r>
      <w:r w:rsidRPr="00AA09C9">
        <w:tab/>
        <w:t>Failure to maintain the required insurance may constitute a violation of this Part.</w:t>
      </w:r>
    </w:p>
    <w:p w14:paraId="6D653D29" w14:textId="77777777" w:rsidR="006736E6" w:rsidRPr="00AA09C9" w:rsidRDefault="006736E6" w:rsidP="006736E6">
      <w:pPr>
        <w:pStyle w:val="1"/>
      </w:pPr>
      <w:r w:rsidRPr="00AA09C9">
        <w:t>3.</w:t>
      </w:r>
      <w:r w:rsidRPr="00AA09C9">
        <w:tab/>
        <w:t>Licensees shall make their license available to the public or any representative of the commission at all times.</w:t>
      </w:r>
    </w:p>
    <w:p w14:paraId="5FE83C43" w14:textId="77777777" w:rsidR="006736E6" w:rsidRPr="00AA09C9" w:rsidRDefault="006736E6" w:rsidP="006736E6">
      <w:pPr>
        <w:pStyle w:val="1"/>
      </w:pPr>
      <w:r w:rsidRPr="00AA09C9">
        <w:t>4.</w:t>
      </w:r>
      <w:r w:rsidRPr="00AA09C9">
        <w:tab/>
        <w:t>Prior to renewal of a utility arborist license, the licensee shall provide the commission with certifiable evidence of completion of a continuing training seminar which was previously approved by the commission.</w:t>
      </w:r>
    </w:p>
    <w:p w14:paraId="6B5CC59B" w14:textId="77777777" w:rsidR="006736E6" w:rsidRPr="004418BF" w:rsidRDefault="006736E6" w:rsidP="006736E6">
      <w:pPr>
        <w:pStyle w:val="1"/>
      </w:pPr>
      <w:r w:rsidRPr="004418BF">
        <w:t>5.</w:t>
      </w:r>
      <w:r w:rsidRPr="004418BF">
        <w:tab/>
        <w:t>Recommendations and pruning practices shall meet the standards outlined in the International Society of Arboriculture Certification Manual (3</w:t>
      </w:r>
      <w:r w:rsidRPr="004418BF">
        <w:rPr>
          <w:vertAlign w:val="superscript"/>
        </w:rPr>
        <w:t>rd</w:t>
      </w:r>
      <w:r w:rsidRPr="004418BF">
        <w:t>. ed. 2010) and Best Management Practices</w:t>
      </w:r>
      <w:r w:rsidRPr="004418BF">
        <w:rPr>
          <w:iCs/>
        </w:rPr>
        <w:t>―</w:t>
      </w:r>
      <w:r w:rsidRPr="004418BF">
        <w:t>Utility Pruning of Trees (rev. or copyright date 2004), a publication by the International Society of Arboriculture.</w:t>
      </w:r>
    </w:p>
    <w:p w14:paraId="6115C165" w14:textId="77777777" w:rsidR="006736E6" w:rsidRPr="00AA09C9" w:rsidRDefault="006736E6" w:rsidP="006736E6">
      <w:pPr>
        <w:pStyle w:val="A"/>
      </w:pPr>
      <w:r w:rsidRPr="00AA09C9">
        <w:rPr>
          <w:bCs/>
        </w:rPr>
        <w:t>I</w:t>
      </w:r>
      <w:r w:rsidRPr="00AA09C9">
        <w:t>.</w:t>
      </w:r>
      <w:r w:rsidRPr="00AA09C9">
        <w:tab/>
        <w:t>Landscape Irrigation Contractor</w:t>
      </w:r>
    </w:p>
    <w:p w14:paraId="1AA923B9" w14:textId="77777777" w:rsidR="006736E6" w:rsidRPr="00AA09C9" w:rsidRDefault="006736E6" w:rsidP="006736E6">
      <w:pPr>
        <w:pStyle w:val="1"/>
      </w:pPr>
      <w:r w:rsidRPr="00AA09C9">
        <w:t>1.</w:t>
      </w:r>
      <w:r w:rsidRPr="00AA09C9">
        <w:tab/>
        <w:t>Before the commission issues a landscape irrigation contractor license the person to be licensed shall first furnish to the commission a certificate of insurance, written by an insurance company authorized to do business in Louisiana, covering the public liability of the applicant, as a licensee, for personal injuries and property damages. The insurance policy shall provide for not less than $25,000 per personal injuries and not less than $50,000 for property damages, both limits applicable to each separate accident. The certificate of insurance shall provide for 30 days’ written notice to the commission prior to cancellation. The commission may, however, waive the requirement for the stated insurance coverage for any licensed landscape irrigation contractor who does not physically work on landscape irrigation systems or accept responsibility for work on landscape irrigation systems but only provides consultation or other associated services with respect to landscape irrigation systems or the work performed on such systems.</w:t>
      </w:r>
    </w:p>
    <w:p w14:paraId="65CC367D" w14:textId="77777777" w:rsidR="006736E6" w:rsidRPr="00AA09C9" w:rsidRDefault="006736E6" w:rsidP="006736E6">
      <w:pPr>
        <w:pStyle w:val="1"/>
      </w:pPr>
      <w:r w:rsidRPr="00AA09C9">
        <w:t>2.</w:t>
      </w:r>
      <w:r w:rsidRPr="00AA09C9">
        <w:tab/>
        <w:t>Failure to maintain the required insurance may constitute a violation of this Part.</w:t>
      </w:r>
    </w:p>
    <w:p w14:paraId="665341C9" w14:textId="77777777" w:rsidR="006736E6" w:rsidRPr="00AA09C9" w:rsidRDefault="006736E6" w:rsidP="006736E6">
      <w:pPr>
        <w:pStyle w:val="1"/>
      </w:pPr>
      <w:r w:rsidRPr="00AA09C9">
        <w:t>3.</w:t>
      </w:r>
      <w:r w:rsidRPr="00AA09C9">
        <w:tab/>
        <w:t>Licensees are required to attend and complete a commission approved continuing training seminar at least once every three years. Each licensee, prior to renewal of his or her license, shall provide the commission with certifiable evidence that the licensee has timely and successfully completed such a seminar.</w:t>
      </w:r>
    </w:p>
    <w:p w14:paraId="230F96D6" w14:textId="77777777" w:rsidR="006736E6" w:rsidRPr="00AA09C9" w:rsidRDefault="006736E6" w:rsidP="006736E6">
      <w:pPr>
        <w:pStyle w:val="1"/>
      </w:pPr>
      <w:r w:rsidRPr="00AA09C9">
        <w:t>4.</w:t>
      </w:r>
      <w:r w:rsidRPr="00AA09C9">
        <w:tab/>
        <w:t>Licensed landscape irrigation contractors shall enter into a written contract with the property owner, specifying the landscape irrigation services to be performed and the sum to be paid for the services. The contract shall include the following statement: “Any complaints regarding landscape irrigation installation should be directed to the Louisiana Horticulture Commission at (225) 952-8100.” Both parties shall receive a copy of the contract.</w:t>
      </w:r>
    </w:p>
    <w:p w14:paraId="281A48EA" w14:textId="77777777" w:rsidR="006736E6" w:rsidRPr="00AA09C9" w:rsidRDefault="006736E6" w:rsidP="006736E6">
      <w:pPr>
        <w:pStyle w:val="1"/>
      </w:pPr>
      <w:r w:rsidRPr="00AA09C9">
        <w:lastRenderedPageBreak/>
        <w:t>5.</w:t>
      </w:r>
      <w:r w:rsidRPr="00AA09C9">
        <w:tab/>
        <w:t>Licensees shall display their license at all times in a location accessible to the general public or any representative of the commission.</w:t>
      </w:r>
    </w:p>
    <w:p w14:paraId="136C0331" w14:textId="77777777" w:rsidR="006736E6" w:rsidRPr="00AA09C9" w:rsidRDefault="006736E6" w:rsidP="006736E6">
      <w:pPr>
        <w:pStyle w:val="1"/>
      </w:pPr>
      <w:r w:rsidRPr="00AA09C9">
        <w:t>6.</w:t>
      </w:r>
      <w:r w:rsidRPr="00AA09C9">
        <w:tab/>
        <w:t>The following clarifications apply to licensed landscape irrigation contractors.</w:t>
      </w:r>
    </w:p>
    <w:p w14:paraId="31C31B89" w14:textId="77777777" w:rsidR="006736E6" w:rsidRPr="00AA09C9" w:rsidRDefault="006736E6" w:rsidP="006736E6">
      <w:pPr>
        <w:pStyle w:val="a0"/>
      </w:pPr>
      <w:r w:rsidRPr="00AA09C9">
        <w:t>a.</w:t>
      </w:r>
      <w:r w:rsidRPr="00AA09C9">
        <w:tab/>
        <w:t>A licensed landscape irrigation contractor is not required to have a water supply protection specialist endorsement from the state Plumbing Board in order to install an irrigation system up to the point of connecting the irrigation system to a public or private water supply system or installing a backflow prevention device.</w:t>
      </w:r>
    </w:p>
    <w:p w14:paraId="25041B1B" w14:textId="77777777" w:rsidR="006736E6" w:rsidRPr="00AA09C9" w:rsidRDefault="006736E6" w:rsidP="006736E6">
      <w:pPr>
        <w:pStyle w:val="a0"/>
      </w:pPr>
      <w:r w:rsidRPr="00AA09C9">
        <w:t>b.</w:t>
      </w:r>
      <w:r w:rsidRPr="00AA09C9">
        <w:tab/>
        <w:t>A licensed landscape irrigation contractor shall also have a water supply protection specialist endorsement from the state Plumbing Board before connecting any irrigation system to a public or private water supply system or installing a backflow prevention device, pursuant to R.S. 3:3808(P)(4) and (5).</w:t>
      </w:r>
    </w:p>
    <w:p w14:paraId="2990A776" w14:textId="77777777" w:rsidR="006736E6" w:rsidRPr="00AA09C9" w:rsidRDefault="006736E6" w:rsidP="006736E6">
      <w:pPr>
        <w:pStyle w:val="a0"/>
      </w:pPr>
      <w:r w:rsidRPr="00AA09C9">
        <w:t>c.</w:t>
      </w:r>
      <w:r w:rsidRPr="00AA09C9">
        <w:tab/>
        <w:t>A governing authority, such as a parish or municipality, shall issue all necessary permits, including necessary electrical permits, to a licensed landscape irrigation contractor who does not hold a water supply protection specialist endorsement for the installation of an irrigation system, except for those permits that would allow such a licensed landscape irrigation contractor to connect the irrigation system to a public or private water supply system or install a backflow prevention device.</w:t>
      </w:r>
    </w:p>
    <w:p w14:paraId="2D752CBD" w14:textId="77777777" w:rsidR="006736E6" w:rsidRPr="00AA09C9" w:rsidRDefault="006736E6" w:rsidP="006736E6">
      <w:pPr>
        <w:pStyle w:val="a0"/>
      </w:pPr>
      <w:r w:rsidRPr="00AA09C9">
        <w:t>d.</w:t>
      </w:r>
      <w:r w:rsidRPr="00AA09C9">
        <w:tab/>
        <w:t>A governing authority, such as a parish or municipality shall issue all necessary permits to a licensed landscape irrigation contractor who holds a water supply protection specialist endorsement from the state Plumbing Board for the installation of an irrigation system, including necessary electrical permits and those permits that would allow such a licensed landscape irrigation contractor to connect the irrigation system to a public or private water supply system or install a backflow prevention device.</w:t>
      </w:r>
    </w:p>
    <w:p w14:paraId="03422475" w14:textId="77777777" w:rsidR="006736E6" w:rsidRPr="00AA09C9" w:rsidRDefault="006736E6" w:rsidP="006736E6">
      <w:pPr>
        <w:pStyle w:val="a0"/>
      </w:pPr>
      <w:r w:rsidRPr="00AA09C9">
        <w:t>e.</w:t>
      </w:r>
      <w:r w:rsidRPr="00AA09C9">
        <w:tab/>
        <w:t xml:space="preserve">A licensed landscape irrigation contractor who also holds a water supply protection specialist endorsement from the state Plumbing Board is required by R.S. 3:3816(6) to install backflow prevention devices in accordance with ordinances adopted by local governing authorities, such as parishes and municipalities, regulating the installation of backflow prevention devices. If a local governing authority does not have an ordinance regulating the installation of backflow prevention devices, such devises shall be installed in accordance with the requirements of LAC 51, Part XIV (Plumbing) of the </w:t>
      </w:r>
      <w:r w:rsidRPr="00AA09C9">
        <w:rPr>
          <w:i/>
        </w:rPr>
        <w:t>Sanitary Code</w:t>
      </w:r>
      <w:r w:rsidRPr="00AA09C9">
        <w:t>, state of Louisiana.</w:t>
      </w:r>
    </w:p>
    <w:p w14:paraId="1B7D4F28" w14:textId="77777777" w:rsidR="00561777" w:rsidRPr="001531CD" w:rsidRDefault="006736E6" w:rsidP="006736E6">
      <w:pPr>
        <w:pStyle w:val="AuthorityNote"/>
      </w:pPr>
      <w:r w:rsidRPr="00AA09C9">
        <w:t>AUTHORITY NOTE:</w:t>
      </w:r>
      <w:r w:rsidRPr="00AA09C9">
        <w:tab/>
        <w:t>Promulgated in accordance with R.S. 3:3801 and R.S. 3:3808.</w:t>
      </w:r>
    </w:p>
    <w:p w14:paraId="31528348" w14:textId="3926DD67" w:rsidR="00561777" w:rsidRPr="001531CD" w:rsidRDefault="00561777" w:rsidP="00561777">
      <w:pPr>
        <w:pStyle w:val="HistoricalNote"/>
      </w:pPr>
      <w:r w:rsidRPr="001531CD">
        <w:t>HISTORICAL NOTE:</w:t>
      </w:r>
      <w:r w:rsidRPr="001531CD">
        <w:tab/>
        <w:t>Promulgated by the Department of Agriculture, Horticulture Commission, LR 8:185 (April 1982), amended LR 9:410 (June 1983), LR 11:317 (April 1985), amended by the Department of Agriculture and Forestry, Horticulture Commission, LR 14:8 (January 1988), LR 20:640 (June 1994), LR 27:1832 (November 2001), LR 31:1054 (May 2005),</w:t>
      </w:r>
      <w:r w:rsidR="00805C20" w:rsidRPr="001531CD">
        <w:t xml:space="preserve"> LR 32:78 (Januar</w:t>
      </w:r>
      <w:r w:rsidR="0054160F" w:rsidRPr="001531CD">
        <w:t>y 2006), LR 32:1010 (June 200</w:t>
      </w:r>
      <w:r w:rsidR="001E56A1" w:rsidRPr="001531CD">
        <w:t>6), LR 33:1854 (September 2007), LR 53:1228 (July 2009)</w:t>
      </w:r>
      <w:r w:rsidR="00142156" w:rsidRPr="001531CD">
        <w:t>, LR 36:2520 (November 2010)</w:t>
      </w:r>
      <w:r w:rsidR="00BA14AE">
        <w:t xml:space="preserve">, </w:t>
      </w:r>
      <w:r w:rsidR="00BA14AE" w:rsidRPr="00AA09C9">
        <w:t xml:space="preserve">amended by the Department of Agriculture and Forestry, Office of </w:t>
      </w:r>
      <w:r w:rsidR="00BA14AE" w:rsidRPr="00AA09C9">
        <w:t>Agricultural and Environmental Sciences, Horticulture Commission, LR 42:</w:t>
      </w:r>
      <w:r w:rsidR="00BA14AE">
        <w:t>1645 (October 2016)</w:t>
      </w:r>
      <w:r w:rsidR="003E574E">
        <w:t>, LR 46:1077 (August 2020</w:t>
      </w:r>
      <w:r w:rsidR="00490B60" w:rsidRPr="00BC467D">
        <w:t>), LR 48:</w:t>
      </w:r>
      <w:r w:rsidR="00A44515">
        <w:t>2287 (September 2022), LR 51:27 (January 2025)</w:t>
      </w:r>
      <w:r w:rsidR="00E84BEF">
        <w:t xml:space="preserve">, </w:t>
      </w:r>
      <w:r w:rsidR="00E84BEF" w:rsidRPr="00B7246F">
        <w:t>LR 52:349 (March 2026).</w:t>
      </w:r>
    </w:p>
    <w:p w14:paraId="45833227" w14:textId="77777777" w:rsidR="00CF626A" w:rsidRPr="001531CD" w:rsidRDefault="00CF626A">
      <w:pPr>
        <w:pStyle w:val="Section"/>
      </w:pPr>
      <w:bookmarkStart w:id="2807" w:name="_Toc256755015"/>
      <w:bookmarkStart w:id="2808" w:name="_Toc224819384"/>
      <w:r w:rsidRPr="001531CD">
        <w:t>§119.</w:t>
      </w:r>
      <w:r w:rsidRPr="001531CD">
        <w:tab/>
        <w:t>Prohibition</w:t>
      </w:r>
      <w:bookmarkEnd w:id="2807"/>
      <w:bookmarkEnd w:id="2808"/>
    </w:p>
    <w:p w14:paraId="5527E991" w14:textId="77777777" w:rsidR="002A2E5D" w:rsidRPr="001531CD" w:rsidRDefault="00142156" w:rsidP="00FF560F">
      <w:pPr>
        <w:pStyle w:val="A"/>
      </w:pPr>
      <w:r w:rsidRPr="001531CD">
        <w:t>A.</w:t>
      </w:r>
      <w:r w:rsidRPr="001531CD">
        <w:tab/>
        <w:t>No licensee or permittee of the commission may apply pesticides to any properties which are not owned, rented, or leased by the licensee or permittee or persons engaged in any regulated profession or occupation unless such licensee or permittee, or persons engaged in any regulated profession or occupation is properly licensed or certified by the department in accordance with the Louisiana Pesticide Law (R.S. 3:3201 et seq.).</w:t>
      </w:r>
    </w:p>
    <w:p w14:paraId="773852FD" w14:textId="77777777" w:rsidR="00CF626A" w:rsidRPr="001531CD" w:rsidRDefault="00CF626A" w:rsidP="00FF560F">
      <w:pPr>
        <w:pStyle w:val="A"/>
      </w:pPr>
      <w:r w:rsidRPr="001531CD">
        <w:t>B.</w:t>
      </w:r>
      <w:r w:rsidRPr="001531CD">
        <w:tab/>
        <w:t>Licensees, permittees, or persons engaged in any regulated profession or occupation shall not engage in any fraudulent practices.</w:t>
      </w:r>
    </w:p>
    <w:p w14:paraId="46D4A2A7" w14:textId="77777777" w:rsidR="00CF626A" w:rsidRPr="001531CD" w:rsidRDefault="00CF626A" w:rsidP="007B444A">
      <w:pPr>
        <w:pStyle w:val="A"/>
        <w:spacing w:after="80"/>
      </w:pPr>
      <w:r w:rsidRPr="001531CD">
        <w:t>C.</w:t>
      </w:r>
      <w:r w:rsidRPr="001531CD">
        <w:tab/>
        <w:t>Licensees, permittees, or persons engaged in any regulated profession or occupation shall not engage in any false advertisement of any kind.</w:t>
      </w:r>
    </w:p>
    <w:p w14:paraId="6670CC7D" w14:textId="77777777" w:rsidR="00CF626A" w:rsidRPr="001531CD" w:rsidRDefault="00CF626A" w:rsidP="007B444A">
      <w:pPr>
        <w:pStyle w:val="A"/>
        <w:spacing w:after="80"/>
      </w:pPr>
      <w:r w:rsidRPr="001531CD">
        <w:t>D.</w:t>
      </w:r>
      <w:r w:rsidRPr="001531CD">
        <w:tab/>
        <w:t>No licensee, permittee, or persons engaged in any regulated profession or occupation of the commission shall fail to comply with any cease and desist order directed and delivered to said licensee, permittee, or persons engaged in any regulated profession or occupation.</w:t>
      </w:r>
    </w:p>
    <w:p w14:paraId="1061BFDD" w14:textId="77777777" w:rsidR="00CF626A" w:rsidRPr="001531CD" w:rsidRDefault="00CF626A" w:rsidP="007B444A">
      <w:pPr>
        <w:pStyle w:val="A"/>
        <w:spacing w:after="80"/>
      </w:pPr>
      <w:r w:rsidRPr="001531CD">
        <w:t>E.</w:t>
      </w:r>
      <w:r w:rsidRPr="001531CD">
        <w:tab/>
        <w:t>No person, with intent to sell or in any way dispose of merchandise, securities, service, or anything directly or indirectly, to the public for sale or distribution, or with intent to increase the consumption, or to induce the public in any manner to enter into any obligation relating thereto, or to acquire title, or an interest therein, shall make, publish, disseminate, circulate, or place before the public, or cause directly or indirectly to be made, published, disseminated, circulated, or placed before the public, in this state, in a newspaper or other publications, or in the form of a book, notice, hand-bill, poster, bill, circular, pamphlet, or letter, or radio broadcasts, telecasts, wire, wireless, motion picture, or in any other way, an advertisement of any sort regarding merchandise, securities, service, or anything offered to the public, which advertisement contains any assertion, representation or statement of fact which is untrue, deceptive or misleading.</w:t>
      </w:r>
    </w:p>
    <w:p w14:paraId="110A3CB5" w14:textId="77777777" w:rsidR="00CF626A" w:rsidRPr="001531CD" w:rsidRDefault="00CF626A">
      <w:pPr>
        <w:pStyle w:val="A"/>
      </w:pPr>
      <w:r w:rsidRPr="001531CD">
        <w:t>F.</w:t>
      </w:r>
      <w:r w:rsidRPr="001531CD">
        <w:tab/>
      </w:r>
      <w:r w:rsidR="00A44515" w:rsidRPr="005F0376">
        <w:t>No licensee, permitee or person engaged in any profession or occupation regulated by the commission shall use the words “design” or “designer” or any form of these words, whether separately or in combination with other words in any advertisement, solicitation or title, or on any estimate, contract or other document, except for those persons who are licensed as a landscape architect or permitted as a floral or cut flower dealer.</w:t>
      </w:r>
    </w:p>
    <w:p w14:paraId="50C7A0CD" w14:textId="77777777" w:rsidR="00CF626A" w:rsidRPr="001531CD" w:rsidRDefault="00CF626A">
      <w:pPr>
        <w:pStyle w:val="AuthorityNote"/>
      </w:pPr>
      <w:r w:rsidRPr="001531CD">
        <w:t>AUTHORITY NOTE:</w:t>
      </w:r>
      <w:r w:rsidRPr="001531CD">
        <w:tab/>
        <w:t>Promulgated in accordance with R.S. 3:3801.</w:t>
      </w:r>
    </w:p>
    <w:p w14:paraId="1570C964" w14:textId="77777777" w:rsidR="00CF626A" w:rsidRPr="001531CD" w:rsidRDefault="00CF626A">
      <w:pPr>
        <w:pStyle w:val="HistoricalNote"/>
      </w:pPr>
      <w:r w:rsidRPr="001531CD">
        <w:t>HISTORICAL NOTE:</w:t>
      </w:r>
      <w:r w:rsidRPr="001531CD">
        <w:tab/>
        <w:t>Promulgated by the Department of Agriculture, Horticulture Commission, LR 8:186 (April 1982), amended by the Department of Agriculture and Forestry, Horticulture Commission, LR 29:1460 (August 2003</w:t>
      </w:r>
      <w:r w:rsidR="00142156" w:rsidRPr="001531CD">
        <w:t>), LR 36:2520 (November 2010)</w:t>
      </w:r>
      <w:r w:rsidR="00A44515">
        <w:t>, LR 51:29 (January 2025).</w:t>
      </w:r>
    </w:p>
    <w:p w14:paraId="22EAD0E7" w14:textId="77777777" w:rsidR="00CF626A" w:rsidRPr="001531CD" w:rsidRDefault="00CF626A">
      <w:pPr>
        <w:pStyle w:val="Section"/>
      </w:pPr>
      <w:bookmarkStart w:id="2809" w:name="_Toc256755016"/>
      <w:bookmarkStart w:id="2810" w:name="_Toc224819385"/>
      <w:r w:rsidRPr="001531CD">
        <w:lastRenderedPageBreak/>
        <w:t>§121.</w:t>
      </w:r>
      <w:r w:rsidRPr="001531CD">
        <w:tab/>
        <w:t>Re-Issuance of Suspended, Revoked or Unrenewed License or Permit</w:t>
      </w:r>
      <w:bookmarkEnd w:id="2809"/>
      <w:bookmarkEnd w:id="2810"/>
    </w:p>
    <w:p w14:paraId="255D0403" w14:textId="77777777" w:rsidR="00CF626A" w:rsidRPr="001531CD" w:rsidRDefault="00CF626A">
      <w:pPr>
        <w:pStyle w:val="A"/>
      </w:pPr>
      <w:r w:rsidRPr="001531CD">
        <w:t>A.</w:t>
      </w:r>
      <w:r w:rsidRPr="001531CD">
        <w:tab/>
        <w:t>Whenever a license or permit is suspended by the commission, the violations which caused the suspension must be corrected, to the satisfaction of the commission, prior to re-issuance of the suspended license or permit.</w:t>
      </w:r>
    </w:p>
    <w:p w14:paraId="7C6FB59D" w14:textId="77777777" w:rsidR="00CF626A" w:rsidRPr="001531CD" w:rsidRDefault="00CF626A" w:rsidP="007B444A">
      <w:pPr>
        <w:pStyle w:val="A"/>
        <w:spacing w:after="80"/>
      </w:pPr>
      <w:r w:rsidRPr="001531CD">
        <w:t>B.</w:t>
      </w:r>
      <w:r w:rsidRPr="001531CD">
        <w:tab/>
        <w:t>Whenever a license or permit is suspended by the commission, the holder of the suspended license or permit must pay the fee required under §109 for renewal of the license or permit prior to re-issuance.</w:t>
      </w:r>
    </w:p>
    <w:p w14:paraId="64972FA9" w14:textId="77777777" w:rsidR="00CF626A" w:rsidRPr="001531CD" w:rsidRDefault="00CF626A" w:rsidP="007B444A">
      <w:pPr>
        <w:pStyle w:val="A"/>
        <w:spacing w:after="80"/>
      </w:pPr>
      <w:r w:rsidRPr="001531CD">
        <w:t>C.</w:t>
      </w:r>
      <w:r w:rsidRPr="001531CD">
        <w:tab/>
        <w:t>Whenever a license or permit is revoked by the commission:</w:t>
      </w:r>
    </w:p>
    <w:p w14:paraId="170C4854" w14:textId="77777777" w:rsidR="00CF626A" w:rsidRPr="001531CD" w:rsidRDefault="00CF626A" w:rsidP="007B444A">
      <w:pPr>
        <w:pStyle w:val="1"/>
        <w:spacing w:after="80"/>
      </w:pPr>
      <w:r w:rsidRPr="001531CD">
        <w:t>1.</w:t>
      </w:r>
      <w:r w:rsidRPr="001531CD">
        <w:tab/>
        <w:t>the violations which caused the revocation must be corrected to the satisfaction of the commission prior to re-issuance of the license or permit;</w:t>
      </w:r>
    </w:p>
    <w:p w14:paraId="4D3F8180" w14:textId="77777777" w:rsidR="00CF626A" w:rsidRPr="001531CD" w:rsidRDefault="00CF626A" w:rsidP="007B444A">
      <w:pPr>
        <w:pStyle w:val="1"/>
        <w:spacing w:after="80"/>
      </w:pPr>
      <w:r w:rsidRPr="001531CD">
        <w:t>2.</w:t>
      </w:r>
      <w:r w:rsidRPr="001531CD">
        <w:tab/>
        <w:t>the holder of a revoked license must apply to take and must successfully complete all phases of the examination prescribed for the license;</w:t>
      </w:r>
    </w:p>
    <w:p w14:paraId="1857F42D" w14:textId="77777777" w:rsidR="00CF626A" w:rsidRPr="001531CD" w:rsidRDefault="00CF626A" w:rsidP="007B444A">
      <w:pPr>
        <w:pStyle w:val="1"/>
        <w:spacing w:after="80"/>
      </w:pPr>
      <w:r w:rsidRPr="001531CD">
        <w:t>3.</w:t>
      </w:r>
      <w:r w:rsidRPr="001531CD">
        <w:tab/>
        <w:t>the holder of a revoked permit must file a complete application prior to a re-issuance of the permit;</w:t>
      </w:r>
    </w:p>
    <w:p w14:paraId="013F32AD" w14:textId="77777777" w:rsidR="00CF626A" w:rsidRPr="001531CD" w:rsidRDefault="00CF626A" w:rsidP="007B444A">
      <w:pPr>
        <w:pStyle w:val="1"/>
        <w:spacing w:after="80"/>
      </w:pPr>
      <w:r w:rsidRPr="001531CD">
        <w:t>4.</w:t>
      </w:r>
      <w:r w:rsidRPr="001531CD">
        <w:tab/>
        <w:t>the holder of a revoked license or permit who seeks re-issuance thereof must pay the fees prescribed in §109 for the initial issuance of such license or permit;</w:t>
      </w:r>
    </w:p>
    <w:p w14:paraId="7087BF88" w14:textId="77777777" w:rsidR="00CF626A" w:rsidRPr="001531CD" w:rsidRDefault="00CF626A" w:rsidP="007B444A">
      <w:pPr>
        <w:pStyle w:val="1"/>
        <w:spacing w:after="80"/>
      </w:pPr>
      <w:r w:rsidRPr="001531CD">
        <w:t>5.</w:t>
      </w:r>
      <w:r w:rsidRPr="001531CD">
        <w:tab/>
        <w:t>the relevant requirements of Paragraphs C.1-4 must be complied with prior to re-issuance of a revoked license or permit.</w:t>
      </w:r>
    </w:p>
    <w:p w14:paraId="22CBB673" w14:textId="77777777" w:rsidR="00CF626A" w:rsidRPr="001531CD" w:rsidRDefault="00CF626A" w:rsidP="007B444A">
      <w:pPr>
        <w:pStyle w:val="A"/>
        <w:spacing w:after="80"/>
      </w:pPr>
      <w:r w:rsidRPr="001531CD">
        <w:t>D.</w:t>
      </w:r>
      <w:r w:rsidRPr="001531CD">
        <w:tab/>
        <w:t>Whenever a licensee fails to renew a license:</w:t>
      </w:r>
    </w:p>
    <w:p w14:paraId="7C232A52" w14:textId="77777777" w:rsidR="00CF626A" w:rsidRPr="001531CD" w:rsidRDefault="00CF626A" w:rsidP="007B444A">
      <w:pPr>
        <w:pStyle w:val="1"/>
        <w:spacing w:after="80"/>
      </w:pPr>
      <w:r w:rsidRPr="001531CD">
        <w:t>1.</w:t>
      </w:r>
      <w:r w:rsidRPr="001531CD">
        <w:tab/>
        <w:t xml:space="preserve">if the period of non-renewal is more than three years, but less than or equal to five years, the license may be re-issued upon payment of fees required under </w:t>
      </w:r>
      <w:r w:rsidRPr="001531CD">
        <w:br/>
        <w:t>R.S. 3:3807(D);</w:t>
      </w:r>
    </w:p>
    <w:p w14:paraId="6C1B961B" w14:textId="77777777" w:rsidR="00CF626A" w:rsidRPr="001531CD" w:rsidRDefault="00CF626A" w:rsidP="007B444A">
      <w:pPr>
        <w:pStyle w:val="1"/>
        <w:spacing w:after="80"/>
      </w:pPr>
      <w:r w:rsidRPr="001531CD">
        <w:t>2.</w:t>
      </w:r>
      <w:r w:rsidRPr="001531CD">
        <w:tab/>
        <w:t xml:space="preserve">if the period of non-renewal is more than five years, he or she must either retake the appropriate exam or petition the commission for re-issuance of the license. The holder of the un-renewed license must provide evidence that they have been active in the appropriate profession during the period of non-renewal. If the commission approves the re-issuance of the license, the license will be re-issued only after payment of fees under </w:t>
      </w:r>
      <w:bookmarkStart w:id="2811" w:name="Here"/>
      <w:bookmarkEnd w:id="2811"/>
      <w:r w:rsidRPr="001531CD">
        <w:t>R.S. 3:3807(D).</w:t>
      </w:r>
    </w:p>
    <w:p w14:paraId="795A6FA2" w14:textId="77777777" w:rsidR="00CF626A" w:rsidRPr="001531CD" w:rsidRDefault="00CF626A">
      <w:pPr>
        <w:pStyle w:val="AuthorityNote"/>
      </w:pPr>
      <w:r w:rsidRPr="001531CD">
        <w:t>AUTHORITY NOTE:</w:t>
      </w:r>
      <w:r w:rsidRPr="001531CD">
        <w:tab/>
        <w:t>Promulgated in accordance with R.S. 3:3811 and R.S. 3:3801.</w:t>
      </w:r>
    </w:p>
    <w:p w14:paraId="1D79945D" w14:textId="77777777" w:rsidR="00CF626A" w:rsidRPr="001531CD" w:rsidRDefault="00CF626A">
      <w:pPr>
        <w:pStyle w:val="HistoricalNote"/>
      </w:pPr>
      <w:r w:rsidRPr="001531CD">
        <w:t>HISTORICAL NOTE:</w:t>
      </w:r>
      <w:r w:rsidRPr="001531CD">
        <w:tab/>
        <w:t xml:space="preserve">Promulgated by the Department of Agriculture, Horticulture Commission, LR 8:186 (April 1982), </w:t>
      </w:r>
      <w:r w:rsidRPr="001531CD">
        <w:t>amended by the Department of Agriculture and Forestry, Horticulture Commission, LR 26:627 (April 2000).</w:t>
      </w:r>
    </w:p>
    <w:p w14:paraId="5C3D66A9" w14:textId="77777777" w:rsidR="00DC24F0" w:rsidRPr="001531CD" w:rsidRDefault="00DC24F0" w:rsidP="007B444A">
      <w:pPr>
        <w:pStyle w:val="Section"/>
        <w:spacing w:after="80"/>
      </w:pPr>
      <w:bookmarkStart w:id="2812" w:name="_Toc256755017"/>
      <w:bookmarkStart w:id="2813" w:name="_Toc224819386"/>
      <w:r w:rsidRPr="001531CD">
        <w:t>§123.</w:t>
      </w:r>
      <w:r w:rsidRPr="001531CD">
        <w:tab/>
        <w:t>Stop Orders and Notice of Non-Compliance</w:t>
      </w:r>
      <w:bookmarkEnd w:id="2812"/>
      <w:bookmarkEnd w:id="2813"/>
    </w:p>
    <w:p w14:paraId="3A98480C" w14:textId="77777777" w:rsidR="00DC24F0" w:rsidRPr="001531CD" w:rsidRDefault="00DC24F0" w:rsidP="007B444A">
      <w:pPr>
        <w:pStyle w:val="A"/>
        <w:spacing w:after="80"/>
      </w:pPr>
      <w:r w:rsidRPr="001531CD">
        <w:t>A.</w:t>
      </w:r>
      <w:r w:rsidRPr="001531CD">
        <w:tab/>
        <w:t xml:space="preserve">A person believed to be in violation of the Horticulture Law or regulations of the commission may </w:t>
      </w:r>
      <w:r w:rsidRPr="001531CD">
        <w:br/>
        <w:t>be issued a verbal or written stop order or written notice of non-compliance by the department or authorized agent to prevent possible future violations from occurring.</w:t>
      </w:r>
    </w:p>
    <w:p w14:paraId="7F10C85A" w14:textId="77777777" w:rsidR="00DC24F0" w:rsidRPr="001531CD" w:rsidRDefault="00DC24F0" w:rsidP="007B444A">
      <w:pPr>
        <w:pStyle w:val="A"/>
        <w:spacing w:after="80"/>
      </w:pPr>
      <w:r w:rsidRPr="001531CD">
        <w:t>B.</w:t>
      </w:r>
      <w:r w:rsidRPr="001531CD">
        <w:tab/>
        <w:t xml:space="preserve">If an alleged violator refuses to accept a written stop order or notice of non-compliance when tendered or refuses or fails to claim such stop order or notice of non-compliance sent by certified mail, the stop order or notice of </w:t>
      </w:r>
      <w:r w:rsidRPr="001531CD">
        <w:br/>
        <w:t>non-compliance shall be deemed to have been delivered to the alleged violator.</w:t>
      </w:r>
    </w:p>
    <w:p w14:paraId="41E31649" w14:textId="77777777" w:rsidR="00DC24F0" w:rsidRPr="001531CD" w:rsidRDefault="00DC24F0" w:rsidP="00DC24F0">
      <w:pPr>
        <w:pStyle w:val="A"/>
      </w:pPr>
      <w:r w:rsidRPr="001531CD">
        <w:t>C.</w:t>
      </w:r>
      <w:r w:rsidRPr="001531CD">
        <w:tab/>
        <w:t>An adjudicatory proceeding before the commission shall commence against an alleged violator for the alleged violations that led to the issuance of the stop order or order of non-compliance, even if he is in compliance, under any of the following circumstances:</w:t>
      </w:r>
    </w:p>
    <w:p w14:paraId="3FDAD672" w14:textId="77777777" w:rsidR="00DC24F0" w:rsidRPr="001531CD" w:rsidRDefault="00DC24F0" w:rsidP="00DC24F0">
      <w:pPr>
        <w:pStyle w:val="1"/>
      </w:pPr>
      <w:r w:rsidRPr="001531CD">
        <w:t>1.</w:t>
      </w:r>
      <w:r w:rsidRPr="001531CD">
        <w:tab/>
        <w:t>if the alleged violations involve fraudulent practices or activities;</w:t>
      </w:r>
    </w:p>
    <w:p w14:paraId="4961AAC8" w14:textId="77777777" w:rsidR="00DC24F0" w:rsidRPr="001531CD" w:rsidRDefault="00DC24F0" w:rsidP="00DC24F0">
      <w:pPr>
        <w:pStyle w:val="1"/>
      </w:pPr>
      <w:r w:rsidRPr="001531CD">
        <w:t>2.</w:t>
      </w:r>
      <w:r w:rsidRPr="001531CD">
        <w:tab/>
        <w:t>if the alleged violations caused personal injury or economic loss other than payment for services rendered, to another person;</w:t>
      </w:r>
    </w:p>
    <w:p w14:paraId="42E18C8E" w14:textId="77777777" w:rsidR="00DC24F0" w:rsidRPr="001531CD" w:rsidRDefault="00DC24F0" w:rsidP="00DC24F0">
      <w:pPr>
        <w:pStyle w:val="1"/>
      </w:pPr>
      <w:r w:rsidRPr="001531CD">
        <w:t>3.</w:t>
      </w:r>
      <w:r w:rsidRPr="001531CD">
        <w:tab/>
        <w:t xml:space="preserve">if the alleged violator has refused or failed to accept the stop order or order of non-compliance, or has attempted to avoid or evade delivery of the stop order or order of </w:t>
      </w:r>
      <w:r w:rsidRPr="001531CD">
        <w:br/>
        <w:t>non-compliance.</w:t>
      </w:r>
    </w:p>
    <w:p w14:paraId="61D9EB84" w14:textId="77777777" w:rsidR="00DC24F0" w:rsidRPr="001531CD" w:rsidRDefault="00DC24F0" w:rsidP="00DC24F0">
      <w:pPr>
        <w:pStyle w:val="A"/>
      </w:pPr>
      <w:r w:rsidRPr="001531CD">
        <w:t>D.</w:t>
      </w:r>
      <w:r w:rsidRPr="001531CD">
        <w:tab/>
        <w:t>An adjudicatory proceeding before the commission shall commence against an alleged violator for the alleged violations that led to the issuance of the stop order or order of non-compliance if he refuses or fails to comply with the stop order or order of non-compliance.</w:t>
      </w:r>
    </w:p>
    <w:p w14:paraId="002D0F2F" w14:textId="77777777" w:rsidR="00DC24F0" w:rsidRPr="001531CD" w:rsidRDefault="00DC24F0" w:rsidP="00DC24F0">
      <w:pPr>
        <w:pStyle w:val="A"/>
        <w:rPr>
          <w:rFonts w:ascii="Arial" w:hAnsi="Arial" w:cs="Arial"/>
          <w:color w:val="000080"/>
        </w:rPr>
      </w:pPr>
      <w:r w:rsidRPr="001531CD">
        <w:t>E.</w:t>
      </w:r>
      <w:r w:rsidRPr="001531CD">
        <w:tab/>
        <w:t>No provision of this Section shall prevent the institution of an adjudicatory proceeding against an alleged violator who has not been issued a stop order or notice of non-compliance or for violations that occur after the issuance of a stop order or notice of non-compliance.</w:t>
      </w:r>
    </w:p>
    <w:p w14:paraId="5BAC2496" w14:textId="77777777" w:rsidR="00DC24F0" w:rsidRPr="001531CD" w:rsidRDefault="00DC24F0" w:rsidP="00DC24F0">
      <w:pPr>
        <w:pStyle w:val="AuthorityNote"/>
      </w:pPr>
      <w:r w:rsidRPr="001531CD">
        <w:t>AUTHORITY NOTE:</w:t>
      </w:r>
      <w:r w:rsidRPr="001531CD">
        <w:tab/>
        <w:t>Promulgated in accordance with R.S. 3:3801.</w:t>
      </w:r>
    </w:p>
    <w:p w14:paraId="76047644" w14:textId="77777777" w:rsidR="00DC24F0" w:rsidRPr="001531CD" w:rsidRDefault="00DC24F0" w:rsidP="00DC24F0">
      <w:pPr>
        <w:pStyle w:val="HistoricalNote"/>
      </w:pPr>
      <w:r w:rsidRPr="001531CD">
        <w:t>HISTORICAL NOTE:</w:t>
      </w:r>
      <w:r w:rsidRPr="001531CD">
        <w:tab/>
        <w:t>Promulgated by the Department of Agriculture and Forestry, Horticulture Commission, LR 34:2547 (December 2008).</w:t>
      </w:r>
    </w:p>
    <w:p w14:paraId="243A0CE2" w14:textId="77777777" w:rsidR="00DC24F0" w:rsidRPr="001531CD" w:rsidRDefault="00DC24F0">
      <w:pPr>
        <w:pStyle w:val="HistoricalNote"/>
      </w:pPr>
    </w:p>
    <w:p w14:paraId="620D0F71" w14:textId="77777777" w:rsidR="00CF626A" w:rsidRPr="001531CD" w:rsidRDefault="00CF626A">
      <w:pPr>
        <w:pStyle w:val="Chapter"/>
        <w:sectPr w:rsidR="00CF626A" w:rsidRPr="001531CD" w:rsidSect="00167E2E">
          <w:headerReference w:type="even" r:id="rId67"/>
          <w:headerReference w:type="default" r:id="rId68"/>
          <w:type w:val="continuous"/>
          <w:pgSz w:w="12240" w:h="15840" w:code="1"/>
          <w:pgMar w:top="1080" w:right="864" w:bottom="864" w:left="864" w:header="576" w:footer="432" w:gutter="0"/>
          <w:cols w:num="2" w:space="720"/>
        </w:sectPr>
      </w:pPr>
    </w:p>
    <w:p w14:paraId="2A165DFC"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372050A8" w14:textId="77777777" w:rsidR="00CF626A" w:rsidRPr="001531CD" w:rsidRDefault="00CF626A" w:rsidP="00F03863">
      <w:pPr>
        <w:pStyle w:val="Title1"/>
        <w:outlineLvl w:val="0"/>
      </w:pPr>
      <w:r w:rsidRPr="001531CD">
        <w:lastRenderedPageBreak/>
        <w:t>Title 7</w:t>
      </w:r>
    </w:p>
    <w:p w14:paraId="6DC31B24" w14:textId="77777777" w:rsidR="00CF626A" w:rsidRPr="001531CD" w:rsidRDefault="00CF626A">
      <w:pPr>
        <w:pStyle w:val="Title2"/>
      </w:pPr>
      <w:r w:rsidRPr="001531CD">
        <w:t>AGRICULTURE AND ANIMALS</w:t>
      </w:r>
    </w:p>
    <w:p w14:paraId="70F5134F" w14:textId="77777777" w:rsidR="00CF626A" w:rsidRPr="001531CD" w:rsidRDefault="00CF626A">
      <w:pPr>
        <w:pStyle w:val="Part"/>
      </w:pPr>
      <w:bookmarkStart w:id="2814" w:name="TOC_Part14"/>
      <w:bookmarkStart w:id="2815" w:name="_Toc77840322"/>
      <w:bookmarkStart w:id="2816" w:name="_Toc224819387"/>
      <w:r w:rsidRPr="001531CD">
        <w:t>Part XXXI.  Milk, Milk Products and Substitutions</w:t>
      </w:r>
      <w:bookmarkEnd w:id="2814"/>
      <w:bookmarkEnd w:id="2815"/>
      <w:bookmarkEnd w:id="2816"/>
    </w:p>
    <w:p w14:paraId="04F2B8CF" w14:textId="77777777" w:rsidR="00CF626A" w:rsidRPr="001531CD" w:rsidRDefault="00CF626A">
      <w:pPr>
        <w:pStyle w:val="Part"/>
      </w:pPr>
    </w:p>
    <w:p w14:paraId="6EA8A175" w14:textId="77777777" w:rsidR="00CF626A" w:rsidRPr="001531CD" w:rsidRDefault="00CF626A">
      <w:pPr>
        <w:pStyle w:val="Part"/>
        <w:sectPr w:rsidR="00CF626A" w:rsidRPr="001531CD" w:rsidSect="00167E2E">
          <w:headerReference w:type="default" r:id="rId69"/>
          <w:type w:val="oddPage"/>
          <w:pgSz w:w="12240" w:h="15840" w:code="1"/>
          <w:pgMar w:top="1080" w:right="864" w:bottom="864" w:left="864" w:header="576" w:footer="432" w:gutter="0"/>
          <w:cols w:space="720"/>
          <w:docGrid w:linePitch="326"/>
        </w:sectPr>
      </w:pPr>
    </w:p>
    <w:p w14:paraId="5646F18D" w14:textId="77777777" w:rsidR="00CF626A" w:rsidRPr="001531CD" w:rsidRDefault="00CF626A" w:rsidP="00F03863">
      <w:pPr>
        <w:pStyle w:val="Chapter"/>
        <w:outlineLvl w:val="0"/>
      </w:pPr>
      <w:bookmarkStart w:id="2817" w:name="TOC_Chap238"/>
      <w:bookmarkStart w:id="2818" w:name="_Toc256755018"/>
      <w:bookmarkStart w:id="2819" w:name="_Toc224819388"/>
      <w:r w:rsidRPr="001531CD">
        <w:t>Chapter 1.</w:t>
      </w:r>
      <w:bookmarkEnd w:id="2817"/>
      <w:r w:rsidR="00167E2E">
        <w:tab/>
      </w:r>
      <w:bookmarkStart w:id="2820" w:name="TOCT_Chap211"/>
      <w:bookmarkStart w:id="2821" w:name="TOCT_Chap218"/>
      <w:bookmarkStart w:id="2822" w:name="TOCT_Chap221"/>
      <w:bookmarkStart w:id="2823" w:name="TOCT_Chap227"/>
      <w:bookmarkStart w:id="2824" w:name="TOCT_Chap228"/>
      <w:bookmarkStart w:id="2825" w:name="TOCT_Chap225"/>
      <w:bookmarkStart w:id="2826" w:name="TOCT_Chap224"/>
      <w:bookmarkStart w:id="2827" w:name="TOCT_Chap226"/>
      <w:bookmarkStart w:id="2828" w:name="TOCT_Chap238"/>
      <w:r w:rsidRPr="001531CD">
        <w:t>Milk Testing</w:t>
      </w:r>
      <w:bookmarkEnd w:id="2818"/>
      <w:bookmarkEnd w:id="2819"/>
      <w:bookmarkEnd w:id="2820"/>
      <w:bookmarkEnd w:id="2821"/>
      <w:bookmarkEnd w:id="2822"/>
      <w:bookmarkEnd w:id="2823"/>
      <w:bookmarkEnd w:id="2824"/>
      <w:bookmarkEnd w:id="2825"/>
      <w:bookmarkEnd w:id="2826"/>
      <w:bookmarkEnd w:id="2827"/>
      <w:bookmarkEnd w:id="2828"/>
    </w:p>
    <w:p w14:paraId="7AAD855C" w14:textId="77777777" w:rsidR="00CF626A" w:rsidRPr="001531CD" w:rsidRDefault="00CF626A">
      <w:pPr>
        <w:pStyle w:val="Chapter"/>
      </w:pPr>
      <w:bookmarkStart w:id="2829" w:name="TOC_SubC239"/>
      <w:bookmarkStart w:id="2830" w:name="_Toc256755019"/>
      <w:bookmarkStart w:id="2831" w:name="_Toc224819389"/>
      <w:r w:rsidRPr="001531CD">
        <w:t>Subchapter A.</w:t>
      </w:r>
      <w:bookmarkEnd w:id="2829"/>
      <w:r w:rsidR="00167E2E">
        <w:tab/>
      </w:r>
      <w:bookmarkStart w:id="2832" w:name="TOCT_SubC225"/>
      <w:bookmarkStart w:id="2833" w:name="TOCT_SubC227"/>
      <w:bookmarkStart w:id="2834" w:name="TOCT_SubC239"/>
      <w:r w:rsidRPr="001531CD">
        <w:t>Samples</w:t>
      </w:r>
      <w:bookmarkEnd w:id="2830"/>
      <w:bookmarkEnd w:id="2831"/>
      <w:bookmarkEnd w:id="2832"/>
      <w:bookmarkEnd w:id="2833"/>
      <w:bookmarkEnd w:id="2834"/>
    </w:p>
    <w:p w14:paraId="6DE22423" w14:textId="77777777" w:rsidR="00CF626A" w:rsidRPr="001531CD" w:rsidRDefault="00CF626A">
      <w:pPr>
        <w:pStyle w:val="Section"/>
      </w:pPr>
      <w:bookmarkStart w:id="2835" w:name="_Toc256755020"/>
      <w:bookmarkStart w:id="2836" w:name="_Toc224819390"/>
      <w:r w:rsidRPr="001531CD">
        <w:t>§101.</w:t>
      </w:r>
      <w:r w:rsidRPr="001531CD">
        <w:tab/>
        <w:t>Measuring and Sampling Milk from Farm Bulk Tanks</w:t>
      </w:r>
      <w:bookmarkEnd w:id="2835"/>
      <w:bookmarkEnd w:id="2836"/>
    </w:p>
    <w:p w14:paraId="17914D86" w14:textId="77777777" w:rsidR="00CF626A" w:rsidRPr="001531CD" w:rsidRDefault="00CF626A">
      <w:pPr>
        <w:pStyle w:val="A"/>
      </w:pPr>
      <w:r w:rsidRPr="001531CD">
        <w:t>A.</w:t>
      </w:r>
      <w:r w:rsidRPr="001531CD">
        <w:tab/>
        <w:t>No person shall measure or sample milk without benefit of license by the commissioner.</w:t>
      </w:r>
    </w:p>
    <w:p w14:paraId="3C57DC6E" w14:textId="77777777" w:rsidR="00CF626A" w:rsidRPr="001531CD" w:rsidRDefault="00CF626A">
      <w:pPr>
        <w:pStyle w:val="A"/>
      </w:pPr>
      <w:r w:rsidRPr="001531CD">
        <w:t>B.</w:t>
      </w:r>
      <w:r w:rsidRPr="001531CD">
        <w:tab/>
        <w:t>No milk shall be secured from farm bulk tanks unless the tank, gauge rod and calibration chart all bear identical manufacturer serial numbers; nor shall milk be secured from other type containers unless approved by the Division of Weights and Measures and/or the State Health Department.</w:t>
      </w:r>
    </w:p>
    <w:p w14:paraId="11B03E22" w14:textId="77777777" w:rsidR="00CF626A" w:rsidRPr="001531CD" w:rsidRDefault="00CF626A">
      <w:pPr>
        <w:pStyle w:val="A"/>
      </w:pPr>
      <w:r w:rsidRPr="001531CD">
        <w:t>C.</w:t>
      </w:r>
      <w:r w:rsidRPr="001531CD">
        <w:tab/>
        <w:t>Procedure. The gauge rod shall be removed and cleaned in such manner as to remove all oily substance from its surfaces. When the volume is completely still, the gauge rod shall be gently lowered into the volume until snugly fitted into the bracket. Measurement shall be determined to the nearest graduation. Two readings of the volume shall be made or such number as may be necessary to ascertain accuracy. Conversion shall be made immediately and the results posted on the weight ticket. The contents shall be agitated a minimum of five minutes or such length of time as to ascertain complete mixture. Broken agitators or improper function of other equipment will be noted on the weight ticket. The sample shall be secured using a sanitized stainless steel dipper which has been rinsed twice in the milk prior to sampling. Approximately 3 ounces of milk shall be placed in 6-ounce sterile plastic containers or other type containers approved by the commissioner. The wire tips of the container shall be folded approximately 1/4 inch and the container closed by a twirling motion until tight. One round shall be released prior to final sealing. The container shall be labeled with the date, and the producer identification number in legible fashion using waterproof and smearproof materials. The sample shall be placed immediately in a rubberized or other type rack approved by the commissioner and maintained at 33-40</w:t>
      </w:r>
      <w:r w:rsidRPr="001531CD">
        <w:rPr>
          <w:rFonts w:ascii="Symbol" w:hAnsi="Symbol"/>
        </w:rPr>
        <w:t></w:t>
      </w:r>
      <w:r w:rsidRPr="001531CD">
        <w:rPr>
          <w:rFonts w:ascii="Symbol" w:hAnsi="Symbol"/>
        </w:rPr>
        <w:t></w:t>
      </w:r>
      <w:r w:rsidRPr="001531CD">
        <w:t>F while in transport. The measurer-sampler shall leave the producer a receipt recording the producer number, date, gauge reading, pounds of milk and the signature or initials of the measurer-sampler.</w:t>
      </w:r>
    </w:p>
    <w:p w14:paraId="314C4D7C" w14:textId="77777777" w:rsidR="00CF626A" w:rsidRPr="001531CD" w:rsidRDefault="00CF626A">
      <w:pPr>
        <w:pStyle w:val="AuthorityNote"/>
      </w:pPr>
      <w:r w:rsidRPr="001531CD">
        <w:t>AUTHORITY NOTE:</w:t>
      </w:r>
      <w:r w:rsidRPr="001531CD">
        <w:tab/>
        <w:t>Promulgated in accordance with R.S. 40:889, R.S. 40:884, R.S. 40:885, and R.S. 40:883.</w:t>
      </w:r>
    </w:p>
    <w:p w14:paraId="57454B30" w14:textId="77777777" w:rsidR="00CF626A" w:rsidRPr="001531CD" w:rsidRDefault="00CF626A">
      <w:pPr>
        <w:pStyle w:val="HistoricalNote"/>
      </w:pPr>
      <w:r w:rsidRPr="001531CD">
        <w:t>HISTORICAL NOTE:</w:t>
      </w:r>
      <w:r w:rsidRPr="001531CD">
        <w:tab/>
        <w:t>Promulgated by the Department of Agriculture, Dairy Stabilization Board, LR 1:164 (March 1975).</w:t>
      </w:r>
    </w:p>
    <w:p w14:paraId="186252AC" w14:textId="77777777" w:rsidR="00CF626A" w:rsidRPr="001531CD" w:rsidRDefault="00CF626A">
      <w:pPr>
        <w:pStyle w:val="Section"/>
      </w:pPr>
      <w:bookmarkStart w:id="2837" w:name="_Toc256755021"/>
      <w:bookmarkStart w:id="2838" w:name="_Toc224819391"/>
      <w:r w:rsidRPr="001531CD">
        <w:t>§103.</w:t>
      </w:r>
      <w:r w:rsidRPr="001531CD">
        <w:tab/>
        <w:t>Storage; Preparation of Samples for Testing</w:t>
      </w:r>
      <w:bookmarkEnd w:id="2837"/>
      <w:bookmarkEnd w:id="2838"/>
    </w:p>
    <w:p w14:paraId="0F0A48FC" w14:textId="77777777" w:rsidR="00CF626A" w:rsidRPr="001531CD" w:rsidRDefault="00CF626A">
      <w:pPr>
        <w:pStyle w:val="A"/>
      </w:pPr>
      <w:r w:rsidRPr="001531CD">
        <w:t>A.</w:t>
      </w:r>
      <w:r w:rsidRPr="001531CD">
        <w:tab/>
        <w:t>Butterfat samples shall be stored in a clean, dry refrigerator at a temperature range of 33-40</w:t>
      </w:r>
      <w:r w:rsidRPr="001531CD">
        <w:rPr>
          <w:rFonts w:ascii="Symbol" w:hAnsi="Symbol"/>
        </w:rPr>
        <w:t></w:t>
      </w:r>
      <w:r w:rsidRPr="001531CD">
        <w:rPr>
          <w:rFonts w:ascii="Symbol" w:hAnsi="Symbol"/>
        </w:rPr>
        <w:t></w:t>
      </w:r>
      <w:r w:rsidRPr="001531CD">
        <w:t xml:space="preserve">F until tested. Prior to warming and mixing, the sample shall be gently rotated to incorporate the cream into the milk, then warmed </w:t>
      </w:r>
      <w:r w:rsidRPr="001531CD">
        <w:t>quickly to 98-100</w:t>
      </w:r>
      <w:r w:rsidRPr="001531CD">
        <w:rPr>
          <w:rFonts w:ascii="Symbol" w:hAnsi="Symbol"/>
        </w:rPr>
        <w:t></w:t>
      </w:r>
      <w:r w:rsidRPr="001531CD">
        <w:rPr>
          <w:rFonts w:ascii="Symbol" w:hAnsi="Symbol"/>
        </w:rPr>
        <w:t></w:t>
      </w:r>
      <w:r w:rsidRPr="001531CD">
        <w:t>F and mixed by inverting the contents briskly against the top of the container four to six times or pouring the contents from one container to another four times. The sample shall be immediately tested or drawn. The sample shall be remixed following two tests or drawings. Sour, leaking, spilled or otherwise inappropriate samples shall not be used for testing. Composite samples shall be wiped down prior to mixing.</w:t>
      </w:r>
    </w:p>
    <w:p w14:paraId="189E9D60" w14:textId="77777777" w:rsidR="00CF626A" w:rsidRPr="001531CD" w:rsidRDefault="00CF626A">
      <w:pPr>
        <w:pStyle w:val="AuthorityNote"/>
      </w:pPr>
      <w:r w:rsidRPr="001531CD">
        <w:t>AUTHORITY NOTE:</w:t>
      </w:r>
      <w:r w:rsidRPr="001531CD">
        <w:tab/>
        <w:t>Promulgated in accordance with R.S. 40:885 and R.S. 40:883.</w:t>
      </w:r>
    </w:p>
    <w:p w14:paraId="18083DB3" w14:textId="77777777" w:rsidR="00CF626A" w:rsidRPr="001531CD" w:rsidRDefault="00CF626A">
      <w:pPr>
        <w:pStyle w:val="HistoricalNote"/>
      </w:pPr>
      <w:r w:rsidRPr="001531CD">
        <w:t>HISTORICAL NOTE:</w:t>
      </w:r>
      <w:r w:rsidRPr="001531CD">
        <w:tab/>
        <w:t>Promulgated by the Department of Agriculture, Dairy Stabilization Board, LR 1:164 (March 1975).</w:t>
      </w:r>
    </w:p>
    <w:p w14:paraId="0F33BCFE" w14:textId="77777777" w:rsidR="00CF626A" w:rsidRPr="001531CD" w:rsidRDefault="00CF626A">
      <w:pPr>
        <w:pStyle w:val="Chapter"/>
      </w:pPr>
      <w:bookmarkStart w:id="2839" w:name="TOC_SubC240"/>
      <w:bookmarkStart w:id="2840" w:name="_Toc256755022"/>
      <w:bookmarkStart w:id="2841" w:name="_Toc224819392"/>
      <w:r w:rsidRPr="001531CD">
        <w:t>Subchapter B.</w:t>
      </w:r>
      <w:bookmarkEnd w:id="2839"/>
      <w:r w:rsidR="00167E2E">
        <w:tab/>
      </w:r>
      <w:bookmarkStart w:id="2842" w:name="TOCT_SubC226"/>
      <w:bookmarkStart w:id="2843" w:name="TOCT_SubC228"/>
      <w:bookmarkStart w:id="2844" w:name="TOCT_SubC240"/>
      <w:r w:rsidRPr="001531CD">
        <w:t>Approved Methods of Testing</w:t>
      </w:r>
      <w:bookmarkEnd w:id="2840"/>
      <w:bookmarkEnd w:id="2841"/>
      <w:bookmarkEnd w:id="2842"/>
      <w:bookmarkEnd w:id="2843"/>
      <w:bookmarkEnd w:id="2844"/>
    </w:p>
    <w:p w14:paraId="4EE62242" w14:textId="77777777" w:rsidR="00CF626A" w:rsidRPr="001531CD" w:rsidRDefault="00CF626A">
      <w:pPr>
        <w:pStyle w:val="Section"/>
      </w:pPr>
      <w:bookmarkStart w:id="2845" w:name="_Toc256755023"/>
      <w:bookmarkStart w:id="2846" w:name="_Toc224819393"/>
      <w:r w:rsidRPr="001531CD">
        <w:t>§105.</w:t>
      </w:r>
      <w:r w:rsidRPr="001531CD">
        <w:tab/>
        <w:t>Testing Raw Milk Samples for Butterfat Content</w:t>
      </w:r>
      <w:bookmarkEnd w:id="2845"/>
      <w:bookmarkEnd w:id="2846"/>
    </w:p>
    <w:p w14:paraId="6DBD0A7A" w14:textId="77777777" w:rsidR="00CF626A" w:rsidRPr="001531CD" w:rsidRDefault="00CF626A">
      <w:pPr>
        <w:pStyle w:val="A"/>
      </w:pPr>
      <w:r w:rsidRPr="001531CD">
        <w:t>A.</w:t>
      </w:r>
      <w:r w:rsidRPr="001531CD">
        <w:tab/>
        <w:t>No person shall test milk for butterfat content without benefit of license by the commissioner.</w:t>
      </w:r>
    </w:p>
    <w:p w14:paraId="0847D59F" w14:textId="77777777" w:rsidR="00CF626A" w:rsidRPr="001531CD" w:rsidRDefault="00CF626A">
      <w:pPr>
        <w:pStyle w:val="A"/>
      </w:pPr>
      <w:r w:rsidRPr="001531CD">
        <w:t>B.</w:t>
      </w:r>
      <w:r w:rsidRPr="001531CD">
        <w:tab/>
        <w:t>Babcock Method; Procedure. Deliver 17.5 ml. of milk into an 8 percent milk test bottle and temper to approximately 70</w:t>
      </w:r>
      <w:r w:rsidRPr="001531CD">
        <w:rPr>
          <w:rFonts w:ascii="Symbol" w:hAnsi="Symbol"/>
        </w:rPr>
        <w:t></w:t>
      </w:r>
      <w:r w:rsidRPr="001531CD">
        <w:rPr>
          <w:rFonts w:ascii="Symbol" w:hAnsi="Symbol"/>
        </w:rPr>
        <w:t></w:t>
      </w:r>
      <w:r w:rsidRPr="001531CD">
        <w:t>F. Add 17.5 ml. of sulphuric acid (sp. gr. 1.82 to 1.83 at 68</w:t>
      </w:r>
      <w:r w:rsidRPr="001531CD">
        <w:rPr>
          <w:rFonts w:ascii="Symbol" w:hAnsi="Symbol"/>
        </w:rPr>
        <w:t></w:t>
      </w:r>
      <w:r w:rsidRPr="001531CD">
        <w:rPr>
          <w:rFonts w:ascii="Symbol" w:hAnsi="Symbol"/>
        </w:rPr>
        <w:t></w:t>
      </w:r>
      <w:r w:rsidRPr="001531CD">
        <w:t>F) to contents of test bottle or such amount necessary to render a deep chocolate color. Mix the contents for three minutes in a mechanical shaker, then centrifuge for five minutes at proper speed. Add hot water 140-150</w:t>
      </w:r>
      <w:r w:rsidRPr="001531CD">
        <w:rPr>
          <w:rFonts w:ascii="Symbol" w:hAnsi="Symbol"/>
        </w:rPr>
        <w:t></w:t>
      </w:r>
      <w:r w:rsidRPr="001531CD">
        <w:rPr>
          <w:rFonts w:ascii="Symbol" w:hAnsi="Symbol"/>
        </w:rPr>
        <w:t></w:t>
      </w:r>
      <w:r w:rsidRPr="001531CD">
        <w:t>F to within 1/4 inch of the graduated neck on the test bottle and centrifuge for two minutes. Add 140-150</w:t>
      </w:r>
      <w:r w:rsidRPr="001531CD">
        <w:rPr>
          <w:rFonts w:ascii="Symbol" w:hAnsi="Symbol"/>
        </w:rPr>
        <w:t></w:t>
      </w:r>
      <w:r w:rsidRPr="001531CD">
        <w:rPr>
          <w:rFonts w:ascii="Symbol" w:hAnsi="Symbol"/>
        </w:rPr>
        <w:t></w:t>
      </w:r>
      <w:r w:rsidRPr="001531CD">
        <w:t>F water to approximately the 7 percent mark on the graduated test bottle and centrifuge for one minute. Remove the tests from the centrifuge and place into a 138-140</w:t>
      </w:r>
      <w:r w:rsidRPr="001531CD">
        <w:rPr>
          <w:rFonts w:ascii="Symbol" w:hAnsi="Symbol"/>
        </w:rPr>
        <w:t></w:t>
      </w:r>
      <w:r w:rsidRPr="001531CD">
        <w:rPr>
          <w:rFonts w:ascii="Symbol" w:hAnsi="Symbol"/>
        </w:rPr>
        <w:t></w:t>
      </w:r>
      <w:r w:rsidRPr="001531CD">
        <w:t>F tempering bath for five minutes, making certain that the water level is above all the fat columns. Measure the fat column from the extreme point of the lower meniscus to the uppermost point of the upper meniscus. Percentage of butterfat shall be determined to the nearest tenth percent and posted immediately. Glassware and equipment shall be drained and cleaned immediately upon termination of use.</w:t>
      </w:r>
    </w:p>
    <w:p w14:paraId="46DAEC6F" w14:textId="77777777" w:rsidR="00CF626A" w:rsidRPr="001531CD" w:rsidRDefault="00CF626A">
      <w:pPr>
        <w:pStyle w:val="A"/>
      </w:pPr>
      <w:r w:rsidRPr="001531CD">
        <w:t>C.</w:t>
      </w:r>
      <w:r w:rsidRPr="001531CD">
        <w:tab/>
        <w:t>Milko-Tester Mark III; Procedure. The diluent solution shall be prepared, mixed, stored and utilized according to manufacturer specifications. The accuracy of calibration and performance shall be ascertained. The device shall be flushed four times with diluent and 10 tests performed prior to calibration and official testing. During periods of official testing the device shall be flushed four times with diluent after two routes have been tested or at approximately 35 test intervals. Samples shall be tested at 98-100</w:t>
      </w:r>
      <w:r w:rsidRPr="001531CD">
        <w:rPr>
          <w:rFonts w:ascii="Symbol" w:hAnsi="Symbol"/>
        </w:rPr>
        <w:t></w:t>
      </w:r>
      <w:r w:rsidRPr="001531CD">
        <w:rPr>
          <w:rFonts w:ascii="Symbol" w:hAnsi="Symbol"/>
        </w:rPr>
        <w:t></w:t>
      </w:r>
      <w:r w:rsidRPr="001531CD">
        <w:t xml:space="preserve">F and applied to the automatic pipette in such manner as to avoid contact with the pipette. Test results from the Milko-Tester and other similar devices shall be determined to the nearest hundredths percent and posted immediately following each test. Upon </w:t>
      </w:r>
      <w:r w:rsidRPr="001531CD">
        <w:lastRenderedPageBreak/>
        <w:t>termination of its use the device shall be flushed four times with diluent solution and a Grade A Homogenized sample (3 3/10 to 3 1/2 percent) placed therein to remain until the device is used again the following day(s).</w:t>
      </w:r>
    </w:p>
    <w:p w14:paraId="57AD3697" w14:textId="77777777" w:rsidR="00CF626A" w:rsidRPr="001531CD" w:rsidRDefault="00CF626A">
      <w:pPr>
        <w:pStyle w:val="A"/>
      </w:pPr>
      <w:r w:rsidRPr="001531CD">
        <w:t>D.</w:t>
      </w:r>
      <w:r w:rsidRPr="001531CD">
        <w:tab/>
        <w:t>Majonnier Method. The procedure employed in this test shall be in accordance to A.O.A.C. [Association of Official Analytical Chemists] approved standards without modification.</w:t>
      </w:r>
    </w:p>
    <w:p w14:paraId="2B1417A6" w14:textId="77777777" w:rsidR="00CF626A" w:rsidRPr="001531CD" w:rsidRDefault="00CF626A">
      <w:pPr>
        <w:pStyle w:val="AuthorityNote"/>
      </w:pPr>
      <w:r w:rsidRPr="001531CD">
        <w:t>AUTHORITY NOTE:</w:t>
      </w:r>
      <w:r w:rsidRPr="001531CD">
        <w:tab/>
        <w:t>Promulgated in accordance with R.S. 40:889, R.S. 40:891 and R. S. 40:883.</w:t>
      </w:r>
    </w:p>
    <w:p w14:paraId="3CDBF826" w14:textId="77777777" w:rsidR="00CF626A" w:rsidRPr="001531CD" w:rsidRDefault="00CF626A">
      <w:pPr>
        <w:pStyle w:val="HistoricalNote"/>
      </w:pPr>
      <w:r w:rsidRPr="001531CD">
        <w:t>HISTORICAL NOTE:</w:t>
      </w:r>
      <w:r w:rsidRPr="001531CD">
        <w:tab/>
        <w:t>Promulgated by the Department of Agriculture, Dairy Stabilization Board, LR 1:164 (March 1975).</w:t>
      </w:r>
    </w:p>
    <w:p w14:paraId="5DCB9029" w14:textId="77777777" w:rsidR="00CF626A" w:rsidRPr="001531CD" w:rsidRDefault="00CF626A">
      <w:pPr>
        <w:pStyle w:val="Section"/>
      </w:pPr>
      <w:bookmarkStart w:id="2847" w:name="_Toc256755024"/>
      <w:bookmarkStart w:id="2848" w:name="_Toc224819394"/>
      <w:r w:rsidRPr="001531CD">
        <w:t>§107.</w:t>
      </w:r>
      <w:r w:rsidRPr="001531CD">
        <w:tab/>
        <w:t>Procedure; Testing Cream for Butterfat Content</w:t>
      </w:r>
      <w:bookmarkEnd w:id="2847"/>
      <w:bookmarkEnd w:id="2848"/>
    </w:p>
    <w:p w14:paraId="6566643C" w14:textId="77777777" w:rsidR="00CF626A" w:rsidRPr="001531CD" w:rsidRDefault="00CF626A">
      <w:pPr>
        <w:pStyle w:val="A"/>
      </w:pPr>
      <w:r w:rsidRPr="001531CD">
        <w:t>A.</w:t>
      </w:r>
      <w:r w:rsidRPr="001531CD">
        <w:tab/>
        <w:t>Approved Method. The official methods of analysis shall be the Majonnier, Babcock or any other method approved by the commissioner of agriculture.</w:t>
      </w:r>
    </w:p>
    <w:p w14:paraId="24204EDB" w14:textId="77777777" w:rsidR="00CF626A" w:rsidRPr="001531CD" w:rsidRDefault="00CF626A">
      <w:pPr>
        <w:pStyle w:val="A"/>
      </w:pPr>
      <w:r w:rsidRPr="001531CD">
        <w:t>B.</w:t>
      </w:r>
      <w:r w:rsidRPr="001531CD">
        <w:tab/>
        <w:t>Babcock Procedure. At room temperature (approximately 70</w:t>
      </w:r>
      <w:r w:rsidRPr="001531CD">
        <w:rPr>
          <w:rFonts w:ascii="Symbol" w:hAnsi="Symbol"/>
        </w:rPr>
        <w:t></w:t>
      </w:r>
      <w:r w:rsidRPr="001531CD">
        <w:rPr>
          <w:rFonts w:ascii="Symbol" w:hAnsi="Symbol"/>
        </w:rPr>
        <w:t></w:t>
      </w:r>
      <w:r w:rsidRPr="001531CD">
        <w:t xml:space="preserve">F) mix sample by pouring from one container to another four times. Weigh 9 or 18 grams into a </w:t>
      </w:r>
      <w:r w:rsidR="00937875" w:rsidRPr="001531CD">
        <w:br/>
      </w:r>
      <w:r w:rsidRPr="001531CD">
        <w:t xml:space="preserve">9 or 18 gram cream test bottle. Add an equal amount of water and mix. Add 14 to 17 milliliters sulphuric acid </w:t>
      </w:r>
      <w:r w:rsidR="00937875" w:rsidRPr="001531CD">
        <w:br/>
      </w:r>
      <w:r w:rsidRPr="001531CD">
        <w:t>(5p. Gr. 1.82 to 1.83) to the contents in two stages mixing the contents after each stage. Centrifuge, add water and temper tests as specified for milk samples in Subsection B. Add three or four drops of glymol to four tests at the time to level the top meniscus. Measure the fat column from the extreme point of the lower meniscus to the junction of the fat and glymol at the top of the fat column. The test shall be determined to the nearest half percent and the results posted immediately. Glassware and equipment shall be drained and cleaned immediately upon termination of use.</w:t>
      </w:r>
    </w:p>
    <w:p w14:paraId="067DE11B" w14:textId="77777777" w:rsidR="00CF626A" w:rsidRPr="001531CD" w:rsidRDefault="00CF626A">
      <w:pPr>
        <w:pStyle w:val="AuthorityNote"/>
      </w:pPr>
      <w:r w:rsidRPr="001531CD">
        <w:t>AUTHORITY NOTE:</w:t>
      </w:r>
      <w:r w:rsidRPr="001531CD">
        <w:tab/>
        <w:t>Promulgated in accordance with R.S. 40:891 and R.S. 40:883.</w:t>
      </w:r>
    </w:p>
    <w:p w14:paraId="26318F78" w14:textId="77777777" w:rsidR="00CF626A" w:rsidRPr="001531CD" w:rsidRDefault="00CF626A">
      <w:pPr>
        <w:pStyle w:val="HistoricalNote"/>
      </w:pPr>
      <w:r w:rsidRPr="001531CD">
        <w:t>HISTORICAL NOTE:</w:t>
      </w:r>
      <w:r w:rsidRPr="001531CD">
        <w:tab/>
        <w:t>Promulgated by the Department of Agriculture, Dairy Stabilization Board, LR 1:165 (March 1975).</w:t>
      </w:r>
    </w:p>
    <w:p w14:paraId="5659AD15" w14:textId="77777777" w:rsidR="00CF626A" w:rsidRPr="001531CD" w:rsidRDefault="00CF626A">
      <w:pPr>
        <w:pStyle w:val="Section"/>
      </w:pPr>
      <w:bookmarkStart w:id="2849" w:name="_Toc256755025"/>
      <w:bookmarkStart w:id="2850" w:name="_Toc224819395"/>
      <w:r w:rsidRPr="001531CD">
        <w:t>§109.</w:t>
      </w:r>
      <w:r w:rsidRPr="001531CD">
        <w:tab/>
        <w:t>Procedure; Testing Ice Cream for Butterfat Content</w:t>
      </w:r>
      <w:bookmarkEnd w:id="2849"/>
      <w:bookmarkEnd w:id="2850"/>
    </w:p>
    <w:p w14:paraId="4951EB33" w14:textId="77777777" w:rsidR="00CF626A" w:rsidRPr="001531CD" w:rsidRDefault="00CF626A">
      <w:pPr>
        <w:pStyle w:val="A"/>
      </w:pPr>
      <w:r w:rsidRPr="001531CD">
        <w:t>A.</w:t>
      </w:r>
      <w:r w:rsidRPr="001531CD">
        <w:tab/>
        <w:t xml:space="preserve">The two methods of analysis shall be the Majonnier and the Acetic and Sulphuric Acid Method. The procedure for the latter shall be as follows: Weigh 9 or 18 grams of melted ice cream into a 9 or 18 gram cream test bottle. Add an equal amount of water and mix. Add 13 to 14 milliliters of glacial acetic acid to contents and mix. Add 13 to </w:t>
      </w:r>
      <w:r w:rsidR="00937875" w:rsidRPr="001531CD">
        <w:br/>
      </w:r>
      <w:r w:rsidRPr="001531CD">
        <w:t>14 milliliters of sulphuric acid (Sp. gr. 1.82 to 1.83 at 68</w:t>
      </w:r>
      <w:r w:rsidRPr="001531CD">
        <w:rPr>
          <w:rFonts w:ascii="Symbol" w:hAnsi="Symbol"/>
        </w:rPr>
        <w:t></w:t>
      </w:r>
      <w:r w:rsidRPr="001531CD">
        <w:rPr>
          <w:rFonts w:ascii="Symbol" w:hAnsi="Symbol"/>
        </w:rPr>
        <w:t></w:t>
      </w:r>
      <w:r w:rsidRPr="001531CD">
        <w:t>F) and mix. Complete the testing procedure exactly as specified for cream (§107).</w:t>
      </w:r>
    </w:p>
    <w:p w14:paraId="66B8E4EF" w14:textId="77777777" w:rsidR="00CF626A" w:rsidRPr="001531CD" w:rsidRDefault="00CF626A">
      <w:pPr>
        <w:pStyle w:val="AuthorityNote"/>
      </w:pPr>
      <w:r w:rsidRPr="001531CD">
        <w:t>AUTHORITY NOTE:</w:t>
      </w:r>
      <w:r w:rsidRPr="001531CD">
        <w:tab/>
        <w:t>Promulgated in accordance with R.S. 40:891 and R.S. 40:883.</w:t>
      </w:r>
    </w:p>
    <w:p w14:paraId="5E3383C2" w14:textId="77777777" w:rsidR="00CF626A" w:rsidRPr="001531CD" w:rsidRDefault="00CF626A">
      <w:pPr>
        <w:pStyle w:val="HistoricalNote"/>
      </w:pPr>
      <w:r w:rsidRPr="001531CD">
        <w:t>HISTORICAL NOTE:</w:t>
      </w:r>
      <w:r w:rsidRPr="001531CD">
        <w:tab/>
        <w:t>Promulgated by the Department of Agriculture, Dairy Stabilization Board, LR 1:165 (March 1975).</w:t>
      </w:r>
    </w:p>
    <w:p w14:paraId="795288A2" w14:textId="77777777" w:rsidR="00CF626A" w:rsidRPr="001531CD" w:rsidRDefault="00CF626A">
      <w:pPr>
        <w:pStyle w:val="Section"/>
      </w:pPr>
      <w:bookmarkStart w:id="2851" w:name="_Toc256755026"/>
      <w:bookmarkStart w:id="2852" w:name="_Toc224819396"/>
      <w:r w:rsidRPr="001531CD">
        <w:t>§111.</w:t>
      </w:r>
      <w:r w:rsidRPr="001531CD">
        <w:tab/>
        <w:t>Procedure; Testing Homogenized Milk for Butterfat Content</w:t>
      </w:r>
      <w:bookmarkEnd w:id="2851"/>
      <w:bookmarkEnd w:id="2852"/>
    </w:p>
    <w:p w14:paraId="6E50A2EA" w14:textId="77777777" w:rsidR="00CF626A" w:rsidRPr="001531CD" w:rsidRDefault="00CF626A">
      <w:pPr>
        <w:pStyle w:val="A"/>
      </w:pPr>
      <w:r w:rsidRPr="001531CD">
        <w:t>A.</w:t>
      </w:r>
      <w:r w:rsidRPr="001531CD">
        <w:tab/>
        <w:t>Approved Methods. The official methods of analysis shall be the Majonnier, Babcock or any other method approved by the commissioner of agriculture.</w:t>
      </w:r>
    </w:p>
    <w:p w14:paraId="2686D2C9" w14:textId="77777777" w:rsidR="00CF626A" w:rsidRPr="001531CD" w:rsidRDefault="00CF626A">
      <w:pPr>
        <w:pStyle w:val="A"/>
      </w:pPr>
      <w:r w:rsidRPr="001531CD">
        <w:t>B.</w:t>
      </w:r>
      <w:r w:rsidRPr="001531CD">
        <w:tab/>
        <w:t>Babcock Procedure. The sample shall be warmed to ram temperature (approximately 70</w:t>
      </w:r>
      <w:r w:rsidRPr="001531CD">
        <w:rPr>
          <w:rFonts w:ascii="Symbol" w:hAnsi="Symbol"/>
        </w:rPr>
        <w:t></w:t>
      </w:r>
      <w:r w:rsidRPr="001531CD">
        <w:rPr>
          <w:rFonts w:ascii="Symbol" w:hAnsi="Symbol"/>
        </w:rPr>
        <w:t></w:t>
      </w:r>
      <w:r w:rsidRPr="001531CD">
        <w:t>F) and mixed by pouring from one container to another four times. The remaining procedure shall be essentially the same as that for raw milk samples (§105.B) with the following exceptions.</w:t>
      </w:r>
    </w:p>
    <w:p w14:paraId="1D513287" w14:textId="77777777" w:rsidR="00CF626A" w:rsidRPr="001531CD" w:rsidRDefault="00CF626A">
      <w:pPr>
        <w:pStyle w:val="1"/>
      </w:pPr>
      <w:r w:rsidRPr="001531CD">
        <w:t>1.</w:t>
      </w:r>
      <w:r w:rsidRPr="001531CD">
        <w:tab/>
        <w:t>The sulphuric acid shall be added in three stages and mixed thoroughly after each stage.</w:t>
      </w:r>
    </w:p>
    <w:p w14:paraId="4F0C1FC9" w14:textId="77777777" w:rsidR="00CF626A" w:rsidRPr="001531CD" w:rsidRDefault="00CF626A">
      <w:pPr>
        <w:pStyle w:val="1"/>
      </w:pPr>
      <w:r w:rsidRPr="001531CD">
        <w:t>2.</w:t>
      </w:r>
      <w:r w:rsidRPr="001531CD">
        <w:tab/>
        <w:t>Time in the centrifuge shall be extended to seven, five and two minutes respectively for the first, second and third stages in centrifuge.</w:t>
      </w:r>
    </w:p>
    <w:p w14:paraId="1F2C4B72" w14:textId="77777777" w:rsidR="00CF626A" w:rsidRPr="001531CD" w:rsidRDefault="00CF626A">
      <w:pPr>
        <w:pStyle w:val="1"/>
      </w:pPr>
      <w:r w:rsidRPr="001531CD">
        <w:t>3.</w:t>
      </w:r>
      <w:r w:rsidRPr="001531CD">
        <w:tab/>
        <w:t>Tests shall be made in duplicate and the variation between the two shall not exceed 1/10 of 1 percent butterfat.</w:t>
      </w:r>
    </w:p>
    <w:p w14:paraId="01571DB3" w14:textId="77777777" w:rsidR="00CF626A" w:rsidRPr="001531CD" w:rsidRDefault="00CF626A">
      <w:pPr>
        <w:pStyle w:val="AuthorityNote"/>
      </w:pPr>
      <w:r w:rsidRPr="001531CD">
        <w:t>AUTHORITY NOTE:</w:t>
      </w:r>
      <w:r w:rsidRPr="001531CD">
        <w:tab/>
        <w:t>Promulgated in accordance with R.S. 40:891 and R.S. 40:883.</w:t>
      </w:r>
    </w:p>
    <w:p w14:paraId="061B01DF" w14:textId="77777777" w:rsidR="00CF626A" w:rsidRPr="001531CD" w:rsidRDefault="00CF626A">
      <w:pPr>
        <w:pStyle w:val="HistoricalNote"/>
      </w:pPr>
      <w:r w:rsidRPr="001531CD">
        <w:t>HISTORICAL NOTE:</w:t>
      </w:r>
      <w:r w:rsidRPr="001531CD">
        <w:tab/>
        <w:t>Promulgated by the Department of Agriculture, Dairy Stabilization Board, LR 1:165 (March 1975).</w:t>
      </w:r>
    </w:p>
    <w:p w14:paraId="55237113" w14:textId="77777777" w:rsidR="00CF626A" w:rsidRPr="001531CD" w:rsidRDefault="00CF626A">
      <w:pPr>
        <w:pStyle w:val="Section"/>
      </w:pPr>
      <w:bookmarkStart w:id="2853" w:name="_Toc256755027"/>
      <w:bookmarkStart w:id="2854" w:name="_Toc224819397"/>
      <w:r w:rsidRPr="001531CD">
        <w:t>§113.</w:t>
      </w:r>
      <w:r w:rsidRPr="001531CD">
        <w:tab/>
        <w:t>Testing Chocolate Milk for Butterfat Content</w:t>
      </w:r>
      <w:bookmarkEnd w:id="2853"/>
      <w:bookmarkEnd w:id="2854"/>
    </w:p>
    <w:p w14:paraId="4BB5B98E" w14:textId="77777777" w:rsidR="00CF626A" w:rsidRPr="001531CD" w:rsidRDefault="00CF626A">
      <w:pPr>
        <w:pStyle w:val="A"/>
      </w:pPr>
      <w:r w:rsidRPr="001531CD">
        <w:t>A.</w:t>
      </w:r>
      <w:r w:rsidRPr="001531CD">
        <w:tab/>
        <w:t>The method of analysis shall be the Pennsylvania Method and the procedure shall be as follows: Warm the samples to room temperature (approximately 70</w:t>
      </w:r>
      <w:r w:rsidRPr="001531CD">
        <w:rPr>
          <w:rFonts w:ascii="Symbol" w:hAnsi="Symbol"/>
        </w:rPr>
        <w:t></w:t>
      </w:r>
      <w:r w:rsidRPr="001531CD">
        <w:rPr>
          <w:rFonts w:ascii="Symbol" w:hAnsi="Symbol"/>
        </w:rPr>
        <w:t></w:t>
      </w:r>
      <w:r w:rsidRPr="001531CD">
        <w:t xml:space="preserve">F) and mix by pouring from one container to another four to six times. Weigh 18 grams into an 8 percent milk test bottle. Add </w:t>
      </w:r>
      <w:r w:rsidR="00937875" w:rsidRPr="001531CD">
        <w:br/>
      </w:r>
      <w:r w:rsidRPr="001531CD">
        <w:t xml:space="preserve">2 milliliters of 28 percent to 29 percent ammonium hydroxide and mix for three minutes in a mechanical shaker. Add 3 milliliters of N-butyl alcohol and mix for three minutes in the shaker. Add 17.5 milliliters sulphuric acid </w:t>
      </w:r>
      <w:r w:rsidR="00937875" w:rsidRPr="001531CD">
        <w:br/>
      </w:r>
      <w:r w:rsidRPr="001531CD">
        <w:t>(sp. gr. 1.72 to 1.74) to the contents and mix for three to five minutes in the shaker. When contents appear to be incompletely dissolved, Add 1 to 2 milliliters of sulphuric acid (sp. gr. 1.82 to 1.83) and mix for two minutes in the shaker. The remaining procedure shall be the same as that for raw milk samples (§105.B) with the following exception: Add one to two drops of glymol and measure fat column as specified for cream test (§107). Tests shall be run in duplicate and the variation between the two shall not exceed 1/10 of 1 percent.</w:t>
      </w:r>
    </w:p>
    <w:p w14:paraId="159C5A66" w14:textId="77777777" w:rsidR="00CF626A" w:rsidRPr="001531CD" w:rsidRDefault="00CF626A">
      <w:pPr>
        <w:pStyle w:val="AuthorityNote"/>
      </w:pPr>
      <w:r w:rsidRPr="001531CD">
        <w:t>AUTHORITY NOTE:</w:t>
      </w:r>
      <w:r w:rsidRPr="001531CD">
        <w:tab/>
        <w:t>Promulgated in accordance with R.S. 40:891 and R.S. 40:883.</w:t>
      </w:r>
    </w:p>
    <w:p w14:paraId="2A44BE6B" w14:textId="77777777" w:rsidR="00CF626A" w:rsidRPr="001531CD" w:rsidRDefault="00CF626A">
      <w:pPr>
        <w:pStyle w:val="HistoricalNote"/>
      </w:pPr>
      <w:r w:rsidRPr="001531CD">
        <w:t>HISTORICAL NOTE:</w:t>
      </w:r>
      <w:r w:rsidRPr="001531CD">
        <w:tab/>
        <w:t>Promulgated by the Department of Agriculture, Dairy Stabilization Board, LR 1:166 (March 1975).</w:t>
      </w:r>
    </w:p>
    <w:p w14:paraId="2A49CDAA" w14:textId="77777777" w:rsidR="00CF626A" w:rsidRPr="001531CD" w:rsidRDefault="00CF626A">
      <w:pPr>
        <w:pStyle w:val="Section"/>
      </w:pPr>
      <w:bookmarkStart w:id="2855" w:name="_Toc256755028"/>
      <w:bookmarkStart w:id="2856" w:name="_Toc224819398"/>
      <w:r w:rsidRPr="001531CD">
        <w:t>§115.</w:t>
      </w:r>
      <w:r w:rsidRPr="001531CD">
        <w:tab/>
        <w:t>Procedure; Testing Skim Milk for Butterfat Content</w:t>
      </w:r>
      <w:bookmarkEnd w:id="2855"/>
      <w:bookmarkEnd w:id="2856"/>
    </w:p>
    <w:p w14:paraId="6C63AE79" w14:textId="77777777" w:rsidR="00CF626A" w:rsidRPr="001531CD" w:rsidRDefault="00CF626A">
      <w:pPr>
        <w:pStyle w:val="A"/>
      </w:pPr>
      <w:r w:rsidRPr="001531CD">
        <w:t>A.</w:t>
      </w:r>
      <w:r w:rsidRPr="001531CD">
        <w:tab/>
        <w:t>Approved Methods. The official methods of analysis shall be the Majonnier, Babcock and any other method approved by the commissioner of agriculture.</w:t>
      </w:r>
    </w:p>
    <w:p w14:paraId="47294F3E" w14:textId="77777777" w:rsidR="00CF626A" w:rsidRPr="001531CD" w:rsidRDefault="00CF626A">
      <w:pPr>
        <w:pStyle w:val="A"/>
      </w:pPr>
      <w:r w:rsidRPr="001531CD">
        <w:t>B.</w:t>
      </w:r>
      <w:r w:rsidRPr="001531CD">
        <w:tab/>
        <w:t xml:space="preserve">Babcock Procedure (Modified). Measure nine milliliters of skim milk into the skim milk test bottle. Add two milliliters of N-butyl alcohol and mix for three minutes in mechanical shaker. Add 7 to 9 milliliters of sulphuric acid (sp. gr. 1.82 to 1.83) to contents and mix for three to </w:t>
      </w:r>
      <w:r w:rsidR="00937875" w:rsidRPr="001531CD">
        <w:br/>
      </w:r>
      <w:r w:rsidRPr="001531CD">
        <w:t>five minutes in shaker. Centrifuge for six minutes and add 140-150</w:t>
      </w:r>
      <w:r w:rsidRPr="001531CD">
        <w:rPr>
          <w:rFonts w:ascii="Symbol" w:hAnsi="Symbol"/>
        </w:rPr>
        <w:t></w:t>
      </w:r>
      <w:r w:rsidRPr="001531CD">
        <w:rPr>
          <w:rFonts w:ascii="Symbol" w:hAnsi="Symbol"/>
        </w:rPr>
        <w:t></w:t>
      </w:r>
      <w:r w:rsidRPr="001531CD">
        <w:t xml:space="preserve">F water to within 1/4 inch of graduated neck of the test bottle. Centrifuge for two minutes and add 140 to </w:t>
      </w:r>
      <w:r w:rsidR="00937875" w:rsidRPr="001531CD">
        <w:br/>
      </w:r>
      <w:r w:rsidRPr="001531CD">
        <w:t>150 water into the upper section of the graduated neck of the test bottle. Centrifuge for two minutes. Remove tests and place in 138-140</w:t>
      </w:r>
      <w:r w:rsidRPr="001531CD">
        <w:rPr>
          <w:rFonts w:ascii="Symbol" w:hAnsi="Symbol"/>
        </w:rPr>
        <w:t></w:t>
      </w:r>
      <w:r w:rsidRPr="001531CD">
        <w:rPr>
          <w:rFonts w:ascii="Symbol" w:hAnsi="Symbol"/>
        </w:rPr>
        <w:t></w:t>
      </w:r>
      <w:r w:rsidRPr="001531CD">
        <w:t xml:space="preserve">F tempering bath for five minutes. Measure </w:t>
      </w:r>
      <w:r w:rsidRPr="001531CD">
        <w:lastRenderedPageBreak/>
        <w:t>the column and double the test result. Post test result immediately. Drain and clean glassware and equipment immediately upon termination of testing procedure.</w:t>
      </w:r>
    </w:p>
    <w:p w14:paraId="16D1DDF6" w14:textId="77777777" w:rsidR="00CF626A" w:rsidRPr="001531CD" w:rsidRDefault="00CF626A">
      <w:pPr>
        <w:pStyle w:val="AuthorityNote"/>
      </w:pPr>
      <w:r w:rsidRPr="001531CD">
        <w:t>AUTHORITY NOTE:</w:t>
      </w:r>
      <w:r w:rsidRPr="001531CD">
        <w:tab/>
        <w:t>Promulgated in accordance with R.S. 40:891 and R.S. 40:883.</w:t>
      </w:r>
    </w:p>
    <w:p w14:paraId="0C3CD114" w14:textId="77777777" w:rsidR="00CF626A" w:rsidRPr="001531CD" w:rsidRDefault="00CF626A">
      <w:pPr>
        <w:pStyle w:val="HistoricalNote"/>
      </w:pPr>
      <w:r w:rsidRPr="001531CD">
        <w:t>HISTORICAL NOTE:</w:t>
      </w:r>
      <w:r w:rsidRPr="001531CD">
        <w:tab/>
        <w:t>Promulgated by the Department of Agriculture, Dairy Stabilization Board, LR 1:166 (March 1975).</w:t>
      </w:r>
    </w:p>
    <w:p w14:paraId="142DB446" w14:textId="77777777" w:rsidR="00CF626A" w:rsidRPr="001531CD" w:rsidRDefault="00CF626A">
      <w:pPr>
        <w:pStyle w:val="Chapter"/>
      </w:pPr>
      <w:bookmarkStart w:id="2857" w:name="TOC_SubC241"/>
      <w:bookmarkStart w:id="2858" w:name="_Toc256755029"/>
      <w:bookmarkStart w:id="2859" w:name="_Toc224819399"/>
      <w:r w:rsidRPr="001531CD">
        <w:t>Subchapter C.</w:t>
      </w:r>
      <w:bookmarkEnd w:id="2857"/>
      <w:r w:rsidR="00167E2E">
        <w:tab/>
      </w:r>
      <w:bookmarkStart w:id="2860" w:name="TOCT_SubC224"/>
      <w:bookmarkStart w:id="2861" w:name="TOCT_SubC231"/>
      <w:bookmarkStart w:id="2862" w:name="TOCT_SubC229"/>
      <w:bookmarkStart w:id="2863" w:name="TOCT_SubC241"/>
      <w:r w:rsidRPr="001531CD">
        <w:t>Use of Other Than Approved Method Equipment, Glassware, Tests or Installation Prohibited</w:t>
      </w:r>
      <w:bookmarkEnd w:id="2858"/>
      <w:bookmarkEnd w:id="2859"/>
      <w:bookmarkEnd w:id="2860"/>
      <w:bookmarkEnd w:id="2861"/>
      <w:bookmarkEnd w:id="2862"/>
      <w:bookmarkEnd w:id="2863"/>
    </w:p>
    <w:p w14:paraId="3869AA43" w14:textId="77777777" w:rsidR="00CF626A" w:rsidRPr="001531CD" w:rsidRDefault="00CF626A">
      <w:pPr>
        <w:pStyle w:val="Section"/>
      </w:pPr>
      <w:bookmarkStart w:id="2864" w:name="_Toc256755030"/>
      <w:bookmarkStart w:id="2865" w:name="_Toc224819400"/>
      <w:r w:rsidRPr="001531CD">
        <w:t>§117.</w:t>
      </w:r>
      <w:r w:rsidRPr="001531CD">
        <w:tab/>
        <w:t>Calibration</w:t>
      </w:r>
      <w:bookmarkEnd w:id="2864"/>
      <w:bookmarkEnd w:id="2865"/>
    </w:p>
    <w:p w14:paraId="48B59518" w14:textId="77777777" w:rsidR="00CF626A" w:rsidRPr="001531CD" w:rsidRDefault="00CF626A">
      <w:pPr>
        <w:pStyle w:val="A"/>
      </w:pPr>
      <w:r w:rsidRPr="001531CD">
        <w:t>A.</w:t>
      </w:r>
      <w:r w:rsidRPr="001531CD">
        <w:tab/>
        <w:t>Glassware. All glassware used in the determination of fat content for milk, cream and finished or processed milk products shall conform to the United States Bureau of Standards specifications and shall meet the approval of the commissioner. All glassware calibrated for measurement purposes shall bear a Sealed mark which shall constitute the manufacturers' bond that the glassware meets all specifications set forth by the United States Bureau of Standards.</w:t>
      </w:r>
    </w:p>
    <w:p w14:paraId="7925A1DE" w14:textId="77777777" w:rsidR="00CF626A" w:rsidRPr="001531CD" w:rsidRDefault="00CF626A">
      <w:pPr>
        <w:pStyle w:val="A"/>
      </w:pPr>
      <w:r w:rsidRPr="001531CD">
        <w:t>B.</w:t>
      </w:r>
      <w:r w:rsidRPr="001531CD">
        <w:tab/>
        <w:t xml:space="preserve">Milko-Tester Mark III. This device, and any other such device, shall be calibrated to conform to the Babcock Method of analysis and shall be determined on the basis of not less that 20 samples tested by the Babcock Method and the Milko-Tester Mark III. For calibration purposes, each determination shall be computed to the hundredths percent. When two or more individual tests vary in excess of </w:t>
      </w:r>
      <w:r w:rsidR="00937875" w:rsidRPr="001531CD">
        <w:br/>
      </w:r>
      <w:r w:rsidRPr="001531CD">
        <w:t>0.15 percent, the calibration shall not be deemed acceptable. The variation between simple averages of all tests performed shall not exceed 0.03 percent. The commissioner may, at his discretion, reduce the 20 test calibration procedure to twice each week utilizing in its stead, Grade A Homogenized finished product control samples as a basis of calibration. After each route, or more often as may be necessary to determine the accuracy of the device, a control sample shall be placed into the device and the results compared to the original. Should the variation exceed 0.03 percent, an additional control sample shall be tested. Should the variation continue to exceed 0.03 percent, the device shall be deemed inaccurate; repairs and/or shift and L value adjustments made and an additional calibration check performed. The standard for the zero adjustment shall be 0.02 percent. Calibration logs shall be maintained and copies furnished the commissioner upon request. No person other than those licensed or approved by the commissioner shall calibrate or adjust the calibration of this or similar type devices.</w:t>
      </w:r>
    </w:p>
    <w:p w14:paraId="33BFADEC" w14:textId="77777777" w:rsidR="00CF626A" w:rsidRPr="001531CD" w:rsidRDefault="00CF626A">
      <w:pPr>
        <w:pStyle w:val="AuthorityNote"/>
      </w:pPr>
      <w:r w:rsidRPr="001531CD">
        <w:t>AUTHORITY NOTE:</w:t>
      </w:r>
      <w:r w:rsidRPr="001531CD">
        <w:tab/>
        <w:t>Promulgated in accordance with R.S. 40:891 and R.S. 40:883.</w:t>
      </w:r>
    </w:p>
    <w:p w14:paraId="5B7FFC57" w14:textId="77777777" w:rsidR="00CF626A" w:rsidRPr="001531CD" w:rsidRDefault="00CF626A">
      <w:pPr>
        <w:pStyle w:val="HistoricalNote"/>
      </w:pPr>
      <w:r w:rsidRPr="001531CD">
        <w:t>HISTORICAL NOTE:</w:t>
      </w:r>
      <w:r w:rsidRPr="001531CD">
        <w:tab/>
        <w:t>Promulgated by the Department of Agriculture, Dairy Stabilization Board, LR 1:166 (March 1975).</w:t>
      </w:r>
    </w:p>
    <w:p w14:paraId="58008BFE" w14:textId="77777777" w:rsidR="00CF626A" w:rsidRPr="001531CD" w:rsidRDefault="00CF626A">
      <w:pPr>
        <w:pStyle w:val="Section"/>
      </w:pPr>
      <w:bookmarkStart w:id="2866" w:name="_Toc256755031"/>
      <w:bookmarkStart w:id="2867" w:name="_Toc224819401"/>
      <w:r w:rsidRPr="001531CD">
        <w:t>§119.</w:t>
      </w:r>
      <w:r w:rsidRPr="001531CD">
        <w:tab/>
        <w:t>Approved Laboratories; Equipment</w:t>
      </w:r>
      <w:bookmarkEnd w:id="2866"/>
      <w:bookmarkEnd w:id="2867"/>
    </w:p>
    <w:p w14:paraId="280768D1" w14:textId="77777777" w:rsidR="00CF626A" w:rsidRPr="001531CD" w:rsidRDefault="00CF626A">
      <w:pPr>
        <w:pStyle w:val="A"/>
      </w:pPr>
      <w:r w:rsidRPr="001531CD">
        <w:t>A.</w:t>
      </w:r>
      <w:r w:rsidRPr="001531CD">
        <w:tab/>
        <w:t xml:space="preserve">No person shall make a butterfat analysis, when such data shall be used as a basis of payment (or fat-skim </w:t>
      </w:r>
      <w:r w:rsidRPr="001531CD">
        <w:t>accounting) in any other than a laboratory approved or licensed by the commissioner.</w:t>
      </w:r>
    </w:p>
    <w:p w14:paraId="3F4CCFBA" w14:textId="77777777" w:rsidR="00CF626A" w:rsidRPr="001531CD" w:rsidRDefault="00CF626A">
      <w:pPr>
        <w:pStyle w:val="1"/>
      </w:pPr>
      <w:r w:rsidRPr="001531CD">
        <w:t>1.</w:t>
      </w:r>
      <w:r w:rsidRPr="001531CD">
        <w:tab/>
        <w:t>Laboratory. The laboratory shall be so located, designed and equipped as to assure safety, efficiency and accuracy of butterfat analysis.</w:t>
      </w:r>
    </w:p>
    <w:p w14:paraId="00C9D616" w14:textId="77777777" w:rsidR="00CF626A" w:rsidRPr="001531CD" w:rsidRDefault="00CF626A">
      <w:pPr>
        <w:pStyle w:val="1"/>
      </w:pPr>
      <w:r w:rsidRPr="001531CD">
        <w:t>2.</w:t>
      </w:r>
      <w:r w:rsidRPr="001531CD">
        <w:tab/>
        <w:t>Equipment. The laboratory shall be equipped with the following.</w:t>
      </w:r>
    </w:p>
    <w:p w14:paraId="5A26B05B" w14:textId="77777777" w:rsidR="00CF626A" w:rsidRPr="001531CD" w:rsidRDefault="00CF626A">
      <w:pPr>
        <w:pStyle w:val="a0"/>
      </w:pPr>
      <w:r w:rsidRPr="001531CD">
        <w:t>a.</w:t>
      </w:r>
      <w:r w:rsidRPr="001531CD">
        <w:tab/>
        <w:t>Centrifuge. Shall be electric, equipped with heating element, thermostat controls, tachometer or speed counter, brakes and on-off switch.</w:t>
      </w:r>
    </w:p>
    <w:p w14:paraId="19486CE7" w14:textId="77777777" w:rsidR="00CF626A" w:rsidRPr="001531CD" w:rsidRDefault="00CF626A">
      <w:pPr>
        <w:pStyle w:val="a0"/>
      </w:pPr>
      <w:r w:rsidRPr="001531CD">
        <w:t>b.</w:t>
      </w:r>
      <w:r w:rsidRPr="001531CD">
        <w:tab/>
        <w:t>Hot Water Tank and Tempering Bath. Shall be equipped with tray, thermostatic controlled heating element and on-off switch.</w:t>
      </w:r>
    </w:p>
    <w:p w14:paraId="0A8690B2" w14:textId="77777777" w:rsidR="00CF626A" w:rsidRPr="001531CD" w:rsidRDefault="00CF626A">
      <w:pPr>
        <w:pStyle w:val="a0"/>
      </w:pPr>
      <w:r w:rsidRPr="001531CD">
        <w:t>c.</w:t>
      </w:r>
      <w:r w:rsidRPr="001531CD">
        <w:tab/>
        <w:t>Glassware. Sufficient to perform the workload in an efficient and accurate manner.</w:t>
      </w:r>
    </w:p>
    <w:p w14:paraId="6769A7AC" w14:textId="77777777" w:rsidR="00CF626A" w:rsidRPr="001531CD" w:rsidRDefault="00CF626A">
      <w:pPr>
        <w:pStyle w:val="a0"/>
      </w:pPr>
      <w:r w:rsidRPr="001531CD">
        <w:t>d.</w:t>
      </w:r>
      <w:r w:rsidRPr="001531CD">
        <w:tab/>
        <w:t>Hot Water. 140</w:t>
      </w:r>
      <w:r w:rsidRPr="001531CD">
        <w:rPr>
          <w:rFonts w:ascii="Symbol" w:hAnsi="Symbol"/>
        </w:rPr>
        <w:t></w:t>
      </w:r>
      <w:r w:rsidRPr="001531CD">
        <w:rPr>
          <w:rFonts w:ascii="Symbol" w:hAnsi="Symbol"/>
        </w:rPr>
        <w:t></w:t>
      </w:r>
      <w:r w:rsidRPr="001531CD">
        <w:t>F or above with sinks designed to provide adequate tempering of samples.</w:t>
      </w:r>
    </w:p>
    <w:p w14:paraId="5B52555D" w14:textId="77777777" w:rsidR="00CF626A" w:rsidRPr="001531CD" w:rsidRDefault="00CF626A">
      <w:pPr>
        <w:pStyle w:val="a0"/>
      </w:pPr>
      <w:r w:rsidRPr="001531CD">
        <w:t>e.</w:t>
      </w:r>
      <w:r w:rsidRPr="001531CD">
        <w:tab/>
        <w:t>Supplies. Sufficient to provide basic maintenance of analytical devices, proper cleansing of glassware and the accurate, efficient performance of the testing program.</w:t>
      </w:r>
    </w:p>
    <w:p w14:paraId="00A1AF80" w14:textId="77777777" w:rsidR="00CF626A" w:rsidRPr="001531CD" w:rsidRDefault="00CF626A">
      <w:pPr>
        <w:pStyle w:val="AuthorityNote"/>
      </w:pPr>
      <w:r w:rsidRPr="001531CD">
        <w:t>AUTHORITY NOTE:</w:t>
      </w:r>
      <w:r w:rsidRPr="001531CD">
        <w:tab/>
        <w:t>Promulgated in accordance with R.S. 40:891 and R.S. 40:883.</w:t>
      </w:r>
    </w:p>
    <w:p w14:paraId="55D66564" w14:textId="77777777" w:rsidR="00CF626A" w:rsidRPr="001531CD" w:rsidRDefault="00CF626A">
      <w:pPr>
        <w:pStyle w:val="HistoricalNote"/>
      </w:pPr>
      <w:r w:rsidRPr="001531CD">
        <w:t>HISTORICAL NOTE:</w:t>
      </w:r>
      <w:r w:rsidRPr="001531CD">
        <w:tab/>
        <w:t>Promulgated by the Department of Agriculture, Dairy Stabilization Board, LR 1:167 (March 1975).</w:t>
      </w:r>
    </w:p>
    <w:p w14:paraId="1CFC8765" w14:textId="77777777" w:rsidR="00CF626A" w:rsidRPr="001531CD" w:rsidRDefault="00CF626A" w:rsidP="00F03863">
      <w:pPr>
        <w:pStyle w:val="Chapter"/>
        <w:outlineLvl w:val="0"/>
      </w:pPr>
      <w:bookmarkStart w:id="2868" w:name="TOC_SubC242"/>
      <w:bookmarkStart w:id="2869" w:name="_Toc256755032"/>
      <w:bookmarkStart w:id="2870" w:name="_Toc224819402"/>
      <w:r w:rsidRPr="001531CD">
        <w:t>Subchapter D.</w:t>
      </w:r>
      <w:bookmarkEnd w:id="2868"/>
      <w:r w:rsidR="00167E2E">
        <w:tab/>
      </w:r>
      <w:bookmarkStart w:id="2871" w:name="TOCT_SubC232"/>
      <w:bookmarkStart w:id="2872" w:name="TOCT_SubC230"/>
      <w:bookmarkStart w:id="2873" w:name="TOCT_SubC242"/>
      <w:r w:rsidRPr="001531CD">
        <w:t>Test Results</w:t>
      </w:r>
      <w:bookmarkEnd w:id="2869"/>
      <w:bookmarkEnd w:id="2870"/>
      <w:bookmarkEnd w:id="2871"/>
      <w:bookmarkEnd w:id="2872"/>
      <w:bookmarkEnd w:id="2873"/>
    </w:p>
    <w:p w14:paraId="1EE2F95F" w14:textId="77777777" w:rsidR="00CF626A" w:rsidRPr="001531CD" w:rsidRDefault="00CF626A">
      <w:pPr>
        <w:pStyle w:val="Section"/>
      </w:pPr>
      <w:bookmarkStart w:id="2874" w:name="_Toc256755033"/>
      <w:bookmarkStart w:id="2875" w:name="_Toc224819403"/>
      <w:r w:rsidRPr="001531CD">
        <w:t>§121.</w:t>
      </w:r>
      <w:r w:rsidRPr="001531CD">
        <w:tab/>
        <w:t>Finished Product Analysis</w:t>
      </w:r>
      <w:bookmarkEnd w:id="2874"/>
      <w:bookmarkEnd w:id="2875"/>
    </w:p>
    <w:p w14:paraId="04857686" w14:textId="77777777" w:rsidR="00CF626A" w:rsidRPr="001531CD" w:rsidRDefault="00CF626A">
      <w:pPr>
        <w:pStyle w:val="A"/>
        <w:spacing w:after="200"/>
      </w:pPr>
      <w:r w:rsidRPr="001531CD">
        <w:t>A.</w:t>
      </w:r>
      <w:r w:rsidRPr="001531CD">
        <w:tab/>
        <w:t>The commissioner may secure such sample as a means of checking the accountability of fat and skim by processors and cooperatives. Samples shall be secured within five-day intervals on not less than six dates within the month and shall equitably represent size and type of the product. Test results shall be averaged immediately following the end of each month and a copy submitted to respective parties. The commissioner may require accounting on the basis of such averages provided the variation between that of the processor or cooperative and the commissioner's shall vary in excess of the following.</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969"/>
        <w:gridCol w:w="1145"/>
      </w:tblGrid>
      <w:tr w:rsidR="00CF626A" w:rsidRPr="001531CD" w14:paraId="3FF62BFD" w14:textId="77777777">
        <w:trPr>
          <w:trHeight w:val="174"/>
          <w:jc w:val="center"/>
        </w:trPr>
        <w:tc>
          <w:tcPr>
            <w:tcW w:w="2969" w:type="dxa"/>
          </w:tcPr>
          <w:p w14:paraId="0F20B153" w14:textId="77777777" w:rsidR="00CF626A" w:rsidRPr="00824C43" w:rsidRDefault="00CF626A">
            <w:pPr>
              <w:pStyle w:val="A"/>
              <w:spacing w:after="0"/>
              <w:ind w:firstLine="0"/>
              <w:jc w:val="left"/>
              <w:rPr>
                <w:sz w:val="16"/>
              </w:rPr>
            </w:pPr>
            <w:r w:rsidRPr="00824C43">
              <w:rPr>
                <w:sz w:val="16"/>
              </w:rPr>
              <w:t>Pasteurized Milk</w:t>
            </w:r>
          </w:p>
        </w:tc>
        <w:tc>
          <w:tcPr>
            <w:tcW w:w="1145" w:type="dxa"/>
          </w:tcPr>
          <w:p w14:paraId="743F6AEE" w14:textId="77777777" w:rsidR="00CF626A" w:rsidRPr="00824C43" w:rsidRDefault="00CF626A">
            <w:pPr>
              <w:pStyle w:val="A"/>
              <w:spacing w:after="0"/>
              <w:ind w:firstLine="0"/>
              <w:jc w:val="center"/>
              <w:rPr>
                <w:sz w:val="16"/>
              </w:rPr>
            </w:pPr>
            <w:r w:rsidRPr="00824C43">
              <w:rPr>
                <w:sz w:val="16"/>
              </w:rPr>
              <w:t>0.05%</w:t>
            </w:r>
          </w:p>
        </w:tc>
      </w:tr>
      <w:tr w:rsidR="00CF626A" w:rsidRPr="001531CD" w14:paraId="6FDCECE0" w14:textId="77777777">
        <w:trPr>
          <w:jc w:val="center"/>
        </w:trPr>
        <w:tc>
          <w:tcPr>
            <w:tcW w:w="2969" w:type="dxa"/>
          </w:tcPr>
          <w:p w14:paraId="620268BE" w14:textId="77777777" w:rsidR="00CF626A" w:rsidRPr="00824C43" w:rsidRDefault="00CF626A">
            <w:pPr>
              <w:pStyle w:val="A"/>
              <w:spacing w:after="0"/>
              <w:ind w:firstLine="0"/>
              <w:jc w:val="left"/>
              <w:rPr>
                <w:sz w:val="16"/>
              </w:rPr>
            </w:pPr>
            <w:r w:rsidRPr="00824C43">
              <w:rPr>
                <w:sz w:val="16"/>
              </w:rPr>
              <w:t>Homogenized Milk</w:t>
            </w:r>
          </w:p>
        </w:tc>
        <w:tc>
          <w:tcPr>
            <w:tcW w:w="1145" w:type="dxa"/>
          </w:tcPr>
          <w:p w14:paraId="11792714" w14:textId="77777777" w:rsidR="00CF626A" w:rsidRPr="00824C43" w:rsidRDefault="00CF626A">
            <w:pPr>
              <w:pStyle w:val="A"/>
              <w:spacing w:after="0"/>
              <w:ind w:firstLine="0"/>
              <w:jc w:val="center"/>
              <w:rPr>
                <w:sz w:val="16"/>
              </w:rPr>
            </w:pPr>
            <w:r w:rsidRPr="00824C43">
              <w:rPr>
                <w:sz w:val="16"/>
              </w:rPr>
              <w:t>0.05%</w:t>
            </w:r>
          </w:p>
        </w:tc>
      </w:tr>
      <w:tr w:rsidR="00CF626A" w:rsidRPr="001531CD" w14:paraId="588B4945" w14:textId="77777777">
        <w:trPr>
          <w:jc w:val="center"/>
        </w:trPr>
        <w:tc>
          <w:tcPr>
            <w:tcW w:w="2969" w:type="dxa"/>
          </w:tcPr>
          <w:p w14:paraId="09783993" w14:textId="77777777" w:rsidR="00CF626A" w:rsidRPr="00824C43" w:rsidRDefault="00CF626A">
            <w:pPr>
              <w:pStyle w:val="A"/>
              <w:spacing w:after="0"/>
              <w:ind w:firstLine="0"/>
              <w:jc w:val="left"/>
              <w:rPr>
                <w:sz w:val="16"/>
              </w:rPr>
            </w:pPr>
            <w:r w:rsidRPr="00824C43">
              <w:rPr>
                <w:sz w:val="16"/>
              </w:rPr>
              <w:t xml:space="preserve">Skim Milk </w:t>
            </w:r>
          </w:p>
        </w:tc>
        <w:tc>
          <w:tcPr>
            <w:tcW w:w="1145" w:type="dxa"/>
          </w:tcPr>
          <w:p w14:paraId="64457AF7" w14:textId="77777777" w:rsidR="00CF626A" w:rsidRPr="00824C43" w:rsidRDefault="00CF626A">
            <w:pPr>
              <w:pStyle w:val="A"/>
              <w:spacing w:after="0"/>
              <w:ind w:firstLine="0"/>
              <w:jc w:val="center"/>
              <w:rPr>
                <w:sz w:val="16"/>
              </w:rPr>
            </w:pPr>
            <w:r w:rsidRPr="00824C43">
              <w:rPr>
                <w:sz w:val="16"/>
              </w:rPr>
              <w:t>0.05%</w:t>
            </w:r>
          </w:p>
        </w:tc>
      </w:tr>
      <w:tr w:rsidR="00CF626A" w:rsidRPr="001531CD" w14:paraId="46A4AF00" w14:textId="77777777">
        <w:trPr>
          <w:jc w:val="center"/>
        </w:trPr>
        <w:tc>
          <w:tcPr>
            <w:tcW w:w="2969" w:type="dxa"/>
          </w:tcPr>
          <w:p w14:paraId="7286B959" w14:textId="77777777" w:rsidR="00CF626A" w:rsidRPr="00824C43" w:rsidRDefault="00CF626A">
            <w:pPr>
              <w:pStyle w:val="A"/>
              <w:spacing w:after="0"/>
              <w:ind w:firstLine="0"/>
              <w:jc w:val="left"/>
              <w:rPr>
                <w:sz w:val="16"/>
              </w:rPr>
            </w:pPr>
            <w:r w:rsidRPr="00824C43">
              <w:rPr>
                <w:sz w:val="16"/>
              </w:rPr>
              <w:t>Buttermilk</w:t>
            </w:r>
          </w:p>
        </w:tc>
        <w:tc>
          <w:tcPr>
            <w:tcW w:w="1145" w:type="dxa"/>
          </w:tcPr>
          <w:p w14:paraId="35819101" w14:textId="77777777" w:rsidR="00CF626A" w:rsidRPr="00824C43" w:rsidRDefault="00CF626A">
            <w:pPr>
              <w:pStyle w:val="A"/>
              <w:spacing w:after="0"/>
              <w:ind w:firstLine="0"/>
              <w:jc w:val="center"/>
              <w:rPr>
                <w:sz w:val="16"/>
              </w:rPr>
            </w:pPr>
            <w:r w:rsidRPr="00824C43">
              <w:rPr>
                <w:sz w:val="16"/>
              </w:rPr>
              <w:t>0.05%</w:t>
            </w:r>
          </w:p>
        </w:tc>
      </w:tr>
      <w:tr w:rsidR="00CF626A" w:rsidRPr="001531CD" w14:paraId="5FB8C27B" w14:textId="77777777">
        <w:trPr>
          <w:jc w:val="center"/>
        </w:trPr>
        <w:tc>
          <w:tcPr>
            <w:tcW w:w="2969" w:type="dxa"/>
          </w:tcPr>
          <w:p w14:paraId="36DA7276" w14:textId="77777777" w:rsidR="00CF626A" w:rsidRPr="00824C43" w:rsidRDefault="00CF626A">
            <w:pPr>
              <w:pStyle w:val="A"/>
              <w:spacing w:after="0"/>
              <w:ind w:firstLine="0"/>
              <w:jc w:val="left"/>
              <w:rPr>
                <w:sz w:val="16"/>
              </w:rPr>
            </w:pPr>
            <w:r w:rsidRPr="00824C43">
              <w:rPr>
                <w:sz w:val="16"/>
              </w:rPr>
              <w:t>Chocolate Milk</w:t>
            </w:r>
          </w:p>
        </w:tc>
        <w:tc>
          <w:tcPr>
            <w:tcW w:w="1145" w:type="dxa"/>
          </w:tcPr>
          <w:p w14:paraId="7565DC13" w14:textId="77777777" w:rsidR="00CF626A" w:rsidRPr="00824C43" w:rsidRDefault="00CF626A">
            <w:pPr>
              <w:pStyle w:val="A"/>
              <w:spacing w:after="0"/>
              <w:ind w:firstLine="0"/>
              <w:jc w:val="center"/>
              <w:rPr>
                <w:sz w:val="16"/>
              </w:rPr>
            </w:pPr>
            <w:r w:rsidRPr="00824C43">
              <w:rPr>
                <w:sz w:val="16"/>
              </w:rPr>
              <w:t>0.10%</w:t>
            </w:r>
          </w:p>
        </w:tc>
      </w:tr>
      <w:tr w:rsidR="00CF626A" w:rsidRPr="001531CD" w14:paraId="54983608" w14:textId="77777777">
        <w:trPr>
          <w:jc w:val="center"/>
        </w:trPr>
        <w:tc>
          <w:tcPr>
            <w:tcW w:w="2969" w:type="dxa"/>
          </w:tcPr>
          <w:p w14:paraId="4E09D302" w14:textId="77777777" w:rsidR="00CF626A" w:rsidRPr="00824C43" w:rsidRDefault="00CF626A">
            <w:pPr>
              <w:pStyle w:val="A"/>
              <w:spacing w:after="0"/>
              <w:ind w:firstLine="0"/>
              <w:jc w:val="left"/>
              <w:rPr>
                <w:sz w:val="16"/>
              </w:rPr>
            </w:pPr>
            <w:r w:rsidRPr="00824C43">
              <w:rPr>
                <w:sz w:val="16"/>
              </w:rPr>
              <w:t>Half and Half Cream</w:t>
            </w:r>
          </w:p>
        </w:tc>
        <w:tc>
          <w:tcPr>
            <w:tcW w:w="1145" w:type="dxa"/>
          </w:tcPr>
          <w:p w14:paraId="69F0C3E6" w14:textId="77777777" w:rsidR="00CF626A" w:rsidRPr="00824C43" w:rsidRDefault="00CF626A">
            <w:pPr>
              <w:pStyle w:val="A"/>
              <w:spacing w:after="0"/>
              <w:ind w:firstLine="0"/>
              <w:jc w:val="center"/>
              <w:rPr>
                <w:sz w:val="16"/>
              </w:rPr>
            </w:pPr>
            <w:r w:rsidRPr="00824C43">
              <w:rPr>
                <w:sz w:val="16"/>
              </w:rPr>
              <w:t>0.10%</w:t>
            </w:r>
          </w:p>
        </w:tc>
      </w:tr>
      <w:tr w:rsidR="00CF626A" w:rsidRPr="001531CD" w14:paraId="3C34F28D" w14:textId="77777777">
        <w:trPr>
          <w:jc w:val="center"/>
        </w:trPr>
        <w:tc>
          <w:tcPr>
            <w:tcW w:w="2969" w:type="dxa"/>
          </w:tcPr>
          <w:p w14:paraId="6E5DA4D3" w14:textId="77777777" w:rsidR="00CF626A" w:rsidRPr="00824C43" w:rsidRDefault="00CF626A">
            <w:pPr>
              <w:pStyle w:val="A"/>
              <w:spacing w:after="0"/>
              <w:ind w:firstLine="0"/>
              <w:jc w:val="left"/>
              <w:rPr>
                <w:sz w:val="16"/>
              </w:rPr>
            </w:pPr>
            <w:r w:rsidRPr="00824C43">
              <w:rPr>
                <w:sz w:val="16"/>
              </w:rPr>
              <w:t>Light Cream</w:t>
            </w:r>
          </w:p>
        </w:tc>
        <w:tc>
          <w:tcPr>
            <w:tcW w:w="1145" w:type="dxa"/>
          </w:tcPr>
          <w:p w14:paraId="19891D47" w14:textId="77777777" w:rsidR="00CF626A" w:rsidRPr="00824C43" w:rsidRDefault="00CF626A">
            <w:pPr>
              <w:pStyle w:val="A"/>
              <w:spacing w:after="0"/>
              <w:ind w:firstLine="0"/>
              <w:jc w:val="center"/>
              <w:rPr>
                <w:sz w:val="16"/>
              </w:rPr>
            </w:pPr>
            <w:r w:rsidRPr="00824C43">
              <w:rPr>
                <w:sz w:val="16"/>
              </w:rPr>
              <w:t>0.10%</w:t>
            </w:r>
          </w:p>
        </w:tc>
      </w:tr>
      <w:tr w:rsidR="00CF626A" w:rsidRPr="001531CD" w14:paraId="0C06F66D" w14:textId="77777777">
        <w:trPr>
          <w:jc w:val="center"/>
        </w:trPr>
        <w:tc>
          <w:tcPr>
            <w:tcW w:w="2969" w:type="dxa"/>
          </w:tcPr>
          <w:p w14:paraId="5649E92F" w14:textId="77777777" w:rsidR="00CF626A" w:rsidRPr="00824C43" w:rsidRDefault="00CF626A">
            <w:pPr>
              <w:pStyle w:val="A"/>
              <w:spacing w:after="0"/>
              <w:ind w:firstLine="0"/>
              <w:jc w:val="left"/>
              <w:rPr>
                <w:sz w:val="16"/>
              </w:rPr>
            </w:pPr>
            <w:r w:rsidRPr="00824C43">
              <w:rPr>
                <w:sz w:val="16"/>
              </w:rPr>
              <w:t>Heavy Cream</w:t>
            </w:r>
          </w:p>
        </w:tc>
        <w:tc>
          <w:tcPr>
            <w:tcW w:w="1145" w:type="dxa"/>
          </w:tcPr>
          <w:p w14:paraId="6C83815E" w14:textId="77777777" w:rsidR="00CF626A" w:rsidRPr="00824C43" w:rsidRDefault="00CF626A">
            <w:pPr>
              <w:pStyle w:val="A"/>
              <w:spacing w:after="0"/>
              <w:ind w:firstLine="0"/>
              <w:jc w:val="center"/>
              <w:rPr>
                <w:sz w:val="16"/>
              </w:rPr>
            </w:pPr>
            <w:r w:rsidRPr="00824C43">
              <w:rPr>
                <w:sz w:val="16"/>
              </w:rPr>
              <w:t>0.20%</w:t>
            </w:r>
          </w:p>
        </w:tc>
      </w:tr>
      <w:tr w:rsidR="00CF626A" w:rsidRPr="001531CD" w14:paraId="52D524AC" w14:textId="77777777">
        <w:trPr>
          <w:jc w:val="center"/>
        </w:trPr>
        <w:tc>
          <w:tcPr>
            <w:tcW w:w="2969" w:type="dxa"/>
          </w:tcPr>
          <w:p w14:paraId="02287012" w14:textId="77777777" w:rsidR="00CF626A" w:rsidRPr="00824C43" w:rsidRDefault="00CF626A">
            <w:pPr>
              <w:pStyle w:val="A"/>
              <w:spacing w:after="0"/>
              <w:ind w:firstLine="0"/>
              <w:jc w:val="left"/>
              <w:rPr>
                <w:sz w:val="16"/>
              </w:rPr>
            </w:pPr>
            <w:r w:rsidRPr="00824C43">
              <w:rPr>
                <w:sz w:val="16"/>
              </w:rPr>
              <w:t>Sour Cream</w:t>
            </w:r>
          </w:p>
        </w:tc>
        <w:tc>
          <w:tcPr>
            <w:tcW w:w="1145" w:type="dxa"/>
          </w:tcPr>
          <w:p w14:paraId="6460060E" w14:textId="77777777" w:rsidR="00CF626A" w:rsidRPr="00824C43" w:rsidRDefault="00CF626A">
            <w:pPr>
              <w:pStyle w:val="A"/>
              <w:spacing w:after="0"/>
              <w:ind w:firstLine="0"/>
              <w:jc w:val="center"/>
              <w:rPr>
                <w:sz w:val="16"/>
              </w:rPr>
            </w:pPr>
            <w:r w:rsidRPr="00824C43">
              <w:rPr>
                <w:sz w:val="16"/>
              </w:rPr>
              <w:t>0.10%</w:t>
            </w:r>
          </w:p>
        </w:tc>
      </w:tr>
    </w:tbl>
    <w:p w14:paraId="55ECC64E" w14:textId="77777777" w:rsidR="00CF626A" w:rsidRPr="001531CD" w:rsidRDefault="00CF626A">
      <w:pPr>
        <w:pStyle w:val="AuthorityNote"/>
        <w:spacing w:before="200"/>
      </w:pPr>
      <w:r w:rsidRPr="001531CD">
        <w:t>AUTHORITY NOTE:</w:t>
      </w:r>
      <w:r w:rsidRPr="001531CD">
        <w:tab/>
        <w:t>Promulgated in accordance with R.S. 40:888 and R.S. 40:883.</w:t>
      </w:r>
    </w:p>
    <w:p w14:paraId="778086C8" w14:textId="77777777" w:rsidR="00CF626A" w:rsidRPr="001531CD" w:rsidRDefault="00CF626A">
      <w:pPr>
        <w:pStyle w:val="HistoricalNote"/>
      </w:pPr>
      <w:r w:rsidRPr="001531CD">
        <w:t>HISTORICAL NOTE:</w:t>
      </w:r>
      <w:r w:rsidRPr="001531CD">
        <w:tab/>
        <w:t>Promulgated by the Department of Agriculture, Dairy Stabilization Board, LR 1:167 (March 1975).</w:t>
      </w:r>
    </w:p>
    <w:p w14:paraId="18BFAECE" w14:textId="77777777" w:rsidR="00CF626A" w:rsidRPr="001531CD" w:rsidRDefault="00CF626A">
      <w:pPr>
        <w:pStyle w:val="Section"/>
      </w:pPr>
      <w:bookmarkStart w:id="2876" w:name="_Toc256755034"/>
      <w:bookmarkStart w:id="2877" w:name="_Toc224819404"/>
      <w:r w:rsidRPr="001531CD">
        <w:t>§123.</w:t>
      </w:r>
      <w:r w:rsidRPr="001531CD">
        <w:tab/>
        <w:t>Inadequate Fresh Milk Tests Compensation</w:t>
      </w:r>
      <w:bookmarkEnd w:id="2876"/>
      <w:bookmarkEnd w:id="2877"/>
    </w:p>
    <w:p w14:paraId="0CA1C9F7" w14:textId="77777777" w:rsidR="00CF626A" w:rsidRPr="001531CD" w:rsidRDefault="00CF626A">
      <w:pPr>
        <w:pStyle w:val="A"/>
      </w:pPr>
      <w:r w:rsidRPr="001531CD">
        <w:t>A.</w:t>
      </w:r>
      <w:r w:rsidRPr="001531CD">
        <w:tab/>
        <w:t xml:space="preserve">In the absence of composite samples, an inadequate number of acceptable fresh milk tests may be compensated by </w:t>
      </w:r>
      <w:r w:rsidRPr="001531CD">
        <w:lastRenderedPageBreak/>
        <w:t>the most recent acceptable fresh milk test recorded for the preceding period of shipment. Compensation shall be limited to one test. Inadequate tests, exceeding one, shall necessitate securing the additional samples from the farm by employees of the party responsible for the testing program. Such samples shall be secured, when possible, prior to the end of the sampling period or immediately following the termination of the testing period. The commissioner, his agent or representative, shall be notified prior to all compensations.</w:t>
      </w:r>
    </w:p>
    <w:p w14:paraId="35CDB3E4" w14:textId="77777777" w:rsidR="00CF626A" w:rsidRPr="001531CD" w:rsidRDefault="00CF626A">
      <w:pPr>
        <w:pStyle w:val="AuthorityNote"/>
      </w:pPr>
      <w:r w:rsidRPr="001531CD">
        <w:t>AUTHORITY NOTE:</w:t>
      </w:r>
      <w:r w:rsidRPr="001531CD">
        <w:tab/>
        <w:t>Promulgated in accordance with R.S. 40:883.</w:t>
      </w:r>
    </w:p>
    <w:p w14:paraId="2F7AFD48" w14:textId="77777777" w:rsidR="00CF626A" w:rsidRPr="001531CD" w:rsidRDefault="00CF626A">
      <w:pPr>
        <w:pStyle w:val="HistoricalNote"/>
      </w:pPr>
      <w:r w:rsidRPr="001531CD">
        <w:t>HISTORICAL NOTE:</w:t>
      </w:r>
      <w:r w:rsidRPr="001531CD">
        <w:tab/>
        <w:t>Promulgated by the Department of Agriculture, Dairy Stabilization Board, LR 1:167 (March 1975).</w:t>
      </w:r>
    </w:p>
    <w:p w14:paraId="1C5389A0" w14:textId="77777777" w:rsidR="00CF626A" w:rsidRPr="001531CD" w:rsidRDefault="00CF626A">
      <w:pPr>
        <w:pStyle w:val="Section"/>
      </w:pPr>
      <w:bookmarkStart w:id="2878" w:name="_Toc256755035"/>
      <w:bookmarkStart w:id="2879" w:name="_Toc224819405"/>
      <w:r w:rsidRPr="001531CD">
        <w:t>§125.</w:t>
      </w:r>
      <w:r w:rsidRPr="001531CD">
        <w:tab/>
        <w:t>Computation of Butterfat Tests; Averages</w:t>
      </w:r>
      <w:bookmarkEnd w:id="2878"/>
      <w:bookmarkEnd w:id="2879"/>
    </w:p>
    <w:p w14:paraId="4BD38A21" w14:textId="77777777" w:rsidR="00CF626A" w:rsidRPr="001531CD" w:rsidRDefault="00CF626A">
      <w:pPr>
        <w:pStyle w:val="A"/>
      </w:pPr>
      <w:r w:rsidRPr="001531CD">
        <w:t>A.</w:t>
      </w:r>
      <w:r w:rsidRPr="001531CD">
        <w:tab/>
        <w:t>Individual fresh and composite Babcock tests and all computed averages being compared to Babcock Composite tests shall be determined to the nearest tenth percent.</w:t>
      </w:r>
    </w:p>
    <w:p w14:paraId="0D66E703" w14:textId="77777777" w:rsidR="00CF626A" w:rsidRPr="001531CD" w:rsidRDefault="00CF626A">
      <w:pPr>
        <w:pStyle w:val="A"/>
      </w:pPr>
      <w:r w:rsidRPr="001531CD">
        <w:t>B.</w:t>
      </w:r>
      <w:r w:rsidRPr="001531CD">
        <w:tab/>
        <w:t>All other tests and computed averages shall be determined to the nearest hundredths percent.</w:t>
      </w:r>
    </w:p>
    <w:p w14:paraId="3FB91B75" w14:textId="77777777" w:rsidR="00CF626A" w:rsidRPr="001531CD" w:rsidRDefault="00CF626A">
      <w:pPr>
        <w:pStyle w:val="AuthorityNote"/>
      </w:pPr>
      <w:r w:rsidRPr="001531CD">
        <w:t>AUTHORITY NOTE:</w:t>
      </w:r>
      <w:r w:rsidRPr="001531CD">
        <w:tab/>
        <w:t>Promulgated in accordance with R.S. 40:883.</w:t>
      </w:r>
    </w:p>
    <w:p w14:paraId="3B5F2847" w14:textId="77777777" w:rsidR="00CF626A" w:rsidRPr="001531CD" w:rsidRDefault="00CF626A">
      <w:pPr>
        <w:pStyle w:val="HistoricalNote"/>
      </w:pPr>
      <w:r w:rsidRPr="001531CD">
        <w:t>HISTORICAL NOTE:</w:t>
      </w:r>
      <w:r w:rsidRPr="001531CD">
        <w:tab/>
        <w:t>Promulgated by the Department of Agriculture, Dairy Stabilization Board, LR 1:167 (March 1975).</w:t>
      </w:r>
    </w:p>
    <w:p w14:paraId="4C98FE4A" w14:textId="77777777" w:rsidR="00CF626A" w:rsidRPr="001531CD" w:rsidRDefault="00CF626A" w:rsidP="00F03863">
      <w:pPr>
        <w:pStyle w:val="Chapter"/>
        <w:outlineLvl w:val="0"/>
      </w:pPr>
      <w:bookmarkStart w:id="2880" w:name="M__WORK_07V31_07V31003_001"/>
      <w:bookmarkStart w:id="2881" w:name="TOC_Chap243"/>
      <w:bookmarkStart w:id="2882" w:name="_Toc256755036"/>
      <w:bookmarkStart w:id="2883" w:name="_Toc224819406"/>
      <w:bookmarkEnd w:id="2880"/>
      <w:r w:rsidRPr="001531CD">
        <w:t>Chapter 3.</w:t>
      </w:r>
      <w:bookmarkEnd w:id="2881"/>
      <w:r w:rsidR="00167E2E">
        <w:tab/>
      </w:r>
      <w:bookmarkStart w:id="2884" w:name="TOCT_Chap223"/>
      <w:bookmarkStart w:id="2885" w:name="TOCT_Chap229"/>
      <w:bookmarkStart w:id="2886" w:name="TOCT_Chap231"/>
      <w:bookmarkStart w:id="2887" w:name="TOCT_Chap243"/>
      <w:r w:rsidRPr="001531CD">
        <w:t>Dairy Stabilization Board</w:t>
      </w:r>
      <w:bookmarkEnd w:id="2882"/>
      <w:bookmarkEnd w:id="2883"/>
      <w:bookmarkEnd w:id="2884"/>
      <w:bookmarkEnd w:id="2885"/>
      <w:bookmarkEnd w:id="2886"/>
      <w:bookmarkEnd w:id="2887"/>
    </w:p>
    <w:p w14:paraId="24603633" w14:textId="77777777" w:rsidR="00CF626A" w:rsidRPr="001531CD" w:rsidRDefault="00CF626A">
      <w:pPr>
        <w:pStyle w:val="Section"/>
      </w:pPr>
      <w:bookmarkStart w:id="2888" w:name="_Toc256755037"/>
      <w:bookmarkStart w:id="2889" w:name="_Toc224819407"/>
      <w:r w:rsidRPr="001531CD">
        <w:t>§301.</w:t>
      </w:r>
      <w:r w:rsidRPr="001531CD">
        <w:tab/>
        <w:t>Definitions</w:t>
      </w:r>
      <w:bookmarkEnd w:id="2888"/>
      <w:bookmarkEnd w:id="2889"/>
    </w:p>
    <w:p w14:paraId="1A0C09C9" w14:textId="77777777" w:rsidR="00CF626A" w:rsidRPr="001531CD" w:rsidRDefault="00CF626A">
      <w:pPr>
        <w:pStyle w:val="A"/>
      </w:pPr>
      <w:r w:rsidRPr="001531CD">
        <w:t>A.</w:t>
      </w:r>
      <w:r w:rsidRPr="001531CD">
        <w:tab/>
        <w:t>Wherever in these rules and regulations the masculine is used, it includes the feminine and vice versa; wherever the singular is used, it includes the plural and vice versa.</w:t>
      </w:r>
    </w:p>
    <w:p w14:paraId="5AE033E4" w14:textId="77777777" w:rsidR="00CF626A" w:rsidRPr="001531CD" w:rsidRDefault="00CF626A">
      <w:pPr>
        <w:pStyle w:val="1"/>
      </w:pPr>
      <w:r w:rsidRPr="001531CD">
        <w:rPr>
          <w:i/>
          <w:iCs/>
        </w:rPr>
        <w:t>Act</w:t>
      </w:r>
      <w:r w:rsidRPr="001531CD">
        <w:t>―R.S. 3:4101 et seq., the Dairy Stabilization Law.</w:t>
      </w:r>
    </w:p>
    <w:p w14:paraId="6633A3CB" w14:textId="77777777" w:rsidR="00CF626A" w:rsidRPr="001531CD" w:rsidRDefault="00CF626A">
      <w:pPr>
        <w:pStyle w:val="1"/>
      </w:pPr>
      <w:r w:rsidRPr="001531CD">
        <w:rPr>
          <w:i/>
          <w:iCs/>
        </w:rPr>
        <w:t>Administrative Cost</w:t>
      </w:r>
      <w:r w:rsidRPr="001531CD">
        <w:t>―includes those direct additional expenses normally and customarily associated with the placement of a product into an established accounting system such as clerical assistance and computer related expenses and does not include expenses such as marketing, sales or promotional expenses.</w:t>
      </w:r>
    </w:p>
    <w:p w14:paraId="661F8726" w14:textId="77777777" w:rsidR="00CF626A" w:rsidRPr="001531CD" w:rsidRDefault="00CF626A">
      <w:pPr>
        <w:pStyle w:val="1"/>
      </w:pPr>
      <w:r w:rsidRPr="001531CD">
        <w:rPr>
          <w:i/>
          <w:iCs/>
        </w:rPr>
        <w:t>Agent</w:t>
      </w:r>
      <w:r w:rsidRPr="001531CD">
        <w:t>―an employee of the Department of Agriculture and Forestry or any person authorized to act on behalf of the commissioner.</w:t>
      </w:r>
    </w:p>
    <w:p w14:paraId="6290A5ED" w14:textId="77777777" w:rsidR="00CF626A" w:rsidRPr="001531CD" w:rsidRDefault="00CF626A">
      <w:pPr>
        <w:pStyle w:val="1"/>
      </w:pPr>
      <w:r w:rsidRPr="001531CD">
        <w:rPr>
          <w:i/>
          <w:iCs/>
        </w:rPr>
        <w:t>Board</w:t>
      </w:r>
      <w:r w:rsidRPr="001531CD">
        <w:t>―the Dairy Stabilization Board created by R.S. 3:4106.</w:t>
      </w:r>
    </w:p>
    <w:p w14:paraId="623A6F3B" w14:textId="77777777" w:rsidR="00CF626A" w:rsidRPr="001531CD" w:rsidRDefault="00CF626A">
      <w:pPr>
        <w:pStyle w:val="1"/>
      </w:pPr>
      <w:r w:rsidRPr="001531CD">
        <w:rPr>
          <w:i/>
          <w:iCs/>
        </w:rPr>
        <w:t>Bulk Milk</w:t>
      </w:r>
      <w:r w:rsidRPr="001531CD">
        <w:t>―milk which has not yet been placed in the container in which the product will be offered for sale to consumers, retailers, or institutions.</w:t>
      </w:r>
    </w:p>
    <w:p w14:paraId="76CA071E" w14:textId="77777777" w:rsidR="00CF626A" w:rsidRPr="001531CD" w:rsidRDefault="00CF626A">
      <w:pPr>
        <w:pStyle w:val="1"/>
      </w:pPr>
      <w:r w:rsidRPr="001531CD">
        <w:rPr>
          <w:i/>
          <w:iCs/>
        </w:rPr>
        <w:t>Cartage</w:t>
      </w:r>
      <w:r w:rsidRPr="001531CD">
        <w:t>―the transportation of dairy products within a limited geographicia area, such as delivery of dairy products from the processor to the retailer or distributor.</w:t>
      </w:r>
    </w:p>
    <w:p w14:paraId="3F7FFE30" w14:textId="77777777" w:rsidR="00CF626A" w:rsidRPr="001531CD" w:rsidRDefault="00CF626A">
      <w:pPr>
        <w:pStyle w:val="1"/>
      </w:pPr>
      <w:r w:rsidRPr="001531CD">
        <w:rPr>
          <w:i/>
          <w:iCs/>
        </w:rPr>
        <w:t>Commerce</w:t>
      </w:r>
      <w:r w:rsidRPr="001531CD">
        <w:t xml:space="preserve">―any </w:t>
      </w:r>
      <w:r w:rsidR="00937875" w:rsidRPr="001531CD">
        <w:t>a</w:t>
      </w:r>
      <w:r w:rsidRPr="001531CD">
        <w:t>ct for which a license from the board is required.</w:t>
      </w:r>
    </w:p>
    <w:p w14:paraId="2C474DAE" w14:textId="77777777" w:rsidR="00CF626A" w:rsidRPr="001531CD" w:rsidRDefault="00CF626A">
      <w:pPr>
        <w:pStyle w:val="1"/>
      </w:pPr>
      <w:r w:rsidRPr="001531CD">
        <w:rPr>
          <w:i/>
          <w:iCs/>
        </w:rPr>
        <w:t>Commissioner</w:t>
      </w:r>
      <w:r w:rsidRPr="001531CD">
        <w:t>―the commissioner of Agriculture and Forestry of the state of Louisiana.</w:t>
      </w:r>
    </w:p>
    <w:p w14:paraId="467BE8AC" w14:textId="77777777" w:rsidR="00CF626A" w:rsidRPr="001531CD" w:rsidRDefault="00CF626A">
      <w:pPr>
        <w:pStyle w:val="1"/>
      </w:pPr>
      <w:r w:rsidRPr="001531CD">
        <w:rPr>
          <w:i/>
          <w:iCs/>
        </w:rPr>
        <w:t>Cost</w:t>
      </w:r>
      <w:r w:rsidRPr="001531CD">
        <w:t>―</w:t>
      </w:r>
    </w:p>
    <w:p w14:paraId="1A99EDDF" w14:textId="77777777" w:rsidR="00CF626A" w:rsidRPr="001531CD" w:rsidRDefault="00CF626A">
      <w:pPr>
        <w:pStyle w:val="a0"/>
      </w:pPr>
      <w:r w:rsidRPr="001531CD">
        <w:t>a.</w:t>
      </w:r>
      <w:r w:rsidRPr="001531CD">
        <w:tab/>
      </w:r>
      <w:r w:rsidRPr="001531CD">
        <w:rPr>
          <w:i/>
          <w:iCs/>
        </w:rPr>
        <w:t>Cost to the Retailer</w:t>
      </w:r>
      <w:r w:rsidRPr="001531CD">
        <w:t>―the per unit invoice cost of the dairy products to the retailer:</w:t>
      </w:r>
    </w:p>
    <w:p w14:paraId="1E474042" w14:textId="77777777" w:rsidR="00CF626A" w:rsidRPr="001531CD" w:rsidRDefault="00CF626A">
      <w:pPr>
        <w:pStyle w:val="i0"/>
        <w:outlineLvl w:val="6"/>
      </w:pPr>
      <w:r w:rsidRPr="001531CD">
        <w:tab/>
        <w:t>i.</w:t>
      </w:r>
      <w:r w:rsidRPr="001531CD">
        <w:tab/>
        <w:t>less the volume discount, if any;</w:t>
      </w:r>
    </w:p>
    <w:p w14:paraId="2E78D8F4" w14:textId="77777777" w:rsidR="00CF626A" w:rsidRPr="001531CD" w:rsidRDefault="00CF626A">
      <w:pPr>
        <w:pStyle w:val="i0"/>
        <w:outlineLvl w:val="6"/>
      </w:pPr>
      <w:r w:rsidRPr="001531CD">
        <w:tab/>
        <w:t>ii.</w:t>
      </w:r>
      <w:r w:rsidRPr="001531CD">
        <w:tab/>
        <w:t>plus, all costs of freight;</w:t>
      </w:r>
    </w:p>
    <w:p w14:paraId="6D27CC39" w14:textId="77777777" w:rsidR="00CF626A" w:rsidRPr="001531CD" w:rsidRDefault="00CF626A">
      <w:pPr>
        <w:pStyle w:val="i0"/>
        <w:outlineLvl w:val="6"/>
      </w:pPr>
      <w:r w:rsidRPr="001531CD">
        <w:tab/>
        <w:t>iii.</w:t>
      </w:r>
      <w:r w:rsidRPr="001531CD">
        <w:tab/>
        <w:t>plus, a markup to cover a proportionate part of the cost of doing business, direct and indirect, which markup, in the absence of proof of a different cost, shall be no less than 6 percent of the invoice cost to the retail</w:t>
      </w:r>
      <w:r w:rsidR="00937875" w:rsidRPr="001531CD">
        <w:t>er after adding freight charges;</w:t>
      </w:r>
    </w:p>
    <w:p w14:paraId="2AD2A0C4" w14:textId="77777777" w:rsidR="00CF626A" w:rsidRPr="001531CD" w:rsidRDefault="00CF626A">
      <w:pPr>
        <w:pStyle w:val="a0"/>
      </w:pPr>
      <w:r w:rsidRPr="001531CD">
        <w:t>b.</w:t>
      </w:r>
      <w:r w:rsidRPr="001531CD">
        <w:tab/>
      </w:r>
      <w:r w:rsidRPr="001531CD">
        <w:rPr>
          <w:i/>
          <w:iCs/>
        </w:rPr>
        <w:t>Cost to the Distributor</w:t>
      </w:r>
      <w:r w:rsidRPr="001531CD">
        <w:t>―the per unit invoice cost of the dairy products to the distributor, including:</w:t>
      </w:r>
    </w:p>
    <w:p w14:paraId="6D6E54FE" w14:textId="77777777" w:rsidR="00CF626A" w:rsidRPr="001531CD" w:rsidRDefault="00CF626A">
      <w:pPr>
        <w:pStyle w:val="i0"/>
        <w:outlineLvl w:val="6"/>
      </w:pPr>
      <w:r w:rsidRPr="001531CD">
        <w:tab/>
        <w:t>i.</w:t>
      </w:r>
      <w:r w:rsidRPr="001531CD">
        <w:tab/>
        <w:t>all freight charges not otherwise included in the invoice which shall, in the absence of proof of a different amount, be presumed to be 6 percent of the invoice cost for inbound freight and 12 percent of the invoice cost for outbound freight as applicable; and</w:t>
      </w:r>
    </w:p>
    <w:p w14:paraId="3CBF93A7" w14:textId="77777777" w:rsidR="00CF626A" w:rsidRPr="001531CD" w:rsidRDefault="00CF626A">
      <w:pPr>
        <w:pStyle w:val="i0"/>
        <w:outlineLvl w:val="6"/>
      </w:pPr>
      <w:r w:rsidRPr="001531CD">
        <w:tab/>
        <w:t>ii.</w:t>
      </w:r>
      <w:r w:rsidRPr="001531CD">
        <w:tab/>
        <w:t>a markup to cover a proportionate part of the cost of doing business, direct and indirect, which markup, in the absence of proof of a different cost, shall be presumed to be no less tha</w:t>
      </w:r>
      <w:r w:rsidR="00937875" w:rsidRPr="001531CD">
        <w:t>n 3 percent of the invoice cost;</w:t>
      </w:r>
    </w:p>
    <w:p w14:paraId="1C903F6B" w14:textId="77777777" w:rsidR="00CF626A" w:rsidRPr="001531CD" w:rsidRDefault="00CF626A">
      <w:pPr>
        <w:pStyle w:val="a0"/>
      </w:pPr>
      <w:r w:rsidRPr="001531CD">
        <w:t>c.</w:t>
      </w:r>
      <w:r w:rsidRPr="001531CD">
        <w:tab/>
      </w:r>
      <w:r w:rsidRPr="001531CD">
        <w:rPr>
          <w:i/>
          <w:iCs/>
        </w:rPr>
        <w:t>Cost to the Processor</w:t>
      </w:r>
      <w:r w:rsidRPr="001531CD">
        <w:t>―all the cost including the costs of raw products, ingredients and/or additives, labor (including salaries of executives and officers), receiving, cooling, processing, packaging, manufacturing, rent, interest, depreciation, power, supplies, selling, delivery, storing, maintenance of plant and equipment, advertising, transportation, all types of licenses, taxes, fees, insurance, any and all overhead expenses, and all other costs, direct and indirect, of doing business. Cost shall be allocated proportionately t</w:t>
      </w:r>
      <w:r w:rsidR="00937875" w:rsidRPr="001531CD">
        <w:t>o each unit of product produced;</w:t>
      </w:r>
    </w:p>
    <w:p w14:paraId="64DDA5DD" w14:textId="77777777" w:rsidR="00CF626A" w:rsidRPr="001531CD" w:rsidRDefault="00CF626A">
      <w:pPr>
        <w:pStyle w:val="a0"/>
      </w:pPr>
      <w:r w:rsidRPr="001531CD">
        <w:t>d.</w:t>
      </w:r>
      <w:r w:rsidRPr="001531CD">
        <w:tab/>
      </w:r>
      <w:r w:rsidR="00937875" w:rsidRPr="001531CD">
        <w:t>t</w:t>
      </w:r>
      <w:r w:rsidRPr="001531CD">
        <w:t>o determine cost when one or more items are advertised, offered for sale, or sold with one or more other items at a combined price, or are advertised, offered as a gift, or given with the sale of one or more items, then all of the items shall be considered as advertised, offered for sale, or sold, and the cost and price of each item shall be governed by the provisions of §301.</w:t>
      </w:r>
      <w:r w:rsidRPr="001531CD">
        <w:rPr>
          <w:i/>
          <w:iCs/>
        </w:rPr>
        <w:t>Cost</w:t>
      </w:r>
      <w:r w:rsidR="00937875" w:rsidRPr="001531CD">
        <w:t>.</w:t>
      </w:r>
      <w:r w:rsidRPr="001531CD">
        <w:t>a, b, and c, and other related provisions hereof.</w:t>
      </w:r>
    </w:p>
    <w:p w14:paraId="2630FFC1" w14:textId="77777777" w:rsidR="00CF626A" w:rsidRPr="001531CD" w:rsidRDefault="00CF626A">
      <w:pPr>
        <w:pStyle w:val="1"/>
      </w:pPr>
      <w:r w:rsidRPr="001531CD">
        <w:rPr>
          <w:i/>
          <w:iCs/>
        </w:rPr>
        <w:t>Delinquent Account</w:t>
      </w:r>
      <w:r w:rsidRPr="001531CD">
        <w:t xml:space="preserve">―the unpaid debt resulting from </w:t>
      </w:r>
      <w:r w:rsidR="00937875" w:rsidRPr="001531CD">
        <w:br/>
      </w:r>
      <w:r w:rsidRPr="001531CD">
        <w:t>the purchase of dairy products on credit after the passage of 30 days from the end of the month in which the purchase was made.</w:t>
      </w:r>
    </w:p>
    <w:p w14:paraId="40D05B3E" w14:textId="77777777" w:rsidR="00CF626A" w:rsidRPr="001531CD" w:rsidRDefault="00CF626A">
      <w:pPr>
        <w:pStyle w:val="1"/>
      </w:pPr>
      <w:r w:rsidRPr="001531CD">
        <w:rPr>
          <w:i/>
          <w:iCs/>
        </w:rPr>
        <w:t>Department</w:t>
      </w:r>
      <w:r w:rsidRPr="001531CD">
        <w:t>―the Department of Agriculture and Forestry of the state of Louisiana.</w:t>
      </w:r>
    </w:p>
    <w:p w14:paraId="144921FB" w14:textId="77777777" w:rsidR="00CF626A" w:rsidRPr="001531CD" w:rsidRDefault="00CF626A">
      <w:pPr>
        <w:pStyle w:val="1"/>
      </w:pPr>
      <w:r w:rsidRPr="001531CD">
        <w:rPr>
          <w:i/>
          <w:iCs/>
        </w:rPr>
        <w:t>Discount</w:t>
      </w:r>
      <w:r w:rsidRPr="001531CD">
        <w:t>―any reduction, direct or indirect, in the price of dairy products.</w:t>
      </w:r>
    </w:p>
    <w:p w14:paraId="54A96676" w14:textId="77777777" w:rsidR="00CF626A" w:rsidRPr="001531CD" w:rsidRDefault="00CF626A">
      <w:pPr>
        <w:pStyle w:val="1"/>
      </w:pPr>
      <w:r w:rsidRPr="001531CD">
        <w:rPr>
          <w:i/>
          <w:iCs/>
        </w:rPr>
        <w:t>Disruptive Trade Practice</w:t>
      </w:r>
      <w:r w:rsidRPr="001531CD">
        <w:t>―any of the acts more fully defined in §317 hereof.</w:t>
      </w:r>
    </w:p>
    <w:p w14:paraId="01CC9343" w14:textId="77777777" w:rsidR="00CF626A" w:rsidRPr="001531CD" w:rsidRDefault="00CF626A">
      <w:pPr>
        <w:pStyle w:val="1"/>
      </w:pPr>
      <w:r w:rsidRPr="001531CD">
        <w:rPr>
          <w:i/>
          <w:iCs/>
        </w:rPr>
        <w:t>Distributor</w:t>
      </w:r>
      <w:r w:rsidRPr="001531CD">
        <w:t xml:space="preserve">―a person, other than a processor, who sells dairy products to one or more retail establishments or home delivery routes. The term </w:t>
      </w:r>
      <w:r w:rsidRPr="001531CD">
        <w:rPr>
          <w:i/>
          <w:iCs/>
        </w:rPr>
        <w:t>distributor</w:t>
      </w:r>
      <w:r w:rsidRPr="001531CD">
        <w:t xml:space="preserve"> includes wholesale grocers, cooperative grocery associations, and any person engaged in marketing dairy products at wholesale (the sale of </w:t>
      </w:r>
      <w:r w:rsidRPr="001531CD">
        <w:lastRenderedPageBreak/>
        <w:t>goods in bulk or quantity as opposed to retail or direct sales to consumers).</w:t>
      </w:r>
    </w:p>
    <w:p w14:paraId="203A3561" w14:textId="77777777" w:rsidR="00CF626A" w:rsidRPr="001531CD" w:rsidRDefault="00CF626A">
      <w:pPr>
        <w:pStyle w:val="1"/>
      </w:pPr>
      <w:r w:rsidRPr="001531CD">
        <w:rPr>
          <w:i/>
          <w:iCs/>
        </w:rPr>
        <w:t>Fluid Milk</w:t>
      </w:r>
      <w:r w:rsidRPr="001531CD">
        <w:t>―homogenized milk, creamline milk, lowfat milk, fortified lowfat milk, skim milk, buttermilk, flavored milk, chocolate milk, lowfat chocolate milk, ice milk mix, half and half, breakfast cream, whipping cream, egg nog, sour cream, cottage cheese (dry or cream), creole cream cheese, yogurt, U.H.T. milk, reene, and lo-reene.</w:t>
      </w:r>
    </w:p>
    <w:p w14:paraId="741E7B04" w14:textId="77777777" w:rsidR="00CF626A" w:rsidRPr="001531CD" w:rsidRDefault="00CF626A">
      <w:pPr>
        <w:pStyle w:val="1"/>
      </w:pPr>
      <w:r w:rsidRPr="001531CD">
        <w:rPr>
          <w:i/>
          <w:iCs/>
        </w:rPr>
        <w:t>Freight</w:t>
      </w:r>
      <w:r w:rsidRPr="001531CD">
        <w:t>―all cost of transportation of dairy products such as delivery of products to and from the retailer or distributor.</w:t>
      </w:r>
    </w:p>
    <w:p w14:paraId="506242CF" w14:textId="77777777" w:rsidR="00CF626A" w:rsidRPr="001531CD" w:rsidRDefault="00CF626A">
      <w:pPr>
        <w:pStyle w:val="1"/>
      </w:pPr>
      <w:r w:rsidRPr="001531CD">
        <w:rPr>
          <w:i/>
          <w:iCs/>
        </w:rPr>
        <w:t>Frozen Dessert(s)</w:t>
      </w:r>
      <w:r w:rsidRPr="001531CD">
        <w:t>―frozen dairy products including ice cream, fruit ice cream, nut ice cream, frozen yogurt, ice milk, malt ice milk, malt ice cream, French ice cream, milk sherbets, mellorine, olarine, sherine and the mix from which any such product is made.</w:t>
      </w:r>
    </w:p>
    <w:p w14:paraId="64A9F0DD" w14:textId="77777777" w:rsidR="00CF626A" w:rsidRPr="001531CD" w:rsidRDefault="00CF626A">
      <w:pPr>
        <w:pStyle w:val="1"/>
      </w:pPr>
      <w:r w:rsidRPr="001531CD">
        <w:rPr>
          <w:i/>
          <w:iCs/>
        </w:rPr>
        <w:t>Illicit Payment</w:t>
      </w:r>
      <w:r w:rsidRPr="001531CD">
        <w:t>―the payment of anything of value by a processor or distributor or any agent of either for the privilege of doing business or with the intent or effect of influencing the recipient in a business relationship.</w:t>
      </w:r>
    </w:p>
    <w:p w14:paraId="668A3D2D" w14:textId="77777777" w:rsidR="00CF626A" w:rsidRPr="001531CD" w:rsidRDefault="00CF626A">
      <w:pPr>
        <w:pStyle w:val="1"/>
      </w:pPr>
      <w:r w:rsidRPr="001531CD">
        <w:rPr>
          <w:i/>
          <w:iCs/>
        </w:rPr>
        <w:t>Institution</w:t>
      </w:r>
      <w:r w:rsidRPr="001531CD">
        <w:t>―a school, hospital, state agency, religious organization, charitable organization, or nursing home.</w:t>
      </w:r>
    </w:p>
    <w:p w14:paraId="6059E0F4" w14:textId="77777777" w:rsidR="00CF626A" w:rsidRPr="001531CD" w:rsidRDefault="00CF626A">
      <w:pPr>
        <w:pStyle w:val="1"/>
      </w:pPr>
      <w:r w:rsidRPr="001531CD">
        <w:rPr>
          <w:i/>
          <w:iCs/>
        </w:rPr>
        <w:t>Invoice</w:t>
      </w:r>
      <w:r w:rsidRPr="001531CD">
        <w:t>―the document evidencing the sale of products which shall contain sales information including the date, quantity, description of product and the actual sale price of each product to the purchaser.</w:t>
      </w:r>
    </w:p>
    <w:p w14:paraId="7317E946" w14:textId="77777777" w:rsidR="00CF626A" w:rsidRPr="001531CD" w:rsidRDefault="00CF626A">
      <w:pPr>
        <w:pStyle w:val="1"/>
      </w:pPr>
      <w:r w:rsidRPr="001531CD">
        <w:rPr>
          <w:i/>
          <w:iCs/>
        </w:rPr>
        <w:t>Licensee</w:t>
      </w:r>
      <w:r w:rsidRPr="001531CD">
        <w:t>―any person licensed or required to be licensed under the Act or these rules and regulations.</w:t>
      </w:r>
    </w:p>
    <w:p w14:paraId="775D0D33" w14:textId="77777777" w:rsidR="00CF626A" w:rsidRPr="001531CD" w:rsidRDefault="00CF626A">
      <w:pPr>
        <w:pStyle w:val="1"/>
      </w:pPr>
      <w:r w:rsidRPr="001531CD">
        <w:rPr>
          <w:i/>
          <w:iCs/>
        </w:rPr>
        <w:t>Market Area</w:t>
      </w:r>
      <w:r w:rsidRPr="001531CD">
        <w:t>―that geographic territory in which a licensee departing from a prevailing price under the circumstances described in §323.A.2.a.i or §323.B.2.b.i, actively competes for customers with the relevant competitor and where the relevant competitor is offering the price being met or that geographic territory in which consumers of the licensee's dairy products actively shop for dairy products of the licensee and the relevant competitor and where the relevant competitor is offering the price being met.</w:t>
      </w:r>
    </w:p>
    <w:p w14:paraId="47D05796" w14:textId="77777777" w:rsidR="00CF626A" w:rsidRPr="001531CD" w:rsidRDefault="00CF626A">
      <w:pPr>
        <w:pStyle w:val="1"/>
      </w:pPr>
      <w:r w:rsidRPr="001531CD">
        <w:rPr>
          <w:i/>
          <w:iCs/>
        </w:rPr>
        <w:t>Markup</w:t>
      </w:r>
      <w:r w:rsidRPr="001531CD">
        <w:t>―an amount added to the invoice or replacement cost of dairy products to establish a reasonable sales price.</w:t>
      </w:r>
    </w:p>
    <w:p w14:paraId="1EBCEB4A" w14:textId="77777777" w:rsidR="00CF626A" w:rsidRPr="001531CD" w:rsidRDefault="00CF626A">
      <w:pPr>
        <w:pStyle w:val="1"/>
      </w:pPr>
      <w:r w:rsidRPr="001531CD">
        <w:rPr>
          <w:i/>
          <w:iCs/>
        </w:rPr>
        <w:t>Milk</w:t>
      </w:r>
      <w:r w:rsidRPr="001531CD">
        <w:t>―the lacteal secretion of one or more cows (including such secretions when raw, cooled, pasteurized, standardized, homogenized, recombined, or concentrated) which meets applicable requirements of the state health officer.</w:t>
      </w:r>
    </w:p>
    <w:p w14:paraId="509B2889" w14:textId="77777777" w:rsidR="00CF626A" w:rsidRPr="001531CD" w:rsidRDefault="00CF626A">
      <w:pPr>
        <w:pStyle w:val="1"/>
      </w:pPr>
      <w:r w:rsidRPr="001531CD">
        <w:rPr>
          <w:i/>
          <w:iCs/>
        </w:rPr>
        <w:t>Milk Case(s)</w:t>
      </w:r>
      <w:r w:rsidRPr="001531CD">
        <w:t>―the wood, metal, or plastic container utilized for transportation and/or delivering cartons, bottles, jugs, or other packages of dairy products.</w:t>
      </w:r>
    </w:p>
    <w:p w14:paraId="6B6EE184" w14:textId="77777777" w:rsidR="00CF626A" w:rsidRPr="001531CD" w:rsidRDefault="00CF626A">
      <w:pPr>
        <w:pStyle w:val="1"/>
      </w:pPr>
      <w:r w:rsidRPr="001531CD">
        <w:rPr>
          <w:i/>
          <w:iCs/>
        </w:rPr>
        <w:t>Person</w:t>
      </w:r>
      <w:r w:rsidRPr="001531CD">
        <w:t>―any licensee, individual, partnership, corporation, cooperative association, governmental agency, or any entity.</w:t>
      </w:r>
    </w:p>
    <w:p w14:paraId="17CE6550" w14:textId="77777777" w:rsidR="00CF626A" w:rsidRPr="001531CD" w:rsidRDefault="00CF626A">
      <w:pPr>
        <w:pStyle w:val="1"/>
      </w:pPr>
      <w:r w:rsidRPr="001531CD">
        <w:rPr>
          <w:i/>
          <w:iCs/>
        </w:rPr>
        <w:t>Price</w:t>
      </w:r>
      <w:r w:rsidRPr="001531CD">
        <w:t>―the net amount received or to be received by the seller in legal United States currency and currency specifically does not include trading stamps.</w:t>
      </w:r>
    </w:p>
    <w:p w14:paraId="64117851" w14:textId="77777777" w:rsidR="00CF626A" w:rsidRPr="001531CD" w:rsidRDefault="00CF626A">
      <w:pPr>
        <w:pStyle w:val="1"/>
      </w:pPr>
      <w:r w:rsidRPr="001531CD">
        <w:rPr>
          <w:i/>
          <w:iCs/>
        </w:rPr>
        <w:t>Processor</w:t>
      </w:r>
      <w:r w:rsidRPr="001531CD">
        <w:t xml:space="preserve">―a person who processes one or more dairy products or a person who purchases bulk milk for resale to a person who processes dairy products. The term does not include a person who purchases ice cream mix or ice milk mix whose processing activities are limited to converting such mix into a dairy product which will be sold on the premises where such processing occurs. </w:t>
      </w:r>
    </w:p>
    <w:p w14:paraId="0D41957E" w14:textId="77777777" w:rsidR="00CF626A" w:rsidRPr="001531CD" w:rsidRDefault="00CF626A">
      <w:pPr>
        <w:pStyle w:val="1"/>
      </w:pPr>
      <w:r w:rsidRPr="001531CD">
        <w:rPr>
          <w:i/>
          <w:iCs/>
        </w:rPr>
        <w:t>Quorum</w:t>
      </w:r>
      <w:r w:rsidRPr="001531CD">
        <w:t>―with respect to the board, four members of the board.</w:t>
      </w:r>
    </w:p>
    <w:p w14:paraId="2810C2FD" w14:textId="77777777" w:rsidR="00CF626A" w:rsidRPr="001531CD" w:rsidRDefault="00CF626A">
      <w:pPr>
        <w:pStyle w:val="1"/>
      </w:pPr>
      <w:r w:rsidRPr="001531CD">
        <w:rPr>
          <w:i/>
          <w:iCs/>
        </w:rPr>
        <w:t>Retailer</w:t>
      </w:r>
      <w:r w:rsidRPr="001531CD">
        <w:t>―any person who is engaged in transferring title to daily products to consumers at a fixed business location within the state.</w:t>
      </w:r>
    </w:p>
    <w:p w14:paraId="261530F0" w14:textId="77777777" w:rsidR="00CF626A" w:rsidRPr="001531CD" w:rsidRDefault="00CF626A">
      <w:pPr>
        <w:pStyle w:val="1"/>
      </w:pPr>
      <w:r w:rsidRPr="001531CD">
        <w:rPr>
          <w:i/>
          <w:iCs/>
        </w:rPr>
        <w:t>Slotting Allowance</w:t>
      </w:r>
      <w:r w:rsidRPr="001531CD">
        <w:t>―the payment of anything of value by a supplier as a mere reimbursement for actual, real and genuine additional direct administrative cost incurred by a purchaser in servicing the physical introduction of a product or products. Slotting allowance does not mean, under any circumstances, any payment which may be construed as an illicit payment as defined herein.</w:t>
      </w:r>
    </w:p>
    <w:p w14:paraId="1603368A" w14:textId="77777777" w:rsidR="00CF626A" w:rsidRPr="001531CD" w:rsidRDefault="00CF626A">
      <w:pPr>
        <w:pStyle w:val="1"/>
      </w:pPr>
      <w:r w:rsidRPr="001531CD">
        <w:rPr>
          <w:i/>
          <w:iCs/>
        </w:rPr>
        <w:t>Supplier</w:t>
      </w:r>
      <w:r w:rsidRPr="001531CD">
        <w:t>―processors and distributors, including wholesale grocers and cooperative grocery associations.</w:t>
      </w:r>
    </w:p>
    <w:p w14:paraId="14500D53" w14:textId="77777777" w:rsidR="00CF626A" w:rsidRPr="001531CD" w:rsidRDefault="00CF626A">
      <w:pPr>
        <w:pStyle w:val="1"/>
      </w:pPr>
      <w:r w:rsidRPr="001531CD">
        <w:rPr>
          <w:i/>
          <w:iCs/>
        </w:rPr>
        <w:t>Volume Discount</w:t>
      </w:r>
      <w:r w:rsidRPr="001531CD">
        <w:t>―a rate of reduction applicable to the price of dairy products, which rate is established on the basis of total purchases of dairy products from all suppliers of such products.</w:t>
      </w:r>
    </w:p>
    <w:p w14:paraId="5E1BDDAD" w14:textId="77777777" w:rsidR="00CF626A" w:rsidRPr="001531CD" w:rsidRDefault="00CF626A">
      <w:pPr>
        <w:pStyle w:val="1"/>
      </w:pPr>
      <w:r w:rsidRPr="001531CD">
        <w:rPr>
          <w:i/>
          <w:iCs/>
        </w:rPr>
        <w:t>Volume Discount Year</w:t>
      </w:r>
      <w:r w:rsidRPr="001531CD">
        <w:t>―the 12 months commencing on April 1 and ending on March 31.</w:t>
      </w:r>
    </w:p>
    <w:p w14:paraId="6E141C59" w14:textId="77777777" w:rsidR="00CF626A" w:rsidRPr="001531CD" w:rsidRDefault="00CF626A">
      <w:pPr>
        <w:pStyle w:val="1"/>
      </w:pPr>
      <w:r w:rsidRPr="001531CD">
        <w:rPr>
          <w:i/>
          <w:iCs/>
        </w:rPr>
        <w:t>Wholesaler</w:t>
      </w:r>
      <w:r w:rsidRPr="001531CD">
        <w:t>―any licensee engaged in the business of making sales at wholesale (the sale of dairy products in bulk or quantity as opposed to retail or direct sales to consumers) within this state, or if any person is engaged in the business of making sales at both wholesale and at retail, wholesaler shall apply only to the wholesale portion of the business.</w:t>
      </w:r>
    </w:p>
    <w:p w14:paraId="14906EC2" w14:textId="77777777" w:rsidR="00CF626A" w:rsidRPr="001531CD" w:rsidRDefault="00CF626A">
      <w:pPr>
        <w:pStyle w:val="AuthorityNote"/>
      </w:pPr>
      <w:r w:rsidRPr="001531CD">
        <w:t>AUTHORITY NOTE:</w:t>
      </w:r>
      <w:r w:rsidRPr="001531CD">
        <w:tab/>
        <w:t>Promulgated in accordance with R.S. 3:4102 and 3:4108 (formerly R.S. 40:931.2 and R.S. 40:931.8).</w:t>
      </w:r>
    </w:p>
    <w:p w14:paraId="03F5B5AA" w14:textId="77777777" w:rsidR="00CF626A" w:rsidRPr="001531CD" w:rsidRDefault="00CF626A">
      <w:pPr>
        <w:pStyle w:val="HistoricalNote"/>
      </w:pPr>
      <w:r w:rsidRPr="001531CD">
        <w:t>HISTORICAL NOTE:</w:t>
      </w:r>
      <w:r w:rsidRPr="001531CD">
        <w:tab/>
        <w:t>Promulgated by the Department of Agriculture, Dairy Stabilization Board, LR 9:3 (January 1983), amended LR 20:398 (April 1994).</w:t>
      </w:r>
    </w:p>
    <w:p w14:paraId="0446DC2E" w14:textId="77777777" w:rsidR="00CF626A" w:rsidRPr="001531CD" w:rsidRDefault="00CF626A">
      <w:pPr>
        <w:pStyle w:val="Section"/>
      </w:pPr>
      <w:bookmarkStart w:id="2890" w:name="_Toc256755038"/>
      <w:bookmarkStart w:id="2891" w:name="_Toc224819408"/>
      <w:r w:rsidRPr="001531CD">
        <w:t>§303.</w:t>
      </w:r>
      <w:r w:rsidRPr="001531CD">
        <w:tab/>
        <w:t>Administration of the Affairs of the Board</w:t>
      </w:r>
      <w:bookmarkEnd w:id="2890"/>
      <w:bookmarkEnd w:id="2891"/>
    </w:p>
    <w:p w14:paraId="2D7984A3" w14:textId="77777777" w:rsidR="00CF626A" w:rsidRPr="001531CD" w:rsidRDefault="00CF626A">
      <w:pPr>
        <w:pStyle w:val="A"/>
      </w:pPr>
      <w:r w:rsidRPr="001531CD">
        <w:t>A.</w:t>
      </w:r>
      <w:r w:rsidRPr="001531CD">
        <w:tab/>
        <w:t>The chairman shall preside at all meetings, provided that in the absence of the chairman, the vice-chairman shall preside.</w:t>
      </w:r>
    </w:p>
    <w:p w14:paraId="29E23656" w14:textId="77777777" w:rsidR="00CF626A" w:rsidRPr="001531CD" w:rsidRDefault="00CF626A">
      <w:pPr>
        <w:pStyle w:val="A"/>
      </w:pPr>
      <w:r w:rsidRPr="001531CD">
        <w:t>B.</w:t>
      </w:r>
      <w:r w:rsidRPr="001531CD">
        <w:tab/>
        <w:t>The board shall meet upon the call of the chairman or the commissioner.</w:t>
      </w:r>
    </w:p>
    <w:p w14:paraId="664B41E7" w14:textId="77777777" w:rsidR="00CF626A" w:rsidRPr="001531CD" w:rsidRDefault="00CF626A">
      <w:pPr>
        <w:pStyle w:val="A"/>
      </w:pPr>
      <w:r w:rsidRPr="001531CD">
        <w:t>C.</w:t>
      </w:r>
      <w:r w:rsidRPr="001531CD">
        <w:tab/>
        <w:t>The board may conduct at least one meeting during each quarter or may meet more frequently upon call.</w:t>
      </w:r>
    </w:p>
    <w:p w14:paraId="702C31C0" w14:textId="77777777" w:rsidR="00CF626A" w:rsidRPr="001531CD" w:rsidRDefault="00CF626A">
      <w:pPr>
        <w:pStyle w:val="A"/>
      </w:pPr>
      <w:r w:rsidRPr="001531CD">
        <w:t>D.</w:t>
      </w:r>
      <w:r w:rsidRPr="001531CD">
        <w:tab/>
        <w:t>The board may, from time to time, delegate some of its responsibilities to subcommittees of the board, provided that such delegation of authority may be granted only at a meeting where a quorum is present.</w:t>
      </w:r>
    </w:p>
    <w:p w14:paraId="6A7D9619" w14:textId="77777777" w:rsidR="00CF626A" w:rsidRPr="001531CD" w:rsidRDefault="00CF626A">
      <w:pPr>
        <w:pStyle w:val="A"/>
      </w:pPr>
      <w:r w:rsidRPr="001531CD">
        <w:t>E.</w:t>
      </w:r>
      <w:r w:rsidRPr="001531CD">
        <w:tab/>
        <w:t xml:space="preserve">Members of the board shall be entitled to reimbursement in accordance with rules and regulations governing state employees for expenses incurred in attending </w:t>
      </w:r>
      <w:r w:rsidRPr="001531CD">
        <w:lastRenderedPageBreak/>
        <w:t>meetings of the board or its subcommittees, provided that no member shall be entitled to reimbursement except for the performances of duties specifically assigned by the commissioner.</w:t>
      </w:r>
    </w:p>
    <w:p w14:paraId="6EF426F4" w14:textId="77777777" w:rsidR="00CF626A" w:rsidRPr="001531CD" w:rsidRDefault="00CF626A">
      <w:pPr>
        <w:pStyle w:val="A"/>
      </w:pPr>
      <w:r w:rsidRPr="001531CD">
        <w:t>F.</w:t>
      </w:r>
      <w:r w:rsidRPr="001531CD">
        <w:tab/>
        <w:t>Meetings of the board shall normally be held in the domicile of the board but may be held at other locations from time to time.</w:t>
      </w:r>
    </w:p>
    <w:p w14:paraId="278751BB" w14:textId="77777777" w:rsidR="00CF626A" w:rsidRPr="001531CD" w:rsidRDefault="00CF626A">
      <w:pPr>
        <w:pStyle w:val="A"/>
      </w:pPr>
      <w:r w:rsidRPr="001531CD">
        <w:t>G.</w:t>
      </w:r>
      <w:r w:rsidRPr="001531CD">
        <w:tab/>
        <w:t>Proxies shall not be permitted.</w:t>
      </w:r>
    </w:p>
    <w:p w14:paraId="0D574CC7" w14:textId="77777777" w:rsidR="00CF626A" w:rsidRPr="001531CD" w:rsidRDefault="00CF626A">
      <w:pPr>
        <w:pStyle w:val="A"/>
      </w:pPr>
      <w:r w:rsidRPr="001531CD">
        <w:t>H.</w:t>
      </w:r>
      <w:r w:rsidRPr="001531CD">
        <w:tab/>
        <w:t>No final action shall be taken by the board except at a meeting where a quorum is in attendance.</w:t>
      </w:r>
    </w:p>
    <w:p w14:paraId="69291999" w14:textId="77777777" w:rsidR="00CF626A" w:rsidRPr="001531CD" w:rsidRDefault="00CF626A">
      <w:pPr>
        <w:pStyle w:val="AuthorityNote"/>
      </w:pPr>
      <w:r w:rsidRPr="001531CD">
        <w:t>AUTHORITY NOTE:</w:t>
      </w:r>
      <w:r w:rsidRPr="001531CD">
        <w:tab/>
        <w:t>Promulgated in accordance with R.S. 3:4107 and 3:4108 (formerly R.S. 40:931.7 and R.S. 40:931.8).</w:t>
      </w:r>
    </w:p>
    <w:p w14:paraId="68C80255" w14:textId="77777777" w:rsidR="00CF626A" w:rsidRPr="001531CD" w:rsidRDefault="00CF626A">
      <w:pPr>
        <w:pStyle w:val="HistoricalNote"/>
      </w:pPr>
      <w:r w:rsidRPr="001531CD">
        <w:t>HISTORICAL NOTE:</w:t>
      </w:r>
      <w:r w:rsidRPr="001531CD">
        <w:tab/>
        <w:t>Promulgated by the Department of Agriculture, Dairy Stabilization Board, LR 9:4 (January 1983), amended LR 20:399 (April 1994).</w:t>
      </w:r>
    </w:p>
    <w:p w14:paraId="5C0E6B77" w14:textId="77777777" w:rsidR="00CF626A" w:rsidRPr="001531CD" w:rsidRDefault="00CF626A">
      <w:pPr>
        <w:pStyle w:val="Section"/>
      </w:pPr>
      <w:bookmarkStart w:id="2892" w:name="_Toc256755039"/>
      <w:bookmarkStart w:id="2893" w:name="_Toc224819409"/>
      <w:r w:rsidRPr="001531CD">
        <w:t>§305.</w:t>
      </w:r>
      <w:r w:rsidRPr="001531CD">
        <w:tab/>
        <w:t>Licenses Required and Procedure</w:t>
      </w:r>
      <w:bookmarkEnd w:id="2892"/>
      <w:bookmarkEnd w:id="2893"/>
    </w:p>
    <w:p w14:paraId="303DA659" w14:textId="77777777" w:rsidR="00CF626A" w:rsidRPr="001531CD" w:rsidRDefault="00CF626A">
      <w:pPr>
        <w:pStyle w:val="A"/>
      </w:pPr>
      <w:r w:rsidRPr="001531CD">
        <w:t>A.</w:t>
      </w:r>
      <w:r w:rsidRPr="001531CD">
        <w:tab/>
        <w:t>Each retailer, distributor, processor or any person must be licensed by the board or the commissioner prior to and while conducting any business of buying and/or selling dairy products.</w:t>
      </w:r>
    </w:p>
    <w:p w14:paraId="4823704F" w14:textId="77777777" w:rsidR="00CF626A" w:rsidRPr="001531CD" w:rsidRDefault="00CF626A">
      <w:pPr>
        <w:pStyle w:val="A"/>
      </w:pPr>
      <w:r w:rsidRPr="001531CD">
        <w:t>B.</w:t>
      </w:r>
      <w:r w:rsidRPr="001531CD">
        <w:tab/>
        <w:t>The board or the commissioner shall maintain a list of each retailer of dairy products. This list shall be known as the Retailer License List. Inclusion on the list shall constitute licensing of the retailer. Temporary removal from the list shall constitute suspension of the license and permanent or indefinite removal from the list shall constitute revocation of the retailer's license. The Retailer License List shall be a public record.</w:t>
      </w:r>
    </w:p>
    <w:p w14:paraId="12986796" w14:textId="77777777" w:rsidR="00CF626A" w:rsidRPr="001531CD" w:rsidRDefault="00CF626A">
      <w:pPr>
        <w:pStyle w:val="A"/>
      </w:pPr>
      <w:r w:rsidRPr="001531CD">
        <w:t>C.</w:t>
      </w:r>
      <w:r w:rsidRPr="001531CD">
        <w:tab/>
        <w:t>It shall be the obligation of each retailer to inform the board or commissioner, in writing, the full name, address of each location at which it sells dairy products, all applicable phone numbers, whether a corporation, partnership, sole proprietorship or other type of entity and the name, title, address and phone number of the highest ranking officer, partner or manager, before selling any dairy products. Upon receipt of such information the board or the commissioner shall include the retailer on the Retailer License List unless the board or commissioner finds after a hearing in accordance with the Administrative Procedure Act that the retailer notwithstanding the foregoing Paragraphs is in effect a person or entity whose license has been previously suspended or revoked. The board or commissioner may include any retailer on the Retailer License List which it believes to be engaged in the business of retailing and where there is no cause not to include said retailer on the Retailer License List.</w:t>
      </w:r>
    </w:p>
    <w:p w14:paraId="7BCA93A5" w14:textId="77777777" w:rsidR="00CF626A" w:rsidRPr="001531CD" w:rsidRDefault="00CF626A" w:rsidP="009770F1">
      <w:pPr>
        <w:pStyle w:val="A"/>
        <w:keepNext/>
        <w:spacing w:after="80"/>
      </w:pPr>
      <w:r w:rsidRPr="001531CD">
        <w:t>D.</w:t>
      </w:r>
      <w:r w:rsidRPr="001531CD">
        <w:tab/>
        <w:t>For licensure, each processor and distributor must:</w:t>
      </w:r>
    </w:p>
    <w:p w14:paraId="258F1CF3" w14:textId="77777777" w:rsidR="00CF626A" w:rsidRPr="001531CD" w:rsidRDefault="00CF626A" w:rsidP="009770F1">
      <w:pPr>
        <w:pStyle w:val="1"/>
        <w:spacing w:after="80"/>
      </w:pPr>
      <w:r w:rsidRPr="001531CD">
        <w:t>1.</w:t>
      </w:r>
      <w:r w:rsidRPr="001531CD">
        <w:tab/>
        <w:t>complete the application form required by the board or the commissioner;</w:t>
      </w:r>
    </w:p>
    <w:p w14:paraId="7E56616D" w14:textId="77777777" w:rsidR="00CF626A" w:rsidRPr="001531CD" w:rsidRDefault="00CF626A" w:rsidP="009770F1">
      <w:pPr>
        <w:pStyle w:val="1"/>
        <w:spacing w:after="80"/>
      </w:pPr>
      <w:r w:rsidRPr="001531CD">
        <w:t>2.</w:t>
      </w:r>
      <w:r w:rsidRPr="001531CD">
        <w:tab/>
        <w:t>demonstrate compliance with all pertinent requirements of agencies of government.</w:t>
      </w:r>
    </w:p>
    <w:p w14:paraId="52E499EB" w14:textId="77777777" w:rsidR="00CF626A" w:rsidRPr="001531CD" w:rsidRDefault="00CF626A" w:rsidP="009770F1">
      <w:pPr>
        <w:pStyle w:val="A"/>
        <w:spacing w:after="80"/>
      </w:pPr>
      <w:r w:rsidRPr="001531CD">
        <w:t>E.</w:t>
      </w:r>
      <w:r w:rsidRPr="001531CD">
        <w:tab/>
        <w:t>Each license is personal to the holder thereof and may not be transferred to another for any purpose nor for any period of time.</w:t>
      </w:r>
    </w:p>
    <w:p w14:paraId="26F1A803" w14:textId="77777777" w:rsidR="00CF626A" w:rsidRPr="001531CD" w:rsidRDefault="00CF626A" w:rsidP="009770F1">
      <w:pPr>
        <w:pStyle w:val="A"/>
        <w:spacing w:after="80"/>
      </w:pPr>
      <w:r w:rsidRPr="001531CD">
        <w:t>F.</w:t>
      </w:r>
      <w:r w:rsidRPr="001531CD">
        <w:tab/>
        <w:t>Any license suspended or revoked by the board or commissioner may be re-issued after due deliberation by the board or commissioner in their discretion.</w:t>
      </w:r>
    </w:p>
    <w:p w14:paraId="1FC73430" w14:textId="77777777" w:rsidR="00CF626A" w:rsidRPr="001531CD" w:rsidRDefault="00CF626A" w:rsidP="009770F1">
      <w:pPr>
        <w:pStyle w:val="A"/>
        <w:spacing w:after="80"/>
      </w:pPr>
      <w:r w:rsidRPr="001531CD">
        <w:t>G.</w:t>
      </w:r>
      <w:r w:rsidRPr="001531CD">
        <w:tab/>
        <w:t>Each licensee is responsible for assuring that the other party or parties to any transaction of sale or purchase of dairy products is properly licensed by the board or commissioner.</w:t>
      </w:r>
    </w:p>
    <w:p w14:paraId="3829D8A6" w14:textId="77777777" w:rsidR="00CF626A" w:rsidRPr="001531CD" w:rsidRDefault="00CF626A">
      <w:pPr>
        <w:pStyle w:val="AuthorityNote"/>
      </w:pPr>
      <w:r w:rsidRPr="001531CD">
        <w:t>AUTHORITY NOTE:</w:t>
      </w:r>
      <w:r w:rsidRPr="001531CD">
        <w:tab/>
        <w:t>Promulgated in accordance with R.S. 3:4109 and R.S. 3:4108 (formerly R.S. 40:931.10 and R.S. 40:931.8).</w:t>
      </w:r>
    </w:p>
    <w:p w14:paraId="38692F86" w14:textId="77777777" w:rsidR="00CF626A" w:rsidRPr="001531CD" w:rsidRDefault="00CF626A">
      <w:pPr>
        <w:pStyle w:val="HistoricalNote"/>
      </w:pPr>
      <w:r w:rsidRPr="001531CD">
        <w:t>HISTORICAL NOTE:</w:t>
      </w:r>
      <w:r w:rsidRPr="001531CD">
        <w:tab/>
        <w:t>Promulgated by the Department of Agriculture, Dairy Stabilization Board, LR 9:5 (January 1983), amended LR 20:399 (April 1994).</w:t>
      </w:r>
    </w:p>
    <w:p w14:paraId="3650EBA4" w14:textId="77777777" w:rsidR="00CF626A" w:rsidRPr="001531CD" w:rsidRDefault="00CF626A">
      <w:pPr>
        <w:pStyle w:val="Section"/>
      </w:pPr>
      <w:bookmarkStart w:id="2894" w:name="_Toc256755040"/>
      <w:bookmarkStart w:id="2895" w:name="_Toc224819410"/>
      <w:r w:rsidRPr="001531CD">
        <w:t>§307.</w:t>
      </w:r>
      <w:r w:rsidRPr="001531CD">
        <w:tab/>
        <w:t>Assessments</w:t>
      </w:r>
      <w:bookmarkEnd w:id="2894"/>
      <w:bookmarkEnd w:id="2895"/>
    </w:p>
    <w:p w14:paraId="596CC2C0" w14:textId="77777777" w:rsidR="00CF626A" w:rsidRPr="001531CD" w:rsidRDefault="00CF626A">
      <w:pPr>
        <w:pStyle w:val="A"/>
      </w:pPr>
      <w:r w:rsidRPr="001531CD">
        <w:t>A.</w:t>
      </w:r>
      <w:r w:rsidRPr="001531CD">
        <w:tab/>
        <w:t>Pursuant to R.S. 3:4101, an assessment of $0.03 per hundredweight is hereby levied upon the first sale of dairy products within the state of Louisiana by the processor, distributor or retailer licensee who sells such product. The assessment shall be due and payable on all sales of dairy products during the previous month.</w:t>
      </w:r>
    </w:p>
    <w:p w14:paraId="3C78273A" w14:textId="77777777" w:rsidR="00CF626A" w:rsidRPr="001531CD" w:rsidRDefault="00CF626A">
      <w:pPr>
        <w:pStyle w:val="A"/>
      </w:pPr>
      <w:r w:rsidRPr="001531CD">
        <w:t>B.</w:t>
      </w:r>
      <w:r w:rsidRPr="001531CD">
        <w:tab/>
        <w:t>Only one assessment shall be levied on any given lot of dairy products. For example, when a processor makes the first sale of a given lot of dairy products and pays the assessment due thereon, no assessment shall be due from the distributor or retailer of that lot of dairy products. However, when a distributor makes the first sale within this state of a given lot of dairy products, the distributor or retailer shall be liable for payment of the required assessment on such lot.</w:t>
      </w:r>
    </w:p>
    <w:p w14:paraId="6885AFFD" w14:textId="77777777" w:rsidR="00CF626A" w:rsidRPr="001531CD" w:rsidRDefault="00CF626A">
      <w:pPr>
        <w:pStyle w:val="A"/>
      </w:pPr>
      <w:r w:rsidRPr="001531CD">
        <w:t>C.</w:t>
      </w:r>
      <w:r w:rsidRPr="001531CD">
        <w:tab/>
        <w:t xml:space="preserve">The assessment on frozen desserts shall be determined by converting the frozen desserts to </w:t>
      </w:r>
      <w:r w:rsidR="00937875" w:rsidRPr="001531CD">
        <w:br/>
      </w:r>
      <w:r w:rsidRPr="001531CD">
        <w:t>milk equivalents by the following procedure: Multiply total non-fat milk solids x 5.79 and multiply total pounds fat x 12.5, add the two results. The resulting figure shall be used as a milk equivalent.</w:t>
      </w:r>
    </w:p>
    <w:p w14:paraId="6BBD6788" w14:textId="77777777" w:rsidR="00CF626A" w:rsidRPr="001531CD" w:rsidRDefault="00CF626A">
      <w:pPr>
        <w:pStyle w:val="A"/>
      </w:pPr>
      <w:r w:rsidRPr="001531CD">
        <w:t>D.</w:t>
      </w:r>
      <w:r w:rsidRPr="001531CD">
        <w:tab/>
        <w:t>Assessments must be paid on or before the last day of the month following the month in which the sales occur. (For example, a report filed on December 31 should include all sales made during the month of November.) Assessments must be remitted to the board or commissioner together with the reporting form required by the board or commissioner. Each processor, distributor and retailer required under Subsection A hereof to pay the assessment must file the required report and pay the assessment on the due date.</w:t>
      </w:r>
    </w:p>
    <w:p w14:paraId="5C39B874" w14:textId="77777777" w:rsidR="00CF626A" w:rsidRPr="001531CD" w:rsidRDefault="00CF626A">
      <w:pPr>
        <w:pStyle w:val="A"/>
      </w:pPr>
      <w:r w:rsidRPr="001531CD">
        <w:t>E.</w:t>
      </w:r>
      <w:r w:rsidRPr="001531CD">
        <w:tab/>
        <w:t>Licensees whose assessments amount to $25 or less each year may pay the total assessment for the 12 months of the year on an annual basis, provided that such licensees must file the reporting form required by the board or commissioner.</w:t>
      </w:r>
    </w:p>
    <w:p w14:paraId="2D661149" w14:textId="77777777" w:rsidR="00CF626A" w:rsidRPr="001531CD" w:rsidRDefault="00CF626A">
      <w:pPr>
        <w:pStyle w:val="AuthorityNote"/>
      </w:pPr>
      <w:r w:rsidRPr="001531CD">
        <w:t>AUTHORITY NOTE:</w:t>
      </w:r>
      <w:r w:rsidRPr="001531CD">
        <w:tab/>
        <w:t>Promulgated in accordance with R.S. 3:4111 and R.S. 3:4108 (formerly R.S. 40:931.13 and R.S. 40:931.8).</w:t>
      </w:r>
    </w:p>
    <w:p w14:paraId="3FB1DA83" w14:textId="77777777" w:rsidR="00CF626A" w:rsidRPr="001531CD" w:rsidRDefault="00CF626A">
      <w:pPr>
        <w:pStyle w:val="HistoricalNote"/>
      </w:pPr>
      <w:r w:rsidRPr="001531CD">
        <w:t>HISTORICAL NOTE:</w:t>
      </w:r>
      <w:r w:rsidRPr="001531CD">
        <w:tab/>
        <w:t>Promulgated by the Department of Agriculture, Dairy Stabilization Board, LR 9:5 (January 1983), amended LR 20:399 (April 1994).</w:t>
      </w:r>
    </w:p>
    <w:p w14:paraId="2518A7E3" w14:textId="77777777" w:rsidR="00CF626A" w:rsidRPr="001531CD" w:rsidRDefault="0008300C">
      <w:pPr>
        <w:pStyle w:val="Section"/>
      </w:pPr>
      <w:bookmarkStart w:id="2896" w:name="_Toc256755041"/>
      <w:bookmarkStart w:id="2897" w:name="_Toc224819411"/>
      <w:r w:rsidRPr="001531CD">
        <w:t>§309.</w:t>
      </w:r>
      <w:r w:rsidRPr="001531CD">
        <w:tab/>
      </w:r>
      <w:r w:rsidR="00CF626A" w:rsidRPr="001531CD">
        <w:t>Volume Discounts Program and Procedures</w:t>
      </w:r>
      <w:bookmarkEnd w:id="2896"/>
      <w:bookmarkEnd w:id="2897"/>
    </w:p>
    <w:p w14:paraId="3DED7034" w14:textId="77777777" w:rsidR="00CF626A" w:rsidRPr="001531CD" w:rsidRDefault="00CF626A">
      <w:pPr>
        <w:pStyle w:val="A"/>
      </w:pPr>
      <w:r w:rsidRPr="001531CD">
        <w:t>A.</w:t>
      </w:r>
      <w:r w:rsidRPr="001531CD">
        <w:tab/>
        <w:t xml:space="preserve">Any licensed retailer desiring to receive a volume discount from its suppliers must first be approved by the board or commissioner to receive a volume discount. To be approved by the board or commissioner, the retailer must </w:t>
      </w:r>
      <w:r w:rsidRPr="001531CD">
        <w:lastRenderedPageBreak/>
        <w:t>complete a volume discount eligibility application, on forms provided by the board or commissioner. The application must include all fluid milk purchases during the standard three-month base period and/or all frozen dessert purchases during the standard 12-month base period. The application is subject to verification by the board or commissioner.</w:t>
      </w:r>
    </w:p>
    <w:p w14:paraId="58F65255" w14:textId="77777777" w:rsidR="00CF626A" w:rsidRPr="001531CD" w:rsidRDefault="00CF626A">
      <w:pPr>
        <w:pStyle w:val="A"/>
      </w:pPr>
      <w:r w:rsidRPr="001531CD">
        <w:t>B.</w:t>
      </w:r>
      <w:r w:rsidRPr="001531CD">
        <w:tab/>
        <w:t>Processors and distributors may grant volume discounts to a licensed retailer upon receipt of notification from the board or commissioner of the retailer's eligibility to receive a volume discount.</w:t>
      </w:r>
    </w:p>
    <w:p w14:paraId="7CC15FBE" w14:textId="77777777" w:rsidR="00CF626A" w:rsidRPr="001531CD" w:rsidRDefault="00CF626A">
      <w:pPr>
        <w:pStyle w:val="A"/>
      </w:pPr>
      <w:r w:rsidRPr="001531CD">
        <w:t>C.</w:t>
      </w:r>
      <w:r w:rsidRPr="001531CD">
        <w:tab/>
        <w:t>The board or commissioner will annually, on or before April 1, publish a list of all retailers eligible to receive volume discounts, including the retailer's name and address, the rate(s) of discount authorized for each such retailer, and the effective date of such volume discount. The board or commissioner shall promptly notify all processors and distributors of any retailer approved for volume discounts subsequent to publication of the annual listing.</w:t>
      </w:r>
    </w:p>
    <w:p w14:paraId="2182E633" w14:textId="77777777" w:rsidR="00CF626A" w:rsidRPr="001531CD" w:rsidRDefault="00CF626A">
      <w:pPr>
        <w:pStyle w:val="A"/>
      </w:pPr>
      <w:r w:rsidRPr="001531CD">
        <w:t>D.</w:t>
      </w:r>
      <w:r w:rsidRPr="001531CD">
        <w:tab/>
        <w:t>The authorized rate(s) of volume discount(s) will be established on the basis of a retailer's total purchases of fluid milk and/or frozen desserts from all suppliers during the appropriate base period.</w:t>
      </w:r>
    </w:p>
    <w:p w14:paraId="35C5F4D7" w14:textId="77777777" w:rsidR="00CF626A" w:rsidRPr="001531CD" w:rsidRDefault="00CF626A">
      <w:pPr>
        <w:pStyle w:val="A"/>
      </w:pPr>
      <w:r w:rsidRPr="001531CD">
        <w:t>E.</w:t>
      </w:r>
      <w:r w:rsidRPr="001531CD">
        <w:tab/>
        <w:t>The standard base period for calculation of the authorized rate of volume discount for fluid milk will be the months of August, September and October of each year. The standard base period for calculation of the authorized rate of volume discount for frozen desserts will be November 1 through October 31 immediately preceding the retailer's application.</w:t>
      </w:r>
    </w:p>
    <w:p w14:paraId="064EAC6F" w14:textId="77777777" w:rsidR="00CF626A" w:rsidRPr="001531CD" w:rsidRDefault="00CF626A">
      <w:pPr>
        <w:pStyle w:val="A"/>
      </w:pPr>
      <w:r w:rsidRPr="001531CD">
        <w:t>F.</w:t>
      </w:r>
      <w:r w:rsidRPr="001531CD">
        <w:tab/>
        <w:t>A retailer that has not been in operation during the entire standard base period may, with the approval of the board or commissioner, use for fluid milk, his first full three calendar month's purchases and, for frozen desserts, his first full 12 calendar month's purchases.</w:t>
      </w:r>
    </w:p>
    <w:p w14:paraId="1339C703" w14:textId="77777777" w:rsidR="00CF626A" w:rsidRPr="001531CD" w:rsidRDefault="00CF626A">
      <w:pPr>
        <w:pStyle w:val="A"/>
      </w:pPr>
      <w:r w:rsidRPr="001531CD">
        <w:t>G.</w:t>
      </w:r>
      <w:r w:rsidRPr="001531CD">
        <w:tab/>
        <w:t>The authorized rate of volume discount on fluid milk purchases will be established by totaling the value of all fluid milk purchases from all suppliers during the approved base period and dividing said total by three.</w:t>
      </w:r>
    </w:p>
    <w:p w14:paraId="2A9489C5" w14:textId="77777777" w:rsidR="00CF626A" w:rsidRPr="001531CD" w:rsidRDefault="00CF626A">
      <w:pPr>
        <w:pStyle w:val="A"/>
      </w:pPr>
      <w:r w:rsidRPr="001531CD">
        <w:t>H.</w:t>
      </w:r>
      <w:r w:rsidRPr="001531CD">
        <w:tab/>
        <w:t>The authorized rate of volume discount on frozen desserts will be established by totaling the value of all frozen dessert products purchased from all suppliers during the approved base period.</w:t>
      </w:r>
    </w:p>
    <w:p w14:paraId="1F760F94" w14:textId="77777777" w:rsidR="00CF626A" w:rsidRPr="001531CD" w:rsidRDefault="00CF626A">
      <w:pPr>
        <w:pStyle w:val="A"/>
      </w:pPr>
      <w:r w:rsidRPr="001531CD">
        <w:t>I.</w:t>
      </w:r>
      <w:r w:rsidRPr="001531CD">
        <w:tab/>
        <w:t>The authorized rate of volume discount for each retailer shall become effective on April 1 of the year following the application and shall remain in effect until the following March 31, except as provided in §309.F. Volume discount rates for a new retailer shall become effective as of his first day of business and remain in effect until he has operated for a full volume discount year.</w:t>
      </w:r>
    </w:p>
    <w:p w14:paraId="0F405F69" w14:textId="77777777" w:rsidR="00CF626A" w:rsidRPr="001531CD" w:rsidRDefault="00CF626A">
      <w:pPr>
        <w:pStyle w:val="A"/>
        <w:spacing w:after="200"/>
      </w:pPr>
      <w:r w:rsidRPr="001531CD">
        <w:t>J.</w:t>
      </w:r>
      <w:r w:rsidRPr="001531CD">
        <w:tab/>
        <w:t>The authorized rates of volume discount of fluid milk purchases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3420"/>
        <w:gridCol w:w="1080"/>
      </w:tblGrid>
      <w:tr w:rsidR="00CF626A" w:rsidRPr="001531CD" w14:paraId="26C3FF06" w14:textId="77777777" w:rsidTr="00CA2EC7">
        <w:trPr>
          <w:cantSplit/>
          <w:jc w:val="center"/>
        </w:trPr>
        <w:tc>
          <w:tcPr>
            <w:tcW w:w="3420" w:type="dxa"/>
            <w:tcBorders>
              <w:top w:val="double" w:sz="6" w:space="0" w:color="000000"/>
              <w:bottom w:val="single" w:sz="6" w:space="0" w:color="000000"/>
            </w:tcBorders>
            <w:shd w:val="clear" w:color="000000" w:fill="BFBFBF"/>
            <w:vAlign w:val="bottom"/>
          </w:tcPr>
          <w:p w14:paraId="3398ECED" w14:textId="77777777" w:rsidR="00CF626A" w:rsidRPr="001531CD" w:rsidRDefault="00CF626A" w:rsidP="0008300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Average Monthly Purchases from </w:t>
            </w:r>
            <w:r w:rsidRPr="001531CD">
              <w:rPr>
                <w:b/>
                <w:bCs/>
                <w:kern w:val="2"/>
                <w:sz w:val="16"/>
              </w:rPr>
              <w:br/>
              <w:t>All Suppliers Discount Rate</w:t>
            </w:r>
          </w:p>
        </w:tc>
        <w:tc>
          <w:tcPr>
            <w:tcW w:w="1080" w:type="dxa"/>
            <w:tcBorders>
              <w:top w:val="double" w:sz="6" w:space="0" w:color="000000"/>
              <w:bottom w:val="single" w:sz="6" w:space="0" w:color="000000"/>
            </w:tcBorders>
            <w:shd w:val="clear" w:color="000000" w:fill="BFBFBF"/>
            <w:vAlign w:val="bottom"/>
          </w:tcPr>
          <w:p w14:paraId="0CC61944" w14:textId="77777777" w:rsidR="00CF626A" w:rsidRPr="001531CD" w:rsidRDefault="00CF626A" w:rsidP="00CA2EC7">
            <w:pPr>
              <w:keepNext/>
              <w:jc w:val="center"/>
              <w:rPr>
                <w:b/>
                <w:bCs/>
                <w:kern w:val="2"/>
                <w:sz w:val="16"/>
              </w:rPr>
            </w:pPr>
            <w:r w:rsidRPr="001531CD">
              <w:rPr>
                <w:b/>
                <w:bCs/>
                <w:kern w:val="2"/>
                <w:sz w:val="16"/>
              </w:rPr>
              <w:t>Volume</w:t>
            </w:r>
          </w:p>
        </w:tc>
      </w:tr>
      <w:tr w:rsidR="00CF626A" w:rsidRPr="001531CD" w14:paraId="3CD77951" w14:textId="77777777" w:rsidTr="00CA2EC7">
        <w:trPr>
          <w:cantSplit/>
          <w:jc w:val="center"/>
        </w:trPr>
        <w:tc>
          <w:tcPr>
            <w:tcW w:w="3420" w:type="dxa"/>
            <w:tcBorders>
              <w:top w:val="single" w:sz="6" w:space="0" w:color="000000"/>
            </w:tcBorders>
          </w:tcPr>
          <w:p w14:paraId="481B614C" w14:textId="77777777"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$1,000.00 to $1,500.00</w:t>
            </w:r>
          </w:p>
        </w:tc>
        <w:tc>
          <w:tcPr>
            <w:tcW w:w="1080" w:type="dxa"/>
            <w:tcBorders>
              <w:top w:val="single" w:sz="6" w:space="0" w:color="000000"/>
            </w:tcBorders>
            <w:vAlign w:val="bottom"/>
          </w:tcPr>
          <w:p w14:paraId="5D706B76" w14:textId="77777777" w:rsidR="00CF626A" w:rsidRPr="001531CD" w:rsidRDefault="00CF626A" w:rsidP="00CA2EC7">
            <w:pPr>
              <w:keepNext/>
              <w:jc w:val="center"/>
              <w:rPr>
                <w:kern w:val="2"/>
                <w:sz w:val="16"/>
              </w:rPr>
            </w:pPr>
            <w:r w:rsidRPr="001531CD">
              <w:rPr>
                <w:kern w:val="2"/>
                <w:sz w:val="16"/>
              </w:rPr>
              <w:t>3</w:t>
            </w:r>
            <w:r w:rsidR="00CA2EC7" w:rsidRPr="001531CD">
              <w:rPr>
                <w:kern w:val="2"/>
                <w:sz w:val="16"/>
              </w:rPr>
              <w:t xml:space="preserve"> percent</w:t>
            </w:r>
          </w:p>
        </w:tc>
      </w:tr>
      <w:tr w:rsidR="00CF626A" w:rsidRPr="001531CD" w14:paraId="4CA449C9" w14:textId="77777777" w:rsidTr="00CA2EC7">
        <w:trPr>
          <w:cantSplit/>
          <w:jc w:val="center"/>
        </w:trPr>
        <w:tc>
          <w:tcPr>
            <w:tcW w:w="3420" w:type="dxa"/>
          </w:tcPr>
          <w:p w14:paraId="3155DE09" w14:textId="77777777"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$1,500.01 to $2,500.00</w:t>
            </w:r>
          </w:p>
        </w:tc>
        <w:tc>
          <w:tcPr>
            <w:tcW w:w="1080" w:type="dxa"/>
            <w:vAlign w:val="bottom"/>
          </w:tcPr>
          <w:p w14:paraId="4633CF4B" w14:textId="77777777" w:rsidR="00CF626A" w:rsidRPr="001531CD" w:rsidRDefault="00CF626A" w:rsidP="00CA2EC7">
            <w:pPr>
              <w:keepNext/>
              <w:jc w:val="center"/>
              <w:rPr>
                <w:kern w:val="2"/>
                <w:sz w:val="16"/>
              </w:rPr>
            </w:pPr>
            <w:r w:rsidRPr="001531CD">
              <w:rPr>
                <w:kern w:val="2"/>
                <w:sz w:val="16"/>
              </w:rPr>
              <w:t>4</w:t>
            </w:r>
            <w:r w:rsidR="00CA2EC7" w:rsidRPr="001531CD">
              <w:rPr>
                <w:kern w:val="2"/>
                <w:sz w:val="16"/>
              </w:rPr>
              <w:t xml:space="preserve"> percent</w:t>
            </w:r>
          </w:p>
        </w:tc>
      </w:tr>
      <w:tr w:rsidR="00CF626A" w:rsidRPr="001531CD" w14:paraId="3A349D38" w14:textId="77777777" w:rsidTr="00CA2EC7">
        <w:trPr>
          <w:cantSplit/>
          <w:jc w:val="center"/>
        </w:trPr>
        <w:tc>
          <w:tcPr>
            <w:tcW w:w="3420" w:type="dxa"/>
          </w:tcPr>
          <w:p w14:paraId="55AF802E" w14:textId="77777777"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$2,500.01 to $3,500.00</w:t>
            </w:r>
          </w:p>
        </w:tc>
        <w:tc>
          <w:tcPr>
            <w:tcW w:w="1080" w:type="dxa"/>
            <w:vAlign w:val="bottom"/>
          </w:tcPr>
          <w:p w14:paraId="48D54E96" w14:textId="77777777" w:rsidR="00CF626A" w:rsidRPr="001531CD" w:rsidRDefault="00CF626A" w:rsidP="00CA2EC7">
            <w:pPr>
              <w:keepNext/>
              <w:jc w:val="center"/>
              <w:rPr>
                <w:kern w:val="2"/>
                <w:sz w:val="16"/>
              </w:rPr>
            </w:pPr>
            <w:r w:rsidRPr="001531CD">
              <w:rPr>
                <w:kern w:val="2"/>
                <w:sz w:val="16"/>
              </w:rPr>
              <w:t>5</w:t>
            </w:r>
            <w:r w:rsidR="00CA2EC7" w:rsidRPr="001531CD">
              <w:rPr>
                <w:kern w:val="2"/>
                <w:sz w:val="16"/>
              </w:rPr>
              <w:t xml:space="preserve"> percent</w:t>
            </w:r>
          </w:p>
        </w:tc>
      </w:tr>
      <w:tr w:rsidR="00CF626A" w:rsidRPr="001531CD" w14:paraId="3D2B23C7" w14:textId="77777777" w:rsidTr="00CA2EC7">
        <w:trPr>
          <w:cantSplit/>
          <w:jc w:val="center"/>
        </w:trPr>
        <w:tc>
          <w:tcPr>
            <w:tcW w:w="3420" w:type="dxa"/>
          </w:tcPr>
          <w:p w14:paraId="0F804730" w14:textId="77777777"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$3,500.01 to $4,500.00</w:t>
            </w:r>
          </w:p>
        </w:tc>
        <w:tc>
          <w:tcPr>
            <w:tcW w:w="1080" w:type="dxa"/>
            <w:vAlign w:val="bottom"/>
          </w:tcPr>
          <w:p w14:paraId="4737A7BF" w14:textId="77777777" w:rsidR="00CF626A" w:rsidRPr="001531CD" w:rsidRDefault="00CF626A" w:rsidP="00CA2EC7">
            <w:pPr>
              <w:keepNext/>
              <w:jc w:val="center"/>
              <w:rPr>
                <w:kern w:val="2"/>
                <w:sz w:val="16"/>
              </w:rPr>
            </w:pPr>
            <w:r w:rsidRPr="001531CD">
              <w:rPr>
                <w:kern w:val="2"/>
                <w:sz w:val="16"/>
              </w:rPr>
              <w:t>6</w:t>
            </w:r>
            <w:r w:rsidR="00CA2EC7" w:rsidRPr="001531CD">
              <w:rPr>
                <w:kern w:val="2"/>
                <w:sz w:val="16"/>
              </w:rPr>
              <w:t xml:space="preserve"> percent</w:t>
            </w:r>
          </w:p>
        </w:tc>
      </w:tr>
      <w:tr w:rsidR="00CF626A" w:rsidRPr="001531CD" w14:paraId="3C565F84" w14:textId="77777777" w:rsidTr="00CA2EC7">
        <w:trPr>
          <w:cantSplit/>
          <w:jc w:val="center"/>
        </w:trPr>
        <w:tc>
          <w:tcPr>
            <w:tcW w:w="3420" w:type="dxa"/>
          </w:tcPr>
          <w:p w14:paraId="3B085785" w14:textId="77777777" w:rsidR="00CF626A" w:rsidRPr="001531CD" w:rsidRDefault="00CF626A">
            <w:pPr>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$4,500.01 and over</w:t>
            </w:r>
          </w:p>
        </w:tc>
        <w:tc>
          <w:tcPr>
            <w:tcW w:w="1080" w:type="dxa"/>
            <w:vAlign w:val="bottom"/>
          </w:tcPr>
          <w:p w14:paraId="4A125512" w14:textId="77777777" w:rsidR="00CF626A" w:rsidRPr="001531CD" w:rsidRDefault="00CF626A" w:rsidP="00CA2EC7">
            <w:pPr>
              <w:jc w:val="center"/>
              <w:rPr>
                <w:kern w:val="2"/>
                <w:sz w:val="16"/>
              </w:rPr>
            </w:pPr>
            <w:r w:rsidRPr="001531CD">
              <w:rPr>
                <w:kern w:val="2"/>
                <w:sz w:val="16"/>
              </w:rPr>
              <w:t>7</w:t>
            </w:r>
            <w:r w:rsidR="00CA2EC7" w:rsidRPr="001531CD">
              <w:rPr>
                <w:kern w:val="2"/>
                <w:sz w:val="16"/>
              </w:rPr>
              <w:t xml:space="preserve"> percent</w:t>
            </w:r>
          </w:p>
        </w:tc>
      </w:tr>
    </w:tbl>
    <w:p w14:paraId="589B2BD6" w14:textId="77777777" w:rsidR="00CF626A" w:rsidRPr="001531CD" w:rsidRDefault="00CF626A">
      <w:pPr>
        <w:pStyle w:val="A"/>
        <w:spacing w:before="200" w:after="200"/>
      </w:pPr>
      <w:r w:rsidRPr="001531CD">
        <w:t>K.</w:t>
      </w:r>
      <w:r w:rsidRPr="001531CD">
        <w:tab/>
        <w:t>The authorized rates of volume discount on frozen desserts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3330"/>
        <w:gridCol w:w="1080"/>
      </w:tblGrid>
      <w:tr w:rsidR="00CF626A" w:rsidRPr="001531CD" w14:paraId="5349FEA0" w14:textId="77777777">
        <w:trPr>
          <w:cantSplit/>
          <w:jc w:val="center"/>
        </w:trPr>
        <w:tc>
          <w:tcPr>
            <w:tcW w:w="3330" w:type="dxa"/>
            <w:tcBorders>
              <w:top w:val="double" w:sz="6" w:space="0" w:color="000000"/>
              <w:bottom w:val="single" w:sz="6" w:space="0" w:color="000000"/>
            </w:tcBorders>
            <w:shd w:val="clear" w:color="000000" w:fill="E0E0E0"/>
            <w:vAlign w:val="bottom"/>
          </w:tcPr>
          <w:p w14:paraId="53ED8543"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Total Annual Purchases from </w:t>
            </w:r>
            <w:r w:rsidRPr="001531CD">
              <w:rPr>
                <w:b/>
                <w:bCs/>
                <w:kern w:val="2"/>
                <w:sz w:val="16"/>
              </w:rPr>
              <w:br/>
              <w:t>All Suppliers Discount Rate</w:t>
            </w:r>
          </w:p>
        </w:tc>
        <w:tc>
          <w:tcPr>
            <w:tcW w:w="1080" w:type="dxa"/>
            <w:tcBorders>
              <w:top w:val="double" w:sz="6" w:space="0" w:color="000000"/>
              <w:bottom w:val="single" w:sz="6" w:space="0" w:color="000000"/>
            </w:tcBorders>
            <w:shd w:val="clear" w:color="000000" w:fill="E0E0E0"/>
          </w:tcPr>
          <w:p w14:paraId="5A1E30FB"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Volume</w:t>
            </w:r>
          </w:p>
        </w:tc>
      </w:tr>
      <w:tr w:rsidR="00CF626A" w:rsidRPr="001531CD" w14:paraId="73F41E96" w14:textId="77777777">
        <w:trPr>
          <w:cantSplit/>
          <w:jc w:val="center"/>
        </w:trPr>
        <w:tc>
          <w:tcPr>
            <w:tcW w:w="3330" w:type="dxa"/>
            <w:tcBorders>
              <w:top w:val="single" w:sz="6" w:space="0" w:color="000000"/>
            </w:tcBorders>
          </w:tcPr>
          <w:p w14:paraId="58BA1A1D" w14:textId="77777777"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$ 4,000.00 to $ 6,000.00</w:t>
            </w:r>
          </w:p>
        </w:tc>
        <w:tc>
          <w:tcPr>
            <w:tcW w:w="1080" w:type="dxa"/>
            <w:tcBorders>
              <w:top w:val="single" w:sz="6" w:space="0" w:color="000000"/>
            </w:tcBorders>
          </w:tcPr>
          <w:p w14:paraId="7688AA24" w14:textId="77777777"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3%</w:t>
            </w:r>
          </w:p>
        </w:tc>
      </w:tr>
      <w:tr w:rsidR="00CF626A" w:rsidRPr="001531CD" w14:paraId="08AF3253" w14:textId="77777777">
        <w:trPr>
          <w:cantSplit/>
          <w:jc w:val="center"/>
        </w:trPr>
        <w:tc>
          <w:tcPr>
            <w:tcW w:w="3330" w:type="dxa"/>
          </w:tcPr>
          <w:p w14:paraId="774655E7" w14:textId="77777777"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$ 6,000.01 to $ 8,000.00</w:t>
            </w:r>
          </w:p>
        </w:tc>
        <w:tc>
          <w:tcPr>
            <w:tcW w:w="1080" w:type="dxa"/>
          </w:tcPr>
          <w:p w14:paraId="605A7108" w14:textId="77777777"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w:t>
            </w:r>
          </w:p>
        </w:tc>
      </w:tr>
      <w:tr w:rsidR="00CF626A" w:rsidRPr="001531CD" w14:paraId="33E9B6D7" w14:textId="77777777">
        <w:trPr>
          <w:cantSplit/>
          <w:jc w:val="center"/>
        </w:trPr>
        <w:tc>
          <w:tcPr>
            <w:tcW w:w="3330" w:type="dxa"/>
          </w:tcPr>
          <w:p w14:paraId="442A5BA4" w14:textId="77777777"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$ 8,000.01 to $11,000.00</w:t>
            </w:r>
          </w:p>
        </w:tc>
        <w:tc>
          <w:tcPr>
            <w:tcW w:w="1080" w:type="dxa"/>
          </w:tcPr>
          <w:p w14:paraId="280A72FA" w14:textId="77777777"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5%</w:t>
            </w:r>
          </w:p>
        </w:tc>
      </w:tr>
      <w:tr w:rsidR="00CF626A" w:rsidRPr="001531CD" w14:paraId="10A8EE90" w14:textId="77777777">
        <w:trPr>
          <w:cantSplit/>
          <w:jc w:val="center"/>
        </w:trPr>
        <w:tc>
          <w:tcPr>
            <w:tcW w:w="3330" w:type="dxa"/>
          </w:tcPr>
          <w:p w14:paraId="28181DAA" w14:textId="77777777"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$11,000.01 to $15,000.00</w:t>
            </w:r>
          </w:p>
        </w:tc>
        <w:tc>
          <w:tcPr>
            <w:tcW w:w="1080" w:type="dxa"/>
          </w:tcPr>
          <w:p w14:paraId="4036C824" w14:textId="77777777"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6%</w:t>
            </w:r>
          </w:p>
        </w:tc>
      </w:tr>
      <w:tr w:rsidR="00CF626A" w:rsidRPr="001531CD" w14:paraId="45FA4ADF" w14:textId="77777777">
        <w:trPr>
          <w:cantSplit/>
          <w:jc w:val="center"/>
        </w:trPr>
        <w:tc>
          <w:tcPr>
            <w:tcW w:w="3330" w:type="dxa"/>
          </w:tcPr>
          <w:p w14:paraId="3BD4C9DA" w14:textId="77777777"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$15,000.01 and over</w:t>
            </w:r>
          </w:p>
        </w:tc>
        <w:tc>
          <w:tcPr>
            <w:tcW w:w="1080" w:type="dxa"/>
          </w:tcPr>
          <w:p w14:paraId="6D508B3B" w14:textId="77777777"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7%</w:t>
            </w:r>
          </w:p>
        </w:tc>
      </w:tr>
    </w:tbl>
    <w:p w14:paraId="2E173158" w14:textId="77777777" w:rsidR="00CF626A" w:rsidRPr="001531CD" w:rsidRDefault="00CF626A">
      <w:pPr>
        <w:pStyle w:val="A"/>
        <w:spacing w:before="200"/>
      </w:pPr>
      <w:r w:rsidRPr="001531CD">
        <w:t>L.</w:t>
      </w:r>
      <w:r w:rsidRPr="001531CD">
        <w:tab/>
        <w:t>All applications for volume discounts must be submitted within one month after the close of the appropriate base period. One month's volume discount shall be forfeited for each month the application is late.</w:t>
      </w:r>
    </w:p>
    <w:p w14:paraId="4ACCB8C3" w14:textId="77777777" w:rsidR="00CF626A" w:rsidRPr="001531CD" w:rsidRDefault="00CF626A">
      <w:pPr>
        <w:pStyle w:val="A"/>
      </w:pPr>
      <w:r w:rsidRPr="001531CD">
        <w:t>M.</w:t>
      </w:r>
      <w:r w:rsidRPr="001531CD">
        <w:tab/>
        <w:t>In a retail ownership transfer, the buyer may receive the volume discount rate approved for the previous owner. Alternatively, the buyer may choose to establish his own volume discount rate in accordance with these rules and regulations.</w:t>
      </w:r>
    </w:p>
    <w:p w14:paraId="2AD8E8BB" w14:textId="77777777" w:rsidR="00CF626A" w:rsidRPr="001531CD" w:rsidRDefault="00CF626A">
      <w:pPr>
        <w:pStyle w:val="A"/>
      </w:pPr>
      <w:r w:rsidRPr="001531CD">
        <w:t>N.</w:t>
      </w:r>
      <w:r w:rsidRPr="001531CD">
        <w:tab/>
        <w:t>Accounts shall become delinquent 30 days from the end of the month in which the purchases were made, unless a good faith dispute exists between the parties concerning the amount of such account, in which case the account becomes delinquent 30 days following resolution of such good faith dispute.</w:t>
      </w:r>
    </w:p>
    <w:p w14:paraId="5E652A3E" w14:textId="77777777" w:rsidR="00CF626A" w:rsidRPr="001531CD" w:rsidRDefault="00CF626A">
      <w:pPr>
        <w:pStyle w:val="A"/>
      </w:pPr>
      <w:r w:rsidRPr="001531CD">
        <w:t>O.</w:t>
      </w:r>
      <w:r w:rsidRPr="001531CD">
        <w:tab/>
        <w:t>Retailers who have delinquent accounts with any processor or distributor are not eligible to receive a volume discount from any supplier on any dairy products purchased during the period when the account was delinquent.</w:t>
      </w:r>
    </w:p>
    <w:p w14:paraId="6A128455" w14:textId="77777777" w:rsidR="00CF626A" w:rsidRPr="001531CD" w:rsidRDefault="00CF626A">
      <w:pPr>
        <w:pStyle w:val="A"/>
      </w:pPr>
      <w:r w:rsidRPr="001531CD">
        <w:t>P.</w:t>
      </w:r>
      <w:r w:rsidRPr="001531CD">
        <w:tab/>
        <w:t>Each processor and distributor must report to the board or commissioner, no later than the tenth of each month, the name and address of each account which was delinquent.</w:t>
      </w:r>
    </w:p>
    <w:p w14:paraId="636B9BBA" w14:textId="77777777" w:rsidR="00CF626A" w:rsidRPr="001531CD" w:rsidRDefault="00CF626A">
      <w:pPr>
        <w:pStyle w:val="AuthorityNote"/>
      </w:pPr>
      <w:r w:rsidRPr="001531CD">
        <w:t>AUTHORITY NOTE:</w:t>
      </w:r>
      <w:r w:rsidRPr="001531CD">
        <w:tab/>
        <w:t>Promulgated in accordance with R.S. 3:4108 (formerly R.S. 40:931.8).</w:t>
      </w:r>
    </w:p>
    <w:p w14:paraId="32420929" w14:textId="77777777" w:rsidR="00CF626A" w:rsidRPr="001531CD" w:rsidRDefault="00CF626A">
      <w:pPr>
        <w:pStyle w:val="HistoricalNote"/>
      </w:pPr>
      <w:r w:rsidRPr="001531CD">
        <w:t>HISTORICAL NOTE:</w:t>
      </w:r>
      <w:r w:rsidRPr="001531CD">
        <w:tab/>
        <w:t>Promulgated by the Department of Agriculture, Dairy Stabilization Board, LR 9:5 (January 1983), amended LR 20:400 (April 1994).</w:t>
      </w:r>
    </w:p>
    <w:p w14:paraId="2A663486" w14:textId="77777777" w:rsidR="00CF626A" w:rsidRPr="001531CD" w:rsidRDefault="00CF626A">
      <w:pPr>
        <w:pStyle w:val="Section"/>
      </w:pPr>
      <w:bookmarkStart w:id="2898" w:name="_Toc256755042"/>
      <w:bookmarkStart w:id="2899" w:name="_Toc224819412"/>
      <w:r w:rsidRPr="001531CD">
        <w:t>§311.</w:t>
      </w:r>
      <w:r w:rsidRPr="001531CD">
        <w:tab/>
        <w:t>Milk Case Deposit Program and Procedure</w:t>
      </w:r>
      <w:bookmarkEnd w:id="2898"/>
      <w:bookmarkEnd w:id="2899"/>
    </w:p>
    <w:p w14:paraId="2DF9CF39" w14:textId="77777777" w:rsidR="00CF626A" w:rsidRPr="001531CD" w:rsidRDefault="00CF626A">
      <w:pPr>
        <w:pStyle w:val="A"/>
      </w:pPr>
      <w:r w:rsidRPr="001531CD">
        <w:t>A.</w:t>
      </w:r>
      <w:r w:rsidRPr="001531CD">
        <w:tab/>
        <w:t>Any licensed processor may adopt a milk case deposit program provided that those licensees who adopt a milk case deposit program shall:</w:t>
      </w:r>
    </w:p>
    <w:p w14:paraId="638F8FAD" w14:textId="77777777" w:rsidR="00CF626A" w:rsidRPr="001531CD" w:rsidRDefault="00CF626A" w:rsidP="009770F1">
      <w:pPr>
        <w:pStyle w:val="1"/>
        <w:spacing w:after="80"/>
      </w:pPr>
      <w:r w:rsidRPr="001531CD">
        <w:t>1.</w:t>
      </w:r>
      <w:r w:rsidRPr="001531CD">
        <w:tab/>
        <w:t>give written notice providing clear, express and written detail of the program to all persons or entities to whom the program applies;</w:t>
      </w:r>
    </w:p>
    <w:p w14:paraId="1587D51D" w14:textId="77777777" w:rsidR="00CF626A" w:rsidRPr="001531CD" w:rsidRDefault="00CF626A" w:rsidP="009770F1">
      <w:pPr>
        <w:pStyle w:val="1"/>
        <w:spacing w:after="80"/>
      </w:pPr>
      <w:r w:rsidRPr="001531CD">
        <w:t>2.</w:t>
      </w:r>
      <w:r w:rsidRPr="001531CD">
        <w:tab/>
        <w:t>provide the same information in writing to the board or commissioner;</w:t>
      </w:r>
    </w:p>
    <w:p w14:paraId="17077747" w14:textId="77777777" w:rsidR="00CF626A" w:rsidRPr="001531CD" w:rsidRDefault="00CF626A" w:rsidP="009770F1">
      <w:pPr>
        <w:pStyle w:val="1"/>
        <w:spacing w:after="80"/>
      </w:pPr>
      <w:r w:rsidRPr="001531CD">
        <w:t>3.</w:t>
      </w:r>
      <w:r w:rsidRPr="001531CD">
        <w:tab/>
        <w:t>provide all said notices no less than 30 days before the implementation of said program;</w:t>
      </w:r>
    </w:p>
    <w:p w14:paraId="1477AC0C" w14:textId="77777777" w:rsidR="00CF626A" w:rsidRPr="001531CD" w:rsidRDefault="00CF626A" w:rsidP="009770F1">
      <w:pPr>
        <w:pStyle w:val="1"/>
        <w:spacing w:after="80"/>
      </w:pPr>
      <w:r w:rsidRPr="001531CD">
        <w:lastRenderedPageBreak/>
        <w:t>4.</w:t>
      </w:r>
      <w:r w:rsidRPr="001531CD">
        <w:tab/>
        <w:t>apply any such program uniformly to all customers; and</w:t>
      </w:r>
    </w:p>
    <w:p w14:paraId="4E100640" w14:textId="77777777" w:rsidR="00CF626A" w:rsidRPr="001531CD" w:rsidRDefault="00CF626A" w:rsidP="009770F1">
      <w:pPr>
        <w:pStyle w:val="1"/>
        <w:spacing w:after="80"/>
      </w:pPr>
      <w:r w:rsidRPr="001531CD">
        <w:t>5.</w:t>
      </w:r>
      <w:r w:rsidRPr="001531CD">
        <w:tab/>
        <w:t>such milk case deposits, if implemented, shall be refundable and shall be $1 per milk case.</w:t>
      </w:r>
    </w:p>
    <w:p w14:paraId="57CCA070" w14:textId="77777777" w:rsidR="00CF626A" w:rsidRPr="001531CD" w:rsidRDefault="00CF626A" w:rsidP="009770F1">
      <w:pPr>
        <w:pStyle w:val="A"/>
        <w:spacing w:after="80"/>
      </w:pPr>
      <w:r w:rsidRPr="001531CD">
        <w:t>B.</w:t>
      </w:r>
      <w:r w:rsidRPr="001531CD">
        <w:tab/>
        <w:t>Any person or entity required to provide a deposit on milk cases under such a program shall not fail to do so and failing to do so, shall be deemed to be and is hereby declared to be an unfair trade practice.</w:t>
      </w:r>
    </w:p>
    <w:p w14:paraId="6033C4B3" w14:textId="77777777" w:rsidR="00CF626A" w:rsidRPr="001531CD" w:rsidRDefault="00CF626A">
      <w:pPr>
        <w:pStyle w:val="AuthorityNote"/>
      </w:pPr>
      <w:r w:rsidRPr="001531CD">
        <w:t>AUTHORITY NOTE:</w:t>
      </w:r>
      <w:r w:rsidRPr="001531CD">
        <w:tab/>
        <w:t>Promulgated in accordance with R.S. 3:4108.</w:t>
      </w:r>
    </w:p>
    <w:p w14:paraId="3D0DE2F7" w14:textId="77777777" w:rsidR="00CF626A" w:rsidRPr="001531CD" w:rsidRDefault="00CF626A">
      <w:pPr>
        <w:pStyle w:val="HistoricalNote"/>
      </w:pPr>
      <w:r w:rsidRPr="001531CD">
        <w:t>HISTORICAL NOTE:</w:t>
      </w:r>
      <w:r w:rsidRPr="001531CD">
        <w:tab/>
        <w:t>Promulgated by the Department of Agriculture, Office of Agro-Consumer Services, Dairy Stabilization Board, LR 12:825 (December 1986), amended by the Department of Agriculture and Forestry, Office of Agro-Consumer Services, Diary Stabilization Board, LR 20:400 (April 1994).</w:t>
      </w:r>
    </w:p>
    <w:p w14:paraId="58C8F2B3" w14:textId="77777777" w:rsidR="00CF626A" w:rsidRPr="001531CD" w:rsidRDefault="00CF626A" w:rsidP="009770F1">
      <w:pPr>
        <w:pStyle w:val="Section"/>
        <w:spacing w:after="80"/>
      </w:pPr>
      <w:bookmarkStart w:id="2900" w:name="_Toc256755043"/>
      <w:bookmarkStart w:id="2901" w:name="_Toc224819413"/>
      <w:r w:rsidRPr="001531CD">
        <w:t>§313.</w:t>
      </w:r>
      <w:r w:rsidRPr="001531CD">
        <w:tab/>
        <w:t>Investigative Hearing Procedure</w:t>
      </w:r>
      <w:bookmarkEnd w:id="2900"/>
      <w:bookmarkEnd w:id="2901"/>
    </w:p>
    <w:p w14:paraId="3013961E" w14:textId="77777777" w:rsidR="00CF626A" w:rsidRPr="001531CD" w:rsidRDefault="00CF626A" w:rsidP="009770F1">
      <w:pPr>
        <w:pStyle w:val="A"/>
        <w:spacing w:after="80"/>
      </w:pPr>
      <w:r w:rsidRPr="001531CD">
        <w:t>A.</w:t>
      </w:r>
      <w:r w:rsidRPr="001531CD">
        <w:tab/>
        <w:t>Upon the belief that the Act or these rules and regulations may have been or will be violated, the board or commissioner may take the deposition of any person, firm or corporation for the purpose of investigating alleged violations or potential violations of the Act or these rules and regulations subject to the following conditions:</w:t>
      </w:r>
    </w:p>
    <w:p w14:paraId="7A72D59C" w14:textId="77777777" w:rsidR="00CF626A" w:rsidRPr="001531CD" w:rsidRDefault="00CF626A" w:rsidP="009770F1">
      <w:pPr>
        <w:pStyle w:val="1"/>
        <w:spacing w:after="80"/>
      </w:pPr>
      <w:r w:rsidRPr="001531CD">
        <w:t>1.</w:t>
      </w:r>
      <w:r w:rsidRPr="001531CD">
        <w:tab/>
        <w:t>the deponent shall receive no less than five business days' notice of the date, time and place of the deposition. The place of said deposition shall be designated by the board or commissioner and shall be either in East Baton Rouge Parish or in the parish of domicile or principal place of business of deponent. In the event the deponent is not domiciled in Louisiana and has no principle place of business in Louisiana, the deposition may be noticed for and taken in East Baton Rouge Parish;</w:t>
      </w:r>
    </w:p>
    <w:p w14:paraId="2279C446" w14:textId="77777777" w:rsidR="00CF626A" w:rsidRPr="001531CD" w:rsidRDefault="00CF626A" w:rsidP="009770F1">
      <w:pPr>
        <w:pStyle w:val="1"/>
        <w:spacing w:after="80"/>
      </w:pPr>
      <w:r w:rsidRPr="001531CD">
        <w:t>2.</w:t>
      </w:r>
      <w:r w:rsidRPr="001531CD">
        <w:tab/>
        <w:t>the subject of inquiry of the deposition shall be contained in the notice and the inquiry shall be limited to the subject or subjects noticed, said limitation being the same as those of a civil discovery deposition conducted in accordance with Louisiana law;</w:t>
      </w:r>
    </w:p>
    <w:p w14:paraId="346B7BFC" w14:textId="77777777" w:rsidR="00CF626A" w:rsidRPr="001531CD" w:rsidRDefault="00CF626A" w:rsidP="009770F1">
      <w:pPr>
        <w:pStyle w:val="1"/>
        <w:spacing w:after="80"/>
      </w:pPr>
      <w:r w:rsidRPr="001531CD">
        <w:t>3.</w:t>
      </w:r>
      <w:r w:rsidRPr="001531CD">
        <w:tab/>
        <w:t>the notice shall advise deponent of the right to be represented by counsel and to be accompanied by counsel;</w:t>
      </w:r>
    </w:p>
    <w:p w14:paraId="1A804220" w14:textId="77777777" w:rsidR="00CF626A" w:rsidRPr="001531CD" w:rsidRDefault="00CF626A" w:rsidP="009770F1">
      <w:pPr>
        <w:pStyle w:val="1"/>
        <w:spacing w:after="80"/>
      </w:pPr>
      <w:r w:rsidRPr="001531CD">
        <w:t>4.</w:t>
      </w:r>
      <w:r w:rsidRPr="001531CD">
        <w:tab/>
        <w:t>the notice shall advise of the potential uses of such deposition;</w:t>
      </w:r>
    </w:p>
    <w:p w14:paraId="4575755B" w14:textId="77777777" w:rsidR="00CF626A" w:rsidRPr="001531CD" w:rsidRDefault="00CF626A" w:rsidP="009770F1">
      <w:pPr>
        <w:pStyle w:val="1"/>
        <w:spacing w:after="80"/>
      </w:pPr>
      <w:r w:rsidRPr="001531CD">
        <w:t>5.</w:t>
      </w:r>
      <w:r w:rsidRPr="001531CD">
        <w:tab/>
        <w:t>the notice shall advise of the right to read and sign the deposition;</w:t>
      </w:r>
    </w:p>
    <w:p w14:paraId="4623F295" w14:textId="77777777" w:rsidR="00CF626A" w:rsidRPr="001531CD" w:rsidRDefault="00CF626A" w:rsidP="009770F1">
      <w:pPr>
        <w:pStyle w:val="1"/>
        <w:spacing w:after="80"/>
      </w:pPr>
      <w:r w:rsidRPr="001531CD">
        <w:t>6.</w:t>
      </w:r>
      <w:r w:rsidRPr="001531CD">
        <w:tab/>
        <w:t>the notice shall advise of the right to obtain a copy of such deposition upon payment of costs.</w:t>
      </w:r>
    </w:p>
    <w:p w14:paraId="6C1E25C1" w14:textId="77777777" w:rsidR="00CF626A" w:rsidRPr="001531CD" w:rsidRDefault="00CF626A">
      <w:pPr>
        <w:pStyle w:val="A"/>
      </w:pPr>
      <w:r w:rsidRPr="001531CD">
        <w:t>B.</w:t>
      </w:r>
      <w:r w:rsidRPr="001531CD">
        <w:tab/>
        <w:t>The board or commissioner may issue subpoenas and subpoenas duces tecum in connection with said deposition. The scope of same being governed by Louisiana law related to the scope of discovery deposition subpoenas.</w:t>
      </w:r>
    </w:p>
    <w:p w14:paraId="5B9B3EF8" w14:textId="77777777" w:rsidR="00CF626A" w:rsidRPr="001531CD" w:rsidRDefault="00CF626A">
      <w:pPr>
        <w:pStyle w:val="A"/>
      </w:pPr>
      <w:r w:rsidRPr="001531CD">
        <w:t>C.</w:t>
      </w:r>
      <w:r w:rsidRPr="001531CD">
        <w:tab/>
        <w:t>In the event that any person, firm or corporation fails or refuses to comply with any subpoena issued hereunder, the board or commissioner may compel such compliance by civil action commenced in the Nineteenth Judicial District Court for the Parish of East Baton Rouge.</w:t>
      </w:r>
    </w:p>
    <w:p w14:paraId="6DCB929F" w14:textId="77777777" w:rsidR="00CF626A" w:rsidRPr="001531CD" w:rsidRDefault="00CF626A">
      <w:pPr>
        <w:pStyle w:val="AuthorityNote"/>
      </w:pPr>
      <w:r w:rsidRPr="001531CD">
        <w:t>AUTHORITY NOTE:</w:t>
      </w:r>
      <w:r w:rsidRPr="001531CD">
        <w:tab/>
        <w:t>Promulgated in accordance with R.S. 3:4108 (formerly R.S. 40:931.8).</w:t>
      </w:r>
    </w:p>
    <w:p w14:paraId="35C4D87F" w14:textId="77777777" w:rsidR="00CF626A" w:rsidRPr="001531CD" w:rsidRDefault="00CF626A">
      <w:pPr>
        <w:pStyle w:val="HistoricalNote"/>
      </w:pPr>
      <w:r w:rsidRPr="001531CD">
        <w:t>HISTORICAL NOTE:</w:t>
      </w:r>
      <w:r w:rsidRPr="001531CD">
        <w:tab/>
        <w:t>Promulgated by the Department of Agriculture, Dairy Stabilization Board, LR 9:8 (January 1983), amended by the Department of Agriculture and Forestry, Office of Agro-Consumer Services, Diary Stabilization Board, LR 20:401 (April 1994).</w:t>
      </w:r>
    </w:p>
    <w:p w14:paraId="5BB247FE" w14:textId="77777777" w:rsidR="00CF626A" w:rsidRPr="001531CD" w:rsidRDefault="00CF626A">
      <w:pPr>
        <w:pStyle w:val="Section"/>
      </w:pPr>
      <w:bookmarkStart w:id="2902" w:name="_Toc256755044"/>
      <w:bookmarkStart w:id="2903" w:name="_Toc224819414"/>
      <w:r w:rsidRPr="001531CD">
        <w:t>§315.</w:t>
      </w:r>
      <w:r w:rsidRPr="001531CD">
        <w:tab/>
        <w:t>Violations</w:t>
      </w:r>
      <w:bookmarkEnd w:id="2902"/>
      <w:bookmarkEnd w:id="2903"/>
    </w:p>
    <w:p w14:paraId="6180BC87" w14:textId="77777777" w:rsidR="00CF626A" w:rsidRPr="001531CD" w:rsidRDefault="00CF626A">
      <w:pPr>
        <w:pStyle w:val="A"/>
      </w:pPr>
      <w:r w:rsidRPr="001531CD">
        <w:t>A.</w:t>
      </w:r>
      <w:r w:rsidRPr="001531CD">
        <w:tab/>
        <w:t>No person shall violate any provision of the Act or these rules and regulations.</w:t>
      </w:r>
    </w:p>
    <w:p w14:paraId="22CD7E68" w14:textId="77777777" w:rsidR="00CF626A" w:rsidRPr="001531CD" w:rsidRDefault="00CF626A">
      <w:pPr>
        <w:pStyle w:val="A"/>
      </w:pPr>
      <w:r w:rsidRPr="001531CD">
        <w:t>B.</w:t>
      </w:r>
      <w:r w:rsidRPr="001531CD">
        <w:tab/>
        <w:t>No person shall engage in any disruptive trade practices.</w:t>
      </w:r>
    </w:p>
    <w:p w14:paraId="40771CD2" w14:textId="77777777" w:rsidR="00CF626A" w:rsidRPr="001531CD" w:rsidRDefault="00CF626A">
      <w:pPr>
        <w:pStyle w:val="AuthorityNote"/>
      </w:pPr>
      <w:r w:rsidRPr="001531CD">
        <w:t>AUTHORITY NOTE:</w:t>
      </w:r>
      <w:r w:rsidRPr="001531CD">
        <w:tab/>
        <w:t>Promulgated in accordance with R.S. 3:4109, R.S. 3:4116 and R.S. 3:4108 (formerly R.S. 40:931.10, R.S. 40:931.18 and R.S. 40:931.8).</w:t>
      </w:r>
    </w:p>
    <w:p w14:paraId="3499713E" w14:textId="77777777" w:rsidR="00CF626A" w:rsidRPr="001531CD" w:rsidRDefault="00CF626A">
      <w:pPr>
        <w:pStyle w:val="HistoricalNote"/>
      </w:pPr>
      <w:r w:rsidRPr="001531CD">
        <w:t>HISTORICAL NOTE:</w:t>
      </w:r>
      <w:r w:rsidRPr="001531CD">
        <w:tab/>
        <w:t>Promulgated by the Department of Agriculture, Dairy Stabilization Board, LR 9:8 (January 1983), amended by the Department of Agriculture and Forestry, Office of Agro-Consumer Services, Diary Stabilization Board, LR 20:401 (April 1994).</w:t>
      </w:r>
    </w:p>
    <w:p w14:paraId="7D9A1FE7" w14:textId="77777777" w:rsidR="00CF626A" w:rsidRPr="001531CD" w:rsidRDefault="00CF626A">
      <w:pPr>
        <w:pStyle w:val="Section"/>
      </w:pPr>
      <w:bookmarkStart w:id="2904" w:name="_Toc256755045"/>
      <w:bookmarkStart w:id="2905" w:name="_Toc224819415"/>
      <w:r w:rsidRPr="001531CD">
        <w:t>§317.</w:t>
      </w:r>
      <w:r w:rsidRPr="001531CD">
        <w:tab/>
        <w:t>Disruptive Trade Practices</w:t>
      </w:r>
      <w:bookmarkEnd w:id="2904"/>
      <w:bookmarkEnd w:id="2905"/>
    </w:p>
    <w:p w14:paraId="1CC6CC98" w14:textId="77777777" w:rsidR="00CF626A" w:rsidRPr="001531CD" w:rsidRDefault="00CF626A">
      <w:pPr>
        <w:pStyle w:val="A"/>
      </w:pPr>
      <w:r w:rsidRPr="001531CD">
        <w:t>A.</w:t>
      </w:r>
      <w:r w:rsidRPr="001531CD">
        <w:tab/>
        <w:t>Disruptive trade practices are any act or acts by any person in commerce where the effect of such act or acts may tend to substantially lessen competition or tend to create a monopoly in the sale of dairy products; or which tend to injure, reduce, prevent, or destroy competition in the sale of dairy products.</w:t>
      </w:r>
    </w:p>
    <w:p w14:paraId="11A39772" w14:textId="77777777" w:rsidR="00CF626A" w:rsidRPr="001531CD" w:rsidRDefault="00CF626A">
      <w:pPr>
        <w:pStyle w:val="A"/>
      </w:pPr>
      <w:r w:rsidRPr="001531CD">
        <w:t>B.</w:t>
      </w:r>
      <w:r w:rsidRPr="001531CD">
        <w:tab/>
        <w:t>The following acts are, but not by way of limitation, disruptive trade practices.</w:t>
      </w:r>
    </w:p>
    <w:p w14:paraId="4BF5BB0B" w14:textId="77777777" w:rsidR="00CF626A" w:rsidRPr="001531CD" w:rsidRDefault="00CF626A">
      <w:pPr>
        <w:pStyle w:val="1"/>
      </w:pPr>
      <w:r w:rsidRPr="001531CD">
        <w:t>1.</w:t>
      </w:r>
      <w:r w:rsidRPr="001531CD">
        <w:tab/>
        <w:t>It shall be prohibited for any person engaged in commerce, in the course of such commerce, either directly or indirectly, to discriminate in price between different purchasers of dairy products of like grade and quality, where either or any of the purchasers involved in such discrimination are in commerce, where such dairy products are sold for use, consumption, or resale within the state of Louisiana.</w:t>
      </w:r>
    </w:p>
    <w:p w14:paraId="2D156B8A" w14:textId="77777777" w:rsidR="00CF626A" w:rsidRPr="001531CD" w:rsidRDefault="00CF626A">
      <w:pPr>
        <w:pStyle w:val="1"/>
      </w:pPr>
      <w:r w:rsidRPr="001531CD">
        <w:t>2.</w:t>
      </w:r>
      <w:r w:rsidRPr="001531CD">
        <w:tab/>
        <w:t>No person engaged in the processing, production, manufacture, distribution or sale of dairy products shall discriminate between different sections, communities, cities, or localities in the state by selling such dairy products at a lower rate in one section, community, city, or locality, than is charged for the dairy product by such person in another section, community, city or locality, after making due allowance for the difference, if any, in the grade or quality of the dairy product and in the actual cost of transportation of the dairy product from the point of production, if a raw product, or from the point of manufacture, if a manufactured product, where the effect of such discrimination may tend to harm competition. All sales so made shall be prima facie evidence of the unfair discrimination prohibited hereby.</w:t>
      </w:r>
    </w:p>
    <w:p w14:paraId="29CB5F1B" w14:textId="77777777" w:rsidR="00CF626A" w:rsidRPr="001531CD" w:rsidRDefault="00CF626A" w:rsidP="009770F1">
      <w:pPr>
        <w:pStyle w:val="1"/>
        <w:spacing w:after="60"/>
      </w:pPr>
      <w:r w:rsidRPr="001531CD">
        <w:t>3.</w:t>
      </w:r>
      <w:r w:rsidRPr="001531CD">
        <w:tab/>
        <w:t>It shall be unlawful for any person engaged in commerce, in the course of such commerce, to either directly or indirectly, pay or grant, or to receive or accept, anything of value as a commission, brokerage, any other compensation, any allowance or any discount other than the volume discount established herein and slotting allowance as defined herein, except for the actual cost of services rendered in connection with the sale or purchase of dairy products.</w:t>
      </w:r>
    </w:p>
    <w:p w14:paraId="7A0C5DB4" w14:textId="77777777" w:rsidR="00CF626A" w:rsidRPr="001531CD" w:rsidRDefault="00CF626A" w:rsidP="009770F1">
      <w:pPr>
        <w:pStyle w:val="1"/>
        <w:spacing w:after="60"/>
      </w:pPr>
      <w:r w:rsidRPr="001531CD">
        <w:lastRenderedPageBreak/>
        <w:t>4.</w:t>
      </w:r>
      <w:r w:rsidRPr="001531CD">
        <w:tab/>
        <w:t>It shall be unlawful for any person engaged in commerce to pay anything of value to or for the benefit of a customer of such person in the course of such commerce as compensation or in consideration for any services or facilities furnished by or through such customer in connection with the processing, handling, sale or offering for sale of any dairy products manufactured, sold, or offered for sale by such person.</w:t>
      </w:r>
    </w:p>
    <w:p w14:paraId="4773CCDC" w14:textId="77777777" w:rsidR="00CF626A" w:rsidRPr="001531CD" w:rsidRDefault="00CF626A" w:rsidP="009770F1">
      <w:pPr>
        <w:pStyle w:val="1"/>
        <w:spacing w:after="60"/>
      </w:pPr>
      <w:r w:rsidRPr="001531CD">
        <w:t>5.</w:t>
      </w:r>
      <w:r w:rsidRPr="001531CD">
        <w:tab/>
        <w:t>It shall be unlawful for any person to discriminate in favor of one purchaser against another purchaser or purchasers of dairy products bought for resale, with or without processing, by contracting to furnish or furnishing, or by contributing to the furnishing of any services or facilities connected with the processing, handling, sale or offering for sale of such dairy product so purchased upon terms not accorded to all purchasers on proportionally equal terms.</w:t>
      </w:r>
    </w:p>
    <w:p w14:paraId="4086E12C" w14:textId="77777777" w:rsidR="00CF626A" w:rsidRPr="001531CD" w:rsidRDefault="00CF626A" w:rsidP="009770F1">
      <w:pPr>
        <w:pStyle w:val="1"/>
        <w:spacing w:after="60"/>
      </w:pPr>
      <w:r w:rsidRPr="001531CD">
        <w:t>6.</w:t>
      </w:r>
      <w:r w:rsidRPr="001531CD">
        <w:tab/>
        <w:t>It shall be unlawful for any person engaged in commerce, in the course of such commerce, knowingly to induce or receive a discrimination in price which is prohibited by this Section.</w:t>
      </w:r>
    </w:p>
    <w:p w14:paraId="1179393E" w14:textId="77777777" w:rsidR="00CF626A" w:rsidRPr="001531CD" w:rsidRDefault="00CF626A" w:rsidP="009770F1">
      <w:pPr>
        <w:pStyle w:val="1"/>
        <w:spacing w:after="60"/>
      </w:pPr>
      <w:r w:rsidRPr="001531CD">
        <w:t>7.</w:t>
      </w:r>
      <w:r w:rsidRPr="001531CD">
        <w:tab/>
        <w:t>It shall be unlawful for any person engaged in commerce, in the course of such commerce, to be a party to, or assist in, any transaction of sale, or contract to sell, which discriminates against competitors of the purchaser and to sell, or contract to sell, dairy products in any part of Louisiana at prices lower than those exacted by said person elsewhere in Louisiana.</w:t>
      </w:r>
    </w:p>
    <w:p w14:paraId="7295B458" w14:textId="77777777" w:rsidR="00CF626A" w:rsidRPr="001531CD" w:rsidRDefault="00CF626A" w:rsidP="009770F1">
      <w:pPr>
        <w:pStyle w:val="1"/>
        <w:spacing w:after="80"/>
      </w:pPr>
      <w:r w:rsidRPr="001531CD">
        <w:t>8.</w:t>
      </w:r>
      <w:r w:rsidRPr="001531CD">
        <w:tab/>
        <w:t>The granting or offering to grant of any discount, rebate or allowance, except the volume discount established herein and slotting allowance as defined herein.</w:t>
      </w:r>
    </w:p>
    <w:p w14:paraId="74349657" w14:textId="77777777" w:rsidR="00CF626A" w:rsidRPr="001531CD" w:rsidRDefault="00CF626A" w:rsidP="009770F1">
      <w:pPr>
        <w:pStyle w:val="1"/>
        <w:spacing w:after="80"/>
      </w:pPr>
      <w:r w:rsidRPr="001531CD">
        <w:t>9.</w:t>
      </w:r>
      <w:r w:rsidRPr="001531CD">
        <w:tab/>
        <w:t>The granting or offering to grant of any volume discount different from or in excess of the volume discount authorized herein is a disruptive trade practice, unfair method of competition and unfair or deceptive act or practice and is hereby prohibited with respect to the sale of dairy products.</w:t>
      </w:r>
    </w:p>
    <w:p w14:paraId="207889E8" w14:textId="77777777" w:rsidR="00CF626A" w:rsidRPr="001531CD" w:rsidRDefault="00CF626A" w:rsidP="009770F1">
      <w:pPr>
        <w:pStyle w:val="1"/>
        <w:spacing w:after="80"/>
      </w:pPr>
      <w:r w:rsidRPr="001531CD">
        <w:t>10.</w:t>
      </w:r>
      <w:r w:rsidRPr="001531CD">
        <w:tab/>
        <w:t>Any advertisement, offer to sell, or sale of any dairy products by any processor, distributor or retailer at less than cost as defined herein plus any state, parish, or municipal sales tax that is then payable under any existing law or ordinance, is a disruptive trade practice, unfair competition and contrary to and violative of public policy as tending to deceive purchasers or prospective purchasers, or tending to substantially lessen competition.</w:t>
      </w:r>
    </w:p>
    <w:p w14:paraId="4B4F5E53" w14:textId="77777777" w:rsidR="00CF626A" w:rsidRPr="001531CD" w:rsidRDefault="00CF626A">
      <w:pPr>
        <w:pStyle w:val="1"/>
      </w:pPr>
      <w:r w:rsidRPr="001531CD">
        <w:t>11.</w:t>
      </w:r>
      <w:r w:rsidRPr="001531CD">
        <w:tab/>
        <w:t>Giving or receiving or offering to give or receive, directly or indirectly, anything of apparent, present or prospective value with the intent or effect of influencing the recipient in the business relationship.</w:t>
      </w:r>
    </w:p>
    <w:p w14:paraId="3EE27636" w14:textId="77777777" w:rsidR="00CF626A" w:rsidRPr="001531CD" w:rsidRDefault="00CF626A">
      <w:pPr>
        <w:pStyle w:val="1"/>
      </w:pPr>
      <w:r w:rsidRPr="001531CD">
        <w:t>12.</w:t>
      </w:r>
      <w:r w:rsidRPr="001531CD">
        <w:tab/>
        <w:t>The selling or offering to sell dairy products by a retailer, distributor, or processor who is not licensed by the board or commissioner is prohibited.</w:t>
      </w:r>
    </w:p>
    <w:p w14:paraId="10DDCA37" w14:textId="77777777" w:rsidR="00CF626A" w:rsidRPr="001531CD" w:rsidRDefault="00CF626A">
      <w:pPr>
        <w:pStyle w:val="1"/>
      </w:pPr>
      <w:r w:rsidRPr="001531CD">
        <w:t>13.</w:t>
      </w:r>
      <w:r w:rsidRPr="001531CD">
        <w:tab/>
        <w:t>The sale to or purchase from a person whose license has been suspended or revoked is prohibited.</w:t>
      </w:r>
    </w:p>
    <w:p w14:paraId="27A3563B" w14:textId="77777777" w:rsidR="00CF626A" w:rsidRPr="001531CD" w:rsidRDefault="00CF626A">
      <w:pPr>
        <w:pStyle w:val="1"/>
      </w:pPr>
      <w:r w:rsidRPr="001531CD">
        <w:t>14.</w:t>
      </w:r>
      <w:r w:rsidRPr="001531CD">
        <w:tab/>
        <w:t>The granting of a volume discount to any retailer without notification from the board or commissioner of the retailer's eligibility for such discount is prohibited.</w:t>
      </w:r>
    </w:p>
    <w:p w14:paraId="402FDC64" w14:textId="77777777" w:rsidR="00CF626A" w:rsidRPr="001531CD" w:rsidRDefault="00CF626A">
      <w:pPr>
        <w:pStyle w:val="1"/>
      </w:pPr>
      <w:r w:rsidRPr="001531CD">
        <w:t>15.</w:t>
      </w:r>
      <w:r w:rsidRPr="001531CD">
        <w:tab/>
        <w:t>The extending to or receiving of further credit by any licensee where the account is delinquent.</w:t>
      </w:r>
    </w:p>
    <w:p w14:paraId="0726C2B2" w14:textId="77777777" w:rsidR="00CF626A" w:rsidRPr="001531CD" w:rsidRDefault="00CF626A">
      <w:pPr>
        <w:pStyle w:val="1"/>
      </w:pPr>
      <w:r w:rsidRPr="001531CD">
        <w:t>16.</w:t>
      </w:r>
      <w:r w:rsidRPr="001531CD">
        <w:tab/>
        <w:t>The filing of any false information of any kind with or the making of any false statements of any kind to the board or commissioner, or any agent of either is prohibited.</w:t>
      </w:r>
    </w:p>
    <w:p w14:paraId="7507DC62" w14:textId="77777777" w:rsidR="00CF626A" w:rsidRPr="001531CD" w:rsidRDefault="00CF626A">
      <w:pPr>
        <w:pStyle w:val="1"/>
      </w:pPr>
      <w:r w:rsidRPr="001531CD">
        <w:t>17.</w:t>
      </w:r>
      <w:r w:rsidRPr="001531CD">
        <w:tab/>
        <w:t>The failing or refusing to maintain or permit an examination of financial or other records when the request of the commissioner, board or any agent of either to audit is made for valid purposes is prohibited.</w:t>
      </w:r>
    </w:p>
    <w:p w14:paraId="499EA4DF" w14:textId="77777777" w:rsidR="00CF626A" w:rsidRPr="001531CD" w:rsidRDefault="00CF626A">
      <w:pPr>
        <w:pStyle w:val="1"/>
      </w:pPr>
      <w:r w:rsidRPr="001531CD">
        <w:t>18.</w:t>
      </w:r>
      <w:r w:rsidRPr="001531CD">
        <w:tab/>
        <w:t>The failing or refusing to provide any report required by the board or commissioner is prohibited.</w:t>
      </w:r>
    </w:p>
    <w:p w14:paraId="6627CFDB" w14:textId="77777777" w:rsidR="00CF626A" w:rsidRPr="001531CD" w:rsidRDefault="00CF626A">
      <w:pPr>
        <w:pStyle w:val="1"/>
      </w:pPr>
      <w:r w:rsidRPr="001531CD">
        <w:t>19.</w:t>
      </w:r>
      <w:r w:rsidRPr="001531CD">
        <w:tab/>
        <w:t>The use by a retailer, processor, or distributor of equipment furnished by a frozen dessert processor or distributor for the storage or display of frozen desserts other than those frozen desserts sold to such retailer by such frozen dessert processor or distributor which provides the equipment is prohibited. The storage or display of products other than frozen desserts received from such processor or distributor, in such storage or display cabinet by a retailer shall constitute prima facie evidence of a violation of this regulation.</w:t>
      </w:r>
    </w:p>
    <w:p w14:paraId="205E0463" w14:textId="77777777" w:rsidR="00CF626A" w:rsidRPr="001531CD" w:rsidRDefault="00CF626A">
      <w:pPr>
        <w:pStyle w:val="1"/>
      </w:pPr>
      <w:r w:rsidRPr="001531CD">
        <w:t>20.</w:t>
      </w:r>
      <w:r w:rsidRPr="001531CD">
        <w:tab/>
        <w:t xml:space="preserve">The advertising of lowfat milk (milk with a milk fat content of not less than 1/2 of 1 percent nor more than </w:t>
      </w:r>
      <w:r w:rsidR="00937875" w:rsidRPr="001531CD">
        <w:br/>
      </w:r>
      <w:r w:rsidRPr="001531CD">
        <w:t>2 percent) in any form of mass media without clearly stating the percentage of milk fat contained in said product is prohibited.</w:t>
      </w:r>
    </w:p>
    <w:p w14:paraId="51DB1F28" w14:textId="77777777" w:rsidR="00CF626A" w:rsidRPr="001531CD" w:rsidRDefault="00CF626A">
      <w:pPr>
        <w:pStyle w:val="1"/>
      </w:pPr>
      <w:r w:rsidRPr="001531CD">
        <w:t>21.</w:t>
      </w:r>
      <w:r w:rsidRPr="001531CD">
        <w:tab/>
        <w:t>The failing by a processor or distributor to provide an invoice to a purchaser of dairy products at the time of delivery is prohibited. Mailing of said invoice on the date of delivery shall satisfy the requirement of providing an invoice as required herein.</w:t>
      </w:r>
    </w:p>
    <w:p w14:paraId="5E472F86" w14:textId="77777777" w:rsidR="00CF626A" w:rsidRPr="001531CD" w:rsidRDefault="00CF626A">
      <w:pPr>
        <w:pStyle w:val="1"/>
      </w:pPr>
      <w:r w:rsidRPr="001531CD">
        <w:t>22.</w:t>
      </w:r>
      <w:r w:rsidRPr="001531CD">
        <w:tab/>
        <w:t>The selling or the offering to sell dairy products under terms or prices which result in said sale being below cost as defined herein is prohibited.</w:t>
      </w:r>
    </w:p>
    <w:p w14:paraId="6BF71A64" w14:textId="77777777" w:rsidR="00CF626A" w:rsidRPr="001531CD" w:rsidRDefault="00CF626A">
      <w:pPr>
        <w:pStyle w:val="1"/>
      </w:pPr>
      <w:r w:rsidRPr="001531CD">
        <w:t>23.</w:t>
      </w:r>
      <w:r w:rsidRPr="001531CD">
        <w:tab/>
        <w:t>Combined sales at less than cumulated costs where one or more of the items in combination is a dairy product is prohibited.</w:t>
      </w:r>
    </w:p>
    <w:p w14:paraId="01BC720E" w14:textId="77777777" w:rsidR="00CF626A" w:rsidRPr="001531CD" w:rsidRDefault="00CF626A">
      <w:pPr>
        <w:pStyle w:val="1"/>
      </w:pPr>
      <w:r w:rsidRPr="001531CD">
        <w:t>24.</w:t>
      </w:r>
      <w:r w:rsidRPr="001531CD">
        <w:tab/>
        <w:t>The furnishing, giving, lending, selling, or renting, by a processor or distributor or the accepting, receiving, buying, or renting by a retailer of any signs or display materials advertising and containing the name or product of any retailer is prohibited.</w:t>
      </w:r>
    </w:p>
    <w:p w14:paraId="35704327" w14:textId="77777777" w:rsidR="00CF626A" w:rsidRPr="001531CD" w:rsidRDefault="00CF626A">
      <w:pPr>
        <w:pStyle w:val="1"/>
      </w:pPr>
      <w:r w:rsidRPr="001531CD">
        <w:t>25.</w:t>
      </w:r>
      <w:r w:rsidRPr="001531CD">
        <w:tab/>
        <w:t>Donating dairy products except as provided in §321.A.4.</w:t>
      </w:r>
    </w:p>
    <w:p w14:paraId="2ECCEE43" w14:textId="77777777" w:rsidR="00CF626A" w:rsidRPr="001531CD" w:rsidRDefault="00CF626A">
      <w:pPr>
        <w:pStyle w:val="1"/>
      </w:pPr>
      <w:r w:rsidRPr="001531CD">
        <w:t>26.</w:t>
      </w:r>
      <w:r w:rsidRPr="001531CD">
        <w:tab/>
        <w:t>The using, shipping, lending, borrowing, possessing, giving away, throwing away, donating or disposing of in any manner, of milk cases belonging to another licensee is prohibited without written authority from the director of the board.</w:t>
      </w:r>
    </w:p>
    <w:p w14:paraId="06DD4893" w14:textId="77777777" w:rsidR="00CF626A" w:rsidRPr="001531CD" w:rsidRDefault="00CF626A">
      <w:pPr>
        <w:pStyle w:val="1"/>
      </w:pPr>
      <w:r w:rsidRPr="001531CD">
        <w:t>27.</w:t>
      </w:r>
      <w:r w:rsidRPr="001531CD">
        <w:tab/>
        <w:t>The providing of a fluid milk dispenser to any retailer, except</w:t>
      </w:r>
      <w:r w:rsidR="00937875" w:rsidRPr="001531CD">
        <w:t xml:space="preserve"> under the following conditions.</w:t>
      </w:r>
    </w:p>
    <w:p w14:paraId="7235E6C6" w14:textId="77777777" w:rsidR="00CF626A" w:rsidRPr="001531CD" w:rsidRDefault="00CF626A">
      <w:pPr>
        <w:pStyle w:val="a0"/>
      </w:pPr>
      <w:r w:rsidRPr="001531CD">
        <w:t>a.</w:t>
      </w:r>
      <w:r w:rsidRPr="001531CD">
        <w:tab/>
      </w:r>
      <w:r w:rsidR="00937875" w:rsidRPr="001531CD">
        <w:t>T</w:t>
      </w:r>
      <w:r w:rsidRPr="001531CD">
        <w:t>he processor or distributor has been engaged in selling dispenser milk to the retailer for at least 60 days prior to the date on w</w:t>
      </w:r>
      <w:r w:rsidR="00937875" w:rsidRPr="001531CD">
        <w:t>hich the dispenser is furnished.</w:t>
      </w:r>
    </w:p>
    <w:p w14:paraId="18E31CB0" w14:textId="77777777" w:rsidR="00CF626A" w:rsidRPr="001531CD" w:rsidRDefault="00CF626A">
      <w:pPr>
        <w:pStyle w:val="a0"/>
      </w:pPr>
      <w:r w:rsidRPr="001531CD">
        <w:lastRenderedPageBreak/>
        <w:t>b.</w:t>
      </w:r>
      <w:r w:rsidRPr="001531CD">
        <w:tab/>
      </w:r>
      <w:r w:rsidR="00937875" w:rsidRPr="001531CD">
        <w:t>T</w:t>
      </w:r>
      <w:r w:rsidRPr="001531CD">
        <w:t>he dispenser is replacing the retailer's dispenser which is undergoing repair and the period during which the dispenser is fu</w:t>
      </w:r>
      <w:r w:rsidR="00937875" w:rsidRPr="001531CD">
        <w:t>rnished does not exceed 30 days.</w:t>
      </w:r>
    </w:p>
    <w:p w14:paraId="5BD04EFF" w14:textId="77777777" w:rsidR="00CF626A" w:rsidRPr="001531CD" w:rsidRDefault="00CF626A">
      <w:pPr>
        <w:pStyle w:val="a0"/>
      </w:pPr>
      <w:r w:rsidRPr="001531CD">
        <w:t>c.</w:t>
      </w:r>
      <w:r w:rsidRPr="001531CD">
        <w:tab/>
      </w:r>
      <w:r w:rsidR="00937875" w:rsidRPr="001531CD">
        <w:t>T</w:t>
      </w:r>
      <w:r w:rsidRPr="001531CD">
        <w:t>he processor or distributor must report to the board or commissioner within 10 days after the date on which the dispenser is furnished to the retailer the make and serial number of the dispenser, the name and address of the retailer and the date on which the dispenser was installed.</w:t>
      </w:r>
    </w:p>
    <w:p w14:paraId="61737C47" w14:textId="77777777" w:rsidR="00CF626A" w:rsidRPr="001531CD" w:rsidRDefault="00CF626A">
      <w:pPr>
        <w:pStyle w:val="1"/>
      </w:pPr>
      <w:r w:rsidRPr="001531CD">
        <w:t>28.</w:t>
      </w:r>
      <w:r w:rsidRPr="001531CD">
        <w:tab/>
        <w:t>The failure of the purchaser, licensee, to assume all responsibility for product losses except where a portion of the price is dedicated to the seller for assuming that loss, sometimes referred to as a "full service" sale or except in the case of manufacturing or processing defects.</w:t>
      </w:r>
    </w:p>
    <w:p w14:paraId="2673A25C" w14:textId="77777777" w:rsidR="00CF626A" w:rsidRPr="001531CD" w:rsidRDefault="00CF626A">
      <w:pPr>
        <w:pStyle w:val="1"/>
      </w:pPr>
      <w:r w:rsidRPr="001531CD">
        <w:t>29.</w:t>
      </w:r>
      <w:r w:rsidRPr="001531CD">
        <w:tab/>
        <w:t>Utilization of coupons in connection with the marketing of dairy products without the prior written approval of the director of the Dairy Stabilization Board. When submitted for approval, the coupons shall be reviewed to determine if said coupons are in compliance with the Act and these rules and regulations.</w:t>
      </w:r>
    </w:p>
    <w:p w14:paraId="3D2872D9" w14:textId="77777777" w:rsidR="00CF626A" w:rsidRPr="001531CD" w:rsidRDefault="00CF626A">
      <w:pPr>
        <w:pStyle w:val="AuthorityNote"/>
      </w:pPr>
      <w:r w:rsidRPr="001531CD">
        <w:t>AUTHORITY NOTE:</w:t>
      </w:r>
      <w:r w:rsidRPr="001531CD">
        <w:tab/>
        <w:t>Promulgated in accordance with R.S. 3:4108 (formerly R.S. 40:931.8).</w:t>
      </w:r>
    </w:p>
    <w:p w14:paraId="53CAB6FD" w14:textId="77777777" w:rsidR="00CF626A" w:rsidRPr="001531CD" w:rsidRDefault="00CF626A">
      <w:pPr>
        <w:pStyle w:val="HistoricalNote"/>
      </w:pPr>
      <w:r w:rsidRPr="001531CD">
        <w:t>HISTORICAL NOTE:</w:t>
      </w:r>
      <w:r w:rsidRPr="001531CD">
        <w:tab/>
        <w:t>Promulgated by the Department of Agriculture, Dairy Stabilization Board, LR 9:5 (January 1983), amended by the Department of Agriculture and Forestry, Office of Agro-Consumer Services, Diary Stabilization Board, LR 20:401 (April 1994).</w:t>
      </w:r>
    </w:p>
    <w:p w14:paraId="22DADEAE" w14:textId="77777777" w:rsidR="00CF626A" w:rsidRPr="001531CD" w:rsidRDefault="00CF626A">
      <w:pPr>
        <w:pStyle w:val="Section"/>
      </w:pPr>
      <w:bookmarkStart w:id="2906" w:name="_Toc256755046"/>
      <w:bookmarkStart w:id="2907" w:name="_Toc224819416"/>
      <w:r w:rsidRPr="001531CD">
        <w:t>§319.</w:t>
      </w:r>
      <w:r w:rsidRPr="001531CD">
        <w:tab/>
        <w:t>Mandatory Obligations of Licensees</w:t>
      </w:r>
      <w:bookmarkEnd w:id="2906"/>
      <w:bookmarkEnd w:id="2907"/>
    </w:p>
    <w:p w14:paraId="419D79B9" w14:textId="77777777" w:rsidR="00CF626A" w:rsidRPr="001531CD" w:rsidRDefault="00CF626A">
      <w:pPr>
        <w:pStyle w:val="A"/>
      </w:pPr>
      <w:r w:rsidRPr="001531CD">
        <w:t>A.</w:t>
      </w:r>
      <w:r w:rsidRPr="001531CD">
        <w:tab/>
        <w:t>The omission by a licensee of any of the following requirements constitutes a violation of these rules and regulations and failure to comply with same can result in suspension or revocation of license, in addition to any other penalty provided by law or these rules and regulations.</w:t>
      </w:r>
    </w:p>
    <w:p w14:paraId="5153971B" w14:textId="77777777" w:rsidR="00CF626A" w:rsidRPr="001531CD" w:rsidRDefault="00CF626A">
      <w:pPr>
        <w:pStyle w:val="A"/>
      </w:pPr>
      <w:r w:rsidRPr="001531CD">
        <w:t>B.</w:t>
      </w:r>
      <w:r w:rsidRPr="001531CD">
        <w:tab/>
        <w:t>Each licensee must maintain all records including financial records pertaining to all transactions subject to the Act in accordance with standards generally prevailing in industry for a period of not less than two years. Said records shall be kept in a manner that permits prompt access to all such records and shall be kept in a manner that facilitates the determination by audit of, which costs are allocable to which products and, shall include but not be limited to the following records:</w:t>
      </w:r>
    </w:p>
    <w:p w14:paraId="0ED8CC0A" w14:textId="77777777" w:rsidR="00CF626A" w:rsidRPr="001531CD" w:rsidRDefault="00CF626A">
      <w:pPr>
        <w:pStyle w:val="1"/>
      </w:pPr>
      <w:r w:rsidRPr="001531CD">
        <w:t>1.</w:t>
      </w:r>
      <w:r w:rsidRPr="001531CD">
        <w:tab/>
        <w:t>expenses incurred and paid;</w:t>
      </w:r>
    </w:p>
    <w:p w14:paraId="2E185E52" w14:textId="77777777" w:rsidR="00CF626A" w:rsidRPr="001531CD" w:rsidRDefault="00CF626A">
      <w:pPr>
        <w:pStyle w:val="1"/>
      </w:pPr>
      <w:r w:rsidRPr="001531CD">
        <w:t>2.</w:t>
      </w:r>
      <w:r w:rsidRPr="001531CD">
        <w:tab/>
        <w:t>expenses accrued;</w:t>
      </w:r>
    </w:p>
    <w:p w14:paraId="77E73C96" w14:textId="77777777" w:rsidR="00CF626A" w:rsidRPr="001531CD" w:rsidRDefault="00CF626A">
      <w:pPr>
        <w:pStyle w:val="1"/>
      </w:pPr>
      <w:r w:rsidRPr="001531CD">
        <w:t>3.</w:t>
      </w:r>
      <w:r w:rsidRPr="001531CD">
        <w:tab/>
        <w:t>depreciation schedules;</w:t>
      </w:r>
    </w:p>
    <w:p w14:paraId="7D0C4DA9" w14:textId="77777777" w:rsidR="00CF626A" w:rsidRPr="001531CD" w:rsidRDefault="00CF626A">
      <w:pPr>
        <w:pStyle w:val="1"/>
      </w:pPr>
      <w:r w:rsidRPr="001531CD">
        <w:t>4.</w:t>
      </w:r>
      <w:r w:rsidRPr="001531CD">
        <w:tab/>
        <w:t>production schedules; and</w:t>
      </w:r>
    </w:p>
    <w:p w14:paraId="5C0C404F" w14:textId="77777777" w:rsidR="00CF626A" w:rsidRPr="001531CD" w:rsidRDefault="00CF626A">
      <w:pPr>
        <w:pStyle w:val="1"/>
      </w:pPr>
      <w:r w:rsidRPr="001531CD">
        <w:t>5.</w:t>
      </w:r>
      <w:r w:rsidRPr="001531CD">
        <w:tab/>
        <w:t>documentation of circumstances relating to price changes for purposes of meeting competition.</w:t>
      </w:r>
    </w:p>
    <w:p w14:paraId="5D0BF089" w14:textId="77777777" w:rsidR="00CF626A" w:rsidRPr="001531CD" w:rsidRDefault="00CF626A">
      <w:pPr>
        <w:pStyle w:val="A"/>
      </w:pPr>
      <w:r w:rsidRPr="001531CD">
        <w:t>C.</w:t>
      </w:r>
      <w:r w:rsidRPr="001531CD">
        <w:tab/>
        <w:t>In order to enforce the provisions of the Act and these rules and regulations, the commissioner may from time to time audit the books and records of licensees, and each licensee shall permit access to his financial records, during normal business hours, for such audit.</w:t>
      </w:r>
    </w:p>
    <w:p w14:paraId="2E17AFCE" w14:textId="77777777" w:rsidR="00CF626A" w:rsidRPr="001531CD" w:rsidRDefault="00CF626A">
      <w:pPr>
        <w:pStyle w:val="A"/>
      </w:pPr>
      <w:r w:rsidRPr="001531CD">
        <w:t>D.</w:t>
      </w:r>
      <w:r w:rsidRPr="001531CD">
        <w:tab/>
        <w:t>Each licensee shall submit such additional reports concerning the sale of dairy products as may from time to time be required by the board or commissioner.</w:t>
      </w:r>
    </w:p>
    <w:p w14:paraId="5DC04B39" w14:textId="77777777" w:rsidR="00CF626A" w:rsidRPr="001531CD" w:rsidRDefault="00CF626A">
      <w:pPr>
        <w:pStyle w:val="A"/>
      </w:pPr>
      <w:r w:rsidRPr="001531CD">
        <w:t>E.</w:t>
      </w:r>
      <w:r w:rsidRPr="001531CD">
        <w:tab/>
        <w:t>The monthly assessment report of sales of dairy products required under §307 shall be submitted timely.</w:t>
      </w:r>
    </w:p>
    <w:p w14:paraId="3512BE4C" w14:textId="77777777" w:rsidR="00CF626A" w:rsidRPr="001531CD" w:rsidRDefault="00CF626A">
      <w:pPr>
        <w:pStyle w:val="A"/>
      </w:pPr>
      <w:r w:rsidRPr="001531CD">
        <w:t>F.</w:t>
      </w:r>
      <w:r w:rsidRPr="001531CD">
        <w:tab/>
        <w:t>The monthly assessment on sales of dairy products required by R.S. 3:4111 and §307 of these rules and regulations shall be paid timely.</w:t>
      </w:r>
    </w:p>
    <w:p w14:paraId="2B1B355D" w14:textId="77777777" w:rsidR="00CF626A" w:rsidRPr="001531CD" w:rsidRDefault="00CF626A">
      <w:pPr>
        <w:pStyle w:val="AuthorityNote"/>
      </w:pPr>
      <w:r w:rsidRPr="001531CD">
        <w:t>AUTHORITY NOTE:</w:t>
      </w:r>
      <w:r w:rsidRPr="001531CD">
        <w:tab/>
        <w:t>Promulgated in accordance with R.S. 3:4108 (formerly R.S. 40:931.8).</w:t>
      </w:r>
    </w:p>
    <w:p w14:paraId="4DDAFCC3" w14:textId="77777777" w:rsidR="00CF626A" w:rsidRPr="001531CD" w:rsidRDefault="00CF626A">
      <w:pPr>
        <w:pStyle w:val="HistoricalNote"/>
      </w:pPr>
      <w:r w:rsidRPr="001531CD">
        <w:t>HISTORICAL NOTE:</w:t>
      </w:r>
      <w:r w:rsidRPr="001531CD">
        <w:tab/>
        <w:t>Promulgated by the Department of Agriculture, Dairy Stabilization Board, LR 9:7 (January 1983), amended by the Department of Agriculture and Forestry, Office of Agro-Consumer Services, Diary Stabilization Board, LR 20:403 (April 1994).</w:t>
      </w:r>
    </w:p>
    <w:p w14:paraId="651FA5B8" w14:textId="77777777" w:rsidR="00CF626A" w:rsidRPr="001531CD" w:rsidRDefault="00CF626A">
      <w:pPr>
        <w:pStyle w:val="Section"/>
      </w:pPr>
      <w:bookmarkStart w:id="2908" w:name="_Toc256755047"/>
      <w:bookmarkStart w:id="2909" w:name="_Toc224819417"/>
      <w:r w:rsidRPr="001531CD">
        <w:t>§321.</w:t>
      </w:r>
      <w:r w:rsidRPr="001531CD">
        <w:tab/>
        <w:t>Trade Practices Declared Not Disruptive</w:t>
      </w:r>
      <w:bookmarkEnd w:id="2908"/>
      <w:bookmarkEnd w:id="2909"/>
    </w:p>
    <w:p w14:paraId="0A257EBB" w14:textId="77777777" w:rsidR="00CF626A" w:rsidRPr="001531CD" w:rsidRDefault="00CF626A">
      <w:pPr>
        <w:pStyle w:val="A"/>
      </w:pPr>
      <w:r w:rsidRPr="001531CD">
        <w:t>A.</w:t>
      </w:r>
      <w:r w:rsidRPr="001531CD">
        <w:tab/>
        <w:t>The following acts are specifically declared as not constituting disruptive trade practices and are not prohibited:</w:t>
      </w:r>
    </w:p>
    <w:p w14:paraId="5B7B7B36" w14:textId="77777777" w:rsidR="00CF626A" w:rsidRPr="001531CD" w:rsidRDefault="00CF626A">
      <w:pPr>
        <w:pStyle w:val="1"/>
      </w:pPr>
      <w:r w:rsidRPr="001531CD">
        <w:t>1.</w:t>
      </w:r>
      <w:r w:rsidRPr="001531CD">
        <w:tab/>
        <w:t>the giving of advertising novelties unless the nature or value of the advertising novelty is such that the giving of such advertising novelty constitutes an illicit payment;</w:t>
      </w:r>
    </w:p>
    <w:p w14:paraId="2B32B80F" w14:textId="77777777" w:rsidR="00CF626A" w:rsidRPr="001531CD" w:rsidRDefault="00CF626A">
      <w:pPr>
        <w:pStyle w:val="1"/>
      </w:pPr>
      <w:r w:rsidRPr="001531CD">
        <w:t>2.</w:t>
      </w:r>
      <w:r w:rsidRPr="001531CD">
        <w:tab/>
        <w:t>normal social activities of any person or the entertainment of any customer unless the expenditure involved in such entertainment is excessive or unreasonable;</w:t>
      </w:r>
    </w:p>
    <w:p w14:paraId="53CBF170" w14:textId="77777777" w:rsidR="00CF626A" w:rsidRPr="001531CD" w:rsidRDefault="00CF626A">
      <w:pPr>
        <w:pStyle w:val="1"/>
      </w:pPr>
      <w:r w:rsidRPr="001531CD">
        <w:t>3.</w:t>
      </w:r>
      <w:r w:rsidRPr="001531CD">
        <w:tab/>
        <w:t>the giving of samples of dairy products to consumers if the following requirements are observed:</w:t>
      </w:r>
    </w:p>
    <w:p w14:paraId="51FA354C" w14:textId="77777777" w:rsidR="00CF626A" w:rsidRPr="001531CD" w:rsidRDefault="00CF626A">
      <w:pPr>
        <w:pStyle w:val="a0"/>
      </w:pPr>
      <w:r w:rsidRPr="001531CD">
        <w:t>a.</w:t>
      </w:r>
      <w:r w:rsidRPr="001531CD">
        <w:tab/>
        <w:t>in the case of fluid milk products, the quantity must be limited to 3 fluid ounces;</w:t>
      </w:r>
    </w:p>
    <w:p w14:paraId="06DB75C3" w14:textId="77777777" w:rsidR="00CF626A" w:rsidRPr="001531CD" w:rsidRDefault="00CF626A">
      <w:pPr>
        <w:pStyle w:val="a0"/>
      </w:pPr>
      <w:r w:rsidRPr="001531CD">
        <w:t>b.</w:t>
      </w:r>
      <w:r w:rsidRPr="001531CD">
        <w:tab/>
        <w:t>in the case of frozen desserts, the quantity must be limited to 1 fluid ounce;</w:t>
      </w:r>
    </w:p>
    <w:p w14:paraId="2C416274" w14:textId="77777777" w:rsidR="00CF626A" w:rsidRPr="001531CD" w:rsidRDefault="00CF626A">
      <w:pPr>
        <w:pStyle w:val="a0"/>
      </w:pPr>
      <w:r w:rsidRPr="001531CD">
        <w:t>c.</w:t>
      </w:r>
      <w:r w:rsidRPr="001531CD">
        <w:tab/>
        <w:t>the retailer on whose premises such sampling activity takes place must have been in operation at that location for at least 60 days prior to the date on which such activity takes place;</w:t>
      </w:r>
    </w:p>
    <w:p w14:paraId="636AC0D9" w14:textId="77777777" w:rsidR="00CF626A" w:rsidRPr="001531CD" w:rsidRDefault="00CF626A">
      <w:pPr>
        <w:pStyle w:val="a0"/>
      </w:pPr>
      <w:r w:rsidRPr="001531CD">
        <w:t>d.</w:t>
      </w:r>
      <w:r w:rsidRPr="001531CD">
        <w:tab/>
        <w:t xml:space="preserve">prior to engaging in sampling activities on the premises of a retailer, the processor or distributor shall notify the board or commissioner of the planned sampling activity. If such notification is by mail, it shall be given at least </w:t>
      </w:r>
      <w:r w:rsidR="00FA713A" w:rsidRPr="001531CD">
        <w:br/>
      </w:r>
      <w:r w:rsidRPr="001531CD">
        <w:t>10 days prior to the date of the planned sampling activity, and if such notification is by telephone, it shall be given at least three days prior to such activity;</w:t>
      </w:r>
    </w:p>
    <w:p w14:paraId="11753454" w14:textId="77777777" w:rsidR="00CF626A" w:rsidRPr="001531CD" w:rsidRDefault="00CF626A">
      <w:pPr>
        <w:pStyle w:val="a0"/>
      </w:pPr>
      <w:r w:rsidRPr="001531CD">
        <w:t>e.</w:t>
      </w:r>
      <w:r w:rsidRPr="001531CD">
        <w:tab/>
        <w:t>notwithstanding the above provisions, processors may give homogenized milk, lowfat milk, skim milk, or chocolate milk in half-pint containers or a frozen dessert sample weighing no more than 3 fluid ounces to persons participating in plant tours, if such products are consumed on the premises where given;</w:t>
      </w:r>
    </w:p>
    <w:p w14:paraId="586538C8" w14:textId="77777777" w:rsidR="00CF626A" w:rsidRPr="001531CD" w:rsidRDefault="00CF626A">
      <w:pPr>
        <w:pStyle w:val="a0"/>
      </w:pPr>
      <w:r w:rsidRPr="001531CD">
        <w:t>f.</w:t>
      </w:r>
      <w:r w:rsidRPr="001531CD">
        <w:tab/>
        <w:t xml:space="preserve">the giving of such sampling by a processor or distributor shall not extend over a period of more than two consecutive days for each retailer and shall not occur more frequently than once per calendar quarter; provided that the giving of such samples during the month of December shall not be used in determining whether there has been compliance </w:t>
      </w:r>
      <w:r w:rsidRPr="001531CD">
        <w:lastRenderedPageBreak/>
        <w:t>with the provisions of this Subsection limiting frequency of sampling demonstrations to one per calendar quarter;</w:t>
      </w:r>
    </w:p>
    <w:p w14:paraId="3E402853" w14:textId="77777777" w:rsidR="00CF626A" w:rsidRPr="001531CD" w:rsidRDefault="00CF626A">
      <w:pPr>
        <w:pStyle w:val="a0"/>
      </w:pPr>
      <w:r w:rsidRPr="001531CD">
        <w:t>g.</w:t>
      </w:r>
      <w:r w:rsidRPr="001531CD">
        <w:tab/>
        <w:t>the prohibition contained herein shall not apply to trade shows or other activities designated by the board or commissioner in writing;</w:t>
      </w:r>
    </w:p>
    <w:p w14:paraId="3E57BF8F" w14:textId="77777777" w:rsidR="00CF626A" w:rsidRPr="001531CD" w:rsidRDefault="00CF626A">
      <w:pPr>
        <w:pStyle w:val="1"/>
      </w:pPr>
      <w:r w:rsidRPr="001531CD">
        <w:t>4.</w:t>
      </w:r>
      <w:r w:rsidRPr="001531CD">
        <w:tab/>
        <w:t>the donation of dairy products not directly or indirectly related to the sale of dairy products to nonprofit and charitable entities;</w:t>
      </w:r>
    </w:p>
    <w:p w14:paraId="475CAEC2" w14:textId="77777777" w:rsidR="00CF626A" w:rsidRPr="001531CD" w:rsidRDefault="00CF626A">
      <w:pPr>
        <w:pStyle w:val="1"/>
      </w:pPr>
      <w:r w:rsidRPr="001531CD">
        <w:t>5.</w:t>
      </w:r>
      <w:r w:rsidRPr="001531CD">
        <w:tab/>
        <w:t>a cooperative association returning to its members, producers, or consumers the whole or any part of the net earnings or surplus resulting from its trading operations, in proportion to their purchases or sales from, to, or through the association, provided same is not in the form of a discount or allowance and distributed not more frequently than quarterly.</w:t>
      </w:r>
    </w:p>
    <w:p w14:paraId="49A93233" w14:textId="77777777" w:rsidR="00CF626A" w:rsidRPr="001531CD" w:rsidRDefault="00CF626A">
      <w:pPr>
        <w:pStyle w:val="AuthorityNote"/>
      </w:pPr>
      <w:r w:rsidRPr="001531CD">
        <w:t>AUTHORITY NOTE:</w:t>
      </w:r>
      <w:r w:rsidRPr="001531CD">
        <w:tab/>
        <w:t>Promulgated in accordance with R.S. 3:4108.</w:t>
      </w:r>
    </w:p>
    <w:p w14:paraId="7AF7B3AD" w14:textId="77777777"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20:403 (April 1994).</w:t>
      </w:r>
    </w:p>
    <w:p w14:paraId="0BB4FC4C" w14:textId="77777777" w:rsidR="00CF626A" w:rsidRPr="001531CD" w:rsidRDefault="00CF626A">
      <w:pPr>
        <w:pStyle w:val="Section"/>
      </w:pPr>
      <w:bookmarkStart w:id="2910" w:name="_Toc256755048"/>
      <w:bookmarkStart w:id="2911" w:name="_Toc224819418"/>
      <w:r w:rsidRPr="001531CD">
        <w:t>§323.</w:t>
      </w:r>
      <w:r w:rsidRPr="001531CD">
        <w:tab/>
        <w:t>Burdens and Presumptions</w:t>
      </w:r>
      <w:bookmarkEnd w:id="2910"/>
      <w:bookmarkEnd w:id="2911"/>
    </w:p>
    <w:p w14:paraId="393F9A3F" w14:textId="77777777" w:rsidR="00CF626A" w:rsidRPr="001531CD" w:rsidRDefault="00CF626A">
      <w:pPr>
        <w:pStyle w:val="A"/>
      </w:pPr>
      <w:r w:rsidRPr="001531CD">
        <w:t>A.</w:t>
      </w:r>
      <w:r w:rsidRPr="001531CD">
        <w:tab/>
        <w:t>Sales below Cost</w:t>
      </w:r>
    </w:p>
    <w:p w14:paraId="580D23EC" w14:textId="77777777" w:rsidR="00CF626A" w:rsidRPr="001531CD" w:rsidRDefault="00CF626A">
      <w:pPr>
        <w:pStyle w:val="1"/>
      </w:pPr>
      <w:r w:rsidRPr="001531CD">
        <w:t>1.</w:t>
      </w:r>
      <w:r w:rsidRPr="001531CD">
        <w:tab/>
        <w:t>Upon proof being made at any adjudicatory hearing that a licensee has advertised, offered to sell, or sold dairy products at less than cost as defined herein plus applicable taxes, the licensee shall be presumed in violation of the regulations proscribing sales below cost.</w:t>
      </w:r>
    </w:p>
    <w:p w14:paraId="0B28080D" w14:textId="77777777" w:rsidR="00CF626A" w:rsidRPr="001531CD" w:rsidRDefault="00CF626A">
      <w:pPr>
        <w:pStyle w:val="1"/>
      </w:pPr>
      <w:r w:rsidRPr="001531CD">
        <w:t>2.</w:t>
      </w:r>
      <w:r w:rsidRPr="001531CD">
        <w:tab/>
        <w:t>The licensee may rebut that presumption by proving that:</w:t>
      </w:r>
    </w:p>
    <w:p w14:paraId="19C9A31B" w14:textId="77777777" w:rsidR="00CF626A" w:rsidRPr="001531CD" w:rsidRDefault="00CF626A">
      <w:pPr>
        <w:pStyle w:val="a0"/>
      </w:pPr>
      <w:r w:rsidRPr="001531CD">
        <w:t>a.</w:t>
      </w:r>
      <w:r w:rsidRPr="001531CD">
        <w:tab/>
        <w:t>such advertisement, offer to sell, or sale was not for the proscribed purpose, did not have a proscribed effect or was otherwise lawful, such as that it was made in good faith to meet an equally low price of a competitor when all of the following circumstances were present:</w:t>
      </w:r>
    </w:p>
    <w:p w14:paraId="6783081D" w14:textId="77777777" w:rsidR="00CF626A" w:rsidRPr="001531CD" w:rsidRDefault="00CF626A">
      <w:pPr>
        <w:pStyle w:val="i0"/>
        <w:outlineLvl w:val="6"/>
      </w:pPr>
      <w:r w:rsidRPr="001531CD">
        <w:tab/>
        <w:t>i.</w:t>
      </w:r>
      <w:r w:rsidRPr="001531CD">
        <w:tab/>
        <w:t>the advertisement, offer to sell, or sale was limited to that customer, group of customers or that market area to which the price was available from competitors;</w:t>
      </w:r>
    </w:p>
    <w:p w14:paraId="28DB416A" w14:textId="77777777" w:rsidR="00CF626A" w:rsidRPr="001531CD" w:rsidRDefault="00CF626A">
      <w:pPr>
        <w:pStyle w:val="i0"/>
        <w:outlineLvl w:val="6"/>
      </w:pPr>
      <w:r w:rsidRPr="001531CD">
        <w:tab/>
        <w:t>ii.</w:t>
      </w:r>
      <w:r w:rsidRPr="001531CD">
        <w:tab/>
        <w:t>the advertisement, offer to sell, or sale occurred only while the competitive circumstances justifying such sale below cost existed; and</w:t>
      </w:r>
    </w:p>
    <w:p w14:paraId="7E69432A" w14:textId="77777777" w:rsidR="00CF626A" w:rsidRPr="001531CD" w:rsidRDefault="00CF626A">
      <w:pPr>
        <w:pStyle w:val="i0"/>
        <w:outlineLvl w:val="6"/>
      </w:pPr>
      <w:r w:rsidRPr="001531CD">
        <w:tab/>
        <w:t>iii.</w:t>
      </w:r>
      <w:r w:rsidRPr="001531CD">
        <w:tab/>
        <w:t>the advertisement, offer to sell, or sale is reported in advance in writing to the board or commissioner, or, if advance notification is not possible, within 72 hours thereafter;</w:t>
      </w:r>
    </w:p>
    <w:p w14:paraId="2742A349" w14:textId="77777777" w:rsidR="00CF626A" w:rsidRPr="001531CD" w:rsidRDefault="00CF626A">
      <w:pPr>
        <w:pStyle w:val="a0"/>
      </w:pPr>
      <w:r w:rsidRPr="001531CD">
        <w:t>b.</w:t>
      </w:r>
      <w:r w:rsidRPr="001531CD">
        <w:tab/>
        <w:t>such advertisement, offer to sell, or sale was necessary in response to actual or imminent deterioration of dairy products, seasonal obsolescence of dairy products, distress sales under court process, final liquidation sales or sales in good faith in discontinuance of a business or in discontinuance of a dairy product, and provided that the price at which the dairy product is advertised, offered, or sold is reported in advance to the board or commissioner, or, if advance notification is not possible, within 72 hours thereafter.</w:t>
      </w:r>
    </w:p>
    <w:p w14:paraId="427EF944" w14:textId="77777777" w:rsidR="00CF626A" w:rsidRPr="001531CD" w:rsidRDefault="00CF626A">
      <w:pPr>
        <w:pStyle w:val="1"/>
      </w:pPr>
      <w:r w:rsidRPr="001531CD">
        <w:t>3.</w:t>
      </w:r>
      <w:r w:rsidRPr="001531CD">
        <w:tab/>
        <w:t>In the event a representative of the board or of the commissioner has a reasonable basis upon which to believe that a licensee may be selling dairy products below costs and said licensee denies access, fails to produce or produces records which will not permit a determination of the cost of production then, in that event, the cost of the dairy products for the relevant period shall be presumed to be in excess of the selling price. This presumption shall be rebuttable but the burden of rebutting same shall be upon the licensee.</w:t>
      </w:r>
    </w:p>
    <w:p w14:paraId="1C2D8610" w14:textId="77777777" w:rsidR="00CF626A" w:rsidRPr="001531CD" w:rsidRDefault="00CF626A">
      <w:pPr>
        <w:pStyle w:val="A"/>
      </w:pPr>
      <w:r w:rsidRPr="001531CD">
        <w:t>B.</w:t>
      </w:r>
      <w:r w:rsidRPr="001531CD">
        <w:tab/>
        <w:t>Price Discrimination</w:t>
      </w:r>
    </w:p>
    <w:p w14:paraId="197CDDEB" w14:textId="77777777" w:rsidR="00CF626A" w:rsidRPr="001531CD" w:rsidRDefault="00CF626A">
      <w:pPr>
        <w:pStyle w:val="1"/>
      </w:pPr>
      <w:r w:rsidRPr="001531CD">
        <w:t>1.</w:t>
      </w:r>
      <w:r w:rsidRPr="001531CD">
        <w:tab/>
        <w:t>Upon proof being made at any adjudicatory hearing that there has been discrimination in price, services, facilities furnished, or any other proscribed discrimination, the licensee shall be presumed to be in violation of the rules and regulations proscribing discrimination.</w:t>
      </w:r>
    </w:p>
    <w:p w14:paraId="665A4C7F" w14:textId="77777777" w:rsidR="00CF626A" w:rsidRPr="001531CD" w:rsidRDefault="00CF626A">
      <w:pPr>
        <w:pStyle w:val="1"/>
      </w:pPr>
      <w:r w:rsidRPr="001531CD">
        <w:t>2.</w:t>
      </w:r>
      <w:r w:rsidRPr="001531CD">
        <w:tab/>
        <w:t>The licensee may rebut that presumption by proving that:</w:t>
      </w:r>
    </w:p>
    <w:p w14:paraId="313592F5" w14:textId="77777777" w:rsidR="00CF626A" w:rsidRPr="001531CD" w:rsidRDefault="00CF626A">
      <w:pPr>
        <w:pStyle w:val="a0"/>
      </w:pPr>
      <w:r w:rsidRPr="001531CD">
        <w:t>a.</w:t>
      </w:r>
      <w:r w:rsidRPr="001531CD">
        <w:tab/>
        <w:t>the discrimination in price, services, or facilities was necessary in response to actual or imminent deterioration of dairy products, seasonal obsolescence of dairy products, distress sales under court process, final liquidation sales or sales in good faith in discontinuance of a business or in discontinuance of a dairy product; or</w:t>
      </w:r>
    </w:p>
    <w:p w14:paraId="6F538D47" w14:textId="77777777" w:rsidR="00CF626A" w:rsidRPr="001531CD" w:rsidRDefault="00CF626A">
      <w:pPr>
        <w:pStyle w:val="a0"/>
      </w:pPr>
      <w:r w:rsidRPr="001531CD">
        <w:t>b.</w:t>
      </w:r>
      <w:r w:rsidRPr="001531CD">
        <w:tab/>
        <w:t>the discrimination in price, services, or facilities was made in good faith to meet an equally low price of a competitor, or the services or facilities furnished by a competitor and all of the following circumstances were present:</w:t>
      </w:r>
    </w:p>
    <w:p w14:paraId="735FD98C" w14:textId="77777777" w:rsidR="00CF626A" w:rsidRPr="001531CD" w:rsidRDefault="00CF626A">
      <w:pPr>
        <w:pStyle w:val="i0"/>
        <w:outlineLvl w:val="6"/>
      </w:pPr>
      <w:r w:rsidRPr="001531CD">
        <w:tab/>
        <w:t>i.</w:t>
      </w:r>
      <w:r w:rsidRPr="001531CD">
        <w:tab/>
        <w:t>the discrimination in price, services, or facilities was limited to that customer, group of customers or that market area to which the price was available from competitors;</w:t>
      </w:r>
    </w:p>
    <w:p w14:paraId="3F29BA55" w14:textId="77777777" w:rsidR="00CF626A" w:rsidRPr="001531CD" w:rsidRDefault="00CF626A">
      <w:pPr>
        <w:pStyle w:val="i0"/>
        <w:outlineLvl w:val="6"/>
      </w:pPr>
      <w:r w:rsidRPr="001531CD">
        <w:tab/>
        <w:t>ii.</w:t>
      </w:r>
      <w:r w:rsidRPr="001531CD">
        <w:tab/>
        <w:t>the discrimination in price, services, or facilities occurred only while the competitive circumstances justifying such discrimination existed; and</w:t>
      </w:r>
    </w:p>
    <w:p w14:paraId="3EDE2D10" w14:textId="77777777" w:rsidR="00CF626A" w:rsidRPr="001531CD" w:rsidRDefault="00CF626A">
      <w:pPr>
        <w:pStyle w:val="i0"/>
        <w:outlineLvl w:val="6"/>
      </w:pPr>
      <w:r w:rsidRPr="001531CD">
        <w:tab/>
        <w:t>iii.</w:t>
      </w:r>
      <w:r w:rsidRPr="001531CD">
        <w:tab/>
        <w:t>the discrimination in price, services or facilities is reported in advance in writing to the board or commissioner, or, if advance notification is not possible, within 72 hours thereafter.</w:t>
      </w:r>
    </w:p>
    <w:p w14:paraId="6C73A503" w14:textId="77777777" w:rsidR="00CF626A" w:rsidRPr="001531CD" w:rsidRDefault="00CF626A">
      <w:pPr>
        <w:pStyle w:val="AuthorityNote"/>
      </w:pPr>
      <w:r w:rsidRPr="001531CD">
        <w:t>AUTHORITY NOTE:</w:t>
      </w:r>
      <w:r w:rsidRPr="001531CD">
        <w:tab/>
        <w:t>Promulgated in accordance with R.S. 3:4108.</w:t>
      </w:r>
    </w:p>
    <w:p w14:paraId="2B8E5B01" w14:textId="77777777"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20:404 (April 1994).</w:t>
      </w:r>
    </w:p>
    <w:p w14:paraId="0F45F308" w14:textId="77777777" w:rsidR="00CF626A" w:rsidRPr="001531CD" w:rsidRDefault="00CF626A">
      <w:pPr>
        <w:pStyle w:val="Section"/>
      </w:pPr>
      <w:bookmarkStart w:id="2912" w:name="_Toc256755049"/>
      <w:bookmarkStart w:id="2913" w:name="_Toc224819419"/>
      <w:r w:rsidRPr="001531CD">
        <w:t>§325.</w:t>
      </w:r>
      <w:r w:rsidRPr="001531CD">
        <w:tab/>
        <w:t>Cease and Desist Order; Suspension/Revocation of License; Hearing Required; Penalties; Amount; Stipulated Resolutions; Service</w:t>
      </w:r>
      <w:bookmarkEnd w:id="2912"/>
      <w:bookmarkEnd w:id="2913"/>
    </w:p>
    <w:p w14:paraId="09894031" w14:textId="77777777" w:rsidR="00CF626A" w:rsidRPr="001531CD" w:rsidRDefault="00CF626A">
      <w:pPr>
        <w:pStyle w:val="A"/>
      </w:pPr>
      <w:r w:rsidRPr="001531CD">
        <w:t>A.</w:t>
      </w:r>
      <w:r w:rsidRPr="001531CD">
        <w:tab/>
        <w:t>Upon probable cause the board or commissioner may issue a cease and desist order to any licensee, describing with particularity the acts or omissions which the board or commissioner believes to constitute a violation of the Act or these rules or regulations and ordering such licensee to take the necessary and sufficient steps to establish immediate compliance.</w:t>
      </w:r>
    </w:p>
    <w:p w14:paraId="717059CF" w14:textId="77777777" w:rsidR="00CF626A" w:rsidRPr="001531CD" w:rsidRDefault="00CF626A">
      <w:pPr>
        <w:pStyle w:val="A"/>
      </w:pPr>
      <w:r w:rsidRPr="001531CD">
        <w:lastRenderedPageBreak/>
        <w:t>B.</w:t>
      </w:r>
      <w:r w:rsidRPr="001531CD">
        <w:tab/>
        <w:t>Upon a finding of any violation of the Act or these rules and regulations by a licensee which violation occurred after the receipt of a relevant cease and desist order the board or commissioner may and should assess a penalty which is treble the normal penalty for any such offense.</w:t>
      </w:r>
    </w:p>
    <w:p w14:paraId="7E325B5F" w14:textId="77777777" w:rsidR="00CF626A" w:rsidRPr="001531CD" w:rsidRDefault="00CF626A">
      <w:pPr>
        <w:pStyle w:val="A"/>
      </w:pPr>
      <w:r w:rsidRPr="001531CD">
        <w:t>C.</w:t>
      </w:r>
      <w:r w:rsidRPr="001531CD">
        <w:tab/>
        <w:t>The board or commissioner may suspend or revoke the license of any licensee found to have violated any provisions of the Act or these rules and regulations.</w:t>
      </w:r>
    </w:p>
    <w:p w14:paraId="6CE85168" w14:textId="77777777" w:rsidR="00CF626A" w:rsidRPr="001531CD" w:rsidRDefault="00CF626A">
      <w:pPr>
        <w:pStyle w:val="A"/>
      </w:pPr>
      <w:r w:rsidRPr="001531CD">
        <w:t>D.</w:t>
      </w:r>
      <w:r w:rsidRPr="001531CD">
        <w:tab/>
        <w:t>No license shall be suspended or revoked unless the licensee is given an adjudicatory hearing noticed and conducted in accordance with the Administrative Procedure Act (R.S. 49:950-49:970).</w:t>
      </w:r>
    </w:p>
    <w:p w14:paraId="2787F366" w14:textId="77777777" w:rsidR="00CF626A" w:rsidRPr="001531CD" w:rsidRDefault="00CF626A">
      <w:pPr>
        <w:pStyle w:val="A"/>
      </w:pPr>
      <w:r w:rsidRPr="001531CD">
        <w:t>E.</w:t>
      </w:r>
      <w:r w:rsidRPr="001531CD">
        <w:tab/>
        <w:t>The board or commissioner may, in lieu of suspension or revocation of any license, impose a penalty in accordance with R.S. 3:4109(G) as a result of any violation of the Act or these rules and regulations which is sustained at such hearing. No penalty may be imposed until such time as an adjudicatory hearing in accordance with the Administrative Procedure Act is held.</w:t>
      </w:r>
    </w:p>
    <w:p w14:paraId="25916A32" w14:textId="77777777" w:rsidR="00CF626A" w:rsidRPr="001531CD" w:rsidRDefault="00CF626A">
      <w:pPr>
        <w:pStyle w:val="A"/>
      </w:pPr>
      <w:r w:rsidRPr="001531CD">
        <w:t>F.</w:t>
      </w:r>
      <w:r w:rsidRPr="001531CD">
        <w:tab/>
        <w:t>Each day on which a violation occurs shall be considered a separate offense.</w:t>
      </w:r>
    </w:p>
    <w:p w14:paraId="56A3C758" w14:textId="77777777" w:rsidR="00CF626A" w:rsidRPr="001531CD" w:rsidRDefault="00CF626A">
      <w:pPr>
        <w:pStyle w:val="A"/>
      </w:pPr>
      <w:r w:rsidRPr="001531CD">
        <w:t>G.</w:t>
      </w:r>
      <w:r w:rsidRPr="001531CD">
        <w:tab/>
        <w:t>The foregoing shall not limit any stipulated resolution of any alleged violation.</w:t>
      </w:r>
    </w:p>
    <w:p w14:paraId="64236A3C" w14:textId="77777777" w:rsidR="00CF626A" w:rsidRPr="001531CD" w:rsidRDefault="00CF626A">
      <w:pPr>
        <w:pStyle w:val="A"/>
      </w:pPr>
      <w:r w:rsidRPr="001531CD">
        <w:t>H.</w:t>
      </w:r>
      <w:r w:rsidRPr="001531CD">
        <w:tab/>
        <w:t>All notices including notices of adjudicatory hearings and services of the subpoenas shall be served upon the agent for service of process, an officer, the principal owner, a manager or an employee of the entity to be noticed or served and, once served in accordance herewith said notice or service, shall be valid.</w:t>
      </w:r>
    </w:p>
    <w:p w14:paraId="3DAF75E2" w14:textId="77777777" w:rsidR="00CF626A" w:rsidRPr="001531CD" w:rsidRDefault="00CF626A">
      <w:pPr>
        <w:pStyle w:val="AuthorityNote"/>
      </w:pPr>
      <w:r w:rsidRPr="001531CD">
        <w:t>AUTHORITY NOTE:</w:t>
      </w:r>
      <w:r w:rsidRPr="001531CD">
        <w:tab/>
        <w:t>Promulgated in accordance with R.S. 3:4108, R.S. 3:4109 and R.S. 3:4116.</w:t>
      </w:r>
    </w:p>
    <w:p w14:paraId="0F4A4322" w14:textId="77777777"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20:404 (April 1994).</w:t>
      </w:r>
    </w:p>
    <w:p w14:paraId="2EFE35A3" w14:textId="77777777" w:rsidR="00CF626A" w:rsidRPr="001531CD" w:rsidRDefault="00CF626A">
      <w:pPr>
        <w:pStyle w:val="Section"/>
      </w:pPr>
      <w:bookmarkStart w:id="2914" w:name="_Toc256755050"/>
      <w:bookmarkStart w:id="2915" w:name="_Toc224819420"/>
      <w:r w:rsidRPr="001531CD">
        <w:t>§327.</w:t>
      </w:r>
      <w:r w:rsidRPr="001531CD">
        <w:tab/>
        <w:t>Confidentiality</w:t>
      </w:r>
      <w:bookmarkEnd w:id="2914"/>
      <w:bookmarkEnd w:id="2915"/>
    </w:p>
    <w:p w14:paraId="695C7039" w14:textId="77777777" w:rsidR="00CF626A" w:rsidRPr="001531CD" w:rsidRDefault="00CF626A">
      <w:pPr>
        <w:pStyle w:val="A"/>
      </w:pPr>
      <w:r w:rsidRPr="001531CD">
        <w:t>A.</w:t>
      </w:r>
      <w:r w:rsidRPr="001531CD">
        <w:tab/>
        <w:t>Neither the board, the commissioner, nor any agent nor representative of either shall disclose any financial or business information of any licensee which is acquired or collected in the enforcement of the Act or these rules and regulations, except as provided by R.S. 3:4110.</w:t>
      </w:r>
    </w:p>
    <w:p w14:paraId="1A4A3BE3" w14:textId="77777777" w:rsidR="00CF626A" w:rsidRPr="001531CD" w:rsidRDefault="00CF626A">
      <w:pPr>
        <w:pStyle w:val="AuthorityNote"/>
      </w:pPr>
      <w:r w:rsidRPr="001531CD">
        <w:t>AUTHORITY NOTE:</w:t>
      </w:r>
      <w:r w:rsidRPr="001531CD">
        <w:tab/>
        <w:t>Promulgated in accordance with R.S. 3:4108 and R.S. 3:4110.</w:t>
      </w:r>
    </w:p>
    <w:p w14:paraId="2CE82CA3" w14:textId="77777777"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20:405 (April 1994).</w:t>
      </w:r>
    </w:p>
    <w:p w14:paraId="62053364" w14:textId="77777777" w:rsidR="00CF626A" w:rsidRPr="001531CD" w:rsidRDefault="00CF626A">
      <w:pPr>
        <w:pStyle w:val="Section"/>
      </w:pPr>
      <w:bookmarkStart w:id="2916" w:name="_Toc256755051"/>
      <w:bookmarkStart w:id="2917" w:name="_Toc224819421"/>
      <w:r w:rsidRPr="001531CD">
        <w:t>§329.</w:t>
      </w:r>
      <w:r w:rsidRPr="001531CD">
        <w:tab/>
        <w:t>Delegation of Authority and Duties</w:t>
      </w:r>
      <w:bookmarkEnd w:id="2916"/>
      <w:bookmarkEnd w:id="2917"/>
    </w:p>
    <w:p w14:paraId="7C917CC9" w14:textId="77777777" w:rsidR="00CF626A" w:rsidRPr="001531CD" w:rsidRDefault="00CF626A">
      <w:pPr>
        <w:pStyle w:val="A"/>
      </w:pPr>
      <w:r w:rsidRPr="001531CD">
        <w:t>A.</w:t>
      </w:r>
      <w:r w:rsidRPr="001531CD">
        <w:tab/>
        <w:t>The commissioner may, from time to time, in accordance with the authority granted to him under R.S. 36:901(B), delegate to the board any of the authority and/or duties reserved to the commissioner.</w:t>
      </w:r>
    </w:p>
    <w:p w14:paraId="746D15B7" w14:textId="77777777" w:rsidR="00CF626A" w:rsidRPr="001531CD" w:rsidRDefault="00CF626A">
      <w:pPr>
        <w:pStyle w:val="AuthorityNote"/>
      </w:pPr>
      <w:r w:rsidRPr="001531CD">
        <w:t>AUTHORITY NOTE:</w:t>
      </w:r>
      <w:r w:rsidRPr="001531CD">
        <w:tab/>
        <w:t>Promulgated in accordance with R.S. 3:4108.</w:t>
      </w:r>
    </w:p>
    <w:p w14:paraId="17E70080" w14:textId="77777777"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20:405 (April 1994).</w:t>
      </w:r>
    </w:p>
    <w:p w14:paraId="140ADB16" w14:textId="77777777" w:rsidR="00F25C21" w:rsidRPr="001531CD" w:rsidRDefault="00F25C21" w:rsidP="00F25C21">
      <w:pPr>
        <w:pStyle w:val="Chapter"/>
      </w:pPr>
      <w:bookmarkStart w:id="2918" w:name="TOC_Chap244"/>
      <w:bookmarkStart w:id="2919" w:name="_Toc256755052"/>
      <w:bookmarkStart w:id="2920" w:name="_Toc224819422"/>
      <w:r w:rsidRPr="001531CD">
        <w:t>Chapter 5.</w:t>
      </w:r>
      <w:bookmarkEnd w:id="2918"/>
      <w:r w:rsidR="00167E2E">
        <w:tab/>
      </w:r>
      <w:bookmarkStart w:id="2921" w:name="TOCT_Chap230"/>
      <w:bookmarkStart w:id="2922" w:name="TOCT_Chap232"/>
      <w:bookmarkStart w:id="2923" w:name="TOCT_Chap244"/>
      <w:r w:rsidRPr="001531CD">
        <w:t>Tax Credit for Certain Milk Producers</w:t>
      </w:r>
      <w:bookmarkEnd w:id="2919"/>
      <w:bookmarkEnd w:id="2920"/>
      <w:bookmarkEnd w:id="2921"/>
      <w:bookmarkEnd w:id="2922"/>
      <w:bookmarkEnd w:id="2923"/>
    </w:p>
    <w:p w14:paraId="7F839163" w14:textId="77777777" w:rsidR="00F25C21" w:rsidRPr="001531CD" w:rsidRDefault="00F25C21" w:rsidP="00F25C21">
      <w:pPr>
        <w:pStyle w:val="Section"/>
      </w:pPr>
      <w:bookmarkStart w:id="2924" w:name="_Toc256755053"/>
      <w:bookmarkStart w:id="2925" w:name="_Toc224819423"/>
      <w:r w:rsidRPr="001531CD">
        <w:t>§501.</w:t>
      </w:r>
      <w:r w:rsidRPr="001531CD">
        <w:tab/>
        <w:t>Purpose and Effective Date</w:t>
      </w:r>
      <w:bookmarkEnd w:id="2924"/>
      <w:bookmarkEnd w:id="2925"/>
    </w:p>
    <w:p w14:paraId="756D7E38" w14:textId="77777777" w:rsidR="00F25C21" w:rsidRPr="001531CD" w:rsidRDefault="00F25C21" w:rsidP="00F25C21">
      <w:pPr>
        <w:pStyle w:val="A"/>
      </w:pPr>
      <w:r w:rsidRPr="001531CD">
        <w:t>A.</w:t>
      </w:r>
      <w:r w:rsidRPr="001531CD">
        <w:tab/>
        <w:t>These regulations implement the provisions of R.S. 47:6032.</w:t>
      </w:r>
    </w:p>
    <w:p w14:paraId="049022E8" w14:textId="77777777" w:rsidR="00F25C21" w:rsidRPr="001531CD" w:rsidRDefault="00F25C21" w:rsidP="00F25C21">
      <w:pPr>
        <w:pStyle w:val="A"/>
      </w:pPr>
      <w:r w:rsidRPr="001531CD">
        <w:t>B.</w:t>
      </w:r>
      <w:r w:rsidRPr="001531CD">
        <w:tab/>
        <w:t>These regulations are effective for taxable periods beginning on or after January 1, 2007.</w:t>
      </w:r>
    </w:p>
    <w:p w14:paraId="2897DBCD"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64D7FFD1"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14:paraId="4D7DE58B" w14:textId="77777777" w:rsidR="00F25C21" w:rsidRPr="001531CD" w:rsidRDefault="00F25C21" w:rsidP="00F25C21">
      <w:pPr>
        <w:pStyle w:val="Section"/>
      </w:pPr>
      <w:bookmarkStart w:id="2926" w:name="_Toc256755054"/>
      <w:bookmarkStart w:id="2927" w:name="_Toc224819424"/>
      <w:r w:rsidRPr="001531CD">
        <w:t>§503.</w:t>
      </w:r>
      <w:r w:rsidRPr="001531CD">
        <w:tab/>
        <w:t>Definitions</w:t>
      </w:r>
      <w:bookmarkEnd w:id="2926"/>
      <w:bookmarkEnd w:id="2927"/>
    </w:p>
    <w:p w14:paraId="71DBDF8F" w14:textId="77777777" w:rsidR="00F25C21" w:rsidRPr="001531CD" w:rsidRDefault="00F25C21" w:rsidP="00F25C21">
      <w:pPr>
        <w:pStyle w:val="A"/>
      </w:pPr>
      <w:r w:rsidRPr="001531CD">
        <w:rPr>
          <w:i/>
        </w:rPr>
        <w:t>Announced Production Price</w:t>
      </w:r>
      <w:r w:rsidRPr="001531CD">
        <w:t xml:space="preserve">—the average of the production price of milk for the three years immediately preceding the calendar year for which tax credits may be given. </w:t>
      </w:r>
    </w:p>
    <w:p w14:paraId="1B1C5787" w14:textId="77777777" w:rsidR="00F25C21" w:rsidRPr="001531CD" w:rsidRDefault="00F25C21" w:rsidP="00F25C21">
      <w:pPr>
        <w:pStyle w:val="A"/>
      </w:pPr>
      <w:r w:rsidRPr="001531CD">
        <w:rPr>
          <w:i/>
        </w:rPr>
        <w:t>Certified Milk Producer</w:t>
      </w:r>
      <w:r w:rsidRPr="001531CD">
        <w:t>—a milk producer who has been certified as such to the Department of Revenue by the Department of Health and Hospitals in accordance with R.S. 47:6026(E).</w:t>
      </w:r>
    </w:p>
    <w:p w14:paraId="2956A325" w14:textId="77777777" w:rsidR="00F25C21" w:rsidRPr="001531CD" w:rsidRDefault="00F25C21" w:rsidP="00F25C21">
      <w:pPr>
        <w:pStyle w:val="A"/>
      </w:pPr>
      <w:r w:rsidRPr="001531CD">
        <w:rPr>
          <w:i/>
        </w:rPr>
        <w:t>Commissioner</w:t>
      </w:r>
      <w:r w:rsidRPr="001531CD">
        <w:t>—the Louisiana Commissioner of Agriculture and Forestry or his designee.</w:t>
      </w:r>
    </w:p>
    <w:p w14:paraId="7BBD98C1" w14:textId="77777777" w:rsidR="00F25C21" w:rsidRPr="001531CD" w:rsidRDefault="00F25C21" w:rsidP="00F25C21">
      <w:pPr>
        <w:pStyle w:val="A"/>
      </w:pPr>
      <w:r w:rsidRPr="001531CD">
        <w:rPr>
          <w:i/>
        </w:rPr>
        <w:t>Federal Milk Market Order (FMMO)</w:t>
      </w:r>
      <w:r w:rsidRPr="001531CD">
        <w:t>—a regulation issued by the United States secretary of agriculture specifying minimum prices and conditions for the purchase of milk from dairy farmers within a specified geographic area.</w:t>
      </w:r>
    </w:p>
    <w:p w14:paraId="339A2DE8" w14:textId="77777777" w:rsidR="00F25C21" w:rsidRPr="001531CD" w:rsidRDefault="00F25C21" w:rsidP="00F25C21">
      <w:pPr>
        <w:pStyle w:val="A"/>
      </w:pPr>
      <w:r w:rsidRPr="001531CD">
        <w:rPr>
          <w:i/>
          <w:iCs/>
        </w:rPr>
        <w:t>Information Release Form</w:t>
      </w:r>
      <w:r w:rsidRPr="001531CD">
        <w:t>—a form entitled Authorization to Release Information which authorizes the milk market administrator or other persons to release information held by the administrator or other person relative to that milk producer.</w:t>
      </w:r>
    </w:p>
    <w:p w14:paraId="3CDFF89F" w14:textId="77777777" w:rsidR="00F25C21" w:rsidRPr="001531CD" w:rsidRDefault="00F25C21" w:rsidP="00F25C21">
      <w:pPr>
        <w:pStyle w:val="A"/>
      </w:pPr>
      <w:r w:rsidRPr="001531CD">
        <w:rPr>
          <w:i/>
        </w:rPr>
        <w:t>LDAF</w:t>
      </w:r>
      <w:r w:rsidRPr="001531CD">
        <w:t>—the Louisiana Department of Agriculture and Forestry or its designee.</w:t>
      </w:r>
    </w:p>
    <w:p w14:paraId="7751AF58" w14:textId="77777777" w:rsidR="00F25C21" w:rsidRPr="001531CD" w:rsidRDefault="00F25C21" w:rsidP="00F25C21">
      <w:pPr>
        <w:pStyle w:val="A"/>
      </w:pPr>
      <w:r w:rsidRPr="001531CD">
        <w:rPr>
          <w:i/>
        </w:rPr>
        <w:t>Milk Handler</w:t>
      </w:r>
      <w:r w:rsidRPr="001531CD">
        <w:t>—the person, including a dairy cooperative, who collects or receives a milk producer’s milk directly from the milk producer’s dairy.</w:t>
      </w:r>
    </w:p>
    <w:p w14:paraId="13C0BD08" w14:textId="77777777" w:rsidR="00F25C21" w:rsidRPr="001531CD" w:rsidRDefault="00F25C21" w:rsidP="00F25C21">
      <w:pPr>
        <w:pStyle w:val="A"/>
      </w:pPr>
      <w:r w:rsidRPr="001531CD">
        <w:rPr>
          <w:i/>
        </w:rPr>
        <w:t>Milk Market Administrator</w:t>
      </w:r>
      <w:r w:rsidRPr="001531CD">
        <w:t>—the market administrator of the FMMO that covers this state.</w:t>
      </w:r>
    </w:p>
    <w:p w14:paraId="64208B55" w14:textId="77777777" w:rsidR="00F25C21" w:rsidRPr="001531CD" w:rsidRDefault="00F25C21" w:rsidP="00F25C21">
      <w:pPr>
        <w:pStyle w:val="A"/>
      </w:pPr>
      <w:r w:rsidRPr="001531CD">
        <w:rPr>
          <w:i/>
        </w:rPr>
        <w:t>Milk Producer</w:t>
      </w:r>
      <w:r w:rsidRPr="001531CD">
        <w:t>—a resident taxpayer of the State of Louisiana who is engaged in the business of producing milk in this state from his own cows.</w:t>
      </w:r>
    </w:p>
    <w:p w14:paraId="4F8E3B42" w14:textId="77777777" w:rsidR="00F25C21" w:rsidRPr="001531CD" w:rsidRDefault="00F25C21" w:rsidP="00F25C21">
      <w:pPr>
        <w:pStyle w:val="A"/>
      </w:pPr>
      <w:r w:rsidRPr="001531CD">
        <w:rPr>
          <w:i/>
        </w:rPr>
        <w:t>Non-Pooled Milk</w:t>
      </w:r>
      <w:r w:rsidRPr="001531CD">
        <w:t>—milk that is produced in Louisiana for sale but is not included in milk production records maintained by the milk market administrator. Examples of non-pooled milk include milk pooled on FMMOs that do not cover this state, milk that has been sold but not pooled on any FMMO, and milk that had to be dumped or destroyed for legitimate reasons.</w:t>
      </w:r>
    </w:p>
    <w:p w14:paraId="1E8424BA" w14:textId="77777777" w:rsidR="00F25C21" w:rsidRPr="001531CD" w:rsidRDefault="00F25C21" w:rsidP="00F25C21">
      <w:pPr>
        <w:pStyle w:val="A"/>
      </w:pPr>
      <w:r w:rsidRPr="001531CD">
        <w:rPr>
          <w:i/>
        </w:rPr>
        <w:t>Non-Pooled Milk Form</w:t>
      </w:r>
      <w:r w:rsidRPr="001531CD">
        <w:t xml:space="preserve">—a form or list entitled “non-pooled milk production certification” submitted by a milk </w:t>
      </w:r>
      <w:r w:rsidRPr="001531CD">
        <w:lastRenderedPageBreak/>
        <w:t xml:space="preserve">producer or milk handler showing the amount of non-pooled milk produced by a milk producer for a year for which the credit is applied for. </w:t>
      </w:r>
    </w:p>
    <w:p w14:paraId="4E81AD90" w14:textId="77777777" w:rsidR="00F25C21" w:rsidRPr="001531CD" w:rsidRDefault="00F25C21" w:rsidP="00F25C21">
      <w:pPr>
        <w:pStyle w:val="A"/>
      </w:pPr>
      <w:r w:rsidRPr="001531CD">
        <w:rPr>
          <w:i/>
        </w:rPr>
        <w:t>Production Price</w:t>
      </w:r>
      <w:r w:rsidRPr="001531CD">
        <w:t xml:space="preserve">—an annual price derived by averaging over 12 months the monthly sum of the market balancing factor, (which is the monthly arithmetic difference between the average of the sums of the uniform prices plus the associated transportation costs of moving milk from its export points of origin to New Orleans, Louisiana less the monthly uniform price in the FMMO that covers this state), plus the cost of milk production in this state as determined by the LSU Agricultural Center's Department of Agricultural Economics and Agribusiness. </w:t>
      </w:r>
    </w:p>
    <w:p w14:paraId="5FEC5DC7" w14:textId="77777777" w:rsidR="00F25C21" w:rsidRPr="001531CD" w:rsidRDefault="00F25C21" w:rsidP="00F25C21">
      <w:pPr>
        <w:pStyle w:val="A"/>
      </w:pPr>
      <w:r w:rsidRPr="001531CD">
        <w:rPr>
          <w:i/>
        </w:rPr>
        <w:t>Tax Credit</w:t>
      </w:r>
      <w:r w:rsidRPr="001531CD">
        <w:t>—the milk producer refundable tax credit established by R.S. 47:6032.</w:t>
      </w:r>
    </w:p>
    <w:p w14:paraId="09D68DC9" w14:textId="77777777" w:rsidR="00F25C21" w:rsidRPr="001531CD" w:rsidRDefault="00F25C21" w:rsidP="00F25C21">
      <w:pPr>
        <w:pStyle w:val="A"/>
      </w:pPr>
      <w:r w:rsidRPr="001531CD">
        <w:rPr>
          <w:i/>
        </w:rPr>
        <w:t>Uniform Price</w:t>
      </w:r>
      <w:r w:rsidRPr="001531CD">
        <w:t xml:space="preserve">—the weighted average price established in the FMMO covering this state. </w:t>
      </w:r>
    </w:p>
    <w:p w14:paraId="070A207B"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2A8CB499"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14:paraId="72F927F9" w14:textId="77777777" w:rsidR="00F25C21" w:rsidRPr="001531CD" w:rsidRDefault="00F25C21" w:rsidP="00F25C21">
      <w:pPr>
        <w:pStyle w:val="Section"/>
      </w:pPr>
      <w:bookmarkStart w:id="2928" w:name="_Toc256755055"/>
      <w:bookmarkStart w:id="2929" w:name="_Toc224819425"/>
      <w:r w:rsidRPr="001531CD">
        <w:t>§505.</w:t>
      </w:r>
      <w:r w:rsidRPr="001531CD">
        <w:tab/>
        <w:t>Cooperative Endeavor Agreements</w:t>
      </w:r>
      <w:bookmarkEnd w:id="2928"/>
      <w:bookmarkEnd w:id="2929"/>
    </w:p>
    <w:p w14:paraId="5B7F65DB" w14:textId="77777777" w:rsidR="00F25C21" w:rsidRPr="001531CD" w:rsidRDefault="00F25C21" w:rsidP="00F25C21">
      <w:pPr>
        <w:pStyle w:val="A"/>
      </w:pPr>
      <w:r w:rsidRPr="001531CD">
        <w:t>A.</w:t>
      </w:r>
      <w:r w:rsidRPr="001531CD">
        <w:tab/>
        <w:t>For the purpose of implementing the provisions of Acts 2007, No. 461 and these regulations LDAF, through the Commissioner, may enter into cooperative endeavor agreements with other state agencies, federal agencies, or private entities.</w:t>
      </w:r>
    </w:p>
    <w:p w14:paraId="417359B3"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01450B63"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14:paraId="50D282E5" w14:textId="77777777" w:rsidR="00F25C21" w:rsidRPr="001531CD" w:rsidRDefault="00F25C21" w:rsidP="00F25C21">
      <w:pPr>
        <w:pStyle w:val="Section"/>
      </w:pPr>
      <w:bookmarkStart w:id="2930" w:name="_Toc256755056"/>
      <w:bookmarkStart w:id="2931" w:name="_Toc224819426"/>
      <w:r w:rsidRPr="001531CD">
        <w:t>§507.</w:t>
      </w:r>
      <w:r w:rsidRPr="001531CD">
        <w:tab/>
        <w:t>Responsibilities of Milk Producers and Milk Handlers</w:t>
      </w:r>
      <w:bookmarkEnd w:id="2930"/>
      <w:bookmarkEnd w:id="2931"/>
    </w:p>
    <w:p w14:paraId="36F4724B" w14:textId="77777777" w:rsidR="00F25C21" w:rsidRPr="001531CD" w:rsidRDefault="00F25C21" w:rsidP="00F25C21">
      <w:pPr>
        <w:pStyle w:val="A"/>
      </w:pPr>
      <w:r w:rsidRPr="001531CD">
        <w:t>A.</w:t>
      </w:r>
      <w:r w:rsidRPr="001531CD">
        <w:tab/>
        <w:t>It shall be the responsibility of any milk producer who wants to apply for a tax credit in the year for which the credit is applied for to:</w:t>
      </w:r>
    </w:p>
    <w:p w14:paraId="5AD18A26" w14:textId="77777777" w:rsidR="00F25C21" w:rsidRPr="001531CD" w:rsidRDefault="00F25C21" w:rsidP="00F25C21">
      <w:pPr>
        <w:pStyle w:val="1"/>
      </w:pPr>
      <w:r w:rsidRPr="001531CD">
        <w:t>1.</w:t>
      </w:r>
      <w:r w:rsidRPr="001531CD">
        <w:tab/>
        <w:t>hold a milk producer permit during the year for which the credit is applied for under Louisiana Administrative Code, Title 51, Public Health</w:t>
      </w:r>
      <w:r w:rsidRPr="001531CD">
        <w:rPr>
          <w:rFonts w:ascii="Arial" w:hAnsi="Arial" w:cs="Arial"/>
        </w:rPr>
        <w:t>―</w:t>
      </w:r>
      <w:r w:rsidRPr="001531CD">
        <w:t>Sanitary Code, Part VII, Milk, Milk Products, and Manufactured Milk Products and meet the requirements of the 2007 revision to the Grade A Pasteurized Milk Ordinance of the United States Food and Drug Administration;</w:t>
      </w:r>
    </w:p>
    <w:p w14:paraId="33ADCB04" w14:textId="77777777" w:rsidR="00F25C21" w:rsidRPr="001531CD" w:rsidRDefault="00F25C21" w:rsidP="00F25C21">
      <w:pPr>
        <w:pStyle w:val="1"/>
      </w:pPr>
      <w:r w:rsidRPr="001531CD">
        <w:t>2.</w:t>
      </w:r>
      <w:r w:rsidRPr="001531CD">
        <w:tab/>
        <w:t>ensure that the records of the Department of Health and Hospitals reflect that during the year for which the credit is applied for the milk producer was in compliance with the requirements set out in Paragraph 1 for purposes of being certified as a milk producer;</w:t>
      </w:r>
    </w:p>
    <w:p w14:paraId="2D5231EB" w14:textId="77777777" w:rsidR="00F25C21" w:rsidRPr="001531CD" w:rsidRDefault="00F25C21" w:rsidP="00F25C21">
      <w:pPr>
        <w:pStyle w:val="1"/>
      </w:pPr>
      <w:r w:rsidRPr="001531CD">
        <w:t>3.</w:t>
      </w:r>
      <w:r w:rsidRPr="001531CD">
        <w:tab/>
        <w:t>timely submit to LDAF a properly completed and signed information release form;</w:t>
      </w:r>
    </w:p>
    <w:p w14:paraId="4551D991" w14:textId="77777777" w:rsidR="00F25C21" w:rsidRPr="001531CD" w:rsidRDefault="00F25C21" w:rsidP="00F25C21">
      <w:pPr>
        <w:pStyle w:val="1"/>
      </w:pPr>
      <w:r w:rsidRPr="001531CD">
        <w:t>4.</w:t>
      </w:r>
      <w:r w:rsidRPr="001531CD">
        <w:tab/>
        <w:t xml:space="preserve">timely submit to LDAF a properly completed and signed non-pool milk form for the year for which the credit is applied for if the milk producer's milk did not go into the </w:t>
      </w:r>
      <w:r w:rsidRPr="001531CD">
        <w:t>FMMO milk pool for Louisiana and is not listed on a non-pooled milk form submitted by the milk producer's milk handler. The form shall certify the amount of such non-pool milk produced by the milk producer for that year and the reasons why the milk is non-pooled milk and why the milk is not listed on the certification form submitted by the milk handler;</w:t>
      </w:r>
    </w:p>
    <w:p w14:paraId="7014574E" w14:textId="77777777" w:rsidR="00F25C21" w:rsidRPr="001531CD" w:rsidRDefault="00F25C21" w:rsidP="00F25C21">
      <w:pPr>
        <w:pStyle w:val="1"/>
      </w:pPr>
      <w:r w:rsidRPr="001531CD">
        <w:t>5.</w:t>
      </w:r>
      <w:r w:rsidRPr="001531CD">
        <w:tab/>
        <w:t>timely submit to LDAF all other forms and information, properly completed and signed, that may be required by that department;</w:t>
      </w:r>
    </w:p>
    <w:p w14:paraId="57663E0D" w14:textId="77777777" w:rsidR="00F25C21" w:rsidRPr="001531CD" w:rsidRDefault="00F25C21" w:rsidP="00F25C21">
      <w:pPr>
        <w:pStyle w:val="1"/>
      </w:pPr>
      <w:r w:rsidRPr="001531CD">
        <w:t>6.</w:t>
      </w:r>
      <w:r w:rsidRPr="001531CD">
        <w:tab/>
        <w:t>timely submit an application for the tax credit to the Department of Revenue on forms supplied by that department and in accordance with that department's regulations and policies.</w:t>
      </w:r>
    </w:p>
    <w:p w14:paraId="08675629" w14:textId="77777777" w:rsidR="00F25C21" w:rsidRPr="001531CD" w:rsidRDefault="00F25C21" w:rsidP="00F25C21">
      <w:pPr>
        <w:pStyle w:val="A"/>
      </w:pPr>
      <w:r w:rsidRPr="001531CD">
        <w:t>B.</w:t>
      </w:r>
      <w:r w:rsidRPr="001531CD">
        <w:tab/>
        <w:t xml:space="preserve">It shall be the responsibility of each milk handler to timely submit to LDAF a properly completed and signed non-pooled milk form showing the amount of non-pooled milk collected or received by the milk handler from each of its milk producers. A milk handler may substitute a list showing its milk producers who have non-pooled milk, the amount of non-pooled milk, and the reason the milk is </w:t>
      </w:r>
      <w:r w:rsidRPr="001531CD">
        <w:br/>
        <w:t xml:space="preserve">non-pooled milk for the non-pooled milk form. </w:t>
      </w:r>
    </w:p>
    <w:p w14:paraId="7F6129C6" w14:textId="77777777" w:rsidR="00F25C21" w:rsidRPr="001531CD" w:rsidRDefault="00F25C21" w:rsidP="00F25C21">
      <w:pPr>
        <w:pStyle w:val="A"/>
      </w:pPr>
      <w:r w:rsidRPr="001531CD">
        <w:t>C.</w:t>
      </w:r>
      <w:r w:rsidRPr="001531CD">
        <w:tab/>
        <w:t>Failure of a milk producer or milk handler to fulfill the responsibilities set out in Subsections A and B of this Section may result in the milk producer being disqualified from receiving any tax credit for the applicable tax year for which the credit is applied for or receiving less than the maximum allowable tax credit for the year for which the credit is applied for.</w:t>
      </w:r>
    </w:p>
    <w:p w14:paraId="4D8C8AB0" w14:textId="77777777" w:rsidR="00F25C21" w:rsidRPr="001531CD" w:rsidRDefault="00F25C21" w:rsidP="00F25C21">
      <w:pPr>
        <w:pStyle w:val="A"/>
      </w:pPr>
      <w:r w:rsidRPr="001531CD">
        <w:t>D.</w:t>
      </w:r>
      <w:r w:rsidRPr="001531CD">
        <w:tab/>
        <w:t xml:space="preserve">All forms and lists shall be free of false statements or false representations of any material fact. A milk producer or milk handler may be referred to the appropriate district attorney for possible criminal prosecution under R.S. 14:133 for filing false public records if the milk producer or milk handler files with LDAF or other state agency a form that contains a false statement or false representation of a material fact or provides false information. </w:t>
      </w:r>
    </w:p>
    <w:p w14:paraId="23B16239"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6711E7D7"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14:paraId="34F819B8" w14:textId="77777777" w:rsidR="00F25C21" w:rsidRPr="001531CD" w:rsidRDefault="00F25C21" w:rsidP="00F25C21">
      <w:pPr>
        <w:pStyle w:val="Section"/>
      </w:pPr>
      <w:bookmarkStart w:id="2932" w:name="_Toc256755057"/>
      <w:bookmarkStart w:id="2933" w:name="_Toc224819427"/>
      <w:r w:rsidRPr="001531CD">
        <w:t>§509.</w:t>
      </w:r>
      <w:r w:rsidRPr="001531CD">
        <w:tab/>
        <w:t>Forms; Distribution</w:t>
      </w:r>
      <w:bookmarkEnd w:id="2932"/>
      <w:bookmarkEnd w:id="2933"/>
    </w:p>
    <w:p w14:paraId="2CFF6FED" w14:textId="77777777" w:rsidR="00F25C21" w:rsidRPr="001531CD" w:rsidRDefault="00F25C21" w:rsidP="00F25C21">
      <w:pPr>
        <w:pStyle w:val="A"/>
      </w:pPr>
      <w:r w:rsidRPr="001531CD">
        <w:t>A.</w:t>
      </w:r>
      <w:r w:rsidRPr="001531CD">
        <w:tab/>
        <w:t>All forms required by these regulations to be filled out and submitted by a milk producer or milk handler may be obtained from LDAF.</w:t>
      </w:r>
    </w:p>
    <w:p w14:paraId="5E75A6E5" w14:textId="77777777" w:rsidR="00F25C21" w:rsidRPr="001531CD" w:rsidRDefault="00F25C21" w:rsidP="00F25C21">
      <w:pPr>
        <w:pStyle w:val="A"/>
      </w:pPr>
      <w:r w:rsidRPr="001531CD">
        <w:t>B.</w:t>
      </w:r>
      <w:r w:rsidRPr="001531CD">
        <w:tab/>
        <w:t>LDAF shall submit all forms relative to the tax credit which are received from milk producers and milk handlers to the proper state or federal agency or other appropriate entity.</w:t>
      </w:r>
    </w:p>
    <w:p w14:paraId="62908A30"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5E123BF6"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14:paraId="7C93351D" w14:textId="77777777" w:rsidR="00F25C21" w:rsidRPr="001531CD" w:rsidRDefault="00F25C21" w:rsidP="00F25C21">
      <w:pPr>
        <w:pStyle w:val="Section"/>
      </w:pPr>
      <w:bookmarkStart w:id="2934" w:name="_Toc256755058"/>
      <w:bookmarkStart w:id="2935" w:name="_Toc224819428"/>
      <w:r w:rsidRPr="001531CD">
        <w:lastRenderedPageBreak/>
        <w:t>§511.</w:t>
      </w:r>
      <w:r w:rsidRPr="001531CD">
        <w:tab/>
        <w:t>Determination of the Announced Production Price</w:t>
      </w:r>
      <w:bookmarkEnd w:id="2934"/>
      <w:bookmarkEnd w:id="2935"/>
    </w:p>
    <w:p w14:paraId="36699731" w14:textId="77777777" w:rsidR="00F25C21" w:rsidRPr="001531CD" w:rsidRDefault="00F25C21" w:rsidP="00F25C21">
      <w:pPr>
        <w:pStyle w:val="A"/>
      </w:pPr>
      <w:r w:rsidRPr="001531CD">
        <w:t>A.</w:t>
      </w:r>
      <w:r w:rsidRPr="001531CD">
        <w:tab/>
        <w:t>The announced production price shall be determined based on the following factors:</w:t>
      </w:r>
    </w:p>
    <w:p w14:paraId="0BD9FDCF" w14:textId="77777777" w:rsidR="00F25C21" w:rsidRPr="001531CD" w:rsidRDefault="00F25C21" w:rsidP="00F25C21">
      <w:pPr>
        <w:pStyle w:val="1"/>
      </w:pPr>
      <w:r w:rsidRPr="001531CD">
        <w:t>1.</w:t>
      </w:r>
      <w:r w:rsidRPr="001531CD">
        <w:tab/>
        <w:t>the average uniform price of milk in the top five states from which milk is imported to Louisiana;</w:t>
      </w:r>
    </w:p>
    <w:p w14:paraId="44EA9ADB" w14:textId="77777777" w:rsidR="00F25C21" w:rsidRPr="001531CD" w:rsidRDefault="00F25C21" w:rsidP="00F25C21">
      <w:pPr>
        <w:pStyle w:val="1"/>
      </w:pPr>
      <w:r w:rsidRPr="001531CD">
        <w:t>2.</w:t>
      </w:r>
      <w:r w:rsidRPr="001531CD">
        <w:tab/>
        <w:t>the average transportation cost of importing milk from those five states;</w:t>
      </w:r>
    </w:p>
    <w:p w14:paraId="7743A749" w14:textId="77777777" w:rsidR="00F25C21" w:rsidRPr="001531CD" w:rsidRDefault="00F25C21" w:rsidP="00F25C21">
      <w:pPr>
        <w:pStyle w:val="1"/>
      </w:pPr>
      <w:r w:rsidRPr="001531CD">
        <w:t>3.</w:t>
      </w:r>
      <w:r w:rsidRPr="001531CD">
        <w:tab/>
        <w:t>the cost of production in Louisiana.</w:t>
      </w:r>
    </w:p>
    <w:p w14:paraId="797592A7" w14:textId="77777777" w:rsidR="00F25C21" w:rsidRPr="001531CD" w:rsidRDefault="00F25C21" w:rsidP="00F25C21">
      <w:pPr>
        <w:pStyle w:val="A"/>
      </w:pPr>
      <w:r w:rsidRPr="001531CD">
        <w:t>B.</w:t>
      </w:r>
      <w:r w:rsidRPr="001531CD">
        <w:tab/>
        <w:t>The determination of the announced production price shall be based on calculations made by the Louisiana State University Agricultural Center, Department of Agricultural Economics and Agribusiness, using the factors set out in Subsection A of this Section.</w:t>
      </w:r>
    </w:p>
    <w:p w14:paraId="2E8809AE"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33E8192D"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14:paraId="6A1A9954" w14:textId="77777777" w:rsidR="00F25C21" w:rsidRPr="001531CD" w:rsidRDefault="00F25C21" w:rsidP="00F25C21">
      <w:pPr>
        <w:pStyle w:val="Section"/>
      </w:pPr>
      <w:bookmarkStart w:id="2936" w:name="_Toc256755059"/>
      <w:bookmarkStart w:id="2937" w:name="_Toc224819429"/>
      <w:r w:rsidRPr="001531CD">
        <w:t>§513.</w:t>
      </w:r>
      <w:r w:rsidRPr="001531CD">
        <w:tab/>
        <w:t>Determination of Tax Credit for Individual Producers and Eligible Quarters</w:t>
      </w:r>
      <w:bookmarkEnd w:id="2936"/>
      <w:bookmarkEnd w:id="2937"/>
    </w:p>
    <w:p w14:paraId="19791E62" w14:textId="77777777" w:rsidR="00F25C21" w:rsidRPr="001531CD" w:rsidRDefault="00F25C21" w:rsidP="00F25C21">
      <w:pPr>
        <w:pStyle w:val="A"/>
      </w:pPr>
      <w:r w:rsidRPr="001531CD">
        <w:t>A.</w:t>
      </w:r>
      <w:r w:rsidRPr="001531CD">
        <w:tab/>
        <w:t>LDAF shall, no later than April 30 of each year, provide the Department of Revenue with a chart for the previous year for which the credit is applied for showing the names of each participating certified milk producer, the amount of milk produced by each, the anticipated amount of tax credit each certified milk producer is eligible to receive, and any other information necessary or proper for the Department of Revenue to pay the tax credits.</w:t>
      </w:r>
    </w:p>
    <w:p w14:paraId="568F5A89" w14:textId="77777777" w:rsidR="00F25C21" w:rsidRPr="001531CD" w:rsidRDefault="00F25C21" w:rsidP="00F25C21">
      <w:pPr>
        <w:pStyle w:val="1"/>
      </w:pPr>
      <w:r w:rsidRPr="001531CD">
        <w:t>1.</w:t>
      </w:r>
      <w:r w:rsidRPr="001531CD">
        <w:tab/>
        <w:t xml:space="preserve">Prior to submission of the chart to the Department of Revenue, a review committee composed of a person appointed by the commissioner, one person appointed by the secretary of health and hospitals, one person appointed by the secretary of revenue, and one certified milk producer appointed by the commissioner shall review and approve the chart. </w:t>
      </w:r>
    </w:p>
    <w:p w14:paraId="549117CE" w14:textId="77777777" w:rsidR="00F25C21" w:rsidRPr="001531CD" w:rsidRDefault="00F25C21" w:rsidP="00F25C21">
      <w:pPr>
        <w:pStyle w:val="A"/>
      </w:pPr>
      <w:r w:rsidRPr="001531CD">
        <w:t>B.</w:t>
      </w:r>
      <w:r w:rsidRPr="001531CD">
        <w:tab/>
        <w:t>Determination of the amount of milk produced during a calendar year by a participating certified milk producer shall be based on information obtained from the non-pooled milk certification forms and from records maintained by the milk market administrator.</w:t>
      </w:r>
    </w:p>
    <w:p w14:paraId="5D4B121A" w14:textId="77777777" w:rsidR="00F25C21" w:rsidRPr="001531CD" w:rsidRDefault="00F25C21" w:rsidP="004F6FFD">
      <w:pPr>
        <w:pStyle w:val="A"/>
        <w:spacing w:after="80"/>
      </w:pPr>
      <w:r w:rsidRPr="001531CD">
        <w:t>C.</w:t>
      </w:r>
      <w:r w:rsidRPr="001531CD">
        <w:tab/>
        <w:t>Determination of the anticipated amount of tax credit each certified milk producer is eligible to receive shall be based on:</w:t>
      </w:r>
    </w:p>
    <w:p w14:paraId="2402483D" w14:textId="77777777" w:rsidR="00F25C21" w:rsidRPr="001531CD" w:rsidRDefault="00F25C21" w:rsidP="004F6FFD">
      <w:pPr>
        <w:pStyle w:val="1"/>
        <w:spacing w:after="80"/>
      </w:pPr>
      <w:r w:rsidRPr="001531CD">
        <w:t>1.</w:t>
      </w:r>
      <w:r w:rsidRPr="001531CD">
        <w:tab/>
        <w:t>the amount of milk produced by the certified milk producer;</w:t>
      </w:r>
    </w:p>
    <w:p w14:paraId="069A0901" w14:textId="77777777" w:rsidR="00F25C21" w:rsidRPr="001531CD" w:rsidRDefault="00F25C21" w:rsidP="004F6FFD">
      <w:pPr>
        <w:pStyle w:val="1"/>
        <w:spacing w:after="80"/>
      </w:pPr>
      <w:r w:rsidRPr="001531CD">
        <w:t>2.</w:t>
      </w:r>
      <w:r w:rsidRPr="001531CD">
        <w:tab/>
        <w:t>the maximum amount of tax credit the certified milk producer would be eligible to receive based on the amount of milk produced by that certified milk producer and the tax credit schedule set out in R.S. 47:6032(C);</w:t>
      </w:r>
    </w:p>
    <w:p w14:paraId="5E5831B8" w14:textId="77777777" w:rsidR="00F25C21" w:rsidRPr="001531CD" w:rsidRDefault="00F25C21" w:rsidP="004F6FFD">
      <w:pPr>
        <w:pStyle w:val="1"/>
        <w:spacing w:after="80"/>
      </w:pPr>
      <w:r w:rsidRPr="001531CD">
        <w:t>3.</w:t>
      </w:r>
      <w:r w:rsidRPr="001531CD">
        <w:tab/>
        <w:t xml:space="preserve">if applicable, the percentage or ratio shown by dividing the statutory cap on the tax credit by the aggregate of the tax credit that all the certified milk producers would be eligible to receive if there was no statutory cap in place; and </w:t>
      </w:r>
    </w:p>
    <w:p w14:paraId="78784F2F" w14:textId="77777777" w:rsidR="00F25C21" w:rsidRPr="001531CD" w:rsidRDefault="00F25C21" w:rsidP="004F6FFD">
      <w:pPr>
        <w:pStyle w:val="1"/>
        <w:spacing w:after="80"/>
      </w:pPr>
      <w:r w:rsidRPr="001531CD">
        <w:t>4.</w:t>
      </w:r>
      <w:r w:rsidRPr="001531CD">
        <w:tab/>
        <w:t>the number of eligible quarters to which the tax credit shall be prorated.</w:t>
      </w:r>
    </w:p>
    <w:p w14:paraId="3A82BB21" w14:textId="77777777" w:rsidR="00F25C21" w:rsidRPr="001531CD" w:rsidRDefault="00F25C21" w:rsidP="004F6FFD">
      <w:pPr>
        <w:pStyle w:val="a0"/>
        <w:spacing w:after="80"/>
      </w:pPr>
      <w:r w:rsidRPr="001531CD">
        <w:t>a.</w:t>
      </w:r>
      <w:r w:rsidRPr="001531CD">
        <w:tab/>
        <w:t>A quarter shall be considered to be an eligible quarter for purposes of the tax credit whenever the uniform price for any one month of the quarter drops below the announced production price.</w:t>
      </w:r>
    </w:p>
    <w:p w14:paraId="4451C0F9" w14:textId="77777777" w:rsidR="00F25C21" w:rsidRPr="001531CD" w:rsidRDefault="00F25C21" w:rsidP="00F25C21">
      <w:pPr>
        <w:pStyle w:val="RegDoubleIndent"/>
        <w:rPr>
          <w:rFonts w:eastAsia="PMingLiU"/>
          <w:sz w:val="16"/>
          <w:szCs w:val="16"/>
        </w:rPr>
      </w:pPr>
      <w:r w:rsidRPr="001531CD">
        <w:rPr>
          <w:rFonts w:eastAsia="PMingLiU"/>
          <w:sz w:val="16"/>
          <w:szCs w:val="16"/>
        </w:rPr>
        <w:t>NOTE: For example, assume that a participating certified milk producer produces between 2,000,001 and 2,500,000 pounds of pooled and non-pooled milk combined for the year in which he is applying for a tax credit. He would be eligible under the statute for a maximum tax credit of $20,000, which, prorated over four quarters, would be $5,000 per quarter. If the aggregate of the tax credits that all participating certified milk producers would be entitled to for that year is equal to or less than the statutory cap of $2,500,000 and each quarter of the year is an eligible quarter then the certified milk producer in this example would receive a $20,000 tax credit. If there are only two eligible quarters in the year then the maximum tax credit he would receive would be $10,000, ($5,000 per quarter X 2).</w:t>
      </w:r>
    </w:p>
    <w:p w14:paraId="0F64DE16" w14:textId="77777777" w:rsidR="00F25C21" w:rsidRPr="001531CD" w:rsidRDefault="00F25C21" w:rsidP="004F6FFD">
      <w:pPr>
        <w:pStyle w:val="RegDoubleIndent"/>
        <w:spacing w:after="60"/>
        <w:rPr>
          <w:rFonts w:eastAsia="PMingLiU"/>
          <w:sz w:val="16"/>
          <w:szCs w:val="16"/>
        </w:rPr>
      </w:pPr>
      <w:r w:rsidRPr="001531CD">
        <w:rPr>
          <w:rFonts w:eastAsia="PMingLiU"/>
          <w:sz w:val="16"/>
          <w:szCs w:val="16"/>
        </w:rPr>
        <w:t xml:space="preserve">If, however, the aggregate of the tax credits that all participating certified milk producers would be entitled to exceeds the statutory cap of $2,500,000 then all individual tax credits would have to be adjusted by a percent or ratio such that the aggregate cap of dairy tax credits for the taxable year would not exceed $2,500,000. Suppose the aggregate tax credit in this example equaled $3,100,000. Then the whole number percentage or ratio adjustment to individual tax credits necessary to maintain the aggregate tax credit for the year at or under $2,500,000 would be 80 percent. The participating certified milk producer in this example would be eligible for a maximum credit of $16,000, or $4,000 per quarter, (80% of the maximum tax credit of $20,000) if each quarter of the year is an eligible quarter. However, if there were only two eligible quarters in the year and the aggregate of the tax credits that all participating certified milk producers would be entitled to receive would, by virtue of that fact, be reduced to $2,500,000 or less then the certified milk producer in this example would be eligible to receive the non-prorated maximum tax credit for each quarter. In this example that tax credit would be $10,000, ($5,000 per quarter X 2). </w:t>
      </w:r>
    </w:p>
    <w:p w14:paraId="2BA8AC5D"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00E9325F"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14:paraId="0D3E1E09" w14:textId="77777777" w:rsidR="00F25C21" w:rsidRPr="001531CD" w:rsidRDefault="00F25C21" w:rsidP="004F6FFD">
      <w:pPr>
        <w:pStyle w:val="Section"/>
        <w:spacing w:after="60"/>
      </w:pPr>
      <w:bookmarkStart w:id="2938" w:name="_Toc256755060"/>
      <w:bookmarkStart w:id="2939" w:name="_Toc224819430"/>
      <w:r w:rsidRPr="001531CD">
        <w:t>§515.</w:t>
      </w:r>
      <w:r w:rsidRPr="001531CD">
        <w:tab/>
        <w:t>Payment of Tax Credit</w:t>
      </w:r>
      <w:bookmarkEnd w:id="2938"/>
      <w:bookmarkEnd w:id="2939"/>
    </w:p>
    <w:p w14:paraId="2313099A" w14:textId="77777777" w:rsidR="00F25C21" w:rsidRPr="001531CD" w:rsidRDefault="00F25C21" w:rsidP="00F25C21">
      <w:pPr>
        <w:pStyle w:val="A"/>
      </w:pPr>
      <w:r w:rsidRPr="001531CD">
        <w:t>A.</w:t>
      </w:r>
      <w:r w:rsidRPr="001531CD">
        <w:tab/>
        <w:t>The tax credit shall be paid by the Department of Revenue to a certified milk producer based on the name and tax identification number listed on the chart that LDAF provides to the Department of Revenue.</w:t>
      </w:r>
    </w:p>
    <w:p w14:paraId="2C641F1E" w14:textId="77777777" w:rsidR="00F25C21" w:rsidRPr="001531CD" w:rsidRDefault="00F25C21" w:rsidP="00F25C21">
      <w:pPr>
        <w:pStyle w:val="A"/>
      </w:pPr>
      <w:r w:rsidRPr="001531CD">
        <w:t>B.</w:t>
      </w:r>
      <w:r w:rsidRPr="001531CD">
        <w:tab/>
        <w:t>LDAF shall determine the name and tax identification number of the certified milk producer based on the name and tax identification number listed on the information release form.</w:t>
      </w:r>
    </w:p>
    <w:p w14:paraId="180A8CA4" w14:textId="77777777" w:rsidR="00F25C21" w:rsidRPr="001531CD" w:rsidRDefault="00F25C21" w:rsidP="00F25C21">
      <w:pPr>
        <w:pStyle w:val="A"/>
      </w:pPr>
      <w:r w:rsidRPr="001531CD">
        <w:t>C.</w:t>
      </w:r>
      <w:r w:rsidRPr="001531CD">
        <w:tab/>
        <w:t>If two or more milk producers combined their milk under one certified milk producer's permit then the division of the tax credit among such milk producers shall be the responsibility of those milk producers and not the responsibility of either LDAF or the Department of Revenue.</w:t>
      </w:r>
    </w:p>
    <w:p w14:paraId="67C23D64"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21BA044D"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34:1600</w:t>
      </w:r>
      <w:r w:rsidRPr="001531CD">
        <w:t xml:space="preserve"> (August 2008).</w:t>
      </w:r>
    </w:p>
    <w:p w14:paraId="7843CD65" w14:textId="77777777" w:rsidR="00F25C21" w:rsidRPr="001531CD" w:rsidRDefault="00F25C21" w:rsidP="00F25C21">
      <w:pPr>
        <w:pStyle w:val="Section"/>
      </w:pPr>
      <w:bookmarkStart w:id="2940" w:name="_Toc256755061"/>
      <w:bookmarkStart w:id="2941" w:name="_Toc224819431"/>
      <w:r w:rsidRPr="001531CD">
        <w:lastRenderedPageBreak/>
        <w:t>§517.</w:t>
      </w:r>
      <w:r w:rsidRPr="001531CD">
        <w:tab/>
        <w:t>Certification of Non-Pooled Milk</w:t>
      </w:r>
      <w:bookmarkEnd w:id="2940"/>
      <w:bookmarkEnd w:id="2941"/>
    </w:p>
    <w:p w14:paraId="5C2B8A36" w14:textId="77777777" w:rsidR="00F25C21" w:rsidRPr="001531CD" w:rsidRDefault="00F25C21" w:rsidP="00F25C21">
      <w:pPr>
        <w:pStyle w:val="A"/>
      </w:pPr>
      <w:r w:rsidRPr="001531CD">
        <w:t>A.</w:t>
      </w:r>
      <w:r w:rsidRPr="001531CD">
        <w:tab/>
        <w:t>LDAF may certify non-pooled milk for inclusion in determining the amount of tax credit due to a certified milk producer if a non-pooled milk form or list is submitted by the certified milk producer or on his behalf by a milk handler not later than January 31 of the year immediately following the year for which the credit is applied for.</w:t>
      </w:r>
    </w:p>
    <w:p w14:paraId="0D621076" w14:textId="77777777" w:rsidR="00F25C21" w:rsidRPr="001531CD" w:rsidRDefault="00F25C21" w:rsidP="00F25C21">
      <w:pPr>
        <w:pStyle w:val="A"/>
      </w:pPr>
      <w:r w:rsidRPr="001531CD">
        <w:t>B.</w:t>
      </w:r>
      <w:r w:rsidRPr="001531CD">
        <w:tab/>
        <w:t>The milk producer or milk handler shall provide LDAF with documentation sufficient to show that the non-pooled milk was commercially produced in Louisiana and the reason why the milk is non-pooled milk.</w:t>
      </w:r>
    </w:p>
    <w:p w14:paraId="061E465A" w14:textId="77777777" w:rsidR="00F25C21" w:rsidRPr="001531CD" w:rsidRDefault="00F25C21" w:rsidP="00F25C21">
      <w:pPr>
        <w:pStyle w:val="A"/>
      </w:pPr>
      <w:r w:rsidRPr="001531CD">
        <w:t>C.</w:t>
      </w:r>
      <w:r w:rsidRPr="001531CD">
        <w:tab/>
        <w:t>LDAF may investigate the circumstances and require the milk producer or milk handler to provide additional information in determining whether the non-pooled milk is to be used for determining the milk producer's tax credit.</w:t>
      </w:r>
    </w:p>
    <w:p w14:paraId="527DA91C" w14:textId="77777777" w:rsidR="00F25C21" w:rsidRPr="001531CD" w:rsidRDefault="00F25C21" w:rsidP="00F25C21">
      <w:pPr>
        <w:pStyle w:val="A"/>
      </w:pPr>
      <w:r w:rsidRPr="001531CD">
        <w:t>D.</w:t>
      </w:r>
      <w:r w:rsidRPr="001531CD">
        <w:tab/>
        <w:t>If LDAF determines that the non-pooled milk is to be used for determining the certified milk producer's tax credit then LDAF shall notify the milk producer of that determination and provide the information to the person or entity making the tax credit calculations.</w:t>
      </w:r>
    </w:p>
    <w:p w14:paraId="39CD7CC6" w14:textId="77777777" w:rsidR="00F25C21" w:rsidRPr="001531CD" w:rsidRDefault="00F25C21" w:rsidP="004F6FFD">
      <w:pPr>
        <w:pStyle w:val="A"/>
        <w:spacing w:after="80"/>
      </w:pPr>
      <w:r w:rsidRPr="001531CD">
        <w:t>E.</w:t>
      </w:r>
      <w:r w:rsidRPr="001531CD">
        <w:tab/>
        <w:t>If LDAF determines that the non-pooled milk is not to be used for determining the milk producer’s tax credit then LDAF shall notify the milk producer of that determination on or before February 28 of the year immediately following the year for which the credit is applied for.</w:t>
      </w:r>
    </w:p>
    <w:p w14:paraId="1B389D76" w14:textId="77777777" w:rsidR="00F25C21" w:rsidRPr="001531CD" w:rsidRDefault="00F25C21" w:rsidP="004F6FFD">
      <w:pPr>
        <w:pStyle w:val="A"/>
        <w:spacing w:after="80"/>
      </w:pPr>
      <w:r w:rsidRPr="001531CD">
        <w:t>F.</w:t>
      </w:r>
      <w:r w:rsidRPr="001531CD">
        <w:tab/>
        <w:t>Any milk producer who is aggrieved by a decision of LDAF regarding the eligibility of non-pooled milk may petition the commissioner for an administrative hearing to determine the validity of the decision by LDAF.</w:t>
      </w:r>
    </w:p>
    <w:p w14:paraId="65FD7010" w14:textId="77777777" w:rsidR="00F25C21" w:rsidRPr="001531CD" w:rsidRDefault="00F25C21" w:rsidP="004F6FFD">
      <w:pPr>
        <w:pStyle w:val="1"/>
        <w:spacing w:after="80"/>
      </w:pPr>
      <w:r w:rsidRPr="001531CD">
        <w:t>1.</w:t>
      </w:r>
      <w:r w:rsidRPr="001531CD">
        <w:tab/>
        <w:t>Any such petition must be filed within 30 days after the milk producer receives notice from LDAF of the decision the milk producer is appealing.</w:t>
      </w:r>
    </w:p>
    <w:p w14:paraId="46C0F87E" w14:textId="77777777" w:rsidR="00F25C21" w:rsidRPr="001531CD" w:rsidRDefault="00F25C21" w:rsidP="004F6FFD">
      <w:pPr>
        <w:pStyle w:val="1"/>
        <w:spacing w:after="80"/>
      </w:pPr>
      <w:r w:rsidRPr="001531CD">
        <w:t>2.</w:t>
      </w:r>
      <w:r w:rsidRPr="001531CD">
        <w:tab/>
        <w:t>The administrative hearing shall be held within 30 days after receipt of the milk producer's petition. The administrative hearing shall be conducted in accordance with the provisions of the Administrative Procedure Act.</w:t>
      </w:r>
    </w:p>
    <w:p w14:paraId="7409DC14" w14:textId="77777777" w:rsidR="00F25C21" w:rsidRPr="001531CD" w:rsidRDefault="00F25C21" w:rsidP="00F25C21">
      <w:pPr>
        <w:pStyle w:val="1"/>
      </w:pPr>
      <w:r w:rsidRPr="001531CD">
        <w:t>3.</w:t>
      </w:r>
      <w:r w:rsidRPr="001531CD">
        <w:tab/>
        <w:t>The commissioner may conduct the hearing or appoint a hearing officer to conduct the hearing and make a recommendation to the commissioner. In all cases the commissioner shall make the final administrative decision.</w:t>
      </w:r>
    </w:p>
    <w:p w14:paraId="394CD118" w14:textId="77777777" w:rsidR="00F25C21" w:rsidRPr="001531CD" w:rsidRDefault="00F25C21" w:rsidP="00F25C21">
      <w:pPr>
        <w:pStyle w:val="1"/>
      </w:pPr>
      <w:r w:rsidRPr="001531CD">
        <w:t>4.</w:t>
      </w:r>
      <w:r w:rsidRPr="001531CD">
        <w:tab/>
        <w:t>Any petition for judicial review of the commissioner's decision shall be filed in accordance with the Administrative Procedure Act and within the time limits set out in the APA.</w:t>
      </w:r>
    </w:p>
    <w:p w14:paraId="52FE59DD"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02CA4C74"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34:1600</w:t>
      </w:r>
      <w:r w:rsidRPr="001531CD">
        <w:t xml:space="preserve"> (August 2008).</w:t>
      </w:r>
    </w:p>
    <w:p w14:paraId="25E3B776" w14:textId="77777777" w:rsidR="00F25C21" w:rsidRPr="001531CD" w:rsidRDefault="00F25C21" w:rsidP="00F25C21">
      <w:pPr>
        <w:pStyle w:val="Section"/>
      </w:pPr>
      <w:bookmarkStart w:id="2942" w:name="_Toc256755062"/>
      <w:bookmarkStart w:id="2943" w:name="_Toc224819432"/>
      <w:r w:rsidRPr="001531CD">
        <w:t>§519.</w:t>
      </w:r>
      <w:r w:rsidRPr="001531CD">
        <w:tab/>
        <w:t>Notices</w:t>
      </w:r>
      <w:bookmarkEnd w:id="2942"/>
      <w:bookmarkEnd w:id="2943"/>
      <w:r w:rsidRPr="001531CD">
        <w:t xml:space="preserve"> </w:t>
      </w:r>
    </w:p>
    <w:p w14:paraId="2C0201FD" w14:textId="77777777" w:rsidR="00F25C21" w:rsidRPr="001531CD" w:rsidRDefault="00F25C21" w:rsidP="00F25C21">
      <w:pPr>
        <w:pStyle w:val="A"/>
      </w:pPr>
      <w:r w:rsidRPr="001531CD">
        <w:t>A.</w:t>
      </w:r>
      <w:r w:rsidRPr="001531CD">
        <w:tab/>
        <w:t xml:space="preserve">LDAF shall publish the announced production price and list of eligible quarters in the Potpourri Section of the </w:t>
      </w:r>
      <w:r w:rsidRPr="001531CD">
        <w:rPr>
          <w:i/>
        </w:rPr>
        <w:t>Louisiana Register</w:t>
      </w:r>
      <w:r w:rsidRPr="001531CD">
        <w:t xml:space="preserve"> and disseminate this information to milk producers by means reasonably calculated to provide notice to the milk producers.</w:t>
      </w:r>
    </w:p>
    <w:p w14:paraId="64130267" w14:textId="77777777" w:rsidR="00F25C21" w:rsidRPr="001531CD" w:rsidRDefault="00F25C21" w:rsidP="00F25C21">
      <w:pPr>
        <w:pStyle w:val="A"/>
      </w:pPr>
      <w:r w:rsidRPr="001531CD">
        <w:t>B.</w:t>
      </w:r>
      <w:r w:rsidRPr="001531CD">
        <w:tab/>
        <w:t>LDAF shall notify each participating certified milk producer of the amount of tax credit that the milk producer is entitled to at the time that the chart of tax credits is submitted to the Department of Revenue.</w:t>
      </w:r>
    </w:p>
    <w:p w14:paraId="48500BCC" w14:textId="77777777" w:rsidR="00F25C21" w:rsidRPr="001531CD" w:rsidRDefault="00F25C21" w:rsidP="00F25C21">
      <w:pPr>
        <w:pStyle w:val="A"/>
      </w:pPr>
      <w:r w:rsidRPr="001531CD">
        <w:t>C.</w:t>
      </w:r>
      <w:r w:rsidRPr="001531CD">
        <w:tab/>
        <w:t xml:space="preserve">All announcements and notices relative to the tax credit that LDAF is required to provide by law or these regulations to milk producers shall be provided by means reasonably calculated to provide notice to the milk producers. </w:t>
      </w:r>
    </w:p>
    <w:p w14:paraId="41E17DE8"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02A7FD3C"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14:paraId="01AA9302" w14:textId="77777777" w:rsidR="00F25C21" w:rsidRPr="001531CD" w:rsidRDefault="00F25C21" w:rsidP="004F6FFD">
      <w:pPr>
        <w:pStyle w:val="Section"/>
        <w:spacing w:after="80"/>
      </w:pPr>
      <w:bookmarkStart w:id="2944" w:name="_Toc256755063"/>
      <w:bookmarkStart w:id="2945" w:name="_Toc224819433"/>
      <w:r w:rsidRPr="001531CD">
        <w:t>§521.</w:t>
      </w:r>
      <w:r w:rsidRPr="001531CD">
        <w:tab/>
        <w:t>Disputes Regarding Milk Producer Tax Credit Qualifications</w:t>
      </w:r>
      <w:bookmarkEnd w:id="2944"/>
      <w:bookmarkEnd w:id="2945"/>
    </w:p>
    <w:p w14:paraId="07D66DA7" w14:textId="77777777" w:rsidR="00F25C21" w:rsidRPr="001531CD" w:rsidRDefault="00F25C21" w:rsidP="004F6FFD">
      <w:pPr>
        <w:pStyle w:val="A"/>
        <w:spacing w:after="80"/>
      </w:pPr>
      <w:r w:rsidRPr="001531CD">
        <w:t>A.</w:t>
      </w:r>
      <w:r w:rsidRPr="001531CD">
        <w:tab/>
        <w:t>All disputes regarding whether a milk producer is or is not a certified milk producer shall be decided by the Department of Health and Hospitals in accordance with the regulations and policies of that department.</w:t>
      </w:r>
    </w:p>
    <w:p w14:paraId="48395370" w14:textId="77777777" w:rsidR="00F25C21" w:rsidRPr="001531CD" w:rsidRDefault="00F25C21" w:rsidP="004F6FFD">
      <w:pPr>
        <w:pStyle w:val="A"/>
        <w:spacing w:after="80"/>
      </w:pPr>
      <w:r w:rsidRPr="001531CD">
        <w:t>B.</w:t>
      </w:r>
      <w:r w:rsidRPr="001531CD">
        <w:tab/>
        <w:t>All disputes regarding eligibility for a tax credit or the amount thereof due the milk producer under the provisions of R.S. 47:6032 shall be decided by the Department of Revenue in accordance with the regulations and policies of that department.</w:t>
      </w:r>
    </w:p>
    <w:p w14:paraId="5A42D59C" w14:textId="77777777" w:rsidR="00F25C21" w:rsidRPr="001531CD" w:rsidRDefault="00F25C21" w:rsidP="004F6FFD">
      <w:pPr>
        <w:pStyle w:val="A"/>
        <w:spacing w:after="80"/>
      </w:pPr>
      <w:r w:rsidRPr="001531CD">
        <w:t>C.</w:t>
      </w:r>
      <w:r w:rsidRPr="001531CD">
        <w:tab/>
        <w:t>All disputes regarding certification of the amount of non-pooled milk produced during a calendar year shall be decided by the commissioner.</w:t>
      </w:r>
    </w:p>
    <w:p w14:paraId="510994D7"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779FEDC5"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14:paraId="4D718D76" w14:textId="77777777" w:rsidR="00F25C21" w:rsidRPr="001531CD" w:rsidRDefault="00F25C21" w:rsidP="00F25C21">
      <w:pPr>
        <w:pStyle w:val="Section"/>
      </w:pPr>
      <w:bookmarkStart w:id="2946" w:name="_Toc256755064"/>
      <w:bookmarkStart w:id="2947" w:name="_Toc224819434"/>
      <w:r w:rsidRPr="001531CD">
        <w:t>§523.</w:t>
      </w:r>
      <w:r w:rsidRPr="001531CD">
        <w:tab/>
        <w:t>Confidentiality of Records; Maintenance of Records</w:t>
      </w:r>
      <w:bookmarkEnd w:id="2946"/>
      <w:bookmarkEnd w:id="2947"/>
    </w:p>
    <w:p w14:paraId="184CBB1E" w14:textId="77777777" w:rsidR="00F25C21" w:rsidRPr="001531CD" w:rsidRDefault="00F25C21" w:rsidP="00F25C21">
      <w:pPr>
        <w:pStyle w:val="A"/>
      </w:pPr>
      <w:r w:rsidRPr="001531CD">
        <w:t>A.</w:t>
      </w:r>
      <w:r w:rsidRPr="001531CD">
        <w:tab/>
        <w:t>All information provided by a milk producer or milk handler to LDAF or to other state or federal agencies and any information received by LDAF from other state or federal agencies that is declared by the milk producer or milk handler to be proprietary or trade secret information, or which is considered to be confidential under the U.S. or Louisiana Constitutions or by Louisiana law shall be treated by LDAF as confidential information that is exempt from Louisiana's public records laws.</w:t>
      </w:r>
    </w:p>
    <w:p w14:paraId="52B319CE" w14:textId="77777777" w:rsidR="00F25C21" w:rsidRPr="001531CD" w:rsidRDefault="00F25C21" w:rsidP="00F25C21">
      <w:pPr>
        <w:pStyle w:val="A"/>
      </w:pPr>
      <w:r w:rsidRPr="001531CD">
        <w:t>B.</w:t>
      </w:r>
      <w:r w:rsidRPr="001531CD">
        <w:tab/>
        <w:t>LDAF's records relative to the tax credit shall be maintained for a period of three years.</w:t>
      </w:r>
    </w:p>
    <w:p w14:paraId="3BF1DE9C" w14:textId="77777777"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14:paraId="48F5DA4B" w14:textId="77777777"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14:paraId="1AC43E00" w14:textId="77777777" w:rsidR="00CF626A" w:rsidRPr="001531CD" w:rsidRDefault="00CF626A">
      <w:pPr>
        <w:pStyle w:val="Chapter"/>
        <w:sectPr w:rsidR="00CF626A" w:rsidRPr="001531CD" w:rsidSect="00167E2E">
          <w:headerReference w:type="even" r:id="rId70"/>
          <w:headerReference w:type="default" r:id="rId71"/>
          <w:type w:val="continuous"/>
          <w:pgSz w:w="12240" w:h="15840" w:code="1"/>
          <w:pgMar w:top="1080" w:right="864" w:bottom="864" w:left="864" w:header="576" w:footer="432" w:gutter="0"/>
          <w:cols w:num="2" w:space="720"/>
        </w:sectPr>
      </w:pPr>
    </w:p>
    <w:p w14:paraId="758B35CD"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789BF553" w14:textId="77777777" w:rsidR="00CF626A" w:rsidRPr="001531CD" w:rsidRDefault="00CF626A" w:rsidP="00F03863">
      <w:pPr>
        <w:pStyle w:val="Title1"/>
        <w:outlineLvl w:val="0"/>
      </w:pPr>
      <w:r w:rsidRPr="001531CD">
        <w:lastRenderedPageBreak/>
        <w:t>Title 7</w:t>
      </w:r>
    </w:p>
    <w:p w14:paraId="121F7B19" w14:textId="77777777" w:rsidR="00CF626A" w:rsidRPr="001531CD" w:rsidRDefault="00CF626A">
      <w:pPr>
        <w:pStyle w:val="Title2"/>
      </w:pPr>
      <w:r w:rsidRPr="001531CD">
        <w:t>AGRICULTURE AND ANIMALS</w:t>
      </w:r>
    </w:p>
    <w:p w14:paraId="5CC230FE" w14:textId="77777777" w:rsidR="00CF626A" w:rsidRPr="001531CD" w:rsidRDefault="00CF626A">
      <w:pPr>
        <w:pStyle w:val="Part"/>
      </w:pPr>
      <w:bookmarkStart w:id="2948" w:name="TOC_Part15"/>
      <w:bookmarkStart w:id="2949" w:name="_Toc77840370"/>
      <w:bookmarkStart w:id="2950" w:name="_Toc224819435"/>
      <w:r w:rsidRPr="001531CD">
        <w:t>Part XXXIII.  Meat and Poultry Inspections</w:t>
      </w:r>
      <w:bookmarkEnd w:id="2948"/>
      <w:bookmarkEnd w:id="2949"/>
      <w:bookmarkEnd w:id="2950"/>
    </w:p>
    <w:p w14:paraId="20DE61FB" w14:textId="77777777" w:rsidR="00CF626A" w:rsidRPr="001531CD" w:rsidRDefault="00CF626A">
      <w:pPr>
        <w:pStyle w:val="Part"/>
      </w:pPr>
    </w:p>
    <w:p w14:paraId="0E61AEA2" w14:textId="77777777" w:rsidR="00CF626A" w:rsidRPr="001531CD" w:rsidRDefault="00CF626A">
      <w:pPr>
        <w:pStyle w:val="Part"/>
        <w:sectPr w:rsidR="00CF626A" w:rsidRPr="001531CD" w:rsidSect="00167E2E">
          <w:headerReference w:type="default" r:id="rId72"/>
          <w:type w:val="oddPage"/>
          <w:pgSz w:w="12240" w:h="15840" w:code="1"/>
          <w:pgMar w:top="1080" w:right="864" w:bottom="864" w:left="864" w:header="576" w:footer="432" w:gutter="0"/>
          <w:cols w:space="720"/>
          <w:docGrid w:linePitch="326"/>
        </w:sectPr>
      </w:pPr>
    </w:p>
    <w:p w14:paraId="54752529" w14:textId="77777777" w:rsidR="00CF626A" w:rsidRPr="001531CD" w:rsidRDefault="00CF626A">
      <w:pPr>
        <w:pStyle w:val="Chapter"/>
      </w:pPr>
      <w:bookmarkStart w:id="2951" w:name="TOC_Chap245"/>
      <w:bookmarkStart w:id="2952" w:name="_Toc256755065"/>
      <w:bookmarkStart w:id="2953" w:name="_Toc224819436"/>
      <w:r w:rsidRPr="001531CD">
        <w:t>Chapter 1.</w:t>
      </w:r>
      <w:bookmarkEnd w:id="2951"/>
      <w:r w:rsidR="00167E2E">
        <w:tab/>
      </w:r>
      <w:bookmarkStart w:id="2954" w:name="TOCT_Chap197"/>
      <w:bookmarkStart w:id="2955" w:name="TOCT_Chap235"/>
      <w:bookmarkStart w:id="2956" w:name="TOCT_Chap233"/>
      <w:bookmarkStart w:id="2957" w:name="TOCT_Chap245"/>
      <w:r w:rsidRPr="001531CD">
        <w:t>Meat and Poultry Inspection Program</w:t>
      </w:r>
      <w:bookmarkEnd w:id="2952"/>
      <w:bookmarkEnd w:id="2953"/>
      <w:bookmarkEnd w:id="2954"/>
      <w:bookmarkEnd w:id="2955"/>
      <w:bookmarkEnd w:id="2956"/>
      <w:bookmarkEnd w:id="2957"/>
    </w:p>
    <w:p w14:paraId="2D1F8B75" w14:textId="77777777" w:rsidR="00423622" w:rsidRPr="001531CD" w:rsidRDefault="00CF626A" w:rsidP="00423622">
      <w:pPr>
        <w:pStyle w:val="Section"/>
      </w:pPr>
      <w:bookmarkStart w:id="2958" w:name="_Toc256755066"/>
      <w:bookmarkStart w:id="2959" w:name="_Toc224819437"/>
      <w:r w:rsidRPr="001531CD">
        <w:t>§101.</w:t>
      </w:r>
      <w:r w:rsidRPr="001531CD">
        <w:tab/>
      </w:r>
      <w:r w:rsidR="00423622" w:rsidRPr="001531CD">
        <w:t>Applicability of Federal Laws and Regulations</w:t>
      </w:r>
      <w:bookmarkEnd w:id="2958"/>
      <w:bookmarkEnd w:id="2959"/>
    </w:p>
    <w:p w14:paraId="2E35E11F" w14:textId="77777777" w:rsidR="00423622" w:rsidRPr="001531CD" w:rsidRDefault="00423622" w:rsidP="00423622">
      <w:pPr>
        <w:pStyle w:val="A"/>
      </w:pPr>
      <w:r w:rsidRPr="001531CD">
        <w:t>A.</w:t>
      </w:r>
      <w:r w:rsidRPr="001531CD">
        <w:tab/>
        <w:t>Notwithstanding any other provision of this Chapter to the contrary no provision of any regulation in this Chapter shall exempt any person subject to the Louisiana Meat and Poultry Inspection Law, (R.S. 3:4201 et seq.), or participating in the Louisiana Cooperative Federal/State Meat and Poultry Inspections Program from any applicable federal law or regulation, including but not limited to the following:</w:t>
      </w:r>
    </w:p>
    <w:p w14:paraId="640A1F07" w14:textId="77777777" w:rsidR="00423622" w:rsidRPr="001531CD" w:rsidRDefault="00423622" w:rsidP="00423622">
      <w:pPr>
        <w:pStyle w:val="1"/>
      </w:pPr>
      <w:r w:rsidRPr="001531CD">
        <w:t>1.</w:t>
      </w:r>
      <w:r w:rsidRPr="001531CD">
        <w:tab/>
        <w:t>the Federal Food, Drug, and Cosmetic Act, (21 U.S.C. §301 et seq.), and regulations promulgated in the Code of Federal Regulations pursuant to the Act;</w:t>
      </w:r>
    </w:p>
    <w:p w14:paraId="7355354B" w14:textId="77777777" w:rsidR="00423622" w:rsidRPr="001531CD" w:rsidRDefault="00423622" w:rsidP="00423622">
      <w:pPr>
        <w:pStyle w:val="1"/>
      </w:pPr>
      <w:r w:rsidRPr="001531CD">
        <w:t>2.</w:t>
      </w:r>
      <w:r w:rsidRPr="001531CD">
        <w:tab/>
        <w:t>the Federal Meat Inspection Act, (21 U. S. C. §601 et seq.), and regulations promulgated in the Code of Federal Regulations pursuant to the Act;</w:t>
      </w:r>
    </w:p>
    <w:p w14:paraId="26EA71B6" w14:textId="77777777" w:rsidR="00423622" w:rsidRPr="001531CD" w:rsidRDefault="00423622" w:rsidP="00423622">
      <w:pPr>
        <w:pStyle w:val="1"/>
      </w:pPr>
      <w:r w:rsidRPr="001531CD">
        <w:t>3.</w:t>
      </w:r>
      <w:r w:rsidRPr="001531CD">
        <w:tab/>
        <w:t>the Federal Poultry Products Inspection Act, (21 U.S.C. §451 et seq.), and regulations promulgated in the Code of Federal Regulations pursuant to the Act;</w:t>
      </w:r>
    </w:p>
    <w:p w14:paraId="0B192983" w14:textId="77777777" w:rsidR="00423622" w:rsidRPr="001531CD" w:rsidRDefault="00423622" w:rsidP="00423622">
      <w:pPr>
        <w:pStyle w:val="1"/>
      </w:pPr>
      <w:r w:rsidRPr="001531CD">
        <w:t>4.</w:t>
      </w:r>
      <w:r w:rsidRPr="001531CD">
        <w:tab/>
        <w:t>the Federal Humane Methods of Livestock Slaughter Act, (7 U.S.C. §1901 et seq.) and regulations promulgated in the Code of Federal Regulations pursuant to the Act.</w:t>
      </w:r>
    </w:p>
    <w:p w14:paraId="5F5A4AA0" w14:textId="77777777" w:rsidR="00423622" w:rsidRPr="001531CD" w:rsidRDefault="00423622" w:rsidP="00423622">
      <w:pPr>
        <w:pStyle w:val="A"/>
      </w:pPr>
      <w:r w:rsidRPr="001531CD">
        <w:t>B.</w:t>
      </w:r>
      <w:r w:rsidRPr="001531CD">
        <w:tab/>
        <w:t>In respect to intrastate operations and commerce, notwithstanding any other provision of this Chapter to the contrary, no provision of any regulation in this Chapter shall be construed or interpreted as imposing, or requiring the enforcement of, any standards that are less than those imposed and enforced under the Federal Meat Inspection Act and the Federal Poultry Products Inspections Act and regulations promulgated pursuant to those Acts.</w:t>
      </w:r>
    </w:p>
    <w:p w14:paraId="25EDB345" w14:textId="77777777" w:rsidR="00423622" w:rsidRPr="001531CD" w:rsidRDefault="00423622" w:rsidP="00423622">
      <w:pPr>
        <w:pStyle w:val="AuthorityNote"/>
      </w:pPr>
      <w:r w:rsidRPr="001531CD">
        <w:t>AUTHORITY NOTE:</w:t>
      </w:r>
      <w:r w:rsidRPr="001531CD">
        <w:tab/>
        <w:t>Promulgated in accordance with R.S. 3:4232.</w:t>
      </w:r>
    </w:p>
    <w:p w14:paraId="2B031B0F" w14:textId="77777777" w:rsidR="00CF626A" w:rsidRPr="001531CD" w:rsidRDefault="00423622" w:rsidP="00423622">
      <w:pPr>
        <w:pStyle w:val="HistoricalNote"/>
      </w:pPr>
      <w:r w:rsidRPr="001531CD">
        <w:t>HISTORICAL NOTE:</w:t>
      </w:r>
      <w:r w:rsidRPr="001531CD">
        <w:tab/>
        <w:t>Promulgated by the Department of Agriculture, Office of Management and Finance, LR 6:708 (December 1980), amended by the Department of Agriculture and Forestry, Office of the Commissioner, LR 30:196 (February 2004), LR 32:1011 (June 2006).</w:t>
      </w:r>
    </w:p>
    <w:p w14:paraId="3131E2BF" w14:textId="77777777" w:rsidR="00BF09F2" w:rsidRPr="001531CD" w:rsidRDefault="00BF09F2" w:rsidP="00BF09F2">
      <w:pPr>
        <w:pStyle w:val="Section"/>
      </w:pPr>
      <w:bookmarkStart w:id="2960" w:name="_Toc256755067"/>
      <w:bookmarkStart w:id="2961" w:name="_Toc224819438"/>
      <w:r w:rsidRPr="001531CD">
        <w:t>§103.</w:t>
      </w:r>
      <w:r w:rsidRPr="001531CD">
        <w:tab/>
        <w:t>Definitions</w:t>
      </w:r>
      <w:bookmarkEnd w:id="2960"/>
      <w:bookmarkEnd w:id="2961"/>
    </w:p>
    <w:p w14:paraId="61D47A1F" w14:textId="77777777" w:rsidR="00BF09F2" w:rsidRPr="001531CD" w:rsidRDefault="00BF09F2" w:rsidP="00BF09F2">
      <w:pPr>
        <w:pStyle w:val="A"/>
      </w:pPr>
      <w:r w:rsidRPr="001531CD">
        <w:t>A.</w:t>
      </w:r>
      <w:r w:rsidRPr="001531CD">
        <w:tab/>
        <w:t>As used in this Chapter, the words and terms defined in R.S. 3:4201 and the following words and terms shall have the meanings given to them except where the context expressly indicates otherwise.</w:t>
      </w:r>
    </w:p>
    <w:p w14:paraId="2F5DF511" w14:textId="77777777" w:rsidR="00BF09F2" w:rsidRPr="001531CD" w:rsidRDefault="00BF09F2" w:rsidP="00BF09F2">
      <w:pPr>
        <w:pStyle w:val="1"/>
      </w:pPr>
      <w:r w:rsidRPr="001531CD">
        <w:rPr>
          <w:i/>
          <w:iCs/>
        </w:rPr>
        <w:t>Combination Custom Slaughterer and Processor</w:t>
      </w:r>
      <w:r w:rsidRPr="001531CD">
        <w:rPr>
          <w:iCs/>
        </w:rPr>
        <w:t>―</w:t>
      </w:r>
      <w:r w:rsidRPr="001531CD">
        <w:t>a person which provides both slaughter and processing services solely for the owners of animals.</w:t>
      </w:r>
    </w:p>
    <w:p w14:paraId="428F660A" w14:textId="77777777" w:rsidR="00BF09F2" w:rsidRPr="001531CD" w:rsidRDefault="00BF09F2" w:rsidP="00BF09F2">
      <w:pPr>
        <w:pStyle w:val="1"/>
      </w:pPr>
      <w:r w:rsidRPr="001531CD">
        <w:rPr>
          <w:i/>
        </w:rPr>
        <w:t>Commissioner</w:t>
      </w:r>
      <w:r w:rsidRPr="001531CD">
        <w:rPr>
          <w:iCs/>
        </w:rPr>
        <w:t>―</w:t>
      </w:r>
      <w:r w:rsidRPr="001531CD">
        <w:t>Commissioner of Agriculture and Forestry.</w:t>
      </w:r>
    </w:p>
    <w:p w14:paraId="124A77CF" w14:textId="77777777" w:rsidR="00BF09F2" w:rsidRPr="001531CD" w:rsidRDefault="00BF09F2" w:rsidP="00BF09F2">
      <w:pPr>
        <w:pStyle w:val="1"/>
      </w:pPr>
      <w:r w:rsidRPr="001531CD">
        <w:rPr>
          <w:i/>
          <w:iCs/>
        </w:rPr>
        <w:t>Custom Processor</w:t>
      </w:r>
      <w:r w:rsidRPr="001531CD">
        <w:rPr>
          <w:iCs/>
        </w:rPr>
        <w:t>―</w:t>
      </w:r>
      <w:r w:rsidRPr="001531CD">
        <w:t>any person which prepares, processes, and/or transports intrastate the meat of animals slaughtered for the owners of such animals.</w:t>
      </w:r>
    </w:p>
    <w:p w14:paraId="4DE3026F" w14:textId="77777777" w:rsidR="00BF09F2" w:rsidRPr="001531CD" w:rsidRDefault="00BF09F2" w:rsidP="00BF09F2">
      <w:pPr>
        <w:pStyle w:val="1"/>
      </w:pPr>
      <w:r w:rsidRPr="001531CD">
        <w:rPr>
          <w:i/>
          <w:iCs/>
        </w:rPr>
        <w:t>Custom Slaughterer</w:t>
      </w:r>
      <w:r w:rsidRPr="001531CD">
        <w:rPr>
          <w:iCs/>
        </w:rPr>
        <w:t>―</w:t>
      </w:r>
      <w:r w:rsidRPr="001531CD">
        <w:t>any person which offers to the public the service of slaughtering cattle, sheep, poultry, swine, goats, horses, mules or other equines for the owners thereof.</w:t>
      </w:r>
    </w:p>
    <w:p w14:paraId="18E14C0C" w14:textId="77777777" w:rsidR="00BF09F2" w:rsidRPr="001531CD" w:rsidRDefault="00BF09F2" w:rsidP="00BF09F2">
      <w:pPr>
        <w:pStyle w:val="1"/>
      </w:pPr>
      <w:r w:rsidRPr="001531CD">
        <w:rPr>
          <w:i/>
        </w:rPr>
        <w:t>Department</w:t>
      </w:r>
      <w:r w:rsidRPr="001531CD">
        <w:rPr>
          <w:iCs/>
        </w:rPr>
        <w:t>―</w:t>
      </w:r>
      <w:r w:rsidRPr="001531CD">
        <w:t>the Louisiana Department of Agriculture and Forestry, Office of Animal Health Services, Division of Meat and Poultry Inspection, Grading and Certification.</w:t>
      </w:r>
    </w:p>
    <w:p w14:paraId="162F152B" w14:textId="77777777" w:rsidR="00BF09F2" w:rsidRPr="001531CD" w:rsidRDefault="00BF09F2" w:rsidP="00BF09F2">
      <w:pPr>
        <w:pStyle w:val="1"/>
      </w:pPr>
      <w:r w:rsidRPr="001531CD">
        <w:rPr>
          <w:i/>
          <w:iCs/>
        </w:rPr>
        <w:t>Establishment</w:t>
      </w:r>
      <w:r w:rsidRPr="001531CD">
        <w:rPr>
          <w:iCs/>
        </w:rPr>
        <w:t>―e</w:t>
      </w:r>
      <w:r w:rsidRPr="001531CD">
        <w:t>ach place of business of a licensee, registrant, or a person whose business is subject to inspection.</w:t>
      </w:r>
    </w:p>
    <w:p w14:paraId="274BDDED" w14:textId="77777777" w:rsidR="00BF09F2" w:rsidRPr="001531CD" w:rsidRDefault="00BF09F2" w:rsidP="00BF09F2">
      <w:pPr>
        <w:pStyle w:val="1"/>
      </w:pPr>
      <w:r w:rsidRPr="001531CD">
        <w:rPr>
          <w:i/>
          <w:iCs/>
        </w:rPr>
        <w:t>Meat Jobber</w:t>
      </w:r>
      <w:r w:rsidRPr="001531CD">
        <w:rPr>
          <w:iCs/>
        </w:rPr>
        <w:t>―</w:t>
      </w:r>
      <w:r w:rsidRPr="001531CD">
        <w:t>a person engaged in the business of buying or selling carcasses, parts of carcasses, meat or meat food products of cattle, sheep, poultry, swine, goats, horses, mules or other equines at the wholesale level, but who does not subsequently change the form of the product in any manner.</w:t>
      </w:r>
    </w:p>
    <w:p w14:paraId="248D95A1" w14:textId="77777777" w:rsidR="00BF09F2" w:rsidRPr="001531CD" w:rsidRDefault="00BF09F2" w:rsidP="00BF09F2">
      <w:pPr>
        <w:pStyle w:val="1"/>
      </w:pPr>
      <w:r w:rsidRPr="001531CD">
        <w:rPr>
          <w:i/>
          <w:iCs/>
        </w:rPr>
        <w:t>Meat Processor</w:t>
      </w:r>
      <w:r w:rsidRPr="001531CD">
        <w:rPr>
          <w:iCs/>
        </w:rPr>
        <w:t>―</w:t>
      </w:r>
      <w:r w:rsidRPr="001531CD">
        <w:t>any person engaged in the business of buying or selling carcasses, parts of carcasses, meat or meat food products of cattle, sheep, poultry, swine, goats, horses or other equines at the wholesale level; who receives the product in tact, and who changes the form of the product before shipping out again.</w:t>
      </w:r>
    </w:p>
    <w:p w14:paraId="66B214BB" w14:textId="77777777" w:rsidR="00BF09F2" w:rsidRPr="001531CD" w:rsidRDefault="00BF09F2" w:rsidP="00BF09F2">
      <w:pPr>
        <w:pStyle w:val="1"/>
      </w:pPr>
      <w:r w:rsidRPr="001531CD">
        <w:rPr>
          <w:i/>
          <w:iCs/>
        </w:rPr>
        <w:t>Normal Retail Quantities</w:t>
      </w:r>
      <w:r w:rsidRPr="001531CD">
        <w:rPr>
          <w:iCs/>
        </w:rPr>
        <w:t>―</w:t>
      </w:r>
      <w:r w:rsidRPr="001531CD">
        <w:t>sales to a single customer not exceeding the amounts shown below (see also 9 CFR 303.1.d.2.ii, Federal Meat and Poultry Inspection Regulations):</w:t>
      </w:r>
    </w:p>
    <w:p w14:paraId="58D24291" w14:textId="77777777" w:rsidR="00BF09F2" w:rsidRPr="001531CD" w:rsidRDefault="00BF09F2" w:rsidP="00BF09F2">
      <w:pPr>
        <w:pStyle w:val="a0"/>
      </w:pPr>
      <w:r w:rsidRPr="001531CD">
        <w:t>a.</w:t>
      </w:r>
      <w:r w:rsidRPr="001531CD">
        <w:tab/>
        <w:t>cattle, 300 pounds;</w:t>
      </w:r>
    </w:p>
    <w:p w14:paraId="15509F74" w14:textId="77777777" w:rsidR="00BF09F2" w:rsidRPr="001531CD" w:rsidRDefault="00BF09F2" w:rsidP="00BF09F2">
      <w:pPr>
        <w:pStyle w:val="a0"/>
      </w:pPr>
      <w:r w:rsidRPr="001531CD">
        <w:t>b.</w:t>
      </w:r>
      <w:r w:rsidRPr="001531CD">
        <w:tab/>
        <w:t>calves, 37.5 pounds;</w:t>
      </w:r>
    </w:p>
    <w:p w14:paraId="5101D266" w14:textId="77777777" w:rsidR="00BF09F2" w:rsidRPr="001531CD" w:rsidRDefault="00BF09F2" w:rsidP="00BF09F2">
      <w:pPr>
        <w:pStyle w:val="a0"/>
      </w:pPr>
      <w:r w:rsidRPr="001531CD">
        <w:t>c.</w:t>
      </w:r>
      <w:r w:rsidRPr="001531CD">
        <w:tab/>
        <w:t>sheep, 27.5 pounds;</w:t>
      </w:r>
    </w:p>
    <w:p w14:paraId="4DF161CE" w14:textId="77777777" w:rsidR="00BF09F2" w:rsidRPr="001531CD" w:rsidRDefault="00BF09F2" w:rsidP="00BF09F2">
      <w:pPr>
        <w:pStyle w:val="a0"/>
      </w:pPr>
      <w:r w:rsidRPr="001531CD">
        <w:t>d.</w:t>
      </w:r>
      <w:r w:rsidRPr="001531CD">
        <w:tab/>
        <w:t>swine, 100 pounds;</w:t>
      </w:r>
    </w:p>
    <w:p w14:paraId="4041F201" w14:textId="77777777" w:rsidR="00BF09F2" w:rsidRPr="001531CD" w:rsidRDefault="00BF09F2" w:rsidP="00BF09F2">
      <w:pPr>
        <w:pStyle w:val="a0"/>
      </w:pPr>
      <w:r w:rsidRPr="001531CD">
        <w:t>e.</w:t>
      </w:r>
      <w:r w:rsidRPr="001531CD">
        <w:tab/>
        <w:t>goats, 25 pounds.</w:t>
      </w:r>
    </w:p>
    <w:p w14:paraId="3CEDE5DB" w14:textId="77777777" w:rsidR="00BF09F2" w:rsidRPr="001531CD" w:rsidRDefault="00BF09F2" w:rsidP="00BF09F2">
      <w:pPr>
        <w:pStyle w:val="1"/>
      </w:pPr>
      <w:r w:rsidRPr="001531CD">
        <w:rPr>
          <w:i/>
        </w:rPr>
        <w:t>Person</w:t>
      </w:r>
      <w:r w:rsidRPr="001531CD">
        <w:rPr>
          <w:iCs/>
        </w:rPr>
        <w:t>―</w:t>
      </w:r>
      <w:r w:rsidRPr="001531CD">
        <w:t>an individual, company, corporation limited liability company, or firm as defined in R.S. 3:4201(2) and any other legal entity or other form of organization.</w:t>
      </w:r>
    </w:p>
    <w:p w14:paraId="0D97E611" w14:textId="77777777" w:rsidR="00BF09F2" w:rsidRPr="001531CD" w:rsidRDefault="00BF09F2" w:rsidP="00BF09F2">
      <w:pPr>
        <w:pStyle w:val="1"/>
      </w:pPr>
      <w:r w:rsidRPr="001531CD">
        <w:rPr>
          <w:i/>
        </w:rPr>
        <w:t>Prepared</w:t>
      </w:r>
      <w:r w:rsidRPr="001531CD">
        <w:rPr>
          <w:iCs/>
        </w:rPr>
        <w:t>―</w:t>
      </w:r>
      <w:r w:rsidRPr="001531CD">
        <w:t>slaughtered, canned, salted, rendered, boned, cut up or otherwise manufactured or processed.</w:t>
      </w:r>
    </w:p>
    <w:p w14:paraId="1761D60C" w14:textId="77777777" w:rsidR="00BF09F2" w:rsidRPr="001531CD" w:rsidRDefault="00BF09F2" w:rsidP="00BF09F2">
      <w:pPr>
        <w:pStyle w:val="1"/>
      </w:pPr>
      <w:r w:rsidRPr="001531CD">
        <w:rPr>
          <w:i/>
        </w:rPr>
        <w:t>Primal Cut</w:t>
      </w:r>
      <w:r w:rsidRPr="001531CD">
        <w:rPr>
          <w:iCs/>
        </w:rPr>
        <w:t>―</w:t>
      </w:r>
      <w:r w:rsidRPr="001531CD">
        <w:t>the first or main cut.</w:t>
      </w:r>
    </w:p>
    <w:p w14:paraId="1F5D42DC" w14:textId="77777777" w:rsidR="00BF09F2" w:rsidRPr="001531CD" w:rsidRDefault="00BF09F2" w:rsidP="00BF09F2">
      <w:pPr>
        <w:pStyle w:val="1"/>
      </w:pPr>
      <w:r w:rsidRPr="001531CD">
        <w:rPr>
          <w:i/>
        </w:rPr>
        <w:t>Restaurant</w:t>
      </w:r>
      <w:r w:rsidRPr="001531CD">
        <w:rPr>
          <w:iCs/>
        </w:rPr>
        <w:t>―</w:t>
      </w:r>
      <w:r w:rsidRPr="001531CD">
        <w:t>any place of business:</w:t>
      </w:r>
    </w:p>
    <w:p w14:paraId="57DAA3C0" w14:textId="77777777" w:rsidR="00BF09F2" w:rsidRPr="001531CD" w:rsidRDefault="00BF09F2" w:rsidP="00BF09F2">
      <w:pPr>
        <w:pStyle w:val="a0"/>
      </w:pPr>
      <w:r w:rsidRPr="001531CD">
        <w:t>a.</w:t>
      </w:r>
      <w:r w:rsidRPr="001531CD">
        <w:tab/>
        <w:t>where products are prepared solely for sale or service, as meals or entrees, directly to individual consumers at such establishments; and</w:t>
      </w:r>
    </w:p>
    <w:p w14:paraId="79C8CE92" w14:textId="77777777" w:rsidR="00BF09F2" w:rsidRPr="001531CD" w:rsidRDefault="00BF09F2" w:rsidP="00BF09F2">
      <w:pPr>
        <w:pStyle w:val="a0"/>
      </w:pPr>
      <w:r w:rsidRPr="001531CD">
        <w:lastRenderedPageBreak/>
        <w:t>b.</w:t>
      </w:r>
      <w:r w:rsidRPr="001531CD">
        <w:tab/>
        <w:t>where only federally or state inspected and passed products or products prepared in a retail store or outlet are used.</w:t>
      </w:r>
    </w:p>
    <w:p w14:paraId="27A99E5E" w14:textId="77777777" w:rsidR="00BF09F2" w:rsidRPr="001531CD" w:rsidRDefault="00BF09F2" w:rsidP="00BF09F2">
      <w:pPr>
        <w:pStyle w:val="1"/>
      </w:pPr>
      <w:r w:rsidRPr="001531CD">
        <w:rPr>
          <w:i/>
        </w:rPr>
        <w:t>Retail Outlet</w:t>
      </w:r>
      <w:r w:rsidRPr="001531CD">
        <w:rPr>
          <w:iCs/>
        </w:rPr>
        <w:t>―</w:t>
      </w:r>
      <w:r w:rsidRPr="001531CD">
        <w:t xml:space="preserve">any place of business operated in the traditional or usual manner of operation or a retail store, with sales across-the-counter only in normal retail quantities. The term </w:t>
      </w:r>
      <w:r w:rsidRPr="001531CD">
        <w:rPr>
          <w:i/>
        </w:rPr>
        <w:t>retail outlet</w:t>
      </w:r>
      <w:r w:rsidRPr="001531CD">
        <w:t xml:space="preserve"> applies solely to businesses with a single location.</w:t>
      </w:r>
    </w:p>
    <w:p w14:paraId="312D4235" w14:textId="77777777" w:rsidR="00BF09F2" w:rsidRPr="001531CD" w:rsidRDefault="00BF09F2" w:rsidP="00F03863">
      <w:pPr>
        <w:pStyle w:val="1"/>
        <w:outlineLvl w:val="0"/>
      </w:pPr>
      <w:r w:rsidRPr="001531CD">
        <w:rPr>
          <w:i/>
        </w:rPr>
        <w:t>Traditional or Usual Manner of Operation</w:t>
      </w:r>
      <w:r w:rsidRPr="001531CD">
        <w:rPr>
          <w:iCs/>
        </w:rPr>
        <w:t>―</w:t>
      </w:r>
    </w:p>
    <w:p w14:paraId="3051BEBA" w14:textId="77777777" w:rsidR="00BF09F2" w:rsidRPr="001531CD" w:rsidRDefault="00BF09F2" w:rsidP="00BF09F2">
      <w:pPr>
        <w:pStyle w:val="a0"/>
      </w:pPr>
      <w:r w:rsidRPr="001531CD">
        <w:t>a.</w:t>
      </w:r>
      <w:r w:rsidRPr="001531CD">
        <w:tab/>
        <w:t>cutting up, slicing and trimming carcasses, halves, quarters or wholesale cuts into retail cuts such as steaks, chops and roasts, and freezing such cuts;</w:t>
      </w:r>
    </w:p>
    <w:p w14:paraId="4B0EA662" w14:textId="77777777" w:rsidR="00BF09F2" w:rsidRPr="001531CD" w:rsidRDefault="00BF09F2" w:rsidP="00BF09F2">
      <w:pPr>
        <w:pStyle w:val="a0"/>
      </w:pPr>
      <w:r w:rsidRPr="001531CD">
        <w:t>b.</w:t>
      </w:r>
      <w:r w:rsidRPr="001531CD">
        <w:tab/>
        <w:t>grinding and freezing products made from meat;</w:t>
      </w:r>
    </w:p>
    <w:p w14:paraId="0C11DC04" w14:textId="77777777" w:rsidR="00BF09F2" w:rsidRPr="001531CD" w:rsidRDefault="00BF09F2" w:rsidP="00BF09F2">
      <w:pPr>
        <w:pStyle w:val="a0"/>
      </w:pPr>
      <w:r w:rsidRPr="001531CD">
        <w:t>c.</w:t>
      </w:r>
      <w:r w:rsidRPr="001531CD">
        <w:tab/>
        <w:t>curing, cooking, smoking, rendering or refining of livestock fat or other preparation of products, except slaughtering or retort processing of canned products;</w:t>
      </w:r>
    </w:p>
    <w:p w14:paraId="243233D6" w14:textId="77777777" w:rsidR="00BF09F2" w:rsidRPr="001531CD" w:rsidRDefault="00BF09F2" w:rsidP="00BF09F2">
      <w:pPr>
        <w:pStyle w:val="a0"/>
      </w:pPr>
      <w:r w:rsidRPr="001531CD">
        <w:t>d.</w:t>
      </w:r>
      <w:r w:rsidRPr="001531CD">
        <w:tab/>
        <w:t>breaking bulk shipments of products;</w:t>
      </w:r>
    </w:p>
    <w:p w14:paraId="34FB5CEE" w14:textId="77777777" w:rsidR="00BF09F2" w:rsidRPr="001531CD" w:rsidRDefault="00BF09F2" w:rsidP="00BF09F2">
      <w:pPr>
        <w:pStyle w:val="a0"/>
      </w:pPr>
      <w:r w:rsidRPr="001531CD">
        <w:t>e.</w:t>
      </w:r>
      <w:r w:rsidRPr="001531CD">
        <w:tab/>
        <w:t>wrapping or re-wrapping of products.</w:t>
      </w:r>
    </w:p>
    <w:p w14:paraId="2A28D52D" w14:textId="77777777" w:rsidR="00BF09F2" w:rsidRPr="001531CD" w:rsidRDefault="00BF09F2" w:rsidP="00BF09F2">
      <w:pPr>
        <w:pStyle w:val="1"/>
      </w:pPr>
      <w:r w:rsidRPr="001531CD">
        <w:rPr>
          <w:i/>
        </w:rPr>
        <w:t>USDA</w:t>
      </w:r>
      <w:r w:rsidRPr="001531CD">
        <w:rPr>
          <w:iCs/>
        </w:rPr>
        <w:t>―</w:t>
      </w:r>
      <w:r w:rsidRPr="001531CD">
        <w:t>the United States Department of Agriculture.</w:t>
      </w:r>
    </w:p>
    <w:p w14:paraId="7B86FA75" w14:textId="77777777" w:rsidR="00BF09F2" w:rsidRPr="001531CD" w:rsidRDefault="00BF09F2" w:rsidP="00BF09F2">
      <w:pPr>
        <w:pStyle w:val="AuthorityNote"/>
      </w:pPr>
      <w:r w:rsidRPr="001531CD">
        <w:t>AUTHORITY NOTE:</w:t>
      </w:r>
      <w:r w:rsidRPr="001531CD">
        <w:tab/>
        <w:t>Promulgated in accordance with R.S. 3:4232.</w:t>
      </w:r>
    </w:p>
    <w:p w14:paraId="044355EA" w14:textId="77777777" w:rsidR="00BF09F2" w:rsidRPr="001531CD" w:rsidRDefault="00BF09F2" w:rsidP="00BF09F2">
      <w:pPr>
        <w:pStyle w:val="HistoricalNote"/>
      </w:pPr>
      <w:r w:rsidRPr="001531CD">
        <w:t>HISTORICAL NOTE:</w:t>
      </w:r>
      <w:r w:rsidRPr="001531CD">
        <w:tab/>
        <w:t xml:space="preserve">Promulgated by the Department of Agriculture, Office of Management and Finance, LR 6:709 (December 1980), </w:t>
      </w:r>
      <w:bookmarkStart w:id="2962" w:name="OLE_LINK3"/>
      <w:bookmarkStart w:id="2963" w:name="OLE_LINK4"/>
      <w:r w:rsidRPr="001531CD">
        <w:t xml:space="preserve">amended by the Department of Agriculture and Forestry, Office of the Commissioner, </w:t>
      </w:r>
      <w:bookmarkEnd w:id="2962"/>
      <w:bookmarkEnd w:id="2963"/>
      <w:r w:rsidRPr="001531CD">
        <w:t>LR 32:1012 (June 2006).</w:t>
      </w:r>
    </w:p>
    <w:p w14:paraId="2643ABC8" w14:textId="77777777" w:rsidR="00BF09F2" w:rsidRPr="001531CD" w:rsidRDefault="00BF09F2" w:rsidP="00BF09F2">
      <w:pPr>
        <w:pStyle w:val="Section"/>
      </w:pPr>
      <w:bookmarkStart w:id="2964" w:name="_Toc256755068"/>
      <w:bookmarkStart w:id="2965" w:name="_Toc224819439"/>
      <w:r w:rsidRPr="001531CD">
        <w:t>§105.</w:t>
      </w:r>
      <w:r w:rsidRPr="001531CD">
        <w:tab/>
        <w:t>Persons Required to Register</w:t>
      </w:r>
      <w:bookmarkEnd w:id="2964"/>
      <w:bookmarkEnd w:id="2965"/>
    </w:p>
    <w:p w14:paraId="0D21CCDC" w14:textId="77777777" w:rsidR="00BF09F2" w:rsidRPr="001531CD" w:rsidRDefault="00BF09F2" w:rsidP="00BF09F2">
      <w:pPr>
        <w:pStyle w:val="A"/>
      </w:pPr>
      <w:r w:rsidRPr="001531CD">
        <w:t>A.</w:t>
      </w:r>
      <w:r w:rsidRPr="001531CD">
        <w:tab/>
        <w:t>The following persons shall register with the department prior to conducting intrastate operations and commerce:</w:t>
      </w:r>
    </w:p>
    <w:p w14:paraId="64BCC60C" w14:textId="77777777" w:rsidR="00BF09F2" w:rsidRPr="001531CD" w:rsidRDefault="00BF09F2" w:rsidP="00BF09F2">
      <w:pPr>
        <w:pStyle w:val="1"/>
      </w:pPr>
      <w:r w:rsidRPr="001531CD">
        <w:t>1.</w:t>
      </w:r>
      <w:r w:rsidRPr="001531CD">
        <w:tab/>
        <w:t>meat brokers, renderers and animal food manufacturers;</w:t>
      </w:r>
    </w:p>
    <w:p w14:paraId="3906A80E" w14:textId="77777777" w:rsidR="00BF09F2" w:rsidRPr="001531CD" w:rsidRDefault="00BF09F2" w:rsidP="00BF09F2">
      <w:pPr>
        <w:pStyle w:val="1"/>
      </w:pPr>
      <w:r w:rsidRPr="001531CD">
        <w:t>2.</w:t>
      </w:r>
      <w:r w:rsidRPr="001531CD">
        <w:tab/>
        <w:t>wholesalers of any carcasses or parts of carcasses of any cattle, sheep, poultry, swine, goats, horses, mules or other equines, whether the product is intended for human consumption or not;</w:t>
      </w:r>
    </w:p>
    <w:p w14:paraId="4F69F7ED" w14:textId="77777777" w:rsidR="00BF09F2" w:rsidRPr="001531CD" w:rsidRDefault="00BF09F2" w:rsidP="00BF09F2">
      <w:pPr>
        <w:pStyle w:val="1"/>
      </w:pPr>
      <w:r w:rsidRPr="001531CD">
        <w:t>3.</w:t>
      </w:r>
      <w:r w:rsidRPr="001531CD">
        <w:tab/>
        <w:t>public warehousemen who store carcasses or parts of carcasses of any cattle, sheep, poultry, swine, goats, horses, mules or other equines;</w:t>
      </w:r>
    </w:p>
    <w:p w14:paraId="2F592CF2" w14:textId="77777777" w:rsidR="00BF09F2" w:rsidRPr="001531CD" w:rsidRDefault="00BF09F2" w:rsidP="00BF09F2">
      <w:pPr>
        <w:pStyle w:val="1"/>
      </w:pPr>
      <w:r w:rsidRPr="001531CD">
        <w:t>4.</w:t>
      </w:r>
      <w:r w:rsidRPr="001531CD">
        <w:tab/>
        <w:t>buyers, sellers, and transporters of any dead, dying, disabled or diseased animals or parts of carcasses of such animals;</w:t>
      </w:r>
    </w:p>
    <w:p w14:paraId="0B1DFE55" w14:textId="77777777" w:rsidR="00BF09F2" w:rsidRPr="001531CD" w:rsidRDefault="00BF09F2" w:rsidP="00BF09F2">
      <w:pPr>
        <w:pStyle w:val="1"/>
      </w:pPr>
      <w:r w:rsidRPr="001531CD">
        <w:t>5.</w:t>
      </w:r>
      <w:r w:rsidRPr="001531CD">
        <w:tab/>
        <w:t>meat brokers;</w:t>
      </w:r>
    </w:p>
    <w:p w14:paraId="18B2C21F" w14:textId="77777777" w:rsidR="00BF09F2" w:rsidRPr="001531CD" w:rsidRDefault="00BF09F2" w:rsidP="00BF09F2">
      <w:pPr>
        <w:pStyle w:val="1"/>
      </w:pPr>
      <w:r w:rsidRPr="001531CD">
        <w:t>6.</w:t>
      </w:r>
      <w:r w:rsidRPr="001531CD">
        <w:tab/>
        <w:t>meat jobbers;</w:t>
      </w:r>
    </w:p>
    <w:p w14:paraId="1CCDDE6E" w14:textId="77777777" w:rsidR="00BF09F2" w:rsidRPr="001531CD" w:rsidRDefault="00BF09F2" w:rsidP="00BF09F2">
      <w:pPr>
        <w:pStyle w:val="1"/>
      </w:pPr>
      <w:r w:rsidRPr="001531CD">
        <w:t>7.</w:t>
      </w:r>
      <w:r w:rsidRPr="001531CD">
        <w:tab/>
        <w:t>meat processors;</w:t>
      </w:r>
    </w:p>
    <w:p w14:paraId="20DADA29" w14:textId="77777777" w:rsidR="00BF09F2" w:rsidRPr="001531CD" w:rsidRDefault="00BF09F2" w:rsidP="00BF09F2">
      <w:pPr>
        <w:pStyle w:val="1"/>
      </w:pPr>
      <w:r w:rsidRPr="001531CD">
        <w:t>8.</w:t>
      </w:r>
      <w:r w:rsidRPr="001531CD">
        <w:tab/>
        <w:t>slaughters, including custom slaughters;</w:t>
      </w:r>
    </w:p>
    <w:p w14:paraId="06F01337" w14:textId="77777777" w:rsidR="00BF09F2" w:rsidRPr="001531CD" w:rsidRDefault="00BF09F2" w:rsidP="00BF09F2">
      <w:pPr>
        <w:pStyle w:val="1"/>
      </w:pPr>
      <w:r w:rsidRPr="001531CD">
        <w:t>9.</w:t>
      </w:r>
      <w:r w:rsidRPr="001531CD">
        <w:tab/>
        <w:t>processors, including custom processors;</w:t>
      </w:r>
    </w:p>
    <w:p w14:paraId="431DE0EC" w14:textId="77777777" w:rsidR="00BF09F2" w:rsidRPr="001531CD" w:rsidRDefault="00BF09F2" w:rsidP="00BF09F2">
      <w:pPr>
        <w:pStyle w:val="1"/>
      </w:pPr>
      <w:r w:rsidRPr="001531CD">
        <w:t>10.</w:t>
      </w:r>
      <w:r w:rsidRPr="001531CD">
        <w:tab/>
        <w:t>combination custom slaughterers and processors;</w:t>
      </w:r>
    </w:p>
    <w:p w14:paraId="6C4AA38F" w14:textId="77777777" w:rsidR="00BF09F2" w:rsidRPr="001531CD" w:rsidRDefault="00BF09F2" w:rsidP="00BF09F2">
      <w:pPr>
        <w:pStyle w:val="1"/>
      </w:pPr>
      <w:r w:rsidRPr="001531CD">
        <w:t>11.</w:t>
      </w:r>
      <w:r w:rsidRPr="001531CD">
        <w:tab/>
        <w:t>educational programs where carcasses or parts of carcasses are slaughtered, processed, or both;</w:t>
      </w:r>
    </w:p>
    <w:p w14:paraId="06719F63" w14:textId="77777777" w:rsidR="00BF09F2" w:rsidRPr="001531CD" w:rsidRDefault="00BF09F2" w:rsidP="00BF09F2">
      <w:pPr>
        <w:pStyle w:val="1"/>
      </w:pPr>
      <w:r w:rsidRPr="001531CD">
        <w:t>12.</w:t>
      </w:r>
      <w:r w:rsidRPr="001531CD">
        <w:tab/>
        <w:t>any combination of the above.</w:t>
      </w:r>
    </w:p>
    <w:p w14:paraId="4FFC44F2" w14:textId="77777777" w:rsidR="00BF09F2" w:rsidRPr="001531CD" w:rsidRDefault="00BF09F2" w:rsidP="00BF09F2">
      <w:pPr>
        <w:pStyle w:val="A"/>
      </w:pPr>
      <w:r w:rsidRPr="001531CD">
        <w:t>B.</w:t>
      </w:r>
      <w:r w:rsidRPr="001531CD">
        <w:tab/>
        <w:t>All persons entering into any of the business activities listed in Subsection A shall apply for registration prior to engaging in such business. All persons shall be registered by category as shown in Subsection A above.</w:t>
      </w:r>
    </w:p>
    <w:p w14:paraId="1BEDE9A8" w14:textId="77777777" w:rsidR="00BF09F2" w:rsidRPr="001531CD" w:rsidRDefault="00BF09F2" w:rsidP="00BF09F2">
      <w:pPr>
        <w:pStyle w:val="A"/>
      </w:pPr>
      <w:r w:rsidRPr="001531CD">
        <w:t>C.</w:t>
      </w:r>
      <w:r w:rsidRPr="001531CD">
        <w:tab/>
        <w:t>All registrants shall pay an initial registration fee of $25 for each establishment at the time of application to cover the costs of processing of registrations and issuance of certificates of registration.</w:t>
      </w:r>
    </w:p>
    <w:p w14:paraId="1129A189" w14:textId="77777777" w:rsidR="00BF09F2" w:rsidRPr="001531CD" w:rsidRDefault="00BF09F2" w:rsidP="00BF09F2">
      <w:pPr>
        <w:pStyle w:val="A"/>
      </w:pPr>
      <w:r w:rsidRPr="001531CD">
        <w:t>D.</w:t>
      </w:r>
      <w:r w:rsidRPr="001531CD">
        <w:tab/>
        <w:t>All persons must submit the following information in their applications for registration:</w:t>
      </w:r>
    </w:p>
    <w:p w14:paraId="0526AD89" w14:textId="77777777" w:rsidR="00BF09F2" w:rsidRPr="001531CD" w:rsidRDefault="00BF09F2" w:rsidP="00BF09F2">
      <w:pPr>
        <w:pStyle w:val="1"/>
      </w:pPr>
      <w:r w:rsidRPr="001531CD">
        <w:t>1.</w:t>
      </w:r>
      <w:r w:rsidRPr="001531CD">
        <w:tab/>
        <w:t>names and addresses of each establishment or place of business;</w:t>
      </w:r>
    </w:p>
    <w:p w14:paraId="37DC0D0E" w14:textId="77777777" w:rsidR="00BF09F2" w:rsidRPr="001531CD" w:rsidRDefault="00BF09F2" w:rsidP="00BF09F2">
      <w:pPr>
        <w:pStyle w:val="1"/>
      </w:pPr>
      <w:r w:rsidRPr="001531CD">
        <w:t>2.</w:t>
      </w:r>
      <w:r w:rsidRPr="001531CD">
        <w:tab/>
        <w:t>names and addresses of owner(s) and principal stockholder(s) and/ or names and addresses of members of boards of directors;</w:t>
      </w:r>
    </w:p>
    <w:p w14:paraId="0FED92FA" w14:textId="77777777" w:rsidR="00BF09F2" w:rsidRPr="001531CD" w:rsidRDefault="00BF09F2" w:rsidP="00BF09F2">
      <w:pPr>
        <w:pStyle w:val="1"/>
      </w:pPr>
      <w:r w:rsidRPr="001531CD">
        <w:t>3.</w:t>
      </w:r>
      <w:r w:rsidRPr="001531CD">
        <w:tab/>
        <w:t>all trade names under which the person, firm, association, corporation or educational program conducts business.</w:t>
      </w:r>
    </w:p>
    <w:p w14:paraId="282C3FD6" w14:textId="77777777" w:rsidR="00BF09F2" w:rsidRPr="001531CD" w:rsidRDefault="00BF09F2" w:rsidP="00BF09F2">
      <w:pPr>
        <w:pStyle w:val="A"/>
      </w:pPr>
      <w:r w:rsidRPr="001531CD">
        <w:t>E.</w:t>
      </w:r>
      <w:r w:rsidRPr="001531CD">
        <w:tab/>
        <w:t>All registrations must be renewed on or before April l of each year. The fee for renewal of registrations shall be the same as for the initial registration.</w:t>
      </w:r>
    </w:p>
    <w:p w14:paraId="4499C55D" w14:textId="77777777" w:rsidR="00BF09F2" w:rsidRPr="001531CD" w:rsidRDefault="00BF09F2" w:rsidP="00BF09F2">
      <w:pPr>
        <w:pStyle w:val="A"/>
      </w:pPr>
      <w:r w:rsidRPr="001531CD">
        <w:t>F.</w:t>
      </w:r>
      <w:r w:rsidRPr="001531CD">
        <w:tab/>
        <w:t>Each registrant shall receive a certificate of registration within 30 days after the application for registration is filed with the department if the registrant is in full compliance with applicable federal and state laws and regulations regarding slaughtering, processing, inspecting, packaging, handling, and transportation meat and poultry.</w:t>
      </w:r>
    </w:p>
    <w:p w14:paraId="5A356BB5" w14:textId="77777777" w:rsidR="00BF09F2" w:rsidRPr="001531CD" w:rsidRDefault="00BF09F2" w:rsidP="00BF09F2">
      <w:pPr>
        <w:pStyle w:val="A"/>
      </w:pPr>
      <w:r w:rsidRPr="001531CD">
        <w:t>G.</w:t>
      </w:r>
      <w:r w:rsidRPr="001531CD">
        <w:tab/>
        <w:t>Penalties for failure to register or to annually renew a registration if the establishment is still in operation shall be assessed in accordance with R.S. 3:4233.</w:t>
      </w:r>
    </w:p>
    <w:p w14:paraId="4E71E04F" w14:textId="77777777" w:rsidR="00BF09F2" w:rsidRPr="001531CD" w:rsidRDefault="00BF09F2" w:rsidP="00BF09F2">
      <w:pPr>
        <w:pStyle w:val="AuthorityNote"/>
      </w:pPr>
      <w:r w:rsidRPr="001531CD">
        <w:t>AUTHORITY NOTE:</w:t>
      </w:r>
      <w:r w:rsidRPr="001531CD">
        <w:tab/>
        <w:t>Promulgated in accordance with R.S. 3:4232.</w:t>
      </w:r>
    </w:p>
    <w:p w14:paraId="01B72393" w14:textId="77777777" w:rsidR="00BF09F2" w:rsidRPr="001531CD" w:rsidRDefault="00BF09F2" w:rsidP="00BF09F2">
      <w:pPr>
        <w:pStyle w:val="HistoricalNote"/>
      </w:pPr>
      <w:r w:rsidRPr="001531CD">
        <w:t>HISTORICAL NOTE:</w:t>
      </w:r>
      <w:r w:rsidRPr="001531CD">
        <w:tab/>
        <w:t>Promulgated by the Department of Agriculture, Office of Management and Finance, LR 6:709 (December 1980), amended LR 11:247 (March 1985) amended by the Department of Agriculture and Forestry, Office of the Commissioner, LR 32:1012 (June 2006).</w:t>
      </w:r>
    </w:p>
    <w:p w14:paraId="69DC6EF4" w14:textId="77777777" w:rsidR="00BF09F2" w:rsidRPr="001531CD" w:rsidRDefault="00BF09F2" w:rsidP="00BF09F2">
      <w:pPr>
        <w:pStyle w:val="Section"/>
      </w:pPr>
      <w:bookmarkStart w:id="2966" w:name="_Toc256755069"/>
      <w:bookmarkStart w:id="2967" w:name="_Toc224819440"/>
      <w:r w:rsidRPr="001531CD">
        <w:t>§107.</w:t>
      </w:r>
      <w:r w:rsidRPr="001531CD">
        <w:tab/>
        <w:t>Licenses for Establishments Coming under Inspection</w:t>
      </w:r>
      <w:bookmarkEnd w:id="2966"/>
      <w:bookmarkEnd w:id="2967"/>
    </w:p>
    <w:p w14:paraId="48997B75" w14:textId="77777777" w:rsidR="00BF09F2" w:rsidRPr="001531CD" w:rsidRDefault="00BF09F2" w:rsidP="00BF09F2">
      <w:pPr>
        <w:pStyle w:val="A"/>
      </w:pPr>
      <w:r w:rsidRPr="001531CD">
        <w:t>A.</w:t>
      </w:r>
      <w:r w:rsidRPr="001531CD">
        <w:tab/>
        <w:t>All persons operating a slaughtering, processing, or combination slaughtering/processing establishment, or as a custom slaughterer, custom processor or a combination custom slaughterer and processor shall obtain a license from the department for each establishment prior to conducting intrastate operations or commerce.</w:t>
      </w:r>
    </w:p>
    <w:p w14:paraId="432208CD" w14:textId="77777777" w:rsidR="00BF09F2" w:rsidRPr="001531CD" w:rsidRDefault="00BF09F2" w:rsidP="00BF09F2">
      <w:pPr>
        <w:pStyle w:val="A"/>
      </w:pPr>
      <w:r w:rsidRPr="001531CD">
        <w:t>B.</w:t>
      </w:r>
      <w:r w:rsidRPr="001531CD">
        <w:tab/>
        <w:t xml:space="preserve">All applications for licenses shall consist of </w:t>
      </w:r>
      <w:r w:rsidR="00FA713A" w:rsidRPr="001531CD">
        <w:br/>
      </w:r>
      <w:r w:rsidRPr="001531CD">
        <w:t xml:space="preserve">a completed Form 401 submitted to the department at </w:t>
      </w:r>
      <w:r w:rsidR="00FA713A" w:rsidRPr="001531CD">
        <w:br/>
      </w:r>
      <w:r w:rsidRPr="001531CD">
        <w:t>5825 Florida Boulevard, Baton Rouge, LA 70806. Form AHS-09-54 is available on request from the department.</w:t>
      </w:r>
    </w:p>
    <w:p w14:paraId="0BB87D63" w14:textId="77777777" w:rsidR="00BF09F2" w:rsidRPr="001531CD" w:rsidRDefault="00BF09F2" w:rsidP="003E6772">
      <w:pPr>
        <w:pStyle w:val="A"/>
        <w:spacing w:after="80"/>
      </w:pPr>
      <w:r w:rsidRPr="001531CD">
        <w:t>C.</w:t>
      </w:r>
      <w:r w:rsidRPr="001531CD">
        <w:tab/>
        <w:t xml:space="preserve">A license number shall be assigned to each establishment upon the department's approval of the application. The license shall be issued to the establishment </w:t>
      </w:r>
      <w:r w:rsidRPr="001531CD">
        <w:lastRenderedPageBreak/>
        <w:t>within 30 days of final approval, in one of the following categories:</w:t>
      </w:r>
    </w:p>
    <w:p w14:paraId="3FAEFB6F" w14:textId="77777777" w:rsidR="00BF09F2" w:rsidRPr="001531CD" w:rsidRDefault="00BF09F2" w:rsidP="003E6772">
      <w:pPr>
        <w:pStyle w:val="1"/>
        <w:spacing w:after="80"/>
      </w:pPr>
      <w:r w:rsidRPr="001531CD">
        <w:t>1.</w:t>
      </w:r>
      <w:r w:rsidRPr="001531CD">
        <w:tab/>
        <w:t>slaughter;</w:t>
      </w:r>
    </w:p>
    <w:p w14:paraId="36F09B34" w14:textId="77777777" w:rsidR="00BF09F2" w:rsidRPr="001531CD" w:rsidRDefault="00BF09F2" w:rsidP="003E6772">
      <w:pPr>
        <w:pStyle w:val="1"/>
        <w:spacing w:after="80"/>
      </w:pPr>
      <w:r w:rsidRPr="001531CD">
        <w:t>2.</w:t>
      </w:r>
      <w:r w:rsidRPr="001531CD">
        <w:tab/>
        <w:t>processing;</w:t>
      </w:r>
    </w:p>
    <w:p w14:paraId="477EF77A" w14:textId="77777777" w:rsidR="00BF09F2" w:rsidRPr="001531CD" w:rsidRDefault="00BF09F2" w:rsidP="003E6772">
      <w:pPr>
        <w:pStyle w:val="1"/>
        <w:spacing w:after="80"/>
      </w:pPr>
      <w:r w:rsidRPr="001531CD">
        <w:t>3.</w:t>
      </w:r>
      <w:r w:rsidRPr="001531CD">
        <w:tab/>
        <w:t>custom;</w:t>
      </w:r>
    </w:p>
    <w:p w14:paraId="6CE8D823" w14:textId="77777777" w:rsidR="00BF09F2" w:rsidRPr="001531CD" w:rsidRDefault="00BF09F2" w:rsidP="003E6772">
      <w:pPr>
        <w:pStyle w:val="1"/>
        <w:spacing w:after="80"/>
      </w:pPr>
      <w:r w:rsidRPr="001531CD">
        <w:t>4.</w:t>
      </w:r>
      <w:r w:rsidRPr="001531CD">
        <w:tab/>
        <w:t>any combination of Paragraphs 1, 2 or 3 above.</w:t>
      </w:r>
    </w:p>
    <w:p w14:paraId="3BB8A83B" w14:textId="77777777" w:rsidR="00BF09F2" w:rsidRPr="001531CD" w:rsidRDefault="00BF09F2" w:rsidP="003E6772">
      <w:pPr>
        <w:pStyle w:val="A"/>
        <w:spacing w:after="80"/>
      </w:pPr>
      <w:r w:rsidRPr="001531CD">
        <w:t>D.</w:t>
      </w:r>
      <w:r w:rsidRPr="001531CD">
        <w:tab/>
        <w:t>All establishments receiving licenses shall display the license at a prominent location in the establishment.</w:t>
      </w:r>
    </w:p>
    <w:p w14:paraId="361AC077" w14:textId="77777777" w:rsidR="00BF09F2" w:rsidRPr="001531CD" w:rsidRDefault="00BF09F2" w:rsidP="00BF09F2">
      <w:pPr>
        <w:pStyle w:val="AuthorityNote"/>
      </w:pPr>
      <w:r w:rsidRPr="001531CD">
        <w:t>AUTHORITY NOTE:</w:t>
      </w:r>
      <w:r w:rsidRPr="001531CD">
        <w:tab/>
        <w:t>Promulgated in accordance with R.S. 3:4232.</w:t>
      </w:r>
    </w:p>
    <w:p w14:paraId="3B5677B0" w14:textId="77777777" w:rsidR="00BF09F2" w:rsidRPr="001531CD" w:rsidRDefault="00BF09F2" w:rsidP="00BF09F2">
      <w:pPr>
        <w:pStyle w:val="HistoricalNote"/>
      </w:pPr>
      <w:r w:rsidRPr="001531CD">
        <w:t>HISTORICAL NOTE:</w:t>
      </w:r>
      <w:r w:rsidRPr="001531CD">
        <w:tab/>
        <w:t>Promulgated by the Department of Agriculture, Office of Management and Finance, LR 6:710 (December 1980), amended by the Department of Agriculture and Forestry, Office of the Commissioner, LR 32:1013 (June 2006).</w:t>
      </w:r>
    </w:p>
    <w:p w14:paraId="7F3A6856" w14:textId="77777777" w:rsidR="00BF09F2" w:rsidRPr="001531CD" w:rsidRDefault="00BF09F2" w:rsidP="00BF09F2">
      <w:pPr>
        <w:pStyle w:val="Section"/>
      </w:pPr>
      <w:bookmarkStart w:id="2968" w:name="_Toc256755070"/>
      <w:bookmarkStart w:id="2969" w:name="_Toc224819441"/>
      <w:r w:rsidRPr="001531CD">
        <w:t>§109.</w:t>
      </w:r>
      <w:r w:rsidRPr="001531CD">
        <w:tab/>
        <w:t>Change of Ownership of Licensed Establishments</w:t>
      </w:r>
      <w:bookmarkEnd w:id="2968"/>
      <w:bookmarkEnd w:id="2969"/>
    </w:p>
    <w:p w14:paraId="7EC19D6E" w14:textId="77777777" w:rsidR="00BF09F2" w:rsidRPr="001531CD" w:rsidRDefault="00BF09F2" w:rsidP="00BF09F2">
      <w:pPr>
        <w:pStyle w:val="A"/>
      </w:pPr>
      <w:r w:rsidRPr="001531CD">
        <w:t>A.</w:t>
      </w:r>
      <w:r w:rsidRPr="001531CD">
        <w:tab/>
        <w:t>Whenever the ownership or operation of a licensed establishment changes, the new owner or operator must submit an application for a license to the department at least 30 days prior to the date the change in ownership or operation is to take place.</w:t>
      </w:r>
    </w:p>
    <w:p w14:paraId="64C17E45" w14:textId="77777777" w:rsidR="00BF09F2" w:rsidRPr="001531CD" w:rsidRDefault="00BF09F2" w:rsidP="00BF09F2">
      <w:pPr>
        <w:pStyle w:val="A"/>
      </w:pPr>
      <w:r w:rsidRPr="001531CD">
        <w:t>B.</w:t>
      </w:r>
      <w:r w:rsidRPr="001531CD">
        <w:tab/>
        <w:t>Within 30 days of change of ownership or operation, the new owner or operator shall submit to the department a certified copy of the act of sale, lease agreement or other legal document showing change of ownership or operation.</w:t>
      </w:r>
    </w:p>
    <w:p w14:paraId="6E15F9E6" w14:textId="77777777" w:rsidR="00BF09F2" w:rsidRPr="001531CD" w:rsidRDefault="00BF09F2" w:rsidP="00BF09F2">
      <w:pPr>
        <w:pStyle w:val="AuthorityNote"/>
      </w:pPr>
      <w:r w:rsidRPr="001531CD">
        <w:t>AUTHORITY NOTE:</w:t>
      </w:r>
      <w:r w:rsidRPr="001531CD">
        <w:tab/>
        <w:t>Promulgated in accordance with R.S. 3:4232.</w:t>
      </w:r>
    </w:p>
    <w:p w14:paraId="5C20EEC7" w14:textId="77777777" w:rsidR="00BF09F2" w:rsidRPr="001531CD" w:rsidRDefault="00BF09F2" w:rsidP="00BF09F2">
      <w:pPr>
        <w:pStyle w:val="HistoricalNote"/>
      </w:pPr>
      <w:r w:rsidRPr="001531CD">
        <w:t>HISTORICAL NOTE:</w:t>
      </w:r>
      <w:r w:rsidRPr="001531CD">
        <w:tab/>
        <w:t>Promulgated by the Department of Agriculture, Office of Management and Finance, LR 6:710 (December 1980), amended by the Department of Agriculture and Forestry, Office of the Commissioner, LR 32:1013 (June 2006).</w:t>
      </w:r>
    </w:p>
    <w:p w14:paraId="76753CCE" w14:textId="77777777" w:rsidR="00BF09F2" w:rsidRPr="001531CD" w:rsidRDefault="00BF09F2" w:rsidP="00BF09F2">
      <w:pPr>
        <w:pStyle w:val="Section"/>
      </w:pPr>
      <w:bookmarkStart w:id="2970" w:name="_Toc256755071"/>
      <w:bookmarkStart w:id="2971" w:name="_Toc224819442"/>
      <w:r w:rsidRPr="001531CD">
        <w:t>§111.</w:t>
      </w:r>
      <w:r w:rsidRPr="001531CD">
        <w:tab/>
        <w:t>Exemption</w:t>
      </w:r>
      <w:bookmarkEnd w:id="2970"/>
      <w:bookmarkEnd w:id="2971"/>
    </w:p>
    <w:p w14:paraId="0AAA95FD" w14:textId="77777777" w:rsidR="00BF09F2" w:rsidRPr="001531CD" w:rsidRDefault="00BF09F2" w:rsidP="00BF09F2">
      <w:pPr>
        <w:pStyle w:val="A"/>
      </w:pPr>
      <w:r w:rsidRPr="001531CD">
        <w:t>A.</w:t>
      </w:r>
      <w:r w:rsidRPr="001531CD">
        <w:tab/>
        <w:t>No person or establishment shall be exempt, under the Louisiana Meat and Poultry Inspection Law, from the inspections of the slaughter of animals and the preparation of the carcasses, parts thereof, meat and meat food products at establishments conducting such operations except as provided in R.S. 3:4215 and 4216.</w:t>
      </w:r>
    </w:p>
    <w:p w14:paraId="4D48B4CB" w14:textId="77777777" w:rsidR="00BF09F2" w:rsidRPr="001531CD" w:rsidRDefault="00BF09F2" w:rsidP="00BF09F2">
      <w:pPr>
        <w:pStyle w:val="A"/>
      </w:pPr>
      <w:r w:rsidRPr="001531CD">
        <w:t>B.</w:t>
      </w:r>
      <w:r w:rsidRPr="001531CD">
        <w:tab/>
        <w:t>Establishment at which the slaughter of animals and the preparation of the carcasses, parts thereof, meat, poultry, and meat and poultry food products are exempt from inspection under R.S. 3:4215 and 4216 shall conduct slaughtering and processing operations under the same sanitary standards as are required of slaughter and processing establishments that engage in interstate operations or commerce.</w:t>
      </w:r>
    </w:p>
    <w:p w14:paraId="794CBE30" w14:textId="77777777" w:rsidR="00BF09F2" w:rsidRPr="001531CD" w:rsidRDefault="00BF09F2" w:rsidP="00BF09F2">
      <w:pPr>
        <w:pStyle w:val="A"/>
      </w:pPr>
      <w:r w:rsidRPr="001531CD">
        <w:t>C.</w:t>
      </w:r>
      <w:r w:rsidRPr="001531CD">
        <w:tab/>
        <w:t>No retail store, restaurant, or similar retail type establishment shall qualify for any exemption provided for in R.S. 3:4215 and 4216 unless the establishment otherwise qualifies as a retail store or restaurant under The Federal Meat Inspection Act and regulations promulgated pursuant to the Act.</w:t>
      </w:r>
    </w:p>
    <w:p w14:paraId="10292D9A" w14:textId="77777777" w:rsidR="00BF09F2" w:rsidRPr="001531CD" w:rsidRDefault="00BF09F2" w:rsidP="00BF09F2">
      <w:pPr>
        <w:pStyle w:val="AuthorityNote"/>
      </w:pPr>
      <w:r w:rsidRPr="001531CD">
        <w:t>AUTHORITY NOTE:</w:t>
      </w:r>
      <w:r w:rsidRPr="001531CD">
        <w:tab/>
        <w:t>Promulgated in accordance with R.S. 3:4232.</w:t>
      </w:r>
    </w:p>
    <w:p w14:paraId="16C731A8" w14:textId="77777777" w:rsidR="00BF09F2" w:rsidRPr="001531CD" w:rsidRDefault="00BF09F2" w:rsidP="00BF09F2">
      <w:pPr>
        <w:pStyle w:val="HistoricalNote"/>
      </w:pPr>
      <w:r w:rsidRPr="001531CD">
        <w:rPr>
          <w:szCs w:val="24"/>
        </w:rPr>
        <w:t>HISTORICAL NOTE:</w:t>
      </w:r>
      <w:r w:rsidRPr="001531CD">
        <w:rPr>
          <w:szCs w:val="24"/>
        </w:rPr>
        <w:tab/>
        <w:t>Promulgated by the Department of Agriculture, Office of Management and Finance, LR 6:710 (December 1980),</w:t>
      </w:r>
      <w:r w:rsidRPr="001531CD">
        <w:t xml:space="preserve"> amended by the Department of Agriculture and Forestry, Office of the Commissioner, LR 32:1013 (June 2006).</w:t>
      </w:r>
    </w:p>
    <w:p w14:paraId="72C8C329" w14:textId="77777777" w:rsidR="00BF09F2" w:rsidRPr="001531CD" w:rsidRDefault="00BF09F2" w:rsidP="00BF09F2">
      <w:pPr>
        <w:pStyle w:val="Section"/>
      </w:pPr>
      <w:bookmarkStart w:id="2972" w:name="_Toc256755072"/>
      <w:bookmarkStart w:id="2973" w:name="_Toc224819443"/>
      <w:r w:rsidRPr="001531CD">
        <w:t>§113.</w:t>
      </w:r>
      <w:r w:rsidRPr="001531CD">
        <w:tab/>
        <w:t>Removal of Inspection Services</w:t>
      </w:r>
      <w:bookmarkEnd w:id="2972"/>
      <w:bookmarkEnd w:id="2973"/>
    </w:p>
    <w:p w14:paraId="1AF3E087" w14:textId="77777777" w:rsidR="00BF09F2" w:rsidRPr="001531CD" w:rsidRDefault="00BF09F2" w:rsidP="00BF09F2">
      <w:pPr>
        <w:pStyle w:val="A"/>
      </w:pPr>
      <w:r w:rsidRPr="001531CD">
        <w:t>A.</w:t>
      </w:r>
      <w:r w:rsidRPr="001531CD">
        <w:tab/>
        <w:t>An assigned inspector may, upon proper justification, withhold inspection services for an inspected plant for a period not to exceed six hours, but may not withhold inspection services for a period longer than six hours. If for any reason the assigned inspector leaves the plant during the period when inspection services are withheld, he shall be available to the plant within one hour of notification of correction of the situation justifying the withholding of inspection services.</w:t>
      </w:r>
    </w:p>
    <w:p w14:paraId="18F94C6C" w14:textId="77777777" w:rsidR="00BF09F2" w:rsidRPr="001531CD" w:rsidRDefault="00BF09F2" w:rsidP="00BF09F2">
      <w:pPr>
        <w:pStyle w:val="A"/>
      </w:pPr>
      <w:r w:rsidRPr="001531CD">
        <w:t>B.</w:t>
      </w:r>
      <w:r w:rsidRPr="001531CD">
        <w:tab/>
        <w:t>An area supervisor may, upon proper justification, withhold inspection services for a period not to exceed a total of 12 hours from the time when inspection services were first withheld.</w:t>
      </w:r>
    </w:p>
    <w:p w14:paraId="2EF5999C" w14:textId="77777777" w:rsidR="00BF09F2" w:rsidRPr="001531CD" w:rsidRDefault="00BF09F2" w:rsidP="00BF09F2">
      <w:pPr>
        <w:pStyle w:val="A"/>
      </w:pPr>
      <w:r w:rsidRPr="001531CD">
        <w:t>C.</w:t>
      </w:r>
      <w:r w:rsidRPr="001531CD">
        <w:tab/>
        <w:t>The state office of the meat and poultry inspection program may withhold inspection services for an indefinite period of time upon proper justification.</w:t>
      </w:r>
    </w:p>
    <w:p w14:paraId="1F12CF5D" w14:textId="77777777" w:rsidR="00BF09F2" w:rsidRPr="001531CD" w:rsidRDefault="00BF09F2" w:rsidP="00BF09F2">
      <w:pPr>
        <w:pStyle w:val="A"/>
      </w:pPr>
      <w:r w:rsidRPr="001531CD">
        <w:t>D.</w:t>
      </w:r>
      <w:r w:rsidRPr="001531CD">
        <w:tab/>
        <w:t>An informal public hearing shall be held on the next working day following the initial withholding of inspection services upon the request of the establishment.</w:t>
      </w:r>
    </w:p>
    <w:p w14:paraId="2FA9E686" w14:textId="77777777" w:rsidR="00BF09F2" w:rsidRPr="001531CD" w:rsidRDefault="00BF09F2" w:rsidP="00BF09F2">
      <w:pPr>
        <w:pStyle w:val="A"/>
      </w:pPr>
      <w:r w:rsidRPr="001531CD">
        <w:t>E.</w:t>
      </w:r>
      <w:r w:rsidRPr="001531CD">
        <w:tab/>
        <w:t>Inspection services may not be permanently withdrawn by the department except following a public hearing on the matter conducted in accordance with §121 of this Chapter.</w:t>
      </w:r>
    </w:p>
    <w:p w14:paraId="23FD5DF3" w14:textId="77777777" w:rsidR="00BF09F2" w:rsidRPr="001531CD" w:rsidRDefault="00BF09F2" w:rsidP="00BF09F2">
      <w:pPr>
        <w:pStyle w:val="AuthorityNote"/>
      </w:pPr>
      <w:r w:rsidRPr="001531CD">
        <w:t>AUTHORITY NOTE:</w:t>
      </w:r>
      <w:r w:rsidRPr="001531CD">
        <w:tab/>
        <w:t>Promulgated in accordance with R.S. 3:4232.</w:t>
      </w:r>
    </w:p>
    <w:p w14:paraId="4A0A00C1" w14:textId="77777777" w:rsidR="00BF09F2" w:rsidRPr="001531CD" w:rsidRDefault="00BF09F2" w:rsidP="00BF09F2">
      <w:pPr>
        <w:pStyle w:val="HistoricalNote"/>
      </w:pPr>
      <w:r w:rsidRPr="001531CD">
        <w:rPr>
          <w:szCs w:val="24"/>
        </w:rPr>
        <w:t>HISTORICAL NOTE:</w:t>
      </w:r>
      <w:r w:rsidRPr="001531CD">
        <w:rPr>
          <w:szCs w:val="24"/>
        </w:rPr>
        <w:tab/>
        <w:t>Promulgated by the Department of Agriculture, Office of Management and Finance, LR 6:711 (December 1980),</w:t>
      </w:r>
      <w:r w:rsidRPr="001531CD">
        <w:t xml:space="preserve"> amended by the Department of Agriculture and Forestry, Office of the Commissioner, LR 32:1013 (June 2006).</w:t>
      </w:r>
    </w:p>
    <w:p w14:paraId="7CCBBEE8" w14:textId="77777777" w:rsidR="00BF09F2" w:rsidRPr="001531CD" w:rsidRDefault="00BF09F2" w:rsidP="00BF09F2">
      <w:pPr>
        <w:pStyle w:val="Section"/>
      </w:pPr>
      <w:bookmarkStart w:id="2974" w:name="_Toc256755073"/>
      <w:bookmarkStart w:id="2975" w:name="_Toc224819444"/>
      <w:r w:rsidRPr="001531CD">
        <w:t>§115.</w:t>
      </w:r>
      <w:r w:rsidRPr="001531CD">
        <w:tab/>
        <w:t>Inspection Brands; Hot Brands; Replacement Brands</w:t>
      </w:r>
      <w:bookmarkEnd w:id="2974"/>
      <w:bookmarkEnd w:id="2975"/>
    </w:p>
    <w:p w14:paraId="2F67BF78" w14:textId="77777777" w:rsidR="00BF09F2" w:rsidRPr="001531CD" w:rsidRDefault="00BF09F2" w:rsidP="00BF09F2">
      <w:pPr>
        <w:pStyle w:val="A"/>
      </w:pPr>
      <w:r w:rsidRPr="001531CD">
        <w:t>A.</w:t>
      </w:r>
      <w:r w:rsidRPr="001531CD">
        <w:tab/>
        <w:t>The department shall furnish an appropriate number of inspection brands to the establishment upon initial approval for inspection.</w:t>
      </w:r>
    </w:p>
    <w:p w14:paraId="3A293BBB" w14:textId="77777777" w:rsidR="00BF09F2" w:rsidRPr="001531CD" w:rsidRDefault="00BF09F2" w:rsidP="00BF09F2">
      <w:pPr>
        <w:pStyle w:val="A"/>
      </w:pPr>
      <w:r w:rsidRPr="001531CD">
        <w:t>B.</w:t>
      </w:r>
      <w:r w:rsidRPr="001531CD">
        <w:tab/>
        <w:t>The establishment shall furnish the required number of hot brands and the number provided shall be provided to the department.</w:t>
      </w:r>
    </w:p>
    <w:p w14:paraId="5AE5464E" w14:textId="77777777" w:rsidR="00BF09F2" w:rsidRPr="001531CD" w:rsidRDefault="00BF09F2" w:rsidP="00BF09F2">
      <w:pPr>
        <w:pStyle w:val="A"/>
      </w:pPr>
      <w:r w:rsidRPr="001531CD">
        <w:t>C.</w:t>
      </w:r>
      <w:r w:rsidRPr="001531CD">
        <w:tab/>
        <w:t>The establishment shall notify the assigned inspector when replacement brands are needed, providing the following information to the assigned inspector:</w:t>
      </w:r>
    </w:p>
    <w:p w14:paraId="28C70238" w14:textId="77777777" w:rsidR="00BF09F2" w:rsidRPr="001531CD" w:rsidRDefault="00BF09F2" w:rsidP="00BF09F2">
      <w:pPr>
        <w:pStyle w:val="1"/>
      </w:pPr>
      <w:r w:rsidRPr="001531CD">
        <w:t>1.</w:t>
      </w:r>
      <w:r w:rsidRPr="001531CD">
        <w:tab/>
        <w:t>the name and address of the brand manufacturer preferred by the establishment; and</w:t>
      </w:r>
    </w:p>
    <w:p w14:paraId="75ACD6B0" w14:textId="77777777" w:rsidR="00BF09F2" w:rsidRPr="001531CD" w:rsidRDefault="00BF09F2" w:rsidP="00BF09F2">
      <w:pPr>
        <w:pStyle w:val="1"/>
      </w:pPr>
      <w:r w:rsidRPr="001531CD">
        <w:t>2.</w:t>
      </w:r>
      <w:r w:rsidRPr="001531CD">
        <w:tab/>
        <w:t>the number and kind of brands needed.</w:t>
      </w:r>
    </w:p>
    <w:p w14:paraId="02B50E8F" w14:textId="77777777" w:rsidR="00BF09F2" w:rsidRPr="001531CD" w:rsidRDefault="00BF09F2" w:rsidP="00BF09F2">
      <w:pPr>
        <w:pStyle w:val="A"/>
      </w:pPr>
      <w:r w:rsidRPr="001531CD">
        <w:t>D.</w:t>
      </w:r>
      <w:r w:rsidRPr="001531CD">
        <w:tab/>
        <w:t>Upon receipt of the information required in §11</w:t>
      </w:r>
      <w:r w:rsidR="006065D6" w:rsidRPr="001531CD">
        <w:t>5</w:t>
      </w:r>
      <w:r w:rsidRPr="001531CD">
        <w:t>.C, the inspector shall immediately notify the state office, which shall place the official order with instructions for the brands to be shipped direct to the establishment.</w:t>
      </w:r>
    </w:p>
    <w:p w14:paraId="76FC37B9" w14:textId="77777777" w:rsidR="00BF09F2" w:rsidRPr="001531CD" w:rsidRDefault="00BF09F2" w:rsidP="00BF09F2">
      <w:pPr>
        <w:pStyle w:val="A"/>
      </w:pPr>
      <w:r w:rsidRPr="001531CD">
        <w:t>E.</w:t>
      </w:r>
      <w:r w:rsidRPr="001531CD">
        <w:tab/>
        <w:t xml:space="preserve">Upon receipt of the replacement brands, the establishment must deliver all unserviceable brands to the </w:t>
      </w:r>
      <w:r w:rsidRPr="001531CD">
        <w:lastRenderedPageBreak/>
        <w:t>assigned inspector for transmittal to the department for destruction.</w:t>
      </w:r>
    </w:p>
    <w:p w14:paraId="44F2A1C1" w14:textId="77777777" w:rsidR="00BF09F2" w:rsidRPr="001531CD" w:rsidRDefault="00BF09F2" w:rsidP="00BF09F2">
      <w:pPr>
        <w:pStyle w:val="AuthorityNote"/>
      </w:pPr>
      <w:r w:rsidRPr="001531CD">
        <w:t>AUTHORITY NOTE:</w:t>
      </w:r>
      <w:r w:rsidRPr="001531CD">
        <w:tab/>
        <w:t>Promulgated in accordance with R.S. 3:4232.</w:t>
      </w:r>
    </w:p>
    <w:p w14:paraId="2B344919" w14:textId="77777777"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14:paraId="0FE511B6" w14:textId="77777777" w:rsidR="00BF09F2" w:rsidRPr="001531CD" w:rsidRDefault="00BF09F2" w:rsidP="00BF09F2">
      <w:pPr>
        <w:pStyle w:val="Section"/>
      </w:pPr>
      <w:bookmarkStart w:id="2976" w:name="_Toc256755074"/>
      <w:bookmarkStart w:id="2977" w:name="_Toc224819445"/>
      <w:r w:rsidRPr="001531CD">
        <w:t>§117.</w:t>
      </w:r>
      <w:r w:rsidRPr="001531CD">
        <w:tab/>
        <w:t>Stamping of Carcasses</w:t>
      </w:r>
      <w:bookmarkEnd w:id="2976"/>
      <w:bookmarkEnd w:id="2977"/>
    </w:p>
    <w:p w14:paraId="61E52D7C" w14:textId="77777777" w:rsidR="00BF09F2" w:rsidRPr="001531CD" w:rsidRDefault="00BF09F2" w:rsidP="00BF09F2">
      <w:pPr>
        <w:pStyle w:val="A"/>
      </w:pPr>
      <w:r w:rsidRPr="001531CD">
        <w:t>A.</w:t>
      </w:r>
      <w:r w:rsidRPr="001531CD">
        <w:tab/>
        <w:t>All beef, calf and veal carcasses must be stamped with not less than two stamps per side. At least one stamp shall be affixed, on each side, in each of the numbered portions illustrated in Figure 7 in Appendices (§137.A and §139) attached immediately following.</w:t>
      </w:r>
    </w:p>
    <w:p w14:paraId="300EDAFE" w14:textId="77777777" w:rsidR="00BF09F2" w:rsidRPr="001531CD" w:rsidRDefault="00BF09F2" w:rsidP="00BF09F2">
      <w:pPr>
        <w:pStyle w:val="A"/>
      </w:pPr>
      <w:r w:rsidRPr="001531CD">
        <w:t>B.</w:t>
      </w:r>
      <w:r w:rsidRPr="001531CD">
        <w:tab/>
        <w:t>All swine carcasses must be stamped with not less than two stamps per side. At least one stamp shall be affixed, on each side, in each of the numbered portions illustrated in Figure 8 in Appendices (§141).</w:t>
      </w:r>
    </w:p>
    <w:p w14:paraId="44F42029" w14:textId="77777777" w:rsidR="00BF09F2" w:rsidRPr="001531CD" w:rsidRDefault="00BF09F2" w:rsidP="00BF09F2">
      <w:pPr>
        <w:pStyle w:val="AuthorityNote"/>
      </w:pPr>
      <w:r w:rsidRPr="001531CD">
        <w:t>AUTHORITY NOTE:</w:t>
      </w:r>
      <w:r w:rsidRPr="001531CD">
        <w:tab/>
        <w:t>Promulgated in accordance with R.S. 3:4232.</w:t>
      </w:r>
    </w:p>
    <w:p w14:paraId="64828F39" w14:textId="77777777"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Certification, LR 32:1014 (June 2006).</w:t>
      </w:r>
    </w:p>
    <w:p w14:paraId="7FBD5EBC" w14:textId="77777777" w:rsidR="00BF09F2" w:rsidRPr="001531CD" w:rsidRDefault="00BF09F2" w:rsidP="00BF09F2">
      <w:pPr>
        <w:pStyle w:val="Section"/>
      </w:pPr>
      <w:bookmarkStart w:id="2978" w:name="_Toc256755075"/>
      <w:bookmarkStart w:id="2979" w:name="_Toc224819446"/>
      <w:r w:rsidRPr="001531CD">
        <w:t>§119.</w:t>
      </w:r>
      <w:r w:rsidRPr="001531CD">
        <w:tab/>
        <w:t>Inspection upon Movement of Meat and Meat Products</w:t>
      </w:r>
      <w:bookmarkEnd w:id="2978"/>
      <w:bookmarkEnd w:id="2979"/>
    </w:p>
    <w:p w14:paraId="1EE85B1E" w14:textId="77777777" w:rsidR="00BF09F2" w:rsidRPr="001531CD" w:rsidRDefault="00BF09F2" w:rsidP="00BF09F2">
      <w:pPr>
        <w:pStyle w:val="A"/>
      </w:pPr>
      <w:r w:rsidRPr="001531CD">
        <w:t>A.</w:t>
      </w:r>
      <w:r w:rsidRPr="001531CD">
        <w:tab/>
        <w:t>All carcasses, parts of carcasses, meat and meat products brought into any slaughtering, meat canning, salting, packing, rendering or similar establishment must originate from an establishment under inspection.</w:t>
      </w:r>
    </w:p>
    <w:p w14:paraId="52FC5B73" w14:textId="77777777" w:rsidR="00BF09F2" w:rsidRPr="001531CD" w:rsidRDefault="00BF09F2" w:rsidP="00BF09F2">
      <w:pPr>
        <w:pStyle w:val="A"/>
      </w:pPr>
      <w:r w:rsidRPr="001531CD">
        <w:t>B.</w:t>
      </w:r>
      <w:r w:rsidRPr="001531CD">
        <w:tab/>
        <w:t>All carcasses, parts of carcasses, meat or meat products which are inspected and passed at any slaughtering, meat canning, salting, packing, rendering or similar establishment before movement there from, which is later returned to the same establishment, must be re-inspected upon return before further treatment or processing.</w:t>
      </w:r>
    </w:p>
    <w:p w14:paraId="364D248B" w14:textId="77777777" w:rsidR="00BF09F2" w:rsidRPr="001531CD" w:rsidRDefault="00BF09F2" w:rsidP="00BF09F2">
      <w:pPr>
        <w:pStyle w:val="AuthorityNote"/>
      </w:pPr>
      <w:r w:rsidRPr="001531CD">
        <w:t>AUTHORITY NOTE:</w:t>
      </w:r>
      <w:r w:rsidRPr="001531CD">
        <w:tab/>
        <w:t>Promulgated in accordance with R.S. 3:4232.</w:t>
      </w:r>
    </w:p>
    <w:p w14:paraId="487FB333" w14:textId="77777777"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14:paraId="660A8909" w14:textId="77777777" w:rsidR="00BF09F2" w:rsidRPr="001531CD" w:rsidRDefault="00BF09F2" w:rsidP="00BF09F2">
      <w:pPr>
        <w:pStyle w:val="Section"/>
      </w:pPr>
      <w:bookmarkStart w:id="2980" w:name="_Toc256755076"/>
      <w:bookmarkStart w:id="2981" w:name="_Toc224819447"/>
      <w:r w:rsidRPr="001531CD">
        <w:t>§121.</w:t>
      </w:r>
      <w:r w:rsidRPr="001531CD">
        <w:tab/>
        <w:t>Appeals from Decisions of the Cooperative Federal/State Meat and Poultry Inspection Program</w:t>
      </w:r>
      <w:bookmarkEnd w:id="2980"/>
      <w:bookmarkEnd w:id="2981"/>
    </w:p>
    <w:p w14:paraId="3D38127C" w14:textId="77777777" w:rsidR="00BF09F2" w:rsidRPr="001531CD" w:rsidRDefault="00BF09F2" w:rsidP="00BF09F2">
      <w:pPr>
        <w:pStyle w:val="A"/>
      </w:pPr>
      <w:r w:rsidRPr="001531CD">
        <w:t>A.</w:t>
      </w:r>
      <w:r w:rsidRPr="001531CD">
        <w:tab/>
        <w:t>Any person owning or operating an establishment that is subject to inspection or these rules and regulations may appeal any dispute of any decision made by an inspector in accordance with the procedures set forth in this rule.</w:t>
      </w:r>
    </w:p>
    <w:p w14:paraId="2B29EE53" w14:textId="77777777" w:rsidR="00BF09F2" w:rsidRPr="001531CD" w:rsidRDefault="00BF09F2" w:rsidP="00BF09F2">
      <w:pPr>
        <w:pStyle w:val="A"/>
      </w:pPr>
      <w:r w:rsidRPr="001531CD">
        <w:t>B.</w:t>
      </w:r>
      <w:r w:rsidRPr="001531CD">
        <w:tab/>
        <w:t>If the person disputes the methods used by any inspector in the program, such person shall first make his objections known to the inspector.</w:t>
      </w:r>
    </w:p>
    <w:p w14:paraId="02A8A060" w14:textId="77777777" w:rsidR="00BF09F2" w:rsidRPr="001531CD" w:rsidRDefault="00BF09F2" w:rsidP="00BF09F2">
      <w:pPr>
        <w:pStyle w:val="A"/>
      </w:pPr>
      <w:r w:rsidRPr="001531CD">
        <w:t>C.</w:t>
      </w:r>
      <w:r w:rsidRPr="001531CD">
        <w:tab/>
        <w:t>If the person objecting and the inspector cannot resolve the dispute, the person objecting shall immediately notify the area supervisor of the dispute and the basis for the dispute.</w:t>
      </w:r>
    </w:p>
    <w:p w14:paraId="1A1D3B86" w14:textId="77777777" w:rsidR="00BF09F2" w:rsidRPr="001531CD" w:rsidRDefault="00BF09F2" w:rsidP="00BF09F2">
      <w:pPr>
        <w:pStyle w:val="A"/>
      </w:pPr>
      <w:r w:rsidRPr="001531CD">
        <w:t>D.</w:t>
      </w:r>
      <w:r w:rsidRPr="001531CD">
        <w:tab/>
        <w:t>If the dispute cannot be resolved by conference with the area supervisor, the person objecting shall then notify the department's program manager of the meat and poultry inspection program within three business days after the conference. Such notification may be verbal but shall be confirmed in writing within three days after the verbal notification.</w:t>
      </w:r>
    </w:p>
    <w:p w14:paraId="6E814372" w14:textId="77777777" w:rsidR="00BF09F2" w:rsidRPr="001531CD" w:rsidRDefault="00BF09F2" w:rsidP="00BF09F2">
      <w:pPr>
        <w:pStyle w:val="A"/>
      </w:pPr>
      <w:r w:rsidRPr="001531CD">
        <w:t>E.</w:t>
      </w:r>
      <w:r w:rsidRPr="001531CD">
        <w:tab/>
        <w:t>If the person objecting and the program manager cannot resolve the dispute the person objecting may petition the commissioner, in writing, for a resolution of the dispute within three business days after the program manger makes his decision.</w:t>
      </w:r>
    </w:p>
    <w:p w14:paraId="70054CFE" w14:textId="77777777" w:rsidR="00BF09F2" w:rsidRPr="001531CD" w:rsidRDefault="00BF09F2" w:rsidP="00BF09F2">
      <w:pPr>
        <w:pStyle w:val="A"/>
      </w:pPr>
      <w:r w:rsidRPr="001531CD">
        <w:t>F.</w:t>
      </w:r>
      <w:r w:rsidRPr="001531CD">
        <w:tab/>
        <w:t>The commissioner may appoint a designee who does not work in the meat and poultry inspection program meditate the dispute. If the mediation is unsuccessful or the commissioner determines that a public hearing is necessary to resolve the dispute then the commissioner may set a public hearing to resolve the dispute. Any public hearing shall be conducted in accordance with the Administrative Procedure Act.</w:t>
      </w:r>
    </w:p>
    <w:p w14:paraId="1667B1B9" w14:textId="77777777" w:rsidR="00BF09F2" w:rsidRPr="001531CD" w:rsidRDefault="00BF09F2" w:rsidP="00BF09F2">
      <w:pPr>
        <w:pStyle w:val="A"/>
      </w:pPr>
      <w:r w:rsidRPr="001531CD">
        <w:t>G.</w:t>
      </w:r>
      <w:r w:rsidRPr="001531CD">
        <w:tab/>
        <w:t xml:space="preserve">No </w:t>
      </w:r>
      <w:r w:rsidRPr="001531CD">
        <w:rPr>
          <w:bCs/>
        </w:rPr>
        <w:t xml:space="preserve">license </w:t>
      </w:r>
      <w:r w:rsidRPr="001531CD">
        <w:t>shall be suspended or revoked from any establishment without a full hearing on the matter in accordance with R.S. 3:4233 and the Administrative Procedure Act.</w:t>
      </w:r>
    </w:p>
    <w:p w14:paraId="2319CD04" w14:textId="77777777" w:rsidR="00BF09F2" w:rsidRPr="001531CD" w:rsidRDefault="00BF09F2" w:rsidP="00BF09F2">
      <w:pPr>
        <w:pStyle w:val="AuthorityNote"/>
      </w:pPr>
      <w:r w:rsidRPr="001531CD">
        <w:t>AUTHORITY NOTE:</w:t>
      </w:r>
      <w:r w:rsidRPr="001531CD">
        <w:tab/>
        <w:t>Promulgated in accordance with R.S. 3:4232.</w:t>
      </w:r>
    </w:p>
    <w:p w14:paraId="2FDADEE2" w14:textId="77777777"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14:paraId="7AA54210" w14:textId="77777777" w:rsidR="00BF09F2" w:rsidRPr="001531CD" w:rsidRDefault="00BF09F2" w:rsidP="00BF09F2">
      <w:pPr>
        <w:pStyle w:val="Section"/>
      </w:pPr>
      <w:bookmarkStart w:id="2982" w:name="_Toc256755077"/>
      <w:bookmarkStart w:id="2983" w:name="_Toc224819448"/>
      <w:r w:rsidRPr="001531CD">
        <w:t>§123.</w:t>
      </w:r>
      <w:r w:rsidRPr="001531CD">
        <w:tab/>
        <w:t>Taking of Blood Samples</w:t>
      </w:r>
      <w:bookmarkEnd w:id="2982"/>
      <w:bookmarkEnd w:id="2983"/>
    </w:p>
    <w:p w14:paraId="30E46855" w14:textId="77777777" w:rsidR="00BF09F2" w:rsidRPr="001531CD" w:rsidRDefault="00BF09F2" w:rsidP="00BF09F2">
      <w:pPr>
        <w:pStyle w:val="A"/>
      </w:pPr>
      <w:r w:rsidRPr="001531CD">
        <w:t>A.</w:t>
      </w:r>
      <w:r w:rsidRPr="001531CD">
        <w:tab/>
        <w:t>A slaughter establishment under inspection shall be responsible for the identification of animals and the maintenance of records as provided in this rule.</w:t>
      </w:r>
    </w:p>
    <w:p w14:paraId="45835CEB" w14:textId="77777777" w:rsidR="00BF09F2" w:rsidRPr="001531CD" w:rsidRDefault="00BF09F2" w:rsidP="00BF09F2">
      <w:pPr>
        <w:pStyle w:val="A"/>
      </w:pPr>
      <w:r w:rsidRPr="001531CD">
        <w:t>B.</w:t>
      </w:r>
      <w:r w:rsidRPr="001531CD">
        <w:tab/>
        <w:t>Any cattle that are not officially backtagged upon receipt shall be identified by an official backtag, properly placed.</w:t>
      </w:r>
    </w:p>
    <w:p w14:paraId="5B908D9E" w14:textId="77777777" w:rsidR="00BF09F2" w:rsidRPr="001531CD" w:rsidRDefault="00BF09F2" w:rsidP="00BF09F2">
      <w:pPr>
        <w:pStyle w:val="A"/>
      </w:pPr>
      <w:r w:rsidRPr="001531CD">
        <w:t>C.</w:t>
      </w:r>
      <w:r w:rsidRPr="001531CD">
        <w:tab/>
        <w:t>The name and address of the consignor and the name and address of the owner of the herd of origin, if different from the consignor, shall be recorded on forms provided by the department, the original of which shall be transmitted to the department and the copy of which shall be maintained in the establishment's files.</w:t>
      </w:r>
    </w:p>
    <w:p w14:paraId="5395D5F7" w14:textId="77777777" w:rsidR="00BF09F2" w:rsidRPr="001531CD" w:rsidRDefault="00BF09F2" w:rsidP="00BF09F2">
      <w:pPr>
        <w:pStyle w:val="A"/>
      </w:pPr>
      <w:r w:rsidRPr="001531CD">
        <w:t>D.</w:t>
      </w:r>
      <w:r w:rsidRPr="001531CD">
        <w:tab/>
        <w:t>The assigned inspector shall take a blood sample from all cattle received at the establishment.</w:t>
      </w:r>
    </w:p>
    <w:p w14:paraId="363E5054" w14:textId="77777777" w:rsidR="00BF09F2" w:rsidRPr="001531CD" w:rsidRDefault="00BF09F2" w:rsidP="00BF09F2">
      <w:pPr>
        <w:pStyle w:val="A"/>
      </w:pPr>
      <w:r w:rsidRPr="001531CD">
        <w:t>E.</w:t>
      </w:r>
      <w:r w:rsidRPr="001531CD">
        <w:tab/>
        <w:t>The assigned inspector shall be responsible for collection and identification of all blood samples, and for packaging and transmission of blood samples, corresponding backtags and forms to the diagnostic laboratory.</w:t>
      </w:r>
    </w:p>
    <w:p w14:paraId="0F9C7A10" w14:textId="77777777" w:rsidR="00BF09F2" w:rsidRPr="001531CD" w:rsidRDefault="00BF09F2" w:rsidP="00BF09F2">
      <w:pPr>
        <w:pStyle w:val="AuthorityNote"/>
      </w:pPr>
      <w:r w:rsidRPr="001531CD">
        <w:t>AUTHORITY NOTE:</w:t>
      </w:r>
      <w:r w:rsidRPr="001531CD">
        <w:tab/>
        <w:t>Promulgated in accordance with R.S. 3:4232.</w:t>
      </w:r>
    </w:p>
    <w:p w14:paraId="01037F99" w14:textId="77777777" w:rsidR="00BF09F2" w:rsidRPr="001531CD" w:rsidRDefault="00BF09F2" w:rsidP="00BF09F2">
      <w:pPr>
        <w:pStyle w:val="HistoricalNote"/>
      </w:pPr>
      <w:r w:rsidRPr="001531CD">
        <w:rPr>
          <w:szCs w:val="24"/>
        </w:rPr>
        <w:t>HISTORICAL NOTE:</w:t>
      </w:r>
      <w:r w:rsidRPr="001531CD">
        <w:rPr>
          <w:szCs w:val="24"/>
        </w:rPr>
        <w:tab/>
        <w:t xml:space="preserve">Promulgated by the Department of Agriculture, Office of Management and Finance, LR 6:713 (December 1980), </w:t>
      </w:r>
      <w:r w:rsidRPr="001531CD">
        <w:t>amended by the Department of Agriculture and Forestry, Office of the Commissioner, LR 32:1015 (June 2006).</w:t>
      </w:r>
    </w:p>
    <w:p w14:paraId="7E42C481" w14:textId="77777777" w:rsidR="00BF09F2" w:rsidRPr="001531CD" w:rsidRDefault="00BF09F2" w:rsidP="00BF09F2">
      <w:pPr>
        <w:pStyle w:val="Section"/>
      </w:pPr>
      <w:bookmarkStart w:id="2984" w:name="_Toc256755078"/>
      <w:bookmarkStart w:id="2985" w:name="_Toc224819449"/>
      <w:r w:rsidRPr="001531CD">
        <w:lastRenderedPageBreak/>
        <w:t>§125.</w:t>
      </w:r>
      <w:r w:rsidRPr="001531CD">
        <w:tab/>
        <w:t>Overtime and Holiday Inspection Service</w:t>
      </w:r>
      <w:bookmarkEnd w:id="2984"/>
      <w:bookmarkEnd w:id="2985"/>
    </w:p>
    <w:p w14:paraId="62798458" w14:textId="77777777" w:rsidR="00BF09F2" w:rsidRPr="001531CD" w:rsidRDefault="00BF09F2" w:rsidP="003E6772">
      <w:pPr>
        <w:pStyle w:val="A"/>
        <w:spacing w:after="80"/>
      </w:pPr>
      <w:r w:rsidRPr="001531CD">
        <w:t>A.</w:t>
      </w:r>
      <w:r w:rsidRPr="001531CD">
        <w:tab/>
        <w:t>The Department of Agriculture and Forestry shall perform inspection services for official establishments, without charge, up to a 40 hours workweek Monday through Friday.</w:t>
      </w:r>
    </w:p>
    <w:p w14:paraId="6AD71688" w14:textId="77777777" w:rsidR="00BF09F2" w:rsidRPr="001531CD" w:rsidRDefault="00BF09F2" w:rsidP="003E6772">
      <w:pPr>
        <w:pStyle w:val="A"/>
        <w:spacing w:after="80"/>
      </w:pPr>
      <w:r w:rsidRPr="001531CD">
        <w:t>B.</w:t>
      </w:r>
      <w:r w:rsidRPr="001531CD">
        <w:tab/>
        <w:t>The department shall charge to and be reimbursed by official establishments an hourly overtime rate per department employee providing overtime inspection services to the official establishment. The overtime periods and rate per period are as follows:</w:t>
      </w:r>
    </w:p>
    <w:p w14:paraId="58885531" w14:textId="77777777" w:rsidR="00BF09F2" w:rsidRPr="001531CD" w:rsidRDefault="00BF09F2" w:rsidP="003E6772">
      <w:pPr>
        <w:pStyle w:val="1"/>
        <w:spacing w:after="80"/>
      </w:pPr>
      <w:r w:rsidRPr="001531CD">
        <w:t>1.</w:t>
      </w:r>
      <w:r w:rsidRPr="001531CD">
        <w:tab/>
        <w:t>$25 per hour for inspection services provided for more than 40 hours in any workweek Monday through Friday;</w:t>
      </w:r>
    </w:p>
    <w:p w14:paraId="01392753" w14:textId="77777777" w:rsidR="00BF09F2" w:rsidRPr="001531CD" w:rsidRDefault="00BF09F2" w:rsidP="003E6772">
      <w:pPr>
        <w:pStyle w:val="1"/>
        <w:spacing w:after="80"/>
      </w:pPr>
      <w:r w:rsidRPr="001531CD">
        <w:t>2.</w:t>
      </w:r>
      <w:r w:rsidRPr="001531CD">
        <w:tab/>
        <w:t>$30 per hour for inspection services provided on a Saturday or Sunday that is not otherwise a legal holiday established by R.S. 1:55;</w:t>
      </w:r>
    </w:p>
    <w:p w14:paraId="08A64B8F" w14:textId="77777777" w:rsidR="00BF09F2" w:rsidRPr="001531CD" w:rsidRDefault="00BF09F2" w:rsidP="003E6772">
      <w:pPr>
        <w:pStyle w:val="1"/>
        <w:spacing w:after="80"/>
      </w:pPr>
      <w:r w:rsidRPr="001531CD">
        <w:t>3.</w:t>
      </w:r>
      <w:r w:rsidRPr="001531CD">
        <w:tab/>
        <w:t>$35 per hour for inspection services provided on days of public rest and legal holidays, other than Saturdays and Sundays, observed by the departments of the state in accordance with R.S. 1:55;</w:t>
      </w:r>
    </w:p>
    <w:p w14:paraId="6EAD6D76" w14:textId="77777777" w:rsidR="00BF09F2" w:rsidRPr="001531CD" w:rsidRDefault="00BF09F2" w:rsidP="003E6772">
      <w:pPr>
        <w:pStyle w:val="1"/>
        <w:spacing w:after="80"/>
      </w:pPr>
      <w:r w:rsidRPr="001531CD">
        <w:t>4.</w:t>
      </w:r>
      <w:r w:rsidRPr="001531CD">
        <w:tab/>
        <w:t>overtime inspection services shall be billed at a minimum of two hours at the appropriate rate. Time spent providing inspection services in excess of two hours shall be billed in increments of quarter hours, with the time being rounded up to the next quarter hour.</w:t>
      </w:r>
    </w:p>
    <w:p w14:paraId="0E4D3C46" w14:textId="77777777" w:rsidR="00BF09F2" w:rsidRPr="001531CD" w:rsidRDefault="00BF09F2" w:rsidP="003E6772">
      <w:pPr>
        <w:pStyle w:val="A"/>
        <w:spacing w:after="80"/>
      </w:pPr>
      <w:r w:rsidRPr="001531CD">
        <w:t>C.</w:t>
      </w:r>
      <w:r w:rsidRPr="001531CD">
        <w:tab/>
        <w:t>Bills are payable upon receipt and become delinquent 30 days from the date of the bill. Overtime inspections will not be performed for official establishments having a delinquent account.</w:t>
      </w:r>
    </w:p>
    <w:p w14:paraId="440DF09E" w14:textId="77777777" w:rsidR="00BF09F2" w:rsidRPr="001531CD" w:rsidRDefault="00BF09F2" w:rsidP="00BF09F2">
      <w:pPr>
        <w:pStyle w:val="AuthorityNote"/>
      </w:pPr>
      <w:r w:rsidRPr="001531CD">
        <w:t>AUTHORITY NOTE:</w:t>
      </w:r>
      <w:r w:rsidRPr="001531CD">
        <w:tab/>
        <w:t>Promulgated in accordance with R.S. 3:4232.</w:t>
      </w:r>
    </w:p>
    <w:p w14:paraId="65D4B729" w14:textId="77777777" w:rsidR="00CF626A" w:rsidRPr="001531CD" w:rsidRDefault="00BF09F2" w:rsidP="00BF09F2">
      <w:pPr>
        <w:pStyle w:val="HistoricalNote"/>
      </w:pPr>
      <w:r w:rsidRPr="001531CD">
        <w:t>HISTORICAL NOTE:</w:t>
      </w:r>
      <w:r w:rsidRPr="001531CD">
        <w:tab/>
        <w:t>Promulgated by the Department of Agriculture, LR 11:247 (March 1985), amended by the Department of Agriculture and Forestry, Office of the Commissioner, LR 31:1055 (May 2005), LR 32:1015 (June 2006).</w:t>
      </w:r>
    </w:p>
    <w:p w14:paraId="2C8390F6" w14:textId="77777777" w:rsidR="00CF626A" w:rsidRPr="001531CD" w:rsidRDefault="00CF626A">
      <w:pPr>
        <w:pStyle w:val="Section"/>
      </w:pPr>
      <w:bookmarkStart w:id="2986" w:name="_Toc256755079"/>
      <w:bookmarkStart w:id="2987" w:name="_Toc224819450"/>
      <w:r w:rsidRPr="001531CD">
        <w:t>§127.</w:t>
      </w:r>
      <w:r w:rsidRPr="001531CD">
        <w:tab/>
        <w:t>Appeals from Decisions of the Cooperative Federal/State Meat and Poultry Inspection Program</w:t>
      </w:r>
      <w:bookmarkEnd w:id="2986"/>
      <w:bookmarkEnd w:id="2987"/>
    </w:p>
    <w:p w14:paraId="4E5D0AE1" w14:textId="77777777" w:rsidR="00CF626A" w:rsidRPr="001531CD" w:rsidRDefault="00CF626A">
      <w:pPr>
        <w:pStyle w:val="A"/>
      </w:pPr>
      <w:r w:rsidRPr="001531CD">
        <w:t>A.</w:t>
      </w:r>
      <w:r w:rsidRPr="001531CD">
        <w:tab/>
        <w:t>Any person, firm, association or corporation which is subject to any of the inspection procedures and/or requirements contained in the federal meat and poultry inspection regulations, USDA Handbook 191, or these rules and regulations may appeal any decision made thereunder in accordance with the procedures set forth in this rule.</w:t>
      </w:r>
    </w:p>
    <w:p w14:paraId="62772796" w14:textId="77777777" w:rsidR="00CF626A" w:rsidRPr="001531CD" w:rsidRDefault="00CF626A">
      <w:pPr>
        <w:pStyle w:val="A"/>
      </w:pPr>
      <w:r w:rsidRPr="001531CD">
        <w:t>B.</w:t>
      </w:r>
      <w:r w:rsidRPr="001531CD">
        <w:tab/>
        <w:t>If the person, firm, association or corporation disagrees with the methods used by any inspector in the program, such person, firm, association or corporation shall first make his objections known to the inspector.</w:t>
      </w:r>
    </w:p>
    <w:p w14:paraId="10369B22" w14:textId="77777777" w:rsidR="00CF626A" w:rsidRPr="001531CD" w:rsidRDefault="00CF626A">
      <w:pPr>
        <w:pStyle w:val="A"/>
      </w:pPr>
      <w:r w:rsidRPr="001531CD">
        <w:t>C.</w:t>
      </w:r>
      <w:r w:rsidRPr="001531CD">
        <w:tab/>
        <w:t>If the differences cannot be resolved by this informal method, the person, firm, association or corporation objecting shall immediately notify the area supervisor of the objections and the basis therefor.</w:t>
      </w:r>
    </w:p>
    <w:p w14:paraId="19EA2193" w14:textId="77777777" w:rsidR="00CF626A" w:rsidRPr="001531CD" w:rsidRDefault="00CF626A">
      <w:pPr>
        <w:pStyle w:val="A"/>
      </w:pPr>
      <w:r w:rsidRPr="001531CD">
        <w:t>D.</w:t>
      </w:r>
      <w:r w:rsidRPr="001531CD">
        <w:tab/>
        <w:t xml:space="preserve">If the differences cannot be resolved by conference with the area supervisor, the person, firm, association or corporation objecting shall then notify the state office of the meat and poultry inspection program. Such notification may </w:t>
      </w:r>
      <w:r w:rsidRPr="001531CD">
        <w:t>be verbal but shall be confirmed in writing within three days after the verbal notification.</w:t>
      </w:r>
    </w:p>
    <w:p w14:paraId="4616BD0C" w14:textId="77777777" w:rsidR="00CF626A" w:rsidRPr="001531CD" w:rsidRDefault="00CF626A">
      <w:pPr>
        <w:pStyle w:val="A"/>
      </w:pPr>
      <w:r w:rsidRPr="001531CD">
        <w:t>E.</w:t>
      </w:r>
      <w:r w:rsidRPr="001531CD">
        <w:tab/>
        <w:t>If the difference cannot be resolved by this method, the person, firm, association or corporation may petition the commissioner of agriculture, in writing, for a full public hearing on the matter.</w:t>
      </w:r>
    </w:p>
    <w:p w14:paraId="715F5B7C" w14:textId="77777777" w:rsidR="00CF626A" w:rsidRPr="001531CD" w:rsidRDefault="00CF626A">
      <w:pPr>
        <w:pStyle w:val="A"/>
      </w:pPr>
      <w:r w:rsidRPr="001531CD">
        <w:t>F.</w:t>
      </w:r>
      <w:r w:rsidRPr="001531CD">
        <w:tab/>
        <w:t xml:space="preserve">The commissioner of agriculture shall call a public hearing on the matter within 15 days of the date of receipt of such petition, which hearing shall be conducted within </w:t>
      </w:r>
      <w:r w:rsidR="0047656C" w:rsidRPr="001531CD">
        <w:br/>
      </w:r>
      <w:r w:rsidRPr="001531CD">
        <w:t>30 days of the date on which the call is issued.</w:t>
      </w:r>
    </w:p>
    <w:p w14:paraId="724593FD" w14:textId="77777777" w:rsidR="00CF626A" w:rsidRPr="001531CD" w:rsidRDefault="00CF626A">
      <w:pPr>
        <w:pStyle w:val="A"/>
      </w:pPr>
      <w:r w:rsidRPr="001531CD">
        <w:t>G.</w:t>
      </w:r>
      <w:r w:rsidRPr="001531CD">
        <w:tab/>
        <w:t>No permit shall be permanently removed from any establishment without a full hearing on the matter. Whenever, for any reason, the commissioner of agriculture contemplates the permanent withdrawal of a permit for inspection services, he shall call a public hearing on the matter.</w:t>
      </w:r>
    </w:p>
    <w:p w14:paraId="724B3922" w14:textId="77777777" w:rsidR="00CF626A" w:rsidRPr="001531CD" w:rsidRDefault="00CF626A">
      <w:pPr>
        <w:pStyle w:val="A"/>
      </w:pPr>
      <w:r w:rsidRPr="001531CD">
        <w:t>H.</w:t>
      </w:r>
      <w:r w:rsidRPr="001531CD">
        <w:tab/>
        <w:t>Notice shall be given to the affected person, firm, association or corporation, as required by the Administrative Procedure Act, setting forth the following:</w:t>
      </w:r>
    </w:p>
    <w:p w14:paraId="4ADBC0AA" w14:textId="77777777" w:rsidR="00CF626A" w:rsidRPr="001531CD" w:rsidRDefault="00CF626A">
      <w:pPr>
        <w:pStyle w:val="1"/>
      </w:pPr>
      <w:r w:rsidRPr="001531CD">
        <w:t>1.</w:t>
      </w:r>
      <w:r w:rsidRPr="001531CD">
        <w:tab/>
        <w:t>a statement of the time, place and nature of the hearing;</w:t>
      </w:r>
    </w:p>
    <w:p w14:paraId="6B7B2893" w14:textId="77777777" w:rsidR="00CF626A" w:rsidRPr="001531CD" w:rsidRDefault="00CF626A" w:rsidP="003E6772">
      <w:pPr>
        <w:pStyle w:val="1"/>
        <w:spacing w:after="80"/>
      </w:pPr>
      <w:r w:rsidRPr="001531CD">
        <w:t>2.</w:t>
      </w:r>
      <w:r w:rsidRPr="001531CD">
        <w:tab/>
        <w:t>a statement of the legal authority and jurisdiction under which the hearing is to be held;</w:t>
      </w:r>
    </w:p>
    <w:p w14:paraId="6ED0820A" w14:textId="77777777" w:rsidR="00CF626A" w:rsidRPr="001531CD" w:rsidRDefault="00CF626A" w:rsidP="003E6772">
      <w:pPr>
        <w:pStyle w:val="1"/>
        <w:spacing w:after="80"/>
      </w:pPr>
      <w:r w:rsidRPr="001531CD">
        <w:t>3.</w:t>
      </w:r>
      <w:r w:rsidRPr="001531CD">
        <w:tab/>
        <w:t>a reference to the particular Sections of the statutes and rules involved; and</w:t>
      </w:r>
    </w:p>
    <w:p w14:paraId="5019B68A" w14:textId="77777777" w:rsidR="00CF626A" w:rsidRPr="001531CD" w:rsidRDefault="00CF626A" w:rsidP="003E6772">
      <w:pPr>
        <w:pStyle w:val="1"/>
        <w:spacing w:after="80"/>
      </w:pPr>
      <w:r w:rsidRPr="001531CD">
        <w:t>4.</w:t>
      </w:r>
      <w:r w:rsidRPr="001531CD">
        <w:tab/>
        <w:t>a short and plain statement of the matters asserted.</w:t>
      </w:r>
    </w:p>
    <w:p w14:paraId="057C9E2F" w14:textId="77777777" w:rsidR="00CF626A" w:rsidRPr="001531CD" w:rsidRDefault="00CF626A" w:rsidP="003E6772">
      <w:pPr>
        <w:pStyle w:val="A"/>
        <w:spacing w:after="80"/>
      </w:pPr>
      <w:r w:rsidRPr="001531CD">
        <w:t>I.</w:t>
      </w:r>
      <w:r w:rsidRPr="001531CD">
        <w:tab/>
        <w:t>Such notice of public hearing shall be mailed by certified mail, return receipt requested, at least 15 days prior to the date on which the hearing is scheduled to be held.</w:t>
      </w:r>
    </w:p>
    <w:p w14:paraId="18CD2095" w14:textId="77777777" w:rsidR="00CF626A" w:rsidRPr="001531CD" w:rsidRDefault="00CF626A" w:rsidP="003E6772">
      <w:pPr>
        <w:pStyle w:val="A"/>
        <w:spacing w:after="80"/>
      </w:pPr>
      <w:r w:rsidRPr="001531CD">
        <w:t>J.</w:t>
      </w:r>
      <w:r w:rsidRPr="001531CD">
        <w:tab/>
        <w:t>At any hearing called under this rule, the affected party(ies) shall have the right to counsel of his (their) own choosing and shall be afforded the opportunity:</w:t>
      </w:r>
    </w:p>
    <w:p w14:paraId="1067ADC1" w14:textId="77777777" w:rsidR="00CF626A" w:rsidRPr="001531CD" w:rsidRDefault="00CF626A" w:rsidP="003E6772">
      <w:pPr>
        <w:pStyle w:val="1"/>
        <w:spacing w:after="80"/>
      </w:pPr>
      <w:r w:rsidRPr="001531CD">
        <w:t>1.</w:t>
      </w:r>
      <w:r w:rsidRPr="001531CD">
        <w:tab/>
        <w:t>to respond;</w:t>
      </w:r>
    </w:p>
    <w:p w14:paraId="74816C5F" w14:textId="77777777" w:rsidR="00CF626A" w:rsidRPr="001531CD" w:rsidRDefault="00CF626A" w:rsidP="003E6772">
      <w:pPr>
        <w:pStyle w:val="1"/>
        <w:spacing w:after="80"/>
      </w:pPr>
      <w:r w:rsidRPr="001531CD">
        <w:t>2.</w:t>
      </w:r>
      <w:r w:rsidRPr="001531CD">
        <w:tab/>
        <w:t>to present evidence on all issues of fact involved;</w:t>
      </w:r>
    </w:p>
    <w:p w14:paraId="24277F9C" w14:textId="77777777" w:rsidR="00CF626A" w:rsidRPr="001531CD" w:rsidRDefault="00CF626A" w:rsidP="003E6772">
      <w:pPr>
        <w:pStyle w:val="1"/>
        <w:spacing w:after="80"/>
      </w:pPr>
      <w:r w:rsidRPr="001531CD">
        <w:t>3.</w:t>
      </w:r>
      <w:r w:rsidRPr="001531CD">
        <w:tab/>
        <w:t>to present argument on all issues of law and policy involved;</w:t>
      </w:r>
    </w:p>
    <w:p w14:paraId="1A574A55" w14:textId="77777777" w:rsidR="00CF626A" w:rsidRPr="001531CD" w:rsidRDefault="00CF626A" w:rsidP="003E6772">
      <w:pPr>
        <w:pStyle w:val="1"/>
        <w:spacing w:after="80"/>
      </w:pPr>
      <w:r w:rsidRPr="001531CD">
        <w:t>4.</w:t>
      </w:r>
      <w:r w:rsidRPr="001531CD">
        <w:tab/>
        <w:t>to conduct such cross-examination as may be required for a true and full disclosure of the facts; and</w:t>
      </w:r>
    </w:p>
    <w:p w14:paraId="21CB5D5F" w14:textId="77777777" w:rsidR="00CF626A" w:rsidRPr="001531CD" w:rsidRDefault="00CF626A" w:rsidP="003E6772">
      <w:pPr>
        <w:pStyle w:val="1"/>
        <w:spacing w:after="80"/>
      </w:pPr>
      <w:r w:rsidRPr="001531CD">
        <w:t>5.</w:t>
      </w:r>
      <w:r w:rsidRPr="001531CD">
        <w:tab/>
        <w:t>to examine any evidence entered into the record.</w:t>
      </w:r>
    </w:p>
    <w:p w14:paraId="11C9CBB9" w14:textId="77777777" w:rsidR="00CF626A" w:rsidRPr="001531CD" w:rsidRDefault="00CF626A" w:rsidP="003E6772">
      <w:pPr>
        <w:pStyle w:val="A"/>
        <w:spacing w:after="80"/>
      </w:pPr>
      <w:r w:rsidRPr="001531CD">
        <w:t>K.</w:t>
      </w:r>
      <w:r w:rsidRPr="001531CD">
        <w:tab/>
        <w:t>All hearings called under this rule shall be conducted by the commissioner of agriculture or his designated hearing officer.</w:t>
      </w:r>
    </w:p>
    <w:p w14:paraId="05993341" w14:textId="77777777" w:rsidR="00CF626A" w:rsidRPr="001531CD" w:rsidRDefault="00CF626A" w:rsidP="003E6772">
      <w:pPr>
        <w:pStyle w:val="A"/>
        <w:spacing w:after="80"/>
      </w:pPr>
      <w:r w:rsidRPr="001531CD">
        <w:t>L.</w:t>
      </w:r>
      <w:r w:rsidRPr="001531CD">
        <w:tab/>
        <w:t>Any determination made as a result of such hearing shall be rendered in writing and shall be made available to all affected parties.</w:t>
      </w:r>
    </w:p>
    <w:p w14:paraId="614FFD2F" w14:textId="77777777" w:rsidR="00CF626A" w:rsidRPr="001531CD" w:rsidRDefault="00CF626A">
      <w:pPr>
        <w:pStyle w:val="A"/>
      </w:pPr>
      <w:r w:rsidRPr="001531CD">
        <w:t>M.</w:t>
      </w:r>
      <w:r w:rsidRPr="001531CD">
        <w:tab/>
        <w:t>Any determination made at any hearing held in accordance with this rule shall be final and shall be binding upon the party(ies) notified as provided herein, whether or not such party(ies) appear at said hearing.</w:t>
      </w:r>
    </w:p>
    <w:p w14:paraId="54B0D33B" w14:textId="77777777" w:rsidR="00CF626A" w:rsidRPr="001531CD" w:rsidRDefault="00CF626A">
      <w:pPr>
        <w:pStyle w:val="A"/>
      </w:pPr>
      <w:r w:rsidRPr="001531CD">
        <w:t>N.</w:t>
      </w:r>
      <w:r w:rsidRPr="001531CD">
        <w:tab/>
        <w:t xml:space="preserve">Whenever a settlement cannot be reached by the procedures set forth herein, the commissioner of agriculture and/or the affected party(ies) may appeal to a court of competent jurisdiction as provided by law, provided that all </w:t>
      </w:r>
      <w:r w:rsidRPr="001531CD">
        <w:lastRenderedPageBreak/>
        <w:t>such matters shall be lodged in the parish in which the Department of Agriculture is domiciled.</w:t>
      </w:r>
    </w:p>
    <w:p w14:paraId="1EA47280" w14:textId="77777777" w:rsidR="00CF626A" w:rsidRPr="001531CD" w:rsidRDefault="00CF626A">
      <w:pPr>
        <w:pStyle w:val="AuthorityNote"/>
      </w:pPr>
      <w:r w:rsidRPr="001531CD">
        <w:t>AUTHORITY NOTE:</w:t>
      </w:r>
      <w:r w:rsidRPr="001531CD">
        <w:tab/>
        <w:t>Promulgated in accordance with R.S. 40:2276 and R.S. 40:2300.</w:t>
      </w:r>
    </w:p>
    <w:p w14:paraId="25C959D7" w14:textId="77777777" w:rsidR="00CF626A" w:rsidRPr="001531CD" w:rsidRDefault="00CF626A">
      <w:pPr>
        <w:pStyle w:val="HistoricalNote"/>
      </w:pPr>
      <w:r w:rsidRPr="001531CD">
        <w:t>HISTORICAL NOTE:</w:t>
      </w:r>
      <w:r w:rsidRPr="001531CD">
        <w:tab/>
        <w:t>Promulgated by the Department of Agriculture, Office of Management and Finance, LR 6:711 (December 1980).</w:t>
      </w:r>
    </w:p>
    <w:p w14:paraId="38884F91" w14:textId="77777777" w:rsidR="00CF626A" w:rsidRPr="001531CD" w:rsidRDefault="00CF626A">
      <w:pPr>
        <w:pStyle w:val="Section"/>
      </w:pPr>
      <w:bookmarkStart w:id="2988" w:name="_Toc256755080"/>
      <w:bookmarkStart w:id="2989" w:name="_Toc224819451"/>
      <w:r w:rsidRPr="001531CD">
        <w:t>§129.</w:t>
      </w:r>
      <w:r w:rsidRPr="001531CD">
        <w:tab/>
        <w:t>Hearings on Alleged Violations of Law and/or Regulations</w:t>
      </w:r>
      <w:bookmarkEnd w:id="2988"/>
      <w:bookmarkEnd w:id="2989"/>
    </w:p>
    <w:p w14:paraId="60614BEF" w14:textId="77777777" w:rsidR="00CF626A" w:rsidRPr="001531CD" w:rsidRDefault="00CF626A">
      <w:pPr>
        <w:pStyle w:val="A"/>
      </w:pPr>
      <w:r w:rsidRPr="001531CD">
        <w:t>A.</w:t>
      </w:r>
      <w:r w:rsidRPr="001531CD">
        <w:tab/>
        <w:t>Whenever any establishment which is subject to the requirements of the State Meat and Poultry Inspection Act (R.S. 40:2271-R.S. 40:2299), the Federal Meat and Poultry Inspection Regulations, USDA Handbook 191 and/or these rules and regulations appear to be in violation of any provision(s) thereof, the commissioner of agriculture shall convene a public hearing on the matter, which hearing shall be conducted in accordance with §127 hereof.</w:t>
      </w:r>
    </w:p>
    <w:p w14:paraId="0FAAFCFF" w14:textId="77777777" w:rsidR="00CF626A" w:rsidRPr="001531CD" w:rsidRDefault="00CF626A">
      <w:pPr>
        <w:pStyle w:val="AuthorityNote"/>
      </w:pPr>
      <w:r w:rsidRPr="001531CD">
        <w:t>AUTHORITY NOTE:</w:t>
      </w:r>
      <w:r w:rsidRPr="001531CD">
        <w:tab/>
        <w:t>Promulgated in accordance with R.S. 40:2300.</w:t>
      </w:r>
    </w:p>
    <w:p w14:paraId="2DB88F11" w14:textId="77777777" w:rsidR="00CF626A" w:rsidRPr="001531CD" w:rsidRDefault="00CF626A">
      <w:pPr>
        <w:pStyle w:val="HistoricalNote"/>
      </w:pPr>
      <w:r w:rsidRPr="001531CD">
        <w:t>HISTORICAL NOTE:</w:t>
      </w:r>
      <w:r w:rsidRPr="001531CD">
        <w:tab/>
        <w:t>Promulgated by the Department of Agriculture, Office of Management and Finance, LR 6:713 (December 1980).</w:t>
      </w:r>
    </w:p>
    <w:p w14:paraId="1C553D25" w14:textId="77777777" w:rsidR="00CF626A" w:rsidRPr="001531CD" w:rsidRDefault="00CF626A">
      <w:pPr>
        <w:pStyle w:val="Section"/>
      </w:pPr>
      <w:bookmarkStart w:id="2990" w:name="_Toc256755081"/>
      <w:bookmarkStart w:id="2991" w:name="_Toc224819452"/>
      <w:r w:rsidRPr="001531CD">
        <w:t>§131.</w:t>
      </w:r>
      <w:r w:rsidRPr="001531CD">
        <w:tab/>
        <w:t>Taking of Blood Samples</w:t>
      </w:r>
      <w:bookmarkEnd w:id="2990"/>
      <w:bookmarkEnd w:id="2991"/>
    </w:p>
    <w:p w14:paraId="0D17703D" w14:textId="77777777" w:rsidR="00CF626A" w:rsidRPr="001531CD" w:rsidRDefault="00CF626A">
      <w:pPr>
        <w:pStyle w:val="A"/>
      </w:pPr>
      <w:r w:rsidRPr="001531CD">
        <w:t>A.</w:t>
      </w:r>
      <w:r w:rsidRPr="001531CD">
        <w:tab/>
        <w:t>The slaughter establishment under inspection shall be responsible for the identification of animals and the maintenance of records as provided in this rule.</w:t>
      </w:r>
    </w:p>
    <w:p w14:paraId="573985B0" w14:textId="77777777" w:rsidR="00CF626A" w:rsidRPr="001531CD" w:rsidRDefault="00CF626A">
      <w:pPr>
        <w:pStyle w:val="A"/>
      </w:pPr>
      <w:r w:rsidRPr="001531CD">
        <w:t>B.</w:t>
      </w:r>
      <w:r w:rsidRPr="001531CD">
        <w:tab/>
        <w:t>Any cattle that are not officially backtagged upon receipt shall be identified by an official backtag, properly placed.</w:t>
      </w:r>
    </w:p>
    <w:p w14:paraId="54CA8D40" w14:textId="77777777" w:rsidR="00CF626A" w:rsidRPr="001531CD" w:rsidRDefault="00CF626A">
      <w:pPr>
        <w:pStyle w:val="A"/>
      </w:pPr>
      <w:r w:rsidRPr="001531CD">
        <w:t>C.</w:t>
      </w:r>
      <w:r w:rsidRPr="001531CD">
        <w:tab/>
        <w:t>The name and address of the consignor and the name and address of the owner of the herd of origin, if different from the consignor, shall be recorded on forms provided by the Department of Agriculture, the original of which shall be transmitted to the Department of Agriculture and the copy of which shall be maintained in the establishment's files.</w:t>
      </w:r>
    </w:p>
    <w:p w14:paraId="7999A1B2" w14:textId="77777777" w:rsidR="00CF626A" w:rsidRPr="001531CD" w:rsidRDefault="00CF626A">
      <w:pPr>
        <w:pStyle w:val="A"/>
      </w:pPr>
      <w:r w:rsidRPr="001531CD">
        <w:t>D.</w:t>
      </w:r>
      <w:r w:rsidRPr="001531CD">
        <w:tab/>
        <w:t>The assigned inspector shall take a blood sample from all cattle received at the establishment.</w:t>
      </w:r>
    </w:p>
    <w:p w14:paraId="15DD1484" w14:textId="77777777" w:rsidR="00CF626A" w:rsidRPr="001531CD" w:rsidRDefault="00CF626A">
      <w:pPr>
        <w:pStyle w:val="A"/>
      </w:pPr>
      <w:r w:rsidRPr="001531CD">
        <w:t>E.</w:t>
      </w:r>
      <w:r w:rsidRPr="001531CD">
        <w:tab/>
        <w:t>The assigned inspector shall be responsible for collection and identification of all blood samples, and for packaging and transmission of blood samples, corresponding backtags and forms to the diagnostic laboratory.</w:t>
      </w:r>
    </w:p>
    <w:p w14:paraId="5D68C054" w14:textId="77777777" w:rsidR="00CF626A" w:rsidRPr="001531CD" w:rsidRDefault="00CF626A">
      <w:pPr>
        <w:pStyle w:val="A"/>
      </w:pPr>
      <w:r w:rsidRPr="001531CD">
        <w:t>F.</w:t>
      </w:r>
      <w:r w:rsidRPr="001531CD">
        <w:tab/>
        <w:t>Failure to comply with the provisions of this rule shall subject the slaughter establishment to prosecution under the provisions of R.S. 3:2096 and/or R.S. 40:2296.</w:t>
      </w:r>
    </w:p>
    <w:p w14:paraId="16A72F15" w14:textId="77777777" w:rsidR="00CF626A" w:rsidRPr="001531CD" w:rsidRDefault="00CF626A">
      <w:pPr>
        <w:pStyle w:val="AuthorityNote"/>
      </w:pPr>
      <w:r w:rsidRPr="001531CD">
        <w:t>AUTHORITY NOTE:</w:t>
      </w:r>
      <w:r w:rsidRPr="001531CD">
        <w:tab/>
        <w:t>Promulgated in accordance with R.S. 3:2096, R.S. 40:2300 and R. S. 40:2296.</w:t>
      </w:r>
    </w:p>
    <w:p w14:paraId="26C606EE" w14:textId="77777777" w:rsidR="00CF626A" w:rsidRPr="001531CD" w:rsidRDefault="00CF626A">
      <w:pPr>
        <w:pStyle w:val="HistoricalNote"/>
      </w:pPr>
      <w:r w:rsidRPr="001531CD">
        <w:t>HISTORICAL NOTE:</w:t>
      </w:r>
      <w:r w:rsidRPr="001531CD">
        <w:tab/>
        <w:t>Promulgated by the Department of Agriculture, Office of Management and Finance, LR 6:713 (December 1980).</w:t>
      </w:r>
    </w:p>
    <w:p w14:paraId="1604AB2F" w14:textId="77777777" w:rsidR="00CF626A" w:rsidRPr="001531CD" w:rsidRDefault="00CF626A">
      <w:pPr>
        <w:pStyle w:val="Section"/>
      </w:pPr>
      <w:bookmarkStart w:id="2992" w:name="_Toc256755082"/>
      <w:bookmarkStart w:id="2993" w:name="_Toc224819453"/>
      <w:r w:rsidRPr="001531CD">
        <w:t>§133.</w:t>
      </w:r>
      <w:r w:rsidRPr="001531CD">
        <w:tab/>
        <w:t>Overtime and Holiday Inspection Service</w:t>
      </w:r>
      <w:bookmarkEnd w:id="2992"/>
      <w:bookmarkEnd w:id="2993"/>
    </w:p>
    <w:p w14:paraId="4C27F1EE" w14:textId="77777777" w:rsidR="00BF09F2" w:rsidRPr="001531CD" w:rsidRDefault="00BF09F2" w:rsidP="00BF09F2">
      <w:pPr>
        <w:pStyle w:val="A"/>
      </w:pPr>
      <w:r w:rsidRPr="001531CD">
        <w:t>A.</w:t>
      </w:r>
      <w:r w:rsidRPr="001531CD">
        <w:tab/>
        <w:t>The Department of Agriculture and Forestry shall perform inspection services for official establishments, without charge, up to a 40 hours workweek Monday through Friday.</w:t>
      </w:r>
    </w:p>
    <w:p w14:paraId="337918B8" w14:textId="77777777" w:rsidR="00BF09F2" w:rsidRPr="001531CD" w:rsidRDefault="00BF09F2" w:rsidP="00BF09F2">
      <w:pPr>
        <w:pStyle w:val="A"/>
      </w:pPr>
      <w:r w:rsidRPr="001531CD">
        <w:t>B.</w:t>
      </w:r>
      <w:r w:rsidRPr="001531CD">
        <w:tab/>
        <w:t>The department shall charge to and be reimbursed by official establishments an hourly overtime rate per department employee providing overtime inspection services to the official establishment. The overtime periods and rate per period are as follows:</w:t>
      </w:r>
    </w:p>
    <w:p w14:paraId="47B61BD7" w14:textId="77777777" w:rsidR="00BF09F2" w:rsidRPr="001531CD" w:rsidRDefault="00BF09F2" w:rsidP="00BF09F2">
      <w:pPr>
        <w:pStyle w:val="1"/>
      </w:pPr>
      <w:r w:rsidRPr="001531CD">
        <w:t>1.</w:t>
      </w:r>
      <w:r w:rsidRPr="001531CD">
        <w:tab/>
        <w:t>$25 per hour for inspection services provided for more than 40 hours in any workweek Monday through Friday;</w:t>
      </w:r>
    </w:p>
    <w:p w14:paraId="3056EE82" w14:textId="77777777" w:rsidR="00BF09F2" w:rsidRPr="001531CD" w:rsidRDefault="00BF09F2" w:rsidP="00BF09F2">
      <w:pPr>
        <w:pStyle w:val="1"/>
      </w:pPr>
      <w:r w:rsidRPr="001531CD">
        <w:t>2.</w:t>
      </w:r>
      <w:r w:rsidRPr="001531CD">
        <w:tab/>
        <w:t>$30 per hour for inspection services provided on any Saturday or Sunday that is not otherwise a legal holiday established by R.S. 1:55;</w:t>
      </w:r>
    </w:p>
    <w:p w14:paraId="1208BE2E" w14:textId="77777777" w:rsidR="00BF09F2" w:rsidRPr="001531CD" w:rsidRDefault="00BF09F2" w:rsidP="00BF09F2">
      <w:pPr>
        <w:pStyle w:val="1"/>
      </w:pPr>
      <w:r w:rsidRPr="001531CD">
        <w:t>3.</w:t>
      </w:r>
      <w:r w:rsidRPr="001531CD">
        <w:tab/>
        <w:t>$35 per hour for inspection services provided on days of public rest and legal holidays, other than Saturdays and Sundays, observed by the departments of the state in accordance with R.S. 1:55;</w:t>
      </w:r>
    </w:p>
    <w:p w14:paraId="7474B317" w14:textId="77777777" w:rsidR="00BF09F2" w:rsidRPr="001531CD" w:rsidRDefault="00BF09F2" w:rsidP="00BF09F2">
      <w:pPr>
        <w:pStyle w:val="1"/>
      </w:pPr>
      <w:r w:rsidRPr="001531CD">
        <w:t>4.</w:t>
      </w:r>
      <w:r w:rsidRPr="001531CD">
        <w:tab/>
        <w:t>overtime inspection services shall be billed at a minimum of two hours at the appropriate rate. Time spent providing inspection services in excess of two hours shall be billed in increments of quarter hours, with the time being rounded up to the next quarter hour.</w:t>
      </w:r>
    </w:p>
    <w:p w14:paraId="3C076507" w14:textId="77777777" w:rsidR="00BF09F2" w:rsidRPr="001531CD" w:rsidRDefault="00BF09F2" w:rsidP="00BF09F2">
      <w:pPr>
        <w:pStyle w:val="A"/>
      </w:pPr>
      <w:r w:rsidRPr="001531CD">
        <w:t>C.</w:t>
      </w:r>
      <w:r w:rsidRPr="001531CD">
        <w:tab/>
        <w:t>Bills are payable upon receipt and become delinquent 30 days from the date of the bill. Overtime inspections will not be performed for official establishments having a delinquent account.</w:t>
      </w:r>
    </w:p>
    <w:p w14:paraId="02BB9823" w14:textId="77777777" w:rsidR="00BF09F2" w:rsidRPr="001531CD" w:rsidRDefault="00BF09F2" w:rsidP="00BF09F2">
      <w:pPr>
        <w:pStyle w:val="AuthorityNote"/>
      </w:pPr>
      <w:r w:rsidRPr="001531CD">
        <w:t>AUTHORITY NOTE:</w:t>
      </w:r>
      <w:r w:rsidRPr="001531CD">
        <w:tab/>
        <w:t>Promulgated in accordance with R.S. 3:4232.</w:t>
      </w:r>
    </w:p>
    <w:p w14:paraId="71C81AFA" w14:textId="77777777" w:rsidR="00CF626A" w:rsidRPr="001531CD" w:rsidRDefault="00BF09F2" w:rsidP="00BF09F2">
      <w:pPr>
        <w:pStyle w:val="HistoricalNote"/>
      </w:pPr>
      <w:r w:rsidRPr="001531CD">
        <w:t>HISTORICAL NOTE:</w:t>
      </w:r>
      <w:r w:rsidRPr="001531CD">
        <w:tab/>
        <w:t>Promulgated by the Department of Agriculture, LR 11:247 (March 1985), amended by the Department of Agriculture and Forestry, Office of the Commissioner, LR 31:1055 (May 2005).</w:t>
      </w:r>
    </w:p>
    <w:p w14:paraId="24BFE5BB" w14:textId="77777777" w:rsidR="00CF626A" w:rsidRPr="001531CD" w:rsidRDefault="00CF626A" w:rsidP="003E6772">
      <w:pPr>
        <w:pStyle w:val="Section"/>
        <w:spacing w:after="80"/>
      </w:pPr>
      <w:bookmarkStart w:id="2994" w:name="_Toc256755083"/>
      <w:bookmarkStart w:id="2995" w:name="_Toc224819454"/>
      <w:r w:rsidRPr="001531CD">
        <w:t>§135.</w:t>
      </w:r>
      <w:r w:rsidRPr="001531CD">
        <w:tab/>
        <w:t>Meat, Poultry and Seafood Fee</w:t>
      </w:r>
      <w:bookmarkEnd w:id="2994"/>
      <w:bookmarkEnd w:id="2995"/>
    </w:p>
    <w:p w14:paraId="70DCF98B" w14:textId="77777777" w:rsidR="00CF626A" w:rsidRPr="001531CD" w:rsidRDefault="00CF626A" w:rsidP="003E6772">
      <w:pPr>
        <w:pStyle w:val="A"/>
        <w:spacing w:after="80"/>
      </w:pPr>
      <w:r w:rsidRPr="001531CD">
        <w:t>A.</w:t>
      </w:r>
      <w:r w:rsidRPr="001531CD">
        <w:tab/>
        <w:t>There is hereby established and henceforth there shall be a monthly fee to be paid by retailers, as defined in R.S. 47:301, for red meat, poultry and seafood. The fee shall be an amount equal to 0.87 percent of the wholesale value of all sales of red meat, poultry and seafood sold in Louisiana. The fee shall be known as the meat, poultry and seafood fee. The department may adopt and publish guidelines which facilitate calculation and collection of this fee.</w:t>
      </w:r>
    </w:p>
    <w:p w14:paraId="685E35B1" w14:textId="77777777" w:rsidR="00CF626A" w:rsidRPr="001531CD" w:rsidRDefault="00CF626A" w:rsidP="003E6772">
      <w:pPr>
        <w:pStyle w:val="A"/>
        <w:spacing w:after="80"/>
      </w:pPr>
      <w:r w:rsidRPr="001531CD">
        <w:t>B.</w:t>
      </w:r>
      <w:r w:rsidRPr="001531CD">
        <w:tab/>
        <w:t>For purposes of administration and convenience, the meat, poultry and seafood fee shall be paid by retailers at the same time and in the same manner as retail sales taxes are remitted. The meat, poultry and seafood fee shall be forwarded by the retailer to the Department of Revenue and Taxation. The meat, poultry and seafood fee shall be delinquent if not paid by the due date provided in law for the remittance of Louisiana Retail Sales Tax.</w:t>
      </w:r>
    </w:p>
    <w:p w14:paraId="013EAC3C" w14:textId="77777777" w:rsidR="00CF626A" w:rsidRPr="001531CD" w:rsidRDefault="00CF626A">
      <w:pPr>
        <w:pStyle w:val="A"/>
        <w:tabs>
          <w:tab w:val="clear" w:pos="540"/>
          <w:tab w:val="left" w:pos="720"/>
        </w:tabs>
      </w:pPr>
      <w:r w:rsidRPr="001531CD">
        <w:t>C.1.</w:t>
      </w:r>
      <w:r w:rsidRPr="001531CD">
        <w:tab/>
        <w:t>Any retailer failing to pay the meat, poultry and seafood fee established herein shall be subject to a reasonable civil fine of not more than $50, which fine may be levied by the Department of Agriculture and Forestry upon a finding of intentional delinquency of all or a part of any fees due after the conduct of an adjudicatory hearing in accordance with the Louisiana Administrative Procedure Act. Each day of delinquency shall be considered a separate offense and violation.</w:t>
      </w:r>
    </w:p>
    <w:p w14:paraId="5C62209C" w14:textId="77777777" w:rsidR="00CF626A" w:rsidRPr="001531CD" w:rsidRDefault="00CF626A">
      <w:pPr>
        <w:pStyle w:val="1"/>
      </w:pPr>
      <w:r w:rsidRPr="001531CD">
        <w:lastRenderedPageBreak/>
        <w:t>2.</w:t>
      </w:r>
      <w:r w:rsidRPr="001531CD">
        <w:tab/>
        <w:t>In any such adjudicatory hearing pertaining to delinquency, the establishment by competent evidence that the respondent is a retailer of meat, poultry, or seafood products and that the fee has not been paid by the due date or that said fees received are less than the amount due based on respondent's purchases of meat, poultry or seafood, shall constitute a "prima facie" case of delinquency and burden of proof shall, thereafter, shift to the respondent.</w:t>
      </w:r>
    </w:p>
    <w:p w14:paraId="3B89DDF6" w14:textId="77777777" w:rsidR="00CF626A" w:rsidRPr="001531CD" w:rsidRDefault="00CF626A">
      <w:pPr>
        <w:pStyle w:val="A"/>
      </w:pPr>
      <w:r w:rsidRPr="001531CD">
        <w:t>D.</w:t>
      </w:r>
      <w:r w:rsidRPr="001531CD">
        <w:tab/>
        <w:t xml:space="preserve">Any authorized representative of the Department of Agriculture and Forestry or the Department of Revenue and Taxation shall have access to, and may enter at all reasonable hours, all places of business operated by retailers where meat, poultry or seafood are purchased, stored, processed, manufactured, or sold, or where the retailer maintains books, papers, accounts, records, or other documents related to such activities. The Department of Agriculture and Forestry may subpoena, and any authorized representative of the Departments of Agriculture and Forestry or Revenue and Taxation may inspect, copy, and/or audit any of such books, papers, records, accounts or documents, all for the purpose of determining whether the retailer is complying with the provisions of this regulation. The authority granted hereinabove shall also extend to books, papers, records, accounts, or other documents of persons doing business with retailers. Any information gained through utilization of the authority granted hereinabove in this Section shall be treated as confidential and shall be used only for the administration of this regulation; provided, that such information may be divulged by a person when called upon to testify in any adjudicatory proceeding or in any court proceeding, and provided further, that nothing contained in this regulation shall prevent the use of any information procured by the department or the commissioner in the compiling and dissemination of general statistical data, containing information procured from a number of retailers and compiled </w:t>
      </w:r>
      <w:r w:rsidRPr="001531CD">
        <w:t>in such a manner as not to reveal individual information of any retailer.</w:t>
      </w:r>
    </w:p>
    <w:p w14:paraId="3314EAC7" w14:textId="77777777" w:rsidR="00CF626A" w:rsidRPr="001531CD" w:rsidRDefault="00CF626A">
      <w:pPr>
        <w:pStyle w:val="A"/>
      </w:pPr>
      <w:r w:rsidRPr="001531CD">
        <w:t>E.</w:t>
      </w:r>
      <w:r w:rsidRPr="001531CD">
        <w:tab/>
        <w:t>This regulation shall expire 12 years from the date of adoption. The fees shall only be used to pay for all direct and indirect costs of the federal/state cooperative meat and poultry inspection program, meat, poultry and seafood grading and certification activities, animal disease prevention activities of the Livestock Sanitary Board, animal theft prevention of the Livestock Brand Commission, poultry related activities of the Poultry and Egg Division and for audit functions required by the aforementioned programs and are anticipated to generate $6,090,000 annually in revenues. The kinds and anticipated amounts of costs, which will be offset by this fee, include, but are not limited to: Personal Services―$3,757,266; Travel―$69,064; Operating Expenses―$620,122; Professional Services―$7,590; Other Charges―$612.665; Capital Outlays―$20,580; Indirect Costs―$1,017,457. The Department of Agriculture and Forestry shall suspend collections upon a finding by the Department of Agriculture and Forestry that collections will exceed the cost of the program. The commissioner of the Department of Agriculture and Forestry hereby certifies that written approval to adopt this regulation was received on July 1, 1988 from the commissioner of administration.</w:t>
      </w:r>
    </w:p>
    <w:p w14:paraId="447FA7EA" w14:textId="77777777" w:rsidR="00CF626A" w:rsidRPr="001531CD" w:rsidRDefault="00CF626A">
      <w:pPr>
        <w:pStyle w:val="A"/>
      </w:pPr>
      <w:r w:rsidRPr="001531CD">
        <w:t>F.</w:t>
      </w:r>
      <w:r w:rsidRPr="001531CD">
        <w:tab/>
        <w:t>If any part of the regulation is determined to be invalid for any reason whatsoever then, in that event, the validity of the remainder of said regulation shall nevertheless not be adversely affected thereby. This rule and the repeal of the existing Emergency Rule is effective July 10, 1988.</w:t>
      </w:r>
    </w:p>
    <w:p w14:paraId="70598AC1" w14:textId="77777777" w:rsidR="00CF626A" w:rsidRPr="001531CD" w:rsidRDefault="00CF626A">
      <w:pPr>
        <w:pStyle w:val="AuthorityNote"/>
      </w:pPr>
      <w:r w:rsidRPr="001531CD">
        <w:t>AUTHORITY NOTE:</w:t>
      </w:r>
      <w:r w:rsidRPr="001531CD">
        <w:tab/>
        <w:t>Promulgated in accordance with R.S. 47:301.</w:t>
      </w:r>
    </w:p>
    <w:p w14:paraId="362D0AA5" w14:textId="77777777" w:rsidR="00CF626A" w:rsidRPr="001531CD" w:rsidRDefault="00CF626A">
      <w:pPr>
        <w:pStyle w:val="HistoricalNote"/>
      </w:pPr>
      <w:r w:rsidRPr="001531CD">
        <w:t>HISTORICAL NOTE:</w:t>
      </w:r>
      <w:r w:rsidRPr="001531CD">
        <w:tab/>
        <w:t>Promulgated by the Department of Agriculture and Forestry, Office of Management and Finance, LR 15:79 (February 1989).</w:t>
      </w:r>
    </w:p>
    <w:p w14:paraId="78FE3195" w14:textId="77777777" w:rsidR="00CF626A" w:rsidRPr="001531CD" w:rsidRDefault="00CF626A">
      <w:pPr>
        <w:pStyle w:val="HistoricalNote"/>
        <w:sectPr w:rsidR="00CF626A" w:rsidRPr="001531CD" w:rsidSect="00167E2E">
          <w:headerReference w:type="even" r:id="rId73"/>
          <w:headerReference w:type="default" r:id="rId74"/>
          <w:type w:val="continuous"/>
          <w:pgSz w:w="12240" w:h="15840" w:code="1"/>
          <w:pgMar w:top="1080" w:right="864" w:bottom="864" w:left="864" w:header="576" w:footer="432" w:gutter="0"/>
          <w:cols w:num="2" w:space="720"/>
        </w:sectPr>
      </w:pPr>
    </w:p>
    <w:p w14:paraId="4AC11292" w14:textId="77777777" w:rsidR="00C034AD" w:rsidRPr="001531CD" w:rsidRDefault="00C034AD">
      <w:pPr>
        <w:pStyle w:val="Section"/>
      </w:pPr>
      <w:bookmarkStart w:id="2996" w:name="_Toc256755084"/>
    </w:p>
    <w:p w14:paraId="6BF2452D" w14:textId="77777777" w:rsidR="00CF626A" w:rsidRPr="001531CD" w:rsidRDefault="00CF626A">
      <w:pPr>
        <w:pStyle w:val="Section"/>
      </w:pPr>
      <w:bookmarkStart w:id="2997" w:name="_Toc224819455"/>
      <w:r w:rsidRPr="001531CD">
        <w:t>§137.</w:t>
      </w:r>
      <w:r w:rsidRPr="001531CD">
        <w:tab/>
        <w:t>Practical Meat Cutting and Merchandising―Volume 1</w:t>
      </w:r>
      <w:bookmarkEnd w:id="2996"/>
      <w:bookmarkEnd w:id="2997"/>
    </w:p>
    <w:p w14:paraId="4854BCE5" w14:textId="77777777" w:rsidR="00CF626A" w:rsidRPr="001531CD" w:rsidRDefault="00CF626A">
      <w:pPr>
        <w:pStyle w:val="A"/>
        <w:tabs>
          <w:tab w:val="clear" w:pos="540"/>
          <w:tab w:val="left" w:pos="600"/>
        </w:tabs>
      </w:pPr>
      <w:r w:rsidRPr="001531CD">
        <w:t>A.</w:t>
      </w:r>
      <w:r w:rsidRPr="001531CD">
        <w:tab/>
        <w:t>Beef</w:t>
      </w:r>
    </w:p>
    <w:p w14:paraId="75DF663E" w14:textId="77777777" w:rsidR="00CF626A" w:rsidRPr="001531CD" w:rsidRDefault="00CF626A">
      <w:pPr>
        <w:pStyle w:val="A"/>
        <w:tabs>
          <w:tab w:val="clear" w:pos="540"/>
          <w:tab w:val="left" w:pos="600"/>
        </w:tabs>
      </w:pPr>
    </w:p>
    <w:p w14:paraId="16625C8D" w14:textId="77777777" w:rsidR="00CF626A" w:rsidRPr="001531CD" w:rsidRDefault="00CF626A">
      <w:pPr>
        <w:pStyle w:val="A"/>
        <w:tabs>
          <w:tab w:val="clear" w:pos="540"/>
          <w:tab w:val="left" w:pos="600"/>
        </w:tabs>
      </w:pPr>
    </w:p>
    <w:p w14:paraId="568542CC" w14:textId="77777777" w:rsidR="00CF626A" w:rsidRPr="001531CD" w:rsidRDefault="00CF626A" w:rsidP="00F0386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rPr>
          <w:b/>
          <w:bCs/>
          <w:kern w:val="2"/>
        </w:rPr>
      </w:pPr>
      <w:r w:rsidRPr="001531CD">
        <w:rPr>
          <w:b/>
          <w:bCs/>
          <w:kern w:val="2"/>
        </w:rPr>
        <w:t>Location of Primal and Subprimal Beef Cuts</w:t>
      </w:r>
    </w:p>
    <w:p w14:paraId="51606114" w14:textId="77777777" w:rsidR="00CF626A" w:rsidRPr="001531CD" w:rsidRDefault="001778C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r w:rsidRPr="001531CD">
        <w:rPr>
          <w:noProof/>
          <w:sz w:val="20"/>
        </w:rPr>
        <w:drawing>
          <wp:anchor distT="0" distB="0" distL="114300" distR="114300" simplePos="0" relativeHeight="251654656" behindDoc="0" locked="0" layoutInCell="1" allowOverlap="1" wp14:anchorId="3F9822F7" wp14:editId="77CC8132">
            <wp:simplePos x="0" y="0"/>
            <wp:positionH relativeFrom="column">
              <wp:posOffset>1447800</wp:posOffset>
            </wp:positionH>
            <wp:positionV relativeFrom="paragraph">
              <wp:posOffset>193675</wp:posOffset>
            </wp:positionV>
            <wp:extent cx="3657600" cy="1485900"/>
            <wp:effectExtent l="0" t="0" r="0" b="0"/>
            <wp:wrapNone/>
            <wp:docPr id="1" name="Picture 2" descr="Black and white illustration indicating location of primal and subprimal beef cuts divided out into 9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l="-368" t="-452" r="-368" b="-452"/>
                    <a:stretch>
                      <a:fillRect/>
                    </a:stretch>
                  </pic:blipFill>
                  <pic:spPr bwMode="auto">
                    <a:xfrm>
                      <a:off x="0" y="0"/>
                      <a:ext cx="3657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155A"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35351CC6"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519DB42A"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2A15A01A"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1AABCE0E"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4C0CA2F0"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14:paraId="1BD39F57"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rPr>
      </w:pPr>
    </w:p>
    <w:p w14:paraId="20949164"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rPr>
      </w:pPr>
    </w:p>
    <w:tbl>
      <w:tblPr>
        <w:tblW w:w="606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80"/>
        <w:gridCol w:w="3186"/>
      </w:tblGrid>
      <w:tr w:rsidR="00CF626A" w:rsidRPr="001531CD" w14:paraId="044F82DA" w14:textId="77777777" w:rsidTr="00167E2E">
        <w:trPr>
          <w:cantSplit/>
          <w:tblHeader/>
          <w:jc w:val="center"/>
        </w:trPr>
        <w:tc>
          <w:tcPr>
            <w:tcW w:w="2880" w:type="dxa"/>
            <w:tcBorders>
              <w:top w:val="double" w:sz="6" w:space="0" w:color="auto"/>
              <w:bottom w:val="single" w:sz="6" w:space="0" w:color="auto"/>
            </w:tcBorders>
            <w:shd w:val="clear" w:color="auto" w:fill="BFBFBF"/>
          </w:tcPr>
          <w:p w14:paraId="7E9A796C"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lastRenderedPageBreak/>
              <w:t>Primal and Subprimal Cuts</w:t>
            </w:r>
          </w:p>
        </w:tc>
        <w:tc>
          <w:tcPr>
            <w:tcW w:w="3186" w:type="dxa"/>
            <w:tcBorders>
              <w:top w:val="double" w:sz="6" w:space="0" w:color="auto"/>
              <w:bottom w:val="single" w:sz="6" w:space="0" w:color="auto"/>
            </w:tcBorders>
            <w:shd w:val="clear" w:color="auto" w:fill="BFBFBF"/>
          </w:tcPr>
          <w:p w14:paraId="07312B1C"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Combination Cuts</w:t>
            </w:r>
          </w:p>
        </w:tc>
      </w:tr>
      <w:tr w:rsidR="00CF626A" w:rsidRPr="001531CD" w14:paraId="5906FE0D" w14:textId="77777777" w:rsidTr="00167E2E">
        <w:trPr>
          <w:cantSplit/>
          <w:jc w:val="center"/>
        </w:trPr>
        <w:tc>
          <w:tcPr>
            <w:tcW w:w="2880" w:type="dxa"/>
            <w:tcBorders>
              <w:top w:val="single" w:sz="6" w:space="0" w:color="auto"/>
            </w:tcBorders>
          </w:tcPr>
          <w:p w14:paraId="795BA914"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1.</w:t>
            </w:r>
            <w:r w:rsidRPr="001531CD">
              <w:rPr>
                <w:kern w:val="2"/>
                <w:sz w:val="16"/>
              </w:rPr>
              <w:tab/>
              <w:t>Round</w:t>
            </w:r>
          </w:p>
        </w:tc>
        <w:tc>
          <w:tcPr>
            <w:tcW w:w="3186" w:type="dxa"/>
            <w:tcBorders>
              <w:top w:val="single" w:sz="6" w:space="0" w:color="auto"/>
            </w:tcBorders>
          </w:tcPr>
          <w:p w14:paraId="4C7253D5" w14:textId="77777777" w:rsidR="00CF626A" w:rsidRPr="001531CD" w:rsidRDefault="00167E2E"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Hindquarter:  1 + </w:t>
            </w:r>
            <w:r w:rsidR="00CF626A" w:rsidRPr="001531CD">
              <w:rPr>
                <w:kern w:val="2"/>
                <w:sz w:val="16"/>
              </w:rPr>
              <w:t>2 + 3 + 4</w:t>
            </w:r>
          </w:p>
        </w:tc>
      </w:tr>
      <w:tr w:rsidR="00CF626A" w:rsidRPr="001531CD" w14:paraId="5EF62907" w14:textId="77777777" w:rsidTr="00167E2E">
        <w:trPr>
          <w:cantSplit/>
          <w:jc w:val="center"/>
        </w:trPr>
        <w:tc>
          <w:tcPr>
            <w:tcW w:w="2880" w:type="dxa"/>
          </w:tcPr>
          <w:p w14:paraId="7C4D133C"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2.</w:t>
            </w:r>
            <w:r w:rsidRPr="001531CD">
              <w:rPr>
                <w:kern w:val="2"/>
                <w:sz w:val="16"/>
              </w:rPr>
              <w:tab/>
              <w:t>Short hip</w:t>
            </w:r>
          </w:p>
        </w:tc>
        <w:tc>
          <w:tcPr>
            <w:tcW w:w="3186" w:type="dxa"/>
          </w:tcPr>
          <w:p w14:paraId="33E7CED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Sirlion round:  1 + 2</w:t>
            </w:r>
          </w:p>
        </w:tc>
      </w:tr>
      <w:tr w:rsidR="00CF626A" w:rsidRPr="001531CD" w14:paraId="471C8EAE" w14:textId="77777777" w:rsidTr="00167E2E">
        <w:trPr>
          <w:cantSplit/>
          <w:jc w:val="center"/>
        </w:trPr>
        <w:tc>
          <w:tcPr>
            <w:tcW w:w="2880" w:type="dxa"/>
          </w:tcPr>
          <w:p w14:paraId="2490CA1C"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3.</w:t>
            </w:r>
            <w:r w:rsidRPr="001531CD">
              <w:rPr>
                <w:kern w:val="2"/>
                <w:sz w:val="16"/>
              </w:rPr>
              <w:tab/>
              <w:t>Short loin</w:t>
            </w:r>
          </w:p>
        </w:tc>
        <w:tc>
          <w:tcPr>
            <w:tcW w:w="3186" w:type="dxa"/>
          </w:tcPr>
          <w:p w14:paraId="61A66278"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Loin:  2 + 3</w:t>
            </w:r>
          </w:p>
        </w:tc>
      </w:tr>
      <w:tr w:rsidR="00CF626A" w:rsidRPr="001531CD" w14:paraId="5C95C552" w14:textId="77777777" w:rsidTr="00167E2E">
        <w:trPr>
          <w:cantSplit/>
          <w:jc w:val="center"/>
        </w:trPr>
        <w:tc>
          <w:tcPr>
            <w:tcW w:w="2880" w:type="dxa"/>
          </w:tcPr>
          <w:p w14:paraId="2D9A711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4.</w:t>
            </w:r>
            <w:r w:rsidRPr="001531CD">
              <w:rPr>
                <w:kern w:val="2"/>
                <w:sz w:val="16"/>
              </w:rPr>
              <w:tab/>
              <w:t>Flank</w:t>
            </w:r>
          </w:p>
        </w:tc>
        <w:tc>
          <w:tcPr>
            <w:tcW w:w="3186" w:type="dxa"/>
          </w:tcPr>
          <w:p w14:paraId="18F07A6F"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Forequarter:  5 + 6 + 7 + 8 + 9</w:t>
            </w:r>
          </w:p>
        </w:tc>
      </w:tr>
      <w:tr w:rsidR="00CF626A" w:rsidRPr="001531CD" w14:paraId="0D9C1A93" w14:textId="77777777" w:rsidTr="00167E2E">
        <w:trPr>
          <w:cantSplit/>
          <w:jc w:val="center"/>
        </w:trPr>
        <w:tc>
          <w:tcPr>
            <w:tcW w:w="2880" w:type="dxa"/>
          </w:tcPr>
          <w:p w14:paraId="78BFC23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5.</w:t>
            </w:r>
            <w:r w:rsidRPr="001531CD">
              <w:rPr>
                <w:kern w:val="2"/>
                <w:sz w:val="16"/>
              </w:rPr>
              <w:tab/>
              <w:t>Rib</w:t>
            </w:r>
          </w:p>
        </w:tc>
        <w:tc>
          <w:tcPr>
            <w:tcW w:w="3186" w:type="dxa"/>
          </w:tcPr>
          <w:p w14:paraId="6F899EC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Wing:  5 + 6</w:t>
            </w:r>
          </w:p>
        </w:tc>
      </w:tr>
      <w:tr w:rsidR="00CF626A" w:rsidRPr="001531CD" w14:paraId="37CA7237" w14:textId="77777777" w:rsidTr="00167E2E">
        <w:trPr>
          <w:cantSplit/>
          <w:jc w:val="center"/>
        </w:trPr>
        <w:tc>
          <w:tcPr>
            <w:tcW w:w="2880" w:type="dxa"/>
          </w:tcPr>
          <w:p w14:paraId="38B41F64"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6.</w:t>
            </w:r>
            <w:r w:rsidRPr="001531CD">
              <w:rPr>
                <w:kern w:val="2"/>
                <w:sz w:val="16"/>
              </w:rPr>
              <w:tab/>
              <w:t>Short plate</w:t>
            </w:r>
          </w:p>
        </w:tc>
        <w:tc>
          <w:tcPr>
            <w:tcW w:w="3186" w:type="dxa"/>
          </w:tcPr>
          <w:p w14:paraId="71251CB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Full plate: 6 + 7</w:t>
            </w:r>
          </w:p>
        </w:tc>
      </w:tr>
      <w:tr w:rsidR="00CF626A" w:rsidRPr="001531CD" w14:paraId="556C1C09" w14:textId="77777777" w:rsidTr="00167E2E">
        <w:trPr>
          <w:cantSplit/>
          <w:jc w:val="center"/>
        </w:trPr>
        <w:tc>
          <w:tcPr>
            <w:tcW w:w="2880" w:type="dxa"/>
          </w:tcPr>
          <w:p w14:paraId="6C8C7F92"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7.</w:t>
            </w:r>
            <w:r w:rsidRPr="001531CD">
              <w:rPr>
                <w:kern w:val="2"/>
                <w:sz w:val="16"/>
              </w:rPr>
              <w:tab/>
              <w:t>Brisket</w:t>
            </w:r>
          </w:p>
        </w:tc>
        <w:tc>
          <w:tcPr>
            <w:tcW w:w="3186" w:type="dxa"/>
          </w:tcPr>
          <w:p w14:paraId="6506EAD7"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Armbone chuck:  8 + 9</w:t>
            </w:r>
          </w:p>
        </w:tc>
      </w:tr>
      <w:tr w:rsidR="00CF626A" w:rsidRPr="001531CD" w14:paraId="1D86853A" w14:textId="77777777" w:rsidTr="00167E2E">
        <w:trPr>
          <w:cantSplit/>
          <w:jc w:val="center"/>
        </w:trPr>
        <w:tc>
          <w:tcPr>
            <w:tcW w:w="2880" w:type="dxa"/>
          </w:tcPr>
          <w:p w14:paraId="2F7C6E9F"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8.</w:t>
            </w:r>
            <w:r w:rsidRPr="001531CD">
              <w:rPr>
                <w:kern w:val="2"/>
                <w:sz w:val="16"/>
              </w:rPr>
              <w:tab/>
              <w:t>Square cut chuck</w:t>
            </w:r>
          </w:p>
        </w:tc>
        <w:tc>
          <w:tcPr>
            <w:tcW w:w="3186" w:type="dxa"/>
          </w:tcPr>
          <w:p w14:paraId="53AC8C13"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Cross-cut chuck:  7 + 8 + 9</w:t>
            </w:r>
          </w:p>
        </w:tc>
      </w:tr>
      <w:tr w:rsidR="00CF626A" w:rsidRPr="001531CD" w14:paraId="7510AB8F" w14:textId="77777777" w:rsidTr="00167E2E">
        <w:trPr>
          <w:cantSplit/>
          <w:jc w:val="center"/>
        </w:trPr>
        <w:tc>
          <w:tcPr>
            <w:tcW w:w="2880" w:type="dxa"/>
          </w:tcPr>
          <w:p w14:paraId="4CB1D11F"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9.</w:t>
            </w:r>
            <w:r w:rsidRPr="001531CD">
              <w:rPr>
                <w:kern w:val="2"/>
                <w:sz w:val="16"/>
              </w:rPr>
              <w:tab/>
              <w:t>Foreshank</w:t>
            </w:r>
          </w:p>
        </w:tc>
        <w:tc>
          <w:tcPr>
            <w:tcW w:w="3186" w:type="dxa"/>
          </w:tcPr>
          <w:p w14:paraId="5CB05DF0" w14:textId="77777777"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Triangle:  6 + 7 + 8 + 9</w:t>
            </w:r>
          </w:p>
        </w:tc>
      </w:tr>
      <w:tr w:rsidR="00CF626A" w:rsidRPr="001531CD" w14:paraId="635C052F" w14:textId="77777777" w:rsidTr="00167E2E">
        <w:trPr>
          <w:cantSplit/>
          <w:jc w:val="center"/>
        </w:trPr>
        <w:tc>
          <w:tcPr>
            <w:tcW w:w="2880" w:type="dxa"/>
          </w:tcPr>
          <w:p w14:paraId="1B9271F5" w14:textId="77777777" w:rsidR="00CF626A" w:rsidRPr="001531CD" w:rsidRDefault="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  </w:t>
            </w:r>
          </w:p>
        </w:tc>
        <w:tc>
          <w:tcPr>
            <w:tcW w:w="3186" w:type="dxa"/>
          </w:tcPr>
          <w:p w14:paraId="5C2A71C9"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Back:  5 + 8</w:t>
            </w:r>
          </w:p>
        </w:tc>
      </w:tr>
    </w:tbl>
    <w:p w14:paraId="5C3FBBC2"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sectPr w:rsidR="00CF626A" w:rsidRPr="001531CD" w:rsidSect="00167E2E">
          <w:type w:val="continuous"/>
          <w:pgSz w:w="12240" w:h="15840"/>
          <w:pgMar w:top="1080" w:right="864" w:bottom="864" w:left="864" w:header="576" w:footer="432" w:gutter="0"/>
          <w:cols w:space="720"/>
          <w:docGrid w:linePitch="326"/>
        </w:sectPr>
      </w:pPr>
    </w:p>
    <w:p w14:paraId="1412D998" w14:textId="77777777" w:rsidR="00CF626A" w:rsidRPr="001531CD" w:rsidRDefault="00CF626A" w:rsidP="00167E2E">
      <w:pPr>
        <w:pStyle w:val="1"/>
        <w:spacing w:after="0"/>
      </w:pPr>
    </w:p>
    <w:p w14:paraId="32326713" w14:textId="77777777" w:rsidR="00CF626A" w:rsidRPr="001531CD" w:rsidRDefault="00CF626A" w:rsidP="00167E2E">
      <w:pPr>
        <w:pStyle w:val="1"/>
      </w:pPr>
      <w:r w:rsidRPr="001531CD">
        <w:t>1.</w:t>
      </w:r>
      <w:r w:rsidRPr="001531CD">
        <w:tab/>
        <w:t>Identification of Beef Cuts by Geographical Location and Trade</w:t>
      </w:r>
    </w:p>
    <w:tbl>
      <w:tblPr>
        <w:tblW w:w="606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467"/>
        <w:gridCol w:w="1260"/>
        <w:gridCol w:w="1260"/>
        <w:gridCol w:w="2079"/>
      </w:tblGrid>
      <w:tr w:rsidR="00CF626A" w:rsidRPr="00167E2E" w14:paraId="6213FF9A" w14:textId="77777777" w:rsidTr="00167E2E">
        <w:trPr>
          <w:cantSplit/>
          <w:tblHeader/>
          <w:jc w:val="center"/>
        </w:trPr>
        <w:tc>
          <w:tcPr>
            <w:tcW w:w="1467" w:type="dxa"/>
            <w:tcBorders>
              <w:top w:val="double" w:sz="6" w:space="0" w:color="auto"/>
              <w:bottom w:val="single" w:sz="6" w:space="0" w:color="auto"/>
            </w:tcBorders>
            <w:shd w:val="clear" w:color="auto" w:fill="BFBFBF"/>
          </w:tcPr>
          <w:p w14:paraId="52A908FC" w14:textId="77777777" w:rsidR="00CF626A" w:rsidRPr="001531CD" w:rsidRDefault="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  </w:t>
            </w:r>
          </w:p>
        </w:tc>
        <w:tc>
          <w:tcPr>
            <w:tcW w:w="1260" w:type="dxa"/>
            <w:tcBorders>
              <w:top w:val="double" w:sz="6" w:space="0" w:color="auto"/>
              <w:bottom w:val="single" w:sz="6" w:space="0" w:color="auto"/>
            </w:tcBorders>
            <w:shd w:val="clear" w:color="auto" w:fill="BFBFBF"/>
          </w:tcPr>
          <w:p w14:paraId="39CA9785" w14:textId="77777777"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New York Area</w:t>
            </w:r>
          </w:p>
        </w:tc>
        <w:tc>
          <w:tcPr>
            <w:tcW w:w="1260" w:type="dxa"/>
            <w:tcBorders>
              <w:top w:val="double" w:sz="6" w:space="0" w:color="auto"/>
              <w:bottom w:val="single" w:sz="6" w:space="0" w:color="auto"/>
            </w:tcBorders>
            <w:shd w:val="clear" w:color="auto" w:fill="BFBFBF"/>
          </w:tcPr>
          <w:p w14:paraId="2C239957" w14:textId="77777777"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New England Area</w:t>
            </w:r>
          </w:p>
        </w:tc>
        <w:tc>
          <w:tcPr>
            <w:tcW w:w="2079" w:type="dxa"/>
            <w:tcBorders>
              <w:top w:val="double" w:sz="6" w:space="0" w:color="auto"/>
              <w:bottom w:val="single" w:sz="6" w:space="0" w:color="auto"/>
            </w:tcBorders>
            <w:shd w:val="clear" w:color="auto" w:fill="BFBFBF"/>
          </w:tcPr>
          <w:p w14:paraId="6CBE7824" w14:textId="77777777"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Restaurant and Institutional Trade</w:t>
            </w:r>
          </w:p>
        </w:tc>
      </w:tr>
      <w:tr w:rsidR="00CF626A" w:rsidRPr="00167E2E" w14:paraId="44EDE1CF" w14:textId="77777777" w:rsidTr="00167E2E">
        <w:trPr>
          <w:cantSplit/>
          <w:jc w:val="center"/>
        </w:trPr>
        <w:tc>
          <w:tcPr>
            <w:tcW w:w="1467" w:type="dxa"/>
            <w:tcBorders>
              <w:top w:val="single" w:sz="6" w:space="0" w:color="auto"/>
            </w:tcBorders>
          </w:tcPr>
          <w:p w14:paraId="3441A0F8"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1531CD">
              <w:rPr>
                <w:b/>
                <w:bCs/>
                <w:kern w:val="2"/>
                <w:sz w:val="16"/>
              </w:rPr>
              <w:t>Beef Round No. 1</w:t>
            </w:r>
          </w:p>
        </w:tc>
        <w:tc>
          <w:tcPr>
            <w:tcW w:w="1260" w:type="dxa"/>
            <w:tcBorders>
              <w:top w:val="single" w:sz="6" w:space="0" w:color="auto"/>
            </w:tcBorders>
          </w:tcPr>
          <w:p w14:paraId="54C924C2"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Cross-Cut Round</w:t>
            </w:r>
          </w:p>
          <w:p w14:paraId="4393F813"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14:paraId="1EA0C353"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Round Across Primal Round</w:t>
            </w:r>
          </w:p>
        </w:tc>
        <w:tc>
          <w:tcPr>
            <w:tcW w:w="1260" w:type="dxa"/>
            <w:tcBorders>
              <w:top w:val="single" w:sz="6" w:space="0" w:color="auto"/>
            </w:tcBorders>
          </w:tcPr>
          <w:p w14:paraId="18721980"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14:paraId="6C490EE0"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Primal Round</w:t>
            </w:r>
          </w:p>
        </w:tc>
        <w:tc>
          <w:tcPr>
            <w:tcW w:w="2079" w:type="dxa"/>
            <w:tcBorders>
              <w:top w:val="single" w:sz="6" w:space="0" w:color="auto"/>
            </w:tcBorders>
          </w:tcPr>
          <w:p w14:paraId="49CC9D3D"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14:paraId="49B8FC5C"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187"/>
              <w:rPr>
                <w:kern w:val="2"/>
                <w:sz w:val="16"/>
              </w:rPr>
            </w:pPr>
            <w:r w:rsidRPr="001531CD">
              <w:rPr>
                <w:kern w:val="2"/>
                <w:sz w:val="16"/>
              </w:rPr>
              <w:t>(a)  Primal Round</w:t>
            </w:r>
          </w:p>
          <w:p w14:paraId="58B62F09"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89" w:hanging="288"/>
              <w:rPr>
                <w:kern w:val="2"/>
                <w:sz w:val="16"/>
              </w:rPr>
            </w:pPr>
            <w:r w:rsidRPr="001531CD">
              <w:rPr>
                <w:kern w:val="2"/>
                <w:sz w:val="16"/>
              </w:rPr>
              <w:t>(b)  Primal Round with rump on or off, shank on or off, bone-in or boneless</w:t>
            </w:r>
          </w:p>
          <w:p w14:paraId="60374F66"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89" w:hanging="288"/>
              <w:rPr>
                <w:kern w:val="2"/>
                <w:sz w:val="16"/>
              </w:rPr>
            </w:pPr>
            <w:r w:rsidRPr="001531CD">
              <w:rPr>
                <w:kern w:val="2"/>
                <w:sz w:val="16"/>
              </w:rPr>
              <w:t>(c)  Round, three-way boneless</w:t>
            </w:r>
          </w:p>
        </w:tc>
      </w:tr>
      <w:tr w:rsidR="00CF626A" w:rsidRPr="00167E2E" w14:paraId="24B0CAF7" w14:textId="77777777" w:rsidTr="00167E2E">
        <w:trPr>
          <w:cantSplit/>
          <w:trHeight w:val="546"/>
          <w:jc w:val="center"/>
        </w:trPr>
        <w:tc>
          <w:tcPr>
            <w:tcW w:w="1467" w:type="dxa"/>
          </w:tcPr>
          <w:p w14:paraId="74FC8F4C"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1531CD">
              <w:rPr>
                <w:b/>
                <w:bCs/>
                <w:kern w:val="2"/>
                <w:sz w:val="16"/>
              </w:rPr>
              <w:t>Knuckle No. 1 (Taken from beef round)</w:t>
            </w:r>
          </w:p>
        </w:tc>
        <w:tc>
          <w:tcPr>
            <w:tcW w:w="1260" w:type="dxa"/>
          </w:tcPr>
          <w:p w14:paraId="1812534B"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 xml:space="preserve">Knuckle Face </w:t>
            </w:r>
          </w:p>
          <w:p w14:paraId="12122151"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Top Sirloin</w:t>
            </w:r>
          </w:p>
        </w:tc>
        <w:tc>
          <w:tcPr>
            <w:tcW w:w="1260" w:type="dxa"/>
          </w:tcPr>
          <w:p w14:paraId="5C94D553"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Sirloin Tip</w:t>
            </w:r>
          </w:p>
        </w:tc>
        <w:tc>
          <w:tcPr>
            <w:tcW w:w="2079" w:type="dxa"/>
          </w:tcPr>
          <w:p w14:paraId="54C8B422"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Knuckle</w:t>
            </w:r>
          </w:p>
          <w:p w14:paraId="32B3542B"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sidRPr="001531CD">
              <w:rPr>
                <w:kern w:val="2"/>
                <w:sz w:val="16"/>
              </w:rPr>
              <w:t>(a)  Knuckle Steaks</w:t>
            </w:r>
          </w:p>
        </w:tc>
      </w:tr>
    </w:tbl>
    <w:p w14:paraId="2D673B4D"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pPr>
    </w:p>
    <w:p w14:paraId="6C5ABD15"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pPr>
    </w:p>
    <w:p w14:paraId="7014ACBC" w14:textId="77777777"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rPr>
        <w:sectPr w:rsidR="00CF626A" w:rsidRPr="001531CD" w:rsidSect="00167E2E">
          <w:type w:val="continuous"/>
          <w:pgSz w:w="12240" w:h="15840"/>
          <w:pgMar w:top="1080" w:right="864" w:bottom="864" w:left="864" w:header="576" w:footer="432" w:gutter="0"/>
          <w:cols w:space="720"/>
          <w:docGrid w:linePitch="326"/>
        </w:sectPr>
      </w:pPr>
    </w:p>
    <w:p w14:paraId="6433ADE4" w14:textId="77777777" w:rsidR="00CF626A" w:rsidRPr="001531CD" w:rsidRDefault="00CF626A">
      <w:pPr>
        <w:pStyle w:val="AuthorityNote"/>
      </w:pPr>
      <w:r w:rsidRPr="001531CD">
        <w:t>AUTHORITY NOTE:</w:t>
      </w:r>
      <w:r w:rsidRPr="001531CD">
        <w:tab/>
        <w:t>Promulgated in accordance with R.S. 40:2300.</w:t>
      </w:r>
    </w:p>
    <w:p w14:paraId="2DA2FEF0" w14:textId="77777777" w:rsidR="00CF626A" w:rsidRPr="001531CD" w:rsidRDefault="00CF626A">
      <w:pPr>
        <w:pStyle w:val="AuthorityNote"/>
      </w:pPr>
      <w:r w:rsidRPr="001531CD">
        <w:t>HISTORICAL NOTE:</w:t>
      </w:r>
      <w:r w:rsidRPr="001531CD">
        <w:tab/>
        <w:t>Promulgated by the Department of Agriculture, LR 6:708 (December 1980).</w:t>
      </w:r>
    </w:p>
    <w:p w14:paraId="611B015F" w14:textId="77777777" w:rsidR="00CF626A" w:rsidRPr="001531CD" w:rsidRDefault="00CF626A">
      <w:pPr>
        <w:pStyle w:val="HistoricalNote"/>
        <w:spacing w:before="240" w:after="0"/>
        <w:sectPr w:rsidR="00CF626A" w:rsidRPr="001531CD" w:rsidSect="00167E2E">
          <w:headerReference w:type="even" r:id="rId76"/>
          <w:headerReference w:type="default" r:id="rId77"/>
          <w:type w:val="continuous"/>
          <w:pgSz w:w="12240" w:h="15840" w:code="1"/>
          <w:pgMar w:top="1080" w:right="864" w:bottom="864" w:left="864" w:header="576" w:footer="432" w:gutter="0"/>
          <w:cols w:num="2" w:space="720"/>
        </w:sectPr>
      </w:pPr>
    </w:p>
    <w:p w14:paraId="64107E97" w14:textId="77777777" w:rsidR="00CF626A" w:rsidRPr="001531CD" w:rsidRDefault="00CF626A">
      <w:pPr>
        <w:pStyle w:val="HistoricalNote"/>
        <w:spacing w:before="240" w:after="0"/>
        <w:sectPr w:rsidR="00CF626A" w:rsidRPr="001531CD" w:rsidSect="00167E2E">
          <w:type w:val="continuous"/>
          <w:pgSz w:w="12240" w:h="15840" w:code="1"/>
          <w:pgMar w:top="1080" w:right="864" w:bottom="864" w:left="864" w:header="576" w:footer="432" w:gutter="0"/>
          <w:cols w:num="2" w:space="720"/>
        </w:sectPr>
      </w:pPr>
    </w:p>
    <w:p w14:paraId="67D541F7" w14:textId="77777777" w:rsidR="00CF626A" w:rsidRPr="001531CD" w:rsidRDefault="00CF626A">
      <w:pPr>
        <w:pStyle w:val="Section"/>
      </w:pPr>
      <w:bookmarkStart w:id="2998" w:name="_Toc256755085"/>
      <w:bookmarkStart w:id="2999" w:name="_Toc224819456"/>
      <w:r w:rsidRPr="001531CD">
        <w:lastRenderedPageBreak/>
        <w:t>§139.</w:t>
      </w:r>
      <w:r w:rsidRPr="001531CD">
        <w:tab/>
        <w:t>Side of Beef</w:t>
      </w:r>
      <w:bookmarkEnd w:id="2998"/>
      <w:bookmarkEnd w:id="2999"/>
    </w:p>
    <w:p w14:paraId="7B509C22" w14:textId="77777777" w:rsidR="00CF626A" w:rsidRPr="001531CD" w:rsidRDefault="00CF626A">
      <w:pPr>
        <w:pStyle w:val="A"/>
      </w:pPr>
      <w:r w:rsidRPr="001531CD">
        <w:t>A.</w:t>
      </w:r>
      <w:r w:rsidRPr="001531CD">
        <w:tab/>
        <w:t>Hind Shank</w:t>
      </w:r>
    </w:p>
    <w:p w14:paraId="5E82CAC5" w14:textId="77777777" w:rsidR="00CF626A" w:rsidRPr="001531CD" w:rsidRDefault="00CF626A">
      <w:pPr>
        <w:pStyle w:val="A"/>
      </w:pPr>
      <w:r w:rsidRPr="001531CD">
        <w:t>B.</w:t>
      </w:r>
      <w:r w:rsidRPr="001531CD">
        <w:tab/>
        <w:t>Fore Shank</w:t>
      </w:r>
    </w:p>
    <w:p w14:paraId="5AA9E2AC" w14:textId="77777777" w:rsidR="00CF626A" w:rsidRPr="001531CD" w:rsidRDefault="00CF626A">
      <w:pPr>
        <w:pStyle w:val="LACNote"/>
        <w:ind w:left="432" w:right="432" w:firstLine="0"/>
      </w:pPr>
      <w:r w:rsidRPr="001531CD">
        <w:t>NOTE: A and B to be stamped on kill floor prior to shrouding or placing in cooler.</w:t>
      </w:r>
    </w:p>
    <w:p w14:paraId="4269CB08" w14:textId="77777777" w:rsidR="00CF626A" w:rsidRPr="001531CD" w:rsidRDefault="00CF626A">
      <w:pPr>
        <w:pStyle w:val="1"/>
      </w:pPr>
      <w:r w:rsidRPr="001531CD">
        <w:t>1.</w:t>
      </w:r>
      <w:r w:rsidRPr="001531CD">
        <w:tab/>
        <w:t>Round</w:t>
      </w:r>
    </w:p>
    <w:p w14:paraId="6F9ED6FB" w14:textId="77777777" w:rsidR="00CF626A" w:rsidRPr="001531CD" w:rsidRDefault="00CF626A">
      <w:pPr>
        <w:pStyle w:val="1"/>
      </w:pPr>
      <w:r w:rsidRPr="001531CD">
        <w:t>2.</w:t>
      </w:r>
      <w:r w:rsidRPr="001531CD">
        <w:tab/>
        <w:t>Loin</w:t>
      </w:r>
    </w:p>
    <w:p w14:paraId="3BAA5CA9" w14:textId="77777777" w:rsidR="00CF626A" w:rsidRPr="001531CD" w:rsidRDefault="00CF626A">
      <w:pPr>
        <w:pStyle w:val="1"/>
      </w:pPr>
      <w:r w:rsidRPr="001531CD">
        <w:t>3.</w:t>
      </w:r>
      <w:r w:rsidRPr="001531CD">
        <w:tab/>
        <w:t>Plate</w:t>
      </w:r>
    </w:p>
    <w:p w14:paraId="11B19471" w14:textId="77777777" w:rsidR="00CF626A" w:rsidRPr="001531CD" w:rsidRDefault="00CF626A">
      <w:pPr>
        <w:pStyle w:val="1"/>
      </w:pPr>
      <w:r w:rsidRPr="001531CD">
        <w:t>4.</w:t>
      </w:r>
      <w:r w:rsidRPr="001531CD">
        <w:tab/>
        <w:t>Rib</w:t>
      </w:r>
    </w:p>
    <w:p w14:paraId="64986CBE" w14:textId="77777777" w:rsidR="00CF626A" w:rsidRPr="001531CD" w:rsidRDefault="00CF626A">
      <w:pPr>
        <w:pStyle w:val="1"/>
      </w:pPr>
      <w:r w:rsidRPr="001531CD">
        <w:t>5.</w:t>
      </w:r>
      <w:r w:rsidRPr="001531CD">
        <w:tab/>
        <w:t>Chuck</w:t>
      </w:r>
    </w:p>
    <w:p w14:paraId="4690AFFB" w14:textId="77777777" w:rsidR="00CF626A" w:rsidRPr="001531CD" w:rsidRDefault="001778C5">
      <w:pPr>
        <w:pStyle w:val="AuthorityNote"/>
        <w:jc w:val="center"/>
      </w:pPr>
      <w:r w:rsidRPr="001531CD">
        <w:rPr>
          <w:noProof/>
        </w:rPr>
        <w:drawing>
          <wp:inline distT="0" distB="0" distL="0" distR="0" wp14:anchorId="006CAFC9" wp14:editId="6D6C88E4">
            <wp:extent cx="3657600" cy="1720215"/>
            <wp:effectExtent l="0" t="0" r="0" b="0"/>
            <wp:docPr id="7" name="Picture 7" descr="Black and white illustration indicating location of side beef cuts divided out into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l="-264" t="-253" r="-264" b="-253"/>
                    <a:stretch>
                      <a:fillRect/>
                    </a:stretch>
                  </pic:blipFill>
                  <pic:spPr bwMode="auto">
                    <a:xfrm>
                      <a:off x="0" y="0"/>
                      <a:ext cx="3657600" cy="1720215"/>
                    </a:xfrm>
                    <a:prstGeom prst="rect">
                      <a:avLst/>
                    </a:prstGeom>
                    <a:noFill/>
                    <a:ln>
                      <a:noFill/>
                    </a:ln>
                  </pic:spPr>
                </pic:pic>
              </a:graphicData>
            </a:graphic>
          </wp:inline>
        </w:drawing>
      </w:r>
    </w:p>
    <w:p w14:paraId="37BC0CCC" w14:textId="77777777" w:rsidR="00CF626A" w:rsidRPr="001531CD" w:rsidRDefault="00CF626A">
      <w:pPr>
        <w:pStyle w:val="AuthorityNote"/>
      </w:pPr>
    </w:p>
    <w:p w14:paraId="4443B511" w14:textId="77777777" w:rsidR="00CF626A" w:rsidRPr="001531CD" w:rsidRDefault="00CF626A">
      <w:pPr>
        <w:pStyle w:val="AuthorityNote"/>
      </w:pPr>
    </w:p>
    <w:p w14:paraId="74862789" w14:textId="77777777" w:rsidR="00CF626A" w:rsidRPr="001531CD" w:rsidRDefault="00CF626A">
      <w:pPr>
        <w:pStyle w:val="AuthorityNote"/>
        <w:sectPr w:rsidR="00CF626A" w:rsidRPr="001531CD" w:rsidSect="00167E2E">
          <w:headerReference w:type="even" r:id="rId79"/>
          <w:headerReference w:type="default" r:id="rId80"/>
          <w:pgSz w:w="12240" w:h="15840" w:code="1"/>
          <w:pgMar w:top="1080" w:right="864" w:bottom="864" w:left="864" w:header="576" w:footer="432" w:gutter="0"/>
          <w:cols w:space="720"/>
        </w:sectPr>
      </w:pPr>
    </w:p>
    <w:p w14:paraId="59A7B538" w14:textId="77777777" w:rsidR="00CF626A" w:rsidRPr="001531CD" w:rsidRDefault="00CF626A">
      <w:pPr>
        <w:pStyle w:val="AuthorityNote"/>
      </w:pPr>
      <w:r w:rsidRPr="001531CD">
        <w:t>AUTHORITY NOTE:</w:t>
      </w:r>
      <w:r w:rsidRPr="001531CD">
        <w:tab/>
        <w:t>Promulgated in accordance with R. S. 40:2300.</w:t>
      </w:r>
    </w:p>
    <w:p w14:paraId="11E00854" w14:textId="77777777" w:rsidR="00CF626A" w:rsidRPr="001531CD" w:rsidRDefault="00CF626A">
      <w:pPr>
        <w:pStyle w:val="HistoricalNote"/>
      </w:pPr>
      <w:r w:rsidRPr="001531CD">
        <w:t>HISTORICAL NOTE:</w:t>
      </w:r>
      <w:r w:rsidRPr="001531CD">
        <w:tab/>
        <w:t>Promulgated by the Department of Agriculture, LR 6:712 (December 1980).</w:t>
      </w:r>
    </w:p>
    <w:p w14:paraId="5AAC2FF8" w14:textId="77777777" w:rsidR="00CF626A" w:rsidRPr="001531CD" w:rsidRDefault="00CF626A">
      <w:pPr>
        <w:pStyle w:val="HistoricalNote"/>
        <w:sectPr w:rsidR="00CF626A" w:rsidRPr="001531CD" w:rsidSect="00167E2E">
          <w:type w:val="continuous"/>
          <w:pgSz w:w="12240" w:h="15840" w:code="1"/>
          <w:pgMar w:top="1080" w:right="864" w:bottom="864" w:left="864" w:header="576" w:footer="432" w:gutter="0"/>
          <w:cols w:num="2" w:space="720"/>
        </w:sectPr>
      </w:pPr>
    </w:p>
    <w:p w14:paraId="1AB91271" w14:textId="77777777" w:rsidR="00CF626A" w:rsidRPr="001531CD" w:rsidRDefault="00CF626A">
      <w:pPr>
        <w:pStyle w:val="Section"/>
      </w:pPr>
      <w:bookmarkStart w:id="3000" w:name="_Toc256755086"/>
      <w:bookmarkStart w:id="3001" w:name="_Toc224819457"/>
      <w:r w:rsidRPr="001531CD">
        <w:t>§141.</w:t>
      </w:r>
      <w:r w:rsidRPr="001531CD">
        <w:tab/>
        <w:t>Proper Stampling―Primal Cuts</w:t>
      </w:r>
      <w:bookmarkEnd w:id="3000"/>
      <w:bookmarkEnd w:id="3001"/>
    </w:p>
    <w:p w14:paraId="49052841" w14:textId="77777777" w:rsidR="00CF626A" w:rsidRPr="001531CD" w:rsidRDefault="00CF626A">
      <w:pPr>
        <w:pStyle w:val="A"/>
      </w:pPr>
      <w:r w:rsidRPr="001531CD">
        <w:t>A.</w:t>
      </w:r>
      <w:r w:rsidRPr="001531CD">
        <w:tab/>
        <w:t>Side of Pork</w:t>
      </w:r>
    </w:p>
    <w:p w14:paraId="65E63016" w14:textId="77777777" w:rsidR="00CF626A" w:rsidRPr="001531CD" w:rsidRDefault="00CF626A">
      <w:pPr>
        <w:pStyle w:val="1"/>
      </w:pPr>
      <w:r w:rsidRPr="001531CD">
        <w:t>1.</w:t>
      </w:r>
      <w:r w:rsidRPr="001531CD">
        <w:tab/>
        <w:t>Outer surface of ham hock</w:t>
      </w:r>
    </w:p>
    <w:p w14:paraId="4ACF9A1A" w14:textId="77777777" w:rsidR="00CF626A" w:rsidRPr="001531CD" w:rsidRDefault="00CF626A">
      <w:pPr>
        <w:pStyle w:val="1"/>
      </w:pPr>
      <w:r w:rsidRPr="001531CD">
        <w:t>2.</w:t>
      </w:r>
      <w:r w:rsidRPr="001531CD">
        <w:tab/>
        <w:t>Skin side of each loin</w:t>
      </w:r>
    </w:p>
    <w:p w14:paraId="1957B6AF" w14:textId="77777777" w:rsidR="00CF626A" w:rsidRPr="001531CD" w:rsidRDefault="00CF626A">
      <w:pPr>
        <w:pStyle w:val="1"/>
      </w:pPr>
      <w:r w:rsidRPr="001531CD">
        <w:t>3.</w:t>
      </w:r>
      <w:r w:rsidRPr="001531CD">
        <w:tab/>
        <w:t>Skin side of each belly</w:t>
      </w:r>
    </w:p>
    <w:p w14:paraId="550805E1" w14:textId="77777777" w:rsidR="00CF626A" w:rsidRPr="001531CD" w:rsidRDefault="00CF626A">
      <w:pPr>
        <w:pStyle w:val="1"/>
      </w:pPr>
      <w:r w:rsidRPr="001531CD">
        <w:t>4.</w:t>
      </w:r>
      <w:r w:rsidRPr="001531CD">
        <w:tab/>
        <w:t>Outer surface of shoulder hock</w:t>
      </w:r>
    </w:p>
    <w:p w14:paraId="2FD66C52" w14:textId="77777777" w:rsidR="00CF626A" w:rsidRPr="001531CD" w:rsidRDefault="00CF626A">
      <w:pPr>
        <w:pStyle w:val="1"/>
      </w:pPr>
      <w:r w:rsidRPr="001531CD">
        <w:t>5.</w:t>
      </w:r>
      <w:r w:rsidRPr="001531CD">
        <w:tab/>
        <w:t>Skin surface of each jowl or head</w:t>
      </w:r>
    </w:p>
    <w:p w14:paraId="500648A0" w14:textId="77777777" w:rsidR="00CF626A" w:rsidRPr="001531CD" w:rsidRDefault="001778C5" w:rsidP="00C034AD">
      <w:pPr>
        <w:pStyle w:val="AuthorityNote"/>
        <w:jc w:val="center"/>
      </w:pPr>
      <w:r w:rsidRPr="001531CD">
        <w:rPr>
          <w:noProof/>
        </w:rPr>
        <w:drawing>
          <wp:inline distT="0" distB="0" distL="0" distR="0" wp14:anchorId="76B35E35" wp14:editId="79B3450A">
            <wp:extent cx="3657600" cy="1811655"/>
            <wp:effectExtent l="0" t="0" r="0" b="0"/>
            <wp:docPr id="8" name="Picture 8" descr="Black and white illustration indicating proper stampling for sides of pork divided out into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l="-620" t="-612" r="-620" b="-612"/>
                    <a:stretch>
                      <a:fillRect/>
                    </a:stretch>
                  </pic:blipFill>
                  <pic:spPr bwMode="auto">
                    <a:xfrm>
                      <a:off x="0" y="0"/>
                      <a:ext cx="3657600" cy="1811655"/>
                    </a:xfrm>
                    <a:prstGeom prst="rect">
                      <a:avLst/>
                    </a:prstGeom>
                    <a:noFill/>
                    <a:ln>
                      <a:noFill/>
                    </a:ln>
                  </pic:spPr>
                </pic:pic>
              </a:graphicData>
            </a:graphic>
          </wp:inline>
        </w:drawing>
      </w:r>
    </w:p>
    <w:p w14:paraId="1C1CFCDE" w14:textId="77777777" w:rsidR="00CF626A" w:rsidRPr="001531CD" w:rsidRDefault="00CF626A">
      <w:pPr>
        <w:pStyle w:val="AuthorityNote"/>
        <w:sectPr w:rsidR="00CF626A" w:rsidRPr="001531CD" w:rsidSect="00167E2E">
          <w:type w:val="continuous"/>
          <w:pgSz w:w="12240" w:h="15840" w:code="1"/>
          <w:pgMar w:top="1080" w:right="864" w:bottom="864" w:left="864" w:header="576" w:footer="432" w:gutter="0"/>
          <w:cols w:space="720"/>
        </w:sectPr>
      </w:pPr>
    </w:p>
    <w:p w14:paraId="1F1D82DA" w14:textId="77777777" w:rsidR="00CF626A" w:rsidRPr="001531CD" w:rsidRDefault="00CF626A">
      <w:pPr>
        <w:pStyle w:val="AuthorityNote"/>
      </w:pPr>
      <w:r w:rsidRPr="001531CD">
        <w:t>AUTHORITY NOTE:</w:t>
      </w:r>
      <w:r w:rsidRPr="001531CD">
        <w:tab/>
        <w:t>Promulgated in accordance with R.S. 40:2300.</w:t>
      </w:r>
    </w:p>
    <w:p w14:paraId="4A31B37F" w14:textId="77777777" w:rsidR="00CF626A" w:rsidRDefault="00CF626A">
      <w:pPr>
        <w:pStyle w:val="HistoricalNote"/>
      </w:pPr>
      <w:r w:rsidRPr="001531CD">
        <w:t>HISTORICAL NOTE:</w:t>
      </w:r>
      <w:r w:rsidRPr="001531CD">
        <w:tab/>
        <w:t>Promulgated by the Department of Agriculture, LR 6:712 (December 1980).</w:t>
      </w:r>
    </w:p>
    <w:p w14:paraId="6FBFE1DB" w14:textId="77777777" w:rsidR="00893A7F" w:rsidRPr="004C2CD0" w:rsidRDefault="00893A7F" w:rsidP="00893A7F">
      <w:pPr>
        <w:pStyle w:val="Chapter"/>
        <w:rPr>
          <w:rFonts w:eastAsia="Aptos"/>
        </w:rPr>
      </w:pPr>
      <w:bookmarkStart w:id="3002" w:name="_Toc224819458"/>
      <w:r w:rsidRPr="004C2CD0">
        <w:rPr>
          <w:rFonts w:eastAsia="Aptos"/>
        </w:rPr>
        <w:lastRenderedPageBreak/>
        <w:t>Chapter 3.</w:t>
      </w:r>
      <w:r w:rsidRPr="004C2CD0">
        <w:rPr>
          <w:rFonts w:eastAsia="Aptos"/>
        </w:rPr>
        <w:tab/>
        <w:t>Voluntary Inspection for Slaughter and Processing of Exotic Animals</w:t>
      </w:r>
      <w:bookmarkEnd w:id="3002"/>
    </w:p>
    <w:p w14:paraId="2F487CC8" w14:textId="77777777" w:rsidR="00893A7F" w:rsidRPr="004C2CD0" w:rsidRDefault="00893A7F" w:rsidP="00893A7F">
      <w:pPr>
        <w:pStyle w:val="Section"/>
        <w:rPr>
          <w:rFonts w:eastAsia="Aptos"/>
        </w:rPr>
      </w:pPr>
      <w:bookmarkStart w:id="3003" w:name="_Toc224819459"/>
      <w:r w:rsidRPr="004C2CD0">
        <w:rPr>
          <w:rFonts w:eastAsia="Aptos"/>
        </w:rPr>
        <w:t>§301.</w:t>
      </w:r>
      <w:r w:rsidRPr="004C2CD0">
        <w:rPr>
          <w:rFonts w:eastAsia="Aptos"/>
        </w:rPr>
        <w:tab/>
        <w:t>General Provisions, Definitions</w:t>
      </w:r>
      <w:bookmarkEnd w:id="3003"/>
    </w:p>
    <w:p w14:paraId="0AE7BFA1"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When not in conflict with existing provisions of R.S. 3:4201 et seq. or this Chapter, the provisions of Code of Federal Regulations, Title 9, Part 416.1-5 are incorporated by reference. </w:t>
      </w:r>
    </w:p>
    <w:p w14:paraId="77AF3516"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The following words and terms, when used in this Chapter, shall have the following meanings unless the context expressly indicates otherwise. </w:t>
      </w:r>
    </w:p>
    <w:p w14:paraId="179496A3" w14:textId="77777777" w:rsidR="00893A7F" w:rsidRPr="004C2CD0" w:rsidRDefault="00893A7F" w:rsidP="00893A7F">
      <w:pPr>
        <w:pStyle w:val="1"/>
        <w:rPr>
          <w:rFonts w:eastAsia="Aptos"/>
          <w:i/>
          <w:iCs/>
        </w:rPr>
      </w:pPr>
      <w:r w:rsidRPr="004C2CD0">
        <w:rPr>
          <w:rFonts w:eastAsia="Aptos"/>
          <w:i/>
          <w:iCs/>
        </w:rPr>
        <w:t>Commerce</w:t>
      </w:r>
      <w:r w:rsidRPr="004C2CD0">
        <w:rPr>
          <w:rFonts w:eastAsia="Aptos"/>
          <w:iCs/>
        </w:rPr>
        <w:t>—</w:t>
      </w:r>
      <w:r w:rsidRPr="004C2CD0">
        <w:rPr>
          <w:rFonts w:eastAsia="Aptos"/>
        </w:rPr>
        <w:t>trade, commerce, transportation, transmission, or communication among the several States, or between any State and any place outside thereof.</w:t>
      </w:r>
    </w:p>
    <w:p w14:paraId="3A63B89E" w14:textId="77777777" w:rsidR="00893A7F" w:rsidRPr="004C2CD0" w:rsidRDefault="00893A7F" w:rsidP="00893A7F">
      <w:pPr>
        <w:pStyle w:val="1"/>
        <w:rPr>
          <w:rFonts w:eastAsia="Aptos"/>
        </w:rPr>
      </w:pPr>
      <w:r w:rsidRPr="004C2CD0">
        <w:rPr>
          <w:rFonts w:eastAsia="Aptos"/>
          <w:i/>
          <w:iCs/>
        </w:rPr>
        <w:t>Commissioner</w:t>
      </w:r>
      <w:r w:rsidRPr="004C2CD0">
        <w:rPr>
          <w:rFonts w:eastAsia="Aptos"/>
          <w:iCs/>
        </w:rPr>
        <w:t>—</w:t>
      </w:r>
      <w:r w:rsidRPr="004C2CD0">
        <w:rPr>
          <w:rFonts w:eastAsia="Aptos"/>
        </w:rPr>
        <w:t>Commissioner of Agriculture and Forestry.</w:t>
      </w:r>
    </w:p>
    <w:p w14:paraId="1EAE513A" w14:textId="77777777" w:rsidR="00893A7F" w:rsidRPr="004C2CD0" w:rsidRDefault="00893A7F" w:rsidP="00893A7F">
      <w:pPr>
        <w:pStyle w:val="1"/>
        <w:rPr>
          <w:rFonts w:eastAsia="Aptos"/>
        </w:rPr>
      </w:pPr>
      <w:r w:rsidRPr="004C2CD0">
        <w:rPr>
          <w:rFonts w:eastAsia="Aptos"/>
          <w:i/>
          <w:iCs/>
        </w:rPr>
        <w:t>Department</w:t>
      </w:r>
      <w:r w:rsidRPr="004C2CD0">
        <w:rPr>
          <w:rFonts w:eastAsia="Aptos"/>
          <w:iCs/>
        </w:rPr>
        <w:t>—</w:t>
      </w:r>
      <w:r w:rsidRPr="004C2CD0">
        <w:rPr>
          <w:rFonts w:eastAsia="Aptos"/>
        </w:rPr>
        <w:t>the Louisiana Department of Agriculture and Forestry.</w:t>
      </w:r>
    </w:p>
    <w:p w14:paraId="206EF105" w14:textId="77777777" w:rsidR="00893A7F" w:rsidRPr="004C2CD0" w:rsidRDefault="00893A7F" w:rsidP="00893A7F">
      <w:pPr>
        <w:pStyle w:val="1"/>
        <w:rPr>
          <w:rFonts w:eastAsia="Aptos"/>
        </w:rPr>
      </w:pPr>
      <w:r w:rsidRPr="004C2CD0">
        <w:rPr>
          <w:rFonts w:eastAsia="Aptos"/>
          <w:i/>
          <w:iCs/>
        </w:rPr>
        <w:t>Establishment</w:t>
      </w:r>
      <w:r w:rsidRPr="004C2CD0">
        <w:rPr>
          <w:rFonts w:eastAsia="Aptos"/>
          <w:iCs/>
        </w:rPr>
        <w:t>—</w:t>
      </w:r>
      <w:r w:rsidRPr="004C2CD0">
        <w:rPr>
          <w:rFonts w:eastAsia="Aptos"/>
        </w:rPr>
        <w:t xml:space="preserve">each place of business that receives voluntary inspection services pursuant to R.S. 3:4215(E) and this Chapter. </w:t>
      </w:r>
    </w:p>
    <w:p w14:paraId="5B210337" w14:textId="77777777" w:rsidR="00893A7F" w:rsidRPr="004C2CD0" w:rsidRDefault="00893A7F" w:rsidP="00893A7F">
      <w:pPr>
        <w:pStyle w:val="1"/>
        <w:rPr>
          <w:rFonts w:eastAsia="Aptos"/>
        </w:rPr>
      </w:pPr>
      <w:r w:rsidRPr="004C2CD0">
        <w:rPr>
          <w:rFonts w:eastAsia="Aptos"/>
          <w:i/>
          <w:iCs/>
        </w:rPr>
        <w:t>Exotic Animals</w:t>
      </w:r>
      <w:r w:rsidRPr="004C2CD0">
        <w:rPr>
          <w:rFonts w:eastAsia="Aptos"/>
          <w:iCs/>
        </w:rPr>
        <w:t>—</w:t>
      </w:r>
      <w:r w:rsidRPr="004C2CD0">
        <w:rPr>
          <w:rFonts w:eastAsia="Aptos"/>
        </w:rPr>
        <w:t xml:space="preserve">bison, cervidae, other bovidae, camelidae and hybrids thereof, domestic rabbits, pheasant, quail, partridge, peafowl, grouse, wild turkey, or other animals or poultry determined by the commissioner of agriculture herein for human food purposes. </w:t>
      </w:r>
    </w:p>
    <w:p w14:paraId="1C8529E0" w14:textId="77777777" w:rsidR="00893A7F" w:rsidRPr="004C2CD0" w:rsidRDefault="00893A7F" w:rsidP="00893A7F">
      <w:pPr>
        <w:pStyle w:val="1"/>
        <w:rPr>
          <w:rFonts w:eastAsia="Aptos"/>
        </w:rPr>
      </w:pPr>
      <w:r w:rsidRPr="004C2CD0">
        <w:rPr>
          <w:rFonts w:eastAsia="Aptos"/>
          <w:i/>
          <w:iCs/>
        </w:rPr>
        <w:t>Public Health Notice</w:t>
      </w:r>
      <w:r w:rsidRPr="004C2CD0">
        <w:rPr>
          <w:rFonts w:eastAsia="Aptos"/>
          <w:iCs/>
        </w:rPr>
        <w:t>—</w:t>
      </w:r>
      <w:r w:rsidRPr="004C2CD0">
        <w:rPr>
          <w:rFonts w:eastAsia="Aptos"/>
        </w:rPr>
        <w:t xml:space="preserve">an alert to the public about potential health risks in cases where a recall has not or cannot be recommended. </w:t>
      </w:r>
    </w:p>
    <w:p w14:paraId="3BA4487F" w14:textId="77777777" w:rsidR="00893A7F" w:rsidRPr="004C2CD0" w:rsidRDefault="00893A7F" w:rsidP="00893A7F">
      <w:pPr>
        <w:pStyle w:val="1"/>
        <w:rPr>
          <w:rFonts w:eastAsia="Aptos"/>
        </w:rPr>
      </w:pPr>
      <w:r w:rsidRPr="004C2CD0">
        <w:rPr>
          <w:rFonts w:eastAsia="Aptos"/>
          <w:i/>
          <w:iCs/>
        </w:rPr>
        <w:t>Recall</w:t>
      </w:r>
      <w:r w:rsidRPr="004C2CD0">
        <w:rPr>
          <w:rFonts w:eastAsia="Aptos"/>
          <w:iCs/>
        </w:rPr>
        <w:t>—</w:t>
      </w:r>
      <w:r w:rsidRPr="004C2CD0">
        <w:rPr>
          <w:rFonts w:eastAsia="Aptos"/>
        </w:rPr>
        <w:t xml:space="preserve">a voluntary action by an establishment to remove adulterated or misbranded product from commerce. A recall is intended to protect the public from unsafe and improperly labeled foods. </w:t>
      </w:r>
    </w:p>
    <w:p w14:paraId="287E0CFA" w14:textId="77777777" w:rsidR="00893A7F" w:rsidRPr="004C2CD0" w:rsidRDefault="00893A7F" w:rsidP="00893A7F">
      <w:pPr>
        <w:pStyle w:val="AuthorityNote"/>
        <w:rPr>
          <w:rFonts w:eastAsia="Aptos"/>
        </w:rPr>
      </w:pPr>
      <w:bookmarkStart w:id="3004" w:name="_Hlk183386988"/>
      <w:r w:rsidRPr="004C2CD0">
        <w:rPr>
          <w:rFonts w:eastAsia="Aptos"/>
        </w:rPr>
        <w:t>AUTHORITY NOTE:</w:t>
      </w:r>
      <w:r w:rsidRPr="004C2CD0">
        <w:rPr>
          <w:rFonts w:eastAsia="Aptos"/>
        </w:rPr>
        <w:tab/>
        <w:t>Promulgated in accordance with R.S. 3:4215.</w:t>
      </w:r>
    </w:p>
    <w:p w14:paraId="06C48853"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bookmarkEnd w:id="3004"/>
      <w:r>
        <w:rPr>
          <w:rFonts w:eastAsia="Aptos"/>
        </w:rPr>
        <w:t>777 (June 2025).</w:t>
      </w:r>
    </w:p>
    <w:p w14:paraId="3CAE7FCA" w14:textId="77777777" w:rsidR="00893A7F" w:rsidRPr="004C2CD0" w:rsidRDefault="00893A7F" w:rsidP="00893A7F">
      <w:pPr>
        <w:pStyle w:val="Section"/>
        <w:rPr>
          <w:rFonts w:eastAsia="Aptos"/>
        </w:rPr>
      </w:pPr>
      <w:bookmarkStart w:id="3005" w:name="_Toc224819460"/>
      <w:r w:rsidRPr="004C2CD0">
        <w:rPr>
          <w:rFonts w:eastAsia="Aptos"/>
        </w:rPr>
        <w:t>§303.</w:t>
      </w:r>
      <w:r w:rsidRPr="004C2CD0">
        <w:rPr>
          <w:rFonts w:eastAsia="Aptos"/>
        </w:rPr>
        <w:tab/>
        <w:t>Voluntary Inspection for Exotic Animals</w:t>
      </w:r>
      <w:bookmarkEnd w:id="3005"/>
      <w:r w:rsidRPr="004C2CD0">
        <w:rPr>
          <w:rFonts w:eastAsia="Aptos"/>
        </w:rPr>
        <w:t xml:space="preserve"> </w:t>
      </w:r>
    </w:p>
    <w:p w14:paraId="0D694599" w14:textId="77777777" w:rsidR="00893A7F" w:rsidRPr="004C2CD0" w:rsidRDefault="00893A7F" w:rsidP="00893A7F">
      <w:pPr>
        <w:pStyle w:val="A"/>
        <w:rPr>
          <w:rFonts w:eastAsia="Aptos"/>
        </w:rPr>
      </w:pPr>
      <w:r w:rsidRPr="004C2CD0">
        <w:rPr>
          <w:rFonts w:eastAsia="Aptos"/>
        </w:rPr>
        <w:t>A.</w:t>
      </w:r>
      <w:r w:rsidRPr="004C2CD0">
        <w:rPr>
          <w:rFonts w:eastAsia="Aptos"/>
        </w:rPr>
        <w:tab/>
        <w:t>The department may provide, upon application and approval, voluntary inspection services to facilities who process exotic animals, exotic animal carcasses, or exotic meat food products as provided for in this Chapter.</w:t>
      </w:r>
    </w:p>
    <w:p w14:paraId="1A9FB090"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An establishment may obtain voluntary inspection services for all or for some of the exotic animals, exotic animal carcasses, or exotic meat food products that it processes. </w:t>
      </w:r>
    </w:p>
    <w:p w14:paraId="7B453DB4"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If an establishment seeks voluntary inspection services for some, but not all, of the exotic animals, exotic animal carcasses, or exotic meat food products that it processes: </w:t>
      </w:r>
    </w:p>
    <w:p w14:paraId="2A5D27D7" w14:textId="77777777" w:rsidR="00893A7F" w:rsidRPr="004C2CD0" w:rsidRDefault="00893A7F" w:rsidP="00893A7F">
      <w:pPr>
        <w:pStyle w:val="a0"/>
        <w:rPr>
          <w:rFonts w:eastAsia="Aptos"/>
        </w:rPr>
      </w:pPr>
      <w:r w:rsidRPr="004C2CD0">
        <w:rPr>
          <w:rFonts w:eastAsia="Aptos"/>
        </w:rPr>
        <w:t>a.</w:t>
      </w:r>
      <w:r w:rsidRPr="004C2CD0">
        <w:rPr>
          <w:rFonts w:eastAsia="Aptos"/>
        </w:rPr>
        <w:tab/>
        <w:t xml:space="preserve">it may affix the official voluntary inspection mark as prescribed in this Chapter to only those exotic animal carcasses or exotic meat food products for which the department has provided voluntary inspection services; and </w:t>
      </w:r>
    </w:p>
    <w:p w14:paraId="52CE29E9" w14:textId="77777777" w:rsidR="00893A7F" w:rsidRPr="004C2CD0" w:rsidRDefault="00893A7F" w:rsidP="00893A7F">
      <w:pPr>
        <w:pStyle w:val="a0"/>
        <w:rPr>
          <w:rFonts w:eastAsia="Aptos"/>
        </w:rPr>
      </w:pPr>
      <w:r w:rsidRPr="004C2CD0">
        <w:rPr>
          <w:rFonts w:eastAsia="Aptos"/>
        </w:rPr>
        <w:t>b.</w:t>
      </w:r>
      <w:r w:rsidRPr="004C2CD0">
        <w:rPr>
          <w:rFonts w:eastAsia="Aptos"/>
        </w:rPr>
        <w:tab/>
        <w:t>it shall be charged only for the time for which the department provides voluntary inspection services.</w:t>
      </w:r>
    </w:p>
    <w:p w14:paraId="4A2AC26F"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657200A7"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14:paraId="618FE8D3" w14:textId="77777777" w:rsidR="00893A7F" w:rsidRPr="004C2CD0" w:rsidRDefault="00893A7F" w:rsidP="00893A7F">
      <w:pPr>
        <w:pStyle w:val="Section"/>
        <w:rPr>
          <w:rFonts w:eastAsia="Aptos"/>
        </w:rPr>
      </w:pPr>
      <w:bookmarkStart w:id="3006" w:name="_Toc224819461"/>
      <w:r w:rsidRPr="004C2CD0">
        <w:rPr>
          <w:rFonts w:eastAsia="Aptos"/>
        </w:rPr>
        <w:t>§305.</w:t>
      </w:r>
      <w:r w:rsidRPr="004C2CD0">
        <w:rPr>
          <w:rFonts w:eastAsia="Aptos"/>
        </w:rPr>
        <w:tab/>
        <w:t>Application for Voluntary Inspection</w:t>
      </w:r>
      <w:bookmarkEnd w:id="3006"/>
    </w:p>
    <w:p w14:paraId="68E3BE8B" w14:textId="77777777" w:rsidR="00893A7F" w:rsidRPr="004C2CD0" w:rsidRDefault="00893A7F" w:rsidP="00893A7F">
      <w:pPr>
        <w:pStyle w:val="A"/>
        <w:rPr>
          <w:rFonts w:eastAsia="Aptos"/>
        </w:rPr>
      </w:pPr>
      <w:r w:rsidRPr="004C2CD0">
        <w:rPr>
          <w:rFonts w:eastAsia="Aptos"/>
        </w:rPr>
        <w:t>A.</w:t>
      </w:r>
      <w:r w:rsidRPr="004C2CD0">
        <w:rPr>
          <w:rFonts w:eastAsia="Aptos"/>
        </w:rPr>
        <w:tab/>
        <w:t>Any person or business desiring to process an exotic animal, exotic animal carcass, exotic animal meat, or meat food product in an establishment under voluntary inspection service must complete an application and receive approval of such establishment and facilities as an official voluntary establishment by the department prior to the provision of such service.</w:t>
      </w:r>
    </w:p>
    <w:p w14:paraId="0411B6D0" w14:textId="77777777" w:rsidR="00893A7F" w:rsidRPr="004C2CD0" w:rsidRDefault="00893A7F" w:rsidP="00893A7F">
      <w:pPr>
        <w:pStyle w:val="A"/>
        <w:rPr>
          <w:rFonts w:eastAsia="Aptos"/>
        </w:rPr>
      </w:pPr>
      <w:r w:rsidRPr="004C2CD0">
        <w:rPr>
          <w:rFonts w:eastAsia="Aptos"/>
        </w:rPr>
        <w:t>B.</w:t>
      </w:r>
      <w:r w:rsidRPr="004C2CD0">
        <w:rPr>
          <w:rFonts w:eastAsia="Aptos"/>
        </w:rPr>
        <w:tab/>
        <w:t>When an application has been submitted for voluntary inspection service, the department shall conduct an initial survey which shall include an examination of the establishment, premises, and facilities.</w:t>
      </w:r>
    </w:p>
    <w:p w14:paraId="369EF4A6" w14:textId="77777777" w:rsidR="00893A7F" w:rsidRPr="004C2CD0" w:rsidRDefault="00893A7F" w:rsidP="00893A7F">
      <w:pPr>
        <w:pStyle w:val="A"/>
        <w:rPr>
          <w:rFonts w:eastAsia="Aptos"/>
        </w:rPr>
      </w:pPr>
      <w:r w:rsidRPr="004C2CD0">
        <w:rPr>
          <w:rFonts w:eastAsia="Aptos"/>
        </w:rPr>
        <w:t>C.</w:t>
      </w:r>
      <w:r w:rsidRPr="004C2CD0">
        <w:rPr>
          <w:rFonts w:eastAsia="Aptos"/>
        </w:rPr>
        <w:tab/>
        <w:t xml:space="preserve">The department may provide voluntary inspection services to applicants who meet the following criteria: </w:t>
      </w:r>
    </w:p>
    <w:p w14:paraId="0B1C48CB"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Facility Standards. Each establishment must meet the facility standards set forth in 21 C.F.R. 416.1-.5, regarding the establishment grounds and facilities; equipment and utensils; sanitary operations, and employee hygiene. </w:t>
      </w:r>
    </w:p>
    <w:p w14:paraId="572147F8" w14:textId="77777777" w:rsidR="00893A7F" w:rsidRPr="004C2CD0" w:rsidRDefault="00893A7F" w:rsidP="00893A7F">
      <w:pPr>
        <w:pStyle w:val="1"/>
        <w:rPr>
          <w:rFonts w:eastAsia="Aptos"/>
        </w:rPr>
      </w:pPr>
      <w:r w:rsidRPr="004C2CD0">
        <w:rPr>
          <w:rFonts w:eastAsia="Aptos"/>
        </w:rPr>
        <w:t>2.</w:t>
      </w:r>
      <w:r w:rsidRPr="004C2CD0">
        <w:rPr>
          <w:rFonts w:eastAsia="Aptos"/>
        </w:rPr>
        <w:tab/>
        <w:t xml:space="preserve">Ante-Mortem Inspections and Humane Standards. Each establishment requesting ante-mortem inspections shall meet the following standards: </w:t>
      </w:r>
    </w:p>
    <w:p w14:paraId="32D2E616" w14:textId="77777777" w:rsidR="00893A7F" w:rsidRPr="004C2CD0" w:rsidRDefault="00893A7F" w:rsidP="00893A7F">
      <w:pPr>
        <w:pStyle w:val="a0"/>
        <w:rPr>
          <w:rFonts w:eastAsia="Aptos"/>
        </w:rPr>
      </w:pPr>
      <w:r w:rsidRPr="004C2CD0">
        <w:rPr>
          <w:rFonts w:eastAsia="Aptos"/>
        </w:rPr>
        <w:t>a.</w:t>
      </w:r>
      <w:r w:rsidRPr="004C2CD0">
        <w:rPr>
          <w:rFonts w:eastAsia="Aptos"/>
        </w:rPr>
        <w:tab/>
        <w:t>An ante-mortem inspection of an exotic animal shall, where and to the extent considered necessary by the department and under such instructions as it may issue from time to time, be made on the day of slaughter of an exotic animal, as determined by the department.</w:t>
      </w:r>
    </w:p>
    <w:p w14:paraId="5FD1B088" w14:textId="77777777" w:rsidR="00893A7F" w:rsidRPr="004C2CD0" w:rsidRDefault="00893A7F" w:rsidP="00893A7F">
      <w:pPr>
        <w:pStyle w:val="a0"/>
        <w:rPr>
          <w:rFonts w:eastAsia="Aptos"/>
        </w:rPr>
      </w:pPr>
      <w:r w:rsidRPr="004C2CD0">
        <w:rPr>
          <w:rFonts w:eastAsia="Aptos"/>
        </w:rPr>
        <w:t>b.</w:t>
      </w:r>
      <w:r w:rsidRPr="004C2CD0">
        <w:rPr>
          <w:rFonts w:eastAsia="Aptos"/>
        </w:rPr>
        <w:tab/>
        <w:t>Humane handling of exotic animals during antemortem inspections shall be done in accordance with the provisions of R.S. 3:4203. Immediately after the animal is stunned or killed, it shall be sha</w:t>
      </w:r>
      <w:r>
        <w:rPr>
          <w:rFonts w:eastAsia="Aptos"/>
        </w:rPr>
        <w:t>ckled, hoisted, stuck and bled.</w:t>
      </w:r>
    </w:p>
    <w:p w14:paraId="0A6E49BF" w14:textId="77777777" w:rsidR="00893A7F" w:rsidRPr="004C2CD0" w:rsidRDefault="00893A7F" w:rsidP="00893A7F">
      <w:pPr>
        <w:pStyle w:val="a0"/>
        <w:rPr>
          <w:rFonts w:eastAsia="Aptos"/>
        </w:rPr>
      </w:pPr>
      <w:r w:rsidRPr="004C2CD0">
        <w:rPr>
          <w:rFonts w:eastAsia="Aptos"/>
        </w:rPr>
        <w:t>c.</w:t>
      </w:r>
      <w:r w:rsidRPr="004C2CD0">
        <w:rPr>
          <w:rFonts w:eastAsia="Aptos"/>
        </w:rPr>
        <w:tab/>
        <w:t>Any exotic animal producer must receive prior approval by the district supervisor for any off-site ante-mortem inspection.</w:t>
      </w:r>
    </w:p>
    <w:p w14:paraId="440FCCEC" w14:textId="77777777" w:rsidR="00893A7F" w:rsidRPr="004C2CD0" w:rsidRDefault="00893A7F" w:rsidP="00893A7F">
      <w:pPr>
        <w:pStyle w:val="a0"/>
        <w:rPr>
          <w:rFonts w:eastAsia="Aptos"/>
        </w:rPr>
      </w:pPr>
      <w:r w:rsidRPr="004C2CD0">
        <w:rPr>
          <w:rFonts w:eastAsia="Aptos"/>
        </w:rPr>
        <w:t>d.</w:t>
      </w:r>
      <w:r w:rsidRPr="004C2CD0">
        <w:rPr>
          <w:rFonts w:eastAsia="Aptos"/>
        </w:rPr>
        <w:tab/>
        <w:t>Any establishment desiring ante-mortem inspection service must receive approval of the designated area from the district supervisor or designee prior to the rendition of such service.</w:t>
      </w:r>
    </w:p>
    <w:p w14:paraId="2D355DD7" w14:textId="77777777" w:rsidR="00893A7F" w:rsidRPr="004C2CD0" w:rsidRDefault="00893A7F" w:rsidP="00893A7F">
      <w:pPr>
        <w:pStyle w:val="1"/>
        <w:rPr>
          <w:rFonts w:eastAsia="Aptos"/>
        </w:rPr>
      </w:pPr>
      <w:r w:rsidRPr="004C2CD0">
        <w:rPr>
          <w:rFonts w:eastAsia="Aptos"/>
        </w:rPr>
        <w:t>3.</w:t>
      </w:r>
      <w:r w:rsidRPr="004C2CD0">
        <w:rPr>
          <w:rFonts w:eastAsia="Aptos"/>
        </w:rPr>
        <w:tab/>
        <w:t>Post-Mortem Standards</w:t>
      </w:r>
    </w:p>
    <w:p w14:paraId="735DCE5B" w14:textId="77777777" w:rsidR="00893A7F" w:rsidRPr="004C2CD0" w:rsidRDefault="00893A7F" w:rsidP="00893A7F">
      <w:pPr>
        <w:pStyle w:val="a0"/>
        <w:rPr>
          <w:rFonts w:eastAsia="Aptos"/>
        </w:rPr>
      </w:pPr>
      <w:r w:rsidRPr="004C2CD0">
        <w:rPr>
          <w:rFonts w:eastAsia="Aptos"/>
        </w:rPr>
        <w:t>a.</w:t>
      </w:r>
      <w:r w:rsidRPr="004C2CD0">
        <w:rPr>
          <w:rFonts w:eastAsia="Aptos"/>
        </w:rPr>
        <w:tab/>
        <w:t xml:space="preserve">Products must be wholesome and free from adulteration, as defined in R.S. 3:4201. </w:t>
      </w:r>
    </w:p>
    <w:p w14:paraId="70C25D4F" w14:textId="77777777" w:rsidR="00893A7F" w:rsidRPr="004C2CD0" w:rsidRDefault="00893A7F" w:rsidP="00893A7F">
      <w:pPr>
        <w:pStyle w:val="a0"/>
        <w:rPr>
          <w:rFonts w:eastAsia="Aptos"/>
        </w:rPr>
      </w:pPr>
      <w:r w:rsidRPr="004C2CD0">
        <w:rPr>
          <w:rFonts w:eastAsia="Aptos"/>
        </w:rPr>
        <w:t>b.</w:t>
      </w:r>
      <w:r w:rsidRPr="004C2CD0">
        <w:rPr>
          <w:rFonts w:eastAsia="Aptos"/>
        </w:rPr>
        <w:tab/>
        <w:t xml:space="preserve">Products must be protected from adulteration during processing and storage. </w:t>
      </w:r>
    </w:p>
    <w:p w14:paraId="6B82A166" w14:textId="77777777" w:rsidR="00893A7F" w:rsidRPr="004C2CD0" w:rsidRDefault="00893A7F" w:rsidP="00893A7F">
      <w:pPr>
        <w:pStyle w:val="a0"/>
        <w:rPr>
          <w:rFonts w:eastAsia="Aptos"/>
        </w:rPr>
      </w:pPr>
      <w:r w:rsidRPr="004C2CD0">
        <w:rPr>
          <w:rFonts w:eastAsia="Aptos"/>
        </w:rPr>
        <w:lastRenderedPageBreak/>
        <w:t>c.</w:t>
      </w:r>
      <w:r w:rsidRPr="004C2CD0">
        <w:rPr>
          <w:rFonts w:eastAsia="Aptos"/>
        </w:rPr>
        <w:tab/>
        <w:t>Products must be accurately labeled.</w:t>
      </w:r>
    </w:p>
    <w:p w14:paraId="0D76B015" w14:textId="77777777" w:rsidR="00893A7F" w:rsidRPr="004C2CD0" w:rsidRDefault="00893A7F" w:rsidP="00893A7F">
      <w:pPr>
        <w:pStyle w:val="A"/>
        <w:rPr>
          <w:rFonts w:eastAsia="Aptos"/>
        </w:rPr>
      </w:pPr>
      <w:r w:rsidRPr="004C2CD0">
        <w:rPr>
          <w:rFonts w:eastAsia="Aptos"/>
        </w:rPr>
        <w:t>D.</w:t>
      </w:r>
      <w:r w:rsidRPr="004C2CD0">
        <w:rPr>
          <w:rFonts w:eastAsia="Aptos"/>
        </w:rPr>
        <w:tab/>
        <w:t>Upon approval of an initial application for voluntary inspection for exotic animals, the Department shall issue a letter of approval notifying the applicant.</w:t>
      </w:r>
    </w:p>
    <w:p w14:paraId="1D4DCA02" w14:textId="77777777" w:rsidR="00893A7F" w:rsidRPr="004C2CD0" w:rsidRDefault="00893A7F" w:rsidP="00893A7F">
      <w:pPr>
        <w:pStyle w:val="A"/>
        <w:rPr>
          <w:rFonts w:eastAsia="Aptos"/>
        </w:rPr>
      </w:pPr>
      <w:r w:rsidRPr="004C2CD0">
        <w:rPr>
          <w:rFonts w:eastAsia="Aptos"/>
        </w:rPr>
        <w:t>E.</w:t>
      </w:r>
      <w:r w:rsidRPr="004C2CD0">
        <w:rPr>
          <w:rFonts w:eastAsia="Aptos"/>
        </w:rPr>
        <w:tab/>
        <w:t xml:space="preserve">Each subsequent individual request for inspection services by that applicant must also be approved. The applicant must submit a request for each individual date on which inspection services are requested. Each request must be approved by the Department. The Department will notify the establishment if the requested date of inspection services is approved. </w:t>
      </w:r>
    </w:p>
    <w:p w14:paraId="4C4B60EE" w14:textId="77777777" w:rsidR="00893A7F" w:rsidRPr="004C2CD0" w:rsidRDefault="00893A7F" w:rsidP="00893A7F">
      <w:pPr>
        <w:pStyle w:val="A"/>
        <w:rPr>
          <w:rFonts w:eastAsia="Aptos"/>
        </w:rPr>
      </w:pPr>
      <w:r w:rsidRPr="004C2CD0">
        <w:rPr>
          <w:rFonts w:eastAsia="Aptos"/>
        </w:rPr>
        <w:t>F.</w:t>
      </w:r>
      <w:r w:rsidRPr="004C2CD0">
        <w:rPr>
          <w:rFonts w:eastAsia="Aptos"/>
        </w:rPr>
        <w:tab/>
        <w:t>An applicant shall be notified of the decision to reject an application or request for service and the reasons therefore.</w:t>
      </w:r>
    </w:p>
    <w:p w14:paraId="02D258C4"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5AA4038F"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14:paraId="6129732B" w14:textId="77777777" w:rsidR="00893A7F" w:rsidRPr="004C2CD0" w:rsidRDefault="00893A7F" w:rsidP="00893A7F">
      <w:pPr>
        <w:pStyle w:val="Section"/>
        <w:rPr>
          <w:rFonts w:eastAsia="Aptos"/>
        </w:rPr>
      </w:pPr>
      <w:bookmarkStart w:id="3007" w:name="_Toc224819462"/>
      <w:r w:rsidRPr="004C2CD0">
        <w:rPr>
          <w:rFonts w:eastAsia="Aptos"/>
        </w:rPr>
        <w:t>§307.</w:t>
      </w:r>
      <w:r w:rsidRPr="004C2CD0">
        <w:rPr>
          <w:rFonts w:eastAsia="Aptos"/>
        </w:rPr>
        <w:tab/>
        <w:t>Fees</w:t>
      </w:r>
      <w:bookmarkEnd w:id="3007"/>
    </w:p>
    <w:p w14:paraId="0E3430E2"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Voluntary inspection services for exotic animal processing is fee-based and shall be made available only to establishments in good standing and not delinquent on payment of fees. The purchase of an annual license is not required. </w:t>
      </w:r>
    </w:p>
    <w:p w14:paraId="03441609"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The hourly fee for voluntary inspection services for exotic animal processing is $40 per hour, billed on a quarter-hour basis, to be paid by the applicant. </w:t>
      </w:r>
    </w:p>
    <w:p w14:paraId="660E1921" w14:textId="77777777" w:rsidR="00893A7F" w:rsidRPr="004C2CD0" w:rsidRDefault="00893A7F" w:rsidP="00893A7F">
      <w:pPr>
        <w:pStyle w:val="A"/>
        <w:rPr>
          <w:rFonts w:eastAsia="Aptos"/>
        </w:rPr>
      </w:pPr>
      <w:r w:rsidRPr="004C2CD0">
        <w:rPr>
          <w:rFonts w:eastAsia="Aptos"/>
        </w:rPr>
        <w:t>C.</w:t>
      </w:r>
      <w:r w:rsidRPr="004C2CD0">
        <w:rPr>
          <w:rFonts w:eastAsia="Aptos"/>
        </w:rPr>
        <w:tab/>
        <w:t xml:space="preserve">Upon completion of inspection services, the department will provide the establishment a Voluntary Exotic Inspection Report. This report will indicate the number of hours per month, calculated to the nearest quarter hour, of inspection services provided as well as the total fee owed for inspection services. A representative of the establishment will be required to sign the report. </w:t>
      </w:r>
    </w:p>
    <w:p w14:paraId="45E6FA3B" w14:textId="77777777" w:rsidR="00893A7F" w:rsidRPr="004C2CD0" w:rsidRDefault="00893A7F" w:rsidP="00893A7F">
      <w:pPr>
        <w:pStyle w:val="A"/>
        <w:rPr>
          <w:rFonts w:eastAsia="Aptos"/>
        </w:rPr>
      </w:pPr>
      <w:r w:rsidRPr="004C2CD0">
        <w:rPr>
          <w:rFonts w:eastAsia="Aptos"/>
        </w:rPr>
        <w:t>D.</w:t>
      </w:r>
      <w:r w:rsidRPr="004C2CD0">
        <w:rPr>
          <w:rFonts w:eastAsia="Aptos"/>
        </w:rPr>
        <w:tab/>
        <w:t xml:space="preserve">At a subsequent date, the department will provide an invoice for the fee, which must be paid in full within 30 days of receipt. </w:t>
      </w:r>
    </w:p>
    <w:p w14:paraId="491A81D9" w14:textId="77777777" w:rsidR="00893A7F" w:rsidRPr="004C2CD0" w:rsidRDefault="00893A7F" w:rsidP="00893A7F">
      <w:pPr>
        <w:pStyle w:val="A"/>
        <w:rPr>
          <w:rFonts w:eastAsia="Aptos"/>
        </w:rPr>
      </w:pPr>
      <w:r w:rsidRPr="004C2CD0">
        <w:rPr>
          <w:rFonts w:eastAsia="Aptos"/>
        </w:rPr>
        <w:t>E.</w:t>
      </w:r>
      <w:r w:rsidRPr="004C2CD0">
        <w:rPr>
          <w:rFonts w:eastAsia="Aptos"/>
        </w:rPr>
        <w:tab/>
        <w:t xml:space="preserve">Failure to pay fees for voluntary exotic inspection services will result in the refusal of further services and will be subject to collections. </w:t>
      </w:r>
    </w:p>
    <w:p w14:paraId="18F44890"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6E9070E9"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14:paraId="3648881E" w14:textId="77777777" w:rsidR="00893A7F" w:rsidRPr="004C2CD0" w:rsidRDefault="00893A7F" w:rsidP="00893A7F">
      <w:pPr>
        <w:pStyle w:val="Section"/>
        <w:rPr>
          <w:rFonts w:eastAsia="Aptos"/>
        </w:rPr>
      </w:pPr>
      <w:bookmarkStart w:id="3008" w:name="_Toc224819463"/>
      <w:r w:rsidRPr="004C2CD0">
        <w:rPr>
          <w:rFonts w:eastAsia="Aptos"/>
        </w:rPr>
        <w:t>§309.</w:t>
      </w:r>
      <w:r w:rsidRPr="004C2CD0">
        <w:rPr>
          <w:rFonts w:eastAsia="Aptos"/>
        </w:rPr>
        <w:tab/>
        <w:t>Facility Standards</w:t>
      </w:r>
      <w:bookmarkEnd w:id="3008"/>
    </w:p>
    <w:p w14:paraId="179AA8EA"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All approved establishments shall be operated and maintained in a manner sufficient to prevent the creation of unsanitary conditions and to ensure that products are not adulterated. </w:t>
      </w:r>
    </w:p>
    <w:p w14:paraId="234ECD76"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All approved establishments must comply with the sanitation standards set forth in 9 CFR 416.1-416.5. </w:t>
      </w:r>
    </w:p>
    <w:p w14:paraId="212CE10A"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Establishments may request a waiver from certain provisions of 9 CFR 416.1-416.5. Requests for such waivers </w:t>
      </w:r>
      <w:r w:rsidRPr="004C2CD0">
        <w:rPr>
          <w:rFonts w:eastAsia="Aptos"/>
        </w:rPr>
        <w:t xml:space="preserve">must be submitted, in writing, to the district supervisor. Approvals of waiver requests must be in writing. </w:t>
      </w:r>
    </w:p>
    <w:p w14:paraId="51C206D0"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1B8C2CA9"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14:paraId="6B9A13BA" w14:textId="77777777" w:rsidR="00893A7F" w:rsidRPr="004C2CD0" w:rsidRDefault="00893A7F" w:rsidP="00893A7F">
      <w:pPr>
        <w:pStyle w:val="Section"/>
        <w:rPr>
          <w:rFonts w:eastAsia="Aptos"/>
        </w:rPr>
      </w:pPr>
      <w:bookmarkStart w:id="3009" w:name="_Toc224819464"/>
      <w:r w:rsidRPr="004C2CD0">
        <w:rPr>
          <w:rFonts w:eastAsia="Aptos"/>
        </w:rPr>
        <w:t>§311.</w:t>
      </w:r>
      <w:r w:rsidRPr="004C2CD0">
        <w:rPr>
          <w:rFonts w:eastAsia="Aptos"/>
        </w:rPr>
        <w:tab/>
        <w:t>Operating Times</w:t>
      </w:r>
      <w:bookmarkEnd w:id="3009"/>
    </w:p>
    <w:p w14:paraId="10F3B997" w14:textId="77777777" w:rsidR="00893A7F" w:rsidRPr="004C2CD0" w:rsidRDefault="00893A7F" w:rsidP="00893A7F">
      <w:pPr>
        <w:pStyle w:val="A"/>
        <w:rPr>
          <w:rFonts w:eastAsia="Aptos"/>
        </w:rPr>
      </w:pPr>
      <w:r w:rsidRPr="004C2CD0">
        <w:rPr>
          <w:rFonts w:eastAsia="Aptos"/>
        </w:rPr>
        <w:t>A.</w:t>
      </w:r>
      <w:r w:rsidRPr="004C2CD0">
        <w:rPr>
          <w:rFonts w:eastAsia="Aptos"/>
        </w:rPr>
        <w:tab/>
        <w:t>Voluntary inspection services may be made available on non-holiday weekdays, at a minimum of two hours and no more than eight total hours in a given day to be approved in advance by the district supervisor.</w:t>
      </w:r>
    </w:p>
    <w:p w14:paraId="7123826F"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7A4FDF72"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Depa3tment of Agriculture and Forestry, Office of Animal Health and Food Safety, LR 51:</w:t>
      </w:r>
      <w:r>
        <w:rPr>
          <w:rFonts w:eastAsia="Aptos"/>
        </w:rPr>
        <w:t>779 (June 2025).</w:t>
      </w:r>
    </w:p>
    <w:p w14:paraId="653C13D2" w14:textId="77777777" w:rsidR="00893A7F" w:rsidRPr="004C2CD0" w:rsidRDefault="00893A7F" w:rsidP="00893A7F">
      <w:pPr>
        <w:pStyle w:val="Section"/>
        <w:rPr>
          <w:rFonts w:eastAsia="Aptos"/>
        </w:rPr>
      </w:pPr>
      <w:bookmarkStart w:id="3010" w:name="_Toc224819465"/>
      <w:r w:rsidRPr="004C2CD0">
        <w:rPr>
          <w:rFonts w:eastAsia="Aptos"/>
        </w:rPr>
        <w:t>§313.</w:t>
      </w:r>
      <w:r w:rsidRPr="004C2CD0">
        <w:rPr>
          <w:rFonts w:eastAsia="Aptos"/>
        </w:rPr>
        <w:tab/>
        <w:t>Antemortem Examination and Humane Standards.</w:t>
      </w:r>
      <w:bookmarkEnd w:id="3010"/>
    </w:p>
    <w:p w14:paraId="4CD13F6C" w14:textId="77777777" w:rsidR="00893A7F" w:rsidRPr="004C2CD0" w:rsidRDefault="00893A7F" w:rsidP="00893A7F">
      <w:pPr>
        <w:pStyle w:val="A"/>
        <w:rPr>
          <w:rFonts w:eastAsia="Aptos"/>
        </w:rPr>
      </w:pPr>
      <w:r w:rsidRPr="004C2CD0">
        <w:rPr>
          <w:rFonts w:eastAsia="Aptos"/>
        </w:rPr>
        <w:t>A.</w:t>
      </w:r>
      <w:r w:rsidRPr="004C2CD0">
        <w:rPr>
          <w:rFonts w:eastAsia="Aptos"/>
        </w:rPr>
        <w:tab/>
        <w:t>An ante-mortem inspection of an exotic animal shall, where and to the extent considered necessary by the department and under such instructions as it may issue from time to time, be made on the day of slaughter of an exotic animal, as determined by the department.</w:t>
      </w:r>
    </w:p>
    <w:p w14:paraId="127AEDCD" w14:textId="77777777" w:rsidR="00893A7F" w:rsidRPr="004C2CD0" w:rsidRDefault="00893A7F" w:rsidP="00893A7F">
      <w:pPr>
        <w:pStyle w:val="A"/>
        <w:rPr>
          <w:rFonts w:eastAsia="Aptos"/>
        </w:rPr>
      </w:pPr>
      <w:r w:rsidRPr="004C2CD0">
        <w:rPr>
          <w:rFonts w:eastAsia="Aptos"/>
        </w:rPr>
        <w:t>B.</w:t>
      </w:r>
      <w:r w:rsidRPr="004C2CD0">
        <w:rPr>
          <w:rFonts w:eastAsia="Aptos"/>
        </w:rPr>
        <w:tab/>
        <w:t>Humane handling of an exotic animal during antemortem inspection shall be in accordance with the provisions contained in R.S. 3:4203. Immediately after the animal is stunned or killed, it shall be shackled, hoisted, stuck and bled.</w:t>
      </w:r>
    </w:p>
    <w:p w14:paraId="1101839A"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The department may refuse or temporarily suspend inspection at an establishment if it finds that any exotic animals have been slaughtered or handled in connection with slaughter by any method not in accordance with the Federal Humane Methods of Livestock Slaughter Act (7 U.S.C. §1901 et seq.). The refusal to inspect or suspension shall continue until the establishment comes into compliance herewith. </w:t>
      </w:r>
    </w:p>
    <w:p w14:paraId="02227248" w14:textId="77777777" w:rsidR="00893A7F" w:rsidRPr="004C2CD0" w:rsidRDefault="00893A7F" w:rsidP="00893A7F">
      <w:pPr>
        <w:pStyle w:val="A"/>
        <w:rPr>
          <w:rFonts w:eastAsia="Aptos"/>
        </w:rPr>
      </w:pPr>
      <w:r w:rsidRPr="004C2CD0">
        <w:rPr>
          <w:rFonts w:eastAsia="Aptos"/>
        </w:rPr>
        <w:t>C.</w:t>
      </w:r>
      <w:r w:rsidRPr="004C2CD0">
        <w:rPr>
          <w:rFonts w:eastAsia="Aptos"/>
        </w:rPr>
        <w:tab/>
        <w:t xml:space="preserve">All establishments requesting offsite ante-mortem inspection services must submit requests, in writing, to the district supervisor, and receive prior approval no less than 48 hours in advance of the requested off-site ante-mortem inspection. </w:t>
      </w:r>
    </w:p>
    <w:p w14:paraId="7E86E4A2"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17FE08B4"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14:paraId="07A09086" w14:textId="77777777" w:rsidR="00893A7F" w:rsidRPr="004C2CD0" w:rsidRDefault="00893A7F" w:rsidP="00893A7F">
      <w:pPr>
        <w:pStyle w:val="Section"/>
        <w:rPr>
          <w:rFonts w:eastAsia="Aptos"/>
        </w:rPr>
      </w:pPr>
      <w:bookmarkStart w:id="3011" w:name="_Toc224819466"/>
      <w:r w:rsidRPr="004C2CD0">
        <w:rPr>
          <w:rFonts w:eastAsia="Aptos"/>
        </w:rPr>
        <w:t>§315.</w:t>
      </w:r>
      <w:r w:rsidRPr="004C2CD0">
        <w:rPr>
          <w:rFonts w:eastAsia="Aptos"/>
        </w:rPr>
        <w:tab/>
        <w:t>Postmortem Examination Standards</w:t>
      </w:r>
      <w:bookmarkEnd w:id="3011"/>
    </w:p>
    <w:p w14:paraId="35D521D2"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All products receiving voluntary exotic inspection services must be wholesome and free of adulteration, as defined in R.S. 3:4201, during processing and storage. </w:t>
      </w:r>
    </w:p>
    <w:p w14:paraId="4C7F5785"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All products receiving voluntary exotic inspection services must be accurately marked or labeled, as required by this Chapter. </w:t>
      </w:r>
    </w:p>
    <w:p w14:paraId="4C4D682D"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50A25E8A" w14:textId="77777777" w:rsidR="00893A7F" w:rsidRPr="004C2CD0" w:rsidRDefault="00893A7F" w:rsidP="00893A7F">
      <w:pPr>
        <w:pStyle w:val="HistoricalNote"/>
        <w:rPr>
          <w:rFonts w:eastAsia="Aptos"/>
        </w:rPr>
      </w:pPr>
      <w:r w:rsidRPr="004C2CD0">
        <w:rPr>
          <w:rFonts w:eastAsia="Aptos"/>
        </w:rPr>
        <w:lastRenderedPageBreak/>
        <w:t>HISTORICAL NOTE:</w:t>
      </w:r>
      <w:r w:rsidRPr="004C2CD0">
        <w:rPr>
          <w:rFonts w:eastAsia="Aptos"/>
        </w:rPr>
        <w:tab/>
        <w:t>Promulgated by the Department of Agriculture and Forestry, Office of Animal Health and Food Safety, LR 51:</w:t>
      </w:r>
      <w:r>
        <w:rPr>
          <w:rFonts w:eastAsia="Aptos"/>
        </w:rPr>
        <w:t>779 (June 2025).</w:t>
      </w:r>
    </w:p>
    <w:p w14:paraId="0011A5F5" w14:textId="77777777" w:rsidR="00893A7F" w:rsidRPr="004C2CD0" w:rsidRDefault="00893A7F" w:rsidP="00893A7F">
      <w:pPr>
        <w:pStyle w:val="Section"/>
        <w:rPr>
          <w:rFonts w:eastAsia="Aptos"/>
        </w:rPr>
      </w:pPr>
      <w:bookmarkStart w:id="3012" w:name="_Toc224819467"/>
      <w:r w:rsidRPr="004C2CD0">
        <w:rPr>
          <w:rFonts w:eastAsia="Aptos"/>
        </w:rPr>
        <w:t>§317.</w:t>
      </w:r>
      <w:r w:rsidRPr="004C2CD0">
        <w:rPr>
          <w:rFonts w:eastAsia="Aptos"/>
        </w:rPr>
        <w:tab/>
        <w:t>Marking</w:t>
      </w:r>
      <w:bookmarkEnd w:id="3012"/>
    </w:p>
    <w:p w14:paraId="401868F8"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A mark indicating voluntary exotic inspection may be applied only to animal carcasses, parts, and packaging thereof that have been inspected and passed in accordance with the standards set forth in this Chapter. </w:t>
      </w:r>
    </w:p>
    <w:p w14:paraId="037FB815" w14:textId="77777777" w:rsidR="00893A7F" w:rsidRPr="004C2CD0" w:rsidRDefault="00893A7F" w:rsidP="00893A7F">
      <w:pPr>
        <w:pStyle w:val="A"/>
        <w:rPr>
          <w:rFonts w:eastAsia="Aptos"/>
        </w:rPr>
      </w:pPr>
      <w:r w:rsidRPr="004C2CD0">
        <w:rPr>
          <w:rFonts w:eastAsia="Aptos"/>
        </w:rPr>
        <w:t>B.</w:t>
      </w:r>
      <w:r w:rsidRPr="004C2CD0">
        <w:rPr>
          <w:rFonts w:eastAsia="Aptos"/>
        </w:rPr>
        <w:tab/>
        <w:t>Except as otherwise authorized by the department, the official inspection mark applied to inspected exotic animal carcasses, meat or meat food products under this part shall include wording as follows: “LA Exotic Inspected”.</w:t>
      </w:r>
    </w:p>
    <w:p w14:paraId="55C5B167"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1C33A9F7"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14:paraId="050C31A4" w14:textId="77777777" w:rsidR="00893A7F" w:rsidRPr="004C2CD0" w:rsidRDefault="00893A7F" w:rsidP="00893A7F">
      <w:pPr>
        <w:pStyle w:val="Section"/>
        <w:rPr>
          <w:rFonts w:eastAsia="Aptos"/>
        </w:rPr>
      </w:pPr>
      <w:bookmarkStart w:id="3013" w:name="_Toc224819468"/>
      <w:r w:rsidRPr="004C2CD0">
        <w:rPr>
          <w:rFonts w:eastAsia="Aptos"/>
        </w:rPr>
        <w:t>§319.</w:t>
      </w:r>
      <w:r w:rsidRPr="004C2CD0">
        <w:rPr>
          <w:rFonts w:eastAsia="Aptos"/>
        </w:rPr>
        <w:tab/>
        <w:t>Recall/Public Health Notice</w:t>
      </w:r>
      <w:bookmarkEnd w:id="3013"/>
      <w:r w:rsidRPr="004C2CD0">
        <w:rPr>
          <w:rFonts w:eastAsia="Aptos"/>
        </w:rPr>
        <w:t xml:space="preserve"> </w:t>
      </w:r>
    </w:p>
    <w:p w14:paraId="3FD909F0"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The department may recommend a recall or issue a public health notice on products in commerce that are voluntarily inspected in accordance with this Chapter and that the department identifies as adulterated or misbranded as defined in R.S. §3:4201. </w:t>
      </w:r>
    </w:p>
    <w:p w14:paraId="045F2039"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5063CAA0"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14:paraId="1F614481" w14:textId="77777777" w:rsidR="00893A7F" w:rsidRPr="004C2CD0" w:rsidRDefault="00893A7F" w:rsidP="00893A7F">
      <w:pPr>
        <w:pStyle w:val="Section"/>
        <w:rPr>
          <w:rFonts w:eastAsia="Aptos"/>
        </w:rPr>
      </w:pPr>
      <w:bookmarkStart w:id="3014" w:name="_Toc224819469"/>
      <w:r w:rsidRPr="004C2CD0">
        <w:rPr>
          <w:rFonts w:eastAsia="Aptos"/>
        </w:rPr>
        <w:t>§321.</w:t>
      </w:r>
      <w:r w:rsidRPr="004C2CD0">
        <w:rPr>
          <w:rFonts w:eastAsia="Aptos"/>
        </w:rPr>
        <w:tab/>
        <w:t>Detention of Product</w:t>
      </w:r>
      <w:bookmarkEnd w:id="3014"/>
      <w:r w:rsidRPr="004C2CD0">
        <w:rPr>
          <w:rFonts w:eastAsia="Aptos"/>
        </w:rPr>
        <w:t xml:space="preserve"> </w:t>
      </w:r>
    </w:p>
    <w:p w14:paraId="718DBD4F" w14:textId="77777777" w:rsidR="00893A7F" w:rsidRPr="004C2CD0" w:rsidRDefault="00893A7F" w:rsidP="00893A7F">
      <w:pPr>
        <w:pStyle w:val="A"/>
        <w:rPr>
          <w:rFonts w:eastAsia="Aptos"/>
        </w:rPr>
      </w:pPr>
      <w:r w:rsidRPr="004C2CD0">
        <w:rPr>
          <w:rFonts w:eastAsia="Aptos"/>
        </w:rPr>
        <w:t>A.</w:t>
      </w:r>
      <w:r w:rsidRPr="004C2CD0">
        <w:rPr>
          <w:rFonts w:eastAsia="Aptos"/>
        </w:rPr>
        <w:tab/>
        <w:t>Whenever carcasses, parts of carcasses, meat, or meat food product of exotic animals, or any product exempted from the definition of meat food product or poultry product, or any dead, dying, disabled or diseased animal or fowl described above is found by any authorized representative of the department upon any premises of an approved establishment where it is held for purposes of, or during or after distribution in intrastate commerce, and there is reason to believe that any such article is adulterated or misbranded and is capable of use as human food, or that it has not been inspected, in violation of the provisions of this Chapter, or that such article or animal has been or is intended to be, distributed in violation of any such provisions, it may be detained by such representative for a period not to exceed twenty days, pending action under R.S. 3:4225 or notification of any authorities having jurisdiction over such article or animal, and shall not be moved by any person, entity, firm, or corporation from the place at which it is located when so detained, until released by the department. All official marks may be required by the department to be removed from such article or animal before it is released unless it appears to the satisfaction of the department that the article or animal is eligible to retain such marks.</w:t>
      </w:r>
    </w:p>
    <w:p w14:paraId="65A48598"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73A608D5"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14:paraId="43ADD3CE" w14:textId="77777777" w:rsidR="00893A7F" w:rsidRPr="004C2CD0" w:rsidRDefault="00893A7F" w:rsidP="00893A7F">
      <w:pPr>
        <w:pStyle w:val="Section"/>
        <w:rPr>
          <w:rFonts w:eastAsia="Aptos"/>
        </w:rPr>
      </w:pPr>
      <w:bookmarkStart w:id="3015" w:name="_Toc224819470"/>
      <w:r w:rsidRPr="004C2CD0">
        <w:rPr>
          <w:rFonts w:eastAsia="Aptos"/>
        </w:rPr>
        <w:t>§323.</w:t>
      </w:r>
      <w:r w:rsidRPr="004C2CD0">
        <w:rPr>
          <w:rFonts w:eastAsia="Aptos"/>
        </w:rPr>
        <w:tab/>
        <w:t>Appeals from Decisions</w:t>
      </w:r>
      <w:bookmarkEnd w:id="3015"/>
    </w:p>
    <w:p w14:paraId="7EA36C8F"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Any establishment that receives voluntary exotic inspection services may appeal or dispute any decision made by an inspector in accordance with the procedures set forth in this Chapter. </w:t>
      </w:r>
    </w:p>
    <w:p w14:paraId="5E88AB46"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If an establishment disputes any decision made by any inspector in the program, such establishment shall first make its objections known to the inspector. </w:t>
      </w:r>
    </w:p>
    <w:p w14:paraId="3C1F8A0D" w14:textId="77777777" w:rsidR="00893A7F" w:rsidRPr="004C2CD0" w:rsidRDefault="00893A7F" w:rsidP="00893A7F">
      <w:pPr>
        <w:pStyle w:val="A"/>
        <w:rPr>
          <w:rFonts w:eastAsia="Aptos"/>
        </w:rPr>
      </w:pPr>
      <w:r w:rsidRPr="004C2CD0">
        <w:rPr>
          <w:rFonts w:eastAsia="Aptos"/>
        </w:rPr>
        <w:t>C.</w:t>
      </w:r>
      <w:r w:rsidRPr="004C2CD0">
        <w:rPr>
          <w:rFonts w:eastAsia="Aptos"/>
        </w:rPr>
        <w:tab/>
        <w:t xml:space="preserve">If the establishment and the inspector cannot resolve the dispute, the establishment shall immediately notify the area supervisor of the dispute and the basis for the dispute. </w:t>
      </w:r>
    </w:p>
    <w:p w14:paraId="20FFE499" w14:textId="77777777" w:rsidR="00893A7F" w:rsidRPr="004C2CD0" w:rsidRDefault="00893A7F" w:rsidP="00893A7F">
      <w:pPr>
        <w:pStyle w:val="A"/>
        <w:rPr>
          <w:rFonts w:eastAsia="Aptos"/>
        </w:rPr>
      </w:pPr>
      <w:r w:rsidRPr="004C2CD0">
        <w:rPr>
          <w:rFonts w:eastAsia="Aptos"/>
        </w:rPr>
        <w:t>D.</w:t>
      </w:r>
      <w:r w:rsidRPr="004C2CD0">
        <w:rPr>
          <w:rFonts w:eastAsia="Aptos"/>
        </w:rPr>
        <w:tab/>
        <w:t xml:space="preserve">If the dispute cannot be resolved by conference with the area supervisor, the establishment shall then notify the department's program manager of the meat and poultry inspection program within three business days after the conference. Such notification may be verbal but shall be confirmed in writing within three days after the verbal notification. </w:t>
      </w:r>
    </w:p>
    <w:p w14:paraId="13F18D30" w14:textId="77777777" w:rsidR="00893A7F" w:rsidRPr="004C2CD0" w:rsidRDefault="00893A7F" w:rsidP="00893A7F">
      <w:pPr>
        <w:pStyle w:val="A"/>
        <w:rPr>
          <w:rFonts w:eastAsia="Aptos"/>
        </w:rPr>
      </w:pPr>
      <w:r w:rsidRPr="004C2CD0">
        <w:rPr>
          <w:rFonts w:eastAsia="Aptos"/>
        </w:rPr>
        <w:t>E.</w:t>
      </w:r>
      <w:r w:rsidRPr="004C2CD0">
        <w:rPr>
          <w:rFonts w:eastAsia="Aptos"/>
        </w:rPr>
        <w:tab/>
        <w:t xml:space="preserve">If the establishment and the program manager cannot resolve the dispute, the establishment may petition the commissioner, in writing, for a resolution of the dispute within three business days after the program manager makes his decision. </w:t>
      </w:r>
    </w:p>
    <w:p w14:paraId="34C2287B" w14:textId="77777777" w:rsidR="00893A7F" w:rsidRPr="004C2CD0" w:rsidRDefault="00893A7F" w:rsidP="00893A7F">
      <w:pPr>
        <w:pStyle w:val="A"/>
        <w:rPr>
          <w:rFonts w:eastAsia="Aptos"/>
        </w:rPr>
      </w:pPr>
      <w:r w:rsidRPr="004C2CD0">
        <w:rPr>
          <w:rFonts w:eastAsia="Aptos"/>
        </w:rPr>
        <w:t>F.</w:t>
      </w:r>
      <w:r w:rsidRPr="004C2CD0">
        <w:rPr>
          <w:rFonts w:eastAsia="Aptos"/>
        </w:rPr>
        <w:tab/>
        <w:t xml:space="preserve">The commissioner may appoint a designee to mediate the dispute. </w:t>
      </w:r>
    </w:p>
    <w:p w14:paraId="1797B973" w14:textId="77777777" w:rsidR="00893A7F" w:rsidRPr="004C2CD0" w:rsidRDefault="00893A7F" w:rsidP="00893A7F">
      <w:pPr>
        <w:pStyle w:val="A"/>
        <w:rPr>
          <w:rFonts w:eastAsia="Aptos"/>
        </w:rPr>
      </w:pPr>
      <w:r w:rsidRPr="004C2CD0">
        <w:rPr>
          <w:rFonts w:eastAsia="Aptos"/>
        </w:rPr>
        <w:t>G.</w:t>
      </w:r>
      <w:r w:rsidRPr="004C2CD0">
        <w:rPr>
          <w:rFonts w:eastAsia="Aptos"/>
        </w:rPr>
        <w:tab/>
        <w:t xml:space="preserve">If the mediation is unsuccessful or if the commissioner determines that a public hearing is necessary to resolve the dispute, the commissioner may set a public hearing before a hearing officer to resolve the dispute. Any public hearing shall be conducted in accordance with the Administrative Procedure Act. The hearing officer shall make recommendations to the commissioner. The commissioner may adopt the recommendations of the hearing officer or issue a written determination of his own. </w:t>
      </w:r>
    </w:p>
    <w:p w14:paraId="32B21E2F" w14:textId="77777777" w:rsidR="00893A7F" w:rsidRPr="004C2CD0" w:rsidRDefault="00893A7F" w:rsidP="00893A7F">
      <w:pPr>
        <w:pStyle w:val="A"/>
        <w:rPr>
          <w:rFonts w:eastAsia="Aptos"/>
        </w:rPr>
      </w:pPr>
      <w:r w:rsidRPr="004C2CD0">
        <w:rPr>
          <w:rFonts w:eastAsia="Aptos"/>
        </w:rPr>
        <w:t>H.</w:t>
      </w:r>
      <w:r w:rsidRPr="004C2CD0">
        <w:rPr>
          <w:rFonts w:eastAsia="Aptos"/>
        </w:rPr>
        <w:tab/>
        <w:t xml:space="preserve">Any decision by the commissioner is final and may be appealable as provided in the Administrative Procedure Act. </w:t>
      </w:r>
    </w:p>
    <w:p w14:paraId="763CCDC2"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15AE7FC5"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14:paraId="62685872" w14:textId="77777777" w:rsidR="00893A7F" w:rsidRPr="004C2CD0" w:rsidRDefault="00893A7F" w:rsidP="00893A7F">
      <w:pPr>
        <w:pStyle w:val="Section"/>
        <w:rPr>
          <w:rFonts w:eastAsia="Aptos"/>
        </w:rPr>
      </w:pPr>
      <w:bookmarkStart w:id="3016" w:name="_Toc224819471"/>
      <w:r w:rsidRPr="004C2CD0">
        <w:rPr>
          <w:rFonts w:eastAsia="Aptos"/>
        </w:rPr>
        <w:t>§325.</w:t>
      </w:r>
      <w:r w:rsidRPr="004C2CD0">
        <w:rPr>
          <w:rFonts w:eastAsia="Aptos"/>
        </w:rPr>
        <w:tab/>
        <w:t>Condemnation and seizure</w:t>
      </w:r>
      <w:bookmarkEnd w:id="3016"/>
    </w:p>
    <w:p w14:paraId="5815E9E0"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The department may recommend immediate condemnation and destruction of any carcass, part of carcass, meat or meat food product of exotic animals, or any dead, dying, disabled, or diseased exotic animal or poultry described above that is being transported in intrastate commerce, or is held for sale in this state after such transportation, and that: </w:t>
      </w:r>
    </w:p>
    <w:p w14:paraId="5BBA15C2"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is or has been prepared, sold, transported or otherwise distributed or offered or received for distribution in violation of this Chapter; </w:t>
      </w:r>
    </w:p>
    <w:p w14:paraId="0CE19616" w14:textId="77777777" w:rsidR="00893A7F" w:rsidRPr="004C2CD0" w:rsidRDefault="00893A7F" w:rsidP="00893A7F">
      <w:pPr>
        <w:pStyle w:val="1"/>
        <w:rPr>
          <w:rFonts w:eastAsia="Aptos"/>
        </w:rPr>
      </w:pPr>
      <w:r w:rsidRPr="004C2CD0">
        <w:rPr>
          <w:rFonts w:eastAsia="Aptos"/>
        </w:rPr>
        <w:t>2.</w:t>
      </w:r>
      <w:r w:rsidRPr="004C2CD0">
        <w:rPr>
          <w:rFonts w:eastAsia="Aptos"/>
        </w:rPr>
        <w:tab/>
        <w:t xml:space="preserve">is intended for use as human food and is adulterated or misbranded; or </w:t>
      </w:r>
    </w:p>
    <w:p w14:paraId="45477EF7" w14:textId="77777777" w:rsidR="00893A7F" w:rsidRPr="004C2CD0" w:rsidRDefault="00893A7F" w:rsidP="00893A7F">
      <w:pPr>
        <w:pStyle w:val="1"/>
        <w:rPr>
          <w:rFonts w:eastAsia="Aptos"/>
        </w:rPr>
      </w:pPr>
      <w:r w:rsidRPr="004C2CD0">
        <w:rPr>
          <w:rFonts w:eastAsia="Aptos"/>
        </w:rPr>
        <w:lastRenderedPageBreak/>
        <w:t>3.</w:t>
      </w:r>
      <w:r w:rsidRPr="004C2CD0">
        <w:rPr>
          <w:rFonts w:eastAsia="Aptos"/>
        </w:rPr>
        <w:tab/>
        <w:t xml:space="preserve">in any other way is in violation of this Chapter. </w:t>
      </w:r>
    </w:p>
    <w:p w14:paraId="62DEB3AD" w14:textId="77777777" w:rsidR="00893A7F" w:rsidRPr="004C2CD0" w:rsidRDefault="00893A7F" w:rsidP="00893A7F">
      <w:pPr>
        <w:pStyle w:val="A"/>
        <w:rPr>
          <w:rFonts w:eastAsia="Aptos"/>
        </w:rPr>
      </w:pPr>
      <w:r w:rsidRPr="004C2CD0">
        <w:rPr>
          <w:rFonts w:eastAsia="Aptos"/>
        </w:rPr>
        <w:t>B.</w:t>
      </w:r>
      <w:r w:rsidRPr="004C2CD0">
        <w:rPr>
          <w:rFonts w:eastAsia="Aptos"/>
        </w:rPr>
        <w:tab/>
        <w:t xml:space="preserve">If the establishment objects to the department’s recommendation of immediate condemnation and destruction, the department may seek an order of the district court within the jurisdiction of which the article or animal is found in accordance with R.S. 3:4225. </w:t>
      </w:r>
    </w:p>
    <w:p w14:paraId="149FEDE9"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5676B300"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14:paraId="22BDD90C" w14:textId="77777777" w:rsidR="00893A7F" w:rsidRPr="004C2CD0" w:rsidRDefault="00893A7F" w:rsidP="00893A7F">
      <w:pPr>
        <w:pStyle w:val="Section"/>
        <w:rPr>
          <w:rFonts w:eastAsia="Aptos"/>
        </w:rPr>
      </w:pPr>
      <w:bookmarkStart w:id="3017" w:name="_Toc224819472"/>
      <w:r w:rsidRPr="004C2CD0">
        <w:rPr>
          <w:rFonts w:eastAsia="Aptos"/>
        </w:rPr>
        <w:t>§327.</w:t>
      </w:r>
      <w:r w:rsidRPr="004C2CD0">
        <w:rPr>
          <w:rFonts w:eastAsia="Aptos"/>
        </w:rPr>
        <w:tab/>
        <w:t>Withholding of Voluntary Exotic Inspection Services</w:t>
      </w:r>
      <w:bookmarkEnd w:id="3017"/>
      <w:r w:rsidRPr="004C2CD0">
        <w:rPr>
          <w:rFonts w:eastAsia="Aptos"/>
        </w:rPr>
        <w:t xml:space="preserve"> </w:t>
      </w:r>
    </w:p>
    <w:p w14:paraId="683C773A"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An application or a request for voluntary exotic inspection services may be denied, or the benefits of inspection services may be otherwise denied to, or withheld from, any establishment by the department for any of the following reasons: </w:t>
      </w:r>
    </w:p>
    <w:p w14:paraId="72B6CC0D" w14:textId="77777777" w:rsidR="00893A7F" w:rsidRPr="004C2CD0" w:rsidRDefault="00893A7F" w:rsidP="00893A7F">
      <w:pPr>
        <w:pStyle w:val="1"/>
        <w:rPr>
          <w:rFonts w:eastAsia="Aptos"/>
        </w:rPr>
      </w:pPr>
      <w:r w:rsidRPr="004C2CD0">
        <w:rPr>
          <w:rFonts w:eastAsia="Aptos"/>
        </w:rPr>
        <w:t>1.</w:t>
      </w:r>
      <w:r w:rsidRPr="004C2CD0">
        <w:rPr>
          <w:rFonts w:eastAsia="Aptos"/>
        </w:rPr>
        <w:tab/>
        <w:t>for administrative reasons, such as the nonavailability of personnel to perform the service;</w:t>
      </w:r>
    </w:p>
    <w:p w14:paraId="69BF02B6" w14:textId="77777777" w:rsidR="00893A7F" w:rsidRPr="004C2CD0" w:rsidRDefault="00893A7F" w:rsidP="00893A7F">
      <w:pPr>
        <w:pStyle w:val="1"/>
        <w:rPr>
          <w:rFonts w:eastAsia="Aptos"/>
        </w:rPr>
      </w:pPr>
      <w:r w:rsidRPr="004C2CD0">
        <w:rPr>
          <w:rFonts w:eastAsia="Aptos"/>
        </w:rPr>
        <w:t>2.</w:t>
      </w:r>
      <w:r w:rsidRPr="004C2CD0">
        <w:rPr>
          <w:rFonts w:eastAsia="Aptos"/>
        </w:rPr>
        <w:tab/>
        <w:t>for the failure of payment for service;</w:t>
      </w:r>
    </w:p>
    <w:p w14:paraId="5FD7E0D9" w14:textId="77777777" w:rsidR="00893A7F" w:rsidRPr="004C2CD0" w:rsidRDefault="00893A7F" w:rsidP="00893A7F">
      <w:pPr>
        <w:pStyle w:val="1"/>
        <w:rPr>
          <w:rFonts w:eastAsia="Aptos"/>
        </w:rPr>
      </w:pPr>
      <w:r w:rsidRPr="004C2CD0">
        <w:rPr>
          <w:rFonts w:eastAsia="Aptos"/>
        </w:rPr>
        <w:t>3.</w:t>
      </w:r>
      <w:r w:rsidRPr="004C2CD0">
        <w:rPr>
          <w:rFonts w:eastAsia="Aptos"/>
        </w:rPr>
        <w:tab/>
        <w:t>if the application or request relates to exotic animals or exotic animal products which are not eligible for service under this Chapter; or</w:t>
      </w:r>
    </w:p>
    <w:p w14:paraId="77D9D1C6" w14:textId="77777777" w:rsidR="00893A7F" w:rsidRPr="004C2CD0" w:rsidRDefault="00893A7F" w:rsidP="00893A7F">
      <w:pPr>
        <w:pStyle w:val="1"/>
        <w:rPr>
          <w:rFonts w:eastAsia="Aptos"/>
        </w:rPr>
      </w:pPr>
      <w:r w:rsidRPr="004C2CD0">
        <w:rPr>
          <w:rFonts w:eastAsia="Aptos"/>
        </w:rPr>
        <w:t>4.</w:t>
      </w:r>
      <w:r>
        <w:rPr>
          <w:rFonts w:eastAsia="Aptos"/>
        </w:rPr>
        <w:tab/>
      </w:r>
      <w:r w:rsidRPr="004C2CD0">
        <w:rPr>
          <w:rFonts w:eastAsia="Aptos"/>
        </w:rPr>
        <w:t>for the use of operating procedures or conditions which are not i</w:t>
      </w:r>
      <w:r>
        <w:rPr>
          <w:rFonts w:eastAsia="Aptos"/>
        </w:rPr>
        <w:t>n accordance with this Chapter.</w:t>
      </w:r>
    </w:p>
    <w:p w14:paraId="7A519D2D" w14:textId="77777777" w:rsidR="00893A7F" w:rsidRPr="004C2CD0" w:rsidRDefault="00893A7F" w:rsidP="00893A7F">
      <w:pPr>
        <w:pStyle w:val="A"/>
        <w:rPr>
          <w:rFonts w:eastAsia="Aptos"/>
        </w:rPr>
      </w:pPr>
      <w:r w:rsidRPr="004C2CD0">
        <w:rPr>
          <w:rFonts w:eastAsia="Aptos"/>
        </w:rPr>
        <w:t>B.</w:t>
      </w:r>
      <w:r w:rsidRPr="004C2CD0">
        <w:rPr>
          <w:rFonts w:eastAsia="Aptos"/>
        </w:rPr>
        <w:tab/>
        <w:t>The establishment shall be promptly notified of any decision to deny an application or request for inspection services, or to deny or withhold the benefits of inspection services, and the reasons therefor.</w:t>
      </w:r>
    </w:p>
    <w:p w14:paraId="2807B81E"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4B2F189C"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w:t>
      </w:r>
      <w:r>
        <w:rPr>
          <w:rFonts w:eastAsia="Aptos"/>
        </w:rPr>
        <w:t xml:space="preserve"> and Food Safety, LR 51:780 (June 2025).</w:t>
      </w:r>
    </w:p>
    <w:p w14:paraId="68CFFDF9" w14:textId="77777777" w:rsidR="00893A7F" w:rsidRPr="004C2CD0" w:rsidRDefault="00893A7F" w:rsidP="00893A7F">
      <w:pPr>
        <w:pStyle w:val="Section"/>
        <w:rPr>
          <w:rFonts w:eastAsia="Aptos"/>
        </w:rPr>
      </w:pPr>
      <w:bookmarkStart w:id="3018" w:name="_Toc224819473"/>
      <w:r w:rsidRPr="004C2CD0">
        <w:rPr>
          <w:rFonts w:eastAsia="Aptos"/>
        </w:rPr>
        <w:t>§329.</w:t>
      </w:r>
      <w:r w:rsidRPr="004C2CD0">
        <w:rPr>
          <w:rFonts w:eastAsia="Aptos"/>
        </w:rPr>
        <w:tab/>
        <w:t>Prohibitions</w:t>
      </w:r>
      <w:bookmarkEnd w:id="3018"/>
    </w:p>
    <w:p w14:paraId="0E4F297A"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No person shall: </w:t>
      </w:r>
    </w:p>
    <w:p w14:paraId="0DF6F601" w14:textId="77777777" w:rsidR="00893A7F" w:rsidRPr="004C2CD0" w:rsidRDefault="00893A7F" w:rsidP="00893A7F">
      <w:pPr>
        <w:pStyle w:val="1"/>
        <w:rPr>
          <w:rFonts w:eastAsia="Aptos"/>
        </w:rPr>
      </w:pPr>
      <w:r w:rsidRPr="004C2CD0">
        <w:rPr>
          <w:rFonts w:eastAsia="Aptos"/>
        </w:rPr>
        <w:t>1.</w:t>
      </w:r>
      <w:r w:rsidRPr="004C2CD0">
        <w:rPr>
          <w:rFonts w:eastAsia="Aptos"/>
        </w:rPr>
        <w:tab/>
        <w:t xml:space="preserve">affix the mark of exotic inspection to any exotic animal carcass, exotic animal meat, or meat food product that has not been inspected and passed by the department; </w:t>
      </w:r>
    </w:p>
    <w:p w14:paraId="56483F2E" w14:textId="77777777" w:rsidR="00893A7F" w:rsidRPr="004C2CD0" w:rsidRDefault="00893A7F" w:rsidP="00893A7F">
      <w:pPr>
        <w:pStyle w:val="1"/>
        <w:rPr>
          <w:rFonts w:eastAsia="Aptos"/>
        </w:rPr>
      </w:pPr>
      <w:r w:rsidRPr="004C2CD0">
        <w:rPr>
          <w:rFonts w:eastAsia="Aptos"/>
        </w:rPr>
        <w:t>2.</w:t>
      </w:r>
      <w:r w:rsidRPr="004C2CD0">
        <w:rPr>
          <w:rFonts w:eastAsia="Aptos"/>
        </w:rPr>
        <w:tab/>
        <w:t xml:space="preserve">intentionally or knowingly alter, modify, deface, or otherwise change the mark of exotic inspection; </w:t>
      </w:r>
    </w:p>
    <w:p w14:paraId="2CACB81B" w14:textId="77777777" w:rsidR="00893A7F" w:rsidRPr="004C2CD0" w:rsidRDefault="00893A7F" w:rsidP="00893A7F">
      <w:pPr>
        <w:pStyle w:val="1"/>
        <w:rPr>
          <w:rFonts w:eastAsia="Aptos"/>
        </w:rPr>
      </w:pPr>
      <w:r w:rsidRPr="004C2CD0">
        <w:rPr>
          <w:rFonts w:eastAsia="Aptos"/>
        </w:rPr>
        <w:t>3.</w:t>
      </w:r>
      <w:r w:rsidRPr="004C2CD0">
        <w:rPr>
          <w:rFonts w:eastAsia="Aptos"/>
        </w:rPr>
        <w:tab/>
        <w:t xml:space="preserve">commit any prohibited act set forth in R.S. 3:4211 with respect to the official La. Exotic Inspected mark or exotic inspection services; or </w:t>
      </w:r>
    </w:p>
    <w:p w14:paraId="791FA8F7" w14:textId="77777777" w:rsidR="00893A7F" w:rsidRPr="004C2CD0" w:rsidRDefault="00893A7F" w:rsidP="00893A7F">
      <w:pPr>
        <w:pStyle w:val="1"/>
        <w:rPr>
          <w:rFonts w:eastAsia="Aptos"/>
        </w:rPr>
      </w:pPr>
      <w:r w:rsidRPr="004C2CD0">
        <w:rPr>
          <w:rFonts w:eastAsia="Aptos"/>
        </w:rPr>
        <w:t>4.</w:t>
      </w:r>
      <w:r w:rsidRPr="004C2CD0">
        <w:rPr>
          <w:rFonts w:eastAsia="Aptos"/>
        </w:rPr>
        <w:tab/>
        <w:t>any other violation of R.S. 3:4201 et seq. or this Chapter.</w:t>
      </w:r>
    </w:p>
    <w:p w14:paraId="4EA1FEAB"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37B3D88A"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14:paraId="0986E7A0" w14:textId="77777777" w:rsidR="00893A7F" w:rsidRPr="004C2CD0" w:rsidRDefault="00893A7F" w:rsidP="00893A7F">
      <w:pPr>
        <w:pStyle w:val="Section"/>
        <w:rPr>
          <w:rFonts w:eastAsia="Aptos"/>
        </w:rPr>
      </w:pPr>
      <w:bookmarkStart w:id="3019" w:name="_Toc224819474"/>
      <w:r w:rsidRPr="004C2CD0">
        <w:rPr>
          <w:rFonts w:eastAsia="Aptos"/>
        </w:rPr>
        <w:t>§331.</w:t>
      </w:r>
      <w:r w:rsidRPr="004C2CD0">
        <w:rPr>
          <w:rFonts w:eastAsia="Aptos"/>
        </w:rPr>
        <w:tab/>
        <w:t>Investigations</w:t>
      </w:r>
      <w:bookmarkEnd w:id="3019"/>
    </w:p>
    <w:p w14:paraId="17708F2A"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When there is a reason to believe that a violation of R.S. 3:4201 et seq. or this Chapter has occurred, the department may conduct an investigation to gather information regarding any possible violation. </w:t>
      </w:r>
    </w:p>
    <w:p w14:paraId="5430EDE9"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7423F190" w14:textId="77777777"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14:paraId="21F70D10" w14:textId="77777777" w:rsidR="00893A7F" w:rsidRPr="004C2CD0" w:rsidRDefault="00893A7F" w:rsidP="00893A7F">
      <w:pPr>
        <w:pStyle w:val="Section"/>
        <w:rPr>
          <w:rFonts w:eastAsia="Aptos"/>
        </w:rPr>
      </w:pPr>
      <w:bookmarkStart w:id="3020" w:name="_Toc224819475"/>
      <w:r w:rsidRPr="004C2CD0">
        <w:rPr>
          <w:rFonts w:eastAsia="Aptos"/>
        </w:rPr>
        <w:t>§333.</w:t>
      </w:r>
      <w:r w:rsidRPr="004C2CD0">
        <w:rPr>
          <w:rFonts w:eastAsia="Aptos"/>
        </w:rPr>
        <w:tab/>
        <w:t>Adjudicatory Proceedings; Violations</w:t>
      </w:r>
      <w:bookmarkEnd w:id="3020"/>
    </w:p>
    <w:p w14:paraId="1DBCDA15" w14:textId="77777777" w:rsidR="00893A7F" w:rsidRPr="004C2CD0" w:rsidRDefault="00893A7F" w:rsidP="00893A7F">
      <w:pPr>
        <w:pStyle w:val="A"/>
        <w:rPr>
          <w:rFonts w:eastAsia="Aptos"/>
        </w:rPr>
      </w:pPr>
      <w:r w:rsidRPr="004C2CD0">
        <w:rPr>
          <w:rFonts w:eastAsia="Aptos"/>
        </w:rPr>
        <w:t>A.</w:t>
      </w:r>
      <w:r w:rsidRPr="004C2CD0">
        <w:rPr>
          <w:rFonts w:eastAsia="Aptos"/>
        </w:rPr>
        <w:tab/>
        <w:t xml:space="preserve">The commissioner may suspend or revoke any grant of inspection services issued under the provisions of R.S. 3:4201 et seq. and this Chapter. The commissioner may also impose a civil penalty for violation of any provision of R.S. 3:4201 et seq. or this Chapter. </w:t>
      </w:r>
    </w:p>
    <w:p w14:paraId="7107251A" w14:textId="77777777" w:rsidR="00893A7F" w:rsidRPr="004C2CD0" w:rsidRDefault="00893A7F" w:rsidP="00893A7F">
      <w:pPr>
        <w:pStyle w:val="A"/>
        <w:rPr>
          <w:rFonts w:eastAsia="Aptos"/>
          <w:bCs/>
        </w:rPr>
      </w:pPr>
      <w:r w:rsidRPr="004C2CD0">
        <w:rPr>
          <w:rFonts w:eastAsia="Aptos"/>
        </w:rPr>
        <w:t>B.</w:t>
      </w:r>
      <w:r w:rsidRPr="004C2CD0">
        <w:rPr>
          <w:rFonts w:eastAsia="Aptos"/>
        </w:rPr>
        <w:tab/>
        <w:t xml:space="preserve">Whenever any establishment which is subject to these rules and regulations appear to be in violation of any provision(s) thereof, the commissioner of agriculture shall convene a public hearing on the matter, which hearing shall be conducted in accordance with the Administrative Procedure Act, R.S. 49:975 et seq. </w:t>
      </w:r>
    </w:p>
    <w:p w14:paraId="3A274F9B" w14:textId="77777777" w:rsidR="00893A7F" w:rsidRPr="004C2CD0" w:rsidRDefault="00893A7F" w:rsidP="00893A7F">
      <w:pPr>
        <w:pStyle w:val="A"/>
        <w:rPr>
          <w:rFonts w:eastAsia="Aptos"/>
        </w:rPr>
      </w:pPr>
      <w:r w:rsidRPr="004C2CD0">
        <w:rPr>
          <w:rFonts w:eastAsia="Aptos"/>
        </w:rPr>
        <w:t>C.</w:t>
      </w:r>
      <w:r w:rsidRPr="004C2CD0">
        <w:rPr>
          <w:rFonts w:eastAsia="Aptos"/>
        </w:rPr>
        <w:tab/>
        <w:t xml:space="preserve">Each separate day on which any violation occurs shall be considered a separate violation. </w:t>
      </w:r>
    </w:p>
    <w:p w14:paraId="1125BC36" w14:textId="77777777" w:rsidR="00893A7F" w:rsidRPr="004C2CD0" w:rsidRDefault="00893A7F" w:rsidP="00893A7F">
      <w:pPr>
        <w:pStyle w:val="A"/>
        <w:rPr>
          <w:rFonts w:eastAsia="Aptos"/>
        </w:rPr>
      </w:pPr>
      <w:r w:rsidRPr="004C2CD0">
        <w:rPr>
          <w:rFonts w:eastAsia="Aptos"/>
        </w:rPr>
        <w:t>D.</w:t>
      </w:r>
      <w:r w:rsidRPr="004C2CD0">
        <w:rPr>
          <w:rFonts w:eastAsia="Aptos"/>
        </w:rPr>
        <w:tab/>
        <w:t xml:space="preserve">No penalty may be assessed nor may any grant of inspection services be suspended or revoked by the commissioner prior to the holding of an adjudicatory hearing before the commissioner. Such adjudicatory hearing shall be conducted in accordance with the requirements of the Administrative Procedure Act. Any person alleged to have violated any provision of R.S. 3:4201 et seq. or this Chapter shall be accorded all rights and privileges under said Act. </w:t>
      </w:r>
    </w:p>
    <w:p w14:paraId="6FB2215B" w14:textId="77777777" w:rsidR="00893A7F" w:rsidRPr="004C2CD0" w:rsidRDefault="00893A7F" w:rsidP="00893A7F">
      <w:pPr>
        <w:pStyle w:val="A"/>
        <w:rPr>
          <w:rFonts w:eastAsia="Aptos"/>
        </w:rPr>
      </w:pPr>
      <w:r w:rsidRPr="004C2CD0">
        <w:rPr>
          <w:rFonts w:eastAsia="Aptos"/>
        </w:rPr>
        <w:t>E.</w:t>
      </w:r>
      <w:r w:rsidRPr="004C2CD0">
        <w:rPr>
          <w:rFonts w:eastAsia="Aptos"/>
        </w:rPr>
        <w:tab/>
        <w:t xml:space="preserve">The commissioner may appoint a hearing officer to hear evidence and make an initial determination on alleged violations and recommend findings of fact and conclusions of law, together with penalties, if applicable, in writing. </w:t>
      </w:r>
    </w:p>
    <w:p w14:paraId="1FB693AD" w14:textId="77777777" w:rsidR="00893A7F" w:rsidRPr="004C2CD0" w:rsidRDefault="00893A7F" w:rsidP="00893A7F">
      <w:pPr>
        <w:pStyle w:val="A"/>
        <w:rPr>
          <w:rFonts w:eastAsia="Aptos"/>
        </w:rPr>
      </w:pPr>
      <w:r w:rsidRPr="004C2CD0">
        <w:rPr>
          <w:rFonts w:eastAsia="Aptos"/>
        </w:rPr>
        <w:t>F.</w:t>
      </w:r>
      <w:r w:rsidRPr="004C2CD0">
        <w:rPr>
          <w:rFonts w:eastAsia="Aptos"/>
        </w:rPr>
        <w:tab/>
        <w:t xml:space="preserve">The commissioner shall make the final determination on the disposition of alleged violations. If the commissioner does not accept the recommendations of the hearing officer following the adjudicatory hearing, the commissioner shall provide written reasons for not accepting the recommendations. All decisions by the commissioner are final and appealable in accordance with the Administrative Procedure Act. R.S. 49:975 et seq. </w:t>
      </w:r>
    </w:p>
    <w:p w14:paraId="3A4C11D0" w14:textId="77777777" w:rsidR="00893A7F" w:rsidRPr="004C2CD0" w:rsidRDefault="00893A7F" w:rsidP="00893A7F">
      <w:pPr>
        <w:pStyle w:val="A"/>
        <w:rPr>
          <w:rFonts w:eastAsia="Aptos"/>
        </w:rPr>
      </w:pPr>
      <w:r w:rsidRPr="004C2CD0">
        <w:rPr>
          <w:rFonts w:eastAsia="Aptos"/>
        </w:rPr>
        <w:t>G.</w:t>
      </w:r>
      <w:r w:rsidRPr="004C2CD0">
        <w:rPr>
          <w:rFonts w:eastAsia="Aptos"/>
        </w:rPr>
        <w:tab/>
        <w:t xml:space="preserve">Reinstatement of a grant of inspection services shall be by hearing before a hearing officer and approval of the commissioner. </w:t>
      </w:r>
    </w:p>
    <w:p w14:paraId="13543AB9" w14:textId="77777777" w:rsidR="00893A7F" w:rsidRPr="004C2CD0" w:rsidRDefault="00893A7F" w:rsidP="00893A7F">
      <w:pPr>
        <w:pStyle w:val="A"/>
        <w:rPr>
          <w:rFonts w:eastAsia="Aptos"/>
        </w:rPr>
      </w:pPr>
      <w:r w:rsidRPr="004C2CD0">
        <w:rPr>
          <w:rFonts w:eastAsia="Aptos"/>
        </w:rPr>
        <w:t>H.</w:t>
      </w:r>
      <w:r w:rsidRPr="004C2CD0">
        <w:rPr>
          <w:rFonts w:eastAsia="Aptos"/>
        </w:rPr>
        <w:tab/>
        <w:t xml:space="preserve">Appeals from rulings of the commissioner shall be taken in accordance with the Administrative Procedure Act, R.S. 49:975 et seq. </w:t>
      </w:r>
    </w:p>
    <w:p w14:paraId="215D7CBD" w14:textId="77777777"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14:paraId="1A87149C" w14:textId="77777777" w:rsidR="00893A7F" w:rsidRPr="001531CD" w:rsidRDefault="00893A7F" w:rsidP="00893A7F">
      <w:pPr>
        <w:pStyle w:val="HistoricalNote"/>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781 (June 2025).</w:t>
      </w:r>
    </w:p>
    <w:p w14:paraId="4B2E761E" w14:textId="77777777" w:rsidR="00CF626A" w:rsidRPr="001531CD" w:rsidRDefault="00CF626A">
      <w:pPr>
        <w:pStyle w:val="HistoricalNote"/>
        <w:sectPr w:rsidR="00CF626A" w:rsidRPr="001531CD" w:rsidSect="00167E2E">
          <w:type w:val="continuous"/>
          <w:pgSz w:w="12240" w:h="15840" w:code="1"/>
          <w:pgMar w:top="1080" w:right="864" w:bottom="864" w:left="864" w:header="576" w:footer="432" w:gutter="0"/>
          <w:cols w:num="2" w:space="720"/>
        </w:sectPr>
      </w:pPr>
    </w:p>
    <w:p w14:paraId="507647BF" w14:textId="77777777" w:rsidR="00CF626A" w:rsidRPr="001531CD" w:rsidRDefault="00CF626A">
      <w:pPr>
        <w:pStyle w:val="HistoricalNote"/>
      </w:pPr>
    </w:p>
    <w:p w14:paraId="64AB44F9"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space="720"/>
        </w:sectPr>
      </w:pPr>
    </w:p>
    <w:p w14:paraId="1981F574"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29B21352" w14:textId="77777777" w:rsidR="00CF626A" w:rsidRPr="001531CD" w:rsidRDefault="00CF626A" w:rsidP="00F03863">
      <w:pPr>
        <w:pStyle w:val="Title1"/>
        <w:outlineLvl w:val="0"/>
      </w:pPr>
      <w:r w:rsidRPr="001531CD">
        <w:lastRenderedPageBreak/>
        <w:t>Title 7</w:t>
      </w:r>
    </w:p>
    <w:p w14:paraId="2F9C02C3" w14:textId="77777777" w:rsidR="00CF626A" w:rsidRPr="001531CD" w:rsidRDefault="00CF626A">
      <w:pPr>
        <w:pStyle w:val="Title2"/>
      </w:pPr>
      <w:r w:rsidRPr="001531CD">
        <w:t>AGRICULTURE AND ANIMALS</w:t>
      </w:r>
    </w:p>
    <w:p w14:paraId="0F22C1BE" w14:textId="77777777" w:rsidR="00CF626A" w:rsidRPr="001531CD" w:rsidRDefault="00CF626A">
      <w:pPr>
        <w:pStyle w:val="Part"/>
      </w:pPr>
      <w:bookmarkStart w:id="3021" w:name="TOC_Part16"/>
      <w:bookmarkStart w:id="3022" w:name="_Toc77840393"/>
      <w:bookmarkStart w:id="3023" w:name="_Toc224819476"/>
      <w:r w:rsidRPr="001531CD">
        <w:t>Part XXXV.  Agro-Consumer Services</w:t>
      </w:r>
      <w:bookmarkEnd w:id="3021"/>
      <w:bookmarkEnd w:id="3022"/>
      <w:bookmarkEnd w:id="3023"/>
    </w:p>
    <w:p w14:paraId="436F53C4" w14:textId="77777777" w:rsidR="00CF626A" w:rsidRPr="001531CD" w:rsidRDefault="00CF626A">
      <w:pPr>
        <w:pStyle w:val="Part"/>
      </w:pPr>
    </w:p>
    <w:p w14:paraId="20ED5375" w14:textId="77777777" w:rsidR="00CF626A" w:rsidRPr="001531CD" w:rsidRDefault="00CF626A">
      <w:pPr>
        <w:pStyle w:val="Part"/>
        <w:sectPr w:rsidR="00CF626A" w:rsidRPr="001531CD" w:rsidSect="00592F58">
          <w:headerReference w:type="default" r:id="rId82"/>
          <w:type w:val="oddPage"/>
          <w:pgSz w:w="12240" w:h="15840" w:code="1"/>
          <w:pgMar w:top="1080" w:right="864" w:bottom="864" w:left="864" w:header="576" w:footer="432" w:gutter="0"/>
          <w:cols w:space="720"/>
          <w:docGrid w:linePitch="326"/>
        </w:sectPr>
      </w:pPr>
    </w:p>
    <w:p w14:paraId="4BA76D65" w14:textId="77777777" w:rsidR="00CF626A" w:rsidRPr="001531CD" w:rsidRDefault="00CF626A" w:rsidP="00F03863">
      <w:pPr>
        <w:pStyle w:val="Chapter"/>
        <w:outlineLvl w:val="0"/>
      </w:pPr>
      <w:bookmarkStart w:id="3024" w:name="TOC_Chap250"/>
      <w:bookmarkStart w:id="3025" w:name="_Toc256755087"/>
      <w:bookmarkStart w:id="3026" w:name="_Toc224819477"/>
      <w:r w:rsidRPr="001531CD">
        <w:t>Chapter 1.</w:t>
      </w:r>
      <w:bookmarkEnd w:id="3024"/>
      <w:r w:rsidR="00167E2E">
        <w:tab/>
      </w:r>
      <w:bookmarkStart w:id="3027" w:name="TOCT_Chap240"/>
      <w:bookmarkStart w:id="3028" w:name="TOCT_Chap236"/>
      <w:bookmarkStart w:id="3029" w:name="TOCT_Chap250"/>
      <w:r w:rsidRPr="001531CD">
        <w:t>Weights and Measures</w:t>
      </w:r>
      <w:bookmarkEnd w:id="3025"/>
      <w:bookmarkEnd w:id="3026"/>
      <w:bookmarkEnd w:id="3027"/>
      <w:bookmarkEnd w:id="3028"/>
      <w:bookmarkEnd w:id="3029"/>
    </w:p>
    <w:p w14:paraId="711C96E0" w14:textId="77777777" w:rsidR="00CF626A" w:rsidRPr="001531CD" w:rsidRDefault="00CF626A">
      <w:pPr>
        <w:pStyle w:val="Section"/>
      </w:pPr>
      <w:bookmarkStart w:id="3030" w:name="_Toc256755088"/>
      <w:bookmarkStart w:id="3031" w:name="_Toc224819478"/>
      <w:r w:rsidRPr="001531CD">
        <w:t>§101.</w:t>
      </w:r>
      <w:r w:rsidRPr="001531CD">
        <w:tab/>
        <w:t>Specifications, Tolerances and Regulation for Commercial Weighing and Measuring Devices</w:t>
      </w:r>
      <w:bookmarkEnd w:id="3030"/>
      <w:bookmarkEnd w:id="3031"/>
    </w:p>
    <w:p w14:paraId="70D511BF" w14:textId="77777777" w:rsidR="005B2A9A" w:rsidRDefault="005B2A9A" w:rsidP="005B2A9A">
      <w:pPr>
        <w:pStyle w:val="LACNote"/>
        <w:ind w:left="270" w:right="396" w:firstLine="0"/>
      </w:pPr>
      <w:r>
        <w:t xml:space="preserve">EDITOR’S NOTE:  The title of publication listed in §101.A below has been changed to </w:t>
      </w:r>
      <w:r w:rsidRPr="005B2A9A">
        <w:rPr>
          <w:i/>
        </w:rPr>
        <w:t>Specifications, Tolerances, and Other Technical Requirements for Weighing and Measuring Devices</w:t>
      </w:r>
      <w:r>
        <w:t>.</w:t>
      </w:r>
    </w:p>
    <w:p w14:paraId="3916CEB0" w14:textId="77777777" w:rsidR="00DB73B4" w:rsidRPr="001531CD" w:rsidRDefault="00DB73B4" w:rsidP="00DB73B4">
      <w:pPr>
        <w:pStyle w:val="A"/>
      </w:pPr>
      <w:r w:rsidRPr="001531CD">
        <w:t>A.</w:t>
      </w:r>
      <w:r w:rsidRPr="001531CD">
        <w:tab/>
        <w:t xml:space="preserve">All of Handbook H-44 issued by the National Institute of Standards and Technology entitled </w:t>
      </w:r>
      <w:r w:rsidRPr="005B2A9A">
        <w:rPr>
          <w:i/>
        </w:rPr>
        <w:t xml:space="preserve">Specifications, Tolerances, and Regulations for Commercial Weighing and Measuring Devices </w:t>
      </w:r>
      <w:r w:rsidRPr="001531CD">
        <w:t>is hereby adopted by reference.</w:t>
      </w:r>
    </w:p>
    <w:p w14:paraId="3B040AFB" w14:textId="77777777" w:rsidR="00DB73B4" w:rsidRPr="001531CD" w:rsidRDefault="00DB73B4" w:rsidP="00DB73B4">
      <w:pPr>
        <w:pStyle w:val="A"/>
      </w:pPr>
      <w:r w:rsidRPr="001531CD">
        <w:t>B.</w:t>
      </w:r>
      <w:r w:rsidRPr="001531CD">
        <w:tab/>
        <w:t>That part of Handbook 130 issued by the National Institute of Standards and Technology entitled Examination Procedure for Price Verification is hereby adopted by reference.</w:t>
      </w:r>
    </w:p>
    <w:p w14:paraId="25261F3E" w14:textId="77777777" w:rsidR="00DB73B4" w:rsidRPr="001531CD" w:rsidRDefault="00DB73B4" w:rsidP="00DB73B4">
      <w:pPr>
        <w:pStyle w:val="AuthorityNote"/>
      </w:pPr>
      <w:r w:rsidRPr="001531CD">
        <w:t>AUTHORITY NOTE:</w:t>
      </w:r>
      <w:r w:rsidRPr="001531CD">
        <w:tab/>
        <w:t>Promulgated in accordance with R.S. 3:4606 and R.S. 3:4608.</w:t>
      </w:r>
    </w:p>
    <w:p w14:paraId="4289621E" w14:textId="77777777" w:rsidR="00CF626A" w:rsidRPr="001531CD" w:rsidRDefault="00DB73B4" w:rsidP="00DB73B4">
      <w:pPr>
        <w:pStyle w:val="HistoricalNote"/>
      </w:pPr>
      <w:r w:rsidRPr="001531CD">
        <w:t>HISTORICAL NOTE:</w:t>
      </w:r>
      <w:r w:rsidR="00A82AF6" w:rsidRPr="001531CD">
        <w:tab/>
      </w:r>
      <w:r w:rsidRPr="001531CD">
        <w:t xml:space="preserve">Adopted by the Department of Agriculture, Commission of Weights and Measures, April 1953, promulgated by the Department of Agriculture and Forestry, Office of Agro-Consumer Services, Division of Weights and Measures, LR 19:1530 (December 1993), amended LR 23:857 (July 1997), amended by the Department of Agriculture and Forestry, Office of Agro-Consumer Services, Weights and Measures Commission, </w:t>
      </w:r>
      <w:r w:rsidRPr="001531CD">
        <w:br/>
        <w:t>LR 24:1495 (August 1998), LR 34:408 (March 2008).</w:t>
      </w:r>
    </w:p>
    <w:p w14:paraId="2B85F583" w14:textId="77777777" w:rsidR="00CF626A" w:rsidRPr="001531CD" w:rsidRDefault="00CF626A">
      <w:pPr>
        <w:pStyle w:val="Section"/>
      </w:pPr>
      <w:bookmarkStart w:id="3032" w:name="_Toc256755089"/>
      <w:bookmarkStart w:id="3033" w:name="_Toc224819479"/>
      <w:r w:rsidRPr="001531CD">
        <w:t>§103.</w:t>
      </w:r>
      <w:r w:rsidRPr="001531CD">
        <w:tab/>
        <w:t>Definitions</w:t>
      </w:r>
      <w:bookmarkEnd w:id="3032"/>
      <w:bookmarkEnd w:id="3033"/>
    </w:p>
    <w:p w14:paraId="4D28698C" w14:textId="77777777" w:rsidR="00CF626A" w:rsidRPr="001531CD" w:rsidRDefault="00CF626A">
      <w:pPr>
        <w:pStyle w:val="A"/>
      </w:pPr>
      <w:r w:rsidRPr="001531CD">
        <w:t>A.</w:t>
      </w:r>
      <w:r w:rsidRPr="001531CD">
        <w:tab/>
      </w:r>
      <w:r w:rsidR="00C05958" w:rsidRPr="007B66B5">
        <w:t>Wherever in these regulations the masculine is used, it includes the feminine and vice versa; wherever the singular is used, it includes the plural and vice versa.</w:t>
      </w:r>
      <w:r w:rsidR="00C05958" w:rsidRPr="00B37244">
        <w:t xml:space="preserve"> </w:t>
      </w:r>
      <w:r w:rsidR="00C05958" w:rsidRPr="007B66B5">
        <w:t>The following words and phrases shall have the followi</w:t>
      </w:r>
      <w:r w:rsidR="00C05958">
        <w:t>ng definitions ascribed to them.</w:t>
      </w:r>
    </w:p>
    <w:p w14:paraId="2265FA3A" w14:textId="77777777" w:rsidR="00CF626A" w:rsidRPr="001531CD" w:rsidRDefault="00CF626A">
      <w:pPr>
        <w:pStyle w:val="1"/>
      </w:pPr>
      <w:r w:rsidRPr="001531CD">
        <w:rPr>
          <w:i/>
          <w:iCs/>
        </w:rPr>
        <w:t>Accurate</w:t>
      </w:r>
      <w:r w:rsidR="00C05958" w:rsidRPr="00242B77">
        <w:rPr>
          <w:iCs/>
        </w:rPr>
        <w:t>—</w:t>
      </w:r>
      <w:r w:rsidRPr="001531CD">
        <w:t>a device that when its performance or value (that is, its indications, its deliveries, its recorded representations or its capacity or actual value, etc., as determined by test made with suitable standards) conforms to the standard within the applicable tolerances and other performance requirements. Equipment that fails to conform is inaccurate.</w:t>
      </w:r>
    </w:p>
    <w:p w14:paraId="3D3D38CB" w14:textId="77777777" w:rsidR="00C05958" w:rsidRDefault="00C05958">
      <w:pPr>
        <w:pStyle w:val="1"/>
        <w:rPr>
          <w:i/>
          <w:iCs/>
        </w:rPr>
      </w:pPr>
      <w:r>
        <w:rPr>
          <w:i/>
          <w:iCs/>
        </w:rPr>
        <w:t>Basket</w:t>
      </w:r>
      <w:r w:rsidRPr="00242B77">
        <w:rPr>
          <w:iCs/>
        </w:rPr>
        <w:t>—</w:t>
      </w:r>
      <w:r w:rsidRPr="007B66B5">
        <w:t>a one and one-half bushel circular container that may be used for the measurement of unshucked oysters to be sold or purchased.</w:t>
      </w:r>
    </w:p>
    <w:p w14:paraId="70B8A6A6" w14:textId="77777777" w:rsidR="00CF626A" w:rsidRPr="001531CD" w:rsidRDefault="00CF626A">
      <w:pPr>
        <w:pStyle w:val="1"/>
      </w:pPr>
      <w:r w:rsidRPr="001531CD">
        <w:rPr>
          <w:i/>
          <w:iCs/>
        </w:rPr>
        <w:t>Commercial</w:t>
      </w:r>
      <w:r w:rsidR="00C05958" w:rsidRPr="00242B77">
        <w:rPr>
          <w:iCs/>
        </w:rPr>
        <w:t>—</w:t>
      </w:r>
    </w:p>
    <w:p w14:paraId="76DE2583" w14:textId="77777777" w:rsidR="00CF626A" w:rsidRPr="001531CD" w:rsidRDefault="00CF626A">
      <w:pPr>
        <w:pStyle w:val="a0"/>
      </w:pPr>
      <w:r w:rsidRPr="001531CD">
        <w:t>a.</w:t>
      </w:r>
      <w:r w:rsidRPr="001531CD">
        <w:tab/>
        <w:t>in proving the size, quantity, extent, area or measurement of things for distribution or consumption, purchased or offered, or submitted for sale, hire or award;</w:t>
      </w:r>
    </w:p>
    <w:p w14:paraId="4352127E" w14:textId="77777777" w:rsidR="00CF626A" w:rsidRPr="001531CD" w:rsidRDefault="00CF626A">
      <w:pPr>
        <w:pStyle w:val="a0"/>
      </w:pPr>
      <w:r w:rsidRPr="001531CD">
        <w:t>b.</w:t>
      </w:r>
      <w:r w:rsidRPr="001531CD">
        <w:tab/>
        <w:t>in computing any charge for services rendered on the basis of weight or measure; or</w:t>
      </w:r>
    </w:p>
    <w:p w14:paraId="3E9C4803" w14:textId="77777777" w:rsidR="00CF626A" w:rsidRPr="001531CD" w:rsidRDefault="00CF626A">
      <w:pPr>
        <w:pStyle w:val="a0"/>
      </w:pPr>
      <w:r w:rsidRPr="001531CD">
        <w:t>c.</w:t>
      </w:r>
      <w:r w:rsidRPr="001531CD">
        <w:tab/>
        <w:t>in determining weight or measure when a charge is made for the determination.</w:t>
      </w:r>
    </w:p>
    <w:p w14:paraId="0C836592" w14:textId="77777777" w:rsidR="00C05958" w:rsidRDefault="00C05958">
      <w:pPr>
        <w:pStyle w:val="1"/>
        <w:rPr>
          <w:i/>
          <w:iCs/>
        </w:rPr>
      </w:pPr>
      <w:r w:rsidRPr="007B66B5">
        <w:rPr>
          <w:i/>
          <w:iCs/>
        </w:rPr>
        <w:t>Commercial</w:t>
      </w:r>
      <w:r>
        <w:rPr>
          <w:i/>
          <w:iCs/>
        </w:rPr>
        <w:t xml:space="preserve"> Weighing and Measuring Device</w:t>
      </w:r>
      <w:r w:rsidRPr="00242B77">
        <w:rPr>
          <w:iCs/>
        </w:rPr>
        <w:t>—</w:t>
      </w:r>
      <w:r w:rsidRPr="007B66B5">
        <w:t>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p>
    <w:p w14:paraId="27DC5AA5" w14:textId="77777777" w:rsidR="00CF626A" w:rsidRDefault="00CF626A">
      <w:pPr>
        <w:pStyle w:val="1"/>
      </w:pPr>
      <w:r w:rsidRPr="001531CD">
        <w:rPr>
          <w:i/>
          <w:iCs/>
        </w:rPr>
        <w:t>Commission</w:t>
      </w:r>
      <w:r w:rsidR="00C05958" w:rsidRPr="00242B77">
        <w:rPr>
          <w:iCs/>
        </w:rPr>
        <w:t>—</w:t>
      </w:r>
      <w:r w:rsidRPr="001531CD">
        <w:t>the Commission of Weights and Measures established in R.S. 3:4603.</w:t>
      </w:r>
    </w:p>
    <w:p w14:paraId="4B8E4628" w14:textId="77777777" w:rsidR="00C05958" w:rsidRDefault="00C05958" w:rsidP="00C05958">
      <w:pPr>
        <w:pStyle w:val="1"/>
      </w:pPr>
      <w:r>
        <w:rPr>
          <w:i/>
          <w:iCs/>
        </w:rPr>
        <w:t>Commissioner</w:t>
      </w:r>
      <w:r w:rsidRPr="00242B77">
        <w:rPr>
          <w:iCs/>
        </w:rPr>
        <w:t>—</w:t>
      </w:r>
      <w:r w:rsidRPr="007B66B5">
        <w:t xml:space="preserve">the commissioner of the Department of Agriculture and Forestry, or his duly authorized representatives acting at his discretion. </w:t>
      </w:r>
    </w:p>
    <w:p w14:paraId="2C263AAF" w14:textId="77777777" w:rsidR="00C05958" w:rsidRPr="001531CD" w:rsidRDefault="00C05958" w:rsidP="00C05958">
      <w:pPr>
        <w:pStyle w:val="1"/>
      </w:pPr>
      <w:r w:rsidRPr="00242B77">
        <w:rPr>
          <w:i/>
          <w:iCs/>
        </w:rPr>
        <w:t>Commodity</w:t>
      </w:r>
      <w:r w:rsidRPr="00242B77">
        <w:t>—</w:t>
      </w:r>
      <w:r w:rsidRPr="007B66B5">
        <w:t>any service or item, or any combination of items, forming a distinctive product, sold in commerce which is affected by any determination of weight, measures, or count.</w:t>
      </w:r>
    </w:p>
    <w:p w14:paraId="51A6105C" w14:textId="77777777" w:rsidR="00CF626A" w:rsidRPr="001531CD" w:rsidRDefault="00CF626A">
      <w:pPr>
        <w:pStyle w:val="1"/>
      </w:pPr>
      <w:r w:rsidRPr="001531CD">
        <w:rPr>
          <w:i/>
          <w:iCs/>
        </w:rPr>
        <w:t>Compound Weighing Device</w:t>
      </w:r>
      <w:r w:rsidR="00C05958" w:rsidRPr="00242B77">
        <w:rPr>
          <w:iCs/>
        </w:rPr>
        <w:t>—</w:t>
      </w:r>
      <w:r w:rsidRPr="001531CD">
        <w:t>a weighing device that in its operation utilizes either more than one load receiving element and/or more than one primary indicating element.</w:t>
      </w:r>
    </w:p>
    <w:p w14:paraId="6ACE6985" w14:textId="77777777" w:rsidR="00CF626A" w:rsidRDefault="00CF626A">
      <w:pPr>
        <w:pStyle w:val="1"/>
      </w:pPr>
      <w:r w:rsidRPr="001531CD">
        <w:rPr>
          <w:i/>
          <w:iCs/>
        </w:rPr>
        <w:t>Correct</w:t>
      </w:r>
      <w:r w:rsidR="00C05958" w:rsidRPr="00242B77">
        <w:rPr>
          <w:iCs/>
        </w:rPr>
        <w:t>—</w:t>
      </w:r>
      <w:r w:rsidRPr="001531CD">
        <w:t>conformance to all applicable requirements for weighing and measuring devices. Any other device is incorrect.</w:t>
      </w:r>
    </w:p>
    <w:p w14:paraId="0BB2F3D4" w14:textId="77777777" w:rsidR="00C05958" w:rsidRDefault="00C05958" w:rsidP="00C05958">
      <w:pPr>
        <w:pStyle w:val="1"/>
      </w:pPr>
      <w:r w:rsidRPr="00242B77">
        <w:rPr>
          <w:i/>
          <w:iCs/>
        </w:rPr>
        <w:t>Department</w:t>
      </w:r>
      <w:r w:rsidRPr="00242B77">
        <w:t>—</w:t>
      </w:r>
      <w:r w:rsidRPr="007B66B5">
        <w:t xml:space="preserve">the Louisiana Department of Agriculture and Forestry. </w:t>
      </w:r>
    </w:p>
    <w:p w14:paraId="6B40BDB1" w14:textId="77777777" w:rsidR="00C05958" w:rsidRPr="001531CD" w:rsidRDefault="00C05958" w:rsidP="00C05958">
      <w:pPr>
        <w:pStyle w:val="1"/>
      </w:pPr>
      <w:r w:rsidRPr="00242B77">
        <w:rPr>
          <w:i/>
          <w:iCs/>
        </w:rPr>
        <w:t>Director</w:t>
      </w:r>
      <w:r w:rsidRPr="00242B77">
        <w:t>—</w:t>
      </w:r>
      <w:r w:rsidRPr="007B66B5">
        <w:t>the director of the weights and measures commission, appointed by the commissioner.</w:t>
      </w:r>
    </w:p>
    <w:p w14:paraId="2DBA198D" w14:textId="77777777" w:rsidR="00CF626A" w:rsidRPr="001531CD" w:rsidRDefault="00CF626A">
      <w:pPr>
        <w:pStyle w:val="1"/>
      </w:pPr>
      <w:r w:rsidRPr="001531CD">
        <w:rPr>
          <w:i/>
          <w:iCs/>
        </w:rPr>
        <w:t>Hand-Held Scanning Device</w:t>
      </w:r>
      <w:r w:rsidR="00C05958" w:rsidRPr="00242B77">
        <w:rPr>
          <w:iCs/>
        </w:rPr>
        <w:t>—</w:t>
      </w:r>
      <w:r w:rsidRPr="001531CD">
        <w:t>a portable device that scans UPC codes that allows for the comparison of the price displayed on a shelf, item, or otherwise advertised, to the price for the item in the point-of-sale database.</w:t>
      </w:r>
    </w:p>
    <w:p w14:paraId="5772FF94" w14:textId="77777777" w:rsidR="00CF626A" w:rsidRPr="001531CD" w:rsidRDefault="00CF626A">
      <w:pPr>
        <w:pStyle w:val="1"/>
      </w:pPr>
      <w:r w:rsidRPr="001531CD">
        <w:rPr>
          <w:i/>
          <w:iCs/>
        </w:rPr>
        <w:t>Indicating Element</w:t>
      </w:r>
      <w:r w:rsidR="00C05958" w:rsidRPr="00242B77">
        <w:rPr>
          <w:iCs/>
        </w:rPr>
        <w:t>—</w:t>
      </w:r>
      <w:r w:rsidRPr="001531CD">
        <w:t>an element incorporated in a weighing or measuring device by means or which its performance relative to quantity or money value is read from the device itself (i.e., an index-and-graduated-scale combinations, a weighbeam-and-pose combination, a digital indicator, etc.).</w:t>
      </w:r>
    </w:p>
    <w:p w14:paraId="71C3A3EF" w14:textId="77777777" w:rsidR="00CF626A" w:rsidRPr="001531CD" w:rsidRDefault="00CF626A">
      <w:pPr>
        <w:pStyle w:val="1"/>
      </w:pPr>
      <w:r w:rsidRPr="001531CD">
        <w:rPr>
          <w:i/>
          <w:iCs/>
        </w:rPr>
        <w:t>Load-Receiving Element</w:t>
      </w:r>
      <w:r w:rsidR="00C05958" w:rsidRPr="00242B77">
        <w:rPr>
          <w:iCs/>
        </w:rPr>
        <w:t>—</w:t>
      </w:r>
      <w:r w:rsidRPr="001531CD">
        <w:t>that component of a scale that is designed to receive the load to be weighed (i.e., platforms, decks, rails, hoppers, platters, plates, scoops, etc.).</w:t>
      </w:r>
    </w:p>
    <w:p w14:paraId="7974F97D" w14:textId="77777777" w:rsidR="00C05958" w:rsidRDefault="00C05958" w:rsidP="00C05958">
      <w:pPr>
        <w:pStyle w:val="1"/>
      </w:pPr>
      <w:r>
        <w:rPr>
          <w:i/>
          <w:iCs/>
        </w:rPr>
        <w:lastRenderedPageBreak/>
        <w:t>Net Weight</w:t>
      </w:r>
      <w:r w:rsidRPr="00242B77">
        <w:rPr>
          <w:iCs/>
        </w:rPr>
        <w:t>—</w:t>
      </w:r>
      <w:r w:rsidRPr="007B66B5">
        <w:t xml:space="preserve">the weight of the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w:t>
      </w:r>
    </w:p>
    <w:p w14:paraId="17941F62" w14:textId="77777777" w:rsidR="00C05958" w:rsidRDefault="00C05958" w:rsidP="00C05958">
      <w:pPr>
        <w:pStyle w:val="1"/>
      </w:pPr>
      <w:r>
        <w:rPr>
          <w:i/>
          <w:iCs/>
        </w:rPr>
        <w:t>NIST</w:t>
      </w:r>
      <w:r w:rsidRPr="00242B77">
        <w:rPr>
          <w:iCs/>
        </w:rPr>
        <w:t>—</w:t>
      </w:r>
      <w:r w:rsidRPr="007B66B5">
        <w:t xml:space="preserve">the National Institute of Standards and Technology. </w:t>
      </w:r>
    </w:p>
    <w:p w14:paraId="2884A687" w14:textId="77777777" w:rsidR="00C05958" w:rsidRDefault="00C05958" w:rsidP="00C05958">
      <w:pPr>
        <w:pStyle w:val="1"/>
      </w:pPr>
      <w:r w:rsidRPr="00242B77">
        <w:rPr>
          <w:i/>
          <w:iCs/>
        </w:rPr>
        <w:t>NTEP</w:t>
      </w:r>
      <w:r w:rsidRPr="00242B77">
        <w:t>—</w:t>
      </w:r>
      <w:r w:rsidRPr="007B66B5">
        <w:t xml:space="preserve">National Type Evaluation Program administered through the National Conference on Weights and Measures. </w:t>
      </w:r>
    </w:p>
    <w:p w14:paraId="03F55E2A" w14:textId="77777777" w:rsidR="00C05958" w:rsidRDefault="00C05958" w:rsidP="00C05958">
      <w:pPr>
        <w:pStyle w:val="1"/>
      </w:pPr>
      <w:r w:rsidRPr="00242B77">
        <w:rPr>
          <w:i/>
          <w:iCs/>
        </w:rPr>
        <w:t>NTEP Certificate of Conformance</w:t>
      </w:r>
      <w:r w:rsidRPr="00242B77">
        <w:rPr>
          <w:iCs/>
        </w:rPr>
        <w:t>—</w:t>
      </w:r>
      <w:r w:rsidRPr="007B66B5">
        <w:t xml:space="preserve">a document issued by the National Conference on Weights and Measures, based on evaluation in participating laboratories. The document constitutes evidence that the device described in the certificate is capable of conformance with the requirements of the National Institute of Standards and Technology Handbook 44. </w:t>
      </w:r>
    </w:p>
    <w:p w14:paraId="772A31EB" w14:textId="77777777" w:rsidR="00C05958" w:rsidRDefault="00C05958" w:rsidP="00C05958">
      <w:pPr>
        <w:pStyle w:val="1"/>
      </w:pPr>
      <w:r w:rsidRPr="007B66B5">
        <w:rPr>
          <w:i/>
          <w:iCs/>
        </w:rPr>
        <w:t>Package</w:t>
      </w:r>
      <w:r w:rsidRPr="00242B77">
        <w:rPr>
          <w:iCs/>
        </w:rPr>
        <w:t>—</w:t>
      </w:r>
      <w:r w:rsidRPr="007B66B5">
        <w:t xml:space="preserve">any commodity packed or packaged in any manner in advance of sale in units suitable for either wholesale or retail sale. </w:t>
      </w:r>
    </w:p>
    <w:p w14:paraId="28C9FB36" w14:textId="77777777" w:rsidR="00C05958" w:rsidRDefault="00C05958" w:rsidP="00C05958">
      <w:pPr>
        <w:pStyle w:val="1"/>
      </w:pPr>
      <w:r w:rsidRPr="00242B77">
        <w:rPr>
          <w:i/>
          <w:iCs/>
        </w:rPr>
        <w:t>Person</w:t>
      </w:r>
      <w:r w:rsidRPr="00242B77">
        <w:t>—</w:t>
      </w:r>
      <w:r w:rsidRPr="007B66B5">
        <w:t xml:space="preserve">includes individuals, partnerships, corporations, companies, societies, and associations. </w:t>
      </w:r>
    </w:p>
    <w:p w14:paraId="67B6FD63" w14:textId="77777777" w:rsidR="00C05958" w:rsidRDefault="00C05958" w:rsidP="00C05958">
      <w:pPr>
        <w:pStyle w:val="1"/>
        <w:rPr>
          <w:i/>
          <w:iCs/>
        </w:rPr>
      </w:pPr>
      <w:r w:rsidRPr="00242B77">
        <w:rPr>
          <w:i/>
          <w:iCs/>
        </w:rPr>
        <w:t>Petroleum Product</w:t>
      </w:r>
      <w:r w:rsidRPr="00242B77">
        <w:t>—</w:t>
      </w:r>
      <w:r w:rsidRPr="007B66B5">
        <w:t>any refined hydrocarbon mixture including motor oil, kerosene, gasoline, gasohol, diesel fuel, aviation fuel, heating kerosene, and any blend of two or more refined hydrocarbon mixtures except liquefied petroleum gas and natural gas. For purposes of enforcement of the provisions o</w:t>
      </w:r>
      <w:r>
        <w:t>f R.S. 47:818.111 et</w:t>
      </w:r>
      <w:r w:rsidRPr="007B66B5">
        <w:t xml:space="preserve"> seq., regarding taxes on special fuels, the term petroleum product shall include compressed natural gas, liquefied natural gas, and liquefied petroleum gas, as those terms are defined in R.S. 47:818.2.</w:t>
      </w:r>
    </w:p>
    <w:p w14:paraId="7223B6B3" w14:textId="77777777" w:rsidR="00CF626A" w:rsidRPr="001531CD" w:rsidRDefault="00CF626A">
      <w:pPr>
        <w:pStyle w:val="1"/>
      </w:pPr>
      <w:r w:rsidRPr="001531CD">
        <w:rPr>
          <w:i/>
          <w:iCs/>
        </w:rPr>
        <w:t>Point-of-Sale</w:t>
      </w:r>
      <w:r w:rsidR="00C05958" w:rsidRPr="00242B77">
        <w:rPr>
          <w:iCs/>
        </w:rPr>
        <w:t>—</w:t>
      </w:r>
      <w:r w:rsidRPr="001531CD">
        <w:t>an assembly of elements including a weighing element, indicating element, and receiving element (which may be equipped with a scanner) used to complete a direct sale transaction.</w:t>
      </w:r>
    </w:p>
    <w:p w14:paraId="5F24D4E8" w14:textId="77777777" w:rsidR="00CF626A" w:rsidRPr="001531CD" w:rsidRDefault="00CF626A">
      <w:pPr>
        <w:pStyle w:val="1"/>
      </w:pPr>
      <w:r w:rsidRPr="001531CD">
        <w:rPr>
          <w:i/>
          <w:iCs/>
        </w:rPr>
        <w:t xml:space="preserve">Price Look-Up Code </w:t>
      </w:r>
      <w:r w:rsidRPr="001531CD">
        <w:t xml:space="preserve">or </w:t>
      </w:r>
      <w:r w:rsidRPr="001531CD">
        <w:rPr>
          <w:i/>
          <w:iCs/>
        </w:rPr>
        <w:t>PLU</w:t>
      </w:r>
      <w:r w:rsidR="00C05958" w:rsidRPr="00242B77">
        <w:rPr>
          <w:iCs/>
        </w:rPr>
        <w:t>—</w:t>
      </w:r>
      <w:r w:rsidRPr="001531CD">
        <w:t>a pricing system where numbers are assigned to items or commodities and the price is stored in a database for recall when the numbers are manually entered. PLU codes are used with scales, cash registers, and point-of-sale items.</w:t>
      </w:r>
    </w:p>
    <w:p w14:paraId="2308A711" w14:textId="77777777" w:rsidR="00CF626A" w:rsidRDefault="00CF626A">
      <w:pPr>
        <w:pStyle w:val="1"/>
      </w:pPr>
      <w:r w:rsidRPr="001531CD">
        <w:rPr>
          <w:i/>
          <w:iCs/>
        </w:rPr>
        <w:t>Primary Indicating Element</w:t>
      </w:r>
      <w:r w:rsidR="00C05958" w:rsidRPr="00242B77">
        <w:rPr>
          <w:iCs/>
        </w:rPr>
        <w:t>—</w:t>
      </w:r>
      <w:r w:rsidRPr="001531CD">
        <w:t xml:space="preserve">those principal indicting elements (visual)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for meters or scales so equipped.) The term "primary" is not applied to such auxiliary elements (i.e., the totalizing register of predetermined-stop mechanism on a meter or the means for producing a running record of successive weighing operations) as these elements being </w:t>
      </w:r>
      <w:r w:rsidRPr="001531CD">
        <w:t>supplementary to those that are the determining factors in sales representations of individual deliveries or weights.</w:t>
      </w:r>
    </w:p>
    <w:p w14:paraId="1DFE0867" w14:textId="77777777" w:rsidR="00C05958" w:rsidRDefault="00C05958" w:rsidP="00C05958">
      <w:pPr>
        <w:pStyle w:val="1"/>
      </w:pPr>
      <w:r w:rsidRPr="007B66B5">
        <w:rPr>
          <w:i/>
          <w:iCs/>
        </w:rPr>
        <w:t>Rack</w:t>
      </w:r>
      <w:r w:rsidRPr="00242B77">
        <w:rPr>
          <w:iCs/>
        </w:rPr>
        <w:t>—</w:t>
      </w:r>
      <w:r w:rsidRPr="007B66B5">
        <w:t xml:space="preserve">a mechanism for delivering motor fuel from a refinery, terminal, marine vessel, or bulk plant into a transport vehicle, railroad tank car, or other means of transfer that is outside the bulk transfer/terminal system. </w:t>
      </w:r>
    </w:p>
    <w:p w14:paraId="35950700" w14:textId="77777777" w:rsidR="00C05958" w:rsidRPr="007B66B5" w:rsidRDefault="00C05958" w:rsidP="00C05958">
      <w:pPr>
        <w:pStyle w:val="1"/>
      </w:pPr>
      <w:r w:rsidRPr="00242B77">
        <w:rPr>
          <w:i/>
          <w:iCs/>
        </w:rPr>
        <w:t>Sale or Sell</w:t>
      </w:r>
      <w:r w:rsidRPr="00242B77">
        <w:t>—</w:t>
      </w:r>
      <w:r w:rsidRPr="007B66B5">
        <w:t xml:space="preserve">includes barter and exchange. </w:t>
      </w:r>
    </w:p>
    <w:p w14:paraId="313A4B97" w14:textId="77777777" w:rsidR="00C05958" w:rsidRDefault="00C05958" w:rsidP="00C05958">
      <w:pPr>
        <w:pStyle w:val="1"/>
      </w:pPr>
      <w:r w:rsidRPr="00242B77">
        <w:rPr>
          <w:i/>
          <w:iCs/>
        </w:rPr>
        <w:t>Scanner or Scanning Device</w:t>
      </w:r>
      <w:r w:rsidRPr="00242B77">
        <w:t>—</w:t>
      </w:r>
      <w:r w:rsidRPr="007B66B5">
        <w:t xml:space="preserve">an electronic system that employs a visual code reading device to retrieve the item’s price electronically. </w:t>
      </w:r>
    </w:p>
    <w:p w14:paraId="2472A95D" w14:textId="77777777" w:rsidR="00C05958" w:rsidRDefault="00C05958" w:rsidP="00C05958">
      <w:pPr>
        <w:pStyle w:val="1"/>
      </w:pPr>
      <w:r w:rsidRPr="00242B77">
        <w:rPr>
          <w:i/>
          <w:iCs/>
        </w:rPr>
        <w:t>Service Agency</w:t>
      </w:r>
      <w:r w:rsidRPr="00242B77">
        <w:t>—</w:t>
      </w:r>
      <w:r w:rsidRPr="007B66B5">
        <w:t>any person who, for hire, award, commission, or any other payment of any kind, installs, services, repairs, tests, calibrates, or reconditions any commercial weighing or measuring device and is registered under this Part.</w:t>
      </w:r>
      <w:r>
        <w:t xml:space="preserve"> </w:t>
      </w:r>
    </w:p>
    <w:p w14:paraId="5DD80F87" w14:textId="77777777" w:rsidR="00CF626A" w:rsidRPr="001531CD" w:rsidRDefault="00C05958" w:rsidP="00C05958">
      <w:pPr>
        <w:pStyle w:val="1"/>
      </w:pPr>
      <w:r w:rsidRPr="00242B77">
        <w:rPr>
          <w:i/>
          <w:iCs/>
        </w:rPr>
        <w:t>Service Technician</w:t>
      </w:r>
      <w:r w:rsidRPr="00242B77">
        <w:t>—</w:t>
      </w:r>
      <w:r w:rsidRPr="007B66B5">
        <w:t>any individual who for hire, award, commission, or any other payment of any kind, installs, services, repairs, tests, calibrates, or reconditions any commercial weighing or measuring device and is registered under this Part.</w:t>
      </w:r>
    </w:p>
    <w:p w14:paraId="44D89778" w14:textId="77777777" w:rsidR="00CF626A" w:rsidRPr="001531CD" w:rsidRDefault="00CF626A">
      <w:pPr>
        <w:pStyle w:val="1"/>
      </w:pPr>
      <w:r w:rsidRPr="001531CD">
        <w:rPr>
          <w:i/>
          <w:iCs/>
        </w:rPr>
        <w:t>Universal Product Code or UPC</w:t>
      </w:r>
      <w:r w:rsidR="00C05958" w:rsidRPr="00242B77">
        <w:rPr>
          <w:iCs/>
        </w:rPr>
        <w:t>—</w:t>
      </w:r>
      <w:r w:rsidRPr="001531CD">
        <w:t>a unique symbol that consists of a machine-readable code and human-readable numbers.</w:t>
      </w:r>
    </w:p>
    <w:p w14:paraId="44379FE0" w14:textId="77777777" w:rsidR="00C05958" w:rsidRDefault="00C05958" w:rsidP="00C05958">
      <w:pPr>
        <w:pStyle w:val="1"/>
      </w:pPr>
      <w:r w:rsidRPr="007B66B5">
        <w:rPr>
          <w:i/>
          <w:iCs/>
        </w:rPr>
        <w:t>Weighmaster</w:t>
      </w:r>
      <w:r w:rsidRPr="00242B77">
        <w:rPr>
          <w:iCs/>
        </w:rPr>
        <w:t>—</w:t>
      </w:r>
      <w:r w:rsidRPr="007B66B5">
        <w:t xml:space="preserve">any person who weighs, measures, or counts any commodity and issues a certificate of weight, measure, or count, except retailers who weigh, measure, or count commodities for sale at retail directly to consumers, or a person engaged in the business of public weighing or measuring for hire. </w:t>
      </w:r>
    </w:p>
    <w:p w14:paraId="24FD2094" w14:textId="77777777" w:rsidR="00C05958" w:rsidRDefault="00C05958" w:rsidP="00C05958">
      <w:pPr>
        <w:pStyle w:val="1"/>
      </w:pPr>
      <w:r w:rsidRPr="00242B77">
        <w:rPr>
          <w:i/>
          <w:iCs/>
        </w:rPr>
        <w:t>Weight</w:t>
      </w:r>
      <w:r w:rsidRPr="00242B77">
        <w:t>—</w:t>
      </w:r>
      <w:r w:rsidRPr="007B66B5">
        <w:t xml:space="preserve">as used in connection with any commodity means net weight; except where the label declares that the product is sold by drained weight, the term means net drained weight. </w:t>
      </w:r>
    </w:p>
    <w:p w14:paraId="1DD79D31" w14:textId="77777777" w:rsidR="00C05958" w:rsidRDefault="0005191F" w:rsidP="00C05958">
      <w:pPr>
        <w:pStyle w:val="1"/>
      </w:pPr>
      <w:bookmarkStart w:id="3034" w:name="_Hlk144975090"/>
      <w:r w:rsidRPr="0005191F">
        <w:rPr>
          <w:i/>
          <w:iCs/>
        </w:rPr>
        <w:t>Weights, Measures, or Weighing and Measuring Devices</w:t>
      </w:r>
      <w:bookmarkEnd w:id="3034"/>
      <w:r w:rsidRPr="0005191F">
        <w:rPr>
          <w:i/>
          <w:iCs/>
        </w:rPr>
        <w:t>—</w:t>
      </w:r>
      <w:r w:rsidRPr="0005191F">
        <w:rPr>
          <w:iCs/>
        </w:rPr>
        <w:t>all weights, scales, scanners, taxi meters, electric vehicle supply equipment</w:t>
      </w:r>
      <w:r w:rsidRPr="0005191F">
        <w:rPr>
          <w:bCs/>
          <w:iCs/>
        </w:rPr>
        <w:t>,</w:t>
      </w:r>
      <w:r w:rsidRPr="0005191F">
        <w:rPr>
          <w:iCs/>
        </w:rPr>
        <w:t xml:space="preserve"> beams, measures of every kind, instruments and mechanical devices for weighing or measuring, and any appliances and accessories connected with any such instruments. However, it does not include or refer to devices used to meter or measure, other than by weight, water, natural or manufactured gas, or electricity, except for electricity used in connection with electric vehicle supply equipment.</w:t>
      </w:r>
    </w:p>
    <w:p w14:paraId="73B628F4" w14:textId="77777777" w:rsidR="00C05958" w:rsidRDefault="00C05958" w:rsidP="00C05958">
      <w:pPr>
        <w:pStyle w:val="1"/>
      </w:pPr>
      <w:r w:rsidRPr="007B66B5">
        <w:rPr>
          <w:i/>
          <w:iCs/>
        </w:rPr>
        <w:t xml:space="preserve">Visual </w:t>
      </w:r>
      <w:r w:rsidRPr="00242B77">
        <w:rPr>
          <w:i/>
          <w:iCs/>
        </w:rPr>
        <w:t>Code Reading Device</w:t>
      </w:r>
      <w:r w:rsidRPr="00242B77">
        <w:t>—</w:t>
      </w:r>
      <w:r w:rsidRPr="007B66B5">
        <w:t xml:space="preserve">a device that reads visual machine-readable codes that allows for comparison of the advertised price to the price for the item in the point-of-sale database. </w:t>
      </w:r>
    </w:p>
    <w:p w14:paraId="2E4E15C6" w14:textId="77777777" w:rsidR="00CF626A" w:rsidRPr="001531CD" w:rsidRDefault="00C05958" w:rsidP="00C05958">
      <w:pPr>
        <w:pStyle w:val="1"/>
      </w:pPr>
      <w:r w:rsidRPr="00242B77">
        <w:rPr>
          <w:i/>
          <w:iCs/>
        </w:rPr>
        <w:t>Visual Machine-Readable Code</w:t>
      </w:r>
      <w:r w:rsidRPr="00242B77">
        <w:t>—</w:t>
      </w:r>
      <w:r w:rsidRPr="007B66B5">
        <w:t>a unique symbol or symbols that may be read by a visual code reading device including, but not limited to, bar codes and QR codes.</w:t>
      </w:r>
    </w:p>
    <w:p w14:paraId="04A60D99" w14:textId="77777777" w:rsidR="00CF626A" w:rsidRPr="001531CD" w:rsidRDefault="00CF626A">
      <w:pPr>
        <w:pStyle w:val="AuthorityNote"/>
      </w:pPr>
      <w:r w:rsidRPr="001531CD">
        <w:t>AUTHORITY NOTE:</w:t>
      </w:r>
      <w:r w:rsidRPr="001531CD">
        <w:tab/>
        <w:t>Promulgated in accordance with R.S. 3:4603 (formerly R.S. 55:3).</w:t>
      </w:r>
    </w:p>
    <w:p w14:paraId="716450B0" w14:textId="77777777" w:rsidR="00CF626A" w:rsidRPr="001531CD" w:rsidRDefault="00CF626A">
      <w:pPr>
        <w:pStyle w:val="HistoricalNote"/>
      </w:pPr>
      <w:r w:rsidRPr="001531CD">
        <w:t>HISTORICAL NOTE:</w:t>
      </w:r>
      <w:r w:rsidRPr="001531CD">
        <w:tab/>
        <w:t xml:space="preserve">Promulgated by the Department of Agriculture and Forestry, Office of Agro-Consumer Services, </w:t>
      </w:r>
      <w:r w:rsidRPr="001531CD">
        <w:lastRenderedPageBreak/>
        <w:t>Commission of Weights and Measures, LR 13:157 (March 1987), amended by the Department of Agriculture and Forestry, Office of Agro-Consumer Services, Division of Weights and Measures, LR 19:1530 (December 1993), LR 23:857 (July 1997)</w:t>
      </w:r>
      <w:r w:rsidR="00C05958" w:rsidRPr="007B66B5">
        <w:t xml:space="preserve">, </w:t>
      </w:r>
      <w:r w:rsidR="00C05958" w:rsidRPr="007B66B5">
        <w:rPr>
          <w:bCs/>
        </w:rPr>
        <w:t>LR 48:</w:t>
      </w:r>
      <w:r w:rsidR="00C05958">
        <w:rPr>
          <w:bCs/>
        </w:rPr>
        <w:t>995</w:t>
      </w:r>
      <w:r w:rsidR="00C05958" w:rsidRPr="00C15B06">
        <w:rPr>
          <w:bCs/>
        </w:rPr>
        <w:t xml:space="preserve"> (April 2022</w:t>
      </w:r>
      <w:r w:rsidR="0005191F" w:rsidRPr="003D17D4">
        <w:t xml:space="preserve">), </w:t>
      </w:r>
      <w:r w:rsidR="0005191F">
        <w:t>LR 50:3</w:t>
      </w:r>
      <w:r w:rsidR="003A5AA1">
        <w:t>50</w:t>
      </w:r>
      <w:r w:rsidR="0005191F">
        <w:t xml:space="preserve"> (March 2024).</w:t>
      </w:r>
    </w:p>
    <w:p w14:paraId="3078734A" w14:textId="77777777" w:rsidR="00CF626A" w:rsidRPr="001531CD" w:rsidRDefault="00CF626A">
      <w:pPr>
        <w:pStyle w:val="Section"/>
      </w:pPr>
      <w:bookmarkStart w:id="3035" w:name="_Toc256755090"/>
      <w:bookmarkStart w:id="3036" w:name="_Toc224819480"/>
      <w:r w:rsidRPr="001531CD">
        <w:t>§105.</w:t>
      </w:r>
      <w:r w:rsidRPr="001531CD">
        <w:tab/>
        <w:t>Commodities</w:t>
      </w:r>
      <w:bookmarkEnd w:id="3035"/>
      <w:bookmarkEnd w:id="3036"/>
      <w:r w:rsidRPr="001531CD">
        <w:t xml:space="preserve"> </w:t>
      </w:r>
    </w:p>
    <w:p w14:paraId="17EBA165" w14:textId="77777777" w:rsidR="00CF626A" w:rsidRPr="001531CD" w:rsidRDefault="00CF626A">
      <w:pPr>
        <w:pStyle w:val="A"/>
      </w:pPr>
      <w:r w:rsidRPr="001531CD">
        <w:t>A.</w:t>
      </w:r>
      <w:r w:rsidRPr="001531CD">
        <w:tab/>
        <w:t>Method of Sales, Quantity Statements</w:t>
      </w:r>
    </w:p>
    <w:p w14:paraId="459B6C6B" w14:textId="77777777" w:rsidR="00CF626A" w:rsidRPr="001531CD" w:rsidRDefault="00CF626A">
      <w:pPr>
        <w:pStyle w:val="1"/>
      </w:pPr>
      <w:r w:rsidRPr="001531CD">
        <w:t>1.</w:t>
      </w:r>
      <w:r w:rsidRPr="001531CD">
        <w:tab/>
        <w:t>The offer to sell and/or the sale of all commodities shall be on the basis of net weight, net measure, or numerical count, in accordance with the following provisions; however, such provisions shall not apply to fresh vegetables which by common custom are offered for sale, and/or sold by the bunch.</w:t>
      </w:r>
    </w:p>
    <w:p w14:paraId="769B1EB5" w14:textId="77777777" w:rsidR="00CF626A" w:rsidRPr="001531CD" w:rsidRDefault="00CF626A">
      <w:pPr>
        <w:pStyle w:val="1"/>
      </w:pPr>
      <w:r w:rsidRPr="001531CD">
        <w:t>2.</w:t>
      </w:r>
      <w:r w:rsidRPr="001531CD">
        <w:tab/>
        <w:t>The quantity of solids shall be stated in terms of weights and the quantity of liquids in terms of measure, except that in the case of a commodity in respect to where there exists a definite trade custom otherwise, the statement may be in terms of weight or measure in accordance with such custom.</w:t>
      </w:r>
    </w:p>
    <w:p w14:paraId="37F5FDCA" w14:textId="77777777" w:rsidR="00CF626A" w:rsidRPr="001531CD" w:rsidRDefault="00CF626A">
      <w:pPr>
        <w:pStyle w:val="1"/>
      </w:pPr>
      <w:r w:rsidRPr="001531CD">
        <w:t>3.</w:t>
      </w:r>
      <w:r w:rsidRPr="001531CD">
        <w:tab/>
        <w:t>The quantity of viscous or semi-solid commodities, or of mixtures of solids and liquids may be stated either by weight or measure, but the statement shall be definite and shall indicate whether the quantity is stated in terms of weight or measure.</w:t>
      </w:r>
    </w:p>
    <w:p w14:paraId="731607EB" w14:textId="77777777" w:rsidR="00CF626A" w:rsidRPr="001531CD" w:rsidRDefault="00CF626A">
      <w:pPr>
        <w:pStyle w:val="1"/>
      </w:pPr>
      <w:r w:rsidRPr="001531CD">
        <w:t>4.</w:t>
      </w:r>
      <w:r w:rsidRPr="001531CD">
        <w:tab/>
        <w:t>Where it is practical to state the quantity of a commodity in terms of numerical count, the employment of such statement is contingent upon the commodity being in definite units.</w:t>
      </w:r>
    </w:p>
    <w:p w14:paraId="2F3AC4E6" w14:textId="77777777" w:rsidR="00CF626A" w:rsidRPr="001531CD" w:rsidRDefault="00CF626A">
      <w:pPr>
        <w:pStyle w:val="1"/>
      </w:pPr>
      <w:r w:rsidRPr="001531CD">
        <w:t>5.</w:t>
      </w:r>
      <w:r w:rsidRPr="001531CD">
        <w:tab/>
        <w:t>Statement of weight shall be in terms of the avoirdupois pound and ounce.</w:t>
      </w:r>
    </w:p>
    <w:p w14:paraId="7CA06F36" w14:textId="77777777" w:rsidR="00CF626A" w:rsidRPr="001531CD" w:rsidRDefault="00CF626A">
      <w:pPr>
        <w:pStyle w:val="1"/>
      </w:pPr>
      <w:r w:rsidRPr="001531CD">
        <w:t>6.</w:t>
      </w:r>
      <w:r w:rsidRPr="001531CD">
        <w:tab/>
        <w:t>Statement of liquid measure shall be in the terms of the United States gallon of 231 cubic inches, and quart, pint, and fluid ounce subdivisions thereof.</w:t>
      </w:r>
    </w:p>
    <w:p w14:paraId="31D76BA5" w14:textId="77777777" w:rsidR="00CF626A" w:rsidRPr="001531CD" w:rsidRDefault="00CF626A">
      <w:pPr>
        <w:pStyle w:val="1"/>
      </w:pPr>
      <w:r w:rsidRPr="001531CD">
        <w:t>7.</w:t>
      </w:r>
      <w:r w:rsidRPr="001531CD">
        <w:tab/>
        <w:t>Statement of dry measure shall be in terms of the United States standard bushel of 2150.42 cubic inches, and peck, dry quart, and dry pint subdivisions thereof.</w:t>
      </w:r>
    </w:p>
    <w:p w14:paraId="30496AB1" w14:textId="77777777" w:rsidR="00CF626A" w:rsidRPr="001531CD" w:rsidRDefault="00CF626A">
      <w:pPr>
        <w:pStyle w:val="1"/>
      </w:pPr>
      <w:r w:rsidRPr="001531CD">
        <w:t>8.</w:t>
      </w:r>
      <w:r w:rsidRPr="001531CD">
        <w:tab/>
        <w:t>Statement of linear measure shall be in terms of the standard yard, foot and inch subdivisions thereof.</w:t>
      </w:r>
    </w:p>
    <w:p w14:paraId="0B8EC24C" w14:textId="77777777" w:rsidR="00CF626A" w:rsidRPr="001531CD" w:rsidRDefault="00CF626A">
      <w:pPr>
        <w:pStyle w:val="1"/>
      </w:pPr>
      <w:r w:rsidRPr="001531CD">
        <w:t>9.</w:t>
      </w:r>
      <w:r w:rsidRPr="001531CD">
        <w:tab/>
        <w:t>Statements may be in terms of the metric system, anything in these regulations notwithstanding, where the commodity is customarily bought and sold by metric weight or measure.</w:t>
      </w:r>
    </w:p>
    <w:p w14:paraId="7EC0A7B6" w14:textId="77777777" w:rsidR="00CF626A" w:rsidRPr="001531CD" w:rsidRDefault="00CF626A" w:rsidP="00A66724">
      <w:pPr>
        <w:pStyle w:val="A"/>
        <w:keepNext/>
      </w:pPr>
      <w:r w:rsidRPr="001531CD">
        <w:t>B.</w:t>
      </w:r>
      <w:r w:rsidRPr="001531CD">
        <w:tab/>
        <w:t>General Requirements</w:t>
      </w:r>
    </w:p>
    <w:p w14:paraId="3FEEE39C" w14:textId="77777777" w:rsidR="00CF626A" w:rsidRPr="001531CD" w:rsidRDefault="00CF626A">
      <w:pPr>
        <w:pStyle w:val="1"/>
      </w:pPr>
      <w:r w:rsidRPr="001531CD">
        <w:t>1.</w:t>
      </w:r>
      <w:r w:rsidRPr="001531CD">
        <w:tab/>
        <w:t xml:space="preserve">When any term common to more than one system of weights or measures is employed in the quantity statement, said statement shall include the proper qualification of the term, as, for example; either </w:t>
      </w:r>
      <w:r w:rsidRPr="001531CD">
        <w:rPr>
          <w:i/>
          <w:iCs/>
        </w:rPr>
        <w:t>avoirdupois ounces</w:t>
      </w:r>
      <w:r w:rsidRPr="001531CD">
        <w:t xml:space="preserve"> or </w:t>
      </w:r>
      <w:r w:rsidRPr="001531CD">
        <w:rPr>
          <w:i/>
          <w:iCs/>
        </w:rPr>
        <w:t>fluid ounces</w:t>
      </w:r>
      <w:r w:rsidRPr="001531CD">
        <w:t xml:space="preserve">; </w:t>
      </w:r>
      <w:r w:rsidRPr="001531CD">
        <w:rPr>
          <w:i/>
          <w:iCs/>
        </w:rPr>
        <w:t>liquid pints</w:t>
      </w:r>
      <w:r w:rsidRPr="001531CD">
        <w:t xml:space="preserve"> or </w:t>
      </w:r>
      <w:r w:rsidRPr="001531CD">
        <w:rPr>
          <w:i/>
          <w:iCs/>
        </w:rPr>
        <w:t>dry pints</w:t>
      </w:r>
      <w:r w:rsidRPr="001531CD">
        <w:t xml:space="preserve">; </w:t>
      </w:r>
      <w:r w:rsidRPr="001531CD">
        <w:rPr>
          <w:i/>
          <w:iCs/>
        </w:rPr>
        <w:t>liquid quarts</w:t>
      </w:r>
      <w:r w:rsidRPr="001531CD">
        <w:t xml:space="preserve"> or </w:t>
      </w:r>
      <w:r w:rsidRPr="001531CD">
        <w:rPr>
          <w:i/>
          <w:iCs/>
        </w:rPr>
        <w:t>dry quarts</w:t>
      </w:r>
      <w:r w:rsidRPr="001531CD">
        <w:t>.</w:t>
      </w:r>
    </w:p>
    <w:p w14:paraId="4A9EA021" w14:textId="77777777" w:rsidR="00CF626A" w:rsidRPr="001531CD" w:rsidRDefault="00CF626A">
      <w:pPr>
        <w:pStyle w:val="1"/>
      </w:pPr>
      <w:r w:rsidRPr="001531CD">
        <w:t>2.</w:t>
      </w:r>
      <w:r w:rsidRPr="001531CD">
        <w:tab/>
        <w:t xml:space="preserve">In connection with the weight, measure, or numerical count, no qualifying word, phrase or clause shall be used; a statement such as </w:t>
      </w:r>
      <w:r w:rsidRPr="001531CD">
        <w:rPr>
          <w:i/>
          <w:iCs/>
        </w:rPr>
        <w:t>not less than</w:t>
      </w:r>
      <w:r w:rsidRPr="001531CD">
        <w:t xml:space="preserve">, </w:t>
      </w:r>
      <w:r w:rsidRPr="001531CD">
        <w:rPr>
          <w:i/>
          <w:iCs/>
        </w:rPr>
        <w:t>average</w:t>
      </w:r>
      <w:r w:rsidRPr="001531CD">
        <w:t xml:space="preserve">, </w:t>
      </w:r>
      <w:r w:rsidRPr="001531CD">
        <w:rPr>
          <w:i/>
          <w:iCs/>
        </w:rPr>
        <w:t>when packed</w:t>
      </w:r>
      <w:r w:rsidRPr="001531CD">
        <w:t xml:space="preserve">, or a statement that the contents are </w:t>
      </w:r>
      <w:r w:rsidRPr="001531CD">
        <w:rPr>
          <w:i/>
          <w:iCs/>
        </w:rPr>
        <w:t>between</w:t>
      </w:r>
      <w:r w:rsidRPr="001531CD">
        <w:t xml:space="preserve"> certain limits, is not permissible.</w:t>
      </w:r>
    </w:p>
    <w:p w14:paraId="4271DE44" w14:textId="77777777" w:rsidR="00CF626A" w:rsidRPr="001531CD" w:rsidRDefault="00CF626A">
      <w:pPr>
        <w:pStyle w:val="1"/>
      </w:pPr>
      <w:r w:rsidRPr="001531CD">
        <w:t>3.</w:t>
      </w:r>
      <w:r w:rsidRPr="001531CD">
        <w:tab/>
        <w:t>All commodities in package form shall be in full compliance with the law; otherwise, there shall be applied thereto an appropriate violation notice or tag. Such notice or tag shall not be obliterated or removed from the package until the commodity in question shall be in compliance with the law, and approved by the commission.</w:t>
      </w:r>
    </w:p>
    <w:p w14:paraId="2568AD19" w14:textId="77777777" w:rsidR="00CF626A" w:rsidRPr="001531CD" w:rsidRDefault="00CF626A">
      <w:pPr>
        <w:pStyle w:val="A"/>
      </w:pPr>
      <w:r w:rsidRPr="001531CD">
        <w:t>C.</w:t>
      </w:r>
      <w:r w:rsidRPr="001531CD">
        <w:tab/>
        <w:t>Labeling; Container Construction; Drainage</w:t>
      </w:r>
    </w:p>
    <w:p w14:paraId="3BC55C1E" w14:textId="77777777" w:rsidR="00CF626A" w:rsidRPr="001531CD" w:rsidRDefault="00CF626A">
      <w:pPr>
        <w:pStyle w:val="1"/>
      </w:pPr>
      <w:r w:rsidRPr="001531CD">
        <w:t>1.</w:t>
      </w:r>
      <w:r w:rsidRPr="001531CD">
        <w:tab/>
        <w:t>All commodities in package form shall bear a printed or stenciled label containing:</w:t>
      </w:r>
    </w:p>
    <w:p w14:paraId="1D6BC20B" w14:textId="77777777" w:rsidR="00CF626A" w:rsidRPr="001531CD" w:rsidRDefault="00CF626A">
      <w:pPr>
        <w:pStyle w:val="a0"/>
      </w:pPr>
      <w:r w:rsidRPr="001531CD">
        <w:t>a.</w:t>
      </w:r>
      <w:r w:rsidRPr="001531CD">
        <w:tab/>
        <w:t xml:space="preserve">the true name of the commodity in the package; and </w:t>
      </w:r>
    </w:p>
    <w:p w14:paraId="49FFDCFD" w14:textId="77777777" w:rsidR="00CF626A" w:rsidRPr="001531CD" w:rsidRDefault="00CF626A">
      <w:pPr>
        <w:pStyle w:val="a0"/>
      </w:pPr>
      <w:r w:rsidRPr="001531CD">
        <w:t>b.</w:t>
      </w:r>
      <w:r w:rsidRPr="001531CD">
        <w:tab/>
        <w:t>the name and place of business of the manufacturer, packer, distributor, or seller. Such label must be legible and in the English language and must not be covered or obscured in any way.</w:t>
      </w:r>
    </w:p>
    <w:p w14:paraId="77CDAA34" w14:textId="77777777" w:rsidR="00CF626A" w:rsidRPr="001531CD" w:rsidRDefault="00CF626A">
      <w:pPr>
        <w:pStyle w:val="1"/>
      </w:pPr>
      <w:r w:rsidRPr="001531CD">
        <w:t>2.</w:t>
      </w:r>
      <w:r w:rsidRPr="001531CD">
        <w:tab/>
        <w:t>No container wherein commodities are packed shall have a false bottom, false side walls, false lid or covering, or otherwise so constructed or filled, wholly or partially as to facilitate the perpetration of deception or fraud.</w:t>
      </w:r>
    </w:p>
    <w:p w14:paraId="280773FE" w14:textId="77777777" w:rsidR="00CF626A" w:rsidRPr="001531CD" w:rsidRDefault="00CF626A">
      <w:pPr>
        <w:pStyle w:val="1"/>
      </w:pPr>
      <w:r w:rsidRPr="001531CD">
        <w:t>3.</w:t>
      </w:r>
      <w:r w:rsidRPr="001531CD">
        <w:tab/>
        <w:t>A load receiving element intended for the purpose of weighing wet commodities shall be constructed as to drain effectively.</w:t>
      </w:r>
    </w:p>
    <w:p w14:paraId="40F9AEB7" w14:textId="77777777" w:rsidR="00CF626A" w:rsidRPr="001531CD" w:rsidRDefault="00CF626A">
      <w:pPr>
        <w:pStyle w:val="A"/>
      </w:pPr>
      <w:r w:rsidRPr="001531CD">
        <w:t>D.</w:t>
      </w:r>
      <w:r w:rsidRPr="001531CD">
        <w:tab/>
        <w:t>Package Markings; Exemptions. The following shall be exempt from the provisions of the law, requiring the net quantity marking of commodities in package form:</w:t>
      </w:r>
    </w:p>
    <w:p w14:paraId="45B07B58" w14:textId="77777777" w:rsidR="00CF626A" w:rsidRPr="001531CD" w:rsidRDefault="00CF626A">
      <w:pPr>
        <w:pStyle w:val="1"/>
      </w:pPr>
      <w:r w:rsidRPr="001531CD">
        <w:t>1.</w:t>
      </w:r>
      <w:r w:rsidRPr="001531CD">
        <w:tab/>
        <w:t>all packages of food and/or dry commodities weighing 1 avoirdupois ounce or less;</w:t>
      </w:r>
    </w:p>
    <w:p w14:paraId="1E78C925" w14:textId="77777777" w:rsidR="00CF626A" w:rsidRPr="001531CD" w:rsidRDefault="00CF626A">
      <w:pPr>
        <w:pStyle w:val="1"/>
      </w:pPr>
      <w:r w:rsidRPr="001531CD">
        <w:t>2.</w:t>
      </w:r>
      <w:r w:rsidRPr="001531CD">
        <w:tab/>
        <w:t>all packages of food weighing 1 fluid ounce or less.</w:t>
      </w:r>
    </w:p>
    <w:p w14:paraId="1AC952AE" w14:textId="77777777" w:rsidR="00CF626A" w:rsidRPr="001531CD" w:rsidRDefault="00CF626A">
      <w:pPr>
        <w:pStyle w:val="AuthorityNote"/>
      </w:pPr>
      <w:r w:rsidRPr="001531CD">
        <w:t>AUTHORITY NOTE:</w:t>
      </w:r>
      <w:r w:rsidRPr="001531CD">
        <w:tab/>
        <w:t>Promulgated in accordance with R.S. 3:4612, R.S. 3:4613, R.S. 3:4614, R.S. 3:4602, R.S. 3:4616 and R.S. 3:4608 (formerly R.S. 55:10, R.S. 55:11, R.S.55:12, R.S. 55:14 and R.S. 55:6).</w:t>
      </w:r>
    </w:p>
    <w:p w14:paraId="3875A691" w14:textId="77777777"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19:1530 (December 1993).</w:t>
      </w:r>
    </w:p>
    <w:p w14:paraId="1483DBD9" w14:textId="77777777" w:rsidR="00CF626A" w:rsidRPr="001531CD" w:rsidRDefault="00CF626A">
      <w:pPr>
        <w:pStyle w:val="Section"/>
      </w:pPr>
      <w:bookmarkStart w:id="3037" w:name="_Toc256755091"/>
      <w:bookmarkStart w:id="3038" w:name="_Toc224819481"/>
      <w:r w:rsidRPr="001531CD">
        <w:t>§107.</w:t>
      </w:r>
      <w:r w:rsidRPr="001531CD">
        <w:tab/>
        <w:t>Crawfish; Live; Boiled; Peeled</w:t>
      </w:r>
      <w:bookmarkEnd w:id="3037"/>
      <w:bookmarkEnd w:id="3038"/>
    </w:p>
    <w:p w14:paraId="2195DF23" w14:textId="77777777" w:rsidR="00DC0FAC" w:rsidRPr="00DC0FAC" w:rsidRDefault="00DC0FAC" w:rsidP="00DC0FAC">
      <w:pPr>
        <w:pStyle w:val="A"/>
        <w:keepNext/>
      </w:pPr>
      <w:r w:rsidRPr="00DC0FAC">
        <w:t>A.</w:t>
      </w:r>
      <w:r w:rsidRPr="00DC0FAC">
        <w:tab/>
        <w:t>Definitions</w:t>
      </w:r>
    </w:p>
    <w:p w14:paraId="0D9E0A40" w14:textId="77777777" w:rsidR="00DC0FAC" w:rsidRPr="00DC0FAC" w:rsidRDefault="00DC0FAC" w:rsidP="00DC0FAC">
      <w:pPr>
        <w:pStyle w:val="1"/>
      </w:pPr>
      <w:r w:rsidRPr="00DC0FAC">
        <w:rPr>
          <w:i/>
        </w:rPr>
        <w:t>Boiled Crawfish</w:t>
      </w:r>
      <w:r w:rsidRPr="00DC0FAC">
        <w:t>―any crawfish, still in the shell, which have been processed by boiling or steaming.</w:t>
      </w:r>
    </w:p>
    <w:p w14:paraId="02FBE623" w14:textId="77777777" w:rsidR="00DC0FAC" w:rsidRPr="00DC0FAC" w:rsidRDefault="00DC0FAC" w:rsidP="00DC0FAC">
      <w:pPr>
        <w:pStyle w:val="1"/>
      </w:pPr>
      <w:r w:rsidRPr="00DC0FAC">
        <w:rPr>
          <w:i/>
        </w:rPr>
        <w:t>Crawfish</w:t>
      </w:r>
      <w:r w:rsidRPr="00DC0FAC">
        <w:t xml:space="preserve">―freshwater crustaceans of the genera </w:t>
      </w:r>
      <w:r w:rsidRPr="00575321">
        <w:rPr>
          <w:i/>
        </w:rPr>
        <w:t>Cambarus</w:t>
      </w:r>
      <w:r w:rsidRPr="00DC0FAC">
        <w:t xml:space="preserve"> or </w:t>
      </w:r>
      <w:r w:rsidRPr="00575321">
        <w:rPr>
          <w:i/>
        </w:rPr>
        <w:t>Astacus</w:t>
      </w:r>
      <w:r w:rsidRPr="00DC0FAC">
        <w:t xml:space="preserve"> common to Louisiana.</w:t>
      </w:r>
    </w:p>
    <w:p w14:paraId="14B878A0" w14:textId="77777777" w:rsidR="00DC0FAC" w:rsidRPr="00DC0FAC" w:rsidRDefault="00DC0FAC" w:rsidP="00DC0FAC">
      <w:pPr>
        <w:pStyle w:val="1"/>
      </w:pPr>
      <w:r w:rsidRPr="00DC0FAC">
        <w:rPr>
          <w:i/>
        </w:rPr>
        <w:t>Live Crawfish</w:t>
      </w:r>
      <w:r w:rsidRPr="00DC0FAC">
        <w:t>―any crawfish which are live at the time of purchase.</w:t>
      </w:r>
    </w:p>
    <w:p w14:paraId="03F8568A" w14:textId="77777777" w:rsidR="00DC0FAC" w:rsidRPr="00DC0FAC" w:rsidRDefault="00DC0FAC" w:rsidP="00DC0FAC">
      <w:pPr>
        <w:pStyle w:val="1"/>
      </w:pPr>
      <w:r w:rsidRPr="00DC0FAC">
        <w:rPr>
          <w:i/>
        </w:rPr>
        <w:t>Peeled Crawfish</w:t>
      </w:r>
      <w:r w:rsidRPr="00DC0FAC">
        <w:t>―any crawfish which have been processed to remove the shells.</w:t>
      </w:r>
    </w:p>
    <w:p w14:paraId="691CB064" w14:textId="77777777" w:rsidR="00DC0FAC" w:rsidRPr="00DC0FAC" w:rsidRDefault="00DC0FAC" w:rsidP="00DC0FAC">
      <w:pPr>
        <w:pStyle w:val="1"/>
      </w:pPr>
      <w:r w:rsidRPr="00DC0FAC">
        <w:rPr>
          <w:i/>
        </w:rPr>
        <w:t>Sack</w:t>
      </w:r>
      <w:r w:rsidRPr="00DC0FAC">
        <w:t>―a mesh bag commonly used in the sale of crawfish.</w:t>
      </w:r>
    </w:p>
    <w:p w14:paraId="0CA7D861" w14:textId="77777777" w:rsidR="00DC0FAC" w:rsidRPr="00DC0FAC" w:rsidRDefault="00DC0FAC" w:rsidP="00DC0FAC">
      <w:pPr>
        <w:pStyle w:val="A"/>
        <w:keepNext/>
      </w:pPr>
      <w:r w:rsidRPr="00DC0FAC">
        <w:t>B.</w:t>
      </w:r>
      <w:r w:rsidRPr="00DC0FAC">
        <w:tab/>
        <w:t>Live Crawfish</w:t>
      </w:r>
    </w:p>
    <w:p w14:paraId="1E24B1DE" w14:textId="77777777" w:rsidR="00DC0FAC" w:rsidRPr="00DC0FAC" w:rsidRDefault="00DC0FAC" w:rsidP="00DC0FAC">
      <w:pPr>
        <w:pStyle w:val="1"/>
      </w:pPr>
      <w:r w:rsidRPr="00DC0FAC">
        <w:t>1.</w:t>
      </w:r>
      <w:r w:rsidRPr="00DC0FAC">
        <w:tab/>
        <w:t>Live crawfish shall be sold in sacks by net weight.</w:t>
      </w:r>
    </w:p>
    <w:p w14:paraId="00C86712" w14:textId="77777777" w:rsidR="00DC0FAC" w:rsidRPr="00DC0FAC" w:rsidRDefault="00DC0FAC" w:rsidP="00DC0FAC">
      <w:pPr>
        <w:pStyle w:val="1"/>
      </w:pPr>
      <w:r w:rsidRPr="00DC0FAC">
        <w:lastRenderedPageBreak/>
        <w:t>2.</w:t>
      </w:r>
      <w:r w:rsidRPr="00DC0FAC">
        <w:tab/>
        <w:t>The net weight of live crawfish in sacks must be clearly labeled in indelible ink or otherwise waterproof lettering and in accordance with all other provisions of the Louisiana weights and measures law and of these regulations. The labels must remain on all sacks of live crawfish once they leave the possession of the farmer or fisherman.</w:t>
      </w:r>
    </w:p>
    <w:p w14:paraId="2326D3B7" w14:textId="77777777" w:rsidR="00DC0FAC" w:rsidRPr="00DC0FAC" w:rsidRDefault="00DC0FAC" w:rsidP="00DC0FAC">
      <w:pPr>
        <w:pStyle w:val="A"/>
        <w:keepNext/>
      </w:pPr>
      <w:r w:rsidRPr="00DC0FAC">
        <w:t>C.</w:t>
      </w:r>
      <w:r w:rsidRPr="00DC0FAC">
        <w:tab/>
        <w:t>Boiled Crawfish</w:t>
      </w:r>
    </w:p>
    <w:p w14:paraId="2394D379" w14:textId="77777777" w:rsidR="00DC0FAC" w:rsidRPr="00DC0FAC" w:rsidRDefault="00DC0FAC" w:rsidP="00DC0FAC">
      <w:pPr>
        <w:pStyle w:val="1"/>
      </w:pPr>
      <w:r w:rsidRPr="00DC0FAC">
        <w:t>1.</w:t>
      </w:r>
      <w:r w:rsidRPr="00DC0FAC">
        <w:tab/>
        <w:t>Boiled crawfish shall be sold by net weight. The net weight of boiled crawfish shall be the net weight after boiling.</w:t>
      </w:r>
    </w:p>
    <w:p w14:paraId="1F818C95" w14:textId="77777777" w:rsidR="00DC0FAC" w:rsidRPr="00DC0FAC" w:rsidRDefault="00DC0FAC" w:rsidP="00DC0FAC">
      <w:pPr>
        <w:pStyle w:val="1"/>
      </w:pPr>
      <w:r w:rsidRPr="00DC0FAC">
        <w:t>2.</w:t>
      </w:r>
      <w:r w:rsidRPr="00DC0FAC">
        <w:tab/>
        <w:t>Boiled crawfish when sold for immediate consumption on the premises are exempt from this Section.</w:t>
      </w:r>
    </w:p>
    <w:p w14:paraId="47FAF420" w14:textId="77777777" w:rsidR="00DC0FAC" w:rsidRPr="00DC0FAC" w:rsidRDefault="00DC0FAC" w:rsidP="00DC0FAC">
      <w:pPr>
        <w:pStyle w:val="A"/>
        <w:keepNext/>
      </w:pPr>
      <w:r w:rsidRPr="00DC0FAC">
        <w:t>D.</w:t>
      </w:r>
      <w:r w:rsidRPr="00DC0FAC">
        <w:tab/>
        <w:t>Peeled Crawfish</w:t>
      </w:r>
    </w:p>
    <w:p w14:paraId="01745678" w14:textId="77777777" w:rsidR="00DC0FAC" w:rsidRPr="00DC0FAC" w:rsidRDefault="00DC0FAC" w:rsidP="00DC0FAC">
      <w:pPr>
        <w:pStyle w:val="1"/>
      </w:pPr>
      <w:r w:rsidRPr="00DC0FAC">
        <w:t>1.</w:t>
      </w:r>
      <w:r w:rsidRPr="00DC0FAC">
        <w:tab/>
        <w:t>Peeled Crawfish Sold Washed or Cleaned</w:t>
      </w:r>
    </w:p>
    <w:p w14:paraId="6725E580" w14:textId="77777777" w:rsidR="00DC0FAC" w:rsidRPr="00DC0FAC" w:rsidRDefault="00DC0FAC" w:rsidP="00DC0FAC">
      <w:pPr>
        <w:pStyle w:val="a0"/>
      </w:pPr>
      <w:r w:rsidRPr="00DC0FAC">
        <w:t>a.</w:t>
      </w:r>
      <w:r w:rsidRPr="00DC0FAC">
        <w:tab/>
        <w:t>Peeled crawfish which have been washed or cleaned of naturally adhering fat shall be labeled “cleaned” or “washed.”</w:t>
      </w:r>
    </w:p>
    <w:p w14:paraId="33E24A46" w14:textId="77777777" w:rsidR="00DC0FAC" w:rsidRPr="00DC0FAC" w:rsidRDefault="00DC0FAC" w:rsidP="00DC0FAC">
      <w:pPr>
        <w:pStyle w:val="a0"/>
      </w:pPr>
      <w:r w:rsidRPr="00DC0FAC">
        <w:t>b.</w:t>
      </w:r>
      <w:r w:rsidRPr="00DC0FAC">
        <w:tab/>
        <w:t>The net weight of the washed crawfish shall be the drained weight.</w:t>
      </w:r>
    </w:p>
    <w:p w14:paraId="0B483E84" w14:textId="77777777" w:rsidR="00DC0FAC" w:rsidRPr="00DC0FAC" w:rsidRDefault="00DC0FAC" w:rsidP="00DC0FAC">
      <w:pPr>
        <w:pStyle w:val="1"/>
      </w:pPr>
      <w:r w:rsidRPr="00DC0FAC">
        <w:t>2.</w:t>
      </w:r>
      <w:r w:rsidRPr="00DC0FAC">
        <w:tab/>
        <w:t>Peeled Crawfish Sold with Naturally Adhering Fat</w:t>
      </w:r>
    </w:p>
    <w:p w14:paraId="6D9314AF" w14:textId="77777777" w:rsidR="00DC0FAC" w:rsidRPr="00DC0FAC" w:rsidRDefault="00DC0FAC" w:rsidP="00DC0FAC">
      <w:pPr>
        <w:pStyle w:val="a0"/>
      </w:pPr>
      <w:r w:rsidRPr="00DC0FAC">
        <w:t>a.</w:t>
      </w:r>
      <w:r w:rsidRPr="00DC0FAC">
        <w:tab/>
        <w:t>Peeled crawfish may be packaged washed.</w:t>
      </w:r>
    </w:p>
    <w:p w14:paraId="3E8D6965" w14:textId="77777777" w:rsidR="00DC0FAC" w:rsidRPr="00DC0FAC" w:rsidRDefault="00DC0FAC" w:rsidP="00DC0FAC">
      <w:pPr>
        <w:pStyle w:val="a0"/>
      </w:pPr>
      <w:r w:rsidRPr="00DC0FAC">
        <w:t>b.</w:t>
      </w:r>
      <w:r w:rsidRPr="00DC0FAC">
        <w:tab/>
        <w:t>Naturally adhering fat content of packages of peeled crawfish shall not exceed 10 percent of the net weight of the crawfish in the package.</w:t>
      </w:r>
    </w:p>
    <w:p w14:paraId="52113037" w14:textId="77777777" w:rsidR="00DC0FAC" w:rsidRPr="00DC0FAC" w:rsidRDefault="00DC0FAC" w:rsidP="00DC0FAC">
      <w:pPr>
        <w:pStyle w:val="a0"/>
      </w:pPr>
      <w:r w:rsidRPr="00DC0FAC">
        <w:t>c.</w:t>
      </w:r>
      <w:r w:rsidRPr="00DC0FAC">
        <w:tab/>
        <w:t>Testing for compliance with the fat content provisions shall be done in accordance with procedures outlined by the division.</w:t>
      </w:r>
    </w:p>
    <w:p w14:paraId="787396BA" w14:textId="77777777" w:rsidR="00CF626A" w:rsidRPr="001531CD" w:rsidRDefault="00CF626A">
      <w:pPr>
        <w:pStyle w:val="AuthorityNote"/>
      </w:pPr>
      <w:r w:rsidRPr="001531CD">
        <w:t>AUTHORITY NOTE:</w:t>
      </w:r>
      <w:r w:rsidRPr="001531CD">
        <w:tab/>
        <w:t>Promulgated in accordance with R.S. 3:4608.</w:t>
      </w:r>
    </w:p>
    <w:p w14:paraId="056A5B3B"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w:t>
      </w:r>
      <w:r w:rsidR="00D705B3">
        <w:t xml:space="preserve">res, LR 19:1532 (December 1993), </w:t>
      </w:r>
      <w:r w:rsidR="00575321" w:rsidRPr="00DE3C80">
        <w:t>amended by the Department of Agriculture and Forestry, Office of Agricultural and Environmental Sciences and Office of Agro-Consumer Services, Division of Weights and Measu</w:t>
      </w:r>
      <w:r w:rsidR="00575321">
        <w:t xml:space="preserve">res, LR </w:t>
      </w:r>
      <w:r w:rsidR="00575321" w:rsidRPr="00DE3C80">
        <w:t>44</w:t>
      </w:r>
      <w:r w:rsidR="00575321">
        <w:t>:1417 (August 2018).</w:t>
      </w:r>
    </w:p>
    <w:p w14:paraId="5C3A8B12" w14:textId="77777777" w:rsidR="00CF626A" w:rsidRPr="001531CD" w:rsidRDefault="00CF626A">
      <w:pPr>
        <w:pStyle w:val="Section"/>
      </w:pPr>
      <w:bookmarkStart w:id="3039" w:name="_Toc256755092"/>
      <w:bookmarkStart w:id="3040" w:name="_Toc224819482"/>
      <w:r w:rsidRPr="001531CD">
        <w:t>§109.</w:t>
      </w:r>
      <w:r w:rsidRPr="001531CD">
        <w:tab/>
        <w:t>Oysters―Method of Sale</w:t>
      </w:r>
      <w:bookmarkEnd w:id="3039"/>
      <w:bookmarkEnd w:id="3040"/>
      <w:r w:rsidRPr="001531CD">
        <w:t xml:space="preserve"> </w:t>
      </w:r>
    </w:p>
    <w:p w14:paraId="4CF62AEC" w14:textId="77777777" w:rsidR="00CF626A" w:rsidRPr="001531CD" w:rsidRDefault="008C7B85">
      <w:pPr>
        <w:pStyle w:val="A"/>
      </w:pPr>
      <w:r w:rsidRPr="00450ED8">
        <w:t>A.</w:t>
      </w:r>
      <w:r w:rsidRPr="00450ED8">
        <w:tab/>
        <w:t>Oysters Unshucked. The standards used for unshucked oysters are a barrel containing 3 bushels, a sack containing 1 1/2 bushels or a 1 1/2 bushel wire hamper containing 3225.63 cubic inches or a minisack containing 1/2 bushel or 1/2 bushel wire hamper containing 1075.21 cubic inches.</w:t>
      </w:r>
    </w:p>
    <w:p w14:paraId="1AD98377" w14:textId="77777777" w:rsidR="00CF626A" w:rsidRPr="001531CD" w:rsidRDefault="00CF626A">
      <w:pPr>
        <w:pStyle w:val="A"/>
      </w:pPr>
      <w:r w:rsidRPr="001531CD">
        <w:t>B.</w:t>
      </w:r>
      <w:r w:rsidRPr="001531CD">
        <w:tab/>
        <w:t>Oysters Shucked. Oysters shucked shall only be sold by liquid measure, containing not more than 15 percent of fluids, by numerical count or by net drained weight.</w:t>
      </w:r>
    </w:p>
    <w:p w14:paraId="25953D01" w14:textId="77777777" w:rsidR="00CF626A" w:rsidRPr="001531CD" w:rsidRDefault="008C7B85">
      <w:pPr>
        <w:pStyle w:val="AuthorityNote"/>
      </w:pPr>
      <w:r w:rsidRPr="00450ED8">
        <w:t>AUTHORITY NOTE:</w:t>
      </w:r>
      <w:r w:rsidRPr="00450ED8">
        <w:tab/>
        <w:t>Promulgated in accordance with R.S. 3:4631, R.S. 3:4613 and R.S. 3:4608 (formerly R.S. 55:72, R.S. 55:11 and R.S. 55:6).</w:t>
      </w:r>
    </w:p>
    <w:p w14:paraId="695221DB" w14:textId="77777777" w:rsidR="00CF626A" w:rsidRPr="001531CD" w:rsidRDefault="00CF626A">
      <w:pPr>
        <w:pStyle w:val="HistoricalNote"/>
      </w:pPr>
      <w:r w:rsidRPr="001531CD">
        <w:t>HISTORICAL NOTE:</w:t>
      </w:r>
      <w:r w:rsidRPr="001531CD">
        <w:tab/>
        <w:t>Adopted by the Department of Agriculture, Commission of Weights and Measures, April 1953, amended April 1972, amended by the Department of Agriculture and Forestry, Office of Agro-Consumer Services, Division of Weights and Measu</w:t>
      </w:r>
      <w:r w:rsidR="008C7B85">
        <w:t xml:space="preserve">res, LR 19:1532 (December 1993), </w:t>
      </w:r>
      <w:r w:rsidR="008C7B85" w:rsidRPr="00450ED8">
        <w:t>LR 41:2098 (October 2015).</w:t>
      </w:r>
    </w:p>
    <w:p w14:paraId="0EE9CE3D" w14:textId="77777777" w:rsidR="00CF626A" w:rsidRPr="001531CD" w:rsidRDefault="00CF626A">
      <w:pPr>
        <w:pStyle w:val="Section"/>
      </w:pPr>
      <w:bookmarkStart w:id="3041" w:name="_Toc256755093"/>
      <w:bookmarkStart w:id="3042" w:name="_Toc224819483"/>
      <w:r w:rsidRPr="001531CD">
        <w:t>§111.</w:t>
      </w:r>
      <w:r w:rsidRPr="001531CD">
        <w:tab/>
        <w:t>Poultry; Live; Dressed―Method of Sale</w:t>
      </w:r>
      <w:bookmarkEnd w:id="3041"/>
      <w:bookmarkEnd w:id="3042"/>
      <w:r w:rsidRPr="001531CD">
        <w:t xml:space="preserve"> </w:t>
      </w:r>
    </w:p>
    <w:p w14:paraId="3A99C16B" w14:textId="77777777" w:rsidR="00CF626A" w:rsidRPr="001531CD" w:rsidRDefault="00CF626A">
      <w:pPr>
        <w:pStyle w:val="A"/>
      </w:pPr>
      <w:r w:rsidRPr="001531CD">
        <w:t>A.</w:t>
      </w:r>
      <w:r w:rsidRPr="001531CD">
        <w:tab/>
        <w:t xml:space="preserve">The offer to sell and/or the sale of all poultry (except when for immediate consumption on the premises and except when sold by count as provided for in R.S. 3:4615) shall be only on the basis of either </w:t>
      </w:r>
      <w:r w:rsidRPr="001531CD">
        <w:rPr>
          <w:i/>
          <w:iCs/>
        </w:rPr>
        <w:t>live weight</w:t>
      </w:r>
      <w:r w:rsidRPr="001531CD">
        <w:t xml:space="preserve"> or </w:t>
      </w:r>
      <w:r w:rsidRPr="001531CD">
        <w:rPr>
          <w:i/>
          <w:iCs/>
        </w:rPr>
        <w:t>dressed and drawn weight</w:t>
      </w:r>
      <w:r w:rsidRPr="001531CD">
        <w:t>.</w:t>
      </w:r>
    </w:p>
    <w:p w14:paraId="379DF5BF" w14:textId="77777777" w:rsidR="00CF626A" w:rsidRPr="001531CD" w:rsidRDefault="00CF626A">
      <w:pPr>
        <w:pStyle w:val="A"/>
      </w:pPr>
      <w:r w:rsidRPr="001531CD">
        <w:t>B.</w:t>
      </w:r>
      <w:r w:rsidRPr="001531CD">
        <w:tab/>
      </w:r>
      <w:r w:rsidRPr="001531CD">
        <w:rPr>
          <w:i/>
          <w:iCs/>
        </w:rPr>
        <w:t>Live Weight</w:t>
      </w:r>
      <w:r w:rsidRPr="001531CD">
        <w:t xml:space="preserve">―the net weight of poultry which is alive at time of sale, and as such, shall be classified as </w:t>
      </w:r>
      <w:r w:rsidRPr="001531CD">
        <w:rPr>
          <w:i/>
          <w:iCs/>
        </w:rPr>
        <w:t>live poultry</w:t>
      </w:r>
      <w:r w:rsidRPr="001531CD">
        <w:t>.</w:t>
      </w:r>
    </w:p>
    <w:p w14:paraId="41E96BFD" w14:textId="77777777" w:rsidR="00CF626A" w:rsidRPr="001531CD" w:rsidRDefault="00CF626A" w:rsidP="00A66724">
      <w:pPr>
        <w:pStyle w:val="A"/>
        <w:spacing w:after="80"/>
      </w:pPr>
      <w:r w:rsidRPr="001531CD">
        <w:t>C.</w:t>
      </w:r>
      <w:r w:rsidRPr="001531CD">
        <w:tab/>
      </w:r>
      <w:r w:rsidRPr="001531CD">
        <w:rPr>
          <w:i/>
          <w:iCs/>
        </w:rPr>
        <w:t>Dressed and Drawn Weight</w:t>
      </w:r>
      <w:r w:rsidRPr="001531CD">
        <w:t xml:space="preserve">―the net weight of poultry after being killed, defeathered and eviscerated, and as such, shall be classified as </w:t>
      </w:r>
      <w:r w:rsidRPr="001531CD">
        <w:rPr>
          <w:i/>
          <w:iCs/>
        </w:rPr>
        <w:t>dressed and drawn poultry</w:t>
      </w:r>
      <w:r w:rsidRPr="001531CD">
        <w:t>, with only the edible parts thereof being included in the established weight.</w:t>
      </w:r>
    </w:p>
    <w:p w14:paraId="32E0AD51" w14:textId="77777777" w:rsidR="00CF626A" w:rsidRPr="001531CD" w:rsidRDefault="00CF626A" w:rsidP="00A66724">
      <w:pPr>
        <w:pStyle w:val="A"/>
        <w:spacing w:after="80"/>
      </w:pPr>
      <w:r w:rsidRPr="001531CD">
        <w:t>D.</w:t>
      </w:r>
      <w:r w:rsidRPr="001531CD">
        <w:tab/>
      </w:r>
      <w:r w:rsidRPr="001531CD">
        <w:rPr>
          <w:i/>
          <w:iCs/>
        </w:rPr>
        <w:t>Poultry</w:t>
      </w:r>
      <w:r w:rsidRPr="001531CD">
        <w:t>―includes chickens, turkeys, ducks, geese, pigeons, guineas, and any other kind of domesticated bird commercially processed and sold for human consumption.</w:t>
      </w:r>
    </w:p>
    <w:p w14:paraId="7065BF2F" w14:textId="77777777" w:rsidR="00CF626A" w:rsidRPr="001531CD" w:rsidRDefault="00CF626A" w:rsidP="00A66724">
      <w:pPr>
        <w:pStyle w:val="A"/>
        <w:spacing w:after="80"/>
      </w:pPr>
      <w:r w:rsidRPr="001531CD">
        <w:t>E.</w:t>
      </w:r>
      <w:r w:rsidRPr="001531CD">
        <w:tab/>
        <w:t>Live poultry shall be weighed within 30 minutes of delivery to a poultry processing facility.</w:t>
      </w:r>
    </w:p>
    <w:p w14:paraId="0A646836" w14:textId="77777777" w:rsidR="00CF626A" w:rsidRPr="001531CD" w:rsidRDefault="00CF626A" w:rsidP="00A66724">
      <w:pPr>
        <w:pStyle w:val="A"/>
        <w:spacing w:after="80"/>
      </w:pPr>
      <w:r w:rsidRPr="001531CD">
        <w:t>F.</w:t>
      </w:r>
      <w:r w:rsidRPr="001531CD">
        <w:tab/>
        <w:t>All poultry, when placed in a container, or in any covering or wrapper, shall have its net weight plainly and conspicuously marked or labeled on the outside of the container, covering or wrapper.</w:t>
      </w:r>
    </w:p>
    <w:p w14:paraId="48FE9617" w14:textId="77777777" w:rsidR="00CF626A" w:rsidRPr="001531CD" w:rsidRDefault="00CF626A">
      <w:pPr>
        <w:pStyle w:val="AuthorityNote"/>
      </w:pPr>
      <w:r w:rsidRPr="001531CD">
        <w:t>AUTHORITY NOTE:</w:t>
      </w:r>
      <w:r w:rsidRPr="001531CD">
        <w:tab/>
        <w:t>Promulgated in accordance with R.S. 3:4615, R.S. 3:4613 and R.S. 3:4608 (formerly R.S. 55:13, R.S. 55:11 and R.S. 55:6).</w:t>
      </w:r>
    </w:p>
    <w:p w14:paraId="69D0CC37" w14:textId="77777777"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19:1532 (December 1993).</w:t>
      </w:r>
    </w:p>
    <w:p w14:paraId="0A374E59" w14:textId="77777777" w:rsidR="00CF626A" w:rsidRPr="001531CD" w:rsidRDefault="00CF626A" w:rsidP="00A66724">
      <w:pPr>
        <w:pStyle w:val="Section"/>
        <w:spacing w:after="80"/>
      </w:pPr>
      <w:bookmarkStart w:id="3043" w:name="_Toc256755095"/>
      <w:bookmarkStart w:id="3044" w:name="_Toc224819484"/>
      <w:r w:rsidRPr="001531CD">
        <w:t>§115.</w:t>
      </w:r>
      <w:r w:rsidRPr="001531CD">
        <w:tab/>
        <w:t>Scales Prohibited from Use</w:t>
      </w:r>
      <w:bookmarkEnd w:id="3043"/>
      <w:bookmarkEnd w:id="3044"/>
      <w:r w:rsidRPr="001531CD">
        <w:t xml:space="preserve"> </w:t>
      </w:r>
    </w:p>
    <w:p w14:paraId="06C5632F" w14:textId="77777777" w:rsidR="00CF626A" w:rsidRPr="001531CD" w:rsidRDefault="00CF626A" w:rsidP="00A66724">
      <w:pPr>
        <w:pStyle w:val="A"/>
        <w:spacing w:after="80"/>
      </w:pPr>
      <w:r w:rsidRPr="001531CD">
        <w:t>A.</w:t>
      </w:r>
      <w:r w:rsidRPr="001531CD">
        <w:tab/>
        <w:t>The following scales shall not be used, sold or employed for commercial purposes in the weighing of any salable commodity:</w:t>
      </w:r>
    </w:p>
    <w:p w14:paraId="5D7AB40D" w14:textId="77777777" w:rsidR="00CF626A" w:rsidRPr="001531CD" w:rsidRDefault="00CF626A" w:rsidP="00A66724">
      <w:pPr>
        <w:pStyle w:val="1"/>
        <w:spacing w:after="80"/>
      </w:pPr>
      <w:r w:rsidRPr="001531CD">
        <w:t>1.</w:t>
      </w:r>
      <w:r w:rsidRPr="001531CD">
        <w:tab/>
        <w:t xml:space="preserve">an </w:t>
      </w:r>
      <w:r w:rsidRPr="001531CD">
        <w:rPr>
          <w:i/>
          <w:iCs/>
        </w:rPr>
        <w:t>overload</w:t>
      </w:r>
      <w:r w:rsidRPr="001531CD">
        <w:t xml:space="preserve"> type of spring scale or balance, commonly known as </w:t>
      </w:r>
      <w:r w:rsidRPr="001531CD">
        <w:rPr>
          <w:i/>
          <w:iCs/>
        </w:rPr>
        <w:t>household</w:t>
      </w:r>
      <w:r w:rsidRPr="001531CD">
        <w:t xml:space="preserve"> scales;</w:t>
      </w:r>
    </w:p>
    <w:p w14:paraId="475A367B" w14:textId="77777777" w:rsidR="00CF626A" w:rsidRPr="001531CD" w:rsidRDefault="00CF626A" w:rsidP="00A66724">
      <w:pPr>
        <w:pStyle w:val="1"/>
        <w:spacing w:after="80"/>
      </w:pPr>
      <w:r w:rsidRPr="001531CD">
        <w:t>2.</w:t>
      </w:r>
      <w:r w:rsidRPr="001531CD">
        <w:tab/>
        <w:t xml:space="preserve">a scale identified as </w:t>
      </w:r>
      <w:r w:rsidRPr="001531CD">
        <w:rPr>
          <w:i/>
          <w:iCs/>
        </w:rPr>
        <w:t>illegal for use in trade</w:t>
      </w:r>
      <w:r w:rsidRPr="001531CD">
        <w:t>;</w:t>
      </w:r>
    </w:p>
    <w:p w14:paraId="6AE8EBC4" w14:textId="77777777" w:rsidR="00CF626A" w:rsidRPr="001531CD" w:rsidRDefault="00CF626A">
      <w:pPr>
        <w:pStyle w:val="1"/>
      </w:pPr>
      <w:r w:rsidRPr="001531CD">
        <w:t>3.</w:t>
      </w:r>
      <w:r w:rsidRPr="001531CD">
        <w:tab/>
        <w:t>a scale whose physical condition facilitates the perpetration of deception and/or fraud.</w:t>
      </w:r>
    </w:p>
    <w:p w14:paraId="04A9AB4D" w14:textId="77777777" w:rsidR="00CF626A" w:rsidRPr="001531CD" w:rsidRDefault="00CF626A">
      <w:pPr>
        <w:pStyle w:val="A"/>
      </w:pPr>
      <w:r w:rsidRPr="001531CD">
        <w:t>B.</w:t>
      </w:r>
      <w:r w:rsidRPr="001531CD">
        <w:tab/>
        <w:t>Any type of apparatus, when found in any store, stand, business establishment, or on any vehicle from which commodities are sold or offered for sale, and in violation of the law and/or any regulation, shall be subject to immediate condemnation and confiscation.</w:t>
      </w:r>
    </w:p>
    <w:p w14:paraId="7C1D6E6E" w14:textId="77777777" w:rsidR="00CF626A" w:rsidRPr="001531CD" w:rsidRDefault="00CF626A">
      <w:pPr>
        <w:pStyle w:val="A"/>
      </w:pPr>
      <w:r w:rsidRPr="001531CD">
        <w:t>C.</w:t>
      </w:r>
      <w:r w:rsidRPr="001531CD">
        <w:tab/>
        <w:t>It is prohibited to remove labels or other information placed on or packaged with scales sold in this state which indicate that such scales are not suitable or not intended for commercial use.</w:t>
      </w:r>
    </w:p>
    <w:p w14:paraId="10225A6A" w14:textId="77777777" w:rsidR="00CF626A" w:rsidRPr="001531CD" w:rsidRDefault="00CF626A">
      <w:pPr>
        <w:pStyle w:val="AuthorityNote"/>
      </w:pPr>
      <w:r w:rsidRPr="001531CD">
        <w:t>AUTHORITY NOTE:</w:t>
      </w:r>
      <w:r w:rsidRPr="001531CD">
        <w:tab/>
        <w:t>Promulgated in accordance with R.S. 3:4609 and R.S. 3:4608 (formerly R.S. 55:7 and R.S. 55:6).</w:t>
      </w:r>
    </w:p>
    <w:p w14:paraId="10F35014" w14:textId="77777777"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19:1533 (December 1993).</w:t>
      </w:r>
    </w:p>
    <w:p w14:paraId="6153D240" w14:textId="77777777" w:rsidR="00CF626A" w:rsidRPr="001531CD" w:rsidRDefault="00CF626A">
      <w:pPr>
        <w:pStyle w:val="Section"/>
      </w:pPr>
      <w:bookmarkStart w:id="3045" w:name="_Toc256755096"/>
      <w:bookmarkStart w:id="3046" w:name="_Toc224819485"/>
      <w:r w:rsidRPr="001531CD">
        <w:lastRenderedPageBreak/>
        <w:t>§117.</w:t>
      </w:r>
      <w:r w:rsidRPr="001531CD">
        <w:tab/>
      </w:r>
      <w:bookmarkEnd w:id="3045"/>
      <w:r w:rsidR="00C05958" w:rsidRPr="007B66B5">
        <w:t>Visual Machine-Readable Code Devices and Labels</w:t>
      </w:r>
      <w:bookmarkEnd w:id="3046"/>
    </w:p>
    <w:p w14:paraId="67B5C9EC" w14:textId="77777777" w:rsidR="00CF626A" w:rsidRPr="001531CD" w:rsidRDefault="00CF626A">
      <w:pPr>
        <w:pStyle w:val="A"/>
      </w:pPr>
      <w:r w:rsidRPr="001531CD">
        <w:t>A.</w:t>
      </w:r>
      <w:r w:rsidRPr="001531CD">
        <w:tab/>
      </w:r>
      <w:r w:rsidR="00C05958" w:rsidRPr="007B66B5">
        <w:t>The price of a commodity or item offered for retail sale which is recorded utilizing a visual code reading device shall be plainly displayed, either by a price marked in English on the package containing the individual commodity or item, or by a placard or card placed on the shelf in front of the commodity or item which is clearly visible and legible.</w:t>
      </w:r>
    </w:p>
    <w:p w14:paraId="4410596C" w14:textId="77777777" w:rsidR="00CF626A" w:rsidRPr="001531CD" w:rsidRDefault="00CF626A">
      <w:pPr>
        <w:pStyle w:val="A"/>
      </w:pPr>
      <w:r w:rsidRPr="001531CD">
        <w:t>B.</w:t>
      </w:r>
      <w:r w:rsidRPr="001531CD">
        <w:tab/>
        <w:t>The price displayed on the shelf, commodity or item required by Subsection A of this Section shall be precisely equal to the price actually charged by the seller.</w:t>
      </w:r>
    </w:p>
    <w:p w14:paraId="42435349" w14:textId="77777777" w:rsidR="00CF626A" w:rsidRPr="001531CD" w:rsidRDefault="00CF626A">
      <w:pPr>
        <w:pStyle w:val="A"/>
      </w:pPr>
      <w:r w:rsidRPr="001531CD">
        <w:t>C.</w:t>
      </w:r>
      <w:r w:rsidRPr="001531CD">
        <w:tab/>
        <w:t>In calculating violations of this Section, multiple items contained in the same lot shall constitute one violation.</w:t>
      </w:r>
    </w:p>
    <w:p w14:paraId="2BDEE333" w14:textId="77777777" w:rsidR="00CF626A" w:rsidRPr="001531CD" w:rsidRDefault="00CF626A">
      <w:pPr>
        <w:pStyle w:val="AuthorityNote"/>
      </w:pPr>
      <w:r w:rsidRPr="001531CD">
        <w:t>AUTHORITY NOTE:</w:t>
      </w:r>
      <w:r w:rsidRPr="001531CD">
        <w:tab/>
        <w:t>Promulgated in accordance with R.S. 3:4608.</w:t>
      </w:r>
    </w:p>
    <w:p w14:paraId="20BEE08A"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19:1533 (December 1993), amended LR 23:857 (July 1997)</w:t>
      </w:r>
      <w:r w:rsidR="00C05958" w:rsidRPr="007B66B5">
        <w:t xml:space="preserve">, </w:t>
      </w:r>
      <w:r w:rsidR="00C05958" w:rsidRPr="007B66B5">
        <w:rPr>
          <w:bCs/>
        </w:rPr>
        <w:t>LR 48:</w:t>
      </w:r>
      <w:r w:rsidR="00C05958">
        <w:rPr>
          <w:bCs/>
        </w:rPr>
        <w:t>996</w:t>
      </w:r>
      <w:r w:rsidR="00C05958" w:rsidRPr="00C15B06">
        <w:rPr>
          <w:bCs/>
        </w:rPr>
        <w:t xml:space="preserve"> (April 2022).</w:t>
      </w:r>
    </w:p>
    <w:p w14:paraId="55B8CCC6" w14:textId="77777777" w:rsidR="00CF626A" w:rsidRPr="001531CD" w:rsidRDefault="00CF626A">
      <w:pPr>
        <w:pStyle w:val="Section"/>
      </w:pPr>
      <w:bookmarkStart w:id="3047" w:name="_Toc256755097"/>
      <w:bookmarkStart w:id="3048" w:name="_Toc224819486"/>
      <w:r w:rsidRPr="001531CD">
        <w:t>§119.</w:t>
      </w:r>
      <w:r w:rsidRPr="001531CD">
        <w:tab/>
        <w:t>Cotton Beam Scales</w:t>
      </w:r>
      <w:bookmarkEnd w:id="3047"/>
      <w:bookmarkEnd w:id="3048"/>
      <w:r w:rsidRPr="001531CD">
        <w:t xml:space="preserve"> </w:t>
      </w:r>
    </w:p>
    <w:p w14:paraId="2D949C13" w14:textId="77777777" w:rsidR="00CF626A" w:rsidRPr="001531CD" w:rsidRDefault="00CF626A">
      <w:pPr>
        <w:pStyle w:val="A"/>
      </w:pPr>
      <w:r w:rsidRPr="001531CD">
        <w:t>A.</w:t>
      </w:r>
      <w:r w:rsidRPr="001531CD">
        <w:tab/>
      </w:r>
      <w:r w:rsidRPr="001531CD">
        <w:rPr>
          <w:i/>
          <w:iCs/>
        </w:rPr>
        <w:t>Cotton Beam</w:t>
      </w:r>
      <w:r w:rsidRPr="001531CD">
        <w:t>―a steelyard especially adopted for the weighing of bales of cotton.</w:t>
      </w:r>
    </w:p>
    <w:p w14:paraId="39345E11" w14:textId="77777777" w:rsidR="00CF626A" w:rsidRPr="001531CD" w:rsidRDefault="00CF626A">
      <w:pPr>
        <w:pStyle w:val="A"/>
      </w:pPr>
      <w:r w:rsidRPr="001531CD">
        <w:t>B.</w:t>
      </w:r>
      <w:r w:rsidRPr="001531CD">
        <w:tab/>
      </w:r>
      <w:r w:rsidRPr="001531CD">
        <w:rPr>
          <w:i/>
          <w:iCs/>
        </w:rPr>
        <w:t>Normal Position</w:t>
      </w:r>
      <w:r w:rsidRPr="001531CD">
        <w:t>―the normal balance position of the weighbeam of a beam scale shall be horizontal. A weighbeam shall not be accelerating of in neutral equilibrium under normal operating conditions but a cotton beam shall be permitted to be slightly accelerating under load.</w:t>
      </w:r>
    </w:p>
    <w:p w14:paraId="290991DC" w14:textId="77777777" w:rsidR="00CF626A" w:rsidRPr="001531CD" w:rsidRDefault="00CF626A">
      <w:pPr>
        <w:pStyle w:val="A"/>
      </w:pPr>
      <w:r w:rsidRPr="001531CD">
        <w:t>C.</w:t>
      </w:r>
      <w:r w:rsidRPr="001531CD">
        <w:tab/>
      </w:r>
      <w:r w:rsidRPr="001531CD">
        <w:rPr>
          <w:i/>
          <w:iCs/>
        </w:rPr>
        <w:t>On Cotton Beams</w:t>
      </w:r>
      <w:r w:rsidRPr="001531CD">
        <w:t>―the value of the minimum graduation on a cotton beam shall not exceed 1 pound.</w:t>
      </w:r>
    </w:p>
    <w:p w14:paraId="6F2D7D09" w14:textId="77777777" w:rsidR="00CF626A" w:rsidRPr="001531CD" w:rsidRDefault="00CF626A">
      <w:pPr>
        <w:pStyle w:val="A"/>
      </w:pPr>
      <w:r w:rsidRPr="001531CD">
        <w:t>D.</w:t>
      </w:r>
      <w:r w:rsidRPr="001531CD">
        <w:tab/>
      </w:r>
      <w:r w:rsidRPr="001531CD">
        <w:rPr>
          <w:i/>
          <w:iCs/>
        </w:rPr>
        <w:t>Sealing Cotton Beam Poise</w:t>
      </w:r>
      <w:r w:rsidRPr="001531CD">
        <w:t>―the plug or screw used in closing the adjusting cavity in a cotton beam poise shall be securely sealed with a lead seal bearing an identification mark of the manufacturer, repairman, or other person affixing the seal, which identification mark shall be approved by and registered with the Director of Weights and Measures.</w:t>
      </w:r>
    </w:p>
    <w:p w14:paraId="3F22B37D" w14:textId="77777777" w:rsidR="00CF626A" w:rsidRPr="001531CD" w:rsidRDefault="00CF626A">
      <w:pPr>
        <w:pStyle w:val="AuthorityNote"/>
      </w:pPr>
      <w:r w:rsidRPr="001531CD">
        <w:t>AUTHORITY NOTE:</w:t>
      </w:r>
      <w:r w:rsidRPr="001531CD">
        <w:tab/>
        <w:t>Promulgated in accordance with R.S. 3:4602 and R.S. 3:4614 (formerly R.S. 55:14).</w:t>
      </w:r>
    </w:p>
    <w:p w14:paraId="314C8792" w14:textId="77777777" w:rsidR="00CF626A" w:rsidRPr="001531CD" w:rsidRDefault="00CF626A">
      <w:pPr>
        <w:pStyle w:val="HistoricalNote"/>
      </w:pPr>
      <w:r w:rsidRPr="001531CD">
        <w:t>HISTORICAL NOTE:</w:t>
      </w:r>
      <w:r w:rsidRPr="001531CD">
        <w:tab/>
        <w:t>Adopted by the Department of Agriculture, Commission of Weights and Measures, April 1953. promulgated by the Department of Agriculture and Forestry, Office of Agro-Consumer Services, Division of Weights and Measures, LR 19:1533 (December 1993).</w:t>
      </w:r>
    </w:p>
    <w:p w14:paraId="5FF9B89D" w14:textId="77777777" w:rsidR="00CF626A" w:rsidRPr="001531CD" w:rsidRDefault="00CF626A">
      <w:pPr>
        <w:pStyle w:val="Section"/>
      </w:pPr>
      <w:bookmarkStart w:id="3049" w:name="_Toc256755098"/>
      <w:bookmarkStart w:id="3050" w:name="_Toc224819487"/>
      <w:r w:rsidRPr="001531CD">
        <w:t>§121.</w:t>
      </w:r>
      <w:r w:rsidRPr="001531CD">
        <w:tab/>
        <w:t>Farm Bulk Milk Tank Regulations</w:t>
      </w:r>
      <w:bookmarkEnd w:id="3049"/>
      <w:bookmarkEnd w:id="3050"/>
      <w:r w:rsidRPr="001531CD">
        <w:t xml:space="preserve"> </w:t>
      </w:r>
    </w:p>
    <w:p w14:paraId="0A2C514E" w14:textId="77777777" w:rsidR="00CF626A" w:rsidRPr="001531CD" w:rsidRDefault="00CF626A">
      <w:pPr>
        <w:pStyle w:val="A"/>
      </w:pPr>
      <w:r w:rsidRPr="001531CD">
        <w:t>A.</w:t>
      </w:r>
      <w:r w:rsidRPr="001531CD">
        <w:tab/>
        <w:t>The Division of Weights and Measures shall test the accuracy of any and all bulk milk tanks when it deems it appropriate or necessary. All installations of milk tanks shall be installed within the specifications of the Division of Weights and Measures which are outlined below.</w:t>
      </w:r>
    </w:p>
    <w:p w14:paraId="6137D0E3" w14:textId="77777777" w:rsidR="00CF626A" w:rsidRPr="001531CD" w:rsidRDefault="00CF626A">
      <w:pPr>
        <w:pStyle w:val="1"/>
      </w:pPr>
      <w:r w:rsidRPr="001531CD">
        <w:t>1.</w:t>
      </w:r>
      <w:r w:rsidRPr="001531CD">
        <w:tab/>
        <w:t>All bulk milk tanks shall be installed in a rigid and level position on a reinforced concrete floor or reinforced concrete pier extending upwards from, or through concrete floor. Each foot, or leg, shall be fastened securely to floor or piers by means of a bolt or bolts and grouted around and over foot or leg with concrete to prevent tank from any movements.</w:t>
      </w:r>
    </w:p>
    <w:p w14:paraId="35556D1B" w14:textId="77777777" w:rsidR="00CF626A" w:rsidRPr="001531CD" w:rsidRDefault="00CF626A">
      <w:pPr>
        <w:pStyle w:val="1"/>
      </w:pPr>
      <w:r w:rsidRPr="001531CD">
        <w:t>2.</w:t>
      </w:r>
      <w:r w:rsidRPr="001531CD">
        <w:tab/>
        <w:t>The floor shall be not less than 6 inches thick of reinforced concrete. If piers are used, they shall be imbedded in ground not less than 36 inches, or 3 feet. The dimensions shall not be less than 16 by 16 inches wide. The same pier dimensions apply if the pier is mounted to concrete floor in a secure position to floor that complies with above floor specifications.</w:t>
      </w:r>
    </w:p>
    <w:p w14:paraId="29477A14" w14:textId="77777777" w:rsidR="00CF626A" w:rsidRPr="001531CD" w:rsidRDefault="00CF626A">
      <w:pPr>
        <w:pStyle w:val="1"/>
      </w:pPr>
      <w:r w:rsidRPr="001531CD">
        <w:t>3.</w:t>
      </w:r>
      <w:r w:rsidRPr="001531CD">
        <w:tab/>
        <w:t>This applies to all new floor construction after July 1, 1964 and to all new installations of tanks after January 1, 1965.</w:t>
      </w:r>
    </w:p>
    <w:p w14:paraId="36231FDE" w14:textId="77777777" w:rsidR="00CF626A" w:rsidRPr="001531CD" w:rsidRDefault="00CF626A">
      <w:pPr>
        <w:pStyle w:val="AuthorityNote"/>
      </w:pPr>
      <w:r w:rsidRPr="001531CD">
        <w:t>AUTHORITY NOTE:</w:t>
      </w:r>
      <w:r w:rsidRPr="001531CD">
        <w:tab/>
        <w:t>Promulgated in accordance with R.S. 40:882 and R.S. 40:883.</w:t>
      </w:r>
    </w:p>
    <w:p w14:paraId="7C8A4FE0" w14:textId="77777777" w:rsidR="00CF626A" w:rsidRPr="001531CD" w:rsidRDefault="00CF626A">
      <w:pPr>
        <w:pStyle w:val="HistoricalNote"/>
      </w:pPr>
      <w:r w:rsidRPr="001531CD">
        <w:t>HISTORICAL NOTE:</w:t>
      </w:r>
      <w:r w:rsidRPr="001531CD">
        <w:tab/>
        <w:t>Adopted by the Department of Agriculture, Commission of Weights and Measures, July 1964, amended by the Department of Agriculture and Forestry, Office of Agro-Consumer Services, Division of Weights and Measures, LR 19:1533 (December 1993).</w:t>
      </w:r>
    </w:p>
    <w:p w14:paraId="61274879" w14:textId="77777777" w:rsidR="00CF626A" w:rsidRPr="001531CD" w:rsidRDefault="00CF626A">
      <w:pPr>
        <w:pStyle w:val="Section"/>
      </w:pPr>
      <w:bookmarkStart w:id="3051" w:name="_Toc256755099"/>
      <w:bookmarkStart w:id="3052" w:name="_Toc224819488"/>
      <w:r w:rsidRPr="001531CD">
        <w:t>§123.</w:t>
      </w:r>
      <w:r w:rsidRPr="001531CD">
        <w:tab/>
        <w:t>Weighmaster</w:t>
      </w:r>
      <w:bookmarkEnd w:id="3051"/>
      <w:bookmarkEnd w:id="3052"/>
    </w:p>
    <w:p w14:paraId="3B142CCA" w14:textId="77777777" w:rsidR="00CF626A" w:rsidRPr="001531CD" w:rsidRDefault="00CF626A">
      <w:pPr>
        <w:pStyle w:val="A"/>
      </w:pPr>
      <w:r w:rsidRPr="001531CD">
        <w:t>A.</w:t>
      </w:r>
      <w:r w:rsidRPr="001531CD">
        <w:tab/>
        <w:t>A weighmaster license shall be required of each individual in charge of weighing commodities being bought from or sold to the public and each such individual weighing for the public when a charge is made for such weighing or when a certificate of weights is issued. Each corporation, partnership, association, proprietorship or other business entity which engages in activities which require a licensed weighmaster shall employ at least one weighmaster per shift at each place of business. Individuals weighing at retail consumer outlets and individuals weighing prepackaged commodities shall be exempt from this provision.</w:t>
      </w:r>
    </w:p>
    <w:p w14:paraId="10070B44" w14:textId="77777777" w:rsidR="00CF626A" w:rsidRPr="001531CD" w:rsidRDefault="00CF626A">
      <w:pPr>
        <w:pStyle w:val="A"/>
      </w:pPr>
      <w:r w:rsidRPr="001531CD">
        <w:t>B.</w:t>
      </w:r>
      <w:r w:rsidRPr="001531CD">
        <w:tab/>
        <w:t>The director of the Division of Weights and Measures may issue a weighmaster license after the applicant has passed the required test of his knowledge of weighing equipment.</w:t>
      </w:r>
    </w:p>
    <w:p w14:paraId="7947E6EC" w14:textId="77777777" w:rsidR="00CF626A" w:rsidRPr="001531CD" w:rsidRDefault="00CF626A">
      <w:pPr>
        <w:pStyle w:val="A"/>
      </w:pPr>
      <w:r w:rsidRPr="001531CD">
        <w:t>C.</w:t>
      </w:r>
      <w:r w:rsidRPr="001531CD">
        <w:tab/>
      </w:r>
      <w:r w:rsidR="00E2542C" w:rsidRPr="00490008">
        <w:t>The effective dates of all weighmaster licenses shall be January 1 through December 31 of any given year, and licenses must be renewed annually. Applications for weighmaster licenses may be submitted to LDAF at any time during the year, and are effective upon approval by LDAF through the end of that year.</w:t>
      </w:r>
    </w:p>
    <w:p w14:paraId="5672E6EA" w14:textId="77777777" w:rsidR="00CF626A" w:rsidRPr="001531CD" w:rsidRDefault="00CF626A">
      <w:pPr>
        <w:pStyle w:val="A"/>
      </w:pPr>
      <w:r w:rsidRPr="001531CD">
        <w:t>D.</w:t>
      </w:r>
      <w:r w:rsidRPr="001531CD">
        <w:tab/>
        <w:t>The director of the Division of Weights and Measures shall have the authority to revoke or cancel any weighmaster license if it is found that the weighmaster is improperly using any type of weighing device.</w:t>
      </w:r>
    </w:p>
    <w:p w14:paraId="11119087" w14:textId="77777777" w:rsidR="00CF626A" w:rsidRPr="001531CD" w:rsidRDefault="00CF626A">
      <w:pPr>
        <w:pStyle w:val="AuthorityNote"/>
      </w:pPr>
      <w:r w:rsidRPr="001531CD">
        <w:t>AUTHORITY NOTE:</w:t>
      </w:r>
      <w:r w:rsidRPr="001531CD">
        <w:tab/>
        <w:t>Promulgated in accordance with R.S. 3:4603 (formerly R.S. 55:3).</w:t>
      </w:r>
    </w:p>
    <w:p w14:paraId="69E245A2" w14:textId="77777777"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LR 19:1533 (December 1993)</w:t>
      </w:r>
      <w:r w:rsidR="00E2542C">
        <w:t>, LR 47:1840 (December 2021).</w:t>
      </w:r>
    </w:p>
    <w:p w14:paraId="289659B4" w14:textId="77777777" w:rsidR="00CF626A" w:rsidRPr="001531CD" w:rsidRDefault="00CF626A">
      <w:pPr>
        <w:pStyle w:val="Section"/>
      </w:pPr>
      <w:bookmarkStart w:id="3053" w:name="_Toc256755100"/>
      <w:bookmarkStart w:id="3054" w:name="_Toc224819489"/>
      <w:r w:rsidRPr="001531CD">
        <w:t>§125.</w:t>
      </w:r>
      <w:r w:rsidRPr="001531CD">
        <w:tab/>
      </w:r>
      <w:bookmarkEnd w:id="3053"/>
      <w:r w:rsidR="00FB701E" w:rsidRPr="00E90815">
        <w:t>Weights and Measures Fee Structure</w:t>
      </w:r>
      <w:bookmarkEnd w:id="3054"/>
      <w:r w:rsidR="00FB701E" w:rsidRPr="001531CD">
        <w:t xml:space="preserve"> </w:t>
      </w:r>
    </w:p>
    <w:p w14:paraId="2AFC1FEA" w14:textId="77777777" w:rsidR="00097F09" w:rsidRDefault="00097F09" w:rsidP="00097F09">
      <w:pPr>
        <w:pStyle w:val="A"/>
      </w:pPr>
      <w:r>
        <w:t>A.</w:t>
      </w:r>
      <w:r>
        <w:tab/>
      </w:r>
      <w:r w:rsidRPr="00097F09">
        <w:t>Fees for mass calibration with report of calibration stating corrections and uncertainties shall be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45" w:type="dxa"/>
          <w:right w:w="145" w:type="dxa"/>
        </w:tblCellMar>
        <w:tblLook w:val="0000" w:firstRow="0" w:lastRow="0" w:firstColumn="0" w:lastColumn="0" w:noHBand="0" w:noVBand="0"/>
        <w:tblCaption w:val="Metrology Calibration Fees by Weight and Mass Echelon Category"/>
        <w:tblDescription w:val="For Weights up to and including 10 pounds or 5 kilograms; Mass Echelon III is $7 and Mass Echelon II is $25. For weights over 10 pounds or 5 kilograms and including 100 pounds or 60 kilograms, Mass Echelon III is $12 and Mass Echelon II is $50. For Weights over 100 pounds or 60 kilograms and including 1000 pounds or 500 kilograms, Mass Echelon III is $25 and Mass Echelon II is $50. For weights over 1000 pounds or 500 kilograms, Mass Echeon III is $50 and Mass Echelon II is not available."/>
      </w:tblPr>
      <w:tblGrid>
        <w:gridCol w:w="2782"/>
        <w:gridCol w:w="1170"/>
        <w:gridCol w:w="1108"/>
      </w:tblGrid>
      <w:tr w:rsidR="00097F09" w:rsidRPr="009B2522" w14:paraId="798381E7" w14:textId="77777777" w:rsidTr="002D568C">
        <w:trPr>
          <w:cantSplit/>
          <w:tblHeader/>
          <w:jc w:val="center"/>
        </w:trPr>
        <w:tc>
          <w:tcPr>
            <w:tcW w:w="2782" w:type="dxa"/>
            <w:shd w:val="pct25" w:color="000000" w:fill="auto"/>
          </w:tcPr>
          <w:p w14:paraId="25611F76" w14:textId="77777777"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9B2522">
              <w:rPr>
                <w:bCs/>
                <w:kern w:val="2"/>
                <w:sz w:val="16"/>
              </w:rPr>
              <w:lastRenderedPageBreak/>
              <w:t xml:space="preserve">  </w:t>
            </w:r>
          </w:p>
        </w:tc>
        <w:tc>
          <w:tcPr>
            <w:tcW w:w="1170" w:type="dxa"/>
            <w:shd w:val="pct25" w:color="000000" w:fill="auto"/>
            <w:vAlign w:val="bottom"/>
          </w:tcPr>
          <w:p w14:paraId="1A00C856" w14:textId="77777777" w:rsidR="00097F09" w:rsidRPr="009B2522" w:rsidRDefault="00097F09" w:rsidP="002D568C">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III</w:t>
            </w:r>
          </w:p>
        </w:tc>
        <w:tc>
          <w:tcPr>
            <w:tcW w:w="1108" w:type="dxa"/>
            <w:shd w:val="pct25" w:color="000000" w:fill="auto"/>
            <w:vAlign w:val="bottom"/>
          </w:tcPr>
          <w:p w14:paraId="2B12563F" w14:textId="77777777" w:rsidR="00097F09" w:rsidRPr="009B2522" w:rsidRDefault="00097F09" w:rsidP="002D568C">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w:t>
            </w:r>
          </w:p>
        </w:tc>
      </w:tr>
      <w:tr w:rsidR="00097F09" w:rsidRPr="009B2522" w14:paraId="38139FDD" w14:textId="77777777" w:rsidTr="002D568C">
        <w:trPr>
          <w:cantSplit/>
          <w:jc w:val="center"/>
        </w:trPr>
        <w:tc>
          <w:tcPr>
            <w:tcW w:w="2782" w:type="dxa"/>
          </w:tcPr>
          <w:p w14:paraId="451B8503" w14:textId="77777777" w:rsidR="00097F09" w:rsidRPr="00CA672D"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1.</w:t>
            </w:r>
            <w:r w:rsidRPr="00CA672D">
              <w:rPr>
                <w:kern w:val="2"/>
                <w:sz w:val="16"/>
              </w:rPr>
              <w:tab/>
              <w:t>Weights up to and including 10 pounds or 5 kilograms</w:t>
            </w:r>
          </w:p>
        </w:tc>
        <w:tc>
          <w:tcPr>
            <w:tcW w:w="1170" w:type="dxa"/>
            <w:vAlign w:val="bottom"/>
          </w:tcPr>
          <w:p w14:paraId="4BCA94F0" w14:textId="77777777"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 xml:space="preserve">$7 </w:t>
            </w:r>
          </w:p>
        </w:tc>
        <w:tc>
          <w:tcPr>
            <w:tcW w:w="1108" w:type="dxa"/>
            <w:vAlign w:val="bottom"/>
          </w:tcPr>
          <w:p w14:paraId="35C094A7" w14:textId="77777777"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w:t>
            </w:r>
          </w:p>
        </w:tc>
      </w:tr>
      <w:tr w:rsidR="00097F09" w:rsidRPr="009B2522" w14:paraId="35D9C21B" w14:textId="77777777" w:rsidTr="002D568C">
        <w:trPr>
          <w:cantSplit/>
          <w:jc w:val="center"/>
        </w:trPr>
        <w:tc>
          <w:tcPr>
            <w:tcW w:w="2782" w:type="dxa"/>
          </w:tcPr>
          <w:p w14:paraId="63E8A8EA" w14:textId="77777777"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2.</w:t>
            </w:r>
            <w:r w:rsidRPr="00CA672D">
              <w:rPr>
                <w:kern w:val="2"/>
                <w:sz w:val="16"/>
              </w:rPr>
              <w:tab/>
              <w:t>Weights over 10 pounds or 5 kilograms and including 100 pounds or 60 kilograms</w:t>
            </w:r>
          </w:p>
        </w:tc>
        <w:tc>
          <w:tcPr>
            <w:tcW w:w="1170" w:type="dxa"/>
            <w:vAlign w:val="bottom"/>
          </w:tcPr>
          <w:p w14:paraId="6FA50BB8"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w:t>
            </w:r>
          </w:p>
        </w:tc>
        <w:tc>
          <w:tcPr>
            <w:tcW w:w="1108" w:type="dxa"/>
            <w:vAlign w:val="bottom"/>
          </w:tcPr>
          <w:p w14:paraId="29BF9592"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r>
      <w:tr w:rsidR="00097F09" w:rsidRPr="009B2522" w14:paraId="5B29D153" w14:textId="77777777" w:rsidTr="002D568C">
        <w:trPr>
          <w:cantSplit/>
          <w:jc w:val="center"/>
        </w:trPr>
        <w:tc>
          <w:tcPr>
            <w:tcW w:w="2782" w:type="dxa"/>
          </w:tcPr>
          <w:p w14:paraId="7DF844E5" w14:textId="77777777"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3.</w:t>
            </w:r>
            <w:r w:rsidRPr="00CA672D">
              <w:rPr>
                <w:kern w:val="2"/>
                <w:sz w:val="16"/>
              </w:rPr>
              <w:tab/>
              <w:t>Weights over 100 pounds or 60 kilograms and including 1000 pounds or 500 kilograms</w:t>
            </w:r>
          </w:p>
        </w:tc>
        <w:tc>
          <w:tcPr>
            <w:tcW w:w="1170" w:type="dxa"/>
            <w:vAlign w:val="bottom"/>
          </w:tcPr>
          <w:p w14:paraId="38780326"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$25</w:t>
            </w:r>
          </w:p>
        </w:tc>
        <w:tc>
          <w:tcPr>
            <w:tcW w:w="1108" w:type="dxa"/>
            <w:vAlign w:val="bottom"/>
          </w:tcPr>
          <w:p w14:paraId="6F1D8951"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14:paraId="59641D1F" w14:textId="77777777" w:rsidTr="002D568C">
        <w:trPr>
          <w:cantSplit/>
          <w:jc w:val="center"/>
        </w:trPr>
        <w:tc>
          <w:tcPr>
            <w:tcW w:w="2782" w:type="dxa"/>
          </w:tcPr>
          <w:p w14:paraId="6E504261" w14:textId="77777777"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4.</w:t>
            </w:r>
            <w:r w:rsidRPr="00CA672D">
              <w:rPr>
                <w:kern w:val="2"/>
                <w:sz w:val="16"/>
              </w:rPr>
              <w:tab/>
              <w:t>Weights over 1000 pounds or 500 kilograms</w:t>
            </w:r>
          </w:p>
        </w:tc>
        <w:tc>
          <w:tcPr>
            <w:tcW w:w="1170" w:type="dxa"/>
            <w:vAlign w:val="bottom"/>
          </w:tcPr>
          <w:p w14:paraId="180F6C4A"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c>
          <w:tcPr>
            <w:tcW w:w="1108" w:type="dxa"/>
            <w:vAlign w:val="bottom"/>
          </w:tcPr>
          <w:p w14:paraId="22BA1FD6" w14:textId="77777777"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N/A</w:t>
            </w:r>
          </w:p>
        </w:tc>
      </w:tr>
    </w:tbl>
    <w:p w14:paraId="70BE19EE" w14:textId="77777777" w:rsidR="00097F09" w:rsidRPr="0038651A" w:rsidRDefault="00097F09" w:rsidP="00097F09">
      <w:pPr>
        <w:pStyle w:val="A"/>
        <w:rPr>
          <w:rStyle w:val="eop"/>
          <w:color w:val="000000"/>
        </w:rPr>
      </w:pPr>
      <w:r w:rsidRPr="0038651A">
        <w:rPr>
          <w:rStyle w:val="normaltextrun"/>
          <w:color w:val="000000"/>
          <w:shd w:val="clear" w:color="auto" w:fill="FFFFFF"/>
        </w:rPr>
        <w:t>B.</w:t>
      </w:r>
      <w:r w:rsidRPr="0038651A">
        <w:rPr>
          <w:rStyle w:val="normaltextrun"/>
          <w:color w:val="000000"/>
          <w:shd w:val="clear" w:color="auto" w:fill="FFFFFF"/>
        </w:rPr>
        <w:tab/>
        <w:t>Any tolerance adjustment will be charged</w:t>
      </w:r>
      <w:r w:rsidRPr="0038651A">
        <w:rPr>
          <w:rStyle w:val="normaltextrun"/>
          <w:color w:val="4471C4"/>
          <w:shd w:val="clear" w:color="auto" w:fill="FFFFFF"/>
        </w:rPr>
        <w:t xml:space="preserve"> </w:t>
      </w:r>
      <w:r w:rsidRPr="0038651A">
        <w:rPr>
          <w:rStyle w:val="normaltextrun"/>
          <w:color w:val="000000"/>
          <w:shd w:val="clear" w:color="auto" w:fill="FFFFFF"/>
        </w:rPr>
        <w:t xml:space="preserve">an additional </w:t>
      </w:r>
      <w:r w:rsidRPr="002D568C">
        <w:t>fee</w:t>
      </w:r>
      <w:r w:rsidRPr="0038651A">
        <w:rPr>
          <w:rStyle w:val="normaltextrun"/>
          <w:strike/>
          <w:color w:val="000000"/>
          <w:shd w:val="clear" w:color="auto" w:fill="FFFFFF"/>
        </w:rPr>
        <w:t xml:space="preserve"> </w:t>
      </w:r>
      <w:r w:rsidRPr="0038651A">
        <w:rPr>
          <w:rStyle w:val="normaltextrun"/>
          <w:color w:val="000000"/>
          <w:shd w:val="clear" w:color="auto" w:fill="FFFFFF"/>
        </w:rPr>
        <w:t>per weight as follows:</w:t>
      </w:r>
      <w:r>
        <w:rPr>
          <w:rStyle w:val="normaltextrun"/>
          <w:color w:val="000000"/>
          <w:shd w:val="clear" w:color="auto" w:fill="FFFFFF"/>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Caption w:val="Metrology Fees for tolerance adjustments by Weight and Mass Echelon level."/>
        <w:tblDescription w:val="For Weights up to and including 10 pounds or 5 kilograms; Mass Echelon III is $7 and Mass Echelon II is $25. For weights over 10 pounds or 5 kilograms and including 100 pounds or 60 kilograms, Mass Echelon III is $12 and Mass Echelon II is $50. For Weights over 100 pounds or 60 kilograms and including 1000 pounds or 500 kilograms, Mass Echelon III is $25 and Mass Echelon II is $50. For weights over 1000 pounds or 500 kilograms, Mass Echelon III is $50 and Mass Echelon II is not available.&#10;"/>
      </w:tblPr>
      <w:tblGrid>
        <w:gridCol w:w="2782"/>
        <w:gridCol w:w="1170"/>
        <w:gridCol w:w="1108"/>
      </w:tblGrid>
      <w:tr w:rsidR="00097F09" w:rsidRPr="009B2522" w14:paraId="4A839BBF" w14:textId="77777777" w:rsidTr="002D568C">
        <w:trPr>
          <w:cantSplit/>
          <w:tblHeader/>
          <w:jc w:val="center"/>
        </w:trPr>
        <w:tc>
          <w:tcPr>
            <w:tcW w:w="2782" w:type="dxa"/>
            <w:shd w:val="pct25" w:color="000000" w:fill="auto"/>
          </w:tcPr>
          <w:p w14:paraId="47F5C056"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9B2522">
              <w:rPr>
                <w:bCs/>
                <w:kern w:val="2"/>
                <w:sz w:val="16"/>
              </w:rPr>
              <w:t xml:space="preserve">  </w:t>
            </w:r>
          </w:p>
        </w:tc>
        <w:tc>
          <w:tcPr>
            <w:tcW w:w="1170" w:type="dxa"/>
            <w:shd w:val="pct25" w:color="000000" w:fill="auto"/>
            <w:vAlign w:val="bottom"/>
          </w:tcPr>
          <w:p w14:paraId="39E08D44" w14:textId="77777777" w:rsidR="00097F09" w:rsidRPr="009B2522" w:rsidRDefault="00097F09" w:rsidP="009A49CE">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III</w:t>
            </w:r>
          </w:p>
        </w:tc>
        <w:tc>
          <w:tcPr>
            <w:tcW w:w="1108" w:type="dxa"/>
            <w:shd w:val="pct25" w:color="000000" w:fill="auto"/>
            <w:vAlign w:val="bottom"/>
          </w:tcPr>
          <w:p w14:paraId="7698445D" w14:textId="77777777" w:rsidR="00097F09" w:rsidRPr="009B2522" w:rsidRDefault="00097F09" w:rsidP="009A49CE">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w:t>
            </w:r>
          </w:p>
        </w:tc>
      </w:tr>
      <w:tr w:rsidR="00097F09" w:rsidRPr="009B2522" w14:paraId="4D17C0F0" w14:textId="77777777" w:rsidTr="002D568C">
        <w:trPr>
          <w:cantSplit/>
          <w:jc w:val="center"/>
        </w:trPr>
        <w:tc>
          <w:tcPr>
            <w:tcW w:w="2782" w:type="dxa"/>
          </w:tcPr>
          <w:p w14:paraId="35FAC0E2" w14:textId="77777777" w:rsidR="00097F09" w:rsidRPr="00CA672D"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1.</w:t>
            </w:r>
            <w:r w:rsidRPr="00CA672D">
              <w:rPr>
                <w:kern w:val="2"/>
                <w:sz w:val="16"/>
              </w:rPr>
              <w:tab/>
              <w:t>Weights up to and including 10 pounds or 5 kilograms</w:t>
            </w:r>
          </w:p>
        </w:tc>
        <w:tc>
          <w:tcPr>
            <w:tcW w:w="1170" w:type="dxa"/>
            <w:vAlign w:val="bottom"/>
          </w:tcPr>
          <w:p w14:paraId="6FC6776A"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 xml:space="preserve">$7 </w:t>
            </w:r>
          </w:p>
        </w:tc>
        <w:tc>
          <w:tcPr>
            <w:tcW w:w="1108" w:type="dxa"/>
            <w:vAlign w:val="bottom"/>
          </w:tcPr>
          <w:p w14:paraId="2BE00B21"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w:t>
            </w:r>
          </w:p>
        </w:tc>
      </w:tr>
      <w:tr w:rsidR="00097F09" w:rsidRPr="009B2522" w14:paraId="5CED2511" w14:textId="77777777" w:rsidTr="002D568C">
        <w:trPr>
          <w:cantSplit/>
          <w:jc w:val="center"/>
        </w:trPr>
        <w:tc>
          <w:tcPr>
            <w:tcW w:w="2782" w:type="dxa"/>
          </w:tcPr>
          <w:p w14:paraId="235189C3" w14:textId="77777777"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2.</w:t>
            </w:r>
            <w:r w:rsidRPr="00CA672D">
              <w:rPr>
                <w:kern w:val="2"/>
                <w:sz w:val="16"/>
              </w:rPr>
              <w:tab/>
              <w:t>Weights over 10 pounds or 5 kilograms and including 100 pounds or 60 kilograms</w:t>
            </w:r>
          </w:p>
        </w:tc>
        <w:tc>
          <w:tcPr>
            <w:tcW w:w="1170" w:type="dxa"/>
            <w:vAlign w:val="bottom"/>
          </w:tcPr>
          <w:p w14:paraId="0A1EB7C3"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w:t>
            </w:r>
          </w:p>
        </w:tc>
        <w:tc>
          <w:tcPr>
            <w:tcW w:w="1108" w:type="dxa"/>
            <w:vAlign w:val="bottom"/>
          </w:tcPr>
          <w:p w14:paraId="577C76F9"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r>
      <w:tr w:rsidR="00097F09" w:rsidRPr="009B2522" w14:paraId="1CF1B671" w14:textId="77777777" w:rsidTr="002D568C">
        <w:trPr>
          <w:cantSplit/>
          <w:jc w:val="center"/>
        </w:trPr>
        <w:tc>
          <w:tcPr>
            <w:tcW w:w="2782" w:type="dxa"/>
          </w:tcPr>
          <w:p w14:paraId="10B3EBA0" w14:textId="77777777"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3.</w:t>
            </w:r>
            <w:r w:rsidRPr="00CA672D">
              <w:rPr>
                <w:kern w:val="2"/>
                <w:sz w:val="16"/>
              </w:rPr>
              <w:tab/>
              <w:t>Weights over 100 pounds or 60 kilograms and including 1000 pounds or 500 kilograms</w:t>
            </w:r>
          </w:p>
        </w:tc>
        <w:tc>
          <w:tcPr>
            <w:tcW w:w="1170" w:type="dxa"/>
            <w:vAlign w:val="bottom"/>
          </w:tcPr>
          <w:p w14:paraId="6163028F"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$25</w:t>
            </w:r>
          </w:p>
        </w:tc>
        <w:tc>
          <w:tcPr>
            <w:tcW w:w="1108" w:type="dxa"/>
            <w:vAlign w:val="bottom"/>
          </w:tcPr>
          <w:p w14:paraId="2E6612F3"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14:paraId="7FE4AE74" w14:textId="77777777" w:rsidTr="002D568C">
        <w:trPr>
          <w:cantSplit/>
          <w:jc w:val="center"/>
        </w:trPr>
        <w:tc>
          <w:tcPr>
            <w:tcW w:w="2782" w:type="dxa"/>
          </w:tcPr>
          <w:p w14:paraId="7FF0CF6F" w14:textId="77777777"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4.</w:t>
            </w:r>
            <w:r w:rsidRPr="00CA672D">
              <w:rPr>
                <w:kern w:val="2"/>
                <w:sz w:val="16"/>
              </w:rPr>
              <w:tab/>
              <w:t>Weights over 1000 pounds or 500 kilograms</w:t>
            </w:r>
          </w:p>
        </w:tc>
        <w:tc>
          <w:tcPr>
            <w:tcW w:w="1170" w:type="dxa"/>
            <w:vAlign w:val="bottom"/>
          </w:tcPr>
          <w:p w14:paraId="5452D2FA"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c>
          <w:tcPr>
            <w:tcW w:w="1108" w:type="dxa"/>
            <w:vAlign w:val="bottom"/>
          </w:tcPr>
          <w:p w14:paraId="0874B231"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N/A</w:t>
            </w:r>
          </w:p>
        </w:tc>
      </w:tr>
    </w:tbl>
    <w:p w14:paraId="0305A23D" w14:textId="77777777" w:rsidR="00097F09" w:rsidRPr="0038651A" w:rsidRDefault="00097F09" w:rsidP="00097F09">
      <w:pPr>
        <w:pStyle w:val="A"/>
      </w:pPr>
      <w:r w:rsidRPr="0038651A">
        <w:t>C.</w:t>
      </w:r>
      <w:r w:rsidRPr="0038651A">
        <w:tab/>
        <w:t>All volumetric testing and calibration or special tests not listed in the fee schedule shall be performed at a rate of $40 per hour. </w:t>
      </w:r>
    </w:p>
    <w:p w14:paraId="0A2DA8A6" w14:textId="77777777" w:rsidR="00097F09" w:rsidRPr="0038651A" w:rsidRDefault="00097F09" w:rsidP="00097F09">
      <w:pPr>
        <w:pStyle w:val="A"/>
      </w:pPr>
      <w:r w:rsidRPr="0038651A">
        <w:t>D.</w:t>
      </w:r>
      <w:r w:rsidRPr="0038651A">
        <w:tab/>
        <w:t>Incurred costs for return shipment shall be assessed when applicable.</w:t>
      </w:r>
    </w:p>
    <w:p w14:paraId="14AB9B69" w14:textId="77777777" w:rsidR="00097F09" w:rsidRPr="0038651A" w:rsidRDefault="00097F09" w:rsidP="00097F09">
      <w:pPr>
        <w:pStyle w:val="A"/>
      </w:pPr>
      <w:r w:rsidRPr="0038651A">
        <w:t>E.</w:t>
      </w:r>
      <w:r>
        <w:tab/>
      </w:r>
      <w:r w:rsidRPr="0038651A">
        <w:t>The registration fee for each location utilizing scanning devices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Caption w:val="Registration Fee for Locations utilizing scanning devices based on the number devices"/>
        <w:tblDescription w:val="Category A is 1 to 10 point of sale devices for an annual fee of $50. Category B is 11 to 25 point of sale devices for an annual fee of $100. Category C is over 25 point of sale devices for an annual fee of $150."/>
      </w:tblPr>
      <w:tblGrid>
        <w:gridCol w:w="1099"/>
        <w:gridCol w:w="2700"/>
        <w:gridCol w:w="1134"/>
      </w:tblGrid>
      <w:tr w:rsidR="00097F09" w:rsidRPr="009B2522" w14:paraId="39DB31A2" w14:textId="77777777" w:rsidTr="009A49CE">
        <w:trPr>
          <w:cantSplit/>
          <w:tblHeader/>
          <w:jc w:val="center"/>
        </w:trPr>
        <w:tc>
          <w:tcPr>
            <w:tcW w:w="1099" w:type="dxa"/>
            <w:tcBorders>
              <w:top w:val="double" w:sz="6" w:space="0" w:color="000000"/>
              <w:bottom w:val="single" w:sz="6" w:space="0" w:color="000000"/>
            </w:tcBorders>
            <w:shd w:val="pct25" w:color="000000" w:fill="auto"/>
            <w:vAlign w:val="bottom"/>
          </w:tcPr>
          <w:p w14:paraId="1675D0F9"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tcBorders>
              <w:top w:val="double" w:sz="6" w:space="0" w:color="000000"/>
              <w:bottom w:val="single" w:sz="6" w:space="0" w:color="000000"/>
            </w:tcBorders>
            <w:shd w:val="pct25" w:color="000000" w:fill="auto"/>
            <w:vAlign w:val="bottom"/>
          </w:tcPr>
          <w:p w14:paraId="40DE8FC6"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Number of Point-of-Sale Devices</w:t>
            </w:r>
          </w:p>
        </w:tc>
        <w:tc>
          <w:tcPr>
            <w:tcW w:w="1134" w:type="dxa"/>
            <w:tcBorders>
              <w:top w:val="double" w:sz="6" w:space="0" w:color="000000"/>
              <w:bottom w:val="single" w:sz="6" w:space="0" w:color="000000"/>
            </w:tcBorders>
            <w:shd w:val="pct25" w:color="000000" w:fill="auto"/>
            <w:vAlign w:val="bottom"/>
          </w:tcPr>
          <w:p w14:paraId="353E80AD"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Fee</w:t>
            </w:r>
          </w:p>
        </w:tc>
      </w:tr>
      <w:tr w:rsidR="00097F09" w:rsidRPr="009B2522" w14:paraId="7D3D6DB2" w14:textId="77777777" w:rsidTr="009A49CE">
        <w:trPr>
          <w:cantSplit/>
          <w:jc w:val="center"/>
        </w:trPr>
        <w:tc>
          <w:tcPr>
            <w:tcW w:w="1099" w:type="dxa"/>
            <w:tcBorders>
              <w:top w:val="single" w:sz="6" w:space="0" w:color="000000"/>
            </w:tcBorders>
          </w:tcPr>
          <w:p w14:paraId="290BE3F4"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A</w:t>
            </w:r>
          </w:p>
        </w:tc>
        <w:tc>
          <w:tcPr>
            <w:tcW w:w="2700" w:type="dxa"/>
            <w:tcBorders>
              <w:top w:val="single" w:sz="6" w:space="0" w:color="000000"/>
            </w:tcBorders>
          </w:tcPr>
          <w:p w14:paraId="4834C1C9"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 to 10</w:t>
            </w:r>
          </w:p>
        </w:tc>
        <w:tc>
          <w:tcPr>
            <w:tcW w:w="1134" w:type="dxa"/>
            <w:tcBorders>
              <w:top w:val="single" w:sz="6" w:space="0" w:color="000000"/>
            </w:tcBorders>
          </w:tcPr>
          <w:p w14:paraId="2AFB1410"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14:paraId="6814E5CF" w14:textId="77777777" w:rsidTr="009A49CE">
        <w:trPr>
          <w:cantSplit/>
          <w:jc w:val="center"/>
        </w:trPr>
        <w:tc>
          <w:tcPr>
            <w:tcW w:w="1099" w:type="dxa"/>
          </w:tcPr>
          <w:p w14:paraId="38A6353C"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B</w:t>
            </w:r>
          </w:p>
        </w:tc>
        <w:tc>
          <w:tcPr>
            <w:tcW w:w="2700" w:type="dxa"/>
          </w:tcPr>
          <w:p w14:paraId="5B55041B"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11 to 25</w:t>
            </w:r>
          </w:p>
        </w:tc>
        <w:tc>
          <w:tcPr>
            <w:tcW w:w="1134" w:type="dxa"/>
          </w:tcPr>
          <w:p w14:paraId="678B5A52"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$100</w:t>
            </w:r>
          </w:p>
        </w:tc>
      </w:tr>
      <w:tr w:rsidR="00097F09" w:rsidRPr="009B2522" w14:paraId="2FA035D8" w14:textId="77777777" w:rsidTr="009A49CE">
        <w:trPr>
          <w:cantSplit/>
          <w:jc w:val="center"/>
        </w:trPr>
        <w:tc>
          <w:tcPr>
            <w:tcW w:w="1099" w:type="dxa"/>
          </w:tcPr>
          <w:p w14:paraId="04C1373B"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C</w:t>
            </w:r>
          </w:p>
        </w:tc>
        <w:tc>
          <w:tcPr>
            <w:tcW w:w="2700" w:type="dxa"/>
          </w:tcPr>
          <w:p w14:paraId="03707DAC"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Over 25</w:t>
            </w:r>
          </w:p>
        </w:tc>
        <w:tc>
          <w:tcPr>
            <w:tcW w:w="1134" w:type="dxa"/>
          </w:tcPr>
          <w:p w14:paraId="0D91DB8C" w14:textId="77777777"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$150</w:t>
            </w:r>
          </w:p>
        </w:tc>
      </w:tr>
    </w:tbl>
    <w:p w14:paraId="303E6AD9" w14:textId="77777777" w:rsidR="00097F09" w:rsidRPr="0038651A" w:rsidRDefault="00097F09" w:rsidP="00097F09">
      <w:pPr>
        <w:pStyle w:val="A"/>
      </w:pPr>
      <w:r w:rsidRPr="0038651A">
        <w:t>F.</w:t>
      </w:r>
      <w:r w:rsidRPr="0038651A">
        <w:tab/>
        <w:t>The annual fee for registration of taxi meters is $50.</w:t>
      </w:r>
    </w:p>
    <w:p w14:paraId="6595D654" w14:textId="77777777" w:rsidR="00097F09" w:rsidRPr="0038651A" w:rsidRDefault="00097F09" w:rsidP="00097F09">
      <w:pPr>
        <w:pStyle w:val="A"/>
      </w:pPr>
      <w:r w:rsidRPr="0038651A">
        <w:t>G.</w:t>
      </w:r>
      <w:r w:rsidRPr="0038651A">
        <w:tab/>
        <w:t>The annual fee for registration of mass flow meters will be $250 per device.</w:t>
      </w:r>
    </w:p>
    <w:p w14:paraId="404C4A01" w14:textId="77777777" w:rsidR="00097F09" w:rsidRPr="0038651A" w:rsidRDefault="00097F09" w:rsidP="00097F09">
      <w:pPr>
        <w:pStyle w:val="A"/>
      </w:pPr>
      <w:r w:rsidRPr="0038651A">
        <w:t>H.</w:t>
      </w:r>
      <w:r w:rsidRPr="0038651A">
        <w:tab/>
        <w:t>The annual fee for registration of commercial weighing devices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Caption w:val="Registration fee for Commercial Weighing Devices by weight category."/>
        <w:tblDescription w:val="Category 1; Zero to 1,000 pounds; Annual fee is $50. Category 2; Over 1,000 pounds to 10,000 pounds; Annual fee is $115. Category 3; Over 10,000 pounds; annual fee is $215.&#10;"/>
      </w:tblPr>
      <w:tblGrid>
        <w:gridCol w:w="1099"/>
        <w:gridCol w:w="2700"/>
        <w:gridCol w:w="1134"/>
      </w:tblGrid>
      <w:tr w:rsidR="00097F09" w:rsidRPr="009B2522" w14:paraId="53E33326" w14:textId="77777777" w:rsidTr="009A49CE">
        <w:trPr>
          <w:cantSplit/>
          <w:tblHeader/>
          <w:jc w:val="center"/>
        </w:trPr>
        <w:tc>
          <w:tcPr>
            <w:tcW w:w="1099" w:type="dxa"/>
            <w:tcBorders>
              <w:top w:val="double" w:sz="6" w:space="0" w:color="000000"/>
              <w:bottom w:val="single" w:sz="6" w:space="0" w:color="000000"/>
            </w:tcBorders>
            <w:shd w:val="pct25" w:color="000000" w:fill="auto"/>
            <w:vAlign w:val="bottom"/>
          </w:tcPr>
          <w:p w14:paraId="49BFDB02"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tcBorders>
              <w:bottom w:val="single" w:sz="6" w:space="0" w:color="auto"/>
            </w:tcBorders>
            <w:shd w:val="clear" w:color="auto" w:fill="BFBFBF"/>
          </w:tcPr>
          <w:p w14:paraId="6041C2FA" w14:textId="77777777" w:rsidR="00097F09" w:rsidRPr="009B2522" w:rsidRDefault="00097F09" w:rsidP="009A49CE">
            <w:pPr>
              <w:keepNext/>
              <w:jc w:val="center"/>
              <w:rPr>
                <w:rFonts w:eastAsia="Calibri"/>
                <w:b/>
                <w:bCs/>
                <w:sz w:val="16"/>
                <w:szCs w:val="16"/>
              </w:rPr>
            </w:pPr>
            <w:r w:rsidRPr="009B2522">
              <w:rPr>
                <w:rFonts w:eastAsia="Calibri"/>
                <w:b/>
                <w:bCs/>
                <w:sz w:val="16"/>
                <w:szCs w:val="16"/>
              </w:rPr>
              <w:t>Device Capacity</w:t>
            </w:r>
          </w:p>
        </w:tc>
        <w:tc>
          <w:tcPr>
            <w:tcW w:w="1134" w:type="dxa"/>
            <w:tcBorders>
              <w:bottom w:val="single" w:sz="6" w:space="0" w:color="auto"/>
            </w:tcBorders>
            <w:shd w:val="clear" w:color="auto" w:fill="BFBFBF"/>
          </w:tcPr>
          <w:p w14:paraId="55E1D633" w14:textId="77777777" w:rsidR="00097F09" w:rsidRPr="009B2522" w:rsidRDefault="00097F09" w:rsidP="009A49CE">
            <w:pPr>
              <w:keepNext/>
              <w:jc w:val="center"/>
              <w:rPr>
                <w:rFonts w:eastAsia="Calibri"/>
                <w:b/>
                <w:bCs/>
                <w:sz w:val="16"/>
                <w:szCs w:val="16"/>
              </w:rPr>
            </w:pPr>
            <w:r w:rsidRPr="009B2522">
              <w:rPr>
                <w:rFonts w:eastAsia="Calibri"/>
                <w:b/>
                <w:bCs/>
                <w:sz w:val="16"/>
                <w:szCs w:val="16"/>
              </w:rPr>
              <w:t>Annual Fee</w:t>
            </w:r>
          </w:p>
        </w:tc>
      </w:tr>
      <w:tr w:rsidR="00097F09" w:rsidRPr="009B2522" w14:paraId="659AEF0D" w14:textId="77777777" w:rsidTr="009A49CE">
        <w:trPr>
          <w:cantSplit/>
          <w:jc w:val="center"/>
        </w:trPr>
        <w:tc>
          <w:tcPr>
            <w:tcW w:w="1099" w:type="dxa"/>
            <w:tcBorders>
              <w:top w:val="single" w:sz="6" w:space="0" w:color="auto"/>
              <w:bottom w:val="single" w:sz="6" w:space="0" w:color="auto"/>
            </w:tcBorders>
            <w:vAlign w:val="bottom"/>
          </w:tcPr>
          <w:p w14:paraId="4E2E23BA" w14:textId="77777777" w:rsidR="00097F09" w:rsidRPr="009B2522" w:rsidRDefault="00097F09" w:rsidP="009A49CE">
            <w:pPr>
              <w:keepNext/>
              <w:jc w:val="center"/>
              <w:rPr>
                <w:rFonts w:eastAsia="Calibri"/>
                <w:bCs/>
                <w:sz w:val="16"/>
                <w:szCs w:val="16"/>
              </w:rPr>
            </w:pPr>
            <w:r w:rsidRPr="009B2522">
              <w:rPr>
                <w:rFonts w:eastAsia="Calibri"/>
                <w:bCs/>
                <w:sz w:val="16"/>
                <w:szCs w:val="16"/>
              </w:rPr>
              <w:t>1</w:t>
            </w:r>
          </w:p>
        </w:tc>
        <w:tc>
          <w:tcPr>
            <w:tcW w:w="2700" w:type="dxa"/>
            <w:tcBorders>
              <w:top w:val="single" w:sz="6" w:space="0" w:color="auto"/>
              <w:bottom w:val="single" w:sz="6" w:space="0" w:color="auto"/>
              <w:right w:val="single" w:sz="6" w:space="0" w:color="auto"/>
            </w:tcBorders>
            <w:vAlign w:val="center"/>
          </w:tcPr>
          <w:p w14:paraId="5B1D7820" w14:textId="77777777" w:rsidR="00097F09" w:rsidRPr="009B2522" w:rsidRDefault="00097F09" w:rsidP="009A49CE">
            <w:pPr>
              <w:keepNext/>
              <w:jc w:val="center"/>
              <w:rPr>
                <w:rFonts w:eastAsia="Calibri"/>
                <w:bCs/>
                <w:sz w:val="16"/>
                <w:szCs w:val="16"/>
              </w:rPr>
            </w:pPr>
            <w:r w:rsidRPr="009B2522">
              <w:rPr>
                <w:rFonts w:eastAsia="Calibri"/>
                <w:bCs/>
                <w:sz w:val="16"/>
                <w:szCs w:val="16"/>
              </w:rPr>
              <w:t>Zero to 1,000 pounds</w:t>
            </w:r>
          </w:p>
        </w:tc>
        <w:tc>
          <w:tcPr>
            <w:tcW w:w="1134" w:type="dxa"/>
            <w:tcBorders>
              <w:top w:val="single" w:sz="6" w:space="0" w:color="auto"/>
              <w:left w:val="single" w:sz="6" w:space="0" w:color="auto"/>
              <w:bottom w:val="single" w:sz="6" w:space="0" w:color="auto"/>
            </w:tcBorders>
            <w:vAlign w:val="center"/>
          </w:tcPr>
          <w:p w14:paraId="14965080" w14:textId="77777777" w:rsidR="00097F09" w:rsidRPr="009B2522" w:rsidRDefault="00097F09" w:rsidP="009A49CE">
            <w:pPr>
              <w:keepNext/>
              <w:jc w:val="center"/>
              <w:rPr>
                <w:rFonts w:eastAsia="Calibri"/>
                <w:bCs/>
                <w:sz w:val="16"/>
                <w:szCs w:val="16"/>
              </w:rPr>
            </w:pPr>
            <w:r w:rsidRPr="009B2522">
              <w:rPr>
                <w:rFonts w:eastAsia="Calibri"/>
                <w:bCs/>
                <w:sz w:val="16"/>
                <w:szCs w:val="16"/>
              </w:rPr>
              <w:t>$50</w:t>
            </w:r>
          </w:p>
        </w:tc>
      </w:tr>
      <w:tr w:rsidR="00097F09" w:rsidRPr="009B2522" w14:paraId="14EEA269" w14:textId="77777777" w:rsidTr="009A49CE">
        <w:trPr>
          <w:cantSplit/>
          <w:jc w:val="center"/>
        </w:trPr>
        <w:tc>
          <w:tcPr>
            <w:tcW w:w="1099" w:type="dxa"/>
            <w:tcBorders>
              <w:top w:val="single" w:sz="6" w:space="0" w:color="auto"/>
              <w:bottom w:val="single" w:sz="6" w:space="0" w:color="auto"/>
            </w:tcBorders>
            <w:vAlign w:val="bottom"/>
          </w:tcPr>
          <w:p w14:paraId="03D1BA8A" w14:textId="77777777" w:rsidR="00097F09" w:rsidRPr="009B2522" w:rsidRDefault="00097F09" w:rsidP="009A49CE">
            <w:pPr>
              <w:keepNext/>
              <w:jc w:val="center"/>
              <w:rPr>
                <w:rFonts w:eastAsia="Calibri"/>
                <w:bCs/>
                <w:sz w:val="16"/>
                <w:szCs w:val="16"/>
              </w:rPr>
            </w:pPr>
            <w:r w:rsidRPr="009B2522">
              <w:rPr>
                <w:rFonts w:eastAsia="Calibri"/>
                <w:bCs/>
                <w:sz w:val="16"/>
                <w:szCs w:val="16"/>
              </w:rPr>
              <w:t>2</w:t>
            </w:r>
          </w:p>
        </w:tc>
        <w:tc>
          <w:tcPr>
            <w:tcW w:w="2700" w:type="dxa"/>
            <w:tcBorders>
              <w:top w:val="single" w:sz="6" w:space="0" w:color="auto"/>
              <w:bottom w:val="single" w:sz="6" w:space="0" w:color="auto"/>
              <w:right w:val="single" w:sz="6" w:space="0" w:color="auto"/>
            </w:tcBorders>
            <w:vAlign w:val="center"/>
          </w:tcPr>
          <w:p w14:paraId="1FEDFA6E" w14:textId="77777777" w:rsidR="00097F09" w:rsidRPr="009B2522" w:rsidRDefault="00097F09" w:rsidP="009A49CE">
            <w:pPr>
              <w:keepNext/>
              <w:jc w:val="center"/>
              <w:rPr>
                <w:rFonts w:eastAsia="Calibri"/>
                <w:bCs/>
                <w:sz w:val="16"/>
                <w:szCs w:val="16"/>
              </w:rPr>
            </w:pPr>
            <w:r w:rsidRPr="009B2522">
              <w:rPr>
                <w:rFonts w:eastAsia="Calibri"/>
                <w:bCs/>
                <w:sz w:val="16"/>
                <w:szCs w:val="16"/>
              </w:rPr>
              <w:t>Over 1,000 pounds to 10,000 pounds</w:t>
            </w:r>
          </w:p>
        </w:tc>
        <w:tc>
          <w:tcPr>
            <w:tcW w:w="1134" w:type="dxa"/>
            <w:tcBorders>
              <w:top w:val="single" w:sz="6" w:space="0" w:color="auto"/>
              <w:left w:val="single" w:sz="6" w:space="0" w:color="auto"/>
              <w:bottom w:val="single" w:sz="6" w:space="0" w:color="auto"/>
            </w:tcBorders>
            <w:vAlign w:val="center"/>
          </w:tcPr>
          <w:p w14:paraId="07AD0D94" w14:textId="77777777" w:rsidR="00097F09" w:rsidRPr="009B2522" w:rsidRDefault="00097F09" w:rsidP="009A49CE">
            <w:pPr>
              <w:keepNext/>
              <w:jc w:val="center"/>
              <w:rPr>
                <w:rFonts w:eastAsia="Calibri"/>
                <w:bCs/>
                <w:sz w:val="16"/>
                <w:szCs w:val="16"/>
              </w:rPr>
            </w:pPr>
            <w:r w:rsidRPr="009B2522">
              <w:rPr>
                <w:rFonts w:eastAsia="Calibri"/>
                <w:bCs/>
                <w:sz w:val="16"/>
                <w:szCs w:val="16"/>
              </w:rPr>
              <w:t>$115</w:t>
            </w:r>
          </w:p>
        </w:tc>
      </w:tr>
      <w:tr w:rsidR="00097F09" w:rsidRPr="009B2522" w14:paraId="406AE089" w14:textId="77777777" w:rsidTr="009A49CE">
        <w:trPr>
          <w:cantSplit/>
          <w:jc w:val="center"/>
        </w:trPr>
        <w:tc>
          <w:tcPr>
            <w:tcW w:w="1099" w:type="dxa"/>
            <w:tcBorders>
              <w:top w:val="single" w:sz="6" w:space="0" w:color="auto"/>
            </w:tcBorders>
            <w:vAlign w:val="bottom"/>
          </w:tcPr>
          <w:p w14:paraId="21D9601A" w14:textId="77777777" w:rsidR="00097F09" w:rsidRPr="009B2522" w:rsidRDefault="00097F09" w:rsidP="009A49CE">
            <w:pPr>
              <w:jc w:val="center"/>
              <w:rPr>
                <w:rFonts w:eastAsia="Calibri"/>
                <w:bCs/>
                <w:sz w:val="16"/>
                <w:szCs w:val="16"/>
              </w:rPr>
            </w:pPr>
            <w:r w:rsidRPr="009B2522">
              <w:rPr>
                <w:rFonts w:eastAsia="Calibri"/>
                <w:bCs/>
                <w:sz w:val="16"/>
                <w:szCs w:val="16"/>
              </w:rPr>
              <w:t>3</w:t>
            </w:r>
          </w:p>
        </w:tc>
        <w:tc>
          <w:tcPr>
            <w:tcW w:w="2700" w:type="dxa"/>
            <w:tcBorders>
              <w:top w:val="single" w:sz="6" w:space="0" w:color="auto"/>
              <w:right w:val="single" w:sz="6" w:space="0" w:color="auto"/>
            </w:tcBorders>
            <w:vAlign w:val="center"/>
          </w:tcPr>
          <w:p w14:paraId="2B4883A3" w14:textId="77777777" w:rsidR="00097F09" w:rsidRPr="009B2522" w:rsidRDefault="00097F09" w:rsidP="009A49CE">
            <w:pPr>
              <w:jc w:val="center"/>
              <w:rPr>
                <w:rFonts w:eastAsia="Calibri"/>
                <w:bCs/>
                <w:sz w:val="16"/>
                <w:szCs w:val="16"/>
              </w:rPr>
            </w:pPr>
            <w:r w:rsidRPr="009B2522">
              <w:rPr>
                <w:rFonts w:eastAsia="Calibri"/>
                <w:bCs/>
                <w:sz w:val="16"/>
                <w:szCs w:val="16"/>
              </w:rPr>
              <w:t>Over 10,000 pounds</w:t>
            </w:r>
          </w:p>
        </w:tc>
        <w:tc>
          <w:tcPr>
            <w:tcW w:w="1134" w:type="dxa"/>
            <w:tcBorders>
              <w:top w:val="single" w:sz="6" w:space="0" w:color="auto"/>
              <w:left w:val="single" w:sz="6" w:space="0" w:color="auto"/>
            </w:tcBorders>
            <w:vAlign w:val="center"/>
          </w:tcPr>
          <w:p w14:paraId="17EED4EA" w14:textId="77777777" w:rsidR="00097F09" w:rsidRPr="009B2522" w:rsidRDefault="00097F09" w:rsidP="009A49CE">
            <w:pPr>
              <w:jc w:val="center"/>
              <w:rPr>
                <w:rFonts w:eastAsia="Calibri"/>
                <w:bCs/>
                <w:sz w:val="16"/>
                <w:szCs w:val="16"/>
              </w:rPr>
            </w:pPr>
            <w:r w:rsidRPr="009B2522">
              <w:rPr>
                <w:rFonts w:eastAsia="Calibri"/>
                <w:bCs/>
                <w:sz w:val="16"/>
                <w:szCs w:val="16"/>
              </w:rPr>
              <w:t>$215</w:t>
            </w:r>
          </w:p>
        </w:tc>
      </w:tr>
    </w:tbl>
    <w:p w14:paraId="5F34C534" w14:textId="77777777" w:rsidR="00097F09" w:rsidRPr="0038651A" w:rsidRDefault="002D568C" w:rsidP="00097F09">
      <w:pPr>
        <w:pStyle w:val="A"/>
      </w:pPr>
      <w:r>
        <w:t>I.</w:t>
      </w:r>
      <w:r>
        <w:tab/>
      </w:r>
      <w:r w:rsidR="00097F09" w:rsidRPr="0038651A">
        <w:t xml:space="preserve">The subsequent inspection fee for reinspection of commercial weighing devices and mass flow meters shall be as follows: </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Caption w:val="Subsequent inspection fee for reinspection of commercial weighing devices by weight category. "/>
        <w:tblDescription w:val="Subsequent inspection fee for reinspection of commercial weighing devices by weight category. category 1; Zero to 1,000; reinspection fee is $0. Category 2; over 1,000 pounds to 10,000 pounds; reinspection fee is $125. Category 3; over 10,000 pounds; reinspection fee is $250.&#10;"/>
      </w:tblPr>
      <w:tblGrid>
        <w:gridCol w:w="1099"/>
        <w:gridCol w:w="2700"/>
        <w:gridCol w:w="1134"/>
      </w:tblGrid>
      <w:tr w:rsidR="00097F09" w:rsidRPr="009B2522" w14:paraId="73F484C4" w14:textId="77777777" w:rsidTr="002D568C">
        <w:trPr>
          <w:cantSplit/>
          <w:tblHeader/>
          <w:jc w:val="center"/>
        </w:trPr>
        <w:tc>
          <w:tcPr>
            <w:tcW w:w="1099" w:type="dxa"/>
            <w:shd w:val="pct25" w:color="000000" w:fill="auto"/>
            <w:vAlign w:val="bottom"/>
          </w:tcPr>
          <w:p w14:paraId="067E4924" w14:textId="77777777"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shd w:val="clear" w:color="auto" w:fill="BFBFBF"/>
            <w:vAlign w:val="bottom"/>
          </w:tcPr>
          <w:p w14:paraId="35C8971C" w14:textId="77777777" w:rsidR="00097F09" w:rsidRPr="009B2522" w:rsidRDefault="00097F09" w:rsidP="009A49CE">
            <w:pPr>
              <w:keepNext/>
              <w:jc w:val="center"/>
              <w:rPr>
                <w:rFonts w:eastAsia="Calibri"/>
                <w:b/>
                <w:bCs/>
                <w:sz w:val="16"/>
                <w:szCs w:val="16"/>
              </w:rPr>
            </w:pPr>
            <w:r w:rsidRPr="009B2522">
              <w:rPr>
                <w:rFonts w:eastAsia="Calibri"/>
                <w:b/>
                <w:bCs/>
                <w:sz w:val="16"/>
                <w:szCs w:val="16"/>
              </w:rPr>
              <w:t>Device Capacity</w:t>
            </w:r>
          </w:p>
        </w:tc>
        <w:tc>
          <w:tcPr>
            <w:tcW w:w="1134" w:type="dxa"/>
            <w:shd w:val="clear" w:color="auto" w:fill="BFBFBF"/>
            <w:vAlign w:val="bottom"/>
          </w:tcPr>
          <w:p w14:paraId="6B59ED61" w14:textId="77777777" w:rsidR="00097F09" w:rsidRPr="009B2522" w:rsidRDefault="00097F09" w:rsidP="009A49CE">
            <w:pPr>
              <w:keepNext/>
              <w:jc w:val="center"/>
              <w:rPr>
                <w:rFonts w:eastAsia="Calibri"/>
                <w:b/>
                <w:bCs/>
                <w:sz w:val="16"/>
                <w:szCs w:val="16"/>
              </w:rPr>
            </w:pPr>
            <w:r>
              <w:rPr>
                <w:rFonts w:eastAsia="Calibri"/>
                <w:b/>
                <w:bCs/>
                <w:sz w:val="16"/>
                <w:szCs w:val="16"/>
              </w:rPr>
              <w:t>Subsequent Inspection</w:t>
            </w:r>
            <w:r w:rsidRPr="009B2522">
              <w:rPr>
                <w:rFonts w:eastAsia="Calibri"/>
                <w:b/>
                <w:bCs/>
                <w:sz w:val="16"/>
                <w:szCs w:val="16"/>
              </w:rPr>
              <w:t xml:space="preserve"> Fee</w:t>
            </w:r>
          </w:p>
        </w:tc>
      </w:tr>
      <w:tr w:rsidR="00097F09" w:rsidRPr="009B2522" w14:paraId="07CDF7ED" w14:textId="77777777" w:rsidTr="002D568C">
        <w:trPr>
          <w:cantSplit/>
          <w:jc w:val="center"/>
        </w:trPr>
        <w:tc>
          <w:tcPr>
            <w:tcW w:w="1099" w:type="dxa"/>
            <w:vAlign w:val="bottom"/>
          </w:tcPr>
          <w:p w14:paraId="06964E04" w14:textId="77777777" w:rsidR="00097F09" w:rsidRPr="009B2522" w:rsidRDefault="00097F09" w:rsidP="009A49CE">
            <w:pPr>
              <w:keepNext/>
              <w:jc w:val="center"/>
              <w:rPr>
                <w:rFonts w:eastAsia="Calibri"/>
                <w:bCs/>
                <w:sz w:val="16"/>
                <w:szCs w:val="16"/>
              </w:rPr>
            </w:pPr>
            <w:r w:rsidRPr="009B2522">
              <w:rPr>
                <w:rFonts w:eastAsia="Calibri"/>
                <w:bCs/>
                <w:sz w:val="16"/>
                <w:szCs w:val="16"/>
              </w:rPr>
              <w:t>1</w:t>
            </w:r>
          </w:p>
        </w:tc>
        <w:tc>
          <w:tcPr>
            <w:tcW w:w="2700" w:type="dxa"/>
            <w:vAlign w:val="center"/>
          </w:tcPr>
          <w:p w14:paraId="4F3B97D7" w14:textId="77777777" w:rsidR="00097F09" w:rsidRPr="009B2522" w:rsidRDefault="00097F09" w:rsidP="009A49CE">
            <w:pPr>
              <w:keepNext/>
              <w:jc w:val="center"/>
              <w:rPr>
                <w:rFonts w:eastAsia="Calibri"/>
                <w:bCs/>
                <w:sz w:val="16"/>
                <w:szCs w:val="16"/>
              </w:rPr>
            </w:pPr>
            <w:r w:rsidRPr="009B2522">
              <w:rPr>
                <w:rFonts w:eastAsia="Calibri"/>
                <w:bCs/>
                <w:sz w:val="16"/>
                <w:szCs w:val="16"/>
              </w:rPr>
              <w:t>Zero to 1,000 pounds</w:t>
            </w:r>
          </w:p>
        </w:tc>
        <w:tc>
          <w:tcPr>
            <w:tcW w:w="1134" w:type="dxa"/>
            <w:vAlign w:val="center"/>
          </w:tcPr>
          <w:p w14:paraId="3C3CE946" w14:textId="77777777" w:rsidR="00097F09" w:rsidRPr="009B2522" w:rsidRDefault="00097F09" w:rsidP="009A49CE">
            <w:pPr>
              <w:keepNext/>
              <w:jc w:val="center"/>
              <w:rPr>
                <w:rFonts w:eastAsia="Calibri"/>
                <w:bCs/>
                <w:sz w:val="16"/>
                <w:szCs w:val="16"/>
              </w:rPr>
            </w:pPr>
            <w:r>
              <w:rPr>
                <w:rFonts w:eastAsia="Calibri"/>
                <w:bCs/>
                <w:sz w:val="16"/>
                <w:szCs w:val="16"/>
              </w:rPr>
              <w:t xml:space="preserve"> $</w:t>
            </w:r>
            <w:r w:rsidRPr="009B2522">
              <w:rPr>
                <w:rFonts w:eastAsia="Calibri"/>
                <w:bCs/>
                <w:sz w:val="16"/>
                <w:szCs w:val="16"/>
              </w:rPr>
              <w:t>0</w:t>
            </w:r>
          </w:p>
        </w:tc>
      </w:tr>
      <w:tr w:rsidR="00097F09" w:rsidRPr="009B2522" w14:paraId="02AE3AA2" w14:textId="77777777" w:rsidTr="002D568C">
        <w:trPr>
          <w:cantSplit/>
          <w:jc w:val="center"/>
        </w:trPr>
        <w:tc>
          <w:tcPr>
            <w:tcW w:w="1099" w:type="dxa"/>
            <w:vAlign w:val="bottom"/>
          </w:tcPr>
          <w:p w14:paraId="03ACFC3E" w14:textId="77777777" w:rsidR="00097F09" w:rsidRPr="009B2522" w:rsidRDefault="00097F09" w:rsidP="009A49CE">
            <w:pPr>
              <w:keepNext/>
              <w:jc w:val="center"/>
              <w:rPr>
                <w:rFonts w:eastAsia="Calibri"/>
                <w:bCs/>
                <w:sz w:val="16"/>
                <w:szCs w:val="16"/>
              </w:rPr>
            </w:pPr>
            <w:r w:rsidRPr="009B2522">
              <w:rPr>
                <w:rFonts w:eastAsia="Calibri"/>
                <w:bCs/>
                <w:sz w:val="16"/>
                <w:szCs w:val="16"/>
              </w:rPr>
              <w:t>2</w:t>
            </w:r>
          </w:p>
        </w:tc>
        <w:tc>
          <w:tcPr>
            <w:tcW w:w="2700" w:type="dxa"/>
            <w:vAlign w:val="center"/>
          </w:tcPr>
          <w:p w14:paraId="1E559265" w14:textId="77777777" w:rsidR="00097F09" w:rsidRPr="009B2522" w:rsidRDefault="00097F09" w:rsidP="009A49CE">
            <w:pPr>
              <w:keepNext/>
              <w:jc w:val="center"/>
              <w:rPr>
                <w:rFonts w:eastAsia="Calibri"/>
                <w:bCs/>
                <w:sz w:val="16"/>
                <w:szCs w:val="16"/>
              </w:rPr>
            </w:pPr>
            <w:r w:rsidRPr="009B2522">
              <w:rPr>
                <w:rFonts w:eastAsia="Calibri"/>
                <w:bCs/>
                <w:sz w:val="16"/>
                <w:szCs w:val="16"/>
              </w:rPr>
              <w:t>Over 1,000 pounds to 10,000 pounds</w:t>
            </w:r>
          </w:p>
        </w:tc>
        <w:tc>
          <w:tcPr>
            <w:tcW w:w="1134" w:type="dxa"/>
            <w:vAlign w:val="center"/>
          </w:tcPr>
          <w:p w14:paraId="53DDE530" w14:textId="77777777" w:rsidR="00097F09" w:rsidRPr="009B2522" w:rsidRDefault="00097F09" w:rsidP="009A49CE">
            <w:pPr>
              <w:keepNext/>
              <w:jc w:val="center"/>
              <w:rPr>
                <w:rFonts w:eastAsia="Calibri"/>
                <w:bCs/>
                <w:sz w:val="16"/>
                <w:szCs w:val="16"/>
              </w:rPr>
            </w:pPr>
            <w:r>
              <w:rPr>
                <w:rFonts w:eastAsia="Calibri"/>
                <w:bCs/>
                <w:sz w:val="16"/>
                <w:szCs w:val="16"/>
              </w:rPr>
              <w:t>$13</w:t>
            </w:r>
            <w:r w:rsidRPr="009B2522">
              <w:rPr>
                <w:rFonts w:eastAsia="Calibri"/>
                <w:bCs/>
                <w:sz w:val="16"/>
                <w:szCs w:val="16"/>
              </w:rPr>
              <w:t>5</w:t>
            </w:r>
          </w:p>
        </w:tc>
      </w:tr>
      <w:tr w:rsidR="00097F09" w:rsidRPr="009B2522" w14:paraId="30D40BEB" w14:textId="77777777" w:rsidTr="002D568C">
        <w:trPr>
          <w:cantSplit/>
          <w:jc w:val="center"/>
        </w:trPr>
        <w:tc>
          <w:tcPr>
            <w:tcW w:w="1099" w:type="dxa"/>
            <w:vAlign w:val="bottom"/>
          </w:tcPr>
          <w:p w14:paraId="710C044F" w14:textId="77777777" w:rsidR="00097F09" w:rsidRPr="009B2522" w:rsidRDefault="00097F09" w:rsidP="009A49CE">
            <w:pPr>
              <w:jc w:val="center"/>
              <w:rPr>
                <w:rFonts w:eastAsia="Calibri"/>
                <w:bCs/>
                <w:sz w:val="16"/>
                <w:szCs w:val="16"/>
              </w:rPr>
            </w:pPr>
            <w:r w:rsidRPr="009B2522">
              <w:rPr>
                <w:rFonts w:eastAsia="Calibri"/>
                <w:bCs/>
                <w:sz w:val="16"/>
                <w:szCs w:val="16"/>
              </w:rPr>
              <w:t>3</w:t>
            </w:r>
          </w:p>
        </w:tc>
        <w:tc>
          <w:tcPr>
            <w:tcW w:w="2700" w:type="dxa"/>
            <w:vAlign w:val="center"/>
          </w:tcPr>
          <w:p w14:paraId="750E3206" w14:textId="77777777" w:rsidR="00097F09" w:rsidRPr="009B2522" w:rsidRDefault="00097F09" w:rsidP="009A49CE">
            <w:pPr>
              <w:jc w:val="center"/>
              <w:rPr>
                <w:rFonts w:eastAsia="Calibri"/>
                <w:bCs/>
                <w:sz w:val="16"/>
                <w:szCs w:val="16"/>
              </w:rPr>
            </w:pPr>
            <w:r w:rsidRPr="009B2522">
              <w:rPr>
                <w:rFonts w:eastAsia="Calibri"/>
                <w:bCs/>
                <w:sz w:val="16"/>
                <w:szCs w:val="16"/>
              </w:rPr>
              <w:t>Over 10,000 pounds</w:t>
            </w:r>
          </w:p>
        </w:tc>
        <w:tc>
          <w:tcPr>
            <w:tcW w:w="1134" w:type="dxa"/>
            <w:vAlign w:val="center"/>
          </w:tcPr>
          <w:p w14:paraId="3CA21388" w14:textId="77777777" w:rsidR="00097F09" w:rsidRPr="009B2522" w:rsidRDefault="00097F09" w:rsidP="009A49CE">
            <w:pPr>
              <w:jc w:val="center"/>
              <w:rPr>
                <w:rFonts w:eastAsia="Calibri"/>
                <w:bCs/>
                <w:sz w:val="16"/>
                <w:szCs w:val="16"/>
              </w:rPr>
            </w:pPr>
            <w:r w:rsidRPr="009B2522">
              <w:rPr>
                <w:rFonts w:eastAsia="Calibri"/>
                <w:bCs/>
                <w:sz w:val="16"/>
                <w:szCs w:val="16"/>
              </w:rPr>
              <w:t>$2</w:t>
            </w:r>
            <w:r>
              <w:rPr>
                <w:rFonts w:eastAsia="Calibri"/>
                <w:bCs/>
                <w:sz w:val="16"/>
                <w:szCs w:val="16"/>
              </w:rPr>
              <w:t>50</w:t>
            </w:r>
          </w:p>
        </w:tc>
      </w:tr>
    </w:tbl>
    <w:p w14:paraId="51DA0319" w14:textId="77777777" w:rsidR="00E2542C" w:rsidRPr="00490008" w:rsidRDefault="00EF32A1" w:rsidP="00E2542C">
      <w:pPr>
        <w:pStyle w:val="A"/>
        <w:rPr>
          <w:bCs/>
        </w:rPr>
      </w:pPr>
      <w:r w:rsidRPr="003D17D4">
        <w:t>J.</w:t>
      </w:r>
      <w:r w:rsidRPr="003D17D4">
        <w:tab/>
        <w:t>The annual fee for registration of electric vehicle charging devices will be $100 per charging point.</w:t>
      </w:r>
    </w:p>
    <w:p w14:paraId="33B5AFEC" w14:textId="77777777" w:rsidR="00CF626A" w:rsidRPr="001531CD" w:rsidRDefault="00FB701E" w:rsidP="00FB701E">
      <w:pPr>
        <w:pStyle w:val="AuthorityNote"/>
      </w:pPr>
      <w:r w:rsidRPr="00E90815">
        <w:t>AUTHORITY NOTE:</w:t>
      </w:r>
      <w:r w:rsidRPr="00E90815">
        <w:tab/>
        <w:t>Promulgated in accordance with R.S. 3:4608 and 3:4622.</w:t>
      </w:r>
    </w:p>
    <w:p w14:paraId="5C2AC268"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19:1534 (December 1993), amended LR 23:857 (Jul</w:t>
      </w:r>
      <w:r w:rsidR="00142546">
        <w:t>y 1997), LR 30:1142 (June 2004), LR 42</w:t>
      </w:r>
      <w:r w:rsidR="00142546" w:rsidRPr="00555CBC">
        <w:t>:</w:t>
      </w:r>
      <w:r w:rsidR="00FB701E">
        <w:t xml:space="preserve">218 (February 2016), </w:t>
      </w:r>
      <w:r w:rsidR="00FB701E" w:rsidRPr="00E90815">
        <w:t>LR 42:</w:t>
      </w:r>
      <w:r w:rsidR="00FB701E">
        <w:t>1649 (October 2016)</w:t>
      </w:r>
      <w:r w:rsidR="000F1AC4">
        <w:t>,</w:t>
      </w:r>
      <w:r w:rsidR="000F1AC4" w:rsidRPr="004B5C31">
        <w:t xml:space="preserve"> LR 47:</w:t>
      </w:r>
      <w:r w:rsidR="000F1AC4">
        <w:t>852 (July 2021)</w:t>
      </w:r>
      <w:r w:rsidR="00E2542C" w:rsidRPr="00490008">
        <w:t xml:space="preserve">, </w:t>
      </w:r>
      <w:r w:rsidR="00E2542C" w:rsidRPr="00490008">
        <w:rPr>
          <w:bCs/>
        </w:rPr>
        <w:t>LR 47:</w:t>
      </w:r>
      <w:r w:rsidR="00E2542C">
        <w:rPr>
          <w:bCs/>
        </w:rPr>
        <w:t>1840 (December 2021</w:t>
      </w:r>
      <w:r w:rsidR="00D34985" w:rsidRPr="003D17D4">
        <w:t xml:space="preserve">), </w:t>
      </w:r>
      <w:r w:rsidR="00D34985">
        <w:t>LR 50:3</w:t>
      </w:r>
      <w:r w:rsidR="003A5AA1">
        <w:t>51</w:t>
      </w:r>
      <w:r w:rsidR="00D34985">
        <w:t xml:space="preserve"> (March </w:t>
      </w:r>
      <w:r w:rsidR="00BD2AB0">
        <w:t>2024), repro</w:t>
      </w:r>
      <w:r w:rsidR="00097F09">
        <w:t xml:space="preserve">mulgated LR 50:478 (April 2024), </w:t>
      </w:r>
      <w:r w:rsidR="00097F09" w:rsidRPr="0038651A">
        <w:rPr>
          <w:rStyle w:val="normaltextrun"/>
          <w:szCs w:val="18"/>
        </w:rPr>
        <w:t>amended LR 50:</w:t>
      </w:r>
      <w:r w:rsidR="00097F09">
        <w:rPr>
          <w:rStyle w:val="normaltextrun"/>
          <w:szCs w:val="18"/>
        </w:rPr>
        <w:t>1627 (November 2024).</w:t>
      </w:r>
    </w:p>
    <w:p w14:paraId="6F70E92B" w14:textId="77777777" w:rsidR="00CF626A" w:rsidRPr="001531CD" w:rsidRDefault="00CF626A">
      <w:pPr>
        <w:pStyle w:val="Section"/>
      </w:pPr>
      <w:bookmarkStart w:id="3055" w:name="_Toc256755101"/>
      <w:bookmarkStart w:id="3056" w:name="_Toc224819490"/>
      <w:r w:rsidRPr="001531CD">
        <w:t>§127.</w:t>
      </w:r>
      <w:r w:rsidRPr="001531CD">
        <w:tab/>
        <w:t>Registration</w:t>
      </w:r>
      <w:bookmarkEnd w:id="3055"/>
      <w:bookmarkEnd w:id="3056"/>
    </w:p>
    <w:p w14:paraId="59AE0B35" w14:textId="77777777" w:rsidR="00CF626A" w:rsidRPr="001531CD" w:rsidRDefault="00CF626A">
      <w:pPr>
        <w:pStyle w:val="A"/>
      </w:pPr>
      <w:r w:rsidRPr="001531CD">
        <w:t>A.</w:t>
      </w:r>
      <w:r w:rsidRPr="001531CD">
        <w:tab/>
      </w:r>
      <w:r w:rsidR="00E2542C" w:rsidRPr="00490008">
        <w:t xml:space="preserve">Each commercial weighing and measuring device in use in Louisiana, and every weighmaster, service agency, and service technician currently active in Louisiana, shall be registered </w:t>
      </w:r>
      <w:r w:rsidR="00E2542C" w:rsidRPr="00490008">
        <w:rPr>
          <w:bCs/>
        </w:rPr>
        <w:t>as required by this Chapter.</w:t>
      </w:r>
    </w:p>
    <w:p w14:paraId="04F0E260" w14:textId="77777777" w:rsidR="00CF626A" w:rsidRPr="001531CD" w:rsidRDefault="00CF626A">
      <w:pPr>
        <w:pStyle w:val="A"/>
      </w:pPr>
      <w:r w:rsidRPr="001531CD">
        <w:t>B.</w:t>
      </w:r>
      <w:r w:rsidRPr="001531CD">
        <w:tab/>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 and shall be registered as a commercial device.</w:t>
      </w:r>
    </w:p>
    <w:p w14:paraId="2829227E" w14:textId="77777777" w:rsidR="00CF626A" w:rsidRPr="001531CD" w:rsidRDefault="00CF626A">
      <w:pPr>
        <w:pStyle w:val="A"/>
      </w:pPr>
      <w:r w:rsidRPr="001531CD">
        <w:t>C.</w:t>
      </w:r>
      <w:r w:rsidRPr="001531CD">
        <w:tab/>
        <w:t>Scales shall be registered according to the following criteria:</w:t>
      </w:r>
    </w:p>
    <w:p w14:paraId="4D1CF64B" w14:textId="77777777" w:rsidR="00CF626A" w:rsidRPr="001531CD" w:rsidRDefault="00CF626A">
      <w:pPr>
        <w:pStyle w:val="1"/>
      </w:pPr>
      <w:r w:rsidRPr="001531CD">
        <w:t>1.</w:t>
      </w:r>
      <w:r w:rsidRPr="001531CD">
        <w:tab/>
        <w:t>make;</w:t>
      </w:r>
    </w:p>
    <w:p w14:paraId="6B216FC3" w14:textId="77777777" w:rsidR="00CF626A" w:rsidRPr="001531CD" w:rsidRDefault="00CF626A">
      <w:pPr>
        <w:pStyle w:val="1"/>
      </w:pPr>
      <w:r w:rsidRPr="001531CD">
        <w:t>2.</w:t>
      </w:r>
      <w:r w:rsidRPr="001531CD">
        <w:tab/>
        <w:t>model;</w:t>
      </w:r>
    </w:p>
    <w:p w14:paraId="7CC987D8" w14:textId="77777777" w:rsidR="00CF626A" w:rsidRPr="001531CD" w:rsidRDefault="00CF626A">
      <w:pPr>
        <w:pStyle w:val="1"/>
      </w:pPr>
      <w:r w:rsidRPr="001531CD">
        <w:t>3.</w:t>
      </w:r>
      <w:r w:rsidRPr="001531CD">
        <w:tab/>
        <w:t>serial number;</w:t>
      </w:r>
    </w:p>
    <w:p w14:paraId="5A6D5AFC" w14:textId="77777777" w:rsidR="00CF626A" w:rsidRPr="001531CD" w:rsidRDefault="00CF626A">
      <w:pPr>
        <w:pStyle w:val="1"/>
      </w:pPr>
      <w:r w:rsidRPr="001531CD">
        <w:t>4.</w:t>
      </w:r>
      <w:r w:rsidRPr="001531CD">
        <w:tab/>
        <w:t>capacity; and</w:t>
      </w:r>
    </w:p>
    <w:p w14:paraId="30485695" w14:textId="77777777" w:rsidR="00CF626A" w:rsidRPr="001531CD" w:rsidRDefault="00CF626A">
      <w:pPr>
        <w:pStyle w:val="1"/>
      </w:pPr>
      <w:r w:rsidRPr="001531CD">
        <w:t>5.</w:t>
      </w:r>
      <w:r w:rsidRPr="001531CD">
        <w:tab/>
        <w:t>intended use.</w:t>
      </w:r>
    </w:p>
    <w:p w14:paraId="622E4E38" w14:textId="77777777" w:rsidR="00CF626A" w:rsidRPr="001531CD" w:rsidRDefault="00CF626A" w:rsidP="00A66724">
      <w:pPr>
        <w:pStyle w:val="A"/>
        <w:spacing w:after="80"/>
      </w:pPr>
      <w:r w:rsidRPr="001531CD">
        <w:t>D.</w:t>
      </w:r>
      <w:r w:rsidRPr="001531CD">
        <w:tab/>
      </w:r>
      <w:r w:rsidR="00C06944" w:rsidRPr="006A5017">
        <w:t>Scanning devices shall be registered according to the greatest number of scanning devices in use at a location at any given time during the calendar year.</w:t>
      </w:r>
    </w:p>
    <w:p w14:paraId="257BAE1C" w14:textId="77777777" w:rsidR="00DC56D3" w:rsidRPr="00E90815" w:rsidRDefault="00DC56D3" w:rsidP="00DC56D3">
      <w:pPr>
        <w:pStyle w:val="A"/>
      </w:pPr>
      <w:r w:rsidRPr="00E90815">
        <w:t>E.</w:t>
      </w:r>
      <w:r w:rsidRPr="00E90815">
        <w:tab/>
        <w:t>Mass flow meters shall be registered according to the following criteria:</w:t>
      </w:r>
    </w:p>
    <w:p w14:paraId="14D33401" w14:textId="77777777" w:rsidR="00DC56D3" w:rsidRPr="00E90815" w:rsidRDefault="007C63AB" w:rsidP="00DC56D3">
      <w:pPr>
        <w:pStyle w:val="1"/>
      </w:pPr>
      <w:r>
        <w:t>1.</w:t>
      </w:r>
      <w:r>
        <w:tab/>
      </w:r>
      <w:r w:rsidR="00DC56D3" w:rsidRPr="00E90815">
        <w:t>make;</w:t>
      </w:r>
    </w:p>
    <w:p w14:paraId="057EB6F3" w14:textId="77777777" w:rsidR="00DC56D3" w:rsidRPr="00E90815" w:rsidRDefault="007C63AB" w:rsidP="00DC56D3">
      <w:pPr>
        <w:pStyle w:val="1"/>
      </w:pPr>
      <w:r>
        <w:t>2.</w:t>
      </w:r>
      <w:r>
        <w:tab/>
      </w:r>
      <w:r w:rsidR="00DC56D3" w:rsidRPr="00E90815">
        <w:t>model;</w:t>
      </w:r>
    </w:p>
    <w:p w14:paraId="693D3EAC" w14:textId="77777777" w:rsidR="00DC56D3" w:rsidRPr="00E90815" w:rsidRDefault="007C63AB" w:rsidP="00DC56D3">
      <w:pPr>
        <w:pStyle w:val="1"/>
      </w:pPr>
      <w:r>
        <w:t>3.</w:t>
      </w:r>
      <w:r>
        <w:tab/>
      </w:r>
      <w:r w:rsidR="00DC56D3" w:rsidRPr="00E90815">
        <w:t>serial number;</w:t>
      </w:r>
    </w:p>
    <w:p w14:paraId="6D9A47BD" w14:textId="77777777" w:rsidR="00DC56D3" w:rsidRPr="00E90815" w:rsidRDefault="007C63AB" w:rsidP="00DC56D3">
      <w:pPr>
        <w:pStyle w:val="1"/>
      </w:pPr>
      <w:r>
        <w:t>4.</w:t>
      </w:r>
      <w:r>
        <w:tab/>
      </w:r>
      <w:r w:rsidR="00DC56D3" w:rsidRPr="00E90815">
        <w:t>internal tube diameter in inches; and</w:t>
      </w:r>
    </w:p>
    <w:p w14:paraId="52BF1625" w14:textId="77777777" w:rsidR="00DC56D3" w:rsidRPr="00E90815" w:rsidRDefault="007C63AB" w:rsidP="00DC56D3">
      <w:pPr>
        <w:pStyle w:val="1"/>
      </w:pPr>
      <w:r>
        <w:t>5.</w:t>
      </w:r>
      <w:r>
        <w:tab/>
      </w:r>
      <w:r w:rsidR="00DC56D3" w:rsidRPr="00E90815">
        <w:t>intended use.</w:t>
      </w:r>
    </w:p>
    <w:p w14:paraId="07C16648" w14:textId="77777777" w:rsidR="00D34985" w:rsidRPr="003D17D4" w:rsidRDefault="00DC56D3" w:rsidP="00D34985">
      <w:pPr>
        <w:pStyle w:val="A"/>
      </w:pPr>
      <w:r w:rsidRPr="00E90815">
        <w:t>F.</w:t>
      </w:r>
      <w:r w:rsidRPr="00E90815">
        <w:tab/>
      </w:r>
      <w:r w:rsidR="00D34985" w:rsidRPr="003D17D4">
        <w:t>Electric vehicle charging points shall be registered according to the following criteria:</w:t>
      </w:r>
    </w:p>
    <w:p w14:paraId="217D8DA8" w14:textId="77777777" w:rsidR="00D34985" w:rsidRPr="003D17D4" w:rsidRDefault="00D34985" w:rsidP="00D34985">
      <w:pPr>
        <w:pStyle w:val="1"/>
      </w:pPr>
      <w:r w:rsidRPr="003D17D4">
        <w:t>1.</w:t>
      </w:r>
      <w:r w:rsidRPr="003D17D4">
        <w:tab/>
        <w:t>make;</w:t>
      </w:r>
    </w:p>
    <w:p w14:paraId="68B03408" w14:textId="77777777" w:rsidR="00D34985" w:rsidRPr="003D17D4" w:rsidRDefault="00D34985" w:rsidP="00D34985">
      <w:pPr>
        <w:pStyle w:val="1"/>
      </w:pPr>
      <w:r w:rsidRPr="003D17D4">
        <w:t>2.</w:t>
      </w:r>
      <w:r w:rsidRPr="003D17D4">
        <w:tab/>
        <w:t>model;</w:t>
      </w:r>
    </w:p>
    <w:p w14:paraId="4AC8F41E" w14:textId="77777777" w:rsidR="00D34985" w:rsidRPr="003D17D4" w:rsidRDefault="00D34985" w:rsidP="00D34985">
      <w:pPr>
        <w:pStyle w:val="1"/>
      </w:pPr>
      <w:r w:rsidRPr="003D17D4">
        <w:t>3.</w:t>
      </w:r>
      <w:r w:rsidRPr="003D17D4">
        <w:tab/>
        <w:t>serial number; and</w:t>
      </w:r>
    </w:p>
    <w:p w14:paraId="1A49FB3E" w14:textId="77777777" w:rsidR="00D34985" w:rsidRPr="003D17D4" w:rsidRDefault="00D34985" w:rsidP="00D34985">
      <w:pPr>
        <w:pStyle w:val="1"/>
      </w:pPr>
      <w:r w:rsidRPr="003D17D4">
        <w:t>4.</w:t>
      </w:r>
      <w:r w:rsidRPr="003D17D4">
        <w:tab/>
        <w:t>level.</w:t>
      </w:r>
    </w:p>
    <w:p w14:paraId="233832EC" w14:textId="77777777" w:rsidR="00D34985" w:rsidRPr="003D17D4" w:rsidRDefault="00D34985" w:rsidP="00D34985">
      <w:pPr>
        <w:pStyle w:val="A"/>
      </w:pPr>
      <w:r w:rsidRPr="003D17D4">
        <w:rPr>
          <w:bCs/>
        </w:rPr>
        <w:t>G.</w:t>
      </w:r>
      <w:r w:rsidRPr="003D17D4">
        <w:tab/>
        <w:t xml:space="preserve">A late fee of $25 will be assessed for each commercial weighing and measuring device, weighmaster, service agency, and service technician, when the application is submitted after December 31, with a maximum penalty of $100 per location. </w:t>
      </w:r>
    </w:p>
    <w:p w14:paraId="3E064075" w14:textId="77777777" w:rsidR="00D34985" w:rsidRPr="003D17D4" w:rsidRDefault="00D34985" w:rsidP="00D34985">
      <w:pPr>
        <w:pStyle w:val="A"/>
      </w:pPr>
      <w:r w:rsidRPr="003D17D4">
        <w:rPr>
          <w:bCs/>
        </w:rPr>
        <w:lastRenderedPageBreak/>
        <w:t>H.</w:t>
      </w:r>
      <w:r w:rsidRPr="003D17D4">
        <w:tab/>
        <w:t xml:space="preserve">A late fee of $25 will be assessed for each new device not registered within 30 days from the date it is put into service. </w:t>
      </w:r>
    </w:p>
    <w:p w14:paraId="10E38F3D" w14:textId="77777777" w:rsidR="00D34985" w:rsidRPr="003D17D4" w:rsidRDefault="00D34985" w:rsidP="00D34985">
      <w:pPr>
        <w:pStyle w:val="A"/>
      </w:pPr>
      <w:r w:rsidRPr="003D17D4">
        <w:rPr>
          <w:bCs/>
        </w:rPr>
        <w:t>I.</w:t>
      </w:r>
      <w:r w:rsidRPr="003D17D4">
        <w:tab/>
        <w:t xml:space="preserve">A compound weighing device shall be considered one or more devices for the purpose of registration in accordance with the following. </w:t>
      </w:r>
    </w:p>
    <w:p w14:paraId="04FADC9F" w14:textId="77777777" w:rsidR="00D34985" w:rsidRPr="003D17D4" w:rsidRDefault="00D34985" w:rsidP="00D34985">
      <w:pPr>
        <w:pStyle w:val="1"/>
      </w:pPr>
      <w:r w:rsidRPr="003D17D4">
        <w:t>1.</w:t>
      </w:r>
      <w:r w:rsidRPr="003D17D4">
        <w:tab/>
        <w:t xml:space="preserve">A compound weighing device that consists of a single load receiving element and more than one indicating element shall be considered a single device when all indicating elements may be tested during the same test for the purpose of sealing the device as correct. Said device shall be considered separate devices for each separate test necessary for sealing. </w:t>
      </w:r>
    </w:p>
    <w:p w14:paraId="26EE81DA" w14:textId="77777777" w:rsidR="00D34985" w:rsidRPr="003D17D4" w:rsidRDefault="00D34985" w:rsidP="00D34985">
      <w:pPr>
        <w:pStyle w:val="1"/>
      </w:pPr>
      <w:r w:rsidRPr="003D17D4">
        <w:t>2.</w:t>
      </w:r>
      <w:r w:rsidRPr="003D17D4">
        <w:tab/>
        <w:t xml:space="preserve">A compound weighing device that consists of one indicating element and more than one load receiving element shall for the purpose of registration be considered a separate device for each load receiving element. </w:t>
      </w:r>
    </w:p>
    <w:p w14:paraId="26F8439E" w14:textId="77777777" w:rsidR="00D34985" w:rsidRPr="003D17D4" w:rsidRDefault="00D34985" w:rsidP="00D34985">
      <w:pPr>
        <w:pStyle w:val="A"/>
      </w:pPr>
      <w:r w:rsidRPr="003D17D4">
        <w:rPr>
          <w:bCs/>
        </w:rPr>
        <w:t>J.</w:t>
      </w:r>
      <w:r w:rsidRPr="003D17D4">
        <w:tab/>
        <w:t>Applicants for registration may request application forms, verbally or in writing, from the Division of Weights and Measures of the Department of Agriculture and Forestry.</w:t>
      </w:r>
    </w:p>
    <w:p w14:paraId="1D46B973" w14:textId="77777777" w:rsidR="00D34985" w:rsidRPr="003D17D4" w:rsidRDefault="00D34985" w:rsidP="00D34985">
      <w:pPr>
        <w:pStyle w:val="A"/>
      </w:pPr>
      <w:r w:rsidRPr="003D17D4">
        <w:rPr>
          <w:bCs/>
        </w:rPr>
        <w:t>K.</w:t>
      </w:r>
      <w:r w:rsidRPr="003D17D4">
        <w:tab/>
        <w:t xml:space="preserve">Each application for annual registration shall be accompanied by payment of the required fee and said registration shall be valid until December 31. To remain valid, each annual registration must be renewed before January 1. This Subsection shall not apply to the registration of taxicab meters. </w:t>
      </w:r>
    </w:p>
    <w:p w14:paraId="3D453B55" w14:textId="77777777" w:rsidR="00D34985" w:rsidRPr="003D17D4" w:rsidRDefault="00D34985" w:rsidP="00D34985">
      <w:pPr>
        <w:pStyle w:val="A"/>
      </w:pPr>
      <w:r w:rsidRPr="003D17D4">
        <w:rPr>
          <w:bCs/>
        </w:rPr>
        <w:t>L.</w:t>
      </w:r>
      <w:r w:rsidRPr="003D17D4">
        <w:tab/>
        <w:t>Taxicab meters shall be registered annually with the division. Each registration shall be valid for one year from the date of issuance. Taxi meters may only be registered with the division upon completion of an inspection of the taxi meter by the department and payment of the required registration fee. The inspection period for taxicab meters for registration purposes shall occur from January 1 through</w:t>
      </w:r>
      <w:r>
        <w:t xml:space="preserve"> </w:t>
      </w:r>
      <w:r w:rsidRPr="003D17D4">
        <w:t xml:space="preserve">June 30 each year. After June 30, inspections for registration purposes will be done by appointment only. </w:t>
      </w:r>
    </w:p>
    <w:p w14:paraId="2401FB74" w14:textId="77777777" w:rsidR="00D34985" w:rsidRPr="003D17D4" w:rsidRDefault="00D34985" w:rsidP="00D34985">
      <w:pPr>
        <w:pStyle w:val="1"/>
      </w:pPr>
      <w:r w:rsidRPr="003D17D4">
        <w:t>1.</w:t>
      </w:r>
      <w:r w:rsidRPr="003D17D4">
        <w:tab/>
        <w:t xml:space="preserve">If a taxicab operates in a municipality or parish which requires a local inspection, the inspection required under this Part shall be completed no later than the month in which the taxicab’s parish, municipal, or airport inspection is due. </w:t>
      </w:r>
    </w:p>
    <w:p w14:paraId="7B18673B" w14:textId="77777777" w:rsidR="00D34985" w:rsidRPr="003D17D4" w:rsidRDefault="00D34985" w:rsidP="00D34985">
      <w:pPr>
        <w:pStyle w:val="1"/>
      </w:pPr>
      <w:r w:rsidRPr="003D17D4">
        <w:t>2.</w:t>
      </w:r>
      <w:r w:rsidRPr="003D17D4">
        <w:tab/>
        <w:t xml:space="preserve">Taxicab meters inspected after June 30 will be charged a late fee of $25 unless the late inspection is due to a meter being new, repaired, replaced, or being placed in a different vehicle. </w:t>
      </w:r>
    </w:p>
    <w:p w14:paraId="723D3752" w14:textId="77777777" w:rsidR="00D34985" w:rsidRPr="003D17D4" w:rsidRDefault="00D34985" w:rsidP="00D34985">
      <w:pPr>
        <w:pStyle w:val="A"/>
      </w:pPr>
      <w:r w:rsidRPr="003D17D4">
        <w:rPr>
          <w:bCs/>
        </w:rPr>
        <w:t>M.</w:t>
      </w:r>
      <w:r w:rsidRPr="003D17D4">
        <w:tab/>
        <w:t xml:space="preserve">Any registration obtained without complying with all of the requirements of these regulations may be voided by the division. </w:t>
      </w:r>
    </w:p>
    <w:p w14:paraId="31802C6B" w14:textId="77777777" w:rsidR="00D34985" w:rsidRPr="003D17D4" w:rsidRDefault="00D34985" w:rsidP="00D34985">
      <w:pPr>
        <w:pStyle w:val="A"/>
      </w:pPr>
      <w:r w:rsidRPr="003D17D4">
        <w:rPr>
          <w:bCs/>
        </w:rPr>
        <w:t>N.</w:t>
      </w:r>
      <w:r w:rsidRPr="003D17D4">
        <w:tab/>
        <w:t xml:space="preserve">Before a device may be sealed to certify the accuracy and correctness of a device, that device must be registered with the Division of Weights and Measures of the Louisiana Department of Agriculture and Forestry. </w:t>
      </w:r>
    </w:p>
    <w:p w14:paraId="1D34C071" w14:textId="77777777" w:rsidR="00D34985" w:rsidRPr="003D17D4" w:rsidRDefault="00D34985" w:rsidP="00D34985">
      <w:pPr>
        <w:pStyle w:val="A"/>
      </w:pPr>
      <w:r w:rsidRPr="003D17D4">
        <w:rPr>
          <w:bCs/>
        </w:rPr>
        <w:t>O.</w:t>
      </w:r>
      <w:r w:rsidRPr="003D17D4">
        <w:tab/>
        <w:t xml:space="preserve">In accordance with R.S. 3:4611, no one shall use a weight, measure or weighing or measuring device which has not been sealed by the division, its director, or its inspectors, </w:t>
      </w:r>
      <w:r w:rsidRPr="003D17D4">
        <w:t xml:space="preserve">at its direction, within the year prior thereto, unless written notice has been given to the division to the effect that the weight, measure or weighing or measuring device is available for examination or is due for re-examination. </w:t>
      </w:r>
    </w:p>
    <w:p w14:paraId="0BC7720A" w14:textId="77777777" w:rsidR="00D34985" w:rsidRPr="003D17D4" w:rsidRDefault="00D34985" w:rsidP="00D34985">
      <w:pPr>
        <w:pStyle w:val="A"/>
      </w:pPr>
      <w:r w:rsidRPr="003D17D4">
        <w:rPr>
          <w:bCs/>
        </w:rPr>
        <w:t>P.</w:t>
      </w:r>
      <w:r w:rsidRPr="003D17D4">
        <w:tab/>
        <w:t xml:space="preserve">Application for registration or renewal of registration shall fulfill the requirement of notification in Subsection L of this Section. </w:t>
      </w:r>
    </w:p>
    <w:p w14:paraId="7D6EABF1" w14:textId="77777777" w:rsidR="00D34985" w:rsidRPr="003D17D4" w:rsidRDefault="00D34985" w:rsidP="00D34985">
      <w:pPr>
        <w:pStyle w:val="A"/>
      </w:pPr>
      <w:r w:rsidRPr="003D17D4">
        <w:rPr>
          <w:bCs/>
        </w:rPr>
        <w:t>Q.</w:t>
      </w:r>
      <w:r w:rsidRPr="003D17D4">
        <w:tab/>
        <w:t xml:space="preserve">Applications for annual renewal of registration shall be mailed by the Division of Weights and Measures of the Department of Agriculture and Forestry to all registrants, at the last address provided by the registrant, on or before November 15 and must be returned before January 1. </w:t>
      </w:r>
    </w:p>
    <w:p w14:paraId="19C7333D" w14:textId="77777777" w:rsidR="00D34985" w:rsidRPr="003D17D4" w:rsidRDefault="00D34985" w:rsidP="00D34985">
      <w:pPr>
        <w:pStyle w:val="A"/>
      </w:pPr>
      <w:r w:rsidRPr="003D17D4">
        <w:rPr>
          <w:bCs/>
        </w:rPr>
        <w:t>R.</w:t>
      </w:r>
      <w:r w:rsidRPr="003D17D4">
        <w:tab/>
        <w:t xml:space="preserve">The record of all registrations shall be maintained by the Division of Weights and Measures and the director of the Division of Weights and Measures in its office in Baton Rouge. </w:t>
      </w:r>
    </w:p>
    <w:p w14:paraId="0A057A37" w14:textId="77777777" w:rsidR="00DC56D3" w:rsidRPr="00E90815" w:rsidRDefault="00D34985" w:rsidP="00D34985">
      <w:pPr>
        <w:pStyle w:val="A"/>
      </w:pPr>
      <w:r w:rsidRPr="003D17D4">
        <w:rPr>
          <w:bCs/>
        </w:rPr>
        <w:t>S.</w:t>
      </w:r>
      <w:r w:rsidRPr="003D17D4">
        <w:tab/>
        <w:t>Any registrant having a device registered under provisions of this regulation, and that is taken out of commercial use at the location shown on the application for registration, shall notify the commission's office in writing to remove said device from its records.</w:t>
      </w:r>
    </w:p>
    <w:p w14:paraId="0F2E354C" w14:textId="77777777" w:rsidR="00CF626A" w:rsidRPr="001531CD" w:rsidRDefault="00DC56D3" w:rsidP="00DC56D3">
      <w:pPr>
        <w:pStyle w:val="AuthorityNote"/>
      </w:pPr>
      <w:r w:rsidRPr="00E90815">
        <w:t>AUTHORITY NOTE:</w:t>
      </w:r>
      <w:r w:rsidRPr="00E90815">
        <w:tab/>
        <w:t>Promulgated in accordance with R.S. 3:4603 (formerly R.S. 55:3), 3:4607, 4608, and 3:4622.</w:t>
      </w:r>
    </w:p>
    <w:p w14:paraId="7ABF699D" w14:textId="77777777"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LR 15:78 (February 1989), amended by the Department of Agriculture and Forestry, Office of Agro-Consumer Services, Division of Weights and Measures, LR 19:1534 (Decemb</w:t>
      </w:r>
      <w:r w:rsidR="008C7B85">
        <w:t xml:space="preserve">er 1993), LR 23:857 (July 1997), </w:t>
      </w:r>
      <w:r w:rsidR="008C7B85" w:rsidRPr="00550D56">
        <w:t xml:space="preserve">LR </w:t>
      </w:r>
      <w:r w:rsidR="008C7B85">
        <w:t>41:2098 (Oc</w:t>
      </w:r>
      <w:r w:rsidR="00DC56D3">
        <w:t xml:space="preserve">tober 2015), </w:t>
      </w:r>
      <w:r w:rsidR="00DC56D3" w:rsidRPr="00E90815">
        <w:t>LR 42:</w:t>
      </w:r>
      <w:r w:rsidR="00DC56D3">
        <w:t>1649 (October 2016)</w:t>
      </w:r>
      <w:r w:rsidR="00C06944" w:rsidRPr="006A5017">
        <w:t xml:space="preserve">, </w:t>
      </w:r>
      <w:r w:rsidR="00C06944">
        <w:t xml:space="preserve">amended by the </w:t>
      </w:r>
      <w:r w:rsidR="00C06944" w:rsidRPr="006A5017">
        <w:t xml:space="preserve">Department of Agriculture and Forestry, Office of Agro-Consumer Services </w:t>
      </w:r>
      <w:r w:rsidR="00C06944">
        <w:t>LR 47</w:t>
      </w:r>
      <w:r w:rsidR="00C06944" w:rsidRPr="006A5017">
        <w:t>:</w:t>
      </w:r>
      <w:r w:rsidR="00C06944">
        <w:t>562 (May</w:t>
      </w:r>
      <w:r w:rsidR="00C06944" w:rsidRPr="006A5017">
        <w:t xml:space="preserve"> </w:t>
      </w:r>
      <w:r w:rsidR="00C06944">
        <w:t>2021)</w:t>
      </w:r>
      <w:r w:rsidR="00E2542C" w:rsidRPr="00490008">
        <w:rPr>
          <w:bCs/>
        </w:rPr>
        <w:t xml:space="preserve">, </w:t>
      </w:r>
      <w:r w:rsidR="00E2542C" w:rsidRPr="00490008">
        <w:t>LR 47:</w:t>
      </w:r>
      <w:r w:rsidR="00E2542C">
        <w:t>1840 (December 2021</w:t>
      </w:r>
      <w:r w:rsidR="00D34985" w:rsidRPr="003D17D4">
        <w:t xml:space="preserve">), </w:t>
      </w:r>
      <w:r w:rsidR="00D34985">
        <w:t>LR 50:3</w:t>
      </w:r>
      <w:r w:rsidR="003A5AA1">
        <w:t>51</w:t>
      </w:r>
      <w:r w:rsidR="00D34985">
        <w:t xml:space="preserve"> (March 2024).</w:t>
      </w:r>
    </w:p>
    <w:p w14:paraId="1C43B767" w14:textId="77777777" w:rsidR="00CF626A" w:rsidRPr="001531CD" w:rsidRDefault="00CF626A">
      <w:pPr>
        <w:pStyle w:val="Section"/>
      </w:pPr>
      <w:bookmarkStart w:id="3057" w:name="_Toc256755102"/>
      <w:bookmarkStart w:id="3058" w:name="_Toc224819491"/>
      <w:r w:rsidRPr="001531CD">
        <w:t>§129.</w:t>
      </w:r>
      <w:r w:rsidRPr="001531CD">
        <w:tab/>
        <w:t>Standards</w:t>
      </w:r>
      <w:bookmarkEnd w:id="3057"/>
      <w:bookmarkEnd w:id="3058"/>
    </w:p>
    <w:p w14:paraId="6CDFBE8F" w14:textId="77777777" w:rsidR="00CF626A" w:rsidRPr="001531CD" w:rsidRDefault="00CF626A">
      <w:pPr>
        <w:pStyle w:val="A"/>
      </w:pPr>
      <w:r w:rsidRPr="001531CD">
        <w:t>A.</w:t>
      </w:r>
      <w:r w:rsidRPr="001531CD">
        <w:tab/>
        <w:t>For the purposes of registration of weighing and measuring devices, the criteria shall be compliance with the applicable requirements of NIST Handbook 44 "Specifications, Tolerances, and Other Technical Requirements for Weighing and Measuring Devices." This publication is published annually by the United States Department of Commerce, National Institute of Standards and Technology.</w:t>
      </w:r>
    </w:p>
    <w:p w14:paraId="5E9E737A" w14:textId="77777777" w:rsidR="00CF626A" w:rsidRPr="001531CD" w:rsidRDefault="00CF626A">
      <w:pPr>
        <w:pStyle w:val="A"/>
      </w:pPr>
      <w:r w:rsidRPr="001531CD">
        <w:t>B.</w:t>
      </w:r>
      <w:r w:rsidRPr="001531CD">
        <w:tab/>
        <w:t>For any device being registered for the first time, it shall be determined that the above criteria has been met and that the device:</w:t>
      </w:r>
    </w:p>
    <w:p w14:paraId="7FC0EF26" w14:textId="77777777" w:rsidR="00CF626A" w:rsidRPr="001531CD" w:rsidRDefault="00CF626A">
      <w:pPr>
        <w:pStyle w:val="1"/>
      </w:pPr>
      <w:r w:rsidRPr="001531CD">
        <w:t>1.</w:t>
      </w:r>
      <w:r w:rsidRPr="001531CD">
        <w:tab/>
        <w:t>has been tested and approved in Louisiana prior to January 1, 1987, with no modifications to the device since such test and approval;</w:t>
      </w:r>
    </w:p>
    <w:p w14:paraId="27A39139" w14:textId="77777777" w:rsidR="00CF626A" w:rsidRPr="001531CD" w:rsidRDefault="00CF626A">
      <w:pPr>
        <w:pStyle w:val="1"/>
      </w:pPr>
      <w:r w:rsidRPr="001531CD">
        <w:t>2.</w:t>
      </w:r>
      <w:r w:rsidRPr="001531CD">
        <w:tab/>
        <w:t>has been tested by the National Institute of Standards and shown to comply with Handbook 44 criteria by the issuance of a Report of Test (Prior to 1985) or a Certificate of Conformance (1985, Forward); or</w:t>
      </w:r>
    </w:p>
    <w:p w14:paraId="4906FA78" w14:textId="77777777" w:rsidR="00CF626A" w:rsidRPr="001531CD" w:rsidRDefault="00CF626A">
      <w:pPr>
        <w:pStyle w:val="1"/>
      </w:pPr>
      <w:r w:rsidRPr="001531CD">
        <w:t>3.</w:t>
      </w:r>
      <w:r w:rsidRPr="001531CD">
        <w:tab/>
        <w:t xml:space="preserve">has been tested by the Division of Weights and Measures of the Department of Agriculture and Forestry or another state which uses Handbook 44 as its criteria and has </w:t>
      </w:r>
      <w:r w:rsidRPr="001531CD">
        <w:lastRenderedPageBreak/>
        <w:t>been issued a certificate stating such test and compliance with said criteria.</w:t>
      </w:r>
    </w:p>
    <w:p w14:paraId="2BC3A15D" w14:textId="77777777" w:rsidR="00CF626A" w:rsidRPr="001531CD" w:rsidRDefault="00CF626A">
      <w:pPr>
        <w:pStyle w:val="A"/>
      </w:pPr>
      <w:r w:rsidRPr="001531CD">
        <w:t>C.</w:t>
      </w:r>
      <w:r w:rsidRPr="001531CD">
        <w:tab/>
        <w:t>For the purpose of registration of a weighing and measuring device, the stated intended use shall be a use that the manufacturer intended or a use that is proven suitable for that device.</w:t>
      </w:r>
    </w:p>
    <w:p w14:paraId="0B12497A" w14:textId="77777777" w:rsidR="00CF626A" w:rsidRPr="001531CD" w:rsidRDefault="00CF626A">
      <w:pPr>
        <w:pStyle w:val="AuthorityNote"/>
      </w:pPr>
      <w:r w:rsidRPr="001531CD">
        <w:t>AUTHORITY NOTE:</w:t>
      </w:r>
      <w:r w:rsidRPr="001531CD">
        <w:tab/>
        <w:t>Promulgated in accordance with R.S. 3:4603 (formerly R.S. 55:3).</w:t>
      </w:r>
    </w:p>
    <w:p w14:paraId="579974E2" w14:textId="77777777"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by the Department of Agriculture and Forestry, Office of Agro-Consumer Services, Division of Weights and Measures, LR 19:1535 (December 1993), amended by the Weights and Measures Commission, LR 24:1495 (August 1998).</w:t>
      </w:r>
    </w:p>
    <w:p w14:paraId="3525D858" w14:textId="77777777" w:rsidR="00CF626A" w:rsidRPr="001531CD" w:rsidRDefault="00CF626A">
      <w:pPr>
        <w:pStyle w:val="Section"/>
      </w:pPr>
      <w:bookmarkStart w:id="3059" w:name="_Toc256755103"/>
      <w:bookmarkStart w:id="3060" w:name="_Toc224819492"/>
      <w:r w:rsidRPr="001531CD">
        <w:t>§131.</w:t>
      </w:r>
      <w:r w:rsidRPr="001531CD">
        <w:tab/>
        <w:t>Penalties</w:t>
      </w:r>
      <w:bookmarkEnd w:id="3059"/>
      <w:bookmarkEnd w:id="3060"/>
    </w:p>
    <w:p w14:paraId="07E9846F" w14:textId="77777777" w:rsidR="00CF626A" w:rsidRPr="001531CD" w:rsidRDefault="00CF626A">
      <w:pPr>
        <w:pStyle w:val="A"/>
      </w:pPr>
      <w:r w:rsidRPr="001531CD">
        <w:t>A.</w:t>
      </w:r>
      <w:r w:rsidRPr="001531CD">
        <w:tab/>
        <w:t>The commission, or his duly authorized representative, shall mark any device that is incorrect and warn its owner or user that the device is incorrect and should not be used until it is made correct. If a device that has been so marked as incorrect continues to be used commercially, the commission may seize the device in order to protect the public. The commission shall give a notice of intent to seize the incorrect device five calendar days before the actual seizure. However, a device which is not used at fixed location may be seized immediately upon a determination that said device is incorrect.</w:t>
      </w:r>
    </w:p>
    <w:p w14:paraId="248A4F59" w14:textId="77777777" w:rsidR="00CF626A" w:rsidRPr="001531CD" w:rsidRDefault="00CF626A">
      <w:pPr>
        <w:pStyle w:val="A"/>
      </w:pPr>
      <w:r w:rsidRPr="001531CD">
        <w:t>B.</w:t>
      </w:r>
      <w:r w:rsidRPr="001531CD">
        <w:tab/>
        <w:t>Upon a showing by the owner or user that adequate steps have been taken to correct the seized device, the commission shall release the seized device.</w:t>
      </w:r>
    </w:p>
    <w:p w14:paraId="6912C592" w14:textId="77777777" w:rsidR="00CF626A" w:rsidRPr="001531CD" w:rsidRDefault="00CF626A">
      <w:pPr>
        <w:pStyle w:val="A"/>
      </w:pPr>
      <w:r w:rsidRPr="001531CD">
        <w:t>C.</w:t>
      </w:r>
      <w:r w:rsidRPr="001531CD">
        <w:tab/>
        <w:t>The commission shall give the owner or user of the seized device a hearing within 60 calendar days of a request for such a hearing. If the owner or user of the seized device fails to request a hearing on the seizure within 30 days of seizure, the right to a hearing shall be deemed waived.</w:t>
      </w:r>
    </w:p>
    <w:p w14:paraId="103273BE" w14:textId="77777777" w:rsidR="00CF626A" w:rsidRPr="001531CD" w:rsidRDefault="00CF626A">
      <w:pPr>
        <w:pStyle w:val="A"/>
      </w:pPr>
      <w:r w:rsidRPr="001531CD">
        <w:t>D.</w:t>
      </w:r>
      <w:r w:rsidRPr="001531CD">
        <w:tab/>
        <w:t>If the owner or user waives his right to request a hearing and takes no action to retrieve the device within 60 days of seizure, the device shall be deemed abandoned property. The device may then be disposed of by the state with an obligation to the owner.</w:t>
      </w:r>
    </w:p>
    <w:p w14:paraId="7A8F039B" w14:textId="77777777" w:rsidR="00CF626A" w:rsidRPr="001531CD" w:rsidRDefault="00CF626A">
      <w:pPr>
        <w:pStyle w:val="AuthorityNote"/>
      </w:pPr>
      <w:r w:rsidRPr="001531CD">
        <w:t>AUTHORITY NOTE:</w:t>
      </w:r>
      <w:r w:rsidRPr="001531CD">
        <w:tab/>
        <w:t>Promulgated in accordance with R.S. 3:4603 (formerly R.S. 55:3).</w:t>
      </w:r>
    </w:p>
    <w:p w14:paraId="5B8A4B5E" w14:textId="77777777"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13:159 (March 1987), repromulgated, LR 19:1535 (December 1993).</w:t>
      </w:r>
    </w:p>
    <w:p w14:paraId="637A2AF1" w14:textId="77777777" w:rsidR="00CF626A" w:rsidRPr="001531CD" w:rsidRDefault="00CF626A">
      <w:pPr>
        <w:pStyle w:val="Section"/>
      </w:pPr>
      <w:bookmarkStart w:id="3061" w:name="_Toc256755104"/>
      <w:bookmarkStart w:id="3062" w:name="_Toc224819493"/>
      <w:r w:rsidRPr="001531CD">
        <w:t>§133.</w:t>
      </w:r>
      <w:r w:rsidRPr="001531CD">
        <w:tab/>
        <w:t>Powers of the Director</w:t>
      </w:r>
      <w:bookmarkEnd w:id="3061"/>
      <w:bookmarkEnd w:id="3062"/>
    </w:p>
    <w:p w14:paraId="60CE3890" w14:textId="77777777" w:rsidR="00CF626A" w:rsidRPr="001531CD" w:rsidRDefault="00CF626A">
      <w:pPr>
        <w:pStyle w:val="A"/>
      </w:pPr>
      <w:r w:rsidRPr="001531CD">
        <w:t>A.</w:t>
      </w:r>
      <w:r w:rsidRPr="001531CD">
        <w:tab/>
        <w:t>When necessary for the enforcement of the Louisiana Weights and Measures Law or any rule adopted pursuant thereto, the director or an employee at his direction may:</w:t>
      </w:r>
    </w:p>
    <w:p w14:paraId="625CE46C" w14:textId="77777777" w:rsidR="00CF626A" w:rsidRPr="001531CD" w:rsidRDefault="00CF626A">
      <w:pPr>
        <w:pStyle w:val="1"/>
      </w:pPr>
      <w:r w:rsidRPr="001531CD">
        <w:t>1.</w:t>
      </w:r>
      <w:r w:rsidRPr="001531CD">
        <w:tab/>
        <w:t xml:space="preserve">stop any commercial vehicle from which commodities are kept for sale, sold or in the process of delivery on the basis of weight measure or count and, after presentment of his credentials, inspect the contents, require that the person in charge of that vehicle produce any documents in his or her possession concerning the contents, </w:t>
      </w:r>
      <w:r w:rsidRPr="001531CD">
        <w:t>and require him to proceed with the vehicle to a specified place for inspection; and</w:t>
      </w:r>
    </w:p>
    <w:p w14:paraId="20B3E398" w14:textId="77777777" w:rsidR="00CF626A" w:rsidRPr="001531CD" w:rsidRDefault="00CF626A">
      <w:pPr>
        <w:pStyle w:val="1"/>
      </w:pPr>
      <w:r w:rsidRPr="001531CD">
        <w:t>2.</w:t>
      </w:r>
      <w:r w:rsidRPr="001531CD">
        <w:tab/>
        <w:t>access all books, papers and other information necessary for the enforcement of the Louisiana Weights and Measures Law. If after inspection the director finds or has reason to believe that the requirements set forth in the Louisiana Weights and Measures Law are not being met, he shall have access to all books, papers, records, bills of lading, invoices and other pertinent data relating to the use, sale or representation of any commodity including weighing and measuring devices within this state.</w:t>
      </w:r>
    </w:p>
    <w:p w14:paraId="302F0853" w14:textId="77777777" w:rsidR="00CF626A" w:rsidRPr="001531CD" w:rsidRDefault="00CF626A">
      <w:pPr>
        <w:pStyle w:val="AuthorityNote"/>
      </w:pPr>
      <w:r w:rsidRPr="001531CD">
        <w:t>AUTHORITY NOTE:</w:t>
      </w:r>
      <w:r w:rsidRPr="001531CD">
        <w:tab/>
        <w:t>Promulgated in accordance with R.S. 3:4608 and R.S. 3:4607.</w:t>
      </w:r>
    </w:p>
    <w:p w14:paraId="175F2448"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19:1535 (December 1993).</w:t>
      </w:r>
    </w:p>
    <w:p w14:paraId="37FFA69D" w14:textId="77777777" w:rsidR="00A82AF6" w:rsidRPr="001531CD" w:rsidRDefault="00A82AF6" w:rsidP="00A82AF6">
      <w:pPr>
        <w:pStyle w:val="Section"/>
      </w:pPr>
      <w:bookmarkStart w:id="3063" w:name="_Toc256755106"/>
      <w:bookmarkStart w:id="3064" w:name="_Toc224819494"/>
      <w:r w:rsidRPr="001531CD">
        <w:t>§137.</w:t>
      </w:r>
      <w:r w:rsidRPr="001531CD">
        <w:tab/>
        <w:t>Mulch; Definition; Sale by Volume; Prohibitions</w:t>
      </w:r>
      <w:bookmarkEnd w:id="3063"/>
      <w:bookmarkEnd w:id="3064"/>
    </w:p>
    <w:p w14:paraId="65A7A14F" w14:textId="77777777" w:rsidR="00A82AF6" w:rsidRPr="001531CD" w:rsidRDefault="00A82AF6" w:rsidP="00A82AF6">
      <w:pPr>
        <w:pStyle w:val="A"/>
      </w:pPr>
      <w:r w:rsidRPr="001531CD">
        <w:t>A.</w:t>
      </w:r>
      <w:r w:rsidRPr="001531CD">
        <w:tab/>
        <w:t xml:space="preserve"> Mulch is any product or material that is sold or offered or exposed for sale for primary use as a horticultural, aboveground dressing, for decoration, moisture control, weed control, erosion control, temperature control, or other similar purposes.</w:t>
      </w:r>
    </w:p>
    <w:p w14:paraId="6AE45074" w14:textId="77777777" w:rsidR="00A82AF6" w:rsidRPr="001531CD" w:rsidRDefault="00A82AF6" w:rsidP="00A82AF6">
      <w:pPr>
        <w:pStyle w:val="A"/>
      </w:pPr>
      <w:r w:rsidRPr="001531CD">
        <w:t>B.</w:t>
      </w:r>
      <w:r w:rsidRPr="001531CD">
        <w:tab/>
        <w:t>All mulch shall be sold or offered or exposed for sale in terms of volume measured by either the metric system or the inch-pound system.</w:t>
      </w:r>
    </w:p>
    <w:p w14:paraId="53EF5C8A" w14:textId="77777777" w:rsidR="00A82AF6" w:rsidRPr="001531CD" w:rsidRDefault="00A82AF6" w:rsidP="00A82AF6">
      <w:pPr>
        <w:pStyle w:val="1"/>
      </w:pPr>
      <w:r w:rsidRPr="001531CD">
        <w:t>1.</w:t>
      </w:r>
      <w:r w:rsidRPr="001531CD">
        <w:tab/>
        <w:t>If mulch is sold by the metric system, the volume of mulch shall be measured in terms of the cubic meter or liter.</w:t>
      </w:r>
    </w:p>
    <w:p w14:paraId="20BDF147" w14:textId="77777777" w:rsidR="00A82AF6" w:rsidRPr="001531CD" w:rsidRDefault="00A82AF6" w:rsidP="00A82AF6">
      <w:pPr>
        <w:pStyle w:val="1"/>
      </w:pPr>
      <w:r w:rsidRPr="001531CD">
        <w:t>2.</w:t>
      </w:r>
      <w:r w:rsidRPr="001531CD">
        <w:tab/>
        <w:t>If mulch is sold by the inch-pound unit the volume of mulch shall be measured in terms of the cubic yard or cubic foot.</w:t>
      </w:r>
    </w:p>
    <w:p w14:paraId="31DDEDC9" w14:textId="77777777" w:rsidR="00A82AF6" w:rsidRPr="001531CD" w:rsidRDefault="00A82AF6" w:rsidP="00A82AF6">
      <w:pPr>
        <w:pStyle w:val="A"/>
      </w:pPr>
      <w:r w:rsidRPr="001531CD">
        <w:t>C.</w:t>
      </w:r>
      <w:r w:rsidRPr="001531CD">
        <w:tab/>
        <w:t>Weight shall not be used in determining the volume of mulch being sold or offered or exposed for sale.</w:t>
      </w:r>
    </w:p>
    <w:p w14:paraId="29F80C51" w14:textId="77777777" w:rsidR="00A82AF6" w:rsidRPr="001531CD" w:rsidRDefault="00A82AF6" w:rsidP="00A82AF6">
      <w:pPr>
        <w:pStyle w:val="AuthorityNote"/>
      </w:pPr>
      <w:r w:rsidRPr="001531CD">
        <w:t>AUTHORITY NOTE:</w:t>
      </w:r>
      <w:r w:rsidRPr="001531CD">
        <w:tab/>
        <w:t>Promulgated in accordance with R.S. 3:4608 and R. S. 3:4613(C).</w:t>
      </w:r>
    </w:p>
    <w:p w14:paraId="2BFD402A" w14:textId="77777777" w:rsidR="00A82AF6" w:rsidRPr="001531CD" w:rsidRDefault="00A82AF6" w:rsidP="00A82AF6">
      <w:pPr>
        <w:pStyle w:val="HistoricalNote"/>
      </w:pPr>
      <w:r w:rsidRPr="001531CD">
        <w:t>HISTORICAL NOTE:</w:t>
      </w:r>
      <w:r w:rsidRPr="001531CD">
        <w:tab/>
        <w:t>Promulgated by the Department of Agriculture, Office of Agro-Consumer Services, Weights and Measures Commission, LR 34:408 (March 2008).</w:t>
      </w:r>
    </w:p>
    <w:p w14:paraId="2D9362B3" w14:textId="77777777" w:rsidR="00CF626A" w:rsidRPr="001531CD" w:rsidRDefault="00CF626A" w:rsidP="00F03863">
      <w:pPr>
        <w:pStyle w:val="Chapter"/>
        <w:outlineLvl w:val="0"/>
      </w:pPr>
      <w:bookmarkStart w:id="3065" w:name="TOC_Chap251"/>
      <w:bookmarkStart w:id="3066" w:name="_Toc256755107"/>
      <w:bookmarkStart w:id="3067" w:name="_Toc224819495"/>
      <w:r w:rsidRPr="001531CD">
        <w:t>Chapter 3.</w:t>
      </w:r>
      <w:bookmarkEnd w:id="3065"/>
      <w:r w:rsidR="00167E2E">
        <w:tab/>
      </w:r>
      <w:bookmarkStart w:id="3068" w:name="TOCT_Chap241"/>
      <w:bookmarkStart w:id="3069" w:name="TOCT_Chap237"/>
      <w:bookmarkStart w:id="3070" w:name="TOCT_Chap239"/>
      <w:bookmarkStart w:id="3071" w:name="TOCT_Chap251"/>
      <w:r w:rsidRPr="001531CD">
        <w:t>Petroleum Products</w:t>
      </w:r>
      <w:bookmarkEnd w:id="3066"/>
      <w:bookmarkEnd w:id="3067"/>
      <w:bookmarkEnd w:id="3068"/>
      <w:bookmarkEnd w:id="3069"/>
      <w:bookmarkEnd w:id="3070"/>
      <w:bookmarkEnd w:id="3071"/>
    </w:p>
    <w:p w14:paraId="0A3E45E5" w14:textId="77777777" w:rsidR="00CF626A" w:rsidRPr="001531CD" w:rsidRDefault="00CF626A">
      <w:pPr>
        <w:pStyle w:val="Chapter"/>
      </w:pPr>
      <w:bookmarkStart w:id="3072" w:name="TOC_SubC252"/>
      <w:bookmarkStart w:id="3073" w:name="_Toc256755108"/>
      <w:bookmarkStart w:id="3074" w:name="_Toc224819496"/>
      <w:r w:rsidRPr="001531CD">
        <w:t>Subchapter A.</w:t>
      </w:r>
      <w:bookmarkEnd w:id="3072"/>
      <w:r w:rsidR="00167E2E">
        <w:tab/>
      </w:r>
      <w:bookmarkStart w:id="3075" w:name="TOCT_SubC234"/>
      <w:bookmarkStart w:id="3076" w:name="TOCT_SubC238"/>
      <w:bookmarkStart w:id="3077" w:name="TOCT_SubC252"/>
      <w:r w:rsidRPr="001531CD">
        <w:t>Standards</w:t>
      </w:r>
      <w:bookmarkEnd w:id="3073"/>
      <w:bookmarkEnd w:id="3074"/>
      <w:bookmarkEnd w:id="3075"/>
      <w:bookmarkEnd w:id="3076"/>
      <w:bookmarkEnd w:id="3077"/>
    </w:p>
    <w:p w14:paraId="120C2601" w14:textId="77777777" w:rsidR="00CF626A" w:rsidRPr="001531CD" w:rsidRDefault="00CF626A">
      <w:pPr>
        <w:pStyle w:val="Section"/>
      </w:pPr>
      <w:bookmarkStart w:id="3078" w:name="OLE_LINK2"/>
      <w:bookmarkStart w:id="3079" w:name="_Toc256755109"/>
      <w:bookmarkStart w:id="3080" w:name="_Toc224819497"/>
      <w:r w:rsidRPr="001531CD">
        <w:t>§</w:t>
      </w:r>
      <w:bookmarkEnd w:id="3078"/>
      <w:r w:rsidRPr="001531CD">
        <w:t>301.</w:t>
      </w:r>
      <w:r w:rsidRPr="001531CD">
        <w:tab/>
        <w:t>Definitions</w:t>
      </w:r>
      <w:bookmarkEnd w:id="3079"/>
      <w:bookmarkEnd w:id="3080"/>
    </w:p>
    <w:p w14:paraId="771AB699" w14:textId="77777777" w:rsidR="00CF626A" w:rsidRPr="001531CD" w:rsidRDefault="008C7B85">
      <w:pPr>
        <w:pStyle w:val="A"/>
      </w:pPr>
      <w:r w:rsidRPr="00550D56">
        <w:t>A.</w:t>
      </w:r>
      <w:r w:rsidRPr="00550D56">
        <w:tab/>
        <w:t>As used in this Subchapter, the terms defined in this Section have the meanings herein given to them, except where the context expressly indicates otherwise.</w:t>
      </w:r>
    </w:p>
    <w:p w14:paraId="56DBFB4D" w14:textId="77777777" w:rsidR="00CF626A" w:rsidRPr="001531CD" w:rsidRDefault="00CF626A">
      <w:pPr>
        <w:pStyle w:val="1"/>
      </w:pPr>
      <w:r w:rsidRPr="001531CD">
        <w:rPr>
          <w:i/>
          <w:iCs/>
        </w:rPr>
        <w:t>ASTM or ASTM International</w:t>
      </w:r>
      <w:r w:rsidRPr="001531CD">
        <w:t>―the national voluntary consensus standards organization formed for the development of standards on characteristics and performance of materials, products, systems, and services, and the promotion of related knowledge.</w:t>
      </w:r>
    </w:p>
    <w:p w14:paraId="50448C38" w14:textId="77777777" w:rsidR="00CF626A" w:rsidRPr="001531CD" w:rsidRDefault="00CF626A" w:rsidP="00A66724">
      <w:pPr>
        <w:pStyle w:val="1"/>
        <w:spacing w:after="80"/>
      </w:pPr>
      <w:r w:rsidRPr="001531CD">
        <w:rPr>
          <w:i/>
          <w:iCs/>
        </w:rPr>
        <w:t>Antiknock Index or AKI</w:t>
      </w:r>
      <w:r w:rsidRPr="001531CD">
        <w:t>―the arithmetic average of the Research Octane Number (RON) and Motor Octane Number (MON): AKI = (RON+MON)/2. In addition to anti-knock index, this value is called by a variety of names including: octane rating, posted octane, and (R+M)/2 octane.</w:t>
      </w:r>
    </w:p>
    <w:p w14:paraId="70C4129D" w14:textId="77777777" w:rsidR="00CF626A" w:rsidRPr="001531CD" w:rsidRDefault="00CF626A" w:rsidP="00A66724">
      <w:pPr>
        <w:pStyle w:val="1"/>
        <w:spacing w:after="80"/>
      </w:pPr>
      <w:r w:rsidRPr="001531CD">
        <w:rPr>
          <w:i/>
          <w:iCs/>
        </w:rPr>
        <w:lastRenderedPageBreak/>
        <w:t>Automotive Fuel Rating</w:t>
      </w:r>
      <w:r w:rsidRPr="001531CD">
        <w:t>―the automotive fuel rating required under federal law.</w:t>
      </w:r>
      <w:r w:rsidRPr="001531CD">
        <w:rPr>
          <w:vertAlign w:val="superscript"/>
        </w:rPr>
        <w:t>1</w:t>
      </w:r>
      <w:r w:rsidRPr="001531CD">
        <w:t xml:space="preserve"> The automotive fuel rating for gasoline is the antiknock index. The automotive fuel rating for alternative liquid fuels consists of the common name of the fuel and the disclosure of the amount, expressed as a minimum percentage, by volume of the principal component of the fuel.</w:t>
      </w:r>
    </w:p>
    <w:p w14:paraId="2D0AFBCF" w14:textId="77777777" w:rsidR="00CF626A" w:rsidRPr="001531CD" w:rsidRDefault="00CF626A" w:rsidP="00A66724">
      <w:pPr>
        <w:pStyle w:val="1"/>
        <w:spacing w:after="80"/>
      </w:pPr>
      <w:r w:rsidRPr="001531CD">
        <w:rPr>
          <w:i/>
          <w:iCs/>
        </w:rPr>
        <w:t>Automotive Gasoline or Automotive Gasoline-Oxygenate Blend</w:t>
      </w:r>
      <w:r w:rsidRPr="001531CD">
        <w:t>―a type of fuel suitable for use in automotive spark-ignition internal combustion engines and also commonly used in marine and non-automotive applications.</w:t>
      </w:r>
    </w:p>
    <w:p w14:paraId="196B07E6" w14:textId="77777777" w:rsidR="00CF626A" w:rsidRPr="001531CD" w:rsidRDefault="00CF626A" w:rsidP="00A66724">
      <w:pPr>
        <w:pStyle w:val="1"/>
        <w:spacing w:after="80"/>
      </w:pPr>
      <w:r w:rsidRPr="001531CD">
        <w:rPr>
          <w:i/>
          <w:iCs/>
        </w:rPr>
        <w:t>Aviation Gasoline</w:t>
      </w:r>
      <w:r w:rsidRPr="001531CD">
        <w:t>―a type of gasoline suitable for use as a fuel in an aviation spark-ignition internal combustion engine.</w:t>
      </w:r>
    </w:p>
    <w:p w14:paraId="3A1AB1E9" w14:textId="77777777" w:rsidR="00CF626A" w:rsidRPr="001531CD" w:rsidRDefault="00CF626A" w:rsidP="00A66724">
      <w:pPr>
        <w:pStyle w:val="1"/>
        <w:spacing w:after="80"/>
      </w:pPr>
      <w:r w:rsidRPr="001531CD">
        <w:rPr>
          <w:i/>
          <w:iCs/>
        </w:rPr>
        <w:t>Aviation Turbine Fuel</w:t>
      </w:r>
      <w:r w:rsidRPr="001531CD">
        <w:t>―a refined middle distillate suitable for use as a fuel in an aviation gas turbine internal combustion engine.</w:t>
      </w:r>
    </w:p>
    <w:p w14:paraId="2D2809B1" w14:textId="77777777" w:rsidR="00CF626A" w:rsidRPr="001531CD" w:rsidRDefault="00CF626A" w:rsidP="00A66724">
      <w:pPr>
        <w:pStyle w:val="1"/>
        <w:spacing w:after="80"/>
      </w:pPr>
      <w:r w:rsidRPr="001531CD">
        <w:rPr>
          <w:i/>
          <w:iCs/>
        </w:rPr>
        <w:t>Base Gasoline</w:t>
      </w:r>
      <w:r w:rsidRPr="001531CD">
        <w:t>―all components other than ethanol in a blend of gasoline and ethanol.</w:t>
      </w:r>
    </w:p>
    <w:p w14:paraId="7408A12A" w14:textId="77777777" w:rsidR="008B40FB" w:rsidRPr="001531CD" w:rsidRDefault="008B40FB" w:rsidP="00A66724">
      <w:pPr>
        <w:pStyle w:val="1"/>
        <w:spacing w:after="80"/>
      </w:pPr>
      <w:r w:rsidRPr="001531CD">
        <w:rPr>
          <w:i/>
        </w:rPr>
        <w:t>Biodiesel</w:t>
      </w:r>
      <w:r w:rsidRPr="001531CD">
        <w:t>—a fuel comprised of mono-alkyl esters of long chain fatty acids derived from renewable resources including but not limited to vegetable oils, waste grease, or animal fat, and meeting the requirements of the American Society for Testing and Materials (ASTM) D-6751 or a diesel fuel substitute produced from non-petroleum renewable resources (inclusive of vegetable oils and animal fats) that meet the registration requirements for fuels and fuel additives established by the United States Environmental Protection Agency and any blending components derived from renewable fuel.</w:t>
      </w:r>
    </w:p>
    <w:p w14:paraId="0A1BCE9C" w14:textId="77777777" w:rsidR="008C7B85" w:rsidRPr="00550D56" w:rsidRDefault="008C7B85" w:rsidP="008C7B85">
      <w:pPr>
        <w:pStyle w:val="1"/>
      </w:pPr>
      <w:r w:rsidRPr="00550D56">
        <w:rPr>
          <w:i/>
        </w:rPr>
        <w:t>Biodiesel Blend—</w:t>
      </w:r>
      <w:r w:rsidRPr="00550D56">
        <w:t>a blend of diesel fuel and biodiesel suitable for use as a fuel in compression ignition engines.</w:t>
      </w:r>
    </w:p>
    <w:p w14:paraId="67D1DE02" w14:textId="77777777" w:rsidR="008C7B85" w:rsidRPr="00550D56" w:rsidRDefault="008C7B85" w:rsidP="008C7B85">
      <w:pPr>
        <w:pStyle w:val="1"/>
      </w:pPr>
      <w:r w:rsidRPr="00550D56">
        <w:rPr>
          <w:i/>
        </w:rPr>
        <w:t>Biomass-Based Diesel—</w:t>
      </w:r>
      <w:r w:rsidRPr="00550D56">
        <w:t>a</w:t>
      </w:r>
      <w:r w:rsidRPr="00C86618">
        <w:t xml:space="preserve"> </w:t>
      </w:r>
      <w:r w:rsidRPr="00550D56">
        <w:t xml:space="preserve">non-ester renewable diesel fuel produced from non-petroleum renewable resources, including biomass, plant oils, animal fats, microbial oils, and agricultural or municipal wastes, that meets the registration requirements for fuels and fuel additives established by the Environmental Protection Agency under 42 U.S.C. 7545 and conforms to the most recent revision of the appropriate ASTM specification. It is a renewable fuel that has lifecycle greenhouse gas emissions that are at least </w:t>
      </w:r>
      <w:r>
        <w:t>50</w:t>
      </w:r>
      <w:r w:rsidRPr="00550D56">
        <w:t xml:space="preserve"> percent less than the baseline lifecycle greenhouse gas emissions, is registered as a motor vehicle fuel under 40 CFR 79, and is either a transportation fuel (ASTM D975), heating oil (ASTM D396), or jet fuel (ASTM D1655).</w:t>
      </w:r>
    </w:p>
    <w:p w14:paraId="793EDA6D" w14:textId="77777777" w:rsidR="008B40FB" w:rsidRPr="001531CD" w:rsidRDefault="008C7B85" w:rsidP="008C7B85">
      <w:pPr>
        <w:pStyle w:val="1"/>
        <w:spacing w:after="80"/>
      </w:pPr>
      <w:r w:rsidRPr="00550D56">
        <w:rPr>
          <w:i/>
        </w:rPr>
        <w:t>Biomass-Based Diesel Blend—</w:t>
      </w:r>
      <w:r w:rsidRPr="00550D56">
        <w:t>a blend of diesel fuel and biomass-based diesel that conforms to ASTM D975 and is suitable for use as a fuel in compression ignition engines.</w:t>
      </w:r>
    </w:p>
    <w:p w14:paraId="7B4E706B" w14:textId="77777777" w:rsidR="00CF626A" w:rsidRPr="001531CD" w:rsidRDefault="00CF626A" w:rsidP="00A66724">
      <w:pPr>
        <w:pStyle w:val="1"/>
        <w:spacing w:after="80"/>
      </w:pPr>
      <w:r w:rsidRPr="001531CD">
        <w:rPr>
          <w:i/>
          <w:iCs/>
        </w:rPr>
        <w:t>Cetane Index</w:t>
      </w:r>
      <w:r w:rsidRPr="001531CD">
        <w:t>―an approximation of the cetane number of distillate diesel fuel, which does not contain a cetane improver additive, calculated from the density and distillation measurements.</w:t>
      </w:r>
    </w:p>
    <w:p w14:paraId="0B3BBD93" w14:textId="77777777" w:rsidR="00CF626A" w:rsidRPr="001531CD" w:rsidRDefault="00CF626A" w:rsidP="00A66724">
      <w:pPr>
        <w:pStyle w:val="1"/>
        <w:spacing w:after="80"/>
      </w:pPr>
      <w:r w:rsidRPr="001531CD">
        <w:rPr>
          <w:i/>
          <w:iCs/>
        </w:rPr>
        <w:t>Cetane Number</w:t>
      </w:r>
      <w:r w:rsidRPr="001531CD">
        <w:t>―a numerical measure of the ignition performance of a diesel fuel obtained by comparing it to reference fuels in a standardized engine test.</w:t>
      </w:r>
    </w:p>
    <w:p w14:paraId="0DE457E5" w14:textId="77777777" w:rsidR="00CF626A" w:rsidRPr="001531CD" w:rsidRDefault="00CF626A" w:rsidP="00A66724">
      <w:pPr>
        <w:pStyle w:val="1"/>
        <w:spacing w:after="80"/>
      </w:pPr>
      <w:r w:rsidRPr="001531CD">
        <w:rPr>
          <w:i/>
          <w:iCs/>
        </w:rPr>
        <w:t>Diesel Fuel</w:t>
      </w:r>
      <w:r w:rsidRPr="001531CD">
        <w:t>―a refined middle distillate suitable for use as a fuel in a compression-ignition (diesel) internal combustion engine.</w:t>
      </w:r>
    </w:p>
    <w:p w14:paraId="0C0C951B" w14:textId="77777777" w:rsidR="00CF626A" w:rsidRPr="001531CD" w:rsidRDefault="00CF626A" w:rsidP="00A66724">
      <w:pPr>
        <w:pStyle w:val="1"/>
        <w:spacing w:after="80"/>
      </w:pPr>
      <w:r w:rsidRPr="001531CD">
        <w:rPr>
          <w:i/>
          <w:iCs/>
        </w:rPr>
        <w:t>Distillate</w:t>
      </w:r>
      <w:r w:rsidRPr="001531CD">
        <w:t>―any product obtained by condensing the vapors given off by boiling petroleum or its products.</w:t>
      </w:r>
    </w:p>
    <w:p w14:paraId="59C0E707" w14:textId="77777777" w:rsidR="00CF626A" w:rsidRPr="001531CD" w:rsidRDefault="00CF626A" w:rsidP="00A66724">
      <w:pPr>
        <w:pStyle w:val="1"/>
        <w:spacing w:after="80"/>
      </w:pPr>
      <w:r w:rsidRPr="001531CD">
        <w:rPr>
          <w:i/>
          <w:iCs/>
        </w:rPr>
        <w:t>EPA</w:t>
      </w:r>
      <w:r w:rsidRPr="001531CD">
        <w:t>―the United States Environmental Protection Agency.</w:t>
      </w:r>
    </w:p>
    <w:p w14:paraId="586BD68D" w14:textId="77777777" w:rsidR="00CF626A" w:rsidRPr="001531CD" w:rsidRDefault="00CF626A" w:rsidP="00A66724">
      <w:pPr>
        <w:pStyle w:val="1"/>
      </w:pPr>
      <w:r w:rsidRPr="001531CD">
        <w:rPr>
          <w:i/>
          <w:iCs/>
        </w:rPr>
        <w:t>E85 Fuel Ethanol</w:t>
      </w:r>
      <w:r w:rsidRPr="001531CD">
        <w:t xml:space="preserve">―a blend of ethanol and hydrocarbons of which the ethanol portion is nominally </w:t>
      </w:r>
      <w:r w:rsidR="00315F7B" w:rsidRPr="001531CD">
        <w:br/>
      </w:r>
      <w:r w:rsidRPr="001531CD">
        <w:t>75 to 85 volume percent denatured fuel ethanol.</w:t>
      </w:r>
    </w:p>
    <w:p w14:paraId="3C12C55A" w14:textId="77777777" w:rsidR="00CF626A" w:rsidRPr="001531CD" w:rsidRDefault="00CF626A" w:rsidP="00A66724">
      <w:pPr>
        <w:pStyle w:val="1"/>
        <w:spacing w:after="80"/>
      </w:pPr>
      <w:r w:rsidRPr="001531CD">
        <w:rPr>
          <w:i/>
          <w:iCs/>
        </w:rPr>
        <w:t>Engine Fuel</w:t>
      </w:r>
      <w:r w:rsidRPr="001531CD">
        <w:t>―any liquid or gaseous matter used for the generation of power in an internal combustion engine.</w:t>
      </w:r>
    </w:p>
    <w:p w14:paraId="3729D747" w14:textId="77777777" w:rsidR="00CF626A" w:rsidRPr="001531CD" w:rsidRDefault="00CF626A" w:rsidP="00A66724">
      <w:pPr>
        <w:pStyle w:val="1"/>
        <w:spacing w:after="80"/>
      </w:pPr>
      <w:r w:rsidRPr="001531CD">
        <w:rPr>
          <w:i/>
          <w:iCs/>
        </w:rPr>
        <w:t>Engine Fuels Designed for Special Use</w:t>
      </w:r>
      <w:r w:rsidRPr="001531CD">
        <w:t>―engine fuels designated by the commissioner as requiring registration. These fuels normally do not have ASTM or other national consensus standards applying to their quality or usability; common special fuels are racing fuels and those intended for agricultural and other off-road applications.</w:t>
      </w:r>
    </w:p>
    <w:p w14:paraId="5B348081" w14:textId="77777777" w:rsidR="00CF626A" w:rsidRPr="001531CD" w:rsidRDefault="00CF626A" w:rsidP="00A66724">
      <w:pPr>
        <w:pStyle w:val="1"/>
        <w:spacing w:after="80"/>
      </w:pPr>
      <w:r w:rsidRPr="001531CD">
        <w:rPr>
          <w:i/>
          <w:iCs/>
        </w:rPr>
        <w:t>Ethanol or Denatured Fuel Ethanol</w:t>
      </w:r>
      <w:r w:rsidRPr="001531CD">
        <w:t>―nominally anhydrous ethyl alcohol meeting ASTM D 4806 standards. It is intended to be blended with gasoline for use as a fuel in a spark-ignition internal combustion engine.</w:t>
      </w:r>
    </w:p>
    <w:p w14:paraId="0832BA2C" w14:textId="77777777" w:rsidR="00CF626A" w:rsidRPr="001531CD" w:rsidRDefault="00CF626A" w:rsidP="00A66724">
      <w:pPr>
        <w:pStyle w:val="1"/>
        <w:spacing w:after="80"/>
      </w:pPr>
      <w:r w:rsidRPr="001531CD">
        <w:rPr>
          <w:i/>
          <w:iCs/>
        </w:rPr>
        <w:t>Fuel Oil</w:t>
      </w:r>
      <w:r w:rsidRPr="001531CD">
        <w:t>―refined oil middle distillates, heavy distillates, residues of refining, or blends of these suitable for use as a fuel for heating or power generation, the classification of which shall be defined by ASTM D 396.</w:t>
      </w:r>
    </w:p>
    <w:p w14:paraId="1D1CCD47" w14:textId="77777777" w:rsidR="00CF626A" w:rsidRPr="001531CD" w:rsidRDefault="00CF626A" w:rsidP="00A66724">
      <w:pPr>
        <w:pStyle w:val="1"/>
        <w:spacing w:after="80"/>
      </w:pPr>
      <w:r w:rsidRPr="001531CD">
        <w:rPr>
          <w:i/>
          <w:iCs/>
        </w:rPr>
        <w:t>Gasoline</w:t>
      </w:r>
      <w:r w:rsidRPr="001531CD">
        <w:t>―a volatile mixture of liquid hydrocarbons, generally containing small amounts of additives, suitable for use as a fuel in a spark-ignition internal combustion engine.</w:t>
      </w:r>
    </w:p>
    <w:p w14:paraId="74FBE578" w14:textId="77777777" w:rsidR="00CF626A" w:rsidRPr="001531CD" w:rsidRDefault="00CF626A" w:rsidP="00A66724">
      <w:pPr>
        <w:pStyle w:val="1"/>
        <w:spacing w:after="80"/>
      </w:pPr>
      <w:r w:rsidRPr="001531CD">
        <w:rPr>
          <w:i/>
          <w:iCs/>
        </w:rPr>
        <w:t>Gasoline-Alcohol Blend</w:t>
      </w:r>
      <w:r w:rsidRPr="001531CD">
        <w:t>―a fuel consisting primarily of gasoline and a substantial amount (more than 0.35 mass percent of oxygen, or more than 0.15 mass percent of oxygen if methanol is the only oxygenate) of one or more alcohols.</w:t>
      </w:r>
    </w:p>
    <w:p w14:paraId="7E9F3423" w14:textId="77777777" w:rsidR="00CF626A" w:rsidRPr="001531CD" w:rsidRDefault="00CF626A" w:rsidP="00A66724">
      <w:pPr>
        <w:pStyle w:val="1"/>
        <w:spacing w:after="80"/>
      </w:pPr>
      <w:r w:rsidRPr="001531CD">
        <w:rPr>
          <w:i/>
          <w:iCs/>
        </w:rPr>
        <w:t>Gasoline-Oxygenate Blend</w:t>
      </w:r>
      <w:r w:rsidRPr="001531CD">
        <w:t xml:space="preserve">―a fuel consisting primarily of gasoline along with a substantial amount (more than </w:t>
      </w:r>
      <w:r w:rsidR="00315F7B" w:rsidRPr="001531CD">
        <w:br/>
      </w:r>
      <w:r w:rsidRPr="001531CD">
        <w:t>0.35 mass percent of oxygen, or more than 0.15 mass percent of oxygen if methanol is the only oxygenate) of one or more oxygenates.</w:t>
      </w:r>
    </w:p>
    <w:p w14:paraId="3CA0132F" w14:textId="77777777" w:rsidR="00CF626A" w:rsidRPr="001531CD" w:rsidRDefault="00CF626A" w:rsidP="00A66724">
      <w:pPr>
        <w:pStyle w:val="1"/>
        <w:spacing w:after="80"/>
      </w:pPr>
      <w:r w:rsidRPr="001531CD">
        <w:rPr>
          <w:i/>
          <w:iCs/>
        </w:rPr>
        <w:t>Kerosene</w:t>
      </w:r>
      <w:r w:rsidRPr="001531CD">
        <w:t xml:space="preserve"> or </w:t>
      </w:r>
      <w:r w:rsidRPr="001531CD">
        <w:rPr>
          <w:i/>
          <w:iCs/>
        </w:rPr>
        <w:t>Kerosine</w:t>
      </w:r>
      <w:r w:rsidRPr="001531CD">
        <w:t>―a refined middle distillate suitable for use as a fuel for heating or illuminating, the classification of which shall be defined by ASTM D 3699.</w:t>
      </w:r>
    </w:p>
    <w:p w14:paraId="640CBE46" w14:textId="77777777" w:rsidR="00CF626A" w:rsidRPr="001531CD" w:rsidRDefault="00CF626A" w:rsidP="00A66724">
      <w:pPr>
        <w:pStyle w:val="1"/>
        <w:spacing w:after="80"/>
      </w:pPr>
      <w:r w:rsidRPr="001531CD">
        <w:rPr>
          <w:i/>
          <w:iCs/>
        </w:rPr>
        <w:t>Lead Substitute</w:t>
      </w:r>
      <w:r w:rsidRPr="001531CD">
        <w:t>―an EPA-registered gasoline additive suitable, when added in small amounts to fuel, to reduce or prevent exhaust valve recession (or seat wear) in automotive spark-ignition internal combustion engines designed to operate on leaded fuel.</w:t>
      </w:r>
    </w:p>
    <w:p w14:paraId="57EC7937" w14:textId="77777777" w:rsidR="00CF626A" w:rsidRPr="001531CD" w:rsidRDefault="00CF626A" w:rsidP="00A66724">
      <w:pPr>
        <w:pStyle w:val="1"/>
        <w:spacing w:after="60"/>
      </w:pPr>
      <w:r w:rsidRPr="001531CD">
        <w:rPr>
          <w:i/>
          <w:iCs/>
        </w:rPr>
        <w:t>Lead Substitute Engine Fuel</w:t>
      </w:r>
      <w:r w:rsidRPr="001531CD">
        <w:t>―for labeling purposes, a gasoline or gasoline-oxygenate blend that contains a "lead substitute."</w:t>
      </w:r>
    </w:p>
    <w:p w14:paraId="25F32180" w14:textId="77777777" w:rsidR="00CF626A" w:rsidRPr="001531CD" w:rsidRDefault="00CF626A" w:rsidP="00A66724">
      <w:pPr>
        <w:pStyle w:val="1"/>
        <w:spacing w:after="60"/>
      </w:pPr>
      <w:r w:rsidRPr="001531CD">
        <w:rPr>
          <w:i/>
          <w:iCs/>
        </w:rPr>
        <w:t>Leaded</w:t>
      </w:r>
      <w:r w:rsidRPr="001531CD">
        <w:t>―for labeling purposes, any gasoline or gasoline-oxygenate blend that contains more than 0.013 g of lead per liter (0.05 g lead per U.S. gal).</w:t>
      </w:r>
      <w:r w:rsidRPr="001531CD">
        <w:rPr>
          <w:vertAlign w:val="superscript"/>
        </w:rPr>
        <w:t>2</w:t>
      </w:r>
    </w:p>
    <w:p w14:paraId="7B590243" w14:textId="77777777" w:rsidR="00CF626A" w:rsidRPr="001531CD" w:rsidRDefault="00CF626A" w:rsidP="00A66724">
      <w:pPr>
        <w:pStyle w:val="1"/>
        <w:spacing w:after="60"/>
      </w:pPr>
      <w:r w:rsidRPr="001531CD">
        <w:rPr>
          <w:i/>
          <w:iCs/>
        </w:rPr>
        <w:t>Low Sulfur</w:t>
      </w:r>
      <w:r w:rsidRPr="001531CD">
        <w:t>―low sulfur diesel fuel that meets ASTM D 975 standards, e.g., Grade Low Sulfur No. 1-D or Grade Low Sulfur No. 2-D.</w:t>
      </w:r>
    </w:p>
    <w:p w14:paraId="20B8D195" w14:textId="77777777" w:rsidR="00CF626A" w:rsidRPr="001531CD" w:rsidRDefault="00CF626A" w:rsidP="00A66724">
      <w:pPr>
        <w:pStyle w:val="1"/>
        <w:spacing w:after="60"/>
      </w:pPr>
      <w:r w:rsidRPr="001531CD">
        <w:rPr>
          <w:i/>
          <w:iCs/>
        </w:rPr>
        <w:lastRenderedPageBreak/>
        <w:t>Low Temperature Operability</w:t>
      </w:r>
      <w:r w:rsidRPr="001531CD">
        <w:t>―a condition that allows the uninterrupted operation of a diesel engine through the continuous flow of fuel throughout its fuel delivery system at low temperatures. Fuels with adequate low temperature operability characteristics have the ability to avoid wax precipitation and clogging in fuel filters.</w:t>
      </w:r>
    </w:p>
    <w:p w14:paraId="6D4D03BD" w14:textId="77777777" w:rsidR="00CF626A" w:rsidRPr="001531CD" w:rsidRDefault="00CF626A" w:rsidP="00A66724">
      <w:pPr>
        <w:pStyle w:val="1"/>
      </w:pPr>
      <w:r w:rsidRPr="001531CD">
        <w:rPr>
          <w:i/>
          <w:iCs/>
        </w:rPr>
        <w:t>Lubricity</w:t>
      </w:r>
      <w:r w:rsidRPr="001531CD">
        <w:t>―a qualitative term describing the ability of a fluid to affect friction between surfaces and wear to surfaces in relative motion under load.</w:t>
      </w:r>
    </w:p>
    <w:p w14:paraId="3E9555DB" w14:textId="77777777" w:rsidR="00CF626A" w:rsidRPr="001531CD" w:rsidRDefault="00CF626A" w:rsidP="00A66724">
      <w:pPr>
        <w:pStyle w:val="1"/>
        <w:spacing w:after="80"/>
      </w:pPr>
      <w:r w:rsidRPr="001531CD">
        <w:rPr>
          <w:i/>
          <w:iCs/>
        </w:rPr>
        <w:t>M100 Fuel Methanol</w:t>
      </w:r>
      <w:r w:rsidRPr="001531CD">
        <w:t>―nominally anhydrous methyl alcohol, generally containing small amounts of additives, suitable for use as a fuel in a compression-ignition internal combustion engine.</w:t>
      </w:r>
    </w:p>
    <w:p w14:paraId="020B977E" w14:textId="77777777" w:rsidR="00CF626A" w:rsidRPr="001531CD" w:rsidRDefault="00CF626A" w:rsidP="00A66724">
      <w:pPr>
        <w:pStyle w:val="1"/>
        <w:spacing w:after="80"/>
      </w:pPr>
      <w:r w:rsidRPr="001531CD">
        <w:rPr>
          <w:i/>
          <w:iCs/>
        </w:rPr>
        <w:t>M85 Fuel Methanol</w:t>
      </w:r>
      <w:r w:rsidRPr="001531CD">
        <w:t>―a blend of methanol and hydrocarbons of which the methanol portion is nominally 70 to 85 volume percent.</w:t>
      </w:r>
    </w:p>
    <w:p w14:paraId="11BF6397" w14:textId="77777777" w:rsidR="00CF626A" w:rsidRPr="001531CD" w:rsidRDefault="00CF626A" w:rsidP="00A66724">
      <w:pPr>
        <w:pStyle w:val="1"/>
        <w:spacing w:after="80"/>
      </w:pPr>
      <w:r w:rsidRPr="001531CD">
        <w:rPr>
          <w:i/>
          <w:iCs/>
        </w:rPr>
        <w:t>Motor Octane Number or MON</w:t>
      </w:r>
      <w:r w:rsidRPr="001531CD">
        <w:t>―a numerical indication of a spark-ignition engine fuel's resistance to knock obtained by comparison with reference fuels in a standardized ASTM D 2700 Motor Method engine test.</w:t>
      </w:r>
    </w:p>
    <w:p w14:paraId="765C4EC7" w14:textId="77777777" w:rsidR="00CF626A" w:rsidRPr="001531CD" w:rsidRDefault="00CF626A" w:rsidP="00A66724">
      <w:pPr>
        <w:pStyle w:val="1"/>
        <w:spacing w:after="80"/>
      </w:pPr>
      <w:r w:rsidRPr="001531CD">
        <w:rPr>
          <w:i/>
          <w:iCs/>
        </w:rPr>
        <w:t>Oxygen Content of Gasoline</w:t>
      </w:r>
      <w:r w:rsidRPr="001531CD">
        <w:t>―the percentage of oxygen by mass contained in a gasoline.</w:t>
      </w:r>
    </w:p>
    <w:p w14:paraId="4E471E9B" w14:textId="77777777" w:rsidR="00CF626A" w:rsidRPr="001531CD" w:rsidRDefault="00CF626A">
      <w:pPr>
        <w:pStyle w:val="1"/>
      </w:pPr>
      <w:r w:rsidRPr="001531CD">
        <w:rPr>
          <w:i/>
          <w:iCs/>
        </w:rPr>
        <w:t>Oxygenate</w:t>
      </w:r>
      <w:r w:rsidRPr="001531CD">
        <w:t>―an oxygen-containing, ashless, organic compound, such as an alcohol or ether, which can be used as a fuel or fuel supplement.</w:t>
      </w:r>
    </w:p>
    <w:p w14:paraId="196DF2F5" w14:textId="77777777" w:rsidR="00CF626A" w:rsidRPr="001531CD" w:rsidRDefault="00CF626A">
      <w:pPr>
        <w:pStyle w:val="1"/>
      </w:pPr>
      <w:r w:rsidRPr="001531CD">
        <w:rPr>
          <w:i/>
          <w:iCs/>
        </w:rPr>
        <w:t>Reformulated Gasoline</w:t>
      </w:r>
      <w:r w:rsidRPr="001531CD">
        <w:t>―a volatile mixture of liquid hydrocarbons and oxygenates meeting the reformulated gasoline requirements of the Clean Air Act Amendments of 1990 and suitable for use as a fuel in a spark-ignition internal combustion engine.</w:t>
      </w:r>
    </w:p>
    <w:p w14:paraId="2A0E61E5" w14:textId="77777777" w:rsidR="00CF626A" w:rsidRPr="001531CD" w:rsidRDefault="00CF626A">
      <w:pPr>
        <w:pStyle w:val="1"/>
      </w:pPr>
      <w:r w:rsidRPr="001531CD">
        <w:rPr>
          <w:i/>
          <w:iCs/>
        </w:rPr>
        <w:t>Research Octane Number</w:t>
      </w:r>
      <w:r w:rsidRPr="001531CD">
        <w:t xml:space="preserve"> or </w:t>
      </w:r>
      <w:r w:rsidRPr="001531CD">
        <w:rPr>
          <w:i/>
          <w:iCs/>
        </w:rPr>
        <w:t>RON</w:t>
      </w:r>
      <w:r w:rsidRPr="001531CD">
        <w:t>―a numerical indication of a spark-ignition engine fuel's resistance to knock obtained by comparison with reference fuels in a standardized ASTM D 2699 Research Method engine test.</w:t>
      </w:r>
    </w:p>
    <w:p w14:paraId="04CE4D36" w14:textId="77777777" w:rsidR="00CF626A" w:rsidRPr="001531CD" w:rsidRDefault="00CF626A">
      <w:pPr>
        <w:pStyle w:val="1"/>
      </w:pPr>
      <w:r w:rsidRPr="001531CD">
        <w:rPr>
          <w:i/>
          <w:iCs/>
        </w:rPr>
        <w:t>SAE</w:t>
      </w:r>
      <w:r w:rsidRPr="001531CD">
        <w:t>―the Society of Automotive Engineers, a technical organization for engineers, scientists, technicians, and others in positions that cooperate closely in the engineering, design, manufacture, use, and maintainability of self-propelled vehicles.</w:t>
      </w:r>
    </w:p>
    <w:p w14:paraId="7974BAE0" w14:textId="77777777" w:rsidR="00CF626A" w:rsidRPr="001531CD" w:rsidRDefault="00CF626A">
      <w:pPr>
        <w:pStyle w:val="1"/>
      </w:pPr>
      <w:r w:rsidRPr="001531CD">
        <w:rPr>
          <w:i/>
          <w:iCs/>
        </w:rPr>
        <w:t>Substantially Similar</w:t>
      </w:r>
      <w:r w:rsidRPr="001531CD">
        <w:t>―the EPA's "Substantially Similar" rule, Section 211(f) of the Clean Air Act [42 U.S.C. 7545(f)].</w:t>
      </w:r>
    </w:p>
    <w:p w14:paraId="0E320E4D" w14:textId="77777777" w:rsidR="00CF626A" w:rsidRPr="001531CD" w:rsidRDefault="00CF626A">
      <w:pPr>
        <w:pStyle w:val="1"/>
      </w:pPr>
      <w:r w:rsidRPr="001531CD">
        <w:rPr>
          <w:i/>
          <w:iCs/>
        </w:rPr>
        <w:t>Thermal Stability</w:t>
      </w:r>
      <w:r w:rsidRPr="001531CD">
        <w:t>―the ability of a fuel to resist the thermal stress that is experienced by the fuel when exposed to high temperatures in a fuel delivery system.</w:t>
      </w:r>
    </w:p>
    <w:p w14:paraId="315B5B3E" w14:textId="77777777" w:rsidR="00CF626A" w:rsidRPr="001531CD" w:rsidRDefault="00CF626A">
      <w:pPr>
        <w:pStyle w:val="1"/>
      </w:pPr>
      <w:r w:rsidRPr="001531CD">
        <w:rPr>
          <w:i/>
          <w:iCs/>
        </w:rPr>
        <w:t>Total Alcohol</w:t>
      </w:r>
      <w:r w:rsidRPr="001531CD">
        <w:t>―the aggregate total in volume percent of all alcohol contained in any fu</w:t>
      </w:r>
      <w:r w:rsidR="00315F7B" w:rsidRPr="001531CD">
        <w:t>el defined in this Subchapter.</w:t>
      </w:r>
    </w:p>
    <w:p w14:paraId="18C82701" w14:textId="77777777" w:rsidR="00CF626A" w:rsidRPr="001531CD" w:rsidRDefault="00CF626A">
      <w:pPr>
        <w:pStyle w:val="1"/>
      </w:pPr>
      <w:r w:rsidRPr="001531CD">
        <w:rPr>
          <w:i/>
          <w:iCs/>
        </w:rPr>
        <w:t>Total Oxygenate</w:t>
      </w:r>
      <w:r w:rsidRPr="001531CD">
        <w:t>―the aggregate total in volume percent of all oxygenates contained in any fuel defined in this Subchapter.</w:t>
      </w:r>
    </w:p>
    <w:p w14:paraId="518CFDCC" w14:textId="77777777" w:rsidR="00CF626A" w:rsidRPr="001531CD" w:rsidRDefault="00CF626A">
      <w:pPr>
        <w:pStyle w:val="1"/>
      </w:pPr>
      <w:r w:rsidRPr="001531CD">
        <w:rPr>
          <w:i/>
          <w:iCs/>
        </w:rPr>
        <w:t xml:space="preserve">Unleaded </w:t>
      </w:r>
      <w:r w:rsidRPr="001531CD">
        <w:t xml:space="preserve">(when used in conjunction with </w:t>
      </w:r>
      <w:r w:rsidRPr="001531CD">
        <w:rPr>
          <w:i/>
          <w:iCs/>
        </w:rPr>
        <w:t>engine fuel</w:t>
      </w:r>
      <w:r w:rsidRPr="001531CD">
        <w:t xml:space="preserve"> or </w:t>
      </w:r>
      <w:r w:rsidRPr="001531CD">
        <w:rPr>
          <w:i/>
          <w:iCs/>
        </w:rPr>
        <w:t>gasoline</w:t>
      </w:r>
      <w:r w:rsidRPr="001531CD">
        <w:t xml:space="preserve">)―any gasoline or gasoline-oxygenate blend to which no lead or phosphorus compounds have been intentionally added and which contains not more than </w:t>
      </w:r>
      <w:r w:rsidR="00315F7B" w:rsidRPr="001531CD">
        <w:br/>
      </w:r>
      <w:r w:rsidRPr="001531CD">
        <w:t xml:space="preserve">0.013 gram of lead per liter (0.05 g lead per U.S. gal) and not </w:t>
      </w:r>
      <w:r w:rsidRPr="001531CD">
        <w:t>more than 0.0013 gram of phosphorus per liter (0.005 g phosphorus per U.S. gal).</w:t>
      </w:r>
    </w:p>
    <w:p w14:paraId="28F149F0" w14:textId="77777777" w:rsidR="00CF626A" w:rsidRPr="001531CD" w:rsidRDefault="00CF626A">
      <w:pPr>
        <w:pStyle w:val="1"/>
      </w:pPr>
      <w:r w:rsidRPr="001531CD">
        <w:rPr>
          <w:i/>
          <w:iCs/>
        </w:rPr>
        <w:t>Wholesale Purchaser Consumer</w:t>
      </w:r>
      <w:r w:rsidRPr="001531CD">
        <w:t>―any person who is an ultimate consumer of gasoline, fuel methanol, fuel ethanol, diesel fuel, biodiesel, fuel oil, kerosene, aviation turbine fuel, or aviation gasoline and who purchases or obtains the product from a supplier and receives delivery of that product into a storage tank.</w:t>
      </w:r>
    </w:p>
    <w:p w14:paraId="4BAE32F6" w14:textId="77777777" w:rsidR="00CF626A" w:rsidRPr="001531CD" w:rsidRDefault="00CF626A">
      <w:pPr>
        <w:pStyle w:val="LACNote"/>
        <w:spacing w:after="0"/>
        <w:ind w:left="331" w:right="288" w:hanging="43"/>
      </w:pPr>
      <w:r w:rsidRPr="001531CD">
        <w:rPr>
          <w:vertAlign w:val="superscript"/>
        </w:rPr>
        <w:t>1</w:t>
      </w:r>
      <w:r w:rsidRPr="001531CD">
        <w:t>16 CFR Part 306, adopted pursuant to 15 U.S.C. 2801, et seq.</w:t>
      </w:r>
    </w:p>
    <w:p w14:paraId="74E5D8BD" w14:textId="77777777" w:rsidR="00CF626A" w:rsidRPr="001531CD" w:rsidRDefault="00CF626A">
      <w:pPr>
        <w:pStyle w:val="LACNote"/>
        <w:spacing w:after="0"/>
        <w:ind w:left="346" w:right="288" w:hanging="58"/>
      </w:pPr>
      <w:r w:rsidRPr="001531CD">
        <w:rPr>
          <w:vertAlign w:val="superscript"/>
        </w:rPr>
        <w:t>2</w:t>
      </w:r>
      <w:r w:rsidRPr="001531CD">
        <w:t>NOTE: EPA defines leaded fuel as one which contains more than 0.0013 g of phosphorus per liter (0.005 g per U.S. gal), or any fuel to which lead or phosphorus is intentionally added.</w:t>
      </w:r>
    </w:p>
    <w:p w14:paraId="30B8AE8A" w14:textId="77777777" w:rsidR="00CF626A" w:rsidRPr="001531CD" w:rsidRDefault="008C7B85">
      <w:pPr>
        <w:pStyle w:val="AuthorityNote"/>
        <w:spacing w:before="120"/>
      </w:pPr>
      <w:r w:rsidRPr="00550D56">
        <w:t>AUTHORITY NOTE:</w:t>
      </w:r>
      <w:r w:rsidRPr="00550D56">
        <w:tab/>
        <w:t>Promulgated in accordance with R.S. 3:4671, 4673, 4680, and 4681.</w:t>
      </w:r>
    </w:p>
    <w:p w14:paraId="380CC2EB"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8B40FB" w:rsidRPr="001531CD">
        <w:t>asures, LR 31:28 (January 2005), amended by the Department of Agriculture and Forestry, Office of Agro-Consumer Servi</w:t>
      </w:r>
      <w:r w:rsidR="008C7B85">
        <w:t xml:space="preserve">ces, LR 34:2548 (December 2008), </w:t>
      </w:r>
      <w:r w:rsidR="008C7B85" w:rsidRPr="00550D56">
        <w:t>amended by the Department of Agriculture and Forestry, Office of Agro-Consumer Services, Division of Weights and Measu</w:t>
      </w:r>
      <w:r w:rsidR="008C7B85">
        <w:t>res, LR 41:2099</w:t>
      </w:r>
      <w:r w:rsidR="008C7B85" w:rsidRPr="007B1D05">
        <w:t xml:space="preserve"> (October 2015).</w:t>
      </w:r>
    </w:p>
    <w:p w14:paraId="5C9E8298" w14:textId="77777777" w:rsidR="00CF626A" w:rsidRPr="001531CD" w:rsidRDefault="00CF626A">
      <w:pPr>
        <w:pStyle w:val="Section"/>
      </w:pPr>
      <w:bookmarkStart w:id="3081" w:name="_Toc256755110"/>
      <w:bookmarkStart w:id="3082" w:name="_Toc224819498"/>
      <w:r w:rsidRPr="001531CD">
        <w:t>§303.</w:t>
      </w:r>
      <w:r w:rsidRPr="001531CD">
        <w:tab/>
        <w:t>Standard Fuel Specifications for Gasoline and Gasoline-Oxygenate Blends</w:t>
      </w:r>
      <w:bookmarkEnd w:id="3081"/>
      <w:bookmarkEnd w:id="3082"/>
    </w:p>
    <w:p w14:paraId="4804D729" w14:textId="77777777" w:rsidR="00CF626A" w:rsidRPr="001531CD" w:rsidRDefault="00CF626A">
      <w:pPr>
        <w:pStyle w:val="A"/>
      </w:pPr>
      <w:r w:rsidRPr="001531CD">
        <w:t>A.</w:t>
      </w:r>
      <w:r w:rsidRPr="001531CD">
        <w:tab/>
        <w:t>Gasoline and gasoline-oxygenate blends sold, offered for sale, or distributed in Louisiana shall meet the following requirements.</w:t>
      </w:r>
    </w:p>
    <w:p w14:paraId="7CBF26D8" w14:textId="77777777" w:rsidR="00CF626A" w:rsidRPr="001531CD" w:rsidRDefault="00CF626A">
      <w:pPr>
        <w:pStyle w:val="1"/>
      </w:pPr>
      <w:r w:rsidRPr="001531CD">
        <w:t>1.</w:t>
      </w:r>
      <w:r w:rsidRPr="001531CD">
        <w:tab/>
        <w:t>The latest revision of ASTM D 4814, "Standard Specification for Automotive Spark-Ignition Engine Fuel," as approved and published by ASTM International, except that volatility standards for unleaded gasoline blended with ethanol shall not be more restrictive than those adopted under the rules, regulations, and Clean Air Act waivers of the U.S. Environmental Protection Agency.</w:t>
      </w:r>
      <w:r w:rsidRPr="001531CD">
        <w:rPr>
          <w:vertAlign w:val="superscript"/>
        </w:rPr>
        <w:t xml:space="preserve">1 </w:t>
      </w:r>
      <w:r w:rsidRPr="001531CD">
        <w:t>Gasoline blended with ethanol shall be blended under any of the following three options:</w:t>
      </w:r>
    </w:p>
    <w:p w14:paraId="4C421C56" w14:textId="77777777" w:rsidR="00CF626A" w:rsidRPr="001531CD" w:rsidRDefault="00CF626A">
      <w:pPr>
        <w:pStyle w:val="a0"/>
      </w:pPr>
      <w:r w:rsidRPr="001531CD">
        <w:t>a.</w:t>
      </w:r>
      <w:r w:rsidRPr="001531CD">
        <w:tab/>
        <w:t>the base gasoline used in such blends shall meet the requirements of the latest revision of ASTM D 4814; or</w:t>
      </w:r>
    </w:p>
    <w:p w14:paraId="1F45F06D" w14:textId="77777777" w:rsidR="00CF626A" w:rsidRPr="001531CD" w:rsidRDefault="00CF626A">
      <w:pPr>
        <w:pStyle w:val="a0"/>
      </w:pPr>
      <w:r w:rsidRPr="001531CD">
        <w:t>b.</w:t>
      </w:r>
      <w:r w:rsidRPr="001531CD">
        <w:tab/>
        <w:t>the blend shall meet the requirements of the latest revision of ASTM D 4814; or</w:t>
      </w:r>
    </w:p>
    <w:p w14:paraId="59254FA0" w14:textId="77777777" w:rsidR="00CF626A" w:rsidRPr="001531CD" w:rsidRDefault="00CF626A">
      <w:pPr>
        <w:pStyle w:val="a0"/>
      </w:pPr>
      <w:r w:rsidRPr="001531CD">
        <w:t>c.</w:t>
      </w:r>
      <w:r w:rsidRPr="001531CD">
        <w:tab/>
        <w:t>the base gasoline used in such blends shall meet all the requirements of the latest revision of ASTM D 4814 except distillation, and the blend shall meet the distillation requirements of the ASTM specification.</w:t>
      </w:r>
    </w:p>
    <w:p w14:paraId="076C98A7" w14:textId="77777777" w:rsidR="000028EE" w:rsidRPr="001531CD" w:rsidRDefault="000028EE" w:rsidP="000028EE">
      <w:pPr>
        <w:pStyle w:val="1"/>
      </w:pPr>
      <w:r w:rsidRPr="001531CD">
        <w:t>2.</w:t>
      </w:r>
      <w:r w:rsidRPr="001531CD">
        <w:tab/>
        <w:t>Blends of gasoline and ethanol shall not exceed the ASTM D 4814 vapor pressure standard by more than 1.0 pounds per square inch (psi).</w:t>
      </w:r>
    </w:p>
    <w:p w14:paraId="6C28E4E1" w14:textId="77777777" w:rsidR="00CF626A" w:rsidRPr="001531CD" w:rsidRDefault="00CF626A">
      <w:pPr>
        <w:pStyle w:val="1"/>
      </w:pPr>
      <w:r w:rsidRPr="001531CD">
        <w:t>3.</w:t>
      </w:r>
      <w:r w:rsidRPr="001531CD">
        <w:tab/>
        <w:t>The Antiknock Index (AKI) shall not be less than the AKI posted on the product dispenser or as certified on the invoice, bill of lading, shipping paper, or other documentation.</w:t>
      </w:r>
    </w:p>
    <w:p w14:paraId="77E17E00" w14:textId="77777777" w:rsidR="00CF626A" w:rsidRPr="001531CD" w:rsidRDefault="00CF626A">
      <w:pPr>
        <w:pStyle w:val="1"/>
      </w:pPr>
      <w:r w:rsidRPr="001531CD">
        <w:t>4.</w:t>
      </w:r>
      <w:r w:rsidRPr="001531CD">
        <w:tab/>
        <w:t>The minimum motor octane number shall not be less than 82 for gasoline with an AKI of 87 or greater.</w:t>
      </w:r>
    </w:p>
    <w:p w14:paraId="20ABC65B" w14:textId="77777777" w:rsidR="00CF626A" w:rsidRPr="001531CD" w:rsidRDefault="00CF626A">
      <w:pPr>
        <w:pStyle w:val="1"/>
      </w:pPr>
      <w:r w:rsidRPr="001531CD">
        <w:lastRenderedPageBreak/>
        <w:t>5.</w:t>
      </w:r>
      <w:r w:rsidRPr="001531CD">
        <w:tab/>
        <w:t>Gasoline and gasoline-oxygenate blends sold as "leaded" shall contain a minimum of 0.013 gram of lead per liter (0.05 g per U.S. gal).</w:t>
      </w:r>
    </w:p>
    <w:p w14:paraId="78E54A60" w14:textId="77777777" w:rsidR="00CF626A" w:rsidRPr="001531CD" w:rsidRDefault="00CF626A">
      <w:pPr>
        <w:pStyle w:val="1"/>
      </w:pPr>
      <w:r w:rsidRPr="001531CD">
        <w:t>6.</w:t>
      </w:r>
      <w:r w:rsidRPr="001531CD">
        <w:tab/>
        <w:t>Gasoline and gasoline-oxygenate blends sold as "lead substitute" gasoline shall contain a lead substitute which provides protection against exhaust valve seat recession equivalent to at least 0.026 gram of lead per liter (0.10 g per U.S. gal).</w:t>
      </w:r>
    </w:p>
    <w:p w14:paraId="0F63435B" w14:textId="77777777" w:rsidR="00CF626A" w:rsidRPr="001531CD" w:rsidRDefault="00CF626A">
      <w:pPr>
        <w:pStyle w:val="a0"/>
      </w:pPr>
      <w:r w:rsidRPr="001531CD">
        <w:t>a.</w:t>
      </w:r>
      <w:r w:rsidRPr="001531CD">
        <w:tab/>
        <w:t>Upon the request of the commissioner, the lead substitute additive manufacturer shall provide documentation to the commissioner that demonstrates that the treatment level recommended by the additive manufacturer provides protection against exhaust valve seat recession equivalent to or better than 0.026 gram per liter (0.1 g per U.S. gal) lead. The commissioner may review the documentation and approve the lead substitute additive before such additive is blended into gasoline. This documentation shall consist of:</w:t>
      </w:r>
    </w:p>
    <w:p w14:paraId="6E1BC4E9" w14:textId="77777777" w:rsidR="00CF626A" w:rsidRPr="001531CD" w:rsidRDefault="00CF626A">
      <w:pPr>
        <w:pStyle w:val="i0"/>
      </w:pPr>
      <w:r w:rsidRPr="001531CD">
        <w:tab/>
        <w:t>i.</w:t>
      </w:r>
      <w:r w:rsidRPr="001531CD">
        <w:tab/>
        <w:t>test results as published in the Federal Register by the EPA Administrator as required in Section 211(f)(2) of the Clean Air Act; or</w:t>
      </w:r>
    </w:p>
    <w:p w14:paraId="3A5E0A18" w14:textId="77777777" w:rsidR="00CF626A" w:rsidRPr="001531CD" w:rsidRDefault="00CF626A">
      <w:pPr>
        <w:pStyle w:val="i0"/>
      </w:pPr>
      <w:r w:rsidRPr="001531CD">
        <w:tab/>
        <w:t>ii.</w:t>
      </w:r>
      <w:r w:rsidRPr="001531CD">
        <w:tab/>
        <w:t>until such time as the EPA Administrator develops and publishes a test procedure to determine the additive's effectiveness in reducing valve seat wear, test results and description of the test procedures used in comparing the effectiveness of 0.026 gram per liter lead and the recommended treatment level of the lead substitute additive shall be provided.</w:t>
      </w:r>
    </w:p>
    <w:p w14:paraId="44B6007A" w14:textId="77777777" w:rsidR="00CF626A" w:rsidRPr="001531CD" w:rsidRDefault="00CF626A">
      <w:pPr>
        <w:pStyle w:val="1"/>
      </w:pPr>
      <w:r w:rsidRPr="001531CD">
        <w:t>7.</w:t>
      </w:r>
      <w:r w:rsidRPr="001531CD">
        <w:tab/>
        <w:t>Blending. Leaded, lead substitute, and unleaded gasoline-oxygenate blends shall be blended according to the EPA "substantially similar" rule or an EPA waiver for unleaded fuel.</w:t>
      </w:r>
    </w:p>
    <w:p w14:paraId="153D2649" w14:textId="77777777" w:rsidR="00CF626A" w:rsidRPr="001531CD" w:rsidRDefault="00CF626A">
      <w:pPr>
        <w:pStyle w:val="1"/>
      </w:pPr>
      <w:r w:rsidRPr="001531CD">
        <w:t>8.</w:t>
      </w:r>
      <w:r w:rsidRPr="001531CD">
        <w:tab/>
        <w:t>Gasoline or gasoline-oxygenate blends sold or delivered to consumers in Louisiana shall meet all the foregoing specifications and, in addition, shall have on all retail pumps a posted Antiknock Index. The Antiknock Index of the gasoline or gasoline-oxygenate blend shall not be less than the Antiknock Index posted on the pump.</w:t>
      </w:r>
    </w:p>
    <w:p w14:paraId="65F26974" w14:textId="77777777" w:rsidR="00CF626A" w:rsidRPr="001531CD" w:rsidRDefault="00CF626A">
      <w:pPr>
        <w:pStyle w:val="LACNote"/>
        <w:spacing w:after="0"/>
        <w:ind w:left="331" w:right="288" w:hanging="43"/>
      </w:pPr>
      <w:r w:rsidRPr="001531CD">
        <w:rPr>
          <w:vertAlign w:val="superscript"/>
        </w:rPr>
        <w:t>1</w:t>
      </w:r>
      <w:r w:rsidRPr="001531CD">
        <w:t>For referenced ASTM standards, visit the ASTM website, www.astm.org, or contact ASTM Customer Service at service@astm.org. Copies of referenced ASTM standards may be obtained from ASTM International, 100 Barr Harbor Drive, P.O. Box C700, West Conshohocken, Pa 19428-2959, Tel: (610) 832-9500, Fax: (610) 832-9555 or may be inspected at the Division of Weights and Measures, Department of Agriculture and Forestry, 5825 Florida Blvd., Baton Rouge, LA 70806.</w:t>
      </w:r>
    </w:p>
    <w:p w14:paraId="1FC4640E" w14:textId="77777777" w:rsidR="00CF626A" w:rsidRPr="001531CD" w:rsidRDefault="00CF626A">
      <w:pPr>
        <w:pStyle w:val="AuthorityNote"/>
        <w:spacing w:before="120"/>
      </w:pPr>
      <w:r w:rsidRPr="001531CD">
        <w:t>AUTHORITY NOTE:</w:t>
      </w:r>
      <w:r w:rsidRPr="001531CD">
        <w:tab/>
        <w:t>Promulgated in accordance with R.S. 3:4671, 4673, 4680, and 4681.</w:t>
      </w:r>
    </w:p>
    <w:p w14:paraId="4C3F298D" w14:textId="77777777" w:rsidR="000028EE" w:rsidRPr="001531CD" w:rsidRDefault="00CF626A" w:rsidP="000028EE">
      <w:pPr>
        <w:pStyle w:val="HistoricalNote"/>
      </w:pPr>
      <w:r w:rsidRPr="001531CD">
        <w:t>HISTORICAL NOTE:</w:t>
      </w:r>
      <w:r w:rsidRPr="001531CD">
        <w:tab/>
        <w:t>Promulgated by the Department of Agriculture and Forestry, Office of Agro-Consumer Services, Division of Weights and Measures, LR 31:29 (January 2005)</w:t>
      </w:r>
      <w:r w:rsidR="000028EE" w:rsidRPr="001531CD">
        <w:t>, amended by the Department of Agriculture and Forestry, Office of Agro-Consumer Services, LR 34:2549 (December 2008).</w:t>
      </w:r>
    </w:p>
    <w:p w14:paraId="2E29F677" w14:textId="77777777" w:rsidR="00CF626A" w:rsidRPr="001531CD" w:rsidRDefault="00CF626A">
      <w:pPr>
        <w:pStyle w:val="Section"/>
      </w:pPr>
      <w:bookmarkStart w:id="3083" w:name="_Toc256755111"/>
      <w:bookmarkStart w:id="3084" w:name="_Toc224819499"/>
      <w:r w:rsidRPr="001531CD">
        <w:t>§305.</w:t>
      </w:r>
      <w:r w:rsidRPr="001531CD">
        <w:tab/>
        <w:t>Standard Fuel Specifications for Diesel Fuel</w:t>
      </w:r>
      <w:bookmarkEnd w:id="3083"/>
      <w:bookmarkEnd w:id="3084"/>
    </w:p>
    <w:p w14:paraId="1AE110D2" w14:textId="77777777" w:rsidR="00CF626A" w:rsidRPr="001531CD" w:rsidRDefault="00CF626A">
      <w:pPr>
        <w:pStyle w:val="A"/>
      </w:pPr>
      <w:r w:rsidRPr="001531CD">
        <w:t>A.</w:t>
      </w:r>
      <w:r w:rsidRPr="001531CD">
        <w:tab/>
        <w:t>Diesel fuel sold, offered for sale, or distributed in Louisiana shall meet the following requirements.</w:t>
      </w:r>
    </w:p>
    <w:p w14:paraId="474EF6BF" w14:textId="77777777" w:rsidR="00CF626A" w:rsidRPr="001531CD" w:rsidRDefault="00CF626A">
      <w:pPr>
        <w:pStyle w:val="1"/>
      </w:pPr>
      <w:r w:rsidRPr="001531CD">
        <w:t>1.</w:t>
      </w:r>
      <w:r w:rsidRPr="001531CD">
        <w:tab/>
        <w:t xml:space="preserve">The latest revision of ASTM D 975, "Standard Specification for Diesel Fuel Oils," as approved and </w:t>
      </w:r>
      <w:r w:rsidRPr="001531CD">
        <w:t>published by ASTM International except that the requirements of the lubricity standard incorporated in ASTM D 975 shall not be mandatory until January 1, 2006.</w:t>
      </w:r>
      <w:r w:rsidRPr="001531CD">
        <w:rPr>
          <w:vertAlign w:val="superscript"/>
        </w:rPr>
        <w:t>1</w:t>
      </w:r>
    </w:p>
    <w:p w14:paraId="3B5CC88A" w14:textId="77777777" w:rsidR="00CF626A" w:rsidRPr="001531CD" w:rsidRDefault="00CF626A">
      <w:pPr>
        <w:pStyle w:val="1"/>
      </w:pPr>
      <w:r w:rsidRPr="001531CD">
        <w:t>2.</w:t>
      </w:r>
      <w:r w:rsidRPr="001531CD">
        <w:tab/>
        <w:t>All diesel fuels identified on retail dispensers, bills of lading, invoices, shipping papers, or other documentation with terms such as premium, super, supreme, plus, or premier must conform to at least two of the requirements in Subparagraphs a-e.</w:t>
      </w:r>
    </w:p>
    <w:p w14:paraId="71863716" w14:textId="77777777" w:rsidR="00CF626A" w:rsidRPr="001531CD" w:rsidRDefault="00CF626A">
      <w:pPr>
        <w:pStyle w:val="a0"/>
      </w:pPr>
      <w:r w:rsidRPr="001531CD">
        <w:t>a.</w:t>
      </w:r>
      <w:r w:rsidRPr="001531CD">
        <w:tab/>
        <w:t>Cetane Number. A minimum cetane number of 47.0 as determined by ASTM Standard Test Method D 613.</w:t>
      </w:r>
    </w:p>
    <w:p w14:paraId="44FC48D8" w14:textId="77777777" w:rsidR="00CF626A" w:rsidRPr="001531CD" w:rsidRDefault="00CF626A">
      <w:pPr>
        <w:pStyle w:val="a0"/>
      </w:pPr>
      <w:r w:rsidRPr="001531CD">
        <w:t>b.</w:t>
      </w:r>
      <w:r w:rsidRPr="001531CD">
        <w:tab/>
        <w:t>Low Temperature Operability. A cold flow performance measurement which meets the ASTM D 975 tenth percentile minimum ambient air temperature charts and maps by either ASTM Standard Test Method D 2500 (Cloud Point) or ASTM Standard Test Method D 4539 (Low Temperature Flow Test or LTFT). Low temperature operability is only applicable October 1-March 31 of each year.</w:t>
      </w:r>
    </w:p>
    <w:p w14:paraId="1D835811" w14:textId="77777777" w:rsidR="00CF626A" w:rsidRPr="001531CD" w:rsidRDefault="00CF626A">
      <w:pPr>
        <w:pStyle w:val="a0"/>
      </w:pPr>
      <w:r w:rsidRPr="001531CD">
        <w:t>c.</w:t>
      </w:r>
      <w:r w:rsidRPr="001531CD">
        <w:tab/>
        <w:t>Thermal Stability. A minimum reflectance measurement of 80 percent as determined by ASTM Standard Test Method D 6468 (180 minutes, 150°C).</w:t>
      </w:r>
    </w:p>
    <w:p w14:paraId="52D65699" w14:textId="77777777" w:rsidR="00CF626A" w:rsidRPr="001531CD" w:rsidRDefault="00CF626A">
      <w:pPr>
        <w:pStyle w:val="a0"/>
      </w:pPr>
      <w:r w:rsidRPr="001531CD">
        <w:t>d.</w:t>
      </w:r>
      <w:r w:rsidRPr="001531CD">
        <w:tab/>
        <w:t>Energy Content. A minimum energy content of 38.65 MJ/L, gross (138,700 BTU/gallon, gross) as measured by ASTM Standard Test Method D 240.</w:t>
      </w:r>
    </w:p>
    <w:p w14:paraId="03C4FDEF" w14:textId="77777777" w:rsidR="00CF626A" w:rsidRPr="001531CD" w:rsidRDefault="00CF626A">
      <w:pPr>
        <w:pStyle w:val="a0"/>
      </w:pPr>
      <w:r w:rsidRPr="001531CD">
        <w:t>e.</w:t>
      </w:r>
      <w:r w:rsidRPr="001531CD">
        <w:tab/>
        <w:t>Fuel Injector Cleanliness. A Coordinating Research Council (CRC) rating of 10.0 r less and a flow loss of 6.0 percent or less as determined by the Cummins L-10 Injector Depositing Test.</w:t>
      </w:r>
    </w:p>
    <w:p w14:paraId="374E5ED7" w14:textId="77777777" w:rsidR="00CF626A" w:rsidRPr="001531CD" w:rsidRDefault="00CF626A">
      <w:pPr>
        <w:pStyle w:val="LACNote"/>
        <w:spacing w:after="0"/>
        <w:ind w:left="331" w:right="288" w:hanging="43"/>
      </w:pPr>
      <w:r w:rsidRPr="001531CD">
        <w:rPr>
          <w:vertAlign w:val="superscript"/>
        </w:rPr>
        <w:t>1</w:t>
      </w:r>
      <w:r w:rsidRPr="001531CD">
        <w:t>For referenced ASTM standards, visit the ASTM website, www.astm.org, or contact ASTM Customer Service at service@astm.org. For Annual Book of ASTM Standards volume information, refer to the standard's Document Summary page on the ASTM website. Copies of referenced ASTM standards may be obtained from ASTM International, 100 Barr Harbor Drive, P.O. Box C700, West Conshohocken, PA 19428-2959, Tel: (610) 832-9500, Fax: (610) 832-9555 or may be inspected at the Division of Weights and Measures, Department of Agriculture and Forestry, 5825 Florida Blvd., Baton Rouge, LA 70806.</w:t>
      </w:r>
    </w:p>
    <w:p w14:paraId="54992D9A" w14:textId="77777777" w:rsidR="00CF626A" w:rsidRPr="001531CD" w:rsidRDefault="00CF626A">
      <w:pPr>
        <w:pStyle w:val="AuthorityNote"/>
        <w:spacing w:before="120"/>
      </w:pPr>
      <w:r w:rsidRPr="001531CD">
        <w:t>AUTHORITY NOTE:</w:t>
      </w:r>
      <w:r w:rsidRPr="001531CD">
        <w:tab/>
        <w:t>Promulgated in accordance with R.S. 3:4671, 4673, 4680, and 4681.</w:t>
      </w:r>
    </w:p>
    <w:p w14:paraId="13776270"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66080EF8" w14:textId="77777777" w:rsidR="00CF626A" w:rsidRPr="001531CD" w:rsidRDefault="00CF626A">
      <w:pPr>
        <w:pStyle w:val="Section"/>
      </w:pPr>
      <w:bookmarkStart w:id="3085" w:name="_Toc256755112"/>
      <w:bookmarkStart w:id="3086" w:name="_Toc224819500"/>
      <w:r w:rsidRPr="001531CD">
        <w:t>§307.</w:t>
      </w:r>
      <w:r w:rsidRPr="001531CD">
        <w:tab/>
        <w:t>Standard Fuel Specifications for Aviation Turbine Fuels</w:t>
      </w:r>
      <w:bookmarkEnd w:id="3085"/>
      <w:bookmarkEnd w:id="3086"/>
    </w:p>
    <w:p w14:paraId="5E332758" w14:textId="77777777" w:rsidR="00CF626A" w:rsidRPr="001531CD" w:rsidRDefault="00CF626A">
      <w:pPr>
        <w:pStyle w:val="A"/>
      </w:pPr>
      <w:r w:rsidRPr="001531CD">
        <w:t>A.</w:t>
      </w:r>
      <w:r w:rsidRPr="001531CD">
        <w:tab/>
        <w:t>Aviation Turbine Fuels sold, offered for sale, or distributed in Louisiana shall meet the specifications of the latest revision of ASTM D 1655, "Standard Specification for Aviation Turbine Fuels," as approved and published by ASTM International.</w:t>
      </w:r>
    </w:p>
    <w:p w14:paraId="6B794058" w14:textId="77777777" w:rsidR="00CF626A" w:rsidRPr="001531CD" w:rsidRDefault="00CF626A">
      <w:pPr>
        <w:pStyle w:val="AuthorityNote"/>
      </w:pPr>
      <w:r w:rsidRPr="001531CD">
        <w:t>AUTHORITY NOTE:</w:t>
      </w:r>
      <w:r w:rsidRPr="001531CD">
        <w:tab/>
        <w:t>Promulgated in accordance with R.S. 3:4671, 4673, 4680, and 4681.</w:t>
      </w:r>
    </w:p>
    <w:p w14:paraId="25A666F5"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7BC8898F" w14:textId="77777777" w:rsidR="00CF626A" w:rsidRPr="001531CD" w:rsidRDefault="00CF626A">
      <w:pPr>
        <w:pStyle w:val="Section"/>
      </w:pPr>
      <w:bookmarkStart w:id="3087" w:name="_Toc256755113"/>
      <w:bookmarkStart w:id="3088" w:name="_Toc224819501"/>
      <w:r w:rsidRPr="001531CD">
        <w:lastRenderedPageBreak/>
        <w:t>§309.</w:t>
      </w:r>
      <w:r w:rsidRPr="001531CD">
        <w:tab/>
        <w:t>Standard Fuel Specifications for Aviation Gasoline</w:t>
      </w:r>
      <w:bookmarkEnd w:id="3087"/>
      <w:bookmarkEnd w:id="3088"/>
      <w:r w:rsidRPr="001531CD">
        <w:t xml:space="preserve"> </w:t>
      </w:r>
    </w:p>
    <w:p w14:paraId="57523ADE" w14:textId="77777777" w:rsidR="00CF626A" w:rsidRPr="001531CD" w:rsidRDefault="00CF626A">
      <w:pPr>
        <w:pStyle w:val="A"/>
      </w:pPr>
      <w:r w:rsidRPr="001531CD">
        <w:t>A.</w:t>
      </w:r>
      <w:r w:rsidRPr="001531CD">
        <w:tab/>
        <w:t>Aviation Gasoline sold, offered for sale, or distributed in Louisiana shall meet the specifications of the latest revision of ASTM D 910, "Standard Specification for Aviation Gasoline," as approved and published by ASTM International.</w:t>
      </w:r>
    </w:p>
    <w:p w14:paraId="08A943AC" w14:textId="77777777" w:rsidR="00CF626A" w:rsidRPr="001531CD" w:rsidRDefault="00CF626A">
      <w:pPr>
        <w:pStyle w:val="AuthorityNote"/>
      </w:pPr>
      <w:r w:rsidRPr="001531CD">
        <w:t>AUTHORITY NOTE:</w:t>
      </w:r>
      <w:r w:rsidRPr="001531CD">
        <w:tab/>
        <w:t>Promulgated in accordance with R.S. 3:4671, 4673, 4680, and 4681.</w:t>
      </w:r>
    </w:p>
    <w:p w14:paraId="6095DBF9"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7024CC07" w14:textId="77777777" w:rsidR="00CF626A" w:rsidRPr="001531CD" w:rsidRDefault="00CF626A" w:rsidP="00A66724">
      <w:pPr>
        <w:pStyle w:val="Section"/>
        <w:spacing w:after="80"/>
      </w:pPr>
      <w:bookmarkStart w:id="3089" w:name="_Toc256755114"/>
      <w:bookmarkStart w:id="3090" w:name="_Toc224819502"/>
      <w:r w:rsidRPr="001531CD">
        <w:t>§311.</w:t>
      </w:r>
      <w:r w:rsidRPr="001531CD">
        <w:tab/>
        <w:t>Standard Fuel Specifications for Fuel Oils</w:t>
      </w:r>
      <w:bookmarkEnd w:id="3089"/>
      <w:bookmarkEnd w:id="3090"/>
    </w:p>
    <w:p w14:paraId="4EB409F3" w14:textId="77777777" w:rsidR="00CF626A" w:rsidRPr="001531CD" w:rsidRDefault="00CF626A" w:rsidP="00A66724">
      <w:pPr>
        <w:pStyle w:val="A"/>
        <w:spacing w:after="80"/>
      </w:pPr>
      <w:r w:rsidRPr="001531CD">
        <w:t>A.</w:t>
      </w:r>
      <w:r w:rsidRPr="001531CD">
        <w:tab/>
        <w:t>Fuel Oils sold, offered for sale or distributed in Louisiana shall meet the specifications of the latest revision of ASTM D 396, "Standard Specification for Fuel Oils," as approved and published by ASTM International.</w:t>
      </w:r>
    </w:p>
    <w:p w14:paraId="6BEE8E36" w14:textId="77777777" w:rsidR="00CF626A" w:rsidRPr="001531CD" w:rsidRDefault="00CF626A">
      <w:pPr>
        <w:pStyle w:val="AuthorityNote"/>
      </w:pPr>
      <w:r w:rsidRPr="001531CD">
        <w:t>AUTHORITY NOTE:</w:t>
      </w:r>
      <w:r w:rsidRPr="001531CD">
        <w:tab/>
        <w:t>Promulgated in accordance with R.S. 3:4671, 4673, 4680, and 4681.</w:t>
      </w:r>
    </w:p>
    <w:p w14:paraId="39D28CC7"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5D6F7C24" w14:textId="77777777" w:rsidR="00CF626A" w:rsidRPr="001531CD" w:rsidRDefault="00CF626A" w:rsidP="00A66724">
      <w:pPr>
        <w:pStyle w:val="Section"/>
        <w:spacing w:after="80"/>
      </w:pPr>
      <w:bookmarkStart w:id="3091" w:name="_Toc256755115"/>
      <w:bookmarkStart w:id="3092" w:name="_Toc224819503"/>
      <w:r w:rsidRPr="001531CD">
        <w:t>§313.</w:t>
      </w:r>
      <w:r w:rsidRPr="001531CD">
        <w:tab/>
        <w:t>Standard Fuel Specifications for Kerosene</w:t>
      </w:r>
      <w:bookmarkEnd w:id="3091"/>
      <w:bookmarkEnd w:id="3092"/>
    </w:p>
    <w:p w14:paraId="18FA66B8" w14:textId="77777777" w:rsidR="00CF626A" w:rsidRPr="001531CD" w:rsidRDefault="00CF626A" w:rsidP="00A66724">
      <w:pPr>
        <w:pStyle w:val="A"/>
        <w:spacing w:after="80"/>
      </w:pPr>
      <w:r w:rsidRPr="001531CD">
        <w:t>A.</w:t>
      </w:r>
      <w:r w:rsidRPr="001531CD">
        <w:tab/>
        <w:t>Kerosene (Kerosine) sold, offered for sale, or distributed in Louisiana shall meet the specifications of the latest revision of ASTM D 3699, "Standard Specification for Kerosine," as approved and published by ASTM International.</w:t>
      </w:r>
    </w:p>
    <w:p w14:paraId="59435B10" w14:textId="77777777" w:rsidR="00CF626A" w:rsidRPr="001531CD" w:rsidRDefault="00CF626A">
      <w:pPr>
        <w:pStyle w:val="AuthorityNote"/>
      </w:pPr>
      <w:r w:rsidRPr="001531CD">
        <w:t>AUTHORITY NOTE:</w:t>
      </w:r>
      <w:r w:rsidRPr="001531CD">
        <w:tab/>
        <w:t>Promulgated in accordance with R.S. 3:4671, 4673, 4680, and 4681.</w:t>
      </w:r>
    </w:p>
    <w:p w14:paraId="080953D3"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68E1856A" w14:textId="77777777" w:rsidR="00CF626A" w:rsidRPr="001531CD" w:rsidRDefault="00CF626A">
      <w:pPr>
        <w:pStyle w:val="Section"/>
      </w:pPr>
      <w:bookmarkStart w:id="3093" w:name="_Toc256755116"/>
      <w:bookmarkStart w:id="3094" w:name="_Toc224819504"/>
      <w:r w:rsidRPr="001531CD">
        <w:t>§315.</w:t>
      </w:r>
      <w:r w:rsidRPr="001531CD">
        <w:tab/>
        <w:t>Standard Specifications for Ethanol</w:t>
      </w:r>
      <w:bookmarkEnd w:id="3093"/>
      <w:bookmarkEnd w:id="3094"/>
    </w:p>
    <w:p w14:paraId="2EC82374" w14:textId="77777777" w:rsidR="00CF626A" w:rsidRPr="001531CD" w:rsidRDefault="00CF626A">
      <w:pPr>
        <w:pStyle w:val="A"/>
      </w:pPr>
      <w:r w:rsidRPr="001531CD">
        <w:t>A.</w:t>
      </w:r>
      <w:r w:rsidRPr="001531CD">
        <w:tab/>
        <w:t>Ethanol intended for blending with gasoline sold, offered for sale, or distributed in Louisiana shall meet the specifications of the latest revision of ASTM D 4806, "Standard Specification for Denatured Fuel Ethanol for Blending with Gasolines for Use as Automotive Spark-Ignition Engine Fuel," as approved and published by ASTM International.</w:t>
      </w:r>
    </w:p>
    <w:p w14:paraId="4F04DADA" w14:textId="77777777" w:rsidR="00CF626A" w:rsidRPr="001531CD" w:rsidRDefault="00CF626A">
      <w:pPr>
        <w:pStyle w:val="AuthorityNote"/>
      </w:pPr>
      <w:r w:rsidRPr="001531CD">
        <w:t>AUTHORITY NOTE:</w:t>
      </w:r>
      <w:r w:rsidRPr="001531CD">
        <w:tab/>
        <w:t>Promulgated in accordance with R.S. 3:4671, 4673, 4680, and 4681.</w:t>
      </w:r>
    </w:p>
    <w:p w14:paraId="084CC281"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14:paraId="03CE7229" w14:textId="77777777" w:rsidR="00CF626A" w:rsidRPr="001531CD" w:rsidRDefault="00CF626A">
      <w:pPr>
        <w:pStyle w:val="Section"/>
      </w:pPr>
      <w:bookmarkStart w:id="3095" w:name="_Toc256755117"/>
      <w:bookmarkStart w:id="3096" w:name="_Toc224819505"/>
      <w:r w:rsidRPr="001531CD">
        <w:t>§317.</w:t>
      </w:r>
      <w:r w:rsidRPr="001531CD">
        <w:tab/>
        <w:t>Standard Fuel Specifications for Fuel Ethanol</w:t>
      </w:r>
      <w:bookmarkEnd w:id="3095"/>
      <w:bookmarkEnd w:id="3096"/>
    </w:p>
    <w:p w14:paraId="21FE3137" w14:textId="77777777" w:rsidR="00CF626A" w:rsidRPr="001531CD" w:rsidRDefault="00CF626A">
      <w:pPr>
        <w:pStyle w:val="A"/>
      </w:pPr>
      <w:r w:rsidRPr="001531CD">
        <w:t>A.</w:t>
      </w:r>
      <w:r w:rsidRPr="001531CD">
        <w:tab/>
        <w:t>E85 Fuel Ethanol sold, offered for sale, or distributed in Louisiana shall meet the specifications of the latest revision of ASTM D 5798, "Standard Specification for Fuel Ethanol (Ed75-Ed85) for Automotive Spark-Ignition Engines" as approved and published by ASTM International.</w:t>
      </w:r>
    </w:p>
    <w:p w14:paraId="2FB2C5CD" w14:textId="77777777" w:rsidR="00CF626A" w:rsidRPr="001531CD" w:rsidRDefault="00CF626A">
      <w:pPr>
        <w:pStyle w:val="AuthorityNote"/>
      </w:pPr>
      <w:r w:rsidRPr="001531CD">
        <w:t>AUTHORITY NOTE:</w:t>
      </w:r>
      <w:r w:rsidRPr="001531CD">
        <w:tab/>
        <w:t>Promulgated in accordance with R.S. 3:4671, 4673, 4680, and 4681.</w:t>
      </w:r>
    </w:p>
    <w:p w14:paraId="785B1380"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31:31 (January 2005).</w:t>
      </w:r>
    </w:p>
    <w:p w14:paraId="59080105" w14:textId="77777777" w:rsidR="00CF626A" w:rsidRPr="001531CD" w:rsidRDefault="00CF626A">
      <w:pPr>
        <w:pStyle w:val="Section"/>
      </w:pPr>
      <w:bookmarkStart w:id="3097" w:name="_Toc256755118"/>
      <w:bookmarkStart w:id="3098" w:name="_Toc224819506"/>
      <w:r w:rsidRPr="001531CD">
        <w:t>§319.</w:t>
      </w:r>
      <w:r w:rsidRPr="001531CD">
        <w:tab/>
        <w:t>Standard Fuel Specifications for Fuel Methanol</w:t>
      </w:r>
      <w:bookmarkEnd w:id="3097"/>
      <w:bookmarkEnd w:id="3098"/>
    </w:p>
    <w:p w14:paraId="231C0FD5" w14:textId="77777777" w:rsidR="00CF626A" w:rsidRPr="001531CD" w:rsidRDefault="00CF626A">
      <w:pPr>
        <w:pStyle w:val="A"/>
      </w:pPr>
      <w:r w:rsidRPr="001531CD">
        <w:t>A.</w:t>
      </w:r>
      <w:r w:rsidRPr="001531CD">
        <w:tab/>
        <w:t>M85 Fuel Methanol sold, offered for sale or distributed in Louisiana shall meet the specifications of the latest revision of ASTM D 5797, "Standard Specification for Fuel Methanol M70-M85 for Automotive Spark Ignition Engines," as approved and published by ASTM International.</w:t>
      </w:r>
    </w:p>
    <w:p w14:paraId="06983141" w14:textId="77777777" w:rsidR="00CF626A" w:rsidRPr="001531CD" w:rsidRDefault="00CF626A">
      <w:pPr>
        <w:pStyle w:val="AuthorityNote"/>
      </w:pPr>
      <w:r w:rsidRPr="001531CD">
        <w:t>AUTHORITY NOTE:</w:t>
      </w:r>
      <w:r w:rsidRPr="001531CD">
        <w:tab/>
        <w:t>Promulgated in accordance with R.S. 3:4671, 4673, 4680, and 4681.</w:t>
      </w:r>
    </w:p>
    <w:p w14:paraId="17A63A0C"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31:31 (January 2005).</w:t>
      </w:r>
    </w:p>
    <w:p w14:paraId="5F0D9102" w14:textId="77777777" w:rsidR="00CF626A" w:rsidRPr="001531CD" w:rsidRDefault="00CF626A" w:rsidP="00BF63EE">
      <w:pPr>
        <w:pStyle w:val="Section"/>
      </w:pPr>
      <w:bookmarkStart w:id="3099" w:name="_Toc256755119"/>
      <w:bookmarkStart w:id="3100" w:name="_Toc224819507"/>
      <w:r w:rsidRPr="001531CD">
        <w:t>§321.</w:t>
      </w:r>
      <w:r w:rsidRPr="001531CD">
        <w:tab/>
        <w:t>Classification and Method of Sale of Petroleum Products</w:t>
      </w:r>
      <w:bookmarkEnd w:id="3099"/>
      <w:bookmarkEnd w:id="3100"/>
    </w:p>
    <w:p w14:paraId="2680F1D7" w14:textId="77777777" w:rsidR="00C06944" w:rsidRPr="006A5017" w:rsidRDefault="008C7B85" w:rsidP="00C06944">
      <w:pPr>
        <w:pStyle w:val="A"/>
      </w:pPr>
      <w:r w:rsidRPr="00550D56">
        <w:t>A.</w:t>
      </w:r>
      <w:r w:rsidRPr="00550D56">
        <w:tab/>
      </w:r>
      <w:r w:rsidR="00C06944" w:rsidRPr="006A5017">
        <w:t>When gasoline, gasoline-oxygenate blends, reformulated gasoline, M85 and M100 fuel methanol, ethanol flex fuels, biodiesel, biomass-based diesel, biomass-based diesel blend, diesel fuel, kerosene, aviation gasoline, aviation turbine fuels, or fuel oils are sold, an invoice, bill of lading, shipping paper, or other documentation must accompany each delivery other than a retail sale. This documentation must identify the quantity, the name of the product, the particular grade of the product, the applicable automotive fuel rating, oxygenate type and content (if applicable), the name and address of the seller and buyer, and the date and time of the sale. This documentation must be retained at the retail establishment for a period not less than one year. The sale of any product under any grade name that indicates to the purchaser that it is of a certain automotive fuel rating shall not be permitted unless the automotive fuel rating or ASTM grade indicated in the grade name is consistent with the value and meets the requirements of 16 CFR 306.5 and 306.6 for transfers to anyone who is not a consumer, 16 CFR 306.12 for automotive fuel sold to consumers, and this Subchapter.</w:t>
      </w:r>
    </w:p>
    <w:p w14:paraId="3BCA7F1A" w14:textId="77777777" w:rsidR="00CF626A" w:rsidRPr="001531CD" w:rsidRDefault="00C06944" w:rsidP="00C06944">
      <w:pPr>
        <w:pStyle w:val="A"/>
        <w:spacing w:after="60"/>
      </w:pPr>
      <w:r w:rsidRPr="006A5017">
        <w:t>B.</w:t>
      </w:r>
      <w:r w:rsidRPr="006A5017">
        <w:tab/>
        <w:t>All retail dispensing devices must identify conspicuously the type of product, the particular grade of the product, and the applicable automotive fuel rating. The device shall automatically show on its face the initial zero condition and the quantity delivered (up to the nominal capacity). However, the first 0.03 L (or 0.009 gal.) of a delivery and its associated total sales price need not be indicated. In the event of a power loss, the information needed to complete any transaction in progress at the time of the power loss (such as the quantity and unit price, or sales price) shall be determinable for at least 15 minutes at the dispenser or at the console if the console is accessible to the customer. The device memory shall retain information on the</w:t>
      </w:r>
      <w:r>
        <w:t xml:space="preserve"> </w:t>
      </w:r>
      <w:r w:rsidRPr="006A5017">
        <w:t>quantity of fuel dispensed and the sales price totals during power loss. The primary indicating elements, and primary recording elements if the device is equipped to record, shall be readily returnable to a definite zero indication. However, a key-lock operated or other self-operated device may be equipped with cumulative indicating or recording elements, provided that it is also equipped with a zero-return indicating element. It shall not be possible to return primary indicating elements or primary recording elements beyond the correct zero position.</w:t>
      </w:r>
    </w:p>
    <w:p w14:paraId="627AD28C" w14:textId="77777777" w:rsidR="00CF626A" w:rsidRPr="001531CD" w:rsidRDefault="00CF626A" w:rsidP="00A66724">
      <w:pPr>
        <w:pStyle w:val="A"/>
        <w:spacing w:after="80"/>
      </w:pPr>
      <w:r w:rsidRPr="001531CD">
        <w:t>C.</w:t>
      </w:r>
      <w:r w:rsidRPr="001531CD">
        <w:tab/>
        <w:t xml:space="preserve">A computing or money-operated device shall be able to display on each face the unit price at which the device is set to compute or to dispense. Whenever a grade, brand, </w:t>
      </w:r>
      <w:r w:rsidRPr="001531CD">
        <w:lastRenderedPageBreak/>
        <w:t>blend, or mixture is offered for sale from a device at more than one unit price, then all of the unit prices at which that product is offered for sale shall be displayed or shall be capable of being displayed on the dispenser using controls available to the customer prior to the delivery of the product. It is not necessary that all of the unit prices for all grades, brands, blends, or mixtures be simultaneously displayed prior to the delivery of the product. This Subsection shall not apply to fleet sales, other contract sales, or truck refueling sales (e.g., sales from dispensers used to refuel trucks).</w:t>
      </w:r>
    </w:p>
    <w:p w14:paraId="1CEC375A" w14:textId="77777777" w:rsidR="00CF626A" w:rsidRPr="001531CD" w:rsidRDefault="00CF626A">
      <w:pPr>
        <w:pStyle w:val="A"/>
      </w:pPr>
      <w:r w:rsidRPr="001531CD">
        <w:t>D.</w:t>
      </w:r>
      <w:r w:rsidRPr="001531CD">
        <w:tab/>
        <w:t>A device shall be able to display conspicuously on each side the identity of the product being dispensed. A device designed to dispense more than one grade, brand, blend, or mixture of product also shall be able to display on each side the identity of the grade, brand, blend, or mixture being dispensed.</w:t>
      </w:r>
    </w:p>
    <w:p w14:paraId="2D144027" w14:textId="77777777" w:rsidR="00CF626A" w:rsidRPr="001531CD" w:rsidRDefault="00CF626A">
      <w:pPr>
        <w:pStyle w:val="A"/>
      </w:pPr>
      <w:r w:rsidRPr="001531CD">
        <w:t>E.</w:t>
      </w:r>
      <w:r w:rsidRPr="001531CD">
        <w:tab/>
        <w:t>A computing device shall compute the total sales price at any single-purchase unit price (i.e., excluding fleet sales, other price contract sales, and truck stop dispensers used only to refuel trucks) for which the product being measured is offered for sale at any delivery possible within either the measurement range of the device or the range of the computing elements, whichever is less. The analog sales price indicated for any delivered quantity shall not differ from a mathematically computed price (quantity x unit price = total sales price) by an amount greater than the value in Paragraph E.1. The values of the graduated intervals representing money values on a computing type device shall be no greater than those in Paragraph E.1. Money-Value Divisions and Maximum Allowable Variations for Money-Value Computations on Mechanical Analog Computers. A computing type device with digital indications shall comply with the requirements of Paragraph E.1and the total price computation shall be based on quantities not exceeding 0.05 L for devices indicating in metric units and 0.01 gal. intervals for devices indicating in inch-pound units. If a system is equipped with auxiliary indications, all indicated money value divisions of the auxiliary element shall be identical with those of the primary element.</w:t>
      </w:r>
    </w:p>
    <w:p w14:paraId="7CEDE471" w14:textId="77777777" w:rsidR="00CF626A" w:rsidRPr="001531CD" w:rsidRDefault="00CF626A">
      <w:pPr>
        <w:pStyle w:val="1"/>
        <w:spacing w:after="200"/>
      </w:pPr>
      <w:r w:rsidRPr="001531CD">
        <w:rPr>
          <w:bCs/>
        </w:rPr>
        <w:t>1.</w:t>
      </w:r>
      <w:r w:rsidRPr="001531CD">
        <w:rPr>
          <w:bCs/>
        </w:rPr>
        <w:tab/>
      </w:r>
      <w:r w:rsidRPr="001531CD">
        <w:t>Money-Value Divisions and Maximum Allowable Variations for Money-Value Computations on Mechanical Analog Computers</w:t>
      </w:r>
    </w:p>
    <w:tbl>
      <w:tblPr>
        <w:tblW w:w="49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189"/>
        <w:gridCol w:w="1194"/>
        <w:gridCol w:w="840"/>
        <w:gridCol w:w="960"/>
        <w:gridCol w:w="750"/>
      </w:tblGrid>
      <w:tr w:rsidR="00CF626A" w:rsidRPr="001531CD" w14:paraId="07B045DB" w14:textId="77777777" w:rsidTr="00167E2E">
        <w:trPr>
          <w:cantSplit/>
          <w:jc w:val="center"/>
        </w:trPr>
        <w:tc>
          <w:tcPr>
            <w:tcW w:w="2383" w:type="dxa"/>
            <w:gridSpan w:val="2"/>
            <w:tcBorders>
              <w:top w:val="double" w:sz="6" w:space="0" w:color="auto"/>
              <w:bottom w:val="single" w:sz="6" w:space="0" w:color="auto"/>
            </w:tcBorders>
            <w:shd w:val="clear" w:color="auto" w:fill="BFBFBF"/>
            <w:vAlign w:val="bottom"/>
          </w:tcPr>
          <w:p w14:paraId="4D61BFCE" w14:textId="77777777" w:rsidR="00CF626A" w:rsidRPr="001531CD" w:rsidRDefault="00CF626A" w:rsidP="008C7B85">
            <w:pPr>
              <w:keepNext/>
              <w:jc w:val="center"/>
              <w:rPr>
                <w:b/>
                <w:bCs/>
                <w:sz w:val="16"/>
              </w:rPr>
            </w:pPr>
            <w:r w:rsidRPr="001531CD">
              <w:rPr>
                <w:b/>
                <w:bCs/>
                <w:sz w:val="16"/>
              </w:rPr>
              <w:t>Unit Price</w:t>
            </w:r>
          </w:p>
        </w:tc>
        <w:tc>
          <w:tcPr>
            <w:tcW w:w="840" w:type="dxa"/>
            <w:tcBorders>
              <w:top w:val="double" w:sz="6" w:space="0" w:color="auto"/>
              <w:bottom w:val="single" w:sz="6" w:space="0" w:color="auto"/>
            </w:tcBorders>
            <w:shd w:val="clear" w:color="auto" w:fill="BFBFBF"/>
            <w:vAlign w:val="bottom"/>
          </w:tcPr>
          <w:p w14:paraId="3A082C4F" w14:textId="77777777" w:rsidR="00CF626A" w:rsidRPr="00D86AD2" w:rsidRDefault="00CF626A" w:rsidP="008C7B85">
            <w:pPr>
              <w:pStyle w:val="BodyText"/>
              <w:jc w:val="center"/>
              <w:rPr>
                <w:bCs/>
                <w:kern w:val="0"/>
                <w:szCs w:val="24"/>
                <w:lang w:val="en-US" w:eastAsia="en-US"/>
              </w:rPr>
            </w:pPr>
            <w:r w:rsidRPr="00D86AD2">
              <w:rPr>
                <w:bCs/>
                <w:kern w:val="0"/>
                <w:szCs w:val="24"/>
                <w:lang w:val="en-US" w:eastAsia="en-US"/>
              </w:rPr>
              <w:t>Money Value</w:t>
            </w:r>
          </w:p>
          <w:p w14:paraId="6698B0CF" w14:textId="77777777" w:rsidR="00CF626A" w:rsidRPr="001531CD" w:rsidRDefault="00CF626A" w:rsidP="008C7B85">
            <w:pPr>
              <w:keepNext/>
              <w:jc w:val="center"/>
              <w:rPr>
                <w:b/>
                <w:bCs/>
                <w:sz w:val="16"/>
              </w:rPr>
            </w:pPr>
            <w:r w:rsidRPr="001531CD">
              <w:rPr>
                <w:b/>
                <w:bCs/>
                <w:sz w:val="16"/>
              </w:rPr>
              <w:t>Division</w:t>
            </w:r>
          </w:p>
        </w:tc>
        <w:tc>
          <w:tcPr>
            <w:tcW w:w="1710" w:type="dxa"/>
            <w:gridSpan w:val="2"/>
            <w:tcBorders>
              <w:top w:val="double" w:sz="6" w:space="0" w:color="auto"/>
              <w:bottom w:val="single" w:sz="6" w:space="0" w:color="auto"/>
            </w:tcBorders>
            <w:shd w:val="clear" w:color="auto" w:fill="BFBFBF"/>
            <w:vAlign w:val="bottom"/>
          </w:tcPr>
          <w:p w14:paraId="0AC3D470" w14:textId="77777777" w:rsidR="00CF626A" w:rsidRPr="001531CD" w:rsidRDefault="00CF626A" w:rsidP="008C7B85">
            <w:pPr>
              <w:keepNext/>
              <w:jc w:val="center"/>
              <w:rPr>
                <w:b/>
                <w:bCs/>
                <w:sz w:val="16"/>
              </w:rPr>
            </w:pPr>
            <w:r w:rsidRPr="001531CD">
              <w:rPr>
                <w:b/>
                <w:bCs/>
                <w:sz w:val="16"/>
              </w:rPr>
              <w:t>Maximum</w:t>
            </w:r>
          </w:p>
          <w:p w14:paraId="15B97AFF" w14:textId="77777777" w:rsidR="00CF626A" w:rsidRPr="001531CD" w:rsidRDefault="00CF626A" w:rsidP="008C7B85">
            <w:pPr>
              <w:keepNext/>
              <w:jc w:val="center"/>
              <w:rPr>
                <w:b/>
                <w:bCs/>
                <w:sz w:val="16"/>
              </w:rPr>
            </w:pPr>
            <w:r w:rsidRPr="001531CD">
              <w:rPr>
                <w:b/>
                <w:bCs/>
                <w:sz w:val="16"/>
              </w:rPr>
              <w:t>Allowable Variation</w:t>
            </w:r>
          </w:p>
        </w:tc>
      </w:tr>
      <w:tr w:rsidR="00CF626A" w:rsidRPr="001531CD" w14:paraId="3EDABC88" w14:textId="77777777" w:rsidTr="00167E2E">
        <w:trPr>
          <w:cantSplit/>
          <w:jc w:val="center"/>
        </w:trPr>
        <w:tc>
          <w:tcPr>
            <w:tcW w:w="1189" w:type="dxa"/>
            <w:tcBorders>
              <w:top w:val="single" w:sz="6" w:space="0" w:color="auto"/>
              <w:bottom w:val="single" w:sz="6" w:space="0" w:color="auto"/>
            </w:tcBorders>
            <w:shd w:val="clear" w:color="auto" w:fill="BFBFBF"/>
            <w:vAlign w:val="bottom"/>
          </w:tcPr>
          <w:p w14:paraId="1074A566" w14:textId="77777777" w:rsidR="00CF626A" w:rsidRPr="001531CD" w:rsidRDefault="00CF626A" w:rsidP="008C7B85">
            <w:pPr>
              <w:keepNext/>
              <w:jc w:val="center"/>
              <w:rPr>
                <w:b/>
                <w:bCs/>
                <w:sz w:val="16"/>
              </w:rPr>
            </w:pPr>
            <w:r w:rsidRPr="001531CD">
              <w:rPr>
                <w:b/>
                <w:bCs/>
                <w:sz w:val="16"/>
              </w:rPr>
              <w:t>From</w:t>
            </w:r>
          </w:p>
        </w:tc>
        <w:tc>
          <w:tcPr>
            <w:tcW w:w="1194" w:type="dxa"/>
            <w:tcBorders>
              <w:top w:val="single" w:sz="6" w:space="0" w:color="auto"/>
              <w:bottom w:val="single" w:sz="6" w:space="0" w:color="auto"/>
            </w:tcBorders>
            <w:shd w:val="clear" w:color="auto" w:fill="BFBFBF"/>
            <w:vAlign w:val="bottom"/>
          </w:tcPr>
          <w:p w14:paraId="65F9EE6D" w14:textId="77777777" w:rsidR="00CF626A" w:rsidRPr="001531CD" w:rsidRDefault="00CF626A" w:rsidP="008C7B85">
            <w:pPr>
              <w:keepNext/>
              <w:jc w:val="center"/>
              <w:rPr>
                <w:b/>
                <w:bCs/>
                <w:sz w:val="16"/>
              </w:rPr>
            </w:pPr>
            <w:r w:rsidRPr="001531CD">
              <w:rPr>
                <w:b/>
                <w:bCs/>
                <w:sz w:val="16"/>
              </w:rPr>
              <w:t>To and including</w:t>
            </w:r>
          </w:p>
        </w:tc>
        <w:tc>
          <w:tcPr>
            <w:tcW w:w="840" w:type="dxa"/>
            <w:tcBorders>
              <w:top w:val="single" w:sz="6" w:space="0" w:color="auto"/>
              <w:bottom w:val="single" w:sz="6" w:space="0" w:color="auto"/>
            </w:tcBorders>
            <w:shd w:val="clear" w:color="auto" w:fill="BFBFBF"/>
            <w:vAlign w:val="bottom"/>
          </w:tcPr>
          <w:p w14:paraId="403CCA87" w14:textId="77777777" w:rsidR="00CF626A" w:rsidRPr="001531CD" w:rsidRDefault="00CF626A" w:rsidP="008C7B85">
            <w:pPr>
              <w:keepNext/>
              <w:jc w:val="center"/>
              <w:rPr>
                <w:b/>
                <w:bCs/>
                <w:sz w:val="16"/>
              </w:rPr>
            </w:pPr>
          </w:p>
        </w:tc>
        <w:tc>
          <w:tcPr>
            <w:tcW w:w="960" w:type="dxa"/>
            <w:tcBorders>
              <w:top w:val="single" w:sz="6" w:space="0" w:color="auto"/>
              <w:bottom w:val="single" w:sz="6" w:space="0" w:color="auto"/>
            </w:tcBorders>
            <w:shd w:val="clear" w:color="auto" w:fill="BFBFBF"/>
            <w:vAlign w:val="bottom"/>
          </w:tcPr>
          <w:p w14:paraId="77326B57" w14:textId="77777777" w:rsidR="00CF626A" w:rsidRPr="001531CD" w:rsidRDefault="00CF626A" w:rsidP="008C7B85">
            <w:pPr>
              <w:keepNext/>
              <w:jc w:val="center"/>
              <w:rPr>
                <w:b/>
                <w:bCs/>
                <w:sz w:val="16"/>
              </w:rPr>
            </w:pPr>
            <w:r w:rsidRPr="001531CD">
              <w:rPr>
                <w:b/>
                <w:bCs/>
                <w:sz w:val="16"/>
              </w:rPr>
              <w:t>Design</w:t>
            </w:r>
          </w:p>
          <w:p w14:paraId="644CE1B0" w14:textId="77777777" w:rsidR="00CF626A" w:rsidRPr="001531CD" w:rsidRDefault="00CF626A" w:rsidP="008C7B85">
            <w:pPr>
              <w:keepNext/>
              <w:jc w:val="center"/>
              <w:rPr>
                <w:b/>
                <w:bCs/>
                <w:sz w:val="16"/>
              </w:rPr>
            </w:pPr>
            <w:r w:rsidRPr="001531CD">
              <w:rPr>
                <w:b/>
                <w:bCs/>
                <w:sz w:val="16"/>
              </w:rPr>
              <w:t>Test</w:t>
            </w:r>
          </w:p>
        </w:tc>
        <w:tc>
          <w:tcPr>
            <w:tcW w:w="750" w:type="dxa"/>
            <w:tcBorders>
              <w:top w:val="single" w:sz="6" w:space="0" w:color="auto"/>
              <w:bottom w:val="single" w:sz="6" w:space="0" w:color="auto"/>
            </w:tcBorders>
            <w:shd w:val="clear" w:color="auto" w:fill="BFBFBF"/>
            <w:vAlign w:val="bottom"/>
          </w:tcPr>
          <w:p w14:paraId="747B0B27" w14:textId="77777777" w:rsidR="00CF626A" w:rsidRPr="001531CD" w:rsidRDefault="00CF626A" w:rsidP="008C7B85">
            <w:pPr>
              <w:keepNext/>
              <w:jc w:val="center"/>
              <w:rPr>
                <w:b/>
                <w:bCs/>
                <w:sz w:val="16"/>
              </w:rPr>
            </w:pPr>
            <w:r w:rsidRPr="001531CD">
              <w:rPr>
                <w:b/>
                <w:bCs/>
                <w:sz w:val="16"/>
              </w:rPr>
              <w:t>Field</w:t>
            </w:r>
          </w:p>
          <w:p w14:paraId="2F67DECA" w14:textId="77777777" w:rsidR="00CF626A" w:rsidRPr="001531CD" w:rsidRDefault="00CF626A" w:rsidP="008C7B85">
            <w:pPr>
              <w:keepNext/>
              <w:jc w:val="center"/>
              <w:rPr>
                <w:b/>
                <w:bCs/>
                <w:sz w:val="16"/>
              </w:rPr>
            </w:pPr>
            <w:r w:rsidRPr="001531CD">
              <w:rPr>
                <w:b/>
                <w:bCs/>
                <w:sz w:val="16"/>
              </w:rPr>
              <w:t>Test</w:t>
            </w:r>
          </w:p>
        </w:tc>
      </w:tr>
      <w:tr w:rsidR="00CF626A" w:rsidRPr="001531CD" w14:paraId="3F249714" w14:textId="77777777" w:rsidTr="00167E2E">
        <w:trPr>
          <w:cantSplit/>
          <w:jc w:val="center"/>
        </w:trPr>
        <w:tc>
          <w:tcPr>
            <w:tcW w:w="1189" w:type="dxa"/>
            <w:tcBorders>
              <w:top w:val="single" w:sz="6" w:space="0" w:color="auto"/>
            </w:tcBorders>
            <w:vAlign w:val="bottom"/>
          </w:tcPr>
          <w:p w14:paraId="687F7C61" w14:textId="77777777" w:rsidR="00CF626A" w:rsidRPr="001531CD" w:rsidRDefault="00CF626A">
            <w:pPr>
              <w:jc w:val="center"/>
              <w:rPr>
                <w:sz w:val="16"/>
              </w:rPr>
            </w:pPr>
            <w:r w:rsidRPr="001531CD">
              <w:rPr>
                <w:sz w:val="16"/>
              </w:rPr>
              <w:t>0</w:t>
            </w:r>
          </w:p>
        </w:tc>
        <w:tc>
          <w:tcPr>
            <w:tcW w:w="1194" w:type="dxa"/>
            <w:tcBorders>
              <w:top w:val="single" w:sz="6" w:space="0" w:color="auto"/>
            </w:tcBorders>
            <w:vAlign w:val="bottom"/>
          </w:tcPr>
          <w:p w14:paraId="7DD3804F" w14:textId="77777777" w:rsidR="00CF626A" w:rsidRPr="001531CD" w:rsidRDefault="00315F7B">
            <w:pPr>
              <w:jc w:val="center"/>
              <w:rPr>
                <w:sz w:val="16"/>
              </w:rPr>
            </w:pPr>
            <w:r w:rsidRPr="001531CD">
              <w:rPr>
                <w:sz w:val="16"/>
              </w:rPr>
              <w:t xml:space="preserve"> </w:t>
            </w:r>
            <w:r w:rsidR="00CF626A" w:rsidRPr="001531CD">
              <w:rPr>
                <w:sz w:val="16"/>
              </w:rPr>
              <w:t>$0.25/liter or</w:t>
            </w:r>
          </w:p>
          <w:p w14:paraId="35EE4632" w14:textId="77777777" w:rsidR="00CF626A" w:rsidRPr="001531CD" w:rsidRDefault="00CF626A">
            <w:pPr>
              <w:jc w:val="center"/>
              <w:rPr>
                <w:sz w:val="16"/>
              </w:rPr>
            </w:pPr>
            <w:r w:rsidRPr="001531CD">
              <w:rPr>
                <w:sz w:val="16"/>
              </w:rPr>
              <w:t>$1.00/gallon</w:t>
            </w:r>
          </w:p>
        </w:tc>
        <w:tc>
          <w:tcPr>
            <w:tcW w:w="840" w:type="dxa"/>
            <w:tcBorders>
              <w:top w:val="single" w:sz="6" w:space="0" w:color="auto"/>
            </w:tcBorders>
            <w:vAlign w:val="bottom"/>
          </w:tcPr>
          <w:p w14:paraId="1107AA6F" w14:textId="77777777" w:rsidR="00CF626A" w:rsidRPr="001531CD" w:rsidRDefault="00CF626A">
            <w:pPr>
              <w:jc w:val="center"/>
              <w:rPr>
                <w:sz w:val="16"/>
              </w:rPr>
            </w:pPr>
            <w:r w:rsidRPr="001531CD">
              <w:rPr>
                <w:sz w:val="16"/>
              </w:rPr>
              <w:t>$0.01</w:t>
            </w:r>
          </w:p>
        </w:tc>
        <w:tc>
          <w:tcPr>
            <w:tcW w:w="960" w:type="dxa"/>
            <w:tcBorders>
              <w:top w:val="single" w:sz="6" w:space="0" w:color="auto"/>
            </w:tcBorders>
            <w:vAlign w:val="bottom"/>
          </w:tcPr>
          <w:p w14:paraId="6E2215A0" w14:textId="77777777" w:rsidR="00CF626A" w:rsidRPr="001531CD" w:rsidRDefault="00CF626A">
            <w:pPr>
              <w:jc w:val="center"/>
              <w:rPr>
                <w:sz w:val="16"/>
              </w:rPr>
            </w:pPr>
            <w:r w:rsidRPr="001531CD">
              <w:rPr>
                <w:sz w:val="16"/>
              </w:rPr>
              <w:t>± $0.01</w:t>
            </w:r>
          </w:p>
        </w:tc>
        <w:tc>
          <w:tcPr>
            <w:tcW w:w="750" w:type="dxa"/>
            <w:tcBorders>
              <w:top w:val="single" w:sz="6" w:space="0" w:color="auto"/>
            </w:tcBorders>
            <w:tcMar>
              <w:left w:w="72" w:type="dxa"/>
              <w:right w:w="72" w:type="dxa"/>
            </w:tcMar>
            <w:vAlign w:val="bottom"/>
          </w:tcPr>
          <w:p w14:paraId="2CA488E5" w14:textId="77777777" w:rsidR="00CF626A" w:rsidRPr="001531CD" w:rsidRDefault="00CF626A">
            <w:pPr>
              <w:jc w:val="center"/>
              <w:rPr>
                <w:sz w:val="16"/>
              </w:rPr>
            </w:pPr>
            <w:r w:rsidRPr="001531CD">
              <w:rPr>
                <w:sz w:val="16"/>
              </w:rPr>
              <w:t>± $0.01</w:t>
            </w:r>
          </w:p>
        </w:tc>
      </w:tr>
      <w:tr w:rsidR="00CF626A" w:rsidRPr="001531CD" w14:paraId="70272255" w14:textId="77777777" w:rsidTr="00167E2E">
        <w:trPr>
          <w:cantSplit/>
          <w:jc w:val="center"/>
        </w:trPr>
        <w:tc>
          <w:tcPr>
            <w:tcW w:w="1189" w:type="dxa"/>
            <w:vAlign w:val="bottom"/>
          </w:tcPr>
          <w:p w14:paraId="79C4A497" w14:textId="77777777" w:rsidR="00CF626A" w:rsidRPr="001531CD" w:rsidRDefault="004026A3">
            <w:pPr>
              <w:jc w:val="center"/>
              <w:rPr>
                <w:sz w:val="16"/>
              </w:rPr>
            </w:pPr>
            <w:r w:rsidRPr="001531CD">
              <w:rPr>
                <w:sz w:val="16"/>
              </w:rPr>
              <w:t xml:space="preserve"> </w:t>
            </w:r>
            <w:r w:rsidR="00CF626A" w:rsidRPr="001531CD">
              <w:rPr>
                <w:sz w:val="16"/>
              </w:rPr>
              <w:t>$0.25/liter or</w:t>
            </w:r>
          </w:p>
          <w:p w14:paraId="07EB3C41" w14:textId="77777777" w:rsidR="00CF626A" w:rsidRPr="001531CD" w:rsidRDefault="00CF626A">
            <w:pPr>
              <w:jc w:val="center"/>
              <w:rPr>
                <w:sz w:val="16"/>
              </w:rPr>
            </w:pPr>
            <w:r w:rsidRPr="001531CD">
              <w:rPr>
                <w:sz w:val="16"/>
              </w:rPr>
              <w:t>$1.00/gallon</w:t>
            </w:r>
          </w:p>
        </w:tc>
        <w:tc>
          <w:tcPr>
            <w:tcW w:w="1194" w:type="dxa"/>
            <w:vAlign w:val="bottom"/>
          </w:tcPr>
          <w:p w14:paraId="667345C7" w14:textId="77777777" w:rsidR="00CF626A" w:rsidRPr="001531CD" w:rsidRDefault="00315F7B">
            <w:pPr>
              <w:jc w:val="center"/>
              <w:rPr>
                <w:sz w:val="16"/>
              </w:rPr>
            </w:pPr>
            <w:r w:rsidRPr="001531CD">
              <w:rPr>
                <w:sz w:val="16"/>
              </w:rPr>
              <w:t xml:space="preserve"> </w:t>
            </w:r>
            <w:r w:rsidR="00CF626A" w:rsidRPr="001531CD">
              <w:rPr>
                <w:sz w:val="16"/>
              </w:rPr>
              <w:t>$0.75/liter or</w:t>
            </w:r>
          </w:p>
          <w:p w14:paraId="6F48DE06" w14:textId="77777777" w:rsidR="00CF626A" w:rsidRPr="001531CD" w:rsidRDefault="00CF626A">
            <w:pPr>
              <w:jc w:val="center"/>
              <w:rPr>
                <w:sz w:val="16"/>
              </w:rPr>
            </w:pPr>
            <w:r w:rsidRPr="001531CD">
              <w:rPr>
                <w:sz w:val="16"/>
              </w:rPr>
              <w:t>$3.00/gallon</w:t>
            </w:r>
          </w:p>
        </w:tc>
        <w:tc>
          <w:tcPr>
            <w:tcW w:w="840" w:type="dxa"/>
            <w:vAlign w:val="bottom"/>
          </w:tcPr>
          <w:p w14:paraId="597A7A40" w14:textId="77777777" w:rsidR="00CF626A" w:rsidRPr="001531CD" w:rsidRDefault="004026A3">
            <w:pPr>
              <w:jc w:val="center"/>
              <w:rPr>
                <w:sz w:val="16"/>
              </w:rPr>
            </w:pPr>
            <w:r w:rsidRPr="001531CD">
              <w:rPr>
                <w:sz w:val="16"/>
              </w:rPr>
              <w:t xml:space="preserve">   </w:t>
            </w:r>
            <w:r w:rsidR="00CF626A" w:rsidRPr="001531CD">
              <w:rPr>
                <w:sz w:val="16"/>
              </w:rPr>
              <w:t>$0.01 or 0.02</w:t>
            </w:r>
          </w:p>
        </w:tc>
        <w:tc>
          <w:tcPr>
            <w:tcW w:w="960" w:type="dxa"/>
            <w:vAlign w:val="bottom"/>
          </w:tcPr>
          <w:p w14:paraId="4AB0BCA5" w14:textId="77777777" w:rsidR="00CF626A" w:rsidRPr="001531CD" w:rsidRDefault="00CF626A">
            <w:pPr>
              <w:jc w:val="center"/>
              <w:rPr>
                <w:sz w:val="16"/>
              </w:rPr>
            </w:pPr>
            <w:r w:rsidRPr="001531CD">
              <w:rPr>
                <w:sz w:val="16"/>
              </w:rPr>
              <w:t>± $0.01</w:t>
            </w:r>
          </w:p>
        </w:tc>
        <w:tc>
          <w:tcPr>
            <w:tcW w:w="750" w:type="dxa"/>
            <w:tcMar>
              <w:left w:w="72" w:type="dxa"/>
              <w:right w:w="72" w:type="dxa"/>
            </w:tcMar>
            <w:vAlign w:val="bottom"/>
          </w:tcPr>
          <w:p w14:paraId="7941E625" w14:textId="77777777" w:rsidR="00CF626A" w:rsidRPr="001531CD" w:rsidRDefault="00CF626A">
            <w:pPr>
              <w:jc w:val="center"/>
              <w:rPr>
                <w:sz w:val="16"/>
              </w:rPr>
            </w:pPr>
            <w:r w:rsidRPr="001531CD">
              <w:rPr>
                <w:sz w:val="16"/>
              </w:rPr>
              <w:t>± $0.02</w:t>
            </w:r>
          </w:p>
        </w:tc>
      </w:tr>
      <w:tr w:rsidR="00CF626A" w:rsidRPr="001531CD" w14:paraId="29DEAAD2" w14:textId="77777777" w:rsidTr="00167E2E">
        <w:trPr>
          <w:cantSplit/>
          <w:jc w:val="center"/>
        </w:trPr>
        <w:tc>
          <w:tcPr>
            <w:tcW w:w="1189" w:type="dxa"/>
            <w:vAlign w:val="bottom"/>
          </w:tcPr>
          <w:p w14:paraId="285D11B0" w14:textId="77777777" w:rsidR="00CF626A" w:rsidRPr="001531CD" w:rsidRDefault="004026A3">
            <w:pPr>
              <w:jc w:val="center"/>
              <w:rPr>
                <w:sz w:val="16"/>
              </w:rPr>
            </w:pPr>
            <w:r w:rsidRPr="001531CD">
              <w:rPr>
                <w:sz w:val="16"/>
              </w:rPr>
              <w:t xml:space="preserve"> </w:t>
            </w:r>
            <w:r w:rsidR="00CF626A" w:rsidRPr="001531CD">
              <w:rPr>
                <w:sz w:val="16"/>
              </w:rPr>
              <w:t>$0.75/liter or</w:t>
            </w:r>
          </w:p>
          <w:p w14:paraId="157C5BB1" w14:textId="77777777" w:rsidR="00CF626A" w:rsidRPr="001531CD" w:rsidRDefault="00CF626A">
            <w:pPr>
              <w:jc w:val="center"/>
              <w:rPr>
                <w:sz w:val="16"/>
              </w:rPr>
            </w:pPr>
            <w:r w:rsidRPr="001531CD">
              <w:rPr>
                <w:sz w:val="16"/>
              </w:rPr>
              <w:t>$3.00/gallon</w:t>
            </w:r>
          </w:p>
        </w:tc>
        <w:tc>
          <w:tcPr>
            <w:tcW w:w="1194" w:type="dxa"/>
            <w:vAlign w:val="bottom"/>
          </w:tcPr>
          <w:p w14:paraId="5ED6451A" w14:textId="77777777" w:rsidR="00CF626A" w:rsidRPr="001531CD" w:rsidRDefault="00CF626A">
            <w:pPr>
              <w:jc w:val="center"/>
              <w:rPr>
                <w:sz w:val="16"/>
              </w:rPr>
            </w:pPr>
            <w:r w:rsidRPr="001531CD">
              <w:rPr>
                <w:sz w:val="16"/>
              </w:rPr>
              <w:t>$</w:t>
            </w:r>
            <w:r w:rsidR="00315F7B" w:rsidRPr="001531CD">
              <w:rPr>
                <w:sz w:val="16"/>
              </w:rPr>
              <w:t xml:space="preserve">  </w:t>
            </w:r>
            <w:r w:rsidRPr="001531CD">
              <w:rPr>
                <w:sz w:val="16"/>
              </w:rPr>
              <w:t>2.50/liter or</w:t>
            </w:r>
          </w:p>
          <w:p w14:paraId="5D25F24D" w14:textId="77777777" w:rsidR="00CF626A" w:rsidRPr="001531CD" w:rsidRDefault="00CF626A">
            <w:pPr>
              <w:jc w:val="center"/>
              <w:rPr>
                <w:sz w:val="16"/>
              </w:rPr>
            </w:pPr>
            <w:r w:rsidRPr="001531CD">
              <w:rPr>
                <w:sz w:val="16"/>
              </w:rPr>
              <w:t>$10.00/gallon</w:t>
            </w:r>
          </w:p>
        </w:tc>
        <w:tc>
          <w:tcPr>
            <w:tcW w:w="840" w:type="dxa"/>
            <w:vAlign w:val="bottom"/>
          </w:tcPr>
          <w:p w14:paraId="13CD577B" w14:textId="77777777" w:rsidR="00CF626A" w:rsidRPr="001531CD" w:rsidRDefault="004026A3">
            <w:pPr>
              <w:jc w:val="center"/>
              <w:rPr>
                <w:sz w:val="16"/>
              </w:rPr>
            </w:pPr>
            <w:r w:rsidRPr="001531CD">
              <w:rPr>
                <w:sz w:val="16"/>
              </w:rPr>
              <w:t xml:space="preserve">   </w:t>
            </w:r>
            <w:r w:rsidR="00CF626A" w:rsidRPr="001531CD">
              <w:rPr>
                <w:sz w:val="16"/>
              </w:rPr>
              <w:t>$0.01 or 0.02</w:t>
            </w:r>
          </w:p>
        </w:tc>
        <w:tc>
          <w:tcPr>
            <w:tcW w:w="960" w:type="dxa"/>
            <w:vAlign w:val="bottom"/>
          </w:tcPr>
          <w:p w14:paraId="47A1C58D" w14:textId="77777777" w:rsidR="00CF626A" w:rsidRPr="001531CD" w:rsidRDefault="00CF626A">
            <w:pPr>
              <w:jc w:val="center"/>
              <w:rPr>
                <w:sz w:val="16"/>
              </w:rPr>
            </w:pPr>
            <w:r w:rsidRPr="001531CD">
              <w:rPr>
                <w:sz w:val="16"/>
              </w:rPr>
              <w:t>± $0.01</w:t>
            </w:r>
          </w:p>
        </w:tc>
        <w:tc>
          <w:tcPr>
            <w:tcW w:w="750" w:type="dxa"/>
            <w:tcMar>
              <w:left w:w="72" w:type="dxa"/>
              <w:right w:w="72" w:type="dxa"/>
            </w:tcMar>
            <w:vAlign w:val="bottom"/>
          </w:tcPr>
          <w:p w14:paraId="24249115" w14:textId="77777777" w:rsidR="00CF626A" w:rsidRPr="001531CD" w:rsidRDefault="00CF626A">
            <w:pPr>
              <w:jc w:val="center"/>
              <w:rPr>
                <w:sz w:val="16"/>
              </w:rPr>
            </w:pPr>
            <w:r w:rsidRPr="001531CD">
              <w:rPr>
                <w:sz w:val="16"/>
              </w:rPr>
              <w:t>± $0.02</w:t>
            </w:r>
          </w:p>
        </w:tc>
      </w:tr>
      <w:tr w:rsidR="00CF626A" w:rsidRPr="001531CD" w14:paraId="0A56BC58" w14:textId="77777777" w:rsidTr="00167E2E">
        <w:trPr>
          <w:cantSplit/>
          <w:jc w:val="center"/>
        </w:trPr>
        <w:tc>
          <w:tcPr>
            <w:tcW w:w="1189" w:type="dxa"/>
            <w:vAlign w:val="bottom"/>
          </w:tcPr>
          <w:p w14:paraId="5E4C0C1C" w14:textId="77777777" w:rsidR="00CF626A" w:rsidRPr="001531CD" w:rsidRDefault="004026A3">
            <w:pPr>
              <w:jc w:val="center"/>
              <w:rPr>
                <w:sz w:val="16"/>
              </w:rPr>
            </w:pPr>
            <w:r w:rsidRPr="001531CD">
              <w:rPr>
                <w:sz w:val="16"/>
              </w:rPr>
              <w:t xml:space="preserve"> </w:t>
            </w:r>
            <w:r w:rsidR="00CF626A" w:rsidRPr="001531CD">
              <w:rPr>
                <w:sz w:val="16"/>
              </w:rPr>
              <w:t>$0.75/liter or</w:t>
            </w:r>
          </w:p>
          <w:p w14:paraId="26797580" w14:textId="77777777" w:rsidR="00CF626A" w:rsidRPr="001531CD" w:rsidRDefault="00CF626A">
            <w:pPr>
              <w:jc w:val="center"/>
              <w:rPr>
                <w:sz w:val="16"/>
              </w:rPr>
            </w:pPr>
            <w:r w:rsidRPr="001531CD">
              <w:rPr>
                <w:sz w:val="16"/>
              </w:rPr>
              <w:t>$3.00/gallon</w:t>
            </w:r>
          </w:p>
        </w:tc>
        <w:tc>
          <w:tcPr>
            <w:tcW w:w="1194" w:type="dxa"/>
            <w:vAlign w:val="bottom"/>
          </w:tcPr>
          <w:p w14:paraId="1C9D757C" w14:textId="77777777" w:rsidR="00CF626A" w:rsidRPr="001531CD" w:rsidRDefault="00CF626A">
            <w:pPr>
              <w:jc w:val="center"/>
              <w:rPr>
                <w:sz w:val="16"/>
              </w:rPr>
            </w:pPr>
            <w:r w:rsidRPr="001531CD">
              <w:rPr>
                <w:sz w:val="16"/>
              </w:rPr>
              <w:t>$</w:t>
            </w:r>
            <w:r w:rsidR="00315F7B" w:rsidRPr="001531CD">
              <w:rPr>
                <w:sz w:val="16"/>
              </w:rPr>
              <w:t xml:space="preserve">  </w:t>
            </w:r>
            <w:r w:rsidRPr="001531CD">
              <w:rPr>
                <w:sz w:val="16"/>
              </w:rPr>
              <w:t>2.50/liter or</w:t>
            </w:r>
          </w:p>
          <w:p w14:paraId="5FB0E28C" w14:textId="77777777" w:rsidR="00CF626A" w:rsidRPr="001531CD" w:rsidRDefault="00CF626A">
            <w:pPr>
              <w:jc w:val="center"/>
              <w:rPr>
                <w:sz w:val="16"/>
              </w:rPr>
            </w:pPr>
            <w:r w:rsidRPr="001531CD">
              <w:rPr>
                <w:sz w:val="16"/>
              </w:rPr>
              <w:t>$10.00/gallon</w:t>
            </w:r>
          </w:p>
        </w:tc>
        <w:tc>
          <w:tcPr>
            <w:tcW w:w="840" w:type="dxa"/>
            <w:vAlign w:val="bottom"/>
          </w:tcPr>
          <w:p w14:paraId="1FF00029" w14:textId="77777777" w:rsidR="00CF626A" w:rsidRPr="001531CD" w:rsidRDefault="00CF626A">
            <w:pPr>
              <w:jc w:val="center"/>
              <w:rPr>
                <w:sz w:val="16"/>
              </w:rPr>
            </w:pPr>
            <w:r w:rsidRPr="001531CD">
              <w:rPr>
                <w:sz w:val="16"/>
              </w:rPr>
              <w:t>$0.05</w:t>
            </w:r>
          </w:p>
        </w:tc>
        <w:tc>
          <w:tcPr>
            <w:tcW w:w="960" w:type="dxa"/>
            <w:tcMar>
              <w:left w:w="86" w:type="dxa"/>
              <w:right w:w="86" w:type="dxa"/>
            </w:tcMar>
            <w:vAlign w:val="bottom"/>
          </w:tcPr>
          <w:p w14:paraId="5542DC91" w14:textId="77777777" w:rsidR="00CF626A" w:rsidRPr="001531CD" w:rsidRDefault="00CF626A">
            <w:pPr>
              <w:jc w:val="center"/>
              <w:rPr>
                <w:sz w:val="16"/>
              </w:rPr>
            </w:pPr>
            <w:r w:rsidRPr="001531CD">
              <w:rPr>
                <w:sz w:val="16"/>
              </w:rPr>
              <w:t>± $0.02 1/2</w:t>
            </w:r>
          </w:p>
        </w:tc>
        <w:tc>
          <w:tcPr>
            <w:tcW w:w="750" w:type="dxa"/>
            <w:tcMar>
              <w:left w:w="72" w:type="dxa"/>
              <w:right w:w="72" w:type="dxa"/>
            </w:tcMar>
            <w:vAlign w:val="bottom"/>
          </w:tcPr>
          <w:p w14:paraId="01147EF2" w14:textId="77777777" w:rsidR="00CF626A" w:rsidRPr="001531CD" w:rsidRDefault="00CF626A">
            <w:pPr>
              <w:jc w:val="center"/>
              <w:rPr>
                <w:sz w:val="16"/>
              </w:rPr>
            </w:pPr>
            <w:r w:rsidRPr="001531CD">
              <w:rPr>
                <w:sz w:val="16"/>
              </w:rPr>
              <w:t>± $0.05</w:t>
            </w:r>
          </w:p>
        </w:tc>
      </w:tr>
    </w:tbl>
    <w:p w14:paraId="3C8438D0" w14:textId="77777777" w:rsidR="00CF626A" w:rsidRDefault="00CF626A">
      <w:pPr>
        <w:pStyle w:val="A"/>
        <w:spacing w:before="200"/>
      </w:pPr>
      <w:r w:rsidRPr="001531CD">
        <w:t>F.</w:t>
      </w:r>
      <w:r w:rsidRPr="001531CD">
        <w:tab/>
        <w:t xml:space="preserve">When a product or grade is offered for sale at more than one unit price through a computing device, the selection of the unit price shall be made prior to delivery using controls on the device or other customer-activated controls except for </w:t>
      </w:r>
      <w:r w:rsidRPr="001531CD">
        <w:t>dispensers used exclusively for fleet sales, other price contract sales, and truck refueling, e.g., truck stop dispensers used only to refuel trucks. A system shall not permit a change to the unit price during delivery of product. When a delivery is completed, the total price and quantity for that transaction shall be displayed on the face of the dispenser for at least five minutes or until the next transaction is initiated by using controls on the device or other customer-activated controls.</w:t>
      </w:r>
    </w:p>
    <w:p w14:paraId="3784556C" w14:textId="77777777" w:rsidR="00C06944" w:rsidRPr="006A5017" w:rsidRDefault="00C06944" w:rsidP="00C06944">
      <w:pPr>
        <w:pStyle w:val="A"/>
      </w:pPr>
      <w:r w:rsidRPr="006A5017">
        <w:t>G.</w:t>
      </w:r>
      <w:r w:rsidRPr="006A5017">
        <w:tab/>
        <w:t>A retailer is not required to have a street sign or billboard to advertise available motor fuels and their prices or to advertise every grade of motor fuel available at the retail location.</w:t>
      </w:r>
      <w:r>
        <w:t xml:space="preserve"> </w:t>
      </w:r>
      <w:r w:rsidRPr="006A5017">
        <w:t xml:space="preserve">However, if a retailer chooses to use a street sign and/or billboard to advertise the retail location’s available motor fuels, then the street sign and/or billboard shall conspicuously display the following: </w:t>
      </w:r>
    </w:p>
    <w:p w14:paraId="6ACDE7E6" w14:textId="77777777" w:rsidR="00C06944" w:rsidRPr="006A5017" w:rsidRDefault="00C06944" w:rsidP="00C06944">
      <w:pPr>
        <w:pStyle w:val="1"/>
      </w:pPr>
      <w:r w:rsidRPr="006A5017">
        <w:t>1.</w:t>
      </w:r>
      <w:r w:rsidRPr="006A5017">
        <w:tab/>
        <w:t xml:space="preserve">type(s) or grade(s) of motor fuel being advertised; and </w:t>
      </w:r>
    </w:p>
    <w:p w14:paraId="78465052" w14:textId="77777777" w:rsidR="00C06944" w:rsidRPr="001531CD" w:rsidRDefault="00C06944" w:rsidP="00C06944">
      <w:pPr>
        <w:pStyle w:val="A"/>
        <w:spacing w:before="200"/>
      </w:pPr>
      <w:r w:rsidRPr="006A5017">
        <w:t>2.</w:t>
      </w:r>
      <w:r w:rsidRPr="006A5017">
        <w:tab/>
        <w:t>the highest price(s) for the advertised grade(s) of motor fuel(s). In the event that the same grade of motor fuel is sold at different prices at the same retail location, a lower price for that grade of motor fuel may be displayed as long as the conditions under which the lower price may be obtained are clearly posted on the sign and available to everyone who qualifies for that lower price. If the sign or billboard displays a flashing sign with multiple prices for each grade of motor fuel, each price displayed with the conditions under which it may be obtained shall be visible for a period of at least three seconds.</w:t>
      </w:r>
    </w:p>
    <w:p w14:paraId="3C845E0A" w14:textId="77777777" w:rsidR="00CF626A" w:rsidRPr="001531CD" w:rsidRDefault="008C7B85">
      <w:pPr>
        <w:pStyle w:val="AuthorityNote"/>
      </w:pPr>
      <w:r w:rsidRPr="00550D56">
        <w:t>AUTHORITY NOTE:</w:t>
      </w:r>
      <w:r w:rsidRPr="00550D56">
        <w:tab/>
        <w:t>Promulgated in accordance with R.S. 3:4671, 4672, 4673, 4680, and 4681.</w:t>
      </w:r>
    </w:p>
    <w:p w14:paraId="3D18700A"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8C7B85">
        <w:t>asures, LR 31:31 (January 2005), amended LR 41:2099</w:t>
      </w:r>
      <w:r w:rsidR="008C7B85" w:rsidRPr="007B1D05">
        <w:t xml:space="preserve"> (October 2015)</w:t>
      </w:r>
      <w:r w:rsidR="00BE05FD" w:rsidRPr="006A5017">
        <w:t xml:space="preserve">, </w:t>
      </w:r>
      <w:r w:rsidR="00BE05FD">
        <w:t xml:space="preserve">amended by the </w:t>
      </w:r>
      <w:r w:rsidR="00BE05FD" w:rsidRPr="006A5017">
        <w:t xml:space="preserve">Department of Agriculture and Forestry, Office of Agro-Consumer Services </w:t>
      </w:r>
      <w:r w:rsidR="00BE05FD">
        <w:t>LR 47</w:t>
      </w:r>
      <w:r w:rsidR="00BE05FD" w:rsidRPr="006A5017">
        <w:t>:</w:t>
      </w:r>
      <w:r w:rsidR="00BE05FD">
        <w:t>562 (May 2021).</w:t>
      </w:r>
    </w:p>
    <w:p w14:paraId="6D8EF144" w14:textId="77777777" w:rsidR="00CF626A" w:rsidRPr="001531CD" w:rsidRDefault="00CF626A">
      <w:pPr>
        <w:pStyle w:val="Section"/>
      </w:pPr>
      <w:bookmarkStart w:id="3101" w:name="_Toc256755120"/>
      <w:bookmarkStart w:id="3102" w:name="_Toc224819508"/>
      <w:r w:rsidRPr="001531CD">
        <w:t>§323.</w:t>
      </w:r>
      <w:r w:rsidRPr="001531CD">
        <w:tab/>
        <w:t>Automotive Gasoline and Automotive Gasoline-Oxygenate Blends</w:t>
      </w:r>
      <w:bookmarkEnd w:id="3101"/>
      <w:bookmarkEnd w:id="3102"/>
      <w:r w:rsidRPr="001531CD">
        <w:t xml:space="preserve"> </w:t>
      </w:r>
    </w:p>
    <w:p w14:paraId="1FCAC267" w14:textId="77777777" w:rsidR="00CF626A" w:rsidRPr="001531CD" w:rsidRDefault="00CF626A">
      <w:pPr>
        <w:pStyle w:val="A"/>
      </w:pPr>
      <w:r w:rsidRPr="001531CD">
        <w:t>A.</w:t>
      </w:r>
      <w:r w:rsidRPr="001531CD">
        <w:tab/>
        <w:t>All dispensing devices for automotive gasoline and automotive gasoline-oxygenate blends shall post the Antiknock Index in accordance with applicable federal regulations (16 CFR Part 306, adopted 44 FR 19169, as amended 58 FR 41372-4, 59 FR 48798, 61 FR 54549, and 61 FR 55840).</w:t>
      </w:r>
    </w:p>
    <w:p w14:paraId="4090B745" w14:textId="77777777" w:rsidR="00CF626A" w:rsidRPr="001531CD" w:rsidRDefault="00CF626A">
      <w:pPr>
        <w:pStyle w:val="A"/>
      </w:pPr>
      <w:r w:rsidRPr="001531CD">
        <w:t>B.</w:t>
      </w:r>
      <w:r w:rsidRPr="001531CD">
        <w:tab/>
        <w:t xml:space="preserve">The term </w:t>
      </w:r>
      <w:r w:rsidRPr="001531CD">
        <w:rPr>
          <w:i/>
          <w:iCs/>
        </w:rPr>
        <w:t>leaded</w:t>
      </w:r>
      <w:r w:rsidRPr="001531CD">
        <w:t xml:space="preserve"> shall only be used when the fuel meets specification requirements of §303.A.5.</w:t>
      </w:r>
    </w:p>
    <w:p w14:paraId="0AD3A158" w14:textId="77777777" w:rsidR="00CF626A" w:rsidRPr="001531CD" w:rsidRDefault="00CF626A">
      <w:pPr>
        <w:pStyle w:val="A"/>
      </w:pPr>
      <w:r w:rsidRPr="001531CD">
        <w:t>C.</w:t>
      </w:r>
      <w:r w:rsidRPr="001531CD">
        <w:tab/>
        <w:t>Each dispensing device from which gasoline or gasoline-oxygenate blends containing a lead substitute is dispensed shall display the following legend: "Contains Lead Substitute." The lettering of this legend shall not be less than 12 mm (1/2 in) in height and the color of the lettering shall be in definite contrast to the background color to which it is applied.</w:t>
      </w:r>
    </w:p>
    <w:p w14:paraId="73E1672F" w14:textId="77777777" w:rsidR="00CF626A" w:rsidRPr="001531CD" w:rsidRDefault="00CF626A">
      <w:pPr>
        <w:pStyle w:val="A"/>
      </w:pPr>
      <w:r w:rsidRPr="001531CD">
        <w:t>D.</w:t>
      </w:r>
      <w:r w:rsidRPr="001531CD">
        <w:tab/>
        <w:t xml:space="preserve">Each dispensing device from which gasoline or gasoline-oxygenate blends that contain lead in amounts </w:t>
      </w:r>
      <w:r w:rsidRPr="001531CD">
        <w:lastRenderedPageBreak/>
        <w:t>sufficient to be considered "leaded" gasoline or lead substitute engine fuel are sold shall be equipped with a nozzle spout having a terminal end with an outside diameter of not less than 23.63 mm (0.930 in).</w:t>
      </w:r>
    </w:p>
    <w:p w14:paraId="29407B73" w14:textId="77777777" w:rsidR="00CF626A" w:rsidRPr="001531CD" w:rsidRDefault="00CF626A">
      <w:pPr>
        <w:pStyle w:val="A"/>
      </w:pPr>
      <w:r w:rsidRPr="001531CD">
        <w:t>E.</w:t>
      </w:r>
      <w:r w:rsidRPr="001531CD">
        <w:tab/>
        <w:t>It is prohibited to use specific terms to describe a grade of gasoline or gasoline-oxygenate blend unless it meets the minimum Antiknock Index requirement shown in Paragraph E.1: Minimum Antiknock Index Requirements.</w:t>
      </w:r>
    </w:p>
    <w:p w14:paraId="29CCAA8B" w14:textId="77777777" w:rsidR="00CF626A" w:rsidRPr="001531CD" w:rsidRDefault="00CF626A">
      <w:pPr>
        <w:pStyle w:val="1"/>
        <w:spacing w:after="200"/>
      </w:pPr>
      <w:r w:rsidRPr="001531CD">
        <w:t>1.</w:t>
      </w:r>
      <w:r w:rsidRPr="001531CD">
        <w:tab/>
        <w:t>Minimum Antiknock Index Requirements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672"/>
        <w:gridCol w:w="2136"/>
      </w:tblGrid>
      <w:tr w:rsidR="00CF626A" w:rsidRPr="001531CD" w14:paraId="1B457C20" w14:textId="77777777" w:rsidTr="008C7B85">
        <w:trPr>
          <w:cantSplit/>
          <w:jc w:val="center"/>
        </w:trPr>
        <w:tc>
          <w:tcPr>
            <w:tcW w:w="2672" w:type="dxa"/>
            <w:tcBorders>
              <w:top w:val="double" w:sz="6" w:space="0" w:color="auto"/>
              <w:bottom w:val="single" w:sz="6" w:space="0" w:color="auto"/>
            </w:tcBorders>
            <w:shd w:val="clear" w:color="auto" w:fill="BFBFBF"/>
          </w:tcPr>
          <w:p w14:paraId="2BB76014" w14:textId="77777777" w:rsidR="00CF626A" w:rsidRPr="001531CD" w:rsidRDefault="00CF626A">
            <w:pPr>
              <w:keepNext/>
              <w:jc w:val="center"/>
              <w:rPr>
                <w:b/>
                <w:bCs/>
                <w:sz w:val="16"/>
              </w:rPr>
            </w:pPr>
            <w:r w:rsidRPr="001531CD">
              <w:rPr>
                <w:b/>
                <w:bCs/>
                <w:sz w:val="16"/>
              </w:rPr>
              <w:t>Term</w:t>
            </w:r>
          </w:p>
        </w:tc>
        <w:tc>
          <w:tcPr>
            <w:tcW w:w="2136" w:type="dxa"/>
            <w:tcBorders>
              <w:top w:val="double" w:sz="6" w:space="0" w:color="auto"/>
              <w:bottom w:val="single" w:sz="6" w:space="0" w:color="auto"/>
            </w:tcBorders>
            <w:shd w:val="clear" w:color="auto" w:fill="BFBFBF"/>
            <w:vAlign w:val="bottom"/>
          </w:tcPr>
          <w:p w14:paraId="34EDA0FB" w14:textId="77777777" w:rsidR="00CF626A" w:rsidRPr="001531CD" w:rsidRDefault="00CF626A">
            <w:pPr>
              <w:keepNext/>
              <w:jc w:val="center"/>
              <w:rPr>
                <w:b/>
                <w:bCs/>
                <w:sz w:val="16"/>
              </w:rPr>
            </w:pPr>
            <w:r w:rsidRPr="001531CD">
              <w:rPr>
                <w:b/>
                <w:bCs/>
                <w:sz w:val="16"/>
              </w:rPr>
              <w:t>Minimum Antiknock Index</w:t>
            </w:r>
          </w:p>
        </w:tc>
      </w:tr>
      <w:tr w:rsidR="00CF626A" w:rsidRPr="001531CD" w14:paraId="5E7365EC" w14:textId="77777777" w:rsidTr="008C7B85">
        <w:trPr>
          <w:cantSplit/>
          <w:jc w:val="center"/>
        </w:trPr>
        <w:tc>
          <w:tcPr>
            <w:tcW w:w="2672" w:type="dxa"/>
            <w:tcBorders>
              <w:top w:val="single" w:sz="6" w:space="0" w:color="auto"/>
            </w:tcBorders>
          </w:tcPr>
          <w:p w14:paraId="53B7A147" w14:textId="77777777" w:rsidR="00CF626A" w:rsidRPr="001531CD" w:rsidRDefault="00CF626A">
            <w:pPr>
              <w:keepNext/>
              <w:rPr>
                <w:bCs/>
                <w:sz w:val="16"/>
              </w:rPr>
            </w:pPr>
            <w:r w:rsidRPr="001531CD">
              <w:rPr>
                <w:bCs/>
                <w:sz w:val="16"/>
              </w:rPr>
              <w:t>Premium, Super, Supreme, High</w:t>
            </w:r>
          </w:p>
        </w:tc>
        <w:tc>
          <w:tcPr>
            <w:tcW w:w="2136" w:type="dxa"/>
            <w:tcBorders>
              <w:top w:val="single" w:sz="6" w:space="0" w:color="auto"/>
            </w:tcBorders>
          </w:tcPr>
          <w:p w14:paraId="46B30FD6" w14:textId="77777777" w:rsidR="00CF626A" w:rsidRPr="001531CD" w:rsidRDefault="00CF626A">
            <w:pPr>
              <w:keepNext/>
              <w:jc w:val="center"/>
              <w:rPr>
                <w:bCs/>
                <w:sz w:val="16"/>
              </w:rPr>
            </w:pPr>
            <w:r w:rsidRPr="001531CD">
              <w:rPr>
                <w:bCs/>
                <w:sz w:val="16"/>
              </w:rPr>
              <w:t>91</w:t>
            </w:r>
          </w:p>
        </w:tc>
      </w:tr>
      <w:tr w:rsidR="00CF626A" w:rsidRPr="001531CD" w14:paraId="04583063" w14:textId="77777777">
        <w:trPr>
          <w:cantSplit/>
          <w:jc w:val="center"/>
        </w:trPr>
        <w:tc>
          <w:tcPr>
            <w:tcW w:w="2672" w:type="dxa"/>
          </w:tcPr>
          <w:p w14:paraId="0C19FF21" w14:textId="77777777" w:rsidR="00CF626A" w:rsidRPr="001531CD" w:rsidRDefault="00CF626A">
            <w:pPr>
              <w:keepNext/>
              <w:rPr>
                <w:bCs/>
                <w:sz w:val="16"/>
              </w:rPr>
            </w:pPr>
            <w:r w:rsidRPr="001531CD">
              <w:rPr>
                <w:bCs/>
                <w:sz w:val="16"/>
              </w:rPr>
              <w:t>Midgrade, Plus</w:t>
            </w:r>
          </w:p>
        </w:tc>
        <w:tc>
          <w:tcPr>
            <w:tcW w:w="2136" w:type="dxa"/>
          </w:tcPr>
          <w:p w14:paraId="5C5D5A25" w14:textId="77777777" w:rsidR="00CF626A" w:rsidRPr="001531CD" w:rsidRDefault="00CF626A">
            <w:pPr>
              <w:keepNext/>
              <w:jc w:val="center"/>
              <w:rPr>
                <w:bCs/>
                <w:sz w:val="16"/>
              </w:rPr>
            </w:pPr>
            <w:r w:rsidRPr="001531CD">
              <w:rPr>
                <w:bCs/>
                <w:sz w:val="16"/>
              </w:rPr>
              <w:t>89</w:t>
            </w:r>
          </w:p>
        </w:tc>
      </w:tr>
      <w:tr w:rsidR="00CF626A" w:rsidRPr="001531CD" w14:paraId="1F4AE3EF" w14:textId="77777777">
        <w:trPr>
          <w:cantSplit/>
          <w:jc w:val="center"/>
        </w:trPr>
        <w:tc>
          <w:tcPr>
            <w:tcW w:w="2672" w:type="dxa"/>
          </w:tcPr>
          <w:p w14:paraId="4644EB81" w14:textId="77777777" w:rsidR="00CF626A" w:rsidRPr="001531CD" w:rsidRDefault="00CF626A">
            <w:pPr>
              <w:keepNext/>
              <w:rPr>
                <w:bCs/>
                <w:sz w:val="16"/>
              </w:rPr>
            </w:pPr>
            <w:r w:rsidRPr="001531CD">
              <w:rPr>
                <w:bCs/>
                <w:sz w:val="16"/>
              </w:rPr>
              <w:t>Regular Leaded</w:t>
            </w:r>
          </w:p>
        </w:tc>
        <w:tc>
          <w:tcPr>
            <w:tcW w:w="2136" w:type="dxa"/>
          </w:tcPr>
          <w:p w14:paraId="5D0B8DC7" w14:textId="77777777" w:rsidR="00CF626A" w:rsidRPr="001531CD" w:rsidRDefault="00CF626A">
            <w:pPr>
              <w:keepNext/>
              <w:jc w:val="center"/>
              <w:rPr>
                <w:bCs/>
                <w:sz w:val="16"/>
              </w:rPr>
            </w:pPr>
            <w:r w:rsidRPr="001531CD">
              <w:rPr>
                <w:bCs/>
                <w:sz w:val="16"/>
              </w:rPr>
              <w:t>88</w:t>
            </w:r>
          </w:p>
        </w:tc>
      </w:tr>
      <w:tr w:rsidR="00CF626A" w:rsidRPr="001531CD" w14:paraId="33E74205" w14:textId="77777777">
        <w:trPr>
          <w:cantSplit/>
          <w:jc w:val="center"/>
        </w:trPr>
        <w:tc>
          <w:tcPr>
            <w:tcW w:w="2672" w:type="dxa"/>
          </w:tcPr>
          <w:p w14:paraId="17171D18" w14:textId="77777777" w:rsidR="00CF626A" w:rsidRPr="001531CD" w:rsidRDefault="00CF626A">
            <w:pPr>
              <w:keepNext/>
              <w:rPr>
                <w:bCs/>
                <w:sz w:val="16"/>
              </w:rPr>
            </w:pPr>
            <w:r w:rsidRPr="001531CD">
              <w:rPr>
                <w:bCs/>
                <w:sz w:val="16"/>
              </w:rPr>
              <w:t>Regular, Unleaded</w:t>
            </w:r>
          </w:p>
        </w:tc>
        <w:tc>
          <w:tcPr>
            <w:tcW w:w="2136" w:type="dxa"/>
          </w:tcPr>
          <w:p w14:paraId="6CC3F051" w14:textId="77777777" w:rsidR="00CF626A" w:rsidRPr="001531CD" w:rsidRDefault="00CF626A">
            <w:pPr>
              <w:keepNext/>
              <w:jc w:val="center"/>
              <w:rPr>
                <w:bCs/>
                <w:sz w:val="16"/>
              </w:rPr>
            </w:pPr>
            <w:r w:rsidRPr="001531CD">
              <w:rPr>
                <w:bCs/>
                <w:sz w:val="16"/>
              </w:rPr>
              <w:t>87</w:t>
            </w:r>
          </w:p>
        </w:tc>
      </w:tr>
    </w:tbl>
    <w:p w14:paraId="49DC978D" w14:textId="77777777" w:rsidR="00CF626A" w:rsidRPr="001531CD" w:rsidRDefault="00CF626A">
      <w:pPr>
        <w:pStyle w:val="A"/>
        <w:spacing w:before="200"/>
      </w:pPr>
      <w:r w:rsidRPr="001531CD">
        <w:t>F.</w:t>
      </w:r>
      <w:r w:rsidRPr="001531CD">
        <w:tab/>
        <w:t>The retailer shall be provided at the time of delivery of the fuel, on an invoice, bill of lading, shipping paper, or other documentation,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In addition, any gasoline containing more than 0.15 mass percent oxygen from methanol shall be identified as "with" or "containing" methanol. This documentation is only for dispenser labeling purposes; it is the responsibility of any potential blender to determine the total oxygen content of the engine fuel before blending.</w:t>
      </w:r>
    </w:p>
    <w:p w14:paraId="2EAEDEFB" w14:textId="77777777" w:rsidR="00CF626A" w:rsidRPr="001531CD" w:rsidRDefault="00CF626A">
      <w:pPr>
        <w:pStyle w:val="AuthorityNote"/>
      </w:pPr>
      <w:r w:rsidRPr="001531CD">
        <w:t>AUTHORITY NOTE:</w:t>
      </w:r>
      <w:r w:rsidRPr="001531CD">
        <w:tab/>
        <w:t>Promulgated in accordance with R.S. 3:4671, 4673, 4680, and 4681.</w:t>
      </w:r>
    </w:p>
    <w:p w14:paraId="05AD0619"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31:32 (January 2005).</w:t>
      </w:r>
    </w:p>
    <w:p w14:paraId="59CFA86D" w14:textId="77777777" w:rsidR="00CF626A" w:rsidRPr="001531CD" w:rsidRDefault="00CF626A">
      <w:pPr>
        <w:pStyle w:val="Section"/>
      </w:pPr>
      <w:bookmarkStart w:id="3103" w:name="_Toc256755121"/>
      <w:bookmarkStart w:id="3104" w:name="_Toc224819509"/>
      <w:r w:rsidRPr="001531CD">
        <w:t>§325.</w:t>
      </w:r>
      <w:r w:rsidRPr="001531CD">
        <w:tab/>
        <w:t>Diesel Fuel</w:t>
      </w:r>
      <w:bookmarkEnd w:id="3103"/>
      <w:bookmarkEnd w:id="3104"/>
    </w:p>
    <w:p w14:paraId="0E7D320C" w14:textId="77777777" w:rsidR="000028EE" w:rsidRPr="001531CD" w:rsidRDefault="000028EE" w:rsidP="000028EE">
      <w:pPr>
        <w:pStyle w:val="A"/>
        <w:rPr>
          <w:strike/>
        </w:rPr>
      </w:pPr>
      <w:r w:rsidRPr="001531CD">
        <w:t>A.</w:t>
      </w:r>
      <w:r w:rsidRPr="001531CD">
        <w:tab/>
        <w:t>Diesel fuel sold, offered for sale, or distributed in Louisiana shall be identified by grades No. 1-D, No. 1-D (low sulfur), No. 2-D, No. 2-D (low sulfur), No. 2-D (ultra-low sulfur) or No. 4-D.</w:t>
      </w:r>
    </w:p>
    <w:p w14:paraId="73F59EAB" w14:textId="77777777" w:rsidR="000028EE" w:rsidRPr="001531CD" w:rsidRDefault="000028EE" w:rsidP="000028EE">
      <w:pPr>
        <w:pStyle w:val="A"/>
      </w:pPr>
      <w:r w:rsidRPr="001531CD">
        <w:t>B.</w:t>
      </w:r>
      <w:r w:rsidRPr="001531CD">
        <w:tab/>
        <w:t>Each retail dispenser of diesel fuel shall be labeled according to the grade being dispensed. These labels shall be located on the upper 50 percent of the dispenser front panel in a position clear and conspicuous from the driver's position, in a type at least 12 mm (1/2 in) in height and 1.5 mm (1/16 in) stroke (width of type).</w:t>
      </w:r>
    </w:p>
    <w:p w14:paraId="30D4FBAF" w14:textId="77777777" w:rsidR="000028EE" w:rsidRPr="001531CD" w:rsidRDefault="000028EE" w:rsidP="000028EE">
      <w:pPr>
        <w:pStyle w:val="A"/>
      </w:pPr>
      <w:r w:rsidRPr="001531CD">
        <w:t>C.</w:t>
      </w:r>
      <w:r w:rsidRPr="001531CD">
        <w:tab/>
        <w:t>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§305.A.2.</w:t>
      </w:r>
    </w:p>
    <w:p w14:paraId="75C84243" w14:textId="77777777" w:rsidR="00CF626A" w:rsidRPr="001531CD" w:rsidRDefault="00CF626A">
      <w:pPr>
        <w:pStyle w:val="AuthorityNote"/>
      </w:pPr>
      <w:r w:rsidRPr="001531CD">
        <w:t>AUTHORITY NOTE:</w:t>
      </w:r>
      <w:r w:rsidRPr="001531CD">
        <w:tab/>
        <w:t>Promulgated in accordance with R.S. 3:4671, 4673, 4680, and 4681.</w:t>
      </w:r>
    </w:p>
    <w:p w14:paraId="1EA2EE71" w14:textId="77777777"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0028EE" w:rsidRPr="001531CD">
        <w:t>asures, LR 31:32 (January 2005), amended by the Department of Agriculture and Forestry, Office of Agro-Consumer Services, LR 34:2549 (December 2008).</w:t>
      </w:r>
    </w:p>
    <w:p w14:paraId="6BA22051" w14:textId="77777777" w:rsidR="00994CDB" w:rsidRPr="00550D56" w:rsidRDefault="006419D7" w:rsidP="00994CDB">
      <w:pPr>
        <w:pStyle w:val="Section"/>
      </w:pPr>
      <w:bookmarkStart w:id="3105" w:name="_Toc256755122"/>
      <w:bookmarkStart w:id="3106" w:name="_Toc224819510"/>
      <w:r w:rsidRPr="001531CD">
        <w:t>§327.</w:t>
      </w:r>
      <w:r w:rsidRPr="001531CD">
        <w:tab/>
      </w:r>
      <w:bookmarkEnd w:id="3105"/>
      <w:r w:rsidR="00994CDB" w:rsidRPr="00550D56">
        <w:t>Biodiesel and Biomass-Based Diesel</w:t>
      </w:r>
      <w:bookmarkEnd w:id="3106"/>
    </w:p>
    <w:p w14:paraId="45BEB744" w14:textId="77777777" w:rsidR="00994CDB" w:rsidRPr="00550D56" w:rsidRDefault="00994CDB" w:rsidP="00994CDB">
      <w:pPr>
        <w:pStyle w:val="A"/>
      </w:pPr>
      <w:r w:rsidRPr="00550D56">
        <w:t>A.</w:t>
      </w:r>
      <w:r w:rsidRPr="00550D56">
        <w:tab/>
        <w:t>A biodiesel or biomass-based diesel blend containing more than 5 percent of a biodiesel or biomass-based diesel by volume shall be identified by the term "biodiesel blend" or “biomass-based diesel blend.”</w:t>
      </w:r>
      <w:r>
        <w:t xml:space="preserve"> </w:t>
      </w:r>
      <w:r w:rsidRPr="00550D56">
        <w:t>A blend containing 5 percent or less of a biodiesel or biomass-based diesel by volume shall not be required to be identified by the term "biodiesel blend" or “biomass-based diesel blend.”</w:t>
      </w:r>
    </w:p>
    <w:p w14:paraId="40897EA6" w14:textId="77777777" w:rsidR="00994CDB" w:rsidRPr="00550D56" w:rsidRDefault="00994CDB" w:rsidP="00994CDB">
      <w:pPr>
        <w:pStyle w:val="A"/>
      </w:pPr>
      <w:r w:rsidRPr="00550D56">
        <w:t>B.</w:t>
      </w:r>
      <w:r w:rsidRPr="00550D56">
        <w:tab/>
        <w:t>Each dispenser of biodiesel or biomass-based diesel blends containing more than 5 percent but no more than 20 percent of a biodiesel or biomass-based diesel shall be labeled with either the capital letter B (biodiesel) or BBD (biomass-based diesel) followed by the numerical value representing the volume percentage of biodiesel or biomass-based diesel fuel and ending with "biodiesel blend" or “biomass-based diesel blend”</w:t>
      </w:r>
      <w:r>
        <w:t xml:space="preserve"> </w:t>
      </w:r>
      <w:r w:rsidRPr="00550D56">
        <w:t>(i.e., B10 biodiesel blend; B20 biodiesel blend, BBD20 biomass-based diesel blend), or the phrase "biodiesel blend between 5 percent and 20 percent" or “biomass-based diesel blend between 5 percent and 20 percent” or similar words.</w:t>
      </w:r>
    </w:p>
    <w:p w14:paraId="75CC8310" w14:textId="77777777" w:rsidR="00994CDB" w:rsidRPr="00550D56" w:rsidRDefault="00994CDB" w:rsidP="00994CDB">
      <w:pPr>
        <w:pStyle w:val="1"/>
      </w:pPr>
      <w:r w:rsidRPr="00550D56">
        <w:t>1.</w:t>
      </w:r>
      <w:r w:rsidRPr="00550D56">
        <w:tab/>
        <w:t>Each label shall be located on the upper 50 percent of the dispenser's front panel in a position clear and conspicuous from the driver's position.</w:t>
      </w:r>
    </w:p>
    <w:p w14:paraId="41CCF812" w14:textId="77777777" w:rsidR="00994CDB" w:rsidRPr="00550D56" w:rsidRDefault="00994CDB" w:rsidP="00994CDB">
      <w:pPr>
        <w:pStyle w:val="1"/>
      </w:pPr>
      <w:r w:rsidRPr="00550D56">
        <w:t>2.</w:t>
      </w:r>
      <w:r w:rsidRPr="00550D56">
        <w:tab/>
        <w:t>The size, color and lettering shall conform to the requirements of 16 CFR 306.12.</w:t>
      </w:r>
      <w:r>
        <w:t xml:space="preserve"> </w:t>
      </w:r>
      <w:r w:rsidRPr="00550D56">
        <w:t>Biodiesel uses blue letters in the black band at the top and black letters in a blue background at the bottom.</w:t>
      </w:r>
      <w:r>
        <w:t xml:space="preserve"> </w:t>
      </w:r>
      <w:r w:rsidRPr="00550D56">
        <w:t>Biomass-based diesel uses orange letters in the black band at the top and black letters in an orange background on the bottom.</w:t>
      </w:r>
    </w:p>
    <w:p w14:paraId="6F559CBC" w14:textId="77777777" w:rsidR="00994CDB" w:rsidRPr="00550D56" w:rsidRDefault="00994CDB" w:rsidP="00994CDB">
      <w:pPr>
        <w:pStyle w:val="1"/>
      </w:pPr>
      <w:r w:rsidRPr="00550D56">
        <w:t>3.</w:t>
      </w:r>
      <w:r w:rsidRPr="00550D56">
        <w:tab/>
        <w:t>For blends that contain more than 20 percent biodiesel or biomass-based diesel, the label must state the blend percentage and follow the color scheme above.</w:t>
      </w:r>
    </w:p>
    <w:p w14:paraId="426ABC1A" w14:textId="77777777" w:rsidR="00994CDB" w:rsidRPr="00550D56" w:rsidRDefault="00994CDB" w:rsidP="00994CDB">
      <w:pPr>
        <w:pStyle w:val="A"/>
      </w:pPr>
      <w:r w:rsidRPr="00550D56">
        <w:t>C.</w:t>
      </w:r>
      <w:r w:rsidRPr="00550D56">
        <w:tab/>
        <w:t>The distributor of a biodiesel or biomass-based diesel blended fuel that contains more than 5 percent of a biodiesel or biomass-based diesel by volume shall, at the time of delivery, provide the retailer with a written statement, whether on an invoice, bill of lading, or shipping paper, or other document, of the volume by percent of biodiesel or biomass-based diesel in the fuel. The retailer shall keep this information as part of his records.</w:t>
      </w:r>
    </w:p>
    <w:p w14:paraId="13BF0930" w14:textId="77777777" w:rsidR="006419D7" w:rsidRPr="001531CD" w:rsidRDefault="00994CDB" w:rsidP="00994CDB">
      <w:pPr>
        <w:pStyle w:val="AuthorityNote"/>
      </w:pPr>
      <w:r w:rsidRPr="00550D56">
        <w:t>AUTHORITY NOTE:</w:t>
      </w:r>
      <w:r w:rsidRPr="00550D56">
        <w:tab/>
        <w:t>Promulgated in accordance with R.S. 3:4608, 3:4673, and 3:4680.</w:t>
      </w:r>
    </w:p>
    <w:p w14:paraId="22D044D1" w14:textId="77777777" w:rsidR="006419D7" w:rsidRPr="001531CD" w:rsidRDefault="006419D7" w:rsidP="006419D7">
      <w:pPr>
        <w:pStyle w:val="HistoricalNote"/>
      </w:pPr>
      <w:r w:rsidRPr="001531CD">
        <w:t>HISTORICAL NOTE:</w:t>
      </w:r>
      <w:r w:rsidRPr="001531CD">
        <w:tab/>
        <w:t>Promulgated by the Department of Agriculture and Forestry, Office of Agro-Consumer Servi</w:t>
      </w:r>
      <w:r w:rsidR="00994CDB">
        <w:t xml:space="preserve">ces, LR 34:2549 (December 2008), </w:t>
      </w:r>
      <w:r w:rsidR="00994CDB" w:rsidRPr="00550D56">
        <w:t>amended by the Department of Agriculture and Forestry, Office of Agro-Consumer Services, Division of Weights and Measu</w:t>
      </w:r>
      <w:r w:rsidR="00994CDB">
        <w:t>res, LR 41:2100 (October 2015).</w:t>
      </w:r>
    </w:p>
    <w:p w14:paraId="2AECB941" w14:textId="77777777" w:rsidR="006419D7" w:rsidRPr="001531CD" w:rsidRDefault="006419D7" w:rsidP="006419D7">
      <w:pPr>
        <w:pStyle w:val="Section"/>
      </w:pPr>
      <w:bookmarkStart w:id="3107" w:name="_Toc256755123"/>
      <w:bookmarkStart w:id="3108" w:name="_Toc224819511"/>
      <w:r w:rsidRPr="001531CD">
        <w:t>§329.</w:t>
      </w:r>
      <w:r w:rsidRPr="001531CD">
        <w:tab/>
        <w:t>Aviation Turbine Fuels</w:t>
      </w:r>
      <w:bookmarkEnd w:id="3107"/>
      <w:bookmarkEnd w:id="3108"/>
    </w:p>
    <w:p w14:paraId="568BB659" w14:textId="77777777" w:rsidR="006419D7" w:rsidRPr="001531CD" w:rsidRDefault="006419D7" w:rsidP="006419D7">
      <w:pPr>
        <w:pStyle w:val="A"/>
      </w:pPr>
      <w:r w:rsidRPr="001531CD">
        <w:t>A.</w:t>
      </w:r>
      <w:r w:rsidRPr="001531CD">
        <w:tab/>
        <w:t>Aviation turbine fuels sold, offered for sale, or distributed in Louisiana shall be identified by Jet A, Jet A-1, or Jet B.</w:t>
      </w:r>
    </w:p>
    <w:p w14:paraId="48DF55F7" w14:textId="77777777" w:rsidR="006419D7" w:rsidRPr="001531CD" w:rsidRDefault="006419D7" w:rsidP="006419D7">
      <w:pPr>
        <w:pStyle w:val="A"/>
      </w:pPr>
      <w:r w:rsidRPr="001531CD">
        <w:lastRenderedPageBreak/>
        <w:t>B.</w:t>
      </w:r>
      <w:r w:rsidRPr="001531CD">
        <w:tab/>
        <w:t>Each dispenser or airport fuel truck dispensing aviation turbine fuels shall be labeled in accordance with the "Standard for Aircraft Fuel Servicing," NFPA Standard 407.</w:t>
      </w:r>
      <w:r w:rsidRPr="001531CD">
        <w:rPr>
          <w:vertAlign w:val="superscript"/>
        </w:rPr>
        <w:t>1</w:t>
      </w:r>
    </w:p>
    <w:p w14:paraId="3AF1B235" w14:textId="77777777" w:rsidR="006419D7" w:rsidRPr="001531CD" w:rsidRDefault="006419D7" w:rsidP="006419D7">
      <w:pPr>
        <w:pStyle w:val="A"/>
      </w:pPr>
      <w:r w:rsidRPr="001531CD">
        <w:t>C.</w:t>
      </w:r>
      <w:r w:rsidRPr="001531CD">
        <w:tab/>
        <w:t>Each aircraft fuel-servicing vehicle shall have a sign on each side and the rear to indicate the product. The sign shall have letters at least 3 inches (75 mm) high of color sharply contrasting with its background for visibility. It shall show the word "FLAMMABLE" and the name of the product carried, such as "JET A," "JET B," "GASOLINE," or "AVGAS."</w:t>
      </w:r>
    </w:p>
    <w:p w14:paraId="654E6E0C" w14:textId="77777777" w:rsidR="006419D7" w:rsidRPr="001531CD" w:rsidRDefault="006419D7" w:rsidP="006419D7">
      <w:pPr>
        <w:pStyle w:val="LACNote"/>
        <w:ind w:left="331" w:right="288" w:hanging="43"/>
      </w:pPr>
      <w:r w:rsidRPr="001531CD">
        <w:rPr>
          <w:vertAlign w:val="superscript"/>
        </w:rPr>
        <w:t>1</w:t>
      </w:r>
      <w:r w:rsidRPr="001531CD">
        <w:t>National Fire Protection Association. A copy of the standard may be obtained from the NFPA web page www.nfpa.org or from the National Fire Protection Association, 1 Batterymarch Park, Quincy, Ma. 02169-7471, Telephone (617) 770-3000, Fax (617) 770-0700.</w:t>
      </w:r>
    </w:p>
    <w:p w14:paraId="0CE0B78D" w14:textId="77777777" w:rsidR="006419D7" w:rsidRPr="001531CD" w:rsidRDefault="006419D7" w:rsidP="006419D7">
      <w:pPr>
        <w:pStyle w:val="AuthorityNote"/>
      </w:pPr>
      <w:r w:rsidRPr="001531CD">
        <w:t>AUTHORITY NOTE:</w:t>
      </w:r>
      <w:r w:rsidRPr="001531CD">
        <w:tab/>
        <w:t>Promulgated in accordance with R.S. 3:4608, 3:4673, and 3:4680.</w:t>
      </w:r>
    </w:p>
    <w:p w14:paraId="23EE52FF" w14:textId="77777777"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31:32 (January 2005), repromulgated by the Department of Agriculture and Forestry, Office of Agro-Consumer Services, LR 34:2549 (December 2008).</w:t>
      </w:r>
    </w:p>
    <w:p w14:paraId="08F2D203" w14:textId="77777777" w:rsidR="006419D7" w:rsidRPr="001531CD" w:rsidRDefault="006419D7" w:rsidP="006419D7">
      <w:pPr>
        <w:pStyle w:val="Section"/>
      </w:pPr>
      <w:bookmarkStart w:id="3109" w:name="_Toc256755124"/>
      <w:bookmarkStart w:id="3110" w:name="_Toc224819512"/>
      <w:r w:rsidRPr="001531CD">
        <w:t>§331.</w:t>
      </w:r>
      <w:r w:rsidRPr="001531CD">
        <w:tab/>
        <w:t>Aviation Gasoline</w:t>
      </w:r>
      <w:bookmarkEnd w:id="3109"/>
      <w:bookmarkEnd w:id="3110"/>
    </w:p>
    <w:p w14:paraId="666F7A9B" w14:textId="77777777" w:rsidR="006419D7" w:rsidRPr="001531CD" w:rsidRDefault="006419D7" w:rsidP="006419D7">
      <w:pPr>
        <w:pStyle w:val="A"/>
      </w:pPr>
      <w:r w:rsidRPr="001531CD">
        <w:t>A.</w:t>
      </w:r>
      <w:r w:rsidRPr="001531CD">
        <w:tab/>
        <w:t>Aviation gasoline sold, offered for sale, or distributed in Louisiana shall be identified by Grade 80, Grade 100, or Grade 100LL.</w:t>
      </w:r>
    </w:p>
    <w:p w14:paraId="5DBF6B04" w14:textId="77777777" w:rsidR="006419D7" w:rsidRPr="001531CD" w:rsidRDefault="006419D7" w:rsidP="006419D7">
      <w:pPr>
        <w:pStyle w:val="A"/>
      </w:pPr>
      <w:r w:rsidRPr="001531CD">
        <w:t>B.</w:t>
      </w:r>
      <w:r w:rsidRPr="001531CD">
        <w:tab/>
        <w:t>Each dispenser or airport fuel truck dispensing aviation gasoline shall be labeled in accordance with the "Standard for Aircraft Fuel Servicing," NFPA Standard 407.</w:t>
      </w:r>
      <w:r w:rsidRPr="001531CD">
        <w:rPr>
          <w:vertAlign w:val="superscript"/>
        </w:rPr>
        <w:t>1</w:t>
      </w:r>
    </w:p>
    <w:p w14:paraId="13796913" w14:textId="77777777" w:rsidR="006419D7" w:rsidRPr="001531CD" w:rsidRDefault="006419D7" w:rsidP="006419D7">
      <w:pPr>
        <w:pStyle w:val="A"/>
      </w:pPr>
      <w:r w:rsidRPr="001531CD">
        <w:t>C.</w:t>
      </w:r>
      <w:r w:rsidRPr="001531CD">
        <w:tab/>
        <w:t>Each aircraft fuel-servicing vehicle shall have a sign on each side and the rear to indicate the product. The sign shall have letters at least 3 inches (75 mm) high of color sharply contrasting with its background for visibility. It shall show the word "FLAMMABLE" and the name of the product carried, such as "JET A," "JET B," "GASOLINE," or "AVGAS."</w:t>
      </w:r>
    </w:p>
    <w:p w14:paraId="33C0B19B" w14:textId="77777777" w:rsidR="006419D7" w:rsidRPr="001531CD" w:rsidRDefault="006419D7" w:rsidP="006419D7">
      <w:pPr>
        <w:pStyle w:val="LACNote"/>
        <w:ind w:left="331" w:right="288" w:hanging="43"/>
      </w:pPr>
      <w:r w:rsidRPr="001531CD">
        <w:rPr>
          <w:vertAlign w:val="superscript"/>
        </w:rPr>
        <w:t>1</w:t>
      </w:r>
      <w:r w:rsidRPr="001531CD">
        <w:t>National Fire Protection Association. A copy of the standard may be obtained from the NFPA web page www.nfpa.org or from the National Fire Protection Association, 1 Batterymarch Park, Quincy, Ma. 02169-7471, Telephone (617) 770-3000, Fax (617) 770-0700.</w:t>
      </w:r>
    </w:p>
    <w:p w14:paraId="026A4787" w14:textId="77777777" w:rsidR="006419D7" w:rsidRPr="001531CD" w:rsidRDefault="006419D7" w:rsidP="006419D7">
      <w:pPr>
        <w:pStyle w:val="AuthorityNote"/>
      </w:pPr>
      <w:r w:rsidRPr="001531CD">
        <w:t>AUTHORITY NOTE:</w:t>
      </w:r>
      <w:r w:rsidRPr="001531CD">
        <w:tab/>
        <w:t>Promulgated in accordance with R.S. 3:4608, 3:4673, and 3:4680.</w:t>
      </w:r>
    </w:p>
    <w:p w14:paraId="4246ACB5" w14:textId="77777777"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34:2549 (December 2008).</w:t>
      </w:r>
    </w:p>
    <w:p w14:paraId="2C5C6B1B" w14:textId="77777777" w:rsidR="006419D7" w:rsidRPr="001531CD" w:rsidRDefault="006419D7" w:rsidP="006419D7">
      <w:pPr>
        <w:pStyle w:val="Section"/>
      </w:pPr>
      <w:bookmarkStart w:id="3111" w:name="_Toc256755125"/>
      <w:bookmarkStart w:id="3112" w:name="_Toc224819513"/>
      <w:r w:rsidRPr="001531CD">
        <w:t>§333.</w:t>
      </w:r>
      <w:r w:rsidRPr="001531CD">
        <w:tab/>
        <w:t>Fuel Oils</w:t>
      </w:r>
      <w:bookmarkEnd w:id="3111"/>
      <w:bookmarkEnd w:id="3112"/>
    </w:p>
    <w:p w14:paraId="7085C2FF" w14:textId="77777777" w:rsidR="006419D7" w:rsidRPr="001531CD" w:rsidRDefault="006419D7" w:rsidP="006419D7">
      <w:pPr>
        <w:pStyle w:val="A"/>
      </w:pPr>
      <w:r w:rsidRPr="001531CD">
        <w:t>A.</w:t>
      </w:r>
      <w:r w:rsidRPr="001531CD">
        <w:tab/>
        <w:t>Fuel Oil sold, offered for sale, or distributed in Louisiana shall be identified by the grades of No. 1, No. 2, No. 4 (Light), No. 4, No. 5 (Light), No. 5 (Heavy), or No. 6.</w:t>
      </w:r>
    </w:p>
    <w:p w14:paraId="5696A8D2" w14:textId="77777777" w:rsidR="006419D7" w:rsidRPr="001531CD" w:rsidRDefault="006419D7" w:rsidP="006419D7">
      <w:pPr>
        <w:pStyle w:val="AuthorityNote"/>
      </w:pPr>
      <w:r w:rsidRPr="001531CD">
        <w:t>AUTHORITY NOTE:</w:t>
      </w:r>
      <w:r w:rsidRPr="001531CD">
        <w:tab/>
        <w:t>Promulgated in accordance with R.S. 3:4608, 3:4673, and 3:4680.</w:t>
      </w:r>
    </w:p>
    <w:p w14:paraId="6CD7679D" w14:textId="77777777"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34:2549 (December 2008).</w:t>
      </w:r>
    </w:p>
    <w:p w14:paraId="1EAEDE62" w14:textId="77777777" w:rsidR="006419D7" w:rsidRPr="001531CD" w:rsidRDefault="006419D7" w:rsidP="006419D7">
      <w:pPr>
        <w:pStyle w:val="Section"/>
      </w:pPr>
      <w:bookmarkStart w:id="3113" w:name="_Toc256755126"/>
      <w:bookmarkStart w:id="3114" w:name="_Toc224819514"/>
      <w:r w:rsidRPr="001531CD">
        <w:t>§335.</w:t>
      </w:r>
      <w:r w:rsidRPr="001531CD">
        <w:tab/>
        <w:t>Kerosene (Kerosine)</w:t>
      </w:r>
      <w:bookmarkEnd w:id="3113"/>
      <w:bookmarkEnd w:id="3114"/>
    </w:p>
    <w:p w14:paraId="35962241" w14:textId="77777777" w:rsidR="006419D7" w:rsidRPr="001531CD" w:rsidRDefault="006419D7" w:rsidP="006419D7">
      <w:pPr>
        <w:pStyle w:val="A"/>
      </w:pPr>
      <w:r w:rsidRPr="001531CD">
        <w:t>A.</w:t>
      </w:r>
      <w:r w:rsidRPr="001531CD">
        <w:tab/>
        <w:t xml:space="preserve">Kerosene sold, offered for sale, or distributed in Louisiana shall be identified by the grades No. 1-K or No. </w:t>
      </w:r>
      <w:r w:rsidRPr="001531CD">
        <w:br/>
        <w:t>2-K.</w:t>
      </w:r>
    </w:p>
    <w:p w14:paraId="5BACEA7C" w14:textId="77777777" w:rsidR="006419D7" w:rsidRPr="001531CD" w:rsidRDefault="006419D7" w:rsidP="006419D7">
      <w:pPr>
        <w:pStyle w:val="A"/>
      </w:pPr>
      <w:r w:rsidRPr="001531CD">
        <w:t>B.</w:t>
      </w:r>
      <w:r w:rsidRPr="001531CD">
        <w:tab/>
        <w:t>Each retail dispenser of kerosene shall be labeled as 1-K Kerosene or 2-K Kerosene. In addition, No. 2-K dispensers shall display the following legend: "Warning―Not Suitable For Use In Unvented Heaters Requiring No. 1-K." The lettering of this legend shall not be less than 12 mm (1/2 in) in height by 1.5 mm (1/16 in) stroke; block style letters and the color of lettering shall be in definite contrast to the background color to which it is applied.</w:t>
      </w:r>
    </w:p>
    <w:p w14:paraId="13AC6CD8" w14:textId="77777777" w:rsidR="006419D7" w:rsidRPr="001531CD" w:rsidRDefault="006419D7" w:rsidP="006419D7">
      <w:pPr>
        <w:pStyle w:val="AuthorityNote"/>
      </w:pPr>
      <w:r w:rsidRPr="001531CD">
        <w:t>AUTHORITY NOTE:</w:t>
      </w:r>
      <w:r w:rsidRPr="001531CD">
        <w:tab/>
        <w:t>Promulgated in accordance with R.S. 3:4608, 3:4673 and 3:4680.</w:t>
      </w:r>
    </w:p>
    <w:p w14:paraId="58D84D1E" w14:textId="77777777"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14:paraId="7D137001" w14:textId="77777777" w:rsidR="009C52FB" w:rsidRPr="001531CD" w:rsidRDefault="009C52FB" w:rsidP="009C52FB">
      <w:pPr>
        <w:pStyle w:val="Section"/>
      </w:pPr>
      <w:bookmarkStart w:id="3115" w:name="_Toc256755127"/>
      <w:bookmarkStart w:id="3116" w:name="_Toc224819515"/>
      <w:r w:rsidRPr="001531CD">
        <w:t>§337.</w:t>
      </w:r>
      <w:r w:rsidRPr="001531CD">
        <w:tab/>
        <w:t>Gasoline-Alcohol Blends</w:t>
      </w:r>
      <w:bookmarkEnd w:id="3115"/>
      <w:bookmarkEnd w:id="3116"/>
    </w:p>
    <w:p w14:paraId="6DBCDD15" w14:textId="77777777" w:rsidR="009C52FB" w:rsidRPr="001531CD" w:rsidRDefault="009C52FB" w:rsidP="009C52FB">
      <w:pPr>
        <w:pStyle w:val="A"/>
      </w:pPr>
      <w:r w:rsidRPr="001531CD">
        <w:t>A.</w:t>
      </w:r>
      <w:r w:rsidRPr="001531CD">
        <w:tab/>
        <w:t xml:space="preserve">A dispenser of motor fuel containing greater than </w:t>
      </w:r>
      <w:r w:rsidRPr="001531CD">
        <w:br/>
        <w:t>1 percent but no more than 10 percent ethanol by volume shall have a label on both sides of the dispenser stating "contains ethanol" or "contains up to 10 percent ethanol," or "may contain up to 10 percent ethanol," or similar wording approved by the commissioner.</w:t>
      </w:r>
    </w:p>
    <w:p w14:paraId="017A5F40" w14:textId="77777777" w:rsidR="009C52FB" w:rsidRPr="001531CD" w:rsidRDefault="009C52FB" w:rsidP="009C52FB">
      <w:pPr>
        <w:pStyle w:val="1"/>
      </w:pPr>
      <w:r w:rsidRPr="001531CD">
        <w:t>1.</w:t>
      </w:r>
      <w:r w:rsidRPr="001531CD">
        <w:tab/>
        <w:t xml:space="preserve">These labels shall be located on the upper </w:t>
      </w:r>
      <w:r w:rsidRPr="001531CD">
        <w:br/>
        <w:t>50 percent of the dispenser’s front panel in a position clear and conspicuous from the driver’s position, in a type at least 12 millimeter (1/2 in) in height, 1.5 millimeter (1/16 in) stroke (width of type).</w:t>
      </w:r>
    </w:p>
    <w:p w14:paraId="4EA4CE06" w14:textId="77777777" w:rsidR="009C52FB" w:rsidRPr="001531CD" w:rsidRDefault="009C52FB" w:rsidP="009C52FB">
      <w:pPr>
        <w:pStyle w:val="1"/>
      </w:pPr>
      <w:r w:rsidRPr="001531CD">
        <w:t>2.</w:t>
      </w:r>
      <w:r w:rsidRPr="001531CD">
        <w:tab/>
        <w:t>The color of the lettering shall be in definite contrast to the background color to which it is applied.</w:t>
      </w:r>
    </w:p>
    <w:p w14:paraId="2380A9BA" w14:textId="77777777" w:rsidR="009C52FB" w:rsidRPr="001531CD" w:rsidRDefault="009C52FB" w:rsidP="009C52FB">
      <w:pPr>
        <w:pStyle w:val="AuthorityNote"/>
      </w:pPr>
      <w:r w:rsidRPr="001531CD">
        <w:t>AUTHORITY NOTE:</w:t>
      </w:r>
      <w:r w:rsidRPr="001531CD">
        <w:tab/>
        <w:t>Promulgated in accordance with R.S. 3:4608, 3:4673, and 3:4680.</w:t>
      </w:r>
    </w:p>
    <w:p w14:paraId="19FC18F1"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LR 34:2550 (December 2008).</w:t>
      </w:r>
    </w:p>
    <w:p w14:paraId="77559D41" w14:textId="77777777" w:rsidR="009C52FB" w:rsidRPr="001531CD" w:rsidRDefault="009C52FB" w:rsidP="009C52FB">
      <w:pPr>
        <w:pStyle w:val="Section"/>
      </w:pPr>
      <w:bookmarkStart w:id="3117" w:name="_Toc256755128"/>
      <w:bookmarkStart w:id="3118" w:name="_Toc224819516"/>
      <w:r w:rsidRPr="001531CD">
        <w:t>§339.</w:t>
      </w:r>
      <w:r w:rsidRPr="001531CD">
        <w:tab/>
        <w:t>Fuel Ethanol</w:t>
      </w:r>
      <w:bookmarkEnd w:id="3117"/>
      <w:bookmarkEnd w:id="3118"/>
    </w:p>
    <w:p w14:paraId="2A7EC04C" w14:textId="77777777" w:rsidR="009C52FB" w:rsidRPr="001531CD" w:rsidRDefault="009C52FB" w:rsidP="009C52FB">
      <w:pPr>
        <w:pStyle w:val="A"/>
      </w:pPr>
      <w:r w:rsidRPr="001531CD">
        <w:t>A.</w:t>
      </w:r>
      <w:r w:rsidRPr="001531CD">
        <w:tab/>
        <w:t>Fuel ethanol sold, offered for sale, or distributed in Louisiana shall be identified by the capital letter E followed by the numerical value volume percentage of ethanol.</w:t>
      </w:r>
    </w:p>
    <w:p w14:paraId="5BA3FCD9" w14:textId="77777777" w:rsidR="009C52FB" w:rsidRPr="001531CD" w:rsidRDefault="009C52FB" w:rsidP="009C52FB">
      <w:pPr>
        <w:pStyle w:val="A"/>
      </w:pPr>
      <w:r w:rsidRPr="001531CD">
        <w:t>B.</w:t>
      </w:r>
      <w:r w:rsidRPr="001531CD">
        <w:tab/>
        <w:t>Each retail dispenser of fuel ethanol shall be labeled with the capital letter E followed by the numerical value volume percent denatured ethanol and ending with the word "ethanol", e.g., "E85 Ethanol."</w:t>
      </w:r>
    </w:p>
    <w:p w14:paraId="3D27F77C" w14:textId="77777777" w:rsidR="009C52FB" w:rsidRPr="001531CD" w:rsidRDefault="009C52FB" w:rsidP="009C52FB">
      <w:pPr>
        <w:pStyle w:val="A"/>
      </w:pPr>
      <w:r w:rsidRPr="001531CD">
        <w:t>C.</w:t>
      </w:r>
      <w:r w:rsidRPr="001531CD">
        <w:tab/>
        <w:t>Fuel ethanol shall be labeled with its automotive fuel rating in accordance with 16 CFR Part 306.</w:t>
      </w:r>
    </w:p>
    <w:p w14:paraId="414E240B" w14:textId="77777777" w:rsidR="009C52FB" w:rsidRPr="001531CD" w:rsidRDefault="009C52FB" w:rsidP="009C52FB">
      <w:pPr>
        <w:pStyle w:val="AuthorityNote"/>
      </w:pPr>
      <w:r w:rsidRPr="001531CD">
        <w:t>AUTHORITY NOTE:</w:t>
      </w:r>
      <w:r w:rsidRPr="001531CD">
        <w:tab/>
        <w:t>Promulgated in accordance with R.S. 3:4608, 3:4673, and 3:4680.</w:t>
      </w:r>
    </w:p>
    <w:p w14:paraId="6DC98539"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14:paraId="6708C3A1" w14:textId="77777777" w:rsidR="009C52FB" w:rsidRPr="001531CD" w:rsidRDefault="009C52FB" w:rsidP="009C52FB">
      <w:pPr>
        <w:pStyle w:val="Section"/>
      </w:pPr>
      <w:bookmarkStart w:id="3119" w:name="_Toc256755129"/>
      <w:bookmarkStart w:id="3120" w:name="_Toc224819517"/>
      <w:r w:rsidRPr="001531CD">
        <w:lastRenderedPageBreak/>
        <w:t>§341.</w:t>
      </w:r>
      <w:r w:rsidRPr="001531CD">
        <w:tab/>
        <w:t>Fuel Methanol</w:t>
      </w:r>
      <w:bookmarkEnd w:id="3119"/>
      <w:bookmarkEnd w:id="3120"/>
    </w:p>
    <w:p w14:paraId="5645F54B" w14:textId="77777777" w:rsidR="009C52FB" w:rsidRPr="001531CD" w:rsidRDefault="009C52FB" w:rsidP="009C52FB">
      <w:pPr>
        <w:pStyle w:val="A"/>
      </w:pPr>
      <w:r w:rsidRPr="001531CD">
        <w:t>A.</w:t>
      </w:r>
      <w:r w:rsidRPr="001531CD">
        <w:tab/>
        <w:t>Fuel methanol sold, offered for sale, or distributed in Louisiana shall be identified by the capital letter M followed by the numerical value volume percentage of methanol.</w:t>
      </w:r>
    </w:p>
    <w:p w14:paraId="54E0171C" w14:textId="77777777" w:rsidR="009C52FB" w:rsidRPr="001531CD" w:rsidRDefault="009C52FB" w:rsidP="009C52FB">
      <w:pPr>
        <w:pStyle w:val="A"/>
      </w:pPr>
      <w:r w:rsidRPr="001531CD">
        <w:t>B.</w:t>
      </w:r>
      <w:r w:rsidRPr="001531CD">
        <w:tab/>
        <w:t>Each retail dispenser of fuel methanol shall be labeled by the capital letter M followed by the numerical value volume percent and ending with the word "methanol", e.g., "M85 Methanol."</w:t>
      </w:r>
    </w:p>
    <w:p w14:paraId="33E37759" w14:textId="77777777" w:rsidR="009C52FB" w:rsidRPr="001531CD" w:rsidRDefault="009C52FB" w:rsidP="009C52FB">
      <w:pPr>
        <w:pStyle w:val="A"/>
      </w:pPr>
      <w:r w:rsidRPr="001531CD">
        <w:t>C.</w:t>
      </w:r>
      <w:r w:rsidRPr="001531CD">
        <w:tab/>
        <w:t>Fuel methanol shall be labeled with its automotive fuel rating in accordance with 16 CFR Part 306.</w:t>
      </w:r>
    </w:p>
    <w:p w14:paraId="38665392" w14:textId="77777777" w:rsidR="009C52FB" w:rsidRPr="001531CD" w:rsidRDefault="009C52FB" w:rsidP="009C52FB">
      <w:pPr>
        <w:pStyle w:val="AuthorityNote"/>
      </w:pPr>
      <w:r w:rsidRPr="001531CD">
        <w:t>AUTHORITY NOTE:</w:t>
      </w:r>
      <w:r w:rsidRPr="001531CD">
        <w:tab/>
        <w:t>Promulgated in accordance with R.S. 3:4608, 3:4673, and 3:4680.</w:t>
      </w:r>
    </w:p>
    <w:p w14:paraId="48A0D165"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14:paraId="5C8DE2DC" w14:textId="77777777" w:rsidR="009C52FB" w:rsidRPr="001531CD" w:rsidRDefault="009C52FB" w:rsidP="009C52FB">
      <w:pPr>
        <w:pStyle w:val="Section"/>
      </w:pPr>
      <w:bookmarkStart w:id="3121" w:name="_Toc256755130"/>
      <w:bookmarkStart w:id="3122" w:name="_Toc224819518"/>
      <w:r w:rsidRPr="001531CD">
        <w:t>§343.</w:t>
      </w:r>
      <w:r w:rsidRPr="001531CD">
        <w:tab/>
        <w:t>Retail Storage Tanks</w:t>
      </w:r>
      <w:bookmarkEnd w:id="3121"/>
      <w:bookmarkEnd w:id="3122"/>
    </w:p>
    <w:p w14:paraId="4A450396" w14:textId="77777777" w:rsidR="009C52FB" w:rsidRPr="001531CD" w:rsidRDefault="009C52FB" w:rsidP="009C52FB">
      <w:pPr>
        <w:pStyle w:val="A"/>
      </w:pPr>
      <w:r w:rsidRPr="001531CD">
        <w:t>A.</w:t>
      </w:r>
      <w:r w:rsidRPr="001531CD">
        <w:tab/>
        <w:t>No water phase greater than 6 mm (1/4 in), as determined by an appropriate detection paste, is allowed to accumulate in any tank utilized in the storage of gasoline-alcohol blend, aviation gasoline, and aviation turbine fuel.</w:t>
      </w:r>
    </w:p>
    <w:p w14:paraId="54A78063" w14:textId="77777777" w:rsidR="009C52FB" w:rsidRPr="001531CD" w:rsidRDefault="009C52FB" w:rsidP="009C52FB">
      <w:pPr>
        <w:pStyle w:val="A"/>
      </w:pPr>
      <w:r w:rsidRPr="001531CD">
        <w:t>B.</w:t>
      </w:r>
      <w:r w:rsidRPr="001531CD">
        <w:tab/>
        <w:t>Water shall not exceed 50 mm (2 in) in depth when measured with water indicating paste in any tank utilized in the storage of biodiesel, diesel, gasoline, gasoline-ether blends, and kerosene sold at retail except as required in Subsection A.</w:t>
      </w:r>
    </w:p>
    <w:p w14:paraId="38F52936" w14:textId="77777777" w:rsidR="009C52FB" w:rsidRPr="001531CD" w:rsidRDefault="009C52FB" w:rsidP="009C52FB">
      <w:pPr>
        <w:pStyle w:val="A"/>
      </w:pPr>
      <w:r w:rsidRPr="001531CD">
        <w:t>C.</w:t>
      </w:r>
      <w:r w:rsidRPr="001531CD">
        <w:tab/>
        <w:t>The fill connection for any petroleum product storage tank or vessel supplying engine-fuel devices shall be permanently, plainly, and visibly marked as to the product contained.</w:t>
      </w:r>
    </w:p>
    <w:p w14:paraId="303ACEE4" w14:textId="77777777" w:rsidR="009C52FB" w:rsidRPr="001531CD" w:rsidRDefault="009C52FB" w:rsidP="009C52FB">
      <w:pPr>
        <w:pStyle w:val="A"/>
      </w:pPr>
      <w:r w:rsidRPr="001531CD">
        <w:t>D.</w:t>
      </w:r>
      <w:r w:rsidRPr="001531CD">
        <w:tab/>
        <w:t>When the fill connection device is marked by means of a color code, the color code shall be conspicuously displayed at the place of business.</w:t>
      </w:r>
    </w:p>
    <w:p w14:paraId="5B1FC53D" w14:textId="77777777" w:rsidR="009C52FB" w:rsidRPr="001531CD" w:rsidRDefault="009C52FB" w:rsidP="009C52FB">
      <w:pPr>
        <w:pStyle w:val="A"/>
      </w:pPr>
      <w:r w:rsidRPr="001531CD">
        <w:t>E.</w:t>
      </w:r>
      <w:r w:rsidRPr="001531CD">
        <w:tab/>
        <w:t>Each retail location shall maintain on file a calibration chart or other means of determining the volume of each regulated product in each storage tank and the total capacity of such storage tank(s). This information shall be supplied immediately to the commissioner or his designee on request.</w:t>
      </w:r>
    </w:p>
    <w:p w14:paraId="6CDE88C7" w14:textId="77777777" w:rsidR="009C52FB" w:rsidRPr="001531CD" w:rsidRDefault="009C52FB" w:rsidP="009C52FB">
      <w:pPr>
        <w:pStyle w:val="AuthorityNote"/>
      </w:pPr>
      <w:r w:rsidRPr="001531CD">
        <w:t>AUTHORITY NOTE:</w:t>
      </w:r>
      <w:r w:rsidRPr="001531CD">
        <w:tab/>
        <w:t>Promulgated in accordance with R.S. 3:4608, 3:4673, and 3:4680.</w:t>
      </w:r>
    </w:p>
    <w:p w14:paraId="30322F68"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14:paraId="10517F07" w14:textId="77777777" w:rsidR="009C52FB" w:rsidRPr="001531CD" w:rsidRDefault="009C52FB" w:rsidP="009C52FB">
      <w:pPr>
        <w:pStyle w:val="Section"/>
      </w:pPr>
      <w:bookmarkStart w:id="3123" w:name="_Toc256755131"/>
      <w:bookmarkStart w:id="3124" w:name="_Toc224819519"/>
      <w:r w:rsidRPr="001531CD">
        <w:t>§345.</w:t>
      </w:r>
      <w:r w:rsidRPr="001531CD">
        <w:tab/>
        <w:t>Sampling</w:t>
      </w:r>
      <w:bookmarkEnd w:id="3123"/>
      <w:bookmarkEnd w:id="3124"/>
    </w:p>
    <w:p w14:paraId="2182E5A5" w14:textId="77777777" w:rsidR="009C52FB" w:rsidRPr="001531CD" w:rsidRDefault="009C52FB" w:rsidP="009C52FB">
      <w:pPr>
        <w:pStyle w:val="A"/>
      </w:pPr>
      <w:r w:rsidRPr="001531CD">
        <w:t>A.</w:t>
      </w:r>
      <w:r w:rsidRPr="001531CD">
        <w:tab/>
        <w:t xml:space="preserve">The commissioner or his designee may obtain samples of any and all petroleum products provided for in this Subchapter that are sold, offered for sale, distributed, or used in this state. The samples may be taken from any commercial weighing or measuring device used in the sale or distribution of petroleum products, from any tank or other container used in the transporting of such products, or from any tank or other </w:t>
      </w:r>
      <w:r w:rsidRPr="001531CD">
        <w:t>container containing petroleum products intended for distribution or use in Louisiana.</w:t>
      </w:r>
    </w:p>
    <w:p w14:paraId="35B0A3F6" w14:textId="77777777" w:rsidR="009C52FB" w:rsidRPr="001531CD" w:rsidRDefault="009C52FB" w:rsidP="009C52FB">
      <w:pPr>
        <w:pStyle w:val="AuthorityNote"/>
      </w:pPr>
      <w:r w:rsidRPr="001531CD">
        <w:t>AUTHORITY NOTE:</w:t>
      </w:r>
      <w:r w:rsidRPr="001531CD">
        <w:tab/>
        <w:t>Promulgated in accordance with R.S. 3:4608, 3:4673, and 3:4680.</w:t>
      </w:r>
    </w:p>
    <w:p w14:paraId="548EF6F9"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14:paraId="0BA589CC" w14:textId="77777777" w:rsidR="009C52FB" w:rsidRPr="001531CD" w:rsidRDefault="009C52FB" w:rsidP="009C52FB">
      <w:pPr>
        <w:pStyle w:val="Section"/>
      </w:pPr>
      <w:bookmarkStart w:id="3125" w:name="_Toc256755132"/>
      <w:bookmarkStart w:id="3126" w:name="_Toc224819520"/>
      <w:r w:rsidRPr="001531CD">
        <w:t>§347.</w:t>
      </w:r>
      <w:r w:rsidRPr="001531CD">
        <w:tab/>
        <w:t>Nonconforming Product</w:t>
      </w:r>
      <w:bookmarkEnd w:id="3125"/>
      <w:bookmarkEnd w:id="3126"/>
    </w:p>
    <w:p w14:paraId="68A41AB1" w14:textId="77777777" w:rsidR="009C52FB" w:rsidRPr="001531CD" w:rsidRDefault="009C52FB" w:rsidP="009C52FB">
      <w:pPr>
        <w:pStyle w:val="A"/>
      </w:pPr>
      <w:r w:rsidRPr="001531CD">
        <w:t>A.</w:t>
      </w:r>
      <w:r w:rsidRPr="001531CD">
        <w:tab/>
        <w:t>When the analysis of a sample of a petroleum product performed in conformity with the provisions of this Subchapter discloses that the product from which the sample was taken does not conform to the specifications fixed by this Subchapter, it is the duty of the commissioner to immediately serve notice on the manufacturer, distributor or seller that the product must not be sold in the state. If the petroleum product is in the process of transportation and has not yet been delivered to the consignee or retailer, the commissioner or his designee may immediately notify the consignor of the result of the test and instruct said consignor to withdraw the product from sale in this state. Failure on the part of the consignor to obey these orders shall constitute a violation of this Subchapter.</w:t>
      </w:r>
    </w:p>
    <w:p w14:paraId="7AA0F25B" w14:textId="77777777" w:rsidR="009C52FB" w:rsidRPr="001531CD" w:rsidRDefault="009C52FB" w:rsidP="009C52FB">
      <w:pPr>
        <w:pStyle w:val="A"/>
      </w:pPr>
      <w:r w:rsidRPr="001531CD">
        <w:t>B.</w:t>
      </w:r>
      <w:r w:rsidRPr="001531CD">
        <w:tab/>
        <w:t>If the petroleum product is not in the process of transportation, but is exposed or offered for sale or distribution, the commissioner or his designee may, by written order, stop the sale or distribution of this product. The retailer or distributor upon whom a stop-sale order is served is prohibited from exposing for sale, selling, or distributing this product until formally released by order of the commissioner. The stop-sale order given by the commissioner must apply only to that product and may not be extended to cover other petroleum products sold or distributed by a retail dealer or distributor which are found to conform to specifications fixed under the provisions of this Subchapter.</w:t>
      </w:r>
    </w:p>
    <w:p w14:paraId="0B7E8925" w14:textId="77777777" w:rsidR="00994CDB" w:rsidRPr="00550D56" w:rsidRDefault="00994CDB" w:rsidP="00994CDB">
      <w:pPr>
        <w:pStyle w:val="A"/>
      </w:pPr>
      <w:r w:rsidRPr="00550D56">
        <w:t>C.</w:t>
      </w:r>
      <w:r w:rsidRPr="00550D56">
        <w:tab/>
        <w:t>When the commissioner or his designee issues a written order to stop the offering for sale, sale, or distribution of a particular product which is maintained at a terminal or bulk plant facility, the terminal or bulk storage plant shall immediately notify all customers that received those product(s) and make any arrangements necessary to</w:t>
      </w:r>
      <w:r>
        <w:t xml:space="preserve"> </w:t>
      </w:r>
      <w:r w:rsidRPr="00550D56">
        <w:t xml:space="preserve">replace or adjust to specifications those product(s). The terminal or bulk storage plant shall also immediately notify the commissioner of those customers, their business locations, and the quantity of product delivered to each location. </w:t>
      </w:r>
    </w:p>
    <w:p w14:paraId="105FFC21" w14:textId="77777777" w:rsidR="00994CDB" w:rsidRPr="00550D56" w:rsidRDefault="00994CDB" w:rsidP="00994CDB">
      <w:pPr>
        <w:pStyle w:val="A"/>
      </w:pPr>
      <w:r w:rsidRPr="00550D56">
        <w:t>D.</w:t>
      </w:r>
      <w:r w:rsidRPr="00550D56">
        <w:tab/>
        <w:t>Once a stop sale order has been issued on a product, whether on the rack, in transport, or in retail, the disposition of the nonconforming product shall be communicated to the commissioner on a form provided by the department. The responsible party and driver shall both sign the form. For purposes of this Subsection, the responsible party shall be the distributor if the condemned product is on the rack or in transport and shall be the station owner or his designee if the condemned product is in retail.</w:t>
      </w:r>
      <w:r>
        <w:t xml:space="preserve"> </w:t>
      </w:r>
      <w:r w:rsidRPr="00550D56">
        <w:t>The responsible party will contact the department inspector to retrieve the signed form during normal business hours.</w:t>
      </w:r>
      <w:r>
        <w:t xml:space="preserve"> </w:t>
      </w:r>
      <w:r w:rsidRPr="00550D56">
        <w:t xml:space="preserve">A release from a stop-sale order will be issued only after the commissioner or his designee has </w:t>
      </w:r>
      <w:r w:rsidRPr="00550D56">
        <w:lastRenderedPageBreak/>
        <w:t xml:space="preserve">agreed upon final disposition of the product. Confirmation of disposition of products shall be made available in writing to the commissioner. Specific variations or exemptions may be made for fuels used for blending purposes or designed for special equipment or services and for which it can be demonstrated that the distribution will be restricted to those uses. </w:t>
      </w:r>
    </w:p>
    <w:p w14:paraId="4D582D7E" w14:textId="77777777" w:rsidR="00994CDB" w:rsidRPr="00550D56" w:rsidRDefault="00994CDB" w:rsidP="00994CDB">
      <w:pPr>
        <w:pStyle w:val="A"/>
      </w:pPr>
      <w:r w:rsidRPr="00550D56">
        <w:t>E.</w:t>
      </w:r>
      <w:r w:rsidRPr="00550D56">
        <w:tab/>
        <w:t>The following methods are approved for non-conforming products:</w:t>
      </w:r>
    </w:p>
    <w:p w14:paraId="4AD61AC2" w14:textId="77777777" w:rsidR="00994CDB" w:rsidRPr="00550D56" w:rsidRDefault="00994CDB" w:rsidP="00994CDB">
      <w:pPr>
        <w:pStyle w:val="1"/>
      </w:pPr>
      <w:r w:rsidRPr="00550D56">
        <w:t>1.</w:t>
      </w:r>
      <w:r w:rsidRPr="00550D56">
        <w:tab/>
        <w:t>the nonconforming product may be returned to the refinery for re-refining;</w:t>
      </w:r>
    </w:p>
    <w:p w14:paraId="12CD521B" w14:textId="77777777" w:rsidR="00994CDB" w:rsidRPr="00550D56" w:rsidRDefault="00994CDB" w:rsidP="00994CDB">
      <w:pPr>
        <w:pStyle w:val="1"/>
      </w:pPr>
      <w:r w:rsidRPr="00550D56">
        <w:t>2.</w:t>
      </w:r>
      <w:r w:rsidRPr="00550D56">
        <w:tab/>
        <w:t>the nonconforming product may be disposed of by environmentally acceptable means; or</w:t>
      </w:r>
    </w:p>
    <w:p w14:paraId="69D3902D" w14:textId="77777777" w:rsidR="00994CDB" w:rsidRPr="00550D56" w:rsidRDefault="00994CDB" w:rsidP="00994CDB">
      <w:pPr>
        <w:pStyle w:val="1"/>
      </w:pPr>
      <w:r w:rsidRPr="00550D56">
        <w:t>3.</w:t>
      </w:r>
      <w:r w:rsidRPr="00550D56">
        <w:tab/>
        <w:t>the nonconforming product may be blended out to remove the contaminating substances in an effort to make the product conform to specification.</w:t>
      </w:r>
      <w:r>
        <w:t xml:space="preserve"> </w:t>
      </w:r>
      <w:r w:rsidRPr="00550D56">
        <w:t>The blended product shall not be offered for sale again until tested and approved by the department.</w:t>
      </w:r>
    </w:p>
    <w:p w14:paraId="744EFB4A" w14:textId="77777777" w:rsidR="00994CDB" w:rsidRPr="00550D56" w:rsidRDefault="00994CDB" w:rsidP="00994CDB">
      <w:pPr>
        <w:pStyle w:val="A"/>
      </w:pPr>
      <w:r w:rsidRPr="00550D56">
        <w:t>F.</w:t>
      </w:r>
      <w:r w:rsidRPr="00550D56">
        <w:tab/>
        <w:t>The commissioner or his designee may placard or seal any pump, dispenser, tank or container which contains a nonconforming product or which would dispense a petroleum product that does not conform to the appropriate specification in this Subchapter. No person shall deface, remove, or obscure any placard or seal posted or placed by the commissioner or his designee or act in any manner so as to interfere with or obstruct the commissioner or his designee in the discharge of his duties under this Section.</w:t>
      </w:r>
    </w:p>
    <w:p w14:paraId="150B4A22" w14:textId="77777777" w:rsidR="009C52FB" w:rsidRPr="001531CD" w:rsidRDefault="00994CDB" w:rsidP="00994CDB">
      <w:pPr>
        <w:pStyle w:val="AuthorityNote"/>
      </w:pPr>
      <w:r w:rsidRPr="00550D56">
        <w:t>AUTHORITY NOTE:</w:t>
      </w:r>
      <w:r w:rsidRPr="00550D56">
        <w:tab/>
        <w:t>Promulgated in accordance with R.S. 3:4608, 3:4673, and 3:4680.</w:t>
      </w:r>
    </w:p>
    <w:p w14:paraId="6D27C4C1"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w:t>
      </w:r>
      <w:r w:rsidR="00994CDB">
        <w:t xml:space="preserve">ces, LR 34:2550 (December 2008), </w:t>
      </w:r>
      <w:r w:rsidR="00994CDB" w:rsidRPr="00550D56">
        <w:t>amended by the Department of Agriculture and Forestry, Office of Agro-Consumer Services, Division of Weights and Measu</w:t>
      </w:r>
      <w:r w:rsidR="00994CDB">
        <w:t>res, LR 41:2100</w:t>
      </w:r>
      <w:r w:rsidR="00994CDB" w:rsidRPr="007B1D05">
        <w:t xml:space="preserve"> (October 2015).</w:t>
      </w:r>
    </w:p>
    <w:p w14:paraId="29B4081E" w14:textId="77777777" w:rsidR="009C52FB" w:rsidRPr="001531CD" w:rsidRDefault="009C52FB" w:rsidP="00A66724">
      <w:pPr>
        <w:pStyle w:val="Section"/>
        <w:spacing w:after="80"/>
      </w:pPr>
      <w:bookmarkStart w:id="3127" w:name="_Toc256755133"/>
      <w:bookmarkStart w:id="3128" w:name="_Toc224819521"/>
      <w:r w:rsidRPr="001531CD">
        <w:t>§349.</w:t>
      </w:r>
      <w:r w:rsidRPr="001531CD">
        <w:tab/>
        <w:t>Product Registration</w:t>
      </w:r>
      <w:bookmarkEnd w:id="3127"/>
      <w:bookmarkEnd w:id="3128"/>
    </w:p>
    <w:p w14:paraId="7AA81EDE" w14:textId="77777777" w:rsidR="009C52FB" w:rsidRPr="001531CD" w:rsidRDefault="009C52FB" w:rsidP="00A66724">
      <w:pPr>
        <w:pStyle w:val="A"/>
        <w:spacing w:after="80"/>
      </w:pPr>
      <w:r w:rsidRPr="001531CD">
        <w:t>A.</w:t>
      </w:r>
      <w:r w:rsidRPr="001531CD">
        <w:tab/>
        <w:t>All engine fuels designed for special use that do not meet ASTM specifications or standards set out in this Subchapter shall be registered with the commissioner, on forms prescribed by the commissioner, 30 days prior to when the registrant wishes to engage in sales. The registration form shall include all of the following information.</w:t>
      </w:r>
    </w:p>
    <w:p w14:paraId="1EB51ECA" w14:textId="77777777" w:rsidR="009C52FB" w:rsidRPr="001531CD" w:rsidRDefault="009C52FB" w:rsidP="00A66724">
      <w:pPr>
        <w:pStyle w:val="1"/>
        <w:spacing w:after="80"/>
      </w:pPr>
      <w:r w:rsidRPr="001531CD">
        <w:t>1.</w:t>
      </w:r>
      <w:r w:rsidRPr="001531CD">
        <w:tab/>
        <w:t>Identity―business name, address(es), and telephone number(s).</w:t>
      </w:r>
    </w:p>
    <w:p w14:paraId="256AF3D7" w14:textId="77777777" w:rsidR="009C52FB" w:rsidRPr="001531CD" w:rsidRDefault="009C52FB" w:rsidP="00A66724">
      <w:pPr>
        <w:pStyle w:val="1"/>
        <w:spacing w:after="80"/>
      </w:pPr>
      <w:r w:rsidRPr="001531CD">
        <w:t>2.</w:t>
      </w:r>
      <w:r w:rsidRPr="001531CD">
        <w:tab/>
        <w:t>Address―mailing address if different than business address.</w:t>
      </w:r>
    </w:p>
    <w:p w14:paraId="13194B63" w14:textId="77777777" w:rsidR="009C52FB" w:rsidRPr="001531CD" w:rsidRDefault="009C52FB" w:rsidP="00A66724">
      <w:pPr>
        <w:pStyle w:val="1"/>
        <w:spacing w:after="80"/>
      </w:pPr>
      <w:r w:rsidRPr="001531CD">
        <w:t>3.</w:t>
      </w:r>
      <w:r w:rsidRPr="001531CD">
        <w:tab/>
        <w:t>Business Type―type of ownership of the distributor or retail dealer, such as an individual, partnership, association, trust, corporation, or any other legal entity or combination thereof.</w:t>
      </w:r>
    </w:p>
    <w:p w14:paraId="4C6DC4FE" w14:textId="77777777" w:rsidR="009C52FB" w:rsidRPr="001531CD" w:rsidRDefault="009C52FB" w:rsidP="00A66724">
      <w:pPr>
        <w:pStyle w:val="1"/>
        <w:spacing w:after="80"/>
      </w:pPr>
      <w:r w:rsidRPr="001531CD">
        <w:t>4.</w:t>
      </w:r>
      <w:r w:rsidRPr="001531CD">
        <w:tab/>
        <w:t>Signature―an authorized signature, title, and date for each registration.</w:t>
      </w:r>
    </w:p>
    <w:p w14:paraId="2A2B2EAC" w14:textId="77777777" w:rsidR="009C52FB" w:rsidRPr="001531CD" w:rsidRDefault="009C52FB" w:rsidP="00A66724">
      <w:pPr>
        <w:pStyle w:val="1"/>
        <w:spacing w:after="80"/>
      </w:pPr>
      <w:r w:rsidRPr="001531CD">
        <w:t>5.</w:t>
      </w:r>
      <w:r w:rsidRPr="001531CD">
        <w:tab/>
        <w:t>Product Description―product brand name and product description.</w:t>
      </w:r>
    </w:p>
    <w:p w14:paraId="55AA53A0" w14:textId="77777777" w:rsidR="009C52FB" w:rsidRPr="001531CD" w:rsidRDefault="009C52FB" w:rsidP="00A66724">
      <w:pPr>
        <w:pStyle w:val="1"/>
        <w:spacing w:after="80"/>
      </w:pPr>
      <w:r w:rsidRPr="001531CD">
        <w:t>6.</w:t>
      </w:r>
      <w:r w:rsidRPr="001531CD">
        <w:tab/>
        <w:t>Product Specification―a product specification sheet shall be attached.</w:t>
      </w:r>
    </w:p>
    <w:p w14:paraId="0257047C" w14:textId="77777777" w:rsidR="009C52FB" w:rsidRPr="001531CD" w:rsidRDefault="009C52FB" w:rsidP="00A66724">
      <w:pPr>
        <w:pStyle w:val="A"/>
        <w:spacing w:after="80"/>
      </w:pPr>
      <w:r w:rsidRPr="001531CD">
        <w:t>B.</w:t>
      </w:r>
      <w:r w:rsidRPr="001531CD">
        <w:tab/>
        <w:t>Registration is subject to annual renewal.</w:t>
      </w:r>
    </w:p>
    <w:p w14:paraId="5F53B6FA" w14:textId="77777777" w:rsidR="009C52FB" w:rsidRPr="001531CD" w:rsidRDefault="009C52FB" w:rsidP="00A66724">
      <w:pPr>
        <w:pStyle w:val="A"/>
        <w:spacing w:after="80"/>
      </w:pPr>
      <w:r w:rsidRPr="001531CD">
        <w:t>C.</w:t>
      </w:r>
      <w:r w:rsidRPr="001531CD">
        <w:tab/>
        <w:t>Renewal of a registration is required 30 days prior to any changes in the information required by Subsection A.</w:t>
      </w:r>
    </w:p>
    <w:p w14:paraId="299F7BED" w14:textId="77777777" w:rsidR="009C52FB" w:rsidRPr="001531CD" w:rsidRDefault="009C52FB" w:rsidP="009C52FB">
      <w:pPr>
        <w:pStyle w:val="A"/>
      </w:pPr>
      <w:r w:rsidRPr="001531CD">
        <w:t>D.</w:t>
      </w:r>
      <w:r w:rsidRPr="001531CD">
        <w:tab/>
        <w:t>The commissioner may decline to register any product that actually or by implication would deceive or tend to deceive a purchaser as to the identity or the quality of the engine fuel.</w:t>
      </w:r>
    </w:p>
    <w:p w14:paraId="6661FB2D" w14:textId="77777777" w:rsidR="009C52FB" w:rsidRPr="001531CD" w:rsidRDefault="009C52FB" w:rsidP="009C52FB">
      <w:pPr>
        <w:pStyle w:val="A"/>
      </w:pPr>
      <w:r w:rsidRPr="001531CD">
        <w:t>E.</w:t>
      </w:r>
      <w:r w:rsidRPr="001531CD">
        <w:tab/>
        <w:t>Transferability―the registration is not transferable.</w:t>
      </w:r>
    </w:p>
    <w:p w14:paraId="57EDE382" w14:textId="77777777" w:rsidR="009C52FB" w:rsidRPr="001531CD" w:rsidRDefault="009C52FB" w:rsidP="009C52FB">
      <w:pPr>
        <w:pStyle w:val="AuthorityNote"/>
      </w:pPr>
      <w:r w:rsidRPr="001531CD">
        <w:t>AUTHORITY NOTE:</w:t>
      </w:r>
      <w:r w:rsidRPr="001531CD">
        <w:tab/>
        <w:t>Promulgated in accordance with R.S. 3:4608, 3:4673, and 3:4680.</w:t>
      </w:r>
    </w:p>
    <w:p w14:paraId="5C3DDD39" w14:textId="77777777"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Services, LR 34:2551 (December 2008).</w:t>
      </w:r>
    </w:p>
    <w:p w14:paraId="4C5CBC3B" w14:textId="77777777" w:rsidR="009C52FB" w:rsidRPr="001531CD" w:rsidRDefault="009C52FB" w:rsidP="009C52FB">
      <w:pPr>
        <w:pStyle w:val="Section"/>
      </w:pPr>
      <w:bookmarkStart w:id="3129" w:name="_Toc256755134"/>
      <w:bookmarkStart w:id="3130" w:name="_Toc224819522"/>
      <w:r w:rsidRPr="001531CD">
        <w:t>§351.</w:t>
      </w:r>
      <w:r w:rsidRPr="001531CD">
        <w:tab/>
        <w:t>Test Methods and Reproducibility Limits</w:t>
      </w:r>
      <w:bookmarkEnd w:id="3129"/>
      <w:bookmarkEnd w:id="3130"/>
    </w:p>
    <w:p w14:paraId="1CAE0C30" w14:textId="77777777" w:rsidR="009C52FB" w:rsidRPr="001531CD" w:rsidRDefault="009C52FB" w:rsidP="009C52FB">
      <w:pPr>
        <w:pStyle w:val="A"/>
      </w:pPr>
      <w:r w:rsidRPr="001531CD">
        <w:t>A.</w:t>
      </w:r>
      <w:r w:rsidRPr="001531CD">
        <w:tab/>
        <w:t>ASTM Standard Test Methods referenced for use within the applicable Standard Specification shall be used to determine the specification values for enforcement purposes.</w:t>
      </w:r>
    </w:p>
    <w:p w14:paraId="5C163E5D" w14:textId="77777777" w:rsidR="009C52FB" w:rsidRPr="001531CD" w:rsidRDefault="009C52FB" w:rsidP="009C52FB">
      <w:pPr>
        <w:pStyle w:val="A"/>
        <w:rPr>
          <w:bCs/>
        </w:rPr>
      </w:pPr>
      <w:r w:rsidRPr="001531CD">
        <w:rPr>
          <w:bCs/>
        </w:rPr>
        <w:t>B.</w:t>
      </w:r>
      <w:r w:rsidRPr="001531CD">
        <w:rPr>
          <w:bCs/>
        </w:rPr>
        <w:tab/>
      </w:r>
      <w:r w:rsidRPr="001531CD">
        <w:t>Reproducibility</w:t>
      </w:r>
      <w:r w:rsidRPr="001531CD">
        <w:rPr>
          <w:bCs/>
        </w:rPr>
        <w:t xml:space="preserve"> Limits</w:t>
      </w:r>
    </w:p>
    <w:p w14:paraId="5C636713" w14:textId="77777777" w:rsidR="009C52FB" w:rsidRPr="001531CD" w:rsidRDefault="009C52FB" w:rsidP="009C52FB">
      <w:pPr>
        <w:pStyle w:val="1"/>
      </w:pPr>
      <w:r w:rsidRPr="001531CD">
        <w:t>1.</w:t>
      </w:r>
      <w:r w:rsidRPr="001531CD">
        <w:tab/>
        <w:t>When determining the Antiknock Index acceptance or rejection of a gasoline sample, the AKI reproducibility limits as outlined in ASTM D 4814 Appendix X1 shall be utilized for enforcement purposes.</w:t>
      </w:r>
    </w:p>
    <w:p w14:paraId="6C763651" w14:textId="77777777" w:rsidR="009C52FB" w:rsidRPr="001531CD" w:rsidRDefault="009C52FB" w:rsidP="009C52FB">
      <w:pPr>
        <w:pStyle w:val="1"/>
      </w:pPr>
      <w:r w:rsidRPr="001531CD">
        <w:t>2.</w:t>
      </w:r>
      <w:r w:rsidRPr="001531CD">
        <w:tab/>
        <w:t>The reproducibility limits of the ASTM standard test method used for each test performed shall be utilized for enforcement purposes, except as indicated in Paragraph 1 above.</w:t>
      </w:r>
    </w:p>
    <w:p w14:paraId="0E0EA948" w14:textId="77777777" w:rsidR="009C52FB" w:rsidRPr="001531CD" w:rsidRDefault="009C52FB" w:rsidP="009C52FB">
      <w:pPr>
        <w:pStyle w:val="1"/>
      </w:pPr>
      <w:r w:rsidRPr="001531CD">
        <w:t>3.</w:t>
      </w:r>
      <w:r w:rsidRPr="001531CD">
        <w:tab/>
        <w:t>Dispute Resolution. In the event of a dispute over a reported test value, the guidelines presented in the specifications of ASTM D 3244, "Standard Practice for Utilization of Test Data to Determine Conformance with Specifications," shall be used to determine the acceptance or rejection of the sample.</w:t>
      </w:r>
    </w:p>
    <w:p w14:paraId="6380D957" w14:textId="77777777" w:rsidR="009C52FB" w:rsidRPr="001531CD" w:rsidRDefault="009C52FB" w:rsidP="009C52FB">
      <w:pPr>
        <w:pStyle w:val="AuthorityNote"/>
      </w:pPr>
      <w:r w:rsidRPr="001531CD">
        <w:t>AUTHORITY NOTE:</w:t>
      </w:r>
      <w:r w:rsidRPr="001531CD">
        <w:tab/>
        <w:t>Promulgated in accordance with R.S. 3:4608, 3:4673, and 3:4680.</w:t>
      </w:r>
    </w:p>
    <w:p w14:paraId="611EC28F" w14:textId="77777777" w:rsidR="006419D7"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Services, LR 34:2551 (December 2008).</w:t>
      </w:r>
    </w:p>
    <w:p w14:paraId="741ACDA0" w14:textId="7F387028" w:rsidR="009B5DE8" w:rsidRPr="001531CD" w:rsidRDefault="009B5DE8" w:rsidP="009B5DE8">
      <w:pPr>
        <w:pStyle w:val="Chapter"/>
      </w:pPr>
      <w:bookmarkStart w:id="3131" w:name="TOC_Chap262"/>
      <w:bookmarkStart w:id="3132" w:name="_Toc256755135"/>
      <w:bookmarkStart w:id="3133" w:name="_Toc224819523"/>
      <w:r w:rsidRPr="001531CD">
        <w:t>Chapter 5.</w:t>
      </w:r>
      <w:bookmarkEnd w:id="3131"/>
      <w:r w:rsidR="00167E2E">
        <w:tab/>
      </w:r>
      <w:bookmarkEnd w:id="3132"/>
      <w:r w:rsidR="001C541C" w:rsidRPr="00833605">
        <w:t>Seafood Safety and Consumer Protection</w:t>
      </w:r>
      <w:bookmarkEnd w:id="3133"/>
    </w:p>
    <w:p w14:paraId="434F5F9F" w14:textId="790EAEE7" w:rsidR="009B5DE8" w:rsidRPr="001531CD" w:rsidRDefault="009B5DE8" w:rsidP="009B5DE8">
      <w:pPr>
        <w:pStyle w:val="Chapter"/>
      </w:pPr>
      <w:bookmarkStart w:id="3134" w:name="TOC_SubC263"/>
      <w:bookmarkStart w:id="3135" w:name="_Toc256755136"/>
      <w:bookmarkStart w:id="3136" w:name="_Toc224819524"/>
      <w:r w:rsidRPr="001531CD">
        <w:t>Subchapter A.</w:t>
      </w:r>
      <w:bookmarkEnd w:id="3134"/>
      <w:r w:rsidRPr="001531CD">
        <w:tab/>
      </w:r>
      <w:bookmarkEnd w:id="3135"/>
      <w:r w:rsidR="001C541C" w:rsidRPr="00833605">
        <w:t>Fees and Reports</w:t>
      </w:r>
      <w:bookmarkEnd w:id="3136"/>
    </w:p>
    <w:p w14:paraId="57143133" w14:textId="49EF533A" w:rsidR="009B5DE8" w:rsidRPr="001531CD" w:rsidRDefault="009B5DE8" w:rsidP="009B5DE8">
      <w:pPr>
        <w:pStyle w:val="Section"/>
      </w:pPr>
      <w:bookmarkStart w:id="3137" w:name="_Toc256755137"/>
      <w:bookmarkStart w:id="3138" w:name="_Toc224819525"/>
      <w:r w:rsidRPr="001531CD">
        <w:t>§501.</w:t>
      </w:r>
      <w:r w:rsidRPr="001531CD">
        <w:tab/>
      </w:r>
      <w:bookmarkEnd w:id="3137"/>
      <w:r w:rsidR="001C541C" w:rsidRPr="00B00BF1">
        <w:t>Imported Seafood Safety Fee</w:t>
      </w:r>
      <w:bookmarkEnd w:id="3138"/>
    </w:p>
    <w:p w14:paraId="0D4A616B" w14:textId="77777777" w:rsidR="001C541C" w:rsidRPr="00B00BF1" w:rsidRDefault="009B5DE8" w:rsidP="001C541C">
      <w:pPr>
        <w:pStyle w:val="A"/>
      </w:pPr>
      <w:r w:rsidRPr="001531CD">
        <w:t>A.</w:t>
      </w:r>
      <w:r w:rsidRPr="001531CD">
        <w:tab/>
      </w:r>
      <w:r w:rsidR="001C541C" w:rsidRPr="00B00BF1">
        <w:t xml:space="preserve">The annual imported safety fee, as required by R.S. 40:31.35(C), shall be due on December 31 of each year for the following calendar year’s safety fee. </w:t>
      </w:r>
    </w:p>
    <w:p w14:paraId="7987EDCE" w14:textId="77777777" w:rsidR="001C541C" w:rsidRPr="00B00BF1" w:rsidRDefault="001C541C" w:rsidP="001C541C">
      <w:pPr>
        <w:pStyle w:val="A"/>
      </w:pPr>
      <w:r w:rsidRPr="00B00BF1">
        <w:lastRenderedPageBreak/>
        <w:t>B.</w:t>
      </w:r>
      <w:r w:rsidRPr="00B00BF1">
        <w:tab/>
        <w:t>For a newly permitted commercial seafood processor or distributor, the imported safety fee shall be due 30 days after the commercial seafood processor or distributor obtains a commercial seafood permit from the Louisiana Department of Health.</w:t>
      </w:r>
    </w:p>
    <w:p w14:paraId="6EBAF0EB" w14:textId="77777777" w:rsidR="001C541C" w:rsidRPr="00B00BF1" w:rsidRDefault="001C541C" w:rsidP="001C541C">
      <w:pPr>
        <w:pStyle w:val="AuthorityNote"/>
      </w:pPr>
      <w:r w:rsidRPr="00B00BF1">
        <w:t>AUTHORITY NOTE:</w:t>
      </w:r>
      <w:r w:rsidRPr="00B00BF1">
        <w:tab/>
        <w:t>Promulgated in accordance with R.S.3:4749.1 and R.S. 40:31.35.</w:t>
      </w:r>
    </w:p>
    <w:p w14:paraId="14B95598" w14:textId="77777777" w:rsidR="001C541C" w:rsidRDefault="001C541C" w:rsidP="001C541C">
      <w:pPr>
        <w:pStyle w:val="HistoricalNote"/>
        <w:rPr>
          <w:color w:val="000000"/>
        </w:rPr>
      </w:pPr>
      <w:r w:rsidRPr="00B00BF1">
        <w:rPr>
          <w:color w:val="000000"/>
          <w:sz w:val="20"/>
        </w:rPr>
        <w:t>HISTORICAL NOTE:</w:t>
      </w:r>
      <w:r w:rsidRPr="00B00BF1">
        <w:tab/>
        <w:t>Promulgated by the Department of Agriculture and Forestry, Office of Agro-Consumer Services, Weights and Measures Division, LR 51:</w:t>
      </w:r>
      <w:r>
        <w:t>2032 (December 2025).</w:t>
      </w:r>
    </w:p>
    <w:p w14:paraId="093073AA" w14:textId="39B92A37" w:rsidR="009B5DE8" w:rsidRPr="001531CD" w:rsidRDefault="009B5DE8" w:rsidP="009B5DE8">
      <w:pPr>
        <w:pStyle w:val="Section"/>
      </w:pPr>
      <w:bookmarkStart w:id="3139" w:name="_Toc256755138"/>
      <w:bookmarkStart w:id="3140" w:name="_Toc224819526"/>
      <w:r w:rsidRPr="001531CD">
        <w:t>§503.</w:t>
      </w:r>
      <w:r w:rsidRPr="001531CD">
        <w:tab/>
      </w:r>
      <w:bookmarkEnd w:id="3139"/>
      <w:r w:rsidR="001C541C" w:rsidRPr="00B00BF1">
        <w:t>Quarterly Seafood Reports</w:t>
      </w:r>
      <w:bookmarkEnd w:id="3140"/>
    </w:p>
    <w:p w14:paraId="6411E7AD" w14:textId="77777777" w:rsidR="001C541C" w:rsidRPr="00B00BF1" w:rsidRDefault="009B5DE8" w:rsidP="001C541C">
      <w:pPr>
        <w:pStyle w:val="A"/>
      </w:pPr>
      <w:r w:rsidRPr="001531CD">
        <w:t>A.</w:t>
      </w:r>
      <w:r w:rsidRPr="001531CD">
        <w:tab/>
      </w:r>
      <w:r w:rsidR="001C541C" w:rsidRPr="00B00BF1">
        <w:t>Commercial processors and distributors of imported and commingled seafood shall submit a quarterly report to the Department of Agriculture and Forestry.</w:t>
      </w:r>
    </w:p>
    <w:p w14:paraId="1DF1CDF0" w14:textId="77777777" w:rsidR="001C541C" w:rsidRPr="00B00BF1" w:rsidRDefault="001C541C" w:rsidP="001C541C">
      <w:pPr>
        <w:pStyle w:val="1"/>
      </w:pPr>
      <w:r w:rsidRPr="00B00BF1">
        <w:t>1.</w:t>
      </w:r>
      <w:r w:rsidRPr="00B00BF1">
        <w:tab/>
        <w:t>Each quarterly report shall include the following:</w:t>
      </w:r>
    </w:p>
    <w:p w14:paraId="60762DDA" w14:textId="77777777" w:rsidR="001C541C" w:rsidRPr="00B00BF1" w:rsidRDefault="001C541C" w:rsidP="001C541C">
      <w:pPr>
        <w:pStyle w:val="a0"/>
      </w:pPr>
      <w:r w:rsidRPr="00B00BF1">
        <w:t>a.</w:t>
      </w:r>
      <w:r w:rsidRPr="00B00BF1">
        <w:tab/>
        <w:t>the amount of seafood bought and sold in the previous quarter;</w:t>
      </w:r>
    </w:p>
    <w:p w14:paraId="30C9F0D8" w14:textId="77777777" w:rsidR="001C541C" w:rsidRPr="00B00BF1" w:rsidRDefault="001C541C" w:rsidP="001C541C">
      <w:pPr>
        <w:pStyle w:val="a0"/>
      </w:pPr>
      <w:r w:rsidRPr="00B00BF1">
        <w:t>b.</w:t>
      </w:r>
      <w:r w:rsidRPr="00B00BF1">
        <w:tab/>
        <w:t>an accounting by volume of the species of seafood bought and sold;</w:t>
      </w:r>
    </w:p>
    <w:p w14:paraId="4E29507B" w14:textId="77777777" w:rsidR="001C541C" w:rsidRPr="00B00BF1" w:rsidRDefault="001C541C" w:rsidP="001C541C">
      <w:pPr>
        <w:pStyle w:val="a0"/>
      </w:pPr>
      <w:r w:rsidRPr="00B00BF1">
        <w:t>c.</w:t>
      </w:r>
      <w:r w:rsidRPr="00B00BF1">
        <w:tab/>
        <w:t>for imported seafood, country of origin for each species of seafood;</w:t>
      </w:r>
    </w:p>
    <w:p w14:paraId="22015980" w14:textId="77777777" w:rsidR="001C541C" w:rsidRPr="00B00BF1" w:rsidRDefault="001C541C" w:rsidP="001C541C">
      <w:pPr>
        <w:pStyle w:val="a0"/>
      </w:pPr>
      <w:r w:rsidRPr="00B00BF1">
        <w:t>d.</w:t>
      </w:r>
      <w:r w:rsidRPr="00B00BF1">
        <w:tab/>
        <w:t>for domestic seafood, when possible, the state of origin for each species of seafood.</w:t>
      </w:r>
    </w:p>
    <w:p w14:paraId="28D33CAC" w14:textId="77777777" w:rsidR="001C541C" w:rsidRPr="00B00BF1" w:rsidRDefault="001C541C" w:rsidP="001C541C">
      <w:pPr>
        <w:pStyle w:val="A"/>
        <w:rPr>
          <w:highlight w:val="yellow"/>
        </w:rPr>
      </w:pPr>
      <w:r w:rsidRPr="00B00BF1">
        <w:t>B.</w:t>
      </w:r>
      <w:r w:rsidRPr="00B00BF1">
        <w:tab/>
        <w:t xml:space="preserve">The report for the previous quarter shall be filed with LDAF no later than January 31, April 30, July 31, and October 31, respectively. If a processor or distributor has no purchases or sales during the quarterly reporting period, LDAF must be notified accordingly. </w:t>
      </w:r>
    </w:p>
    <w:p w14:paraId="4ACB5CAA" w14:textId="77777777" w:rsidR="001C541C" w:rsidRPr="00B00BF1" w:rsidRDefault="001C541C" w:rsidP="001C541C">
      <w:pPr>
        <w:pStyle w:val="A"/>
      </w:pPr>
      <w:r w:rsidRPr="00B00BF1">
        <w:t>C.</w:t>
      </w:r>
      <w:r w:rsidRPr="00B00BF1">
        <w:tab/>
        <w:t>Quarterly Seafood Reports shall be made on forms supplied by LDAF. The form may be requested by the processor or distributor either verbally or in writing.</w:t>
      </w:r>
      <w:r>
        <w:t xml:space="preserve"> </w:t>
      </w:r>
    </w:p>
    <w:p w14:paraId="76AEB8DA" w14:textId="77777777" w:rsidR="001C541C" w:rsidRPr="00B00BF1" w:rsidRDefault="001C541C" w:rsidP="001C541C">
      <w:pPr>
        <w:pStyle w:val="A"/>
      </w:pPr>
      <w:r w:rsidRPr="00B00BF1">
        <w:t>D.</w:t>
      </w:r>
      <w:r w:rsidRPr="00B00BF1">
        <w:tab/>
        <w:t>Failure to submit the required information for two or more consecutive quarters may result in the following penalties:</w:t>
      </w:r>
    </w:p>
    <w:p w14:paraId="27F66DE5" w14:textId="77777777" w:rsidR="001C541C" w:rsidRPr="00B00BF1" w:rsidRDefault="001C541C" w:rsidP="001C541C">
      <w:pPr>
        <w:pStyle w:val="1"/>
      </w:pPr>
      <w:r w:rsidRPr="00B00BF1">
        <w:t>1.</w:t>
      </w:r>
      <w:r w:rsidRPr="00B00BF1">
        <w:tab/>
        <w:t xml:space="preserve">for a first offense, a fine of not more than fifteen thousand dollars per violation; </w:t>
      </w:r>
    </w:p>
    <w:p w14:paraId="33E2B6D8" w14:textId="77777777" w:rsidR="001C541C" w:rsidRPr="00B00BF1" w:rsidRDefault="001C541C" w:rsidP="001C541C">
      <w:pPr>
        <w:pStyle w:val="1"/>
      </w:pPr>
      <w:r w:rsidRPr="00B00BF1">
        <w:t>2.</w:t>
      </w:r>
      <w:r>
        <w:tab/>
      </w:r>
      <w:r w:rsidRPr="00B00BF1">
        <w:t>for a second offense, a fine of not more than twenty-five thousand dollars per violation;</w:t>
      </w:r>
    </w:p>
    <w:p w14:paraId="1B8D4F58" w14:textId="77777777" w:rsidR="001C541C" w:rsidRPr="00B00BF1" w:rsidRDefault="001C541C" w:rsidP="001C541C">
      <w:pPr>
        <w:pStyle w:val="1"/>
      </w:pPr>
      <w:r w:rsidRPr="00B00BF1">
        <w:t>3.</w:t>
      </w:r>
      <w:r w:rsidRPr="00B00BF1">
        <w:tab/>
        <w:t xml:space="preserve">for a third or subsequent offense, a fine of not more than fifty thousand dollars per violation. </w:t>
      </w:r>
    </w:p>
    <w:p w14:paraId="17299267" w14:textId="77777777" w:rsidR="001C541C" w:rsidRPr="00B00BF1" w:rsidRDefault="001C541C" w:rsidP="001C541C">
      <w:pPr>
        <w:pStyle w:val="A"/>
      </w:pPr>
      <w:r w:rsidRPr="00B00BF1">
        <w:t>E.</w:t>
      </w:r>
      <w:r w:rsidRPr="00B00BF1">
        <w:tab/>
        <w:t>Penalties may be assessed only by a ruling of the commissioner based upon a recommendation by the Weights and Measures Commission adjudicatory hearing held pursuant the Administrative Procedures Act.</w:t>
      </w:r>
    </w:p>
    <w:p w14:paraId="30E22C12" w14:textId="77777777" w:rsidR="001C541C" w:rsidRPr="00B00BF1" w:rsidRDefault="001C541C" w:rsidP="001C541C">
      <w:pPr>
        <w:pStyle w:val="AuthorityNote"/>
      </w:pPr>
      <w:r w:rsidRPr="00B00BF1">
        <w:t>AUTHORITY NOTE:</w:t>
      </w:r>
      <w:r w:rsidRPr="00B00BF1">
        <w:tab/>
        <w:t>Promulgated in accordance with R.S. 3:4749.1 and R.S.3:4749.3.</w:t>
      </w:r>
    </w:p>
    <w:p w14:paraId="58627609" w14:textId="1C77FBD7" w:rsidR="009B5DE8" w:rsidRPr="001531CD" w:rsidRDefault="001C541C" w:rsidP="001C541C">
      <w:pPr>
        <w:pStyle w:val="HistoricalNote"/>
      </w:pPr>
      <w:r w:rsidRPr="00B00BF1">
        <w:rPr>
          <w:color w:val="000000"/>
        </w:rPr>
        <w:t>HISTORICAL NOTE:</w:t>
      </w:r>
      <w:r w:rsidRPr="00B00BF1">
        <w:tab/>
        <w:t xml:space="preserve">Promulgated by the Department of Agriculture and Forestry, Office of Agro-Consumer Services, Weights and Measures Division, </w:t>
      </w:r>
      <w:r w:rsidRPr="00B00BF1">
        <w:rPr>
          <w:color w:val="000000"/>
        </w:rPr>
        <w:t>LR 51:</w:t>
      </w:r>
      <w:r>
        <w:rPr>
          <w:color w:val="000000"/>
        </w:rPr>
        <w:t>2032 (December 2025</w:t>
      </w:r>
      <w:r w:rsidR="009B5DE8" w:rsidRPr="001531CD">
        <w:t>).</w:t>
      </w:r>
    </w:p>
    <w:p w14:paraId="6AE60311" w14:textId="0C13EF33" w:rsidR="009B5DE8" w:rsidRPr="001531CD" w:rsidRDefault="009B5DE8" w:rsidP="00F03863">
      <w:pPr>
        <w:pStyle w:val="Chapter"/>
        <w:outlineLvl w:val="0"/>
      </w:pPr>
      <w:bookmarkStart w:id="3141" w:name="TOC_SubC271"/>
      <w:bookmarkStart w:id="3142" w:name="_Toc256755140"/>
      <w:bookmarkStart w:id="3143" w:name="_Toc224819527"/>
      <w:r w:rsidRPr="001531CD">
        <w:rPr>
          <w:iCs/>
        </w:rPr>
        <w:t>Subchapter B.</w:t>
      </w:r>
      <w:bookmarkEnd w:id="3141"/>
      <w:r w:rsidR="00167E2E">
        <w:rPr>
          <w:iCs/>
        </w:rPr>
        <w:tab/>
      </w:r>
      <w:bookmarkEnd w:id="3142"/>
      <w:r w:rsidR="001C541C" w:rsidRPr="00B00BF1">
        <w:t>Seafood Labeling</w:t>
      </w:r>
      <w:bookmarkEnd w:id="3143"/>
    </w:p>
    <w:p w14:paraId="352A4A0B" w14:textId="77777777" w:rsidR="00E44F66" w:rsidRPr="00642CF8" w:rsidRDefault="00E44F66" w:rsidP="00E44F66">
      <w:pPr>
        <w:pStyle w:val="Section"/>
      </w:pPr>
      <w:bookmarkStart w:id="3144" w:name="_Toc224819528"/>
      <w:r w:rsidRPr="00642CF8">
        <w:t>§513.</w:t>
      </w:r>
      <w:r w:rsidRPr="00642CF8">
        <w:tab/>
        <w:t>Authority</w:t>
      </w:r>
      <w:bookmarkEnd w:id="3144"/>
    </w:p>
    <w:p w14:paraId="3267637C" w14:textId="77777777" w:rsidR="00CB3340" w:rsidRDefault="00E44F66" w:rsidP="00E44F66">
      <w:pPr>
        <w:pStyle w:val="HistoricalNote"/>
      </w:pPr>
      <w:r w:rsidRPr="00642CF8">
        <w:t>A.</w:t>
      </w:r>
      <w:r w:rsidRPr="00642CF8">
        <w:tab/>
        <w:t>The Department of Agriculture and Forestry adopts these regulations under the authority of R.S. 3:4706 for the purposes of regulating and enforcing the truthfulness in labeling crawfish, shrimp, and products thereof and to prohibit the misleading packaging and marketing of seafood products.</w:t>
      </w:r>
    </w:p>
    <w:p w14:paraId="43605D92" w14:textId="77777777" w:rsidR="00E44F66" w:rsidRPr="00642CF8" w:rsidRDefault="00E44F66" w:rsidP="00E44F66">
      <w:pPr>
        <w:pStyle w:val="AuthorityNote"/>
      </w:pPr>
      <w:r w:rsidRPr="00642CF8">
        <w:t>AUTHORITY NOTE:</w:t>
      </w:r>
      <w:r w:rsidRPr="00642CF8">
        <w:tab/>
        <w:t>Promulgated in accordance with and R.S. 3:4706.</w:t>
      </w:r>
    </w:p>
    <w:p w14:paraId="62F2757D" w14:textId="77777777" w:rsidR="00E44F66"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0A92393F" w14:textId="77777777" w:rsidR="00E44F66" w:rsidRPr="00642CF8" w:rsidRDefault="00E44F66" w:rsidP="00E44F66">
      <w:pPr>
        <w:pStyle w:val="Section"/>
      </w:pPr>
      <w:bookmarkStart w:id="3145" w:name="_Toc224819529"/>
      <w:r w:rsidRPr="00642CF8">
        <w:t>§515.</w:t>
      </w:r>
      <w:r w:rsidRPr="00642CF8">
        <w:tab/>
        <w:t>Application</w:t>
      </w:r>
      <w:bookmarkEnd w:id="3145"/>
    </w:p>
    <w:p w14:paraId="26AACA87" w14:textId="77777777" w:rsidR="00E44F66" w:rsidRPr="00642CF8" w:rsidRDefault="00E44F66" w:rsidP="00E44F66">
      <w:pPr>
        <w:pStyle w:val="A"/>
      </w:pPr>
      <w:r w:rsidRPr="00642CF8">
        <w:t>A.</w:t>
      </w:r>
      <w:r w:rsidRPr="00642CF8">
        <w:tab/>
        <w:t>The provisions of this Chapter shall apply only to persons who place a label on retail food products sold or offered for sale.</w:t>
      </w:r>
    </w:p>
    <w:p w14:paraId="01287011" w14:textId="77777777" w:rsidR="00E44F66" w:rsidRPr="00642CF8" w:rsidRDefault="00E44F66" w:rsidP="00E44F66">
      <w:pPr>
        <w:pStyle w:val="AuthorityNote"/>
      </w:pPr>
      <w:r w:rsidRPr="00642CF8">
        <w:t>AUTHORITY NOTE:</w:t>
      </w:r>
      <w:r w:rsidRPr="00642CF8">
        <w:tab/>
        <w:t>Promulgated in accordance with R.S. 3:4706.</w:t>
      </w:r>
    </w:p>
    <w:p w14:paraId="075FF98C" w14:textId="77777777" w:rsidR="00E44F66"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07F51A46" w14:textId="77777777" w:rsidR="00E44F66" w:rsidRPr="00642CF8" w:rsidRDefault="00E44F66" w:rsidP="00E44F66">
      <w:pPr>
        <w:pStyle w:val="Section"/>
      </w:pPr>
      <w:bookmarkStart w:id="3146" w:name="_Toc224819530"/>
      <w:r w:rsidRPr="00642CF8">
        <w:t>§517.</w:t>
      </w:r>
      <w:r w:rsidRPr="00642CF8">
        <w:tab/>
        <w:t>Prohibitions</w:t>
      </w:r>
      <w:bookmarkEnd w:id="3146"/>
    </w:p>
    <w:p w14:paraId="60FDA710" w14:textId="77777777" w:rsidR="00E44F66" w:rsidRPr="00642CF8" w:rsidRDefault="00E44F66" w:rsidP="00E44F66">
      <w:pPr>
        <w:pStyle w:val="A"/>
      </w:pPr>
      <w:r w:rsidRPr="00642CF8">
        <w:t>A.</w:t>
      </w:r>
      <w:r w:rsidRPr="00642CF8">
        <w:tab/>
        <w:t xml:space="preserve">No person shall engage in the marketing, labeling, packaging, or advertising of crawfish, shrimp, or any product thereof, that implies or suggests any association with Louisiana’s culture and heritage if the association is likely to deceive the public as to its origin. </w:t>
      </w:r>
    </w:p>
    <w:p w14:paraId="7DFEF8C6" w14:textId="77777777" w:rsidR="00E44F66" w:rsidRPr="00642CF8" w:rsidRDefault="00E44F66" w:rsidP="00E44F66">
      <w:pPr>
        <w:pStyle w:val="A"/>
      </w:pPr>
      <w:r w:rsidRPr="00642CF8">
        <w:t>B.</w:t>
      </w:r>
      <w:r w:rsidRPr="00642CF8">
        <w:tab/>
        <w:t xml:space="preserve">No person shall market crawfish, shrimp, or any product thereof using any Louisiana-related imagery, phrases, colors, or styles if the products are not genuinely linked to Louisiana’s cultural heritage and produced within this state or landed within the state. </w:t>
      </w:r>
    </w:p>
    <w:p w14:paraId="399AB1ED" w14:textId="77777777" w:rsidR="00E44F66" w:rsidRPr="00642CF8" w:rsidRDefault="00E44F66" w:rsidP="00E44F66">
      <w:pPr>
        <w:pStyle w:val="A"/>
      </w:pPr>
      <w:r w:rsidRPr="00642CF8">
        <w:t>C.</w:t>
      </w:r>
      <w:r w:rsidRPr="00642CF8">
        <w:tab/>
        <w:t xml:space="preserve">The prohibitions in this section shall not apply if the country of origin appears on the front of the package in thirty-point Arial Black font. </w:t>
      </w:r>
    </w:p>
    <w:p w14:paraId="7EA89D72" w14:textId="77777777" w:rsidR="00E44F66" w:rsidRPr="00642CF8" w:rsidRDefault="00E44F66" w:rsidP="00E44F66">
      <w:pPr>
        <w:pStyle w:val="AuthorityNote"/>
      </w:pPr>
      <w:r w:rsidRPr="00642CF8">
        <w:t>AUTHORITY NOTE:</w:t>
      </w:r>
      <w:r w:rsidRPr="00642CF8">
        <w:tab/>
        <w:t>Promulgated in accordance with R.S. 3:4706.</w:t>
      </w:r>
    </w:p>
    <w:p w14:paraId="25AD2224" w14:textId="77777777"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7E037F23" w14:textId="77777777" w:rsidR="00E44F66" w:rsidRPr="00642CF8" w:rsidRDefault="00E44F66" w:rsidP="00E44F66">
      <w:pPr>
        <w:pStyle w:val="Section"/>
      </w:pPr>
      <w:bookmarkStart w:id="3147" w:name="_Toc224819531"/>
      <w:r w:rsidRPr="00642CF8">
        <w:t>§519.</w:t>
      </w:r>
      <w:r w:rsidRPr="00642CF8">
        <w:tab/>
        <w:t>Complaints and Investigations</w:t>
      </w:r>
      <w:bookmarkEnd w:id="3147"/>
    </w:p>
    <w:p w14:paraId="67316D87" w14:textId="77777777" w:rsidR="00E44F66" w:rsidRPr="00642CF8" w:rsidRDefault="00E44F66" w:rsidP="00E44F66">
      <w:pPr>
        <w:pStyle w:val="A"/>
      </w:pPr>
      <w:r w:rsidRPr="00642CF8">
        <w:t>A.</w:t>
      </w:r>
      <w:r w:rsidRPr="00642CF8">
        <w:tab/>
        <w:t>The department may receive complaints regarding violations of this Chapter. Complaints may be directed to the department’s Weights and Measures Division.</w:t>
      </w:r>
    </w:p>
    <w:p w14:paraId="6E43D225" w14:textId="77777777" w:rsidR="00E44F66" w:rsidRPr="00642CF8" w:rsidRDefault="00E44F66" w:rsidP="00E44F66">
      <w:pPr>
        <w:pStyle w:val="A"/>
      </w:pPr>
      <w:r w:rsidRPr="00642CF8">
        <w:t>B.</w:t>
      </w:r>
      <w:r w:rsidRPr="00642CF8">
        <w:tab/>
        <w:t>Upon receipt of a complaint, the department may investigate the alleged violation.</w:t>
      </w:r>
    </w:p>
    <w:p w14:paraId="3AE1CA2E" w14:textId="77777777" w:rsidR="00E44F66" w:rsidRPr="00642CF8" w:rsidRDefault="00E44F66" w:rsidP="00E44F66">
      <w:pPr>
        <w:pStyle w:val="A"/>
      </w:pPr>
      <w:r w:rsidRPr="00642CF8">
        <w:t>C.</w:t>
      </w:r>
      <w:r w:rsidRPr="00642CF8">
        <w:tab/>
        <w:t>The department may also investigate possible violations that the department may notice.</w:t>
      </w:r>
    </w:p>
    <w:p w14:paraId="0316208E" w14:textId="77777777" w:rsidR="00E44F66" w:rsidRPr="00642CF8" w:rsidRDefault="00E44F66" w:rsidP="00E44F66">
      <w:pPr>
        <w:pStyle w:val="AuthorityNote"/>
      </w:pPr>
      <w:r w:rsidRPr="00642CF8">
        <w:t>AUTHORITY NOTE:</w:t>
      </w:r>
      <w:r w:rsidRPr="00642CF8">
        <w:tab/>
        <w:t>Promulgated in accordance with R.S. 3:4706.</w:t>
      </w:r>
    </w:p>
    <w:p w14:paraId="02EB92E6" w14:textId="77777777"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226F3496" w14:textId="77777777" w:rsidR="00E44F66" w:rsidRPr="00642CF8" w:rsidRDefault="00E44F66" w:rsidP="00E44F66">
      <w:pPr>
        <w:pStyle w:val="Section"/>
      </w:pPr>
      <w:bookmarkStart w:id="3148" w:name="_Toc224819532"/>
      <w:r w:rsidRPr="00642CF8">
        <w:lastRenderedPageBreak/>
        <w:t>§521.</w:t>
      </w:r>
      <w:r w:rsidRPr="00642CF8">
        <w:tab/>
        <w:t>Enforcement</w:t>
      </w:r>
      <w:bookmarkEnd w:id="3148"/>
    </w:p>
    <w:p w14:paraId="1F411D5B" w14:textId="77777777" w:rsidR="00E44F66" w:rsidRPr="00642CF8" w:rsidRDefault="00E44F66" w:rsidP="00E44F66">
      <w:pPr>
        <w:pStyle w:val="A"/>
      </w:pPr>
      <w:r w:rsidRPr="00642CF8">
        <w:t>A.</w:t>
      </w:r>
      <w:r w:rsidRPr="00642CF8">
        <w:tab/>
        <w:t>Whenever the department has reason to believe that a violation of this Chapter or the Act has occurred, the department may present the alleged violations at an adjudicatory hearing before the Weights and Measures Commission.</w:t>
      </w:r>
    </w:p>
    <w:p w14:paraId="200FE71B" w14:textId="77777777" w:rsidR="00E44F66" w:rsidRPr="00642CF8" w:rsidRDefault="00E44F66" w:rsidP="00E44F66">
      <w:pPr>
        <w:pStyle w:val="A"/>
      </w:pPr>
      <w:r w:rsidRPr="00642CF8">
        <w:t>B.</w:t>
      </w:r>
      <w:r w:rsidRPr="00642CF8">
        <w:tab/>
        <w:t>The department shall notify the respondent of the alleged violation as well as an opportunity to respond thereto, by certified mail, prior to any hearing date in accordance with the Administrative Procedure Act.</w:t>
      </w:r>
    </w:p>
    <w:p w14:paraId="1D21AF62" w14:textId="77777777" w:rsidR="00E44F66" w:rsidRPr="00642CF8" w:rsidRDefault="00E44F66" w:rsidP="00E44F66">
      <w:pPr>
        <w:pStyle w:val="AuthorityNote"/>
      </w:pPr>
      <w:r w:rsidRPr="00642CF8">
        <w:t>AUTHORITY NOTE:</w:t>
      </w:r>
      <w:r w:rsidRPr="00642CF8">
        <w:tab/>
        <w:t>Promulgated in accordance R.S. 3:4706.</w:t>
      </w:r>
    </w:p>
    <w:p w14:paraId="3051FB66" w14:textId="77777777"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542645C1" w14:textId="77777777" w:rsidR="00E44F66" w:rsidRPr="00642CF8" w:rsidRDefault="00E44F66" w:rsidP="00E44F66">
      <w:pPr>
        <w:pStyle w:val="Section"/>
      </w:pPr>
      <w:bookmarkStart w:id="3149" w:name="_Toc224819533"/>
      <w:r w:rsidRPr="00642CF8">
        <w:t>§523.</w:t>
      </w:r>
      <w:r w:rsidRPr="00642CF8">
        <w:tab/>
        <w:t>Penalties</w:t>
      </w:r>
      <w:bookmarkEnd w:id="3149"/>
    </w:p>
    <w:p w14:paraId="5B4EE4D0" w14:textId="77777777" w:rsidR="00E44F66" w:rsidRPr="00642CF8" w:rsidRDefault="00E44F66" w:rsidP="00E44F66">
      <w:pPr>
        <w:pStyle w:val="A"/>
      </w:pPr>
      <w:r w:rsidRPr="00642CF8">
        <w:t>A.</w:t>
      </w:r>
      <w:r w:rsidRPr="00642CF8">
        <w:tab/>
        <w:t>Penalties may be assessed only by a ruling of the commissioner based upon a recommendation by the Weights and Measures Commission adjudicatory hearing held pursuant to R.S. 3:4706 an</w:t>
      </w:r>
      <w:r>
        <w:t xml:space="preserve">d the Administrative Procedure </w:t>
      </w:r>
      <w:r w:rsidRPr="00642CF8">
        <w:t>Act.</w:t>
      </w:r>
    </w:p>
    <w:p w14:paraId="7CACE862" w14:textId="77777777" w:rsidR="00E44F66" w:rsidRPr="00642CF8" w:rsidRDefault="00E44F66" w:rsidP="00E44F66">
      <w:pPr>
        <w:pStyle w:val="AuthorityNote"/>
      </w:pPr>
      <w:r w:rsidRPr="00642CF8">
        <w:t>AUTHORITY NOTE:</w:t>
      </w:r>
      <w:r w:rsidRPr="00642CF8">
        <w:tab/>
        <w:t>Promulgated in accordance with R.S. 3:4706.</w:t>
      </w:r>
    </w:p>
    <w:p w14:paraId="105BFC3A" w14:textId="77777777"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14:paraId="33E80407" w14:textId="77777777" w:rsidR="00F7752E" w:rsidRPr="000A303C" w:rsidRDefault="00F7752E" w:rsidP="00F7752E">
      <w:pPr>
        <w:pStyle w:val="Chapter"/>
      </w:pPr>
      <w:bookmarkStart w:id="3150" w:name="_Toc224819534"/>
      <w:r w:rsidRPr="000A303C">
        <w:t>Chapter 7.</w:t>
      </w:r>
      <w:r w:rsidRPr="000A303C">
        <w:tab/>
        <w:t>Tru</w:t>
      </w:r>
      <w:r>
        <w:t>th in Labeling of Food Products</w:t>
      </w:r>
      <w:bookmarkEnd w:id="3150"/>
    </w:p>
    <w:p w14:paraId="66EF5AE8" w14:textId="77777777" w:rsidR="00F7752E" w:rsidRPr="000A303C" w:rsidRDefault="00F7752E" w:rsidP="00F7752E">
      <w:pPr>
        <w:pStyle w:val="Section"/>
      </w:pPr>
      <w:bookmarkStart w:id="3151" w:name="_Toc224819535"/>
      <w:r w:rsidRPr="000A303C">
        <w:t>§701.</w:t>
      </w:r>
      <w:r w:rsidRPr="000A303C">
        <w:tab/>
      </w:r>
      <w:r>
        <w:t>Authority</w:t>
      </w:r>
      <w:bookmarkEnd w:id="3151"/>
    </w:p>
    <w:p w14:paraId="077F525F" w14:textId="77777777" w:rsidR="00F7752E" w:rsidRPr="000A303C" w:rsidRDefault="00F7752E" w:rsidP="00F7752E">
      <w:pPr>
        <w:pStyle w:val="A"/>
      </w:pPr>
      <w:r w:rsidRPr="000A303C">
        <w:t>A.</w:t>
      </w:r>
      <w:r w:rsidRPr="000A303C">
        <w:tab/>
        <w:t>The Department of Agriculture and Forestry adopts these regulations</w:t>
      </w:r>
      <w:r>
        <w:t xml:space="preserve"> under the authority of R.S. 3:</w:t>
      </w:r>
      <w:r w:rsidRPr="000A303C">
        <w:t xml:space="preserve">4741 </w:t>
      </w:r>
      <w:r w:rsidRPr="00F00729">
        <w:rPr>
          <w:iCs/>
        </w:rPr>
        <w:t>et seq.</w:t>
      </w:r>
      <w:r w:rsidRPr="000A303C">
        <w:t xml:space="preserve"> for the purposes of regulating and enforcing the truthfulness in labeling agricultural products and to prohibit the misbranding or misrepresentation</w:t>
      </w:r>
      <w:r>
        <w:t xml:space="preserve"> of food products.</w:t>
      </w:r>
    </w:p>
    <w:p w14:paraId="3A87C30E" w14:textId="77777777" w:rsidR="00F7752E" w:rsidRPr="000A303C" w:rsidRDefault="00F7752E" w:rsidP="00F7752E">
      <w:pPr>
        <w:pStyle w:val="AuthorityNote"/>
      </w:pPr>
      <w:r w:rsidRPr="000A303C">
        <w:t>AUTHORITY NOTE:</w:t>
      </w:r>
      <w:r>
        <w:t xml:space="preserve"> </w:t>
      </w:r>
      <w:r w:rsidRPr="000A303C">
        <w:t>Promulgated in accordance with R.S. 3:4741.</w:t>
      </w:r>
    </w:p>
    <w:p w14:paraId="0552C0F0" w14:textId="77777777" w:rsidR="00F7752E" w:rsidRDefault="00F7752E" w:rsidP="00F7752E">
      <w:pPr>
        <w:pStyle w:val="HistoricalNote"/>
      </w:pPr>
      <w:r w:rsidRPr="000A303C">
        <w:t xml:space="preserve">HISTORICAL NOTE: Promulgated by the Department of Agriculture and Forestry, Office of Agro-Consumer Services, Division of Weights and Measures, LR </w:t>
      </w:r>
      <w:r w:rsidRPr="009B27CC">
        <w:t>47:</w:t>
      </w:r>
      <w:r>
        <w:t>348</w:t>
      </w:r>
      <w:r w:rsidRPr="009B27CC">
        <w:t xml:space="preserve"> (March 2021).</w:t>
      </w:r>
    </w:p>
    <w:p w14:paraId="52C06A4A" w14:textId="77777777" w:rsidR="00F7752E" w:rsidRPr="000A303C" w:rsidRDefault="00F7752E" w:rsidP="00F7752E">
      <w:pPr>
        <w:pStyle w:val="Section"/>
      </w:pPr>
      <w:bookmarkStart w:id="3152" w:name="_Toc224819536"/>
      <w:r w:rsidRPr="000A303C">
        <w:t>§703.</w:t>
      </w:r>
      <w:r w:rsidRPr="000A303C">
        <w:tab/>
        <w:t>Definitions</w:t>
      </w:r>
      <w:bookmarkEnd w:id="3152"/>
    </w:p>
    <w:p w14:paraId="3ABA6E14" w14:textId="77777777" w:rsidR="00F7752E" w:rsidRPr="000A303C" w:rsidRDefault="00F7752E" w:rsidP="00F7752E">
      <w:pPr>
        <w:pStyle w:val="A"/>
      </w:pPr>
      <w:r w:rsidRPr="000A303C">
        <w:t>A.</w:t>
      </w:r>
      <w:r w:rsidRPr="000A303C">
        <w:tab/>
        <w:t>The provisions of</w:t>
      </w:r>
      <w:r>
        <w:t xml:space="preserve"> </w:t>
      </w:r>
      <w:r w:rsidRPr="000A303C">
        <w:t>R.S. 3:4741 through 4746, relating to definitions, words, and terms are hereby incorporated by reference and made a part hereof and will therefore apply and govern the interpretation of these rules, unless the context otherwise requires or unless specifically redefined in a particular Section.</w:t>
      </w:r>
      <w:r>
        <w:t xml:space="preserve"> </w:t>
      </w:r>
      <w:r w:rsidRPr="000A303C">
        <w:t>Any word or term not defined in these rules shall have the same meaning ascribed to it in R.S. 3:4741 through 4746.</w:t>
      </w:r>
      <w:r>
        <w:t xml:space="preserve"> </w:t>
      </w:r>
      <w:r w:rsidRPr="000A303C">
        <w:t>Any word or term not defined in R.S. 3:4741 through 4746 or these regulations shall be construed in accordance with its plain and ordinary meaning.</w:t>
      </w:r>
    </w:p>
    <w:p w14:paraId="1D1DBCE6" w14:textId="77777777" w:rsidR="00F7752E" w:rsidRPr="000A303C" w:rsidRDefault="00F7752E" w:rsidP="00F7752E">
      <w:pPr>
        <w:pStyle w:val="A"/>
      </w:pPr>
      <w:r w:rsidRPr="000A303C">
        <w:t>B.</w:t>
      </w:r>
      <w:r w:rsidRPr="000A303C">
        <w:tab/>
        <w:t>The following words and terms shall have the following meanings for purposes of this Chapter:</w:t>
      </w:r>
    </w:p>
    <w:p w14:paraId="18E48FE9" w14:textId="77777777" w:rsidR="00F7752E" w:rsidRPr="000A303C" w:rsidRDefault="00F7752E" w:rsidP="00F7752E">
      <w:pPr>
        <w:pStyle w:val="1"/>
      </w:pPr>
      <w:r w:rsidRPr="000A303C">
        <w:rPr>
          <w:i/>
          <w:iCs/>
        </w:rPr>
        <w:t>Act—</w:t>
      </w:r>
      <w:r w:rsidRPr="000A303C">
        <w:t>Truth</w:t>
      </w:r>
      <w:r w:rsidRPr="000A303C">
        <w:rPr>
          <w:i/>
          <w:iCs/>
        </w:rPr>
        <w:t xml:space="preserve"> </w:t>
      </w:r>
      <w:r w:rsidRPr="000A303C">
        <w:t>i</w:t>
      </w:r>
      <w:r>
        <w:t xml:space="preserve">n Labeling of Food Products Act, </w:t>
      </w:r>
      <w:r w:rsidRPr="000A303C">
        <w:t xml:space="preserve">or R.S. 3:4741 </w:t>
      </w:r>
      <w:r w:rsidRPr="00F00729">
        <w:rPr>
          <w:iCs/>
        </w:rPr>
        <w:t>et seq.</w:t>
      </w:r>
    </w:p>
    <w:p w14:paraId="137194A5" w14:textId="77777777" w:rsidR="00F7752E" w:rsidRPr="000A303C" w:rsidRDefault="00F7752E" w:rsidP="00F7752E">
      <w:pPr>
        <w:pStyle w:val="1"/>
      </w:pPr>
      <w:r w:rsidRPr="000A303C">
        <w:rPr>
          <w:i/>
          <w:iCs/>
        </w:rPr>
        <w:t xml:space="preserve">Agricultural </w:t>
      </w:r>
      <w:r>
        <w:rPr>
          <w:i/>
          <w:iCs/>
        </w:rPr>
        <w:t>P</w:t>
      </w:r>
      <w:r w:rsidRPr="000A303C">
        <w:rPr>
          <w:i/>
          <w:iCs/>
        </w:rPr>
        <w:t>roduct—</w:t>
      </w:r>
      <w:r w:rsidRPr="000A303C">
        <w:t>any beef, pork, poultry, crawfish, shrimp, meat, sugar, or rice product intended for human consumption.</w:t>
      </w:r>
    </w:p>
    <w:p w14:paraId="07603DDC" w14:textId="77777777" w:rsidR="00F7752E" w:rsidRPr="000A303C" w:rsidRDefault="00F7752E" w:rsidP="00F7752E">
      <w:pPr>
        <w:pStyle w:val="1"/>
      </w:pPr>
      <w:r w:rsidRPr="000A303C">
        <w:rPr>
          <w:i/>
          <w:iCs/>
        </w:rPr>
        <w:t>Beef—</w:t>
      </w:r>
      <w:r w:rsidRPr="000A303C">
        <w:t xml:space="preserve">the flesh of a domesticated bovine that is </w:t>
      </w:r>
      <w:r>
        <w:t>suitable for human consumption.</w:t>
      </w:r>
    </w:p>
    <w:p w14:paraId="1231D214" w14:textId="77777777" w:rsidR="00F7752E" w:rsidRPr="000A303C" w:rsidRDefault="00F7752E" w:rsidP="00F7752E">
      <w:pPr>
        <w:pStyle w:val="1"/>
      </w:pPr>
      <w:r>
        <w:rPr>
          <w:i/>
          <w:iCs/>
        </w:rPr>
        <w:t>Beef P</w:t>
      </w:r>
      <w:r w:rsidRPr="000A303C">
        <w:rPr>
          <w:i/>
          <w:iCs/>
        </w:rPr>
        <w:t>roducts</w:t>
      </w:r>
      <w:r w:rsidRPr="000A303C">
        <w:t>—agricultural products that are produced, in whole or in part, from beef and are suitable for human consumption. Beef products include, but are not limited to, beef jerky, beef patties, chopped steak, fabricated steak, hamburger, ground beef, ribs, and roast.</w:t>
      </w:r>
    </w:p>
    <w:p w14:paraId="1C5502BD" w14:textId="77777777" w:rsidR="00F7752E" w:rsidRPr="000A303C" w:rsidRDefault="00F7752E" w:rsidP="00F7752E">
      <w:pPr>
        <w:pStyle w:val="1"/>
      </w:pPr>
      <w:r w:rsidRPr="000A303C">
        <w:rPr>
          <w:i/>
          <w:iCs/>
        </w:rPr>
        <w:t>Cell Cultured Food Product</w:t>
      </w:r>
      <w:r w:rsidRPr="000A303C">
        <w:t xml:space="preserve">—any cultured animal tissue produced from </w:t>
      </w:r>
      <w:r w:rsidRPr="000A303C">
        <w:rPr>
          <w:i/>
          <w:iCs/>
        </w:rPr>
        <w:t xml:space="preserve">in vitro </w:t>
      </w:r>
      <w:r w:rsidRPr="000A303C">
        <w:t>animal cell cultures outside of the org</w:t>
      </w:r>
      <w:r>
        <w:t>anism from which it is derived.</w:t>
      </w:r>
    </w:p>
    <w:p w14:paraId="0456CC5A" w14:textId="77777777" w:rsidR="00F7752E" w:rsidRPr="000A303C" w:rsidRDefault="00F7752E" w:rsidP="00F7752E">
      <w:pPr>
        <w:pStyle w:val="1"/>
      </w:pPr>
      <w:r w:rsidRPr="000A303C">
        <w:rPr>
          <w:i/>
          <w:iCs/>
        </w:rPr>
        <w:t>Commissioner</w:t>
      </w:r>
      <w:r w:rsidRPr="000A303C">
        <w:t>—the Commission</w:t>
      </w:r>
      <w:r>
        <w:t>er of Agriculture and Forestry.</w:t>
      </w:r>
    </w:p>
    <w:p w14:paraId="10EA5B4F" w14:textId="77777777" w:rsidR="00F7752E" w:rsidRPr="000A303C" w:rsidRDefault="00F7752E" w:rsidP="00F7752E">
      <w:pPr>
        <w:pStyle w:val="1"/>
      </w:pPr>
      <w:r w:rsidRPr="000A303C">
        <w:rPr>
          <w:i/>
          <w:iCs/>
        </w:rPr>
        <w:t xml:space="preserve">Deceptively </w:t>
      </w:r>
      <w:r>
        <w:rPr>
          <w:i/>
        </w:rPr>
        <w:t>S</w:t>
      </w:r>
      <w:r w:rsidRPr="00E86669">
        <w:rPr>
          <w:i/>
        </w:rPr>
        <w:t>imilar</w:t>
      </w:r>
      <w:r w:rsidRPr="000A303C">
        <w:t xml:space="preserve">—misleading </w:t>
      </w:r>
      <w:r>
        <w:t>to a reasonable person.</w:t>
      </w:r>
    </w:p>
    <w:p w14:paraId="09BDAB89" w14:textId="77777777" w:rsidR="00F7752E" w:rsidRPr="000A303C" w:rsidRDefault="00F7752E" w:rsidP="00F7752E">
      <w:pPr>
        <w:pStyle w:val="1"/>
      </w:pPr>
      <w:r w:rsidRPr="000A303C">
        <w:rPr>
          <w:i/>
          <w:iCs/>
        </w:rPr>
        <w:t>Department</w:t>
      </w:r>
      <w:r w:rsidRPr="000A303C">
        <w:t>—the Department of Agriculture and Forestry.</w:t>
      </w:r>
    </w:p>
    <w:p w14:paraId="4C6A6556" w14:textId="77777777" w:rsidR="00F7752E" w:rsidRPr="000A303C" w:rsidRDefault="00F7752E" w:rsidP="00F7752E">
      <w:pPr>
        <w:pStyle w:val="1"/>
      </w:pPr>
      <w:r>
        <w:rPr>
          <w:i/>
          <w:iCs/>
        </w:rPr>
        <w:t>Food P</w:t>
      </w:r>
      <w:r w:rsidRPr="000A303C">
        <w:rPr>
          <w:i/>
          <w:iCs/>
        </w:rPr>
        <w:t>roduct</w:t>
      </w:r>
      <w:r w:rsidRPr="000A303C">
        <w:t>—any product sold at retail or offered for retail sale that is intended for human consumption.</w:t>
      </w:r>
    </w:p>
    <w:p w14:paraId="28BE616C" w14:textId="77777777" w:rsidR="00F7752E" w:rsidRPr="000A303C" w:rsidRDefault="00F7752E" w:rsidP="00F7752E">
      <w:pPr>
        <w:pStyle w:val="1"/>
      </w:pPr>
      <w:r w:rsidRPr="000A303C">
        <w:rPr>
          <w:i/>
          <w:iCs/>
        </w:rPr>
        <w:t>Label</w:t>
      </w:r>
      <w:r w:rsidRPr="000A303C">
        <w:t xml:space="preserve">—a display of written, printed, or graphic matter upon or affixed to the container or wrapper in which a food product is </w:t>
      </w:r>
      <w:r>
        <w:t>offered for direct retail sale.</w:t>
      </w:r>
    </w:p>
    <w:p w14:paraId="2AAC2329" w14:textId="77777777" w:rsidR="00F7752E" w:rsidRPr="000A303C" w:rsidRDefault="00F7752E" w:rsidP="00F7752E">
      <w:pPr>
        <w:pStyle w:val="1"/>
      </w:pPr>
      <w:r w:rsidRPr="000A303C">
        <w:rPr>
          <w:i/>
          <w:iCs/>
        </w:rPr>
        <w:t>Labeling</w:t>
      </w:r>
      <w:r w:rsidRPr="000A303C">
        <w:t xml:space="preserve">—the act of identifying, describing, or advertising a food product by means of </w:t>
      </w:r>
      <w:r>
        <w:t>a label or through other means.</w:t>
      </w:r>
    </w:p>
    <w:p w14:paraId="28CD94D7" w14:textId="77777777" w:rsidR="00F7752E" w:rsidRPr="000A303C" w:rsidRDefault="00F7752E" w:rsidP="00F7752E">
      <w:pPr>
        <w:pStyle w:val="1"/>
      </w:pPr>
      <w:r w:rsidRPr="000A303C">
        <w:rPr>
          <w:i/>
          <w:iCs/>
        </w:rPr>
        <w:t>Meat</w:t>
      </w:r>
      <w:r w:rsidRPr="000A303C">
        <w:t>—a portion of beef, pork, poultry, alligator, farm-raised deer, turtle, domestic rabbit, crawfish, or shrimp carcass that is suitable for human con</w:t>
      </w:r>
      <w:r>
        <w:t>sumption, but does not include:</w:t>
      </w:r>
    </w:p>
    <w:p w14:paraId="71D3D7BD" w14:textId="77777777" w:rsidR="00F7752E" w:rsidRPr="000A303C" w:rsidRDefault="00F7752E" w:rsidP="00F7752E">
      <w:pPr>
        <w:pStyle w:val="a0"/>
      </w:pPr>
      <w:r w:rsidRPr="000A303C">
        <w:t>a.</w:t>
      </w:r>
      <w:r w:rsidRPr="000A303C">
        <w:tab/>
      </w:r>
      <w:r>
        <w:t>s</w:t>
      </w:r>
      <w:r w:rsidRPr="000A303C">
        <w:t xml:space="preserve">ynthetic product derived from a </w:t>
      </w:r>
      <w:r>
        <w:t>plant, insect, or other source;</w:t>
      </w:r>
    </w:p>
    <w:p w14:paraId="6708737B" w14:textId="77777777" w:rsidR="00F7752E" w:rsidRPr="000A303C" w:rsidRDefault="00F7752E" w:rsidP="00F7752E">
      <w:pPr>
        <w:pStyle w:val="a0"/>
      </w:pPr>
      <w:r w:rsidRPr="000A303C">
        <w:t>b.</w:t>
      </w:r>
      <w:r w:rsidRPr="000A303C">
        <w:tab/>
      </w:r>
      <w:r>
        <w:t>c</w:t>
      </w:r>
      <w:r w:rsidRPr="000A303C">
        <w:t xml:space="preserve">ell-cultured food product grown in a laboratory from animal </w:t>
      </w:r>
      <w:r>
        <w:t>cells.</w:t>
      </w:r>
    </w:p>
    <w:p w14:paraId="4A431F68" w14:textId="77777777" w:rsidR="00F7752E" w:rsidRPr="000A303C" w:rsidRDefault="00F7752E" w:rsidP="00F7752E">
      <w:pPr>
        <w:pStyle w:val="1"/>
      </w:pPr>
      <w:r>
        <w:rPr>
          <w:i/>
          <w:iCs/>
        </w:rPr>
        <w:t>Meat P</w:t>
      </w:r>
      <w:r w:rsidRPr="000A303C">
        <w:rPr>
          <w:i/>
          <w:iCs/>
        </w:rPr>
        <w:t>roduct—</w:t>
      </w:r>
      <w:r w:rsidRPr="000A303C">
        <w:t>a type of agricultural product that is edible by humans and made wholly or in part from meat or another portion of a beef, pork, poultry, alligator, farm-raised deer, turtle, domestic rabbit, crawfish, or shrimp carcass.</w:t>
      </w:r>
    </w:p>
    <w:p w14:paraId="0C18BDF0" w14:textId="77777777" w:rsidR="00F7752E" w:rsidRPr="000A303C" w:rsidRDefault="00F7752E" w:rsidP="00F7752E">
      <w:pPr>
        <w:pStyle w:val="1"/>
      </w:pPr>
      <w:r w:rsidRPr="000A303C">
        <w:rPr>
          <w:i/>
          <w:iCs/>
        </w:rPr>
        <w:t>Misbrand—</w:t>
      </w:r>
      <w:r w:rsidRPr="000A303C">
        <w:t>to identify or label a food produc</w:t>
      </w:r>
      <w:r>
        <w:t>t in a false or misleading way.</w:t>
      </w:r>
    </w:p>
    <w:p w14:paraId="2C3B5BE8" w14:textId="77777777" w:rsidR="00F7752E" w:rsidRPr="000A303C" w:rsidRDefault="00F7752E" w:rsidP="00F7752E">
      <w:pPr>
        <w:pStyle w:val="1"/>
      </w:pPr>
      <w:r w:rsidRPr="000A303C">
        <w:rPr>
          <w:i/>
          <w:iCs/>
        </w:rPr>
        <w:t>Misrepresent</w:t>
      </w:r>
      <w:r w:rsidRPr="000A303C">
        <w:t>—to use any untrue, misleading, or deceptive oral or written statement, advertisement, label, display, pi</w:t>
      </w:r>
      <w:r>
        <w:t>cture, illustration, or sample.</w:t>
      </w:r>
    </w:p>
    <w:p w14:paraId="7C41A433" w14:textId="77777777" w:rsidR="00F7752E" w:rsidRPr="000A303C" w:rsidRDefault="00F7752E" w:rsidP="00F7752E">
      <w:pPr>
        <w:pStyle w:val="1"/>
      </w:pPr>
      <w:r w:rsidRPr="000A303C">
        <w:rPr>
          <w:i/>
          <w:iCs/>
        </w:rPr>
        <w:t>Person</w:t>
      </w:r>
      <w:r w:rsidRPr="000A303C">
        <w:t>—an individual, partnership, limited liability company, limited liability partnership, corporation, trust, firm, company, or other entity doing business in Louisiana. </w:t>
      </w:r>
    </w:p>
    <w:p w14:paraId="7D453F52" w14:textId="77777777" w:rsidR="00F7752E" w:rsidRPr="000A303C" w:rsidRDefault="00F7752E" w:rsidP="00F7752E">
      <w:pPr>
        <w:pStyle w:val="1"/>
      </w:pPr>
      <w:r w:rsidRPr="000A303C">
        <w:rPr>
          <w:i/>
          <w:iCs/>
        </w:rPr>
        <w:t>Pork</w:t>
      </w:r>
      <w:r w:rsidRPr="000A303C">
        <w:t xml:space="preserve">—the flesh of domesticated swine that is </w:t>
      </w:r>
      <w:r>
        <w:t>suitable for human consumption.</w:t>
      </w:r>
    </w:p>
    <w:p w14:paraId="649B244C" w14:textId="77777777" w:rsidR="00F7752E" w:rsidRPr="000A303C" w:rsidRDefault="00F7752E" w:rsidP="00F7752E">
      <w:pPr>
        <w:pStyle w:val="1"/>
      </w:pPr>
      <w:r>
        <w:rPr>
          <w:i/>
          <w:iCs/>
        </w:rPr>
        <w:t>Pork P</w:t>
      </w:r>
      <w:r w:rsidRPr="000A303C">
        <w:rPr>
          <w:i/>
          <w:iCs/>
        </w:rPr>
        <w:t>roducts</w:t>
      </w:r>
      <w:r w:rsidRPr="000A303C">
        <w:t xml:space="preserve">—agricultural products that are produced, in whole or in part, from pork and are suitable for human consumption. Pork products include, but are not limited to, </w:t>
      </w:r>
      <w:r w:rsidRPr="000A303C">
        <w:lastRenderedPageBreak/>
        <w:t>bacon, bratwurst, ground pork, ham, pork chops, ribs, roast, and sausage.</w:t>
      </w:r>
    </w:p>
    <w:p w14:paraId="2ECC6D06" w14:textId="77777777" w:rsidR="00F7752E" w:rsidRPr="000A303C" w:rsidRDefault="00F7752E" w:rsidP="00F7752E">
      <w:pPr>
        <w:pStyle w:val="1"/>
      </w:pPr>
      <w:r w:rsidRPr="000A303C">
        <w:rPr>
          <w:i/>
          <w:iCs/>
        </w:rPr>
        <w:t>Poultry</w:t>
      </w:r>
      <w:r w:rsidRPr="000A303C">
        <w:t xml:space="preserve">—the flesh of domesticated birds that is </w:t>
      </w:r>
      <w:r>
        <w:t>suitable for human consumption.</w:t>
      </w:r>
    </w:p>
    <w:p w14:paraId="737F4ADB" w14:textId="77777777" w:rsidR="00F7752E" w:rsidRPr="000A303C" w:rsidRDefault="00F7752E" w:rsidP="00F7752E">
      <w:pPr>
        <w:pStyle w:val="1"/>
      </w:pPr>
      <w:r w:rsidRPr="000A303C">
        <w:rPr>
          <w:i/>
          <w:iCs/>
        </w:rPr>
        <w:t xml:space="preserve">Principal Display </w:t>
      </w:r>
      <w:r w:rsidRPr="00B24DE6">
        <w:rPr>
          <w:i/>
        </w:rPr>
        <w:t>Panel</w:t>
      </w:r>
      <w:r w:rsidRPr="000A303C">
        <w:t>—the part(s) of a label that is so designed as to most likely be displayed, presented, shown, or examined under normal and customary conditions of display, sale, and purchase. Wherever a principal display panel appears more than once on a package, all requirements pertaining to principal display panels shall pertain to all such principal display panels.</w:t>
      </w:r>
    </w:p>
    <w:p w14:paraId="75679EEE" w14:textId="77777777" w:rsidR="00F7752E" w:rsidRPr="000A303C" w:rsidRDefault="00F7752E" w:rsidP="00F7752E">
      <w:pPr>
        <w:pStyle w:val="1"/>
      </w:pPr>
      <w:r w:rsidRPr="000A303C">
        <w:rPr>
          <w:i/>
          <w:iCs/>
        </w:rPr>
        <w:t>Rice</w:t>
      </w:r>
      <w:r w:rsidRPr="000A303C">
        <w:t xml:space="preserve">—the whole or broken kernels obtained from the species </w:t>
      </w:r>
      <w:r w:rsidRPr="000A303C">
        <w:rPr>
          <w:i/>
          <w:iCs/>
        </w:rPr>
        <w:t xml:space="preserve">Oryza sativa L. </w:t>
      </w:r>
      <w:r w:rsidRPr="000A303C">
        <w:t xml:space="preserve">or </w:t>
      </w:r>
      <w:r w:rsidRPr="000A303C">
        <w:rPr>
          <w:i/>
          <w:iCs/>
        </w:rPr>
        <w:t>Oryza glaberrima</w:t>
      </w:r>
      <w:r w:rsidRPr="000A303C">
        <w:t>, or wild rice, which is obtained from one of the four species of grasses from the genus</w:t>
      </w:r>
      <w:r w:rsidRPr="000A303C">
        <w:rPr>
          <w:i/>
          <w:iCs/>
        </w:rPr>
        <w:t xml:space="preserve"> Zizania </w:t>
      </w:r>
      <w:r w:rsidRPr="000A303C">
        <w:t xml:space="preserve">or </w:t>
      </w:r>
      <w:r>
        <w:rPr>
          <w:i/>
          <w:iCs/>
        </w:rPr>
        <w:t>Porteresia.</w:t>
      </w:r>
    </w:p>
    <w:p w14:paraId="2348F58B" w14:textId="77777777" w:rsidR="00F7752E" w:rsidRPr="000A303C" w:rsidRDefault="00F7752E" w:rsidP="00F7752E">
      <w:pPr>
        <w:pStyle w:val="1"/>
      </w:pPr>
      <w:r w:rsidRPr="00F00729">
        <w:rPr>
          <w:i/>
        </w:rPr>
        <w:t>Truth in Labeling Food Products Act</w:t>
      </w:r>
      <w:r w:rsidRPr="000A303C">
        <w:t xml:space="preserve">—R.S. 3:4741 </w:t>
      </w:r>
      <w:r>
        <w:t>et seq.</w:t>
      </w:r>
    </w:p>
    <w:p w14:paraId="41008A52" w14:textId="77777777" w:rsidR="00F7752E" w:rsidRPr="000A303C" w:rsidRDefault="00F7752E" w:rsidP="00F7752E">
      <w:pPr>
        <w:pStyle w:val="AuthorityNote"/>
      </w:pPr>
      <w:r>
        <w:t>AUTHORITY NOTE:</w:t>
      </w:r>
      <w:r>
        <w:tab/>
      </w:r>
      <w:r w:rsidRPr="000A303C">
        <w:t>Promulgated in accordance with R.S. 3:4741.</w:t>
      </w:r>
    </w:p>
    <w:p w14:paraId="4CC747CD" w14:textId="77777777"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348</w:t>
      </w:r>
      <w:r w:rsidRPr="009B27CC">
        <w:t xml:space="preserve"> (March 2021).</w:t>
      </w:r>
    </w:p>
    <w:p w14:paraId="141A5F6A" w14:textId="77777777" w:rsidR="00F7752E" w:rsidRPr="000A303C" w:rsidRDefault="00F7752E" w:rsidP="00F7752E">
      <w:pPr>
        <w:pStyle w:val="Section"/>
      </w:pPr>
      <w:bookmarkStart w:id="3153" w:name="_Toc224819537"/>
      <w:r w:rsidRPr="000A303C">
        <w:t>§705.</w:t>
      </w:r>
      <w:r w:rsidRPr="000A303C">
        <w:tab/>
        <w:t>Application</w:t>
      </w:r>
      <w:bookmarkEnd w:id="3153"/>
    </w:p>
    <w:p w14:paraId="52CB141D" w14:textId="77777777" w:rsidR="00F7752E" w:rsidRPr="000A303C" w:rsidRDefault="00F7752E" w:rsidP="00F7752E">
      <w:pPr>
        <w:pStyle w:val="A"/>
      </w:pPr>
      <w:r w:rsidRPr="000A303C">
        <w:t>A.</w:t>
      </w:r>
      <w:r w:rsidRPr="000A303C">
        <w:tab/>
        <w:t>The provisions of this Chapter shall apply only to persons who place a label on retail food products sold or offered for sale.</w:t>
      </w:r>
    </w:p>
    <w:p w14:paraId="53CF75A0" w14:textId="77777777" w:rsidR="00F7752E" w:rsidRPr="000A303C" w:rsidRDefault="00F7752E" w:rsidP="00F7752E">
      <w:pPr>
        <w:pStyle w:val="AuthorityNote"/>
      </w:pPr>
      <w:r w:rsidRPr="000A303C">
        <w:t>AUTHORITY NOTE:</w:t>
      </w:r>
      <w:r>
        <w:tab/>
      </w:r>
      <w:r w:rsidRPr="000A303C">
        <w:t>Promulgated in accordance with R.S. 3:4741.</w:t>
      </w:r>
    </w:p>
    <w:p w14:paraId="58E053D7" w14:textId="77777777"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14:paraId="30FD3B58" w14:textId="77777777" w:rsidR="00F7752E" w:rsidRPr="000A303C" w:rsidRDefault="00F7752E" w:rsidP="00F7752E">
      <w:pPr>
        <w:pStyle w:val="Section"/>
      </w:pPr>
      <w:bookmarkStart w:id="3154" w:name="_Toc224819538"/>
      <w:r w:rsidRPr="000A303C">
        <w:t>§707.</w:t>
      </w:r>
      <w:r w:rsidRPr="000A303C">
        <w:tab/>
        <w:t>Requirements for Food Labeling</w:t>
      </w:r>
      <w:bookmarkEnd w:id="3154"/>
    </w:p>
    <w:p w14:paraId="7DDA6972" w14:textId="77777777" w:rsidR="00F7752E" w:rsidRPr="000A303C" w:rsidRDefault="00F7752E" w:rsidP="00F7752E">
      <w:pPr>
        <w:pStyle w:val="A"/>
      </w:pPr>
      <w:r w:rsidRPr="000A303C">
        <w:t>A.</w:t>
      </w:r>
      <w:r w:rsidRPr="000A303C">
        <w:tab/>
        <w:t>All food products in package form shall bear a printed or stenciled label that clearly and accurately indicates the actual contents of the food product on the principal display panel.</w:t>
      </w:r>
    </w:p>
    <w:p w14:paraId="3F0C2962" w14:textId="77777777" w:rsidR="00F7752E" w:rsidRPr="000A303C" w:rsidRDefault="00F7752E" w:rsidP="00F7752E">
      <w:pPr>
        <w:pStyle w:val="A"/>
      </w:pPr>
      <w:r w:rsidRPr="000A303C">
        <w:t>B.</w:t>
      </w:r>
      <w:r w:rsidRPr="000A303C">
        <w:tab/>
        <w:t>If the label of a food product includes the name of a food product or agricultural product that is not contained in the package, the principal display panel must clearly state the actual contents of the package and/or description of the food product contained therein.</w:t>
      </w:r>
      <w:r>
        <w:t xml:space="preserve"> </w:t>
      </w:r>
    </w:p>
    <w:p w14:paraId="509C6EE4" w14:textId="77777777" w:rsidR="00F7752E" w:rsidRPr="000A303C" w:rsidRDefault="00F7752E" w:rsidP="00F7752E">
      <w:pPr>
        <w:pStyle w:val="A"/>
      </w:pPr>
      <w:r w:rsidRPr="000A303C">
        <w:t>C.</w:t>
      </w:r>
      <w:r w:rsidRPr="000A303C">
        <w:tab/>
        <w:t>Nothing in these regulations shall be construed to conflict with any other laws, rules, or regulations regarding the labeling of food products. </w:t>
      </w:r>
    </w:p>
    <w:p w14:paraId="1C56F5F3" w14:textId="77777777" w:rsidR="00F7752E" w:rsidRPr="000A303C" w:rsidRDefault="00F7752E" w:rsidP="00F7752E">
      <w:pPr>
        <w:pStyle w:val="AuthorityNote"/>
      </w:pPr>
      <w:r w:rsidRPr="000A303C">
        <w:t>AUTHORITY NOTE:</w:t>
      </w:r>
      <w:r>
        <w:tab/>
      </w:r>
      <w:r w:rsidRPr="000A303C">
        <w:t>Promulgated in accordance with R.S. 3:4741.</w:t>
      </w:r>
    </w:p>
    <w:p w14:paraId="4F262BF1" w14:textId="77777777"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14:paraId="06708D07" w14:textId="77777777" w:rsidR="00F7752E" w:rsidRPr="000A303C" w:rsidRDefault="00F7752E" w:rsidP="00F7752E">
      <w:pPr>
        <w:pStyle w:val="Section"/>
      </w:pPr>
      <w:bookmarkStart w:id="3155" w:name="_Toc224819539"/>
      <w:r w:rsidRPr="000A303C">
        <w:t>§709.</w:t>
      </w:r>
      <w:r w:rsidRPr="000A303C">
        <w:tab/>
        <w:t>Prohibitions</w:t>
      </w:r>
      <w:bookmarkEnd w:id="3155"/>
    </w:p>
    <w:p w14:paraId="26DEFC2B" w14:textId="77777777" w:rsidR="00F7752E" w:rsidRPr="000A303C" w:rsidRDefault="00F7752E" w:rsidP="00F7752E">
      <w:pPr>
        <w:pStyle w:val="A"/>
      </w:pPr>
      <w:r w:rsidRPr="000A303C">
        <w:t>A.</w:t>
      </w:r>
      <w:r w:rsidRPr="000A303C">
        <w:tab/>
        <w:t>Except as otherwise provided herein, no person shall:</w:t>
      </w:r>
    </w:p>
    <w:p w14:paraId="537CC10E" w14:textId="77777777" w:rsidR="00F7752E" w:rsidRPr="000A303C" w:rsidRDefault="00F7752E" w:rsidP="00F7752E">
      <w:pPr>
        <w:pStyle w:val="1"/>
      </w:pPr>
      <w:r w:rsidRPr="000A303C">
        <w:t>1.</w:t>
      </w:r>
      <w:r w:rsidRPr="000A303C">
        <w:tab/>
        <w:t>misbrand or misrepresent any food product as a covered agricultural product;</w:t>
      </w:r>
    </w:p>
    <w:p w14:paraId="74072234" w14:textId="77777777" w:rsidR="00F7752E" w:rsidRPr="000A303C" w:rsidRDefault="00F7752E" w:rsidP="00F7752E">
      <w:pPr>
        <w:pStyle w:val="1"/>
      </w:pPr>
      <w:r w:rsidRPr="000A303C">
        <w:t>2.</w:t>
      </w:r>
      <w:r w:rsidRPr="000A303C">
        <w:tab/>
        <w:t>affix a label to any food product that is false or misleading;</w:t>
      </w:r>
    </w:p>
    <w:p w14:paraId="50B82937" w14:textId="77777777" w:rsidR="00F7752E" w:rsidRPr="000A303C" w:rsidRDefault="00F7752E" w:rsidP="00F7752E">
      <w:pPr>
        <w:pStyle w:val="1"/>
      </w:pPr>
      <w:r w:rsidRPr="000A303C">
        <w:t>3.</w:t>
      </w:r>
      <w:r w:rsidRPr="000A303C">
        <w:tab/>
        <w:t>Represent a food product as meat or a meat product unless the food product is derived from beef, pork, poultry, alligator, farm-raised deer, turtle, domestic rabbit, crawfish, or shrimp. This shall include representing a cell-cultured food product as a meat product;</w:t>
      </w:r>
    </w:p>
    <w:p w14:paraId="4411F46D" w14:textId="77777777" w:rsidR="00F7752E" w:rsidRPr="000A303C" w:rsidRDefault="00F7752E" w:rsidP="00F7752E">
      <w:pPr>
        <w:pStyle w:val="1"/>
      </w:pPr>
      <w:r w:rsidRPr="000A303C">
        <w:t>4.</w:t>
      </w:r>
      <w:r w:rsidRPr="000A303C">
        <w:tab/>
        <w:t>Represent a food product as rice unless the food product is ri</w:t>
      </w:r>
      <w:r>
        <w:t>ce or derived from rice;</w:t>
      </w:r>
    </w:p>
    <w:p w14:paraId="7FDAE471" w14:textId="77777777" w:rsidR="00F7752E" w:rsidRPr="000A303C" w:rsidRDefault="00F7752E" w:rsidP="00F7752E">
      <w:pPr>
        <w:pStyle w:val="a0"/>
      </w:pPr>
      <w:r w:rsidRPr="000A303C">
        <w:t>a.</w:t>
      </w:r>
      <w:r w:rsidRPr="000A303C">
        <w:tab/>
        <w:t>This shall include using the term “rice” in the name of the food product when the food product is not rice or derived from rice.</w:t>
      </w:r>
    </w:p>
    <w:p w14:paraId="0B7AC402" w14:textId="77777777" w:rsidR="00F676E2" w:rsidRDefault="00F7752E" w:rsidP="00F7752E">
      <w:pPr>
        <w:pStyle w:val="1"/>
      </w:pPr>
      <w:r w:rsidRPr="000A303C">
        <w:t>5.</w:t>
      </w:r>
      <w:r w:rsidRPr="000A303C">
        <w:tab/>
        <w:t>Represent a food product as beef or a beef product unless the food product is derived from a domesticated bovine;</w:t>
      </w:r>
    </w:p>
    <w:p w14:paraId="7FBE2510" w14:textId="77777777" w:rsidR="00F7752E" w:rsidRPr="000A303C" w:rsidRDefault="00F7752E" w:rsidP="00F7752E">
      <w:pPr>
        <w:pStyle w:val="1"/>
      </w:pPr>
      <w:r w:rsidRPr="000A303C">
        <w:t>6.</w:t>
      </w:r>
      <w:r w:rsidRPr="000A303C">
        <w:tab/>
        <w:t>Represent a food product as pork or a pork product unless the food product is derived from a domesticated swine;</w:t>
      </w:r>
    </w:p>
    <w:p w14:paraId="3CA0DAB0" w14:textId="77777777" w:rsidR="00F7752E" w:rsidRPr="000A303C" w:rsidRDefault="00F7752E" w:rsidP="00F7752E">
      <w:pPr>
        <w:pStyle w:val="1"/>
      </w:pPr>
      <w:r w:rsidRPr="000A303C">
        <w:t>7.</w:t>
      </w:r>
      <w:r w:rsidRPr="000A303C">
        <w:tab/>
        <w:t>Represent a food product as poultry or a poultry product unless the food product is derived from poultry, as defined in this Chapter.</w:t>
      </w:r>
    </w:p>
    <w:p w14:paraId="01F25FCB" w14:textId="77777777" w:rsidR="00F7752E" w:rsidRPr="000A303C" w:rsidRDefault="00F7752E" w:rsidP="00F7752E">
      <w:pPr>
        <w:pStyle w:val="1"/>
      </w:pPr>
      <w:r w:rsidRPr="000A303C">
        <w:t>8.</w:t>
      </w:r>
      <w:r w:rsidRPr="000A303C">
        <w:tab/>
        <w:t>Represent a food product as sugar unless the food product is an unaltered plant-based simple sugar or sucrose;</w:t>
      </w:r>
    </w:p>
    <w:p w14:paraId="4A5197A8" w14:textId="77777777" w:rsidR="00F7752E" w:rsidRPr="000A303C" w:rsidRDefault="00F7752E" w:rsidP="00F7752E">
      <w:pPr>
        <w:pStyle w:val="1"/>
      </w:pPr>
      <w:r w:rsidRPr="000A303C">
        <w:t>9.</w:t>
      </w:r>
      <w:r>
        <w:tab/>
      </w:r>
      <w:r w:rsidRPr="000A303C">
        <w:t>Utilize a term that is the same or deceptively similar to a term that has been used or defined historically in reference to another agricultural product.</w:t>
      </w:r>
    </w:p>
    <w:p w14:paraId="3733E89E" w14:textId="77777777" w:rsidR="00F7752E" w:rsidRPr="000A303C" w:rsidRDefault="00F7752E" w:rsidP="00F7752E">
      <w:pPr>
        <w:pStyle w:val="AuthorityNote"/>
      </w:pPr>
      <w:r w:rsidRPr="000A303C">
        <w:t>AUTHORITY NOTE:</w:t>
      </w:r>
      <w:r>
        <w:t xml:space="preserve"> </w:t>
      </w:r>
      <w:r w:rsidRPr="000A303C">
        <w:t>Promulgated in accordance with R.S. 3:4741.</w:t>
      </w:r>
    </w:p>
    <w:p w14:paraId="5D6FC50C" w14:textId="77777777" w:rsidR="00F7752E" w:rsidRDefault="00F7752E" w:rsidP="00F7752E">
      <w:pPr>
        <w:pStyle w:val="HistoricalNote"/>
      </w:pPr>
      <w:r w:rsidRPr="000A303C">
        <w:t>HISTORICAL NOTE:</w:t>
      </w:r>
      <w:r>
        <w:t xml:space="preserve"> </w:t>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14:paraId="23E73A6C" w14:textId="77777777" w:rsidR="00F7752E" w:rsidRPr="000A303C" w:rsidRDefault="00F7752E" w:rsidP="00F7752E">
      <w:pPr>
        <w:pStyle w:val="Section"/>
      </w:pPr>
      <w:bookmarkStart w:id="3156" w:name="_Toc224819540"/>
      <w:r w:rsidRPr="000A303C">
        <w:t>§711.</w:t>
      </w:r>
      <w:r w:rsidRPr="000A303C">
        <w:tab/>
        <w:t>Complaints and Investigations.</w:t>
      </w:r>
      <w:bookmarkEnd w:id="3156"/>
    </w:p>
    <w:p w14:paraId="78B90BA3" w14:textId="77777777" w:rsidR="00F7752E" w:rsidRPr="000A303C" w:rsidRDefault="00F7752E" w:rsidP="00F7752E">
      <w:pPr>
        <w:pStyle w:val="A"/>
      </w:pPr>
      <w:r w:rsidRPr="000A303C">
        <w:t>A.</w:t>
      </w:r>
      <w:r w:rsidRPr="000A303C">
        <w:tab/>
        <w:t xml:space="preserve">The </w:t>
      </w:r>
      <w:r>
        <w:t>d</w:t>
      </w:r>
      <w:r w:rsidRPr="000A303C">
        <w:t xml:space="preserve">epartment may receive complaints regarding violations of this Chapter. Complaints may be directed to the </w:t>
      </w:r>
      <w:r>
        <w:t>d</w:t>
      </w:r>
      <w:r w:rsidRPr="000A303C">
        <w:t>epartment’s Weights and Measures division.</w:t>
      </w:r>
    </w:p>
    <w:p w14:paraId="6E005436" w14:textId="77777777" w:rsidR="00F7752E" w:rsidRPr="000A303C" w:rsidRDefault="00F7752E" w:rsidP="00F7752E">
      <w:pPr>
        <w:pStyle w:val="A"/>
      </w:pPr>
      <w:r w:rsidRPr="000A303C">
        <w:t>B.</w:t>
      </w:r>
      <w:r w:rsidRPr="000A303C">
        <w:tab/>
        <w:t>Upon receipt of a complaint, the Department may investigate the alleged violation.</w:t>
      </w:r>
    </w:p>
    <w:p w14:paraId="1DABA051" w14:textId="77777777" w:rsidR="00F7752E" w:rsidRPr="000A303C" w:rsidRDefault="00F7752E" w:rsidP="00F7752E">
      <w:pPr>
        <w:pStyle w:val="A"/>
      </w:pPr>
      <w:r w:rsidRPr="000A303C">
        <w:t>C.</w:t>
      </w:r>
      <w:r w:rsidRPr="000A303C">
        <w:tab/>
        <w:t xml:space="preserve">The </w:t>
      </w:r>
      <w:r>
        <w:t>d</w:t>
      </w:r>
      <w:r w:rsidRPr="000A303C">
        <w:t xml:space="preserve">epartment may also investigate possible violations that the </w:t>
      </w:r>
      <w:r>
        <w:t>d</w:t>
      </w:r>
      <w:r w:rsidRPr="000A303C">
        <w:t>epartment may notice.</w:t>
      </w:r>
    </w:p>
    <w:p w14:paraId="5C321146" w14:textId="77777777" w:rsidR="00F7752E" w:rsidRPr="000A303C" w:rsidRDefault="00F7752E" w:rsidP="00F7752E">
      <w:pPr>
        <w:pStyle w:val="AuthorityNote"/>
      </w:pPr>
      <w:r w:rsidRPr="000A303C">
        <w:t>AUTHORITY NOTE:</w:t>
      </w:r>
      <w:r>
        <w:tab/>
      </w:r>
      <w:r w:rsidRPr="000A303C">
        <w:t>Promulgated in accordance with R.S. 3:4741.</w:t>
      </w:r>
    </w:p>
    <w:p w14:paraId="07CDA012" w14:textId="77777777" w:rsidR="00F7752E" w:rsidRDefault="00F7752E" w:rsidP="00F7752E">
      <w:pPr>
        <w:pStyle w:val="HistoricalNote"/>
      </w:pPr>
      <w:r w:rsidRPr="000A303C">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14:paraId="76828CC1" w14:textId="77777777" w:rsidR="00F7752E" w:rsidRPr="000A303C" w:rsidRDefault="00F7752E" w:rsidP="00F7752E">
      <w:pPr>
        <w:pStyle w:val="Section"/>
      </w:pPr>
      <w:bookmarkStart w:id="3157" w:name="_Toc224819541"/>
      <w:r w:rsidRPr="000A303C">
        <w:t>§713.</w:t>
      </w:r>
      <w:r w:rsidRPr="000A303C">
        <w:tab/>
        <w:t>Enforcement</w:t>
      </w:r>
      <w:bookmarkEnd w:id="3157"/>
    </w:p>
    <w:p w14:paraId="095ECD7D" w14:textId="77777777" w:rsidR="00F7752E" w:rsidRPr="000A303C" w:rsidRDefault="00F7752E" w:rsidP="00F7752E">
      <w:pPr>
        <w:pStyle w:val="A"/>
      </w:pPr>
      <w:r w:rsidRPr="000A303C">
        <w:t>A.</w:t>
      </w:r>
      <w:r w:rsidRPr="000A303C">
        <w:tab/>
        <w:t xml:space="preserve">Whenever the </w:t>
      </w:r>
      <w:r>
        <w:t>d</w:t>
      </w:r>
      <w:r w:rsidRPr="000A303C">
        <w:t xml:space="preserve">epartment has reason to believe that a violation of this Chapter or the Act has occurred, the </w:t>
      </w:r>
      <w:r>
        <w:t>de</w:t>
      </w:r>
      <w:r w:rsidRPr="000A303C">
        <w:t>partment may present the alleged violations at an adjudicatory hearing before the Weights and Measures Commission.</w:t>
      </w:r>
    </w:p>
    <w:p w14:paraId="14FDF42D" w14:textId="77777777" w:rsidR="00F7752E" w:rsidRPr="000A303C" w:rsidRDefault="00F7752E" w:rsidP="00F7752E">
      <w:pPr>
        <w:pStyle w:val="A"/>
      </w:pPr>
      <w:r w:rsidRPr="000A303C">
        <w:t>B.</w:t>
      </w:r>
      <w:r w:rsidRPr="000A303C">
        <w:tab/>
        <w:t xml:space="preserve">The </w:t>
      </w:r>
      <w:r>
        <w:t>d</w:t>
      </w:r>
      <w:r w:rsidRPr="000A303C">
        <w:t xml:space="preserve">epartment shall notify the respondent of the alleged violation as well as an opportunity to respond thereto, </w:t>
      </w:r>
      <w:r w:rsidRPr="000A303C">
        <w:lastRenderedPageBreak/>
        <w:t>by certified mail, prior to any hearing date in accordance with the Administrative Procedure Act.</w:t>
      </w:r>
    </w:p>
    <w:p w14:paraId="6D8D2BED" w14:textId="77777777" w:rsidR="00F7752E" w:rsidRPr="000A303C" w:rsidRDefault="00F7752E" w:rsidP="00F7752E">
      <w:pPr>
        <w:pStyle w:val="AuthorityNote"/>
      </w:pPr>
      <w:r w:rsidRPr="000A303C">
        <w:t>AUTHORITY NOTE:</w:t>
      </w:r>
      <w:r>
        <w:tab/>
      </w:r>
      <w:r w:rsidRPr="000A303C">
        <w:t>Promulgated in accordance with R.S. 3:4741.</w:t>
      </w:r>
    </w:p>
    <w:p w14:paraId="5BDB0B2C" w14:textId="77777777"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(March 2021).</w:t>
      </w:r>
    </w:p>
    <w:p w14:paraId="7D487C5C" w14:textId="77777777" w:rsidR="00F7752E" w:rsidRPr="000A303C" w:rsidRDefault="00F7752E" w:rsidP="00F7752E">
      <w:pPr>
        <w:pStyle w:val="Section"/>
      </w:pPr>
      <w:bookmarkStart w:id="3158" w:name="_Toc224819542"/>
      <w:r w:rsidRPr="000A303C">
        <w:t>§715.</w:t>
      </w:r>
      <w:r w:rsidRPr="000A303C">
        <w:tab/>
        <w:t>Penalties</w:t>
      </w:r>
      <w:bookmarkEnd w:id="3158"/>
    </w:p>
    <w:p w14:paraId="60D7CC68" w14:textId="77777777" w:rsidR="00F7752E" w:rsidRPr="000A303C" w:rsidRDefault="00F7752E" w:rsidP="00F7752E">
      <w:pPr>
        <w:pStyle w:val="A"/>
      </w:pPr>
      <w:r w:rsidRPr="000A303C">
        <w:t>A.</w:t>
      </w:r>
      <w:r w:rsidRPr="000A303C">
        <w:tab/>
        <w:t xml:space="preserve">A person who violates any provision of this Chapter or the Act shall be subject to a civil penalty of not more than </w:t>
      </w:r>
      <w:r>
        <w:t>$500</w:t>
      </w:r>
      <w:r w:rsidRPr="000A303C">
        <w:t xml:space="preserve"> for each violation.</w:t>
      </w:r>
    </w:p>
    <w:p w14:paraId="51C99CB4" w14:textId="77777777" w:rsidR="00F7752E" w:rsidRPr="000A303C" w:rsidRDefault="00F7752E" w:rsidP="00F7752E">
      <w:pPr>
        <w:pStyle w:val="A"/>
      </w:pPr>
      <w:r w:rsidRPr="000A303C">
        <w:t>B.</w:t>
      </w:r>
      <w:r w:rsidRPr="000A303C">
        <w:tab/>
        <w:t>Each day on which a violation occurs shall constitute a separate offense.</w:t>
      </w:r>
    </w:p>
    <w:p w14:paraId="3E8D86F3" w14:textId="77777777" w:rsidR="00F7752E" w:rsidRPr="000A303C" w:rsidRDefault="00F7752E" w:rsidP="00F7752E">
      <w:pPr>
        <w:pStyle w:val="A"/>
      </w:pPr>
      <w:r w:rsidRPr="000A303C">
        <w:t>C.</w:t>
      </w:r>
      <w:r w:rsidRPr="000A303C">
        <w:tab/>
        <w:t>Penalties may be assessed only by a ruling of the commissioner based upon a recommendation by the Weights and Measures Commission adjudicatory hearing held pursuant to R.S. 3:4605 and the Administrative Procedures Act.</w:t>
      </w:r>
    </w:p>
    <w:p w14:paraId="567EDEC9" w14:textId="77777777" w:rsidR="00F7752E" w:rsidRPr="000A303C" w:rsidRDefault="00F7752E" w:rsidP="00F7752E">
      <w:pPr>
        <w:pStyle w:val="A"/>
      </w:pPr>
      <w:r w:rsidRPr="000A303C">
        <w:t>D.</w:t>
      </w:r>
      <w:r w:rsidRPr="000A303C">
        <w:tab/>
        <w:t>In addition to civil penalties, the commissioner may institute civil proceedings seeking injunctive relief to restrain and prevent violation of the provisions of this Chapter and the Act in any court of proper jurisdiction and venue.</w:t>
      </w:r>
    </w:p>
    <w:p w14:paraId="5C359BEF" w14:textId="77777777" w:rsidR="00F7752E" w:rsidRPr="000A303C" w:rsidRDefault="00F7752E" w:rsidP="00F7752E">
      <w:pPr>
        <w:pStyle w:val="AuthorityNote"/>
      </w:pPr>
      <w:r w:rsidRPr="000A303C">
        <w:t>AUTHORITY NOTE:</w:t>
      </w:r>
      <w:r>
        <w:t xml:space="preserve"> </w:t>
      </w:r>
      <w:r w:rsidRPr="000A303C">
        <w:t>Promulgated in accordance with R.S. 3:4741.</w:t>
      </w:r>
    </w:p>
    <w:p w14:paraId="0FAC14A4" w14:textId="77777777" w:rsidR="00F7752E" w:rsidRPr="001531CD" w:rsidRDefault="00F7752E" w:rsidP="00F7752E">
      <w:pPr>
        <w:pStyle w:val="HistoricalNote"/>
      </w:pPr>
      <w:r w:rsidRPr="000A303C">
        <w:t xml:space="preserve">HISTORICAL NOTE: Promulgated by the Department of Agriculture and Forestry, Office of Agro-Consumer Services, Division of Weights and Measures, LR </w:t>
      </w:r>
      <w:r w:rsidRPr="009B27CC">
        <w:t>47:</w:t>
      </w:r>
      <w:r>
        <w:t>349</w:t>
      </w:r>
      <w:r w:rsidRPr="009B27CC">
        <w:t xml:space="preserve"> (March 2021).</w:t>
      </w:r>
    </w:p>
    <w:p w14:paraId="57A091DF" w14:textId="77777777" w:rsidR="00BA36E7" w:rsidRPr="001531CD" w:rsidRDefault="00BA36E7" w:rsidP="009B5DE8">
      <w:pPr>
        <w:pStyle w:val="HistoricalNote"/>
        <w:sectPr w:rsidR="00BA36E7" w:rsidRPr="001531CD" w:rsidSect="00167E2E">
          <w:headerReference w:type="even" r:id="rId83"/>
          <w:headerReference w:type="default" r:id="rId84"/>
          <w:type w:val="continuous"/>
          <w:pgSz w:w="12240" w:h="15840" w:code="1"/>
          <w:pgMar w:top="1080" w:right="864" w:bottom="864" w:left="864" w:header="576" w:footer="432" w:gutter="0"/>
          <w:cols w:num="2" w:space="720"/>
        </w:sectPr>
      </w:pPr>
    </w:p>
    <w:p w14:paraId="4608FDFD"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6204B4EA" w14:textId="77777777" w:rsidR="00CF626A" w:rsidRPr="001531CD" w:rsidRDefault="00CF626A" w:rsidP="00F03863">
      <w:pPr>
        <w:pStyle w:val="Title1"/>
        <w:outlineLvl w:val="0"/>
      </w:pPr>
      <w:r w:rsidRPr="001531CD">
        <w:lastRenderedPageBreak/>
        <w:t>Title 7</w:t>
      </w:r>
    </w:p>
    <w:p w14:paraId="699D6553" w14:textId="77777777" w:rsidR="00CF626A" w:rsidRPr="001531CD" w:rsidRDefault="00CF626A">
      <w:pPr>
        <w:pStyle w:val="Title2"/>
      </w:pPr>
      <w:r w:rsidRPr="001531CD">
        <w:t>AGRICULTURE AND ANIMALS</w:t>
      </w:r>
    </w:p>
    <w:p w14:paraId="564505B4" w14:textId="77777777" w:rsidR="00CF626A" w:rsidRPr="001531CD" w:rsidRDefault="00CF626A">
      <w:pPr>
        <w:pStyle w:val="Part"/>
      </w:pPr>
      <w:bookmarkStart w:id="3159" w:name="TOC_Part17"/>
      <w:bookmarkStart w:id="3160" w:name="_Toc77840457"/>
      <w:bookmarkStart w:id="3161" w:name="_Toc224819543"/>
      <w:r w:rsidRPr="001531CD">
        <w:t>Part XXXVI.  Agricultural Ethanol Production</w:t>
      </w:r>
      <w:bookmarkEnd w:id="3159"/>
      <w:bookmarkEnd w:id="3160"/>
      <w:bookmarkEnd w:id="3161"/>
    </w:p>
    <w:p w14:paraId="30F8C174" w14:textId="77777777" w:rsidR="00CF626A" w:rsidRPr="001531CD" w:rsidRDefault="00CF626A">
      <w:pPr>
        <w:pStyle w:val="Part"/>
      </w:pPr>
    </w:p>
    <w:p w14:paraId="52224AAB" w14:textId="77777777" w:rsidR="00CF626A" w:rsidRPr="001531CD" w:rsidRDefault="00CF626A">
      <w:pPr>
        <w:pStyle w:val="Part"/>
        <w:sectPr w:rsidR="00CF626A" w:rsidRPr="001531CD" w:rsidSect="00167E2E">
          <w:headerReference w:type="default" r:id="rId85"/>
          <w:type w:val="oddPage"/>
          <w:pgSz w:w="12240" w:h="15840" w:code="1"/>
          <w:pgMar w:top="1080" w:right="864" w:bottom="864" w:left="864" w:header="576" w:footer="432" w:gutter="0"/>
          <w:cols w:space="720"/>
          <w:docGrid w:linePitch="326"/>
        </w:sectPr>
      </w:pPr>
    </w:p>
    <w:p w14:paraId="08975F8F" w14:textId="77777777" w:rsidR="00CF626A" w:rsidRPr="001531CD" w:rsidRDefault="00CF626A">
      <w:pPr>
        <w:pStyle w:val="Chapter"/>
      </w:pPr>
      <w:bookmarkStart w:id="3162" w:name="TOC_Chap272"/>
      <w:bookmarkStart w:id="3163" w:name="_Toc256755142"/>
      <w:bookmarkStart w:id="3164" w:name="_Toc224819544"/>
      <w:r w:rsidRPr="001531CD">
        <w:t>Chapter 1.</w:t>
      </w:r>
      <w:bookmarkEnd w:id="3162"/>
      <w:r w:rsidR="00167E2E">
        <w:tab/>
      </w:r>
      <w:bookmarkStart w:id="3165" w:name="TOCT_Chap202"/>
      <w:bookmarkStart w:id="3166" w:name="TOCT_Chap254"/>
      <w:bookmarkStart w:id="3167" w:name="TOCT_Chap259"/>
      <w:bookmarkStart w:id="3168" w:name="TOCT_Chap258"/>
      <w:bookmarkStart w:id="3169" w:name="TOCT_Chap260"/>
      <w:bookmarkStart w:id="3170" w:name="TOCT_Chap272"/>
      <w:r w:rsidRPr="001531CD">
        <w:t>Agricultural Ethanol Productions</w:t>
      </w:r>
      <w:bookmarkEnd w:id="3163"/>
      <w:bookmarkEnd w:id="3164"/>
      <w:bookmarkEnd w:id="3165"/>
      <w:bookmarkEnd w:id="3166"/>
      <w:bookmarkEnd w:id="3167"/>
      <w:bookmarkEnd w:id="3168"/>
      <w:bookmarkEnd w:id="3169"/>
      <w:bookmarkEnd w:id="3170"/>
    </w:p>
    <w:p w14:paraId="3239B7D5" w14:textId="77777777" w:rsidR="00CF626A" w:rsidRPr="001531CD" w:rsidRDefault="00CF626A">
      <w:pPr>
        <w:pStyle w:val="Section"/>
      </w:pPr>
      <w:bookmarkStart w:id="3171" w:name="_Toc256755143"/>
      <w:bookmarkStart w:id="3172" w:name="_Toc224819545"/>
      <w:r w:rsidRPr="001531CD">
        <w:t>§101.</w:t>
      </w:r>
      <w:r w:rsidRPr="001531CD">
        <w:tab/>
        <w:t>Authority</w:t>
      </w:r>
      <w:bookmarkEnd w:id="3171"/>
      <w:bookmarkEnd w:id="3172"/>
    </w:p>
    <w:p w14:paraId="6B4E39C6" w14:textId="77777777" w:rsidR="00CF626A" w:rsidRPr="001531CD" w:rsidRDefault="00CF626A">
      <w:pPr>
        <w:pStyle w:val="A"/>
      </w:pPr>
      <w:r w:rsidRPr="001531CD">
        <w:t>A.</w:t>
      </w:r>
      <w:r w:rsidRPr="001531CD">
        <w:tab/>
        <w:t>The authority of the Louisiana Agricultural Ethanol Production Law, R.S. 3:701 et seq., and in accordance with provisions R.S. 49:950 et seq., the Louisiana Agricultural Industry Board adopts the following regulations.</w:t>
      </w:r>
    </w:p>
    <w:p w14:paraId="330B4124" w14:textId="77777777" w:rsidR="00CF626A" w:rsidRPr="001531CD" w:rsidRDefault="00CF626A">
      <w:pPr>
        <w:pStyle w:val="AuthorityNote"/>
      </w:pPr>
      <w:r w:rsidRPr="001531CD">
        <w:t>AUTHORITY NOTE:</w:t>
      </w:r>
      <w:r w:rsidRPr="001531CD">
        <w:tab/>
        <w:t>Promulgated in accordance with R.S. 3:3704.</w:t>
      </w:r>
    </w:p>
    <w:p w14:paraId="51CEBE3F" w14:textId="77777777" w:rsidR="00CF626A" w:rsidRPr="001531CD" w:rsidRDefault="00CF626A">
      <w:pPr>
        <w:pStyle w:val="HistoricalNote"/>
      </w:pPr>
      <w:r w:rsidRPr="001531CD">
        <w:t>HISTORICAL NOTE:</w:t>
      </w:r>
      <w:r w:rsidRPr="001531CD">
        <w:tab/>
        <w:t>Promulgated by the Department of Agriculture and Forestry, Office of Management and Finance, LR 12:503 (August 1986).</w:t>
      </w:r>
    </w:p>
    <w:p w14:paraId="03654B43" w14:textId="77777777" w:rsidR="00CF626A" w:rsidRPr="001531CD" w:rsidRDefault="00CF626A">
      <w:pPr>
        <w:pStyle w:val="Section"/>
      </w:pPr>
      <w:bookmarkStart w:id="3173" w:name="_Toc256755144"/>
      <w:bookmarkStart w:id="3174" w:name="_Toc224819546"/>
      <w:r w:rsidRPr="001531CD">
        <w:t>§103.</w:t>
      </w:r>
      <w:r w:rsidRPr="001531CD">
        <w:tab/>
        <w:t>Definitions</w:t>
      </w:r>
      <w:bookmarkEnd w:id="3173"/>
      <w:bookmarkEnd w:id="3174"/>
    </w:p>
    <w:p w14:paraId="6004EAAE" w14:textId="77777777" w:rsidR="00CF626A" w:rsidRPr="001531CD" w:rsidRDefault="00CF626A">
      <w:pPr>
        <w:pStyle w:val="A"/>
      </w:pPr>
      <w:r w:rsidRPr="001531CD">
        <w:t>A.</w:t>
      </w:r>
      <w:r w:rsidRPr="001531CD">
        <w:tab/>
        <w:t>In addition to definitions listed below and unless otherwise provided, the definitions in R.S. 3:3703 shall apply to these regulations.</w:t>
      </w:r>
    </w:p>
    <w:p w14:paraId="37AC0EE5" w14:textId="77777777" w:rsidR="00CF626A" w:rsidRPr="001531CD" w:rsidRDefault="00CF626A">
      <w:pPr>
        <w:pStyle w:val="1"/>
      </w:pPr>
      <w:r w:rsidRPr="001531CD">
        <w:rPr>
          <w:i/>
          <w:iCs/>
        </w:rPr>
        <w:t>Act</w:t>
      </w:r>
      <w:r w:rsidRPr="001531CD">
        <w:t>―the Agricultural Ethanol Production Law.</w:t>
      </w:r>
    </w:p>
    <w:p w14:paraId="5EC4406E" w14:textId="77777777" w:rsidR="00CF626A" w:rsidRPr="001531CD" w:rsidRDefault="00CF626A" w:rsidP="00D2607A">
      <w:pPr>
        <w:pStyle w:val="1"/>
        <w:spacing w:after="80"/>
      </w:pPr>
      <w:r w:rsidRPr="001531CD">
        <w:rPr>
          <w:i/>
          <w:iCs/>
        </w:rPr>
        <w:t>Adjudicatory Proceeding</w:t>
      </w:r>
      <w:r w:rsidRPr="001531CD">
        <w:t>―an open public hearing by the board to determine whether violations of the Act or these regulations have occurred. Such proceedings are conducted in accordance with the Louisiana Administrative Procedure Act (R.S. 49:950 et seq.).</w:t>
      </w:r>
    </w:p>
    <w:p w14:paraId="29E8A29D" w14:textId="77777777" w:rsidR="00CF626A" w:rsidRPr="001531CD" w:rsidRDefault="00CF626A" w:rsidP="00D2607A">
      <w:pPr>
        <w:pStyle w:val="1"/>
        <w:spacing w:after="80"/>
      </w:pPr>
      <w:r w:rsidRPr="001531CD">
        <w:rPr>
          <w:i/>
          <w:iCs/>
        </w:rPr>
        <w:t>Agency Contract</w:t>
      </w:r>
      <w:r w:rsidRPr="001531CD">
        <w:t>―a contract between a certified market participant and an intermediary, such as a grain dealer or warehouseman, who purchases or stores agricultural commodities or products for use in ethanol.</w:t>
      </w:r>
    </w:p>
    <w:p w14:paraId="5CB33507" w14:textId="77777777" w:rsidR="00CF626A" w:rsidRPr="001531CD" w:rsidRDefault="00CF626A" w:rsidP="00D2607A">
      <w:pPr>
        <w:pStyle w:val="1"/>
        <w:spacing w:after="80"/>
      </w:pPr>
      <w:r w:rsidRPr="001531CD">
        <w:rPr>
          <w:i/>
          <w:iCs/>
        </w:rPr>
        <w:t>Agricultural Commodities</w:t>
      </w:r>
      <w:r w:rsidRPr="001531CD">
        <w:t xml:space="preserve"> or </w:t>
      </w:r>
      <w:r w:rsidRPr="001531CD">
        <w:rPr>
          <w:i/>
          <w:iCs/>
        </w:rPr>
        <w:t>Products</w:t>
      </w:r>
      <w:r w:rsidRPr="001531CD">
        <w:t>―crops and products made from processing crops. Commodities or products shall include sugar cane, grains (rice, rough rice, corn, wheat, oats, rye, soybeans, barley, milo and grain sorghum), sweet potatoes and sugar beets. Products shall include syrup and molasses. Any other agricultural commodity or product capable of producing ethanol may be declared to be an agricultural product or commodity by the board.</w:t>
      </w:r>
    </w:p>
    <w:p w14:paraId="62063F22" w14:textId="77777777" w:rsidR="00CF626A" w:rsidRPr="001531CD" w:rsidRDefault="00CF626A" w:rsidP="00D2607A">
      <w:pPr>
        <w:pStyle w:val="1"/>
        <w:spacing w:after="80"/>
      </w:pPr>
      <w:r w:rsidRPr="001531CD">
        <w:rPr>
          <w:i/>
          <w:iCs/>
        </w:rPr>
        <w:t>Applicant</w:t>
      </w:r>
      <w:r w:rsidRPr="001531CD">
        <w:t>―a person who applies for designation as a certified market participant.</w:t>
      </w:r>
    </w:p>
    <w:p w14:paraId="24B0E347" w14:textId="77777777" w:rsidR="00CF626A" w:rsidRPr="001531CD" w:rsidRDefault="00CF626A" w:rsidP="00D2607A">
      <w:pPr>
        <w:pStyle w:val="1"/>
        <w:spacing w:after="80"/>
      </w:pPr>
      <w:r w:rsidRPr="001531CD">
        <w:rPr>
          <w:i/>
          <w:iCs/>
        </w:rPr>
        <w:t>Authorized Agent</w:t>
      </w:r>
      <w:r w:rsidRPr="001531CD">
        <w:t>―any representative of a certified market participant whose name has been filed with the board is empowered by the certified market participant and the board to act for or on behalf of a certified market participant.</w:t>
      </w:r>
    </w:p>
    <w:p w14:paraId="310BF229" w14:textId="77777777" w:rsidR="00CF626A" w:rsidRPr="001531CD" w:rsidRDefault="00CF626A" w:rsidP="00D2607A">
      <w:pPr>
        <w:pStyle w:val="1"/>
        <w:spacing w:after="80"/>
      </w:pPr>
      <w:r w:rsidRPr="001531CD">
        <w:rPr>
          <w:i/>
          <w:iCs/>
        </w:rPr>
        <w:t>Blender</w:t>
      </w:r>
      <w:r w:rsidRPr="001531CD">
        <w:t>―any person who purchases and mixes ethanol and gasoline for sale as gasohol and who files the required reports with the Louisiana Department of Revenue and Taxation.</w:t>
      </w:r>
    </w:p>
    <w:p w14:paraId="3255E0CB" w14:textId="77777777" w:rsidR="00CF626A" w:rsidRPr="001531CD" w:rsidRDefault="00CF626A">
      <w:pPr>
        <w:pStyle w:val="1"/>
      </w:pPr>
      <w:r w:rsidRPr="001531CD">
        <w:rPr>
          <w:i/>
          <w:iCs/>
        </w:rPr>
        <w:t>Board</w:t>
      </w:r>
      <w:r w:rsidRPr="001531CD">
        <w:t>―the Agricultural Industry Board established by R.S. 3:3704.</w:t>
      </w:r>
    </w:p>
    <w:p w14:paraId="239D93AE" w14:textId="77777777" w:rsidR="00CF626A" w:rsidRPr="001531CD" w:rsidRDefault="00CF626A">
      <w:pPr>
        <w:pStyle w:val="1"/>
      </w:pPr>
      <w:r w:rsidRPr="001531CD">
        <w:rPr>
          <w:i/>
          <w:iCs/>
        </w:rPr>
        <w:t>Capital Costs</w:t>
      </w:r>
      <w:r w:rsidRPr="001531CD">
        <w:t>―all expenditures made for the acquisition of land, equipment, buildings, engineering, construction interests and other expenses necessary to build an ethanol facility.</w:t>
      </w:r>
    </w:p>
    <w:p w14:paraId="6F373C12" w14:textId="77777777" w:rsidR="00CF626A" w:rsidRPr="001531CD" w:rsidRDefault="00CF626A">
      <w:pPr>
        <w:pStyle w:val="1"/>
      </w:pPr>
      <w:r w:rsidRPr="001531CD">
        <w:rPr>
          <w:i/>
          <w:iCs/>
        </w:rPr>
        <w:t>Central Registry</w:t>
      </w:r>
      <w:r w:rsidRPr="001531CD">
        <w:t>―the public filing and listing of security devices encumbering agricultural crops, commodities or products maintained by the commissioner.</w:t>
      </w:r>
    </w:p>
    <w:p w14:paraId="350871C8" w14:textId="77777777" w:rsidR="00CF626A" w:rsidRPr="001531CD" w:rsidRDefault="00CF626A">
      <w:pPr>
        <w:pStyle w:val="1"/>
      </w:pPr>
      <w:r w:rsidRPr="001531CD">
        <w:rPr>
          <w:i/>
          <w:iCs/>
        </w:rPr>
        <w:t>Certified Market Participant</w:t>
      </w:r>
      <w:r w:rsidRPr="001531CD">
        <w:t>―an applicant approved by the board to participate in a cooperative endeavor authorized under this Chapter.</w:t>
      </w:r>
    </w:p>
    <w:p w14:paraId="2001C739" w14:textId="77777777" w:rsidR="00CF626A" w:rsidRPr="001531CD" w:rsidRDefault="00CF626A" w:rsidP="00D2607A">
      <w:pPr>
        <w:pStyle w:val="1"/>
        <w:spacing w:after="80"/>
      </w:pPr>
      <w:r w:rsidRPr="001531CD">
        <w:rPr>
          <w:i/>
          <w:iCs/>
        </w:rPr>
        <w:t>Certified Market Participant Confidential Business Plan</w:t>
      </w:r>
      <w:r w:rsidRPr="001531CD">
        <w:t>―a confidential financial document or series of documents presented by an applicant or certified market participant periodically with the board, containing proposed agency and producer contracts and all other confidential and financial audit information.</w:t>
      </w:r>
    </w:p>
    <w:p w14:paraId="7F4486B5" w14:textId="77777777" w:rsidR="00CF626A" w:rsidRPr="001531CD" w:rsidRDefault="00CF626A" w:rsidP="00D2607A">
      <w:pPr>
        <w:pStyle w:val="1"/>
        <w:spacing w:after="80"/>
      </w:pPr>
      <w:r w:rsidRPr="001531CD">
        <w:rPr>
          <w:i/>
          <w:iCs/>
        </w:rPr>
        <w:t>Certified Market Participant Contract</w:t>
      </w:r>
      <w:r w:rsidRPr="001531CD">
        <w:t>―a contract or cooperative endeavor between the board and a certified market participant relating to the production of ethanol.</w:t>
      </w:r>
    </w:p>
    <w:p w14:paraId="02F0C605" w14:textId="77777777" w:rsidR="00CF626A" w:rsidRPr="001531CD" w:rsidRDefault="00CF626A" w:rsidP="00D2607A">
      <w:pPr>
        <w:pStyle w:val="1"/>
        <w:spacing w:after="80"/>
      </w:pPr>
      <w:r w:rsidRPr="001531CD">
        <w:rPr>
          <w:i/>
          <w:iCs/>
        </w:rPr>
        <w:t>Commissioner</w:t>
      </w:r>
      <w:r w:rsidRPr="001531CD">
        <w:t>―the Louisiana Commissioner of Agriculture and Forestry or his duly authorized representative.</w:t>
      </w:r>
    </w:p>
    <w:p w14:paraId="69E94F75" w14:textId="77777777" w:rsidR="00CF626A" w:rsidRPr="001531CD" w:rsidRDefault="00CF626A" w:rsidP="00D2607A">
      <w:pPr>
        <w:pStyle w:val="1"/>
        <w:spacing w:after="80"/>
      </w:pPr>
      <w:r w:rsidRPr="001531CD">
        <w:rPr>
          <w:i/>
          <w:iCs/>
        </w:rPr>
        <w:t>Controlling Interest</w:t>
      </w:r>
      <w:r w:rsidRPr="001531CD">
        <w:t>―ownership by an individual or his spouse, either individually or collectively, of an interest in a person or entity which exceeds 25 percent of any legal entity.</w:t>
      </w:r>
    </w:p>
    <w:p w14:paraId="369A2AB3" w14:textId="77777777" w:rsidR="00CF626A" w:rsidRPr="001531CD" w:rsidRDefault="00CF626A" w:rsidP="00D2607A">
      <w:pPr>
        <w:pStyle w:val="1"/>
        <w:spacing w:after="80"/>
      </w:pPr>
      <w:r w:rsidRPr="001531CD">
        <w:rPr>
          <w:i/>
          <w:iCs/>
        </w:rPr>
        <w:t>Cooperative Endeavor</w:t>
      </w:r>
      <w:r w:rsidRPr="001531CD">
        <w:t>―a contractual relationship between the state of Louisiana through the board with a person for a public purpose.</w:t>
      </w:r>
    </w:p>
    <w:p w14:paraId="5364F4C9" w14:textId="77777777" w:rsidR="00CF626A" w:rsidRPr="001531CD" w:rsidRDefault="00CF626A" w:rsidP="00D2607A">
      <w:pPr>
        <w:pStyle w:val="1"/>
        <w:spacing w:after="80"/>
      </w:pPr>
      <w:r w:rsidRPr="001531CD">
        <w:rPr>
          <w:i/>
          <w:iCs/>
        </w:rPr>
        <w:t>Ethanol</w:t>
      </w:r>
      <w:r w:rsidRPr="001531CD">
        <w:t>―an ethyl alcohol which meets all of the following conditions in that it:</w:t>
      </w:r>
    </w:p>
    <w:p w14:paraId="630FA21A" w14:textId="77777777" w:rsidR="00CF626A" w:rsidRPr="001531CD" w:rsidRDefault="00CF626A" w:rsidP="00D2607A">
      <w:pPr>
        <w:pStyle w:val="a0"/>
        <w:spacing w:after="80"/>
      </w:pPr>
      <w:r w:rsidRPr="001531CD">
        <w:t>a.</w:t>
      </w:r>
      <w:r w:rsidRPr="001531CD">
        <w:tab/>
        <w:t>has a purity of at least 99 percent, determined without regard to any added denaturants;</w:t>
      </w:r>
    </w:p>
    <w:p w14:paraId="69CAAC8A" w14:textId="77777777" w:rsidR="00CF626A" w:rsidRPr="001531CD" w:rsidRDefault="00CF626A" w:rsidP="00D2607A">
      <w:pPr>
        <w:pStyle w:val="a0"/>
        <w:spacing w:after="80"/>
      </w:pPr>
      <w:r w:rsidRPr="001531CD">
        <w:t>b.</w:t>
      </w:r>
      <w:r w:rsidRPr="001531CD">
        <w:tab/>
        <w:t>has been denatured in conformity with one of the approved methods set forth by the United States Bureau of Alcohol, Tobacco and Firearms;</w:t>
      </w:r>
    </w:p>
    <w:p w14:paraId="1F4A15F5" w14:textId="77777777" w:rsidR="00CF626A" w:rsidRPr="001531CD" w:rsidRDefault="00CF626A" w:rsidP="00D2607A">
      <w:pPr>
        <w:pStyle w:val="a0"/>
        <w:spacing w:after="80"/>
      </w:pPr>
      <w:r w:rsidRPr="001531CD">
        <w:t>c.</w:t>
      </w:r>
      <w:r w:rsidRPr="001531CD">
        <w:tab/>
        <w:t>has been derived from agricultural commodities or products; and</w:t>
      </w:r>
    </w:p>
    <w:p w14:paraId="78391A16" w14:textId="77777777" w:rsidR="00CF626A" w:rsidRPr="001531CD" w:rsidRDefault="00CF626A" w:rsidP="00D2607A">
      <w:pPr>
        <w:pStyle w:val="a0"/>
        <w:spacing w:after="80"/>
      </w:pPr>
      <w:r w:rsidRPr="001531CD">
        <w:t>d.</w:t>
      </w:r>
      <w:r w:rsidRPr="001531CD">
        <w:tab/>
        <w:t>has been produced in the state of Louisiana wholly from fermentation and distillation in the state of Louisiana.</w:t>
      </w:r>
    </w:p>
    <w:p w14:paraId="41AAC623" w14:textId="77777777" w:rsidR="00CF626A" w:rsidRPr="001531CD" w:rsidRDefault="00CF626A" w:rsidP="00D2607A">
      <w:pPr>
        <w:pStyle w:val="1"/>
        <w:spacing w:after="80"/>
      </w:pPr>
      <w:r w:rsidRPr="001531CD">
        <w:rPr>
          <w:i/>
          <w:iCs/>
        </w:rPr>
        <w:t>Ethanol Facility</w:t>
      </w:r>
      <w:r w:rsidRPr="001531CD">
        <w:t>―a facility:</w:t>
      </w:r>
    </w:p>
    <w:p w14:paraId="4F800834" w14:textId="77777777" w:rsidR="00CF626A" w:rsidRPr="001531CD" w:rsidRDefault="00CF626A" w:rsidP="00D2607A">
      <w:pPr>
        <w:pStyle w:val="a0"/>
        <w:spacing w:after="80"/>
      </w:pPr>
      <w:r w:rsidRPr="001531CD">
        <w:t>a.</w:t>
      </w:r>
      <w:r w:rsidRPr="001531CD">
        <w:tab/>
        <w:t>which is located in Louisiana;</w:t>
      </w:r>
    </w:p>
    <w:p w14:paraId="7DC78469" w14:textId="77777777" w:rsidR="00CF626A" w:rsidRPr="001531CD" w:rsidRDefault="00CF626A">
      <w:pPr>
        <w:pStyle w:val="a0"/>
      </w:pPr>
      <w:r w:rsidRPr="001531CD">
        <w:t>b.</w:t>
      </w:r>
      <w:r w:rsidRPr="001531CD">
        <w:tab/>
        <w:t>owned or leased and shall be permanently constructed or converted and operated for the purpose of producing ethanol as its primary product from agricultural commodities or products;</w:t>
      </w:r>
    </w:p>
    <w:p w14:paraId="6A2FA1F5" w14:textId="77777777" w:rsidR="00CF626A" w:rsidRPr="001531CD" w:rsidRDefault="00CF626A">
      <w:pPr>
        <w:pStyle w:val="a0"/>
      </w:pPr>
      <w:r w:rsidRPr="001531CD">
        <w:lastRenderedPageBreak/>
        <w:t>c.</w:t>
      </w:r>
      <w:r w:rsidRPr="001531CD">
        <w:tab/>
        <w:t>whose entire production, fermentation and distillation shall occur in Louisiana; and</w:t>
      </w:r>
    </w:p>
    <w:p w14:paraId="406530E9" w14:textId="77777777" w:rsidR="00CF626A" w:rsidRPr="001531CD" w:rsidRDefault="00CF626A">
      <w:pPr>
        <w:pStyle w:val="a0"/>
      </w:pPr>
      <w:r w:rsidRPr="001531CD">
        <w:t>d.</w:t>
      </w:r>
      <w:r w:rsidRPr="001531CD">
        <w:tab/>
        <w:t>whose ethanol shall be produced and sold for use in gasohol in Louisiana.</w:t>
      </w:r>
    </w:p>
    <w:p w14:paraId="05122C9F" w14:textId="77777777" w:rsidR="00CF626A" w:rsidRPr="001531CD" w:rsidRDefault="00CF626A">
      <w:pPr>
        <w:pStyle w:val="1"/>
      </w:pPr>
      <w:r w:rsidRPr="001531CD">
        <w:rPr>
          <w:i/>
          <w:iCs/>
        </w:rPr>
        <w:t>First Point of Sale</w:t>
      </w:r>
      <w:r w:rsidRPr="001531CD">
        <w:t>―</w:t>
      </w:r>
    </w:p>
    <w:p w14:paraId="2546784D" w14:textId="77777777" w:rsidR="00CF626A" w:rsidRPr="001531CD" w:rsidRDefault="00CF626A">
      <w:pPr>
        <w:pStyle w:val="a0"/>
      </w:pPr>
      <w:r w:rsidRPr="001531CD">
        <w:t>a.</w:t>
      </w:r>
      <w:r w:rsidRPr="001531CD">
        <w:tab/>
        <w:t>the initial time when title to agricultural commodities or products passes from a seller to a buyer; or</w:t>
      </w:r>
    </w:p>
    <w:p w14:paraId="1B81DFB7" w14:textId="77777777" w:rsidR="00CF626A" w:rsidRPr="001531CD" w:rsidRDefault="00CF626A">
      <w:pPr>
        <w:pStyle w:val="a0"/>
      </w:pPr>
      <w:r w:rsidRPr="001531CD">
        <w:t>b.</w:t>
      </w:r>
      <w:r w:rsidRPr="001531CD">
        <w:tab/>
        <w:t>the time when agricultural commodities or products are removed from storage.</w:t>
      </w:r>
    </w:p>
    <w:p w14:paraId="60703CBB" w14:textId="77777777" w:rsidR="00CF626A" w:rsidRPr="001531CD" w:rsidRDefault="00CF626A">
      <w:pPr>
        <w:pStyle w:val="1"/>
      </w:pPr>
      <w:r w:rsidRPr="001531CD">
        <w:rPr>
          <w:i/>
          <w:iCs/>
        </w:rPr>
        <w:t>Fund</w:t>
      </w:r>
      <w:r w:rsidRPr="001531CD">
        <w:t>―the Agricultural Industry Incentive Fund established by R.S. 3:3706.</w:t>
      </w:r>
    </w:p>
    <w:p w14:paraId="4CD6B630" w14:textId="77777777" w:rsidR="00CF626A" w:rsidRPr="001531CD" w:rsidRDefault="00CF626A">
      <w:pPr>
        <w:pStyle w:val="1"/>
      </w:pPr>
      <w:r w:rsidRPr="001531CD">
        <w:rPr>
          <w:i/>
          <w:iCs/>
        </w:rPr>
        <w:t>Gasohol</w:t>
      </w:r>
      <w:r w:rsidRPr="001531CD">
        <w:t>―a fuel that contains not more than 90 percent gasoline and at least 10 percent ethanol.</w:t>
      </w:r>
    </w:p>
    <w:p w14:paraId="64182AA0" w14:textId="77777777" w:rsidR="00CF626A" w:rsidRPr="001531CD" w:rsidRDefault="00CF626A">
      <w:pPr>
        <w:pStyle w:val="1"/>
      </w:pPr>
      <w:r w:rsidRPr="001531CD">
        <w:rPr>
          <w:i/>
          <w:iCs/>
        </w:rPr>
        <w:t>Gasohol Multiplier</w:t>
      </w:r>
      <w:r w:rsidRPr="001531CD">
        <w:t>―the number 10, which reflects the fact that 10 gallons of gasohol contains at least one gallon of ethanol.</w:t>
      </w:r>
    </w:p>
    <w:p w14:paraId="0E281824" w14:textId="77777777" w:rsidR="00CF626A" w:rsidRPr="001531CD" w:rsidRDefault="00CF626A">
      <w:pPr>
        <w:pStyle w:val="1"/>
      </w:pPr>
      <w:r w:rsidRPr="001531CD">
        <w:rPr>
          <w:i/>
          <w:iCs/>
        </w:rPr>
        <w:t>Grain Dealer</w:t>
      </w:r>
      <w:r w:rsidRPr="001531CD">
        <w:t>―any person who purchases agricultural commodities or products from producers, sells agricultural commodities for producers or represents producers in the purchase or sale of agricultural commodities. The term does not include producers who purchase grain commodities for their own use as feed or seed.</w:t>
      </w:r>
    </w:p>
    <w:p w14:paraId="3332D2A7" w14:textId="77777777" w:rsidR="00CF626A" w:rsidRPr="001531CD" w:rsidRDefault="00CF626A">
      <w:pPr>
        <w:pStyle w:val="1"/>
      </w:pPr>
      <w:r w:rsidRPr="001531CD">
        <w:rPr>
          <w:i/>
          <w:iCs/>
        </w:rPr>
        <w:t>Intermediary</w:t>
      </w:r>
      <w:r w:rsidRPr="001531CD">
        <w:t>―any person who purchases or stores agriculture commodities to be used to produce ethanol by a certified market participant. Grain dealers, a warehousemen and warehouse operators are intermediaries.</w:t>
      </w:r>
    </w:p>
    <w:p w14:paraId="3FC825A3" w14:textId="77777777" w:rsidR="00CF626A" w:rsidRPr="001531CD" w:rsidRDefault="00CF626A">
      <w:pPr>
        <w:pStyle w:val="1"/>
      </w:pPr>
      <w:r w:rsidRPr="001531CD">
        <w:rPr>
          <w:i/>
          <w:iCs/>
        </w:rPr>
        <w:t>Licensee</w:t>
      </w:r>
      <w:r w:rsidRPr="001531CD">
        <w:t>―any person holding a license as a warehouse or grain dealer issued by the Louisiana Agricultural Commodities Commission.</w:t>
      </w:r>
    </w:p>
    <w:p w14:paraId="7C58B74D" w14:textId="77777777" w:rsidR="00CF626A" w:rsidRPr="001531CD" w:rsidRDefault="00CF626A">
      <w:pPr>
        <w:pStyle w:val="1"/>
      </w:pPr>
      <w:r w:rsidRPr="001531CD">
        <w:rPr>
          <w:i/>
          <w:iCs/>
        </w:rPr>
        <w:t>Person</w:t>
      </w:r>
      <w:r w:rsidRPr="001531CD">
        <w:t>―any individual, partnership, association, corporation or other legal entity.</w:t>
      </w:r>
    </w:p>
    <w:p w14:paraId="727D040C" w14:textId="77777777" w:rsidR="00CF626A" w:rsidRPr="001531CD" w:rsidRDefault="00CF626A">
      <w:pPr>
        <w:pStyle w:val="1"/>
      </w:pPr>
      <w:r w:rsidRPr="001531CD">
        <w:rPr>
          <w:i/>
          <w:iCs/>
        </w:rPr>
        <w:t>Principal Managers</w:t>
      </w:r>
      <w:r w:rsidRPr="001531CD">
        <w:t>―the individuals or persons responsible for the daily operation of an ethanol facility.</w:t>
      </w:r>
    </w:p>
    <w:p w14:paraId="411142F6" w14:textId="77777777" w:rsidR="00CF626A" w:rsidRPr="001531CD" w:rsidRDefault="00CF626A">
      <w:pPr>
        <w:pStyle w:val="1"/>
      </w:pPr>
      <w:r w:rsidRPr="001531CD">
        <w:rPr>
          <w:i/>
          <w:iCs/>
        </w:rPr>
        <w:t>Principal Office</w:t>
      </w:r>
      <w:r w:rsidRPr="001531CD">
        <w:t>―the location where the records of the certified market participant will be maintained in the state of Louisiana.</w:t>
      </w:r>
    </w:p>
    <w:p w14:paraId="4E42A1EC" w14:textId="77777777" w:rsidR="00CF626A" w:rsidRPr="001531CD" w:rsidRDefault="00CF626A">
      <w:pPr>
        <w:pStyle w:val="1"/>
      </w:pPr>
      <w:r w:rsidRPr="001531CD">
        <w:rPr>
          <w:i/>
          <w:iCs/>
        </w:rPr>
        <w:t>Principal Stockholders</w:t>
      </w:r>
      <w:r w:rsidRPr="001531CD">
        <w:t xml:space="preserve"> or </w:t>
      </w:r>
      <w:r w:rsidRPr="001531CD">
        <w:rPr>
          <w:i/>
          <w:iCs/>
        </w:rPr>
        <w:t>Owners</w:t>
      </w:r>
      <w:r w:rsidRPr="001531CD">
        <w:t>―any individual who owns directly or indirectly 10 percent of an ethanol facility operated by a certified market participant.</w:t>
      </w:r>
    </w:p>
    <w:p w14:paraId="6D4AAA4E" w14:textId="77777777" w:rsidR="00CF626A" w:rsidRPr="001531CD" w:rsidRDefault="00CF626A">
      <w:pPr>
        <w:pStyle w:val="1"/>
      </w:pPr>
      <w:r w:rsidRPr="001531CD">
        <w:rPr>
          <w:i/>
          <w:iCs/>
        </w:rPr>
        <w:t>Producer</w:t>
      </w:r>
      <w:r w:rsidRPr="001531CD">
        <w:t>―a farmer, individual or person that engages in the production of agricultural commodities or products.</w:t>
      </w:r>
    </w:p>
    <w:p w14:paraId="64746ECA" w14:textId="77777777" w:rsidR="00CF626A" w:rsidRPr="001531CD" w:rsidRDefault="00CF626A">
      <w:pPr>
        <w:pStyle w:val="1"/>
      </w:pPr>
      <w:r w:rsidRPr="001531CD">
        <w:rPr>
          <w:i/>
          <w:iCs/>
        </w:rPr>
        <w:t>Producer Contracts</w:t>
      </w:r>
      <w:r w:rsidRPr="001531CD">
        <w:t>―a two or three party contract between and among an agriculture producer, certified market participant and intermediaries, such as a grain dealer or a warehouseman.</w:t>
      </w:r>
    </w:p>
    <w:p w14:paraId="61CB3058" w14:textId="77777777" w:rsidR="00CF626A" w:rsidRPr="001531CD" w:rsidRDefault="00CF626A">
      <w:pPr>
        <w:pStyle w:val="1"/>
      </w:pPr>
      <w:r w:rsidRPr="001531CD">
        <w:rPr>
          <w:i/>
          <w:iCs/>
        </w:rPr>
        <w:t>Production Records</w:t>
      </w:r>
      <w:r w:rsidRPr="001531CD">
        <w:t>―written evidence of the ethanol produced daily by a certified market participant.</w:t>
      </w:r>
    </w:p>
    <w:p w14:paraId="4B0A8E90" w14:textId="77777777" w:rsidR="00CF626A" w:rsidRPr="001531CD" w:rsidRDefault="00CF626A">
      <w:pPr>
        <w:pStyle w:val="1"/>
      </w:pPr>
      <w:r w:rsidRPr="001531CD">
        <w:rPr>
          <w:i/>
          <w:iCs/>
        </w:rPr>
        <w:t>Rules</w:t>
      </w:r>
      <w:r w:rsidRPr="001531CD">
        <w:t xml:space="preserve"> or </w:t>
      </w:r>
      <w:r w:rsidRPr="001531CD">
        <w:rPr>
          <w:i/>
          <w:iCs/>
        </w:rPr>
        <w:t>Regulations</w:t>
      </w:r>
      <w:r w:rsidRPr="001531CD">
        <w:t>―the rules or regulations adopted by the Agricultural Industry Board under the authority granted by the Act.</w:t>
      </w:r>
    </w:p>
    <w:p w14:paraId="6F0C080C" w14:textId="77777777" w:rsidR="00CF626A" w:rsidRPr="001531CD" w:rsidRDefault="00CF626A">
      <w:pPr>
        <w:pStyle w:val="1"/>
      </w:pPr>
      <w:r w:rsidRPr="001531CD">
        <w:rPr>
          <w:i/>
          <w:iCs/>
        </w:rPr>
        <w:t>Scale Ticket</w:t>
      </w:r>
      <w:r w:rsidRPr="001531CD">
        <w:t>―the document issued to a producer when agricultural commodities or products are delivered to intermediaries such as a warehouse or grain dealer.</w:t>
      </w:r>
    </w:p>
    <w:p w14:paraId="3B9D971E" w14:textId="77777777" w:rsidR="00CF626A" w:rsidRPr="001531CD" w:rsidRDefault="00CF626A">
      <w:pPr>
        <w:pStyle w:val="1"/>
      </w:pPr>
      <w:r w:rsidRPr="001531CD">
        <w:rPr>
          <w:i/>
          <w:iCs/>
        </w:rPr>
        <w:t>Security Device</w:t>
      </w:r>
      <w:r w:rsidRPr="001531CD">
        <w:t>―any assignment, pawn, pledge, mortgage, privilege, lien or other device by which an interest in agricultural commodities or products is encumbered, either legally or conventionally, to secure the fulfillment of any obligation.</w:t>
      </w:r>
    </w:p>
    <w:p w14:paraId="27BB1CF6" w14:textId="77777777" w:rsidR="00CF626A" w:rsidRPr="001531CD" w:rsidRDefault="00CF626A">
      <w:pPr>
        <w:pStyle w:val="1"/>
      </w:pPr>
      <w:r w:rsidRPr="001531CD">
        <w:rPr>
          <w:i/>
          <w:iCs/>
        </w:rPr>
        <w:t>Settlement Sheets</w:t>
      </w:r>
      <w:r w:rsidRPr="001531CD">
        <w:t>―documents which reconcile contracts, shipping tickets, charges, deductions and payments to determine the value and quantity of agriculture commodities or products received by the certified market participant.</w:t>
      </w:r>
    </w:p>
    <w:p w14:paraId="5052D2A5" w14:textId="77777777" w:rsidR="00CF626A" w:rsidRPr="001531CD" w:rsidRDefault="00CF626A">
      <w:pPr>
        <w:pStyle w:val="1"/>
      </w:pPr>
      <w:r w:rsidRPr="001531CD">
        <w:rPr>
          <w:i/>
          <w:iCs/>
        </w:rPr>
        <w:t>Shipping Documents</w:t>
      </w:r>
      <w:r w:rsidRPr="001531CD">
        <w:t>―the written evidence of ethanol produced and shipped by a certified market participant.</w:t>
      </w:r>
    </w:p>
    <w:p w14:paraId="1467F682" w14:textId="77777777" w:rsidR="00CF626A" w:rsidRPr="001531CD" w:rsidRDefault="00CF626A">
      <w:pPr>
        <w:pStyle w:val="1"/>
      </w:pPr>
      <w:r w:rsidRPr="001531CD">
        <w:rPr>
          <w:i/>
          <w:iCs/>
        </w:rPr>
        <w:t>Sold for Use in Gasohol</w:t>
      </w:r>
      <w:r w:rsidRPr="001531CD">
        <w:t>―that ethanol will be blended with gasoline and Louisiana taxes are paid on the sale of gasohol in Louisiana. This intent is evidenced by any document of gasohol sales as reported to the Louisiana Department of Revenue and Taxation on its Monthly Motor Fuels Report.</w:t>
      </w:r>
    </w:p>
    <w:p w14:paraId="7368A8A6" w14:textId="77777777" w:rsidR="00CF626A" w:rsidRPr="001531CD" w:rsidRDefault="00CF626A">
      <w:pPr>
        <w:pStyle w:val="1"/>
      </w:pPr>
      <w:r w:rsidRPr="001531CD">
        <w:rPr>
          <w:i/>
          <w:iCs/>
        </w:rPr>
        <w:t>Spot</w:t>
      </w:r>
      <w:r w:rsidRPr="001531CD">
        <w:t xml:space="preserve"> or </w:t>
      </w:r>
      <w:r w:rsidRPr="001531CD">
        <w:rPr>
          <w:i/>
          <w:iCs/>
        </w:rPr>
        <w:t>Spot Sale</w:t>
      </w:r>
      <w:r w:rsidRPr="001531CD">
        <w:t>―a transaction where title to agricultural commodities or products passes from the producer to the buyer on the day of delivery, in which transaction the producer is paid promptly at the market price established on the day of delivery.</w:t>
      </w:r>
    </w:p>
    <w:p w14:paraId="111AD6D4" w14:textId="77777777" w:rsidR="00CF626A" w:rsidRPr="001531CD" w:rsidRDefault="00CF626A">
      <w:pPr>
        <w:pStyle w:val="1"/>
      </w:pPr>
      <w:r w:rsidRPr="001531CD">
        <w:rPr>
          <w:i/>
          <w:iCs/>
        </w:rPr>
        <w:t>Storage</w:t>
      </w:r>
      <w:r w:rsidRPr="001531CD">
        <w:t>―the physical possession by a warehouse, in any manner and/or under any type of fee arrangement, of agricultural commodities or products belonging to any person other than the owner of the warehouse. The term storage does not apply to a transaction in which title passes from the seller to the buyer upon delivery.</w:t>
      </w:r>
    </w:p>
    <w:p w14:paraId="4DB0337E" w14:textId="77777777" w:rsidR="00CF626A" w:rsidRPr="001531CD" w:rsidRDefault="00CF626A">
      <w:pPr>
        <w:pStyle w:val="1"/>
      </w:pPr>
      <w:r w:rsidRPr="001531CD">
        <w:rPr>
          <w:i/>
          <w:iCs/>
        </w:rPr>
        <w:t>Taxes Imposed on Gasohol</w:t>
      </w:r>
      <w:r w:rsidRPr="001531CD">
        <w:t>―any state tax levied on gasohol and includes any tax levied on gasohol under the provisions of R.S. 47:711, R.S. 47:802, R.S. 47:302(A), and R.S. 47:331(A).</w:t>
      </w:r>
    </w:p>
    <w:p w14:paraId="7BB4569D" w14:textId="77777777" w:rsidR="00CF626A" w:rsidRPr="001531CD" w:rsidRDefault="00CF626A">
      <w:pPr>
        <w:pStyle w:val="1"/>
      </w:pPr>
      <w:r w:rsidRPr="001531CD">
        <w:rPr>
          <w:i/>
          <w:iCs/>
        </w:rPr>
        <w:t>Under Substantial Construction</w:t>
      </w:r>
      <w:r w:rsidRPr="001531CD">
        <w:t>―the certified market participant has entered into binding contracts for capital costs, including contracts for the purchase of land, engineering, capital construction and all other projects costs, the total of which shall be not less than 25 percent of the project costs.</w:t>
      </w:r>
    </w:p>
    <w:p w14:paraId="506BD02D" w14:textId="77777777" w:rsidR="00CF626A" w:rsidRPr="001531CD" w:rsidRDefault="00CF626A">
      <w:pPr>
        <w:pStyle w:val="1"/>
      </w:pPr>
      <w:r w:rsidRPr="001531CD">
        <w:rPr>
          <w:i/>
          <w:iCs/>
        </w:rPr>
        <w:t>Warehouse</w:t>
      </w:r>
      <w:r w:rsidRPr="001531CD">
        <w:t>―any building, structure or any other protected enclosure in which agricultural commodities or products or farm products are stored for the public for a fee. The term includes facilities which commingle commodities, facilities which preserve the identity of separate lots of agricultural commodities or products and facilities which dry and/or condition agricultural commodities or products belonging to any person other than the facility owner.</w:t>
      </w:r>
    </w:p>
    <w:p w14:paraId="531E3406" w14:textId="77777777" w:rsidR="00CF626A" w:rsidRPr="001531CD" w:rsidRDefault="00CF626A">
      <w:pPr>
        <w:pStyle w:val="1"/>
      </w:pPr>
      <w:r w:rsidRPr="001531CD">
        <w:rPr>
          <w:i/>
          <w:iCs/>
        </w:rPr>
        <w:t>Warehouseman</w:t>
      </w:r>
      <w:r w:rsidRPr="001531CD">
        <w:t xml:space="preserve"> or </w:t>
      </w:r>
      <w:r w:rsidRPr="001531CD">
        <w:rPr>
          <w:i/>
          <w:iCs/>
        </w:rPr>
        <w:t>Warehouse Operator</w:t>
      </w:r>
      <w:r w:rsidRPr="001531CD">
        <w:t>―any person or entity operating a warehouse.</w:t>
      </w:r>
    </w:p>
    <w:p w14:paraId="48BEB6AD" w14:textId="77777777" w:rsidR="00CF626A" w:rsidRPr="001531CD" w:rsidRDefault="00CF626A">
      <w:pPr>
        <w:pStyle w:val="AuthorityNote"/>
      </w:pPr>
      <w:r w:rsidRPr="001531CD">
        <w:t>AUTHORITY NOTE:</w:t>
      </w:r>
      <w:r w:rsidRPr="001531CD">
        <w:tab/>
        <w:t>Promulgated in accordance with R.S. 3:3703 and R.S. 3:3704.</w:t>
      </w:r>
    </w:p>
    <w:p w14:paraId="5772E549" w14:textId="77777777" w:rsidR="00CF626A" w:rsidRPr="001531CD" w:rsidRDefault="00CF626A">
      <w:pPr>
        <w:pStyle w:val="HistoricalNote"/>
      </w:pPr>
      <w:r w:rsidRPr="001531CD">
        <w:t>HISTORICAL NOTE:</w:t>
      </w:r>
      <w:r w:rsidRPr="001531CD">
        <w:tab/>
        <w:t xml:space="preserve">Promulgated by the Department of Agriculture and Forestry, Office of Management and Finance, </w:t>
      </w:r>
      <w:r w:rsidRPr="001531CD">
        <w:lastRenderedPageBreak/>
        <w:t>Agricultural Industry Board, LR 12:503 (August 1986), amended LR 13:11 (January 1987).</w:t>
      </w:r>
    </w:p>
    <w:p w14:paraId="6DD30492" w14:textId="77777777" w:rsidR="00CF626A" w:rsidRPr="001531CD" w:rsidRDefault="00CF626A">
      <w:pPr>
        <w:pStyle w:val="Section"/>
      </w:pPr>
      <w:bookmarkStart w:id="3175" w:name="_Toc256755145"/>
      <w:bookmarkStart w:id="3176" w:name="_Toc224819547"/>
      <w:r w:rsidRPr="001531CD">
        <w:t>§105.</w:t>
      </w:r>
      <w:r w:rsidRPr="001531CD">
        <w:tab/>
        <w:t>Administration of the Agricultural Industry Board</w:t>
      </w:r>
      <w:bookmarkEnd w:id="3175"/>
      <w:bookmarkEnd w:id="3176"/>
    </w:p>
    <w:p w14:paraId="53635A30" w14:textId="77777777" w:rsidR="00CF626A" w:rsidRPr="001531CD" w:rsidRDefault="00CF626A">
      <w:pPr>
        <w:pStyle w:val="A"/>
      </w:pPr>
      <w:r w:rsidRPr="001531CD">
        <w:t>A.</w:t>
      </w:r>
      <w:r w:rsidRPr="001531CD">
        <w:tab/>
        <w:t>Officers: Titles and Functions</w:t>
      </w:r>
    </w:p>
    <w:p w14:paraId="2587B4BD" w14:textId="77777777" w:rsidR="00CF626A" w:rsidRPr="001531CD" w:rsidRDefault="00CF626A">
      <w:pPr>
        <w:pStyle w:val="1"/>
      </w:pPr>
      <w:r w:rsidRPr="001531CD">
        <w:t>1.</w:t>
      </w:r>
      <w:r w:rsidRPr="001531CD">
        <w:tab/>
        <w:t>The officers of the board shall be a chairman and a vice-chairman. The chairman shall be the commissioner of agriculture. The vice-chairman shall be elected for a one year term.</w:t>
      </w:r>
    </w:p>
    <w:p w14:paraId="622D6D35" w14:textId="77777777" w:rsidR="00CF626A" w:rsidRPr="001531CD" w:rsidRDefault="00CF626A">
      <w:pPr>
        <w:pStyle w:val="1"/>
      </w:pPr>
      <w:r w:rsidRPr="001531CD">
        <w:t>2.</w:t>
      </w:r>
      <w:r w:rsidRPr="001531CD">
        <w:tab/>
        <w:t>In the absence of the chairman at any meeting of the board, the vice-chairman shall preside.</w:t>
      </w:r>
    </w:p>
    <w:p w14:paraId="03C36D17" w14:textId="77777777" w:rsidR="00CF626A" w:rsidRPr="001531CD" w:rsidRDefault="00CF626A">
      <w:pPr>
        <w:pStyle w:val="A"/>
      </w:pPr>
      <w:r w:rsidRPr="001531CD">
        <w:t>B.</w:t>
      </w:r>
      <w:r w:rsidRPr="001531CD">
        <w:tab/>
        <w:t>Meetings</w:t>
      </w:r>
    </w:p>
    <w:p w14:paraId="7B3CAEDE" w14:textId="77777777" w:rsidR="00CF626A" w:rsidRPr="001531CD" w:rsidRDefault="00CF626A">
      <w:pPr>
        <w:pStyle w:val="1"/>
      </w:pPr>
      <w:r w:rsidRPr="001531CD">
        <w:t>1.</w:t>
      </w:r>
      <w:r w:rsidRPr="001531CD">
        <w:tab/>
        <w:t>The board shall hold at least one regular meeting during each quarter of the year, but may meet more frequently upon the call of the chairman or upon the written request of any three members.</w:t>
      </w:r>
    </w:p>
    <w:p w14:paraId="620D7E98" w14:textId="77777777" w:rsidR="00CF626A" w:rsidRPr="001531CD" w:rsidRDefault="00CF626A">
      <w:pPr>
        <w:pStyle w:val="1"/>
      </w:pPr>
      <w:r w:rsidRPr="001531CD">
        <w:t>2.</w:t>
      </w:r>
      <w:r w:rsidRPr="001531CD">
        <w:tab/>
        <w:t>Meetings of the board shall normally be held in its domicile, but may be held at other locations upon the determination of the chairman or the will of the board.</w:t>
      </w:r>
    </w:p>
    <w:p w14:paraId="3ABE887A" w14:textId="77777777" w:rsidR="00CF626A" w:rsidRPr="001531CD" w:rsidRDefault="00CF626A">
      <w:pPr>
        <w:pStyle w:val="1"/>
      </w:pPr>
      <w:r w:rsidRPr="001531CD">
        <w:t>3.</w:t>
      </w:r>
      <w:r w:rsidRPr="001531CD">
        <w:tab/>
        <w:t>The quorum of the board is five members.</w:t>
      </w:r>
    </w:p>
    <w:p w14:paraId="3A868271" w14:textId="77777777" w:rsidR="00CF626A" w:rsidRPr="001531CD" w:rsidRDefault="00CF626A">
      <w:pPr>
        <w:pStyle w:val="1"/>
      </w:pPr>
      <w:r w:rsidRPr="001531CD">
        <w:t>4.</w:t>
      </w:r>
      <w:r w:rsidRPr="001531CD">
        <w:tab/>
        <w:t>An affirmative vote of a majority of the members present shall be required for the adoption of any motion except that all motions to call an adjudicatory hearing, to terminate existing certified market participant contracts, to impose civil penalty, or to revoke the designation of a certified market participant shall require a minimum of six affirmative votes for adoption.</w:t>
      </w:r>
    </w:p>
    <w:p w14:paraId="554705E3" w14:textId="77777777" w:rsidR="00CF626A" w:rsidRPr="001531CD" w:rsidRDefault="00CF626A">
      <w:pPr>
        <w:pStyle w:val="1"/>
      </w:pPr>
      <w:r w:rsidRPr="001531CD">
        <w:t>5.</w:t>
      </w:r>
      <w:r w:rsidRPr="001531CD">
        <w:tab/>
        <w:t>There shall be no voting by proxy.</w:t>
      </w:r>
    </w:p>
    <w:p w14:paraId="20B9B154" w14:textId="77777777" w:rsidR="00CF626A" w:rsidRPr="001531CD" w:rsidRDefault="00CF626A">
      <w:pPr>
        <w:pStyle w:val="A"/>
      </w:pPr>
      <w:r w:rsidRPr="001531CD">
        <w:t>C.</w:t>
      </w:r>
      <w:r w:rsidRPr="001531CD">
        <w:tab/>
        <w:t>Director: Duties and Responsibilities</w:t>
      </w:r>
    </w:p>
    <w:p w14:paraId="0ED4B185" w14:textId="77777777" w:rsidR="00CF626A" w:rsidRPr="001531CD" w:rsidRDefault="00CF626A">
      <w:pPr>
        <w:pStyle w:val="1"/>
      </w:pPr>
      <w:r w:rsidRPr="001531CD">
        <w:t>1.</w:t>
      </w:r>
      <w:r w:rsidRPr="001531CD">
        <w:tab/>
        <w:t>The director shall provide clerical and other support services as may be required by the board and shall maintain and distribute appropriate records of the board.</w:t>
      </w:r>
    </w:p>
    <w:p w14:paraId="10AAF22B" w14:textId="77777777" w:rsidR="00CF626A" w:rsidRPr="001531CD" w:rsidRDefault="00CF626A">
      <w:pPr>
        <w:pStyle w:val="1"/>
      </w:pPr>
      <w:r w:rsidRPr="001531CD">
        <w:t>2.</w:t>
      </w:r>
      <w:r w:rsidRPr="001531CD">
        <w:tab/>
        <w:t>The director shall draft and submit to the board all reporting forms required by the Act or the regulations.</w:t>
      </w:r>
    </w:p>
    <w:p w14:paraId="09190D9A" w14:textId="77777777" w:rsidR="00CF626A" w:rsidRPr="001531CD" w:rsidRDefault="00CF626A">
      <w:pPr>
        <w:pStyle w:val="A"/>
      </w:pPr>
      <w:r w:rsidRPr="001531CD">
        <w:t>D.</w:t>
      </w:r>
      <w:r w:rsidRPr="001531CD">
        <w:tab/>
        <w:t>Confidentiality of Financial Information. No member of the board or the staff shall disclose and confidential financial information of a certified market participant confidential business plan presented by any certified market participant or applicant for certified market participant designation unless such records or documents are presented to an adjudicatory hearing or unless he acts pursuant to a court order. This provision does not limit or prohibit the commissioner from compiling, publishing and distributing any such information if that data or information does not identify specific certified market participants therewith.</w:t>
      </w:r>
    </w:p>
    <w:p w14:paraId="212B8658" w14:textId="77777777" w:rsidR="00CF626A" w:rsidRPr="001531CD" w:rsidRDefault="00CF626A">
      <w:pPr>
        <w:pStyle w:val="AuthorityNote"/>
      </w:pPr>
      <w:r w:rsidRPr="001531CD">
        <w:t>AUTHORITY NOTE:</w:t>
      </w:r>
      <w:r w:rsidRPr="001531CD">
        <w:tab/>
        <w:t>Promulgated in accordance with R.S. 3:3704.</w:t>
      </w:r>
    </w:p>
    <w:p w14:paraId="1DCD96B1"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12:504 (August 1986).</w:t>
      </w:r>
    </w:p>
    <w:p w14:paraId="731ACB08" w14:textId="77777777" w:rsidR="00CF626A" w:rsidRPr="001531CD" w:rsidRDefault="00CF626A">
      <w:pPr>
        <w:pStyle w:val="Section"/>
      </w:pPr>
      <w:bookmarkStart w:id="3177" w:name="_Toc256755146"/>
      <w:bookmarkStart w:id="3178" w:name="_Toc224819548"/>
      <w:r w:rsidRPr="001531CD">
        <w:t>§107.</w:t>
      </w:r>
      <w:r w:rsidRPr="001531CD">
        <w:tab/>
        <w:t>Certified Market Participants: Procedures and Criteria for Approval</w:t>
      </w:r>
      <w:bookmarkEnd w:id="3177"/>
      <w:bookmarkEnd w:id="3178"/>
    </w:p>
    <w:p w14:paraId="65EBDDBA" w14:textId="77777777" w:rsidR="00CF626A" w:rsidRPr="001531CD" w:rsidRDefault="00CF626A">
      <w:pPr>
        <w:pStyle w:val="A"/>
      </w:pPr>
      <w:r w:rsidRPr="001531CD">
        <w:t>A.</w:t>
      </w:r>
      <w:r w:rsidRPr="001531CD">
        <w:tab/>
        <w:t>Criteria for Approving Certified Market Participants. In approving certified market participants, the board shall apply the following criteria in considering the application, to wit:</w:t>
      </w:r>
    </w:p>
    <w:p w14:paraId="24A61119" w14:textId="77777777" w:rsidR="00CF626A" w:rsidRPr="001531CD" w:rsidRDefault="00CF626A">
      <w:pPr>
        <w:pStyle w:val="1"/>
      </w:pPr>
      <w:r w:rsidRPr="001531CD">
        <w:t>1.</w:t>
      </w:r>
      <w:r w:rsidRPr="001531CD">
        <w:tab/>
        <w:t>the facility to produce ethanol must be located in the state of Louisiana;</w:t>
      </w:r>
    </w:p>
    <w:p w14:paraId="11EAAE79" w14:textId="77777777" w:rsidR="00CF626A" w:rsidRPr="001531CD" w:rsidRDefault="00CF626A">
      <w:pPr>
        <w:pStyle w:val="1"/>
      </w:pPr>
      <w:r w:rsidRPr="001531CD">
        <w:t>2.</w:t>
      </w:r>
      <w:r w:rsidRPr="001531CD">
        <w:tab/>
        <w:t>the facility must be owned or leased and must be constructed and converted and operated for the purpose of producing ethanol as its primary product from agricultural commodities or products;</w:t>
      </w:r>
    </w:p>
    <w:p w14:paraId="733408E2" w14:textId="77777777" w:rsidR="00CF626A" w:rsidRPr="001531CD" w:rsidRDefault="00CF626A">
      <w:pPr>
        <w:pStyle w:val="1"/>
      </w:pPr>
      <w:r w:rsidRPr="001531CD">
        <w:t>3.</w:t>
      </w:r>
      <w:r w:rsidRPr="001531CD">
        <w:tab/>
        <w:t>the entire production, fermentation and distillation process must occur in the state of Louisiana and must be in accordance with the terms and conditions set forth in the written agreement between the board and the certified market participant and entered into in accordance with the law;</w:t>
      </w:r>
    </w:p>
    <w:p w14:paraId="2E45B765" w14:textId="77777777" w:rsidR="00CF626A" w:rsidRPr="001531CD" w:rsidRDefault="00CF626A">
      <w:pPr>
        <w:pStyle w:val="1"/>
      </w:pPr>
      <w:r w:rsidRPr="001531CD">
        <w:t>4.</w:t>
      </w:r>
      <w:r w:rsidRPr="001531CD">
        <w:tab/>
        <w:t>the ethanol must be produced and sold for use in gasohol;</w:t>
      </w:r>
    </w:p>
    <w:p w14:paraId="439969BE" w14:textId="77777777" w:rsidR="00CF626A" w:rsidRPr="001531CD" w:rsidRDefault="00CF626A">
      <w:pPr>
        <w:pStyle w:val="1"/>
      </w:pPr>
      <w:r w:rsidRPr="001531CD">
        <w:t>5.</w:t>
      </w:r>
      <w:r w:rsidRPr="001531CD">
        <w:tab/>
        <w:t>the applicant's financial ability to perform as a certified market participant which shall include, but not be limited to the following criteria, to wit:</w:t>
      </w:r>
    </w:p>
    <w:p w14:paraId="6F7A85DF" w14:textId="77777777" w:rsidR="00CF626A" w:rsidRPr="001531CD" w:rsidRDefault="00CF626A">
      <w:pPr>
        <w:pStyle w:val="a0"/>
      </w:pPr>
      <w:r w:rsidRPr="001531CD">
        <w:t>a.</w:t>
      </w:r>
      <w:r w:rsidRPr="001531CD">
        <w:tab/>
        <w:t>the applicant's ability to meet its financial obligations in producer and agency contracts it proposes to enter into with producers, grain dealers, warehousemen and other intermediaries;</w:t>
      </w:r>
    </w:p>
    <w:p w14:paraId="4A6EB2C6" w14:textId="77777777" w:rsidR="00CF626A" w:rsidRPr="001531CD" w:rsidRDefault="00CF626A">
      <w:pPr>
        <w:pStyle w:val="a0"/>
      </w:pPr>
      <w:r w:rsidRPr="001531CD">
        <w:t>b.</w:t>
      </w:r>
      <w:r w:rsidRPr="001531CD">
        <w:tab/>
        <w:t>the applicant's ability to amortize all capital cost of the ethanol facility within eight years of the date of application; and</w:t>
      </w:r>
    </w:p>
    <w:p w14:paraId="13CD2C06" w14:textId="77777777" w:rsidR="00CF626A" w:rsidRPr="001531CD" w:rsidRDefault="00CF626A">
      <w:pPr>
        <w:pStyle w:val="a0"/>
      </w:pPr>
      <w:r w:rsidRPr="001531CD">
        <w:t>c.</w:t>
      </w:r>
      <w:r w:rsidRPr="001531CD">
        <w:tab/>
        <w:t>the applicant's ability to sell ethanol for use in making gasohol to be sold in Louisiana;</w:t>
      </w:r>
    </w:p>
    <w:p w14:paraId="411EB0B4" w14:textId="77777777" w:rsidR="00CF626A" w:rsidRPr="001531CD" w:rsidRDefault="00CF626A">
      <w:pPr>
        <w:pStyle w:val="1"/>
      </w:pPr>
      <w:r w:rsidRPr="001531CD">
        <w:t>6.</w:t>
      </w:r>
      <w:r w:rsidRPr="001531CD">
        <w:tab/>
        <w:t>the estimated number of temporary and permanent jobs created by applicant's construction and operation of an ethanol facility;</w:t>
      </w:r>
    </w:p>
    <w:p w14:paraId="516DD104" w14:textId="77777777" w:rsidR="00CF626A" w:rsidRPr="001531CD" w:rsidRDefault="00CF626A">
      <w:pPr>
        <w:pStyle w:val="1"/>
      </w:pPr>
      <w:r w:rsidRPr="001531CD">
        <w:t>7.</w:t>
      </w:r>
      <w:r w:rsidRPr="001531CD">
        <w:tab/>
        <w:t>the estimated quantity and type of agricultural commodities and products to be used by applicant in producing ethanol;</w:t>
      </w:r>
    </w:p>
    <w:p w14:paraId="7CF8684E" w14:textId="77777777" w:rsidR="00CF626A" w:rsidRPr="001531CD" w:rsidRDefault="00CF626A">
      <w:pPr>
        <w:pStyle w:val="1"/>
      </w:pPr>
      <w:r w:rsidRPr="001531CD">
        <w:t>8.</w:t>
      </w:r>
      <w:r w:rsidRPr="001531CD">
        <w:tab/>
        <w:t>the estimated or actual capital invested or proposed to be invested by the applicant in the construction and establishment of the permanent ethanol facility;</w:t>
      </w:r>
    </w:p>
    <w:p w14:paraId="60C68114" w14:textId="77777777" w:rsidR="00CF626A" w:rsidRPr="001531CD" w:rsidRDefault="00CF626A">
      <w:pPr>
        <w:pStyle w:val="1"/>
      </w:pPr>
      <w:r w:rsidRPr="001531CD">
        <w:t>9.</w:t>
      </w:r>
      <w:r w:rsidRPr="001531CD">
        <w:tab/>
        <w:t>the maximum number of gallons of ethanol to be produced annually for use in gasohol by the applicant;</w:t>
      </w:r>
    </w:p>
    <w:p w14:paraId="3A52C923" w14:textId="77777777" w:rsidR="00CF626A" w:rsidRPr="001531CD" w:rsidRDefault="00CF626A">
      <w:pPr>
        <w:pStyle w:val="1"/>
      </w:pPr>
      <w:r w:rsidRPr="001531CD">
        <w:t>10.</w:t>
      </w:r>
      <w:r w:rsidRPr="001531CD">
        <w:tab/>
        <w:t>the character and professional competence, especially the managerial expertise and experience in the ethanol industry, of the applicant, principal stockholders, owners and managers;</w:t>
      </w:r>
    </w:p>
    <w:p w14:paraId="14FB1AA2" w14:textId="77777777" w:rsidR="00CF626A" w:rsidRPr="001531CD" w:rsidRDefault="00CF626A">
      <w:pPr>
        <w:pStyle w:val="1"/>
      </w:pPr>
      <w:r w:rsidRPr="001531CD">
        <w:t>11.</w:t>
      </w:r>
      <w:r w:rsidRPr="001531CD">
        <w:tab/>
        <w:t>the anticipated economic impact on Louisiana resulting from the purchase of supplies and materials, employment and other activities related to the construction and operation of the proposed ethanol facility.</w:t>
      </w:r>
    </w:p>
    <w:p w14:paraId="0039874E" w14:textId="77777777" w:rsidR="00CF626A" w:rsidRPr="001531CD" w:rsidRDefault="00CF626A">
      <w:pPr>
        <w:pStyle w:val="A"/>
      </w:pPr>
      <w:r w:rsidRPr="001531CD">
        <w:lastRenderedPageBreak/>
        <w:t>B.</w:t>
      </w:r>
      <w:r w:rsidRPr="001531CD">
        <w:tab/>
        <w:t>Form and Contents of Application by Certified Market Participants. Applications for designation as a certified market participant must be filed at the times provided by board action. The following information must be furnished on the application form provided by the board to wit:</w:t>
      </w:r>
    </w:p>
    <w:p w14:paraId="3A0875A1" w14:textId="77777777" w:rsidR="00CF626A" w:rsidRPr="001531CD" w:rsidRDefault="00CF626A">
      <w:pPr>
        <w:pStyle w:val="1"/>
      </w:pPr>
      <w:r w:rsidRPr="001531CD">
        <w:t>1.</w:t>
      </w:r>
      <w:r w:rsidRPr="001531CD">
        <w:tab/>
        <w:t>date of submission;</w:t>
      </w:r>
    </w:p>
    <w:p w14:paraId="71958777" w14:textId="77777777" w:rsidR="00CF626A" w:rsidRPr="001531CD" w:rsidRDefault="00CF626A">
      <w:pPr>
        <w:pStyle w:val="1"/>
      </w:pPr>
      <w:r w:rsidRPr="001531CD">
        <w:t>2.</w:t>
      </w:r>
      <w:r w:rsidRPr="001531CD">
        <w:tab/>
        <w:t>nature of applicant's business:</w:t>
      </w:r>
    </w:p>
    <w:p w14:paraId="107AD0A0" w14:textId="77777777" w:rsidR="00CF626A" w:rsidRPr="001531CD" w:rsidRDefault="00CF626A">
      <w:pPr>
        <w:pStyle w:val="a0"/>
      </w:pPr>
      <w:r w:rsidRPr="001531CD">
        <w:t>a.</w:t>
      </w:r>
      <w:r w:rsidRPr="001531CD">
        <w:tab/>
        <w:t>sole proprietorship;</w:t>
      </w:r>
    </w:p>
    <w:p w14:paraId="52A24F48" w14:textId="77777777" w:rsidR="00CF626A" w:rsidRPr="001531CD" w:rsidRDefault="00CF626A">
      <w:pPr>
        <w:pStyle w:val="a0"/>
      </w:pPr>
      <w:r w:rsidRPr="001531CD">
        <w:t>b.</w:t>
      </w:r>
      <w:r w:rsidRPr="001531CD">
        <w:tab/>
        <w:t>partnership;</w:t>
      </w:r>
    </w:p>
    <w:p w14:paraId="37C87019" w14:textId="77777777" w:rsidR="00CF626A" w:rsidRPr="001531CD" w:rsidRDefault="00CF626A">
      <w:pPr>
        <w:pStyle w:val="a0"/>
      </w:pPr>
      <w:r w:rsidRPr="001531CD">
        <w:t>c.</w:t>
      </w:r>
      <w:r w:rsidRPr="001531CD">
        <w:tab/>
        <w:t>corporation;</w:t>
      </w:r>
    </w:p>
    <w:p w14:paraId="1F813AFD" w14:textId="77777777" w:rsidR="00CF626A" w:rsidRPr="001531CD" w:rsidRDefault="00CF626A">
      <w:pPr>
        <w:pStyle w:val="a0"/>
      </w:pPr>
      <w:r w:rsidRPr="001531CD">
        <w:t>d.</w:t>
      </w:r>
      <w:r w:rsidRPr="001531CD">
        <w:tab/>
        <w:t>association;</w:t>
      </w:r>
    </w:p>
    <w:p w14:paraId="3BC0AF76" w14:textId="77777777" w:rsidR="00CF626A" w:rsidRPr="001531CD" w:rsidRDefault="00CF626A">
      <w:pPr>
        <w:pStyle w:val="a0"/>
      </w:pPr>
      <w:r w:rsidRPr="001531CD">
        <w:t>e.</w:t>
      </w:r>
      <w:r w:rsidRPr="001531CD">
        <w:tab/>
        <w:t>agricultural cooperative; or</w:t>
      </w:r>
    </w:p>
    <w:p w14:paraId="6A181A81" w14:textId="77777777" w:rsidR="00CF626A" w:rsidRPr="001531CD" w:rsidRDefault="00CF626A">
      <w:pPr>
        <w:pStyle w:val="a0"/>
      </w:pPr>
      <w:r w:rsidRPr="001531CD">
        <w:t>f.</w:t>
      </w:r>
      <w:r w:rsidRPr="001531CD">
        <w:tab/>
        <w:t>other;</w:t>
      </w:r>
    </w:p>
    <w:p w14:paraId="39BDC27F" w14:textId="77777777" w:rsidR="00CF626A" w:rsidRPr="001531CD" w:rsidRDefault="00CF626A">
      <w:pPr>
        <w:pStyle w:val="1"/>
      </w:pPr>
      <w:r w:rsidRPr="001531CD">
        <w:t>3.</w:t>
      </w:r>
      <w:r w:rsidRPr="001531CD">
        <w:tab/>
        <w:t>name under which the business will operate;</w:t>
      </w:r>
    </w:p>
    <w:p w14:paraId="3FDB50BD" w14:textId="77777777" w:rsidR="00CF626A" w:rsidRPr="001531CD" w:rsidRDefault="00CF626A">
      <w:pPr>
        <w:pStyle w:val="1"/>
      </w:pPr>
      <w:r w:rsidRPr="001531CD">
        <w:t>4.</w:t>
      </w:r>
      <w:r w:rsidRPr="001531CD">
        <w:tab/>
        <w:t>address of the principal office of the business, either in-state or out-of-state, including mailing address, physical location and phone number;</w:t>
      </w:r>
    </w:p>
    <w:p w14:paraId="5BB52AE4" w14:textId="77777777" w:rsidR="00CF626A" w:rsidRPr="001531CD" w:rsidRDefault="00CF626A">
      <w:pPr>
        <w:pStyle w:val="1"/>
      </w:pPr>
      <w:r w:rsidRPr="001531CD">
        <w:t>5.</w:t>
      </w:r>
      <w:r w:rsidRPr="001531CD">
        <w:tab/>
        <w:t>the name, address and telephone number of the authorized agent;</w:t>
      </w:r>
    </w:p>
    <w:p w14:paraId="503B4A90" w14:textId="77777777" w:rsidR="00CF626A" w:rsidRPr="001531CD" w:rsidRDefault="00CF626A">
      <w:pPr>
        <w:pStyle w:val="1"/>
      </w:pPr>
      <w:r w:rsidRPr="001531CD">
        <w:t>6.</w:t>
      </w:r>
      <w:r w:rsidRPr="001531CD">
        <w:tab/>
        <w:t>if the entity is a partnership, the name, address and interest of all partners;</w:t>
      </w:r>
    </w:p>
    <w:p w14:paraId="0DA85912" w14:textId="77777777" w:rsidR="00CF626A" w:rsidRPr="001531CD" w:rsidRDefault="00CF626A">
      <w:pPr>
        <w:pStyle w:val="1"/>
      </w:pPr>
      <w:r w:rsidRPr="001531CD">
        <w:t>7.</w:t>
      </w:r>
      <w:r w:rsidRPr="001531CD">
        <w:tab/>
        <w:t>if the entity is a corporation, the name and address of all officers and directors;</w:t>
      </w:r>
    </w:p>
    <w:p w14:paraId="0E6DCA74" w14:textId="77777777" w:rsidR="00CF626A" w:rsidRPr="001531CD" w:rsidRDefault="00CF626A">
      <w:pPr>
        <w:pStyle w:val="1"/>
      </w:pPr>
      <w:r w:rsidRPr="001531CD">
        <w:t>8.</w:t>
      </w:r>
      <w:r w:rsidRPr="001531CD">
        <w:tab/>
        <w:t>if the entity is an association, including an agricultural cooperative, the name and address of all members of the board of directors;</w:t>
      </w:r>
    </w:p>
    <w:p w14:paraId="24FC7F7C" w14:textId="77777777" w:rsidR="00CF626A" w:rsidRPr="001531CD" w:rsidRDefault="00CF626A">
      <w:pPr>
        <w:pStyle w:val="1"/>
      </w:pPr>
      <w:r w:rsidRPr="001531CD">
        <w:t>9.</w:t>
      </w:r>
      <w:r w:rsidRPr="001531CD">
        <w:tab/>
        <w:t>if not a partnership, corporation or association, provide the following information:</w:t>
      </w:r>
    </w:p>
    <w:p w14:paraId="05B38C7F" w14:textId="77777777" w:rsidR="00CF626A" w:rsidRPr="001531CD" w:rsidRDefault="00CF626A">
      <w:pPr>
        <w:pStyle w:val="a0"/>
      </w:pPr>
      <w:r w:rsidRPr="001531CD">
        <w:t>a.</w:t>
      </w:r>
      <w:r w:rsidRPr="001531CD">
        <w:tab/>
        <w:t>name of the owner(s);</w:t>
      </w:r>
    </w:p>
    <w:p w14:paraId="54218C72" w14:textId="77777777" w:rsidR="00CF626A" w:rsidRPr="001531CD" w:rsidRDefault="00CF626A">
      <w:pPr>
        <w:pStyle w:val="a0"/>
      </w:pPr>
      <w:r w:rsidRPr="001531CD">
        <w:t>b.</w:t>
      </w:r>
      <w:r w:rsidRPr="001531CD">
        <w:tab/>
        <w:t>address of the principal office; and</w:t>
      </w:r>
    </w:p>
    <w:p w14:paraId="2615E6FA" w14:textId="77777777" w:rsidR="00CF626A" w:rsidRPr="001531CD" w:rsidRDefault="00CF626A">
      <w:pPr>
        <w:pStyle w:val="a0"/>
      </w:pPr>
      <w:r w:rsidRPr="001531CD">
        <w:t>c.</w:t>
      </w:r>
      <w:r w:rsidRPr="001531CD">
        <w:tab/>
        <w:t>provide name, address and phone number of all designated authorized agents;</w:t>
      </w:r>
    </w:p>
    <w:p w14:paraId="314ADE70" w14:textId="77777777" w:rsidR="00CF626A" w:rsidRPr="001531CD" w:rsidRDefault="00CF626A">
      <w:pPr>
        <w:pStyle w:val="1"/>
      </w:pPr>
      <w:r w:rsidRPr="001531CD">
        <w:t>10.</w:t>
      </w:r>
      <w:r w:rsidRPr="001531CD">
        <w:tab/>
        <w:t>status of the facility in which the business will be operated:</w:t>
      </w:r>
    </w:p>
    <w:p w14:paraId="20442B75" w14:textId="77777777" w:rsidR="00CF626A" w:rsidRPr="001531CD" w:rsidRDefault="00CF626A">
      <w:pPr>
        <w:pStyle w:val="a0"/>
      </w:pPr>
      <w:r w:rsidRPr="001531CD">
        <w:t>a.</w:t>
      </w:r>
      <w:r w:rsidRPr="001531CD">
        <w:tab/>
        <w:t>owned by applicant;</w:t>
      </w:r>
    </w:p>
    <w:p w14:paraId="7243E6E4" w14:textId="77777777" w:rsidR="00CF626A" w:rsidRPr="001531CD" w:rsidRDefault="00CF626A">
      <w:pPr>
        <w:pStyle w:val="a0"/>
      </w:pPr>
      <w:r w:rsidRPr="001531CD">
        <w:t>b.</w:t>
      </w:r>
      <w:r w:rsidRPr="001531CD">
        <w:tab/>
        <w:t>leased by applicant (short term or long term);</w:t>
      </w:r>
    </w:p>
    <w:p w14:paraId="31FDAC4B" w14:textId="77777777" w:rsidR="00CF626A" w:rsidRPr="001531CD" w:rsidRDefault="00CF626A">
      <w:pPr>
        <w:pStyle w:val="a0"/>
      </w:pPr>
      <w:r w:rsidRPr="001531CD">
        <w:t>c.</w:t>
      </w:r>
      <w:r w:rsidRPr="001531CD">
        <w:tab/>
        <w:t>rented by applicant and name and address of owner; or</w:t>
      </w:r>
    </w:p>
    <w:p w14:paraId="6BC78FA3" w14:textId="77777777" w:rsidR="00CF626A" w:rsidRPr="001531CD" w:rsidRDefault="00CF626A">
      <w:pPr>
        <w:pStyle w:val="a0"/>
      </w:pPr>
      <w:r w:rsidRPr="001531CD">
        <w:t>d.</w:t>
      </w:r>
      <w:r w:rsidRPr="001531CD">
        <w:tab/>
        <w:t>other;</w:t>
      </w:r>
    </w:p>
    <w:p w14:paraId="61DE4A9C" w14:textId="77777777" w:rsidR="00CF626A" w:rsidRPr="001531CD" w:rsidRDefault="00CF626A">
      <w:pPr>
        <w:pStyle w:val="1"/>
      </w:pPr>
      <w:r w:rsidRPr="001531CD">
        <w:t>11.</w:t>
      </w:r>
      <w:r w:rsidRPr="001531CD">
        <w:tab/>
        <w:t>type and quantity of agricultural commodities or products that the applicant estimates will be used to make ethanol;</w:t>
      </w:r>
    </w:p>
    <w:p w14:paraId="27E1402E" w14:textId="77777777" w:rsidR="00CF626A" w:rsidRPr="001531CD" w:rsidRDefault="00CF626A">
      <w:pPr>
        <w:pStyle w:val="1"/>
      </w:pPr>
      <w:r w:rsidRPr="001531CD">
        <w:t>12.</w:t>
      </w:r>
      <w:r w:rsidRPr="001531CD">
        <w:tab/>
        <w:t>the number of temporary and permanent jobs created by the applicant's ethanol facility;</w:t>
      </w:r>
    </w:p>
    <w:p w14:paraId="0767E1B5" w14:textId="77777777" w:rsidR="00CF626A" w:rsidRPr="001531CD" w:rsidRDefault="00CF626A">
      <w:pPr>
        <w:pStyle w:val="1"/>
      </w:pPr>
      <w:r w:rsidRPr="001531CD">
        <w:t>13.</w:t>
      </w:r>
      <w:r w:rsidRPr="001531CD">
        <w:tab/>
        <w:t>the amount of capital invested or proposed to be invested in the construction and establishment of the ethanol facility;</w:t>
      </w:r>
    </w:p>
    <w:p w14:paraId="374A8AB0" w14:textId="77777777" w:rsidR="00CF626A" w:rsidRPr="001531CD" w:rsidRDefault="00CF626A">
      <w:pPr>
        <w:pStyle w:val="1"/>
      </w:pPr>
      <w:r w:rsidRPr="001531CD">
        <w:t>14.</w:t>
      </w:r>
      <w:r w:rsidRPr="001531CD">
        <w:tab/>
        <w:t>the maximum number of gallons of ethanol to be produced annually by the applicant;</w:t>
      </w:r>
    </w:p>
    <w:p w14:paraId="41B742AD" w14:textId="77777777" w:rsidR="00CF626A" w:rsidRPr="001531CD" w:rsidRDefault="00CF626A">
      <w:pPr>
        <w:pStyle w:val="1"/>
      </w:pPr>
      <w:r w:rsidRPr="001531CD">
        <w:t>15.</w:t>
      </w:r>
      <w:r w:rsidRPr="001531CD">
        <w:tab/>
        <w:t>the managerial expertise and experience in the ethanol industry of the applicant, principal stockholders, owners and managers;</w:t>
      </w:r>
    </w:p>
    <w:p w14:paraId="2E85BE4A" w14:textId="77777777" w:rsidR="00CF626A" w:rsidRPr="001531CD" w:rsidRDefault="00CF626A">
      <w:pPr>
        <w:pStyle w:val="1"/>
      </w:pPr>
      <w:r w:rsidRPr="001531CD">
        <w:t>16.</w:t>
      </w:r>
      <w:r w:rsidRPr="001531CD">
        <w:tab/>
        <w:t>the applicant's federal taxpayer identification number and the number and date of the license issued by the U.S. Dept. of Treasury, Alcohol, Tobacco and Firearms;</w:t>
      </w:r>
    </w:p>
    <w:p w14:paraId="5BE1F5BF" w14:textId="77777777" w:rsidR="00CF626A" w:rsidRPr="001531CD" w:rsidRDefault="00CF626A">
      <w:pPr>
        <w:pStyle w:val="1"/>
      </w:pPr>
      <w:r w:rsidRPr="001531CD">
        <w:t>17.</w:t>
      </w:r>
      <w:r w:rsidRPr="001531CD">
        <w:tab/>
        <w:t>method of assurance for guaranteed performance of the producer contracts and agency contracts;</w:t>
      </w:r>
    </w:p>
    <w:p w14:paraId="069D8A90" w14:textId="77777777" w:rsidR="00CF626A" w:rsidRPr="001531CD" w:rsidRDefault="00CF626A">
      <w:pPr>
        <w:pStyle w:val="1"/>
      </w:pPr>
      <w:r w:rsidRPr="001531CD">
        <w:t>18.</w:t>
      </w:r>
      <w:r w:rsidRPr="001531CD">
        <w:tab/>
        <w:t>name, address and telephone number of the authorized agent;</w:t>
      </w:r>
    </w:p>
    <w:p w14:paraId="64D9788C" w14:textId="77777777" w:rsidR="00CF626A" w:rsidRPr="001531CD" w:rsidRDefault="00CF626A">
      <w:pPr>
        <w:pStyle w:val="1"/>
      </w:pPr>
      <w:r w:rsidRPr="001531CD">
        <w:t>19.</w:t>
      </w:r>
      <w:r w:rsidRPr="001531CD">
        <w:tab/>
        <w:t>if the business was previously operated under another name or ownership, show the name and address of previous business;</w:t>
      </w:r>
    </w:p>
    <w:p w14:paraId="05F28295" w14:textId="77777777" w:rsidR="00CF626A" w:rsidRPr="001531CD" w:rsidRDefault="00CF626A">
      <w:pPr>
        <w:pStyle w:val="1"/>
      </w:pPr>
      <w:r w:rsidRPr="001531CD">
        <w:t>20.</w:t>
      </w:r>
      <w:r w:rsidRPr="001531CD">
        <w:tab/>
        <w:t>an affidavit signed by the principal stockholders, owners and managers appointing an authorized agent and acknowledging that the applicant will comply with the requirements of the Act, the board's rules and regulations and all provisions of their cooperative agreement;</w:t>
      </w:r>
    </w:p>
    <w:p w14:paraId="43883AF0" w14:textId="77777777" w:rsidR="00CF626A" w:rsidRPr="001531CD" w:rsidRDefault="00CF626A">
      <w:pPr>
        <w:pStyle w:val="1"/>
      </w:pPr>
      <w:r w:rsidRPr="001531CD">
        <w:t>21.</w:t>
      </w:r>
      <w:r w:rsidRPr="001531CD">
        <w:tab/>
        <w:t>an affidavit certifying that all information and representations contained in the application and in all required attachments are true and correct;</w:t>
      </w:r>
    </w:p>
    <w:p w14:paraId="5C49D47D" w14:textId="77777777" w:rsidR="00CF626A" w:rsidRPr="001531CD" w:rsidRDefault="00CF626A">
      <w:pPr>
        <w:pStyle w:val="1"/>
      </w:pPr>
      <w:r w:rsidRPr="001531CD">
        <w:t>22.</w:t>
      </w:r>
      <w:r w:rsidRPr="001531CD">
        <w:tab/>
        <w:t>affidavits signed by the applicant's authorized agent, the principal stockholders, owners and managers authorizing the commissioner to perform credit investigations and all background checks that the board deems appropriate to determine the character and professional competency, especially the managerial expertise and experience in the ethanol industry of the applicant and its principal stockholders, owners and managers;</w:t>
      </w:r>
    </w:p>
    <w:p w14:paraId="1769AE4F" w14:textId="77777777" w:rsidR="00CF626A" w:rsidRPr="001531CD" w:rsidRDefault="00CF626A">
      <w:pPr>
        <w:pStyle w:val="1"/>
      </w:pPr>
      <w:r w:rsidRPr="001531CD">
        <w:t>23.</w:t>
      </w:r>
      <w:r w:rsidRPr="001531CD">
        <w:tab/>
        <w:t>the names, addresses, phone numbers, birth dates, social security numbers and work experience in the ethanol industry, of the applicant's principal stockholders, owners and managers;</w:t>
      </w:r>
    </w:p>
    <w:p w14:paraId="4C50B995" w14:textId="77777777" w:rsidR="00CF626A" w:rsidRPr="001531CD" w:rsidRDefault="00CF626A">
      <w:pPr>
        <w:pStyle w:val="1"/>
      </w:pPr>
      <w:r w:rsidRPr="001531CD">
        <w:t>24.</w:t>
      </w:r>
      <w:r w:rsidRPr="001531CD">
        <w:tab/>
        <w:t>affidavit signed by the applicant's authorized agent, the principal stockholders, owners and managers attesting that they have never been convicted of a felony.</w:t>
      </w:r>
    </w:p>
    <w:p w14:paraId="4FEC5B66" w14:textId="77777777" w:rsidR="00CF626A" w:rsidRPr="001531CD" w:rsidRDefault="00CF626A">
      <w:pPr>
        <w:pStyle w:val="A"/>
      </w:pPr>
      <w:r w:rsidRPr="001531CD">
        <w:t>C.</w:t>
      </w:r>
      <w:r w:rsidRPr="001531CD">
        <w:tab/>
        <w:t>Financial Information</w:t>
      </w:r>
    </w:p>
    <w:p w14:paraId="397B42D4" w14:textId="77777777" w:rsidR="00CF626A" w:rsidRPr="001531CD" w:rsidRDefault="00CF626A">
      <w:pPr>
        <w:pStyle w:val="1"/>
      </w:pPr>
      <w:r w:rsidRPr="001531CD">
        <w:t>1.</w:t>
      </w:r>
      <w:r w:rsidRPr="001531CD">
        <w:tab/>
        <w:t>In the application for initial designation, each applicant shall sign an affidavit of authorization, certification and compliance. This affidavit shall authorize the commissioner to inspect and audit all financial and production records of the applicant. Furthermore, this affidavit shall certify that the applicant will maintain all financial and production records in the form and format required by the Act, rules and certified market participant contract and shall provide copies to the commissioner within five working days of his written request.</w:t>
      </w:r>
    </w:p>
    <w:p w14:paraId="48BF92A3" w14:textId="77777777" w:rsidR="00CF626A" w:rsidRPr="001531CD" w:rsidRDefault="00CF626A">
      <w:pPr>
        <w:pStyle w:val="1"/>
      </w:pPr>
      <w:r w:rsidRPr="001531CD">
        <w:lastRenderedPageBreak/>
        <w:t>2.</w:t>
      </w:r>
      <w:r w:rsidRPr="001531CD">
        <w:tab/>
        <w:t>All financial records received by the commissioner shall be used for audit and enforcement purposes and therefore shall be confidential information pursuant to the provisions of R.S. 3:3708(A) unless and until the financial records are introduced at an adjudicatory hearing of the board.</w:t>
      </w:r>
    </w:p>
    <w:p w14:paraId="786945F6" w14:textId="77777777" w:rsidR="00CF626A" w:rsidRPr="001531CD" w:rsidRDefault="00CF626A">
      <w:pPr>
        <w:pStyle w:val="1"/>
      </w:pPr>
      <w:r w:rsidRPr="001531CD">
        <w:t>3.</w:t>
      </w:r>
      <w:r w:rsidRPr="001531CD">
        <w:tab/>
        <w:t>The board shall consider any certified market participant confidential business plan only in executive session of the board pursuant to the requirements of R.S. 3:3708(A) and R.S. 42:6.1(A)(1)(2)(4) and (8).</w:t>
      </w:r>
    </w:p>
    <w:p w14:paraId="79ADEAE5" w14:textId="77777777" w:rsidR="00CF626A" w:rsidRPr="001531CD" w:rsidRDefault="00CF626A">
      <w:pPr>
        <w:pStyle w:val="1"/>
      </w:pPr>
      <w:r w:rsidRPr="001531CD">
        <w:t>4.</w:t>
      </w:r>
      <w:r w:rsidRPr="001531CD">
        <w:tab/>
        <w:t>The financial statement must be maintained and prepared in accordance with generally accepted accounting principles and must include all producer and agency contracts.</w:t>
      </w:r>
    </w:p>
    <w:p w14:paraId="20194F33" w14:textId="77777777" w:rsidR="00CF626A" w:rsidRPr="001531CD" w:rsidRDefault="00CF626A">
      <w:pPr>
        <w:pStyle w:val="a0"/>
      </w:pPr>
      <w:r w:rsidRPr="001531CD">
        <w:t>a.</w:t>
      </w:r>
      <w:r w:rsidRPr="001531CD">
        <w:tab/>
        <w:t>The financial statement must contain:</w:t>
      </w:r>
    </w:p>
    <w:p w14:paraId="060022AF" w14:textId="77777777" w:rsidR="00CF626A" w:rsidRPr="001531CD" w:rsidRDefault="00CF626A">
      <w:pPr>
        <w:pStyle w:val="i0"/>
        <w:outlineLvl w:val="6"/>
      </w:pPr>
      <w:r w:rsidRPr="001531CD">
        <w:tab/>
        <w:t>i.</w:t>
      </w:r>
      <w:r w:rsidRPr="001531CD">
        <w:tab/>
        <w:t>a balance sheet;</w:t>
      </w:r>
    </w:p>
    <w:p w14:paraId="4E3F4E2B" w14:textId="77777777" w:rsidR="00CF626A" w:rsidRPr="001531CD" w:rsidRDefault="00CF626A">
      <w:pPr>
        <w:pStyle w:val="i0"/>
        <w:outlineLvl w:val="6"/>
      </w:pPr>
      <w:r w:rsidRPr="001531CD">
        <w:tab/>
        <w:t>ii.</w:t>
      </w:r>
      <w:r w:rsidRPr="001531CD">
        <w:tab/>
        <w:t>a statement of income (profit and loss);</w:t>
      </w:r>
    </w:p>
    <w:p w14:paraId="6DA6A31B" w14:textId="77777777" w:rsidR="00CF626A" w:rsidRPr="001531CD" w:rsidRDefault="00CF626A">
      <w:pPr>
        <w:pStyle w:val="i0"/>
        <w:outlineLvl w:val="6"/>
      </w:pPr>
      <w:r w:rsidRPr="001531CD">
        <w:tab/>
        <w:t>iii.</w:t>
      </w:r>
      <w:r w:rsidRPr="001531CD">
        <w:tab/>
        <w:t>a statement of retained earnings;</w:t>
      </w:r>
    </w:p>
    <w:p w14:paraId="2CCC3AB2" w14:textId="77777777" w:rsidR="00CF626A" w:rsidRPr="001531CD" w:rsidRDefault="00CF626A">
      <w:pPr>
        <w:pStyle w:val="i0"/>
        <w:outlineLvl w:val="6"/>
      </w:pPr>
      <w:r w:rsidRPr="001531CD">
        <w:tab/>
        <w:t>iv.</w:t>
      </w:r>
      <w:r w:rsidRPr="001531CD">
        <w:tab/>
        <w:t>statement of changes in financial position;</w:t>
      </w:r>
    </w:p>
    <w:p w14:paraId="31F48A1E" w14:textId="77777777" w:rsidR="00CF626A" w:rsidRPr="001531CD" w:rsidRDefault="00CF626A">
      <w:pPr>
        <w:pStyle w:val="i0"/>
        <w:outlineLvl w:val="6"/>
      </w:pPr>
      <w:r w:rsidRPr="001531CD">
        <w:tab/>
        <w:t>v.</w:t>
      </w:r>
      <w:r w:rsidRPr="001531CD">
        <w:tab/>
        <w:t>fixed assets must be presented at cost; and</w:t>
      </w:r>
    </w:p>
    <w:p w14:paraId="0D63775E" w14:textId="77777777" w:rsidR="00CF626A" w:rsidRPr="001531CD" w:rsidRDefault="00CF626A">
      <w:pPr>
        <w:pStyle w:val="i0"/>
        <w:outlineLvl w:val="6"/>
      </w:pPr>
      <w:r w:rsidRPr="001531CD">
        <w:tab/>
        <w:t>vi.</w:t>
      </w:r>
      <w:r w:rsidRPr="001531CD">
        <w:tab/>
        <w:t>a certificate by the applicant or the chief executive officer of the applicant, in the form of an authentic act, that the financial statement accurately reflects the financial condition of the applicant for the period covered in the financial statement. Whenever the certificate is executed by a representative of the applicant other than the owner or president, the board of directors must adopt a resolution authorizing such representative to execute the certificate.</w:t>
      </w:r>
    </w:p>
    <w:p w14:paraId="3BE71C27" w14:textId="77777777" w:rsidR="00CF626A" w:rsidRPr="001531CD" w:rsidRDefault="00CF626A">
      <w:pPr>
        <w:pStyle w:val="a0"/>
      </w:pPr>
      <w:r w:rsidRPr="001531CD">
        <w:t>b.</w:t>
      </w:r>
      <w:r w:rsidRPr="001531CD">
        <w:tab/>
        <w:t>Multi-state and/or multi-national corporations with subsidiary corporations or divisions located in Louisiana must either:</w:t>
      </w:r>
    </w:p>
    <w:p w14:paraId="2C2FD731" w14:textId="77777777" w:rsidR="00CF626A" w:rsidRPr="001531CD" w:rsidRDefault="00CF626A">
      <w:pPr>
        <w:pStyle w:val="i0"/>
        <w:outlineLvl w:val="6"/>
      </w:pPr>
      <w:r w:rsidRPr="001531CD">
        <w:tab/>
        <w:t>i.</w:t>
      </w:r>
      <w:r w:rsidRPr="001531CD">
        <w:tab/>
        <w:t>maintain in their principal office in Louisiana a fully audited financial statement showing the position of the parent company, together with sufficient financial information pertaining to the Louisiana subsidiary, to reasonably reflect the corporation's ability to satisfy all obligations to Louisiana producers; or</w:t>
      </w:r>
    </w:p>
    <w:p w14:paraId="425F302B" w14:textId="77777777" w:rsidR="00CF626A" w:rsidRPr="001531CD" w:rsidRDefault="00CF626A">
      <w:pPr>
        <w:pStyle w:val="i0"/>
        <w:outlineLvl w:val="6"/>
      </w:pPr>
      <w:r w:rsidRPr="001531CD">
        <w:tab/>
        <w:t>ii.</w:t>
      </w:r>
      <w:r w:rsidRPr="001531CD">
        <w:tab/>
        <w:t>pay all expenses necessary for performance of a full audit, at one or more locations where pertinent corporation records are maintained, by the department's central audit committee.</w:t>
      </w:r>
    </w:p>
    <w:p w14:paraId="58C7B265" w14:textId="77777777" w:rsidR="00CF626A" w:rsidRPr="001531CD" w:rsidRDefault="00CF626A">
      <w:pPr>
        <w:pStyle w:val="1"/>
      </w:pPr>
      <w:r w:rsidRPr="001531CD">
        <w:t>5.</w:t>
      </w:r>
      <w:r w:rsidRPr="001531CD">
        <w:tab/>
        <w:t>After January 1, 1987, each certified market participant must maintain in their principal office in Louisiana, a financial statement conforming to the requirements of this rule within 120 days after the close of the certified market participant's fiscal year.</w:t>
      </w:r>
    </w:p>
    <w:p w14:paraId="00139F31" w14:textId="77777777" w:rsidR="00CF626A" w:rsidRPr="001531CD" w:rsidRDefault="00CF626A">
      <w:pPr>
        <w:pStyle w:val="A"/>
      </w:pPr>
      <w:r w:rsidRPr="001531CD">
        <w:t>D.</w:t>
      </w:r>
      <w:r w:rsidRPr="001531CD">
        <w:tab/>
        <w:t>Procedures for Approval of Designation of Certified Market Participants</w:t>
      </w:r>
    </w:p>
    <w:p w14:paraId="0BCECDC1" w14:textId="77777777" w:rsidR="00CF626A" w:rsidRPr="001531CD" w:rsidRDefault="00CF626A">
      <w:pPr>
        <w:pStyle w:val="1"/>
      </w:pPr>
      <w:r w:rsidRPr="001531CD">
        <w:t>1.</w:t>
      </w:r>
      <w:r w:rsidRPr="001531CD">
        <w:tab/>
        <w:t>The board must vote in open public meeting on each application.</w:t>
      </w:r>
    </w:p>
    <w:p w14:paraId="17B82C60" w14:textId="77777777" w:rsidR="00CF626A" w:rsidRPr="001531CD" w:rsidRDefault="00CF626A">
      <w:pPr>
        <w:pStyle w:val="1"/>
      </w:pPr>
      <w:r w:rsidRPr="001531CD">
        <w:t>2.</w:t>
      </w:r>
      <w:r w:rsidRPr="001531CD">
        <w:tab/>
        <w:t>Six affirmative votes shall be required to approve the designation of any certified market participant.</w:t>
      </w:r>
    </w:p>
    <w:p w14:paraId="0F8B160B" w14:textId="77777777" w:rsidR="00CF626A" w:rsidRPr="001531CD" w:rsidRDefault="00CF626A">
      <w:pPr>
        <w:pStyle w:val="1"/>
      </w:pPr>
      <w:r w:rsidRPr="001531CD">
        <w:t>3.</w:t>
      </w:r>
      <w:r w:rsidRPr="001531CD">
        <w:tab/>
        <w:t>At a meeting held to consider an application, the board, at its discretion, may permit the introduction of written materials or an oral presentation by the applicant or their representative.</w:t>
      </w:r>
    </w:p>
    <w:p w14:paraId="65D969FF" w14:textId="77777777" w:rsidR="00CF626A" w:rsidRPr="001531CD" w:rsidRDefault="00CF626A">
      <w:pPr>
        <w:pStyle w:val="A"/>
      </w:pPr>
      <w:r w:rsidRPr="001531CD">
        <w:t>E.</w:t>
      </w:r>
      <w:r w:rsidRPr="001531CD">
        <w:tab/>
        <w:t>Official Designation</w:t>
      </w:r>
    </w:p>
    <w:p w14:paraId="60C446A7" w14:textId="77777777" w:rsidR="00CF626A" w:rsidRPr="001531CD" w:rsidRDefault="00CF626A">
      <w:pPr>
        <w:pStyle w:val="1"/>
      </w:pPr>
      <w:r w:rsidRPr="001531CD">
        <w:t>1.</w:t>
      </w:r>
      <w:r w:rsidRPr="001531CD">
        <w:tab/>
        <w:t>After the board has voted to designate an applicant as a certified market participant, the commissioner shall sign and issue, in the name of the board, an official document evidencing the designation.</w:t>
      </w:r>
    </w:p>
    <w:p w14:paraId="64D75553" w14:textId="77777777" w:rsidR="00CF626A" w:rsidRPr="001531CD" w:rsidRDefault="00CF626A">
      <w:pPr>
        <w:pStyle w:val="1"/>
      </w:pPr>
      <w:r w:rsidRPr="001531CD">
        <w:t>2.</w:t>
      </w:r>
      <w:r w:rsidRPr="001531CD">
        <w:tab/>
        <w:t>All documents indicating a designation shall contain the following:</w:t>
      </w:r>
    </w:p>
    <w:p w14:paraId="33F13721" w14:textId="77777777" w:rsidR="00CF626A" w:rsidRPr="001531CD" w:rsidRDefault="00CF626A">
      <w:pPr>
        <w:pStyle w:val="a0"/>
      </w:pPr>
      <w:r w:rsidRPr="001531CD">
        <w:t>a.</w:t>
      </w:r>
      <w:r w:rsidRPr="001531CD">
        <w:tab/>
        <w:t>name and address of the certified market participant;</w:t>
      </w:r>
    </w:p>
    <w:p w14:paraId="47DCCEFF" w14:textId="77777777" w:rsidR="00CF626A" w:rsidRPr="001531CD" w:rsidRDefault="00CF626A">
      <w:pPr>
        <w:pStyle w:val="a0"/>
      </w:pPr>
      <w:r w:rsidRPr="001531CD">
        <w:t>b.</w:t>
      </w:r>
      <w:r w:rsidRPr="001531CD">
        <w:tab/>
        <w:t>location of the certified market participant's facilities; and</w:t>
      </w:r>
    </w:p>
    <w:p w14:paraId="7CFDD696" w14:textId="77777777" w:rsidR="00CF626A" w:rsidRPr="001531CD" w:rsidRDefault="00CF626A">
      <w:pPr>
        <w:pStyle w:val="a0"/>
      </w:pPr>
      <w:r w:rsidRPr="001531CD">
        <w:t>c.</w:t>
      </w:r>
      <w:r w:rsidRPr="001531CD">
        <w:tab/>
        <w:t>the maximum number of gallons of ethanol the certified market participant has been authorized to produce under the certified participant contract.</w:t>
      </w:r>
    </w:p>
    <w:p w14:paraId="311E4369" w14:textId="77777777" w:rsidR="00CF626A" w:rsidRPr="001531CD" w:rsidRDefault="00CF626A">
      <w:pPr>
        <w:pStyle w:val="AuthorityNote"/>
      </w:pPr>
      <w:r w:rsidRPr="001531CD">
        <w:t>AUTHORITY NOTE:</w:t>
      </w:r>
      <w:r w:rsidRPr="001531CD">
        <w:tab/>
        <w:t>Promulgated in accordance with R.S. 3:3704.</w:t>
      </w:r>
    </w:p>
    <w:p w14:paraId="710CE3FD"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12:505 (August 1986).</w:t>
      </w:r>
    </w:p>
    <w:p w14:paraId="169360BE" w14:textId="77777777" w:rsidR="00CF626A" w:rsidRPr="001531CD" w:rsidRDefault="00CF626A">
      <w:pPr>
        <w:pStyle w:val="Section"/>
      </w:pPr>
      <w:bookmarkStart w:id="3179" w:name="_Toc256755147"/>
      <w:bookmarkStart w:id="3180" w:name="_Toc224819549"/>
      <w:r w:rsidRPr="001531CD">
        <w:t>§109.</w:t>
      </w:r>
      <w:r w:rsidRPr="001531CD">
        <w:tab/>
        <w:t>Cooperative Endeavors and Agreements</w:t>
      </w:r>
      <w:bookmarkEnd w:id="3179"/>
      <w:bookmarkEnd w:id="3180"/>
    </w:p>
    <w:p w14:paraId="2EF30801" w14:textId="77777777" w:rsidR="00CF626A" w:rsidRPr="001531CD" w:rsidRDefault="00CF626A">
      <w:pPr>
        <w:pStyle w:val="A"/>
      </w:pPr>
      <w:r w:rsidRPr="001531CD">
        <w:t>A.</w:t>
      </w:r>
      <w:r w:rsidRPr="001531CD">
        <w:tab/>
        <w:t>Written Contractual Agreements</w:t>
      </w:r>
    </w:p>
    <w:p w14:paraId="3C86E3EF" w14:textId="77777777" w:rsidR="00CF626A" w:rsidRPr="001531CD" w:rsidRDefault="00CF626A">
      <w:pPr>
        <w:pStyle w:val="1"/>
      </w:pPr>
      <w:r w:rsidRPr="001531CD">
        <w:t>1.</w:t>
      </w:r>
      <w:r w:rsidRPr="001531CD">
        <w:tab/>
        <w:t>All certified market participants who seek incentive payments shall enter into a written certified market participant contract with the board, which shall be executed by the commissioner.</w:t>
      </w:r>
    </w:p>
    <w:p w14:paraId="1DE30BF0" w14:textId="77777777" w:rsidR="00CF626A" w:rsidRPr="001531CD" w:rsidRDefault="00CF626A">
      <w:pPr>
        <w:pStyle w:val="1"/>
      </w:pPr>
      <w:r w:rsidRPr="001531CD">
        <w:t>2.</w:t>
      </w:r>
      <w:r w:rsidRPr="001531CD">
        <w:tab/>
        <w:t>The certified market participant contract shall contain the following provisions, to wit:</w:t>
      </w:r>
    </w:p>
    <w:p w14:paraId="2A4DADF0" w14:textId="77777777" w:rsidR="00CF626A" w:rsidRPr="001531CD" w:rsidRDefault="00CF626A">
      <w:pPr>
        <w:pStyle w:val="a0"/>
      </w:pPr>
      <w:r w:rsidRPr="001531CD">
        <w:t>a.</w:t>
      </w:r>
      <w:r w:rsidRPr="001531CD">
        <w:tab/>
        <w:t>a statement of the purposes, goals and objectives of the agreement;</w:t>
      </w:r>
    </w:p>
    <w:p w14:paraId="01168910" w14:textId="77777777" w:rsidR="00CF626A" w:rsidRPr="001531CD" w:rsidRDefault="00CF626A">
      <w:pPr>
        <w:pStyle w:val="a0"/>
      </w:pPr>
      <w:r w:rsidRPr="001531CD">
        <w:t>b.</w:t>
      </w:r>
      <w:r w:rsidRPr="001531CD">
        <w:tab/>
        <w:t>the name of both parties;</w:t>
      </w:r>
    </w:p>
    <w:p w14:paraId="5894D91E" w14:textId="77777777" w:rsidR="00CF626A" w:rsidRPr="001531CD" w:rsidRDefault="00CF626A">
      <w:pPr>
        <w:pStyle w:val="a0"/>
      </w:pPr>
      <w:r w:rsidRPr="001531CD">
        <w:t>c.</w:t>
      </w:r>
      <w:r w:rsidRPr="001531CD">
        <w:tab/>
        <w:t>the time period covered by the contract indicating a beginning and ending date;</w:t>
      </w:r>
    </w:p>
    <w:p w14:paraId="615A377A" w14:textId="77777777" w:rsidR="00CF626A" w:rsidRPr="001531CD" w:rsidRDefault="00CF626A">
      <w:pPr>
        <w:pStyle w:val="a0"/>
      </w:pPr>
      <w:r w:rsidRPr="001531CD">
        <w:t>d.</w:t>
      </w:r>
      <w:r w:rsidRPr="001531CD">
        <w:tab/>
        <w:t>a provision for the termination of the certified market participant contract by the board after an adjudicatory hearing in which the certified market participant is held to be in violation of the Act or certified market participant contract;</w:t>
      </w:r>
    </w:p>
    <w:p w14:paraId="5D0F37FB" w14:textId="77777777" w:rsidR="00CF626A" w:rsidRPr="001531CD" w:rsidRDefault="00CF626A">
      <w:pPr>
        <w:pStyle w:val="a0"/>
      </w:pPr>
      <w:r w:rsidRPr="001531CD">
        <w:t>e.</w:t>
      </w:r>
      <w:r w:rsidRPr="001531CD">
        <w:tab/>
        <w:t>a provision that if any provisions of the written agreement are unenforceable then all of the provisions of the written agreement shall be unenforceable and the cooperative endeavor agreement shall be null, void and of no effect;</w:t>
      </w:r>
    </w:p>
    <w:p w14:paraId="2BE39145" w14:textId="77777777" w:rsidR="00CF626A" w:rsidRPr="001531CD" w:rsidRDefault="00CF626A">
      <w:pPr>
        <w:pStyle w:val="a0"/>
      </w:pPr>
      <w:r w:rsidRPr="001531CD">
        <w:t>f.</w:t>
      </w:r>
      <w:r w:rsidRPr="001531CD">
        <w:tab/>
        <w:t>certification and agreement by the applicant that the financial and other records required to be maintained by certified market participant contract shall be accurate and shall be maintained on a current basis and copies shall be provided to the commissioner on request;</w:t>
      </w:r>
    </w:p>
    <w:p w14:paraId="5448CBEC" w14:textId="77777777" w:rsidR="00CF626A" w:rsidRPr="001531CD" w:rsidRDefault="00CF626A">
      <w:pPr>
        <w:pStyle w:val="a0"/>
      </w:pPr>
      <w:r w:rsidRPr="001531CD">
        <w:lastRenderedPageBreak/>
        <w:t>g.</w:t>
      </w:r>
      <w:r w:rsidRPr="001531CD">
        <w:tab/>
        <w:t>a provision that requires the board and the certified market participant to comply with all of the provisions and requirements of the Act;</w:t>
      </w:r>
    </w:p>
    <w:p w14:paraId="07C3FDFF" w14:textId="77777777" w:rsidR="00CF626A" w:rsidRPr="001531CD" w:rsidRDefault="00CF626A">
      <w:pPr>
        <w:pStyle w:val="a0"/>
      </w:pPr>
      <w:r w:rsidRPr="001531CD">
        <w:t>h.</w:t>
      </w:r>
      <w:r w:rsidRPr="001531CD">
        <w:tab/>
        <w:t>a provision that the certified market participant shall enter into producer contracts or agency contracts after the board has approved their certified market participant confidential business plan;</w:t>
      </w:r>
    </w:p>
    <w:p w14:paraId="04F3CA46" w14:textId="77777777" w:rsidR="00CF626A" w:rsidRPr="001531CD" w:rsidRDefault="00CF626A">
      <w:pPr>
        <w:pStyle w:val="a0"/>
      </w:pPr>
      <w:r w:rsidRPr="001531CD">
        <w:t>i.</w:t>
      </w:r>
      <w:r w:rsidRPr="001531CD">
        <w:tab/>
        <w:t>provisions that the certified market participant specify the type of origin of agriculture commodities or products to be used and provisions that specify limitations and conditions for changes in the type and origin of agriculture commodities or products depending on availability of supply and costs;</w:t>
      </w:r>
    </w:p>
    <w:p w14:paraId="17A3A078" w14:textId="77777777" w:rsidR="00CF626A" w:rsidRPr="001531CD" w:rsidRDefault="00CF626A">
      <w:pPr>
        <w:pStyle w:val="a0"/>
      </w:pPr>
      <w:r w:rsidRPr="001531CD">
        <w:t>j.</w:t>
      </w:r>
      <w:r w:rsidRPr="001531CD">
        <w:tab/>
        <w:t>a provision that acknowledges the right of the board to deduct monthly from each certified market participant's incentive payments, in accordance with the Act, funds to pay the costs of administration of the board, their employees, attorneys and auditors;</w:t>
      </w:r>
    </w:p>
    <w:p w14:paraId="7B4FE88B" w14:textId="77777777" w:rsidR="00CF626A" w:rsidRPr="001531CD" w:rsidRDefault="00CF626A">
      <w:pPr>
        <w:pStyle w:val="a0"/>
      </w:pPr>
      <w:r w:rsidRPr="001531CD">
        <w:t>k.</w:t>
      </w:r>
      <w:r w:rsidRPr="001531CD">
        <w:tab/>
        <w:t>a provision prohibiting the certified market participant from being a producer, grain dealer, warehouseman or blender, or owning a substantial interest in a blender doing business in Louisiana without prior approval of the board;</w:t>
      </w:r>
    </w:p>
    <w:p w14:paraId="43990B3D" w14:textId="77777777" w:rsidR="00CF626A" w:rsidRPr="001531CD" w:rsidRDefault="00CF626A">
      <w:pPr>
        <w:pStyle w:val="a0"/>
      </w:pPr>
      <w:r w:rsidRPr="001531CD">
        <w:t>l.</w:t>
      </w:r>
      <w:r w:rsidRPr="001531CD">
        <w:tab/>
        <w:t>a provision that the agreement may be terminated if the certified market participant:</w:t>
      </w:r>
    </w:p>
    <w:p w14:paraId="61510EFB" w14:textId="77777777" w:rsidR="00CF626A" w:rsidRPr="001531CD" w:rsidRDefault="00CF626A">
      <w:pPr>
        <w:pStyle w:val="i0"/>
        <w:outlineLvl w:val="6"/>
      </w:pPr>
      <w:r w:rsidRPr="001531CD">
        <w:tab/>
        <w:t>i.</w:t>
      </w:r>
      <w:r w:rsidRPr="001531CD">
        <w:tab/>
        <w:t>fails to notify the board in writing of the transfer of sale of an ownership interest in the designated certified market participant within 15 days of such transfer or sale;</w:t>
      </w:r>
    </w:p>
    <w:p w14:paraId="7DB89BA1" w14:textId="77777777" w:rsidR="00CF626A" w:rsidRPr="001531CD" w:rsidRDefault="00CF626A">
      <w:pPr>
        <w:pStyle w:val="i0"/>
        <w:outlineLvl w:val="6"/>
      </w:pPr>
      <w:r w:rsidRPr="001531CD">
        <w:tab/>
        <w:t>ii.</w:t>
      </w:r>
      <w:r w:rsidRPr="001531CD">
        <w:tab/>
        <w:t>fails to provide the board within 30 days of the transfer or sale the necessary affidavit(s) relating to ownership and/or management as required by the application; and</w:t>
      </w:r>
    </w:p>
    <w:p w14:paraId="2E3777A2" w14:textId="77777777" w:rsidR="00CF626A" w:rsidRPr="001531CD" w:rsidRDefault="00CF626A">
      <w:pPr>
        <w:pStyle w:val="i0"/>
        <w:outlineLvl w:val="6"/>
      </w:pPr>
      <w:r w:rsidRPr="001531CD">
        <w:tab/>
        <w:t>iii.</w:t>
      </w:r>
      <w:r w:rsidRPr="001531CD">
        <w:tab/>
        <w:t>fails to receive from the board a letter of acknowledgment stating that such transfer or sale or ownership interest has been duly noted and the certified market participant is authorized to continue under the cooperative endeavor agreement;</w:t>
      </w:r>
    </w:p>
    <w:p w14:paraId="20F55D57" w14:textId="77777777" w:rsidR="00CF626A" w:rsidRPr="001531CD" w:rsidRDefault="00CF626A">
      <w:pPr>
        <w:pStyle w:val="a0"/>
      </w:pPr>
      <w:r w:rsidRPr="001531CD">
        <w:t>m.</w:t>
      </w:r>
      <w:r w:rsidRPr="001531CD">
        <w:tab/>
        <w:t>a provision that the agreement may be terminated upon the insolvency, bankruptcy or assignment for benefit of creditors by the certified market participant; and</w:t>
      </w:r>
    </w:p>
    <w:p w14:paraId="000AA422" w14:textId="77777777" w:rsidR="00CF626A" w:rsidRPr="001531CD" w:rsidRDefault="00CF626A">
      <w:pPr>
        <w:pStyle w:val="a0"/>
      </w:pPr>
      <w:r w:rsidRPr="001531CD">
        <w:t>n.</w:t>
      </w:r>
      <w:r w:rsidRPr="001531CD">
        <w:tab/>
        <w:t>a provision recognizing that under the provisions of the Agricultural Ethanol Production Law, all incentive payments shall be made subject to the availability of funds derived from the taxes imposed on gasohol and agreeing that the cooperative endeavor created no obligation on the part of the state to make incentive payments from any other source.</w:t>
      </w:r>
    </w:p>
    <w:p w14:paraId="33475171" w14:textId="77777777" w:rsidR="00CF626A" w:rsidRPr="001531CD" w:rsidRDefault="00CF626A">
      <w:pPr>
        <w:pStyle w:val="1"/>
      </w:pPr>
      <w:r w:rsidRPr="001531CD">
        <w:t>3.</w:t>
      </w:r>
      <w:r w:rsidRPr="001531CD">
        <w:tab/>
        <w:t>Agency and producer contracts entered into by a certified market participant shall contain the following general provisions, to wit:</w:t>
      </w:r>
    </w:p>
    <w:p w14:paraId="520C3285" w14:textId="77777777" w:rsidR="00CF626A" w:rsidRPr="001531CD" w:rsidRDefault="00CF626A">
      <w:pPr>
        <w:pStyle w:val="a0"/>
      </w:pPr>
      <w:r w:rsidRPr="001531CD">
        <w:t>a.</w:t>
      </w:r>
      <w:r w:rsidRPr="001531CD">
        <w:tab/>
        <w:t>name and address of all parties;</w:t>
      </w:r>
    </w:p>
    <w:p w14:paraId="38FAF0F5" w14:textId="77777777" w:rsidR="00CF626A" w:rsidRPr="001531CD" w:rsidRDefault="00CF626A">
      <w:pPr>
        <w:pStyle w:val="a0"/>
      </w:pPr>
      <w:r w:rsidRPr="001531CD">
        <w:t>b.</w:t>
      </w:r>
      <w:r w:rsidRPr="001531CD">
        <w:tab/>
        <w:t>the time period covered by the contract indicating a beginning and ending term;</w:t>
      </w:r>
    </w:p>
    <w:p w14:paraId="0DFABC47" w14:textId="77777777" w:rsidR="00CF626A" w:rsidRPr="001531CD" w:rsidRDefault="00CF626A">
      <w:pPr>
        <w:pStyle w:val="a0"/>
      </w:pPr>
      <w:r w:rsidRPr="001531CD">
        <w:t>c.</w:t>
      </w:r>
      <w:r w:rsidRPr="001531CD">
        <w:tab/>
        <w:t>date of contract;</w:t>
      </w:r>
    </w:p>
    <w:p w14:paraId="67159807" w14:textId="77777777" w:rsidR="00CF626A" w:rsidRPr="001531CD" w:rsidRDefault="00CF626A">
      <w:pPr>
        <w:pStyle w:val="a0"/>
      </w:pPr>
      <w:r w:rsidRPr="001531CD">
        <w:t>d.</w:t>
      </w:r>
      <w:r w:rsidRPr="001531CD">
        <w:tab/>
        <w:t>terms of price, quantity, delivery, quality, charges, deductions, payments, all commissions, fees and other financial arrangements;</w:t>
      </w:r>
    </w:p>
    <w:p w14:paraId="42763323" w14:textId="77777777" w:rsidR="00CF626A" w:rsidRPr="001531CD" w:rsidRDefault="00CF626A">
      <w:pPr>
        <w:pStyle w:val="a0"/>
      </w:pPr>
      <w:r w:rsidRPr="001531CD">
        <w:t>e.</w:t>
      </w:r>
      <w:r w:rsidRPr="001531CD">
        <w:tab/>
        <w:t>agreement to all inspection of records and premises and to maintain and provide on request by the commissioner all records and documents required by the Act, rules or any certified market participant, agency or producer contract;</w:t>
      </w:r>
    </w:p>
    <w:p w14:paraId="4B94A373" w14:textId="77777777" w:rsidR="00CF626A" w:rsidRPr="001531CD" w:rsidRDefault="00CF626A">
      <w:pPr>
        <w:pStyle w:val="a0"/>
      </w:pPr>
      <w:r w:rsidRPr="001531CD">
        <w:t>f.</w:t>
      </w:r>
      <w:r w:rsidRPr="001531CD">
        <w:tab/>
        <w:t>agreement to comply with the Act and rules;</w:t>
      </w:r>
    </w:p>
    <w:p w14:paraId="204F5589" w14:textId="77777777" w:rsidR="00CF626A" w:rsidRPr="001531CD" w:rsidRDefault="00CF626A">
      <w:pPr>
        <w:pStyle w:val="a0"/>
      </w:pPr>
      <w:r w:rsidRPr="001531CD">
        <w:t>g.</w:t>
      </w:r>
      <w:r w:rsidRPr="001531CD">
        <w:tab/>
        <w:t>identity the producer of the agriculture commodity or product;</w:t>
      </w:r>
    </w:p>
    <w:p w14:paraId="1E912BAF" w14:textId="77777777" w:rsidR="00CF626A" w:rsidRPr="001531CD" w:rsidRDefault="00CF626A">
      <w:pPr>
        <w:pStyle w:val="a0"/>
      </w:pPr>
      <w:r w:rsidRPr="001531CD">
        <w:t>h.</w:t>
      </w:r>
      <w:r w:rsidRPr="001531CD">
        <w:tab/>
        <w:t>attestation and verification by the producer that the agricultural commodities or products delivered to the certified market participant, grain dealer or warehouseman were grown by the producer at a location specified in the contract;</w:t>
      </w:r>
    </w:p>
    <w:p w14:paraId="424593EB" w14:textId="77777777" w:rsidR="00CF626A" w:rsidRPr="001531CD" w:rsidRDefault="00CF626A" w:rsidP="00D2607A">
      <w:pPr>
        <w:pStyle w:val="a0"/>
        <w:spacing w:after="80"/>
      </w:pPr>
      <w:r w:rsidRPr="001531CD">
        <w:t>i.</w:t>
      </w:r>
      <w:r w:rsidRPr="001531CD">
        <w:tab/>
        <w:t>a requirement that shipments to intermediaries shall not be commingled and a separate scale ticket shall be maintained and given the producer;</w:t>
      </w:r>
    </w:p>
    <w:p w14:paraId="024872D2" w14:textId="77777777" w:rsidR="00CF626A" w:rsidRPr="001531CD" w:rsidRDefault="00CF626A" w:rsidP="00D2607A">
      <w:pPr>
        <w:pStyle w:val="a0"/>
        <w:spacing w:after="80"/>
      </w:pPr>
      <w:r w:rsidRPr="001531CD">
        <w:t>j.</w:t>
      </w:r>
      <w:r w:rsidRPr="001531CD">
        <w:tab/>
        <w:t>a requirement that settlement sheets be kept by intermediaries on forms specified by the commissioner;</w:t>
      </w:r>
    </w:p>
    <w:p w14:paraId="30698A9A" w14:textId="77777777" w:rsidR="00CF626A" w:rsidRPr="001531CD" w:rsidRDefault="00CF626A" w:rsidP="00D2607A">
      <w:pPr>
        <w:pStyle w:val="a0"/>
        <w:spacing w:after="80"/>
      </w:pPr>
      <w:r w:rsidRPr="001531CD">
        <w:t>k.</w:t>
      </w:r>
      <w:r w:rsidRPr="001531CD">
        <w:tab/>
        <w:t>a provision that producers agree to permit the commissioner to enter their property to examine the contracted crops and to audit the producer's financial and agricultural commodities or product records relating to the commodity or product sold to produce ethanol;</w:t>
      </w:r>
    </w:p>
    <w:p w14:paraId="5BF70525" w14:textId="77777777" w:rsidR="00CF626A" w:rsidRPr="001531CD" w:rsidRDefault="00CF626A" w:rsidP="00D2607A">
      <w:pPr>
        <w:pStyle w:val="a0"/>
        <w:spacing w:after="80"/>
      </w:pPr>
      <w:r w:rsidRPr="001531CD">
        <w:t>l.</w:t>
      </w:r>
      <w:r w:rsidRPr="001531CD">
        <w:tab/>
        <w:t>a provision specifying the method and time of payment as well as the certified market participant method of assurance for guaranteed performance on the contract;</w:t>
      </w:r>
    </w:p>
    <w:p w14:paraId="2E8D4D0F" w14:textId="77777777" w:rsidR="00CF626A" w:rsidRPr="001531CD" w:rsidRDefault="00CF626A" w:rsidP="00D2607A">
      <w:pPr>
        <w:pStyle w:val="a0"/>
        <w:spacing w:after="80"/>
      </w:pPr>
      <w:r w:rsidRPr="001531CD">
        <w:t>m.</w:t>
      </w:r>
      <w:r w:rsidRPr="001531CD">
        <w:tab/>
        <w:t>a provision that assigns the certified market participant's incentive payments to pay the producer contracts, however, this provision may be deleted from the contracts if the certified market participant provides acceptable assurances and guarantees to the board that it can meet its contractual obligations;</w:t>
      </w:r>
    </w:p>
    <w:p w14:paraId="7DD21282" w14:textId="77777777" w:rsidR="00CF626A" w:rsidRPr="001531CD" w:rsidRDefault="00CF626A" w:rsidP="00D2607A">
      <w:pPr>
        <w:pStyle w:val="a0"/>
        <w:spacing w:after="80"/>
      </w:pPr>
      <w:r w:rsidRPr="001531CD">
        <w:t>n.</w:t>
      </w:r>
      <w:r w:rsidRPr="001531CD">
        <w:tab/>
        <w:t>a provision that authorizes the board to make payments directly to producers or intermediaries when there has been an assignment of incentive payments by the certified market participant; and</w:t>
      </w:r>
    </w:p>
    <w:p w14:paraId="7F1D122A" w14:textId="77777777" w:rsidR="00CF626A" w:rsidRPr="001531CD" w:rsidRDefault="00CF626A" w:rsidP="00D2607A">
      <w:pPr>
        <w:pStyle w:val="a0"/>
        <w:spacing w:after="80"/>
      </w:pPr>
      <w:r w:rsidRPr="001531CD">
        <w:t>o.</w:t>
      </w:r>
      <w:r w:rsidRPr="001531CD">
        <w:tab/>
        <w:t>a provision that, based on the commissioner's audit or a written complaint filed by a party to an agency or producer contract, the board may hold an adjudicatory hearing to resolve any differences about quality of the agriculture commodity or product among the parties.</w:t>
      </w:r>
    </w:p>
    <w:p w14:paraId="194EC8BA" w14:textId="77777777" w:rsidR="00CF626A" w:rsidRPr="001531CD" w:rsidRDefault="00CF626A" w:rsidP="00D2607A">
      <w:pPr>
        <w:pStyle w:val="1"/>
        <w:spacing w:after="80"/>
      </w:pPr>
      <w:r w:rsidRPr="001531CD">
        <w:t>4.</w:t>
      </w:r>
      <w:r w:rsidRPr="001531CD">
        <w:tab/>
        <w:t>Special provisions may be in agency and producer contracts but shall require prior approval of the board.</w:t>
      </w:r>
    </w:p>
    <w:p w14:paraId="7E773799" w14:textId="77777777" w:rsidR="00CF626A" w:rsidRPr="001531CD" w:rsidRDefault="00CF626A">
      <w:pPr>
        <w:pStyle w:val="1"/>
      </w:pPr>
      <w:r w:rsidRPr="001531CD">
        <w:t>5.</w:t>
      </w:r>
      <w:r w:rsidRPr="001531CD">
        <w:tab/>
        <w:t>Periodically, applicants or certified market participants shall discuss with the board their certified market participant confidential business plan which shall contain their proposed agency and producer contracts and other information and data indicating how they will seek to achieve the purposes and objectives of the cooperative endeavor agreement.</w:t>
      </w:r>
    </w:p>
    <w:p w14:paraId="3E9CD2FB" w14:textId="77777777" w:rsidR="00CF626A" w:rsidRPr="001531CD" w:rsidRDefault="00CF626A">
      <w:pPr>
        <w:pStyle w:val="a0"/>
      </w:pPr>
      <w:r w:rsidRPr="001531CD">
        <w:lastRenderedPageBreak/>
        <w:t>a.</w:t>
      </w:r>
      <w:r w:rsidRPr="001531CD">
        <w:tab/>
        <w:t>The certified market participant confidential business plan(s) shall be kept in the certified market participant's principal office and shall be available for audit by the commissioner.</w:t>
      </w:r>
    </w:p>
    <w:p w14:paraId="2156BE54" w14:textId="77777777" w:rsidR="00CF626A" w:rsidRPr="001531CD" w:rsidRDefault="00CF626A">
      <w:pPr>
        <w:pStyle w:val="a0"/>
      </w:pPr>
      <w:r w:rsidRPr="001531CD">
        <w:t>b.</w:t>
      </w:r>
      <w:r w:rsidRPr="001531CD">
        <w:tab/>
        <w:t>The certified market participant confidential business plan shall be numbered and dated sequentially with a corresponding, coordinated numbering system for all contracts proposed therein.</w:t>
      </w:r>
    </w:p>
    <w:p w14:paraId="17D05983" w14:textId="77777777" w:rsidR="00CF626A" w:rsidRPr="001531CD" w:rsidRDefault="00CF626A">
      <w:pPr>
        <w:pStyle w:val="A"/>
      </w:pPr>
      <w:r w:rsidRPr="001531CD">
        <w:t>B.</w:t>
      </w:r>
      <w:r w:rsidRPr="001531CD">
        <w:tab/>
        <w:t>Authority to approve written contractual agreements. The board shall have absolute discretion to approve or disapprove all certified market participant contracts, agency contracts or producer contracts, and any modifications or amendments to the contracts must be in writing and will be subject to the prior approval of the board.</w:t>
      </w:r>
    </w:p>
    <w:p w14:paraId="2F06A486" w14:textId="77777777" w:rsidR="00CF626A" w:rsidRPr="001531CD" w:rsidRDefault="00CF626A">
      <w:pPr>
        <w:pStyle w:val="A"/>
      </w:pPr>
      <w:r w:rsidRPr="001531CD">
        <w:t>C.</w:t>
      </w:r>
      <w:r w:rsidRPr="001531CD">
        <w:tab/>
        <w:t>Procedure for Approval of Written Contractual Agreements</w:t>
      </w:r>
    </w:p>
    <w:p w14:paraId="2CE2696B" w14:textId="77777777" w:rsidR="00CF626A" w:rsidRPr="001531CD" w:rsidRDefault="00CF626A">
      <w:pPr>
        <w:pStyle w:val="1"/>
      </w:pPr>
      <w:r w:rsidRPr="001531CD">
        <w:t>1.</w:t>
      </w:r>
      <w:r w:rsidRPr="001531CD">
        <w:tab/>
        <w:t>All contracts must be submitted to the commissioner for his review.</w:t>
      </w:r>
    </w:p>
    <w:p w14:paraId="04F30551" w14:textId="77777777" w:rsidR="00CF626A" w:rsidRPr="001531CD" w:rsidRDefault="00CF626A">
      <w:pPr>
        <w:pStyle w:val="1"/>
      </w:pPr>
      <w:r w:rsidRPr="001531CD">
        <w:t>2.</w:t>
      </w:r>
      <w:r w:rsidRPr="001531CD">
        <w:tab/>
        <w:t>The board shall vote in a public meeting on each certified market participant contract. Six affirmative votes shall be required to approve or disapprove any contract.</w:t>
      </w:r>
    </w:p>
    <w:p w14:paraId="7A1FA6ED" w14:textId="77777777" w:rsidR="00CF626A" w:rsidRPr="001531CD" w:rsidRDefault="00CF626A">
      <w:pPr>
        <w:pStyle w:val="1"/>
      </w:pPr>
      <w:r w:rsidRPr="001531CD">
        <w:t>3.</w:t>
      </w:r>
      <w:r w:rsidRPr="001531CD">
        <w:tab/>
        <w:t>The certified market participant confidential business plan shall be considered by the board only in executive session pursuant to the requirements of R.S. 3:3708(A) and R.S. 42:6.1(A)(1)(2)(4) and (8) and shall be approved by the board in open session with the action being taken by name of the certified market participant, the plan number, the date of discussion and the agency and producer contract numbers approved.</w:t>
      </w:r>
    </w:p>
    <w:p w14:paraId="2B53BC46" w14:textId="77777777" w:rsidR="00CF626A" w:rsidRPr="001531CD" w:rsidRDefault="00CF626A">
      <w:pPr>
        <w:pStyle w:val="1"/>
      </w:pPr>
      <w:r w:rsidRPr="001531CD">
        <w:t>4.</w:t>
      </w:r>
      <w:r w:rsidRPr="001531CD">
        <w:tab/>
        <w:t>Certified market participant confidential business plans shall not be considered a public record.</w:t>
      </w:r>
    </w:p>
    <w:p w14:paraId="466A8BBE" w14:textId="77777777" w:rsidR="00CF626A" w:rsidRPr="001531CD" w:rsidRDefault="00CF626A">
      <w:pPr>
        <w:pStyle w:val="1"/>
      </w:pPr>
      <w:r w:rsidRPr="001531CD">
        <w:t>5.</w:t>
      </w:r>
      <w:r w:rsidRPr="001531CD">
        <w:tab/>
        <w:t>Agency and producer contracts approved as part of a certified market participant confidential business plan shall be public records when they are filed and registered with the board and shall become effective between the parties only after they have been filed and registered with the board. The board may authorize the filing and registration of agency and producer contracts with the central registry.</w:t>
      </w:r>
    </w:p>
    <w:p w14:paraId="007FC85A" w14:textId="77777777" w:rsidR="00CF626A" w:rsidRPr="001531CD" w:rsidRDefault="00CF626A">
      <w:pPr>
        <w:pStyle w:val="AuthorityNote"/>
      </w:pPr>
      <w:r w:rsidRPr="001531CD">
        <w:t>AUTHORITY NOTE:</w:t>
      </w:r>
      <w:r w:rsidRPr="001531CD">
        <w:tab/>
        <w:t>Promulgated in accordance with R.S. 3:3704.</w:t>
      </w:r>
    </w:p>
    <w:p w14:paraId="4135CD62"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12:506 (August 1986).</w:t>
      </w:r>
    </w:p>
    <w:p w14:paraId="4814F448" w14:textId="77777777" w:rsidR="00CF626A" w:rsidRPr="001531CD" w:rsidRDefault="00CF626A">
      <w:pPr>
        <w:pStyle w:val="Section"/>
      </w:pPr>
      <w:bookmarkStart w:id="3181" w:name="_Toc256755148"/>
      <w:bookmarkStart w:id="3182" w:name="_Toc224819550"/>
      <w:r w:rsidRPr="001531CD">
        <w:t>§111.</w:t>
      </w:r>
      <w:r w:rsidRPr="001531CD">
        <w:tab/>
        <w:t>Incentive Payments to Certified Market Participants</w:t>
      </w:r>
      <w:bookmarkEnd w:id="3181"/>
      <w:bookmarkEnd w:id="3182"/>
    </w:p>
    <w:p w14:paraId="66EC3EA1" w14:textId="77777777" w:rsidR="00CF626A" w:rsidRPr="001531CD" w:rsidRDefault="00CF626A">
      <w:pPr>
        <w:pStyle w:val="A"/>
      </w:pPr>
      <w:r w:rsidRPr="001531CD">
        <w:t>A.</w:t>
      </w:r>
      <w:r w:rsidRPr="001531CD">
        <w:tab/>
        <w:t>Incentive Payments Application Procedure</w:t>
      </w:r>
    </w:p>
    <w:p w14:paraId="102B837A" w14:textId="77777777" w:rsidR="00CF626A" w:rsidRPr="001531CD" w:rsidRDefault="00CF626A">
      <w:pPr>
        <w:pStyle w:val="1"/>
      </w:pPr>
      <w:r w:rsidRPr="001531CD">
        <w:t>1.</w:t>
      </w:r>
      <w:r w:rsidRPr="001531CD">
        <w:tab/>
        <w:t>A request for incentive payments shall be submitted in writing on the forms approved by the board.</w:t>
      </w:r>
    </w:p>
    <w:p w14:paraId="705FA2C1" w14:textId="77777777" w:rsidR="00CF626A" w:rsidRPr="001531CD" w:rsidRDefault="00CF626A">
      <w:pPr>
        <w:pStyle w:val="1"/>
      </w:pPr>
      <w:r w:rsidRPr="001531CD">
        <w:t>2.</w:t>
      </w:r>
      <w:r w:rsidRPr="001531CD">
        <w:tab/>
        <w:t>The request for incentive payment form shall be a public record in accordance with R.S. 3:3707(E) and shall contain the following information:</w:t>
      </w:r>
    </w:p>
    <w:p w14:paraId="1FF3B23D" w14:textId="77777777" w:rsidR="00CF626A" w:rsidRPr="001531CD" w:rsidRDefault="00CF626A">
      <w:pPr>
        <w:pStyle w:val="a0"/>
      </w:pPr>
      <w:r w:rsidRPr="001531CD">
        <w:t>a.</w:t>
      </w:r>
      <w:r w:rsidRPr="001531CD">
        <w:tab/>
        <w:t>name, address and phone number of certified market participant;</w:t>
      </w:r>
    </w:p>
    <w:p w14:paraId="630985D4" w14:textId="77777777" w:rsidR="00CF626A" w:rsidRPr="001531CD" w:rsidRDefault="00CF626A">
      <w:pPr>
        <w:pStyle w:val="a0"/>
      </w:pPr>
      <w:r w:rsidRPr="001531CD">
        <w:t>b.</w:t>
      </w:r>
      <w:r w:rsidRPr="001531CD">
        <w:tab/>
        <w:t>signature of authorized agent;</w:t>
      </w:r>
    </w:p>
    <w:p w14:paraId="7F6014A4" w14:textId="77777777" w:rsidR="00CF626A" w:rsidRPr="001531CD" w:rsidRDefault="00CF626A">
      <w:pPr>
        <w:pStyle w:val="a0"/>
      </w:pPr>
      <w:r w:rsidRPr="001531CD">
        <w:t>c.</w:t>
      </w:r>
      <w:r w:rsidRPr="001531CD">
        <w:tab/>
        <w:t>date submitted;</w:t>
      </w:r>
    </w:p>
    <w:p w14:paraId="2404D6BC" w14:textId="77777777" w:rsidR="00CF626A" w:rsidRPr="001531CD" w:rsidRDefault="00CF626A">
      <w:pPr>
        <w:pStyle w:val="a0"/>
      </w:pPr>
      <w:r w:rsidRPr="001531CD">
        <w:t>d.</w:t>
      </w:r>
      <w:r w:rsidRPr="001531CD">
        <w:tab/>
        <w:t>month for which payment is requested;</w:t>
      </w:r>
    </w:p>
    <w:p w14:paraId="68AEA736" w14:textId="77777777" w:rsidR="00CF626A" w:rsidRPr="001531CD" w:rsidRDefault="00CF626A">
      <w:pPr>
        <w:pStyle w:val="a0"/>
      </w:pPr>
      <w:r w:rsidRPr="001531CD">
        <w:t>e.</w:t>
      </w:r>
      <w:r w:rsidRPr="001531CD">
        <w:tab/>
        <w:t>number of gallons of ethanol sold for which incentive payment is requested; and</w:t>
      </w:r>
    </w:p>
    <w:p w14:paraId="0F51B64F" w14:textId="77777777" w:rsidR="00CF626A" w:rsidRPr="001531CD" w:rsidRDefault="00CF626A">
      <w:pPr>
        <w:pStyle w:val="a0"/>
      </w:pPr>
      <w:r w:rsidRPr="001531CD">
        <w:t>f.</w:t>
      </w:r>
      <w:r w:rsidRPr="001531CD">
        <w:tab/>
        <w:t>certification by authorized agent that the information reported on the form is true, correct and complete.</w:t>
      </w:r>
    </w:p>
    <w:p w14:paraId="4CCBB98F" w14:textId="77777777" w:rsidR="00CF626A" w:rsidRPr="001531CD" w:rsidRDefault="00CF626A" w:rsidP="00894D85">
      <w:pPr>
        <w:pStyle w:val="1"/>
        <w:spacing w:after="80"/>
      </w:pPr>
      <w:r w:rsidRPr="001531CD">
        <w:t>3.</w:t>
      </w:r>
      <w:r w:rsidRPr="001531CD">
        <w:tab/>
        <w:t>The following information shall be submitted simultaneously with request for incentive payment and such information shall be exempt from R.S. 44:1 et seq.</w:t>
      </w:r>
      <w:r w:rsidR="00254AE6" w:rsidRPr="001531CD">
        <w:t>,</w:t>
      </w:r>
      <w:r w:rsidRPr="001531CD">
        <w:t xml:space="preserve"> and be considered confidential information:</w:t>
      </w:r>
    </w:p>
    <w:p w14:paraId="3E9A7A04" w14:textId="77777777" w:rsidR="00CF626A" w:rsidRPr="001531CD" w:rsidRDefault="00CF626A" w:rsidP="00894D85">
      <w:pPr>
        <w:pStyle w:val="a0"/>
        <w:spacing w:after="80"/>
      </w:pPr>
      <w:r w:rsidRPr="001531CD">
        <w:t>a.</w:t>
      </w:r>
      <w:r w:rsidRPr="001531CD">
        <w:tab/>
        <w:t>ethanol buyer's name, address and quantity;</w:t>
      </w:r>
    </w:p>
    <w:p w14:paraId="4747C7D7" w14:textId="77777777" w:rsidR="00CF626A" w:rsidRPr="001531CD" w:rsidRDefault="00CF626A" w:rsidP="00894D85">
      <w:pPr>
        <w:pStyle w:val="a0"/>
        <w:spacing w:after="80"/>
      </w:pPr>
      <w:r w:rsidRPr="001531CD">
        <w:t>b.</w:t>
      </w:r>
      <w:r w:rsidRPr="001531CD">
        <w:tab/>
        <w:t>total number of gallons of ethanol and gasohol sold in Louisiana;</w:t>
      </w:r>
    </w:p>
    <w:p w14:paraId="27CA5B86" w14:textId="77777777" w:rsidR="00CF626A" w:rsidRPr="001531CD" w:rsidRDefault="00CF626A" w:rsidP="00894D85">
      <w:pPr>
        <w:pStyle w:val="a0"/>
        <w:spacing w:after="80"/>
      </w:pPr>
      <w:r w:rsidRPr="001531CD">
        <w:t>c.</w:t>
      </w:r>
      <w:r w:rsidRPr="001531CD">
        <w:tab/>
        <w:t>copies of shipping and receiving documents; and</w:t>
      </w:r>
    </w:p>
    <w:p w14:paraId="1925E40C" w14:textId="77777777" w:rsidR="00CF626A" w:rsidRPr="001531CD" w:rsidRDefault="00CF626A" w:rsidP="00894D85">
      <w:pPr>
        <w:pStyle w:val="a0"/>
        <w:spacing w:after="80"/>
      </w:pPr>
      <w:r w:rsidRPr="001531CD">
        <w:t>d.</w:t>
      </w:r>
      <w:r w:rsidRPr="001531CD">
        <w:tab/>
        <w:t>certification by authorized agent that the information reported is true, correct and complete; and</w:t>
      </w:r>
    </w:p>
    <w:p w14:paraId="5DAA54F5" w14:textId="77777777" w:rsidR="00CF626A" w:rsidRPr="001531CD" w:rsidRDefault="00CF626A" w:rsidP="00894D85">
      <w:pPr>
        <w:pStyle w:val="a0"/>
        <w:spacing w:after="80"/>
      </w:pPr>
      <w:r w:rsidRPr="001531CD">
        <w:t>e.</w:t>
      </w:r>
      <w:r w:rsidRPr="001531CD">
        <w:tab/>
        <w:t>an affidavit in authentic form provided by the commissioner and executed by the blender attesting to the following:</w:t>
      </w:r>
    </w:p>
    <w:p w14:paraId="6A8A2879" w14:textId="77777777" w:rsidR="00CF626A" w:rsidRPr="001531CD" w:rsidRDefault="00CF626A">
      <w:pPr>
        <w:pStyle w:val="i0"/>
        <w:outlineLvl w:val="6"/>
      </w:pPr>
      <w:r w:rsidRPr="001531CD">
        <w:tab/>
        <w:t>i.</w:t>
      </w:r>
      <w:r w:rsidRPr="001531CD">
        <w:tab/>
        <w:t>the blender has purchaser from __________, the certified market participant, _____ gallons of ethanol on the ____ day of _______, 20____, for use in gasohol to be sold in Louisiana;</w:t>
      </w:r>
    </w:p>
    <w:p w14:paraId="513F9242" w14:textId="77777777" w:rsidR="00CF626A" w:rsidRPr="001531CD" w:rsidRDefault="00CF626A">
      <w:pPr>
        <w:pStyle w:val="i0"/>
        <w:outlineLvl w:val="6"/>
      </w:pPr>
      <w:r w:rsidRPr="001531CD">
        <w:tab/>
        <w:t>ii.</w:t>
      </w:r>
      <w:r w:rsidRPr="001531CD">
        <w:tab/>
        <w:t>the blender shall on or before the twentieth day of each month file with the Louisiana Department of Revenue and Taxation report(s) or document(s) or pay monies as may be appropriate relative to taxes imposed on gasohol; and</w:t>
      </w:r>
    </w:p>
    <w:p w14:paraId="0EDAC1D3" w14:textId="77777777" w:rsidR="00CF626A" w:rsidRPr="001531CD" w:rsidRDefault="00CF626A">
      <w:pPr>
        <w:pStyle w:val="i0"/>
      </w:pPr>
      <w:r w:rsidRPr="001531CD">
        <w:tab/>
        <w:t>iii.</w:t>
      </w:r>
      <w:r w:rsidRPr="001531CD">
        <w:tab/>
        <w:t>the blender shall attach to his affidavit and mail to the commissioner certified true copies of report(s) or document(s) field or monies paid by the blender with the Department of Revenue and Taxation;</w:t>
      </w:r>
    </w:p>
    <w:p w14:paraId="794A78F1" w14:textId="77777777" w:rsidR="00CF626A" w:rsidRPr="001531CD" w:rsidRDefault="00CF626A">
      <w:pPr>
        <w:pStyle w:val="i0"/>
      </w:pPr>
      <w:r w:rsidRPr="001531CD">
        <w:tab/>
        <w:t>iv.</w:t>
      </w:r>
      <w:r w:rsidRPr="001531CD">
        <w:tab/>
        <w:t>the blender shall attach as a schedule to his affidavit and mail to the commissioner a copy of a first-in, first-out perpetual inventory report showing each certified market participant's beginning inventory balance, shipments of ethanol received from said certified market participant during the month, sales of ethanol for said certified market participant that month and ending certified market participant's ethanol inventory. A copy of this schedule will also be sent to the certified market participant.</w:t>
      </w:r>
    </w:p>
    <w:p w14:paraId="390EA5B8" w14:textId="77777777" w:rsidR="00CF626A" w:rsidRPr="001531CD" w:rsidRDefault="00CF626A">
      <w:pPr>
        <w:pStyle w:val="1"/>
      </w:pPr>
      <w:r w:rsidRPr="001531CD">
        <w:t>4.</w:t>
      </w:r>
      <w:r w:rsidRPr="001531CD">
        <w:tab/>
        <w:t>The incentive payments shall be made only to certified market participants who have contracts approved by the board.</w:t>
      </w:r>
    </w:p>
    <w:p w14:paraId="01F85A8A" w14:textId="77777777" w:rsidR="00CF626A" w:rsidRPr="001531CD" w:rsidRDefault="00CF626A">
      <w:pPr>
        <w:pStyle w:val="A"/>
      </w:pPr>
      <w:r w:rsidRPr="001531CD">
        <w:t>B.</w:t>
      </w:r>
      <w:r w:rsidRPr="001531CD">
        <w:tab/>
        <w:t>Procedures for Payment to Certified Market Participants</w:t>
      </w:r>
    </w:p>
    <w:p w14:paraId="2FB619AE" w14:textId="77777777" w:rsidR="00CF626A" w:rsidRPr="001531CD" w:rsidRDefault="00CF626A">
      <w:pPr>
        <w:pStyle w:val="1"/>
      </w:pPr>
      <w:r w:rsidRPr="001531CD">
        <w:t>1.</w:t>
      </w:r>
      <w:r w:rsidRPr="001531CD">
        <w:tab/>
        <w:t>Certified market participants must submit a written request for payment which shall be reviewed and approved as to form and completeness by the commissioner or his designee.</w:t>
      </w:r>
    </w:p>
    <w:p w14:paraId="7803EEDE" w14:textId="77777777" w:rsidR="00CF626A" w:rsidRPr="001531CD" w:rsidRDefault="00CF626A">
      <w:pPr>
        <w:pStyle w:val="1"/>
      </w:pPr>
      <w:r w:rsidRPr="001531CD">
        <w:lastRenderedPageBreak/>
        <w:t>2.</w:t>
      </w:r>
      <w:r w:rsidRPr="001531CD">
        <w:tab/>
        <w:t>Within five working days of the fifth day of each month, the commissioner shall notify each certified market participant of his approval as to form and completeness of application for the month's incentive payment. This approval shall be evidenced by a certificate or certificates, the agricultural industry board incentive payment certificate, in the form approved by the board, signed by the commissioner stating the payment application has been approved as to form and completeness. The commissioner shall on or before the fifth working day following the fifth day of each month issue to certified market participant their specific agricultural industry board incentive payment certificate. The certified market participant may, with board approval, assign, those certificates to a producer, intermediary, blender, financial institution or other person.</w:t>
      </w:r>
    </w:p>
    <w:p w14:paraId="49EFB681" w14:textId="77777777" w:rsidR="00CF626A" w:rsidRPr="001531CD" w:rsidRDefault="00CF626A">
      <w:pPr>
        <w:pStyle w:val="1"/>
      </w:pPr>
      <w:r w:rsidRPr="001531CD">
        <w:t>3.</w:t>
      </w:r>
      <w:r w:rsidRPr="001531CD">
        <w:tab/>
        <w:t>The commissioner is authorized on behalf of the board to take all necessary steps to make payments to certified market participants from the Agricultural Industry Incentive Fund.</w:t>
      </w:r>
    </w:p>
    <w:p w14:paraId="0C395672" w14:textId="77777777" w:rsidR="00CF626A" w:rsidRPr="001531CD" w:rsidRDefault="00CF626A">
      <w:pPr>
        <w:pStyle w:val="1"/>
      </w:pPr>
      <w:r w:rsidRPr="001531CD">
        <w:t>4.</w:t>
      </w:r>
      <w:r w:rsidRPr="001531CD">
        <w:tab/>
        <w:t>Each incentive payment made from the fund shall be applied first to the oldest outstanding certificate issued to the certified market participant until all certificates issued to the certified market participant shall be paid.</w:t>
      </w:r>
    </w:p>
    <w:p w14:paraId="0EB61641" w14:textId="77777777" w:rsidR="00CF626A" w:rsidRPr="001531CD" w:rsidRDefault="00CF626A">
      <w:pPr>
        <w:pStyle w:val="A"/>
      </w:pPr>
      <w:r w:rsidRPr="001531CD">
        <w:t>C.</w:t>
      </w:r>
      <w:r w:rsidRPr="001531CD">
        <w:tab/>
        <w:t>Procedures for Adjustments in Incentive Payments Due to Overpayment. In the event the request for incentive payment is inaccurate or erroneous, the commissioner shall notify the certified market participant and if the certified market participant agrees that an error has been made then the commissioner is authorized to deduct from any future incentive payment requested an amount sufficient to correct any error in payment plus legal interest. If the commissioner and the certified market participant do not agree, then the commissioner shall call an adjudicatory hearing before the board to consider the matter.</w:t>
      </w:r>
    </w:p>
    <w:p w14:paraId="7A806FFC" w14:textId="77777777" w:rsidR="00CF626A" w:rsidRPr="001531CD" w:rsidRDefault="00CF626A">
      <w:pPr>
        <w:pStyle w:val="A"/>
      </w:pPr>
      <w:r w:rsidRPr="001531CD">
        <w:t>D.</w:t>
      </w:r>
      <w:r w:rsidRPr="001531CD">
        <w:tab/>
        <w:t>Procedure for Other Adjustment of Incentive Payments. If on a monthly basis the money in the fund is not sufficient to satisfy all outstanding obligations for incentive payments, the payments shall be divided proportionately among the certified market participants in accordance with the following formula: the payment received by each certified market participant shall be in the same proportion to the total funds available for incentive payments as the number of gallons of ethanol produced and sold by the certified market participant for use in gasohol sold in Louisiana bears to the total number of gallons of ethanol produced and sold by all the certified market participants for use in gasohol sold in Louisiana.</w:t>
      </w:r>
    </w:p>
    <w:p w14:paraId="2C55157A" w14:textId="77777777" w:rsidR="00CF626A" w:rsidRPr="001531CD" w:rsidRDefault="00CF626A">
      <w:pPr>
        <w:pStyle w:val="AuthorityNote"/>
      </w:pPr>
      <w:r w:rsidRPr="001531CD">
        <w:t>AUTHORITY NOTE:</w:t>
      </w:r>
      <w:r w:rsidRPr="001531CD">
        <w:tab/>
        <w:t>Promulgated in accordance with R.S. 3:3704, R.S. 3705 and R.S. 3707.</w:t>
      </w:r>
    </w:p>
    <w:p w14:paraId="5725B7C5"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12:507 (August 1986), amended LR 13:12 (January 1987).</w:t>
      </w:r>
    </w:p>
    <w:p w14:paraId="5D07E139" w14:textId="77777777" w:rsidR="00CF626A" w:rsidRPr="001531CD" w:rsidRDefault="00CF626A">
      <w:pPr>
        <w:pStyle w:val="Section"/>
      </w:pPr>
      <w:bookmarkStart w:id="3183" w:name="_Toc256755149"/>
      <w:bookmarkStart w:id="3184" w:name="_Toc224819551"/>
      <w:r w:rsidRPr="001531CD">
        <w:t>§113.</w:t>
      </w:r>
      <w:r w:rsidRPr="001531CD">
        <w:tab/>
        <w:t>Records Requirements</w:t>
      </w:r>
      <w:bookmarkEnd w:id="3183"/>
      <w:bookmarkEnd w:id="3184"/>
    </w:p>
    <w:p w14:paraId="12582DB0" w14:textId="77777777" w:rsidR="00CF626A" w:rsidRPr="001531CD" w:rsidRDefault="00CF626A">
      <w:pPr>
        <w:pStyle w:val="A"/>
      </w:pPr>
      <w:r w:rsidRPr="001531CD">
        <w:t>A.</w:t>
      </w:r>
      <w:r w:rsidRPr="001531CD">
        <w:tab/>
        <w:t>Each certified market participant shall maintain the following records on a current basis in the company's principal office in this state at all times:</w:t>
      </w:r>
    </w:p>
    <w:p w14:paraId="5BDD7494" w14:textId="77777777" w:rsidR="00CF626A" w:rsidRPr="001531CD" w:rsidRDefault="00CF626A" w:rsidP="00894D85">
      <w:pPr>
        <w:pStyle w:val="1"/>
        <w:spacing w:after="80"/>
      </w:pPr>
      <w:r w:rsidRPr="001531CD">
        <w:t>1.</w:t>
      </w:r>
      <w:r w:rsidRPr="001531CD">
        <w:tab/>
        <w:t>current financial statements;</w:t>
      </w:r>
    </w:p>
    <w:p w14:paraId="59CE4215" w14:textId="77777777" w:rsidR="00CF626A" w:rsidRPr="001531CD" w:rsidRDefault="00CF626A" w:rsidP="00894D85">
      <w:pPr>
        <w:pStyle w:val="1"/>
        <w:spacing w:after="80"/>
      </w:pPr>
      <w:r w:rsidRPr="001531CD">
        <w:t>2.</w:t>
      </w:r>
      <w:r w:rsidRPr="001531CD">
        <w:tab/>
        <w:t>bank statements and reconciliations;</w:t>
      </w:r>
    </w:p>
    <w:p w14:paraId="58CA042E" w14:textId="77777777" w:rsidR="00CF626A" w:rsidRPr="001531CD" w:rsidRDefault="00CF626A" w:rsidP="00894D85">
      <w:pPr>
        <w:pStyle w:val="1"/>
        <w:spacing w:after="80"/>
      </w:pPr>
      <w:r w:rsidRPr="001531CD">
        <w:t>3.</w:t>
      </w:r>
      <w:r w:rsidRPr="001531CD">
        <w:tab/>
        <w:t>broker's statements;</w:t>
      </w:r>
    </w:p>
    <w:p w14:paraId="590F4FC5" w14:textId="77777777" w:rsidR="00CF626A" w:rsidRPr="001531CD" w:rsidRDefault="00CF626A" w:rsidP="00894D85">
      <w:pPr>
        <w:pStyle w:val="1"/>
        <w:spacing w:after="80"/>
      </w:pPr>
      <w:r w:rsidRPr="001531CD">
        <w:t>4.</w:t>
      </w:r>
      <w:r w:rsidRPr="001531CD">
        <w:tab/>
        <w:t>copies of all outstanding contracts with producers, grain dealers and warehousemen or warehouse operators including, but not limited to, agency contracts, producer contracts and certified market participant contracts;</w:t>
      </w:r>
    </w:p>
    <w:p w14:paraId="3B742A75" w14:textId="77777777" w:rsidR="00CF626A" w:rsidRPr="001531CD" w:rsidRDefault="00CF626A" w:rsidP="00894D85">
      <w:pPr>
        <w:pStyle w:val="1"/>
        <w:spacing w:after="80"/>
      </w:pPr>
      <w:r w:rsidRPr="001531CD">
        <w:t>5.</w:t>
      </w:r>
      <w:r w:rsidRPr="001531CD">
        <w:tab/>
        <w:t>copies of all outstanding loans, notes and mortgages affecting the business;</w:t>
      </w:r>
    </w:p>
    <w:p w14:paraId="728DA7F0" w14:textId="77777777" w:rsidR="00CF626A" w:rsidRPr="001531CD" w:rsidRDefault="00CF626A" w:rsidP="00894D85">
      <w:pPr>
        <w:pStyle w:val="1"/>
        <w:spacing w:after="80"/>
      </w:pPr>
      <w:r w:rsidRPr="001531CD">
        <w:t>6.</w:t>
      </w:r>
      <w:r w:rsidRPr="001531CD">
        <w:tab/>
        <w:t>records of all purchases of agriculture commodities or products;</w:t>
      </w:r>
    </w:p>
    <w:p w14:paraId="3F708F6F" w14:textId="77777777" w:rsidR="00CF626A" w:rsidRPr="001531CD" w:rsidRDefault="00CF626A" w:rsidP="00894D85">
      <w:pPr>
        <w:pStyle w:val="1"/>
        <w:spacing w:after="80"/>
      </w:pPr>
      <w:r w:rsidRPr="001531CD">
        <w:t>7.</w:t>
      </w:r>
      <w:r w:rsidRPr="001531CD">
        <w:tab/>
        <w:t>daily production records;</w:t>
      </w:r>
    </w:p>
    <w:p w14:paraId="5C3B68DE" w14:textId="77777777" w:rsidR="00CF626A" w:rsidRPr="001531CD" w:rsidRDefault="00CF626A" w:rsidP="00894D85">
      <w:pPr>
        <w:pStyle w:val="1"/>
        <w:spacing w:after="80"/>
      </w:pPr>
      <w:r w:rsidRPr="001531CD">
        <w:t>8.</w:t>
      </w:r>
      <w:r w:rsidRPr="001531CD">
        <w:tab/>
        <w:t>record of all ethanol sales;</w:t>
      </w:r>
    </w:p>
    <w:p w14:paraId="6E32FACA" w14:textId="77777777" w:rsidR="00CF626A" w:rsidRPr="001531CD" w:rsidRDefault="00CF626A" w:rsidP="00894D85">
      <w:pPr>
        <w:pStyle w:val="1"/>
        <w:spacing w:after="80"/>
      </w:pPr>
      <w:r w:rsidRPr="001531CD">
        <w:t>9.</w:t>
      </w:r>
      <w:r w:rsidRPr="001531CD">
        <w:tab/>
        <w:t>scale tickets, receiving and shipping documents; and</w:t>
      </w:r>
    </w:p>
    <w:p w14:paraId="34CC1809" w14:textId="77777777" w:rsidR="00CF626A" w:rsidRPr="001531CD" w:rsidRDefault="00CF626A" w:rsidP="00894D85">
      <w:pPr>
        <w:pStyle w:val="1"/>
        <w:spacing w:after="80"/>
      </w:pPr>
      <w:r w:rsidRPr="001531CD">
        <w:t>10.</w:t>
      </w:r>
      <w:r w:rsidRPr="001531CD">
        <w:tab/>
        <w:t>settlement sheets.</w:t>
      </w:r>
    </w:p>
    <w:p w14:paraId="14C2E677" w14:textId="77777777" w:rsidR="00CF626A" w:rsidRPr="001531CD" w:rsidRDefault="00CF626A">
      <w:pPr>
        <w:pStyle w:val="AuthorityNote"/>
      </w:pPr>
      <w:r w:rsidRPr="001531CD">
        <w:t>AUTHORITY NOTE:</w:t>
      </w:r>
      <w:r w:rsidRPr="001531CD">
        <w:tab/>
        <w:t>Promulgated in accordance with R.S. 3:3704.</w:t>
      </w:r>
    </w:p>
    <w:p w14:paraId="14102ADD"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14:paraId="4B492CA3" w14:textId="77777777" w:rsidR="00CF626A" w:rsidRPr="001531CD" w:rsidRDefault="00CF626A">
      <w:pPr>
        <w:pStyle w:val="Section"/>
      </w:pPr>
      <w:bookmarkStart w:id="3185" w:name="_Toc256755150"/>
      <w:bookmarkStart w:id="3186" w:name="_Toc224819552"/>
      <w:r w:rsidRPr="001531CD">
        <w:t>§115.</w:t>
      </w:r>
      <w:r w:rsidRPr="001531CD">
        <w:tab/>
        <w:t>Audits and Inspections</w:t>
      </w:r>
      <w:bookmarkEnd w:id="3185"/>
      <w:bookmarkEnd w:id="3186"/>
    </w:p>
    <w:p w14:paraId="51424693" w14:textId="77777777" w:rsidR="00CF626A" w:rsidRPr="001531CD" w:rsidRDefault="00CF626A">
      <w:pPr>
        <w:pStyle w:val="A"/>
      </w:pPr>
      <w:r w:rsidRPr="001531CD">
        <w:t>A.</w:t>
      </w:r>
      <w:r w:rsidRPr="001531CD">
        <w:tab/>
        <w:t>Access for Audits. Each certified market participant shall permit the commissioner to enter all locations listed on the application for designation as a certified market participant and inspect, examine and/or audit all contents, facilities, equipment records, books and accounts relating thereto at any time during normal working hours, with or without notice.</w:t>
      </w:r>
    </w:p>
    <w:p w14:paraId="769A5BAD" w14:textId="77777777" w:rsidR="00CF626A" w:rsidRPr="001531CD" w:rsidRDefault="00CF626A">
      <w:pPr>
        <w:pStyle w:val="A"/>
      </w:pPr>
      <w:r w:rsidRPr="001531CD">
        <w:t>B.</w:t>
      </w:r>
      <w:r w:rsidRPr="001531CD">
        <w:tab/>
        <w:t>Frequency and Time of Audits. Audits shall be done at least once a year and may be done at any time that the commissioner deems it appropriate.</w:t>
      </w:r>
    </w:p>
    <w:p w14:paraId="1ABBF9BB" w14:textId="77777777" w:rsidR="00CF626A" w:rsidRPr="001531CD" w:rsidRDefault="00CF626A">
      <w:pPr>
        <w:pStyle w:val="A"/>
      </w:pPr>
      <w:r w:rsidRPr="001531CD">
        <w:t>C.</w:t>
      </w:r>
      <w:r w:rsidRPr="001531CD">
        <w:tab/>
        <w:t>Cooperation in Audits. The certified market participant shall provide the necessary assistance and records required for any inspection, examination and/or audit made in accordance with the Act.</w:t>
      </w:r>
    </w:p>
    <w:p w14:paraId="38683468" w14:textId="77777777" w:rsidR="00CF626A" w:rsidRPr="001531CD" w:rsidRDefault="00CF626A">
      <w:pPr>
        <w:pStyle w:val="A"/>
      </w:pPr>
      <w:r w:rsidRPr="001531CD">
        <w:t>D.</w:t>
      </w:r>
      <w:r w:rsidRPr="001531CD">
        <w:tab/>
        <w:t>Records and Documentation. Each audit shall establish adequate documentation of all transactions concerning the purchase of agricultural commodities or products by certified market participants, the fermentation, distillation and production of ethanol in Louisiana, the sale of gasohol in Louisiana and the verification that taxes arising from ethanol and gasohol sales have been paid to the Department of Revenue and Taxation. Consistent with achieving the above mentioned objectives, the commissioner shall require that the certified market participant maintain for compliance and verification all records necessary to establish adequate documentation consistent with industry practice, generally accepted accounting principles and generally accepted audit standards. The above data will be maintained at the principal office of the certified market participant for verification and compliance purposes and such shall be exempt from public disclosure under R.S. 44:1 et seq.</w:t>
      </w:r>
      <w:r w:rsidR="00254AE6" w:rsidRPr="001531CD">
        <w:t>,</w:t>
      </w:r>
      <w:r w:rsidRPr="001531CD">
        <w:t xml:space="preserve"> and R.S. 3:3708(A.) unless an adjudicatory hearing is held.</w:t>
      </w:r>
    </w:p>
    <w:p w14:paraId="10AF3979" w14:textId="77777777" w:rsidR="00CF626A" w:rsidRPr="001531CD" w:rsidRDefault="00CF626A">
      <w:pPr>
        <w:pStyle w:val="AuthorityNote"/>
      </w:pPr>
      <w:r w:rsidRPr="001531CD">
        <w:lastRenderedPageBreak/>
        <w:t>AUTHORITY NOTE:</w:t>
      </w:r>
      <w:r w:rsidRPr="001531CD">
        <w:tab/>
        <w:t>Promulgated in accordance with R.S. 3:3704.</w:t>
      </w:r>
    </w:p>
    <w:p w14:paraId="2D3C9992"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14:paraId="08DC3BE0" w14:textId="77777777" w:rsidR="00CF626A" w:rsidRPr="001531CD" w:rsidRDefault="00CF626A">
      <w:pPr>
        <w:pStyle w:val="Section"/>
      </w:pPr>
      <w:bookmarkStart w:id="3187" w:name="_Toc256755151"/>
      <w:bookmarkStart w:id="3188" w:name="_Toc224819553"/>
      <w:r w:rsidRPr="001531CD">
        <w:t>§117.</w:t>
      </w:r>
      <w:r w:rsidRPr="001531CD">
        <w:tab/>
        <w:t>Adjudicatory Proceedings</w:t>
      </w:r>
      <w:bookmarkEnd w:id="3187"/>
      <w:bookmarkEnd w:id="3188"/>
    </w:p>
    <w:p w14:paraId="03F1BEF2" w14:textId="77777777" w:rsidR="00CF626A" w:rsidRPr="001531CD" w:rsidRDefault="00CF626A">
      <w:pPr>
        <w:pStyle w:val="A"/>
      </w:pPr>
      <w:r w:rsidRPr="001531CD">
        <w:t>A.</w:t>
      </w:r>
      <w:r w:rsidRPr="001531CD">
        <w:tab/>
        <w:t>Hearing Officer. The chairman may designate a hearing officer, who may or may not be a member of the board, to preside at all adjudicatory proceedings of the board. The chairman may, if he so desires, serve as hearing officer at any adjudicatory proceeding.</w:t>
      </w:r>
    </w:p>
    <w:p w14:paraId="6C36F0B9" w14:textId="77777777" w:rsidR="00CF626A" w:rsidRPr="001531CD" w:rsidRDefault="00CF626A">
      <w:pPr>
        <w:pStyle w:val="A"/>
      </w:pPr>
      <w:r w:rsidRPr="001531CD">
        <w:t>B.</w:t>
      </w:r>
      <w:r w:rsidRPr="001531CD">
        <w:tab/>
        <w:t>Hearing Body. The board may serve as the hearing body in all adjudicatory proceedings and shall make the final determination with regard to the disposition of all matters coming to adjudication.</w:t>
      </w:r>
    </w:p>
    <w:p w14:paraId="12BDECDC" w14:textId="77777777" w:rsidR="00CF626A" w:rsidRPr="001531CD" w:rsidRDefault="00CF626A">
      <w:pPr>
        <w:pStyle w:val="AuthorityNote"/>
      </w:pPr>
      <w:r w:rsidRPr="001531CD">
        <w:t>AUTHORITY NOTE:</w:t>
      </w:r>
      <w:r w:rsidRPr="001531CD">
        <w:tab/>
        <w:t xml:space="preserve">Promulgated in accordance with R.S. 3:3704. </w:t>
      </w:r>
    </w:p>
    <w:p w14:paraId="1B346CF2"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14:paraId="45443C28" w14:textId="77777777" w:rsidR="00CF626A" w:rsidRPr="001531CD" w:rsidRDefault="00CF626A">
      <w:pPr>
        <w:pStyle w:val="Section"/>
      </w:pPr>
      <w:bookmarkStart w:id="3189" w:name="_Toc256755152"/>
      <w:bookmarkStart w:id="3190" w:name="_Toc224819554"/>
      <w:r w:rsidRPr="001531CD">
        <w:t>§119.</w:t>
      </w:r>
      <w:r w:rsidRPr="001531CD">
        <w:tab/>
        <w:t>Violations</w:t>
      </w:r>
      <w:bookmarkEnd w:id="3189"/>
      <w:bookmarkEnd w:id="3190"/>
    </w:p>
    <w:p w14:paraId="65C4A5DE" w14:textId="77777777" w:rsidR="00CF626A" w:rsidRPr="001531CD" w:rsidRDefault="00CF626A">
      <w:pPr>
        <w:pStyle w:val="A"/>
      </w:pPr>
      <w:r w:rsidRPr="001531CD">
        <w:t>A.</w:t>
      </w:r>
      <w:r w:rsidRPr="001531CD">
        <w:tab/>
        <w:t>The board may hold adjudicatory hearings to determine if there are violations of the Act, the rules and regulations, a certified market participant contract, or any agency or producer contract.</w:t>
      </w:r>
    </w:p>
    <w:p w14:paraId="441C1F99" w14:textId="77777777" w:rsidR="00CF626A" w:rsidRPr="001531CD" w:rsidRDefault="00CF626A">
      <w:pPr>
        <w:pStyle w:val="AuthorityNote"/>
      </w:pPr>
      <w:r w:rsidRPr="001531CD">
        <w:t>AUTHORITY NOTE:</w:t>
      </w:r>
      <w:r w:rsidRPr="001531CD">
        <w:tab/>
        <w:t xml:space="preserve">Promulgated in accordance with R.S. 3:3704. </w:t>
      </w:r>
    </w:p>
    <w:p w14:paraId="05F50448"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14:paraId="23B1ED83" w14:textId="77777777" w:rsidR="00CF626A" w:rsidRPr="001531CD" w:rsidRDefault="00CF626A">
      <w:pPr>
        <w:pStyle w:val="Section"/>
      </w:pPr>
      <w:bookmarkStart w:id="3191" w:name="_Toc256755153"/>
      <w:bookmarkStart w:id="3192" w:name="_Toc224819555"/>
      <w:r w:rsidRPr="001531CD">
        <w:t>§121.</w:t>
      </w:r>
      <w:r w:rsidRPr="001531CD">
        <w:tab/>
        <w:t>Penalties</w:t>
      </w:r>
      <w:bookmarkEnd w:id="3191"/>
      <w:bookmarkEnd w:id="3192"/>
    </w:p>
    <w:p w14:paraId="7BF18CA2" w14:textId="77777777" w:rsidR="00CF626A" w:rsidRPr="001531CD" w:rsidRDefault="00CF626A">
      <w:pPr>
        <w:pStyle w:val="A"/>
      </w:pPr>
      <w:r w:rsidRPr="001531CD">
        <w:t>A.</w:t>
      </w:r>
      <w:r w:rsidRPr="001531CD">
        <w:tab/>
        <w:t>The board may impose a civil penalty of up to $50,000 for each violation of the provisions of the Act or rules.</w:t>
      </w:r>
    </w:p>
    <w:p w14:paraId="7CAD1F14" w14:textId="77777777" w:rsidR="00CF626A" w:rsidRPr="001531CD" w:rsidRDefault="00CF626A">
      <w:pPr>
        <w:pStyle w:val="A"/>
      </w:pPr>
      <w:r w:rsidRPr="001531CD">
        <w:t>B.</w:t>
      </w:r>
      <w:r w:rsidRPr="001531CD">
        <w:tab/>
        <w:t>The board may revoke the designation of a certified market participant and terminate the cooperative agreement if there is a violation of the Act or rules.</w:t>
      </w:r>
    </w:p>
    <w:p w14:paraId="188E48C4" w14:textId="77777777" w:rsidR="00CF626A" w:rsidRPr="001531CD" w:rsidRDefault="00CF626A">
      <w:pPr>
        <w:pStyle w:val="A"/>
      </w:pPr>
      <w:r w:rsidRPr="001531CD">
        <w:t>C.</w:t>
      </w:r>
      <w:r w:rsidRPr="001531CD">
        <w:tab/>
        <w:t>Civil penalties shall be assessed only be a ruling of the board after an adjudicatory hearing in accordance with the Louisiana Administrative Procedure Act.</w:t>
      </w:r>
    </w:p>
    <w:p w14:paraId="258A3C7B" w14:textId="77777777" w:rsidR="00CF626A" w:rsidRPr="001531CD" w:rsidRDefault="00CF626A">
      <w:pPr>
        <w:pStyle w:val="AuthorityNote"/>
      </w:pPr>
      <w:r w:rsidRPr="001531CD">
        <w:t>AUTHORITY NOTE:</w:t>
      </w:r>
      <w:r w:rsidRPr="001531CD">
        <w:tab/>
        <w:t>Promulgated in accordance with R.S. 3:3704.</w:t>
      </w:r>
    </w:p>
    <w:p w14:paraId="433EF3C7"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14:paraId="611B02DE" w14:textId="77777777" w:rsidR="00CF626A" w:rsidRPr="001531CD" w:rsidRDefault="00CF626A">
      <w:pPr>
        <w:pStyle w:val="Section"/>
      </w:pPr>
      <w:bookmarkStart w:id="3193" w:name="_Toc256755154"/>
      <w:bookmarkStart w:id="3194" w:name="_Toc224819556"/>
      <w:r w:rsidRPr="001531CD">
        <w:t>§123.</w:t>
      </w:r>
      <w:r w:rsidRPr="001531CD">
        <w:tab/>
        <w:t>Severability</w:t>
      </w:r>
      <w:bookmarkEnd w:id="3193"/>
      <w:bookmarkEnd w:id="3194"/>
    </w:p>
    <w:p w14:paraId="6449D5DD" w14:textId="77777777" w:rsidR="00CF626A" w:rsidRPr="001531CD" w:rsidRDefault="00CF626A">
      <w:pPr>
        <w:pStyle w:val="A"/>
      </w:pPr>
      <w:r w:rsidRPr="001531CD">
        <w:t>A.</w:t>
      </w:r>
      <w:r w:rsidRPr="001531CD">
        <w:tab/>
        <w:t>If any provisions of these rules are declared invalid for any reason, that provision shall not affect the validity of the entire rules or any other provision thereof.</w:t>
      </w:r>
    </w:p>
    <w:p w14:paraId="7F9E699B" w14:textId="77777777" w:rsidR="00CF626A" w:rsidRPr="001531CD" w:rsidRDefault="00CF626A">
      <w:pPr>
        <w:pStyle w:val="AuthorityNote"/>
      </w:pPr>
      <w:r w:rsidRPr="001531CD">
        <w:t>AUTHORITY NOTE:</w:t>
      </w:r>
      <w:r w:rsidRPr="001531CD">
        <w:tab/>
        <w:t>Promulgated in accordance with R.S. 3:3704.</w:t>
      </w:r>
    </w:p>
    <w:p w14:paraId="7B4655D8" w14:textId="77777777"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12:509 (August 1986).</w:t>
      </w:r>
    </w:p>
    <w:p w14:paraId="54582718" w14:textId="77777777" w:rsidR="00CF626A" w:rsidRPr="001531CD" w:rsidRDefault="00CF626A">
      <w:pPr>
        <w:pStyle w:val="Chapter"/>
        <w:sectPr w:rsidR="00CF626A" w:rsidRPr="001531CD" w:rsidSect="00167E2E">
          <w:headerReference w:type="even" r:id="rId86"/>
          <w:headerReference w:type="default" r:id="rId87"/>
          <w:type w:val="continuous"/>
          <w:pgSz w:w="12240" w:h="15840" w:code="1"/>
          <w:pgMar w:top="1080" w:right="864" w:bottom="864" w:left="864" w:header="576" w:footer="432" w:gutter="0"/>
          <w:cols w:num="2" w:space="720"/>
        </w:sectPr>
      </w:pPr>
    </w:p>
    <w:p w14:paraId="54E0A5A6"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493FBAA7" w14:textId="77777777" w:rsidR="00CF626A" w:rsidRPr="001531CD" w:rsidRDefault="00CF626A">
      <w:pPr>
        <w:pStyle w:val="Chapter"/>
        <w:sectPr w:rsidR="00CF626A" w:rsidRPr="001531CD" w:rsidSect="00167E2E">
          <w:headerReference w:type="even" r:id="rId88"/>
          <w:headerReference w:type="default" r:id="rId89"/>
          <w:type w:val="continuous"/>
          <w:pgSz w:w="12240" w:h="15840" w:code="1"/>
          <w:pgMar w:top="1080" w:right="864" w:bottom="864" w:left="864" w:header="576" w:footer="432" w:gutter="0"/>
          <w:cols w:num="2" w:space="720"/>
        </w:sectPr>
      </w:pPr>
    </w:p>
    <w:p w14:paraId="2CE88158" w14:textId="77777777" w:rsidR="00CF626A" w:rsidRPr="001531CD" w:rsidRDefault="00CF626A" w:rsidP="00F03863">
      <w:pPr>
        <w:pStyle w:val="Title1"/>
        <w:outlineLvl w:val="0"/>
      </w:pPr>
      <w:r w:rsidRPr="001531CD">
        <w:lastRenderedPageBreak/>
        <w:t>Title 7</w:t>
      </w:r>
    </w:p>
    <w:p w14:paraId="6EB6DD4A" w14:textId="77777777" w:rsidR="00CF626A" w:rsidRPr="001531CD" w:rsidRDefault="00CF626A">
      <w:pPr>
        <w:pStyle w:val="Title2"/>
      </w:pPr>
      <w:r w:rsidRPr="001531CD">
        <w:t>AGRICULTURE AND ANIMALS</w:t>
      </w:r>
    </w:p>
    <w:p w14:paraId="7854554B" w14:textId="77777777" w:rsidR="00CF626A" w:rsidRPr="001531CD" w:rsidRDefault="00CF626A">
      <w:pPr>
        <w:pStyle w:val="Part"/>
      </w:pPr>
      <w:bookmarkStart w:id="3195" w:name="TOC_Part19"/>
      <w:bookmarkStart w:id="3196" w:name="_Toc77840482"/>
      <w:bookmarkStart w:id="3197" w:name="_Toc224819557"/>
      <w:r w:rsidRPr="001531CD">
        <w:t>Part XXXIX.  Forestry</w:t>
      </w:r>
      <w:bookmarkEnd w:id="3195"/>
      <w:bookmarkEnd w:id="3196"/>
      <w:bookmarkEnd w:id="3197"/>
    </w:p>
    <w:p w14:paraId="5659105C" w14:textId="77777777" w:rsidR="00CF626A" w:rsidRPr="001531CD" w:rsidRDefault="00CF626A">
      <w:pPr>
        <w:pStyle w:val="Part"/>
      </w:pPr>
    </w:p>
    <w:p w14:paraId="31D58BD7" w14:textId="77777777" w:rsidR="00CF626A" w:rsidRPr="001531CD" w:rsidRDefault="00CF626A">
      <w:pPr>
        <w:pStyle w:val="Part"/>
        <w:sectPr w:rsidR="00CF626A" w:rsidRPr="001531CD" w:rsidSect="00167E2E">
          <w:headerReference w:type="default" r:id="rId90"/>
          <w:type w:val="oddPage"/>
          <w:pgSz w:w="12240" w:h="15840" w:code="1"/>
          <w:pgMar w:top="1080" w:right="864" w:bottom="864" w:left="864" w:header="576" w:footer="432" w:gutter="0"/>
          <w:cols w:space="720"/>
          <w:docGrid w:linePitch="326"/>
        </w:sectPr>
      </w:pPr>
    </w:p>
    <w:p w14:paraId="68627897" w14:textId="77777777" w:rsidR="00CF626A" w:rsidRPr="001531CD" w:rsidRDefault="00CF626A" w:rsidP="00F03863">
      <w:pPr>
        <w:pStyle w:val="Chapter"/>
        <w:outlineLvl w:val="0"/>
      </w:pPr>
      <w:bookmarkStart w:id="3198" w:name="TOC_Chap275"/>
      <w:bookmarkStart w:id="3199" w:name="_Toc256755165"/>
      <w:bookmarkStart w:id="3200" w:name="_Toc224819558"/>
      <w:r w:rsidRPr="001531CD">
        <w:t>Chapter 1.</w:t>
      </w:r>
      <w:bookmarkEnd w:id="3198"/>
      <w:r w:rsidR="00D07DF2">
        <w:tab/>
      </w:r>
      <w:bookmarkStart w:id="3201" w:name="TOCT_Chap205"/>
      <w:bookmarkStart w:id="3202" w:name="TOCT_Chap257"/>
      <w:bookmarkStart w:id="3203" w:name="TOCT_Chap261"/>
      <w:bookmarkStart w:id="3204" w:name="TOCT_Chap263"/>
      <w:bookmarkStart w:id="3205" w:name="TOCT_Chap275"/>
      <w:r w:rsidRPr="001531CD">
        <w:t>Timber Stumpage</w:t>
      </w:r>
      <w:bookmarkEnd w:id="3199"/>
      <w:bookmarkEnd w:id="3200"/>
      <w:bookmarkEnd w:id="3201"/>
      <w:bookmarkEnd w:id="3202"/>
      <w:bookmarkEnd w:id="3203"/>
      <w:bookmarkEnd w:id="3204"/>
      <w:bookmarkEnd w:id="3205"/>
    </w:p>
    <w:p w14:paraId="24B92F9E" w14:textId="77777777" w:rsidR="00CF626A" w:rsidRPr="001531CD" w:rsidRDefault="00CF626A">
      <w:pPr>
        <w:pStyle w:val="Section"/>
      </w:pPr>
      <w:bookmarkStart w:id="3206" w:name="_Toc256755166"/>
      <w:bookmarkStart w:id="3207" w:name="_Toc224819559"/>
      <w:r w:rsidRPr="001531CD">
        <w:t>§101.</w:t>
      </w:r>
      <w:r w:rsidRPr="001531CD">
        <w:tab/>
        <w:t>Authority</w:t>
      </w:r>
      <w:bookmarkEnd w:id="3206"/>
      <w:bookmarkEnd w:id="3207"/>
    </w:p>
    <w:p w14:paraId="6F64966A" w14:textId="77777777" w:rsidR="00994CDB" w:rsidRPr="00303774" w:rsidRDefault="00994CDB" w:rsidP="00994CDB">
      <w:pPr>
        <w:pStyle w:val="A"/>
      </w:pPr>
      <w:r w:rsidRPr="00303774">
        <w:t>A.</w:t>
      </w:r>
      <w:r w:rsidRPr="00303774">
        <w:tab/>
        <w:t>The Louisiana Forestry Commission and the Louisiana Tax Commission adopt these regulations under the authority of R.S. 3:4274 and R.S. 47:1837 for the purpose of implementing the provisions of R.S. 47:633, which requires the Louisiana Forestry Commission determine the current average stumpage market value of trees and timber and of pulpwood; which valuation becomes effective, by law, on the first day of January of the following year and continuing until the next succeeding January.</w:t>
      </w:r>
    </w:p>
    <w:p w14:paraId="00EB4E6F" w14:textId="77777777" w:rsidR="00CF626A" w:rsidRPr="001531CD" w:rsidRDefault="00994CDB" w:rsidP="00994CDB">
      <w:pPr>
        <w:pStyle w:val="AuthorityNote"/>
      </w:pPr>
      <w:r w:rsidRPr="00303774">
        <w:t>AUTHORITY NOTE:</w:t>
      </w:r>
      <w:r w:rsidRPr="00303774">
        <w:tab/>
        <w:t>Promulgated in accordance with R.S. 3:4274 and R.S. 47:1837.</w:t>
      </w:r>
    </w:p>
    <w:p w14:paraId="5E2C976B" w14:textId="77777777" w:rsidR="00CF626A" w:rsidRPr="001531CD" w:rsidRDefault="00CF626A">
      <w:pPr>
        <w:pStyle w:val="HistoricalNote"/>
      </w:pPr>
      <w:r w:rsidRPr="001531CD">
        <w:t>HISTORICAL NOTE:</w:t>
      </w:r>
      <w:r w:rsidRPr="001531CD">
        <w:tab/>
        <w:t>Promulgated by the Department of Natural Resources, Office of Forestry, and the Louisiana Forestry Commission, LR 4:9 (January 1978), amended LR 5:7 (January 1979), LR 6:728 (December 1980), LR 7:627 (December 1981), LR 8:651 (December 1982), LR 9:848 (December 1983), LR 10:1038 (December 1984), LR 11:1178 (December 1985), amended by the Department of Agriculture and Forestry, Office of Forestry, and the Louisiana Forestry Commission, LR 12:819 (December 1986), LR 13:432 (August 1987), LR 14:9 (January 1988), LR 15:5 (January 1989), LR 16:16 (January 1990), LR 17:476 (May 1991), LR 19:611 (May 1993), LR 20:408 (April 1994), LR 21:930 (September 1995), repromulgated LR 21:1069 (October 1995), amended by the Department of Agriculture and Forestry, Forestry Commission and the Department of Revenue, Tax Commission, LR 22:581 (July 1996), LR 23:943 (August 1997), LR 24:1081 (June 1998), promulgated by the Department of Agriculture and Forestry, Forestry Commission and the Department of Revenue, Tax Commis</w:t>
      </w:r>
      <w:r w:rsidR="00994CDB">
        <w:t xml:space="preserve">sion LR 24:2075 (November 1998), amended by the Department of Agriculture and Forestry, Office of Forestry, </w:t>
      </w:r>
      <w:r w:rsidR="00994CDB" w:rsidRPr="00303774">
        <w:t xml:space="preserve">LR </w:t>
      </w:r>
      <w:r w:rsidR="00994CDB">
        <w:t>41:2101 (October 2015).</w:t>
      </w:r>
    </w:p>
    <w:p w14:paraId="6FB9CC52" w14:textId="77777777" w:rsidR="00CF626A" w:rsidRPr="001531CD" w:rsidRDefault="00CF626A">
      <w:pPr>
        <w:pStyle w:val="Section"/>
      </w:pPr>
      <w:bookmarkStart w:id="3208" w:name="_Toc256755167"/>
      <w:bookmarkStart w:id="3209" w:name="_Toc224819560"/>
      <w:r w:rsidRPr="001531CD">
        <w:t>§103.</w:t>
      </w:r>
      <w:r w:rsidRPr="001531CD">
        <w:tab/>
        <w:t>Calculation of Current Average Stumpage Market Value</w:t>
      </w:r>
      <w:bookmarkEnd w:id="3208"/>
      <w:bookmarkEnd w:id="3209"/>
    </w:p>
    <w:p w14:paraId="45E05309" w14:textId="77777777" w:rsidR="00CF626A" w:rsidRPr="001531CD" w:rsidRDefault="00CF626A">
      <w:pPr>
        <w:pStyle w:val="A"/>
      </w:pPr>
      <w:r w:rsidRPr="001531CD">
        <w:t>A.</w:t>
      </w:r>
      <w:r w:rsidRPr="001531CD">
        <w:tab/>
        <w:t xml:space="preserve">The current average stumpage market value of timber and pulpwood, unless otherwise provided by law, shall be based exclusively on sales of timber and pulpwood in the first two quarters of the year in which the commissions are to meet and in the last two quarters of the preceding year as reported to the Louisiana Department of Revenue and Taxation and as published in the </w:t>
      </w:r>
      <w:r w:rsidRPr="001531CD">
        <w:rPr>
          <w:i/>
          <w:iCs/>
        </w:rPr>
        <w:t>Quarterly Report of Forest Products</w:t>
      </w:r>
      <w:r w:rsidRPr="001531CD">
        <w:t xml:space="preserve"> by the Louisiana Department of Agriculture and Forestry.</w:t>
      </w:r>
    </w:p>
    <w:p w14:paraId="49DE53D0" w14:textId="77777777" w:rsidR="00CF626A" w:rsidRPr="001531CD" w:rsidRDefault="00CF626A">
      <w:pPr>
        <w:pStyle w:val="A"/>
      </w:pPr>
      <w:r w:rsidRPr="001531CD">
        <w:t>B.</w:t>
      </w:r>
      <w:r w:rsidRPr="001531CD">
        <w:tab/>
        <w:t>The current average stumpage market value of both timber and pulpwood shall be calculated by use of generally accepted statistical methods that take into account both quantity and price paid for the various forest products.</w:t>
      </w:r>
    </w:p>
    <w:p w14:paraId="714240B4" w14:textId="77777777" w:rsidR="00CF626A" w:rsidRPr="001531CD" w:rsidRDefault="00CF626A">
      <w:pPr>
        <w:pStyle w:val="A"/>
      </w:pPr>
      <w:r w:rsidRPr="001531CD">
        <w:t>C.</w:t>
      </w:r>
      <w:r w:rsidRPr="001531CD">
        <w:tab/>
        <w:t xml:space="preserve">Upon receipt and verification of the sales of timber and pulpwood for the second quarter of the year in which the commissions are to meet the Louisiana Department of Agriculture and Forestry, Office of Forestry shall prepare a </w:t>
      </w:r>
      <w:r w:rsidRPr="001531CD">
        <w:t>recommendation to the commissions as to the current average stumpage market value of each category and subgroup of timber and pulpwood based on the date and method of calculation authorized by Subsections A and B of this Section.</w:t>
      </w:r>
    </w:p>
    <w:p w14:paraId="15B93A0C" w14:textId="77777777" w:rsidR="00CF626A" w:rsidRPr="001531CD" w:rsidRDefault="00CF626A">
      <w:pPr>
        <w:pStyle w:val="AuthorityNote"/>
      </w:pPr>
      <w:r w:rsidRPr="001531CD">
        <w:t>AUTHORITY NOTE:</w:t>
      </w:r>
      <w:r w:rsidRPr="001531CD">
        <w:tab/>
        <w:t>Promulgated in accordance with R.S. 3:4274 and R.S. 47:1837.</w:t>
      </w:r>
    </w:p>
    <w:p w14:paraId="7DF48D30" w14:textId="77777777"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Commission, LR 24:2075 (November 1998).</w:t>
      </w:r>
    </w:p>
    <w:p w14:paraId="29D9586F" w14:textId="77777777" w:rsidR="00CF626A" w:rsidRPr="001531CD" w:rsidRDefault="00CF626A">
      <w:pPr>
        <w:pStyle w:val="Section"/>
      </w:pPr>
      <w:bookmarkStart w:id="3210" w:name="_Toc256755168"/>
      <w:bookmarkStart w:id="3211" w:name="_Toc224819561"/>
      <w:r w:rsidRPr="001531CD">
        <w:t>§105.</w:t>
      </w:r>
      <w:r w:rsidRPr="001531CD">
        <w:tab/>
        <w:t>Notice</w:t>
      </w:r>
      <w:bookmarkEnd w:id="3210"/>
      <w:bookmarkEnd w:id="3211"/>
    </w:p>
    <w:p w14:paraId="122266AE" w14:textId="77777777" w:rsidR="00994CDB" w:rsidRPr="00303774" w:rsidRDefault="00994CDB" w:rsidP="00994CDB">
      <w:pPr>
        <w:pStyle w:val="A"/>
      </w:pPr>
      <w:r w:rsidRPr="00303774">
        <w:t>A.</w:t>
      </w:r>
      <w:r w:rsidRPr="00303774">
        <w:tab/>
        <w:t>The Office of Forestry shall annually publish in the November issue of the</w:t>
      </w:r>
      <w:r w:rsidRPr="00303774">
        <w:rPr>
          <w:i/>
          <w:iCs/>
        </w:rPr>
        <w:t xml:space="preserve"> Louisiana Register</w:t>
      </w:r>
      <w:r w:rsidRPr="00303774">
        <w:t xml:space="preserve"> a notice of the date, time and place of the meeting of the Louisiana Forestry Commission required by law to be held in December together with the recommendations of the Office of Forestry and the data used to determine such recommendations.</w:t>
      </w:r>
    </w:p>
    <w:p w14:paraId="4CC9D835" w14:textId="77777777" w:rsidR="00994CDB" w:rsidRPr="00303774" w:rsidRDefault="00994CDB" w:rsidP="00994CDB">
      <w:pPr>
        <w:pStyle w:val="A"/>
      </w:pPr>
      <w:r w:rsidRPr="00303774">
        <w:t>B.</w:t>
      </w:r>
      <w:r w:rsidRPr="00303774">
        <w:tab/>
        <w:t>The Office of Forestry upon completion of its recommendations, shall send a copy of its recommendations and the data used as the basis for the recommendations to all interested parties who have requested a copy of the recommendation.</w:t>
      </w:r>
    </w:p>
    <w:p w14:paraId="76784F87" w14:textId="77777777" w:rsidR="00994CDB" w:rsidRPr="00303774" w:rsidRDefault="00994CDB" w:rsidP="00994CDB">
      <w:pPr>
        <w:pStyle w:val="A"/>
      </w:pPr>
      <w:r w:rsidRPr="00303774">
        <w:t>C.</w:t>
      </w:r>
      <w:r w:rsidRPr="00303774">
        <w:tab/>
        <w:t xml:space="preserve">Notice of the commission’s determination of the current average stumpage market value of trees, timber and pulpwood shall be immediately sent to all interested parties who have requested notice or who are required by law to receive notice and shall be published in the Potpourri section of the next available edition of the </w:t>
      </w:r>
      <w:r w:rsidRPr="00303774">
        <w:rPr>
          <w:i/>
          <w:iCs/>
        </w:rPr>
        <w:t>Louisiana Register</w:t>
      </w:r>
      <w:r w:rsidRPr="00303774">
        <w:t>.</w:t>
      </w:r>
    </w:p>
    <w:p w14:paraId="008FEBED" w14:textId="77777777" w:rsidR="00CF626A" w:rsidRPr="001531CD" w:rsidRDefault="00994CDB" w:rsidP="00994CDB">
      <w:pPr>
        <w:pStyle w:val="AuthorityNote"/>
      </w:pPr>
      <w:r w:rsidRPr="00303774">
        <w:t>AUTHORITY NOTE:</w:t>
      </w:r>
      <w:r w:rsidRPr="00303774">
        <w:tab/>
        <w:t>Promulgated in accordance with R.S. 3:4274 and R.S. 47:1837.</w:t>
      </w:r>
    </w:p>
    <w:p w14:paraId="2C5A9C92" w14:textId="77777777"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w:t>
      </w:r>
      <w:r w:rsidR="00994CDB">
        <w:t xml:space="preserve">ion, LR 24:2075 (November 1998), amended by the Department of Agriculture and Forestry, Office of Forestry, </w:t>
      </w:r>
      <w:r w:rsidR="00994CDB" w:rsidRPr="00303774">
        <w:t xml:space="preserve">LR </w:t>
      </w:r>
      <w:r w:rsidR="00994CDB">
        <w:t>41:2101 (October 2015).</w:t>
      </w:r>
    </w:p>
    <w:p w14:paraId="2B354CBB" w14:textId="77777777" w:rsidR="00CF626A" w:rsidRPr="001531CD" w:rsidRDefault="00CF626A" w:rsidP="00252ED0">
      <w:pPr>
        <w:pStyle w:val="Section"/>
      </w:pPr>
      <w:bookmarkStart w:id="3212" w:name="_Toc256755169"/>
      <w:bookmarkStart w:id="3213" w:name="_Toc224819562"/>
      <w:r w:rsidRPr="001531CD">
        <w:t>§107.</w:t>
      </w:r>
      <w:r w:rsidRPr="001531CD">
        <w:tab/>
        <w:t>Annual Determination of Current Average Stumpage Market Value</w:t>
      </w:r>
      <w:bookmarkEnd w:id="3212"/>
      <w:bookmarkEnd w:id="3213"/>
    </w:p>
    <w:p w14:paraId="36CD700C" w14:textId="77777777" w:rsidR="00994CDB" w:rsidRPr="00303774" w:rsidRDefault="00994CDB" w:rsidP="00994CDB">
      <w:pPr>
        <w:pStyle w:val="A"/>
      </w:pPr>
      <w:r w:rsidRPr="00303774">
        <w:t>A.</w:t>
      </w:r>
      <w:r w:rsidRPr="00303774">
        <w:tab/>
        <w:t xml:space="preserve">At the annual meeting held by the commission to determine the current average stumpage market value of timber and pulpwood the commission may determine the stumpage market value based on the sales of timber as reported to the Louisiana Department of Revenue and as published in the </w:t>
      </w:r>
      <w:r w:rsidRPr="00303774">
        <w:rPr>
          <w:i/>
          <w:iCs/>
        </w:rPr>
        <w:t>Quarterly Report of Forest Products</w:t>
      </w:r>
      <w:r w:rsidRPr="00303774">
        <w:t xml:space="preserve"> by the Louisiana Department of Agriculture and Forestry, and may also give consideration given to current published market prices. All comments and input submitted by interested parties at this meeting shall be considered by the commission.</w:t>
      </w:r>
    </w:p>
    <w:p w14:paraId="025050D8" w14:textId="77777777" w:rsidR="00CF626A" w:rsidRPr="001531CD" w:rsidRDefault="00994CDB" w:rsidP="00994CDB">
      <w:pPr>
        <w:pStyle w:val="AuthorityNote"/>
      </w:pPr>
      <w:r w:rsidRPr="00303774">
        <w:t>AUTHORITY NOTE:</w:t>
      </w:r>
      <w:r w:rsidRPr="00303774">
        <w:tab/>
        <w:t>Promulgated in accordance with R.S. 3:4274, R.S. 47:1837 and R.S.47:633 et seq.</w:t>
      </w:r>
    </w:p>
    <w:p w14:paraId="5E3A2D68" w14:textId="77777777" w:rsidR="00CF626A" w:rsidRPr="001531CD" w:rsidRDefault="00CF626A">
      <w:pPr>
        <w:pStyle w:val="HistoricalNote"/>
      </w:pPr>
      <w:r w:rsidRPr="001531CD">
        <w:t>HISTORICAL NOTE:</w:t>
      </w:r>
      <w:r w:rsidRPr="001531CD">
        <w:tab/>
        <w:t xml:space="preserve">Promulgated by the Department of Agriculture and Forestry, Forestry Commission and the Department </w:t>
      </w:r>
      <w:r w:rsidRPr="001531CD">
        <w:lastRenderedPageBreak/>
        <w:t>of Revenue, Tax Commiss</w:t>
      </w:r>
      <w:r w:rsidR="00994CDB">
        <w:t xml:space="preserve">ion, LR 24:2075 (November 1998), amended by the Department of Agriculture and Forestry, Office of Forestry, </w:t>
      </w:r>
      <w:r w:rsidR="00994CDB" w:rsidRPr="00303774">
        <w:t xml:space="preserve">LR </w:t>
      </w:r>
      <w:r w:rsidR="00994CDB">
        <w:t>41:2101 (October 2015).</w:t>
      </w:r>
    </w:p>
    <w:p w14:paraId="78ECDECC" w14:textId="77777777" w:rsidR="00CF626A" w:rsidRPr="001531CD" w:rsidRDefault="00CF626A">
      <w:pPr>
        <w:pStyle w:val="Section"/>
      </w:pPr>
      <w:bookmarkStart w:id="3214" w:name="_Toc256755170"/>
      <w:bookmarkStart w:id="3215" w:name="_Toc224819563"/>
      <w:r w:rsidRPr="001531CD">
        <w:t>§109.</w:t>
      </w:r>
      <w:r w:rsidRPr="001531CD">
        <w:tab/>
        <w:t>Product Categories</w:t>
      </w:r>
      <w:bookmarkEnd w:id="3214"/>
      <w:bookmarkEnd w:id="3215"/>
    </w:p>
    <w:p w14:paraId="322C3E28" w14:textId="77777777" w:rsidR="00CF626A" w:rsidRPr="001531CD" w:rsidRDefault="00CF626A">
      <w:pPr>
        <w:pStyle w:val="A"/>
      </w:pPr>
      <w:r w:rsidRPr="001531CD">
        <w:t>A.</w:t>
      </w:r>
      <w:r w:rsidRPr="001531CD">
        <w:tab/>
        <w:t>The following categories and subgroups are to be used in determining the timber stumpage values based on current average stumpage market values to be used for severance tax computation:</w:t>
      </w:r>
    </w:p>
    <w:p w14:paraId="66595CB8" w14:textId="77777777" w:rsidR="00CF626A" w:rsidRPr="001531CD" w:rsidRDefault="00CF626A">
      <w:pPr>
        <w:pStyle w:val="1"/>
      </w:pPr>
      <w:r w:rsidRPr="001531CD">
        <w:t>1.</w:t>
      </w:r>
      <w:r w:rsidRPr="001531CD">
        <w:tab/>
        <w:t>Pine Trees and Timber;</w:t>
      </w:r>
    </w:p>
    <w:p w14:paraId="0D46F708" w14:textId="77777777" w:rsidR="00CF626A" w:rsidRPr="001531CD" w:rsidRDefault="00CF626A">
      <w:pPr>
        <w:pStyle w:val="1"/>
      </w:pPr>
      <w:r w:rsidRPr="001531CD">
        <w:t>2.</w:t>
      </w:r>
      <w:r w:rsidRPr="001531CD">
        <w:tab/>
        <w:t>Hardwood Trees and Timber;</w:t>
      </w:r>
    </w:p>
    <w:p w14:paraId="767FAEDE" w14:textId="77777777" w:rsidR="00CF626A" w:rsidRPr="001531CD" w:rsidRDefault="00CF626A">
      <w:pPr>
        <w:pStyle w:val="1"/>
      </w:pPr>
      <w:r w:rsidRPr="001531CD">
        <w:t>3.</w:t>
      </w:r>
      <w:r w:rsidRPr="001531CD">
        <w:tab/>
        <w:t>Pine Chip and Saw;</w:t>
      </w:r>
    </w:p>
    <w:p w14:paraId="1B6466FF" w14:textId="77777777" w:rsidR="00CF626A" w:rsidRPr="001531CD" w:rsidRDefault="00CF626A">
      <w:pPr>
        <w:pStyle w:val="1"/>
      </w:pPr>
      <w:r w:rsidRPr="001531CD">
        <w:t>4.</w:t>
      </w:r>
      <w:r w:rsidRPr="001531CD">
        <w:tab/>
        <w:t>Pine Pulpwood;</w:t>
      </w:r>
    </w:p>
    <w:p w14:paraId="75D01149" w14:textId="77777777" w:rsidR="00CF626A" w:rsidRPr="001531CD" w:rsidRDefault="00CF626A">
      <w:pPr>
        <w:pStyle w:val="1"/>
      </w:pPr>
      <w:r w:rsidRPr="001531CD">
        <w:t>5.</w:t>
      </w:r>
      <w:r w:rsidRPr="001531CD">
        <w:tab/>
        <w:t>Hardwood Pulpwood.</w:t>
      </w:r>
    </w:p>
    <w:p w14:paraId="4A3416C1" w14:textId="77777777" w:rsidR="00CF626A" w:rsidRPr="001531CD" w:rsidRDefault="00CF626A">
      <w:pPr>
        <w:pStyle w:val="A"/>
      </w:pPr>
      <w:r w:rsidRPr="001531CD">
        <w:t>B.</w:t>
      </w:r>
      <w:r w:rsidRPr="001531CD">
        <w:tab/>
        <w:t>No forestry product shall be moved from the trees and timber category to the pulpwood category or vice versa by the commissions without a prior adjudicatory hearing held in accordance with the Louisiana Administrative Procedure Act.</w:t>
      </w:r>
    </w:p>
    <w:p w14:paraId="4B59C00E" w14:textId="77777777" w:rsidR="00CF626A" w:rsidRPr="001531CD" w:rsidRDefault="00CF626A">
      <w:pPr>
        <w:pStyle w:val="AuthorityNote"/>
      </w:pPr>
      <w:r w:rsidRPr="001531CD">
        <w:t>AUTHORITY NOTE:</w:t>
      </w:r>
      <w:r w:rsidRPr="001531CD">
        <w:tab/>
        <w:t>Promulgated in accordance with R.S. 3:4274 and R.S. 47:1837.</w:t>
      </w:r>
    </w:p>
    <w:p w14:paraId="4D29C009" w14:textId="77777777"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Commission, LR 24:2076 (November 1998).</w:t>
      </w:r>
    </w:p>
    <w:p w14:paraId="55B90923" w14:textId="77777777" w:rsidR="00F17615" w:rsidRPr="00514D49" w:rsidRDefault="00F17615" w:rsidP="00F17615">
      <w:pPr>
        <w:pStyle w:val="Chapter"/>
      </w:pPr>
      <w:bookmarkStart w:id="3216" w:name="_Toc224819564"/>
      <w:r w:rsidRPr="00514D49">
        <w:t>Chapter 5.</w:t>
      </w:r>
      <w:r>
        <w:tab/>
      </w:r>
      <w:r w:rsidRPr="00514D49">
        <w:t>Indian Creek Recreation Area</w:t>
      </w:r>
      <w:bookmarkEnd w:id="3216"/>
    </w:p>
    <w:p w14:paraId="36A064D3" w14:textId="77777777" w:rsidR="00F17615" w:rsidRPr="00514D49" w:rsidRDefault="00F17615" w:rsidP="00F17615">
      <w:pPr>
        <w:pStyle w:val="Section"/>
      </w:pPr>
      <w:bookmarkStart w:id="3217" w:name="_Toc224819565"/>
      <w:r w:rsidRPr="00514D49">
        <w:t>§501.</w:t>
      </w:r>
      <w:r w:rsidRPr="00514D49">
        <w:tab/>
        <w:t>General Authority and Purpose</w:t>
      </w:r>
      <w:bookmarkEnd w:id="3217"/>
    </w:p>
    <w:p w14:paraId="4248B5B7" w14:textId="77777777" w:rsidR="00F17615" w:rsidRPr="00514D49" w:rsidRDefault="00F17615" w:rsidP="00F17615">
      <w:pPr>
        <w:pStyle w:val="A"/>
      </w:pPr>
      <w:r w:rsidRPr="00514D49">
        <w:t>A.</w:t>
      </w:r>
      <w:r w:rsidRPr="00514D49">
        <w:tab/>
        <w:t>The following rules and regulations, procedures and fees replace, supersede and cancel all rules and regulations, procedures and fees adopted by the Department of Agriculture and Forestry prior to the effective date of these rules.</w:t>
      </w:r>
    </w:p>
    <w:p w14:paraId="7A6FF6C2" w14:textId="77777777" w:rsidR="00F17615" w:rsidRPr="00514D49" w:rsidRDefault="00F17615" w:rsidP="00F17615">
      <w:pPr>
        <w:pStyle w:val="A"/>
      </w:pPr>
      <w:r w:rsidRPr="00514D49">
        <w:t>B.</w:t>
      </w:r>
      <w:r w:rsidRPr="00514D49">
        <w:tab/>
        <w:t>These rules and regulations are designed to provide the proper atmosphere for the enjoyment and protection of facilities and the safety of visitors.</w:t>
      </w:r>
    </w:p>
    <w:p w14:paraId="345A630B" w14:textId="77777777" w:rsidR="00F17615" w:rsidRPr="00514D49" w:rsidRDefault="00F17615" w:rsidP="00F17615">
      <w:pPr>
        <w:pStyle w:val="AuthorityNote"/>
      </w:pPr>
      <w:r w:rsidRPr="00514D49">
        <w:t>AUTHORITY NOTE:</w:t>
      </w:r>
      <w:r w:rsidRPr="00514D49">
        <w:tab/>
        <w:t>Promulgated in accordance with Act 591 of 1970 and R.S. 3:4402.</w:t>
      </w:r>
    </w:p>
    <w:p w14:paraId="0A966C80" w14:textId="77777777" w:rsidR="00F17615" w:rsidRPr="00514D49" w:rsidRDefault="00F17615" w:rsidP="00F17615">
      <w:pPr>
        <w:pStyle w:val="HistoricalNote"/>
      </w:pPr>
      <w:r w:rsidRPr="00514D49">
        <w:t>HISTORICAL NOTE:</w:t>
      </w:r>
      <w:r w:rsidRPr="00514D49">
        <w:tab/>
        <w:t>Promulgated by the Department of Agriculture an</w:t>
      </w:r>
      <w:r>
        <w:t>d Forestry, Office of Forestry, LR 42:1503 (September 2016).</w:t>
      </w:r>
    </w:p>
    <w:p w14:paraId="47CD1343" w14:textId="77777777" w:rsidR="00F17615" w:rsidRPr="00514D49" w:rsidRDefault="00F17615" w:rsidP="00F17615">
      <w:pPr>
        <w:pStyle w:val="Section"/>
      </w:pPr>
      <w:bookmarkStart w:id="3218" w:name="_Toc398793304"/>
      <w:bookmarkStart w:id="3219" w:name="_Toc224819566"/>
      <w:r w:rsidRPr="00514D49">
        <w:t>§503.</w:t>
      </w:r>
      <w:r w:rsidRPr="00514D49">
        <w:tab/>
        <w:t>Park Property and Environment</w:t>
      </w:r>
      <w:bookmarkEnd w:id="3218"/>
      <w:bookmarkEnd w:id="3219"/>
    </w:p>
    <w:p w14:paraId="2168C3FD" w14:textId="77777777" w:rsidR="00F17615" w:rsidRPr="00514D49" w:rsidRDefault="00F17615" w:rsidP="00F17615">
      <w:pPr>
        <w:pStyle w:val="A"/>
      </w:pPr>
      <w:r w:rsidRPr="00514D49">
        <w:t>A.</w:t>
      </w:r>
      <w:r w:rsidRPr="00514D49">
        <w:tab/>
        <w:t xml:space="preserve">The provisions of the </w:t>
      </w:r>
      <w:r w:rsidRPr="00EE2B00">
        <w:rPr>
          <w:i/>
        </w:rPr>
        <w:t>Louisiana Criminal Code</w:t>
      </w:r>
      <w:r w:rsidRPr="00514D49">
        <w:t xml:space="preserve"> (R.S. 14:1 et seq.) shall be enforced at the Indian Creek Recreation Area.</w:t>
      </w:r>
    </w:p>
    <w:p w14:paraId="4B3381CC" w14:textId="77777777" w:rsidR="00F17615" w:rsidRPr="00514D49" w:rsidRDefault="00F17615" w:rsidP="00F17615">
      <w:pPr>
        <w:pStyle w:val="A"/>
      </w:pPr>
      <w:r w:rsidRPr="00514D49">
        <w:t>B.</w:t>
      </w:r>
      <w:r w:rsidRPr="00514D49">
        <w:tab/>
        <w:t>No person shall intentionally remove, damage, disturb, or destroy any Indian Creek Recreation Area property or the property of another person, wit</w:t>
      </w:r>
      <w:r>
        <w:t>hout the consent of the owner. “Property”</w:t>
      </w:r>
      <w:r w:rsidRPr="00514D49">
        <w:t xml:space="preserve"> shall include but is not limited to structures, watercraft, movables, signs, markers, natural features, cultural features, wildlife, and plants.</w:t>
      </w:r>
    </w:p>
    <w:p w14:paraId="1207547E" w14:textId="77777777" w:rsidR="00F17615" w:rsidRPr="00514D49" w:rsidRDefault="00F17615" w:rsidP="00F17615">
      <w:pPr>
        <w:pStyle w:val="A"/>
      </w:pPr>
      <w:r w:rsidRPr="00514D49">
        <w:t>C.</w:t>
      </w:r>
      <w:r w:rsidRPr="00514D49">
        <w:tab/>
        <w:t xml:space="preserve">No person shall cut, destroy, or damage timber on any site, except as necessary to meet established management criteria, including insect control, public safety, and approved park construction. No timber cutting or removal may occur </w:t>
      </w:r>
      <w:r w:rsidRPr="00514D49">
        <w:t xml:space="preserve">without the prior written permission of the </w:t>
      </w:r>
      <w:r>
        <w:t>commissioner</w:t>
      </w:r>
      <w:r w:rsidRPr="00514D49">
        <w:t xml:space="preserve"> of Agriculture and Forestry or his designee.</w:t>
      </w:r>
    </w:p>
    <w:p w14:paraId="3E411009" w14:textId="77777777" w:rsidR="00F17615" w:rsidRPr="00514D49" w:rsidRDefault="00F17615" w:rsidP="00F17615">
      <w:pPr>
        <w:pStyle w:val="A"/>
      </w:pPr>
      <w:r w:rsidRPr="00514D49">
        <w:t>D.</w:t>
      </w:r>
      <w:r w:rsidRPr="00514D49">
        <w:tab/>
        <w:t xml:space="preserve">No building, structure, or other feature of any site may be altered, erected, or constructed without written consent of the </w:t>
      </w:r>
      <w:r>
        <w:t>commissioner</w:t>
      </w:r>
      <w:r w:rsidRPr="00514D49">
        <w:t xml:space="preserve"> of Agriculture and Forestry or his designee</w:t>
      </w:r>
      <w:r w:rsidRPr="00514D49">
        <w:rPr>
          <w:i/>
        </w:rPr>
        <w:t>.</w:t>
      </w:r>
    </w:p>
    <w:p w14:paraId="6110EDD4" w14:textId="77777777" w:rsidR="00F17615" w:rsidRPr="00514D49" w:rsidRDefault="00F17615" w:rsidP="00F17615">
      <w:pPr>
        <w:pStyle w:val="A"/>
      </w:pPr>
      <w:r w:rsidRPr="00514D49">
        <w:t>E.</w:t>
      </w:r>
      <w:r w:rsidRPr="00514D49">
        <w:tab/>
        <w:t>Smoking is prohibited in all enclosed structures.</w:t>
      </w:r>
    </w:p>
    <w:p w14:paraId="6180BF92" w14:textId="77777777" w:rsidR="00F17615" w:rsidRPr="00514D49" w:rsidRDefault="00F17615" w:rsidP="00F17615">
      <w:pPr>
        <w:pStyle w:val="A"/>
        <w:rPr>
          <w:strike/>
        </w:rPr>
      </w:pPr>
      <w:r w:rsidRPr="00514D49">
        <w:t>F.</w:t>
      </w:r>
      <w:r w:rsidRPr="00514D49">
        <w:tab/>
        <w:t>No person shall excavate, remove, damage, or otherwise alter or deface any cultural or archaeological resource located on any site.</w:t>
      </w:r>
    </w:p>
    <w:p w14:paraId="234230E9" w14:textId="77777777" w:rsidR="00F17615" w:rsidRPr="00514D49" w:rsidRDefault="00F17615" w:rsidP="00F17615">
      <w:pPr>
        <w:pStyle w:val="A"/>
      </w:pPr>
      <w:r w:rsidRPr="00514D49">
        <w:t>G.</w:t>
      </w:r>
      <w:r w:rsidRPr="00514D49">
        <w:tab/>
        <w:t xml:space="preserve">No person shall plant material or otherwise introduce plant material on any site without the written approval of the </w:t>
      </w:r>
      <w:r>
        <w:t>commissioner</w:t>
      </w:r>
      <w:r w:rsidRPr="00514D49">
        <w:t xml:space="preserve"> of Agriculture and Forestry or his designee.</w:t>
      </w:r>
    </w:p>
    <w:p w14:paraId="3D5B3190" w14:textId="77777777" w:rsidR="00F17615" w:rsidRPr="00514D49" w:rsidRDefault="00F17615" w:rsidP="00F17615">
      <w:pPr>
        <w:pStyle w:val="AuthorityNote"/>
      </w:pPr>
      <w:r w:rsidRPr="00514D49">
        <w:t>AUTHORITY NOTE:</w:t>
      </w:r>
      <w:r w:rsidRPr="00514D49">
        <w:tab/>
        <w:t>Promulgated in accordance with Act 591 of 1970 and R.S. 3:4402.</w:t>
      </w:r>
    </w:p>
    <w:p w14:paraId="6E892FC3"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42:1503 (September 2016).</w:t>
      </w:r>
    </w:p>
    <w:p w14:paraId="1FFA2C80" w14:textId="77777777" w:rsidR="00F17615" w:rsidRPr="00514D49" w:rsidRDefault="00F17615" w:rsidP="00F17615">
      <w:pPr>
        <w:pStyle w:val="Section"/>
      </w:pPr>
      <w:bookmarkStart w:id="3220" w:name="_Toc398793305"/>
      <w:bookmarkStart w:id="3221" w:name="_Toc224819567"/>
      <w:r w:rsidRPr="00514D49">
        <w:t>§505.</w:t>
      </w:r>
      <w:r w:rsidRPr="00514D49">
        <w:tab/>
        <w:t>Vehicle Use</w:t>
      </w:r>
      <w:bookmarkEnd w:id="3220"/>
      <w:bookmarkEnd w:id="3221"/>
    </w:p>
    <w:p w14:paraId="5B89EA43" w14:textId="77777777" w:rsidR="00F17615" w:rsidRPr="00514D49" w:rsidRDefault="00F17615" w:rsidP="00F17615">
      <w:pPr>
        <w:pStyle w:val="A"/>
      </w:pPr>
      <w:r w:rsidRPr="00514D49">
        <w:t>A.</w:t>
      </w:r>
      <w:r w:rsidRPr="00514D49">
        <w:tab/>
        <w:t>The provisions of the Louisiana Highway Regulatory Act (R.S. 32:1 et seq.) and any rules and regulations promulgated thereunder shall be enforced at the Indian Creek Recreational Area property.</w:t>
      </w:r>
    </w:p>
    <w:p w14:paraId="54ECFC48" w14:textId="77777777" w:rsidR="00F17615" w:rsidRPr="00514D49" w:rsidRDefault="00F17615" w:rsidP="00F17615">
      <w:pPr>
        <w:pStyle w:val="A"/>
      </w:pPr>
      <w:r w:rsidRPr="00514D49">
        <w:t>B.</w:t>
      </w:r>
      <w:r w:rsidRPr="00514D49">
        <w:tab/>
        <w:t>Automobiles, trucks, motorcycles, bicycles, recreation vehicles, golf carts or any other wheeled vehicles must be operated only on those roads, lanes, or byways designated for vehicular traffic unless otherwise authorized by the site manager.</w:t>
      </w:r>
    </w:p>
    <w:p w14:paraId="22973E3C" w14:textId="77777777" w:rsidR="00F17615" w:rsidRPr="00514D49" w:rsidRDefault="00F17615" w:rsidP="00F17615">
      <w:pPr>
        <w:pStyle w:val="A"/>
      </w:pPr>
      <w:r w:rsidRPr="00514D49">
        <w:t>C.</w:t>
      </w:r>
      <w:r w:rsidRPr="00514D49">
        <w:tab/>
        <w:t>Vehicles, including recreational vehicles, motorcycles, golf carts and boat trailers, shall be parked only in designated parking areas unless otherwise authorized by the site manager.</w:t>
      </w:r>
    </w:p>
    <w:p w14:paraId="1F3B42BD" w14:textId="77777777" w:rsidR="00F17615" w:rsidRPr="00514D49" w:rsidRDefault="00F17615" w:rsidP="00F17615">
      <w:pPr>
        <w:pStyle w:val="A"/>
      </w:pPr>
      <w:r w:rsidRPr="00514D49">
        <w:t>D.</w:t>
      </w:r>
      <w:r w:rsidRPr="00514D49">
        <w:tab/>
        <w:t xml:space="preserve">No motor vehicle shall be operated without being properly licensed by the appropriate regulatory agencies. However, persons with mobility disabilities may use single-passenger, wheeled devices powered by electric motors wherever pedestrians are allowed. </w:t>
      </w:r>
    </w:p>
    <w:p w14:paraId="3F7C1651" w14:textId="77777777" w:rsidR="00F17615" w:rsidRPr="00514D49" w:rsidRDefault="00F17615" w:rsidP="00F17615">
      <w:pPr>
        <w:pStyle w:val="A"/>
      </w:pPr>
      <w:r w:rsidRPr="00514D49">
        <w:t>E.</w:t>
      </w:r>
      <w:r w:rsidRPr="00514D49">
        <w:tab/>
        <w:t>No person shall clean, service and/or repair any vehicle on Indian Creek Recreational Area property except in emergency situations.</w:t>
      </w:r>
    </w:p>
    <w:p w14:paraId="1670EA1C" w14:textId="77777777" w:rsidR="00F17615" w:rsidRPr="00514D49" w:rsidRDefault="00F17615" w:rsidP="00F17615">
      <w:pPr>
        <w:pStyle w:val="A"/>
      </w:pPr>
      <w:r w:rsidRPr="00514D49">
        <w:t>F.</w:t>
      </w:r>
      <w:r w:rsidRPr="00514D49">
        <w:tab/>
        <w:t>Vehicles will be considered abandoned if left unattended for more t</w:t>
      </w:r>
      <w:r>
        <w:t>han three</w:t>
      </w:r>
      <w:r w:rsidRPr="00514D49">
        <w:t xml:space="preserve"> consecutive days unless the proper permit or advanced written approval is granted by the site manager. </w:t>
      </w:r>
    </w:p>
    <w:p w14:paraId="04D1EEFF" w14:textId="77777777" w:rsidR="00F17615" w:rsidRDefault="00F17615" w:rsidP="00F17615">
      <w:pPr>
        <w:pStyle w:val="A"/>
      </w:pPr>
      <w:r w:rsidRPr="00514D49">
        <w:t>G.</w:t>
      </w:r>
      <w:r w:rsidRPr="00514D49">
        <w:tab/>
        <w:t>No person shall move or remove any barrier to gain access to a restricted area.</w:t>
      </w:r>
    </w:p>
    <w:p w14:paraId="04CA504E" w14:textId="77777777" w:rsidR="00D920AD" w:rsidRPr="003D68C4" w:rsidRDefault="00D920AD" w:rsidP="00D920AD">
      <w:pPr>
        <w:pStyle w:val="A"/>
      </w:pPr>
      <w:r w:rsidRPr="003D68C4">
        <w:t>H.</w:t>
      </w:r>
      <w:r>
        <w:tab/>
      </w:r>
      <w:r w:rsidRPr="003D68C4">
        <w:t>All golf carts must be registered and approved with site staff. Site staff will issue permits to approved golf carts. The golf cart permit fees can be found in §533(B).</w:t>
      </w:r>
    </w:p>
    <w:p w14:paraId="6077857E" w14:textId="77777777" w:rsidR="00F17615" w:rsidRPr="00514D49" w:rsidRDefault="00F17615" w:rsidP="00F17615">
      <w:pPr>
        <w:pStyle w:val="AuthorityNote"/>
      </w:pPr>
      <w:r w:rsidRPr="00514D49">
        <w:t>AUTHORITY NOTE:</w:t>
      </w:r>
      <w:r w:rsidRPr="00514D49">
        <w:tab/>
        <w:t>Promulgated in accordance with Act 591 of 1970 and R.S. 3:4402.</w:t>
      </w:r>
    </w:p>
    <w:p w14:paraId="644925B6"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D920AD">
        <w:t xml:space="preserve">LR 42:1503 (September 2016), </w:t>
      </w:r>
      <w:r w:rsidR="00D920AD" w:rsidRPr="003D68C4">
        <w:t xml:space="preserve">amended </w:t>
      </w:r>
      <w:r w:rsidR="00D920AD">
        <w:t>LR 51:30 (January 2025).</w:t>
      </w:r>
    </w:p>
    <w:p w14:paraId="6538A962" w14:textId="77777777" w:rsidR="00F17615" w:rsidRPr="00514D49" w:rsidRDefault="00F17615" w:rsidP="00F17615">
      <w:pPr>
        <w:pStyle w:val="Section"/>
      </w:pPr>
      <w:bookmarkStart w:id="3222" w:name="_Toc398793306"/>
      <w:bookmarkStart w:id="3223" w:name="_Toc224819568"/>
      <w:r w:rsidRPr="00514D49">
        <w:lastRenderedPageBreak/>
        <w:t>§507.</w:t>
      </w:r>
      <w:r w:rsidRPr="00514D49">
        <w:tab/>
        <w:t>Watercraft</w:t>
      </w:r>
      <w:bookmarkEnd w:id="3222"/>
      <w:bookmarkEnd w:id="3223"/>
    </w:p>
    <w:p w14:paraId="49C6EE84" w14:textId="77777777" w:rsidR="00F17615" w:rsidRPr="00514D49" w:rsidRDefault="00F17615" w:rsidP="00F17615">
      <w:pPr>
        <w:pStyle w:val="A"/>
      </w:pPr>
      <w:r w:rsidRPr="00514D49">
        <w:t>A.</w:t>
      </w:r>
      <w:r w:rsidRPr="00514D49">
        <w:tab/>
        <w:t>Federal, state, and local laws, rules and ordinances related to the use of watercraft shall be enforced. All watercraft located on or adjacent to any site must be operated in a careful and reasonable manner, and such operation is subject to the rules of safety imposed by the laws of Louisiana.</w:t>
      </w:r>
    </w:p>
    <w:p w14:paraId="6FB91697" w14:textId="77777777" w:rsidR="00F17615" w:rsidRPr="00514D49" w:rsidRDefault="00F17615" w:rsidP="00F17615">
      <w:pPr>
        <w:pStyle w:val="A"/>
        <w:rPr>
          <w:strike/>
        </w:rPr>
      </w:pPr>
      <w:r w:rsidRPr="00514D49">
        <w:t>B.</w:t>
      </w:r>
      <w:r w:rsidRPr="00514D49">
        <w:tab/>
        <w:t>Every owner and operator of a motor boat, vessel or other watercraft shall comply with all flotation device requirements prescribed by state and federal law.</w:t>
      </w:r>
    </w:p>
    <w:p w14:paraId="2AA49A7D" w14:textId="77777777" w:rsidR="00F17615" w:rsidRPr="00514D49" w:rsidRDefault="00F17615" w:rsidP="00F17615">
      <w:pPr>
        <w:pStyle w:val="A"/>
      </w:pPr>
      <w:r w:rsidRPr="00514D49">
        <w:t>C.</w:t>
      </w:r>
      <w:r w:rsidRPr="00514D49">
        <w:tab/>
        <w:t>Boats shall be launched only from designated boat ramps or launching areas within a site.</w:t>
      </w:r>
    </w:p>
    <w:p w14:paraId="07C77C2A" w14:textId="77777777" w:rsidR="00F17615" w:rsidRPr="00514D49" w:rsidRDefault="00F17615" w:rsidP="00F17615">
      <w:pPr>
        <w:pStyle w:val="A"/>
      </w:pPr>
      <w:r w:rsidRPr="00514D49">
        <w:t>D.</w:t>
      </w:r>
      <w:r w:rsidRPr="00514D49">
        <w:tab/>
        <w:t>A person renting a boat must return the boat to the original docking location after use, and secure the boat from unauthorized use.</w:t>
      </w:r>
      <w:r>
        <w:t xml:space="preserve"> </w:t>
      </w:r>
      <w:r w:rsidRPr="00514D49">
        <w:t>All paddles and life jackets shall be returned to the front office before closure.</w:t>
      </w:r>
    </w:p>
    <w:p w14:paraId="0AF30711" w14:textId="77777777" w:rsidR="00F17615" w:rsidRPr="00514D49" w:rsidRDefault="00F17615" w:rsidP="00F17615">
      <w:pPr>
        <w:pStyle w:val="A"/>
      </w:pPr>
      <w:r w:rsidRPr="00514D49">
        <w:t>E.</w:t>
      </w:r>
      <w:r w:rsidRPr="00514D49">
        <w:tab/>
        <w:t>No boat may be operated in a designated swimming area or in any other area designated as a non-boating area by signs or any area otherwise restricted from boat operation or docking.</w:t>
      </w:r>
    </w:p>
    <w:p w14:paraId="2862C64F" w14:textId="77777777" w:rsidR="00F17615" w:rsidRPr="00514D49" w:rsidRDefault="00F17615" w:rsidP="00F17615">
      <w:pPr>
        <w:pStyle w:val="A"/>
      </w:pPr>
      <w:r w:rsidRPr="00514D49">
        <w:t>F.</w:t>
      </w:r>
      <w:r w:rsidRPr="00514D49">
        <w:tab/>
        <w:t>Boats left docked and unattended must be properly secured in designated areas only. The Department of Agriculture and Forestry will not be responsible for any loss, theft or damage to boats, equipment, personal property or supplies left unattended.</w:t>
      </w:r>
    </w:p>
    <w:p w14:paraId="705E81D7" w14:textId="77777777" w:rsidR="00F17615" w:rsidRPr="00514D49" w:rsidRDefault="00F17615" w:rsidP="00F17615">
      <w:pPr>
        <w:pStyle w:val="A"/>
      </w:pPr>
      <w:r w:rsidRPr="00514D49">
        <w:t>G.</w:t>
      </w:r>
      <w:r w:rsidRPr="00514D49">
        <w:tab/>
        <w:t>Boats will be considered abandoned if left un</w:t>
      </w:r>
      <w:r>
        <w:t>attended for more than three</w:t>
      </w:r>
      <w:r w:rsidRPr="00514D49">
        <w:t xml:space="preserve"> consecutive days unless the proper permit or advanced written approval is granted by the site manager.</w:t>
      </w:r>
    </w:p>
    <w:p w14:paraId="74A7F755" w14:textId="77777777" w:rsidR="00F17615" w:rsidRPr="00514D49" w:rsidRDefault="00F17615" w:rsidP="00F17615">
      <w:pPr>
        <w:pStyle w:val="A"/>
      </w:pPr>
      <w:r w:rsidRPr="00514D49">
        <w:t>H</w:t>
      </w:r>
      <w:r w:rsidRPr="00514D49">
        <w:rPr>
          <w:i/>
        </w:rPr>
        <w:t>.</w:t>
      </w:r>
      <w:r w:rsidRPr="00514D49">
        <w:rPr>
          <w:i/>
        </w:rPr>
        <w:tab/>
      </w:r>
      <w:r w:rsidRPr="00514D49">
        <w:t>Water bodies or portions thereof adjacent to boat ramps, docks, swimming areas, boathouses, cabins, picnic pavilions, or other facilities shall be designated “</w:t>
      </w:r>
      <w:r w:rsidRPr="00790CE8">
        <w:t>no wake areas</w:t>
      </w:r>
      <w:r w:rsidRPr="00514D49">
        <w:t>.” Signs and/or buoys will mark the areas so designated. Violations of “no wake areas” shall be subject to citations.</w:t>
      </w:r>
    </w:p>
    <w:p w14:paraId="6AC87D2D" w14:textId="77777777" w:rsidR="00F17615" w:rsidRPr="00514D49" w:rsidRDefault="00F17615" w:rsidP="00F17615">
      <w:pPr>
        <w:pStyle w:val="AuthorityNote"/>
      </w:pPr>
      <w:r w:rsidRPr="00514D49">
        <w:t>AUTHORITY NOTE:</w:t>
      </w:r>
      <w:r w:rsidRPr="00514D49">
        <w:tab/>
        <w:t>Promulgated in accordance with Act 591 of 1970 and R.S. 3:4402.</w:t>
      </w:r>
    </w:p>
    <w:p w14:paraId="28770695"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14:paraId="794456DF" w14:textId="77777777" w:rsidR="00F17615" w:rsidRPr="00514D49" w:rsidRDefault="00F17615" w:rsidP="00F17615">
      <w:pPr>
        <w:pStyle w:val="Section"/>
      </w:pPr>
      <w:bookmarkStart w:id="3224" w:name="_Toc398793308"/>
      <w:bookmarkStart w:id="3225" w:name="_Toc224819569"/>
      <w:r w:rsidRPr="00514D49">
        <w:t>§509.</w:t>
      </w:r>
      <w:r w:rsidRPr="00514D49">
        <w:tab/>
        <w:t>Livestock, Animals and Pets</w:t>
      </w:r>
      <w:bookmarkEnd w:id="3224"/>
      <w:bookmarkEnd w:id="3225"/>
    </w:p>
    <w:p w14:paraId="4DC5938F" w14:textId="77777777" w:rsidR="00F17615" w:rsidRPr="00514D49" w:rsidRDefault="00F17615" w:rsidP="00F17615">
      <w:pPr>
        <w:pStyle w:val="A"/>
        <w:rPr>
          <w:strike/>
        </w:rPr>
      </w:pPr>
      <w:r w:rsidRPr="00514D49">
        <w:t>A.</w:t>
      </w:r>
      <w:r w:rsidRPr="00514D49">
        <w:tab/>
        <w:t>Any pet brought on Indian Creek Reservation Area property must be current in vaccinations, shall have proof of rabies vaccination, and must be leashed, caged or crated. Leashes shall not exceed 6 feet in length. With the exception of service dogs, pets are not permitted within buildings or other enclosed structures on site, nor are they allowed near designated swimming areas and in overnight facilities. Owners of pets shall be fully responsible for any injury and/or damage caused by their pet.</w:t>
      </w:r>
    </w:p>
    <w:p w14:paraId="2FBABA2E" w14:textId="77777777" w:rsidR="00F17615" w:rsidRDefault="00F17615" w:rsidP="00F17615">
      <w:pPr>
        <w:pStyle w:val="A"/>
      </w:pPr>
      <w:r w:rsidRPr="00514D49">
        <w:t>B.</w:t>
      </w:r>
      <w:r w:rsidRPr="00514D49">
        <w:tab/>
        <w:t>No person shall allow livestock to run or graze on any site, except as part of special programs or events approved in advance by the site manager.</w:t>
      </w:r>
    </w:p>
    <w:p w14:paraId="29853966" w14:textId="77777777" w:rsidR="00667D4F" w:rsidRDefault="00667D4F" w:rsidP="00667D4F">
      <w:pPr>
        <w:pStyle w:val="A"/>
      </w:pPr>
      <w:r w:rsidRPr="003D68C4">
        <w:t>C.</w:t>
      </w:r>
      <w:r w:rsidRPr="003D68C4">
        <w:tab/>
        <w:t xml:space="preserve"> Pets are not permitted to be left outside at an unattended campsite; this includes, but is not limited to, kenneled, tethered, or fenced.</w:t>
      </w:r>
      <w:r>
        <w:t xml:space="preserve"> </w:t>
      </w:r>
    </w:p>
    <w:p w14:paraId="76F7CADA" w14:textId="77777777" w:rsidR="00667D4F" w:rsidRPr="003D68C4" w:rsidRDefault="00667D4F" w:rsidP="00667D4F">
      <w:pPr>
        <w:pStyle w:val="A"/>
      </w:pPr>
      <w:r w:rsidRPr="003D68C4">
        <w:t>D.</w:t>
      </w:r>
      <w:r w:rsidRPr="003D68C4">
        <w:tab/>
        <w:t xml:space="preserve"> All equine entering the recreation area shall be accompanied by a record of a negative Coggins test, official test for equine infectious anemia (EIA), conducted within the past 12 months. The test shall be conducted at an approved laboratory and the name of the laboratory, the case number, and the date of the test shall appear on the record. </w:t>
      </w:r>
    </w:p>
    <w:p w14:paraId="1B2E145E" w14:textId="77777777" w:rsidR="00F17615" w:rsidRPr="00514D49" w:rsidRDefault="00F17615" w:rsidP="00F17615">
      <w:pPr>
        <w:pStyle w:val="AuthorityNote"/>
      </w:pPr>
      <w:r w:rsidRPr="00514D49">
        <w:t>AUTHORITY NOTE:</w:t>
      </w:r>
      <w:r w:rsidRPr="00514D49">
        <w:tab/>
        <w:t>Promulgated in accordance with Act 591 of 1970 and R.S. 3:4402.</w:t>
      </w:r>
    </w:p>
    <w:p w14:paraId="51D027B3"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667D4F">
        <w:t xml:space="preserve">LR 42:1504 (September 2016), </w:t>
      </w:r>
      <w:r w:rsidR="00667D4F" w:rsidRPr="003D68C4">
        <w:t xml:space="preserve">amended </w:t>
      </w:r>
      <w:r w:rsidR="00667D4F">
        <w:t>LR 51:30 (January 2025).</w:t>
      </w:r>
    </w:p>
    <w:p w14:paraId="398FD7CB" w14:textId="77777777" w:rsidR="00F17615" w:rsidRPr="00514D49" w:rsidRDefault="00F17615" w:rsidP="00F17615">
      <w:pPr>
        <w:pStyle w:val="Section"/>
      </w:pPr>
      <w:bookmarkStart w:id="3226" w:name="_Toc398793309"/>
      <w:bookmarkStart w:id="3227" w:name="_Toc224819570"/>
      <w:r w:rsidRPr="00514D49">
        <w:t>§511.</w:t>
      </w:r>
      <w:r w:rsidRPr="00514D49">
        <w:tab/>
        <w:t>Litter, Sanitation and Health</w:t>
      </w:r>
      <w:bookmarkEnd w:id="3226"/>
      <w:bookmarkEnd w:id="3227"/>
    </w:p>
    <w:p w14:paraId="5E565173" w14:textId="77777777" w:rsidR="00F17615" w:rsidRPr="00514D49" w:rsidRDefault="00F17615" w:rsidP="00F17615">
      <w:pPr>
        <w:pStyle w:val="A"/>
      </w:pPr>
      <w:r w:rsidRPr="00514D49">
        <w:t>A.</w:t>
      </w:r>
      <w:r w:rsidRPr="00514D49">
        <w:tab/>
        <w:t xml:space="preserve">All litter disposed of on site, shall be placed into a proper litter receptacle in such a manner that the litter is prevented from being carried away or deposited by the elements upon Indian Creek Recreation Area property or water bodies. </w:t>
      </w:r>
      <w:r w:rsidRPr="00EE2B00">
        <w:rPr>
          <w:i/>
        </w:rPr>
        <w:t>Disposal</w:t>
      </w:r>
      <w:r w:rsidRPr="00514D49">
        <w:t xml:space="preserve"> means to throw, discard, place, deposit, discharge, dump, drop, eject, or allow the escape of a substance.</w:t>
      </w:r>
    </w:p>
    <w:p w14:paraId="307F864A" w14:textId="77777777" w:rsidR="00F17615" w:rsidRPr="00514D49" w:rsidRDefault="00F17615" w:rsidP="00F17615">
      <w:pPr>
        <w:pStyle w:val="A"/>
      </w:pPr>
      <w:r w:rsidRPr="00514D49">
        <w:t>B.</w:t>
      </w:r>
      <w:r w:rsidRPr="00514D49">
        <w:tab/>
        <w:t>No person shall drain or dump refuse waste including grey water from any trailer or other vehicle except in places or receptacles provided for such uses.</w:t>
      </w:r>
    </w:p>
    <w:p w14:paraId="274F92BC" w14:textId="77777777" w:rsidR="00F17615" w:rsidRPr="00514D49" w:rsidRDefault="00F17615" w:rsidP="00F17615">
      <w:pPr>
        <w:pStyle w:val="A"/>
      </w:pPr>
      <w:r w:rsidRPr="00514D49">
        <w:t>C.</w:t>
      </w:r>
      <w:r w:rsidRPr="00514D49">
        <w:tab/>
        <w:t>No person shall clean fish or other food, or wash clothing or articles of household use except in designated areas. No person shall clean or field dress any harvested animal or animals on Indian Creek Recreation Area property.</w:t>
      </w:r>
    </w:p>
    <w:p w14:paraId="32BD0592" w14:textId="77777777" w:rsidR="00F17615" w:rsidRPr="00514D49" w:rsidRDefault="00F17615" w:rsidP="00F17615">
      <w:pPr>
        <w:pStyle w:val="A"/>
      </w:pPr>
      <w:r w:rsidRPr="00514D49">
        <w:t>D.</w:t>
      </w:r>
      <w:r w:rsidRPr="00514D49">
        <w:tab/>
        <w:t>No person shall discharge or allow to be discharged into any waters of the state any waste or substance of any kind that will tend to cause pollution of water used for human consumption or swimming.</w:t>
      </w:r>
    </w:p>
    <w:p w14:paraId="188B92A0" w14:textId="77777777" w:rsidR="00F17615" w:rsidRPr="00514D49" w:rsidRDefault="00F17615" w:rsidP="00F17615">
      <w:pPr>
        <w:pStyle w:val="A"/>
      </w:pPr>
      <w:r w:rsidRPr="00514D49">
        <w:t>E.</w:t>
      </w:r>
      <w:r w:rsidRPr="00514D49">
        <w:tab/>
        <w:t>All deposits of bodily wastes into or on any portion of a comfort station or other public structure must be made in receptacles provided for that purpose. No person shall deposit any bottles, cans, cloth, rags, metal, wood, stone, or any other non-approved substance into any of the fixtures in such stations or structures.</w:t>
      </w:r>
    </w:p>
    <w:p w14:paraId="3D84BCC5" w14:textId="77777777" w:rsidR="00F17615" w:rsidRPr="00514D49" w:rsidRDefault="00F17615" w:rsidP="00F17615">
      <w:pPr>
        <w:pStyle w:val="A"/>
      </w:pPr>
      <w:r w:rsidRPr="00514D49">
        <w:t>F.</w:t>
      </w:r>
      <w:r w:rsidRPr="00514D49">
        <w:tab/>
        <w:t>No person shall use refuse containers or other refuse facilities for dumping household or commercial garbage or trash brought to a site.</w:t>
      </w:r>
    </w:p>
    <w:p w14:paraId="284AB7B2" w14:textId="77777777" w:rsidR="00F17615" w:rsidRPr="00514D49" w:rsidRDefault="00F17615" w:rsidP="00F17615">
      <w:pPr>
        <w:pStyle w:val="A"/>
      </w:pPr>
      <w:r w:rsidRPr="00514D49">
        <w:t>G.</w:t>
      </w:r>
      <w:r w:rsidRPr="00514D49">
        <w:tab/>
        <w:t>No person shall bury or burn garbage, litter or dead animals on Indian Creek Recreation Area property.</w:t>
      </w:r>
    </w:p>
    <w:p w14:paraId="5575F13E" w14:textId="77777777" w:rsidR="00F17615" w:rsidRPr="00514D49" w:rsidRDefault="00F17615" w:rsidP="00F17615">
      <w:pPr>
        <w:pStyle w:val="AuthorityNote"/>
      </w:pPr>
      <w:r w:rsidRPr="00514D49">
        <w:t>AUTHORITY NOTE:</w:t>
      </w:r>
      <w:r w:rsidRPr="00514D49">
        <w:tab/>
        <w:t>Promulgated in accordance with Act 591 of 1970 and R.S. 3:4402.</w:t>
      </w:r>
    </w:p>
    <w:p w14:paraId="28B4BF9A"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14:paraId="392735E3" w14:textId="77777777" w:rsidR="00F17615" w:rsidRPr="00514D49" w:rsidRDefault="00F17615" w:rsidP="00F17615">
      <w:pPr>
        <w:pStyle w:val="Section"/>
      </w:pPr>
      <w:bookmarkStart w:id="3228" w:name="_Toc398793310"/>
      <w:bookmarkStart w:id="3229" w:name="_Toc224819571"/>
      <w:r w:rsidRPr="00514D49">
        <w:t>§513.</w:t>
      </w:r>
      <w:r w:rsidRPr="00514D49">
        <w:tab/>
        <w:t>Fires</w:t>
      </w:r>
      <w:bookmarkEnd w:id="3228"/>
      <w:bookmarkEnd w:id="3229"/>
    </w:p>
    <w:p w14:paraId="304B0F1F" w14:textId="77777777" w:rsidR="00F17615" w:rsidRPr="00514D49" w:rsidRDefault="00F17615" w:rsidP="00F17615">
      <w:pPr>
        <w:pStyle w:val="A"/>
      </w:pPr>
      <w:r w:rsidRPr="00514D49">
        <w:t>A.</w:t>
      </w:r>
      <w:r w:rsidRPr="00514D49">
        <w:tab/>
        <w:t>Fires shall be built only in places specifically designated for that purpose by the site manager.</w:t>
      </w:r>
      <w:r>
        <w:t xml:space="preserve"> </w:t>
      </w:r>
    </w:p>
    <w:p w14:paraId="4A8FE0F1" w14:textId="77777777" w:rsidR="00F17615" w:rsidRPr="00514D49" w:rsidRDefault="00F17615" w:rsidP="00F17615">
      <w:pPr>
        <w:pStyle w:val="A"/>
      </w:pPr>
      <w:r w:rsidRPr="00514D49">
        <w:t>B.</w:t>
      </w:r>
      <w:r w:rsidRPr="00514D49">
        <w:tab/>
        <w:t>Burn bans declared by a local governing authority shall be observed at the parks within the jurisdiction of the local governing authority.</w:t>
      </w:r>
    </w:p>
    <w:p w14:paraId="0CB55EBC" w14:textId="77777777" w:rsidR="00F17615" w:rsidRPr="00514D49" w:rsidRDefault="00F17615" w:rsidP="00F17615">
      <w:pPr>
        <w:pStyle w:val="AuthorityNote"/>
      </w:pPr>
      <w:r w:rsidRPr="00514D49">
        <w:t>AUTHORITY NOTE:</w:t>
      </w:r>
      <w:r w:rsidRPr="00514D49">
        <w:tab/>
        <w:t>Promulgated in accordance with Act 591 of 1970 and R.S. 3:4402.</w:t>
      </w:r>
    </w:p>
    <w:p w14:paraId="25001C54" w14:textId="77777777" w:rsidR="00F17615" w:rsidRPr="00514D49" w:rsidRDefault="00F17615" w:rsidP="00F17615">
      <w:pPr>
        <w:pStyle w:val="HistoricalNote"/>
      </w:pPr>
      <w:r w:rsidRPr="00514D49">
        <w:lastRenderedPageBreak/>
        <w:t>HISTORICAL NOTE:</w:t>
      </w:r>
      <w:r w:rsidRPr="00514D49">
        <w:tab/>
        <w:t xml:space="preserve">Promulgated by the Department of Agriculture and Forestry, Office of Forestry, </w:t>
      </w:r>
      <w:r>
        <w:t>LR 42:1504 (September 2016).</w:t>
      </w:r>
    </w:p>
    <w:p w14:paraId="104B87AD" w14:textId="77777777" w:rsidR="00F17615" w:rsidRPr="00514D49" w:rsidRDefault="00F17615" w:rsidP="00F17615">
      <w:pPr>
        <w:pStyle w:val="Section"/>
      </w:pPr>
      <w:bookmarkStart w:id="3230" w:name="_Toc398793311"/>
      <w:bookmarkStart w:id="3231" w:name="_Toc224819572"/>
      <w:r w:rsidRPr="00514D49">
        <w:t>§515.</w:t>
      </w:r>
      <w:r w:rsidRPr="00514D49">
        <w:tab/>
        <w:t>Fishing, Hunting, Trapping, and the Use of Firearms or Fireworks</w:t>
      </w:r>
      <w:bookmarkEnd w:id="3230"/>
      <w:bookmarkEnd w:id="3231"/>
    </w:p>
    <w:p w14:paraId="3CA0C46D" w14:textId="77777777" w:rsidR="00F17615" w:rsidRPr="00514D49" w:rsidRDefault="00F17615" w:rsidP="00F17615">
      <w:pPr>
        <w:pStyle w:val="A"/>
      </w:pPr>
      <w:r w:rsidRPr="00514D49">
        <w:t>A.</w:t>
      </w:r>
      <w:r w:rsidRPr="00514D49">
        <w:tab/>
        <w:t xml:space="preserve">All wildlife in Indian Creek Recreational Area sites, including reptiles and amphibians, is under strict protection and must not be hunted, molested, disturbed, destroyed, fed or removed, except for scientific or management purposes when approved by the </w:t>
      </w:r>
      <w:r>
        <w:t>commissioner</w:t>
      </w:r>
      <w:r w:rsidRPr="00514D49">
        <w:t xml:space="preserve"> of Agriculture and Forestry or his designee.</w:t>
      </w:r>
    </w:p>
    <w:p w14:paraId="7E9C557F" w14:textId="77777777" w:rsidR="00F17615" w:rsidRPr="00514D49" w:rsidRDefault="00F17615" w:rsidP="00F17615">
      <w:pPr>
        <w:pStyle w:val="A"/>
      </w:pPr>
      <w:r w:rsidRPr="00514D49">
        <w:t>B.</w:t>
      </w:r>
      <w:r w:rsidRPr="00514D49">
        <w:tab/>
        <w:t xml:space="preserve">Bringing or keeping any hunting dogs on Indian Creek Recreation Area property for the purpose of hunting inside or adjacent to Indian Creek Recreation Area is prohibited. </w:t>
      </w:r>
    </w:p>
    <w:p w14:paraId="4E88E96A" w14:textId="77777777" w:rsidR="00F17615" w:rsidRPr="00514D49" w:rsidRDefault="00F17615" w:rsidP="00F17615">
      <w:pPr>
        <w:pStyle w:val="A"/>
      </w:pPr>
      <w:r w:rsidRPr="00514D49">
        <w:t>C.</w:t>
      </w:r>
      <w:r w:rsidRPr="00514D49">
        <w:tab/>
        <w:t>A person who lawfully possesses a firearm may possess or transport such firearm within the boundaries of Indian Creek Recreation Area.</w:t>
      </w:r>
    </w:p>
    <w:p w14:paraId="756F6025" w14:textId="77777777" w:rsidR="00F17615" w:rsidRPr="00514D49" w:rsidRDefault="00F17615" w:rsidP="00F17615">
      <w:pPr>
        <w:pStyle w:val="A"/>
      </w:pPr>
      <w:r w:rsidRPr="00514D49">
        <w:t>D.</w:t>
      </w:r>
      <w:r w:rsidRPr="00514D49">
        <w:tab/>
        <w:t>No person shall possess, shoot, discharge or explode or cause to be shot, discharged, or exploded any fireworks or other explosives on Indian Creek Recreation Area property without prior written consent of the site manager.</w:t>
      </w:r>
    </w:p>
    <w:p w14:paraId="4CC86713" w14:textId="77777777" w:rsidR="00F17615" w:rsidRPr="00514D49" w:rsidRDefault="00F17615" w:rsidP="00F17615">
      <w:pPr>
        <w:pStyle w:val="A"/>
      </w:pPr>
      <w:r w:rsidRPr="00514D49">
        <w:t>E.</w:t>
      </w:r>
      <w:r w:rsidRPr="00514D49">
        <w:tab/>
        <w:t xml:space="preserve">A person fishing on Indian Creek Recreation Area property must adhere to all state and federal laws and criteria regarding fresh water fishing. The taking of fish by nets, traps or any means other than hook or line is prohibited. </w:t>
      </w:r>
    </w:p>
    <w:p w14:paraId="3F2712A7" w14:textId="77777777" w:rsidR="00F17615" w:rsidRPr="00514D49" w:rsidRDefault="00F17615" w:rsidP="00F17615">
      <w:pPr>
        <w:pStyle w:val="A"/>
      </w:pPr>
      <w:r w:rsidRPr="00514D49">
        <w:t>F.</w:t>
      </w:r>
      <w:r w:rsidRPr="00514D49">
        <w:tab/>
        <w:t>Weapon-like toys (paintball maker, airsoft, etc.) that use compressed air or gases from any cartridge, canister or bottle and/or battery power to fire a projectile are prohibited from use at Indian Creek Recreation Area sites properties without prior written approval of the site manager.</w:t>
      </w:r>
    </w:p>
    <w:p w14:paraId="590366D6" w14:textId="77777777" w:rsidR="00F17615" w:rsidRPr="00514D49" w:rsidRDefault="00F17615" w:rsidP="00F17615">
      <w:pPr>
        <w:pStyle w:val="AuthorityNote"/>
      </w:pPr>
      <w:r w:rsidRPr="00514D49">
        <w:t>AUTHORITY NOTE:</w:t>
      </w:r>
      <w:r w:rsidRPr="00514D49">
        <w:tab/>
        <w:t>Promulgated in accordance with Act 591 of 1970 and R.S. 3:4402.</w:t>
      </w:r>
    </w:p>
    <w:p w14:paraId="728CF53C"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14:paraId="24A8E24E" w14:textId="77777777" w:rsidR="00F17615" w:rsidRPr="00514D49" w:rsidRDefault="00F17615" w:rsidP="00F17615">
      <w:pPr>
        <w:pStyle w:val="Section"/>
      </w:pPr>
      <w:bookmarkStart w:id="3232" w:name="_Toc398793312"/>
      <w:bookmarkStart w:id="3233" w:name="_Toc224819573"/>
      <w:r w:rsidRPr="00514D49">
        <w:t>§517.</w:t>
      </w:r>
      <w:r w:rsidRPr="00514D49">
        <w:tab/>
        <w:t>Swimming</w:t>
      </w:r>
      <w:bookmarkEnd w:id="3232"/>
      <w:bookmarkEnd w:id="3233"/>
    </w:p>
    <w:p w14:paraId="7DFE8633" w14:textId="77777777" w:rsidR="00F17615" w:rsidRPr="00514D49" w:rsidRDefault="00F17615" w:rsidP="00F17615">
      <w:pPr>
        <w:pStyle w:val="A"/>
      </w:pPr>
      <w:r w:rsidRPr="00514D49">
        <w:t>A.</w:t>
      </w:r>
      <w:r w:rsidRPr="00514D49">
        <w:tab/>
        <w:t>Swimming is permitted only in designated areas, and at the swimmer's own risk.</w:t>
      </w:r>
      <w:r>
        <w:t xml:space="preserve"> </w:t>
      </w:r>
      <w:r w:rsidRPr="00514D49">
        <w:t>No lifeguards will be on duty.</w:t>
      </w:r>
    </w:p>
    <w:p w14:paraId="286F57C0" w14:textId="77777777" w:rsidR="00F17615" w:rsidRPr="00514D49" w:rsidRDefault="00F17615" w:rsidP="00F17615">
      <w:pPr>
        <w:pStyle w:val="A"/>
      </w:pPr>
      <w:r w:rsidRPr="00514D49">
        <w:t>B.</w:t>
      </w:r>
      <w:r w:rsidRPr="00514D49">
        <w:tab/>
        <w:t>All children under 12 years of age must be accompanied b</w:t>
      </w:r>
      <w:r>
        <w:t>y an adult at any swimming area.</w:t>
      </w:r>
    </w:p>
    <w:p w14:paraId="52863917" w14:textId="77777777" w:rsidR="00F17615" w:rsidRPr="00514D49" w:rsidRDefault="00F17615" w:rsidP="00F17615">
      <w:pPr>
        <w:pStyle w:val="A"/>
      </w:pPr>
      <w:r w:rsidRPr="00514D49">
        <w:t>C.</w:t>
      </w:r>
      <w:r w:rsidRPr="00514D49">
        <w:tab/>
        <w:t>The capacity of the beach areas is determined, regulated and enforced by the site manager.</w:t>
      </w:r>
    </w:p>
    <w:p w14:paraId="0249071E" w14:textId="77777777" w:rsidR="00F17615" w:rsidRPr="00514D49" w:rsidRDefault="00F17615" w:rsidP="00F17615">
      <w:pPr>
        <w:pStyle w:val="A"/>
      </w:pPr>
      <w:r w:rsidRPr="00514D49">
        <w:t>D.</w:t>
      </w:r>
      <w:r w:rsidRPr="00514D49">
        <w:tab/>
        <w:t>Glass containers of any kind are prohibited within any perimeter boundaries of enclosed beach and swimming areas, water playgrounds and beach parks.</w:t>
      </w:r>
    </w:p>
    <w:p w14:paraId="46A2C29E" w14:textId="77777777" w:rsidR="00F17615" w:rsidRPr="00514D49" w:rsidRDefault="00F17615" w:rsidP="00F17615">
      <w:pPr>
        <w:pStyle w:val="A"/>
      </w:pPr>
      <w:r w:rsidRPr="00514D49">
        <w:t>E.</w:t>
      </w:r>
      <w:r w:rsidRPr="00514D49">
        <w:tab/>
        <w:t>Swimming is prohibited between sunset and sunrise.</w:t>
      </w:r>
    </w:p>
    <w:p w14:paraId="6D11147E" w14:textId="77777777" w:rsidR="00F17615" w:rsidRPr="00514D49" w:rsidRDefault="00F17615" w:rsidP="00F17615">
      <w:pPr>
        <w:pStyle w:val="A"/>
      </w:pPr>
      <w:r w:rsidRPr="00514D49">
        <w:t>F.</w:t>
      </w:r>
      <w:r w:rsidRPr="00514D49">
        <w:tab/>
        <w:t>Proper swimming attire, as determined by the site manager or his designee, is required for those entering the water at all swimming areas and water playgrounds.</w:t>
      </w:r>
    </w:p>
    <w:p w14:paraId="434C2899" w14:textId="77777777" w:rsidR="00F17615" w:rsidRPr="00514D49" w:rsidRDefault="00F17615" w:rsidP="00F17615">
      <w:pPr>
        <w:pStyle w:val="AuthorityNote"/>
      </w:pPr>
      <w:r w:rsidRPr="00514D49">
        <w:t>AUTHORITY NOTE:</w:t>
      </w:r>
      <w:r w:rsidRPr="00514D49">
        <w:tab/>
        <w:t>Promulgated in accordance with Act 591 of 1970 and R.S. 3:4402.</w:t>
      </w:r>
    </w:p>
    <w:p w14:paraId="5BBE551D"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14:paraId="2FD42A14" w14:textId="77777777" w:rsidR="00F17615" w:rsidRPr="00514D49" w:rsidRDefault="00F17615" w:rsidP="00F17615">
      <w:pPr>
        <w:pStyle w:val="Section"/>
      </w:pPr>
      <w:bookmarkStart w:id="3234" w:name="_Toc398793313"/>
      <w:bookmarkStart w:id="3235" w:name="_Toc224819574"/>
      <w:r w:rsidRPr="00514D49">
        <w:t>§519.</w:t>
      </w:r>
      <w:r w:rsidRPr="00514D49">
        <w:tab/>
        <w:t>Amplified Sound Equipment</w:t>
      </w:r>
      <w:bookmarkEnd w:id="3234"/>
      <w:bookmarkEnd w:id="3235"/>
    </w:p>
    <w:p w14:paraId="795F145C" w14:textId="77777777" w:rsidR="00F17615" w:rsidRPr="00514D49" w:rsidRDefault="00F17615" w:rsidP="00F17615">
      <w:pPr>
        <w:pStyle w:val="A"/>
      </w:pPr>
      <w:r w:rsidRPr="00514D49">
        <w:t>A.</w:t>
      </w:r>
      <w:r w:rsidRPr="00514D49">
        <w:tab/>
        <w:t>No person shall play amplified musical instruments except when approved by the site manager.</w:t>
      </w:r>
    </w:p>
    <w:p w14:paraId="4F9CF81E" w14:textId="77777777" w:rsidR="00F17615" w:rsidRPr="00514D49" w:rsidRDefault="00F17615" w:rsidP="00F17615">
      <w:pPr>
        <w:pStyle w:val="A"/>
      </w:pPr>
      <w:r w:rsidRPr="00514D49">
        <w:t>B.</w:t>
      </w:r>
      <w:r w:rsidRPr="00514D49">
        <w:tab/>
        <w:t>No person shall play non-amplified musical instruments, radios, televisions, tape players and similar equipment in a manner that disturbs other visitors.</w:t>
      </w:r>
    </w:p>
    <w:p w14:paraId="53E789EA" w14:textId="77777777" w:rsidR="00F17615" w:rsidRPr="00514D49" w:rsidRDefault="00F17615" w:rsidP="00F17615">
      <w:pPr>
        <w:pStyle w:val="A"/>
      </w:pPr>
      <w:r w:rsidRPr="00514D49">
        <w:t>C.</w:t>
      </w:r>
      <w:r w:rsidRPr="00514D49">
        <w:tab/>
        <w:t>No person shall use any public address system, whether fixed, portable, or vehicle-mounted, without prior approval of the site manager.</w:t>
      </w:r>
    </w:p>
    <w:p w14:paraId="74A2A8E0" w14:textId="77777777" w:rsidR="00F17615" w:rsidRPr="00514D49" w:rsidRDefault="00F17615" w:rsidP="00F17615">
      <w:pPr>
        <w:pStyle w:val="A"/>
      </w:pPr>
      <w:r w:rsidRPr="00514D49">
        <w:t>D.</w:t>
      </w:r>
      <w:r w:rsidRPr="00514D49">
        <w:tab/>
        <w:t xml:space="preserve">Remote public broadcast activities must be approved by the site manager. </w:t>
      </w:r>
    </w:p>
    <w:p w14:paraId="1F359589" w14:textId="77777777" w:rsidR="00F17615" w:rsidRPr="00514D49" w:rsidRDefault="00F17615" w:rsidP="00F17615">
      <w:pPr>
        <w:pStyle w:val="AuthorityNote"/>
      </w:pPr>
      <w:r w:rsidRPr="00514D49">
        <w:t>AUTHORITY NOTE:</w:t>
      </w:r>
      <w:r w:rsidRPr="00514D49">
        <w:tab/>
        <w:t>Promulgated in accordance with Act 591 of 1970 and R.S. 3:4402.</w:t>
      </w:r>
    </w:p>
    <w:p w14:paraId="65B65B7E"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14:paraId="1FE0EFDB" w14:textId="77777777" w:rsidR="00F17615" w:rsidRPr="00514D49" w:rsidRDefault="00F17615" w:rsidP="00F17615">
      <w:pPr>
        <w:pStyle w:val="Section"/>
      </w:pPr>
      <w:bookmarkStart w:id="3236" w:name="_Toc398793314"/>
      <w:bookmarkStart w:id="3237" w:name="_Toc224819575"/>
      <w:r w:rsidRPr="00514D49">
        <w:t>§521.</w:t>
      </w:r>
      <w:r w:rsidRPr="00514D49">
        <w:tab/>
        <w:t>Disorderly Conduct</w:t>
      </w:r>
      <w:bookmarkEnd w:id="3236"/>
      <w:bookmarkEnd w:id="3237"/>
    </w:p>
    <w:p w14:paraId="135E5A6F" w14:textId="77777777" w:rsidR="00F17615" w:rsidRPr="00514D49" w:rsidRDefault="00F17615" w:rsidP="00F17615">
      <w:pPr>
        <w:pStyle w:val="A"/>
      </w:pPr>
      <w:r w:rsidRPr="00514D49">
        <w:t>A.</w:t>
      </w:r>
      <w:r w:rsidRPr="00514D49">
        <w:tab/>
        <w:t>Disorderly or boisterous conduct is forbidden.</w:t>
      </w:r>
    </w:p>
    <w:p w14:paraId="25C01ECE" w14:textId="77777777" w:rsidR="00F17615" w:rsidRPr="00514D49" w:rsidRDefault="00F17615" w:rsidP="00F17615">
      <w:pPr>
        <w:pStyle w:val="A"/>
      </w:pPr>
      <w:r w:rsidRPr="00514D49">
        <w:t>B.</w:t>
      </w:r>
      <w:r w:rsidRPr="00514D49">
        <w:tab/>
        <w:t>The site manager and his designees are authorized to control the use and consumption of alcoholic beverages at a site. This includes the authority to prohibit the consumption of alcohol in designated areas within a site. The lawful consumption of alcoholic beverages may be allowed to the extent that such activity does not adversely affect the use and enjoyment of the site by other site users.</w:t>
      </w:r>
    </w:p>
    <w:p w14:paraId="566A8D71" w14:textId="77777777" w:rsidR="00F17615" w:rsidRPr="00514D49" w:rsidRDefault="00F17615" w:rsidP="00F17615">
      <w:pPr>
        <w:pStyle w:val="A"/>
      </w:pPr>
      <w:r w:rsidRPr="00514D49">
        <w:t>C.</w:t>
      </w:r>
      <w:r w:rsidRPr="00514D49">
        <w:tab/>
        <w:t>No person shall publicly display on his vehicle, campsite, clothing, person or otherwise:</w:t>
      </w:r>
    </w:p>
    <w:p w14:paraId="50C10244" w14:textId="77777777" w:rsidR="00F17615" w:rsidRPr="00514D49" w:rsidRDefault="00F17615" w:rsidP="00F17615">
      <w:pPr>
        <w:pStyle w:val="1"/>
      </w:pPr>
      <w:r w:rsidRPr="00514D49">
        <w:t>1.</w:t>
      </w:r>
      <w:r w:rsidRPr="00514D49">
        <w:tab/>
        <w:t>any word or words, image, graphic or depiction that is obscene (as defined by R.S. 14:106);</w:t>
      </w:r>
    </w:p>
    <w:p w14:paraId="1780B8DB" w14:textId="77777777" w:rsidR="00F17615" w:rsidRPr="00514D49" w:rsidRDefault="00F17615" w:rsidP="00F17615">
      <w:pPr>
        <w:pStyle w:val="1"/>
      </w:pPr>
      <w:r w:rsidRPr="00514D49">
        <w:t>2.</w:t>
      </w:r>
      <w:r w:rsidRPr="00514D49">
        <w:tab/>
        <w:t>denigrates any ethnic, racial, religious or minority group; or</w:t>
      </w:r>
    </w:p>
    <w:p w14:paraId="40406E58" w14:textId="77777777" w:rsidR="00F17615" w:rsidRPr="00514D49" w:rsidRDefault="00F17615" w:rsidP="00F17615">
      <w:pPr>
        <w:pStyle w:val="1"/>
      </w:pPr>
      <w:r w:rsidRPr="00514D49">
        <w:t>3.</w:t>
      </w:r>
      <w:r w:rsidRPr="00514D49">
        <w:tab/>
        <w:t>promotes violence or illegal activity.</w:t>
      </w:r>
    </w:p>
    <w:p w14:paraId="02D5F612" w14:textId="77777777" w:rsidR="00F17615" w:rsidRPr="00514D49" w:rsidRDefault="00F17615" w:rsidP="00F17615">
      <w:pPr>
        <w:pStyle w:val="AuthorityNote"/>
      </w:pPr>
      <w:r w:rsidRPr="00514D49">
        <w:t>AUTHORITY NOTE:</w:t>
      </w:r>
      <w:r w:rsidRPr="00514D49">
        <w:tab/>
        <w:t>Promulgated in accordance with Act 591 of 1970 and R.S. 3:4402.</w:t>
      </w:r>
    </w:p>
    <w:p w14:paraId="654DCAAE"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14:paraId="7465739D" w14:textId="77777777" w:rsidR="00F17615" w:rsidRPr="00514D49" w:rsidRDefault="00F17615" w:rsidP="00F17615">
      <w:pPr>
        <w:pStyle w:val="Section"/>
      </w:pPr>
      <w:bookmarkStart w:id="3238" w:name="_Toc398793315"/>
      <w:bookmarkStart w:id="3239" w:name="_Toc224819576"/>
      <w:r w:rsidRPr="00514D49">
        <w:t>§523.</w:t>
      </w:r>
      <w:r w:rsidRPr="00514D49">
        <w:tab/>
        <w:t>Business Activities</w:t>
      </w:r>
      <w:bookmarkEnd w:id="3238"/>
      <w:bookmarkEnd w:id="3239"/>
    </w:p>
    <w:p w14:paraId="73114F49" w14:textId="77777777" w:rsidR="00667D4F" w:rsidRPr="003D68C4" w:rsidRDefault="00F17615" w:rsidP="00667D4F">
      <w:pPr>
        <w:pStyle w:val="A"/>
      </w:pPr>
      <w:r w:rsidRPr="00514D49">
        <w:t>A.</w:t>
      </w:r>
      <w:r w:rsidRPr="00514D49">
        <w:tab/>
      </w:r>
      <w:r w:rsidR="00667D4F" w:rsidRPr="003D68C4">
        <w:t xml:space="preserve">No person may sell or offer for sale any merchandise or service without the written consent of the site manager. </w:t>
      </w:r>
    </w:p>
    <w:p w14:paraId="7A1B8A18" w14:textId="77777777" w:rsidR="00667D4F" w:rsidRPr="003D68C4" w:rsidRDefault="00667D4F" w:rsidP="00667D4F">
      <w:pPr>
        <w:pStyle w:val="A"/>
      </w:pPr>
      <w:r w:rsidRPr="003D68C4">
        <w:t>B.</w:t>
      </w:r>
      <w:r>
        <w:tab/>
      </w:r>
      <w:r w:rsidRPr="003D68C4">
        <w:t xml:space="preserve">No person may distribute, post, place, or erect any advertising device without the written consent of the site manager. </w:t>
      </w:r>
    </w:p>
    <w:p w14:paraId="0D8DAE30" w14:textId="77777777" w:rsidR="00667D4F" w:rsidRPr="003D68C4" w:rsidRDefault="00667D4F" w:rsidP="00667D4F">
      <w:pPr>
        <w:pStyle w:val="A"/>
      </w:pPr>
      <w:r w:rsidRPr="003D68C4">
        <w:t>C.</w:t>
      </w:r>
      <w:r>
        <w:tab/>
      </w:r>
      <w:r w:rsidRPr="003D68C4">
        <w:t>Events</w:t>
      </w:r>
    </w:p>
    <w:p w14:paraId="0F601778" w14:textId="77777777" w:rsidR="00667D4F" w:rsidRPr="003D68C4" w:rsidRDefault="00667D4F" w:rsidP="00667D4F">
      <w:pPr>
        <w:pStyle w:val="1"/>
      </w:pPr>
      <w:r w:rsidRPr="003D68C4">
        <w:t>1.</w:t>
      </w:r>
      <w:r w:rsidRPr="003D68C4">
        <w:tab/>
        <w:t>The site manager may allow businesses to participate in site events as a vendor.</w:t>
      </w:r>
    </w:p>
    <w:p w14:paraId="74711AA0" w14:textId="77777777" w:rsidR="00667D4F" w:rsidRPr="003D68C4" w:rsidRDefault="00667D4F" w:rsidP="00667D4F">
      <w:pPr>
        <w:pStyle w:val="1"/>
      </w:pPr>
      <w:r w:rsidRPr="003D68C4">
        <w:t>2.</w:t>
      </w:r>
      <w:r>
        <w:tab/>
      </w:r>
      <w:r w:rsidRPr="003D68C4">
        <w:t xml:space="preserve">The vendors must submit an application and a $75 application fee to be considered for participation in events. </w:t>
      </w:r>
    </w:p>
    <w:p w14:paraId="321769A2" w14:textId="77777777" w:rsidR="00F17615" w:rsidRPr="00514D49" w:rsidRDefault="00F17615" w:rsidP="00667D4F">
      <w:pPr>
        <w:pStyle w:val="AuthorityNote"/>
      </w:pPr>
      <w:r w:rsidRPr="00514D49">
        <w:lastRenderedPageBreak/>
        <w:t>AUTHORITY NOTE:</w:t>
      </w:r>
      <w:r w:rsidRPr="00514D49">
        <w:tab/>
        <w:t>Promulgated in accordance with Act 591 of 1970 and R.S. 3:4402.</w:t>
      </w:r>
    </w:p>
    <w:p w14:paraId="473C28EB"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667D4F">
        <w:t xml:space="preserve">LR 42:1505 (September 2016), </w:t>
      </w:r>
      <w:r w:rsidR="00667D4F" w:rsidRPr="003D68C4">
        <w:t xml:space="preserve">amended </w:t>
      </w:r>
      <w:r w:rsidR="00667D4F">
        <w:t>LR 51:30 (January 2025).</w:t>
      </w:r>
    </w:p>
    <w:p w14:paraId="69FA9AA2" w14:textId="77777777" w:rsidR="00F17615" w:rsidRPr="00514D49" w:rsidRDefault="00F17615" w:rsidP="00F17615">
      <w:pPr>
        <w:pStyle w:val="Section"/>
      </w:pPr>
      <w:bookmarkStart w:id="3240" w:name="_Toc398793316"/>
      <w:bookmarkStart w:id="3241" w:name="_Toc224819577"/>
      <w:r w:rsidRPr="00514D49">
        <w:t>§525.</w:t>
      </w:r>
      <w:r w:rsidRPr="00514D49">
        <w:tab/>
        <w:t>Enforcement</w:t>
      </w:r>
      <w:bookmarkEnd w:id="3240"/>
      <w:bookmarkEnd w:id="3241"/>
    </w:p>
    <w:p w14:paraId="4E0B1BD5" w14:textId="77777777" w:rsidR="00006B2E" w:rsidRDefault="00006B2E" w:rsidP="00006B2E">
      <w:pPr>
        <w:pStyle w:val="A"/>
      </w:pPr>
      <w:r>
        <w:t>A.</w:t>
      </w:r>
      <w:r>
        <w:tab/>
        <w:t>Persons violating these rules and regulations are subject to administrative sanctions to include fines for each violation, eviction from the site (temporary or permanent), and/or restitution to the department for damages incurred. If a person is delinquent in paying for damage incurred, the department reserves the right to refuse privileges to that person pending receipt of such restitution.</w:t>
      </w:r>
    </w:p>
    <w:p w14:paraId="1B379233" w14:textId="77777777" w:rsidR="00006B2E" w:rsidRDefault="00006B2E" w:rsidP="00006B2E">
      <w:pPr>
        <w:pStyle w:val="A"/>
      </w:pPr>
      <w:r>
        <w:t>B.</w:t>
      </w:r>
      <w:r>
        <w:tab/>
        <w:t>No person shall enter a site:</w:t>
      </w:r>
    </w:p>
    <w:p w14:paraId="3DF05D82" w14:textId="77777777" w:rsidR="00006B2E" w:rsidRDefault="00006B2E" w:rsidP="00006B2E">
      <w:pPr>
        <w:pStyle w:val="1"/>
      </w:pPr>
      <w:r>
        <w:t>1.</w:t>
      </w:r>
      <w:r>
        <w:tab/>
        <w:t>when the site is closed; or</w:t>
      </w:r>
    </w:p>
    <w:p w14:paraId="494019CB" w14:textId="77777777" w:rsidR="00006B2E" w:rsidRDefault="00006B2E" w:rsidP="00006B2E">
      <w:pPr>
        <w:pStyle w:val="1"/>
      </w:pPr>
      <w:r>
        <w:t>2.</w:t>
      </w:r>
      <w:r>
        <w:tab/>
        <w:t>without proper registration.</w:t>
      </w:r>
    </w:p>
    <w:p w14:paraId="3B2A6B38" w14:textId="77777777" w:rsidR="00F17615" w:rsidRPr="00514D49" w:rsidRDefault="00006B2E" w:rsidP="00006B2E">
      <w:pPr>
        <w:pStyle w:val="A"/>
      </w:pPr>
      <w:r>
        <w:t>C.</w:t>
      </w:r>
      <w:r>
        <w:tab/>
        <w:t>Site visitors may be required to furnish specific information upon registration, including but not limited to, vehicle license plate number and a driver's license number.</w:t>
      </w:r>
    </w:p>
    <w:p w14:paraId="65602174" w14:textId="77777777" w:rsidR="00F17615" w:rsidRPr="00514D49" w:rsidRDefault="00F17615" w:rsidP="00F17615">
      <w:pPr>
        <w:pStyle w:val="AuthorityNote"/>
      </w:pPr>
      <w:r w:rsidRPr="00514D49">
        <w:t>AUTHORITY NOTE:</w:t>
      </w:r>
      <w:r w:rsidRPr="00514D49">
        <w:tab/>
        <w:t>Promulgated in accordance with Act 591 of 1970 and R.S. 3:4402.</w:t>
      </w:r>
    </w:p>
    <w:p w14:paraId="33F03E60"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r w:rsidR="00006B2E">
        <w:t xml:space="preserve">, </w:t>
      </w:r>
      <w:r w:rsidR="00006B2E" w:rsidRPr="00046B28">
        <w:t xml:space="preserve">amended </w:t>
      </w:r>
      <w:r w:rsidR="00006B2E">
        <w:t>LR 43:1517 (August 2017).</w:t>
      </w:r>
    </w:p>
    <w:p w14:paraId="2295BD8C" w14:textId="77777777" w:rsidR="00F17615" w:rsidRPr="00514D49" w:rsidRDefault="00F17615" w:rsidP="00F17615">
      <w:pPr>
        <w:pStyle w:val="Section"/>
      </w:pPr>
      <w:bookmarkStart w:id="3242" w:name="_Toc398793317"/>
      <w:bookmarkStart w:id="3243" w:name="_Toc224819578"/>
      <w:r w:rsidRPr="00514D49">
        <w:t>§527.</w:t>
      </w:r>
      <w:r w:rsidRPr="00514D49">
        <w:tab/>
      </w:r>
      <w:bookmarkStart w:id="3244" w:name="_Toc398793319"/>
      <w:bookmarkEnd w:id="3242"/>
      <w:r w:rsidRPr="00514D49">
        <w:t>Overnight Use</w:t>
      </w:r>
      <w:bookmarkEnd w:id="3243"/>
      <w:bookmarkEnd w:id="3244"/>
    </w:p>
    <w:p w14:paraId="65956113" w14:textId="77777777" w:rsidR="00F17615" w:rsidRPr="00514D49" w:rsidRDefault="00F17615" w:rsidP="00F17615">
      <w:pPr>
        <w:pStyle w:val="A"/>
      </w:pPr>
      <w:r w:rsidRPr="00514D49">
        <w:t>A.</w:t>
      </w:r>
      <w:r w:rsidRPr="00514D49">
        <w:tab/>
        <w:t>General Provisions</w:t>
      </w:r>
    </w:p>
    <w:p w14:paraId="2EB9FF1A" w14:textId="77777777" w:rsidR="00F17615" w:rsidRPr="00514D49" w:rsidRDefault="00F17615" w:rsidP="00F17615">
      <w:pPr>
        <w:pStyle w:val="1"/>
      </w:pPr>
      <w:r w:rsidRPr="00514D49">
        <w:t>1.</w:t>
      </w:r>
      <w:r w:rsidRPr="00514D49">
        <w:tab/>
        <w:t>Any use of a site requires a written permit or payment receipt.</w:t>
      </w:r>
      <w:r>
        <w:t xml:space="preserve"> </w:t>
      </w:r>
      <w:r w:rsidRPr="00514D49">
        <w:t>Proof of payment shall be presented to a department employee upon request.</w:t>
      </w:r>
    </w:p>
    <w:p w14:paraId="307C632F" w14:textId="77777777" w:rsidR="00F17615" w:rsidRPr="00514D49" w:rsidRDefault="00F17615" w:rsidP="00F17615">
      <w:pPr>
        <w:pStyle w:val="1"/>
      </w:pPr>
      <w:r w:rsidRPr="00514D49">
        <w:t>2.</w:t>
      </w:r>
      <w:r w:rsidRPr="00514D49">
        <w:tab/>
        <w:t>Permittee may not transfer or assign any use permit nor sublet any facility or part thereof.</w:t>
      </w:r>
    </w:p>
    <w:p w14:paraId="2EF5DAA4" w14:textId="77777777" w:rsidR="00F17615" w:rsidRPr="00514D49" w:rsidRDefault="00F17615" w:rsidP="00F17615">
      <w:pPr>
        <w:pStyle w:val="1"/>
      </w:pPr>
      <w:r w:rsidRPr="00514D49">
        <w:t>3.</w:t>
      </w:r>
      <w:r w:rsidRPr="00514D49">
        <w:tab/>
        <w:t>The site manager has the authority to require the registration of every person occupying a campsite or overnight facility.</w:t>
      </w:r>
    </w:p>
    <w:p w14:paraId="28D193E1" w14:textId="77777777" w:rsidR="00F17615" w:rsidRPr="00514D49" w:rsidRDefault="00F17615" w:rsidP="00F17615">
      <w:pPr>
        <w:pStyle w:val="1"/>
      </w:pPr>
      <w:r w:rsidRPr="00514D49">
        <w:t>4.</w:t>
      </w:r>
      <w:r w:rsidRPr="00514D49">
        <w:tab/>
        <w:t>Any permit may be terminated by the site manager upon the violation of any established rule, regulation, or any condition of the permit.</w:t>
      </w:r>
    </w:p>
    <w:p w14:paraId="0B22F176" w14:textId="77777777" w:rsidR="00006B2E" w:rsidRDefault="00006B2E" w:rsidP="00F17615">
      <w:pPr>
        <w:pStyle w:val="1"/>
      </w:pPr>
      <w:r w:rsidRPr="00006B2E">
        <w:t>5.</w:t>
      </w:r>
      <w:r w:rsidRPr="00006B2E">
        <w:tab/>
        <w:t>Pass codes on entrance gates are issued for the personal use of the permittee, who is prohibited from allowing others to use the pass code, or otherwise making the facilities open so that others not covered by the permit may enter or leave the facility or area. Each campsite will be issued two temporary vehicle mirror hangtags to assist employees in identifying paid guests. The first vehicle is the RV or truck pulling the camper. The second vehicle is defined as a vehicle being towed behind the RV or driven by another occupant who is camping on the same campsite. Additional vehicles will be allowed by way of a general admission day-use entrance fee (see §531)</w:t>
      </w:r>
      <w:r>
        <w:t>.</w:t>
      </w:r>
    </w:p>
    <w:p w14:paraId="569603B9" w14:textId="77777777" w:rsidR="00F17615" w:rsidRPr="00514D49" w:rsidRDefault="00F17615" w:rsidP="00F17615">
      <w:pPr>
        <w:pStyle w:val="1"/>
      </w:pPr>
      <w:r w:rsidRPr="00514D49">
        <w:t>6.</w:t>
      </w:r>
      <w:r w:rsidRPr="00514D49">
        <w:tab/>
        <w:t>Established time schedules (check-in and check-out) are strictly enforced. Failure to comply without advanced approval of the site manager may result in additional charges and denial of any future use of the facility.</w:t>
      </w:r>
    </w:p>
    <w:p w14:paraId="5419B177" w14:textId="77777777" w:rsidR="00F17615" w:rsidRPr="00514D49" w:rsidRDefault="00006B2E" w:rsidP="00F17615">
      <w:pPr>
        <w:pStyle w:val="1"/>
      </w:pPr>
      <w:r w:rsidRPr="00006B2E">
        <w:t>7.</w:t>
      </w:r>
      <w:r w:rsidRPr="00006B2E">
        <w:tab/>
        <w:t>Overnight users must maintain a reasonably quiet facility between the hours of 10 p.m. and 7 a.m. No generators are allowed to be operational between the aforementioned hours.</w:t>
      </w:r>
    </w:p>
    <w:p w14:paraId="78B9F33A" w14:textId="77777777" w:rsidR="00F17615" w:rsidRPr="00514D49" w:rsidRDefault="00F17615" w:rsidP="00F17615">
      <w:pPr>
        <w:pStyle w:val="1"/>
      </w:pPr>
      <w:r w:rsidRPr="00514D49">
        <w:t>8.</w:t>
      </w:r>
      <w:r w:rsidRPr="00514D49">
        <w:tab/>
        <w:t>Overnight users shall not erect or display unsightly or inappropriate structures or features which, in the opinion of the site manager, may create a disturbing or otherwise unpleasant condition detrimental to the general site use.</w:t>
      </w:r>
    </w:p>
    <w:p w14:paraId="10B4DF79" w14:textId="77777777" w:rsidR="00F17615" w:rsidRPr="00514D49" w:rsidRDefault="00F17615" w:rsidP="00F17615">
      <w:pPr>
        <w:pStyle w:val="1"/>
      </w:pPr>
      <w:r w:rsidRPr="00514D49">
        <w:t>9.</w:t>
      </w:r>
      <w:r w:rsidRPr="00514D49">
        <w:tab/>
        <w:t>No permittee may repair or install any site equipment or furnishings unless authorized and supervised by the site manager.</w:t>
      </w:r>
    </w:p>
    <w:p w14:paraId="05EDF1EA" w14:textId="77777777" w:rsidR="00F17615" w:rsidRPr="00514D49" w:rsidRDefault="00F17615" w:rsidP="00F17615">
      <w:pPr>
        <w:pStyle w:val="1"/>
        <w:rPr>
          <w:strike/>
        </w:rPr>
      </w:pPr>
      <w:r w:rsidRPr="00514D49">
        <w:t>10.</w:t>
      </w:r>
      <w:r w:rsidRPr="00514D49">
        <w:tab/>
        <w:t xml:space="preserve">No person shall be permitted to reside at Indian Creek Recreation Area without written approval of the </w:t>
      </w:r>
      <w:r>
        <w:t>commissioner.</w:t>
      </w:r>
    </w:p>
    <w:p w14:paraId="14664007" w14:textId="77777777" w:rsidR="00F17615" w:rsidRPr="00514D49" w:rsidRDefault="00F17615" w:rsidP="00F17615">
      <w:pPr>
        <w:pStyle w:val="1"/>
      </w:pPr>
      <w:r w:rsidRPr="00514D49">
        <w:t>11.</w:t>
      </w:r>
      <w:r w:rsidRPr="00514D49">
        <w:tab/>
        <w:t>Parking for boat trailers and additional vehicles may be allowed at the discretion of the site manager or his designee, subject to individual site suitability for such purposes.</w:t>
      </w:r>
    </w:p>
    <w:p w14:paraId="31B311DA" w14:textId="77777777" w:rsidR="00F17615" w:rsidRPr="00514D49" w:rsidRDefault="00F17615" w:rsidP="00F17615">
      <w:pPr>
        <w:pStyle w:val="1"/>
      </w:pPr>
      <w:r w:rsidRPr="00514D49">
        <w:t>12.</w:t>
      </w:r>
      <w:r w:rsidRPr="00514D49">
        <w:tab/>
        <w:t>Permittees waive and release all claims against the state of Louisiana for any damage to person or property arising from the privileges granted by any use permit.</w:t>
      </w:r>
    </w:p>
    <w:p w14:paraId="3DC0B2B6" w14:textId="77777777" w:rsidR="00F17615" w:rsidRPr="00514D49" w:rsidRDefault="00F17615" w:rsidP="00F17615">
      <w:pPr>
        <w:pStyle w:val="A"/>
      </w:pPr>
      <w:r w:rsidRPr="00514D49">
        <w:t>B.</w:t>
      </w:r>
      <w:r w:rsidRPr="00514D49">
        <w:tab/>
        <w:t>Camping</w:t>
      </w:r>
    </w:p>
    <w:p w14:paraId="2494B3C8" w14:textId="77777777" w:rsidR="00006B2E" w:rsidRPr="00006B2E" w:rsidRDefault="00006B2E" w:rsidP="00006B2E">
      <w:pPr>
        <w:pStyle w:val="1"/>
      </w:pPr>
      <w:bookmarkStart w:id="3245" w:name="_Toc398793322"/>
      <w:r w:rsidRPr="00006B2E">
        <w:t>1.</w:t>
      </w:r>
      <w:r w:rsidRPr="00006B2E">
        <w:tab/>
      </w:r>
      <w:r w:rsidR="00667D4F" w:rsidRPr="003D68C4">
        <w:t>With the exception of a campground host and campsites reserved at the 30-day off-season rate, overnight camping is limited to 14 consecutive days. After 14 consecutive days of occupancy at a site, all registered visitors of the site</w:t>
      </w:r>
      <w:r w:rsidR="00667D4F">
        <w:t xml:space="preserve"> </w:t>
      </w:r>
      <w:r w:rsidR="00667D4F" w:rsidRPr="003D68C4">
        <w:t>and all camping equipment must vacate the site for 7 consecutive days before occupancy may be resumed. The site manager reserves the right to cancel any reservations in violation of this provision.</w:t>
      </w:r>
    </w:p>
    <w:p w14:paraId="77C1B3F4" w14:textId="77777777" w:rsidR="00006B2E" w:rsidRPr="00006B2E" w:rsidRDefault="00006B2E" w:rsidP="00006B2E">
      <w:pPr>
        <w:pStyle w:val="1"/>
      </w:pPr>
      <w:r w:rsidRPr="00006B2E">
        <w:t>2.</w:t>
      </w:r>
      <w:r w:rsidRPr="00006B2E">
        <w:tab/>
        <w:t>During winter rental (November 1-February 28), a camper may occupy a site for 30 or more days at a time, subject to availability. No campsite may be unattended for longer than a 48-hour continuous period under any permit agreement.</w:t>
      </w:r>
    </w:p>
    <w:p w14:paraId="5D218F99" w14:textId="77777777" w:rsidR="00006B2E" w:rsidRPr="00006B2E" w:rsidRDefault="00006B2E" w:rsidP="00006B2E">
      <w:pPr>
        <w:pStyle w:val="1"/>
      </w:pPr>
      <w:r w:rsidRPr="00006B2E">
        <w:t>3.</w:t>
      </w:r>
      <w:r w:rsidRPr="00006B2E">
        <w:tab/>
        <w:t xml:space="preserve">Indian Creek Recreation Area is intended for tents and recreational vehicles only. The term “recreational vehicles” includes but is not limited to camper trailers, travel trailers and fifth wheel trailers but does not include ATVs. </w:t>
      </w:r>
    </w:p>
    <w:p w14:paraId="6B8ED970" w14:textId="77777777" w:rsidR="00006B2E" w:rsidRPr="00006B2E" w:rsidRDefault="00006B2E" w:rsidP="00006B2E">
      <w:pPr>
        <w:pStyle w:val="1"/>
      </w:pPr>
      <w:r w:rsidRPr="00006B2E">
        <w:t>4.</w:t>
      </w:r>
      <w:r w:rsidRPr="00006B2E">
        <w:tab/>
        <w:t xml:space="preserve">Campsite occupancy is limited to six persons. At designated group camping areas occupancy limits are set by the site manager or his designee. </w:t>
      </w:r>
    </w:p>
    <w:p w14:paraId="62389D5D" w14:textId="77777777" w:rsidR="00006B2E" w:rsidRPr="00006B2E" w:rsidRDefault="00006B2E" w:rsidP="00006B2E">
      <w:pPr>
        <w:pStyle w:val="1"/>
      </w:pPr>
      <w:r w:rsidRPr="00006B2E">
        <w:t>5.</w:t>
      </w:r>
      <w:r w:rsidRPr="00006B2E">
        <w:tab/>
        <w:t>The following are to be used as general guidelines to define a camping unit by the site manager or his designee:</w:t>
      </w:r>
    </w:p>
    <w:p w14:paraId="30F9E668" w14:textId="77777777" w:rsidR="00006B2E" w:rsidRPr="00006B2E" w:rsidRDefault="00006B2E" w:rsidP="005D4A2B">
      <w:pPr>
        <w:pStyle w:val="a0"/>
      </w:pPr>
      <w:r w:rsidRPr="00006B2E">
        <w:t>a.</w:t>
      </w:r>
      <w:r w:rsidRPr="00006B2E">
        <w:tab/>
        <w:t>one camper with additional vehicle and one large tent or two small tents;</w:t>
      </w:r>
    </w:p>
    <w:p w14:paraId="7E08F3A7" w14:textId="77777777" w:rsidR="00006B2E" w:rsidRPr="00006B2E" w:rsidRDefault="00006B2E" w:rsidP="005D4A2B">
      <w:pPr>
        <w:pStyle w:val="a0"/>
      </w:pPr>
      <w:r w:rsidRPr="00006B2E">
        <w:t>b.</w:t>
      </w:r>
      <w:r w:rsidRPr="00006B2E">
        <w:tab/>
        <w:t>two vehicles and tent combinations not to exceed three tents.</w:t>
      </w:r>
    </w:p>
    <w:p w14:paraId="38783FA2" w14:textId="77777777" w:rsidR="00F17615" w:rsidRPr="00514D49" w:rsidRDefault="00F17615" w:rsidP="00F17615">
      <w:pPr>
        <w:pStyle w:val="AuthorityNote"/>
      </w:pPr>
      <w:r w:rsidRPr="00514D49">
        <w:t>AUTHORITY NOTE:</w:t>
      </w:r>
      <w:r w:rsidRPr="00514D49">
        <w:tab/>
        <w:t>Promulgated in accordance with Act 591 of 1970 and R.S. 3:4402.</w:t>
      </w:r>
    </w:p>
    <w:p w14:paraId="782E0E54"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5D4A2B">
        <w:t xml:space="preserve">LR 42:1505 (September </w:t>
      </w:r>
      <w:r w:rsidR="005D4A2B">
        <w:lastRenderedPageBreak/>
        <w:t>2016),</w:t>
      </w:r>
      <w:r w:rsidR="005D4A2B" w:rsidRPr="005D4A2B">
        <w:t xml:space="preserve"> </w:t>
      </w:r>
      <w:r w:rsidR="005D4A2B" w:rsidRPr="00046B28">
        <w:t xml:space="preserve">amended LR </w:t>
      </w:r>
      <w:r w:rsidR="005D4A2B">
        <w:t>43:1518 (August 201</w:t>
      </w:r>
      <w:r w:rsidR="00CB297A">
        <w:t>7</w:t>
      </w:r>
      <w:r w:rsidR="00667D4F">
        <w:t xml:space="preserve">), </w:t>
      </w:r>
      <w:r w:rsidR="00667D4F" w:rsidRPr="003D68C4">
        <w:t xml:space="preserve">amended </w:t>
      </w:r>
      <w:r w:rsidR="00667D4F">
        <w:t>LR 51:31 (January 2025).</w:t>
      </w:r>
    </w:p>
    <w:p w14:paraId="19E89C9C" w14:textId="77777777" w:rsidR="00F17615" w:rsidRPr="00514D49" w:rsidRDefault="00F17615" w:rsidP="00F17615">
      <w:pPr>
        <w:pStyle w:val="Section"/>
      </w:pPr>
      <w:bookmarkStart w:id="3246" w:name="_Toc224819579"/>
      <w:r w:rsidRPr="00514D49">
        <w:t>§</w:t>
      </w:r>
      <w:r>
        <w:t>529.</w:t>
      </w:r>
      <w:r>
        <w:tab/>
        <w:t>Fees and Emergency Closing</w:t>
      </w:r>
      <w:bookmarkEnd w:id="3246"/>
    </w:p>
    <w:p w14:paraId="0BCCDC53" w14:textId="77777777" w:rsidR="00F17615" w:rsidRPr="00514D49" w:rsidRDefault="00F17615" w:rsidP="00F17615">
      <w:pPr>
        <w:pStyle w:val="A"/>
      </w:pPr>
      <w:r w:rsidRPr="00514D49">
        <w:t>A.</w:t>
      </w:r>
      <w:r w:rsidRPr="00514D49">
        <w:tab/>
        <w:t>The use of Indian Creek Recreation Area is subject to charges which will be imposed by the manager according to the schedule of fees approved by the department. The manager or his agents are responsible for the collection and enforcement of these fees.</w:t>
      </w:r>
    </w:p>
    <w:p w14:paraId="4D2D12D9" w14:textId="77777777" w:rsidR="00F17615" w:rsidRPr="00514D49" w:rsidRDefault="00F17615" w:rsidP="00F17615">
      <w:pPr>
        <w:pStyle w:val="A"/>
      </w:pPr>
      <w:r w:rsidRPr="00514D49">
        <w:t>B.</w:t>
      </w:r>
      <w:r w:rsidRPr="00514D49">
        <w:tab/>
        <w:t xml:space="preserve">The </w:t>
      </w:r>
      <w:r>
        <w:t>commissioner</w:t>
      </w:r>
      <w:r w:rsidRPr="00514D49">
        <w:t xml:space="preserve"> or his authorized agent may direct the closing of Indian Creek Recreation Area to public use when or if any natural or man-made occurrence has affected, or is expected to affect, the operation and management of the</w:t>
      </w:r>
      <w:r>
        <w:t xml:space="preserve"> </w:t>
      </w:r>
      <w:r w:rsidRPr="00514D49">
        <w:t>site to a degree that normal public use and enjoyment are altered, or when such use may impair the health, safety, and well-being of the public or employees of the agency.</w:t>
      </w:r>
    </w:p>
    <w:p w14:paraId="5538FF99" w14:textId="77777777" w:rsidR="00F17615" w:rsidRPr="00514D49" w:rsidRDefault="00F17615" w:rsidP="00F17615">
      <w:pPr>
        <w:pStyle w:val="AuthorityNote"/>
      </w:pPr>
      <w:r w:rsidRPr="00514D49">
        <w:t>AUTHORITY NOTE:</w:t>
      </w:r>
      <w:r w:rsidRPr="00514D49">
        <w:tab/>
        <w:t>Promulgated in accordance with Act 591 of 1970 and R.S. 3:4402.</w:t>
      </w:r>
    </w:p>
    <w:p w14:paraId="06B27896"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42:1506 (September 2016).</w:t>
      </w:r>
    </w:p>
    <w:p w14:paraId="07C8CA78" w14:textId="77777777" w:rsidR="00F17615" w:rsidRPr="00514D49" w:rsidRDefault="00F17615" w:rsidP="00F17615">
      <w:pPr>
        <w:pStyle w:val="Section"/>
      </w:pPr>
      <w:bookmarkStart w:id="3247" w:name="_Toc224819580"/>
      <w:r w:rsidRPr="00514D49">
        <w:t>§531.</w:t>
      </w:r>
      <w:r w:rsidRPr="00514D49">
        <w:tab/>
        <w:t>Fees; Day-Use Fees</w:t>
      </w:r>
      <w:bookmarkEnd w:id="3245"/>
      <w:bookmarkEnd w:id="3247"/>
    </w:p>
    <w:p w14:paraId="3D0C0502" w14:textId="77777777" w:rsidR="00F17615" w:rsidRPr="00514D49" w:rsidRDefault="00F17615" w:rsidP="00667D4F">
      <w:pPr>
        <w:pStyle w:val="A"/>
      </w:pPr>
      <w:r w:rsidRPr="00514D49">
        <w:t>A.</w:t>
      </w:r>
      <w:r w:rsidRPr="00514D49">
        <w:tab/>
      </w:r>
      <w:r w:rsidR="00667D4F" w:rsidRPr="003D68C4">
        <w:t>The day-use fee at Indian Creek Recreational Area is</w:t>
      </w:r>
      <w:r w:rsidR="00667D4F" w:rsidRPr="003D68C4">
        <w:rPr>
          <w:color w:val="FF0000"/>
        </w:rPr>
        <w:t xml:space="preserve"> </w:t>
      </w:r>
      <w:r w:rsidR="00667D4F" w:rsidRPr="003D68C4">
        <w:t>up to $8 per vehicle with 5 or fewer occupants and up to $10 with more than 5 occupants. Pavilion renta</w:t>
      </w:r>
      <w:r w:rsidR="00667D4F">
        <w:t>l does not include day-use fee.</w:t>
      </w:r>
    </w:p>
    <w:p w14:paraId="1128E609" w14:textId="77777777" w:rsidR="00F17615" w:rsidRPr="00514D49" w:rsidRDefault="00F17615" w:rsidP="00F17615">
      <w:pPr>
        <w:pStyle w:val="1"/>
      </w:pPr>
      <w:r w:rsidRPr="00514D49">
        <w:t>2.</w:t>
      </w:r>
      <w:r w:rsidRPr="00514D49">
        <w:tab/>
        <w:t xml:space="preserve">A self-service fee system may be used to collect user fees. </w:t>
      </w:r>
    </w:p>
    <w:p w14:paraId="690DA59C" w14:textId="77777777" w:rsidR="00F17615" w:rsidRPr="00514D49" w:rsidRDefault="00F17615" w:rsidP="00F17615">
      <w:pPr>
        <w:pStyle w:val="AuthorityNote"/>
      </w:pPr>
      <w:r w:rsidRPr="00514D49">
        <w:t>AUTHORITY NOTE:</w:t>
      </w:r>
      <w:r w:rsidRPr="00514D49">
        <w:tab/>
        <w:t>Promulgated in accordance with Act 591 of 1970 and R.S. 3:4402.</w:t>
      </w:r>
    </w:p>
    <w:p w14:paraId="4B97304E"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42:1506 (September 2016)</w:t>
      </w:r>
      <w:r w:rsidR="005D4A2B" w:rsidRPr="005D4A2B">
        <w:t>,</w:t>
      </w:r>
      <w:r w:rsidR="005D4A2B">
        <w:t xml:space="preserve"> </w:t>
      </w:r>
      <w:r w:rsidR="005D4A2B" w:rsidRPr="005D4A2B">
        <w:t>amended LR 43:1518 (August 2017</w:t>
      </w:r>
      <w:r w:rsidR="005D4A2B">
        <w:t>)</w:t>
      </w:r>
      <w:r>
        <w:t>.</w:t>
      </w:r>
    </w:p>
    <w:p w14:paraId="022509FD" w14:textId="77777777" w:rsidR="00F17615" w:rsidRPr="00514D49" w:rsidRDefault="00F17615" w:rsidP="00F17615">
      <w:pPr>
        <w:pStyle w:val="Section"/>
      </w:pPr>
      <w:bookmarkStart w:id="3248" w:name="_Toc398793323"/>
      <w:bookmarkStart w:id="3249" w:name="_Toc224819581"/>
      <w:r w:rsidRPr="00514D49">
        <w:t>§533.</w:t>
      </w:r>
      <w:r w:rsidRPr="00514D49">
        <w:tab/>
      </w:r>
      <w:bookmarkEnd w:id="3248"/>
      <w:r w:rsidR="00C74EE9" w:rsidRPr="003D68C4">
        <w:t xml:space="preserve">Fees; Boating </w:t>
      </w:r>
      <w:r w:rsidR="00C74EE9" w:rsidRPr="003D68C4">
        <w:rPr>
          <w:color w:val="000000"/>
        </w:rPr>
        <w:t>and Vehicle Use</w:t>
      </w:r>
      <w:bookmarkEnd w:id="3249"/>
    </w:p>
    <w:p w14:paraId="61FCE6BB" w14:textId="77777777" w:rsidR="00C74EE9" w:rsidRDefault="005D4A2B" w:rsidP="00C74EE9">
      <w:pPr>
        <w:pStyle w:val="A"/>
      </w:pPr>
      <w:r w:rsidRPr="005D4A2B">
        <w:t>A.</w:t>
      </w:r>
      <w:r w:rsidRPr="005D4A2B">
        <w:tab/>
      </w:r>
      <w:r w:rsidR="00C74EE9" w:rsidRPr="003D68C4">
        <w:t>Canoes, kayaks, flat bottom boats, paddleboats or other watercraft may be rented for up to $60</w:t>
      </w:r>
      <w:r w:rsidR="00C74EE9">
        <w:t xml:space="preserve"> </w:t>
      </w:r>
      <w:r w:rsidR="00C74EE9" w:rsidRPr="003D68C4">
        <w:t xml:space="preserve">per vessel per day. Rental of any watercraft includes paddles and two lifejackets. Additional life jackets are available for rental at fee of $1 per day. Hourly watercraft rental is available at the following rates: </w:t>
      </w:r>
    </w:p>
    <w:p w14:paraId="3E2C7A23" w14:textId="77777777" w:rsidR="00C74EE9" w:rsidRPr="003D68C4" w:rsidRDefault="00C74EE9" w:rsidP="00C74EE9">
      <w:pPr>
        <w:pStyle w:val="A"/>
      </w:pPr>
    </w:p>
    <w:tbl>
      <w:tblPr>
        <w:tblW w:w="38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6A0" w:firstRow="1" w:lastRow="0" w:firstColumn="1" w:lastColumn="0" w:noHBand="1" w:noVBand="1"/>
      </w:tblPr>
      <w:tblGrid>
        <w:gridCol w:w="1919"/>
        <w:gridCol w:w="1954"/>
      </w:tblGrid>
      <w:tr w:rsidR="00C74EE9" w:rsidRPr="003D68C4" w14:paraId="63A0BE5B" w14:textId="77777777" w:rsidTr="00A256D4">
        <w:trPr>
          <w:cantSplit/>
          <w:trHeight w:val="279"/>
          <w:jc w:val="center"/>
        </w:trPr>
        <w:tc>
          <w:tcPr>
            <w:tcW w:w="1919" w:type="dxa"/>
            <w:shd w:val="clear" w:color="auto" w:fill="BFBFBF"/>
            <w:tcMar>
              <w:left w:w="105" w:type="dxa"/>
              <w:right w:w="105" w:type="dxa"/>
            </w:tcMar>
            <w:vAlign w:val="bottom"/>
          </w:tcPr>
          <w:p w14:paraId="4B567844" w14:textId="77777777" w:rsidR="00C74EE9" w:rsidRPr="00423FE9" w:rsidRDefault="00C74EE9" w:rsidP="00A256D4">
            <w:pPr>
              <w:keepNext/>
              <w:jc w:val="center"/>
              <w:rPr>
                <w:b/>
                <w:color w:val="0D0D0D"/>
                <w:sz w:val="16"/>
                <w:szCs w:val="16"/>
              </w:rPr>
            </w:pPr>
            <w:r w:rsidRPr="00423FE9">
              <w:rPr>
                <w:b/>
                <w:bCs/>
                <w:color w:val="0D0D0D"/>
                <w:sz w:val="16"/>
                <w:szCs w:val="16"/>
              </w:rPr>
              <w:t>Time</w:t>
            </w:r>
          </w:p>
        </w:tc>
        <w:tc>
          <w:tcPr>
            <w:tcW w:w="1954" w:type="dxa"/>
            <w:shd w:val="clear" w:color="auto" w:fill="BFBFBF"/>
            <w:tcMar>
              <w:left w:w="105" w:type="dxa"/>
              <w:right w:w="105" w:type="dxa"/>
            </w:tcMar>
            <w:vAlign w:val="bottom"/>
          </w:tcPr>
          <w:p w14:paraId="4F50A397" w14:textId="77777777" w:rsidR="00C74EE9" w:rsidRPr="00423FE9" w:rsidRDefault="00C74EE9" w:rsidP="00A256D4">
            <w:pPr>
              <w:keepNext/>
              <w:jc w:val="center"/>
              <w:rPr>
                <w:b/>
                <w:color w:val="0D0D0D"/>
                <w:sz w:val="16"/>
                <w:szCs w:val="16"/>
              </w:rPr>
            </w:pPr>
            <w:r w:rsidRPr="00423FE9">
              <w:rPr>
                <w:b/>
                <w:bCs/>
                <w:color w:val="0D0D0D"/>
                <w:sz w:val="16"/>
                <w:szCs w:val="16"/>
              </w:rPr>
              <w:t>Rental Fee</w:t>
            </w:r>
          </w:p>
        </w:tc>
      </w:tr>
      <w:tr w:rsidR="00C74EE9" w:rsidRPr="003D68C4" w14:paraId="4E3AB658" w14:textId="77777777" w:rsidTr="00A256D4">
        <w:trPr>
          <w:cantSplit/>
          <w:trHeight w:val="291"/>
          <w:jc w:val="center"/>
        </w:trPr>
        <w:tc>
          <w:tcPr>
            <w:tcW w:w="1919" w:type="dxa"/>
            <w:tcMar>
              <w:left w:w="105" w:type="dxa"/>
              <w:right w:w="105" w:type="dxa"/>
            </w:tcMar>
            <w:vAlign w:val="bottom"/>
          </w:tcPr>
          <w:p w14:paraId="28B3957B" w14:textId="77777777" w:rsidR="00C74EE9" w:rsidRPr="003D68C4" w:rsidRDefault="00C74EE9" w:rsidP="00A256D4">
            <w:pPr>
              <w:keepNext/>
              <w:jc w:val="center"/>
              <w:rPr>
                <w:color w:val="0D0D0D"/>
                <w:sz w:val="16"/>
                <w:szCs w:val="16"/>
              </w:rPr>
            </w:pPr>
            <w:r w:rsidRPr="003D68C4">
              <w:rPr>
                <w:color w:val="0D0D0D"/>
                <w:sz w:val="16"/>
                <w:szCs w:val="16"/>
              </w:rPr>
              <w:t xml:space="preserve">1 </w:t>
            </w:r>
            <w:r>
              <w:rPr>
                <w:color w:val="0D0D0D"/>
                <w:sz w:val="16"/>
                <w:szCs w:val="16"/>
              </w:rPr>
              <w:t>h</w:t>
            </w:r>
            <w:r w:rsidRPr="003D68C4">
              <w:rPr>
                <w:color w:val="0D0D0D"/>
                <w:sz w:val="16"/>
                <w:szCs w:val="16"/>
              </w:rPr>
              <w:t>our</w:t>
            </w:r>
          </w:p>
        </w:tc>
        <w:tc>
          <w:tcPr>
            <w:tcW w:w="1954" w:type="dxa"/>
            <w:tcMar>
              <w:left w:w="105" w:type="dxa"/>
              <w:right w:w="105" w:type="dxa"/>
            </w:tcMar>
            <w:vAlign w:val="bottom"/>
          </w:tcPr>
          <w:p w14:paraId="0C7A6328" w14:textId="77777777" w:rsidR="00C74EE9" w:rsidRPr="003D68C4" w:rsidRDefault="00C74EE9" w:rsidP="00A256D4">
            <w:pPr>
              <w:keepNext/>
              <w:jc w:val="center"/>
              <w:rPr>
                <w:color w:val="0D0D0D"/>
                <w:sz w:val="16"/>
                <w:szCs w:val="16"/>
              </w:rPr>
            </w:pPr>
            <w:r w:rsidRPr="003D68C4">
              <w:rPr>
                <w:color w:val="0D0D0D"/>
                <w:sz w:val="16"/>
                <w:szCs w:val="16"/>
              </w:rPr>
              <w:t>$20</w:t>
            </w:r>
          </w:p>
        </w:tc>
      </w:tr>
      <w:tr w:rsidR="00C74EE9" w:rsidRPr="003D68C4" w14:paraId="6111DCBB" w14:textId="77777777" w:rsidTr="00A256D4">
        <w:trPr>
          <w:cantSplit/>
          <w:trHeight w:val="282"/>
          <w:jc w:val="center"/>
        </w:trPr>
        <w:tc>
          <w:tcPr>
            <w:tcW w:w="1919" w:type="dxa"/>
            <w:tcMar>
              <w:left w:w="105" w:type="dxa"/>
              <w:right w:w="105" w:type="dxa"/>
            </w:tcMar>
            <w:vAlign w:val="bottom"/>
          </w:tcPr>
          <w:p w14:paraId="3D722C61" w14:textId="77777777" w:rsidR="00C74EE9" w:rsidRPr="003D68C4" w:rsidRDefault="00C74EE9" w:rsidP="00A256D4">
            <w:pPr>
              <w:keepNext/>
              <w:jc w:val="center"/>
              <w:rPr>
                <w:color w:val="0D0D0D"/>
                <w:sz w:val="16"/>
                <w:szCs w:val="16"/>
              </w:rPr>
            </w:pPr>
            <w:r w:rsidRPr="003D68C4">
              <w:rPr>
                <w:color w:val="0D0D0D"/>
                <w:sz w:val="16"/>
                <w:szCs w:val="16"/>
              </w:rPr>
              <w:t>2 hours</w:t>
            </w:r>
          </w:p>
        </w:tc>
        <w:tc>
          <w:tcPr>
            <w:tcW w:w="1954" w:type="dxa"/>
            <w:tcMar>
              <w:left w:w="105" w:type="dxa"/>
              <w:right w:w="105" w:type="dxa"/>
            </w:tcMar>
            <w:vAlign w:val="bottom"/>
          </w:tcPr>
          <w:p w14:paraId="601D59FB" w14:textId="77777777" w:rsidR="00C74EE9" w:rsidRPr="003D68C4" w:rsidRDefault="00C74EE9" w:rsidP="00A256D4">
            <w:pPr>
              <w:keepNext/>
              <w:jc w:val="center"/>
              <w:rPr>
                <w:color w:val="0D0D0D"/>
                <w:sz w:val="16"/>
                <w:szCs w:val="16"/>
              </w:rPr>
            </w:pPr>
            <w:r w:rsidRPr="003D68C4">
              <w:rPr>
                <w:color w:val="0D0D0D"/>
                <w:sz w:val="16"/>
                <w:szCs w:val="16"/>
              </w:rPr>
              <w:t>$30</w:t>
            </w:r>
          </w:p>
        </w:tc>
      </w:tr>
      <w:tr w:rsidR="00C74EE9" w:rsidRPr="003D68C4" w14:paraId="7356C4EE" w14:textId="77777777" w:rsidTr="00A256D4">
        <w:trPr>
          <w:cantSplit/>
          <w:trHeight w:val="291"/>
          <w:jc w:val="center"/>
        </w:trPr>
        <w:tc>
          <w:tcPr>
            <w:tcW w:w="1919" w:type="dxa"/>
            <w:tcMar>
              <w:left w:w="105" w:type="dxa"/>
              <w:right w:w="105" w:type="dxa"/>
            </w:tcMar>
            <w:vAlign w:val="bottom"/>
          </w:tcPr>
          <w:p w14:paraId="054DD704" w14:textId="77777777" w:rsidR="00C74EE9" w:rsidRPr="003D68C4" w:rsidRDefault="00C74EE9" w:rsidP="00A256D4">
            <w:pPr>
              <w:keepNext/>
              <w:jc w:val="center"/>
              <w:rPr>
                <w:color w:val="0D0D0D"/>
                <w:sz w:val="16"/>
                <w:szCs w:val="16"/>
              </w:rPr>
            </w:pPr>
            <w:r w:rsidRPr="003D68C4">
              <w:rPr>
                <w:color w:val="0D0D0D"/>
                <w:sz w:val="16"/>
                <w:szCs w:val="16"/>
              </w:rPr>
              <w:t xml:space="preserve">4 </w:t>
            </w:r>
            <w:r>
              <w:rPr>
                <w:color w:val="0D0D0D"/>
                <w:sz w:val="16"/>
                <w:szCs w:val="16"/>
              </w:rPr>
              <w:t>h</w:t>
            </w:r>
            <w:r w:rsidRPr="003D68C4">
              <w:rPr>
                <w:color w:val="0D0D0D"/>
                <w:sz w:val="16"/>
                <w:szCs w:val="16"/>
              </w:rPr>
              <w:t>ours</w:t>
            </w:r>
          </w:p>
        </w:tc>
        <w:tc>
          <w:tcPr>
            <w:tcW w:w="1954" w:type="dxa"/>
            <w:tcMar>
              <w:left w:w="105" w:type="dxa"/>
              <w:right w:w="105" w:type="dxa"/>
            </w:tcMar>
            <w:vAlign w:val="bottom"/>
          </w:tcPr>
          <w:p w14:paraId="163E6935" w14:textId="77777777" w:rsidR="00C74EE9" w:rsidRPr="003D68C4" w:rsidRDefault="00C74EE9" w:rsidP="00A256D4">
            <w:pPr>
              <w:keepNext/>
              <w:jc w:val="center"/>
              <w:rPr>
                <w:color w:val="0D0D0D"/>
                <w:sz w:val="16"/>
                <w:szCs w:val="16"/>
              </w:rPr>
            </w:pPr>
            <w:r w:rsidRPr="003D68C4">
              <w:rPr>
                <w:color w:val="0D0D0D"/>
                <w:sz w:val="16"/>
                <w:szCs w:val="16"/>
              </w:rPr>
              <w:t>$40</w:t>
            </w:r>
          </w:p>
        </w:tc>
      </w:tr>
      <w:tr w:rsidR="00C74EE9" w:rsidRPr="003D68C4" w14:paraId="1A8BF705" w14:textId="77777777" w:rsidTr="00A256D4">
        <w:trPr>
          <w:cantSplit/>
          <w:trHeight w:val="282"/>
          <w:jc w:val="center"/>
        </w:trPr>
        <w:tc>
          <w:tcPr>
            <w:tcW w:w="1919" w:type="dxa"/>
            <w:tcMar>
              <w:left w:w="105" w:type="dxa"/>
              <w:right w:w="105" w:type="dxa"/>
            </w:tcMar>
            <w:vAlign w:val="bottom"/>
          </w:tcPr>
          <w:p w14:paraId="62CDE4E1" w14:textId="77777777" w:rsidR="00C74EE9" w:rsidRPr="003D68C4" w:rsidRDefault="00C74EE9" w:rsidP="00A256D4">
            <w:pPr>
              <w:jc w:val="center"/>
              <w:rPr>
                <w:color w:val="0D0D0D"/>
                <w:sz w:val="16"/>
                <w:szCs w:val="16"/>
              </w:rPr>
            </w:pPr>
            <w:r w:rsidRPr="003D68C4">
              <w:rPr>
                <w:color w:val="0D0D0D"/>
                <w:sz w:val="16"/>
                <w:szCs w:val="16"/>
              </w:rPr>
              <w:t xml:space="preserve">8 </w:t>
            </w:r>
            <w:r>
              <w:rPr>
                <w:color w:val="0D0D0D"/>
                <w:sz w:val="16"/>
                <w:szCs w:val="16"/>
              </w:rPr>
              <w:t>h</w:t>
            </w:r>
            <w:r w:rsidRPr="003D68C4">
              <w:rPr>
                <w:color w:val="0D0D0D"/>
                <w:sz w:val="16"/>
                <w:szCs w:val="16"/>
              </w:rPr>
              <w:t>ours</w:t>
            </w:r>
          </w:p>
        </w:tc>
        <w:tc>
          <w:tcPr>
            <w:tcW w:w="1954" w:type="dxa"/>
            <w:tcMar>
              <w:left w:w="105" w:type="dxa"/>
              <w:right w:w="105" w:type="dxa"/>
            </w:tcMar>
            <w:vAlign w:val="bottom"/>
          </w:tcPr>
          <w:p w14:paraId="0FD286D9" w14:textId="77777777" w:rsidR="00C74EE9" w:rsidRPr="003D68C4" w:rsidRDefault="00C74EE9" w:rsidP="00A256D4">
            <w:pPr>
              <w:jc w:val="center"/>
              <w:rPr>
                <w:color w:val="0D0D0D"/>
                <w:sz w:val="16"/>
                <w:szCs w:val="16"/>
              </w:rPr>
            </w:pPr>
            <w:r w:rsidRPr="003D68C4">
              <w:rPr>
                <w:color w:val="0D0D0D"/>
                <w:sz w:val="16"/>
                <w:szCs w:val="16"/>
              </w:rPr>
              <w:t>$60</w:t>
            </w:r>
          </w:p>
        </w:tc>
      </w:tr>
    </w:tbl>
    <w:p w14:paraId="06903989" w14:textId="77777777" w:rsidR="00C74EE9" w:rsidRPr="003D68C4" w:rsidRDefault="00C74EE9" w:rsidP="00C74EE9">
      <w:pPr>
        <w:pStyle w:val="A"/>
      </w:pPr>
    </w:p>
    <w:p w14:paraId="65FBF184" w14:textId="77777777" w:rsidR="00C74EE9" w:rsidRPr="003D68C4" w:rsidRDefault="00C74EE9" w:rsidP="00C74EE9">
      <w:pPr>
        <w:pStyle w:val="A"/>
      </w:pPr>
      <w:r w:rsidRPr="003D68C4">
        <w:t>B.</w:t>
      </w:r>
      <w:r w:rsidRPr="003D68C4">
        <w:tab/>
        <w:t>Golf Carts</w:t>
      </w:r>
    </w:p>
    <w:p w14:paraId="0D6D505D" w14:textId="77777777" w:rsidR="00C74EE9" w:rsidRDefault="00C74EE9" w:rsidP="00C74EE9">
      <w:pPr>
        <w:pStyle w:val="1"/>
      </w:pPr>
      <w:r w:rsidRPr="003D68C4">
        <w:t>1.</w:t>
      </w:r>
      <w:r>
        <w:tab/>
      </w:r>
      <w:r w:rsidRPr="003D68C4">
        <w:t>All golf carts must be registered and approved with site staff. Site staff will issue permits to approved golf carts. The golf cart permit fees are as follows:</w:t>
      </w:r>
    </w:p>
    <w:p w14:paraId="35B0B97B" w14:textId="77777777" w:rsidR="00C74EE9" w:rsidRPr="003D68C4" w:rsidRDefault="00C74EE9" w:rsidP="00C74EE9">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175"/>
        <w:gridCol w:w="1715"/>
      </w:tblGrid>
      <w:tr w:rsidR="00C74EE9" w:rsidRPr="003D68C4" w14:paraId="64A414BD" w14:textId="77777777" w:rsidTr="00A256D4">
        <w:trPr>
          <w:cantSplit/>
          <w:trHeight w:val="339"/>
          <w:jc w:val="center"/>
        </w:trPr>
        <w:tc>
          <w:tcPr>
            <w:tcW w:w="2175" w:type="dxa"/>
            <w:shd w:val="clear" w:color="auto" w:fill="BFBFBF"/>
            <w:tcMar>
              <w:left w:w="105" w:type="dxa"/>
              <w:right w:w="105" w:type="dxa"/>
            </w:tcMar>
            <w:vAlign w:val="bottom"/>
          </w:tcPr>
          <w:p w14:paraId="57C87847" w14:textId="77777777" w:rsidR="00C74EE9" w:rsidRPr="00013868" w:rsidRDefault="00C74EE9" w:rsidP="00A256D4">
            <w:pPr>
              <w:keepNext/>
              <w:jc w:val="center"/>
              <w:rPr>
                <w:b/>
                <w:color w:val="0D0D0D"/>
                <w:sz w:val="16"/>
                <w:szCs w:val="16"/>
              </w:rPr>
            </w:pPr>
            <w:r w:rsidRPr="00013868">
              <w:rPr>
                <w:b/>
                <w:bCs/>
                <w:color w:val="0D0D0D"/>
                <w:sz w:val="16"/>
                <w:szCs w:val="16"/>
              </w:rPr>
              <w:t>Permit Term</w:t>
            </w:r>
          </w:p>
        </w:tc>
        <w:tc>
          <w:tcPr>
            <w:tcW w:w="1715" w:type="dxa"/>
            <w:shd w:val="clear" w:color="auto" w:fill="BFBFBF"/>
            <w:tcMar>
              <w:left w:w="105" w:type="dxa"/>
              <w:right w:w="105" w:type="dxa"/>
            </w:tcMar>
            <w:vAlign w:val="bottom"/>
          </w:tcPr>
          <w:p w14:paraId="40BB1868" w14:textId="77777777" w:rsidR="00C74EE9" w:rsidRPr="00013868" w:rsidRDefault="00C74EE9" w:rsidP="00A256D4">
            <w:pPr>
              <w:keepNext/>
              <w:jc w:val="center"/>
              <w:rPr>
                <w:b/>
                <w:color w:val="0D0D0D"/>
                <w:sz w:val="16"/>
                <w:szCs w:val="16"/>
              </w:rPr>
            </w:pPr>
            <w:r w:rsidRPr="00013868">
              <w:rPr>
                <w:b/>
                <w:bCs/>
                <w:color w:val="0D0D0D"/>
                <w:sz w:val="16"/>
                <w:szCs w:val="16"/>
              </w:rPr>
              <w:t>Permit Fee</w:t>
            </w:r>
          </w:p>
        </w:tc>
      </w:tr>
      <w:tr w:rsidR="00C74EE9" w:rsidRPr="003D68C4" w14:paraId="6944469B" w14:textId="77777777" w:rsidTr="00A256D4">
        <w:trPr>
          <w:cantSplit/>
          <w:trHeight w:val="296"/>
          <w:jc w:val="center"/>
        </w:trPr>
        <w:tc>
          <w:tcPr>
            <w:tcW w:w="2175" w:type="dxa"/>
            <w:tcMar>
              <w:left w:w="105" w:type="dxa"/>
              <w:right w:w="105" w:type="dxa"/>
            </w:tcMar>
            <w:vAlign w:val="bottom"/>
          </w:tcPr>
          <w:p w14:paraId="05BC7107" w14:textId="77777777" w:rsidR="00C74EE9" w:rsidRPr="003D68C4" w:rsidRDefault="00C74EE9" w:rsidP="00A256D4">
            <w:pPr>
              <w:jc w:val="center"/>
              <w:rPr>
                <w:color w:val="0D0D0D"/>
                <w:sz w:val="16"/>
                <w:szCs w:val="16"/>
              </w:rPr>
            </w:pPr>
            <w:r w:rsidRPr="003D68C4">
              <w:rPr>
                <w:color w:val="0D0D0D"/>
                <w:sz w:val="16"/>
                <w:szCs w:val="16"/>
              </w:rPr>
              <w:t>Daily</w:t>
            </w:r>
          </w:p>
        </w:tc>
        <w:tc>
          <w:tcPr>
            <w:tcW w:w="1715" w:type="dxa"/>
            <w:tcMar>
              <w:left w:w="105" w:type="dxa"/>
              <w:right w:w="105" w:type="dxa"/>
            </w:tcMar>
            <w:vAlign w:val="bottom"/>
          </w:tcPr>
          <w:p w14:paraId="2948CF45" w14:textId="77777777" w:rsidR="00C74EE9" w:rsidRPr="003D68C4" w:rsidRDefault="00C74EE9" w:rsidP="00A256D4">
            <w:pPr>
              <w:jc w:val="center"/>
              <w:rPr>
                <w:color w:val="0D0D0D"/>
                <w:sz w:val="16"/>
                <w:szCs w:val="16"/>
              </w:rPr>
            </w:pPr>
            <w:r w:rsidRPr="003D68C4">
              <w:rPr>
                <w:color w:val="0D0D0D"/>
                <w:sz w:val="16"/>
                <w:szCs w:val="16"/>
              </w:rPr>
              <w:t>$10</w:t>
            </w:r>
          </w:p>
        </w:tc>
      </w:tr>
      <w:tr w:rsidR="00C74EE9" w:rsidRPr="003D68C4" w14:paraId="0139F001" w14:textId="77777777" w:rsidTr="00A256D4">
        <w:trPr>
          <w:cantSplit/>
          <w:trHeight w:val="282"/>
          <w:jc w:val="center"/>
        </w:trPr>
        <w:tc>
          <w:tcPr>
            <w:tcW w:w="2175" w:type="dxa"/>
            <w:tcMar>
              <w:left w:w="105" w:type="dxa"/>
              <w:right w:w="105" w:type="dxa"/>
            </w:tcMar>
            <w:vAlign w:val="bottom"/>
          </w:tcPr>
          <w:p w14:paraId="7B559F84" w14:textId="77777777" w:rsidR="00C74EE9" w:rsidRPr="003D68C4" w:rsidRDefault="00C74EE9" w:rsidP="00A256D4">
            <w:pPr>
              <w:jc w:val="center"/>
              <w:rPr>
                <w:color w:val="0D0D0D"/>
                <w:sz w:val="16"/>
                <w:szCs w:val="16"/>
              </w:rPr>
            </w:pPr>
            <w:r w:rsidRPr="003D68C4">
              <w:rPr>
                <w:color w:val="0D0D0D"/>
                <w:sz w:val="16"/>
                <w:szCs w:val="16"/>
              </w:rPr>
              <w:t>Monthly</w:t>
            </w:r>
          </w:p>
        </w:tc>
        <w:tc>
          <w:tcPr>
            <w:tcW w:w="1715" w:type="dxa"/>
            <w:tcMar>
              <w:left w:w="105" w:type="dxa"/>
              <w:right w:w="105" w:type="dxa"/>
            </w:tcMar>
            <w:vAlign w:val="bottom"/>
          </w:tcPr>
          <w:p w14:paraId="1ED58AC8" w14:textId="77777777" w:rsidR="00C74EE9" w:rsidRPr="003D68C4" w:rsidRDefault="00C74EE9" w:rsidP="00A256D4">
            <w:pPr>
              <w:jc w:val="center"/>
              <w:rPr>
                <w:color w:val="0D0D0D"/>
                <w:sz w:val="16"/>
                <w:szCs w:val="16"/>
              </w:rPr>
            </w:pPr>
            <w:r w:rsidRPr="003D68C4">
              <w:rPr>
                <w:color w:val="0D0D0D"/>
                <w:sz w:val="16"/>
                <w:szCs w:val="16"/>
              </w:rPr>
              <w:t>$50</w:t>
            </w:r>
          </w:p>
        </w:tc>
      </w:tr>
      <w:tr w:rsidR="00C74EE9" w:rsidRPr="003D68C4" w14:paraId="561C796A" w14:textId="77777777" w:rsidTr="00A256D4">
        <w:trPr>
          <w:cantSplit/>
          <w:trHeight w:val="255"/>
          <w:jc w:val="center"/>
        </w:trPr>
        <w:tc>
          <w:tcPr>
            <w:tcW w:w="2175" w:type="dxa"/>
            <w:tcMar>
              <w:left w:w="105" w:type="dxa"/>
              <w:right w:w="105" w:type="dxa"/>
            </w:tcMar>
            <w:vAlign w:val="bottom"/>
          </w:tcPr>
          <w:p w14:paraId="26B90592" w14:textId="77777777" w:rsidR="00C74EE9" w:rsidRPr="003D68C4" w:rsidRDefault="00C74EE9" w:rsidP="00A256D4">
            <w:pPr>
              <w:jc w:val="center"/>
              <w:rPr>
                <w:color w:val="0D0D0D"/>
                <w:sz w:val="16"/>
                <w:szCs w:val="16"/>
              </w:rPr>
            </w:pPr>
            <w:r w:rsidRPr="003D68C4">
              <w:rPr>
                <w:color w:val="0D0D0D"/>
                <w:sz w:val="16"/>
                <w:szCs w:val="16"/>
              </w:rPr>
              <w:t>Annual</w:t>
            </w:r>
          </w:p>
        </w:tc>
        <w:tc>
          <w:tcPr>
            <w:tcW w:w="1715" w:type="dxa"/>
            <w:tcMar>
              <w:left w:w="105" w:type="dxa"/>
              <w:right w:w="105" w:type="dxa"/>
            </w:tcMar>
            <w:vAlign w:val="bottom"/>
          </w:tcPr>
          <w:p w14:paraId="23177627" w14:textId="77777777" w:rsidR="00C74EE9" w:rsidRPr="003D68C4" w:rsidRDefault="00C74EE9" w:rsidP="00A256D4">
            <w:pPr>
              <w:jc w:val="center"/>
              <w:rPr>
                <w:color w:val="0D0D0D"/>
                <w:sz w:val="16"/>
                <w:szCs w:val="16"/>
              </w:rPr>
            </w:pPr>
            <w:r w:rsidRPr="003D68C4">
              <w:rPr>
                <w:color w:val="0D0D0D"/>
                <w:sz w:val="16"/>
                <w:szCs w:val="16"/>
              </w:rPr>
              <w:t>$100</w:t>
            </w:r>
          </w:p>
        </w:tc>
      </w:tr>
    </w:tbl>
    <w:p w14:paraId="1D6AC565" w14:textId="77777777" w:rsidR="00C74EE9" w:rsidRPr="003D68C4" w:rsidRDefault="00C74EE9" w:rsidP="00C74EE9">
      <w:pPr>
        <w:pStyle w:val="A"/>
      </w:pPr>
    </w:p>
    <w:p w14:paraId="24236273" w14:textId="77777777" w:rsidR="00C74EE9" w:rsidRPr="003D68C4" w:rsidRDefault="00C74EE9" w:rsidP="00C74EE9">
      <w:pPr>
        <w:pStyle w:val="AuthorityNote"/>
      </w:pPr>
      <w:r w:rsidRPr="003D68C4">
        <w:t>AUTHORITY NOTE:</w:t>
      </w:r>
      <w:r w:rsidRPr="003D68C4">
        <w:tab/>
        <w:t>Promulgated in accordance with Act 591 of 1970 and R.S. 3:4402.</w:t>
      </w:r>
    </w:p>
    <w:p w14:paraId="7C849670"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5D4A2B">
        <w:t xml:space="preserve">LR 42:1506 (September 2016), </w:t>
      </w:r>
      <w:r w:rsidR="005D4A2B" w:rsidRPr="00046B28">
        <w:t xml:space="preserve">amended LR </w:t>
      </w:r>
      <w:r w:rsidR="00667D4F">
        <w:t xml:space="preserve">43:1518 (August 2017), </w:t>
      </w:r>
      <w:r w:rsidR="00667D4F" w:rsidRPr="003D68C4">
        <w:t xml:space="preserve">amended </w:t>
      </w:r>
      <w:r w:rsidR="00667D4F">
        <w:t>LR 51:31 (January 2025).</w:t>
      </w:r>
    </w:p>
    <w:p w14:paraId="058C3D87" w14:textId="77777777" w:rsidR="00F17615" w:rsidRPr="00514D49" w:rsidRDefault="00F17615" w:rsidP="00F17615">
      <w:pPr>
        <w:pStyle w:val="Section"/>
      </w:pPr>
      <w:bookmarkStart w:id="3250" w:name="_Toc398793324"/>
      <w:bookmarkStart w:id="3251" w:name="_Toc224819582"/>
      <w:r w:rsidRPr="00514D49">
        <w:t>§535.</w:t>
      </w:r>
      <w:r w:rsidRPr="00514D49">
        <w:tab/>
        <w:t>Fees and Exemptions; Exemptions/Discounts</w:t>
      </w:r>
      <w:bookmarkEnd w:id="3250"/>
      <w:bookmarkEnd w:id="3251"/>
    </w:p>
    <w:p w14:paraId="70211AD0" w14:textId="77777777" w:rsidR="00CB297A" w:rsidRPr="00046B28" w:rsidRDefault="00CB297A" w:rsidP="00CB297A">
      <w:pPr>
        <w:pStyle w:val="A"/>
        <w:tabs>
          <w:tab w:val="left" w:pos="2376"/>
        </w:tabs>
      </w:pPr>
      <w:r w:rsidRPr="00046B28">
        <w:t>A.</w:t>
      </w:r>
      <w:r w:rsidRPr="00046B28">
        <w:tab/>
        <w:t>Veterans. A veteran of the Armed Forces of the United States who shows proof of same and any person(s) accompanying him in a single, private, non-commercial vehicle, may receive a 10 percent discount on camp site rental fees. There is no discount on the winter rates or other rental rates (kayaks, boats, etc.). Veterans will also receive a 50 percent discount off day-use fees. Proper picture identification is required.</w:t>
      </w:r>
    </w:p>
    <w:p w14:paraId="410E954C" w14:textId="77777777" w:rsidR="00CB297A" w:rsidRPr="00046B28" w:rsidRDefault="00CB297A" w:rsidP="00CB297A">
      <w:pPr>
        <w:pStyle w:val="A"/>
        <w:tabs>
          <w:tab w:val="left" w:pos="2376"/>
        </w:tabs>
      </w:pPr>
      <w:r w:rsidRPr="00046B28">
        <w:t>B.</w:t>
      </w:r>
      <w:r w:rsidRPr="00046B28">
        <w:tab/>
        <w:t xml:space="preserve">Disabled Veterans. A special veteran entrance permit allows any disabled Louisiana resident who is a veteran of the armed forces of the United States, and any person(s) accompanying him in a single, private, non-commercial vehicle exemption from the day-use entrance fee. Applications for a veteran permit may be made to the Louisiana Department of Veterans’ Affairs service office serving the parish in which the applicant resides. Proper picture identification is required. </w:t>
      </w:r>
    </w:p>
    <w:p w14:paraId="678268A3" w14:textId="77777777" w:rsidR="00CB297A" w:rsidRPr="00046B28" w:rsidRDefault="00CB297A" w:rsidP="00CB297A">
      <w:pPr>
        <w:pStyle w:val="A"/>
        <w:tabs>
          <w:tab w:val="left" w:pos="2376"/>
        </w:tabs>
      </w:pPr>
      <w:r w:rsidRPr="00046B28">
        <w:t>C.</w:t>
      </w:r>
      <w:r w:rsidRPr="00046B28">
        <w:tab/>
        <w:t>School Groups. Any child who is on a field trip conducted as part of the curriculum of the school and any classroom teacher, parent, bus driver and any other person accompanying a school child on such a field trip are exempt from paying the general admission charge to any site.</w:t>
      </w:r>
    </w:p>
    <w:p w14:paraId="10F521DD" w14:textId="77777777" w:rsidR="00CB297A" w:rsidRDefault="00CB297A" w:rsidP="00CB297A">
      <w:pPr>
        <w:pStyle w:val="A"/>
        <w:tabs>
          <w:tab w:val="left" w:pos="2376"/>
        </w:tabs>
      </w:pPr>
      <w:r w:rsidRPr="00046B28">
        <w:t>D.</w:t>
      </w:r>
      <w:r w:rsidRPr="00046B28">
        <w:tab/>
        <w:t>Senior Citizens. Any person age 50 or older may receive a 10 percent discount on camp site rental fees. There is no discount on the general entrance fee, winter rates or other rental rates (kayaks, boats, etc.).</w:t>
      </w:r>
    </w:p>
    <w:p w14:paraId="2720DD4C" w14:textId="77777777" w:rsidR="00C74EE9" w:rsidRPr="003D68C4" w:rsidRDefault="00C74EE9" w:rsidP="00C74EE9">
      <w:pPr>
        <w:pStyle w:val="A"/>
      </w:pPr>
      <w:r w:rsidRPr="003D68C4">
        <w:t>E.</w:t>
      </w:r>
      <w:r w:rsidRPr="003D68C4">
        <w:tab/>
        <w:t>Law Enforcement. Law enforcement personnel who show proof of same and any person(s) accompanying him in a single, private, non-commercial vehicle, may receive a 10 percent discount on camp site rental fees. There is no discount on the winter rates or other rental rates (kayaks, boats, etc.). The person(s) will also receive a 50 percent discount off day-use fees. Proper picture identification is required.</w:t>
      </w:r>
    </w:p>
    <w:p w14:paraId="32D6876C" w14:textId="77777777" w:rsidR="00F17615" w:rsidRPr="00514D49" w:rsidRDefault="00CB297A" w:rsidP="00CB297A">
      <w:pPr>
        <w:pStyle w:val="AuthorityNote"/>
      </w:pPr>
      <w:r w:rsidRPr="00046B28">
        <w:t>AUTHORITY NOTE:</w:t>
      </w:r>
      <w:r w:rsidRPr="00046B28">
        <w:tab/>
        <w:t>Promulgated in accordance with Act 591 of 1970 and R.S. 3:4402.</w:t>
      </w:r>
    </w:p>
    <w:p w14:paraId="6B1619C4"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CB297A">
        <w:t xml:space="preserve">LR 42:1506 (September 2016), </w:t>
      </w:r>
      <w:r w:rsidR="00CB297A" w:rsidRPr="00046B28">
        <w:t xml:space="preserve">amended LR </w:t>
      </w:r>
      <w:r w:rsidR="00C74EE9">
        <w:t xml:space="preserve">43:1518 (August 2017), </w:t>
      </w:r>
      <w:r w:rsidR="00C74EE9" w:rsidRPr="003D68C4">
        <w:t xml:space="preserve">amended </w:t>
      </w:r>
      <w:r w:rsidR="00C74EE9">
        <w:t>LR 51:31 (January 2025).</w:t>
      </w:r>
    </w:p>
    <w:p w14:paraId="49E764BF" w14:textId="77777777" w:rsidR="00F17615" w:rsidRPr="00514D49" w:rsidRDefault="00F17615" w:rsidP="00F17615">
      <w:pPr>
        <w:pStyle w:val="Section"/>
      </w:pPr>
      <w:bookmarkStart w:id="3252" w:name="_Toc398793325"/>
      <w:bookmarkStart w:id="3253" w:name="_Toc224819583"/>
      <w:r w:rsidRPr="00514D49">
        <w:t>§537.</w:t>
      </w:r>
      <w:r w:rsidRPr="00514D49">
        <w:tab/>
        <w:t>Fees and Exemptions; Special Promotions</w:t>
      </w:r>
      <w:bookmarkEnd w:id="3252"/>
      <w:bookmarkEnd w:id="3253"/>
    </w:p>
    <w:p w14:paraId="4D10C6A2" w14:textId="77777777" w:rsidR="00F17615" w:rsidRPr="00514D49" w:rsidRDefault="00F17615" w:rsidP="00F17615">
      <w:pPr>
        <w:pStyle w:val="A"/>
      </w:pPr>
      <w:r>
        <w:t>A.</w:t>
      </w:r>
      <w:r>
        <w:tab/>
        <w:t>From time-to-</w:t>
      </w:r>
      <w:r w:rsidRPr="00514D49">
        <w:t xml:space="preserve">time, as deemed appropriate by the </w:t>
      </w:r>
      <w:r>
        <w:t>commissioner</w:t>
      </w:r>
      <w:r w:rsidRPr="00514D49">
        <w:t xml:space="preserve"> of Agriculture and Forestry or his designee, special programs, occupancy regulations, discounts or </w:t>
      </w:r>
      <w:r w:rsidRPr="00514D49">
        <w:lastRenderedPageBreak/>
        <w:t>waivers on user fees may be offered in order to encourage visitation. These special promotional offers must be reviewed and reauthorized annually.</w:t>
      </w:r>
    </w:p>
    <w:p w14:paraId="17A10720" w14:textId="77777777" w:rsidR="00F17615" w:rsidRPr="00514D49" w:rsidRDefault="00F17615" w:rsidP="00F17615">
      <w:pPr>
        <w:pStyle w:val="AuthorityNote"/>
      </w:pPr>
      <w:bookmarkStart w:id="3254" w:name="_Toc398793326"/>
      <w:r w:rsidRPr="00514D49">
        <w:t>AUTHORITY NOTE:</w:t>
      </w:r>
      <w:r w:rsidRPr="00514D49">
        <w:tab/>
        <w:t>Promulgated in accordance with Act 591 of 1970 and R.S. 3:4402.</w:t>
      </w:r>
    </w:p>
    <w:p w14:paraId="179B1B0A"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42:1507 (September 2016).</w:t>
      </w:r>
    </w:p>
    <w:p w14:paraId="3468FBE4" w14:textId="77777777" w:rsidR="00F17615" w:rsidRPr="00514D49" w:rsidRDefault="00F17615" w:rsidP="00F17615">
      <w:pPr>
        <w:pStyle w:val="Section"/>
      </w:pPr>
      <w:bookmarkStart w:id="3255" w:name="_Toc224819584"/>
      <w:r w:rsidRPr="00514D49">
        <w:t>§539.</w:t>
      </w:r>
      <w:r w:rsidRPr="00514D49">
        <w:tab/>
        <w:t>Fees and Exemptions; Overnight Use</w:t>
      </w:r>
      <w:bookmarkEnd w:id="3254"/>
      <w:bookmarkEnd w:id="3255"/>
    </w:p>
    <w:p w14:paraId="3A942894" w14:textId="77777777" w:rsidR="000815B2" w:rsidRDefault="000815B2" w:rsidP="000815B2">
      <w:pPr>
        <w:pStyle w:val="A"/>
      </w:pPr>
      <w:r>
        <w:t>A.</w:t>
      </w:r>
      <w:r>
        <w:tab/>
        <w:t>Camping</w:t>
      </w:r>
    </w:p>
    <w:p w14:paraId="60E58BEE" w14:textId="77777777" w:rsidR="00113D41" w:rsidRPr="003D68C4" w:rsidRDefault="00CB33F0" w:rsidP="00113D41">
      <w:pPr>
        <w:pStyle w:val="1"/>
      </w:pPr>
      <w:r w:rsidRPr="00B56F89">
        <w:t>1.</w:t>
      </w:r>
      <w:r w:rsidRPr="00B56F89">
        <w:tab/>
      </w:r>
      <w:r w:rsidR="00113D41">
        <w:t xml:space="preserve">The winter season is November 1 </w:t>
      </w:r>
      <w:r w:rsidR="00113D41" w:rsidRPr="003D68C4">
        <w:t>-</w:t>
      </w:r>
      <w:r w:rsidR="00113D41">
        <w:t xml:space="preserve"> </w:t>
      </w:r>
      <w:r w:rsidR="00113D41" w:rsidRPr="003D68C4">
        <w:t>February 28 and the summer season is March 1</w:t>
      </w:r>
      <w:r w:rsidR="00113D41">
        <w:t xml:space="preserve"> </w:t>
      </w:r>
      <w:r w:rsidR="00113D41" w:rsidRPr="003D68C4">
        <w:t>-</w:t>
      </w:r>
      <w:r w:rsidR="00113D41">
        <w:t xml:space="preserve"> </w:t>
      </w:r>
      <w:r w:rsidR="00113D41" w:rsidRPr="003D68C4">
        <w:t>October 31.</w:t>
      </w:r>
    </w:p>
    <w:p w14:paraId="61362551" w14:textId="77777777" w:rsidR="00113D41" w:rsidRPr="003D68C4" w:rsidRDefault="00113D41" w:rsidP="00113D41">
      <w:pPr>
        <w:pStyle w:val="1"/>
      </w:pPr>
      <w:r w:rsidRPr="003D68C4">
        <w:t>2.</w:t>
      </w:r>
      <w:r w:rsidRPr="003D68C4">
        <w:tab/>
        <w:t>A standard campsite is a non-waterfront campsite. A premium campsite is a waterfront campsite.</w:t>
      </w:r>
    </w:p>
    <w:p w14:paraId="754277ED" w14:textId="77777777" w:rsidR="00113D41" w:rsidRPr="003D68C4" w:rsidRDefault="00113D41" w:rsidP="00113D41">
      <w:pPr>
        <w:pStyle w:val="1"/>
      </w:pPr>
      <w:r w:rsidRPr="003D68C4">
        <w:t>3.</w:t>
      </w:r>
      <w:r w:rsidRPr="003D68C4">
        <w:tab/>
        <w:t xml:space="preserve">A Pull-Thru Campsite consists of two sites. An Ultra Pull-Thru campsite consists of a pull-thru waterfront double campsite for use by a single tenant camper. </w:t>
      </w:r>
    </w:p>
    <w:p w14:paraId="11FFC7B2" w14:textId="77777777" w:rsidR="00113D41" w:rsidRDefault="00113D41" w:rsidP="00113D41">
      <w:pPr>
        <w:pStyle w:val="1"/>
      </w:pPr>
      <w:r w:rsidRPr="003D68C4">
        <w:t>4.</w:t>
      </w:r>
      <w:r w:rsidRPr="003D68C4">
        <w:tab/>
        <w:t xml:space="preserve">The nightly rental rate for each campsite offered is up to the amount as shown in the following table: </w:t>
      </w:r>
    </w:p>
    <w:p w14:paraId="1C9CB03D" w14:textId="77777777" w:rsidR="00113D41" w:rsidRPr="003D68C4" w:rsidRDefault="00113D41" w:rsidP="00113D41">
      <w:pPr>
        <w:pStyle w:val="A"/>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84"/>
        <w:gridCol w:w="1170"/>
        <w:gridCol w:w="1350"/>
      </w:tblGrid>
      <w:tr w:rsidR="00113D41" w:rsidRPr="003D68C4" w14:paraId="1E50B82F" w14:textId="77777777" w:rsidTr="00A256D4">
        <w:trPr>
          <w:cantSplit/>
          <w:trHeight w:val="474"/>
          <w:jc w:val="center"/>
        </w:trPr>
        <w:tc>
          <w:tcPr>
            <w:tcW w:w="1984" w:type="dxa"/>
            <w:shd w:val="clear" w:color="auto" w:fill="BFBFBF"/>
            <w:tcMar>
              <w:left w:w="108" w:type="dxa"/>
              <w:right w:w="108" w:type="dxa"/>
            </w:tcMar>
            <w:vAlign w:val="bottom"/>
          </w:tcPr>
          <w:p w14:paraId="4221CCF5" w14:textId="77777777" w:rsidR="00113D41" w:rsidRPr="004D5C38" w:rsidRDefault="00113D41" w:rsidP="00A256D4">
            <w:pPr>
              <w:keepNext/>
              <w:jc w:val="center"/>
              <w:rPr>
                <w:b/>
                <w:bCs/>
                <w:sz w:val="16"/>
                <w:szCs w:val="16"/>
              </w:rPr>
            </w:pPr>
            <w:r w:rsidRPr="004D5C38">
              <w:rPr>
                <w:b/>
                <w:bCs/>
                <w:sz w:val="16"/>
                <w:szCs w:val="16"/>
              </w:rPr>
              <w:t>Campsite</w:t>
            </w:r>
          </w:p>
        </w:tc>
        <w:tc>
          <w:tcPr>
            <w:tcW w:w="1170" w:type="dxa"/>
            <w:shd w:val="clear" w:color="auto" w:fill="BFBFBF"/>
            <w:tcMar>
              <w:left w:w="108" w:type="dxa"/>
              <w:right w:w="108" w:type="dxa"/>
            </w:tcMar>
            <w:vAlign w:val="bottom"/>
          </w:tcPr>
          <w:p w14:paraId="25C0A0B5" w14:textId="77777777" w:rsidR="00113D41" w:rsidRPr="004D5C38" w:rsidRDefault="00113D41" w:rsidP="00A256D4">
            <w:pPr>
              <w:keepNext/>
              <w:jc w:val="center"/>
              <w:rPr>
                <w:b/>
                <w:bCs/>
                <w:color w:val="000000"/>
                <w:sz w:val="16"/>
                <w:szCs w:val="16"/>
              </w:rPr>
            </w:pPr>
            <w:r w:rsidRPr="004D5C38">
              <w:rPr>
                <w:b/>
                <w:bCs/>
                <w:color w:val="000000"/>
                <w:sz w:val="16"/>
                <w:szCs w:val="16"/>
              </w:rPr>
              <w:t>Summer Nightly Rate</w:t>
            </w:r>
          </w:p>
        </w:tc>
        <w:tc>
          <w:tcPr>
            <w:tcW w:w="1350" w:type="dxa"/>
            <w:shd w:val="clear" w:color="auto" w:fill="BFBFBF"/>
            <w:tcMar>
              <w:left w:w="108" w:type="dxa"/>
              <w:right w:w="108" w:type="dxa"/>
            </w:tcMar>
            <w:vAlign w:val="bottom"/>
          </w:tcPr>
          <w:p w14:paraId="69E20117" w14:textId="77777777" w:rsidR="00113D41" w:rsidRPr="004D5C38" w:rsidRDefault="00113D41" w:rsidP="00A256D4">
            <w:pPr>
              <w:keepNext/>
              <w:jc w:val="center"/>
              <w:rPr>
                <w:b/>
                <w:bCs/>
                <w:color w:val="000000"/>
                <w:sz w:val="16"/>
                <w:szCs w:val="16"/>
              </w:rPr>
            </w:pPr>
            <w:r w:rsidRPr="004D5C38">
              <w:rPr>
                <w:b/>
                <w:bCs/>
                <w:color w:val="000000"/>
                <w:sz w:val="16"/>
                <w:szCs w:val="16"/>
              </w:rPr>
              <w:t>Winter Nightly Rate</w:t>
            </w:r>
          </w:p>
        </w:tc>
      </w:tr>
      <w:tr w:rsidR="00113D41" w:rsidRPr="003D68C4" w14:paraId="7129D051" w14:textId="77777777" w:rsidTr="00A256D4">
        <w:trPr>
          <w:cantSplit/>
          <w:trHeight w:val="354"/>
          <w:jc w:val="center"/>
        </w:trPr>
        <w:tc>
          <w:tcPr>
            <w:tcW w:w="1984" w:type="dxa"/>
            <w:tcMar>
              <w:left w:w="108" w:type="dxa"/>
              <w:right w:w="108" w:type="dxa"/>
            </w:tcMar>
            <w:vAlign w:val="bottom"/>
          </w:tcPr>
          <w:p w14:paraId="19B69AF9" w14:textId="77777777" w:rsidR="00113D41" w:rsidRPr="003D68C4" w:rsidRDefault="00113D41" w:rsidP="00A256D4">
            <w:pPr>
              <w:rPr>
                <w:sz w:val="16"/>
                <w:szCs w:val="16"/>
              </w:rPr>
            </w:pPr>
            <w:r w:rsidRPr="003D68C4">
              <w:rPr>
                <w:sz w:val="16"/>
                <w:szCs w:val="16"/>
              </w:rPr>
              <w:t>Standard Campsite</w:t>
            </w:r>
          </w:p>
        </w:tc>
        <w:tc>
          <w:tcPr>
            <w:tcW w:w="1170" w:type="dxa"/>
            <w:tcMar>
              <w:left w:w="108" w:type="dxa"/>
              <w:right w:w="108" w:type="dxa"/>
            </w:tcMar>
            <w:vAlign w:val="bottom"/>
          </w:tcPr>
          <w:p w14:paraId="0D640945" w14:textId="77777777" w:rsidR="00113D41" w:rsidRPr="003D68C4" w:rsidRDefault="00113D41" w:rsidP="00A256D4">
            <w:pPr>
              <w:jc w:val="center"/>
              <w:rPr>
                <w:sz w:val="16"/>
                <w:szCs w:val="16"/>
              </w:rPr>
            </w:pPr>
            <w:r w:rsidRPr="003D68C4">
              <w:rPr>
                <w:sz w:val="16"/>
                <w:szCs w:val="16"/>
              </w:rPr>
              <w:t>$29</w:t>
            </w:r>
          </w:p>
        </w:tc>
        <w:tc>
          <w:tcPr>
            <w:tcW w:w="1350" w:type="dxa"/>
            <w:tcMar>
              <w:left w:w="108" w:type="dxa"/>
              <w:right w:w="108" w:type="dxa"/>
            </w:tcMar>
            <w:vAlign w:val="bottom"/>
          </w:tcPr>
          <w:p w14:paraId="51C44221" w14:textId="77777777" w:rsidR="00113D41" w:rsidRPr="003D68C4" w:rsidRDefault="00113D41" w:rsidP="00A256D4">
            <w:pPr>
              <w:jc w:val="center"/>
              <w:rPr>
                <w:sz w:val="16"/>
                <w:szCs w:val="16"/>
              </w:rPr>
            </w:pPr>
            <w:r w:rsidRPr="003D68C4">
              <w:rPr>
                <w:sz w:val="16"/>
                <w:szCs w:val="16"/>
              </w:rPr>
              <w:t>$25</w:t>
            </w:r>
          </w:p>
        </w:tc>
      </w:tr>
      <w:tr w:rsidR="00113D41" w:rsidRPr="003D68C4" w14:paraId="530C9816" w14:textId="77777777" w:rsidTr="00A256D4">
        <w:trPr>
          <w:cantSplit/>
          <w:trHeight w:val="345"/>
          <w:jc w:val="center"/>
        </w:trPr>
        <w:tc>
          <w:tcPr>
            <w:tcW w:w="1984" w:type="dxa"/>
            <w:tcMar>
              <w:left w:w="108" w:type="dxa"/>
              <w:right w:w="108" w:type="dxa"/>
            </w:tcMar>
            <w:vAlign w:val="bottom"/>
          </w:tcPr>
          <w:p w14:paraId="6C299594" w14:textId="77777777" w:rsidR="00113D41" w:rsidRPr="003D68C4" w:rsidRDefault="00113D41" w:rsidP="00A256D4">
            <w:pPr>
              <w:rPr>
                <w:sz w:val="16"/>
                <w:szCs w:val="16"/>
              </w:rPr>
            </w:pPr>
            <w:r w:rsidRPr="003D68C4">
              <w:rPr>
                <w:sz w:val="16"/>
                <w:szCs w:val="16"/>
              </w:rPr>
              <w:t>Premium Campsite</w:t>
            </w:r>
          </w:p>
        </w:tc>
        <w:tc>
          <w:tcPr>
            <w:tcW w:w="1170" w:type="dxa"/>
            <w:tcMar>
              <w:left w:w="108" w:type="dxa"/>
              <w:right w:w="108" w:type="dxa"/>
            </w:tcMar>
            <w:vAlign w:val="bottom"/>
          </w:tcPr>
          <w:p w14:paraId="125C4D2C" w14:textId="77777777" w:rsidR="00113D41" w:rsidRPr="003D68C4" w:rsidRDefault="00113D41" w:rsidP="00A256D4">
            <w:pPr>
              <w:jc w:val="center"/>
              <w:rPr>
                <w:sz w:val="16"/>
                <w:szCs w:val="16"/>
              </w:rPr>
            </w:pPr>
            <w:r w:rsidRPr="003D68C4">
              <w:rPr>
                <w:sz w:val="16"/>
                <w:szCs w:val="16"/>
              </w:rPr>
              <w:t>$35</w:t>
            </w:r>
          </w:p>
        </w:tc>
        <w:tc>
          <w:tcPr>
            <w:tcW w:w="1350" w:type="dxa"/>
            <w:tcMar>
              <w:left w:w="108" w:type="dxa"/>
              <w:right w:w="108" w:type="dxa"/>
            </w:tcMar>
            <w:vAlign w:val="bottom"/>
          </w:tcPr>
          <w:p w14:paraId="7A0954F1" w14:textId="77777777" w:rsidR="00113D41" w:rsidRPr="003D68C4" w:rsidRDefault="00113D41" w:rsidP="00A256D4">
            <w:pPr>
              <w:jc w:val="center"/>
              <w:rPr>
                <w:sz w:val="16"/>
                <w:szCs w:val="16"/>
              </w:rPr>
            </w:pPr>
            <w:r w:rsidRPr="003D68C4">
              <w:rPr>
                <w:sz w:val="16"/>
                <w:szCs w:val="16"/>
              </w:rPr>
              <w:t>$29</w:t>
            </w:r>
          </w:p>
        </w:tc>
      </w:tr>
      <w:tr w:rsidR="00113D41" w:rsidRPr="003D68C4" w14:paraId="62E51E11" w14:textId="77777777" w:rsidTr="00A256D4">
        <w:trPr>
          <w:cantSplit/>
          <w:trHeight w:val="345"/>
          <w:jc w:val="center"/>
        </w:trPr>
        <w:tc>
          <w:tcPr>
            <w:tcW w:w="1984" w:type="dxa"/>
            <w:tcMar>
              <w:left w:w="108" w:type="dxa"/>
              <w:right w:w="108" w:type="dxa"/>
            </w:tcMar>
            <w:vAlign w:val="bottom"/>
          </w:tcPr>
          <w:p w14:paraId="25336B9F" w14:textId="77777777" w:rsidR="00113D41" w:rsidRPr="003D68C4" w:rsidRDefault="00113D41" w:rsidP="00A256D4">
            <w:pPr>
              <w:rPr>
                <w:sz w:val="16"/>
                <w:szCs w:val="16"/>
              </w:rPr>
            </w:pPr>
            <w:r w:rsidRPr="003D68C4">
              <w:rPr>
                <w:sz w:val="16"/>
                <w:szCs w:val="16"/>
              </w:rPr>
              <w:t>Standard Single Pull-Thru</w:t>
            </w:r>
          </w:p>
        </w:tc>
        <w:tc>
          <w:tcPr>
            <w:tcW w:w="1170" w:type="dxa"/>
            <w:tcMar>
              <w:left w:w="108" w:type="dxa"/>
              <w:right w:w="108" w:type="dxa"/>
            </w:tcMar>
            <w:vAlign w:val="bottom"/>
          </w:tcPr>
          <w:p w14:paraId="40B46E41" w14:textId="77777777" w:rsidR="00113D41" w:rsidRPr="003D68C4" w:rsidRDefault="00113D41" w:rsidP="00A256D4">
            <w:pPr>
              <w:jc w:val="center"/>
              <w:rPr>
                <w:sz w:val="16"/>
                <w:szCs w:val="16"/>
              </w:rPr>
            </w:pPr>
            <w:r w:rsidRPr="003D68C4">
              <w:rPr>
                <w:sz w:val="16"/>
                <w:szCs w:val="16"/>
              </w:rPr>
              <w:t>$29</w:t>
            </w:r>
          </w:p>
        </w:tc>
        <w:tc>
          <w:tcPr>
            <w:tcW w:w="1350" w:type="dxa"/>
            <w:tcMar>
              <w:left w:w="108" w:type="dxa"/>
              <w:right w:w="108" w:type="dxa"/>
            </w:tcMar>
            <w:vAlign w:val="bottom"/>
          </w:tcPr>
          <w:p w14:paraId="64F695FE" w14:textId="77777777" w:rsidR="00113D41" w:rsidRPr="003D68C4" w:rsidRDefault="00113D41" w:rsidP="00A256D4">
            <w:pPr>
              <w:jc w:val="center"/>
              <w:rPr>
                <w:sz w:val="16"/>
                <w:szCs w:val="16"/>
              </w:rPr>
            </w:pPr>
            <w:r w:rsidRPr="003D68C4">
              <w:rPr>
                <w:sz w:val="16"/>
                <w:szCs w:val="16"/>
              </w:rPr>
              <w:t>$25</w:t>
            </w:r>
          </w:p>
        </w:tc>
      </w:tr>
      <w:tr w:rsidR="00113D41" w:rsidRPr="003D68C4" w14:paraId="3BDFE4CE" w14:textId="77777777" w:rsidTr="00A256D4">
        <w:trPr>
          <w:cantSplit/>
          <w:trHeight w:val="345"/>
          <w:jc w:val="center"/>
        </w:trPr>
        <w:tc>
          <w:tcPr>
            <w:tcW w:w="1984" w:type="dxa"/>
            <w:tcMar>
              <w:left w:w="108" w:type="dxa"/>
              <w:right w:w="108" w:type="dxa"/>
            </w:tcMar>
            <w:vAlign w:val="bottom"/>
          </w:tcPr>
          <w:p w14:paraId="0ABF687E" w14:textId="77777777" w:rsidR="00113D41" w:rsidRPr="003D68C4" w:rsidRDefault="00113D41" w:rsidP="00A256D4">
            <w:pPr>
              <w:rPr>
                <w:sz w:val="16"/>
                <w:szCs w:val="16"/>
              </w:rPr>
            </w:pPr>
            <w:r w:rsidRPr="003D68C4">
              <w:rPr>
                <w:sz w:val="16"/>
                <w:szCs w:val="16"/>
              </w:rPr>
              <w:t>Premium Single Pull Thru</w:t>
            </w:r>
          </w:p>
        </w:tc>
        <w:tc>
          <w:tcPr>
            <w:tcW w:w="1170" w:type="dxa"/>
            <w:tcMar>
              <w:left w:w="108" w:type="dxa"/>
              <w:right w:w="108" w:type="dxa"/>
            </w:tcMar>
            <w:vAlign w:val="bottom"/>
          </w:tcPr>
          <w:p w14:paraId="6C1855FB" w14:textId="77777777" w:rsidR="00113D41" w:rsidRPr="003D68C4" w:rsidRDefault="00113D41" w:rsidP="00A256D4">
            <w:pPr>
              <w:jc w:val="center"/>
              <w:rPr>
                <w:sz w:val="16"/>
                <w:szCs w:val="16"/>
              </w:rPr>
            </w:pPr>
            <w:r w:rsidRPr="003D68C4">
              <w:rPr>
                <w:sz w:val="16"/>
                <w:szCs w:val="16"/>
              </w:rPr>
              <w:t>$35</w:t>
            </w:r>
          </w:p>
        </w:tc>
        <w:tc>
          <w:tcPr>
            <w:tcW w:w="1350" w:type="dxa"/>
            <w:tcMar>
              <w:left w:w="108" w:type="dxa"/>
              <w:right w:w="108" w:type="dxa"/>
            </w:tcMar>
            <w:vAlign w:val="bottom"/>
          </w:tcPr>
          <w:p w14:paraId="7CA75E77" w14:textId="77777777" w:rsidR="00113D41" w:rsidRPr="003D68C4" w:rsidRDefault="00113D41" w:rsidP="00A256D4">
            <w:pPr>
              <w:jc w:val="center"/>
              <w:rPr>
                <w:sz w:val="16"/>
                <w:szCs w:val="16"/>
              </w:rPr>
            </w:pPr>
            <w:r w:rsidRPr="003D68C4">
              <w:rPr>
                <w:sz w:val="16"/>
                <w:szCs w:val="16"/>
              </w:rPr>
              <w:t>$29</w:t>
            </w:r>
          </w:p>
        </w:tc>
      </w:tr>
      <w:tr w:rsidR="00113D41" w:rsidRPr="003D68C4" w14:paraId="5F487C15" w14:textId="77777777" w:rsidTr="00A256D4">
        <w:trPr>
          <w:cantSplit/>
          <w:trHeight w:val="345"/>
          <w:jc w:val="center"/>
        </w:trPr>
        <w:tc>
          <w:tcPr>
            <w:tcW w:w="1984" w:type="dxa"/>
            <w:tcMar>
              <w:left w:w="108" w:type="dxa"/>
              <w:right w:w="108" w:type="dxa"/>
            </w:tcMar>
            <w:vAlign w:val="bottom"/>
          </w:tcPr>
          <w:p w14:paraId="17598A21" w14:textId="77777777" w:rsidR="00113D41" w:rsidRPr="003D68C4" w:rsidRDefault="00113D41" w:rsidP="00A256D4">
            <w:pPr>
              <w:rPr>
                <w:sz w:val="16"/>
                <w:szCs w:val="16"/>
              </w:rPr>
            </w:pPr>
            <w:r w:rsidRPr="003D68C4">
              <w:rPr>
                <w:sz w:val="16"/>
                <w:szCs w:val="16"/>
              </w:rPr>
              <w:t>Ultra Pull Thru</w:t>
            </w:r>
          </w:p>
        </w:tc>
        <w:tc>
          <w:tcPr>
            <w:tcW w:w="1170" w:type="dxa"/>
            <w:tcMar>
              <w:left w:w="108" w:type="dxa"/>
              <w:right w:w="108" w:type="dxa"/>
            </w:tcMar>
            <w:vAlign w:val="bottom"/>
          </w:tcPr>
          <w:p w14:paraId="6114DEEA" w14:textId="77777777" w:rsidR="00113D41" w:rsidRPr="003D68C4" w:rsidRDefault="00113D41" w:rsidP="00A256D4">
            <w:pPr>
              <w:jc w:val="center"/>
              <w:rPr>
                <w:sz w:val="16"/>
                <w:szCs w:val="16"/>
              </w:rPr>
            </w:pPr>
            <w:r w:rsidRPr="003D68C4">
              <w:rPr>
                <w:sz w:val="16"/>
                <w:szCs w:val="16"/>
              </w:rPr>
              <w:t>$61</w:t>
            </w:r>
          </w:p>
        </w:tc>
        <w:tc>
          <w:tcPr>
            <w:tcW w:w="1350" w:type="dxa"/>
            <w:tcMar>
              <w:left w:w="108" w:type="dxa"/>
              <w:right w:w="108" w:type="dxa"/>
            </w:tcMar>
            <w:vAlign w:val="bottom"/>
          </w:tcPr>
          <w:p w14:paraId="78B8A96C" w14:textId="77777777" w:rsidR="00113D41" w:rsidRPr="003D68C4" w:rsidRDefault="00113D41" w:rsidP="00A256D4">
            <w:pPr>
              <w:jc w:val="center"/>
              <w:rPr>
                <w:sz w:val="16"/>
                <w:szCs w:val="16"/>
              </w:rPr>
            </w:pPr>
            <w:r w:rsidRPr="003D68C4">
              <w:rPr>
                <w:sz w:val="16"/>
                <w:szCs w:val="16"/>
              </w:rPr>
              <w:t>$49</w:t>
            </w:r>
          </w:p>
        </w:tc>
      </w:tr>
      <w:tr w:rsidR="00113D41" w:rsidRPr="003D68C4" w14:paraId="00BB835D" w14:textId="77777777" w:rsidTr="00A256D4">
        <w:trPr>
          <w:cantSplit/>
          <w:trHeight w:val="345"/>
          <w:jc w:val="center"/>
        </w:trPr>
        <w:tc>
          <w:tcPr>
            <w:tcW w:w="1984" w:type="dxa"/>
            <w:tcMar>
              <w:left w:w="108" w:type="dxa"/>
              <w:right w:w="108" w:type="dxa"/>
            </w:tcMar>
            <w:vAlign w:val="bottom"/>
          </w:tcPr>
          <w:p w14:paraId="7ACD2889" w14:textId="77777777" w:rsidR="00113D41" w:rsidRPr="003D68C4" w:rsidRDefault="00113D41" w:rsidP="00A256D4">
            <w:pPr>
              <w:rPr>
                <w:sz w:val="16"/>
                <w:szCs w:val="16"/>
              </w:rPr>
            </w:pPr>
            <w:r w:rsidRPr="003D68C4">
              <w:rPr>
                <w:sz w:val="16"/>
                <w:szCs w:val="16"/>
              </w:rPr>
              <w:t>Primitive Area</w:t>
            </w:r>
          </w:p>
        </w:tc>
        <w:tc>
          <w:tcPr>
            <w:tcW w:w="1170" w:type="dxa"/>
            <w:tcMar>
              <w:left w:w="108" w:type="dxa"/>
              <w:right w:w="108" w:type="dxa"/>
            </w:tcMar>
            <w:vAlign w:val="bottom"/>
          </w:tcPr>
          <w:p w14:paraId="2B991A17" w14:textId="77777777" w:rsidR="00113D41" w:rsidRPr="003D68C4" w:rsidRDefault="00113D41" w:rsidP="00A256D4">
            <w:pPr>
              <w:jc w:val="center"/>
              <w:rPr>
                <w:sz w:val="16"/>
                <w:szCs w:val="16"/>
              </w:rPr>
            </w:pPr>
            <w:r w:rsidRPr="003D68C4">
              <w:rPr>
                <w:sz w:val="16"/>
                <w:szCs w:val="16"/>
              </w:rPr>
              <w:t>$21</w:t>
            </w:r>
          </w:p>
        </w:tc>
        <w:tc>
          <w:tcPr>
            <w:tcW w:w="1350" w:type="dxa"/>
            <w:tcMar>
              <w:left w:w="108" w:type="dxa"/>
              <w:right w:w="108" w:type="dxa"/>
            </w:tcMar>
            <w:vAlign w:val="bottom"/>
          </w:tcPr>
          <w:p w14:paraId="2B8AA3D2" w14:textId="77777777" w:rsidR="00113D41" w:rsidRPr="003D68C4" w:rsidRDefault="00113D41" w:rsidP="00A256D4">
            <w:pPr>
              <w:jc w:val="center"/>
              <w:rPr>
                <w:sz w:val="16"/>
                <w:szCs w:val="16"/>
              </w:rPr>
            </w:pPr>
            <w:r w:rsidRPr="003D68C4">
              <w:rPr>
                <w:sz w:val="16"/>
                <w:szCs w:val="16"/>
              </w:rPr>
              <w:t>$17</w:t>
            </w:r>
          </w:p>
        </w:tc>
      </w:tr>
      <w:tr w:rsidR="00113D41" w:rsidRPr="003D68C4" w14:paraId="7D93FE5F" w14:textId="77777777" w:rsidTr="00A256D4">
        <w:trPr>
          <w:cantSplit/>
          <w:trHeight w:val="345"/>
          <w:jc w:val="center"/>
        </w:trPr>
        <w:tc>
          <w:tcPr>
            <w:tcW w:w="1984" w:type="dxa"/>
            <w:tcMar>
              <w:left w:w="108" w:type="dxa"/>
              <w:right w:w="108" w:type="dxa"/>
            </w:tcMar>
            <w:vAlign w:val="bottom"/>
          </w:tcPr>
          <w:p w14:paraId="34AB329F" w14:textId="77777777" w:rsidR="00113D41" w:rsidRPr="003D68C4" w:rsidRDefault="00113D41" w:rsidP="00A256D4">
            <w:pPr>
              <w:rPr>
                <w:sz w:val="16"/>
                <w:szCs w:val="16"/>
              </w:rPr>
            </w:pPr>
            <w:r w:rsidRPr="003D68C4">
              <w:rPr>
                <w:sz w:val="16"/>
                <w:szCs w:val="16"/>
              </w:rPr>
              <w:t>Full Hook-Up</w:t>
            </w:r>
          </w:p>
        </w:tc>
        <w:tc>
          <w:tcPr>
            <w:tcW w:w="1170" w:type="dxa"/>
            <w:tcMar>
              <w:left w:w="108" w:type="dxa"/>
              <w:right w:w="108" w:type="dxa"/>
            </w:tcMar>
            <w:vAlign w:val="bottom"/>
          </w:tcPr>
          <w:p w14:paraId="26C1BB35" w14:textId="77777777" w:rsidR="00113D41" w:rsidRPr="003D68C4" w:rsidRDefault="00113D41" w:rsidP="00A256D4">
            <w:pPr>
              <w:jc w:val="center"/>
              <w:rPr>
                <w:sz w:val="16"/>
                <w:szCs w:val="16"/>
              </w:rPr>
            </w:pPr>
            <w:r w:rsidRPr="003D68C4">
              <w:rPr>
                <w:sz w:val="16"/>
                <w:szCs w:val="16"/>
              </w:rPr>
              <w:t>$40</w:t>
            </w:r>
          </w:p>
        </w:tc>
        <w:tc>
          <w:tcPr>
            <w:tcW w:w="1350" w:type="dxa"/>
            <w:tcMar>
              <w:left w:w="108" w:type="dxa"/>
              <w:right w:w="108" w:type="dxa"/>
            </w:tcMar>
            <w:vAlign w:val="bottom"/>
          </w:tcPr>
          <w:p w14:paraId="71379D21" w14:textId="77777777" w:rsidR="00113D41" w:rsidRPr="003D68C4" w:rsidRDefault="00113D41" w:rsidP="00A256D4">
            <w:pPr>
              <w:jc w:val="center"/>
              <w:rPr>
                <w:sz w:val="16"/>
                <w:szCs w:val="16"/>
              </w:rPr>
            </w:pPr>
            <w:r w:rsidRPr="003D68C4">
              <w:rPr>
                <w:sz w:val="16"/>
                <w:szCs w:val="16"/>
              </w:rPr>
              <w:t>$35</w:t>
            </w:r>
          </w:p>
        </w:tc>
      </w:tr>
    </w:tbl>
    <w:p w14:paraId="31928304" w14:textId="77777777" w:rsidR="00113D41" w:rsidRPr="003D68C4" w:rsidRDefault="00113D41" w:rsidP="00113D41">
      <w:pPr>
        <w:pStyle w:val="A"/>
        <w:rPr>
          <w:color w:val="000000"/>
        </w:rPr>
      </w:pPr>
    </w:p>
    <w:p w14:paraId="5CB8F7B5" w14:textId="77777777" w:rsidR="00113D41" w:rsidRPr="003D68C4" w:rsidRDefault="00113D41" w:rsidP="00113D41">
      <w:pPr>
        <w:pStyle w:val="A"/>
      </w:pPr>
      <w:r w:rsidRPr="003D68C4">
        <w:t>B.</w:t>
      </w:r>
      <w:r w:rsidRPr="003D68C4">
        <w:tab/>
        <w:t>Rally camping areas are those designated and reserved for use by organized groups of overnight campers in the primitive area of the campsite.</w:t>
      </w:r>
    </w:p>
    <w:p w14:paraId="3F03D0FE" w14:textId="77777777" w:rsidR="00113D41" w:rsidRPr="003D68C4" w:rsidRDefault="00113D41" w:rsidP="00113D41">
      <w:pPr>
        <w:pStyle w:val="1"/>
      </w:pPr>
      <w:r w:rsidRPr="003D68C4">
        <w:t>1.</w:t>
      </w:r>
      <w:r w:rsidRPr="003D68C4">
        <w:tab/>
        <w:t>Fees—Rally Camping</w:t>
      </w:r>
    </w:p>
    <w:p w14:paraId="10756BE1" w14:textId="77777777" w:rsidR="00113D41" w:rsidRPr="003D68C4" w:rsidRDefault="00113D41" w:rsidP="00113D41">
      <w:pPr>
        <w:pStyle w:val="a0"/>
      </w:pPr>
      <w:r w:rsidRPr="003D68C4">
        <w:t>a.</w:t>
      </w:r>
      <w:r w:rsidRPr="003D68C4">
        <w:tab/>
        <w:t>A fee up to $55 per night is assessed to the group for the exclusive use of an area. Rally camping is available for tent camping in the primitive area of the campsite only.</w:t>
      </w:r>
    </w:p>
    <w:p w14:paraId="03B854C8" w14:textId="77777777" w:rsidR="00113D41" w:rsidRPr="003D68C4" w:rsidRDefault="00113D41" w:rsidP="00113D41">
      <w:pPr>
        <w:pStyle w:val="A"/>
      </w:pPr>
      <w:r w:rsidRPr="003D68C4">
        <w:t>C.</w:t>
      </w:r>
      <w:r w:rsidRPr="003D68C4">
        <w:tab/>
        <w:t>Thirty-Day Off-Season Rates (available November 1</w:t>
      </w:r>
      <w:r>
        <w:t xml:space="preserve"> </w:t>
      </w:r>
      <w:r w:rsidRPr="003D68C4">
        <w:t>-</w:t>
      </w:r>
      <w:r>
        <w:t xml:space="preserve"> </w:t>
      </w:r>
      <w:r w:rsidRPr="003D68C4">
        <w:t>February 28 only)</w:t>
      </w:r>
    </w:p>
    <w:p w14:paraId="51993F6B" w14:textId="77777777" w:rsidR="00113D41" w:rsidRDefault="00113D41" w:rsidP="00113D41">
      <w:pPr>
        <w:pStyle w:val="1"/>
      </w:pPr>
      <w:r w:rsidRPr="003D68C4">
        <w:rPr>
          <w:color w:val="000000"/>
        </w:rPr>
        <w:t>1.</w:t>
      </w:r>
      <w:r w:rsidRPr="003D68C4">
        <w:rPr>
          <w:color w:val="000000"/>
        </w:rPr>
        <w:tab/>
        <w:t xml:space="preserve">The thirty-day </w:t>
      </w:r>
      <w:r w:rsidRPr="003D68C4">
        <w:t>rental rate for each campsite offered is up to the amount as shown in the following table:</w:t>
      </w:r>
    </w:p>
    <w:p w14:paraId="7F22BFA3" w14:textId="77777777" w:rsidR="00113D41" w:rsidRPr="003D68C4" w:rsidRDefault="00113D41" w:rsidP="00113D41">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459"/>
        <w:gridCol w:w="1363"/>
      </w:tblGrid>
      <w:tr w:rsidR="00113D41" w:rsidRPr="003D68C4" w14:paraId="6E30C7AD" w14:textId="77777777" w:rsidTr="00A256D4">
        <w:trPr>
          <w:cantSplit/>
          <w:trHeight w:val="20"/>
          <w:jc w:val="center"/>
        </w:trPr>
        <w:tc>
          <w:tcPr>
            <w:tcW w:w="2459" w:type="dxa"/>
            <w:shd w:val="clear" w:color="auto" w:fill="BFBFBF"/>
            <w:tcMar>
              <w:left w:w="108" w:type="dxa"/>
              <w:right w:w="108" w:type="dxa"/>
            </w:tcMar>
            <w:vAlign w:val="bottom"/>
          </w:tcPr>
          <w:p w14:paraId="731ED343" w14:textId="77777777" w:rsidR="00113D41" w:rsidRPr="004D5C38" w:rsidRDefault="00113D41" w:rsidP="00A256D4">
            <w:pPr>
              <w:keepNext/>
              <w:jc w:val="center"/>
              <w:rPr>
                <w:b/>
                <w:bCs/>
                <w:sz w:val="16"/>
                <w:szCs w:val="16"/>
              </w:rPr>
            </w:pPr>
            <w:r w:rsidRPr="004D5C38">
              <w:rPr>
                <w:b/>
                <w:bCs/>
                <w:sz w:val="16"/>
                <w:szCs w:val="16"/>
              </w:rPr>
              <w:t>Campsite</w:t>
            </w:r>
          </w:p>
        </w:tc>
        <w:tc>
          <w:tcPr>
            <w:tcW w:w="1363" w:type="dxa"/>
            <w:shd w:val="clear" w:color="auto" w:fill="BFBFBF"/>
            <w:tcMar>
              <w:left w:w="108" w:type="dxa"/>
              <w:right w:w="108" w:type="dxa"/>
            </w:tcMar>
            <w:vAlign w:val="bottom"/>
          </w:tcPr>
          <w:p w14:paraId="009BA5B5" w14:textId="77777777" w:rsidR="00113D41" w:rsidRPr="004D5C38" w:rsidRDefault="00113D41" w:rsidP="00A256D4">
            <w:pPr>
              <w:keepNext/>
              <w:jc w:val="center"/>
              <w:rPr>
                <w:b/>
                <w:bCs/>
                <w:color w:val="000000"/>
                <w:sz w:val="16"/>
                <w:szCs w:val="16"/>
              </w:rPr>
            </w:pPr>
            <w:r w:rsidRPr="004D5C38">
              <w:rPr>
                <w:b/>
                <w:bCs/>
                <w:color w:val="000000"/>
                <w:sz w:val="16"/>
                <w:szCs w:val="16"/>
              </w:rPr>
              <w:t>Winter Season 30-Day Rate</w:t>
            </w:r>
          </w:p>
        </w:tc>
      </w:tr>
      <w:tr w:rsidR="00113D41" w:rsidRPr="003D68C4" w14:paraId="30813E2A" w14:textId="77777777" w:rsidTr="00A256D4">
        <w:trPr>
          <w:cantSplit/>
          <w:trHeight w:val="300"/>
          <w:jc w:val="center"/>
        </w:trPr>
        <w:tc>
          <w:tcPr>
            <w:tcW w:w="2459" w:type="dxa"/>
            <w:tcMar>
              <w:left w:w="108" w:type="dxa"/>
              <w:right w:w="108" w:type="dxa"/>
            </w:tcMar>
            <w:vAlign w:val="bottom"/>
          </w:tcPr>
          <w:p w14:paraId="60691728" w14:textId="77777777" w:rsidR="00113D41" w:rsidRPr="003D68C4" w:rsidRDefault="00113D41" w:rsidP="00A256D4">
            <w:pPr>
              <w:jc w:val="center"/>
              <w:rPr>
                <w:sz w:val="16"/>
                <w:szCs w:val="16"/>
              </w:rPr>
            </w:pPr>
            <w:r w:rsidRPr="003D68C4">
              <w:rPr>
                <w:sz w:val="16"/>
                <w:szCs w:val="16"/>
              </w:rPr>
              <w:t>Non-Waterfront Single</w:t>
            </w:r>
          </w:p>
        </w:tc>
        <w:tc>
          <w:tcPr>
            <w:tcW w:w="1363" w:type="dxa"/>
            <w:tcMar>
              <w:left w:w="108" w:type="dxa"/>
              <w:right w:w="108" w:type="dxa"/>
            </w:tcMar>
            <w:vAlign w:val="bottom"/>
          </w:tcPr>
          <w:p w14:paraId="3AAA40B5" w14:textId="77777777" w:rsidR="00113D41" w:rsidRPr="002F570B" w:rsidRDefault="00113D41" w:rsidP="00A256D4">
            <w:pPr>
              <w:jc w:val="center"/>
              <w:rPr>
                <w:sz w:val="16"/>
                <w:szCs w:val="16"/>
              </w:rPr>
            </w:pPr>
            <w:r w:rsidRPr="003D68C4">
              <w:rPr>
                <w:sz w:val="16"/>
                <w:szCs w:val="16"/>
              </w:rPr>
              <w:t>$400</w:t>
            </w:r>
          </w:p>
        </w:tc>
      </w:tr>
      <w:tr w:rsidR="00113D41" w:rsidRPr="003D68C4" w14:paraId="1F2937F1" w14:textId="77777777" w:rsidTr="00A256D4">
        <w:trPr>
          <w:cantSplit/>
          <w:trHeight w:val="300"/>
          <w:jc w:val="center"/>
        </w:trPr>
        <w:tc>
          <w:tcPr>
            <w:tcW w:w="2459" w:type="dxa"/>
            <w:tcMar>
              <w:left w:w="108" w:type="dxa"/>
              <w:right w:w="108" w:type="dxa"/>
            </w:tcMar>
            <w:vAlign w:val="bottom"/>
          </w:tcPr>
          <w:p w14:paraId="693AA600" w14:textId="77777777" w:rsidR="00113D41" w:rsidRPr="003D68C4" w:rsidRDefault="00113D41" w:rsidP="00A256D4">
            <w:pPr>
              <w:jc w:val="center"/>
              <w:rPr>
                <w:rFonts w:ascii="Calibri" w:eastAsia="Calibri" w:hAnsi="Calibri" w:cs="Arial"/>
              </w:rPr>
            </w:pPr>
            <w:r w:rsidRPr="003D68C4">
              <w:rPr>
                <w:sz w:val="16"/>
                <w:szCs w:val="16"/>
              </w:rPr>
              <w:t>Waterfront Single</w:t>
            </w:r>
          </w:p>
        </w:tc>
        <w:tc>
          <w:tcPr>
            <w:tcW w:w="1363" w:type="dxa"/>
            <w:tcMar>
              <w:left w:w="108" w:type="dxa"/>
              <w:right w:w="108" w:type="dxa"/>
            </w:tcMar>
            <w:vAlign w:val="bottom"/>
          </w:tcPr>
          <w:p w14:paraId="09FF388D" w14:textId="77777777" w:rsidR="00113D41" w:rsidRPr="003D68C4" w:rsidRDefault="00113D41" w:rsidP="00A256D4">
            <w:pPr>
              <w:jc w:val="center"/>
              <w:rPr>
                <w:sz w:val="16"/>
                <w:szCs w:val="16"/>
              </w:rPr>
            </w:pPr>
            <w:r w:rsidRPr="003D68C4">
              <w:rPr>
                <w:sz w:val="16"/>
                <w:szCs w:val="16"/>
              </w:rPr>
              <w:t>$525</w:t>
            </w:r>
          </w:p>
        </w:tc>
      </w:tr>
      <w:tr w:rsidR="00113D41" w:rsidRPr="003D68C4" w14:paraId="4726F183" w14:textId="77777777" w:rsidTr="00A256D4">
        <w:trPr>
          <w:cantSplit/>
          <w:trHeight w:val="300"/>
          <w:jc w:val="center"/>
        </w:trPr>
        <w:tc>
          <w:tcPr>
            <w:tcW w:w="2459" w:type="dxa"/>
            <w:tcMar>
              <w:left w:w="108" w:type="dxa"/>
              <w:right w:w="108" w:type="dxa"/>
            </w:tcMar>
            <w:vAlign w:val="bottom"/>
          </w:tcPr>
          <w:p w14:paraId="0B53CD4E" w14:textId="77777777" w:rsidR="00113D41" w:rsidRPr="003D68C4" w:rsidRDefault="00113D41" w:rsidP="00A256D4">
            <w:pPr>
              <w:jc w:val="center"/>
              <w:rPr>
                <w:rFonts w:ascii="Calibri" w:eastAsia="Calibri" w:hAnsi="Calibri" w:cs="Arial"/>
              </w:rPr>
            </w:pPr>
            <w:r w:rsidRPr="003D68C4">
              <w:rPr>
                <w:sz w:val="16"/>
                <w:szCs w:val="16"/>
              </w:rPr>
              <w:t>Full Hook Up</w:t>
            </w:r>
          </w:p>
        </w:tc>
        <w:tc>
          <w:tcPr>
            <w:tcW w:w="1363" w:type="dxa"/>
            <w:tcMar>
              <w:left w:w="108" w:type="dxa"/>
              <w:right w:w="108" w:type="dxa"/>
            </w:tcMar>
            <w:vAlign w:val="bottom"/>
          </w:tcPr>
          <w:p w14:paraId="28F7D805" w14:textId="77777777" w:rsidR="00113D41" w:rsidRPr="003D68C4" w:rsidRDefault="00113D41" w:rsidP="00A256D4">
            <w:pPr>
              <w:jc w:val="center"/>
              <w:rPr>
                <w:sz w:val="16"/>
                <w:szCs w:val="16"/>
              </w:rPr>
            </w:pPr>
            <w:r w:rsidRPr="003D68C4">
              <w:rPr>
                <w:sz w:val="16"/>
                <w:szCs w:val="16"/>
              </w:rPr>
              <w:t>$575</w:t>
            </w:r>
          </w:p>
        </w:tc>
      </w:tr>
    </w:tbl>
    <w:p w14:paraId="3C0C032F" w14:textId="77777777" w:rsidR="00113D41" w:rsidRDefault="00113D41" w:rsidP="00113D41">
      <w:pPr>
        <w:pStyle w:val="A"/>
      </w:pPr>
    </w:p>
    <w:p w14:paraId="33E2FEB0" w14:textId="77777777" w:rsidR="00F17615" w:rsidRDefault="00113D41" w:rsidP="00113D41">
      <w:pPr>
        <w:pStyle w:val="A"/>
      </w:pPr>
      <w:bookmarkStart w:id="3256" w:name="Tempiii"/>
      <w:r w:rsidRPr="003D68C4">
        <w:t>D.</w:t>
      </w:r>
      <w:r w:rsidRPr="003D68C4">
        <w:tab/>
        <w:t>The fees set forth in this Section shall become effective February 1, 2025.</w:t>
      </w:r>
    </w:p>
    <w:bookmarkEnd w:id="3256"/>
    <w:p w14:paraId="26516CE6" w14:textId="77777777" w:rsidR="00113D41" w:rsidRPr="003D68C4" w:rsidRDefault="00113D41" w:rsidP="00113D41">
      <w:pPr>
        <w:pStyle w:val="A"/>
      </w:pPr>
      <w:r w:rsidRPr="003D68C4">
        <w:t>E.</w:t>
      </w:r>
      <w:r w:rsidRPr="003D68C4">
        <w:tab/>
        <w:t>Online or telephone payments of the fees set forth in this Chapter may be subject to a credit card transaction fee.</w:t>
      </w:r>
    </w:p>
    <w:p w14:paraId="1CCB678F" w14:textId="77777777" w:rsidR="00F17615" w:rsidRPr="00514D49" w:rsidRDefault="00F17615" w:rsidP="00F17615">
      <w:pPr>
        <w:pStyle w:val="AuthorityNote"/>
      </w:pPr>
      <w:bookmarkStart w:id="3257" w:name="_Toc398793327"/>
      <w:r w:rsidRPr="00514D49">
        <w:t>AUTHORITY NOTE:</w:t>
      </w:r>
      <w:r w:rsidRPr="00514D49">
        <w:tab/>
      </w:r>
      <w:r w:rsidR="00CB33F0" w:rsidRPr="00B56F89">
        <w:t>Promulgated in accordance with Act 591 of 1970, R.S. 36:802.10, and R.S. 3:4402.</w:t>
      </w:r>
    </w:p>
    <w:p w14:paraId="42508EAC"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1D67FA">
        <w:t xml:space="preserve">LR 42:1507 (September 2016), </w:t>
      </w:r>
      <w:r w:rsidR="001D67FA" w:rsidRPr="00046B28">
        <w:t xml:space="preserve">amended LR </w:t>
      </w:r>
      <w:r w:rsidR="001D67FA">
        <w:t>43:1518 (August 2017)</w:t>
      </w:r>
      <w:r w:rsidR="00CB33F0" w:rsidRPr="00B56F89">
        <w:t>, LR 47:</w:t>
      </w:r>
      <w:r w:rsidR="00CB33F0">
        <w:t>229 (February 2021)</w:t>
      </w:r>
      <w:r w:rsidR="00F545F3">
        <w:t>, repromu</w:t>
      </w:r>
      <w:r w:rsidR="00113D41">
        <w:t xml:space="preserve">lgated LR 47:1101 (August 2021), </w:t>
      </w:r>
      <w:r w:rsidR="00113D41" w:rsidRPr="003D68C4">
        <w:t xml:space="preserve">amended </w:t>
      </w:r>
      <w:r w:rsidR="00113D41">
        <w:t>LR 51:31 (January 2025).</w:t>
      </w:r>
    </w:p>
    <w:p w14:paraId="277E3F64" w14:textId="77777777" w:rsidR="00F17615" w:rsidRPr="00514D49" w:rsidRDefault="00F17615" w:rsidP="00F17615">
      <w:pPr>
        <w:pStyle w:val="Section"/>
      </w:pPr>
      <w:bookmarkStart w:id="3258" w:name="_Toc224819585"/>
      <w:r w:rsidRPr="00514D49">
        <w:t>§541.</w:t>
      </w:r>
      <w:r w:rsidRPr="00514D49">
        <w:tab/>
        <w:t>Reservation Policy</w:t>
      </w:r>
      <w:bookmarkEnd w:id="3257"/>
      <w:bookmarkEnd w:id="3258"/>
    </w:p>
    <w:p w14:paraId="3152B02D" w14:textId="77777777" w:rsidR="00F17615" w:rsidRPr="00514D49" w:rsidRDefault="00F17615" w:rsidP="00F17615">
      <w:pPr>
        <w:pStyle w:val="A"/>
      </w:pPr>
      <w:r w:rsidRPr="00514D49">
        <w:t>A.</w:t>
      </w:r>
      <w:r w:rsidRPr="00514D49">
        <w:tab/>
        <w:t>General Provisions</w:t>
      </w:r>
    </w:p>
    <w:p w14:paraId="4C3D87D0" w14:textId="77777777" w:rsidR="00F17615" w:rsidRPr="00514D49" w:rsidRDefault="001D67FA" w:rsidP="00F17615">
      <w:pPr>
        <w:pStyle w:val="1"/>
      </w:pPr>
      <w:r w:rsidRPr="001D67FA">
        <w:t>1.</w:t>
      </w:r>
      <w:r w:rsidRPr="001D67FA">
        <w:tab/>
        <w:t>Reservations may be made for Indian Creek Recreational Area for an allotted number of campsites as determined by the site manager</w:t>
      </w:r>
      <w:r w:rsidR="00F17615" w:rsidRPr="00514D49">
        <w:t>.</w:t>
      </w:r>
    </w:p>
    <w:p w14:paraId="6F900BC1" w14:textId="77777777" w:rsidR="00F17615" w:rsidRPr="00514D49" w:rsidRDefault="00F17615" w:rsidP="00F17615">
      <w:pPr>
        <w:pStyle w:val="1"/>
      </w:pPr>
      <w:r w:rsidRPr="00514D49">
        <w:t>2.</w:t>
      </w:r>
      <w:r w:rsidRPr="00514D49">
        <w:tab/>
        <w:t>Reservations are accepted only from persons 18 years of age or older. All persons under 18 years of age must be accompanied by adults when using reserved facilities.</w:t>
      </w:r>
    </w:p>
    <w:p w14:paraId="041FD91D" w14:textId="77777777" w:rsidR="00F17615" w:rsidRPr="00514D49" w:rsidRDefault="00F17615" w:rsidP="00F17615">
      <w:pPr>
        <w:pStyle w:val="1"/>
      </w:pPr>
      <w:r w:rsidRPr="00514D49">
        <w:t>3.</w:t>
      </w:r>
      <w:r w:rsidRPr="00514D49">
        <w:tab/>
        <w:t>Payment must be made in full at the time the reservation is made.</w:t>
      </w:r>
      <w:r>
        <w:t xml:space="preserve"> </w:t>
      </w:r>
    </w:p>
    <w:p w14:paraId="54D8D386" w14:textId="77777777" w:rsidR="00F17615" w:rsidRPr="00514D49" w:rsidRDefault="00F17615" w:rsidP="00F17615">
      <w:pPr>
        <w:pStyle w:val="1"/>
      </w:pPr>
      <w:r w:rsidRPr="00514D49">
        <w:t>4.</w:t>
      </w:r>
      <w:r w:rsidRPr="00514D49">
        <w:tab/>
        <w:t>Cancellation of a reservation initiated by the site user and made up to 48 hours prior to the date of arrival will incur a one night charge.</w:t>
      </w:r>
      <w:r>
        <w:t xml:space="preserve"> </w:t>
      </w:r>
      <w:r w:rsidRPr="00514D49">
        <w:t>No cancellations will be accepted 48 hours prior to the date of arrival.</w:t>
      </w:r>
      <w:r>
        <w:t xml:space="preserve"> </w:t>
      </w:r>
      <w:r w:rsidRPr="00514D49">
        <w:t>A transfer of reservation dates will be treated as a cancellation and a new reservation, and is therefore subject to the cancellation policy.</w:t>
      </w:r>
      <w:r>
        <w:t xml:space="preserve"> </w:t>
      </w:r>
      <w:r w:rsidRPr="00514D49">
        <w:t>There is no charge to transfer a reservation from one site to a different site on the same dates.</w:t>
      </w:r>
      <w:r>
        <w:t xml:space="preserve"> </w:t>
      </w:r>
      <w:r w:rsidRPr="00514D49">
        <w:t xml:space="preserve">Requests for waivers of the cancellation fee must be made in writing to the </w:t>
      </w:r>
      <w:r>
        <w:t>commissioner</w:t>
      </w:r>
      <w:r w:rsidRPr="00514D49">
        <w:t xml:space="preserve"> of Agriculture and Forestry or his designee and will be granted only in extreme circumstances.</w:t>
      </w:r>
      <w:r>
        <w:t xml:space="preserve"> </w:t>
      </w:r>
    </w:p>
    <w:p w14:paraId="1D37990B" w14:textId="77777777" w:rsidR="001D67FA" w:rsidRPr="001D67FA" w:rsidRDefault="001D67FA" w:rsidP="001D67FA">
      <w:pPr>
        <w:pStyle w:val="1"/>
      </w:pPr>
      <w:r w:rsidRPr="001D67FA">
        <w:t>5.</w:t>
      </w:r>
      <w:r w:rsidRPr="001D67FA">
        <w:tab/>
        <w:t>Cancellation of a monthly reservation initiated by the site user and made up to 48 hours prior to the date of arrival will incur a $50 charge. No cancellations will be accepted 48 hours prior to the date of arrival. A transfer of reservation dates will be treated as a cancellation and a new reservation, and is therefore subject to the cancellation policy. There is no charge to transfer a reservation from one site to a different site on the same dates. Requests for waivers of the cancellation fee must be made in writing to the commissioner of agriculture and forestry or his designee and will be granted only in extreme circumstances.</w:t>
      </w:r>
    </w:p>
    <w:p w14:paraId="78F6FAE8" w14:textId="77777777" w:rsidR="00F17615" w:rsidRPr="00514D49" w:rsidRDefault="001D67FA" w:rsidP="001D67FA">
      <w:pPr>
        <w:pStyle w:val="1"/>
      </w:pPr>
      <w:r w:rsidRPr="001D67FA">
        <w:t>6.</w:t>
      </w:r>
      <w:r w:rsidRPr="001D67FA">
        <w:tab/>
        <w:t>In the event reservations must be canceled by LDAF staff (e.g., for maintenance or emergency reasons) the rental fee will be refunded in full.</w:t>
      </w:r>
    </w:p>
    <w:p w14:paraId="36049429" w14:textId="77777777" w:rsidR="00F17615" w:rsidRPr="00514D49" w:rsidRDefault="00F17615" w:rsidP="00F17615">
      <w:pPr>
        <w:pStyle w:val="AuthorityNote"/>
      </w:pPr>
      <w:bookmarkStart w:id="3259" w:name="_Toc398793328"/>
      <w:r w:rsidRPr="00514D49">
        <w:t>AUTHORITY NOTE:</w:t>
      </w:r>
      <w:r w:rsidRPr="00514D49">
        <w:tab/>
        <w:t>Promulgated in accordance with Act 591 of 1970 and R.S. 3:4402.</w:t>
      </w:r>
    </w:p>
    <w:p w14:paraId="68B4C8BA" w14:textId="77777777"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1D67FA">
        <w:t xml:space="preserve">LR 42:1507 (September 2016), </w:t>
      </w:r>
      <w:r w:rsidR="001D67FA" w:rsidRPr="001D67FA">
        <w:t>amended LR 43:1519 (August 2017).</w:t>
      </w:r>
    </w:p>
    <w:p w14:paraId="7A856D9F" w14:textId="77777777" w:rsidR="00F17615" w:rsidRPr="00514D49" w:rsidRDefault="00F17615" w:rsidP="00F17615">
      <w:pPr>
        <w:pStyle w:val="Section"/>
      </w:pPr>
      <w:bookmarkStart w:id="3260" w:name="_Toc224819586"/>
      <w:r w:rsidRPr="00514D49">
        <w:lastRenderedPageBreak/>
        <w:t>§543.</w:t>
      </w:r>
      <w:r w:rsidRPr="00514D49">
        <w:tab/>
        <w:t>Refunds</w:t>
      </w:r>
      <w:bookmarkEnd w:id="3259"/>
      <w:bookmarkEnd w:id="3260"/>
    </w:p>
    <w:p w14:paraId="6BCB55BC" w14:textId="77777777" w:rsidR="00F17615" w:rsidRPr="00514D49" w:rsidRDefault="00F17615" w:rsidP="00F17615">
      <w:pPr>
        <w:pStyle w:val="A"/>
      </w:pPr>
      <w:r w:rsidRPr="00514D49">
        <w:t>A.</w:t>
      </w:r>
      <w:r w:rsidRPr="00514D49">
        <w:tab/>
        <w:t>Refunds will not be issued to visitors evicted for enforcement or disciplinary reasons.</w:t>
      </w:r>
    </w:p>
    <w:p w14:paraId="72A4F991" w14:textId="77777777" w:rsidR="00F17615" w:rsidRPr="00514D49" w:rsidRDefault="00F17615" w:rsidP="00F17615">
      <w:pPr>
        <w:pStyle w:val="A"/>
      </w:pPr>
      <w:r w:rsidRPr="00514D49">
        <w:t>B.</w:t>
      </w:r>
      <w:r w:rsidRPr="00514D49">
        <w:tab/>
        <w:t>All reservation refunds must be issued through the Office of Management and Finance or through the online reservations system.</w:t>
      </w:r>
      <w:r>
        <w:t xml:space="preserve"> </w:t>
      </w:r>
      <w:r w:rsidRPr="00514D49">
        <w:t>No cash refunds will be issued.</w:t>
      </w:r>
    </w:p>
    <w:p w14:paraId="3E071BA6" w14:textId="77777777" w:rsidR="00F17615" w:rsidRPr="00514D49" w:rsidRDefault="00F17615" w:rsidP="00F17615">
      <w:pPr>
        <w:pStyle w:val="A"/>
      </w:pPr>
      <w:r w:rsidRPr="00514D49">
        <w:t>C.</w:t>
      </w:r>
      <w:r w:rsidRPr="00514D49">
        <w:tab/>
        <w:t>Refunds of day use fees are not granted when a visitor, by his own choosing, leaves the site due to inclement weather.</w:t>
      </w:r>
      <w:r>
        <w:t xml:space="preserve"> </w:t>
      </w:r>
      <w:r w:rsidRPr="00514D49">
        <w:t>In the event of a declared state of emergency that directly affects Indian Creek Recreation Area, refunds may be issued to all campers.</w:t>
      </w:r>
    </w:p>
    <w:p w14:paraId="31BC7F67" w14:textId="77777777" w:rsidR="00F17615" w:rsidRPr="00514D49" w:rsidRDefault="00F17615" w:rsidP="00F17615">
      <w:pPr>
        <w:pStyle w:val="AuthorityNote"/>
      </w:pPr>
      <w:r w:rsidRPr="00514D49">
        <w:t>AUTHORITY NOTE:</w:t>
      </w:r>
      <w:r w:rsidRPr="00514D49">
        <w:tab/>
        <w:t>Promulgated in accordance with Act 591 of 1970 and R.S. 3:4402.</w:t>
      </w:r>
    </w:p>
    <w:p w14:paraId="277072ED" w14:textId="77777777" w:rsidR="00F17615" w:rsidRDefault="00F17615" w:rsidP="00F17615">
      <w:pPr>
        <w:pStyle w:val="HistoricalNote"/>
      </w:pPr>
      <w:r w:rsidRPr="00514D49">
        <w:t>HISTORICAL NOTE:</w:t>
      </w:r>
      <w:r w:rsidRPr="00514D49">
        <w:tab/>
        <w:t xml:space="preserve">Promulgated by the Department of Agriculture and Forestry, Office of Forestry, </w:t>
      </w:r>
      <w:r>
        <w:t>LR 42:1507 (September 2016).</w:t>
      </w:r>
    </w:p>
    <w:p w14:paraId="1FF5C624" w14:textId="77777777" w:rsidR="001D67FA" w:rsidRPr="001D67FA" w:rsidRDefault="001D67FA" w:rsidP="001D67FA">
      <w:pPr>
        <w:pStyle w:val="Section"/>
      </w:pPr>
      <w:bookmarkStart w:id="3261" w:name="_Toc224819587"/>
      <w:r w:rsidRPr="001D67FA">
        <w:t>§545.</w:t>
      </w:r>
      <w:r w:rsidRPr="001D67FA">
        <w:tab/>
        <w:t>Pavilion Use; Rate; Restrictions</w:t>
      </w:r>
      <w:bookmarkEnd w:id="3261"/>
    </w:p>
    <w:p w14:paraId="32BF16F7" w14:textId="77777777" w:rsidR="001D67FA" w:rsidRPr="001D67FA" w:rsidRDefault="001D67FA" w:rsidP="001D67FA">
      <w:pPr>
        <w:pStyle w:val="A"/>
      </w:pPr>
      <w:r w:rsidRPr="001D67FA">
        <w:t>A.</w:t>
      </w:r>
      <w:r w:rsidRPr="001D67FA">
        <w:tab/>
        <w:t>Pavilion Rental</w:t>
      </w:r>
    </w:p>
    <w:p w14:paraId="67E0CAEF" w14:textId="77777777" w:rsidR="00113D41" w:rsidRPr="003D68C4" w:rsidRDefault="001D67FA" w:rsidP="00113D41">
      <w:pPr>
        <w:pStyle w:val="1"/>
      </w:pPr>
      <w:r w:rsidRPr="001D67FA">
        <w:t>1.</w:t>
      </w:r>
      <w:r w:rsidRPr="001D67FA">
        <w:tab/>
      </w:r>
      <w:r w:rsidR="00113D41" w:rsidRPr="003D68C4">
        <w:t xml:space="preserve">Exclusive use of the pavilion can only be made by executing a rental agreement and payment of a rental fee. </w:t>
      </w:r>
    </w:p>
    <w:p w14:paraId="35D61E6C" w14:textId="77777777" w:rsidR="00113D41" w:rsidRPr="003D68C4" w:rsidRDefault="00113D41" w:rsidP="00113D41">
      <w:pPr>
        <w:pStyle w:val="1"/>
      </w:pPr>
      <w:r w:rsidRPr="003D68C4">
        <w:t>2.</w:t>
      </w:r>
      <w:r w:rsidRPr="003D68C4">
        <w:tab/>
        <w:t>The pavilion rental rate is $125 per day for the large pavilion and $35 per day for the small pavilion. Pavilion rental does not include day-use fee.</w:t>
      </w:r>
    </w:p>
    <w:p w14:paraId="7259E8C7" w14:textId="77777777" w:rsidR="00113D41" w:rsidRPr="003D68C4" w:rsidRDefault="00113D41" w:rsidP="00113D41">
      <w:pPr>
        <w:pStyle w:val="1"/>
      </w:pPr>
      <w:r w:rsidRPr="003D68C4">
        <w:t>3.</w:t>
      </w:r>
      <w:r w:rsidRPr="003D68C4">
        <w:tab/>
        <w:t>Full payment of the $125 rental fee for the large pavilion and $35 rental fee for the small pavilion is due at time of reservation. Prior to, or on the date of the reservation, a $50 cleaning deposit is required for the large pavilion and $15 cleaning deposit for the small pavilion. The party renting the pavilion is responsible for cleanup after the event and ensuring the pavilion is not damaged. The cleaning deposit will be refunded to the customer either electronically or by U.S. mail within 10 days of the event if sufficiently clean.</w:t>
      </w:r>
    </w:p>
    <w:p w14:paraId="7E44086F" w14:textId="77777777" w:rsidR="001D67FA" w:rsidRPr="001D67FA" w:rsidRDefault="001D67FA" w:rsidP="00113D41">
      <w:pPr>
        <w:pStyle w:val="1"/>
      </w:pPr>
      <w:r w:rsidRPr="001D67FA">
        <w:t>4.</w:t>
      </w:r>
      <w:r w:rsidRPr="001D67FA">
        <w:tab/>
        <w:t>The pavilion may only be used between the hours of 8 a.m. and 7 p.m.</w:t>
      </w:r>
    </w:p>
    <w:p w14:paraId="13048B21" w14:textId="77777777" w:rsidR="001D67FA" w:rsidRPr="001D67FA" w:rsidRDefault="001D67FA" w:rsidP="001D67FA">
      <w:pPr>
        <w:pStyle w:val="1"/>
      </w:pPr>
      <w:r w:rsidRPr="001D67FA">
        <w:t>5.</w:t>
      </w:r>
      <w:r w:rsidRPr="001D67FA">
        <w:tab/>
        <w:t>No inflatable jumpers/slides using water will be permitted for use in the park. No inflatable or plastic swimming pools will be allowed in the park.</w:t>
      </w:r>
    </w:p>
    <w:p w14:paraId="305A2DC2" w14:textId="77777777" w:rsidR="001D67FA" w:rsidRPr="001D67FA" w:rsidRDefault="001D67FA" w:rsidP="001D67FA">
      <w:pPr>
        <w:pStyle w:val="1"/>
      </w:pPr>
      <w:r w:rsidRPr="001D67FA">
        <w:t>6.</w:t>
      </w:r>
      <w:r w:rsidRPr="001D67FA">
        <w:tab/>
        <w:t>All general park rules apply to the pavilion rental.</w:t>
      </w:r>
    </w:p>
    <w:p w14:paraId="0E9A2ADF" w14:textId="77777777" w:rsidR="001D67FA" w:rsidRPr="001D67FA" w:rsidRDefault="001D67FA" w:rsidP="001D67FA">
      <w:pPr>
        <w:pStyle w:val="1"/>
      </w:pPr>
      <w:r w:rsidRPr="001D67FA">
        <w:t>7.</w:t>
      </w:r>
      <w:r w:rsidRPr="001D67FA">
        <w:tab/>
        <w:t>Any damage or destruction of property will be repaired or replaced at the expense of the renter.</w:t>
      </w:r>
    </w:p>
    <w:p w14:paraId="4B6B53C0" w14:textId="77777777" w:rsidR="001D67FA" w:rsidRPr="001D67FA" w:rsidRDefault="001D67FA" w:rsidP="001D67FA">
      <w:pPr>
        <w:pStyle w:val="1"/>
      </w:pPr>
      <w:r w:rsidRPr="001D67FA">
        <w:t>8.</w:t>
      </w:r>
      <w:r w:rsidRPr="001D67FA">
        <w:tab/>
        <w:t>Cancellation of a reservation initiated by the renter made up to 48 hours prior to the date of rental will incur a $35 charge for the large pavilion, and a $15 charge for the small pavilion. No cancellations will be accepted 48 hours prior to the date of arrival; therefore, the entire deposit will be retained by the Department of Agriculture and Forestry.</w:t>
      </w:r>
    </w:p>
    <w:p w14:paraId="6F78C311" w14:textId="77777777" w:rsidR="001D67FA" w:rsidRPr="001D67FA" w:rsidRDefault="001D67FA" w:rsidP="001D67FA">
      <w:pPr>
        <w:pStyle w:val="AuthorityNote"/>
      </w:pPr>
      <w:r w:rsidRPr="001D67FA">
        <w:t>AUTHORITY NOTE:</w:t>
      </w:r>
      <w:r w:rsidRPr="001D67FA">
        <w:tab/>
        <w:t>Promulgated in accordance with Act 591 of 1970 and R.S. 3:4402.</w:t>
      </w:r>
    </w:p>
    <w:p w14:paraId="06E0469C" w14:textId="77777777" w:rsidR="001D67FA" w:rsidRPr="001D67FA" w:rsidRDefault="001D67FA" w:rsidP="001D67FA">
      <w:pPr>
        <w:pStyle w:val="HistoricalNote"/>
      </w:pPr>
      <w:r w:rsidRPr="001D67FA">
        <w:t>HISTORICAL NOTE:</w:t>
      </w:r>
      <w:r w:rsidRPr="001D67FA">
        <w:tab/>
        <w:t>Promulgated by the Department of Agriculture and Forestry, Office of Forestry, LR 43:1519</w:t>
      </w:r>
      <w:r>
        <w:t xml:space="preserve"> (August 2017</w:t>
      </w:r>
      <w:r w:rsidR="00113D41">
        <w:t xml:space="preserve">), </w:t>
      </w:r>
      <w:r w:rsidR="00113D41" w:rsidRPr="003D68C4">
        <w:t xml:space="preserve">amended </w:t>
      </w:r>
      <w:r w:rsidR="00113D41">
        <w:t>LR 51:32 (January 2025)</w:t>
      </w:r>
    </w:p>
    <w:p w14:paraId="650183A5" w14:textId="77777777" w:rsidR="001D67FA" w:rsidRPr="001D67FA" w:rsidRDefault="001D67FA" w:rsidP="001D67FA">
      <w:pPr>
        <w:pStyle w:val="Section"/>
      </w:pPr>
      <w:bookmarkStart w:id="3262" w:name="_Toc224819588"/>
      <w:r w:rsidRPr="001D67FA">
        <w:t>§547.</w:t>
      </w:r>
      <w:r w:rsidRPr="001D67FA">
        <w:tab/>
        <w:t>Mandatory Minimum Stays</w:t>
      </w:r>
      <w:bookmarkEnd w:id="3262"/>
    </w:p>
    <w:p w14:paraId="06243AE5" w14:textId="77777777" w:rsidR="001D67FA" w:rsidRPr="001D67FA" w:rsidRDefault="001D67FA" w:rsidP="001D67FA">
      <w:pPr>
        <w:pStyle w:val="A"/>
      </w:pPr>
      <w:r w:rsidRPr="001D67FA">
        <w:t>A.</w:t>
      </w:r>
      <w:r w:rsidRPr="001D67FA">
        <w:tab/>
        <w:t>The park manager, at his discretion, may impose mandatory minimum stays during peak usage times.</w:t>
      </w:r>
    </w:p>
    <w:p w14:paraId="36F41086" w14:textId="77777777" w:rsidR="001D67FA" w:rsidRPr="001D67FA" w:rsidRDefault="001D67FA" w:rsidP="001D67FA">
      <w:pPr>
        <w:pStyle w:val="AuthorityNote"/>
      </w:pPr>
      <w:r w:rsidRPr="001D67FA">
        <w:t>AUTHORITY NOTE:</w:t>
      </w:r>
      <w:r w:rsidRPr="001D67FA">
        <w:tab/>
        <w:t>Promulgated in accordance with Act 591 of 1970 and R.S. 3:4402.</w:t>
      </w:r>
    </w:p>
    <w:p w14:paraId="4C2ABA66" w14:textId="77777777" w:rsidR="001D67FA" w:rsidRPr="00514D49" w:rsidRDefault="001D67FA" w:rsidP="00765109">
      <w:pPr>
        <w:pStyle w:val="HistoricalNote"/>
      </w:pPr>
      <w:r w:rsidRPr="001D67FA">
        <w:rPr>
          <w:kern w:val="0"/>
        </w:rPr>
        <w:t>HISTORICAL NOTE:</w:t>
      </w:r>
      <w:r w:rsidRPr="001D67FA">
        <w:rPr>
          <w:kern w:val="0"/>
        </w:rPr>
        <w:tab/>
        <w:t>Promulgated by the Department of Agriculture and Forestry, Office of Forestry, LR 43:1519</w:t>
      </w:r>
      <w:r>
        <w:rPr>
          <w:kern w:val="0"/>
        </w:rPr>
        <w:t xml:space="preserve"> (August 2017</w:t>
      </w:r>
      <w:r w:rsidRPr="001D67FA">
        <w:rPr>
          <w:kern w:val="0"/>
        </w:rPr>
        <w:t>)</w:t>
      </w:r>
      <w:r w:rsidR="00113D41">
        <w:t>.</w:t>
      </w:r>
    </w:p>
    <w:p w14:paraId="1E3DAD1B" w14:textId="77777777" w:rsidR="00CF626A" w:rsidRPr="001531CD" w:rsidRDefault="00CF626A">
      <w:pPr>
        <w:pStyle w:val="Chapter"/>
        <w:spacing w:after="80"/>
      </w:pPr>
      <w:bookmarkStart w:id="3263" w:name="TOC_Chap278"/>
      <w:bookmarkStart w:id="3264" w:name="_Toc256755175"/>
      <w:bookmarkStart w:id="3265" w:name="_Toc224819589"/>
      <w:r w:rsidRPr="001531CD">
        <w:t>Chapter 7.</w:t>
      </w:r>
      <w:bookmarkEnd w:id="3263"/>
      <w:r w:rsidR="00D07DF2">
        <w:tab/>
      </w:r>
      <w:bookmarkStart w:id="3266" w:name="TOCT_Chap208"/>
      <w:bookmarkStart w:id="3267" w:name="TOCT_Chap246"/>
      <w:bookmarkStart w:id="3268" w:name="TOCT_Chap266"/>
      <w:bookmarkStart w:id="3269" w:name="TOCT_Chap278"/>
      <w:r w:rsidRPr="001531CD">
        <w:t>Forest Landowner Assistance</w:t>
      </w:r>
      <w:bookmarkEnd w:id="3264"/>
      <w:bookmarkEnd w:id="3265"/>
      <w:bookmarkEnd w:id="3266"/>
      <w:bookmarkEnd w:id="3267"/>
      <w:bookmarkEnd w:id="3268"/>
      <w:bookmarkEnd w:id="3269"/>
    </w:p>
    <w:p w14:paraId="3F269450" w14:textId="3E024F91" w:rsidR="00CF626A" w:rsidRPr="001531CD" w:rsidRDefault="00CF626A" w:rsidP="00252ED0">
      <w:pPr>
        <w:pStyle w:val="Section"/>
      </w:pPr>
      <w:bookmarkStart w:id="3270" w:name="_Toc256755176"/>
      <w:bookmarkStart w:id="3271" w:name="_Toc224819590"/>
      <w:r w:rsidRPr="001531CD">
        <w:t>§701.</w:t>
      </w:r>
      <w:r w:rsidRPr="001531CD">
        <w:tab/>
        <w:t>Management Service</w:t>
      </w:r>
      <w:bookmarkEnd w:id="3270"/>
      <w:r w:rsidR="00390879">
        <w:t>s</w:t>
      </w:r>
      <w:bookmarkEnd w:id="3271"/>
    </w:p>
    <w:p w14:paraId="4614A10C" w14:textId="77777777" w:rsidR="00994CDB" w:rsidRDefault="00994CDB" w:rsidP="00994CDB">
      <w:pPr>
        <w:pStyle w:val="A"/>
      </w:pPr>
      <w:r w:rsidRPr="00303774">
        <w:t>A.</w:t>
      </w:r>
      <w:r w:rsidRPr="00303774">
        <w:tab/>
        <w:t>The Department of Agriculture and Forestry, Office of Forestry, shall, under the direction of the state forester, provide private landowners with assistance in the management of their forestlands.</w:t>
      </w:r>
      <w:bookmarkStart w:id="3272" w:name="_Toc396115642"/>
    </w:p>
    <w:p w14:paraId="207316FD" w14:textId="77777777" w:rsidR="00994CDB" w:rsidRDefault="00994CDB" w:rsidP="00994CDB">
      <w:pPr>
        <w:pStyle w:val="1"/>
      </w:pPr>
      <w:r w:rsidRPr="00303774">
        <w:t>1.</w:t>
      </w:r>
      <w:r w:rsidRPr="00303774">
        <w:tab/>
        <w:t>Basic Services</w:t>
      </w:r>
      <w:r>
        <w:t xml:space="preserve"> (</w:t>
      </w:r>
      <w:r w:rsidRPr="00FA660F">
        <w:t>$300 minimum charge</w:t>
      </w:r>
      <w:r>
        <w:t>)</w:t>
      </w:r>
      <w:r>
        <w:sym w:font="Symbol" w:char="F0BE"/>
      </w:r>
      <w:r w:rsidRPr="00303774">
        <w:t>performed on an as-requested basis in a</w:t>
      </w:r>
      <w:r>
        <w:t>ll Office of Forestry districts:</w:t>
      </w:r>
    </w:p>
    <w:p w14:paraId="7A45A247" w14:textId="77777777" w:rsidR="00994CDB" w:rsidRPr="00FA660F" w:rsidRDefault="00994CDB" w:rsidP="00994CDB">
      <w:pPr>
        <w:pStyle w:val="a0"/>
      </w:pPr>
      <w:r w:rsidRPr="00FA660F">
        <w:t>a.</w:t>
      </w:r>
      <w:r w:rsidRPr="00FA660F">
        <w:tab/>
        <w:t>prescribed burning services</w:t>
      </w:r>
      <w:r>
        <w:t>:</w:t>
      </w:r>
    </w:p>
    <w:p w14:paraId="5C6F6ABD" w14:textId="77777777" w:rsidR="00994CDB" w:rsidRPr="00FA660F" w:rsidRDefault="00994CDB" w:rsidP="00994CDB">
      <w:pPr>
        <w:pStyle w:val="i0"/>
      </w:pPr>
      <w:r w:rsidRPr="00FA660F">
        <w:tab/>
        <w:t>i.</w:t>
      </w:r>
      <w:r w:rsidRPr="00FA660F">
        <w:tab/>
        <w:t>reforestation (cutover areas)</w:t>
      </w:r>
      <w:r>
        <w:t>:</w:t>
      </w:r>
    </w:p>
    <w:p w14:paraId="395EB2B2" w14:textId="77777777" w:rsidR="004624F7" w:rsidRPr="00106CD4" w:rsidRDefault="00994CDB" w:rsidP="004624F7">
      <w:pPr>
        <w:pStyle w:val="a1"/>
        <w:rPr>
          <w:rFonts w:eastAsia="Calibri"/>
        </w:rPr>
      </w:pPr>
      <w:r>
        <w:t>(a).</w:t>
      </w:r>
      <w:r>
        <w:tab/>
      </w:r>
      <w:r w:rsidR="004624F7" w:rsidRPr="00106CD4">
        <w:rPr>
          <w:rFonts w:eastAsia="Calibri"/>
        </w:rPr>
        <w:t>$35/acre plus fireline establishment: $75/hour for light tractor (dozer) work—650 John Deere (or other brand of similar power) or less;</w:t>
      </w:r>
    </w:p>
    <w:p w14:paraId="00FA2EEF" w14:textId="77777777" w:rsidR="004624F7" w:rsidRDefault="004624F7" w:rsidP="004624F7">
      <w:pPr>
        <w:pStyle w:val="a1"/>
        <w:rPr>
          <w:rFonts w:eastAsia="Calibri"/>
        </w:rPr>
      </w:pPr>
      <w:r w:rsidRPr="00106CD4">
        <w:rPr>
          <w:rFonts w:eastAsia="Calibri"/>
        </w:rPr>
        <w:t>(b).</w:t>
      </w:r>
      <w:r w:rsidRPr="00106CD4">
        <w:rPr>
          <w:rFonts w:eastAsia="Calibri"/>
        </w:rPr>
        <w:tab/>
        <w:t>$110/hour for heavy tractor (dozer) work—750 John Deere (or other brand of similar power);</w:t>
      </w:r>
    </w:p>
    <w:p w14:paraId="18E73941" w14:textId="77777777" w:rsidR="00994CDB" w:rsidRPr="00FA660F" w:rsidRDefault="00994CDB" w:rsidP="004624F7">
      <w:pPr>
        <w:pStyle w:val="i0"/>
      </w:pPr>
      <w:r w:rsidRPr="00FA660F">
        <w:tab/>
        <w:t>ii.</w:t>
      </w:r>
      <w:r w:rsidRPr="00FA660F">
        <w:tab/>
        <w:t>afforestation (pasture, etc.)</w:t>
      </w:r>
      <w:r>
        <w:t>:</w:t>
      </w:r>
    </w:p>
    <w:p w14:paraId="798C2F74" w14:textId="77777777" w:rsidR="004624F7" w:rsidRPr="00106CD4" w:rsidRDefault="00994CDB" w:rsidP="004624F7">
      <w:pPr>
        <w:pStyle w:val="a1"/>
        <w:rPr>
          <w:rFonts w:eastAsia="Calibri"/>
        </w:rPr>
      </w:pPr>
      <w:r>
        <w:t>(a).</w:t>
      </w:r>
      <w:r>
        <w:tab/>
      </w:r>
      <w:r w:rsidR="004624F7" w:rsidRPr="00106CD4">
        <w:rPr>
          <w:rFonts w:eastAsia="Calibri"/>
        </w:rPr>
        <w:t>$15/acre plus fireline establishment: $75/hour for light tractor (dozer) work—650 John Deere (or other brand of similar power) or less;</w:t>
      </w:r>
    </w:p>
    <w:p w14:paraId="12056D5E" w14:textId="77777777" w:rsidR="00994CDB" w:rsidRPr="00EB5894" w:rsidRDefault="004624F7" w:rsidP="004624F7">
      <w:pPr>
        <w:pStyle w:val="a1"/>
      </w:pPr>
      <w:r w:rsidRPr="00106CD4">
        <w:rPr>
          <w:rFonts w:eastAsia="Calibri"/>
        </w:rPr>
        <w:t>(b).</w:t>
      </w:r>
      <w:r w:rsidRPr="00106CD4">
        <w:rPr>
          <w:rFonts w:eastAsia="Calibri"/>
        </w:rPr>
        <w:tab/>
        <w:t>$110/hour for heavy tractor (dozer) work—750 John Deere (or other brand of similar power</w:t>
      </w:r>
      <w:r w:rsidR="00994CDB">
        <w:t>);</w:t>
      </w:r>
    </w:p>
    <w:p w14:paraId="75416086" w14:textId="77777777" w:rsidR="00994CDB" w:rsidRPr="00FA660F" w:rsidRDefault="00994CDB" w:rsidP="00994CDB">
      <w:pPr>
        <w:pStyle w:val="i0"/>
      </w:pPr>
      <w:r>
        <w:tab/>
        <w:t>iii.</w:t>
      </w:r>
      <w:r>
        <w:tab/>
      </w:r>
      <w:r w:rsidRPr="00EB5894">
        <w:t>prescribed burns (fuel reduction, hardwood control, wildlife habitat, etc.)</w:t>
      </w:r>
      <w:r>
        <w:t>:</w:t>
      </w:r>
    </w:p>
    <w:p w14:paraId="6820E96A" w14:textId="77777777" w:rsidR="00994CDB" w:rsidRPr="00EB5894" w:rsidRDefault="00994CDB" w:rsidP="00994CDB">
      <w:pPr>
        <w:pStyle w:val="a1"/>
      </w:pPr>
      <w:r>
        <w:t>(a).</w:t>
      </w:r>
      <w:r>
        <w:tab/>
      </w:r>
      <w:r w:rsidR="004624F7" w:rsidRPr="00106CD4">
        <w:rPr>
          <w:rFonts w:eastAsia="Calibri"/>
        </w:rPr>
        <w:t>$30/acre plus fireline establishment: $70/hour for light tractor (dozer) work—650 John Deere (or other brand of similar power) or less</w:t>
      </w:r>
      <w:r>
        <w:t>;</w:t>
      </w:r>
    </w:p>
    <w:p w14:paraId="51A787B6" w14:textId="77777777" w:rsidR="00994CDB" w:rsidRPr="00EB5894" w:rsidRDefault="00994CDB" w:rsidP="00994CDB">
      <w:pPr>
        <w:pStyle w:val="a1"/>
      </w:pPr>
      <w:r>
        <w:t>(b).</w:t>
      </w:r>
      <w:r>
        <w:tab/>
      </w:r>
      <w:r w:rsidRPr="00EB5894">
        <w:t>$100/hour f</w:t>
      </w:r>
      <w:r w:rsidR="006D2DAF">
        <w:t xml:space="preserve">or heavy tractor (dozer) </w:t>
      </w:r>
      <w:r>
        <w:t>work</w:t>
      </w:r>
      <w:r w:rsidR="006D2DAF">
        <w:sym w:font="Symbol" w:char="F0BE"/>
      </w:r>
      <w:r w:rsidRPr="00EB5894">
        <w:t>750 John Deere (o</w:t>
      </w:r>
      <w:r>
        <w:t>r other brand of similar power);</w:t>
      </w:r>
    </w:p>
    <w:p w14:paraId="230E22CB" w14:textId="77777777" w:rsidR="00994CDB" w:rsidRPr="00EB5894" w:rsidRDefault="00994CDB" w:rsidP="00994CDB">
      <w:pPr>
        <w:pStyle w:val="i0"/>
      </w:pPr>
      <w:r>
        <w:tab/>
      </w:r>
      <w:r w:rsidRPr="00EB5894">
        <w:t>iv.</w:t>
      </w:r>
      <w:r w:rsidRPr="00EB5894">
        <w:tab/>
        <w:t>onsite prescribed burn standby</w:t>
      </w:r>
      <w:r>
        <w:t>:</w:t>
      </w:r>
    </w:p>
    <w:p w14:paraId="705978C5" w14:textId="77777777" w:rsidR="00994CDB" w:rsidRPr="00EB5894" w:rsidRDefault="00994CDB" w:rsidP="00994CDB">
      <w:pPr>
        <w:pStyle w:val="a1"/>
      </w:pPr>
      <w:r>
        <w:t>(a).</w:t>
      </w:r>
      <w:r>
        <w:tab/>
      </w:r>
      <w:r w:rsidRPr="00EB5894">
        <w:t>$10/a</w:t>
      </w:r>
      <w:r>
        <w:t>cre plus fireline establishment</w:t>
      </w:r>
      <w:r w:rsidRPr="00EB5894">
        <w:t>: $70/hour</w:t>
      </w:r>
      <w:r>
        <w:t xml:space="preserve"> for light tractor (dozer) work</w:t>
      </w:r>
      <w:r w:rsidR="006D2DAF">
        <w:sym w:font="Symbol" w:char="F0BE"/>
      </w:r>
      <w:r w:rsidRPr="00EB5894">
        <w:t>650</w:t>
      </w:r>
      <w:r>
        <w:t xml:space="preserve"> </w:t>
      </w:r>
      <w:r w:rsidRPr="00EB5894">
        <w:t xml:space="preserve">John Deere (or other </w:t>
      </w:r>
      <w:r>
        <w:t>brand of similar power) or less;</w:t>
      </w:r>
    </w:p>
    <w:p w14:paraId="337B1228" w14:textId="77777777" w:rsidR="00994CDB" w:rsidRPr="00EB5894" w:rsidRDefault="00994CDB" w:rsidP="00994CDB">
      <w:pPr>
        <w:pStyle w:val="a1"/>
      </w:pPr>
      <w:r>
        <w:t>(b).</w:t>
      </w:r>
      <w:r>
        <w:tab/>
      </w:r>
      <w:r w:rsidRPr="00EB5894">
        <w:t>$100/hour for heavy tractor (dozer)</w:t>
      </w:r>
      <w:r w:rsidR="006D2DAF">
        <w:t xml:space="preserve"> </w:t>
      </w:r>
      <w:r>
        <w:t>work</w:t>
      </w:r>
      <w:r w:rsidR="006D2DAF">
        <w:sym w:font="Symbol" w:char="F0BE"/>
      </w:r>
      <w:r w:rsidRPr="00EB5894">
        <w:t>750 John Deere (o</w:t>
      </w:r>
      <w:r>
        <w:t>r other brand of similar power);</w:t>
      </w:r>
    </w:p>
    <w:p w14:paraId="13745449" w14:textId="77777777" w:rsidR="00994CDB" w:rsidRPr="00EB5894" w:rsidRDefault="00994CDB" w:rsidP="00994CDB">
      <w:pPr>
        <w:pStyle w:val="i0"/>
      </w:pPr>
      <w:r>
        <w:tab/>
        <w:t>v.</w:t>
      </w:r>
      <w:r>
        <w:tab/>
      </w:r>
      <w:r w:rsidRPr="00EB5894">
        <w:t>fireline establishment only</w:t>
      </w:r>
      <w:r>
        <w:t>:</w:t>
      </w:r>
    </w:p>
    <w:p w14:paraId="70D2407F" w14:textId="77777777" w:rsidR="004624F7" w:rsidRPr="00F33096" w:rsidRDefault="00994CDB" w:rsidP="004624F7">
      <w:pPr>
        <w:pStyle w:val="a1"/>
        <w:rPr>
          <w:rFonts w:eastAsia="Calibri"/>
        </w:rPr>
      </w:pPr>
      <w:r>
        <w:t>(a).</w:t>
      </w:r>
      <w:r>
        <w:tab/>
      </w:r>
      <w:r w:rsidR="004624F7" w:rsidRPr="00F33096">
        <w:rPr>
          <w:rFonts w:eastAsia="Calibri"/>
        </w:rPr>
        <w:t xml:space="preserve">$75/hour for light tractor (dozer) </w:t>
      </w:r>
      <w:bookmarkStart w:id="3273" w:name="_Hlk202797164"/>
      <w:r w:rsidR="004624F7" w:rsidRPr="00F33096">
        <w:rPr>
          <w:rFonts w:eastAsia="Calibri"/>
        </w:rPr>
        <w:t>work—650 John Deere (or other brand of similar power) or less;</w:t>
      </w:r>
      <w:bookmarkEnd w:id="3273"/>
    </w:p>
    <w:p w14:paraId="4D012905" w14:textId="77777777" w:rsidR="004624F7" w:rsidRPr="00106CD4" w:rsidRDefault="004624F7" w:rsidP="004624F7">
      <w:pPr>
        <w:pStyle w:val="a1"/>
        <w:rPr>
          <w:rFonts w:eastAsia="Calibri"/>
        </w:rPr>
      </w:pPr>
      <w:r w:rsidRPr="00F33096">
        <w:rPr>
          <w:rFonts w:eastAsia="Calibri"/>
        </w:rPr>
        <w:t>(b).</w:t>
      </w:r>
      <w:r w:rsidRPr="00F33096">
        <w:rPr>
          <w:rFonts w:eastAsia="Calibri"/>
        </w:rPr>
        <w:tab/>
        <w:t>$110/hour for heavy tractor (dozer) work—750 John Deere (or other brand of similar power).</w:t>
      </w:r>
    </w:p>
    <w:p w14:paraId="408F7969" w14:textId="77777777" w:rsidR="004624F7" w:rsidRPr="00106CD4" w:rsidRDefault="004624F7" w:rsidP="004624F7">
      <w:pPr>
        <w:pStyle w:val="i0"/>
        <w:rPr>
          <w:rFonts w:eastAsia="Calibri"/>
        </w:rPr>
      </w:pPr>
      <w:r>
        <w:rPr>
          <w:rFonts w:eastAsia="Calibri"/>
        </w:rPr>
        <w:lastRenderedPageBreak/>
        <w:tab/>
      </w:r>
      <w:r w:rsidRPr="00106CD4">
        <w:rPr>
          <w:rFonts w:eastAsia="Calibri"/>
        </w:rPr>
        <w:t>vi.</w:t>
      </w:r>
      <w:r>
        <w:rPr>
          <w:rFonts w:eastAsia="Calibri"/>
        </w:rPr>
        <w:tab/>
      </w:r>
      <w:r w:rsidRPr="00106CD4">
        <w:rPr>
          <w:rFonts w:eastAsia="Calibri"/>
        </w:rPr>
        <w:t>mechanical fuel reduction:</w:t>
      </w:r>
    </w:p>
    <w:p w14:paraId="5B318DC1" w14:textId="77777777" w:rsidR="004624F7" w:rsidRDefault="004624F7" w:rsidP="004624F7">
      <w:pPr>
        <w:pStyle w:val="a1"/>
      </w:pPr>
      <w:r w:rsidRPr="00106CD4">
        <w:rPr>
          <w:rFonts w:eastAsia="Calibri"/>
        </w:rPr>
        <w:t>(a).</w:t>
      </w:r>
      <w:r w:rsidRPr="00106CD4">
        <w:rPr>
          <w:rFonts w:eastAsia="Calibri"/>
        </w:rPr>
        <w:tab/>
        <w:t>$200/hour for JD330G Skid Steer (or other brand of similar power</w:t>
      </w:r>
      <w:r w:rsidRPr="00303774">
        <w:t xml:space="preserve"> </w:t>
      </w:r>
    </w:p>
    <w:p w14:paraId="17181270" w14:textId="77777777" w:rsidR="00994CDB" w:rsidRDefault="00994CDB" w:rsidP="004624F7">
      <w:pPr>
        <w:pStyle w:val="1"/>
      </w:pPr>
      <w:r w:rsidRPr="00303774">
        <w:t>2.</w:t>
      </w:r>
      <w:r w:rsidRPr="00303774">
        <w:tab/>
        <w:t>Special Services</w:t>
      </w:r>
      <w:r>
        <w:sym w:font="Symbol" w:char="F0BE"/>
      </w:r>
      <w:r w:rsidRPr="00303774">
        <w:t>performed when approved on a case-by-case basis</w:t>
      </w:r>
      <w:r>
        <w:t>:</w:t>
      </w:r>
    </w:p>
    <w:p w14:paraId="118806B1" w14:textId="77777777" w:rsidR="00994CDB" w:rsidRPr="00FA660F" w:rsidRDefault="00994CDB" w:rsidP="00994CDB">
      <w:pPr>
        <w:pStyle w:val="a0"/>
      </w:pPr>
      <w:r w:rsidRPr="00FA660F">
        <w:t>a.</w:t>
      </w:r>
      <w:r w:rsidRPr="00FA660F">
        <w:tab/>
        <w:t>tree planting</w:t>
      </w:r>
      <w:r>
        <w:t xml:space="preserve"> (</w:t>
      </w:r>
      <w:r w:rsidRPr="00FA660F">
        <w:t>seedlings or seed not included</w:t>
      </w:r>
      <w:r>
        <w:t>)</w:t>
      </w:r>
      <w:r>
        <w:sym w:font="Symbol" w:char="F0BE"/>
      </w:r>
      <w:r w:rsidRPr="00FA660F">
        <w:t>$46/acre</w:t>
      </w:r>
      <w:r>
        <w:t>;</w:t>
      </w:r>
    </w:p>
    <w:p w14:paraId="2A756A07" w14:textId="77777777" w:rsidR="00994CDB" w:rsidRPr="00FA660F" w:rsidRDefault="00994CDB" w:rsidP="00994CDB">
      <w:pPr>
        <w:pStyle w:val="a0"/>
      </w:pPr>
      <w:r>
        <w:t>b.</w:t>
      </w:r>
      <w:r>
        <w:tab/>
        <w:t>direct seeding</w:t>
      </w:r>
      <w:r w:rsidRPr="00FA660F">
        <w:t xml:space="preserve"> </w:t>
      </w:r>
      <w:r>
        <w:t>(</w:t>
      </w:r>
      <w:r w:rsidRPr="00FA660F">
        <w:t>seedlings or seed not included</w:t>
      </w:r>
      <w:r>
        <w:t>)</w:t>
      </w:r>
      <w:r>
        <w:sym w:font="Symbol" w:char="F0BE"/>
      </w:r>
      <w:r w:rsidRPr="00FA660F">
        <w:t>$10/acre</w:t>
      </w:r>
      <w:r>
        <w:t>;</w:t>
      </w:r>
    </w:p>
    <w:p w14:paraId="75714B15" w14:textId="77777777" w:rsidR="004624F7" w:rsidRPr="00106CD4" w:rsidRDefault="00994CDB" w:rsidP="004624F7">
      <w:pPr>
        <w:pStyle w:val="a0"/>
        <w:rPr>
          <w:rFonts w:eastAsia="Calibri"/>
        </w:rPr>
      </w:pPr>
      <w:r w:rsidRPr="00FA660F">
        <w:t>c.</w:t>
      </w:r>
      <w:r w:rsidRPr="00FA660F">
        <w:tab/>
      </w:r>
      <w:bookmarkStart w:id="3274" w:name="_Hlk202867245"/>
      <w:r w:rsidR="004624F7" w:rsidRPr="00106CD4">
        <w:rPr>
          <w:rFonts w:eastAsia="Calibri"/>
        </w:rPr>
        <w:t>$70/hour ($300 minimum) for light tractor (dozer) work—650 John Deere (or other brand of similar power) or less;</w:t>
      </w:r>
      <w:bookmarkEnd w:id="3274"/>
    </w:p>
    <w:p w14:paraId="165A5BD8" w14:textId="77777777" w:rsidR="00994CDB" w:rsidRPr="00EB5894" w:rsidRDefault="004624F7" w:rsidP="004624F7">
      <w:pPr>
        <w:pStyle w:val="a0"/>
      </w:pPr>
      <w:r w:rsidRPr="00106CD4">
        <w:rPr>
          <w:rFonts w:eastAsia="Calibri"/>
        </w:rPr>
        <w:t>d.</w:t>
      </w:r>
      <w:r w:rsidRPr="00106CD4">
        <w:rPr>
          <w:rFonts w:eastAsia="Calibri"/>
        </w:rPr>
        <w:tab/>
        <w:t>$100/hour ($300 minimum) for heavy tractor (dozer) work—over 650 John Deere (or other brand of similar power)</w:t>
      </w:r>
      <w:r w:rsidR="00994CDB">
        <w:t>;</w:t>
      </w:r>
    </w:p>
    <w:p w14:paraId="238220A6" w14:textId="77777777" w:rsidR="00994CDB" w:rsidRDefault="00994CDB" w:rsidP="00994CDB">
      <w:pPr>
        <w:pStyle w:val="a0"/>
      </w:pPr>
      <w:r>
        <w:t>e.</w:t>
      </w:r>
      <w:r>
        <w:tab/>
        <w:t>timber marking</w:t>
      </w:r>
      <w:r>
        <w:sym w:font="Symbol" w:char="F0BE"/>
      </w:r>
      <w:r>
        <w:t>$25/acre (only available on 40 acres or less).</w:t>
      </w:r>
    </w:p>
    <w:p w14:paraId="522B361A" w14:textId="77777777" w:rsidR="004624F7" w:rsidRPr="00106CD4" w:rsidRDefault="004624F7" w:rsidP="004624F7">
      <w:pPr>
        <w:pStyle w:val="1"/>
        <w:rPr>
          <w:rFonts w:eastAsia="Calibri"/>
        </w:rPr>
      </w:pPr>
      <w:r w:rsidRPr="00106CD4">
        <w:rPr>
          <w:rFonts w:eastAsia="Calibri"/>
        </w:rPr>
        <w:t>3.</w:t>
      </w:r>
      <w:r w:rsidRPr="00106CD4">
        <w:rPr>
          <w:rFonts w:eastAsia="Calibri"/>
        </w:rPr>
        <w:tab/>
        <w:t>Equipment Transportation for Management Services</w:t>
      </w:r>
    </w:p>
    <w:p w14:paraId="5EC76D51" w14:textId="77777777" w:rsidR="004624F7" w:rsidRPr="00106CD4" w:rsidRDefault="004624F7" w:rsidP="004624F7">
      <w:pPr>
        <w:pStyle w:val="a0"/>
        <w:rPr>
          <w:rFonts w:eastAsia="Calibri"/>
        </w:rPr>
      </w:pPr>
      <w:r w:rsidRPr="00106CD4">
        <w:rPr>
          <w:rFonts w:eastAsia="Calibri"/>
        </w:rPr>
        <w:t>a.</w:t>
      </w:r>
      <w:r w:rsidRPr="00106CD4">
        <w:rPr>
          <w:rFonts w:eastAsia="Calibri"/>
        </w:rPr>
        <w:tab/>
        <w:t>Equipment haul distance within 50 miles of travel: $50/unit, per round trip;</w:t>
      </w:r>
    </w:p>
    <w:p w14:paraId="23B9AF85" w14:textId="77777777" w:rsidR="004624F7" w:rsidRPr="00FA660F" w:rsidRDefault="004624F7" w:rsidP="004624F7">
      <w:pPr>
        <w:pStyle w:val="a0"/>
      </w:pPr>
      <w:r w:rsidRPr="00106CD4">
        <w:rPr>
          <w:rFonts w:eastAsia="Calibri"/>
        </w:rPr>
        <w:t>b.</w:t>
      </w:r>
      <w:r w:rsidRPr="00106CD4">
        <w:rPr>
          <w:rFonts w:eastAsia="Calibri"/>
        </w:rPr>
        <w:tab/>
        <w:t>Equipment haul distance greater than 50 miles of travel: $100/unit, per round trip</w:t>
      </w:r>
      <w:r>
        <w:rPr>
          <w:rFonts w:eastAsia="Calibri"/>
        </w:rPr>
        <w:t>.</w:t>
      </w:r>
    </w:p>
    <w:bookmarkEnd w:id="3272"/>
    <w:p w14:paraId="258F34CB" w14:textId="77777777" w:rsidR="00A00EDA" w:rsidRPr="001531CD" w:rsidRDefault="00994CDB" w:rsidP="00994CDB">
      <w:pPr>
        <w:pStyle w:val="AuthorityNote"/>
      </w:pPr>
      <w:r w:rsidRPr="00303774">
        <w:t>AUTHORITY NOTE:</w:t>
      </w:r>
      <w:r w:rsidRPr="00303774">
        <w:tab/>
        <w:t>Promulgated in accordance with R.S. 3:4276, R.S. 3:4274 and R.S. 3:3.</w:t>
      </w:r>
    </w:p>
    <w:p w14:paraId="01E9216C" w14:textId="77777777" w:rsidR="00CF626A" w:rsidRPr="001531CD" w:rsidRDefault="00A00EDA" w:rsidP="00A00EDA">
      <w:pPr>
        <w:pStyle w:val="HistoricalNote"/>
      </w:pPr>
      <w:r w:rsidRPr="001531CD">
        <w:t>HISTORICAL NOTE:</w:t>
      </w:r>
      <w:r w:rsidRPr="001531CD">
        <w:tab/>
        <w:t>Promulgated by the Department of Natural Resources, Office of Forestry, LR 8:419 (August 1982), amended by the Department of Agriculture and Forestry, Office of Forestry, Forestry Commission, LR 11:1178 (December 1985), LR 19:1414 (November 1993), LR 23:553 (May 1997), amended by the Department of Agriculture and Forestry, Office of Forestry, LR 32:1782</w:t>
      </w:r>
      <w:r w:rsidR="006D2DAF">
        <w:t xml:space="preserve"> (October 2006), </w:t>
      </w:r>
      <w:r w:rsidR="006D2DAF" w:rsidRPr="00303774">
        <w:t xml:space="preserve">LR </w:t>
      </w:r>
      <w:r w:rsidR="006D2DAF">
        <w:t>41:2102 (October 2015)</w:t>
      </w:r>
      <w:r w:rsidR="004624F7">
        <w:t xml:space="preserve">, </w:t>
      </w:r>
      <w:r w:rsidR="004624F7">
        <w:rPr>
          <w:rFonts w:eastAsia="Calibri"/>
        </w:rPr>
        <w:t xml:space="preserve">amended </w:t>
      </w:r>
      <w:r w:rsidR="004624F7" w:rsidRPr="00106CD4">
        <w:rPr>
          <w:rFonts w:eastAsia="Calibri"/>
        </w:rPr>
        <w:t>LR 51</w:t>
      </w:r>
      <w:r w:rsidR="004624F7">
        <w:rPr>
          <w:rFonts w:eastAsia="Calibri"/>
        </w:rPr>
        <w:t>:1577 (October 2025)</w:t>
      </w:r>
      <w:r w:rsidR="006D2DAF">
        <w:t>.</w:t>
      </w:r>
    </w:p>
    <w:p w14:paraId="67B3DF42" w14:textId="77777777" w:rsidR="00CF626A" w:rsidRPr="001531CD" w:rsidRDefault="00CF626A" w:rsidP="00F03863">
      <w:pPr>
        <w:pStyle w:val="Chapter"/>
        <w:outlineLvl w:val="0"/>
      </w:pPr>
      <w:bookmarkStart w:id="3275" w:name="TOC_Chap279"/>
      <w:bookmarkStart w:id="3276" w:name="_Toc256755177"/>
      <w:bookmarkStart w:id="3277" w:name="_Toc224819591"/>
      <w:r w:rsidRPr="001531CD">
        <w:t>Chapter 9.</w:t>
      </w:r>
      <w:bookmarkEnd w:id="3275"/>
      <w:r w:rsidR="00D07DF2">
        <w:tab/>
      </w:r>
      <w:bookmarkStart w:id="3278" w:name="TOCT_Chap247"/>
      <w:bookmarkStart w:id="3279" w:name="TOCT_Chap267"/>
      <w:bookmarkStart w:id="3280" w:name="TOCT_Chap279"/>
      <w:r w:rsidRPr="001531CD">
        <w:t>Prescribed Burning</w:t>
      </w:r>
      <w:bookmarkEnd w:id="3276"/>
      <w:bookmarkEnd w:id="3277"/>
      <w:bookmarkEnd w:id="3278"/>
      <w:bookmarkEnd w:id="3279"/>
      <w:bookmarkEnd w:id="3280"/>
    </w:p>
    <w:p w14:paraId="7A88DB90" w14:textId="77777777" w:rsidR="00CF626A" w:rsidRPr="001531CD" w:rsidRDefault="00CF626A">
      <w:pPr>
        <w:pStyle w:val="Section"/>
      </w:pPr>
      <w:bookmarkStart w:id="3281" w:name="_Toc256755178"/>
      <w:bookmarkStart w:id="3282" w:name="_Toc224819592"/>
      <w:r w:rsidRPr="001531CD">
        <w:t>§901.</w:t>
      </w:r>
      <w:r w:rsidRPr="001531CD">
        <w:tab/>
        <w:t>Definitions</w:t>
      </w:r>
      <w:bookmarkEnd w:id="3281"/>
      <w:bookmarkEnd w:id="3282"/>
    </w:p>
    <w:p w14:paraId="6F5C2C6E" w14:textId="77777777" w:rsidR="00CF626A" w:rsidRDefault="00CF626A">
      <w:pPr>
        <w:pStyle w:val="A"/>
      </w:pPr>
      <w:r w:rsidRPr="001531CD">
        <w:rPr>
          <w:i/>
          <w:iCs/>
        </w:rPr>
        <w:t>Act</w:t>
      </w:r>
      <w:r w:rsidRPr="001531CD">
        <w:t>―Act 589 of the 1993 Regular Session of the Louisiana Legislature.</w:t>
      </w:r>
    </w:p>
    <w:p w14:paraId="3E216163" w14:textId="77777777" w:rsidR="005933FB" w:rsidRDefault="005933FB" w:rsidP="005933FB">
      <w:pPr>
        <w:pStyle w:val="A"/>
      </w:pPr>
      <w:r w:rsidRPr="00F617CD">
        <w:rPr>
          <w:i/>
          <w:iCs/>
        </w:rPr>
        <w:t>Certified Prescribed Burn Manager</w:t>
      </w:r>
      <w:r w:rsidRPr="00F617CD">
        <w:t xml:space="preserve">—an individual who has successfully completed the prescribed burning certification program of the Louisiana State University Agricultural Center or other approved program and is certified by the Department of Agriculture and Forestry. </w:t>
      </w:r>
    </w:p>
    <w:p w14:paraId="21A1DC52" w14:textId="77777777" w:rsidR="00CF626A" w:rsidRPr="001531CD" w:rsidRDefault="00CF626A">
      <w:pPr>
        <w:pStyle w:val="A"/>
      </w:pPr>
      <w:r w:rsidRPr="001531CD">
        <w:rPr>
          <w:i/>
          <w:iCs/>
        </w:rPr>
        <w:t>Commissioner</w:t>
      </w:r>
      <w:r w:rsidRPr="001531CD">
        <w:t>―the Commissioner of the Louisiana Department of Agriculture and Forestry.</w:t>
      </w:r>
    </w:p>
    <w:p w14:paraId="598E08F5" w14:textId="77777777" w:rsidR="00CF626A" w:rsidRDefault="00CF626A">
      <w:pPr>
        <w:pStyle w:val="A"/>
      </w:pPr>
      <w:r w:rsidRPr="001531CD">
        <w:rPr>
          <w:i/>
          <w:iCs/>
        </w:rPr>
        <w:t>Department</w:t>
      </w:r>
      <w:r w:rsidRPr="001531CD">
        <w:t>―Louisiana Department of Agriculture and Forestry.</w:t>
      </w:r>
    </w:p>
    <w:p w14:paraId="38FA90AC" w14:textId="77777777" w:rsidR="005933FB" w:rsidRDefault="005933FB" w:rsidP="005933FB">
      <w:pPr>
        <w:pStyle w:val="A"/>
      </w:pPr>
      <w:r w:rsidRPr="00F617CD">
        <w:rPr>
          <w:i/>
          <w:iCs/>
        </w:rPr>
        <w:t>Non-Certified Prescribed Burn Manager</w:t>
      </w:r>
      <w:r w:rsidRPr="00F617CD">
        <w:t>—an individual who has not successfully completed the prescribed burning certification program of the Louisiana State University Agricultural Center or other approved program and is not certified by the Department of Agriculture and Forestry.</w:t>
      </w:r>
    </w:p>
    <w:p w14:paraId="7F8CDF03" w14:textId="77777777" w:rsidR="00CF626A" w:rsidRPr="001531CD" w:rsidRDefault="00CF626A">
      <w:pPr>
        <w:pStyle w:val="A"/>
      </w:pPr>
      <w:r w:rsidRPr="001531CD">
        <w:rPr>
          <w:i/>
          <w:iCs/>
        </w:rPr>
        <w:t>Prescribed Burning Certificate</w:t>
      </w:r>
      <w:r w:rsidRPr="001531CD">
        <w:t>―document issued by the Department of Agriculture and Forestry certifying that the document holder has completed the requirements of Louisiana R.S. 3:17 and this rule.</w:t>
      </w:r>
    </w:p>
    <w:p w14:paraId="5A546FB2" w14:textId="77777777" w:rsidR="00CF626A" w:rsidRPr="001531CD" w:rsidRDefault="00CF626A">
      <w:pPr>
        <w:pStyle w:val="AuthorityNote"/>
      </w:pPr>
      <w:r w:rsidRPr="001531CD">
        <w:t>AUTHORITY NOTE:</w:t>
      </w:r>
      <w:r w:rsidRPr="001531CD">
        <w:tab/>
        <w:t>Promulgated in accordance with R.S. 3:17.</w:t>
      </w:r>
    </w:p>
    <w:p w14:paraId="744DF85F" w14:textId="77777777" w:rsidR="00CF626A" w:rsidRPr="001531CD" w:rsidRDefault="00CF626A">
      <w:pPr>
        <w:pStyle w:val="HistoricalNote"/>
      </w:pPr>
      <w:r w:rsidRPr="001531CD">
        <w:t>HISTORICAL NOTE:</w:t>
      </w:r>
      <w:r w:rsidRPr="001531CD">
        <w:tab/>
        <w:t xml:space="preserve">Promulgated by the Department of Agriculture and Forestry, Office of </w:t>
      </w:r>
      <w:r w:rsidR="005933FB">
        <w:t>Forestry, LR 21:670 (July 1995), LR 50:1812 (December 2024).</w:t>
      </w:r>
    </w:p>
    <w:p w14:paraId="6E3E4640" w14:textId="77777777" w:rsidR="00CF626A" w:rsidRPr="001531CD" w:rsidRDefault="00CF626A">
      <w:pPr>
        <w:pStyle w:val="Section"/>
      </w:pPr>
      <w:bookmarkStart w:id="3283" w:name="_Toc256755179"/>
      <w:bookmarkStart w:id="3284" w:name="_Toc224819593"/>
      <w:r w:rsidRPr="001531CD">
        <w:t>§903.</w:t>
      </w:r>
      <w:r w:rsidRPr="001531CD">
        <w:tab/>
        <w:t>Written Authority</w:t>
      </w:r>
      <w:bookmarkEnd w:id="3283"/>
      <w:bookmarkEnd w:id="3284"/>
    </w:p>
    <w:p w14:paraId="6619FB43" w14:textId="77777777" w:rsidR="00CF626A" w:rsidRPr="001531CD" w:rsidRDefault="00CF626A">
      <w:pPr>
        <w:pStyle w:val="A"/>
      </w:pPr>
      <w:r w:rsidRPr="001531CD">
        <w:t>A.</w:t>
      </w:r>
      <w:r w:rsidRPr="001531CD">
        <w:tab/>
        <w:t>Written authority for a prescribed burn shall consist of a prescribed burning certificate issued to the prescribed burner by the department and signed by the associate state forester or the chief of the Forest Protection Branch of the Office of Forestry.</w:t>
      </w:r>
    </w:p>
    <w:p w14:paraId="0DC9167B" w14:textId="77777777" w:rsidR="00CF626A" w:rsidRPr="001531CD" w:rsidRDefault="00CF626A">
      <w:pPr>
        <w:pStyle w:val="AuthorityNote"/>
      </w:pPr>
      <w:r w:rsidRPr="001531CD">
        <w:t>AUTHORITY NOTE:</w:t>
      </w:r>
      <w:r w:rsidRPr="001531CD">
        <w:tab/>
        <w:t>Promulgated in accordance with R.S. 3:17.</w:t>
      </w:r>
    </w:p>
    <w:p w14:paraId="767017B0" w14:textId="77777777" w:rsidR="00CF626A" w:rsidRPr="001531CD" w:rsidRDefault="00CF626A">
      <w:pPr>
        <w:pStyle w:val="HistoricalNote"/>
      </w:pPr>
      <w:r w:rsidRPr="001531CD">
        <w:t>HISTORICAL NOTE:</w:t>
      </w:r>
      <w:r w:rsidRPr="001531CD">
        <w:tab/>
        <w:t>Promulgated by the Department of Agriculture and Forestry, Office of Forestry, LR 21:670 (July 1995).</w:t>
      </w:r>
    </w:p>
    <w:p w14:paraId="4549C52E" w14:textId="77777777" w:rsidR="00CF626A" w:rsidRPr="001531CD" w:rsidRDefault="00CF626A">
      <w:pPr>
        <w:pStyle w:val="Section"/>
      </w:pPr>
      <w:bookmarkStart w:id="3285" w:name="_Toc256755180"/>
      <w:bookmarkStart w:id="3286" w:name="_Toc224819594"/>
      <w:r w:rsidRPr="001531CD">
        <w:t>§905.</w:t>
      </w:r>
      <w:r w:rsidRPr="001531CD">
        <w:tab/>
        <w:t>Completion of Prescribed Burn</w:t>
      </w:r>
      <w:bookmarkEnd w:id="3285"/>
      <w:bookmarkEnd w:id="3286"/>
    </w:p>
    <w:p w14:paraId="3A1E547F" w14:textId="77777777" w:rsidR="00CF626A" w:rsidRPr="001531CD" w:rsidRDefault="00CF626A">
      <w:pPr>
        <w:pStyle w:val="A"/>
      </w:pPr>
      <w:r w:rsidRPr="001531CD">
        <w:t>A.</w:t>
      </w:r>
      <w:r w:rsidRPr="001531CD">
        <w:tab/>
        <w:t>Prescribed burns performed pursuant to the authority granted by the Act and conducted in accordance with the Act and these regulations shall be completed and declared safe when the certified prescribed burn manager who has been present on site from ignition finds:</w:t>
      </w:r>
    </w:p>
    <w:p w14:paraId="389C5D5C" w14:textId="77777777" w:rsidR="00CF626A" w:rsidRPr="001531CD" w:rsidRDefault="00CF626A">
      <w:pPr>
        <w:pStyle w:val="1"/>
      </w:pPr>
      <w:r w:rsidRPr="001531CD">
        <w:t>1.</w:t>
      </w:r>
      <w:r w:rsidRPr="001531CD">
        <w:tab/>
        <w:t>that the ignition process has been safely accomplished;</w:t>
      </w:r>
    </w:p>
    <w:p w14:paraId="61B6685D" w14:textId="77777777" w:rsidR="00CF626A" w:rsidRPr="001531CD" w:rsidRDefault="00CF626A">
      <w:pPr>
        <w:pStyle w:val="1"/>
      </w:pPr>
      <w:r w:rsidRPr="001531CD">
        <w:t>2.</w:t>
      </w:r>
      <w:r w:rsidRPr="001531CD">
        <w:tab/>
        <w:t>the fire is safely contained within the control lines; and</w:t>
      </w:r>
    </w:p>
    <w:p w14:paraId="2DCE9EBD" w14:textId="77777777" w:rsidR="00CF626A" w:rsidRPr="001531CD" w:rsidRDefault="00CF626A">
      <w:pPr>
        <w:pStyle w:val="1"/>
      </w:pPr>
      <w:r w:rsidRPr="001531CD">
        <w:t>3.</w:t>
      </w:r>
      <w:r w:rsidRPr="001531CD">
        <w:tab/>
        <w:t>the smoke is acting in a fashion consistent with the weather forecast and the burning prescription for that tract.</w:t>
      </w:r>
    </w:p>
    <w:p w14:paraId="6AAC822A" w14:textId="77777777" w:rsidR="00CF626A" w:rsidRPr="001531CD" w:rsidRDefault="00CF626A">
      <w:pPr>
        <w:pStyle w:val="AuthorityNote"/>
      </w:pPr>
      <w:r w:rsidRPr="001531CD">
        <w:t>AUTHORITY NOTE:</w:t>
      </w:r>
      <w:r w:rsidRPr="001531CD">
        <w:tab/>
        <w:t>Promulgated in accordance with R.S. 3:17.</w:t>
      </w:r>
    </w:p>
    <w:p w14:paraId="770A665D" w14:textId="77777777" w:rsidR="00CF626A" w:rsidRPr="001531CD" w:rsidRDefault="00CF626A">
      <w:pPr>
        <w:pStyle w:val="HistoricalNote"/>
      </w:pPr>
      <w:r w:rsidRPr="001531CD">
        <w:t>HISTORICAL NOTE:</w:t>
      </w:r>
      <w:r w:rsidRPr="001531CD">
        <w:tab/>
        <w:t>Promulgated by the Department of Agriculture and Forestry, Office of Forestry, LR 21:670 (July 1995).</w:t>
      </w:r>
    </w:p>
    <w:p w14:paraId="6505E735" w14:textId="77777777" w:rsidR="00CF626A" w:rsidRPr="001531CD" w:rsidRDefault="00CF626A">
      <w:pPr>
        <w:pStyle w:val="Section"/>
      </w:pPr>
      <w:bookmarkStart w:id="3287" w:name="_Toc256755181"/>
      <w:bookmarkStart w:id="3288" w:name="_Toc224819595"/>
      <w:r w:rsidRPr="001531CD">
        <w:t>§907.</w:t>
      </w:r>
      <w:r w:rsidRPr="001531CD">
        <w:tab/>
      </w:r>
      <w:bookmarkEnd w:id="3287"/>
      <w:r w:rsidR="000C6A96" w:rsidRPr="008B6C56">
        <w:rPr>
          <w:rFonts w:eastAsia="Calibri"/>
        </w:rPr>
        <w:t>Prescribed Burner Certification; Prerequisites and Training</w:t>
      </w:r>
      <w:bookmarkEnd w:id="3288"/>
    </w:p>
    <w:p w14:paraId="2E83CBF9" w14:textId="77777777" w:rsidR="000C6A96" w:rsidRPr="008B6C56" w:rsidRDefault="00CF626A" w:rsidP="000C6A96">
      <w:pPr>
        <w:pStyle w:val="A"/>
        <w:rPr>
          <w:rFonts w:eastAsia="Calibri"/>
        </w:rPr>
      </w:pPr>
      <w:r w:rsidRPr="001531CD">
        <w:t>A.</w:t>
      </w:r>
      <w:r w:rsidRPr="001531CD">
        <w:tab/>
      </w:r>
      <w:r w:rsidR="000C6A96" w:rsidRPr="008B6C56">
        <w:rPr>
          <w:rFonts w:eastAsia="Calibri"/>
        </w:rPr>
        <w:t>The department may</w:t>
      </w:r>
      <w:r w:rsidR="000C6A96" w:rsidRPr="008B6C56">
        <w:rPr>
          <w:rFonts w:eastAsia="Calibri"/>
          <w:color w:val="FF0000"/>
        </w:rPr>
        <w:t xml:space="preserve"> </w:t>
      </w:r>
      <w:r w:rsidR="000C6A96" w:rsidRPr="008B6C56">
        <w:rPr>
          <w:rFonts w:eastAsia="Calibri"/>
        </w:rPr>
        <w:t>offer workshops for the certification of prescribed burners.</w:t>
      </w:r>
    </w:p>
    <w:p w14:paraId="1134E2A1" w14:textId="77777777" w:rsidR="000C6A96" w:rsidRPr="008B6C56" w:rsidRDefault="000C6A96" w:rsidP="000C6A96">
      <w:pPr>
        <w:pStyle w:val="A"/>
        <w:rPr>
          <w:rFonts w:eastAsia="Calibri"/>
        </w:rPr>
      </w:pPr>
      <w:r>
        <w:rPr>
          <w:rFonts w:eastAsia="Calibri"/>
        </w:rPr>
        <w:t>B.</w:t>
      </w:r>
      <w:r>
        <w:rPr>
          <w:rFonts w:eastAsia="Calibri"/>
        </w:rPr>
        <w:tab/>
      </w:r>
      <w:r w:rsidRPr="008B6C56">
        <w:rPr>
          <w:rFonts w:eastAsia="Calibri"/>
        </w:rPr>
        <w:t>The department shall certify qualified individuals as certified burners who meet the following requirements:</w:t>
      </w:r>
    </w:p>
    <w:p w14:paraId="34E705CB" w14:textId="77777777" w:rsidR="000C6A96" w:rsidRPr="008B6C56" w:rsidRDefault="000C6A96" w:rsidP="000C6A96">
      <w:pPr>
        <w:pStyle w:val="1"/>
        <w:rPr>
          <w:rFonts w:eastAsia="Calibri"/>
        </w:rPr>
      </w:pPr>
      <w:r w:rsidRPr="008B6C56">
        <w:rPr>
          <w:rFonts w:eastAsia="Calibri"/>
        </w:rPr>
        <w:t>1.</w:t>
      </w:r>
      <w:r w:rsidRPr="008B6C56">
        <w:rPr>
          <w:rFonts w:eastAsia="Calibri"/>
        </w:rPr>
        <w:tab/>
        <w:t xml:space="preserve">complete a university-sponsored prescribed-burn continuing education course or other program approved by the department; </w:t>
      </w:r>
    </w:p>
    <w:p w14:paraId="1DD60547" w14:textId="77777777" w:rsidR="000C6A96" w:rsidRPr="008B6C56" w:rsidRDefault="000C6A96" w:rsidP="000C6A96">
      <w:pPr>
        <w:pStyle w:val="1"/>
        <w:rPr>
          <w:rFonts w:eastAsia="Calibri"/>
        </w:rPr>
      </w:pPr>
      <w:r w:rsidRPr="008B6C56">
        <w:rPr>
          <w:rFonts w:eastAsia="Calibri"/>
        </w:rPr>
        <w:t>2.</w:t>
      </w:r>
      <w:r w:rsidRPr="008B6C56">
        <w:rPr>
          <w:rFonts w:eastAsia="Calibri"/>
        </w:rPr>
        <w:tab/>
        <w:t>attend a certification workshop conducted or approved by the department;</w:t>
      </w:r>
    </w:p>
    <w:p w14:paraId="3695480A" w14:textId="77777777" w:rsidR="000C6A96" w:rsidRPr="008B6C56" w:rsidRDefault="000C6A96" w:rsidP="000C6A96">
      <w:pPr>
        <w:pStyle w:val="1"/>
        <w:rPr>
          <w:rFonts w:eastAsia="Calibri"/>
        </w:rPr>
      </w:pPr>
      <w:r w:rsidRPr="008B6C56">
        <w:rPr>
          <w:rFonts w:eastAsia="Calibri"/>
        </w:rPr>
        <w:t>3.</w:t>
      </w:r>
      <w:r w:rsidRPr="008B6C56">
        <w:rPr>
          <w:rFonts w:eastAsia="Calibri"/>
        </w:rPr>
        <w:tab/>
        <w:t>score a passing grade on a certification test administered or approved by the department;</w:t>
      </w:r>
    </w:p>
    <w:p w14:paraId="17F979E8" w14:textId="77777777" w:rsidR="000C6A96" w:rsidRPr="008B6C56" w:rsidRDefault="000C6A96" w:rsidP="000C6A96">
      <w:pPr>
        <w:pStyle w:val="1"/>
        <w:rPr>
          <w:rFonts w:eastAsia="Calibri"/>
        </w:rPr>
      </w:pPr>
      <w:r w:rsidRPr="008B6C56">
        <w:rPr>
          <w:rFonts w:eastAsia="Calibri"/>
        </w:rPr>
        <w:t>4.</w:t>
      </w:r>
      <w:r w:rsidRPr="008B6C56">
        <w:rPr>
          <w:rFonts w:eastAsia="Calibri"/>
        </w:rPr>
        <w:tab/>
        <w:t>participate in a minimum of five prescribed burns as the person in charge of the execution of the burns;</w:t>
      </w:r>
    </w:p>
    <w:p w14:paraId="58C67DB1" w14:textId="77777777" w:rsidR="000C6A96" w:rsidRPr="008B6C56" w:rsidRDefault="000C6A96" w:rsidP="000C6A96">
      <w:pPr>
        <w:pStyle w:val="1"/>
        <w:rPr>
          <w:rFonts w:eastAsia="Calibri"/>
        </w:rPr>
      </w:pPr>
      <w:r w:rsidRPr="008B6C56">
        <w:rPr>
          <w:rFonts w:eastAsia="Calibri"/>
        </w:rPr>
        <w:t>5.</w:t>
      </w:r>
      <w:r w:rsidRPr="008B6C56">
        <w:rPr>
          <w:rFonts w:eastAsia="Calibri"/>
        </w:rPr>
        <w:tab/>
        <w:t>submit a completed application on a form provided by the department; and</w:t>
      </w:r>
    </w:p>
    <w:p w14:paraId="51D0C2EC" w14:textId="77777777" w:rsidR="000C6A96" w:rsidRPr="008B6C56" w:rsidRDefault="000C6A96" w:rsidP="000C6A96">
      <w:pPr>
        <w:pStyle w:val="1"/>
        <w:rPr>
          <w:rFonts w:eastAsia="Calibri"/>
        </w:rPr>
      </w:pPr>
      <w:r w:rsidRPr="008B6C56">
        <w:rPr>
          <w:rFonts w:eastAsia="Calibri"/>
        </w:rPr>
        <w:lastRenderedPageBreak/>
        <w:t>6.</w:t>
      </w:r>
      <w:r w:rsidRPr="008B6C56">
        <w:rPr>
          <w:rFonts w:eastAsia="Calibri"/>
        </w:rPr>
        <w:tab/>
        <w:t xml:space="preserve">submit a signed statement indicating that: </w:t>
      </w:r>
    </w:p>
    <w:p w14:paraId="50D2A67C" w14:textId="77777777" w:rsidR="000C6A96" w:rsidRPr="008B6C56" w:rsidRDefault="000C6A96" w:rsidP="000C6A96">
      <w:pPr>
        <w:pStyle w:val="a0"/>
        <w:rPr>
          <w:rFonts w:eastAsia="Calibri"/>
        </w:rPr>
      </w:pPr>
      <w:r w:rsidRPr="008B6C56">
        <w:rPr>
          <w:rFonts w:eastAsia="Calibri"/>
        </w:rPr>
        <w:t>a.</w:t>
      </w:r>
      <w:r w:rsidRPr="008B6C56">
        <w:rPr>
          <w:rFonts w:eastAsia="Calibri"/>
        </w:rPr>
        <w:tab/>
        <w:t>the applicant has participated in a minimum of five prescribed burns as the person in charge of the execution of those burns; and</w:t>
      </w:r>
    </w:p>
    <w:p w14:paraId="3C49B937" w14:textId="77777777" w:rsidR="000C6A96" w:rsidRPr="008B6C56" w:rsidRDefault="000C6A96" w:rsidP="000C6A96">
      <w:pPr>
        <w:pStyle w:val="a0"/>
        <w:rPr>
          <w:rFonts w:eastAsia="Calibri"/>
        </w:rPr>
      </w:pPr>
      <w:r w:rsidRPr="008B6C56">
        <w:rPr>
          <w:rFonts w:eastAsia="Calibri"/>
        </w:rPr>
        <w:t>b.</w:t>
      </w:r>
      <w:r w:rsidRPr="008B6C56">
        <w:rPr>
          <w:rFonts w:eastAsia="Calibri"/>
        </w:rPr>
        <w:tab/>
        <w:t>the applicant has completed a university-sponsored prescribed-burn continuing education course or other program approved by the department.</w:t>
      </w:r>
    </w:p>
    <w:p w14:paraId="73534879" w14:textId="77777777" w:rsidR="000C6A96" w:rsidRPr="008B6C56" w:rsidRDefault="000C6A96" w:rsidP="000C6A96">
      <w:pPr>
        <w:pStyle w:val="A"/>
        <w:rPr>
          <w:rFonts w:eastAsia="Calibri"/>
        </w:rPr>
      </w:pPr>
      <w:r>
        <w:rPr>
          <w:rFonts w:eastAsia="Calibri"/>
        </w:rPr>
        <w:t>C.</w:t>
      </w:r>
      <w:r>
        <w:rPr>
          <w:rFonts w:eastAsia="Calibri"/>
        </w:rPr>
        <w:tab/>
      </w:r>
      <w:r w:rsidRPr="008B6C56">
        <w:rPr>
          <w:rFonts w:eastAsia="Calibri"/>
        </w:rPr>
        <w:t>Applicants seeking certification shall have five years from the completion of the prescribed burning course to complete all other requirements for certification under the Louisiana Certi</w:t>
      </w:r>
      <w:r w:rsidRPr="008B6C56">
        <w:t>fied Prescribed Burner Program:</w:t>
      </w:r>
    </w:p>
    <w:p w14:paraId="5D102D76" w14:textId="77777777" w:rsidR="000C6A96" w:rsidRPr="008B6C56" w:rsidRDefault="000C6A96" w:rsidP="000C6A96">
      <w:pPr>
        <w:pStyle w:val="1"/>
        <w:rPr>
          <w:rFonts w:eastAsia="Calibri"/>
        </w:rPr>
      </w:pPr>
      <w:r w:rsidRPr="008B6C56">
        <w:t>1.</w:t>
      </w:r>
      <w:r w:rsidRPr="008B6C56">
        <w:tab/>
        <w:t>t</w:t>
      </w:r>
      <w:r w:rsidRPr="008B6C56">
        <w:rPr>
          <w:rFonts w:eastAsia="Calibri"/>
        </w:rPr>
        <w:t xml:space="preserve">he required signed statement must be received </w:t>
      </w:r>
      <w:r w:rsidRPr="008B6C56">
        <w:t>by the department by December 31st</w:t>
      </w:r>
      <w:r w:rsidRPr="008B6C56">
        <w:rPr>
          <w:rFonts w:eastAsia="Calibri"/>
        </w:rPr>
        <w:t xml:space="preserve"> of the fifth year following the applicant’s final test date; and</w:t>
      </w:r>
    </w:p>
    <w:p w14:paraId="50ACEA19" w14:textId="77777777" w:rsidR="00CF626A" w:rsidRPr="001531CD" w:rsidRDefault="000C6A96" w:rsidP="000C6A96">
      <w:pPr>
        <w:pStyle w:val="1"/>
      </w:pPr>
      <w:r w:rsidRPr="008B6C56">
        <w:t>2.</w:t>
      </w:r>
      <w:r w:rsidRPr="008B6C56">
        <w:tab/>
      </w:r>
      <w:r w:rsidRPr="008B6C56">
        <w:rPr>
          <w:rFonts w:eastAsia="Calibri"/>
        </w:rPr>
        <w:t>any applicant who fails to complete all requirements within the five-year period shall have their application voided. Cancelled applicants shall have to repeat all program requirements in order to be considered for certification.</w:t>
      </w:r>
    </w:p>
    <w:p w14:paraId="149D9FF2" w14:textId="77777777" w:rsidR="00CF626A" w:rsidRPr="001531CD" w:rsidRDefault="00CF626A">
      <w:pPr>
        <w:pStyle w:val="AuthorityNote"/>
      </w:pPr>
      <w:r w:rsidRPr="001531CD">
        <w:t>AUTHORITY NOTE:</w:t>
      </w:r>
      <w:r w:rsidRPr="001531CD">
        <w:tab/>
        <w:t>Promulgated in accordance with R.S. 3:17.</w:t>
      </w:r>
    </w:p>
    <w:p w14:paraId="7E0DB8BD" w14:textId="77777777" w:rsidR="00CF626A" w:rsidRPr="001531CD" w:rsidRDefault="00CF626A">
      <w:pPr>
        <w:pStyle w:val="HistoricalNote"/>
      </w:pPr>
      <w:r w:rsidRPr="001531CD">
        <w:t>HISTORICAL NOTE:</w:t>
      </w:r>
      <w:r w:rsidRPr="001531CD">
        <w:tab/>
        <w:t>Promulgated by the Department of Agriculture and Forestry, Office of Forestry, LR 21:670 (July 1995</w:t>
      </w:r>
      <w:r w:rsidR="000C6A96" w:rsidRPr="008B6C56">
        <w:t>),</w:t>
      </w:r>
      <w:r w:rsidR="000C6A96" w:rsidRPr="008B6C56">
        <w:rPr>
          <w:rFonts w:eastAsia="Calibri"/>
        </w:rPr>
        <w:t xml:space="preserve"> amended LR 48:</w:t>
      </w:r>
      <w:r w:rsidR="000C6A96">
        <w:rPr>
          <w:rFonts w:eastAsia="Calibri"/>
        </w:rPr>
        <w:t>2084 (August 2022).</w:t>
      </w:r>
    </w:p>
    <w:p w14:paraId="6F7522D8" w14:textId="77777777" w:rsidR="000C6A96" w:rsidRDefault="00CF626A" w:rsidP="000C6A96">
      <w:pPr>
        <w:pStyle w:val="Section"/>
        <w:rPr>
          <w:rFonts w:eastAsia="Calibri"/>
        </w:rPr>
      </w:pPr>
      <w:bookmarkStart w:id="3289" w:name="_Toc256755182"/>
      <w:bookmarkStart w:id="3290" w:name="_Toc224819596"/>
      <w:r w:rsidRPr="001531CD">
        <w:t>§909.</w:t>
      </w:r>
      <w:r w:rsidRPr="001531CD">
        <w:tab/>
      </w:r>
      <w:bookmarkEnd w:id="3289"/>
      <w:r w:rsidR="000C6A96" w:rsidRPr="008B6C56">
        <w:rPr>
          <w:rFonts w:eastAsia="Calibri"/>
        </w:rPr>
        <w:t>Renewal of Prescribed Burner Certification</w:t>
      </w:r>
      <w:bookmarkEnd w:id="3290"/>
      <w:r w:rsidR="000C6A96" w:rsidRPr="008B6C56">
        <w:rPr>
          <w:rFonts w:eastAsia="Calibri"/>
        </w:rPr>
        <w:t xml:space="preserve"> </w:t>
      </w:r>
    </w:p>
    <w:p w14:paraId="7BC69FCB" w14:textId="77777777" w:rsidR="000C6A96" w:rsidRPr="008B6C56" w:rsidRDefault="000C6A96" w:rsidP="000C6A96">
      <w:pPr>
        <w:pStyle w:val="A"/>
        <w:rPr>
          <w:rFonts w:eastAsia="Calibri"/>
        </w:rPr>
      </w:pPr>
      <w:r w:rsidRPr="008B6C56">
        <w:rPr>
          <w:rFonts w:eastAsia="Calibri"/>
        </w:rPr>
        <w:t>A.</w:t>
      </w:r>
      <w:r w:rsidRPr="008B6C56">
        <w:rPr>
          <w:rFonts w:eastAsia="Calibri"/>
        </w:rPr>
        <w:tab/>
        <w:t xml:space="preserve">In order to maintain a valid certification, all certified prescribed burners shall renew their certification every five years. </w:t>
      </w:r>
    </w:p>
    <w:p w14:paraId="0DED1B2C" w14:textId="77777777" w:rsidR="000C6A96" w:rsidRPr="008B6C56" w:rsidRDefault="000C6A96" w:rsidP="000C6A96">
      <w:pPr>
        <w:pStyle w:val="A"/>
        <w:rPr>
          <w:rFonts w:eastAsia="Calibri"/>
        </w:rPr>
      </w:pPr>
      <w:r w:rsidRPr="008B6C56">
        <w:rPr>
          <w:rFonts w:eastAsia="Calibri"/>
        </w:rPr>
        <w:t>B.</w:t>
      </w:r>
      <w:r w:rsidRPr="008B6C56">
        <w:rPr>
          <w:rFonts w:eastAsia="Calibri"/>
        </w:rPr>
        <w:tab/>
        <w:t xml:space="preserve">A certified prescribed burner shall renew their certification by: </w:t>
      </w:r>
    </w:p>
    <w:p w14:paraId="5C38142A" w14:textId="77777777" w:rsidR="000C6A96" w:rsidRPr="008B6C56" w:rsidRDefault="000C6A96" w:rsidP="000C6A96">
      <w:pPr>
        <w:pStyle w:val="1"/>
        <w:rPr>
          <w:rFonts w:eastAsia="Calibri"/>
        </w:rPr>
      </w:pPr>
      <w:r w:rsidRPr="008B6C56">
        <w:rPr>
          <w:rFonts w:eastAsia="Calibri"/>
        </w:rPr>
        <w:t>1.</w:t>
      </w:r>
      <w:r w:rsidRPr="008B6C56">
        <w:rPr>
          <w:rFonts w:eastAsia="Calibri"/>
        </w:rPr>
        <w:tab/>
        <w:t xml:space="preserve">completing a certified prescribed burner refresher course every five years, prior to the end of each fifth year following certification; and </w:t>
      </w:r>
    </w:p>
    <w:p w14:paraId="6E6A7D66" w14:textId="77777777" w:rsidR="000C6A96" w:rsidRPr="008B6C56" w:rsidRDefault="000C6A96" w:rsidP="000C6A96">
      <w:pPr>
        <w:pStyle w:val="1"/>
        <w:rPr>
          <w:rFonts w:eastAsia="Calibri"/>
        </w:rPr>
      </w:pPr>
      <w:r w:rsidRPr="008B6C56">
        <w:t>2.</w:t>
      </w:r>
      <w:r w:rsidRPr="008B6C56">
        <w:rPr>
          <w:rFonts w:eastAsia="Calibri"/>
        </w:rPr>
        <w:tab/>
        <w:t xml:space="preserve">producing proof of completion of the course to the department, prior to the end of each fifth year following certification. </w:t>
      </w:r>
    </w:p>
    <w:p w14:paraId="0659B2B6" w14:textId="77777777" w:rsidR="000C6A96" w:rsidRPr="008B6C56" w:rsidRDefault="000C6A96" w:rsidP="000C6A96">
      <w:pPr>
        <w:pStyle w:val="a0"/>
        <w:rPr>
          <w:rFonts w:eastAsia="Calibri"/>
        </w:rPr>
      </w:pPr>
      <w:r w:rsidRPr="008B6C56">
        <w:rPr>
          <w:rFonts w:eastAsia="Calibri"/>
        </w:rPr>
        <w:t>a.</w:t>
      </w:r>
      <w:r w:rsidRPr="008B6C56">
        <w:rPr>
          <w:rFonts w:eastAsia="Calibri"/>
        </w:rPr>
        <w:tab/>
        <w:t xml:space="preserve">Proof of completion may consist of a certificate of completion or, if no certificate is provided by the course, submission of a signed statement attesting to attendance, including course name, date(s) attended, and provider of the course. </w:t>
      </w:r>
    </w:p>
    <w:p w14:paraId="3A299EF3" w14:textId="77777777" w:rsidR="00CF626A" w:rsidRPr="001531CD" w:rsidRDefault="000C6A96" w:rsidP="000C6A96">
      <w:pPr>
        <w:pStyle w:val="A"/>
      </w:pPr>
      <w:r w:rsidRPr="008B6C56">
        <w:rPr>
          <w:rFonts w:eastAsia="Calibri"/>
        </w:rPr>
        <w:t>C.</w:t>
      </w:r>
      <w:r w:rsidRPr="008B6C56">
        <w:rPr>
          <w:rFonts w:eastAsia="Calibri"/>
        </w:rPr>
        <w:tab/>
        <w:t>Failure to complete a certified prescribed burner refresher course and to provide proof of attendance prior to the end of each fifth year following certification shall result in the revocation of the prescribed burner certification and all program requirements must be repeated in order to regain certification.</w:t>
      </w:r>
    </w:p>
    <w:p w14:paraId="69C397E8" w14:textId="77777777" w:rsidR="00CF626A" w:rsidRPr="001531CD" w:rsidRDefault="00CF626A">
      <w:pPr>
        <w:pStyle w:val="AuthorityNote"/>
      </w:pPr>
      <w:r w:rsidRPr="001531CD">
        <w:t>AUTHORITY NOTE:</w:t>
      </w:r>
      <w:r w:rsidRPr="001531CD">
        <w:tab/>
        <w:t>Promulgated in accordance with R.S. 3:17.</w:t>
      </w:r>
    </w:p>
    <w:p w14:paraId="0FA79200" w14:textId="77777777" w:rsidR="00CF626A" w:rsidRPr="001531CD" w:rsidRDefault="00CF626A">
      <w:pPr>
        <w:pStyle w:val="HistoricalNote"/>
      </w:pPr>
      <w:r w:rsidRPr="001531CD">
        <w:t>HISTORICAL NOTE:</w:t>
      </w:r>
      <w:r w:rsidRPr="001531CD">
        <w:tab/>
        <w:t>Promulgated by the Department of Agriculture and Forestry, Office of Forestry, LR 21:670 (July 1995).</w:t>
      </w:r>
    </w:p>
    <w:p w14:paraId="2A98C100" w14:textId="77777777" w:rsidR="00CF626A" w:rsidRPr="001531CD" w:rsidRDefault="00CF626A">
      <w:pPr>
        <w:pStyle w:val="Section"/>
      </w:pPr>
      <w:bookmarkStart w:id="3291" w:name="_Toc256755183"/>
      <w:bookmarkStart w:id="3292" w:name="_Toc224819597"/>
      <w:r w:rsidRPr="001531CD">
        <w:t>§911.</w:t>
      </w:r>
      <w:r w:rsidRPr="001531CD">
        <w:tab/>
      </w:r>
      <w:bookmarkEnd w:id="3291"/>
      <w:r w:rsidR="005933FB" w:rsidRPr="00F617CD">
        <w:t>Smoke Management Guidelines</w:t>
      </w:r>
      <w:bookmarkEnd w:id="3292"/>
    </w:p>
    <w:p w14:paraId="4130DCEA" w14:textId="77777777" w:rsidR="005933FB" w:rsidRDefault="00CF626A" w:rsidP="005933FB">
      <w:pPr>
        <w:pStyle w:val="A"/>
      </w:pPr>
      <w:r w:rsidRPr="001531CD">
        <w:t>A.</w:t>
      </w:r>
      <w:r w:rsidRPr="001531CD">
        <w:tab/>
      </w:r>
      <w:r w:rsidR="005933FB" w:rsidRPr="00F617CD">
        <w:t xml:space="preserve">Louisiana Voluntary Smoke Management Guidelines for Forestry and Marsh. The Louisiana Department of </w:t>
      </w:r>
      <w:r w:rsidR="005933FB" w:rsidRPr="00F617CD">
        <w:t xml:space="preserve">Agriculture and Forestry provides the official guidelines for handling smoke resulting from prescribed burns for forestry and marsh through the </w:t>
      </w:r>
      <w:r w:rsidR="005933FB" w:rsidRPr="00F617CD">
        <w:rPr>
          <w:i/>
          <w:iCs/>
        </w:rPr>
        <w:t>Louisiana Voluntary Smoke Management Guidelines</w:t>
      </w:r>
      <w:r w:rsidR="005933FB" w:rsidRPr="00F617CD">
        <w:t xml:space="preserve"> (published November 2014). The Department of Agriculture and Forestry will make the latest edition of the </w:t>
      </w:r>
      <w:r w:rsidR="005933FB" w:rsidRPr="00F617CD">
        <w:rPr>
          <w:i/>
          <w:iCs/>
        </w:rPr>
        <w:t>Louisiana Voluntary Smoke Management Guidelines</w:t>
      </w:r>
      <w:r w:rsidR="005933FB" w:rsidRPr="00F617CD">
        <w:t xml:space="preserve"> available to the public on its website.</w:t>
      </w:r>
    </w:p>
    <w:p w14:paraId="0A97D487" w14:textId="77777777" w:rsidR="005933FB" w:rsidRDefault="005933FB" w:rsidP="005933FB">
      <w:pPr>
        <w:pStyle w:val="A"/>
      </w:pPr>
      <w:r w:rsidRPr="00F617CD">
        <w:t>B.</w:t>
      </w:r>
      <w:r w:rsidRPr="00F617CD">
        <w:tab/>
        <w:t xml:space="preserve">Louisiana Smoke Management Guidelines for Agriculture. The Louisiana Department of Agriculture and Forestry and the LSU AgCenter provides the official guidelines for handling smoke resulting from prescribed burns for agriculture through the </w:t>
      </w:r>
      <w:r w:rsidRPr="00F617CD">
        <w:rPr>
          <w:i/>
          <w:iCs/>
        </w:rPr>
        <w:t>Louisiana Smoke Management Guidelines for Agriculture</w:t>
      </w:r>
      <w:r w:rsidRPr="00F617CD">
        <w:t xml:space="preserve"> (published December 2023, Publication Number 3246). The Department of Agriculture and Forestry will make the latest edition of the </w:t>
      </w:r>
      <w:r w:rsidRPr="00F617CD">
        <w:rPr>
          <w:i/>
          <w:iCs/>
        </w:rPr>
        <w:t>Louisiana Smoke Management Guidelines for Agriculture</w:t>
      </w:r>
      <w:r w:rsidRPr="00F617CD">
        <w:t xml:space="preserve"> available to the public on its website.</w:t>
      </w:r>
    </w:p>
    <w:p w14:paraId="7DC0F882" w14:textId="77777777" w:rsidR="00CF626A" w:rsidRPr="001531CD" w:rsidRDefault="00CF626A">
      <w:pPr>
        <w:pStyle w:val="AuthorityNote"/>
      </w:pPr>
      <w:r w:rsidRPr="001531CD">
        <w:t>AUTHORITY NOTE:</w:t>
      </w:r>
      <w:r w:rsidRPr="001531CD">
        <w:tab/>
        <w:t>Promulgated in accordance with R.S. 3:17.</w:t>
      </w:r>
    </w:p>
    <w:p w14:paraId="6F0A9FA4" w14:textId="77777777" w:rsidR="00CF626A" w:rsidRPr="001531CD" w:rsidRDefault="00CF626A">
      <w:pPr>
        <w:pStyle w:val="HistoricalNote"/>
      </w:pPr>
      <w:r w:rsidRPr="001531CD">
        <w:t>HISTORICAL NOTE:</w:t>
      </w:r>
      <w:r w:rsidRPr="001531CD">
        <w:tab/>
        <w:t>Promulgated by the Department of Agriculture and Forestry, Office of Forestry, LR 21:670 (July 1995</w:t>
      </w:r>
      <w:r w:rsidR="000C6A96" w:rsidRPr="008B6C56">
        <w:rPr>
          <w:rFonts w:eastAsia="Calibri"/>
        </w:rPr>
        <w:t>)</w:t>
      </w:r>
      <w:r w:rsidR="000C6A96" w:rsidRPr="008B6C56">
        <w:t>,</w:t>
      </w:r>
      <w:r w:rsidR="000C6A96">
        <w:rPr>
          <w:rFonts w:eastAsia="Calibri"/>
        </w:rPr>
        <w:t xml:space="preserve"> amended LR 48:2084 (August 2022)</w:t>
      </w:r>
      <w:r w:rsidR="005933FB">
        <w:rPr>
          <w:rFonts w:eastAsia="Calibri"/>
        </w:rPr>
        <w:t xml:space="preserve">, </w:t>
      </w:r>
      <w:r w:rsidR="005933FB">
        <w:t>LR 50:1812 (December 2024).</w:t>
      </w:r>
    </w:p>
    <w:p w14:paraId="059B3FB5" w14:textId="77777777" w:rsidR="005E2065" w:rsidRPr="0095532F" w:rsidRDefault="005E2065" w:rsidP="005E2065">
      <w:pPr>
        <w:pStyle w:val="Section"/>
      </w:pPr>
      <w:bookmarkStart w:id="3293" w:name="_Toc224819598"/>
      <w:r w:rsidRPr="0095532F">
        <w:t>§913.</w:t>
      </w:r>
      <w:r w:rsidRPr="0095532F">
        <w:tab/>
        <w:t>Complaints and Investigation</w:t>
      </w:r>
      <w:bookmarkEnd w:id="3293"/>
    </w:p>
    <w:p w14:paraId="2FE7B03D" w14:textId="77777777" w:rsidR="005E2065" w:rsidRDefault="005E2065" w:rsidP="005E2065">
      <w:pPr>
        <w:pStyle w:val="A"/>
      </w:pPr>
      <w:r w:rsidRPr="0095532F">
        <w:t>A.</w:t>
      </w:r>
      <w:r w:rsidRPr="0095532F">
        <w:tab/>
        <w:t>Any person who wishes to file a complaint regarding an agricultural burn may do so by telephone or in writing. In order to file a complaint by telephone, persons must contact the department via the department’s 24-hour telephone hotline.</w:t>
      </w:r>
      <w:r>
        <w:t xml:space="preserve"> </w:t>
      </w:r>
      <w:r w:rsidRPr="0095532F">
        <w:t>Complaints may also be made by filling out a department-approved complaint form available on the department’s website, by mailing a written complaint to the department, or by sending electronic mail to burncomplaints@ldaf.state.la.us.</w:t>
      </w:r>
    </w:p>
    <w:p w14:paraId="6660D173" w14:textId="77777777" w:rsidR="005E2065" w:rsidRPr="0095532F" w:rsidRDefault="005E2065" w:rsidP="005E2065">
      <w:pPr>
        <w:pStyle w:val="A"/>
      </w:pPr>
      <w:r w:rsidRPr="0095532F">
        <w:t>B.</w:t>
      </w:r>
      <w:r w:rsidRPr="0095532F">
        <w:tab/>
        <w:t>A complaint shall, at a minimum, contain the following information:</w:t>
      </w:r>
    </w:p>
    <w:p w14:paraId="2B5018F2" w14:textId="77777777" w:rsidR="005E2065" w:rsidRPr="0095532F" w:rsidRDefault="005E2065" w:rsidP="005E2065">
      <w:pPr>
        <w:pStyle w:val="1"/>
      </w:pPr>
      <w:r w:rsidRPr="0095532F">
        <w:t>1.</w:t>
      </w:r>
      <w:r w:rsidRPr="0095532F">
        <w:tab/>
        <w:t>the name, address and telephone number of the person making the complaint;</w:t>
      </w:r>
    </w:p>
    <w:p w14:paraId="3AD9D288" w14:textId="77777777" w:rsidR="005E2065" w:rsidRPr="0095532F" w:rsidRDefault="005E2065" w:rsidP="005E2065">
      <w:pPr>
        <w:pStyle w:val="1"/>
      </w:pPr>
      <w:r w:rsidRPr="0095532F">
        <w:t>2.</w:t>
      </w:r>
      <w:r w:rsidRPr="0095532F">
        <w:tab/>
        <w:t>the address, location or geographic coordinates of the agricultural burn, including the name of the parish;</w:t>
      </w:r>
    </w:p>
    <w:p w14:paraId="516E8458" w14:textId="77777777" w:rsidR="005E2065" w:rsidRPr="0095532F" w:rsidRDefault="005E2065" w:rsidP="005E2065">
      <w:pPr>
        <w:pStyle w:val="1"/>
      </w:pPr>
      <w:r w:rsidRPr="0095532F">
        <w:t>3.</w:t>
      </w:r>
      <w:r w:rsidRPr="0095532F">
        <w:tab/>
        <w:t>the date and time of the complaint; and</w:t>
      </w:r>
    </w:p>
    <w:p w14:paraId="17D8151D" w14:textId="77777777" w:rsidR="005E2065" w:rsidRPr="0095532F" w:rsidRDefault="005E2065" w:rsidP="005E2065">
      <w:pPr>
        <w:pStyle w:val="1"/>
      </w:pPr>
      <w:r w:rsidRPr="0095532F">
        <w:t>4.</w:t>
      </w:r>
      <w:r>
        <w:tab/>
      </w:r>
      <w:r w:rsidRPr="0095532F">
        <w:t>a detailed explanation of all conduct and/or conditions which form the basis of the complaint.</w:t>
      </w:r>
    </w:p>
    <w:p w14:paraId="57AEB7A6" w14:textId="77777777" w:rsidR="005E2065" w:rsidRPr="0095532F" w:rsidRDefault="005E2065" w:rsidP="005E2065">
      <w:pPr>
        <w:pStyle w:val="A"/>
      </w:pPr>
      <w:r w:rsidRPr="0095532F">
        <w:t>C.</w:t>
      </w:r>
      <w:r w:rsidRPr="0095532F">
        <w:tab/>
        <w:t>Upon receipt of a complaint, the department may:</w:t>
      </w:r>
    </w:p>
    <w:p w14:paraId="64C84B65" w14:textId="77777777" w:rsidR="005E2065" w:rsidRPr="0095532F" w:rsidRDefault="005E2065" w:rsidP="005E2065">
      <w:pPr>
        <w:pStyle w:val="1"/>
      </w:pPr>
      <w:r w:rsidRPr="0095532F">
        <w:t>1.</w:t>
      </w:r>
      <w:r w:rsidRPr="0095532F">
        <w:tab/>
        <w:t>conduct an investigation of the incident involved in the complaint; and</w:t>
      </w:r>
    </w:p>
    <w:p w14:paraId="730157B3" w14:textId="77777777" w:rsidR="005E2065" w:rsidRPr="0095532F" w:rsidRDefault="005E2065" w:rsidP="005E2065">
      <w:pPr>
        <w:pStyle w:val="1"/>
      </w:pPr>
      <w:r w:rsidRPr="0095532F">
        <w:t>2.</w:t>
      </w:r>
      <w:r w:rsidRPr="0095532F">
        <w:tab/>
        <w:t>inform the burner against whom the complaint has been lodged of the complaint.</w:t>
      </w:r>
    </w:p>
    <w:p w14:paraId="158E7174" w14:textId="77777777" w:rsidR="005E2065" w:rsidRPr="0095532F" w:rsidRDefault="005E2065" w:rsidP="005E2065">
      <w:pPr>
        <w:pStyle w:val="A"/>
      </w:pPr>
      <w:r w:rsidRPr="0095532F">
        <w:t>D.</w:t>
      </w:r>
      <w:r w:rsidRPr="0095532F">
        <w:tab/>
        <w:t>Upon completion of the investigation described in this section, the department shall notify the complainant and the burner of the results of the investigation.</w:t>
      </w:r>
    </w:p>
    <w:p w14:paraId="14A339B2" w14:textId="77777777" w:rsidR="005E2065" w:rsidRPr="0095532F" w:rsidRDefault="005E2065" w:rsidP="005E2065">
      <w:pPr>
        <w:pStyle w:val="A"/>
      </w:pPr>
      <w:r w:rsidRPr="0095532F">
        <w:t>E.</w:t>
      </w:r>
      <w:r w:rsidRPr="0095532F">
        <w:tab/>
        <w:t xml:space="preserve">The department, in its sole discretion, will determine whether educational materials should be provided to the burner or whether the actions complained of warrant referring the citizen’s complaint to an adjudicatory hearing for the </w:t>
      </w:r>
      <w:r w:rsidRPr="0095532F">
        <w:lastRenderedPageBreak/>
        <w:t>possible suspension or revocation of a prescribed burning certificate.</w:t>
      </w:r>
    </w:p>
    <w:p w14:paraId="54E9313D" w14:textId="77777777" w:rsidR="005E2065" w:rsidRPr="0095532F" w:rsidRDefault="005E2065" w:rsidP="005E2065">
      <w:pPr>
        <w:pStyle w:val="AuthorityNote"/>
      </w:pPr>
      <w:r w:rsidRPr="0095532F">
        <w:t>AUTHORITY NOTE:</w:t>
      </w:r>
      <w:r w:rsidRPr="0095532F">
        <w:tab/>
        <w:t>Promulgated in accordance with R.S. 3:17.</w:t>
      </w:r>
    </w:p>
    <w:p w14:paraId="1112C742" w14:textId="77777777" w:rsidR="005E2065" w:rsidRPr="0095532F" w:rsidRDefault="005E2065" w:rsidP="005E2065">
      <w:pPr>
        <w:pStyle w:val="HistoricalNote"/>
      </w:pPr>
      <w:r w:rsidRPr="0095532F">
        <w:t>HISTORICAL NOTE:</w:t>
      </w:r>
      <w:r w:rsidRPr="0095532F">
        <w:tab/>
        <w:t>Promulgated by the Department of Agriculture and Forestry, Office of Forestry, LR 41:</w:t>
      </w:r>
      <w:r>
        <w:t>1480 (August 2015).</w:t>
      </w:r>
    </w:p>
    <w:p w14:paraId="1872D724" w14:textId="77777777" w:rsidR="005E2065" w:rsidRPr="0095532F" w:rsidRDefault="005E2065" w:rsidP="005E2065">
      <w:pPr>
        <w:pStyle w:val="Section"/>
      </w:pPr>
      <w:bookmarkStart w:id="3294" w:name="_Toc224819599"/>
      <w:r w:rsidRPr="0095532F">
        <w:t>§914.</w:t>
      </w:r>
      <w:r w:rsidRPr="0095532F">
        <w:tab/>
        <w:t>Suspension and Revocation of Prescribed Burning Certificate</w:t>
      </w:r>
      <w:r>
        <w:t xml:space="preserve"> </w:t>
      </w:r>
      <w:r w:rsidR="00751525">
        <w:t>(</w:t>
      </w:r>
      <w:r>
        <w:t xml:space="preserve">Formerly </w:t>
      </w:r>
      <w:r w:rsidRPr="0095532F">
        <w:t>§</w:t>
      </w:r>
      <w:r>
        <w:t>913</w:t>
      </w:r>
      <w:r w:rsidR="00751525">
        <w:t>)</w:t>
      </w:r>
      <w:bookmarkEnd w:id="3294"/>
    </w:p>
    <w:p w14:paraId="08B44158" w14:textId="77777777" w:rsidR="005E2065" w:rsidRPr="0095532F" w:rsidRDefault="005E2065" w:rsidP="005E2065">
      <w:pPr>
        <w:pStyle w:val="A"/>
      </w:pPr>
      <w:r w:rsidRPr="0095532F">
        <w:t>A.</w:t>
      </w:r>
      <w:r w:rsidRPr="0095532F">
        <w:tab/>
        <w:t>In the event that the department determines that the practices and procedures utilized by a certified prescribed burn manager during one or more prescribed burns substantially deviates from accepted practices and procedures for prescribed burning in effect at the time of certification or at the time of the aforesaid prescribed burn or burns,</w:t>
      </w:r>
      <w:r>
        <w:t xml:space="preserve"> </w:t>
      </w:r>
      <w:r w:rsidRPr="0095532F">
        <w:t>the department shall conduct an adjudicatory hearing in accordance with the Administrative Procedure Act in order to determine whether to suspend or revoke the prescribed burning certificate.</w:t>
      </w:r>
    </w:p>
    <w:p w14:paraId="063B8877" w14:textId="77777777" w:rsidR="005E2065" w:rsidRDefault="005E2065" w:rsidP="005E2065">
      <w:pPr>
        <w:pStyle w:val="A"/>
      </w:pPr>
      <w:r w:rsidRPr="0095532F">
        <w:t>B.</w:t>
      </w:r>
      <w:r w:rsidRPr="0095532F">
        <w:tab/>
        <w:t>All hearings conducted pursuant to this section shall be heard by a three person hearing panel appointed by the commissioner.</w:t>
      </w:r>
      <w:r>
        <w:t xml:space="preserve"> </w:t>
      </w:r>
      <w:r w:rsidRPr="0095532F">
        <w:t>The commissioner may appoint a hearing officer to conduct the hearing.</w:t>
      </w:r>
      <w:r>
        <w:t xml:space="preserve"> </w:t>
      </w:r>
    </w:p>
    <w:p w14:paraId="34EEF940" w14:textId="77777777" w:rsidR="005E2065" w:rsidRPr="0095532F" w:rsidRDefault="005E2065" w:rsidP="005E2065">
      <w:pPr>
        <w:pStyle w:val="A"/>
      </w:pPr>
      <w:r w:rsidRPr="0095532F">
        <w:t>C.</w:t>
      </w:r>
      <w:r w:rsidRPr="0095532F">
        <w:tab/>
        <w:t>At the conclusion of the administrative hearing, the hearing panel may recommend that the certified prescribed burn manager’s certificate be suspended or revoked.</w:t>
      </w:r>
      <w:r>
        <w:t xml:space="preserve"> </w:t>
      </w:r>
      <w:r w:rsidRPr="0095532F">
        <w:t>If the panel recommends the certificate be suspended or revoked, it may also recommend that the prescribed burn manager be eligible to have his certificate reinstated after a certain period of time.</w:t>
      </w:r>
      <w:r>
        <w:t xml:space="preserve"> </w:t>
      </w:r>
      <w:r w:rsidRPr="0095532F">
        <w:t>The hearing panel’s recommendation shall be submitted to the commissioner for his determination.</w:t>
      </w:r>
    </w:p>
    <w:p w14:paraId="4EDCD2AF" w14:textId="77777777" w:rsidR="00CF626A" w:rsidRDefault="005E2065" w:rsidP="005E2065">
      <w:pPr>
        <w:pStyle w:val="AuthorityNote"/>
      </w:pPr>
      <w:r w:rsidRPr="0095532F">
        <w:t>AUTHORITY NOTE:</w:t>
      </w:r>
      <w:r w:rsidRPr="0095532F">
        <w:tab/>
        <w:t>Promulgated in accordance with R.S. 3:17.</w:t>
      </w:r>
    </w:p>
    <w:p w14:paraId="088B5387" w14:textId="77777777" w:rsidR="005E2065" w:rsidRDefault="005E2065" w:rsidP="005E2065">
      <w:pPr>
        <w:pStyle w:val="HistoricalNote"/>
      </w:pPr>
      <w:r w:rsidRPr="001531CD">
        <w:t>HISTORICAL NOTE:</w:t>
      </w:r>
      <w:r w:rsidRPr="001531CD">
        <w:tab/>
        <w:t xml:space="preserve">Promulgated by the Department of Agriculture and Forestry, Office of </w:t>
      </w:r>
      <w:r>
        <w:t>Forestry, LR 21:670 (July 1995), amended LR 41:1480 (August 2015).</w:t>
      </w:r>
    </w:p>
    <w:p w14:paraId="64100E40" w14:textId="77777777" w:rsidR="005933FB" w:rsidRDefault="005933FB" w:rsidP="005933FB">
      <w:pPr>
        <w:pStyle w:val="Section"/>
      </w:pPr>
      <w:bookmarkStart w:id="3295" w:name="_Hlk176515954"/>
      <w:bookmarkStart w:id="3296" w:name="_Toc224819600"/>
      <w:r w:rsidRPr="00F617CD">
        <w:t>§915.</w:t>
      </w:r>
      <w:bookmarkEnd w:id="3295"/>
      <w:r w:rsidRPr="00F617CD">
        <w:tab/>
        <w:t>Prescribed Burning by Non-Certified Prescribed Burn Managers</w:t>
      </w:r>
      <w:bookmarkEnd w:id="3296"/>
    </w:p>
    <w:p w14:paraId="56FF8D88" w14:textId="77777777" w:rsidR="005933FB" w:rsidRDefault="005933FB" w:rsidP="005933FB">
      <w:pPr>
        <w:pStyle w:val="A"/>
      </w:pPr>
      <w:r w:rsidRPr="00F617CD">
        <w:t>A.</w:t>
      </w:r>
      <w:r w:rsidRPr="00F617CD">
        <w:tab/>
        <w:t>Prior to conducting a prescribed burn, non-certified prescribed burn managers shall provide the Department of Agriculture and Forestry, Office of Forestry, the location, date, and time of the prescribed burn.</w:t>
      </w:r>
    </w:p>
    <w:p w14:paraId="24E583E8" w14:textId="77777777" w:rsidR="005933FB" w:rsidRDefault="005933FB" w:rsidP="005933FB">
      <w:pPr>
        <w:pStyle w:val="A"/>
      </w:pPr>
      <w:r w:rsidRPr="00F617CD">
        <w:t>B.</w:t>
      </w:r>
      <w:r w:rsidRPr="00F617CD">
        <w:tab/>
        <w:t>The Department of Agriculture and Forestry will receive and review the information provided and may accept the notification if the non-certified prescribed burn manager agrees to follow the relevant smoke management guidelines (see §</w:t>
      </w:r>
      <w:r>
        <w:t xml:space="preserve">911. </w:t>
      </w:r>
      <w:r w:rsidRPr="00F617CD">
        <w:t>Smoke Management Guidelines of this Chapter).</w:t>
      </w:r>
    </w:p>
    <w:p w14:paraId="14022B88" w14:textId="77777777" w:rsidR="005933FB" w:rsidRDefault="005933FB" w:rsidP="005933FB">
      <w:pPr>
        <w:pStyle w:val="A"/>
      </w:pPr>
      <w:r w:rsidRPr="00F617CD">
        <w:t>C.</w:t>
      </w:r>
      <w:r w:rsidRPr="00F617CD">
        <w:tab/>
        <w:t>Notice shall be provided 24-72 hours in advance. Notification may be made through either the designated phone number, or the submission form on the department’s website.</w:t>
      </w:r>
    </w:p>
    <w:p w14:paraId="324CC87D" w14:textId="77777777" w:rsidR="005933FB" w:rsidRDefault="005933FB" w:rsidP="005933FB">
      <w:pPr>
        <w:pStyle w:val="A"/>
      </w:pPr>
      <w:r w:rsidRPr="00F617CD">
        <w:t>D.</w:t>
      </w:r>
      <w:r w:rsidRPr="00F617CD">
        <w:tab/>
        <w:t>The designated phone number for receiving calls regarding prescribed burning by non-certified burn managers is 1-855-452-5323.</w:t>
      </w:r>
    </w:p>
    <w:p w14:paraId="46B43335" w14:textId="77777777" w:rsidR="005933FB" w:rsidRDefault="005933FB" w:rsidP="005933FB">
      <w:pPr>
        <w:pStyle w:val="A"/>
      </w:pPr>
      <w:r w:rsidRPr="00F617CD">
        <w:t>E.</w:t>
      </w:r>
      <w:r w:rsidRPr="00F617CD">
        <w:tab/>
        <w:t>The non-certified prescribed burn managers shall agree to follow the relevant smoke management guidelines on the department’s website for the prescribed burn notification to be accepted.</w:t>
      </w:r>
    </w:p>
    <w:p w14:paraId="0A1D6341" w14:textId="77777777" w:rsidR="005933FB" w:rsidRPr="00F617CD" w:rsidRDefault="005933FB" w:rsidP="005933FB">
      <w:pPr>
        <w:pStyle w:val="AuthorityNote"/>
      </w:pPr>
      <w:r w:rsidRPr="00F617CD">
        <w:t>AUTHORITY NOTE:</w:t>
      </w:r>
      <w:r w:rsidRPr="00F617CD">
        <w:tab/>
        <w:t>Promulgated in accordance with R.S. 3:17.</w:t>
      </w:r>
    </w:p>
    <w:p w14:paraId="247576C7" w14:textId="77777777" w:rsidR="005933FB" w:rsidRDefault="005933FB" w:rsidP="005933FB">
      <w:pPr>
        <w:pStyle w:val="HistoricalNote"/>
      </w:pPr>
      <w:r w:rsidRPr="00F617CD">
        <w:t>HISTORICAL NOTE:</w:t>
      </w:r>
      <w:r w:rsidRPr="00F617CD">
        <w:tab/>
        <w:t>Promulgated by the Department of Agriculture and Fo</w:t>
      </w:r>
      <w:r>
        <w:t>restry, Office of Forestry, LR:</w:t>
      </w:r>
      <w:r w:rsidRPr="00F617CD">
        <w:t>50:</w:t>
      </w:r>
      <w:r>
        <w:t>1812 (December 2024).</w:t>
      </w:r>
    </w:p>
    <w:p w14:paraId="495A72AE" w14:textId="77777777" w:rsidR="005933FB" w:rsidRDefault="005933FB" w:rsidP="005933FB">
      <w:pPr>
        <w:pStyle w:val="Section"/>
      </w:pPr>
      <w:bookmarkStart w:id="3297" w:name="_Toc224819601"/>
      <w:r w:rsidRPr="00F617CD">
        <w:t>§917.</w:t>
      </w:r>
      <w:r w:rsidRPr="00F617CD">
        <w:tab/>
        <w:t>Civil Penalties</w:t>
      </w:r>
      <w:bookmarkEnd w:id="3297"/>
    </w:p>
    <w:p w14:paraId="2DEE5481" w14:textId="77777777" w:rsidR="005933FB" w:rsidRDefault="005933FB" w:rsidP="005933FB">
      <w:pPr>
        <w:pStyle w:val="A"/>
      </w:pPr>
      <w:r w:rsidRPr="00F617CD">
        <w:t>A.</w:t>
      </w:r>
      <w:r w:rsidRPr="00F617CD">
        <w:tab/>
        <w:t>Any person who violates this regulation may be sub</w:t>
      </w:r>
      <w:r>
        <w:t>ject to a civil penalty up to $250</w:t>
      </w:r>
      <w:r w:rsidRPr="00F617CD">
        <w:t xml:space="preserve"> for the first offense</w:t>
      </w:r>
      <w:r>
        <w:t>, and up to $500</w:t>
      </w:r>
      <w:r w:rsidRPr="00F617CD">
        <w:t xml:space="preserve"> for any secondary offenses. Civil penalties will be assessed by a ruling of the commissioner of Agriculture and Forestry in an adjudicatory hearing held in accordance with the Administrative Procedure Act.</w:t>
      </w:r>
    </w:p>
    <w:p w14:paraId="2B2CA3CB" w14:textId="77777777" w:rsidR="005933FB" w:rsidRPr="00F617CD" w:rsidRDefault="005933FB" w:rsidP="005933FB">
      <w:pPr>
        <w:pStyle w:val="AuthorityNote"/>
      </w:pPr>
      <w:r w:rsidRPr="00F617CD">
        <w:t>AUTHORITY NOTE:</w:t>
      </w:r>
      <w:r w:rsidRPr="00F617CD">
        <w:tab/>
        <w:t>Promulgated in accordance with R.S. 3:17.</w:t>
      </w:r>
    </w:p>
    <w:p w14:paraId="6A946ECC" w14:textId="77777777" w:rsidR="005933FB" w:rsidRDefault="005933FB" w:rsidP="005933FB">
      <w:pPr>
        <w:pStyle w:val="HistoricalNote"/>
      </w:pPr>
      <w:r w:rsidRPr="00F617CD">
        <w:t>HISTORICAL NOTE:</w:t>
      </w:r>
      <w:r w:rsidRPr="00F617CD">
        <w:tab/>
        <w:t>Promulgated by the Department of Agriculture and F</w:t>
      </w:r>
      <w:r>
        <w:t>orestry, Office of Forestry, LR</w:t>
      </w:r>
      <w:r w:rsidRPr="00F617CD">
        <w:t xml:space="preserve"> 50:</w:t>
      </w:r>
      <w:r>
        <w:t>1812 (December 2024)</w:t>
      </w:r>
    </w:p>
    <w:p w14:paraId="5B6B6FF5" w14:textId="77777777" w:rsidR="005933FB" w:rsidRDefault="005933FB" w:rsidP="005933FB">
      <w:pPr>
        <w:pStyle w:val="Section"/>
      </w:pPr>
      <w:bookmarkStart w:id="3298" w:name="_Toc224819602"/>
      <w:r w:rsidRPr="00F617CD">
        <w:t>§919.</w:t>
      </w:r>
      <w:r w:rsidRPr="00F617CD">
        <w:tab/>
        <w:t>Burning of Leaf Piles, Yard Debris, or Hand-Piled Natural Vegetation</w:t>
      </w:r>
      <w:bookmarkEnd w:id="3298"/>
    </w:p>
    <w:p w14:paraId="43B300C4" w14:textId="77777777" w:rsidR="005933FB" w:rsidRDefault="005933FB" w:rsidP="005933FB">
      <w:pPr>
        <w:pStyle w:val="A"/>
      </w:pPr>
      <w:r w:rsidRPr="00F617CD">
        <w:t>A.</w:t>
      </w:r>
      <w:r w:rsidRPr="00F617CD">
        <w:tab/>
        <w:t>The provisions of this Section shall not apply to the burning of leaf piles, yard debris, or hand-piled natural vegetation.</w:t>
      </w:r>
    </w:p>
    <w:p w14:paraId="45313539" w14:textId="77777777" w:rsidR="005933FB" w:rsidRPr="00F617CD" w:rsidRDefault="005933FB" w:rsidP="005933FB">
      <w:pPr>
        <w:pStyle w:val="AuthorityNote"/>
      </w:pPr>
      <w:r w:rsidRPr="00F617CD">
        <w:t>AUTHORITY NOTE:</w:t>
      </w:r>
      <w:r w:rsidRPr="00F617CD">
        <w:tab/>
        <w:t>Promulgated in accordance with R.S. 3:17.</w:t>
      </w:r>
    </w:p>
    <w:p w14:paraId="0BD39344" w14:textId="77777777" w:rsidR="005933FB" w:rsidRPr="00F617CD" w:rsidRDefault="005933FB" w:rsidP="005933FB">
      <w:pPr>
        <w:pStyle w:val="HistoricalNote"/>
      </w:pPr>
      <w:r w:rsidRPr="00F617CD">
        <w:t>HISTORICAL NOTE:</w:t>
      </w:r>
      <w:r w:rsidRPr="00F617CD">
        <w:tab/>
        <w:t>Promulgated by the Department of Agriculture and F</w:t>
      </w:r>
      <w:r>
        <w:t>orestry, Office of Forestry, LR</w:t>
      </w:r>
      <w:r w:rsidRPr="00F617CD">
        <w:t xml:space="preserve"> 50:</w:t>
      </w:r>
      <w:r>
        <w:t>1812 (December 2024).</w:t>
      </w:r>
    </w:p>
    <w:p w14:paraId="4EC55D16" w14:textId="77777777" w:rsidR="00CF626A" w:rsidRPr="001531CD" w:rsidRDefault="00CF626A">
      <w:pPr>
        <w:pStyle w:val="Chapter"/>
      </w:pPr>
      <w:bookmarkStart w:id="3299" w:name="TOC_Chap280"/>
      <w:bookmarkStart w:id="3300" w:name="_Toc256755185"/>
      <w:bookmarkStart w:id="3301" w:name="_Toc224819603"/>
      <w:r w:rsidRPr="001531CD">
        <w:t>Chapter 10.</w:t>
      </w:r>
      <w:bookmarkEnd w:id="3299"/>
      <w:r w:rsidR="00D07DF2">
        <w:tab/>
      </w:r>
      <w:bookmarkStart w:id="3302" w:name="TOCT_Chap210"/>
      <w:bookmarkStart w:id="3303" w:name="TOCT_Chap268"/>
      <w:bookmarkStart w:id="3304" w:name="TOCT_Chap280"/>
      <w:r w:rsidRPr="001531CD">
        <w:t>Reforestation of Public Lands</w:t>
      </w:r>
      <w:bookmarkEnd w:id="3300"/>
      <w:bookmarkEnd w:id="3301"/>
      <w:bookmarkEnd w:id="3302"/>
      <w:bookmarkEnd w:id="3303"/>
      <w:bookmarkEnd w:id="3304"/>
    </w:p>
    <w:p w14:paraId="0490F67A" w14:textId="77777777" w:rsidR="00CF626A" w:rsidRPr="001531CD" w:rsidRDefault="00CF626A">
      <w:pPr>
        <w:pStyle w:val="Section"/>
      </w:pPr>
      <w:bookmarkStart w:id="3305" w:name="_Toc256755186"/>
      <w:bookmarkStart w:id="3306" w:name="_Toc224819604"/>
      <w:r w:rsidRPr="001531CD">
        <w:t>§1001.</w:t>
      </w:r>
      <w:r w:rsidRPr="001531CD">
        <w:tab/>
        <w:t>Scope; Agencies Involved</w:t>
      </w:r>
      <w:bookmarkEnd w:id="3305"/>
      <w:bookmarkEnd w:id="3306"/>
    </w:p>
    <w:p w14:paraId="484C65DC" w14:textId="77777777" w:rsidR="00CF626A" w:rsidRPr="001531CD" w:rsidRDefault="006D2DAF">
      <w:pPr>
        <w:pStyle w:val="A"/>
      </w:pPr>
      <w:r w:rsidRPr="00303774">
        <w:t>A.</w:t>
      </w:r>
      <w:r w:rsidRPr="00303774">
        <w:tab/>
        <w:t>Any state agency, department, board or commission, desiring to cut down or remove any tree or trees 10" diameter-breast-height or larger must first submit a request for approval to the Louisiana Department of Agriculture and Forestry, Office of Forestry, Box 1628, Baton Rouge, LA 70821-1628, addressed to the attention of the state forester.</w:t>
      </w:r>
    </w:p>
    <w:p w14:paraId="35EC83F6" w14:textId="77777777" w:rsidR="00CF626A" w:rsidRPr="001531CD" w:rsidRDefault="00CF626A">
      <w:pPr>
        <w:pStyle w:val="A"/>
      </w:pPr>
      <w:r w:rsidRPr="001531CD">
        <w:t>B.</w:t>
      </w:r>
      <w:r w:rsidRPr="001531CD">
        <w:tab/>
        <w:t>The request for approval must include information about what trees are to be cut down, their location, size and species. A site plan or diagram such that trees can be located by an inspector is required and also the intent or reason for the removal of the tree or trees.</w:t>
      </w:r>
    </w:p>
    <w:p w14:paraId="4D8F4271" w14:textId="77777777" w:rsidR="00CF626A" w:rsidRPr="001531CD" w:rsidRDefault="006D2DAF">
      <w:pPr>
        <w:pStyle w:val="AuthorityNote"/>
      </w:pPr>
      <w:r w:rsidRPr="00303774">
        <w:t>AUTHORITY NOTE:</w:t>
      </w:r>
      <w:r w:rsidRPr="00303774">
        <w:tab/>
        <w:t>Promulgated in accordance with R.S. 3:4271.</w:t>
      </w:r>
    </w:p>
    <w:p w14:paraId="0BF4CD3C" w14:textId="77777777" w:rsidR="00CF626A" w:rsidRPr="001531CD" w:rsidRDefault="00CF626A">
      <w:pPr>
        <w:pStyle w:val="HistoricalNote"/>
      </w:pPr>
      <w:r w:rsidRPr="001531CD">
        <w:t>HISTORICAL NOTE:</w:t>
      </w:r>
      <w:r w:rsidRPr="001531CD">
        <w:tab/>
        <w:t xml:space="preserve">Promulgated by the Department of Agriculture and Forestry, Office of </w:t>
      </w:r>
      <w:r w:rsidR="006D2DAF">
        <w:t xml:space="preserve">Forestry, LR 18:597 (June 1992), amended </w:t>
      </w:r>
      <w:r w:rsidR="006D2DAF" w:rsidRPr="00303774">
        <w:t xml:space="preserve">LR </w:t>
      </w:r>
      <w:r w:rsidR="006D2DAF">
        <w:t>41:2102 (October 2015).</w:t>
      </w:r>
    </w:p>
    <w:p w14:paraId="497224A7" w14:textId="77777777" w:rsidR="00CF626A" w:rsidRPr="001531CD" w:rsidRDefault="00CF626A">
      <w:pPr>
        <w:pStyle w:val="Section"/>
      </w:pPr>
      <w:bookmarkStart w:id="3307" w:name="_Toc256755187"/>
      <w:bookmarkStart w:id="3308" w:name="_Toc224819605"/>
      <w:r w:rsidRPr="001531CD">
        <w:t>§1003.</w:t>
      </w:r>
      <w:r w:rsidRPr="001531CD">
        <w:tab/>
        <w:t>Response to Agency Reports</w:t>
      </w:r>
      <w:bookmarkEnd w:id="3307"/>
      <w:bookmarkEnd w:id="3308"/>
    </w:p>
    <w:p w14:paraId="3AF4FACD" w14:textId="77777777" w:rsidR="00CF626A" w:rsidRPr="001531CD" w:rsidRDefault="00CF626A">
      <w:pPr>
        <w:pStyle w:val="A"/>
      </w:pPr>
      <w:r w:rsidRPr="001531CD">
        <w:t>A.</w:t>
      </w:r>
      <w:r w:rsidRPr="001531CD">
        <w:tab/>
        <w:t>The Louisiana Department of Agriculture and Forestry has 30 days in which to respond in writing to the written request. If no response is heard within 30 days, approval is automatically granted.</w:t>
      </w:r>
    </w:p>
    <w:p w14:paraId="63466608" w14:textId="77777777" w:rsidR="00CF626A" w:rsidRPr="001531CD" w:rsidRDefault="00CF626A">
      <w:pPr>
        <w:pStyle w:val="AuthorityNote"/>
      </w:pPr>
      <w:r w:rsidRPr="001531CD">
        <w:lastRenderedPageBreak/>
        <w:t>AUTHORITY NOTE:</w:t>
      </w:r>
      <w:r w:rsidRPr="001531CD">
        <w:tab/>
        <w:t>Promulgated in accordance with R.S. 3:4271.</w:t>
      </w:r>
    </w:p>
    <w:p w14:paraId="1EC53FC3"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102BE32D" w14:textId="77777777" w:rsidR="00CF626A" w:rsidRPr="001531CD" w:rsidRDefault="00CF626A">
      <w:pPr>
        <w:pStyle w:val="Section"/>
      </w:pPr>
      <w:bookmarkStart w:id="3309" w:name="_Toc256755188"/>
      <w:bookmarkStart w:id="3310" w:name="_Toc224819606"/>
      <w:r w:rsidRPr="001531CD">
        <w:t>§1005.</w:t>
      </w:r>
      <w:r w:rsidRPr="001531CD">
        <w:tab/>
        <w:t>Site Inspections</w:t>
      </w:r>
      <w:bookmarkEnd w:id="3309"/>
      <w:bookmarkEnd w:id="3310"/>
    </w:p>
    <w:p w14:paraId="7EB6E5D3" w14:textId="77777777" w:rsidR="00CF626A" w:rsidRPr="001531CD" w:rsidRDefault="00CF626A">
      <w:pPr>
        <w:pStyle w:val="A"/>
      </w:pPr>
      <w:r w:rsidRPr="001531CD">
        <w:t>A.</w:t>
      </w:r>
      <w:r w:rsidRPr="001531CD">
        <w:tab/>
        <w:t>The Louisiana Department of Agriculture and Forestry can inspect the site and make written recommendations to include alternatives to removing the trees, species, location and numbers of replacement trees and recommendations concerning planting and after care of planted trees. These recommendations will be adhered to unless determined to be physically impossible.</w:t>
      </w:r>
    </w:p>
    <w:p w14:paraId="499BBD7F" w14:textId="77777777" w:rsidR="00CF626A" w:rsidRPr="001531CD" w:rsidRDefault="00CF626A">
      <w:pPr>
        <w:pStyle w:val="AuthorityNote"/>
      </w:pPr>
      <w:r w:rsidRPr="001531CD">
        <w:t>AUTHORITY NOTE:</w:t>
      </w:r>
      <w:r w:rsidRPr="001531CD">
        <w:tab/>
        <w:t>Promulgated in accordance with R.S. 3:4271.</w:t>
      </w:r>
    </w:p>
    <w:p w14:paraId="76C19610"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7BA6D759" w14:textId="77777777" w:rsidR="00CF626A" w:rsidRPr="001531CD" w:rsidRDefault="00CF626A">
      <w:pPr>
        <w:pStyle w:val="Section"/>
      </w:pPr>
      <w:bookmarkStart w:id="3311" w:name="_Toc256755189"/>
      <w:bookmarkStart w:id="3312" w:name="_Toc224819607"/>
      <w:r w:rsidRPr="001531CD">
        <w:t>§1007.</w:t>
      </w:r>
      <w:r w:rsidRPr="001531CD">
        <w:tab/>
        <w:t>Appeals</w:t>
      </w:r>
      <w:bookmarkEnd w:id="3311"/>
      <w:bookmarkEnd w:id="3312"/>
    </w:p>
    <w:p w14:paraId="4AA07521" w14:textId="77777777" w:rsidR="00CF626A" w:rsidRPr="001531CD" w:rsidRDefault="00CF626A">
      <w:pPr>
        <w:pStyle w:val="A"/>
      </w:pPr>
      <w:r w:rsidRPr="001531CD">
        <w:t>A.</w:t>
      </w:r>
      <w:r w:rsidRPr="001531CD">
        <w:tab/>
        <w:t>An appeal process is available, if the state agency, department, board or commission for some reason cannot comply with the recommendations of the Louisiana Department of Agriculture and Forestry, then a representative can appeal to the state forester or commissioner of the Department of Agriculture and Forestry for reconsideration. This must be done within 30 days of the written recommendations. The state forester or commissioner of the Louisiana Department of Agriculture and Forestry shall have the power to waive any or all planting requirements.</w:t>
      </w:r>
    </w:p>
    <w:p w14:paraId="08BA6050" w14:textId="77777777" w:rsidR="00CF626A" w:rsidRPr="001531CD" w:rsidRDefault="00CF626A">
      <w:pPr>
        <w:pStyle w:val="AuthorityNote"/>
      </w:pPr>
      <w:r w:rsidRPr="001531CD">
        <w:t>AUTHORITY NOTE:</w:t>
      </w:r>
      <w:r w:rsidRPr="001531CD">
        <w:tab/>
        <w:t>Promulgated in accordance with R.S. 3:4271.</w:t>
      </w:r>
    </w:p>
    <w:p w14:paraId="710D910F"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3082EEE7" w14:textId="77777777" w:rsidR="00CF626A" w:rsidRPr="001531CD" w:rsidRDefault="00CF626A">
      <w:pPr>
        <w:pStyle w:val="Section"/>
      </w:pPr>
      <w:bookmarkStart w:id="3313" w:name="_Toc256755190"/>
      <w:bookmarkStart w:id="3314" w:name="_Toc224819608"/>
      <w:r w:rsidRPr="001531CD">
        <w:t>§1009.</w:t>
      </w:r>
      <w:r w:rsidRPr="001531CD">
        <w:tab/>
        <w:t>Tree Planting; Survival Inspections</w:t>
      </w:r>
      <w:bookmarkEnd w:id="3313"/>
      <w:bookmarkEnd w:id="3314"/>
    </w:p>
    <w:p w14:paraId="2A13D089" w14:textId="77777777" w:rsidR="00CF626A" w:rsidRPr="001531CD" w:rsidRDefault="00CF626A">
      <w:pPr>
        <w:pStyle w:val="A"/>
      </w:pPr>
      <w:r w:rsidRPr="001531CD">
        <w:t>A.</w:t>
      </w:r>
      <w:r w:rsidRPr="001531CD">
        <w:tab/>
        <w:t>Required tree planting shall be completed during the next planting season after the removal of the trees. The Louisiana Department of Agriculture and Forestry can check tree planting survival up to three years after planting and require replacement of any losses.</w:t>
      </w:r>
    </w:p>
    <w:p w14:paraId="5533EF96" w14:textId="77777777" w:rsidR="00CF626A" w:rsidRPr="001531CD" w:rsidRDefault="00CF626A">
      <w:pPr>
        <w:pStyle w:val="AuthorityNote"/>
      </w:pPr>
      <w:r w:rsidRPr="001531CD">
        <w:t>AUTHORITY NOTE:</w:t>
      </w:r>
      <w:r w:rsidRPr="001531CD">
        <w:tab/>
        <w:t>Promulgated in accordance with R.S. 3:4271.</w:t>
      </w:r>
    </w:p>
    <w:p w14:paraId="447B22D6"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42F4414F" w14:textId="77777777" w:rsidR="00CF626A" w:rsidRPr="001531CD" w:rsidRDefault="00CF626A">
      <w:pPr>
        <w:pStyle w:val="Section"/>
      </w:pPr>
      <w:bookmarkStart w:id="3315" w:name="_Toc256755191"/>
      <w:bookmarkStart w:id="3316" w:name="_Toc224819609"/>
      <w:r w:rsidRPr="001531CD">
        <w:t>§1011.</w:t>
      </w:r>
      <w:r w:rsidRPr="001531CD">
        <w:tab/>
        <w:t>Size Requirements</w:t>
      </w:r>
      <w:bookmarkEnd w:id="3315"/>
      <w:bookmarkEnd w:id="3316"/>
    </w:p>
    <w:p w14:paraId="2F7A5E2C" w14:textId="77777777" w:rsidR="00CF626A" w:rsidRPr="001531CD" w:rsidRDefault="00CF626A">
      <w:pPr>
        <w:pStyle w:val="A"/>
      </w:pPr>
      <w:r w:rsidRPr="001531CD">
        <w:t>A.</w:t>
      </w:r>
      <w:r w:rsidRPr="001531CD">
        <w:tab/>
        <w:t xml:space="preserve">On developed sites around buildings and along highway rights-of-way, a minimum tree size for planting is </w:t>
      </w:r>
      <w:r w:rsidRPr="001531CD">
        <w:br/>
        <w:t>1 inch caliper and 5 feet tall. The Louisiana Department of Agriculture and Forestry can require larger planting stock when deemed necessary for adequate survival. Seedlings may be allowed in certain areas where survival is not considered a problem.</w:t>
      </w:r>
    </w:p>
    <w:p w14:paraId="047B9C19" w14:textId="77777777" w:rsidR="00CF626A" w:rsidRPr="001531CD" w:rsidRDefault="00CF626A">
      <w:pPr>
        <w:pStyle w:val="AuthorityNote"/>
      </w:pPr>
      <w:r w:rsidRPr="001531CD">
        <w:t>AUTHORITY NOTE:</w:t>
      </w:r>
      <w:r w:rsidRPr="001531CD">
        <w:tab/>
        <w:t>Promulgated in accordance with R.S. 3:4271.</w:t>
      </w:r>
    </w:p>
    <w:p w14:paraId="152023F5"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0D101C50" w14:textId="77777777" w:rsidR="00CF626A" w:rsidRPr="001531CD" w:rsidRDefault="00CF626A">
      <w:pPr>
        <w:pStyle w:val="Section"/>
      </w:pPr>
      <w:bookmarkStart w:id="3317" w:name="_Toc256755192"/>
      <w:bookmarkStart w:id="3318" w:name="_Toc224819610"/>
      <w:r w:rsidRPr="001531CD">
        <w:t>§1013.</w:t>
      </w:r>
      <w:r w:rsidRPr="001531CD">
        <w:tab/>
        <w:t>Landscape Architects</w:t>
      </w:r>
      <w:bookmarkEnd w:id="3317"/>
      <w:bookmarkEnd w:id="3318"/>
    </w:p>
    <w:p w14:paraId="3E1AE648" w14:textId="77777777" w:rsidR="00CF626A" w:rsidRPr="001531CD" w:rsidRDefault="00CF626A">
      <w:pPr>
        <w:pStyle w:val="A"/>
      </w:pPr>
      <w:r w:rsidRPr="001531CD">
        <w:t>A.</w:t>
      </w:r>
      <w:r w:rsidRPr="001531CD">
        <w:tab/>
        <w:t xml:space="preserve">The Louisiana Department of Agriculture and Forestry may require the use of a landscape architect in certain projects </w:t>
      </w:r>
      <w:r w:rsidRPr="001531CD">
        <w:t>where their services are deemed necessary to ensure adequate attention to sensitive design considerations.</w:t>
      </w:r>
    </w:p>
    <w:p w14:paraId="29011AFE" w14:textId="77777777" w:rsidR="00CF626A" w:rsidRPr="001531CD" w:rsidRDefault="00CF626A">
      <w:pPr>
        <w:pStyle w:val="AuthorityNote"/>
      </w:pPr>
      <w:r w:rsidRPr="001531CD">
        <w:t>AUTHORITY NOTE:</w:t>
      </w:r>
      <w:r w:rsidRPr="001531CD">
        <w:tab/>
        <w:t>Promulgated in accordance with R.S. 3:4271.</w:t>
      </w:r>
    </w:p>
    <w:p w14:paraId="2A755D03"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737E14A7" w14:textId="77777777" w:rsidR="00CF626A" w:rsidRPr="001531CD" w:rsidRDefault="00CF626A">
      <w:pPr>
        <w:pStyle w:val="Section"/>
      </w:pPr>
      <w:bookmarkStart w:id="3319" w:name="_Toc256755193"/>
      <w:bookmarkStart w:id="3320" w:name="_Toc224819611"/>
      <w:r w:rsidRPr="001531CD">
        <w:t>§1015.</w:t>
      </w:r>
      <w:r w:rsidRPr="001531CD">
        <w:tab/>
        <w:t>Timber Harvesting</w:t>
      </w:r>
      <w:bookmarkEnd w:id="3319"/>
      <w:bookmarkEnd w:id="3320"/>
    </w:p>
    <w:p w14:paraId="46EB3F55" w14:textId="77777777" w:rsidR="00CF626A" w:rsidRPr="001531CD" w:rsidRDefault="00CF626A">
      <w:pPr>
        <w:pStyle w:val="A"/>
      </w:pPr>
      <w:r w:rsidRPr="001531CD">
        <w:t>A.</w:t>
      </w:r>
      <w:r w:rsidRPr="001531CD">
        <w:tab/>
        <w:t>Any agency or department owning or controlling commercial forest land and desirous to harvest timber from this land is required by Act 211, 1987 Regular Legislative Session, to contact the Office of Forestry for assistance in developing a forest management plan for the acreage. Reforestation measures will be required as appropriate and this forest management plan will satisfy the requirements of Act 176.</w:t>
      </w:r>
    </w:p>
    <w:p w14:paraId="49E972AD" w14:textId="77777777" w:rsidR="00CF626A" w:rsidRPr="001531CD" w:rsidRDefault="00CF626A">
      <w:pPr>
        <w:pStyle w:val="AuthorityNote"/>
      </w:pPr>
      <w:r w:rsidRPr="001531CD">
        <w:t>AUTHORITY NOTE:</w:t>
      </w:r>
      <w:r w:rsidRPr="001531CD">
        <w:tab/>
        <w:t>Promulgated in accordance with R.S. 3:4271.</w:t>
      </w:r>
    </w:p>
    <w:p w14:paraId="1BE125AD"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276F149F" w14:textId="77777777" w:rsidR="00CF626A" w:rsidRPr="001531CD" w:rsidRDefault="00CF626A">
      <w:pPr>
        <w:pStyle w:val="Section"/>
      </w:pPr>
      <w:bookmarkStart w:id="3321" w:name="_Toc256755194"/>
      <w:bookmarkStart w:id="3322" w:name="_Toc224819612"/>
      <w:r w:rsidRPr="001531CD">
        <w:t>§1017.</w:t>
      </w:r>
      <w:r w:rsidRPr="001531CD">
        <w:tab/>
        <w:t>Developing Wooded Property</w:t>
      </w:r>
      <w:bookmarkEnd w:id="3321"/>
      <w:bookmarkEnd w:id="3322"/>
    </w:p>
    <w:p w14:paraId="6B76E922" w14:textId="77777777" w:rsidR="00CF626A" w:rsidRPr="001531CD" w:rsidRDefault="00CF626A">
      <w:pPr>
        <w:pStyle w:val="A"/>
      </w:pPr>
      <w:r w:rsidRPr="001531CD">
        <w:t>A.</w:t>
      </w:r>
      <w:r w:rsidRPr="001531CD">
        <w:tab/>
        <w:t>Any agency planning to develop a site that contains existing trees must include the intent of Act 176 in the planning process of the project before any clearing of existing trees takes place. Assistance can be obtained from the Office of Forestry personnel to: locate, identify, evaluate and inventory existing trees; to provide technical assistance to save as many existing trees as is appropriate as well as to assist in the selection and placement of replacement trees. Emphasis shall be put on selection of appropriate species, size and location of trees.</w:t>
      </w:r>
    </w:p>
    <w:p w14:paraId="4BDAA13B" w14:textId="77777777" w:rsidR="00CF626A" w:rsidRPr="001531CD" w:rsidRDefault="00CF626A">
      <w:pPr>
        <w:pStyle w:val="AuthorityNote"/>
      </w:pPr>
      <w:r w:rsidRPr="001531CD">
        <w:t>AUTHORITY NOTE:</w:t>
      </w:r>
      <w:r w:rsidRPr="001531CD">
        <w:tab/>
        <w:t>Promulgated in accordance with R.S. 3:4271.</w:t>
      </w:r>
    </w:p>
    <w:p w14:paraId="1D683338" w14:textId="77777777" w:rsidR="00CF626A" w:rsidRPr="001531CD" w:rsidRDefault="00CF626A">
      <w:pPr>
        <w:pStyle w:val="HistoricalNote"/>
      </w:pPr>
      <w:r w:rsidRPr="001531CD">
        <w:t>HISTORICAL NOTE:</w:t>
      </w:r>
      <w:r w:rsidRPr="001531CD">
        <w:tab/>
        <w:t>Promulgated by the Department of Agriculture and Forestry, Office of Forestry, LR 18:597 (June 1992).</w:t>
      </w:r>
    </w:p>
    <w:p w14:paraId="4181BC91" w14:textId="77777777" w:rsidR="00CF626A" w:rsidRPr="001531CD" w:rsidRDefault="00CF626A" w:rsidP="00F03863">
      <w:pPr>
        <w:pStyle w:val="Chapter"/>
        <w:outlineLvl w:val="0"/>
      </w:pPr>
      <w:bookmarkStart w:id="3323" w:name="TOC_Chap281"/>
      <w:bookmarkStart w:id="3324" w:name="_Toc256755195"/>
      <w:bookmarkStart w:id="3325" w:name="_Toc224819613"/>
      <w:r w:rsidRPr="001531CD">
        <w:t>Chapter 11.</w:t>
      </w:r>
      <w:bookmarkEnd w:id="3323"/>
      <w:r w:rsidR="00D07DF2">
        <w:tab/>
      </w:r>
      <w:bookmarkStart w:id="3326" w:name="TOCT_Chap269"/>
      <w:bookmarkStart w:id="3327" w:name="TOCT_Chap281"/>
      <w:r w:rsidRPr="001531CD">
        <w:t>Rural Fire Protection</w:t>
      </w:r>
      <w:bookmarkEnd w:id="3324"/>
      <w:bookmarkEnd w:id="3325"/>
      <w:bookmarkEnd w:id="3326"/>
      <w:bookmarkEnd w:id="3327"/>
    </w:p>
    <w:p w14:paraId="292BDC9F" w14:textId="77777777" w:rsidR="00CF626A" w:rsidRPr="001531CD" w:rsidRDefault="00CF626A">
      <w:pPr>
        <w:pStyle w:val="Section"/>
      </w:pPr>
      <w:bookmarkStart w:id="3328" w:name="_Toc256755196"/>
      <w:bookmarkStart w:id="3329" w:name="_Toc224819614"/>
      <w:r w:rsidRPr="001531CD">
        <w:t>§1101.</w:t>
      </w:r>
      <w:r w:rsidRPr="001531CD">
        <w:tab/>
        <w:t>State Excess Property Program</w:t>
      </w:r>
      <w:bookmarkEnd w:id="3328"/>
      <w:bookmarkEnd w:id="3329"/>
    </w:p>
    <w:p w14:paraId="12BB805A" w14:textId="77777777" w:rsidR="00CF626A" w:rsidRPr="001531CD" w:rsidRDefault="00CF626A">
      <w:pPr>
        <w:pStyle w:val="A"/>
      </w:pPr>
      <w:r w:rsidRPr="001531CD">
        <w:t>A.</w:t>
      </w:r>
      <w:r w:rsidRPr="001531CD">
        <w:tab/>
        <w:t>The Department of Agriculture and Forestry, through the Office of Forestry, shall use the following procedures for the assignment of state surplus property to local governments or duly organized and officially recognized fire organizations to be utilized in suppressing or providing protection from fires in rural areas.</w:t>
      </w:r>
    </w:p>
    <w:p w14:paraId="3E37C633" w14:textId="77777777" w:rsidR="00CF626A" w:rsidRPr="001531CD" w:rsidRDefault="00CF626A">
      <w:pPr>
        <w:pStyle w:val="1"/>
      </w:pPr>
      <w:r w:rsidRPr="001531CD">
        <w:t>1.</w:t>
      </w:r>
      <w:r w:rsidRPr="001531CD">
        <w:tab/>
        <w:t>This program shall be called the State Surplus Property Program (hereinafter "the program").</w:t>
      </w:r>
    </w:p>
    <w:p w14:paraId="7CBB73A2" w14:textId="77777777" w:rsidR="00CF626A" w:rsidRPr="001531CD" w:rsidRDefault="00CF626A">
      <w:pPr>
        <w:pStyle w:val="1"/>
      </w:pPr>
      <w:r w:rsidRPr="001531CD">
        <w:t>2.</w:t>
      </w:r>
      <w:r w:rsidRPr="001531CD">
        <w:tab/>
        <w:t>The state forester, or his designee, shall be the "program coordinator" and responsible for coordinating with local governments or duly organized and officially recognized fire organizations for the assignment of state surplus property under the program.</w:t>
      </w:r>
    </w:p>
    <w:p w14:paraId="3E4FF747" w14:textId="77777777" w:rsidR="00CF626A" w:rsidRPr="001531CD" w:rsidRDefault="00CF626A">
      <w:pPr>
        <w:pStyle w:val="1"/>
      </w:pPr>
      <w:r w:rsidRPr="001531CD">
        <w:t>3.</w:t>
      </w:r>
      <w:r w:rsidRPr="001531CD">
        <w:tab/>
        <w:t xml:space="preserve">In order to be eligible to participate in the program, local governments or duly organized and officially recognized fire organizations must submit an application in writing to the program coordinator, Alexander State Forest, Box 298, Woodworth, LA 71485. The application must contain the name, address and phone number of the applicant and must </w:t>
      </w:r>
      <w:r w:rsidRPr="001531CD">
        <w:lastRenderedPageBreak/>
        <w:t>state in detail the specific equipment sought by the applicant. All applications will be date stamped as of the date received in the office of the program coordinator and will be checked to verify the applicant's eligibility to participate in the program.</w:t>
      </w:r>
    </w:p>
    <w:p w14:paraId="1CCE2826" w14:textId="77777777" w:rsidR="00CF626A" w:rsidRPr="001531CD" w:rsidRDefault="00CF626A">
      <w:pPr>
        <w:pStyle w:val="1"/>
      </w:pPr>
      <w:r w:rsidRPr="001531CD">
        <w:t>4.</w:t>
      </w:r>
      <w:r w:rsidRPr="001531CD">
        <w:tab/>
        <w:t>The department shall maintain a list of applicants which shall be divided into three categories of requested property:</w:t>
      </w:r>
    </w:p>
    <w:p w14:paraId="2BE70CFA" w14:textId="77777777" w:rsidR="00CF626A" w:rsidRPr="001531CD" w:rsidRDefault="00CF626A">
      <w:pPr>
        <w:pStyle w:val="a0"/>
      </w:pPr>
      <w:r w:rsidRPr="001531CD">
        <w:t>a.</w:t>
      </w:r>
      <w:r w:rsidRPr="001531CD">
        <w:tab/>
        <w:t>vans and pickups up to 3/4 ton;</w:t>
      </w:r>
    </w:p>
    <w:p w14:paraId="59E99E1F" w14:textId="77777777" w:rsidR="00CF626A" w:rsidRPr="001531CD" w:rsidRDefault="00CF626A">
      <w:pPr>
        <w:pStyle w:val="a0"/>
      </w:pPr>
      <w:r w:rsidRPr="001531CD">
        <w:t>b.</w:t>
      </w:r>
      <w:r w:rsidRPr="001531CD">
        <w:tab/>
        <w:t>pickups 1 ton or larger and larger trucks; and</w:t>
      </w:r>
    </w:p>
    <w:p w14:paraId="7263FA27" w14:textId="77777777" w:rsidR="00CF626A" w:rsidRPr="001531CD" w:rsidRDefault="00CF626A">
      <w:pPr>
        <w:pStyle w:val="a0"/>
      </w:pPr>
      <w:r w:rsidRPr="001531CD">
        <w:t>c.</w:t>
      </w:r>
      <w:r w:rsidRPr="001531CD">
        <w:tab/>
        <w:t>all other types of equipment not included in Categories (Subparagraphs) a and b.</w:t>
      </w:r>
    </w:p>
    <w:p w14:paraId="0080A3C8" w14:textId="77777777" w:rsidR="00CF626A" w:rsidRPr="001531CD" w:rsidRDefault="00CF626A">
      <w:pPr>
        <w:pStyle w:val="1"/>
      </w:pPr>
      <w:r w:rsidRPr="001531CD">
        <w:t>5.</w:t>
      </w:r>
      <w:r w:rsidRPr="001531CD">
        <w:tab/>
        <w:t>Following receipt and verification of eligibility, the applicant's name and the date the application was received shall be placed on the list in the appropriate category or categories.</w:t>
      </w:r>
    </w:p>
    <w:p w14:paraId="6217DBA3" w14:textId="77777777" w:rsidR="00CF626A" w:rsidRPr="001531CD" w:rsidRDefault="00CF626A">
      <w:pPr>
        <w:pStyle w:val="1"/>
      </w:pPr>
      <w:r w:rsidRPr="001531CD">
        <w:t>6.</w:t>
      </w:r>
      <w:r w:rsidRPr="001531CD">
        <w:tab/>
        <w:t>As equipment becomes available, the program coordinator will assign the property to the applicants in the following manner:</w:t>
      </w:r>
    </w:p>
    <w:p w14:paraId="4851EDF5" w14:textId="77777777" w:rsidR="00CF626A" w:rsidRPr="001531CD" w:rsidRDefault="00CF626A">
      <w:pPr>
        <w:pStyle w:val="a0"/>
      </w:pPr>
      <w:r w:rsidRPr="001531CD">
        <w:t>a.</w:t>
      </w:r>
      <w:r w:rsidRPr="001531CD">
        <w:tab/>
        <w:t>first priority shall be given to newly formed departments;</w:t>
      </w:r>
    </w:p>
    <w:p w14:paraId="0A22AAF8" w14:textId="77777777" w:rsidR="00CF626A" w:rsidRPr="001531CD" w:rsidRDefault="00CF626A">
      <w:pPr>
        <w:pStyle w:val="a0"/>
      </w:pPr>
      <w:r w:rsidRPr="001531CD">
        <w:t>b.</w:t>
      </w:r>
      <w:r w:rsidRPr="001531CD">
        <w:tab/>
        <w:t>second priority shall be given to established departments that have not previously received property under the program;</w:t>
      </w:r>
    </w:p>
    <w:p w14:paraId="6F05B333" w14:textId="77777777" w:rsidR="00CF626A" w:rsidRPr="001531CD" w:rsidRDefault="00CF626A" w:rsidP="00285260">
      <w:pPr>
        <w:pStyle w:val="a0"/>
        <w:spacing w:after="80"/>
      </w:pPr>
      <w:r w:rsidRPr="001531CD">
        <w:t>c.</w:t>
      </w:r>
      <w:r w:rsidRPr="001531CD">
        <w:tab/>
        <w:t>third priority shall be given to established departments that have previously received property under the program;</w:t>
      </w:r>
    </w:p>
    <w:p w14:paraId="48B893D4" w14:textId="77777777" w:rsidR="00CF626A" w:rsidRPr="001531CD" w:rsidRDefault="00CF626A" w:rsidP="00285260">
      <w:pPr>
        <w:pStyle w:val="a0"/>
        <w:spacing w:after="80"/>
      </w:pPr>
      <w:r w:rsidRPr="001531CD">
        <w:t>d.</w:t>
      </w:r>
      <w:r w:rsidRPr="001531CD">
        <w:tab/>
        <w:t>should two or more applicants have equal priority under the order set forth above, the property shall be assigned based on the date the applications of those equal applicants was received by the program coordinator;</w:t>
      </w:r>
    </w:p>
    <w:p w14:paraId="6C0BFFDC" w14:textId="77777777" w:rsidR="00CF626A" w:rsidRPr="001531CD" w:rsidRDefault="00CF626A" w:rsidP="00285260">
      <w:pPr>
        <w:pStyle w:val="a0"/>
        <w:spacing w:after="80"/>
      </w:pPr>
      <w:r w:rsidRPr="001531CD">
        <w:t>e.</w:t>
      </w:r>
      <w:r w:rsidRPr="001531CD">
        <w:tab/>
        <w:t>should two or more applicants have equal priority under the order set forth above, the property shall be assigned to the applicant who can demonstrate to the program coordinator the greatest need for the property.</w:t>
      </w:r>
    </w:p>
    <w:p w14:paraId="23637E94" w14:textId="77777777" w:rsidR="00CF626A" w:rsidRPr="001531CD" w:rsidRDefault="00CF626A" w:rsidP="00285260">
      <w:pPr>
        <w:pStyle w:val="1"/>
        <w:spacing w:after="80"/>
      </w:pPr>
      <w:r w:rsidRPr="001531CD">
        <w:t>7.</w:t>
      </w:r>
      <w:r w:rsidRPr="001531CD">
        <w:tab/>
        <w:t>Applicants shall be removed from the list upon assignment of property, or two years from the date their application was received by the program coordinator. Applicants shall be entitled to a two-year extension of their original application, provided that the program coordinator receives a written request from the applicant 60 days prior to the expiration of the original application. Applications extended pursuant to this Section shall maintain the same priority as the original application.</w:t>
      </w:r>
    </w:p>
    <w:p w14:paraId="3AFBBDB8" w14:textId="77777777" w:rsidR="00CF626A" w:rsidRPr="001531CD" w:rsidRDefault="00CF626A">
      <w:pPr>
        <w:pStyle w:val="1"/>
      </w:pPr>
      <w:r w:rsidRPr="001531CD">
        <w:t>8.</w:t>
      </w:r>
      <w:r w:rsidRPr="001531CD">
        <w:tab/>
        <w:t>The assignment and the cooperative endeavor between the Office of Forestry and local governments or duly organized and officially recognized fire organizations shall be evidenced by a written agreement.</w:t>
      </w:r>
    </w:p>
    <w:p w14:paraId="66AA2065" w14:textId="77777777" w:rsidR="00CF626A" w:rsidRPr="001531CD" w:rsidRDefault="00CF626A">
      <w:pPr>
        <w:pStyle w:val="AuthorityNote"/>
      </w:pPr>
      <w:r w:rsidRPr="001531CD">
        <w:t>AUTHORITY NOTE:</w:t>
      </w:r>
      <w:r w:rsidRPr="001531CD">
        <w:tab/>
        <w:t>Promulgated in accordance with R.S. 3:2.</w:t>
      </w:r>
    </w:p>
    <w:p w14:paraId="27A9B9C1" w14:textId="77777777" w:rsidR="00CF626A" w:rsidRPr="001531CD" w:rsidRDefault="00CF626A">
      <w:pPr>
        <w:pStyle w:val="HistoricalNote"/>
      </w:pPr>
      <w:r w:rsidRPr="001531CD">
        <w:t>HISTORICAL NOTE:</w:t>
      </w:r>
      <w:r w:rsidRPr="001531CD">
        <w:tab/>
        <w:t>Promulgated by the Department of Agriculture and Forestry, Office of Forestry, LR 21:1328 (December 1995).</w:t>
      </w:r>
    </w:p>
    <w:p w14:paraId="3547ECA4" w14:textId="77777777" w:rsidR="00A00EDA" w:rsidRPr="001531CD" w:rsidRDefault="00A00EDA" w:rsidP="00A00EDA">
      <w:pPr>
        <w:pStyle w:val="Chapter"/>
      </w:pPr>
      <w:bookmarkStart w:id="3330" w:name="TOC_SubC282"/>
      <w:bookmarkStart w:id="3331" w:name="_Toc256755197"/>
      <w:bookmarkStart w:id="3332" w:name="_Toc224819615"/>
      <w:r w:rsidRPr="001531CD">
        <w:t>Subchapter B.</w:t>
      </w:r>
      <w:bookmarkEnd w:id="3330"/>
      <w:r w:rsidR="00D07DF2">
        <w:tab/>
      </w:r>
      <w:bookmarkStart w:id="3333" w:name="TOCT_SubC264"/>
      <w:bookmarkStart w:id="3334" w:name="TOCT_SubC272"/>
      <w:bookmarkStart w:id="3335" w:name="TOCT_SubC269"/>
      <w:bookmarkStart w:id="3336" w:name="TOCT_SubC268"/>
      <w:bookmarkStart w:id="3337" w:name="TOCT_SubC270"/>
      <w:bookmarkStart w:id="3338" w:name="TOCT_SubC282"/>
      <w:r w:rsidRPr="001531CD">
        <w:t>Parish Burn Ban Ordinances</w:t>
      </w:r>
      <w:bookmarkEnd w:id="3331"/>
      <w:bookmarkEnd w:id="3332"/>
      <w:bookmarkEnd w:id="3333"/>
      <w:bookmarkEnd w:id="3334"/>
      <w:bookmarkEnd w:id="3335"/>
      <w:bookmarkEnd w:id="3336"/>
      <w:bookmarkEnd w:id="3337"/>
      <w:bookmarkEnd w:id="3338"/>
    </w:p>
    <w:p w14:paraId="234E2D04" w14:textId="77777777" w:rsidR="00A00EDA" w:rsidRPr="001531CD" w:rsidRDefault="00A00EDA" w:rsidP="00A00EDA">
      <w:pPr>
        <w:pStyle w:val="Section"/>
      </w:pPr>
      <w:bookmarkStart w:id="3339" w:name="_Toc256755198"/>
      <w:bookmarkStart w:id="3340" w:name="_Toc224819616"/>
      <w:r w:rsidRPr="001531CD">
        <w:t>§1111.</w:t>
      </w:r>
      <w:r w:rsidRPr="001531CD">
        <w:tab/>
        <w:t>Purpose</w:t>
      </w:r>
      <w:bookmarkEnd w:id="3339"/>
      <w:bookmarkEnd w:id="3340"/>
    </w:p>
    <w:p w14:paraId="0921B957" w14:textId="77777777" w:rsidR="00A00EDA" w:rsidRPr="001531CD" w:rsidRDefault="00A00EDA" w:rsidP="00A00EDA">
      <w:pPr>
        <w:pStyle w:val="A"/>
      </w:pPr>
      <w:r w:rsidRPr="001531CD">
        <w:t>A.</w:t>
      </w:r>
      <w:r w:rsidRPr="001531CD">
        <w:tab/>
        <w:t>The Commissioner of Agriculture and Forestry adopts the following regulations for the purpose of implementing the provisions of R.S. 33:1236(31)(b)(iii) and R.S. 30:2057(B)(5)(c), relative to the regulation of burning of vegetable matter and flammable materials in certain parishes when the fire danger rating for the parish is high or is predicted to be high.</w:t>
      </w:r>
    </w:p>
    <w:p w14:paraId="6DCFEBA3" w14:textId="77777777" w:rsidR="00A00EDA" w:rsidRPr="001531CD" w:rsidRDefault="00A00EDA" w:rsidP="00A00EDA">
      <w:pPr>
        <w:pStyle w:val="AuthorityNote"/>
      </w:pPr>
      <w:r w:rsidRPr="001531CD">
        <w:t>AUTHORITY NOTE:</w:t>
      </w:r>
      <w:r w:rsidRPr="001531CD">
        <w:tab/>
        <w:t>Promulgated in accordance with R.S. 3:3; 30:2057(B)(5)(c) and 33:1236(31)(b)(iii).</w:t>
      </w:r>
    </w:p>
    <w:p w14:paraId="5C8FAC6C" w14:textId="77777777" w:rsidR="00A00EDA" w:rsidRPr="001531CD" w:rsidRDefault="00A00EDA" w:rsidP="00A00EDA">
      <w:pPr>
        <w:pStyle w:val="HistoricalNote"/>
      </w:pPr>
      <w:r w:rsidRPr="001531CD">
        <w:t>HISTORICAL NOTE:</w:t>
      </w:r>
      <w:r w:rsidRPr="001531CD">
        <w:tab/>
        <w:t>Promulgated by the Department of Agriculture and Forestry, Office of Forestry, LR 33:249 (February 2007).</w:t>
      </w:r>
    </w:p>
    <w:p w14:paraId="0ED68DC5" w14:textId="77777777" w:rsidR="00A00EDA" w:rsidRPr="001531CD" w:rsidRDefault="00A00EDA" w:rsidP="00A00EDA">
      <w:pPr>
        <w:pStyle w:val="Section"/>
      </w:pPr>
      <w:bookmarkStart w:id="3341" w:name="_Toc256755199"/>
      <w:bookmarkStart w:id="3342" w:name="_Toc224819617"/>
      <w:r w:rsidRPr="001531CD">
        <w:t>§1113.</w:t>
      </w:r>
      <w:r w:rsidRPr="001531CD">
        <w:tab/>
        <w:t>Determination of Fire Danger Rating</w:t>
      </w:r>
      <w:bookmarkEnd w:id="3341"/>
      <w:bookmarkEnd w:id="3342"/>
    </w:p>
    <w:p w14:paraId="58096C92" w14:textId="77777777" w:rsidR="00A00EDA" w:rsidRPr="001531CD" w:rsidRDefault="00A00EDA" w:rsidP="00A00EDA">
      <w:pPr>
        <w:pStyle w:val="A"/>
      </w:pPr>
      <w:r w:rsidRPr="001531CD">
        <w:t>A.</w:t>
      </w:r>
      <w:r w:rsidRPr="001531CD">
        <w:tab/>
        <w:t xml:space="preserve">The fire danger rating for the state shall be primarily determined by the Keetch Byram Drought Index generalized color map (KBDI) which is published weekly by the Louisiana Office of State Climatology, Louisiana State University. </w:t>
      </w:r>
    </w:p>
    <w:p w14:paraId="7C970B1B" w14:textId="77777777" w:rsidR="00A00EDA" w:rsidRPr="001531CD" w:rsidRDefault="00A00EDA" w:rsidP="00A00EDA">
      <w:pPr>
        <w:pStyle w:val="A"/>
      </w:pPr>
      <w:r w:rsidRPr="001531CD">
        <w:t>B.</w:t>
      </w:r>
      <w:r w:rsidRPr="001531CD">
        <w:tab/>
        <w:t>The fire danger rating for a parish will be high when any portion of a parish is indicated with a KBDI index of 601 or greater based on the most current KBDI color map.</w:t>
      </w:r>
    </w:p>
    <w:p w14:paraId="4992047E" w14:textId="77777777" w:rsidR="00A00EDA" w:rsidRPr="001531CD" w:rsidRDefault="00A00EDA" w:rsidP="00A00EDA">
      <w:pPr>
        <w:pStyle w:val="A"/>
      </w:pPr>
      <w:r w:rsidRPr="001531CD">
        <w:t>C.</w:t>
      </w:r>
      <w:r w:rsidRPr="001531CD">
        <w:tab/>
        <w:t>If the Louisiana Department of Agriculture and Forestry has sufficient cause to believe that fire danger in localized areas may not be accurately represented by the published KBDI map, then the department may use additional data to analyze conditions and to declare a state of high fire danger for any parish if warranted by available data.</w:t>
      </w:r>
    </w:p>
    <w:p w14:paraId="01C32F04" w14:textId="77777777" w:rsidR="00A00EDA" w:rsidRPr="001531CD" w:rsidRDefault="00A00EDA" w:rsidP="00A00EDA">
      <w:pPr>
        <w:pStyle w:val="A"/>
      </w:pPr>
      <w:r w:rsidRPr="001531CD">
        <w:t>D.</w:t>
      </w:r>
      <w:r w:rsidRPr="001531CD">
        <w:tab/>
        <w:t>If the department declares one or more parishes to have a high fire danger rating, based on data other than the KBDI map, then the department will publish a list of such parishes on its website.</w:t>
      </w:r>
    </w:p>
    <w:p w14:paraId="37EF6CBE" w14:textId="77777777" w:rsidR="00A00EDA" w:rsidRPr="001531CD" w:rsidRDefault="00A00EDA" w:rsidP="00A00EDA">
      <w:pPr>
        <w:pStyle w:val="A"/>
      </w:pPr>
      <w:r w:rsidRPr="001531CD">
        <w:t>E.</w:t>
      </w:r>
      <w:r w:rsidRPr="001531CD">
        <w:tab/>
        <w:t>The KBDI map may be referenced through the Louisiana Office of State Climatology through its website at www.losc.lsu.edu or by the Louisiana Department of Agriculture and Forestry's website at www.ldaf.state.la.us.</w:t>
      </w:r>
    </w:p>
    <w:p w14:paraId="772B8904" w14:textId="77777777" w:rsidR="00A00EDA" w:rsidRPr="001531CD" w:rsidRDefault="00A00EDA" w:rsidP="00A00EDA">
      <w:pPr>
        <w:pStyle w:val="AuthorityNote"/>
      </w:pPr>
      <w:r w:rsidRPr="001531CD">
        <w:t>AUTHORITY NOTE:</w:t>
      </w:r>
      <w:r w:rsidRPr="001531CD">
        <w:tab/>
        <w:t>Promulgated in accordance with R.S. 3:3; 30:2057(B)(5)(c) and 33:1236(31)(b)(iii).</w:t>
      </w:r>
    </w:p>
    <w:p w14:paraId="5C34670C" w14:textId="77777777" w:rsidR="00A00EDA" w:rsidRPr="001531CD" w:rsidRDefault="00A00EDA" w:rsidP="00A00EDA">
      <w:pPr>
        <w:pStyle w:val="HistoricalNote"/>
      </w:pPr>
      <w:r w:rsidRPr="001531CD">
        <w:t>HISTORICAL NOTE:</w:t>
      </w:r>
      <w:r w:rsidRPr="001531CD">
        <w:tab/>
        <w:t>Promulgated by the Department of Agriculture and Forestry, Office of Forestry, LR 33:249 (February 2007).</w:t>
      </w:r>
    </w:p>
    <w:p w14:paraId="6162164B" w14:textId="77777777" w:rsidR="00CF626A" w:rsidRPr="001531CD" w:rsidRDefault="00CF626A">
      <w:pPr>
        <w:pStyle w:val="Chapter"/>
      </w:pPr>
      <w:bookmarkStart w:id="3343" w:name="TOC_Chap283"/>
      <w:bookmarkStart w:id="3344" w:name="_Toc256755200"/>
      <w:bookmarkStart w:id="3345" w:name="_Toc224819618"/>
      <w:r w:rsidRPr="001531CD">
        <w:t>Chapter 13.</w:t>
      </w:r>
      <w:bookmarkEnd w:id="3343"/>
      <w:r w:rsidR="00D07DF2">
        <w:tab/>
      </w:r>
      <w:bookmarkStart w:id="3346" w:name="TOCT_Chap212"/>
      <w:bookmarkStart w:id="3347" w:name="TOCT_Chap271"/>
      <w:bookmarkStart w:id="3348" w:name="TOCT_Chap283"/>
      <w:r w:rsidRPr="001531CD">
        <w:t>Forestry Productivity Program</w:t>
      </w:r>
      <w:bookmarkEnd w:id="3344"/>
      <w:bookmarkEnd w:id="3345"/>
      <w:bookmarkEnd w:id="3346"/>
      <w:bookmarkEnd w:id="3347"/>
      <w:bookmarkEnd w:id="3348"/>
    </w:p>
    <w:p w14:paraId="0AFE1A69" w14:textId="77777777" w:rsidR="00CF626A" w:rsidRPr="001531CD" w:rsidRDefault="00CF626A">
      <w:pPr>
        <w:pStyle w:val="Section"/>
      </w:pPr>
      <w:bookmarkStart w:id="3349" w:name="_Toc256755201"/>
      <w:bookmarkStart w:id="3350" w:name="_Toc224819619"/>
      <w:r w:rsidRPr="001531CD">
        <w:t>§1301.</w:t>
      </w:r>
      <w:r w:rsidRPr="001531CD">
        <w:tab/>
        <w:t>Authority</w:t>
      </w:r>
      <w:bookmarkEnd w:id="3349"/>
      <w:bookmarkEnd w:id="3350"/>
    </w:p>
    <w:p w14:paraId="5147D57B" w14:textId="77777777" w:rsidR="00CF626A" w:rsidRPr="001531CD" w:rsidRDefault="00CF626A">
      <w:pPr>
        <w:pStyle w:val="A"/>
      </w:pPr>
      <w:r w:rsidRPr="001531CD">
        <w:t>A.</w:t>
      </w:r>
      <w:r w:rsidRPr="001531CD">
        <w:tab/>
        <w:t xml:space="preserve">The Commissioner of Agriculture and Forestry adopts the following regulations under the authority of R.S. 3:4413 for the purpose of implementing the provisions of </w:t>
      </w:r>
      <w:r w:rsidRPr="001531CD">
        <w:br/>
        <w:t>R.S 3:4410-4416, the Louisiana Forestry Productivity Program, enacted by Act 1377 of 1997.</w:t>
      </w:r>
    </w:p>
    <w:p w14:paraId="4BD5B762" w14:textId="77777777" w:rsidR="00CF626A" w:rsidRPr="001531CD" w:rsidRDefault="00CF626A">
      <w:pPr>
        <w:pStyle w:val="AuthorityNote"/>
      </w:pPr>
      <w:r w:rsidRPr="001531CD">
        <w:t>AUTHORITY NOTE:</w:t>
      </w:r>
      <w:r w:rsidRPr="001531CD">
        <w:tab/>
        <w:t>Promulgated in accordance with R.S. 3:4413.</w:t>
      </w:r>
    </w:p>
    <w:p w14:paraId="60E9136D" w14:textId="77777777" w:rsidR="00CF626A" w:rsidRPr="001531CD" w:rsidRDefault="00CF626A">
      <w:pPr>
        <w:pStyle w:val="HistoricalNote"/>
      </w:pPr>
      <w:r w:rsidRPr="001531CD">
        <w:lastRenderedPageBreak/>
        <w:t>HISTORICAL NOTE:</w:t>
      </w:r>
      <w:r w:rsidRPr="001531CD">
        <w:tab/>
        <w:t>Promulgated by the Department of Agriculture and Forestry, Office of the Commissioner, LR 24:1678 (September 1998).</w:t>
      </w:r>
    </w:p>
    <w:p w14:paraId="689B1ADB" w14:textId="77777777" w:rsidR="00CF626A" w:rsidRPr="001531CD" w:rsidRDefault="00CF626A">
      <w:pPr>
        <w:pStyle w:val="Section"/>
      </w:pPr>
      <w:bookmarkStart w:id="3351" w:name="_Toc256755202"/>
      <w:bookmarkStart w:id="3352" w:name="_Toc224819620"/>
      <w:r w:rsidRPr="001531CD">
        <w:t>§1303.</w:t>
      </w:r>
      <w:r w:rsidRPr="001531CD">
        <w:tab/>
        <w:t>Definitions</w:t>
      </w:r>
      <w:bookmarkEnd w:id="3351"/>
      <w:bookmarkEnd w:id="3352"/>
    </w:p>
    <w:p w14:paraId="216230BB" w14:textId="77777777" w:rsidR="00CF626A" w:rsidRPr="001531CD" w:rsidRDefault="00CF626A">
      <w:pPr>
        <w:pStyle w:val="A"/>
      </w:pPr>
      <w:r w:rsidRPr="001531CD">
        <w:t>A.</w:t>
      </w:r>
      <w:r w:rsidRPr="001531CD">
        <w:tab/>
        <w:t>The terms defined in this Section have the meanings given to them herein, for purposes of these regulations, except where the context expressly indicates otherwise.</w:t>
      </w:r>
    </w:p>
    <w:p w14:paraId="4EF4425C" w14:textId="77777777" w:rsidR="00CF626A" w:rsidRDefault="00CF626A">
      <w:pPr>
        <w:pStyle w:val="1"/>
      </w:pPr>
      <w:r w:rsidRPr="001531CD">
        <w:rPr>
          <w:i/>
          <w:iCs/>
        </w:rPr>
        <w:t>Approved Forestry Practice</w:t>
      </w:r>
      <w:r w:rsidRPr="001531CD">
        <w:t>―forestry practice approved by the Department, for which the landowner is authorized to receive reimbursement under the cooperative agreement.</w:t>
      </w:r>
    </w:p>
    <w:p w14:paraId="0BA2A7C1" w14:textId="77777777" w:rsidR="00364330" w:rsidRPr="001531CD" w:rsidRDefault="00364330">
      <w:pPr>
        <w:pStyle w:val="1"/>
      </w:pPr>
      <w:r w:rsidRPr="005B486E">
        <w:rPr>
          <w:i/>
          <w:iCs/>
        </w:rPr>
        <w:t>Commission</w:t>
      </w:r>
      <w:r w:rsidRPr="005B486E">
        <w:t>—Louisiana Forestry Commission</w:t>
      </w:r>
    </w:p>
    <w:p w14:paraId="7A0A52E7" w14:textId="77777777" w:rsidR="00CF626A" w:rsidRPr="001531CD" w:rsidRDefault="00CF626A">
      <w:pPr>
        <w:pStyle w:val="1"/>
      </w:pPr>
      <w:r w:rsidRPr="001531CD">
        <w:rPr>
          <w:i/>
          <w:iCs/>
        </w:rPr>
        <w:t>Commissioner</w:t>
      </w:r>
      <w:r w:rsidRPr="001531CD">
        <w:t>―Commissioner of the Louisiana Department of Agriculture and Forestry.</w:t>
      </w:r>
    </w:p>
    <w:p w14:paraId="791B662B" w14:textId="77777777" w:rsidR="00CF626A" w:rsidRPr="00D90D75" w:rsidRDefault="00CF626A">
      <w:pPr>
        <w:pStyle w:val="1"/>
      </w:pPr>
      <w:r w:rsidRPr="001531CD">
        <w:rPr>
          <w:i/>
          <w:iCs/>
        </w:rPr>
        <w:t>Cooperative Agreement</w:t>
      </w:r>
      <w:r w:rsidRPr="001531CD">
        <w:t>―the written and signed contract including all other documents made a part of the agreement or incorporated by reference between the department and a landowner, together with any written and signed amendments or addendums to the original cooperative agreement, establishing the terms of the agreement between the department and the lando</w:t>
      </w:r>
      <w:r w:rsidRPr="00D90D75">
        <w:t>wner under the Louisiana Forestry Productivity Program.</w:t>
      </w:r>
    </w:p>
    <w:p w14:paraId="2B2B825F" w14:textId="77777777" w:rsidR="00CF626A" w:rsidRPr="00D90D75" w:rsidRDefault="00CF626A">
      <w:pPr>
        <w:pStyle w:val="1"/>
      </w:pPr>
      <w:r w:rsidRPr="00D90D75">
        <w:rPr>
          <w:i/>
          <w:iCs/>
        </w:rPr>
        <w:t>Department</w:t>
      </w:r>
      <w:r w:rsidRPr="00D90D75">
        <w:t>―the Louisiana Department of Agriculture and Forestry, Office of Forestry.</w:t>
      </w:r>
    </w:p>
    <w:p w14:paraId="3F354F01" w14:textId="77777777" w:rsidR="00CF626A" w:rsidRPr="00D90D75" w:rsidRDefault="00CF626A">
      <w:pPr>
        <w:pStyle w:val="1"/>
      </w:pPr>
      <w:r w:rsidRPr="00D90D75">
        <w:rPr>
          <w:i/>
          <w:iCs/>
        </w:rPr>
        <w:t>Forestry Practice</w:t>
      </w:r>
      <w:r w:rsidRPr="00D90D75">
        <w:t>―any procedure or method used in the establishment and management of timber species.</w:t>
      </w:r>
    </w:p>
    <w:p w14:paraId="7B24A0B1" w14:textId="77777777" w:rsidR="00CF626A" w:rsidRPr="00D90D75" w:rsidRDefault="00CF626A">
      <w:pPr>
        <w:pStyle w:val="1"/>
      </w:pPr>
      <w:r w:rsidRPr="00D90D75">
        <w:rPr>
          <w:i/>
          <w:iCs/>
        </w:rPr>
        <w:t>Fund</w:t>
      </w:r>
      <w:r w:rsidRPr="00D90D75">
        <w:t>―the Forestry Productivity Fund established at R.S. 3:4411.B.</w:t>
      </w:r>
    </w:p>
    <w:p w14:paraId="4735A381" w14:textId="77777777" w:rsidR="00CF626A" w:rsidRPr="00D90D75" w:rsidRDefault="00CF626A">
      <w:pPr>
        <w:pStyle w:val="1"/>
      </w:pPr>
      <w:r w:rsidRPr="00D90D75">
        <w:rPr>
          <w:i/>
          <w:iCs/>
        </w:rPr>
        <w:t>Landowner</w:t>
      </w:r>
      <w:r w:rsidRPr="00D90D75">
        <w:t>―any individual, corporation, partnership, association, trust, joint venture, other legal entity or combination thereof who owns 5 contiguous acres or more of land located in Louisiana. For purposes of these regulations a joint ownership of property is considered to be one landowner separate and apart from the individuals or entities who own the property jointly.</w:t>
      </w:r>
    </w:p>
    <w:p w14:paraId="6FCE79C8" w14:textId="77777777" w:rsidR="00CF626A" w:rsidRPr="00D90D75" w:rsidRDefault="00CF626A">
      <w:pPr>
        <w:pStyle w:val="1"/>
      </w:pPr>
      <w:r w:rsidRPr="00D90D75">
        <w:rPr>
          <w:i/>
          <w:iCs/>
        </w:rPr>
        <w:t>Program</w:t>
      </w:r>
      <w:r w:rsidRPr="00D90D75">
        <w:t>―the Forestry Productivity Program authorized by R.S. 3:4410-4416.</w:t>
      </w:r>
    </w:p>
    <w:p w14:paraId="5F22D967" w14:textId="77777777" w:rsidR="00CF626A" w:rsidRPr="00D90D75" w:rsidRDefault="00CF626A">
      <w:pPr>
        <w:pStyle w:val="1"/>
      </w:pPr>
      <w:r w:rsidRPr="00D90D75">
        <w:rPr>
          <w:i/>
          <w:iCs/>
        </w:rPr>
        <w:t>State</w:t>
      </w:r>
      <w:r w:rsidRPr="00D90D75">
        <w:t>―collectively, the State of Louisiana, the Department of Agriculture and Forestry, the State Forestry Commission and the Commissioner of Agriculture and Forestry.</w:t>
      </w:r>
    </w:p>
    <w:p w14:paraId="56FB260C" w14:textId="77777777" w:rsidR="00CF626A" w:rsidRPr="00D90D75" w:rsidRDefault="00CF626A" w:rsidP="00285260">
      <w:pPr>
        <w:pStyle w:val="AuthorityNote"/>
        <w:keepNext/>
      </w:pPr>
      <w:r w:rsidRPr="00D90D75">
        <w:t>AUTHORITY NOTE:</w:t>
      </w:r>
      <w:r w:rsidRPr="00D90D75">
        <w:tab/>
        <w:t>Promulgated in accordance with R.S. 3:4413.</w:t>
      </w:r>
    </w:p>
    <w:p w14:paraId="7BEF8E32" w14:textId="77777777" w:rsidR="00CF626A" w:rsidRPr="00D90D75" w:rsidRDefault="00CF626A">
      <w:pPr>
        <w:pStyle w:val="HistoricalNote"/>
      </w:pPr>
      <w:r w:rsidRPr="00D90D75">
        <w:t>HISTORICAL NOTE:</w:t>
      </w:r>
      <w:r w:rsidRPr="00D90D75">
        <w:tab/>
        <w:t>Promulgated by the Department of Agriculture and Forestry, Office of the Commissioner, LR 24:1678 (September 1998)</w:t>
      </w:r>
      <w:r w:rsidR="00364330" w:rsidRPr="00D90D75">
        <w:t>, LR 47:564 (May 2021).</w:t>
      </w:r>
    </w:p>
    <w:p w14:paraId="302F0D53" w14:textId="77777777" w:rsidR="00CF626A" w:rsidRPr="00D90D75" w:rsidRDefault="00CF626A">
      <w:pPr>
        <w:pStyle w:val="Section"/>
      </w:pPr>
      <w:bookmarkStart w:id="3353" w:name="_Toc256755203"/>
      <w:bookmarkStart w:id="3354" w:name="_Toc224819621"/>
      <w:r w:rsidRPr="00D90D75">
        <w:t>§1305.</w:t>
      </w:r>
      <w:r w:rsidRPr="00D90D75">
        <w:tab/>
        <w:t>Application and Fee</w:t>
      </w:r>
      <w:bookmarkEnd w:id="3353"/>
      <w:bookmarkEnd w:id="3354"/>
    </w:p>
    <w:p w14:paraId="181EF80E" w14:textId="77777777" w:rsidR="00CF626A" w:rsidRPr="00D90D75" w:rsidRDefault="00CF626A">
      <w:pPr>
        <w:pStyle w:val="A"/>
      </w:pPr>
      <w:r w:rsidRPr="00D90D75">
        <w:t>A.</w:t>
      </w:r>
      <w:r w:rsidRPr="00D90D75">
        <w:tab/>
        <w:t>Any landowner desiring to apply for participation in this program must first submit an application to the department on a form supplied by the department.</w:t>
      </w:r>
    </w:p>
    <w:p w14:paraId="771EEED3" w14:textId="77777777" w:rsidR="00CF626A" w:rsidRPr="00D90D75" w:rsidRDefault="00CF626A">
      <w:pPr>
        <w:pStyle w:val="A"/>
      </w:pPr>
      <w:r w:rsidRPr="00D90D75">
        <w:t>B.</w:t>
      </w:r>
      <w:r w:rsidRPr="00D90D75">
        <w:tab/>
        <w:t>Each landowner submitting an application must also submit a $25 nonrefundable application fee at the time the landowner's application is initially submitted to the department.</w:t>
      </w:r>
    </w:p>
    <w:p w14:paraId="78BD0843" w14:textId="77777777" w:rsidR="00CF626A" w:rsidRPr="00D90D75" w:rsidRDefault="00CF626A">
      <w:pPr>
        <w:pStyle w:val="AuthorityNote"/>
      </w:pPr>
      <w:r w:rsidRPr="00D90D75">
        <w:t>AUTHORITY NOTE:</w:t>
      </w:r>
      <w:r w:rsidRPr="00D90D75">
        <w:tab/>
        <w:t>Promulgated in accordance with R.S. 3:4413.</w:t>
      </w:r>
    </w:p>
    <w:p w14:paraId="06F2FD09" w14:textId="77777777" w:rsidR="00CF626A" w:rsidRPr="00D90D75" w:rsidRDefault="00CF626A">
      <w:pPr>
        <w:pStyle w:val="HistoricalNote"/>
      </w:pPr>
      <w:r w:rsidRPr="00D90D75">
        <w:t>HISTORICAL NOTE:</w:t>
      </w:r>
      <w:r w:rsidRPr="00D90D75">
        <w:tab/>
        <w:t>Promulgated by the Department of Agriculture and Forestry, Office of the Commissioner, LR 24:1679 (September 1998).</w:t>
      </w:r>
    </w:p>
    <w:p w14:paraId="32E1FE23" w14:textId="77777777" w:rsidR="00CF626A" w:rsidRPr="00D90D75" w:rsidRDefault="00CF626A">
      <w:pPr>
        <w:pStyle w:val="Section"/>
      </w:pPr>
      <w:bookmarkStart w:id="3355" w:name="_Toc256755204"/>
      <w:bookmarkStart w:id="3356" w:name="_Toc224819622"/>
      <w:r w:rsidRPr="00D90D75">
        <w:t>§1307.</w:t>
      </w:r>
      <w:r w:rsidRPr="00D90D75">
        <w:tab/>
        <w:t>Extent of State Participation</w:t>
      </w:r>
      <w:bookmarkEnd w:id="3355"/>
      <w:bookmarkEnd w:id="3356"/>
    </w:p>
    <w:p w14:paraId="22DF6393" w14:textId="77777777" w:rsidR="00364330" w:rsidRPr="00D90D75" w:rsidRDefault="006D2DAF" w:rsidP="00364330">
      <w:pPr>
        <w:pStyle w:val="A"/>
        <w:rPr>
          <w:shd w:val="clear" w:color="auto" w:fill="FFFFFF"/>
        </w:rPr>
      </w:pPr>
      <w:r w:rsidRPr="00D90D75">
        <w:t>A.</w:t>
      </w:r>
      <w:r w:rsidRPr="00D90D75">
        <w:tab/>
      </w:r>
      <w:r w:rsidR="00364330" w:rsidRPr="00D90D75">
        <w:rPr>
          <w:shd w:val="clear" w:color="auto" w:fill="FFFFFF"/>
        </w:rPr>
        <w:t>The commissioner shall determine the state's annual level of involvement in the Program. The determination shall be made upon recommendation from the commission. The commission shall base its recommendation on available program funding and landowner requests for program participation.</w:t>
      </w:r>
    </w:p>
    <w:p w14:paraId="6EFBD697" w14:textId="77777777" w:rsidR="00364330" w:rsidRPr="00D90D75" w:rsidRDefault="00364330" w:rsidP="00364330">
      <w:pPr>
        <w:pStyle w:val="A"/>
        <w:rPr>
          <w:shd w:val="clear" w:color="auto" w:fill="FFFFFF"/>
        </w:rPr>
      </w:pPr>
      <w:r w:rsidRPr="00D90D75">
        <w:rPr>
          <w:shd w:val="clear" w:color="auto" w:fill="FFFFFF"/>
        </w:rPr>
        <w:t>B.</w:t>
      </w:r>
      <w:r w:rsidRPr="00D90D75">
        <w:rPr>
          <w:shd w:val="clear" w:color="auto" w:fill="FFFFFF"/>
        </w:rPr>
        <w:tab/>
        <w:t xml:space="preserve">Financial assistance by the state to any one landowner participating in this program shall be limited to a total value not to exceed $15,000 during a fiscal year. </w:t>
      </w:r>
    </w:p>
    <w:p w14:paraId="4E64570A" w14:textId="77777777" w:rsidR="00364330" w:rsidRPr="00D90D75" w:rsidRDefault="00364330" w:rsidP="00364330">
      <w:pPr>
        <w:pStyle w:val="A"/>
        <w:rPr>
          <w:shd w:val="clear" w:color="auto" w:fill="FFFFFF"/>
        </w:rPr>
      </w:pPr>
      <w:r w:rsidRPr="00D90D75">
        <w:rPr>
          <w:shd w:val="clear" w:color="auto" w:fill="FFFFFF"/>
        </w:rPr>
        <w:t>C.</w:t>
      </w:r>
      <w:r w:rsidRPr="00D90D75">
        <w:rPr>
          <w:shd w:val="clear" w:color="auto" w:fill="FFFFFF"/>
        </w:rPr>
        <w:tab/>
        <w:t>The state's participation under any cooperative agreement shall be limited to either or both of the following types of assistance:</w:t>
      </w:r>
    </w:p>
    <w:p w14:paraId="7A6C01F5" w14:textId="77777777" w:rsidR="00364330" w:rsidRPr="00D90D75" w:rsidRDefault="00364330" w:rsidP="00364330">
      <w:pPr>
        <w:pStyle w:val="1"/>
        <w:rPr>
          <w:shd w:val="clear" w:color="auto" w:fill="FFFFFF"/>
        </w:rPr>
      </w:pPr>
      <w:r w:rsidRPr="00D90D75">
        <w:rPr>
          <w:shd w:val="clear" w:color="auto" w:fill="FFFFFF"/>
        </w:rPr>
        <w:t>1.</w:t>
      </w:r>
      <w:r w:rsidRPr="00D90D75">
        <w:rPr>
          <w:shd w:val="clear" w:color="auto" w:fill="FFFFFF"/>
        </w:rPr>
        <w:tab/>
        <w:t>a direct grant, for the purpose of assisting the landowner in implementing an approved forestry practice authorized by a cooperative agreement through the use of the landowner's resources or through the landowner's contacts with private firms; or</w:t>
      </w:r>
    </w:p>
    <w:p w14:paraId="1C94005A" w14:textId="77777777" w:rsidR="00364330" w:rsidRPr="00D90D75" w:rsidRDefault="00364330" w:rsidP="00364330">
      <w:pPr>
        <w:pStyle w:val="1"/>
        <w:rPr>
          <w:shd w:val="clear" w:color="auto" w:fill="FFFFFF"/>
        </w:rPr>
      </w:pPr>
      <w:r w:rsidRPr="00D90D75">
        <w:rPr>
          <w:shd w:val="clear" w:color="auto" w:fill="FFFFFF"/>
        </w:rPr>
        <w:t>2.</w:t>
      </w:r>
      <w:r w:rsidRPr="00D90D75">
        <w:rPr>
          <w:shd w:val="clear" w:color="auto" w:fill="FFFFFF"/>
        </w:rPr>
        <w:tab/>
        <w:t>utilization of the state's personnel, equipment, or materials to implement an approved forestry practice authorized by a cooperative agreement, if private sector services are unavailable.</w:t>
      </w:r>
    </w:p>
    <w:p w14:paraId="74DE4958" w14:textId="77777777" w:rsidR="00364330" w:rsidRPr="00D90D75" w:rsidRDefault="00364330" w:rsidP="00364330">
      <w:pPr>
        <w:pStyle w:val="A"/>
        <w:rPr>
          <w:shd w:val="clear" w:color="auto" w:fill="FFFFFF"/>
        </w:rPr>
      </w:pPr>
      <w:r w:rsidRPr="00D90D75">
        <w:rPr>
          <w:shd w:val="clear" w:color="auto" w:fill="FFFFFF"/>
        </w:rPr>
        <w:t>D.</w:t>
      </w:r>
      <w:r w:rsidRPr="00D90D75">
        <w:rPr>
          <w:shd w:val="clear" w:color="auto" w:fill="FFFFFF"/>
        </w:rPr>
        <w:tab/>
        <w:t>A direct grant shall not exceed the approved rate(s), as established in Subsection A, of the cost of implementing the cooperative agreement. In the event that state personnel, equipment, or materials are utilized to implement an approved forestry practice, the landowner shall be invoiced by the department for the cost of implementing the forestry practice. The landowner shall promptly pay such invoice and may subsequently submit the paid invoice for reimbursement under this program and these rules and regulations.</w:t>
      </w:r>
    </w:p>
    <w:p w14:paraId="0EB0AE35" w14:textId="77777777" w:rsidR="00364330" w:rsidRPr="00D90D75" w:rsidRDefault="00364330" w:rsidP="00364330">
      <w:pPr>
        <w:pStyle w:val="A"/>
        <w:rPr>
          <w:shd w:val="clear" w:color="auto" w:fill="FFFFFF"/>
        </w:rPr>
      </w:pPr>
      <w:r w:rsidRPr="00D90D75">
        <w:rPr>
          <w:shd w:val="clear" w:color="auto" w:fill="FFFFFF"/>
        </w:rPr>
        <w:t>E.</w:t>
      </w:r>
      <w:r w:rsidRPr="00D90D75">
        <w:rPr>
          <w:shd w:val="clear" w:color="auto" w:fill="FFFFFF"/>
        </w:rPr>
        <w:tab/>
        <w:t xml:space="preserve">The current cost share rate(s) shall be posted on the Department website. </w:t>
      </w:r>
    </w:p>
    <w:p w14:paraId="2B17D6D6" w14:textId="77777777" w:rsidR="00CF626A" w:rsidRPr="00D90D75" w:rsidRDefault="00364330" w:rsidP="00364330">
      <w:pPr>
        <w:pStyle w:val="A"/>
      </w:pPr>
      <w:r w:rsidRPr="00D90D75">
        <w:rPr>
          <w:shd w:val="clear" w:color="auto" w:fill="FFFFFF"/>
        </w:rPr>
        <w:t>F.</w:t>
      </w:r>
      <w:r w:rsidRPr="00D90D75">
        <w:rPr>
          <w:shd w:val="clear" w:color="auto" w:fill="FFFFFF"/>
        </w:rPr>
        <w:tab/>
        <w:t>The state shall not provide reimbursement under this program for any forestry practice implemented by a landowner unless a cooperative agreement is on file with the department prior to implementation.</w:t>
      </w:r>
    </w:p>
    <w:p w14:paraId="4C999054" w14:textId="77777777" w:rsidR="00CF626A" w:rsidRPr="00D90D75" w:rsidRDefault="00910814">
      <w:pPr>
        <w:pStyle w:val="AuthorityNote"/>
      </w:pPr>
      <w:r w:rsidRPr="00D90D75">
        <w:t>AUTHORITY NOTE:</w:t>
      </w:r>
      <w:r w:rsidRPr="00D90D75">
        <w:tab/>
        <w:t>Promulgated in accordance with R.S. 3:4412 and R.S. 3:4413.</w:t>
      </w:r>
    </w:p>
    <w:p w14:paraId="3A42D662" w14:textId="77777777" w:rsidR="00CF626A" w:rsidRPr="00D90D75" w:rsidRDefault="00CF626A">
      <w:pPr>
        <w:pStyle w:val="HistoricalNote"/>
      </w:pPr>
      <w:r w:rsidRPr="00D90D75">
        <w:t>HISTORICAL NOTE:</w:t>
      </w:r>
      <w:r w:rsidRPr="00D90D75">
        <w:tab/>
        <w:t>Promulgated by the Department of Agriculture and Forestry, Office of the Commissioner, LR 24:1679 (September 1998), amended by the Department of Agriculture and Forestry, Office of Fore</w:t>
      </w:r>
      <w:r w:rsidR="00F634A8" w:rsidRPr="00D90D75">
        <w:t>stry, LR 28:267 (February 20</w:t>
      </w:r>
      <w:r w:rsidR="006D2DAF" w:rsidRPr="00D90D75">
        <w:t>02), LR 34:2338 (November 2</w:t>
      </w:r>
      <w:r w:rsidR="00643016" w:rsidRPr="00D90D75">
        <w:t>008), LR 41:2102 (October 2015), LR 42:</w:t>
      </w:r>
      <w:r w:rsidR="00910814" w:rsidRPr="00D90D75">
        <w:t>733 (May 2016), LR 42:1868 (November 2016)</w:t>
      </w:r>
      <w:r w:rsidR="00364330" w:rsidRPr="00D90D75">
        <w:t>, LR 47:564 (May 2021).</w:t>
      </w:r>
    </w:p>
    <w:p w14:paraId="31274EB6" w14:textId="77777777" w:rsidR="00CF626A" w:rsidRPr="00D90D75" w:rsidRDefault="00CF626A">
      <w:pPr>
        <w:pStyle w:val="Section"/>
      </w:pPr>
      <w:bookmarkStart w:id="3357" w:name="_Toc256755205"/>
      <w:bookmarkStart w:id="3358" w:name="_Toc224819623"/>
      <w:r w:rsidRPr="00D90D75">
        <w:t>§1309.</w:t>
      </w:r>
      <w:r w:rsidRPr="00D90D75">
        <w:tab/>
        <w:t>Land and Landowners Eligibility, Exclusions and Limitations</w:t>
      </w:r>
      <w:bookmarkEnd w:id="3357"/>
      <w:bookmarkEnd w:id="3358"/>
    </w:p>
    <w:p w14:paraId="4C035F2D" w14:textId="77777777" w:rsidR="00CF626A" w:rsidRPr="00D90D75" w:rsidRDefault="00CF626A">
      <w:pPr>
        <w:pStyle w:val="A"/>
      </w:pPr>
      <w:r w:rsidRPr="00D90D75">
        <w:t>A.</w:t>
      </w:r>
      <w:r w:rsidRPr="00D90D75">
        <w:tab/>
        <w:t xml:space="preserve">Any landowner owning five contiguous acres or more in Louisiana suitable for growing a timber species approved by the department is eligible for participation in this program </w:t>
      </w:r>
      <w:r w:rsidRPr="00D90D75">
        <w:lastRenderedPageBreak/>
        <w:t>unless excluded by these regulations or otherwise excluded by law.</w:t>
      </w:r>
    </w:p>
    <w:p w14:paraId="386730FE" w14:textId="77777777" w:rsidR="00CF626A" w:rsidRPr="00D90D75" w:rsidRDefault="00CF626A">
      <w:pPr>
        <w:pStyle w:val="A"/>
      </w:pPr>
      <w:r w:rsidRPr="00D90D75">
        <w:t>B.</w:t>
      </w:r>
      <w:r w:rsidRPr="00D90D75">
        <w:tab/>
        <w:t>The following landowners are not eligible to participate in this program:</w:t>
      </w:r>
    </w:p>
    <w:p w14:paraId="69CF4C79" w14:textId="77777777" w:rsidR="00CF626A" w:rsidRPr="00D90D75" w:rsidRDefault="00CF626A">
      <w:pPr>
        <w:pStyle w:val="1"/>
      </w:pPr>
      <w:r w:rsidRPr="00D90D75">
        <w:t>1.</w:t>
      </w:r>
      <w:r w:rsidRPr="00D90D75">
        <w:tab/>
        <w:t>landowners owning less than 5 contiguous acres of land;</w:t>
      </w:r>
    </w:p>
    <w:p w14:paraId="50B5B3BE" w14:textId="77777777" w:rsidR="00CF626A" w:rsidRPr="00D90D75" w:rsidRDefault="00CF626A">
      <w:pPr>
        <w:pStyle w:val="1"/>
      </w:pPr>
      <w:r w:rsidRPr="00D90D75">
        <w:t>2.</w:t>
      </w:r>
      <w:r w:rsidRPr="00D90D75">
        <w:tab/>
        <w:t>public utilities companies;</w:t>
      </w:r>
    </w:p>
    <w:p w14:paraId="65BD6E8A" w14:textId="77777777" w:rsidR="00CF626A" w:rsidRPr="00D90D75" w:rsidRDefault="00CF626A">
      <w:pPr>
        <w:pStyle w:val="1"/>
      </w:pPr>
      <w:r w:rsidRPr="00D90D75">
        <w:t>3.</w:t>
      </w:r>
      <w:r w:rsidRPr="00D90D75">
        <w:tab/>
        <w:t>landowners engaged in the manufacturing or production of forestry products;</w:t>
      </w:r>
    </w:p>
    <w:p w14:paraId="2F46A144" w14:textId="77777777" w:rsidR="00CF626A" w:rsidRPr="00D90D75" w:rsidRDefault="00CF626A">
      <w:pPr>
        <w:pStyle w:val="1"/>
      </w:pPr>
      <w:r w:rsidRPr="00D90D75">
        <w:t>4.</w:t>
      </w:r>
      <w:r w:rsidRPr="00D90D75">
        <w:tab/>
        <w:t>any federal, state, or local government agency or political subdivision;</w:t>
      </w:r>
    </w:p>
    <w:p w14:paraId="43A56E37" w14:textId="77777777" w:rsidR="00CF626A" w:rsidRPr="00D90D75" w:rsidRDefault="00CF626A">
      <w:pPr>
        <w:pStyle w:val="1"/>
      </w:pPr>
      <w:r w:rsidRPr="00D90D75">
        <w:t>5.</w:t>
      </w:r>
      <w:r w:rsidRPr="00D90D75">
        <w:tab/>
        <w:t>corporations with publicly traded stock;</w:t>
      </w:r>
    </w:p>
    <w:p w14:paraId="3C821CE1" w14:textId="77777777" w:rsidR="00CF626A" w:rsidRPr="00D90D75" w:rsidRDefault="00CF626A">
      <w:pPr>
        <w:pStyle w:val="1"/>
      </w:pPr>
      <w:r w:rsidRPr="00D90D75">
        <w:t>6.</w:t>
      </w:r>
      <w:r w:rsidRPr="00D90D75">
        <w:tab/>
        <w:t>any landowner with joint ownership in an eligible tract of land unless all joint owners and usufructuaries or duly authorized agent or agents, if any, sign the cooperative agreement;</w:t>
      </w:r>
    </w:p>
    <w:p w14:paraId="669AC8F7" w14:textId="77777777" w:rsidR="00CF626A" w:rsidRPr="00D90D75" w:rsidRDefault="00CF626A">
      <w:pPr>
        <w:pStyle w:val="1"/>
      </w:pPr>
      <w:r w:rsidRPr="00D90D75">
        <w:t>7.</w:t>
      </w:r>
      <w:r w:rsidRPr="00D90D75">
        <w:tab/>
        <w:t>any entity, other than a natural person, including but not limited to trusts, joint ventures, partnership, limited liability companies or successions, which have a set legal existence of less than 10 years unless all persons or legal entities who would, by law, be entitled to receive title to the land upon dissolution of the entity sign the cooperative agreement.</w:t>
      </w:r>
    </w:p>
    <w:p w14:paraId="5B1C94C7" w14:textId="77777777" w:rsidR="00CF626A" w:rsidRPr="00D90D75" w:rsidRDefault="00CF626A">
      <w:pPr>
        <w:pStyle w:val="A"/>
      </w:pPr>
      <w:r w:rsidRPr="00D90D75">
        <w:t>C.</w:t>
      </w:r>
      <w:r w:rsidRPr="00D90D75">
        <w:tab/>
        <w:t>The following lands are not eligible to participate in this program:</w:t>
      </w:r>
    </w:p>
    <w:p w14:paraId="72848974" w14:textId="77777777" w:rsidR="00CF626A" w:rsidRPr="00D90D75" w:rsidRDefault="00CF626A">
      <w:pPr>
        <w:pStyle w:val="1"/>
      </w:pPr>
      <w:r w:rsidRPr="00D90D75">
        <w:t>1.</w:t>
      </w:r>
      <w:r w:rsidRPr="00D90D75">
        <w:tab/>
        <w:t xml:space="preserve">any tract of land that is less than </w:t>
      </w:r>
      <w:r w:rsidR="00DB1925" w:rsidRPr="00D90D75">
        <w:t>5</w:t>
      </w:r>
      <w:r w:rsidRPr="00D90D75">
        <w:t xml:space="preserve"> contiguous acres;</w:t>
      </w:r>
    </w:p>
    <w:p w14:paraId="619A2E4F" w14:textId="77777777" w:rsidR="00CF626A" w:rsidRPr="00D90D75" w:rsidRDefault="00CF626A">
      <w:pPr>
        <w:pStyle w:val="1"/>
      </w:pPr>
      <w:r w:rsidRPr="00D90D75">
        <w:t>2.</w:t>
      </w:r>
      <w:r w:rsidRPr="00D90D75">
        <w:tab/>
        <w:t>lands owned by any landowner not eligible for participation;</w:t>
      </w:r>
    </w:p>
    <w:p w14:paraId="72EF809C" w14:textId="77777777" w:rsidR="00CF626A" w:rsidRPr="00D90D75" w:rsidRDefault="00CF626A">
      <w:pPr>
        <w:pStyle w:val="1"/>
      </w:pPr>
      <w:r w:rsidRPr="00D90D75">
        <w:t>3.</w:t>
      </w:r>
      <w:r w:rsidRPr="00D90D75">
        <w:tab/>
        <w:t>land subject, at the time of application, to a reforestation contract with any federal, state or local government agency or under a private reforestation program.</w:t>
      </w:r>
    </w:p>
    <w:p w14:paraId="6925E0CC" w14:textId="77777777" w:rsidR="00CF626A" w:rsidRPr="00D90D75" w:rsidRDefault="00CF626A">
      <w:pPr>
        <w:pStyle w:val="AuthorityNote"/>
      </w:pPr>
      <w:r w:rsidRPr="00D90D75">
        <w:t>AUTHORITY NOTE:</w:t>
      </w:r>
      <w:r w:rsidRPr="00D90D75">
        <w:tab/>
        <w:t>Promulgated in accordance with R.S. 3:44413 and R.S. 3:4414.</w:t>
      </w:r>
    </w:p>
    <w:p w14:paraId="6D2DE353" w14:textId="77777777" w:rsidR="00CF626A" w:rsidRPr="00D90D75" w:rsidRDefault="00CF626A">
      <w:pPr>
        <w:pStyle w:val="HistoricalNote"/>
      </w:pPr>
      <w:r w:rsidRPr="00D90D75">
        <w:t>HISTORICAL NOTE:</w:t>
      </w:r>
      <w:r w:rsidRPr="00D90D75">
        <w:tab/>
        <w:t>Promulgated by the Department of Agriculture and Forestry, Office of the Commissioner, LR 24:1680 (September 1998).</w:t>
      </w:r>
    </w:p>
    <w:p w14:paraId="1476D29A" w14:textId="77777777" w:rsidR="00CF626A" w:rsidRPr="00D90D75" w:rsidRDefault="00CF626A">
      <w:pPr>
        <w:pStyle w:val="Section"/>
      </w:pPr>
      <w:bookmarkStart w:id="3359" w:name="_Toc256755206"/>
      <w:bookmarkStart w:id="3360" w:name="_Toc224819624"/>
      <w:r w:rsidRPr="00D90D75">
        <w:t>§1311.</w:t>
      </w:r>
      <w:r w:rsidRPr="00D90D75">
        <w:tab/>
        <w:t>Obligations of the Landowner</w:t>
      </w:r>
      <w:bookmarkEnd w:id="3359"/>
      <w:bookmarkEnd w:id="3360"/>
    </w:p>
    <w:p w14:paraId="2D7A23B4" w14:textId="77777777" w:rsidR="00CF626A" w:rsidRPr="00D90D75" w:rsidRDefault="00CF626A">
      <w:pPr>
        <w:pStyle w:val="A"/>
      </w:pPr>
      <w:r w:rsidRPr="00D90D75">
        <w:t>A.</w:t>
      </w:r>
      <w:r w:rsidRPr="00D90D75">
        <w:tab/>
        <w:t>The landowner shall abide by the provision of the law establishing this program, these regulations, and the cooperative agreement.</w:t>
      </w:r>
    </w:p>
    <w:p w14:paraId="41B88E5A" w14:textId="77777777" w:rsidR="00CF626A" w:rsidRPr="00D90D75" w:rsidRDefault="00910814">
      <w:pPr>
        <w:pStyle w:val="A"/>
      </w:pPr>
      <w:r w:rsidRPr="00D90D75">
        <w:t>B.</w:t>
      </w:r>
      <w:r w:rsidRPr="00D90D75">
        <w:tab/>
        <w:t>The landowner shall maintain the land subject to the cooperative agreement in forestry usage in accordance with the cooperative agreement for a period of at least 10 years from the date the department issues a certification of performance of the terms of the cooperative agreement. This requirement shall not apply when the approved practice is prescribed burning.</w:t>
      </w:r>
    </w:p>
    <w:p w14:paraId="6039E3FE" w14:textId="77777777" w:rsidR="00CF626A" w:rsidRPr="001531CD" w:rsidRDefault="00CF626A">
      <w:pPr>
        <w:pStyle w:val="A"/>
      </w:pPr>
      <w:r w:rsidRPr="00D90D75">
        <w:t>C.</w:t>
      </w:r>
      <w:r w:rsidRPr="00D90D75">
        <w:tab/>
        <w:t>The landowner shall not sell, convey, or otherwise lose control of lan</w:t>
      </w:r>
      <w:r w:rsidRPr="001531CD">
        <w:t xml:space="preserve">d subject to a cooperative agreement under this program without placing a provision in the Act transferring the land requiring the new landowner to assume responsibility for abiding by the terms of the cooperative agreement and to </w:t>
      </w:r>
      <w:r w:rsidRPr="001531CD">
        <w:t>maintain the approved forestry practices for the life of the cooperative agreement.</w:t>
      </w:r>
    </w:p>
    <w:p w14:paraId="27EC6430" w14:textId="77777777" w:rsidR="00CF626A" w:rsidRPr="001531CD" w:rsidRDefault="00CF626A">
      <w:pPr>
        <w:pStyle w:val="A"/>
      </w:pPr>
      <w:r w:rsidRPr="001531CD">
        <w:t>D.</w:t>
      </w:r>
      <w:r w:rsidRPr="001531CD">
        <w:tab/>
        <w:t>The landowner shall reimburse the department the cost of the state's involvement in the cooperative agreement plus court costs and reasonable attorney fees if the landowner violates the law establishing the program, these regulations or the cooperative agreement.</w:t>
      </w:r>
    </w:p>
    <w:p w14:paraId="32CC41E8" w14:textId="77777777" w:rsidR="00CF626A" w:rsidRPr="001531CD" w:rsidRDefault="00CF626A">
      <w:pPr>
        <w:pStyle w:val="AuthorityNote"/>
      </w:pPr>
      <w:r w:rsidRPr="001531CD">
        <w:t>AUTHORITY NOTE:</w:t>
      </w:r>
      <w:r w:rsidRPr="001531CD">
        <w:tab/>
        <w:t>Promulgated in accordance with R.S. 3:4413.</w:t>
      </w:r>
    </w:p>
    <w:p w14:paraId="61092B29" w14:textId="77777777" w:rsidR="00CF626A" w:rsidRPr="001531CD" w:rsidRDefault="00CF626A">
      <w:pPr>
        <w:pStyle w:val="HistoricalNote"/>
      </w:pPr>
      <w:r w:rsidRPr="001531CD">
        <w:t>HISTORICAL NOTE:</w:t>
      </w:r>
      <w:r w:rsidRPr="001531CD">
        <w:tab/>
        <w:t>Promulgated by the Department of Agriculture and Forestry, Office of the Commission</w:t>
      </w:r>
      <w:r w:rsidR="00910814">
        <w:t xml:space="preserve">er, LR 24:1680 (September 1998), </w:t>
      </w:r>
      <w:r w:rsidR="00910814" w:rsidRPr="00C40A02">
        <w:t>amended by the Department of Agriculture and Forestry, Office of Forestry, LR 42:</w:t>
      </w:r>
      <w:r w:rsidR="00910814">
        <w:t>1868 (November 2016).</w:t>
      </w:r>
    </w:p>
    <w:p w14:paraId="37C9A17B" w14:textId="77777777" w:rsidR="00CF626A" w:rsidRPr="001531CD" w:rsidRDefault="00CF626A" w:rsidP="00285260">
      <w:pPr>
        <w:pStyle w:val="Section"/>
      </w:pPr>
      <w:bookmarkStart w:id="3361" w:name="_Toc256755207"/>
      <w:bookmarkStart w:id="3362" w:name="_Toc224819625"/>
      <w:r w:rsidRPr="001531CD">
        <w:t>§1313.</w:t>
      </w:r>
      <w:r w:rsidRPr="001531CD">
        <w:tab/>
        <w:t>Approved Forestry Practices</w:t>
      </w:r>
      <w:bookmarkEnd w:id="3361"/>
      <w:bookmarkEnd w:id="3362"/>
    </w:p>
    <w:p w14:paraId="4D44C080" w14:textId="77777777" w:rsidR="00CF626A" w:rsidRPr="001531CD" w:rsidRDefault="00CF626A" w:rsidP="00285260">
      <w:pPr>
        <w:pStyle w:val="A"/>
        <w:keepNext/>
      </w:pPr>
      <w:r w:rsidRPr="001531CD">
        <w:t>A.</w:t>
      </w:r>
      <w:r w:rsidRPr="001531CD">
        <w:tab/>
        <w:t>Forestry practices approved by the commissioner for purposes of this program are:</w:t>
      </w:r>
    </w:p>
    <w:p w14:paraId="6199E004" w14:textId="77777777" w:rsidR="00CF626A" w:rsidRPr="001531CD" w:rsidRDefault="00CF626A">
      <w:pPr>
        <w:pStyle w:val="1"/>
      </w:pPr>
      <w:r w:rsidRPr="001531CD">
        <w:t>1.</w:t>
      </w:r>
      <w:r w:rsidRPr="001531CD">
        <w:tab/>
        <w:t>site preparation for reforestation by natural or artificial means;</w:t>
      </w:r>
    </w:p>
    <w:p w14:paraId="6733DA69" w14:textId="77777777" w:rsidR="00CF626A" w:rsidRPr="001531CD" w:rsidRDefault="00CF626A">
      <w:pPr>
        <w:pStyle w:val="1"/>
      </w:pPr>
      <w:r w:rsidRPr="001531CD">
        <w:t>2.</w:t>
      </w:r>
      <w:r w:rsidRPr="001531CD">
        <w:tab/>
        <w:t>planting of seeds or seedlings;</w:t>
      </w:r>
    </w:p>
    <w:p w14:paraId="4B4EC9A2" w14:textId="77777777" w:rsidR="00CF626A" w:rsidRPr="001531CD" w:rsidRDefault="00CF626A">
      <w:pPr>
        <w:pStyle w:val="1"/>
      </w:pPr>
      <w:r w:rsidRPr="001531CD">
        <w:t>3.</w:t>
      </w:r>
      <w:r w:rsidRPr="001531CD">
        <w:tab/>
        <w:t>timber stand improvement through removal of undesirable vegetation or trees; and</w:t>
      </w:r>
    </w:p>
    <w:p w14:paraId="289A1D60" w14:textId="77777777" w:rsidR="00CF626A" w:rsidRPr="001531CD" w:rsidRDefault="00CF626A">
      <w:pPr>
        <w:pStyle w:val="1"/>
      </w:pPr>
      <w:r w:rsidRPr="001531CD">
        <w:t>4.</w:t>
      </w:r>
      <w:r w:rsidRPr="001531CD">
        <w:tab/>
        <w:t>post planting procedures that improve the growth, productivity, or viability of trees planted under this program.</w:t>
      </w:r>
    </w:p>
    <w:p w14:paraId="3B65B754" w14:textId="77777777" w:rsidR="00CF626A" w:rsidRPr="001531CD" w:rsidRDefault="00CF626A">
      <w:pPr>
        <w:pStyle w:val="AuthorityNote"/>
      </w:pPr>
      <w:r w:rsidRPr="001531CD">
        <w:t>AUTHORITY NOTE:</w:t>
      </w:r>
      <w:r w:rsidRPr="001531CD">
        <w:tab/>
        <w:t>Promulgated in accordance with R.S. 3:4413.</w:t>
      </w:r>
    </w:p>
    <w:p w14:paraId="4836E7FC" w14:textId="77777777" w:rsidR="00CF626A" w:rsidRPr="001531CD" w:rsidRDefault="00CF626A">
      <w:pPr>
        <w:pStyle w:val="HistoricalNote"/>
      </w:pPr>
      <w:r w:rsidRPr="001531CD">
        <w:t>HISTORICAL NOTE:</w:t>
      </w:r>
      <w:r w:rsidRPr="001531CD">
        <w:tab/>
        <w:t>Promulgated by the Department of Agriculture and Forestry, Office of the Commissioner, LR 24:1680 (September 1998).</w:t>
      </w:r>
    </w:p>
    <w:p w14:paraId="7D6E798C" w14:textId="77777777" w:rsidR="00CF626A" w:rsidRPr="001531CD" w:rsidRDefault="00CF626A">
      <w:pPr>
        <w:pStyle w:val="Section"/>
      </w:pPr>
      <w:bookmarkStart w:id="3363" w:name="_Toc256755208"/>
      <w:bookmarkStart w:id="3364" w:name="_Toc224819626"/>
      <w:r w:rsidRPr="001531CD">
        <w:t>§1315.</w:t>
      </w:r>
      <w:r w:rsidRPr="001531CD">
        <w:tab/>
        <w:t>Forestry Practice Implementation Period</w:t>
      </w:r>
      <w:bookmarkEnd w:id="3363"/>
      <w:bookmarkEnd w:id="3364"/>
    </w:p>
    <w:p w14:paraId="1239E93F" w14:textId="77777777" w:rsidR="00910814" w:rsidRPr="00C40A02" w:rsidRDefault="00910814" w:rsidP="00910814">
      <w:pPr>
        <w:pStyle w:val="A"/>
      </w:pPr>
      <w:r w:rsidRPr="00C40A02">
        <w:t>A.</w:t>
      </w:r>
      <w:r w:rsidRPr="00C40A02">
        <w:tab/>
        <w:t>Each landowner shall have 11 months to complete the forestry practice or practices authorized by the cooperative agreement.</w:t>
      </w:r>
    </w:p>
    <w:p w14:paraId="52B5D341" w14:textId="77777777" w:rsidR="00CF626A" w:rsidRPr="001531CD" w:rsidRDefault="00910814" w:rsidP="00910814">
      <w:pPr>
        <w:pStyle w:val="AuthorityNote"/>
      </w:pPr>
      <w:r w:rsidRPr="00C40A02">
        <w:t>AUTHORITY NOTE:</w:t>
      </w:r>
      <w:r w:rsidRPr="00C40A02">
        <w:tab/>
        <w:t>Promulgated in accordance with R.S. 3:4413 and R.S. 3:4415.</w:t>
      </w:r>
    </w:p>
    <w:p w14:paraId="24763563" w14:textId="77777777" w:rsidR="00CF626A" w:rsidRPr="001531CD" w:rsidRDefault="00CF626A">
      <w:pPr>
        <w:pStyle w:val="HistoricalNote"/>
      </w:pPr>
      <w:r w:rsidRPr="001531CD">
        <w:t>HISTORICAL NOTE:</w:t>
      </w:r>
      <w:r w:rsidRPr="001531CD">
        <w:tab/>
        <w:t>Promulgated by the Department of Agriculture and Forestry, Office of the Commissioner, LR 24:1680 (September 1998), amended by the Department of Agriculture and Forestry, Office of Fore</w:t>
      </w:r>
      <w:r w:rsidR="00910814">
        <w:t xml:space="preserve">stry, LR 28:267 (February 2002), </w:t>
      </w:r>
      <w:r w:rsidR="00910814" w:rsidRPr="00C40A02">
        <w:t>LR 42:</w:t>
      </w:r>
      <w:r w:rsidR="00910814">
        <w:t>1868 (November 2016).</w:t>
      </w:r>
    </w:p>
    <w:p w14:paraId="65EAE975" w14:textId="77777777" w:rsidR="00CF626A" w:rsidRPr="001531CD" w:rsidRDefault="00CF626A">
      <w:pPr>
        <w:pStyle w:val="Section"/>
      </w:pPr>
      <w:bookmarkStart w:id="3365" w:name="_Toc256755209"/>
      <w:bookmarkStart w:id="3366" w:name="_Toc224819627"/>
      <w:r w:rsidRPr="001531CD">
        <w:t>§1317.</w:t>
      </w:r>
      <w:r w:rsidRPr="001531CD">
        <w:tab/>
        <w:t>Payment by the Department</w:t>
      </w:r>
      <w:bookmarkEnd w:id="3365"/>
      <w:bookmarkEnd w:id="3366"/>
    </w:p>
    <w:p w14:paraId="000B2D30" w14:textId="77777777" w:rsidR="00CF626A" w:rsidRPr="001531CD" w:rsidRDefault="00CF626A">
      <w:pPr>
        <w:pStyle w:val="A"/>
      </w:pPr>
      <w:r w:rsidRPr="001531CD">
        <w:t>A.</w:t>
      </w:r>
      <w:r w:rsidRPr="001531CD">
        <w:tab/>
        <w:t>Payment by the department to any landowner under any cooperative agreement entered into under this program shall be made by the department only out of monies that are in the fund at the time payment is due.</w:t>
      </w:r>
    </w:p>
    <w:p w14:paraId="47D12B55" w14:textId="77777777" w:rsidR="00CF626A" w:rsidRPr="001531CD" w:rsidRDefault="00CF626A">
      <w:pPr>
        <w:pStyle w:val="A"/>
      </w:pPr>
      <w:r w:rsidRPr="001531CD">
        <w:t>B.</w:t>
      </w:r>
      <w:r w:rsidRPr="001531CD">
        <w:tab/>
        <w:t>The department shall make payment under any cooperative agreement only when:</w:t>
      </w:r>
    </w:p>
    <w:p w14:paraId="3E782BC1" w14:textId="77777777" w:rsidR="00CF626A" w:rsidRPr="001531CD" w:rsidRDefault="00CF626A">
      <w:pPr>
        <w:pStyle w:val="1"/>
      </w:pPr>
      <w:r w:rsidRPr="001531CD">
        <w:t>1.</w:t>
      </w:r>
      <w:r w:rsidRPr="001531CD">
        <w:tab/>
        <w:t>the landowner has completed, to the department's satisfaction, all forestry practices stated in the cooperative agreement;</w:t>
      </w:r>
    </w:p>
    <w:p w14:paraId="2333645B" w14:textId="77777777" w:rsidR="00CF626A" w:rsidRPr="001531CD" w:rsidRDefault="00CF626A">
      <w:pPr>
        <w:pStyle w:val="1"/>
      </w:pPr>
      <w:r w:rsidRPr="001531CD">
        <w:t>2.</w:t>
      </w:r>
      <w:r w:rsidRPr="001531CD">
        <w:tab/>
        <w:t>the landowner has complied with all other terms of the cooperative agreement;</w:t>
      </w:r>
    </w:p>
    <w:p w14:paraId="059DB75A" w14:textId="77777777" w:rsidR="00CF626A" w:rsidRPr="001531CD" w:rsidRDefault="00CF626A">
      <w:pPr>
        <w:pStyle w:val="1"/>
      </w:pPr>
      <w:r w:rsidRPr="001531CD">
        <w:lastRenderedPageBreak/>
        <w:t>3.</w:t>
      </w:r>
      <w:r w:rsidRPr="001531CD">
        <w:tab/>
        <w:t>the landowner has submitted invoices paid by him for all forestry practices authorized by the cooperative agreement.</w:t>
      </w:r>
    </w:p>
    <w:p w14:paraId="0E8FA554" w14:textId="77777777" w:rsidR="00CF626A" w:rsidRPr="001531CD" w:rsidRDefault="00CF626A">
      <w:pPr>
        <w:pStyle w:val="AuthorityNote"/>
      </w:pPr>
      <w:r w:rsidRPr="001531CD">
        <w:t>AUTHORITY NOTE:</w:t>
      </w:r>
      <w:r w:rsidRPr="001531CD">
        <w:tab/>
        <w:t>Promulgated in accordance with R.S. 3:4413.</w:t>
      </w:r>
    </w:p>
    <w:p w14:paraId="37C652BF" w14:textId="77777777" w:rsidR="00CF626A" w:rsidRPr="001531CD" w:rsidRDefault="00CF626A">
      <w:pPr>
        <w:pStyle w:val="HistoricalNote"/>
      </w:pPr>
      <w:r w:rsidRPr="001531CD">
        <w:t>HISTORICAL NOTE:</w:t>
      </w:r>
      <w:r w:rsidRPr="001531CD">
        <w:tab/>
        <w:t>Promulgated by the Department of Agriculture and Forestry, Office of the Commissioner, LR 24:1680 (September 1998).</w:t>
      </w:r>
    </w:p>
    <w:p w14:paraId="4E612AF3" w14:textId="77777777" w:rsidR="00CF626A" w:rsidRPr="001531CD" w:rsidRDefault="00CF626A">
      <w:pPr>
        <w:pStyle w:val="Section"/>
      </w:pPr>
      <w:bookmarkStart w:id="3367" w:name="_Toc256755210"/>
      <w:bookmarkStart w:id="3368" w:name="_Toc224819628"/>
      <w:r w:rsidRPr="001531CD">
        <w:t>§1319.</w:t>
      </w:r>
      <w:r w:rsidRPr="001531CD">
        <w:tab/>
        <w:t>Repayment by Landowners to the Department</w:t>
      </w:r>
      <w:bookmarkEnd w:id="3367"/>
      <w:bookmarkEnd w:id="3368"/>
      <w:r w:rsidRPr="001531CD">
        <w:t xml:space="preserve"> </w:t>
      </w:r>
    </w:p>
    <w:p w14:paraId="00B983A6" w14:textId="77777777" w:rsidR="00CF626A" w:rsidRPr="001531CD" w:rsidRDefault="00CF626A">
      <w:pPr>
        <w:pStyle w:val="A"/>
      </w:pPr>
      <w:r w:rsidRPr="001531CD">
        <w:t>A.</w:t>
      </w:r>
      <w:r w:rsidRPr="001531CD">
        <w:tab/>
        <w:t>The department may seek repayment from a landowner when:</w:t>
      </w:r>
    </w:p>
    <w:p w14:paraId="67FC22D6" w14:textId="77777777" w:rsidR="00CF626A" w:rsidRPr="001531CD" w:rsidRDefault="00CF626A">
      <w:pPr>
        <w:pStyle w:val="1"/>
      </w:pPr>
      <w:r w:rsidRPr="001531CD">
        <w:t>1.</w:t>
      </w:r>
      <w:r w:rsidRPr="001531CD">
        <w:tab/>
        <w:t>the landowner has, for any reason, received monies over and above the amount allowed by law or these regulations;</w:t>
      </w:r>
    </w:p>
    <w:p w14:paraId="4ED15A0A" w14:textId="77777777" w:rsidR="00CF626A" w:rsidRPr="001531CD" w:rsidRDefault="00CF626A">
      <w:pPr>
        <w:pStyle w:val="1"/>
      </w:pPr>
      <w:r w:rsidRPr="001531CD">
        <w:t>2.</w:t>
      </w:r>
      <w:r w:rsidRPr="001531CD">
        <w:tab/>
        <w:t>the landowner has failed to maintain the approved forestry practices for the life of the cooperative agreement;</w:t>
      </w:r>
    </w:p>
    <w:p w14:paraId="5077FEF5" w14:textId="77777777" w:rsidR="00CF626A" w:rsidRPr="001531CD" w:rsidRDefault="00CF626A">
      <w:pPr>
        <w:pStyle w:val="1"/>
      </w:pPr>
      <w:r w:rsidRPr="001531CD">
        <w:t>3.</w:t>
      </w:r>
      <w:r w:rsidRPr="001531CD">
        <w:tab/>
        <w:t>the landowner has failed to abide by the terms of the cooperative agreement;</w:t>
      </w:r>
    </w:p>
    <w:p w14:paraId="267CE83A" w14:textId="77777777" w:rsidR="00CF626A" w:rsidRPr="001531CD" w:rsidRDefault="00CF626A">
      <w:pPr>
        <w:pStyle w:val="1"/>
      </w:pPr>
      <w:r w:rsidRPr="001531CD">
        <w:t>4.</w:t>
      </w:r>
      <w:r w:rsidRPr="001531CD">
        <w:tab/>
        <w:t>the landowner sells, conveys, or otherwise loses control of land subject to a cooperative agreement under this program and the new landowner does not abide by the terms of the cooperative agreement or does not maintain the approved forestry practices for the life of the cooperative agreement;</w:t>
      </w:r>
    </w:p>
    <w:p w14:paraId="20E5D024" w14:textId="77777777" w:rsidR="00CF626A" w:rsidRPr="001531CD" w:rsidRDefault="00CF626A">
      <w:pPr>
        <w:pStyle w:val="1"/>
      </w:pPr>
      <w:r w:rsidRPr="001531CD">
        <w:t>5.</w:t>
      </w:r>
      <w:r w:rsidRPr="001531CD">
        <w:tab/>
        <w:t>the department determines that a landowner has committed program violations or abuses that require repayment from the landowner or has violated any of the provisions of §1311 of these regulations.</w:t>
      </w:r>
    </w:p>
    <w:p w14:paraId="2B6EAB1A" w14:textId="77777777" w:rsidR="00CF626A" w:rsidRPr="001531CD" w:rsidRDefault="00CF626A">
      <w:pPr>
        <w:pStyle w:val="A"/>
      </w:pPr>
      <w:r w:rsidRPr="001531CD">
        <w:t>B.</w:t>
      </w:r>
      <w:r w:rsidRPr="001531CD">
        <w:tab/>
        <w:t>A landowner may appeal a department's demand for repayment of monies paid the landowner under this program by filing with the commissioner a written request for an administrative review by him of the department's demand for repayment. The landowner's request for an administrative review must be postmarked within 15 days after the landowner receives the department's demand for repayment. A copy of the request must also be sent to the state forester who, upon receipt of the landowner's request shall forward all of the department's pertinent documentation to the commissioner with a copy to the landowner.</w:t>
      </w:r>
    </w:p>
    <w:p w14:paraId="4FA6DCDC" w14:textId="77777777" w:rsidR="00CF626A" w:rsidRPr="001531CD" w:rsidRDefault="00CF626A">
      <w:pPr>
        <w:pStyle w:val="A"/>
      </w:pPr>
      <w:r w:rsidRPr="001531CD">
        <w:t>C.</w:t>
      </w:r>
      <w:r w:rsidRPr="001531CD">
        <w:tab/>
        <w:t>The landowner's request for an administrative adjudicatory hearing shall contain the following information:</w:t>
      </w:r>
    </w:p>
    <w:p w14:paraId="4F73CAA6" w14:textId="77777777" w:rsidR="00CF626A" w:rsidRPr="001531CD" w:rsidRDefault="00CF626A">
      <w:pPr>
        <w:pStyle w:val="1"/>
      </w:pPr>
      <w:r w:rsidRPr="001531CD">
        <w:t>1.</w:t>
      </w:r>
      <w:r w:rsidRPr="001531CD">
        <w:tab/>
        <w:t>the name, address and telephone number of the landowner and of any party that the landowner believes may be adversely affected by the commissioner's determination;</w:t>
      </w:r>
    </w:p>
    <w:p w14:paraId="28321D45" w14:textId="77777777" w:rsidR="00CF626A" w:rsidRPr="001531CD" w:rsidRDefault="00CF626A">
      <w:pPr>
        <w:pStyle w:val="1"/>
      </w:pPr>
      <w:r w:rsidRPr="001531CD">
        <w:t>2.</w:t>
      </w:r>
      <w:r w:rsidRPr="001531CD">
        <w:tab/>
        <w:t>a statement of the facts known to the landowner and the reasons why he believes that the department is not entitled to repayment; and</w:t>
      </w:r>
    </w:p>
    <w:p w14:paraId="2599A72D" w14:textId="77777777" w:rsidR="00CF626A" w:rsidRPr="001531CD" w:rsidRDefault="00CF626A">
      <w:pPr>
        <w:pStyle w:val="1"/>
      </w:pPr>
      <w:r w:rsidRPr="001531CD">
        <w:t>3.</w:t>
      </w:r>
      <w:r w:rsidRPr="001531CD">
        <w:tab/>
        <w:t>a copy of all invoices and documents relating to the cooperative agreement.</w:t>
      </w:r>
    </w:p>
    <w:p w14:paraId="12AF2B4A" w14:textId="77777777" w:rsidR="00CF626A" w:rsidRPr="001531CD" w:rsidRDefault="00CF626A">
      <w:pPr>
        <w:pStyle w:val="A"/>
      </w:pPr>
      <w:r w:rsidRPr="001531CD">
        <w:t>D.</w:t>
      </w:r>
      <w:r w:rsidRPr="001531CD">
        <w:tab/>
        <w:t xml:space="preserve">The commissioner, upon receipt of all documentation from the department and the landowner shall either review the information and make a decision or appoint a hearing officer to conduct an administrative adjudicatory hearing and submit </w:t>
      </w:r>
      <w:r w:rsidRPr="001531CD">
        <w:t>a report and recommendation to the commissioner for a final decision. Any administrative adjudicatory hearing shall be conducted in accordance with the Administrative Procedure Act.</w:t>
      </w:r>
    </w:p>
    <w:p w14:paraId="651C635D" w14:textId="77777777" w:rsidR="00CF626A" w:rsidRPr="001531CD" w:rsidRDefault="00CF626A">
      <w:pPr>
        <w:pStyle w:val="AuthorityNote"/>
      </w:pPr>
      <w:r w:rsidRPr="001531CD">
        <w:t>AUTHORITY NOTE:</w:t>
      </w:r>
      <w:r w:rsidRPr="001531CD">
        <w:tab/>
        <w:t>Promulgated in accordance with R.S. 3:4413 and R.S. 3:4415.</w:t>
      </w:r>
    </w:p>
    <w:p w14:paraId="0D1CCA71" w14:textId="77777777" w:rsidR="00CF626A" w:rsidRPr="001531CD" w:rsidRDefault="00CF626A">
      <w:pPr>
        <w:pStyle w:val="HistoricalNote"/>
      </w:pPr>
      <w:r w:rsidRPr="001531CD">
        <w:t>HISTORICAL NOTE:</w:t>
      </w:r>
      <w:r w:rsidRPr="001531CD">
        <w:tab/>
        <w:t>Promulgated by the Department of Agriculture and Forestry, Office of the Commissioner, LR 24:1681 (September 1998).</w:t>
      </w:r>
    </w:p>
    <w:p w14:paraId="248F1ADB" w14:textId="77777777" w:rsidR="00CF626A" w:rsidRPr="001531CD" w:rsidRDefault="00CF626A">
      <w:pPr>
        <w:pStyle w:val="Section"/>
      </w:pPr>
      <w:bookmarkStart w:id="3369" w:name="_Toc256755211"/>
      <w:bookmarkStart w:id="3370" w:name="_Toc224819629"/>
      <w:r w:rsidRPr="001531CD">
        <w:t>§1321.</w:t>
      </w:r>
      <w:r w:rsidRPr="001531CD">
        <w:tab/>
        <w:t>Competitive Research and Cooperative Extension Grants</w:t>
      </w:r>
      <w:bookmarkEnd w:id="3369"/>
      <w:bookmarkEnd w:id="3370"/>
    </w:p>
    <w:p w14:paraId="21061A2E" w14:textId="77777777" w:rsidR="00CF626A" w:rsidRPr="001531CD" w:rsidRDefault="00CF626A">
      <w:pPr>
        <w:pStyle w:val="A"/>
      </w:pPr>
      <w:r w:rsidRPr="001531CD">
        <w:t>A.</w:t>
      </w:r>
      <w:r w:rsidRPr="001531CD">
        <w:tab/>
        <w:t>A competitive grant process is hereby created, subject to the following provisions, in order to provide for research and cooperative extension activities to enhance reforestation, increase productivity, and to further knowledge regarding the proper application of forestry principles.</w:t>
      </w:r>
    </w:p>
    <w:p w14:paraId="0227094B" w14:textId="77777777" w:rsidR="00CF626A" w:rsidRPr="001531CD" w:rsidRDefault="006D2DAF">
      <w:pPr>
        <w:pStyle w:val="A"/>
      </w:pPr>
      <w:r w:rsidRPr="00303774">
        <w:t>B.</w:t>
      </w:r>
      <w:r w:rsidRPr="00303774">
        <w:tab/>
        <w:t>Each fiscal year the commissioner may set aside a portion of the monies in the fund to be used for competitive grants.</w:t>
      </w:r>
    </w:p>
    <w:p w14:paraId="2E9C26AA" w14:textId="77777777" w:rsidR="00CF626A" w:rsidRPr="001531CD" w:rsidRDefault="00CF626A">
      <w:pPr>
        <w:pStyle w:val="A"/>
      </w:pPr>
      <w:r w:rsidRPr="001531CD">
        <w:t>C.</w:t>
      </w:r>
      <w:r w:rsidRPr="001531CD">
        <w:tab/>
        <w:t>All competitive grants shall be awarded on a matching fund basis, with no more than 50 percent of the cost of the program being funded to be paid by the fund.</w:t>
      </w:r>
    </w:p>
    <w:p w14:paraId="378405E0" w14:textId="77777777" w:rsidR="00CF626A" w:rsidRPr="001531CD" w:rsidRDefault="00CF626A">
      <w:pPr>
        <w:pStyle w:val="A"/>
      </w:pPr>
      <w:r w:rsidRPr="001531CD">
        <w:t>D.</w:t>
      </w:r>
      <w:r w:rsidRPr="001531CD">
        <w:tab/>
        <w:t>No grant shall be awarded under this program for any purposes other than research or cooperative extension activities intended to enhance reforestation, increase productivity, or to further knowledge regarding the proper application of forestry principles.</w:t>
      </w:r>
    </w:p>
    <w:p w14:paraId="5EE2431B" w14:textId="77777777" w:rsidR="00CF626A" w:rsidRPr="001531CD" w:rsidRDefault="00CF626A">
      <w:pPr>
        <w:pStyle w:val="A"/>
      </w:pPr>
      <w:r w:rsidRPr="001531CD">
        <w:t>E.</w:t>
      </w:r>
      <w:r w:rsidRPr="001531CD">
        <w:tab/>
        <w:t>All grant proposals must be submitted, in writing, to the department no later than May 1 of each year. Each grant proposal must state in detail the purpose, goals, procedures, completion date and budget of the project as well as any additional information requested by the department.</w:t>
      </w:r>
    </w:p>
    <w:p w14:paraId="29354FC2" w14:textId="77777777" w:rsidR="00CF626A" w:rsidRPr="001531CD" w:rsidRDefault="00CF626A">
      <w:pPr>
        <w:pStyle w:val="A"/>
      </w:pPr>
      <w:r w:rsidRPr="001531CD">
        <w:t>F.</w:t>
      </w:r>
      <w:r w:rsidRPr="001531CD">
        <w:tab/>
        <w:t>The commissioner may award grants, no later than July 1 of each year, if the commission determines that an award of a grant will fulfill the purposes of the program. Upon the award of a grant the department and the grant recipient will enter into a written cooperative agreement detailing the terms and conditions of the grant.</w:t>
      </w:r>
    </w:p>
    <w:p w14:paraId="7D417CFF" w14:textId="77777777" w:rsidR="00CF626A" w:rsidRPr="001531CD" w:rsidRDefault="00CF626A">
      <w:pPr>
        <w:pStyle w:val="A"/>
      </w:pPr>
      <w:r w:rsidRPr="001531CD">
        <w:t>G.</w:t>
      </w:r>
      <w:r w:rsidRPr="001531CD">
        <w:tab/>
        <w:t>Any grant that is awarded for a project that extends beyond the fiscal year in which the initial grant award is made may be renewed for the following fiscal year but any payment of monies by the department under the extended grant shall be subject to the availability of grant money in the fund.</w:t>
      </w:r>
    </w:p>
    <w:p w14:paraId="54653354" w14:textId="77777777" w:rsidR="00CF626A" w:rsidRPr="001531CD" w:rsidRDefault="006D2DAF">
      <w:pPr>
        <w:pStyle w:val="AuthorityNote"/>
      </w:pPr>
      <w:r w:rsidRPr="00303774">
        <w:t>AUTHORITY NOTE:</w:t>
      </w:r>
      <w:r w:rsidRPr="00303774">
        <w:tab/>
        <w:t>Promulgated in accordance with R.S. 3:4413 and R.S. 3:4416.</w:t>
      </w:r>
    </w:p>
    <w:p w14:paraId="496EFE8C" w14:textId="77777777" w:rsidR="00CF626A" w:rsidRPr="001531CD" w:rsidRDefault="00CF626A">
      <w:pPr>
        <w:pStyle w:val="HistoricalNote"/>
      </w:pPr>
      <w:r w:rsidRPr="001531CD">
        <w:t>HISTORICAL NOTE:</w:t>
      </w:r>
      <w:r w:rsidRPr="001531CD">
        <w:tab/>
        <w:t>Promulgated by the Department of Agriculture and Forestry, Office of the Commission</w:t>
      </w:r>
      <w:r w:rsidR="006D2DAF">
        <w:t xml:space="preserve">er, LR 24:1681 (September 1998), amended </w:t>
      </w:r>
      <w:r w:rsidR="006D2DAF" w:rsidRPr="00303774">
        <w:t>by the Department of Agriculture an</w:t>
      </w:r>
      <w:r w:rsidR="006D2DAF">
        <w:t xml:space="preserve">d Forestry, Office of Forestry, </w:t>
      </w:r>
      <w:r w:rsidR="006D2DAF" w:rsidRPr="00303774">
        <w:t xml:space="preserve">LR </w:t>
      </w:r>
      <w:r w:rsidR="006D2DAF">
        <w:t>41:2103 (October 2015).</w:t>
      </w:r>
    </w:p>
    <w:p w14:paraId="42282351" w14:textId="77777777" w:rsidR="00CF626A" w:rsidRPr="001531CD" w:rsidRDefault="00CF626A">
      <w:pPr>
        <w:pStyle w:val="Chapter"/>
      </w:pPr>
      <w:bookmarkStart w:id="3371" w:name="TOC_Chap284"/>
      <w:bookmarkStart w:id="3372" w:name="_Toc256755212"/>
      <w:bookmarkStart w:id="3373" w:name="_Toc224819630"/>
      <w:r w:rsidRPr="001531CD">
        <w:t>Chapter 15.</w:t>
      </w:r>
      <w:bookmarkEnd w:id="3371"/>
      <w:r w:rsidR="00D07DF2">
        <w:tab/>
      </w:r>
      <w:bookmarkStart w:id="3374" w:name="TOCT_Chap270"/>
      <w:bookmarkStart w:id="3375" w:name="TOCT_Chap284"/>
      <w:r w:rsidRPr="001531CD">
        <w:t>Timber Harvesting and Receiving Records</w:t>
      </w:r>
      <w:bookmarkEnd w:id="3372"/>
      <w:bookmarkEnd w:id="3373"/>
      <w:bookmarkEnd w:id="3374"/>
      <w:bookmarkEnd w:id="3375"/>
    </w:p>
    <w:p w14:paraId="18DFA7D4" w14:textId="77777777" w:rsidR="003E761C" w:rsidRDefault="003E761C" w:rsidP="003E761C">
      <w:pPr>
        <w:pStyle w:val="Section"/>
        <w:rPr>
          <w:rFonts w:eastAsia="Calibri"/>
        </w:rPr>
      </w:pPr>
      <w:bookmarkStart w:id="3376" w:name="_Toc224819631"/>
      <w:bookmarkStart w:id="3377" w:name="_Toc256755213"/>
      <w:r w:rsidRPr="00EE0DA0">
        <w:rPr>
          <w:rFonts w:eastAsia="Calibri"/>
        </w:rPr>
        <w:t>§1500.</w:t>
      </w:r>
      <w:r w:rsidRPr="00EE0DA0">
        <w:rPr>
          <w:rFonts w:eastAsia="Calibri"/>
        </w:rPr>
        <w:tab/>
        <w:t>Definitions</w:t>
      </w:r>
      <w:bookmarkEnd w:id="3376"/>
    </w:p>
    <w:p w14:paraId="57363BD8" w14:textId="77777777" w:rsidR="003E761C" w:rsidRDefault="003E761C" w:rsidP="003E761C">
      <w:pPr>
        <w:pStyle w:val="A"/>
        <w:rPr>
          <w:rFonts w:eastAsia="Calibri"/>
        </w:rPr>
      </w:pPr>
      <w:r w:rsidRPr="00EE0DA0">
        <w:rPr>
          <w:rFonts w:eastAsia="Calibri"/>
          <w:i/>
          <w:iCs/>
        </w:rPr>
        <w:t>Commissioner—</w:t>
      </w:r>
      <w:r w:rsidRPr="00EE0DA0">
        <w:rPr>
          <w:rFonts w:eastAsia="Calibri"/>
        </w:rPr>
        <w:t xml:space="preserve">the </w:t>
      </w:r>
      <w:r>
        <w:rPr>
          <w:rFonts w:eastAsia="Calibri"/>
        </w:rPr>
        <w:t>c</w:t>
      </w:r>
      <w:r w:rsidRPr="00EE0DA0">
        <w:rPr>
          <w:rFonts w:eastAsia="Calibri"/>
        </w:rPr>
        <w:t>ommissioner of the Louisiana Department of Agriculture and Forestry.</w:t>
      </w:r>
    </w:p>
    <w:p w14:paraId="56A2A06A" w14:textId="77777777" w:rsidR="003E761C" w:rsidRDefault="003E761C" w:rsidP="003E761C">
      <w:pPr>
        <w:pStyle w:val="A"/>
        <w:rPr>
          <w:rFonts w:eastAsia="Calibri"/>
        </w:rPr>
      </w:pPr>
      <w:r w:rsidRPr="00EE0DA0">
        <w:rPr>
          <w:rFonts w:eastAsia="Calibri"/>
          <w:i/>
          <w:iCs/>
        </w:rPr>
        <w:lastRenderedPageBreak/>
        <w:t>Forest Products—</w:t>
      </w:r>
      <w:r w:rsidRPr="00EE0DA0">
        <w:rPr>
          <w:rFonts w:eastAsia="Calibri"/>
        </w:rPr>
        <w:t>any tree, shrub, plant or related vegetation, or any part thereof.</w:t>
      </w:r>
    </w:p>
    <w:p w14:paraId="37F0DF45" w14:textId="77777777" w:rsidR="003E761C" w:rsidRDefault="003E761C" w:rsidP="003E761C">
      <w:pPr>
        <w:pStyle w:val="A"/>
        <w:rPr>
          <w:rFonts w:eastAsia="Calibri"/>
        </w:rPr>
      </w:pPr>
      <w:r w:rsidRPr="00EE0DA0">
        <w:rPr>
          <w:rFonts w:eastAsia="Calibri"/>
          <w:i/>
          <w:iCs/>
        </w:rPr>
        <w:t>Landowner</w:t>
      </w:r>
      <w:r w:rsidRPr="00EE0DA0">
        <w:rPr>
          <w:rFonts w:eastAsia="Calibri"/>
        </w:rPr>
        <w:t>—any individual, corporation, partnership, association, trust, joint venture, other legal entity or combination thereof who owns 5 contiguous acres or more of land located in Louisiana.</w:t>
      </w:r>
    </w:p>
    <w:p w14:paraId="2EB22EF6" w14:textId="77777777" w:rsidR="003E761C" w:rsidRDefault="003E761C" w:rsidP="003E761C">
      <w:pPr>
        <w:pStyle w:val="A"/>
        <w:rPr>
          <w:rFonts w:eastAsia="Calibri"/>
        </w:rPr>
      </w:pPr>
      <w:r w:rsidRPr="00EE0DA0">
        <w:rPr>
          <w:rFonts w:eastAsia="Calibri"/>
          <w:i/>
          <w:iCs/>
        </w:rPr>
        <w:t>Written Contract or Agreement—</w:t>
      </w:r>
      <w:r w:rsidRPr="00EE0DA0">
        <w:rPr>
          <w:rFonts w:eastAsia="Calibri"/>
        </w:rPr>
        <w:t>a written and signed contract or agreement between the landowner or an individual with timber ownership rights and the purchaser of the standing timber that defines the terms and obligations of the timber harvesting.</w:t>
      </w:r>
    </w:p>
    <w:p w14:paraId="04C0657E" w14:textId="77777777" w:rsidR="003E761C" w:rsidRPr="00EE0DA0" w:rsidRDefault="003E761C" w:rsidP="003E761C">
      <w:pPr>
        <w:pStyle w:val="AuthorityNote"/>
        <w:rPr>
          <w:rFonts w:eastAsia="Calibri"/>
        </w:rPr>
      </w:pPr>
      <w:r w:rsidRPr="00EE0DA0">
        <w:rPr>
          <w:rFonts w:eastAsia="Calibri"/>
        </w:rPr>
        <w:t>AUTHORITY NOTE:</w:t>
      </w:r>
      <w:r w:rsidRPr="00EE0DA0">
        <w:rPr>
          <w:rFonts w:eastAsia="Calibri"/>
        </w:rPr>
        <w:tab/>
        <w:t>Promulgated in accordance with R.S. 3:4278.3 and R.S. 3:4278.6.</w:t>
      </w:r>
    </w:p>
    <w:p w14:paraId="6402493F" w14:textId="77777777" w:rsidR="003E761C" w:rsidRDefault="003E761C" w:rsidP="003E761C">
      <w:pPr>
        <w:pStyle w:val="HistoricalNote"/>
        <w:rPr>
          <w:rFonts w:eastAsia="Calibri"/>
        </w:rPr>
      </w:pPr>
      <w:r w:rsidRPr="00EE0DA0">
        <w:rPr>
          <w:rFonts w:eastAsia="Calibri"/>
        </w:rPr>
        <w:t>HISTORICAL NOTE:</w:t>
      </w:r>
      <w:r w:rsidRPr="00EE0DA0">
        <w:rPr>
          <w:rFonts w:eastAsia="Calibri"/>
        </w:rPr>
        <w:tab/>
        <w:t xml:space="preserve">Promulgated by the Department of Agriculture and Forestry, Office of Forestry, </w:t>
      </w:r>
      <w:r>
        <w:rPr>
          <w:rFonts w:eastAsia="Calibri"/>
        </w:rPr>
        <w:t>LR 51:32 (January 2025).</w:t>
      </w:r>
      <w:r w:rsidRPr="00EE0DA0">
        <w:rPr>
          <w:rFonts w:eastAsia="Calibri"/>
        </w:rPr>
        <w:t xml:space="preserve"> </w:t>
      </w:r>
    </w:p>
    <w:p w14:paraId="46C0D1C0" w14:textId="77777777" w:rsidR="00CF626A" w:rsidRPr="001531CD" w:rsidRDefault="00CF626A">
      <w:pPr>
        <w:pStyle w:val="Section"/>
      </w:pPr>
      <w:bookmarkStart w:id="3378" w:name="_Toc224819632"/>
      <w:r w:rsidRPr="001531CD">
        <w:t>§1501.</w:t>
      </w:r>
      <w:r w:rsidRPr="001531CD">
        <w:tab/>
        <w:t>Loaders Log: Required Information; Distribution; Maintenance of Records</w:t>
      </w:r>
      <w:bookmarkEnd w:id="3377"/>
      <w:bookmarkEnd w:id="3378"/>
    </w:p>
    <w:p w14:paraId="6E3B80BF" w14:textId="77777777" w:rsidR="00CF626A" w:rsidRPr="001531CD" w:rsidRDefault="001651B4">
      <w:pPr>
        <w:pStyle w:val="A"/>
      </w:pPr>
      <w:r w:rsidRPr="001531CD">
        <w:t>A.</w:t>
      </w:r>
      <w:r w:rsidRPr="001531CD">
        <w:tab/>
        <w:t>A loaders log must be kept on all timber harvesting sites. On any per-unit sale, upon completion of the harvest, the purchaser must provide the timber owner a copy of the loaders log. Loaders log must be maintained for a period not less than six years.</w:t>
      </w:r>
    </w:p>
    <w:p w14:paraId="7BC722F5" w14:textId="77777777" w:rsidR="00CF626A" w:rsidRPr="001531CD" w:rsidRDefault="00CF626A">
      <w:pPr>
        <w:pStyle w:val="A"/>
      </w:pPr>
      <w:r w:rsidRPr="001531CD">
        <w:t>B.</w:t>
      </w:r>
      <w:r w:rsidRPr="001531CD">
        <w:tab/>
        <w:t>Each loaders log must contain the following information:</w:t>
      </w:r>
    </w:p>
    <w:p w14:paraId="21950FB6" w14:textId="77777777" w:rsidR="00CF626A" w:rsidRPr="001531CD" w:rsidRDefault="00CF626A">
      <w:pPr>
        <w:pStyle w:val="1"/>
      </w:pPr>
      <w:r w:rsidRPr="001531CD">
        <w:t>1.</w:t>
      </w:r>
      <w:r w:rsidRPr="001531CD">
        <w:tab/>
        <w:t>loader make and model―each loader used must be identified on the loaders log book by make and model;</w:t>
      </w:r>
    </w:p>
    <w:p w14:paraId="6E887296" w14:textId="77777777" w:rsidR="00CF626A" w:rsidRPr="001531CD" w:rsidRDefault="00CF626A">
      <w:pPr>
        <w:pStyle w:val="1"/>
      </w:pPr>
      <w:r w:rsidRPr="001531CD">
        <w:t>2.</w:t>
      </w:r>
      <w:r w:rsidRPr="001531CD">
        <w:tab/>
        <w:t>load number―each load of timber leaving a cutting site must be assigned a load number. Load numbers for each job site must be in sequence;</w:t>
      </w:r>
    </w:p>
    <w:p w14:paraId="03A0CA8C" w14:textId="77777777" w:rsidR="00CF626A" w:rsidRPr="001531CD" w:rsidRDefault="00CF626A">
      <w:pPr>
        <w:pStyle w:val="1"/>
      </w:pPr>
      <w:r w:rsidRPr="001531CD">
        <w:t>3.</w:t>
      </w:r>
      <w:r w:rsidRPr="001531CD">
        <w:tab/>
        <w:t>parish/county and state―the parish or county and state where the timber was severed;</w:t>
      </w:r>
    </w:p>
    <w:p w14:paraId="4A871F9F" w14:textId="77777777" w:rsidR="00CF626A" w:rsidRPr="001531CD" w:rsidRDefault="00CF626A">
      <w:pPr>
        <w:pStyle w:val="1"/>
      </w:pPr>
      <w:r w:rsidRPr="001531CD">
        <w:t>4.</w:t>
      </w:r>
      <w:r w:rsidRPr="001531CD">
        <w:tab/>
        <w:t>landowner's name―the name of the owner of the land where the timber is being severed. On multiple ownership land, the name of the estate, corporation, or what the site is commonly known as, may be entered. On industrial lands, the company tract number may be listed;</w:t>
      </w:r>
    </w:p>
    <w:p w14:paraId="3CD4EA88" w14:textId="77777777" w:rsidR="00CF626A" w:rsidRPr="001531CD" w:rsidRDefault="00CF626A">
      <w:pPr>
        <w:pStyle w:val="1"/>
      </w:pPr>
      <w:r w:rsidRPr="001531CD">
        <w:t>5.</w:t>
      </w:r>
      <w:r w:rsidRPr="001531CD">
        <w:tab/>
        <w:t>date and time―the date and time the forest product is loaded on the truck;</w:t>
      </w:r>
    </w:p>
    <w:p w14:paraId="4F364018" w14:textId="77777777" w:rsidR="00CF626A" w:rsidRPr="001531CD" w:rsidRDefault="00CF626A">
      <w:pPr>
        <w:pStyle w:val="1"/>
      </w:pPr>
      <w:r w:rsidRPr="001531CD">
        <w:t>6.</w:t>
      </w:r>
      <w:r w:rsidRPr="001531CD">
        <w:tab/>
        <w:t>product―the forest product type must be clearly identified, for instance pine log, pine pulp, hardwood log, hardwood pulp, chip and saw, poles. The following symbols may be used: PL―pine logs; PP―pine pulp; HWL―hardwood logs; HWP―hardwood pulp; C&amp;S―chip and saw. Any other forest product must be written out. The severance tax code may also be used to identify the product;</w:t>
      </w:r>
    </w:p>
    <w:p w14:paraId="6F45A6A4" w14:textId="77777777" w:rsidR="00CF626A" w:rsidRPr="001531CD" w:rsidRDefault="00CF626A">
      <w:pPr>
        <w:pStyle w:val="1"/>
      </w:pPr>
      <w:r w:rsidRPr="001531CD">
        <w:t>7.</w:t>
      </w:r>
      <w:r w:rsidRPr="001531CD">
        <w:tab/>
        <w:t>destination―the first wood-receiving facility that the forest product is being transported to;</w:t>
      </w:r>
    </w:p>
    <w:p w14:paraId="5E16DE2F" w14:textId="77777777" w:rsidR="00CF626A" w:rsidRPr="001531CD" w:rsidRDefault="00CF626A">
      <w:pPr>
        <w:pStyle w:val="1"/>
      </w:pPr>
      <w:r w:rsidRPr="001531CD">
        <w:t>8.</w:t>
      </w:r>
      <w:r w:rsidRPr="001531CD">
        <w:tab/>
        <w:t>loader's name―the name of the individual loading the timber. Name must be as shown on the loaders drivers license. Must be printed and legible;</w:t>
      </w:r>
    </w:p>
    <w:p w14:paraId="2E568D9D" w14:textId="77777777" w:rsidR="00CF626A" w:rsidRDefault="00CF626A">
      <w:pPr>
        <w:pStyle w:val="1"/>
      </w:pPr>
      <w:r w:rsidRPr="001531CD">
        <w:t>9.</w:t>
      </w:r>
      <w:r w:rsidRPr="001531CD">
        <w:tab/>
        <w:t>driver's name―the name of the driver transporting the load. Name must be as shown on the drivers CDL. Must be printed and legible.</w:t>
      </w:r>
    </w:p>
    <w:p w14:paraId="49838006" w14:textId="77777777" w:rsidR="00643016" w:rsidRPr="00535E03" w:rsidRDefault="00643016" w:rsidP="00643016">
      <w:pPr>
        <w:pStyle w:val="A"/>
      </w:pPr>
      <w:r>
        <w:t>C.</w:t>
      </w:r>
      <w:r>
        <w:tab/>
      </w:r>
      <w:r w:rsidRPr="00535E03">
        <w:t>A loaders log may be kept in an electronic form.</w:t>
      </w:r>
      <w:r>
        <w:t xml:space="preserve"> </w:t>
      </w:r>
      <w:r w:rsidRPr="00535E03">
        <w:t>If a loaders log is kept in electronic form, it shall contain all required information set forth in Subsection B of this regulation and be maintained for a period of not less than six years.</w:t>
      </w:r>
    </w:p>
    <w:p w14:paraId="54D344AA" w14:textId="77777777" w:rsidR="00CF626A" w:rsidRPr="001531CD" w:rsidRDefault="00643016" w:rsidP="00643016">
      <w:pPr>
        <w:pStyle w:val="AuthorityNote"/>
      </w:pPr>
      <w:r w:rsidRPr="00535E03">
        <w:t>AUTHORITY NOTE:</w:t>
      </w:r>
      <w:r w:rsidRPr="00535E03">
        <w:tab/>
        <w:t>Promulgated in accordance with R.S. 3:4278.3.</w:t>
      </w:r>
    </w:p>
    <w:p w14:paraId="47FE0978" w14:textId="77777777" w:rsidR="00CF626A" w:rsidRPr="001531CD" w:rsidRDefault="00CF626A">
      <w:pPr>
        <w:pStyle w:val="HistoricalNote"/>
      </w:pPr>
      <w:r w:rsidRPr="001531CD">
        <w:t>HISTORICAL NOTE:</w:t>
      </w:r>
      <w:r w:rsidRPr="001531CD">
        <w:tab/>
        <w:t>Promulgated by the Department Agriculture and Forestry, Office of Forestry, Forestry Commission, LR 27:31 (January 2001),</w:t>
      </w:r>
      <w:r w:rsidR="001651B4" w:rsidRPr="001531CD">
        <w:t xml:space="preserve"> amended LR 27:1005 (July 2</w:t>
      </w:r>
      <w:r w:rsidR="00643016">
        <w:t xml:space="preserve">001), LR 37:2985 (October 2011), </w:t>
      </w:r>
      <w:r w:rsidR="00643016" w:rsidRPr="00535E03">
        <w:t>amended by the Department of Agriculture and Forestry, Office of Forestry,</w:t>
      </w:r>
      <w:r w:rsidR="00643016">
        <w:t xml:space="preserve"> </w:t>
      </w:r>
      <w:r w:rsidR="00643016" w:rsidRPr="00535E03">
        <w:t>LR 42:</w:t>
      </w:r>
      <w:r w:rsidR="00643016">
        <w:t>734 (May 2016).</w:t>
      </w:r>
    </w:p>
    <w:p w14:paraId="77BE2705" w14:textId="77777777" w:rsidR="00CF626A" w:rsidRPr="001531CD" w:rsidRDefault="00CF626A">
      <w:pPr>
        <w:pStyle w:val="Section"/>
      </w:pPr>
      <w:bookmarkStart w:id="3379" w:name="_Toc256755214"/>
      <w:bookmarkStart w:id="3380" w:name="_Toc224819633"/>
      <w:r w:rsidRPr="001531CD">
        <w:t>§1503.</w:t>
      </w:r>
      <w:r w:rsidRPr="001531CD">
        <w:tab/>
      </w:r>
      <w:bookmarkEnd w:id="3379"/>
      <w:r w:rsidR="00BE05FD" w:rsidRPr="00BE05FD">
        <w:t>Scale/Load Tickets: Required Information; Distribution; Maintenance of Records; Electronic Transfer/Driver Cards</w:t>
      </w:r>
      <w:bookmarkEnd w:id="3380"/>
    </w:p>
    <w:p w14:paraId="54EBD045" w14:textId="77777777" w:rsidR="00BE05FD" w:rsidRPr="003D0130" w:rsidRDefault="001651B4" w:rsidP="00BE05FD">
      <w:pPr>
        <w:pStyle w:val="A"/>
      </w:pPr>
      <w:r w:rsidRPr="001531CD">
        <w:t>A.</w:t>
      </w:r>
      <w:r w:rsidRPr="001531CD">
        <w:tab/>
      </w:r>
      <w:r w:rsidR="00BE05FD" w:rsidRPr="003D0130">
        <w:t>Scale tickets must be maintained for a period of not less than six years. Information required by the scale ticket regulations may be kept on a load ticket provided that the scale ticket can be cross-referenced to the load ticket. When both are used, the load ticket and scale ticket must be maintained for a period of not less than six years.</w:t>
      </w:r>
    </w:p>
    <w:p w14:paraId="75A1BECE" w14:textId="77777777" w:rsidR="00BE05FD" w:rsidRPr="003D0130" w:rsidRDefault="00BE05FD" w:rsidP="00BE05FD">
      <w:pPr>
        <w:pStyle w:val="A"/>
      </w:pPr>
      <w:r w:rsidRPr="003D0130">
        <w:t>B.</w:t>
      </w:r>
      <w:r w:rsidRPr="003D0130">
        <w:tab/>
        <w:t>On any per-unit sale the purchaser of the timber must provide the timber owner hard copies of the scale tickets relating to any partial or final settlement made during the course of the harvest. Mill generated settlement sheets may be provided to the timber owner in lieu of a copy of the scale ticket provided it includes the load number, scale ticket number, date and time, product and species description, volume and/or weight.</w:t>
      </w:r>
    </w:p>
    <w:p w14:paraId="5921D993" w14:textId="77777777" w:rsidR="00BE05FD" w:rsidRPr="003D0130" w:rsidRDefault="00BE05FD" w:rsidP="00BE05FD">
      <w:pPr>
        <w:pStyle w:val="A"/>
      </w:pPr>
      <w:r w:rsidRPr="003D0130">
        <w:t>C.</w:t>
      </w:r>
      <w:r w:rsidRPr="003D0130">
        <w:tab/>
        <w:t>Each scale ticket must contain the following information:</w:t>
      </w:r>
    </w:p>
    <w:p w14:paraId="02A4B63F" w14:textId="77777777" w:rsidR="00BE05FD" w:rsidRPr="003D0130" w:rsidRDefault="00BE05FD" w:rsidP="00BE05FD">
      <w:pPr>
        <w:pStyle w:val="1"/>
      </w:pPr>
      <w:r w:rsidRPr="003D0130">
        <w:t>1.</w:t>
      </w:r>
      <w:r w:rsidRPr="003D0130">
        <w:tab/>
        <w:t>scale ticket number―each scale ticket issued at a wood receiving facility must be numbered;</w:t>
      </w:r>
    </w:p>
    <w:p w14:paraId="03F03A33" w14:textId="77777777" w:rsidR="00BE05FD" w:rsidRPr="003D0130" w:rsidRDefault="00BE05FD" w:rsidP="00BE05FD">
      <w:pPr>
        <w:pStyle w:val="1"/>
      </w:pPr>
      <w:r w:rsidRPr="003D0130">
        <w:t>2.</w:t>
      </w:r>
      <w:r w:rsidRPr="003D0130">
        <w:tab/>
        <w:t>parish/county and state―the parish/county and state where the timber was harvested;</w:t>
      </w:r>
    </w:p>
    <w:p w14:paraId="31F5698F" w14:textId="77777777" w:rsidR="00BE05FD" w:rsidRPr="003D0130" w:rsidRDefault="00BE05FD" w:rsidP="00BE05FD">
      <w:pPr>
        <w:pStyle w:val="1"/>
      </w:pPr>
      <w:r w:rsidRPr="003D0130">
        <w:t>3.</w:t>
      </w:r>
      <w:r w:rsidRPr="003D0130">
        <w:tab/>
        <w:t>date and time―date and time that the forest product was received (required on scale ticket only);</w:t>
      </w:r>
    </w:p>
    <w:p w14:paraId="2EDF51CE" w14:textId="77777777" w:rsidR="00BE05FD" w:rsidRPr="003D0130" w:rsidRDefault="00BE05FD" w:rsidP="00BE05FD">
      <w:pPr>
        <w:pStyle w:val="1"/>
      </w:pPr>
      <w:r w:rsidRPr="003D0130">
        <w:t>4.</w:t>
      </w:r>
      <w:r w:rsidRPr="003D0130">
        <w:tab/>
        <w:t>type and quantity of forest product delivered:</w:t>
      </w:r>
    </w:p>
    <w:p w14:paraId="485225A3" w14:textId="77777777" w:rsidR="00BE05FD" w:rsidRPr="003D0130" w:rsidRDefault="00BE05FD" w:rsidP="00BE05FD">
      <w:pPr>
        <w:pStyle w:val="a0"/>
      </w:pPr>
      <w:r w:rsidRPr="003D0130">
        <w:t>a.</w:t>
      </w:r>
      <w:r w:rsidRPr="003D0130">
        <w:tab/>
        <w:t>type―description of forest product received;</w:t>
      </w:r>
    </w:p>
    <w:p w14:paraId="127ABF96" w14:textId="77777777" w:rsidR="00BE05FD" w:rsidRPr="003D0130" w:rsidRDefault="00BE05FD" w:rsidP="00BE05FD">
      <w:pPr>
        <w:pStyle w:val="a0"/>
      </w:pPr>
      <w:r w:rsidRPr="003D0130">
        <w:t>b.</w:t>
      </w:r>
      <w:r w:rsidRPr="003D0130">
        <w:tab/>
        <w:t>quantity―board feet, tonnage, or cords; clarification</w:t>
      </w:r>
    </w:p>
    <w:p w14:paraId="0A14A5BA" w14:textId="77777777" w:rsidR="00BE05FD" w:rsidRPr="00322EAC" w:rsidRDefault="00BE05FD" w:rsidP="00DA0DFC">
      <w:pPr>
        <w:pStyle w:val="LACNote"/>
        <w:ind w:left="270" w:right="396" w:firstLine="0"/>
      </w:pPr>
      <w:r w:rsidRPr="00364330">
        <w:rPr>
          <w:caps/>
        </w:rPr>
        <w:t>NOTE:</w:t>
      </w:r>
      <w:r w:rsidRPr="00322EAC">
        <w:t xml:space="preserve"> The following items must be documented on a scale ticket or documented on a load ticket that can be cross referenced to the scale ticket.</w:t>
      </w:r>
    </w:p>
    <w:p w14:paraId="552687F1" w14:textId="77777777" w:rsidR="00BE05FD" w:rsidRPr="003D0130" w:rsidRDefault="00BE05FD" w:rsidP="00BE05FD">
      <w:pPr>
        <w:pStyle w:val="1"/>
      </w:pPr>
      <w:r w:rsidRPr="003D0130">
        <w:t>5.</w:t>
      </w:r>
      <w:r w:rsidRPr="003D0130">
        <w:tab/>
        <w:t>timber owner's name―owner or owners of timber at the time it was severed</w:t>
      </w:r>
      <w:r w:rsidRPr="003D0130">
        <w:tab/>
      </w:r>
    </w:p>
    <w:p w14:paraId="423A0B4E" w14:textId="77777777" w:rsidR="00BE05FD" w:rsidRPr="003D0130" w:rsidRDefault="00BE05FD" w:rsidP="00BE05FD">
      <w:pPr>
        <w:pStyle w:val="a0"/>
        <w:rPr>
          <w:strike/>
        </w:rPr>
      </w:pPr>
      <w:r w:rsidRPr="003D0130">
        <w:t>a. On a per-unit sale the seller must be listed as the timber owner;</w:t>
      </w:r>
    </w:p>
    <w:p w14:paraId="47D0989C" w14:textId="77777777" w:rsidR="00BE05FD" w:rsidRPr="003D0130" w:rsidRDefault="00BE05FD" w:rsidP="00BE05FD">
      <w:pPr>
        <w:pStyle w:val="1"/>
      </w:pPr>
      <w:r w:rsidRPr="003D0130">
        <w:t>6.</w:t>
      </w:r>
      <w:r w:rsidRPr="003D0130">
        <w:tab/>
        <w:t>landowner―name of the owner of the land where the timber was severed.</w:t>
      </w:r>
    </w:p>
    <w:p w14:paraId="287B7A61" w14:textId="77777777" w:rsidR="00BE05FD" w:rsidRPr="003D0130" w:rsidRDefault="00BE05FD" w:rsidP="00BE05FD">
      <w:pPr>
        <w:pStyle w:val="a0"/>
      </w:pPr>
      <w:r w:rsidRPr="003D0130">
        <w:lastRenderedPageBreak/>
        <w:t>a.</w:t>
      </w:r>
      <w:r>
        <w:tab/>
      </w:r>
      <w:r w:rsidRPr="003D0130">
        <w:t xml:space="preserve">For a multi-owned tract of land, the name of the estate, corporation, or what the site is commonly known as, may be listed; </w:t>
      </w:r>
    </w:p>
    <w:p w14:paraId="2412AFAF" w14:textId="77777777" w:rsidR="00BE05FD" w:rsidRPr="003D0130" w:rsidRDefault="00BE05FD" w:rsidP="00BE05FD">
      <w:pPr>
        <w:pStyle w:val="a0"/>
      </w:pPr>
      <w:r w:rsidRPr="003D0130">
        <w:t>b.</w:t>
      </w:r>
      <w:r>
        <w:tab/>
      </w:r>
      <w:r w:rsidRPr="003D0130">
        <w:t>For industrial land, the company tract number may be listed;</w:t>
      </w:r>
    </w:p>
    <w:p w14:paraId="7BEA9B3F" w14:textId="77777777" w:rsidR="00BE05FD" w:rsidRPr="003D0130" w:rsidRDefault="00BE05FD" w:rsidP="00BE05FD">
      <w:pPr>
        <w:pStyle w:val="1"/>
      </w:pPr>
      <w:r w:rsidRPr="003D0130">
        <w:t>7.</w:t>
      </w:r>
      <w:r w:rsidRPr="003D0130">
        <w:tab/>
        <w:t>producer―company or individual who is responsible for harvesting the timber;</w:t>
      </w:r>
    </w:p>
    <w:p w14:paraId="7252B572" w14:textId="77777777" w:rsidR="00BE05FD" w:rsidRPr="003D0130" w:rsidRDefault="00BE05FD" w:rsidP="00BE05FD">
      <w:pPr>
        <w:pStyle w:val="1"/>
      </w:pPr>
      <w:r w:rsidRPr="003D0130">
        <w:t>8.</w:t>
      </w:r>
      <w:r w:rsidRPr="003D0130">
        <w:tab/>
        <w:t>load number―the load number designated by the loaders log book;</w:t>
      </w:r>
    </w:p>
    <w:p w14:paraId="6A07D677" w14:textId="77777777" w:rsidR="00BE05FD" w:rsidRPr="003D0130" w:rsidRDefault="00BE05FD" w:rsidP="00BE05FD">
      <w:pPr>
        <w:pStyle w:val="1"/>
      </w:pPr>
      <w:r w:rsidRPr="003D0130">
        <w:t>9.</w:t>
      </w:r>
      <w:r w:rsidRPr="003D0130">
        <w:tab/>
        <w:t xml:space="preserve">driver's signature―signature of driver delivering the forest product. Must be legible and as shown on the </w:t>
      </w:r>
      <w:r w:rsidRPr="003D0130">
        <w:rPr>
          <w:bCs/>
        </w:rPr>
        <w:t>driver’s</w:t>
      </w:r>
      <w:r w:rsidRPr="003D0130">
        <w:t xml:space="preserve"> </w:t>
      </w:r>
      <w:r w:rsidRPr="003D0130">
        <w:rPr>
          <w:bCs/>
        </w:rPr>
        <w:t>Commercial Driver’s License.</w:t>
      </w:r>
    </w:p>
    <w:p w14:paraId="49BB7D67" w14:textId="77777777" w:rsidR="00BE05FD" w:rsidRPr="003D0130" w:rsidRDefault="00BE05FD" w:rsidP="00BE05FD">
      <w:pPr>
        <w:pStyle w:val="A"/>
      </w:pPr>
      <w:r w:rsidRPr="003D0130">
        <w:t>D.</w:t>
      </w:r>
      <w:r w:rsidRPr="003D0130">
        <w:tab/>
        <w:t>A scale ticket may be kept in electronic form. If a scale ticket is kept in electronic form, it shall contain all required information set forth in Subsection C of this regulation and be maintained for a period of not less than six years. The use of an electronic scale ticket does not relieve the purchaser of the timber from the obligations set forth in Subsection B of this regulation. If scale tickets are kept in electronic form as provided by this Rule, the signature required by Paragraph C.9 of this Section may also be in electronic form.</w:t>
      </w:r>
    </w:p>
    <w:p w14:paraId="38C6C105" w14:textId="77777777" w:rsidR="00BE05FD" w:rsidRPr="003D0130" w:rsidRDefault="00BE05FD" w:rsidP="00BE05FD">
      <w:pPr>
        <w:pStyle w:val="A"/>
        <w:rPr>
          <w:strike/>
        </w:rPr>
      </w:pPr>
      <w:r w:rsidRPr="003D0130">
        <w:t>E.</w:t>
      </w:r>
      <w:r>
        <w:tab/>
      </w:r>
      <w:r w:rsidRPr="003D0130">
        <w:t>Electronic transfer/driver cards capturing electronic signatures may be used by the purchasing/receiving facility.</w:t>
      </w:r>
      <w:r>
        <w:t xml:space="preserve"> </w:t>
      </w:r>
      <w:r w:rsidRPr="003D0130">
        <w:t xml:space="preserve">If a purchasing/receiving facility chooses to utiltize electronic transfer/driver cards, the assigned driver shall complete and submit a sworn statement of identity to the facility, in a form provided by the </w:t>
      </w:r>
      <w:r>
        <w:t>d</w:t>
      </w:r>
      <w:r w:rsidRPr="003D0130">
        <w:t xml:space="preserve">epartment. </w:t>
      </w:r>
    </w:p>
    <w:p w14:paraId="3BE7A62C" w14:textId="77777777" w:rsidR="00BE05FD" w:rsidRPr="003D0130" w:rsidRDefault="00BE05FD" w:rsidP="00BE05FD">
      <w:pPr>
        <w:pStyle w:val="1"/>
      </w:pPr>
      <w:r w:rsidRPr="003D0130">
        <w:t>1.</w:t>
      </w:r>
      <w:r w:rsidRPr="003D0130">
        <w:tab/>
        <w:t xml:space="preserve">The sworn statement of identity shall include the following: </w:t>
      </w:r>
    </w:p>
    <w:p w14:paraId="40DEB928" w14:textId="77777777" w:rsidR="00BE05FD" w:rsidRPr="003D0130" w:rsidRDefault="00BE05FD" w:rsidP="00BE05FD">
      <w:pPr>
        <w:pStyle w:val="a0"/>
      </w:pPr>
      <w:r w:rsidRPr="003D0130">
        <w:t>a.</w:t>
      </w:r>
      <w:r>
        <w:tab/>
        <w:t>n</w:t>
      </w:r>
      <w:r w:rsidRPr="003D0130">
        <w:t xml:space="preserve">ame and physical address of the purchasing/receiving facility; </w:t>
      </w:r>
    </w:p>
    <w:p w14:paraId="3B71FED6" w14:textId="77777777" w:rsidR="00BE05FD" w:rsidRPr="003D0130" w:rsidRDefault="00BE05FD" w:rsidP="00BE05FD">
      <w:pPr>
        <w:pStyle w:val="a0"/>
      </w:pPr>
      <w:r w:rsidRPr="003D0130">
        <w:t>b.</w:t>
      </w:r>
      <w:r>
        <w:tab/>
        <w:t>a</w:t>
      </w:r>
      <w:r w:rsidRPr="003D0130">
        <w:t xml:space="preserve">ssigned driver’s legal name; </w:t>
      </w:r>
    </w:p>
    <w:p w14:paraId="1F4A2046" w14:textId="77777777" w:rsidR="00BE05FD" w:rsidRPr="003D0130" w:rsidRDefault="00BE05FD" w:rsidP="00BE05FD">
      <w:pPr>
        <w:pStyle w:val="a0"/>
      </w:pPr>
      <w:r w:rsidRPr="003D0130">
        <w:t>c.</w:t>
      </w:r>
      <w:r>
        <w:tab/>
        <w:t>a</w:t>
      </w:r>
      <w:r w:rsidRPr="003D0130">
        <w:t xml:space="preserve">ssigned driver’s date of birth; </w:t>
      </w:r>
    </w:p>
    <w:p w14:paraId="79C4F0AC" w14:textId="77777777" w:rsidR="00BE05FD" w:rsidRPr="003D0130" w:rsidRDefault="00BE05FD" w:rsidP="00BE05FD">
      <w:pPr>
        <w:pStyle w:val="a0"/>
      </w:pPr>
      <w:r w:rsidRPr="003D0130">
        <w:t>d.</w:t>
      </w:r>
      <w:r>
        <w:tab/>
        <w:t>a</w:t>
      </w:r>
      <w:r w:rsidRPr="003D0130">
        <w:t>ssigned driver’s current home physical address, and mailing address, if different; and</w:t>
      </w:r>
    </w:p>
    <w:p w14:paraId="1351EF1F" w14:textId="77777777" w:rsidR="00BE05FD" w:rsidRPr="003D0130" w:rsidRDefault="00BE05FD" w:rsidP="00BE05FD">
      <w:pPr>
        <w:pStyle w:val="a0"/>
      </w:pPr>
      <w:r w:rsidRPr="003D0130">
        <w:t>e.</w:t>
      </w:r>
      <w:r>
        <w:tab/>
        <w:t>d</w:t>
      </w:r>
      <w:r w:rsidRPr="003D0130">
        <w:t xml:space="preserve">river’s signature. </w:t>
      </w:r>
    </w:p>
    <w:p w14:paraId="494F3CD2" w14:textId="77777777" w:rsidR="00BE05FD" w:rsidRPr="003D0130" w:rsidRDefault="00BE05FD" w:rsidP="00BE05FD">
      <w:pPr>
        <w:pStyle w:val="1"/>
      </w:pPr>
      <w:r w:rsidRPr="003D0130">
        <w:t>2.</w:t>
      </w:r>
      <w:r>
        <w:tab/>
      </w:r>
      <w:r w:rsidRPr="003D0130">
        <w:t xml:space="preserve">A copy of the assigned driver’s Commercial Driver’s License shall be submitted with the sworn statement of identity. </w:t>
      </w:r>
    </w:p>
    <w:p w14:paraId="7FDD25D8" w14:textId="77777777" w:rsidR="00BE05FD" w:rsidRPr="003D0130" w:rsidRDefault="00BE05FD" w:rsidP="00BE05FD">
      <w:pPr>
        <w:pStyle w:val="1"/>
      </w:pPr>
      <w:r w:rsidRPr="003D0130">
        <w:t>3.</w:t>
      </w:r>
      <w:r>
        <w:tab/>
      </w:r>
      <w:r w:rsidRPr="003D0130">
        <w:t xml:space="preserve">The purchasing/receiving facility shall maintain the sworn statement and copy of the Commercial Driver’s License for a period of not less than six years. </w:t>
      </w:r>
    </w:p>
    <w:p w14:paraId="6201BC56" w14:textId="77777777" w:rsidR="00BE05FD" w:rsidRPr="003D0130" w:rsidRDefault="00BE05FD" w:rsidP="00BE05FD">
      <w:pPr>
        <w:pStyle w:val="1"/>
      </w:pPr>
      <w:r w:rsidRPr="003D0130">
        <w:t>4.</w:t>
      </w:r>
      <w:r>
        <w:tab/>
      </w:r>
      <w:r w:rsidRPr="003D0130">
        <w:t xml:space="preserve">Upon receipt of an assigned driver’s sworn statement and copy of his CDL, the purchasing/receiving facility may issue a unique and individual card to the assigned driver. </w:t>
      </w:r>
    </w:p>
    <w:p w14:paraId="77A32C98" w14:textId="77777777" w:rsidR="00BE05FD" w:rsidRPr="003D0130" w:rsidRDefault="00BE05FD" w:rsidP="00BE05FD">
      <w:pPr>
        <w:pStyle w:val="1"/>
      </w:pPr>
      <w:r w:rsidRPr="003D0130">
        <w:t>5.</w:t>
      </w:r>
      <w:r>
        <w:tab/>
      </w:r>
      <w:r w:rsidRPr="003D0130">
        <w:t xml:space="preserve">Electronic transfer/driver cards issued pursuant to this Section, are non-transferable and shall not be used by anyone except the driver to whom they have been issued. </w:t>
      </w:r>
    </w:p>
    <w:p w14:paraId="49F2BF00" w14:textId="77777777" w:rsidR="00643016" w:rsidRPr="00535E03" w:rsidRDefault="00BE05FD" w:rsidP="00BE05FD">
      <w:pPr>
        <w:pStyle w:val="A"/>
      </w:pPr>
      <w:r w:rsidRPr="003D0130">
        <w:t>F.</w:t>
      </w:r>
      <w:r>
        <w:rPr>
          <w:color w:val="FF0000"/>
        </w:rPr>
        <w:tab/>
      </w:r>
      <w:r w:rsidRPr="003D0130">
        <w:t>Restrictions. Wood-receiving facilities cannot accept any load of timber unless all information required by these regulations is provided at the time of delivery.</w:t>
      </w:r>
    </w:p>
    <w:p w14:paraId="00963F8A" w14:textId="77777777" w:rsidR="00CF626A" w:rsidRPr="001531CD" w:rsidRDefault="00643016" w:rsidP="00643016">
      <w:pPr>
        <w:pStyle w:val="AuthorityNote"/>
      </w:pPr>
      <w:r w:rsidRPr="00535E03">
        <w:t>AUTHORITY NOTE:</w:t>
      </w:r>
      <w:r w:rsidRPr="00535E03">
        <w:tab/>
        <w:t>Promulgated in accordance with R.S. 3:4278.3.</w:t>
      </w:r>
    </w:p>
    <w:p w14:paraId="1F105120" w14:textId="77777777" w:rsidR="00CF626A" w:rsidRPr="001531CD" w:rsidRDefault="00CF626A">
      <w:pPr>
        <w:pStyle w:val="HistoricalNote"/>
      </w:pPr>
      <w:r w:rsidRPr="001531CD">
        <w:t>HISTORICAL NOTE:</w:t>
      </w:r>
      <w:r w:rsidRPr="001531CD">
        <w:tab/>
        <w:t>Promulgated by the Department Agriculture and Forestry, Office of Forestry, Forestry Commission, LR 27:31 (January 2001),</w:t>
      </w:r>
      <w:r w:rsidR="001651B4" w:rsidRPr="001531CD">
        <w:t xml:space="preserve"> amended LR 27:1005 (July 2</w:t>
      </w:r>
      <w:r w:rsidR="00643016">
        <w:t xml:space="preserve">001), LR 37:2985 (October 2011), </w:t>
      </w:r>
      <w:r w:rsidR="00643016" w:rsidRPr="00535E03">
        <w:t>amended by the Department of Agriculture and Forestry, Office of Forestry,</w:t>
      </w:r>
      <w:r w:rsidR="00643016">
        <w:t xml:space="preserve"> </w:t>
      </w:r>
      <w:r w:rsidR="00643016" w:rsidRPr="00535E03">
        <w:t>LR 42:</w:t>
      </w:r>
      <w:r w:rsidR="00643016">
        <w:t>734 (May 2016)</w:t>
      </w:r>
      <w:r w:rsidR="00364330">
        <w:t>,</w:t>
      </w:r>
      <w:r w:rsidR="00364330" w:rsidRPr="003D0130">
        <w:t xml:space="preserve"> LR 47:</w:t>
      </w:r>
      <w:r w:rsidR="00364330">
        <w:t>563</w:t>
      </w:r>
      <w:r w:rsidR="00364330" w:rsidRPr="00075179">
        <w:t xml:space="preserve"> (May 2021).</w:t>
      </w:r>
    </w:p>
    <w:p w14:paraId="5004F0BF" w14:textId="77777777" w:rsidR="00CF626A" w:rsidRPr="001531CD" w:rsidRDefault="00CF626A">
      <w:pPr>
        <w:pStyle w:val="Section"/>
      </w:pPr>
      <w:bookmarkStart w:id="3381" w:name="_Toc256755215"/>
      <w:bookmarkStart w:id="3382" w:name="_Toc224819634"/>
      <w:r w:rsidRPr="001531CD">
        <w:t>§1505.</w:t>
      </w:r>
      <w:r w:rsidRPr="001531CD">
        <w:tab/>
        <w:t>Access Requirements</w:t>
      </w:r>
      <w:bookmarkEnd w:id="3381"/>
      <w:bookmarkEnd w:id="3382"/>
    </w:p>
    <w:p w14:paraId="6894B699" w14:textId="77777777" w:rsidR="00CF626A" w:rsidRPr="001531CD" w:rsidRDefault="00CF626A">
      <w:pPr>
        <w:pStyle w:val="A"/>
      </w:pPr>
      <w:r w:rsidRPr="001531CD">
        <w:t>A.</w:t>
      </w:r>
      <w:r w:rsidRPr="001531CD">
        <w:tab/>
        <w:t>Each person, business or entity that harvests, loads, carries, or receives wood shall permit any commissioned officer or other authorized agent of the Department of Agriculture and Forestry, Office of Forestry to examine records required by these regulations. However, such records shall not be reproduced by any such commissioned officer or other authorized agent of the department, without the permission of the possessor of the records unless copies of records are required in connection with an ongoing investigation of a specifically identified timber theft or apparent violation of either R.S. 3:4278.3, these regulations or both. The records required by these regulations shall be considered confidential business records and any copies obtained by the department, its officers or agents shall remain such to the extent allowed by law.</w:t>
      </w:r>
    </w:p>
    <w:p w14:paraId="2C2E009F" w14:textId="77777777" w:rsidR="00CF626A" w:rsidRPr="001531CD" w:rsidRDefault="00CF626A">
      <w:pPr>
        <w:pStyle w:val="AuthorityNote"/>
      </w:pPr>
      <w:r w:rsidRPr="001531CD">
        <w:t>AUTHORITY NOTE:</w:t>
      </w:r>
      <w:r w:rsidRPr="001531CD">
        <w:tab/>
        <w:t>Promulgated in accordance with R.S. 3:4278.3.</w:t>
      </w:r>
    </w:p>
    <w:p w14:paraId="7BDAA2F5" w14:textId="77777777" w:rsidR="00CF626A" w:rsidRPr="001531CD" w:rsidRDefault="00CF626A">
      <w:pPr>
        <w:pStyle w:val="HistoricalNote"/>
      </w:pPr>
      <w:r w:rsidRPr="001531CD">
        <w:t>HISTORICAL NOTE:</w:t>
      </w:r>
      <w:r w:rsidRPr="001531CD">
        <w:tab/>
        <w:t>Promulgated by the Department Agriculture and Forestry, Office of Forestry, Forestry Commission, LR 27:32 (January 2001).</w:t>
      </w:r>
    </w:p>
    <w:p w14:paraId="0DAA90FC" w14:textId="77777777" w:rsidR="00AC0831" w:rsidRPr="000034B3" w:rsidRDefault="00CF626A" w:rsidP="00AC0831">
      <w:pPr>
        <w:pStyle w:val="Section"/>
        <w:rPr>
          <w:rFonts w:eastAsia="Calibri"/>
        </w:rPr>
      </w:pPr>
      <w:bookmarkStart w:id="3383" w:name="_Toc256755216"/>
      <w:bookmarkStart w:id="3384" w:name="_Toc224819635"/>
      <w:r w:rsidRPr="001531CD">
        <w:t>§1507.</w:t>
      </w:r>
      <w:r w:rsidRPr="001531CD">
        <w:tab/>
      </w:r>
      <w:bookmarkEnd w:id="3383"/>
      <w:r w:rsidR="00AC0831" w:rsidRPr="00EE0DA0">
        <w:rPr>
          <w:rFonts w:eastAsia="Calibri"/>
        </w:rPr>
        <w:t xml:space="preserve">Timber Harvesting Written Contract or </w:t>
      </w:r>
      <w:r w:rsidR="00AC0831" w:rsidRPr="000034B3">
        <w:rPr>
          <w:rFonts w:eastAsia="Calibri"/>
        </w:rPr>
        <w:t>Agreement</w:t>
      </w:r>
      <w:bookmarkEnd w:id="3384"/>
    </w:p>
    <w:p w14:paraId="6388D050" w14:textId="77777777" w:rsidR="00AC0831" w:rsidRDefault="00AC0831" w:rsidP="00AC0831">
      <w:pPr>
        <w:pStyle w:val="A"/>
        <w:rPr>
          <w:rFonts w:eastAsia="Calibri"/>
        </w:rPr>
      </w:pPr>
      <w:r w:rsidRPr="00EE0DA0">
        <w:rPr>
          <w:rFonts w:eastAsia="Calibri"/>
        </w:rPr>
        <w:t>A.</w:t>
      </w:r>
      <w:r w:rsidRPr="00EE0DA0">
        <w:rPr>
          <w:rFonts w:eastAsia="Calibri"/>
        </w:rPr>
        <w:tab/>
        <w:t>Pursuant to R.S. 3:4278.6, any person conducting timber harvesting operations with the intent to cut five acres or more of timberland shall enter into a written contract or agreement with the owner, purchaser, or an agent or representative of either the owner or the purchaser of such timberland.</w:t>
      </w:r>
    </w:p>
    <w:p w14:paraId="12AC72D1" w14:textId="77777777" w:rsidR="00AC0831" w:rsidRPr="00EE0DA0" w:rsidRDefault="00AC0831" w:rsidP="00AC0831">
      <w:pPr>
        <w:pStyle w:val="A"/>
        <w:rPr>
          <w:rFonts w:eastAsia="Calibri"/>
        </w:rPr>
      </w:pPr>
      <w:r w:rsidRPr="00EE0DA0">
        <w:rPr>
          <w:rFonts w:eastAsia="Calibri"/>
        </w:rPr>
        <w:t>B.</w:t>
      </w:r>
      <w:r w:rsidRPr="00EE0DA0">
        <w:rPr>
          <w:rFonts w:eastAsia="Calibri"/>
        </w:rPr>
        <w:tab/>
        <w:t>The written contract or agreement for conducting timber harvesting operations shall contain the following:</w:t>
      </w:r>
    </w:p>
    <w:p w14:paraId="7CBD8906" w14:textId="77777777" w:rsidR="00AC0831" w:rsidRPr="00EE0DA0" w:rsidRDefault="00AC0831" w:rsidP="00AC0831">
      <w:pPr>
        <w:pStyle w:val="1"/>
        <w:rPr>
          <w:rFonts w:eastAsia="Calibri"/>
        </w:rPr>
      </w:pPr>
      <w:r w:rsidRPr="00EE0DA0">
        <w:rPr>
          <w:rFonts w:eastAsia="Calibri"/>
        </w:rPr>
        <w:t>1.</w:t>
      </w:r>
      <w:r w:rsidRPr="00EE0DA0">
        <w:rPr>
          <w:rFonts w:eastAsia="Calibri"/>
        </w:rPr>
        <w:tab/>
        <w:t>term of timber harvest;</w:t>
      </w:r>
    </w:p>
    <w:p w14:paraId="0E3EA7DD" w14:textId="77777777" w:rsidR="00AC0831" w:rsidRPr="00EE0DA0" w:rsidRDefault="00AC0831" w:rsidP="00AC0831">
      <w:pPr>
        <w:pStyle w:val="1"/>
        <w:rPr>
          <w:rFonts w:eastAsia="Calibri"/>
        </w:rPr>
      </w:pPr>
      <w:r w:rsidRPr="00EE0DA0">
        <w:rPr>
          <w:rFonts w:eastAsia="Calibri"/>
        </w:rPr>
        <w:t>2.</w:t>
      </w:r>
      <w:r w:rsidRPr="00EE0DA0">
        <w:rPr>
          <w:rFonts w:eastAsia="Calibri"/>
        </w:rPr>
        <w:tab/>
        <w:t>obligations of both parties;</w:t>
      </w:r>
    </w:p>
    <w:p w14:paraId="14BA865B" w14:textId="77777777" w:rsidR="00AC0831" w:rsidRPr="00EE0DA0" w:rsidRDefault="00AC0831" w:rsidP="00AC0831">
      <w:pPr>
        <w:pStyle w:val="1"/>
        <w:rPr>
          <w:rFonts w:eastAsia="Calibri"/>
        </w:rPr>
      </w:pPr>
      <w:r w:rsidRPr="00EE0DA0">
        <w:rPr>
          <w:rFonts w:eastAsia="Calibri"/>
        </w:rPr>
        <w:t>3.</w:t>
      </w:r>
      <w:r w:rsidRPr="00EE0DA0">
        <w:rPr>
          <w:rFonts w:eastAsia="Calibri"/>
        </w:rPr>
        <w:tab/>
        <w:t xml:space="preserve">amount or quantity; </w:t>
      </w:r>
    </w:p>
    <w:p w14:paraId="52C105F5" w14:textId="77777777" w:rsidR="00AC0831" w:rsidRPr="00EE0DA0" w:rsidRDefault="00AC0831" w:rsidP="00AC0831">
      <w:pPr>
        <w:pStyle w:val="1"/>
        <w:rPr>
          <w:rFonts w:eastAsia="Calibri"/>
        </w:rPr>
      </w:pPr>
      <w:r w:rsidRPr="00EE0DA0">
        <w:rPr>
          <w:rFonts w:eastAsia="Calibri"/>
        </w:rPr>
        <w:t>4.</w:t>
      </w:r>
      <w:r w:rsidRPr="00EE0DA0">
        <w:rPr>
          <w:rFonts w:eastAsia="Calibri"/>
        </w:rPr>
        <w:tab/>
        <w:t>payment; and</w:t>
      </w:r>
    </w:p>
    <w:p w14:paraId="520E6AFC" w14:textId="77777777" w:rsidR="00AC0831" w:rsidRPr="00EE0DA0" w:rsidRDefault="00AC0831" w:rsidP="00AC0831">
      <w:pPr>
        <w:pStyle w:val="1"/>
        <w:rPr>
          <w:rFonts w:eastAsia="Calibri"/>
        </w:rPr>
      </w:pPr>
      <w:r w:rsidRPr="00EE0DA0">
        <w:rPr>
          <w:rFonts w:eastAsia="Calibri"/>
        </w:rPr>
        <w:t>5.</w:t>
      </w:r>
      <w:r w:rsidRPr="00EE0DA0">
        <w:rPr>
          <w:rFonts w:eastAsia="Calibri"/>
        </w:rPr>
        <w:tab/>
        <w:t>description of timber harvest:</w:t>
      </w:r>
    </w:p>
    <w:p w14:paraId="0E2B1D5E" w14:textId="77777777" w:rsidR="00AC0831" w:rsidRPr="00EE0DA0" w:rsidRDefault="00AC0831" w:rsidP="00AC0831">
      <w:pPr>
        <w:pStyle w:val="a0"/>
        <w:rPr>
          <w:rFonts w:eastAsia="Calibri"/>
        </w:rPr>
      </w:pPr>
      <w:r w:rsidRPr="00EE0DA0">
        <w:rPr>
          <w:rFonts w:eastAsia="Calibri"/>
        </w:rPr>
        <w:t>a.</w:t>
      </w:r>
      <w:r w:rsidRPr="00EE0DA0">
        <w:rPr>
          <w:rFonts w:eastAsia="Calibri"/>
        </w:rPr>
        <w:tab/>
        <w:t>location of tract such as a plat map;</w:t>
      </w:r>
    </w:p>
    <w:p w14:paraId="27124E21" w14:textId="77777777" w:rsidR="00AC0831" w:rsidRPr="00EE0DA0" w:rsidRDefault="00AC0831" w:rsidP="00AC0831">
      <w:pPr>
        <w:pStyle w:val="a0"/>
        <w:rPr>
          <w:rFonts w:eastAsia="Calibri"/>
        </w:rPr>
      </w:pPr>
      <w:r w:rsidRPr="00EE0DA0">
        <w:rPr>
          <w:rFonts w:eastAsia="Calibri"/>
        </w:rPr>
        <w:t>b.</w:t>
      </w:r>
      <w:r w:rsidRPr="00EE0DA0">
        <w:rPr>
          <w:rFonts w:eastAsia="Calibri"/>
        </w:rPr>
        <w:tab/>
        <w:t>type of harvest such as clear cut or thinning;</w:t>
      </w:r>
    </w:p>
    <w:p w14:paraId="044C1D8F" w14:textId="77777777" w:rsidR="00AC0831" w:rsidRPr="00EE0DA0" w:rsidRDefault="00AC0831" w:rsidP="00AC0831">
      <w:pPr>
        <w:pStyle w:val="a0"/>
        <w:rPr>
          <w:rFonts w:eastAsia="Calibri"/>
        </w:rPr>
      </w:pPr>
      <w:r w:rsidRPr="00EE0DA0">
        <w:rPr>
          <w:rFonts w:eastAsia="Calibri"/>
        </w:rPr>
        <w:t>c.</w:t>
      </w:r>
      <w:r w:rsidRPr="00EE0DA0">
        <w:rPr>
          <w:rFonts w:eastAsia="Calibri"/>
        </w:rPr>
        <w:tab/>
        <w:t>species and product such as pine log or hardwood logs; and</w:t>
      </w:r>
    </w:p>
    <w:p w14:paraId="7716BB0E" w14:textId="77777777" w:rsidR="00AC0831" w:rsidRDefault="00AC0831" w:rsidP="00AC0831">
      <w:pPr>
        <w:pStyle w:val="a0"/>
        <w:rPr>
          <w:rFonts w:eastAsia="Calibri"/>
        </w:rPr>
      </w:pPr>
      <w:r w:rsidRPr="00EE0DA0">
        <w:rPr>
          <w:rFonts w:eastAsia="Calibri"/>
        </w:rPr>
        <w:t>d.</w:t>
      </w:r>
      <w:r w:rsidRPr="00EE0DA0">
        <w:rPr>
          <w:rFonts w:eastAsia="Calibri"/>
        </w:rPr>
        <w:tab/>
        <w:t>final destination of species and product</w:t>
      </w:r>
    </w:p>
    <w:p w14:paraId="3E130C8F" w14:textId="77777777" w:rsidR="00AC0831" w:rsidRDefault="00AC0831" w:rsidP="00AC0831">
      <w:pPr>
        <w:pStyle w:val="A"/>
        <w:rPr>
          <w:rFonts w:eastAsia="Calibri"/>
        </w:rPr>
      </w:pPr>
      <w:r w:rsidRPr="00EE0DA0">
        <w:rPr>
          <w:rFonts w:eastAsia="Calibri"/>
        </w:rPr>
        <w:t>C.</w:t>
      </w:r>
      <w:r w:rsidRPr="00EE0DA0">
        <w:rPr>
          <w:rFonts w:eastAsia="Calibri"/>
        </w:rPr>
        <w:tab/>
        <w:t>The written contract or agreement must be signed by both parties, and a fully executed copy must be provided to all parties prior to harvesting.</w:t>
      </w:r>
    </w:p>
    <w:p w14:paraId="7BD5A92E" w14:textId="77777777" w:rsidR="00AC0831" w:rsidRPr="00EE0DA0" w:rsidRDefault="00AC0831" w:rsidP="00AC0831">
      <w:pPr>
        <w:pStyle w:val="AuthorityNote"/>
        <w:rPr>
          <w:rFonts w:eastAsia="Calibri"/>
        </w:rPr>
      </w:pPr>
      <w:r w:rsidRPr="00EE0DA0">
        <w:rPr>
          <w:rFonts w:eastAsia="Calibri"/>
        </w:rPr>
        <w:lastRenderedPageBreak/>
        <w:t>AUTHORITY NOTE:</w:t>
      </w:r>
      <w:r w:rsidRPr="00EE0DA0">
        <w:rPr>
          <w:rFonts w:eastAsia="Calibri"/>
        </w:rPr>
        <w:tab/>
        <w:t>Promulgated in accordance with R.S. 3:4278.6.</w:t>
      </w:r>
    </w:p>
    <w:p w14:paraId="4EC844BE" w14:textId="77777777" w:rsidR="00AC0831" w:rsidRDefault="00AC0831" w:rsidP="00AC0831">
      <w:pPr>
        <w:pStyle w:val="HistoricalNote"/>
        <w:rPr>
          <w:rFonts w:eastAsia="Calibri"/>
        </w:rPr>
      </w:pPr>
      <w:r w:rsidRPr="00EE0DA0">
        <w:rPr>
          <w:rFonts w:eastAsia="Calibri"/>
        </w:rPr>
        <w:t>HISTORICAL NOTE:</w:t>
      </w:r>
      <w:r w:rsidRPr="00EE0DA0">
        <w:rPr>
          <w:rFonts w:eastAsia="Calibri"/>
        </w:rPr>
        <w:tab/>
        <w:t>Promulgated by the Department of Agriculture and F</w:t>
      </w:r>
      <w:r>
        <w:rPr>
          <w:rFonts w:eastAsia="Calibri"/>
        </w:rPr>
        <w:t>orestry, Office of Forestry, LR 51:32 (January 2025).</w:t>
      </w:r>
    </w:p>
    <w:p w14:paraId="740210C0" w14:textId="77777777" w:rsidR="00AC0831" w:rsidRDefault="00AC0831" w:rsidP="00AC0831">
      <w:pPr>
        <w:pStyle w:val="Section"/>
        <w:rPr>
          <w:rFonts w:eastAsia="Calibri"/>
        </w:rPr>
      </w:pPr>
      <w:bookmarkStart w:id="3385" w:name="_Toc224819636"/>
      <w:r w:rsidRPr="00EE0DA0">
        <w:rPr>
          <w:rFonts w:eastAsia="Calibri"/>
        </w:rPr>
        <w:t>§1509.</w:t>
      </w:r>
      <w:r w:rsidRPr="00EE0DA0">
        <w:rPr>
          <w:rFonts w:eastAsia="Calibri"/>
        </w:rPr>
        <w:tab/>
        <w:t>Penalty for Violations [Formerly §1507]</w:t>
      </w:r>
      <w:bookmarkEnd w:id="3385"/>
    </w:p>
    <w:p w14:paraId="0E498CE4" w14:textId="77777777" w:rsidR="00AC0831" w:rsidRDefault="00AC0831" w:rsidP="00AC0831">
      <w:pPr>
        <w:pStyle w:val="A"/>
        <w:rPr>
          <w:rFonts w:eastAsia="Calibri"/>
        </w:rPr>
      </w:pPr>
      <w:r w:rsidRPr="00EE0DA0">
        <w:rPr>
          <w:rFonts w:eastAsia="Calibri"/>
        </w:rPr>
        <w:t>A.</w:t>
      </w:r>
      <w:r w:rsidRPr="00EE0DA0">
        <w:rPr>
          <w:rFonts w:eastAsia="Calibri"/>
        </w:rPr>
        <w:tab/>
        <w:t>In the event of a violation of R.S. 3:4278.3 or R.S. 3:4278.6 or the regulations promulgated thereunder, the maximum penalty allowed may be imposed after an adjudicatory hearing held in accordance with the Administrative Procedure Act. The Louisiana Forestry Commission shall make an initial determination on the matter. Their decision shall be submitted to the commissioner in writing.</w:t>
      </w:r>
    </w:p>
    <w:p w14:paraId="36AEB31D" w14:textId="77777777" w:rsidR="00AC0831" w:rsidRDefault="00AC0831" w:rsidP="00AC0831">
      <w:pPr>
        <w:pStyle w:val="A"/>
        <w:rPr>
          <w:rFonts w:eastAsia="Calibri"/>
        </w:rPr>
      </w:pPr>
      <w:r w:rsidRPr="00EE0DA0">
        <w:rPr>
          <w:rFonts w:eastAsia="Calibri"/>
        </w:rPr>
        <w:t>B.</w:t>
      </w:r>
      <w:r w:rsidRPr="00EE0DA0">
        <w:rPr>
          <w:rFonts w:eastAsia="Calibri"/>
        </w:rPr>
        <w:tab/>
        <w:t xml:space="preserve">The commissioner shall make the final determination on the matter. If the determination of the commissioner differs </w:t>
      </w:r>
      <w:r w:rsidRPr="00EE0DA0">
        <w:rPr>
          <w:rFonts w:eastAsia="Calibri"/>
        </w:rPr>
        <w:t>from the commission, the commissioner shall issue a written opinion based on the record of the hearing.</w:t>
      </w:r>
    </w:p>
    <w:p w14:paraId="671A206C" w14:textId="77777777" w:rsidR="00AC0831" w:rsidRDefault="00AC0831" w:rsidP="00AC0831">
      <w:pPr>
        <w:pStyle w:val="A"/>
        <w:rPr>
          <w:rFonts w:eastAsia="Calibri"/>
        </w:rPr>
      </w:pPr>
      <w:r w:rsidRPr="00EE0DA0">
        <w:rPr>
          <w:rFonts w:eastAsia="Calibri"/>
        </w:rPr>
        <w:t>C.</w:t>
      </w:r>
      <w:r w:rsidRPr="00EE0DA0">
        <w:rPr>
          <w:rFonts w:eastAsia="Calibri"/>
        </w:rPr>
        <w:tab/>
        <w:t>Appeals from ruling of the commissioner shall be taken in accordance with the provisions of the Administrative Procedure Act.</w:t>
      </w:r>
    </w:p>
    <w:p w14:paraId="705AB49C" w14:textId="77777777" w:rsidR="00AC0831" w:rsidRDefault="00AC0831" w:rsidP="00AC0831">
      <w:pPr>
        <w:pStyle w:val="A"/>
        <w:rPr>
          <w:rFonts w:eastAsia="Calibri"/>
        </w:rPr>
      </w:pPr>
      <w:r w:rsidRPr="00EE0DA0">
        <w:rPr>
          <w:rFonts w:eastAsia="Calibri"/>
        </w:rPr>
        <w:t>D.</w:t>
      </w:r>
      <w:r w:rsidRPr="00EE0DA0">
        <w:rPr>
          <w:rFonts w:eastAsia="Calibri"/>
        </w:rPr>
        <w:tab/>
        <w:t>Pursuant to R.S. 3:4278.6, the commissioner may impose a civil penalty of not</w:t>
      </w:r>
      <w:r>
        <w:rPr>
          <w:rFonts w:eastAsia="Calibri"/>
        </w:rPr>
        <w:t xml:space="preserve"> more than $5000</w:t>
      </w:r>
      <w:r w:rsidRPr="00EE0DA0">
        <w:rPr>
          <w:rFonts w:eastAsia="Calibri"/>
        </w:rPr>
        <w:t xml:space="preserve"> for each instance of failure to comply with the provisions of §1507. Each day on which a violation occurs shall be considered a separate offense.</w:t>
      </w:r>
    </w:p>
    <w:p w14:paraId="62CFBBA8" w14:textId="77777777" w:rsidR="00AC0831" w:rsidRPr="00EE0DA0" w:rsidRDefault="00AC0831" w:rsidP="00AC0831">
      <w:pPr>
        <w:pStyle w:val="AuthorityNote"/>
        <w:rPr>
          <w:rFonts w:eastAsia="Calibri"/>
        </w:rPr>
      </w:pPr>
      <w:r w:rsidRPr="00EE0DA0">
        <w:rPr>
          <w:rFonts w:eastAsia="Calibri"/>
        </w:rPr>
        <w:t>AUTHORITY NOTE:</w:t>
      </w:r>
      <w:r w:rsidRPr="00EE0DA0">
        <w:rPr>
          <w:rFonts w:eastAsia="Calibri"/>
        </w:rPr>
        <w:tab/>
        <w:t>Promulgated in accordance with R.S. 3:4278.3 and R.S. 3:4278.6.</w:t>
      </w:r>
    </w:p>
    <w:p w14:paraId="565F06F4" w14:textId="77777777" w:rsidR="00AC0831" w:rsidRPr="000034B3" w:rsidRDefault="00AC0831" w:rsidP="00AC0831">
      <w:pPr>
        <w:pStyle w:val="HistoricalNote"/>
        <w:rPr>
          <w:rFonts w:eastAsia="Calibri"/>
        </w:rPr>
      </w:pPr>
      <w:r w:rsidRPr="00EE0DA0">
        <w:rPr>
          <w:rFonts w:eastAsia="Calibri"/>
        </w:rPr>
        <w:t>HISTORICAL NOTE:</w:t>
      </w:r>
      <w:r w:rsidRPr="00EE0DA0">
        <w:rPr>
          <w:rFonts w:eastAsia="Calibri"/>
        </w:rPr>
        <w:tab/>
        <w:t xml:space="preserve">Promulgated by the Department of Agriculture and Forestry, Office of Forestry, </w:t>
      </w:r>
      <w:r>
        <w:rPr>
          <w:rFonts w:eastAsia="Calibri"/>
        </w:rPr>
        <w:t xml:space="preserve">LR 51:33 (January </w:t>
      </w:r>
      <w:r w:rsidRPr="000034B3">
        <w:rPr>
          <w:rFonts w:eastAsia="Calibri"/>
        </w:rPr>
        <w:t>2025).</w:t>
      </w:r>
    </w:p>
    <w:p w14:paraId="169AA033" w14:textId="77777777" w:rsidR="00CF626A" w:rsidRPr="001531CD" w:rsidRDefault="00CF626A" w:rsidP="00AC0831">
      <w:pPr>
        <w:pStyle w:val="Section"/>
        <w:sectPr w:rsidR="00CF626A" w:rsidRPr="001531CD" w:rsidSect="00167E2E">
          <w:headerReference w:type="even" r:id="rId91"/>
          <w:headerReference w:type="default" r:id="rId92"/>
          <w:type w:val="continuous"/>
          <w:pgSz w:w="12240" w:h="15840" w:code="1"/>
          <w:pgMar w:top="1080" w:right="864" w:bottom="864" w:left="864" w:header="576" w:footer="432" w:gutter="0"/>
          <w:cols w:num="2" w:space="720"/>
        </w:sectPr>
      </w:pPr>
    </w:p>
    <w:p w14:paraId="45008B09" w14:textId="77777777" w:rsidR="00CF626A" w:rsidRPr="001531CD" w:rsidRDefault="00CF626A">
      <w:pPr>
        <w:pStyle w:val="RegCodePart"/>
        <w:sectPr w:rsidR="00CF626A" w:rsidRPr="001531CD" w:rsidSect="00167E2E">
          <w:type w:val="continuous"/>
          <w:pgSz w:w="12240" w:h="15840" w:code="1"/>
          <w:pgMar w:top="1080" w:right="864" w:bottom="864" w:left="864" w:header="576" w:footer="432" w:gutter="0"/>
          <w:cols w:num="2" w:space="720"/>
        </w:sectPr>
      </w:pPr>
    </w:p>
    <w:p w14:paraId="40E2AF30" w14:textId="77777777" w:rsidR="00CF626A" w:rsidRPr="001531CD" w:rsidRDefault="00CF626A" w:rsidP="00F03863">
      <w:pPr>
        <w:pStyle w:val="Title1"/>
        <w:outlineLvl w:val="0"/>
      </w:pPr>
      <w:r w:rsidRPr="001531CD">
        <w:lastRenderedPageBreak/>
        <w:t>Title 7</w:t>
      </w:r>
    </w:p>
    <w:p w14:paraId="536792E3" w14:textId="77777777" w:rsidR="00CF626A" w:rsidRPr="001531CD" w:rsidRDefault="00CF626A">
      <w:pPr>
        <w:pStyle w:val="Title2"/>
      </w:pPr>
      <w:r w:rsidRPr="001531CD">
        <w:t>AGRICULTURE AND ANIMALS</w:t>
      </w:r>
    </w:p>
    <w:p w14:paraId="477AEF1F" w14:textId="77777777" w:rsidR="00CF626A" w:rsidRPr="001531CD" w:rsidRDefault="00CF626A">
      <w:pPr>
        <w:pStyle w:val="Part"/>
      </w:pPr>
      <w:bookmarkStart w:id="3386" w:name="TOC_Part20"/>
      <w:bookmarkStart w:id="3387" w:name="_Toc77840557"/>
      <w:bookmarkStart w:id="3388" w:name="_Toc224819637"/>
      <w:r w:rsidRPr="001531CD">
        <w:t>Part XLI.  Soil and Water Conservation</w:t>
      </w:r>
      <w:bookmarkEnd w:id="3386"/>
      <w:bookmarkEnd w:id="3387"/>
      <w:bookmarkEnd w:id="3388"/>
    </w:p>
    <w:p w14:paraId="52345E3D" w14:textId="77777777" w:rsidR="00CF626A" w:rsidRPr="001531CD" w:rsidRDefault="00CF626A">
      <w:pPr>
        <w:pStyle w:val="Part"/>
      </w:pPr>
    </w:p>
    <w:p w14:paraId="3E102C2B" w14:textId="77777777" w:rsidR="00CF626A" w:rsidRPr="001531CD" w:rsidRDefault="00CF626A">
      <w:pPr>
        <w:pStyle w:val="Part"/>
        <w:sectPr w:rsidR="00CF626A" w:rsidRPr="001531CD" w:rsidSect="00167E2E">
          <w:headerReference w:type="default" r:id="rId93"/>
          <w:type w:val="oddPage"/>
          <w:pgSz w:w="12240" w:h="15840" w:code="1"/>
          <w:pgMar w:top="1080" w:right="864" w:bottom="864" w:left="864" w:header="576" w:footer="432" w:gutter="0"/>
          <w:cols w:space="720"/>
          <w:docGrid w:linePitch="326"/>
        </w:sectPr>
      </w:pPr>
    </w:p>
    <w:p w14:paraId="0D7B3794" w14:textId="77777777" w:rsidR="00CF626A" w:rsidRPr="001531CD" w:rsidRDefault="00CF626A">
      <w:pPr>
        <w:pStyle w:val="Chapter"/>
      </w:pPr>
      <w:bookmarkStart w:id="3389" w:name="TOC_Chap285"/>
      <w:bookmarkStart w:id="3390" w:name="_Toc256755217"/>
      <w:bookmarkStart w:id="3391" w:name="_Toc224819638"/>
      <w:r w:rsidRPr="001531CD">
        <w:t>Chapter 1.</w:t>
      </w:r>
      <w:bookmarkEnd w:id="3389"/>
      <w:r w:rsidR="00D07DF2">
        <w:tab/>
      </w:r>
      <w:bookmarkStart w:id="3392" w:name="TOCT_Chap273"/>
      <w:bookmarkStart w:id="3393" w:name="TOCT_Chap285"/>
      <w:r w:rsidRPr="001531CD">
        <w:t>Annual Election for Supervisors</w:t>
      </w:r>
      <w:bookmarkEnd w:id="3390"/>
      <w:bookmarkEnd w:id="3391"/>
      <w:bookmarkEnd w:id="3392"/>
      <w:bookmarkEnd w:id="3393"/>
    </w:p>
    <w:p w14:paraId="4B0FE6F5" w14:textId="77777777" w:rsidR="00CF626A" w:rsidRPr="001531CD" w:rsidRDefault="00CF626A">
      <w:pPr>
        <w:pStyle w:val="Section"/>
      </w:pPr>
      <w:bookmarkStart w:id="3394" w:name="_Toc256755218"/>
      <w:bookmarkStart w:id="3395" w:name="_Toc224819639"/>
      <w:r w:rsidRPr="001531CD">
        <w:t>§101.</w:t>
      </w:r>
      <w:r w:rsidRPr="001531CD">
        <w:tab/>
        <w:t>Electing One Soil and Water Conservation District Supervisor</w:t>
      </w:r>
      <w:bookmarkEnd w:id="3394"/>
      <w:bookmarkEnd w:id="3395"/>
    </w:p>
    <w:p w14:paraId="3C1C15B4" w14:textId="77777777" w:rsidR="009C26DE" w:rsidRPr="001531CD" w:rsidRDefault="00CF626A" w:rsidP="009C26DE">
      <w:pPr>
        <w:pStyle w:val="A"/>
      </w:pPr>
      <w:r w:rsidRPr="001531CD">
        <w:t>A.</w:t>
      </w:r>
      <w:r w:rsidRPr="001531CD">
        <w:tab/>
      </w:r>
      <w:r w:rsidR="009C26DE" w:rsidRPr="001531CD">
        <w:t>The rules and regulations for electing one soil and water conservation district supervisor in each of the 40 soil and water conservation districts annually, as adopted by the soil and water conservation committee, are as follows.</w:t>
      </w:r>
    </w:p>
    <w:p w14:paraId="1C7965EC" w14:textId="77777777" w:rsidR="009C26DE" w:rsidRPr="001531CD" w:rsidRDefault="009C26DE" w:rsidP="009C26DE">
      <w:pPr>
        <w:pStyle w:val="1"/>
      </w:pPr>
      <w:r w:rsidRPr="001531CD">
        <w:t>1.</w:t>
      </w:r>
      <w:r w:rsidRPr="001531CD">
        <w:tab/>
        <w:t>General Rules</w:t>
      </w:r>
    </w:p>
    <w:p w14:paraId="7847C5CE" w14:textId="77777777" w:rsidR="009C26DE" w:rsidRPr="001531CD" w:rsidRDefault="009C26DE" w:rsidP="009C26DE">
      <w:pPr>
        <w:pStyle w:val="a0"/>
      </w:pPr>
      <w:r w:rsidRPr="001531CD">
        <w:t>a.</w:t>
      </w:r>
      <w:r w:rsidRPr="001531CD">
        <w:tab/>
        <w:t>Act Number 231 of 1958 provides for an annual state election on the second Saturday in June.</w:t>
      </w:r>
    </w:p>
    <w:p w14:paraId="747C5D14" w14:textId="77777777" w:rsidR="009C26DE" w:rsidRPr="001531CD" w:rsidRDefault="009C26DE" w:rsidP="009C26DE">
      <w:pPr>
        <w:pStyle w:val="a0"/>
      </w:pPr>
      <w:r w:rsidRPr="001531CD">
        <w:t>b.</w:t>
      </w:r>
      <w:r w:rsidRPr="001531CD">
        <w:tab/>
        <w:t>Nominating petition forms shall be distributed by the district supervisors through county agents, SCS district conservationists, and others. All should encourage our best landowners or farm operators to qualify as candidates for district supervisors.</w:t>
      </w:r>
    </w:p>
    <w:p w14:paraId="620BC22C" w14:textId="77777777" w:rsidR="009C26DE" w:rsidRPr="001531CD" w:rsidRDefault="009C26DE" w:rsidP="009C26DE">
      <w:pPr>
        <w:pStyle w:val="a0"/>
      </w:pPr>
      <w:r w:rsidRPr="001531CD">
        <w:t>c.</w:t>
      </w:r>
      <w:r w:rsidRPr="001531CD">
        <w:tab/>
        <w:t>In order to qualify as a candidate to run for district supervisor, the candidate must be a qualified landowner or farm operator, must be a qualified voter within the state, and must present to the state committee a petition containing the names of at least 25 qualified voters. This petition shall be signed by the registrar of voters attesting that the names on the petition are qualified voters in the named Soil and Water Conservation District.</w:t>
      </w:r>
    </w:p>
    <w:p w14:paraId="78250033" w14:textId="77777777" w:rsidR="009C26DE" w:rsidRPr="001531CD" w:rsidRDefault="009C26DE" w:rsidP="009C26DE">
      <w:pPr>
        <w:pStyle w:val="1"/>
      </w:pPr>
      <w:r w:rsidRPr="001531CD">
        <w:t>2.</w:t>
      </w:r>
      <w:r w:rsidRPr="001531CD">
        <w:tab/>
        <w:t>Nominating Rules</w:t>
      </w:r>
    </w:p>
    <w:p w14:paraId="3E85AC26" w14:textId="77777777" w:rsidR="009C26DE" w:rsidRPr="001531CD" w:rsidRDefault="009C26DE" w:rsidP="009C26DE">
      <w:pPr>
        <w:pStyle w:val="a0"/>
      </w:pPr>
      <w:r w:rsidRPr="001531CD">
        <w:t>a.</w:t>
      </w:r>
      <w:r w:rsidRPr="001531CD">
        <w:tab/>
        <w:t>There shall be a 30-day nominating period which shall begin 60 days before the annual election on the second Saturday in June.</w:t>
      </w:r>
    </w:p>
    <w:p w14:paraId="2929FEF4" w14:textId="77777777" w:rsidR="009C26DE" w:rsidRPr="001531CD" w:rsidRDefault="009C26DE" w:rsidP="00AE3CA2">
      <w:pPr>
        <w:pStyle w:val="a0"/>
        <w:spacing w:after="80"/>
      </w:pPr>
      <w:r w:rsidRPr="001531CD">
        <w:t>b.</w:t>
      </w:r>
      <w:r w:rsidRPr="001531CD">
        <w:tab/>
        <w:t>Nominating petitions must be completed on the petition papers supplied by the Louisiana Soil and Water Conservation Committee and/or any Soil and Water Conservation District Office. Nominating petitions will be revised yearly and will be numerically numbered; all nominating petitions submitted for district elections must have a current revised date and carry the name assigned to that district by the state committee.</w:t>
      </w:r>
    </w:p>
    <w:p w14:paraId="4B26A59D" w14:textId="77777777" w:rsidR="009C26DE" w:rsidRPr="001531CD" w:rsidRDefault="009C26DE" w:rsidP="00AE3CA2">
      <w:pPr>
        <w:pStyle w:val="a0"/>
        <w:spacing w:after="80"/>
      </w:pPr>
      <w:r w:rsidRPr="001531CD">
        <w:t>c.</w:t>
      </w:r>
      <w:r w:rsidRPr="001531CD">
        <w:tab/>
        <w:t>Petitions must be mailed by the state committee to each chairman in the 40 Soil and Water Conservation Districts on or before ___________________.</w:t>
      </w:r>
    </w:p>
    <w:p w14:paraId="24AC631C" w14:textId="77777777" w:rsidR="009C26DE" w:rsidRPr="001531CD" w:rsidRDefault="009C26DE" w:rsidP="00AE3CA2">
      <w:pPr>
        <w:pStyle w:val="a0"/>
        <w:spacing w:after="80"/>
      </w:pPr>
      <w:r w:rsidRPr="001531CD">
        <w:t>d.</w:t>
      </w:r>
      <w:r w:rsidRPr="001531CD">
        <w:tab/>
        <w:t>Petitions completed containing the names of candidates, together with the signatures of at least 25 legally qualified voters, must be in the state committee office on or before ________________________.</w:t>
      </w:r>
    </w:p>
    <w:p w14:paraId="0462F24E" w14:textId="77777777" w:rsidR="009C26DE" w:rsidRPr="001531CD" w:rsidRDefault="009C26DE" w:rsidP="009C26DE">
      <w:pPr>
        <w:pStyle w:val="a0"/>
      </w:pPr>
      <w:r w:rsidRPr="001531CD">
        <w:t>e.</w:t>
      </w:r>
      <w:r w:rsidRPr="001531CD">
        <w:tab/>
        <w:t>Instructions, together with the necessary ballots, shall be mailed to the chairman of each soil and water conservation district in due time before the election.</w:t>
      </w:r>
    </w:p>
    <w:p w14:paraId="62F65899" w14:textId="77777777" w:rsidR="009C26DE" w:rsidRPr="001531CD" w:rsidRDefault="009C26DE" w:rsidP="009C26DE">
      <w:pPr>
        <w:pStyle w:val="a0"/>
      </w:pPr>
      <w:r w:rsidRPr="001531CD">
        <w:t>f.</w:t>
      </w:r>
      <w:r w:rsidRPr="001531CD">
        <w:tab/>
        <w:t>The chairman of the board and the four district supervisors in each district shall have charge of the election. It shall be their duty to select the polling places and notify the state committee of such selection in time to give due notice before the election. It shall also be their duty to appoint two election commissioners for each polling place, carry the ballots out to the polling places, and secure an accurate result of the election of each polling place or appoint a trustworthy person to carry out these duties. The chairman of each district shall immediately mail the results of the election to the state committee.</w:t>
      </w:r>
    </w:p>
    <w:p w14:paraId="1FB1E39D" w14:textId="77777777" w:rsidR="009C26DE" w:rsidRPr="001531CD" w:rsidRDefault="009C26DE" w:rsidP="00AE3CA2">
      <w:pPr>
        <w:pStyle w:val="a0"/>
        <w:spacing w:after="80"/>
      </w:pPr>
      <w:r w:rsidRPr="001531CD">
        <w:t>g.</w:t>
      </w:r>
      <w:r w:rsidRPr="001531CD">
        <w:tab/>
        <w:t>The state committee shall give due notice through the press before the election, of the election in districts where elections are necessary as soon as nominating petitions have been approved by the committee. The notice shall contain the polling places and hour that the polls will be opened and closed. In districts where there is no opposition, there will be no election.</w:t>
      </w:r>
    </w:p>
    <w:p w14:paraId="0675C572" w14:textId="77777777" w:rsidR="009C26DE" w:rsidRPr="001531CD" w:rsidRDefault="009C26DE" w:rsidP="00AE3CA2">
      <w:pPr>
        <w:pStyle w:val="a0"/>
        <w:spacing w:after="80"/>
      </w:pPr>
      <w:r w:rsidRPr="001531CD">
        <w:t>h.</w:t>
      </w:r>
      <w:r w:rsidRPr="001531CD">
        <w:tab/>
        <w:t>The election commissioners at each poll where elections are being held shall open the poll at 8 a.m. and close at 7 p.m.</w:t>
      </w:r>
    </w:p>
    <w:p w14:paraId="6F245DDC" w14:textId="77777777" w:rsidR="009C26DE" w:rsidRPr="001531CD" w:rsidRDefault="009C26DE" w:rsidP="00AE3CA2">
      <w:pPr>
        <w:pStyle w:val="a0"/>
        <w:spacing w:after="80"/>
      </w:pPr>
      <w:r w:rsidRPr="001531CD">
        <w:t>i.</w:t>
      </w:r>
      <w:r w:rsidRPr="001531CD">
        <w:tab/>
        <w:t>Each soil and water conservation district board shall provide the state committee with a list of names of the persons who served as commissioners at the annual election, second Saturday in June.</w:t>
      </w:r>
    </w:p>
    <w:p w14:paraId="6131AAA5" w14:textId="77777777" w:rsidR="009C26DE" w:rsidRPr="001531CD" w:rsidRDefault="009C26DE" w:rsidP="00AE3CA2">
      <w:pPr>
        <w:pStyle w:val="a0"/>
        <w:spacing w:after="80"/>
      </w:pPr>
      <w:r w:rsidRPr="001531CD">
        <w:t>j.</w:t>
      </w:r>
      <w:r w:rsidRPr="001531CD">
        <w:tab/>
        <w:t>The state committee shall pay each commissioner who served at the polls for the state annual election $25 per day and that districts may add up to an additional $25 to this pay for commissioners from their state appropriated funds. The districts shall have three polling places in each parish, but not to exceed a maximum of eight in each district where more than two parishes are involved.</w:t>
      </w:r>
    </w:p>
    <w:p w14:paraId="496C612B" w14:textId="77777777" w:rsidR="009C26DE" w:rsidRPr="001531CD" w:rsidRDefault="009C26DE" w:rsidP="00AE3CA2">
      <w:pPr>
        <w:pStyle w:val="a0"/>
        <w:spacing w:after="80"/>
      </w:pPr>
      <w:r w:rsidRPr="001531CD">
        <w:t>k.</w:t>
      </w:r>
      <w:r w:rsidRPr="001531CD">
        <w:tab/>
        <w:t>No provisions will be made by the district for the qualified voters to vote by absentee ballot during this election.</w:t>
      </w:r>
    </w:p>
    <w:p w14:paraId="5DD897AB" w14:textId="77777777" w:rsidR="009C26DE" w:rsidRPr="001531CD" w:rsidRDefault="009C26DE" w:rsidP="00AE3CA2">
      <w:pPr>
        <w:pStyle w:val="a0"/>
        <w:spacing w:after="80"/>
      </w:pPr>
      <w:r w:rsidRPr="001531CD">
        <w:t>l.</w:t>
      </w:r>
      <w:r w:rsidRPr="001531CD">
        <w:tab/>
        <w:t>The state committee shall, on the regular meeting date in June, promulgate the election returns and announce the names of the elected district supervisors. Nominees who had no opposition may be declared elected upon approval of their nominating petitions.</w:t>
      </w:r>
    </w:p>
    <w:p w14:paraId="593F6E49" w14:textId="77777777" w:rsidR="009C26DE" w:rsidRPr="001531CD" w:rsidRDefault="009C26DE" w:rsidP="009C26DE">
      <w:pPr>
        <w:pStyle w:val="a0"/>
      </w:pPr>
      <w:r w:rsidRPr="001531CD">
        <w:t>m.</w:t>
      </w:r>
      <w:r w:rsidRPr="001531CD">
        <w:tab/>
        <w:t>If the total number of candidates duly presented in nominating petitions does not exceed the name of supervisor places to be filled by election, then and in that event, the state committee is authorized and empowered to dispense with the election procedure and to declare each of said candidates duly qualified as a supervisor without the requirement of an election the same as if his name had been presented to the qualified voters in an election. Candidates so qualified shall be considered for all purposes "Elected Supervisors."</w:t>
      </w:r>
    </w:p>
    <w:p w14:paraId="7176C753" w14:textId="77777777" w:rsidR="009C26DE" w:rsidRPr="001531CD" w:rsidRDefault="009C26DE" w:rsidP="009C26DE">
      <w:pPr>
        <w:pStyle w:val="a0"/>
      </w:pPr>
      <w:r w:rsidRPr="001531CD">
        <w:lastRenderedPageBreak/>
        <w:t>n.</w:t>
      </w:r>
      <w:r w:rsidRPr="001531CD">
        <w:tab/>
        <w:t>The state committee shall supervise the conduct and prescribe regulations of elections for district supervisors.</w:t>
      </w:r>
    </w:p>
    <w:p w14:paraId="74C9AF10" w14:textId="77777777" w:rsidR="009C26DE" w:rsidRPr="001531CD" w:rsidRDefault="009C26DE" w:rsidP="009C26DE">
      <w:pPr>
        <w:pStyle w:val="a0"/>
      </w:pPr>
      <w:r w:rsidRPr="001531CD">
        <w:t>o.</w:t>
      </w:r>
      <w:r w:rsidRPr="001531CD">
        <w:tab/>
        <w:t>A tally sheet is to be maintained at each polling place in a bound ledger book and pages are not to be removed. Persons appearing at the designated polling places for the purpose of voting in this election must present one of the following items of identification: voter registration card; driver's license; or Social Security card. If none of the items of identification are available, the person must sign a sworn statement certifying that he is a registered voter. After identification has been produced, or the sworn statement has been signed, the voter will then enter his name on the tally sheet and will be given a ballot by the election commissioner in order to cast his vote.</w:t>
      </w:r>
    </w:p>
    <w:p w14:paraId="784DF903" w14:textId="77777777" w:rsidR="009C26DE" w:rsidRPr="001531CD" w:rsidRDefault="009C26DE" w:rsidP="009C26DE">
      <w:pPr>
        <w:pStyle w:val="a0"/>
      </w:pPr>
      <w:r w:rsidRPr="001531CD">
        <w:t>p.</w:t>
      </w:r>
      <w:r w:rsidRPr="001531CD">
        <w:tab/>
        <w:t>Illiterate or blind voters will be assisted only by the election commissioner and only if the voter requests assistance in marking a ballot.</w:t>
      </w:r>
    </w:p>
    <w:p w14:paraId="6256E033" w14:textId="77777777" w:rsidR="009C26DE" w:rsidRPr="001531CD" w:rsidRDefault="009C26DE" w:rsidP="009C26DE">
      <w:pPr>
        <w:pStyle w:val="a0"/>
      </w:pPr>
      <w:r w:rsidRPr="001531CD">
        <w:t>q.</w:t>
      </w:r>
      <w:r w:rsidRPr="001531CD">
        <w:tab/>
        <w:t>All candidates participating may appoint two poll watchers per polling place if they so desire. However, poll watchers will not receive pay from the state committee.</w:t>
      </w:r>
    </w:p>
    <w:p w14:paraId="39E3E4F6" w14:textId="77777777" w:rsidR="009C26DE" w:rsidRPr="001531CD" w:rsidRDefault="009C26DE" w:rsidP="009C26DE">
      <w:pPr>
        <w:pStyle w:val="a0"/>
      </w:pPr>
      <w:r w:rsidRPr="001531CD">
        <w:t>r.</w:t>
      </w:r>
      <w:r w:rsidRPr="001531CD">
        <w:tab/>
        <w:t>The official ballot is to be marked with an X by a black, ballpoint pen and folded out of the presence of the election commissioner and poll watchers, then dropped in the ballot box. If the ballot is not marked with an X, it will be considered spoiled.</w:t>
      </w:r>
    </w:p>
    <w:p w14:paraId="76D38270" w14:textId="77777777" w:rsidR="009C26DE" w:rsidRPr="001531CD" w:rsidRDefault="009C26DE" w:rsidP="00AE3CA2">
      <w:pPr>
        <w:pStyle w:val="a0"/>
        <w:spacing w:after="80"/>
      </w:pPr>
      <w:r w:rsidRPr="001531CD">
        <w:t>s.</w:t>
      </w:r>
      <w:r w:rsidRPr="001531CD">
        <w:tab/>
        <w:t>All spoiled or excess ballots are to be accounted for by the commissioners. The ballot box, without being removed from the public view, shall be opened by the commissioners and they shall proceed with counting the ballots found therein without unfolding them except so far as to ascertain that each ballot is single, and by comparing the ballots found in the box with the number shown by the poll lists to have been deposited. If the ballots found in any box are more than the number of ballots shown to have been deposited, the ballots shall all be replaced without being unfolded in the box from which they were taken. One of the commissioners shall, without seeing the ballots and with his back to the box, thoroughly mingle them together, and another commissioner shall, without seeing the ballots and with his back to the box, publicly draw as many ballots as shall be equal to the excess. Without unfolding them, the commissioner shall at once mark them "uncounted in excess of poll list."</w:t>
      </w:r>
    </w:p>
    <w:p w14:paraId="2B3FF10F" w14:textId="77777777" w:rsidR="009C26DE" w:rsidRPr="001531CD" w:rsidRDefault="009C26DE" w:rsidP="00AE3CA2">
      <w:pPr>
        <w:pStyle w:val="a0"/>
        <w:spacing w:after="80"/>
      </w:pPr>
      <w:r w:rsidRPr="001531CD">
        <w:t>t.</w:t>
      </w:r>
      <w:r w:rsidRPr="001531CD">
        <w:tab/>
        <w:t>Ballot boxes are to be delivered only to election commissioners.</w:t>
      </w:r>
    </w:p>
    <w:p w14:paraId="4F0F955B" w14:textId="77777777" w:rsidR="009C26DE" w:rsidRPr="001531CD" w:rsidRDefault="009C26DE" w:rsidP="00AE3CA2">
      <w:pPr>
        <w:pStyle w:val="a0"/>
        <w:spacing w:after="80"/>
      </w:pPr>
      <w:r w:rsidRPr="001531CD">
        <w:t>u.</w:t>
      </w:r>
      <w:r w:rsidRPr="001531CD">
        <w:tab/>
        <w:t>A sample of the current rules and regulations, official ballot and voters sworn statement for electing district supervisors will be posted in some conspicuous location at each polling place during the election so that voters will have the opportunity to review same.</w:t>
      </w:r>
    </w:p>
    <w:p w14:paraId="23E193C9" w14:textId="77777777" w:rsidR="009C26DE" w:rsidRPr="001531CD" w:rsidRDefault="009C26DE" w:rsidP="009C26DE">
      <w:pPr>
        <w:pStyle w:val="AuthorityNote"/>
      </w:pPr>
      <w:r w:rsidRPr="001531CD">
        <w:t>AUTHORITY NOTE:</w:t>
      </w:r>
      <w:r w:rsidRPr="001531CD">
        <w:tab/>
        <w:t>Promulgated in accordance with R.S. 3:1204 et seq.</w:t>
      </w:r>
    </w:p>
    <w:p w14:paraId="1FEF43B0" w14:textId="77777777" w:rsidR="00CF626A" w:rsidRPr="001531CD" w:rsidRDefault="009C26DE" w:rsidP="009C26DE">
      <w:pPr>
        <w:pStyle w:val="HistoricalNote"/>
      </w:pPr>
      <w:r w:rsidRPr="001531CD">
        <w:t>HISTORICAL NOTE:</w:t>
      </w:r>
      <w:r w:rsidRPr="001531CD">
        <w:tab/>
        <w:t>Promulgated by the Department of Transportation and Development, Office of Highways, LR 1:253 (May 1975), amended LR 10:469 (June 1984), repromulgated by the Department of Agriculture and Forestry, LR 31:898 (April 2005).</w:t>
      </w:r>
    </w:p>
    <w:p w14:paraId="39047D39" w14:textId="77777777" w:rsidR="009C26DE" w:rsidRPr="001531CD" w:rsidRDefault="009C26DE" w:rsidP="009C26DE">
      <w:pPr>
        <w:pStyle w:val="Chapter"/>
      </w:pPr>
      <w:bookmarkStart w:id="3396" w:name="TOC_Chap286"/>
      <w:bookmarkStart w:id="3397" w:name="_Toc256755219"/>
      <w:bookmarkStart w:id="3398" w:name="_Toc224819640"/>
      <w:r w:rsidRPr="001531CD">
        <w:t>Chapter 3.</w:t>
      </w:r>
      <w:bookmarkEnd w:id="3396"/>
      <w:r w:rsidR="00D07DF2">
        <w:tab/>
      </w:r>
      <w:bookmarkStart w:id="3399" w:name="TOCT_Chap286"/>
      <w:r w:rsidRPr="001531CD">
        <w:t>Master Farmer Certification</w:t>
      </w:r>
      <w:bookmarkEnd w:id="3397"/>
      <w:bookmarkEnd w:id="3398"/>
      <w:bookmarkEnd w:id="3399"/>
    </w:p>
    <w:p w14:paraId="7C44B5B7" w14:textId="77777777" w:rsidR="009C26DE" w:rsidRPr="001531CD" w:rsidRDefault="009C26DE" w:rsidP="00F03863">
      <w:pPr>
        <w:pStyle w:val="Section"/>
        <w:outlineLvl w:val="0"/>
      </w:pPr>
      <w:bookmarkStart w:id="3400" w:name="_Toc256755220"/>
      <w:bookmarkStart w:id="3401" w:name="_Toc224819641"/>
      <w:r w:rsidRPr="001531CD">
        <w:t>§301.</w:t>
      </w:r>
      <w:r w:rsidRPr="001531CD">
        <w:tab/>
        <w:t>Definitions</w:t>
      </w:r>
      <w:bookmarkEnd w:id="3400"/>
      <w:bookmarkEnd w:id="3401"/>
    </w:p>
    <w:p w14:paraId="72FC2EA7" w14:textId="77777777" w:rsidR="009C26DE" w:rsidRPr="001531CD" w:rsidRDefault="009C26DE" w:rsidP="009C26DE">
      <w:pPr>
        <w:pStyle w:val="A"/>
      </w:pPr>
      <w:r w:rsidRPr="001531CD">
        <w:rPr>
          <w:i/>
        </w:rPr>
        <w:t>Commissioner</w:t>
      </w:r>
      <w:r w:rsidRPr="001531CD">
        <w:rPr>
          <w:iCs/>
        </w:rPr>
        <w:t>―</w:t>
      </w:r>
      <w:r w:rsidRPr="001531CD">
        <w:t>the Louisiana Commissioner of Agriculture and Forestry.</w:t>
      </w:r>
    </w:p>
    <w:p w14:paraId="4F96C290" w14:textId="77777777" w:rsidR="009C26DE" w:rsidRPr="001531CD" w:rsidRDefault="009C26DE" w:rsidP="009C26DE">
      <w:pPr>
        <w:pStyle w:val="A"/>
      </w:pPr>
      <w:r w:rsidRPr="001531CD">
        <w:rPr>
          <w:i/>
        </w:rPr>
        <w:t>Department</w:t>
      </w:r>
      <w:r w:rsidRPr="001531CD">
        <w:rPr>
          <w:iCs/>
        </w:rPr>
        <w:t>―</w:t>
      </w:r>
      <w:r w:rsidRPr="001531CD">
        <w:t>the Louisiana Department of Agriculture and Forestry.</w:t>
      </w:r>
    </w:p>
    <w:p w14:paraId="65B2FEEE" w14:textId="77777777" w:rsidR="009C26DE" w:rsidRPr="001531CD" w:rsidRDefault="009C26DE" w:rsidP="009C26DE">
      <w:pPr>
        <w:pStyle w:val="A"/>
      </w:pPr>
      <w:r w:rsidRPr="001531CD">
        <w:rPr>
          <w:i/>
        </w:rPr>
        <w:t>Farm</w:t>
      </w:r>
      <w:r w:rsidRPr="001531CD">
        <w:rPr>
          <w:iCs/>
        </w:rPr>
        <w:t>―</w:t>
      </w:r>
      <w:r w:rsidRPr="001531CD">
        <w:t>all acreage within a watershed owned, operated or managed by an individual or legal entity if the acreage is used for the commercial production and harvesting of any agronomic, agricultural, aquacultural, floricultural, horticultural, silvicultural, or vitacultural product, including but not limited to, beans, cotton, fruits, grains, livestock, nursery stock, sugarcane, timber, crawfish, catfish, and vegetables.</w:t>
      </w:r>
    </w:p>
    <w:p w14:paraId="1EEACA87" w14:textId="77777777" w:rsidR="009C26DE" w:rsidRPr="001531CD" w:rsidRDefault="009C26DE" w:rsidP="009C26DE">
      <w:pPr>
        <w:pStyle w:val="A"/>
      </w:pPr>
      <w:r w:rsidRPr="001531CD">
        <w:rPr>
          <w:i/>
        </w:rPr>
        <w:t>LSU AgCenter</w:t>
      </w:r>
      <w:r w:rsidRPr="001531CD">
        <w:rPr>
          <w:iCs/>
        </w:rPr>
        <w:t>―</w:t>
      </w:r>
      <w:r w:rsidRPr="001531CD">
        <w:t>the Louisiana State University Agricultural Center.</w:t>
      </w:r>
    </w:p>
    <w:p w14:paraId="30685D42" w14:textId="77777777" w:rsidR="009C26DE" w:rsidRPr="001531CD" w:rsidRDefault="009C26DE" w:rsidP="009C26DE">
      <w:pPr>
        <w:pStyle w:val="A"/>
      </w:pPr>
      <w:r w:rsidRPr="001531CD">
        <w:rPr>
          <w:i/>
        </w:rPr>
        <w:t>Master Farmer</w:t>
      </w:r>
      <w:r w:rsidRPr="001531CD">
        <w:rPr>
          <w:iCs/>
        </w:rPr>
        <w:t>―</w:t>
      </w:r>
      <w:r w:rsidRPr="001531CD">
        <w:t>an individual who has obtained his or her master farmer certification from the commissioner.</w:t>
      </w:r>
    </w:p>
    <w:p w14:paraId="2ECE7A01" w14:textId="77777777" w:rsidR="009C26DE" w:rsidRPr="001531CD" w:rsidRDefault="009C26DE" w:rsidP="009C26DE">
      <w:pPr>
        <w:pStyle w:val="A"/>
      </w:pPr>
      <w:r w:rsidRPr="001531CD">
        <w:rPr>
          <w:i/>
        </w:rPr>
        <w:t>NRCS</w:t>
      </w:r>
      <w:r w:rsidRPr="001531CD">
        <w:rPr>
          <w:iCs/>
        </w:rPr>
        <w:t>―</w:t>
      </w:r>
      <w:r w:rsidRPr="001531CD">
        <w:t>the Natural Resources Conservation Service of the United States Department of Agriculture.</w:t>
      </w:r>
    </w:p>
    <w:p w14:paraId="422B47B6" w14:textId="77777777" w:rsidR="009C26DE" w:rsidRPr="001531CD" w:rsidRDefault="009C26DE" w:rsidP="009C26DE">
      <w:pPr>
        <w:pStyle w:val="A"/>
      </w:pPr>
      <w:r w:rsidRPr="001531CD">
        <w:rPr>
          <w:i/>
        </w:rPr>
        <w:t>Resource Management System Plan</w:t>
      </w:r>
      <w:r w:rsidRPr="001531CD">
        <w:rPr>
          <w:iCs/>
        </w:rPr>
        <w:t>―</w:t>
      </w:r>
      <w:r w:rsidRPr="001531CD">
        <w:t>an individual comprehensive whole-farm soil and water conservation plan for a farm that incorporates best management practices, meets the standards and specifications of NRCS, the department, and the affected soil and water conservation district, and is approved by the department.</w:t>
      </w:r>
    </w:p>
    <w:p w14:paraId="116AF8AC" w14:textId="77777777" w:rsidR="009C26DE" w:rsidRPr="001531CD" w:rsidRDefault="009C26DE" w:rsidP="009C26DE">
      <w:pPr>
        <w:pStyle w:val="A"/>
      </w:pPr>
      <w:r w:rsidRPr="001531CD">
        <w:rPr>
          <w:i/>
        </w:rPr>
        <w:t>Watershed</w:t>
      </w:r>
      <w:r w:rsidRPr="001531CD">
        <w:rPr>
          <w:iCs/>
        </w:rPr>
        <w:t>―</w:t>
      </w:r>
      <w:r w:rsidRPr="001531CD">
        <w:t>an area of land in Louisiana that drains toward a given point and which has been mapped and identified by a name and 11 digit number in accordance with United States Department of Agriculture and United States Geological Survey protocols.</w:t>
      </w:r>
    </w:p>
    <w:p w14:paraId="4FD29302" w14:textId="77777777" w:rsidR="009C26DE" w:rsidRPr="001531CD" w:rsidRDefault="009C26DE" w:rsidP="009C26DE">
      <w:pPr>
        <w:pStyle w:val="AuthorityNote"/>
      </w:pPr>
      <w:r w:rsidRPr="001531CD">
        <w:t>AUTHORITY NOTE:</w:t>
      </w:r>
      <w:r w:rsidRPr="001531CD">
        <w:tab/>
        <w:t>Promulgated in accordance with R.S. 3:304.</w:t>
      </w:r>
    </w:p>
    <w:p w14:paraId="5C5E9A3A" w14:textId="77777777" w:rsidR="009C26DE" w:rsidRPr="001531CD" w:rsidRDefault="009C26DE" w:rsidP="009C26DE">
      <w:pPr>
        <w:pStyle w:val="HistoricalNote"/>
      </w:pPr>
      <w:r w:rsidRPr="001531CD">
        <w:t>HISTORICAL NOTE:</w:t>
      </w:r>
      <w:r w:rsidRPr="001531CD">
        <w:tab/>
        <w:t>Promulgated by the Department of Agriculture and Forestry, Office of the Commissioner, LR 32:794 (May 2006).</w:t>
      </w:r>
    </w:p>
    <w:p w14:paraId="344F8F7E" w14:textId="77777777" w:rsidR="009C26DE" w:rsidRPr="001531CD" w:rsidRDefault="009C26DE" w:rsidP="009C26DE">
      <w:pPr>
        <w:pStyle w:val="Section"/>
      </w:pPr>
      <w:bookmarkStart w:id="3402" w:name="_Toc256755221"/>
      <w:bookmarkStart w:id="3403" w:name="_Toc224819642"/>
      <w:r w:rsidRPr="001531CD">
        <w:t>§303.</w:t>
      </w:r>
      <w:r w:rsidRPr="001531CD">
        <w:tab/>
        <w:t>Application for Master Farmer Certification</w:t>
      </w:r>
      <w:bookmarkEnd w:id="3402"/>
      <w:bookmarkEnd w:id="3403"/>
    </w:p>
    <w:p w14:paraId="6B40A83E" w14:textId="77777777" w:rsidR="009C26DE" w:rsidRPr="001531CD" w:rsidRDefault="009C26DE" w:rsidP="009C26DE">
      <w:pPr>
        <w:pStyle w:val="A"/>
        <w:rPr>
          <w:bCs/>
        </w:rPr>
      </w:pPr>
      <w:r w:rsidRPr="001531CD">
        <w:t>A.</w:t>
      </w:r>
      <w:r w:rsidRPr="001531CD">
        <w:tab/>
        <w:t>The following individuals are eligible to apply to become a master farmer:</w:t>
      </w:r>
    </w:p>
    <w:p w14:paraId="2A8339B4" w14:textId="77777777" w:rsidR="009C26DE" w:rsidRPr="001531CD" w:rsidRDefault="009C26DE" w:rsidP="009C26DE">
      <w:pPr>
        <w:pStyle w:val="1"/>
        <w:rPr>
          <w:bCs/>
        </w:rPr>
      </w:pPr>
      <w:r w:rsidRPr="001531CD">
        <w:t>1.</w:t>
      </w:r>
      <w:r w:rsidRPr="001531CD">
        <w:tab/>
        <w:t>an individual who owns and operates one or more farms in his own name or through a legal entity in which the individual owns a controlling interest;</w:t>
      </w:r>
    </w:p>
    <w:p w14:paraId="07496684" w14:textId="77777777" w:rsidR="009C26DE" w:rsidRPr="001531CD" w:rsidRDefault="009C26DE" w:rsidP="009C26DE">
      <w:pPr>
        <w:pStyle w:val="1"/>
        <w:rPr>
          <w:bCs/>
        </w:rPr>
      </w:pPr>
      <w:r w:rsidRPr="001531CD">
        <w:t>2.</w:t>
      </w:r>
      <w:r w:rsidRPr="001531CD">
        <w:tab/>
        <w:t>an individual who operates one or more farms on land leased by him or her;</w:t>
      </w:r>
    </w:p>
    <w:p w14:paraId="25EE8B4E" w14:textId="77777777" w:rsidR="009C26DE" w:rsidRPr="001531CD" w:rsidRDefault="009C26DE" w:rsidP="009C26DE">
      <w:pPr>
        <w:pStyle w:val="1"/>
        <w:rPr>
          <w:bCs/>
        </w:rPr>
      </w:pPr>
      <w:r w:rsidRPr="001531CD">
        <w:t>3.</w:t>
      </w:r>
      <w:r w:rsidRPr="001531CD">
        <w:tab/>
        <w:t>an individual who manages or operates one or more farms for a legal entity in which the individual does not own a controlling interest.</w:t>
      </w:r>
    </w:p>
    <w:p w14:paraId="4B62EF66" w14:textId="77777777" w:rsidR="009C26DE" w:rsidRPr="001531CD" w:rsidRDefault="009C26DE" w:rsidP="009C26DE">
      <w:pPr>
        <w:pStyle w:val="A"/>
        <w:rPr>
          <w:bCs/>
        </w:rPr>
      </w:pPr>
      <w:r w:rsidRPr="001531CD">
        <w:t>B.</w:t>
      </w:r>
      <w:r w:rsidRPr="001531CD">
        <w:tab/>
        <w:t xml:space="preserve">An eligible individual may apply to the commissioner for certification as a master farmer if the individual has successfully completed the master farmer curriculum </w:t>
      </w:r>
      <w:r w:rsidRPr="001531CD">
        <w:lastRenderedPageBreak/>
        <w:t>established by the LSU AgCenter, attended a model farm field day sponsored by the LSU AgCenter, and has implemented a resource management system plan for at least one farm.</w:t>
      </w:r>
    </w:p>
    <w:p w14:paraId="2D870182" w14:textId="77777777" w:rsidR="009C26DE" w:rsidRPr="001531CD" w:rsidRDefault="009C26DE" w:rsidP="009C26DE">
      <w:pPr>
        <w:pStyle w:val="A"/>
        <w:rPr>
          <w:bCs/>
        </w:rPr>
      </w:pPr>
      <w:r w:rsidRPr="001531CD">
        <w:t>C.</w:t>
      </w:r>
      <w:r w:rsidRPr="001531CD">
        <w:tab/>
        <w:t>An applicant who manages or operates one or more farms for a legal entity in which the individual does not own a controlling interest will be considered to have implemented a resource management system plan if the owner of the farm implements such a plan.</w:t>
      </w:r>
    </w:p>
    <w:p w14:paraId="2F51AFD2" w14:textId="77777777" w:rsidR="009C26DE" w:rsidRPr="001531CD" w:rsidRDefault="009C26DE" w:rsidP="009C26DE">
      <w:pPr>
        <w:pStyle w:val="A"/>
        <w:rPr>
          <w:bCs/>
        </w:rPr>
      </w:pPr>
      <w:r w:rsidRPr="001531CD">
        <w:t>D.</w:t>
      </w:r>
      <w:r w:rsidRPr="001531CD">
        <w:tab/>
        <w:t>Each application shall be made in writing on a form approved by the commissioner and shall be accompanied by:</w:t>
      </w:r>
    </w:p>
    <w:p w14:paraId="6BD2CBBA" w14:textId="77777777" w:rsidR="009C26DE" w:rsidRPr="001531CD" w:rsidRDefault="009C26DE" w:rsidP="009C26DE">
      <w:pPr>
        <w:pStyle w:val="1"/>
        <w:rPr>
          <w:bCs/>
        </w:rPr>
      </w:pPr>
      <w:r w:rsidRPr="001531CD">
        <w:t>1.</w:t>
      </w:r>
      <w:r w:rsidRPr="001531CD">
        <w:tab/>
        <w:t>a document from the LSU AgCenter showing successful completion of the master farmer certification curriculum established by the LSU AgCenter;</w:t>
      </w:r>
    </w:p>
    <w:p w14:paraId="10DE8081" w14:textId="77777777" w:rsidR="009C26DE" w:rsidRPr="001531CD" w:rsidRDefault="009C26DE" w:rsidP="009C26DE">
      <w:pPr>
        <w:pStyle w:val="1"/>
        <w:rPr>
          <w:bCs/>
        </w:rPr>
      </w:pPr>
      <w:r w:rsidRPr="001531CD">
        <w:t>2.</w:t>
      </w:r>
      <w:r w:rsidRPr="001531CD">
        <w:tab/>
        <w:t>a document from the LSU AgCenter showing attendance at a model farm field day sponsored by the LSU AgCenter; and</w:t>
      </w:r>
    </w:p>
    <w:p w14:paraId="42F497ED" w14:textId="77777777" w:rsidR="009C26DE" w:rsidRPr="001531CD" w:rsidRDefault="009C26DE" w:rsidP="009C26DE">
      <w:pPr>
        <w:pStyle w:val="1"/>
        <w:rPr>
          <w:bCs/>
        </w:rPr>
      </w:pPr>
      <w:r w:rsidRPr="001531CD">
        <w:t>3.</w:t>
      </w:r>
      <w:r w:rsidRPr="001531CD">
        <w:tab/>
        <w:t>a document from NRCS or the department showing that a resource management system plan has been implemented for a farm;</w:t>
      </w:r>
    </w:p>
    <w:p w14:paraId="3C752861" w14:textId="77777777" w:rsidR="009C26DE" w:rsidRPr="001531CD" w:rsidRDefault="009C26DE" w:rsidP="009C26DE">
      <w:pPr>
        <w:pStyle w:val="1"/>
        <w:rPr>
          <w:bCs/>
        </w:rPr>
      </w:pPr>
      <w:r w:rsidRPr="001531CD">
        <w:t>4.</w:t>
      </w:r>
      <w:r w:rsidRPr="001531CD">
        <w:tab/>
        <w:t>a statement by the applicant that he or she agrees to attend at least six hours a year of continuing education approved by the LSU AgCenter or (and) the department during the time he or she holds a master farmer certification;</w:t>
      </w:r>
    </w:p>
    <w:p w14:paraId="759ADD70" w14:textId="77777777" w:rsidR="009C26DE" w:rsidRPr="001531CD" w:rsidRDefault="009C26DE" w:rsidP="009C26DE">
      <w:pPr>
        <w:pStyle w:val="1"/>
        <w:rPr>
          <w:bCs/>
        </w:rPr>
      </w:pPr>
      <w:r w:rsidRPr="001531CD">
        <w:t>5.</w:t>
      </w:r>
      <w:r w:rsidRPr="001531CD">
        <w:tab/>
        <w:t>a statement by the applicant that he or she agrees to develop, implement and maintain, in accordance with these regulations, a resource management system plan for all farms the applicant owns, operates, or manages.</w:t>
      </w:r>
    </w:p>
    <w:p w14:paraId="512E0779" w14:textId="77777777" w:rsidR="009C26DE" w:rsidRPr="001531CD" w:rsidRDefault="009C26DE" w:rsidP="009C26DE">
      <w:pPr>
        <w:pStyle w:val="AuthorityNote"/>
        <w:rPr>
          <w:bCs/>
        </w:rPr>
      </w:pPr>
      <w:r w:rsidRPr="001531CD">
        <w:t>AUTHORITY NOTE:</w:t>
      </w:r>
      <w:r w:rsidRPr="001531CD">
        <w:tab/>
        <w:t>Promulgated in accordance with R.S. 3:304.</w:t>
      </w:r>
    </w:p>
    <w:p w14:paraId="6DE19B79" w14:textId="77777777" w:rsidR="009C26DE" w:rsidRPr="001531CD" w:rsidRDefault="009C26DE" w:rsidP="009C26DE">
      <w:pPr>
        <w:pStyle w:val="HistoricalNote"/>
        <w:rPr>
          <w:bCs/>
        </w:rPr>
      </w:pPr>
      <w:r w:rsidRPr="001531CD">
        <w:t>HISTORICAL NOTE:</w:t>
      </w:r>
      <w:r w:rsidRPr="001531CD">
        <w:tab/>
        <w:t>Promulgated by the Department of Agriculture and Forestry, Office of the Commissioner, LR 32:795 (May 2006).</w:t>
      </w:r>
    </w:p>
    <w:p w14:paraId="03166E17" w14:textId="77777777" w:rsidR="009C26DE" w:rsidRPr="001531CD" w:rsidRDefault="009C26DE" w:rsidP="009C26DE">
      <w:pPr>
        <w:pStyle w:val="Section"/>
      </w:pPr>
      <w:bookmarkStart w:id="3404" w:name="_Toc256755222"/>
      <w:bookmarkStart w:id="3405" w:name="_Toc224819643"/>
      <w:r w:rsidRPr="001531CD">
        <w:t>§305.</w:t>
      </w:r>
      <w:r w:rsidRPr="001531CD">
        <w:tab/>
        <w:t>Issuance of Master Farmer Certification</w:t>
      </w:r>
      <w:bookmarkEnd w:id="3404"/>
      <w:bookmarkEnd w:id="3405"/>
    </w:p>
    <w:p w14:paraId="0E8A2906" w14:textId="77777777" w:rsidR="009C26DE" w:rsidRPr="001531CD" w:rsidRDefault="009C26DE" w:rsidP="009C26DE">
      <w:pPr>
        <w:pStyle w:val="A"/>
      </w:pPr>
      <w:r w:rsidRPr="001531CD">
        <w:t>A.</w:t>
      </w:r>
      <w:r w:rsidRPr="001531CD">
        <w:tab/>
        <w:t>The commissioner or his designee shall review each application for a master farmer certification to determine if the applicant successfully meets the requirements established by R.S. 3:304 and these regulations for obtaining a master farmer certification. If the commissioner approves an application the department shall issue a master farmer certification to the applicant.</w:t>
      </w:r>
    </w:p>
    <w:p w14:paraId="6554754A" w14:textId="77777777" w:rsidR="009C26DE" w:rsidRPr="001531CD" w:rsidRDefault="009C26DE" w:rsidP="009C26DE">
      <w:pPr>
        <w:pStyle w:val="AuthorityNote"/>
      </w:pPr>
      <w:r w:rsidRPr="001531CD">
        <w:t>AUTHORITY NOTE:</w:t>
      </w:r>
      <w:r w:rsidRPr="001531CD">
        <w:tab/>
        <w:t>Promulgated in accordance with R.S. 3:304.</w:t>
      </w:r>
    </w:p>
    <w:p w14:paraId="74248BDE" w14:textId="77777777" w:rsidR="009C26DE" w:rsidRPr="001531CD" w:rsidRDefault="009C26DE" w:rsidP="009C26DE">
      <w:pPr>
        <w:pStyle w:val="HistoricalNote"/>
      </w:pPr>
      <w:r w:rsidRPr="001531CD">
        <w:t>HISTORICAL NOTE:</w:t>
      </w:r>
      <w:r w:rsidRPr="001531CD">
        <w:tab/>
        <w:t>Promulgated by the Department of Agriculture and Forestry, Office of the Commissioner, LR 32:795 (May 2006).</w:t>
      </w:r>
    </w:p>
    <w:p w14:paraId="3916CABF" w14:textId="77777777" w:rsidR="009C26DE" w:rsidRPr="001531CD" w:rsidRDefault="009C26DE" w:rsidP="009C26DE">
      <w:pPr>
        <w:pStyle w:val="Section"/>
      </w:pPr>
      <w:bookmarkStart w:id="3406" w:name="_Toc256755223"/>
      <w:bookmarkStart w:id="3407" w:name="_Toc224819644"/>
      <w:r w:rsidRPr="001531CD">
        <w:t>§307.</w:t>
      </w:r>
      <w:r w:rsidRPr="001531CD">
        <w:tab/>
        <w:t>Cancellation of Master Farmer Certification</w:t>
      </w:r>
      <w:bookmarkEnd w:id="3406"/>
      <w:bookmarkEnd w:id="3407"/>
    </w:p>
    <w:p w14:paraId="3A6CC80B" w14:textId="77777777" w:rsidR="009C26DE" w:rsidRPr="001531CD" w:rsidRDefault="009C26DE" w:rsidP="009C26DE">
      <w:pPr>
        <w:pStyle w:val="A"/>
      </w:pPr>
      <w:r w:rsidRPr="001531CD">
        <w:t>A.</w:t>
      </w:r>
      <w:r w:rsidRPr="001531CD">
        <w:tab/>
        <w:t>A master farmer shall remain certified as a master farmer so long as he or she actively maintains the resource management system plan in accordance with best management practices for each farm owned, operated, or managed by that individual.</w:t>
      </w:r>
    </w:p>
    <w:p w14:paraId="7A4332D9" w14:textId="77777777" w:rsidR="009C26DE" w:rsidRPr="001531CD" w:rsidRDefault="009C26DE" w:rsidP="009C26DE">
      <w:pPr>
        <w:pStyle w:val="A"/>
      </w:pPr>
      <w:r w:rsidRPr="001531CD">
        <w:t>B.</w:t>
      </w:r>
      <w:r w:rsidRPr="001531CD">
        <w:tab/>
        <w:t>A master farmer shall be actively maintaining a resource management system plan in accordance with best management practices so long as all of the following requirements are met.</w:t>
      </w:r>
    </w:p>
    <w:p w14:paraId="7F029B66" w14:textId="77777777" w:rsidR="009C26DE" w:rsidRPr="001531CD" w:rsidRDefault="009C26DE" w:rsidP="009C26DE">
      <w:pPr>
        <w:pStyle w:val="1"/>
      </w:pPr>
      <w:r w:rsidRPr="001531CD">
        <w:t>1.</w:t>
      </w:r>
      <w:r w:rsidRPr="001531CD">
        <w:tab/>
        <w:t>The resource management system plan or best management practices incorporated into the plan are utilized and maintained on a consistent basis.</w:t>
      </w:r>
    </w:p>
    <w:p w14:paraId="22109FE7" w14:textId="77777777" w:rsidR="009C26DE" w:rsidRPr="001531CD" w:rsidRDefault="009C26DE" w:rsidP="009C26DE">
      <w:pPr>
        <w:pStyle w:val="1"/>
      </w:pPr>
      <w:r w:rsidRPr="001531CD">
        <w:t>2.</w:t>
      </w:r>
      <w:r w:rsidRPr="001531CD">
        <w:tab/>
        <w:t>The records required by the resource management system plan are maintained as long as the resource management system plan is in effect.</w:t>
      </w:r>
    </w:p>
    <w:p w14:paraId="72D32088" w14:textId="77777777" w:rsidR="009C26DE" w:rsidRPr="001531CD" w:rsidRDefault="009C26DE" w:rsidP="009C26DE">
      <w:pPr>
        <w:pStyle w:val="1"/>
      </w:pPr>
      <w:r w:rsidRPr="001531CD">
        <w:t>3.</w:t>
      </w:r>
      <w:r w:rsidRPr="001531CD">
        <w:tab/>
        <w:t>Department personnel are allowed to inspect the farm or to review the records as long as the resource management system plan is in effect.</w:t>
      </w:r>
    </w:p>
    <w:p w14:paraId="2893E36A" w14:textId="77777777" w:rsidR="009C26DE" w:rsidRPr="001531CD" w:rsidRDefault="009C26DE" w:rsidP="009C26DE">
      <w:pPr>
        <w:pStyle w:val="1"/>
      </w:pPr>
      <w:r w:rsidRPr="001531CD">
        <w:t>4.</w:t>
      </w:r>
      <w:r w:rsidRPr="001531CD">
        <w:tab/>
        <w:t>A comprehensive review of the resource management system plan with NRCS or the department is completed at least once every five years for the purpose of updating the plan and incorporating new best management practices as may be necessary.</w:t>
      </w:r>
    </w:p>
    <w:p w14:paraId="4C882376" w14:textId="77777777" w:rsidR="009C26DE" w:rsidRPr="001531CD" w:rsidRDefault="009C26DE" w:rsidP="009C26DE">
      <w:pPr>
        <w:pStyle w:val="1"/>
      </w:pPr>
      <w:r w:rsidRPr="001531CD">
        <w:t>5.</w:t>
      </w:r>
      <w:r w:rsidRPr="001531CD">
        <w:tab/>
        <w:t>Attendance at a minimum of six hours a year of continuing education approved by the LSU AgCenter or (and) the department.</w:t>
      </w:r>
    </w:p>
    <w:p w14:paraId="1DC54A6C" w14:textId="77777777" w:rsidR="009C26DE" w:rsidRPr="001531CD" w:rsidRDefault="009C26DE" w:rsidP="009C26DE">
      <w:pPr>
        <w:pStyle w:val="1"/>
      </w:pPr>
      <w:r w:rsidRPr="001531CD">
        <w:t>6.</w:t>
      </w:r>
      <w:r w:rsidRPr="001531CD">
        <w:tab/>
        <w:t>The active development, maintenance, and review, in conjunction with NRCS or the department, of a resource management plan for all farms owned, operated, or managed by the individual.</w:t>
      </w:r>
    </w:p>
    <w:p w14:paraId="34C4E1EF" w14:textId="77777777" w:rsidR="009C26DE" w:rsidRPr="001531CD" w:rsidRDefault="009C26DE" w:rsidP="009C26DE">
      <w:pPr>
        <w:pStyle w:val="A"/>
      </w:pPr>
      <w:r w:rsidRPr="001531CD">
        <w:t>C.</w:t>
      </w:r>
      <w:r w:rsidRPr="001531CD">
        <w:tab/>
        <w:t>The commissioner may cancel an individual's master farmer certification for failing to abide by the requirements established by R. S. 3:304 and these regulations only after an administrative adjudicatory hearing held in accordance with the Louisiana Administrative Procedure Act, or upon the written request or approval of the individual holding the certification.</w:t>
      </w:r>
    </w:p>
    <w:p w14:paraId="001C595B" w14:textId="77777777" w:rsidR="009C26DE" w:rsidRPr="001531CD" w:rsidRDefault="009C26DE" w:rsidP="009C26DE">
      <w:pPr>
        <w:pStyle w:val="AuthorityNote"/>
      </w:pPr>
      <w:r w:rsidRPr="001531CD">
        <w:t>AUTHORITY NOTE:</w:t>
      </w:r>
      <w:r w:rsidRPr="001531CD">
        <w:tab/>
        <w:t>Promulgated in accordance with R.S. 3:304.</w:t>
      </w:r>
    </w:p>
    <w:p w14:paraId="5A9CAF21" w14:textId="77777777" w:rsidR="009C26DE" w:rsidRPr="001531CD" w:rsidRDefault="009C26DE" w:rsidP="009C26DE">
      <w:pPr>
        <w:pStyle w:val="HistoricalNote"/>
      </w:pPr>
      <w:r w:rsidRPr="001531CD">
        <w:t>HISTORICAL NOTE:</w:t>
      </w:r>
      <w:r w:rsidRPr="001531CD">
        <w:tab/>
        <w:t>Promulgated by the Department of Agriculture and Forestry, Office of the Commissioner, LR 32:795 (May 2006).</w:t>
      </w:r>
    </w:p>
    <w:p w14:paraId="47F7723C" w14:textId="77777777" w:rsidR="009C26DE" w:rsidRPr="001531CD" w:rsidRDefault="009C26DE" w:rsidP="009C26DE">
      <w:pPr>
        <w:pStyle w:val="HistoricalNote"/>
        <w:sectPr w:rsidR="009C26DE" w:rsidRPr="001531CD" w:rsidSect="00167E2E">
          <w:headerReference w:type="even" r:id="rId94"/>
          <w:headerReference w:type="default" r:id="rId95"/>
          <w:type w:val="continuous"/>
          <w:pgSz w:w="12240" w:h="15840" w:code="1"/>
          <w:pgMar w:top="1080" w:right="864" w:bottom="864" w:left="864" w:header="576" w:footer="432" w:gutter="0"/>
          <w:cols w:num="2" w:space="720"/>
        </w:sectPr>
      </w:pPr>
    </w:p>
    <w:p w14:paraId="7AE64993" w14:textId="77777777"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14:paraId="6FA18E2D" w14:textId="77777777" w:rsidR="00CF626A" w:rsidRPr="001531CD" w:rsidRDefault="00CF626A" w:rsidP="00F03863">
      <w:pPr>
        <w:pStyle w:val="Title1"/>
        <w:outlineLvl w:val="0"/>
      </w:pPr>
      <w:r w:rsidRPr="001531CD">
        <w:lastRenderedPageBreak/>
        <w:t>Title 7</w:t>
      </w:r>
    </w:p>
    <w:p w14:paraId="23D84544" w14:textId="77777777" w:rsidR="00CF626A" w:rsidRPr="001531CD" w:rsidRDefault="00CF626A">
      <w:pPr>
        <w:pStyle w:val="Title2"/>
      </w:pPr>
      <w:r w:rsidRPr="001531CD">
        <w:t>AGRICULTURE AND ANIMALS</w:t>
      </w:r>
    </w:p>
    <w:p w14:paraId="3AE6115A" w14:textId="77777777" w:rsidR="00CF626A" w:rsidRPr="001531CD" w:rsidRDefault="00CF626A">
      <w:pPr>
        <w:pStyle w:val="Part"/>
      </w:pPr>
      <w:bookmarkStart w:id="3408" w:name="TOC_Part21"/>
      <w:bookmarkStart w:id="3409" w:name="_Toc77840565"/>
      <w:bookmarkStart w:id="3410" w:name="_Toc224819645"/>
      <w:r w:rsidRPr="001531CD">
        <w:t>Part XLIII.  Organic Farming</w:t>
      </w:r>
      <w:bookmarkEnd w:id="3408"/>
      <w:bookmarkEnd w:id="3409"/>
      <w:bookmarkEnd w:id="3410"/>
    </w:p>
    <w:p w14:paraId="273486C2" w14:textId="77777777" w:rsidR="00CF626A" w:rsidRPr="001531CD" w:rsidRDefault="00CF626A">
      <w:pPr>
        <w:pStyle w:val="Part"/>
      </w:pPr>
    </w:p>
    <w:p w14:paraId="25228AE2" w14:textId="77777777" w:rsidR="00CF626A" w:rsidRPr="001531CD" w:rsidRDefault="00CF626A">
      <w:pPr>
        <w:pStyle w:val="Part"/>
        <w:sectPr w:rsidR="00CF626A" w:rsidRPr="001531CD" w:rsidSect="00167E2E">
          <w:headerReference w:type="default" r:id="rId96"/>
          <w:type w:val="oddPage"/>
          <w:pgSz w:w="12240" w:h="15840" w:code="1"/>
          <w:pgMar w:top="1080" w:right="864" w:bottom="864" w:left="864" w:header="576" w:footer="432" w:gutter="0"/>
          <w:cols w:space="720"/>
          <w:docGrid w:linePitch="326"/>
        </w:sectPr>
      </w:pPr>
    </w:p>
    <w:p w14:paraId="3936C1BD" w14:textId="77777777" w:rsidR="00CF626A" w:rsidRPr="001531CD" w:rsidRDefault="00CF626A">
      <w:pPr>
        <w:pStyle w:val="Chapter"/>
      </w:pPr>
      <w:bookmarkStart w:id="3411" w:name="TOC_Chap287"/>
      <w:bookmarkStart w:id="3412" w:name="_Toc256755224"/>
      <w:bookmarkStart w:id="3413" w:name="_Toc224819646"/>
      <w:r w:rsidRPr="001531CD">
        <w:t>Chapter 1.</w:t>
      </w:r>
      <w:bookmarkEnd w:id="3411"/>
      <w:r w:rsidR="00D07DF2">
        <w:tab/>
      </w:r>
      <w:bookmarkStart w:id="3414" w:name="TOCT_Chap213"/>
      <w:bookmarkStart w:id="3415" w:name="TOCT_Chap253"/>
      <w:bookmarkStart w:id="3416" w:name="TOCT_Chap287"/>
      <w:r w:rsidRPr="001531CD">
        <w:t>Organic Certification Program</w:t>
      </w:r>
      <w:bookmarkEnd w:id="3412"/>
      <w:bookmarkEnd w:id="3413"/>
      <w:bookmarkEnd w:id="3414"/>
      <w:bookmarkEnd w:id="3415"/>
      <w:bookmarkEnd w:id="3416"/>
    </w:p>
    <w:p w14:paraId="04B34E00" w14:textId="77777777" w:rsidR="00CF626A" w:rsidRPr="001531CD" w:rsidRDefault="00CF626A">
      <w:pPr>
        <w:pStyle w:val="Section"/>
      </w:pPr>
      <w:bookmarkStart w:id="3417" w:name="_Toc256755225"/>
      <w:bookmarkStart w:id="3418" w:name="_Toc224819647"/>
      <w:r w:rsidRPr="001531CD">
        <w:t>§101.</w:t>
      </w:r>
      <w:r w:rsidRPr="001531CD">
        <w:tab/>
        <w:t>Organic Certification</w:t>
      </w:r>
      <w:bookmarkEnd w:id="3417"/>
      <w:bookmarkEnd w:id="3418"/>
    </w:p>
    <w:p w14:paraId="6DC3FD69" w14:textId="77777777" w:rsidR="00CF626A" w:rsidRPr="001531CD" w:rsidRDefault="00CF626A">
      <w:pPr>
        <w:pStyle w:val="A"/>
      </w:pPr>
      <w:r w:rsidRPr="001531CD">
        <w:t>A.</w:t>
      </w:r>
      <w:r w:rsidRPr="001531CD">
        <w:tab/>
        <w:t>Organic certification is governed by federal regulations which may be found in the Code of Federal Regulations Volume 65, Number 246, Part IV, 7 CFR Part 205, Subparts A-E, and Subpart G, Sections 600-607, 642-663, 670-681.</w:t>
      </w:r>
    </w:p>
    <w:p w14:paraId="12DD93D1" w14:textId="77777777" w:rsidR="00CF626A" w:rsidRPr="001531CD" w:rsidRDefault="00CF626A">
      <w:pPr>
        <w:pStyle w:val="AuthorityNote"/>
      </w:pPr>
      <w:r w:rsidRPr="001531CD">
        <w:t>AUTHORITY NOTE:</w:t>
      </w:r>
      <w:r w:rsidRPr="001531CD">
        <w:tab/>
        <w:t>Promulgated in accordance with R.S. 40:608.3 and 7 CFR 205.642.</w:t>
      </w:r>
    </w:p>
    <w:p w14:paraId="597C7757"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LR 30:2255 (October 2004).</w:t>
      </w:r>
    </w:p>
    <w:p w14:paraId="16FB2A36" w14:textId="77777777" w:rsidR="00CF626A" w:rsidRPr="001531CD" w:rsidRDefault="00CF626A">
      <w:pPr>
        <w:pStyle w:val="Section"/>
      </w:pPr>
      <w:bookmarkStart w:id="3419" w:name="_Toc256755226"/>
      <w:bookmarkStart w:id="3420" w:name="_Toc224819648"/>
      <w:r w:rsidRPr="001531CD">
        <w:t>§103.</w:t>
      </w:r>
      <w:r w:rsidRPr="001531CD">
        <w:tab/>
        <w:t>Organic Certification Fees</w:t>
      </w:r>
      <w:bookmarkEnd w:id="3419"/>
      <w:bookmarkEnd w:id="3420"/>
    </w:p>
    <w:p w14:paraId="3C8F18C8" w14:textId="77777777" w:rsidR="00CF626A" w:rsidRPr="001531CD" w:rsidRDefault="00CF626A">
      <w:pPr>
        <w:pStyle w:val="A"/>
      </w:pPr>
      <w:r w:rsidRPr="001531CD">
        <w:t>A.</w:t>
      </w:r>
      <w:r w:rsidRPr="001531CD">
        <w:tab/>
        <w:t>Producers, processors, handlers, and distributors participating in the National Organic Program certified by the Department of Agriculture and Forestry will be charged organic certification fees.</w:t>
      </w:r>
    </w:p>
    <w:p w14:paraId="58B68F37" w14:textId="77777777" w:rsidR="00CF626A" w:rsidRPr="001531CD" w:rsidRDefault="00CF626A">
      <w:pPr>
        <w:pStyle w:val="A"/>
        <w:spacing w:after="200"/>
      </w:pPr>
      <w:r w:rsidRPr="001531CD">
        <w:t>B.</w:t>
      </w:r>
      <w:r w:rsidRPr="001531CD">
        <w:tab/>
        <w:t>The organic application fee, organic certification fee or annual update fee shall be paid by new applicants or those applicants updating organic certification and shall be paid in accordance with the following schedule.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24"/>
        <w:gridCol w:w="720"/>
        <w:gridCol w:w="1350"/>
      </w:tblGrid>
      <w:tr w:rsidR="00CF626A" w:rsidRPr="001531CD" w14:paraId="347C1CB4" w14:textId="77777777" w:rsidTr="00D07DF2">
        <w:trPr>
          <w:cantSplit/>
          <w:jc w:val="center"/>
        </w:trPr>
        <w:tc>
          <w:tcPr>
            <w:tcW w:w="4994" w:type="dxa"/>
            <w:gridSpan w:val="3"/>
            <w:tcBorders>
              <w:top w:val="double" w:sz="6" w:space="0" w:color="auto"/>
              <w:bottom w:val="single" w:sz="6" w:space="0" w:color="auto"/>
            </w:tcBorders>
            <w:shd w:val="clear" w:color="auto" w:fill="BFBFBF"/>
          </w:tcPr>
          <w:p w14:paraId="6EA113A9" w14:textId="77777777" w:rsidR="00CF626A" w:rsidRPr="00D86AD2" w:rsidRDefault="00CF626A" w:rsidP="00D07DF2">
            <w:pPr>
              <w:pStyle w:val="Heading8"/>
              <w:rPr>
                <w:bCs w:val="0"/>
                <w:sz w:val="16"/>
                <w:lang w:val="en-US" w:eastAsia="en-US"/>
              </w:rPr>
            </w:pPr>
            <w:r w:rsidRPr="00D86AD2">
              <w:rPr>
                <w:bCs w:val="0"/>
                <w:sz w:val="16"/>
                <w:lang w:val="en-US" w:eastAsia="en-US"/>
              </w:rPr>
              <w:t>Organic Certification Fee Schedule</w:t>
            </w:r>
          </w:p>
        </w:tc>
      </w:tr>
      <w:tr w:rsidR="00CF626A" w:rsidRPr="001531CD" w14:paraId="180979A2" w14:textId="77777777" w:rsidTr="00D07DF2">
        <w:trPr>
          <w:cantSplit/>
          <w:trHeight w:val="287"/>
          <w:jc w:val="center"/>
        </w:trPr>
        <w:tc>
          <w:tcPr>
            <w:tcW w:w="4994" w:type="dxa"/>
            <w:gridSpan w:val="3"/>
            <w:tcBorders>
              <w:top w:val="single" w:sz="6" w:space="0" w:color="auto"/>
              <w:bottom w:val="single" w:sz="6" w:space="0" w:color="auto"/>
            </w:tcBorders>
            <w:vAlign w:val="center"/>
          </w:tcPr>
          <w:p w14:paraId="1865E4DC" w14:textId="77777777" w:rsidR="00CF626A" w:rsidRPr="001531CD" w:rsidRDefault="00CF626A">
            <w:pPr>
              <w:ind w:left="72" w:hanging="72"/>
              <w:rPr>
                <w:sz w:val="16"/>
              </w:rPr>
            </w:pPr>
            <w:r w:rsidRPr="001531CD">
              <w:rPr>
                <w:rStyle w:val="tdasubhead"/>
                <w:sz w:val="16"/>
              </w:rPr>
              <w:t xml:space="preserve">A nonrefundable $25 application fee is required for all business types. </w:t>
            </w:r>
            <w:r w:rsidRPr="001531CD">
              <w:rPr>
                <w:sz w:val="16"/>
              </w:rPr>
              <w:t>(Submitted with organic certification application.)</w:t>
            </w:r>
          </w:p>
        </w:tc>
      </w:tr>
      <w:tr w:rsidR="00CF626A" w:rsidRPr="001531CD" w14:paraId="43B6938F" w14:textId="77777777" w:rsidTr="00D07DF2">
        <w:trPr>
          <w:cantSplit/>
          <w:jc w:val="center"/>
        </w:trPr>
        <w:tc>
          <w:tcPr>
            <w:tcW w:w="2924" w:type="dxa"/>
            <w:tcBorders>
              <w:top w:val="single" w:sz="6" w:space="0" w:color="auto"/>
              <w:bottom w:val="single" w:sz="6" w:space="0" w:color="auto"/>
            </w:tcBorders>
            <w:shd w:val="clear" w:color="auto" w:fill="BFBFBF"/>
          </w:tcPr>
          <w:p w14:paraId="3E8BE7AF" w14:textId="77777777" w:rsidR="00CF626A" w:rsidRPr="00D86AD2" w:rsidRDefault="00CF626A" w:rsidP="00D07DF2">
            <w:pPr>
              <w:pStyle w:val="Heading7"/>
              <w:jc w:val="center"/>
              <w:rPr>
                <w:bCs w:val="0"/>
                <w:sz w:val="16"/>
                <w:lang w:val="en-US" w:eastAsia="en-US"/>
              </w:rPr>
            </w:pPr>
            <w:r w:rsidRPr="00D86AD2">
              <w:rPr>
                <w:bCs w:val="0"/>
                <w:sz w:val="16"/>
                <w:lang w:val="en-US" w:eastAsia="en-US"/>
              </w:rPr>
              <w:t>Organic Business Type</w:t>
            </w:r>
          </w:p>
        </w:tc>
        <w:tc>
          <w:tcPr>
            <w:tcW w:w="720" w:type="dxa"/>
            <w:tcBorders>
              <w:top w:val="single" w:sz="6" w:space="0" w:color="auto"/>
              <w:bottom w:val="single" w:sz="6" w:space="0" w:color="auto"/>
            </w:tcBorders>
            <w:shd w:val="clear" w:color="auto" w:fill="BFBFBF"/>
          </w:tcPr>
          <w:p w14:paraId="18440862" w14:textId="77777777" w:rsidR="00CF626A" w:rsidRPr="001531CD" w:rsidRDefault="00CF626A" w:rsidP="00D07DF2">
            <w:pPr>
              <w:keepNext/>
              <w:jc w:val="center"/>
              <w:rPr>
                <w:b/>
                <w:sz w:val="16"/>
              </w:rPr>
            </w:pPr>
            <w:r w:rsidRPr="001531CD">
              <w:rPr>
                <w:b/>
                <w:sz w:val="16"/>
              </w:rPr>
              <w:t>Initial</w:t>
            </w:r>
          </w:p>
        </w:tc>
        <w:tc>
          <w:tcPr>
            <w:tcW w:w="1350" w:type="dxa"/>
            <w:tcBorders>
              <w:top w:val="single" w:sz="6" w:space="0" w:color="auto"/>
              <w:bottom w:val="single" w:sz="6" w:space="0" w:color="auto"/>
            </w:tcBorders>
            <w:shd w:val="clear" w:color="auto" w:fill="BFBFBF"/>
          </w:tcPr>
          <w:p w14:paraId="050248FC" w14:textId="77777777" w:rsidR="00CF626A" w:rsidRPr="001531CD" w:rsidRDefault="00CF626A" w:rsidP="00D07DF2">
            <w:pPr>
              <w:keepNext/>
              <w:jc w:val="center"/>
              <w:rPr>
                <w:b/>
                <w:sz w:val="16"/>
              </w:rPr>
            </w:pPr>
            <w:r w:rsidRPr="001531CD">
              <w:rPr>
                <w:b/>
                <w:sz w:val="16"/>
              </w:rPr>
              <w:t>Annual Update</w:t>
            </w:r>
          </w:p>
        </w:tc>
      </w:tr>
      <w:tr w:rsidR="00CF626A" w:rsidRPr="001531CD" w14:paraId="365117B2" w14:textId="77777777" w:rsidTr="00D07DF2">
        <w:trPr>
          <w:cantSplit/>
          <w:trHeight w:val="138"/>
          <w:jc w:val="center"/>
        </w:trPr>
        <w:tc>
          <w:tcPr>
            <w:tcW w:w="2924" w:type="dxa"/>
            <w:tcBorders>
              <w:top w:val="single" w:sz="6" w:space="0" w:color="auto"/>
              <w:bottom w:val="single" w:sz="6" w:space="0" w:color="auto"/>
            </w:tcBorders>
            <w:shd w:val="clear" w:color="auto" w:fill="BFBFBF"/>
          </w:tcPr>
          <w:p w14:paraId="4E47AEA3" w14:textId="77777777" w:rsidR="00CF626A" w:rsidRPr="00D86AD2" w:rsidRDefault="00CF626A" w:rsidP="00D07DF2">
            <w:pPr>
              <w:pStyle w:val="Heading6"/>
              <w:ind w:left="763" w:hanging="763"/>
              <w:rPr>
                <w:bCs w:val="0"/>
                <w:sz w:val="16"/>
                <w:lang w:val="en-US" w:eastAsia="en-US"/>
              </w:rPr>
            </w:pPr>
            <w:r w:rsidRPr="00D86AD2">
              <w:rPr>
                <w:bCs w:val="0"/>
                <w:sz w:val="16"/>
                <w:lang w:val="en-US" w:eastAsia="en-US"/>
              </w:rPr>
              <w:t>Producer―Land Area Based on Acres</w:t>
            </w:r>
          </w:p>
        </w:tc>
        <w:tc>
          <w:tcPr>
            <w:tcW w:w="2070" w:type="dxa"/>
            <w:gridSpan w:val="2"/>
            <w:tcBorders>
              <w:top w:val="single" w:sz="6" w:space="0" w:color="auto"/>
              <w:bottom w:val="single" w:sz="6" w:space="0" w:color="auto"/>
            </w:tcBorders>
            <w:shd w:val="clear" w:color="auto" w:fill="BFBFBF"/>
            <w:vAlign w:val="center"/>
          </w:tcPr>
          <w:p w14:paraId="2F038D51" w14:textId="77777777" w:rsidR="00CF626A" w:rsidRPr="001531CD" w:rsidRDefault="00CF626A" w:rsidP="00D07DF2">
            <w:pPr>
              <w:keepNext/>
              <w:jc w:val="center"/>
              <w:rPr>
                <w:b/>
                <w:sz w:val="16"/>
              </w:rPr>
            </w:pPr>
            <w:r w:rsidRPr="001531CD">
              <w:rPr>
                <w:b/>
                <w:sz w:val="16"/>
              </w:rPr>
              <w:t>$</w:t>
            </w:r>
          </w:p>
        </w:tc>
      </w:tr>
      <w:tr w:rsidR="00CF626A" w:rsidRPr="001531CD" w14:paraId="5F9FB9AA" w14:textId="77777777" w:rsidTr="00D07DF2">
        <w:trPr>
          <w:cantSplit/>
          <w:jc w:val="center"/>
        </w:trPr>
        <w:tc>
          <w:tcPr>
            <w:tcW w:w="2924" w:type="dxa"/>
            <w:tcBorders>
              <w:top w:val="single" w:sz="6" w:space="0" w:color="auto"/>
            </w:tcBorders>
          </w:tcPr>
          <w:p w14:paraId="6006D523" w14:textId="77777777" w:rsidR="00CF626A" w:rsidRPr="001531CD" w:rsidRDefault="00CF626A">
            <w:pPr>
              <w:rPr>
                <w:sz w:val="16"/>
              </w:rPr>
            </w:pPr>
            <w:r w:rsidRPr="001531CD">
              <w:rPr>
                <w:sz w:val="16"/>
              </w:rPr>
              <w:t>Less than 5 acres</w:t>
            </w:r>
          </w:p>
        </w:tc>
        <w:tc>
          <w:tcPr>
            <w:tcW w:w="720" w:type="dxa"/>
            <w:tcBorders>
              <w:top w:val="single" w:sz="6" w:space="0" w:color="auto"/>
            </w:tcBorders>
          </w:tcPr>
          <w:p w14:paraId="012B98E1" w14:textId="77777777" w:rsidR="00CF626A" w:rsidRPr="001531CD" w:rsidRDefault="00CF626A">
            <w:pPr>
              <w:jc w:val="center"/>
              <w:rPr>
                <w:sz w:val="16"/>
              </w:rPr>
            </w:pPr>
            <w:r w:rsidRPr="001531CD">
              <w:rPr>
                <w:sz w:val="16"/>
              </w:rPr>
              <w:t>150</w:t>
            </w:r>
          </w:p>
        </w:tc>
        <w:tc>
          <w:tcPr>
            <w:tcW w:w="1350" w:type="dxa"/>
            <w:tcBorders>
              <w:top w:val="single" w:sz="6" w:space="0" w:color="auto"/>
            </w:tcBorders>
          </w:tcPr>
          <w:p w14:paraId="00949834" w14:textId="77777777" w:rsidR="00CF626A" w:rsidRPr="001531CD" w:rsidRDefault="00CF626A">
            <w:pPr>
              <w:jc w:val="center"/>
              <w:rPr>
                <w:sz w:val="16"/>
              </w:rPr>
            </w:pPr>
            <w:r w:rsidRPr="001531CD">
              <w:rPr>
                <w:sz w:val="16"/>
              </w:rPr>
              <w:t xml:space="preserve">  75</w:t>
            </w:r>
          </w:p>
        </w:tc>
      </w:tr>
      <w:tr w:rsidR="00CF626A" w:rsidRPr="001531CD" w14:paraId="15715751" w14:textId="77777777" w:rsidTr="00D07DF2">
        <w:trPr>
          <w:cantSplit/>
          <w:jc w:val="center"/>
        </w:trPr>
        <w:tc>
          <w:tcPr>
            <w:tcW w:w="2924" w:type="dxa"/>
          </w:tcPr>
          <w:p w14:paraId="0DA28BA2" w14:textId="77777777" w:rsidR="00CF626A" w:rsidRPr="001531CD" w:rsidRDefault="00CF626A">
            <w:pPr>
              <w:rPr>
                <w:sz w:val="16"/>
              </w:rPr>
            </w:pPr>
            <w:r w:rsidRPr="001531CD">
              <w:rPr>
                <w:sz w:val="16"/>
              </w:rPr>
              <w:t>5 to 25 acres</w:t>
            </w:r>
          </w:p>
        </w:tc>
        <w:tc>
          <w:tcPr>
            <w:tcW w:w="720" w:type="dxa"/>
          </w:tcPr>
          <w:p w14:paraId="2FD37B0D" w14:textId="77777777" w:rsidR="00CF626A" w:rsidRPr="001531CD" w:rsidRDefault="00CF626A">
            <w:pPr>
              <w:jc w:val="center"/>
              <w:rPr>
                <w:sz w:val="16"/>
              </w:rPr>
            </w:pPr>
            <w:r w:rsidRPr="001531CD">
              <w:rPr>
                <w:sz w:val="16"/>
              </w:rPr>
              <w:t>200</w:t>
            </w:r>
          </w:p>
        </w:tc>
        <w:tc>
          <w:tcPr>
            <w:tcW w:w="1350" w:type="dxa"/>
          </w:tcPr>
          <w:p w14:paraId="5F247A36" w14:textId="77777777" w:rsidR="00CF626A" w:rsidRPr="001531CD" w:rsidRDefault="00CF626A">
            <w:pPr>
              <w:jc w:val="center"/>
              <w:rPr>
                <w:sz w:val="16"/>
              </w:rPr>
            </w:pPr>
            <w:r w:rsidRPr="001531CD">
              <w:rPr>
                <w:sz w:val="16"/>
              </w:rPr>
              <w:t>100</w:t>
            </w:r>
          </w:p>
        </w:tc>
      </w:tr>
      <w:tr w:rsidR="00CF626A" w:rsidRPr="001531CD" w14:paraId="318F6501" w14:textId="77777777" w:rsidTr="00D07DF2">
        <w:trPr>
          <w:cantSplit/>
          <w:jc w:val="center"/>
        </w:trPr>
        <w:tc>
          <w:tcPr>
            <w:tcW w:w="2924" w:type="dxa"/>
          </w:tcPr>
          <w:p w14:paraId="382F6EE8" w14:textId="77777777" w:rsidR="00CF626A" w:rsidRPr="001531CD" w:rsidRDefault="00CF626A">
            <w:pPr>
              <w:rPr>
                <w:sz w:val="16"/>
              </w:rPr>
            </w:pPr>
            <w:r w:rsidRPr="001531CD">
              <w:rPr>
                <w:sz w:val="16"/>
              </w:rPr>
              <w:t>Greater than 25 acres</w:t>
            </w:r>
          </w:p>
        </w:tc>
        <w:tc>
          <w:tcPr>
            <w:tcW w:w="720" w:type="dxa"/>
          </w:tcPr>
          <w:p w14:paraId="0EBE81C4" w14:textId="77777777" w:rsidR="00CF626A" w:rsidRPr="001531CD" w:rsidRDefault="00CF626A">
            <w:pPr>
              <w:jc w:val="center"/>
              <w:rPr>
                <w:sz w:val="16"/>
              </w:rPr>
            </w:pPr>
            <w:r w:rsidRPr="001531CD">
              <w:rPr>
                <w:sz w:val="16"/>
              </w:rPr>
              <w:t>300</w:t>
            </w:r>
          </w:p>
        </w:tc>
        <w:tc>
          <w:tcPr>
            <w:tcW w:w="1350" w:type="dxa"/>
          </w:tcPr>
          <w:p w14:paraId="3D84FA9E" w14:textId="77777777" w:rsidR="00CF626A" w:rsidRPr="001531CD" w:rsidRDefault="00CF626A">
            <w:pPr>
              <w:jc w:val="center"/>
              <w:rPr>
                <w:sz w:val="16"/>
              </w:rPr>
            </w:pPr>
            <w:r w:rsidRPr="001531CD">
              <w:rPr>
                <w:sz w:val="16"/>
              </w:rPr>
              <w:t>150</w:t>
            </w:r>
          </w:p>
        </w:tc>
      </w:tr>
      <w:tr w:rsidR="00CF626A" w:rsidRPr="001531CD" w14:paraId="5207C981" w14:textId="77777777" w:rsidTr="00D07DF2">
        <w:trPr>
          <w:cantSplit/>
          <w:jc w:val="center"/>
        </w:trPr>
        <w:tc>
          <w:tcPr>
            <w:tcW w:w="2924" w:type="dxa"/>
            <w:tcBorders>
              <w:bottom w:val="single" w:sz="6" w:space="0" w:color="auto"/>
            </w:tcBorders>
          </w:tcPr>
          <w:p w14:paraId="65229687" w14:textId="77777777" w:rsidR="00CF626A" w:rsidRPr="001531CD" w:rsidRDefault="00CF626A">
            <w:pPr>
              <w:ind w:left="432" w:hanging="432"/>
              <w:rPr>
                <w:sz w:val="16"/>
              </w:rPr>
            </w:pPr>
            <w:r w:rsidRPr="001531CD">
              <w:rPr>
                <w:sz w:val="16"/>
              </w:rPr>
              <w:t>Plus―Each additional Increment of 25 acres</w:t>
            </w:r>
          </w:p>
        </w:tc>
        <w:tc>
          <w:tcPr>
            <w:tcW w:w="720" w:type="dxa"/>
            <w:tcBorders>
              <w:bottom w:val="single" w:sz="6" w:space="0" w:color="auto"/>
            </w:tcBorders>
          </w:tcPr>
          <w:p w14:paraId="7AF59799" w14:textId="77777777" w:rsidR="00CF626A" w:rsidRPr="001531CD" w:rsidRDefault="00CF626A">
            <w:pPr>
              <w:jc w:val="center"/>
              <w:rPr>
                <w:sz w:val="16"/>
              </w:rPr>
            </w:pPr>
            <w:r w:rsidRPr="001531CD">
              <w:rPr>
                <w:sz w:val="16"/>
              </w:rPr>
              <w:t xml:space="preserve">  50</w:t>
            </w:r>
          </w:p>
        </w:tc>
        <w:tc>
          <w:tcPr>
            <w:tcW w:w="1350" w:type="dxa"/>
            <w:tcBorders>
              <w:bottom w:val="single" w:sz="6" w:space="0" w:color="auto"/>
            </w:tcBorders>
          </w:tcPr>
          <w:p w14:paraId="3AC5D1A0" w14:textId="77777777" w:rsidR="00CF626A" w:rsidRPr="001531CD" w:rsidRDefault="00CF626A">
            <w:pPr>
              <w:jc w:val="center"/>
              <w:rPr>
                <w:sz w:val="16"/>
              </w:rPr>
            </w:pPr>
            <w:r w:rsidRPr="001531CD">
              <w:rPr>
                <w:sz w:val="16"/>
              </w:rPr>
              <w:t xml:space="preserve">  50</w:t>
            </w:r>
          </w:p>
        </w:tc>
      </w:tr>
      <w:tr w:rsidR="00CF626A" w:rsidRPr="00D07DF2" w14:paraId="16A5AF8B" w14:textId="77777777" w:rsidTr="00D07DF2">
        <w:trPr>
          <w:cantSplit/>
          <w:trHeight w:val="129"/>
          <w:jc w:val="center"/>
        </w:trPr>
        <w:tc>
          <w:tcPr>
            <w:tcW w:w="2924" w:type="dxa"/>
            <w:tcBorders>
              <w:top w:val="single" w:sz="6" w:space="0" w:color="auto"/>
              <w:bottom w:val="single" w:sz="6" w:space="0" w:color="auto"/>
            </w:tcBorders>
            <w:shd w:val="clear" w:color="auto" w:fill="BFBFBF"/>
          </w:tcPr>
          <w:p w14:paraId="0FCA46AA" w14:textId="77777777" w:rsidR="00CF626A" w:rsidRPr="00D86AD2" w:rsidRDefault="00CF626A" w:rsidP="00D07DF2">
            <w:pPr>
              <w:pStyle w:val="Heading7"/>
              <w:jc w:val="center"/>
              <w:rPr>
                <w:bCs w:val="0"/>
                <w:sz w:val="16"/>
                <w:lang w:val="en-US" w:eastAsia="en-US"/>
              </w:rPr>
            </w:pPr>
            <w:r w:rsidRPr="00D86AD2">
              <w:rPr>
                <w:bCs w:val="0"/>
                <w:sz w:val="16"/>
                <w:lang w:val="en-US" w:eastAsia="en-US"/>
              </w:rPr>
              <w:t>Producer―Land Area Based on Square Feet</w:t>
            </w:r>
          </w:p>
        </w:tc>
        <w:tc>
          <w:tcPr>
            <w:tcW w:w="2070" w:type="dxa"/>
            <w:gridSpan w:val="2"/>
            <w:tcBorders>
              <w:top w:val="single" w:sz="6" w:space="0" w:color="auto"/>
              <w:bottom w:val="single" w:sz="6" w:space="0" w:color="auto"/>
            </w:tcBorders>
            <w:shd w:val="clear" w:color="auto" w:fill="BFBFBF"/>
            <w:vAlign w:val="center"/>
          </w:tcPr>
          <w:p w14:paraId="5E059157" w14:textId="77777777" w:rsidR="00CF626A" w:rsidRPr="00D07DF2" w:rsidRDefault="00CF626A" w:rsidP="00D07DF2">
            <w:pPr>
              <w:pStyle w:val="Heading7"/>
              <w:jc w:val="center"/>
              <w:rPr>
                <w:bCs w:val="0"/>
                <w:sz w:val="16"/>
                <w:lang w:val="en-US" w:eastAsia="en-US"/>
              </w:rPr>
            </w:pPr>
            <w:r w:rsidRPr="00D07DF2">
              <w:rPr>
                <w:bCs w:val="0"/>
                <w:sz w:val="16"/>
                <w:lang w:val="en-US" w:eastAsia="en-US"/>
              </w:rPr>
              <w:t>$</w:t>
            </w:r>
          </w:p>
        </w:tc>
      </w:tr>
      <w:tr w:rsidR="00CF626A" w:rsidRPr="001531CD" w14:paraId="709A3BE6" w14:textId="77777777" w:rsidTr="00D07DF2">
        <w:trPr>
          <w:cantSplit/>
          <w:jc w:val="center"/>
        </w:trPr>
        <w:tc>
          <w:tcPr>
            <w:tcW w:w="2924" w:type="dxa"/>
            <w:tcBorders>
              <w:top w:val="single" w:sz="6" w:space="0" w:color="auto"/>
            </w:tcBorders>
          </w:tcPr>
          <w:p w14:paraId="6D4C216A" w14:textId="77777777" w:rsidR="00CF626A" w:rsidRPr="001531CD" w:rsidRDefault="00CF626A">
            <w:pPr>
              <w:rPr>
                <w:sz w:val="16"/>
              </w:rPr>
            </w:pPr>
            <w:r w:rsidRPr="001531CD">
              <w:rPr>
                <w:sz w:val="16"/>
              </w:rPr>
              <w:t>Less than 250 sq. ft.</w:t>
            </w:r>
          </w:p>
        </w:tc>
        <w:tc>
          <w:tcPr>
            <w:tcW w:w="720" w:type="dxa"/>
            <w:tcBorders>
              <w:top w:val="single" w:sz="6" w:space="0" w:color="auto"/>
            </w:tcBorders>
          </w:tcPr>
          <w:p w14:paraId="1CAAC902" w14:textId="77777777" w:rsidR="00CF626A" w:rsidRPr="001531CD" w:rsidRDefault="00CF626A">
            <w:pPr>
              <w:jc w:val="center"/>
              <w:rPr>
                <w:sz w:val="16"/>
              </w:rPr>
            </w:pPr>
            <w:r w:rsidRPr="001531CD">
              <w:rPr>
                <w:sz w:val="16"/>
              </w:rPr>
              <w:t>100</w:t>
            </w:r>
          </w:p>
        </w:tc>
        <w:tc>
          <w:tcPr>
            <w:tcW w:w="1350" w:type="dxa"/>
            <w:tcBorders>
              <w:top w:val="single" w:sz="6" w:space="0" w:color="auto"/>
            </w:tcBorders>
          </w:tcPr>
          <w:p w14:paraId="5EEE21F9" w14:textId="77777777" w:rsidR="00CF626A" w:rsidRPr="001531CD" w:rsidRDefault="00CF626A">
            <w:pPr>
              <w:jc w:val="center"/>
              <w:rPr>
                <w:sz w:val="16"/>
              </w:rPr>
            </w:pPr>
            <w:r w:rsidRPr="001531CD">
              <w:rPr>
                <w:sz w:val="16"/>
              </w:rPr>
              <w:t xml:space="preserve">  50</w:t>
            </w:r>
          </w:p>
        </w:tc>
      </w:tr>
      <w:tr w:rsidR="00CF626A" w:rsidRPr="001531CD" w14:paraId="508BBC1C" w14:textId="77777777" w:rsidTr="00D07DF2">
        <w:trPr>
          <w:cantSplit/>
          <w:jc w:val="center"/>
        </w:trPr>
        <w:tc>
          <w:tcPr>
            <w:tcW w:w="2924" w:type="dxa"/>
          </w:tcPr>
          <w:p w14:paraId="67F8DCB7" w14:textId="77777777" w:rsidR="00CF626A" w:rsidRPr="001531CD" w:rsidRDefault="00CF626A">
            <w:pPr>
              <w:rPr>
                <w:sz w:val="16"/>
              </w:rPr>
            </w:pPr>
            <w:r w:rsidRPr="001531CD">
              <w:rPr>
                <w:sz w:val="16"/>
              </w:rPr>
              <w:t>250 to 1000 sq. ft.</w:t>
            </w:r>
          </w:p>
        </w:tc>
        <w:tc>
          <w:tcPr>
            <w:tcW w:w="720" w:type="dxa"/>
          </w:tcPr>
          <w:p w14:paraId="5138438D" w14:textId="77777777" w:rsidR="00CF626A" w:rsidRPr="001531CD" w:rsidRDefault="00CF626A">
            <w:pPr>
              <w:jc w:val="center"/>
              <w:rPr>
                <w:sz w:val="16"/>
              </w:rPr>
            </w:pPr>
            <w:r w:rsidRPr="001531CD">
              <w:rPr>
                <w:sz w:val="16"/>
              </w:rPr>
              <w:t>150</w:t>
            </w:r>
          </w:p>
        </w:tc>
        <w:tc>
          <w:tcPr>
            <w:tcW w:w="1350" w:type="dxa"/>
          </w:tcPr>
          <w:p w14:paraId="768467B7" w14:textId="77777777" w:rsidR="00CF626A" w:rsidRPr="001531CD" w:rsidRDefault="00CF626A">
            <w:pPr>
              <w:jc w:val="center"/>
              <w:rPr>
                <w:sz w:val="16"/>
              </w:rPr>
            </w:pPr>
            <w:r w:rsidRPr="001531CD">
              <w:rPr>
                <w:sz w:val="16"/>
              </w:rPr>
              <w:t xml:space="preserve">  75</w:t>
            </w:r>
          </w:p>
        </w:tc>
      </w:tr>
      <w:tr w:rsidR="00CF626A" w:rsidRPr="001531CD" w14:paraId="57BD85FB" w14:textId="77777777" w:rsidTr="00D07DF2">
        <w:trPr>
          <w:cantSplit/>
          <w:jc w:val="center"/>
        </w:trPr>
        <w:tc>
          <w:tcPr>
            <w:tcW w:w="2924" w:type="dxa"/>
          </w:tcPr>
          <w:p w14:paraId="1BBC55EA" w14:textId="77777777" w:rsidR="00CF626A" w:rsidRPr="001531CD" w:rsidRDefault="00CF626A">
            <w:pPr>
              <w:rPr>
                <w:sz w:val="16"/>
              </w:rPr>
            </w:pPr>
            <w:r w:rsidRPr="001531CD">
              <w:rPr>
                <w:sz w:val="16"/>
              </w:rPr>
              <w:t>Greater than 1000 sq. ft.</w:t>
            </w:r>
          </w:p>
        </w:tc>
        <w:tc>
          <w:tcPr>
            <w:tcW w:w="720" w:type="dxa"/>
          </w:tcPr>
          <w:p w14:paraId="2338C063" w14:textId="77777777" w:rsidR="00CF626A" w:rsidRPr="001531CD" w:rsidRDefault="00CF626A">
            <w:pPr>
              <w:jc w:val="center"/>
              <w:rPr>
                <w:sz w:val="16"/>
              </w:rPr>
            </w:pPr>
            <w:r w:rsidRPr="001531CD">
              <w:rPr>
                <w:sz w:val="16"/>
              </w:rPr>
              <w:t>200</w:t>
            </w:r>
          </w:p>
        </w:tc>
        <w:tc>
          <w:tcPr>
            <w:tcW w:w="1350" w:type="dxa"/>
          </w:tcPr>
          <w:p w14:paraId="5339494A" w14:textId="77777777" w:rsidR="00CF626A" w:rsidRPr="001531CD" w:rsidRDefault="00CF626A">
            <w:pPr>
              <w:jc w:val="center"/>
              <w:rPr>
                <w:sz w:val="16"/>
              </w:rPr>
            </w:pPr>
            <w:r w:rsidRPr="001531CD">
              <w:rPr>
                <w:sz w:val="16"/>
              </w:rPr>
              <w:t>100</w:t>
            </w:r>
          </w:p>
        </w:tc>
      </w:tr>
      <w:tr w:rsidR="00CF626A" w:rsidRPr="001531CD" w14:paraId="065568CF" w14:textId="77777777" w:rsidTr="00D07DF2">
        <w:trPr>
          <w:cantSplit/>
          <w:jc w:val="center"/>
        </w:trPr>
        <w:tc>
          <w:tcPr>
            <w:tcW w:w="2924" w:type="dxa"/>
            <w:tcBorders>
              <w:bottom w:val="single" w:sz="6" w:space="0" w:color="auto"/>
            </w:tcBorders>
          </w:tcPr>
          <w:p w14:paraId="1CC9CFD1" w14:textId="77777777" w:rsidR="00CF626A" w:rsidRPr="001531CD" w:rsidRDefault="00CF626A">
            <w:pPr>
              <w:ind w:left="432" w:hanging="432"/>
              <w:rPr>
                <w:sz w:val="16"/>
              </w:rPr>
            </w:pPr>
            <w:r w:rsidRPr="001531CD">
              <w:rPr>
                <w:sz w:val="16"/>
              </w:rPr>
              <w:t>Plus―Each Additional Increment of 250 sq. ft.</w:t>
            </w:r>
          </w:p>
        </w:tc>
        <w:tc>
          <w:tcPr>
            <w:tcW w:w="720" w:type="dxa"/>
            <w:tcBorders>
              <w:bottom w:val="single" w:sz="6" w:space="0" w:color="auto"/>
            </w:tcBorders>
          </w:tcPr>
          <w:p w14:paraId="05365268" w14:textId="77777777" w:rsidR="00CF626A" w:rsidRPr="001531CD" w:rsidRDefault="00CF626A">
            <w:pPr>
              <w:jc w:val="center"/>
              <w:rPr>
                <w:sz w:val="16"/>
              </w:rPr>
            </w:pPr>
            <w:r w:rsidRPr="001531CD">
              <w:rPr>
                <w:sz w:val="16"/>
              </w:rPr>
              <w:t xml:space="preserve">  50</w:t>
            </w:r>
          </w:p>
        </w:tc>
        <w:tc>
          <w:tcPr>
            <w:tcW w:w="1350" w:type="dxa"/>
            <w:tcBorders>
              <w:bottom w:val="single" w:sz="6" w:space="0" w:color="auto"/>
            </w:tcBorders>
          </w:tcPr>
          <w:p w14:paraId="10040C38" w14:textId="77777777" w:rsidR="00CF626A" w:rsidRPr="001531CD" w:rsidRDefault="00CF626A">
            <w:pPr>
              <w:jc w:val="center"/>
              <w:rPr>
                <w:sz w:val="16"/>
              </w:rPr>
            </w:pPr>
            <w:r w:rsidRPr="001531CD">
              <w:rPr>
                <w:sz w:val="16"/>
              </w:rPr>
              <w:t>50</w:t>
            </w:r>
          </w:p>
        </w:tc>
      </w:tr>
      <w:tr w:rsidR="00CF626A" w:rsidRPr="001531CD" w14:paraId="219880E6" w14:textId="77777777" w:rsidTr="00D07DF2">
        <w:trPr>
          <w:cantSplit/>
          <w:jc w:val="center"/>
        </w:trPr>
        <w:tc>
          <w:tcPr>
            <w:tcW w:w="2924" w:type="dxa"/>
            <w:tcBorders>
              <w:top w:val="single" w:sz="6" w:space="0" w:color="auto"/>
              <w:bottom w:val="single" w:sz="6" w:space="0" w:color="auto"/>
            </w:tcBorders>
            <w:shd w:val="clear" w:color="auto" w:fill="BFBFBF"/>
          </w:tcPr>
          <w:p w14:paraId="15A283FA" w14:textId="77777777" w:rsidR="00CF626A" w:rsidRPr="00D86AD2" w:rsidRDefault="00CF626A" w:rsidP="00D07DF2">
            <w:pPr>
              <w:pStyle w:val="Heading6"/>
              <w:rPr>
                <w:bCs w:val="0"/>
                <w:sz w:val="16"/>
                <w:lang w:val="en-US" w:eastAsia="en-US"/>
              </w:rPr>
            </w:pPr>
            <w:r w:rsidRPr="00D86AD2">
              <w:rPr>
                <w:bCs w:val="0"/>
                <w:sz w:val="16"/>
                <w:lang w:val="en-US" w:eastAsia="en-US"/>
              </w:rPr>
              <w:t>Handler/Processor</w:t>
            </w:r>
          </w:p>
        </w:tc>
        <w:tc>
          <w:tcPr>
            <w:tcW w:w="2070" w:type="dxa"/>
            <w:gridSpan w:val="2"/>
            <w:tcBorders>
              <w:top w:val="single" w:sz="6" w:space="0" w:color="auto"/>
              <w:bottom w:val="single" w:sz="6" w:space="0" w:color="auto"/>
            </w:tcBorders>
            <w:shd w:val="clear" w:color="auto" w:fill="BFBFBF"/>
            <w:vAlign w:val="center"/>
          </w:tcPr>
          <w:p w14:paraId="16ADB8D5" w14:textId="77777777" w:rsidR="00CF626A" w:rsidRPr="001531CD" w:rsidRDefault="00CF626A" w:rsidP="00D07DF2">
            <w:pPr>
              <w:keepNext/>
              <w:jc w:val="center"/>
              <w:rPr>
                <w:b/>
                <w:sz w:val="16"/>
              </w:rPr>
            </w:pPr>
            <w:r w:rsidRPr="001531CD">
              <w:rPr>
                <w:b/>
                <w:sz w:val="16"/>
              </w:rPr>
              <w:t>$</w:t>
            </w:r>
          </w:p>
        </w:tc>
      </w:tr>
      <w:tr w:rsidR="00CF626A" w:rsidRPr="001531CD" w14:paraId="2EB30FE2" w14:textId="77777777" w:rsidTr="00D07DF2">
        <w:trPr>
          <w:cantSplit/>
          <w:jc w:val="center"/>
        </w:trPr>
        <w:tc>
          <w:tcPr>
            <w:tcW w:w="2924" w:type="dxa"/>
            <w:tcBorders>
              <w:top w:val="single" w:sz="6" w:space="0" w:color="auto"/>
            </w:tcBorders>
          </w:tcPr>
          <w:p w14:paraId="7295AFE6" w14:textId="77777777" w:rsidR="00CF626A" w:rsidRPr="001531CD" w:rsidRDefault="00CF626A">
            <w:pPr>
              <w:rPr>
                <w:sz w:val="16"/>
              </w:rPr>
            </w:pPr>
            <w:r w:rsidRPr="001531CD">
              <w:rPr>
                <w:sz w:val="16"/>
              </w:rPr>
              <w:t>Handler/Processor</w:t>
            </w:r>
          </w:p>
        </w:tc>
        <w:tc>
          <w:tcPr>
            <w:tcW w:w="720" w:type="dxa"/>
            <w:tcBorders>
              <w:top w:val="single" w:sz="6" w:space="0" w:color="auto"/>
            </w:tcBorders>
          </w:tcPr>
          <w:p w14:paraId="7389FB2B" w14:textId="77777777" w:rsidR="00CF626A" w:rsidRPr="001531CD" w:rsidRDefault="00CF626A">
            <w:pPr>
              <w:jc w:val="center"/>
              <w:rPr>
                <w:sz w:val="16"/>
              </w:rPr>
            </w:pPr>
            <w:r w:rsidRPr="001531CD">
              <w:rPr>
                <w:sz w:val="16"/>
              </w:rPr>
              <w:t>500</w:t>
            </w:r>
          </w:p>
        </w:tc>
        <w:tc>
          <w:tcPr>
            <w:tcW w:w="1350" w:type="dxa"/>
            <w:tcBorders>
              <w:top w:val="single" w:sz="6" w:space="0" w:color="auto"/>
            </w:tcBorders>
          </w:tcPr>
          <w:p w14:paraId="0F75A120" w14:textId="77777777" w:rsidR="00CF626A" w:rsidRPr="001531CD" w:rsidRDefault="00CF626A">
            <w:pPr>
              <w:jc w:val="center"/>
              <w:rPr>
                <w:sz w:val="16"/>
              </w:rPr>
            </w:pPr>
            <w:r w:rsidRPr="001531CD">
              <w:rPr>
                <w:sz w:val="16"/>
              </w:rPr>
              <w:t>500</w:t>
            </w:r>
          </w:p>
        </w:tc>
      </w:tr>
      <w:tr w:rsidR="00CF626A" w:rsidRPr="001531CD" w14:paraId="1A00AF58" w14:textId="77777777" w:rsidTr="00D07DF2">
        <w:trPr>
          <w:cantSplit/>
          <w:jc w:val="center"/>
        </w:trPr>
        <w:tc>
          <w:tcPr>
            <w:tcW w:w="2924" w:type="dxa"/>
          </w:tcPr>
          <w:p w14:paraId="267520FA" w14:textId="77777777" w:rsidR="00CF626A" w:rsidRPr="001531CD" w:rsidRDefault="00CF626A">
            <w:pPr>
              <w:rPr>
                <w:sz w:val="16"/>
              </w:rPr>
            </w:pPr>
            <w:r w:rsidRPr="001531CD">
              <w:rPr>
                <w:sz w:val="16"/>
              </w:rPr>
              <w:t>Handler―Distributor only</w:t>
            </w:r>
          </w:p>
        </w:tc>
        <w:tc>
          <w:tcPr>
            <w:tcW w:w="720" w:type="dxa"/>
          </w:tcPr>
          <w:p w14:paraId="767EE26C" w14:textId="77777777" w:rsidR="00CF626A" w:rsidRPr="001531CD" w:rsidRDefault="00CF626A">
            <w:pPr>
              <w:jc w:val="center"/>
              <w:rPr>
                <w:sz w:val="16"/>
              </w:rPr>
            </w:pPr>
            <w:r w:rsidRPr="001531CD">
              <w:rPr>
                <w:sz w:val="16"/>
              </w:rPr>
              <w:t>300</w:t>
            </w:r>
          </w:p>
        </w:tc>
        <w:tc>
          <w:tcPr>
            <w:tcW w:w="1350" w:type="dxa"/>
          </w:tcPr>
          <w:p w14:paraId="7CC12DA3" w14:textId="77777777" w:rsidR="00CF626A" w:rsidRPr="001531CD" w:rsidRDefault="00CF626A">
            <w:pPr>
              <w:jc w:val="center"/>
              <w:rPr>
                <w:sz w:val="16"/>
              </w:rPr>
            </w:pPr>
            <w:r w:rsidRPr="001531CD">
              <w:rPr>
                <w:sz w:val="16"/>
              </w:rPr>
              <w:t>300</w:t>
            </w:r>
          </w:p>
        </w:tc>
      </w:tr>
    </w:tbl>
    <w:p w14:paraId="27537074" w14:textId="77777777" w:rsidR="00CF626A" w:rsidRPr="001531CD" w:rsidRDefault="00CF626A">
      <w:pPr>
        <w:pStyle w:val="AuthorityNote"/>
        <w:spacing w:before="200"/>
      </w:pPr>
      <w:r w:rsidRPr="001531CD">
        <w:t>AUTHORITY NOTE:</w:t>
      </w:r>
      <w:r w:rsidRPr="001531CD">
        <w:tab/>
        <w:t>Promulgated in accordance with R.S. 40:608.3 and 7 CFR 205.642.</w:t>
      </w:r>
    </w:p>
    <w:p w14:paraId="470DCF6F" w14:textId="77777777" w:rsidR="00CF626A" w:rsidRPr="001531CD" w:rsidRDefault="00CF626A">
      <w:pPr>
        <w:pStyle w:val="HistoricalNote"/>
      </w:pPr>
      <w:r w:rsidRPr="001531CD">
        <w:t>HISTORICAL NOTE:</w:t>
      </w:r>
      <w:r w:rsidRPr="001531CD">
        <w:tab/>
        <w:t>Promulgated by the Department of Agriculture and Forestry, Office of Agricultural and Environmental Sciences, LR 30:2255 (October 2004).</w:t>
      </w:r>
    </w:p>
    <w:p w14:paraId="77DB9F20" w14:textId="77777777" w:rsidR="00CF626A" w:rsidRPr="001531CD" w:rsidRDefault="00CF626A">
      <w:pPr>
        <w:pStyle w:val="HistoricalNote"/>
      </w:pPr>
    </w:p>
    <w:p w14:paraId="3F748B9B" w14:textId="77777777" w:rsidR="00580032" w:rsidRPr="001531CD" w:rsidRDefault="00580032">
      <w:pPr>
        <w:pStyle w:val="HistoricalNote"/>
        <w:sectPr w:rsidR="00580032" w:rsidRPr="001531CD" w:rsidSect="00167E2E">
          <w:headerReference w:type="even" r:id="rId97"/>
          <w:headerReference w:type="default" r:id="rId98"/>
          <w:type w:val="continuous"/>
          <w:pgSz w:w="12240" w:h="15840" w:code="1"/>
          <w:pgMar w:top="1080" w:right="864" w:bottom="864" w:left="864" w:header="576" w:footer="432" w:gutter="0"/>
          <w:cols w:num="2" w:space="720"/>
        </w:sectPr>
      </w:pPr>
    </w:p>
    <w:p w14:paraId="751C923F" w14:textId="77777777" w:rsidR="00580032" w:rsidRPr="001531CD" w:rsidRDefault="00580032">
      <w:pPr>
        <w:pStyle w:val="HistoricalNote"/>
        <w:sectPr w:rsidR="00580032" w:rsidRPr="001531CD" w:rsidSect="00167E2E">
          <w:type w:val="continuous"/>
          <w:pgSz w:w="12240" w:h="15840" w:code="1"/>
          <w:pgMar w:top="1080" w:right="864" w:bottom="864" w:left="864" w:header="576" w:footer="432" w:gutter="0"/>
          <w:cols w:num="2" w:space="720"/>
        </w:sectPr>
      </w:pPr>
    </w:p>
    <w:p w14:paraId="64236C07" w14:textId="77777777" w:rsidR="00D21842" w:rsidRPr="001531CD" w:rsidRDefault="00D21842" w:rsidP="00F03863">
      <w:pPr>
        <w:pStyle w:val="Title1"/>
        <w:outlineLvl w:val="0"/>
      </w:pPr>
      <w:r w:rsidRPr="001531CD">
        <w:lastRenderedPageBreak/>
        <w:t>Title 7</w:t>
      </w:r>
    </w:p>
    <w:p w14:paraId="3DF42D2C" w14:textId="77777777" w:rsidR="00DD3B11" w:rsidRPr="001531CD" w:rsidRDefault="00DD3B11" w:rsidP="00D21842">
      <w:pPr>
        <w:pStyle w:val="Title2"/>
        <w:sectPr w:rsidR="00DD3B11" w:rsidRPr="001531CD" w:rsidSect="00167E2E">
          <w:headerReference w:type="default" r:id="rId99"/>
          <w:type w:val="oddPage"/>
          <w:pgSz w:w="12240" w:h="15840" w:code="1"/>
          <w:pgMar w:top="1080" w:right="864" w:bottom="864" w:left="864" w:header="576" w:footer="432" w:gutter="0"/>
          <w:cols w:space="720"/>
          <w:docGrid w:linePitch="326"/>
        </w:sectPr>
      </w:pPr>
    </w:p>
    <w:p w14:paraId="5B75C8A6" w14:textId="77777777" w:rsidR="00D21842" w:rsidRPr="001531CD" w:rsidRDefault="00D21842" w:rsidP="00D21842">
      <w:pPr>
        <w:pStyle w:val="Title2"/>
      </w:pPr>
      <w:r w:rsidRPr="001531CD">
        <w:t>AGRICULTURE AND ANIMALS</w:t>
      </w:r>
    </w:p>
    <w:p w14:paraId="509F7613" w14:textId="77777777" w:rsidR="00D21842" w:rsidRPr="001531CD" w:rsidRDefault="00D21842" w:rsidP="00D21842">
      <w:pPr>
        <w:pStyle w:val="Part"/>
      </w:pPr>
      <w:bookmarkStart w:id="3421" w:name="TOC_Part22"/>
      <w:bookmarkStart w:id="3422" w:name="_Toc77840569"/>
      <w:bookmarkStart w:id="3423" w:name="_Toc224819649"/>
      <w:r w:rsidRPr="001531CD">
        <w:t>Part XLV.  Agritourism</w:t>
      </w:r>
      <w:bookmarkEnd w:id="3421"/>
      <w:bookmarkEnd w:id="3422"/>
      <w:bookmarkEnd w:id="3423"/>
    </w:p>
    <w:p w14:paraId="108194B7" w14:textId="77777777" w:rsidR="00D21842" w:rsidRPr="001531CD" w:rsidRDefault="00D21842" w:rsidP="00D21842">
      <w:pPr>
        <w:pStyle w:val="Part"/>
      </w:pPr>
    </w:p>
    <w:p w14:paraId="5632F3D7" w14:textId="77777777" w:rsidR="00D21842" w:rsidRPr="001531CD" w:rsidRDefault="00D21842" w:rsidP="00D21842">
      <w:pPr>
        <w:pStyle w:val="Part"/>
        <w:sectPr w:rsidR="00D21842" w:rsidRPr="001531CD" w:rsidSect="00167E2E">
          <w:type w:val="continuous"/>
          <w:pgSz w:w="12240" w:h="15840" w:code="1"/>
          <w:pgMar w:top="1080" w:right="864" w:bottom="864" w:left="864" w:header="576" w:footer="432" w:gutter="0"/>
          <w:cols w:space="720"/>
          <w:docGrid w:linePitch="326"/>
        </w:sectPr>
      </w:pPr>
    </w:p>
    <w:p w14:paraId="7BC16441" w14:textId="77777777" w:rsidR="00D21842" w:rsidRPr="001531CD" w:rsidRDefault="00D21842" w:rsidP="00D21842">
      <w:pPr>
        <w:pStyle w:val="Chapter"/>
      </w:pPr>
      <w:bookmarkStart w:id="3424" w:name="TOC_Chap288"/>
      <w:bookmarkStart w:id="3425" w:name="_Toc256755227"/>
      <w:bookmarkStart w:id="3426" w:name="_Toc224819650"/>
      <w:r w:rsidRPr="001531CD">
        <w:t>Chapter 1.</w:t>
      </w:r>
      <w:bookmarkEnd w:id="3424"/>
      <w:r w:rsidRPr="001531CD">
        <w:tab/>
      </w:r>
      <w:bookmarkStart w:id="3427" w:name="TOCT_Chap288"/>
      <w:r w:rsidRPr="001531CD">
        <w:t xml:space="preserve">Agritourism Activities; </w:t>
      </w:r>
      <w:r w:rsidRPr="001531CD">
        <w:br/>
        <w:t>Plans of Operation</w:t>
      </w:r>
      <w:bookmarkEnd w:id="3425"/>
      <w:bookmarkEnd w:id="3426"/>
      <w:bookmarkEnd w:id="3427"/>
    </w:p>
    <w:p w14:paraId="45301A0F" w14:textId="77777777" w:rsidR="00D21842" w:rsidRPr="001531CD" w:rsidRDefault="00D21842" w:rsidP="00D21842">
      <w:pPr>
        <w:pStyle w:val="Section"/>
      </w:pPr>
      <w:bookmarkStart w:id="3428" w:name="_Toc194294195"/>
      <w:bookmarkStart w:id="3429" w:name="_Toc256755228"/>
      <w:bookmarkStart w:id="3430" w:name="_Toc224819651"/>
      <w:r w:rsidRPr="001531CD">
        <w:t>§101.</w:t>
      </w:r>
      <w:r w:rsidRPr="001531CD">
        <w:tab/>
        <w:t>Definitions</w:t>
      </w:r>
      <w:bookmarkEnd w:id="3428"/>
      <w:bookmarkEnd w:id="3429"/>
      <w:bookmarkEnd w:id="3430"/>
    </w:p>
    <w:p w14:paraId="61648272" w14:textId="77777777" w:rsidR="00D21842" w:rsidRPr="001531CD" w:rsidRDefault="00D21842" w:rsidP="00D21842">
      <w:pPr>
        <w:pStyle w:val="A"/>
      </w:pPr>
      <w:r w:rsidRPr="001531CD">
        <w:t>A.</w:t>
      </w:r>
      <w:r w:rsidRPr="001531CD">
        <w:tab/>
        <w:t>The words and terms defined in R.S. 9:2795.5 are applicable to this Chapter.</w:t>
      </w:r>
    </w:p>
    <w:p w14:paraId="67ED36D0" w14:textId="77777777" w:rsidR="00D21842" w:rsidRPr="001531CD" w:rsidRDefault="00D21842" w:rsidP="00D21842">
      <w:pPr>
        <w:pStyle w:val="A"/>
      </w:pPr>
      <w:r w:rsidRPr="001531CD">
        <w:t>B.</w:t>
      </w:r>
      <w:r w:rsidRPr="001531CD">
        <w:tab/>
        <w:t>The following words and terms are defined for the purposes of this Chapter.</w:t>
      </w:r>
    </w:p>
    <w:p w14:paraId="125CBCE1" w14:textId="77777777" w:rsidR="00D21842" w:rsidRPr="001531CD" w:rsidRDefault="00D21842" w:rsidP="00D21842">
      <w:pPr>
        <w:pStyle w:val="1"/>
      </w:pPr>
      <w:r w:rsidRPr="001531CD">
        <w:rPr>
          <w:i/>
        </w:rPr>
        <w:t>Agricultural Operation</w:t>
      </w:r>
      <w:r w:rsidRPr="001531CD">
        <w:rPr>
          <w:iCs/>
        </w:rPr>
        <w:t>―</w:t>
      </w:r>
      <w:r w:rsidRPr="001531CD">
        <w:t>a working farm, ranch, or other commercial agricultural, aquacultural, horticultural, or forestry operation.</w:t>
      </w:r>
    </w:p>
    <w:p w14:paraId="0AC6CC1F" w14:textId="77777777" w:rsidR="00D21842" w:rsidRPr="001531CD" w:rsidRDefault="00D21842" w:rsidP="00D21842">
      <w:pPr>
        <w:pStyle w:val="1"/>
      </w:pPr>
      <w:r w:rsidRPr="001531CD">
        <w:rPr>
          <w:i/>
          <w:iCs/>
        </w:rPr>
        <w:t>Agritourism Plan of Operation</w:t>
      </w:r>
      <w:r w:rsidRPr="001531CD">
        <w:rPr>
          <w:iCs/>
        </w:rPr>
        <w:t>―</w:t>
      </w:r>
      <w:r w:rsidRPr="001531CD">
        <w:t>a planning document that will assist agritourism professionals in identifying and addressing possible inherent risks on their operations through recommended best management practices. Components of the plan will include listing of activities, their risks, suggestions for minimizing those risks, and a plan for the location of warning signs.</w:t>
      </w:r>
    </w:p>
    <w:p w14:paraId="07918693" w14:textId="77777777" w:rsidR="00D21842" w:rsidRPr="001531CD" w:rsidRDefault="00D21842" w:rsidP="00D21842">
      <w:pPr>
        <w:pStyle w:val="1"/>
      </w:pPr>
      <w:r w:rsidRPr="001531CD">
        <w:rPr>
          <w:i/>
        </w:rPr>
        <w:t>Commissioner</w:t>
      </w:r>
      <w:r w:rsidRPr="001531CD">
        <w:rPr>
          <w:iCs/>
        </w:rPr>
        <w:t>―</w:t>
      </w:r>
      <w:r w:rsidRPr="001531CD">
        <w:t>the Commissioner of Agriculture and Forestry for Louisiana.</w:t>
      </w:r>
    </w:p>
    <w:p w14:paraId="74E4698D" w14:textId="77777777" w:rsidR="00D21842" w:rsidRPr="001531CD" w:rsidRDefault="00D21842" w:rsidP="00D21842">
      <w:pPr>
        <w:pStyle w:val="1"/>
      </w:pPr>
      <w:r w:rsidRPr="001531CD">
        <w:rPr>
          <w:i/>
        </w:rPr>
        <w:t>Department</w:t>
      </w:r>
      <w:r w:rsidRPr="001531CD">
        <w:rPr>
          <w:iCs/>
        </w:rPr>
        <w:t>―</w:t>
      </w:r>
      <w:r w:rsidRPr="001531CD">
        <w:t>the Louisiana Department of Agriculture and Forestry.</w:t>
      </w:r>
    </w:p>
    <w:p w14:paraId="79B2303E" w14:textId="77777777" w:rsidR="00D21842" w:rsidRPr="001531CD" w:rsidRDefault="00D21842" w:rsidP="00D21842">
      <w:pPr>
        <w:pStyle w:val="AuthorityNote"/>
      </w:pPr>
      <w:r w:rsidRPr="001531CD">
        <w:t>AUTHORITY NOTE:</w:t>
      </w:r>
      <w:r w:rsidRPr="001531CD">
        <w:tab/>
        <w:t>Promulgated in accordance with R.S. 3:2, 3:3 and 9:2795.5.</w:t>
      </w:r>
    </w:p>
    <w:p w14:paraId="43F1BBA0" w14:textId="77777777" w:rsidR="00D21842" w:rsidRPr="001531CD" w:rsidRDefault="00D21842" w:rsidP="00D21842">
      <w:pPr>
        <w:pStyle w:val="HistoricalNote"/>
      </w:pPr>
      <w:r w:rsidRPr="001531CD">
        <w:t>HISTORICAL NOTE:</w:t>
      </w:r>
      <w:r w:rsidRPr="001531CD">
        <w:tab/>
        <w:t>Promulgated by the Department of Agriculture and Forestry, Office of the Commissioner, LR 35:204 (February 2009).</w:t>
      </w:r>
    </w:p>
    <w:p w14:paraId="2BB7C1C4" w14:textId="77777777" w:rsidR="00D21842" w:rsidRPr="001531CD" w:rsidRDefault="00D21842" w:rsidP="00D21842">
      <w:pPr>
        <w:pStyle w:val="Section"/>
      </w:pPr>
      <w:bookmarkStart w:id="3431" w:name="_Toc256755229"/>
      <w:bookmarkStart w:id="3432" w:name="_Toc224819652"/>
      <w:r w:rsidRPr="001531CD">
        <w:t>§103.</w:t>
      </w:r>
      <w:r w:rsidRPr="001531CD">
        <w:tab/>
        <w:t>Agritourism Activities</w:t>
      </w:r>
      <w:bookmarkEnd w:id="3431"/>
      <w:bookmarkEnd w:id="3432"/>
    </w:p>
    <w:p w14:paraId="43915179" w14:textId="77777777" w:rsidR="00D21842" w:rsidRPr="001531CD" w:rsidRDefault="00D21842" w:rsidP="00D21842">
      <w:pPr>
        <w:pStyle w:val="A"/>
      </w:pPr>
      <w:r w:rsidRPr="001531CD">
        <w:t>A.</w:t>
      </w:r>
      <w:r w:rsidRPr="001531CD">
        <w:tab/>
        <w:t>Agritourism activities are activities engaged in by a participant for one or more of the purposes of enjoyment of, education about, or participation in, the activities of an agricultural operation.</w:t>
      </w:r>
    </w:p>
    <w:p w14:paraId="38EF5D8F" w14:textId="77777777" w:rsidR="00D21842" w:rsidRPr="001531CD" w:rsidRDefault="00D21842" w:rsidP="00D21842">
      <w:pPr>
        <w:pStyle w:val="A"/>
      </w:pPr>
      <w:r w:rsidRPr="001531CD">
        <w:t>B.</w:t>
      </w:r>
      <w:r w:rsidRPr="001531CD">
        <w:tab/>
        <w:t>The commissioner has defined certain activities as agritourism activities when such activities are conducted in relation to an agricultural operation. The defining of an activity as an agritourism activity also includes the enjoyment of, education about or participation in closely related activities even though such closely related activities may not be specifically listed in the definition. For example, an agricultural craft tour or visit includes such things as attending on-site lectures, hands on participation in the making of an art or craft article, and purchase of an article.</w:t>
      </w:r>
    </w:p>
    <w:p w14:paraId="51E4FF2E" w14:textId="77777777" w:rsidR="00D21842" w:rsidRPr="001531CD" w:rsidRDefault="00D21842" w:rsidP="00D21842">
      <w:pPr>
        <w:pStyle w:val="1"/>
      </w:pPr>
      <w:r w:rsidRPr="001531CD">
        <w:t>1.</w:t>
      </w:r>
      <w:r w:rsidRPr="001531CD">
        <w:tab/>
        <w:t xml:space="preserve">The commissioner may add or remove activities to or from the list of agritourism activities from time to time by publishing a supplemental list of agritourism activities in the Potpourri Section of the </w:t>
      </w:r>
      <w:r w:rsidRPr="001531CD">
        <w:rPr>
          <w:i/>
        </w:rPr>
        <w:t>Louisiana Register</w:t>
      </w:r>
      <w:r w:rsidRPr="001531CD">
        <w:t xml:space="preserve"> and by updating the list of activities on the department's website.</w:t>
      </w:r>
    </w:p>
    <w:p w14:paraId="591E6572" w14:textId="77777777" w:rsidR="00D21842" w:rsidRPr="001531CD" w:rsidRDefault="00D21842" w:rsidP="00D21842">
      <w:pPr>
        <w:pStyle w:val="1"/>
      </w:pPr>
      <w:r w:rsidRPr="001531CD">
        <w:t>2.</w:t>
      </w:r>
      <w:r w:rsidRPr="001531CD">
        <w:tab/>
        <w:t>Interested persons may request activities to be added or deleted from the list of agritourism activities.</w:t>
      </w:r>
    </w:p>
    <w:p w14:paraId="7E26A92B" w14:textId="77777777" w:rsidR="00D21842" w:rsidRPr="001531CD" w:rsidRDefault="00D21842" w:rsidP="00D21842">
      <w:pPr>
        <w:pStyle w:val="a0"/>
      </w:pPr>
      <w:r w:rsidRPr="001531CD">
        <w:t>a.</w:t>
      </w:r>
      <w:r w:rsidRPr="001531CD">
        <w:tab/>
        <w:t>All such requests shall be submitted in writing to the department by letter or e-mail. Each request shall provide the name, address, and contact information for the person making the request, a description of the activity, and how it is related to an agricultural operation.</w:t>
      </w:r>
    </w:p>
    <w:p w14:paraId="2C34BFE6" w14:textId="77777777" w:rsidR="00D21842" w:rsidRPr="001531CD" w:rsidRDefault="00D21842" w:rsidP="00D21842">
      <w:pPr>
        <w:pStyle w:val="a0"/>
      </w:pPr>
      <w:r w:rsidRPr="001531CD">
        <w:t>b.</w:t>
      </w:r>
      <w:r w:rsidRPr="001531CD">
        <w:tab/>
        <w:t>The commissioner shall make the determination as to whether the activity will be added or deleted from the list of agritourism activities. The requesting party shall be notified of the commissioner's decision.</w:t>
      </w:r>
    </w:p>
    <w:p w14:paraId="7EB295F8" w14:textId="77777777" w:rsidR="00D21842" w:rsidRPr="001531CD" w:rsidRDefault="00D21842" w:rsidP="00D21842">
      <w:pPr>
        <w:pStyle w:val="A"/>
      </w:pPr>
      <w:r w:rsidRPr="001531CD">
        <w:t>C.</w:t>
      </w:r>
      <w:r w:rsidRPr="001531CD">
        <w:tab/>
        <w:t xml:space="preserve">A list of the agritourism activities shall be published annually in the Potpourri </w:t>
      </w:r>
      <w:r w:rsidR="00C034AD" w:rsidRPr="001531CD">
        <w:t>s</w:t>
      </w:r>
      <w:r w:rsidRPr="001531CD">
        <w:t xml:space="preserve">ection of the February issue of the </w:t>
      </w:r>
      <w:r w:rsidRPr="001531CD">
        <w:rPr>
          <w:i/>
        </w:rPr>
        <w:t>Louisiana</w:t>
      </w:r>
      <w:r w:rsidRPr="001531CD">
        <w:t xml:space="preserve"> </w:t>
      </w:r>
      <w:r w:rsidRPr="001531CD">
        <w:rPr>
          <w:i/>
        </w:rPr>
        <w:t>Register</w:t>
      </w:r>
      <w:r w:rsidRPr="001531CD">
        <w:t xml:space="preserve"> and on the department's website.</w:t>
      </w:r>
    </w:p>
    <w:p w14:paraId="24304CDF" w14:textId="77777777" w:rsidR="00C32CB0" w:rsidRPr="001531CD" w:rsidRDefault="00C034AD" w:rsidP="00C32CB0">
      <w:pPr>
        <w:pStyle w:val="A"/>
      </w:pPr>
      <w:r w:rsidRPr="001531CD">
        <w:t>D.</w:t>
      </w:r>
      <w:r w:rsidRPr="001531CD">
        <w:tab/>
      </w:r>
      <w:r w:rsidR="00D21842" w:rsidRPr="001531CD">
        <w:t xml:space="preserve">The initial annual listing of agritourism activities </w:t>
      </w:r>
      <w:r w:rsidR="00C32CB0" w:rsidRPr="001531CD">
        <w:t>established by the commissioner is listed below.</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436"/>
        <w:gridCol w:w="2414"/>
      </w:tblGrid>
      <w:tr w:rsidR="00C32CB0" w:rsidRPr="001531CD" w14:paraId="1CD17741" w14:textId="77777777" w:rsidTr="00D07DF2">
        <w:trPr>
          <w:tblHeader/>
        </w:trPr>
        <w:tc>
          <w:tcPr>
            <w:tcW w:w="5112" w:type="dxa"/>
            <w:gridSpan w:val="2"/>
            <w:tcBorders>
              <w:top w:val="double" w:sz="6" w:space="0" w:color="auto"/>
              <w:bottom w:val="single" w:sz="6" w:space="0" w:color="auto"/>
            </w:tcBorders>
            <w:shd w:val="clear" w:color="auto" w:fill="BFBFBF"/>
          </w:tcPr>
          <w:p w14:paraId="6C01D190" w14:textId="77777777" w:rsidR="00C32CB0" w:rsidRPr="00824C43" w:rsidRDefault="00C32CB0" w:rsidP="00C32CB0">
            <w:pPr>
              <w:pStyle w:val="a0"/>
              <w:spacing w:after="0"/>
              <w:ind w:firstLine="0"/>
              <w:jc w:val="center"/>
              <w:outlineLvl w:val="9"/>
              <w:rPr>
                <w:b/>
                <w:kern w:val="0"/>
                <w:sz w:val="16"/>
                <w:szCs w:val="16"/>
              </w:rPr>
            </w:pPr>
            <w:r w:rsidRPr="00824C43">
              <w:rPr>
                <w:b/>
                <w:sz w:val="16"/>
                <w:szCs w:val="16"/>
              </w:rPr>
              <w:t xml:space="preserve">Annual Listing of Agritourism Activities </w:t>
            </w:r>
            <w:r w:rsidRPr="00824C43">
              <w:rPr>
                <w:b/>
                <w:sz w:val="16"/>
                <w:szCs w:val="16"/>
              </w:rPr>
              <w:br/>
              <w:t>in Accordance with LAC 7:XLV.101-105</w:t>
            </w:r>
          </w:p>
        </w:tc>
      </w:tr>
      <w:tr w:rsidR="00C32CB0" w:rsidRPr="001531CD" w14:paraId="54C4C63C" w14:textId="77777777" w:rsidTr="00D07DF2">
        <w:trPr>
          <w:tblHeader/>
        </w:trPr>
        <w:tc>
          <w:tcPr>
            <w:tcW w:w="5112" w:type="dxa"/>
            <w:gridSpan w:val="2"/>
            <w:tcBorders>
              <w:top w:val="single" w:sz="6" w:space="0" w:color="auto"/>
            </w:tcBorders>
          </w:tcPr>
          <w:p w14:paraId="2AD8A87E" w14:textId="77777777" w:rsidR="00C32CB0" w:rsidRPr="00824C43" w:rsidRDefault="00C32CB0" w:rsidP="00C32CB0">
            <w:pPr>
              <w:pStyle w:val="a0"/>
              <w:spacing w:after="0"/>
              <w:ind w:left="691" w:hanging="691"/>
              <w:jc w:val="left"/>
              <w:outlineLvl w:val="9"/>
              <w:rPr>
                <w:kern w:val="0"/>
                <w:sz w:val="16"/>
                <w:szCs w:val="16"/>
              </w:rPr>
            </w:pPr>
            <w:r w:rsidRPr="00824C43">
              <w:rPr>
                <w:sz w:val="16"/>
                <w:szCs w:val="16"/>
              </w:rPr>
              <w:t>Notice: The activities listed below are agritourism activities only when conducted in relation to an agricultural operation as defined in LAC 7:XLV.101.</w:t>
            </w:r>
          </w:p>
        </w:tc>
      </w:tr>
      <w:tr w:rsidR="00C32CB0" w:rsidRPr="001531CD" w14:paraId="40ADACC3" w14:textId="77777777" w:rsidTr="00D07DF2">
        <w:tc>
          <w:tcPr>
            <w:tcW w:w="2556" w:type="dxa"/>
          </w:tcPr>
          <w:p w14:paraId="1BF5CB2F" w14:textId="77777777" w:rsidR="00C32CB0" w:rsidRPr="00824C43" w:rsidRDefault="00C32CB0" w:rsidP="00C32CB0">
            <w:pPr>
              <w:pStyle w:val="a0"/>
              <w:spacing w:after="0"/>
              <w:ind w:firstLine="0"/>
              <w:jc w:val="left"/>
              <w:rPr>
                <w:sz w:val="16"/>
                <w:szCs w:val="16"/>
              </w:rPr>
            </w:pPr>
            <w:r w:rsidRPr="00824C43">
              <w:rPr>
                <w:sz w:val="16"/>
                <w:szCs w:val="16"/>
              </w:rPr>
              <w:t>Agricultural Crafts Tours and Visits</w:t>
            </w:r>
          </w:p>
        </w:tc>
        <w:tc>
          <w:tcPr>
            <w:tcW w:w="2556" w:type="dxa"/>
          </w:tcPr>
          <w:p w14:paraId="3F808651" w14:textId="77777777" w:rsidR="00C32CB0" w:rsidRPr="00824C43" w:rsidRDefault="00C32CB0" w:rsidP="00C32CB0">
            <w:pPr>
              <w:pStyle w:val="a0"/>
              <w:spacing w:after="0"/>
              <w:ind w:firstLine="0"/>
              <w:jc w:val="left"/>
              <w:rPr>
                <w:sz w:val="16"/>
                <w:szCs w:val="16"/>
              </w:rPr>
            </w:pPr>
            <w:r w:rsidRPr="00824C43">
              <w:rPr>
                <w:sz w:val="16"/>
                <w:szCs w:val="16"/>
              </w:rPr>
              <w:t>Farm/Ranch Vacations</w:t>
            </w:r>
          </w:p>
        </w:tc>
      </w:tr>
      <w:tr w:rsidR="00C32CB0" w:rsidRPr="001531CD" w14:paraId="6260F7FB" w14:textId="77777777" w:rsidTr="00D07DF2">
        <w:trPr>
          <w:trHeight w:val="277"/>
        </w:trPr>
        <w:tc>
          <w:tcPr>
            <w:tcW w:w="2556" w:type="dxa"/>
          </w:tcPr>
          <w:p w14:paraId="61C99EC9" w14:textId="77777777" w:rsidR="00C32CB0" w:rsidRPr="00824C43" w:rsidRDefault="00C32CB0" w:rsidP="00C32CB0">
            <w:pPr>
              <w:pStyle w:val="a0"/>
              <w:spacing w:after="0"/>
              <w:ind w:left="86" w:hanging="86"/>
              <w:jc w:val="left"/>
              <w:rPr>
                <w:sz w:val="16"/>
                <w:szCs w:val="16"/>
              </w:rPr>
            </w:pPr>
            <w:r w:rsidRPr="00824C43">
              <w:rPr>
                <w:sz w:val="16"/>
                <w:szCs w:val="16"/>
              </w:rPr>
              <w:t>Agricultural Exhibits Tours and Visits</w:t>
            </w:r>
          </w:p>
        </w:tc>
        <w:tc>
          <w:tcPr>
            <w:tcW w:w="2556" w:type="dxa"/>
            <w:vMerge w:val="restart"/>
          </w:tcPr>
          <w:p w14:paraId="0EDD7F15" w14:textId="77777777" w:rsidR="00C32CB0" w:rsidRPr="00824C43" w:rsidRDefault="00C32CB0" w:rsidP="00C32CB0">
            <w:pPr>
              <w:pStyle w:val="a0"/>
              <w:spacing w:after="0"/>
              <w:ind w:left="86" w:hanging="86"/>
              <w:jc w:val="left"/>
              <w:rPr>
                <w:sz w:val="16"/>
                <w:szCs w:val="16"/>
              </w:rPr>
            </w:pPr>
            <w:r w:rsidRPr="00824C43">
              <w:rPr>
                <w:sz w:val="16"/>
                <w:szCs w:val="16"/>
              </w:rPr>
              <w:t>Farmers Markets/on Farm Sales/Roadside Stands Visits and Participation</w:t>
            </w:r>
          </w:p>
        </w:tc>
      </w:tr>
      <w:tr w:rsidR="00C32CB0" w:rsidRPr="001531CD" w14:paraId="5FE304F9" w14:textId="77777777" w:rsidTr="00D07DF2">
        <w:trPr>
          <w:trHeight w:val="304"/>
        </w:trPr>
        <w:tc>
          <w:tcPr>
            <w:tcW w:w="2556" w:type="dxa"/>
            <w:vMerge w:val="restart"/>
          </w:tcPr>
          <w:p w14:paraId="3D165098" w14:textId="77777777" w:rsidR="00C32CB0" w:rsidRPr="00824C43" w:rsidRDefault="00C32CB0" w:rsidP="00C32CB0">
            <w:pPr>
              <w:pStyle w:val="a0"/>
              <w:spacing w:after="0"/>
              <w:ind w:left="86" w:hanging="86"/>
              <w:jc w:val="left"/>
              <w:rPr>
                <w:sz w:val="16"/>
                <w:szCs w:val="16"/>
              </w:rPr>
            </w:pPr>
            <w:r w:rsidRPr="00824C43">
              <w:rPr>
                <w:sz w:val="16"/>
                <w:szCs w:val="16"/>
              </w:rPr>
              <w:t>Agricultural Fairs and Festivals Visits and Participation</w:t>
            </w:r>
          </w:p>
        </w:tc>
        <w:tc>
          <w:tcPr>
            <w:tcW w:w="2556" w:type="dxa"/>
            <w:vMerge/>
          </w:tcPr>
          <w:p w14:paraId="1C1EAD17" w14:textId="77777777" w:rsidR="00C32CB0" w:rsidRPr="00824C43" w:rsidRDefault="00C32CB0" w:rsidP="00C32CB0">
            <w:pPr>
              <w:pStyle w:val="a0"/>
              <w:spacing w:after="0"/>
              <w:ind w:firstLine="0"/>
              <w:jc w:val="left"/>
              <w:rPr>
                <w:sz w:val="16"/>
                <w:szCs w:val="16"/>
              </w:rPr>
            </w:pPr>
          </w:p>
        </w:tc>
      </w:tr>
      <w:tr w:rsidR="00C32CB0" w:rsidRPr="001531CD" w14:paraId="20B34E64" w14:textId="77777777" w:rsidTr="00D07DF2">
        <w:tc>
          <w:tcPr>
            <w:tcW w:w="2556" w:type="dxa"/>
            <w:vMerge/>
          </w:tcPr>
          <w:p w14:paraId="2342B873" w14:textId="77777777" w:rsidR="00C32CB0" w:rsidRPr="00824C43" w:rsidRDefault="00C32CB0" w:rsidP="00C32CB0">
            <w:pPr>
              <w:pStyle w:val="a0"/>
              <w:spacing w:after="0"/>
              <w:ind w:left="86" w:hanging="86"/>
              <w:jc w:val="left"/>
              <w:rPr>
                <w:sz w:val="16"/>
                <w:szCs w:val="16"/>
              </w:rPr>
            </w:pPr>
          </w:p>
        </w:tc>
        <w:tc>
          <w:tcPr>
            <w:tcW w:w="2556" w:type="dxa"/>
          </w:tcPr>
          <w:p w14:paraId="51AACE25" w14:textId="77777777" w:rsidR="00C32CB0" w:rsidRPr="00824C43" w:rsidRDefault="00C32CB0" w:rsidP="00C32CB0">
            <w:pPr>
              <w:pStyle w:val="a0"/>
              <w:spacing w:after="0"/>
              <w:ind w:firstLine="0"/>
              <w:jc w:val="left"/>
              <w:rPr>
                <w:sz w:val="16"/>
                <w:szCs w:val="16"/>
              </w:rPr>
            </w:pPr>
            <w:r w:rsidRPr="00824C43">
              <w:rPr>
                <w:sz w:val="16"/>
                <w:szCs w:val="16"/>
              </w:rPr>
              <w:t>Fishing</w:t>
            </w:r>
          </w:p>
        </w:tc>
      </w:tr>
      <w:tr w:rsidR="00C32CB0" w:rsidRPr="001531CD" w14:paraId="055987B7" w14:textId="77777777" w:rsidTr="00D07DF2">
        <w:tc>
          <w:tcPr>
            <w:tcW w:w="2556" w:type="dxa"/>
            <w:tcBorders>
              <w:bottom w:val="single" w:sz="6" w:space="0" w:color="auto"/>
            </w:tcBorders>
          </w:tcPr>
          <w:p w14:paraId="19D309DA" w14:textId="77777777" w:rsidR="00C32CB0" w:rsidRPr="00824C43" w:rsidRDefault="00C32CB0" w:rsidP="00C32CB0">
            <w:pPr>
              <w:pStyle w:val="a0"/>
              <w:spacing w:after="0"/>
              <w:ind w:left="86" w:hanging="86"/>
              <w:jc w:val="left"/>
              <w:rPr>
                <w:sz w:val="16"/>
                <w:szCs w:val="16"/>
              </w:rPr>
            </w:pPr>
            <w:r w:rsidRPr="00824C43">
              <w:rPr>
                <w:sz w:val="16"/>
                <w:szCs w:val="16"/>
              </w:rPr>
              <w:t>Agricultural Operations Planting, Harvesting and Working Activities</w:t>
            </w:r>
          </w:p>
        </w:tc>
        <w:tc>
          <w:tcPr>
            <w:tcW w:w="2556" w:type="dxa"/>
            <w:tcBorders>
              <w:bottom w:val="single" w:sz="6" w:space="0" w:color="auto"/>
            </w:tcBorders>
          </w:tcPr>
          <w:p w14:paraId="502DBA86" w14:textId="77777777" w:rsidR="00C32CB0" w:rsidRPr="00824C43" w:rsidRDefault="00C32CB0" w:rsidP="00C32CB0">
            <w:pPr>
              <w:pStyle w:val="a0"/>
              <w:spacing w:after="0"/>
              <w:ind w:left="86" w:hanging="86"/>
              <w:jc w:val="left"/>
              <w:rPr>
                <w:sz w:val="16"/>
                <w:szCs w:val="16"/>
              </w:rPr>
            </w:pPr>
            <w:r w:rsidRPr="00824C43">
              <w:rPr>
                <w:sz w:val="16"/>
                <w:szCs w:val="16"/>
              </w:rPr>
              <w:t>Game/Exotic Farm Animal Tours and Visits</w:t>
            </w:r>
          </w:p>
        </w:tc>
      </w:tr>
      <w:tr w:rsidR="00C32CB0" w:rsidRPr="001531CD" w14:paraId="4391B9AA" w14:textId="77777777" w:rsidTr="00D07DF2">
        <w:trPr>
          <w:trHeight w:val="185"/>
        </w:trPr>
        <w:tc>
          <w:tcPr>
            <w:tcW w:w="2556" w:type="dxa"/>
            <w:vMerge w:val="restart"/>
          </w:tcPr>
          <w:p w14:paraId="56B83392" w14:textId="77777777" w:rsidR="00C32CB0" w:rsidRPr="00824C43" w:rsidRDefault="00C32CB0" w:rsidP="00C32CB0">
            <w:pPr>
              <w:pStyle w:val="a0"/>
              <w:spacing w:after="0"/>
              <w:ind w:left="86" w:hanging="86"/>
              <w:jc w:val="left"/>
              <w:rPr>
                <w:sz w:val="16"/>
                <w:szCs w:val="16"/>
              </w:rPr>
            </w:pPr>
            <w:r w:rsidRPr="00824C43">
              <w:rPr>
                <w:sz w:val="16"/>
                <w:szCs w:val="16"/>
              </w:rPr>
              <w:t>Agricultural Operations Tours and Visits</w:t>
            </w:r>
          </w:p>
        </w:tc>
        <w:tc>
          <w:tcPr>
            <w:tcW w:w="2556" w:type="dxa"/>
          </w:tcPr>
          <w:p w14:paraId="739F5BCD" w14:textId="77777777" w:rsidR="00C32CB0" w:rsidRPr="00824C43" w:rsidRDefault="00C32CB0" w:rsidP="00C32CB0">
            <w:pPr>
              <w:pStyle w:val="a0"/>
              <w:spacing w:after="0"/>
              <w:ind w:firstLine="0"/>
              <w:jc w:val="left"/>
              <w:rPr>
                <w:sz w:val="16"/>
                <w:szCs w:val="16"/>
              </w:rPr>
            </w:pPr>
            <w:r w:rsidRPr="00824C43">
              <w:rPr>
                <w:sz w:val="16"/>
                <w:szCs w:val="16"/>
              </w:rPr>
              <w:t>Garden/Nursery Tours and Visits</w:t>
            </w:r>
          </w:p>
        </w:tc>
      </w:tr>
      <w:tr w:rsidR="00C32CB0" w:rsidRPr="001531CD" w14:paraId="52DDB410" w14:textId="77777777" w:rsidTr="00D07DF2">
        <w:trPr>
          <w:trHeight w:val="184"/>
        </w:trPr>
        <w:tc>
          <w:tcPr>
            <w:tcW w:w="2556" w:type="dxa"/>
            <w:vMerge/>
          </w:tcPr>
          <w:p w14:paraId="488C81B4" w14:textId="77777777" w:rsidR="00C32CB0" w:rsidRPr="00824C43" w:rsidRDefault="00C32CB0" w:rsidP="00C32CB0">
            <w:pPr>
              <w:pStyle w:val="a0"/>
              <w:spacing w:after="0"/>
              <w:ind w:left="86" w:hanging="86"/>
              <w:jc w:val="left"/>
              <w:rPr>
                <w:sz w:val="16"/>
                <w:szCs w:val="16"/>
              </w:rPr>
            </w:pPr>
          </w:p>
        </w:tc>
        <w:tc>
          <w:tcPr>
            <w:tcW w:w="2556" w:type="dxa"/>
          </w:tcPr>
          <w:p w14:paraId="5158B327" w14:textId="77777777" w:rsidR="00C32CB0" w:rsidRPr="00824C43" w:rsidRDefault="00C32CB0" w:rsidP="00C32CB0">
            <w:pPr>
              <w:pStyle w:val="a0"/>
              <w:spacing w:after="0"/>
              <w:ind w:firstLine="0"/>
              <w:jc w:val="left"/>
              <w:rPr>
                <w:sz w:val="16"/>
                <w:szCs w:val="16"/>
              </w:rPr>
            </w:pPr>
            <w:r w:rsidRPr="00824C43">
              <w:rPr>
                <w:sz w:val="16"/>
                <w:szCs w:val="16"/>
              </w:rPr>
              <w:t>Guided Crop Tours and Visits</w:t>
            </w:r>
          </w:p>
        </w:tc>
      </w:tr>
      <w:tr w:rsidR="00C32CB0" w:rsidRPr="001531CD" w14:paraId="6804BB41" w14:textId="77777777" w:rsidTr="00D07DF2">
        <w:trPr>
          <w:trHeight w:val="184"/>
        </w:trPr>
        <w:tc>
          <w:tcPr>
            <w:tcW w:w="2556" w:type="dxa"/>
            <w:vMerge w:val="restart"/>
          </w:tcPr>
          <w:p w14:paraId="1E519BF0" w14:textId="77777777" w:rsidR="00C32CB0" w:rsidRPr="00824C43" w:rsidRDefault="00C32CB0" w:rsidP="00C32CB0">
            <w:pPr>
              <w:pStyle w:val="a0"/>
              <w:spacing w:after="0"/>
              <w:ind w:left="86" w:hanging="86"/>
              <w:jc w:val="left"/>
              <w:rPr>
                <w:sz w:val="16"/>
                <w:szCs w:val="16"/>
              </w:rPr>
            </w:pPr>
            <w:r w:rsidRPr="00824C43">
              <w:rPr>
                <w:sz w:val="16"/>
                <w:szCs w:val="16"/>
              </w:rPr>
              <w:t>Bed and Breakfasts Tours, Visits, and Stays</w:t>
            </w:r>
          </w:p>
        </w:tc>
        <w:tc>
          <w:tcPr>
            <w:tcW w:w="2556" w:type="dxa"/>
          </w:tcPr>
          <w:p w14:paraId="3BD7FCA9" w14:textId="77777777" w:rsidR="00C32CB0" w:rsidRPr="00824C43" w:rsidRDefault="00C32CB0" w:rsidP="00C32CB0">
            <w:pPr>
              <w:pStyle w:val="a0"/>
              <w:spacing w:after="0"/>
              <w:ind w:firstLine="0"/>
              <w:jc w:val="left"/>
              <w:rPr>
                <w:sz w:val="16"/>
                <w:szCs w:val="16"/>
              </w:rPr>
            </w:pPr>
            <w:r w:rsidRPr="00824C43">
              <w:rPr>
                <w:sz w:val="16"/>
                <w:szCs w:val="16"/>
              </w:rPr>
              <w:t>Hiking/Packing Trips</w:t>
            </w:r>
          </w:p>
        </w:tc>
      </w:tr>
      <w:tr w:rsidR="00C32CB0" w:rsidRPr="001531CD" w14:paraId="647C2F3F" w14:textId="77777777" w:rsidTr="00D07DF2">
        <w:trPr>
          <w:trHeight w:val="304"/>
        </w:trPr>
        <w:tc>
          <w:tcPr>
            <w:tcW w:w="2556" w:type="dxa"/>
            <w:vMerge/>
          </w:tcPr>
          <w:p w14:paraId="1890A0FB" w14:textId="77777777" w:rsidR="00C32CB0" w:rsidRPr="00824C43" w:rsidRDefault="00C32CB0" w:rsidP="00C32CB0">
            <w:pPr>
              <w:pStyle w:val="a0"/>
              <w:spacing w:after="0"/>
              <w:ind w:firstLine="0"/>
              <w:jc w:val="left"/>
              <w:rPr>
                <w:sz w:val="16"/>
                <w:szCs w:val="16"/>
              </w:rPr>
            </w:pPr>
          </w:p>
        </w:tc>
        <w:tc>
          <w:tcPr>
            <w:tcW w:w="2556" w:type="dxa"/>
            <w:vMerge w:val="restart"/>
          </w:tcPr>
          <w:p w14:paraId="7F7C7407" w14:textId="77777777" w:rsidR="00C32CB0" w:rsidRPr="00824C43" w:rsidRDefault="00C32CB0" w:rsidP="00C32CB0">
            <w:pPr>
              <w:pStyle w:val="a0"/>
              <w:spacing w:after="0"/>
              <w:ind w:left="86" w:hanging="86"/>
              <w:jc w:val="left"/>
              <w:rPr>
                <w:sz w:val="16"/>
                <w:szCs w:val="16"/>
              </w:rPr>
            </w:pPr>
            <w:r w:rsidRPr="00824C43">
              <w:rPr>
                <w:sz w:val="16"/>
                <w:szCs w:val="16"/>
              </w:rPr>
              <w:t>Historical Tours of or Visits to Former Agricultural Operations</w:t>
            </w:r>
          </w:p>
        </w:tc>
      </w:tr>
      <w:tr w:rsidR="00C32CB0" w:rsidRPr="001531CD" w14:paraId="206C8D2B" w14:textId="77777777" w:rsidTr="00D07DF2">
        <w:trPr>
          <w:trHeight w:val="185"/>
        </w:trPr>
        <w:tc>
          <w:tcPr>
            <w:tcW w:w="2556" w:type="dxa"/>
          </w:tcPr>
          <w:p w14:paraId="0B2D63B9" w14:textId="77777777" w:rsidR="00C32CB0" w:rsidRPr="00824C43" w:rsidRDefault="00C32CB0" w:rsidP="00C32CB0">
            <w:pPr>
              <w:pStyle w:val="a0"/>
              <w:spacing w:after="0"/>
              <w:ind w:firstLine="0"/>
              <w:jc w:val="left"/>
              <w:rPr>
                <w:sz w:val="16"/>
                <w:szCs w:val="16"/>
              </w:rPr>
            </w:pPr>
            <w:r w:rsidRPr="00824C43">
              <w:rPr>
                <w:sz w:val="16"/>
                <w:szCs w:val="16"/>
              </w:rPr>
              <w:t>Bird Watching</w:t>
            </w:r>
          </w:p>
        </w:tc>
        <w:tc>
          <w:tcPr>
            <w:tcW w:w="2556" w:type="dxa"/>
            <w:vMerge/>
          </w:tcPr>
          <w:p w14:paraId="67576FE5" w14:textId="77777777" w:rsidR="00C32CB0" w:rsidRPr="00824C43" w:rsidRDefault="00C32CB0" w:rsidP="00C32CB0">
            <w:pPr>
              <w:pStyle w:val="a0"/>
              <w:spacing w:after="0"/>
              <w:ind w:firstLine="0"/>
              <w:jc w:val="left"/>
              <w:rPr>
                <w:sz w:val="16"/>
                <w:szCs w:val="16"/>
              </w:rPr>
            </w:pPr>
          </w:p>
        </w:tc>
      </w:tr>
      <w:tr w:rsidR="00C32CB0" w:rsidRPr="001531CD" w14:paraId="15913ACB" w14:textId="77777777" w:rsidTr="00D07DF2">
        <w:trPr>
          <w:trHeight w:val="184"/>
        </w:trPr>
        <w:tc>
          <w:tcPr>
            <w:tcW w:w="2556" w:type="dxa"/>
          </w:tcPr>
          <w:p w14:paraId="7F707073" w14:textId="77777777" w:rsidR="00C32CB0" w:rsidRPr="00824C43" w:rsidRDefault="00C32CB0" w:rsidP="00C32CB0">
            <w:pPr>
              <w:pStyle w:val="a0"/>
              <w:spacing w:after="0"/>
              <w:ind w:firstLine="0"/>
              <w:jc w:val="left"/>
              <w:rPr>
                <w:sz w:val="16"/>
                <w:szCs w:val="16"/>
              </w:rPr>
            </w:pPr>
            <w:r w:rsidRPr="00824C43">
              <w:rPr>
                <w:sz w:val="16"/>
                <w:szCs w:val="16"/>
              </w:rPr>
              <w:t>Boating/Swamp Tours</w:t>
            </w:r>
          </w:p>
        </w:tc>
        <w:tc>
          <w:tcPr>
            <w:tcW w:w="2556" w:type="dxa"/>
          </w:tcPr>
          <w:p w14:paraId="1796F712" w14:textId="77777777" w:rsidR="00C32CB0" w:rsidRPr="00824C43" w:rsidRDefault="00C32CB0" w:rsidP="00C32CB0">
            <w:pPr>
              <w:pStyle w:val="a0"/>
              <w:spacing w:after="0"/>
              <w:ind w:firstLine="0"/>
              <w:jc w:val="left"/>
              <w:rPr>
                <w:sz w:val="16"/>
                <w:szCs w:val="16"/>
              </w:rPr>
            </w:pPr>
            <w:r w:rsidRPr="00824C43">
              <w:rPr>
                <w:sz w:val="16"/>
                <w:szCs w:val="16"/>
              </w:rPr>
              <w:t>Horseback/Pony Riding</w:t>
            </w:r>
          </w:p>
        </w:tc>
      </w:tr>
      <w:tr w:rsidR="00C32CB0" w:rsidRPr="001531CD" w14:paraId="78A5C680" w14:textId="77777777" w:rsidTr="00D07DF2">
        <w:tc>
          <w:tcPr>
            <w:tcW w:w="2556" w:type="dxa"/>
          </w:tcPr>
          <w:p w14:paraId="7F893BA2" w14:textId="77777777" w:rsidR="00C32CB0" w:rsidRPr="00824C43" w:rsidRDefault="00C32CB0" w:rsidP="00C32CB0">
            <w:pPr>
              <w:pStyle w:val="a0"/>
              <w:spacing w:after="0"/>
              <w:ind w:firstLine="0"/>
              <w:jc w:val="left"/>
              <w:rPr>
                <w:sz w:val="16"/>
                <w:szCs w:val="16"/>
              </w:rPr>
            </w:pPr>
            <w:r w:rsidRPr="00824C43">
              <w:rPr>
                <w:sz w:val="16"/>
                <w:szCs w:val="16"/>
              </w:rPr>
              <w:t>Camping/Picnicking</w:t>
            </w:r>
          </w:p>
        </w:tc>
        <w:tc>
          <w:tcPr>
            <w:tcW w:w="2556" w:type="dxa"/>
          </w:tcPr>
          <w:p w14:paraId="4EC1B767" w14:textId="77777777" w:rsidR="00C32CB0" w:rsidRPr="00824C43" w:rsidRDefault="00C32CB0" w:rsidP="00C32CB0">
            <w:pPr>
              <w:pStyle w:val="a0"/>
              <w:spacing w:after="0"/>
              <w:ind w:firstLine="0"/>
              <w:jc w:val="left"/>
              <w:rPr>
                <w:sz w:val="16"/>
                <w:szCs w:val="16"/>
              </w:rPr>
            </w:pPr>
            <w:r w:rsidRPr="00824C43">
              <w:rPr>
                <w:sz w:val="16"/>
                <w:szCs w:val="16"/>
              </w:rPr>
              <w:t>Hunting</w:t>
            </w:r>
          </w:p>
        </w:tc>
      </w:tr>
      <w:tr w:rsidR="00C32CB0" w:rsidRPr="001531CD" w14:paraId="701506F8" w14:textId="77777777" w:rsidTr="00D07DF2">
        <w:tc>
          <w:tcPr>
            <w:tcW w:w="2556" w:type="dxa"/>
          </w:tcPr>
          <w:p w14:paraId="0ABD25C6" w14:textId="77777777" w:rsidR="00C32CB0" w:rsidRPr="00824C43" w:rsidRDefault="00C32CB0" w:rsidP="00C32CB0">
            <w:pPr>
              <w:pStyle w:val="a0"/>
              <w:spacing w:after="0"/>
              <w:ind w:left="86" w:hanging="86"/>
              <w:jc w:val="left"/>
              <w:rPr>
                <w:sz w:val="16"/>
                <w:szCs w:val="16"/>
              </w:rPr>
            </w:pPr>
            <w:r w:rsidRPr="00824C43">
              <w:rPr>
                <w:sz w:val="16"/>
                <w:szCs w:val="16"/>
              </w:rPr>
              <w:t>Christmas Tree Farms Visits and Tree Cutting</w:t>
            </w:r>
          </w:p>
        </w:tc>
        <w:tc>
          <w:tcPr>
            <w:tcW w:w="2556" w:type="dxa"/>
          </w:tcPr>
          <w:p w14:paraId="155EC76B" w14:textId="77777777" w:rsidR="00C32CB0" w:rsidRPr="00824C43" w:rsidRDefault="00C32CB0" w:rsidP="00C32CB0">
            <w:pPr>
              <w:pStyle w:val="a0"/>
              <w:spacing w:after="0"/>
              <w:ind w:left="86" w:hanging="86"/>
              <w:jc w:val="left"/>
              <w:rPr>
                <w:sz w:val="16"/>
                <w:szCs w:val="16"/>
              </w:rPr>
            </w:pPr>
            <w:r w:rsidRPr="00824C43">
              <w:rPr>
                <w:sz w:val="16"/>
                <w:szCs w:val="16"/>
              </w:rPr>
              <w:t>Hunting/Working Dog Trials/Training</w:t>
            </w:r>
          </w:p>
        </w:tc>
      </w:tr>
      <w:tr w:rsidR="00C32CB0" w:rsidRPr="001531CD" w14:paraId="1E343746" w14:textId="77777777" w:rsidTr="00D07DF2">
        <w:tc>
          <w:tcPr>
            <w:tcW w:w="2556" w:type="dxa"/>
          </w:tcPr>
          <w:p w14:paraId="71B953A6" w14:textId="77777777" w:rsidR="00C32CB0" w:rsidRPr="00824C43" w:rsidRDefault="00C32CB0" w:rsidP="00C32CB0">
            <w:pPr>
              <w:pStyle w:val="a0"/>
              <w:spacing w:after="0"/>
              <w:ind w:left="86" w:hanging="86"/>
              <w:jc w:val="left"/>
              <w:rPr>
                <w:sz w:val="16"/>
                <w:szCs w:val="16"/>
              </w:rPr>
            </w:pPr>
            <w:r w:rsidRPr="00824C43">
              <w:rPr>
                <w:sz w:val="16"/>
                <w:szCs w:val="16"/>
              </w:rPr>
              <w:t>Corn/Hay Bale/Other Mazes Visits and Participation</w:t>
            </w:r>
          </w:p>
        </w:tc>
        <w:tc>
          <w:tcPr>
            <w:tcW w:w="2556" w:type="dxa"/>
          </w:tcPr>
          <w:p w14:paraId="6DCAF55F" w14:textId="77777777" w:rsidR="00C32CB0" w:rsidRPr="00824C43" w:rsidRDefault="00C32CB0" w:rsidP="00C32CB0">
            <w:pPr>
              <w:pStyle w:val="a0"/>
              <w:spacing w:after="0"/>
              <w:ind w:left="86" w:hanging="86"/>
              <w:jc w:val="left"/>
              <w:rPr>
                <w:sz w:val="16"/>
                <w:szCs w:val="16"/>
              </w:rPr>
            </w:pPr>
            <w:r w:rsidRPr="00824C43">
              <w:rPr>
                <w:sz w:val="16"/>
                <w:szCs w:val="16"/>
              </w:rPr>
              <w:t>Petting Zoos Tours, Visits, and Interaction with Animals</w:t>
            </w:r>
          </w:p>
        </w:tc>
      </w:tr>
      <w:tr w:rsidR="00C32CB0" w:rsidRPr="001531CD" w14:paraId="01E1E0A2" w14:textId="77777777" w:rsidTr="00D07DF2">
        <w:tc>
          <w:tcPr>
            <w:tcW w:w="2556" w:type="dxa"/>
          </w:tcPr>
          <w:p w14:paraId="54393259" w14:textId="77777777" w:rsidR="00C32CB0" w:rsidRPr="00824C43" w:rsidRDefault="00C32CB0" w:rsidP="00C32CB0">
            <w:pPr>
              <w:pStyle w:val="a0"/>
              <w:spacing w:after="0"/>
              <w:ind w:left="86" w:hanging="86"/>
              <w:jc w:val="left"/>
              <w:rPr>
                <w:sz w:val="16"/>
                <w:szCs w:val="16"/>
              </w:rPr>
            </w:pPr>
            <w:r w:rsidRPr="00824C43">
              <w:rPr>
                <w:sz w:val="16"/>
                <w:szCs w:val="16"/>
              </w:rPr>
              <w:t>Crop Harvesting at U-Pick Operations</w:t>
            </w:r>
          </w:p>
        </w:tc>
        <w:tc>
          <w:tcPr>
            <w:tcW w:w="2556" w:type="dxa"/>
          </w:tcPr>
          <w:p w14:paraId="314D69D5" w14:textId="77777777" w:rsidR="00C32CB0" w:rsidRPr="00824C43" w:rsidRDefault="00C32CB0" w:rsidP="00C32CB0">
            <w:pPr>
              <w:pStyle w:val="a0"/>
              <w:spacing w:after="0"/>
              <w:ind w:left="86" w:hanging="86"/>
              <w:jc w:val="left"/>
              <w:rPr>
                <w:sz w:val="16"/>
                <w:szCs w:val="16"/>
              </w:rPr>
            </w:pPr>
            <w:r w:rsidRPr="00824C43">
              <w:rPr>
                <w:sz w:val="16"/>
                <w:szCs w:val="16"/>
              </w:rPr>
              <w:t>Pumpkin Patch Visits and Participation</w:t>
            </w:r>
          </w:p>
        </w:tc>
      </w:tr>
      <w:tr w:rsidR="00C32CB0" w:rsidRPr="001531CD" w14:paraId="64928BBE" w14:textId="77777777" w:rsidTr="00D07DF2">
        <w:trPr>
          <w:trHeight w:val="184"/>
        </w:trPr>
        <w:tc>
          <w:tcPr>
            <w:tcW w:w="2556" w:type="dxa"/>
          </w:tcPr>
          <w:p w14:paraId="51734892" w14:textId="77777777" w:rsidR="00C32CB0" w:rsidRPr="00824C43" w:rsidRDefault="00C32CB0" w:rsidP="00C32CB0">
            <w:pPr>
              <w:pStyle w:val="a0"/>
              <w:spacing w:after="0"/>
              <w:ind w:firstLine="0"/>
              <w:jc w:val="left"/>
              <w:rPr>
                <w:sz w:val="16"/>
                <w:szCs w:val="16"/>
              </w:rPr>
            </w:pPr>
            <w:r w:rsidRPr="00824C43">
              <w:rPr>
                <w:sz w:val="16"/>
                <w:szCs w:val="16"/>
              </w:rPr>
              <w:t>Educational Tours and Visits</w:t>
            </w:r>
          </w:p>
        </w:tc>
        <w:tc>
          <w:tcPr>
            <w:tcW w:w="2556" w:type="dxa"/>
          </w:tcPr>
          <w:p w14:paraId="4EB3D8D7" w14:textId="77777777" w:rsidR="00C32CB0" w:rsidRPr="00824C43" w:rsidRDefault="00C32CB0" w:rsidP="00C32CB0">
            <w:pPr>
              <w:pStyle w:val="a0"/>
              <w:spacing w:after="0"/>
              <w:ind w:firstLine="0"/>
              <w:jc w:val="left"/>
              <w:rPr>
                <w:sz w:val="16"/>
                <w:szCs w:val="16"/>
              </w:rPr>
            </w:pPr>
            <w:r w:rsidRPr="00824C43">
              <w:rPr>
                <w:sz w:val="16"/>
                <w:szCs w:val="16"/>
              </w:rPr>
              <w:t>Skeet Shooting</w:t>
            </w:r>
          </w:p>
        </w:tc>
      </w:tr>
      <w:tr w:rsidR="00C32CB0" w:rsidRPr="001531CD" w14:paraId="226C8232" w14:textId="77777777" w:rsidTr="00D07DF2">
        <w:tc>
          <w:tcPr>
            <w:tcW w:w="2556" w:type="dxa"/>
            <w:vMerge w:val="restart"/>
            <w:tcBorders>
              <w:bottom w:val="single" w:sz="6" w:space="0" w:color="auto"/>
            </w:tcBorders>
          </w:tcPr>
          <w:p w14:paraId="6507D77B" w14:textId="77777777" w:rsidR="00C32CB0" w:rsidRPr="00824C43" w:rsidRDefault="00C32CB0" w:rsidP="00C32CB0">
            <w:pPr>
              <w:pStyle w:val="a0"/>
              <w:spacing w:after="0"/>
              <w:ind w:left="86" w:hanging="86"/>
              <w:jc w:val="left"/>
              <w:rPr>
                <w:sz w:val="16"/>
                <w:szCs w:val="16"/>
              </w:rPr>
            </w:pPr>
            <w:r w:rsidRPr="00824C43">
              <w:rPr>
                <w:sz w:val="16"/>
                <w:szCs w:val="16"/>
              </w:rPr>
              <w:t>Equine Activity [as defined in R.S. 9:2795.3(A)(3)] Attendance and Participation</w:t>
            </w:r>
          </w:p>
        </w:tc>
        <w:tc>
          <w:tcPr>
            <w:tcW w:w="2556" w:type="dxa"/>
            <w:tcBorders>
              <w:bottom w:val="single" w:sz="6" w:space="0" w:color="auto"/>
            </w:tcBorders>
          </w:tcPr>
          <w:p w14:paraId="78E27341" w14:textId="77777777" w:rsidR="00C32CB0" w:rsidRPr="00824C43" w:rsidRDefault="00C32CB0" w:rsidP="00C32CB0">
            <w:pPr>
              <w:pStyle w:val="a0"/>
              <w:spacing w:after="0"/>
              <w:ind w:left="86" w:hanging="86"/>
              <w:jc w:val="left"/>
              <w:rPr>
                <w:sz w:val="16"/>
                <w:szCs w:val="16"/>
              </w:rPr>
            </w:pPr>
            <w:r w:rsidRPr="00824C43">
              <w:rPr>
                <w:sz w:val="16"/>
                <w:szCs w:val="16"/>
              </w:rPr>
              <w:t>Wagon Rides Attendance and Participation</w:t>
            </w:r>
          </w:p>
        </w:tc>
      </w:tr>
      <w:tr w:rsidR="00C32CB0" w:rsidRPr="001531CD" w14:paraId="1AE32497" w14:textId="77777777" w:rsidTr="00D07DF2">
        <w:trPr>
          <w:trHeight w:val="184"/>
        </w:trPr>
        <w:tc>
          <w:tcPr>
            <w:tcW w:w="2556" w:type="dxa"/>
            <w:vMerge/>
          </w:tcPr>
          <w:p w14:paraId="37CB7C20" w14:textId="77777777" w:rsidR="00C32CB0" w:rsidRPr="00824C43" w:rsidRDefault="00C32CB0" w:rsidP="00C32CB0">
            <w:pPr>
              <w:pStyle w:val="a0"/>
              <w:spacing w:after="0"/>
              <w:ind w:left="86" w:hanging="86"/>
              <w:jc w:val="left"/>
              <w:rPr>
                <w:sz w:val="16"/>
                <w:szCs w:val="16"/>
              </w:rPr>
            </w:pPr>
          </w:p>
        </w:tc>
        <w:tc>
          <w:tcPr>
            <w:tcW w:w="2556" w:type="dxa"/>
          </w:tcPr>
          <w:p w14:paraId="1465A7CD" w14:textId="77777777" w:rsidR="00C32CB0" w:rsidRPr="00824C43" w:rsidRDefault="00C32CB0" w:rsidP="00C32CB0">
            <w:pPr>
              <w:pStyle w:val="a0"/>
              <w:spacing w:after="0"/>
              <w:ind w:firstLine="0"/>
              <w:jc w:val="left"/>
              <w:rPr>
                <w:sz w:val="16"/>
                <w:szCs w:val="16"/>
              </w:rPr>
            </w:pPr>
            <w:r w:rsidRPr="00824C43">
              <w:rPr>
                <w:sz w:val="16"/>
                <w:szCs w:val="16"/>
              </w:rPr>
              <w:t>Winery Tours and Visits</w:t>
            </w:r>
          </w:p>
        </w:tc>
      </w:tr>
      <w:tr w:rsidR="00C32CB0" w:rsidRPr="001531CD" w14:paraId="6D148B3F" w14:textId="77777777" w:rsidTr="00D07DF2">
        <w:trPr>
          <w:trHeight w:val="184"/>
        </w:trPr>
        <w:tc>
          <w:tcPr>
            <w:tcW w:w="2556" w:type="dxa"/>
            <w:vMerge w:val="restart"/>
          </w:tcPr>
          <w:p w14:paraId="16FF626A" w14:textId="77777777" w:rsidR="00C32CB0" w:rsidRPr="00824C43" w:rsidRDefault="00C32CB0" w:rsidP="00C32CB0">
            <w:pPr>
              <w:pStyle w:val="a0"/>
              <w:spacing w:after="0"/>
              <w:ind w:left="86" w:hanging="86"/>
              <w:jc w:val="left"/>
              <w:rPr>
                <w:sz w:val="16"/>
                <w:szCs w:val="16"/>
              </w:rPr>
            </w:pPr>
            <w:r w:rsidRPr="00824C43">
              <w:rPr>
                <w:sz w:val="16"/>
                <w:szCs w:val="16"/>
              </w:rPr>
              <w:t>Farm Animal Activity [as defined in R.S. 9:2795.1(A)(3)] Attendance and Participation</w:t>
            </w:r>
          </w:p>
        </w:tc>
        <w:tc>
          <w:tcPr>
            <w:tcW w:w="2556" w:type="dxa"/>
          </w:tcPr>
          <w:p w14:paraId="5E6F40C4" w14:textId="77777777" w:rsidR="00C32CB0" w:rsidRPr="00824C43" w:rsidRDefault="00C32CB0" w:rsidP="00C32CB0">
            <w:pPr>
              <w:pStyle w:val="a0"/>
              <w:spacing w:after="0"/>
              <w:ind w:firstLine="0"/>
              <w:jc w:val="left"/>
              <w:rPr>
                <w:sz w:val="16"/>
                <w:szCs w:val="16"/>
              </w:rPr>
            </w:pPr>
            <w:r w:rsidRPr="00824C43">
              <w:rPr>
                <w:sz w:val="16"/>
                <w:szCs w:val="16"/>
              </w:rPr>
              <w:t>Youth Camp Stays and Participation</w:t>
            </w:r>
          </w:p>
        </w:tc>
      </w:tr>
      <w:tr w:rsidR="00C32CB0" w:rsidRPr="001531CD" w14:paraId="5FA831F5" w14:textId="77777777" w:rsidTr="00D07DF2">
        <w:tc>
          <w:tcPr>
            <w:tcW w:w="2556" w:type="dxa"/>
            <w:vMerge/>
          </w:tcPr>
          <w:p w14:paraId="482EED3E" w14:textId="77777777" w:rsidR="00C32CB0" w:rsidRPr="00824C43" w:rsidRDefault="00C32CB0" w:rsidP="00C32CB0">
            <w:pPr>
              <w:pStyle w:val="a0"/>
              <w:spacing w:after="0"/>
              <w:ind w:firstLine="0"/>
              <w:jc w:val="left"/>
              <w:rPr>
                <w:sz w:val="16"/>
                <w:szCs w:val="16"/>
              </w:rPr>
            </w:pPr>
          </w:p>
        </w:tc>
        <w:tc>
          <w:tcPr>
            <w:tcW w:w="2556" w:type="dxa"/>
          </w:tcPr>
          <w:p w14:paraId="4B503904" w14:textId="77777777" w:rsidR="00C32CB0" w:rsidRPr="00824C43" w:rsidRDefault="00C32CB0" w:rsidP="00C32CB0">
            <w:pPr>
              <w:pStyle w:val="a0"/>
              <w:spacing w:after="0"/>
              <w:ind w:firstLine="0"/>
              <w:jc w:val="left"/>
              <w:rPr>
                <w:sz w:val="16"/>
                <w:szCs w:val="16"/>
              </w:rPr>
            </w:pPr>
            <w:r w:rsidRPr="00824C43">
              <w:rPr>
                <w:sz w:val="16"/>
                <w:szCs w:val="16"/>
              </w:rPr>
              <w:t xml:space="preserve">  </w:t>
            </w:r>
          </w:p>
        </w:tc>
      </w:tr>
    </w:tbl>
    <w:p w14:paraId="5291663C" w14:textId="77777777" w:rsidR="00D21842" w:rsidRPr="001531CD" w:rsidRDefault="00D21842" w:rsidP="00D21842">
      <w:pPr>
        <w:pStyle w:val="LACNote"/>
        <w:spacing w:after="0"/>
        <w:ind w:left="432" w:right="432" w:firstLine="0"/>
        <w:rPr>
          <w:sz w:val="20"/>
        </w:rPr>
      </w:pPr>
    </w:p>
    <w:p w14:paraId="2F0BEAA8" w14:textId="77777777" w:rsidR="00D21842" w:rsidRPr="001531CD" w:rsidRDefault="00D21842" w:rsidP="00D21842">
      <w:pPr>
        <w:pStyle w:val="AuthorityNote"/>
      </w:pPr>
      <w:r w:rsidRPr="001531CD">
        <w:t>AUTHORITY NOTE:</w:t>
      </w:r>
      <w:r w:rsidRPr="001531CD">
        <w:tab/>
        <w:t>Promulgated in accordance with R.S. 3:2, 3:3 and 9:2795.5.</w:t>
      </w:r>
    </w:p>
    <w:p w14:paraId="77360738" w14:textId="77777777" w:rsidR="00D21842" w:rsidRPr="001531CD" w:rsidRDefault="00D21842" w:rsidP="00D21842">
      <w:pPr>
        <w:pStyle w:val="HistoricalNote"/>
      </w:pPr>
      <w:r w:rsidRPr="001531CD">
        <w:lastRenderedPageBreak/>
        <w:t>HISTORICAL NOTE:</w:t>
      </w:r>
      <w:r w:rsidRPr="001531CD">
        <w:tab/>
        <w:t>Promulgated by the Department of Agriculture and Forestry, Office of the Commissioner, LR 35:204 (February 2009).</w:t>
      </w:r>
    </w:p>
    <w:p w14:paraId="6EBFE787" w14:textId="77777777" w:rsidR="00D21842" w:rsidRPr="001531CD" w:rsidRDefault="00D21842" w:rsidP="00D21842">
      <w:pPr>
        <w:pStyle w:val="Section"/>
      </w:pPr>
      <w:bookmarkStart w:id="3433" w:name="_Toc256755230"/>
      <w:bookmarkStart w:id="3434" w:name="_Toc224819653"/>
      <w:r w:rsidRPr="001531CD">
        <w:t>§105.</w:t>
      </w:r>
      <w:r w:rsidRPr="001531CD">
        <w:tab/>
        <w:t>Procedure for Submission of Plan of Operation</w:t>
      </w:r>
      <w:bookmarkEnd w:id="3433"/>
      <w:bookmarkEnd w:id="3434"/>
    </w:p>
    <w:p w14:paraId="53220D5E" w14:textId="77777777" w:rsidR="00D21842" w:rsidRPr="001531CD" w:rsidRDefault="00D21842" w:rsidP="00D21842">
      <w:pPr>
        <w:pStyle w:val="A"/>
      </w:pPr>
      <w:r w:rsidRPr="001531CD">
        <w:t>A.</w:t>
      </w:r>
      <w:r w:rsidRPr="001531CD">
        <w:tab/>
        <w:t>Any agritourism professional who conducts an agritourism activity and seeks to avail himself of R.S. 9:2795.5 shall submit a written and completed agritourism plan of operation for each such activity to the Louisiana Cooperative Extension Service of the Louisiana State University Agricultural Center for approval. Multiple activities may be included in the plan. The agritourism plan of operation may be sent to LSU AgCenter, 11959 Highway 9, Homer, LA 71040.</w:t>
      </w:r>
    </w:p>
    <w:p w14:paraId="5C67BB91" w14:textId="77777777" w:rsidR="00D21842" w:rsidRPr="001531CD" w:rsidRDefault="00D21842" w:rsidP="00D21842">
      <w:pPr>
        <w:pStyle w:val="1"/>
      </w:pPr>
      <w:r w:rsidRPr="001531CD">
        <w:t>1.</w:t>
      </w:r>
      <w:r w:rsidRPr="001531CD">
        <w:tab/>
        <w:t>An agritourism professional who adds an agritourism activity after his agritourism plan of operation has been approved shall submit an agritourism plan of operation for the new activity to the Louisiana Cooperative Extension Service of the Louisiana State University Agricultural Center for approval.</w:t>
      </w:r>
    </w:p>
    <w:p w14:paraId="1293A383" w14:textId="77777777" w:rsidR="00D21842" w:rsidRPr="001531CD" w:rsidRDefault="00D21842" w:rsidP="00D21842">
      <w:pPr>
        <w:pStyle w:val="1"/>
      </w:pPr>
      <w:r w:rsidRPr="001531CD">
        <w:t>2.</w:t>
      </w:r>
      <w:r w:rsidRPr="001531CD">
        <w:tab/>
        <w:t>An agritourism plan of operation shall be submitted for each separate agricultural operation where agritourism activities are to be conducted.</w:t>
      </w:r>
    </w:p>
    <w:p w14:paraId="44F49967" w14:textId="77777777" w:rsidR="00D21842" w:rsidRPr="001531CD" w:rsidRDefault="00D21842" w:rsidP="00D21842">
      <w:pPr>
        <w:pStyle w:val="A"/>
      </w:pPr>
      <w:r w:rsidRPr="001531CD">
        <w:t>B.</w:t>
      </w:r>
      <w:r w:rsidRPr="001531CD">
        <w:tab/>
        <w:t>The agritourism plan of operation shall include:</w:t>
      </w:r>
    </w:p>
    <w:p w14:paraId="76ADE2D3" w14:textId="77777777" w:rsidR="00D21842" w:rsidRPr="001531CD" w:rsidRDefault="00D21842" w:rsidP="00D21842">
      <w:pPr>
        <w:pStyle w:val="1"/>
      </w:pPr>
      <w:r w:rsidRPr="001531CD">
        <w:t>1.</w:t>
      </w:r>
      <w:r w:rsidRPr="001531CD">
        <w:tab/>
        <w:t>the name, physical address, mailing address, and telephone number of the agritourism professional;</w:t>
      </w:r>
    </w:p>
    <w:p w14:paraId="07E3B3C3" w14:textId="77777777" w:rsidR="00D21842" w:rsidRPr="001531CD" w:rsidRDefault="00D21842" w:rsidP="00D21842">
      <w:pPr>
        <w:pStyle w:val="1"/>
      </w:pPr>
      <w:r w:rsidRPr="001531CD">
        <w:t>2.</w:t>
      </w:r>
      <w:r w:rsidRPr="001531CD">
        <w:tab/>
        <w:t>the name under which the agritourism professional will operate, the physical address, mailing address and telephone number of the agricultural operation, if different than the information provided for the agritourism professional;</w:t>
      </w:r>
    </w:p>
    <w:p w14:paraId="45740419" w14:textId="77777777" w:rsidR="00D21842" w:rsidRPr="001531CD" w:rsidRDefault="00D21842" w:rsidP="00D21842">
      <w:pPr>
        <w:pStyle w:val="1"/>
      </w:pPr>
      <w:r w:rsidRPr="001531CD">
        <w:t>3.</w:t>
      </w:r>
      <w:r w:rsidRPr="001531CD">
        <w:tab/>
        <w:t>the business structure, (sole proprietorship, partnership, corporation, limited liability company, joint venture, or other structure);</w:t>
      </w:r>
    </w:p>
    <w:p w14:paraId="0ECE1F22" w14:textId="77777777" w:rsidR="00D21842" w:rsidRPr="001531CD" w:rsidRDefault="00D21842" w:rsidP="00D21842">
      <w:pPr>
        <w:pStyle w:val="1"/>
      </w:pPr>
      <w:r w:rsidRPr="001531CD">
        <w:t>4.</w:t>
      </w:r>
      <w:r w:rsidRPr="001531CD">
        <w:tab/>
        <w:t>the physical location of the agricultural operation;</w:t>
      </w:r>
    </w:p>
    <w:p w14:paraId="148D0BFC" w14:textId="77777777" w:rsidR="00D21842" w:rsidRPr="001531CD" w:rsidRDefault="00D21842" w:rsidP="00D21842">
      <w:pPr>
        <w:pStyle w:val="1"/>
      </w:pPr>
      <w:r w:rsidRPr="001531CD">
        <w:t>5.</w:t>
      </w:r>
      <w:r w:rsidRPr="001531CD">
        <w:tab/>
        <w:t>the nature of the agritourism activities to be conducted at the location;</w:t>
      </w:r>
    </w:p>
    <w:p w14:paraId="0211719B" w14:textId="77777777" w:rsidR="00D21842" w:rsidRPr="001531CD" w:rsidRDefault="00D21842" w:rsidP="00D21842">
      <w:pPr>
        <w:pStyle w:val="1"/>
      </w:pPr>
      <w:r w:rsidRPr="001531CD">
        <w:t>6.</w:t>
      </w:r>
      <w:r w:rsidRPr="001531CD">
        <w:tab/>
        <w:t>the known inherent risks to participants in the agritourism activities;</w:t>
      </w:r>
    </w:p>
    <w:p w14:paraId="723FFD7B" w14:textId="77777777" w:rsidR="00D21842" w:rsidRPr="001531CD" w:rsidRDefault="00D21842" w:rsidP="00D21842">
      <w:pPr>
        <w:pStyle w:val="1"/>
      </w:pPr>
      <w:r w:rsidRPr="001531CD">
        <w:t>7.</w:t>
      </w:r>
      <w:r w:rsidRPr="001531CD">
        <w:tab/>
        <w:t>the best management practices, including the placement of warning signs, to be used by the agritourism professional for reducing these risks and for warning participants of the risks;</w:t>
      </w:r>
    </w:p>
    <w:p w14:paraId="1BEC3E0A" w14:textId="77777777" w:rsidR="00D21842" w:rsidRPr="001531CD" w:rsidRDefault="00D21842" w:rsidP="00D21842">
      <w:pPr>
        <w:pStyle w:val="1"/>
      </w:pPr>
      <w:r w:rsidRPr="001531CD">
        <w:t>8.</w:t>
      </w:r>
      <w:r w:rsidRPr="001531CD">
        <w:tab/>
        <w:t>any other information requested by the Louisiana Cooperative Extension Service of the Louisiana State University Agricultural Center.</w:t>
      </w:r>
    </w:p>
    <w:p w14:paraId="5114D4D5" w14:textId="77777777" w:rsidR="00D21842" w:rsidRPr="001531CD" w:rsidRDefault="00D21842" w:rsidP="00D21842">
      <w:pPr>
        <w:pStyle w:val="A"/>
      </w:pPr>
      <w:r w:rsidRPr="001531CD">
        <w:t>C.</w:t>
      </w:r>
      <w:r w:rsidRPr="001531CD">
        <w:tab/>
        <w:t>An agritourism professional, upon approval and implementation of his agritourism plan of operation, shall be presumed to be conducting an agritourism activity for each activity listed on an approved agritourism plan of operation.</w:t>
      </w:r>
    </w:p>
    <w:p w14:paraId="2735C8FF" w14:textId="77777777" w:rsidR="00D21842" w:rsidRPr="001531CD" w:rsidRDefault="00D21842" w:rsidP="00D21842">
      <w:pPr>
        <w:pStyle w:val="AuthorityNote"/>
      </w:pPr>
      <w:r w:rsidRPr="001531CD">
        <w:t>AUTHORITY NOTE:</w:t>
      </w:r>
      <w:r w:rsidRPr="001531CD">
        <w:tab/>
        <w:t>Promulgated in accordance with R.S. 3:2, 3:3 and 9:2795.5.</w:t>
      </w:r>
    </w:p>
    <w:p w14:paraId="556C9B67" w14:textId="77777777" w:rsidR="00D21842" w:rsidRDefault="00D21842" w:rsidP="00D21842">
      <w:pPr>
        <w:pStyle w:val="HistoricalNote"/>
      </w:pPr>
      <w:r w:rsidRPr="001531CD">
        <w:t>HISTORICAL NOTE:</w:t>
      </w:r>
      <w:r w:rsidRPr="001531CD">
        <w:tab/>
        <w:t>Promulgated by the Department of Agriculture and Forestry, Office of the Commissioner, LR 35:205 (February 2009).</w:t>
      </w:r>
    </w:p>
    <w:p w14:paraId="4292A42C" w14:textId="77777777" w:rsidR="0060285D" w:rsidRPr="008447A9" w:rsidRDefault="0060285D" w:rsidP="0060285D">
      <w:pPr>
        <w:pStyle w:val="Section"/>
        <w:rPr>
          <w:bdr w:val="none" w:sz="0" w:space="0" w:color="auto" w:frame="1"/>
          <w:shd w:val="clear" w:color="auto" w:fill="FFFFFF"/>
        </w:rPr>
      </w:pPr>
      <w:bookmarkStart w:id="3435" w:name="_Toc224819654"/>
      <w:bookmarkStart w:id="3436" w:name="_Hlk165466095"/>
      <w:r w:rsidRPr="008447A9">
        <w:rPr>
          <w:bdr w:val="none" w:sz="0" w:space="0" w:color="auto" w:frame="1"/>
          <w:shd w:val="clear" w:color="auto" w:fill="FFFFFF"/>
        </w:rPr>
        <w:t>§107.</w:t>
      </w:r>
      <w:r w:rsidRPr="008447A9">
        <w:rPr>
          <w:bdr w:val="none" w:sz="0" w:space="0" w:color="auto" w:frame="1"/>
          <w:shd w:val="clear" w:color="auto" w:fill="FFFFFF"/>
        </w:rPr>
        <w:tab/>
        <w:t>Issuance of Certificate</w:t>
      </w:r>
      <w:bookmarkEnd w:id="3435"/>
    </w:p>
    <w:p w14:paraId="0EB0F917" w14:textId="77777777"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A.</w:t>
      </w:r>
      <w:r w:rsidRPr="008447A9">
        <w:rPr>
          <w:bdr w:val="none" w:sz="0" w:space="0" w:color="auto" w:frame="1"/>
          <w:shd w:val="clear" w:color="auto" w:fill="FFFFFF"/>
        </w:rPr>
        <w:tab/>
        <w:t xml:space="preserve">The Louisiana Cooperative Extension Service of the Louisiana State University Agricultural Center shall submit the approved application and agritourism plan of operation to the </w:t>
      </w:r>
      <w:r>
        <w:rPr>
          <w:shd w:val="clear" w:color="auto" w:fill="FFFFFF"/>
        </w:rPr>
        <w:t xml:space="preserve">agritourism director at </w:t>
      </w:r>
      <w:r w:rsidRPr="008447A9">
        <w:rPr>
          <w:bdr w:val="none" w:sz="0" w:space="0" w:color="auto" w:frame="1"/>
          <w:shd w:val="clear" w:color="auto" w:fill="FFFFFF"/>
        </w:rPr>
        <w:t>the department who will issue a certificate of eligibility for the presumption of limited liability set forth in R.S. 9:2795.5.</w:t>
      </w:r>
    </w:p>
    <w:p w14:paraId="3650974F" w14:textId="77777777"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B.</w:t>
      </w:r>
      <w:r w:rsidRPr="008447A9">
        <w:rPr>
          <w:bdr w:val="none" w:sz="0" w:space="0" w:color="auto" w:frame="1"/>
          <w:shd w:val="clear" w:color="auto" w:fill="FFFFFF"/>
        </w:rPr>
        <w:tab/>
        <w:t xml:space="preserve">Each certificate shall remain valid for a period of </w:t>
      </w:r>
      <w:r>
        <w:rPr>
          <w:bdr w:val="none" w:sz="0" w:space="0" w:color="auto" w:frame="1"/>
          <w:shd w:val="clear" w:color="auto" w:fill="FFFFFF"/>
        </w:rPr>
        <w:t>five</w:t>
      </w:r>
      <w:r w:rsidRPr="008447A9">
        <w:rPr>
          <w:bdr w:val="none" w:sz="0" w:space="0" w:color="auto" w:frame="1"/>
          <w:shd w:val="clear" w:color="auto" w:fill="FFFFFF"/>
        </w:rPr>
        <w:t xml:space="preserve"> years from the date of issuance. </w:t>
      </w:r>
    </w:p>
    <w:p w14:paraId="4CC99521" w14:textId="77777777"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C.</w:t>
      </w:r>
      <w:r>
        <w:rPr>
          <w:bdr w:val="none" w:sz="0" w:space="0" w:color="auto" w:frame="1"/>
          <w:shd w:val="clear" w:color="auto" w:fill="FFFFFF"/>
        </w:rPr>
        <w:tab/>
      </w:r>
      <w:r w:rsidRPr="008447A9">
        <w:rPr>
          <w:bdr w:val="none" w:sz="0" w:space="0" w:color="auto" w:frame="1"/>
          <w:shd w:val="clear" w:color="auto" w:fill="FFFFFF"/>
        </w:rPr>
        <w:t xml:space="preserve">To renew a certificate, an agritourism professional shall notify the </w:t>
      </w:r>
      <w:r>
        <w:rPr>
          <w:bdr w:val="none" w:sz="0" w:space="0" w:color="auto" w:frame="1"/>
          <w:shd w:val="clear" w:color="auto" w:fill="FFFFFF"/>
        </w:rPr>
        <w:t>a</w:t>
      </w:r>
      <w:r w:rsidRPr="008447A9">
        <w:rPr>
          <w:bdr w:val="none" w:sz="0" w:space="0" w:color="auto" w:frame="1"/>
          <w:shd w:val="clear" w:color="auto" w:fill="FFFFFF"/>
        </w:rPr>
        <w:t xml:space="preserve">gritourism </w:t>
      </w:r>
      <w:r>
        <w:rPr>
          <w:bdr w:val="none" w:sz="0" w:space="0" w:color="auto" w:frame="1"/>
          <w:shd w:val="clear" w:color="auto" w:fill="FFFFFF"/>
        </w:rPr>
        <w:t>d</w:t>
      </w:r>
      <w:r w:rsidRPr="008447A9">
        <w:rPr>
          <w:bdr w:val="none" w:sz="0" w:space="0" w:color="auto" w:frame="1"/>
          <w:shd w:val="clear" w:color="auto" w:fill="FFFFFF"/>
        </w:rPr>
        <w:t>irector in writing that agritourism activities are continuous at the designated location.</w:t>
      </w:r>
      <w:r>
        <w:rPr>
          <w:bdr w:val="none" w:sz="0" w:space="0" w:color="auto" w:frame="1"/>
          <w:shd w:val="clear" w:color="auto" w:fill="FFFFFF"/>
        </w:rPr>
        <w:t xml:space="preserve"> </w:t>
      </w:r>
      <w:r w:rsidRPr="008447A9">
        <w:rPr>
          <w:bdr w:val="none" w:sz="0" w:space="0" w:color="auto" w:frame="1"/>
          <w:shd w:val="clear" w:color="auto" w:fill="FFFFFF"/>
        </w:rPr>
        <w:t>Upon verification, a new certificate will be issued.</w:t>
      </w:r>
    </w:p>
    <w:p w14:paraId="6C6AEE40" w14:textId="77777777" w:rsidR="0060285D" w:rsidRPr="008447A9" w:rsidRDefault="0060285D" w:rsidP="0060285D">
      <w:pPr>
        <w:pStyle w:val="AuthorityNote"/>
        <w:rPr>
          <w:bdr w:val="none" w:sz="0" w:space="0" w:color="auto" w:frame="1"/>
          <w:shd w:val="clear" w:color="auto" w:fill="FFFFFF"/>
        </w:rPr>
      </w:pPr>
      <w:r w:rsidRPr="008447A9">
        <w:rPr>
          <w:bdr w:val="none" w:sz="0" w:space="0" w:color="auto" w:frame="1"/>
          <w:shd w:val="clear" w:color="auto" w:fill="FFFFFF"/>
        </w:rPr>
        <w:t>AUTHORITY NOTE:</w:t>
      </w:r>
      <w:r w:rsidRPr="008447A9">
        <w:rPr>
          <w:bdr w:val="none" w:sz="0" w:space="0" w:color="auto" w:frame="1"/>
          <w:shd w:val="clear" w:color="auto" w:fill="FFFFFF"/>
        </w:rPr>
        <w:tab/>
        <w:t>Promulgated in accordance with R.S. 3:32, 3:3, and 9:2795.5.</w:t>
      </w:r>
    </w:p>
    <w:p w14:paraId="5D42F03B" w14:textId="77777777" w:rsidR="0060285D" w:rsidRDefault="0060285D" w:rsidP="0060285D">
      <w:pPr>
        <w:pStyle w:val="HistoricalNote"/>
        <w:rPr>
          <w:bdr w:val="none" w:sz="0" w:space="0" w:color="auto" w:frame="1"/>
          <w:shd w:val="clear" w:color="auto" w:fill="FFFFFF"/>
        </w:rPr>
      </w:pPr>
      <w:r w:rsidRPr="008447A9">
        <w:rPr>
          <w:bdr w:val="none" w:sz="0" w:space="0" w:color="auto" w:frame="1"/>
          <w:shd w:val="clear" w:color="auto" w:fill="FFFFFF"/>
        </w:rPr>
        <w:t>HISTORICAL NOTE:</w:t>
      </w:r>
      <w:r w:rsidRPr="008447A9">
        <w:rPr>
          <w:bdr w:val="none" w:sz="0" w:space="0" w:color="auto" w:frame="1"/>
          <w:shd w:val="clear" w:color="auto" w:fill="FFFFFF"/>
        </w:rPr>
        <w:tab/>
        <w:t>Promulgated by the Department of Agriculture and Forestry, Office of the Commissioner, LR 5</w:t>
      </w:r>
      <w:r>
        <w:rPr>
          <w:bdr w:val="none" w:sz="0" w:space="0" w:color="auto" w:frame="1"/>
          <w:shd w:val="clear" w:color="auto" w:fill="FFFFFF"/>
        </w:rPr>
        <w:t>1</w:t>
      </w:r>
      <w:r w:rsidRPr="008447A9">
        <w:rPr>
          <w:bdr w:val="none" w:sz="0" w:space="0" w:color="auto" w:frame="1"/>
          <w:shd w:val="clear" w:color="auto" w:fill="FFFFFF"/>
        </w:rPr>
        <w:t>:</w:t>
      </w:r>
      <w:bookmarkEnd w:id="3436"/>
      <w:r>
        <w:rPr>
          <w:bdr w:val="none" w:sz="0" w:space="0" w:color="auto" w:frame="1"/>
          <w:shd w:val="clear" w:color="auto" w:fill="FFFFFF"/>
        </w:rPr>
        <w:t>30 (January 2025).</w:t>
      </w:r>
    </w:p>
    <w:p w14:paraId="6C06DF52" w14:textId="77777777" w:rsidR="00D21842" w:rsidRPr="001531CD" w:rsidRDefault="00D21842">
      <w:pPr>
        <w:pStyle w:val="HistoricalNote"/>
      </w:pPr>
    </w:p>
    <w:p w14:paraId="5EB24F76" w14:textId="77777777" w:rsidR="00D21842" w:rsidRPr="001531CD" w:rsidRDefault="00D21842">
      <w:pPr>
        <w:pStyle w:val="HistoricalNote"/>
        <w:sectPr w:rsidR="00D21842" w:rsidRPr="001531CD" w:rsidSect="00167E2E">
          <w:headerReference w:type="even" r:id="rId100"/>
          <w:headerReference w:type="default" r:id="rId101"/>
          <w:type w:val="continuous"/>
          <w:pgSz w:w="12240" w:h="15840" w:code="1"/>
          <w:pgMar w:top="1080" w:right="864" w:bottom="864" w:left="864" w:header="576" w:footer="432" w:gutter="0"/>
          <w:cols w:num="2" w:space="720"/>
        </w:sectPr>
      </w:pPr>
    </w:p>
    <w:p w14:paraId="799F59AD" w14:textId="77777777" w:rsidR="00DD3B11" w:rsidRPr="001531CD" w:rsidRDefault="00DD3B11" w:rsidP="009E652F">
      <w:pPr>
        <w:pStyle w:val="Part"/>
        <w:sectPr w:rsidR="00DD3B11" w:rsidRPr="001531CD" w:rsidSect="00167E2E">
          <w:headerReference w:type="default" r:id="rId102"/>
          <w:type w:val="continuous"/>
          <w:pgSz w:w="12240" w:h="15840" w:code="1"/>
          <w:pgMar w:top="1080" w:right="864" w:bottom="864" w:left="864" w:header="576" w:footer="432" w:gutter="0"/>
          <w:cols w:space="720"/>
          <w:docGrid w:linePitch="326"/>
        </w:sectPr>
      </w:pPr>
    </w:p>
    <w:p w14:paraId="71402CB1" w14:textId="77777777" w:rsidR="00DD3B11" w:rsidRPr="001531CD" w:rsidRDefault="00DD3B11" w:rsidP="00DD3B11">
      <w:pPr>
        <w:pStyle w:val="Title1"/>
      </w:pPr>
      <w:r w:rsidRPr="001531CD">
        <w:lastRenderedPageBreak/>
        <w:t>Title 7</w:t>
      </w:r>
    </w:p>
    <w:p w14:paraId="45FF8367" w14:textId="77777777" w:rsidR="00DD3B11" w:rsidRPr="001531CD" w:rsidRDefault="00DD3B11" w:rsidP="00DD3B11">
      <w:pPr>
        <w:pStyle w:val="Title2"/>
      </w:pPr>
      <w:r w:rsidRPr="001531CD">
        <w:t>AGRICULTURE AND ANIMALS</w:t>
      </w:r>
    </w:p>
    <w:p w14:paraId="7660DF0E" w14:textId="77777777" w:rsidR="00DD3B11" w:rsidRPr="001531CD" w:rsidRDefault="00DD3B11" w:rsidP="00DD3B11">
      <w:pPr>
        <w:pStyle w:val="Part"/>
      </w:pPr>
      <w:bookmarkStart w:id="3437" w:name="_Toc77840574"/>
      <w:bookmarkStart w:id="3438" w:name="_Toc224819655"/>
      <w:r w:rsidRPr="001531CD">
        <w:t>Part XLVII.  Railroad Crossings</w:t>
      </w:r>
      <w:r w:rsidR="00CB3518" w:rsidRPr="001531CD">
        <w:sym w:font="Symbol" w:char="F0BE"/>
      </w:r>
      <w:r w:rsidR="00B46F73">
        <w:t>Agri</w:t>
      </w:r>
      <w:r w:rsidRPr="001531CD">
        <w:t>cultural and Private Rural Residence</w:t>
      </w:r>
      <w:bookmarkEnd w:id="3437"/>
      <w:bookmarkEnd w:id="3438"/>
    </w:p>
    <w:p w14:paraId="7D5A17B7" w14:textId="77777777" w:rsidR="00DD3B11" w:rsidRPr="001531CD" w:rsidRDefault="00DD3B11" w:rsidP="00DD3B11">
      <w:pPr>
        <w:pStyle w:val="Part"/>
      </w:pPr>
    </w:p>
    <w:p w14:paraId="044CBC99" w14:textId="77777777" w:rsidR="00DD3B11" w:rsidRPr="001531CD" w:rsidRDefault="00DD3B11" w:rsidP="00DD3B11">
      <w:pPr>
        <w:pStyle w:val="Part"/>
        <w:sectPr w:rsidR="00DD3B11" w:rsidRPr="001531CD" w:rsidSect="00167E2E">
          <w:headerReference w:type="default" r:id="rId103"/>
          <w:type w:val="oddPage"/>
          <w:pgSz w:w="12240" w:h="15840" w:code="1"/>
          <w:pgMar w:top="1080" w:right="864" w:bottom="864" w:left="864" w:header="576" w:footer="432" w:gutter="0"/>
          <w:cols w:space="720"/>
          <w:docGrid w:linePitch="326"/>
        </w:sectPr>
      </w:pPr>
    </w:p>
    <w:p w14:paraId="0EEBE977" w14:textId="77777777" w:rsidR="009E652F" w:rsidRPr="001531CD" w:rsidRDefault="009E652F" w:rsidP="009E652F">
      <w:pPr>
        <w:pStyle w:val="Chapter"/>
      </w:pPr>
      <w:bookmarkStart w:id="3439" w:name="_Toc224819656"/>
      <w:r w:rsidRPr="001531CD">
        <w:t>Chapter 1.</w:t>
      </w:r>
      <w:r w:rsidRPr="001531CD">
        <w:tab/>
        <w:t>Railways</w:t>
      </w:r>
      <w:r w:rsidRPr="001531CD">
        <w:sym w:font="Symbol" w:char="F0BE"/>
      </w:r>
      <w:r w:rsidRPr="001531CD">
        <w:t>Access Over Right-of-Way</w:t>
      </w:r>
      <w:bookmarkEnd w:id="3439"/>
    </w:p>
    <w:p w14:paraId="0B683055" w14:textId="77777777" w:rsidR="009E652F" w:rsidRPr="001531CD" w:rsidRDefault="009E652F" w:rsidP="009E652F">
      <w:pPr>
        <w:pStyle w:val="Section"/>
      </w:pPr>
      <w:bookmarkStart w:id="3440" w:name="_Toc224819657"/>
      <w:r w:rsidRPr="001531CD">
        <w:t>§101.</w:t>
      </w:r>
      <w:r w:rsidRPr="001531CD">
        <w:tab/>
        <w:t>Definitions</w:t>
      </w:r>
      <w:bookmarkEnd w:id="3440"/>
    </w:p>
    <w:p w14:paraId="3712E5E6" w14:textId="77777777" w:rsidR="009E652F" w:rsidRPr="001531CD" w:rsidRDefault="009E652F" w:rsidP="009E652F">
      <w:pPr>
        <w:pStyle w:val="A"/>
      </w:pPr>
      <w:r w:rsidRPr="001531CD">
        <w:rPr>
          <w:i/>
        </w:rPr>
        <w:t>Agricultural Operation</w:t>
      </w:r>
      <w:r w:rsidRPr="001531CD">
        <w:t>—the commercial production, storage, or processing of any agronomic, floricultural, horticultural, vitacultural, silvicultural, or aquacultural crop or product.</w:t>
      </w:r>
    </w:p>
    <w:p w14:paraId="6B0A8B28" w14:textId="77777777" w:rsidR="009E652F" w:rsidRPr="001531CD" w:rsidRDefault="009E652F" w:rsidP="009E652F">
      <w:pPr>
        <w:pStyle w:val="A"/>
        <w:rPr>
          <w:i/>
        </w:rPr>
      </w:pPr>
      <w:r w:rsidRPr="001531CD">
        <w:rPr>
          <w:i/>
        </w:rPr>
        <w:t>Agricultural Crossing</w:t>
      </w:r>
      <w:r w:rsidRPr="001531CD">
        <w:t>—a private road, street, lane, or path by which vehicles or equipment used in an agricultural operation may traverse a railway right-of-way.</w:t>
      </w:r>
    </w:p>
    <w:p w14:paraId="0E897F3C" w14:textId="77777777" w:rsidR="009E652F" w:rsidRPr="001531CD" w:rsidRDefault="009E652F" w:rsidP="009E652F">
      <w:pPr>
        <w:pStyle w:val="A"/>
      </w:pPr>
      <w:r w:rsidRPr="001531CD">
        <w:rPr>
          <w:i/>
        </w:rPr>
        <w:t>Commissioner</w:t>
      </w:r>
      <w:r w:rsidRPr="001531CD">
        <w:t>—the Louisiana Commissioner of Agriculture and Forestry.</w:t>
      </w:r>
    </w:p>
    <w:p w14:paraId="4BE2E475" w14:textId="77777777" w:rsidR="009E652F" w:rsidRPr="001531CD" w:rsidRDefault="009E652F" w:rsidP="009E652F">
      <w:pPr>
        <w:pStyle w:val="A"/>
      </w:pPr>
      <w:r w:rsidRPr="001531CD">
        <w:rPr>
          <w:i/>
        </w:rPr>
        <w:t>Department</w:t>
      </w:r>
      <w:r w:rsidRPr="001531CD">
        <w:t>—the Louisiana Department of Agriculture and Forestry.</w:t>
      </w:r>
    </w:p>
    <w:p w14:paraId="5A63372A" w14:textId="77777777" w:rsidR="009E652F" w:rsidRPr="001531CD" w:rsidRDefault="009E652F" w:rsidP="009E652F">
      <w:pPr>
        <w:pStyle w:val="A"/>
        <w:rPr>
          <w:i/>
        </w:rPr>
      </w:pPr>
      <w:r w:rsidRPr="001531CD">
        <w:rPr>
          <w:i/>
        </w:rPr>
        <w:t>Person</w:t>
      </w:r>
      <w:r w:rsidRPr="001531CD">
        <w:t>—an individual, corporation, limited liability company, or other legal entity.</w:t>
      </w:r>
    </w:p>
    <w:p w14:paraId="2B483E38" w14:textId="77777777" w:rsidR="009E652F" w:rsidRPr="001531CD" w:rsidRDefault="009E652F" w:rsidP="009E652F">
      <w:pPr>
        <w:pStyle w:val="A"/>
      </w:pPr>
      <w:r w:rsidRPr="001531CD">
        <w:rPr>
          <w:i/>
        </w:rPr>
        <w:t>Private Crossing</w:t>
      </w:r>
      <w:r w:rsidRPr="001531CD">
        <w:t>—an agricultural crossing or a rural residence crossing.</w:t>
      </w:r>
    </w:p>
    <w:p w14:paraId="0D87BCC5" w14:textId="77777777" w:rsidR="009E652F" w:rsidRPr="001531CD" w:rsidRDefault="009E652F" w:rsidP="009E652F">
      <w:pPr>
        <w:pStyle w:val="A"/>
      </w:pPr>
      <w:r w:rsidRPr="001531CD">
        <w:rPr>
          <w:i/>
        </w:rPr>
        <w:t>Railroad Corporation</w:t>
      </w:r>
      <w:r w:rsidRPr="001531CD">
        <w:t>—a business or company that owns or operates a railway in this state.</w:t>
      </w:r>
    </w:p>
    <w:p w14:paraId="2B617D8D" w14:textId="77777777" w:rsidR="009E652F" w:rsidRPr="001531CD" w:rsidRDefault="009E652F" w:rsidP="009E652F">
      <w:pPr>
        <w:pStyle w:val="A"/>
      </w:pPr>
      <w:r w:rsidRPr="001531CD">
        <w:rPr>
          <w:i/>
        </w:rPr>
        <w:t>Railway</w:t>
      </w:r>
      <w:r w:rsidRPr="001531CD">
        <w:t>—a road composed of parallel steel rails supported by ties and providing a track for locomotive drawn trains and other rolling stock.</w:t>
      </w:r>
    </w:p>
    <w:p w14:paraId="561A5599" w14:textId="77777777" w:rsidR="009E652F" w:rsidRPr="001531CD" w:rsidRDefault="009E652F" w:rsidP="009E652F">
      <w:pPr>
        <w:pStyle w:val="A"/>
      </w:pPr>
      <w:r w:rsidRPr="001531CD">
        <w:rPr>
          <w:i/>
        </w:rPr>
        <w:t>Rural Residence Crossing</w:t>
      </w:r>
      <w:r w:rsidRPr="001531CD">
        <w:t>—a private road, street, lane, or path by which automobiles or other self propelled vehicles or equipment may traverse a railway right-of-way to get to and from a private rural residence.</w:t>
      </w:r>
    </w:p>
    <w:p w14:paraId="4B52C472" w14:textId="77777777" w:rsidR="009E652F" w:rsidRPr="001531CD" w:rsidRDefault="009E652F" w:rsidP="009E652F">
      <w:pPr>
        <w:pStyle w:val="AuthorityNote"/>
      </w:pPr>
      <w:r w:rsidRPr="001531CD">
        <w:t>AUTHORITY NOTE:</w:t>
      </w:r>
      <w:r w:rsidRPr="001531CD">
        <w:tab/>
        <w:t>Promulgated in accordance with R.S. 48:390(H).</w:t>
      </w:r>
    </w:p>
    <w:p w14:paraId="4147188A" w14:textId="77777777" w:rsidR="009E652F" w:rsidRPr="001531CD" w:rsidRDefault="009E652F" w:rsidP="009E652F">
      <w:pPr>
        <w:pStyle w:val="HistoricalNote"/>
      </w:pPr>
      <w:r w:rsidRPr="001531CD">
        <w:t>HISTORICAL NOTE:</w:t>
      </w:r>
      <w:r w:rsidRPr="001531CD">
        <w:tab/>
        <w:t>Promulgated by the Department of Agriculture and Forestry, Office of the Commissioner, LR 38:962 (April 2012).</w:t>
      </w:r>
    </w:p>
    <w:p w14:paraId="5F8538C7" w14:textId="77777777" w:rsidR="009E652F" w:rsidRPr="001531CD" w:rsidRDefault="009E652F" w:rsidP="009E652F">
      <w:pPr>
        <w:pStyle w:val="Section"/>
      </w:pPr>
      <w:bookmarkStart w:id="3441" w:name="_Toc224819658"/>
      <w:r w:rsidRPr="001531CD">
        <w:t>§103.</w:t>
      </w:r>
      <w:r w:rsidRPr="001531CD">
        <w:tab/>
        <w:t>Authority of the Commissioner</w:t>
      </w:r>
      <w:bookmarkEnd w:id="3441"/>
    </w:p>
    <w:p w14:paraId="14E0118C" w14:textId="77777777" w:rsidR="009E652F" w:rsidRPr="001531CD" w:rsidRDefault="009E652F" w:rsidP="009E652F">
      <w:pPr>
        <w:pStyle w:val="A"/>
      </w:pPr>
      <w:r w:rsidRPr="001531CD">
        <w:t>A.</w:t>
      </w:r>
      <w:r w:rsidRPr="001531CD">
        <w:tab/>
        <w:t>The commissioner may order a railroad corporation to keep a private crossing open or to immediately restore and keep in good repair a private crossing closed by the railroad corporation upon written request by a person eligible to make such a request if the commissioner determines that the order is necessary to carry out the provisions of R.S. 48:390(H).</w:t>
      </w:r>
    </w:p>
    <w:p w14:paraId="730DE6DF" w14:textId="77777777" w:rsidR="009E652F" w:rsidRPr="001531CD" w:rsidRDefault="009E652F" w:rsidP="009E652F">
      <w:pPr>
        <w:pStyle w:val="A"/>
      </w:pPr>
      <w:r w:rsidRPr="001531CD">
        <w:t>B.</w:t>
      </w:r>
      <w:r w:rsidRPr="001531CD">
        <w:tab/>
        <w:t>After receiving the written request, the commissioner may order the department to conduct an investigation.</w:t>
      </w:r>
    </w:p>
    <w:p w14:paraId="775EEFFF" w14:textId="77777777" w:rsidR="009E652F" w:rsidRPr="001531CD" w:rsidRDefault="009E652F" w:rsidP="009E652F">
      <w:pPr>
        <w:pStyle w:val="A"/>
      </w:pPr>
      <w:r w:rsidRPr="001531CD">
        <w:t>C.</w:t>
      </w:r>
      <w:r w:rsidRPr="001531CD">
        <w:tab/>
        <w:t>The decision of the commissioner shall be based on the information submitted to him or obtained by him as a result of an investigation into the matter by the department.</w:t>
      </w:r>
    </w:p>
    <w:p w14:paraId="1029F490" w14:textId="77777777" w:rsidR="009E652F" w:rsidRPr="001531CD" w:rsidRDefault="009E652F" w:rsidP="009E652F">
      <w:pPr>
        <w:pStyle w:val="A"/>
      </w:pPr>
      <w:r w:rsidRPr="001531CD">
        <w:t>D.</w:t>
      </w:r>
      <w:r w:rsidRPr="001531CD">
        <w:tab/>
        <w:t>The decision of the commissioner shall be in the exercise of the discretionary authority granted to him by R.S. 48:390(H) and shall be the final administrative decision in the matter.</w:t>
      </w:r>
    </w:p>
    <w:p w14:paraId="3497F395" w14:textId="77777777" w:rsidR="009E652F" w:rsidRPr="001531CD" w:rsidRDefault="009E652F" w:rsidP="009E652F">
      <w:pPr>
        <w:pStyle w:val="AuthorityNote"/>
      </w:pPr>
      <w:r w:rsidRPr="001531CD">
        <w:t>AUTHORITY NOTE:</w:t>
      </w:r>
      <w:r w:rsidRPr="001531CD">
        <w:tab/>
        <w:t>Promulgated in accordance with R.S. 48:390(H).</w:t>
      </w:r>
    </w:p>
    <w:p w14:paraId="4468689B" w14:textId="77777777"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14:paraId="7481D51A" w14:textId="77777777" w:rsidR="009E652F" w:rsidRPr="001531CD" w:rsidRDefault="009E652F" w:rsidP="009E652F">
      <w:pPr>
        <w:pStyle w:val="Section"/>
      </w:pPr>
      <w:bookmarkStart w:id="3442" w:name="_Toc224819659"/>
      <w:r w:rsidRPr="001531CD">
        <w:t>§105.</w:t>
      </w:r>
      <w:r w:rsidRPr="001531CD">
        <w:tab/>
        <w:t>Eligibility for Making a Request</w:t>
      </w:r>
      <w:bookmarkEnd w:id="3442"/>
    </w:p>
    <w:p w14:paraId="33D93BA2" w14:textId="77777777" w:rsidR="009E652F" w:rsidRPr="001531CD" w:rsidRDefault="009E652F" w:rsidP="009E652F">
      <w:pPr>
        <w:pStyle w:val="A"/>
      </w:pPr>
      <w:r w:rsidRPr="001531CD">
        <w:t>A.</w:t>
      </w:r>
      <w:r w:rsidRPr="001531CD">
        <w:tab/>
        <w:t>No person may make a request for an order to keep a private crossing open or to reopen a private crossing unless the person owns, leases, or otherwise has legal use or possession of land that is split by a railway or has no other practical access to that person’s private rural residence or agricultural operation.</w:t>
      </w:r>
    </w:p>
    <w:p w14:paraId="2FD192FD" w14:textId="77777777" w:rsidR="009E652F" w:rsidRPr="001531CD" w:rsidRDefault="009E652F" w:rsidP="009E652F">
      <w:pPr>
        <w:pStyle w:val="A"/>
      </w:pPr>
      <w:r w:rsidRPr="001531CD">
        <w:t>B.</w:t>
      </w:r>
      <w:r w:rsidRPr="001531CD">
        <w:tab/>
        <w:t>A person may make the request only in his name either directly or through an authorized legal representative.</w:t>
      </w:r>
    </w:p>
    <w:p w14:paraId="1600C549" w14:textId="77777777" w:rsidR="009E652F" w:rsidRPr="001531CD" w:rsidRDefault="009E652F" w:rsidP="009E652F">
      <w:pPr>
        <w:pStyle w:val="AuthorityNote"/>
      </w:pPr>
      <w:r w:rsidRPr="001531CD">
        <w:t>AUTHORITY NOTE:</w:t>
      </w:r>
      <w:r w:rsidRPr="001531CD">
        <w:tab/>
        <w:t>Promulgated in accordance with R.S. 48:390(H).</w:t>
      </w:r>
    </w:p>
    <w:p w14:paraId="369D3F09" w14:textId="77777777"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14:paraId="49881AFB" w14:textId="77777777" w:rsidR="009E652F" w:rsidRPr="001531CD" w:rsidRDefault="009E652F" w:rsidP="009E652F">
      <w:pPr>
        <w:pStyle w:val="Section"/>
      </w:pPr>
      <w:bookmarkStart w:id="3443" w:name="_Toc224819660"/>
      <w:r w:rsidRPr="001531CD">
        <w:t>§107.</w:t>
      </w:r>
      <w:r w:rsidRPr="001531CD">
        <w:tab/>
        <w:t>Procedure for Requesting an Order from the Commissioner</w:t>
      </w:r>
      <w:bookmarkEnd w:id="3443"/>
      <w:r w:rsidRPr="001531CD">
        <w:t xml:space="preserve"> </w:t>
      </w:r>
    </w:p>
    <w:p w14:paraId="057FD971" w14:textId="77777777" w:rsidR="009E652F" w:rsidRPr="001531CD" w:rsidRDefault="009E652F" w:rsidP="009E652F">
      <w:pPr>
        <w:pStyle w:val="A"/>
      </w:pPr>
      <w:r w:rsidRPr="001531CD">
        <w:t>A.</w:t>
      </w:r>
      <w:r w:rsidRPr="001531CD">
        <w:tab/>
        <w:t>The written request shall be made to the commissioner of agriculture and forestry, 5825 Florida Boulevard, Baton Rouge, LA 70806 and shall be signed by the person submitting the request. The request shall include the following information:</w:t>
      </w:r>
    </w:p>
    <w:p w14:paraId="14C577C1" w14:textId="77777777" w:rsidR="009E652F" w:rsidRPr="001531CD" w:rsidRDefault="009E652F" w:rsidP="009E652F">
      <w:pPr>
        <w:pStyle w:val="1"/>
      </w:pPr>
      <w:r w:rsidRPr="001531CD">
        <w:t>1.</w:t>
      </w:r>
      <w:r w:rsidRPr="001531CD">
        <w:tab/>
        <w:t>the name, physical address, mailing address, and telephone number of the person or business submitting the request;</w:t>
      </w:r>
    </w:p>
    <w:p w14:paraId="768FE753" w14:textId="77777777" w:rsidR="009E652F" w:rsidRPr="001531CD" w:rsidRDefault="009E652F" w:rsidP="009E652F">
      <w:pPr>
        <w:pStyle w:val="1"/>
      </w:pPr>
      <w:r w:rsidRPr="001531CD">
        <w:t>2.</w:t>
      </w:r>
      <w:r w:rsidRPr="001531CD">
        <w:tab/>
        <w:t>the name and business structure under which the individual or business conducts an agricultural operation and the physical address, mailing address and telephone number of the agricultural operation, if different than the information provided for the person or business making the request;</w:t>
      </w:r>
    </w:p>
    <w:p w14:paraId="09AA4E8C" w14:textId="77777777" w:rsidR="009E652F" w:rsidRPr="001531CD" w:rsidRDefault="009E652F" w:rsidP="009E652F">
      <w:pPr>
        <w:pStyle w:val="1"/>
      </w:pPr>
      <w:r w:rsidRPr="001531CD">
        <w:t>3.</w:t>
      </w:r>
      <w:r w:rsidRPr="001531CD">
        <w:tab/>
        <w:t>the physical location of the rural residence or agricultural operation;</w:t>
      </w:r>
    </w:p>
    <w:p w14:paraId="6593F9D8" w14:textId="77777777" w:rsidR="009E652F" w:rsidRPr="001531CD" w:rsidRDefault="009E652F" w:rsidP="009E652F">
      <w:pPr>
        <w:pStyle w:val="1"/>
      </w:pPr>
      <w:r w:rsidRPr="001531CD">
        <w:t>4.</w:t>
      </w:r>
      <w:r w:rsidRPr="001531CD">
        <w:tab/>
        <w:t>the relationship of the person or business to the rural residence or agricultural operation affected or to be affected by the closing of the private crossing;</w:t>
      </w:r>
    </w:p>
    <w:p w14:paraId="78E4BB04" w14:textId="77777777" w:rsidR="009E652F" w:rsidRPr="001531CD" w:rsidRDefault="009E652F" w:rsidP="009E652F">
      <w:pPr>
        <w:pStyle w:val="1"/>
      </w:pPr>
      <w:r w:rsidRPr="001531CD">
        <w:t>5.</w:t>
      </w:r>
      <w:r w:rsidRPr="001531CD">
        <w:tab/>
        <w:t>the nature of the agricultural operations, if any, affected or to be affected by the closing of the private crossing;</w:t>
      </w:r>
    </w:p>
    <w:p w14:paraId="79E789B4" w14:textId="77777777" w:rsidR="009E652F" w:rsidRPr="001531CD" w:rsidRDefault="009E652F" w:rsidP="009E652F">
      <w:pPr>
        <w:pStyle w:val="1"/>
      </w:pPr>
      <w:r w:rsidRPr="001531CD">
        <w:lastRenderedPageBreak/>
        <w:t>6.</w:t>
      </w:r>
      <w:r w:rsidRPr="001531CD">
        <w:tab/>
        <w:t>the hardship that will be or has been created by the closing of the private crossing;</w:t>
      </w:r>
    </w:p>
    <w:p w14:paraId="429AA4F8" w14:textId="77777777" w:rsidR="009E652F" w:rsidRPr="001531CD" w:rsidRDefault="009E652F" w:rsidP="009E652F">
      <w:pPr>
        <w:pStyle w:val="1"/>
      </w:pPr>
      <w:r w:rsidRPr="001531CD">
        <w:t>7.</w:t>
      </w:r>
      <w:r w:rsidRPr="001531CD">
        <w:tab/>
        <w:t>the name of the railroad corporation owning or operating the railway that plans to close or has closed the private crossing;</w:t>
      </w:r>
    </w:p>
    <w:p w14:paraId="41B78B32" w14:textId="77777777" w:rsidR="009E652F" w:rsidRPr="001531CD" w:rsidRDefault="009E652F" w:rsidP="009E652F">
      <w:pPr>
        <w:pStyle w:val="1"/>
      </w:pPr>
      <w:r w:rsidRPr="001531CD">
        <w:t>8.</w:t>
      </w:r>
      <w:r w:rsidRPr="001531CD">
        <w:tab/>
        <w:t>the date of the scheduled closing or the date the private crossing was closed;</w:t>
      </w:r>
    </w:p>
    <w:p w14:paraId="3963D37B" w14:textId="77777777" w:rsidR="009E652F" w:rsidRPr="001531CD" w:rsidRDefault="009E652F" w:rsidP="009E652F">
      <w:pPr>
        <w:pStyle w:val="1"/>
      </w:pPr>
      <w:r w:rsidRPr="001531CD">
        <w:t>9.</w:t>
      </w:r>
      <w:r w:rsidRPr="001531CD">
        <w:tab/>
        <w:t>the location of the next available closest public or private crossing that the person or business would be able to access;</w:t>
      </w:r>
    </w:p>
    <w:p w14:paraId="45B4F91D" w14:textId="77777777" w:rsidR="009E652F" w:rsidRPr="001531CD" w:rsidRDefault="009E652F" w:rsidP="009E652F">
      <w:pPr>
        <w:pStyle w:val="1"/>
      </w:pPr>
      <w:r w:rsidRPr="001531CD">
        <w:t>10.</w:t>
      </w:r>
      <w:r w:rsidRPr="001531CD">
        <w:tab/>
        <w:t>any other information requested by the commissioner or his designee.</w:t>
      </w:r>
    </w:p>
    <w:p w14:paraId="4AC5A8CC" w14:textId="77777777" w:rsidR="009E652F" w:rsidRPr="001531CD" w:rsidRDefault="009E652F" w:rsidP="009E652F">
      <w:pPr>
        <w:pStyle w:val="A"/>
      </w:pPr>
      <w:r w:rsidRPr="001531CD">
        <w:t>B.</w:t>
      </w:r>
      <w:r w:rsidRPr="001531CD">
        <w:tab/>
        <w:t>The person making the request shall also submit the following documentation.</w:t>
      </w:r>
    </w:p>
    <w:p w14:paraId="1BE97D18" w14:textId="77777777" w:rsidR="009E652F" w:rsidRPr="001531CD" w:rsidRDefault="009E652F" w:rsidP="009E652F">
      <w:pPr>
        <w:pStyle w:val="1"/>
      </w:pPr>
      <w:r w:rsidRPr="001531CD">
        <w:t>1.</w:t>
      </w:r>
      <w:r w:rsidRPr="001531CD">
        <w:tab/>
        <w:t>Proof of ownership or possession, such as a tax statement, deed, lease, title opinion or judgment of possession related to the rural residence or agricultural operation.</w:t>
      </w:r>
    </w:p>
    <w:p w14:paraId="6770B32B" w14:textId="77777777" w:rsidR="009E652F" w:rsidRPr="001531CD" w:rsidRDefault="009E652F" w:rsidP="009E652F">
      <w:pPr>
        <w:pStyle w:val="1"/>
      </w:pPr>
      <w:r w:rsidRPr="001531CD">
        <w:t>2.</w:t>
      </w:r>
      <w:r w:rsidRPr="001531CD">
        <w:tab/>
        <w:t xml:space="preserve">A map, plat, survey, or aerial or satellite photograph showing the railway and the property in relation to each other. </w:t>
      </w:r>
    </w:p>
    <w:p w14:paraId="69967453" w14:textId="77777777" w:rsidR="009E652F" w:rsidRPr="001531CD" w:rsidRDefault="009E652F" w:rsidP="009E652F">
      <w:pPr>
        <w:pStyle w:val="AuthorityNote"/>
      </w:pPr>
      <w:r w:rsidRPr="001531CD">
        <w:t>AUTHORITY NOTE:</w:t>
      </w:r>
      <w:r w:rsidRPr="001531CD">
        <w:tab/>
        <w:t>Promulgated in accordance with R.S. 48:390(H).</w:t>
      </w:r>
    </w:p>
    <w:p w14:paraId="4BF99015" w14:textId="77777777"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14:paraId="4019601A" w14:textId="77777777" w:rsidR="009E652F" w:rsidRPr="001531CD" w:rsidRDefault="009E652F" w:rsidP="009E652F">
      <w:pPr>
        <w:pStyle w:val="Section"/>
      </w:pPr>
      <w:bookmarkStart w:id="3444" w:name="_Toc224819661"/>
      <w:r w:rsidRPr="001531CD">
        <w:t>§109.</w:t>
      </w:r>
      <w:r w:rsidRPr="001531CD">
        <w:tab/>
        <w:t>Notice to a Railroad Corporation</w:t>
      </w:r>
      <w:bookmarkEnd w:id="3444"/>
    </w:p>
    <w:p w14:paraId="2888A38F" w14:textId="77777777" w:rsidR="009E652F" w:rsidRPr="001531CD" w:rsidRDefault="009E652F" w:rsidP="009E652F">
      <w:pPr>
        <w:pStyle w:val="A"/>
      </w:pPr>
      <w:r w:rsidRPr="001531CD">
        <w:t>A.</w:t>
      </w:r>
      <w:r w:rsidRPr="001531CD">
        <w:tab/>
        <w:t xml:space="preserve">Upon receipt of a written request for an order to stop the closure of a private crossing or to reopen the crossing, the </w:t>
      </w:r>
      <w:r w:rsidRPr="001531CD">
        <w:t xml:space="preserve">commissioner shall provide the appropriate railroad corporation with a copy of the request. </w:t>
      </w:r>
    </w:p>
    <w:p w14:paraId="1CF75DD2" w14:textId="77777777" w:rsidR="009E652F" w:rsidRPr="001531CD" w:rsidRDefault="009E652F" w:rsidP="009E652F">
      <w:pPr>
        <w:pStyle w:val="A"/>
      </w:pPr>
      <w:r w:rsidRPr="001531CD">
        <w:t>B.</w:t>
      </w:r>
      <w:r w:rsidRPr="001531CD">
        <w:tab/>
        <w:t>The railroad corporation shall have 30 calendar days</w:t>
      </w:r>
      <w:r w:rsidRPr="001531CD">
        <w:rPr>
          <w:color w:val="FF0000"/>
        </w:rPr>
        <w:t xml:space="preserve"> </w:t>
      </w:r>
      <w:r w:rsidRPr="001531CD">
        <w:t>from the receipt of the mailing of a copy of the request</w:t>
      </w:r>
      <w:r w:rsidRPr="001531CD">
        <w:rPr>
          <w:color w:val="FF0000"/>
        </w:rPr>
        <w:t xml:space="preserve"> </w:t>
      </w:r>
      <w:r w:rsidRPr="001531CD">
        <w:t xml:space="preserve">to file a response with the commissioner and to submit any documents and information that the corporation wishes to submit with its response. </w:t>
      </w:r>
    </w:p>
    <w:p w14:paraId="58D715F5" w14:textId="77777777" w:rsidR="009E652F" w:rsidRPr="001531CD" w:rsidRDefault="009E652F" w:rsidP="009E652F">
      <w:pPr>
        <w:pStyle w:val="AuthorityNote"/>
      </w:pPr>
      <w:r w:rsidRPr="001531CD">
        <w:t>AUTHORITY NOTE:</w:t>
      </w:r>
      <w:r w:rsidRPr="001531CD">
        <w:tab/>
        <w:t>Promulgated in accordance with R.S. 48:390(H).</w:t>
      </w:r>
    </w:p>
    <w:p w14:paraId="4E723B95" w14:textId="77777777"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14:paraId="0F64AC55" w14:textId="77777777" w:rsidR="009E652F" w:rsidRPr="001531CD" w:rsidRDefault="009E652F" w:rsidP="009E652F">
      <w:pPr>
        <w:pStyle w:val="Section"/>
      </w:pPr>
      <w:bookmarkStart w:id="3445" w:name="_Toc224819662"/>
      <w:r w:rsidRPr="001531CD">
        <w:t>§111.</w:t>
      </w:r>
      <w:r w:rsidRPr="001531CD">
        <w:tab/>
        <w:t>Notice of Decision</w:t>
      </w:r>
      <w:bookmarkEnd w:id="3445"/>
    </w:p>
    <w:p w14:paraId="2433ED41" w14:textId="77777777" w:rsidR="009E652F" w:rsidRPr="001531CD" w:rsidRDefault="009E652F" w:rsidP="009E652F">
      <w:pPr>
        <w:pStyle w:val="A"/>
      </w:pPr>
      <w:r w:rsidRPr="001531CD">
        <w:t>A.</w:t>
      </w:r>
      <w:r w:rsidRPr="001531CD">
        <w:tab/>
        <w:t>The commissioner’s order granting or denying the request shall be in writing and shall be provided to the person making the request and the railroad corporation by certified U.S. Mail, return receipt requested, or by a commercial courier that provides a delivery receipt.</w:t>
      </w:r>
    </w:p>
    <w:p w14:paraId="7721AF2D" w14:textId="77777777" w:rsidR="009E652F" w:rsidRPr="001531CD" w:rsidRDefault="009E652F" w:rsidP="009E652F">
      <w:pPr>
        <w:pStyle w:val="A"/>
      </w:pPr>
      <w:r w:rsidRPr="001531CD">
        <w:t>B.</w:t>
      </w:r>
      <w:r w:rsidRPr="001531CD">
        <w:tab/>
        <w:t>An order directing the railroad corporation to allow the private crossing to remain open or for the private crossing to be reopened and kept in good repair shall accompany the commissioner’s decision if such an order is issued by the commissioner.</w:t>
      </w:r>
    </w:p>
    <w:p w14:paraId="624A4602" w14:textId="77777777" w:rsidR="009E652F" w:rsidRPr="001531CD" w:rsidRDefault="009E652F" w:rsidP="009E652F">
      <w:pPr>
        <w:pStyle w:val="AuthorityNote"/>
      </w:pPr>
      <w:r w:rsidRPr="001531CD">
        <w:t>AUTHORITY NOTE:</w:t>
      </w:r>
      <w:r w:rsidRPr="001531CD">
        <w:tab/>
        <w:t>Promulgated in accordance with R.S. 48:390(H).</w:t>
      </w:r>
    </w:p>
    <w:p w14:paraId="566CB3E2" w14:textId="77777777" w:rsidR="00DD3B11" w:rsidRDefault="009E652F" w:rsidP="009E652F">
      <w:pPr>
        <w:pStyle w:val="HistoricalNote"/>
      </w:pPr>
      <w:r w:rsidRPr="001531CD">
        <w:t>HISTORICAL NOTE:</w:t>
      </w:r>
      <w:r w:rsidRPr="001531CD">
        <w:tab/>
        <w:t>Promulgated by the Department of Agriculture and Forestry, Office of the Commissioner, LR 38:964 (April 2012).</w:t>
      </w:r>
    </w:p>
    <w:p w14:paraId="233DDA4B" w14:textId="77777777" w:rsidR="00DD3B11" w:rsidRDefault="00DD3B11" w:rsidP="009E652F">
      <w:pPr>
        <w:pStyle w:val="HistoricalNote"/>
        <w:sectPr w:rsidR="00DD3B11" w:rsidSect="00167E2E">
          <w:headerReference w:type="even" r:id="rId104"/>
          <w:headerReference w:type="default" r:id="rId105"/>
          <w:type w:val="continuous"/>
          <w:pgSz w:w="12240" w:h="15840" w:code="1"/>
          <w:pgMar w:top="1080" w:right="864" w:bottom="864" w:left="864" w:header="576" w:footer="432" w:gutter="0"/>
          <w:cols w:num="2" w:space="720"/>
        </w:sectPr>
      </w:pPr>
    </w:p>
    <w:p w14:paraId="16EC2606" w14:textId="77777777" w:rsidR="00DD3B11" w:rsidRDefault="00DD3B11" w:rsidP="009E652F">
      <w:pPr>
        <w:pStyle w:val="HistoricalNote"/>
        <w:sectPr w:rsidR="00DD3B11" w:rsidSect="00167E2E">
          <w:type w:val="continuous"/>
          <w:pgSz w:w="12240" w:h="15840" w:code="1"/>
          <w:pgMar w:top="1080" w:right="864" w:bottom="864" w:left="864" w:header="576" w:footer="432" w:gutter="0"/>
          <w:cols w:num="2" w:space="720"/>
        </w:sectPr>
      </w:pPr>
    </w:p>
    <w:p w14:paraId="7C7B5F2F" w14:textId="77777777" w:rsidR="00AF4D0D" w:rsidRDefault="00AF4D0D" w:rsidP="00AF4D0D">
      <w:pPr>
        <w:pStyle w:val="A"/>
        <w:rPr>
          <w:lang w:eastAsia="en-GB"/>
        </w:rPr>
      </w:pPr>
    </w:p>
    <w:sectPr w:rsidR="00AF4D0D" w:rsidSect="00AF4D0D">
      <w:headerReference w:type="default" r:id="rId106"/>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C9C8C" w14:textId="77777777" w:rsidR="00D659ED" w:rsidRDefault="00D659ED">
      <w:r>
        <w:separator/>
      </w:r>
    </w:p>
  </w:endnote>
  <w:endnote w:type="continuationSeparator" w:id="0">
    <w:p w14:paraId="02CDF703" w14:textId="77777777" w:rsidR="00D659ED" w:rsidRDefault="00D65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00"/>
    <w:family w:val="auto"/>
    <w:pitch w:val="default"/>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FLKAL+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AEDB1" w14:textId="77777777" w:rsidR="004624F7" w:rsidRDefault="004624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8D5F" w14:textId="77777777" w:rsidR="004624F7" w:rsidRDefault="004624F7" w:rsidP="00C0049F">
    <w:pPr>
      <w:pStyle w:val="FooterEven"/>
    </w:pPr>
    <w:r>
      <w:t>Louisiana Administrative Code</w:t>
    </w:r>
    <w:r>
      <w:tab/>
      <w:t>October 2012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EC9E" w14:textId="77777777" w:rsidR="004624F7" w:rsidRDefault="004624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35AD">
      <w:rPr>
        <w:rStyle w:val="PageNumber"/>
        <w:noProof/>
      </w:rPr>
      <w:t>1</w:t>
    </w:r>
    <w:r>
      <w:rPr>
        <w:rStyle w:val="PageNumber"/>
      </w:rPr>
      <w:fldChar w:fldCharType="end"/>
    </w:r>
  </w:p>
  <w:p w14:paraId="663D5020" w14:textId="310D12FC" w:rsidR="004624F7" w:rsidRPr="00CA57CF" w:rsidRDefault="004624F7" w:rsidP="00B73C55">
    <w:pPr>
      <w:pStyle w:val="FooterOdd"/>
      <w:tabs>
        <w:tab w:val="left" w:pos="9270"/>
      </w:tabs>
    </w:pPr>
    <w:r>
      <w:tab/>
      <w:t>Louisiana Administrative Code</w:t>
    </w:r>
    <w:r>
      <w:tab/>
    </w:r>
    <w:r w:rsidR="00ED0600">
      <w:t>March</w:t>
    </w:r>
    <w:r w:rsidR="00A1589E">
      <w:t xml:space="preserv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C22A" w14:textId="77777777" w:rsidR="004624F7" w:rsidRDefault="004624F7" w:rsidP="00943D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35AD">
      <w:rPr>
        <w:rStyle w:val="PageNumber"/>
        <w:noProof/>
      </w:rPr>
      <w:t>107</w:t>
    </w:r>
    <w:r>
      <w:rPr>
        <w:rStyle w:val="PageNumber"/>
      </w:rPr>
      <w:fldChar w:fldCharType="end"/>
    </w:r>
  </w:p>
  <w:p w14:paraId="5D3FCBC1" w14:textId="77777777" w:rsidR="004624F7" w:rsidRDefault="004624F7" w:rsidP="005A3DA2">
    <w:pPr>
      <w:pStyle w:val="FooterEven"/>
      <w:tabs>
        <w:tab w:val="left" w:pos="3040"/>
        <w:tab w:val="center" w:pos="5040"/>
        <w:tab w:val="left" w:pos="6120"/>
        <w:tab w:val="right" w:pos="10440"/>
      </w:tabs>
    </w:pPr>
    <w:r>
      <w:tab/>
    </w:r>
    <w:r>
      <w:tab/>
    </w:r>
    <w:r>
      <w:tab/>
    </w:r>
    <w:r>
      <w:tab/>
    </w:r>
    <w:r w:rsidRPr="00943D36">
      <w:t xml:space="preserve">Louisiana </w:t>
    </w:r>
    <w:r>
      <w:t>Administrative Code</w:t>
    </w:r>
    <w:r>
      <w:tab/>
      <w:t>June 2024</w:t>
    </w:r>
  </w:p>
  <w:p w14:paraId="737886BF" w14:textId="77777777" w:rsidR="004624F7" w:rsidRDefault="004624F7" w:rsidP="005A3DA2">
    <w:pPr>
      <w:pStyle w:val="FooterEven"/>
      <w:tabs>
        <w:tab w:val="left" w:pos="3040"/>
        <w:tab w:val="left" w:pos="707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46B8" w14:textId="77777777" w:rsidR="004624F7" w:rsidRDefault="004624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35AD">
      <w:rPr>
        <w:rStyle w:val="PageNumber"/>
        <w:noProof/>
      </w:rPr>
      <w:t>14</w:t>
    </w:r>
    <w:r>
      <w:rPr>
        <w:rStyle w:val="PageNumber"/>
      </w:rPr>
      <w:fldChar w:fldCharType="end"/>
    </w:r>
  </w:p>
  <w:p w14:paraId="32BFF4C2" w14:textId="6A6903DC" w:rsidR="004624F7" w:rsidRDefault="004624F7" w:rsidP="001909B1">
    <w:pPr>
      <w:pStyle w:val="FooterEven"/>
      <w:tabs>
        <w:tab w:val="clear" w:pos="4320"/>
        <w:tab w:val="right" w:pos="4590"/>
      </w:tabs>
    </w:pPr>
    <w:r>
      <w:t>Louisiana Administrative Code</w:t>
    </w:r>
    <w:r>
      <w:tab/>
    </w:r>
    <w:r w:rsidR="00ED0600">
      <w:t>March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4519" w14:textId="77777777" w:rsidR="004624F7" w:rsidRDefault="004624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35AD">
      <w:rPr>
        <w:rStyle w:val="PageNumber"/>
        <w:noProof/>
      </w:rPr>
      <w:t>13</w:t>
    </w:r>
    <w:r>
      <w:rPr>
        <w:rStyle w:val="PageNumber"/>
      </w:rPr>
      <w:fldChar w:fldCharType="end"/>
    </w:r>
  </w:p>
  <w:p w14:paraId="1305A979" w14:textId="1B08F549" w:rsidR="004624F7" w:rsidRPr="00CA57CF" w:rsidRDefault="004624F7" w:rsidP="001909B1">
    <w:pPr>
      <w:pStyle w:val="FooterOdd"/>
      <w:tabs>
        <w:tab w:val="clear" w:pos="10440"/>
        <w:tab w:val="right" w:pos="10350"/>
      </w:tabs>
    </w:pPr>
    <w:r>
      <w:tab/>
      <w:t>Louisiana Administrative Code</w:t>
    </w:r>
    <w:r>
      <w:tab/>
    </w:r>
    <w:r w:rsidR="00ED0600">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C3D30" w14:textId="77777777" w:rsidR="00D659ED" w:rsidRDefault="00D659ED">
      <w:r>
        <w:separator/>
      </w:r>
    </w:p>
  </w:footnote>
  <w:footnote w:type="continuationSeparator" w:id="0">
    <w:p w14:paraId="4A9AAA38" w14:textId="77777777" w:rsidR="00D659ED" w:rsidRDefault="00D65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463C" w14:textId="77777777" w:rsidR="004624F7" w:rsidRDefault="004624F7">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F029" w14:textId="77777777" w:rsidR="004624F7" w:rsidRDefault="004624F7">
    <w:pPr>
      <w:pStyle w:val="Header"/>
      <w:jc w:val="center"/>
      <w:rPr>
        <w:caps/>
      </w:rPr>
    </w:pPr>
    <w:r>
      <w:rPr>
        <w:caps/>
      </w:rPr>
      <w:t>AGRICULTURE AND ANIMALS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DF5E" w14:textId="77777777" w:rsidR="004624F7" w:rsidRDefault="004624F7">
    <w:pPr>
      <w:pStyle w:val="Header"/>
      <w:jc w:val="center"/>
    </w:pPr>
    <w:r>
      <w:t>Title 7, Part III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85F0F" w14:textId="77777777" w:rsidR="004624F7" w:rsidRDefault="004624F7">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EA99" w14:textId="77777777" w:rsidR="004624F7" w:rsidRDefault="004624F7">
    <w:pPr>
      <w:pStyle w:val="Header"/>
      <w:jc w:val="center"/>
      <w:rPr>
        <w:caps/>
      </w:rPr>
    </w:pPr>
    <w:r>
      <w:rPr>
        <w:caps/>
      </w:rPr>
      <w:t>AGRICULTURE AND ANIMALS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B38A8" w14:textId="77777777" w:rsidR="004624F7" w:rsidRDefault="004624F7">
    <w:pPr>
      <w:pStyle w:val="Header"/>
      <w:jc w:val="center"/>
    </w:pPr>
    <w:r>
      <w:t>Title 7, Part V</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1D4F" w14:textId="77777777" w:rsidR="004624F7" w:rsidRPr="008F6350" w:rsidRDefault="004624F7" w:rsidP="008F635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D88E" w14:textId="77777777" w:rsidR="004624F7" w:rsidRDefault="004624F7">
    <w:pPr>
      <w:pStyle w:val="Header"/>
      <w:jc w:val="center"/>
      <w:rPr>
        <w:caps/>
      </w:rPr>
    </w:pPr>
    <w:r>
      <w:rPr>
        <w:caps/>
      </w:rPr>
      <w:t>AGRICULTURE AND ANIMALS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156B" w14:textId="77777777" w:rsidR="004624F7" w:rsidRDefault="004624F7">
    <w:pPr>
      <w:pStyle w:val="Header"/>
      <w:jc w:val="center"/>
    </w:pPr>
    <w:r>
      <w:t>Title 7, Part VII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FD7A" w14:textId="77777777" w:rsidR="004624F7" w:rsidRDefault="004624F7">
    <w:pPr>
      <w:pStyle w:val="Header"/>
      <w:jc w:val="center"/>
    </w:pPr>
    <w:r>
      <w:t>Title 7, Part XI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C4D4" w14:textId="77777777" w:rsidR="004624F7" w:rsidRDefault="004624F7">
    <w:pPr>
      <w:pStyle w:val="Header"/>
      <w:jc w:val="center"/>
      <w:rPr>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7C7C" w14:textId="77777777" w:rsidR="004624F7" w:rsidRDefault="004624F7">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8379" w14:textId="77777777" w:rsidR="004624F7" w:rsidRDefault="004624F7" w:rsidP="00CD0355">
    <w:pPr>
      <w:pStyle w:val="Header"/>
      <w:jc w:val="center"/>
    </w:pPr>
    <w:r w:rsidRPr="00CD0355">
      <w:t>T</w:t>
    </w:r>
    <w:r>
      <w:t>itle 7, Part XIII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8F01" w14:textId="77777777" w:rsidR="004624F7" w:rsidRDefault="004624F7">
    <w:pPr>
      <w:pStyle w:val="a1"/>
      <w:jc w:val="center"/>
      <w:rPr>
        <w:caps/>
      </w:rPr>
    </w:pPr>
    <w:r>
      <w:rPr>
        <w:caps/>
      </w:rPr>
      <w:t>AGRICULTURE AND ANIMALS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09D9" w14:textId="77777777" w:rsidR="004624F7" w:rsidRDefault="004624F7">
    <w:pPr>
      <w:pStyle w:val="a1"/>
      <w:jc w:val="center"/>
    </w:pPr>
    <w:r>
      <w:t>Title 7, Part XIII</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DF9A" w14:textId="77777777" w:rsidR="004624F7" w:rsidRDefault="004624F7">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8EFD6" w14:textId="77777777" w:rsidR="004624F7" w:rsidRDefault="004624F7">
    <w:pPr>
      <w:pStyle w:val="Header"/>
      <w:jc w:val="center"/>
      <w:rPr>
        <w:caps/>
      </w:rPr>
    </w:pPr>
    <w:r>
      <w:rPr>
        <w:caps/>
      </w:rPr>
      <w:t>AGRICULTURE AND ANIMALS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3B70" w14:textId="77777777" w:rsidR="004624F7" w:rsidRDefault="004624F7">
    <w:pPr>
      <w:pStyle w:val="Header"/>
      <w:jc w:val="center"/>
    </w:pPr>
    <w:r>
      <w:t>Title 7, Part XV</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8859" w14:textId="77777777" w:rsidR="004624F7" w:rsidRDefault="004624F7">
    <w:pPr>
      <w:pStyle w:val="Header"/>
      <w:jc w:val="center"/>
      <w:rPr>
        <w:caps/>
      </w:rPr>
    </w:pPr>
    <w:r>
      <w:rPr>
        <w:caps/>
      </w:rPr>
      <w:t>AGRICULTURE AND ANIMALS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4FB3" w14:textId="77777777" w:rsidR="004624F7" w:rsidRDefault="004624F7">
    <w:pPr>
      <w:pStyle w:val="Header"/>
      <w:jc w:val="center"/>
    </w:pPr>
    <w:r>
      <w:t>Title 7, Part XV</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0C47" w14:textId="77777777" w:rsidR="004624F7" w:rsidRDefault="004624F7">
    <w:pPr>
      <w:pStyle w:val="Heade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1B0B" w14:textId="77777777" w:rsidR="004624F7" w:rsidRDefault="004624F7">
    <w:pPr>
      <w:pStyle w:val="Header"/>
      <w:jc w:val="center"/>
      <w:rPr>
        <w:caps/>
      </w:rPr>
    </w:pPr>
    <w:r>
      <w:rPr>
        <w:caps/>
      </w:rPr>
      <w:t>AGRICULTURE AND ANIMALS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EE34" w14:textId="77777777" w:rsidR="004624F7" w:rsidRDefault="004624F7">
    <w:pPr>
      <w:pStyle w:val="Header"/>
      <w:jc w:val="center"/>
      <w:rPr>
        <w:b/>
        <w:sz w:val="28"/>
      </w:rPr>
    </w:pPr>
    <w:r>
      <w:rPr>
        <w:b/>
        <w:sz w:val="28"/>
      </w:rPr>
      <w:t>Table of Contents</w:t>
    </w:r>
  </w:p>
  <w:p w14:paraId="3AB0EF1F" w14:textId="77777777" w:rsidR="004624F7" w:rsidRDefault="004624F7">
    <w:pPr>
      <w:pStyle w:val="Title"/>
    </w:pPr>
  </w:p>
  <w:p w14:paraId="30D254E0" w14:textId="77777777" w:rsidR="004624F7" w:rsidRDefault="004624F7">
    <w:pPr>
      <w:pStyle w:val="Title1"/>
    </w:pPr>
    <w:r>
      <w:t>Title 7</w:t>
    </w:r>
  </w:p>
  <w:p w14:paraId="100EDC56" w14:textId="77777777" w:rsidR="004624F7" w:rsidRDefault="004624F7">
    <w:pPr>
      <w:pStyle w:val="Title"/>
    </w:pPr>
    <w:r>
      <w:t>AGRICULTURE AND ANIMALS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C477" w14:textId="77777777" w:rsidR="004624F7" w:rsidRDefault="004624F7">
    <w:pPr>
      <w:pStyle w:val="Header"/>
      <w:jc w:val="center"/>
    </w:pPr>
    <w:r>
      <w:t>Title 7, Part XVII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D2CE" w14:textId="77777777" w:rsidR="004624F7" w:rsidRDefault="004624F7">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1822" w14:textId="77777777" w:rsidR="004624F7" w:rsidRDefault="004624F7">
    <w:pPr>
      <w:pStyle w:val="Header"/>
      <w:jc w:val="center"/>
      <w:rPr>
        <w:caps/>
      </w:rPr>
    </w:pPr>
    <w:r>
      <w:rPr>
        <w:caps/>
      </w:rPr>
      <w:t>AGRICULTURE AND ANIMALS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6197" w14:textId="77777777" w:rsidR="004624F7" w:rsidRDefault="004624F7">
    <w:pPr>
      <w:pStyle w:val="Header"/>
      <w:jc w:val="center"/>
    </w:pPr>
    <w:r>
      <w:t>Title 7, Part XVII</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43E3" w14:textId="77777777" w:rsidR="004624F7" w:rsidRDefault="004624F7">
    <w:pPr>
      <w:pStyle w:val="Header"/>
      <w:jc w:val="center"/>
      <w:rPr>
        <w:caps/>
      </w:rPr>
    </w:pPr>
    <w:r>
      <w:rPr>
        <w:caps/>
      </w:rPr>
      <w:t>AGRICULTURE AND ANIMALS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AF3D" w14:textId="77777777" w:rsidR="004624F7" w:rsidRDefault="004624F7">
    <w:pPr>
      <w:pStyle w:val="Header"/>
      <w:jc w:val="center"/>
    </w:pPr>
    <w:r>
      <w:t>Title 7, Part XIX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10C8" w14:textId="77777777" w:rsidR="004624F7" w:rsidRDefault="004624F7">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3436" w14:textId="77777777" w:rsidR="004624F7" w:rsidRDefault="004624F7">
    <w:pPr>
      <w:pStyle w:val="Header"/>
      <w:jc w:val="center"/>
      <w:rPr>
        <w:caps/>
      </w:rPr>
    </w:pPr>
    <w:r>
      <w:rPr>
        <w:caps/>
      </w:rPr>
      <w:t>AGRICULTURE AND ANIMALS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9B2E" w14:textId="77777777" w:rsidR="004624F7" w:rsidRDefault="004624F7">
    <w:pPr>
      <w:pStyle w:val="Header"/>
      <w:jc w:val="center"/>
    </w:pPr>
    <w:r>
      <w:t>Title 7, Part XXI</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EB0F" w14:textId="77777777" w:rsidR="004624F7" w:rsidRDefault="004624F7">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BD9B" w14:textId="77777777" w:rsidR="004624F7" w:rsidRDefault="004624F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267D" w14:textId="77777777" w:rsidR="004624F7" w:rsidRDefault="004624F7">
    <w:pPr>
      <w:pStyle w:val="Header"/>
      <w:jc w:val="center"/>
      <w:rPr>
        <w:caps/>
      </w:rPr>
    </w:pPr>
    <w:r>
      <w:rPr>
        <w:caps/>
      </w:rPr>
      <w:t>AGRICULTURE AND ANIMALS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1016" w14:textId="77777777" w:rsidR="004624F7" w:rsidRDefault="004624F7">
    <w:pPr>
      <w:pStyle w:val="Header"/>
      <w:jc w:val="center"/>
    </w:pPr>
    <w:r>
      <w:t>Title 7, Part XXIII</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E260" w14:textId="77777777" w:rsidR="004624F7" w:rsidRDefault="004624F7">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7C27" w14:textId="77777777" w:rsidR="004624F7" w:rsidRDefault="004624F7">
    <w:pPr>
      <w:pStyle w:val="Header"/>
      <w:jc w:val="center"/>
      <w:rPr>
        <w:caps/>
      </w:rPr>
    </w:pPr>
    <w:r>
      <w:rPr>
        <w:caps/>
      </w:rPr>
      <w:t>AGRICULTURE AND ANIMALS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E52D" w14:textId="77777777" w:rsidR="004624F7" w:rsidRDefault="004624F7">
    <w:pPr>
      <w:pStyle w:val="Header"/>
      <w:jc w:val="center"/>
    </w:pPr>
    <w:r>
      <w:t>Title 7, Part XXV</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A06D" w14:textId="77777777" w:rsidR="004624F7" w:rsidRDefault="004624F7">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C36B" w14:textId="77777777" w:rsidR="004624F7" w:rsidRDefault="004624F7">
    <w:pPr>
      <w:pStyle w:val="Header"/>
      <w:jc w:val="center"/>
      <w:rPr>
        <w:caps/>
      </w:rPr>
    </w:pPr>
    <w:r>
      <w:rPr>
        <w:caps/>
      </w:rPr>
      <w:t>AGRICULTURE AND ANIMALS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5408" w14:textId="77777777" w:rsidR="004624F7" w:rsidRDefault="004624F7">
    <w:pPr>
      <w:pStyle w:val="Header"/>
      <w:jc w:val="center"/>
    </w:pPr>
    <w:r>
      <w:t>Title 7, Part XXVII</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408C" w14:textId="77777777" w:rsidR="004624F7" w:rsidRDefault="004624F7">
    <w:pPr>
      <w:pStyle w:val="Heade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8824" w14:textId="77777777" w:rsidR="004624F7" w:rsidRDefault="004624F7">
    <w:pPr>
      <w:pStyle w:val="Header"/>
      <w:jc w:val="center"/>
      <w:rPr>
        <w:caps/>
      </w:rPr>
    </w:pPr>
    <w:r>
      <w:rPr>
        <w:caps/>
      </w:rPr>
      <w:t>AGRICULTURE AND ANIMALS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BA9D" w14:textId="77777777" w:rsidR="004624F7" w:rsidRDefault="004624F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4574" w14:textId="77777777" w:rsidR="004624F7" w:rsidRDefault="004624F7">
    <w:pPr>
      <w:pStyle w:val="Header"/>
      <w:jc w:val="center"/>
    </w:pPr>
    <w:r>
      <w:t>Title 7, Part XXIX</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1C4" w14:textId="77777777" w:rsidR="004624F7" w:rsidRDefault="004624F7">
    <w:pPr>
      <w:pStyle w:val="Heade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9BD7" w14:textId="77777777" w:rsidR="004624F7" w:rsidRDefault="004624F7">
    <w:pPr>
      <w:pStyle w:val="Header"/>
      <w:jc w:val="center"/>
      <w:rPr>
        <w:caps/>
      </w:rPr>
    </w:pPr>
    <w:r>
      <w:rPr>
        <w:caps/>
      </w:rPr>
      <w:t>AGRICULTURE AND ANIMALS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00F7" w14:textId="77777777" w:rsidR="004624F7" w:rsidRDefault="004624F7">
    <w:pPr>
      <w:pStyle w:val="Header"/>
      <w:jc w:val="center"/>
    </w:pPr>
    <w:r>
      <w:t>Title 7, Part XXXI</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9E7B" w14:textId="77777777" w:rsidR="004624F7" w:rsidRDefault="004624F7">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D59" w14:textId="77777777" w:rsidR="004624F7" w:rsidRDefault="004624F7">
    <w:pPr>
      <w:pStyle w:val="Header"/>
      <w:jc w:val="center"/>
      <w:rPr>
        <w:caps/>
      </w:rPr>
    </w:pPr>
    <w:r>
      <w:rPr>
        <w:caps/>
      </w:rPr>
      <w:t>AGRICULTURE AND ANIMALS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C811" w14:textId="77777777" w:rsidR="004624F7" w:rsidRDefault="004624F7">
    <w:pPr>
      <w:pStyle w:val="Header"/>
      <w:jc w:val="center"/>
    </w:pPr>
    <w:r>
      <w:t>Title 7, Part XXXIII</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BC28" w14:textId="77777777" w:rsidR="004624F7" w:rsidRDefault="004624F7">
    <w:pPr>
      <w:pStyle w:val="Header"/>
      <w:jc w:val="center"/>
      <w:rPr>
        <w:caps/>
      </w:rPr>
    </w:pPr>
    <w:r>
      <w:rPr>
        <w:caps/>
      </w:rPr>
      <w:t>AGRICULTURE AND ANIMALS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274E" w14:textId="77777777" w:rsidR="004624F7" w:rsidRDefault="004624F7">
    <w:pPr>
      <w:pStyle w:val="Header"/>
      <w:jc w:val="center"/>
    </w:pPr>
    <w:r>
      <w:t>Title 7, Part XXXVII</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3F43" w14:textId="77777777" w:rsidR="004624F7" w:rsidRDefault="004624F7">
    <w:pPr>
      <w:pStyle w:val="Header"/>
      <w:jc w:val="center"/>
      <w:rPr>
        <w:caps/>
      </w:rPr>
    </w:pPr>
    <w:r>
      <w:rPr>
        <w:caps/>
      </w:rPr>
      <w:t>AGRICULTURE AND ANIMALS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65D5" w14:textId="77777777" w:rsidR="004624F7" w:rsidRDefault="004624F7">
    <w:pPr>
      <w:pStyle w:val="Header"/>
      <w:jc w:val="center"/>
      <w:rPr>
        <w:b/>
        <w:sz w:val="28"/>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62CF" w14:textId="77777777" w:rsidR="004624F7" w:rsidRDefault="004624F7">
    <w:pPr>
      <w:pStyle w:val="Header"/>
      <w:jc w:val="center"/>
    </w:pPr>
    <w:r>
      <w:t>Title 7, Part XXXIII</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9D44" w14:textId="77777777" w:rsidR="004624F7" w:rsidRDefault="004624F7">
    <w:pPr>
      <w:pStyle w:val="Header"/>
      <w:jc w:val="center"/>
    </w:pPr>
    <w:r>
      <w:t>Title 7, Part XXXV</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2291" w14:textId="77777777" w:rsidR="004624F7" w:rsidRDefault="004624F7">
    <w:pPr>
      <w:pStyle w:val="Header"/>
      <w:jc w:val="center"/>
      <w:rPr>
        <w:caps/>
      </w:rPr>
    </w:pPr>
    <w:r>
      <w:rPr>
        <w:caps/>
      </w:rPr>
      <w:t>AGRICULTURE AND ANIMALS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021E" w14:textId="77777777" w:rsidR="004624F7" w:rsidRDefault="004624F7">
    <w:pPr>
      <w:pStyle w:val="Header"/>
      <w:jc w:val="center"/>
    </w:pPr>
    <w:r>
      <w:t>Title 7, Part XXXV</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372F" w14:textId="77777777" w:rsidR="004624F7" w:rsidRDefault="004624F7">
    <w:pPr>
      <w:pStyle w:val="Heade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5596" w14:textId="77777777" w:rsidR="004624F7" w:rsidRDefault="004624F7">
    <w:pPr>
      <w:pStyle w:val="Header"/>
      <w:jc w:val="center"/>
      <w:rPr>
        <w:caps/>
      </w:rPr>
    </w:pPr>
    <w:r>
      <w:rPr>
        <w:caps/>
      </w:rPr>
      <w:t>AGRICULTURE AND ANIMALS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23B" w14:textId="77777777" w:rsidR="004624F7" w:rsidRDefault="004624F7">
    <w:pPr>
      <w:pStyle w:val="Header"/>
      <w:jc w:val="center"/>
    </w:pPr>
    <w:r>
      <w:t>Title 7, Part XXXVI</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F326" w14:textId="77777777" w:rsidR="004624F7" w:rsidRDefault="004624F7">
    <w:pPr>
      <w:pStyle w:val="Header"/>
      <w:jc w:val="center"/>
      <w:rPr>
        <w:caps/>
      </w:rPr>
    </w:pPr>
    <w:r>
      <w:rPr>
        <w:caps/>
      </w:rPr>
      <w:t>AGRICULTURE AND ANIMALS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AC10" w14:textId="77777777" w:rsidR="004624F7" w:rsidRDefault="004624F7">
    <w:pPr>
      <w:pStyle w:val="Header"/>
      <w:jc w:val="center"/>
    </w:pPr>
    <w:r>
      <w:t>Title 7, Part XXXVII</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3B55" w14:textId="77777777" w:rsidR="004624F7" w:rsidRDefault="004624F7">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01FA" w14:textId="77777777" w:rsidR="004624F7" w:rsidRDefault="004624F7">
    <w:pPr>
      <w:pStyle w:val="Header"/>
      <w:jc w:val="center"/>
      <w:rPr>
        <w:caps/>
      </w:rPr>
    </w:pPr>
    <w:r>
      <w:rPr>
        <w:caps/>
      </w:rPr>
      <w:t>AGRICULTURE AND ANIMALS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6C5A" w14:textId="77777777" w:rsidR="004624F7" w:rsidRDefault="004624F7">
    <w:pPr>
      <w:pStyle w:val="Header"/>
      <w:jc w:val="center"/>
      <w:rPr>
        <w:caps/>
      </w:rPr>
    </w:pPr>
    <w:r>
      <w:rPr>
        <w:caps/>
      </w:rPr>
      <w:t>AGRICULTURE AND ANIMALS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4238" w14:textId="77777777" w:rsidR="004624F7" w:rsidRDefault="004624F7">
    <w:pPr>
      <w:pStyle w:val="Header"/>
      <w:jc w:val="center"/>
    </w:pPr>
    <w:r>
      <w:t>Title 7, Part XXXIX</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9004" w14:textId="77777777" w:rsidR="004624F7" w:rsidRDefault="004624F7">
    <w:pPr>
      <w:pStyle w:val="Heade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1D1B" w14:textId="77777777" w:rsidR="004624F7" w:rsidRDefault="004624F7">
    <w:pPr>
      <w:pStyle w:val="Header"/>
      <w:jc w:val="center"/>
      <w:rPr>
        <w:caps/>
      </w:rPr>
    </w:pPr>
    <w:r>
      <w:rPr>
        <w:caps/>
      </w:rPr>
      <w:t>AGRICULTURE AND ANIMALS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B261" w14:textId="77777777" w:rsidR="004624F7" w:rsidRDefault="004624F7">
    <w:pPr>
      <w:pStyle w:val="Header"/>
      <w:jc w:val="center"/>
    </w:pPr>
    <w:r>
      <w:t>Title 7, Part XLI</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66B5" w14:textId="77777777" w:rsidR="004624F7" w:rsidRDefault="004624F7">
    <w:pPr>
      <w:pStyle w:val="Heade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1EF" w14:textId="77777777" w:rsidR="004624F7" w:rsidRDefault="004624F7">
    <w:pPr>
      <w:pStyle w:val="Header"/>
      <w:jc w:val="center"/>
      <w:rPr>
        <w:caps/>
      </w:rPr>
    </w:pPr>
    <w:r>
      <w:rPr>
        <w:caps/>
      </w:rPr>
      <w:t>AGRICULTURE AND ANIMALS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9963" w14:textId="77777777" w:rsidR="004624F7" w:rsidRDefault="004624F7">
    <w:pPr>
      <w:pStyle w:val="Header"/>
      <w:jc w:val="center"/>
    </w:pPr>
    <w:r>
      <w:t>Title 7, Part XLIII</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9208" w14:textId="77777777" w:rsidR="004624F7" w:rsidRDefault="004624F7">
    <w:pPr>
      <w:pStyle w:val="Heade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3C40" w14:textId="77777777" w:rsidR="004624F7" w:rsidRDefault="004624F7">
    <w:pPr>
      <w:pStyle w:val="Header"/>
      <w:jc w:val="center"/>
      <w:rPr>
        <w:caps/>
      </w:rPr>
    </w:pPr>
    <w:r>
      <w:rPr>
        <w:caps/>
      </w:rPr>
      <w:t>AGRICULTURE AND ANIMALS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EA68" w14:textId="77777777" w:rsidR="004624F7" w:rsidRDefault="004624F7">
    <w:pPr>
      <w:pStyle w:val="Header"/>
      <w:jc w:val="center"/>
    </w:pPr>
    <w:r>
      <w:t>Title 7, Part I</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F0A6" w14:textId="77777777" w:rsidR="004624F7" w:rsidRDefault="004624F7">
    <w:pPr>
      <w:pStyle w:val="Header"/>
      <w:jc w:val="center"/>
    </w:pPr>
    <w:r>
      <w:t>Title 7, Part XLV</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9F60" w14:textId="77777777" w:rsidR="004624F7" w:rsidRDefault="004624F7">
    <w:pPr>
      <w:pStyle w:val="Heade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15EA" w14:textId="77777777" w:rsidR="004624F7" w:rsidRPr="00DD3B11" w:rsidRDefault="004624F7" w:rsidP="00DD3B1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5F72" w14:textId="77777777" w:rsidR="004624F7" w:rsidRDefault="004624F7">
    <w:pPr>
      <w:pStyle w:val="Header"/>
      <w:jc w:val="center"/>
      <w:rPr>
        <w:caps/>
      </w:rPr>
    </w:pPr>
    <w:r>
      <w:rPr>
        <w:caps/>
      </w:rPr>
      <w:t>AGRICULTURE AND ANIMALS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7398" w14:textId="77777777" w:rsidR="004624F7" w:rsidRDefault="004624F7">
    <w:pPr>
      <w:pStyle w:val="Header"/>
      <w:jc w:val="center"/>
    </w:pPr>
    <w:r>
      <w:t>Title 7, Index</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07CB" w14:textId="77777777" w:rsidR="004624F7" w:rsidRDefault="004624F7">
    <w:pPr>
      <w:pStyle w:val="Header"/>
      <w:jc w:val="center"/>
    </w:pPr>
    <w:r>
      <w:t>Title 7, Part XLIX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B7D4" w14:textId="77777777" w:rsidR="004624F7" w:rsidRDefault="004624F7" w:rsidP="00D90D75">
    <w:pPr>
      <w:pStyle w:val="Header"/>
      <w:tabs>
        <w:tab w:val="clear" w:pos="8640"/>
        <w:tab w:val="left" w:pos="3425"/>
        <w:tab w:val="center" w:pos="52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E62542"/>
    <w:multiLevelType w:val="singleLevel"/>
    <w:tmpl w:val="24BE14D4"/>
    <w:lvl w:ilvl="0">
      <w:start w:val="1"/>
      <w:numFmt w:val="decimal"/>
      <w:lvlText w:val="%1."/>
      <w:lvlJc w:val="left"/>
      <w:pPr>
        <w:tabs>
          <w:tab w:val="num" w:pos="720"/>
        </w:tabs>
        <w:ind w:left="720" w:hanging="720"/>
      </w:pPr>
      <w:rPr>
        <w:rFonts w:cs="Times New Roman" w:hint="default"/>
      </w:rPr>
    </w:lvl>
  </w:abstractNum>
  <w:abstractNum w:abstractNumId="2" w15:restartNumberingAfterBreak="0">
    <w:nsid w:val="08597E0F"/>
    <w:multiLevelType w:val="hybridMultilevel"/>
    <w:tmpl w:val="C1B0FFA2"/>
    <w:lvl w:ilvl="0" w:tplc="FA0AF66A">
      <w:start w:val="1"/>
      <w:numFmt w:val="upperLetter"/>
      <w:lvlText w:val="%1."/>
      <w:lvlJc w:val="left"/>
      <w:pPr>
        <w:ind w:left="727" w:hanging="54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 w15:restartNumberingAfterBreak="0">
    <w:nsid w:val="0A644184"/>
    <w:multiLevelType w:val="hybridMultilevel"/>
    <w:tmpl w:val="D94CB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1788F"/>
    <w:multiLevelType w:val="hybridMultilevel"/>
    <w:tmpl w:val="9BE2A76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15:restartNumberingAfterBreak="0">
    <w:nsid w:val="0EDC47F3"/>
    <w:multiLevelType w:val="hybridMultilevel"/>
    <w:tmpl w:val="E996A864"/>
    <w:lvl w:ilvl="0" w:tplc="100ABAF2">
      <w:start w:val="2"/>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F782A61"/>
    <w:multiLevelType w:val="hybridMultilevel"/>
    <w:tmpl w:val="8B3CE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9453B"/>
    <w:multiLevelType w:val="hybridMultilevel"/>
    <w:tmpl w:val="DD2EE164"/>
    <w:lvl w:ilvl="0" w:tplc="B1164628">
      <w:start w:val="3"/>
      <w:numFmt w:val="decimal"/>
      <w:lvlText w:val="%1."/>
      <w:lvlJc w:val="left"/>
      <w:pPr>
        <w:ind w:left="1080" w:hanging="360"/>
      </w:pPr>
      <w:rPr>
        <w:rFonts w:hint="default"/>
      </w:rPr>
    </w:lvl>
    <w:lvl w:ilvl="1" w:tplc="CBB4631E" w:tentative="1">
      <w:start w:val="1"/>
      <w:numFmt w:val="lowerLetter"/>
      <w:lvlText w:val="%2."/>
      <w:lvlJc w:val="left"/>
      <w:pPr>
        <w:ind w:left="1800" w:hanging="360"/>
      </w:pPr>
    </w:lvl>
    <w:lvl w:ilvl="2" w:tplc="FD1261F0" w:tentative="1">
      <w:start w:val="1"/>
      <w:numFmt w:val="lowerRoman"/>
      <w:lvlText w:val="%3."/>
      <w:lvlJc w:val="right"/>
      <w:pPr>
        <w:ind w:left="2520" w:hanging="180"/>
      </w:pPr>
    </w:lvl>
    <w:lvl w:ilvl="3" w:tplc="BDC82C40" w:tentative="1">
      <w:start w:val="1"/>
      <w:numFmt w:val="decimal"/>
      <w:lvlText w:val="%4."/>
      <w:lvlJc w:val="left"/>
      <w:pPr>
        <w:ind w:left="3240" w:hanging="360"/>
      </w:pPr>
    </w:lvl>
    <w:lvl w:ilvl="4" w:tplc="1614764C" w:tentative="1">
      <w:start w:val="1"/>
      <w:numFmt w:val="lowerLetter"/>
      <w:lvlText w:val="%5."/>
      <w:lvlJc w:val="left"/>
      <w:pPr>
        <w:ind w:left="3960" w:hanging="360"/>
      </w:pPr>
    </w:lvl>
    <w:lvl w:ilvl="5" w:tplc="B978AC40" w:tentative="1">
      <w:start w:val="1"/>
      <w:numFmt w:val="lowerRoman"/>
      <w:lvlText w:val="%6."/>
      <w:lvlJc w:val="right"/>
      <w:pPr>
        <w:ind w:left="4680" w:hanging="180"/>
      </w:pPr>
    </w:lvl>
    <w:lvl w:ilvl="6" w:tplc="8A38F562" w:tentative="1">
      <w:start w:val="1"/>
      <w:numFmt w:val="decimal"/>
      <w:lvlText w:val="%7."/>
      <w:lvlJc w:val="left"/>
      <w:pPr>
        <w:ind w:left="5400" w:hanging="360"/>
      </w:pPr>
    </w:lvl>
    <w:lvl w:ilvl="7" w:tplc="64BCE454" w:tentative="1">
      <w:start w:val="1"/>
      <w:numFmt w:val="lowerLetter"/>
      <w:lvlText w:val="%8."/>
      <w:lvlJc w:val="left"/>
      <w:pPr>
        <w:ind w:left="6120" w:hanging="360"/>
      </w:pPr>
    </w:lvl>
    <w:lvl w:ilvl="8" w:tplc="2C80A102" w:tentative="1">
      <w:start w:val="1"/>
      <w:numFmt w:val="lowerRoman"/>
      <w:lvlText w:val="%9."/>
      <w:lvlJc w:val="right"/>
      <w:pPr>
        <w:ind w:left="6840" w:hanging="180"/>
      </w:pPr>
    </w:lvl>
  </w:abstractNum>
  <w:abstractNum w:abstractNumId="9" w15:restartNumberingAfterBreak="0">
    <w:nsid w:val="147034A8"/>
    <w:multiLevelType w:val="hybridMultilevel"/>
    <w:tmpl w:val="8F567FD0"/>
    <w:lvl w:ilvl="0" w:tplc="AC50206A">
      <w:start w:val="1"/>
      <w:numFmt w:val="lowerLetter"/>
      <w:pStyle w:val="Level1"/>
      <w:lvlText w:val="%1."/>
      <w:lvlJc w:val="left"/>
      <w:pPr>
        <w:tabs>
          <w:tab w:val="num" w:pos="1800"/>
        </w:tabs>
        <w:ind w:left="180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05669"/>
    <w:multiLevelType w:val="hybridMultilevel"/>
    <w:tmpl w:val="9EFA597A"/>
    <w:lvl w:ilvl="0" w:tplc="5B809282">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1" w15:restartNumberingAfterBreak="0">
    <w:nsid w:val="19FC7E34"/>
    <w:multiLevelType w:val="hybridMultilevel"/>
    <w:tmpl w:val="B9C8AD44"/>
    <w:lvl w:ilvl="0" w:tplc="0F9419C2">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D9F1316"/>
    <w:multiLevelType w:val="multilevel"/>
    <w:tmpl w:val="D2A0D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70A58B8"/>
    <w:multiLevelType w:val="hybridMultilevel"/>
    <w:tmpl w:val="89DC1E78"/>
    <w:lvl w:ilvl="0" w:tplc="1534D8AA">
      <w:start w:val="1"/>
      <w:numFmt w:val="upperLetter"/>
      <w:lvlText w:val="%1."/>
      <w:lvlJc w:val="left"/>
      <w:pPr>
        <w:tabs>
          <w:tab w:val="num" w:pos="720"/>
        </w:tabs>
        <w:ind w:left="720" w:hanging="360"/>
      </w:pPr>
    </w:lvl>
    <w:lvl w:ilvl="1" w:tplc="7A92B4DA" w:tentative="1">
      <w:start w:val="1"/>
      <w:numFmt w:val="lowerLetter"/>
      <w:lvlText w:val="%2."/>
      <w:lvlJc w:val="left"/>
      <w:pPr>
        <w:tabs>
          <w:tab w:val="num" w:pos="1440"/>
        </w:tabs>
        <w:ind w:left="1440" w:hanging="360"/>
      </w:pPr>
    </w:lvl>
    <w:lvl w:ilvl="2" w:tplc="9F38CE2A" w:tentative="1">
      <w:start w:val="1"/>
      <w:numFmt w:val="lowerRoman"/>
      <w:lvlText w:val="%3."/>
      <w:lvlJc w:val="right"/>
      <w:pPr>
        <w:tabs>
          <w:tab w:val="num" w:pos="2160"/>
        </w:tabs>
        <w:ind w:left="2160" w:hanging="180"/>
      </w:pPr>
    </w:lvl>
    <w:lvl w:ilvl="3" w:tplc="A3C43E1E" w:tentative="1">
      <w:start w:val="1"/>
      <w:numFmt w:val="decimal"/>
      <w:lvlText w:val="%4."/>
      <w:lvlJc w:val="left"/>
      <w:pPr>
        <w:tabs>
          <w:tab w:val="num" w:pos="2880"/>
        </w:tabs>
        <w:ind w:left="2880" w:hanging="360"/>
      </w:pPr>
    </w:lvl>
    <w:lvl w:ilvl="4" w:tplc="70306D32" w:tentative="1">
      <w:start w:val="1"/>
      <w:numFmt w:val="lowerLetter"/>
      <w:lvlText w:val="%5."/>
      <w:lvlJc w:val="left"/>
      <w:pPr>
        <w:tabs>
          <w:tab w:val="num" w:pos="3600"/>
        </w:tabs>
        <w:ind w:left="3600" w:hanging="360"/>
      </w:pPr>
    </w:lvl>
    <w:lvl w:ilvl="5" w:tplc="85A23050" w:tentative="1">
      <w:start w:val="1"/>
      <w:numFmt w:val="lowerRoman"/>
      <w:lvlText w:val="%6."/>
      <w:lvlJc w:val="right"/>
      <w:pPr>
        <w:tabs>
          <w:tab w:val="num" w:pos="4320"/>
        </w:tabs>
        <w:ind w:left="4320" w:hanging="180"/>
      </w:pPr>
    </w:lvl>
    <w:lvl w:ilvl="6" w:tplc="DA50DF3A" w:tentative="1">
      <w:start w:val="1"/>
      <w:numFmt w:val="decimal"/>
      <w:lvlText w:val="%7."/>
      <w:lvlJc w:val="left"/>
      <w:pPr>
        <w:tabs>
          <w:tab w:val="num" w:pos="5040"/>
        </w:tabs>
        <w:ind w:left="5040" w:hanging="360"/>
      </w:pPr>
    </w:lvl>
    <w:lvl w:ilvl="7" w:tplc="458A36FA" w:tentative="1">
      <w:start w:val="1"/>
      <w:numFmt w:val="lowerLetter"/>
      <w:lvlText w:val="%8."/>
      <w:lvlJc w:val="left"/>
      <w:pPr>
        <w:tabs>
          <w:tab w:val="num" w:pos="5760"/>
        </w:tabs>
        <w:ind w:left="5760" w:hanging="360"/>
      </w:pPr>
    </w:lvl>
    <w:lvl w:ilvl="8" w:tplc="673A9D00" w:tentative="1">
      <w:start w:val="1"/>
      <w:numFmt w:val="lowerRoman"/>
      <w:lvlText w:val="%9."/>
      <w:lvlJc w:val="right"/>
      <w:pPr>
        <w:tabs>
          <w:tab w:val="num" w:pos="6480"/>
        </w:tabs>
        <w:ind w:left="6480" w:hanging="180"/>
      </w:pPr>
    </w:lvl>
  </w:abstractNum>
  <w:abstractNum w:abstractNumId="14" w15:restartNumberingAfterBreak="0">
    <w:nsid w:val="2A1403F0"/>
    <w:multiLevelType w:val="singleLevel"/>
    <w:tmpl w:val="04090013"/>
    <w:lvl w:ilvl="0">
      <w:start w:val="4"/>
      <w:numFmt w:val="upperRoman"/>
      <w:lvlText w:val="%1."/>
      <w:lvlJc w:val="left"/>
      <w:pPr>
        <w:tabs>
          <w:tab w:val="num" w:pos="720"/>
        </w:tabs>
        <w:ind w:left="720" w:hanging="720"/>
      </w:pPr>
      <w:rPr>
        <w:rFonts w:cs="Times New Roman" w:hint="default"/>
      </w:rPr>
    </w:lvl>
  </w:abstractNum>
  <w:abstractNum w:abstractNumId="15" w15:restartNumberingAfterBreak="0">
    <w:nsid w:val="2C8E7BA5"/>
    <w:multiLevelType w:val="hybridMultilevel"/>
    <w:tmpl w:val="765E8C06"/>
    <w:lvl w:ilvl="0" w:tplc="30B02D28">
      <w:start w:val="1"/>
      <w:numFmt w:val="upperLetter"/>
      <w:lvlText w:val="%1."/>
      <w:lvlJc w:val="left"/>
      <w:pPr>
        <w:tabs>
          <w:tab w:val="num" w:pos="720"/>
        </w:tabs>
        <w:ind w:left="720" w:hanging="360"/>
      </w:pPr>
    </w:lvl>
    <w:lvl w:ilvl="1" w:tplc="B5921DA2">
      <w:start w:val="1"/>
      <w:numFmt w:val="decimal"/>
      <w:lvlText w:val="(%2)"/>
      <w:lvlJc w:val="left"/>
      <w:pPr>
        <w:tabs>
          <w:tab w:val="num" w:pos="1440"/>
        </w:tabs>
        <w:ind w:left="1440" w:hanging="360"/>
      </w:pPr>
      <w:rPr>
        <w:rFonts w:hint="default"/>
      </w:rPr>
    </w:lvl>
    <w:lvl w:ilvl="2" w:tplc="36C80910" w:tentative="1">
      <w:start w:val="1"/>
      <w:numFmt w:val="lowerRoman"/>
      <w:lvlText w:val="%3."/>
      <w:lvlJc w:val="right"/>
      <w:pPr>
        <w:tabs>
          <w:tab w:val="num" w:pos="2160"/>
        </w:tabs>
        <w:ind w:left="2160" w:hanging="180"/>
      </w:pPr>
    </w:lvl>
    <w:lvl w:ilvl="3" w:tplc="00680152" w:tentative="1">
      <w:start w:val="1"/>
      <w:numFmt w:val="decimal"/>
      <w:lvlText w:val="%4."/>
      <w:lvlJc w:val="left"/>
      <w:pPr>
        <w:tabs>
          <w:tab w:val="num" w:pos="2880"/>
        </w:tabs>
        <w:ind w:left="2880" w:hanging="360"/>
      </w:pPr>
    </w:lvl>
    <w:lvl w:ilvl="4" w:tplc="F3CA4BC8" w:tentative="1">
      <w:start w:val="1"/>
      <w:numFmt w:val="lowerLetter"/>
      <w:lvlText w:val="%5."/>
      <w:lvlJc w:val="left"/>
      <w:pPr>
        <w:tabs>
          <w:tab w:val="num" w:pos="3600"/>
        </w:tabs>
        <w:ind w:left="3600" w:hanging="360"/>
      </w:pPr>
    </w:lvl>
    <w:lvl w:ilvl="5" w:tplc="AC223008" w:tentative="1">
      <w:start w:val="1"/>
      <w:numFmt w:val="lowerRoman"/>
      <w:lvlText w:val="%6."/>
      <w:lvlJc w:val="right"/>
      <w:pPr>
        <w:tabs>
          <w:tab w:val="num" w:pos="4320"/>
        </w:tabs>
        <w:ind w:left="4320" w:hanging="180"/>
      </w:pPr>
    </w:lvl>
    <w:lvl w:ilvl="6" w:tplc="111A623C" w:tentative="1">
      <w:start w:val="1"/>
      <w:numFmt w:val="decimal"/>
      <w:lvlText w:val="%7."/>
      <w:lvlJc w:val="left"/>
      <w:pPr>
        <w:tabs>
          <w:tab w:val="num" w:pos="5040"/>
        </w:tabs>
        <w:ind w:left="5040" w:hanging="360"/>
      </w:pPr>
    </w:lvl>
    <w:lvl w:ilvl="7" w:tplc="12127CBE" w:tentative="1">
      <w:start w:val="1"/>
      <w:numFmt w:val="lowerLetter"/>
      <w:lvlText w:val="%8."/>
      <w:lvlJc w:val="left"/>
      <w:pPr>
        <w:tabs>
          <w:tab w:val="num" w:pos="5760"/>
        </w:tabs>
        <w:ind w:left="5760" w:hanging="360"/>
      </w:pPr>
    </w:lvl>
    <w:lvl w:ilvl="8" w:tplc="E92E4548" w:tentative="1">
      <w:start w:val="1"/>
      <w:numFmt w:val="lowerRoman"/>
      <w:lvlText w:val="%9."/>
      <w:lvlJc w:val="right"/>
      <w:pPr>
        <w:tabs>
          <w:tab w:val="num" w:pos="6480"/>
        </w:tabs>
        <w:ind w:left="6480" w:hanging="180"/>
      </w:pPr>
    </w:lvl>
  </w:abstractNum>
  <w:abstractNum w:abstractNumId="16" w15:restartNumberingAfterBreak="0">
    <w:nsid w:val="2C9C0AEC"/>
    <w:multiLevelType w:val="hybridMultilevel"/>
    <w:tmpl w:val="7794DE58"/>
    <w:lvl w:ilvl="0" w:tplc="04090015">
      <w:start w:val="1"/>
      <w:numFmt w:val="upperLetter"/>
      <w:lvlText w:val="%1."/>
      <w:lvlJc w:val="left"/>
      <w:pPr>
        <w:ind w:left="540" w:hanging="360"/>
      </w:pPr>
      <w:rPr>
        <w:rFonts w:cs="Times New Roman" w:hint="default"/>
      </w:rPr>
    </w:lvl>
    <w:lvl w:ilvl="1" w:tplc="F0AA679A"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7" w15:restartNumberingAfterBreak="0">
    <w:nsid w:val="2E385E1C"/>
    <w:multiLevelType w:val="hybridMultilevel"/>
    <w:tmpl w:val="2592CCB0"/>
    <w:lvl w:ilvl="0" w:tplc="445E597C">
      <w:start w:val="2"/>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5320C3F"/>
    <w:multiLevelType w:val="singleLevel"/>
    <w:tmpl w:val="06BE09AA"/>
    <w:lvl w:ilvl="0">
      <w:start w:val="1"/>
      <w:numFmt w:val="decimal"/>
      <w:lvlText w:val="(%1)"/>
      <w:lvlJc w:val="left"/>
      <w:pPr>
        <w:tabs>
          <w:tab w:val="num" w:pos="1440"/>
        </w:tabs>
        <w:ind w:left="1440" w:hanging="720"/>
      </w:pPr>
      <w:rPr>
        <w:rFonts w:cs="Times New Roman" w:hint="default"/>
      </w:rPr>
    </w:lvl>
  </w:abstractNum>
  <w:abstractNum w:abstractNumId="19" w15:restartNumberingAfterBreak="0">
    <w:nsid w:val="37AB5999"/>
    <w:multiLevelType w:val="multilevel"/>
    <w:tmpl w:val="265C09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6B748D"/>
    <w:multiLevelType w:val="hybridMultilevel"/>
    <w:tmpl w:val="44980BA6"/>
    <w:lvl w:ilvl="0" w:tplc="A7866934">
      <w:start w:val="1"/>
      <w:numFmt w:val="decimal"/>
      <w:lvlText w:val="%1."/>
      <w:lvlJc w:val="left"/>
      <w:pPr>
        <w:tabs>
          <w:tab w:val="num" w:pos="720"/>
        </w:tabs>
        <w:ind w:left="720" w:hanging="360"/>
      </w:pPr>
      <w:rPr>
        <w:rFonts w:cs="Times New Roman" w:hint="default"/>
      </w:rPr>
    </w:lvl>
    <w:lvl w:ilvl="1" w:tplc="6706CDDC" w:tentative="1">
      <w:start w:val="1"/>
      <w:numFmt w:val="lowerLetter"/>
      <w:lvlText w:val="%2."/>
      <w:lvlJc w:val="left"/>
      <w:pPr>
        <w:tabs>
          <w:tab w:val="num" w:pos="1440"/>
        </w:tabs>
        <w:ind w:left="1440" w:hanging="360"/>
      </w:pPr>
      <w:rPr>
        <w:rFonts w:cs="Times New Roman"/>
      </w:rPr>
    </w:lvl>
    <w:lvl w:ilvl="2" w:tplc="2102AE02" w:tentative="1">
      <w:start w:val="1"/>
      <w:numFmt w:val="lowerRoman"/>
      <w:lvlText w:val="%3."/>
      <w:lvlJc w:val="right"/>
      <w:pPr>
        <w:tabs>
          <w:tab w:val="num" w:pos="2160"/>
        </w:tabs>
        <w:ind w:left="2160" w:hanging="180"/>
      </w:pPr>
      <w:rPr>
        <w:rFonts w:cs="Times New Roman"/>
      </w:rPr>
    </w:lvl>
    <w:lvl w:ilvl="3" w:tplc="22EE86B6" w:tentative="1">
      <w:start w:val="1"/>
      <w:numFmt w:val="decimal"/>
      <w:lvlText w:val="%4."/>
      <w:lvlJc w:val="left"/>
      <w:pPr>
        <w:tabs>
          <w:tab w:val="num" w:pos="2880"/>
        </w:tabs>
        <w:ind w:left="2880" w:hanging="360"/>
      </w:pPr>
      <w:rPr>
        <w:rFonts w:cs="Times New Roman"/>
      </w:rPr>
    </w:lvl>
    <w:lvl w:ilvl="4" w:tplc="96302194" w:tentative="1">
      <w:start w:val="1"/>
      <w:numFmt w:val="lowerLetter"/>
      <w:lvlText w:val="%5."/>
      <w:lvlJc w:val="left"/>
      <w:pPr>
        <w:tabs>
          <w:tab w:val="num" w:pos="3600"/>
        </w:tabs>
        <w:ind w:left="3600" w:hanging="360"/>
      </w:pPr>
      <w:rPr>
        <w:rFonts w:cs="Times New Roman"/>
      </w:rPr>
    </w:lvl>
    <w:lvl w:ilvl="5" w:tplc="AE1CFC56" w:tentative="1">
      <w:start w:val="1"/>
      <w:numFmt w:val="lowerRoman"/>
      <w:lvlText w:val="%6."/>
      <w:lvlJc w:val="right"/>
      <w:pPr>
        <w:tabs>
          <w:tab w:val="num" w:pos="4320"/>
        </w:tabs>
        <w:ind w:left="4320" w:hanging="180"/>
      </w:pPr>
      <w:rPr>
        <w:rFonts w:cs="Times New Roman"/>
      </w:rPr>
    </w:lvl>
    <w:lvl w:ilvl="6" w:tplc="0B761A36" w:tentative="1">
      <w:start w:val="1"/>
      <w:numFmt w:val="decimal"/>
      <w:lvlText w:val="%7."/>
      <w:lvlJc w:val="left"/>
      <w:pPr>
        <w:tabs>
          <w:tab w:val="num" w:pos="5040"/>
        </w:tabs>
        <w:ind w:left="5040" w:hanging="360"/>
      </w:pPr>
      <w:rPr>
        <w:rFonts w:cs="Times New Roman"/>
      </w:rPr>
    </w:lvl>
    <w:lvl w:ilvl="7" w:tplc="DF0684C8" w:tentative="1">
      <w:start w:val="1"/>
      <w:numFmt w:val="lowerLetter"/>
      <w:lvlText w:val="%8."/>
      <w:lvlJc w:val="left"/>
      <w:pPr>
        <w:tabs>
          <w:tab w:val="num" w:pos="5760"/>
        </w:tabs>
        <w:ind w:left="5760" w:hanging="360"/>
      </w:pPr>
      <w:rPr>
        <w:rFonts w:cs="Times New Roman"/>
      </w:rPr>
    </w:lvl>
    <w:lvl w:ilvl="8" w:tplc="6722EEAC" w:tentative="1">
      <w:start w:val="1"/>
      <w:numFmt w:val="lowerRoman"/>
      <w:lvlText w:val="%9."/>
      <w:lvlJc w:val="right"/>
      <w:pPr>
        <w:tabs>
          <w:tab w:val="num" w:pos="6480"/>
        </w:tabs>
        <w:ind w:left="6480" w:hanging="180"/>
      </w:pPr>
      <w:rPr>
        <w:rFonts w:cs="Times New Roman"/>
      </w:rPr>
    </w:lvl>
  </w:abstractNum>
  <w:abstractNum w:abstractNumId="21" w15:restartNumberingAfterBreak="0">
    <w:nsid w:val="42A74616"/>
    <w:multiLevelType w:val="hybridMultilevel"/>
    <w:tmpl w:val="AF9A4ED6"/>
    <w:lvl w:ilvl="0" w:tplc="A0A2D9EA">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2" w15:restartNumberingAfterBreak="0">
    <w:nsid w:val="453959AB"/>
    <w:multiLevelType w:val="hybridMultilevel"/>
    <w:tmpl w:val="6CB85F0E"/>
    <w:lvl w:ilvl="0" w:tplc="FB822F86">
      <w:start w:val="4"/>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A2F3188"/>
    <w:multiLevelType w:val="hybridMultilevel"/>
    <w:tmpl w:val="B2B6717C"/>
    <w:lvl w:ilvl="0" w:tplc="BE507C8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4A5817"/>
    <w:multiLevelType w:val="hybridMultilevel"/>
    <w:tmpl w:val="C85E4180"/>
    <w:lvl w:ilvl="0" w:tplc="D3E23C74">
      <w:start w:val="1"/>
      <w:numFmt w:val="upperLetter"/>
      <w:lvlText w:val="%1."/>
      <w:lvlJc w:val="left"/>
      <w:pPr>
        <w:ind w:left="1045" w:hanging="360"/>
      </w:pPr>
      <w:rPr>
        <w:rFonts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25" w15:restartNumberingAfterBreak="0">
    <w:nsid w:val="5158689D"/>
    <w:multiLevelType w:val="hybridMultilevel"/>
    <w:tmpl w:val="2A240728"/>
    <w:lvl w:ilvl="0" w:tplc="853CD26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715C54"/>
    <w:multiLevelType w:val="hybridMultilevel"/>
    <w:tmpl w:val="BC301AC2"/>
    <w:lvl w:ilvl="0" w:tplc="8D849E2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504F1"/>
    <w:multiLevelType w:val="hybridMultilevel"/>
    <w:tmpl w:val="865AB1B4"/>
    <w:lvl w:ilvl="0" w:tplc="9F724A02">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8" w15:restartNumberingAfterBreak="0">
    <w:nsid w:val="5DF25762"/>
    <w:multiLevelType w:val="hybridMultilevel"/>
    <w:tmpl w:val="D3F282F4"/>
    <w:lvl w:ilvl="0" w:tplc="B06E964E">
      <w:start w:val="7"/>
      <w:numFmt w:val="upperLetter"/>
      <w:pStyle w:val="Heading9"/>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700A6E"/>
    <w:multiLevelType w:val="hybridMultilevel"/>
    <w:tmpl w:val="CF6863C8"/>
    <w:lvl w:ilvl="0" w:tplc="4A8089D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3D40443"/>
    <w:multiLevelType w:val="hybridMultilevel"/>
    <w:tmpl w:val="1CE60BE8"/>
    <w:lvl w:ilvl="0" w:tplc="AF6EBA8A">
      <w:start w:val="1"/>
      <w:numFmt w:val="upperLetter"/>
      <w:lvlText w:val="%1."/>
      <w:lvlJc w:val="left"/>
      <w:pPr>
        <w:ind w:left="810" w:hanging="360"/>
      </w:pPr>
      <w:rPr>
        <w:rFonts w:cs="Times New Roman" w:hint="default"/>
        <w:sz w:val="24"/>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1" w15:restartNumberingAfterBreak="0">
    <w:nsid w:val="63FD3F37"/>
    <w:multiLevelType w:val="singleLevel"/>
    <w:tmpl w:val="E4985E16"/>
    <w:lvl w:ilvl="0">
      <w:start w:val="1"/>
      <w:numFmt w:val="upperLetter"/>
      <w:lvlText w:val="%1."/>
      <w:lvlJc w:val="left"/>
      <w:pPr>
        <w:tabs>
          <w:tab w:val="num" w:pos="735"/>
        </w:tabs>
        <w:ind w:left="735" w:hanging="360"/>
      </w:pPr>
      <w:rPr>
        <w:rFonts w:cs="Times New Roman" w:hint="default"/>
      </w:rPr>
    </w:lvl>
  </w:abstractNum>
  <w:abstractNum w:abstractNumId="32" w15:restartNumberingAfterBreak="0">
    <w:nsid w:val="65D265BC"/>
    <w:multiLevelType w:val="hybridMultilevel"/>
    <w:tmpl w:val="44D6412E"/>
    <w:lvl w:ilvl="0" w:tplc="532AF1D2">
      <w:start w:val="1"/>
      <w:numFmt w:val="upperLetter"/>
      <w:lvlText w:val="%1."/>
      <w:lvlJc w:val="left"/>
      <w:pPr>
        <w:tabs>
          <w:tab w:val="num" w:pos="360"/>
        </w:tabs>
        <w:ind w:left="360" w:hanging="360"/>
      </w:pPr>
      <w:rPr>
        <w:rFonts w:cs="Times New Roman" w:hint="default"/>
      </w:rPr>
    </w:lvl>
    <w:lvl w:ilvl="1" w:tplc="9B940C3E" w:tentative="1">
      <w:start w:val="1"/>
      <w:numFmt w:val="lowerLetter"/>
      <w:lvlText w:val="%2."/>
      <w:lvlJc w:val="left"/>
      <w:pPr>
        <w:tabs>
          <w:tab w:val="num" w:pos="1080"/>
        </w:tabs>
        <w:ind w:left="1080" w:hanging="360"/>
      </w:pPr>
      <w:rPr>
        <w:rFonts w:cs="Times New Roman"/>
      </w:rPr>
    </w:lvl>
    <w:lvl w:ilvl="2" w:tplc="2B1ADDE8" w:tentative="1">
      <w:start w:val="1"/>
      <w:numFmt w:val="lowerRoman"/>
      <w:lvlText w:val="%3."/>
      <w:lvlJc w:val="right"/>
      <w:pPr>
        <w:tabs>
          <w:tab w:val="num" w:pos="1800"/>
        </w:tabs>
        <w:ind w:left="1800" w:hanging="180"/>
      </w:pPr>
      <w:rPr>
        <w:rFonts w:cs="Times New Roman"/>
      </w:rPr>
    </w:lvl>
    <w:lvl w:ilvl="3" w:tplc="CEF405B6" w:tentative="1">
      <w:start w:val="1"/>
      <w:numFmt w:val="decimal"/>
      <w:lvlText w:val="%4."/>
      <w:lvlJc w:val="left"/>
      <w:pPr>
        <w:tabs>
          <w:tab w:val="num" w:pos="2520"/>
        </w:tabs>
        <w:ind w:left="2520" w:hanging="360"/>
      </w:pPr>
      <w:rPr>
        <w:rFonts w:cs="Times New Roman"/>
      </w:rPr>
    </w:lvl>
    <w:lvl w:ilvl="4" w:tplc="84764424" w:tentative="1">
      <w:start w:val="1"/>
      <w:numFmt w:val="lowerLetter"/>
      <w:lvlText w:val="%5."/>
      <w:lvlJc w:val="left"/>
      <w:pPr>
        <w:tabs>
          <w:tab w:val="num" w:pos="3240"/>
        </w:tabs>
        <w:ind w:left="3240" w:hanging="360"/>
      </w:pPr>
      <w:rPr>
        <w:rFonts w:cs="Times New Roman"/>
      </w:rPr>
    </w:lvl>
    <w:lvl w:ilvl="5" w:tplc="8DA0D058" w:tentative="1">
      <w:start w:val="1"/>
      <w:numFmt w:val="lowerRoman"/>
      <w:lvlText w:val="%6."/>
      <w:lvlJc w:val="right"/>
      <w:pPr>
        <w:tabs>
          <w:tab w:val="num" w:pos="3960"/>
        </w:tabs>
        <w:ind w:left="3960" w:hanging="180"/>
      </w:pPr>
      <w:rPr>
        <w:rFonts w:cs="Times New Roman"/>
      </w:rPr>
    </w:lvl>
    <w:lvl w:ilvl="6" w:tplc="3C143AF6" w:tentative="1">
      <w:start w:val="1"/>
      <w:numFmt w:val="decimal"/>
      <w:lvlText w:val="%7."/>
      <w:lvlJc w:val="left"/>
      <w:pPr>
        <w:tabs>
          <w:tab w:val="num" w:pos="4680"/>
        </w:tabs>
        <w:ind w:left="4680" w:hanging="360"/>
      </w:pPr>
      <w:rPr>
        <w:rFonts w:cs="Times New Roman"/>
      </w:rPr>
    </w:lvl>
    <w:lvl w:ilvl="7" w:tplc="6C4ACABE" w:tentative="1">
      <w:start w:val="1"/>
      <w:numFmt w:val="lowerLetter"/>
      <w:lvlText w:val="%8."/>
      <w:lvlJc w:val="left"/>
      <w:pPr>
        <w:tabs>
          <w:tab w:val="num" w:pos="5400"/>
        </w:tabs>
        <w:ind w:left="5400" w:hanging="360"/>
      </w:pPr>
      <w:rPr>
        <w:rFonts w:cs="Times New Roman"/>
      </w:rPr>
    </w:lvl>
    <w:lvl w:ilvl="8" w:tplc="5CC44142" w:tentative="1">
      <w:start w:val="1"/>
      <w:numFmt w:val="lowerRoman"/>
      <w:lvlText w:val="%9."/>
      <w:lvlJc w:val="right"/>
      <w:pPr>
        <w:tabs>
          <w:tab w:val="num" w:pos="6120"/>
        </w:tabs>
        <w:ind w:left="6120" w:hanging="180"/>
      </w:pPr>
      <w:rPr>
        <w:rFonts w:cs="Times New Roman"/>
      </w:rPr>
    </w:lvl>
  </w:abstractNum>
  <w:abstractNum w:abstractNumId="33" w15:restartNumberingAfterBreak="0">
    <w:nsid w:val="6620274D"/>
    <w:multiLevelType w:val="hybridMultilevel"/>
    <w:tmpl w:val="DC96F11A"/>
    <w:lvl w:ilvl="0" w:tplc="04090015">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AB57C58"/>
    <w:multiLevelType w:val="hybridMultilevel"/>
    <w:tmpl w:val="18F6FEB0"/>
    <w:lvl w:ilvl="0" w:tplc="F4A4EC10">
      <w:start w:val="1"/>
      <w:numFmt w:val="bullet"/>
      <w:lvlText w:val=""/>
      <w:lvlJc w:val="left"/>
      <w:pPr>
        <w:ind w:left="81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B3C1F02"/>
    <w:multiLevelType w:val="hybridMultilevel"/>
    <w:tmpl w:val="7A22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545FC"/>
    <w:multiLevelType w:val="hybridMultilevel"/>
    <w:tmpl w:val="29865D6C"/>
    <w:lvl w:ilvl="0" w:tplc="04090001">
      <w:start w:val="1"/>
      <w:numFmt w:val="upperLetter"/>
      <w:lvlText w:val="%1."/>
      <w:lvlJc w:val="left"/>
      <w:pPr>
        <w:tabs>
          <w:tab w:val="num" w:pos="1080"/>
        </w:tabs>
        <w:ind w:left="1080" w:hanging="72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7390260F"/>
    <w:multiLevelType w:val="hybridMultilevel"/>
    <w:tmpl w:val="6E727528"/>
    <w:lvl w:ilvl="0" w:tplc="8FCADBEA">
      <w:start w:val="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45F2210"/>
    <w:multiLevelType w:val="hybridMultilevel"/>
    <w:tmpl w:val="CD78FE98"/>
    <w:lvl w:ilvl="0" w:tplc="0FC2D8D4">
      <w:start w:val="1"/>
      <w:numFmt w:val="decimal"/>
      <w:pStyle w:val="ListBullet"/>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9" w15:restartNumberingAfterBreak="0">
    <w:nsid w:val="755A4677"/>
    <w:multiLevelType w:val="hybridMultilevel"/>
    <w:tmpl w:val="5A30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9202E"/>
    <w:multiLevelType w:val="hybridMultilevel"/>
    <w:tmpl w:val="8B3CE7AC"/>
    <w:lvl w:ilvl="0" w:tplc="4A7CFC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8B6758"/>
    <w:multiLevelType w:val="hybridMultilevel"/>
    <w:tmpl w:val="DDC44D7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C1754F"/>
    <w:multiLevelType w:val="hybridMultilevel"/>
    <w:tmpl w:val="7BF83DC6"/>
    <w:lvl w:ilvl="0" w:tplc="04090015">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3" w15:restartNumberingAfterBreak="0">
    <w:nsid w:val="7C941706"/>
    <w:multiLevelType w:val="hybridMultilevel"/>
    <w:tmpl w:val="0C78A468"/>
    <w:lvl w:ilvl="0" w:tplc="B090F42A">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44" w15:restartNumberingAfterBreak="0">
    <w:nsid w:val="7CE35849"/>
    <w:multiLevelType w:val="hybridMultilevel"/>
    <w:tmpl w:val="1EB0C4D2"/>
    <w:lvl w:ilvl="0" w:tplc="2A509B54">
      <w:start w:val="1"/>
      <w:numFmt w:val="lowerLetter"/>
      <w:pStyle w:val="BodyText2-a"/>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num w:numId="1" w16cid:durableId="2090348214">
    <w:abstractNumId w:val="28"/>
  </w:num>
  <w:num w:numId="2" w16cid:durableId="217866552">
    <w:abstractNumId w:val="35"/>
  </w:num>
  <w:num w:numId="3" w16cid:durableId="692540499">
    <w:abstractNumId w:val="30"/>
  </w:num>
  <w:num w:numId="4" w16cid:durableId="415203251">
    <w:abstractNumId w:val="21"/>
  </w:num>
  <w:num w:numId="5" w16cid:durableId="857889240">
    <w:abstractNumId w:val="43"/>
  </w:num>
  <w:num w:numId="6" w16cid:durableId="2057773810">
    <w:abstractNumId w:val="16"/>
  </w:num>
  <w:num w:numId="7" w16cid:durableId="1563364719">
    <w:abstractNumId w:val="10"/>
  </w:num>
  <w:num w:numId="8" w16cid:durableId="1734694439">
    <w:abstractNumId w:val="2"/>
  </w:num>
  <w:num w:numId="9" w16cid:durableId="126775852">
    <w:abstractNumId w:val="8"/>
  </w:num>
  <w:num w:numId="10" w16cid:durableId="1962223273">
    <w:abstractNumId w:val="23"/>
  </w:num>
  <w:num w:numId="11" w16cid:durableId="1471365041">
    <w:abstractNumId w:val="42"/>
  </w:num>
  <w:num w:numId="12" w16cid:durableId="1521551457">
    <w:abstractNumId w:val="14"/>
  </w:num>
  <w:num w:numId="13" w16cid:durableId="1178884880">
    <w:abstractNumId w:val="18"/>
  </w:num>
  <w:num w:numId="14" w16cid:durableId="392318750">
    <w:abstractNumId w:val="31"/>
  </w:num>
  <w:num w:numId="15" w16cid:durableId="194585554">
    <w:abstractNumId w:val="1"/>
  </w:num>
  <w:num w:numId="16" w16cid:durableId="1454251434">
    <w:abstractNumId w:val="22"/>
  </w:num>
  <w:num w:numId="17" w16cid:durableId="1091319287">
    <w:abstractNumId w:val="36"/>
  </w:num>
  <w:num w:numId="18" w16cid:durableId="574903074">
    <w:abstractNumId w:val="17"/>
  </w:num>
  <w:num w:numId="19" w16cid:durableId="1886604577">
    <w:abstractNumId w:val="6"/>
  </w:num>
  <w:num w:numId="20" w16cid:durableId="1232932086">
    <w:abstractNumId w:val="11"/>
  </w:num>
  <w:num w:numId="21" w16cid:durableId="1068069072">
    <w:abstractNumId w:val="20"/>
  </w:num>
  <w:num w:numId="22" w16cid:durableId="522937594">
    <w:abstractNumId w:val="25"/>
  </w:num>
  <w:num w:numId="23" w16cid:durableId="926889215">
    <w:abstractNumId w:val="33"/>
  </w:num>
  <w:num w:numId="24" w16cid:durableId="571744452">
    <w:abstractNumId w:val="37"/>
  </w:num>
  <w:num w:numId="25" w16cid:durableId="629483340">
    <w:abstractNumId w:val="32"/>
  </w:num>
  <w:num w:numId="26" w16cid:durableId="278873620">
    <w:abstractNumId w:val="29"/>
  </w:num>
  <w:num w:numId="27" w16cid:durableId="475756123">
    <w:abstractNumId w:val="34"/>
  </w:num>
  <w:num w:numId="28" w16cid:durableId="2061857700">
    <w:abstractNumId w:val="41"/>
  </w:num>
  <w:num w:numId="29" w16cid:durableId="1546334254">
    <w:abstractNumId w:val="13"/>
  </w:num>
  <w:num w:numId="30" w16cid:durableId="928123639">
    <w:abstractNumId w:val="15"/>
  </w:num>
  <w:num w:numId="31" w16cid:durableId="831723714">
    <w:abstractNumId w:val="5"/>
  </w:num>
  <w:num w:numId="32" w16cid:durableId="136916135">
    <w:abstractNumId w:val="27"/>
  </w:num>
  <w:num w:numId="33" w16cid:durableId="298465401">
    <w:abstractNumId w:val="3"/>
  </w:num>
  <w:num w:numId="34" w16cid:durableId="92592056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7849372">
    <w:abstractNumId w:val="24"/>
  </w:num>
  <w:num w:numId="36" w16cid:durableId="636422096">
    <w:abstractNumId w:val="7"/>
  </w:num>
  <w:num w:numId="37" w16cid:durableId="508105076">
    <w:abstractNumId w:val="40"/>
  </w:num>
  <w:num w:numId="38" w16cid:durableId="1698579116">
    <w:abstractNumId w:val="38"/>
  </w:num>
  <w:num w:numId="39" w16cid:durableId="234894838">
    <w:abstractNumId w:val="0"/>
  </w:num>
  <w:num w:numId="40" w16cid:durableId="494808194">
    <w:abstractNumId w:val="9"/>
  </w:num>
  <w:num w:numId="41" w16cid:durableId="1480727143">
    <w:abstractNumId w:val="44"/>
  </w:num>
  <w:num w:numId="42" w16cid:durableId="1645351372">
    <w:abstractNumId w:val="39"/>
  </w:num>
  <w:num w:numId="43" w16cid:durableId="926352006">
    <w:abstractNumId w:val="19"/>
  </w:num>
  <w:num w:numId="44" w16cid:durableId="35787761">
    <w:abstractNumId w:val="26"/>
  </w:num>
  <w:num w:numId="45" w16cid:durableId="37080586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8"/>
  <w:activeWritingStyle w:appName="MSWord" w:lang="en-US" w:vendorID="64" w:dllVersion="5" w:nlCheck="1" w:checkStyle="1"/>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s-MX"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6A"/>
    <w:rsid w:val="000003C5"/>
    <w:rsid w:val="00001A7D"/>
    <w:rsid w:val="000028EE"/>
    <w:rsid w:val="00003016"/>
    <w:rsid w:val="00005FE7"/>
    <w:rsid w:val="00006B2E"/>
    <w:rsid w:val="0001036F"/>
    <w:rsid w:val="00010CA0"/>
    <w:rsid w:val="00013115"/>
    <w:rsid w:val="00013FB1"/>
    <w:rsid w:val="00015484"/>
    <w:rsid w:val="00016575"/>
    <w:rsid w:val="00017BAB"/>
    <w:rsid w:val="00020696"/>
    <w:rsid w:val="0002320B"/>
    <w:rsid w:val="0002363A"/>
    <w:rsid w:val="000239DA"/>
    <w:rsid w:val="00024325"/>
    <w:rsid w:val="00025415"/>
    <w:rsid w:val="00025981"/>
    <w:rsid w:val="00026176"/>
    <w:rsid w:val="0002627D"/>
    <w:rsid w:val="000274BC"/>
    <w:rsid w:val="000274DF"/>
    <w:rsid w:val="000311EF"/>
    <w:rsid w:val="000327B7"/>
    <w:rsid w:val="00032926"/>
    <w:rsid w:val="00033383"/>
    <w:rsid w:val="00033E74"/>
    <w:rsid w:val="00034B74"/>
    <w:rsid w:val="00036BEA"/>
    <w:rsid w:val="000374F0"/>
    <w:rsid w:val="000402C5"/>
    <w:rsid w:val="0004044B"/>
    <w:rsid w:val="00041065"/>
    <w:rsid w:val="00042067"/>
    <w:rsid w:val="00042459"/>
    <w:rsid w:val="00043345"/>
    <w:rsid w:val="00043937"/>
    <w:rsid w:val="00045518"/>
    <w:rsid w:val="000462D0"/>
    <w:rsid w:val="000468DE"/>
    <w:rsid w:val="0005056D"/>
    <w:rsid w:val="0005191F"/>
    <w:rsid w:val="00051A84"/>
    <w:rsid w:val="000541B7"/>
    <w:rsid w:val="00054537"/>
    <w:rsid w:val="0005548B"/>
    <w:rsid w:val="00055BE2"/>
    <w:rsid w:val="00057492"/>
    <w:rsid w:val="00061F34"/>
    <w:rsid w:val="00062EF0"/>
    <w:rsid w:val="00063645"/>
    <w:rsid w:val="00063969"/>
    <w:rsid w:val="0006554C"/>
    <w:rsid w:val="00065EB3"/>
    <w:rsid w:val="0006624D"/>
    <w:rsid w:val="00072620"/>
    <w:rsid w:val="00073432"/>
    <w:rsid w:val="00074323"/>
    <w:rsid w:val="00074733"/>
    <w:rsid w:val="00076637"/>
    <w:rsid w:val="000805D8"/>
    <w:rsid w:val="000815B2"/>
    <w:rsid w:val="000824DB"/>
    <w:rsid w:val="0008300C"/>
    <w:rsid w:val="000830FF"/>
    <w:rsid w:val="000831B3"/>
    <w:rsid w:val="00083621"/>
    <w:rsid w:val="00083C22"/>
    <w:rsid w:val="00083C37"/>
    <w:rsid w:val="00083E98"/>
    <w:rsid w:val="0008516C"/>
    <w:rsid w:val="00087993"/>
    <w:rsid w:val="00090370"/>
    <w:rsid w:val="00090B75"/>
    <w:rsid w:val="00091EA1"/>
    <w:rsid w:val="00093A26"/>
    <w:rsid w:val="00095486"/>
    <w:rsid w:val="0009657B"/>
    <w:rsid w:val="00097F09"/>
    <w:rsid w:val="000A0741"/>
    <w:rsid w:val="000A0BE9"/>
    <w:rsid w:val="000A19C4"/>
    <w:rsid w:val="000A2899"/>
    <w:rsid w:val="000A4E1B"/>
    <w:rsid w:val="000A64E1"/>
    <w:rsid w:val="000A78AE"/>
    <w:rsid w:val="000B01A2"/>
    <w:rsid w:val="000B03A7"/>
    <w:rsid w:val="000B04D8"/>
    <w:rsid w:val="000B1269"/>
    <w:rsid w:val="000B1B48"/>
    <w:rsid w:val="000B262F"/>
    <w:rsid w:val="000B273C"/>
    <w:rsid w:val="000B299E"/>
    <w:rsid w:val="000B3B7E"/>
    <w:rsid w:val="000B4272"/>
    <w:rsid w:val="000B4B8D"/>
    <w:rsid w:val="000B55EF"/>
    <w:rsid w:val="000C0BC0"/>
    <w:rsid w:val="000C0E98"/>
    <w:rsid w:val="000C2EE9"/>
    <w:rsid w:val="000C38DC"/>
    <w:rsid w:val="000C5654"/>
    <w:rsid w:val="000C5F09"/>
    <w:rsid w:val="000C6A96"/>
    <w:rsid w:val="000C6D1D"/>
    <w:rsid w:val="000D2CD9"/>
    <w:rsid w:val="000D43FA"/>
    <w:rsid w:val="000D4917"/>
    <w:rsid w:val="000D5C6D"/>
    <w:rsid w:val="000D76DA"/>
    <w:rsid w:val="000D7851"/>
    <w:rsid w:val="000D795A"/>
    <w:rsid w:val="000E4AF0"/>
    <w:rsid w:val="000E60D3"/>
    <w:rsid w:val="000E6720"/>
    <w:rsid w:val="000F04E3"/>
    <w:rsid w:val="000F057E"/>
    <w:rsid w:val="000F1AC4"/>
    <w:rsid w:val="000F2EC1"/>
    <w:rsid w:val="000F35CF"/>
    <w:rsid w:val="000F497B"/>
    <w:rsid w:val="000F52B9"/>
    <w:rsid w:val="000F5785"/>
    <w:rsid w:val="000F6C6E"/>
    <w:rsid w:val="000F777B"/>
    <w:rsid w:val="00100620"/>
    <w:rsid w:val="001009B4"/>
    <w:rsid w:val="00104F52"/>
    <w:rsid w:val="001056E9"/>
    <w:rsid w:val="00105ABE"/>
    <w:rsid w:val="00107036"/>
    <w:rsid w:val="001073AE"/>
    <w:rsid w:val="00110333"/>
    <w:rsid w:val="00110A72"/>
    <w:rsid w:val="00110BEC"/>
    <w:rsid w:val="00111357"/>
    <w:rsid w:val="00112180"/>
    <w:rsid w:val="00113D41"/>
    <w:rsid w:val="00114644"/>
    <w:rsid w:val="00114CA0"/>
    <w:rsid w:val="0011518B"/>
    <w:rsid w:val="001151CB"/>
    <w:rsid w:val="00116C75"/>
    <w:rsid w:val="001175EB"/>
    <w:rsid w:val="00117F50"/>
    <w:rsid w:val="00120606"/>
    <w:rsid w:val="00120D66"/>
    <w:rsid w:val="00121C4F"/>
    <w:rsid w:val="00121C67"/>
    <w:rsid w:val="00122409"/>
    <w:rsid w:val="0012277D"/>
    <w:rsid w:val="00122B0B"/>
    <w:rsid w:val="00122C4D"/>
    <w:rsid w:val="001239CD"/>
    <w:rsid w:val="00124C48"/>
    <w:rsid w:val="00130B4D"/>
    <w:rsid w:val="001315ED"/>
    <w:rsid w:val="00131AE2"/>
    <w:rsid w:val="001321A6"/>
    <w:rsid w:val="00133ABF"/>
    <w:rsid w:val="00135FF6"/>
    <w:rsid w:val="00136C54"/>
    <w:rsid w:val="001372A7"/>
    <w:rsid w:val="001379CF"/>
    <w:rsid w:val="00137F0F"/>
    <w:rsid w:val="001413E4"/>
    <w:rsid w:val="00141E2C"/>
    <w:rsid w:val="00141F2B"/>
    <w:rsid w:val="00142156"/>
    <w:rsid w:val="00142546"/>
    <w:rsid w:val="0014381B"/>
    <w:rsid w:val="00144A2A"/>
    <w:rsid w:val="00145C8F"/>
    <w:rsid w:val="00147AB5"/>
    <w:rsid w:val="00150813"/>
    <w:rsid w:val="001520ED"/>
    <w:rsid w:val="00152F32"/>
    <w:rsid w:val="001531CD"/>
    <w:rsid w:val="0015436E"/>
    <w:rsid w:val="00156153"/>
    <w:rsid w:val="001568C2"/>
    <w:rsid w:val="00162AA6"/>
    <w:rsid w:val="001631A3"/>
    <w:rsid w:val="00164A7F"/>
    <w:rsid w:val="001651B4"/>
    <w:rsid w:val="00165563"/>
    <w:rsid w:val="001664DE"/>
    <w:rsid w:val="0016661F"/>
    <w:rsid w:val="00166EB1"/>
    <w:rsid w:val="00167E2E"/>
    <w:rsid w:val="00170607"/>
    <w:rsid w:val="001707F4"/>
    <w:rsid w:val="00173634"/>
    <w:rsid w:val="00173E86"/>
    <w:rsid w:val="0017534C"/>
    <w:rsid w:val="00175771"/>
    <w:rsid w:val="001778C5"/>
    <w:rsid w:val="00177C11"/>
    <w:rsid w:val="001801F4"/>
    <w:rsid w:val="001801FE"/>
    <w:rsid w:val="00180DC6"/>
    <w:rsid w:val="00181303"/>
    <w:rsid w:val="00182302"/>
    <w:rsid w:val="001828E2"/>
    <w:rsid w:val="00182D22"/>
    <w:rsid w:val="00182D48"/>
    <w:rsid w:val="00185220"/>
    <w:rsid w:val="0018524B"/>
    <w:rsid w:val="00186499"/>
    <w:rsid w:val="00187A82"/>
    <w:rsid w:val="00190190"/>
    <w:rsid w:val="00190316"/>
    <w:rsid w:val="001909B1"/>
    <w:rsid w:val="00192642"/>
    <w:rsid w:val="0019279B"/>
    <w:rsid w:val="00193A4D"/>
    <w:rsid w:val="00193B75"/>
    <w:rsid w:val="00195D5E"/>
    <w:rsid w:val="0019696D"/>
    <w:rsid w:val="0019729D"/>
    <w:rsid w:val="001A01C2"/>
    <w:rsid w:val="001A2EF9"/>
    <w:rsid w:val="001A4116"/>
    <w:rsid w:val="001A509A"/>
    <w:rsid w:val="001A65BD"/>
    <w:rsid w:val="001A6C7C"/>
    <w:rsid w:val="001B076C"/>
    <w:rsid w:val="001B159C"/>
    <w:rsid w:val="001B185C"/>
    <w:rsid w:val="001B1CBF"/>
    <w:rsid w:val="001B2DB4"/>
    <w:rsid w:val="001B2DB5"/>
    <w:rsid w:val="001B3029"/>
    <w:rsid w:val="001B60AE"/>
    <w:rsid w:val="001B61A5"/>
    <w:rsid w:val="001B64F9"/>
    <w:rsid w:val="001C11D2"/>
    <w:rsid w:val="001C222C"/>
    <w:rsid w:val="001C4211"/>
    <w:rsid w:val="001C541C"/>
    <w:rsid w:val="001C699C"/>
    <w:rsid w:val="001D0109"/>
    <w:rsid w:val="001D12BA"/>
    <w:rsid w:val="001D140E"/>
    <w:rsid w:val="001D20D8"/>
    <w:rsid w:val="001D403C"/>
    <w:rsid w:val="001D4433"/>
    <w:rsid w:val="001D536E"/>
    <w:rsid w:val="001D5697"/>
    <w:rsid w:val="001D56B8"/>
    <w:rsid w:val="001D64A4"/>
    <w:rsid w:val="001D67FA"/>
    <w:rsid w:val="001D6F94"/>
    <w:rsid w:val="001D7169"/>
    <w:rsid w:val="001E08C5"/>
    <w:rsid w:val="001E28FE"/>
    <w:rsid w:val="001E526B"/>
    <w:rsid w:val="001E56A1"/>
    <w:rsid w:val="001E6A27"/>
    <w:rsid w:val="001E6D46"/>
    <w:rsid w:val="001E7001"/>
    <w:rsid w:val="001F0515"/>
    <w:rsid w:val="001F05CE"/>
    <w:rsid w:val="001F0739"/>
    <w:rsid w:val="001F1889"/>
    <w:rsid w:val="001F18E0"/>
    <w:rsid w:val="001F3803"/>
    <w:rsid w:val="001F3B4B"/>
    <w:rsid w:val="001F5A51"/>
    <w:rsid w:val="001F5F1D"/>
    <w:rsid w:val="001F5FEF"/>
    <w:rsid w:val="0020038A"/>
    <w:rsid w:val="0020360E"/>
    <w:rsid w:val="002051E6"/>
    <w:rsid w:val="00210FB8"/>
    <w:rsid w:val="00211C36"/>
    <w:rsid w:val="00212175"/>
    <w:rsid w:val="00214C42"/>
    <w:rsid w:val="002150B3"/>
    <w:rsid w:val="00216D09"/>
    <w:rsid w:val="00216F54"/>
    <w:rsid w:val="002207D2"/>
    <w:rsid w:val="002217AB"/>
    <w:rsid w:val="00223147"/>
    <w:rsid w:val="002250D7"/>
    <w:rsid w:val="00226A80"/>
    <w:rsid w:val="0023138F"/>
    <w:rsid w:val="002320C7"/>
    <w:rsid w:val="002338E9"/>
    <w:rsid w:val="00234DAB"/>
    <w:rsid w:val="0023518E"/>
    <w:rsid w:val="00235DE9"/>
    <w:rsid w:val="00236FA6"/>
    <w:rsid w:val="0024005C"/>
    <w:rsid w:val="00240965"/>
    <w:rsid w:val="00241AAC"/>
    <w:rsid w:val="00243173"/>
    <w:rsid w:val="00245254"/>
    <w:rsid w:val="0024616A"/>
    <w:rsid w:val="002463BC"/>
    <w:rsid w:val="00250E88"/>
    <w:rsid w:val="002513B4"/>
    <w:rsid w:val="00252ED0"/>
    <w:rsid w:val="00254AE6"/>
    <w:rsid w:val="0026065F"/>
    <w:rsid w:val="00260AC9"/>
    <w:rsid w:val="00260CFA"/>
    <w:rsid w:val="00261360"/>
    <w:rsid w:val="002627C5"/>
    <w:rsid w:val="002658E8"/>
    <w:rsid w:val="00266751"/>
    <w:rsid w:val="002667B9"/>
    <w:rsid w:val="0027223B"/>
    <w:rsid w:val="00272CE9"/>
    <w:rsid w:val="002737C0"/>
    <w:rsid w:val="00274551"/>
    <w:rsid w:val="00275A44"/>
    <w:rsid w:val="00277DEB"/>
    <w:rsid w:val="00280EC9"/>
    <w:rsid w:val="00281D22"/>
    <w:rsid w:val="00283034"/>
    <w:rsid w:val="00284D35"/>
    <w:rsid w:val="00284D9C"/>
    <w:rsid w:val="00285260"/>
    <w:rsid w:val="0028570D"/>
    <w:rsid w:val="00286290"/>
    <w:rsid w:val="0029215A"/>
    <w:rsid w:val="002929FA"/>
    <w:rsid w:val="00293862"/>
    <w:rsid w:val="0029430F"/>
    <w:rsid w:val="0029757B"/>
    <w:rsid w:val="00297897"/>
    <w:rsid w:val="002A2015"/>
    <w:rsid w:val="002A2CEE"/>
    <w:rsid w:val="002A2D7A"/>
    <w:rsid w:val="002A2E5D"/>
    <w:rsid w:val="002A3147"/>
    <w:rsid w:val="002A34D4"/>
    <w:rsid w:val="002A6664"/>
    <w:rsid w:val="002A6F8F"/>
    <w:rsid w:val="002A7471"/>
    <w:rsid w:val="002A77D1"/>
    <w:rsid w:val="002A7ABE"/>
    <w:rsid w:val="002B125E"/>
    <w:rsid w:val="002B2459"/>
    <w:rsid w:val="002B5477"/>
    <w:rsid w:val="002B6181"/>
    <w:rsid w:val="002B7495"/>
    <w:rsid w:val="002B76F7"/>
    <w:rsid w:val="002C0407"/>
    <w:rsid w:val="002C075D"/>
    <w:rsid w:val="002C2520"/>
    <w:rsid w:val="002C271F"/>
    <w:rsid w:val="002C5A91"/>
    <w:rsid w:val="002D08BF"/>
    <w:rsid w:val="002D1580"/>
    <w:rsid w:val="002D1CC5"/>
    <w:rsid w:val="002D2907"/>
    <w:rsid w:val="002D3F23"/>
    <w:rsid w:val="002D4B10"/>
    <w:rsid w:val="002D4FB2"/>
    <w:rsid w:val="002D568C"/>
    <w:rsid w:val="002D6402"/>
    <w:rsid w:val="002D6D42"/>
    <w:rsid w:val="002D6F3A"/>
    <w:rsid w:val="002E0396"/>
    <w:rsid w:val="002E14FB"/>
    <w:rsid w:val="002E1F83"/>
    <w:rsid w:val="002E244E"/>
    <w:rsid w:val="002E5BA0"/>
    <w:rsid w:val="002E62E9"/>
    <w:rsid w:val="002E7A0E"/>
    <w:rsid w:val="002E7F25"/>
    <w:rsid w:val="002F2937"/>
    <w:rsid w:val="002F3EE4"/>
    <w:rsid w:val="002F491C"/>
    <w:rsid w:val="002F586B"/>
    <w:rsid w:val="002F5A73"/>
    <w:rsid w:val="002F6518"/>
    <w:rsid w:val="002F78E7"/>
    <w:rsid w:val="002F793A"/>
    <w:rsid w:val="00300F11"/>
    <w:rsid w:val="00302B93"/>
    <w:rsid w:val="00303B75"/>
    <w:rsid w:val="00304136"/>
    <w:rsid w:val="00305000"/>
    <w:rsid w:val="00305914"/>
    <w:rsid w:val="00306198"/>
    <w:rsid w:val="003106F5"/>
    <w:rsid w:val="003113AC"/>
    <w:rsid w:val="003128AF"/>
    <w:rsid w:val="00313E4D"/>
    <w:rsid w:val="00315F7B"/>
    <w:rsid w:val="00316782"/>
    <w:rsid w:val="003176AE"/>
    <w:rsid w:val="003207CB"/>
    <w:rsid w:val="0032169A"/>
    <w:rsid w:val="003227E2"/>
    <w:rsid w:val="00324383"/>
    <w:rsid w:val="00324989"/>
    <w:rsid w:val="00324C92"/>
    <w:rsid w:val="00325D7B"/>
    <w:rsid w:val="00326E2D"/>
    <w:rsid w:val="0032701D"/>
    <w:rsid w:val="003312FE"/>
    <w:rsid w:val="00333347"/>
    <w:rsid w:val="00333B67"/>
    <w:rsid w:val="003351AB"/>
    <w:rsid w:val="00335B29"/>
    <w:rsid w:val="0033665B"/>
    <w:rsid w:val="00340027"/>
    <w:rsid w:val="003406ED"/>
    <w:rsid w:val="00340BC8"/>
    <w:rsid w:val="00341592"/>
    <w:rsid w:val="00341842"/>
    <w:rsid w:val="0034191B"/>
    <w:rsid w:val="0034195C"/>
    <w:rsid w:val="0034445B"/>
    <w:rsid w:val="00350212"/>
    <w:rsid w:val="00350C0E"/>
    <w:rsid w:val="0035120C"/>
    <w:rsid w:val="00352C4E"/>
    <w:rsid w:val="00353E42"/>
    <w:rsid w:val="00354076"/>
    <w:rsid w:val="003551D9"/>
    <w:rsid w:val="003572A6"/>
    <w:rsid w:val="00357419"/>
    <w:rsid w:val="0036036E"/>
    <w:rsid w:val="003616D0"/>
    <w:rsid w:val="00363358"/>
    <w:rsid w:val="003636EC"/>
    <w:rsid w:val="0036383F"/>
    <w:rsid w:val="00363DD6"/>
    <w:rsid w:val="003642E8"/>
    <w:rsid w:val="00364330"/>
    <w:rsid w:val="003660E8"/>
    <w:rsid w:val="0036768B"/>
    <w:rsid w:val="003701EA"/>
    <w:rsid w:val="00370E6F"/>
    <w:rsid w:val="00373540"/>
    <w:rsid w:val="003749B7"/>
    <w:rsid w:val="0037750E"/>
    <w:rsid w:val="00380237"/>
    <w:rsid w:val="003803AE"/>
    <w:rsid w:val="00380D84"/>
    <w:rsid w:val="00381B15"/>
    <w:rsid w:val="00383675"/>
    <w:rsid w:val="00383D8C"/>
    <w:rsid w:val="003857AE"/>
    <w:rsid w:val="0038787F"/>
    <w:rsid w:val="00390879"/>
    <w:rsid w:val="00390C1F"/>
    <w:rsid w:val="00391D08"/>
    <w:rsid w:val="003921C1"/>
    <w:rsid w:val="00392572"/>
    <w:rsid w:val="00392E16"/>
    <w:rsid w:val="003936E5"/>
    <w:rsid w:val="003966D9"/>
    <w:rsid w:val="00396BAE"/>
    <w:rsid w:val="00396FAC"/>
    <w:rsid w:val="003A18D0"/>
    <w:rsid w:val="003A3BED"/>
    <w:rsid w:val="003A5AA1"/>
    <w:rsid w:val="003A63D6"/>
    <w:rsid w:val="003A69D1"/>
    <w:rsid w:val="003A6C69"/>
    <w:rsid w:val="003A7B94"/>
    <w:rsid w:val="003B0576"/>
    <w:rsid w:val="003B1CC1"/>
    <w:rsid w:val="003B285E"/>
    <w:rsid w:val="003B2B55"/>
    <w:rsid w:val="003B2D8F"/>
    <w:rsid w:val="003B3658"/>
    <w:rsid w:val="003B3D1E"/>
    <w:rsid w:val="003B3EB2"/>
    <w:rsid w:val="003B5516"/>
    <w:rsid w:val="003B570A"/>
    <w:rsid w:val="003B5F6D"/>
    <w:rsid w:val="003B74BF"/>
    <w:rsid w:val="003C108D"/>
    <w:rsid w:val="003C1193"/>
    <w:rsid w:val="003C200B"/>
    <w:rsid w:val="003C2FE9"/>
    <w:rsid w:val="003C3A79"/>
    <w:rsid w:val="003C5713"/>
    <w:rsid w:val="003C6A8D"/>
    <w:rsid w:val="003D060C"/>
    <w:rsid w:val="003D0854"/>
    <w:rsid w:val="003D10BD"/>
    <w:rsid w:val="003D19BF"/>
    <w:rsid w:val="003D1AE1"/>
    <w:rsid w:val="003D1C81"/>
    <w:rsid w:val="003D2AE4"/>
    <w:rsid w:val="003D3672"/>
    <w:rsid w:val="003D4339"/>
    <w:rsid w:val="003D4BB3"/>
    <w:rsid w:val="003D60FF"/>
    <w:rsid w:val="003E05EC"/>
    <w:rsid w:val="003E0EC6"/>
    <w:rsid w:val="003E234C"/>
    <w:rsid w:val="003E2396"/>
    <w:rsid w:val="003E2807"/>
    <w:rsid w:val="003E368E"/>
    <w:rsid w:val="003E3E08"/>
    <w:rsid w:val="003E52DC"/>
    <w:rsid w:val="003E574E"/>
    <w:rsid w:val="003E6772"/>
    <w:rsid w:val="003E750B"/>
    <w:rsid w:val="003E761C"/>
    <w:rsid w:val="003E7651"/>
    <w:rsid w:val="003F17F9"/>
    <w:rsid w:val="003F287E"/>
    <w:rsid w:val="003F387C"/>
    <w:rsid w:val="003F42E4"/>
    <w:rsid w:val="003F4944"/>
    <w:rsid w:val="003F6197"/>
    <w:rsid w:val="003F6413"/>
    <w:rsid w:val="003F6D5C"/>
    <w:rsid w:val="003F7CFA"/>
    <w:rsid w:val="004005C1"/>
    <w:rsid w:val="004005C7"/>
    <w:rsid w:val="004026A3"/>
    <w:rsid w:val="00403C2E"/>
    <w:rsid w:val="00404652"/>
    <w:rsid w:val="00407115"/>
    <w:rsid w:val="00407969"/>
    <w:rsid w:val="00411A62"/>
    <w:rsid w:val="004122C1"/>
    <w:rsid w:val="0041246D"/>
    <w:rsid w:val="0041249E"/>
    <w:rsid w:val="004130EB"/>
    <w:rsid w:val="00413980"/>
    <w:rsid w:val="00415445"/>
    <w:rsid w:val="00415BDA"/>
    <w:rsid w:val="004214A1"/>
    <w:rsid w:val="00423622"/>
    <w:rsid w:val="00423CEC"/>
    <w:rsid w:val="00427AD6"/>
    <w:rsid w:val="0043026B"/>
    <w:rsid w:val="00431781"/>
    <w:rsid w:val="00434717"/>
    <w:rsid w:val="00435103"/>
    <w:rsid w:val="00435A27"/>
    <w:rsid w:val="00437BEA"/>
    <w:rsid w:val="004400CD"/>
    <w:rsid w:val="00441A8B"/>
    <w:rsid w:val="00444343"/>
    <w:rsid w:val="0044438B"/>
    <w:rsid w:val="00444416"/>
    <w:rsid w:val="00444988"/>
    <w:rsid w:val="004508E0"/>
    <w:rsid w:val="00451726"/>
    <w:rsid w:val="00451FEB"/>
    <w:rsid w:val="004528C4"/>
    <w:rsid w:val="00452BBE"/>
    <w:rsid w:val="00453A2F"/>
    <w:rsid w:val="004543B2"/>
    <w:rsid w:val="00454752"/>
    <w:rsid w:val="0045545A"/>
    <w:rsid w:val="00455EE5"/>
    <w:rsid w:val="004566E6"/>
    <w:rsid w:val="0046063D"/>
    <w:rsid w:val="004620DD"/>
    <w:rsid w:val="004624F7"/>
    <w:rsid w:val="00465E4B"/>
    <w:rsid w:val="00470151"/>
    <w:rsid w:val="00474996"/>
    <w:rsid w:val="004757BD"/>
    <w:rsid w:val="0047656C"/>
    <w:rsid w:val="0047703B"/>
    <w:rsid w:val="00477E7B"/>
    <w:rsid w:val="00480C04"/>
    <w:rsid w:val="00482FB9"/>
    <w:rsid w:val="00486089"/>
    <w:rsid w:val="00487289"/>
    <w:rsid w:val="00487E6E"/>
    <w:rsid w:val="00490763"/>
    <w:rsid w:val="004907AC"/>
    <w:rsid w:val="00490B60"/>
    <w:rsid w:val="00490EB0"/>
    <w:rsid w:val="004919E4"/>
    <w:rsid w:val="00495E8A"/>
    <w:rsid w:val="004A1DED"/>
    <w:rsid w:val="004A2212"/>
    <w:rsid w:val="004A2233"/>
    <w:rsid w:val="004A2F15"/>
    <w:rsid w:val="004A3114"/>
    <w:rsid w:val="004A40A4"/>
    <w:rsid w:val="004A4C4E"/>
    <w:rsid w:val="004A54EA"/>
    <w:rsid w:val="004A68B4"/>
    <w:rsid w:val="004A6FC8"/>
    <w:rsid w:val="004A72E8"/>
    <w:rsid w:val="004A74D9"/>
    <w:rsid w:val="004B269B"/>
    <w:rsid w:val="004B444B"/>
    <w:rsid w:val="004B4950"/>
    <w:rsid w:val="004B5A9F"/>
    <w:rsid w:val="004B7042"/>
    <w:rsid w:val="004B7EE1"/>
    <w:rsid w:val="004C2F44"/>
    <w:rsid w:val="004C3900"/>
    <w:rsid w:val="004C39DC"/>
    <w:rsid w:val="004C41B8"/>
    <w:rsid w:val="004C4243"/>
    <w:rsid w:val="004C5149"/>
    <w:rsid w:val="004C70CA"/>
    <w:rsid w:val="004C7AE7"/>
    <w:rsid w:val="004D1386"/>
    <w:rsid w:val="004D1586"/>
    <w:rsid w:val="004D3154"/>
    <w:rsid w:val="004D391F"/>
    <w:rsid w:val="004D45B8"/>
    <w:rsid w:val="004D49FF"/>
    <w:rsid w:val="004D55B6"/>
    <w:rsid w:val="004D5CF0"/>
    <w:rsid w:val="004D6DF6"/>
    <w:rsid w:val="004E04E2"/>
    <w:rsid w:val="004E1D8B"/>
    <w:rsid w:val="004E3DEB"/>
    <w:rsid w:val="004E6B07"/>
    <w:rsid w:val="004F00F1"/>
    <w:rsid w:val="004F24F8"/>
    <w:rsid w:val="004F6FFD"/>
    <w:rsid w:val="00500F42"/>
    <w:rsid w:val="0050304A"/>
    <w:rsid w:val="00503684"/>
    <w:rsid w:val="00503917"/>
    <w:rsid w:val="00505773"/>
    <w:rsid w:val="00505990"/>
    <w:rsid w:val="00505FCB"/>
    <w:rsid w:val="0050606E"/>
    <w:rsid w:val="00507D1B"/>
    <w:rsid w:val="005111AB"/>
    <w:rsid w:val="00511675"/>
    <w:rsid w:val="005124C7"/>
    <w:rsid w:val="0051284C"/>
    <w:rsid w:val="00515349"/>
    <w:rsid w:val="005154A8"/>
    <w:rsid w:val="00516FAF"/>
    <w:rsid w:val="00517A62"/>
    <w:rsid w:val="0052223A"/>
    <w:rsid w:val="00522741"/>
    <w:rsid w:val="00523F0A"/>
    <w:rsid w:val="005247CC"/>
    <w:rsid w:val="00525092"/>
    <w:rsid w:val="0052509B"/>
    <w:rsid w:val="00525D35"/>
    <w:rsid w:val="00526019"/>
    <w:rsid w:val="005309C0"/>
    <w:rsid w:val="00540244"/>
    <w:rsid w:val="00540746"/>
    <w:rsid w:val="00540EAB"/>
    <w:rsid w:val="0054160F"/>
    <w:rsid w:val="005425C3"/>
    <w:rsid w:val="00542681"/>
    <w:rsid w:val="0054483A"/>
    <w:rsid w:val="005454F8"/>
    <w:rsid w:val="00550BA0"/>
    <w:rsid w:val="00550DDF"/>
    <w:rsid w:val="00550E09"/>
    <w:rsid w:val="00553E56"/>
    <w:rsid w:val="00555F2D"/>
    <w:rsid w:val="00556C38"/>
    <w:rsid w:val="00556CA5"/>
    <w:rsid w:val="005602CD"/>
    <w:rsid w:val="00560E40"/>
    <w:rsid w:val="00561777"/>
    <w:rsid w:val="00561D23"/>
    <w:rsid w:val="00561E3C"/>
    <w:rsid w:val="0056320C"/>
    <w:rsid w:val="00564D33"/>
    <w:rsid w:val="005651A9"/>
    <w:rsid w:val="005654B8"/>
    <w:rsid w:val="00567B4B"/>
    <w:rsid w:val="00567E6F"/>
    <w:rsid w:val="00571D3F"/>
    <w:rsid w:val="00572AB9"/>
    <w:rsid w:val="005732ED"/>
    <w:rsid w:val="00573C28"/>
    <w:rsid w:val="00575321"/>
    <w:rsid w:val="00576937"/>
    <w:rsid w:val="00580032"/>
    <w:rsid w:val="00581AB8"/>
    <w:rsid w:val="00582FEC"/>
    <w:rsid w:val="00584409"/>
    <w:rsid w:val="00584936"/>
    <w:rsid w:val="00585096"/>
    <w:rsid w:val="00592F58"/>
    <w:rsid w:val="005933FB"/>
    <w:rsid w:val="005967BF"/>
    <w:rsid w:val="00596E70"/>
    <w:rsid w:val="005A1FEF"/>
    <w:rsid w:val="005A27C3"/>
    <w:rsid w:val="005A3DA2"/>
    <w:rsid w:val="005A4247"/>
    <w:rsid w:val="005A46D8"/>
    <w:rsid w:val="005A46E7"/>
    <w:rsid w:val="005A493A"/>
    <w:rsid w:val="005A659C"/>
    <w:rsid w:val="005A7F47"/>
    <w:rsid w:val="005B0039"/>
    <w:rsid w:val="005B018F"/>
    <w:rsid w:val="005B09A1"/>
    <w:rsid w:val="005B1246"/>
    <w:rsid w:val="005B2A9A"/>
    <w:rsid w:val="005B3A88"/>
    <w:rsid w:val="005B5527"/>
    <w:rsid w:val="005B5630"/>
    <w:rsid w:val="005B574A"/>
    <w:rsid w:val="005B580A"/>
    <w:rsid w:val="005B735F"/>
    <w:rsid w:val="005B79FC"/>
    <w:rsid w:val="005B7DC2"/>
    <w:rsid w:val="005C070F"/>
    <w:rsid w:val="005C082E"/>
    <w:rsid w:val="005C1E9F"/>
    <w:rsid w:val="005C1F37"/>
    <w:rsid w:val="005C5658"/>
    <w:rsid w:val="005C5CA8"/>
    <w:rsid w:val="005C7117"/>
    <w:rsid w:val="005D14F3"/>
    <w:rsid w:val="005D25EC"/>
    <w:rsid w:val="005D40C4"/>
    <w:rsid w:val="005D4A2B"/>
    <w:rsid w:val="005D4F79"/>
    <w:rsid w:val="005D6925"/>
    <w:rsid w:val="005D728F"/>
    <w:rsid w:val="005E2065"/>
    <w:rsid w:val="005E261E"/>
    <w:rsid w:val="005E4B91"/>
    <w:rsid w:val="005E6C58"/>
    <w:rsid w:val="005E7BCE"/>
    <w:rsid w:val="005F2ED2"/>
    <w:rsid w:val="005F4CA8"/>
    <w:rsid w:val="005F4D74"/>
    <w:rsid w:val="0060092E"/>
    <w:rsid w:val="0060170C"/>
    <w:rsid w:val="006022F7"/>
    <w:rsid w:val="0060285D"/>
    <w:rsid w:val="00604F83"/>
    <w:rsid w:val="0060516A"/>
    <w:rsid w:val="00606120"/>
    <w:rsid w:val="006062C9"/>
    <w:rsid w:val="006063EE"/>
    <w:rsid w:val="006065D6"/>
    <w:rsid w:val="00606808"/>
    <w:rsid w:val="00606F87"/>
    <w:rsid w:val="00607566"/>
    <w:rsid w:val="0060780C"/>
    <w:rsid w:val="0060781B"/>
    <w:rsid w:val="00610EE9"/>
    <w:rsid w:val="00610FFC"/>
    <w:rsid w:val="00611250"/>
    <w:rsid w:val="0061325D"/>
    <w:rsid w:val="00614574"/>
    <w:rsid w:val="00616852"/>
    <w:rsid w:val="006176D4"/>
    <w:rsid w:val="006209DF"/>
    <w:rsid w:val="006229B4"/>
    <w:rsid w:val="00622FBB"/>
    <w:rsid w:val="00622FD5"/>
    <w:rsid w:val="00623F91"/>
    <w:rsid w:val="006259F2"/>
    <w:rsid w:val="00627324"/>
    <w:rsid w:val="006278A4"/>
    <w:rsid w:val="00630B0D"/>
    <w:rsid w:val="00631436"/>
    <w:rsid w:val="006314C2"/>
    <w:rsid w:val="00632E8E"/>
    <w:rsid w:val="006335DF"/>
    <w:rsid w:val="0063401B"/>
    <w:rsid w:val="00634256"/>
    <w:rsid w:val="006352F5"/>
    <w:rsid w:val="00636609"/>
    <w:rsid w:val="00636A8F"/>
    <w:rsid w:val="006419D7"/>
    <w:rsid w:val="00641CBC"/>
    <w:rsid w:val="0064210C"/>
    <w:rsid w:val="00642280"/>
    <w:rsid w:val="00643016"/>
    <w:rsid w:val="00646166"/>
    <w:rsid w:val="00651B12"/>
    <w:rsid w:val="00653F46"/>
    <w:rsid w:val="006562E1"/>
    <w:rsid w:val="0066044E"/>
    <w:rsid w:val="00660518"/>
    <w:rsid w:val="00661A63"/>
    <w:rsid w:val="0066226E"/>
    <w:rsid w:val="00662B71"/>
    <w:rsid w:val="00663E4E"/>
    <w:rsid w:val="00663F80"/>
    <w:rsid w:val="00664795"/>
    <w:rsid w:val="00664C1D"/>
    <w:rsid w:val="00667380"/>
    <w:rsid w:val="00667D4F"/>
    <w:rsid w:val="0067181E"/>
    <w:rsid w:val="006736E6"/>
    <w:rsid w:val="00674D1B"/>
    <w:rsid w:val="00675FBA"/>
    <w:rsid w:val="00676A9E"/>
    <w:rsid w:val="00676F1B"/>
    <w:rsid w:val="00676FBC"/>
    <w:rsid w:val="00677111"/>
    <w:rsid w:val="0068123A"/>
    <w:rsid w:val="00684E15"/>
    <w:rsid w:val="00685576"/>
    <w:rsid w:val="006861AE"/>
    <w:rsid w:val="00686E64"/>
    <w:rsid w:val="00686EA2"/>
    <w:rsid w:val="006874D0"/>
    <w:rsid w:val="00687985"/>
    <w:rsid w:val="006902D9"/>
    <w:rsid w:val="00691945"/>
    <w:rsid w:val="0069305B"/>
    <w:rsid w:val="0069414B"/>
    <w:rsid w:val="00695163"/>
    <w:rsid w:val="00695968"/>
    <w:rsid w:val="00695EC1"/>
    <w:rsid w:val="006A0309"/>
    <w:rsid w:val="006A07CC"/>
    <w:rsid w:val="006A083B"/>
    <w:rsid w:val="006A0851"/>
    <w:rsid w:val="006A3173"/>
    <w:rsid w:val="006A3C19"/>
    <w:rsid w:val="006A40C8"/>
    <w:rsid w:val="006A4C00"/>
    <w:rsid w:val="006A51AC"/>
    <w:rsid w:val="006A6C75"/>
    <w:rsid w:val="006B05C7"/>
    <w:rsid w:val="006B192E"/>
    <w:rsid w:val="006B1A66"/>
    <w:rsid w:val="006B1BA9"/>
    <w:rsid w:val="006B26A8"/>
    <w:rsid w:val="006B3AD0"/>
    <w:rsid w:val="006B617C"/>
    <w:rsid w:val="006C00E7"/>
    <w:rsid w:val="006C0187"/>
    <w:rsid w:val="006C0E56"/>
    <w:rsid w:val="006C15F7"/>
    <w:rsid w:val="006C1A4A"/>
    <w:rsid w:val="006C21E9"/>
    <w:rsid w:val="006C2E50"/>
    <w:rsid w:val="006C3DC7"/>
    <w:rsid w:val="006C42DE"/>
    <w:rsid w:val="006C4567"/>
    <w:rsid w:val="006C57A1"/>
    <w:rsid w:val="006C648D"/>
    <w:rsid w:val="006C6BF6"/>
    <w:rsid w:val="006D009C"/>
    <w:rsid w:val="006D0719"/>
    <w:rsid w:val="006D16C8"/>
    <w:rsid w:val="006D195B"/>
    <w:rsid w:val="006D2DAF"/>
    <w:rsid w:val="006D481F"/>
    <w:rsid w:val="006E0F98"/>
    <w:rsid w:val="006E1C5E"/>
    <w:rsid w:val="006E28BB"/>
    <w:rsid w:val="006E33C1"/>
    <w:rsid w:val="006E433D"/>
    <w:rsid w:val="006E4C65"/>
    <w:rsid w:val="006E65E7"/>
    <w:rsid w:val="006E69B2"/>
    <w:rsid w:val="006E717E"/>
    <w:rsid w:val="006E7294"/>
    <w:rsid w:val="006E7398"/>
    <w:rsid w:val="006F0C55"/>
    <w:rsid w:val="006F1DE6"/>
    <w:rsid w:val="006F2476"/>
    <w:rsid w:val="006F2C90"/>
    <w:rsid w:val="006F2DF9"/>
    <w:rsid w:val="006F2EFC"/>
    <w:rsid w:val="006F61F5"/>
    <w:rsid w:val="006F7198"/>
    <w:rsid w:val="006F753F"/>
    <w:rsid w:val="007001B2"/>
    <w:rsid w:val="00700CBF"/>
    <w:rsid w:val="00700EE9"/>
    <w:rsid w:val="00700F3D"/>
    <w:rsid w:val="00702375"/>
    <w:rsid w:val="00702DCF"/>
    <w:rsid w:val="007052A2"/>
    <w:rsid w:val="0070560B"/>
    <w:rsid w:val="00705A2C"/>
    <w:rsid w:val="007070B5"/>
    <w:rsid w:val="0071059F"/>
    <w:rsid w:val="0071224E"/>
    <w:rsid w:val="007126D8"/>
    <w:rsid w:val="00714577"/>
    <w:rsid w:val="007159FF"/>
    <w:rsid w:val="007204F4"/>
    <w:rsid w:val="00720504"/>
    <w:rsid w:val="00720570"/>
    <w:rsid w:val="0072128A"/>
    <w:rsid w:val="00722979"/>
    <w:rsid w:val="007230E8"/>
    <w:rsid w:val="00723282"/>
    <w:rsid w:val="00725B15"/>
    <w:rsid w:val="0072604C"/>
    <w:rsid w:val="00730027"/>
    <w:rsid w:val="007300A0"/>
    <w:rsid w:val="00732B21"/>
    <w:rsid w:val="007348B2"/>
    <w:rsid w:val="007356F4"/>
    <w:rsid w:val="00742CAC"/>
    <w:rsid w:val="00743522"/>
    <w:rsid w:val="00746186"/>
    <w:rsid w:val="007466B6"/>
    <w:rsid w:val="00747903"/>
    <w:rsid w:val="00747F66"/>
    <w:rsid w:val="0075046B"/>
    <w:rsid w:val="00750B71"/>
    <w:rsid w:val="00750E25"/>
    <w:rsid w:val="00751325"/>
    <w:rsid w:val="00751525"/>
    <w:rsid w:val="00751969"/>
    <w:rsid w:val="007538B0"/>
    <w:rsid w:val="007555D3"/>
    <w:rsid w:val="00757F38"/>
    <w:rsid w:val="00760CA3"/>
    <w:rsid w:val="0076148C"/>
    <w:rsid w:val="0076447A"/>
    <w:rsid w:val="00765109"/>
    <w:rsid w:val="007651DB"/>
    <w:rsid w:val="00765465"/>
    <w:rsid w:val="00767BEF"/>
    <w:rsid w:val="00767ED3"/>
    <w:rsid w:val="00771FEF"/>
    <w:rsid w:val="007727DF"/>
    <w:rsid w:val="00772B00"/>
    <w:rsid w:val="007736D6"/>
    <w:rsid w:val="007742E7"/>
    <w:rsid w:val="0078038A"/>
    <w:rsid w:val="00780634"/>
    <w:rsid w:val="00780C74"/>
    <w:rsid w:val="007818A5"/>
    <w:rsid w:val="007848F7"/>
    <w:rsid w:val="00786202"/>
    <w:rsid w:val="00786797"/>
    <w:rsid w:val="007869EC"/>
    <w:rsid w:val="00787787"/>
    <w:rsid w:val="007911A6"/>
    <w:rsid w:val="00791A64"/>
    <w:rsid w:val="00791F71"/>
    <w:rsid w:val="00794B2C"/>
    <w:rsid w:val="00796C36"/>
    <w:rsid w:val="00796E37"/>
    <w:rsid w:val="007973AE"/>
    <w:rsid w:val="00797891"/>
    <w:rsid w:val="007A08C2"/>
    <w:rsid w:val="007A0DCF"/>
    <w:rsid w:val="007A38BA"/>
    <w:rsid w:val="007A47BC"/>
    <w:rsid w:val="007A6A69"/>
    <w:rsid w:val="007A6E9B"/>
    <w:rsid w:val="007A7883"/>
    <w:rsid w:val="007B0B58"/>
    <w:rsid w:val="007B0BA4"/>
    <w:rsid w:val="007B0E02"/>
    <w:rsid w:val="007B3306"/>
    <w:rsid w:val="007B444A"/>
    <w:rsid w:val="007B525A"/>
    <w:rsid w:val="007B7094"/>
    <w:rsid w:val="007C2A70"/>
    <w:rsid w:val="007C42D4"/>
    <w:rsid w:val="007C48A8"/>
    <w:rsid w:val="007C63AB"/>
    <w:rsid w:val="007C72CB"/>
    <w:rsid w:val="007C759C"/>
    <w:rsid w:val="007D03F0"/>
    <w:rsid w:val="007D187C"/>
    <w:rsid w:val="007D36C8"/>
    <w:rsid w:val="007D3C07"/>
    <w:rsid w:val="007D4700"/>
    <w:rsid w:val="007E06AF"/>
    <w:rsid w:val="007E0841"/>
    <w:rsid w:val="007E37CC"/>
    <w:rsid w:val="007E50E5"/>
    <w:rsid w:val="007E54A8"/>
    <w:rsid w:val="007E6327"/>
    <w:rsid w:val="007E6DC2"/>
    <w:rsid w:val="007E775F"/>
    <w:rsid w:val="007F1678"/>
    <w:rsid w:val="007F1E6A"/>
    <w:rsid w:val="007F24DA"/>
    <w:rsid w:val="007F3639"/>
    <w:rsid w:val="007F5477"/>
    <w:rsid w:val="007F59DA"/>
    <w:rsid w:val="007F7BC3"/>
    <w:rsid w:val="008006FC"/>
    <w:rsid w:val="0080088A"/>
    <w:rsid w:val="00800E74"/>
    <w:rsid w:val="00804C90"/>
    <w:rsid w:val="00804C9E"/>
    <w:rsid w:val="00805115"/>
    <w:rsid w:val="00805C20"/>
    <w:rsid w:val="00805DC6"/>
    <w:rsid w:val="0080673E"/>
    <w:rsid w:val="008067EE"/>
    <w:rsid w:val="00807BB6"/>
    <w:rsid w:val="008105C9"/>
    <w:rsid w:val="00813255"/>
    <w:rsid w:val="00813FC3"/>
    <w:rsid w:val="00815A52"/>
    <w:rsid w:val="00817FAD"/>
    <w:rsid w:val="008207CA"/>
    <w:rsid w:val="008234A6"/>
    <w:rsid w:val="00823600"/>
    <w:rsid w:val="00824430"/>
    <w:rsid w:val="00824B09"/>
    <w:rsid w:val="00824C43"/>
    <w:rsid w:val="008251D5"/>
    <w:rsid w:val="008268B6"/>
    <w:rsid w:val="00827425"/>
    <w:rsid w:val="00827678"/>
    <w:rsid w:val="00827A8D"/>
    <w:rsid w:val="00831136"/>
    <w:rsid w:val="008335B7"/>
    <w:rsid w:val="00835C85"/>
    <w:rsid w:val="00837001"/>
    <w:rsid w:val="00842179"/>
    <w:rsid w:val="00842192"/>
    <w:rsid w:val="008423F0"/>
    <w:rsid w:val="008425E0"/>
    <w:rsid w:val="00844D3B"/>
    <w:rsid w:val="0084531C"/>
    <w:rsid w:val="00845D5E"/>
    <w:rsid w:val="00846356"/>
    <w:rsid w:val="008500F9"/>
    <w:rsid w:val="0085188F"/>
    <w:rsid w:val="00851C17"/>
    <w:rsid w:val="008528A9"/>
    <w:rsid w:val="00853010"/>
    <w:rsid w:val="008547F7"/>
    <w:rsid w:val="00854C47"/>
    <w:rsid w:val="00854DD4"/>
    <w:rsid w:val="00860A77"/>
    <w:rsid w:val="00861FA7"/>
    <w:rsid w:val="0086255A"/>
    <w:rsid w:val="00862727"/>
    <w:rsid w:val="00863FAC"/>
    <w:rsid w:val="0086486E"/>
    <w:rsid w:val="0086619E"/>
    <w:rsid w:val="00866DEA"/>
    <w:rsid w:val="008674EA"/>
    <w:rsid w:val="008700FC"/>
    <w:rsid w:val="0087164A"/>
    <w:rsid w:val="00871796"/>
    <w:rsid w:val="00872870"/>
    <w:rsid w:val="00872921"/>
    <w:rsid w:val="00873351"/>
    <w:rsid w:val="0087367F"/>
    <w:rsid w:val="00877453"/>
    <w:rsid w:val="0088053F"/>
    <w:rsid w:val="0088065E"/>
    <w:rsid w:val="00882473"/>
    <w:rsid w:val="00882547"/>
    <w:rsid w:val="00882835"/>
    <w:rsid w:val="0088330C"/>
    <w:rsid w:val="00883434"/>
    <w:rsid w:val="008849BF"/>
    <w:rsid w:val="0088598E"/>
    <w:rsid w:val="00886588"/>
    <w:rsid w:val="008922A1"/>
    <w:rsid w:val="00892726"/>
    <w:rsid w:val="00892E37"/>
    <w:rsid w:val="0089367C"/>
    <w:rsid w:val="00893A7F"/>
    <w:rsid w:val="00893AE2"/>
    <w:rsid w:val="00894329"/>
    <w:rsid w:val="00894D85"/>
    <w:rsid w:val="00896CC7"/>
    <w:rsid w:val="008A00B4"/>
    <w:rsid w:val="008A0494"/>
    <w:rsid w:val="008A23B9"/>
    <w:rsid w:val="008A2620"/>
    <w:rsid w:val="008A4401"/>
    <w:rsid w:val="008A4E7D"/>
    <w:rsid w:val="008A55A5"/>
    <w:rsid w:val="008A5BEB"/>
    <w:rsid w:val="008A79BC"/>
    <w:rsid w:val="008B1A44"/>
    <w:rsid w:val="008B2A17"/>
    <w:rsid w:val="008B3C4E"/>
    <w:rsid w:val="008B40FB"/>
    <w:rsid w:val="008B452C"/>
    <w:rsid w:val="008B4561"/>
    <w:rsid w:val="008B6D21"/>
    <w:rsid w:val="008B7D32"/>
    <w:rsid w:val="008C0B86"/>
    <w:rsid w:val="008C0F7F"/>
    <w:rsid w:val="008C13CD"/>
    <w:rsid w:val="008C3633"/>
    <w:rsid w:val="008C3E64"/>
    <w:rsid w:val="008C5A6D"/>
    <w:rsid w:val="008C7B85"/>
    <w:rsid w:val="008D156B"/>
    <w:rsid w:val="008D2250"/>
    <w:rsid w:val="008D276C"/>
    <w:rsid w:val="008D2BAE"/>
    <w:rsid w:val="008D344B"/>
    <w:rsid w:val="008D38B0"/>
    <w:rsid w:val="008D4C86"/>
    <w:rsid w:val="008D4E0A"/>
    <w:rsid w:val="008D6B40"/>
    <w:rsid w:val="008D7A11"/>
    <w:rsid w:val="008E00A3"/>
    <w:rsid w:val="008E0922"/>
    <w:rsid w:val="008E0E95"/>
    <w:rsid w:val="008E2457"/>
    <w:rsid w:val="008E3363"/>
    <w:rsid w:val="008E393C"/>
    <w:rsid w:val="008E5BAC"/>
    <w:rsid w:val="008E61F5"/>
    <w:rsid w:val="008E63CF"/>
    <w:rsid w:val="008E77EB"/>
    <w:rsid w:val="008F013B"/>
    <w:rsid w:val="008F0382"/>
    <w:rsid w:val="008F216F"/>
    <w:rsid w:val="008F3409"/>
    <w:rsid w:val="008F4862"/>
    <w:rsid w:val="008F4E9F"/>
    <w:rsid w:val="008F513D"/>
    <w:rsid w:val="008F5B48"/>
    <w:rsid w:val="008F6350"/>
    <w:rsid w:val="008F637C"/>
    <w:rsid w:val="008F70F1"/>
    <w:rsid w:val="008F7CB6"/>
    <w:rsid w:val="00901BDF"/>
    <w:rsid w:val="00904526"/>
    <w:rsid w:val="00905A5C"/>
    <w:rsid w:val="00905B79"/>
    <w:rsid w:val="00905E71"/>
    <w:rsid w:val="00906D39"/>
    <w:rsid w:val="00906FDA"/>
    <w:rsid w:val="00907E35"/>
    <w:rsid w:val="009106CF"/>
    <w:rsid w:val="00910814"/>
    <w:rsid w:val="00910DB9"/>
    <w:rsid w:val="00913E80"/>
    <w:rsid w:val="00914D36"/>
    <w:rsid w:val="00916848"/>
    <w:rsid w:val="0091753A"/>
    <w:rsid w:val="009179FE"/>
    <w:rsid w:val="009210F4"/>
    <w:rsid w:val="00922D5D"/>
    <w:rsid w:val="00922DCE"/>
    <w:rsid w:val="00924A34"/>
    <w:rsid w:val="0092730A"/>
    <w:rsid w:val="00927682"/>
    <w:rsid w:val="009327B2"/>
    <w:rsid w:val="00933193"/>
    <w:rsid w:val="009332FD"/>
    <w:rsid w:val="00933578"/>
    <w:rsid w:val="00933A59"/>
    <w:rsid w:val="00933E27"/>
    <w:rsid w:val="00934F4A"/>
    <w:rsid w:val="00937588"/>
    <w:rsid w:val="00937736"/>
    <w:rsid w:val="00937875"/>
    <w:rsid w:val="00941176"/>
    <w:rsid w:val="00941C70"/>
    <w:rsid w:val="00942B8E"/>
    <w:rsid w:val="00943664"/>
    <w:rsid w:val="00943D36"/>
    <w:rsid w:val="009451C5"/>
    <w:rsid w:val="00946528"/>
    <w:rsid w:val="00946911"/>
    <w:rsid w:val="00946E49"/>
    <w:rsid w:val="0094735F"/>
    <w:rsid w:val="0094787D"/>
    <w:rsid w:val="00950733"/>
    <w:rsid w:val="009515EC"/>
    <w:rsid w:val="00951B83"/>
    <w:rsid w:val="00952A95"/>
    <w:rsid w:val="00953302"/>
    <w:rsid w:val="0095333D"/>
    <w:rsid w:val="00953D8B"/>
    <w:rsid w:val="00956314"/>
    <w:rsid w:val="00956476"/>
    <w:rsid w:val="00957424"/>
    <w:rsid w:val="00962287"/>
    <w:rsid w:val="00962D9C"/>
    <w:rsid w:val="00963DB9"/>
    <w:rsid w:val="00964CCB"/>
    <w:rsid w:val="00965738"/>
    <w:rsid w:val="009668A4"/>
    <w:rsid w:val="00966948"/>
    <w:rsid w:val="009709C8"/>
    <w:rsid w:val="0097119C"/>
    <w:rsid w:val="00971E8E"/>
    <w:rsid w:val="009731AE"/>
    <w:rsid w:val="009735AD"/>
    <w:rsid w:val="0097626F"/>
    <w:rsid w:val="00976BD7"/>
    <w:rsid w:val="009770F1"/>
    <w:rsid w:val="009774EA"/>
    <w:rsid w:val="00977750"/>
    <w:rsid w:val="00980A0D"/>
    <w:rsid w:val="00980A8C"/>
    <w:rsid w:val="0098127D"/>
    <w:rsid w:val="009851C4"/>
    <w:rsid w:val="009857B4"/>
    <w:rsid w:val="00985CF9"/>
    <w:rsid w:val="00987CF1"/>
    <w:rsid w:val="00993ACE"/>
    <w:rsid w:val="00993B00"/>
    <w:rsid w:val="00993FE7"/>
    <w:rsid w:val="009945D1"/>
    <w:rsid w:val="00994607"/>
    <w:rsid w:val="00994CDB"/>
    <w:rsid w:val="009959EB"/>
    <w:rsid w:val="009971A8"/>
    <w:rsid w:val="009A0133"/>
    <w:rsid w:val="009A0B95"/>
    <w:rsid w:val="009A1C14"/>
    <w:rsid w:val="009A304D"/>
    <w:rsid w:val="009A3A38"/>
    <w:rsid w:val="009A3EFD"/>
    <w:rsid w:val="009A49CE"/>
    <w:rsid w:val="009A5330"/>
    <w:rsid w:val="009A56EC"/>
    <w:rsid w:val="009A5FA3"/>
    <w:rsid w:val="009A6198"/>
    <w:rsid w:val="009A63A4"/>
    <w:rsid w:val="009B134E"/>
    <w:rsid w:val="009B4753"/>
    <w:rsid w:val="009B4E42"/>
    <w:rsid w:val="009B5C68"/>
    <w:rsid w:val="009B5DE8"/>
    <w:rsid w:val="009B5E1D"/>
    <w:rsid w:val="009B66D1"/>
    <w:rsid w:val="009B70A3"/>
    <w:rsid w:val="009C0185"/>
    <w:rsid w:val="009C1CA0"/>
    <w:rsid w:val="009C2478"/>
    <w:rsid w:val="009C2541"/>
    <w:rsid w:val="009C26DE"/>
    <w:rsid w:val="009C3B78"/>
    <w:rsid w:val="009C3C93"/>
    <w:rsid w:val="009C48E5"/>
    <w:rsid w:val="009C52FB"/>
    <w:rsid w:val="009C5B2A"/>
    <w:rsid w:val="009C7D15"/>
    <w:rsid w:val="009D130B"/>
    <w:rsid w:val="009D1B46"/>
    <w:rsid w:val="009D1BAE"/>
    <w:rsid w:val="009D3112"/>
    <w:rsid w:val="009D383C"/>
    <w:rsid w:val="009D38BB"/>
    <w:rsid w:val="009D3C6A"/>
    <w:rsid w:val="009D4F96"/>
    <w:rsid w:val="009D7F05"/>
    <w:rsid w:val="009E057A"/>
    <w:rsid w:val="009E163F"/>
    <w:rsid w:val="009E2FE3"/>
    <w:rsid w:val="009E3609"/>
    <w:rsid w:val="009E3DA3"/>
    <w:rsid w:val="009E3E23"/>
    <w:rsid w:val="009E4878"/>
    <w:rsid w:val="009E652F"/>
    <w:rsid w:val="009E77C4"/>
    <w:rsid w:val="009E79FA"/>
    <w:rsid w:val="009F0270"/>
    <w:rsid w:val="009F0535"/>
    <w:rsid w:val="009F079A"/>
    <w:rsid w:val="009F15C6"/>
    <w:rsid w:val="009F2CE7"/>
    <w:rsid w:val="009F4891"/>
    <w:rsid w:val="009F50CE"/>
    <w:rsid w:val="00A0014C"/>
    <w:rsid w:val="00A00EDA"/>
    <w:rsid w:val="00A02140"/>
    <w:rsid w:val="00A02544"/>
    <w:rsid w:val="00A02E37"/>
    <w:rsid w:val="00A062BC"/>
    <w:rsid w:val="00A065C9"/>
    <w:rsid w:val="00A06CA6"/>
    <w:rsid w:val="00A120F9"/>
    <w:rsid w:val="00A1248B"/>
    <w:rsid w:val="00A12D22"/>
    <w:rsid w:val="00A14041"/>
    <w:rsid w:val="00A14E0D"/>
    <w:rsid w:val="00A156FC"/>
    <w:rsid w:val="00A1589E"/>
    <w:rsid w:val="00A15D5C"/>
    <w:rsid w:val="00A15FA6"/>
    <w:rsid w:val="00A16100"/>
    <w:rsid w:val="00A166B2"/>
    <w:rsid w:val="00A20515"/>
    <w:rsid w:val="00A20B94"/>
    <w:rsid w:val="00A2283A"/>
    <w:rsid w:val="00A23F74"/>
    <w:rsid w:val="00A23F7A"/>
    <w:rsid w:val="00A24A36"/>
    <w:rsid w:val="00A256D4"/>
    <w:rsid w:val="00A26E52"/>
    <w:rsid w:val="00A27A84"/>
    <w:rsid w:val="00A27B32"/>
    <w:rsid w:val="00A30F6E"/>
    <w:rsid w:val="00A32644"/>
    <w:rsid w:val="00A328F0"/>
    <w:rsid w:val="00A35D74"/>
    <w:rsid w:val="00A35DB4"/>
    <w:rsid w:val="00A362AF"/>
    <w:rsid w:val="00A36F7A"/>
    <w:rsid w:val="00A37F6C"/>
    <w:rsid w:val="00A4033B"/>
    <w:rsid w:val="00A40584"/>
    <w:rsid w:val="00A433F5"/>
    <w:rsid w:val="00A436FF"/>
    <w:rsid w:val="00A44515"/>
    <w:rsid w:val="00A45F83"/>
    <w:rsid w:val="00A47469"/>
    <w:rsid w:val="00A47B6C"/>
    <w:rsid w:val="00A50BD1"/>
    <w:rsid w:val="00A5613A"/>
    <w:rsid w:val="00A57CC3"/>
    <w:rsid w:val="00A60739"/>
    <w:rsid w:val="00A614B6"/>
    <w:rsid w:val="00A638B6"/>
    <w:rsid w:val="00A63BF9"/>
    <w:rsid w:val="00A63FBA"/>
    <w:rsid w:val="00A66724"/>
    <w:rsid w:val="00A66C7F"/>
    <w:rsid w:val="00A66F3C"/>
    <w:rsid w:val="00A71CAB"/>
    <w:rsid w:val="00A72651"/>
    <w:rsid w:val="00A7307A"/>
    <w:rsid w:val="00A73943"/>
    <w:rsid w:val="00A74935"/>
    <w:rsid w:val="00A74D01"/>
    <w:rsid w:val="00A75765"/>
    <w:rsid w:val="00A80F73"/>
    <w:rsid w:val="00A813DF"/>
    <w:rsid w:val="00A815D9"/>
    <w:rsid w:val="00A82AF6"/>
    <w:rsid w:val="00A83EA7"/>
    <w:rsid w:val="00A8449D"/>
    <w:rsid w:val="00A94F69"/>
    <w:rsid w:val="00A96879"/>
    <w:rsid w:val="00A97326"/>
    <w:rsid w:val="00AA0076"/>
    <w:rsid w:val="00AA048E"/>
    <w:rsid w:val="00AA17AB"/>
    <w:rsid w:val="00AA1C2C"/>
    <w:rsid w:val="00AA1CCA"/>
    <w:rsid w:val="00AA3F96"/>
    <w:rsid w:val="00AA4291"/>
    <w:rsid w:val="00AA5738"/>
    <w:rsid w:val="00AA5C17"/>
    <w:rsid w:val="00AA5F60"/>
    <w:rsid w:val="00AA6D21"/>
    <w:rsid w:val="00AA70CD"/>
    <w:rsid w:val="00AB1AA0"/>
    <w:rsid w:val="00AB250D"/>
    <w:rsid w:val="00AB38E7"/>
    <w:rsid w:val="00AB549E"/>
    <w:rsid w:val="00AB55FA"/>
    <w:rsid w:val="00AB5C35"/>
    <w:rsid w:val="00AB6A7E"/>
    <w:rsid w:val="00AC0831"/>
    <w:rsid w:val="00AC1128"/>
    <w:rsid w:val="00AC16F3"/>
    <w:rsid w:val="00AC2093"/>
    <w:rsid w:val="00AC5EC7"/>
    <w:rsid w:val="00AC6308"/>
    <w:rsid w:val="00AC7C2C"/>
    <w:rsid w:val="00AD136F"/>
    <w:rsid w:val="00AD1768"/>
    <w:rsid w:val="00AD525D"/>
    <w:rsid w:val="00AD7B41"/>
    <w:rsid w:val="00AE3CA2"/>
    <w:rsid w:val="00AE4578"/>
    <w:rsid w:val="00AE4C0C"/>
    <w:rsid w:val="00AE53BE"/>
    <w:rsid w:val="00AE5741"/>
    <w:rsid w:val="00AE5AB8"/>
    <w:rsid w:val="00AE6C26"/>
    <w:rsid w:val="00AE707A"/>
    <w:rsid w:val="00AE7346"/>
    <w:rsid w:val="00AE764C"/>
    <w:rsid w:val="00AE7B25"/>
    <w:rsid w:val="00AF12FD"/>
    <w:rsid w:val="00AF4541"/>
    <w:rsid w:val="00AF4D0D"/>
    <w:rsid w:val="00AF5403"/>
    <w:rsid w:val="00AF6D64"/>
    <w:rsid w:val="00AF7751"/>
    <w:rsid w:val="00B0075C"/>
    <w:rsid w:val="00B01996"/>
    <w:rsid w:val="00B02203"/>
    <w:rsid w:val="00B02257"/>
    <w:rsid w:val="00B03822"/>
    <w:rsid w:val="00B03E09"/>
    <w:rsid w:val="00B03FAC"/>
    <w:rsid w:val="00B064C4"/>
    <w:rsid w:val="00B11390"/>
    <w:rsid w:val="00B11D4C"/>
    <w:rsid w:val="00B11E57"/>
    <w:rsid w:val="00B128C6"/>
    <w:rsid w:val="00B12DA4"/>
    <w:rsid w:val="00B13B6E"/>
    <w:rsid w:val="00B14286"/>
    <w:rsid w:val="00B151D0"/>
    <w:rsid w:val="00B209C3"/>
    <w:rsid w:val="00B214B9"/>
    <w:rsid w:val="00B232F9"/>
    <w:rsid w:val="00B23366"/>
    <w:rsid w:val="00B23714"/>
    <w:rsid w:val="00B23AC7"/>
    <w:rsid w:val="00B25AB1"/>
    <w:rsid w:val="00B276FB"/>
    <w:rsid w:val="00B30BBF"/>
    <w:rsid w:val="00B31235"/>
    <w:rsid w:val="00B3206A"/>
    <w:rsid w:val="00B33A8A"/>
    <w:rsid w:val="00B343F4"/>
    <w:rsid w:val="00B34A01"/>
    <w:rsid w:val="00B35145"/>
    <w:rsid w:val="00B35476"/>
    <w:rsid w:val="00B36A3C"/>
    <w:rsid w:val="00B37DF3"/>
    <w:rsid w:val="00B406E5"/>
    <w:rsid w:val="00B4158B"/>
    <w:rsid w:val="00B4645F"/>
    <w:rsid w:val="00B46634"/>
    <w:rsid w:val="00B46F73"/>
    <w:rsid w:val="00B473D0"/>
    <w:rsid w:val="00B47B45"/>
    <w:rsid w:val="00B47F1F"/>
    <w:rsid w:val="00B519B2"/>
    <w:rsid w:val="00B52844"/>
    <w:rsid w:val="00B52C93"/>
    <w:rsid w:val="00B53B5A"/>
    <w:rsid w:val="00B56C79"/>
    <w:rsid w:val="00B60BD0"/>
    <w:rsid w:val="00B60CA0"/>
    <w:rsid w:val="00B61C44"/>
    <w:rsid w:val="00B62AD7"/>
    <w:rsid w:val="00B6609C"/>
    <w:rsid w:val="00B66795"/>
    <w:rsid w:val="00B66F89"/>
    <w:rsid w:val="00B708A3"/>
    <w:rsid w:val="00B70E8D"/>
    <w:rsid w:val="00B7380C"/>
    <w:rsid w:val="00B73C55"/>
    <w:rsid w:val="00B76FCD"/>
    <w:rsid w:val="00B77189"/>
    <w:rsid w:val="00B8109B"/>
    <w:rsid w:val="00B81B3A"/>
    <w:rsid w:val="00B82A72"/>
    <w:rsid w:val="00B83F44"/>
    <w:rsid w:val="00B84125"/>
    <w:rsid w:val="00B8448F"/>
    <w:rsid w:val="00B8498A"/>
    <w:rsid w:val="00B851DD"/>
    <w:rsid w:val="00B87D7C"/>
    <w:rsid w:val="00B9016D"/>
    <w:rsid w:val="00B902F7"/>
    <w:rsid w:val="00B92076"/>
    <w:rsid w:val="00B93738"/>
    <w:rsid w:val="00B938E8"/>
    <w:rsid w:val="00B93A1E"/>
    <w:rsid w:val="00B9567A"/>
    <w:rsid w:val="00B96890"/>
    <w:rsid w:val="00B976CE"/>
    <w:rsid w:val="00B977CF"/>
    <w:rsid w:val="00BA0FE1"/>
    <w:rsid w:val="00BA14AE"/>
    <w:rsid w:val="00BA36E7"/>
    <w:rsid w:val="00BA3AE8"/>
    <w:rsid w:val="00BA3FDE"/>
    <w:rsid w:val="00BA5A56"/>
    <w:rsid w:val="00BA6044"/>
    <w:rsid w:val="00BA7F9C"/>
    <w:rsid w:val="00BA7FCD"/>
    <w:rsid w:val="00BB02B9"/>
    <w:rsid w:val="00BB0D27"/>
    <w:rsid w:val="00BB1380"/>
    <w:rsid w:val="00BB525A"/>
    <w:rsid w:val="00BB567D"/>
    <w:rsid w:val="00BB58CC"/>
    <w:rsid w:val="00BB6B7C"/>
    <w:rsid w:val="00BB77F7"/>
    <w:rsid w:val="00BC20FA"/>
    <w:rsid w:val="00BC22C5"/>
    <w:rsid w:val="00BC3154"/>
    <w:rsid w:val="00BC381D"/>
    <w:rsid w:val="00BC3BBF"/>
    <w:rsid w:val="00BC3C75"/>
    <w:rsid w:val="00BC4B5A"/>
    <w:rsid w:val="00BC52D2"/>
    <w:rsid w:val="00BC5698"/>
    <w:rsid w:val="00BC57C5"/>
    <w:rsid w:val="00BC612D"/>
    <w:rsid w:val="00BC77E1"/>
    <w:rsid w:val="00BD009A"/>
    <w:rsid w:val="00BD18BF"/>
    <w:rsid w:val="00BD1B35"/>
    <w:rsid w:val="00BD2AB0"/>
    <w:rsid w:val="00BD3E6F"/>
    <w:rsid w:val="00BD3F68"/>
    <w:rsid w:val="00BD76E6"/>
    <w:rsid w:val="00BD7A84"/>
    <w:rsid w:val="00BD7AFD"/>
    <w:rsid w:val="00BE0404"/>
    <w:rsid w:val="00BE05FD"/>
    <w:rsid w:val="00BE233F"/>
    <w:rsid w:val="00BE2614"/>
    <w:rsid w:val="00BE2B75"/>
    <w:rsid w:val="00BE4AD4"/>
    <w:rsid w:val="00BE5C6F"/>
    <w:rsid w:val="00BE669C"/>
    <w:rsid w:val="00BE6F49"/>
    <w:rsid w:val="00BE6F53"/>
    <w:rsid w:val="00BE79E1"/>
    <w:rsid w:val="00BF010C"/>
    <w:rsid w:val="00BF09F2"/>
    <w:rsid w:val="00BF0C19"/>
    <w:rsid w:val="00BF1A1F"/>
    <w:rsid w:val="00BF6123"/>
    <w:rsid w:val="00BF63EE"/>
    <w:rsid w:val="00BF74C2"/>
    <w:rsid w:val="00BF7606"/>
    <w:rsid w:val="00C0049F"/>
    <w:rsid w:val="00C0065A"/>
    <w:rsid w:val="00C034AD"/>
    <w:rsid w:val="00C04A0A"/>
    <w:rsid w:val="00C05958"/>
    <w:rsid w:val="00C064F6"/>
    <w:rsid w:val="00C06944"/>
    <w:rsid w:val="00C06B8E"/>
    <w:rsid w:val="00C13039"/>
    <w:rsid w:val="00C15AEC"/>
    <w:rsid w:val="00C15DC4"/>
    <w:rsid w:val="00C15F7C"/>
    <w:rsid w:val="00C16E6A"/>
    <w:rsid w:val="00C2086A"/>
    <w:rsid w:val="00C20EE6"/>
    <w:rsid w:val="00C217A6"/>
    <w:rsid w:val="00C25369"/>
    <w:rsid w:val="00C25ECB"/>
    <w:rsid w:val="00C2653C"/>
    <w:rsid w:val="00C2711B"/>
    <w:rsid w:val="00C3147C"/>
    <w:rsid w:val="00C32CB0"/>
    <w:rsid w:val="00C337B0"/>
    <w:rsid w:val="00C37B92"/>
    <w:rsid w:val="00C43753"/>
    <w:rsid w:val="00C44250"/>
    <w:rsid w:val="00C449DA"/>
    <w:rsid w:val="00C45A12"/>
    <w:rsid w:val="00C461EE"/>
    <w:rsid w:val="00C462B9"/>
    <w:rsid w:val="00C462C3"/>
    <w:rsid w:val="00C53B8F"/>
    <w:rsid w:val="00C54059"/>
    <w:rsid w:val="00C54235"/>
    <w:rsid w:val="00C5502E"/>
    <w:rsid w:val="00C559B3"/>
    <w:rsid w:val="00C55A66"/>
    <w:rsid w:val="00C562E9"/>
    <w:rsid w:val="00C60BAF"/>
    <w:rsid w:val="00C62B28"/>
    <w:rsid w:val="00C634B2"/>
    <w:rsid w:val="00C635C0"/>
    <w:rsid w:val="00C63C40"/>
    <w:rsid w:val="00C640B0"/>
    <w:rsid w:val="00C64CA1"/>
    <w:rsid w:val="00C65082"/>
    <w:rsid w:val="00C65EDB"/>
    <w:rsid w:val="00C67757"/>
    <w:rsid w:val="00C7002F"/>
    <w:rsid w:val="00C70AD4"/>
    <w:rsid w:val="00C71B61"/>
    <w:rsid w:val="00C73109"/>
    <w:rsid w:val="00C731B7"/>
    <w:rsid w:val="00C74EE9"/>
    <w:rsid w:val="00C76FCC"/>
    <w:rsid w:val="00C77D44"/>
    <w:rsid w:val="00C8044B"/>
    <w:rsid w:val="00C81923"/>
    <w:rsid w:val="00C852F6"/>
    <w:rsid w:val="00C853DA"/>
    <w:rsid w:val="00C90D66"/>
    <w:rsid w:val="00C9104D"/>
    <w:rsid w:val="00C91C3A"/>
    <w:rsid w:val="00C93C21"/>
    <w:rsid w:val="00C93EED"/>
    <w:rsid w:val="00C94705"/>
    <w:rsid w:val="00C94DD4"/>
    <w:rsid w:val="00C956E0"/>
    <w:rsid w:val="00C96A73"/>
    <w:rsid w:val="00CA2B60"/>
    <w:rsid w:val="00CA2EC7"/>
    <w:rsid w:val="00CA398A"/>
    <w:rsid w:val="00CA53A6"/>
    <w:rsid w:val="00CA7D72"/>
    <w:rsid w:val="00CB296D"/>
    <w:rsid w:val="00CB297A"/>
    <w:rsid w:val="00CB3340"/>
    <w:rsid w:val="00CB33F0"/>
    <w:rsid w:val="00CB3518"/>
    <w:rsid w:val="00CB41EF"/>
    <w:rsid w:val="00CB5FE4"/>
    <w:rsid w:val="00CB65B8"/>
    <w:rsid w:val="00CB6A9F"/>
    <w:rsid w:val="00CB77F0"/>
    <w:rsid w:val="00CC3268"/>
    <w:rsid w:val="00CC4BA2"/>
    <w:rsid w:val="00CC58E7"/>
    <w:rsid w:val="00CC6232"/>
    <w:rsid w:val="00CC62CC"/>
    <w:rsid w:val="00CC6CC3"/>
    <w:rsid w:val="00CC7582"/>
    <w:rsid w:val="00CD0355"/>
    <w:rsid w:val="00CD19A6"/>
    <w:rsid w:val="00CD36F8"/>
    <w:rsid w:val="00CD4553"/>
    <w:rsid w:val="00CD4722"/>
    <w:rsid w:val="00CD4F62"/>
    <w:rsid w:val="00CD5995"/>
    <w:rsid w:val="00CD5BAA"/>
    <w:rsid w:val="00CD7FE2"/>
    <w:rsid w:val="00CE1377"/>
    <w:rsid w:val="00CE26D9"/>
    <w:rsid w:val="00CE2B87"/>
    <w:rsid w:val="00CE5987"/>
    <w:rsid w:val="00CE63CD"/>
    <w:rsid w:val="00CF108F"/>
    <w:rsid w:val="00CF157E"/>
    <w:rsid w:val="00CF25FC"/>
    <w:rsid w:val="00CF5D3B"/>
    <w:rsid w:val="00CF626A"/>
    <w:rsid w:val="00CF6616"/>
    <w:rsid w:val="00D023FA"/>
    <w:rsid w:val="00D02AD3"/>
    <w:rsid w:val="00D0533B"/>
    <w:rsid w:val="00D06DAE"/>
    <w:rsid w:val="00D06DE7"/>
    <w:rsid w:val="00D07DF2"/>
    <w:rsid w:val="00D101D0"/>
    <w:rsid w:val="00D10A7F"/>
    <w:rsid w:val="00D113AD"/>
    <w:rsid w:val="00D12D7F"/>
    <w:rsid w:val="00D14BA2"/>
    <w:rsid w:val="00D157AD"/>
    <w:rsid w:val="00D17934"/>
    <w:rsid w:val="00D2131A"/>
    <w:rsid w:val="00D21842"/>
    <w:rsid w:val="00D21ECB"/>
    <w:rsid w:val="00D22118"/>
    <w:rsid w:val="00D22C16"/>
    <w:rsid w:val="00D23E38"/>
    <w:rsid w:val="00D24DB3"/>
    <w:rsid w:val="00D2607A"/>
    <w:rsid w:val="00D30608"/>
    <w:rsid w:val="00D31A24"/>
    <w:rsid w:val="00D32108"/>
    <w:rsid w:val="00D333F9"/>
    <w:rsid w:val="00D33FA0"/>
    <w:rsid w:val="00D34985"/>
    <w:rsid w:val="00D3564B"/>
    <w:rsid w:val="00D43CAC"/>
    <w:rsid w:val="00D45090"/>
    <w:rsid w:val="00D467B2"/>
    <w:rsid w:val="00D46BA0"/>
    <w:rsid w:val="00D47781"/>
    <w:rsid w:val="00D47B3A"/>
    <w:rsid w:val="00D50EDE"/>
    <w:rsid w:val="00D519A7"/>
    <w:rsid w:val="00D53492"/>
    <w:rsid w:val="00D547A3"/>
    <w:rsid w:val="00D54C89"/>
    <w:rsid w:val="00D55F20"/>
    <w:rsid w:val="00D6018E"/>
    <w:rsid w:val="00D60503"/>
    <w:rsid w:val="00D61A63"/>
    <w:rsid w:val="00D64EC8"/>
    <w:rsid w:val="00D650FC"/>
    <w:rsid w:val="00D65995"/>
    <w:rsid w:val="00D659ED"/>
    <w:rsid w:val="00D67761"/>
    <w:rsid w:val="00D705B3"/>
    <w:rsid w:val="00D71114"/>
    <w:rsid w:val="00D730E5"/>
    <w:rsid w:val="00D74AB1"/>
    <w:rsid w:val="00D74D2D"/>
    <w:rsid w:val="00D776CF"/>
    <w:rsid w:val="00D80634"/>
    <w:rsid w:val="00D81F15"/>
    <w:rsid w:val="00D82229"/>
    <w:rsid w:val="00D824A4"/>
    <w:rsid w:val="00D846DD"/>
    <w:rsid w:val="00D84B9B"/>
    <w:rsid w:val="00D86042"/>
    <w:rsid w:val="00D86090"/>
    <w:rsid w:val="00D86AD2"/>
    <w:rsid w:val="00D90D75"/>
    <w:rsid w:val="00D920AD"/>
    <w:rsid w:val="00D933BE"/>
    <w:rsid w:val="00D93AE2"/>
    <w:rsid w:val="00D943FE"/>
    <w:rsid w:val="00D94E47"/>
    <w:rsid w:val="00D95201"/>
    <w:rsid w:val="00D974AA"/>
    <w:rsid w:val="00DA0DFC"/>
    <w:rsid w:val="00DA0F50"/>
    <w:rsid w:val="00DA314E"/>
    <w:rsid w:val="00DA3524"/>
    <w:rsid w:val="00DA35B0"/>
    <w:rsid w:val="00DA4E16"/>
    <w:rsid w:val="00DA5E45"/>
    <w:rsid w:val="00DA5F82"/>
    <w:rsid w:val="00DA762C"/>
    <w:rsid w:val="00DB0630"/>
    <w:rsid w:val="00DB0CA8"/>
    <w:rsid w:val="00DB17B0"/>
    <w:rsid w:val="00DB1920"/>
    <w:rsid w:val="00DB1925"/>
    <w:rsid w:val="00DB207F"/>
    <w:rsid w:val="00DB2BD2"/>
    <w:rsid w:val="00DB3AA3"/>
    <w:rsid w:val="00DB40F2"/>
    <w:rsid w:val="00DB5E65"/>
    <w:rsid w:val="00DB73B4"/>
    <w:rsid w:val="00DC0AA0"/>
    <w:rsid w:val="00DC0FAC"/>
    <w:rsid w:val="00DC24F0"/>
    <w:rsid w:val="00DC25FC"/>
    <w:rsid w:val="00DC4F16"/>
    <w:rsid w:val="00DC56D3"/>
    <w:rsid w:val="00DC646E"/>
    <w:rsid w:val="00DC79DF"/>
    <w:rsid w:val="00DC7CB8"/>
    <w:rsid w:val="00DD0D23"/>
    <w:rsid w:val="00DD2377"/>
    <w:rsid w:val="00DD3B11"/>
    <w:rsid w:val="00DD42A7"/>
    <w:rsid w:val="00DD482E"/>
    <w:rsid w:val="00DD5869"/>
    <w:rsid w:val="00DD5951"/>
    <w:rsid w:val="00DD75E6"/>
    <w:rsid w:val="00DE0257"/>
    <w:rsid w:val="00DE1249"/>
    <w:rsid w:val="00DE180E"/>
    <w:rsid w:val="00DE2424"/>
    <w:rsid w:val="00DE3892"/>
    <w:rsid w:val="00DE40EC"/>
    <w:rsid w:val="00DE5435"/>
    <w:rsid w:val="00DE6033"/>
    <w:rsid w:val="00DE691A"/>
    <w:rsid w:val="00DE7106"/>
    <w:rsid w:val="00DF0E7D"/>
    <w:rsid w:val="00DF1121"/>
    <w:rsid w:val="00DF1134"/>
    <w:rsid w:val="00DF2E08"/>
    <w:rsid w:val="00DF3CB3"/>
    <w:rsid w:val="00DF4540"/>
    <w:rsid w:val="00DF463D"/>
    <w:rsid w:val="00DF4BB6"/>
    <w:rsid w:val="00DF5031"/>
    <w:rsid w:val="00DF5300"/>
    <w:rsid w:val="00DF6A20"/>
    <w:rsid w:val="00DF7D27"/>
    <w:rsid w:val="00DF7F42"/>
    <w:rsid w:val="00E01BAB"/>
    <w:rsid w:val="00E01FC7"/>
    <w:rsid w:val="00E039BD"/>
    <w:rsid w:val="00E054E7"/>
    <w:rsid w:val="00E12C0B"/>
    <w:rsid w:val="00E12CF5"/>
    <w:rsid w:val="00E12EEE"/>
    <w:rsid w:val="00E13258"/>
    <w:rsid w:val="00E13D21"/>
    <w:rsid w:val="00E14336"/>
    <w:rsid w:val="00E1706A"/>
    <w:rsid w:val="00E233EE"/>
    <w:rsid w:val="00E249EB"/>
    <w:rsid w:val="00E2542C"/>
    <w:rsid w:val="00E25847"/>
    <w:rsid w:val="00E262CA"/>
    <w:rsid w:val="00E27DB8"/>
    <w:rsid w:val="00E31766"/>
    <w:rsid w:val="00E31E8D"/>
    <w:rsid w:val="00E3351C"/>
    <w:rsid w:val="00E35925"/>
    <w:rsid w:val="00E37B9D"/>
    <w:rsid w:val="00E41C68"/>
    <w:rsid w:val="00E41FE7"/>
    <w:rsid w:val="00E4297A"/>
    <w:rsid w:val="00E42F90"/>
    <w:rsid w:val="00E44910"/>
    <w:rsid w:val="00E44C7C"/>
    <w:rsid w:val="00E44CCD"/>
    <w:rsid w:val="00E44F66"/>
    <w:rsid w:val="00E46022"/>
    <w:rsid w:val="00E4630A"/>
    <w:rsid w:val="00E47D7C"/>
    <w:rsid w:val="00E503A6"/>
    <w:rsid w:val="00E51BFB"/>
    <w:rsid w:val="00E52181"/>
    <w:rsid w:val="00E5255B"/>
    <w:rsid w:val="00E54E8A"/>
    <w:rsid w:val="00E55738"/>
    <w:rsid w:val="00E55963"/>
    <w:rsid w:val="00E55BA3"/>
    <w:rsid w:val="00E57BB0"/>
    <w:rsid w:val="00E57F84"/>
    <w:rsid w:val="00E6129C"/>
    <w:rsid w:val="00E615CF"/>
    <w:rsid w:val="00E62E86"/>
    <w:rsid w:val="00E63178"/>
    <w:rsid w:val="00E64229"/>
    <w:rsid w:val="00E668E1"/>
    <w:rsid w:val="00E67799"/>
    <w:rsid w:val="00E71839"/>
    <w:rsid w:val="00E721EB"/>
    <w:rsid w:val="00E748DD"/>
    <w:rsid w:val="00E74AEE"/>
    <w:rsid w:val="00E753BF"/>
    <w:rsid w:val="00E7749B"/>
    <w:rsid w:val="00E77F55"/>
    <w:rsid w:val="00E84BEF"/>
    <w:rsid w:val="00E8611A"/>
    <w:rsid w:val="00E9052B"/>
    <w:rsid w:val="00E90CEE"/>
    <w:rsid w:val="00E910AE"/>
    <w:rsid w:val="00E939BF"/>
    <w:rsid w:val="00E95E85"/>
    <w:rsid w:val="00E9777B"/>
    <w:rsid w:val="00E97E8F"/>
    <w:rsid w:val="00E97F0E"/>
    <w:rsid w:val="00EA0F6B"/>
    <w:rsid w:val="00EA4274"/>
    <w:rsid w:val="00EA5072"/>
    <w:rsid w:val="00EA5E44"/>
    <w:rsid w:val="00EA6AEB"/>
    <w:rsid w:val="00EA71AC"/>
    <w:rsid w:val="00EB00A0"/>
    <w:rsid w:val="00EB04E2"/>
    <w:rsid w:val="00EB3D11"/>
    <w:rsid w:val="00EB79F0"/>
    <w:rsid w:val="00EC355E"/>
    <w:rsid w:val="00EC4E6B"/>
    <w:rsid w:val="00EC4EC2"/>
    <w:rsid w:val="00EC5ABC"/>
    <w:rsid w:val="00EC5E1D"/>
    <w:rsid w:val="00EC611E"/>
    <w:rsid w:val="00EC69E2"/>
    <w:rsid w:val="00EC6DC4"/>
    <w:rsid w:val="00EC7677"/>
    <w:rsid w:val="00EC79E0"/>
    <w:rsid w:val="00EC7CEC"/>
    <w:rsid w:val="00ED0600"/>
    <w:rsid w:val="00ED0BAA"/>
    <w:rsid w:val="00ED0F4C"/>
    <w:rsid w:val="00ED27AD"/>
    <w:rsid w:val="00ED39C4"/>
    <w:rsid w:val="00ED507B"/>
    <w:rsid w:val="00ED5749"/>
    <w:rsid w:val="00ED7349"/>
    <w:rsid w:val="00EE27F3"/>
    <w:rsid w:val="00EE3CC5"/>
    <w:rsid w:val="00EE5940"/>
    <w:rsid w:val="00EF275C"/>
    <w:rsid w:val="00EF32A1"/>
    <w:rsid w:val="00EF32C3"/>
    <w:rsid w:val="00EF3FB6"/>
    <w:rsid w:val="00EF5EC6"/>
    <w:rsid w:val="00EF63BF"/>
    <w:rsid w:val="00F00967"/>
    <w:rsid w:val="00F00D4E"/>
    <w:rsid w:val="00F010F5"/>
    <w:rsid w:val="00F0112F"/>
    <w:rsid w:val="00F01DC6"/>
    <w:rsid w:val="00F030E8"/>
    <w:rsid w:val="00F03863"/>
    <w:rsid w:val="00F046DC"/>
    <w:rsid w:val="00F05CB9"/>
    <w:rsid w:val="00F0694A"/>
    <w:rsid w:val="00F06D4D"/>
    <w:rsid w:val="00F1063B"/>
    <w:rsid w:val="00F10C9B"/>
    <w:rsid w:val="00F12000"/>
    <w:rsid w:val="00F12C17"/>
    <w:rsid w:val="00F14657"/>
    <w:rsid w:val="00F14DF4"/>
    <w:rsid w:val="00F153F3"/>
    <w:rsid w:val="00F1619A"/>
    <w:rsid w:val="00F16314"/>
    <w:rsid w:val="00F17615"/>
    <w:rsid w:val="00F2118B"/>
    <w:rsid w:val="00F22CB1"/>
    <w:rsid w:val="00F23227"/>
    <w:rsid w:val="00F252E7"/>
    <w:rsid w:val="00F25820"/>
    <w:rsid w:val="00F25C21"/>
    <w:rsid w:val="00F30832"/>
    <w:rsid w:val="00F30BD7"/>
    <w:rsid w:val="00F30F7C"/>
    <w:rsid w:val="00F356B9"/>
    <w:rsid w:val="00F36990"/>
    <w:rsid w:val="00F37D38"/>
    <w:rsid w:val="00F40B97"/>
    <w:rsid w:val="00F41BD6"/>
    <w:rsid w:val="00F42524"/>
    <w:rsid w:val="00F42749"/>
    <w:rsid w:val="00F443E1"/>
    <w:rsid w:val="00F44CAB"/>
    <w:rsid w:val="00F4530C"/>
    <w:rsid w:val="00F45A54"/>
    <w:rsid w:val="00F4600B"/>
    <w:rsid w:val="00F46D52"/>
    <w:rsid w:val="00F47F84"/>
    <w:rsid w:val="00F50372"/>
    <w:rsid w:val="00F50B93"/>
    <w:rsid w:val="00F52546"/>
    <w:rsid w:val="00F545F3"/>
    <w:rsid w:val="00F56AD1"/>
    <w:rsid w:val="00F57B4F"/>
    <w:rsid w:val="00F62308"/>
    <w:rsid w:val="00F634A8"/>
    <w:rsid w:val="00F66AEE"/>
    <w:rsid w:val="00F676E2"/>
    <w:rsid w:val="00F7021F"/>
    <w:rsid w:val="00F70F98"/>
    <w:rsid w:val="00F7231A"/>
    <w:rsid w:val="00F74FB7"/>
    <w:rsid w:val="00F7752E"/>
    <w:rsid w:val="00F80141"/>
    <w:rsid w:val="00F80F08"/>
    <w:rsid w:val="00F842E0"/>
    <w:rsid w:val="00F85853"/>
    <w:rsid w:val="00F85CB0"/>
    <w:rsid w:val="00F863B9"/>
    <w:rsid w:val="00F8667F"/>
    <w:rsid w:val="00F87576"/>
    <w:rsid w:val="00F928F6"/>
    <w:rsid w:val="00F928FD"/>
    <w:rsid w:val="00F92EA2"/>
    <w:rsid w:val="00F931AC"/>
    <w:rsid w:val="00F93CD1"/>
    <w:rsid w:val="00F956BF"/>
    <w:rsid w:val="00F95F0A"/>
    <w:rsid w:val="00F9642F"/>
    <w:rsid w:val="00F9707B"/>
    <w:rsid w:val="00FA0247"/>
    <w:rsid w:val="00FA1878"/>
    <w:rsid w:val="00FA31BF"/>
    <w:rsid w:val="00FA376E"/>
    <w:rsid w:val="00FA3F32"/>
    <w:rsid w:val="00FA5024"/>
    <w:rsid w:val="00FA713A"/>
    <w:rsid w:val="00FB062E"/>
    <w:rsid w:val="00FB1763"/>
    <w:rsid w:val="00FB200D"/>
    <w:rsid w:val="00FB3187"/>
    <w:rsid w:val="00FB3CC1"/>
    <w:rsid w:val="00FB4D63"/>
    <w:rsid w:val="00FB701E"/>
    <w:rsid w:val="00FB7247"/>
    <w:rsid w:val="00FC0B47"/>
    <w:rsid w:val="00FC1DED"/>
    <w:rsid w:val="00FC2EBD"/>
    <w:rsid w:val="00FC31C0"/>
    <w:rsid w:val="00FC477F"/>
    <w:rsid w:val="00FC56EE"/>
    <w:rsid w:val="00FD0B0A"/>
    <w:rsid w:val="00FD1E32"/>
    <w:rsid w:val="00FD325B"/>
    <w:rsid w:val="00FD4D1A"/>
    <w:rsid w:val="00FD55FC"/>
    <w:rsid w:val="00FD6842"/>
    <w:rsid w:val="00FE0EEA"/>
    <w:rsid w:val="00FE1912"/>
    <w:rsid w:val="00FE29F3"/>
    <w:rsid w:val="00FE38D4"/>
    <w:rsid w:val="00FE4283"/>
    <w:rsid w:val="00FE4E9A"/>
    <w:rsid w:val="00FE64C7"/>
    <w:rsid w:val="00FE7AE6"/>
    <w:rsid w:val="00FF109B"/>
    <w:rsid w:val="00FF3654"/>
    <w:rsid w:val="00FF4079"/>
    <w:rsid w:val="00FF560F"/>
    <w:rsid w:val="00FF59DD"/>
    <w:rsid w:val="00FF6B82"/>
    <w:rsid w:val="00FF7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5FA1545A"/>
  <w15:chartTrackingRefBased/>
  <w15:docId w15:val="{89F72621-48E7-4EE0-A61F-C9052CA1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C36"/>
    <w:rPr>
      <w:sz w:val="24"/>
    </w:rPr>
  </w:style>
  <w:style w:type="paragraph" w:styleId="Heading1">
    <w:name w:val="heading 1"/>
    <w:basedOn w:val="Normal"/>
    <w:next w:val="Normal"/>
    <w:link w:val="Heading1Char"/>
    <w:qFormat/>
    <w:pPr>
      <w:keepNext/>
      <w:outlineLvl w:val="0"/>
    </w:pPr>
    <w:rPr>
      <w:vanish/>
      <w:sz w:val="20"/>
      <w:lang w:val="x-none" w:eastAsia="x-none"/>
    </w:rPr>
  </w:style>
  <w:style w:type="paragraph" w:styleId="Heading2">
    <w:name w:val="heading 2"/>
    <w:basedOn w:val="Normal"/>
    <w:next w:val="Normal"/>
    <w:link w:val="Heading2Char"/>
    <w:unhideWhenUsed/>
    <w:qFormat/>
    <w:rsid w:val="00DF6A2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DF6A2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02320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86797"/>
    <w:pPr>
      <w:spacing w:before="200"/>
      <w:outlineLvl w:val="4"/>
    </w:pPr>
    <w:rPr>
      <w:rFonts w:ascii="Cambria" w:hAnsi="Cambria"/>
      <w:b/>
      <w:bCs/>
      <w:color w:val="7F7F7F"/>
      <w:sz w:val="22"/>
      <w:szCs w:val="22"/>
      <w:lang w:val="x-none" w:eastAsia="x-none" w:bidi="en-US"/>
    </w:rPr>
  </w:style>
  <w:style w:type="paragraph" w:styleId="Heading6">
    <w:name w:val="heading 6"/>
    <w:basedOn w:val="Normal"/>
    <w:next w:val="Normal"/>
    <w:link w:val="Heading6Char"/>
    <w:qFormat/>
    <w:pPr>
      <w:keepNext/>
      <w:outlineLvl w:val="5"/>
    </w:pPr>
    <w:rPr>
      <w:b/>
      <w:bCs/>
      <w:sz w:val="20"/>
      <w:szCs w:val="24"/>
      <w:lang w:val="x-none" w:eastAsia="x-none"/>
    </w:rPr>
  </w:style>
  <w:style w:type="paragraph" w:styleId="Heading7">
    <w:name w:val="heading 7"/>
    <w:basedOn w:val="Normal"/>
    <w:next w:val="Normal"/>
    <w:link w:val="Heading7Char"/>
    <w:qFormat/>
    <w:pPr>
      <w:keepNext/>
      <w:outlineLvl w:val="6"/>
    </w:pPr>
    <w:rPr>
      <w:b/>
      <w:bCs/>
      <w:szCs w:val="24"/>
      <w:lang w:val="x-none" w:eastAsia="x-none"/>
    </w:rPr>
  </w:style>
  <w:style w:type="paragraph" w:styleId="Heading8">
    <w:name w:val="heading 8"/>
    <w:basedOn w:val="Normal"/>
    <w:next w:val="Normal"/>
    <w:link w:val="Heading8Char"/>
    <w:qFormat/>
    <w:pPr>
      <w:keepNext/>
      <w:jc w:val="center"/>
      <w:outlineLvl w:val="7"/>
    </w:pPr>
    <w:rPr>
      <w:b/>
      <w:bCs/>
      <w:szCs w:val="24"/>
      <w:lang w:val="x-none" w:eastAsia="x-none"/>
    </w:rPr>
  </w:style>
  <w:style w:type="paragraph" w:styleId="Heading9">
    <w:name w:val="heading 9"/>
    <w:basedOn w:val="Normal"/>
    <w:next w:val="Normal"/>
    <w:link w:val="Heading9Char"/>
    <w:qFormat/>
    <w:pPr>
      <w:keepNext/>
      <w:widowControl w:val="0"/>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jc w:val="both"/>
      <w:outlineLvl w:val="8"/>
    </w:pPr>
    <w:rPr>
      <w:b/>
      <w:bCs/>
      <w:iCs/>
      <w:sz w:val="20"/>
      <w:lang w:val="x-none" w:eastAsia="x-none"/>
    </w:rPr>
  </w:style>
  <w:style w:type="character" w:default="1" w:styleId="DefaultParagraphFont">
    <w:name w:val="Default Paragraph Font"/>
    <w:semiHidden/>
    <w:rsid w:val="00796C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6C36"/>
  </w:style>
  <w:style w:type="character" w:customStyle="1" w:styleId="Heading2Char">
    <w:name w:val="Heading 2 Char"/>
    <w:link w:val="Heading2"/>
    <w:rsid w:val="00DF6A20"/>
    <w:rPr>
      <w:rFonts w:ascii="Cambria" w:eastAsia="Times New Roman" w:hAnsi="Cambria" w:cs="Times New Roman"/>
      <w:b/>
      <w:bCs/>
      <w:i/>
      <w:iCs/>
      <w:sz w:val="28"/>
      <w:szCs w:val="28"/>
    </w:rPr>
  </w:style>
  <w:style w:type="character" w:customStyle="1" w:styleId="Heading3Char">
    <w:name w:val="Heading 3 Char"/>
    <w:link w:val="Heading3"/>
    <w:rsid w:val="00DF6A20"/>
    <w:rPr>
      <w:rFonts w:ascii="Cambria" w:eastAsia="Times New Roman" w:hAnsi="Cambria" w:cs="Times New Roman"/>
      <w:b/>
      <w:bCs/>
      <w:sz w:val="26"/>
      <w:szCs w:val="26"/>
    </w:rPr>
  </w:style>
  <w:style w:type="paragraph" w:styleId="Header">
    <w:name w:val="header"/>
    <w:basedOn w:val="Normal"/>
    <w:link w:val="HeaderChar"/>
    <w:rsid w:val="00796C36"/>
    <w:pPr>
      <w:tabs>
        <w:tab w:val="center" w:pos="4320"/>
        <w:tab w:val="right" w:pos="8640"/>
      </w:tabs>
    </w:pPr>
    <w:rPr>
      <w:sz w:val="20"/>
    </w:rPr>
  </w:style>
  <w:style w:type="paragraph" w:styleId="Footer">
    <w:name w:val="footer"/>
    <w:aliases w:val="f"/>
    <w:basedOn w:val="Normal"/>
    <w:link w:val="FooterChar"/>
    <w:rsid w:val="00796C36"/>
    <w:pPr>
      <w:tabs>
        <w:tab w:val="center" w:pos="4320"/>
        <w:tab w:val="right" w:pos="8640"/>
      </w:tabs>
    </w:pPr>
    <w:rPr>
      <w:sz w:val="20"/>
    </w:rPr>
  </w:style>
  <w:style w:type="character" w:styleId="PageNumber">
    <w:name w:val="page number"/>
    <w:rsid w:val="00796C36"/>
    <w:rPr>
      <w:rFonts w:ascii="Times New Roman" w:hAnsi="Times New Roman"/>
      <w:dstrike w:val="0"/>
      <w:color w:val="auto"/>
      <w:sz w:val="20"/>
      <w:vertAlign w:val="baseline"/>
    </w:rPr>
  </w:style>
  <w:style w:type="paragraph" w:styleId="Title">
    <w:name w:val="Title"/>
    <w:aliases w:val="t"/>
    <w:basedOn w:val="Normal"/>
    <w:link w:val="TitleChar"/>
    <w:qFormat/>
    <w:rsid w:val="00796C36"/>
    <w:pPr>
      <w:spacing w:after="120"/>
      <w:jc w:val="center"/>
    </w:pPr>
    <w:rPr>
      <w:b/>
      <w:caps/>
      <w:kern w:val="28"/>
      <w:sz w:val="28"/>
    </w:rPr>
  </w:style>
  <w:style w:type="paragraph" w:customStyle="1" w:styleId="Part">
    <w:name w:val="Part"/>
    <w:basedOn w:val="Title"/>
    <w:rsid w:val="00796C36"/>
    <w:pPr>
      <w:keepNext/>
      <w:keepLines/>
      <w:outlineLvl w:val="0"/>
    </w:pPr>
    <w:rPr>
      <w:caps w:val="0"/>
      <w:kern w:val="2"/>
    </w:rPr>
  </w:style>
  <w:style w:type="paragraph" w:customStyle="1" w:styleId="Chapter">
    <w:name w:val="Chapter"/>
    <w:basedOn w:val="Normal"/>
    <w:link w:val="ChapterChar"/>
    <w:rsid w:val="00796C36"/>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796C36"/>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A82AF6"/>
    <w:rPr>
      <w:b/>
      <w:kern w:val="2"/>
    </w:rPr>
  </w:style>
  <w:style w:type="paragraph" w:customStyle="1" w:styleId="Text">
    <w:name w:val="Text"/>
    <w:basedOn w:val="Normal"/>
    <w:link w:val="TextChar"/>
    <w:rsid w:val="00796C3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796C3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796C36"/>
    <w:pPr>
      <w:tabs>
        <w:tab w:val="left" w:pos="1080"/>
        <w:tab w:val="left" w:pos="1440"/>
      </w:tabs>
      <w:spacing w:after="120"/>
      <w:jc w:val="both"/>
      <w:outlineLvl w:val="8"/>
    </w:pPr>
    <w:rPr>
      <w:kern w:val="2"/>
      <w:sz w:val="20"/>
    </w:rPr>
  </w:style>
  <w:style w:type="paragraph" w:customStyle="1" w:styleId="A">
    <w:name w:val="A."/>
    <w:basedOn w:val="Text"/>
    <w:link w:val="AChar"/>
    <w:rsid w:val="00796C36"/>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5B1246"/>
    <w:rPr>
      <w:kern w:val="2"/>
    </w:rPr>
  </w:style>
  <w:style w:type="paragraph" w:customStyle="1" w:styleId="1">
    <w:name w:val="1."/>
    <w:basedOn w:val="Text"/>
    <w:link w:val="1Char"/>
    <w:rsid w:val="00796C36"/>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5B1246"/>
    <w:rPr>
      <w:kern w:val="2"/>
    </w:rPr>
  </w:style>
  <w:style w:type="paragraph" w:customStyle="1" w:styleId="a0">
    <w:name w:val="a."/>
    <w:basedOn w:val="Text"/>
    <w:link w:val="aChar0"/>
    <w:rsid w:val="00796C36"/>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065EB3"/>
    <w:rPr>
      <w:kern w:val="2"/>
    </w:rPr>
  </w:style>
  <w:style w:type="paragraph" w:customStyle="1" w:styleId="i0">
    <w:name w:val="i."/>
    <w:basedOn w:val="Text"/>
    <w:rsid w:val="00796C36"/>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796C36"/>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796C36"/>
    <w:pPr>
      <w:keepNext/>
      <w:keepLines/>
      <w:outlineLvl w:val="1"/>
    </w:pPr>
    <w:rPr>
      <w:caps w:val="0"/>
    </w:rPr>
  </w:style>
  <w:style w:type="paragraph" w:customStyle="1" w:styleId="Title1">
    <w:name w:val="Title1"/>
    <w:basedOn w:val="Title"/>
    <w:next w:val="Title2"/>
    <w:rsid w:val="00796C36"/>
    <w:pPr>
      <w:pageBreakBefore/>
      <w:spacing w:after="60"/>
    </w:pPr>
    <w:rPr>
      <w:caps w:val="0"/>
    </w:rPr>
  </w:style>
  <w:style w:type="paragraph" w:customStyle="1" w:styleId="Title2">
    <w:name w:val="Title2"/>
    <w:basedOn w:val="Chapter"/>
    <w:rsid w:val="00796C36"/>
    <w:pPr>
      <w:outlineLvl w:val="9"/>
    </w:pPr>
    <w:rPr>
      <w:caps/>
    </w:rPr>
  </w:style>
  <w:style w:type="paragraph" w:customStyle="1" w:styleId="AuthorityNote">
    <w:name w:val="Authority Note"/>
    <w:basedOn w:val="Note"/>
    <w:link w:val="AuthorityNoteChar"/>
    <w:rsid w:val="00796C36"/>
    <w:pPr>
      <w:spacing w:line="240" w:lineRule="auto"/>
    </w:pPr>
  </w:style>
  <w:style w:type="paragraph" w:customStyle="1" w:styleId="HistoricalNote">
    <w:name w:val="Historical Note"/>
    <w:basedOn w:val="Note"/>
    <w:link w:val="HistoricalNoteChar"/>
    <w:rsid w:val="00796C36"/>
    <w:pPr>
      <w:spacing w:after="60" w:line="240" w:lineRule="auto"/>
    </w:pPr>
  </w:style>
  <w:style w:type="character" w:customStyle="1" w:styleId="HistoricalNoteChar">
    <w:name w:val="Historical Note Char"/>
    <w:link w:val="HistoricalNote"/>
    <w:rsid w:val="00934F4A"/>
    <w:rPr>
      <w:kern w:val="2"/>
      <w:sz w:val="18"/>
    </w:rPr>
  </w:style>
  <w:style w:type="paragraph" w:customStyle="1" w:styleId="Part1">
    <w:name w:val="Part1"/>
    <w:basedOn w:val="Part"/>
    <w:rsid w:val="00796C36"/>
    <w:pPr>
      <w:outlineLvl w:val="9"/>
    </w:pPr>
  </w:style>
  <w:style w:type="paragraph" w:customStyle="1" w:styleId="TOCPart">
    <w:name w:val="TOCPart"/>
    <w:rsid w:val="00796C36"/>
    <w:pPr>
      <w:keepNext/>
      <w:keepLines/>
      <w:spacing w:before="240" w:after="240"/>
      <w:jc w:val="center"/>
    </w:pPr>
    <w:rPr>
      <w:b/>
      <w:noProof/>
      <w:sz w:val="28"/>
    </w:rPr>
  </w:style>
  <w:style w:type="paragraph" w:customStyle="1" w:styleId="TOCChapter">
    <w:name w:val="TOCChapter"/>
    <w:rsid w:val="00796C36"/>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796C36"/>
    <w:pPr>
      <w:tabs>
        <w:tab w:val="clear" w:pos="1440"/>
        <w:tab w:val="left" w:pos="2160"/>
      </w:tabs>
      <w:ind w:left="2160" w:hanging="1728"/>
    </w:pPr>
  </w:style>
  <w:style w:type="paragraph" w:customStyle="1" w:styleId="testcenter">
    <w:name w:val="testcenter"/>
    <w:basedOn w:val="i0"/>
    <w:rsid w:val="00796C36"/>
    <w:pPr>
      <w:tabs>
        <w:tab w:val="clear" w:pos="1080"/>
        <w:tab w:val="right" w:pos="720"/>
      </w:tabs>
    </w:pPr>
  </w:style>
  <w:style w:type="paragraph" w:customStyle="1" w:styleId="testdecimal">
    <w:name w:val="test decimal"/>
    <w:basedOn w:val="i0"/>
    <w:rsid w:val="00796C36"/>
    <w:pPr>
      <w:tabs>
        <w:tab w:val="right" w:pos="720"/>
      </w:tabs>
    </w:pPr>
  </w:style>
  <w:style w:type="paragraph" w:customStyle="1" w:styleId="LACNote">
    <w:name w:val="LACNote"/>
    <w:basedOn w:val="Normal"/>
    <w:link w:val="LACNoteChar"/>
    <w:rsid w:val="00796C36"/>
    <w:pPr>
      <w:spacing w:after="120"/>
      <w:ind w:firstLine="187"/>
      <w:jc w:val="both"/>
    </w:pPr>
    <w:rPr>
      <w:kern w:val="2"/>
      <w:sz w:val="16"/>
    </w:rPr>
  </w:style>
  <w:style w:type="paragraph" w:customStyle="1" w:styleId="TOCIndex">
    <w:name w:val="TOCIndex"/>
    <w:basedOn w:val="TOCChapter"/>
    <w:rsid w:val="00796C36"/>
    <w:pPr>
      <w:spacing w:before="240"/>
    </w:pPr>
  </w:style>
  <w:style w:type="paragraph" w:customStyle="1" w:styleId="FooterOdd">
    <w:name w:val="FooterOdd"/>
    <w:basedOn w:val="Footer"/>
    <w:rsid w:val="00796C36"/>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796C36"/>
    <w:pPr>
      <w:tabs>
        <w:tab w:val="clear" w:pos="8640"/>
        <w:tab w:val="right" w:pos="4320"/>
      </w:tabs>
      <w:spacing w:before="60"/>
    </w:pPr>
    <w:rPr>
      <w:rFonts w:ascii="Arial" w:hAnsi="Arial"/>
      <w:i/>
      <w:sz w:val="16"/>
    </w:rPr>
  </w:style>
  <w:style w:type="paragraph" w:customStyle="1" w:styleId="iNew">
    <w:name w:val="i.New"/>
    <w:basedOn w:val="i0"/>
    <w:rsid w:val="00796C36"/>
    <w:pPr>
      <w:tabs>
        <w:tab w:val="decimal" w:pos="810"/>
        <w:tab w:val="left" w:pos="1080"/>
      </w:tabs>
    </w:pPr>
  </w:style>
  <w:style w:type="paragraph" w:styleId="Index1">
    <w:name w:val="index 1"/>
    <w:basedOn w:val="Normal"/>
    <w:next w:val="Normal"/>
    <w:autoRedefine/>
    <w:rsid w:val="00796C36"/>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DocumentMap">
    <w:name w:val="Document Map"/>
    <w:basedOn w:val="Normal"/>
    <w:link w:val="DocumentMapChar"/>
    <w:pPr>
      <w:shd w:val="clear" w:color="auto" w:fill="000080"/>
    </w:pPr>
    <w:rPr>
      <w:rFonts w:ascii="Tahoma" w:hAnsi="Tahoma"/>
      <w:lang w:val="x-none" w:eastAsia="x-none"/>
    </w:rPr>
  </w:style>
  <w:style w:type="paragraph" w:customStyle="1" w:styleId="RegDoubleIndent">
    <w:name w:val="Reg Double Indent"/>
    <w:link w:val="RegDoubleIndentChar"/>
    <w:pPr>
      <w:ind w:left="432" w:right="432"/>
      <w:jc w:val="both"/>
    </w:pPr>
    <w:rPr>
      <w:noProof/>
    </w:rPr>
  </w:style>
  <w:style w:type="paragraph" w:customStyle="1" w:styleId="RegCodeTitle">
    <w:name w:val="Reg Code Title"/>
    <w:basedOn w:val="Normal"/>
    <w:next w:val="Normal"/>
    <w:link w:val="RegCodeTitleChar"/>
    <w:pPr>
      <w:keepNext/>
      <w:jc w:val="center"/>
    </w:pPr>
    <w:rPr>
      <w:b/>
      <w:kern w:val="28"/>
      <w:sz w:val="20"/>
    </w:rPr>
  </w:style>
  <w:style w:type="character" w:customStyle="1" w:styleId="RegCodeTitleChar">
    <w:name w:val="Reg Code Title Char"/>
    <w:link w:val="RegCodeTitle"/>
    <w:rsid w:val="005B1246"/>
    <w:rPr>
      <w:b/>
      <w:kern w:val="28"/>
      <w:lang w:val="en-US" w:eastAsia="en-US" w:bidi="ar-SA"/>
    </w:rPr>
  </w:style>
  <w:style w:type="paragraph" w:customStyle="1" w:styleId="RegSignature">
    <w:name w:val="Reg Signature"/>
    <w:basedOn w:val="Normal"/>
    <w:pPr>
      <w:keepNext/>
      <w:ind w:left="2160"/>
      <w:jc w:val="both"/>
    </w:pPr>
    <w:rPr>
      <w:sz w:val="20"/>
    </w:rPr>
  </w:style>
  <w:style w:type="character" w:customStyle="1" w:styleId="tdasubhead">
    <w:name w:val="tdasubhead"/>
    <w:basedOn w:val="DefaultParagraphFont"/>
  </w:style>
  <w:style w:type="paragraph" w:styleId="BodyText">
    <w:name w:val="Body Text"/>
    <w:basedOn w:val="Normal"/>
    <w:link w:val="BodyTextChar"/>
    <w:pPr>
      <w:keepNext/>
    </w:pPr>
    <w:rPr>
      <w:b/>
      <w:kern w:val="2"/>
      <w:sz w:val="16"/>
      <w:lang w:val="x-none" w:eastAsia="x-none"/>
    </w:rPr>
  </w:style>
  <w:style w:type="paragraph" w:customStyle="1" w:styleId="RegCodePart">
    <w:name w:val="Reg Code Part"/>
    <w:link w:val="RegCodePartChar"/>
    <w:pPr>
      <w:keepNext/>
      <w:jc w:val="center"/>
    </w:pPr>
    <w:rPr>
      <w:b/>
      <w:noProof/>
    </w:rPr>
  </w:style>
  <w:style w:type="paragraph" w:customStyle="1" w:styleId="RegItemFirstLine">
    <w:name w:val="Reg Item First Line"/>
    <w:next w:val="Normal"/>
    <w:rsid w:val="003B3658"/>
    <w:pPr>
      <w:keepNext/>
      <w:tabs>
        <w:tab w:val="left" w:pos="-1440"/>
      </w:tabs>
      <w:spacing w:after="120"/>
      <w:jc w:val="center"/>
    </w:pPr>
    <w:rPr>
      <w:b/>
      <w:noProof/>
    </w:rPr>
  </w:style>
  <w:style w:type="paragraph" w:customStyle="1" w:styleId="RegItemTitle">
    <w:name w:val="Reg Item Title"/>
    <w:link w:val="RegItemTitleChar"/>
    <w:rsid w:val="00F12000"/>
    <w:pPr>
      <w:keepNext/>
      <w:spacing w:after="240"/>
      <w:jc w:val="center"/>
    </w:pPr>
    <w:rPr>
      <w:noProof/>
    </w:rPr>
  </w:style>
  <w:style w:type="paragraph" w:styleId="BalloonText">
    <w:name w:val="Balloon Text"/>
    <w:basedOn w:val="Normal"/>
    <w:link w:val="BalloonTextChar"/>
    <w:uiPriority w:val="99"/>
    <w:rsid w:val="00AA1CCA"/>
    <w:rPr>
      <w:rFonts w:ascii="Tahoma" w:hAnsi="Tahoma"/>
      <w:sz w:val="16"/>
      <w:szCs w:val="16"/>
      <w:lang w:val="x-none" w:eastAsia="x-none"/>
    </w:rPr>
  </w:style>
  <w:style w:type="paragraph" w:customStyle="1" w:styleId="RegFE1">
    <w:name w:val="Reg F&amp;E 1"/>
    <w:rsid w:val="00A82AF6"/>
    <w:pPr>
      <w:ind w:left="288" w:hanging="288"/>
      <w:jc w:val="both"/>
    </w:pPr>
    <w:rPr>
      <w:noProof/>
      <w:spacing w:val="-10"/>
      <w:sz w:val="18"/>
    </w:rPr>
  </w:style>
  <w:style w:type="paragraph" w:styleId="TOC1">
    <w:name w:val="toc 1"/>
    <w:basedOn w:val="Normal"/>
    <w:next w:val="Section"/>
    <w:autoRedefine/>
    <w:uiPriority w:val="39"/>
    <w:rsid w:val="009A63A4"/>
    <w:pPr>
      <w:keepNext/>
      <w:tabs>
        <w:tab w:val="right" w:leader="dot" w:pos="10502"/>
      </w:tabs>
      <w:spacing w:before="120" w:after="120"/>
      <w:jc w:val="center"/>
    </w:pPr>
    <w:rPr>
      <w:rFonts w:eastAsiaTheme="minorEastAsia"/>
      <w:b/>
      <w:bCs/>
      <w:noProof/>
      <w:kern w:val="2"/>
      <w:sz w:val="28"/>
      <w:szCs w:val="28"/>
      <w14:ligatures w14:val="standardContextual"/>
    </w:rPr>
  </w:style>
  <w:style w:type="character" w:customStyle="1" w:styleId="sp">
    <w:name w:val="sp"/>
    <w:rsid w:val="001E6A27"/>
    <w:rPr>
      <w:i/>
      <w:iCs/>
    </w:rPr>
  </w:style>
  <w:style w:type="character" w:customStyle="1" w:styleId="genus">
    <w:name w:val="genus"/>
    <w:rsid w:val="001E6A27"/>
    <w:rPr>
      <w:i/>
      <w:iCs/>
    </w:rPr>
  </w:style>
  <w:style w:type="character" w:customStyle="1" w:styleId="p1">
    <w:name w:val="p1"/>
    <w:basedOn w:val="DefaultParagraphFont"/>
    <w:rsid w:val="001E6A27"/>
  </w:style>
  <w:style w:type="table" w:styleId="TableGrid">
    <w:name w:val="Table Grid"/>
    <w:basedOn w:val="TableNormal"/>
    <w:uiPriority w:val="39"/>
    <w:rsid w:val="00F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oNormal">
    <w:name w:val="Exo Normal"/>
    <w:rsid w:val="00D21842"/>
    <w:pPr>
      <w:tabs>
        <w:tab w:val="left" w:pos="1656"/>
      </w:tabs>
      <w:ind w:firstLine="360"/>
      <w:jc w:val="both"/>
    </w:pPr>
    <w:rPr>
      <w:noProof/>
    </w:rPr>
  </w:style>
  <w:style w:type="paragraph" w:styleId="TOC2">
    <w:name w:val="toc 2"/>
    <w:basedOn w:val="Normal"/>
    <w:next w:val="Normal"/>
    <w:autoRedefine/>
    <w:uiPriority w:val="39"/>
    <w:rsid w:val="00623F91"/>
    <w:pPr>
      <w:keepNext/>
      <w:tabs>
        <w:tab w:val="left" w:pos="540"/>
        <w:tab w:val="left" w:pos="1620"/>
        <w:tab w:val="left" w:pos="1710"/>
        <w:tab w:val="right" w:leader="dot" w:pos="10502"/>
      </w:tabs>
      <w:ind w:left="1350" w:hanging="1080"/>
    </w:pPr>
    <w:rPr>
      <w:noProof/>
    </w:rPr>
  </w:style>
  <w:style w:type="paragraph" w:styleId="TOC3">
    <w:name w:val="toc 3"/>
    <w:basedOn w:val="Normal"/>
    <w:next w:val="Normal"/>
    <w:autoRedefine/>
    <w:uiPriority w:val="39"/>
    <w:rsid w:val="002B125E"/>
    <w:pPr>
      <w:tabs>
        <w:tab w:val="left" w:pos="1320"/>
        <w:tab w:val="right" w:leader="dot" w:pos="10502"/>
      </w:tabs>
      <w:ind w:left="450" w:hanging="4"/>
    </w:pPr>
    <w:rPr>
      <w:noProof/>
      <w:color w:val="000000"/>
    </w:rPr>
  </w:style>
  <w:style w:type="character" w:styleId="Hyperlink">
    <w:name w:val="Hyperlink"/>
    <w:uiPriority w:val="99"/>
    <w:unhideWhenUsed/>
    <w:rsid w:val="00DF6A20"/>
    <w:rPr>
      <w:color w:val="0000FF"/>
      <w:u w:val="single"/>
    </w:rPr>
  </w:style>
  <w:style w:type="paragraph" w:styleId="TOC4">
    <w:name w:val="toc 4"/>
    <w:basedOn w:val="Normal"/>
    <w:next w:val="Normal"/>
    <w:autoRedefine/>
    <w:uiPriority w:val="39"/>
    <w:unhideWhenUsed/>
    <w:rsid w:val="006B05C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B05C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B05C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B05C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B05C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B05C7"/>
    <w:pPr>
      <w:spacing w:after="100" w:line="276" w:lineRule="auto"/>
      <w:ind w:left="1760"/>
    </w:pPr>
    <w:rPr>
      <w:rFonts w:ascii="Calibri" w:hAnsi="Calibri"/>
      <w:sz w:val="22"/>
      <w:szCs w:val="22"/>
    </w:rPr>
  </w:style>
  <w:style w:type="character" w:customStyle="1" w:styleId="Heading4Char">
    <w:name w:val="Heading 4 Char"/>
    <w:link w:val="Heading4"/>
    <w:rsid w:val="0002320B"/>
    <w:rPr>
      <w:rFonts w:ascii="Calibri" w:eastAsia="Times New Roman" w:hAnsi="Calibri" w:cs="Times New Roman"/>
      <w:b/>
      <w:bCs/>
      <w:sz w:val="28"/>
      <w:szCs w:val="28"/>
    </w:rPr>
  </w:style>
  <w:style w:type="paragraph" w:customStyle="1" w:styleId="RegSubDepartment">
    <w:name w:val="Reg SubDepartment"/>
    <w:rsid w:val="00013FB1"/>
    <w:pPr>
      <w:keepNext/>
      <w:spacing w:after="240"/>
      <w:jc w:val="center"/>
    </w:pPr>
    <w:rPr>
      <w:b/>
      <w:noProof/>
      <w:sz w:val="22"/>
    </w:rPr>
  </w:style>
  <w:style w:type="paragraph" w:customStyle="1" w:styleId="10">
    <w:name w:val="1"/>
    <w:basedOn w:val="Normal"/>
    <w:rsid w:val="00567B4B"/>
    <w:pPr>
      <w:spacing w:after="120"/>
      <w:ind w:firstLine="360"/>
      <w:jc w:val="both"/>
    </w:pPr>
    <w:rPr>
      <w:sz w:val="20"/>
    </w:rPr>
  </w:style>
  <w:style w:type="paragraph" w:customStyle="1" w:styleId="a2">
    <w:name w:val="a"/>
    <w:basedOn w:val="Normal"/>
    <w:rsid w:val="00567B4B"/>
    <w:pPr>
      <w:spacing w:after="120"/>
      <w:ind w:firstLine="187"/>
      <w:jc w:val="both"/>
    </w:pPr>
    <w:rPr>
      <w:sz w:val="20"/>
    </w:rPr>
  </w:style>
  <w:style w:type="paragraph" w:customStyle="1" w:styleId="a00">
    <w:name w:val="a0"/>
    <w:basedOn w:val="Normal"/>
    <w:rsid w:val="00567B4B"/>
    <w:pPr>
      <w:spacing w:after="120"/>
      <w:ind w:firstLine="547"/>
      <w:jc w:val="both"/>
    </w:pPr>
    <w:rPr>
      <w:sz w:val="20"/>
    </w:rPr>
  </w:style>
  <w:style w:type="paragraph" w:customStyle="1" w:styleId="authoritynote0">
    <w:name w:val="authoritynote"/>
    <w:basedOn w:val="Normal"/>
    <w:rsid w:val="00567B4B"/>
    <w:pPr>
      <w:ind w:firstLine="187"/>
      <w:jc w:val="both"/>
    </w:pPr>
    <w:rPr>
      <w:sz w:val="18"/>
      <w:szCs w:val="18"/>
    </w:rPr>
  </w:style>
  <w:style w:type="character" w:customStyle="1" w:styleId="RegItemTitleChar">
    <w:name w:val="Reg Item Title Char"/>
    <w:link w:val="RegItemTitle"/>
    <w:rsid w:val="003642E8"/>
    <w:rPr>
      <w:noProof/>
      <w:lang w:val="en-US" w:eastAsia="en-US" w:bidi="ar-SA"/>
    </w:rPr>
  </w:style>
  <w:style w:type="character" w:customStyle="1" w:styleId="ChapterChar">
    <w:name w:val="Chapter Char"/>
    <w:link w:val="Chapter"/>
    <w:rsid w:val="0075046B"/>
    <w:rPr>
      <w:b/>
      <w:kern w:val="2"/>
      <w:sz w:val="28"/>
    </w:rPr>
  </w:style>
  <w:style w:type="character" w:customStyle="1" w:styleId="HeaderChar">
    <w:name w:val="Header Char"/>
    <w:basedOn w:val="DefaultParagraphFont"/>
    <w:link w:val="Header"/>
    <w:rsid w:val="00354076"/>
  </w:style>
  <w:style w:type="character" w:customStyle="1" w:styleId="AuthorityNoteChar">
    <w:name w:val="Authority Note Char"/>
    <w:link w:val="AuthorityNote"/>
    <w:rsid w:val="00804C9E"/>
    <w:rPr>
      <w:kern w:val="2"/>
      <w:sz w:val="18"/>
    </w:rPr>
  </w:style>
  <w:style w:type="character" w:customStyle="1" w:styleId="RegDoubleIndentChar">
    <w:name w:val="Reg Double Indent Char"/>
    <w:link w:val="RegDoubleIndent"/>
    <w:rsid w:val="00CA398A"/>
    <w:rPr>
      <w:noProof/>
      <w:lang w:val="en-US" w:eastAsia="en-US" w:bidi="ar-SA"/>
    </w:rPr>
  </w:style>
  <w:style w:type="paragraph" w:customStyle="1" w:styleId="DD1">
    <w:name w:val="DD1"/>
    <w:rsid w:val="009E652F"/>
    <w:rPr>
      <w:noProof/>
    </w:rPr>
  </w:style>
  <w:style w:type="character" w:customStyle="1" w:styleId="RegCodePartChar">
    <w:name w:val="Reg Code Part Char"/>
    <w:link w:val="RegCodePart"/>
    <w:rsid w:val="00C55A66"/>
    <w:rPr>
      <w:b/>
      <w:noProof/>
      <w:lang w:val="en-US" w:eastAsia="en-US" w:bidi="ar-SA"/>
    </w:rPr>
  </w:style>
  <w:style w:type="character" w:customStyle="1" w:styleId="Heading9Char">
    <w:name w:val="Heading 9 Char"/>
    <w:link w:val="Heading9"/>
    <w:rsid w:val="004D5CF0"/>
    <w:rPr>
      <w:b/>
      <w:bCs/>
      <w:iCs/>
    </w:rPr>
  </w:style>
  <w:style w:type="character" w:customStyle="1" w:styleId="Heading8Char">
    <w:name w:val="Heading 8 Char"/>
    <w:link w:val="Heading8"/>
    <w:rsid w:val="004D5CF0"/>
    <w:rPr>
      <w:b/>
      <w:bCs/>
      <w:sz w:val="24"/>
      <w:szCs w:val="24"/>
    </w:rPr>
  </w:style>
  <w:style w:type="character" w:customStyle="1" w:styleId="Heading5Char">
    <w:name w:val="Heading 5 Char"/>
    <w:link w:val="Heading5"/>
    <w:rsid w:val="00786797"/>
    <w:rPr>
      <w:rFonts w:ascii="Cambria" w:hAnsi="Cambria"/>
      <w:b/>
      <w:bCs/>
      <w:color w:val="7F7F7F"/>
      <w:sz w:val="22"/>
      <w:szCs w:val="22"/>
      <w:lang w:bidi="en-US"/>
    </w:rPr>
  </w:style>
  <w:style w:type="character" w:customStyle="1" w:styleId="Heading1Char">
    <w:name w:val="Heading 1 Char"/>
    <w:link w:val="Heading1"/>
    <w:rsid w:val="00786797"/>
    <w:rPr>
      <w:vanish/>
    </w:rPr>
  </w:style>
  <w:style w:type="character" w:customStyle="1" w:styleId="Heading6Char">
    <w:name w:val="Heading 6 Char"/>
    <w:link w:val="Heading6"/>
    <w:rsid w:val="00786797"/>
    <w:rPr>
      <w:b/>
      <w:bCs/>
      <w:szCs w:val="24"/>
    </w:rPr>
  </w:style>
  <w:style w:type="character" w:customStyle="1" w:styleId="Heading7Char">
    <w:name w:val="Heading 7 Char"/>
    <w:link w:val="Heading7"/>
    <w:rsid w:val="00786797"/>
    <w:rPr>
      <w:b/>
      <w:bCs/>
      <w:sz w:val="24"/>
      <w:szCs w:val="24"/>
    </w:rPr>
  </w:style>
  <w:style w:type="character" w:customStyle="1" w:styleId="FooterChar">
    <w:name w:val="Footer Char"/>
    <w:aliases w:val="f Char"/>
    <w:basedOn w:val="DefaultParagraphFont"/>
    <w:link w:val="Footer"/>
    <w:locked/>
    <w:rsid w:val="00786797"/>
  </w:style>
  <w:style w:type="paragraph" w:customStyle="1" w:styleId="RegFE2">
    <w:name w:val="Reg F&amp;E 2"/>
    <w:rsid w:val="00786797"/>
    <w:pPr>
      <w:ind w:left="288" w:firstLine="288"/>
      <w:jc w:val="both"/>
    </w:pPr>
    <w:rPr>
      <w:noProof/>
      <w:sz w:val="18"/>
    </w:rPr>
  </w:style>
  <w:style w:type="paragraph" w:customStyle="1" w:styleId="RegDepartment">
    <w:name w:val="Reg Department"/>
    <w:next w:val="RegSubDepartment"/>
    <w:link w:val="RegDepartmentChar"/>
    <w:rsid w:val="00786797"/>
    <w:pPr>
      <w:keepNext/>
      <w:jc w:val="center"/>
    </w:pPr>
    <w:rPr>
      <w:b/>
      <w:noProof/>
    </w:rPr>
  </w:style>
  <w:style w:type="paragraph" w:customStyle="1" w:styleId="ExoA">
    <w:name w:val="Exo A."/>
    <w:basedOn w:val="Normal"/>
    <w:rsid w:val="00786797"/>
    <w:pPr>
      <w:tabs>
        <w:tab w:val="left" w:pos="936"/>
      </w:tabs>
      <w:spacing w:line="240" w:lineRule="exact"/>
      <w:ind w:left="360" w:right="360" w:firstLine="187"/>
      <w:jc w:val="both"/>
    </w:pPr>
    <w:rPr>
      <w:sz w:val="20"/>
    </w:rPr>
  </w:style>
  <w:style w:type="paragraph" w:customStyle="1" w:styleId="ExoSecOfState">
    <w:name w:val="Exo SecOfState"/>
    <w:rsid w:val="00786797"/>
    <w:pPr>
      <w:keepNext/>
    </w:pPr>
    <w:rPr>
      <w:noProof/>
    </w:rPr>
  </w:style>
  <w:style w:type="paragraph" w:customStyle="1" w:styleId="RegLogNumber">
    <w:name w:val="Reg Log Number"/>
    <w:rsid w:val="00786797"/>
    <w:rPr>
      <w:noProof/>
      <w:sz w:val="16"/>
    </w:rPr>
  </w:style>
  <w:style w:type="paragraph" w:customStyle="1" w:styleId="RegSectionTitle">
    <w:name w:val="RegSectionTitle"/>
    <w:rsid w:val="00786797"/>
    <w:pPr>
      <w:jc w:val="center"/>
    </w:pPr>
    <w:rPr>
      <w:rFonts w:ascii="Arial" w:hAnsi="Arial"/>
      <w:b/>
      <w:noProof/>
      <w:sz w:val="48"/>
    </w:rPr>
  </w:style>
  <w:style w:type="character" w:customStyle="1" w:styleId="BalloonTextChar">
    <w:name w:val="Balloon Text Char"/>
    <w:link w:val="BalloonText"/>
    <w:uiPriority w:val="99"/>
    <w:rsid w:val="00786797"/>
    <w:rPr>
      <w:rFonts w:ascii="Tahoma" w:hAnsi="Tahoma" w:cs="Tahoma"/>
      <w:sz w:val="16"/>
      <w:szCs w:val="16"/>
    </w:rPr>
  </w:style>
  <w:style w:type="paragraph" w:styleId="ListParagraph">
    <w:name w:val="List Paragraph"/>
    <w:basedOn w:val="Normal"/>
    <w:link w:val="ListParagraphChar"/>
    <w:uiPriority w:val="99"/>
    <w:qFormat/>
    <w:rsid w:val="00786797"/>
    <w:pPr>
      <w:spacing w:after="200" w:line="276" w:lineRule="auto"/>
      <w:ind w:left="720"/>
      <w:contextualSpacing/>
    </w:pPr>
    <w:rPr>
      <w:rFonts w:ascii="Calibri" w:eastAsia="Calibri" w:hAnsi="Calibri"/>
      <w:sz w:val="22"/>
      <w:szCs w:val="22"/>
      <w:lang w:val="x-none" w:eastAsia="x-none"/>
    </w:rPr>
  </w:style>
  <w:style w:type="character" w:customStyle="1" w:styleId="TitleChar">
    <w:name w:val="Title Char"/>
    <w:aliases w:val="t Char"/>
    <w:link w:val="Title"/>
    <w:rsid w:val="00786797"/>
    <w:rPr>
      <w:b/>
      <w:caps/>
      <w:kern w:val="28"/>
      <w:sz w:val="28"/>
    </w:rPr>
  </w:style>
  <w:style w:type="character" w:customStyle="1" w:styleId="CharChar">
    <w:name w:val="Char Char"/>
    <w:rsid w:val="00786797"/>
    <w:rPr>
      <w:rFonts w:ascii="Times New Roman" w:hAnsi="Times New Roman" w:cs="Times New Roman"/>
      <w:sz w:val="24"/>
      <w:szCs w:val="24"/>
      <w:lang w:val="en-US"/>
    </w:rPr>
  </w:style>
  <w:style w:type="paragraph" w:styleId="CommentText">
    <w:name w:val="annotation text"/>
    <w:basedOn w:val="Normal"/>
    <w:next w:val="i"/>
    <w:link w:val="CommentTextChar1"/>
    <w:uiPriority w:val="99"/>
    <w:rsid w:val="00786797"/>
    <w:rPr>
      <w:sz w:val="20"/>
      <w:lang w:val="x-none" w:eastAsia="x-none"/>
    </w:rPr>
  </w:style>
  <w:style w:type="character" w:customStyle="1" w:styleId="CommentTextChar">
    <w:name w:val="Comment Text Char"/>
    <w:basedOn w:val="DefaultParagraphFont"/>
    <w:uiPriority w:val="99"/>
    <w:rsid w:val="00786797"/>
  </w:style>
  <w:style w:type="character" w:customStyle="1" w:styleId="CommentTextChar1">
    <w:name w:val="Comment Text Char1"/>
    <w:link w:val="CommentText"/>
    <w:uiPriority w:val="99"/>
    <w:rsid w:val="00786797"/>
    <w:rPr>
      <w:lang w:val="x-none" w:eastAsia="x-none"/>
    </w:rPr>
  </w:style>
  <w:style w:type="paragraph" w:customStyle="1" w:styleId="DeltaViewTableHeading">
    <w:name w:val="DeltaView Table Heading"/>
    <w:basedOn w:val="Normal"/>
    <w:rsid w:val="00786797"/>
    <w:pPr>
      <w:spacing w:after="120"/>
    </w:pPr>
    <w:rPr>
      <w:rFonts w:ascii="Arial" w:eastAsia="Calibri" w:hAnsi="Arial" w:cs="Arial"/>
      <w:b/>
      <w:bCs/>
      <w:szCs w:val="22"/>
    </w:rPr>
  </w:style>
  <w:style w:type="paragraph" w:customStyle="1" w:styleId="DeltaViewTableBody">
    <w:name w:val="DeltaView Table Body"/>
    <w:basedOn w:val="Normal"/>
    <w:rsid w:val="00786797"/>
    <w:rPr>
      <w:rFonts w:ascii="Arial" w:eastAsia="Calibri" w:hAnsi="Arial" w:cs="Arial"/>
      <w:szCs w:val="22"/>
    </w:rPr>
  </w:style>
  <w:style w:type="paragraph" w:customStyle="1" w:styleId="DeltaViewAnnounce">
    <w:name w:val="DeltaView Announce"/>
    <w:rsid w:val="00786797"/>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BodyTextChar">
    <w:name w:val="Body Text Char"/>
    <w:link w:val="BodyText"/>
    <w:rsid w:val="00786797"/>
    <w:rPr>
      <w:b/>
      <w:kern w:val="2"/>
      <w:sz w:val="16"/>
    </w:rPr>
  </w:style>
  <w:style w:type="character" w:customStyle="1" w:styleId="BodyTextChar1">
    <w:name w:val="Body Text Char1"/>
    <w:basedOn w:val="DefaultParagraphFont"/>
    <w:rsid w:val="00786797"/>
  </w:style>
  <w:style w:type="character" w:customStyle="1" w:styleId="DeltaViewInsertion">
    <w:name w:val="DeltaView Insertion"/>
    <w:rsid w:val="00786797"/>
    <w:rPr>
      <w:color w:val="0000FF"/>
      <w:u w:val="double"/>
    </w:rPr>
  </w:style>
  <w:style w:type="character" w:customStyle="1" w:styleId="DeltaViewDeletion">
    <w:name w:val="DeltaView Deletion"/>
    <w:rsid w:val="00786797"/>
    <w:rPr>
      <w:strike/>
      <w:color w:val="FF0000"/>
    </w:rPr>
  </w:style>
  <w:style w:type="character" w:customStyle="1" w:styleId="DeltaViewMoveSource">
    <w:name w:val="DeltaView Move Source"/>
    <w:rsid w:val="00786797"/>
    <w:rPr>
      <w:strike/>
      <w:color w:val="00C000"/>
    </w:rPr>
  </w:style>
  <w:style w:type="character" w:customStyle="1" w:styleId="DeltaViewMoveDestination">
    <w:name w:val="DeltaView Move Destination"/>
    <w:rsid w:val="00786797"/>
    <w:rPr>
      <w:color w:val="00C000"/>
      <w:u w:val="double"/>
    </w:rPr>
  </w:style>
  <w:style w:type="character" w:customStyle="1" w:styleId="DeltaViewChangeNumber">
    <w:name w:val="DeltaView Change Number"/>
    <w:rsid w:val="00786797"/>
    <w:rPr>
      <w:color w:val="000000"/>
      <w:vertAlign w:val="superscript"/>
    </w:rPr>
  </w:style>
  <w:style w:type="character" w:customStyle="1" w:styleId="DeltaViewDelimiter">
    <w:name w:val="DeltaView Delimiter"/>
    <w:rsid w:val="00786797"/>
  </w:style>
  <w:style w:type="character" w:customStyle="1" w:styleId="DocumentMapChar">
    <w:name w:val="Document Map Char"/>
    <w:link w:val="DocumentMap"/>
    <w:rsid w:val="00786797"/>
    <w:rPr>
      <w:rFonts w:ascii="Tahoma" w:hAnsi="Tahoma" w:cs="Tahoma"/>
      <w:sz w:val="24"/>
      <w:shd w:val="clear" w:color="auto" w:fill="000080"/>
    </w:rPr>
  </w:style>
  <w:style w:type="character" w:customStyle="1" w:styleId="DocumentMapChar1">
    <w:name w:val="Document Map Char1"/>
    <w:rsid w:val="00786797"/>
    <w:rPr>
      <w:rFonts w:ascii="Tahoma" w:hAnsi="Tahoma" w:cs="Tahoma"/>
      <w:sz w:val="16"/>
      <w:szCs w:val="16"/>
    </w:rPr>
  </w:style>
  <w:style w:type="character" w:customStyle="1" w:styleId="DeltaViewFormatChange">
    <w:name w:val="DeltaView Format Change"/>
    <w:rsid w:val="00786797"/>
    <w:rPr>
      <w:color w:val="000000"/>
    </w:rPr>
  </w:style>
  <w:style w:type="character" w:customStyle="1" w:styleId="DeltaViewMovedDeletion">
    <w:name w:val="DeltaView Moved Deletion"/>
    <w:rsid w:val="00786797"/>
    <w:rPr>
      <w:strike/>
      <w:color w:val="C08080"/>
    </w:rPr>
  </w:style>
  <w:style w:type="character" w:customStyle="1" w:styleId="DeltaViewComment">
    <w:name w:val="DeltaView Comment"/>
    <w:rsid w:val="00786797"/>
    <w:rPr>
      <w:color w:val="000000"/>
    </w:rPr>
  </w:style>
  <w:style w:type="character" w:customStyle="1" w:styleId="DeltaViewStyleChangeText">
    <w:name w:val="DeltaView Style Change Text"/>
    <w:rsid w:val="00786797"/>
    <w:rPr>
      <w:color w:val="000000"/>
      <w:u w:val="double"/>
    </w:rPr>
  </w:style>
  <w:style w:type="character" w:customStyle="1" w:styleId="DeltaViewStyleChangeLabel">
    <w:name w:val="DeltaView Style Change Label"/>
    <w:rsid w:val="00786797"/>
    <w:rPr>
      <w:color w:val="000000"/>
    </w:rPr>
  </w:style>
  <w:style w:type="character" w:customStyle="1" w:styleId="DeltaViewInsertedComment">
    <w:name w:val="DeltaView Inserted Comment"/>
    <w:rsid w:val="00786797"/>
    <w:rPr>
      <w:color w:val="0000FF"/>
      <w:u w:val="double"/>
    </w:rPr>
  </w:style>
  <w:style w:type="character" w:customStyle="1" w:styleId="DeltaViewDeletedComment">
    <w:name w:val="DeltaView Deleted Comment"/>
    <w:rsid w:val="00786797"/>
    <w:rPr>
      <w:strike/>
      <w:color w:val="FF0000"/>
    </w:rPr>
  </w:style>
  <w:style w:type="paragraph" w:styleId="Subtitle">
    <w:name w:val="Subtitle"/>
    <w:basedOn w:val="Normal"/>
    <w:next w:val="Normal"/>
    <w:link w:val="SubtitleChar"/>
    <w:qFormat/>
    <w:rsid w:val="00786797"/>
    <w:pPr>
      <w:spacing w:after="600"/>
    </w:pPr>
    <w:rPr>
      <w:rFonts w:ascii="Cambria" w:hAnsi="Cambria"/>
      <w:i/>
      <w:iCs/>
      <w:spacing w:val="13"/>
      <w:szCs w:val="24"/>
      <w:lang w:val="x-none" w:eastAsia="x-none" w:bidi="en-US"/>
    </w:rPr>
  </w:style>
  <w:style w:type="character" w:customStyle="1" w:styleId="SubtitleChar">
    <w:name w:val="Subtitle Char"/>
    <w:link w:val="Subtitle"/>
    <w:rsid w:val="00786797"/>
    <w:rPr>
      <w:rFonts w:ascii="Cambria" w:hAnsi="Cambria"/>
      <w:i/>
      <w:iCs/>
      <w:spacing w:val="13"/>
      <w:sz w:val="24"/>
      <w:szCs w:val="24"/>
      <w:lang w:bidi="en-US"/>
    </w:rPr>
  </w:style>
  <w:style w:type="character" w:styleId="Strong">
    <w:name w:val="Strong"/>
    <w:uiPriority w:val="22"/>
    <w:qFormat/>
    <w:rsid w:val="00786797"/>
    <w:rPr>
      <w:b/>
      <w:bCs/>
    </w:rPr>
  </w:style>
  <w:style w:type="character" w:styleId="Emphasis">
    <w:name w:val="Emphasis"/>
    <w:qFormat/>
    <w:rsid w:val="00786797"/>
    <w:rPr>
      <w:b/>
      <w:bCs/>
      <w:i/>
      <w:iCs/>
      <w:spacing w:val="10"/>
      <w:bdr w:val="none" w:sz="0" w:space="0" w:color="auto"/>
      <w:shd w:val="clear" w:color="auto" w:fill="auto"/>
    </w:rPr>
  </w:style>
  <w:style w:type="paragraph" w:styleId="NoSpacing">
    <w:name w:val="No Spacing"/>
    <w:basedOn w:val="Normal"/>
    <w:uiPriority w:val="1"/>
    <w:qFormat/>
    <w:rsid w:val="00786797"/>
    <w:rPr>
      <w:rFonts w:eastAsia="Calibri"/>
      <w:szCs w:val="22"/>
    </w:rPr>
  </w:style>
  <w:style w:type="paragraph" w:styleId="Quote">
    <w:name w:val="Quote"/>
    <w:basedOn w:val="Normal"/>
    <w:next w:val="Normal"/>
    <w:link w:val="QuoteChar"/>
    <w:uiPriority w:val="29"/>
    <w:qFormat/>
    <w:rsid w:val="00786797"/>
    <w:pPr>
      <w:spacing w:before="200"/>
      <w:ind w:left="360" w:right="360"/>
    </w:pPr>
    <w:rPr>
      <w:rFonts w:ascii="Calibri" w:eastAsia="Calibri" w:hAnsi="Calibri"/>
      <w:i/>
      <w:iCs/>
      <w:sz w:val="22"/>
      <w:szCs w:val="22"/>
      <w:lang w:val="x-none" w:eastAsia="x-none" w:bidi="en-US"/>
    </w:rPr>
  </w:style>
  <w:style w:type="character" w:customStyle="1" w:styleId="QuoteChar">
    <w:name w:val="Quote Char"/>
    <w:link w:val="Quote"/>
    <w:uiPriority w:val="29"/>
    <w:rsid w:val="00786797"/>
    <w:rPr>
      <w:rFonts w:ascii="Calibri" w:eastAsia="Calibri" w:hAnsi="Calibri"/>
      <w:i/>
      <w:iCs/>
      <w:sz w:val="22"/>
      <w:szCs w:val="22"/>
      <w:lang w:bidi="en-US"/>
    </w:rPr>
  </w:style>
  <w:style w:type="paragraph" w:styleId="IntenseQuote">
    <w:name w:val="Intense Quote"/>
    <w:basedOn w:val="Normal"/>
    <w:next w:val="Normal"/>
    <w:link w:val="IntenseQuoteChar"/>
    <w:uiPriority w:val="30"/>
    <w:qFormat/>
    <w:rsid w:val="00786797"/>
    <w:pPr>
      <w:pBdr>
        <w:bottom w:val="single" w:sz="4" w:space="1" w:color="auto"/>
      </w:pBdr>
      <w:spacing w:before="200" w:after="280"/>
      <w:ind w:left="1008" w:right="1152"/>
    </w:pPr>
    <w:rPr>
      <w:rFonts w:ascii="Calibri" w:eastAsia="Calibri" w:hAnsi="Calibri"/>
      <w:b/>
      <w:bCs/>
      <w:i/>
      <w:iCs/>
      <w:sz w:val="22"/>
      <w:szCs w:val="22"/>
      <w:lang w:val="x-none" w:eastAsia="x-none" w:bidi="en-US"/>
    </w:rPr>
  </w:style>
  <w:style w:type="character" w:customStyle="1" w:styleId="IntenseQuoteChar">
    <w:name w:val="Intense Quote Char"/>
    <w:link w:val="IntenseQuote"/>
    <w:uiPriority w:val="30"/>
    <w:rsid w:val="00786797"/>
    <w:rPr>
      <w:rFonts w:ascii="Calibri" w:eastAsia="Calibri" w:hAnsi="Calibri"/>
      <w:b/>
      <w:bCs/>
      <w:i/>
      <w:iCs/>
      <w:sz w:val="22"/>
      <w:szCs w:val="22"/>
      <w:lang w:bidi="en-US"/>
    </w:rPr>
  </w:style>
  <w:style w:type="character" w:styleId="SubtleEmphasis">
    <w:name w:val="Subtle Emphasis"/>
    <w:uiPriority w:val="19"/>
    <w:qFormat/>
    <w:rsid w:val="00786797"/>
    <w:rPr>
      <w:i/>
      <w:iCs/>
    </w:rPr>
  </w:style>
  <w:style w:type="character" w:styleId="IntenseEmphasis">
    <w:name w:val="Intense Emphasis"/>
    <w:uiPriority w:val="21"/>
    <w:qFormat/>
    <w:rsid w:val="00786797"/>
    <w:rPr>
      <w:b/>
      <w:bCs/>
    </w:rPr>
  </w:style>
  <w:style w:type="character" w:styleId="SubtleReference">
    <w:name w:val="Subtle Reference"/>
    <w:uiPriority w:val="31"/>
    <w:qFormat/>
    <w:rsid w:val="00786797"/>
    <w:rPr>
      <w:smallCaps/>
    </w:rPr>
  </w:style>
  <w:style w:type="character" w:styleId="IntenseReference">
    <w:name w:val="Intense Reference"/>
    <w:uiPriority w:val="32"/>
    <w:qFormat/>
    <w:rsid w:val="00786797"/>
    <w:rPr>
      <w:smallCaps/>
      <w:spacing w:val="5"/>
      <w:u w:val="single"/>
    </w:rPr>
  </w:style>
  <w:style w:type="character" w:styleId="BookTitle">
    <w:name w:val="Book Title"/>
    <w:uiPriority w:val="33"/>
    <w:qFormat/>
    <w:rsid w:val="00786797"/>
    <w:rPr>
      <w:i/>
      <w:iCs/>
      <w:smallCaps/>
      <w:spacing w:val="5"/>
    </w:rPr>
  </w:style>
  <w:style w:type="paragraph" w:styleId="TOCHeading">
    <w:name w:val="TOC Heading"/>
    <w:basedOn w:val="Heading1"/>
    <w:next w:val="Normal"/>
    <w:uiPriority w:val="39"/>
    <w:qFormat/>
    <w:rsid w:val="00786797"/>
    <w:pPr>
      <w:keepNext w:val="0"/>
      <w:spacing w:before="480"/>
      <w:contextualSpacing/>
      <w:outlineLvl w:val="9"/>
    </w:pPr>
    <w:rPr>
      <w:rFonts w:ascii="Cambria" w:hAnsi="Cambria"/>
      <w:b/>
      <w:bCs/>
      <w:vanish w:val="0"/>
      <w:sz w:val="28"/>
      <w:szCs w:val="28"/>
      <w:lang w:bidi="en-US"/>
    </w:rPr>
  </w:style>
  <w:style w:type="paragraph" w:customStyle="1" w:styleId="Style1">
    <w:name w:val="Style1"/>
    <w:basedOn w:val="Normal"/>
    <w:autoRedefine/>
    <w:qFormat/>
    <w:rsid w:val="00786797"/>
    <w:rPr>
      <w:rFonts w:eastAsia="Calibri"/>
      <w:szCs w:val="22"/>
    </w:rPr>
  </w:style>
  <w:style w:type="paragraph" w:styleId="BodyText2">
    <w:name w:val="Body Text 2"/>
    <w:basedOn w:val="Normal"/>
    <w:link w:val="BodyText2Char"/>
    <w:rsid w:val="00786797"/>
    <w:rPr>
      <w:rFonts w:eastAsia="Calibri"/>
      <w:szCs w:val="22"/>
      <w:lang w:val="x-none" w:eastAsia="x-none"/>
    </w:rPr>
  </w:style>
  <w:style w:type="character" w:customStyle="1" w:styleId="BodyText2Char">
    <w:name w:val="Body Text 2 Char"/>
    <w:link w:val="BodyText2"/>
    <w:rsid w:val="00786797"/>
    <w:rPr>
      <w:rFonts w:eastAsia="Calibri"/>
      <w:sz w:val="24"/>
      <w:szCs w:val="22"/>
    </w:rPr>
  </w:style>
  <w:style w:type="character" w:customStyle="1" w:styleId="CommentSubjectChar">
    <w:name w:val="Comment Subject Char"/>
    <w:link w:val="CommentSubject"/>
    <w:uiPriority w:val="99"/>
    <w:rsid w:val="00786797"/>
    <w:rPr>
      <w:rFonts w:ascii="Calibri" w:eastAsia="Calibri" w:hAnsi="Calibri"/>
      <w:b/>
      <w:bCs/>
      <w:lang w:val="x-none" w:eastAsia="x-none"/>
    </w:rPr>
  </w:style>
  <w:style w:type="paragraph" w:styleId="CommentSubject">
    <w:name w:val="annotation subject"/>
    <w:basedOn w:val="CommentText"/>
    <w:next w:val="CommentText"/>
    <w:link w:val="CommentSubjectChar"/>
    <w:uiPriority w:val="99"/>
    <w:unhideWhenUsed/>
    <w:rsid w:val="00786797"/>
    <w:rPr>
      <w:rFonts w:ascii="Calibri" w:eastAsia="Calibri" w:hAnsi="Calibri"/>
      <w:b/>
      <w:bCs/>
    </w:rPr>
  </w:style>
  <w:style w:type="character" w:customStyle="1" w:styleId="CommentSubjectChar1">
    <w:name w:val="Comment Subject Char1"/>
    <w:uiPriority w:val="99"/>
    <w:rsid w:val="00786797"/>
    <w:rPr>
      <w:b/>
      <w:bCs/>
    </w:rPr>
  </w:style>
  <w:style w:type="paragraph" w:customStyle="1" w:styleId="WPNormal">
    <w:name w:val="WP_Normal"/>
    <w:basedOn w:val="Normal"/>
    <w:rsid w:val="00786797"/>
    <w:pPr>
      <w:widowControl w:val="0"/>
      <w:autoSpaceDE w:val="0"/>
      <w:autoSpaceDN w:val="0"/>
      <w:jc w:val="both"/>
    </w:pPr>
    <w:rPr>
      <w:rFonts w:ascii="New Century Schlbk" w:hAnsi="New Century Schlbk"/>
      <w:color w:val="000000"/>
    </w:rPr>
  </w:style>
  <w:style w:type="character" w:customStyle="1" w:styleId="TOC10">
    <w:name w:val="TOC1"/>
    <w:rsid w:val="00786797"/>
    <w:rPr>
      <w:rFonts w:ascii="Arial" w:hAnsi="Arial"/>
      <w:b/>
      <w:kern w:val="2"/>
      <w:sz w:val="18"/>
    </w:rPr>
  </w:style>
  <w:style w:type="character" w:customStyle="1" w:styleId="TextChar">
    <w:name w:val="Text Char"/>
    <w:link w:val="Text"/>
    <w:locked/>
    <w:rsid w:val="00E57BB0"/>
    <w:rPr>
      <w:kern w:val="2"/>
    </w:rPr>
  </w:style>
  <w:style w:type="paragraph" w:customStyle="1" w:styleId="WPDefaults">
    <w:name w:val="WP Defaults"/>
    <w:rsid w:val="005A46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5A46E7"/>
  </w:style>
  <w:style w:type="paragraph" w:styleId="BodyTextIndent">
    <w:name w:val="Body Text Indent"/>
    <w:basedOn w:val="Normal"/>
    <w:link w:val="BodyTextIndentChar"/>
    <w:rsid w:val="005A46E7"/>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jc w:val="both"/>
    </w:pPr>
    <w:rPr>
      <w:sz w:val="20"/>
      <w:lang w:val="x-none" w:eastAsia="x-none"/>
    </w:rPr>
  </w:style>
  <w:style w:type="character" w:customStyle="1" w:styleId="BodyTextIndentChar">
    <w:name w:val="Body Text Indent Char"/>
    <w:link w:val="BodyTextIndent"/>
    <w:rsid w:val="005A46E7"/>
    <w:rPr>
      <w:lang w:val="x-none" w:eastAsia="x-none"/>
    </w:rPr>
  </w:style>
  <w:style w:type="paragraph" w:styleId="BodyTextIndent2">
    <w:name w:val="Body Text Indent 2"/>
    <w:basedOn w:val="Normal"/>
    <w:link w:val="BodyTextIndent2Char"/>
    <w:rsid w:val="005A46E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 w:hanging="432"/>
      <w:jc w:val="both"/>
    </w:pPr>
    <w:rPr>
      <w:sz w:val="20"/>
      <w:lang w:val="x-none" w:eastAsia="x-none"/>
    </w:rPr>
  </w:style>
  <w:style w:type="character" w:customStyle="1" w:styleId="BodyTextIndent2Char">
    <w:name w:val="Body Text Indent 2 Char"/>
    <w:link w:val="BodyTextIndent2"/>
    <w:rsid w:val="005A46E7"/>
    <w:rPr>
      <w:lang w:val="x-none" w:eastAsia="x-none"/>
    </w:rPr>
  </w:style>
  <w:style w:type="paragraph" w:styleId="BodyTextIndent3">
    <w:name w:val="Body Text Indent 3"/>
    <w:basedOn w:val="Normal"/>
    <w:link w:val="BodyTextIndent3Char"/>
    <w:rsid w:val="005A46E7"/>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2246" w:hanging="2592"/>
      <w:jc w:val="both"/>
    </w:pPr>
    <w:rPr>
      <w:sz w:val="16"/>
      <w:szCs w:val="16"/>
      <w:lang w:val="x-none" w:eastAsia="x-none"/>
    </w:rPr>
  </w:style>
  <w:style w:type="character" w:customStyle="1" w:styleId="BodyTextIndent3Char">
    <w:name w:val="Body Text Indent 3 Char"/>
    <w:link w:val="BodyTextIndent3"/>
    <w:rsid w:val="005A46E7"/>
    <w:rPr>
      <w:sz w:val="16"/>
      <w:szCs w:val="16"/>
      <w:lang w:val="x-none" w:eastAsia="x-none"/>
    </w:rPr>
  </w:style>
  <w:style w:type="paragraph" w:styleId="BlockText">
    <w:name w:val="Block Text"/>
    <w:basedOn w:val="Normal"/>
    <w:rsid w:val="005A46E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customStyle="1" w:styleId="Default">
    <w:name w:val="Default"/>
    <w:rsid w:val="005A46E7"/>
    <w:pPr>
      <w:autoSpaceDE w:val="0"/>
      <w:autoSpaceDN w:val="0"/>
      <w:adjustRightInd w:val="0"/>
    </w:pPr>
    <w:rPr>
      <w:color w:val="000000"/>
      <w:sz w:val="24"/>
      <w:szCs w:val="24"/>
    </w:rPr>
  </w:style>
  <w:style w:type="character" w:styleId="CommentReference">
    <w:name w:val="annotation reference"/>
    <w:uiPriority w:val="99"/>
    <w:rsid w:val="005A46E7"/>
    <w:rPr>
      <w:sz w:val="16"/>
      <w:szCs w:val="16"/>
    </w:rPr>
  </w:style>
  <w:style w:type="numbering" w:customStyle="1" w:styleId="NoList1">
    <w:name w:val="No List1"/>
    <w:next w:val="NoList"/>
    <w:uiPriority w:val="99"/>
    <w:semiHidden/>
    <w:unhideWhenUsed/>
    <w:rsid w:val="005A46E7"/>
  </w:style>
  <w:style w:type="numbering" w:customStyle="1" w:styleId="NoList2">
    <w:name w:val="No List2"/>
    <w:next w:val="NoList"/>
    <w:uiPriority w:val="99"/>
    <w:semiHidden/>
    <w:unhideWhenUsed/>
    <w:rsid w:val="005A46E7"/>
  </w:style>
  <w:style w:type="character" w:customStyle="1" w:styleId="apple-converted-space">
    <w:name w:val="apple-converted-space"/>
    <w:rsid w:val="008674EA"/>
  </w:style>
  <w:style w:type="paragraph" w:customStyle="1" w:styleId="table">
    <w:name w:val="table"/>
    <w:basedOn w:val="BodyText"/>
    <w:rsid w:val="008674EA"/>
    <w:pPr>
      <w:keepNext w:val="0"/>
      <w:tabs>
        <w:tab w:val="left" w:pos="4680"/>
      </w:tabs>
      <w:spacing w:after="120"/>
    </w:pPr>
    <w:rPr>
      <w:b w:val="0"/>
      <w:kern w:val="0"/>
      <w:sz w:val="20"/>
      <w:szCs w:val="24"/>
      <w:lang w:val="en-US" w:eastAsia="en-US"/>
    </w:rPr>
  </w:style>
  <w:style w:type="table" w:customStyle="1" w:styleId="TableGrid1">
    <w:name w:val="Table Grid1"/>
    <w:basedOn w:val="TableNormal"/>
    <w:next w:val="TableGrid"/>
    <w:uiPriority w:val="39"/>
    <w:rsid w:val="008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674EA"/>
    <w:pPr>
      <w:spacing w:after="120"/>
    </w:pPr>
    <w:rPr>
      <w:sz w:val="16"/>
      <w:szCs w:val="16"/>
      <w:lang w:val="x-none" w:eastAsia="x-none"/>
    </w:rPr>
  </w:style>
  <w:style w:type="character" w:customStyle="1" w:styleId="BodyText3Char">
    <w:name w:val="Body Text 3 Char"/>
    <w:link w:val="BodyText3"/>
    <w:rsid w:val="008674EA"/>
    <w:rPr>
      <w:sz w:val="16"/>
      <w:szCs w:val="16"/>
      <w:lang w:val="x-none" w:eastAsia="x-none"/>
    </w:rPr>
  </w:style>
  <w:style w:type="paragraph" w:styleId="HTMLPreformatted">
    <w:name w:val="HTML Preformatted"/>
    <w:basedOn w:val="Normal"/>
    <w:link w:val="HTMLPreformattedChar"/>
    <w:rsid w:val="00867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x-none" w:eastAsia="x-none"/>
    </w:rPr>
  </w:style>
  <w:style w:type="character" w:customStyle="1" w:styleId="HTMLPreformattedChar">
    <w:name w:val="HTML Preformatted Char"/>
    <w:link w:val="HTMLPreformatted"/>
    <w:rsid w:val="008674EA"/>
    <w:rPr>
      <w:rFonts w:ascii="Arial Unicode MS" w:eastAsia="Arial Unicode MS" w:hAnsi="Arial Unicode MS"/>
      <w:lang w:val="x-none" w:eastAsia="x-none"/>
    </w:rPr>
  </w:style>
  <w:style w:type="character" w:customStyle="1" w:styleId="RegDepartmentChar">
    <w:name w:val="Reg Department Char"/>
    <w:link w:val="RegDepartment"/>
    <w:locked/>
    <w:rsid w:val="008674EA"/>
    <w:rPr>
      <w:b/>
      <w:noProof/>
      <w:lang w:val="en-US" w:eastAsia="en-US" w:bidi="ar-SA"/>
    </w:rPr>
  </w:style>
  <w:style w:type="table" w:customStyle="1" w:styleId="TableGrid2">
    <w:name w:val="Table Grid2"/>
    <w:basedOn w:val="TableNormal"/>
    <w:next w:val="TableGrid"/>
    <w:rsid w:val="008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74EA"/>
  </w:style>
  <w:style w:type="numbering" w:customStyle="1" w:styleId="NoList4">
    <w:name w:val="No List4"/>
    <w:next w:val="NoList"/>
    <w:uiPriority w:val="99"/>
    <w:semiHidden/>
    <w:unhideWhenUsed/>
    <w:rsid w:val="008674EA"/>
  </w:style>
  <w:style w:type="numbering" w:customStyle="1" w:styleId="NoList5">
    <w:name w:val="No List5"/>
    <w:next w:val="NoList"/>
    <w:uiPriority w:val="99"/>
    <w:semiHidden/>
    <w:unhideWhenUsed/>
    <w:rsid w:val="008674EA"/>
  </w:style>
  <w:style w:type="numbering" w:customStyle="1" w:styleId="NoList6">
    <w:name w:val="No List6"/>
    <w:next w:val="NoList"/>
    <w:uiPriority w:val="99"/>
    <w:semiHidden/>
    <w:rsid w:val="008674EA"/>
  </w:style>
  <w:style w:type="paragraph" w:styleId="ListBullet">
    <w:name w:val="List Bullet"/>
    <w:basedOn w:val="Normal"/>
    <w:rsid w:val="008674EA"/>
    <w:pPr>
      <w:numPr>
        <w:numId w:val="38"/>
      </w:numPr>
    </w:pPr>
    <w:rPr>
      <w:szCs w:val="24"/>
    </w:rPr>
  </w:style>
  <w:style w:type="paragraph" w:styleId="ListBullet2">
    <w:name w:val="List Bullet 2"/>
    <w:basedOn w:val="Normal"/>
    <w:rsid w:val="008674EA"/>
    <w:pPr>
      <w:numPr>
        <w:numId w:val="39"/>
      </w:numPr>
      <w:tabs>
        <w:tab w:val="clear" w:pos="360"/>
        <w:tab w:val="num" w:pos="720"/>
      </w:tabs>
      <w:ind w:left="720"/>
    </w:pPr>
    <w:rPr>
      <w:szCs w:val="24"/>
    </w:rPr>
  </w:style>
  <w:style w:type="numbering" w:customStyle="1" w:styleId="NoList7">
    <w:name w:val="No List7"/>
    <w:next w:val="NoList"/>
    <w:uiPriority w:val="99"/>
    <w:semiHidden/>
    <w:unhideWhenUsed/>
    <w:rsid w:val="008674EA"/>
  </w:style>
  <w:style w:type="character" w:customStyle="1" w:styleId="medblue1">
    <w:name w:val="medblue1"/>
    <w:rsid w:val="008674EA"/>
    <w:rPr>
      <w:rFonts w:ascii="Arial" w:hAnsi="Arial" w:cs="Arial" w:hint="default"/>
      <w:strike w:val="0"/>
      <w:dstrike w:val="0"/>
      <w:color w:val="1B1E5B"/>
      <w:sz w:val="18"/>
      <w:szCs w:val="18"/>
      <w:u w:val="none"/>
      <w:effect w:val="none"/>
    </w:rPr>
  </w:style>
  <w:style w:type="character" w:customStyle="1" w:styleId="description1">
    <w:name w:val="description1"/>
    <w:rsid w:val="008674EA"/>
    <w:rPr>
      <w:rFonts w:ascii="Arial" w:hAnsi="Arial" w:cs="Arial" w:hint="default"/>
      <w:strike w:val="0"/>
      <w:dstrike w:val="0"/>
      <w:color w:val="1B1E5B"/>
      <w:sz w:val="17"/>
      <w:szCs w:val="17"/>
      <w:u w:val="none"/>
      <w:effect w:val="none"/>
    </w:rPr>
  </w:style>
  <w:style w:type="paragraph" w:styleId="List3">
    <w:name w:val="List 3"/>
    <w:basedOn w:val="Normal"/>
    <w:rsid w:val="008674EA"/>
    <w:pPr>
      <w:ind w:left="1080" w:hanging="360"/>
    </w:pPr>
  </w:style>
  <w:style w:type="paragraph" w:styleId="List2">
    <w:name w:val="List 2"/>
    <w:basedOn w:val="Normal"/>
    <w:rsid w:val="008674EA"/>
    <w:pPr>
      <w:ind w:left="720" w:hanging="360"/>
    </w:pPr>
  </w:style>
  <w:style w:type="character" w:customStyle="1" w:styleId="LACNoteChar">
    <w:name w:val="LACNote Char"/>
    <w:link w:val="LACNote"/>
    <w:rsid w:val="008674EA"/>
    <w:rPr>
      <w:kern w:val="2"/>
      <w:sz w:val="16"/>
    </w:rPr>
  </w:style>
  <w:style w:type="character" w:customStyle="1" w:styleId="BodyText2Char1">
    <w:name w:val="Body Text 2 Char1"/>
    <w:rsid w:val="008674EA"/>
  </w:style>
  <w:style w:type="character" w:customStyle="1" w:styleId="BodyTextIndentChar1">
    <w:name w:val="Body Text Indent Char1"/>
    <w:rsid w:val="008674EA"/>
  </w:style>
  <w:style w:type="character" w:customStyle="1" w:styleId="BodyTextIndent3Char1">
    <w:name w:val="Body Text Indent 3 Char1"/>
    <w:rsid w:val="008674EA"/>
    <w:rPr>
      <w:sz w:val="16"/>
      <w:szCs w:val="16"/>
    </w:rPr>
  </w:style>
  <w:style w:type="character" w:customStyle="1" w:styleId="BalloonTextChar1">
    <w:name w:val="Balloon Text Char1"/>
    <w:uiPriority w:val="99"/>
    <w:rsid w:val="008674EA"/>
    <w:rPr>
      <w:rFonts w:ascii="Tahoma" w:hAnsi="Tahoma" w:cs="Tahoma"/>
      <w:sz w:val="16"/>
      <w:szCs w:val="16"/>
    </w:rPr>
  </w:style>
  <w:style w:type="paragraph" w:customStyle="1" w:styleId="Level1">
    <w:name w:val="Level 1"/>
    <w:basedOn w:val="Normal"/>
    <w:rsid w:val="008674EA"/>
    <w:pPr>
      <w:widowControl w:val="0"/>
      <w:numPr>
        <w:numId w:val="40"/>
      </w:numPr>
      <w:autoSpaceDE w:val="0"/>
      <w:autoSpaceDN w:val="0"/>
      <w:adjustRightInd w:val="0"/>
      <w:ind w:left="900" w:hanging="450"/>
      <w:outlineLvl w:val="0"/>
    </w:pPr>
    <w:rPr>
      <w:szCs w:val="24"/>
    </w:rPr>
  </w:style>
  <w:style w:type="paragraph" w:customStyle="1" w:styleId="00002">
    <w:name w:val="00002"/>
    <w:basedOn w:val="Normal"/>
    <w:uiPriority w:val="99"/>
    <w:rsid w:val="008674EA"/>
    <w:pPr>
      <w:spacing w:before="100" w:beforeAutospacing="1" w:after="100" w:afterAutospacing="1"/>
    </w:pPr>
    <w:rPr>
      <w:szCs w:val="24"/>
    </w:rPr>
  </w:style>
  <w:style w:type="paragraph" w:customStyle="1" w:styleId="Level2">
    <w:name w:val="Level 2"/>
    <w:basedOn w:val="Normal"/>
    <w:rsid w:val="008674EA"/>
    <w:pPr>
      <w:widowControl w:val="0"/>
      <w:ind w:left="1440" w:hanging="720"/>
      <w:outlineLvl w:val="1"/>
    </w:pPr>
    <w:rPr>
      <w:snapToGrid w:val="0"/>
      <w:sz w:val="20"/>
    </w:rPr>
  </w:style>
  <w:style w:type="paragraph" w:styleId="NormalWeb">
    <w:name w:val="Normal (Web)"/>
    <w:basedOn w:val="Normal"/>
    <w:uiPriority w:val="99"/>
    <w:rsid w:val="008674EA"/>
    <w:pPr>
      <w:spacing w:before="100" w:beforeAutospacing="1" w:after="100" w:afterAutospacing="1"/>
    </w:pPr>
    <w:rPr>
      <w:sz w:val="20"/>
      <w:szCs w:val="24"/>
    </w:rPr>
  </w:style>
  <w:style w:type="paragraph" w:customStyle="1" w:styleId="Style">
    <w:name w:val="Style"/>
    <w:basedOn w:val="Normal"/>
    <w:rsid w:val="008674EA"/>
    <w:pPr>
      <w:widowControl w:val="0"/>
      <w:autoSpaceDE w:val="0"/>
      <w:autoSpaceDN w:val="0"/>
      <w:adjustRightInd w:val="0"/>
      <w:ind w:left="2192" w:hanging="1462"/>
    </w:pPr>
    <w:rPr>
      <w:rFonts w:ascii="Courier" w:hAnsi="Courier"/>
      <w:sz w:val="20"/>
      <w:szCs w:val="24"/>
    </w:rPr>
  </w:style>
  <w:style w:type="paragraph" w:customStyle="1" w:styleId="RFPH1">
    <w:name w:val="RFP H1"/>
    <w:basedOn w:val="Heading2"/>
    <w:qFormat/>
    <w:rsid w:val="008674EA"/>
    <w:pPr>
      <w:keepNext w:val="0"/>
      <w:widowControl w:val="0"/>
      <w:tabs>
        <w:tab w:val="num" w:pos="1224"/>
      </w:tabs>
      <w:autoSpaceDE w:val="0"/>
      <w:autoSpaceDN w:val="0"/>
      <w:adjustRightInd w:val="0"/>
      <w:spacing w:before="0" w:after="0"/>
      <w:ind w:left="1224"/>
      <w:jc w:val="both"/>
    </w:pPr>
    <w:rPr>
      <w:rFonts w:ascii="Arial" w:hAnsi="Arial" w:cs="Arial"/>
      <w:b w:val="0"/>
      <w:bCs w:val="0"/>
      <w:i w:val="0"/>
      <w:iCs w:val="0"/>
      <w:sz w:val="24"/>
      <w:szCs w:val="24"/>
    </w:rPr>
  </w:style>
  <w:style w:type="paragraph" w:customStyle="1" w:styleId="RFPH2">
    <w:name w:val="RFP H2"/>
    <w:basedOn w:val="Heading2"/>
    <w:qFormat/>
    <w:rsid w:val="008674EA"/>
    <w:pPr>
      <w:keepNext w:val="0"/>
      <w:widowControl w:val="0"/>
      <w:tabs>
        <w:tab w:val="num" w:pos="1944"/>
      </w:tabs>
      <w:autoSpaceDE w:val="0"/>
      <w:autoSpaceDN w:val="0"/>
      <w:adjustRightInd w:val="0"/>
      <w:spacing w:before="0" w:after="0"/>
      <w:ind w:left="1944"/>
      <w:jc w:val="both"/>
    </w:pPr>
    <w:rPr>
      <w:rFonts w:ascii="Arial" w:hAnsi="Arial" w:cs="Arial"/>
      <w:b w:val="0"/>
      <w:bCs w:val="0"/>
      <w:i w:val="0"/>
      <w:iCs w:val="0"/>
      <w:sz w:val="24"/>
      <w:szCs w:val="24"/>
    </w:rPr>
  </w:style>
  <w:style w:type="paragraph" w:customStyle="1" w:styleId="rfph3">
    <w:name w:val="rfp h3"/>
    <w:basedOn w:val="Heading2"/>
    <w:qFormat/>
    <w:rsid w:val="008674EA"/>
    <w:pPr>
      <w:keepNext w:val="0"/>
      <w:widowControl w:val="0"/>
      <w:tabs>
        <w:tab w:val="left" w:pos="1440"/>
        <w:tab w:val="num" w:pos="1890"/>
      </w:tabs>
      <w:autoSpaceDE w:val="0"/>
      <w:autoSpaceDN w:val="0"/>
      <w:adjustRightInd w:val="0"/>
      <w:spacing w:before="0" w:after="0"/>
      <w:ind w:left="1890" w:hanging="720"/>
    </w:pPr>
    <w:rPr>
      <w:rFonts w:ascii="Arial" w:hAnsi="Arial" w:cs="Arial"/>
      <w:b w:val="0"/>
      <w:i w:val="0"/>
      <w:iCs w:val="0"/>
      <w:sz w:val="24"/>
      <w:szCs w:val="24"/>
    </w:rPr>
  </w:style>
  <w:style w:type="paragraph" w:customStyle="1" w:styleId="rfph4">
    <w:name w:val="rfp h4"/>
    <w:basedOn w:val="Heading4"/>
    <w:qFormat/>
    <w:rsid w:val="008674EA"/>
    <w:pPr>
      <w:keepNext w:val="0"/>
      <w:tabs>
        <w:tab w:val="num" w:pos="2160"/>
      </w:tabs>
      <w:spacing w:before="0" w:after="0"/>
      <w:ind w:left="2160" w:hanging="1080"/>
    </w:pPr>
    <w:rPr>
      <w:rFonts w:ascii="Arial" w:hAnsi="Arial" w:cs="Arial"/>
      <w:b w:val="0"/>
      <w:bCs w:val="0"/>
      <w:sz w:val="24"/>
      <w:szCs w:val="24"/>
    </w:rPr>
  </w:style>
  <w:style w:type="paragraph" w:customStyle="1" w:styleId="RFPH5">
    <w:name w:val="RFP H5"/>
    <w:basedOn w:val="Heading4"/>
    <w:qFormat/>
    <w:rsid w:val="008674EA"/>
    <w:pPr>
      <w:keepNext w:val="0"/>
      <w:tabs>
        <w:tab w:val="num" w:pos="3060"/>
      </w:tabs>
      <w:spacing w:before="0" w:after="0"/>
      <w:ind w:left="2844" w:hanging="864"/>
    </w:pPr>
    <w:rPr>
      <w:rFonts w:ascii="Arial" w:hAnsi="Arial" w:cs="Arial"/>
      <w:b w:val="0"/>
      <w:bCs w:val="0"/>
      <w:sz w:val="24"/>
      <w:szCs w:val="24"/>
    </w:rPr>
  </w:style>
  <w:style w:type="paragraph" w:customStyle="1" w:styleId="RFPH6">
    <w:name w:val="RFP H6"/>
    <w:basedOn w:val="Heading4"/>
    <w:qFormat/>
    <w:rsid w:val="008674EA"/>
    <w:pPr>
      <w:keepNext w:val="0"/>
      <w:spacing w:before="0" w:after="0"/>
    </w:pPr>
    <w:rPr>
      <w:rFonts w:ascii="Arial" w:hAnsi="Arial" w:cs="Arial"/>
      <w:b w:val="0"/>
      <w:bCs w:val="0"/>
      <w:sz w:val="24"/>
      <w:szCs w:val="24"/>
    </w:rPr>
  </w:style>
  <w:style w:type="character" w:customStyle="1" w:styleId="normalchar1">
    <w:name w:val="normal__char1"/>
    <w:uiPriority w:val="99"/>
    <w:rsid w:val="008674EA"/>
    <w:rPr>
      <w:rFonts w:ascii="Arial" w:hAnsi="Arial" w:cs="Arial"/>
      <w:sz w:val="22"/>
      <w:szCs w:val="22"/>
    </w:rPr>
  </w:style>
  <w:style w:type="paragraph" w:customStyle="1" w:styleId="Level3">
    <w:name w:val="Level 3"/>
    <w:rsid w:val="008674EA"/>
    <w:pPr>
      <w:widowControl w:val="0"/>
      <w:autoSpaceDE w:val="0"/>
      <w:autoSpaceDN w:val="0"/>
      <w:adjustRightInd w:val="0"/>
      <w:ind w:left="2160"/>
      <w:jc w:val="both"/>
    </w:pPr>
    <w:rPr>
      <w:sz w:val="24"/>
      <w:szCs w:val="24"/>
    </w:rPr>
  </w:style>
  <w:style w:type="paragraph" w:customStyle="1" w:styleId="Level4">
    <w:name w:val="Level 4"/>
    <w:rsid w:val="008674EA"/>
    <w:pPr>
      <w:widowControl w:val="0"/>
      <w:autoSpaceDE w:val="0"/>
      <w:autoSpaceDN w:val="0"/>
      <w:adjustRightInd w:val="0"/>
      <w:ind w:left="2880"/>
      <w:jc w:val="both"/>
    </w:pPr>
    <w:rPr>
      <w:sz w:val="24"/>
      <w:szCs w:val="24"/>
    </w:rPr>
  </w:style>
  <w:style w:type="paragraph" w:customStyle="1" w:styleId="Level5">
    <w:name w:val="Level 5"/>
    <w:rsid w:val="008674EA"/>
    <w:pPr>
      <w:widowControl w:val="0"/>
      <w:autoSpaceDE w:val="0"/>
      <w:autoSpaceDN w:val="0"/>
      <w:adjustRightInd w:val="0"/>
      <w:ind w:left="-1440"/>
      <w:jc w:val="both"/>
    </w:pPr>
    <w:rPr>
      <w:sz w:val="24"/>
      <w:szCs w:val="24"/>
    </w:rPr>
  </w:style>
  <w:style w:type="paragraph" w:customStyle="1" w:styleId="Level6">
    <w:name w:val="Level 6"/>
    <w:rsid w:val="008674EA"/>
    <w:pPr>
      <w:widowControl w:val="0"/>
      <w:autoSpaceDE w:val="0"/>
      <w:autoSpaceDN w:val="0"/>
      <w:adjustRightInd w:val="0"/>
      <w:ind w:left="-1440"/>
      <w:jc w:val="both"/>
    </w:pPr>
    <w:rPr>
      <w:sz w:val="24"/>
      <w:szCs w:val="24"/>
    </w:rPr>
  </w:style>
  <w:style w:type="paragraph" w:customStyle="1" w:styleId="Level7">
    <w:name w:val="Level 7"/>
    <w:rsid w:val="008674EA"/>
    <w:pPr>
      <w:widowControl w:val="0"/>
      <w:autoSpaceDE w:val="0"/>
      <w:autoSpaceDN w:val="0"/>
      <w:adjustRightInd w:val="0"/>
      <w:ind w:left="-1440"/>
      <w:jc w:val="both"/>
    </w:pPr>
    <w:rPr>
      <w:sz w:val="24"/>
      <w:szCs w:val="24"/>
    </w:rPr>
  </w:style>
  <w:style w:type="paragraph" w:customStyle="1" w:styleId="Level8">
    <w:name w:val="Level 8"/>
    <w:rsid w:val="008674EA"/>
    <w:pPr>
      <w:widowControl w:val="0"/>
      <w:autoSpaceDE w:val="0"/>
      <w:autoSpaceDN w:val="0"/>
      <w:adjustRightInd w:val="0"/>
      <w:ind w:left="-1440"/>
      <w:jc w:val="both"/>
    </w:pPr>
    <w:rPr>
      <w:sz w:val="24"/>
      <w:szCs w:val="24"/>
    </w:rPr>
  </w:style>
  <w:style w:type="paragraph" w:customStyle="1" w:styleId="Level9">
    <w:name w:val="Level 9"/>
    <w:rsid w:val="008674EA"/>
    <w:pPr>
      <w:widowControl w:val="0"/>
      <w:autoSpaceDE w:val="0"/>
      <w:autoSpaceDN w:val="0"/>
      <w:adjustRightInd w:val="0"/>
      <w:ind w:left="-1440"/>
      <w:jc w:val="both"/>
    </w:pPr>
    <w:rPr>
      <w:b/>
      <w:bCs/>
      <w:sz w:val="24"/>
      <w:szCs w:val="24"/>
    </w:rPr>
  </w:style>
  <w:style w:type="paragraph" w:customStyle="1" w:styleId="upar2">
    <w:name w:val="upar2"/>
    <w:basedOn w:val="Normal"/>
    <w:link w:val="upar2Char"/>
    <w:rsid w:val="008674EA"/>
    <w:pPr>
      <w:tabs>
        <w:tab w:val="left" w:pos="720"/>
        <w:tab w:val="left" w:pos="1440"/>
      </w:tabs>
      <w:spacing w:before="240"/>
      <w:ind w:left="720"/>
    </w:pPr>
    <w:rPr>
      <w:rFonts w:ascii="Arial" w:hAnsi="Arial"/>
      <w:sz w:val="20"/>
      <w:lang w:val="x-none" w:eastAsia="x-none"/>
    </w:rPr>
  </w:style>
  <w:style w:type="character" w:customStyle="1" w:styleId="upar2Char">
    <w:name w:val="upar2 Char"/>
    <w:link w:val="upar2"/>
    <w:locked/>
    <w:rsid w:val="008674EA"/>
    <w:rPr>
      <w:rFonts w:ascii="Arial" w:hAnsi="Arial"/>
      <w:lang w:val="x-none" w:eastAsia="x-none"/>
    </w:rPr>
  </w:style>
  <w:style w:type="character" w:customStyle="1" w:styleId="upar1Char">
    <w:name w:val="upar1 Char"/>
    <w:link w:val="upar1"/>
    <w:locked/>
    <w:rsid w:val="008674EA"/>
    <w:rPr>
      <w:rFonts w:ascii="Arial" w:hAnsi="Arial" w:cs="Arial"/>
    </w:rPr>
  </w:style>
  <w:style w:type="paragraph" w:customStyle="1" w:styleId="upar1">
    <w:name w:val="upar1"/>
    <w:basedOn w:val="Normal"/>
    <w:link w:val="upar1Char"/>
    <w:rsid w:val="008674EA"/>
    <w:pPr>
      <w:tabs>
        <w:tab w:val="left" w:pos="720"/>
        <w:tab w:val="left" w:pos="1440"/>
      </w:tabs>
      <w:spacing w:before="240"/>
    </w:pPr>
    <w:rPr>
      <w:rFonts w:ascii="Arial" w:hAnsi="Arial"/>
      <w:sz w:val="20"/>
      <w:lang w:val="x-none" w:eastAsia="x-none"/>
    </w:rPr>
  </w:style>
  <w:style w:type="paragraph" w:customStyle="1" w:styleId="par2">
    <w:name w:val="par2"/>
    <w:basedOn w:val="Normal"/>
    <w:link w:val="par2Char"/>
    <w:rsid w:val="008674EA"/>
    <w:pPr>
      <w:tabs>
        <w:tab w:val="left" w:pos="720"/>
        <w:tab w:val="left" w:pos="1440"/>
        <w:tab w:val="left" w:pos="2160"/>
      </w:tabs>
      <w:spacing w:before="240"/>
      <w:ind w:left="1440" w:hanging="720"/>
    </w:pPr>
    <w:rPr>
      <w:rFonts w:ascii="Arial" w:hAnsi="Arial"/>
      <w:sz w:val="20"/>
      <w:lang w:val="x-none" w:eastAsia="x-none"/>
    </w:rPr>
  </w:style>
  <w:style w:type="character" w:customStyle="1" w:styleId="par2Char">
    <w:name w:val="par2 Char"/>
    <w:link w:val="par2"/>
    <w:locked/>
    <w:rsid w:val="008674EA"/>
    <w:rPr>
      <w:rFonts w:ascii="Arial" w:hAnsi="Arial"/>
      <w:lang w:val="x-none" w:eastAsia="x-none"/>
    </w:rPr>
  </w:style>
  <w:style w:type="paragraph" w:customStyle="1" w:styleId="par1">
    <w:name w:val="par1"/>
    <w:basedOn w:val="Normal"/>
    <w:link w:val="par1Char"/>
    <w:rsid w:val="008674EA"/>
    <w:pPr>
      <w:tabs>
        <w:tab w:val="left" w:pos="720"/>
        <w:tab w:val="left" w:pos="1440"/>
        <w:tab w:val="left" w:pos="2160"/>
      </w:tabs>
      <w:spacing w:before="240"/>
      <w:ind w:left="720" w:hanging="720"/>
    </w:pPr>
    <w:rPr>
      <w:rFonts w:ascii="Arial" w:hAnsi="Arial"/>
      <w:sz w:val="20"/>
      <w:lang w:val="x-none" w:eastAsia="x-none"/>
    </w:rPr>
  </w:style>
  <w:style w:type="character" w:customStyle="1" w:styleId="par1Char">
    <w:name w:val="par1 Char"/>
    <w:link w:val="par1"/>
    <w:locked/>
    <w:rsid w:val="008674EA"/>
    <w:rPr>
      <w:rFonts w:ascii="Arial" w:hAnsi="Arial"/>
      <w:lang w:val="x-none" w:eastAsia="x-none"/>
    </w:rPr>
  </w:style>
  <w:style w:type="paragraph" w:customStyle="1" w:styleId="upar4">
    <w:name w:val="upar4"/>
    <w:basedOn w:val="Normal"/>
    <w:rsid w:val="008674EA"/>
    <w:pPr>
      <w:tabs>
        <w:tab w:val="left" w:pos="720"/>
        <w:tab w:val="left" w:pos="1440"/>
      </w:tabs>
      <w:spacing w:before="240"/>
      <w:ind w:left="2160"/>
    </w:pPr>
    <w:rPr>
      <w:rFonts w:ascii="Arial" w:hAnsi="Arial" w:cs="Arial"/>
      <w:sz w:val="20"/>
    </w:rPr>
  </w:style>
  <w:style w:type="paragraph" w:customStyle="1" w:styleId="CCRNumber">
    <w:name w:val="CCR Number"/>
    <w:rsid w:val="008674EA"/>
    <w:pPr>
      <w:jc w:val="center"/>
    </w:pPr>
    <w:rPr>
      <w:rFonts w:ascii="Arial" w:hAnsi="Arial" w:cs="Arial"/>
      <w:b/>
      <w:bCs/>
      <w:caps/>
      <w:sz w:val="24"/>
      <w:szCs w:val="24"/>
    </w:rPr>
  </w:style>
  <w:style w:type="paragraph" w:customStyle="1" w:styleId="upar3">
    <w:name w:val="upar3"/>
    <w:basedOn w:val="Normal"/>
    <w:rsid w:val="008674EA"/>
    <w:pPr>
      <w:tabs>
        <w:tab w:val="left" w:pos="720"/>
        <w:tab w:val="left" w:pos="1440"/>
      </w:tabs>
      <w:spacing w:before="240"/>
      <w:ind w:left="1440"/>
    </w:pPr>
    <w:rPr>
      <w:rFonts w:ascii="Arial" w:hAnsi="Arial" w:cs="Arial"/>
      <w:sz w:val="20"/>
    </w:rPr>
  </w:style>
  <w:style w:type="paragraph" w:customStyle="1" w:styleId="par3">
    <w:name w:val="par3"/>
    <w:basedOn w:val="par1"/>
    <w:rsid w:val="008674EA"/>
  </w:style>
  <w:style w:type="paragraph" w:customStyle="1" w:styleId="par4">
    <w:name w:val="par4"/>
    <w:basedOn w:val="par1"/>
    <w:rsid w:val="008674EA"/>
  </w:style>
  <w:style w:type="paragraph" w:customStyle="1" w:styleId="par5">
    <w:name w:val="par5"/>
    <w:basedOn w:val="par1"/>
    <w:link w:val="par5Char"/>
    <w:rsid w:val="008674EA"/>
  </w:style>
  <w:style w:type="character" w:customStyle="1" w:styleId="par5Char">
    <w:name w:val="par5 Char"/>
    <w:link w:val="par5"/>
    <w:locked/>
    <w:rsid w:val="008674EA"/>
    <w:rPr>
      <w:rFonts w:ascii="Arial" w:hAnsi="Arial"/>
      <w:lang w:val="x-none" w:eastAsia="x-none"/>
    </w:rPr>
  </w:style>
  <w:style w:type="paragraph" w:customStyle="1" w:styleId="upar5">
    <w:name w:val="upar5"/>
    <w:basedOn w:val="Normal"/>
    <w:link w:val="upar5Char"/>
    <w:rsid w:val="008674EA"/>
    <w:pPr>
      <w:tabs>
        <w:tab w:val="left" w:pos="720"/>
        <w:tab w:val="left" w:pos="1440"/>
      </w:tabs>
      <w:spacing w:before="240"/>
      <w:ind w:left="2880"/>
    </w:pPr>
    <w:rPr>
      <w:rFonts w:ascii="Arial" w:hAnsi="Arial"/>
      <w:sz w:val="20"/>
      <w:lang w:val="x-none" w:eastAsia="x-none"/>
    </w:rPr>
  </w:style>
  <w:style w:type="character" w:customStyle="1" w:styleId="upar5Char">
    <w:name w:val="upar5 Char"/>
    <w:link w:val="upar5"/>
    <w:locked/>
    <w:rsid w:val="008674EA"/>
    <w:rPr>
      <w:rFonts w:ascii="Arial" w:hAnsi="Arial"/>
      <w:lang w:val="x-none" w:eastAsia="x-none"/>
    </w:rPr>
  </w:style>
  <w:style w:type="paragraph" w:customStyle="1" w:styleId="par6">
    <w:name w:val="par6"/>
    <w:basedOn w:val="Normal"/>
    <w:rsid w:val="008674EA"/>
    <w:pPr>
      <w:tabs>
        <w:tab w:val="left" w:pos="720"/>
        <w:tab w:val="left" w:pos="1440"/>
        <w:tab w:val="left" w:pos="2160"/>
      </w:tabs>
      <w:spacing w:before="240"/>
      <w:ind w:left="4320" w:hanging="720"/>
    </w:pPr>
    <w:rPr>
      <w:rFonts w:ascii="Arial" w:hAnsi="Arial" w:cs="Arial"/>
      <w:sz w:val="20"/>
    </w:rPr>
  </w:style>
  <w:style w:type="character" w:customStyle="1" w:styleId="par4Char">
    <w:name w:val="par4 Char"/>
    <w:rsid w:val="008674EA"/>
    <w:rPr>
      <w:rFonts w:ascii="Arial" w:hAnsi="Arial" w:cs="Arial"/>
      <w:lang w:val="en-US" w:eastAsia="en-US"/>
    </w:rPr>
  </w:style>
  <w:style w:type="character" w:customStyle="1" w:styleId="par3Char">
    <w:name w:val="par3 Char"/>
    <w:rsid w:val="008674EA"/>
    <w:rPr>
      <w:rFonts w:ascii="Arial" w:hAnsi="Arial" w:cs="Arial"/>
      <w:lang w:val="en-US" w:eastAsia="en-US"/>
    </w:rPr>
  </w:style>
  <w:style w:type="paragraph" w:customStyle="1" w:styleId="upar6">
    <w:name w:val="upar6"/>
    <w:basedOn w:val="Normal"/>
    <w:link w:val="upar6Char"/>
    <w:rsid w:val="008674EA"/>
    <w:pPr>
      <w:tabs>
        <w:tab w:val="left" w:pos="720"/>
        <w:tab w:val="left" w:pos="1440"/>
      </w:tabs>
      <w:spacing w:before="240"/>
      <w:ind w:left="3600"/>
    </w:pPr>
    <w:rPr>
      <w:rFonts w:ascii="Arial" w:hAnsi="Arial"/>
      <w:sz w:val="20"/>
      <w:lang w:val="x-none" w:eastAsia="x-none"/>
    </w:rPr>
  </w:style>
  <w:style w:type="character" w:customStyle="1" w:styleId="upar6Char">
    <w:name w:val="upar6 Char"/>
    <w:link w:val="upar6"/>
    <w:locked/>
    <w:rsid w:val="008674EA"/>
    <w:rPr>
      <w:rFonts w:ascii="Arial" w:hAnsi="Arial"/>
      <w:lang w:val="x-none" w:eastAsia="x-none"/>
    </w:rPr>
  </w:style>
  <w:style w:type="paragraph" w:customStyle="1" w:styleId="par7">
    <w:name w:val="par7"/>
    <w:basedOn w:val="par6"/>
    <w:rsid w:val="008674EA"/>
  </w:style>
  <w:style w:type="paragraph" w:customStyle="1" w:styleId="Agency">
    <w:name w:val="Agency"/>
    <w:basedOn w:val="Normal"/>
    <w:rsid w:val="008674EA"/>
    <w:pPr>
      <w:spacing w:before="240"/>
      <w:jc w:val="center"/>
    </w:pPr>
    <w:rPr>
      <w:rFonts w:ascii="Arial" w:hAnsi="Arial" w:cs="Arial"/>
      <w:b/>
      <w:bCs/>
      <w:sz w:val="28"/>
      <w:szCs w:val="28"/>
    </w:rPr>
  </w:style>
  <w:style w:type="paragraph" w:customStyle="1" w:styleId="CCRTitle">
    <w:name w:val="CCR Title"/>
    <w:rsid w:val="008674EA"/>
    <w:pPr>
      <w:jc w:val="center"/>
    </w:pPr>
    <w:rPr>
      <w:rFonts w:ascii="Arial" w:hAnsi="Arial" w:cs="Arial"/>
      <w:b/>
      <w:bCs/>
      <w:caps/>
      <w:sz w:val="24"/>
      <w:szCs w:val="24"/>
    </w:rPr>
  </w:style>
  <w:style w:type="paragraph" w:customStyle="1" w:styleId="Department">
    <w:name w:val="Department"/>
    <w:rsid w:val="008674EA"/>
    <w:pPr>
      <w:jc w:val="center"/>
    </w:pPr>
    <w:rPr>
      <w:rFonts w:ascii="Arial" w:hAnsi="Arial" w:cs="Arial"/>
      <w:b/>
      <w:bCs/>
      <w:caps/>
      <w:sz w:val="28"/>
      <w:szCs w:val="28"/>
    </w:rPr>
  </w:style>
  <w:style w:type="character" w:styleId="FollowedHyperlink">
    <w:name w:val="FollowedHyperlink"/>
    <w:uiPriority w:val="99"/>
    <w:rsid w:val="008674EA"/>
    <w:rPr>
      <w:rFonts w:cs="Times New Roman"/>
      <w:color w:val="800080"/>
      <w:u w:val="single"/>
    </w:rPr>
  </w:style>
  <w:style w:type="paragraph" w:customStyle="1" w:styleId="Title5">
    <w:name w:val="Title5"/>
    <w:basedOn w:val="Title2"/>
    <w:rsid w:val="008674EA"/>
    <w:rPr>
      <w:lang w:val="x-none" w:eastAsia="x-none"/>
    </w:rPr>
  </w:style>
  <w:style w:type="character" w:customStyle="1" w:styleId="cite">
    <w:name w:val="cite"/>
    <w:rsid w:val="008674EA"/>
    <w:rPr>
      <w:rFonts w:cs="Times New Roman"/>
      <w:color w:val="008080"/>
    </w:rPr>
  </w:style>
  <w:style w:type="paragraph" w:customStyle="1" w:styleId="cp">
    <w:name w:val="cp"/>
    <w:basedOn w:val="Normal"/>
    <w:rsid w:val="008674EA"/>
    <w:pPr>
      <w:spacing w:before="240"/>
      <w:jc w:val="center"/>
    </w:pPr>
    <w:rPr>
      <w:rFonts w:ascii="Arial" w:hAnsi="Arial" w:cs="Arial"/>
      <w:sz w:val="20"/>
    </w:rPr>
  </w:style>
  <w:style w:type="paragraph" w:customStyle="1" w:styleId="Title3">
    <w:name w:val="Title3"/>
    <w:basedOn w:val="Title2"/>
    <w:rsid w:val="008674EA"/>
    <w:rPr>
      <w:lang w:val="x-none" w:eastAsia="x-none"/>
    </w:rPr>
  </w:style>
  <w:style w:type="paragraph" w:customStyle="1" w:styleId="Title4">
    <w:name w:val="Title4"/>
    <w:basedOn w:val="Title2"/>
    <w:rsid w:val="008674EA"/>
    <w:rPr>
      <w:lang w:val="x-none" w:eastAsia="x-none"/>
    </w:rPr>
  </w:style>
  <w:style w:type="paragraph" w:customStyle="1" w:styleId="figure-caption">
    <w:name w:val="figure-caption"/>
    <w:basedOn w:val="Normal"/>
    <w:rsid w:val="008674EA"/>
    <w:pPr>
      <w:spacing w:before="240"/>
    </w:pPr>
    <w:rPr>
      <w:rFonts w:ascii="Arial" w:hAnsi="Arial" w:cs="Arial"/>
      <w:color w:val="800080"/>
      <w:sz w:val="20"/>
    </w:rPr>
  </w:style>
  <w:style w:type="paragraph" w:customStyle="1" w:styleId="figure-orientation">
    <w:name w:val="figure-orientation"/>
    <w:basedOn w:val="Normal"/>
    <w:rsid w:val="008674EA"/>
    <w:pPr>
      <w:spacing w:before="240"/>
    </w:pPr>
    <w:rPr>
      <w:rFonts w:ascii="Arial" w:hAnsi="Arial" w:cs="Arial"/>
      <w:color w:val="800080"/>
      <w:sz w:val="20"/>
    </w:rPr>
  </w:style>
  <w:style w:type="paragraph" w:customStyle="1" w:styleId="figure-filename">
    <w:name w:val="figure-filename"/>
    <w:basedOn w:val="Normal"/>
    <w:rsid w:val="008674EA"/>
    <w:pPr>
      <w:spacing w:before="240"/>
    </w:pPr>
    <w:rPr>
      <w:rFonts w:ascii="Arial" w:hAnsi="Arial" w:cs="Arial"/>
      <w:color w:val="800080"/>
      <w:sz w:val="20"/>
    </w:rPr>
  </w:style>
  <w:style w:type="character" w:customStyle="1" w:styleId="provision">
    <w:name w:val="provision"/>
    <w:rsid w:val="008674EA"/>
    <w:rPr>
      <w:rFonts w:ascii="Arial" w:hAnsi="Arial"/>
      <w:color w:val="auto"/>
      <w:sz w:val="20"/>
    </w:rPr>
  </w:style>
  <w:style w:type="character" w:customStyle="1" w:styleId="eff">
    <w:name w:val="eff"/>
    <w:rsid w:val="008674EA"/>
    <w:rPr>
      <w:rFonts w:ascii="Arial" w:hAnsi="Arial" w:cs="Arial"/>
      <w:i/>
      <w:iCs/>
      <w:color w:val="0000FF"/>
      <w:sz w:val="20"/>
      <w:szCs w:val="20"/>
    </w:rPr>
  </w:style>
  <w:style w:type="paragraph" w:customStyle="1" w:styleId="Title6">
    <w:name w:val="Title6"/>
    <w:basedOn w:val="Title2"/>
    <w:rsid w:val="008674EA"/>
    <w:rPr>
      <w:lang w:val="x-none" w:eastAsia="x-none"/>
    </w:rPr>
  </w:style>
  <w:style w:type="paragraph" w:customStyle="1" w:styleId="upar7">
    <w:name w:val="upar7"/>
    <w:basedOn w:val="upar6"/>
    <w:rsid w:val="008674EA"/>
  </w:style>
  <w:style w:type="paragraph" w:customStyle="1" w:styleId="upar8">
    <w:name w:val="upar8"/>
    <w:basedOn w:val="upar6"/>
    <w:rsid w:val="008674EA"/>
  </w:style>
  <w:style w:type="paragraph" w:customStyle="1" w:styleId="upar9">
    <w:name w:val="upar9"/>
    <w:basedOn w:val="par6"/>
    <w:rsid w:val="008674EA"/>
  </w:style>
  <w:style w:type="paragraph" w:customStyle="1" w:styleId="par8">
    <w:name w:val="par8"/>
    <w:basedOn w:val="par7"/>
    <w:rsid w:val="008674EA"/>
  </w:style>
  <w:style w:type="paragraph" w:customStyle="1" w:styleId="RomanHeader">
    <w:name w:val="Roman Header"/>
    <w:basedOn w:val="Heading1"/>
    <w:rsid w:val="008674EA"/>
    <w:pPr>
      <w:widowControl w:val="0"/>
      <w:tabs>
        <w:tab w:val="left" w:pos="-720"/>
        <w:tab w:val="num" w:pos="720"/>
        <w:tab w:val="center" w:pos="4680"/>
        <w:tab w:val="left" w:leader="dot" w:pos="7200"/>
        <w:tab w:val="left" w:leader="dot" w:pos="7920"/>
        <w:tab w:val="left" w:leader="dot" w:pos="8640"/>
        <w:tab w:val="left" w:leader="dot" w:pos="9360"/>
      </w:tabs>
      <w:autoSpaceDE w:val="0"/>
      <w:autoSpaceDN w:val="0"/>
      <w:adjustRightInd w:val="0"/>
      <w:spacing w:before="120"/>
      <w:ind w:left="720" w:hanging="360"/>
    </w:pPr>
    <w:rPr>
      <w:rFonts w:ascii="Arial" w:hAnsi="Arial" w:cs="Arial"/>
      <w:b/>
      <w:sz w:val="24"/>
      <w:szCs w:val="24"/>
    </w:rPr>
  </w:style>
  <w:style w:type="paragraph" w:styleId="FootnoteText">
    <w:name w:val="footnote text"/>
    <w:basedOn w:val="Normal"/>
    <w:link w:val="FootnoteTextChar"/>
    <w:rsid w:val="008674EA"/>
    <w:pPr>
      <w:widowControl w:val="0"/>
      <w:autoSpaceDE w:val="0"/>
      <w:autoSpaceDN w:val="0"/>
      <w:adjustRightInd w:val="0"/>
    </w:pPr>
    <w:rPr>
      <w:rFonts w:ascii="Arial" w:hAnsi="Arial"/>
      <w:sz w:val="20"/>
      <w:lang w:val="x-none" w:eastAsia="x-none"/>
    </w:rPr>
  </w:style>
  <w:style w:type="character" w:customStyle="1" w:styleId="FootnoteTextChar">
    <w:name w:val="Footnote Text Char"/>
    <w:link w:val="FootnoteText"/>
    <w:rsid w:val="008674EA"/>
    <w:rPr>
      <w:rFonts w:ascii="Arial" w:hAnsi="Arial"/>
      <w:lang w:val="x-none" w:eastAsia="x-none"/>
    </w:rPr>
  </w:style>
  <w:style w:type="paragraph" w:customStyle="1" w:styleId="BodyText2-a">
    <w:name w:val="Body Text 2-a"/>
    <w:basedOn w:val="BodyText2"/>
    <w:autoRedefine/>
    <w:rsid w:val="008674EA"/>
    <w:pPr>
      <w:widowControl w:val="0"/>
      <w:numPr>
        <w:numId w:val="41"/>
      </w:numPr>
      <w:tabs>
        <w:tab w:val="clear" w:pos="2520"/>
      </w:tabs>
      <w:autoSpaceDE w:val="0"/>
      <w:autoSpaceDN w:val="0"/>
      <w:adjustRightInd w:val="0"/>
      <w:spacing w:before="120"/>
      <w:ind w:left="1800"/>
    </w:pPr>
    <w:rPr>
      <w:rFonts w:ascii="Arial" w:eastAsia="Times New Roman" w:hAnsi="Arial" w:cs="Arial"/>
      <w:sz w:val="20"/>
      <w:szCs w:val="24"/>
    </w:rPr>
  </w:style>
  <w:style w:type="paragraph" w:customStyle="1" w:styleId="BodyText3-e">
    <w:name w:val="Body Text 3-e"/>
    <w:basedOn w:val="Normal"/>
    <w:rsid w:val="008674EA"/>
    <w:pPr>
      <w:widowControl w:val="0"/>
      <w:tabs>
        <w:tab w:val="num" w:pos="900"/>
      </w:tabs>
      <w:autoSpaceDE w:val="0"/>
      <w:autoSpaceDN w:val="0"/>
      <w:adjustRightInd w:val="0"/>
      <w:ind w:left="900" w:hanging="540"/>
    </w:pPr>
    <w:rPr>
      <w:rFonts w:ascii="Arial" w:hAnsi="Arial" w:cs="Arial"/>
      <w:sz w:val="20"/>
      <w:szCs w:val="24"/>
    </w:rPr>
  </w:style>
  <w:style w:type="paragraph" w:customStyle="1" w:styleId="BlockText1">
    <w:name w:val="Block Text 1"/>
    <w:basedOn w:val="BlockText"/>
    <w:autoRedefine/>
    <w:rsid w:val="008674EA"/>
    <w:pPr>
      <w:widowControl w:val="0"/>
      <w:tabs>
        <w:tab w:val="clear" w:pos="-72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s>
      <w:autoSpaceDE w:val="0"/>
      <w:autoSpaceDN w:val="0"/>
      <w:adjustRightInd w:val="0"/>
      <w:spacing w:before="120"/>
      <w:ind w:left="360" w:right="0"/>
      <w:jc w:val="left"/>
    </w:pPr>
    <w:rPr>
      <w:rFonts w:ascii="Arial" w:hAnsi="Arial" w:cs="Arial"/>
      <w:b w:val="0"/>
      <w:bCs w:val="0"/>
      <w:color w:val="auto"/>
      <w:sz w:val="20"/>
      <w:szCs w:val="24"/>
    </w:rPr>
  </w:style>
  <w:style w:type="paragraph" w:customStyle="1" w:styleId="default0">
    <w:name w:val="default"/>
    <w:basedOn w:val="Normal"/>
    <w:rsid w:val="008674EA"/>
    <w:pPr>
      <w:autoSpaceDE w:val="0"/>
      <w:autoSpaceDN w:val="0"/>
    </w:pPr>
    <w:rPr>
      <w:rFonts w:ascii="Arial" w:hAnsi="Arial" w:cs="Arial"/>
      <w:color w:val="000000"/>
      <w:sz w:val="20"/>
      <w:szCs w:val="24"/>
    </w:rPr>
  </w:style>
  <w:style w:type="paragraph" w:customStyle="1" w:styleId="OfficeBodyText">
    <w:name w:val="Office Body Text"/>
    <w:rsid w:val="008674EA"/>
    <w:pPr>
      <w:spacing w:before="120" w:after="60"/>
      <w:ind w:firstLine="187"/>
      <w:jc w:val="both"/>
    </w:pPr>
    <w:rPr>
      <w:rFonts w:ascii="Arial" w:hAnsi="Arial"/>
    </w:rPr>
  </w:style>
  <w:style w:type="paragraph" w:customStyle="1" w:styleId="xl24">
    <w:name w:val="xl24"/>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5">
    <w:name w:val="xl25"/>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6">
    <w:name w:val="xl26"/>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7">
    <w:name w:val="xl27"/>
    <w:basedOn w:val="Normal"/>
    <w:rsid w:val="008674EA"/>
    <w:pPr>
      <w:pBdr>
        <w:left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28">
    <w:name w:val="xl28"/>
    <w:basedOn w:val="Normal"/>
    <w:rsid w:val="008674EA"/>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29">
    <w:name w:val="xl29"/>
    <w:basedOn w:val="Normal"/>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0">
    <w:name w:val="xl30"/>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1">
    <w:name w:val="xl31"/>
    <w:basedOn w:val="Normal"/>
    <w:rsid w:val="008674EA"/>
    <w:pPr>
      <w:pBdr>
        <w:top w:val="single" w:sz="4"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2">
    <w:name w:val="xl32"/>
    <w:basedOn w:val="Normal"/>
    <w:rsid w:val="008674EA"/>
    <w:pPr>
      <w:pBdr>
        <w:top w:val="single" w:sz="4" w:space="0" w:color="auto"/>
        <w:bottom w:val="single" w:sz="4" w:space="0" w:color="auto"/>
      </w:pBdr>
      <w:spacing w:before="100" w:beforeAutospacing="1" w:after="100" w:afterAutospacing="1"/>
      <w:ind w:firstLine="187"/>
      <w:jc w:val="both"/>
    </w:pPr>
    <w:rPr>
      <w:sz w:val="22"/>
      <w:szCs w:val="24"/>
    </w:rPr>
  </w:style>
  <w:style w:type="paragraph" w:customStyle="1" w:styleId="xl33">
    <w:name w:val="xl33"/>
    <w:basedOn w:val="Normal"/>
    <w:rsid w:val="008674EA"/>
    <w:pPr>
      <w:pBdr>
        <w:top w:val="single" w:sz="4" w:space="0" w:color="auto"/>
        <w:bottom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4">
    <w:name w:val="xl34"/>
    <w:basedOn w:val="Normal"/>
    <w:rsid w:val="008674EA"/>
    <w:pPr>
      <w:pBdr>
        <w:top w:val="single" w:sz="4" w:space="0" w:color="auto"/>
        <w:bottom w:val="single" w:sz="4" w:space="0" w:color="auto"/>
      </w:pBdr>
      <w:spacing w:before="100" w:beforeAutospacing="1" w:after="100" w:afterAutospacing="1"/>
      <w:ind w:firstLine="187"/>
      <w:jc w:val="both"/>
    </w:pPr>
    <w:rPr>
      <w:sz w:val="22"/>
      <w:szCs w:val="24"/>
    </w:rPr>
  </w:style>
  <w:style w:type="paragraph" w:customStyle="1" w:styleId="xl35">
    <w:name w:val="xl35"/>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2"/>
      <w:szCs w:val="24"/>
    </w:rPr>
  </w:style>
  <w:style w:type="paragraph" w:customStyle="1" w:styleId="xl36">
    <w:name w:val="xl36"/>
    <w:basedOn w:val="Normal"/>
    <w:rsid w:val="008674EA"/>
    <w:pPr>
      <w:pBdr>
        <w:lef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7">
    <w:name w:val="xl37"/>
    <w:basedOn w:val="Normal"/>
    <w:rsid w:val="008674EA"/>
    <w:pPr>
      <w:pBdr>
        <w:top w:val="single" w:sz="4" w:space="0" w:color="auto"/>
        <w:bottom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8">
    <w:name w:val="xl38"/>
    <w:basedOn w:val="Normal"/>
    <w:rsid w:val="008674EA"/>
    <w:pPr>
      <w:pBdr>
        <w:left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9">
    <w:name w:val="xl39"/>
    <w:basedOn w:val="Normal"/>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2"/>
      <w:szCs w:val="24"/>
    </w:rPr>
  </w:style>
  <w:style w:type="paragraph" w:customStyle="1" w:styleId="xl40">
    <w:name w:val="xl40"/>
    <w:basedOn w:val="Normal"/>
    <w:rsid w:val="008674EA"/>
    <w:pPr>
      <w:pBdr>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1">
    <w:name w:val="xl41"/>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22"/>
      <w:szCs w:val="24"/>
    </w:rPr>
  </w:style>
  <w:style w:type="paragraph" w:customStyle="1" w:styleId="xl42">
    <w:name w:val="xl42"/>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center"/>
    </w:pPr>
    <w:rPr>
      <w:rFonts w:ascii="Arial" w:hAnsi="Arial" w:cs="Arial"/>
      <w:b/>
      <w:bCs/>
      <w:sz w:val="22"/>
      <w:szCs w:val="24"/>
    </w:rPr>
  </w:style>
  <w:style w:type="paragraph" w:customStyle="1" w:styleId="xl43">
    <w:name w:val="xl43"/>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22"/>
      <w:szCs w:val="24"/>
    </w:rPr>
  </w:style>
  <w:style w:type="paragraph" w:customStyle="1" w:styleId="xl44">
    <w:name w:val="xl44"/>
    <w:basedOn w:val="Normal"/>
    <w:rsid w:val="008674EA"/>
    <w:pPr>
      <w:pBdr>
        <w:top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5">
    <w:name w:val="xl45"/>
    <w:basedOn w:val="Normal"/>
    <w:rsid w:val="008674EA"/>
    <w:pPr>
      <w:pBdr>
        <w:top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6">
    <w:name w:val="xl46"/>
    <w:basedOn w:val="Normal"/>
    <w:rsid w:val="008674EA"/>
    <w:pPr>
      <w:pBdr>
        <w:top w:val="single" w:sz="4"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7">
    <w:name w:val="xl47"/>
    <w:basedOn w:val="Normal"/>
    <w:rsid w:val="008674EA"/>
    <w:pPr>
      <w:pBdr>
        <w:top w:val="single" w:sz="4" w:space="0" w:color="auto"/>
        <w:bottom w:val="single" w:sz="4" w:space="0" w:color="auto"/>
      </w:pBdr>
      <w:shd w:val="clear" w:color="auto" w:fill="FFFFCC"/>
      <w:spacing w:before="100" w:beforeAutospacing="1" w:after="100" w:afterAutospacing="1"/>
      <w:ind w:firstLine="187"/>
      <w:jc w:val="both"/>
    </w:pPr>
    <w:rPr>
      <w:sz w:val="22"/>
      <w:szCs w:val="24"/>
    </w:rPr>
  </w:style>
  <w:style w:type="paragraph" w:customStyle="1" w:styleId="xl48">
    <w:name w:val="xl48"/>
    <w:basedOn w:val="Normal"/>
    <w:rsid w:val="008674EA"/>
    <w:pPr>
      <w:pBdr>
        <w:top w:val="single" w:sz="4" w:space="0" w:color="auto"/>
        <w:bottom w:val="single" w:sz="4" w:space="0" w:color="auto"/>
        <w:right w:val="single" w:sz="4" w:space="0" w:color="auto"/>
      </w:pBdr>
      <w:shd w:val="clear" w:color="auto" w:fill="FFFFCC"/>
      <w:spacing w:before="100" w:beforeAutospacing="1" w:after="100" w:afterAutospacing="1"/>
      <w:ind w:firstLine="187"/>
      <w:jc w:val="both"/>
    </w:pPr>
    <w:rPr>
      <w:sz w:val="22"/>
      <w:szCs w:val="24"/>
    </w:rPr>
  </w:style>
  <w:style w:type="paragraph" w:customStyle="1" w:styleId="xl49">
    <w:name w:val="xl49"/>
    <w:basedOn w:val="Normal"/>
    <w:rsid w:val="008674EA"/>
    <w:pPr>
      <w:pBdr>
        <w:top w:val="single" w:sz="4" w:space="0" w:color="auto"/>
        <w:lef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0">
    <w:name w:val="xl50"/>
    <w:basedOn w:val="Normal"/>
    <w:rsid w:val="008674EA"/>
    <w:pPr>
      <w:pBdr>
        <w:top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1">
    <w:name w:val="xl51"/>
    <w:basedOn w:val="Normal"/>
    <w:rsid w:val="008674EA"/>
    <w:pPr>
      <w:pBdr>
        <w:top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2">
    <w:name w:val="xl52"/>
    <w:basedOn w:val="Normal"/>
    <w:rsid w:val="008674EA"/>
    <w:pPr>
      <w:pBdr>
        <w:top w:val="single" w:sz="8"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3">
    <w:name w:val="xl53"/>
    <w:basedOn w:val="Normal"/>
    <w:rsid w:val="008674EA"/>
    <w:pPr>
      <w:pBdr>
        <w:top w:val="single" w:sz="8" w:space="0" w:color="auto"/>
        <w:bottom w:val="single" w:sz="4" w:space="0" w:color="auto"/>
      </w:pBdr>
      <w:spacing w:before="100" w:beforeAutospacing="1" w:after="100" w:afterAutospacing="1"/>
      <w:ind w:firstLine="187"/>
      <w:jc w:val="both"/>
    </w:pPr>
    <w:rPr>
      <w:sz w:val="22"/>
      <w:szCs w:val="24"/>
    </w:rPr>
  </w:style>
  <w:style w:type="paragraph" w:customStyle="1" w:styleId="xl54">
    <w:name w:val="xl54"/>
    <w:basedOn w:val="Normal"/>
    <w:rsid w:val="008674EA"/>
    <w:pPr>
      <w:pBdr>
        <w:top w:val="single" w:sz="8"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55">
    <w:name w:val="xl55"/>
    <w:basedOn w:val="Normal"/>
    <w:rsid w:val="008674EA"/>
    <w:pPr>
      <w:pBdr>
        <w:top w:val="single" w:sz="8" w:space="0" w:color="auto"/>
        <w:bottom w:val="single" w:sz="4" w:space="0" w:color="auto"/>
      </w:pBdr>
      <w:spacing w:before="100" w:beforeAutospacing="1" w:after="100" w:afterAutospacing="1"/>
      <w:ind w:firstLine="187"/>
      <w:jc w:val="both"/>
    </w:pPr>
    <w:rPr>
      <w:sz w:val="22"/>
      <w:szCs w:val="24"/>
    </w:rPr>
  </w:style>
  <w:style w:type="paragraph" w:customStyle="1" w:styleId="xl56">
    <w:name w:val="xl56"/>
    <w:basedOn w:val="Normal"/>
    <w:rsid w:val="008674EA"/>
    <w:pPr>
      <w:pBdr>
        <w:left w:val="single" w:sz="4" w:space="0" w:color="auto"/>
      </w:pBdr>
      <w:spacing w:before="100" w:beforeAutospacing="1" w:after="100" w:afterAutospacing="1"/>
      <w:ind w:firstLine="187"/>
      <w:jc w:val="both"/>
    </w:pPr>
    <w:rPr>
      <w:rFonts w:ascii="Arial" w:hAnsi="Arial" w:cs="Arial"/>
      <w:sz w:val="16"/>
      <w:szCs w:val="16"/>
    </w:rPr>
  </w:style>
  <w:style w:type="paragraph" w:customStyle="1" w:styleId="xl57">
    <w:name w:val="xl57"/>
    <w:basedOn w:val="Normal"/>
    <w:rsid w:val="008674EA"/>
    <w:pPr>
      <w:pBdr>
        <w:top w:val="single" w:sz="4" w:space="0" w:color="auto"/>
        <w:left w:val="single" w:sz="4" w:space="0" w:color="auto"/>
        <w:bottom w:val="single" w:sz="4" w:space="0" w:color="auto"/>
      </w:pBdr>
      <w:spacing w:before="100" w:beforeAutospacing="1" w:after="100" w:afterAutospacing="1"/>
      <w:ind w:firstLine="187"/>
      <w:jc w:val="both"/>
    </w:pPr>
    <w:rPr>
      <w:rFonts w:ascii="Arial" w:hAnsi="Arial" w:cs="Arial"/>
      <w:b/>
      <w:bCs/>
      <w:sz w:val="16"/>
      <w:szCs w:val="16"/>
    </w:rPr>
  </w:style>
  <w:style w:type="paragraph" w:customStyle="1" w:styleId="xl58">
    <w:name w:val="xl58"/>
    <w:basedOn w:val="Normal"/>
    <w:rsid w:val="008674EA"/>
    <w:pPr>
      <w:pBdr>
        <w:top w:val="single" w:sz="4" w:space="0" w:color="auto"/>
        <w:left w:val="single" w:sz="4" w:space="0" w:color="auto"/>
        <w:bottom w:val="single" w:sz="4" w:space="0" w:color="auto"/>
      </w:pBdr>
      <w:spacing w:before="100" w:beforeAutospacing="1" w:after="100" w:afterAutospacing="1"/>
      <w:ind w:firstLine="187"/>
      <w:jc w:val="both"/>
    </w:pPr>
    <w:rPr>
      <w:rFonts w:ascii="Arial" w:hAnsi="Arial" w:cs="Arial"/>
      <w:sz w:val="16"/>
      <w:szCs w:val="16"/>
    </w:rPr>
  </w:style>
  <w:style w:type="paragraph" w:customStyle="1" w:styleId="xl59">
    <w:name w:val="xl59"/>
    <w:basedOn w:val="Normal"/>
    <w:rsid w:val="008674EA"/>
    <w:pPr>
      <w:pBdr>
        <w:top w:val="single" w:sz="4" w:space="0" w:color="auto"/>
      </w:pBdr>
      <w:spacing w:before="100" w:beforeAutospacing="1" w:after="100" w:afterAutospacing="1"/>
      <w:ind w:firstLine="187"/>
      <w:jc w:val="both"/>
    </w:pPr>
    <w:rPr>
      <w:rFonts w:ascii="Arial" w:hAnsi="Arial" w:cs="Arial"/>
      <w:sz w:val="16"/>
      <w:szCs w:val="16"/>
    </w:rPr>
  </w:style>
  <w:style w:type="paragraph" w:customStyle="1" w:styleId="xl60">
    <w:name w:val="xl60"/>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color w:val="000000"/>
      <w:sz w:val="16"/>
      <w:szCs w:val="16"/>
    </w:rPr>
  </w:style>
  <w:style w:type="paragraph" w:customStyle="1" w:styleId="xl61">
    <w:name w:val="xl61"/>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color w:val="000000"/>
      <w:sz w:val="16"/>
      <w:szCs w:val="16"/>
    </w:rPr>
  </w:style>
  <w:style w:type="paragraph" w:customStyle="1" w:styleId="xl62">
    <w:name w:val="xl62"/>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16"/>
      <w:szCs w:val="16"/>
    </w:rPr>
  </w:style>
  <w:style w:type="paragraph" w:customStyle="1" w:styleId="SectionTitle">
    <w:name w:val="Section Title"/>
    <w:basedOn w:val="Normal"/>
    <w:next w:val="Normal"/>
    <w:rsid w:val="008674EA"/>
    <w:pPr>
      <w:autoSpaceDE w:val="0"/>
      <w:autoSpaceDN w:val="0"/>
      <w:adjustRightInd w:val="0"/>
      <w:spacing w:before="480" w:after="240"/>
      <w:ind w:firstLine="187"/>
      <w:jc w:val="both"/>
    </w:pPr>
    <w:rPr>
      <w:rFonts w:ascii="BFLKAL+Arial,Bold" w:hAnsi="BFLKAL+Arial,Bold"/>
      <w:sz w:val="22"/>
      <w:szCs w:val="24"/>
    </w:rPr>
  </w:style>
  <w:style w:type="paragraph" w:customStyle="1" w:styleId="font5">
    <w:name w:val="font5"/>
    <w:basedOn w:val="Normal"/>
    <w:uiPriority w:val="99"/>
    <w:rsid w:val="008674EA"/>
    <w:pPr>
      <w:spacing w:before="100" w:beforeAutospacing="1" w:after="100" w:afterAutospacing="1"/>
      <w:ind w:firstLine="187"/>
      <w:jc w:val="both"/>
    </w:pPr>
    <w:rPr>
      <w:rFonts w:ascii="Arial" w:hAnsi="Arial" w:cs="Arial"/>
      <w:sz w:val="16"/>
      <w:szCs w:val="16"/>
    </w:rPr>
  </w:style>
  <w:style w:type="paragraph" w:customStyle="1" w:styleId="font6">
    <w:name w:val="font6"/>
    <w:basedOn w:val="Normal"/>
    <w:uiPriority w:val="99"/>
    <w:rsid w:val="008674EA"/>
    <w:pPr>
      <w:spacing w:before="100" w:beforeAutospacing="1" w:after="100" w:afterAutospacing="1"/>
      <w:ind w:firstLine="187"/>
      <w:jc w:val="both"/>
    </w:pPr>
    <w:rPr>
      <w:rFonts w:ascii="Arial" w:hAnsi="Arial" w:cs="Arial"/>
      <w:i/>
      <w:iCs/>
      <w:sz w:val="16"/>
      <w:szCs w:val="16"/>
    </w:rPr>
  </w:style>
  <w:style w:type="paragraph" w:customStyle="1" w:styleId="xl63">
    <w:name w:val="xl63"/>
    <w:basedOn w:val="Normal"/>
    <w:rsid w:val="008674EA"/>
    <w:pPr>
      <w:pBdr>
        <w:left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4">
    <w:name w:val="xl64"/>
    <w:basedOn w:val="Normal"/>
    <w:rsid w:val="008674EA"/>
    <w:pPr>
      <w:pBdr>
        <w:left w:val="single" w:sz="4" w:space="0" w:color="auto"/>
        <w:bottom w:val="single" w:sz="4" w:space="0" w:color="auto"/>
        <w:right w:val="single" w:sz="4" w:space="0" w:color="auto"/>
      </w:pBdr>
      <w:spacing w:before="100" w:beforeAutospacing="1" w:after="100" w:afterAutospacing="1"/>
      <w:ind w:firstLine="187"/>
      <w:jc w:val="center"/>
    </w:pPr>
    <w:rPr>
      <w:rFonts w:ascii="Arial" w:hAnsi="Arial" w:cs="Arial"/>
      <w:sz w:val="16"/>
      <w:szCs w:val="16"/>
    </w:rPr>
  </w:style>
  <w:style w:type="paragraph" w:customStyle="1" w:styleId="xl65">
    <w:name w:val="xl65"/>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6">
    <w:name w:val="xl66"/>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7">
    <w:name w:val="xl67"/>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68">
    <w:name w:val="xl68"/>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69">
    <w:name w:val="xl69"/>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70">
    <w:name w:val="xl70"/>
    <w:basedOn w:val="Normal"/>
    <w:uiPriority w:val="99"/>
    <w:rsid w:val="008674EA"/>
    <w:pPr>
      <w:spacing w:before="100" w:beforeAutospacing="1" w:after="100" w:afterAutospacing="1"/>
      <w:ind w:firstLine="187"/>
      <w:jc w:val="both"/>
      <w:textAlignment w:val="top"/>
    </w:pPr>
    <w:rPr>
      <w:rFonts w:ascii="Arial" w:hAnsi="Arial" w:cs="Arial"/>
      <w:sz w:val="16"/>
      <w:szCs w:val="16"/>
    </w:rPr>
  </w:style>
  <w:style w:type="paragraph" w:customStyle="1" w:styleId="xl71">
    <w:name w:val="xl71"/>
    <w:basedOn w:val="Normal"/>
    <w:uiPriority w:val="99"/>
    <w:rsid w:val="008674EA"/>
    <w:pPr>
      <w:pBdr>
        <w:left w:val="single" w:sz="4" w:space="0" w:color="auto"/>
        <w:bottom w:val="single" w:sz="4" w:space="0" w:color="auto"/>
      </w:pBdr>
      <w:spacing w:before="100" w:beforeAutospacing="1" w:after="100" w:afterAutospacing="1"/>
      <w:ind w:firstLine="187"/>
      <w:jc w:val="both"/>
    </w:pPr>
    <w:rPr>
      <w:rFonts w:ascii="Arial" w:hAnsi="Arial" w:cs="Arial"/>
      <w:sz w:val="16"/>
      <w:szCs w:val="16"/>
    </w:rPr>
  </w:style>
  <w:style w:type="paragraph" w:customStyle="1" w:styleId="xl72">
    <w:name w:val="xl72"/>
    <w:basedOn w:val="Normal"/>
    <w:uiPriority w:val="99"/>
    <w:rsid w:val="008674EA"/>
    <w:pPr>
      <w:pBdr>
        <w:top w:val="single" w:sz="4" w:space="0" w:color="auto"/>
        <w:left w:val="single" w:sz="4" w:space="0" w:color="auto"/>
        <w:bottom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73">
    <w:name w:val="xl73"/>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74">
    <w:name w:val="xl74"/>
    <w:basedOn w:val="Normal"/>
    <w:uiPriority w:val="99"/>
    <w:rsid w:val="008674EA"/>
    <w:pPr>
      <w:spacing w:before="100" w:beforeAutospacing="1" w:after="100" w:afterAutospacing="1"/>
      <w:ind w:firstLine="187"/>
      <w:jc w:val="both"/>
    </w:pPr>
    <w:rPr>
      <w:sz w:val="16"/>
      <w:szCs w:val="16"/>
    </w:rPr>
  </w:style>
  <w:style w:type="paragraph" w:customStyle="1" w:styleId="xl75">
    <w:name w:val="xl75"/>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rFonts w:ascii="Arial" w:hAnsi="Arial" w:cs="Arial"/>
      <w:sz w:val="16"/>
      <w:szCs w:val="16"/>
    </w:rPr>
  </w:style>
  <w:style w:type="paragraph" w:customStyle="1" w:styleId="xl76">
    <w:name w:val="xl76"/>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pPr>
    <w:rPr>
      <w:rFonts w:ascii="Arial" w:hAnsi="Arial" w:cs="Arial"/>
      <w:sz w:val="16"/>
      <w:szCs w:val="16"/>
    </w:rPr>
  </w:style>
  <w:style w:type="paragraph" w:customStyle="1" w:styleId="xl77">
    <w:name w:val="xl77"/>
    <w:basedOn w:val="Normal"/>
    <w:uiPriority w:val="99"/>
    <w:rsid w:val="008674EA"/>
    <w:pPr>
      <w:pBdr>
        <w:left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78">
    <w:name w:val="xl7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79">
    <w:name w:val="xl7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80">
    <w:name w:val="xl80"/>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b/>
      <w:bCs/>
      <w:sz w:val="16"/>
      <w:szCs w:val="16"/>
    </w:rPr>
  </w:style>
  <w:style w:type="paragraph" w:customStyle="1" w:styleId="xl81">
    <w:name w:val="xl81"/>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b/>
      <w:bCs/>
      <w:sz w:val="20"/>
      <w:szCs w:val="24"/>
    </w:rPr>
  </w:style>
  <w:style w:type="paragraph" w:customStyle="1" w:styleId="xl82">
    <w:name w:val="xl82"/>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83">
    <w:name w:val="xl83"/>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84">
    <w:name w:val="xl84"/>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rFonts w:ascii="Arial" w:hAnsi="Arial" w:cs="Arial"/>
      <w:b/>
      <w:bCs/>
      <w:sz w:val="16"/>
      <w:szCs w:val="16"/>
    </w:rPr>
  </w:style>
  <w:style w:type="paragraph" w:customStyle="1" w:styleId="xl85">
    <w:name w:val="xl85"/>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sz w:val="20"/>
      <w:szCs w:val="24"/>
    </w:rPr>
  </w:style>
  <w:style w:type="paragraph" w:customStyle="1" w:styleId="xl86">
    <w:name w:val="xl86"/>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both"/>
      <w:textAlignment w:val="top"/>
    </w:pPr>
    <w:rPr>
      <w:rFonts w:ascii="Arial" w:hAnsi="Arial" w:cs="Arial"/>
      <w:b/>
      <w:bCs/>
      <w:sz w:val="16"/>
      <w:szCs w:val="16"/>
    </w:rPr>
  </w:style>
  <w:style w:type="paragraph" w:customStyle="1" w:styleId="xl87">
    <w:name w:val="xl87"/>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textAlignment w:val="top"/>
    </w:pPr>
    <w:rPr>
      <w:sz w:val="20"/>
      <w:szCs w:val="24"/>
    </w:rPr>
  </w:style>
  <w:style w:type="paragraph" w:customStyle="1" w:styleId="xl88">
    <w:name w:val="xl8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89">
    <w:name w:val="xl8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90">
    <w:name w:val="xl90"/>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sz w:val="20"/>
      <w:szCs w:val="24"/>
    </w:rPr>
  </w:style>
  <w:style w:type="paragraph" w:customStyle="1" w:styleId="xl91">
    <w:name w:val="xl91"/>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sz w:val="20"/>
      <w:szCs w:val="24"/>
    </w:rPr>
  </w:style>
  <w:style w:type="paragraph" w:customStyle="1" w:styleId="xl92">
    <w:name w:val="xl92"/>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both"/>
      <w:textAlignment w:val="top"/>
    </w:pPr>
    <w:rPr>
      <w:rFonts w:ascii="Arial" w:hAnsi="Arial" w:cs="Arial"/>
      <w:b/>
      <w:bCs/>
      <w:sz w:val="16"/>
      <w:szCs w:val="16"/>
    </w:rPr>
  </w:style>
  <w:style w:type="paragraph" w:customStyle="1" w:styleId="xl93">
    <w:name w:val="xl93"/>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textAlignment w:val="top"/>
    </w:pPr>
    <w:rPr>
      <w:sz w:val="20"/>
      <w:szCs w:val="24"/>
    </w:rPr>
  </w:style>
  <w:style w:type="paragraph" w:customStyle="1" w:styleId="xl94">
    <w:name w:val="xl94"/>
    <w:basedOn w:val="Normal"/>
    <w:uiPriority w:val="99"/>
    <w:rsid w:val="008674EA"/>
    <w:pPr>
      <w:pBdr>
        <w:top w:val="single" w:sz="4" w:space="0" w:color="auto"/>
      </w:pBdr>
      <w:spacing w:before="100" w:beforeAutospacing="1" w:after="100" w:afterAutospacing="1"/>
      <w:ind w:firstLine="187"/>
      <w:jc w:val="both"/>
      <w:textAlignment w:val="top"/>
    </w:pPr>
    <w:rPr>
      <w:sz w:val="16"/>
      <w:szCs w:val="16"/>
    </w:rPr>
  </w:style>
  <w:style w:type="paragraph" w:customStyle="1" w:styleId="xl95">
    <w:name w:val="xl95"/>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96">
    <w:name w:val="xl96"/>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97">
    <w:name w:val="xl97"/>
    <w:basedOn w:val="Normal"/>
    <w:uiPriority w:val="99"/>
    <w:rsid w:val="008674EA"/>
    <w:pPr>
      <w:pBdr>
        <w:left w:val="single" w:sz="4" w:space="0" w:color="auto"/>
        <w:right w:val="single" w:sz="4" w:space="0" w:color="auto"/>
      </w:pBdr>
      <w:spacing w:before="100" w:beforeAutospacing="1" w:after="100" w:afterAutospacing="1"/>
      <w:ind w:firstLine="187"/>
      <w:jc w:val="center"/>
      <w:textAlignment w:val="top"/>
    </w:pPr>
    <w:rPr>
      <w:sz w:val="20"/>
      <w:szCs w:val="24"/>
    </w:rPr>
  </w:style>
  <w:style w:type="paragraph" w:customStyle="1" w:styleId="xl98">
    <w:name w:val="xl9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sz w:val="20"/>
      <w:szCs w:val="24"/>
    </w:rPr>
  </w:style>
  <w:style w:type="paragraph" w:customStyle="1" w:styleId="xl99">
    <w:name w:val="xl99"/>
    <w:basedOn w:val="Normal"/>
    <w:uiPriority w:val="99"/>
    <w:rsid w:val="008674EA"/>
    <w:pPr>
      <w:pBdr>
        <w:left w:val="single" w:sz="4" w:space="0" w:color="auto"/>
        <w:bottom w:val="single" w:sz="8" w:space="0" w:color="auto"/>
        <w:right w:val="single" w:sz="4" w:space="0" w:color="auto"/>
      </w:pBdr>
      <w:spacing w:before="100" w:beforeAutospacing="1" w:after="100" w:afterAutospacing="1"/>
      <w:ind w:firstLine="187"/>
      <w:jc w:val="both"/>
      <w:textAlignment w:val="top"/>
    </w:pPr>
    <w:rPr>
      <w:sz w:val="20"/>
      <w:szCs w:val="24"/>
    </w:rPr>
  </w:style>
  <w:style w:type="paragraph" w:customStyle="1" w:styleId="xl100">
    <w:name w:val="xl100"/>
    <w:basedOn w:val="Normal"/>
    <w:uiPriority w:val="99"/>
    <w:rsid w:val="008674EA"/>
    <w:pPr>
      <w:pBdr>
        <w:lef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01">
    <w:name w:val="xl101"/>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center"/>
      <w:textAlignment w:val="top"/>
    </w:pPr>
    <w:rPr>
      <w:sz w:val="16"/>
      <w:szCs w:val="16"/>
    </w:rPr>
  </w:style>
  <w:style w:type="paragraph" w:customStyle="1" w:styleId="xl102">
    <w:name w:val="xl102"/>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sz w:val="16"/>
      <w:szCs w:val="16"/>
    </w:rPr>
  </w:style>
  <w:style w:type="paragraph" w:customStyle="1" w:styleId="xl103">
    <w:name w:val="xl103"/>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04">
    <w:name w:val="xl104"/>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05">
    <w:name w:val="xl105"/>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b/>
      <w:bCs/>
      <w:sz w:val="16"/>
      <w:szCs w:val="16"/>
    </w:rPr>
  </w:style>
  <w:style w:type="paragraph" w:customStyle="1" w:styleId="xl106">
    <w:name w:val="xl106"/>
    <w:basedOn w:val="Normal"/>
    <w:uiPriority w:val="99"/>
    <w:rsid w:val="008674EA"/>
    <w:pPr>
      <w:spacing w:before="100" w:beforeAutospacing="1" w:after="100" w:afterAutospacing="1"/>
      <w:ind w:firstLine="187"/>
      <w:jc w:val="both"/>
    </w:pPr>
    <w:rPr>
      <w:sz w:val="20"/>
      <w:szCs w:val="24"/>
    </w:rPr>
  </w:style>
  <w:style w:type="paragraph" w:customStyle="1" w:styleId="xl107">
    <w:name w:val="xl107"/>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pPr>
    <w:rPr>
      <w:rFonts w:ascii="Arial" w:hAnsi="Arial" w:cs="Arial"/>
      <w:sz w:val="16"/>
      <w:szCs w:val="16"/>
    </w:rPr>
  </w:style>
  <w:style w:type="paragraph" w:customStyle="1" w:styleId="xl108">
    <w:name w:val="xl108"/>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b/>
      <w:bCs/>
      <w:sz w:val="20"/>
      <w:szCs w:val="24"/>
    </w:rPr>
  </w:style>
  <w:style w:type="paragraph" w:customStyle="1" w:styleId="xl109">
    <w:name w:val="xl10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0">
    <w:name w:val="xl110"/>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1">
    <w:name w:val="xl111"/>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2">
    <w:name w:val="xl112"/>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3">
    <w:name w:val="xl113"/>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14">
    <w:name w:val="xl114"/>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15">
    <w:name w:val="xl115"/>
    <w:basedOn w:val="Normal"/>
    <w:uiPriority w:val="99"/>
    <w:rsid w:val="008674EA"/>
    <w:pPr>
      <w:spacing w:before="100" w:beforeAutospacing="1" w:after="100" w:afterAutospacing="1"/>
      <w:ind w:firstLine="187"/>
      <w:jc w:val="both"/>
    </w:pPr>
    <w:rPr>
      <w:rFonts w:ascii="Arial" w:hAnsi="Arial" w:cs="Arial"/>
      <w:sz w:val="20"/>
      <w:szCs w:val="24"/>
    </w:rPr>
  </w:style>
  <w:style w:type="paragraph" w:customStyle="1" w:styleId="xl116">
    <w:name w:val="xl116"/>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b/>
      <w:bCs/>
      <w:color w:val="FF0000"/>
      <w:sz w:val="16"/>
      <w:szCs w:val="16"/>
    </w:rPr>
  </w:style>
  <w:style w:type="paragraph" w:customStyle="1" w:styleId="xl117">
    <w:name w:val="xl117"/>
    <w:basedOn w:val="Normal"/>
    <w:uiPriority w:val="99"/>
    <w:rsid w:val="008674EA"/>
    <w:pPr>
      <w:pBdr>
        <w:top w:val="single" w:sz="4" w:space="0" w:color="000000"/>
        <w:bottom w:val="single" w:sz="4" w:space="0" w:color="000000"/>
        <w:right w:val="single" w:sz="4" w:space="0" w:color="000000"/>
      </w:pBdr>
      <w:spacing w:before="100" w:beforeAutospacing="1" w:after="100" w:afterAutospacing="1"/>
      <w:ind w:firstLine="187"/>
      <w:jc w:val="both"/>
      <w:textAlignment w:val="top"/>
    </w:pPr>
    <w:rPr>
      <w:rFonts w:ascii="Arial" w:hAnsi="Arial" w:cs="Arial"/>
      <w:sz w:val="16"/>
      <w:szCs w:val="16"/>
    </w:rPr>
  </w:style>
  <w:style w:type="paragraph" w:customStyle="1" w:styleId="xl118">
    <w:name w:val="xl118"/>
    <w:basedOn w:val="Normal"/>
    <w:uiPriority w:val="99"/>
    <w:rsid w:val="008674EA"/>
    <w:pPr>
      <w:pBdr>
        <w:top w:val="single" w:sz="4" w:space="0" w:color="000000"/>
        <w:left w:val="single" w:sz="4" w:space="0" w:color="000000"/>
        <w:bottom w:val="single" w:sz="4" w:space="0" w:color="000000"/>
        <w:right w:val="single" w:sz="4" w:space="0" w:color="000000"/>
      </w:pBdr>
      <w:spacing w:before="100" w:beforeAutospacing="1" w:after="100" w:afterAutospacing="1"/>
      <w:ind w:firstLine="187"/>
      <w:jc w:val="both"/>
      <w:textAlignment w:val="top"/>
    </w:pPr>
    <w:rPr>
      <w:rFonts w:ascii="Arial" w:hAnsi="Arial" w:cs="Arial"/>
      <w:sz w:val="16"/>
      <w:szCs w:val="16"/>
    </w:rPr>
  </w:style>
  <w:style w:type="paragraph" w:customStyle="1" w:styleId="xl119">
    <w:name w:val="xl119"/>
    <w:basedOn w:val="Normal"/>
    <w:uiPriority w:val="99"/>
    <w:rsid w:val="008674EA"/>
    <w:pPr>
      <w:pBdr>
        <w:top w:val="single" w:sz="4" w:space="0" w:color="000000"/>
        <w:left w:val="single" w:sz="4" w:space="0" w:color="000000"/>
        <w:bottom w:val="single" w:sz="4" w:space="0" w:color="000000"/>
      </w:pBdr>
      <w:spacing w:before="100" w:beforeAutospacing="1" w:after="100" w:afterAutospacing="1"/>
      <w:ind w:firstLine="187"/>
      <w:jc w:val="center"/>
      <w:textAlignment w:val="top"/>
    </w:pPr>
    <w:rPr>
      <w:rFonts w:ascii="Arial" w:hAnsi="Arial" w:cs="Arial"/>
      <w:sz w:val="16"/>
      <w:szCs w:val="16"/>
    </w:rPr>
  </w:style>
  <w:style w:type="paragraph" w:customStyle="1" w:styleId="xl120">
    <w:name w:val="xl120"/>
    <w:basedOn w:val="Normal"/>
    <w:uiPriority w:val="99"/>
    <w:rsid w:val="008674EA"/>
    <w:pPr>
      <w:pBdr>
        <w:bottom w:val="single" w:sz="4" w:space="0" w:color="auto"/>
      </w:pBdr>
      <w:spacing w:before="100" w:beforeAutospacing="1" w:after="100" w:afterAutospacing="1"/>
      <w:ind w:firstLine="187"/>
      <w:jc w:val="both"/>
    </w:pPr>
    <w:rPr>
      <w:sz w:val="20"/>
      <w:szCs w:val="24"/>
    </w:rPr>
  </w:style>
  <w:style w:type="paragraph" w:customStyle="1" w:styleId="xl121">
    <w:name w:val="xl121"/>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22">
    <w:name w:val="xl122"/>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123">
    <w:name w:val="xl123"/>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0"/>
      <w:szCs w:val="24"/>
    </w:rPr>
  </w:style>
  <w:style w:type="paragraph" w:customStyle="1" w:styleId="xl124">
    <w:name w:val="xl124"/>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125">
    <w:name w:val="xl125"/>
    <w:basedOn w:val="Normal"/>
    <w:uiPriority w:val="99"/>
    <w:rsid w:val="008674EA"/>
    <w:pPr>
      <w:pBdr>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6">
    <w:name w:val="xl126"/>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7">
    <w:name w:val="xl127"/>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8">
    <w:name w:val="xl128"/>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129">
    <w:name w:val="xl129"/>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30">
    <w:name w:val="xl130"/>
    <w:basedOn w:val="Normal"/>
    <w:uiPriority w:val="99"/>
    <w:rsid w:val="008674EA"/>
    <w:pPr>
      <w:pBdr>
        <w:top w:val="single" w:sz="4" w:space="0" w:color="auto"/>
        <w:left w:val="single" w:sz="4" w:space="0" w:color="auto"/>
        <w:bottom w:val="single" w:sz="8"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31">
    <w:name w:val="xl131"/>
    <w:basedOn w:val="Normal"/>
    <w:rsid w:val="008674EA"/>
    <w:pPr>
      <w:spacing w:before="100" w:beforeAutospacing="1" w:after="100" w:afterAutospacing="1"/>
      <w:ind w:firstLine="187"/>
      <w:jc w:val="both"/>
    </w:pPr>
    <w:rPr>
      <w:sz w:val="20"/>
      <w:szCs w:val="24"/>
    </w:rPr>
  </w:style>
  <w:style w:type="paragraph" w:customStyle="1" w:styleId="xl132">
    <w:name w:val="xl132"/>
    <w:basedOn w:val="Normal"/>
    <w:rsid w:val="008674EA"/>
    <w:pPr>
      <w:spacing w:before="100" w:beforeAutospacing="1" w:after="100" w:afterAutospacing="1"/>
      <w:ind w:firstLine="187"/>
      <w:jc w:val="both"/>
      <w:textAlignment w:val="top"/>
    </w:pPr>
    <w:rPr>
      <w:rFonts w:ascii="Arial" w:hAnsi="Arial" w:cs="Arial"/>
      <w:sz w:val="16"/>
      <w:szCs w:val="16"/>
    </w:rPr>
  </w:style>
  <w:style w:type="character" w:customStyle="1" w:styleId="a10">
    <w:name w:val="a1"/>
    <w:rsid w:val="008674EA"/>
    <w:rPr>
      <w:rFonts w:cs="Times New Roman"/>
      <w:color w:val="008000"/>
    </w:rPr>
  </w:style>
  <w:style w:type="paragraph" w:styleId="Revision">
    <w:name w:val="Revision"/>
    <w:hidden/>
    <w:uiPriority w:val="99"/>
    <w:rsid w:val="008674EA"/>
    <w:pPr>
      <w:spacing w:after="60"/>
      <w:ind w:firstLine="187"/>
      <w:jc w:val="both"/>
    </w:pPr>
    <w:rPr>
      <w:sz w:val="22"/>
      <w:szCs w:val="24"/>
    </w:rPr>
  </w:style>
  <w:style w:type="character" w:customStyle="1" w:styleId="EmailStyle149">
    <w:name w:val="EmailStyle149"/>
    <w:semiHidden/>
    <w:rsid w:val="008674EA"/>
    <w:rPr>
      <w:rFonts w:ascii="Arial" w:hAnsi="Arial" w:cs="Arial"/>
      <w:color w:val="auto"/>
      <w:sz w:val="20"/>
      <w:szCs w:val="20"/>
    </w:rPr>
  </w:style>
  <w:style w:type="paragraph" w:customStyle="1" w:styleId="ChapterHeader">
    <w:name w:val="Chapter Header"/>
    <w:basedOn w:val="Normal"/>
    <w:rsid w:val="008674EA"/>
    <w:pPr>
      <w:pBdr>
        <w:bottom w:val="single" w:sz="12" w:space="1" w:color="auto"/>
      </w:pBdr>
      <w:spacing w:after="60"/>
      <w:ind w:firstLine="187"/>
      <w:jc w:val="right"/>
    </w:pPr>
    <w:rPr>
      <w:rFonts w:ascii="Arial" w:hAnsi="Arial" w:cs="Arial"/>
      <w:b/>
      <w:color w:val="000080"/>
      <w:sz w:val="32"/>
      <w:szCs w:val="32"/>
    </w:rPr>
  </w:style>
  <w:style w:type="paragraph" w:customStyle="1" w:styleId="TopicHeader">
    <w:name w:val="Topic Header"/>
    <w:basedOn w:val="Normal"/>
    <w:rsid w:val="008674EA"/>
    <w:pPr>
      <w:spacing w:after="60"/>
      <w:ind w:firstLine="187"/>
      <w:jc w:val="both"/>
    </w:pPr>
    <w:rPr>
      <w:rFonts w:ascii="Arial" w:hAnsi="Arial" w:cs="Arial"/>
      <w:b/>
      <w:sz w:val="28"/>
      <w:szCs w:val="28"/>
    </w:rPr>
  </w:style>
  <w:style w:type="paragraph" w:customStyle="1" w:styleId="TopicSubHeader">
    <w:name w:val="Topic Sub Header"/>
    <w:basedOn w:val="TopicHeader"/>
    <w:rsid w:val="008674EA"/>
    <w:rPr>
      <w:sz w:val="24"/>
      <w:szCs w:val="24"/>
    </w:rPr>
  </w:style>
  <w:style w:type="paragraph" w:customStyle="1" w:styleId="NormalDocs">
    <w:name w:val="Normal Docs"/>
    <w:basedOn w:val="Normal"/>
    <w:rsid w:val="008674EA"/>
    <w:pPr>
      <w:spacing w:after="60"/>
      <w:ind w:firstLine="187"/>
      <w:jc w:val="both"/>
    </w:pPr>
    <w:rPr>
      <w:rFonts w:ascii="Arial" w:hAnsi="Arial"/>
      <w:sz w:val="20"/>
      <w:szCs w:val="24"/>
    </w:rPr>
  </w:style>
  <w:style w:type="paragraph" w:customStyle="1" w:styleId="durl1">
    <w:name w:val="durl1"/>
    <w:basedOn w:val="Normal"/>
    <w:rsid w:val="008674EA"/>
    <w:pPr>
      <w:spacing w:after="60"/>
      <w:ind w:firstLine="187"/>
      <w:jc w:val="both"/>
    </w:pPr>
    <w:rPr>
      <w:color w:val="008000"/>
      <w:sz w:val="26"/>
      <w:szCs w:val="26"/>
    </w:rPr>
  </w:style>
  <w:style w:type="character" w:customStyle="1" w:styleId="Heading2Char1">
    <w:name w:val="Heading 2 Char1"/>
    <w:rsid w:val="008674EA"/>
    <w:rPr>
      <w:rFonts w:ascii="Arial" w:eastAsia="Times New Roman" w:hAnsi="Arial" w:cs="Times New Roman"/>
      <w:b/>
      <w:bCs/>
      <w:iCs/>
      <w:sz w:val="24"/>
      <w:szCs w:val="28"/>
    </w:rPr>
  </w:style>
  <w:style w:type="paragraph" w:customStyle="1" w:styleId="western">
    <w:name w:val="western"/>
    <w:basedOn w:val="Normal"/>
    <w:uiPriority w:val="99"/>
    <w:rsid w:val="008674EA"/>
    <w:pPr>
      <w:spacing w:before="100" w:beforeAutospacing="1" w:after="115"/>
    </w:pPr>
    <w:rPr>
      <w:color w:val="000000"/>
      <w:sz w:val="20"/>
      <w:szCs w:val="24"/>
    </w:rPr>
  </w:style>
  <w:style w:type="paragraph" w:customStyle="1" w:styleId="cjk">
    <w:name w:val="cjk"/>
    <w:basedOn w:val="Normal"/>
    <w:uiPriority w:val="99"/>
    <w:rsid w:val="008674EA"/>
    <w:pPr>
      <w:spacing w:before="100" w:beforeAutospacing="1" w:after="115"/>
    </w:pPr>
    <w:rPr>
      <w:color w:val="000000"/>
      <w:sz w:val="20"/>
      <w:szCs w:val="24"/>
    </w:rPr>
  </w:style>
  <w:style w:type="paragraph" w:customStyle="1" w:styleId="ctl">
    <w:name w:val="ctl"/>
    <w:basedOn w:val="Normal"/>
    <w:uiPriority w:val="99"/>
    <w:rsid w:val="008674EA"/>
    <w:pPr>
      <w:spacing w:before="100" w:beforeAutospacing="1" w:after="115"/>
    </w:pPr>
    <w:rPr>
      <w:color w:val="000000"/>
      <w:sz w:val="20"/>
    </w:rPr>
  </w:style>
  <w:style w:type="numbering" w:customStyle="1" w:styleId="NoList11">
    <w:name w:val="No List11"/>
    <w:next w:val="NoList"/>
    <w:uiPriority w:val="99"/>
    <w:semiHidden/>
    <w:unhideWhenUsed/>
    <w:rsid w:val="008674EA"/>
  </w:style>
  <w:style w:type="paragraph" w:customStyle="1" w:styleId="font7">
    <w:name w:val="font7"/>
    <w:basedOn w:val="Normal"/>
    <w:uiPriority w:val="99"/>
    <w:rsid w:val="008674EA"/>
    <w:pPr>
      <w:spacing w:before="100" w:beforeAutospacing="1" w:after="100" w:afterAutospacing="1"/>
    </w:pPr>
    <w:rPr>
      <w:color w:val="FF0000"/>
      <w:sz w:val="16"/>
      <w:szCs w:val="16"/>
    </w:rPr>
  </w:style>
  <w:style w:type="paragraph" w:customStyle="1" w:styleId="font8">
    <w:name w:val="font8"/>
    <w:basedOn w:val="Normal"/>
    <w:uiPriority w:val="99"/>
    <w:rsid w:val="008674EA"/>
    <w:pPr>
      <w:spacing w:before="100" w:beforeAutospacing="1" w:after="100" w:afterAutospacing="1"/>
    </w:pPr>
    <w:rPr>
      <w:color w:val="000000"/>
      <w:sz w:val="16"/>
      <w:szCs w:val="16"/>
    </w:rPr>
  </w:style>
  <w:style w:type="paragraph" w:customStyle="1" w:styleId="font9">
    <w:name w:val="font9"/>
    <w:basedOn w:val="Normal"/>
    <w:uiPriority w:val="99"/>
    <w:rsid w:val="008674EA"/>
    <w:pPr>
      <w:spacing w:before="100" w:beforeAutospacing="1" w:after="100" w:afterAutospacing="1"/>
    </w:pPr>
    <w:rPr>
      <w:sz w:val="16"/>
      <w:szCs w:val="16"/>
    </w:rPr>
  </w:style>
  <w:style w:type="numbering" w:customStyle="1" w:styleId="NoList8">
    <w:name w:val="No List8"/>
    <w:next w:val="NoList"/>
    <w:uiPriority w:val="99"/>
    <w:semiHidden/>
    <w:unhideWhenUsed/>
    <w:rsid w:val="008674EA"/>
  </w:style>
  <w:style w:type="numbering" w:customStyle="1" w:styleId="NoList9">
    <w:name w:val="No List9"/>
    <w:next w:val="NoList"/>
    <w:uiPriority w:val="99"/>
    <w:semiHidden/>
    <w:unhideWhenUsed/>
    <w:rsid w:val="008674EA"/>
  </w:style>
  <w:style w:type="numbering" w:customStyle="1" w:styleId="NoList10">
    <w:name w:val="No List10"/>
    <w:next w:val="NoList"/>
    <w:uiPriority w:val="99"/>
    <w:semiHidden/>
    <w:unhideWhenUsed/>
    <w:rsid w:val="008674EA"/>
  </w:style>
  <w:style w:type="paragraph" w:customStyle="1" w:styleId="font10">
    <w:name w:val="font10"/>
    <w:basedOn w:val="Normal"/>
    <w:uiPriority w:val="99"/>
    <w:rsid w:val="008674EA"/>
    <w:pPr>
      <w:spacing w:before="100" w:beforeAutospacing="1" w:after="100" w:afterAutospacing="1"/>
    </w:pPr>
    <w:rPr>
      <w:color w:val="000000"/>
      <w:sz w:val="16"/>
      <w:szCs w:val="16"/>
    </w:rPr>
  </w:style>
  <w:style w:type="paragraph" w:customStyle="1" w:styleId="font11">
    <w:name w:val="font11"/>
    <w:basedOn w:val="Normal"/>
    <w:uiPriority w:val="99"/>
    <w:rsid w:val="008674EA"/>
    <w:pPr>
      <w:spacing w:before="100" w:beforeAutospacing="1" w:after="100" w:afterAutospacing="1"/>
    </w:pPr>
    <w:rPr>
      <w:color w:val="000000"/>
      <w:sz w:val="16"/>
      <w:szCs w:val="16"/>
    </w:rPr>
  </w:style>
  <w:style w:type="numbering" w:customStyle="1" w:styleId="NoList12">
    <w:name w:val="No List12"/>
    <w:next w:val="NoList"/>
    <w:uiPriority w:val="99"/>
    <w:semiHidden/>
    <w:unhideWhenUsed/>
    <w:rsid w:val="008674EA"/>
  </w:style>
  <w:style w:type="numbering" w:customStyle="1" w:styleId="NoList13">
    <w:name w:val="No List13"/>
    <w:next w:val="NoList"/>
    <w:uiPriority w:val="99"/>
    <w:semiHidden/>
    <w:unhideWhenUsed/>
    <w:rsid w:val="008674EA"/>
  </w:style>
  <w:style w:type="paragraph" w:customStyle="1" w:styleId="font12">
    <w:name w:val="font12"/>
    <w:basedOn w:val="Normal"/>
    <w:uiPriority w:val="99"/>
    <w:rsid w:val="008674EA"/>
    <w:pPr>
      <w:spacing w:before="100" w:beforeAutospacing="1" w:after="100" w:afterAutospacing="1"/>
    </w:pPr>
    <w:rPr>
      <w:color w:val="FF0000"/>
      <w:sz w:val="16"/>
      <w:szCs w:val="16"/>
      <w:u w:val="single"/>
    </w:rPr>
  </w:style>
  <w:style w:type="numbering" w:customStyle="1" w:styleId="NoList14">
    <w:name w:val="No List14"/>
    <w:next w:val="NoList"/>
    <w:uiPriority w:val="99"/>
    <w:semiHidden/>
    <w:unhideWhenUsed/>
    <w:rsid w:val="008674EA"/>
  </w:style>
  <w:style w:type="paragraph" w:customStyle="1" w:styleId="font13">
    <w:name w:val="font13"/>
    <w:basedOn w:val="Normal"/>
    <w:uiPriority w:val="99"/>
    <w:rsid w:val="008674EA"/>
    <w:pPr>
      <w:spacing w:before="100" w:beforeAutospacing="1" w:after="100" w:afterAutospacing="1"/>
    </w:pPr>
    <w:rPr>
      <w:color w:val="000000"/>
      <w:sz w:val="16"/>
      <w:szCs w:val="16"/>
    </w:rPr>
  </w:style>
  <w:style w:type="paragraph" w:customStyle="1" w:styleId="font14">
    <w:name w:val="font14"/>
    <w:basedOn w:val="Normal"/>
    <w:uiPriority w:val="99"/>
    <w:rsid w:val="008674EA"/>
    <w:pPr>
      <w:spacing w:before="100" w:beforeAutospacing="1" w:after="100" w:afterAutospacing="1"/>
    </w:pPr>
    <w:rPr>
      <w:color w:val="FF0000"/>
      <w:sz w:val="16"/>
      <w:szCs w:val="16"/>
    </w:rPr>
  </w:style>
  <w:style w:type="paragraph" w:customStyle="1" w:styleId="font15">
    <w:name w:val="font15"/>
    <w:basedOn w:val="Normal"/>
    <w:uiPriority w:val="99"/>
    <w:rsid w:val="008674EA"/>
    <w:pPr>
      <w:spacing w:before="100" w:beforeAutospacing="1" w:after="100" w:afterAutospacing="1"/>
    </w:pPr>
    <w:rPr>
      <w:color w:val="FF0000"/>
      <w:sz w:val="16"/>
      <w:szCs w:val="16"/>
    </w:rPr>
  </w:style>
  <w:style w:type="numbering" w:customStyle="1" w:styleId="NoList15">
    <w:name w:val="No List15"/>
    <w:next w:val="NoList"/>
    <w:uiPriority w:val="99"/>
    <w:semiHidden/>
    <w:unhideWhenUsed/>
    <w:rsid w:val="008674EA"/>
  </w:style>
  <w:style w:type="paragraph" w:customStyle="1" w:styleId="Normal1">
    <w:name w:val="Normal1"/>
    <w:rsid w:val="008674EA"/>
    <w:rPr>
      <w:color w:val="000000"/>
      <w:sz w:val="24"/>
      <w:szCs w:val="24"/>
    </w:rPr>
  </w:style>
  <w:style w:type="character" w:customStyle="1" w:styleId="ListParagraphChar">
    <w:name w:val="List Paragraph Char"/>
    <w:link w:val="ListParagraph"/>
    <w:uiPriority w:val="99"/>
    <w:rsid w:val="008674EA"/>
    <w:rPr>
      <w:rFonts w:ascii="Calibri" w:eastAsia="Calibri" w:hAnsi="Calibri"/>
      <w:sz w:val="22"/>
      <w:szCs w:val="22"/>
    </w:rPr>
  </w:style>
  <w:style w:type="paragraph" w:customStyle="1" w:styleId="Header1">
    <w:name w:val="Header1"/>
    <w:basedOn w:val="Normal"/>
    <w:next w:val="Header"/>
    <w:uiPriority w:val="99"/>
    <w:unhideWhenUsed/>
    <w:rsid w:val="008674EA"/>
    <w:pPr>
      <w:tabs>
        <w:tab w:val="center" w:pos="4680"/>
        <w:tab w:val="right" w:pos="9360"/>
      </w:tabs>
    </w:pPr>
    <w:rPr>
      <w:rFonts w:ascii="Garamond" w:eastAsia="Calibri" w:hAnsi="Garamond"/>
      <w:szCs w:val="22"/>
      <w:lang w:val="x-none" w:eastAsia="x-none"/>
    </w:rPr>
  </w:style>
  <w:style w:type="paragraph" w:customStyle="1" w:styleId="Footer1">
    <w:name w:val="Footer1"/>
    <w:basedOn w:val="Normal"/>
    <w:next w:val="Footer"/>
    <w:unhideWhenUsed/>
    <w:rsid w:val="008674EA"/>
    <w:pPr>
      <w:tabs>
        <w:tab w:val="center" w:pos="4680"/>
        <w:tab w:val="right" w:pos="9360"/>
      </w:tabs>
    </w:pPr>
    <w:rPr>
      <w:rFonts w:ascii="Garamond" w:eastAsia="Calibri" w:hAnsi="Garamond"/>
      <w:szCs w:val="22"/>
      <w:lang w:val="x-none" w:eastAsia="x-none"/>
    </w:rPr>
  </w:style>
  <w:style w:type="paragraph" w:customStyle="1" w:styleId="BalloonText1">
    <w:name w:val="Balloon Text1"/>
    <w:basedOn w:val="Normal"/>
    <w:next w:val="BalloonText"/>
    <w:uiPriority w:val="99"/>
    <w:semiHidden/>
    <w:unhideWhenUsed/>
    <w:rsid w:val="008674EA"/>
    <w:rPr>
      <w:rFonts w:ascii="Segoe UI" w:eastAsia="Calibri" w:hAnsi="Segoe UI"/>
      <w:sz w:val="18"/>
      <w:szCs w:val="18"/>
      <w:lang w:val="x-none" w:eastAsia="x-none"/>
    </w:rPr>
  </w:style>
  <w:style w:type="paragraph" w:customStyle="1" w:styleId="CommentText1">
    <w:name w:val="Comment Text1"/>
    <w:basedOn w:val="Normal"/>
    <w:next w:val="CommentText"/>
    <w:uiPriority w:val="99"/>
    <w:semiHidden/>
    <w:unhideWhenUsed/>
    <w:rsid w:val="008674EA"/>
    <w:rPr>
      <w:rFonts w:ascii="Garamond" w:eastAsia="Calibri" w:hAnsi="Garamond"/>
      <w:sz w:val="20"/>
      <w:lang w:val="x-none" w:eastAsia="x-none"/>
    </w:rPr>
  </w:style>
  <w:style w:type="paragraph" w:customStyle="1" w:styleId="CommentSubject1">
    <w:name w:val="Comment Subject1"/>
    <w:basedOn w:val="CommentText"/>
    <w:next w:val="CommentText"/>
    <w:uiPriority w:val="99"/>
    <w:semiHidden/>
    <w:unhideWhenUsed/>
    <w:rsid w:val="008674EA"/>
    <w:rPr>
      <w:rFonts w:ascii="Garamond" w:eastAsia="Calibri" w:hAnsi="Garamond"/>
      <w:b/>
      <w:bCs/>
    </w:rPr>
  </w:style>
  <w:style w:type="paragraph" w:customStyle="1" w:styleId="ListParagraph1">
    <w:name w:val="List Paragraph1"/>
    <w:basedOn w:val="Normal"/>
    <w:next w:val="ListParagraph"/>
    <w:uiPriority w:val="34"/>
    <w:qFormat/>
    <w:rsid w:val="008674EA"/>
    <w:pPr>
      <w:ind w:left="720"/>
      <w:contextualSpacing/>
    </w:pPr>
    <w:rPr>
      <w:rFonts w:ascii="Garamond" w:eastAsia="Calibri" w:hAnsi="Garamond"/>
      <w:szCs w:val="22"/>
    </w:rPr>
  </w:style>
  <w:style w:type="paragraph" w:customStyle="1" w:styleId="Revision1">
    <w:name w:val="Revision1"/>
    <w:next w:val="Revision"/>
    <w:hidden/>
    <w:uiPriority w:val="99"/>
    <w:semiHidden/>
    <w:rsid w:val="008674EA"/>
    <w:rPr>
      <w:rFonts w:ascii="Garamond" w:eastAsia="Calibri" w:hAnsi="Garamond"/>
      <w:sz w:val="24"/>
      <w:szCs w:val="22"/>
    </w:rPr>
  </w:style>
  <w:style w:type="character" w:customStyle="1" w:styleId="HeaderChar1">
    <w:name w:val="Header Char1"/>
    <w:rsid w:val="008674EA"/>
  </w:style>
  <w:style w:type="character" w:customStyle="1" w:styleId="FooterChar1">
    <w:name w:val="Footer Char1"/>
    <w:rsid w:val="008674EA"/>
  </w:style>
  <w:style w:type="character" w:customStyle="1" w:styleId="normaltextrun">
    <w:name w:val="normaltextrun"/>
    <w:rsid w:val="00AE53BE"/>
  </w:style>
  <w:style w:type="character" w:customStyle="1" w:styleId="tabchar">
    <w:name w:val="tabchar"/>
    <w:rsid w:val="00AE53BE"/>
  </w:style>
  <w:style w:type="character" w:customStyle="1" w:styleId="eop">
    <w:name w:val="eop"/>
    <w:rsid w:val="00097F09"/>
  </w:style>
  <w:style w:type="character" w:styleId="UnresolvedMention">
    <w:name w:val="Unresolved Mention"/>
    <w:basedOn w:val="DefaultParagraphFont"/>
    <w:uiPriority w:val="99"/>
    <w:semiHidden/>
    <w:unhideWhenUsed/>
    <w:rsid w:val="00316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79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46.xml"/><Relationship Id="rId68" Type="http://schemas.openxmlformats.org/officeDocument/2006/relationships/header" Target="header50.xml"/><Relationship Id="rId84" Type="http://schemas.openxmlformats.org/officeDocument/2006/relationships/header" Target="header63.xml"/><Relationship Id="rId89" Type="http://schemas.openxmlformats.org/officeDocument/2006/relationships/header" Target="header68.xml"/><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header" Target="header4.xml"/><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1.xml"/><Relationship Id="rId58" Type="http://schemas.openxmlformats.org/officeDocument/2006/relationships/image" Target="media/image4.png"/><Relationship Id="rId74" Type="http://schemas.openxmlformats.org/officeDocument/2006/relationships/header" Target="header56.xml"/><Relationship Id="rId79" Type="http://schemas.openxmlformats.org/officeDocument/2006/relationships/header" Target="header59.xml"/><Relationship Id="rId102" Type="http://schemas.openxmlformats.org/officeDocument/2006/relationships/header" Target="header81.xml"/><Relationship Id="rId5" Type="http://schemas.openxmlformats.org/officeDocument/2006/relationships/webSettings" Target="webSettings.xml"/><Relationship Id="rId90" Type="http://schemas.openxmlformats.org/officeDocument/2006/relationships/header" Target="header69.xml"/><Relationship Id="rId95" Type="http://schemas.openxmlformats.org/officeDocument/2006/relationships/header" Target="header74.xml"/><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47.xml"/><Relationship Id="rId69" Type="http://schemas.openxmlformats.org/officeDocument/2006/relationships/header" Target="header51.xml"/><Relationship Id="rId80" Type="http://schemas.openxmlformats.org/officeDocument/2006/relationships/header" Target="header60.xml"/><Relationship Id="rId85" Type="http://schemas.openxmlformats.org/officeDocument/2006/relationships/header" Target="header64.xml"/><Relationship Id="rId12" Type="http://schemas.openxmlformats.org/officeDocument/2006/relationships/header" Target="header5.xml"/><Relationship Id="rId17" Type="http://schemas.openxmlformats.org/officeDocument/2006/relationships/header" Target="header7.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image" Target="media/image5.png"/><Relationship Id="rId103" Type="http://schemas.openxmlformats.org/officeDocument/2006/relationships/header" Target="header82.xm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header" Target="header45.xml"/><Relationship Id="rId70" Type="http://schemas.openxmlformats.org/officeDocument/2006/relationships/header" Target="header52.xml"/><Relationship Id="rId75" Type="http://schemas.openxmlformats.org/officeDocument/2006/relationships/image" Target="media/image7.png"/><Relationship Id="rId83" Type="http://schemas.openxmlformats.org/officeDocument/2006/relationships/header" Target="header62.xml"/><Relationship Id="rId88" Type="http://schemas.openxmlformats.org/officeDocument/2006/relationships/header" Target="header67.xml"/><Relationship Id="rId91" Type="http://schemas.openxmlformats.org/officeDocument/2006/relationships/header" Target="header70.xml"/><Relationship Id="rId96"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image" Target="media/image3.png"/><Relationship Id="rId106" Type="http://schemas.openxmlformats.org/officeDocument/2006/relationships/header" Target="header85.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5.xml"/><Relationship Id="rId78" Type="http://schemas.openxmlformats.org/officeDocument/2006/relationships/image" Target="media/image8.png"/><Relationship Id="rId81" Type="http://schemas.openxmlformats.org/officeDocument/2006/relationships/image" Target="media/image9.png"/><Relationship Id="rId86" Type="http://schemas.openxmlformats.org/officeDocument/2006/relationships/header" Target="header65.xml"/><Relationship Id="rId94" Type="http://schemas.openxmlformats.org/officeDocument/2006/relationships/header" Target="header73.xml"/><Relationship Id="rId99" Type="http://schemas.openxmlformats.org/officeDocument/2006/relationships/header" Target="header78.xml"/><Relationship Id="rId101" Type="http://schemas.openxmlformats.org/officeDocument/2006/relationships/header" Target="header8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8.xml"/><Relationship Id="rId39" Type="http://schemas.openxmlformats.org/officeDocument/2006/relationships/header" Target="header27.xml"/><Relationship Id="rId34" Type="http://schemas.openxmlformats.org/officeDocument/2006/relationships/header" Target="header22.xml"/><Relationship Id="rId50" Type="http://schemas.openxmlformats.org/officeDocument/2006/relationships/header" Target="header38.xml"/><Relationship Id="rId55" Type="http://schemas.openxmlformats.org/officeDocument/2006/relationships/image" Target="media/image1.png"/><Relationship Id="rId76" Type="http://schemas.openxmlformats.org/officeDocument/2006/relationships/header" Target="header57.xml"/><Relationship Id="rId97" Type="http://schemas.openxmlformats.org/officeDocument/2006/relationships/header" Target="header76.xml"/><Relationship Id="rId104" Type="http://schemas.openxmlformats.org/officeDocument/2006/relationships/header" Target="header83.xml"/><Relationship Id="rId7" Type="http://schemas.openxmlformats.org/officeDocument/2006/relationships/endnotes" Target="endnotes.xml"/><Relationship Id="rId71" Type="http://schemas.openxmlformats.org/officeDocument/2006/relationships/header" Target="header53.xml"/><Relationship Id="rId9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image" Target="media/image6.png"/><Relationship Id="rId87" Type="http://schemas.openxmlformats.org/officeDocument/2006/relationships/header" Target="header66.xml"/><Relationship Id="rId61" Type="http://schemas.openxmlformats.org/officeDocument/2006/relationships/header" Target="header44.xml"/><Relationship Id="rId82" Type="http://schemas.openxmlformats.org/officeDocument/2006/relationships/header" Target="header6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image" Target="media/image2.png"/><Relationship Id="rId77" Type="http://schemas.openxmlformats.org/officeDocument/2006/relationships/header" Target="header58.xml"/><Relationship Id="rId100" Type="http://schemas.openxmlformats.org/officeDocument/2006/relationships/header" Target="header79.xml"/><Relationship Id="rId105" Type="http://schemas.openxmlformats.org/officeDocument/2006/relationships/header" Target="header84.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54.xml"/><Relationship Id="rId93" Type="http://schemas.openxmlformats.org/officeDocument/2006/relationships/header" Target="header72.xml"/><Relationship Id="rId98" Type="http://schemas.openxmlformats.org/officeDocument/2006/relationships/header" Target="header7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49.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BF100-12D7-44B2-9537-45F40F24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21</TotalTime>
  <Pages>492</Pages>
  <Words>352650</Words>
  <Characters>2010108</Characters>
  <Application>Microsoft Office Word</Application>
  <DocSecurity>0</DocSecurity>
  <Lines>16750</Lines>
  <Paragraphs>4716</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2358042</CharactersWithSpaces>
  <SharedDoc>false</SharedDoc>
  <HLinks>
    <vt:vector size="7170" baseType="variant">
      <vt:variant>
        <vt:i4>1638454</vt:i4>
      </vt:variant>
      <vt:variant>
        <vt:i4>7103</vt:i4>
      </vt:variant>
      <vt:variant>
        <vt:i4>0</vt:i4>
      </vt:variant>
      <vt:variant>
        <vt:i4>5</vt:i4>
      </vt:variant>
      <vt:variant>
        <vt:lpwstr/>
      </vt:variant>
      <vt:variant>
        <vt:lpwstr>_Toc201147181</vt:lpwstr>
      </vt:variant>
      <vt:variant>
        <vt:i4>1638454</vt:i4>
      </vt:variant>
      <vt:variant>
        <vt:i4>7097</vt:i4>
      </vt:variant>
      <vt:variant>
        <vt:i4>0</vt:i4>
      </vt:variant>
      <vt:variant>
        <vt:i4>5</vt:i4>
      </vt:variant>
      <vt:variant>
        <vt:lpwstr/>
      </vt:variant>
      <vt:variant>
        <vt:lpwstr>_Toc201147180</vt:lpwstr>
      </vt:variant>
      <vt:variant>
        <vt:i4>1441846</vt:i4>
      </vt:variant>
      <vt:variant>
        <vt:i4>7091</vt:i4>
      </vt:variant>
      <vt:variant>
        <vt:i4>0</vt:i4>
      </vt:variant>
      <vt:variant>
        <vt:i4>5</vt:i4>
      </vt:variant>
      <vt:variant>
        <vt:lpwstr/>
      </vt:variant>
      <vt:variant>
        <vt:lpwstr>_Toc201147179</vt:lpwstr>
      </vt:variant>
      <vt:variant>
        <vt:i4>1441846</vt:i4>
      </vt:variant>
      <vt:variant>
        <vt:i4>7085</vt:i4>
      </vt:variant>
      <vt:variant>
        <vt:i4>0</vt:i4>
      </vt:variant>
      <vt:variant>
        <vt:i4>5</vt:i4>
      </vt:variant>
      <vt:variant>
        <vt:lpwstr/>
      </vt:variant>
      <vt:variant>
        <vt:lpwstr>_Toc201147178</vt:lpwstr>
      </vt:variant>
      <vt:variant>
        <vt:i4>1441846</vt:i4>
      </vt:variant>
      <vt:variant>
        <vt:i4>7079</vt:i4>
      </vt:variant>
      <vt:variant>
        <vt:i4>0</vt:i4>
      </vt:variant>
      <vt:variant>
        <vt:i4>5</vt:i4>
      </vt:variant>
      <vt:variant>
        <vt:lpwstr/>
      </vt:variant>
      <vt:variant>
        <vt:lpwstr>_Toc201147177</vt:lpwstr>
      </vt:variant>
      <vt:variant>
        <vt:i4>1441846</vt:i4>
      </vt:variant>
      <vt:variant>
        <vt:i4>7073</vt:i4>
      </vt:variant>
      <vt:variant>
        <vt:i4>0</vt:i4>
      </vt:variant>
      <vt:variant>
        <vt:i4>5</vt:i4>
      </vt:variant>
      <vt:variant>
        <vt:lpwstr/>
      </vt:variant>
      <vt:variant>
        <vt:lpwstr>_Toc201147176</vt:lpwstr>
      </vt:variant>
      <vt:variant>
        <vt:i4>1441846</vt:i4>
      </vt:variant>
      <vt:variant>
        <vt:i4>7067</vt:i4>
      </vt:variant>
      <vt:variant>
        <vt:i4>0</vt:i4>
      </vt:variant>
      <vt:variant>
        <vt:i4>5</vt:i4>
      </vt:variant>
      <vt:variant>
        <vt:lpwstr/>
      </vt:variant>
      <vt:variant>
        <vt:lpwstr>_Toc201147175</vt:lpwstr>
      </vt:variant>
      <vt:variant>
        <vt:i4>1441846</vt:i4>
      </vt:variant>
      <vt:variant>
        <vt:i4>7064</vt:i4>
      </vt:variant>
      <vt:variant>
        <vt:i4>0</vt:i4>
      </vt:variant>
      <vt:variant>
        <vt:i4>5</vt:i4>
      </vt:variant>
      <vt:variant>
        <vt:lpwstr/>
      </vt:variant>
      <vt:variant>
        <vt:lpwstr>_Toc201147174</vt:lpwstr>
      </vt:variant>
      <vt:variant>
        <vt:i4>1441846</vt:i4>
      </vt:variant>
      <vt:variant>
        <vt:i4>7058</vt:i4>
      </vt:variant>
      <vt:variant>
        <vt:i4>0</vt:i4>
      </vt:variant>
      <vt:variant>
        <vt:i4>5</vt:i4>
      </vt:variant>
      <vt:variant>
        <vt:lpwstr/>
      </vt:variant>
      <vt:variant>
        <vt:lpwstr>_Toc201147173</vt:lpwstr>
      </vt:variant>
      <vt:variant>
        <vt:i4>1441846</vt:i4>
      </vt:variant>
      <vt:variant>
        <vt:i4>7052</vt:i4>
      </vt:variant>
      <vt:variant>
        <vt:i4>0</vt:i4>
      </vt:variant>
      <vt:variant>
        <vt:i4>5</vt:i4>
      </vt:variant>
      <vt:variant>
        <vt:lpwstr/>
      </vt:variant>
      <vt:variant>
        <vt:lpwstr>_Toc201147172</vt:lpwstr>
      </vt:variant>
      <vt:variant>
        <vt:i4>1441846</vt:i4>
      </vt:variant>
      <vt:variant>
        <vt:i4>7046</vt:i4>
      </vt:variant>
      <vt:variant>
        <vt:i4>0</vt:i4>
      </vt:variant>
      <vt:variant>
        <vt:i4>5</vt:i4>
      </vt:variant>
      <vt:variant>
        <vt:lpwstr/>
      </vt:variant>
      <vt:variant>
        <vt:lpwstr>_Toc201147171</vt:lpwstr>
      </vt:variant>
      <vt:variant>
        <vt:i4>1441846</vt:i4>
      </vt:variant>
      <vt:variant>
        <vt:i4>7040</vt:i4>
      </vt:variant>
      <vt:variant>
        <vt:i4>0</vt:i4>
      </vt:variant>
      <vt:variant>
        <vt:i4>5</vt:i4>
      </vt:variant>
      <vt:variant>
        <vt:lpwstr/>
      </vt:variant>
      <vt:variant>
        <vt:lpwstr>_Toc201147170</vt:lpwstr>
      </vt:variant>
      <vt:variant>
        <vt:i4>1507382</vt:i4>
      </vt:variant>
      <vt:variant>
        <vt:i4>7034</vt:i4>
      </vt:variant>
      <vt:variant>
        <vt:i4>0</vt:i4>
      </vt:variant>
      <vt:variant>
        <vt:i4>5</vt:i4>
      </vt:variant>
      <vt:variant>
        <vt:lpwstr/>
      </vt:variant>
      <vt:variant>
        <vt:lpwstr>_Toc201147169</vt:lpwstr>
      </vt:variant>
      <vt:variant>
        <vt:i4>1507382</vt:i4>
      </vt:variant>
      <vt:variant>
        <vt:i4>7031</vt:i4>
      </vt:variant>
      <vt:variant>
        <vt:i4>0</vt:i4>
      </vt:variant>
      <vt:variant>
        <vt:i4>5</vt:i4>
      </vt:variant>
      <vt:variant>
        <vt:lpwstr/>
      </vt:variant>
      <vt:variant>
        <vt:lpwstr>_Toc201147168</vt:lpwstr>
      </vt:variant>
      <vt:variant>
        <vt:i4>1507382</vt:i4>
      </vt:variant>
      <vt:variant>
        <vt:i4>7025</vt:i4>
      </vt:variant>
      <vt:variant>
        <vt:i4>0</vt:i4>
      </vt:variant>
      <vt:variant>
        <vt:i4>5</vt:i4>
      </vt:variant>
      <vt:variant>
        <vt:lpwstr/>
      </vt:variant>
      <vt:variant>
        <vt:lpwstr>_Toc201147167</vt:lpwstr>
      </vt:variant>
      <vt:variant>
        <vt:i4>1507382</vt:i4>
      </vt:variant>
      <vt:variant>
        <vt:i4>7019</vt:i4>
      </vt:variant>
      <vt:variant>
        <vt:i4>0</vt:i4>
      </vt:variant>
      <vt:variant>
        <vt:i4>5</vt:i4>
      </vt:variant>
      <vt:variant>
        <vt:lpwstr/>
      </vt:variant>
      <vt:variant>
        <vt:lpwstr>_Toc201147166</vt:lpwstr>
      </vt:variant>
      <vt:variant>
        <vt:i4>1507382</vt:i4>
      </vt:variant>
      <vt:variant>
        <vt:i4>7013</vt:i4>
      </vt:variant>
      <vt:variant>
        <vt:i4>0</vt:i4>
      </vt:variant>
      <vt:variant>
        <vt:i4>5</vt:i4>
      </vt:variant>
      <vt:variant>
        <vt:lpwstr/>
      </vt:variant>
      <vt:variant>
        <vt:lpwstr>_Toc201147165</vt:lpwstr>
      </vt:variant>
      <vt:variant>
        <vt:i4>1507382</vt:i4>
      </vt:variant>
      <vt:variant>
        <vt:i4>7010</vt:i4>
      </vt:variant>
      <vt:variant>
        <vt:i4>0</vt:i4>
      </vt:variant>
      <vt:variant>
        <vt:i4>5</vt:i4>
      </vt:variant>
      <vt:variant>
        <vt:lpwstr/>
      </vt:variant>
      <vt:variant>
        <vt:lpwstr>_Toc201147164</vt:lpwstr>
      </vt:variant>
      <vt:variant>
        <vt:i4>1507382</vt:i4>
      </vt:variant>
      <vt:variant>
        <vt:i4>7004</vt:i4>
      </vt:variant>
      <vt:variant>
        <vt:i4>0</vt:i4>
      </vt:variant>
      <vt:variant>
        <vt:i4>5</vt:i4>
      </vt:variant>
      <vt:variant>
        <vt:lpwstr/>
      </vt:variant>
      <vt:variant>
        <vt:lpwstr>_Toc201147163</vt:lpwstr>
      </vt:variant>
      <vt:variant>
        <vt:i4>1507382</vt:i4>
      </vt:variant>
      <vt:variant>
        <vt:i4>6998</vt:i4>
      </vt:variant>
      <vt:variant>
        <vt:i4>0</vt:i4>
      </vt:variant>
      <vt:variant>
        <vt:i4>5</vt:i4>
      </vt:variant>
      <vt:variant>
        <vt:lpwstr/>
      </vt:variant>
      <vt:variant>
        <vt:lpwstr>_Toc201147162</vt:lpwstr>
      </vt:variant>
      <vt:variant>
        <vt:i4>1507382</vt:i4>
      </vt:variant>
      <vt:variant>
        <vt:i4>6992</vt:i4>
      </vt:variant>
      <vt:variant>
        <vt:i4>0</vt:i4>
      </vt:variant>
      <vt:variant>
        <vt:i4>5</vt:i4>
      </vt:variant>
      <vt:variant>
        <vt:lpwstr/>
      </vt:variant>
      <vt:variant>
        <vt:lpwstr>_Toc201147161</vt:lpwstr>
      </vt:variant>
      <vt:variant>
        <vt:i4>1507382</vt:i4>
      </vt:variant>
      <vt:variant>
        <vt:i4>6986</vt:i4>
      </vt:variant>
      <vt:variant>
        <vt:i4>0</vt:i4>
      </vt:variant>
      <vt:variant>
        <vt:i4>5</vt:i4>
      </vt:variant>
      <vt:variant>
        <vt:lpwstr/>
      </vt:variant>
      <vt:variant>
        <vt:lpwstr>_Toc201147160</vt:lpwstr>
      </vt:variant>
      <vt:variant>
        <vt:i4>1310774</vt:i4>
      </vt:variant>
      <vt:variant>
        <vt:i4>6980</vt:i4>
      </vt:variant>
      <vt:variant>
        <vt:i4>0</vt:i4>
      </vt:variant>
      <vt:variant>
        <vt:i4>5</vt:i4>
      </vt:variant>
      <vt:variant>
        <vt:lpwstr/>
      </vt:variant>
      <vt:variant>
        <vt:lpwstr>_Toc201147159</vt:lpwstr>
      </vt:variant>
      <vt:variant>
        <vt:i4>1310774</vt:i4>
      </vt:variant>
      <vt:variant>
        <vt:i4>6974</vt:i4>
      </vt:variant>
      <vt:variant>
        <vt:i4>0</vt:i4>
      </vt:variant>
      <vt:variant>
        <vt:i4>5</vt:i4>
      </vt:variant>
      <vt:variant>
        <vt:lpwstr/>
      </vt:variant>
      <vt:variant>
        <vt:lpwstr>_Toc201147158</vt:lpwstr>
      </vt:variant>
      <vt:variant>
        <vt:i4>1310774</vt:i4>
      </vt:variant>
      <vt:variant>
        <vt:i4>6968</vt:i4>
      </vt:variant>
      <vt:variant>
        <vt:i4>0</vt:i4>
      </vt:variant>
      <vt:variant>
        <vt:i4>5</vt:i4>
      </vt:variant>
      <vt:variant>
        <vt:lpwstr/>
      </vt:variant>
      <vt:variant>
        <vt:lpwstr>_Toc201147157</vt:lpwstr>
      </vt:variant>
      <vt:variant>
        <vt:i4>1310774</vt:i4>
      </vt:variant>
      <vt:variant>
        <vt:i4>6965</vt:i4>
      </vt:variant>
      <vt:variant>
        <vt:i4>0</vt:i4>
      </vt:variant>
      <vt:variant>
        <vt:i4>5</vt:i4>
      </vt:variant>
      <vt:variant>
        <vt:lpwstr/>
      </vt:variant>
      <vt:variant>
        <vt:lpwstr>_Toc201147156</vt:lpwstr>
      </vt:variant>
      <vt:variant>
        <vt:i4>1310774</vt:i4>
      </vt:variant>
      <vt:variant>
        <vt:i4>6959</vt:i4>
      </vt:variant>
      <vt:variant>
        <vt:i4>0</vt:i4>
      </vt:variant>
      <vt:variant>
        <vt:i4>5</vt:i4>
      </vt:variant>
      <vt:variant>
        <vt:lpwstr/>
      </vt:variant>
      <vt:variant>
        <vt:lpwstr>_Toc201147155</vt:lpwstr>
      </vt:variant>
      <vt:variant>
        <vt:i4>1310774</vt:i4>
      </vt:variant>
      <vt:variant>
        <vt:i4>6953</vt:i4>
      </vt:variant>
      <vt:variant>
        <vt:i4>0</vt:i4>
      </vt:variant>
      <vt:variant>
        <vt:i4>5</vt:i4>
      </vt:variant>
      <vt:variant>
        <vt:lpwstr/>
      </vt:variant>
      <vt:variant>
        <vt:lpwstr>_Toc201147154</vt:lpwstr>
      </vt:variant>
      <vt:variant>
        <vt:i4>1310774</vt:i4>
      </vt:variant>
      <vt:variant>
        <vt:i4>6947</vt:i4>
      </vt:variant>
      <vt:variant>
        <vt:i4>0</vt:i4>
      </vt:variant>
      <vt:variant>
        <vt:i4>5</vt:i4>
      </vt:variant>
      <vt:variant>
        <vt:lpwstr/>
      </vt:variant>
      <vt:variant>
        <vt:lpwstr>_Toc201147153</vt:lpwstr>
      </vt:variant>
      <vt:variant>
        <vt:i4>1310774</vt:i4>
      </vt:variant>
      <vt:variant>
        <vt:i4>6941</vt:i4>
      </vt:variant>
      <vt:variant>
        <vt:i4>0</vt:i4>
      </vt:variant>
      <vt:variant>
        <vt:i4>5</vt:i4>
      </vt:variant>
      <vt:variant>
        <vt:lpwstr/>
      </vt:variant>
      <vt:variant>
        <vt:lpwstr>_Toc201147152</vt:lpwstr>
      </vt:variant>
      <vt:variant>
        <vt:i4>1310774</vt:i4>
      </vt:variant>
      <vt:variant>
        <vt:i4>6935</vt:i4>
      </vt:variant>
      <vt:variant>
        <vt:i4>0</vt:i4>
      </vt:variant>
      <vt:variant>
        <vt:i4>5</vt:i4>
      </vt:variant>
      <vt:variant>
        <vt:lpwstr/>
      </vt:variant>
      <vt:variant>
        <vt:lpwstr>_Toc201147151</vt:lpwstr>
      </vt:variant>
      <vt:variant>
        <vt:i4>1310774</vt:i4>
      </vt:variant>
      <vt:variant>
        <vt:i4>6929</vt:i4>
      </vt:variant>
      <vt:variant>
        <vt:i4>0</vt:i4>
      </vt:variant>
      <vt:variant>
        <vt:i4>5</vt:i4>
      </vt:variant>
      <vt:variant>
        <vt:lpwstr/>
      </vt:variant>
      <vt:variant>
        <vt:lpwstr>_Toc201147150</vt:lpwstr>
      </vt:variant>
      <vt:variant>
        <vt:i4>1376310</vt:i4>
      </vt:variant>
      <vt:variant>
        <vt:i4>6923</vt:i4>
      </vt:variant>
      <vt:variant>
        <vt:i4>0</vt:i4>
      </vt:variant>
      <vt:variant>
        <vt:i4>5</vt:i4>
      </vt:variant>
      <vt:variant>
        <vt:lpwstr/>
      </vt:variant>
      <vt:variant>
        <vt:lpwstr>_Toc201147149</vt:lpwstr>
      </vt:variant>
      <vt:variant>
        <vt:i4>1376310</vt:i4>
      </vt:variant>
      <vt:variant>
        <vt:i4>6917</vt:i4>
      </vt:variant>
      <vt:variant>
        <vt:i4>0</vt:i4>
      </vt:variant>
      <vt:variant>
        <vt:i4>5</vt:i4>
      </vt:variant>
      <vt:variant>
        <vt:lpwstr/>
      </vt:variant>
      <vt:variant>
        <vt:lpwstr>_Toc201147148</vt:lpwstr>
      </vt:variant>
      <vt:variant>
        <vt:i4>1376310</vt:i4>
      </vt:variant>
      <vt:variant>
        <vt:i4>6911</vt:i4>
      </vt:variant>
      <vt:variant>
        <vt:i4>0</vt:i4>
      </vt:variant>
      <vt:variant>
        <vt:i4>5</vt:i4>
      </vt:variant>
      <vt:variant>
        <vt:lpwstr/>
      </vt:variant>
      <vt:variant>
        <vt:lpwstr>_Toc201147147</vt:lpwstr>
      </vt:variant>
      <vt:variant>
        <vt:i4>1376310</vt:i4>
      </vt:variant>
      <vt:variant>
        <vt:i4>6905</vt:i4>
      </vt:variant>
      <vt:variant>
        <vt:i4>0</vt:i4>
      </vt:variant>
      <vt:variant>
        <vt:i4>5</vt:i4>
      </vt:variant>
      <vt:variant>
        <vt:lpwstr/>
      </vt:variant>
      <vt:variant>
        <vt:lpwstr>_Toc201147146</vt:lpwstr>
      </vt:variant>
      <vt:variant>
        <vt:i4>1376310</vt:i4>
      </vt:variant>
      <vt:variant>
        <vt:i4>6899</vt:i4>
      </vt:variant>
      <vt:variant>
        <vt:i4>0</vt:i4>
      </vt:variant>
      <vt:variant>
        <vt:i4>5</vt:i4>
      </vt:variant>
      <vt:variant>
        <vt:lpwstr/>
      </vt:variant>
      <vt:variant>
        <vt:lpwstr>_Toc201147145</vt:lpwstr>
      </vt:variant>
      <vt:variant>
        <vt:i4>1376310</vt:i4>
      </vt:variant>
      <vt:variant>
        <vt:i4>6893</vt:i4>
      </vt:variant>
      <vt:variant>
        <vt:i4>0</vt:i4>
      </vt:variant>
      <vt:variant>
        <vt:i4>5</vt:i4>
      </vt:variant>
      <vt:variant>
        <vt:lpwstr/>
      </vt:variant>
      <vt:variant>
        <vt:lpwstr>_Toc201147144</vt:lpwstr>
      </vt:variant>
      <vt:variant>
        <vt:i4>1376310</vt:i4>
      </vt:variant>
      <vt:variant>
        <vt:i4>6887</vt:i4>
      </vt:variant>
      <vt:variant>
        <vt:i4>0</vt:i4>
      </vt:variant>
      <vt:variant>
        <vt:i4>5</vt:i4>
      </vt:variant>
      <vt:variant>
        <vt:lpwstr/>
      </vt:variant>
      <vt:variant>
        <vt:lpwstr>_Toc201147143</vt:lpwstr>
      </vt:variant>
      <vt:variant>
        <vt:i4>1376310</vt:i4>
      </vt:variant>
      <vt:variant>
        <vt:i4>6881</vt:i4>
      </vt:variant>
      <vt:variant>
        <vt:i4>0</vt:i4>
      </vt:variant>
      <vt:variant>
        <vt:i4>5</vt:i4>
      </vt:variant>
      <vt:variant>
        <vt:lpwstr/>
      </vt:variant>
      <vt:variant>
        <vt:lpwstr>_Toc201147142</vt:lpwstr>
      </vt:variant>
      <vt:variant>
        <vt:i4>1376310</vt:i4>
      </vt:variant>
      <vt:variant>
        <vt:i4>6875</vt:i4>
      </vt:variant>
      <vt:variant>
        <vt:i4>0</vt:i4>
      </vt:variant>
      <vt:variant>
        <vt:i4>5</vt:i4>
      </vt:variant>
      <vt:variant>
        <vt:lpwstr/>
      </vt:variant>
      <vt:variant>
        <vt:lpwstr>_Toc201147141</vt:lpwstr>
      </vt:variant>
      <vt:variant>
        <vt:i4>1376310</vt:i4>
      </vt:variant>
      <vt:variant>
        <vt:i4>6869</vt:i4>
      </vt:variant>
      <vt:variant>
        <vt:i4>0</vt:i4>
      </vt:variant>
      <vt:variant>
        <vt:i4>5</vt:i4>
      </vt:variant>
      <vt:variant>
        <vt:lpwstr/>
      </vt:variant>
      <vt:variant>
        <vt:lpwstr>_Toc201147140</vt:lpwstr>
      </vt:variant>
      <vt:variant>
        <vt:i4>1179702</vt:i4>
      </vt:variant>
      <vt:variant>
        <vt:i4>6863</vt:i4>
      </vt:variant>
      <vt:variant>
        <vt:i4>0</vt:i4>
      </vt:variant>
      <vt:variant>
        <vt:i4>5</vt:i4>
      </vt:variant>
      <vt:variant>
        <vt:lpwstr/>
      </vt:variant>
      <vt:variant>
        <vt:lpwstr>_Toc201147139</vt:lpwstr>
      </vt:variant>
      <vt:variant>
        <vt:i4>1179702</vt:i4>
      </vt:variant>
      <vt:variant>
        <vt:i4>6857</vt:i4>
      </vt:variant>
      <vt:variant>
        <vt:i4>0</vt:i4>
      </vt:variant>
      <vt:variant>
        <vt:i4>5</vt:i4>
      </vt:variant>
      <vt:variant>
        <vt:lpwstr/>
      </vt:variant>
      <vt:variant>
        <vt:lpwstr>_Toc201147138</vt:lpwstr>
      </vt:variant>
      <vt:variant>
        <vt:i4>1179702</vt:i4>
      </vt:variant>
      <vt:variant>
        <vt:i4>6851</vt:i4>
      </vt:variant>
      <vt:variant>
        <vt:i4>0</vt:i4>
      </vt:variant>
      <vt:variant>
        <vt:i4>5</vt:i4>
      </vt:variant>
      <vt:variant>
        <vt:lpwstr/>
      </vt:variant>
      <vt:variant>
        <vt:lpwstr>_Toc201147137</vt:lpwstr>
      </vt:variant>
      <vt:variant>
        <vt:i4>1179702</vt:i4>
      </vt:variant>
      <vt:variant>
        <vt:i4>6845</vt:i4>
      </vt:variant>
      <vt:variant>
        <vt:i4>0</vt:i4>
      </vt:variant>
      <vt:variant>
        <vt:i4>5</vt:i4>
      </vt:variant>
      <vt:variant>
        <vt:lpwstr/>
      </vt:variant>
      <vt:variant>
        <vt:lpwstr>_Toc201147136</vt:lpwstr>
      </vt:variant>
      <vt:variant>
        <vt:i4>1179702</vt:i4>
      </vt:variant>
      <vt:variant>
        <vt:i4>6839</vt:i4>
      </vt:variant>
      <vt:variant>
        <vt:i4>0</vt:i4>
      </vt:variant>
      <vt:variant>
        <vt:i4>5</vt:i4>
      </vt:variant>
      <vt:variant>
        <vt:lpwstr/>
      </vt:variant>
      <vt:variant>
        <vt:lpwstr>_Toc201147135</vt:lpwstr>
      </vt:variant>
      <vt:variant>
        <vt:i4>1179702</vt:i4>
      </vt:variant>
      <vt:variant>
        <vt:i4>6833</vt:i4>
      </vt:variant>
      <vt:variant>
        <vt:i4>0</vt:i4>
      </vt:variant>
      <vt:variant>
        <vt:i4>5</vt:i4>
      </vt:variant>
      <vt:variant>
        <vt:lpwstr/>
      </vt:variant>
      <vt:variant>
        <vt:lpwstr>_Toc201147134</vt:lpwstr>
      </vt:variant>
      <vt:variant>
        <vt:i4>1179702</vt:i4>
      </vt:variant>
      <vt:variant>
        <vt:i4>6827</vt:i4>
      </vt:variant>
      <vt:variant>
        <vt:i4>0</vt:i4>
      </vt:variant>
      <vt:variant>
        <vt:i4>5</vt:i4>
      </vt:variant>
      <vt:variant>
        <vt:lpwstr/>
      </vt:variant>
      <vt:variant>
        <vt:lpwstr>_Toc201147133</vt:lpwstr>
      </vt:variant>
      <vt:variant>
        <vt:i4>1179702</vt:i4>
      </vt:variant>
      <vt:variant>
        <vt:i4>6821</vt:i4>
      </vt:variant>
      <vt:variant>
        <vt:i4>0</vt:i4>
      </vt:variant>
      <vt:variant>
        <vt:i4>5</vt:i4>
      </vt:variant>
      <vt:variant>
        <vt:lpwstr/>
      </vt:variant>
      <vt:variant>
        <vt:lpwstr>_Toc201147132</vt:lpwstr>
      </vt:variant>
      <vt:variant>
        <vt:i4>1179702</vt:i4>
      </vt:variant>
      <vt:variant>
        <vt:i4>6815</vt:i4>
      </vt:variant>
      <vt:variant>
        <vt:i4>0</vt:i4>
      </vt:variant>
      <vt:variant>
        <vt:i4>5</vt:i4>
      </vt:variant>
      <vt:variant>
        <vt:lpwstr/>
      </vt:variant>
      <vt:variant>
        <vt:lpwstr>_Toc201147131</vt:lpwstr>
      </vt:variant>
      <vt:variant>
        <vt:i4>1179702</vt:i4>
      </vt:variant>
      <vt:variant>
        <vt:i4>6809</vt:i4>
      </vt:variant>
      <vt:variant>
        <vt:i4>0</vt:i4>
      </vt:variant>
      <vt:variant>
        <vt:i4>5</vt:i4>
      </vt:variant>
      <vt:variant>
        <vt:lpwstr/>
      </vt:variant>
      <vt:variant>
        <vt:lpwstr>_Toc201147130</vt:lpwstr>
      </vt:variant>
      <vt:variant>
        <vt:i4>1245238</vt:i4>
      </vt:variant>
      <vt:variant>
        <vt:i4>6803</vt:i4>
      </vt:variant>
      <vt:variant>
        <vt:i4>0</vt:i4>
      </vt:variant>
      <vt:variant>
        <vt:i4>5</vt:i4>
      </vt:variant>
      <vt:variant>
        <vt:lpwstr/>
      </vt:variant>
      <vt:variant>
        <vt:lpwstr>_Toc201147129</vt:lpwstr>
      </vt:variant>
      <vt:variant>
        <vt:i4>1245238</vt:i4>
      </vt:variant>
      <vt:variant>
        <vt:i4>6797</vt:i4>
      </vt:variant>
      <vt:variant>
        <vt:i4>0</vt:i4>
      </vt:variant>
      <vt:variant>
        <vt:i4>5</vt:i4>
      </vt:variant>
      <vt:variant>
        <vt:lpwstr/>
      </vt:variant>
      <vt:variant>
        <vt:lpwstr>_Toc201147128</vt:lpwstr>
      </vt:variant>
      <vt:variant>
        <vt:i4>1245238</vt:i4>
      </vt:variant>
      <vt:variant>
        <vt:i4>6791</vt:i4>
      </vt:variant>
      <vt:variant>
        <vt:i4>0</vt:i4>
      </vt:variant>
      <vt:variant>
        <vt:i4>5</vt:i4>
      </vt:variant>
      <vt:variant>
        <vt:lpwstr/>
      </vt:variant>
      <vt:variant>
        <vt:lpwstr>_Toc201147127</vt:lpwstr>
      </vt:variant>
      <vt:variant>
        <vt:i4>1245238</vt:i4>
      </vt:variant>
      <vt:variant>
        <vt:i4>6785</vt:i4>
      </vt:variant>
      <vt:variant>
        <vt:i4>0</vt:i4>
      </vt:variant>
      <vt:variant>
        <vt:i4>5</vt:i4>
      </vt:variant>
      <vt:variant>
        <vt:lpwstr/>
      </vt:variant>
      <vt:variant>
        <vt:lpwstr>_Toc201147126</vt:lpwstr>
      </vt:variant>
      <vt:variant>
        <vt:i4>1245238</vt:i4>
      </vt:variant>
      <vt:variant>
        <vt:i4>6779</vt:i4>
      </vt:variant>
      <vt:variant>
        <vt:i4>0</vt:i4>
      </vt:variant>
      <vt:variant>
        <vt:i4>5</vt:i4>
      </vt:variant>
      <vt:variant>
        <vt:lpwstr/>
      </vt:variant>
      <vt:variant>
        <vt:lpwstr>_Toc201147125</vt:lpwstr>
      </vt:variant>
      <vt:variant>
        <vt:i4>1245238</vt:i4>
      </vt:variant>
      <vt:variant>
        <vt:i4>6773</vt:i4>
      </vt:variant>
      <vt:variant>
        <vt:i4>0</vt:i4>
      </vt:variant>
      <vt:variant>
        <vt:i4>5</vt:i4>
      </vt:variant>
      <vt:variant>
        <vt:lpwstr/>
      </vt:variant>
      <vt:variant>
        <vt:lpwstr>_Toc201147124</vt:lpwstr>
      </vt:variant>
      <vt:variant>
        <vt:i4>1245238</vt:i4>
      </vt:variant>
      <vt:variant>
        <vt:i4>6767</vt:i4>
      </vt:variant>
      <vt:variant>
        <vt:i4>0</vt:i4>
      </vt:variant>
      <vt:variant>
        <vt:i4>5</vt:i4>
      </vt:variant>
      <vt:variant>
        <vt:lpwstr/>
      </vt:variant>
      <vt:variant>
        <vt:lpwstr>_Toc201147123</vt:lpwstr>
      </vt:variant>
      <vt:variant>
        <vt:i4>1245238</vt:i4>
      </vt:variant>
      <vt:variant>
        <vt:i4>6761</vt:i4>
      </vt:variant>
      <vt:variant>
        <vt:i4>0</vt:i4>
      </vt:variant>
      <vt:variant>
        <vt:i4>5</vt:i4>
      </vt:variant>
      <vt:variant>
        <vt:lpwstr/>
      </vt:variant>
      <vt:variant>
        <vt:lpwstr>_Toc201147122</vt:lpwstr>
      </vt:variant>
      <vt:variant>
        <vt:i4>1245238</vt:i4>
      </vt:variant>
      <vt:variant>
        <vt:i4>6755</vt:i4>
      </vt:variant>
      <vt:variant>
        <vt:i4>0</vt:i4>
      </vt:variant>
      <vt:variant>
        <vt:i4>5</vt:i4>
      </vt:variant>
      <vt:variant>
        <vt:lpwstr/>
      </vt:variant>
      <vt:variant>
        <vt:lpwstr>_Toc201147121</vt:lpwstr>
      </vt:variant>
      <vt:variant>
        <vt:i4>1245238</vt:i4>
      </vt:variant>
      <vt:variant>
        <vt:i4>6749</vt:i4>
      </vt:variant>
      <vt:variant>
        <vt:i4>0</vt:i4>
      </vt:variant>
      <vt:variant>
        <vt:i4>5</vt:i4>
      </vt:variant>
      <vt:variant>
        <vt:lpwstr/>
      </vt:variant>
      <vt:variant>
        <vt:lpwstr>_Toc201147120</vt:lpwstr>
      </vt:variant>
      <vt:variant>
        <vt:i4>1048630</vt:i4>
      </vt:variant>
      <vt:variant>
        <vt:i4>6743</vt:i4>
      </vt:variant>
      <vt:variant>
        <vt:i4>0</vt:i4>
      </vt:variant>
      <vt:variant>
        <vt:i4>5</vt:i4>
      </vt:variant>
      <vt:variant>
        <vt:lpwstr/>
      </vt:variant>
      <vt:variant>
        <vt:lpwstr>_Toc201147119</vt:lpwstr>
      </vt:variant>
      <vt:variant>
        <vt:i4>1048630</vt:i4>
      </vt:variant>
      <vt:variant>
        <vt:i4>6737</vt:i4>
      </vt:variant>
      <vt:variant>
        <vt:i4>0</vt:i4>
      </vt:variant>
      <vt:variant>
        <vt:i4>5</vt:i4>
      </vt:variant>
      <vt:variant>
        <vt:lpwstr/>
      </vt:variant>
      <vt:variant>
        <vt:lpwstr>_Toc201147118</vt:lpwstr>
      </vt:variant>
      <vt:variant>
        <vt:i4>1048630</vt:i4>
      </vt:variant>
      <vt:variant>
        <vt:i4>6731</vt:i4>
      </vt:variant>
      <vt:variant>
        <vt:i4>0</vt:i4>
      </vt:variant>
      <vt:variant>
        <vt:i4>5</vt:i4>
      </vt:variant>
      <vt:variant>
        <vt:lpwstr/>
      </vt:variant>
      <vt:variant>
        <vt:lpwstr>_Toc201147117</vt:lpwstr>
      </vt:variant>
      <vt:variant>
        <vt:i4>1048630</vt:i4>
      </vt:variant>
      <vt:variant>
        <vt:i4>6725</vt:i4>
      </vt:variant>
      <vt:variant>
        <vt:i4>0</vt:i4>
      </vt:variant>
      <vt:variant>
        <vt:i4>5</vt:i4>
      </vt:variant>
      <vt:variant>
        <vt:lpwstr/>
      </vt:variant>
      <vt:variant>
        <vt:lpwstr>_Toc201147116</vt:lpwstr>
      </vt:variant>
      <vt:variant>
        <vt:i4>1048630</vt:i4>
      </vt:variant>
      <vt:variant>
        <vt:i4>6719</vt:i4>
      </vt:variant>
      <vt:variant>
        <vt:i4>0</vt:i4>
      </vt:variant>
      <vt:variant>
        <vt:i4>5</vt:i4>
      </vt:variant>
      <vt:variant>
        <vt:lpwstr/>
      </vt:variant>
      <vt:variant>
        <vt:lpwstr>_Toc201147115</vt:lpwstr>
      </vt:variant>
      <vt:variant>
        <vt:i4>1048630</vt:i4>
      </vt:variant>
      <vt:variant>
        <vt:i4>6713</vt:i4>
      </vt:variant>
      <vt:variant>
        <vt:i4>0</vt:i4>
      </vt:variant>
      <vt:variant>
        <vt:i4>5</vt:i4>
      </vt:variant>
      <vt:variant>
        <vt:lpwstr/>
      </vt:variant>
      <vt:variant>
        <vt:lpwstr>_Toc201147114</vt:lpwstr>
      </vt:variant>
      <vt:variant>
        <vt:i4>1048630</vt:i4>
      </vt:variant>
      <vt:variant>
        <vt:i4>6707</vt:i4>
      </vt:variant>
      <vt:variant>
        <vt:i4>0</vt:i4>
      </vt:variant>
      <vt:variant>
        <vt:i4>5</vt:i4>
      </vt:variant>
      <vt:variant>
        <vt:lpwstr/>
      </vt:variant>
      <vt:variant>
        <vt:lpwstr>_Toc201147113</vt:lpwstr>
      </vt:variant>
      <vt:variant>
        <vt:i4>1048630</vt:i4>
      </vt:variant>
      <vt:variant>
        <vt:i4>6701</vt:i4>
      </vt:variant>
      <vt:variant>
        <vt:i4>0</vt:i4>
      </vt:variant>
      <vt:variant>
        <vt:i4>5</vt:i4>
      </vt:variant>
      <vt:variant>
        <vt:lpwstr/>
      </vt:variant>
      <vt:variant>
        <vt:lpwstr>_Toc201147112</vt:lpwstr>
      </vt:variant>
      <vt:variant>
        <vt:i4>1048630</vt:i4>
      </vt:variant>
      <vt:variant>
        <vt:i4>6695</vt:i4>
      </vt:variant>
      <vt:variant>
        <vt:i4>0</vt:i4>
      </vt:variant>
      <vt:variant>
        <vt:i4>5</vt:i4>
      </vt:variant>
      <vt:variant>
        <vt:lpwstr/>
      </vt:variant>
      <vt:variant>
        <vt:lpwstr>_Toc201147111</vt:lpwstr>
      </vt:variant>
      <vt:variant>
        <vt:i4>1048630</vt:i4>
      </vt:variant>
      <vt:variant>
        <vt:i4>6689</vt:i4>
      </vt:variant>
      <vt:variant>
        <vt:i4>0</vt:i4>
      </vt:variant>
      <vt:variant>
        <vt:i4>5</vt:i4>
      </vt:variant>
      <vt:variant>
        <vt:lpwstr/>
      </vt:variant>
      <vt:variant>
        <vt:lpwstr>_Toc201147110</vt:lpwstr>
      </vt:variant>
      <vt:variant>
        <vt:i4>1114166</vt:i4>
      </vt:variant>
      <vt:variant>
        <vt:i4>6683</vt:i4>
      </vt:variant>
      <vt:variant>
        <vt:i4>0</vt:i4>
      </vt:variant>
      <vt:variant>
        <vt:i4>5</vt:i4>
      </vt:variant>
      <vt:variant>
        <vt:lpwstr/>
      </vt:variant>
      <vt:variant>
        <vt:lpwstr>_Toc201147109</vt:lpwstr>
      </vt:variant>
      <vt:variant>
        <vt:i4>1114166</vt:i4>
      </vt:variant>
      <vt:variant>
        <vt:i4>6677</vt:i4>
      </vt:variant>
      <vt:variant>
        <vt:i4>0</vt:i4>
      </vt:variant>
      <vt:variant>
        <vt:i4>5</vt:i4>
      </vt:variant>
      <vt:variant>
        <vt:lpwstr/>
      </vt:variant>
      <vt:variant>
        <vt:lpwstr>_Toc201147108</vt:lpwstr>
      </vt:variant>
      <vt:variant>
        <vt:i4>1114166</vt:i4>
      </vt:variant>
      <vt:variant>
        <vt:i4>6671</vt:i4>
      </vt:variant>
      <vt:variant>
        <vt:i4>0</vt:i4>
      </vt:variant>
      <vt:variant>
        <vt:i4>5</vt:i4>
      </vt:variant>
      <vt:variant>
        <vt:lpwstr/>
      </vt:variant>
      <vt:variant>
        <vt:lpwstr>_Toc201147107</vt:lpwstr>
      </vt:variant>
      <vt:variant>
        <vt:i4>1114166</vt:i4>
      </vt:variant>
      <vt:variant>
        <vt:i4>6665</vt:i4>
      </vt:variant>
      <vt:variant>
        <vt:i4>0</vt:i4>
      </vt:variant>
      <vt:variant>
        <vt:i4>5</vt:i4>
      </vt:variant>
      <vt:variant>
        <vt:lpwstr/>
      </vt:variant>
      <vt:variant>
        <vt:lpwstr>_Toc201147106</vt:lpwstr>
      </vt:variant>
      <vt:variant>
        <vt:i4>1114166</vt:i4>
      </vt:variant>
      <vt:variant>
        <vt:i4>6659</vt:i4>
      </vt:variant>
      <vt:variant>
        <vt:i4>0</vt:i4>
      </vt:variant>
      <vt:variant>
        <vt:i4>5</vt:i4>
      </vt:variant>
      <vt:variant>
        <vt:lpwstr/>
      </vt:variant>
      <vt:variant>
        <vt:lpwstr>_Toc201147105</vt:lpwstr>
      </vt:variant>
      <vt:variant>
        <vt:i4>1114166</vt:i4>
      </vt:variant>
      <vt:variant>
        <vt:i4>6653</vt:i4>
      </vt:variant>
      <vt:variant>
        <vt:i4>0</vt:i4>
      </vt:variant>
      <vt:variant>
        <vt:i4>5</vt:i4>
      </vt:variant>
      <vt:variant>
        <vt:lpwstr/>
      </vt:variant>
      <vt:variant>
        <vt:lpwstr>_Toc201147104</vt:lpwstr>
      </vt:variant>
      <vt:variant>
        <vt:i4>1114166</vt:i4>
      </vt:variant>
      <vt:variant>
        <vt:i4>6647</vt:i4>
      </vt:variant>
      <vt:variant>
        <vt:i4>0</vt:i4>
      </vt:variant>
      <vt:variant>
        <vt:i4>5</vt:i4>
      </vt:variant>
      <vt:variant>
        <vt:lpwstr/>
      </vt:variant>
      <vt:variant>
        <vt:lpwstr>_Toc201147103</vt:lpwstr>
      </vt:variant>
      <vt:variant>
        <vt:i4>1114166</vt:i4>
      </vt:variant>
      <vt:variant>
        <vt:i4>6641</vt:i4>
      </vt:variant>
      <vt:variant>
        <vt:i4>0</vt:i4>
      </vt:variant>
      <vt:variant>
        <vt:i4>5</vt:i4>
      </vt:variant>
      <vt:variant>
        <vt:lpwstr/>
      </vt:variant>
      <vt:variant>
        <vt:lpwstr>_Toc201147102</vt:lpwstr>
      </vt:variant>
      <vt:variant>
        <vt:i4>1114166</vt:i4>
      </vt:variant>
      <vt:variant>
        <vt:i4>6635</vt:i4>
      </vt:variant>
      <vt:variant>
        <vt:i4>0</vt:i4>
      </vt:variant>
      <vt:variant>
        <vt:i4>5</vt:i4>
      </vt:variant>
      <vt:variant>
        <vt:lpwstr/>
      </vt:variant>
      <vt:variant>
        <vt:lpwstr>_Toc201147101</vt:lpwstr>
      </vt:variant>
      <vt:variant>
        <vt:i4>1114166</vt:i4>
      </vt:variant>
      <vt:variant>
        <vt:i4>6629</vt:i4>
      </vt:variant>
      <vt:variant>
        <vt:i4>0</vt:i4>
      </vt:variant>
      <vt:variant>
        <vt:i4>5</vt:i4>
      </vt:variant>
      <vt:variant>
        <vt:lpwstr/>
      </vt:variant>
      <vt:variant>
        <vt:lpwstr>_Toc201147100</vt:lpwstr>
      </vt:variant>
      <vt:variant>
        <vt:i4>1572919</vt:i4>
      </vt:variant>
      <vt:variant>
        <vt:i4>6623</vt:i4>
      </vt:variant>
      <vt:variant>
        <vt:i4>0</vt:i4>
      </vt:variant>
      <vt:variant>
        <vt:i4>5</vt:i4>
      </vt:variant>
      <vt:variant>
        <vt:lpwstr/>
      </vt:variant>
      <vt:variant>
        <vt:lpwstr>_Toc201147099</vt:lpwstr>
      </vt:variant>
      <vt:variant>
        <vt:i4>1572919</vt:i4>
      </vt:variant>
      <vt:variant>
        <vt:i4>6617</vt:i4>
      </vt:variant>
      <vt:variant>
        <vt:i4>0</vt:i4>
      </vt:variant>
      <vt:variant>
        <vt:i4>5</vt:i4>
      </vt:variant>
      <vt:variant>
        <vt:lpwstr/>
      </vt:variant>
      <vt:variant>
        <vt:lpwstr>_Toc201147098</vt:lpwstr>
      </vt:variant>
      <vt:variant>
        <vt:i4>1572919</vt:i4>
      </vt:variant>
      <vt:variant>
        <vt:i4>6611</vt:i4>
      </vt:variant>
      <vt:variant>
        <vt:i4>0</vt:i4>
      </vt:variant>
      <vt:variant>
        <vt:i4>5</vt:i4>
      </vt:variant>
      <vt:variant>
        <vt:lpwstr/>
      </vt:variant>
      <vt:variant>
        <vt:lpwstr>_Toc201147097</vt:lpwstr>
      </vt:variant>
      <vt:variant>
        <vt:i4>1572919</vt:i4>
      </vt:variant>
      <vt:variant>
        <vt:i4>6605</vt:i4>
      </vt:variant>
      <vt:variant>
        <vt:i4>0</vt:i4>
      </vt:variant>
      <vt:variant>
        <vt:i4>5</vt:i4>
      </vt:variant>
      <vt:variant>
        <vt:lpwstr/>
      </vt:variant>
      <vt:variant>
        <vt:lpwstr>_Toc201147096</vt:lpwstr>
      </vt:variant>
      <vt:variant>
        <vt:i4>1572919</vt:i4>
      </vt:variant>
      <vt:variant>
        <vt:i4>6599</vt:i4>
      </vt:variant>
      <vt:variant>
        <vt:i4>0</vt:i4>
      </vt:variant>
      <vt:variant>
        <vt:i4>5</vt:i4>
      </vt:variant>
      <vt:variant>
        <vt:lpwstr/>
      </vt:variant>
      <vt:variant>
        <vt:lpwstr>_Toc201147095</vt:lpwstr>
      </vt:variant>
      <vt:variant>
        <vt:i4>1572919</vt:i4>
      </vt:variant>
      <vt:variant>
        <vt:i4>6593</vt:i4>
      </vt:variant>
      <vt:variant>
        <vt:i4>0</vt:i4>
      </vt:variant>
      <vt:variant>
        <vt:i4>5</vt:i4>
      </vt:variant>
      <vt:variant>
        <vt:lpwstr/>
      </vt:variant>
      <vt:variant>
        <vt:lpwstr>_Toc201147094</vt:lpwstr>
      </vt:variant>
      <vt:variant>
        <vt:i4>1572919</vt:i4>
      </vt:variant>
      <vt:variant>
        <vt:i4>6587</vt:i4>
      </vt:variant>
      <vt:variant>
        <vt:i4>0</vt:i4>
      </vt:variant>
      <vt:variant>
        <vt:i4>5</vt:i4>
      </vt:variant>
      <vt:variant>
        <vt:lpwstr/>
      </vt:variant>
      <vt:variant>
        <vt:lpwstr>_Toc201147093</vt:lpwstr>
      </vt:variant>
      <vt:variant>
        <vt:i4>1572919</vt:i4>
      </vt:variant>
      <vt:variant>
        <vt:i4>6581</vt:i4>
      </vt:variant>
      <vt:variant>
        <vt:i4>0</vt:i4>
      </vt:variant>
      <vt:variant>
        <vt:i4>5</vt:i4>
      </vt:variant>
      <vt:variant>
        <vt:lpwstr/>
      </vt:variant>
      <vt:variant>
        <vt:lpwstr>_Toc201147092</vt:lpwstr>
      </vt:variant>
      <vt:variant>
        <vt:i4>1572919</vt:i4>
      </vt:variant>
      <vt:variant>
        <vt:i4>6575</vt:i4>
      </vt:variant>
      <vt:variant>
        <vt:i4>0</vt:i4>
      </vt:variant>
      <vt:variant>
        <vt:i4>5</vt:i4>
      </vt:variant>
      <vt:variant>
        <vt:lpwstr/>
      </vt:variant>
      <vt:variant>
        <vt:lpwstr>_Toc201147091</vt:lpwstr>
      </vt:variant>
      <vt:variant>
        <vt:i4>1572919</vt:i4>
      </vt:variant>
      <vt:variant>
        <vt:i4>6569</vt:i4>
      </vt:variant>
      <vt:variant>
        <vt:i4>0</vt:i4>
      </vt:variant>
      <vt:variant>
        <vt:i4>5</vt:i4>
      </vt:variant>
      <vt:variant>
        <vt:lpwstr/>
      </vt:variant>
      <vt:variant>
        <vt:lpwstr>_Toc201147090</vt:lpwstr>
      </vt:variant>
      <vt:variant>
        <vt:i4>1638455</vt:i4>
      </vt:variant>
      <vt:variant>
        <vt:i4>6563</vt:i4>
      </vt:variant>
      <vt:variant>
        <vt:i4>0</vt:i4>
      </vt:variant>
      <vt:variant>
        <vt:i4>5</vt:i4>
      </vt:variant>
      <vt:variant>
        <vt:lpwstr/>
      </vt:variant>
      <vt:variant>
        <vt:lpwstr>_Toc201147089</vt:lpwstr>
      </vt:variant>
      <vt:variant>
        <vt:i4>1638455</vt:i4>
      </vt:variant>
      <vt:variant>
        <vt:i4>6557</vt:i4>
      </vt:variant>
      <vt:variant>
        <vt:i4>0</vt:i4>
      </vt:variant>
      <vt:variant>
        <vt:i4>5</vt:i4>
      </vt:variant>
      <vt:variant>
        <vt:lpwstr/>
      </vt:variant>
      <vt:variant>
        <vt:lpwstr>_Toc201147088</vt:lpwstr>
      </vt:variant>
      <vt:variant>
        <vt:i4>1638455</vt:i4>
      </vt:variant>
      <vt:variant>
        <vt:i4>6551</vt:i4>
      </vt:variant>
      <vt:variant>
        <vt:i4>0</vt:i4>
      </vt:variant>
      <vt:variant>
        <vt:i4>5</vt:i4>
      </vt:variant>
      <vt:variant>
        <vt:lpwstr/>
      </vt:variant>
      <vt:variant>
        <vt:lpwstr>_Toc201147087</vt:lpwstr>
      </vt:variant>
      <vt:variant>
        <vt:i4>1638455</vt:i4>
      </vt:variant>
      <vt:variant>
        <vt:i4>6545</vt:i4>
      </vt:variant>
      <vt:variant>
        <vt:i4>0</vt:i4>
      </vt:variant>
      <vt:variant>
        <vt:i4>5</vt:i4>
      </vt:variant>
      <vt:variant>
        <vt:lpwstr/>
      </vt:variant>
      <vt:variant>
        <vt:lpwstr>_Toc201147086</vt:lpwstr>
      </vt:variant>
      <vt:variant>
        <vt:i4>1638455</vt:i4>
      </vt:variant>
      <vt:variant>
        <vt:i4>6539</vt:i4>
      </vt:variant>
      <vt:variant>
        <vt:i4>0</vt:i4>
      </vt:variant>
      <vt:variant>
        <vt:i4>5</vt:i4>
      </vt:variant>
      <vt:variant>
        <vt:lpwstr/>
      </vt:variant>
      <vt:variant>
        <vt:lpwstr>_Toc201147085</vt:lpwstr>
      </vt:variant>
      <vt:variant>
        <vt:i4>1638455</vt:i4>
      </vt:variant>
      <vt:variant>
        <vt:i4>6533</vt:i4>
      </vt:variant>
      <vt:variant>
        <vt:i4>0</vt:i4>
      </vt:variant>
      <vt:variant>
        <vt:i4>5</vt:i4>
      </vt:variant>
      <vt:variant>
        <vt:lpwstr/>
      </vt:variant>
      <vt:variant>
        <vt:lpwstr>_Toc201147084</vt:lpwstr>
      </vt:variant>
      <vt:variant>
        <vt:i4>1638455</vt:i4>
      </vt:variant>
      <vt:variant>
        <vt:i4>6527</vt:i4>
      </vt:variant>
      <vt:variant>
        <vt:i4>0</vt:i4>
      </vt:variant>
      <vt:variant>
        <vt:i4>5</vt:i4>
      </vt:variant>
      <vt:variant>
        <vt:lpwstr/>
      </vt:variant>
      <vt:variant>
        <vt:lpwstr>_Toc201147083</vt:lpwstr>
      </vt:variant>
      <vt:variant>
        <vt:i4>1638455</vt:i4>
      </vt:variant>
      <vt:variant>
        <vt:i4>6521</vt:i4>
      </vt:variant>
      <vt:variant>
        <vt:i4>0</vt:i4>
      </vt:variant>
      <vt:variant>
        <vt:i4>5</vt:i4>
      </vt:variant>
      <vt:variant>
        <vt:lpwstr/>
      </vt:variant>
      <vt:variant>
        <vt:lpwstr>_Toc201147082</vt:lpwstr>
      </vt:variant>
      <vt:variant>
        <vt:i4>1638455</vt:i4>
      </vt:variant>
      <vt:variant>
        <vt:i4>6515</vt:i4>
      </vt:variant>
      <vt:variant>
        <vt:i4>0</vt:i4>
      </vt:variant>
      <vt:variant>
        <vt:i4>5</vt:i4>
      </vt:variant>
      <vt:variant>
        <vt:lpwstr/>
      </vt:variant>
      <vt:variant>
        <vt:lpwstr>_Toc201147081</vt:lpwstr>
      </vt:variant>
      <vt:variant>
        <vt:i4>1638455</vt:i4>
      </vt:variant>
      <vt:variant>
        <vt:i4>6509</vt:i4>
      </vt:variant>
      <vt:variant>
        <vt:i4>0</vt:i4>
      </vt:variant>
      <vt:variant>
        <vt:i4>5</vt:i4>
      </vt:variant>
      <vt:variant>
        <vt:lpwstr/>
      </vt:variant>
      <vt:variant>
        <vt:lpwstr>_Toc201147080</vt:lpwstr>
      </vt:variant>
      <vt:variant>
        <vt:i4>1441847</vt:i4>
      </vt:variant>
      <vt:variant>
        <vt:i4>6503</vt:i4>
      </vt:variant>
      <vt:variant>
        <vt:i4>0</vt:i4>
      </vt:variant>
      <vt:variant>
        <vt:i4>5</vt:i4>
      </vt:variant>
      <vt:variant>
        <vt:lpwstr/>
      </vt:variant>
      <vt:variant>
        <vt:lpwstr>_Toc201147079</vt:lpwstr>
      </vt:variant>
      <vt:variant>
        <vt:i4>1441847</vt:i4>
      </vt:variant>
      <vt:variant>
        <vt:i4>6497</vt:i4>
      </vt:variant>
      <vt:variant>
        <vt:i4>0</vt:i4>
      </vt:variant>
      <vt:variant>
        <vt:i4>5</vt:i4>
      </vt:variant>
      <vt:variant>
        <vt:lpwstr/>
      </vt:variant>
      <vt:variant>
        <vt:lpwstr>_Toc201147078</vt:lpwstr>
      </vt:variant>
      <vt:variant>
        <vt:i4>1441847</vt:i4>
      </vt:variant>
      <vt:variant>
        <vt:i4>6491</vt:i4>
      </vt:variant>
      <vt:variant>
        <vt:i4>0</vt:i4>
      </vt:variant>
      <vt:variant>
        <vt:i4>5</vt:i4>
      </vt:variant>
      <vt:variant>
        <vt:lpwstr/>
      </vt:variant>
      <vt:variant>
        <vt:lpwstr>_Toc201147077</vt:lpwstr>
      </vt:variant>
      <vt:variant>
        <vt:i4>1441847</vt:i4>
      </vt:variant>
      <vt:variant>
        <vt:i4>6488</vt:i4>
      </vt:variant>
      <vt:variant>
        <vt:i4>0</vt:i4>
      </vt:variant>
      <vt:variant>
        <vt:i4>5</vt:i4>
      </vt:variant>
      <vt:variant>
        <vt:lpwstr/>
      </vt:variant>
      <vt:variant>
        <vt:lpwstr>_Toc201147076</vt:lpwstr>
      </vt:variant>
      <vt:variant>
        <vt:i4>1441847</vt:i4>
      </vt:variant>
      <vt:variant>
        <vt:i4>6482</vt:i4>
      </vt:variant>
      <vt:variant>
        <vt:i4>0</vt:i4>
      </vt:variant>
      <vt:variant>
        <vt:i4>5</vt:i4>
      </vt:variant>
      <vt:variant>
        <vt:lpwstr/>
      </vt:variant>
      <vt:variant>
        <vt:lpwstr>_Toc201147075</vt:lpwstr>
      </vt:variant>
      <vt:variant>
        <vt:i4>1441847</vt:i4>
      </vt:variant>
      <vt:variant>
        <vt:i4>6476</vt:i4>
      </vt:variant>
      <vt:variant>
        <vt:i4>0</vt:i4>
      </vt:variant>
      <vt:variant>
        <vt:i4>5</vt:i4>
      </vt:variant>
      <vt:variant>
        <vt:lpwstr/>
      </vt:variant>
      <vt:variant>
        <vt:lpwstr>_Toc201147074</vt:lpwstr>
      </vt:variant>
      <vt:variant>
        <vt:i4>1441847</vt:i4>
      </vt:variant>
      <vt:variant>
        <vt:i4>6470</vt:i4>
      </vt:variant>
      <vt:variant>
        <vt:i4>0</vt:i4>
      </vt:variant>
      <vt:variant>
        <vt:i4>5</vt:i4>
      </vt:variant>
      <vt:variant>
        <vt:lpwstr/>
      </vt:variant>
      <vt:variant>
        <vt:lpwstr>_Toc201147073</vt:lpwstr>
      </vt:variant>
      <vt:variant>
        <vt:i4>1441847</vt:i4>
      </vt:variant>
      <vt:variant>
        <vt:i4>6464</vt:i4>
      </vt:variant>
      <vt:variant>
        <vt:i4>0</vt:i4>
      </vt:variant>
      <vt:variant>
        <vt:i4>5</vt:i4>
      </vt:variant>
      <vt:variant>
        <vt:lpwstr/>
      </vt:variant>
      <vt:variant>
        <vt:lpwstr>_Toc201147072</vt:lpwstr>
      </vt:variant>
      <vt:variant>
        <vt:i4>1441847</vt:i4>
      </vt:variant>
      <vt:variant>
        <vt:i4>6458</vt:i4>
      </vt:variant>
      <vt:variant>
        <vt:i4>0</vt:i4>
      </vt:variant>
      <vt:variant>
        <vt:i4>5</vt:i4>
      </vt:variant>
      <vt:variant>
        <vt:lpwstr/>
      </vt:variant>
      <vt:variant>
        <vt:lpwstr>_Toc201147071</vt:lpwstr>
      </vt:variant>
      <vt:variant>
        <vt:i4>1441847</vt:i4>
      </vt:variant>
      <vt:variant>
        <vt:i4>6452</vt:i4>
      </vt:variant>
      <vt:variant>
        <vt:i4>0</vt:i4>
      </vt:variant>
      <vt:variant>
        <vt:i4>5</vt:i4>
      </vt:variant>
      <vt:variant>
        <vt:lpwstr/>
      </vt:variant>
      <vt:variant>
        <vt:lpwstr>_Toc201147070</vt:lpwstr>
      </vt:variant>
      <vt:variant>
        <vt:i4>1507383</vt:i4>
      </vt:variant>
      <vt:variant>
        <vt:i4>6446</vt:i4>
      </vt:variant>
      <vt:variant>
        <vt:i4>0</vt:i4>
      </vt:variant>
      <vt:variant>
        <vt:i4>5</vt:i4>
      </vt:variant>
      <vt:variant>
        <vt:lpwstr/>
      </vt:variant>
      <vt:variant>
        <vt:lpwstr>_Toc201147069</vt:lpwstr>
      </vt:variant>
      <vt:variant>
        <vt:i4>1507383</vt:i4>
      </vt:variant>
      <vt:variant>
        <vt:i4>6440</vt:i4>
      </vt:variant>
      <vt:variant>
        <vt:i4>0</vt:i4>
      </vt:variant>
      <vt:variant>
        <vt:i4>5</vt:i4>
      </vt:variant>
      <vt:variant>
        <vt:lpwstr/>
      </vt:variant>
      <vt:variant>
        <vt:lpwstr>_Toc201147068</vt:lpwstr>
      </vt:variant>
      <vt:variant>
        <vt:i4>1507383</vt:i4>
      </vt:variant>
      <vt:variant>
        <vt:i4>6434</vt:i4>
      </vt:variant>
      <vt:variant>
        <vt:i4>0</vt:i4>
      </vt:variant>
      <vt:variant>
        <vt:i4>5</vt:i4>
      </vt:variant>
      <vt:variant>
        <vt:lpwstr/>
      </vt:variant>
      <vt:variant>
        <vt:lpwstr>_Toc201147067</vt:lpwstr>
      </vt:variant>
      <vt:variant>
        <vt:i4>1507383</vt:i4>
      </vt:variant>
      <vt:variant>
        <vt:i4>6428</vt:i4>
      </vt:variant>
      <vt:variant>
        <vt:i4>0</vt:i4>
      </vt:variant>
      <vt:variant>
        <vt:i4>5</vt:i4>
      </vt:variant>
      <vt:variant>
        <vt:lpwstr/>
      </vt:variant>
      <vt:variant>
        <vt:lpwstr>_Toc201147066</vt:lpwstr>
      </vt:variant>
      <vt:variant>
        <vt:i4>1507383</vt:i4>
      </vt:variant>
      <vt:variant>
        <vt:i4>6422</vt:i4>
      </vt:variant>
      <vt:variant>
        <vt:i4>0</vt:i4>
      </vt:variant>
      <vt:variant>
        <vt:i4>5</vt:i4>
      </vt:variant>
      <vt:variant>
        <vt:lpwstr/>
      </vt:variant>
      <vt:variant>
        <vt:lpwstr>_Toc201147065</vt:lpwstr>
      </vt:variant>
      <vt:variant>
        <vt:i4>1507383</vt:i4>
      </vt:variant>
      <vt:variant>
        <vt:i4>6416</vt:i4>
      </vt:variant>
      <vt:variant>
        <vt:i4>0</vt:i4>
      </vt:variant>
      <vt:variant>
        <vt:i4>5</vt:i4>
      </vt:variant>
      <vt:variant>
        <vt:lpwstr/>
      </vt:variant>
      <vt:variant>
        <vt:lpwstr>_Toc201147064</vt:lpwstr>
      </vt:variant>
      <vt:variant>
        <vt:i4>1507383</vt:i4>
      </vt:variant>
      <vt:variant>
        <vt:i4>6410</vt:i4>
      </vt:variant>
      <vt:variant>
        <vt:i4>0</vt:i4>
      </vt:variant>
      <vt:variant>
        <vt:i4>5</vt:i4>
      </vt:variant>
      <vt:variant>
        <vt:lpwstr/>
      </vt:variant>
      <vt:variant>
        <vt:lpwstr>_Toc201147063</vt:lpwstr>
      </vt:variant>
      <vt:variant>
        <vt:i4>1507383</vt:i4>
      </vt:variant>
      <vt:variant>
        <vt:i4>6407</vt:i4>
      </vt:variant>
      <vt:variant>
        <vt:i4>0</vt:i4>
      </vt:variant>
      <vt:variant>
        <vt:i4>5</vt:i4>
      </vt:variant>
      <vt:variant>
        <vt:lpwstr/>
      </vt:variant>
      <vt:variant>
        <vt:lpwstr>_Toc201147062</vt:lpwstr>
      </vt:variant>
      <vt:variant>
        <vt:i4>1507383</vt:i4>
      </vt:variant>
      <vt:variant>
        <vt:i4>6401</vt:i4>
      </vt:variant>
      <vt:variant>
        <vt:i4>0</vt:i4>
      </vt:variant>
      <vt:variant>
        <vt:i4>5</vt:i4>
      </vt:variant>
      <vt:variant>
        <vt:lpwstr/>
      </vt:variant>
      <vt:variant>
        <vt:lpwstr>_Toc201147061</vt:lpwstr>
      </vt:variant>
      <vt:variant>
        <vt:i4>1507383</vt:i4>
      </vt:variant>
      <vt:variant>
        <vt:i4>6395</vt:i4>
      </vt:variant>
      <vt:variant>
        <vt:i4>0</vt:i4>
      </vt:variant>
      <vt:variant>
        <vt:i4>5</vt:i4>
      </vt:variant>
      <vt:variant>
        <vt:lpwstr/>
      </vt:variant>
      <vt:variant>
        <vt:lpwstr>_Toc201147060</vt:lpwstr>
      </vt:variant>
      <vt:variant>
        <vt:i4>1310775</vt:i4>
      </vt:variant>
      <vt:variant>
        <vt:i4>6389</vt:i4>
      </vt:variant>
      <vt:variant>
        <vt:i4>0</vt:i4>
      </vt:variant>
      <vt:variant>
        <vt:i4>5</vt:i4>
      </vt:variant>
      <vt:variant>
        <vt:lpwstr/>
      </vt:variant>
      <vt:variant>
        <vt:lpwstr>_Toc201147059</vt:lpwstr>
      </vt:variant>
      <vt:variant>
        <vt:i4>1310775</vt:i4>
      </vt:variant>
      <vt:variant>
        <vt:i4>6383</vt:i4>
      </vt:variant>
      <vt:variant>
        <vt:i4>0</vt:i4>
      </vt:variant>
      <vt:variant>
        <vt:i4>5</vt:i4>
      </vt:variant>
      <vt:variant>
        <vt:lpwstr/>
      </vt:variant>
      <vt:variant>
        <vt:lpwstr>_Toc201147058</vt:lpwstr>
      </vt:variant>
      <vt:variant>
        <vt:i4>1310775</vt:i4>
      </vt:variant>
      <vt:variant>
        <vt:i4>6377</vt:i4>
      </vt:variant>
      <vt:variant>
        <vt:i4>0</vt:i4>
      </vt:variant>
      <vt:variant>
        <vt:i4>5</vt:i4>
      </vt:variant>
      <vt:variant>
        <vt:lpwstr/>
      </vt:variant>
      <vt:variant>
        <vt:lpwstr>_Toc201147057</vt:lpwstr>
      </vt:variant>
      <vt:variant>
        <vt:i4>1310775</vt:i4>
      </vt:variant>
      <vt:variant>
        <vt:i4>6371</vt:i4>
      </vt:variant>
      <vt:variant>
        <vt:i4>0</vt:i4>
      </vt:variant>
      <vt:variant>
        <vt:i4>5</vt:i4>
      </vt:variant>
      <vt:variant>
        <vt:lpwstr/>
      </vt:variant>
      <vt:variant>
        <vt:lpwstr>_Toc201147056</vt:lpwstr>
      </vt:variant>
      <vt:variant>
        <vt:i4>1310775</vt:i4>
      </vt:variant>
      <vt:variant>
        <vt:i4>6365</vt:i4>
      </vt:variant>
      <vt:variant>
        <vt:i4>0</vt:i4>
      </vt:variant>
      <vt:variant>
        <vt:i4>5</vt:i4>
      </vt:variant>
      <vt:variant>
        <vt:lpwstr/>
      </vt:variant>
      <vt:variant>
        <vt:lpwstr>_Toc201147055</vt:lpwstr>
      </vt:variant>
      <vt:variant>
        <vt:i4>1310775</vt:i4>
      </vt:variant>
      <vt:variant>
        <vt:i4>6359</vt:i4>
      </vt:variant>
      <vt:variant>
        <vt:i4>0</vt:i4>
      </vt:variant>
      <vt:variant>
        <vt:i4>5</vt:i4>
      </vt:variant>
      <vt:variant>
        <vt:lpwstr/>
      </vt:variant>
      <vt:variant>
        <vt:lpwstr>_Toc201147054</vt:lpwstr>
      </vt:variant>
      <vt:variant>
        <vt:i4>1310775</vt:i4>
      </vt:variant>
      <vt:variant>
        <vt:i4>6353</vt:i4>
      </vt:variant>
      <vt:variant>
        <vt:i4>0</vt:i4>
      </vt:variant>
      <vt:variant>
        <vt:i4>5</vt:i4>
      </vt:variant>
      <vt:variant>
        <vt:lpwstr/>
      </vt:variant>
      <vt:variant>
        <vt:lpwstr>_Toc201147053</vt:lpwstr>
      </vt:variant>
      <vt:variant>
        <vt:i4>1310775</vt:i4>
      </vt:variant>
      <vt:variant>
        <vt:i4>6347</vt:i4>
      </vt:variant>
      <vt:variant>
        <vt:i4>0</vt:i4>
      </vt:variant>
      <vt:variant>
        <vt:i4>5</vt:i4>
      </vt:variant>
      <vt:variant>
        <vt:lpwstr/>
      </vt:variant>
      <vt:variant>
        <vt:lpwstr>_Toc201147052</vt:lpwstr>
      </vt:variant>
      <vt:variant>
        <vt:i4>1310775</vt:i4>
      </vt:variant>
      <vt:variant>
        <vt:i4>6341</vt:i4>
      </vt:variant>
      <vt:variant>
        <vt:i4>0</vt:i4>
      </vt:variant>
      <vt:variant>
        <vt:i4>5</vt:i4>
      </vt:variant>
      <vt:variant>
        <vt:lpwstr/>
      </vt:variant>
      <vt:variant>
        <vt:lpwstr>_Toc201147051</vt:lpwstr>
      </vt:variant>
      <vt:variant>
        <vt:i4>1310775</vt:i4>
      </vt:variant>
      <vt:variant>
        <vt:i4>6335</vt:i4>
      </vt:variant>
      <vt:variant>
        <vt:i4>0</vt:i4>
      </vt:variant>
      <vt:variant>
        <vt:i4>5</vt:i4>
      </vt:variant>
      <vt:variant>
        <vt:lpwstr/>
      </vt:variant>
      <vt:variant>
        <vt:lpwstr>_Toc201147050</vt:lpwstr>
      </vt:variant>
      <vt:variant>
        <vt:i4>1376311</vt:i4>
      </vt:variant>
      <vt:variant>
        <vt:i4>6329</vt:i4>
      </vt:variant>
      <vt:variant>
        <vt:i4>0</vt:i4>
      </vt:variant>
      <vt:variant>
        <vt:i4>5</vt:i4>
      </vt:variant>
      <vt:variant>
        <vt:lpwstr/>
      </vt:variant>
      <vt:variant>
        <vt:lpwstr>_Toc201147049</vt:lpwstr>
      </vt:variant>
      <vt:variant>
        <vt:i4>1376311</vt:i4>
      </vt:variant>
      <vt:variant>
        <vt:i4>6323</vt:i4>
      </vt:variant>
      <vt:variant>
        <vt:i4>0</vt:i4>
      </vt:variant>
      <vt:variant>
        <vt:i4>5</vt:i4>
      </vt:variant>
      <vt:variant>
        <vt:lpwstr/>
      </vt:variant>
      <vt:variant>
        <vt:lpwstr>_Toc201147048</vt:lpwstr>
      </vt:variant>
      <vt:variant>
        <vt:i4>1376311</vt:i4>
      </vt:variant>
      <vt:variant>
        <vt:i4>6317</vt:i4>
      </vt:variant>
      <vt:variant>
        <vt:i4>0</vt:i4>
      </vt:variant>
      <vt:variant>
        <vt:i4>5</vt:i4>
      </vt:variant>
      <vt:variant>
        <vt:lpwstr/>
      </vt:variant>
      <vt:variant>
        <vt:lpwstr>_Toc201147047</vt:lpwstr>
      </vt:variant>
      <vt:variant>
        <vt:i4>1376311</vt:i4>
      </vt:variant>
      <vt:variant>
        <vt:i4>6311</vt:i4>
      </vt:variant>
      <vt:variant>
        <vt:i4>0</vt:i4>
      </vt:variant>
      <vt:variant>
        <vt:i4>5</vt:i4>
      </vt:variant>
      <vt:variant>
        <vt:lpwstr/>
      </vt:variant>
      <vt:variant>
        <vt:lpwstr>_Toc201147046</vt:lpwstr>
      </vt:variant>
      <vt:variant>
        <vt:i4>1376311</vt:i4>
      </vt:variant>
      <vt:variant>
        <vt:i4>6305</vt:i4>
      </vt:variant>
      <vt:variant>
        <vt:i4>0</vt:i4>
      </vt:variant>
      <vt:variant>
        <vt:i4>5</vt:i4>
      </vt:variant>
      <vt:variant>
        <vt:lpwstr/>
      </vt:variant>
      <vt:variant>
        <vt:lpwstr>_Toc201147045</vt:lpwstr>
      </vt:variant>
      <vt:variant>
        <vt:i4>1376311</vt:i4>
      </vt:variant>
      <vt:variant>
        <vt:i4>6299</vt:i4>
      </vt:variant>
      <vt:variant>
        <vt:i4>0</vt:i4>
      </vt:variant>
      <vt:variant>
        <vt:i4>5</vt:i4>
      </vt:variant>
      <vt:variant>
        <vt:lpwstr/>
      </vt:variant>
      <vt:variant>
        <vt:lpwstr>_Toc201147044</vt:lpwstr>
      </vt:variant>
      <vt:variant>
        <vt:i4>1376311</vt:i4>
      </vt:variant>
      <vt:variant>
        <vt:i4>6293</vt:i4>
      </vt:variant>
      <vt:variant>
        <vt:i4>0</vt:i4>
      </vt:variant>
      <vt:variant>
        <vt:i4>5</vt:i4>
      </vt:variant>
      <vt:variant>
        <vt:lpwstr/>
      </vt:variant>
      <vt:variant>
        <vt:lpwstr>_Toc201147043</vt:lpwstr>
      </vt:variant>
      <vt:variant>
        <vt:i4>1376311</vt:i4>
      </vt:variant>
      <vt:variant>
        <vt:i4>6287</vt:i4>
      </vt:variant>
      <vt:variant>
        <vt:i4>0</vt:i4>
      </vt:variant>
      <vt:variant>
        <vt:i4>5</vt:i4>
      </vt:variant>
      <vt:variant>
        <vt:lpwstr/>
      </vt:variant>
      <vt:variant>
        <vt:lpwstr>_Toc201147042</vt:lpwstr>
      </vt:variant>
      <vt:variant>
        <vt:i4>1376311</vt:i4>
      </vt:variant>
      <vt:variant>
        <vt:i4>6281</vt:i4>
      </vt:variant>
      <vt:variant>
        <vt:i4>0</vt:i4>
      </vt:variant>
      <vt:variant>
        <vt:i4>5</vt:i4>
      </vt:variant>
      <vt:variant>
        <vt:lpwstr/>
      </vt:variant>
      <vt:variant>
        <vt:lpwstr>_Toc201147041</vt:lpwstr>
      </vt:variant>
      <vt:variant>
        <vt:i4>1376311</vt:i4>
      </vt:variant>
      <vt:variant>
        <vt:i4>6275</vt:i4>
      </vt:variant>
      <vt:variant>
        <vt:i4>0</vt:i4>
      </vt:variant>
      <vt:variant>
        <vt:i4>5</vt:i4>
      </vt:variant>
      <vt:variant>
        <vt:lpwstr/>
      </vt:variant>
      <vt:variant>
        <vt:lpwstr>_Toc201147040</vt:lpwstr>
      </vt:variant>
      <vt:variant>
        <vt:i4>1179703</vt:i4>
      </vt:variant>
      <vt:variant>
        <vt:i4>6269</vt:i4>
      </vt:variant>
      <vt:variant>
        <vt:i4>0</vt:i4>
      </vt:variant>
      <vt:variant>
        <vt:i4>5</vt:i4>
      </vt:variant>
      <vt:variant>
        <vt:lpwstr/>
      </vt:variant>
      <vt:variant>
        <vt:lpwstr>_Toc201147039</vt:lpwstr>
      </vt:variant>
      <vt:variant>
        <vt:i4>1179703</vt:i4>
      </vt:variant>
      <vt:variant>
        <vt:i4>6263</vt:i4>
      </vt:variant>
      <vt:variant>
        <vt:i4>0</vt:i4>
      </vt:variant>
      <vt:variant>
        <vt:i4>5</vt:i4>
      </vt:variant>
      <vt:variant>
        <vt:lpwstr/>
      </vt:variant>
      <vt:variant>
        <vt:lpwstr>_Toc201147038</vt:lpwstr>
      </vt:variant>
      <vt:variant>
        <vt:i4>1179703</vt:i4>
      </vt:variant>
      <vt:variant>
        <vt:i4>6257</vt:i4>
      </vt:variant>
      <vt:variant>
        <vt:i4>0</vt:i4>
      </vt:variant>
      <vt:variant>
        <vt:i4>5</vt:i4>
      </vt:variant>
      <vt:variant>
        <vt:lpwstr/>
      </vt:variant>
      <vt:variant>
        <vt:lpwstr>_Toc201147037</vt:lpwstr>
      </vt:variant>
      <vt:variant>
        <vt:i4>1179703</vt:i4>
      </vt:variant>
      <vt:variant>
        <vt:i4>6251</vt:i4>
      </vt:variant>
      <vt:variant>
        <vt:i4>0</vt:i4>
      </vt:variant>
      <vt:variant>
        <vt:i4>5</vt:i4>
      </vt:variant>
      <vt:variant>
        <vt:lpwstr/>
      </vt:variant>
      <vt:variant>
        <vt:lpwstr>_Toc201147036</vt:lpwstr>
      </vt:variant>
      <vt:variant>
        <vt:i4>1179703</vt:i4>
      </vt:variant>
      <vt:variant>
        <vt:i4>6245</vt:i4>
      </vt:variant>
      <vt:variant>
        <vt:i4>0</vt:i4>
      </vt:variant>
      <vt:variant>
        <vt:i4>5</vt:i4>
      </vt:variant>
      <vt:variant>
        <vt:lpwstr/>
      </vt:variant>
      <vt:variant>
        <vt:lpwstr>_Toc201147035</vt:lpwstr>
      </vt:variant>
      <vt:variant>
        <vt:i4>1179703</vt:i4>
      </vt:variant>
      <vt:variant>
        <vt:i4>6239</vt:i4>
      </vt:variant>
      <vt:variant>
        <vt:i4>0</vt:i4>
      </vt:variant>
      <vt:variant>
        <vt:i4>5</vt:i4>
      </vt:variant>
      <vt:variant>
        <vt:lpwstr/>
      </vt:variant>
      <vt:variant>
        <vt:lpwstr>_Toc201147034</vt:lpwstr>
      </vt:variant>
      <vt:variant>
        <vt:i4>1179703</vt:i4>
      </vt:variant>
      <vt:variant>
        <vt:i4>6233</vt:i4>
      </vt:variant>
      <vt:variant>
        <vt:i4>0</vt:i4>
      </vt:variant>
      <vt:variant>
        <vt:i4>5</vt:i4>
      </vt:variant>
      <vt:variant>
        <vt:lpwstr/>
      </vt:variant>
      <vt:variant>
        <vt:lpwstr>_Toc201147033</vt:lpwstr>
      </vt:variant>
      <vt:variant>
        <vt:i4>1179703</vt:i4>
      </vt:variant>
      <vt:variant>
        <vt:i4>6227</vt:i4>
      </vt:variant>
      <vt:variant>
        <vt:i4>0</vt:i4>
      </vt:variant>
      <vt:variant>
        <vt:i4>5</vt:i4>
      </vt:variant>
      <vt:variant>
        <vt:lpwstr/>
      </vt:variant>
      <vt:variant>
        <vt:lpwstr>_Toc201147032</vt:lpwstr>
      </vt:variant>
      <vt:variant>
        <vt:i4>1179703</vt:i4>
      </vt:variant>
      <vt:variant>
        <vt:i4>6221</vt:i4>
      </vt:variant>
      <vt:variant>
        <vt:i4>0</vt:i4>
      </vt:variant>
      <vt:variant>
        <vt:i4>5</vt:i4>
      </vt:variant>
      <vt:variant>
        <vt:lpwstr/>
      </vt:variant>
      <vt:variant>
        <vt:lpwstr>_Toc201147031</vt:lpwstr>
      </vt:variant>
      <vt:variant>
        <vt:i4>1179703</vt:i4>
      </vt:variant>
      <vt:variant>
        <vt:i4>6215</vt:i4>
      </vt:variant>
      <vt:variant>
        <vt:i4>0</vt:i4>
      </vt:variant>
      <vt:variant>
        <vt:i4>5</vt:i4>
      </vt:variant>
      <vt:variant>
        <vt:lpwstr/>
      </vt:variant>
      <vt:variant>
        <vt:lpwstr>_Toc201147030</vt:lpwstr>
      </vt:variant>
      <vt:variant>
        <vt:i4>1245239</vt:i4>
      </vt:variant>
      <vt:variant>
        <vt:i4>6209</vt:i4>
      </vt:variant>
      <vt:variant>
        <vt:i4>0</vt:i4>
      </vt:variant>
      <vt:variant>
        <vt:i4>5</vt:i4>
      </vt:variant>
      <vt:variant>
        <vt:lpwstr/>
      </vt:variant>
      <vt:variant>
        <vt:lpwstr>_Toc201147029</vt:lpwstr>
      </vt:variant>
      <vt:variant>
        <vt:i4>1245239</vt:i4>
      </vt:variant>
      <vt:variant>
        <vt:i4>6203</vt:i4>
      </vt:variant>
      <vt:variant>
        <vt:i4>0</vt:i4>
      </vt:variant>
      <vt:variant>
        <vt:i4>5</vt:i4>
      </vt:variant>
      <vt:variant>
        <vt:lpwstr/>
      </vt:variant>
      <vt:variant>
        <vt:lpwstr>_Toc201147028</vt:lpwstr>
      </vt:variant>
      <vt:variant>
        <vt:i4>1245239</vt:i4>
      </vt:variant>
      <vt:variant>
        <vt:i4>6197</vt:i4>
      </vt:variant>
      <vt:variant>
        <vt:i4>0</vt:i4>
      </vt:variant>
      <vt:variant>
        <vt:i4>5</vt:i4>
      </vt:variant>
      <vt:variant>
        <vt:lpwstr/>
      </vt:variant>
      <vt:variant>
        <vt:lpwstr>_Toc201147027</vt:lpwstr>
      </vt:variant>
      <vt:variant>
        <vt:i4>1245239</vt:i4>
      </vt:variant>
      <vt:variant>
        <vt:i4>6191</vt:i4>
      </vt:variant>
      <vt:variant>
        <vt:i4>0</vt:i4>
      </vt:variant>
      <vt:variant>
        <vt:i4>5</vt:i4>
      </vt:variant>
      <vt:variant>
        <vt:lpwstr/>
      </vt:variant>
      <vt:variant>
        <vt:lpwstr>_Toc201147026</vt:lpwstr>
      </vt:variant>
      <vt:variant>
        <vt:i4>1245239</vt:i4>
      </vt:variant>
      <vt:variant>
        <vt:i4>6185</vt:i4>
      </vt:variant>
      <vt:variant>
        <vt:i4>0</vt:i4>
      </vt:variant>
      <vt:variant>
        <vt:i4>5</vt:i4>
      </vt:variant>
      <vt:variant>
        <vt:lpwstr/>
      </vt:variant>
      <vt:variant>
        <vt:lpwstr>_Toc201147025</vt:lpwstr>
      </vt:variant>
      <vt:variant>
        <vt:i4>1245239</vt:i4>
      </vt:variant>
      <vt:variant>
        <vt:i4>6179</vt:i4>
      </vt:variant>
      <vt:variant>
        <vt:i4>0</vt:i4>
      </vt:variant>
      <vt:variant>
        <vt:i4>5</vt:i4>
      </vt:variant>
      <vt:variant>
        <vt:lpwstr/>
      </vt:variant>
      <vt:variant>
        <vt:lpwstr>_Toc201147024</vt:lpwstr>
      </vt:variant>
      <vt:variant>
        <vt:i4>1245239</vt:i4>
      </vt:variant>
      <vt:variant>
        <vt:i4>6173</vt:i4>
      </vt:variant>
      <vt:variant>
        <vt:i4>0</vt:i4>
      </vt:variant>
      <vt:variant>
        <vt:i4>5</vt:i4>
      </vt:variant>
      <vt:variant>
        <vt:lpwstr/>
      </vt:variant>
      <vt:variant>
        <vt:lpwstr>_Toc201147023</vt:lpwstr>
      </vt:variant>
      <vt:variant>
        <vt:i4>1245239</vt:i4>
      </vt:variant>
      <vt:variant>
        <vt:i4>6167</vt:i4>
      </vt:variant>
      <vt:variant>
        <vt:i4>0</vt:i4>
      </vt:variant>
      <vt:variant>
        <vt:i4>5</vt:i4>
      </vt:variant>
      <vt:variant>
        <vt:lpwstr/>
      </vt:variant>
      <vt:variant>
        <vt:lpwstr>_Toc201147022</vt:lpwstr>
      </vt:variant>
      <vt:variant>
        <vt:i4>1245239</vt:i4>
      </vt:variant>
      <vt:variant>
        <vt:i4>6161</vt:i4>
      </vt:variant>
      <vt:variant>
        <vt:i4>0</vt:i4>
      </vt:variant>
      <vt:variant>
        <vt:i4>5</vt:i4>
      </vt:variant>
      <vt:variant>
        <vt:lpwstr/>
      </vt:variant>
      <vt:variant>
        <vt:lpwstr>_Toc201147021</vt:lpwstr>
      </vt:variant>
      <vt:variant>
        <vt:i4>1245239</vt:i4>
      </vt:variant>
      <vt:variant>
        <vt:i4>6155</vt:i4>
      </vt:variant>
      <vt:variant>
        <vt:i4>0</vt:i4>
      </vt:variant>
      <vt:variant>
        <vt:i4>5</vt:i4>
      </vt:variant>
      <vt:variant>
        <vt:lpwstr/>
      </vt:variant>
      <vt:variant>
        <vt:lpwstr>_Toc201147020</vt:lpwstr>
      </vt:variant>
      <vt:variant>
        <vt:i4>1048631</vt:i4>
      </vt:variant>
      <vt:variant>
        <vt:i4>6149</vt:i4>
      </vt:variant>
      <vt:variant>
        <vt:i4>0</vt:i4>
      </vt:variant>
      <vt:variant>
        <vt:i4>5</vt:i4>
      </vt:variant>
      <vt:variant>
        <vt:lpwstr/>
      </vt:variant>
      <vt:variant>
        <vt:lpwstr>_Toc201147019</vt:lpwstr>
      </vt:variant>
      <vt:variant>
        <vt:i4>1048631</vt:i4>
      </vt:variant>
      <vt:variant>
        <vt:i4>6143</vt:i4>
      </vt:variant>
      <vt:variant>
        <vt:i4>0</vt:i4>
      </vt:variant>
      <vt:variant>
        <vt:i4>5</vt:i4>
      </vt:variant>
      <vt:variant>
        <vt:lpwstr/>
      </vt:variant>
      <vt:variant>
        <vt:lpwstr>_Toc201147018</vt:lpwstr>
      </vt:variant>
      <vt:variant>
        <vt:i4>1048631</vt:i4>
      </vt:variant>
      <vt:variant>
        <vt:i4>6137</vt:i4>
      </vt:variant>
      <vt:variant>
        <vt:i4>0</vt:i4>
      </vt:variant>
      <vt:variant>
        <vt:i4>5</vt:i4>
      </vt:variant>
      <vt:variant>
        <vt:lpwstr/>
      </vt:variant>
      <vt:variant>
        <vt:lpwstr>_Toc201147017</vt:lpwstr>
      </vt:variant>
      <vt:variant>
        <vt:i4>1048631</vt:i4>
      </vt:variant>
      <vt:variant>
        <vt:i4>6131</vt:i4>
      </vt:variant>
      <vt:variant>
        <vt:i4>0</vt:i4>
      </vt:variant>
      <vt:variant>
        <vt:i4>5</vt:i4>
      </vt:variant>
      <vt:variant>
        <vt:lpwstr/>
      </vt:variant>
      <vt:variant>
        <vt:lpwstr>_Toc201147016</vt:lpwstr>
      </vt:variant>
      <vt:variant>
        <vt:i4>1048631</vt:i4>
      </vt:variant>
      <vt:variant>
        <vt:i4>6125</vt:i4>
      </vt:variant>
      <vt:variant>
        <vt:i4>0</vt:i4>
      </vt:variant>
      <vt:variant>
        <vt:i4>5</vt:i4>
      </vt:variant>
      <vt:variant>
        <vt:lpwstr/>
      </vt:variant>
      <vt:variant>
        <vt:lpwstr>_Toc201147015</vt:lpwstr>
      </vt:variant>
      <vt:variant>
        <vt:i4>1048631</vt:i4>
      </vt:variant>
      <vt:variant>
        <vt:i4>6119</vt:i4>
      </vt:variant>
      <vt:variant>
        <vt:i4>0</vt:i4>
      </vt:variant>
      <vt:variant>
        <vt:i4>5</vt:i4>
      </vt:variant>
      <vt:variant>
        <vt:lpwstr/>
      </vt:variant>
      <vt:variant>
        <vt:lpwstr>_Toc201147014</vt:lpwstr>
      </vt:variant>
      <vt:variant>
        <vt:i4>1048631</vt:i4>
      </vt:variant>
      <vt:variant>
        <vt:i4>6113</vt:i4>
      </vt:variant>
      <vt:variant>
        <vt:i4>0</vt:i4>
      </vt:variant>
      <vt:variant>
        <vt:i4>5</vt:i4>
      </vt:variant>
      <vt:variant>
        <vt:lpwstr/>
      </vt:variant>
      <vt:variant>
        <vt:lpwstr>_Toc201147013</vt:lpwstr>
      </vt:variant>
      <vt:variant>
        <vt:i4>1048631</vt:i4>
      </vt:variant>
      <vt:variant>
        <vt:i4>6107</vt:i4>
      </vt:variant>
      <vt:variant>
        <vt:i4>0</vt:i4>
      </vt:variant>
      <vt:variant>
        <vt:i4>5</vt:i4>
      </vt:variant>
      <vt:variant>
        <vt:lpwstr/>
      </vt:variant>
      <vt:variant>
        <vt:lpwstr>_Toc201147012</vt:lpwstr>
      </vt:variant>
      <vt:variant>
        <vt:i4>1048631</vt:i4>
      </vt:variant>
      <vt:variant>
        <vt:i4>6101</vt:i4>
      </vt:variant>
      <vt:variant>
        <vt:i4>0</vt:i4>
      </vt:variant>
      <vt:variant>
        <vt:i4>5</vt:i4>
      </vt:variant>
      <vt:variant>
        <vt:lpwstr/>
      </vt:variant>
      <vt:variant>
        <vt:lpwstr>_Toc201147011</vt:lpwstr>
      </vt:variant>
      <vt:variant>
        <vt:i4>1048631</vt:i4>
      </vt:variant>
      <vt:variant>
        <vt:i4>6095</vt:i4>
      </vt:variant>
      <vt:variant>
        <vt:i4>0</vt:i4>
      </vt:variant>
      <vt:variant>
        <vt:i4>5</vt:i4>
      </vt:variant>
      <vt:variant>
        <vt:lpwstr/>
      </vt:variant>
      <vt:variant>
        <vt:lpwstr>_Toc201147010</vt:lpwstr>
      </vt:variant>
      <vt:variant>
        <vt:i4>1114167</vt:i4>
      </vt:variant>
      <vt:variant>
        <vt:i4>6089</vt:i4>
      </vt:variant>
      <vt:variant>
        <vt:i4>0</vt:i4>
      </vt:variant>
      <vt:variant>
        <vt:i4>5</vt:i4>
      </vt:variant>
      <vt:variant>
        <vt:lpwstr/>
      </vt:variant>
      <vt:variant>
        <vt:lpwstr>_Toc201147009</vt:lpwstr>
      </vt:variant>
      <vt:variant>
        <vt:i4>1114167</vt:i4>
      </vt:variant>
      <vt:variant>
        <vt:i4>6083</vt:i4>
      </vt:variant>
      <vt:variant>
        <vt:i4>0</vt:i4>
      </vt:variant>
      <vt:variant>
        <vt:i4>5</vt:i4>
      </vt:variant>
      <vt:variant>
        <vt:lpwstr/>
      </vt:variant>
      <vt:variant>
        <vt:lpwstr>_Toc201147008</vt:lpwstr>
      </vt:variant>
      <vt:variant>
        <vt:i4>1114167</vt:i4>
      </vt:variant>
      <vt:variant>
        <vt:i4>6077</vt:i4>
      </vt:variant>
      <vt:variant>
        <vt:i4>0</vt:i4>
      </vt:variant>
      <vt:variant>
        <vt:i4>5</vt:i4>
      </vt:variant>
      <vt:variant>
        <vt:lpwstr/>
      </vt:variant>
      <vt:variant>
        <vt:lpwstr>_Toc201147007</vt:lpwstr>
      </vt:variant>
      <vt:variant>
        <vt:i4>1114167</vt:i4>
      </vt:variant>
      <vt:variant>
        <vt:i4>6071</vt:i4>
      </vt:variant>
      <vt:variant>
        <vt:i4>0</vt:i4>
      </vt:variant>
      <vt:variant>
        <vt:i4>5</vt:i4>
      </vt:variant>
      <vt:variant>
        <vt:lpwstr/>
      </vt:variant>
      <vt:variant>
        <vt:lpwstr>_Toc201147006</vt:lpwstr>
      </vt:variant>
      <vt:variant>
        <vt:i4>1114167</vt:i4>
      </vt:variant>
      <vt:variant>
        <vt:i4>6065</vt:i4>
      </vt:variant>
      <vt:variant>
        <vt:i4>0</vt:i4>
      </vt:variant>
      <vt:variant>
        <vt:i4>5</vt:i4>
      </vt:variant>
      <vt:variant>
        <vt:lpwstr/>
      </vt:variant>
      <vt:variant>
        <vt:lpwstr>_Toc201147005</vt:lpwstr>
      </vt:variant>
      <vt:variant>
        <vt:i4>1114167</vt:i4>
      </vt:variant>
      <vt:variant>
        <vt:i4>6059</vt:i4>
      </vt:variant>
      <vt:variant>
        <vt:i4>0</vt:i4>
      </vt:variant>
      <vt:variant>
        <vt:i4>5</vt:i4>
      </vt:variant>
      <vt:variant>
        <vt:lpwstr/>
      </vt:variant>
      <vt:variant>
        <vt:lpwstr>_Toc201147004</vt:lpwstr>
      </vt:variant>
      <vt:variant>
        <vt:i4>1114167</vt:i4>
      </vt:variant>
      <vt:variant>
        <vt:i4>6053</vt:i4>
      </vt:variant>
      <vt:variant>
        <vt:i4>0</vt:i4>
      </vt:variant>
      <vt:variant>
        <vt:i4>5</vt:i4>
      </vt:variant>
      <vt:variant>
        <vt:lpwstr/>
      </vt:variant>
      <vt:variant>
        <vt:lpwstr>_Toc201147003</vt:lpwstr>
      </vt:variant>
      <vt:variant>
        <vt:i4>1114167</vt:i4>
      </vt:variant>
      <vt:variant>
        <vt:i4>6047</vt:i4>
      </vt:variant>
      <vt:variant>
        <vt:i4>0</vt:i4>
      </vt:variant>
      <vt:variant>
        <vt:i4>5</vt:i4>
      </vt:variant>
      <vt:variant>
        <vt:lpwstr/>
      </vt:variant>
      <vt:variant>
        <vt:lpwstr>_Toc201147002</vt:lpwstr>
      </vt:variant>
      <vt:variant>
        <vt:i4>1114167</vt:i4>
      </vt:variant>
      <vt:variant>
        <vt:i4>6041</vt:i4>
      </vt:variant>
      <vt:variant>
        <vt:i4>0</vt:i4>
      </vt:variant>
      <vt:variant>
        <vt:i4>5</vt:i4>
      </vt:variant>
      <vt:variant>
        <vt:lpwstr/>
      </vt:variant>
      <vt:variant>
        <vt:lpwstr>_Toc201147001</vt:lpwstr>
      </vt:variant>
      <vt:variant>
        <vt:i4>1114167</vt:i4>
      </vt:variant>
      <vt:variant>
        <vt:i4>6035</vt:i4>
      </vt:variant>
      <vt:variant>
        <vt:i4>0</vt:i4>
      </vt:variant>
      <vt:variant>
        <vt:i4>5</vt:i4>
      </vt:variant>
      <vt:variant>
        <vt:lpwstr/>
      </vt:variant>
      <vt:variant>
        <vt:lpwstr>_Toc201147000</vt:lpwstr>
      </vt:variant>
      <vt:variant>
        <vt:i4>1638462</vt:i4>
      </vt:variant>
      <vt:variant>
        <vt:i4>6029</vt:i4>
      </vt:variant>
      <vt:variant>
        <vt:i4>0</vt:i4>
      </vt:variant>
      <vt:variant>
        <vt:i4>5</vt:i4>
      </vt:variant>
      <vt:variant>
        <vt:lpwstr/>
      </vt:variant>
      <vt:variant>
        <vt:lpwstr>_Toc201146999</vt:lpwstr>
      </vt:variant>
      <vt:variant>
        <vt:i4>1638462</vt:i4>
      </vt:variant>
      <vt:variant>
        <vt:i4>6023</vt:i4>
      </vt:variant>
      <vt:variant>
        <vt:i4>0</vt:i4>
      </vt:variant>
      <vt:variant>
        <vt:i4>5</vt:i4>
      </vt:variant>
      <vt:variant>
        <vt:lpwstr/>
      </vt:variant>
      <vt:variant>
        <vt:lpwstr>_Toc201146998</vt:lpwstr>
      </vt:variant>
      <vt:variant>
        <vt:i4>1638462</vt:i4>
      </vt:variant>
      <vt:variant>
        <vt:i4>6017</vt:i4>
      </vt:variant>
      <vt:variant>
        <vt:i4>0</vt:i4>
      </vt:variant>
      <vt:variant>
        <vt:i4>5</vt:i4>
      </vt:variant>
      <vt:variant>
        <vt:lpwstr/>
      </vt:variant>
      <vt:variant>
        <vt:lpwstr>_Toc201146997</vt:lpwstr>
      </vt:variant>
      <vt:variant>
        <vt:i4>1638462</vt:i4>
      </vt:variant>
      <vt:variant>
        <vt:i4>6011</vt:i4>
      </vt:variant>
      <vt:variant>
        <vt:i4>0</vt:i4>
      </vt:variant>
      <vt:variant>
        <vt:i4>5</vt:i4>
      </vt:variant>
      <vt:variant>
        <vt:lpwstr/>
      </vt:variant>
      <vt:variant>
        <vt:lpwstr>_Toc201146996</vt:lpwstr>
      </vt:variant>
      <vt:variant>
        <vt:i4>1638462</vt:i4>
      </vt:variant>
      <vt:variant>
        <vt:i4>6005</vt:i4>
      </vt:variant>
      <vt:variant>
        <vt:i4>0</vt:i4>
      </vt:variant>
      <vt:variant>
        <vt:i4>5</vt:i4>
      </vt:variant>
      <vt:variant>
        <vt:lpwstr/>
      </vt:variant>
      <vt:variant>
        <vt:lpwstr>_Toc201146995</vt:lpwstr>
      </vt:variant>
      <vt:variant>
        <vt:i4>1638462</vt:i4>
      </vt:variant>
      <vt:variant>
        <vt:i4>5999</vt:i4>
      </vt:variant>
      <vt:variant>
        <vt:i4>0</vt:i4>
      </vt:variant>
      <vt:variant>
        <vt:i4>5</vt:i4>
      </vt:variant>
      <vt:variant>
        <vt:lpwstr/>
      </vt:variant>
      <vt:variant>
        <vt:lpwstr>_Toc201146994</vt:lpwstr>
      </vt:variant>
      <vt:variant>
        <vt:i4>1638462</vt:i4>
      </vt:variant>
      <vt:variant>
        <vt:i4>5993</vt:i4>
      </vt:variant>
      <vt:variant>
        <vt:i4>0</vt:i4>
      </vt:variant>
      <vt:variant>
        <vt:i4>5</vt:i4>
      </vt:variant>
      <vt:variant>
        <vt:lpwstr/>
      </vt:variant>
      <vt:variant>
        <vt:lpwstr>_Toc201146993</vt:lpwstr>
      </vt:variant>
      <vt:variant>
        <vt:i4>1638462</vt:i4>
      </vt:variant>
      <vt:variant>
        <vt:i4>5990</vt:i4>
      </vt:variant>
      <vt:variant>
        <vt:i4>0</vt:i4>
      </vt:variant>
      <vt:variant>
        <vt:i4>5</vt:i4>
      </vt:variant>
      <vt:variant>
        <vt:lpwstr/>
      </vt:variant>
      <vt:variant>
        <vt:lpwstr>_Toc201146992</vt:lpwstr>
      </vt:variant>
      <vt:variant>
        <vt:i4>1638462</vt:i4>
      </vt:variant>
      <vt:variant>
        <vt:i4>5984</vt:i4>
      </vt:variant>
      <vt:variant>
        <vt:i4>0</vt:i4>
      </vt:variant>
      <vt:variant>
        <vt:i4>5</vt:i4>
      </vt:variant>
      <vt:variant>
        <vt:lpwstr/>
      </vt:variant>
      <vt:variant>
        <vt:lpwstr>_Toc201146991</vt:lpwstr>
      </vt:variant>
      <vt:variant>
        <vt:i4>1638462</vt:i4>
      </vt:variant>
      <vt:variant>
        <vt:i4>5978</vt:i4>
      </vt:variant>
      <vt:variant>
        <vt:i4>0</vt:i4>
      </vt:variant>
      <vt:variant>
        <vt:i4>5</vt:i4>
      </vt:variant>
      <vt:variant>
        <vt:lpwstr/>
      </vt:variant>
      <vt:variant>
        <vt:lpwstr>_Toc201146990</vt:lpwstr>
      </vt:variant>
      <vt:variant>
        <vt:i4>1572926</vt:i4>
      </vt:variant>
      <vt:variant>
        <vt:i4>5972</vt:i4>
      </vt:variant>
      <vt:variant>
        <vt:i4>0</vt:i4>
      </vt:variant>
      <vt:variant>
        <vt:i4>5</vt:i4>
      </vt:variant>
      <vt:variant>
        <vt:lpwstr/>
      </vt:variant>
      <vt:variant>
        <vt:lpwstr>_Toc201146989</vt:lpwstr>
      </vt:variant>
      <vt:variant>
        <vt:i4>1572926</vt:i4>
      </vt:variant>
      <vt:variant>
        <vt:i4>5966</vt:i4>
      </vt:variant>
      <vt:variant>
        <vt:i4>0</vt:i4>
      </vt:variant>
      <vt:variant>
        <vt:i4>5</vt:i4>
      </vt:variant>
      <vt:variant>
        <vt:lpwstr/>
      </vt:variant>
      <vt:variant>
        <vt:lpwstr>_Toc201146988</vt:lpwstr>
      </vt:variant>
      <vt:variant>
        <vt:i4>1572926</vt:i4>
      </vt:variant>
      <vt:variant>
        <vt:i4>5960</vt:i4>
      </vt:variant>
      <vt:variant>
        <vt:i4>0</vt:i4>
      </vt:variant>
      <vt:variant>
        <vt:i4>5</vt:i4>
      </vt:variant>
      <vt:variant>
        <vt:lpwstr/>
      </vt:variant>
      <vt:variant>
        <vt:lpwstr>_Toc201146987</vt:lpwstr>
      </vt:variant>
      <vt:variant>
        <vt:i4>1572926</vt:i4>
      </vt:variant>
      <vt:variant>
        <vt:i4>5954</vt:i4>
      </vt:variant>
      <vt:variant>
        <vt:i4>0</vt:i4>
      </vt:variant>
      <vt:variant>
        <vt:i4>5</vt:i4>
      </vt:variant>
      <vt:variant>
        <vt:lpwstr/>
      </vt:variant>
      <vt:variant>
        <vt:lpwstr>_Toc201146986</vt:lpwstr>
      </vt:variant>
      <vt:variant>
        <vt:i4>1572926</vt:i4>
      </vt:variant>
      <vt:variant>
        <vt:i4>5948</vt:i4>
      </vt:variant>
      <vt:variant>
        <vt:i4>0</vt:i4>
      </vt:variant>
      <vt:variant>
        <vt:i4>5</vt:i4>
      </vt:variant>
      <vt:variant>
        <vt:lpwstr/>
      </vt:variant>
      <vt:variant>
        <vt:lpwstr>_Toc201146985</vt:lpwstr>
      </vt:variant>
      <vt:variant>
        <vt:i4>1572926</vt:i4>
      </vt:variant>
      <vt:variant>
        <vt:i4>5942</vt:i4>
      </vt:variant>
      <vt:variant>
        <vt:i4>0</vt:i4>
      </vt:variant>
      <vt:variant>
        <vt:i4>5</vt:i4>
      </vt:variant>
      <vt:variant>
        <vt:lpwstr/>
      </vt:variant>
      <vt:variant>
        <vt:lpwstr>_Toc201146984</vt:lpwstr>
      </vt:variant>
      <vt:variant>
        <vt:i4>1572926</vt:i4>
      </vt:variant>
      <vt:variant>
        <vt:i4>5936</vt:i4>
      </vt:variant>
      <vt:variant>
        <vt:i4>0</vt:i4>
      </vt:variant>
      <vt:variant>
        <vt:i4>5</vt:i4>
      </vt:variant>
      <vt:variant>
        <vt:lpwstr/>
      </vt:variant>
      <vt:variant>
        <vt:lpwstr>_Toc201146983</vt:lpwstr>
      </vt:variant>
      <vt:variant>
        <vt:i4>1572926</vt:i4>
      </vt:variant>
      <vt:variant>
        <vt:i4>5930</vt:i4>
      </vt:variant>
      <vt:variant>
        <vt:i4>0</vt:i4>
      </vt:variant>
      <vt:variant>
        <vt:i4>5</vt:i4>
      </vt:variant>
      <vt:variant>
        <vt:lpwstr/>
      </vt:variant>
      <vt:variant>
        <vt:lpwstr>_Toc201146982</vt:lpwstr>
      </vt:variant>
      <vt:variant>
        <vt:i4>1572926</vt:i4>
      </vt:variant>
      <vt:variant>
        <vt:i4>5924</vt:i4>
      </vt:variant>
      <vt:variant>
        <vt:i4>0</vt:i4>
      </vt:variant>
      <vt:variant>
        <vt:i4>5</vt:i4>
      </vt:variant>
      <vt:variant>
        <vt:lpwstr/>
      </vt:variant>
      <vt:variant>
        <vt:lpwstr>_Toc201146981</vt:lpwstr>
      </vt:variant>
      <vt:variant>
        <vt:i4>1572926</vt:i4>
      </vt:variant>
      <vt:variant>
        <vt:i4>5918</vt:i4>
      </vt:variant>
      <vt:variant>
        <vt:i4>0</vt:i4>
      </vt:variant>
      <vt:variant>
        <vt:i4>5</vt:i4>
      </vt:variant>
      <vt:variant>
        <vt:lpwstr/>
      </vt:variant>
      <vt:variant>
        <vt:lpwstr>_Toc201146980</vt:lpwstr>
      </vt:variant>
      <vt:variant>
        <vt:i4>1507390</vt:i4>
      </vt:variant>
      <vt:variant>
        <vt:i4>5912</vt:i4>
      </vt:variant>
      <vt:variant>
        <vt:i4>0</vt:i4>
      </vt:variant>
      <vt:variant>
        <vt:i4>5</vt:i4>
      </vt:variant>
      <vt:variant>
        <vt:lpwstr/>
      </vt:variant>
      <vt:variant>
        <vt:lpwstr>_Toc201146979</vt:lpwstr>
      </vt:variant>
      <vt:variant>
        <vt:i4>1507390</vt:i4>
      </vt:variant>
      <vt:variant>
        <vt:i4>5906</vt:i4>
      </vt:variant>
      <vt:variant>
        <vt:i4>0</vt:i4>
      </vt:variant>
      <vt:variant>
        <vt:i4>5</vt:i4>
      </vt:variant>
      <vt:variant>
        <vt:lpwstr/>
      </vt:variant>
      <vt:variant>
        <vt:lpwstr>_Toc201146978</vt:lpwstr>
      </vt:variant>
      <vt:variant>
        <vt:i4>1507390</vt:i4>
      </vt:variant>
      <vt:variant>
        <vt:i4>5900</vt:i4>
      </vt:variant>
      <vt:variant>
        <vt:i4>0</vt:i4>
      </vt:variant>
      <vt:variant>
        <vt:i4>5</vt:i4>
      </vt:variant>
      <vt:variant>
        <vt:lpwstr/>
      </vt:variant>
      <vt:variant>
        <vt:lpwstr>_Toc201146977</vt:lpwstr>
      </vt:variant>
      <vt:variant>
        <vt:i4>1507390</vt:i4>
      </vt:variant>
      <vt:variant>
        <vt:i4>5894</vt:i4>
      </vt:variant>
      <vt:variant>
        <vt:i4>0</vt:i4>
      </vt:variant>
      <vt:variant>
        <vt:i4>5</vt:i4>
      </vt:variant>
      <vt:variant>
        <vt:lpwstr/>
      </vt:variant>
      <vt:variant>
        <vt:lpwstr>_Toc201146976</vt:lpwstr>
      </vt:variant>
      <vt:variant>
        <vt:i4>1507390</vt:i4>
      </vt:variant>
      <vt:variant>
        <vt:i4>5888</vt:i4>
      </vt:variant>
      <vt:variant>
        <vt:i4>0</vt:i4>
      </vt:variant>
      <vt:variant>
        <vt:i4>5</vt:i4>
      </vt:variant>
      <vt:variant>
        <vt:lpwstr/>
      </vt:variant>
      <vt:variant>
        <vt:lpwstr>_Toc201146975</vt:lpwstr>
      </vt:variant>
      <vt:variant>
        <vt:i4>1507390</vt:i4>
      </vt:variant>
      <vt:variant>
        <vt:i4>5882</vt:i4>
      </vt:variant>
      <vt:variant>
        <vt:i4>0</vt:i4>
      </vt:variant>
      <vt:variant>
        <vt:i4>5</vt:i4>
      </vt:variant>
      <vt:variant>
        <vt:lpwstr/>
      </vt:variant>
      <vt:variant>
        <vt:lpwstr>_Toc201146974</vt:lpwstr>
      </vt:variant>
      <vt:variant>
        <vt:i4>1507390</vt:i4>
      </vt:variant>
      <vt:variant>
        <vt:i4>5876</vt:i4>
      </vt:variant>
      <vt:variant>
        <vt:i4>0</vt:i4>
      </vt:variant>
      <vt:variant>
        <vt:i4>5</vt:i4>
      </vt:variant>
      <vt:variant>
        <vt:lpwstr/>
      </vt:variant>
      <vt:variant>
        <vt:lpwstr>_Toc201146973</vt:lpwstr>
      </vt:variant>
      <vt:variant>
        <vt:i4>1507390</vt:i4>
      </vt:variant>
      <vt:variant>
        <vt:i4>5870</vt:i4>
      </vt:variant>
      <vt:variant>
        <vt:i4>0</vt:i4>
      </vt:variant>
      <vt:variant>
        <vt:i4>5</vt:i4>
      </vt:variant>
      <vt:variant>
        <vt:lpwstr/>
      </vt:variant>
      <vt:variant>
        <vt:lpwstr>_Toc201146972</vt:lpwstr>
      </vt:variant>
      <vt:variant>
        <vt:i4>1507390</vt:i4>
      </vt:variant>
      <vt:variant>
        <vt:i4>5864</vt:i4>
      </vt:variant>
      <vt:variant>
        <vt:i4>0</vt:i4>
      </vt:variant>
      <vt:variant>
        <vt:i4>5</vt:i4>
      </vt:variant>
      <vt:variant>
        <vt:lpwstr/>
      </vt:variant>
      <vt:variant>
        <vt:lpwstr>_Toc201146971</vt:lpwstr>
      </vt:variant>
      <vt:variant>
        <vt:i4>1507390</vt:i4>
      </vt:variant>
      <vt:variant>
        <vt:i4>5858</vt:i4>
      </vt:variant>
      <vt:variant>
        <vt:i4>0</vt:i4>
      </vt:variant>
      <vt:variant>
        <vt:i4>5</vt:i4>
      </vt:variant>
      <vt:variant>
        <vt:lpwstr/>
      </vt:variant>
      <vt:variant>
        <vt:lpwstr>_Toc201146970</vt:lpwstr>
      </vt:variant>
      <vt:variant>
        <vt:i4>1441854</vt:i4>
      </vt:variant>
      <vt:variant>
        <vt:i4>5852</vt:i4>
      </vt:variant>
      <vt:variant>
        <vt:i4>0</vt:i4>
      </vt:variant>
      <vt:variant>
        <vt:i4>5</vt:i4>
      </vt:variant>
      <vt:variant>
        <vt:lpwstr/>
      </vt:variant>
      <vt:variant>
        <vt:lpwstr>_Toc201146969</vt:lpwstr>
      </vt:variant>
      <vt:variant>
        <vt:i4>1441854</vt:i4>
      </vt:variant>
      <vt:variant>
        <vt:i4>5846</vt:i4>
      </vt:variant>
      <vt:variant>
        <vt:i4>0</vt:i4>
      </vt:variant>
      <vt:variant>
        <vt:i4>5</vt:i4>
      </vt:variant>
      <vt:variant>
        <vt:lpwstr/>
      </vt:variant>
      <vt:variant>
        <vt:lpwstr>_Toc201146968</vt:lpwstr>
      </vt:variant>
      <vt:variant>
        <vt:i4>1441854</vt:i4>
      </vt:variant>
      <vt:variant>
        <vt:i4>5840</vt:i4>
      </vt:variant>
      <vt:variant>
        <vt:i4>0</vt:i4>
      </vt:variant>
      <vt:variant>
        <vt:i4>5</vt:i4>
      </vt:variant>
      <vt:variant>
        <vt:lpwstr/>
      </vt:variant>
      <vt:variant>
        <vt:lpwstr>_Toc201146967</vt:lpwstr>
      </vt:variant>
      <vt:variant>
        <vt:i4>1441854</vt:i4>
      </vt:variant>
      <vt:variant>
        <vt:i4>5834</vt:i4>
      </vt:variant>
      <vt:variant>
        <vt:i4>0</vt:i4>
      </vt:variant>
      <vt:variant>
        <vt:i4>5</vt:i4>
      </vt:variant>
      <vt:variant>
        <vt:lpwstr/>
      </vt:variant>
      <vt:variant>
        <vt:lpwstr>_Toc201146966</vt:lpwstr>
      </vt:variant>
      <vt:variant>
        <vt:i4>1441854</vt:i4>
      </vt:variant>
      <vt:variant>
        <vt:i4>5828</vt:i4>
      </vt:variant>
      <vt:variant>
        <vt:i4>0</vt:i4>
      </vt:variant>
      <vt:variant>
        <vt:i4>5</vt:i4>
      </vt:variant>
      <vt:variant>
        <vt:lpwstr/>
      </vt:variant>
      <vt:variant>
        <vt:lpwstr>_Toc201146965</vt:lpwstr>
      </vt:variant>
      <vt:variant>
        <vt:i4>1441854</vt:i4>
      </vt:variant>
      <vt:variant>
        <vt:i4>5822</vt:i4>
      </vt:variant>
      <vt:variant>
        <vt:i4>0</vt:i4>
      </vt:variant>
      <vt:variant>
        <vt:i4>5</vt:i4>
      </vt:variant>
      <vt:variant>
        <vt:lpwstr/>
      </vt:variant>
      <vt:variant>
        <vt:lpwstr>_Toc201146964</vt:lpwstr>
      </vt:variant>
      <vt:variant>
        <vt:i4>1441854</vt:i4>
      </vt:variant>
      <vt:variant>
        <vt:i4>5816</vt:i4>
      </vt:variant>
      <vt:variant>
        <vt:i4>0</vt:i4>
      </vt:variant>
      <vt:variant>
        <vt:i4>5</vt:i4>
      </vt:variant>
      <vt:variant>
        <vt:lpwstr/>
      </vt:variant>
      <vt:variant>
        <vt:lpwstr>_Toc201146963</vt:lpwstr>
      </vt:variant>
      <vt:variant>
        <vt:i4>1441854</vt:i4>
      </vt:variant>
      <vt:variant>
        <vt:i4>5810</vt:i4>
      </vt:variant>
      <vt:variant>
        <vt:i4>0</vt:i4>
      </vt:variant>
      <vt:variant>
        <vt:i4>5</vt:i4>
      </vt:variant>
      <vt:variant>
        <vt:lpwstr/>
      </vt:variant>
      <vt:variant>
        <vt:lpwstr>_Toc201146962</vt:lpwstr>
      </vt:variant>
      <vt:variant>
        <vt:i4>1441854</vt:i4>
      </vt:variant>
      <vt:variant>
        <vt:i4>5804</vt:i4>
      </vt:variant>
      <vt:variant>
        <vt:i4>0</vt:i4>
      </vt:variant>
      <vt:variant>
        <vt:i4>5</vt:i4>
      </vt:variant>
      <vt:variant>
        <vt:lpwstr/>
      </vt:variant>
      <vt:variant>
        <vt:lpwstr>_Toc201146961</vt:lpwstr>
      </vt:variant>
      <vt:variant>
        <vt:i4>1441854</vt:i4>
      </vt:variant>
      <vt:variant>
        <vt:i4>5798</vt:i4>
      </vt:variant>
      <vt:variant>
        <vt:i4>0</vt:i4>
      </vt:variant>
      <vt:variant>
        <vt:i4>5</vt:i4>
      </vt:variant>
      <vt:variant>
        <vt:lpwstr/>
      </vt:variant>
      <vt:variant>
        <vt:lpwstr>_Toc201146960</vt:lpwstr>
      </vt:variant>
      <vt:variant>
        <vt:i4>1376318</vt:i4>
      </vt:variant>
      <vt:variant>
        <vt:i4>5792</vt:i4>
      </vt:variant>
      <vt:variant>
        <vt:i4>0</vt:i4>
      </vt:variant>
      <vt:variant>
        <vt:i4>5</vt:i4>
      </vt:variant>
      <vt:variant>
        <vt:lpwstr/>
      </vt:variant>
      <vt:variant>
        <vt:lpwstr>_Toc201146959</vt:lpwstr>
      </vt:variant>
      <vt:variant>
        <vt:i4>1376318</vt:i4>
      </vt:variant>
      <vt:variant>
        <vt:i4>5786</vt:i4>
      </vt:variant>
      <vt:variant>
        <vt:i4>0</vt:i4>
      </vt:variant>
      <vt:variant>
        <vt:i4>5</vt:i4>
      </vt:variant>
      <vt:variant>
        <vt:lpwstr/>
      </vt:variant>
      <vt:variant>
        <vt:lpwstr>_Toc201146958</vt:lpwstr>
      </vt:variant>
      <vt:variant>
        <vt:i4>1376318</vt:i4>
      </vt:variant>
      <vt:variant>
        <vt:i4>5780</vt:i4>
      </vt:variant>
      <vt:variant>
        <vt:i4>0</vt:i4>
      </vt:variant>
      <vt:variant>
        <vt:i4>5</vt:i4>
      </vt:variant>
      <vt:variant>
        <vt:lpwstr/>
      </vt:variant>
      <vt:variant>
        <vt:lpwstr>_Toc201146957</vt:lpwstr>
      </vt:variant>
      <vt:variant>
        <vt:i4>1376318</vt:i4>
      </vt:variant>
      <vt:variant>
        <vt:i4>5774</vt:i4>
      </vt:variant>
      <vt:variant>
        <vt:i4>0</vt:i4>
      </vt:variant>
      <vt:variant>
        <vt:i4>5</vt:i4>
      </vt:variant>
      <vt:variant>
        <vt:lpwstr/>
      </vt:variant>
      <vt:variant>
        <vt:lpwstr>_Toc201146956</vt:lpwstr>
      </vt:variant>
      <vt:variant>
        <vt:i4>1376318</vt:i4>
      </vt:variant>
      <vt:variant>
        <vt:i4>5768</vt:i4>
      </vt:variant>
      <vt:variant>
        <vt:i4>0</vt:i4>
      </vt:variant>
      <vt:variant>
        <vt:i4>5</vt:i4>
      </vt:variant>
      <vt:variant>
        <vt:lpwstr/>
      </vt:variant>
      <vt:variant>
        <vt:lpwstr>_Toc201146955</vt:lpwstr>
      </vt:variant>
      <vt:variant>
        <vt:i4>1376318</vt:i4>
      </vt:variant>
      <vt:variant>
        <vt:i4>5762</vt:i4>
      </vt:variant>
      <vt:variant>
        <vt:i4>0</vt:i4>
      </vt:variant>
      <vt:variant>
        <vt:i4>5</vt:i4>
      </vt:variant>
      <vt:variant>
        <vt:lpwstr/>
      </vt:variant>
      <vt:variant>
        <vt:lpwstr>_Toc201146954</vt:lpwstr>
      </vt:variant>
      <vt:variant>
        <vt:i4>1376318</vt:i4>
      </vt:variant>
      <vt:variant>
        <vt:i4>5756</vt:i4>
      </vt:variant>
      <vt:variant>
        <vt:i4>0</vt:i4>
      </vt:variant>
      <vt:variant>
        <vt:i4>5</vt:i4>
      </vt:variant>
      <vt:variant>
        <vt:lpwstr/>
      </vt:variant>
      <vt:variant>
        <vt:lpwstr>_Toc201146953</vt:lpwstr>
      </vt:variant>
      <vt:variant>
        <vt:i4>1376318</vt:i4>
      </vt:variant>
      <vt:variant>
        <vt:i4>5750</vt:i4>
      </vt:variant>
      <vt:variant>
        <vt:i4>0</vt:i4>
      </vt:variant>
      <vt:variant>
        <vt:i4>5</vt:i4>
      </vt:variant>
      <vt:variant>
        <vt:lpwstr/>
      </vt:variant>
      <vt:variant>
        <vt:lpwstr>_Toc201146952</vt:lpwstr>
      </vt:variant>
      <vt:variant>
        <vt:i4>1376318</vt:i4>
      </vt:variant>
      <vt:variant>
        <vt:i4>5747</vt:i4>
      </vt:variant>
      <vt:variant>
        <vt:i4>0</vt:i4>
      </vt:variant>
      <vt:variant>
        <vt:i4>5</vt:i4>
      </vt:variant>
      <vt:variant>
        <vt:lpwstr/>
      </vt:variant>
      <vt:variant>
        <vt:lpwstr>_Toc201146951</vt:lpwstr>
      </vt:variant>
      <vt:variant>
        <vt:i4>1376318</vt:i4>
      </vt:variant>
      <vt:variant>
        <vt:i4>5741</vt:i4>
      </vt:variant>
      <vt:variant>
        <vt:i4>0</vt:i4>
      </vt:variant>
      <vt:variant>
        <vt:i4>5</vt:i4>
      </vt:variant>
      <vt:variant>
        <vt:lpwstr/>
      </vt:variant>
      <vt:variant>
        <vt:lpwstr>_Toc201146950</vt:lpwstr>
      </vt:variant>
      <vt:variant>
        <vt:i4>1310782</vt:i4>
      </vt:variant>
      <vt:variant>
        <vt:i4>5735</vt:i4>
      </vt:variant>
      <vt:variant>
        <vt:i4>0</vt:i4>
      </vt:variant>
      <vt:variant>
        <vt:i4>5</vt:i4>
      </vt:variant>
      <vt:variant>
        <vt:lpwstr/>
      </vt:variant>
      <vt:variant>
        <vt:lpwstr>_Toc201146949</vt:lpwstr>
      </vt:variant>
      <vt:variant>
        <vt:i4>1310782</vt:i4>
      </vt:variant>
      <vt:variant>
        <vt:i4>5729</vt:i4>
      </vt:variant>
      <vt:variant>
        <vt:i4>0</vt:i4>
      </vt:variant>
      <vt:variant>
        <vt:i4>5</vt:i4>
      </vt:variant>
      <vt:variant>
        <vt:lpwstr/>
      </vt:variant>
      <vt:variant>
        <vt:lpwstr>_Toc201146948</vt:lpwstr>
      </vt:variant>
      <vt:variant>
        <vt:i4>1310782</vt:i4>
      </vt:variant>
      <vt:variant>
        <vt:i4>5723</vt:i4>
      </vt:variant>
      <vt:variant>
        <vt:i4>0</vt:i4>
      </vt:variant>
      <vt:variant>
        <vt:i4>5</vt:i4>
      </vt:variant>
      <vt:variant>
        <vt:lpwstr/>
      </vt:variant>
      <vt:variant>
        <vt:lpwstr>_Toc201146947</vt:lpwstr>
      </vt:variant>
      <vt:variant>
        <vt:i4>1310782</vt:i4>
      </vt:variant>
      <vt:variant>
        <vt:i4>5717</vt:i4>
      </vt:variant>
      <vt:variant>
        <vt:i4>0</vt:i4>
      </vt:variant>
      <vt:variant>
        <vt:i4>5</vt:i4>
      </vt:variant>
      <vt:variant>
        <vt:lpwstr/>
      </vt:variant>
      <vt:variant>
        <vt:lpwstr>_Toc201146946</vt:lpwstr>
      </vt:variant>
      <vt:variant>
        <vt:i4>1310782</vt:i4>
      </vt:variant>
      <vt:variant>
        <vt:i4>5711</vt:i4>
      </vt:variant>
      <vt:variant>
        <vt:i4>0</vt:i4>
      </vt:variant>
      <vt:variant>
        <vt:i4>5</vt:i4>
      </vt:variant>
      <vt:variant>
        <vt:lpwstr/>
      </vt:variant>
      <vt:variant>
        <vt:lpwstr>_Toc201146945</vt:lpwstr>
      </vt:variant>
      <vt:variant>
        <vt:i4>1310782</vt:i4>
      </vt:variant>
      <vt:variant>
        <vt:i4>5705</vt:i4>
      </vt:variant>
      <vt:variant>
        <vt:i4>0</vt:i4>
      </vt:variant>
      <vt:variant>
        <vt:i4>5</vt:i4>
      </vt:variant>
      <vt:variant>
        <vt:lpwstr/>
      </vt:variant>
      <vt:variant>
        <vt:lpwstr>_Toc201146944</vt:lpwstr>
      </vt:variant>
      <vt:variant>
        <vt:i4>1310782</vt:i4>
      </vt:variant>
      <vt:variant>
        <vt:i4>5699</vt:i4>
      </vt:variant>
      <vt:variant>
        <vt:i4>0</vt:i4>
      </vt:variant>
      <vt:variant>
        <vt:i4>5</vt:i4>
      </vt:variant>
      <vt:variant>
        <vt:lpwstr/>
      </vt:variant>
      <vt:variant>
        <vt:lpwstr>_Toc201146943</vt:lpwstr>
      </vt:variant>
      <vt:variant>
        <vt:i4>1310782</vt:i4>
      </vt:variant>
      <vt:variant>
        <vt:i4>5693</vt:i4>
      </vt:variant>
      <vt:variant>
        <vt:i4>0</vt:i4>
      </vt:variant>
      <vt:variant>
        <vt:i4>5</vt:i4>
      </vt:variant>
      <vt:variant>
        <vt:lpwstr/>
      </vt:variant>
      <vt:variant>
        <vt:lpwstr>_Toc201146942</vt:lpwstr>
      </vt:variant>
      <vt:variant>
        <vt:i4>1310782</vt:i4>
      </vt:variant>
      <vt:variant>
        <vt:i4>5687</vt:i4>
      </vt:variant>
      <vt:variant>
        <vt:i4>0</vt:i4>
      </vt:variant>
      <vt:variant>
        <vt:i4>5</vt:i4>
      </vt:variant>
      <vt:variant>
        <vt:lpwstr/>
      </vt:variant>
      <vt:variant>
        <vt:lpwstr>_Toc201146941</vt:lpwstr>
      </vt:variant>
      <vt:variant>
        <vt:i4>1310782</vt:i4>
      </vt:variant>
      <vt:variant>
        <vt:i4>5681</vt:i4>
      </vt:variant>
      <vt:variant>
        <vt:i4>0</vt:i4>
      </vt:variant>
      <vt:variant>
        <vt:i4>5</vt:i4>
      </vt:variant>
      <vt:variant>
        <vt:lpwstr/>
      </vt:variant>
      <vt:variant>
        <vt:lpwstr>_Toc201146940</vt:lpwstr>
      </vt:variant>
      <vt:variant>
        <vt:i4>1245246</vt:i4>
      </vt:variant>
      <vt:variant>
        <vt:i4>5675</vt:i4>
      </vt:variant>
      <vt:variant>
        <vt:i4>0</vt:i4>
      </vt:variant>
      <vt:variant>
        <vt:i4>5</vt:i4>
      </vt:variant>
      <vt:variant>
        <vt:lpwstr/>
      </vt:variant>
      <vt:variant>
        <vt:lpwstr>_Toc201146939</vt:lpwstr>
      </vt:variant>
      <vt:variant>
        <vt:i4>1245246</vt:i4>
      </vt:variant>
      <vt:variant>
        <vt:i4>5669</vt:i4>
      </vt:variant>
      <vt:variant>
        <vt:i4>0</vt:i4>
      </vt:variant>
      <vt:variant>
        <vt:i4>5</vt:i4>
      </vt:variant>
      <vt:variant>
        <vt:lpwstr/>
      </vt:variant>
      <vt:variant>
        <vt:lpwstr>_Toc201146938</vt:lpwstr>
      </vt:variant>
      <vt:variant>
        <vt:i4>1245246</vt:i4>
      </vt:variant>
      <vt:variant>
        <vt:i4>5663</vt:i4>
      </vt:variant>
      <vt:variant>
        <vt:i4>0</vt:i4>
      </vt:variant>
      <vt:variant>
        <vt:i4>5</vt:i4>
      </vt:variant>
      <vt:variant>
        <vt:lpwstr/>
      </vt:variant>
      <vt:variant>
        <vt:lpwstr>_Toc201146937</vt:lpwstr>
      </vt:variant>
      <vt:variant>
        <vt:i4>1245246</vt:i4>
      </vt:variant>
      <vt:variant>
        <vt:i4>5657</vt:i4>
      </vt:variant>
      <vt:variant>
        <vt:i4>0</vt:i4>
      </vt:variant>
      <vt:variant>
        <vt:i4>5</vt:i4>
      </vt:variant>
      <vt:variant>
        <vt:lpwstr/>
      </vt:variant>
      <vt:variant>
        <vt:lpwstr>_Toc201146936</vt:lpwstr>
      </vt:variant>
      <vt:variant>
        <vt:i4>1245246</vt:i4>
      </vt:variant>
      <vt:variant>
        <vt:i4>5651</vt:i4>
      </vt:variant>
      <vt:variant>
        <vt:i4>0</vt:i4>
      </vt:variant>
      <vt:variant>
        <vt:i4>5</vt:i4>
      </vt:variant>
      <vt:variant>
        <vt:lpwstr/>
      </vt:variant>
      <vt:variant>
        <vt:lpwstr>_Toc201146935</vt:lpwstr>
      </vt:variant>
      <vt:variant>
        <vt:i4>1245246</vt:i4>
      </vt:variant>
      <vt:variant>
        <vt:i4>5645</vt:i4>
      </vt:variant>
      <vt:variant>
        <vt:i4>0</vt:i4>
      </vt:variant>
      <vt:variant>
        <vt:i4>5</vt:i4>
      </vt:variant>
      <vt:variant>
        <vt:lpwstr/>
      </vt:variant>
      <vt:variant>
        <vt:lpwstr>_Toc201146934</vt:lpwstr>
      </vt:variant>
      <vt:variant>
        <vt:i4>1245246</vt:i4>
      </vt:variant>
      <vt:variant>
        <vt:i4>5639</vt:i4>
      </vt:variant>
      <vt:variant>
        <vt:i4>0</vt:i4>
      </vt:variant>
      <vt:variant>
        <vt:i4>5</vt:i4>
      </vt:variant>
      <vt:variant>
        <vt:lpwstr/>
      </vt:variant>
      <vt:variant>
        <vt:lpwstr>_Toc201146933</vt:lpwstr>
      </vt:variant>
      <vt:variant>
        <vt:i4>1245246</vt:i4>
      </vt:variant>
      <vt:variant>
        <vt:i4>5633</vt:i4>
      </vt:variant>
      <vt:variant>
        <vt:i4>0</vt:i4>
      </vt:variant>
      <vt:variant>
        <vt:i4>5</vt:i4>
      </vt:variant>
      <vt:variant>
        <vt:lpwstr/>
      </vt:variant>
      <vt:variant>
        <vt:lpwstr>_Toc201146932</vt:lpwstr>
      </vt:variant>
      <vt:variant>
        <vt:i4>1245246</vt:i4>
      </vt:variant>
      <vt:variant>
        <vt:i4>5627</vt:i4>
      </vt:variant>
      <vt:variant>
        <vt:i4>0</vt:i4>
      </vt:variant>
      <vt:variant>
        <vt:i4>5</vt:i4>
      </vt:variant>
      <vt:variant>
        <vt:lpwstr/>
      </vt:variant>
      <vt:variant>
        <vt:lpwstr>_Toc201146931</vt:lpwstr>
      </vt:variant>
      <vt:variant>
        <vt:i4>1245246</vt:i4>
      </vt:variant>
      <vt:variant>
        <vt:i4>5621</vt:i4>
      </vt:variant>
      <vt:variant>
        <vt:i4>0</vt:i4>
      </vt:variant>
      <vt:variant>
        <vt:i4>5</vt:i4>
      </vt:variant>
      <vt:variant>
        <vt:lpwstr/>
      </vt:variant>
      <vt:variant>
        <vt:lpwstr>_Toc201146930</vt:lpwstr>
      </vt:variant>
      <vt:variant>
        <vt:i4>1179710</vt:i4>
      </vt:variant>
      <vt:variant>
        <vt:i4>5615</vt:i4>
      </vt:variant>
      <vt:variant>
        <vt:i4>0</vt:i4>
      </vt:variant>
      <vt:variant>
        <vt:i4>5</vt:i4>
      </vt:variant>
      <vt:variant>
        <vt:lpwstr/>
      </vt:variant>
      <vt:variant>
        <vt:lpwstr>_Toc201146929</vt:lpwstr>
      </vt:variant>
      <vt:variant>
        <vt:i4>1179710</vt:i4>
      </vt:variant>
      <vt:variant>
        <vt:i4>5609</vt:i4>
      </vt:variant>
      <vt:variant>
        <vt:i4>0</vt:i4>
      </vt:variant>
      <vt:variant>
        <vt:i4>5</vt:i4>
      </vt:variant>
      <vt:variant>
        <vt:lpwstr/>
      </vt:variant>
      <vt:variant>
        <vt:lpwstr>_Toc201146928</vt:lpwstr>
      </vt:variant>
      <vt:variant>
        <vt:i4>1179710</vt:i4>
      </vt:variant>
      <vt:variant>
        <vt:i4>5603</vt:i4>
      </vt:variant>
      <vt:variant>
        <vt:i4>0</vt:i4>
      </vt:variant>
      <vt:variant>
        <vt:i4>5</vt:i4>
      </vt:variant>
      <vt:variant>
        <vt:lpwstr/>
      </vt:variant>
      <vt:variant>
        <vt:lpwstr>_Toc201146927</vt:lpwstr>
      </vt:variant>
      <vt:variant>
        <vt:i4>1179710</vt:i4>
      </vt:variant>
      <vt:variant>
        <vt:i4>5597</vt:i4>
      </vt:variant>
      <vt:variant>
        <vt:i4>0</vt:i4>
      </vt:variant>
      <vt:variant>
        <vt:i4>5</vt:i4>
      </vt:variant>
      <vt:variant>
        <vt:lpwstr/>
      </vt:variant>
      <vt:variant>
        <vt:lpwstr>_Toc201146926</vt:lpwstr>
      </vt:variant>
      <vt:variant>
        <vt:i4>1179710</vt:i4>
      </vt:variant>
      <vt:variant>
        <vt:i4>5591</vt:i4>
      </vt:variant>
      <vt:variant>
        <vt:i4>0</vt:i4>
      </vt:variant>
      <vt:variant>
        <vt:i4>5</vt:i4>
      </vt:variant>
      <vt:variant>
        <vt:lpwstr/>
      </vt:variant>
      <vt:variant>
        <vt:lpwstr>_Toc201146925</vt:lpwstr>
      </vt:variant>
      <vt:variant>
        <vt:i4>1179710</vt:i4>
      </vt:variant>
      <vt:variant>
        <vt:i4>5585</vt:i4>
      </vt:variant>
      <vt:variant>
        <vt:i4>0</vt:i4>
      </vt:variant>
      <vt:variant>
        <vt:i4>5</vt:i4>
      </vt:variant>
      <vt:variant>
        <vt:lpwstr/>
      </vt:variant>
      <vt:variant>
        <vt:lpwstr>_Toc201146924</vt:lpwstr>
      </vt:variant>
      <vt:variant>
        <vt:i4>1179710</vt:i4>
      </vt:variant>
      <vt:variant>
        <vt:i4>5579</vt:i4>
      </vt:variant>
      <vt:variant>
        <vt:i4>0</vt:i4>
      </vt:variant>
      <vt:variant>
        <vt:i4>5</vt:i4>
      </vt:variant>
      <vt:variant>
        <vt:lpwstr/>
      </vt:variant>
      <vt:variant>
        <vt:lpwstr>_Toc201146923</vt:lpwstr>
      </vt:variant>
      <vt:variant>
        <vt:i4>1179710</vt:i4>
      </vt:variant>
      <vt:variant>
        <vt:i4>5573</vt:i4>
      </vt:variant>
      <vt:variant>
        <vt:i4>0</vt:i4>
      </vt:variant>
      <vt:variant>
        <vt:i4>5</vt:i4>
      </vt:variant>
      <vt:variant>
        <vt:lpwstr/>
      </vt:variant>
      <vt:variant>
        <vt:lpwstr>_Toc201146922</vt:lpwstr>
      </vt:variant>
      <vt:variant>
        <vt:i4>1179710</vt:i4>
      </vt:variant>
      <vt:variant>
        <vt:i4>5567</vt:i4>
      </vt:variant>
      <vt:variant>
        <vt:i4>0</vt:i4>
      </vt:variant>
      <vt:variant>
        <vt:i4>5</vt:i4>
      </vt:variant>
      <vt:variant>
        <vt:lpwstr/>
      </vt:variant>
      <vt:variant>
        <vt:lpwstr>_Toc201146921</vt:lpwstr>
      </vt:variant>
      <vt:variant>
        <vt:i4>1179710</vt:i4>
      </vt:variant>
      <vt:variant>
        <vt:i4>5561</vt:i4>
      </vt:variant>
      <vt:variant>
        <vt:i4>0</vt:i4>
      </vt:variant>
      <vt:variant>
        <vt:i4>5</vt:i4>
      </vt:variant>
      <vt:variant>
        <vt:lpwstr/>
      </vt:variant>
      <vt:variant>
        <vt:lpwstr>_Toc201146920</vt:lpwstr>
      </vt:variant>
      <vt:variant>
        <vt:i4>1114174</vt:i4>
      </vt:variant>
      <vt:variant>
        <vt:i4>5555</vt:i4>
      </vt:variant>
      <vt:variant>
        <vt:i4>0</vt:i4>
      </vt:variant>
      <vt:variant>
        <vt:i4>5</vt:i4>
      </vt:variant>
      <vt:variant>
        <vt:lpwstr/>
      </vt:variant>
      <vt:variant>
        <vt:lpwstr>_Toc201146919</vt:lpwstr>
      </vt:variant>
      <vt:variant>
        <vt:i4>1114174</vt:i4>
      </vt:variant>
      <vt:variant>
        <vt:i4>5549</vt:i4>
      </vt:variant>
      <vt:variant>
        <vt:i4>0</vt:i4>
      </vt:variant>
      <vt:variant>
        <vt:i4>5</vt:i4>
      </vt:variant>
      <vt:variant>
        <vt:lpwstr/>
      </vt:variant>
      <vt:variant>
        <vt:lpwstr>_Toc201146918</vt:lpwstr>
      </vt:variant>
      <vt:variant>
        <vt:i4>1114174</vt:i4>
      </vt:variant>
      <vt:variant>
        <vt:i4>5543</vt:i4>
      </vt:variant>
      <vt:variant>
        <vt:i4>0</vt:i4>
      </vt:variant>
      <vt:variant>
        <vt:i4>5</vt:i4>
      </vt:variant>
      <vt:variant>
        <vt:lpwstr/>
      </vt:variant>
      <vt:variant>
        <vt:lpwstr>_Toc201146917</vt:lpwstr>
      </vt:variant>
      <vt:variant>
        <vt:i4>1114174</vt:i4>
      </vt:variant>
      <vt:variant>
        <vt:i4>5537</vt:i4>
      </vt:variant>
      <vt:variant>
        <vt:i4>0</vt:i4>
      </vt:variant>
      <vt:variant>
        <vt:i4>5</vt:i4>
      </vt:variant>
      <vt:variant>
        <vt:lpwstr/>
      </vt:variant>
      <vt:variant>
        <vt:lpwstr>_Toc201146916</vt:lpwstr>
      </vt:variant>
      <vt:variant>
        <vt:i4>1114174</vt:i4>
      </vt:variant>
      <vt:variant>
        <vt:i4>5531</vt:i4>
      </vt:variant>
      <vt:variant>
        <vt:i4>0</vt:i4>
      </vt:variant>
      <vt:variant>
        <vt:i4>5</vt:i4>
      </vt:variant>
      <vt:variant>
        <vt:lpwstr/>
      </vt:variant>
      <vt:variant>
        <vt:lpwstr>_Toc201146915</vt:lpwstr>
      </vt:variant>
      <vt:variant>
        <vt:i4>1114174</vt:i4>
      </vt:variant>
      <vt:variant>
        <vt:i4>5525</vt:i4>
      </vt:variant>
      <vt:variant>
        <vt:i4>0</vt:i4>
      </vt:variant>
      <vt:variant>
        <vt:i4>5</vt:i4>
      </vt:variant>
      <vt:variant>
        <vt:lpwstr/>
      </vt:variant>
      <vt:variant>
        <vt:lpwstr>_Toc201146914</vt:lpwstr>
      </vt:variant>
      <vt:variant>
        <vt:i4>1114174</vt:i4>
      </vt:variant>
      <vt:variant>
        <vt:i4>5519</vt:i4>
      </vt:variant>
      <vt:variant>
        <vt:i4>0</vt:i4>
      </vt:variant>
      <vt:variant>
        <vt:i4>5</vt:i4>
      </vt:variant>
      <vt:variant>
        <vt:lpwstr/>
      </vt:variant>
      <vt:variant>
        <vt:lpwstr>_Toc201146913</vt:lpwstr>
      </vt:variant>
      <vt:variant>
        <vt:i4>1114174</vt:i4>
      </vt:variant>
      <vt:variant>
        <vt:i4>5513</vt:i4>
      </vt:variant>
      <vt:variant>
        <vt:i4>0</vt:i4>
      </vt:variant>
      <vt:variant>
        <vt:i4>5</vt:i4>
      </vt:variant>
      <vt:variant>
        <vt:lpwstr/>
      </vt:variant>
      <vt:variant>
        <vt:lpwstr>_Toc201146912</vt:lpwstr>
      </vt:variant>
      <vt:variant>
        <vt:i4>1114174</vt:i4>
      </vt:variant>
      <vt:variant>
        <vt:i4>5507</vt:i4>
      </vt:variant>
      <vt:variant>
        <vt:i4>0</vt:i4>
      </vt:variant>
      <vt:variant>
        <vt:i4>5</vt:i4>
      </vt:variant>
      <vt:variant>
        <vt:lpwstr/>
      </vt:variant>
      <vt:variant>
        <vt:lpwstr>_Toc201146911</vt:lpwstr>
      </vt:variant>
      <vt:variant>
        <vt:i4>1114174</vt:i4>
      </vt:variant>
      <vt:variant>
        <vt:i4>5501</vt:i4>
      </vt:variant>
      <vt:variant>
        <vt:i4>0</vt:i4>
      </vt:variant>
      <vt:variant>
        <vt:i4>5</vt:i4>
      </vt:variant>
      <vt:variant>
        <vt:lpwstr/>
      </vt:variant>
      <vt:variant>
        <vt:lpwstr>_Toc201146910</vt:lpwstr>
      </vt:variant>
      <vt:variant>
        <vt:i4>1048638</vt:i4>
      </vt:variant>
      <vt:variant>
        <vt:i4>5495</vt:i4>
      </vt:variant>
      <vt:variant>
        <vt:i4>0</vt:i4>
      </vt:variant>
      <vt:variant>
        <vt:i4>5</vt:i4>
      </vt:variant>
      <vt:variant>
        <vt:lpwstr/>
      </vt:variant>
      <vt:variant>
        <vt:lpwstr>_Toc201146909</vt:lpwstr>
      </vt:variant>
      <vt:variant>
        <vt:i4>1048638</vt:i4>
      </vt:variant>
      <vt:variant>
        <vt:i4>5489</vt:i4>
      </vt:variant>
      <vt:variant>
        <vt:i4>0</vt:i4>
      </vt:variant>
      <vt:variant>
        <vt:i4>5</vt:i4>
      </vt:variant>
      <vt:variant>
        <vt:lpwstr/>
      </vt:variant>
      <vt:variant>
        <vt:lpwstr>_Toc201146908</vt:lpwstr>
      </vt:variant>
      <vt:variant>
        <vt:i4>1048638</vt:i4>
      </vt:variant>
      <vt:variant>
        <vt:i4>5483</vt:i4>
      </vt:variant>
      <vt:variant>
        <vt:i4>0</vt:i4>
      </vt:variant>
      <vt:variant>
        <vt:i4>5</vt:i4>
      </vt:variant>
      <vt:variant>
        <vt:lpwstr/>
      </vt:variant>
      <vt:variant>
        <vt:lpwstr>_Toc201146907</vt:lpwstr>
      </vt:variant>
      <vt:variant>
        <vt:i4>1048638</vt:i4>
      </vt:variant>
      <vt:variant>
        <vt:i4>5477</vt:i4>
      </vt:variant>
      <vt:variant>
        <vt:i4>0</vt:i4>
      </vt:variant>
      <vt:variant>
        <vt:i4>5</vt:i4>
      </vt:variant>
      <vt:variant>
        <vt:lpwstr/>
      </vt:variant>
      <vt:variant>
        <vt:lpwstr>_Toc201146906</vt:lpwstr>
      </vt:variant>
      <vt:variant>
        <vt:i4>1048638</vt:i4>
      </vt:variant>
      <vt:variant>
        <vt:i4>5471</vt:i4>
      </vt:variant>
      <vt:variant>
        <vt:i4>0</vt:i4>
      </vt:variant>
      <vt:variant>
        <vt:i4>5</vt:i4>
      </vt:variant>
      <vt:variant>
        <vt:lpwstr/>
      </vt:variant>
      <vt:variant>
        <vt:lpwstr>_Toc201146905</vt:lpwstr>
      </vt:variant>
      <vt:variant>
        <vt:i4>1048638</vt:i4>
      </vt:variant>
      <vt:variant>
        <vt:i4>5465</vt:i4>
      </vt:variant>
      <vt:variant>
        <vt:i4>0</vt:i4>
      </vt:variant>
      <vt:variant>
        <vt:i4>5</vt:i4>
      </vt:variant>
      <vt:variant>
        <vt:lpwstr/>
      </vt:variant>
      <vt:variant>
        <vt:lpwstr>_Toc201146904</vt:lpwstr>
      </vt:variant>
      <vt:variant>
        <vt:i4>1048638</vt:i4>
      </vt:variant>
      <vt:variant>
        <vt:i4>5462</vt:i4>
      </vt:variant>
      <vt:variant>
        <vt:i4>0</vt:i4>
      </vt:variant>
      <vt:variant>
        <vt:i4>5</vt:i4>
      </vt:variant>
      <vt:variant>
        <vt:lpwstr/>
      </vt:variant>
      <vt:variant>
        <vt:lpwstr>_Toc201146903</vt:lpwstr>
      </vt:variant>
      <vt:variant>
        <vt:i4>1048638</vt:i4>
      </vt:variant>
      <vt:variant>
        <vt:i4>5456</vt:i4>
      </vt:variant>
      <vt:variant>
        <vt:i4>0</vt:i4>
      </vt:variant>
      <vt:variant>
        <vt:i4>5</vt:i4>
      </vt:variant>
      <vt:variant>
        <vt:lpwstr/>
      </vt:variant>
      <vt:variant>
        <vt:lpwstr>_Toc201146902</vt:lpwstr>
      </vt:variant>
      <vt:variant>
        <vt:i4>1048638</vt:i4>
      </vt:variant>
      <vt:variant>
        <vt:i4>5450</vt:i4>
      </vt:variant>
      <vt:variant>
        <vt:i4>0</vt:i4>
      </vt:variant>
      <vt:variant>
        <vt:i4>5</vt:i4>
      </vt:variant>
      <vt:variant>
        <vt:lpwstr/>
      </vt:variant>
      <vt:variant>
        <vt:lpwstr>_Toc201146901</vt:lpwstr>
      </vt:variant>
      <vt:variant>
        <vt:i4>1048638</vt:i4>
      </vt:variant>
      <vt:variant>
        <vt:i4>5444</vt:i4>
      </vt:variant>
      <vt:variant>
        <vt:i4>0</vt:i4>
      </vt:variant>
      <vt:variant>
        <vt:i4>5</vt:i4>
      </vt:variant>
      <vt:variant>
        <vt:lpwstr/>
      </vt:variant>
      <vt:variant>
        <vt:lpwstr>_Toc201146900</vt:lpwstr>
      </vt:variant>
      <vt:variant>
        <vt:i4>1638463</vt:i4>
      </vt:variant>
      <vt:variant>
        <vt:i4>5438</vt:i4>
      </vt:variant>
      <vt:variant>
        <vt:i4>0</vt:i4>
      </vt:variant>
      <vt:variant>
        <vt:i4>5</vt:i4>
      </vt:variant>
      <vt:variant>
        <vt:lpwstr/>
      </vt:variant>
      <vt:variant>
        <vt:lpwstr>_Toc201146899</vt:lpwstr>
      </vt:variant>
      <vt:variant>
        <vt:i4>1638463</vt:i4>
      </vt:variant>
      <vt:variant>
        <vt:i4>5432</vt:i4>
      </vt:variant>
      <vt:variant>
        <vt:i4>0</vt:i4>
      </vt:variant>
      <vt:variant>
        <vt:i4>5</vt:i4>
      </vt:variant>
      <vt:variant>
        <vt:lpwstr/>
      </vt:variant>
      <vt:variant>
        <vt:lpwstr>_Toc201146898</vt:lpwstr>
      </vt:variant>
      <vt:variant>
        <vt:i4>1638463</vt:i4>
      </vt:variant>
      <vt:variant>
        <vt:i4>5426</vt:i4>
      </vt:variant>
      <vt:variant>
        <vt:i4>0</vt:i4>
      </vt:variant>
      <vt:variant>
        <vt:i4>5</vt:i4>
      </vt:variant>
      <vt:variant>
        <vt:lpwstr/>
      </vt:variant>
      <vt:variant>
        <vt:lpwstr>_Toc201146897</vt:lpwstr>
      </vt:variant>
      <vt:variant>
        <vt:i4>1638463</vt:i4>
      </vt:variant>
      <vt:variant>
        <vt:i4>5420</vt:i4>
      </vt:variant>
      <vt:variant>
        <vt:i4>0</vt:i4>
      </vt:variant>
      <vt:variant>
        <vt:i4>5</vt:i4>
      </vt:variant>
      <vt:variant>
        <vt:lpwstr/>
      </vt:variant>
      <vt:variant>
        <vt:lpwstr>_Toc201146896</vt:lpwstr>
      </vt:variant>
      <vt:variant>
        <vt:i4>1638463</vt:i4>
      </vt:variant>
      <vt:variant>
        <vt:i4>5414</vt:i4>
      </vt:variant>
      <vt:variant>
        <vt:i4>0</vt:i4>
      </vt:variant>
      <vt:variant>
        <vt:i4>5</vt:i4>
      </vt:variant>
      <vt:variant>
        <vt:lpwstr/>
      </vt:variant>
      <vt:variant>
        <vt:lpwstr>_Toc201146895</vt:lpwstr>
      </vt:variant>
      <vt:variant>
        <vt:i4>1638463</vt:i4>
      </vt:variant>
      <vt:variant>
        <vt:i4>5408</vt:i4>
      </vt:variant>
      <vt:variant>
        <vt:i4>0</vt:i4>
      </vt:variant>
      <vt:variant>
        <vt:i4>5</vt:i4>
      </vt:variant>
      <vt:variant>
        <vt:lpwstr/>
      </vt:variant>
      <vt:variant>
        <vt:lpwstr>_Toc201146894</vt:lpwstr>
      </vt:variant>
      <vt:variant>
        <vt:i4>1638463</vt:i4>
      </vt:variant>
      <vt:variant>
        <vt:i4>5402</vt:i4>
      </vt:variant>
      <vt:variant>
        <vt:i4>0</vt:i4>
      </vt:variant>
      <vt:variant>
        <vt:i4>5</vt:i4>
      </vt:variant>
      <vt:variant>
        <vt:lpwstr/>
      </vt:variant>
      <vt:variant>
        <vt:lpwstr>_Toc201146893</vt:lpwstr>
      </vt:variant>
      <vt:variant>
        <vt:i4>1638463</vt:i4>
      </vt:variant>
      <vt:variant>
        <vt:i4>5396</vt:i4>
      </vt:variant>
      <vt:variant>
        <vt:i4>0</vt:i4>
      </vt:variant>
      <vt:variant>
        <vt:i4>5</vt:i4>
      </vt:variant>
      <vt:variant>
        <vt:lpwstr/>
      </vt:variant>
      <vt:variant>
        <vt:lpwstr>_Toc201146892</vt:lpwstr>
      </vt:variant>
      <vt:variant>
        <vt:i4>1638463</vt:i4>
      </vt:variant>
      <vt:variant>
        <vt:i4>5390</vt:i4>
      </vt:variant>
      <vt:variant>
        <vt:i4>0</vt:i4>
      </vt:variant>
      <vt:variant>
        <vt:i4>5</vt:i4>
      </vt:variant>
      <vt:variant>
        <vt:lpwstr/>
      </vt:variant>
      <vt:variant>
        <vt:lpwstr>_Toc201146891</vt:lpwstr>
      </vt:variant>
      <vt:variant>
        <vt:i4>1638463</vt:i4>
      </vt:variant>
      <vt:variant>
        <vt:i4>5384</vt:i4>
      </vt:variant>
      <vt:variant>
        <vt:i4>0</vt:i4>
      </vt:variant>
      <vt:variant>
        <vt:i4>5</vt:i4>
      </vt:variant>
      <vt:variant>
        <vt:lpwstr/>
      </vt:variant>
      <vt:variant>
        <vt:lpwstr>_Toc201146890</vt:lpwstr>
      </vt:variant>
      <vt:variant>
        <vt:i4>1572927</vt:i4>
      </vt:variant>
      <vt:variant>
        <vt:i4>5378</vt:i4>
      </vt:variant>
      <vt:variant>
        <vt:i4>0</vt:i4>
      </vt:variant>
      <vt:variant>
        <vt:i4>5</vt:i4>
      </vt:variant>
      <vt:variant>
        <vt:lpwstr/>
      </vt:variant>
      <vt:variant>
        <vt:lpwstr>_Toc201146889</vt:lpwstr>
      </vt:variant>
      <vt:variant>
        <vt:i4>1572927</vt:i4>
      </vt:variant>
      <vt:variant>
        <vt:i4>5375</vt:i4>
      </vt:variant>
      <vt:variant>
        <vt:i4>0</vt:i4>
      </vt:variant>
      <vt:variant>
        <vt:i4>5</vt:i4>
      </vt:variant>
      <vt:variant>
        <vt:lpwstr/>
      </vt:variant>
      <vt:variant>
        <vt:lpwstr>_Toc201146888</vt:lpwstr>
      </vt:variant>
      <vt:variant>
        <vt:i4>1572927</vt:i4>
      </vt:variant>
      <vt:variant>
        <vt:i4>5369</vt:i4>
      </vt:variant>
      <vt:variant>
        <vt:i4>0</vt:i4>
      </vt:variant>
      <vt:variant>
        <vt:i4>5</vt:i4>
      </vt:variant>
      <vt:variant>
        <vt:lpwstr/>
      </vt:variant>
      <vt:variant>
        <vt:lpwstr>_Toc201146887</vt:lpwstr>
      </vt:variant>
      <vt:variant>
        <vt:i4>1572927</vt:i4>
      </vt:variant>
      <vt:variant>
        <vt:i4>5363</vt:i4>
      </vt:variant>
      <vt:variant>
        <vt:i4>0</vt:i4>
      </vt:variant>
      <vt:variant>
        <vt:i4>5</vt:i4>
      </vt:variant>
      <vt:variant>
        <vt:lpwstr/>
      </vt:variant>
      <vt:variant>
        <vt:lpwstr>_Toc201146886</vt:lpwstr>
      </vt:variant>
      <vt:variant>
        <vt:i4>1572927</vt:i4>
      </vt:variant>
      <vt:variant>
        <vt:i4>5357</vt:i4>
      </vt:variant>
      <vt:variant>
        <vt:i4>0</vt:i4>
      </vt:variant>
      <vt:variant>
        <vt:i4>5</vt:i4>
      </vt:variant>
      <vt:variant>
        <vt:lpwstr/>
      </vt:variant>
      <vt:variant>
        <vt:lpwstr>_Toc201146885</vt:lpwstr>
      </vt:variant>
      <vt:variant>
        <vt:i4>1572927</vt:i4>
      </vt:variant>
      <vt:variant>
        <vt:i4>5351</vt:i4>
      </vt:variant>
      <vt:variant>
        <vt:i4>0</vt:i4>
      </vt:variant>
      <vt:variant>
        <vt:i4>5</vt:i4>
      </vt:variant>
      <vt:variant>
        <vt:lpwstr/>
      </vt:variant>
      <vt:variant>
        <vt:lpwstr>_Toc201146884</vt:lpwstr>
      </vt:variant>
      <vt:variant>
        <vt:i4>1572927</vt:i4>
      </vt:variant>
      <vt:variant>
        <vt:i4>5345</vt:i4>
      </vt:variant>
      <vt:variant>
        <vt:i4>0</vt:i4>
      </vt:variant>
      <vt:variant>
        <vt:i4>5</vt:i4>
      </vt:variant>
      <vt:variant>
        <vt:lpwstr/>
      </vt:variant>
      <vt:variant>
        <vt:lpwstr>_Toc201146883</vt:lpwstr>
      </vt:variant>
      <vt:variant>
        <vt:i4>1572927</vt:i4>
      </vt:variant>
      <vt:variant>
        <vt:i4>5339</vt:i4>
      </vt:variant>
      <vt:variant>
        <vt:i4>0</vt:i4>
      </vt:variant>
      <vt:variant>
        <vt:i4>5</vt:i4>
      </vt:variant>
      <vt:variant>
        <vt:lpwstr/>
      </vt:variant>
      <vt:variant>
        <vt:lpwstr>_Toc201146882</vt:lpwstr>
      </vt:variant>
      <vt:variant>
        <vt:i4>1572927</vt:i4>
      </vt:variant>
      <vt:variant>
        <vt:i4>5333</vt:i4>
      </vt:variant>
      <vt:variant>
        <vt:i4>0</vt:i4>
      </vt:variant>
      <vt:variant>
        <vt:i4>5</vt:i4>
      </vt:variant>
      <vt:variant>
        <vt:lpwstr/>
      </vt:variant>
      <vt:variant>
        <vt:lpwstr>_Toc201146881</vt:lpwstr>
      </vt:variant>
      <vt:variant>
        <vt:i4>1572927</vt:i4>
      </vt:variant>
      <vt:variant>
        <vt:i4>5327</vt:i4>
      </vt:variant>
      <vt:variant>
        <vt:i4>0</vt:i4>
      </vt:variant>
      <vt:variant>
        <vt:i4>5</vt:i4>
      </vt:variant>
      <vt:variant>
        <vt:lpwstr/>
      </vt:variant>
      <vt:variant>
        <vt:lpwstr>_Toc201146880</vt:lpwstr>
      </vt:variant>
      <vt:variant>
        <vt:i4>1507391</vt:i4>
      </vt:variant>
      <vt:variant>
        <vt:i4>5321</vt:i4>
      </vt:variant>
      <vt:variant>
        <vt:i4>0</vt:i4>
      </vt:variant>
      <vt:variant>
        <vt:i4>5</vt:i4>
      </vt:variant>
      <vt:variant>
        <vt:lpwstr/>
      </vt:variant>
      <vt:variant>
        <vt:lpwstr>_Toc201146879</vt:lpwstr>
      </vt:variant>
      <vt:variant>
        <vt:i4>1507391</vt:i4>
      </vt:variant>
      <vt:variant>
        <vt:i4>5315</vt:i4>
      </vt:variant>
      <vt:variant>
        <vt:i4>0</vt:i4>
      </vt:variant>
      <vt:variant>
        <vt:i4>5</vt:i4>
      </vt:variant>
      <vt:variant>
        <vt:lpwstr/>
      </vt:variant>
      <vt:variant>
        <vt:lpwstr>_Toc201146878</vt:lpwstr>
      </vt:variant>
      <vt:variant>
        <vt:i4>1507391</vt:i4>
      </vt:variant>
      <vt:variant>
        <vt:i4>5309</vt:i4>
      </vt:variant>
      <vt:variant>
        <vt:i4>0</vt:i4>
      </vt:variant>
      <vt:variant>
        <vt:i4>5</vt:i4>
      </vt:variant>
      <vt:variant>
        <vt:lpwstr/>
      </vt:variant>
      <vt:variant>
        <vt:lpwstr>_Toc201146877</vt:lpwstr>
      </vt:variant>
      <vt:variant>
        <vt:i4>1507391</vt:i4>
      </vt:variant>
      <vt:variant>
        <vt:i4>5303</vt:i4>
      </vt:variant>
      <vt:variant>
        <vt:i4>0</vt:i4>
      </vt:variant>
      <vt:variant>
        <vt:i4>5</vt:i4>
      </vt:variant>
      <vt:variant>
        <vt:lpwstr/>
      </vt:variant>
      <vt:variant>
        <vt:lpwstr>_Toc201146876</vt:lpwstr>
      </vt:variant>
      <vt:variant>
        <vt:i4>1507391</vt:i4>
      </vt:variant>
      <vt:variant>
        <vt:i4>5297</vt:i4>
      </vt:variant>
      <vt:variant>
        <vt:i4>0</vt:i4>
      </vt:variant>
      <vt:variant>
        <vt:i4>5</vt:i4>
      </vt:variant>
      <vt:variant>
        <vt:lpwstr/>
      </vt:variant>
      <vt:variant>
        <vt:lpwstr>_Toc201146875</vt:lpwstr>
      </vt:variant>
      <vt:variant>
        <vt:i4>1507391</vt:i4>
      </vt:variant>
      <vt:variant>
        <vt:i4>5291</vt:i4>
      </vt:variant>
      <vt:variant>
        <vt:i4>0</vt:i4>
      </vt:variant>
      <vt:variant>
        <vt:i4>5</vt:i4>
      </vt:variant>
      <vt:variant>
        <vt:lpwstr/>
      </vt:variant>
      <vt:variant>
        <vt:lpwstr>_Toc201146874</vt:lpwstr>
      </vt:variant>
      <vt:variant>
        <vt:i4>1507391</vt:i4>
      </vt:variant>
      <vt:variant>
        <vt:i4>5285</vt:i4>
      </vt:variant>
      <vt:variant>
        <vt:i4>0</vt:i4>
      </vt:variant>
      <vt:variant>
        <vt:i4>5</vt:i4>
      </vt:variant>
      <vt:variant>
        <vt:lpwstr/>
      </vt:variant>
      <vt:variant>
        <vt:lpwstr>_Toc201146873</vt:lpwstr>
      </vt:variant>
      <vt:variant>
        <vt:i4>1507391</vt:i4>
      </vt:variant>
      <vt:variant>
        <vt:i4>5279</vt:i4>
      </vt:variant>
      <vt:variant>
        <vt:i4>0</vt:i4>
      </vt:variant>
      <vt:variant>
        <vt:i4>5</vt:i4>
      </vt:variant>
      <vt:variant>
        <vt:lpwstr/>
      </vt:variant>
      <vt:variant>
        <vt:lpwstr>_Toc201146872</vt:lpwstr>
      </vt:variant>
      <vt:variant>
        <vt:i4>1507391</vt:i4>
      </vt:variant>
      <vt:variant>
        <vt:i4>5273</vt:i4>
      </vt:variant>
      <vt:variant>
        <vt:i4>0</vt:i4>
      </vt:variant>
      <vt:variant>
        <vt:i4>5</vt:i4>
      </vt:variant>
      <vt:variant>
        <vt:lpwstr/>
      </vt:variant>
      <vt:variant>
        <vt:lpwstr>_Toc201146871</vt:lpwstr>
      </vt:variant>
      <vt:variant>
        <vt:i4>1507391</vt:i4>
      </vt:variant>
      <vt:variant>
        <vt:i4>5267</vt:i4>
      </vt:variant>
      <vt:variant>
        <vt:i4>0</vt:i4>
      </vt:variant>
      <vt:variant>
        <vt:i4>5</vt:i4>
      </vt:variant>
      <vt:variant>
        <vt:lpwstr/>
      </vt:variant>
      <vt:variant>
        <vt:lpwstr>_Toc201146870</vt:lpwstr>
      </vt:variant>
      <vt:variant>
        <vt:i4>1441855</vt:i4>
      </vt:variant>
      <vt:variant>
        <vt:i4>5261</vt:i4>
      </vt:variant>
      <vt:variant>
        <vt:i4>0</vt:i4>
      </vt:variant>
      <vt:variant>
        <vt:i4>5</vt:i4>
      </vt:variant>
      <vt:variant>
        <vt:lpwstr/>
      </vt:variant>
      <vt:variant>
        <vt:lpwstr>_Toc201146869</vt:lpwstr>
      </vt:variant>
      <vt:variant>
        <vt:i4>1441855</vt:i4>
      </vt:variant>
      <vt:variant>
        <vt:i4>5255</vt:i4>
      </vt:variant>
      <vt:variant>
        <vt:i4>0</vt:i4>
      </vt:variant>
      <vt:variant>
        <vt:i4>5</vt:i4>
      </vt:variant>
      <vt:variant>
        <vt:lpwstr/>
      </vt:variant>
      <vt:variant>
        <vt:lpwstr>_Toc201146868</vt:lpwstr>
      </vt:variant>
      <vt:variant>
        <vt:i4>1441855</vt:i4>
      </vt:variant>
      <vt:variant>
        <vt:i4>5249</vt:i4>
      </vt:variant>
      <vt:variant>
        <vt:i4>0</vt:i4>
      </vt:variant>
      <vt:variant>
        <vt:i4>5</vt:i4>
      </vt:variant>
      <vt:variant>
        <vt:lpwstr/>
      </vt:variant>
      <vt:variant>
        <vt:lpwstr>_Toc201146867</vt:lpwstr>
      </vt:variant>
      <vt:variant>
        <vt:i4>1441855</vt:i4>
      </vt:variant>
      <vt:variant>
        <vt:i4>5243</vt:i4>
      </vt:variant>
      <vt:variant>
        <vt:i4>0</vt:i4>
      </vt:variant>
      <vt:variant>
        <vt:i4>5</vt:i4>
      </vt:variant>
      <vt:variant>
        <vt:lpwstr/>
      </vt:variant>
      <vt:variant>
        <vt:lpwstr>_Toc201146866</vt:lpwstr>
      </vt:variant>
      <vt:variant>
        <vt:i4>1441855</vt:i4>
      </vt:variant>
      <vt:variant>
        <vt:i4>5237</vt:i4>
      </vt:variant>
      <vt:variant>
        <vt:i4>0</vt:i4>
      </vt:variant>
      <vt:variant>
        <vt:i4>5</vt:i4>
      </vt:variant>
      <vt:variant>
        <vt:lpwstr/>
      </vt:variant>
      <vt:variant>
        <vt:lpwstr>_Toc201146865</vt:lpwstr>
      </vt:variant>
      <vt:variant>
        <vt:i4>1441855</vt:i4>
      </vt:variant>
      <vt:variant>
        <vt:i4>5231</vt:i4>
      </vt:variant>
      <vt:variant>
        <vt:i4>0</vt:i4>
      </vt:variant>
      <vt:variant>
        <vt:i4>5</vt:i4>
      </vt:variant>
      <vt:variant>
        <vt:lpwstr/>
      </vt:variant>
      <vt:variant>
        <vt:lpwstr>_Toc201146864</vt:lpwstr>
      </vt:variant>
      <vt:variant>
        <vt:i4>1441855</vt:i4>
      </vt:variant>
      <vt:variant>
        <vt:i4>5225</vt:i4>
      </vt:variant>
      <vt:variant>
        <vt:i4>0</vt:i4>
      </vt:variant>
      <vt:variant>
        <vt:i4>5</vt:i4>
      </vt:variant>
      <vt:variant>
        <vt:lpwstr/>
      </vt:variant>
      <vt:variant>
        <vt:lpwstr>_Toc201146863</vt:lpwstr>
      </vt:variant>
      <vt:variant>
        <vt:i4>1441855</vt:i4>
      </vt:variant>
      <vt:variant>
        <vt:i4>5219</vt:i4>
      </vt:variant>
      <vt:variant>
        <vt:i4>0</vt:i4>
      </vt:variant>
      <vt:variant>
        <vt:i4>5</vt:i4>
      </vt:variant>
      <vt:variant>
        <vt:lpwstr/>
      </vt:variant>
      <vt:variant>
        <vt:lpwstr>_Toc201146862</vt:lpwstr>
      </vt:variant>
      <vt:variant>
        <vt:i4>1441855</vt:i4>
      </vt:variant>
      <vt:variant>
        <vt:i4>5213</vt:i4>
      </vt:variant>
      <vt:variant>
        <vt:i4>0</vt:i4>
      </vt:variant>
      <vt:variant>
        <vt:i4>5</vt:i4>
      </vt:variant>
      <vt:variant>
        <vt:lpwstr/>
      </vt:variant>
      <vt:variant>
        <vt:lpwstr>_Toc201146861</vt:lpwstr>
      </vt:variant>
      <vt:variant>
        <vt:i4>1441855</vt:i4>
      </vt:variant>
      <vt:variant>
        <vt:i4>5207</vt:i4>
      </vt:variant>
      <vt:variant>
        <vt:i4>0</vt:i4>
      </vt:variant>
      <vt:variant>
        <vt:i4>5</vt:i4>
      </vt:variant>
      <vt:variant>
        <vt:lpwstr/>
      </vt:variant>
      <vt:variant>
        <vt:lpwstr>_Toc201146860</vt:lpwstr>
      </vt:variant>
      <vt:variant>
        <vt:i4>1376319</vt:i4>
      </vt:variant>
      <vt:variant>
        <vt:i4>5201</vt:i4>
      </vt:variant>
      <vt:variant>
        <vt:i4>0</vt:i4>
      </vt:variant>
      <vt:variant>
        <vt:i4>5</vt:i4>
      </vt:variant>
      <vt:variant>
        <vt:lpwstr/>
      </vt:variant>
      <vt:variant>
        <vt:lpwstr>_Toc201146859</vt:lpwstr>
      </vt:variant>
      <vt:variant>
        <vt:i4>1376319</vt:i4>
      </vt:variant>
      <vt:variant>
        <vt:i4>5195</vt:i4>
      </vt:variant>
      <vt:variant>
        <vt:i4>0</vt:i4>
      </vt:variant>
      <vt:variant>
        <vt:i4>5</vt:i4>
      </vt:variant>
      <vt:variant>
        <vt:lpwstr/>
      </vt:variant>
      <vt:variant>
        <vt:lpwstr>_Toc201146858</vt:lpwstr>
      </vt:variant>
      <vt:variant>
        <vt:i4>1376319</vt:i4>
      </vt:variant>
      <vt:variant>
        <vt:i4>5189</vt:i4>
      </vt:variant>
      <vt:variant>
        <vt:i4>0</vt:i4>
      </vt:variant>
      <vt:variant>
        <vt:i4>5</vt:i4>
      </vt:variant>
      <vt:variant>
        <vt:lpwstr/>
      </vt:variant>
      <vt:variant>
        <vt:lpwstr>_Toc201146857</vt:lpwstr>
      </vt:variant>
      <vt:variant>
        <vt:i4>1376319</vt:i4>
      </vt:variant>
      <vt:variant>
        <vt:i4>5183</vt:i4>
      </vt:variant>
      <vt:variant>
        <vt:i4>0</vt:i4>
      </vt:variant>
      <vt:variant>
        <vt:i4>5</vt:i4>
      </vt:variant>
      <vt:variant>
        <vt:lpwstr/>
      </vt:variant>
      <vt:variant>
        <vt:lpwstr>_Toc201146856</vt:lpwstr>
      </vt:variant>
      <vt:variant>
        <vt:i4>1376319</vt:i4>
      </vt:variant>
      <vt:variant>
        <vt:i4>5177</vt:i4>
      </vt:variant>
      <vt:variant>
        <vt:i4>0</vt:i4>
      </vt:variant>
      <vt:variant>
        <vt:i4>5</vt:i4>
      </vt:variant>
      <vt:variant>
        <vt:lpwstr/>
      </vt:variant>
      <vt:variant>
        <vt:lpwstr>_Toc201146855</vt:lpwstr>
      </vt:variant>
      <vt:variant>
        <vt:i4>1376319</vt:i4>
      </vt:variant>
      <vt:variant>
        <vt:i4>5171</vt:i4>
      </vt:variant>
      <vt:variant>
        <vt:i4>0</vt:i4>
      </vt:variant>
      <vt:variant>
        <vt:i4>5</vt:i4>
      </vt:variant>
      <vt:variant>
        <vt:lpwstr/>
      </vt:variant>
      <vt:variant>
        <vt:lpwstr>_Toc201146854</vt:lpwstr>
      </vt:variant>
      <vt:variant>
        <vt:i4>1376319</vt:i4>
      </vt:variant>
      <vt:variant>
        <vt:i4>5165</vt:i4>
      </vt:variant>
      <vt:variant>
        <vt:i4>0</vt:i4>
      </vt:variant>
      <vt:variant>
        <vt:i4>5</vt:i4>
      </vt:variant>
      <vt:variant>
        <vt:lpwstr/>
      </vt:variant>
      <vt:variant>
        <vt:lpwstr>_Toc201146853</vt:lpwstr>
      </vt:variant>
      <vt:variant>
        <vt:i4>1376319</vt:i4>
      </vt:variant>
      <vt:variant>
        <vt:i4>5159</vt:i4>
      </vt:variant>
      <vt:variant>
        <vt:i4>0</vt:i4>
      </vt:variant>
      <vt:variant>
        <vt:i4>5</vt:i4>
      </vt:variant>
      <vt:variant>
        <vt:lpwstr/>
      </vt:variant>
      <vt:variant>
        <vt:lpwstr>_Toc201146852</vt:lpwstr>
      </vt:variant>
      <vt:variant>
        <vt:i4>1376319</vt:i4>
      </vt:variant>
      <vt:variant>
        <vt:i4>5153</vt:i4>
      </vt:variant>
      <vt:variant>
        <vt:i4>0</vt:i4>
      </vt:variant>
      <vt:variant>
        <vt:i4>5</vt:i4>
      </vt:variant>
      <vt:variant>
        <vt:lpwstr/>
      </vt:variant>
      <vt:variant>
        <vt:lpwstr>_Toc201146851</vt:lpwstr>
      </vt:variant>
      <vt:variant>
        <vt:i4>1376319</vt:i4>
      </vt:variant>
      <vt:variant>
        <vt:i4>5147</vt:i4>
      </vt:variant>
      <vt:variant>
        <vt:i4>0</vt:i4>
      </vt:variant>
      <vt:variant>
        <vt:i4>5</vt:i4>
      </vt:variant>
      <vt:variant>
        <vt:lpwstr/>
      </vt:variant>
      <vt:variant>
        <vt:lpwstr>_Toc201146850</vt:lpwstr>
      </vt:variant>
      <vt:variant>
        <vt:i4>1310783</vt:i4>
      </vt:variant>
      <vt:variant>
        <vt:i4>5141</vt:i4>
      </vt:variant>
      <vt:variant>
        <vt:i4>0</vt:i4>
      </vt:variant>
      <vt:variant>
        <vt:i4>5</vt:i4>
      </vt:variant>
      <vt:variant>
        <vt:lpwstr/>
      </vt:variant>
      <vt:variant>
        <vt:lpwstr>_Toc201146849</vt:lpwstr>
      </vt:variant>
      <vt:variant>
        <vt:i4>1310783</vt:i4>
      </vt:variant>
      <vt:variant>
        <vt:i4>5135</vt:i4>
      </vt:variant>
      <vt:variant>
        <vt:i4>0</vt:i4>
      </vt:variant>
      <vt:variant>
        <vt:i4>5</vt:i4>
      </vt:variant>
      <vt:variant>
        <vt:lpwstr/>
      </vt:variant>
      <vt:variant>
        <vt:lpwstr>_Toc201146848</vt:lpwstr>
      </vt:variant>
      <vt:variant>
        <vt:i4>1310783</vt:i4>
      </vt:variant>
      <vt:variant>
        <vt:i4>5129</vt:i4>
      </vt:variant>
      <vt:variant>
        <vt:i4>0</vt:i4>
      </vt:variant>
      <vt:variant>
        <vt:i4>5</vt:i4>
      </vt:variant>
      <vt:variant>
        <vt:lpwstr/>
      </vt:variant>
      <vt:variant>
        <vt:lpwstr>_Toc201146847</vt:lpwstr>
      </vt:variant>
      <vt:variant>
        <vt:i4>1310783</vt:i4>
      </vt:variant>
      <vt:variant>
        <vt:i4>5123</vt:i4>
      </vt:variant>
      <vt:variant>
        <vt:i4>0</vt:i4>
      </vt:variant>
      <vt:variant>
        <vt:i4>5</vt:i4>
      </vt:variant>
      <vt:variant>
        <vt:lpwstr/>
      </vt:variant>
      <vt:variant>
        <vt:lpwstr>_Toc201146846</vt:lpwstr>
      </vt:variant>
      <vt:variant>
        <vt:i4>1310783</vt:i4>
      </vt:variant>
      <vt:variant>
        <vt:i4>5117</vt:i4>
      </vt:variant>
      <vt:variant>
        <vt:i4>0</vt:i4>
      </vt:variant>
      <vt:variant>
        <vt:i4>5</vt:i4>
      </vt:variant>
      <vt:variant>
        <vt:lpwstr/>
      </vt:variant>
      <vt:variant>
        <vt:lpwstr>_Toc201146845</vt:lpwstr>
      </vt:variant>
      <vt:variant>
        <vt:i4>1310783</vt:i4>
      </vt:variant>
      <vt:variant>
        <vt:i4>5111</vt:i4>
      </vt:variant>
      <vt:variant>
        <vt:i4>0</vt:i4>
      </vt:variant>
      <vt:variant>
        <vt:i4>5</vt:i4>
      </vt:variant>
      <vt:variant>
        <vt:lpwstr/>
      </vt:variant>
      <vt:variant>
        <vt:lpwstr>_Toc201146844</vt:lpwstr>
      </vt:variant>
      <vt:variant>
        <vt:i4>1310783</vt:i4>
      </vt:variant>
      <vt:variant>
        <vt:i4>5105</vt:i4>
      </vt:variant>
      <vt:variant>
        <vt:i4>0</vt:i4>
      </vt:variant>
      <vt:variant>
        <vt:i4>5</vt:i4>
      </vt:variant>
      <vt:variant>
        <vt:lpwstr/>
      </vt:variant>
      <vt:variant>
        <vt:lpwstr>_Toc201146843</vt:lpwstr>
      </vt:variant>
      <vt:variant>
        <vt:i4>1310783</vt:i4>
      </vt:variant>
      <vt:variant>
        <vt:i4>5099</vt:i4>
      </vt:variant>
      <vt:variant>
        <vt:i4>0</vt:i4>
      </vt:variant>
      <vt:variant>
        <vt:i4>5</vt:i4>
      </vt:variant>
      <vt:variant>
        <vt:lpwstr/>
      </vt:variant>
      <vt:variant>
        <vt:lpwstr>_Toc201146842</vt:lpwstr>
      </vt:variant>
      <vt:variant>
        <vt:i4>1310783</vt:i4>
      </vt:variant>
      <vt:variant>
        <vt:i4>5093</vt:i4>
      </vt:variant>
      <vt:variant>
        <vt:i4>0</vt:i4>
      </vt:variant>
      <vt:variant>
        <vt:i4>5</vt:i4>
      </vt:variant>
      <vt:variant>
        <vt:lpwstr/>
      </vt:variant>
      <vt:variant>
        <vt:lpwstr>_Toc201146841</vt:lpwstr>
      </vt:variant>
      <vt:variant>
        <vt:i4>1310783</vt:i4>
      </vt:variant>
      <vt:variant>
        <vt:i4>5087</vt:i4>
      </vt:variant>
      <vt:variant>
        <vt:i4>0</vt:i4>
      </vt:variant>
      <vt:variant>
        <vt:i4>5</vt:i4>
      </vt:variant>
      <vt:variant>
        <vt:lpwstr/>
      </vt:variant>
      <vt:variant>
        <vt:lpwstr>_Toc201146840</vt:lpwstr>
      </vt:variant>
      <vt:variant>
        <vt:i4>1245247</vt:i4>
      </vt:variant>
      <vt:variant>
        <vt:i4>5081</vt:i4>
      </vt:variant>
      <vt:variant>
        <vt:i4>0</vt:i4>
      </vt:variant>
      <vt:variant>
        <vt:i4>5</vt:i4>
      </vt:variant>
      <vt:variant>
        <vt:lpwstr/>
      </vt:variant>
      <vt:variant>
        <vt:lpwstr>_Toc201146839</vt:lpwstr>
      </vt:variant>
      <vt:variant>
        <vt:i4>1245247</vt:i4>
      </vt:variant>
      <vt:variant>
        <vt:i4>5075</vt:i4>
      </vt:variant>
      <vt:variant>
        <vt:i4>0</vt:i4>
      </vt:variant>
      <vt:variant>
        <vt:i4>5</vt:i4>
      </vt:variant>
      <vt:variant>
        <vt:lpwstr/>
      </vt:variant>
      <vt:variant>
        <vt:lpwstr>_Toc201146838</vt:lpwstr>
      </vt:variant>
      <vt:variant>
        <vt:i4>1245247</vt:i4>
      </vt:variant>
      <vt:variant>
        <vt:i4>5069</vt:i4>
      </vt:variant>
      <vt:variant>
        <vt:i4>0</vt:i4>
      </vt:variant>
      <vt:variant>
        <vt:i4>5</vt:i4>
      </vt:variant>
      <vt:variant>
        <vt:lpwstr/>
      </vt:variant>
      <vt:variant>
        <vt:lpwstr>_Toc201146837</vt:lpwstr>
      </vt:variant>
      <vt:variant>
        <vt:i4>1245247</vt:i4>
      </vt:variant>
      <vt:variant>
        <vt:i4>5063</vt:i4>
      </vt:variant>
      <vt:variant>
        <vt:i4>0</vt:i4>
      </vt:variant>
      <vt:variant>
        <vt:i4>5</vt:i4>
      </vt:variant>
      <vt:variant>
        <vt:lpwstr/>
      </vt:variant>
      <vt:variant>
        <vt:lpwstr>_Toc201146836</vt:lpwstr>
      </vt:variant>
      <vt:variant>
        <vt:i4>1245247</vt:i4>
      </vt:variant>
      <vt:variant>
        <vt:i4>5057</vt:i4>
      </vt:variant>
      <vt:variant>
        <vt:i4>0</vt:i4>
      </vt:variant>
      <vt:variant>
        <vt:i4>5</vt:i4>
      </vt:variant>
      <vt:variant>
        <vt:lpwstr/>
      </vt:variant>
      <vt:variant>
        <vt:lpwstr>_Toc201146835</vt:lpwstr>
      </vt:variant>
      <vt:variant>
        <vt:i4>1245247</vt:i4>
      </vt:variant>
      <vt:variant>
        <vt:i4>5051</vt:i4>
      </vt:variant>
      <vt:variant>
        <vt:i4>0</vt:i4>
      </vt:variant>
      <vt:variant>
        <vt:i4>5</vt:i4>
      </vt:variant>
      <vt:variant>
        <vt:lpwstr/>
      </vt:variant>
      <vt:variant>
        <vt:lpwstr>_Toc201146834</vt:lpwstr>
      </vt:variant>
      <vt:variant>
        <vt:i4>1245247</vt:i4>
      </vt:variant>
      <vt:variant>
        <vt:i4>5045</vt:i4>
      </vt:variant>
      <vt:variant>
        <vt:i4>0</vt:i4>
      </vt:variant>
      <vt:variant>
        <vt:i4>5</vt:i4>
      </vt:variant>
      <vt:variant>
        <vt:lpwstr/>
      </vt:variant>
      <vt:variant>
        <vt:lpwstr>_Toc201146833</vt:lpwstr>
      </vt:variant>
      <vt:variant>
        <vt:i4>1245247</vt:i4>
      </vt:variant>
      <vt:variant>
        <vt:i4>5039</vt:i4>
      </vt:variant>
      <vt:variant>
        <vt:i4>0</vt:i4>
      </vt:variant>
      <vt:variant>
        <vt:i4>5</vt:i4>
      </vt:variant>
      <vt:variant>
        <vt:lpwstr/>
      </vt:variant>
      <vt:variant>
        <vt:lpwstr>_Toc201146832</vt:lpwstr>
      </vt:variant>
      <vt:variant>
        <vt:i4>1245247</vt:i4>
      </vt:variant>
      <vt:variant>
        <vt:i4>5033</vt:i4>
      </vt:variant>
      <vt:variant>
        <vt:i4>0</vt:i4>
      </vt:variant>
      <vt:variant>
        <vt:i4>5</vt:i4>
      </vt:variant>
      <vt:variant>
        <vt:lpwstr/>
      </vt:variant>
      <vt:variant>
        <vt:lpwstr>_Toc201146831</vt:lpwstr>
      </vt:variant>
      <vt:variant>
        <vt:i4>1245247</vt:i4>
      </vt:variant>
      <vt:variant>
        <vt:i4>5027</vt:i4>
      </vt:variant>
      <vt:variant>
        <vt:i4>0</vt:i4>
      </vt:variant>
      <vt:variant>
        <vt:i4>5</vt:i4>
      </vt:variant>
      <vt:variant>
        <vt:lpwstr/>
      </vt:variant>
      <vt:variant>
        <vt:lpwstr>_Toc201146830</vt:lpwstr>
      </vt:variant>
      <vt:variant>
        <vt:i4>1179711</vt:i4>
      </vt:variant>
      <vt:variant>
        <vt:i4>5021</vt:i4>
      </vt:variant>
      <vt:variant>
        <vt:i4>0</vt:i4>
      </vt:variant>
      <vt:variant>
        <vt:i4>5</vt:i4>
      </vt:variant>
      <vt:variant>
        <vt:lpwstr/>
      </vt:variant>
      <vt:variant>
        <vt:lpwstr>_Toc201146829</vt:lpwstr>
      </vt:variant>
      <vt:variant>
        <vt:i4>1179711</vt:i4>
      </vt:variant>
      <vt:variant>
        <vt:i4>5015</vt:i4>
      </vt:variant>
      <vt:variant>
        <vt:i4>0</vt:i4>
      </vt:variant>
      <vt:variant>
        <vt:i4>5</vt:i4>
      </vt:variant>
      <vt:variant>
        <vt:lpwstr/>
      </vt:variant>
      <vt:variant>
        <vt:lpwstr>_Toc201146828</vt:lpwstr>
      </vt:variant>
      <vt:variant>
        <vt:i4>1179711</vt:i4>
      </vt:variant>
      <vt:variant>
        <vt:i4>5012</vt:i4>
      </vt:variant>
      <vt:variant>
        <vt:i4>0</vt:i4>
      </vt:variant>
      <vt:variant>
        <vt:i4>5</vt:i4>
      </vt:variant>
      <vt:variant>
        <vt:lpwstr/>
      </vt:variant>
      <vt:variant>
        <vt:lpwstr>_Toc201146827</vt:lpwstr>
      </vt:variant>
      <vt:variant>
        <vt:i4>1179711</vt:i4>
      </vt:variant>
      <vt:variant>
        <vt:i4>5006</vt:i4>
      </vt:variant>
      <vt:variant>
        <vt:i4>0</vt:i4>
      </vt:variant>
      <vt:variant>
        <vt:i4>5</vt:i4>
      </vt:variant>
      <vt:variant>
        <vt:lpwstr/>
      </vt:variant>
      <vt:variant>
        <vt:lpwstr>_Toc201146826</vt:lpwstr>
      </vt:variant>
      <vt:variant>
        <vt:i4>1179711</vt:i4>
      </vt:variant>
      <vt:variant>
        <vt:i4>5000</vt:i4>
      </vt:variant>
      <vt:variant>
        <vt:i4>0</vt:i4>
      </vt:variant>
      <vt:variant>
        <vt:i4>5</vt:i4>
      </vt:variant>
      <vt:variant>
        <vt:lpwstr/>
      </vt:variant>
      <vt:variant>
        <vt:lpwstr>_Toc201146825</vt:lpwstr>
      </vt:variant>
      <vt:variant>
        <vt:i4>1179711</vt:i4>
      </vt:variant>
      <vt:variant>
        <vt:i4>4994</vt:i4>
      </vt:variant>
      <vt:variant>
        <vt:i4>0</vt:i4>
      </vt:variant>
      <vt:variant>
        <vt:i4>5</vt:i4>
      </vt:variant>
      <vt:variant>
        <vt:lpwstr/>
      </vt:variant>
      <vt:variant>
        <vt:lpwstr>_Toc201146824</vt:lpwstr>
      </vt:variant>
      <vt:variant>
        <vt:i4>1179711</vt:i4>
      </vt:variant>
      <vt:variant>
        <vt:i4>4988</vt:i4>
      </vt:variant>
      <vt:variant>
        <vt:i4>0</vt:i4>
      </vt:variant>
      <vt:variant>
        <vt:i4>5</vt:i4>
      </vt:variant>
      <vt:variant>
        <vt:lpwstr/>
      </vt:variant>
      <vt:variant>
        <vt:lpwstr>_Toc201146823</vt:lpwstr>
      </vt:variant>
      <vt:variant>
        <vt:i4>1179711</vt:i4>
      </vt:variant>
      <vt:variant>
        <vt:i4>4982</vt:i4>
      </vt:variant>
      <vt:variant>
        <vt:i4>0</vt:i4>
      </vt:variant>
      <vt:variant>
        <vt:i4>5</vt:i4>
      </vt:variant>
      <vt:variant>
        <vt:lpwstr/>
      </vt:variant>
      <vt:variant>
        <vt:lpwstr>_Toc201146822</vt:lpwstr>
      </vt:variant>
      <vt:variant>
        <vt:i4>1179711</vt:i4>
      </vt:variant>
      <vt:variant>
        <vt:i4>4976</vt:i4>
      </vt:variant>
      <vt:variant>
        <vt:i4>0</vt:i4>
      </vt:variant>
      <vt:variant>
        <vt:i4>5</vt:i4>
      </vt:variant>
      <vt:variant>
        <vt:lpwstr/>
      </vt:variant>
      <vt:variant>
        <vt:lpwstr>_Toc201146821</vt:lpwstr>
      </vt:variant>
      <vt:variant>
        <vt:i4>1179711</vt:i4>
      </vt:variant>
      <vt:variant>
        <vt:i4>4970</vt:i4>
      </vt:variant>
      <vt:variant>
        <vt:i4>0</vt:i4>
      </vt:variant>
      <vt:variant>
        <vt:i4>5</vt:i4>
      </vt:variant>
      <vt:variant>
        <vt:lpwstr/>
      </vt:variant>
      <vt:variant>
        <vt:lpwstr>_Toc201146820</vt:lpwstr>
      </vt:variant>
      <vt:variant>
        <vt:i4>1114175</vt:i4>
      </vt:variant>
      <vt:variant>
        <vt:i4>4964</vt:i4>
      </vt:variant>
      <vt:variant>
        <vt:i4>0</vt:i4>
      </vt:variant>
      <vt:variant>
        <vt:i4>5</vt:i4>
      </vt:variant>
      <vt:variant>
        <vt:lpwstr/>
      </vt:variant>
      <vt:variant>
        <vt:lpwstr>_Toc201146819</vt:lpwstr>
      </vt:variant>
      <vt:variant>
        <vt:i4>1114175</vt:i4>
      </vt:variant>
      <vt:variant>
        <vt:i4>4958</vt:i4>
      </vt:variant>
      <vt:variant>
        <vt:i4>0</vt:i4>
      </vt:variant>
      <vt:variant>
        <vt:i4>5</vt:i4>
      </vt:variant>
      <vt:variant>
        <vt:lpwstr/>
      </vt:variant>
      <vt:variant>
        <vt:lpwstr>_Toc201146818</vt:lpwstr>
      </vt:variant>
      <vt:variant>
        <vt:i4>1114175</vt:i4>
      </vt:variant>
      <vt:variant>
        <vt:i4>4952</vt:i4>
      </vt:variant>
      <vt:variant>
        <vt:i4>0</vt:i4>
      </vt:variant>
      <vt:variant>
        <vt:i4>5</vt:i4>
      </vt:variant>
      <vt:variant>
        <vt:lpwstr/>
      </vt:variant>
      <vt:variant>
        <vt:lpwstr>_Toc201146817</vt:lpwstr>
      </vt:variant>
      <vt:variant>
        <vt:i4>1114175</vt:i4>
      </vt:variant>
      <vt:variant>
        <vt:i4>4946</vt:i4>
      </vt:variant>
      <vt:variant>
        <vt:i4>0</vt:i4>
      </vt:variant>
      <vt:variant>
        <vt:i4>5</vt:i4>
      </vt:variant>
      <vt:variant>
        <vt:lpwstr/>
      </vt:variant>
      <vt:variant>
        <vt:lpwstr>_Toc201146816</vt:lpwstr>
      </vt:variant>
      <vt:variant>
        <vt:i4>1114175</vt:i4>
      </vt:variant>
      <vt:variant>
        <vt:i4>4940</vt:i4>
      </vt:variant>
      <vt:variant>
        <vt:i4>0</vt:i4>
      </vt:variant>
      <vt:variant>
        <vt:i4>5</vt:i4>
      </vt:variant>
      <vt:variant>
        <vt:lpwstr/>
      </vt:variant>
      <vt:variant>
        <vt:lpwstr>_Toc201146815</vt:lpwstr>
      </vt:variant>
      <vt:variant>
        <vt:i4>1114175</vt:i4>
      </vt:variant>
      <vt:variant>
        <vt:i4>4934</vt:i4>
      </vt:variant>
      <vt:variant>
        <vt:i4>0</vt:i4>
      </vt:variant>
      <vt:variant>
        <vt:i4>5</vt:i4>
      </vt:variant>
      <vt:variant>
        <vt:lpwstr/>
      </vt:variant>
      <vt:variant>
        <vt:lpwstr>_Toc201146814</vt:lpwstr>
      </vt:variant>
      <vt:variant>
        <vt:i4>1114175</vt:i4>
      </vt:variant>
      <vt:variant>
        <vt:i4>4928</vt:i4>
      </vt:variant>
      <vt:variant>
        <vt:i4>0</vt:i4>
      </vt:variant>
      <vt:variant>
        <vt:i4>5</vt:i4>
      </vt:variant>
      <vt:variant>
        <vt:lpwstr/>
      </vt:variant>
      <vt:variant>
        <vt:lpwstr>_Toc201146813</vt:lpwstr>
      </vt:variant>
      <vt:variant>
        <vt:i4>1114175</vt:i4>
      </vt:variant>
      <vt:variant>
        <vt:i4>4922</vt:i4>
      </vt:variant>
      <vt:variant>
        <vt:i4>0</vt:i4>
      </vt:variant>
      <vt:variant>
        <vt:i4>5</vt:i4>
      </vt:variant>
      <vt:variant>
        <vt:lpwstr/>
      </vt:variant>
      <vt:variant>
        <vt:lpwstr>_Toc201146812</vt:lpwstr>
      </vt:variant>
      <vt:variant>
        <vt:i4>1114175</vt:i4>
      </vt:variant>
      <vt:variant>
        <vt:i4>4916</vt:i4>
      </vt:variant>
      <vt:variant>
        <vt:i4>0</vt:i4>
      </vt:variant>
      <vt:variant>
        <vt:i4>5</vt:i4>
      </vt:variant>
      <vt:variant>
        <vt:lpwstr/>
      </vt:variant>
      <vt:variant>
        <vt:lpwstr>_Toc201146811</vt:lpwstr>
      </vt:variant>
      <vt:variant>
        <vt:i4>1114175</vt:i4>
      </vt:variant>
      <vt:variant>
        <vt:i4>4910</vt:i4>
      </vt:variant>
      <vt:variant>
        <vt:i4>0</vt:i4>
      </vt:variant>
      <vt:variant>
        <vt:i4>5</vt:i4>
      </vt:variant>
      <vt:variant>
        <vt:lpwstr/>
      </vt:variant>
      <vt:variant>
        <vt:lpwstr>_Toc201146810</vt:lpwstr>
      </vt:variant>
      <vt:variant>
        <vt:i4>1048639</vt:i4>
      </vt:variant>
      <vt:variant>
        <vt:i4>4904</vt:i4>
      </vt:variant>
      <vt:variant>
        <vt:i4>0</vt:i4>
      </vt:variant>
      <vt:variant>
        <vt:i4>5</vt:i4>
      </vt:variant>
      <vt:variant>
        <vt:lpwstr/>
      </vt:variant>
      <vt:variant>
        <vt:lpwstr>_Toc201146809</vt:lpwstr>
      </vt:variant>
      <vt:variant>
        <vt:i4>1048639</vt:i4>
      </vt:variant>
      <vt:variant>
        <vt:i4>4898</vt:i4>
      </vt:variant>
      <vt:variant>
        <vt:i4>0</vt:i4>
      </vt:variant>
      <vt:variant>
        <vt:i4>5</vt:i4>
      </vt:variant>
      <vt:variant>
        <vt:lpwstr/>
      </vt:variant>
      <vt:variant>
        <vt:lpwstr>_Toc201146808</vt:lpwstr>
      </vt:variant>
      <vt:variant>
        <vt:i4>1048639</vt:i4>
      </vt:variant>
      <vt:variant>
        <vt:i4>4892</vt:i4>
      </vt:variant>
      <vt:variant>
        <vt:i4>0</vt:i4>
      </vt:variant>
      <vt:variant>
        <vt:i4>5</vt:i4>
      </vt:variant>
      <vt:variant>
        <vt:lpwstr/>
      </vt:variant>
      <vt:variant>
        <vt:lpwstr>_Toc201146807</vt:lpwstr>
      </vt:variant>
      <vt:variant>
        <vt:i4>1048639</vt:i4>
      </vt:variant>
      <vt:variant>
        <vt:i4>4886</vt:i4>
      </vt:variant>
      <vt:variant>
        <vt:i4>0</vt:i4>
      </vt:variant>
      <vt:variant>
        <vt:i4>5</vt:i4>
      </vt:variant>
      <vt:variant>
        <vt:lpwstr/>
      </vt:variant>
      <vt:variant>
        <vt:lpwstr>_Toc201146806</vt:lpwstr>
      </vt:variant>
      <vt:variant>
        <vt:i4>1048639</vt:i4>
      </vt:variant>
      <vt:variant>
        <vt:i4>4880</vt:i4>
      </vt:variant>
      <vt:variant>
        <vt:i4>0</vt:i4>
      </vt:variant>
      <vt:variant>
        <vt:i4>5</vt:i4>
      </vt:variant>
      <vt:variant>
        <vt:lpwstr/>
      </vt:variant>
      <vt:variant>
        <vt:lpwstr>_Toc201146805</vt:lpwstr>
      </vt:variant>
      <vt:variant>
        <vt:i4>1048639</vt:i4>
      </vt:variant>
      <vt:variant>
        <vt:i4>4874</vt:i4>
      </vt:variant>
      <vt:variant>
        <vt:i4>0</vt:i4>
      </vt:variant>
      <vt:variant>
        <vt:i4>5</vt:i4>
      </vt:variant>
      <vt:variant>
        <vt:lpwstr/>
      </vt:variant>
      <vt:variant>
        <vt:lpwstr>_Toc201146804</vt:lpwstr>
      </vt:variant>
      <vt:variant>
        <vt:i4>1048639</vt:i4>
      </vt:variant>
      <vt:variant>
        <vt:i4>4868</vt:i4>
      </vt:variant>
      <vt:variant>
        <vt:i4>0</vt:i4>
      </vt:variant>
      <vt:variant>
        <vt:i4>5</vt:i4>
      </vt:variant>
      <vt:variant>
        <vt:lpwstr/>
      </vt:variant>
      <vt:variant>
        <vt:lpwstr>_Toc201146803</vt:lpwstr>
      </vt:variant>
      <vt:variant>
        <vt:i4>1048639</vt:i4>
      </vt:variant>
      <vt:variant>
        <vt:i4>4862</vt:i4>
      </vt:variant>
      <vt:variant>
        <vt:i4>0</vt:i4>
      </vt:variant>
      <vt:variant>
        <vt:i4>5</vt:i4>
      </vt:variant>
      <vt:variant>
        <vt:lpwstr/>
      </vt:variant>
      <vt:variant>
        <vt:lpwstr>_Toc201146802</vt:lpwstr>
      </vt:variant>
      <vt:variant>
        <vt:i4>1048639</vt:i4>
      </vt:variant>
      <vt:variant>
        <vt:i4>4856</vt:i4>
      </vt:variant>
      <vt:variant>
        <vt:i4>0</vt:i4>
      </vt:variant>
      <vt:variant>
        <vt:i4>5</vt:i4>
      </vt:variant>
      <vt:variant>
        <vt:lpwstr/>
      </vt:variant>
      <vt:variant>
        <vt:lpwstr>_Toc201146801</vt:lpwstr>
      </vt:variant>
      <vt:variant>
        <vt:i4>1048639</vt:i4>
      </vt:variant>
      <vt:variant>
        <vt:i4>4850</vt:i4>
      </vt:variant>
      <vt:variant>
        <vt:i4>0</vt:i4>
      </vt:variant>
      <vt:variant>
        <vt:i4>5</vt:i4>
      </vt:variant>
      <vt:variant>
        <vt:lpwstr/>
      </vt:variant>
      <vt:variant>
        <vt:lpwstr>_Toc201146800</vt:lpwstr>
      </vt:variant>
      <vt:variant>
        <vt:i4>1638448</vt:i4>
      </vt:variant>
      <vt:variant>
        <vt:i4>4844</vt:i4>
      </vt:variant>
      <vt:variant>
        <vt:i4>0</vt:i4>
      </vt:variant>
      <vt:variant>
        <vt:i4>5</vt:i4>
      </vt:variant>
      <vt:variant>
        <vt:lpwstr/>
      </vt:variant>
      <vt:variant>
        <vt:lpwstr>_Toc201146799</vt:lpwstr>
      </vt:variant>
      <vt:variant>
        <vt:i4>1638448</vt:i4>
      </vt:variant>
      <vt:variant>
        <vt:i4>4838</vt:i4>
      </vt:variant>
      <vt:variant>
        <vt:i4>0</vt:i4>
      </vt:variant>
      <vt:variant>
        <vt:i4>5</vt:i4>
      </vt:variant>
      <vt:variant>
        <vt:lpwstr/>
      </vt:variant>
      <vt:variant>
        <vt:lpwstr>_Toc201146798</vt:lpwstr>
      </vt:variant>
      <vt:variant>
        <vt:i4>1638448</vt:i4>
      </vt:variant>
      <vt:variant>
        <vt:i4>4832</vt:i4>
      </vt:variant>
      <vt:variant>
        <vt:i4>0</vt:i4>
      </vt:variant>
      <vt:variant>
        <vt:i4>5</vt:i4>
      </vt:variant>
      <vt:variant>
        <vt:lpwstr/>
      </vt:variant>
      <vt:variant>
        <vt:lpwstr>_Toc201146797</vt:lpwstr>
      </vt:variant>
      <vt:variant>
        <vt:i4>1638448</vt:i4>
      </vt:variant>
      <vt:variant>
        <vt:i4>4826</vt:i4>
      </vt:variant>
      <vt:variant>
        <vt:i4>0</vt:i4>
      </vt:variant>
      <vt:variant>
        <vt:i4>5</vt:i4>
      </vt:variant>
      <vt:variant>
        <vt:lpwstr/>
      </vt:variant>
      <vt:variant>
        <vt:lpwstr>_Toc201146796</vt:lpwstr>
      </vt:variant>
      <vt:variant>
        <vt:i4>1638448</vt:i4>
      </vt:variant>
      <vt:variant>
        <vt:i4>4820</vt:i4>
      </vt:variant>
      <vt:variant>
        <vt:i4>0</vt:i4>
      </vt:variant>
      <vt:variant>
        <vt:i4>5</vt:i4>
      </vt:variant>
      <vt:variant>
        <vt:lpwstr/>
      </vt:variant>
      <vt:variant>
        <vt:lpwstr>_Toc201146795</vt:lpwstr>
      </vt:variant>
      <vt:variant>
        <vt:i4>1638448</vt:i4>
      </vt:variant>
      <vt:variant>
        <vt:i4>4817</vt:i4>
      </vt:variant>
      <vt:variant>
        <vt:i4>0</vt:i4>
      </vt:variant>
      <vt:variant>
        <vt:i4>5</vt:i4>
      </vt:variant>
      <vt:variant>
        <vt:lpwstr/>
      </vt:variant>
      <vt:variant>
        <vt:lpwstr>_Toc201146794</vt:lpwstr>
      </vt:variant>
      <vt:variant>
        <vt:i4>1638448</vt:i4>
      </vt:variant>
      <vt:variant>
        <vt:i4>4811</vt:i4>
      </vt:variant>
      <vt:variant>
        <vt:i4>0</vt:i4>
      </vt:variant>
      <vt:variant>
        <vt:i4>5</vt:i4>
      </vt:variant>
      <vt:variant>
        <vt:lpwstr/>
      </vt:variant>
      <vt:variant>
        <vt:lpwstr>_Toc201146793</vt:lpwstr>
      </vt:variant>
      <vt:variant>
        <vt:i4>1638448</vt:i4>
      </vt:variant>
      <vt:variant>
        <vt:i4>4805</vt:i4>
      </vt:variant>
      <vt:variant>
        <vt:i4>0</vt:i4>
      </vt:variant>
      <vt:variant>
        <vt:i4>5</vt:i4>
      </vt:variant>
      <vt:variant>
        <vt:lpwstr/>
      </vt:variant>
      <vt:variant>
        <vt:lpwstr>_Toc201146792</vt:lpwstr>
      </vt:variant>
      <vt:variant>
        <vt:i4>1638448</vt:i4>
      </vt:variant>
      <vt:variant>
        <vt:i4>4799</vt:i4>
      </vt:variant>
      <vt:variant>
        <vt:i4>0</vt:i4>
      </vt:variant>
      <vt:variant>
        <vt:i4>5</vt:i4>
      </vt:variant>
      <vt:variant>
        <vt:lpwstr/>
      </vt:variant>
      <vt:variant>
        <vt:lpwstr>_Toc201146791</vt:lpwstr>
      </vt:variant>
      <vt:variant>
        <vt:i4>1638448</vt:i4>
      </vt:variant>
      <vt:variant>
        <vt:i4>4793</vt:i4>
      </vt:variant>
      <vt:variant>
        <vt:i4>0</vt:i4>
      </vt:variant>
      <vt:variant>
        <vt:i4>5</vt:i4>
      </vt:variant>
      <vt:variant>
        <vt:lpwstr/>
      </vt:variant>
      <vt:variant>
        <vt:lpwstr>_Toc201146790</vt:lpwstr>
      </vt:variant>
      <vt:variant>
        <vt:i4>1572912</vt:i4>
      </vt:variant>
      <vt:variant>
        <vt:i4>4787</vt:i4>
      </vt:variant>
      <vt:variant>
        <vt:i4>0</vt:i4>
      </vt:variant>
      <vt:variant>
        <vt:i4>5</vt:i4>
      </vt:variant>
      <vt:variant>
        <vt:lpwstr/>
      </vt:variant>
      <vt:variant>
        <vt:lpwstr>_Toc201146789</vt:lpwstr>
      </vt:variant>
      <vt:variant>
        <vt:i4>1572912</vt:i4>
      </vt:variant>
      <vt:variant>
        <vt:i4>4781</vt:i4>
      </vt:variant>
      <vt:variant>
        <vt:i4>0</vt:i4>
      </vt:variant>
      <vt:variant>
        <vt:i4>5</vt:i4>
      </vt:variant>
      <vt:variant>
        <vt:lpwstr/>
      </vt:variant>
      <vt:variant>
        <vt:lpwstr>_Toc201146788</vt:lpwstr>
      </vt:variant>
      <vt:variant>
        <vt:i4>1572912</vt:i4>
      </vt:variant>
      <vt:variant>
        <vt:i4>4775</vt:i4>
      </vt:variant>
      <vt:variant>
        <vt:i4>0</vt:i4>
      </vt:variant>
      <vt:variant>
        <vt:i4>5</vt:i4>
      </vt:variant>
      <vt:variant>
        <vt:lpwstr/>
      </vt:variant>
      <vt:variant>
        <vt:lpwstr>_Toc201146787</vt:lpwstr>
      </vt:variant>
      <vt:variant>
        <vt:i4>1572912</vt:i4>
      </vt:variant>
      <vt:variant>
        <vt:i4>4769</vt:i4>
      </vt:variant>
      <vt:variant>
        <vt:i4>0</vt:i4>
      </vt:variant>
      <vt:variant>
        <vt:i4>5</vt:i4>
      </vt:variant>
      <vt:variant>
        <vt:lpwstr/>
      </vt:variant>
      <vt:variant>
        <vt:lpwstr>_Toc201146786</vt:lpwstr>
      </vt:variant>
      <vt:variant>
        <vt:i4>1572912</vt:i4>
      </vt:variant>
      <vt:variant>
        <vt:i4>4763</vt:i4>
      </vt:variant>
      <vt:variant>
        <vt:i4>0</vt:i4>
      </vt:variant>
      <vt:variant>
        <vt:i4>5</vt:i4>
      </vt:variant>
      <vt:variant>
        <vt:lpwstr/>
      </vt:variant>
      <vt:variant>
        <vt:lpwstr>_Toc201146785</vt:lpwstr>
      </vt:variant>
      <vt:variant>
        <vt:i4>1572912</vt:i4>
      </vt:variant>
      <vt:variant>
        <vt:i4>4757</vt:i4>
      </vt:variant>
      <vt:variant>
        <vt:i4>0</vt:i4>
      </vt:variant>
      <vt:variant>
        <vt:i4>5</vt:i4>
      </vt:variant>
      <vt:variant>
        <vt:lpwstr/>
      </vt:variant>
      <vt:variant>
        <vt:lpwstr>_Toc201146784</vt:lpwstr>
      </vt:variant>
      <vt:variant>
        <vt:i4>1572912</vt:i4>
      </vt:variant>
      <vt:variant>
        <vt:i4>4751</vt:i4>
      </vt:variant>
      <vt:variant>
        <vt:i4>0</vt:i4>
      </vt:variant>
      <vt:variant>
        <vt:i4>5</vt:i4>
      </vt:variant>
      <vt:variant>
        <vt:lpwstr/>
      </vt:variant>
      <vt:variant>
        <vt:lpwstr>_Toc201146783</vt:lpwstr>
      </vt:variant>
      <vt:variant>
        <vt:i4>1572912</vt:i4>
      </vt:variant>
      <vt:variant>
        <vt:i4>4745</vt:i4>
      </vt:variant>
      <vt:variant>
        <vt:i4>0</vt:i4>
      </vt:variant>
      <vt:variant>
        <vt:i4>5</vt:i4>
      </vt:variant>
      <vt:variant>
        <vt:lpwstr/>
      </vt:variant>
      <vt:variant>
        <vt:lpwstr>_Toc201146782</vt:lpwstr>
      </vt:variant>
      <vt:variant>
        <vt:i4>1572912</vt:i4>
      </vt:variant>
      <vt:variant>
        <vt:i4>4739</vt:i4>
      </vt:variant>
      <vt:variant>
        <vt:i4>0</vt:i4>
      </vt:variant>
      <vt:variant>
        <vt:i4>5</vt:i4>
      </vt:variant>
      <vt:variant>
        <vt:lpwstr/>
      </vt:variant>
      <vt:variant>
        <vt:lpwstr>_Toc201146781</vt:lpwstr>
      </vt:variant>
      <vt:variant>
        <vt:i4>1572912</vt:i4>
      </vt:variant>
      <vt:variant>
        <vt:i4>4733</vt:i4>
      </vt:variant>
      <vt:variant>
        <vt:i4>0</vt:i4>
      </vt:variant>
      <vt:variant>
        <vt:i4>5</vt:i4>
      </vt:variant>
      <vt:variant>
        <vt:lpwstr/>
      </vt:variant>
      <vt:variant>
        <vt:lpwstr>_Toc201146780</vt:lpwstr>
      </vt:variant>
      <vt:variant>
        <vt:i4>1507376</vt:i4>
      </vt:variant>
      <vt:variant>
        <vt:i4>4727</vt:i4>
      </vt:variant>
      <vt:variant>
        <vt:i4>0</vt:i4>
      </vt:variant>
      <vt:variant>
        <vt:i4>5</vt:i4>
      </vt:variant>
      <vt:variant>
        <vt:lpwstr/>
      </vt:variant>
      <vt:variant>
        <vt:lpwstr>_Toc201146779</vt:lpwstr>
      </vt:variant>
      <vt:variant>
        <vt:i4>1507376</vt:i4>
      </vt:variant>
      <vt:variant>
        <vt:i4>4721</vt:i4>
      </vt:variant>
      <vt:variant>
        <vt:i4>0</vt:i4>
      </vt:variant>
      <vt:variant>
        <vt:i4>5</vt:i4>
      </vt:variant>
      <vt:variant>
        <vt:lpwstr/>
      </vt:variant>
      <vt:variant>
        <vt:lpwstr>_Toc201146778</vt:lpwstr>
      </vt:variant>
      <vt:variant>
        <vt:i4>1507376</vt:i4>
      </vt:variant>
      <vt:variant>
        <vt:i4>4715</vt:i4>
      </vt:variant>
      <vt:variant>
        <vt:i4>0</vt:i4>
      </vt:variant>
      <vt:variant>
        <vt:i4>5</vt:i4>
      </vt:variant>
      <vt:variant>
        <vt:lpwstr/>
      </vt:variant>
      <vt:variant>
        <vt:lpwstr>_Toc201146777</vt:lpwstr>
      </vt:variant>
      <vt:variant>
        <vt:i4>1507376</vt:i4>
      </vt:variant>
      <vt:variant>
        <vt:i4>4709</vt:i4>
      </vt:variant>
      <vt:variant>
        <vt:i4>0</vt:i4>
      </vt:variant>
      <vt:variant>
        <vt:i4>5</vt:i4>
      </vt:variant>
      <vt:variant>
        <vt:lpwstr/>
      </vt:variant>
      <vt:variant>
        <vt:lpwstr>_Toc201146776</vt:lpwstr>
      </vt:variant>
      <vt:variant>
        <vt:i4>1507376</vt:i4>
      </vt:variant>
      <vt:variant>
        <vt:i4>4703</vt:i4>
      </vt:variant>
      <vt:variant>
        <vt:i4>0</vt:i4>
      </vt:variant>
      <vt:variant>
        <vt:i4>5</vt:i4>
      </vt:variant>
      <vt:variant>
        <vt:lpwstr/>
      </vt:variant>
      <vt:variant>
        <vt:lpwstr>_Toc201146775</vt:lpwstr>
      </vt:variant>
      <vt:variant>
        <vt:i4>1507376</vt:i4>
      </vt:variant>
      <vt:variant>
        <vt:i4>4697</vt:i4>
      </vt:variant>
      <vt:variant>
        <vt:i4>0</vt:i4>
      </vt:variant>
      <vt:variant>
        <vt:i4>5</vt:i4>
      </vt:variant>
      <vt:variant>
        <vt:lpwstr/>
      </vt:variant>
      <vt:variant>
        <vt:lpwstr>_Toc201146774</vt:lpwstr>
      </vt:variant>
      <vt:variant>
        <vt:i4>1507376</vt:i4>
      </vt:variant>
      <vt:variant>
        <vt:i4>4691</vt:i4>
      </vt:variant>
      <vt:variant>
        <vt:i4>0</vt:i4>
      </vt:variant>
      <vt:variant>
        <vt:i4>5</vt:i4>
      </vt:variant>
      <vt:variant>
        <vt:lpwstr/>
      </vt:variant>
      <vt:variant>
        <vt:lpwstr>_Toc201146773</vt:lpwstr>
      </vt:variant>
      <vt:variant>
        <vt:i4>1507376</vt:i4>
      </vt:variant>
      <vt:variant>
        <vt:i4>4685</vt:i4>
      </vt:variant>
      <vt:variant>
        <vt:i4>0</vt:i4>
      </vt:variant>
      <vt:variant>
        <vt:i4>5</vt:i4>
      </vt:variant>
      <vt:variant>
        <vt:lpwstr/>
      </vt:variant>
      <vt:variant>
        <vt:lpwstr>_Toc201146772</vt:lpwstr>
      </vt:variant>
      <vt:variant>
        <vt:i4>1507376</vt:i4>
      </vt:variant>
      <vt:variant>
        <vt:i4>4679</vt:i4>
      </vt:variant>
      <vt:variant>
        <vt:i4>0</vt:i4>
      </vt:variant>
      <vt:variant>
        <vt:i4>5</vt:i4>
      </vt:variant>
      <vt:variant>
        <vt:lpwstr/>
      </vt:variant>
      <vt:variant>
        <vt:lpwstr>_Toc201146771</vt:lpwstr>
      </vt:variant>
      <vt:variant>
        <vt:i4>1507376</vt:i4>
      </vt:variant>
      <vt:variant>
        <vt:i4>4673</vt:i4>
      </vt:variant>
      <vt:variant>
        <vt:i4>0</vt:i4>
      </vt:variant>
      <vt:variant>
        <vt:i4>5</vt:i4>
      </vt:variant>
      <vt:variant>
        <vt:lpwstr/>
      </vt:variant>
      <vt:variant>
        <vt:lpwstr>_Toc201146770</vt:lpwstr>
      </vt:variant>
      <vt:variant>
        <vt:i4>1441840</vt:i4>
      </vt:variant>
      <vt:variant>
        <vt:i4>4667</vt:i4>
      </vt:variant>
      <vt:variant>
        <vt:i4>0</vt:i4>
      </vt:variant>
      <vt:variant>
        <vt:i4>5</vt:i4>
      </vt:variant>
      <vt:variant>
        <vt:lpwstr/>
      </vt:variant>
      <vt:variant>
        <vt:lpwstr>_Toc201146769</vt:lpwstr>
      </vt:variant>
      <vt:variant>
        <vt:i4>1441840</vt:i4>
      </vt:variant>
      <vt:variant>
        <vt:i4>4661</vt:i4>
      </vt:variant>
      <vt:variant>
        <vt:i4>0</vt:i4>
      </vt:variant>
      <vt:variant>
        <vt:i4>5</vt:i4>
      </vt:variant>
      <vt:variant>
        <vt:lpwstr/>
      </vt:variant>
      <vt:variant>
        <vt:lpwstr>_Toc201146768</vt:lpwstr>
      </vt:variant>
      <vt:variant>
        <vt:i4>1441840</vt:i4>
      </vt:variant>
      <vt:variant>
        <vt:i4>4655</vt:i4>
      </vt:variant>
      <vt:variant>
        <vt:i4>0</vt:i4>
      </vt:variant>
      <vt:variant>
        <vt:i4>5</vt:i4>
      </vt:variant>
      <vt:variant>
        <vt:lpwstr/>
      </vt:variant>
      <vt:variant>
        <vt:lpwstr>_Toc201146767</vt:lpwstr>
      </vt:variant>
      <vt:variant>
        <vt:i4>1441840</vt:i4>
      </vt:variant>
      <vt:variant>
        <vt:i4>4649</vt:i4>
      </vt:variant>
      <vt:variant>
        <vt:i4>0</vt:i4>
      </vt:variant>
      <vt:variant>
        <vt:i4>5</vt:i4>
      </vt:variant>
      <vt:variant>
        <vt:lpwstr/>
      </vt:variant>
      <vt:variant>
        <vt:lpwstr>_Toc201146766</vt:lpwstr>
      </vt:variant>
      <vt:variant>
        <vt:i4>1441840</vt:i4>
      </vt:variant>
      <vt:variant>
        <vt:i4>4643</vt:i4>
      </vt:variant>
      <vt:variant>
        <vt:i4>0</vt:i4>
      </vt:variant>
      <vt:variant>
        <vt:i4>5</vt:i4>
      </vt:variant>
      <vt:variant>
        <vt:lpwstr/>
      </vt:variant>
      <vt:variant>
        <vt:lpwstr>_Toc201146765</vt:lpwstr>
      </vt:variant>
      <vt:variant>
        <vt:i4>1441840</vt:i4>
      </vt:variant>
      <vt:variant>
        <vt:i4>4637</vt:i4>
      </vt:variant>
      <vt:variant>
        <vt:i4>0</vt:i4>
      </vt:variant>
      <vt:variant>
        <vt:i4>5</vt:i4>
      </vt:variant>
      <vt:variant>
        <vt:lpwstr/>
      </vt:variant>
      <vt:variant>
        <vt:lpwstr>_Toc201146764</vt:lpwstr>
      </vt:variant>
      <vt:variant>
        <vt:i4>1441840</vt:i4>
      </vt:variant>
      <vt:variant>
        <vt:i4>4631</vt:i4>
      </vt:variant>
      <vt:variant>
        <vt:i4>0</vt:i4>
      </vt:variant>
      <vt:variant>
        <vt:i4>5</vt:i4>
      </vt:variant>
      <vt:variant>
        <vt:lpwstr/>
      </vt:variant>
      <vt:variant>
        <vt:lpwstr>_Toc201146763</vt:lpwstr>
      </vt:variant>
      <vt:variant>
        <vt:i4>1441840</vt:i4>
      </vt:variant>
      <vt:variant>
        <vt:i4>4625</vt:i4>
      </vt:variant>
      <vt:variant>
        <vt:i4>0</vt:i4>
      </vt:variant>
      <vt:variant>
        <vt:i4>5</vt:i4>
      </vt:variant>
      <vt:variant>
        <vt:lpwstr/>
      </vt:variant>
      <vt:variant>
        <vt:lpwstr>_Toc201146762</vt:lpwstr>
      </vt:variant>
      <vt:variant>
        <vt:i4>1441840</vt:i4>
      </vt:variant>
      <vt:variant>
        <vt:i4>4619</vt:i4>
      </vt:variant>
      <vt:variant>
        <vt:i4>0</vt:i4>
      </vt:variant>
      <vt:variant>
        <vt:i4>5</vt:i4>
      </vt:variant>
      <vt:variant>
        <vt:lpwstr/>
      </vt:variant>
      <vt:variant>
        <vt:lpwstr>_Toc201146761</vt:lpwstr>
      </vt:variant>
      <vt:variant>
        <vt:i4>1441840</vt:i4>
      </vt:variant>
      <vt:variant>
        <vt:i4>4613</vt:i4>
      </vt:variant>
      <vt:variant>
        <vt:i4>0</vt:i4>
      </vt:variant>
      <vt:variant>
        <vt:i4>5</vt:i4>
      </vt:variant>
      <vt:variant>
        <vt:lpwstr/>
      </vt:variant>
      <vt:variant>
        <vt:lpwstr>_Toc201146760</vt:lpwstr>
      </vt:variant>
      <vt:variant>
        <vt:i4>1376304</vt:i4>
      </vt:variant>
      <vt:variant>
        <vt:i4>4607</vt:i4>
      </vt:variant>
      <vt:variant>
        <vt:i4>0</vt:i4>
      </vt:variant>
      <vt:variant>
        <vt:i4>5</vt:i4>
      </vt:variant>
      <vt:variant>
        <vt:lpwstr/>
      </vt:variant>
      <vt:variant>
        <vt:lpwstr>_Toc201146759</vt:lpwstr>
      </vt:variant>
      <vt:variant>
        <vt:i4>1376304</vt:i4>
      </vt:variant>
      <vt:variant>
        <vt:i4>4601</vt:i4>
      </vt:variant>
      <vt:variant>
        <vt:i4>0</vt:i4>
      </vt:variant>
      <vt:variant>
        <vt:i4>5</vt:i4>
      </vt:variant>
      <vt:variant>
        <vt:lpwstr/>
      </vt:variant>
      <vt:variant>
        <vt:lpwstr>_Toc201146758</vt:lpwstr>
      </vt:variant>
      <vt:variant>
        <vt:i4>1376304</vt:i4>
      </vt:variant>
      <vt:variant>
        <vt:i4>4595</vt:i4>
      </vt:variant>
      <vt:variant>
        <vt:i4>0</vt:i4>
      </vt:variant>
      <vt:variant>
        <vt:i4>5</vt:i4>
      </vt:variant>
      <vt:variant>
        <vt:lpwstr/>
      </vt:variant>
      <vt:variant>
        <vt:lpwstr>_Toc201146757</vt:lpwstr>
      </vt:variant>
      <vt:variant>
        <vt:i4>1376304</vt:i4>
      </vt:variant>
      <vt:variant>
        <vt:i4>4589</vt:i4>
      </vt:variant>
      <vt:variant>
        <vt:i4>0</vt:i4>
      </vt:variant>
      <vt:variant>
        <vt:i4>5</vt:i4>
      </vt:variant>
      <vt:variant>
        <vt:lpwstr/>
      </vt:variant>
      <vt:variant>
        <vt:lpwstr>_Toc201146756</vt:lpwstr>
      </vt:variant>
      <vt:variant>
        <vt:i4>1376304</vt:i4>
      </vt:variant>
      <vt:variant>
        <vt:i4>4583</vt:i4>
      </vt:variant>
      <vt:variant>
        <vt:i4>0</vt:i4>
      </vt:variant>
      <vt:variant>
        <vt:i4>5</vt:i4>
      </vt:variant>
      <vt:variant>
        <vt:lpwstr/>
      </vt:variant>
      <vt:variant>
        <vt:lpwstr>_Toc201146755</vt:lpwstr>
      </vt:variant>
      <vt:variant>
        <vt:i4>1376304</vt:i4>
      </vt:variant>
      <vt:variant>
        <vt:i4>4577</vt:i4>
      </vt:variant>
      <vt:variant>
        <vt:i4>0</vt:i4>
      </vt:variant>
      <vt:variant>
        <vt:i4>5</vt:i4>
      </vt:variant>
      <vt:variant>
        <vt:lpwstr/>
      </vt:variant>
      <vt:variant>
        <vt:lpwstr>_Toc201146754</vt:lpwstr>
      </vt:variant>
      <vt:variant>
        <vt:i4>1376304</vt:i4>
      </vt:variant>
      <vt:variant>
        <vt:i4>4571</vt:i4>
      </vt:variant>
      <vt:variant>
        <vt:i4>0</vt:i4>
      </vt:variant>
      <vt:variant>
        <vt:i4>5</vt:i4>
      </vt:variant>
      <vt:variant>
        <vt:lpwstr/>
      </vt:variant>
      <vt:variant>
        <vt:lpwstr>_Toc201146753</vt:lpwstr>
      </vt:variant>
      <vt:variant>
        <vt:i4>1376304</vt:i4>
      </vt:variant>
      <vt:variant>
        <vt:i4>4565</vt:i4>
      </vt:variant>
      <vt:variant>
        <vt:i4>0</vt:i4>
      </vt:variant>
      <vt:variant>
        <vt:i4>5</vt:i4>
      </vt:variant>
      <vt:variant>
        <vt:lpwstr/>
      </vt:variant>
      <vt:variant>
        <vt:lpwstr>_Toc201146752</vt:lpwstr>
      </vt:variant>
      <vt:variant>
        <vt:i4>1376304</vt:i4>
      </vt:variant>
      <vt:variant>
        <vt:i4>4559</vt:i4>
      </vt:variant>
      <vt:variant>
        <vt:i4>0</vt:i4>
      </vt:variant>
      <vt:variant>
        <vt:i4>5</vt:i4>
      </vt:variant>
      <vt:variant>
        <vt:lpwstr/>
      </vt:variant>
      <vt:variant>
        <vt:lpwstr>_Toc201146751</vt:lpwstr>
      </vt:variant>
      <vt:variant>
        <vt:i4>1376304</vt:i4>
      </vt:variant>
      <vt:variant>
        <vt:i4>4553</vt:i4>
      </vt:variant>
      <vt:variant>
        <vt:i4>0</vt:i4>
      </vt:variant>
      <vt:variant>
        <vt:i4>5</vt:i4>
      </vt:variant>
      <vt:variant>
        <vt:lpwstr/>
      </vt:variant>
      <vt:variant>
        <vt:lpwstr>_Toc201146750</vt:lpwstr>
      </vt:variant>
      <vt:variant>
        <vt:i4>1310768</vt:i4>
      </vt:variant>
      <vt:variant>
        <vt:i4>4547</vt:i4>
      </vt:variant>
      <vt:variant>
        <vt:i4>0</vt:i4>
      </vt:variant>
      <vt:variant>
        <vt:i4>5</vt:i4>
      </vt:variant>
      <vt:variant>
        <vt:lpwstr/>
      </vt:variant>
      <vt:variant>
        <vt:lpwstr>_Toc201146749</vt:lpwstr>
      </vt:variant>
      <vt:variant>
        <vt:i4>1310768</vt:i4>
      </vt:variant>
      <vt:variant>
        <vt:i4>4541</vt:i4>
      </vt:variant>
      <vt:variant>
        <vt:i4>0</vt:i4>
      </vt:variant>
      <vt:variant>
        <vt:i4>5</vt:i4>
      </vt:variant>
      <vt:variant>
        <vt:lpwstr/>
      </vt:variant>
      <vt:variant>
        <vt:lpwstr>_Toc201146748</vt:lpwstr>
      </vt:variant>
      <vt:variant>
        <vt:i4>1310768</vt:i4>
      </vt:variant>
      <vt:variant>
        <vt:i4>4535</vt:i4>
      </vt:variant>
      <vt:variant>
        <vt:i4>0</vt:i4>
      </vt:variant>
      <vt:variant>
        <vt:i4>5</vt:i4>
      </vt:variant>
      <vt:variant>
        <vt:lpwstr/>
      </vt:variant>
      <vt:variant>
        <vt:lpwstr>_Toc201146747</vt:lpwstr>
      </vt:variant>
      <vt:variant>
        <vt:i4>1310768</vt:i4>
      </vt:variant>
      <vt:variant>
        <vt:i4>4529</vt:i4>
      </vt:variant>
      <vt:variant>
        <vt:i4>0</vt:i4>
      </vt:variant>
      <vt:variant>
        <vt:i4>5</vt:i4>
      </vt:variant>
      <vt:variant>
        <vt:lpwstr/>
      </vt:variant>
      <vt:variant>
        <vt:lpwstr>_Toc201146746</vt:lpwstr>
      </vt:variant>
      <vt:variant>
        <vt:i4>1310768</vt:i4>
      </vt:variant>
      <vt:variant>
        <vt:i4>4523</vt:i4>
      </vt:variant>
      <vt:variant>
        <vt:i4>0</vt:i4>
      </vt:variant>
      <vt:variant>
        <vt:i4>5</vt:i4>
      </vt:variant>
      <vt:variant>
        <vt:lpwstr/>
      </vt:variant>
      <vt:variant>
        <vt:lpwstr>_Toc201146745</vt:lpwstr>
      </vt:variant>
      <vt:variant>
        <vt:i4>1310768</vt:i4>
      </vt:variant>
      <vt:variant>
        <vt:i4>4517</vt:i4>
      </vt:variant>
      <vt:variant>
        <vt:i4>0</vt:i4>
      </vt:variant>
      <vt:variant>
        <vt:i4>5</vt:i4>
      </vt:variant>
      <vt:variant>
        <vt:lpwstr/>
      </vt:variant>
      <vt:variant>
        <vt:lpwstr>_Toc201146744</vt:lpwstr>
      </vt:variant>
      <vt:variant>
        <vt:i4>1310768</vt:i4>
      </vt:variant>
      <vt:variant>
        <vt:i4>4511</vt:i4>
      </vt:variant>
      <vt:variant>
        <vt:i4>0</vt:i4>
      </vt:variant>
      <vt:variant>
        <vt:i4>5</vt:i4>
      </vt:variant>
      <vt:variant>
        <vt:lpwstr/>
      </vt:variant>
      <vt:variant>
        <vt:lpwstr>_Toc201146743</vt:lpwstr>
      </vt:variant>
      <vt:variant>
        <vt:i4>1310768</vt:i4>
      </vt:variant>
      <vt:variant>
        <vt:i4>4505</vt:i4>
      </vt:variant>
      <vt:variant>
        <vt:i4>0</vt:i4>
      </vt:variant>
      <vt:variant>
        <vt:i4>5</vt:i4>
      </vt:variant>
      <vt:variant>
        <vt:lpwstr/>
      </vt:variant>
      <vt:variant>
        <vt:lpwstr>_Toc201146742</vt:lpwstr>
      </vt:variant>
      <vt:variant>
        <vt:i4>1310768</vt:i4>
      </vt:variant>
      <vt:variant>
        <vt:i4>4499</vt:i4>
      </vt:variant>
      <vt:variant>
        <vt:i4>0</vt:i4>
      </vt:variant>
      <vt:variant>
        <vt:i4>5</vt:i4>
      </vt:variant>
      <vt:variant>
        <vt:lpwstr/>
      </vt:variant>
      <vt:variant>
        <vt:lpwstr>_Toc201146741</vt:lpwstr>
      </vt:variant>
      <vt:variant>
        <vt:i4>1310768</vt:i4>
      </vt:variant>
      <vt:variant>
        <vt:i4>4493</vt:i4>
      </vt:variant>
      <vt:variant>
        <vt:i4>0</vt:i4>
      </vt:variant>
      <vt:variant>
        <vt:i4>5</vt:i4>
      </vt:variant>
      <vt:variant>
        <vt:lpwstr/>
      </vt:variant>
      <vt:variant>
        <vt:lpwstr>_Toc201146740</vt:lpwstr>
      </vt:variant>
      <vt:variant>
        <vt:i4>1245232</vt:i4>
      </vt:variant>
      <vt:variant>
        <vt:i4>4487</vt:i4>
      </vt:variant>
      <vt:variant>
        <vt:i4>0</vt:i4>
      </vt:variant>
      <vt:variant>
        <vt:i4>5</vt:i4>
      </vt:variant>
      <vt:variant>
        <vt:lpwstr/>
      </vt:variant>
      <vt:variant>
        <vt:lpwstr>_Toc201146739</vt:lpwstr>
      </vt:variant>
      <vt:variant>
        <vt:i4>1245232</vt:i4>
      </vt:variant>
      <vt:variant>
        <vt:i4>4481</vt:i4>
      </vt:variant>
      <vt:variant>
        <vt:i4>0</vt:i4>
      </vt:variant>
      <vt:variant>
        <vt:i4>5</vt:i4>
      </vt:variant>
      <vt:variant>
        <vt:lpwstr/>
      </vt:variant>
      <vt:variant>
        <vt:lpwstr>_Toc201146738</vt:lpwstr>
      </vt:variant>
      <vt:variant>
        <vt:i4>1245232</vt:i4>
      </vt:variant>
      <vt:variant>
        <vt:i4>4475</vt:i4>
      </vt:variant>
      <vt:variant>
        <vt:i4>0</vt:i4>
      </vt:variant>
      <vt:variant>
        <vt:i4>5</vt:i4>
      </vt:variant>
      <vt:variant>
        <vt:lpwstr/>
      </vt:variant>
      <vt:variant>
        <vt:lpwstr>_Toc201146737</vt:lpwstr>
      </vt:variant>
      <vt:variant>
        <vt:i4>1245232</vt:i4>
      </vt:variant>
      <vt:variant>
        <vt:i4>4469</vt:i4>
      </vt:variant>
      <vt:variant>
        <vt:i4>0</vt:i4>
      </vt:variant>
      <vt:variant>
        <vt:i4>5</vt:i4>
      </vt:variant>
      <vt:variant>
        <vt:lpwstr/>
      </vt:variant>
      <vt:variant>
        <vt:lpwstr>_Toc201146736</vt:lpwstr>
      </vt:variant>
      <vt:variant>
        <vt:i4>1245232</vt:i4>
      </vt:variant>
      <vt:variant>
        <vt:i4>4463</vt:i4>
      </vt:variant>
      <vt:variant>
        <vt:i4>0</vt:i4>
      </vt:variant>
      <vt:variant>
        <vt:i4>5</vt:i4>
      </vt:variant>
      <vt:variant>
        <vt:lpwstr/>
      </vt:variant>
      <vt:variant>
        <vt:lpwstr>_Toc201146735</vt:lpwstr>
      </vt:variant>
      <vt:variant>
        <vt:i4>1245232</vt:i4>
      </vt:variant>
      <vt:variant>
        <vt:i4>4457</vt:i4>
      </vt:variant>
      <vt:variant>
        <vt:i4>0</vt:i4>
      </vt:variant>
      <vt:variant>
        <vt:i4>5</vt:i4>
      </vt:variant>
      <vt:variant>
        <vt:lpwstr/>
      </vt:variant>
      <vt:variant>
        <vt:lpwstr>_Toc201146734</vt:lpwstr>
      </vt:variant>
      <vt:variant>
        <vt:i4>1245232</vt:i4>
      </vt:variant>
      <vt:variant>
        <vt:i4>4451</vt:i4>
      </vt:variant>
      <vt:variant>
        <vt:i4>0</vt:i4>
      </vt:variant>
      <vt:variant>
        <vt:i4>5</vt:i4>
      </vt:variant>
      <vt:variant>
        <vt:lpwstr/>
      </vt:variant>
      <vt:variant>
        <vt:lpwstr>_Toc201146733</vt:lpwstr>
      </vt:variant>
      <vt:variant>
        <vt:i4>1245232</vt:i4>
      </vt:variant>
      <vt:variant>
        <vt:i4>4445</vt:i4>
      </vt:variant>
      <vt:variant>
        <vt:i4>0</vt:i4>
      </vt:variant>
      <vt:variant>
        <vt:i4>5</vt:i4>
      </vt:variant>
      <vt:variant>
        <vt:lpwstr/>
      </vt:variant>
      <vt:variant>
        <vt:lpwstr>_Toc201146732</vt:lpwstr>
      </vt:variant>
      <vt:variant>
        <vt:i4>1245232</vt:i4>
      </vt:variant>
      <vt:variant>
        <vt:i4>4439</vt:i4>
      </vt:variant>
      <vt:variant>
        <vt:i4>0</vt:i4>
      </vt:variant>
      <vt:variant>
        <vt:i4>5</vt:i4>
      </vt:variant>
      <vt:variant>
        <vt:lpwstr/>
      </vt:variant>
      <vt:variant>
        <vt:lpwstr>_Toc201146731</vt:lpwstr>
      </vt:variant>
      <vt:variant>
        <vt:i4>1245232</vt:i4>
      </vt:variant>
      <vt:variant>
        <vt:i4>4433</vt:i4>
      </vt:variant>
      <vt:variant>
        <vt:i4>0</vt:i4>
      </vt:variant>
      <vt:variant>
        <vt:i4>5</vt:i4>
      </vt:variant>
      <vt:variant>
        <vt:lpwstr/>
      </vt:variant>
      <vt:variant>
        <vt:lpwstr>_Toc201146730</vt:lpwstr>
      </vt:variant>
      <vt:variant>
        <vt:i4>1179696</vt:i4>
      </vt:variant>
      <vt:variant>
        <vt:i4>4427</vt:i4>
      </vt:variant>
      <vt:variant>
        <vt:i4>0</vt:i4>
      </vt:variant>
      <vt:variant>
        <vt:i4>5</vt:i4>
      </vt:variant>
      <vt:variant>
        <vt:lpwstr/>
      </vt:variant>
      <vt:variant>
        <vt:lpwstr>_Toc201146729</vt:lpwstr>
      </vt:variant>
      <vt:variant>
        <vt:i4>1179696</vt:i4>
      </vt:variant>
      <vt:variant>
        <vt:i4>4421</vt:i4>
      </vt:variant>
      <vt:variant>
        <vt:i4>0</vt:i4>
      </vt:variant>
      <vt:variant>
        <vt:i4>5</vt:i4>
      </vt:variant>
      <vt:variant>
        <vt:lpwstr/>
      </vt:variant>
      <vt:variant>
        <vt:lpwstr>_Toc201146728</vt:lpwstr>
      </vt:variant>
      <vt:variant>
        <vt:i4>1179696</vt:i4>
      </vt:variant>
      <vt:variant>
        <vt:i4>4415</vt:i4>
      </vt:variant>
      <vt:variant>
        <vt:i4>0</vt:i4>
      </vt:variant>
      <vt:variant>
        <vt:i4>5</vt:i4>
      </vt:variant>
      <vt:variant>
        <vt:lpwstr/>
      </vt:variant>
      <vt:variant>
        <vt:lpwstr>_Toc201146727</vt:lpwstr>
      </vt:variant>
      <vt:variant>
        <vt:i4>1179696</vt:i4>
      </vt:variant>
      <vt:variant>
        <vt:i4>4409</vt:i4>
      </vt:variant>
      <vt:variant>
        <vt:i4>0</vt:i4>
      </vt:variant>
      <vt:variant>
        <vt:i4>5</vt:i4>
      </vt:variant>
      <vt:variant>
        <vt:lpwstr/>
      </vt:variant>
      <vt:variant>
        <vt:lpwstr>_Toc201146726</vt:lpwstr>
      </vt:variant>
      <vt:variant>
        <vt:i4>1179696</vt:i4>
      </vt:variant>
      <vt:variant>
        <vt:i4>4403</vt:i4>
      </vt:variant>
      <vt:variant>
        <vt:i4>0</vt:i4>
      </vt:variant>
      <vt:variant>
        <vt:i4>5</vt:i4>
      </vt:variant>
      <vt:variant>
        <vt:lpwstr/>
      </vt:variant>
      <vt:variant>
        <vt:lpwstr>_Toc201146725</vt:lpwstr>
      </vt:variant>
      <vt:variant>
        <vt:i4>1179696</vt:i4>
      </vt:variant>
      <vt:variant>
        <vt:i4>4397</vt:i4>
      </vt:variant>
      <vt:variant>
        <vt:i4>0</vt:i4>
      </vt:variant>
      <vt:variant>
        <vt:i4>5</vt:i4>
      </vt:variant>
      <vt:variant>
        <vt:lpwstr/>
      </vt:variant>
      <vt:variant>
        <vt:lpwstr>_Toc201146724</vt:lpwstr>
      </vt:variant>
      <vt:variant>
        <vt:i4>1179696</vt:i4>
      </vt:variant>
      <vt:variant>
        <vt:i4>4391</vt:i4>
      </vt:variant>
      <vt:variant>
        <vt:i4>0</vt:i4>
      </vt:variant>
      <vt:variant>
        <vt:i4>5</vt:i4>
      </vt:variant>
      <vt:variant>
        <vt:lpwstr/>
      </vt:variant>
      <vt:variant>
        <vt:lpwstr>_Toc201146723</vt:lpwstr>
      </vt:variant>
      <vt:variant>
        <vt:i4>1179696</vt:i4>
      </vt:variant>
      <vt:variant>
        <vt:i4>4385</vt:i4>
      </vt:variant>
      <vt:variant>
        <vt:i4>0</vt:i4>
      </vt:variant>
      <vt:variant>
        <vt:i4>5</vt:i4>
      </vt:variant>
      <vt:variant>
        <vt:lpwstr/>
      </vt:variant>
      <vt:variant>
        <vt:lpwstr>_Toc201146722</vt:lpwstr>
      </vt:variant>
      <vt:variant>
        <vt:i4>1179696</vt:i4>
      </vt:variant>
      <vt:variant>
        <vt:i4>4379</vt:i4>
      </vt:variant>
      <vt:variant>
        <vt:i4>0</vt:i4>
      </vt:variant>
      <vt:variant>
        <vt:i4>5</vt:i4>
      </vt:variant>
      <vt:variant>
        <vt:lpwstr/>
      </vt:variant>
      <vt:variant>
        <vt:lpwstr>_Toc201146721</vt:lpwstr>
      </vt:variant>
      <vt:variant>
        <vt:i4>1179696</vt:i4>
      </vt:variant>
      <vt:variant>
        <vt:i4>4373</vt:i4>
      </vt:variant>
      <vt:variant>
        <vt:i4>0</vt:i4>
      </vt:variant>
      <vt:variant>
        <vt:i4>5</vt:i4>
      </vt:variant>
      <vt:variant>
        <vt:lpwstr/>
      </vt:variant>
      <vt:variant>
        <vt:lpwstr>_Toc201146720</vt:lpwstr>
      </vt:variant>
      <vt:variant>
        <vt:i4>1114160</vt:i4>
      </vt:variant>
      <vt:variant>
        <vt:i4>4367</vt:i4>
      </vt:variant>
      <vt:variant>
        <vt:i4>0</vt:i4>
      </vt:variant>
      <vt:variant>
        <vt:i4>5</vt:i4>
      </vt:variant>
      <vt:variant>
        <vt:lpwstr/>
      </vt:variant>
      <vt:variant>
        <vt:lpwstr>_Toc201146719</vt:lpwstr>
      </vt:variant>
      <vt:variant>
        <vt:i4>1114160</vt:i4>
      </vt:variant>
      <vt:variant>
        <vt:i4>4361</vt:i4>
      </vt:variant>
      <vt:variant>
        <vt:i4>0</vt:i4>
      </vt:variant>
      <vt:variant>
        <vt:i4>5</vt:i4>
      </vt:variant>
      <vt:variant>
        <vt:lpwstr/>
      </vt:variant>
      <vt:variant>
        <vt:lpwstr>_Toc201146718</vt:lpwstr>
      </vt:variant>
      <vt:variant>
        <vt:i4>1114160</vt:i4>
      </vt:variant>
      <vt:variant>
        <vt:i4>4355</vt:i4>
      </vt:variant>
      <vt:variant>
        <vt:i4>0</vt:i4>
      </vt:variant>
      <vt:variant>
        <vt:i4>5</vt:i4>
      </vt:variant>
      <vt:variant>
        <vt:lpwstr/>
      </vt:variant>
      <vt:variant>
        <vt:lpwstr>_Toc201146717</vt:lpwstr>
      </vt:variant>
      <vt:variant>
        <vt:i4>1114160</vt:i4>
      </vt:variant>
      <vt:variant>
        <vt:i4>4352</vt:i4>
      </vt:variant>
      <vt:variant>
        <vt:i4>0</vt:i4>
      </vt:variant>
      <vt:variant>
        <vt:i4>5</vt:i4>
      </vt:variant>
      <vt:variant>
        <vt:lpwstr/>
      </vt:variant>
      <vt:variant>
        <vt:lpwstr>_Toc201146716</vt:lpwstr>
      </vt:variant>
      <vt:variant>
        <vt:i4>1114160</vt:i4>
      </vt:variant>
      <vt:variant>
        <vt:i4>4346</vt:i4>
      </vt:variant>
      <vt:variant>
        <vt:i4>0</vt:i4>
      </vt:variant>
      <vt:variant>
        <vt:i4>5</vt:i4>
      </vt:variant>
      <vt:variant>
        <vt:lpwstr/>
      </vt:variant>
      <vt:variant>
        <vt:lpwstr>_Toc201146715</vt:lpwstr>
      </vt:variant>
      <vt:variant>
        <vt:i4>1114160</vt:i4>
      </vt:variant>
      <vt:variant>
        <vt:i4>4340</vt:i4>
      </vt:variant>
      <vt:variant>
        <vt:i4>0</vt:i4>
      </vt:variant>
      <vt:variant>
        <vt:i4>5</vt:i4>
      </vt:variant>
      <vt:variant>
        <vt:lpwstr/>
      </vt:variant>
      <vt:variant>
        <vt:lpwstr>_Toc201146714</vt:lpwstr>
      </vt:variant>
      <vt:variant>
        <vt:i4>1114160</vt:i4>
      </vt:variant>
      <vt:variant>
        <vt:i4>4334</vt:i4>
      </vt:variant>
      <vt:variant>
        <vt:i4>0</vt:i4>
      </vt:variant>
      <vt:variant>
        <vt:i4>5</vt:i4>
      </vt:variant>
      <vt:variant>
        <vt:lpwstr/>
      </vt:variant>
      <vt:variant>
        <vt:lpwstr>_Toc201146713</vt:lpwstr>
      </vt:variant>
      <vt:variant>
        <vt:i4>1114160</vt:i4>
      </vt:variant>
      <vt:variant>
        <vt:i4>4328</vt:i4>
      </vt:variant>
      <vt:variant>
        <vt:i4>0</vt:i4>
      </vt:variant>
      <vt:variant>
        <vt:i4>5</vt:i4>
      </vt:variant>
      <vt:variant>
        <vt:lpwstr/>
      </vt:variant>
      <vt:variant>
        <vt:lpwstr>_Toc201146712</vt:lpwstr>
      </vt:variant>
      <vt:variant>
        <vt:i4>1114160</vt:i4>
      </vt:variant>
      <vt:variant>
        <vt:i4>4322</vt:i4>
      </vt:variant>
      <vt:variant>
        <vt:i4>0</vt:i4>
      </vt:variant>
      <vt:variant>
        <vt:i4>5</vt:i4>
      </vt:variant>
      <vt:variant>
        <vt:lpwstr/>
      </vt:variant>
      <vt:variant>
        <vt:lpwstr>_Toc201146711</vt:lpwstr>
      </vt:variant>
      <vt:variant>
        <vt:i4>1114160</vt:i4>
      </vt:variant>
      <vt:variant>
        <vt:i4>4316</vt:i4>
      </vt:variant>
      <vt:variant>
        <vt:i4>0</vt:i4>
      </vt:variant>
      <vt:variant>
        <vt:i4>5</vt:i4>
      </vt:variant>
      <vt:variant>
        <vt:lpwstr/>
      </vt:variant>
      <vt:variant>
        <vt:lpwstr>_Toc201146710</vt:lpwstr>
      </vt:variant>
      <vt:variant>
        <vt:i4>1048624</vt:i4>
      </vt:variant>
      <vt:variant>
        <vt:i4>4310</vt:i4>
      </vt:variant>
      <vt:variant>
        <vt:i4>0</vt:i4>
      </vt:variant>
      <vt:variant>
        <vt:i4>5</vt:i4>
      </vt:variant>
      <vt:variant>
        <vt:lpwstr/>
      </vt:variant>
      <vt:variant>
        <vt:lpwstr>_Toc201146709</vt:lpwstr>
      </vt:variant>
      <vt:variant>
        <vt:i4>1048624</vt:i4>
      </vt:variant>
      <vt:variant>
        <vt:i4>4304</vt:i4>
      </vt:variant>
      <vt:variant>
        <vt:i4>0</vt:i4>
      </vt:variant>
      <vt:variant>
        <vt:i4>5</vt:i4>
      </vt:variant>
      <vt:variant>
        <vt:lpwstr/>
      </vt:variant>
      <vt:variant>
        <vt:lpwstr>_Toc201146708</vt:lpwstr>
      </vt:variant>
      <vt:variant>
        <vt:i4>1048624</vt:i4>
      </vt:variant>
      <vt:variant>
        <vt:i4>4298</vt:i4>
      </vt:variant>
      <vt:variant>
        <vt:i4>0</vt:i4>
      </vt:variant>
      <vt:variant>
        <vt:i4>5</vt:i4>
      </vt:variant>
      <vt:variant>
        <vt:lpwstr/>
      </vt:variant>
      <vt:variant>
        <vt:lpwstr>_Toc201146707</vt:lpwstr>
      </vt:variant>
      <vt:variant>
        <vt:i4>1048624</vt:i4>
      </vt:variant>
      <vt:variant>
        <vt:i4>4292</vt:i4>
      </vt:variant>
      <vt:variant>
        <vt:i4>0</vt:i4>
      </vt:variant>
      <vt:variant>
        <vt:i4>5</vt:i4>
      </vt:variant>
      <vt:variant>
        <vt:lpwstr/>
      </vt:variant>
      <vt:variant>
        <vt:lpwstr>_Toc201146706</vt:lpwstr>
      </vt:variant>
      <vt:variant>
        <vt:i4>1048624</vt:i4>
      </vt:variant>
      <vt:variant>
        <vt:i4>4286</vt:i4>
      </vt:variant>
      <vt:variant>
        <vt:i4>0</vt:i4>
      </vt:variant>
      <vt:variant>
        <vt:i4>5</vt:i4>
      </vt:variant>
      <vt:variant>
        <vt:lpwstr/>
      </vt:variant>
      <vt:variant>
        <vt:lpwstr>_Toc201146705</vt:lpwstr>
      </vt:variant>
      <vt:variant>
        <vt:i4>1048624</vt:i4>
      </vt:variant>
      <vt:variant>
        <vt:i4>4280</vt:i4>
      </vt:variant>
      <vt:variant>
        <vt:i4>0</vt:i4>
      </vt:variant>
      <vt:variant>
        <vt:i4>5</vt:i4>
      </vt:variant>
      <vt:variant>
        <vt:lpwstr/>
      </vt:variant>
      <vt:variant>
        <vt:lpwstr>_Toc201146704</vt:lpwstr>
      </vt:variant>
      <vt:variant>
        <vt:i4>1048624</vt:i4>
      </vt:variant>
      <vt:variant>
        <vt:i4>4274</vt:i4>
      </vt:variant>
      <vt:variant>
        <vt:i4>0</vt:i4>
      </vt:variant>
      <vt:variant>
        <vt:i4>5</vt:i4>
      </vt:variant>
      <vt:variant>
        <vt:lpwstr/>
      </vt:variant>
      <vt:variant>
        <vt:lpwstr>_Toc201146703</vt:lpwstr>
      </vt:variant>
      <vt:variant>
        <vt:i4>1048624</vt:i4>
      </vt:variant>
      <vt:variant>
        <vt:i4>4268</vt:i4>
      </vt:variant>
      <vt:variant>
        <vt:i4>0</vt:i4>
      </vt:variant>
      <vt:variant>
        <vt:i4>5</vt:i4>
      </vt:variant>
      <vt:variant>
        <vt:lpwstr/>
      </vt:variant>
      <vt:variant>
        <vt:lpwstr>_Toc201146702</vt:lpwstr>
      </vt:variant>
      <vt:variant>
        <vt:i4>1048624</vt:i4>
      </vt:variant>
      <vt:variant>
        <vt:i4>4262</vt:i4>
      </vt:variant>
      <vt:variant>
        <vt:i4>0</vt:i4>
      </vt:variant>
      <vt:variant>
        <vt:i4>5</vt:i4>
      </vt:variant>
      <vt:variant>
        <vt:lpwstr/>
      </vt:variant>
      <vt:variant>
        <vt:lpwstr>_Toc201146701</vt:lpwstr>
      </vt:variant>
      <vt:variant>
        <vt:i4>1048624</vt:i4>
      </vt:variant>
      <vt:variant>
        <vt:i4>4256</vt:i4>
      </vt:variant>
      <vt:variant>
        <vt:i4>0</vt:i4>
      </vt:variant>
      <vt:variant>
        <vt:i4>5</vt:i4>
      </vt:variant>
      <vt:variant>
        <vt:lpwstr/>
      </vt:variant>
      <vt:variant>
        <vt:lpwstr>_Toc201146700</vt:lpwstr>
      </vt:variant>
      <vt:variant>
        <vt:i4>1638449</vt:i4>
      </vt:variant>
      <vt:variant>
        <vt:i4>4250</vt:i4>
      </vt:variant>
      <vt:variant>
        <vt:i4>0</vt:i4>
      </vt:variant>
      <vt:variant>
        <vt:i4>5</vt:i4>
      </vt:variant>
      <vt:variant>
        <vt:lpwstr/>
      </vt:variant>
      <vt:variant>
        <vt:lpwstr>_Toc201146699</vt:lpwstr>
      </vt:variant>
      <vt:variant>
        <vt:i4>1638449</vt:i4>
      </vt:variant>
      <vt:variant>
        <vt:i4>4244</vt:i4>
      </vt:variant>
      <vt:variant>
        <vt:i4>0</vt:i4>
      </vt:variant>
      <vt:variant>
        <vt:i4>5</vt:i4>
      </vt:variant>
      <vt:variant>
        <vt:lpwstr/>
      </vt:variant>
      <vt:variant>
        <vt:lpwstr>_Toc201146698</vt:lpwstr>
      </vt:variant>
      <vt:variant>
        <vt:i4>1638449</vt:i4>
      </vt:variant>
      <vt:variant>
        <vt:i4>4238</vt:i4>
      </vt:variant>
      <vt:variant>
        <vt:i4>0</vt:i4>
      </vt:variant>
      <vt:variant>
        <vt:i4>5</vt:i4>
      </vt:variant>
      <vt:variant>
        <vt:lpwstr/>
      </vt:variant>
      <vt:variant>
        <vt:lpwstr>_Toc201146697</vt:lpwstr>
      </vt:variant>
      <vt:variant>
        <vt:i4>1638449</vt:i4>
      </vt:variant>
      <vt:variant>
        <vt:i4>4232</vt:i4>
      </vt:variant>
      <vt:variant>
        <vt:i4>0</vt:i4>
      </vt:variant>
      <vt:variant>
        <vt:i4>5</vt:i4>
      </vt:variant>
      <vt:variant>
        <vt:lpwstr/>
      </vt:variant>
      <vt:variant>
        <vt:lpwstr>_Toc201146696</vt:lpwstr>
      </vt:variant>
      <vt:variant>
        <vt:i4>1638449</vt:i4>
      </vt:variant>
      <vt:variant>
        <vt:i4>4226</vt:i4>
      </vt:variant>
      <vt:variant>
        <vt:i4>0</vt:i4>
      </vt:variant>
      <vt:variant>
        <vt:i4>5</vt:i4>
      </vt:variant>
      <vt:variant>
        <vt:lpwstr/>
      </vt:variant>
      <vt:variant>
        <vt:lpwstr>_Toc201146695</vt:lpwstr>
      </vt:variant>
      <vt:variant>
        <vt:i4>1638449</vt:i4>
      </vt:variant>
      <vt:variant>
        <vt:i4>4220</vt:i4>
      </vt:variant>
      <vt:variant>
        <vt:i4>0</vt:i4>
      </vt:variant>
      <vt:variant>
        <vt:i4>5</vt:i4>
      </vt:variant>
      <vt:variant>
        <vt:lpwstr/>
      </vt:variant>
      <vt:variant>
        <vt:lpwstr>_Toc201146694</vt:lpwstr>
      </vt:variant>
      <vt:variant>
        <vt:i4>1638449</vt:i4>
      </vt:variant>
      <vt:variant>
        <vt:i4>4214</vt:i4>
      </vt:variant>
      <vt:variant>
        <vt:i4>0</vt:i4>
      </vt:variant>
      <vt:variant>
        <vt:i4>5</vt:i4>
      </vt:variant>
      <vt:variant>
        <vt:lpwstr/>
      </vt:variant>
      <vt:variant>
        <vt:lpwstr>_Toc201146693</vt:lpwstr>
      </vt:variant>
      <vt:variant>
        <vt:i4>1638449</vt:i4>
      </vt:variant>
      <vt:variant>
        <vt:i4>4208</vt:i4>
      </vt:variant>
      <vt:variant>
        <vt:i4>0</vt:i4>
      </vt:variant>
      <vt:variant>
        <vt:i4>5</vt:i4>
      </vt:variant>
      <vt:variant>
        <vt:lpwstr/>
      </vt:variant>
      <vt:variant>
        <vt:lpwstr>_Toc201146692</vt:lpwstr>
      </vt:variant>
      <vt:variant>
        <vt:i4>1638449</vt:i4>
      </vt:variant>
      <vt:variant>
        <vt:i4>4202</vt:i4>
      </vt:variant>
      <vt:variant>
        <vt:i4>0</vt:i4>
      </vt:variant>
      <vt:variant>
        <vt:i4>5</vt:i4>
      </vt:variant>
      <vt:variant>
        <vt:lpwstr/>
      </vt:variant>
      <vt:variant>
        <vt:lpwstr>_Toc201146691</vt:lpwstr>
      </vt:variant>
      <vt:variant>
        <vt:i4>1638449</vt:i4>
      </vt:variant>
      <vt:variant>
        <vt:i4>4196</vt:i4>
      </vt:variant>
      <vt:variant>
        <vt:i4>0</vt:i4>
      </vt:variant>
      <vt:variant>
        <vt:i4>5</vt:i4>
      </vt:variant>
      <vt:variant>
        <vt:lpwstr/>
      </vt:variant>
      <vt:variant>
        <vt:lpwstr>_Toc201146690</vt:lpwstr>
      </vt:variant>
      <vt:variant>
        <vt:i4>1572913</vt:i4>
      </vt:variant>
      <vt:variant>
        <vt:i4>4190</vt:i4>
      </vt:variant>
      <vt:variant>
        <vt:i4>0</vt:i4>
      </vt:variant>
      <vt:variant>
        <vt:i4>5</vt:i4>
      </vt:variant>
      <vt:variant>
        <vt:lpwstr/>
      </vt:variant>
      <vt:variant>
        <vt:lpwstr>_Toc201146689</vt:lpwstr>
      </vt:variant>
      <vt:variant>
        <vt:i4>1572913</vt:i4>
      </vt:variant>
      <vt:variant>
        <vt:i4>4184</vt:i4>
      </vt:variant>
      <vt:variant>
        <vt:i4>0</vt:i4>
      </vt:variant>
      <vt:variant>
        <vt:i4>5</vt:i4>
      </vt:variant>
      <vt:variant>
        <vt:lpwstr/>
      </vt:variant>
      <vt:variant>
        <vt:lpwstr>_Toc201146688</vt:lpwstr>
      </vt:variant>
      <vt:variant>
        <vt:i4>1572913</vt:i4>
      </vt:variant>
      <vt:variant>
        <vt:i4>4178</vt:i4>
      </vt:variant>
      <vt:variant>
        <vt:i4>0</vt:i4>
      </vt:variant>
      <vt:variant>
        <vt:i4>5</vt:i4>
      </vt:variant>
      <vt:variant>
        <vt:lpwstr/>
      </vt:variant>
      <vt:variant>
        <vt:lpwstr>_Toc201146687</vt:lpwstr>
      </vt:variant>
      <vt:variant>
        <vt:i4>1572913</vt:i4>
      </vt:variant>
      <vt:variant>
        <vt:i4>4172</vt:i4>
      </vt:variant>
      <vt:variant>
        <vt:i4>0</vt:i4>
      </vt:variant>
      <vt:variant>
        <vt:i4>5</vt:i4>
      </vt:variant>
      <vt:variant>
        <vt:lpwstr/>
      </vt:variant>
      <vt:variant>
        <vt:lpwstr>_Toc201146686</vt:lpwstr>
      </vt:variant>
      <vt:variant>
        <vt:i4>1572913</vt:i4>
      </vt:variant>
      <vt:variant>
        <vt:i4>4166</vt:i4>
      </vt:variant>
      <vt:variant>
        <vt:i4>0</vt:i4>
      </vt:variant>
      <vt:variant>
        <vt:i4>5</vt:i4>
      </vt:variant>
      <vt:variant>
        <vt:lpwstr/>
      </vt:variant>
      <vt:variant>
        <vt:lpwstr>_Toc201146685</vt:lpwstr>
      </vt:variant>
      <vt:variant>
        <vt:i4>1572913</vt:i4>
      </vt:variant>
      <vt:variant>
        <vt:i4>4160</vt:i4>
      </vt:variant>
      <vt:variant>
        <vt:i4>0</vt:i4>
      </vt:variant>
      <vt:variant>
        <vt:i4>5</vt:i4>
      </vt:variant>
      <vt:variant>
        <vt:lpwstr/>
      </vt:variant>
      <vt:variant>
        <vt:lpwstr>_Toc201146684</vt:lpwstr>
      </vt:variant>
      <vt:variant>
        <vt:i4>1572913</vt:i4>
      </vt:variant>
      <vt:variant>
        <vt:i4>4154</vt:i4>
      </vt:variant>
      <vt:variant>
        <vt:i4>0</vt:i4>
      </vt:variant>
      <vt:variant>
        <vt:i4>5</vt:i4>
      </vt:variant>
      <vt:variant>
        <vt:lpwstr/>
      </vt:variant>
      <vt:variant>
        <vt:lpwstr>_Toc201146683</vt:lpwstr>
      </vt:variant>
      <vt:variant>
        <vt:i4>1572913</vt:i4>
      </vt:variant>
      <vt:variant>
        <vt:i4>4148</vt:i4>
      </vt:variant>
      <vt:variant>
        <vt:i4>0</vt:i4>
      </vt:variant>
      <vt:variant>
        <vt:i4>5</vt:i4>
      </vt:variant>
      <vt:variant>
        <vt:lpwstr/>
      </vt:variant>
      <vt:variant>
        <vt:lpwstr>_Toc201146682</vt:lpwstr>
      </vt:variant>
      <vt:variant>
        <vt:i4>1572913</vt:i4>
      </vt:variant>
      <vt:variant>
        <vt:i4>4142</vt:i4>
      </vt:variant>
      <vt:variant>
        <vt:i4>0</vt:i4>
      </vt:variant>
      <vt:variant>
        <vt:i4>5</vt:i4>
      </vt:variant>
      <vt:variant>
        <vt:lpwstr/>
      </vt:variant>
      <vt:variant>
        <vt:lpwstr>_Toc201146681</vt:lpwstr>
      </vt:variant>
      <vt:variant>
        <vt:i4>1572913</vt:i4>
      </vt:variant>
      <vt:variant>
        <vt:i4>4136</vt:i4>
      </vt:variant>
      <vt:variant>
        <vt:i4>0</vt:i4>
      </vt:variant>
      <vt:variant>
        <vt:i4>5</vt:i4>
      </vt:variant>
      <vt:variant>
        <vt:lpwstr/>
      </vt:variant>
      <vt:variant>
        <vt:lpwstr>_Toc201146680</vt:lpwstr>
      </vt:variant>
      <vt:variant>
        <vt:i4>1507377</vt:i4>
      </vt:variant>
      <vt:variant>
        <vt:i4>4130</vt:i4>
      </vt:variant>
      <vt:variant>
        <vt:i4>0</vt:i4>
      </vt:variant>
      <vt:variant>
        <vt:i4>5</vt:i4>
      </vt:variant>
      <vt:variant>
        <vt:lpwstr/>
      </vt:variant>
      <vt:variant>
        <vt:lpwstr>_Toc201146679</vt:lpwstr>
      </vt:variant>
      <vt:variant>
        <vt:i4>1507377</vt:i4>
      </vt:variant>
      <vt:variant>
        <vt:i4>4124</vt:i4>
      </vt:variant>
      <vt:variant>
        <vt:i4>0</vt:i4>
      </vt:variant>
      <vt:variant>
        <vt:i4>5</vt:i4>
      </vt:variant>
      <vt:variant>
        <vt:lpwstr/>
      </vt:variant>
      <vt:variant>
        <vt:lpwstr>_Toc201146678</vt:lpwstr>
      </vt:variant>
      <vt:variant>
        <vt:i4>1507377</vt:i4>
      </vt:variant>
      <vt:variant>
        <vt:i4>4118</vt:i4>
      </vt:variant>
      <vt:variant>
        <vt:i4>0</vt:i4>
      </vt:variant>
      <vt:variant>
        <vt:i4>5</vt:i4>
      </vt:variant>
      <vt:variant>
        <vt:lpwstr/>
      </vt:variant>
      <vt:variant>
        <vt:lpwstr>_Toc201146677</vt:lpwstr>
      </vt:variant>
      <vt:variant>
        <vt:i4>1507377</vt:i4>
      </vt:variant>
      <vt:variant>
        <vt:i4>4112</vt:i4>
      </vt:variant>
      <vt:variant>
        <vt:i4>0</vt:i4>
      </vt:variant>
      <vt:variant>
        <vt:i4>5</vt:i4>
      </vt:variant>
      <vt:variant>
        <vt:lpwstr/>
      </vt:variant>
      <vt:variant>
        <vt:lpwstr>_Toc201146676</vt:lpwstr>
      </vt:variant>
      <vt:variant>
        <vt:i4>1507377</vt:i4>
      </vt:variant>
      <vt:variant>
        <vt:i4>4106</vt:i4>
      </vt:variant>
      <vt:variant>
        <vt:i4>0</vt:i4>
      </vt:variant>
      <vt:variant>
        <vt:i4>5</vt:i4>
      </vt:variant>
      <vt:variant>
        <vt:lpwstr/>
      </vt:variant>
      <vt:variant>
        <vt:lpwstr>_Toc201146675</vt:lpwstr>
      </vt:variant>
      <vt:variant>
        <vt:i4>1507377</vt:i4>
      </vt:variant>
      <vt:variant>
        <vt:i4>4100</vt:i4>
      </vt:variant>
      <vt:variant>
        <vt:i4>0</vt:i4>
      </vt:variant>
      <vt:variant>
        <vt:i4>5</vt:i4>
      </vt:variant>
      <vt:variant>
        <vt:lpwstr/>
      </vt:variant>
      <vt:variant>
        <vt:lpwstr>_Toc201146674</vt:lpwstr>
      </vt:variant>
      <vt:variant>
        <vt:i4>1507377</vt:i4>
      </vt:variant>
      <vt:variant>
        <vt:i4>4094</vt:i4>
      </vt:variant>
      <vt:variant>
        <vt:i4>0</vt:i4>
      </vt:variant>
      <vt:variant>
        <vt:i4>5</vt:i4>
      </vt:variant>
      <vt:variant>
        <vt:lpwstr/>
      </vt:variant>
      <vt:variant>
        <vt:lpwstr>_Toc201146673</vt:lpwstr>
      </vt:variant>
      <vt:variant>
        <vt:i4>1507377</vt:i4>
      </vt:variant>
      <vt:variant>
        <vt:i4>4088</vt:i4>
      </vt:variant>
      <vt:variant>
        <vt:i4>0</vt:i4>
      </vt:variant>
      <vt:variant>
        <vt:i4>5</vt:i4>
      </vt:variant>
      <vt:variant>
        <vt:lpwstr/>
      </vt:variant>
      <vt:variant>
        <vt:lpwstr>_Toc201146672</vt:lpwstr>
      </vt:variant>
      <vt:variant>
        <vt:i4>1507377</vt:i4>
      </vt:variant>
      <vt:variant>
        <vt:i4>4082</vt:i4>
      </vt:variant>
      <vt:variant>
        <vt:i4>0</vt:i4>
      </vt:variant>
      <vt:variant>
        <vt:i4>5</vt:i4>
      </vt:variant>
      <vt:variant>
        <vt:lpwstr/>
      </vt:variant>
      <vt:variant>
        <vt:lpwstr>_Toc201146671</vt:lpwstr>
      </vt:variant>
      <vt:variant>
        <vt:i4>1507377</vt:i4>
      </vt:variant>
      <vt:variant>
        <vt:i4>4076</vt:i4>
      </vt:variant>
      <vt:variant>
        <vt:i4>0</vt:i4>
      </vt:variant>
      <vt:variant>
        <vt:i4>5</vt:i4>
      </vt:variant>
      <vt:variant>
        <vt:lpwstr/>
      </vt:variant>
      <vt:variant>
        <vt:lpwstr>_Toc201146670</vt:lpwstr>
      </vt:variant>
      <vt:variant>
        <vt:i4>1441841</vt:i4>
      </vt:variant>
      <vt:variant>
        <vt:i4>4070</vt:i4>
      </vt:variant>
      <vt:variant>
        <vt:i4>0</vt:i4>
      </vt:variant>
      <vt:variant>
        <vt:i4>5</vt:i4>
      </vt:variant>
      <vt:variant>
        <vt:lpwstr/>
      </vt:variant>
      <vt:variant>
        <vt:lpwstr>_Toc201146669</vt:lpwstr>
      </vt:variant>
      <vt:variant>
        <vt:i4>1441841</vt:i4>
      </vt:variant>
      <vt:variant>
        <vt:i4>4064</vt:i4>
      </vt:variant>
      <vt:variant>
        <vt:i4>0</vt:i4>
      </vt:variant>
      <vt:variant>
        <vt:i4>5</vt:i4>
      </vt:variant>
      <vt:variant>
        <vt:lpwstr/>
      </vt:variant>
      <vt:variant>
        <vt:lpwstr>_Toc201146668</vt:lpwstr>
      </vt:variant>
      <vt:variant>
        <vt:i4>1441841</vt:i4>
      </vt:variant>
      <vt:variant>
        <vt:i4>4058</vt:i4>
      </vt:variant>
      <vt:variant>
        <vt:i4>0</vt:i4>
      </vt:variant>
      <vt:variant>
        <vt:i4>5</vt:i4>
      </vt:variant>
      <vt:variant>
        <vt:lpwstr/>
      </vt:variant>
      <vt:variant>
        <vt:lpwstr>_Toc201146667</vt:lpwstr>
      </vt:variant>
      <vt:variant>
        <vt:i4>1441841</vt:i4>
      </vt:variant>
      <vt:variant>
        <vt:i4>4052</vt:i4>
      </vt:variant>
      <vt:variant>
        <vt:i4>0</vt:i4>
      </vt:variant>
      <vt:variant>
        <vt:i4>5</vt:i4>
      </vt:variant>
      <vt:variant>
        <vt:lpwstr/>
      </vt:variant>
      <vt:variant>
        <vt:lpwstr>_Toc201146666</vt:lpwstr>
      </vt:variant>
      <vt:variant>
        <vt:i4>1441841</vt:i4>
      </vt:variant>
      <vt:variant>
        <vt:i4>4046</vt:i4>
      </vt:variant>
      <vt:variant>
        <vt:i4>0</vt:i4>
      </vt:variant>
      <vt:variant>
        <vt:i4>5</vt:i4>
      </vt:variant>
      <vt:variant>
        <vt:lpwstr/>
      </vt:variant>
      <vt:variant>
        <vt:lpwstr>_Toc201146665</vt:lpwstr>
      </vt:variant>
      <vt:variant>
        <vt:i4>1441841</vt:i4>
      </vt:variant>
      <vt:variant>
        <vt:i4>4040</vt:i4>
      </vt:variant>
      <vt:variant>
        <vt:i4>0</vt:i4>
      </vt:variant>
      <vt:variant>
        <vt:i4>5</vt:i4>
      </vt:variant>
      <vt:variant>
        <vt:lpwstr/>
      </vt:variant>
      <vt:variant>
        <vt:lpwstr>_Toc201146664</vt:lpwstr>
      </vt:variant>
      <vt:variant>
        <vt:i4>1441841</vt:i4>
      </vt:variant>
      <vt:variant>
        <vt:i4>4034</vt:i4>
      </vt:variant>
      <vt:variant>
        <vt:i4>0</vt:i4>
      </vt:variant>
      <vt:variant>
        <vt:i4>5</vt:i4>
      </vt:variant>
      <vt:variant>
        <vt:lpwstr/>
      </vt:variant>
      <vt:variant>
        <vt:lpwstr>_Toc201146663</vt:lpwstr>
      </vt:variant>
      <vt:variant>
        <vt:i4>1441841</vt:i4>
      </vt:variant>
      <vt:variant>
        <vt:i4>4028</vt:i4>
      </vt:variant>
      <vt:variant>
        <vt:i4>0</vt:i4>
      </vt:variant>
      <vt:variant>
        <vt:i4>5</vt:i4>
      </vt:variant>
      <vt:variant>
        <vt:lpwstr/>
      </vt:variant>
      <vt:variant>
        <vt:lpwstr>_Toc201146662</vt:lpwstr>
      </vt:variant>
      <vt:variant>
        <vt:i4>1441841</vt:i4>
      </vt:variant>
      <vt:variant>
        <vt:i4>4022</vt:i4>
      </vt:variant>
      <vt:variant>
        <vt:i4>0</vt:i4>
      </vt:variant>
      <vt:variant>
        <vt:i4>5</vt:i4>
      </vt:variant>
      <vt:variant>
        <vt:lpwstr/>
      </vt:variant>
      <vt:variant>
        <vt:lpwstr>_Toc201146661</vt:lpwstr>
      </vt:variant>
      <vt:variant>
        <vt:i4>1441841</vt:i4>
      </vt:variant>
      <vt:variant>
        <vt:i4>4016</vt:i4>
      </vt:variant>
      <vt:variant>
        <vt:i4>0</vt:i4>
      </vt:variant>
      <vt:variant>
        <vt:i4>5</vt:i4>
      </vt:variant>
      <vt:variant>
        <vt:lpwstr/>
      </vt:variant>
      <vt:variant>
        <vt:lpwstr>_Toc201146660</vt:lpwstr>
      </vt:variant>
      <vt:variant>
        <vt:i4>1376305</vt:i4>
      </vt:variant>
      <vt:variant>
        <vt:i4>4010</vt:i4>
      </vt:variant>
      <vt:variant>
        <vt:i4>0</vt:i4>
      </vt:variant>
      <vt:variant>
        <vt:i4>5</vt:i4>
      </vt:variant>
      <vt:variant>
        <vt:lpwstr/>
      </vt:variant>
      <vt:variant>
        <vt:lpwstr>_Toc201146659</vt:lpwstr>
      </vt:variant>
      <vt:variant>
        <vt:i4>1376305</vt:i4>
      </vt:variant>
      <vt:variant>
        <vt:i4>4004</vt:i4>
      </vt:variant>
      <vt:variant>
        <vt:i4>0</vt:i4>
      </vt:variant>
      <vt:variant>
        <vt:i4>5</vt:i4>
      </vt:variant>
      <vt:variant>
        <vt:lpwstr/>
      </vt:variant>
      <vt:variant>
        <vt:lpwstr>_Toc201146658</vt:lpwstr>
      </vt:variant>
      <vt:variant>
        <vt:i4>1376305</vt:i4>
      </vt:variant>
      <vt:variant>
        <vt:i4>3998</vt:i4>
      </vt:variant>
      <vt:variant>
        <vt:i4>0</vt:i4>
      </vt:variant>
      <vt:variant>
        <vt:i4>5</vt:i4>
      </vt:variant>
      <vt:variant>
        <vt:lpwstr/>
      </vt:variant>
      <vt:variant>
        <vt:lpwstr>_Toc201146657</vt:lpwstr>
      </vt:variant>
      <vt:variant>
        <vt:i4>1376305</vt:i4>
      </vt:variant>
      <vt:variant>
        <vt:i4>3992</vt:i4>
      </vt:variant>
      <vt:variant>
        <vt:i4>0</vt:i4>
      </vt:variant>
      <vt:variant>
        <vt:i4>5</vt:i4>
      </vt:variant>
      <vt:variant>
        <vt:lpwstr/>
      </vt:variant>
      <vt:variant>
        <vt:lpwstr>_Toc201146656</vt:lpwstr>
      </vt:variant>
      <vt:variant>
        <vt:i4>1376305</vt:i4>
      </vt:variant>
      <vt:variant>
        <vt:i4>3986</vt:i4>
      </vt:variant>
      <vt:variant>
        <vt:i4>0</vt:i4>
      </vt:variant>
      <vt:variant>
        <vt:i4>5</vt:i4>
      </vt:variant>
      <vt:variant>
        <vt:lpwstr/>
      </vt:variant>
      <vt:variant>
        <vt:lpwstr>_Toc201146655</vt:lpwstr>
      </vt:variant>
      <vt:variant>
        <vt:i4>1376305</vt:i4>
      </vt:variant>
      <vt:variant>
        <vt:i4>3980</vt:i4>
      </vt:variant>
      <vt:variant>
        <vt:i4>0</vt:i4>
      </vt:variant>
      <vt:variant>
        <vt:i4>5</vt:i4>
      </vt:variant>
      <vt:variant>
        <vt:lpwstr/>
      </vt:variant>
      <vt:variant>
        <vt:lpwstr>_Toc201146654</vt:lpwstr>
      </vt:variant>
      <vt:variant>
        <vt:i4>1376305</vt:i4>
      </vt:variant>
      <vt:variant>
        <vt:i4>3974</vt:i4>
      </vt:variant>
      <vt:variant>
        <vt:i4>0</vt:i4>
      </vt:variant>
      <vt:variant>
        <vt:i4>5</vt:i4>
      </vt:variant>
      <vt:variant>
        <vt:lpwstr/>
      </vt:variant>
      <vt:variant>
        <vt:lpwstr>_Toc201146653</vt:lpwstr>
      </vt:variant>
      <vt:variant>
        <vt:i4>1376305</vt:i4>
      </vt:variant>
      <vt:variant>
        <vt:i4>3968</vt:i4>
      </vt:variant>
      <vt:variant>
        <vt:i4>0</vt:i4>
      </vt:variant>
      <vt:variant>
        <vt:i4>5</vt:i4>
      </vt:variant>
      <vt:variant>
        <vt:lpwstr/>
      </vt:variant>
      <vt:variant>
        <vt:lpwstr>_Toc201146652</vt:lpwstr>
      </vt:variant>
      <vt:variant>
        <vt:i4>1376305</vt:i4>
      </vt:variant>
      <vt:variant>
        <vt:i4>3962</vt:i4>
      </vt:variant>
      <vt:variant>
        <vt:i4>0</vt:i4>
      </vt:variant>
      <vt:variant>
        <vt:i4>5</vt:i4>
      </vt:variant>
      <vt:variant>
        <vt:lpwstr/>
      </vt:variant>
      <vt:variant>
        <vt:lpwstr>_Toc201146651</vt:lpwstr>
      </vt:variant>
      <vt:variant>
        <vt:i4>1376305</vt:i4>
      </vt:variant>
      <vt:variant>
        <vt:i4>3956</vt:i4>
      </vt:variant>
      <vt:variant>
        <vt:i4>0</vt:i4>
      </vt:variant>
      <vt:variant>
        <vt:i4>5</vt:i4>
      </vt:variant>
      <vt:variant>
        <vt:lpwstr/>
      </vt:variant>
      <vt:variant>
        <vt:lpwstr>_Toc201146650</vt:lpwstr>
      </vt:variant>
      <vt:variant>
        <vt:i4>1310769</vt:i4>
      </vt:variant>
      <vt:variant>
        <vt:i4>3950</vt:i4>
      </vt:variant>
      <vt:variant>
        <vt:i4>0</vt:i4>
      </vt:variant>
      <vt:variant>
        <vt:i4>5</vt:i4>
      </vt:variant>
      <vt:variant>
        <vt:lpwstr/>
      </vt:variant>
      <vt:variant>
        <vt:lpwstr>_Toc201146649</vt:lpwstr>
      </vt:variant>
      <vt:variant>
        <vt:i4>1310769</vt:i4>
      </vt:variant>
      <vt:variant>
        <vt:i4>3944</vt:i4>
      </vt:variant>
      <vt:variant>
        <vt:i4>0</vt:i4>
      </vt:variant>
      <vt:variant>
        <vt:i4>5</vt:i4>
      </vt:variant>
      <vt:variant>
        <vt:lpwstr/>
      </vt:variant>
      <vt:variant>
        <vt:lpwstr>_Toc201146648</vt:lpwstr>
      </vt:variant>
      <vt:variant>
        <vt:i4>1310769</vt:i4>
      </vt:variant>
      <vt:variant>
        <vt:i4>3938</vt:i4>
      </vt:variant>
      <vt:variant>
        <vt:i4>0</vt:i4>
      </vt:variant>
      <vt:variant>
        <vt:i4>5</vt:i4>
      </vt:variant>
      <vt:variant>
        <vt:lpwstr/>
      </vt:variant>
      <vt:variant>
        <vt:lpwstr>_Toc201146647</vt:lpwstr>
      </vt:variant>
      <vt:variant>
        <vt:i4>1310769</vt:i4>
      </vt:variant>
      <vt:variant>
        <vt:i4>3932</vt:i4>
      </vt:variant>
      <vt:variant>
        <vt:i4>0</vt:i4>
      </vt:variant>
      <vt:variant>
        <vt:i4>5</vt:i4>
      </vt:variant>
      <vt:variant>
        <vt:lpwstr/>
      </vt:variant>
      <vt:variant>
        <vt:lpwstr>_Toc201146646</vt:lpwstr>
      </vt:variant>
      <vt:variant>
        <vt:i4>1310769</vt:i4>
      </vt:variant>
      <vt:variant>
        <vt:i4>3926</vt:i4>
      </vt:variant>
      <vt:variant>
        <vt:i4>0</vt:i4>
      </vt:variant>
      <vt:variant>
        <vt:i4>5</vt:i4>
      </vt:variant>
      <vt:variant>
        <vt:lpwstr/>
      </vt:variant>
      <vt:variant>
        <vt:lpwstr>_Toc201146645</vt:lpwstr>
      </vt:variant>
      <vt:variant>
        <vt:i4>1310769</vt:i4>
      </vt:variant>
      <vt:variant>
        <vt:i4>3920</vt:i4>
      </vt:variant>
      <vt:variant>
        <vt:i4>0</vt:i4>
      </vt:variant>
      <vt:variant>
        <vt:i4>5</vt:i4>
      </vt:variant>
      <vt:variant>
        <vt:lpwstr/>
      </vt:variant>
      <vt:variant>
        <vt:lpwstr>_Toc201146644</vt:lpwstr>
      </vt:variant>
      <vt:variant>
        <vt:i4>1310769</vt:i4>
      </vt:variant>
      <vt:variant>
        <vt:i4>3914</vt:i4>
      </vt:variant>
      <vt:variant>
        <vt:i4>0</vt:i4>
      </vt:variant>
      <vt:variant>
        <vt:i4>5</vt:i4>
      </vt:variant>
      <vt:variant>
        <vt:lpwstr/>
      </vt:variant>
      <vt:variant>
        <vt:lpwstr>_Toc201146643</vt:lpwstr>
      </vt:variant>
      <vt:variant>
        <vt:i4>1310769</vt:i4>
      </vt:variant>
      <vt:variant>
        <vt:i4>3908</vt:i4>
      </vt:variant>
      <vt:variant>
        <vt:i4>0</vt:i4>
      </vt:variant>
      <vt:variant>
        <vt:i4>5</vt:i4>
      </vt:variant>
      <vt:variant>
        <vt:lpwstr/>
      </vt:variant>
      <vt:variant>
        <vt:lpwstr>_Toc201146642</vt:lpwstr>
      </vt:variant>
      <vt:variant>
        <vt:i4>1310769</vt:i4>
      </vt:variant>
      <vt:variant>
        <vt:i4>3902</vt:i4>
      </vt:variant>
      <vt:variant>
        <vt:i4>0</vt:i4>
      </vt:variant>
      <vt:variant>
        <vt:i4>5</vt:i4>
      </vt:variant>
      <vt:variant>
        <vt:lpwstr/>
      </vt:variant>
      <vt:variant>
        <vt:lpwstr>_Toc201146641</vt:lpwstr>
      </vt:variant>
      <vt:variant>
        <vt:i4>1310769</vt:i4>
      </vt:variant>
      <vt:variant>
        <vt:i4>3896</vt:i4>
      </vt:variant>
      <vt:variant>
        <vt:i4>0</vt:i4>
      </vt:variant>
      <vt:variant>
        <vt:i4>5</vt:i4>
      </vt:variant>
      <vt:variant>
        <vt:lpwstr/>
      </vt:variant>
      <vt:variant>
        <vt:lpwstr>_Toc201146640</vt:lpwstr>
      </vt:variant>
      <vt:variant>
        <vt:i4>1245233</vt:i4>
      </vt:variant>
      <vt:variant>
        <vt:i4>3890</vt:i4>
      </vt:variant>
      <vt:variant>
        <vt:i4>0</vt:i4>
      </vt:variant>
      <vt:variant>
        <vt:i4>5</vt:i4>
      </vt:variant>
      <vt:variant>
        <vt:lpwstr/>
      </vt:variant>
      <vt:variant>
        <vt:lpwstr>_Toc201146639</vt:lpwstr>
      </vt:variant>
      <vt:variant>
        <vt:i4>1245233</vt:i4>
      </vt:variant>
      <vt:variant>
        <vt:i4>3884</vt:i4>
      </vt:variant>
      <vt:variant>
        <vt:i4>0</vt:i4>
      </vt:variant>
      <vt:variant>
        <vt:i4>5</vt:i4>
      </vt:variant>
      <vt:variant>
        <vt:lpwstr/>
      </vt:variant>
      <vt:variant>
        <vt:lpwstr>_Toc201146638</vt:lpwstr>
      </vt:variant>
      <vt:variant>
        <vt:i4>1245233</vt:i4>
      </vt:variant>
      <vt:variant>
        <vt:i4>3878</vt:i4>
      </vt:variant>
      <vt:variant>
        <vt:i4>0</vt:i4>
      </vt:variant>
      <vt:variant>
        <vt:i4>5</vt:i4>
      </vt:variant>
      <vt:variant>
        <vt:lpwstr/>
      </vt:variant>
      <vt:variant>
        <vt:lpwstr>_Toc201146637</vt:lpwstr>
      </vt:variant>
      <vt:variant>
        <vt:i4>1245233</vt:i4>
      </vt:variant>
      <vt:variant>
        <vt:i4>3872</vt:i4>
      </vt:variant>
      <vt:variant>
        <vt:i4>0</vt:i4>
      </vt:variant>
      <vt:variant>
        <vt:i4>5</vt:i4>
      </vt:variant>
      <vt:variant>
        <vt:lpwstr/>
      </vt:variant>
      <vt:variant>
        <vt:lpwstr>_Toc201146636</vt:lpwstr>
      </vt:variant>
      <vt:variant>
        <vt:i4>1245233</vt:i4>
      </vt:variant>
      <vt:variant>
        <vt:i4>3866</vt:i4>
      </vt:variant>
      <vt:variant>
        <vt:i4>0</vt:i4>
      </vt:variant>
      <vt:variant>
        <vt:i4>5</vt:i4>
      </vt:variant>
      <vt:variant>
        <vt:lpwstr/>
      </vt:variant>
      <vt:variant>
        <vt:lpwstr>_Toc201146635</vt:lpwstr>
      </vt:variant>
      <vt:variant>
        <vt:i4>1245233</vt:i4>
      </vt:variant>
      <vt:variant>
        <vt:i4>3860</vt:i4>
      </vt:variant>
      <vt:variant>
        <vt:i4>0</vt:i4>
      </vt:variant>
      <vt:variant>
        <vt:i4>5</vt:i4>
      </vt:variant>
      <vt:variant>
        <vt:lpwstr/>
      </vt:variant>
      <vt:variant>
        <vt:lpwstr>_Toc201146634</vt:lpwstr>
      </vt:variant>
      <vt:variant>
        <vt:i4>1245233</vt:i4>
      </vt:variant>
      <vt:variant>
        <vt:i4>3854</vt:i4>
      </vt:variant>
      <vt:variant>
        <vt:i4>0</vt:i4>
      </vt:variant>
      <vt:variant>
        <vt:i4>5</vt:i4>
      </vt:variant>
      <vt:variant>
        <vt:lpwstr/>
      </vt:variant>
      <vt:variant>
        <vt:lpwstr>_Toc201146633</vt:lpwstr>
      </vt:variant>
      <vt:variant>
        <vt:i4>1245233</vt:i4>
      </vt:variant>
      <vt:variant>
        <vt:i4>3848</vt:i4>
      </vt:variant>
      <vt:variant>
        <vt:i4>0</vt:i4>
      </vt:variant>
      <vt:variant>
        <vt:i4>5</vt:i4>
      </vt:variant>
      <vt:variant>
        <vt:lpwstr/>
      </vt:variant>
      <vt:variant>
        <vt:lpwstr>_Toc201146632</vt:lpwstr>
      </vt:variant>
      <vt:variant>
        <vt:i4>1245233</vt:i4>
      </vt:variant>
      <vt:variant>
        <vt:i4>3842</vt:i4>
      </vt:variant>
      <vt:variant>
        <vt:i4>0</vt:i4>
      </vt:variant>
      <vt:variant>
        <vt:i4>5</vt:i4>
      </vt:variant>
      <vt:variant>
        <vt:lpwstr/>
      </vt:variant>
      <vt:variant>
        <vt:lpwstr>_Toc201146631</vt:lpwstr>
      </vt:variant>
      <vt:variant>
        <vt:i4>1245233</vt:i4>
      </vt:variant>
      <vt:variant>
        <vt:i4>3836</vt:i4>
      </vt:variant>
      <vt:variant>
        <vt:i4>0</vt:i4>
      </vt:variant>
      <vt:variant>
        <vt:i4>5</vt:i4>
      </vt:variant>
      <vt:variant>
        <vt:lpwstr/>
      </vt:variant>
      <vt:variant>
        <vt:lpwstr>_Toc201146630</vt:lpwstr>
      </vt:variant>
      <vt:variant>
        <vt:i4>1179697</vt:i4>
      </vt:variant>
      <vt:variant>
        <vt:i4>3830</vt:i4>
      </vt:variant>
      <vt:variant>
        <vt:i4>0</vt:i4>
      </vt:variant>
      <vt:variant>
        <vt:i4>5</vt:i4>
      </vt:variant>
      <vt:variant>
        <vt:lpwstr/>
      </vt:variant>
      <vt:variant>
        <vt:lpwstr>_Toc201146629</vt:lpwstr>
      </vt:variant>
      <vt:variant>
        <vt:i4>1179697</vt:i4>
      </vt:variant>
      <vt:variant>
        <vt:i4>3824</vt:i4>
      </vt:variant>
      <vt:variant>
        <vt:i4>0</vt:i4>
      </vt:variant>
      <vt:variant>
        <vt:i4>5</vt:i4>
      </vt:variant>
      <vt:variant>
        <vt:lpwstr/>
      </vt:variant>
      <vt:variant>
        <vt:lpwstr>_Toc201146628</vt:lpwstr>
      </vt:variant>
      <vt:variant>
        <vt:i4>1179697</vt:i4>
      </vt:variant>
      <vt:variant>
        <vt:i4>3818</vt:i4>
      </vt:variant>
      <vt:variant>
        <vt:i4>0</vt:i4>
      </vt:variant>
      <vt:variant>
        <vt:i4>5</vt:i4>
      </vt:variant>
      <vt:variant>
        <vt:lpwstr/>
      </vt:variant>
      <vt:variant>
        <vt:lpwstr>_Toc201146627</vt:lpwstr>
      </vt:variant>
      <vt:variant>
        <vt:i4>1179697</vt:i4>
      </vt:variant>
      <vt:variant>
        <vt:i4>3812</vt:i4>
      </vt:variant>
      <vt:variant>
        <vt:i4>0</vt:i4>
      </vt:variant>
      <vt:variant>
        <vt:i4>5</vt:i4>
      </vt:variant>
      <vt:variant>
        <vt:lpwstr/>
      </vt:variant>
      <vt:variant>
        <vt:lpwstr>_Toc201146626</vt:lpwstr>
      </vt:variant>
      <vt:variant>
        <vt:i4>1179697</vt:i4>
      </vt:variant>
      <vt:variant>
        <vt:i4>3806</vt:i4>
      </vt:variant>
      <vt:variant>
        <vt:i4>0</vt:i4>
      </vt:variant>
      <vt:variant>
        <vt:i4>5</vt:i4>
      </vt:variant>
      <vt:variant>
        <vt:lpwstr/>
      </vt:variant>
      <vt:variant>
        <vt:lpwstr>_Toc201146625</vt:lpwstr>
      </vt:variant>
      <vt:variant>
        <vt:i4>1179697</vt:i4>
      </vt:variant>
      <vt:variant>
        <vt:i4>3800</vt:i4>
      </vt:variant>
      <vt:variant>
        <vt:i4>0</vt:i4>
      </vt:variant>
      <vt:variant>
        <vt:i4>5</vt:i4>
      </vt:variant>
      <vt:variant>
        <vt:lpwstr/>
      </vt:variant>
      <vt:variant>
        <vt:lpwstr>_Toc201146624</vt:lpwstr>
      </vt:variant>
      <vt:variant>
        <vt:i4>1179697</vt:i4>
      </vt:variant>
      <vt:variant>
        <vt:i4>3794</vt:i4>
      </vt:variant>
      <vt:variant>
        <vt:i4>0</vt:i4>
      </vt:variant>
      <vt:variant>
        <vt:i4>5</vt:i4>
      </vt:variant>
      <vt:variant>
        <vt:lpwstr/>
      </vt:variant>
      <vt:variant>
        <vt:lpwstr>_Toc201146623</vt:lpwstr>
      </vt:variant>
      <vt:variant>
        <vt:i4>1179697</vt:i4>
      </vt:variant>
      <vt:variant>
        <vt:i4>3788</vt:i4>
      </vt:variant>
      <vt:variant>
        <vt:i4>0</vt:i4>
      </vt:variant>
      <vt:variant>
        <vt:i4>5</vt:i4>
      </vt:variant>
      <vt:variant>
        <vt:lpwstr/>
      </vt:variant>
      <vt:variant>
        <vt:lpwstr>_Toc201146622</vt:lpwstr>
      </vt:variant>
      <vt:variant>
        <vt:i4>1179697</vt:i4>
      </vt:variant>
      <vt:variant>
        <vt:i4>3782</vt:i4>
      </vt:variant>
      <vt:variant>
        <vt:i4>0</vt:i4>
      </vt:variant>
      <vt:variant>
        <vt:i4>5</vt:i4>
      </vt:variant>
      <vt:variant>
        <vt:lpwstr/>
      </vt:variant>
      <vt:variant>
        <vt:lpwstr>_Toc201146621</vt:lpwstr>
      </vt:variant>
      <vt:variant>
        <vt:i4>1179697</vt:i4>
      </vt:variant>
      <vt:variant>
        <vt:i4>3776</vt:i4>
      </vt:variant>
      <vt:variant>
        <vt:i4>0</vt:i4>
      </vt:variant>
      <vt:variant>
        <vt:i4>5</vt:i4>
      </vt:variant>
      <vt:variant>
        <vt:lpwstr/>
      </vt:variant>
      <vt:variant>
        <vt:lpwstr>_Toc201146620</vt:lpwstr>
      </vt:variant>
      <vt:variant>
        <vt:i4>1114161</vt:i4>
      </vt:variant>
      <vt:variant>
        <vt:i4>3770</vt:i4>
      </vt:variant>
      <vt:variant>
        <vt:i4>0</vt:i4>
      </vt:variant>
      <vt:variant>
        <vt:i4>5</vt:i4>
      </vt:variant>
      <vt:variant>
        <vt:lpwstr/>
      </vt:variant>
      <vt:variant>
        <vt:lpwstr>_Toc201146619</vt:lpwstr>
      </vt:variant>
      <vt:variant>
        <vt:i4>1114161</vt:i4>
      </vt:variant>
      <vt:variant>
        <vt:i4>3764</vt:i4>
      </vt:variant>
      <vt:variant>
        <vt:i4>0</vt:i4>
      </vt:variant>
      <vt:variant>
        <vt:i4>5</vt:i4>
      </vt:variant>
      <vt:variant>
        <vt:lpwstr/>
      </vt:variant>
      <vt:variant>
        <vt:lpwstr>_Toc201146618</vt:lpwstr>
      </vt:variant>
      <vt:variant>
        <vt:i4>1114161</vt:i4>
      </vt:variant>
      <vt:variant>
        <vt:i4>3758</vt:i4>
      </vt:variant>
      <vt:variant>
        <vt:i4>0</vt:i4>
      </vt:variant>
      <vt:variant>
        <vt:i4>5</vt:i4>
      </vt:variant>
      <vt:variant>
        <vt:lpwstr/>
      </vt:variant>
      <vt:variant>
        <vt:lpwstr>_Toc201146617</vt:lpwstr>
      </vt:variant>
      <vt:variant>
        <vt:i4>1114161</vt:i4>
      </vt:variant>
      <vt:variant>
        <vt:i4>3752</vt:i4>
      </vt:variant>
      <vt:variant>
        <vt:i4>0</vt:i4>
      </vt:variant>
      <vt:variant>
        <vt:i4>5</vt:i4>
      </vt:variant>
      <vt:variant>
        <vt:lpwstr/>
      </vt:variant>
      <vt:variant>
        <vt:lpwstr>_Toc201146616</vt:lpwstr>
      </vt:variant>
      <vt:variant>
        <vt:i4>1114161</vt:i4>
      </vt:variant>
      <vt:variant>
        <vt:i4>3746</vt:i4>
      </vt:variant>
      <vt:variant>
        <vt:i4>0</vt:i4>
      </vt:variant>
      <vt:variant>
        <vt:i4>5</vt:i4>
      </vt:variant>
      <vt:variant>
        <vt:lpwstr/>
      </vt:variant>
      <vt:variant>
        <vt:lpwstr>_Toc201146615</vt:lpwstr>
      </vt:variant>
      <vt:variant>
        <vt:i4>1114161</vt:i4>
      </vt:variant>
      <vt:variant>
        <vt:i4>3740</vt:i4>
      </vt:variant>
      <vt:variant>
        <vt:i4>0</vt:i4>
      </vt:variant>
      <vt:variant>
        <vt:i4>5</vt:i4>
      </vt:variant>
      <vt:variant>
        <vt:lpwstr/>
      </vt:variant>
      <vt:variant>
        <vt:lpwstr>_Toc201146614</vt:lpwstr>
      </vt:variant>
      <vt:variant>
        <vt:i4>1114161</vt:i4>
      </vt:variant>
      <vt:variant>
        <vt:i4>3734</vt:i4>
      </vt:variant>
      <vt:variant>
        <vt:i4>0</vt:i4>
      </vt:variant>
      <vt:variant>
        <vt:i4>5</vt:i4>
      </vt:variant>
      <vt:variant>
        <vt:lpwstr/>
      </vt:variant>
      <vt:variant>
        <vt:lpwstr>_Toc201146613</vt:lpwstr>
      </vt:variant>
      <vt:variant>
        <vt:i4>1114161</vt:i4>
      </vt:variant>
      <vt:variant>
        <vt:i4>3728</vt:i4>
      </vt:variant>
      <vt:variant>
        <vt:i4>0</vt:i4>
      </vt:variant>
      <vt:variant>
        <vt:i4>5</vt:i4>
      </vt:variant>
      <vt:variant>
        <vt:lpwstr/>
      </vt:variant>
      <vt:variant>
        <vt:lpwstr>_Toc201146612</vt:lpwstr>
      </vt:variant>
      <vt:variant>
        <vt:i4>1114161</vt:i4>
      </vt:variant>
      <vt:variant>
        <vt:i4>3722</vt:i4>
      </vt:variant>
      <vt:variant>
        <vt:i4>0</vt:i4>
      </vt:variant>
      <vt:variant>
        <vt:i4>5</vt:i4>
      </vt:variant>
      <vt:variant>
        <vt:lpwstr/>
      </vt:variant>
      <vt:variant>
        <vt:lpwstr>_Toc201146611</vt:lpwstr>
      </vt:variant>
      <vt:variant>
        <vt:i4>1114161</vt:i4>
      </vt:variant>
      <vt:variant>
        <vt:i4>3716</vt:i4>
      </vt:variant>
      <vt:variant>
        <vt:i4>0</vt:i4>
      </vt:variant>
      <vt:variant>
        <vt:i4>5</vt:i4>
      </vt:variant>
      <vt:variant>
        <vt:lpwstr/>
      </vt:variant>
      <vt:variant>
        <vt:lpwstr>_Toc201146610</vt:lpwstr>
      </vt:variant>
      <vt:variant>
        <vt:i4>1048625</vt:i4>
      </vt:variant>
      <vt:variant>
        <vt:i4>3710</vt:i4>
      </vt:variant>
      <vt:variant>
        <vt:i4>0</vt:i4>
      </vt:variant>
      <vt:variant>
        <vt:i4>5</vt:i4>
      </vt:variant>
      <vt:variant>
        <vt:lpwstr/>
      </vt:variant>
      <vt:variant>
        <vt:lpwstr>_Toc201146609</vt:lpwstr>
      </vt:variant>
      <vt:variant>
        <vt:i4>1048625</vt:i4>
      </vt:variant>
      <vt:variant>
        <vt:i4>3704</vt:i4>
      </vt:variant>
      <vt:variant>
        <vt:i4>0</vt:i4>
      </vt:variant>
      <vt:variant>
        <vt:i4>5</vt:i4>
      </vt:variant>
      <vt:variant>
        <vt:lpwstr/>
      </vt:variant>
      <vt:variant>
        <vt:lpwstr>_Toc201146608</vt:lpwstr>
      </vt:variant>
      <vt:variant>
        <vt:i4>1048625</vt:i4>
      </vt:variant>
      <vt:variant>
        <vt:i4>3698</vt:i4>
      </vt:variant>
      <vt:variant>
        <vt:i4>0</vt:i4>
      </vt:variant>
      <vt:variant>
        <vt:i4>5</vt:i4>
      </vt:variant>
      <vt:variant>
        <vt:lpwstr/>
      </vt:variant>
      <vt:variant>
        <vt:lpwstr>_Toc201146607</vt:lpwstr>
      </vt:variant>
      <vt:variant>
        <vt:i4>1048625</vt:i4>
      </vt:variant>
      <vt:variant>
        <vt:i4>3692</vt:i4>
      </vt:variant>
      <vt:variant>
        <vt:i4>0</vt:i4>
      </vt:variant>
      <vt:variant>
        <vt:i4>5</vt:i4>
      </vt:variant>
      <vt:variant>
        <vt:lpwstr/>
      </vt:variant>
      <vt:variant>
        <vt:lpwstr>_Toc201146606</vt:lpwstr>
      </vt:variant>
      <vt:variant>
        <vt:i4>1048625</vt:i4>
      </vt:variant>
      <vt:variant>
        <vt:i4>3686</vt:i4>
      </vt:variant>
      <vt:variant>
        <vt:i4>0</vt:i4>
      </vt:variant>
      <vt:variant>
        <vt:i4>5</vt:i4>
      </vt:variant>
      <vt:variant>
        <vt:lpwstr/>
      </vt:variant>
      <vt:variant>
        <vt:lpwstr>_Toc201146605</vt:lpwstr>
      </vt:variant>
      <vt:variant>
        <vt:i4>1048625</vt:i4>
      </vt:variant>
      <vt:variant>
        <vt:i4>3680</vt:i4>
      </vt:variant>
      <vt:variant>
        <vt:i4>0</vt:i4>
      </vt:variant>
      <vt:variant>
        <vt:i4>5</vt:i4>
      </vt:variant>
      <vt:variant>
        <vt:lpwstr/>
      </vt:variant>
      <vt:variant>
        <vt:lpwstr>_Toc201146604</vt:lpwstr>
      </vt:variant>
      <vt:variant>
        <vt:i4>1048625</vt:i4>
      </vt:variant>
      <vt:variant>
        <vt:i4>3674</vt:i4>
      </vt:variant>
      <vt:variant>
        <vt:i4>0</vt:i4>
      </vt:variant>
      <vt:variant>
        <vt:i4>5</vt:i4>
      </vt:variant>
      <vt:variant>
        <vt:lpwstr/>
      </vt:variant>
      <vt:variant>
        <vt:lpwstr>_Toc201146603</vt:lpwstr>
      </vt:variant>
      <vt:variant>
        <vt:i4>1048625</vt:i4>
      </vt:variant>
      <vt:variant>
        <vt:i4>3668</vt:i4>
      </vt:variant>
      <vt:variant>
        <vt:i4>0</vt:i4>
      </vt:variant>
      <vt:variant>
        <vt:i4>5</vt:i4>
      </vt:variant>
      <vt:variant>
        <vt:lpwstr/>
      </vt:variant>
      <vt:variant>
        <vt:lpwstr>_Toc201146602</vt:lpwstr>
      </vt:variant>
      <vt:variant>
        <vt:i4>1048625</vt:i4>
      </vt:variant>
      <vt:variant>
        <vt:i4>3662</vt:i4>
      </vt:variant>
      <vt:variant>
        <vt:i4>0</vt:i4>
      </vt:variant>
      <vt:variant>
        <vt:i4>5</vt:i4>
      </vt:variant>
      <vt:variant>
        <vt:lpwstr/>
      </vt:variant>
      <vt:variant>
        <vt:lpwstr>_Toc201146601</vt:lpwstr>
      </vt:variant>
      <vt:variant>
        <vt:i4>1048625</vt:i4>
      </vt:variant>
      <vt:variant>
        <vt:i4>3656</vt:i4>
      </vt:variant>
      <vt:variant>
        <vt:i4>0</vt:i4>
      </vt:variant>
      <vt:variant>
        <vt:i4>5</vt:i4>
      </vt:variant>
      <vt:variant>
        <vt:lpwstr/>
      </vt:variant>
      <vt:variant>
        <vt:lpwstr>_Toc201146600</vt:lpwstr>
      </vt:variant>
      <vt:variant>
        <vt:i4>1638450</vt:i4>
      </vt:variant>
      <vt:variant>
        <vt:i4>3650</vt:i4>
      </vt:variant>
      <vt:variant>
        <vt:i4>0</vt:i4>
      </vt:variant>
      <vt:variant>
        <vt:i4>5</vt:i4>
      </vt:variant>
      <vt:variant>
        <vt:lpwstr/>
      </vt:variant>
      <vt:variant>
        <vt:lpwstr>_Toc201146599</vt:lpwstr>
      </vt:variant>
      <vt:variant>
        <vt:i4>1638450</vt:i4>
      </vt:variant>
      <vt:variant>
        <vt:i4>3644</vt:i4>
      </vt:variant>
      <vt:variant>
        <vt:i4>0</vt:i4>
      </vt:variant>
      <vt:variant>
        <vt:i4>5</vt:i4>
      </vt:variant>
      <vt:variant>
        <vt:lpwstr/>
      </vt:variant>
      <vt:variant>
        <vt:lpwstr>_Toc201146598</vt:lpwstr>
      </vt:variant>
      <vt:variant>
        <vt:i4>1638450</vt:i4>
      </vt:variant>
      <vt:variant>
        <vt:i4>3638</vt:i4>
      </vt:variant>
      <vt:variant>
        <vt:i4>0</vt:i4>
      </vt:variant>
      <vt:variant>
        <vt:i4>5</vt:i4>
      </vt:variant>
      <vt:variant>
        <vt:lpwstr/>
      </vt:variant>
      <vt:variant>
        <vt:lpwstr>_Toc201146597</vt:lpwstr>
      </vt:variant>
      <vt:variant>
        <vt:i4>1638450</vt:i4>
      </vt:variant>
      <vt:variant>
        <vt:i4>3632</vt:i4>
      </vt:variant>
      <vt:variant>
        <vt:i4>0</vt:i4>
      </vt:variant>
      <vt:variant>
        <vt:i4>5</vt:i4>
      </vt:variant>
      <vt:variant>
        <vt:lpwstr/>
      </vt:variant>
      <vt:variant>
        <vt:lpwstr>_Toc201146596</vt:lpwstr>
      </vt:variant>
      <vt:variant>
        <vt:i4>1638450</vt:i4>
      </vt:variant>
      <vt:variant>
        <vt:i4>3626</vt:i4>
      </vt:variant>
      <vt:variant>
        <vt:i4>0</vt:i4>
      </vt:variant>
      <vt:variant>
        <vt:i4>5</vt:i4>
      </vt:variant>
      <vt:variant>
        <vt:lpwstr/>
      </vt:variant>
      <vt:variant>
        <vt:lpwstr>_Toc201146595</vt:lpwstr>
      </vt:variant>
      <vt:variant>
        <vt:i4>1638450</vt:i4>
      </vt:variant>
      <vt:variant>
        <vt:i4>3620</vt:i4>
      </vt:variant>
      <vt:variant>
        <vt:i4>0</vt:i4>
      </vt:variant>
      <vt:variant>
        <vt:i4>5</vt:i4>
      </vt:variant>
      <vt:variant>
        <vt:lpwstr/>
      </vt:variant>
      <vt:variant>
        <vt:lpwstr>_Toc201146594</vt:lpwstr>
      </vt:variant>
      <vt:variant>
        <vt:i4>1638450</vt:i4>
      </vt:variant>
      <vt:variant>
        <vt:i4>3614</vt:i4>
      </vt:variant>
      <vt:variant>
        <vt:i4>0</vt:i4>
      </vt:variant>
      <vt:variant>
        <vt:i4>5</vt:i4>
      </vt:variant>
      <vt:variant>
        <vt:lpwstr/>
      </vt:variant>
      <vt:variant>
        <vt:lpwstr>_Toc201146593</vt:lpwstr>
      </vt:variant>
      <vt:variant>
        <vt:i4>1638450</vt:i4>
      </vt:variant>
      <vt:variant>
        <vt:i4>3608</vt:i4>
      </vt:variant>
      <vt:variant>
        <vt:i4>0</vt:i4>
      </vt:variant>
      <vt:variant>
        <vt:i4>5</vt:i4>
      </vt:variant>
      <vt:variant>
        <vt:lpwstr/>
      </vt:variant>
      <vt:variant>
        <vt:lpwstr>_Toc201146592</vt:lpwstr>
      </vt:variant>
      <vt:variant>
        <vt:i4>1638450</vt:i4>
      </vt:variant>
      <vt:variant>
        <vt:i4>3602</vt:i4>
      </vt:variant>
      <vt:variant>
        <vt:i4>0</vt:i4>
      </vt:variant>
      <vt:variant>
        <vt:i4>5</vt:i4>
      </vt:variant>
      <vt:variant>
        <vt:lpwstr/>
      </vt:variant>
      <vt:variant>
        <vt:lpwstr>_Toc201146591</vt:lpwstr>
      </vt:variant>
      <vt:variant>
        <vt:i4>1638450</vt:i4>
      </vt:variant>
      <vt:variant>
        <vt:i4>3596</vt:i4>
      </vt:variant>
      <vt:variant>
        <vt:i4>0</vt:i4>
      </vt:variant>
      <vt:variant>
        <vt:i4>5</vt:i4>
      </vt:variant>
      <vt:variant>
        <vt:lpwstr/>
      </vt:variant>
      <vt:variant>
        <vt:lpwstr>_Toc201146590</vt:lpwstr>
      </vt:variant>
      <vt:variant>
        <vt:i4>1572914</vt:i4>
      </vt:variant>
      <vt:variant>
        <vt:i4>3590</vt:i4>
      </vt:variant>
      <vt:variant>
        <vt:i4>0</vt:i4>
      </vt:variant>
      <vt:variant>
        <vt:i4>5</vt:i4>
      </vt:variant>
      <vt:variant>
        <vt:lpwstr/>
      </vt:variant>
      <vt:variant>
        <vt:lpwstr>_Toc201146589</vt:lpwstr>
      </vt:variant>
      <vt:variant>
        <vt:i4>1572914</vt:i4>
      </vt:variant>
      <vt:variant>
        <vt:i4>3584</vt:i4>
      </vt:variant>
      <vt:variant>
        <vt:i4>0</vt:i4>
      </vt:variant>
      <vt:variant>
        <vt:i4>5</vt:i4>
      </vt:variant>
      <vt:variant>
        <vt:lpwstr/>
      </vt:variant>
      <vt:variant>
        <vt:lpwstr>_Toc201146588</vt:lpwstr>
      </vt:variant>
      <vt:variant>
        <vt:i4>1572914</vt:i4>
      </vt:variant>
      <vt:variant>
        <vt:i4>3578</vt:i4>
      </vt:variant>
      <vt:variant>
        <vt:i4>0</vt:i4>
      </vt:variant>
      <vt:variant>
        <vt:i4>5</vt:i4>
      </vt:variant>
      <vt:variant>
        <vt:lpwstr/>
      </vt:variant>
      <vt:variant>
        <vt:lpwstr>_Toc201146587</vt:lpwstr>
      </vt:variant>
      <vt:variant>
        <vt:i4>1572914</vt:i4>
      </vt:variant>
      <vt:variant>
        <vt:i4>3572</vt:i4>
      </vt:variant>
      <vt:variant>
        <vt:i4>0</vt:i4>
      </vt:variant>
      <vt:variant>
        <vt:i4>5</vt:i4>
      </vt:variant>
      <vt:variant>
        <vt:lpwstr/>
      </vt:variant>
      <vt:variant>
        <vt:lpwstr>_Toc201146586</vt:lpwstr>
      </vt:variant>
      <vt:variant>
        <vt:i4>1572914</vt:i4>
      </vt:variant>
      <vt:variant>
        <vt:i4>3566</vt:i4>
      </vt:variant>
      <vt:variant>
        <vt:i4>0</vt:i4>
      </vt:variant>
      <vt:variant>
        <vt:i4>5</vt:i4>
      </vt:variant>
      <vt:variant>
        <vt:lpwstr/>
      </vt:variant>
      <vt:variant>
        <vt:lpwstr>_Toc201146585</vt:lpwstr>
      </vt:variant>
      <vt:variant>
        <vt:i4>1572914</vt:i4>
      </vt:variant>
      <vt:variant>
        <vt:i4>3560</vt:i4>
      </vt:variant>
      <vt:variant>
        <vt:i4>0</vt:i4>
      </vt:variant>
      <vt:variant>
        <vt:i4>5</vt:i4>
      </vt:variant>
      <vt:variant>
        <vt:lpwstr/>
      </vt:variant>
      <vt:variant>
        <vt:lpwstr>_Toc201146584</vt:lpwstr>
      </vt:variant>
      <vt:variant>
        <vt:i4>1572914</vt:i4>
      </vt:variant>
      <vt:variant>
        <vt:i4>3554</vt:i4>
      </vt:variant>
      <vt:variant>
        <vt:i4>0</vt:i4>
      </vt:variant>
      <vt:variant>
        <vt:i4>5</vt:i4>
      </vt:variant>
      <vt:variant>
        <vt:lpwstr/>
      </vt:variant>
      <vt:variant>
        <vt:lpwstr>_Toc201146583</vt:lpwstr>
      </vt:variant>
      <vt:variant>
        <vt:i4>1572914</vt:i4>
      </vt:variant>
      <vt:variant>
        <vt:i4>3548</vt:i4>
      </vt:variant>
      <vt:variant>
        <vt:i4>0</vt:i4>
      </vt:variant>
      <vt:variant>
        <vt:i4>5</vt:i4>
      </vt:variant>
      <vt:variant>
        <vt:lpwstr/>
      </vt:variant>
      <vt:variant>
        <vt:lpwstr>_Toc201146582</vt:lpwstr>
      </vt:variant>
      <vt:variant>
        <vt:i4>1572914</vt:i4>
      </vt:variant>
      <vt:variant>
        <vt:i4>3542</vt:i4>
      </vt:variant>
      <vt:variant>
        <vt:i4>0</vt:i4>
      </vt:variant>
      <vt:variant>
        <vt:i4>5</vt:i4>
      </vt:variant>
      <vt:variant>
        <vt:lpwstr/>
      </vt:variant>
      <vt:variant>
        <vt:lpwstr>_Toc201146581</vt:lpwstr>
      </vt:variant>
      <vt:variant>
        <vt:i4>1572914</vt:i4>
      </vt:variant>
      <vt:variant>
        <vt:i4>3536</vt:i4>
      </vt:variant>
      <vt:variant>
        <vt:i4>0</vt:i4>
      </vt:variant>
      <vt:variant>
        <vt:i4>5</vt:i4>
      </vt:variant>
      <vt:variant>
        <vt:lpwstr/>
      </vt:variant>
      <vt:variant>
        <vt:lpwstr>_Toc201146580</vt:lpwstr>
      </vt:variant>
      <vt:variant>
        <vt:i4>1507378</vt:i4>
      </vt:variant>
      <vt:variant>
        <vt:i4>3530</vt:i4>
      </vt:variant>
      <vt:variant>
        <vt:i4>0</vt:i4>
      </vt:variant>
      <vt:variant>
        <vt:i4>5</vt:i4>
      </vt:variant>
      <vt:variant>
        <vt:lpwstr/>
      </vt:variant>
      <vt:variant>
        <vt:lpwstr>_Toc201146579</vt:lpwstr>
      </vt:variant>
      <vt:variant>
        <vt:i4>1507378</vt:i4>
      </vt:variant>
      <vt:variant>
        <vt:i4>3524</vt:i4>
      </vt:variant>
      <vt:variant>
        <vt:i4>0</vt:i4>
      </vt:variant>
      <vt:variant>
        <vt:i4>5</vt:i4>
      </vt:variant>
      <vt:variant>
        <vt:lpwstr/>
      </vt:variant>
      <vt:variant>
        <vt:lpwstr>_Toc201146578</vt:lpwstr>
      </vt:variant>
      <vt:variant>
        <vt:i4>1507378</vt:i4>
      </vt:variant>
      <vt:variant>
        <vt:i4>3518</vt:i4>
      </vt:variant>
      <vt:variant>
        <vt:i4>0</vt:i4>
      </vt:variant>
      <vt:variant>
        <vt:i4>5</vt:i4>
      </vt:variant>
      <vt:variant>
        <vt:lpwstr/>
      </vt:variant>
      <vt:variant>
        <vt:lpwstr>_Toc201146577</vt:lpwstr>
      </vt:variant>
      <vt:variant>
        <vt:i4>1507378</vt:i4>
      </vt:variant>
      <vt:variant>
        <vt:i4>3512</vt:i4>
      </vt:variant>
      <vt:variant>
        <vt:i4>0</vt:i4>
      </vt:variant>
      <vt:variant>
        <vt:i4>5</vt:i4>
      </vt:variant>
      <vt:variant>
        <vt:lpwstr/>
      </vt:variant>
      <vt:variant>
        <vt:lpwstr>_Toc201146576</vt:lpwstr>
      </vt:variant>
      <vt:variant>
        <vt:i4>1507378</vt:i4>
      </vt:variant>
      <vt:variant>
        <vt:i4>3506</vt:i4>
      </vt:variant>
      <vt:variant>
        <vt:i4>0</vt:i4>
      </vt:variant>
      <vt:variant>
        <vt:i4>5</vt:i4>
      </vt:variant>
      <vt:variant>
        <vt:lpwstr/>
      </vt:variant>
      <vt:variant>
        <vt:lpwstr>_Toc201146575</vt:lpwstr>
      </vt:variant>
      <vt:variant>
        <vt:i4>1507378</vt:i4>
      </vt:variant>
      <vt:variant>
        <vt:i4>3500</vt:i4>
      </vt:variant>
      <vt:variant>
        <vt:i4>0</vt:i4>
      </vt:variant>
      <vt:variant>
        <vt:i4>5</vt:i4>
      </vt:variant>
      <vt:variant>
        <vt:lpwstr/>
      </vt:variant>
      <vt:variant>
        <vt:lpwstr>_Toc201146574</vt:lpwstr>
      </vt:variant>
      <vt:variant>
        <vt:i4>1507378</vt:i4>
      </vt:variant>
      <vt:variant>
        <vt:i4>3494</vt:i4>
      </vt:variant>
      <vt:variant>
        <vt:i4>0</vt:i4>
      </vt:variant>
      <vt:variant>
        <vt:i4>5</vt:i4>
      </vt:variant>
      <vt:variant>
        <vt:lpwstr/>
      </vt:variant>
      <vt:variant>
        <vt:lpwstr>_Toc201146573</vt:lpwstr>
      </vt:variant>
      <vt:variant>
        <vt:i4>1507378</vt:i4>
      </vt:variant>
      <vt:variant>
        <vt:i4>3488</vt:i4>
      </vt:variant>
      <vt:variant>
        <vt:i4>0</vt:i4>
      </vt:variant>
      <vt:variant>
        <vt:i4>5</vt:i4>
      </vt:variant>
      <vt:variant>
        <vt:lpwstr/>
      </vt:variant>
      <vt:variant>
        <vt:lpwstr>_Toc201146572</vt:lpwstr>
      </vt:variant>
      <vt:variant>
        <vt:i4>1507378</vt:i4>
      </vt:variant>
      <vt:variant>
        <vt:i4>3482</vt:i4>
      </vt:variant>
      <vt:variant>
        <vt:i4>0</vt:i4>
      </vt:variant>
      <vt:variant>
        <vt:i4>5</vt:i4>
      </vt:variant>
      <vt:variant>
        <vt:lpwstr/>
      </vt:variant>
      <vt:variant>
        <vt:lpwstr>_Toc201146571</vt:lpwstr>
      </vt:variant>
      <vt:variant>
        <vt:i4>1507378</vt:i4>
      </vt:variant>
      <vt:variant>
        <vt:i4>3476</vt:i4>
      </vt:variant>
      <vt:variant>
        <vt:i4>0</vt:i4>
      </vt:variant>
      <vt:variant>
        <vt:i4>5</vt:i4>
      </vt:variant>
      <vt:variant>
        <vt:lpwstr/>
      </vt:variant>
      <vt:variant>
        <vt:lpwstr>_Toc201146570</vt:lpwstr>
      </vt:variant>
      <vt:variant>
        <vt:i4>1441842</vt:i4>
      </vt:variant>
      <vt:variant>
        <vt:i4>3470</vt:i4>
      </vt:variant>
      <vt:variant>
        <vt:i4>0</vt:i4>
      </vt:variant>
      <vt:variant>
        <vt:i4>5</vt:i4>
      </vt:variant>
      <vt:variant>
        <vt:lpwstr/>
      </vt:variant>
      <vt:variant>
        <vt:lpwstr>_Toc201146569</vt:lpwstr>
      </vt:variant>
      <vt:variant>
        <vt:i4>1441842</vt:i4>
      </vt:variant>
      <vt:variant>
        <vt:i4>3464</vt:i4>
      </vt:variant>
      <vt:variant>
        <vt:i4>0</vt:i4>
      </vt:variant>
      <vt:variant>
        <vt:i4>5</vt:i4>
      </vt:variant>
      <vt:variant>
        <vt:lpwstr/>
      </vt:variant>
      <vt:variant>
        <vt:lpwstr>_Toc201146568</vt:lpwstr>
      </vt:variant>
      <vt:variant>
        <vt:i4>1441842</vt:i4>
      </vt:variant>
      <vt:variant>
        <vt:i4>3458</vt:i4>
      </vt:variant>
      <vt:variant>
        <vt:i4>0</vt:i4>
      </vt:variant>
      <vt:variant>
        <vt:i4>5</vt:i4>
      </vt:variant>
      <vt:variant>
        <vt:lpwstr/>
      </vt:variant>
      <vt:variant>
        <vt:lpwstr>_Toc201146567</vt:lpwstr>
      </vt:variant>
      <vt:variant>
        <vt:i4>1441842</vt:i4>
      </vt:variant>
      <vt:variant>
        <vt:i4>3452</vt:i4>
      </vt:variant>
      <vt:variant>
        <vt:i4>0</vt:i4>
      </vt:variant>
      <vt:variant>
        <vt:i4>5</vt:i4>
      </vt:variant>
      <vt:variant>
        <vt:lpwstr/>
      </vt:variant>
      <vt:variant>
        <vt:lpwstr>_Toc201146566</vt:lpwstr>
      </vt:variant>
      <vt:variant>
        <vt:i4>1441842</vt:i4>
      </vt:variant>
      <vt:variant>
        <vt:i4>3446</vt:i4>
      </vt:variant>
      <vt:variant>
        <vt:i4>0</vt:i4>
      </vt:variant>
      <vt:variant>
        <vt:i4>5</vt:i4>
      </vt:variant>
      <vt:variant>
        <vt:lpwstr/>
      </vt:variant>
      <vt:variant>
        <vt:lpwstr>_Toc201146565</vt:lpwstr>
      </vt:variant>
      <vt:variant>
        <vt:i4>1441842</vt:i4>
      </vt:variant>
      <vt:variant>
        <vt:i4>3440</vt:i4>
      </vt:variant>
      <vt:variant>
        <vt:i4>0</vt:i4>
      </vt:variant>
      <vt:variant>
        <vt:i4>5</vt:i4>
      </vt:variant>
      <vt:variant>
        <vt:lpwstr/>
      </vt:variant>
      <vt:variant>
        <vt:lpwstr>_Toc201146564</vt:lpwstr>
      </vt:variant>
      <vt:variant>
        <vt:i4>1441842</vt:i4>
      </vt:variant>
      <vt:variant>
        <vt:i4>3434</vt:i4>
      </vt:variant>
      <vt:variant>
        <vt:i4>0</vt:i4>
      </vt:variant>
      <vt:variant>
        <vt:i4>5</vt:i4>
      </vt:variant>
      <vt:variant>
        <vt:lpwstr/>
      </vt:variant>
      <vt:variant>
        <vt:lpwstr>_Toc201146563</vt:lpwstr>
      </vt:variant>
      <vt:variant>
        <vt:i4>1441842</vt:i4>
      </vt:variant>
      <vt:variant>
        <vt:i4>3428</vt:i4>
      </vt:variant>
      <vt:variant>
        <vt:i4>0</vt:i4>
      </vt:variant>
      <vt:variant>
        <vt:i4>5</vt:i4>
      </vt:variant>
      <vt:variant>
        <vt:lpwstr/>
      </vt:variant>
      <vt:variant>
        <vt:lpwstr>_Toc201146562</vt:lpwstr>
      </vt:variant>
      <vt:variant>
        <vt:i4>1441842</vt:i4>
      </vt:variant>
      <vt:variant>
        <vt:i4>3422</vt:i4>
      </vt:variant>
      <vt:variant>
        <vt:i4>0</vt:i4>
      </vt:variant>
      <vt:variant>
        <vt:i4>5</vt:i4>
      </vt:variant>
      <vt:variant>
        <vt:lpwstr/>
      </vt:variant>
      <vt:variant>
        <vt:lpwstr>_Toc201146561</vt:lpwstr>
      </vt:variant>
      <vt:variant>
        <vt:i4>1441842</vt:i4>
      </vt:variant>
      <vt:variant>
        <vt:i4>3416</vt:i4>
      </vt:variant>
      <vt:variant>
        <vt:i4>0</vt:i4>
      </vt:variant>
      <vt:variant>
        <vt:i4>5</vt:i4>
      </vt:variant>
      <vt:variant>
        <vt:lpwstr/>
      </vt:variant>
      <vt:variant>
        <vt:lpwstr>_Toc201146560</vt:lpwstr>
      </vt:variant>
      <vt:variant>
        <vt:i4>1376306</vt:i4>
      </vt:variant>
      <vt:variant>
        <vt:i4>3410</vt:i4>
      </vt:variant>
      <vt:variant>
        <vt:i4>0</vt:i4>
      </vt:variant>
      <vt:variant>
        <vt:i4>5</vt:i4>
      </vt:variant>
      <vt:variant>
        <vt:lpwstr/>
      </vt:variant>
      <vt:variant>
        <vt:lpwstr>_Toc201146559</vt:lpwstr>
      </vt:variant>
      <vt:variant>
        <vt:i4>1376306</vt:i4>
      </vt:variant>
      <vt:variant>
        <vt:i4>3404</vt:i4>
      </vt:variant>
      <vt:variant>
        <vt:i4>0</vt:i4>
      </vt:variant>
      <vt:variant>
        <vt:i4>5</vt:i4>
      </vt:variant>
      <vt:variant>
        <vt:lpwstr/>
      </vt:variant>
      <vt:variant>
        <vt:lpwstr>_Toc201146558</vt:lpwstr>
      </vt:variant>
      <vt:variant>
        <vt:i4>1376306</vt:i4>
      </vt:variant>
      <vt:variant>
        <vt:i4>3398</vt:i4>
      </vt:variant>
      <vt:variant>
        <vt:i4>0</vt:i4>
      </vt:variant>
      <vt:variant>
        <vt:i4>5</vt:i4>
      </vt:variant>
      <vt:variant>
        <vt:lpwstr/>
      </vt:variant>
      <vt:variant>
        <vt:lpwstr>_Toc201146557</vt:lpwstr>
      </vt:variant>
      <vt:variant>
        <vt:i4>1376306</vt:i4>
      </vt:variant>
      <vt:variant>
        <vt:i4>3392</vt:i4>
      </vt:variant>
      <vt:variant>
        <vt:i4>0</vt:i4>
      </vt:variant>
      <vt:variant>
        <vt:i4>5</vt:i4>
      </vt:variant>
      <vt:variant>
        <vt:lpwstr/>
      </vt:variant>
      <vt:variant>
        <vt:lpwstr>_Toc201146556</vt:lpwstr>
      </vt:variant>
      <vt:variant>
        <vt:i4>1376306</vt:i4>
      </vt:variant>
      <vt:variant>
        <vt:i4>3386</vt:i4>
      </vt:variant>
      <vt:variant>
        <vt:i4>0</vt:i4>
      </vt:variant>
      <vt:variant>
        <vt:i4>5</vt:i4>
      </vt:variant>
      <vt:variant>
        <vt:lpwstr/>
      </vt:variant>
      <vt:variant>
        <vt:lpwstr>_Toc201146555</vt:lpwstr>
      </vt:variant>
      <vt:variant>
        <vt:i4>1376306</vt:i4>
      </vt:variant>
      <vt:variant>
        <vt:i4>3380</vt:i4>
      </vt:variant>
      <vt:variant>
        <vt:i4>0</vt:i4>
      </vt:variant>
      <vt:variant>
        <vt:i4>5</vt:i4>
      </vt:variant>
      <vt:variant>
        <vt:lpwstr/>
      </vt:variant>
      <vt:variant>
        <vt:lpwstr>_Toc201146554</vt:lpwstr>
      </vt:variant>
      <vt:variant>
        <vt:i4>1376306</vt:i4>
      </vt:variant>
      <vt:variant>
        <vt:i4>3374</vt:i4>
      </vt:variant>
      <vt:variant>
        <vt:i4>0</vt:i4>
      </vt:variant>
      <vt:variant>
        <vt:i4>5</vt:i4>
      </vt:variant>
      <vt:variant>
        <vt:lpwstr/>
      </vt:variant>
      <vt:variant>
        <vt:lpwstr>_Toc201146553</vt:lpwstr>
      </vt:variant>
      <vt:variant>
        <vt:i4>1376306</vt:i4>
      </vt:variant>
      <vt:variant>
        <vt:i4>3368</vt:i4>
      </vt:variant>
      <vt:variant>
        <vt:i4>0</vt:i4>
      </vt:variant>
      <vt:variant>
        <vt:i4>5</vt:i4>
      </vt:variant>
      <vt:variant>
        <vt:lpwstr/>
      </vt:variant>
      <vt:variant>
        <vt:lpwstr>_Toc201146552</vt:lpwstr>
      </vt:variant>
      <vt:variant>
        <vt:i4>1376306</vt:i4>
      </vt:variant>
      <vt:variant>
        <vt:i4>3362</vt:i4>
      </vt:variant>
      <vt:variant>
        <vt:i4>0</vt:i4>
      </vt:variant>
      <vt:variant>
        <vt:i4>5</vt:i4>
      </vt:variant>
      <vt:variant>
        <vt:lpwstr/>
      </vt:variant>
      <vt:variant>
        <vt:lpwstr>_Toc201146551</vt:lpwstr>
      </vt:variant>
      <vt:variant>
        <vt:i4>1376306</vt:i4>
      </vt:variant>
      <vt:variant>
        <vt:i4>3356</vt:i4>
      </vt:variant>
      <vt:variant>
        <vt:i4>0</vt:i4>
      </vt:variant>
      <vt:variant>
        <vt:i4>5</vt:i4>
      </vt:variant>
      <vt:variant>
        <vt:lpwstr/>
      </vt:variant>
      <vt:variant>
        <vt:lpwstr>_Toc201146550</vt:lpwstr>
      </vt:variant>
      <vt:variant>
        <vt:i4>1310770</vt:i4>
      </vt:variant>
      <vt:variant>
        <vt:i4>3350</vt:i4>
      </vt:variant>
      <vt:variant>
        <vt:i4>0</vt:i4>
      </vt:variant>
      <vt:variant>
        <vt:i4>5</vt:i4>
      </vt:variant>
      <vt:variant>
        <vt:lpwstr/>
      </vt:variant>
      <vt:variant>
        <vt:lpwstr>_Toc201146549</vt:lpwstr>
      </vt:variant>
      <vt:variant>
        <vt:i4>1310770</vt:i4>
      </vt:variant>
      <vt:variant>
        <vt:i4>3344</vt:i4>
      </vt:variant>
      <vt:variant>
        <vt:i4>0</vt:i4>
      </vt:variant>
      <vt:variant>
        <vt:i4>5</vt:i4>
      </vt:variant>
      <vt:variant>
        <vt:lpwstr/>
      </vt:variant>
      <vt:variant>
        <vt:lpwstr>_Toc201146548</vt:lpwstr>
      </vt:variant>
      <vt:variant>
        <vt:i4>1310770</vt:i4>
      </vt:variant>
      <vt:variant>
        <vt:i4>3338</vt:i4>
      </vt:variant>
      <vt:variant>
        <vt:i4>0</vt:i4>
      </vt:variant>
      <vt:variant>
        <vt:i4>5</vt:i4>
      </vt:variant>
      <vt:variant>
        <vt:lpwstr/>
      </vt:variant>
      <vt:variant>
        <vt:lpwstr>_Toc201146547</vt:lpwstr>
      </vt:variant>
      <vt:variant>
        <vt:i4>1310770</vt:i4>
      </vt:variant>
      <vt:variant>
        <vt:i4>3332</vt:i4>
      </vt:variant>
      <vt:variant>
        <vt:i4>0</vt:i4>
      </vt:variant>
      <vt:variant>
        <vt:i4>5</vt:i4>
      </vt:variant>
      <vt:variant>
        <vt:lpwstr/>
      </vt:variant>
      <vt:variant>
        <vt:lpwstr>_Toc201146546</vt:lpwstr>
      </vt:variant>
      <vt:variant>
        <vt:i4>1310770</vt:i4>
      </vt:variant>
      <vt:variant>
        <vt:i4>3326</vt:i4>
      </vt:variant>
      <vt:variant>
        <vt:i4>0</vt:i4>
      </vt:variant>
      <vt:variant>
        <vt:i4>5</vt:i4>
      </vt:variant>
      <vt:variant>
        <vt:lpwstr/>
      </vt:variant>
      <vt:variant>
        <vt:lpwstr>_Toc201146545</vt:lpwstr>
      </vt:variant>
      <vt:variant>
        <vt:i4>1310770</vt:i4>
      </vt:variant>
      <vt:variant>
        <vt:i4>3320</vt:i4>
      </vt:variant>
      <vt:variant>
        <vt:i4>0</vt:i4>
      </vt:variant>
      <vt:variant>
        <vt:i4>5</vt:i4>
      </vt:variant>
      <vt:variant>
        <vt:lpwstr/>
      </vt:variant>
      <vt:variant>
        <vt:lpwstr>_Toc201146544</vt:lpwstr>
      </vt:variant>
      <vt:variant>
        <vt:i4>1310770</vt:i4>
      </vt:variant>
      <vt:variant>
        <vt:i4>3314</vt:i4>
      </vt:variant>
      <vt:variant>
        <vt:i4>0</vt:i4>
      </vt:variant>
      <vt:variant>
        <vt:i4>5</vt:i4>
      </vt:variant>
      <vt:variant>
        <vt:lpwstr/>
      </vt:variant>
      <vt:variant>
        <vt:lpwstr>_Toc201146543</vt:lpwstr>
      </vt:variant>
      <vt:variant>
        <vt:i4>1310770</vt:i4>
      </vt:variant>
      <vt:variant>
        <vt:i4>3308</vt:i4>
      </vt:variant>
      <vt:variant>
        <vt:i4>0</vt:i4>
      </vt:variant>
      <vt:variant>
        <vt:i4>5</vt:i4>
      </vt:variant>
      <vt:variant>
        <vt:lpwstr/>
      </vt:variant>
      <vt:variant>
        <vt:lpwstr>_Toc201146542</vt:lpwstr>
      </vt:variant>
      <vt:variant>
        <vt:i4>1310770</vt:i4>
      </vt:variant>
      <vt:variant>
        <vt:i4>3302</vt:i4>
      </vt:variant>
      <vt:variant>
        <vt:i4>0</vt:i4>
      </vt:variant>
      <vt:variant>
        <vt:i4>5</vt:i4>
      </vt:variant>
      <vt:variant>
        <vt:lpwstr/>
      </vt:variant>
      <vt:variant>
        <vt:lpwstr>_Toc201146541</vt:lpwstr>
      </vt:variant>
      <vt:variant>
        <vt:i4>1310770</vt:i4>
      </vt:variant>
      <vt:variant>
        <vt:i4>3296</vt:i4>
      </vt:variant>
      <vt:variant>
        <vt:i4>0</vt:i4>
      </vt:variant>
      <vt:variant>
        <vt:i4>5</vt:i4>
      </vt:variant>
      <vt:variant>
        <vt:lpwstr/>
      </vt:variant>
      <vt:variant>
        <vt:lpwstr>_Toc201146540</vt:lpwstr>
      </vt:variant>
      <vt:variant>
        <vt:i4>1245234</vt:i4>
      </vt:variant>
      <vt:variant>
        <vt:i4>3290</vt:i4>
      </vt:variant>
      <vt:variant>
        <vt:i4>0</vt:i4>
      </vt:variant>
      <vt:variant>
        <vt:i4>5</vt:i4>
      </vt:variant>
      <vt:variant>
        <vt:lpwstr/>
      </vt:variant>
      <vt:variant>
        <vt:lpwstr>_Toc201146539</vt:lpwstr>
      </vt:variant>
      <vt:variant>
        <vt:i4>1245234</vt:i4>
      </vt:variant>
      <vt:variant>
        <vt:i4>3284</vt:i4>
      </vt:variant>
      <vt:variant>
        <vt:i4>0</vt:i4>
      </vt:variant>
      <vt:variant>
        <vt:i4>5</vt:i4>
      </vt:variant>
      <vt:variant>
        <vt:lpwstr/>
      </vt:variant>
      <vt:variant>
        <vt:lpwstr>_Toc201146538</vt:lpwstr>
      </vt:variant>
      <vt:variant>
        <vt:i4>1245234</vt:i4>
      </vt:variant>
      <vt:variant>
        <vt:i4>3278</vt:i4>
      </vt:variant>
      <vt:variant>
        <vt:i4>0</vt:i4>
      </vt:variant>
      <vt:variant>
        <vt:i4>5</vt:i4>
      </vt:variant>
      <vt:variant>
        <vt:lpwstr/>
      </vt:variant>
      <vt:variant>
        <vt:lpwstr>_Toc201146537</vt:lpwstr>
      </vt:variant>
      <vt:variant>
        <vt:i4>1245234</vt:i4>
      </vt:variant>
      <vt:variant>
        <vt:i4>3272</vt:i4>
      </vt:variant>
      <vt:variant>
        <vt:i4>0</vt:i4>
      </vt:variant>
      <vt:variant>
        <vt:i4>5</vt:i4>
      </vt:variant>
      <vt:variant>
        <vt:lpwstr/>
      </vt:variant>
      <vt:variant>
        <vt:lpwstr>_Toc201146536</vt:lpwstr>
      </vt:variant>
      <vt:variant>
        <vt:i4>1245234</vt:i4>
      </vt:variant>
      <vt:variant>
        <vt:i4>3266</vt:i4>
      </vt:variant>
      <vt:variant>
        <vt:i4>0</vt:i4>
      </vt:variant>
      <vt:variant>
        <vt:i4>5</vt:i4>
      </vt:variant>
      <vt:variant>
        <vt:lpwstr/>
      </vt:variant>
      <vt:variant>
        <vt:lpwstr>_Toc201146535</vt:lpwstr>
      </vt:variant>
      <vt:variant>
        <vt:i4>1245234</vt:i4>
      </vt:variant>
      <vt:variant>
        <vt:i4>3260</vt:i4>
      </vt:variant>
      <vt:variant>
        <vt:i4>0</vt:i4>
      </vt:variant>
      <vt:variant>
        <vt:i4>5</vt:i4>
      </vt:variant>
      <vt:variant>
        <vt:lpwstr/>
      </vt:variant>
      <vt:variant>
        <vt:lpwstr>_Toc201146534</vt:lpwstr>
      </vt:variant>
      <vt:variant>
        <vt:i4>1245234</vt:i4>
      </vt:variant>
      <vt:variant>
        <vt:i4>3254</vt:i4>
      </vt:variant>
      <vt:variant>
        <vt:i4>0</vt:i4>
      </vt:variant>
      <vt:variant>
        <vt:i4>5</vt:i4>
      </vt:variant>
      <vt:variant>
        <vt:lpwstr/>
      </vt:variant>
      <vt:variant>
        <vt:lpwstr>_Toc201146533</vt:lpwstr>
      </vt:variant>
      <vt:variant>
        <vt:i4>1245234</vt:i4>
      </vt:variant>
      <vt:variant>
        <vt:i4>3251</vt:i4>
      </vt:variant>
      <vt:variant>
        <vt:i4>0</vt:i4>
      </vt:variant>
      <vt:variant>
        <vt:i4>5</vt:i4>
      </vt:variant>
      <vt:variant>
        <vt:lpwstr/>
      </vt:variant>
      <vt:variant>
        <vt:lpwstr>_Toc201146532</vt:lpwstr>
      </vt:variant>
      <vt:variant>
        <vt:i4>1245234</vt:i4>
      </vt:variant>
      <vt:variant>
        <vt:i4>3245</vt:i4>
      </vt:variant>
      <vt:variant>
        <vt:i4>0</vt:i4>
      </vt:variant>
      <vt:variant>
        <vt:i4>5</vt:i4>
      </vt:variant>
      <vt:variant>
        <vt:lpwstr/>
      </vt:variant>
      <vt:variant>
        <vt:lpwstr>_Toc201146531</vt:lpwstr>
      </vt:variant>
      <vt:variant>
        <vt:i4>1245234</vt:i4>
      </vt:variant>
      <vt:variant>
        <vt:i4>3239</vt:i4>
      </vt:variant>
      <vt:variant>
        <vt:i4>0</vt:i4>
      </vt:variant>
      <vt:variant>
        <vt:i4>5</vt:i4>
      </vt:variant>
      <vt:variant>
        <vt:lpwstr/>
      </vt:variant>
      <vt:variant>
        <vt:lpwstr>_Toc201146530</vt:lpwstr>
      </vt:variant>
      <vt:variant>
        <vt:i4>1179698</vt:i4>
      </vt:variant>
      <vt:variant>
        <vt:i4>3236</vt:i4>
      </vt:variant>
      <vt:variant>
        <vt:i4>0</vt:i4>
      </vt:variant>
      <vt:variant>
        <vt:i4>5</vt:i4>
      </vt:variant>
      <vt:variant>
        <vt:lpwstr/>
      </vt:variant>
      <vt:variant>
        <vt:lpwstr>_Toc201146529</vt:lpwstr>
      </vt:variant>
      <vt:variant>
        <vt:i4>1179698</vt:i4>
      </vt:variant>
      <vt:variant>
        <vt:i4>3230</vt:i4>
      </vt:variant>
      <vt:variant>
        <vt:i4>0</vt:i4>
      </vt:variant>
      <vt:variant>
        <vt:i4>5</vt:i4>
      </vt:variant>
      <vt:variant>
        <vt:lpwstr/>
      </vt:variant>
      <vt:variant>
        <vt:lpwstr>_Toc201146528</vt:lpwstr>
      </vt:variant>
      <vt:variant>
        <vt:i4>1179698</vt:i4>
      </vt:variant>
      <vt:variant>
        <vt:i4>3224</vt:i4>
      </vt:variant>
      <vt:variant>
        <vt:i4>0</vt:i4>
      </vt:variant>
      <vt:variant>
        <vt:i4>5</vt:i4>
      </vt:variant>
      <vt:variant>
        <vt:lpwstr/>
      </vt:variant>
      <vt:variant>
        <vt:lpwstr>_Toc201146527</vt:lpwstr>
      </vt:variant>
      <vt:variant>
        <vt:i4>1179698</vt:i4>
      </vt:variant>
      <vt:variant>
        <vt:i4>3218</vt:i4>
      </vt:variant>
      <vt:variant>
        <vt:i4>0</vt:i4>
      </vt:variant>
      <vt:variant>
        <vt:i4>5</vt:i4>
      </vt:variant>
      <vt:variant>
        <vt:lpwstr/>
      </vt:variant>
      <vt:variant>
        <vt:lpwstr>_Toc201146526</vt:lpwstr>
      </vt:variant>
      <vt:variant>
        <vt:i4>1179698</vt:i4>
      </vt:variant>
      <vt:variant>
        <vt:i4>3212</vt:i4>
      </vt:variant>
      <vt:variant>
        <vt:i4>0</vt:i4>
      </vt:variant>
      <vt:variant>
        <vt:i4>5</vt:i4>
      </vt:variant>
      <vt:variant>
        <vt:lpwstr/>
      </vt:variant>
      <vt:variant>
        <vt:lpwstr>_Toc201146525</vt:lpwstr>
      </vt:variant>
      <vt:variant>
        <vt:i4>1179698</vt:i4>
      </vt:variant>
      <vt:variant>
        <vt:i4>3206</vt:i4>
      </vt:variant>
      <vt:variant>
        <vt:i4>0</vt:i4>
      </vt:variant>
      <vt:variant>
        <vt:i4>5</vt:i4>
      </vt:variant>
      <vt:variant>
        <vt:lpwstr/>
      </vt:variant>
      <vt:variant>
        <vt:lpwstr>_Toc201146524</vt:lpwstr>
      </vt:variant>
      <vt:variant>
        <vt:i4>1179698</vt:i4>
      </vt:variant>
      <vt:variant>
        <vt:i4>3200</vt:i4>
      </vt:variant>
      <vt:variant>
        <vt:i4>0</vt:i4>
      </vt:variant>
      <vt:variant>
        <vt:i4>5</vt:i4>
      </vt:variant>
      <vt:variant>
        <vt:lpwstr/>
      </vt:variant>
      <vt:variant>
        <vt:lpwstr>_Toc201146523</vt:lpwstr>
      </vt:variant>
      <vt:variant>
        <vt:i4>1179698</vt:i4>
      </vt:variant>
      <vt:variant>
        <vt:i4>3194</vt:i4>
      </vt:variant>
      <vt:variant>
        <vt:i4>0</vt:i4>
      </vt:variant>
      <vt:variant>
        <vt:i4>5</vt:i4>
      </vt:variant>
      <vt:variant>
        <vt:lpwstr/>
      </vt:variant>
      <vt:variant>
        <vt:lpwstr>_Toc201146522</vt:lpwstr>
      </vt:variant>
      <vt:variant>
        <vt:i4>1179698</vt:i4>
      </vt:variant>
      <vt:variant>
        <vt:i4>3188</vt:i4>
      </vt:variant>
      <vt:variant>
        <vt:i4>0</vt:i4>
      </vt:variant>
      <vt:variant>
        <vt:i4>5</vt:i4>
      </vt:variant>
      <vt:variant>
        <vt:lpwstr/>
      </vt:variant>
      <vt:variant>
        <vt:lpwstr>_Toc201146521</vt:lpwstr>
      </vt:variant>
      <vt:variant>
        <vt:i4>1179698</vt:i4>
      </vt:variant>
      <vt:variant>
        <vt:i4>3182</vt:i4>
      </vt:variant>
      <vt:variant>
        <vt:i4>0</vt:i4>
      </vt:variant>
      <vt:variant>
        <vt:i4>5</vt:i4>
      </vt:variant>
      <vt:variant>
        <vt:lpwstr/>
      </vt:variant>
      <vt:variant>
        <vt:lpwstr>_Toc201146520</vt:lpwstr>
      </vt:variant>
      <vt:variant>
        <vt:i4>1114162</vt:i4>
      </vt:variant>
      <vt:variant>
        <vt:i4>3176</vt:i4>
      </vt:variant>
      <vt:variant>
        <vt:i4>0</vt:i4>
      </vt:variant>
      <vt:variant>
        <vt:i4>5</vt:i4>
      </vt:variant>
      <vt:variant>
        <vt:lpwstr/>
      </vt:variant>
      <vt:variant>
        <vt:lpwstr>_Toc201146519</vt:lpwstr>
      </vt:variant>
      <vt:variant>
        <vt:i4>1114162</vt:i4>
      </vt:variant>
      <vt:variant>
        <vt:i4>3170</vt:i4>
      </vt:variant>
      <vt:variant>
        <vt:i4>0</vt:i4>
      </vt:variant>
      <vt:variant>
        <vt:i4>5</vt:i4>
      </vt:variant>
      <vt:variant>
        <vt:lpwstr/>
      </vt:variant>
      <vt:variant>
        <vt:lpwstr>_Toc201146518</vt:lpwstr>
      </vt:variant>
      <vt:variant>
        <vt:i4>1114162</vt:i4>
      </vt:variant>
      <vt:variant>
        <vt:i4>3164</vt:i4>
      </vt:variant>
      <vt:variant>
        <vt:i4>0</vt:i4>
      </vt:variant>
      <vt:variant>
        <vt:i4>5</vt:i4>
      </vt:variant>
      <vt:variant>
        <vt:lpwstr/>
      </vt:variant>
      <vt:variant>
        <vt:lpwstr>_Toc201146517</vt:lpwstr>
      </vt:variant>
      <vt:variant>
        <vt:i4>1114162</vt:i4>
      </vt:variant>
      <vt:variant>
        <vt:i4>3158</vt:i4>
      </vt:variant>
      <vt:variant>
        <vt:i4>0</vt:i4>
      </vt:variant>
      <vt:variant>
        <vt:i4>5</vt:i4>
      </vt:variant>
      <vt:variant>
        <vt:lpwstr/>
      </vt:variant>
      <vt:variant>
        <vt:lpwstr>_Toc201146516</vt:lpwstr>
      </vt:variant>
      <vt:variant>
        <vt:i4>1114162</vt:i4>
      </vt:variant>
      <vt:variant>
        <vt:i4>3152</vt:i4>
      </vt:variant>
      <vt:variant>
        <vt:i4>0</vt:i4>
      </vt:variant>
      <vt:variant>
        <vt:i4>5</vt:i4>
      </vt:variant>
      <vt:variant>
        <vt:lpwstr/>
      </vt:variant>
      <vt:variant>
        <vt:lpwstr>_Toc201146515</vt:lpwstr>
      </vt:variant>
      <vt:variant>
        <vt:i4>1114162</vt:i4>
      </vt:variant>
      <vt:variant>
        <vt:i4>3146</vt:i4>
      </vt:variant>
      <vt:variant>
        <vt:i4>0</vt:i4>
      </vt:variant>
      <vt:variant>
        <vt:i4>5</vt:i4>
      </vt:variant>
      <vt:variant>
        <vt:lpwstr/>
      </vt:variant>
      <vt:variant>
        <vt:lpwstr>_Toc201146514</vt:lpwstr>
      </vt:variant>
      <vt:variant>
        <vt:i4>1114162</vt:i4>
      </vt:variant>
      <vt:variant>
        <vt:i4>3140</vt:i4>
      </vt:variant>
      <vt:variant>
        <vt:i4>0</vt:i4>
      </vt:variant>
      <vt:variant>
        <vt:i4>5</vt:i4>
      </vt:variant>
      <vt:variant>
        <vt:lpwstr/>
      </vt:variant>
      <vt:variant>
        <vt:lpwstr>_Toc201146513</vt:lpwstr>
      </vt:variant>
      <vt:variant>
        <vt:i4>1114162</vt:i4>
      </vt:variant>
      <vt:variant>
        <vt:i4>3134</vt:i4>
      </vt:variant>
      <vt:variant>
        <vt:i4>0</vt:i4>
      </vt:variant>
      <vt:variant>
        <vt:i4>5</vt:i4>
      </vt:variant>
      <vt:variant>
        <vt:lpwstr/>
      </vt:variant>
      <vt:variant>
        <vt:lpwstr>_Toc201146512</vt:lpwstr>
      </vt:variant>
      <vt:variant>
        <vt:i4>1114162</vt:i4>
      </vt:variant>
      <vt:variant>
        <vt:i4>3128</vt:i4>
      </vt:variant>
      <vt:variant>
        <vt:i4>0</vt:i4>
      </vt:variant>
      <vt:variant>
        <vt:i4>5</vt:i4>
      </vt:variant>
      <vt:variant>
        <vt:lpwstr/>
      </vt:variant>
      <vt:variant>
        <vt:lpwstr>_Toc201146511</vt:lpwstr>
      </vt:variant>
      <vt:variant>
        <vt:i4>1114162</vt:i4>
      </vt:variant>
      <vt:variant>
        <vt:i4>3122</vt:i4>
      </vt:variant>
      <vt:variant>
        <vt:i4>0</vt:i4>
      </vt:variant>
      <vt:variant>
        <vt:i4>5</vt:i4>
      </vt:variant>
      <vt:variant>
        <vt:lpwstr/>
      </vt:variant>
      <vt:variant>
        <vt:lpwstr>_Toc201146510</vt:lpwstr>
      </vt:variant>
      <vt:variant>
        <vt:i4>1048626</vt:i4>
      </vt:variant>
      <vt:variant>
        <vt:i4>3116</vt:i4>
      </vt:variant>
      <vt:variant>
        <vt:i4>0</vt:i4>
      </vt:variant>
      <vt:variant>
        <vt:i4>5</vt:i4>
      </vt:variant>
      <vt:variant>
        <vt:lpwstr/>
      </vt:variant>
      <vt:variant>
        <vt:lpwstr>_Toc201146509</vt:lpwstr>
      </vt:variant>
      <vt:variant>
        <vt:i4>1048626</vt:i4>
      </vt:variant>
      <vt:variant>
        <vt:i4>3110</vt:i4>
      </vt:variant>
      <vt:variant>
        <vt:i4>0</vt:i4>
      </vt:variant>
      <vt:variant>
        <vt:i4>5</vt:i4>
      </vt:variant>
      <vt:variant>
        <vt:lpwstr/>
      </vt:variant>
      <vt:variant>
        <vt:lpwstr>_Toc201146508</vt:lpwstr>
      </vt:variant>
      <vt:variant>
        <vt:i4>1048626</vt:i4>
      </vt:variant>
      <vt:variant>
        <vt:i4>3104</vt:i4>
      </vt:variant>
      <vt:variant>
        <vt:i4>0</vt:i4>
      </vt:variant>
      <vt:variant>
        <vt:i4>5</vt:i4>
      </vt:variant>
      <vt:variant>
        <vt:lpwstr/>
      </vt:variant>
      <vt:variant>
        <vt:lpwstr>_Toc201146507</vt:lpwstr>
      </vt:variant>
      <vt:variant>
        <vt:i4>1048626</vt:i4>
      </vt:variant>
      <vt:variant>
        <vt:i4>3098</vt:i4>
      </vt:variant>
      <vt:variant>
        <vt:i4>0</vt:i4>
      </vt:variant>
      <vt:variant>
        <vt:i4>5</vt:i4>
      </vt:variant>
      <vt:variant>
        <vt:lpwstr/>
      </vt:variant>
      <vt:variant>
        <vt:lpwstr>_Toc201146506</vt:lpwstr>
      </vt:variant>
      <vt:variant>
        <vt:i4>1048626</vt:i4>
      </vt:variant>
      <vt:variant>
        <vt:i4>3092</vt:i4>
      </vt:variant>
      <vt:variant>
        <vt:i4>0</vt:i4>
      </vt:variant>
      <vt:variant>
        <vt:i4>5</vt:i4>
      </vt:variant>
      <vt:variant>
        <vt:lpwstr/>
      </vt:variant>
      <vt:variant>
        <vt:lpwstr>_Toc201146505</vt:lpwstr>
      </vt:variant>
      <vt:variant>
        <vt:i4>1048626</vt:i4>
      </vt:variant>
      <vt:variant>
        <vt:i4>3086</vt:i4>
      </vt:variant>
      <vt:variant>
        <vt:i4>0</vt:i4>
      </vt:variant>
      <vt:variant>
        <vt:i4>5</vt:i4>
      </vt:variant>
      <vt:variant>
        <vt:lpwstr/>
      </vt:variant>
      <vt:variant>
        <vt:lpwstr>_Toc201146504</vt:lpwstr>
      </vt:variant>
      <vt:variant>
        <vt:i4>1048626</vt:i4>
      </vt:variant>
      <vt:variant>
        <vt:i4>3080</vt:i4>
      </vt:variant>
      <vt:variant>
        <vt:i4>0</vt:i4>
      </vt:variant>
      <vt:variant>
        <vt:i4>5</vt:i4>
      </vt:variant>
      <vt:variant>
        <vt:lpwstr/>
      </vt:variant>
      <vt:variant>
        <vt:lpwstr>_Toc201146503</vt:lpwstr>
      </vt:variant>
      <vt:variant>
        <vt:i4>1048626</vt:i4>
      </vt:variant>
      <vt:variant>
        <vt:i4>3074</vt:i4>
      </vt:variant>
      <vt:variant>
        <vt:i4>0</vt:i4>
      </vt:variant>
      <vt:variant>
        <vt:i4>5</vt:i4>
      </vt:variant>
      <vt:variant>
        <vt:lpwstr/>
      </vt:variant>
      <vt:variant>
        <vt:lpwstr>_Toc201146502</vt:lpwstr>
      </vt:variant>
      <vt:variant>
        <vt:i4>1048626</vt:i4>
      </vt:variant>
      <vt:variant>
        <vt:i4>3068</vt:i4>
      </vt:variant>
      <vt:variant>
        <vt:i4>0</vt:i4>
      </vt:variant>
      <vt:variant>
        <vt:i4>5</vt:i4>
      </vt:variant>
      <vt:variant>
        <vt:lpwstr/>
      </vt:variant>
      <vt:variant>
        <vt:lpwstr>_Toc201146501</vt:lpwstr>
      </vt:variant>
      <vt:variant>
        <vt:i4>1048626</vt:i4>
      </vt:variant>
      <vt:variant>
        <vt:i4>3062</vt:i4>
      </vt:variant>
      <vt:variant>
        <vt:i4>0</vt:i4>
      </vt:variant>
      <vt:variant>
        <vt:i4>5</vt:i4>
      </vt:variant>
      <vt:variant>
        <vt:lpwstr/>
      </vt:variant>
      <vt:variant>
        <vt:lpwstr>_Toc201146500</vt:lpwstr>
      </vt:variant>
      <vt:variant>
        <vt:i4>1638451</vt:i4>
      </vt:variant>
      <vt:variant>
        <vt:i4>3056</vt:i4>
      </vt:variant>
      <vt:variant>
        <vt:i4>0</vt:i4>
      </vt:variant>
      <vt:variant>
        <vt:i4>5</vt:i4>
      </vt:variant>
      <vt:variant>
        <vt:lpwstr/>
      </vt:variant>
      <vt:variant>
        <vt:lpwstr>_Toc201146499</vt:lpwstr>
      </vt:variant>
      <vt:variant>
        <vt:i4>1638451</vt:i4>
      </vt:variant>
      <vt:variant>
        <vt:i4>3050</vt:i4>
      </vt:variant>
      <vt:variant>
        <vt:i4>0</vt:i4>
      </vt:variant>
      <vt:variant>
        <vt:i4>5</vt:i4>
      </vt:variant>
      <vt:variant>
        <vt:lpwstr/>
      </vt:variant>
      <vt:variant>
        <vt:lpwstr>_Toc201146498</vt:lpwstr>
      </vt:variant>
      <vt:variant>
        <vt:i4>1638451</vt:i4>
      </vt:variant>
      <vt:variant>
        <vt:i4>3044</vt:i4>
      </vt:variant>
      <vt:variant>
        <vt:i4>0</vt:i4>
      </vt:variant>
      <vt:variant>
        <vt:i4>5</vt:i4>
      </vt:variant>
      <vt:variant>
        <vt:lpwstr/>
      </vt:variant>
      <vt:variant>
        <vt:lpwstr>_Toc201146497</vt:lpwstr>
      </vt:variant>
      <vt:variant>
        <vt:i4>1638451</vt:i4>
      </vt:variant>
      <vt:variant>
        <vt:i4>3038</vt:i4>
      </vt:variant>
      <vt:variant>
        <vt:i4>0</vt:i4>
      </vt:variant>
      <vt:variant>
        <vt:i4>5</vt:i4>
      </vt:variant>
      <vt:variant>
        <vt:lpwstr/>
      </vt:variant>
      <vt:variant>
        <vt:lpwstr>_Toc201146496</vt:lpwstr>
      </vt:variant>
      <vt:variant>
        <vt:i4>1638451</vt:i4>
      </vt:variant>
      <vt:variant>
        <vt:i4>3032</vt:i4>
      </vt:variant>
      <vt:variant>
        <vt:i4>0</vt:i4>
      </vt:variant>
      <vt:variant>
        <vt:i4>5</vt:i4>
      </vt:variant>
      <vt:variant>
        <vt:lpwstr/>
      </vt:variant>
      <vt:variant>
        <vt:lpwstr>_Toc201146495</vt:lpwstr>
      </vt:variant>
      <vt:variant>
        <vt:i4>1638451</vt:i4>
      </vt:variant>
      <vt:variant>
        <vt:i4>3026</vt:i4>
      </vt:variant>
      <vt:variant>
        <vt:i4>0</vt:i4>
      </vt:variant>
      <vt:variant>
        <vt:i4>5</vt:i4>
      </vt:variant>
      <vt:variant>
        <vt:lpwstr/>
      </vt:variant>
      <vt:variant>
        <vt:lpwstr>_Toc201146494</vt:lpwstr>
      </vt:variant>
      <vt:variant>
        <vt:i4>1638451</vt:i4>
      </vt:variant>
      <vt:variant>
        <vt:i4>3020</vt:i4>
      </vt:variant>
      <vt:variant>
        <vt:i4>0</vt:i4>
      </vt:variant>
      <vt:variant>
        <vt:i4>5</vt:i4>
      </vt:variant>
      <vt:variant>
        <vt:lpwstr/>
      </vt:variant>
      <vt:variant>
        <vt:lpwstr>_Toc201146493</vt:lpwstr>
      </vt:variant>
      <vt:variant>
        <vt:i4>1638451</vt:i4>
      </vt:variant>
      <vt:variant>
        <vt:i4>3014</vt:i4>
      </vt:variant>
      <vt:variant>
        <vt:i4>0</vt:i4>
      </vt:variant>
      <vt:variant>
        <vt:i4>5</vt:i4>
      </vt:variant>
      <vt:variant>
        <vt:lpwstr/>
      </vt:variant>
      <vt:variant>
        <vt:lpwstr>_Toc201146492</vt:lpwstr>
      </vt:variant>
      <vt:variant>
        <vt:i4>1638451</vt:i4>
      </vt:variant>
      <vt:variant>
        <vt:i4>3008</vt:i4>
      </vt:variant>
      <vt:variant>
        <vt:i4>0</vt:i4>
      </vt:variant>
      <vt:variant>
        <vt:i4>5</vt:i4>
      </vt:variant>
      <vt:variant>
        <vt:lpwstr/>
      </vt:variant>
      <vt:variant>
        <vt:lpwstr>_Toc201146491</vt:lpwstr>
      </vt:variant>
      <vt:variant>
        <vt:i4>1638451</vt:i4>
      </vt:variant>
      <vt:variant>
        <vt:i4>3002</vt:i4>
      </vt:variant>
      <vt:variant>
        <vt:i4>0</vt:i4>
      </vt:variant>
      <vt:variant>
        <vt:i4>5</vt:i4>
      </vt:variant>
      <vt:variant>
        <vt:lpwstr/>
      </vt:variant>
      <vt:variant>
        <vt:lpwstr>_Toc201146490</vt:lpwstr>
      </vt:variant>
      <vt:variant>
        <vt:i4>1572915</vt:i4>
      </vt:variant>
      <vt:variant>
        <vt:i4>2996</vt:i4>
      </vt:variant>
      <vt:variant>
        <vt:i4>0</vt:i4>
      </vt:variant>
      <vt:variant>
        <vt:i4>5</vt:i4>
      </vt:variant>
      <vt:variant>
        <vt:lpwstr/>
      </vt:variant>
      <vt:variant>
        <vt:lpwstr>_Toc201146489</vt:lpwstr>
      </vt:variant>
      <vt:variant>
        <vt:i4>1572915</vt:i4>
      </vt:variant>
      <vt:variant>
        <vt:i4>2990</vt:i4>
      </vt:variant>
      <vt:variant>
        <vt:i4>0</vt:i4>
      </vt:variant>
      <vt:variant>
        <vt:i4>5</vt:i4>
      </vt:variant>
      <vt:variant>
        <vt:lpwstr/>
      </vt:variant>
      <vt:variant>
        <vt:lpwstr>_Toc201146488</vt:lpwstr>
      </vt:variant>
      <vt:variant>
        <vt:i4>1572915</vt:i4>
      </vt:variant>
      <vt:variant>
        <vt:i4>2987</vt:i4>
      </vt:variant>
      <vt:variant>
        <vt:i4>0</vt:i4>
      </vt:variant>
      <vt:variant>
        <vt:i4>5</vt:i4>
      </vt:variant>
      <vt:variant>
        <vt:lpwstr/>
      </vt:variant>
      <vt:variant>
        <vt:lpwstr>_Toc201146487</vt:lpwstr>
      </vt:variant>
      <vt:variant>
        <vt:i4>1572915</vt:i4>
      </vt:variant>
      <vt:variant>
        <vt:i4>2981</vt:i4>
      </vt:variant>
      <vt:variant>
        <vt:i4>0</vt:i4>
      </vt:variant>
      <vt:variant>
        <vt:i4>5</vt:i4>
      </vt:variant>
      <vt:variant>
        <vt:lpwstr/>
      </vt:variant>
      <vt:variant>
        <vt:lpwstr>_Toc201146486</vt:lpwstr>
      </vt:variant>
      <vt:variant>
        <vt:i4>1572915</vt:i4>
      </vt:variant>
      <vt:variant>
        <vt:i4>2975</vt:i4>
      </vt:variant>
      <vt:variant>
        <vt:i4>0</vt:i4>
      </vt:variant>
      <vt:variant>
        <vt:i4>5</vt:i4>
      </vt:variant>
      <vt:variant>
        <vt:lpwstr/>
      </vt:variant>
      <vt:variant>
        <vt:lpwstr>_Toc201146485</vt:lpwstr>
      </vt:variant>
      <vt:variant>
        <vt:i4>1572915</vt:i4>
      </vt:variant>
      <vt:variant>
        <vt:i4>2969</vt:i4>
      </vt:variant>
      <vt:variant>
        <vt:i4>0</vt:i4>
      </vt:variant>
      <vt:variant>
        <vt:i4>5</vt:i4>
      </vt:variant>
      <vt:variant>
        <vt:lpwstr/>
      </vt:variant>
      <vt:variant>
        <vt:lpwstr>_Toc201146484</vt:lpwstr>
      </vt:variant>
      <vt:variant>
        <vt:i4>1572915</vt:i4>
      </vt:variant>
      <vt:variant>
        <vt:i4>2963</vt:i4>
      </vt:variant>
      <vt:variant>
        <vt:i4>0</vt:i4>
      </vt:variant>
      <vt:variant>
        <vt:i4>5</vt:i4>
      </vt:variant>
      <vt:variant>
        <vt:lpwstr/>
      </vt:variant>
      <vt:variant>
        <vt:lpwstr>_Toc201146483</vt:lpwstr>
      </vt:variant>
      <vt:variant>
        <vt:i4>1572915</vt:i4>
      </vt:variant>
      <vt:variant>
        <vt:i4>2957</vt:i4>
      </vt:variant>
      <vt:variant>
        <vt:i4>0</vt:i4>
      </vt:variant>
      <vt:variant>
        <vt:i4>5</vt:i4>
      </vt:variant>
      <vt:variant>
        <vt:lpwstr/>
      </vt:variant>
      <vt:variant>
        <vt:lpwstr>_Toc201146482</vt:lpwstr>
      </vt:variant>
      <vt:variant>
        <vt:i4>1572915</vt:i4>
      </vt:variant>
      <vt:variant>
        <vt:i4>2951</vt:i4>
      </vt:variant>
      <vt:variant>
        <vt:i4>0</vt:i4>
      </vt:variant>
      <vt:variant>
        <vt:i4>5</vt:i4>
      </vt:variant>
      <vt:variant>
        <vt:lpwstr/>
      </vt:variant>
      <vt:variant>
        <vt:lpwstr>_Toc201146481</vt:lpwstr>
      </vt:variant>
      <vt:variant>
        <vt:i4>1572915</vt:i4>
      </vt:variant>
      <vt:variant>
        <vt:i4>2945</vt:i4>
      </vt:variant>
      <vt:variant>
        <vt:i4>0</vt:i4>
      </vt:variant>
      <vt:variant>
        <vt:i4>5</vt:i4>
      </vt:variant>
      <vt:variant>
        <vt:lpwstr/>
      </vt:variant>
      <vt:variant>
        <vt:lpwstr>_Toc201146480</vt:lpwstr>
      </vt:variant>
      <vt:variant>
        <vt:i4>1507379</vt:i4>
      </vt:variant>
      <vt:variant>
        <vt:i4>2939</vt:i4>
      </vt:variant>
      <vt:variant>
        <vt:i4>0</vt:i4>
      </vt:variant>
      <vt:variant>
        <vt:i4>5</vt:i4>
      </vt:variant>
      <vt:variant>
        <vt:lpwstr/>
      </vt:variant>
      <vt:variant>
        <vt:lpwstr>_Toc201146479</vt:lpwstr>
      </vt:variant>
      <vt:variant>
        <vt:i4>1507379</vt:i4>
      </vt:variant>
      <vt:variant>
        <vt:i4>2933</vt:i4>
      </vt:variant>
      <vt:variant>
        <vt:i4>0</vt:i4>
      </vt:variant>
      <vt:variant>
        <vt:i4>5</vt:i4>
      </vt:variant>
      <vt:variant>
        <vt:lpwstr/>
      </vt:variant>
      <vt:variant>
        <vt:lpwstr>_Toc201146478</vt:lpwstr>
      </vt:variant>
      <vt:variant>
        <vt:i4>1507379</vt:i4>
      </vt:variant>
      <vt:variant>
        <vt:i4>2927</vt:i4>
      </vt:variant>
      <vt:variant>
        <vt:i4>0</vt:i4>
      </vt:variant>
      <vt:variant>
        <vt:i4>5</vt:i4>
      </vt:variant>
      <vt:variant>
        <vt:lpwstr/>
      </vt:variant>
      <vt:variant>
        <vt:lpwstr>_Toc201146477</vt:lpwstr>
      </vt:variant>
      <vt:variant>
        <vt:i4>1507379</vt:i4>
      </vt:variant>
      <vt:variant>
        <vt:i4>2921</vt:i4>
      </vt:variant>
      <vt:variant>
        <vt:i4>0</vt:i4>
      </vt:variant>
      <vt:variant>
        <vt:i4>5</vt:i4>
      </vt:variant>
      <vt:variant>
        <vt:lpwstr/>
      </vt:variant>
      <vt:variant>
        <vt:lpwstr>_Toc201146476</vt:lpwstr>
      </vt:variant>
      <vt:variant>
        <vt:i4>1507379</vt:i4>
      </vt:variant>
      <vt:variant>
        <vt:i4>2915</vt:i4>
      </vt:variant>
      <vt:variant>
        <vt:i4>0</vt:i4>
      </vt:variant>
      <vt:variant>
        <vt:i4>5</vt:i4>
      </vt:variant>
      <vt:variant>
        <vt:lpwstr/>
      </vt:variant>
      <vt:variant>
        <vt:lpwstr>_Toc201146475</vt:lpwstr>
      </vt:variant>
      <vt:variant>
        <vt:i4>1507379</vt:i4>
      </vt:variant>
      <vt:variant>
        <vt:i4>2909</vt:i4>
      </vt:variant>
      <vt:variant>
        <vt:i4>0</vt:i4>
      </vt:variant>
      <vt:variant>
        <vt:i4>5</vt:i4>
      </vt:variant>
      <vt:variant>
        <vt:lpwstr/>
      </vt:variant>
      <vt:variant>
        <vt:lpwstr>_Toc201146474</vt:lpwstr>
      </vt:variant>
      <vt:variant>
        <vt:i4>1507379</vt:i4>
      </vt:variant>
      <vt:variant>
        <vt:i4>2903</vt:i4>
      </vt:variant>
      <vt:variant>
        <vt:i4>0</vt:i4>
      </vt:variant>
      <vt:variant>
        <vt:i4>5</vt:i4>
      </vt:variant>
      <vt:variant>
        <vt:lpwstr/>
      </vt:variant>
      <vt:variant>
        <vt:lpwstr>_Toc201146473</vt:lpwstr>
      </vt:variant>
      <vt:variant>
        <vt:i4>1507379</vt:i4>
      </vt:variant>
      <vt:variant>
        <vt:i4>2897</vt:i4>
      </vt:variant>
      <vt:variant>
        <vt:i4>0</vt:i4>
      </vt:variant>
      <vt:variant>
        <vt:i4>5</vt:i4>
      </vt:variant>
      <vt:variant>
        <vt:lpwstr/>
      </vt:variant>
      <vt:variant>
        <vt:lpwstr>_Toc201146472</vt:lpwstr>
      </vt:variant>
      <vt:variant>
        <vt:i4>1507379</vt:i4>
      </vt:variant>
      <vt:variant>
        <vt:i4>2891</vt:i4>
      </vt:variant>
      <vt:variant>
        <vt:i4>0</vt:i4>
      </vt:variant>
      <vt:variant>
        <vt:i4>5</vt:i4>
      </vt:variant>
      <vt:variant>
        <vt:lpwstr/>
      </vt:variant>
      <vt:variant>
        <vt:lpwstr>_Toc201146471</vt:lpwstr>
      </vt:variant>
      <vt:variant>
        <vt:i4>1507379</vt:i4>
      </vt:variant>
      <vt:variant>
        <vt:i4>2885</vt:i4>
      </vt:variant>
      <vt:variant>
        <vt:i4>0</vt:i4>
      </vt:variant>
      <vt:variant>
        <vt:i4>5</vt:i4>
      </vt:variant>
      <vt:variant>
        <vt:lpwstr/>
      </vt:variant>
      <vt:variant>
        <vt:lpwstr>_Toc201146470</vt:lpwstr>
      </vt:variant>
      <vt:variant>
        <vt:i4>1441843</vt:i4>
      </vt:variant>
      <vt:variant>
        <vt:i4>2879</vt:i4>
      </vt:variant>
      <vt:variant>
        <vt:i4>0</vt:i4>
      </vt:variant>
      <vt:variant>
        <vt:i4>5</vt:i4>
      </vt:variant>
      <vt:variant>
        <vt:lpwstr/>
      </vt:variant>
      <vt:variant>
        <vt:lpwstr>_Toc201146469</vt:lpwstr>
      </vt:variant>
      <vt:variant>
        <vt:i4>1441843</vt:i4>
      </vt:variant>
      <vt:variant>
        <vt:i4>2873</vt:i4>
      </vt:variant>
      <vt:variant>
        <vt:i4>0</vt:i4>
      </vt:variant>
      <vt:variant>
        <vt:i4>5</vt:i4>
      </vt:variant>
      <vt:variant>
        <vt:lpwstr/>
      </vt:variant>
      <vt:variant>
        <vt:lpwstr>_Toc201146468</vt:lpwstr>
      </vt:variant>
      <vt:variant>
        <vt:i4>1441843</vt:i4>
      </vt:variant>
      <vt:variant>
        <vt:i4>2867</vt:i4>
      </vt:variant>
      <vt:variant>
        <vt:i4>0</vt:i4>
      </vt:variant>
      <vt:variant>
        <vt:i4>5</vt:i4>
      </vt:variant>
      <vt:variant>
        <vt:lpwstr/>
      </vt:variant>
      <vt:variant>
        <vt:lpwstr>_Toc201146467</vt:lpwstr>
      </vt:variant>
      <vt:variant>
        <vt:i4>1441843</vt:i4>
      </vt:variant>
      <vt:variant>
        <vt:i4>2861</vt:i4>
      </vt:variant>
      <vt:variant>
        <vt:i4>0</vt:i4>
      </vt:variant>
      <vt:variant>
        <vt:i4>5</vt:i4>
      </vt:variant>
      <vt:variant>
        <vt:lpwstr/>
      </vt:variant>
      <vt:variant>
        <vt:lpwstr>_Toc201146466</vt:lpwstr>
      </vt:variant>
      <vt:variant>
        <vt:i4>1441843</vt:i4>
      </vt:variant>
      <vt:variant>
        <vt:i4>2855</vt:i4>
      </vt:variant>
      <vt:variant>
        <vt:i4>0</vt:i4>
      </vt:variant>
      <vt:variant>
        <vt:i4>5</vt:i4>
      </vt:variant>
      <vt:variant>
        <vt:lpwstr/>
      </vt:variant>
      <vt:variant>
        <vt:lpwstr>_Toc201146465</vt:lpwstr>
      </vt:variant>
      <vt:variant>
        <vt:i4>1441843</vt:i4>
      </vt:variant>
      <vt:variant>
        <vt:i4>2849</vt:i4>
      </vt:variant>
      <vt:variant>
        <vt:i4>0</vt:i4>
      </vt:variant>
      <vt:variant>
        <vt:i4>5</vt:i4>
      </vt:variant>
      <vt:variant>
        <vt:lpwstr/>
      </vt:variant>
      <vt:variant>
        <vt:lpwstr>_Toc201146464</vt:lpwstr>
      </vt:variant>
      <vt:variant>
        <vt:i4>1441843</vt:i4>
      </vt:variant>
      <vt:variant>
        <vt:i4>2843</vt:i4>
      </vt:variant>
      <vt:variant>
        <vt:i4>0</vt:i4>
      </vt:variant>
      <vt:variant>
        <vt:i4>5</vt:i4>
      </vt:variant>
      <vt:variant>
        <vt:lpwstr/>
      </vt:variant>
      <vt:variant>
        <vt:lpwstr>_Toc201146463</vt:lpwstr>
      </vt:variant>
      <vt:variant>
        <vt:i4>1441843</vt:i4>
      </vt:variant>
      <vt:variant>
        <vt:i4>2837</vt:i4>
      </vt:variant>
      <vt:variant>
        <vt:i4>0</vt:i4>
      </vt:variant>
      <vt:variant>
        <vt:i4>5</vt:i4>
      </vt:variant>
      <vt:variant>
        <vt:lpwstr/>
      </vt:variant>
      <vt:variant>
        <vt:lpwstr>_Toc201146462</vt:lpwstr>
      </vt:variant>
      <vt:variant>
        <vt:i4>1441843</vt:i4>
      </vt:variant>
      <vt:variant>
        <vt:i4>2831</vt:i4>
      </vt:variant>
      <vt:variant>
        <vt:i4>0</vt:i4>
      </vt:variant>
      <vt:variant>
        <vt:i4>5</vt:i4>
      </vt:variant>
      <vt:variant>
        <vt:lpwstr/>
      </vt:variant>
      <vt:variant>
        <vt:lpwstr>_Toc201146461</vt:lpwstr>
      </vt:variant>
      <vt:variant>
        <vt:i4>1441843</vt:i4>
      </vt:variant>
      <vt:variant>
        <vt:i4>2825</vt:i4>
      </vt:variant>
      <vt:variant>
        <vt:i4>0</vt:i4>
      </vt:variant>
      <vt:variant>
        <vt:i4>5</vt:i4>
      </vt:variant>
      <vt:variant>
        <vt:lpwstr/>
      </vt:variant>
      <vt:variant>
        <vt:lpwstr>_Toc201146460</vt:lpwstr>
      </vt:variant>
      <vt:variant>
        <vt:i4>1376307</vt:i4>
      </vt:variant>
      <vt:variant>
        <vt:i4>2819</vt:i4>
      </vt:variant>
      <vt:variant>
        <vt:i4>0</vt:i4>
      </vt:variant>
      <vt:variant>
        <vt:i4>5</vt:i4>
      </vt:variant>
      <vt:variant>
        <vt:lpwstr/>
      </vt:variant>
      <vt:variant>
        <vt:lpwstr>_Toc201146459</vt:lpwstr>
      </vt:variant>
      <vt:variant>
        <vt:i4>1376307</vt:i4>
      </vt:variant>
      <vt:variant>
        <vt:i4>2813</vt:i4>
      </vt:variant>
      <vt:variant>
        <vt:i4>0</vt:i4>
      </vt:variant>
      <vt:variant>
        <vt:i4>5</vt:i4>
      </vt:variant>
      <vt:variant>
        <vt:lpwstr/>
      </vt:variant>
      <vt:variant>
        <vt:lpwstr>_Toc201146458</vt:lpwstr>
      </vt:variant>
      <vt:variant>
        <vt:i4>1376307</vt:i4>
      </vt:variant>
      <vt:variant>
        <vt:i4>2807</vt:i4>
      </vt:variant>
      <vt:variant>
        <vt:i4>0</vt:i4>
      </vt:variant>
      <vt:variant>
        <vt:i4>5</vt:i4>
      </vt:variant>
      <vt:variant>
        <vt:lpwstr/>
      </vt:variant>
      <vt:variant>
        <vt:lpwstr>_Toc201146457</vt:lpwstr>
      </vt:variant>
      <vt:variant>
        <vt:i4>1376307</vt:i4>
      </vt:variant>
      <vt:variant>
        <vt:i4>2801</vt:i4>
      </vt:variant>
      <vt:variant>
        <vt:i4>0</vt:i4>
      </vt:variant>
      <vt:variant>
        <vt:i4>5</vt:i4>
      </vt:variant>
      <vt:variant>
        <vt:lpwstr/>
      </vt:variant>
      <vt:variant>
        <vt:lpwstr>_Toc201146456</vt:lpwstr>
      </vt:variant>
      <vt:variant>
        <vt:i4>1376307</vt:i4>
      </vt:variant>
      <vt:variant>
        <vt:i4>2795</vt:i4>
      </vt:variant>
      <vt:variant>
        <vt:i4>0</vt:i4>
      </vt:variant>
      <vt:variant>
        <vt:i4>5</vt:i4>
      </vt:variant>
      <vt:variant>
        <vt:lpwstr/>
      </vt:variant>
      <vt:variant>
        <vt:lpwstr>_Toc201146455</vt:lpwstr>
      </vt:variant>
      <vt:variant>
        <vt:i4>1376307</vt:i4>
      </vt:variant>
      <vt:variant>
        <vt:i4>2789</vt:i4>
      </vt:variant>
      <vt:variant>
        <vt:i4>0</vt:i4>
      </vt:variant>
      <vt:variant>
        <vt:i4>5</vt:i4>
      </vt:variant>
      <vt:variant>
        <vt:lpwstr/>
      </vt:variant>
      <vt:variant>
        <vt:lpwstr>_Toc201146454</vt:lpwstr>
      </vt:variant>
      <vt:variant>
        <vt:i4>1376307</vt:i4>
      </vt:variant>
      <vt:variant>
        <vt:i4>2783</vt:i4>
      </vt:variant>
      <vt:variant>
        <vt:i4>0</vt:i4>
      </vt:variant>
      <vt:variant>
        <vt:i4>5</vt:i4>
      </vt:variant>
      <vt:variant>
        <vt:lpwstr/>
      </vt:variant>
      <vt:variant>
        <vt:lpwstr>_Toc201146453</vt:lpwstr>
      </vt:variant>
      <vt:variant>
        <vt:i4>1376307</vt:i4>
      </vt:variant>
      <vt:variant>
        <vt:i4>2777</vt:i4>
      </vt:variant>
      <vt:variant>
        <vt:i4>0</vt:i4>
      </vt:variant>
      <vt:variant>
        <vt:i4>5</vt:i4>
      </vt:variant>
      <vt:variant>
        <vt:lpwstr/>
      </vt:variant>
      <vt:variant>
        <vt:lpwstr>_Toc201146452</vt:lpwstr>
      </vt:variant>
      <vt:variant>
        <vt:i4>1376307</vt:i4>
      </vt:variant>
      <vt:variant>
        <vt:i4>2771</vt:i4>
      </vt:variant>
      <vt:variant>
        <vt:i4>0</vt:i4>
      </vt:variant>
      <vt:variant>
        <vt:i4>5</vt:i4>
      </vt:variant>
      <vt:variant>
        <vt:lpwstr/>
      </vt:variant>
      <vt:variant>
        <vt:lpwstr>_Toc201146451</vt:lpwstr>
      </vt:variant>
      <vt:variant>
        <vt:i4>1376307</vt:i4>
      </vt:variant>
      <vt:variant>
        <vt:i4>2765</vt:i4>
      </vt:variant>
      <vt:variant>
        <vt:i4>0</vt:i4>
      </vt:variant>
      <vt:variant>
        <vt:i4>5</vt:i4>
      </vt:variant>
      <vt:variant>
        <vt:lpwstr/>
      </vt:variant>
      <vt:variant>
        <vt:lpwstr>_Toc201146450</vt:lpwstr>
      </vt:variant>
      <vt:variant>
        <vt:i4>1310771</vt:i4>
      </vt:variant>
      <vt:variant>
        <vt:i4>2759</vt:i4>
      </vt:variant>
      <vt:variant>
        <vt:i4>0</vt:i4>
      </vt:variant>
      <vt:variant>
        <vt:i4>5</vt:i4>
      </vt:variant>
      <vt:variant>
        <vt:lpwstr/>
      </vt:variant>
      <vt:variant>
        <vt:lpwstr>_Toc201146449</vt:lpwstr>
      </vt:variant>
      <vt:variant>
        <vt:i4>1310771</vt:i4>
      </vt:variant>
      <vt:variant>
        <vt:i4>2753</vt:i4>
      </vt:variant>
      <vt:variant>
        <vt:i4>0</vt:i4>
      </vt:variant>
      <vt:variant>
        <vt:i4>5</vt:i4>
      </vt:variant>
      <vt:variant>
        <vt:lpwstr/>
      </vt:variant>
      <vt:variant>
        <vt:lpwstr>_Toc201146448</vt:lpwstr>
      </vt:variant>
      <vt:variant>
        <vt:i4>1310771</vt:i4>
      </vt:variant>
      <vt:variant>
        <vt:i4>2747</vt:i4>
      </vt:variant>
      <vt:variant>
        <vt:i4>0</vt:i4>
      </vt:variant>
      <vt:variant>
        <vt:i4>5</vt:i4>
      </vt:variant>
      <vt:variant>
        <vt:lpwstr/>
      </vt:variant>
      <vt:variant>
        <vt:lpwstr>_Toc201146447</vt:lpwstr>
      </vt:variant>
      <vt:variant>
        <vt:i4>1310771</vt:i4>
      </vt:variant>
      <vt:variant>
        <vt:i4>2741</vt:i4>
      </vt:variant>
      <vt:variant>
        <vt:i4>0</vt:i4>
      </vt:variant>
      <vt:variant>
        <vt:i4>5</vt:i4>
      </vt:variant>
      <vt:variant>
        <vt:lpwstr/>
      </vt:variant>
      <vt:variant>
        <vt:lpwstr>_Toc201146446</vt:lpwstr>
      </vt:variant>
      <vt:variant>
        <vt:i4>1310771</vt:i4>
      </vt:variant>
      <vt:variant>
        <vt:i4>2735</vt:i4>
      </vt:variant>
      <vt:variant>
        <vt:i4>0</vt:i4>
      </vt:variant>
      <vt:variant>
        <vt:i4>5</vt:i4>
      </vt:variant>
      <vt:variant>
        <vt:lpwstr/>
      </vt:variant>
      <vt:variant>
        <vt:lpwstr>_Toc201146445</vt:lpwstr>
      </vt:variant>
      <vt:variant>
        <vt:i4>1310771</vt:i4>
      </vt:variant>
      <vt:variant>
        <vt:i4>2729</vt:i4>
      </vt:variant>
      <vt:variant>
        <vt:i4>0</vt:i4>
      </vt:variant>
      <vt:variant>
        <vt:i4>5</vt:i4>
      </vt:variant>
      <vt:variant>
        <vt:lpwstr/>
      </vt:variant>
      <vt:variant>
        <vt:lpwstr>_Toc201146444</vt:lpwstr>
      </vt:variant>
      <vt:variant>
        <vt:i4>1310771</vt:i4>
      </vt:variant>
      <vt:variant>
        <vt:i4>2723</vt:i4>
      </vt:variant>
      <vt:variant>
        <vt:i4>0</vt:i4>
      </vt:variant>
      <vt:variant>
        <vt:i4>5</vt:i4>
      </vt:variant>
      <vt:variant>
        <vt:lpwstr/>
      </vt:variant>
      <vt:variant>
        <vt:lpwstr>_Toc201146443</vt:lpwstr>
      </vt:variant>
      <vt:variant>
        <vt:i4>1310771</vt:i4>
      </vt:variant>
      <vt:variant>
        <vt:i4>2717</vt:i4>
      </vt:variant>
      <vt:variant>
        <vt:i4>0</vt:i4>
      </vt:variant>
      <vt:variant>
        <vt:i4>5</vt:i4>
      </vt:variant>
      <vt:variant>
        <vt:lpwstr/>
      </vt:variant>
      <vt:variant>
        <vt:lpwstr>_Toc201146442</vt:lpwstr>
      </vt:variant>
      <vt:variant>
        <vt:i4>1310771</vt:i4>
      </vt:variant>
      <vt:variant>
        <vt:i4>2711</vt:i4>
      </vt:variant>
      <vt:variant>
        <vt:i4>0</vt:i4>
      </vt:variant>
      <vt:variant>
        <vt:i4>5</vt:i4>
      </vt:variant>
      <vt:variant>
        <vt:lpwstr/>
      </vt:variant>
      <vt:variant>
        <vt:lpwstr>_Toc201146441</vt:lpwstr>
      </vt:variant>
      <vt:variant>
        <vt:i4>1310771</vt:i4>
      </vt:variant>
      <vt:variant>
        <vt:i4>2705</vt:i4>
      </vt:variant>
      <vt:variant>
        <vt:i4>0</vt:i4>
      </vt:variant>
      <vt:variant>
        <vt:i4>5</vt:i4>
      </vt:variant>
      <vt:variant>
        <vt:lpwstr/>
      </vt:variant>
      <vt:variant>
        <vt:lpwstr>_Toc201146440</vt:lpwstr>
      </vt:variant>
      <vt:variant>
        <vt:i4>1245235</vt:i4>
      </vt:variant>
      <vt:variant>
        <vt:i4>2699</vt:i4>
      </vt:variant>
      <vt:variant>
        <vt:i4>0</vt:i4>
      </vt:variant>
      <vt:variant>
        <vt:i4>5</vt:i4>
      </vt:variant>
      <vt:variant>
        <vt:lpwstr/>
      </vt:variant>
      <vt:variant>
        <vt:lpwstr>_Toc201146439</vt:lpwstr>
      </vt:variant>
      <vt:variant>
        <vt:i4>1245235</vt:i4>
      </vt:variant>
      <vt:variant>
        <vt:i4>2693</vt:i4>
      </vt:variant>
      <vt:variant>
        <vt:i4>0</vt:i4>
      </vt:variant>
      <vt:variant>
        <vt:i4>5</vt:i4>
      </vt:variant>
      <vt:variant>
        <vt:lpwstr/>
      </vt:variant>
      <vt:variant>
        <vt:lpwstr>_Toc201146438</vt:lpwstr>
      </vt:variant>
      <vt:variant>
        <vt:i4>1245235</vt:i4>
      </vt:variant>
      <vt:variant>
        <vt:i4>2687</vt:i4>
      </vt:variant>
      <vt:variant>
        <vt:i4>0</vt:i4>
      </vt:variant>
      <vt:variant>
        <vt:i4>5</vt:i4>
      </vt:variant>
      <vt:variant>
        <vt:lpwstr/>
      </vt:variant>
      <vt:variant>
        <vt:lpwstr>_Toc201146437</vt:lpwstr>
      </vt:variant>
      <vt:variant>
        <vt:i4>1245235</vt:i4>
      </vt:variant>
      <vt:variant>
        <vt:i4>2681</vt:i4>
      </vt:variant>
      <vt:variant>
        <vt:i4>0</vt:i4>
      </vt:variant>
      <vt:variant>
        <vt:i4>5</vt:i4>
      </vt:variant>
      <vt:variant>
        <vt:lpwstr/>
      </vt:variant>
      <vt:variant>
        <vt:lpwstr>_Toc201146436</vt:lpwstr>
      </vt:variant>
      <vt:variant>
        <vt:i4>1245235</vt:i4>
      </vt:variant>
      <vt:variant>
        <vt:i4>2675</vt:i4>
      </vt:variant>
      <vt:variant>
        <vt:i4>0</vt:i4>
      </vt:variant>
      <vt:variant>
        <vt:i4>5</vt:i4>
      </vt:variant>
      <vt:variant>
        <vt:lpwstr/>
      </vt:variant>
      <vt:variant>
        <vt:lpwstr>_Toc201146435</vt:lpwstr>
      </vt:variant>
      <vt:variant>
        <vt:i4>1245235</vt:i4>
      </vt:variant>
      <vt:variant>
        <vt:i4>2669</vt:i4>
      </vt:variant>
      <vt:variant>
        <vt:i4>0</vt:i4>
      </vt:variant>
      <vt:variant>
        <vt:i4>5</vt:i4>
      </vt:variant>
      <vt:variant>
        <vt:lpwstr/>
      </vt:variant>
      <vt:variant>
        <vt:lpwstr>_Toc201146434</vt:lpwstr>
      </vt:variant>
      <vt:variant>
        <vt:i4>1245235</vt:i4>
      </vt:variant>
      <vt:variant>
        <vt:i4>2663</vt:i4>
      </vt:variant>
      <vt:variant>
        <vt:i4>0</vt:i4>
      </vt:variant>
      <vt:variant>
        <vt:i4>5</vt:i4>
      </vt:variant>
      <vt:variant>
        <vt:lpwstr/>
      </vt:variant>
      <vt:variant>
        <vt:lpwstr>_Toc201146433</vt:lpwstr>
      </vt:variant>
      <vt:variant>
        <vt:i4>1245235</vt:i4>
      </vt:variant>
      <vt:variant>
        <vt:i4>2657</vt:i4>
      </vt:variant>
      <vt:variant>
        <vt:i4>0</vt:i4>
      </vt:variant>
      <vt:variant>
        <vt:i4>5</vt:i4>
      </vt:variant>
      <vt:variant>
        <vt:lpwstr/>
      </vt:variant>
      <vt:variant>
        <vt:lpwstr>_Toc201146432</vt:lpwstr>
      </vt:variant>
      <vt:variant>
        <vt:i4>1245235</vt:i4>
      </vt:variant>
      <vt:variant>
        <vt:i4>2651</vt:i4>
      </vt:variant>
      <vt:variant>
        <vt:i4>0</vt:i4>
      </vt:variant>
      <vt:variant>
        <vt:i4>5</vt:i4>
      </vt:variant>
      <vt:variant>
        <vt:lpwstr/>
      </vt:variant>
      <vt:variant>
        <vt:lpwstr>_Toc201146431</vt:lpwstr>
      </vt:variant>
      <vt:variant>
        <vt:i4>1245235</vt:i4>
      </vt:variant>
      <vt:variant>
        <vt:i4>2645</vt:i4>
      </vt:variant>
      <vt:variant>
        <vt:i4>0</vt:i4>
      </vt:variant>
      <vt:variant>
        <vt:i4>5</vt:i4>
      </vt:variant>
      <vt:variant>
        <vt:lpwstr/>
      </vt:variant>
      <vt:variant>
        <vt:lpwstr>_Toc201146430</vt:lpwstr>
      </vt:variant>
      <vt:variant>
        <vt:i4>1179699</vt:i4>
      </vt:variant>
      <vt:variant>
        <vt:i4>2639</vt:i4>
      </vt:variant>
      <vt:variant>
        <vt:i4>0</vt:i4>
      </vt:variant>
      <vt:variant>
        <vt:i4>5</vt:i4>
      </vt:variant>
      <vt:variant>
        <vt:lpwstr/>
      </vt:variant>
      <vt:variant>
        <vt:lpwstr>_Toc201146429</vt:lpwstr>
      </vt:variant>
      <vt:variant>
        <vt:i4>1179699</vt:i4>
      </vt:variant>
      <vt:variant>
        <vt:i4>2633</vt:i4>
      </vt:variant>
      <vt:variant>
        <vt:i4>0</vt:i4>
      </vt:variant>
      <vt:variant>
        <vt:i4>5</vt:i4>
      </vt:variant>
      <vt:variant>
        <vt:lpwstr/>
      </vt:variant>
      <vt:variant>
        <vt:lpwstr>_Toc201146428</vt:lpwstr>
      </vt:variant>
      <vt:variant>
        <vt:i4>1179699</vt:i4>
      </vt:variant>
      <vt:variant>
        <vt:i4>2627</vt:i4>
      </vt:variant>
      <vt:variant>
        <vt:i4>0</vt:i4>
      </vt:variant>
      <vt:variant>
        <vt:i4>5</vt:i4>
      </vt:variant>
      <vt:variant>
        <vt:lpwstr/>
      </vt:variant>
      <vt:variant>
        <vt:lpwstr>_Toc201146427</vt:lpwstr>
      </vt:variant>
      <vt:variant>
        <vt:i4>1179699</vt:i4>
      </vt:variant>
      <vt:variant>
        <vt:i4>2621</vt:i4>
      </vt:variant>
      <vt:variant>
        <vt:i4>0</vt:i4>
      </vt:variant>
      <vt:variant>
        <vt:i4>5</vt:i4>
      </vt:variant>
      <vt:variant>
        <vt:lpwstr/>
      </vt:variant>
      <vt:variant>
        <vt:lpwstr>_Toc201146426</vt:lpwstr>
      </vt:variant>
      <vt:variant>
        <vt:i4>1179699</vt:i4>
      </vt:variant>
      <vt:variant>
        <vt:i4>2615</vt:i4>
      </vt:variant>
      <vt:variant>
        <vt:i4>0</vt:i4>
      </vt:variant>
      <vt:variant>
        <vt:i4>5</vt:i4>
      </vt:variant>
      <vt:variant>
        <vt:lpwstr/>
      </vt:variant>
      <vt:variant>
        <vt:lpwstr>_Toc201146425</vt:lpwstr>
      </vt:variant>
      <vt:variant>
        <vt:i4>1179699</vt:i4>
      </vt:variant>
      <vt:variant>
        <vt:i4>2609</vt:i4>
      </vt:variant>
      <vt:variant>
        <vt:i4>0</vt:i4>
      </vt:variant>
      <vt:variant>
        <vt:i4>5</vt:i4>
      </vt:variant>
      <vt:variant>
        <vt:lpwstr/>
      </vt:variant>
      <vt:variant>
        <vt:lpwstr>_Toc201146424</vt:lpwstr>
      </vt:variant>
      <vt:variant>
        <vt:i4>1179699</vt:i4>
      </vt:variant>
      <vt:variant>
        <vt:i4>2603</vt:i4>
      </vt:variant>
      <vt:variant>
        <vt:i4>0</vt:i4>
      </vt:variant>
      <vt:variant>
        <vt:i4>5</vt:i4>
      </vt:variant>
      <vt:variant>
        <vt:lpwstr/>
      </vt:variant>
      <vt:variant>
        <vt:lpwstr>_Toc201146423</vt:lpwstr>
      </vt:variant>
      <vt:variant>
        <vt:i4>1179699</vt:i4>
      </vt:variant>
      <vt:variant>
        <vt:i4>2597</vt:i4>
      </vt:variant>
      <vt:variant>
        <vt:i4>0</vt:i4>
      </vt:variant>
      <vt:variant>
        <vt:i4>5</vt:i4>
      </vt:variant>
      <vt:variant>
        <vt:lpwstr/>
      </vt:variant>
      <vt:variant>
        <vt:lpwstr>_Toc201146422</vt:lpwstr>
      </vt:variant>
      <vt:variant>
        <vt:i4>1179699</vt:i4>
      </vt:variant>
      <vt:variant>
        <vt:i4>2591</vt:i4>
      </vt:variant>
      <vt:variant>
        <vt:i4>0</vt:i4>
      </vt:variant>
      <vt:variant>
        <vt:i4>5</vt:i4>
      </vt:variant>
      <vt:variant>
        <vt:lpwstr/>
      </vt:variant>
      <vt:variant>
        <vt:lpwstr>_Toc201146421</vt:lpwstr>
      </vt:variant>
      <vt:variant>
        <vt:i4>1179699</vt:i4>
      </vt:variant>
      <vt:variant>
        <vt:i4>2585</vt:i4>
      </vt:variant>
      <vt:variant>
        <vt:i4>0</vt:i4>
      </vt:variant>
      <vt:variant>
        <vt:i4>5</vt:i4>
      </vt:variant>
      <vt:variant>
        <vt:lpwstr/>
      </vt:variant>
      <vt:variant>
        <vt:lpwstr>_Toc201146420</vt:lpwstr>
      </vt:variant>
      <vt:variant>
        <vt:i4>1114163</vt:i4>
      </vt:variant>
      <vt:variant>
        <vt:i4>2579</vt:i4>
      </vt:variant>
      <vt:variant>
        <vt:i4>0</vt:i4>
      </vt:variant>
      <vt:variant>
        <vt:i4>5</vt:i4>
      </vt:variant>
      <vt:variant>
        <vt:lpwstr/>
      </vt:variant>
      <vt:variant>
        <vt:lpwstr>_Toc201146419</vt:lpwstr>
      </vt:variant>
      <vt:variant>
        <vt:i4>1114163</vt:i4>
      </vt:variant>
      <vt:variant>
        <vt:i4>2573</vt:i4>
      </vt:variant>
      <vt:variant>
        <vt:i4>0</vt:i4>
      </vt:variant>
      <vt:variant>
        <vt:i4>5</vt:i4>
      </vt:variant>
      <vt:variant>
        <vt:lpwstr/>
      </vt:variant>
      <vt:variant>
        <vt:lpwstr>_Toc201146418</vt:lpwstr>
      </vt:variant>
      <vt:variant>
        <vt:i4>1114163</vt:i4>
      </vt:variant>
      <vt:variant>
        <vt:i4>2567</vt:i4>
      </vt:variant>
      <vt:variant>
        <vt:i4>0</vt:i4>
      </vt:variant>
      <vt:variant>
        <vt:i4>5</vt:i4>
      </vt:variant>
      <vt:variant>
        <vt:lpwstr/>
      </vt:variant>
      <vt:variant>
        <vt:lpwstr>_Toc201146417</vt:lpwstr>
      </vt:variant>
      <vt:variant>
        <vt:i4>1114163</vt:i4>
      </vt:variant>
      <vt:variant>
        <vt:i4>2561</vt:i4>
      </vt:variant>
      <vt:variant>
        <vt:i4>0</vt:i4>
      </vt:variant>
      <vt:variant>
        <vt:i4>5</vt:i4>
      </vt:variant>
      <vt:variant>
        <vt:lpwstr/>
      </vt:variant>
      <vt:variant>
        <vt:lpwstr>_Toc201146416</vt:lpwstr>
      </vt:variant>
      <vt:variant>
        <vt:i4>1114163</vt:i4>
      </vt:variant>
      <vt:variant>
        <vt:i4>2555</vt:i4>
      </vt:variant>
      <vt:variant>
        <vt:i4>0</vt:i4>
      </vt:variant>
      <vt:variant>
        <vt:i4>5</vt:i4>
      </vt:variant>
      <vt:variant>
        <vt:lpwstr/>
      </vt:variant>
      <vt:variant>
        <vt:lpwstr>_Toc201146415</vt:lpwstr>
      </vt:variant>
      <vt:variant>
        <vt:i4>1114163</vt:i4>
      </vt:variant>
      <vt:variant>
        <vt:i4>2549</vt:i4>
      </vt:variant>
      <vt:variant>
        <vt:i4>0</vt:i4>
      </vt:variant>
      <vt:variant>
        <vt:i4>5</vt:i4>
      </vt:variant>
      <vt:variant>
        <vt:lpwstr/>
      </vt:variant>
      <vt:variant>
        <vt:lpwstr>_Toc201146414</vt:lpwstr>
      </vt:variant>
      <vt:variant>
        <vt:i4>1114163</vt:i4>
      </vt:variant>
      <vt:variant>
        <vt:i4>2543</vt:i4>
      </vt:variant>
      <vt:variant>
        <vt:i4>0</vt:i4>
      </vt:variant>
      <vt:variant>
        <vt:i4>5</vt:i4>
      </vt:variant>
      <vt:variant>
        <vt:lpwstr/>
      </vt:variant>
      <vt:variant>
        <vt:lpwstr>_Toc201146413</vt:lpwstr>
      </vt:variant>
      <vt:variant>
        <vt:i4>1114163</vt:i4>
      </vt:variant>
      <vt:variant>
        <vt:i4>2537</vt:i4>
      </vt:variant>
      <vt:variant>
        <vt:i4>0</vt:i4>
      </vt:variant>
      <vt:variant>
        <vt:i4>5</vt:i4>
      </vt:variant>
      <vt:variant>
        <vt:lpwstr/>
      </vt:variant>
      <vt:variant>
        <vt:lpwstr>_Toc201146412</vt:lpwstr>
      </vt:variant>
      <vt:variant>
        <vt:i4>1114163</vt:i4>
      </vt:variant>
      <vt:variant>
        <vt:i4>2531</vt:i4>
      </vt:variant>
      <vt:variant>
        <vt:i4>0</vt:i4>
      </vt:variant>
      <vt:variant>
        <vt:i4>5</vt:i4>
      </vt:variant>
      <vt:variant>
        <vt:lpwstr/>
      </vt:variant>
      <vt:variant>
        <vt:lpwstr>_Toc201146411</vt:lpwstr>
      </vt:variant>
      <vt:variant>
        <vt:i4>1114163</vt:i4>
      </vt:variant>
      <vt:variant>
        <vt:i4>2528</vt:i4>
      </vt:variant>
      <vt:variant>
        <vt:i4>0</vt:i4>
      </vt:variant>
      <vt:variant>
        <vt:i4>5</vt:i4>
      </vt:variant>
      <vt:variant>
        <vt:lpwstr/>
      </vt:variant>
      <vt:variant>
        <vt:lpwstr>_Toc201146410</vt:lpwstr>
      </vt:variant>
      <vt:variant>
        <vt:i4>1048627</vt:i4>
      </vt:variant>
      <vt:variant>
        <vt:i4>2522</vt:i4>
      </vt:variant>
      <vt:variant>
        <vt:i4>0</vt:i4>
      </vt:variant>
      <vt:variant>
        <vt:i4>5</vt:i4>
      </vt:variant>
      <vt:variant>
        <vt:lpwstr/>
      </vt:variant>
      <vt:variant>
        <vt:lpwstr>_Toc201146409</vt:lpwstr>
      </vt:variant>
      <vt:variant>
        <vt:i4>1048627</vt:i4>
      </vt:variant>
      <vt:variant>
        <vt:i4>2516</vt:i4>
      </vt:variant>
      <vt:variant>
        <vt:i4>0</vt:i4>
      </vt:variant>
      <vt:variant>
        <vt:i4>5</vt:i4>
      </vt:variant>
      <vt:variant>
        <vt:lpwstr/>
      </vt:variant>
      <vt:variant>
        <vt:lpwstr>_Toc201146408</vt:lpwstr>
      </vt:variant>
      <vt:variant>
        <vt:i4>1048627</vt:i4>
      </vt:variant>
      <vt:variant>
        <vt:i4>2510</vt:i4>
      </vt:variant>
      <vt:variant>
        <vt:i4>0</vt:i4>
      </vt:variant>
      <vt:variant>
        <vt:i4>5</vt:i4>
      </vt:variant>
      <vt:variant>
        <vt:lpwstr/>
      </vt:variant>
      <vt:variant>
        <vt:lpwstr>_Toc201146407</vt:lpwstr>
      </vt:variant>
      <vt:variant>
        <vt:i4>1048627</vt:i4>
      </vt:variant>
      <vt:variant>
        <vt:i4>2504</vt:i4>
      </vt:variant>
      <vt:variant>
        <vt:i4>0</vt:i4>
      </vt:variant>
      <vt:variant>
        <vt:i4>5</vt:i4>
      </vt:variant>
      <vt:variant>
        <vt:lpwstr/>
      </vt:variant>
      <vt:variant>
        <vt:lpwstr>_Toc201146406</vt:lpwstr>
      </vt:variant>
      <vt:variant>
        <vt:i4>1048627</vt:i4>
      </vt:variant>
      <vt:variant>
        <vt:i4>2498</vt:i4>
      </vt:variant>
      <vt:variant>
        <vt:i4>0</vt:i4>
      </vt:variant>
      <vt:variant>
        <vt:i4>5</vt:i4>
      </vt:variant>
      <vt:variant>
        <vt:lpwstr/>
      </vt:variant>
      <vt:variant>
        <vt:lpwstr>_Toc201146405</vt:lpwstr>
      </vt:variant>
      <vt:variant>
        <vt:i4>1048627</vt:i4>
      </vt:variant>
      <vt:variant>
        <vt:i4>2492</vt:i4>
      </vt:variant>
      <vt:variant>
        <vt:i4>0</vt:i4>
      </vt:variant>
      <vt:variant>
        <vt:i4>5</vt:i4>
      </vt:variant>
      <vt:variant>
        <vt:lpwstr/>
      </vt:variant>
      <vt:variant>
        <vt:lpwstr>_Toc201146404</vt:lpwstr>
      </vt:variant>
      <vt:variant>
        <vt:i4>1048627</vt:i4>
      </vt:variant>
      <vt:variant>
        <vt:i4>2486</vt:i4>
      </vt:variant>
      <vt:variant>
        <vt:i4>0</vt:i4>
      </vt:variant>
      <vt:variant>
        <vt:i4>5</vt:i4>
      </vt:variant>
      <vt:variant>
        <vt:lpwstr/>
      </vt:variant>
      <vt:variant>
        <vt:lpwstr>_Toc201146403</vt:lpwstr>
      </vt:variant>
      <vt:variant>
        <vt:i4>1048627</vt:i4>
      </vt:variant>
      <vt:variant>
        <vt:i4>2480</vt:i4>
      </vt:variant>
      <vt:variant>
        <vt:i4>0</vt:i4>
      </vt:variant>
      <vt:variant>
        <vt:i4>5</vt:i4>
      </vt:variant>
      <vt:variant>
        <vt:lpwstr/>
      </vt:variant>
      <vt:variant>
        <vt:lpwstr>_Toc201146402</vt:lpwstr>
      </vt:variant>
      <vt:variant>
        <vt:i4>1048627</vt:i4>
      </vt:variant>
      <vt:variant>
        <vt:i4>2474</vt:i4>
      </vt:variant>
      <vt:variant>
        <vt:i4>0</vt:i4>
      </vt:variant>
      <vt:variant>
        <vt:i4>5</vt:i4>
      </vt:variant>
      <vt:variant>
        <vt:lpwstr/>
      </vt:variant>
      <vt:variant>
        <vt:lpwstr>_Toc201146401</vt:lpwstr>
      </vt:variant>
      <vt:variant>
        <vt:i4>1048627</vt:i4>
      </vt:variant>
      <vt:variant>
        <vt:i4>2468</vt:i4>
      </vt:variant>
      <vt:variant>
        <vt:i4>0</vt:i4>
      </vt:variant>
      <vt:variant>
        <vt:i4>5</vt:i4>
      </vt:variant>
      <vt:variant>
        <vt:lpwstr/>
      </vt:variant>
      <vt:variant>
        <vt:lpwstr>_Toc201146400</vt:lpwstr>
      </vt:variant>
      <vt:variant>
        <vt:i4>1638452</vt:i4>
      </vt:variant>
      <vt:variant>
        <vt:i4>2462</vt:i4>
      </vt:variant>
      <vt:variant>
        <vt:i4>0</vt:i4>
      </vt:variant>
      <vt:variant>
        <vt:i4>5</vt:i4>
      </vt:variant>
      <vt:variant>
        <vt:lpwstr/>
      </vt:variant>
      <vt:variant>
        <vt:lpwstr>_Toc201146399</vt:lpwstr>
      </vt:variant>
      <vt:variant>
        <vt:i4>1638452</vt:i4>
      </vt:variant>
      <vt:variant>
        <vt:i4>2456</vt:i4>
      </vt:variant>
      <vt:variant>
        <vt:i4>0</vt:i4>
      </vt:variant>
      <vt:variant>
        <vt:i4>5</vt:i4>
      </vt:variant>
      <vt:variant>
        <vt:lpwstr/>
      </vt:variant>
      <vt:variant>
        <vt:lpwstr>_Toc201146398</vt:lpwstr>
      </vt:variant>
      <vt:variant>
        <vt:i4>1638452</vt:i4>
      </vt:variant>
      <vt:variant>
        <vt:i4>2450</vt:i4>
      </vt:variant>
      <vt:variant>
        <vt:i4>0</vt:i4>
      </vt:variant>
      <vt:variant>
        <vt:i4>5</vt:i4>
      </vt:variant>
      <vt:variant>
        <vt:lpwstr/>
      </vt:variant>
      <vt:variant>
        <vt:lpwstr>_Toc201146397</vt:lpwstr>
      </vt:variant>
      <vt:variant>
        <vt:i4>1638452</vt:i4>
      </vt:variant>
      <vt:variant>
        <vt:i4>2444</vt:i4>
      </vt:variant>
      <vt:variant>
        <vt:i4>0</vt:i4>
      </vt:variant>
      <vt:variant>
        <vt:i4>5</vt:i4>
      </vt:variant>
      <vt:variant>
        <vt:lpwstr/>
      </vt:variant>
      <vt:variant>
        <vt:lpwstr>_Toc201146396</vt:lpwstr>
      </vt:variant>
      <vt:variant>
        <vt:i4>1638452</vt:i4>
      </vt:variant>
      <vt:variant>
        <vt:i4>2438</vt:i4>
      </vt:variant>
      <vt:variant>
        <vt:i4>0</vt:i4>
      </vt:variant>
      <vt:variant>
        <vt:i4>5</vt:i4>
      </vt:variant>
      <vt:variant>
        <vt:lpwstr/>
      </vt:variant>
      <vt:variant>
        <vt:lpwstr>_Toc201146395</vt:lpwstr>
      </vt:variant>
      <vt:variant>
        <vt:i4>1638452</vt:i4>
      </vt:variant>
      <vt:variant>
        <vt:i4>2432</vt:i4>
      </vt:variant>
      <vt:variant>
        <vt:i4>0</vt:i4>
      </vt:variant>
      <vt:variant>
        <vt:i4>5</vt:i4>
      </vt:variant>
      <vt:variant>
        <vt:lpwstr/>
      </vt:variant>
      <vt:variant>
        <vt:lpwstr>_Toc201146394</vt:lpwstr>
      </vt:variant>
      <vt:variant>
        <vt:i4>1638452</vt:i4>
      </vt:variant>
      <vt:variant>
        <vt:i4>2426</vt:i4>
      </vt:variant>
      <vt:variant>
        <vt:i4>0</vt:i4>
      </vt:variant>
      <vt:variant>
        <vt:i4>5</vt:i4>
      </vt:variant>
      <vt:variant>
        <vt:lpwstr/>
      </vt:variant>
      <vt:variant>
        <vt:lpwstr>_Toc201146393</vt:lpwstr>
      </vt:variant>
      <vt:variant>
        <vt:i4>1638452</vt:i4>
      </vt:variant>
      <vt:variant>
        <vt:i4>2420</vt:i4>
      </vt:variant>
      <vt:variant>
        <vt:i4>0</vt:i4>
      </vt:variant>
      <vt:variant>
        <vt:i4>5</vt:i4>
      </vt:variant>
      <vt:variant>
        <vt:lpwstr/>
      </vt:variant>
      <vt:variant>
        <vt:lpwstr>_Toc201146392</vt:lpwstr>
      </vt:variant>
      <vt:variant>
        <vt:i4>1638452</vt:i4>
      </vt:variant>
      <vt:variant>
        <vt:i4>2414</vt:i4>
      </vt:variant>
      <vt:variant>
        <vt:i4>0</vt:i4>
      </vt:variant>
      <vt:variant>
        <vt:i4>5</vt:i4>
      </vt:variant>
      <vt:variant>
        <vt:lpwstr/>
      </vt:variant>
      <vt:variant>
        <vt:lpwstr>_Toc201146391</vt:lpwstr>
      </vt:variant>
      <vt:variant>
        <vt:i4>1638452</vt:i4>
      </vt:variant>
      <vt:variant>
        <vt:i4>2408</vt:i4>
      </vt:variant>
      <vt:variant>
        <vt:i4>0</vt:i4>
      </vt:variant>
      <vt:variant>
        <vt:i4>5</vt:i4>
      </vt:variant>
      <vt:variant>
        <vt:lpwstr/>
      </vt:variant>
      <vt:variant>
        <vt:lpwstr>_Toc201146390</vt:lpwstr>
      </vt:variant>
      <vt:variant>
        <vt:i4>1572916</vt:i4>
      </vt:variant>
      <vt:variant>
        <vt:i4>2402</vt:i4>
      </vt:variant>
      <vt:variant>
        <vt:i4>0</vt:i4>
      </vt:variant>
      <vt:variant>
        <vt:i4>5</vt:i4>
      </vt:variant>
      <vt:variant>
        <vt:lpwstr/>
      </vt:variant>
      <vt:variant>
        <vt:lpwstr>_Toc201146389</vt:lpwstr>
      </vt:variant>
      <vt:variant>
        <vt:i4>1572916</vt:i4>
      </vt:variant>
      <vt:variant>
        <vt:i4>2396</vt:i4>
      </vt:variant>
      <vt:variant>
        <vt:i4>0</vt:i4>
      </vt:variant>
      <vt:variant>
        <vt:i4>5</vt:i4>
      </vt:variant>
      <vt:variant>
        <vt:lpwstr/>
      </vt:variant>
      <vt:variant>
        <vt:lpwstr>_Toc201146388</vt:lpwstr>
      </vt:variant>
      <vt:variant>
        <vt:i4>1572916</vt:i4>
      </vt:variant>
      <vt:variant>
        <vt:i4>2390</vt:i4>
      </vt:variant>
      <vt:variant>
        <vt:i4>0</vt:i4>
      </vt:variant>
      <vt:variant>
        <vt:i4>5</vt:i4>
      </vt:variant>
      <vt:variant>
        <vt:lpwstr/>
      </vt:variant>
      <vt:variant>
        <vt:lpwstr>_Toc201146387</vt:lpwstr>
      </vt:variant>
      <vt:variant>
        <vt:i4>1572916</vt:i4>
      </vt:variant>
      <vt:variant>
        <vt:i4>2384</vt:i4>
      </vt:variant>
      <vt:variant>
        <vt:i4>0</vt:i4>
      </vt:variant>
      <vt:variant>
        <vt:i4>5</vt:i4>
      </vt:variant>
      <vt:variant>
        <vt:lpwstr/>
      </vt:variant>
      <vt:variant>
        <vt:lpwstr>_Toc201146386</vt:lpwstr>
      </vt:variant>
      <vt:variant>
        <vt:i4>1572916</vt:i4>
      </vt:variant>
      <vt:variant>
        <vt:i4>2378</vt:i4>
      </vt:variant>
      <vt:variant>
        <vt:i4>0</vt:i4>
      </vt:variant>
      <vt:variant>
        <vt:i4>5</vt:i4>
      </vt:variant>
      <vt:variant>
        <vt:lpwstr/>
      </vt:variant>
      <vt:variant>
        <vt:lpwstr>_Toc201146385</vt:lpwstr>
      </vt:variant>
      <vt:variant>
        <vt:i4>1572916</vt:i4>
      </vt:variant>
      <vt:variant>
        <vt:i4>2372</vt:i4>
      </vt:variant>
      <vt:variant>
        <vt:i4>0</vt:i4>
      </vt:variant>
      <vt:variant>
        <vt:i4>5</vt:i4>
      </vt:variant>
      <vt:variant>
        <vt:lpwstr/>
      </vt:variant>
      <vt:variant>
        <vt:lpwstr>_Toc201146384</vt:lpwstr>
      </vt:variant>
      <vt:variant>
        <vt:i4>1572916</vt:i4>
      </vt:variant>
      <vt:variant>
        <vt:i4>2366</vt:i4>
      </vt:variant>
      <vt:variant>
        <vt:i4>0</vt:i4>
      </vt:variant>
      <vt:variant>
        <vt:i4>5</vt:i4>
      </vt:variant>
      <vt:variant>
        <vt:lpwstr/>
      </vt:variant>
      <vt:variant>
        <vt:lpwstr>_Toc201146383</vt:lpwstr>
      </vt:variant>
      <vt:variant>
        <vt:i4>1572916</vt:i4>
      </vt:variant>
      <vt:variant>
        <vt:i4>2360</vt:i4>
      </vt:variant>
      <vt:variant>
        <vt:i4>0</vt:i4>
      </vt:variant>
      <vt:variant>
        <vt:i4>5</vt:i4>
      </vt:variant>
      <vt:variant>
        <vt:lpwstr/>
      </vt:variant>
      <vt:variant>
        <vt:lpwstr>_Toc201146382</vt:lpwstr>
      </vt:variant>
      <vt:variant>
        <vt:i4>1572916</vt:i4>
      </vt:variant>
      <vt:variant>
        <vt:i4>2354</vt:i4>
      </vt:variant>
      <vt:variant>
        <vt:i4>0</vt:i4>
      </vt:variant>
      <vt:variant>
        <vt:i4>5</vt:i4>
      </vt:variant>
      <vt:variant>
        <vt:lpwstr/>
      </vt:variant>
      <vt:variant>
        <vt:lpwstr>_Toc201146381</vt:lpwstr>
      </vt:variant>
      <vt:variant>
        <vt:i4>1572916</vt:i4>
      </vt:variant>
      <vt:variant>
        <vt:i4>2348</vt:i4>
      </vt:variant>
      <vt:variant>
        <vt:i4>0</vt:i4>
      </vt:variant>
      <vt:variant>
        <vt:i4>5</vt:i4>
      </vt:variant>
      <vt:variant>
        <vt:lpwstr/>
      </vt:variant>
      <vt:variant>
        <vt:lpwstr>_Toc201146380</vt:lpwstr>
      </vt:variant>
      <vt:variant>
        <vt:i4>1507380</vt:i4>
      </vt:variant>
      <vt:variant>
        <vt:i4>2342</vt:i4>
      </vt:variant>
      <vt:variant>
        <vt:i4>0</vt:i4>
      </vt:variant>
      <vt:variant>
        <vt:i4>5</vt:i4>
      </vt:variant>
      <vt:variant>
        <vt:lpwstr/>
      </vt:variant>
      <vt:variant>
        <vt:lpwstr>_Toc201146379</vt:lpwstr>
      </vt:variant>
      <vt:variant>
        <vt:i4>1507380</vt:i4>
      </vt:variant>
      <vt:variant>
        <vt:i4>2336</vt:i4>
      </vt:variant>
      <vt:variant>
        <vt:i4>0</vt:i4>
      </vt:variant>
      <vt:variant>
        <vt:i4>5</vt:i4>
      </vt:variant>
      <vt:variant>
        <vt:lpwstr/>
      </vt:variant>
      <vt:variant>
        <vt:lpwstr>_Toc201146378</vt:lpwstr>
      </vt:variant>
      <vt:variant>
        <vt:i4>1507380</vt:i4>
      </vt:variant>
      <vt:variant>
        <vt:i4>2330</vt:i4>
      </vt:variant>
      <vt:variant>
        <vt:i4>0</vt:i4>
      </vt:variant>
      <vt:variant>
        <vt:i4>5</vt:i4>
      </vt:variant>
      <vt:variant>
        <vt:lpwstr/>
      </vt:variant>
      <vt:variant>
        <vt:lpwstr>_Toc201146377</vt:lpwstr>
      </vt:variant>
      <vt:variant>
        <vt:i4>1507380</vt:i4>
      </vt:variant>
      <vt:variant>
        <vt:i4>2324</vt:i4>
      </vt:variant>
      <vt:variant>
        <vt:i4>0</vt:i4>
      </vt:variant>
      <vt:variant>
        <vt:i4>5</vt:i4>
      </vt:variant>
      <vt:variant>
        <vt:lpwstr/>
      </vt:variant>
      <vt:variant>
        <vt:lpwstr>_Toc201146376</vt:lpwstr>
      </vt:variant>
      <vt:variant>
        <vt:i4>1507380</vt:i4>
      </vt:variant>
      <vt:variant>
        <vt:i4>2318</vt:i4>
      </vt:variant>
      <vt:variant>
        <vt:i4>0</vt:i4>
      </vt:variant>
      <vt:variant>
        <vt:i4>5</vt:i4>
      </vt:variant>
      <vt:variant>
        <vt:lpwstr/>
      </vt:variant>
      <vt:variant>
        <vt:lpwstr>_Toc201146375</vt:lpwstr>
      </vt:variant>
      <vt:variant>
        <vt:i4>1507380</vt:i4>
      </vt:variant>
      <vt:variant>
        <vt:i4>2312</vt:i4>
      </vt:variant>
      <vt:variant>
        <vt:i4>0</vt:i4>
      </vt:variant>
      <vt:variant>
        <vt:i4>5</vt:i4>
      </vt:variant>
      <vt:variant>
        <vt:lpwstr/>
      </vt:variant>
      <vt:variant>
        <vt:lpwstr>_Toc201146374</vt:lpwstr>
      </vt:variant>
      <vt:variant>
        <vt:i4>1507380</vt:i4>
      </vt:variant>
      <vt:variant>
        <vt:i4>2306</vt:i4>
      </vt:variant>
      <vt:variant>
        <vt:i4>0</vt:i4>
      </vt:variant>
      <vt:variant>
        <vt:i4>5</vt:i4>
      </vt:variant>
      <vt:variant>
        <vt:lpwstr/>
      </vt:variant>
      <vt:variant>
        <vt:lpwstr>_Toc201146373</vt:lpwstr>
      </vt:variant>
      <vt:variant>
        <vt:i4>1507380</vt:i4>
      </vt:variant>
      <vt:variant>
        <vt:i4>2300</vt:i4>
      </vt:variant>
      <vt:variant>
        <vt:i4>0</vt:i4>
      </vt:variant>
      <vt:variant>
        <vt:i4>5</vt:i4>
      </vt:variant>
      <vt:variant>
        <vt:lpwstr/>
      </vt:variant>
      <vt:variant>
        <vt:lpwstr>_Toc201146372</vt:lpwstr>
      </vt:variant>
      <vt:variant>
        <vt:i4>1507380</vt:i4>
      </vt:variant>
      <vt:variant>
        <vt:i4>2294</vt:i4>
      </vt:variant>
      <vt:variant>
        <vt:i4>0</vt:i4>
      </vt:variant>
      <vt:variant>
        <vt:i4>5</vt:i4>
      </vt:variant>
      <vt:variant>
        <vt:lpwstr/>
      </vt:variant>
      <vt:variant>
        <vt:lpwstr>_Toc201146371</vt:lpwstr>
      </vt:variant>
      <vt:variant>
        <vt:i4>1507380</vt:i4>
      </vt:variant>
      <vt:variant>
        <vt:i4>2288</vt:i4>
      </vt:variant>
      <vt:variant>
        <vt:i4>0</vt:i4>
      </vt:variant>
      <vt:variant>
        <vt:i4>5</vt:i4>
      </vt:variant>
      <vt:variant>
        <vt:lpwstr/>
      </vt:variant>
      <vt:variant>
        <vt:lpwstr>_Toc201146370</vt:lpwstr>
      </vt:variant>
      <vt:variant>
        <vt:i4>1441844</vt:i4>
      </vt:variant>
      <vt:variant>
        <vt:i4>2282</vt:i4>
      </vt:variant>
      <vt:variant>
        <vt:i4>0</vt:i4>
      </vt:variant>
      <vt:variant>
        <vt:i4>5</vt:i4>
      </vt:variant>
      <vt:variant>
        <vt:lpwstr/>
      </vt:variant>
      <vt:variant>
        <vt:lpwstr>_Toc201146369</vt:lpwstr>
      </vt:variant>
      <vt:variant>
        <vt:i4>1441844</vt:i4>
      </vt:variant>
      <vt:variant>
        <vt:i4>2276</vt:i4>
      </vt:variant>
      <vt:variant>
        <vt:i4>0</vt:i4>
      </vt:variant>
      <vt:variant>
        <vt:i4>5</vt:i4>
      </vt:variant>
      <vt:variant>
        <vt:lpwstr/>
      </vt:variant>
      <vt:variant>
        <vt:lpwstr>_Toc201146368</vt:lpwstr>
      </vt:variant>
      <vt:variant>
        <vt:i4>1441844</vt:i4>
      </vt:variant>
      <vt:variant>
        <vt:i4>2270</vt:i4>
      </vt:variant>
      <vt:variant>
        <vt:i4>0</vt:i4>
      </vt:variant>
      <vt:variant>
        <vt:i4>5</vt:i4>
      </vt:variant>
      <vt:variant>
        <vt:lpwstr/>
      </vt:variant>
      <vt:variant>
        <vt:lpwstr>_Toc201146367</vt:lpwstr>
      </vt:variant>
      <vt:variant>
        <vt:i4>1441844</vt:i4>
      </vt:variant>
      <vt:variant>
        <vt:i4>2264</vt:i4>
      </vt:variant>
      <vt:variant>
        <vt:i4>0</vt:i4>
      </vt:variant>
      <vt:variant>
        <vt:i4>5</vt:i4>
      </vt:variant>
      <vt:variant>
        <vt:lpwstr/>
      </vt:variant>
      <vt:variant>
        <vt:lpwstr>_Toc201146366</vt:lpwstr>
      </vt:variant>
      <vt:variant>
        <vt:i4>1441844</vt:i4>
      </vt:variant>
      <vt:variant>
        <vt:i4>2258</vt:i4>
      </vt:variant>
      <vt:variant>
        <vt:i4>0</vt:i4>
      </vt:variant>
      <vt:variant>
        <vt:i4>5</vt:i4>
      </vt:variant>
      <vt:variant>
        <vt:lpwstr/>
      </vt:variant>
      <vt:variant>
        <vt:lpwstr>_Toc201146365</vt:lpwstr>
      </vt:variant>
      <vt:variant>
        <vt:i4>1441844</vt:i4>
      </vt:variant>
      <vt:variant>
        <vt:i4>2252</vt:i4>
      </vt:variant>
      <vt:variant>
        <vt:i4>0</vt:i4>
      </vt:variant>
      <vt:variant>
        <vt:i4>5</vt:i4>
      </vt:variant>
      <vt:variant>
        <vt:lpwstr/>
      </vt:variant>
      <vt:variant>
        <vt:lpwstr>_Toc201146364</vt:lpwstr>
      </vt:variant>
      <vt:variant>
        <vt:i4>1441844</vt:i4>
      </vt:variant>
      <vt:variant>
        <vt:i4>2246</vt:i4>
      </vt:variant>
      <vt:variant>
        <vt:i4>0</vt:i4>
      </vt:variant>
      <vt:variant>
        <vt:i4>5</vt:i4>
      </vt:variant>
      <vt:variant>
        <vt:lpwstr/>
      </vt:variant>
      <vt:variant>
        <vt:lpwstr>_Toc201146363</vt:lpwstr>
      </vt:variant>
      <vt:variant>
        <vt:i4>1441844</vt:i4>
      </vt:variant>
      <vt:variant>
        <vt:i4>2240</vt:i4>
      </vt:variant>
      <vt:variant>
        <vt:i4>0</vt:i4>
      </vt:variant>
      <vt:variant>
        <vt:i4>5</vt:i4>
      </vt:variant>
      <vt:variant>
        <vt:lpwstr/>
      </vt:variant>
      <vt:variant>
        <vt:lpwstr>_Toc201146362</vt:lpwstr>
      </vt:variant>
      <vt:variant>
        <vt:i4>1441844</vt:i4>
      </vt:variant>
      <vt:variant>
        <vt:i4>2234</vt:i4>
      </vt:variant>
      <vt:variant>
        <vt:i4>0</vt:i4>
      </vt:variant>
      <vt:variant>
        <vt:i4>5</vt:i4>
      </vt:variant>
      <vt:variant>
        <vt:lpwstr/>
      </vt:variant>
      <vt:variant>
        <vt:lpwstr>_Toc201146361</vt:lpwstr>
      </vt:variant>
      <vt:variant>
        <vt:i4>1441844</vt:i4>
      </vt:variant>
      <vt:variant>
        <vt:i4>2228</vt:i4>
      </vt:variant>
      <vt:variant>
        <vt:i4>0</vt:i4>
      </vt:variant>
      <vt:variant>
        <vt:i4>5</vt:i4>
      </vt:variant>
      <vt:variant>
        <vt:lpwstr/>
      </vt:variant>
      <vt:variant>
        <vt:lpwstr>_Toc201146360</vt:lpwstr>
      </vt:variant>
      <vt:variant>
        <vt:i4>1376308</vt:i4>
      </vt:variant>
      <vt:variant>
        <vt:i4>2222</vt:i4>
      </vt:variant>
      <vt:variant>
        <vt:i4>0</vt:i4>
      </vt:variant>
      <vt:variant>
        <vt:i4>5</vt:i4>
      </vt:variant>
      <vt:variant>
        <vt:lpwstr/>
      </vt:variant>
      <vt:variant>
        <vt:lpwstr>_Toc201146359</vt:lpwstr>
      </vt:variant>
      <vt:variant>
        <vt:i4>1376308</vt:i4>
      </vt:variant>
      <vt:variant>
        <vt:i4>2216</vt:i4>
      </vt:variant>
      <vt:variant>
        <vt:i4>0</vt:i4>
      </vt:variant>
      <vt:variant>
        <vt:i4>5</vt:i4>
      </vt:variant>
      <vt:variant>
        <vt:lpwstr/>
      </vt:variant>
      <vt:variant>
        <vt:lpwstr>_Toc201146358</vt:lpwstr>
      </vt:variant>
      <vt:variant>
        <vt:i4>1376308</vt:i4>
      </vt:variant>
      <vt:variant>
        <vt:i4>2210</vt:i4>
      </vt:variant>
      <vt:variant>
        <vt:i4>0</vt:i4>
      </vt:variant>
      <vt:variant>
        <vt:i4>5</vt:i4>
      </vt:variant>
      <vt:variant>
        <vt:lpwstr/>
      </vt:variant>
      <vt:variant>
        <vt:lpwstr>_Toc201146357</vt:lpwstr>
      </vt:variant>
      <vt:variant>
        <vt:i4>1376308</vt:i4>
      </vt:variant>
      <vt:variant>
        <vt:i4>2204</vt:i4>
      </vt:variant>
      <vt:variant>
        <vt:i4>0</vt:i4>
      </vt:variant>
      <vt:variant>
        <vt:i4>5</vt:i4>
      </vt:variant>
      <vt:variant>
        <vt:lpwstr/>
      </vt:variant>
      <vt:variant>
        <vt:lpwstr>_Toc201146356</vt:lpwstr>
      </vt:variant>
      <vt:variant>
        <vt:i4>1376308</vt:i4>
      </vt:variant>
      <vt:variant>
        <vt:i4>2198</vt:i4>
      </vt:variant>
      <vt:variant>
        <vt:i4>0</vt:i4>
      </vt:variant>
      <vt:variant>
        <vt:i4>5</vt:i4>
      </vt:variant>
      <vt:variant>
        <vt:lpwstr/>
      </vt:variant>
      <vt:variant>
        <vt:lpwstr>_Toc201146355</vt:lpwstr>
      </vt:variant>
      <vt:variant>
        <vt:i4>1376308</vt:i4>
      </vt:variant>
      <vt:variant>
        <vt:i4>2192</vt:i4>
      </vt:variant>
      <vt:variant>
        <vt:i4>0</vt:i4>
      </vt:variant>
      <vt:variant>
        <vt:i4>5</vt:i4>
      </vt:variant>
      <vt:variant>
        <vt:lpwstr/>
      </vt:variant>
      <vt:variant>
        <vt:lpwstr>_Toc201146354</vt:lpwstr>
      </vt:variant>
      <vt:variant>
        <vt:i4>1376308</vt:i4>
      </vt:variant>
      <vt:variant>
        <vt:i4>2186</vt:i4>
      </vt:variant>
      <vt:variant>
        <vt:i4>0</vt:i4>
      </vt:variant>
      <vt:variant>
        <vt:i4>5</vt:i4>
      </vt:variant>
      <vt:variant>
        <vt:lpwstr/>
      </vt:variant>
      <vt:variant>
        <vt:lpwstr>_Toc201146353</vt:lpwstr>
      </vt:variant>
      <vt:variant>
        <vt:i4>1376308</vt:i4>
      </vt:variant>
      <vt:variant>
        <vt:i4>2180</vt:i4>
      </vt:variant>
      <vt:variant>
        <vt:i4>0</vt:i4>
      </vt:variant>
      <vt:variant>
        <vt:i4>5</vt:i4>
      </vt:variant>
      <vt:variant>
        <vt:lpwstr/>
      </vt:variant>
      <vt:variant>
        <vt:lpwstr>_Toc201146352</vt:lpwstr>
      </vt:variant>
      <vt:variant>
        <vt:i4>1376308</vt:i4>
      </vt:variant>
      <vt:variant>
        <vt:i4>2174</vt:i4>
      </vt:variant>
      <vt:variant>
        <vt:i4>0</vt:i4>
      </vt:variant>
      <vt:variant>
        <vt:i4>5</vt:i4>
      </vt:variant>
      <vt:variant>
        <vt:lpwstr/>
      </vt:variant>
      <vt:variant>
        <vt:lpwstr>_Toc201146351</vt:lpwstr>
      </vt:variant>
      <vt:variant>
        <vt:i4>1376308</vt:i4>
      </vt:variant>
      <vt:variant>
        <vt:i4>2168</vt:i4>
      </vt:variant>
      <vt:variant>
        <vt:i4>0</vt:i4>
      </vt:variant>
      <vt:variant>
        <vt:i4>5</vt:i4>
      </vt:variant>
      <vt:variant>
        <vt:lpwstr/>
      </vt:variant>
      <vt:variant>
        <vt:lpwstr>_Toc201146350</vt:lpwstr>
      </vt:variant>
      <vt:variant>
        <vt:i4>1310772</vt:i4>
      </vt:variant>
      <vt:variant>
        <vt:i4>2162</vt:i4>
      </vt:variant>
      <vt:variant>
        <vt:i4>0</vt:i4>
      </vt:variant>
      <vt:variant>
        <vt:i4>5</vt:i4>
      </vt:variant>
      <vt:variant>
        <vt:lpwstr/>
      </vt:variant>
      <vt:variant>
        <vt:lpwstr>_Toc201146349</vt:lpwstr>
      </vt:variant>
      <vt:variant>
        <vt:i4>1310772</vt:i4>
      </vt:variant>
      <vt:variant>
        <vt:i4>2156</vt:i4>
      </vt:variant>
      <vt:variant>
        <vt:i4>0</vt:i4>
      </vt:variant>
      <vt:variant>
        <vt:i4>5</vt:i4>
      </vt:variant>
      <vt:variant>
        <vt:lpwstr/>
      </vt:variant>
      <vt:variant>
        <vt:lpwstr>_Toc201146348</vt:lpwstr>
      </vt:variant>
      <vt:variant>
        <vt:i4>1310772</vt:i4>
      </vt:variant>
      <vt:variant>
        <vt:i4>2150</vt:i4>
      </vt:variant>
      <vt:variant>
        <vt:i4>0</vt:i4>
      </vt:variant>
      <vt:variant>
        <vt:i4>5</vt:i4>
      </vt:variant>
      <vt:variant>
        <vt:lpwstr/>
      </vt:variant>
      <vt:variant>
        <vt:lpwstr>_Toc201146347</vt:lpwstr>
      </vt:variant>
      <vt:variant>
        <vt:i4>1310772</vt:i4>
      </vt:variant>
      <vt:variant>
        <vt:i4>2144</vt:i4>
      </vt:variant>
      <vt:variant>
        <vt:i4>0</vt:i4>
      </vt:variant>
      <vt:variant>
        <vt:i4>5</vt:i4>
      </vt:variant>
      <vt:variant>
        <vt:lpwstr/>
      </vt:variant>
      <vt:variant>
        <vt:lpwstr>_Toc201146346</vt:lpwstr>
      </vt:variant>
      <vt:variant>
        <vt:i4>1310772</vt:i4>
      </vt:variant>
      <vt:variant>
        <vt:i4>2138</vt:i4>
      </vt:variant>
      <vt:variant>
        <vt:i4>0</vt:i4>
      </vt:variant>
      <vt:variant>
        <vt:i4>5</vt:i4>
      </vt:variant>
      <vt:variant>
        <vt:lpwstr/>
      </vt:variant>
      <vt:variant>
        <vt:lpwstr>_Toc201146345</vt:lpwstr>
      </vt:variant>
      <vt:variant>
        <vt:i4>1310772</vt:i4>
      </vt:variant>
      <vt:variant>
        <vt:i4>2132</vt:i4>
      </vt:variant>
      <vt:variant>
        <vt:i4>0</vt:i4>
      </vt:variant>
      <vt:variant>
        <vt:i4>5</vt:i4>
      </vt:variant>
      <vt:variant>
        <vt:lpwstr/>
      </vt:variant>
      <vt:variant>
        <vt:lpwstr>_Toc201146344</vt:lpwstr>
      </vt:variant>
      <vt:variant>
        <vt:i4>1310772</vt:i4>
      </vt:variant>
      <vt:variant>
        <vt:i4>2126</vt:i4>
      </vt:variant>
      <vt:variant>
        <vt:i4>0</vt:i4>
      </vt:variant>
      <vt:variant>
        <vt:i4>5</vt:i4>
      </vt:variant>
      <vt:variant>
        <vt:lpwstr/>
      </vt:variant>
      <vt:variant>
        <vt:lpwstr>_Toc201146343</vt:lpwstr>
      </vt:variant>
      <vt:variant>
        <vt:i4>1310772</vt:i4>
      </vt:variant>
      <vt:variant>
        <vt:i4>2120</vt:i4>
      </vt:variant>
      <vt:variant>
        <vt:i4>0</vt:i4>
      </vt:variant>
      <vt:variant>
        <vt:i4>5</vt:i4>
      </vt:variant>
      <vt:variant>
        <vt:lpwstr/>
      </vt:variant>
      <vt:variant>
        <vt:lpwstr>_Toc201146342</vt:lpwstr>
      </vt:variant>
      <vt:variant>
        <vt:i4>1310772</vt:i4>
      </vt:variant>
      <vt:variant>
        <vt:i4>2114</vt:i4>
      </vt:variant>
      <vt:variant>
        <vt:i4>0</vt:i4>
      </vt:variant>
      <vt:variant>
        <vt:i4>5</vt:i4>
      </vt:variant>
      <vt:variant>
        <vt:lpwstr/>
      </vt:variant>
      <vt:variant>
        <vt:lpwstr>_Toc201146341</vt:lpwstr>
      </vt:variant>
      <vt:variant>
        <vt:i4>1310772</vt:i4>
      </vt:variant>
      <vt:variant>
        <vt:i4>2108</vt:i4>
      </vt:variant>
      <vt:variant>
        <vt:i4>0</vt:i4>
      </vt:variant>
      <vt:variant>
        <vt:i4>5</vt:i4>
      </vt:variant>
      <vt:variant>
        <vt:lpwstr/>
      </vt:variant>
      <vt:variant>
        <vt:lpwstr>_Toc201146340</vt:lpwstr>
      </vt:variant>
      <vt:variant>
        <vt:i4>1245236</vt:i4>
      </vt:variant>
      <vt:variant>
        <vt:i4>2102</vt:i4>
      </vt:variant>
      <vt:variant>
        <vt:i4>0</vt:i4>
      </vt:variant>
      <vt:variant>
        <vt:i4>5</vt:i4>
      </vt:variant>
      <vt:variant>
        <vt:lpwstr/>
      </vt:variant>
      <vt:variant>
        <vt:lpwstr>_Toc201146339</vt:lpwstr>
      </vt:variant>
      <vt:variant>
        <vt:i4>1245236</vt:i4>
      </vt:variant>
      <vt:variant>
        <vt:i4>2096</vt:i4>
      </vt:variant>
      <vt:variant>
        <vt:i4>0</vt:i4>
      </vt:variant>
      <vt:variant>
        <vt:i4>5</vt:i4>
      </vt:variant>
      <vt:variant>
        <vt:lpwstr/>
      </vt:variant>
      <vt:variant>
        <vt:lpwstr>_Toc201146338</vt:lpwstr>
      </vt:variant>
      <vt:variant>
        <vt:i4>1245236</vt:i4>
      </vt:variant>
      <vt:variant>
        <vt:i4>2090</vt:i4>
      </vt:variant>
      <vt:variant>
        <vt:i4>0</vt:i4>
      </vt:variant>
      <vt:variant>
        <vt:i4>5</vt:i4>
      </vt:variant>
      <vt:variant>
        <vt:lpwstr/>
      </vt:variant>
      <vt:variant>
        <vt:lpwstr>_Toc201146337</vt:lpwstr>
      </vt:variant>
      <vt:variant>
        <vt:i4>1245236</vt:i4>
      </vt:variant>
      <vt:variant>
        <vt:i4>2084</vt:i4>
      </vt:variant>
      <vt:variant>
        <vt:i4>0</vt:i4>
      </vt:variant>
      <vt:variant>
        <vt:i4>5</vt:i4>
      </vt:variant>
      <vt:variant>
        <vt:lpwstr/>
      </vt:variant>
      <vt:variant>
        <vt:lpwstr>_Toc201146336</vt:lpwstr>
      </vt:variant>
      <vt:variant>
        <vt:i4>1245236</vt:i4>
      </vt:variant>
      <vt:variant>
        <vt:i4>2078</vt:i4>
      </vt:variant>
      <vt:variant>
        <vt:i4>0</vt:i4>
      </vt:variant>
      <vt:variant>
        <vt:i4>5</vt:i4>
      </vt:variant>
      <vt:variant>
        <vt:lpwstr/>
      </vt:variant>
      <vt:variant>
        <vt:lpwstr>_Toc201146335</vt:lpwstr>
      </vt:variant>
      <vt:variant>
        <vt:i4>1245236</vt:i4>
      </vt:variant>
      <vt:variant>
        <vt:i4>2072</vt:i4>
      </vt:variant>
      <vt:variant>
        <vt:i4>0</vt:i4>
      </vt:variant>
      <vt:variant>
        <vt:i4>5</vt:i4>
      </vt:variant>
      <vt:variant>
        <vt:lpwstr/>
      </vt:variant>
      <vt:variant>
        <vt:lpwstr>_Toc201146334</vt:lpwstr>
      </vt:variant>
      <vt:variant>
        <vt:i4>1245236</vt:i4>
      </vt:variant>
      <vt:variant>
        <vt:i4>2066</vt:i4>
      </vt:variant>
      <vt:variant>
        <vt:i4>0</vt:i4>
      </vt:variant>
      <vt:variant>
        <vt:i4>5</vt:i4>
      </vt:variant>
      <vt:variant>
        <vt:lpwstr/>
      </vt:variant>
      <vt:variant>
        <vt:lpwstr>_Toc201146333</vt:lpwstr>
      </vt:variant>
      <vt:variant>
        <vt:i4>1245236</vt:i4>
      </vt:variant>
      <vt:variant>
        <vt:i4>2060</vt:i4>
      </vt:variant>
      <vt:variant>
        <vt:i4>0</vt:i4>
      </vt:variant>
      <vt:variant>
        <vt:i4>5</vt:i4>
      </vt:variant>
      <vt:variant>
        <vt:lpwstr/>
      </vt:variant>
      <vt:variant>
        <vt:lpwstr>_Toc201146332</vt:lpwstr>
      </vt:variant>
      <vt:variant>
        <vt:i4>1245236</vt:i4>
      </vt:variant>
      <vt:variant>
        <vt:i4>2054</vt:i4>
      </vt:variant>
      <vt:variant>
        <vt:i4>0</vt:i4>
      </vt:variant>
      <vt:variant>
        <vt:i4>5</vt:i4>
      </vt:variant>
      <vt:variant>
        <vt:lpwstr/>
      </vt:variant>
      <vt:variant>
        <vt:lpwstr>_Toc201146331</vt:lpwstr>
      </vt:variant>
      <vt:variant>
        <vt:i4>1245236</vt:i4>
      </vt:variant>
      <vt:variant>
        <vt:i4>2048</vt:i4>
      </vt:variant>
      <vt:variant>
        <vt:i4>0</vt:i4>
      </vt:variant>
      <vt:variant>
        <vt:i4>5</vt:i4>
      </vt:variant>
      <vt:variant>
        <vt:lpwstr/>
      </vt:variant>
      <vt:variant>
        <vt:lpwstr>_Toc201146330</vt:lpwstr>
      </vt:variant>
      <vt:variant>
        <vt:i4>1179700</vt:i4>
      </vt:variant>
      <vt:variant>
        <vt:i4>2042</vt:i4>
      </vt:variant>
      <vt:variant>
        <vt:i4>0</vt:i4>
      </vt:variant>
      <vt:variant>
        <vt:i4>5</vt:i4>
      </vt:variant>
      <vt:variant>
        <vt:lpwstr/>
      </vt:variant>
      <vt:variant>
        <vt:lpwstr>_Toc201146329</vt:lpwstr>
      </vt:variant>
      <vt:variant>
        <vt:i4>1179700</vt:i4>
      </vt:variant>
      <vt:variant>
        <vt:i4>2036</vt:i4>
      </vt:variant>
      <vt:variant>
        <vt:i4>0</vt:i4>
      </vt:variant>
      <vt:variant>
        <vt:i4>5</vt:i4>
      </vt:variant>
      <vt:variant>
        <vt:lpwstr/>
      </vt:variant>
      <vt:variant>
        <vt:lpwstr>_Toc201146328</vt:lpwstr>
      </vt:variant>
      <vt:variant>
        <vt:i4>1179700</vt:i4>
      </vt:variant>
      <vt:variant>
        <vt:i4>2030</vt:i4>
      </vt:variant>
      <vt:variant>
        <vt:i4>0</vt:i4>
      </vt:variant>
      <vt:variant>
        <vt:i4>5</vt:i4>
      </vt:variant>
      <vt:variant>
        <vt:lpwstr/>
      </vt:variant>
      <vt:variant>
        <vt:lpwstr>_Toc201146327</vt:lpwstr>
      </vt:variant>
      <vt:variant>
        <vt:i4>1179700</vt:i4>
      </vt:variant>
      <vt:variant>
        <vt:i4>2024</vt:i4>
      </vt:variant>
      <vt:variant>
        <vt:i4>0</vt:i4>
      </vt:variant>
      <vt:variant>
        <vt:i4>5</vt:i4>
      </vt:variant>
      <vt:variant>
        <vt:lpwstr/>
      </vt:variant>
      <vt:variant>
        <vt:lpwstr>_Toc201146326</vt:lpwstr>
      </vt:variant>
      <vt:variant>
        <vt:i4>1179700</vt:i4>
      </vt:variant>
      <vt:variant>
        <vt:i4>2018</vt:i4>
      </vt:variant>
      <vt:variant>
        <vt:i4>0</vt:i4>
      </vt:variant>
      <vt:variant>
        <vt:i4>5</vt:i4>
      </vt:variant>
      <vt:variant>
        <vt:lpwstr/>
      </vt:variant>
      <vt:variant>
        <vt:lpwstr>_Toc201146325</vt:lpwstr>
      </vt:variant>
      <vt:variant>
        <vt:i4>1179700</vt:i4>
      </vt:variant>
      <vt:variant>
        <vt:i4>2012</vt:i4>
      </vt:variant>
      <vt:variant>
        <vt:i4>0</vt:i4>
      </vt:variant>
      <vt:variant>
        <vt:i4>5</vt:i4>
      </vt:variant>
      <vt:variant>
        <vt:lpwstr/>
      </vt:variant>
      <vt:variant>
        <vt:lpwstr>_Toc201146324</vt:lpwstr>
      </vt:variant>
      <vt:variant>
        <vt:i4>1179700</vt:i4>
      </vt:variant>
      <vt:variant>
        <vt:i4>2006</vt:i4>
      </vt:variant>
      <vt:variant>
        <vt:i4>0</vt:i4>
      </vt:variant>
      <vt:variant>
        <vt:i4>5</vt:i4>
      </vt:variant>
      <vt:variant>
        <vt:lpwstr/>
      </vt:variant>
      <vt:variant>
        <vt:lpwstr>_Toc201146323</vt:lpwstr>
      </vt:variant>
      <vt:variant>
        <vt:i4>1179700</vt:i4>
      </vt:variant>
      <vt:variant>
        <vt:i4>2000</vt:i4>
      </vt:variant>
      <vt:variant>
        <vt:i4>0</vt:i4>
      </vt:variant>
      <vt:variant>
        <vt:i4>5</vt:i4>
      </vt:variant>
      <vt:variant>
        <vt:lpwstr/>
      </vt:variant>
      <vt:variant>
        <vt:lpwstr>_Toc201146322</vt:lpwstr>
      </vt:variant>
      <vt:variant>
        <vt:i4>1179700</vt:i4>
      </vt:variant>
      <vt:variant>
        <vt:i4>1994</vt:i4>
      </vt:variant>
      <vt:variant>
        <vt:i4>0</vt:i4>
      </vt:variant>
      <vt:variant>
        <vt:i4>5</vt:i4>
      </vt:variant>
      <vt:variant>
        <vt:lpwstr/>
      </vt:variant>
      <vt:variant>
        <vt:lpwstr>_Toc201146321</vt:lpwstr>
      </vt:variant>
      <vt:variant>
        <vt:i4>1179700</vt:i4>
      </vt:variant>
      <vt:variant>
        <vt:i4>1988</vt:i4>
      </vt:variant>
      <vt:variant>
        <vt:i4>0</vt:i4>
      </vt:variant>
      <vt:variant>
        <vt:i4>5</vt:i4>
      </vt:variant>
      <vt:variant>
        <vt:lpwstr/>
      </vt:variant>
      <vt:variant>
        <vt:lpwstr>_Toc201146320</vt:lpwstr>
      </vt:variant>
      <vt:variant>
        <vt:i4>1114164</vt:i4>
      </vt:variant>
      <vt:variant>
        <vt:i4>1982</vt:i4>
      </vt:variant>
      <vt:variant>
        <vt:i4>0</vt:i4>
      </vt:variant>
      <vt:variant>
        <vt:i4>5</vt:i4>
      </vt:variant>
      <vt:variant>
        <vt:lpwstr/>
      </vt:variant>
      <vt:variant>
        <vt:lpwstr>_Toc201146319</vt:lpwstr>
      </vt:variant>
      <vt:variant>
        <vt:i4>1114164</vt:i4>
      </vt:variant>
      <vt:variant>
        <vt:i4>1976</vt:i4>
      </vt:variant>
      <vt:variant>
        <vt:i4>0</vt:i4>
      </vt:variant>
      <vt:variant>
        <vt:i4>5</vt:i4>
      </vt:variant>
      <vt:variant>
        <vt:lpwstr/>
      </vt:variant>
      <vt:variant>
        <vt:lpwstr>_Toc201146318</vt:lpwstr>
      </vt:variant>
      <vt:variant>
        <vt:i4>1114164</vt:i4>
      </vt:variant>
      <vt:variant>
        <vt:i4>1970</vt:i4>
      </vt:variant>
      <vt:variant>
        <vt:i4>0</vt:i4>
      </vt:variant>
      <vt:variant>
        <vt:i4>5</vt:i4>
      </vt:variant>
      <vt:variant>
        <vt:lpwstr/>
      </vt:variant>
      <vt:variant>
        <vt:lpwstr>_Toc201146317</vt:lpwstr>
      </vt:variant>
      <vt:variant>
        <vt:i4>1114164</vt:i4>
      </vt:variant>
      <vt:variant>
        <vt:i4>1964</vt:i4>
      </vt:variant>
      <vt:variant>
        <vt:i4>0</vt:i4>
      </vt:variant>
      <vt:variant>
        <vt:i4>5</vt:i4>
      </vt:variant>
      <vt:variant>
        <vt:lpwstr/>
      </vt:variant>
      <vt:variant>
        <vt:lpwstr>_Toc201146316</vt:lpwstr>
      </vt:variant>
      <vt:variant>
        <vt:i4>1114164</vt:i4>
      </vt:variant>
      <vt:variant>
        <vt:i4>1958</vt:i4>
      </vt:variant>
      <vt:variant>
        <vt:i4>0</vt:i4>
      </vt:variant>
      <vt:variant>
        <vt:i4>5</vt:i4>
      </vt:variant>
      <vt:variant>
        <vt:lpwstr/>
      </vt:variant>
      <vt:variant>
        <vt:lpwstr>_Toc201146315</vt:lpwstr>
      </vt:variant>
      <vt:variant>
        <vt:i4>1114164</vt:i4>
      </vt:variant>
      <vt:variant>
        <vt:i4>1952</vt:i4>
      </vt:variant>
      <vt:variant>
        <vt:i4>0</vt:i4>
      </vt:variant>
      <vt:variant>
        <vt:i4>5</vt:i4>
      </vt:variant>
      <vt:variant>
        <vt:lpwstr/>
      </vt:variant>
      <vt:variant>
        <vt:lpwstr>_Toc201146314</vt:lpwstr>
      </vt:variant>
      <vt:variant>
        <vt:i4>1114164</vt:i4>
      </vt:variant>
      <vt:variant>
        <vt:i4>1946</vt:i4>
      </vt:variant>
      <vt:variant>
        <vt:i4>0</vt:i4>
      </vt:variant>
      <vt:variant>
        <vt:i4>5</vt:i4>
      </vt:variant>
      <vt:variant>
        <vt:lpwstr/>
      </vt:variant>
      <vt:variant>
        <vt:lpwstr>_Toc201146313</vt:lpwstr>
      </vt:variant>
      <vt:variant>
        <vt:i4>1114164</vt:i4>
      </vt:variant>
      <vt:variant>
        <vt:i4>1940</vt:i4>
      </vt:variant>
      <vt:variant>
        <vt:i4>0</vt:i4>
      </vt:variant>
      <vt:variant>
        <vt:i4>5</vt:i4>
      </vt:variant>
      <vt:variant>
        <vt:lpwstr/>
      </vt:variant>
      <vt:variant>
        <vt:lpwstr>_Toc201146312</vt:lpwstr>
      </vt:variant>
      <vt:variant>
        <vt:i4>1114164</vt:i4>
      </vt:variant>
      <vt:variant>
        <vt:i4>1934</vt:i4>
      </vt:variant>
      <vt:variant>
        <vt:i4>0</vt:i4>
      </vt:variant>
      <vt:variant>
        <vt:i4>5</vt:i4>
      </vt:variant>
      <vt:variant>
        <vt:lpwstr/>
      </vt:variant>
      <vt:variant>
        <vt:lpwstr>_Toc201146311</vt:lpwstr>
      </vt:variant>
      <vt:variant>
        <vt:i4>1114164</vt:i4>
      </vt:variant>
      <vt:variant>
        <vt:i4>1928</vt:i4>
      </vt:variant>
      <vt:variant>
        <vt:i4>0</vt:i4>
      </vt:variant>
      <vt:variant>
        <vt:i4>5</vt:i4>
      </vt:variant>
      <vt:variant>
        <vt:lpwstr/>
      </vt:variant>
      <vt:variant>
        <vt:lpwstr>_Toc201146310</vt:lpwstr>
      </vt:variant>
      <vt:variant>
        <vt:i4>1048628</vt:i4>
      </vt:variant>
      <vt:variant>
        <vt:i4>1922</vt:i4>
      </vt:variant>
      <vt:variant>
        <vt:i4>0</vt:i4>
      </vt:variant>
      <vt:variant>
        <vt:i4>5</vt:i4>
      </vt:variant>
      <vt:variant>
        <vt:lpwstr/>
      </vt:variant>
      <vt:variant>
        <vt:lpwstr>_Toc201146309</vt:lpwstr>
      </vt:variant>
      <vt:variant>
        <vt:i4>1048628</vt:i4>
      </vt:variant>
      <vt:variant>
        <vt:i4>1916</vt:i4>
      </vt:variant>
      <vt:variant>
        <vt:i4>0</vt:i4>
      </vt:variant>
      <vt:variant>
        <vt:i4>5</vt:i4>
      </vt:variant>
      <vt:variant>
        <vt:lpwstr/>
      </vt:variant>
      <vt:variant>
        <vt:lpwstr>_Toc201146308</vt:lpwstr>
      </vt:variant>
      <vt:variant>
        <vt:i4>1048628</vt:i4>
      </vt:variant>
      <vt:variant>
        <vt:i4>1910</vt:i4>
      </vt:variant>
      <vt:variant>
        <vt:i4>0</vt:i4>
      </vt:variant>
      <vt:variant>
        <vt:i4>5</vt:i4>
      </vt:variant>
      <vt:variant>
        <vt:lpwstr/>
      </vt:variant>
      <vt:variant>
        <vt:lpwstr>_Toc201146307</vt:lpwstr>
      </vt:variant>
      <vt:variant>
        <vt:i4>1048628</vt:i4>
      </vt:variant>
      <vt:variant>
        <vt:i4>1904</vt:i4>
      </vt:variant>
      <vt:variant>
        <vt:i4>0</vt:i4>
      </vt:variant>
      <vt:variant>
        <vt:i4>5</vt:i4>
      </vt:variant>
      <vt:variant>
        <vt:lpwstr/>
      </vt:variant>
      <vt:variant>
        <vt:lpwstr>_Toc201146306</vt:lpwstr>
      </vt:variant>
      <vt:variant>
        <vt:i4>1048628</vt:i4>
      </vt:variant>
      <vt:variant>
        <vt:i4>1898</vt:i4>
      </vt:variant>
      <vt:variant>
        <vt:i4>0</vt:i4>
      </vt:variant>
      <vt:variant>
        <vt:i4>5</vt:i4>
      </vt:variant>
      <vt:variant>
        <vt:lpwstr/>
      </vt:variant>
      <vt:variant>
        <vt:lpwstr>_Toc201146305</vt:lpwstr>
      </vt:variant>
      <vt:variant>
        <vt:i4>1048628</vt:i4>
      </vt:variant>
      <vt:variant>
        <vt:i4>1892</vt:i4>
      </vt:variant>
      <vt:variant>
        <vt:i4>0</vt:i4>
      </vt:variant>
      <vt:variant>
        <vt:i4>5</vt:i4>
      </vt:variant>
      <vt:variant>
        <vt:lpwstr/>
      </vt:variant>
      <vt:variant>
        <vt:lpwstr>_Toc201146304</vt:lpwstr>
      </vt:variant>
      <vt:variant>
        <vt:i4>1048628</vt:i4>
      </vt:variant>
      <vt:variant>
        <vt:i4>1886</vt:i4>
      </vt:variant>
      <vt:variant>
        <vt:i4>0</vt:i4>
      </vt:variant>
      <vt:variant>
        <vt:i4>5</vt:i4>
      </vt:variant>
      <vt:variant>
        <vt:lpwstr/>
      </vt:variant>
      <vt:variant>
        <vt:lpwstr>_Toc201146303</vt:lpwstr>
      </vt:variant>
      <vt:variant>
        <vt:i4>1048628</vt:i4>
      </vt:variant>
      <vt:variant>
        <vt:i4>1880</vt:i4>
      </vt:variant>
      <vt:variant>
        <vt:i4>0</vt:i4>
      </vt:variant>
      <vt:variant>
        <vt:i4>5</vt:i4>
      </vt:variant>
      <vt:variant>
        <vt:lpwstr/>
      </vt:variant>
      <vt:variant>
        <vt:lpwstr>_Toc201146302</vt:lpwstr>
      </vt:variant>
      <vt:variant>
        <vt:i4>1048628</vt:i4>
      </vt:variant>
      <vt:variant>
        <vt:i4>1874</vt:i4>
      </vt:variant>
      <vt:variant>
        <vt:i4>0</vt:i4>
      </vt:variant>
      <vt:variant>
        <vt:i4>5</vt:i4>
      </vt:variant>
      <vt:variant>
        <vt:lpwstr/>
      </vt:variant>
      <vt:variant>
        <vt:lpwstr>_Toc201146301</vt:lpwstr>
      </vt:variant>
      <vt:variant>
        <vt:i4>1048628</vt:i4>
      </vt:variant>
      <vt:variant>
        <vt:i4>1868</vt:i4>
      </vt:variant>
      <vt:variant>
        <vt:i4>0</vt:i4>
      </vt:variant>
      <vt:variant>
        <vt:i4>5</vt:i4>
      </vt:variant>
      <vt:variant>
        <vt:lpwstr/>
      </vt:variant>
      <vt:variant>
        <vt:lpwstr>_Toc201146300</vt:lpwstr>
      </vt:variant>
      <vt:variant>
        <vt:i4>1638453</vt:i4>
      </vt:variant>
      <vt:variant>
        <vt:i4>1862</vt:i4>
      </vt:variant>
      <vt:variant>
        <vt:i4>0</vt:i4>
      </vt:variant>
      <vt:variant>
        <vt:i4>5</vt:i4>
      </vt:variant>
      <vt:variant>
        <vt:lpwstr/>
      </vt:variant>
      <vt:variant>
        <vt:lpwstr>_Toc201146299</vt:lpwstr>
      </vt:variant>
      <vt:variant>
        <vt:i4>1638453</vt:i4>
      </vt:variant>
      <vt:variant>
        <vt:i4>1856</vt:i4>
      </vt:variant>
      <vt:variant>
        <vt:i4>0</vt:i4>
      </vt:variant>
      <vt:variant>
        <vt:i4>5</vt:i4>
      </vt:variant>
      <vt:variant>
        <vt:lpwstr/>
      </vt:variant>
      <vt:variant>
        <vt:lpwstr>_Toc201146298</vt:lpwstr>
      </vt:variant>
      <vt:variant>
        <vt:i4>1638453</vt:i4>
      </vt:variant>
      <vt:variant>
        <vt:i4>1850</vt:i4>
      </vt:variant>
      <vt:variant>
        <vt:i4>0</vt:i4>
      </vt:variant>
      <vt:variant>
        <vt:i4>5</vt:i4>
      </vt:variant>
      <vt:variant>
        <vt:lpwstr/>
      </vt:variant>
      <vt:variant>
        <vt:lpwstr>_Toc201146297</vt:lpwstr>
      </vt:variant>
      <vt:variant>
        <vt:i4>1638453</vt:i4>
      </vt:variant>
      <vt:variant>
        <vt:i4>1844</vt:i4>
      </vt:variant>
      <vt:variant>
        <vt:i4>0</vt:i4>
      </vt:variant>
      <vt:variant>
        <vt:i4>5</vt:i4>
      </vt:variant>
      <vt:variant>
        <vt:lpwstr/>
      </vt:variant>
      <vt:variant>
        <vt:lpwstr>_Toc201146296</vt:lpwstr>
      </vt:variant>
      <vt:variant>
        <vt:i4>1638453</vt:i4>
      </vt:variant>
      <vt:variant>
        <vt:i4>1838</vt:i4>
      </vt:variant>
      <vt:variant>
        <vt:i4>0</vt:i4>
      </vt:variant>
      <vt:variant>
        <vt:i4>5</vt:i4>
      </vt:variant>
      <vt:variant>
        <vt:lpwstr/>
      </vt:variant>
      <vt:variant>
        <vt:lpwstr>_Toc201146295</vt:lpwstr>
      </vt:variant>
      <vt:variant>
        <vt:i4>1638453</vt:i4>
      </vt:variant>
      <vt:variant>
        <vt:i4>1832</vt:i4>
      </vt:variant>
      <vt:variant>
        <vt:i4>0</vt:i4>
      </vt:variant>
      <vt:variant>
        <vt:i4>5</vt:i4>
      </vt:variant>
      <vt:variant>
        <vt:lpwstr/>
      </vt:variant>
      <vt:variant>
        <vt:lpwstr>_Toc201146294</vt:lpwstr>
      </vt:variant>
      <vt:variant>
        <vt:i4>1638453</vt:i4>
      </vt:variant>
      <vt:variant>
        <vt:i4>1826</vt:i4>
      </vt:variant>
      <vt:variant>
        <vt:i4>0</vt:i4>
      </vt:variant>
      <vt:variant>
        <vt:i4>5</vt:i4>
      </vt:variant>
      <vt:variant>
        <vt:lpwstr/>
      </vt:variant>
      <vt:variant>
        <vt:lpwstr>_Toc201146293</vt:lpwstr>
      </vt:variant>
      <vt:variant>
        <vt:i4>1638453</vt:i4>
      </vt:variant>
      <vt:variant>
        <vt:i4>1820</vt:i4>
      </vt:variant>
      <vt:variant>
        <vt:i4>0</vt:i4>
      </vt:variant>
      <vt:variant>
        <vt:i4>5</vt:i4>
      </vt:variant>
      <vt:variant>
        <vt:lpwstr/>
      </vt:variant>
      <vt:variant>
        <vt:lpwstr>_Toc201146292</vt:lpwstr>
      </vt:variant>
      <vt:variant>
        <vt:i4>1638453</vt:i4>
      </vt:variant>
      <vt:variant>
        <vt:i4>1814</vt:i4>
      </vt:variant>
      <vt:variant>
        <vt:i4>0</vt:i4>
      </vt:variant>
      <vt:variant>
        <vt:i4>5</vt:i4>
      </vt:variant>
      <vt:variant>
        <vt:lpwstr/>
      </vt:variant>
      <vt:variant>
        <vt:lpwstr>_Toc201146291</vt:lpwstr>
      </vt:variant>
      <vt:variant>
        <vt:i4>1638453</vt:i4>
      </vt:variant>
      <vt:variant>
        <vt:i4>1808</vt:i4>
      </vt:variant>
      <vt:variant>
        <vt:i4>0</vt:i4>
      </vt:variant>
      <vt:variant>
        <vt:i4>5</vt:i4>
      </vt:variant>
      <vt:variant>
        <vt:lpwstr/>
      </vt:variant>
      <vt:variant>
        <vt:lpwstr>_Toc201146290</vt:lpwstr>
      </vt:variant>
      <vt:variant>
        <vt:i4>1572917</vt:i4>
      </vt:variant>
      <vt:variant>
        <vt:i4>1802</vt:i4>
      </vt:variant>
      <vt:variant>
        <vt:i4>0</vt:i4>
      </vt:variant>
      <vt:variant>
        <vt:i4>5</vt:i4>
      </vt:variant>
      <vt:variant>
        <vt:lpwstr/>
      </vt:variant>
      <vt:variant>
        <vt:lpwstr>_Toc201146289</vt:lpwstr>
      </vt:variant>
      <vt:variant>
        <vt:i4>1572917</vt:i4>
      </vt:variant>
      <vt:variant>
        <vt:i4>1796</vt:i4>
      </vt:variant>
      <vt:variant>
        <vt:i4>0</vt:i4>
      </vt:variant>
      <vt:variant>
        <vt:i4>5</vt:i4>
      </vt:variant>
      <vt:variant>
        <vt:lpwstr/>
      </vt:variant>
      <vt:variant>
        <vt:lpwstr>_Toc201146288</vt:lpwstr>
      </vt:variant>
      <vt:variant>
        <vt:i4>1572917</vt:i4>
      </vt:variant>
      <vt:variant>
        <vt:i4>1790</vt:i4>
      </vt:variant>
      <vt:variant>
        <vt:i4>0</vt:i4>
      </vt:variant>
      <vt:variant>
        <vt:i4>5</vt:i4>
      </vt:variant>
      <vt:variant>
        <vt:lpwstr/>
      </vt:variant>
      <vt:variant>
        <vt:lpwstr>_Toc201146287</vt:lpwstr>
      </vt:variant>
      <vt:variant>
        <vt:i4>1572917</vt:i4>
      </vt:variant>
      <vt:variant>
        <vt:i4>1784</vt:i4>
      </vt:variant>
      <vt:variant>
        <vt:i4>0</vt:i4>
      </vt:variant>
      <vt:variant>
        <vt:i4>5</vt:i4>
      </vt:variant>
      <vt:variant>
        <vt:lpwstr/>
      </vt:variant>
      <vt:variant>
        <vt:lpwstr>_Toc201146286</vt:lpwstr>
      </vt:variant>
      <vt:variant>
        <vt:i4>1572917</vt:i4>
      </vt:variant>
      <vt:variant>
        <vt:i4>1778</vt:i4>
      </vt:variant>
      <vt:variant>
        <vt:i4>0</vt:i4>
      </vt:variant>
      <vt:variant>
        <vt:i4>5</vt:i4>
      </vt:variant>
      <vt:variant>
        <vt:lpwstr/>
      </vt:variant>
      <vt:variant>
        <vt:lpwstr>_Toc201146285</vt:lpwstr>
      </vt:variant>
      <vt:variant>
        <vt:i4>1572917</vt:i4>
      </vt:variant>
      <vt:variant>
        <vt:i4>1772</vt:i4>
      </vt:variant>
      <vt:variant>
        <vt:i4>0</vt:i4>
      </vt:variant>
      <vt:variant>
        <vt:i4>5</vt:i4>
      </vt:variant>
      <vt:variant>
        <vt:lpwstr/>
      </vt:variant>
      <vt:variant>
        <vt:lpwstr>_Toc201146284</vt:lpwstr>
      </vt:variant>
      <vt:variant>
        <vt:i4>1572917</vt:i4>
      </vt:variant>
      <vt:variant>
        <vt:i4>1766</vt:i4>
      </vt:variant>
      <vt:variant>
        <vt:i4>0</vt:i4>
      </vt:variant>
      <vt:variant>
        <vt:i4>5</vt:i4>
      </vt:variant>
      <vt:variant>
        <vt:lpwstr/>
      </vt:variant>
      <vt:variant>
        <vt:lpwstr>_Toc201146283</vt:lpwstr>
      </vt:variant>
      <vt:variant>
        <vt:i4>1572917</vt:i4>
      </vt:variant>
      <vt:variant>
        <vt:i4>1760</vt:i4>
      </vt:variant>
      <vt:variant>
        <vt:i4>0</vt:i4>
      </vt:variant>
      <vt:variant>
        <vt:i4>5</vt:i4>
      </vt:variant>
      <vt:variant>
        <vt:lpwstr/>
      </vt:variant>
      <vt:variant>
        <vt:lpwstr>_Toc201146282</vt:lpwstr>
      </vt:variant>
      <vt:variant>
        <vt:i4>1572917</vt:i4>
      </vt:variant>
      <vt:variant>
        <vt:i4>1754</vt:i4>
      </vt:variant>
      <vt:variant>
        <vt:i4>0</vt:i4>
      </vt:variant>
      <vt:variant>
        <vt:i4>5</vt:i4>
      </vt:variant>
      <vt:variant>
        <vt:lpwstr/>
      </vt:variant>
      <vt:variant>
        <vt:lpwstr>_Toc201146281</vt:lpwstr>
      </vt:variant>
      <vt:variant>
        <vt:i4>1572917</vt:i4>
      </vt:variant>
      <vt:variant>
        <vt:i4>1751</vt:i4>
      </vt:variant>
      <vt:variant>
        <vt:i4>0</vt:i4>
      </vt:variant>
      <vt:variant>
        <vt:i4>5</vt:i4>
      </vt:variant>
      <vt:variant>
        <vt:lpwstr/>
      </vt:variant>
      <vt:variant>
        <vt:lpwstr>_Toc201146280</vt:lpwstr>
      </vt:variant>
      <vt:variant>
        <vt:i4>1507381</vt:i4>
      </vt:variant>
      <vt:variant>
        <vt:i4>1745</vt:i4>
      </vt:variant>
      <vt:variant>
        <vt:i4>0</vt:i4>
      </vt:variant>
      <vt:variant>
        <vt:i4>5</vt:i4>
      </vt:variant>
      <vt:variant>
        <vt:lpwstr/>
      </vt:variant>
      <vt:variant>
        <vt:lpwstr>_Toc201146279</vt:lpwstr>
      </vt:variant>
      <vt:variant>
        <vt:i4>1507381</vt:i4>
      </vt:variant>
      <vt:variant>
        <vt:i4>1739</vt:i4>
      </vt:variant>
      <vt:variant>
        <vt:i4>0</vt:i4>
      </vt:variant>
      <vt:variant>
        <vt:i4>5</vt:i4>
      </vt:variant>
      <vt:variant>
        <vt:lpwstr/>
      </vt:variant>
      <vt:variant>
        <vt:lpwstr>_Toc201146278</vt:lpwstr>
      </vt:variant>
      <vt:variant>
        <vt:i4>1507381</vt:i4>
      </vt:variant>
      <vt:variant>
        <vt:i4>1733</vt:i4>
      </vt:variant>
      <vt:variant>
        <vt:i4>0</vt:i4>
      </vt:variant>
      <vt:variant>
        <vt:i4>5</vt:i4>
      </vt:variant>
      <vt:variant>
        <vt:lpwstr/>
      </vt:variant>
      <vt:variant>
        <vt:lpwstr>_Toc201146277</vt:lpwstr>
      </vt:variant>
      <vt:variant>
        <vt:i4>1507381</vt:i4>
      </vt:variant>
      <vt:variant>
        <vt:i4>1727</vt:i4>
      </vt:variant>
      <vt:variant>
        <vt:i4>0</vt:i4>
      </vt:variant>
      <vt:variant>
        <vt:i4>5</vt:i4>
      </vt:variant>
      <vt:variant>
        <vt:lpwstr/>
      </vt:variant>
      <vt:variant>
        <vt:lpwstr>_Toc201146276</vt:lpwstr>
      </vt:variant>
      <vt:variant>
        <vt:i4>1507381</vt:i4>
      </vt:variant>
      <vt:variant>
        <vt:i4>1721</vt:i4>
      </vt:variant>
      <vt:variant>
        <vt:i4>0</vt:i4>
      </vt:variant>
      <vt:variant>
        <vt:i4>5</vt:i4>
      </vt:variant>
      <vt:variant>
        <vt:lpwstr/>
      </vt:variant>
      <vt:variant>
        <vt:lpwstr>_Toc201146275</vt:lpwstr>
      </vt:variant>
      <vt:variant>
        <vt:i4>1507381</vt:i4>
      </vt:variant>
      <vt:variant>
        <vt:i4>1715</vt:i4>
      </vt:variant>
      <vt:variant>
        <vt:i4>0</vt:i4>
      </vt:variant>
      <vt:variant>
        <vt:i4>5</vt:i4>
      </vt:variant>
      <vt:variant>
        <vt:lpwstr/>
      </vt:variant>
      <vt:variant>
        <vt:lpwstr>_Toc201146274</vt:lpwstr>
      </vt:variant>
      <vt:variant>
        <vt:i4>1507381</vt:i4>
      </vt:variant>
      <vt:variant>
        <vt:i4>1709</vt:i4>
      </vt:variant>
      <vt:variant>
        <vt:i4>0</vt:i4>
      </vt:variant>
      <vt:variant>
        <vt:i4>5</vt:i4>
      </vt:variant>
      <vt:variant>
        <vt:lpwstr/>
      </vt:variant>
      <vt:variant>
        <vt:lpwstr>_Toc201146273</vt:lpwstr>
      </vt:variant>
      <vt:variant>
        <vt:i4>1507381</vt:i4>
      </vt:variant>
      <vt:variant>
        <vt:i4>1703</vt:i4>
      </vt:variant>
      <vt:variant>
        <vt:i4>0</vt:i4>
      </vt:variant>
      <vt:variant>
        <vt:i4>5</vt:i4>
      </vt:variant>
      <vt:variant>
        <vt:lpwstr/>
      </vt:variant>
      <vt:variant>
        <vt:lpwstr>_Toc201146272</vt:lpwstr>
      </vt:variant>
      <vt:variant>
        <vt:i4>1507381</vt:i4>
      </vt:variant>
      <vt:variant>
        <vt:i4>1697</vt:i4>
      </vt:variant>
      <vt:variant>
        <vt:i4>0</vt:i4>
      </vt:variant>
      <vt:variant>
        <vt:i4>5</vt:i4>
      </vt:variant>
      <vt:variant>
        <vt:lpwstr/>
      </vt:variant>
      <vt:variant>
        <vt:lpwstr>_Toc201146271</vt:lpwstr>
      </vt:variant>
      <vt:variant>
        <vt:i4>1507381</vt:i4>
      </vt:variant>
      <vt:variant>
        <vt:i4>1691</vt:i4>
      </vt:variant>
      <vt:variant>
        <vt:i4>0</vt:i4>
      </vt:variant>
      <vt:variant>
        <vt:i4>5</vt:i4>
      </vt:variant>
      <vt:variant>
        <vt:lpwstr/>
      </vt:variant>
      <vt:variant>
        <vt:lpwstr>_Toc201146270</vt:lpwstr>
      </vt:variant>
      <vt:variant>
        <vt:i4>1441845</vt:i4>
      </vt:variant>
      <vt:variant>
        <vt:i4>1685</vt:i4>
      </vt:variant>
      <vt:variant>
        <vt:i4>0</vt:i4>
      </vt:variant>
      <vt:variant>
        <vt:i4>5</vt:i4>
      </vt:variant>
      <vt:variant>
        <vt:lpwstr/>
      </vt:variant>
      <vt:variant>
        <vt:lpwstr>_Toc201146269</vt:lpwstr>
      </vt:variant>
      <vt:variant>
        <vt:i4>1441845</vt:i4>
      </vt:variant>
      <vt:variant>
        <vt:i4>1679</vt:i4>
      </vt:variant>
      <vt:variant>
        <vt:i4>0</vt:i4>
      </vt:variant>
      <vt:variant>
        <vt:i4>5</vt:i4>
      </vt:variant>
      <vt:variant>
        <vt:lpwstr/>
      </vt:variant>
      <vt:variant>
        <vt:lpwstr>_Toc201146268</vt:lpwstr>
      </vt:variant>
      <vt:variant>
        <vt:i4>1441845</vt:i4>
      </vt:variant>
      <vt:variant>
        <vt:i4>1673</vt:i4>
      </vt:variant>
      <vt:variant>
        <vt:i4>0</vt:i4>
      </vt:variant>
      <vt:variant>
        <vt:i4>5</vt:i4>
      </vt:variant>
      <vt:variant>
        <vt:lpwstr/>
      </vt:variant>
      <vt:variant>
        <vt:lpwstr>_Toc201146267</vt:lpwstr>
      </vt:variant>
      <vt:variant>
        <vt:i4>1441845</vt:i4>
      </vt:variant>
      <vt:variant>
        <vt:i4>1667</vt:i4>
      </vt:variant>
      <vt:variant>
        <vt:i4>0</vt:i4>
      </vt:variant>
      <vt:variant>
        <vt:i4>5</vt:i4>
      </vt:variant>
      <vt:variant>
        <vt:lpwstr/>
      </vt:variant>
      <vt:variant>
        <vt:lpwstr>_Toc201146266</vt:lpwstr>
      </vt:variant>
      <vt:variant>
        <vt:i4>1441845</vt:i4>
      </vt:variant>
      <vt:variant>
        <vt:i4>1661</vt:i4>
      </vt:variant>
      <vt:variant>
        <vt:i4>0</vt:i4>
      </vt:variant>
      <vt:variant>
        <vt:i4>5</vt:i4>
      </vt:variant>
      <vt:variant>
        <vt:lpwstr/>
      </vt:variant>
      <vt:variant>
        <vt:lpwstr>_Toc201146265</vt:lpwstr>
      </vt:variant>
      <vt:variant>
        <vt:i4>1441845</vt:i4>
      </vt:variant>
      <vt:variant>
        <vt:i4>1655</vt:i4>
      </vt:variant>
      <vt:variant>
        <vt:i4>0</vt:i4>
      </vt:variant>
      <vt:variant>
        <vt:i4>5</vt:i4>
      </vt:variant>
      <vt:variant>
        <vt:lpwstr/>
      </vt:variant>
      <vt:variant>
        <vt:lpwstr>_Toc201146264</vt:lpwstr>
      </vt:variant>
      <vt:variant>
        <vt:i4>1441845</vt:i4>
      </vt:variant>
      <vt:variant>
        <vt:i4>1652</vt:i4>
      </vt:variant>
      <vt:variant>
        <vt:i4>0</vt:i4>
      </vt:variant>
      <vt:variant>
        <vt:i4>5</vt:i4>
      </vt:variant>
      <vt:variant>
        <vt:lpwstr/>
      </vt:variant>
      <vt:variant>
        <vt:lpwstr>_Toc201146263</vt:lpwstr>
      </vt:variant>
      <vt:variant>
        <vt:i4>1441845</vt:i4>
      </vt:variant>
      <vt:variant>
        <vt:i4>1649</vt:i4>
      </vt:variant>
      <vt:variant>
        <vt:i4>0</vt:i4>
      </vt:variant>
      <vt:variant>
        <vt:i4>5</vt:i4>
      </vt:variant>
      <vt:variant>
        <vt:lpwstr/>
      </vt:variant>
      <vt:variant>
        <vt:lpwstr>_Toc201146262</vt:lpwstr>
      </vt:variant>
      <vt:variant>
        <vt:i4>1441845</vt:i4>
      </vt:variant>
      <vt:variant>
        <vt:i4>1643</vt:i4>
      </vt:variant>
      <vt:variant>
        <vt:i4>0</vt:i4>
      </vt:variant>
      <vt:variant>
        <vt:i4>5</vt:i4>
      </vt:variant>
      <vt:variant>
        <vt:lpwstr/>
      </vt:variant>
      <vt:variant>
        <vt:lpwstr>_Toc201146261</vt:lpwstr>
      </vt:variant>
      <vt:variant>
        <vt:i4>1441845</vt:i4>
      </vt:variant>
      <vt:variant>
        <vt:i4>1637</vt:i4>
      </vt:variant>
      <vt:variant>
        <vt:i4>0</vt:i4>
      </vt:variant>
      <vt:variant>
        <vt:i4>5</vt:i4>
      </vt:variant>
      <vt:variant>
        <vt:lpwstr/>
      </vt:variant>
      <vt:variant>
        <vt:lpwstr>_Toc201146260</vt:lpwstr>
      </vt:variant>
      <vt:variant>
        <vt:i4>1376309</vt:i4>
      </vt:variant>
      <vt:variant>
        <vt:i4>1631</vt:i4>
      </vt:variant>
      <vt:variant>
        <vt:i4>0</vt:i4>
      </vt:variant>
      <vt:variant>
        <vt:i4>5</vt:i4>
      </vt:variant>
      <vt:variant>
        <vt:lpwstr/>
      </vt:variant>
      <vt:variant>
        <vt:lpwstr>_Toc201146259</vt:lpwstr>
      </vt:variant>
      <vt:variant>
        <vt:i4>1376309</vt:i4>
      </vt:variant>
      <vt:variant>
        <vt:i4>1625</vt:i4>
      </vt:variant>
      <vt:variant>
        <vt:i4>0</vt:i4>
      </vt:variant>
      <vt:variant>
        <vt:i4>5</vt:i4>
      </vt:variant>
      <vt:variant>
        <vt:lpwstr/>
      </vt:variant>
      <vt:variant>
        <vt:lpwstr>_Toc201146258</vt:lpwstr>
      </vt:variant>
      <vt:variant>
        <vt:i4>1376309</vt:i4>
      </vt:variant>
      <vt:variant>
        <vt:i4>1619</vt:i4>
      </vt:variant>
      <vt:variant>
        <vt:i4>0</vt:i4>
      </vt:variant>
      <vt:variant>
        <vt:i4>5</vt:i4>
      </vt:variant>
      <vt:variant>
        <vt:lpwstr/>
      </vt:variant>
      <vt:variant>
        <vt:lpwstr>_Toc201146257</vt:lpwstr>
      </vt:variant>
      <vt:variant>
        <vt:i4>1376309</vt:i4>
      </vt:variant>
      <vt:variant>
        <vt:i4>1616</vt:i4>
      </vt:variant>
      <vt:variant>
        <vt:i4>0</vt:i4>
      </vt:variant>
      <vt:variant>
        <vt:i4>5</vt:i4>
      </vt:variant>
      <vt:variant>
        <vt:lpwstr/>
      </vt:variant>
      <vt:variant>
        <vt:lpwstr>_Toc201146256</vt:lpwstr>
      </vt:variant>
      <vt:variant>
        <vt:i4>1376309</vt:i4>
      </vt:variant>
      <vt:variant>
        <vt:i4>1610</vt:i4>
      </vt:variant>
      <vt:variant>
        <vt:i4>0</vt:i4>
      </vt:variant>
      <vt:variant>
        <vt:i4>5</vt:i4>
      </vt:variant>
      <vt:variant>
        <vt:lpwstr/>
      </vt:variant>
      <vt:variant>
        <vt:lpwstr>_Toc201146255</vt:lpwstr>
      </vt:variant>
      <vt:variant>
        <vt:i4>1376309</vt:i4>
      </vt:variant>
      <vt:variant>
        <vt:i4>1604</vt:i4>
      </vt:variant>
      <vt:variant>
        <vt:i4>0</vt:i4>
      </vt:variant>
      <vt:variant>
        <vt:i4>5</vt:i4>
      </vt:variant>
      <vt:variant>
        <vt:lpwstr/>
      </vt:variant>
      <vt:variant>
        <vt:lpwstr>_Toc201146254</vt:lpwstr>
      </vt:variant>
      <vt:variant>
        <vt:i4>1376309</vt:i4>
      </vt:variant>
      <vt:variant>
        <vt:i4>1598</vt:i4>
      </vt:variant>
      <vt:variant>
        <vt:i4>0</vt:i4>
      </vt:variant>
      <vt:variant>
        <vt:i4>5</vt:i4>
      </vt:variant>
      <vt:variant>
        <vt:lpwstr/>
      </vt:variant>
      <vt:variant>
        <vt:lpwstr>_Toc201146253</vt:lpwstr>
      </vt:variant>
      <vt:variant>
        <vt:i4>1376309</vt:i4>
      </vt:variant>
      <vt:variant>
        <vt:i4>1592</vt:i4>
      </vt:variant>
      <vt:variant>
        <vt:i4>0</vt:i4>
      </vt:variant>
      <vt:variant>
        <vt:i4>5</vt:i4>
      </vt:variant>
      <vt:variant>
        <vt:lpwstr/>
      </vt:variant>
      <vt:variant>
        <vt:lpwstr>_Toc201146252</vt:lpwstr>
      </vt:variant>
      <vt:variant>
        <vt:i4>1376309</vt:i4>
      </vt:variant>
      <vt:variant>
        <vt:i4>1586</vt:i4>
      </vt:variant>
      <vt:variant>
        <vt:i4>0</vt:i4>
      </vt:variant>
      <vt:variant>
        <vt:i4>5</vt:i4>
      </vt:variant>
      <vt:variant>
        <vt:lpwstr/>
      </vt:variant>
      <vt:variant>
        <vt:lpwstr>_Toc201146251</vt:lpwstr>
      </vt:variant>
      <vt:variant>
        <vt:i4>1376309</vt:i4>
      </vt:variant>
      <vt:variant>
        <vt:i4>1580</vt:i4>
      </vt:variant>
      <vt:variant>
        <vt:i4>0</vt:i4>
      </vt:variant>
      <vt:variant>
        <vt:i4>5</vt:i4>
      </vt:variant>
      <vt:variant>
        <vt:lpwstr/>
      </vt:variant>
      <vt:variant>
        <vt:lpwstr>_Toc201146250</vt:lpwstr>
      </vt:variant>
      <vt:variant>
        <vt:i4>1310773</vt:i4>
      </vt:variant>
      <vt:variant>
        <vt:i4>1574</vt:i4>
      </vt:variant>
      <vt:variant>
        <vt:i4>0</vt:i4>
      </vt:variant>
      <vt:variant>
        <vt:i4>5</vt:i4>
      </vt:variant>
      <vt:variant>
        <vt:lpwstr/>
      </vt:variant>
      <vt:variant>
        <vt:lpwstr>_Toc201146249</vt:lpwstr>
      </vt:variant>
      <vt:variant>
        <vt:i4>1310773</vt:i4>
      </vt:variant>
      <vt:variant>
        <vt:i4>1568</vt:i4>
      </vt:variant>
      <vt:variant>
        <vt:i4>0</vt:i4>
      </vt:variant>
      <vt:variant>
        <vt:i4>5</vt:i4>
      </vt:variant>
      <vt:variant>
        <vt:lpwstr/>
      </vt:variant>
      <vt:variant>
        <vt:lpwstr>_Toc201146248</vt:lpwstr>
      </vt:variant>
      <vt:variant>
        <vt:i4>1310773</vt:i4>
      </vt:variant>
      <vt:variant>
        <vt:i4>1562</vt:i4>
      </vt:variant>
      <vt:variant>
        <vt:i4>0</vt:i4>
      </vt:variant>
      <vt:variant>
        <vt:i4>5</vt:i4>
      </vt:variant>
      <vt:variant>
        <vt:lpwstr/>
      </vt:variant>
      <vt:variant>
        <vt:lpwstr>_Toc201146247</vt:lpwstr>
      </vt:variant>
      <vt:variant>
        <vt:i4>1310773</vt:i4>
      </vt:variant>
      <vt:variant>
        <vt:i4>1556</vt:i4>
      </vt:variant>
      <vt:variant>
        <vt:i4>0</vt:i4>
      </vt:variant>
      <vt:variant>
        <vt:i4>5</vt:i4>
      </vt:variant>
      <vt:variant>
        <vt:lpwstr/>
      </vt:variant>
      <vt:variant>
        <vt:lpwstr>_Toc201146246</vt:lpwstr>
      </vt:variant>
      <vt:variant>
        <vt:i4>1310773</vt:i4>
      </vt:variant>
      <vt:variant>
        <vt:i4>1550</vt:i4>
      </vt:variant>
      <vt:variant>
        <vt:i4>0</vt:i4>
      </vt:variant>
      <vt:variant>
        <vt:i4>5</vt:i4>
      </vt:variant>
      <vt:variant>
        <vt:lpwstr/>
      </vt:variant>
      <vt:variant>
        <vt:lpwstr>_Toc201146245</vt:lpwstr>
      </vt:variant>
      <vt:variant>
        <vt:i4>1310773</vt:i4>
      </vt:variant>
      <vt:variant>
        <vt:i4>1544</vt:i4>
      </vt:variant>
      <vt:variant>
        <vt:i4>0</vt:i4>
      </vt:variant>
      <vt:variant>
        <vt:i4>5</vt:i4>
      </vt:variant>
      <vt:variant>
        <vt:lpwstr/>
      </vt:variant>
      <vt:variant>
        <vt:lpwstr>_Toc201146244</vt:lpwstr>
      </vt:variant>
      <vt:variant>
        <vt:i4>1310773</vt:i4>
      </vt:variant>
      <vt:variant>
        <vt:i4>1538</vt:i4>
      </vt:variant>
      <vt:variant>
        <vt:i4>0</vt:i4>
      </vt:variant>
      <vt:variant>
        <vt:i4>5</vt:i4>
      </vt:variant>
      <vt:variant>
        <vt:lpwstr/>
      </vt:variant>
      <vt:variant>
        <vt:lpwstr>_Toc201146243</vt:lpwstr>
      </vt:variant>
      <vt:variant>
        <vt:i4>1310773</vt:i4>
      </vt:variant>
      <vt:variant>
        <vt:i4>1532</vt:i4>
      </vt:variant>
      <vt:variant>
        <vt:i4>0</vt:i4>
      </vt:variant>
      <vt:variant>
        <vt:i4>5</vt:i4>
      </vt:variant>
      <vt:variant>
        <vt:lpwstr/>
      </vt:variant>
      <vt:variant>
        <vt:lpwstr>_Toc201146242</vt:lpwstr>
      </vt:variant>
      <vt:variant>
        <vt:i4>1310773</vt:i4>
      </vt:variant>
      <vt:variant>
        <vt:i4>1526</vt:i4>
      </vt:variant>
      <vt:variant>
        <vt:i4>0</vt:i4>
      </vt:variant>
      <vt:variant>
        <vt:i4>5</vt:i4>
      </vt:variant>
      <vt:variant>
        <vt:lpwstr/>
      </vt:variant>
      <vt:variant>
        <vt:lpwstr>_Toc201146241</vt:lpwstr>
      </vt:variant>
      <vt:variant>
        <vt:i4>1310773</vt:i4>
      </vt:variant>
      <vt:variant>
        <vt:i4>1520</vt:i4>
      </vt:variant>
      <vt:variant>
        <vt:i4>0</vt:i4>
      </vt:variant>
      <vt:variant>
        <vt:i4>5</vt:i4>
      </vt:variant>
      <vt:variant>
        <vt:lpwstr/>
      </vt:variant>
      <vt:variant>
        <vt:lpwstr>_Toc201146240</vt:lpwstr>
      </vt:variant>
      <vt:variant>
        <vt:i4>1245237</vt:i4>
      </vt:variant>
      <vt:variant>
        <vt:i4>1514</vt:i4>
      </vt:variant>
      <vt:variant>
        <vt:i4>0</vt:i4>
      </vt:variant>
      <vt:variant>
        <vt:i4>5</vt:i4>
      </vt:variant>
      <vt:variant>
        <vt:lpwstr/>
      </vt:variant>
      <vt:variant>
        <vt:lpwstr>_Toc201146239</vt:lpwstr>
      </vt:variant>
      <vt:variant>
        <vt:i4>1245237</vt:i4>
      </vt:variant>
      <vt:variant>
        <vt:i4>1508</vt:i4>
      </vt:variant>
      <vt:variant>
        <vt:i4>0</vt:i4>
      </vt:variant>
      <vt:variant>
        <vt:i4>5</vt:i4>
      </vt:variant>
      <vt:variant>
        <vt:lpwstr/>
      </vt:variant>
      <vt:variant>
        <vt:lpwstr>_Toc201146238</vt:lpwstr>
      </vt:variant>
      <vt:variant>
        <vt:i4>1245237</vt:i4>
      </vt:variant>
      <vt:variant>
        <vt:i4>1502</vt:i4>
      </vt:variant>
      <vt:variant>
        <vt:i4>0</vt:i4>
      </vt:variant>
      <vt:variant>
        <vt:i4>5</vt:i4>
      </vt:variant>
      <vt:variant>
        <vt:lpwstr/>
      </vt:variant>
      <vt:variant>
        <vt:lpwstr>_Toc201146237</vt:lpwstr>
      </vt:variant>
      <vt:variant>
        <vt:i4>1245237</vt:i4>
      </vt:variant>
      <vt:variant>
        <vt:i4>1496</vt:i4>
      </vt:variant>
      <vt:variant>
        <vt:i4>0</vt:i4>
      </vt:variant>
      <vt:variant>
        <vt:i4>5</vt:i4>
      </vt:variant>
      <vt:variant>
        <vt:lpwstr/>
      </vt:variant>
      <vt:variant>
        <vt:lpwstr>_Toc201146236</vt:lpwstr>
      </vt:variant>
      <vt:variant>
        <vt:i4>1245237</vt:i4>
      </vt:variant>
      <vt:variant>
        <vt:i4>1490</vt:i4>
      </vt:variant>
      <vt:variant>
        <vt:i4>0</vt:i4>
      </vt:variant>
      <vt:variant>
        <vt:i4>5</vt:i4>
      </vt:variant>
      <vt:variant>
        <vt:lpwstr/>
      </vt:variant>
      <vt:variant>
        <vt:lpwstr>_Toc201146235</vt:lpwstr>
      </vt:variant>
      <vt:variant>
        <vt:i4>1245237</vt:i4>
      </vt:variant>
      <vt:variant>
        <vt:i4>1484</vt:i4>
      </vt:variant>
      <vt:variant>
        <vt:i4>0</vt:i4>
      </vt:variant>
      <vt:variant>
        <vt:i4>5</vt:i4>
      </vt:variant>
      <vt:variant>
        <vt:lpwstr/>
      </vt:variant>
      <vt:variant>
        <vt:lpwstr>_Toc201146234</vt:lpwstr>
      </vt:variant>
      <vt:variant>
        <vt:i4>1245237</vt:i4>
      </vt:variant>
      <vt:variant>
        <vt:i4>1478</vt:i4>
      </vt:variant>
      <vt:variant>
        <vt:i4>0</vt:i4>
      </vt:variant>
      <vt:variant>
        <vt:i4>5</vt:i4>
      </vt:variant>
      <vt:variant>
        <vt:lpwstr/>
      </vt:variant>
      <vt:variant>
        <vt:lpwstr>_Toc201146233</vt:lpwstr>
      </vt:variant>
      <vt:variant>
        <vt:i4>1245237</vt:i4>
      </vt:variant>
      <vt:variant>
        <vt:i4>1472</vt:i4>
      </vt:variant>
      <vt:variant>
        <vt:i4>0</vt:i4>
      </vt:variant>
      <vt:variant>
        <vt:i4>5</vt:i4>
      </vt:variant>
      <vt:variant>
        <vt:lpwstr/>
      </vt:variant>
      <vt:variant>
        <vt:lpwstr>_Toc201146232</vt:lpwstr>
      </vt:variant>
      <vt:variant>
        <vt:i4>1245237</vt:i4>
      </vt:variant>
      <vt:variant>
        <vt:i4>1466</vt:i4>
      </vt:variant>
      <vt:variant>
        <vt:i4>0</vt:i4>
      </vt:variant>
      <vt:variant>
        <vt:i4>5</vt:i4>
      </vt:variant>
      <vt:variant>
        <vt:lpwstr/>
      </vt:variant>
      <vt:variant>
        <vt:lpwstr>_Toc201146231</vt:lpwstr>
      </vt:variant>
      <vt:variant>
        <vt:i4>1245237</vt:i4>
      </vt:variant>
      <vt:variant>
        <vt:i4>1460</vt:i4>
      </vt:variant>
      <vt:variant>
        <vt:i4>0</vt:i4>
      </vt:variant>
      <vt:variant>
        <vt:i4>5</vt:i4>
      </vt:variant>
      <vt:variant>
        <vt:lpwstr/>
      </vt:variant>
      <vt:variant>
        <vt:lpwstr>_Toc201146230</vt:lpwstr>
      </vt:variant>
      <vt:variant>
        <vt:i4>1179701</vt:i4>
      </vt:variant>
      <vt:variant>
        <vt:i4>1454</vt:i4>
      </vt:variant>
      <vt:variant>
        <vt:i4>0</vt:i4>
      </vt:variant>
      <vt:variant>
        <vt:i4>5</vt:i4>
      </vt:variant>
      <vt:variant>
        <vt:lpwstr/>
      </vt:variant>
      <vt:variant>
        <vt:lpwstr>_Toc201146229</vt:lpwstr>
      </vt:variant>
      <vt:variant>
        <vt:i4>1179701</vt:i4>
      </vt:variant>
      <vt:variant>
        <vt:i4>1448</vt:i4>
      </vt:variant>
      <vt:variant>
        <vt:i4>0</vt:i4>
      </vt:variant>
      <vt:variant>
        <vt:i4>5</vt:i4>
      </vt:variant>
      <vt:variant>
        <vt:lpwstr/>
      </vt:variant>
      <vt:variant>
        <vt:lpwstr>_Toc201146228</vt:lpwstr>
      </vt:variant>
      <vt:variant>
        <vt:i4>1179701</vt:i4>
      </vt:variant>
      <vt:variant>
        <vt:i4>1442</vt:i4>
      </vt:variant>
      <vt:variant>
        <vt:i4>0</vt:i4>
      </vt:variant>
      <vt:variant>
        <vt:i4>5</vt:i4>
      </vt:variant>
      <vt:variant>
        <vt:lpwstr/>
      </vt:variant>
      <vt:variant>
        <vt:lpwstr>_Toc201146227</vt:lpwstr>
      </vt:variant>
      <vt:variant>
        <vt:i4>1179701</vt:i4>
      </vt:variant>
      <vt:variant>
        <vt:i4>1436</vt:i4>
      </vt:variant>
      <vt:variant>
        <vt:i4>0</vt:i4>
      </vt:variant>
      <vt:variant>
        <vt:i4>5</vt:i4>
      </vt:variant>
      <vt:variant>
        <vt:lpwstr/>
      </vt:variant>
      <vt:variant>
        <vt:lpwstr>_Toc201146226</vt:lpwstr>
      </vt:variant>
      <vt:variant>
        <vt:i4>1179701</vt:i4>
      </vt:variant>
      <vt:variant>
        <vt:i4>1430</vt:i4>
      </vt:variant>
      <vt:variant>
        <vt:i4>0</vt:i4>
      </vt:variant>
      <vt:variant>
        <vt:i4>5</vt:i4>
      </vt:variant>
      <vt:variant>
        <vt:lpwstr/>
      </vt:variant>
      <vt:variant>
        <vt:lpwstr>_Toc201146225</vt:lpwstr>
      </vt:variant>
      <vt:variant>
        <vt:i4>1179701</vt:i4>
      </vt:variant>
      <vt:variant>
        <vt:i4>1424</vt:i4>
      </vt:variant>
      <vt:variant>
        <vt:i4>0</vt:i4>
      </vt:variant>
      <vt:variant>
        <vt:i4>5</vt:i4>
      </vt:variant>
      <vt:variant>
        <vt:lpwstr/>
      </vt:variant>
      <vt:variant>
        <vt:lpwstr>_Toc201146224</vt:lpwstr>
      </vt:variant>
      <vt:variant>
        <vt:i4>1179701</vt:i4>
      </vt:variant>
      <vt:variant>
        <vt:i4>1418</vt:i4>
      </vt:variant>
      <vt:variant>
        <vt:i4>0</vt:i4>
      </vt:variant>
      <vt:variant>
        <vt:i4>5</vt:i4>
      </vt:variant>
      <vt:variant>
        <vt:lpwstr/>
      </vt:variant>
      <vt:variant>
        <vt:lpwstr>_Toc201146223</vt:lpwstr>
      </vt:variant>
      <vt:variant>
        <vt:i4>1179701</vt:i4>
      </vt:variant>
      <vt:variant>
        <vt:i4>1412</vt:i4>
      </vt:variant>
      <vt:variant>
        <vt:i4>0</vt:i4>
      </vt:variant>
      <vt:variant>
        <vt:i4>5</vt:i4>
      </vt:variant>
      <vt:variant>
        <vt:lpwstr/>
      </vt:variant>
      <vt:variant>
        <vt:lpwstr>_Toc201146222</vt:lpwstr>
      </vt:variant>
      <vt:variant>
        <vt:i4>1179701</vt:i4>
      </vt:variant>
      <vt:variant>
        <vt:i4>1406</vt:i4>
      </vt:variant>
      <vt:variant>
        <vt:i4>0</vt:i4>
      </vt:variant>
      <vt:variant>
        <vt:i4>5</vt:i4>
      </vt:variant>
      <vt:variant>
        <vt:lpwstr/>
      </vt:variant>
      <vt:variant>
        <vt:lpwstr>_Toc201146221</vt:lpwstr>
      </vt:variant>
      <vt:variant>
        <vt:i4>1179701</vt:i4>
      </vt:variant>
      <vt:variant>
        <vt:i4>1400</vt:i4>
      </vt:variant>
      <vt:variant>
        <vt:i4>0</vt:i4>
      </vt:variant>
      <vt:variant>
        <vt:i4>5</vt:i4>
      </vt:variant>
      <vt:variant>
        <vt:lpwstr/>
      </vt:variant>
      <vt:variant>
        <vt:lpwstr>_Toc201146220</vt:lpwstr>
      </vt:variant>
      <vt:variant>
        <vt:i4>1114165</vt:i4>
      </vt:variant>
      <vt:variant>
        <vt:i4>1394</vt:i4>
      </vt:variant>
      <vt:variant>
        <vt:i4>0</vt:i4>
      </vt:variant>
      <vt:variant>
        <vt:i4>5</vt:i4>
      </vt:variant>
      <vt:variant>
        <vt:lpwstr/>
      </vt:variant>
      <vt:variant>
        <vt:lpwstr>_Toc201146219</vt:lpwstr>
      </vt:variant>
      <vt:variant>
        <vt:i4>1114165</vt:i4>
      </vt:variant>
      <vt:variant>
        <vt:i4>1388</vt:i4>
      </vt:variant>
      <vt:variant>
        <vt:i4>0</vt:i4>
      </vt:variant>
      <vt:variant>
        <vt:i4>5</vt:i4>
      </vt:variant>
      <vt:variant>
        <vt:lpwstr/>
      </vt:variant>
      <vt:variant>
        <vt:lpwstr>_Toc201146218</vt:lpwstr>
      </vt:variant>
      <vt:variant>
        <vt:i4>1114165</vt:i4>
      </vt:variant>
      <vt:variant>
        <vt:i4>1382</vt:i4>
      </vt:variant>
      <vt:variant>
        <vt:i4>0</vt:i4>
      </vt:variant>
      <vt:variant>
        <vt:i4>5</vt:i4>
      </vt:variant>
      <vt:variant>
        <vt:lpwstr/>
      </vt:variant>
      <vt:variant>
        <vt:lpwstr>_Toc201146217</vt:lpwstr>
      </vt:variant>
      <vt:variant>
        <vt:i4>1114165</vt:i4>
      </vt:variant>
      <vt:variant>
        <vt:i4>1376</vt:i4>
      </vt:variant>
      <vt:variant>
        <vt:i4>0</vt:i4>
      </vt:variant>
      <vt:variant>
        <vt:i4>5</vt:i4>
      </vt:variant>
      <vt:variant>
        <vt:lpwstr/>
      </vt:variant>
      <vt:variant>
        <vt:lpwstr>_Toc201146216</vt:lpwstr>
      </vt:variant>
      <vt:variant>
        <vt:i4>1114165</vt:i4>
      </vt:variant>
      <vt:variant>
        <vt:i4>1370</vt:i4>
      </vt:variant>
      <vt:variant>
        <vt:i4>0</vt:i4>
      </vt:variant>
      <vt:variant>
        <vt:i4>5</vt:i4>
      </vt:variant>
      <vt:variant>
        <vt:lpwstr/>
      </vt:variant>
      <vt:variant>
        <vt:lpwstr>_Toc201146215</vt:lpwstr>
      </vt:variant>
      <vt:variant>
        <vt:i4>1114165</vt:i4>
      </vt:variant>
      <vt:variant>
        <vt:i4>1364</vt:i4>
      </vt:variant>
      <vt:variant>
        <vt:i4>0</vt:i4>
      </vt:variant>
      <vt:variant>
        <vt:i4>5</vt:i4>
      </vt:variant>
      <vt:variant>
        <vt:lpwstr/>
      </vt:variant>
      <vt:variant>
        <vt:lpwstr>_Toc201146214</vt:lpwstr>
      </vt:variant>
      <vt:variant>
        <vt:i4>1114165</vt:i4>
      </vt:variant>
      <vt:variant>
        <vt:i4>1358</vt:i4>
      </vt:variant>
      <vt:variant>
        <vt:i4>0</vt:i4>
      </vt:variant>
      <vt:variant>
        <vt:i4>5</vt:i4>
      </vt:variant>
      <vt:variant>
        <vt:lpwstr/>
      </vt:variant>
      <vt:variant>
        <vt:lpwstr>_Toc201146213</vt:lpwstr>
      </vt:variant>
      <vt:variant>
        <vt:i4>1114165</vt:i4>
      </vt:variant>
      <vt:variant>
        <vt:i4>1352</vt:i4>
      </vt:variant>
      <vt:variant>
        <vt:i4>0</vt:i4>
      </vt:variant>
      <vt:variant>
        <vt:i4>5</vt:i4>
      </vt:variant>
      <vt:variant>
        <vt:lpwstr/>
      </vt:variant>
      <vt:variant>
        <vt:lpwstr>_Toc201146212</vt:lpwstr>
      </vt:variant>
      <vt:variant>
        <vt:i4>1114165</vt:i4>
      </vt:variant>
      <vt:variant>
        <vt:i4>1346</vt:i4>
      </vt:variant>
      <vt:variant>
        <vt:i4>0</vt:i4>
      </vt:variant>
      <vt:variant>
        <vt:i4>5</vt:i4>
      </vt:variant>
      <vt:variant>
        <vt:lpwstr/>
      </vt:variant>
      <vt:variant>
        <vt:lpwstr>_Toc201146211</vt:lpwstr>
      </vt:variant>
      <vt:variant>
        <vt:i4>1114165</vt:i4>
      </vt:variant>
      <vt:variant>
        <vt:i4>1340</vt:i4>
      </vt:variant>
      <vt:variant>
        <vt:i4>0</vt:i4>
      </vt:variant>
      <vt:variant>
        <vt:i4>5</vt:i4>
      </vt:variant>
      <vt:variant>
        <vt:lpwstr/>
      </vt:variant>
      <vt:variant>
        <vt:lpwstr>_Toc201146210</vt:lpwstr>
      </vt:variant>
      <vt:variant>
        <vt:i4>1048629</vt:i4>
      </vt:variant>
      <vt:variant>
        <vt:i4>1334</vt:i4>
      </vt:variant>
      <vt:variant>
        <vt:i4>0</vt:i4>
      </vt:variant>
      <vt:variant>
        <vt:i4>5</vt:i4>
      </vt:variant>
      <vt:variant>
        <vt:lpwstr/>
      </vt:variant>
      <vt:variant>
        <vt:lpwstr>_Toc201146209</vt:lpwstr>
      </vt:variant>
      <vt:variant>
        <vt:i4>1048629</vt:i4>
      </vt:variant>
      <vt:variant>
        <vt:i4>1328</vt:i4>
      </vt:variant>
      <vt:variant>
        <vt:i4>0</vt:i4>
      </vt:variant>
      <vt:variant>
        <vt:i4>5</vt:i4>
      </vt:variant>
      <vt:variant>
        <vt:lpwstr/>
      </vt:variant>
      <vt:variant>
        <vt:lpwstr>_Toc201146208</vt:lpwstr>
      </vt:variant>
      <vt:variant>
        <vt:i4>1048629</vt:i4>
      </vt:variant>
      <vt:variant>
        <vt:i4>1322</vt:i4>
      </vt:variant>
      <vt:variant>
        <vt:i4>0</vt:i4>
      </vt:variant>
      <vt:variant>
        <vt:i4>5</vt:i4>
      </vt:variant>
      <vt:variant>
        <vt:lpwstr/>
      </vt:variant>
      <vt:variant>
        <vt:lpwstr>_Toc201146207</vt:lpwstr>
      </vt:variant>
      <vt:variant>
        <vt:i4>1048629</vt:i4>
      </vt:variant>
      <vt:variant>
        <vt:i4>1316</vt:i4>
      </vt:variant>
      <vt:variant>
        <vt:i4>0</vt:i4>
      </vt:variant>
      <vt:variant>
        <vt:i4>5</vt:i4>
      </vt:variant>
      <vt:variant>
        <vt:lpwstr/>
      </vt:variant>
      <vt:variant>
        <vt:lpwstr>_Toc201146206</vt:lpwstr>
      </vt:variant>
      <vt:variant>
        <vt:i4>1048629</vt:i4>
      </vt:variant>
      <vt:variant>
        <vt:i4>1310</vt:i4>
      </vt:variant>
      <vt:variant>
        <vt:i4>0</vt:i4>
      </vt:variant>
      <vt:variant>
        <vt:i4>5</vt:i4>
      </vt:variant>
      <vt:variant>
        <vt:lpwstr/>
      </vt:variant>
      <vt:variant>
        <vt:lpwstr>_Toc201146205</vt:lpwstr>
      </vt:variant>
      <vt:variant>
        <vt:i4>1048629</vt:i4>
      </vt:variant>
      <vt:variant>
        <vt:i4>1304</vt:i4>
      </vt:variant>
      <vt:variant>
        <vt:i4>0</vt:i4>
      </vt:variant>
      <vt:variant>
        <vt:i4>5</vt:i4>
      </vt:variant>
      <vt:variant>
        <vt:lpwstr/>
      </vt:variant>
      <vt:variant>
        <vt:lpwstr>_Toc201146204</vt:lpwstr>
      </vt:variant>
      <vt:variant>
        <vt:i4>1048629</vt:i4>
      </vt:variant>
      <vt:variant>
        <vt:i4>1298</vt:i4>
      </vt:variant>
      <vt:variant>
        <vt:i4>0</vt:i4>
      </vt:variant>
      <vt:variant>
        <vt:i4>5</vt:i4>
      </vt:variant>
      <vt:variant>
        <vt:lpwstr/>
      </vt:variant>
      <vt:variant>
        <vt:lpwstr>_Toc201146203</vt:lpwstr>
      </vt:variant>
      <vt:variant>
        <vt:i4>1048629</vt:i4>
      </vt:variant>
      <vt:variant>
        <vt:i4>1292</vt:i4>
      </vt:variant>
      <vt:variant>
        <vt:i4>0</vt:i4>
      </vt:variant>
      <vt:variant>
        <vt:i4>5</vt:i4>
      </vt:variant>
      <vt:variant>
        <vt:lpwstr/>
      </vt:variant>
      <vt:variant>
        <vt:lpwstr>_Toc201146202</vt:lpwstr>
      </vt:variant>
      <vt:variant>
        <vt:i4>1048629</vt:i4>
      </vt:variant>
      <vt:variant>
        <vt:i4>1286</vt:i4>
      </vt:variant>
      <vt:variant>
        <vt:i4>0</vt:i4>
      </vt:variant>
      <vt:variant>
        <vt:i4>5</vt:i4>
      </vt:variant>
      <vt:variant>
        <vt:lpwstr/>
      </vt:variant>
      <vt:variant>
        <vt:lpwstr>_Toc201146201</vt:lpwstr>
      </vt:variant>
      <vt:variant>
        <vt:i4>1048629</vt:i4>
      </vt:variant>
      <vt:variant>
        <vt:i4>1280</vt:i4>
      </vt:variant>
      <vt:variant>
        <vt:i4>0</vt:i4>
      </vt:variant>
      <vt:variant>
        <vt:i4>5</vt:i4>
      </vt:variant>
      <vt:variant>
        <vt:lpwstr/>
      </vt:variant>
      <vt:variant>
        <vt:lpwstr>_Toc201146200</vt:lpwstr>
      </vt:variant>
      <vt:variant>
        <vt:i4>1638454</vt:i4>
      </vt:variant>
      <vt:variant>
        <vt:i4>1274</vt:i4>
      </vt:variant>
      <vt:variant>
        <vt:i4>0</vt:i4>
      </vt:variant>
      <vt:variant>
        <vt:i4>5</vt:i4>
      </vt:variant>
      <vt:variant>
        <vt:lpwstr/>
      </vt:variant>
      <vt:variant>
        <vt:lpwstr>_Toc201146199</vt:lpwstr>
      </vt:variant>
      <vt:variant>
        <vt:i4>1638454</vt:i4>
      </vt:variant>
      <vt:variant>
        <vt:i4>1268</vt:i4>
      </vt:variant>
      <vt:variant>
        <vt:i4>0</vt:i4>
      </vt:variant>
      <vt:variant>
        <vt:i4>5</vt:i4>
      </vt:variant>
      <vt:variant>
        <vt:lpwstr/>
      </vt:variant>
      <vt:variant>
        <vt:lpwstr>_Toc201146198</vt:lpwstr>
      </vt:variant>
      <vt:variant>
        <vt:i4>1638454</vt:i4>
      </vt:variant>
      <vt:variant>
        <vt:i4>1262</vt:i4>
      </vt:variant>
      <vt:variant>
        <vt:i4>0</vt:i4>
      </vt:variant>
      <vt:variant>
        <vt:i4>5</vt:i4>
      </vt:variant>
      <vt:variant>
        <vt:lpwstr/>
      </vt:variant>
      <vt:variant>
        <vt:lpwstr>_Toc201146197</vt:lpwstr>
      </vt:variant>
      <vt:variant>
        <vt:i4>1638454</vt:i4>
      </vt:variant>
      <vt:variant>
        <vt:i4>1256</vt:i4>
      </vt:variant>
      <vt:variant>
        <vt:i4>0</vt:i4>
      </vt:variant>
      <vt:variant>
        <vt:i4>5</vt:i4>
      </vt:variant>
      <vt:variant>
        <vt:lpwstr/>
      </vt:variant>
      <vt:variant>
        <vt:lpwstr>_Toc201146196</vt:lpwstr>
      </vt:variant>
      <vt:variant>
        <vt:i4>1638454</vt:i4>
      </vt:variant>
      <vt:variant>
        <vt:i4>1250</vt:i4>
      </vt:variant>
      <vt:variant>
        <vt:i4>0</vt:i4>
      </vt:variant>
      <vt:variant>
        <vt:i4>5</vt:i4>
      </vt:variant>
      <vt:variant>
        <vt:lpwstr/>
      </vt:variant>
      <vt:variant>
        <vt:lpwstr>_Toc201146195</vt:lpwstr>
      </vt:variant>
      <vt:variant>
        <vt:i4>1638454</vt:i4>
      </vt:variant>
      <vt:variant>
        <vt:i4>1244</vt:i4>
      </vt:variant>
      <vt:variant>
        <vt:i4>0</vt:i4>
      </vt:variant>
      <vt:variant>
        <vt:i4>5</vt:i4>
      </vt:variant>
      <vt:variant>
        <vt:lpwstr/>
      </vt:variant>
      <vt:variant>
        <vt:lpwstr>_Toc201146194</vt:lpwstr>
      </vt:variant>
      <vt:variant>
        <vt:i4>1638454</vt:i4>
      </vt:variant>
      <vt:variant>
        <vt:i4>1238</vt:i4>
      </vt:variant>
      <vt:variant>
        <vt:i4>0</vt:i4>
      </vt:variant>
      <vt:variant>
        <vt:i4>5</vt:i4>
      </vt:variant>
      <vt:variant>
        <vt:lpwstr/>
      </vt:variant>
      <vt:variant>
        <vt:lpwstr>_Toc201146193</vt:lpwstr>
      </vt:variant>
      <vt:variant>
        <vt:i4>1638454</vt:i4>
      </vt:variant>
      <vt:variant>
        <vt:i4>1232</vt:i4>
      </vt:variant>
      <vt:variant>
        <vt:i4>0</vt:i4>
      </vt:variant>
      <vt:variant>
        <vt:i4>5</vt:i4>
      </vt:variant>
      <vt:variant>
        <vt:lpwstr/>
      </vt:variant>
      <vt:variant>
        <vt:lpwstr>_Toc201146192</vt:lpwstr>
      </vt:variant>
      <vt:variant>
        <vt:i4>1638454</vt:i4>
      </vt:variant>
      <vt:variant>
        <vt:i4>1226</vt:i4>
      </vt:variant>
      <vt:variant>
        <vt:i4>0</vt:i4>
      </vt:variant>
      <vt:variant>
        <vt:i4>5</vt:i4>
      </vt:variant>
      <vt:variant>
        <vt:lpwstr/>
      </vt:variant>
      <vt:variant>
        <vt:lpwstr>_Toc201146191</vt:lpwstr>
      </vt:variant>
      <vt:variant>
        <vt:i4>1638454</vt:i4>
      </vt:variant>
      <vt:variant>
        <vt:i4>1220</vt:i4>
      </vt:variant>
      <vt:variant>
        <vt:i4>0</vt:i4>
      </vt:variant>
      <vt:variant>
        <vt:i4>5</vt:i4>
      </vt:variant>
      <vt:variant>
        <vt:lpwstr/>
      </vt:variant>
      <vt:variant>
        <vt:lpwstr>_Toc201146190</vt:lpwstr>
      </vt:variant>
      <vt:variant>
        <vt:i4>1572918</vt:i4>
      </vt:variant>
      <vt:variant>
        <vt:i4>1214</vt:i4>
      </vt:variant>
      <vt:variant>
        <vt:i4>0</vt:i4>
      </vt:variant>
      <vt:variant>
        <vt:i4>5</vt:i4>
      </vt:variant>
      <vt:variant>
        <vt:lpwstr/>
      </vt:variant>
      <vt:variant>
        <vt:lpwstr>_Toc201146189</vt:lpwstr>
      </vt:variant>
      <vt:variant>
        <vt:i4>1572918</vt:i4>
      </vt:variant>
      <vt:variant>
        <vt:i4>1208</vt:i4>
      </vt:variant>
      <vt:variant>
        <vt:i4>0</vt:i4>
      </vt:variant>
      <vt:variant>
        <vt:i4>5</vt:i4>
      </vt:variant>
      <vt:variant>
        <vt:lpwstr/>
      </vt:variant>
      <vt:variant>
        <vt:lpwstr>_Toc201146188</vt:lpwstr>
      </vt:variant>
      <vt:variant>
        <vt:i4>1572918</vt:i4>
      </vt:variant>
      <vt:variant>
        <vt:i4>1202</vt:i4>
      </vt:variant>
      <vt:variant>
        <vt:i4>0</vt:i4>
      </vt:variant>
      <vt:variant>
        <vt:i4>5</vt:i4>
      </vt:variant>
      <vt:variant>
        <vt:lpwstr/>
      </vt:variant>
      <vt:variant>
        <vt:lpwstr>_Toc201146187</vt:lpwstr>
      </vt:variant>
      <vt:variant>
        <vt:i4>1572918</vt:i4>
      </vt:variant>
      <vt:variant>
        <vt:i4>1196</vt:i4>
      </vt:variant>
      <vt:variant>
        <vt:i4>0</vt:i4>
      </vt:variant>
      <vt:variant>
        <vt:i4>5</vt:i4>
      </vt:variant>
      <vt:variant>
        <vt:lpwstr/>
      </vt:variant>
      <vt:variant>
        <vt:lpwstr>_Toc201146186</vt:lpwstr>
      </vt:variant>
      <vt:variant>
        <vt:i4>1572918</vt:i4>
      </vt:variant>
      <vt:variant>
        <vt:i4>1190</vt:i4>
      </vt:variant>
      <vt:variant>
        <vt:i4>0</vt:i4>
      </vt:variant>
      <vt:variant>
        <vt:i4>5</vt:i4>
      </vt:variant>
      <vt:variant>
        <vt:lpwstr/>
      </vt:variant>
      <vt:variant>
        <vt:lpwstr>_Toc201146185</vt:lpwstr>
      </vt:variant>
      <vt:variant>
        <vt:i4>1572918</vt:i4>
      </vt:variant>
      <vt:variant>
        <vt:i4>1184</vt:i4>
      </vt:variant>
      <vt:variant>
        <vt:i4>0</vt:i4>
      </vt:variant>
      <vt:variant>
        <vt:i4>5</vt:i4>
      </vt:variant>
      <vt:variant>
        <vt:lpwstr/>
      </vt:variant>
      <vt:variant>
        <vt:lpwstr>_Toc201146184</vt:lpwstr>
      </vt:variant>
      <vt:variant>
        <vt:i4>1572918</vt:i4>
      </vt:variant>
      <vt:variant>
        <vt:i4>1178</vt:i4>
      </vt:variant>
      <vt:variant>
        <vt:i4>0</vt:i4>
      </vt:variant>
      <vt:variant>
        <vt:i4>5</vt:i4>
      </vt:variant>
      <vt:variant>
        <vt:lpwstr/>
      </vt:variant>
      <vt:variant>
        <vt:lpwstr>_Toc201146183</vt:lpwstr>
      </vt:variant>
      <vt:variant>
        <vt:i4>1572918</vt:i4>
      </vt:variant>
      <vt:variant>
        <vt:i4>1172</vt:i4>
      </vt:variant>
      <vt:variant>
        <vt:i4>0</vt:i4>
      </vt:variant>
      <vt:variant>
        <vt:i4>5</vt:i4>
      </vt:variant>
      <vt:variant>
        <vt:lpwstr/>
      </vt:variant>
      <vt:variant>
        <vt:lpwstr>_Toc201146182</vt:lpwstr>
      </vt:variant>
      <vt:variant>
        <vt:i4>1572918</vt:i4>
      </vt:variant>
      <vt:variant>
        <vt:i4>1166</vt:i4>
      </vt:variant>
      <vt:variant>
        <vt:i4>0</vt:i4>
      </vt:variant>
      <vt:variant>
        <vt:i4>5</vt:i4>
      </vt:variant>
      <vt:variant>
        <vt:lpwstr/>
      </vt:variant>
      <vt:variant>
        <vt:lpwstr>_Toc201146181</vt:lpwstr>
      </vt:variant>
      <vt:variant>
        <vt:i4>1572918</vt:i4>
      </vt:variant>
      <vt:variant>
        <vt:i4>1160</vt:i4>
      </vt:variant>
      <vt:variant>
        <vt:i4>0</vt:i4>
      </vt:variant>
      <vt:variant>
        <vt:i4>5</vt:i4>
      </vt:variant>
      <vt:variant>
        <vt:lpwstr/>
      </vt:variant>
      <vt:variant>
        <vt:lpwstr>_Toc201146180</vt:lpwstr>
      </vt:variant>
      <vt:variant>
        <vt:i4>1507382</vt:i4>
      </vt:variant>
      <vt:variant>
        <vt:i4>1154</vt:i4>
      </vt:variant>
      <vt:variant>
        <vt:i4>0</vt:i4>
      </vt:variant>
      <vt:variant>
        <vt:i4>5</vt:i4>
      </vt:variant>
      <vt:variant>
        <vt:lpwstr/>
      </vt:variant>
      <vt:variant>
        <vt:lpwstr>_Toc201146179</vt:lpwstr>
      </vt:variant>
      <vt:variant>
        <vt:i4>1507382</vt:i4>
      </vt:variant>
      <vt:variant>
        <vt:i4>1148</vt:i4>
      </vt:variant>
      <vt:variant>
        <vt:i4>0</vt:i4>
      </vt:variant>
      <vt:variant>
        <vt:i4>5</vt:i4>
      </vt:variant>
      <vt:variant>
        <vt:lpwstr/>
      </vt:variant>
      <vt:variant>
        <vt:lpwstr>_Toc201146178</vt:lpwstr>
      </vt:variant>
      <vt:variant>
        <vt:i4>1507382</vt:i4>
      </vt:variant>
      <vt:variant>
        <vt:i4>1142</vt:i4>
      </vt:variant>
      <vt:variant>
        <vt:i4>0</vt:i4>
      </vt:variant>
      <vt:variant>
        <vt:i4>5</vt:i4>
      </vt:variant>
      <vt:variant>
        <vt:lpwstr/>
      </vt:variant>
      <vt:variant>
        <vt:lpwstr>_Toc201146177</vt:lpwstr>
      </vt:variant>
      <vt:variant>
        <vt:i4>1507382</vt:i4>
      </vt:variant>
      <vt:variant>
        <vt:i4>1136</vt:i4>
      </vt:variant>
      <vt:variant>
        <vt:i4>0</vt:i4>
      </vt:variant>
      <vt:variant>
        <vt:i4>5</vt:i4>
      </vt:variant>
      <vt:variant>
        <vt:lpwstr/>
      </vt:variant>
      <vt:variant>
        <vt:lpwstr>_Toc201146176</vt:lpwstr>
      </vt:variant>
      <vt:variant>
        <vt:i4>1507382</vt:i4>
      </vt:variant>
      <vt:variant>
        <vt:i4>1130</vt:i4>
      </vt:variant>
      <vt:variant>
        <vt:i4>0</vt:i4>
      </vt:variant>
      <vt:variant>
        <vt:i4>5</vt:i4>
      </vt:variant>
      <vt:variant>
        <vt:lpwstr/>
      </vt:variant>
      <vt:variant>
        <vt:lpwstr>_Toc201146175</vt:lpwstr>
      </vt:variant>
      <vt:variant>
        <vt:i4>1507382</vt:i4>
      </vt:variant>
      <vt:variant>
        <vt:i4>1124</vt:i4>
      </vt:variant>
      <vt:variant>
        <vt:i4>0</vt:i4>
      </vt:variant>
      <vt:variant>
        <vt:i4>5</vt:i4>
      </vt:variant>
      <vt:variant>
        <vt:lpwstr/>
      </vt:variant>
      <vt:variant>
        <vt:lpwstr>_Toc201146174</vt:lpwstr>
      </vt:variant>
      <vt:variant>
        <vt:i4>1507382</vt:i4>
      </vt:variant>
      <vt:variant>
        <vt:i4>1118</vt:i4>
      </vt:variant>
      <vt:variant>
        <vt:i4>0</vt:i4>
      </vt:variant>
      <vt:variant>
        <vt:i4>5</vt:i4>
      </vt:variant>
      <vt:variant>
        <vt:lpwstr/>
      </vt:variant>
      <vt:variant>
        <vt:lpwstr>_Toc201146173</vt:lpwstr>
      </vt:variant>
      <vt:variant>
        <vt:i4>1507382</vt:i4>
      </vt:variant>
      <vt:variant>
        <vt:i4>1112</vt:i4>
      </vt:variant>
      <vt:variant>
        <vt:i4>0</vt:i4>
      </vt:variant>
      <vt:variant>
        <vt:i4>5</vt:i4>
      </vt:variant>
      <vt:variant>
        <vt:lpwstr/>
      </vt:variant>
      <vt:variant>
        <vt:lpwstr>_Toc201146172</vt:lpwstr>
      </vt:variant>
      <vt:variant>
        <vt:i4>1507382</vt:i4>
      </vt:variant>
      <vt:variant>
        <vt:i4>1106</vt:i4>
      </vt:variant>
      <vt:variant>
        <vt:i4>0</vt:i4>
      </vt:variant>
      <vt:variant>
        <vt:i4>5</vt:i4>
      </vt:variant>
      <vt:variant>
        <vt:lpwstr/>
      </vt:variant>
      <vt:variant>
        <vt:lpwstr>_Toc201146171</vt:lpwstr>
      </vt:variant>
      <vt:variant>
        <vt:i4>1507382</vt:i4>
      </vt:variant>
      <vt:variant>
        <vt:i4>1100</vt:i4>
      </vt:variant>
      <vt:variant>
        <vt:i4>0</vt:i4>
      </vt:variant>
      <vt:variant>
        <vt:i4>5</vt:i4>
      </vt:variant>
      <vt:variant>
        <vt:lpwstr/>
      </vt:variant>
      <vt:variant>
        <vt:lpwstr>_Toc201146170</vt:lpwstr>
      </vt:variant>
      <vt:variant>
        <vt:i4>1441846</vt:i4>
      </vt:variant>
      <vt:variant>
        <vt:i4>1094</vt:i4>
      </vt:variant>
      <vt:variant>
        <vt:i4>0</vt:i4>
      </vt:variant>
      <vt:variant>
        <vt:i4>5</vt:i4>
      </vt:variant>
      <vt:variant>
        <vt:lpwstr/>
      </vt:variant>
      <vt:variant>
        <vt:lpwstr>_Toc201146169</vt:lpwstr>
      </vt:variant>
      <vt:variant>
        <vt:i4>1441846</vt:i4>
      </vt:variant>
      <vt:variant>
        <vt:i4>1088</vt:i4>
      </vt:variant>
      <vt:variant>
        <vt:i4>0</vt:i4>
      </vt:variant>
      <vt:variant>
        <vt:i4>5</vt:i4>
      </vt:variant>
      <vt:variant>
        <vt:lpwstr/>
      </vt:variant>
      <vt:variant>
        <vt:lpwstr>_Toc201146168</vt:lpwstr>
      </vt:variant>
      <vt:variant>
        <vt:i4>1441846</vt:i4>
      </vt:variant>
      <vt:variant>
        <vt:i4>1082</vt:i4>
      </vt:variant>
      <vt:variant>
        <vt:i4>0</vt:i4>
      </vt:variant>
      <vt:variant>
        <vt:i4>5</vt:i4>
      </vt:variant>
      <vt:variant>
        <vt:lpwstr/>
      </vt:variant>
      <vt:variant>
        <vt:lpwstr>_Toc201146167</vt:lpwstr>
      </vt:variant>
      <vt:variant>
        <vt:i4>1441846</vt:i4>
      </vt:variant>
      <vt:variant>
        <vt:i4>1076</vt:i4>
      </vt:variant>
      <vt:variant>
        <vt:i4>0</vt:i4>
      </vt:variant>
      <vt:variant>
        <vt:i4>5</vt:i4>
      </vt:variant>
      <vt:variant>
        <vt:lpwstr/>
      </vt:variant>
      <vt:variant>
        <vt:lpwstr>_Toc201146166</vt:lpwstr>
      </vt:variant>
      <vt:variant>
        <vt:i4>1441846</vt:i4>
      </vt:variant>
      <vt:variant>
        <vt:i4>1070</vt:i4>
      </vt:variant>
      <vt:variant>
        <vt:i4>0</vt:i4>
      </vt:variant>
      <vt:variant>
        <vt:i4>5</vt:i4>
      </vt:variant>
      <vt:variant>
        <vt:lpwstr/>
      </vt:variant>
      <vt:variant>
        <vt:lpwstr>_Toc201146165</vt:lpwstr>
      </vt:variant>
      <vt:variant>
        <vt:i4>1441846</vt:i4>
      </vt:variant>
      <vt:variant>
        <vt:i4>1064</vt:i4>
      </vt:variant>
      <vt:variant>
        <vt:i4>0</vt:i4>
      </vt:variant>
      <vt:variant>
        <vt:i4>5</vt:i4>
      </vt:variant>
      <vt:variant>
        <vt:lpwstr/>
      </vt:variant>
      <vt:variant>
        <vt:lpwstr>_Toc201146164</vt:lpwstr>
      </vt:variant>
      <vt:variant>
        <vt:i4>1441846</vt:i4>
      </vt:variant>
      <vt:variant>
        <vt:i4>1058</vt:i4>
      </vt:variant>
      <vt:variant>
        <vt:i4>0</vt:i4>
      </vt:variant>
      <vt:variant>
        <vt:i4>5</vt:i4>
      </vt:variant>
      <vt:variant>
        <vt:lpwstr/>
      </vt:variant>
      <vt:variant>
        <vt:lpwstr>_Toc201146163</vt:lpwstr>
      </vt:variant>
      <vt:variant>
        <vt:i4>1441846</vt:i4>
      </vt:variant>
      <vt:variant>
        <vt:i4>1052</vt:i4>
      </vt:variant>
      <vt:variant>
        <vt:i4>0</vt:i4>
      </vt:variant>
      <vt:variant>
        <vt:i4>5</vt:i4>
      </vt:variant>
      <vt:variant>
        <vt:lpwstr/>
      </vt:variant>
      <vt:variant>
        <vt:lpwstr>_Toc201146162</vt:lpwstr>
      </vt:variant>
      <vt:variant>
        <vt:i4>1441846</vt:i4>
      </vt:variant>
      <vt:variant>
        <vt:i4>1046</vt:i4>
      </vt:variant>
      <vt:variant>
        <vt:i4>0</vt:i4>
      </vt:variant>
      <vt:variant>
        <vt:i4>5</vt:i4>
      </vt:variant>
      <vt:variant>
        <vt:lpwstr/>
      </vt:variant>
      <vt:variant>
        <vt:lpwstr>_Toc201146161</vt:lpwstr>
      </vt:variant>
      <vt:variant>
        <vt:i4>1441846</vt:i4>
      </vt:variant>
      <vt:variant>
        <vt:i4>1040</vt:i4>
      </vt:variant>
      <vt:variant>
        <vt:i4>0</vt:i4>
      </vt:variant>
      <vt:variant>
        <vt:i4>5</vt:i4>
      </vt:variant>
      <vt:variant>
        <vt:lpwstr/>
      </vt:variant>
      <vt:variant>
        <vt:lpwstr>_Toc201146160</vt:lpwstr>
      </vt:variant>
      <vt:variant>
        <vt:i4>1376310</vt:i4>
      </vt:variant>
      <vt:variant>
        <vt:i4>1034</vt:i4>
      </vt:variant>
      <vt:variant>
        <vt:i4>0</vt:i4>
      </vt:variant>
      <vt:variant>
        <vt:i4>5</vt:i4>
      </vt:variant>
      <vt:variant>
        <vt:lpwstr/>
      </vt:variant>
      <vt:variant>
        <vt:lpwstr>_Toc201146159</vt:lpwstr>
      </vt:variant>
      <vt:variant>
        <vt:i4>1376310</vt:i4>
      </vt:variant>
      <vt:variant>
        <vt:i4>1028</vt:i4>
      </vt:variant>
      <vt:variant>
        <vt:i4>0</vt:i4>
      </vt:variant>
      <vt:variant>
        <vt:i4>5</vt:i4>
      </vt:variant>
      <vt:variant>
        <vt:lpwstr/>
      </vt:variant>
      <vt:variant>
        <vt:lpwstr>_Toc201146158</vt:lpwstr>
      </vt:variant>
      <vt:variant>
        <vt:i4>1376310</vt:i4>
      </vt:variant>
      <vt:variant>
        <vt:i4>1022</vt:i4>
      </vt:variant>
      <vt:variant>
        <vt:i4>0</vt:i4>
      </vt:variant>
      <vt:variant>
        <vt:i4>5</vt:i4>
      </vt:variant>
      <vt:variant>
        <vt:lpwstr/>
      </vt:variant>
      <vt:variant>
        <vt:lpwstr>_Toc201146157</vt:lpwstr>
      </vt:variant>
      <vt:variant>
        <vt:i4>1376310</vt:i4>
      </vt:variant>
      <vt:variant>
        <vt:i4>1016</vt:i4>
      </vt:variant>
      <vt:variant>
        <vt:i4>0</vt:i4>
      </vt:variant>
      <vt:variant>
        <vt:i4>5</vt:i4>
      </vt:variant>
      <vt:variant>
        <vt:lpwstr/>
      </vt:variant>
      <vt:variant>
        <vt:lpwstr>_Toc201146156</vt:lpwstr>
      </vt:variant>
      <vt:variant>
        <vt:i4>1376310</vt:i4>
      </vt:variant>
      <vt:variant>
        <vt:i4>1010</vt:i4>
      </vt:variant>
      <vt:variant>
        <vt:i4>0</vt:i4>
      </vt:variant>
      <vt:variant>
        <vt:i4>5</vt:i4>
      </vt:variant>
      <vt:variant>
        <vt:lpwstr/>
      </vt:variant>
      <vt:variant>
        <vt:lpwstr>_Toc201146155</vt:lpwstr>
      </vt:variant>
      <vt:variant>
        <vt:i4>1376310</vt:i4>
      </vt:variant>
      <vt:variant>
        <vt:i4>1004</vt:i4>
      </vt:variant>
      <vt:variant>
        <vt:i4>0</vt:i4>
      </vt:variant>
      <vt:variant>
        <vt:i4>5</vt:i4>
      </vt:variant>
      <vt:variant>
        <vt:lpwstr/>
      </vt:variant>
      <vt:variant>
        <vt:lpwstr>_Toc201146154</vt:lpwstr>
      </vt:variant>
      <vt:variant>
        <vt:i4>1376310</vt:i4>
      </vt:variant>
      <vt:variant>
        <vt:i4>998</vt:i4>
      </vt:variant>
      <vt:variant>
        <vt:i4>0</vt:i4>
      </vt:variant>
      <vt:variant>
        <vt:i4>5</vt:i4>
      </vt:variant>
      <vt:variant>
        <vt:lpwstr/>
      </vt:variant>
      <vt:variant>
        <vt:lpwstr>_Toc201146153</vt:lpwstr>
      </vt:variant>
      <vt:variant>
        <vt:i4>1376310</vt:i4>
      </vt:variant>
      <vt:variant>
        <vt:i4>992</vt:i4>
      </vt:variant>
      <vt:variant>
        <vt:i4>0</vt:i4>
      </vt:variant>
      <vt:variant>
        <vt:i4>5</vt:i4>
      </vt:variant>
      <vt:variant>
        <vt:lpwstr/>
      </vt:variant>
      <vt:variant>
        <vt:lpwstr>_Toc201146152</vt:lpwstr>
      </vt:variant>
      <vt:variant>
        <vt:i4>1376310</vt:i4>
      </vt:variant>
      <vt:variant>
        <vt:i4>986</vt:i4>
      </vt:variant>
      <vt:variant>
        <vt:i4>0</vt:i4>
      </vt:variant>
      <vt:variant>
        <vt:i4>5</vt:i4>
      </vt:variant>
      <vt:variant>
        <vt:lpwstr/>
      </vt:variant>
      <vt:variant>
        <vt:lpwstr>_Toc201146151</vt:lpwstr>
      </vt:variant>
      <vt:variant>
        <vt:i4>1376310</vt:i4>
      </vt:variant>
      <vt:variant>
        <vt:i4>980</vt:i4>
      </vt:variant>
      <vt:variant>
        <vt:i4>0</vt:i4>
      </vt:variant>
      <vt:variant>
        <vt:i4>5</vt:i4>
      </vt:variant>
      <vt:variant>
        <vt:lpwstr/>
      </vt:variant>
      <vt:variant>
        <vt:lpwstr>_Toc201146150</vt:lpwstr>
      </vt:variant>
      <vt:variant>
        <vt:i4>1310774</vt:i4>
      </vt:variant>
      <vt:variant>
        <vt:i4>974</vt:i4>
      </vt:variant>
      <vt:variant>
        <vt:i4>0</vt:i4>
      </vt:variant>
      <vt:variant>
        <vt:i4>5</vt:i4>
      </vt:variant>
      <vt:variant>
        <vt:lpwstr/>
      </vt:variant>
      <vt:variant>
        <vt:lpwstr>_Toc201146149</vt:lpwstr>
      </vt:variant>
      <vt:variant>
        <vt:i4>1310774</vt:i4>
      </vt:variant>
      <vt:variant>
        <vt:i4>968</vt:i4>
      </vt:variant>
      <vt:variant>
        <vt:i4>0</vt:i4>
      </vt:variant>
      <vt:variant>
        <vt:i4>5</vt:i4>
      </vt:variant>
      <vt:variant>
        <vt:lpwstr/>
      </vt:variant>
      <vt:variant>
        <vt:lpwstr>_Toc201146148</vt:lpwstr>
      </vt:variant>
      <vt:variant>
        <vt:i4>1310774</vt:i4>
      </vt:variant>
      <vt:variant>
        <vt:i4>962</vt:i4>
      </vt:variant>
      <vt:variant>
        <vt:i4>0</vt:i4>
      </vt:variant>
      <vt:variant>
        <vt:i4>5</vt:i4>
      </vt:variant>
      <vt:variant>
        <vt:lpwstr/>
      </vt:variant>
      <vt:variant>
        <vt:lpwstr>_Toc201146147</vt:lpwstr>
      </vt:variant>
      <vt:variant>
        <vt:i4>1310774</vt:i4>
      </vt:variant>
      <vt:variant>
        <vt:i4>956</vt:i4>
      </vt:variant>
      <vt:variant>
        <vt:i4>0</vt:i4>
      </vt:variant>
      <vt:variant>
        <vt:i4>5</vt:i4>
      </vt:variant>
      <vt:variant>
        <vt:lpwstr/>
      </vt:variant>
      <vt:variant>
        <vt:lpwstr>_Toc201146146</vt:lpwstr>
      </vt:variant>
      <vt:variant>
        <vt:i4>1310774</vt:i4>
      </vt:variant>
      <vt:variant>
        <vt:i4>950</vt:i4>
      </vt:variant>
      <vt:variant>
        <vt:i4>0</vt:i4>
      </vt:variant>
      <vt:variant>
        <vt:i4>5</vt:i4>
      </vt:variant>
      <vt:variant>
        <vt:lpwstr/>
      </vt:variant>
      <vt:variant>
        <vt:lpwstr>_Toc201146145</vt:lpwstr>
      </vt:variant>
      <vt:variant>
        <vt:i4>1310774</vt:i4>
      </vt:variant>
      <vt:variant>
        <vt:i4>944</vt:i4>
      </vt:variant>
      <vt:variant>
        <vt:i4>0</vt:i4>
      </vt:variant>
      <vt:variant>
        <vt:i4>5</vt:i4>
      </vt:variant>
      <vt:variant>
        <vt:lpwstr/>
      </vt:variant>
      <vt:variant>
        <vt:lpwstr>_Toc201146144</vt:lpwstr>
      </vt:variant>
      <vt:variant>
        <vt:i4>1310774</vt:i4>
      </vt:variant>
      <vt:variant>
        <vt:i4>938</vt:i4>
      </vt:variant>
      <vt:variant>
        <vt:i4>0</vt:i4>
      </vt:variant>
      <vt:variant>
        <vt:i4>5</vt:i4>
      </vt:variant>
      <vt:variant>
        <vt:lpwstr/>
      </vt:variant>
      <vt:variant>
        <vt:lpwstr>_Toc201146143</vt:lpwstr>
      </vt:variant>
      <vt:variant>
        <vt:i4>1310774</vt:i4>
      </vt:variant>
      <vt:variant>
        <vt:i4>932</vt:i4>
      </vt:variant>
      <vt:variant>
        <vt:i4>0</vt:i4>
      </vt:variant>
      <vt:variant>
        <vt:i4>5</vt:i4>
      </vt:variant>
      <vt:variant>
        <vt:lpwstr/>
      </vt:variant>
      <vt:variant>
        <vt:lpwstr>_Toc201146142</vt:lpwstr>
      </vt:variant>
      <vt:variant>
        <vt:i4>1310774</vt:i4>
      </vt:variant>
      <vt:variant>
        <vt:i4>926</vt:i4>
      </vt:variant>
      <vt:variant>
        <vt:i4>0</vt:i4>
      </vt:variant>
      <vt:variant>
        <vt:i4>5</vt:i4>
      </vt:variant>
      <vt:variant>
        <vt:lpwstr/>
      </vt:variant>
      <vt:variant>
        <vt:lpwstr>_Toc201146141</vt:lpwstr>
      </vt:variant>
      <vt:variant>
        <vt:i4>1310774</vt:i4>
      </vt:variant>
      <vt:variant>
        <vt:i4>920</vt:i4>
      </vt:variant>
      <vt:variant>
        <vt:i4>0</vt:i4>
      </vt:variant>
      <vt:variant>
        <vt:i4>5</vt:i4>
      </vt:variant>
      <vt:variant>
        <vt:lpwstr/>
      </vt:variant>
      <vt:variant>
        <vt:lpwstr>_Toc201146140</vt:lpwstr>
      </vt:variant>
      <vt:variant>
        <vt:i4>1245238</vt:i4>
      </vt:variant>
      <vt:variant>
        <vt:i4>914</vt:i4>
      </vt:variant>
      <vt:variant>
        <vt:i4>0</vt:i4>
      </vt:variant>
      <vt:variant>
        <vt:i4>5</vt:i4>
      </vt:variant>
      <vt:variant>
        <vt:lpwstr/>
      </vt:variant>
      <vt:variant>
        <vt:lpwstr>_Toc201146139</vt:lpwstr>
      </vt:variant>
      <vt:variant>
        <vt:i4>1245238</vt:i4>
      </vt:variant>
      <vt:variant>
        <vt:i4>908</vt:i4>
      </vt:variant>
      <vt:variant>
        <vt:i4>0</vt:i4>
      </vt:variant>
      <vt:variant>
        <vt:i4>5</vt:i4>
      </vt:variant>
      <vt:variant>
        <vt:lpwstr/>
      </vt:variant>
      <vt:variant>
        <vt:lpwstr>_Toc201146138</vt:lpwstr>
      </vt:variant>
      <vt:variant>
        <vt:i4>1245238</vt:i4>
      </vt:variant>
      <vt:variant>
        <vt:i4>902</vt:i4>
      </vt:variant>
      <vt:variant>
        <vt:i4>0</vt:i4>
      </vt:variant>
      <vt:variant>
        <vt:i4>5</vt:i4>
      </vt:variant>
      <vt:variant>
        <vt:lpwstr/>
      </vt:variant>
      <vt:variant>
        <vt:lpwstr>_Toc201146137</vt:lpwstr>
      </vt:variant>
      <vt:variant>
        <vt:i4>1245238</vt:i4>
      </vt:variant>
      <vt:variant>
        <vt:i4>896</vt:i4>
      </vt:variant>
      <vt:variant>
        <vt:i4>0</vt:i4>
      </vt:variant>
      <vt:variant>
        <vt:i4>5</vt:i4>
      </vt:variant>
      <vt:variant>
        <vt:lpwstr/>
      </vt:variant>
      <vt:variant>
        <vt:lpwstr>_Toc201146136</vt:lpwstr>
      </vt:variant>
      <vt:variant>
        <vt:i4>1245238</vt:i4>
      </vt:variant>
      <vt:variant>
        <vt:i4>890</vt:i4>
      </vt:variant>
      <vt:variant>
        <vt:i4>0</vt:i4>
      </vt:variant>
      <vt:variant>
        <vt:i4>5</vt:i4>
      </vt:variant>
      <vt:variant>
        <vt:lpwstr/>
      </vt:variant>
      <vt:variant>
        <vt:lpwstr>_Toc201146135</vt:lpwstr>
      </vt:variant>
      <vt:variant>
        <vt:i4>1245238</vt:i4>
      </vt:variant>
      <vt:variant>
        <vt:i4>884</vt:i4>
      </vt:variant>
      <vt:variant>
        <vt:i4>0</vt:i4>
      </vt:variant>
      <vt:variant>
        <vt:i4>5</vt:i4>
      </vt:variant>
      <vt:variant>
        <vt:lpwstr/>
      </vt:variant>
      <vt:variant>
        <vt:lpwstr>_Toc201146134</vt:lpwstr>
      </vt:variant>
      <vt:variant>
        <vt:i4>1245238</vt:i4>
      </vt:variant>
      <vt:variant>
        <vt:i4>878</vt:i4>
      </vt:variant>
      <vt:variant>
        <vt:i4>0</vt:i4>
      </vt:variant>
      <vt:variant>
        <vt:i4>5</vt:i4>
      </vt:variant>
      <vt:variant>
        <vt:lpwstr/>
      </vt:variant>
      <vt:variant>
        <vt:lpwstr>_Toc201146133</vt:lpwstr>
      </vt:variant>
      <vt:variant>
        <vt:i4>1245238</vt:i4>
      </vt:variant>
      <vt:variant>
        <vt:i4>872</vt:i4>
      </vt:variant>
      <vt:variant>
        <vt:i4>0</vt:i4>
      </vt:variant>
      <vt:variant>
        <vt:i4>5</vt:i4>
      </vt:variant>
      <vt:variant>
        <vt:lpwstr/>
      </vt:variant>
      <vt:variant>
        <vt:lpwstr>_Toc201146132</vt:lpwstr>
      </vt:variant>
      <vt:variant>
        <vt:i4>1245238</vt:i4>
      </vt:variant>
      <vt:variant>
        <vt:i4>866</vt:i4>
      </vt:variant>
      <vt:variant>
        <vt:i4>0</vt:i4>
      </vt:variant>
      <vt:variant>
        <vt:i4>5</vt:i4>
      </vt:variant>
      <vt:variant>
        <vt:lpwstr/>
      </vt:variant>
      <vt:variant>
        <vt:lpwstr>_Toc201146131</vt:lpwstr>
      </vt:variant>
      <vt:variant>
        <vt:i4>1245238</vt:i4>
      </vt:variant>
      <vt:variant>
        <vt:i4>860</vt:i4>
      </vt:variant>
      <vt:variant>
        <vt:i4>0</vt:i4>
      </vt:variant>
      <vt:variant>
        <vt:i4>5</vt:i4>
      </vt:variant>
      <vt:variant>
        <vt:lpwstr/>
      </vt:variant>
      <vt:variant>
        <vt:lpwstr>_Toc201146130</vt:lpwstr>
      </vt:variant>
      <vt:variant>
        <vt:i4>1179702</vt:i4>
      </vt:variant>
      <vt:variant>
        <vt:i4>854</vt:i4>
      </vt:variant>
      <vt:variant>
        <vt:i4>0</vt:i4>
      </vt:variant>
      <vt:variant>
        <vt:i4>5</vt:i4>
      </vt:variant>
      <vt:variant>
        <vt:lpwstr/>
      </vt:variant>
      <vt:variant>
        <vt:lpwstr>_Toc201146129</vt:lpwstr>
      </vt:variant>
      <vt:variant>
        <vt:i4>1179702</vt:i4>
      </vt:variant>
      <vt:variant>
        <vt:i4>848</vt:i4>
      </vt:variant>
      <vt:variant>
        <vt:i4>0</vt:i4>
      </vt:variant>
      <vt:variant>
        <vt:i4>5</vt:i4>
      </vt:variant>
      <vt:variant>
        <vt:lpwstr/>
      </vt:variant>
      <vt:variant>
        <vt:lpwstr>_Toc201146128</vt:lpwstr>
      </vt:variant>
      <vt:variant>
        <vt:i4>1179702</vt:i4>
      </vt:variant>
      <vt:variant>
        <vt:i4>842</vt:i4>
      </vt:variant>
      <vt:variant>
        <vt:i4>0</vt:i4>
      </vt:variant>
      <vt:variant>
        <vt:i4>5</vt:i4>
      </vt:variant>
      <vt:variant>
        <vt:lpwstr/>
      </vt:variant>
      <vt:variant>
        <vt:lpwstr>_Toc201146127</vt:lpwstr>
      </vt:variant>
      <vt:variant>
        <vt:i4>1179702</vt:i4>
      </vt:variant>
      <vt:variant>
        <vt:i4>836</vt:i4>
      </vt:variant>
      <vt:variant>
        <vt:i4>0</vt:i4>
      </vt:variant>
      <vt:variant>
        <vt:i4>5</vt:i4>
      </vt:variant>
      <vt:variant>
        <vt:lpwstr/>
      </vt:variant>
      <vt:variant>
        <vt:lpwstr>_Toc201146126</vt:lpwstr>
      </vt:variant>
      <vt:variant>
        <vt:i4>1179702</vt:i4>
      </vt:variant>
      <vt:variant>
        <vt:i4>830</vt:i4>
      </vt:variant>
      <vt:variant>
        <vt:i4>0</vt:i4>
      </vt:variant>
      <vt:variant>
        <vt:i4>5</vt:i4>
      </vt:variant>
      <vt:variant>
        <vt:lpwstr/>
      </vt:variant>
      <vt:variant>
        <vt:lpwstr>_Toc201146125</vt:lpwstr>
      </vt:variant>
      <vt:variant>
        <vt:i4>1179702</vt:i4>
      </vt:variant>
      <vt:variant>
        <vt:i4>824</vt:i4>
      </vt:variant>
      <vt:variant>
        <vt:i4>0</vt:i4>
      </vt:variant>
      <vt:variant>
        <vt:i4>5</vt:i4>
      </vt:variant>
      <vt:variant>
        <vt:lpwstr/>
      </vt:variant>
      <vt:variant>
        <vt:lpwstr>_Toc201146124</vt:lpwstr>
      </vt:variant>
      <vt:variant>
        <vt:i4>1179702</vt:i4>
      </vt:variant>
      <vt:variant>
        <vt:i4>818</vt:i4>
      </vt:variant>
      <vt:variant>
        <vt:i4>0</vt:i4>
      </vt:variant>
      <vt:variant>
        <vt:i4>5</vt:i4>
      </vt:variant>
      <vt:variant>
        <vt:lpwstr/>
      </vt:variant>
      <vt:variant>
        <vt:lpwstr>_Toc201146123</vt:lpwstr>
      </vt:variant>
      <vt:variant>
        <vt:i4>1179702</vt:i4>
      </vt:variant>
      <vt:variant>
        <vt:i4>812</vt:i4>
      </vt:variant>
      <vt:variant>
        <vt:i4>0</vt:i4>
      </vt:variant>
      <vt:variant>
        <vt:i4>5</vt:i4>
      </vt:variant>
      <vt:variant>
        <vt:lpwstr/>
      </vt:variant>
      <vt:variant>
        <vt:lpwstr>_Toc201146122</vt:lpwstr>
      </vt:variant>
      <vt:variant>
        <vt:i4>1179702</vt:i4>
      </vt:variant>
      <vt:variant>
        <vt:i4>806</vt:i4>
      </vt:variant>
      <vt:variant>
        <vt:i4>0</vt:i4>
      </vt:variant>
      <vt:variant>
        <vt:i4>5</vt:i4>
      </vt:variant>
      <vt:variant>
        <vt:lpwstr/>
      </vt:variant>
      <vt:variant>
        <vt:lpwstr>_Toc201146121</vt:lpwstr>
      </vt:variant>
      <vt:variant>
        <vt:i4>1179702</vt:i4>
      </vt:variant>
      <vt:variant>
        <vt:i4>800</vt:i4>
      </vt:variant>
      <vt:variant>
        <vt:i4>0</vt:i4>
      </vt:variant>
      <vt:variant>
        <vt:i4>5</vt:i4>
      </vt:variant>
      <vt:variant>
        <vt:lpwstr/>
      </vt:variant>
      <vt:variant>
        <vt:lpwstr>_Toc201146120</vt:lpwstr>
      </vt:variant>
      <vt:variant>
        <vt:i4>1114166</vt:i4>
      </vt:variant>
      <vt:variant>
        <vt:i4>794</vt:i4>
      </vt:variant>
      <vt:variant>
        <vt:i4>0</vt:i4>
      </vt:variant>
      <vt:variant>
        <vt:i4>5</vt:i4>
      </vt:variant>
      <vt:variant>
        <vt:lpwstr/>
      </vt:variant>
      <vt:variant>
        <vt:lpwstr>_Toc201146119</vt:lpwstr>
      </vt:variant>
      <vt:variant>
        <vt:i4>1114166</vt:i4>
      </vt:variant>
      <vt:variant>
        <vt:i4>788</vt:i4>
      </vt:variant>
      <vt:variant>
        <vt:i4>0</vt:i4>
      </vt:variant>
      <vt:variant>
        <vt:i4>5</vt:i4>
      </vt:variant>
      <vt:variant>
        <vt:lpwstr/>
      </vt:variant>
      <vt:variant>
        <vt:lpwstr>_Toc201146118</vt:lpwstr>
      </vt:variant>
      <vt:variant>
        <vt:i4>1114166</vt:i4>
      </vt:variant>
      <vt:variant>
        <vt:i4>782</vt:i4>
      </vt:variant>
      <vt:variant>
        <vt:i4>0</vt:i4>
      </vt:variant>
      <vt:variant>
        <vt:i4>5</vt:i4>
      </vt:variant>
      <vt:variant>
        <vt:lpwstr/>
      </vt:variant>
      <vt:variant>
        <vt:lpwstr>_Toc201146117</vt:lpwstr>
      </vt:variant>
      <vt:variant>
        <vt:i4>1114166</vt:i4>
      </vt:variant>
      <vt:variant>
        <vt:i4>776</vt:i4>
      </vt:variant>
      <vt:variant>
        <vt:i4>0</vt:i4>
      </vt:variant>
      <vt:variant>
        <vt:i4>5</vt:i4>
      </vt:variant>
      <vt:variant>
        <vt:lpwstr/>
      </vt:variant>
      <vt:variant>
        <vt:lpwstr>_Toc201146116</vt:lpwstr>
      </vt:variant>
      <vt:variant>
        <vt:i4>1114166</vt:i4>
      </vt:variant>
      <vt:variant>
        <vt:i4>770</vt:i4>
      </vt:variant>
      <vt:variant>
        <vt:i4>0</vt:i4>
      </vt:variant>
      <vt:variant>
        <vt:i4>5</vt:i4>
      </vt:variant>
      <vt:variant>
        <vt:lpwstr/>
      </vt:variant>
      <vt:variant>
        <vt:lpwstr>_Toc201146115</vt:lpwstr>
      </vt:variant>
      <vt:variant>
        <vt:i4>1114166</vt:i4>
      </vt:variant>
      <vt:variant>
        <vt:i4>764</vt:i4>
      </vt:variant>
      <vt:variant>
        <vt:i4>0</vt:i4>
      </vt:variant>
      <vt:variant>
        <vt:i4>5</vt:i4>
      </vt:variant>
      <vt:variant>
        <vt:lpwstr/>
      </vt:variant>
      <vt:variant>
        <vt:lpwstr>_Toc201146114</vt:lpwstr>
      </vt:variant>
      <vt:variant>
        <vt:i4>1114166</vt:i4>
      </vt:variant>
      <vt:variant>
        <vt:i4>758</vt:i4>
      </vt:variant>
      <vt:variant>
        <vt:i4>0</vt:i4>
      </vt:variant>
      <vt:variant>
        <vt:i4>5</vt:i4>
      </vt:variant>
      <vt:variant>
        <vt:lpwstr/>
      </vt:variant>
      <vt:variant>
        <vt:lpwstr>_Toc201146113</vt:lpwstr>
      </vt:variant>
      <vt:variant>
        <vt:i4>1114166</vt:i4>
      </vt:variant>
      <vt:variant>
        <vt:i4>752</vt:i4>
      </vt:variant>
      <vt:variant>
        <vt:i4>0</vt:i4>
      </vt:variant>
      <vt:variant>
        <vt:i4>5</vt:i4>
      </vt:variant>
      <vt:variant>
        <vt:lpwstr/>
      </vt:variant>
      <vt:variant>
        <vt:lpwstr>_Toc201146112</vt:lpwstr>
      </vt:variant>
      <vt:variant>
        <vt:i4>1114166</vt:i4>
      </vt:variant>
      <vt:variant>
        <vt:i4>746</vt:i4>
      </vt:variant>
      <vt:variant>
        <vt:i4>0</vt:i4>
      </vt:variant>
      <vt:variant>
        <vt:i4>5</vt:i4>
      </vt:variant>
      <vt:variant>
        <vt:lpwstr/>
      </vt:variant>
      <vt:variant>
        <vt:lpwstr>_Toc201146111</vt:lpwstr>
      </vt:variant>
      <vt:variant>
        <vt:i4>1114166</vt:i4>
      </vt:variant>
      <vt:variant>
        <vt:i4>740</vt:i4>
      </vt:variant>
      <vt:variant>
        <vt:i4>0</vt:i4>
      </vt:variant>
      <vt:variant>
        <vt:i4>5</vt:i4>
      </vt:variant>
      <vt:variant>
        <vt:lpwstr/>
      </vt:variant>
      <vt:variant>
        <vt:lpwstr>_Toc201146110</vt:lpwstr>
      </vt:variant>
      <vt:variant>
        <vt:i4>1048630</vt:i4>
      </vt:variant>
      <vt:variant>
        <vt:i4>734</vt:i4>
      </vt:variant>
      <vt:variant>
        <vt:i4>0</vt:i4>
      </vt:variant>
      <vt:variant>
        <vt:i4>5</vt:i4>
      </vt:variant>
      <vt:variant>
        <vt:lpwstr/>
      </vt:variant>
      <vt:variant>
        <vt:lpwstr>_Toc201146109</vt:lpwstr>
      </vt:variant>
      <vt:variant>
        <vt:i4>1048630</vt:i4>
      </vt:variant>
      <vt:variant>
        <vt:i4>728</vt:i4>
      </vt:variant>
      <vt:variant>
        <vt:i4>0</vt:i4>
      </vt:variant>
      <vt:variant>
        <vt:i4>5</vt:i4>
      </vt:variant>
      <vt:variant>
        <vt:lpwstr/>
      </vt:variant>
      <vt:variant>
        <vt:lpwstr>_Toc201146108</vt:lpwstr>
      </vt:variant>
      <vt:variant>
        <vt:i4>1048630</vt:i4>
      </vt:variant>
      <vt:variant>
        <vt:i4>722</vt:i4>
      </vt:variant>
      <vt:variant>
        <vt:i4>0</vt:i4>
      </vt:variant>
      <vt:variant>
        <vt:i4>5</vt:i4>
      </vt:variant>
      <vt:variant>
        <vt:lpwstr/>
      </vt:variant>
      <vt:variant>
        <vt:lpwstr>_Toc201146107</vt:lpwstr>
      </vt:variant>
      <vt:variant>
        <vt:i4>1048630</vt:i4>
      </vt:variant>
      <vt:variant>
        <vt:i4>716</vt:i4>
      </vt:variant>
      <vt:variant>
        <vt:i4>0</vt:i4>
      </vt:variant>
      <vt:variant>
        <vt:i4>5</vt:i4>
      </vt:variant>
      <vt:variant>
        <vt:lpwstr/>
      </vt:variant>
      <vt:variant>
        <vt:lpwstr>_Toc201146106</vt:lpwstr>
      </vt:variant>
      <vt:variant>
        <vt:i4>1048630</vt:i4>
      </vt:variant>
      <vt:variant>
        <vt:i4>710</vt:i4>
      </vt:variant>
      <vt:variant>
        <vt:i4>0</vt:i4>
      </vt:variant>
      <vt:variant>
        <vt:i4>5</vt:i4>
      </vt:variant>
      <vt:variant>
        <vt:lpwstr/>
      </vt:variant>
      <vt:variant>
        <vt:lpwstr>_Toc201146105</vt:lpwstr>
      </vt:variant>
      <vt:variant>
        <vt:i4>1048630</vt:i4>
      </vt:variant>
      <vt:variant>
        <vt:i4>704</vt:i4>
      </vt:variant>
      <vt:variant>
        <vt:i4>0</vt:i4>
      </vt:variant>
      <vt:variant>
        <vt:i4>5</vt:i4>
      </vt:variant>
      <vt:variant>
        <vt:lpwstr/>
      </vt:variant>
      <vt:variant>
        <vt:lpwstr>_Toc201146104</vt:lpwstr>
      </vt:variant>
      <vt:variant>
        <vt:i4>1048630</vt:i4>
      </vt:variant>
      <vt:variant>
        <vt:i4>698</vt:i4>
      </vt:variant>
      <vt:variant>
        <vt:i4>0</vt:i4>
      </vt:variant>
      <vt:variant>
        <vt:i4>5</vt:i4>
      </vt:variant>
      <vt:variant>
        <vt:lpwstr/>
      </vt:variant>
      <vt:variant>
        <vt:lpwstr>_Toc201146103</vt:lpwstr>
      </vt:variant>
      <vt:variant>
        <vt:i4>1048630</vt:i4>
      </vt:variant>
      <vt:variant>
        <vt:i4>692</vt:i4>
      </vt:variant>
      <vt:variant>
        <vt:i4>0</vt:i4>
      </vt:variant>
      <vt:variant>
        <vt:i4>5</vt:i4>
      </vt:variant>
      <vt:variant>
        <vt:lpwstr/>
      </vt:variant>
      <vt:variant>
        <vt:lpwstr>_Toc201146102</vt:lpwstr>
      </vt:variant>
      <vt:variant>
        <vt:i4>1048630</vt:i4>
      </vt:variant>
      <vt:variant>
        <vt:i4>686</vt:i4>
      </vt:variant>
      <vt:variant>
        <vt:i4>0</vt:i4>
      </vt:variant>
      <vt:variant>
        <vt:i4>5</vt:i4>
      </vt:variant>
      <vt:variant>
        <vt:lpwstr/>
      </vt:variant>
      <vt:variant>
        <vt:lpwstr>_Toc201146101</vt:lpwstr>
      </vt:variant>
      <vt:variant>
        <vt:i4>1048630</vt:i4>
      </vt:variant>
      <vt:variant>
        <vt:i4>680</vt:i4>
      </vt:variant>
      <vt:variant>
        <vt:i4>0</vt:i4>
      </vt:variant>
      <vt:variant>
        <vt:i4>5</vt:i4>
      </vt:variant>
      <vt:variant>
        <vt:lpwstr/>
      </vt:variant>
      <vt:variant>
        <vt:lpwstr>_Toc201146100</vt:lpwstr>
      </vt:variant>
      <vt:variant>
        <vt:i4>1638455</vt:i4>
      </vt:variant>
      <vt:variant>
        <vt:i4>674</vt:i4>
      </vt:variant>
      <vt:variant>
        <vt:i4>0</vt:i4>
      </vt:variant>
      <vt:variant>
        <vt:i4>5</vt:i4>
      </vt:variant>
      <vt:variant>
        <vt:lpwstr/>
      </vt:variant>
      <vt:variant>
        <vt:lpwstr>_Toc201146099</vt:lpwstr>
      </vt:variant>
      <vt:variant>
        <vt:i4>1638455</vt:i4>
      </vt:variant>
      <vt:variant>
        <vt:i4>668</vt:i4>
      </vt:variant>
      <vt:variant>
        <vt:i4>0</vt:i4>
      </vt:variant>
      <vt:variant>
        <vt:i4>5</vt:i4>
      </vt:variant>
      <vt:variant>
        <vt:lpwstr/>
      </vt:variant>
      <vt:variant>
        <vt:lpwstr>_Toc201146098</vt:lpwstr>
      </vt:variant>
      <vt:variant>
        <vt:i4>1638455</vt:i4>
      </vt:variant>
      <vt:variant>
        <vt:i4>662</vt:i4>
      </vt:variant>
      <vt:variant>
        <vt:i4>0</vt:i4>
      </vt:variant>
      <vt:variant>
        <vt:i4>5</vt:i4>
      </vt:variant>
      <vt:variant>
        <vt:lpwstr/>
      </vt:variant>
      <vt:variant>
        <vt:lpwstr>_Toc201146097</vt:lpwstr>
      </vt:variant>
      <vt:variant>
        <vt:i4>1638455</vt:i4>
      </vt:variant>
      <vt:variant>
        <vt:i4>656</vt:i4>
      </vt:variant>
      <vt:variant>
        <vt:i4>0</vt:i4>
      </vt:variant>
      <vt:variant>
        <vt:i4>5</vt:i4>
      </vt:variant>
      <vt:variant>
        <vt:lpwstr/>
      </vt:variant>
      <vt:variant>
        <vt:lpwstr>_Toc201146096</vt:lpwstr>
      </vt:variant>
      <vt:variant>
        <vt:i4>1638455</vt:i4>
      </vt:variant>
      <vt:variant>
        <vt:i4>650</vt:i4>
      </vt:variant>
      <vt:variant>
        <vt:i4>0</vt:i4>
      </vt:variant>
      <vt:variant>
        <vt:i4>5</vt:i4>
      </vt:variant>
      <vt:variant>
        <vt:lpwstr/>
      </vt:variant>
      <vt:variant>
        <vt:lpwstr>_Toc201146095</vt:lpwstr>
      </vt:variant>
      <vt:variant>
        <vt:i4>1638455</vt:i4>
      </vt:variant>
      <vt:variant>
        <vt:i4>644</vt:i4>
      </vt:variant>
      <vt:variant>
        <vt:i4>0</vt:i4>
      </vt:variant>
      <vt:variant>
        <vt:i4>5</vt:i4>
      </vt:variant>
      <vt:variant>
        <vt:lpwstr/>
      </vt:variant>
      <vt:variant>
        <vt:lpwstr>_Toc201146094</vt:lpwstr>
      </vt:variant>
      <vt:variant>
        <vt:i4>1638455</vt:i4>
      </vt:variant>
      <vt:variant>
        <vt:i4>638</vt:i4>
      </vt:variant>
      <vt:variant>
        <vt:i4>0</vt:i4>
      </vt:variant>
      <vt:variant>
        <vt:i4>5</vt:i4>
      </vt:variant>
      <vt:variant>
        <vt:lpwstr/>
      </vt:variant>
      <vt:variant>
        <vt:lpwstr>_Toc201146093</vt:lpwstr>
      </vt:variant>
      <vt:variant>
        <vt:i4>1638455</vt:i4>
      </vt:variant>
      <vt:variant>
        <vt:i4>632</vt:i4>
      </vt:variant>
      <vt:variant>
        <vt:i4>0</vt:i4>
      </vt:variant>
      <vt:variant>
        <vt:i4>5</vt:i4>
      </vt:variant>
      <vt:variant>
        <vt:lpwstr/>
      </vt:variant>
      <vt:variant>
        <vt:lpwstr>_Toc201146092</vt:lpwstr>
      </vt:variant>
      <vt:variant>
        <vt:i4>1638455</vt:i4>
      </vt:variant>
      <vt:variant>
        <vt:i4>626</vt:i4>
      </vt:variant>
      <vt:variant>
        <vt:i4>0</vt:i4>
      </vt:variant>
      <vt:variant>
        <vt:i4>5</vt:i4>
      </vt:variant>
      <vt:variant>
        <vt:lpwstr/>
      </vt:variant>
      <vt:variant>
        <vt:lpwstr>_Toc201146091</vt:lpwstr>
      </vt:variant>
      <vt:variant>
        <vt:i4>1638455</vt:i4>
      </vt:variant>
      <vt:variant>
        <vt:i4>620</vt:i4>
      </vt:variant>
      <vt:variant>
        <vt:i4>0</vt:i4>
      </vt:variant>
      <vt:variant>
        <vt:i4>5</vt:i4>
      </vt:variant>
      <vt:variant>
        <vt:lpwstr/>
      </vt:variant>
      <vt:variant>
        <vt:lpwstr>_Toc201146090</vt:lpwstr>
      </vt:variant>
      <vt:variant>
        <vt:i4>1572919</vt:i4>
      </vt:variant>
      <vt:variant>
        <vt:i4>614</vt:i4>
      </vt:variant>
      <vt:variant>
        <vt:i4>0</vt:i4>
      </vt:variant>
      <vt:variant>
        <vt:i4>5</vt:i4>
      </vt:variant>
      <vt:variant>
        <vt:lpwstr/>
      </vt:variant>
      <vt:variant>
        <vt:lpwstr>_Toc201146089</vt:lpwstr>
      </vt:variant>
      <vt:variant>
        <vt:i4>1572919</vt:i4>
      </vt:variant>
      <vt:variant>
        <vt:i4>608</vt:i4>
      </vt:variant>
      <vt:variant>
        <vt:i4>0</vt:i4>
      </vt:variant>
      <vt:variant>
        <vt:i4>5</vt:i4>
      </vt:variant>
      <vt:variant>
        <vt:lpwstr/>
      </vt:variant>
      <vt:variant>
        <vt:lpwstr>_Toc201146088</vt:lpwstr>
      </vt:variant>
      <vt:variant>
        <vt:i4>1572919</vt:i4>
      </vt:variant>
      <vt:variant>
        <vt:i4>602</vt:i4>
      </vt:variant>
      <vt:variant>
        <vt:i4>0</vt:i4>
      </vt:variant>
      <vt:variant>
        <vt:i4>5</vt:i4>
      </vt:variant>
      <vt:variant>
        <vt:lpwstr/>
      </vt:variant>
      <vt:variant>
        <vt:lpwstr>_Toc201146087</vt:lpwstr>
      </vt:variant>
      <vt:variant>
        <vt:i4>1572919</vt:i4>
      </vt:variant>
      <vt:variant>
        <vt:i4>596</vt:i4>
      </vt:variant>
      <vt:variant>
        <vt:i4>0</vt:i4>
      </vt:variant>
      <vt:variant>
        <vt:i4>5</vt:i4>
      </vt:variant>
      <vt:variant>
        <vt:lpwstr/>
      </vt:variant>
      <vt:variant>
        <vt:lpwstr>_Toc201146086</vt:lpwstr>
      </vt:variant>
      <vt:variant>
        <vt:i4>1572919</vt:i4>
      </vt:variant>
      <vt:variant>
        <vt:i4>590</vt:i4>
      </vt:variant>
      <vt:variant>
        <vt:i4>0</vt:i4>
      </vt:variant>
      <vt:variant>
        <vt:i4>5</vt:i4>
      </vt:variant>
      <vt:variant>
        <vt:lpwstr/>
      </vt:variant>
      <vt:variant>
        <vt:lpwstr>_Toc201146085</vt:lpwstr>
      </vt:variant>
      <vt:variant>
        <vt:i4>1572919</vt:i4>
      </vt:variant>
      <vt:variant>
        <vt:i4>584</vt:i4>
      </vt:variant>
      <vt:variant>
        <vt:i4>0</vt:i4>
      </vt:variant>
      <vt:variant>
        <vt:i4>5</vt:i4>
      </vt:variant>
      <vt:variant>
        <vt:lpwstr/>
      </vt:variant>
      <vt:variant>
        <vt:lpwstr>_Toc201146084</vt:lpwstr>
      </vt:variant>
      <vt:variant>
        <vt:i4>1572919</vt:i4>
      </vt:variant>
      <vt:variant>
        <vt:i4>578</vt:i4>
      </vt:variant>
      <vt:variant>
        <vt:i4>0</vt:i4>
      </vt:variant>
      <vt:variant>
        <vt:i4>5</vt:i4>
      </vt:variant>
      <vt:variant>
        <vt:lpwstr/>
      </vt:variant>
      <vt:variant>
        <vt:lpwstr>_Toc201146083</vt:lpwstr>
      </vt:variant>
      <vt:variant>
        <vt:i4>1572919</vt:i4>
      </vt:variant>
      <vt:variant>
        <vt:i4>572</vt:i4>
      </vt:variant>
      <vt:variant>
        <vt:i4>0</vt:i4>
      </vt:variant>
      <vt:variant>
        <vt:i4>5</vt:i4>
      </vt:variant>
      <vt:variant>
        <vt:lpwstr/>
      </vt:variant>
      <vt:variant>
        <vt:lpwstr>_Toc201146082</vt:lpwstr>
      </vt:variant>
      <vt:variant>
        <vt:i4>1572919</vt:i4>
      </vt:variant>
      <vt:variant>
        <vt:i4>566</vt:i4>
      </vt:variant>
      <vt:variant>
        <vt:i4>0</vt:i4>
      </vt:variant>
      <vt:variant>
        <vt:i4>5</vt:i4>
      </vt:variant>
      <vt:variant>
        <vt:lpwstr/>
      </vt:variant>
      <vt:variant>
        <vt:lpwstr>_Toc201146081</vt:lpwstr>
      </vt:variant>
      <vt:variant>
        <vt:i4>1572919</vt:i4>
      </vt:variant>
      <vt:variant>
        <vt:i4>560</vt:i4>
      </vt:variant>
      <vt:variant>
        <vt:i4>0</vt:i4>
      </vt:variant>
      <vt:variant>
        <vt:i4>5</vt:i4>
      </vt:variant>
      <vt:variant>
        <vt:lpwstr/>
      </vt:variant>
      <vt:variant>
        <vt:lpwstr>_Toc201146080</vt:lpwstr>
      </vt:variant>
      <vt:variant>
        <vt:i4>1507383</vt:i4>
      </vt:variant>
      <vt:variant>
        <vt:i4>554</vt:i4>
      </vt:variant>
      <vt:variant>
        <vt:i4>0</vt:i4>
      </vt:variant>
      <vt:variant>
        <vt:i4>5</vt:i4>
      </vt:variant>
      <vt:variant>
        <vt:lpwstr/>
      </vt:variant>
      <vt:variant>
        <vt:lpwstr>_Toc201146079</vt:lpwstr>
      </vt:variant>
      <vt:variant>
        <vt:i4>1507383</vt:i4>
      </vt:variant>
      <vt:variant>
        <vt:i4>548</vt:i4>
      </vt:variant>
      <vt:variant>
        <vt:i4>0</vt:i4>
      </vt:variant>
      <vt:variant>
        <vt:i4>5</vt:i4>
      </vt:variant>
      <vt:variant>
        <vt:lpwstr/>
      </vt:variant>
      <vt:variant>
        <vt:lpwstr>_Toc201146078</vt:lpwstr>
      </vt:variant>
      <vt:variant>
        <vt:i4>1507383</vt:i4>
      </vt:variant>
      <vt:variant>
        <vt:i4>542</vt:i4>
      </vt:variant>
      <vt:variant>
        <vt:i4>0</vt:i4>
      </vt:variant>
      <vt:variant>
        <vt:i4>5</vt:i4>
      </vt:variant>
      <vt:variant>
        <vt:lpwstr/>
      </vt:variant>
      <vt:variant>
        <vt:lpwstr>_Toc201146077</vt:lpwstr>
      </vt:variant>
      <vt:variant>
        <vt:i4>1507383</vt:i4>
      </vt:variant>
      <vt:variant>
        <vt:i4>536</vt:i4>
      </vt:variant>
      <vt:variant>
        <vt:i4>0</vt:i4>
      </vt:variant>
      <vt:variant>
        <vt:i4>5</vt:i4>
      </vt:variant>
      <vt:variant>
        <vt:lpwstr/>
      </vt:variant>
      <vt:variant>
        <vt:lpwstr>_Toc201146076</vt:lpwstr>
      </vt:variant>
      <vt:variant>
        <vt:i4>1507383</vt:i4>
      </vt:variant>
      <vt:variant>
        <vt:i4>530</vt:i4>
      </vt:variant>
      <vt:variant>
        <vt:i4>0</vt:i4>
      </vt:variant>
      <vt:variant>
        <vt:i4>5</vt:i4>
      </vt:variant>
      <vt:variant>
        <vt:lpwstr/>
      </vt:variant>
      <vt:variant>
        <vt:lpwstr>_Toc201146075</vt:lpwstr>
      </vt:variant>
      <vt:variant>
        <vt:i4>1507383</vt:i4>
      </vt:variant>
      <vt:variant>
        <vt:i4>524</vt:i4>
      </vt:variant>
      <vt:variant>
        <vt:i4>0</vt:i4>
      </vt:variant>
      <vt:variant>
        <vt:i4>5</vt:i4>
      </vt:variant>
      <vt:variant>
        <vt:lpwstr/>
      </vt:variant>
      <vt:variant>
        <vt:lpwstr>_Toc201146074</vt:lpwstr>
      </vt:variant>
      <vt:variant>
        <vt:i4>1507383</vt:i4>
      </vt:variant>
      <vt:variant>
        <vt:i4>518</vt:i4>
      </vt:variant>
      <vt:variant>
        <vt:i4>0</vt:i4>
      </vt:variant>
      <vt:variant>
        <vt:i4>5</vt:i4>
      </vt:variant>
      <vt:variant>
        <vt:lpwstr/>
      </vt:variant>
      <vt:variant>
        <vt:lpwstr>_Toc201146073</vt:lpwstr>
      </vt:variant>
      <vt:variant>
        <vt:i4>1507383</vt:i4>
      </vt:variant>
      <vt:variant>
        <vt:i4>512</vt:i4>
      </vt:variant>
      <vt:variant>
        <vt:i4>0</vt:i4>
      </vt:variant>
      <vt:variant>
        <vt:i4>5</vt:i4>
      </vt:variant>
      <vt:variant>
        <vt:lpwstr/>
      </vt:variant>
      <vt:variant>
        <vt:lpwstr>_Toc201146072</vt:lpwstr>
      </vt:variant>
      <vt:variant>
        <vt:i4>1507383</vt:i4>
      </vt:variant>
      <vt:variant>
        <vt:i4>506</vt:i4>
      </vt:variant>
      <vt:variant>
        <vt:i4>0</vt:i4>
      </vt:variant>
      <vt:variant>
        <vt:i4>5</vt:i4>
      </vt:variant>
      <vt:variant>
        <vt:lpwstr/>
      </vt:variant>
      <vt:variant>
        <vt:lpwstr>_Toc201146071</vt:lpwstr>
      </vt:variant>
      <vt:variant>
        <vt:i4>1507383</vt:i4>
      </vt:variant>
      <vt:variant>
        <vt:i4>500</vt:i4>
      </vt:variant>
      <vt:variant>
        <vt:i4>0</vt:i4>
      </vt:variant>
      <vt:variant>
        <vt:i4>5</vt:i4>
      </vt:variant>
      <vt:variant>
        <vt:lpwstr/>
      </vt:variant>
      <vt:variant>
        <vt:lpwstr>_Toc201146070</vt:lpwstr>
      </vt:variant>
      <vt:variant>
        <vt:i4>1441847</vt:i4>
      </vt:variant>
      <vt:variant>
        <vt:i4>494</vt:i4>
      </vt:variant>
      <vt:variant>
        <vt:i4>0</vt:i4>
      </vt:variant>
      <vt:variant>
        <vt:i4>5</vt:i4>
      </vt:variant>
      <vt:variant>
        <vt:lpwstr/>
      </vt:variant>
      <vt:variant>
        <vt:lpwstr>_Toc201146069</vt:lpwstr>
      </vt:variant>
      <vt:variant>
        <vt:i4>1441847</vt:i4>
      </vt:variant>
      <vt:variant>
        <vt:i4>488</vt:i4>
      </vt:variant>
      <vt:variant>
        <vt:i4>0</vt:i4>
      </vt:variant>
      <vt:variant>
        <vt:i4>5</vt:i4>
      </vt:variant>
      <vt:variant>
        <vt:lpwstr/>
      </vt:variant>
      <vt:variant>
        <vt:lpwstr>_Toc201146068</vt:lpwstr>
      </vt:variant>
      <vt:variant>
        <vt:i4>1441847</vt:i4>
      </vt:variant>
      <vt:variant>
        <vt:i4>482</vt:i4>
      </vt:variant>
      <vt:variant>
        <vt:i4>0</vt:i4>
      </vt:variant>
      <vt:variant>
        <vt:i4>5</vt:i4>
      </vt:variant>
      <vt:variant>
        <vt:lpwstr/>
      </vt:variant>
      <vt:variant>
        <vt:lpwstr>_Toc201146067</vt:lpwstr>
      </vt:variant>
      <vt:variant>
        <vt:i4>1441847</vt:i4>
      </vt:variant>
      <vt:variant>
        <vt:i4>476</vt:i4>
      </vt:variant>
      <vt:variant>
        <vt:i4>0</vt:i4>
      </vt:variant>
      <vt:variant>
        <vt:i4>5</vt:i4>
      </vt:variant>
      <vt:variant>
        <vt:lpwstr/>
      </vt:variant>
      <vt:variant>
        <vt:lpwstr>_Toc201146066</vt:lpwstr>
      </vt:variant>
      <vt:variant>
        <vt:i4>1441847</vt:i4>
      </vt:variant>
      <vt:variant>
        <vt:i4>470</vt:i4>
      </vt:variant>
      <vt:variant>
        <vt:i4>0</vt:i4>
      </vt:variant>
      <vt:variant>
        <vt:i4>5</vt:i4>
      </vt:variant>
      <vt:variant>
        <vt:lpwstr/>
      </vt:variant>
      <vt:variant>
        <vt:lpwstr>_Toc201146065</vt:lpwstr>
      </vt:variant>
      <vt:variant>
        <vt:i4>1441847</vt:i4>
      </vt:variant>
      <vt:variant>
        <vt:i4>464</vt:i4>
      </vt:variant>
      <vt:variant>
        <vt:i4>0</vt:i4>
      </vt:variant>
      <vt:variant>
        <vt:i4>5</vt:i4>
      </vt:variant>
      <vt:variant>
        <vt:lpwstr/>
      </vt:variant>
      <vt:variant>
        <vt:lpwstr>_Toc201146064</vt:lpwstr>
      </vt:variant>
      <vt:variant>
        <vt:i4>1441847</vt:i4>
      </vt:variant>
      <vt:variant>
        <vt:i4>458</vt:i4>
      </vt:variant>
      <vt:variant>
        <vt:i4>0</vt:i4>
      </vt:variant>
      <vt:variant>
        <vt:i4>5</vt:i4>
      </vt:variant>
      <vt:variant>
        <vt:lpwstr/>
      </vt:variant>
      <vt:variant>
        <vt:lpwstr>_Toc201146063</vt:lpwstr>
      </vt:variant>
      <vt:variant>
        <vt:i4>1441847</vt:i4>
      </vt:variant>
      <vt:variant>
        <vt:i4>452</vt:i4>
      </vt:variant>
      <vt:variant>
        <vt:i4>0</vt:i4>
      </vt:variant>
      <vt:variant>
        <vt:i4>5</vt:i4>
      </vt:variant>
      <vt:variant>
        <vt:lpwstr/>
      </vt:variant>
      <vt:variant>
        <vt:lpwstr>_Toc201146062</vt:lpwstr>
      </vt:variant>
      <vt:variant>
        <vt:i4>1441847</vt:i4>
      </vt:variant>
      <vt:variant>
        <vt:i4>446</vt:i4>
      </vt:variant>
      <vt:variant>
        <vt:i4>0</vt:i4>
      </vt:variant>
      <vt:variant>
        <vt:i4>5</vt:i4>
      </vt:variant>
      <vt:variant>
        <vt:lpwstr/>
      </vt:variant>
      <vt:variant>
        <vt:lpwstr>_Toc201146061</vt:lpwstr>
      </vt:variant>
      <vt:variant>
        <vt:i4>1441847</vt:i4>
      </vt:variant>
      <vt:variant>
        <vt:i4>440</vt:i4>
      </vt:variant>
      <vt:variant>
        <vt:i4>0</vt:i4>
      </vt:variant>
      <vt:variant>
        <vt:i4>5</vt:i4>
      </vt:variant>
      <vt:variant>
        <vt:lpwstr/>
      </vt:variant>
      <vt:variant>
        <vt:lpwstr>_Toc201146060</vt:lpwstr>
      </vt:variant>
      <vt:variant>
        <vt:i4>1376311</vt:i4>
      </vt:variant>
      <vt:variant>
        <vt:i4>434</vt:i4>
      </vt:variant>
      <vt:variant>
        <vt:i4>0</vt:i4>
      </vt:variant>
      <vt:variant>
        <vt:i4>5</vt:i4>
      </vt:variant>
      <vt:variant>
        <vt:lpwstr/>
      </vt:variant>
      <vt:variant>
        <vt:lpwstr>_Toc201146059</vt:lpwstr>
      </vt:variant>
      <vt:variant>
        <vt:i4>1376311</vt:i4>
      </vt:variant>
      <vt:variant>
        <vt:i4>428</vt:i4>
      </vt:variant>
      <vt:variant>
        <vt:i4>0</vt:i4>
      </vt:variant>
      <vt:variant>
        <vt:i4>5</vt:i4>
      </vt:variant>
      <vt:variant>
        <vt:lpwstr/>
      </vt:variant>
      <vt:variant>
        <vt:lpwstr>_Toc201146058</vt:lpwstr>
      </vt:variant>
      <vt:variant>
        <vt:i4>1376311</vt:i4>
      </vt:variant>
      <vt:variant>
        <vt:i4>422</vt:i4>
      </vt:variant>
      <vt:variant>
        <vt:i4>0</vt:i4>
      </vt:variant>
      <vt:variant>
        <vt:i4>5</vt:i4>
      </vt:variant>
      <vt:variant>
        <vt:lpwstr/>
      </vt:variant>
      <vt:variant>
        <vt:lpwstr>_Toc201146057</vt:lpwstr>
      </vt:variant>
      <vt:variant>
        <vt:i4>1376311</vt:i4>
      </vt:variant>
      <vt:variant>
        <vt:i4>419</vt:i4>
      </vt:variant>
      <vt:variant>
        <vt:i4>0</vt:i4>
      </vt:variant>
      <vt:variant>
        <vt:i4>5</vt:i4>
      </vt:variant>
      <vt:variant>
        <vt:lpwstr/>
      </vt:variant>
      <vt:variant>
        <vt:lpwstr>_Toc201146056</vt:lpwstr>
      </vt:variant>
      <vt:variant>
        <vt:i4>1376311</vt:i4>
      </vt:variant>
      <vt:variant>
        <vt:i4>413</vt:i4>
      </vt:variant>
      <vt:variant>
        <vt:i4>0</vt:i4>
      </vt:variant>
      <vt:variant>
        <vt:i4>5</vt:i4>
      </vt:variant>
      <vt:variant>
        <vt:lpwstr/>
      </vt:variant>
      <vt:variant>
        <vt:lpwstr>_Toc201146055</vt:lpwstr>
      </vt:variant>
      <vt:variant>
        <vt:i4>1376311</vt:i4>
      </vt:variant>
      <vt:variant>
        <vt:i4>407</vt:i4>
      </vt:variant>
      <vt:variant>
        <vt:i4>0</vt:i4>
      </vt:variant>
      <vt:variant>
        <vt:i4>5</vt:i4>
      </vt:variant>
      <vt:variant>
        <vt:lpwstr/>
      </vt:variant>
      <vt:variant>
        <vt:lpwstr>_Toc201146054</vt:lpwstr>
      </vt:variant>
      <vt:variant>
        <vt:i4>1376311</vt:i4>
      </vt:variant>
      <vt:variant>
        <vt:i4>401</vt:i4>
      </vt:variant>
      <vt:variant>
        <vt:i4>0</vt:i4>
      </vt:variant>
      <vt:variant>
        <vt:i4>5</vt:i4>
      </vt:variant>
      <vt:variant>
        <vt:lpwstr/>
      </vt:variant>
      <vt:variant>
        <vt:lpwstr>_Toc201146053</vt:lpwstr>
      </vt:variant>
      <vt:variant>
        <vt:i4>1376311</vt:i4>
      </vt:variant>
      <vt:variant>
        <vt:i4>395</vt:i4>
      </vt:variant>
      <vt:variant>
        <vt:i4>0</vt:i4>
      </vt:variant>
      <vt:variant>
        <vt:i4>5</vt:i4>
      </vt:variant>
      <vt:variant>
        <vt:lpwstr/>
      </vt:variant>
      <vt:variant>
        <vt:lpwstr>_Toc201146052</vt:lpwstr>
      </vt:variant>
      <vt:variant>
        <vt:i4>1376311</vt:i4>
      </vt:variant>
      <vt:variant>
        <vt:i4>389</vt:i4>
      </vt:variant>
      <vt:variant>
        <vt:i4>0</vt:i4>
      </vt:variant>
      <vt:variant>
        <vt:i4>5</vt:i4>
      </vt:variant>
      <vt:variant>
        <vt:lpwstr/>
      </vt:variant>
      <vt:variant>
        <vt:lpwstr>_Toc201146051</vt:lpwstr>
      </vt:variant>
      <vt:variant>
        <vt:i4>1376311</vt:i4>
      </vt:variant>
      <vt:variant>
        <vt:i4>383</vt:i4>
      </vt:variant>
      <vt:variant>
        <vt:i4>0</vt:i4>
      </vt:variant>
      <vt:variant>
        <vt:i4>5</vt:i4>
      </vt:variant>
      <vt:variant>
        <vt:lpwstr/>
      </vt:variant>
      <vt:variant>
        <vt:lpwstr>_Toc201146050</vt:lpwstr>
      </vt:variant>
      <vt:variant>
        <vt:i4>1310775</vt:i4>
      </vt:variant>
      <vt:variant>
        <vt:i4>377</vt:i4>
      </vt:variant>
      <vt:variant>
        <vt:i4>0</vt:i4>
      </vt:variant>
      <vt:variant>
        <vt:i4>5</vt:i4>
      </vt:variant>
      <vt:variant>
        <vt:lpwstr/>
      </vt:variant>
      <vt:variant>
        <vt:lpwstr>_Toc201146049</vt:lpwstr>
      </vt:variant>
      <vt:variant>
        <vt:i4>1310775</vt:i4>
      </vt:variant>
      <vt:variant>
        <vt:i4>371</vt:i4>
      </vt:variant>
      <vt:variant>
        <vt:i4>0</vt:i4>
      </vt:variant>
      <vt:variant>
        <vt:i4>5</vt:i4>
      </vt:variant>
      <vt:variant>
        <vt:lpwstr/>
      </vt:variant>
      <vt:variant>
        <vt:lpwstr>_Toc201146048</vt:lpwstr>
      </vt:variant>
      <vt:variant>
        <vt:i4>1310775</vt:i4>
      </vt:variant>
      <vt:variant>
        <vt:i4>365</vt:i4>
      </vt:variant>
      <vt:variant>
        <vt:i4>0</vt:i4>
      </vt:variant>
      <vt:variant>
        <vt:i4>5</vt:i4>
      </vt:variant>
      <vt:variant>
        <vt:lpwstr/>
      </vt:variant>
      <vt:variant>
        <vt:lpwstr>_Toc201146047</vt:lpwstr>
      </vt:variant>
      <vt:variant>
        <vt:i4>1310775</vt:i4>
      </vt:variant>
      <vt:variant>
        <vt:i4>359</vt:i4>
      </vt:variant>
      <vt:variant>
        <vt:i4>0</vt:i4>
      </vt:variant>
      <vt:variant>
        <vt:i4>5</vt:i4>
      </vt:variant>
      <vt:variant>
        <vt:lpwstr/>
      </vt:variant>
      <vt:variant>
        <vt:lpwstr>_Toc201146046</vt:lpwstr>
      </vt:variant>
      <vt:variant>
        <vt:i4>1310775</vt:i4>
      </vt:variant>
      <vt:variant>
        <vt:i4>353</vt:i4>
      </vt:variant>
      <vt:variant>
        <vt:i4>0</vt:i4>
      </vt:variant>
      <vt:variant>
        <vt:i4>5</vt:i4>
      </vt:variant>
      <vt:variant>
        <vt:lpwstr/>
      </vt:variant>
      <vt:variant>
        <vt:lpwstr>_Toc201146045</vt:lpwstr>
      </vt:variant>
      <vt:variant>
        <vt:i4>1310775</vt:i4>
      </vt:variant>
      <vt:variant>
        <vt:i4>347</vt:i4>
      </vt:variant>
      <vt:variant>
        <vt:i4>0</vt:i4>
      </vt:variant>
      <vt:variant>
        <vt:i4>5</vt:i4>
      </vt:variant>
      <vt:variant>
        <vt:lpwstr/>
      </vt:variant>
      <vt:variant>
        <vt:lpwstr>_Toc201146044</vt:lpwstr>
      </vt:variant>
      <vt:variant>
        <vt:i4>1310775</vt:i4>
      </vt:variant>
      <vt:variant>
        <vt:i4>341</vt:i4>
      </vt:variant>
      <vt:variant>
        <vt:i4>0</vt:i4>
      </vt:variant>
      <vt:variant>
        <vt:i4>5</vt:i4>
      </vt:variant>
      <vt:variant>
        <vt:lpwstr/>
      </vt:variant>
      <vt:variant>
        <vt:lpwstr>_Toc201146043</vt:lpwstr>
      </vt:variant>
      <vt:variant>
        <vt:i4>1310775</vt:i4>
      </vt:variant>
      <vt:variant>
        <vt:i4>335</vt:i4>
      </vt:variant>
      <vt:variant>
        <vt:i4>0</vt:i4>
      </vt:variant>
      <vt:variant>
        <vt:i4>5</vt:i4>
      </vt:variant>
      <vt:variant>
        <vt:lpwstr/>
      </vt:variant>
      <vt:variant>
        <vt:lpwstr>_Toc201146042</vt:lpwstr>
      </vt:variant>
      <vt:variant>
        <vt:i4>1310775</vt:i4>
      </vt:variant>
      <vt:variant>
        <vt:i4>329</vt:i4>
      </vt:variant>
      <vt:variant>
        <vt:i4>0</vt:i4>
      </vt:variant>
      <vt:variant>
        <vt:i4>5</vt:i4>
      </vt:variant>
      <vt:variant>
        <vt:lpwstr/>
      </vt:variant>
      <vt:variant>
        <vt:lpwstr>_Toc201146041</vt:lpwstr>
      </vt:variant>
      <vt:variant>
        <vt:i4>1310775</vt:i4>
      </vt:variant>
      <vt:variant>
        <vt:i4>323</vt:i4>
      </vt:variant>
      <vt:variant>
        <vt:i4>0</vt:i4>
      </vt:variant>
      <vt:variant>
        <vt:i4>5</vt:i4>
      </vt:variant>
      <vt:variant>
        <vt:lpwstr/>
      </vt:variant>
      <vt:variant>
        <vt:lpwstr>_Toc201146040</vt:lpwstr>
      </vt:variant>
      <vt:variant>
        <vt:i4>1245239</vt:i4>
      </vt:variant>
      <vt:variant>
        <vt:i4>317</vt:i4>
      </vt:variant>
      <vt:variant>
        <vt:i4>0</vt:i4>
      </vt:variant>
      <vt:variant>
        <vt:i4>5</vt:i4>
      </vt:variant>
      <vt:variant>
        <vt:lpwstr/>
      </vt:variant>
      <vt:variant>
        <vt:lpwstr>_Toc201146039</vt:lpwstr>
      </vt:variant>
      <vt:variant>
        <vt:i4>1245239</vt:i4>
      </vt:variant>
      <vt:variant>
        <vt:i4>311</vt:i4>
      </vt:variant>
      <vt:variant>
        <vt:i4>0</vt:i4>
      </vt:variant>
      <vt:variant>
        <vt:i4>5</vt:i4>
      </vt:variant>
      <vt:variant>
        <vt:lpwstr/>
      </vt:variant>
      <vt:variant>
        <vt:lpwstr>_Toc201146038</vt:lpwstr>
      </vt:variant>
      <vt:variant>
        <vt:i4>1245239</vt:i4>
      </vt:variant>
      <vt:variant>
        <vt:i4>305</vt:i4>
      </vt:variant>
      <vt:variant>
        <vt:i4>0</vt:i4>
      </vt:variant>
      <vt:variant>
        <vt:i4>5</vt:i4>
      </vt:variant>
      <vt:variant>
        <vt:lpwstr/>
      </vt:variant>
      <vt:variant>
        <vt:lpwstr>_Toc201146037</vt:lpwstr>
      </vt:variant>
      <vt:variant>
        <vt:i4>1245239</vt:i4>
      </vt:variant>
      <vt:variant>
        <vt:i4>299</vt:i4>
      </vt:variant>
      <vt:variant>
        <vt:i4>0</vt:i4>
      </vt:variant>
      <vt:variant>
        <vt:i4>5</vt:i4>
      </vt:variant>
      <vt:variant>
        <vt:lpwstr/>
      </vt:variant>
      <vt:variant>
        <vt:lpwstr>_Toc201146036</vt:lpwstr>
      </vt:variant>
      <vt:variant>
        <vt:i4>1245239</vt:i4>
      </vt:variant>
      <vt:variant>
        <vt:i4>293</vt:i4>
      </vt:variant>
      <vt:variant>
        <vt:i4>0</vt:i4>
      </vt:variant>
      <vt:variant>
        <vt:i4>5</vt:i4>
      </vt:variant>
      <vt:variant>
        <vt:lpwstr/>
      </vt:variant>
      <vt:variant>
        <vt:lpwstr>_Toc201146035</vt:lpwstr>
      </vt:variant>
      <vt:variant>
        <vt:i4>1245239</vt:i4>
      </vt:variant>
      <vt:variant>
        <vt:i4>287</vt:i4>
      </vt:variant>
      <vt:variant>
        <vt:i4>0</vt:i4>
      </vt:variant>
      <vt:variant>
        <vt:i4>5</vt:i4>
      </vt:variant>
      <vt:variant>
        <vt:lpwstr/>
      </vt:variant>
      <vt:variant>
        <vt:lpwstr>_Toc201146034</vt:lpwstr>
      </vt:variant>
      <vt:variant>
        <vt:i4>1245239</vt:i4>
      </vt:variant>
      <vt:variant>
        <vt:i4>281</vt:i4>
      </vt:variant>
      <vt:variant>
        <vt:i4>0</vt:i4>
      </vt:variant>
      <vt:variant>
        <vt:i4>5</vt:i4>
      </vt:variant>
      <vt:variant>
        <vt:lpwstr/>
      </vt:variant>
      <vt:variant>
        <vt:lpwstr>_Toc201146033</vt:lpwstr>
      </vt:variant>
      <vt:variant>
        <vt:i4>1245239</vt:i4>
      </vt:variant>
      <vt:variant>
        <vt:i4>275</vt:i4>
      </vt:variant>
      <vt:variant>
        <vt:i4>0</vt:i4>
      </vt:variant>
      <vt:variant>
        <vt:i4>5</vt:i4>
      </vt:variant>
      <vt:variant>
        <vt:lpwstr/>
      </vt:variant>
      <vt:variant>
        <vt:lpwstr>_Toc201146032</vt:lpwstr>
      </vt:variant>
      <vt:variant>
        <vt:i4>1245239</vt:i4>
      </vt:variant>
      <vt:variant>
        <vt:i4>269</vt:i4>
      </vt:variant>
      <vt:variant>
        <vt:i4>0</vt:i4>
      </vt:variant>
      <vt:variant>
        <vt:i4>5</vt:i4>
      </vt:variant>
      <vt:variant>
        <vt:lpwstr/>
      </vt:variant>
      <vt:variant>
        <vt:lpwstr>_Toc201146031</vt:lpwstr>
      </vt:variant>
      <vt:variant>
        <vt:i4>1245239</vt:i4>
      </vt:variant>
      <vt:variant>
        <vt:i4>263</vt:i4>
      </vt:variant>
      <vt:variant>
        <vt:i4>0</vt:i4>
      </vt:variant>
      <vt:variant>
        <vt:i4>5</vt:i4>
      </vt:variant>
      <vt:variant>
        <vt:lpwstr/>
      </vt:variant>
      <vt:variant>
        <vt:lpwstr>_Toc201146030</vt:lpwstr>
      </vt:variant>
      <vt:variant>
        <vt:i4>1179703</vt:i4>
      </vt:variant>
      <vt:variant>
        <vt:i4>257</vt:i4>
      </vt:variant>
      <vt:variant>
        <vt:i4>0</vt:i4>
      </vt:variant>
      <vt:variant>
        <vt:i4>5</vt:i4>
      </vt:variant>
      <vt:variant>
        <vt:lpwstr/>
      </vt:variant>
      <vt:variant>
        <vt:lpwstr>_Toc201146029</vt:lpwstr>
      </vt:variant>
      <vt:variant>
        <vt:i4>1179703</vt:i4>
      </vt:variant>
      <vt:variant>
        <vt:i4>251</vt:i4>
      </vt:variant>
      <vt:variant>
        <vt:i4>0</vt:i4>
      </vt:variant>
      <vt:variant>
        <vt:i4>5</vt:i4>
      </vt:variant>
      <vt:variant>
        <vt:lpwstr/>
      </vt:variant>
      <vt:variant>
        <vt:lpwstr>_Toc201146028</vt:lpwstr>
      </vt:variant>
      <vt:variant>
        <vt:i4>1179703</vt:i4>
      </vt:variant>
      <vt:variant>
        <vt:i4>245</vt:i4>
      </vt:variant>
      <vt:variant>
        <vt:i4>0</vt:i4>
      </vt:variant>
      <vt:variant>
        <vt:i4>5</vt:i4>
      </vt:variant>
      <vt:variant>
        <vt:lpwstr/>
      </vt:variant>
      <vt:variant>
        <vt:lpwstr>_Toc201146027</vt:lpwstr>
      </vt:variant>
      <vt:variant>
        <vt:i4>1179703</vt:i4>
      </vt:variant>
      <vt:variant>
        <vt:i4>239</vt:i4>
      </vt:variant>
      <vt:variant>
        <vt:i4>0</vt:i4>
      </vt:variant>
      <vt:variant>
        <vt:i4>5</vt:i4>
      </vt:variant>
      <vt:variant>
        <vt:lpwstr/>
      </vt:variant>
      <vt:variant>
        <vt:lpwstr>_Toc201146026</vt:lpwstr>
      </vt:variant>
      <vt:variant>
        <vt:i4>1179703</vt:i4>
      </vt:variant>
      <vt:variant>
        <vt:i4>233</vt:i4>
      </vt:variant>
      <vt:variant>
        <vt:i4>0</vt:i4>
      </vt:variant>
      <vt:variant>
        <vt:i4>5</vt:i4>
      </vt:variant>
      <vt:variant>
        <vt:lpwstr/>
      </vt:variant>
      <vt:variant>
        <vt:lpwstr>_Toc201146025</vt:lpwstr>
      </vt:variant>
      <vt:variant>
        <vt:i4>1179703</vt:i4>
      </vt:variant>
      <vt:variant>
        <vt:i4>227</vt:i4>
      </vt:variant>
      <vt:variant>
        <vt:i4>0</vt:i4>
      </vt:variant>
      <vt:variant>
        <vt:i4>5</vt:i4>
      </vt:variant>
      <vt:variant>
        <vt:lpwstr/>
      </vt:variant>
      <vt:variant>
        <vt:lpwstr>_Toc201146024</vt:lpwstr>
      </vt:variant>
      <vt:variant>
        <vt:i4>1179703</vt:i4>
      </vt:variant>
      <vt:variant>
        <vt:i4>221</vt:i4>
      </vt:variant>
      <vt:variant>
        <vt:i4>0</vt:i4>
      </vt:variant>
      <vt:variant>
        <vt:i4>5</vt:i4>
      </vt:variant>
      <vt:variant>
        <vt:lpwstr/>
      </vt:variant>
      <vt:variant>
        <vt:lpwstr>_Toc201146023</vt:lpwstr>
      </vt:variant>
      <vt:variant>
        <vt:i4>1114167</vt:i4>
      </vt:variant>
      <vt:variant>
        <vt:i4>215</vt:i4>
      </vt:variant>
      <vt:variant>
        <vt:i4>0</vt:i4>
      </vt:variant>
      <vt:variant>
        <vt:i4>5</vt:i4>
      </vt:variant>
      <vt:variant>
        <vt:lpwstr/>
      </vt:variant>
      <vt:variant>
        <vt:lpwstr>_Toc201146016</vt:lpwstr>
      </vt:variant>
      <vt:variant>
        <vt:i4>1114167</vt:i4>
      </vt:variant>
      <vt:variant>
        <vt:i4>209</vt:i4>
      </vt:variant>
      <vt:variant>
        <vt:i4>0</vt:i4>
      </vt:variant>
      <vt:variant>
        <vt:i4>5</vt:i4>
      </vt:variant>
      <vt:variant>
        <vt:lpwstr/>
      </vt:variant>
      <vt:variant>
        <vt:lpwstr>_Toc201146015</vt:lpwstr>
      </vt:variant>
      <vt:variant>
        <vt:i4>1114167</vt:i4>
      </vt:variant>
      <vt:variant>
        <vt:i4>203</vt:i4>
      </vt:variant>
      <vt:variant>
        <vt:i4>0</vt:i4>
      </vt:variant>
      <vt:variant>
        <vt:i4>5</vt:i4>
      </vt:variant>
      <vt:variant>
        <vt:lpwstr/>
      </vt:variant>
      <vt:variant>
        <vt:lpwstr>_Toc201146014</vt:lpwstr>
      </vt:variant>
      <vt:variant>
        <vt:i4>1114167</vt:i4>
      </vt:variant>
      <vt:variant>
        <vt:i4>197</vt:i4>
      </vt:variant>
      <vt:variant>
        <vt:i4>0</vt:i4>
      </vt:variant>
      <vt:variant>
        <vt:i4>5</vt:i4>
      </vt:variant>
      <vt:variant>
        <vt:lpwstr/>
      </vt:variant>
      <vt:variant>
        <vt:lpwstr>_Toc201146013</vt:lpwstr>
      </vt:variant>
      <vt:variant>
        <vt:i4>1114167</vt:i4>
      </vt:variant>
      <vt:variant>
        <vt:i4>191</vt:i4>
      </vt:variant>
      <vt:variant>
        <vt:i4>0</vt:i4>
      </vt:variant>
      <vt:variant>
        <vt:i4>5</vt:i4>
      </vt:variant>
      <vt:variant>
        <vt:lpwstr/>
      </vt:variant>
      <vt:variant>
        <vt:lpwstr>_Toc201146012</vt:lpwstr>
      </vt:variant>
      <vt:variant>
        <vt:i4>1114167</vt:i4>
      </vt:variant>
      <vt:variant>
        <vt:i4>185</vt:i4>
      </vt:variant>
      <vt:variant>
        <vt:i4>0</vt:i4>
      </vt:variant>
      <vt:variant>
        <vt:i4>5</vt:i4>
      </vt:variant>
      <vt:variant>
        <vt:lpwstr/>
      </vt:variant>
      <vt:variant>
        <vt:lpwstr>_Toc201146011</vt:lpwstr>
      </vt:variant>
      <vt:variant>
        <vt:i4>1114167</vt:i4>
      </vt:variant>
      <vt:variant>
        <vt:i4>179</vt:i4>
      </vt:variant>
      <vt:variant>
        <vt:i4>0</vt:i4>
      </vt:variant>
      <vt:variant>
        <vt:i4>5</vt:i4>
      </vt:variant>
      <vt:variant>
        <vt:lpwstr/>
      </vt:variant>
      <vt:variant>
        <vt:lpwstr>_Toc201146010</vt:lpwstr>
      </vt:variant>
      <vt:variant>
        <vt:i4>1048631</vt:i4>
      </vt:variant>
      <vt:variant>
        <vt:i4>173</vt:i4>
      </vt:variant>
      <vt:variant>
        <vt:i4>0</vt:i4>
      </vt:variant>
      <vt:variant>
        <vt:i4>5</vt:i4>
      </vt:variant>
      <vt:variant>
        <vt:lpwstr/>
      </vt:variant>
      <vt:variant>
        <vt:lpwstr>_Toc201146009</vt:lpwstr>
      </vt:variant>
      <vt:variant>
        <vt:i4>1048631</vt:i4>
      </vt:variant>
      <vt:variant>
        <vt:i4>167</vt:i4>
      </vt:variant>
      <vt:variant>
        <vt:i4>0</vt:i4>
      </vt:variant>
      <vt:variant>
        <vt:i4>5</vt:i4>
      </vt:variant>
      <vt:variant>
        <vt:lpwstr/>
      </vt:variant>
      <vt:variant>
        <vt:lpwstr>_Toc201146008</vt:lpwstr>
      </vt:variant>
      <vt:variant>
        <vt:i4>1048631</vt:i4>
      </vt:variant>
      <vt:variant>
        <vt:i4>161</vt:i4>
      </vt:variant>
      <vt:variant>
        <vt:i4>0</vt:i4>
      </vt:variant>
      <vt:variant>
        <vt:i4>5</vt:i4>
      </vt:variant>
      <vt:variant>
        <vt:lpwstr/>
      </vt:variant>
      <vt:variant>
        <vt:lpwstr>_Toc201146007</vt:lpwstr>
      </vt:variant>
      <vt:variant>
        <vt:i4>1048631</vt:i4>
      </vt:variant>
      <vt:variant>
        <vt:i4>155</vt:i4>
      </vt:variant>
      <vt:variant>
        <vt:i4>0</vt:i4>
      </vt:variant>
      <vt:variant>
        <vt:i4>5</vt:i4>
      </vt:variant>
      <vt:variant>
        <vt:lpwstr/>
      </vt:variant>
      <vt:variant>
        <vt:lpwstr>_Toc201146006</vt:lpwstr>
      </vt:variant>
      <vt:variant>
        <vt:i4>1048631</vt:i4>
      </vt:variant>
      <vt:variant>
        <vt:i4>149</vt:i4>
      </vt:variant>
      <vt:variant>
        <vt:i4>0</vt:i4>
      </vt:variant>
      <vt:variant>
        <vt:i4>5</vt:i4>
      </vt:variant>
      <vt:variant>
        <vt:lpwstr/>
      </vt:variant>
      <vt:variant>
        <vt:lpwstr>_Toc201146005</vt:lpwstr>
      </vt:variant>
      <vt:variant>
        <vt:i4>1048631</vt:i4>
      </vt:variant>
      <vt:variant>
        <vt:i4>143</vt:i4>
      </vt:variant>
      <vt:variant>
        <vt:i4>0</vt:i4>
      </vt:variant>
      <vt:variant>
        <vt:i4>5</vt:i4>
      </vt:variant>
      <vt:variant>
        <vt:lpwstr/>
      </vt:variant>
      <vt:variant>
        <vt:lpwstr>_Toc201146004</vt:lpwstr>
      </vt:variant>
      <vt:variant>
        <vt:i4>1048631</vt:i4>
      </vt:variant>
      <vt:variant>
        <vt:i4>137</vt:i4>
      </vt:variant>
      <vt:variant>
        <vt:i4>0</vt:i4>
      </vt:variant>
      <vt:variant>
        <vt:i4>5</vt:i4>
      </vt:variant>
      <vt:variant>
        <vt:lpwstr/>
      </vt:variant>
      <vt:variant>
        <vt:lpwstr>_Toc201146003</vt:lpwstr>
      </vt:variant>
      <vt:variant>
        <vt:i4>1048631</vt:i4>
      </vt:variant>
      <vt:variant>
        <vt:i4>131</vt:i4>
      </vt:variant>
      <vt:variant>
        <vt:i4>0</vt:i4>
      </vt:variant>
      <vt:variant>
        <vt:i4>5</vt:i4>
      </vt:variant>
      <vt:variant>
        <vt:lpwstr/>
      </vt:variant>
      <vt:variant>
        <vt:lpwstr>_Toc201146002</vt:lpwstr>
      </vt:variant>
      <vt:variant>
        <vt:i4>1048631</vt:i4>
      </vt:variant>
      <vt:variant>
        <vt:i4>125</vt:i4>
      </vt:variant>
      <vt:variant>
        <vt:i4>0</vt:i4>
      </vt:variant>
      <vt:variant>
        <vt:i4>5</vt:i4>
      </vt:variant>
      <vt:variant>
        <vt:lpwstr/>
      </vt:variant>
      <vt:variant>
        <vt:lpwstr>_Toc201146001</vt:lpwstr>
      </vt:variant>
      <vt:variant>
        <vt:i4>1048631</vt:i4>
      </vt:variant>
      <vt:variant>
        <vt:i4>119</vt:i4>
      </vt:variant>
      <vt:variant>
        <vt:i4>0</vt:i4>
      </vt:variant>
      <vt:variant>
        <vt:i4>5</vt:i4>
      </vt:variant>
      <vt:variant>
        <vt:lpwstr/>
      </vt:variant>
      <vt:variant>
        <vt:lpwstr>_Toc201146000</vt:lpwstr>
      </vt:variant>
      <vt:variant>
        <vt:i4>1703998</vt:i4>
      </vt:variant>
      <vt:variant>
        <vt:i4>113</vt:i4>
      </vt:variant>
      <vt:variant>
        <vt:i4>0</vt:i4>
      </vt:variant>
      <vt:variant>
        <vt:i4>5</vt:i4>
      </vt:variant>
      <vt:variant>
        <vt:lpwstr/>
      </vt:variant>
      <vt:variant>
        <vt:lpwstr>_Toc201145999</vt:lpwstr>
      </vt:variant>
      <vt:variant>
        <vt:i4>1703998</vt:i4>
      </vt:variant>
      <vt:variant>
        <vt:i4>107</vt:i4>
      </vt:variant>
      <vt:variant>
        <vt:i4>0</vt:i4>
      </vt:variant>
      <vt:variant>
        <vt:i4>5</vt:i4>
      </vt:variant>
      <vt:variant>
        <vt:lpwstr/>
      </vt:variant>
      <vt:variant>
        <vt:lpwstr>_Toc201145998</vt:lpwstr>
      </vt:variant>
      <vt:variant>
        <vt:i4>1703998</vt:i4>
      </vt:variant>
      <vt:variant>
        <vt:i4>101</vt:i4>
      </vt:variant>
      <vt:variant>
        <vt:i4>0</vt:i4>
      </vt:variant>
      <vt:variant>
        <vt:i4>5</vt:i4>
      </vt:variant>
      <vt:variant>
        <vt:lpwstr/>
      </vt:variant>
      <vt:variant>
        <vt:lpwstr>_Toc201145997</vt:lpwstr>
      </vt:variant>
      <vt:variant>
        <vt:i4>1703998</vt:i4>
      </vt:variant>
      <vt:variant>
        <vt:i4>95</vt:i4>
      </vt:variant>
      <vt:variant>
        <vt:i4>0</vt:i4>
      </vt:variant>
      <vt:variant>
        <vt:i4>5</vt:i4>
      </vt:variant>
      <vt:variant>
        <vt:lpwstr/>
      </vt:variant>
      <vt:variant>
        <vt:lpwstr>_Toc201145996</vt:lpwstr>
      </vt:variant>
      <vt:variant>
        <vt:i4>1703998</vt:i4>
      </vt:variant>
      <vt:variant>
        <vt:i4>89</vt:i4>
      </vt:variant>
      <vt:variant>
        <vt:i4>0</vt:i4>
      </vt:variant>
      <vt:variant>
        <vt:i4>5</vt:i4>
      </vt:variant>
      <vt:variant>
        <vt:lpwstr/>
      </vt:variant>
      <vt:variant>
        <vt:lpwstr>_Toc201145994</vt:lpwstr>
      </vt:variant>
      <vt:variant>
        <vt:i4>1703998</vt:i4>
      </vt:variant>
      <vt:variant>
        <vt:i4>83</vt:i4>
      </vt:variant>
      <vt:variant>
        <vt:i4>0</vt:i4>
      </vt:variant>
      <vt:variant>
        <vt:i4>5</vt:i4>
      </vt:variant>
      <vt:variant>
        <vt:lpwstr/>
      </vt:variant>
      <vt:variant>
        <vt:lpwstr>_Toc201145993</vt:lpwstr>
      </vt:variant>
      <vt:variant>
        <vt:i4>1703998</vt:i4>
      </vt:variant>
      <vt:variant>
        <vt:i4>77</vt:i4>
      </vt:variant>
      <vt:variant>
        <vt:i4>0</vt:i4>
      </vt:variant>
      <vt:variant>
        <vt:i4>5</vt:i4>
      </vt:variant>
      <vt:variant>
        <vt:lpwstr/>
      </vt:variant>
      <vt:variant>
        <vt:lpwstr>_Toc201145992</vt:lpwstr>
      </vt:variant>
      <vt:variant>
        <vt:i4>1703998</vt:i4>
      </vt:variant>
      <vt:variant>
        <vt:i4>71</vt:i4>
      </vt:variant>
      <vt:variant>
        <vt:i4>0</vt:i4>
      </vt:variant>
      <vt:variant>
        <vt:i4>5</vt:i4>
      </vt:variant>
      <vt:variant>
        <vt:lpwstr/>
      </vt:variant>
      <vt:variant>
        <vt:lpwstr>_Toc201145991</vt:lpwstr>
      </vt:variant>
      <vt:variant>
        <vt:i4>1703998</vt:i4>
      </vt:variant>
      <vt:variant>
        <vt:i4>65</vt:i4>
      </vt:variant>
      <vt:variant>
        <vt:i4>0</vt:i4>
      </vt:variant>
      <vt:variant>
        <vt:i4>5</vt:i4>
      </vt:variant>
      <vt:variant>
        <vt:lpwstr/>
      </vt:variant>
      <vt:variant>
        <vt:lpwstr>_Toc201145990</vt:lpwstr>
      </vt:variant>
      <vt:variant>
        <vt:i4>1769534</vt:i4>
      </vt:variant>
      <vt:variant>
        <vt:i4>59</vt:i4>
      </vt:variant>
      <vt:variant>
        <vt:i4>0</vt:i4>
      </vt:variant>
      <vt:variant>
        <vt:i4>5</vt:i4>
      </vt:variant>
      <vt:variant>
        <vt:lpwstr/>
      </vt:variant>
      <vt:variant>
        <vt:lpwstr>_Toc201145989</vt:lpwstr>
      </vt:variant>
      <vt:variant>
        <vt:i4>1769534</vt:i4>
      </vt:variant>
      <vt:variant>
        <vt:i4>53</vt:i4>
      </vt:variant>
      <vt:variant>
        <vt:i4>0</vt:i4>
      </vt:variant>
      <vt:variant>
        <vt:i4>5</vt:i4>
      </vt:variant>
      <vt:variant>
        <vt:lpwstr/>
      </vt:variant>
      <vt:variant>
        <vt:lpwstr>_Toc201145988</vt:lpwstr>
      </vt:variant>
      <vt:variant>
        <vt:i4>1769534</vt:i4>
      </vt:variant>
      <vt:variant>
        <vt:i4>47</vt:i4>
      </vt:variant>
      <vt:variant>
        <vt:i4>0</vt:i4>
      </vt:variant>
      <vt:variant>
        <vt:i4>5</vt:i4>
      </vt:variant>
      <vt:variant>
        <vt:lpwstr/>
      </vt:variant>
      <vt:variant>
        <vt:lpwstr>_Toc201145987</vt:lpwstr>
      </vt:variant>
      <vt:variant>
        <vt:i4>1769534</vt:i4>
      </vt:variant>
      <vt:variant>
        <vt:i4>41</vt:i4>
      </vt:variant>
      <vt:variant>
        <vt:i4>0</vt:i4>
      </vt:variant>
      <vt:variant>
        <vt:i4>5</vt:i4>
      </vt:variant>
      <vt:variant>
        <vt:lpwstr/>
      </vt:variant>
      <vt:variant>
        <vt:lpwstr>_Toc201145986</vt:lpwstr>
      </vt:variant>
      <vt:variant>
        <vt:i4>1769534</vt:i4>
      </vt:variant>
      <vt:variant>
        <vt:i4>35</vt:i4>
      </vt:variant>
      <vt:variant>
        <vt:i4>0</vt:i4>
      </vt:variant>
      <vt:variant>
        <vt:i4>5</vt:i4>
      </vt:variant>
      <vt:variant>
        <vt:lpwstr/>
      </vt:variant>
      <vt:variant>
        <vt:lpwstr>_Toc201145985</vt:lpwstr>
      </vt:variant>
      <vt:variant>
        <vt:i4>1769534</vt:i4>
      </vt:variant>
      <vt:variant>
        <vt:i4>29</vt:i4>
      </vt:variant>
      <vt:variant>
        <vt:i4>0</vt:i4>
      </vt:variant>
      <vt:variant>
        <vt:i4>5</vt:i4>
      </vt:variant>
      <vt:variant>
        <vt:lpwstr/>
      </vt:variant>
      <vt:variant>
        <vt:lpwstr>_Toc201145984</vt:lpwstr>
      </vt:variant>
      <vt:variant>
        <vt:i4>1769534</vt:i4>
      </vt:variant>
      <vt:variant>
        <vt:i4>23</vt:i4>
      </vt:variant>
      <vt:variant>
        <vt:i4>0</vt:i4>
      </vt:variant>
      <vt:variant>
        <vt:i4>5</vt:i4>
      </vt:variant>
      <vt:variant>
        <vt:lpwstr/>
      </vt:variant>
      <vt:variant>
        <vt:lpwstr>_Toc201145983</vt:lpwstr>
      </vt:variant>
      <vt:variant>
        <vt:i4>1769534</vt:i4>
      </vt:variant>
      <vt:variant>
        <vt:i4>17</vt:i4>
      </vt:variant>
      <vt:variant>
        <vt:i4>0</vt:i4>
      </vt:variant>
      <vt:variant>
        <vt:i4>5</vt:i4>
      </vt:variant>
      <vt:variant>
        <vt:lpwstr/>
      </vt:variant>
      <vt:variant>
        <vt:lpwstr>_Toc201145982</vt:lpwstr>
      </vt:variant>
      <vt:variant>
        <vt:i4>1769534</vt:i4>
      </vt:variant>
      <vt:variant>
        <vt:i4>11</vt:i4>
      </vt:variant>
      <vt:variant>
        <vt:i4>0</vt:i4>
      </vt:variant>
      <vt:variant>
        <vt:i4>5</vt:i4>
      </vt:variant>
      <vt:variant>
        <vt:lpwstr/>
      </vt:variant>
      <vt:variant>
        <vt:lpwstr>_Toc201145981</vt:lpwstr>
      </vt:variant>
      <vt:variant>
        <vt:i4>1769534</vt:i4>
      </vt:variant>
      <vt:variant>
        <vt:i4>5</vt:i4>
      </vt:variant>
      <vt:variant>
        <vt:i4>0</vt:i4>
      </vt:variant>
      <vt:variant>
        <vt:i4>5</vt:i4>
      </vt:variant>
      <vt:variant>
        <vt:lpwstr/>
      </vt:variant>
      <vt:variant>
        <vt:lpwstr>_Toc201145980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CFRILOU</dc:creator>
  <cp:keywords/>
  <dc:description/>
  <cp:lastModifiedBy>Andrea Trantham</cp:lastModifiedBy>
  <cp:revision>7</cp:revision>
  <cp:lastPrinted>2026-03-19T21:47:00Z</cp:lastPrinted>
  <dcterms:created xsi:type="dcterms:W3CDTF">2026-03-19T21:46:00Z</dcterms:created>
  <dcterms:modified xsi:type="dcterms:W3CDTF">2026-06-04T17:13:00Z</dcterms:modified>
</cp:coreProperties>
</file>